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4EF13" w14:textId="42895B37" w:rsidR="00C013AA" w:rsidRPr="00C25A7A" w:rsidRDefault="00E16253" w:rsidP="00313ED3">
      <w:pPr>
        <w:spacing w:line="240" w:lineRule="atLeast"/>
        <w:rPr>
          <w:sz w:val="20"/>
          <w:szCs w:val="20"/>
        </w:rPr>
      </w:pPr>
      <w:r w:rsidRPr="00C25A7A">
        <w:rPr>
          <w:sz w:val="20"/>
          <w:szCs w:val="20"/>
        </w:rPr>
        <w:t>Filed 4/18/24</w:t>
      </w:r>
      <w:r w:rsidR="00F54131">
        <w:rPr>
          <w:sz w:val="20"/>
          <w:szCs w:val="20"/>
        </w:rPr>
        <w:t>; Certified for Publication 5/15/24 (order attached)</w:t>
      </w:r>
    </w:p>
    <w:p w14:paraId="6AD33420" w14:textId="77777777" w:rsidR="00F54131" w:rsidRDefault="00F54131" w:rsidP="00864A40">
      <w:pPr>
        <w:jc w:val="center"/>
        <w:rPr>
          <w:u w:val="words"/>
        </w:rPr>
      </w:pPr>
    </w:p>
    <w:p w14:paraId="2906A2ED" w14:textId="77777777" w:rsidR="00F54131" w:rsidRDefault="00F54131" w:rsidP="00864A40">
      <w:pPr>
        <w:jc w:val="center"/>
        <w:rPr>
          <w:u w:val="words"/>
        </w:rPr>
      </w:pPr>
    </w:p>
    <w:p w14:paraId="084BC25F" w14:textId="43838EB6" w:rsidR="00864A40" w:rsidRDefault="00E16253" w:rsidP="00864A40">
      <w:pPr>
        <w:jc w:val="center"/>
      </w:pPr>
      <w:r>
        <w:t>IN THE COURT OF APPEAL OF THE STATE OF CALIFORNIA</w:t>
      </w:r>
    </w:p>
    <w:p w14:paraId="057F8EA4" w14:textId="098FCC46" w:rsidR="00864A40" w:rsidRDefault="00E16253" w:rsidP="00864A40">
      <w:pPr>
        <w:jc w:val="center"/>
      </w:pPr>
      <w:r>
        <w:t>THIRD APPELLATE DISTRICT</w:t>
      </w:r>
    </w:p>
    <w:p w14:paraId="43D1CB5C" w14:textId="62734F87" w:rsidR="00864A40" w:rsidRDefault="00E16253" w:rsidP="00864A40">
      <w:pPr>
        <w:jc w:val="center"/>
      </w:pPr>
      <w:r>
        <w:t>(Sacramento)</w:t>
      </w:r>
    </w:p>
    <w:p w14:paraId="4031C1D0" w14:textId="4FE52C4B" w:rsidR="00864A40" w:rsidRDefault="00E16253" w:rsidP="00864A40">
      <w:pPr>
        <w:jc w:val="center"/>
      </w:pPr>
      <w:r>
        <w:t>----</w:t>
      </w:r>
    </w:p>
    <w:p w14:paraId="00E4AC64" w14:textId="77777777" w:rsidR="00864A40" w:rsidRDefault="00864A40" w:rsidP="00864A40">
      <w:pPr>
        <w:spacing w:line="240" w:lineRule="atLeast"/>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904"/>
        <w:gridCol w:w="3456"/>
      </w:tblGrid>
      <w:tr w:rsidR="008721C1" w14:paraId="055551D1" w14:textId="77777777" w:rsidTr="00864A40">
        <w:tc>
          <w:tcPr>
            <w:tcW w:w="5904" w:type="dxa"/>
            <w:shd w:val="clear" w:color="auto" w:fill="auto"/>
          </w:tcPr>
          <w:p w14:paraId="7E07C0D6" w14:textId="77777777" w:rsidR="00864A40" w:rsidRDefault="00E16253" w:rsidP="00864A40">
            <w:pPr>
              <w:spacing w:line="240" w:lineRule="atLeast"/>
            </w:pPr>
            <w:r>
              <w:t>SAVE THE CAPITOL, SAVE THE TREES,</w:t>
            </w:r>
          </w:p>
          <w:p w14:paraId="193693DE" w14:textId="77777777" w:rsidR="00864A40" w:rsidRDefault="00864A40" w:rsidP="00864A40">
            <w:pPr>
              <w:spacing w:line="240" w:lineRule="atLeast"/>
            </w:pPr>
          </w:p>
          <w:p w14:paraId="31B2C706" w14:textId="77777777" w:rsidR="00864A40" w:rsidRDefault="00E16253" w:rsidP="00864A40">
            <w:pPr>
              <w:spacing w:line="240" w:lineRule="atLeast"/>
            </w:pPr>
            <w:r>
              <w:tab/>
            </w:r>
            <w:r>
              <w:tab/>
              <w:t>Plaintiff and Appellant,</w:t>
            </w:r>
          </w:p>
          <w:p w14:paraId="734042B8" w14:textId="77777777" w:rsidR="00864A40" w:rsidRDefault="00864A40" w:rsidP="00864A40">
            <w:pPr>
              <w:spacing w:line="240" w:lineRule="atLeast"/>
            </w:pPr>
          </w:p>
          <w:p w14:paraId="21FFB1C2" w14:textId="77777777" w:rsidR="00864A40" w:rsidRDefault="00E16253" w:rsidP="00864A40">
            <w:pPr>
              <w:spacing w:line="240" w:lineRule="atLeast"/>
            </w:pPr>
            <w:r>
              <w:tab/>
              <w:t>v.</w:t>
            </w:r>
          </w:p>
          <w:p w14:paraId="32DFCE41" w14:textId="77777777" w:rsidR="00864A40" w:rsidRDefault="00864A40" w:rsidP="00864A40">
            <w:pPr>
              <w:spacing w:line="240" w:lineRule="atLeast"/>
            </w:pPr>
          </w:p>
          <w:p w14:paraId="5EDA555D" w14:textId="77777777" w:rsidR="00864A40" w:rsidRDefault="00E16253" w:rsidP="00864A40">
            <w:pPr>
              <w:spacing w:line="240" w:lineRule="atLeast"/>
            </w:pPr>
            <w:r>
              <w:t>DEPARTMENT OF GENERAL SERVICES,</w:t>
            </w:r>
          </w:p>
          <w:p w14:paraId="06E2DFC3" w14:textId="77777777" w:rsidR="00864A40" w:rsidRDefault="00864A40" w:rsidP="00864A40">
            <w:pPr>
              <w:spacing w:line="240" w:lineRule="atLeast"/>
            </w:pPr>
          </w:p>
          <w:p w14:paraId="522A164D" w14:textId="763ABA6B" w:rsidR="00864A40" w:rsidRDefault="00E16253" w:rsidP="00864A40">
            <w:pPr>
              <w:spacing w:line="240" w:lineRule="atLeast"/>
            </w:pPr>
            <w:r>
              <w:tab/>
            </w:r>
            <w:r>
              <w:tab/>
              <w:t xml:space="preserve">Defendant and </w:t>
            </w:r>
            <w:proofErr w:type="gramStart"/>
            <w:r>
              <w:t>Respondent;</w:t>
            </w:r>
            <w:proofErr w:type="gramEnd"/>
          </w:p>
          <w:p w14:paraId="360A4022" w14:textId="77777777" w:rsidR="00864A40" w:rsidRDefault="00864A40" w:rsidP="00864A40">
            <w:pPr>
              <w:spacing w:line="240" w:lineRule="atLeast"/>
            </w:pPr>
          </w:p>
          <w:p w14:paraId="5B49E288" w14:textId="4E912BCC" w:rsidR="00864A40" w:rsidRDefault="00E16253" w:rsidP="00864A40">
            <w:pPr>
              <w:spacing w:line="240" w:lineRule="atLeast"/>
            </w:pPr>
            <w:r>
              <w:t>JOINT COMMITTEE ON RULES OF THE CALIFORNIA STATE SENATE AND ASSEMBLY,</w:t>
            </w:r>
          </w:p>
          <w:p w14:paraId="5B905519" w14:textId="77777777" w:rsidR="00864A40" w:rsidRDefault="00864A40" w:rsidP="00864A40">
            <w:pPr>
              <w:spacing w:line="240" w:lineRule="atLeast"/>
            </w:pPr>
          </w:p>
          <w:p w14:paraId="461A360D" w14:textId="53DE6295" w:rsidR="00864A40" w:rsidRDefault="00E16253" w:rsidP="00864A40">
            <w:pPr>
              <w:spacing w:line="240" w:lineRule="atLeast"/>
            </w:pPr>
            <w:r>
              <w:tab/>
            </w:r>
            <w:r>
              <w:tab/>
              <w:t>Real Party in Interest and Respondent.</w:t>
            </w:r>
          </w:p>
          <w:p w14:paraId="2310D2F8" w14:textId="78AFD8A6" w:rsidR="00864A40" w:rsidRDefault="00864A40" w:rsidP="00864A40">
            <w:pPr>
              <w:spacing w:line="240" w:lineRule="atLeast"/>
            </w:pPr>
          </w:p>
        </w:tc>
        <w:tc>
          <w:tcPr>
            <w:tcW w:w="3456" w:type="dxa"/>
            <w:shd w:val="clear" w:color="auto" w:fill="auto"/>
          </w:tcPr>
          <w:p w14:paraId="415B7397" w14:textId="731AE996" w:rsidR="00864A40" w:rsidRDefault="00E16253" w:rsidP="00864A40">
            <w:pPr>
              <w:spacing w:line="240" w:lineRule="atLeast"/>
              <w:jc w:val="center"/>
            </w:pPr>
            <w:r>
              <w:t>C100160</w:t>
            </w:r>
          </w:p>
          <w:p w14:paraId="5A17FB26" w14:textId="77777777" w:rsidR="00864A40" w:rsidRDefault="00864A40" w:rsidP="00864A40">
            <w:pPr>
              <w:spacing w:line="240" w:lineRule="atLeast"/>
              <w:jc w:val="center"/>
            </w:pPr>
          </w:p>
          <w:p w14:paraId="63779A3E" w14:textId="77777777" w:rsidR="00864A40" w:rsidRDefault="00E16253" w:rsidP="00864A40">
            <w:pPr>
              <w:spacing w:line="240" w:lineRule="atLeast"/>
              <w:jc w:val="center"/>
            </w:pPr>
            <w:r>
              <w:t>(Super. Ct. No. 34-2021-80003717-CU-WM-GDS)</w:t>
            </w:r>
          </w:p>
          <w:p w14:paraId="0B816CA3" w14:textId="77777777" w:rsidR="00864A40" w:rsidRDefault="00864A40" w:rsidP="00864A40">
            <w:pPr>
              <w:spacing w:line="240" w:lineRule="atLeast"/>
              <w:jc w:val="center"/>
            </w:pPr>
          </w:p>
          <w:p w14:paraId="577A2E76" w14:textId="650ACA87" w:rsidR="00864A40" w:rsidRDefault="00864A40" w:rsidP="00864A40">
            <w:pPr>
              <w:spacing w:line="240" w:lineRule="atLeast"/>
              <w:jc w:val="center"/>
            </w:pPr>
          </w:p>
        </w:tc>
      </w:tr>
    </w:tbl>
    <w:p w14:paraId="69346118" w14:textId="77777777" w:rsidR="00864A40" w:rsidRDefault="00864A40" w:rsidP="00864A40">
      <w:pPr>
        <w:spacing w:line="240" w:lineRule="atLeast"/>
      </w:pPr>
    </w:p>
    <w:p w14:paraId="227052FA" w14:textId="77777777" w:rsidR="00864A40" w:rsidRPr="00864A40" w:rsidRDefault="00864A40" w:rsidP="00864A40">
      <w:pPr>
        <w:spacing w:line="240" w:lineRule="atLeast"/>
      </w:pPr>
    </w:p>
    <w:p w14:paraId="3354CE73" w14:textId="0540E475" w:rsidR="006937C6" w:rsidRDefault="00E16253" w:rsidP="003475AB">
      <w:r>
        <w:tab/>
      </w:r>
      <w:r w:rsidR="003475AB">
        <w:t xml:space="preserve">Plaintiff Save the Capitol, Save the Trees </w:t>
      </w:r>
      <w:r w:rsidR="00267C0C">
        <w:t xml:space="preserve">(Save the Capitol) </w:t>
      </w:r>
      <w:r w:rsidR="003475AB">
        <w:t>appeals from an order discharging a peremptory writ of mandate</w:t>
      </w:r>
      <w:r>
        <w:t xml:space="preserve"> that </w:t>
      </w:r>
      <w:r w:rsidR="003475AB">
        <w:t xml:space="preserve">was issued by the trial court </w:t>
      </w:r>
      <w:r w:rsidR="000D0DCD">
        <w:t xml:space="preserve">following </w:t>
      </w:r>
      <w:r w:rsidR="003475AB">
        <w:t xml:space="preserve">direction </w:t>
      </w:r>
      <w:r w:rsidR="000D0DCD">
        <w:t xml:space="preserve">from </w:t>
      </w:r>
      <w:r w:rsidR="003475AB">
        <w:t>this court</w:t>
      </w:r>
      <w:r w:rsidR="00251AF7">
        <w:t xml:space="preserve"> in </w:t>
      </w:r>
      <w:r w:rsidR="003475AB" w:rsidRPr="001968B8">
        <w:rPr>
          <w:i/>
          <w:iCs/>
        </w:rPr>
        <w:t>Save Our Capitol! v. Department of General Services</w:t>
      </w:r>
      <w:r w:rsidR="003475AB">
        <w:t xml:space="preserve"> (2023) 87 Cal.App.5th 655, 711 (</w:t>
      </w:r>
      <w:r w:rsidR="003475AB" w:rsidRPr="001968B8">
        <w:rPr>
          <w:i/>
          <w:iCs/>
        </w:rPr>
        <w:t>Save Our Capitol</w:t>
      </w:r>
      <w:r w:rsidR="003475AB">
        <w:t>)</w:t>
      </w:r>
      <w:r>
        <w:t xml:space="preserve">.  In </w:t>
      </w:r>
      <w:r w:rsidRPr="006937C6">
        <w:rPr>
          <w:i/>
          <w:iCs/>
        </w:rPr>
        <w:t>Save Our Capitol</w:t>
      </w:r>
      <w:r>
        <w:t xml:space="preserve">, </w:t>
      </w:r>
      <w:r w:rsidR="000D0DCD">
        <w:t xml:space="preserve">this court </w:t>
      </w:r>
      <w:r>
        <w:t>reversed in</w:t>
      </w:r>
      <w:r w:rsidR="006A1096">
        <w:t> </w:t>
      </w:r>
      <w:r>
        <w:t xml:space="preserve">part and affirmed in part the trial court’s denial of </w:t>
      </w:r>
      <w:r w:rsidR="00F62EF1">
        <w:t xml:space="preserve">two </w:t>
      </w:r>
      <w:r>
        <w:t>petitions for writ of mandate</w:t>
      </w:r>
      <w:r w:rsidR="00F62EF1">
        <w:t>,</w:t>
      </w:r>
      <w:r>
        <w:t xml:space="preserve"> </w:t>
      </w:r>
      <w:r w:rsidR="00F62EF1">
        <w:t xml:space="preserve">one sought by </w:t>
      </w:r>
      <w:r w:rsidR="00CE1D2C">
        <w:t xml:space="preserve">Save the Capitol (the appellant in this appeal) and the other </w:t>
      </w:r>
      <w:r w:rsidR="00F62EF1">
        <w:t xml:space="preserve">sought by </w:t>
      </w:r>
      <w:r w:rsidR="003C34F9">
        <w:t xml:space="preserve">an organization named </w:t>
      </w:r>
      <w:r w:rsidR="00F62EF1">
        <w:t xml:space="preserve">Save Our </w:t>
      </w:r>
      <w:proofErr w:type="gramStart"/>
      <w:r w:rsidR="00F62EF1">
        <w:t>Capitol!</w:t>
      </w:r>
      <w:r w:rsidR="00251AF7">
        <w:t>,</w:t>
      </w:r>
      <w:proofErr w:type="gramEnd"/>
      <w:r w:rsidR="00251AF7">
        <w:t xml:space="preserve"> wh</w:t>
      </w:r>
      <w:r w:rsidR="000D0DCD">
        <w:t>ich</w:t>
      </w:r>
      <w:r w:rsidR="00251AF7">
        <w:t xml:space="preserve"> is not a party to this appeal.</w:t>
      </w:r>
      <w:r w:rsidR="00F62EF1">
        <w:t xml:space="preserve">  </w:t>
      </w:r>
      <w:r w:rsidR="000D0DCD">
        <w:t xml:space="preserve">This court </w:t>
      </w:r>
      <w:r w:rsidR="00F62EF1">
        <w:t xml:space="preserve">concluded </w:t>
      </w:r>
      <w:r w:rsidR="000D0DCD">
        <w:t xml:space="preserve">that </w:t>
      </w:r>
      <w:r w:rsidR="00F62EF1">
        <w:t xml:space="preserve">an environmental impact report (EIR) </w:t>
      </w:r>
      <w:r w:rsidR="00FC7EA7">
        <w:t xml:space="preserve">analyzing the impacts of a proposed project that will significantly alter the California State Capitol complex (the project), </w:t>
      </w:r>
      <w:r w:rsidR="00F62EF1">
        <w:lastRenderedPageBreak/>
        <w:t xml:space="preserve">prepared by </w:t>
      </w:r>
      <w:r>
        <w:t xml:space="preserve">defendant </w:t>
      </w:r>
      <w:r w:rsidR="003475AB">
        <w:t>Department of General Services</w:t>
      </w:r>
      <w:r>
        <w:t xml:space="preserve"> and real party in interest Joint Committee on Rules of the California State Senate and Assembly (collectively DGS)</w:t>
      </w:r>
      <w:r w:rsidR="00FC7EA7">
        <w:t>,</w:t>
      </w:r>
      <w:r>
        <w:t xml:space="preserve"> </w:t>
      </w:r>
      <w:r w:rsidR="00FC7EA7">
        <w:t>failed to comply with the California Environmental Quality Act (CEQA) (Pub. Resources Code, § 21000 et seq.).</w:t>
      </w:r>
      <w:r>
        <w:rPr>
          <w:rStyle w:val="FootnoteReference"/>
          <w:sz w:val="22"/>
          <w:szCs w:val="28"/>
        </w:rPr>
        <w:footnoteReference w:id="1"/>
      </w:r>
      <w:r w:rsidR="00FC7EA7">
        <w:t xml:space="preserve">  </w:t>
      </w:r>
      <w:r w:rsidR="00AC37E1">
        <w:t xml:space="preserve">On remand, </w:t>
      </w:r>
      <w:r w:rsidR="00FC7EA7">
        <w:t xml:space="preserve">the trial court issued a peremptory writ of mandate directing DGS </w:t>
      </w:r>
      <w:r>
        <w:t xml:space="preserve">to, among other things, </w:t>
      </w:r>
      <w:r>
        <w:rPr>
          <w:color w:val="000000"/>
        </w:rPr>
        <w:t xml:space="preserve">vacate in part its certification of the EIR and all associated </w:t>
      </w:r>
      <w:r w:rsidR="00175EC3">
        <w:rPr>
          <w:color w:val="000000"/>
        </w:rPr>
        <w:t xml:space="preserve">project </w:t>
      </w:r>
      <w:r>
        <w:rPr>
          <w:color w:val="000000"/>
        </w:rPr>
        <w:t xml:space="preserve">approvals consistent with </w:t>
      </w:r>
      <w:r w:rsidR="000D0DCD">
        <w:rPr>
          <w:color w:val="000000"/>
        </w:rPr>
        <w:t xml:space="preserve">this court’s </w:t>
      </w:r>
      <w:r w:rsidR="00251AF7">
        <w:rPr>
          <w:color w:val="000000"/>
        </w:rPr>
        <w:t xml:space="preserve">opinion in </w:t>
      </w:r>
      <w:r w:rsidR="00251AF7" w:rsidRPr="00251AF7">
        <w:rPr>
          <w:i/>
          <w:iCs/>
          <w:color w:val="000000"/>
        </w:rPr>
        <w:t>Save Our Capitol</w:t>
      </w:r>
      <w:r w:rsidR="00251AF7">
        <w:rPr>
          <w:color w:val="000000"/>
        </w:rPr>
        <w:t xml:space="preserve"> </w:t>
      </w:r>
      <w:r w:rsidR="00175EC3">
        <w:rPr>
          <w:color w:val="000000"/>
        </w:rPr>
        <w:t xml:space="preserve">and </w:t>
      </w:r>
      <w:r>
        <w:rPr>
          <w:color w:val="000000"/>
        </w:rPr>
        <w:t xml:space="preserve">file a final return to the writ “upon certification of a revised EIR.”  </w:t>
      </w:r>
      <w:r w:rsidR="00944F6F">
        <w:rPr>
          <w:color w:val="000000"/>
        </w:rPr>
        <w:t xml:space="preserve">After DGS partially vacated its certification of the EIR and all associated project approvals, it revised, recirculated, and certified the revised </w:t>
      </w:r>
      <w:r w:rsidR="00175EC3">
        <w:rPr>
          <w:color w:val="000000"/>
        </w:rPr>
        <w:t xml:space="preserve">final </w:t>
      </w:r>
      <w:r w:rsidR="00944F6F">
        <w:rPr>
          <w:color w:val="000000"/>
        </w:rPr>
        <w:t xml:space="preserve">EIR.  </w:t>
      </w:r>
      <w:r w:rsidR="00175EC3">
        <w:rPr>
          <w:color w:val="000000"/>
        </w:rPr>
        <w:t>DGS then partially reapproved the project without one of the project components</w:t>
      </w:r>
      <w:r w:rsidR="001217C4">
        <w:rPr>
          <w:color w:val="000000"/>
        </w:rPr>
        <w:t>, the visitor center</w:t>
      </w:r>
      <w:r w:rsidR="00175EC3">
        <w:rPr>
          <w:color w:val="000000"/>
        </w:rPr>
        <w:t xml:space="preserve">.  </w:t>
      </w:r>
      <w:r w:rsidR="00C651BF">
        <w:rPr>
          <w:color w:val="000000"/>
        </w:rPr>
        <w:t>DGS t</w:t>
      </w:r>
      <w:r w:rsidR="00175EC3">
        <w:rPr>
          <w:color w:val="000000"/>
        </w:rPr>
        <w:t>hereafter</w:t>
      </w:r>
      <w:r w:rsidR="00C651BF">
        <w:rPr>
          <w:color w:val="000000"/>
        </w:rPr>
        <w:t xml:space="preserve"> </w:t>
      </w:r>
      <w:r w:rsidR="00175EC3">
        <w:rPr>
          <w:color w:val="000000"/>
        </w:rPr>
        <w:t xml:space="preserve">filed its final </w:t>
      </w:r>
      <w:proofErr w:type="gramStart"/>
      <w:r w:rsidR="00175EC3">
        <w:rPr>
          <w:color w:val="000000"/>
        </w:rPr>
        <w:t>return</w:t>
      </w:r>
      <w:proofErr w:type="gramEnd"/>
      <w:r w:rsidR="00AC37E1">
        <w:rPr>
          <w:color w:val="000000"/>
        </w:rPr>
        <w:t xml:space="preserve"> and the trial court discharged the writ, over plaintiff’s objection, without determining whether</w:t>
      </w:r>
      <w:r w:rsidR="00CE1D2C">
        <w:rPr>
          <w:color w:val="000000"/>
        </w:rPr>
        <w:t xml:space="preserve"> </w:t>
      </w:r>
      <w:r w:rsidR="00AC37E1">
        <w:rPr>
          <w:color w:val="000000"/>
        </w:rPr>
        <w:t xml:space="preserve">the revised final EIR remedied the CEQA violations </w:t>
      </w:r>
      <w:r w:rsidR="004B57EB">
        <w:rPr>
          <w:color w:val="000000"/>
        </w:rPr>
        <w:t xml:space="preserve">this court </w:t>
      </w:r>
      <w:r w:rsidR="006347E0">
        <w:rPr>
          <w:color w:val="000000"/>
        </w:rPr>
        <w:t xml:space="preserve">had </w:t>
      </w:r>
      <w:r w:rsidR="000C599D">
        <w:rPr>
          <w:color w:val="000000"/>
        </w:rPr>
        <w:t xml:space="preserve">identified </w:t>
      </w:r>
      <w:r w:rsidR="00AC37E1">
        <w:rPr>
          <w:color w:val="000000"/>
        </w:rPr>
        <w:t xml:space="preserve">in </w:t>
      </w:r>
      <w:r w:rsidR="00CE1D2C">
        <w:rPr>
          <w:color w:val="000000"/>
        </w:rPr>
        <w:t>its</w:t>
      </w:r>
      <w:r w:rsidR="00AC37E1">
        <w:rPr>
          <w:color w:val="000000"/>
        </w:rPr>
        <w:t xml:space="preserve"> </w:t>
      </w:r>
      <w:r w:rsidR="000C599D">
        <w:rPr>
          <w:color w:val="000000"/>
        </w:rPr>
        <w:t>opinion.</w:t>
      </w:r>
    </w:p>
    <w:p w14:paraId="77ACBE7A" w14:textId="3F13A6B6" w:rsidR="00761CFD" w:rsidRDefault="00E16253" w:rsidP="003475AB">
      <w:r>
        <w:tab/>
      </w:r>
      <w:r w:rsidR="003F55ED">
        <w:t xml:space="preserve">In this </w:t>
      </w:r>
      <w:r>
        <w:t xml:space="preserve">appeal </w:t>
      </w:r>
      <w:r w:rsidR="00C8384B">
        <w:t xml:space="preserve">Save the Capitol </w:t>
      </w:r>
      <w:r>
        <w:t>contends</w:t>
      </w:r>
      <w:r w:rsidR="00251AF7">
        <w:t xml:space="preserve"> discharge of the writ was premature because </w:t>
      </w:r>
      <w:r>
        <w:t xml:space="preserve">(1) </w:t>
      </w:r>
      <w:r w:rsidR="00251AF7">
        <w:t xml:space="preserve">the writ </w:t>
      </w:r>
      <w:r w:rsidR="00A038BC">
        <w:t xml:space="preserve">not only </w:t>
      </w:r>
      <w:r w:rsidR="00251AF7">
        <w:t xml:space="preserve">required </w:t>
      </w:r>
      <w:r w:rsidR="00BA5092">
        <w:t xml:space="preserve">DGS </w:t>
      </w:r>
      <w:r w:rsidR="00C8384B">
        <w:t xml:space="preserve">to </w:t>
      </w:r>
      <w:r w:rsidR="00BA5092">
        <w:t xml:space="preserve">revise and recirculate the defective portions of the </w:t>
      </w:r>
      <w:r w:rsidR="00251AF7">
        <w:t>EIR</w:t>
      </w:r>
      <w:r w:rsidR="00C8384B">
        <w:t xml:space="preserve">, but </w:t>
      </w:r>
      <w:r w:rsidR="00A038BC">
        <w:t xml:space="preserve">also </w:t>
      </w:r>
      <w:r w:rsidR="00BA5092">
        <w:t xml:space="preserve">to </w:t>
      </w:r>
      <w:r>
        <w:t xml:space="preserve">certify a revised EIR </w:t>
      </w:r>
      <w:r w:rsidR="00A038BC">
        <w:t xml:space="preserve">consistent with </w:t>
      </w:r>
      <w:r w:rsidR="00A038BC" w:rsidRPr="006937C6">
        <w:rPr>
          <w:i/>
          <w:iCs/>
        </w:rPr>
        <w:t>Save Our Capitol</w:t>
      </w:r>
      <w:r>
        <w:t xml:space="preserve"> before the writ could be discharged; and (2) </w:t>
      </w:r>
      <w:r w:rsidR="001217C4">
        <w:t xml:space="preserve">DGS has not </w:t>
      </w:r>
      <w:r w:rsidR="00D8195A">
        <w:t xml:space="preserve">yet </w:t>
      </w:r>
      <w:r w:rsidR="001217C4">
        <w:t>reapproved the visitor</w:t>
      </w:r>
      <w:r w:rsidR="00D8195A">
        <w:t xml:space="preserve"> </w:t>
      </w:r>
      <w:r w:rsidR="001217C4">
        <w:t>center component of the project</w:t>
      </w:r>
      <w:r>
        <w:t>.</w:t>
      </w:r>
    </w:p>
    <w:p w14:paraId="1A6D629D" w14:textId="459A1065" w:rsidR="003475AB" w:rsidRDefault="00E16253" w:rsidP="003475AB">
      <w:r>
        <w:tab/>
        <w:t xml:space="preserve">We conclude </w:t>
      </w:r>
      <w:r w:rsidR="003B2AFA">
        <w:t xml:space="preserve">that as to the approved project components, </w:t>
      </w:r>
      <w:r w:rsidR="00A6299F">
        <w:t xml:space="preserve">the trial court </w:t>
      </w:r>
      <w:r w:rsidR="003B2AFA">
        <w:t xml:space="preserve">must </w:t>
      </w:r>
      <w:r w:rsidR="006347E0">
        <w:t xml:space="preserve">determine </w:t>
      </w:r>
      <w:r w:rsidR="00A038BC">
        <w:t xml:space="preserve">that the </w:t>
      </w:r>
      <w:r w:rsidR="006347E0">
        <w:t xml:space="preserve">revised EIR </w:t>
      </w:r>
      <w:r w:rsidR="00A038BC">
        <w:t xml:space="preserve">is </w:t>
      </w:r>
      <w:r w:rsidR="00453974">
        <w:rPr>
          <w:color w:val="000000"/>
        </w:rPr>
        <w:t xml:space="preserve">consistent with </w:t>
      </w:r>
      <w:r w:rsidR="00453974" w:rsidRPr="00251AF7">
        <w:rPr>
          <w:i/>
          <w:iCs/>
          <w:color w:val="000000"/>
        </w:rPr>
        <w:t>Save Our Capitol</w:t>
      </w:r>
      <w:r w:rsidR="00453974">
        <w:t xml:space="preserve"> be</w:t>
      </w:r>
      <w:r w:rsidR="006347E0">
        <w:t xml:space="preserve">fore </w:t>
      </w:r>
      <w:r w:rsidR="00A6299F">
        <w:t>discharging the writ.</w:t>
      </w:r>
      <w:r w:rsidR="004C4AC2">
        <w:t xml:space="preserve">  We will reverse and remand for further proceedings.</w:t>
      </w:r>
    </w:p>
    <w:p w14:paraId="4751DA61" w14:textId="6C35744E" w:rsidR="009A6C0B" w:rsidRDefault="00E16253" w:rsidP="003475AB">
      <w:pPr>
        <w:keepNext/>
        <w:jc w:val="center"/>
      </w:pPr>
      <w:r>
        <w:t>BACKGROUND</w:t>
      </w:r>
    </w:p>
    <w:p w14:paraId="40220FBD" w14:textId="167A8476" w:rsidR="00440062" w:rsidRDefault="00E16253" w:rsidP="00440062">
      <w:pPr>
        <w:rPr>
          <w:color w:val="000000"/>
        </w:rPr>
      </w:pPr>
      <w:r>
        <w:tab/>
        <w:t xml:space="preserve">The nature of the contentions raised in this appeal do not require a detailed </w:t>
      </w:r>
      <w:r w:rsidR="00D47FD0">
        <w:t>description of the project</w:t>
      </w:r>
      <w:r>
        <w:t xml:space="preserve">.  </w:t>
      </w:r>
      <w:r w:rsidR="001968B8">
        <w:t xml:space="preserve">A more complete </w:t>
      </w:r>
      <w:r w:rsidR="00D47FD0">
        <w:t xml:space="preserve">description </w:t>
      </w:r>
      <w:r w:rsidR="001968B8">
        <w:t xml:space="preserve">can be found in </w:t>
      </w:r>
      <w:r w:rsidR="001968B8" w:rsidRPr="001968B8">
        <w:rPr>
          <w:i/>
          <w:iCs/>
        </w:rPr>
        <w:t xml:space="preserve">Save Our </w:t>
      </w:r>
      <w:r w:rsidR="001968B8" w:rsidRPr="001968B8">
        <w:rPr>
          <w:i/>
          <w:iCs/>
        </w:rPr>
        <w:lastRenderedPageBreak/>
        <w:t>Capitol</w:t>
      </w:r>
      <w:r w:rsidR="00BA5DD5" w:rsidRPr="006378E7">
        <w:rPr>
          <w:i/>
          <w:iCs/>
        </w:rPr>
        <w:t>,</w:t>
      </w:r>
      <w:r w:rsidR="00BA5DD5">
        <w:t xml:space="preserve"> </w:t>
      </w:r>
      <w:r w:rsidR="00BA5DD5" w:rsidRPr="00BA5DD5">
        <w:rPr>
          <w:i/>
          <w:iCs/>
        </w:rPr>
        <w:t>supra</w:t>
      </w:r>
      <w:r w:rsidR="00BA5DD5">
        <w:t xml:space="preserve">, </w:t>
      </w:r>
      <w:r w:rsidR="001968B8">
        <w:t>87 Cal.App.5th 655.</w:t>
      </w:r>
      <w:r w:rsidR="00264AD8">
        <w:t xml:space="preserve">  </w:t>
      </w:r>
      <w:r w:rsidR="00FA65FD">
        <w:t xml:space="preserve">For our purposes, it </w:t>
      </w:r>
      <w:r w:rsidR="00F838DD">
        <w:t xml:space="preserve">is sufficient </w:t>
      </w:r>
      <w:r w:rsidR="00FA65FD">
        <w:t xml:space="preserve">to note that </w:t>
      </w:r>
      <w:r w:rsidR="00D21E5A">
        <w:t>at the</w:t>
      </w:r>
      <w:r w:rsidR="001C7052">
        <w:t> </w:t>
      </w:r>
      <w:r w:rsidR="00D21E5A">
        <w:t xml:space="preserve">time of </w:t>
      </w:r>
      <w:r w:rsidR="00F838DD">
        <w:t xml:space="preserve">this court’s </w:t>
      </w:r>
      <w:r w:rsidR="00D21E5A">
        <w:t xml:space="preserve">prior opinion, </w:t>
      </w:r>
      <w:r w:rsidR="000E01B5">
        <w:t xml:space="preserve">the </w:t>
      </w:r>
      <w:r w:rsidR="00FA65FD" w:rsidRPr="00FA65FD">
        <w:rPr>
          <w:color w:val="000000"/>
        </w:rPr>
        <w:t>project consist</w:t>
      </w:r>
      <w:r w:rsidR="00D21E5A">
        <w:rPr>
          <w:color w:val="000000"/>
        </w:rPr>
        <w:t>ed</w:t>
      </w:r>
      <w:r w:rsidR="00FA65FD" w:rsidRPr="00FA65FD">
        <w:rPr>
          <w:color w:val="000000"/>
        </w:rPr>
        <w:t xml:space="preserve"> of three primary components: </w:t>
      </w:r>
      <w:r w:rsidR="00D21E5A">
        <w:rPr>
          <w:color w:val="000000"/>
        </w:rPr>
        <w:t xml:space="preserve"> </w:t>
      </w:r>
      <w:r w:rsidR="00FA65FD" w:rsidRPr="00FA65FD">
        <w:rPr>
          <w:color w:val="000000"/>
        </w:rPr>
        <w:t>(1) demolishing the existing Annex attached to the east side of the Historic Capitol and constructing a new attached Annex; (2) constructing a new underground visitor center on the west side of the Historic Capitol; and (3) constructing a new underground parking garage.</w:t>
      </w:r>
      <w:r w:rsidR="00FA65FD">
        <w:rPr>
          <w:color w:val="000000"/>
        </w:rPr>
        <w:t xml:space="preserve">  (</w:t>
      </w:r>
      <w:r w:rsidR="008031D8">
        <w:rPr>
          <w:i/>
          <w:iCs/>
          <w:color w:val="000000"/>
        </w:rPr>
        <w:t>Id.</w:t>
      </w:r>
      <w:r w:rsidR="000E01B5">
        <w:rPr>
          <w:color w:val="000000"/>
        </w:rPr>
        <w:t xml:space="preserve"> </w:t>
      </w:r>
      <w:r w:rsidR="00FA65FD">
        <w:rPr>
          <w:color w:val="000000"/>
        </w:rPr>
        <w:t>at p. 667.)</w:t>
      </w:r>
    </w:p>
    <w:p w14:paraId="46082C39" w14:textId="12598DFB" w:rsidR="000C4647" w:rsidRDefault="00E16253" w:rsidP="00440062">
      <w:pPr>
        <w:rPr>
          <w:color w:val="000000"/>
        </w:rPr>
      </w:pPr>
      <w:r>
        <w:rPr>
          <w:color w:val="000000"/>
        </w:rPr>
        <w:tab/>
      </w:r>
      <w:r w:rsidR="00FA65FD">
        <w:rPr>
          <w:color w:val="000000"/>
        </w:rPr>
        <w:t xml:space="preserve">In September 2019, </w:t>
      </w:r>
      <w:r w:rsidR="000E01B5">
        <w:t xml:space="preserve">a draft EIR was circulated for public review and comment.  The </w:t>
      </w:r>
      <w:r>
        <w:t>following January, portions of the draft EIR were revised and recirculated due to</w:t>
      </w:r>
      <w:r w:rsidR="004B3CCB">
        <w:t> </w:t>
      </w:r>
      <w:r>
        <w:t xml:space="preserve">design changes to the </w:t>
      </w:r>
      <w:r w:rsidRPr="000C4647">
        <w:t>visitor center component of the project.  (</w:t>
      </w:r>
      <w:r w:rsidRPr="00440062">
        <w:rPr>
          <w:i/>
          <w:iCs/>
        </w:rPr>
        <w:t>Save Our Capitol</w:t>
      </w:r>
      <w:r w:rsidRPr="008031D8">
        <w:rPr>
          <w:i/>
          <w:iCs/>
        </w:rPr>
        <w:t>,</w:t>
      </w:r>
      <w:r>
        <w:t xml:space="preserve"> </w:t>
      </w:r>
      <w:r w:rsidRPr="00440062">
        <w:rPr>
          <w:i/>
          <w:iCs/>
        </w:rPr>
        <w:t>supra</w:t>
      </w:r>
      <w:r>
        <w:t xml:space="preserve">, </w:t>
      </w:r>
      <w:r w:rsidR="00B76201">
        <w:t xml:space="preserve">87 Cal.App.5th </w:t>
      </w:r>
      <w:r>
        <w:t>at p. 668</w:t>
      </w:r>
      <w:r w:rsidRPr="000C4647">
        <w:t xml:space="preserve">.)  </w:t>
      </w:r>
      <w:r>
        <w:t xml:space="preserve">Additional changes to the project, including </w:t>
      </w:r>
      <w:r w:rsidR="00ED5A0F">
        <w:t xml:space="preserve">to </w:t>
      </w:r>
      <w:r>
        <w:t>the Annex’s exterior and the location of the parking garage, did not result in revision or recirculation of the draft EIR.  (</w:t>
      </w:r>
      <w:r w:rsidRPr="00440062">
        <w:rPr>
          <w:i/>
          <w:iCs/>
        </w:rPr>
        <w:t>Id</w:t>
      </w:r>
      <w:r>
        <w:t xml:space="preserve">. at pp. 668-669.)  Instead, DGS </w:t>
      </w:r>
      <w:r w:rsidRPr="000C4647">
        <w:rPr>
          <w:color w:val="000000"/>
        </w:rPr>
        <w:t>evaluated th</w:t>
      </w:r>
      <w:r w:rsidR="00B33209">
        <w:rPr>
          <w:color w:val="000000"/>
        </w:rPr>
        <w:t>o</w:t>
      </w:r>
      <w:r w:rsidRPr="000C4647">
        <w:rPr>
          <w:color w:val="000000"/>
        </w:rPr>
        <w:t>se modifications in the final EIR</w:t>
      </w:r>
      <w:r>
        <w:rPr>
          <w:color w:val="000000"/>
        </w:rPr>
        <w:t xml:space="preserve"> and </w:t>
      </w:r>
      <w:r w:rsidRPr="000C4647">
        <w:rPr>
          <w:color w:val="000000"/>
        </w:rPr>
        <w:t xml:space="preserve">determined </w:t>
      </w:r>
      <w:r w:rsidR="00B33209">
        <w:rPr>
          <w:color w:val="000000"/>
        </w:rPr>
        <w:t xml:space="preserve">that </w:t>
      </w:r>
      <w:r w:rsidRPr="000C4647">
        <w:rPr>
          <w:color w:val="000000"/>
        </w:rPr>
        <w:t>the project modifications would not result in</w:t>
      </w:r>
      <w:r>
        <w:rPr>
          <w:color w:val="000000"/>
        </w:rPr>
        <w:t xml:space="preserve"> </w:t>
      </w:r>
      <w:r w:rsidRPr="000C4647">
        <w:rPr>
          <w:color w:val="000000"/>
        </w:rPr>
        <w:t xml:space="preserve">any new significant impacts or substantially more significant impacts than those addressed in the draft EIR and the recirculated draft EIR, and they would not require any new or different mitigation measures. </w:t>
      </w:r>
      <w:r>
        <w:rPr>
          <w:color w:val="000000"/>
        </w:rPr>
        <w:t xml:space="preserve"> </w:t>
      </w:r>
      <w:r w:rsidRPr="000C4647">
        <w:rPr>
          <w:color w:val="000000"/>
        </w:rPr>
        <w:t xml:space="preserve">DGS also concluded that none of the modifications constituted significant new information requiring recirculation of the EIR. </w:t>
      </w:r>
      <w:r>
        <w:rPr>
          <w:color w:val="000000"/>
        </w:rPr>
        <w:t xml:space="preserve"> </w:t>
      </w:r>
      <w:r w:rsidRPr="000C4647">
        <w:rPr>
          <w:color w:val="000000"/>
        </w:rPr>
        <w:t xml:space="preserve">It certified the EIR on July 30, 2021, and approved the project as modified. </w:t>
      </w:r>
      <w:r>
        <w:rPr>
          <w:color w:val="000000"/>
        </w:rPr>
        <w:t xml:space="preserve"> </w:t>
      </w:r>
      <w:r w:rsidRPr="000C4647">
        <w:rPr>
          <w:color w:val="000000"/>
        </w:rPr>
        <w:t>At the same time, it issued findings of fact and a statement of overriding considerations.</w:t>
      </w:r>
      <w:r>
        <w:rPr>
          <w:color w:val="000000"/>
        </w:rPr>
        <w:t xml:space="preserve">  (</w:t>
      </w:r>
      <w:r w:rsidRPr="00440062">
        <w:rPr>
          <w:i/>
          <w:iCs/>
          <w:color w:val="000000"/>
        </w:rPr>
        <w:t>Id</w:t>
      </w:r>
      <w:r>
        <w:rPr>
          <w:color w:val="000000"/>
        </w:rPr>
        <w:t>. at p. 669.)</w:t>
      </w:r>
    </w:p>
    <w:p w14:paraId="71C0C7E7" w14:textId="4CC4FF6C" w:rsidR="00A664A2" w:rsidRDefault="00E16253" w:rsidP="00A664A2">
      <w:pPr>
        <w:rPr>
          <w:color w:val="000000"/>
        </w:rPr>
      </w:pPr>
      <w:r>
        <w:rPr>
          <w:color w:val="000000"/>
        </w:rPr>
        <w:tab/>
      </w:r>
      <w:r w:rsidR="00D577FE">
        <w:rPr>
          <w:color w:val="000000"/>
        </w:rPr>
        <w:t xml:space="preserve">The </w:t>
      </w:r>
      <w:r w:rsidR="00E11157">
        <w:rPr>
          <w:color w:val="000000"/>
        </w:rPr>
        <w:t xml:space="preserve">organizations </w:t>
      </w:r>
      <w:r>
        <w:rPr>
          <w:color w:val="000000"/>
        </w:rPr>
        <w:t xml:space="preserve">Save Our Capitol! and Save the Capitol filed petitions for writ of mandate asserting various CEQA violations.  The trial court denied the petitions </w:t>
      </w:r>
      <w:r w:rsidR="00A861A3">
        <w:rPr>
          <w:color w:val="000000"/>
        </w:rPr>
        <w:t xml:space="preserve">and entered judgment </w:t>
      </w:r>
      <w:r>
        <w:rPr>
          <w:color w:val="000000"/>
        </w:rPr>
        <w:t>in July 2022.</w:t>
      </w:r>
    </w:p>
    <w:p w14:paraId="4077FFF6" w14:textId="3A20BAC0" w:rsidR="00BE7BA2" w:rsidRDefault="00E16253" w:rsidP="00A664A2">
      <w:pPr>
        <w:rPr>
          <w:color w:val="000000"/>
        </w:rPr>
      </w:pPr>
      <w:r>
        <w:rPr>
          <w:color w:val="000000"/>
        </w:rPr>
        <w:tab/>
      </w:r>
      <w:r w:rsidR="00E144B1">
        <w:rPr>
          <w:color w:val="000000"/>
        </w:rPr>
        <w:t xml:space="preserve">In December 2022, </w:t>
      </w:r>
      <w:r w:rsidR="00D577FE">
        <w:rPr>
          <w:color w:val="000000"/>
        </w:rPr>
        <w:t xml:space="preserve">this court </w:t>
      </w:r>
      <w:r w:rsidR="00E144B1">
        <w:rPr>
          <w:color w:val="000000"/>
        </w:rPr>
        <w:t xml:space="preserve">issued an opinion in consolidated appeals (modified on rehearing on January 18, 2023), </w:t>
      </w:r>
      <w:r w:rsidR="00B76201">
        <w:rPr>
          <w:color w:val="000000"/>
        </w:rPr>
        <w:t>partially revers</w:t>
      </w:r>
      <w:r w:rsidR="00E144B1">
        <w:rPr>
          <w:color w:val="000000"/>
        </w:rPr>
        <w:t>ing</w:t>
      </w:r>
      <w:r w:rsidR="00B76201">
        <w:rPr>
          <w:color w:val="000000"/>
        </w:rPr>
        <w:t xml:space="preserve"> the judgment</w:t>
      </w:r>
      <w:r w:rsidR="0097180F">
        <w:rPr>
          <w:color w:val="000000"/>
        </w:rPr>
        <w:t xml:space="preserve"> </w:t>
      </w:r>
      <w:r w:rsidR="00E144B1">
        <w:rPr>
          <w:color w:val="000000"/>
        </w:rPr>
        <w:t xml:space="preserve">and </w:t>
      </w:r>
      <w:r w:rsidR="0097180F">
        <w:rPr>
          <w:color w:val="000000"/>
        </w:rPr>
        <w:t>concluding</w:t>
      </w:r>
      <w:proofErr w:type="gramStart"/>
      <w:r w:rsidR="00D577FE">
        <w:rPr>
          <w:color w:val="000000"/>
        </w:rPr>
        <w:t>:  “</w:t>
      </w:r>
      <w:proofErr w:type="gramEnd"/>
      <w:r w:rsidR="00D577FE">
        <w:rPr>
          <w:color w:val="000000"/>
        </w:rPr>
        <w:t>T</w:t>
      </w:r>
      <w:r w:rsidR="0097180F">
        <w:rPr>
          <w:color w:val="000000"/>
        </w:rPr>
        <w:t>he EIR’s project description, analyses of historical resources and aesthetics, and</w:t>
      </w:r>
      <w:r w:rsidR="001C7052">
        <w:rPr>
          <w:color w:val="000000"/>
        </w:rPr>
        <w:t> </w:t>
      </w:r>
      <w:r w:rsidR="0097180F">
        <w:rPr>
          <w:color w:val="000000"/>
        </w:rPr>
        <w:t>analysis of alternatives do not comply with CEQA</w:t>
      </w:r>
      <w:r w:rsidR="00B76201">
        <w:rPr>
          <w:color w:val="000000"/>
        </w:rPr>
        <w:t>.</w:t>
      </w:r>
      <w:r w:rsidR="0097180F">
        <w:rPr>
          <w:color w:val="000000"/>
        </w:rPr>
        <w:t>”</w:t>
      </w:r>
      <w:r w:rsidR="00B76201">
        <w:rPr>
          <w:color w:val="000000"/>
        </w:rPr>
        <w:t xml:space="preserve">  (</w:t>
      </w:r>
      <w:r w:rsidR="00B76201" w:rsidRPr="0097180F">
        <w:rPr>
          <w:i/>
          <w:iCs/>
          <w:color w:val="000000"/>
        </w:rPr>
        <w:t>Save Our Capitol</w:t>
      </w:r>
      <w:r w:rsidR="00B76201" w:rsidRPr="001C7052">
        <w:rPr>
          <w:i/>
          <w:iCs/>
          <w:color w:val="000000"/>
        </w:rPr>
        <w:t>,</w:t>
      </w:r>
      <w:r w:rsidR="00B76201">
        <w:rPr>
          <w:color w:val="000000"/>
        </w:rPr>
        <w:t xml:space="preserve"> </w:t>
      </w:r>
      <w:r w:rsidR="00B76201" w:rsidRPr="0097180F">
        <w:rPr>
          <w:i/>
          <w:iCs/>
          <w:color w:val="000000"/>
        </w:rPr>
        <w:t>supra</w:t>
      </w:r>
      <w:r w:rsidR="00B76201">
        <w:rPr>
          <w:color w:val="000000"/>
        </w:rPr>
        <w:t xml:space="preserve">, </w:t>
      </w:r>
      <w:r w:rsidR="001C7052">
        <w:t>87 Cal.App.5th</w:t>
      </w:r>
      <w:r w:rsidR="001C7052">
        <w:rPr>
          <w:color w:val="000000"/>
        </w:rPr>
        <w:t xml:space="preserve"> </w:t>
      </w:r>
      <w:r w:rsidR="00B76201">
        <w:rPr>
          <w:color w:val="000000"/>
        </w:rPr>
        <w:t>at</w:t>
      </w:r>
      <w:r w:rsidR="001C7052">
        <w:rPr>
          <w:color w:val="000000"/>
        </w:rPr>
        <w:t> </w:t>
      </w:r>
      <w:r w:rsidR="00B76201">
        <w:rPr>
          <w:color w:val="000000"/>
        </w:rPr>
        <w:t>p.</w:t>
      </w:r>
      <w:r w:rsidR="001C7052">
        <w:rPr>
          <w:color w:val="000000"/>
        </w:rPr>
        <w:t> </w:t>
      </w:r>
      <w:r w:rsidR="0097180F">
        <w:rPr>
          <w:color w:val="000000"/>
        </w:rPr>
        <w:t xml:space="preserve">666.)  </w:t>
      </w:r>
      <w:r w:rsidR="00913C62">
        <w:rPr>
          <w:color w:val="000000"/>
        </w:rPr>
        <w:t xml:space="preserve">With respect to the project description, </w:t>
      </w:r>
      <w:r w:rsidR="00621524">
        <w:rPr>
          <w:color w:val="000000"/>
        </w:rPr>
        <w:t xml:space="preserve">this court </w:t>
      </w:r>
      <w:r w:rsidR="00913C62">
        <w:rPr>
          <w:color w:val="000000"/>
        </w:rPr>
        <w:t xml:space="preserve">concluded </w:t>
      </w:r>
      <w:r w:rsidR="00D5134F">
        <w:rPr>
          <w:color w:val="000000"/>
        </w:rPr>
        <w:lastRenderedPageBreak/>
        <w:t>the description of the Annex’s exterior design changed significantly in the final EIR.  (</w:t>
      </w:r>
      <w:r w:rsidR="00D5134F" w:rsidRPr="00EA315A">
        <w:rPr>
          <w:i/>
          <w:iCs/>
          <w:color w:val="000000"/>
        </w:rPr>
        <w:t>Id</w:t>
      </w:r>
      <w:r w:rsidR="00D5134F">
        <w:rPr>
          <w:color w:val="000000"/>
        </w:rPr>
        <w:t>.</w:t>
      </w:r>
      <w:r w:rsidR="006378E7">
        <w:rPr>
          <w:color w:val="000000"/>
        </w:rPr>
        <w:t> </w:t>
      </w:r>
      <w:r w:rsidR="00D5134F">
        <w:rPr>
          <w:color w:val="000000"/>
        </w:rPr>
        <w:t>at p. 676</w:t>
      </w:r>
      <w:r w:rsidR="00EA315A">
        <w:rPr>
          <w:color w:val="000000"/>
        </w:rPr>
        <w:t xml:space="preserve">.)  Whereas the </w:t>
      </w:r>
      <w:r w:rsidR="00D5134F">
        <w:rPr>
          <w:color w:val="000000"/>
        </w:rPr>
        <w:t xml:space="preserve">draft and recirculated draft EIRs </w:t>
      </w:r>
      <w:r w:rsidR="00EA315A">
        <w:rPr>
          <w:color w:val="000000"/>
        </w:rPr>
        <w:t xml:space="preserve">did not describe the new Annex’s exterior design and broadly stated that the aesthetics and materials would be </w:t>
      </w:r>
      <w:r w:rsidR="00C81534">
        <w:rPr>
          <w:color w:val="000000"/>
        </w:rPr>
        <w:t>“</w:t>
      </w:r>
      <w:r w:rsidR="00EA315A">
        <w:rPr>
          <w:color w:val="000000"/>
        </w:rPr>
        <w:t>consistent</w:t>
      </w:r>
      <w:r w:rsidR="00C81534">
        <w:rPr>
          <w:color w:val="000000"/>
        </w:rPr>
        <w:t xml:space="preserve">” </w:t>
      </w:r>
      <w:r w:rsidR="00EA315A">
        <w:rPr>
          <w:color w:val="000000"/>
        </w:rPr>
        <w:t xml:space="preserve">with the Historic Capitol and would create a </w:t>
      </w:r>
      <w:r w:rsidR="00C81534">
        <w:rPr>
          <w:color w:val="000000"/>
        </w:rPr>
        <w:t>“</w:t>
      </w:r>
      <w:r w:rsidR="00EA315A">
        <w:rPr>
          <w:color w:val="000000"/>
        </w:rPr>
        <w:t xml:space="preserve">one-building feel,” the final EIR </w:t>
      </w:r>
      <w:r w:rsidR="00C81534">
        <w:rPr>
          <w:color w:val="000000"/>
        </w:rPr>
        <w:t xml:space="preserve">indicated the </w:t>
      </w:r>
      <w:r w:rsidR="00EA315A">
        <w:rPr>
          <w:color w:val="000000"/>
        </w:rPr>
        <w:t>new Annex w</w:t>
      </w:r>
      <w:r w:rsidR="00C81534">
        <w:rPr>
          <w:color w:val="000000"/>
        </w:rPr>
        <w:t xml:space="preserve">ould </w:t>
      </w:r>
      <w:r w:rsidR="00EA315A">
        <w:rPr>
          <w:color w:val="000000"/>
        </w:rPr>
        <w:t xml:space="preserve">have a glass exterior “compatible” rather than consistent with the Historic Capitol, and the one-building feel would instead be created within the new Annex’s </w:t>
      </w:r>
      <w:r w:rsidR="00EA315A" w:rsidRPr="00C81534">
        <w:rPr>
          <w:color w:val="000000"/>
        </w:rPr>
        <w:t>interior</w:t>
      </w:r>
      <w:r w:rsidR="00EA315A">
        <w:rPr>
          <w:color w:val="000000"/>
        </w:rPr>
        <w:t xml:space="preserve"> spaces.  (</w:t>
      </w:r>
      <w:r w:rsidR="00EA315A" w:rsidRPr="00EA315A">
        <w:rPr>
          <w:i/>
          <w:iCs/>
          <w:color w:val="000000"/>
        </w:rPr>
        <w:t>Ibid</w:t>
      </w:r>
      <w:r w:rsidR="00EA315A">
        <w:rPr>
          <w:color w:val="000000"/>
        </w:rPr>
        <w:t xml:space="preserve">.)  Because this change occurred in the final EIR, the public was not provided a meaningful opportunity to </w:t>
      </w:r>
      <w:r w:rsidR="008776E8">
        <w:rPr>
          <w:color w:val="000000"/>
        </w:rPr>
        <w:t>comment on the glass exterior’s impact on the Capitol.  (</w:t>
      </w:r>
      <w:r w:rsidR="008776E8" w:rsidRPr="008776E8">
        <w:rPr>
          <w:i/>
          <w:iCs/>
          <w:color w:val="000000"/>
        </w:rPr>
        <w:t>Ibid</w:t>
      </w:r>
      <w:r w:rsidR="008776E8">
        <w:rPr>
          <w:color w:val="000000"/>
        </w:rPr>
        <w:t>.)</w:t>
      </w:r>
    </w:p>
    <w:p w14:paraId="54849749" w14:textId="380E31B1" w:rsidR="00801BD7" w:rsidRPr="00801BD7" w:rsidRDefault="00E16253" w:rsidP="00BE7BA2">
      <w:pPr>
        <w:rPr>
          <w:color w:val="000000"/>
        </w:rPr>
      </w:pPr>
      <w:r>
        <w:rPr>
          <w:color w:val="000000"/>
        </w:rPr>
        <w:tab/>
      </w:r>
      <w:r w:rsidR="00B06CCC">
        <w:rPr>
          <w:color w:val="000000"/>
        </w:rPr>
        <w:t xml:space="preserve">This court </w:t>
      </w:r>
      <w:r>
        <w:rPr>
          <w:color w:val="000000"/>
        </w:rPr>
        <w:t xml:space="preserve">also concluded the </w:t>
      </w:r>
      <w:r w:rsidR="00423A11">
        <w:rPr>
          <w:color w:val="000000"/>
        </w:rPr>
        <w:t>EIR’s analysis of historical resources</w:t>
      </w:r>
      <w:r>
        <w:rPr>
          <w:color w:val="000000"/>
        </w:rPr>
        <w:t xml:space="preserve"> </w:t>
      </w:r>
      <w:r w:rsidR="00423A11">
        <w:rPr>
          <w:color w:val="000000"/>
        </w:rPr>
        <w:t>was deficient to the extent it d</w:t>
      </w:r>
      <w:r w:rsidR="00B06CCC">
        <w:rPr>
          <w:color w:val="000000"/>
        </w:rPr>
        <w:t xml:space="preserve">id </w:t>
      </w:r>
      <w:r w:rsidR="00423A11">
        <w:rPr>
          <w:color w:val="000000"/>
        </w:rPr>
        <w:t xml:space="preserve">not </w:t>
      </w:r>
      <w:r w:rsidR="00C015A7">
        <w:rPr>
          <w:color w:val="000000"/>
        </w:rPr>
        <w:t>permit</w:t>
      </w:r>
      <w:r w:rsidR="00423A11">
        <w:rPr>
          <w:color w:val="000000"/>
        </w:rPr>
        <w:t xml:space="preserve"> public comment on the new Annex’s exterior design disclosed in the final EIR</w:t>
      </w:r>
      <w:r w:rsidR="00FF08EB">
        <w:rPr>
          <w:color w:val="000000"/>
        </w:rPr>
        <w:t>.</w:t>
      </w:r>
      <w:r w:rsidR="00423A11">
        <w:rPr>
          <w:color w:val="000000"/>
        </w:rPr>
        <w:t xml:space="preserve"> </w:t>
      </w:r>
      <w:r w:rsidR="00FF08EB">
        <w:rPr>
          <w:color w:val="000000"/>
        </w:rPr>
        <w:t xml:space="preserve"> </w:t>
      </w:r>
      <w:r w:rsidR="00423A11">
        <w:rPr>
          <w:color w:val="000000"/>
        </w:rPr>
        <w:t>(</w:t>
      </w:r>
      <w:r w:rsidRPr="00BE7BA2">
        <w:rPr>
          <w:i/>
          <w:iCs/>
          <w:color w:val="000000"/>
        </w:rPr>
        <w:t>Save Our Capitol</w:t>
      </w:r>
      <w:r w:rsidRPr="008031D8">
        <w:rPr>
          <w:i/>
          <w:iCs/>
          <w:color w:val="000000"/>
        </w:rPr>
        <w:t>,</w:t>
      </w:r>
      <w:r>
        <w:rPr>
          <w:color w:val="000000"/>
        </w:rPr>
        <w:t xml:space="preserve"> </w:t>
      </w:r>
      <w:r w:rsidRPr="00BE7BA2">
        <w:rPr>
          <w:i/>
          <w:iCs/>
          <w:color w:val="000000"/>
        </w:rPr>
        <w:t>supra</w:t>
      </w:r>
      <w:r>
        <w:rPr>
          <w:color w:val="000000"/>
        </w:rPr>
        <w:t>,</w:t>
      </w:r>
      <w:r w:rsidR="001C7052">
        <w:rPr>
          <w:color w:val="000000"/>
        </w:rPr>
        <w:t xml:space="preserve"> </w:t>
      </w:r>
      <w:r w:rsidR="001C7052">
        <w:t>87 Cal.App.5th</w:t>
      </w:r>
      <w:r>
        <w:rPr>
          <w:color w:val="000000"/>
        </w:rPr>
        <w:t xml:space="preserve"> </w:t>
      </w:r>
      <w:r w:rsidR="00423A11">
        <w:rPr>
          <w:color w:val="000000"/>
        </w:rPr>
        <w:t xml:space="preserve">at p. 683.)  </w:t>
      </w:r>
      <w:r w:rsidRPr="00801BD7">
        <w:rPr>
          <w:color w:val="000000"/>
        </w:rPr>
        <w:t xml:space="preserve">With respect to the EIR’s analysis of aesthetics, </w:t>
      </w:r>
      <w:r w:rsidR="00B06CCC">
        <w:rPr>
          <w:color w:val="000000"/>
        </w:rPr>
        <w:t xml:space="preserve">this court </w:t>
      </w:r>
      <w:r w:rsidR="00266634">
        <w:rPr>
          <w:color w:val="000000"/>
        </w:rPr>
        <w:t xml:space="preserve">concluded </w:t>
      </w:r>
      <w:r w:rsidR="00B06CCC">
        <w:rPr>
          <w:color w:val="000000"/>
        </w:rPr>
        <w:t xml:space="preserve">that </w:t>
      </w:r>
      <w:r w:rsidR="00266634">
        <w:rPr>
          <w:color w:val="000000"/>
        </w:rPr>
        <w:t xml:space="preserve">CEQA required the EIR to include an explanation of how light emitted from the </w:t>
      </w:r>
      <w:r w:rsidR="00B06CCC">
        <w:rPr>
          <w:color w:val="000000"/>
        </w:rPr>
        <w:t xml:space="preserve">then-existing </w:t>
      </w:r>
      <w:r w:rsidR="00266634">
        <w:rPr>
          <w:color w:val="000000"/>
        </w:rPr>
        <w:t>Annex</w:t>
      </w:r>
      <w:r w:rsidR="00B06CCC">
        <w:rPr>
          <w:color w:val="000000"/>
        </w:rPr>
        <w:t xml:space="preserve"> </w:t>
      </w:r>
      <w:r w:rsidR="00266634">
        <w:rPr>
          <w:color w:val="000000"/>
        </w:rPr>
        <w:t xml:space="preserve">would compare to </w:t>
      </w:r>
      <w:r w:rsidR="000D641E">
        <w:rPr>
          <w:color w:val="000000"/>
        </w:rPr>
        <w:t xml:space="preserve">light emitted from the new Annex’s </w:t>
      </w:r>
      <w:r w:rsidR="00266634">
        <w:rPr>
          <w:color w:val="000000"/>
        </w:rPr>
        <w:t>glass exterior</w:t>
      </w:r>
      <w:r w:rsidR="000D641E">
        <w:rPr>
          <w:color w:val="000000"/>
        </w:rPr>
        <w:t>.  (</w:t>
      </w:r>
      <w:r w:rsidR="000D641E" w:rsidRPr="000D641E">
        <w:rPr>
          <w:i/>
          <w:iCs/>
          <w:color w:val="000000"/>
        </w:rPr>
        <w:t>Save Our Capitol</w:t>
      </w:r>
      <w:r w:rsidR="000D641E" w:rsidRPr="001C7052">
        <w:rPr>
          <w:i/>
          <w:iCs/>
          <w:color w:val="000000"/>
        </w:rPr>
        <w:t>,</w:t>
      </w:r>
      <w:r w:rsidR="000D641E">
        <w:rPr>
          <w:color w:val="000000"/>
        </w:rPr>
        <w:t xml:space="preserve"> at p.</w:t>
      </w:r>
      <w:r w:rsidR="001C7052">
        <w:rPr>
          <w:color w:val="000000"/>
        </w:rPr>
        <w:t> </w:t>
      </w:r>
      <w:r w:rsidR="000D641E">
        <w:rPr>
          <w:color w:val="000000"/>
        </w:rPr>
        <w:t xml:space="preserve">696.)  </w:t>
      </w:r>
      <w:r w:rsidR="00266634">
        <w:rPr>
          <w:color w:val="000000"/>
        </w:rPr>
        <w:t>A</w:t>
      </w:r>
      <w:r w:rsidRPr="00801BD7">
        <w:rPr>
          <w:color w:val="000000"/>
        </w:rPr>
        <w:t xml:space="preserve"> majority of the panel </w:t>
      </w:r>
      <w:r w:rsidR="00266634">
        <w:rPr>
          <w:color w:val="000000"/>
        </w:rPr>
        <w:t xml:space="preserve">also </w:t>
      </w:r>
      <w:r w:rsidRPr="00801BD7">
        <w:rPr>
          <w:color w:val="000000"/>
        </w:rPr>
        <w:t xml:space="preserve">concluded </w:t>
      </w:r>
      <w:r w:rsidR="00B06CCC">
        <w:rPr>
          <w:color w:val="000000"/>
        </w:rPr>
        <w:t xml:space="preserve">that </w:t>
      </w:r>
      <w:r w:rsidRPr="00801BD7">
        <w:rPr>
          <w:color w:val="000000"/>
        </w:rPr>
        <w:t>CEQA required the EIR to include a representation or rendering that would allow the public and decision-makers to understand and consider the view of the Historic Capitol</w:t>
      </w:r>
      <w:r>
        <w:rPr>
          <w:color w:val="000000"/>
        </w:rPr>
        <w:t>’</w:t>
      </w:r>
      <w:r w:rsidRPr="00801BD7">
        <w:rPr>
          <w:color w:val="000000"/>
        </w:rPr>
        <w:t xml:space="preserve">s west side from Capitol Mall once the visitor center </w:t>
      </w:r>
      <w:r w:rsidR="00B06CCC">
        <w:rPr>
          <w:color w:val="000000"/>
        </w:rPr>
        <w:t xml:space="preserve">was </w:t>
      </w:r>
      <w:r w:rsidRPr="00801BD7">
        <w:rPr>
          <w:color w:val="000000"/>
        </w:rPr>
        <w:t>completed.</w:t>
      </w:r>
      <w:r>
        <w:rPr>
          <w:color w:val="000000"/>
        </w:rPr>
        <w:t xml:space="preserve">  (</w:t>
      </w:r>
      <w:r w:rsidR="000D641E" w:rsidRPr="000D641E">
        <w:rPr>
          <w:i/>
          <w:iCs/>
          <w:color w:val="000000"/>
        </w:rPr>
        <w:t>Id</w:t>
      </w:r>
      <w:r w:rsidR="000D641E">
        <w:rPr>
          <w:color w:val="000000"/>
        </w:rPr>
        <w:t xml:space="preserve">. </w:t>
      </w:r>
      <w:r>
        <w:rPr>
          <w:color w:val="000000"/>
        </w:rPr>
        <w:t>at p. 695.)</w:t>
      </w:r>
    </w:p>
    <w:p w14:paraId="4DAFB0DA" w14:textId="0F0E2ECE" w:rsidR="00FF0B78" w:rsidRDefault="00E16253" w:rsidP="001A3269">
      <w:pPr>
        <w:shd w:val="clear" w:color="auto" w:fill="FFFFFF"/>
        <w:rPr>
          <w:color w:val="000000"/>
        </w:rPr>
      </w:pPr>
      <w:r w:rsidRPr="00FF0B78">
        <w:rPr>
          <w:color w:val="000000"/>
        </w:rPr>
        <w:tab/>
        <w:t xml:space="preserve">Finally, with respect to the EIR’s analysis of alternatives, </w:t>
      </w:r>
      <w:r w:rsidR="00526C3A">
        <w:rPr>
          <w:color w:val="000000"/>
        </w:rPr>
        <w:t xml:space="preserve">this court </w:t>
      </w:r>
      <w:r w:rsidRPr="00FF0B78">
        <w:rPr>
          <w:color w:val="000000"/>
        </w:rPr>
        <w:t xml:space="preserve">concluded </w:t>
      </w:r>
      <w:r>
        <w:rPr>
          <w:color w:val="000000"/>
        </w:rPr>
        <w:t>“</w:t>
      </w:r>
      <w:r w:rsidRPr="00FF0B78">
        <w:rPr>
          <w:color w:val="000000"/>
        </w:rPr>
        <w:t>the</w:t>
      </w:r>
      <w:r w:rsidR="001C7052">
        <w:rPr>
          <w:color w:val="000000"/>
        </w:rPr>
        <w:t> </w:t>
      </w:r>
      <w:r w:rsidRPr="00FF0B78">
        <w:rPr>
          <w:color w:val="000000"/>
        </w:rPr>
        <w:t>alternatives chosen did not contribute to a reasonable range of alternatives that fostered informed public participation and decision-making</w:t>
      </w:r>
      <w:r w:rsidR="001A3269">
        <w:rPr>
          <w:color w:val="000000"/>
        </w:rPr>
        <w:t>.</w:t>
      </w:r>
      <w:r>
        <w:rPr>
          <w:color w:val="000000"/>
        </w:rPr>
        <w:t xml:space="preserve">” </w:t>
      </w:r>
      <w:r w:rsidR="001A3269">
        <w:rPr>
          <w:color w:val="000000"/>
        </w:rPr>
        <w:t xml:space="preserve"> </w:t>
      </w:r>
      <w:r>
        <w:rPr>
          <w:color w:val="000000"/>
        </w:rPr>
        <w:t>(</w:t>
      </w:r>
      <w:r w:rsidRPr="00FF0B78">
        <w:rPr>
          <w:i/>
          <w:iCs/>
          <w:color w:val="000000"/>
        </w:rPr>
        <w:t>Save Our Capitol</w:t>
      </w:r>
      <w:r w:rsidRPr="001C7052">
        <w:rPr>
          <w:i/>
          <w:iCs/>
          <w:color w:val="000000"/>
        </w:rPr>
        <w:t>,</w:t>
      </w:r>
      <w:r>
        <w:rPr>
          <w:color w:val="000000"/>
        </w:rPr>
        <w:t xml:space="preserve"> </w:t>
      </w:r>
      <w:r w:rsidRPr="00FF0B78">
        <w:rPr>
          <w:i/>
          <w:iCs/>
          <w:color w:val="000000"/>
        </w:rPr>
        <w:t>supra</w:t>
      </w:r>
      <w:r>
        <w:rPr>
          <w:color w:val="000000"/>
        </w:rPr>
        <w:t xml:space="preserve">, </w:t>
      </w:r>
      <w:r w:rsidR="001C7052">
        <w:t>87 Cal.App.5th</w:t>
      </w:r>
      <w:r w:rsidR="001C7052">
        <w:rPr>
          <w:color w:val="000000"/>
        </w:rPr>
        <w:t xml:space="preserve"> </w:t>
      </w:r>
      <w:r>
        <w:rPr>
          <w:color w:val="000000"/>
        </w:rPr>
        <w:t xml:space="preserve">at p. 703.)  </w:t>
      </w:r>
      <w:r w:rsidR="00526C3A">
        <w:rPr>
          <w:color w:val="000000"/>
        </w:rPr>
        <w:t>T</w:t>
      </w:r>
      <w:r>
        <w:rPr>
          <w:color w:val="000000"/>
        </w:rPr>
        <w:t xml:space="preserve">he </w:t>
      </w:r>
      <w:r w:rsidRPr="00FF0B78">
        <w:rPr>
          <w:color w:val="000000"/>
        </w:rPr>
        <w:t>EIR considered three alternatives that would have moved the visitor center away from the Capitol</w:t>
      </w:r>
      <w:r>
        <w:rPr>
          <w:color w:val="000000"/>
        </w:rPr>
        <w:t>’</w:t>
      </w:r>
      <w:r w:rsidRPr="00FF0B78">
        <w:rPr>
          <w:color w:val="000000"/>
        </w:rPr>
        <w:t xml:space="preserve">s west </w:t>
      </w:r>
      <w:proofErr w:type="gramStart"/>
      <w:r w:rsidRPr="00FF0B78">
        <w:rPr>
          <w:color w:val="000000"/>
        </w:rPr>
        <w:t>side</w:t>
      </w:r>
      <w:r>
        <w:rPr>
          <w:color w:val="000000"/>
        </w:rPr>
        <w:t xml:space="preserve">, </w:t>
      </w:r>
      <w:r w:rsidR="00526C3A">
        <w:rPr>
          <w:color w:val="000000"/>
        </w:rPr>
        <w:t>and</w:t>
      </w:r>
      <w:proofErr w:type="gramEnd"/>
      <w:r w:rsidR="00526C3A">
        <w:rPr>
          <w:color w:val="000000"/>
        </w:rPr>
        <w:t xml:space="preserve"> f</w:t>
      </w:r>
      <w:r>
        <w:rPr>
          <w:color w:val="000000"/>
        </w:rPr>
        <w:t xml:space="preserve">ound that none of the alternatives </w:t>
      </w:r>
      <w:r w:rsidRPr="00FF0B78">
        <w:rPr>
          <w:color w:val="000000"/>
        </w:rPr>
        <w:t>met project objectives and avoided significant</w:t>
      </w:r>
      <w:r>
        <w:rPr>
          <w:color w:val="000000"/>
        </w:rPr>
        <w:t xml:space="preserve"> </w:t>
      </w:r>
      <w:r w:rsidRPr="00FF0B78">
        <w:rPr>
          <w:color w:val="000000"/>
        </w:rPr>
        <w:t xml:space="preserve">effects. </w:t>
      </w:r>
      <w:r>
        <w:rPr>
          <w:color w:val="000000"/>
        </w:rPr>
        <w:t xml:space="preserve"> (</w:t>
      </w:r>
      <w:r w:rsidRPr="00FF0B78">
        <w:rPr>
          <w:i/>
          <w:iCs/>
          <w:color w:val="000000"/>
        </w:rPr>
        <w:t>Id</w:t>
      </w:r>
      <w:r>
        <w:rPr>
          <w:color w:val="000000"/>
        </w:rPr>
        <w:t xml:space="preserve">. at pp. 703-704.)  </w:t>
      </w:r>
      <w:r w:rsidR="00526C3A">
        <w:rPr>
          <w:color w:val="000000"/>
        </w:rPr>
        <w:t xml:space="preserve">This court </w:t>
      </w:r>
      <w:r w:rsidR="001A3269">
        <w:rPr>
          <w:color w:val="000000"/>
        </w:rPr>
        <w:t xml:space="preserve">concluded CEQA requires consideration of </w:t>
      </w:r>
      <w:r w:rsidR="001A3269" w:rsidRPr="00FF0B78">
        <w:rPr>
          <w:color w:val="000000"/>
        </w:rPr>
        <w:t>an alternative that would feasibly attain most of the project</w:t>
      </w:r>
      <w:r w:rsidR="001A3269">
        <w:rPr>
          <w:color w:val="000000"/>
        </w:rPr>
        <w:t>’</w:t>
      </w:r>
      <w:r w:rsidR="001A3269" w:rsidRPr="00FF0B78">
        <w:rPr>
          <w:color w:val="000000"/>
        </w:rPr>
        <w:t>s objectives while also lessening the project</w:t>
      </w:r>
      <w:r w:rsidR="001A3269">
        <w:rPr>
          <w:color w:val="000000"/>
        </w:rPr>
        <w:t>’</w:t>
      </w:r>
      <w:r w:rsidR="001A3269" w:rsidRPr="00FF0B78">
        <w:rPr>
          <w:color w:val="000000"/>
        </w:rPr>
        <w:t xml:space="preserve">s significant </w:t>
      </w:r>
      <w:r w:rsidR="001A3269" w:rsidRPr="00FF0B78">
        <w:rPr>
          <w:color w:val="000000"/>
        </w:rPr>
        <w:lastRenderedPageBreak/>
        <w:t xml:space="preserve">impacts on the </w:t>
      </w:r>
      <w:r w:rsidR="000849C5">
        <w:rPr>
          <w:color w:val="000000"/>
        </w:rPr>
        <w:t>w</w:t>
      </w:r>
      <w:r w:rsidR="001A3269" w:rsidRPr="00FF0B78">
        <w:rPr>
          <w:color w:val="000000"/>
        </w:rPr>
        <w:t xml:space="preserve">est </w:t>
      </w:r>
      <w:r w:rsidR="000849C5">
        <w:rPr>
          <w:color w:val="000000"/>
        </w:rPr>
        <w:t>l</w:t>
      </w:r>
      <w:r w:rsidR="001A3269" w:rsidRPr="00FF0B78">
        <w:rPr>
          <w:color w:val="000000"/>
        </w:rPr>
        <w:t>awn</w:t>
      </w:r>
      <w:r w:rsidR="001A3269">
        <w:rPr>
          <w:color w:val="000000"/>
        </w:rPr>
        <w:t>, such as moving the visitor center to the Capitol’s south side.  (</w:t>
      </w:r>
      <w:r w:rsidR="001A3269" w:rsidRPr="001A3269">
        <w:rPr>
          <w:i/>
          <w:iCs/>
          <w:color w:val="000000"/>
        </w:rPr>
        <w:t>Id</w:t>
      </w:r>
      <w:r w:rsidR="001A3269">
        <w:rPr>
          <w:color w:val="000000"/>
        </w:rPr>
        <w:t>. at pp. 70</w:t>
      </w:r>
      <w:r w:rsidR="000849C5">
        <w:rPr>
          <w:color w:val="000000"/>
        </w:rPr>
        <w:t>3</w:t>
      </w:r>
      <w:r w:rsidR="001A3269">
        <w:rPr>
          <w:color w:val="000000"/>
        </w:rPr>
        <w:t>-705.)</w:t>
      </w:r>
    </w:p>
    <w:p w14:paraId="65D36597" w14:textId="4FEE5282" w:rsidR="00FF0B78" w:rsidRDefault="00E16253" w:rsidP="00FF0B78">
      <w:pPr>
        <w:shd w:val="clear" w:color="auto" w:fill="FFFFFF"/>
        <w:rPr>
          <w:color w:val="000000"/>
        </w:rPr>
      </w:pPr>
      <w:r>
        <w:rPr>
          <w:color w:val="000000"/>
        </w:rPr>
        <w:tab/>
      </w:r>
      <w:r w:rsidR="00101271">
        <w:rPr>
          <w:color w:val="000000"/>
        </w:rPr>
        <w:t xml:space="preserve">This court </w:t>
      </w:r>
      <w:r w:rsidR="00ED204F">
        <w:rPr>
          <w:color w:val="000000"/>
        </w:rPr>
        <w:t>reversed the judgment “to the extent it found DGS had complied with CEQA and its findings were supported by substantial evidence with regard to the EIR’s project description, its analysis of the project’s impacts on historical resources and aesthetics, and its analysis of alternatives.”  (</w:t>
      </w:r>
      <w:r w:rsidR="00ED204F" w:rsidRPr="00ED204F">
        <w:rPr>
          <w:i/>
          <w:iCs/>
          <w:color w:val="000000"/>
        </w:rPr>
        <w:t>Save Our Capitol</w:t>
      </w:r>
      <w:r w:rsidR="00ED204F" w:rsidRPr="008031D8">
        <w:rPr>
          <w:i/>
          <w:iCs/>
          <w:color w:val="000000"/>
        </w:rPr>
        <w:t>,</w:t>
      </w:r>
      <w:r w:rsidR="00ED204F">
        <w:rPr>
          <w:color w:val="000000"/>
        </w:rPr>
        <w:t xml:space="preserve"> </w:t>
      </w:r>
      <w:r w:rsidR="00ED204F" w:rsidRPr="00ED204F">
        <w:rPr>
          <w:i/>
          <w:iCs/>
          <w:color w:val="000000"/>
        </w:rPr>
        <w:t>supra</w:t>
      </w:r>
      <w:r w:rsidR="00ED204F">
        <w:rPr>
          <w:color w:val="000000"/>
        </w:rPr>
        <w:t xml:space="preserve">, </w:t>
      </w:r>
      <w:r w:rsidR="001C7052">
        <w:t>87 Cal.App.5th</w:t>
      </w:r>
      <w:r w:rsidR="001C7052">
        <w:rPr>
          <w:color w:val="000000"/>
        </w:rPr>
        <w:t xml:space="preserve"> </w:t>
      </w:r>
      <w:r w:rsidR="00ED204F">
        <w:rPr>
          <w:color w:val="000000"/>
        </w:rPr>
        <w:t>at</w:t>
      </w:r>
      <w:r w:rsidR="001C7052">
        <w:rPr>
          <w:color w:val="000000"/>
        </w:rPr>
        <w:t> </w:t>
      </w:r>
      <w:r w:rsidR="00ED204F">
        <w:rPr>
          <w:color w:val="000000"/>
        </w:rPr>
        <w:t xml:space="preserve">p. 711.)  </w:t>
      </w:r>
      <w:r w:rsidR="00101271">
        <w:rPr>
          <w:color w:val="000000"/>
        </w:rPr>
        <w:t xml:space="preserve">This court </w:t>
      </w:r>
      <w:r w:rsidR="00BE7BA2">
        <w:rPr>
          <w:color w:val="000000"/>
        </w:rPr>
        <w:t xml:space="preserve">affirmed the judgment in </w:t>
      </w:r>
      <w:r w:rsidR="00ED204F">
        <w:rPr>
          <w:color w:val="000000"/>
        </w:rPr>
        <w:t>all other respects</w:t>
      </w:r>
      <w:r w:rsidR="00BE7BA2">
        <w:rPr>
          <w:color w:val="000000"/>
        </w:rPr>
        <w:t xml:space="preserve"> and </w:t>
      </w:r>
      <w:r w:rsidR="00ED204F">
        <w:rPr>
          <w:color w:val="000000"/>
        </w:rPr>
        <w:t>remanded the matter “with directions to issue a peremptory writ of mandate directing DGS to vacate partially its certification of the EIR and to revise and recirculate the deficient portions of the EIR consistent with this opinion before it considers recertifying the EIR.”  (</w:t>
      </w:r>
      <w:r w:rsidR="00ED204F" w:rsidRPr="00ED204F">
        <w:rPr>
          <w:i/>
          <w:iCs/>
          <w:color w:val="000000"/>
        </w:rPr>
        <w:t>Ibid</w:t>
      </w:r>
      <w:r w:rsidR="00ED204F">
        <w:rPr>
          <w:color w:val="000000"/>
        </w:rPr>
        <w:t>.)</w:t>
      </w:r>
    </w:p>
    <w:p w14:paraId="20E38BD2" w14:textId="60D94447" w:rsidR="00ED204F" w:rsidRPr="00FF0B78" w:rsidRDefault="00E16253" w:rsidP="00FF0B78">
      <w:pPr>
        <w:shd w:val="clear" w:color="auto" w:fill="FFFFFF"/>
        <w:rPr>
          <w:color w:val="000000"/>
        </w:rPr>
      </w:pPr>
      <w:r>
        <w:rPr>
          <w:color w:val="000000"/>
        </w:rPr>
        <w:tab/>
      </w:r>
      <w:r w:rsidR="00A664A2">
        <w:rPr>
          <w:color w:val="000000"/>
        </w:rPr>
        <w:t xml:space="preserve">On remand </w:t>
      </w:r>
      <w:r w:rsidR="007C0A68">
        <w:rPr>
          <w:color w:val="000000"/>
        </w:rPr>
        <w:t xml:space="preserve">in June 2023, </w:t>
      </w:r>
      <w:r w:rsidR="006E14D9">
        <w:rPr>
          <w:color w:val="000000"/>
        </w:rPr>
        <w:t xml:space="preserve">and as relevant to the instant appeal, </w:t>
      </w:r>
      <w:r w:rsidR="00A664A2">
        <w:rPr>
          <w:color w:val="000000"/>
        </w:rPr>
        <w:t xml:space="preserve">the trial court vacated </w:t>
      </w:r>
      <w:r w:rsidR="00543887">
        <w:rPr>
          <w:color w:val="000000"/>
        </w:rPr>
        <w:t xml:space="preserve">its </w:t>
      </w:r>
      <w:r w:rsidR="007C0A68">
        <w:rPr>
          <w:color w:val="000000"/>
        </w:rPr>
        <w:t xml:space="preserve">prior </w:t>
      </w:r>
      <w:r w:rsidR="00543887">
        <w:rPr>
          <w:color w:val="000000"/>
        </w:rPr>
        <w:t xml:space="preserve">judgment, entered </w:t>
      </w:r>
      <w:r w:rsidR="007C0A68">
        <w:rPr>
          <w:color w:val="000000"/>
        </w:rPr>
        <w:t xml:space="preserve">a new </w:t>
      </w:r>
      <w:r w:rsidR="00543887">
        <w:rPr>
          <w:color w:val="000000"/>
        </w:rPr>
        <w:t xml:space="preserve">judgment in favor of </w:t>
      </w:r>
      <w:r w:rsidR="005E6214">
        <w:rPr>
          <w:color w:val="000000"/>
        </w:rPr>
        <w:t>Save the Capitol</w:t>
      </w:r>
      <w:r w:rsidR="00543887">
        <w:rPr>
          <w:color w:val="000000"/>
        </w:rPr>
        <w:t>, granted the petition for writ of mandate in part</w:t>
      </w:r>
      <w:r w:rsidR="003C6FBB">
        <w:rPr>
          <w:color w:val="000000"/>
        </w:rPr>
        <w:t xml:space="preserve">, </w:t>
      </w:r>
      <w:r w:rsidR="00543887">
        <w:rPr>
          <w:color w:val="000000"/>
        </w:rPr>
        <w:t xml:space="preserve">and issued a peremptory writ of mandate directing DGS </w:t>
      </w:r>
      <w:r w:rsidR="0072019D">
        <w:rPr>
          <w:color w:val="000000"/>
        </w:rPr>
        <w:t xml:space="preserve">to: </w:t>
      </w:r>
      <w:r w:rsidR="003C6FBB">
        <w:rPr>
          <w:color w:val="000000"/>
        </w:rPr>
        <w:t xml:space="preserve"> </w:t>
      </w:r>
      <w:r w:rsidR="0072019D">
        <w:rPr>
          <w:color w:val="000000"/>
        </w:rPr>
        <w:t>(1) vacate in part its certification of the EIR and all associated approvals for the project “consistent with the Opinion of the Court of Appeal”</w:t>
      </w:r>
      <w:r w:rsidR="0089430B">
        <w:rPr>
          <w:color w:val="000000"/>
        </w:rPr>
        <w:t xml:space="preserve"> and file a preliminary return to the writ within 30 days describing its compliance with this mandate</w:t>
      </w:r>
      <w:r w:rsidR="0072019D">
        <w:rPr>
          <w:color w:val="000000"/>
        </w:rPr>
        <w:t>; (2) suspend project activities that will physically alter the Capitol, Capitol Park, or the Capitol Complex during remand, aside from demolition of the existing Annex</w:t>
      </w:r>
      <w:r w:rsidR="0089430B">
        <w:rPr>
          <w:color w:val="000000"/>
        </w:rPr>
        <w:t xml:space="preserve"> and </w:t>
      </w:r>
      <w:r w:rsidR="0072019D">
        <w:rPr>
          <w:color w:val="000000"/>
        </w:rPr>
        <w:t>refrain from further discretionary project approvals that rely on decertified portions of the EIR until the writ is discharged; and (</w:t>
      </w:r>
      <w:r w:rsidR="0089430B">
        <w:rPr>
          <w:color w:val="000000"/>
        </w:rPr>
        <w:t>3</w:t>
      </w:r>
      <w:r w:rsidR="0072019D">
        <w:rPr>
          <w:color w:val="000000"/>
        </w:rPr>
        <w:t xml:space="preserve">) file a final return to the writ “upon certification of a revised EIR.”  </w:t>
      </w:r>
      <w:r w:rsidR="007C0A68">
        <w:rPr>
          <w:color w:val="000000"/>
        </w:rPr>
        <w:t xml:space="preserve">The writ further stated: “The parties shall meet and confer to attempt to resolve any disputes about the adequacy of the return to this Writ.  If no resolution is reached, </w:t>
      </w:r>
      <w:r w:rsidR="005E6214">
        <w:rPr>
          <w:color w:val="000000"/>
        </w:rPr>
        <w:t>[Save the Capitol]</w:t>
      </w:r>
      <w:r w:rsidR="007C0A68">
        <w:rPr>
          <w:color w:val="000000"/>
        </w:rPr>
        <w:t xml:space="preserve"> may request a hearing and the Court will adjudicate any outstanding objections. </w:t>
      </w:r>
      <w:r w:rsidR="007F116E">
        <w:rPr>
          <w:color w:val="000000"/>
        </w:rPr>
        <w:t xml:space="preserve"> </w:t>
      </w:r>
      <w:r w:rsidR="007C0A68">
        <w:rPr>
          <w:color w:val="000000"/>
        </w:rPr>
        <w:t>[</w:t>
      </w:r>
      <w:proofErr w:type="gramStart"/>
      <w:r w:rsidR="007C0A68">
        <w:rPr>
          <w:color w:val="000000"/>
        </w:rPr>
        <w:t xml:space="preserve">¶] </w:t>
      </w:r>
      <w:r w:rsidR="007F116E">
        <w:rPr>
          <w:color w:val="000000"/>
        </w:rPr>
        <w:t xml:space="preserve"> </w:t>
      </w:r>
      <w:r w:rsidR="007C0A68">
        <w:rPr>
          <w:color w:val="000000"/>
        </w:rPr>
        <w:t>The</w:t>
      </w:r>
      <w:proofErr w:type="gramEnd"/>
      <w:r w:rsidR="007C0A68">
        <w:rPr>
          <w:color w:val="000000"/>
        </w:rPr>
        <w:t xml:space="preserve"> Court shall retain jurisdiction over the proceedings pending your compliance with CEQA and the final discharge of the Writ.”</w:t>
      </w:r>
    </w:p>
    <w:p w14:paraId="5736E227" w14:textId="3CEDE594" w:rsidR="00801BD7" w:rsidRDefault="00E16253" w:rsidP="00913C62">
      <w:pPr>
        <w:shd w:val="clear" w:color="auto" w:fill="FFFFFF"/>
        <w:rPr>
          <w:color w:val="000000"/>
        </w:rPr>
      </w:pPr>
      <w:r>
        <w:rPr>
          <w:color w:val="000000"/>
        </w:rPr>
        <w:tab/>
      </w:r>
      <w:r w:rsidR="00273C78">
        <w:rPr>
          <w:color w:val="000000"/>
        </w:rPr>
        <w:t>In J</w:t>
      </w:r>
      <w:r w:rsidR="00D35467">
        <w:rPr>
          <w:color w:val="000000"/>
        </w:rPr>
        <w:t>uly 2023</w:t>
      </w:r>
      <w:r>
        <w:rPr>
          <w:color w:val="000000"/>
        </w:rPr>
        <w:t xml:space="preserve">, DGS </w:t>
      </w:r>
      <w:r w:rsidR="00A861A3">
        <w:rPr>
          <w:color w:val="000000"/>
        </w:rPr>
        <w:t>issued a partial decertification of the final EIR for the project.  DGS decertified and vacated associated approvals</w:t>
      </w:r>
      <w:r w:rsidR="00ED0EAF">
        <w:rPr>
          <w:color w:val="000000"/>
        </w:rPr>
        <w:t xml:space="preserve"> “for the parts of the Capitol </w:t>
      </w:r>
      <w:r w:rsidR="00ED0EAF">
        <w:rPr>
          <w:color w:val="000000"/>
        </w:rPr>
        <w:lastRenderedPageBreak/>
        <w:t>Annex</w:t>
      </w:r>
      <w:r w:rsidR="006378E7">
        <w:rPr>
          <w:color w:val="000000"/>
        </w:rPr>
        <w:t> </w:t>
      </w:r>
      <w:r w:rsidR="00ED0EAF">
        <w:rPr>
          <w:color w:val="000000"/>
        </w:rPr>
        <w:t>Project EIR that the Court identified as requiring remedy,</w:t>
      </w:r>
      <w:r w:rsidR="00D35467">
        <w:rPr>
          <w:color w:val="000000"/>
        </w:rPr>
        <w:t xml:space="preserve"> as described below</w:t>
      </w:r>
      <w:proofErr w:type="gramStart"/>
      <w:r w:rsidR="00D35467">
        <w:rPr>
          <w:color w:val="000000"/>
        </w:rPr>
        <w:t xml:space="preserve">: </w:t>
      </w:r>
      <w:r w:rsidR="007C038B">
        <w:rPr>
          <w:color w:val="000000"/>
        </w:rPr>
        <w:t xml:space="preserve"> </w:t>
      </w:r>
      <w:r w:rsidR="00D35467">
        <w:rPr>
          <w:color w:val="000000"/>
        </w:rPr>
        <w:t>[</w:t>
      </w:r>
      <w:proofErr w:type="gramEnd"/>
      <w:r w:rsidR="00D35467">
        <w:rPr>
          <w:color w:val="000000"/>
        </w:rPr>
        <w:t>¶</w:t>
      </w:r>
      <w:r w:rsidR="008031D8">
        <w:rPr>
          <w:color w:val="000000"/>
        </w:rPr>
        <w:t> . . .</w:t>
      </w:r>
      <w:r w:rsidR="00D35467">
        <w:rPr>
          <w:color w:val="000000"/>
        </w:rPr>
        <w:t>¶]</w:t>
      </w:r>
      <w:r w:rsidR="00711941">
        <w:rPr>
          <w:color w:val="000000"/>
        </w:rPr>
        <w:t xml:space="preserve"> </w:t>
      </w:r>
      <w:r w:rsidR="007C038B">
        <w:rPr>
          <w:color w:val="000000"/>
        </w:rPr>
        <w:t xml:space="preserve"> </w:t>
      </w:r>
      <w:r w:rsidR="00ED0EAF">
        <w:rPr>
          <w:color w:val="000000"/>
        </w:rPr>
        <w:t>1.  The portion of the project description as it relates to the new Annex’s exterior façade</w:t>
      </w:r>
      <w:r w:rsidR="005C0985">
        <w:rPr>
          <w:color w:val="000000"/>
        </w:rPr>
        <w:t xml:space="preserve">, </w:t>
      </w:r>
      <w:proofErr w:type="gramStart"/>
      <w:r w:rsidR="005C0985">
        <w:rPr>
          <w:color w:val="000000"/>
        </w:rPr>
        <w:t xml:space="preserve">and </w:t>
      </w:r>
      <w:r w:rsidR="007C038B">
        <w:rPr>
          <w:color w:val="000000"/>
        </w:rPr>
        <w:t xml:space="preserve"> </w:t>
      </w:r>
      <w:r w:rsidR="005C0985">
        <w:rPr>
          <w:color w:val="000000"/>
        </w:rPr>
        <w:t>[</w:t>
      </w:r>
      <w:proofErr w:type="gramEnd"/>
      <w:r w:rsidR="005C0985">
        <w:rPr>
          <w:color w:val="000000"/>
        </w:rPr>
        <w:t xml:space="preserve">¶] </w:t>
      </w:r>
      <w:r w:rsidR="007C038B">
        <w:rPr>
          <w:color w:val="000000"/>
        </w:rPr>
        <w:t xml:space="preserve"> </w:t>
      </w:r>
      <w:r w:rsidR="005C0985">
        <w:rPr>
          <w:color w:val="000000"/>
        </w:rPr>
        <w:t xml:space="preserve">2.  The discussion of the effects of the exterior appearance of the new Annex on the Capitol Complex, </w:t>
      </w:r>
      <w:proofErr w:type="gramStart"/>
      <w:r w:rsidR="005C0985">
        <w:rPr>
          <w:color w:val="000000"/>
        </w:rPr>
        <w:t>and</w:t>
      </w:r>
      <w:r w:rsidR="007C038B">
        <w:rPr>
          <w:color w:val="000000"/>
        </w:rPr>
        <w:t xml:space="preserve"> </w:t>
      </w:r>
      <w:r w:rsidR="005C0985">
        <w:rPr>
          <w:color w:val="000000"/>
        </w:rPr>
        <w:t xml:space="preserve"> [</w:t>
      </w:r>
      <w:proofErr w:type="gramEnd"/>
      <w:r w:rsidR="005C0985">
        <w:rPr>
          <w:color w:val="000000"/>
        </w:rPr>
        <w:t xml:space="preserve">¶] </w:t>
      </w:r>
      <w:r w:rsidR="007C038B">
        <w:rPr>
          <w:color w:val="000000"/>
        </w:rPr>
        <w:t xml:space="preserve"> </w:t>
      </w:r>
      <w:r w:rsidR="005C0985">
        <w:rPr>
          <w:color w:val="000000"/>
        </w:rPr>
        <w:t xml:space="preserve">3.  The discussion of impacts of the generation of light from the proposed glass exterior of the new Annex on the surrounding area, </w:t>
      </w:r>
      <w:proofErr w:type="gramStart"/>
      <w:r w:rsidR="005C0985">
        <w:rPr>
          <w:color w:val="000000"/>
        </w:rPr>
        <w:t xml:space="preserve">and </w:t>
      </w:r>
      <w:r w:rsidR="007C038B">
        <w:rPr>
          <w:color w:val="000000"/>
        </w:rPr>
        <w:t xml:space="preserve"> </w:t>
      </w:r>
      <w:r w:rsidR="005C0985">
        <w:rPr>
          <w:color w:val="000000"/>
        </w:rPr>
        <w:t>[</w:t>
      </w:r>
      <w:proofErr w:type="gramEnd"/>
      <w:r w:rsidR="005C0985">
        <w:rPr>
          <w:color w:val="000000"/>
        </w:rPr>
        <w:t xml:space="preserve">¶] </w:t>
      </w:r>
      <w:r w:rsidR="007C038B">
        <w:rPr>
          <w:color w:val="000000"/>
        </w:rPr>
        <w:t xml:space="preserve"> </w:t>
      </w:r>
      <w:r w:rsidR="005C0985">
        <w:rPr>
          <w:color w:val="000000"/>
        </w:rPr>
        <w:t xml:space="preserve">4.  The discussion of aesthetic impacts of the visitor/welcome center on the historic Capitol’s west side as viewed from Capitol Mall, </w:t>
      </w:r>
      <w:proofErr w:type="gramStart"/>
      <w:r w:rsidR="005C0985">
        <w:rPr>
          <w:color w:val="000000"/>
        </w:rPr>
        <w:t xml:space="preserve">and </w:t>
      </w:r>
      <w:r w:rsidR="00CA0174">
        <w:rPr>
          <w:color w:val="000000"/>
        </w:rPr>
        <w:t xml:space="preserve"> </w:t>
      </w:r>
      <w:r w:rsidR="005C0985">
        <w:rPr>
          <w:color w:val="000000"/>
        </w:rPr>
        <w:t>[</w:t>
      </w:r>
      <w:proofErr w:type="gramEnd"/>
      <w:r w:rsidR="005C0985">
        <w:rPr>
          <w:color w:val="000000"/>
        </w:rPr>
        <w:t xml:space="preserve">¶] </w:t>
      </w:r>
      <w:r w:rsidR="00CA0174">
        <w:rPr>
          <w:color w:val="000000"/>
        </w:rPr>
        <w:t xml:space="preserve"> </w:t>
      </w:r>
      <w:r w:rsidR="005C0985">
        <w:rPr>
          <w:color w:val="000000"/>
        </w:rPr>
        <w:t>5.  The finding that the EIR considered a reasonable range of alternatives with respect to the Visitor Center.”  The partial decertification stated “[a]</w:t>
      </w:r>
      <w:proofErr w:type="spellStart"/>
      <w:r w:rsidR="005C0985">
        <w:rPr>
          <w:color w:val="000000"/>
        </w:rPr>
        <w:t>ll</w:t>
      </w:r>
      <w:proofErr w:type="spellEnd"/>
      <w:r w:rsidR="005C0985">
        <w:rPr>
          <w:color w:val="000000"/>
        </w:rPr>
        <w:t xml:space="preserve"> other parts of the EIR, which are not specified in this decertification, remain certified and in full effect.”  </w:t>
      </w:r>
      <w:r w:rsidR="00A861A3">
        <w:rPr>
          <w:color w:val="000000"/>
        </w:rPr>
        <w:t>T</w:t>
      </w:r>
      <w:r w:rsidR="003D29BF">
        <w:rPr>
          <w:color w:val="000000"/>
        </w:rPr>
        <w:t>hereafter</w:t>
      </w:r>
      <w:r w:rsidR="00D35467">
        <w:rPr>
          <w:color w:val="000000"/>
        </w:rPr>
        <w:t xml:space="preserve">, </w:t>
      </w:r>
      <w:r w:rsidR="00A861A3">
        <w:rPr>
          <w:color w:val="000000"/>
        </w:rPr>
        <w:t xml:space="preserve">DGS filed a preliminary return to the writ stating that </w:t>
      </w:r>
      <w:r w:rsidR="005C0985">
        <w:rPr>
          <w:color w:val="000000"/>
        </w:rPr>
        <w:t xml:space="preserve">it </w:t>
      </w:r>
      <w:r w:rsidR="00A861A3">
        <w:rPr>
          <w:color w:val="000000"/>
        </w:rPr>
        <w:t>“partially decertified the EIR and vacated associated approvals in a manner consistent with the judgment</w:t>
      </w:r>
      <w:r w:rsidR="000A2BE0">
        <w:rPr>
          <w:color w:val="000000"/>
        </w:rPr>
        <w:t>.</w:t>
      </w:r>
      <w:r w:rsidR="00A861A3">
        <w:rPr>
          <w:color w:val="000000"/>
        </w:rPr>
        <w:t>”</w:t>
      </w:r>
    </w:p>
    <w:p w14:paraId="6C51085C" w14:textId="6C1DFD90" w:rsidR="00426046" w:rsidRDefault="00E16253" w:rsidP="00426046">
      <w:pPr>
        <w:shd w:val="clear" w:color="auto" w:fill="FFFFFF"/>
        <w:rPr>
          <w:color w:val="000000"/>
        </w:rPr>
      </w:pPr>
      <w:r>
        <w:rPr>
          <w:color w:val="000000"/>
        </w:rPr>
        <w:tab/>
        <w:t xml:space="preserve">In September 2023, </w:t>
      </w:r>
      <w:r w:rsidR="00BA5DD5">
        <w:rPr>
          <w:color w:val="000000"/>
        </w:rPr>
        <w:t xml:space="preserve">DGS </w:t>
      </w:r>
      <w:r w:rsidR="00296EA2">
        <w:rPr>
          <w:color w:val="000000"/>
        </w:rPr>
        <w:t xml:space="preserve">certified a revised final EIR, partially reapproved the project without the visitor center component, and filed its final return to the writ.  The following month, </w:t>
      </w:r>
      <w:r w:rsidR="00627E51">
        <w:rPr>
          <w:color w:val="000000"/>
        </w:rPr>
        <w:t>Save the Capitol</w:t>
      </w:r>
      <w:r w:rsidR="00296EA2">
        <w:rPr>
          <w:color w:val="000000"/>
        </w:rPr>
        <w:t xml:space="preserve"> filed a notice of intent to file objections and requested a hearing, but stated</w:t>
      </w:r>
      <w:proofErr w:type="gramStart"/>
      <w:r w:rsidR="00D47623">
        <w:rPr>
          <w:color w:val="000000"/>
        </w:rPr>
        <w:t xml:space="preserve">:  </w:t>
      </w:r>
      <w:r w:rsidR="00296EA2">
        <w:rPr>
          <w:color w:val="000000"/>
        </w:rPr>
        <w:t>“</w:t>
      </w:r>
      <w:proofErr w:type="gramEnd"/>
      <w:r w:rsidR="00D47623">
        <w:rPr>
          <w:color w:val="000000"/>
        </w:rPr>
        <w:t>I</w:t>
      </w:r>
      <w:r w:rsidR="00296EA2">
        <w:rPr>
          <w:color w:val="000000"/>
        </w:rPr>
        <w:t xml:space="preserve">t is premature to brief its objections because DGS has not yet produced a supplemental administrative record on remand to evidence its compliance with CEQA.”  </w:t>
      </w:r>
      <w:r w:rsidR="00AF32AF">
        <w:rPr>
          <w:color w:val="000000"/>
        </w:rPr>
        <w:t xml:space="preserve">The trial court set a briefing schedule.  </w:t>
      </w:r>
      <w:r w:rsidR="00C129A4">
        <w:rPr>
          <w:color w:val="000000"/>
        </w:rPr>
        <w:t>Save the Capitol</w:t>
      </w:r>
      <w:r w:rsidR="0005136D">
        <w:rPr>
          <w:color w:val="000000"/>
        </w:rPr>
        <w:t xml:space="preserve"> requested an extension of the briefing schedule, again noting that DGS had not produced a supplemental administrative record to show compliance with CEQA.  </w:t>
      </w:r>
      <w:r w:rsidR="006347E0">
        <w:rPr>
          <w:color w:val="000000"/>
        </w:rPr>
        <w:t>Save the Capitol</w:t>
      </w:r>
      <w:r w:rsidR="0005136D">
        <w:rPr>
          <w:color w:val="000000"/>
        </w:rPr>
        <w:t xml:space="preserve"> also explained that it “did not file a new action on the revised DGS project approval” and was instead “exercising its option to pursue its objections to the writ return within this litigation.”  </w:t>
      </w:r>
      <w:r>
        <w:rPr>
          <w:color w:val="000000"/>
        </w:rPr>
        <w:t xml:space="preserve">DGS opposed the extension request, arguing that whether the revised final EIR remedied the CEQA deficiencies identified in </w:t>
      </w:r>
      <w:r w:rsidRPr="00426046">
        <w:rPr>
          <w:i/>
          <w:iCs/>
          <w:color w:val="000000"/>
        </w:rPr>
        <w:t>Save Our Capitol</w:t>
      </w:r>
      <w:r>
        <w:rPr>
          <w:color w:val="000000"/>
        </w:rPr>
        <w:t xml:space="preserve"> was outside the scope of th</w:t>
      </w:r>
      <w:r w:rsidR="00B6655D">
        <w:rPr>
          <w:color w:val="000000"/>
        </w:rPr>
        <w:t>e</w:t>
      </w:r>
      <w:r>
        <w:rPr>
          <w:color w:val="000000"/>
        </w:rPr>
        <w:t xml:space="preserve"> briefing.</w:t>
      </w:r>
      <w:r w:rsidR="00B6655D">
        <w:rPr>
          <w:color w:val="000000"/>
        </w:rPr>
        <w:t xml:space="preserve">  </w:t>
      </w:r>
      <w:r>
        <w:rPr>
          <w:color w:val="000000"/>
        </w:rPr>
        <w:t>The trial court granted a brief extension of the briefing schedule.</w:t>
      </w:r>
    </w:p>
    <w:p w14:paraId="0F2E75B9" w14:textId="55EC480D" w:rsidR="007C0A68" w:rsidRDefault="00E16253" w:rsidP="00913C62">
      <w:pPr>
        <w:shd w:val="clear" w:color="auto" w:fill="FFFFFF"/>
        <w:rPr>
          <w:color w:val="000000"/>
        </w:rPr>
      </w:pPr>
      <w:r>
        <w:rPr>
          <w:color w:val="000000"/>
        </w:rPr>
        <w:tab/>
      </w:r>
      <w:r w:rsidR="006347E0">
        <w:rPr>
          <w:color w:val="000000"/>
        </w:rPr>
        <w:t>Save the Capitol</w:t>
      </w:r>
      <w:r w:rsidR="0036599D">
        <w:rPr>
          <w:color w:val="000000"/>
        </w:rPr>
        <w:t xml:space="preserve"> filed its objections to the final return in November 2023.  </w:t>
      </w:r>
      <w:r w:rsidR="00B6655D">
        <w:rPr>
          <w:color w:val="000000"/>
        </w:rPr>
        <w:t xml:space="preserve">It argued </w:t>
      </w:r>
      <w:r w:rsidR="00F85628">
        <w:rPr>
          <w:color w:val="000000"/>
        </w:rPr>
        <w:t xml:space="preserve">the </w:t>
      </w:r>
      <w:r w:rsidR="00F85628" w:rsidRPr="00F85628">
        <w:rPr>
          <w:i/>
          <w:iCs/>
          <w:color w:val="000000"/>
        </w:rPr>
        <w:t>Save Our Capitol</w:t>
      </w:r>
      <w:r w:rsidR="00F85628">
        <w:rPr>
          <w:color w:val="000000"/>
        </w:rPr>
        <w:t xml:space="preserve"> opinion </w:t>
      </w:r>
      <w:r w:rsidR="0036599D">
        <w:rPr>
          <w:color w:val="000000"/>
        </w:rPr>
        <w:t xml:space="preserve">required DGS to </w:t>
      </w:r>
      <w:r w:rsidR="0036599D" w:rsidRPr="00B6655D">
        <w:rPr>
          <w:color w:val="000000"/>
        </w:rPr>
        <w:t>revis</w:t>
      </w:r>
      <w:r w:rsidR="00F85628" w:rsidRPr="00B6655D">
        <w:rPr>
          <w:color w:val="000000"/>
        </w:rPr>
        <w:t>e</w:t>
      </w:r>
      <w:r w:rsidR="0036599D" w:rsidRPr="00B6655D">
        <w:rPr>
          <w:color w:val="000000"/>
        </w:rPr>
        <w:t xml:space="preserve"> and recirculat</w:t>
      </w:r>
      <w:r w:rsidR="00F85628" w:rsidRPr="00B6655D">
        <w:rPr>
          <w:color w:val="000000"/>
        </w:rPr>
        <w:t>e</w:t>
      </w:r>
      <w:r w:rsidR="0036599D" w:rsidRPr="00B6655D">
        <w:rPr>
          <w:color w:val="000000"/>
        </w:rPr>
        <w:t xml:space="preserve"> the deficient </w:t>
      </w:r>
      <w:r w:rsidR="0036599D" w:rsidRPr="00B6655D">
        <w:rPr>
          <w:color w:val="000000"/>
        </w:rPr>
        <w:lastRenderedPageBreak/>
        <w:t xml:space="preserve">portions of the EIR consistent with </w:t>
      </w:r>
      <w:r w:rsidR="00B6655D">
        <w:rPr>
          <w:color w:val="000000"/>
        </w:rPr>
        <w:t xml:space="preserve">the </w:t>
      </w:r>
      <w:r w:rsidR="0036599D" w:rsidRPr="00B6655D">
        <w:rPr>
          <w:color w:val="000000"/>
        </w:rPr>
        <w:t>opinion before it consider</w:t>
      </w:r>
      <w:r w:rsidR="00B6655D">
        <w:rPr>
          <w:color w:val="000000"/>
        </w:rPr>
        <w:t>ed</w:t>
      </w:r>
      <w:r w:rsidR="0036599D" w:rsidRPr="00B6655D">
        <w:rPr>
          <w:color w:val="000000"/>
        </w:rPr>
        <w:t xml:space="preserve"> recertifying the EIR</w:t>
      </w:r>
      <w:r w:rsidR="00B6655D">
        <w:rPr>
          <w:color w:val="000000"/>
        </w:rPr>
        <w:t>,</w:t>
      </w:r>
      <w:r w:rsidR="0036599D">
        <w:rPr>
          <w:color w:val="000000"/>
        </w:rPr>
        <w:t xml:space="preserve"> </w:t>
      </w:r>
      <w:r w:rsidR="00B6655D">
        <w:rPr>
          <w:color w:val="000000"/>
        </w:rPr>
        <w:t xml:space="preserve">and </w:t>
      </w:r>
      <w:r w:rsidR="00F85628">
        <w:rPr>
          <w:color w:val="000000"/>
        </w:rPr>
        <w:t xml:space="preserve">that requirement was incorporated into the peremptory writ.  </w:t>
      </w:r>
      <w:r w:rsidR="00B6655D">
        <w:rPr>
          <w:color w:val="000000"/>
        </w:rPr>
        <w:t xml:space="preserve">According to </w:t>
      </w:r>
      <w:r w:rsidR="006347E0">
        <w:rPr>
          <w:color w:val="000000"/>
        </w:rPr>
        <w:t>Save the Capitol</w:t>
      </w:r>
      <w:r w:rsidR="00B6655D">
        <w:rPr>
          <w:color w:val="000000"/>
        </w:rPr>
        <w:t xml:space="preserve">, </w:t>
      </w:r>
      <w:r w:rsidR="0036599D">
        <w:rPr>
          <w:color w:val="000000"/>
        </w:rPr>
        <w:t xml:space="preserve">case law allowed it to challenge DGS’s </w:t>
      </w:r>
      <w:r w:rsidR="00261E7F">
        <w:rPr>
          <w:color w:val="000000"/>
        </w:rPr>
        <w:t xml:space="preserve">purported </w:t>
      </w:r>
      <w:r w:rsidR="0036599D">
        <w:rPr>
          <w:color w:val="000000"/>
        </w:rPr>
        <w:t xml:space="preserve">compliance with </w:t>
      </w:r>
      <w:r w:rsidR="00261E7F">
        <w:rPr>
          <w:color w:val="000000"/>
        </w:rPr>
        <w:t xml:space="preserve">the writ </w:t>
      </w:r>
      <w:r w:rsidR="0036599D">
        <w:rPr>
          <w:color w:val="000000"/>
        </w:rPr>
        <w:t xml:space="preserve">either </w:t>
      </w:r>
      <w:r w:rsidR="0031490F">
        <w:rPr>
          <w:color w:val="000000"/>
        </w:rPr>
        <w:t xml:space="preserve">by </w:t>
      </w:r>
      <w:r w:rsidR="0036599D">
        <w:rPr>
          <w:color w:val="000000"/>
        </w:rPr>
        <w:t>writ return challenge or a new case</w:t>
      </w:r>
      <w:r w:rsidR="00261E7F">
        <w:rPr>
          <w:color w:val="000000"/>
        </w:rPr>
        <w:t>.</w:t>
      </w:r>
      <w:r w:rsidR="0036599D">
        <w:rPr>
          <w:color w:val="000000"/>
        </w:rPr>
        <w:t xml:space="preserve"> </w:t>
      </w:r>
      <w:r w:rsidR="00261E7F">
        <w:rPr>
          <w:color w:val="000000"/>
        </w:rPr>
        <w:t xml:space="preserve"> Because it elected to proceed by writ return challenge, </w:t>
      </w:r>
      <w:r w:rsidR="00B6655D">
        <w:rPr>
          <w:color w:val="000000"/>
        </w:rPr>
        <w:t xml:space="preserve">Save the Capitol </w:t>
      </w:r>
      <w:r w:rsidR="00261E7F">
        <w:rPr>
          <w:color w:val="000000"/>
        </w:rPr>
        <w:t xml:space="preserve">argued that </w:t>
      </w:r>
      <w:proofErr w:type="gramStart"/>
      <w:r w:rsidR="00261E7F">
        <w:rPr>
          <w:color w:val="000000"/>
        </w:rPr>
        <w:t>in order for</w:t>
      </w:r>
      <w:proofErr w:type="gramEnd"/>
      <w:r w:rsidR="00261E7F">
        <w:rPr>
          <w:color w:val="000000"/>
        </w:rPr>
        <w:t xml:space="preserve"> the writ to be discharged, DGS was required to demonstrate that the revised final EIR remedied the CEQA deficiencies identified in </w:t>
      </w:r>
      <w:r w:rsidR="00261E7F" w:rsidRPr="00261E7F">
        <w:rPr>
          <w:i/>
          <w:iCs/>
          <w:color w:val="000000"/>
        </w:rPr>
        <w:t>Save Our Capitol</w:t>
      </w:r>
      <w:r w:rsidR="00863098">
        <w:rPr>
          <w:i/>
          <w:iCs/>
          <w:color w:val="000000"/>
        </w:rPr>
        <w:t>.</w:t>
      </w:r>
    </w:p>
    <w:p w14:paraId="1AE0AF9C" w14:textId="1EBFD027" w:rsidR="00FB3D2C" w:rsidRDefault="00E16253" w:rsidP="00BC13EB">
      <w:pPr>
        <w:shd w:val="clear" w:color="auto" w:fill="FFFFFF"/>
        <w:rPr>
          <w:color w:val="000000"/>
        </w:rPr>
      </w:pPr>
      <w:r>
        <w:rPr>
          <w:color w:val="000000"/>
        </w:rPr>
        <w:tab/>
        <w:t xml:space="preserve">DGS </w:t>
      </w:r>
      <w:r w:rsidR="00C077F4">
        <w:rPr>
          <w:color w:val="000000"/>
        </w:rPr>
        <w:t xml:space="preserve">countered </w:t>
      </w:r>
      <w:r>
        <w:rPr>
          <w:color w:val="000000"/>
        </w:rPr>
        <w:t xml:space="preserve">that the </w:t>
      </w:r>
      <w:r w:rsidR="00C077F4">
        <w:rPr>
          <w:color w:val="000000"/>
        </w:rPr>
        <w:t xml:space="preserve">writ </w:t>
      </w:r>
      <w:r>
        <w:rPr>
          <w:color w:val="000000"/>
        </w:rPr>
        <w:t xml:space="preserve">language </w:t>
      </w:r>
      <w:r w:rsidR="008D7F06">
        <w:rPr>
          <w:color w:val="000000"/>
        </w:rPr>
        <w:t xml:space="preserve">did not require a determination </w:t>
      </w:r>
      <w:r w:rsidR="00C077F4">
        <w:rPr>
          <w:color w:val="000000"/>
        </w:rPr>
        <w:t xml:space="preserve">of </w:t>
      </w:r>
      <w:r w:rsidR="00E70405">
        <w:rPr>
          <w:color w:val="000000"/>
        </w:rPr>
        <w:t xml:space="preserve">the </w:t>
      </w:r>
      <w:r w:rsidR="008D7F06">
        <w:rPr>
          <w:color w:val="000000"/>
        </w:rPr>
        <w:t xml:space="preserve">revised final EIR’s </w:t>
      </w:r>
      <w:r>
        <w:rPr>
          <w:color w:val="000000"/>
        </w:rPr>
        <w:t xml:space="preserve">compliance with the </w:t>
      </w:r>
      <w:r w:rsidRPr="00261E7F">
        <w:rPr>
          <w:i/>
          <w:iCs/>
          <w:color w:val="000000"/>
        </w:rPr>
        <w:t>Save Our Capitol</w:t>
      </w:r>
      <w:r>
        <w:rPr>
          <w:color w:val="000000"/>
        </w:rPr>
        <w:t xml:space="preserve"> opinion </w:t>
      </w:r>
      <w:r w:rsidR="008D7F06">
        <w:rPr>
          <w:color w:val="000000"/>
        </w:rPr>
        <w:t xml:space="preserve">before discharge of the writ. </w:t>
      </w:r>
      <w:r w:rsidR="006378E7">
        <w:rPr>
          <w:color w:val="000000"/>
        </w:rPr>
        <w:t xml:space="preserve"> </w:t>
      </w:r>
      <w:r w:rsidR="008D7F06">
        <w:rPr>
          <w:color w:val="000000"/>
        </w:rPr>
        <w:t xml:space="preserve">Instead, DGS argued, the writ required it to vacate </w:t>
      </w:r>
      <w:r>
        <w:rPr>
          <w:color w:val="000000"/>
        </w:rPr>
        <w:t>in part its certification of the EIR and all associated project approvals</w:t>
      </w:r>
      <w:r w:rsidR="008D7F06">
        <w:rPr>
          <w:color w:val="000000"/>
        </w:rPr>
        <w:t xml:space="preserve"> consistent with that opinion</w:t>
      </w:r>
      <w:r>
        <w:rPr>
          <w:color w:val="000000"/>
        </w:rPr>
        <w:t xml:space="preserve">, suspend related project activities, refrain from further related project approvals until the writ </w:t>
      </w:r>
      <w:r w:rsidR="00647280">
        <w:rPr>
          <w:color w:val="000000"/>
        </w:rPr>
        <w:t xml:space="preserve">was </w:t>
      </w:r>
      <w:r>
        <w:rPr>
          <w:color w:val="000000"/>
        </w:rPr>
        <w:t>discharged</w:t>
      </w:r>
      <w:r w:rsidR="00647280">
        <w:rPr>
          <w:color w:val="000000"/>
        </w:rPr>
        <w:t xml:space="preserve">, and file </w:t>
      </w:r>
      <w:r>
        <w:rPr>
          <w:color w:val="000000"/>
        </w:rPr>
        <w:t xml:space="preserve">a final return to the writ upon certification of a revised EIR.  </w:t>
      </w:r>
      <w:r w:rsidR="00BC13EB">
        <w:rPr>
          <w:color w:val="000000"/>
        </w:rPr>
        <w:t xml:space="preserve">Thus, DGS argued, the writ </w:t>
      </w:r>
      <w:r w:rsidR="00E0116A">
        <w:rPr>
          <w:color w:val="000000"/>
        </w:rPr>
        <w:t xml:space="preserve">only </w:t>
      </w:r>
      <w:r w:rsidR="00BC13EB">
        <w:rPr>
          <w:color w:val="000000"/>
        </w:rPr>
        <w:t>contemplate</w:t>
      </w:r>
      <w:r w:rsidR="00A93E55">
        <w:rPr>
          <w:color w:val="000000"/>
        </w:rPr>
        <w:t xml:space="preserve">d </w:t>
      </w:r>
      <w:r w:rsidR="00BC13EB">
        <w:rPr>
          <w:color w:val="000000"/>
        </w:rPr>
        <w:t>discharge upon certification of the revised final EIR</w:t>
      </w:r>
      <w:r w:rsidR="00E0116A">
        <w:rPr>
          <w:color w:val="000000"/>
        </w:rPr>
        <w:t xml:space="preserve">.  There was no requirement of a </w:t>
      </w:r>
      <w:r w:rsidR="00BC13EB">
        <w:rPr>
          <w:color w:val="000000"/>
        </w:rPr>
        <w:t>determin</w:t>
      </w:r>
      <w:r w:rsidR="00E0116A">
        <w:rPr>
          <w:color w:val="000000"/>
        </w:rPr>
        <w:t xml:space="preserve">ation </w:t>
      </w:r>
      <w:r w:rsidR="00BC13EB">
        <w:rPr>
          <w:color w:val="000000"/>
        </w:rPr>
        <w:t xml:space="preserve">that </w:t>
      </w:r>
      <w:r w:rsidR="00A93E55">
        <w:rPr>
          <w:color w:val="000000"/>
        </w:rPr>
        <w:t xml:space="preserve">the </w:t>
      </w:r>
      <w:r w:rsidR="00E0116A">
        <w:rPr>
          <w:color w:val="000000"/>
        </w:rPr>
        <w:t xml:space="preserve">revised </w:t>
      </w:r>
      <w:r w:rsidR="00BC13EB">
        <w:rPr>
          <w:color w:val="000000"/>
        </w:rPr>
        <w:t xml:space="preserve">EIR remedied the deficiencies identified in the </w:t>
      </w:r>
      <w:r w:rsidR="00BC13EB" w:rsidRPr="00BC13EB">
        <w:rPr>
          <w:i/>
          <w:iCs/>
          <w:color w:val="000000"/>
        </w:rPr>
        <w:t>Save Our Capitol</w:t>
      </w:r>
      <w:r w:rsidR="00BC13EB">
        <w:rPr>
          <w:color w:val="000000"/>
        </w:rPr>
        <w:t xml:space="preserve"> opinion.  That question, according to DGS, </w:t>
      </w:r>
      <w:r w:rsidR="00A93E55">
        <w:rPr>
          <w:color w:val="000000"/>
        </w:rPr>
        <w:t xml:space="preserve">had to be </w:t>
      </w:r>
      <w:r w:rsidR="00BC13EB">
        <w:rPr>
          <w:color w:val="000000"/>
        </w:rPr>
        <w:t xml:space="preserve">brought </w:t>
      </w:r>
      <w:r w:rsidR="00A93E55">
        <w:rPr>
          <w:color w:val="000000"/>
        </w:rPr>
        <w:t xml:space="preserve">in </w:t>
      </w:r>
      <w:r w:rsidR="00BC13EB">
        <w:rPr>
          <w:color w:val="000000"/>
        </w:rPr>
        <w:t>a new challenge.</w:t>
      </w:r>
    </w:p>
    <w:p w14:paraId="432BAEC5" w14:textId="39A520ED" w:rsidR="00261E7F" w:rsidRDefault="00E16253" w:rsidP="00913C62">
      <w:pPr>
        <w:shd w:val="clear" w:color="auto" w:fill="FFFFFF"/>
        <w:rPr>
          <w:color w:val="000000"/>
        </w:rPr>
      </w:pPr>
      <w:r>
        <w:rPr>
          <w:color w:val="000000"/>
        </w:rPr>
        <w:tab/>
        <w:t xml:space="preserve">The trial court ordered supplemental briefing on whether discharge of the writ </w:t>
      </w:r>
      <w:r w:rsidR="00AE70E4">
        <w:rPr>
          <w:color w:val="000000"/>
        </w:rPr>
        <w:t xml:space="preserve">would be </w:t>
      </w:r>
      <w:r>
        <w:rPr>
          <w:color w:val="000000"/>
        </w:rPr>
        <w:t xml:space="preserve">proper </w:t>
      </w:r>
      <w:r w:rsidR="00AE70E4">
        <w:rPr>
          <w:color w:val="000000"/>
        </w:rPr>
        <w:t xml:space="preserve">given that </w:t>
      </w:r>
      <w:r>
        <w:rPr>
          <w:color w:val="000000"/>
        </w:rPr>
        <w:t>DGS ha</w:t>
      </w:r>
      <w:r w:rsidR="00AE70E4">
        <w:rPr>
          <w:color w:val="000000"/>
        </w:rPr>
        <w:t>d</w:t>
      </w:r>
      <w:r>
        <w:rPr>
          <w:color w:val="000000"/>
        </w:rPr>
        <w:t xml:space="preserve"> certified the revised final EIR but ha</w:t>
      </w:r>
      <w:r w:rsidR="00AE70E4">
        <w:rPr>
          <w:color w:val="000000"/>
        </w:rPr>
        <w:t>d</w:t>
      </w:r>
      <w:r>
        <w:rPr>
          <w:color w:val="000000"/>
        </w:rPr>
        <w:t xml:space="preserve"> approved</w:t>
      </w:r>
      <w:r w:rsidR="00113FC1">
        <w:rPr>
          <w:color w:val="000000"/>
        </w:rPr>
        <w:t xml:space="preserve"> only two of the three project components. </w:t>
      </w:r>
      <w:r w:rsidR="006378E7">
        <w:rPr>
          <w:color w:val="000000"/>
        </w:rPr>
        <w:t xml:space="preserve"> </w:t>
      </w:r>
      <w:r w:rsidR="00113FC1">
        <w:rPr>
          <w:color w:val="000000"/>
        </w:rPr>
        <w:t xml:space="preserve">DGS argued there was no CEQA requirement to approve the entirety of the project, any future approval of the third component of the project would trigger a new </w:t>
      </w:r>
      <w:r w:rsidR="00006C42">
        <w:rPr>
          <w:color w:val="000000"/>
        </w:rPr>
        <w:t xml:space="preserve">challenge </w:t>
      </w:r>
      <w:r w:rsidR="00113FC1">
        <w:rPr>
          <w:color w:val="000000"/>
        </w:rPr>
        <w:t xml:space="preserve">deadline, and the writ should be discharged because DGS complied with the specific terms of the writ.  </w:t>
      </w:r>
      <w:r w:rsidR="00AE70E4">
        <w:rPr>
          <w:color w:val="000000"/>
        </w:rPr>
        <w:t xml:space="preserve">Save the Capitol </w:t>
      </w:r>
      <w:r w:rsidR="00006C42">
        <w:rPr>
          <w:color w:val="000000"/>
        </w:rPr>
        <w:t>responded</w:t>
      </w:r>
      <w:r w:rsidR="00AE70E4">
        <w:rPr>
          <w:color w:val="000000"/>
        </w:rPr>
        <w:t xml:space="preserve"> </w:t>
      </w:r>
      <w:r w:rsidR="00113FC1">
        <w:rPr>
          <w:color w:val="000000"/>
        </w:rPr>
        <w:t>that the writ c</w:t>
      </w:r>
      <w:r w:rsidR="00AE70E4">
        <w:rPr>
          <w:color w:val="000000"/>
        </w:rPr>
        <w:t xml:space="preserve">ould not </w:t>
      </w:r>
      <w:r w:rsidR="00113FC1">
        <w:rPr>
          <w:color w:val="000000"/>
        </w:rPr>
        <w:t xml:space="preserve">be discharged without adjudicating EIR adequacy to cure the CEQA violations </w:t>
      </w:r>
      <w:r w:rsidR="00AE70E4">
        <w:rPr>
          <w:color w:val="000000"/>
        </w:rPr>
        <w:t xml:space="preserve">identified </w:t>
      </w:r>
      <w:r w:rsidR="00113FC1">
        <w:rPr>
          <w:color w:val="000000"/>
        </w:rPr>
        <w:t>in</w:t>
      </w:r>
      <w:r w:rsidR="001457C4">
        <w:rPr>
          <w:color w:val="000000"/>
        </w:rPr>
        <w:t xml:space="preserve"> </w:t>
      </w:r>
      <w:r w:rsidR="001457C4" w:rsidRPr="001457C4">
        <w:rPr>
          <w:i/>
          <w:iCs/>
          <w:color w:val="000000"/>
        </w:rPr>
        <w:t>Save Our Capitol</w:t>
      </w:r>
      <w:r w:rsidR="001457C4">
        <w:rPr>
          <w:color w:val="000000"/>
        </w:rPr>
        <w:t xml:space="preserve"> and the trial court should not discharge the </w:t>
      </w:r>
      <w:r w:rsidR="001457C4" w:rsidRPr="00721B71">
        <w:rPr>
          <w:color w:val="000000"/>
        </w:rPr>
        <w:t>entire</w:t>
      </w:r>
      <w:r w:rsidR="001457C4">
        <w:rPr>
          <w:color w:val="000000"/>
        </w:rPr>
        <w:t xml:space="preserve"> peremptory writ </w:t>
      </w:r>
      <w:r w:rsidR="00006C42">
        <w:rPr>
          <w:color w:val="000000"/>
        </w:rPr>
        <w:t>when only part of the project had been approved</w:t>
      </w:r>
      <w:r w:rsidR="001457C4">
        <w:rPr>
          <w:color w:val="000000"/>
        </w:rPr>
        <w:t>.</w:t>
      </w:r>
    </w:p>
    <w:p w14:paraId="6C550AD2" w14:textId="0EECEC1B" w:rsidR="00913C62" w:rsidRDefault="00E16253" w:rsidP="00913C62">
      <w:pPr>
        <w:shd w:val="clear" w:color="auto" w:fill="FFFFFF"/>
        <w:rPr>
          <w:color w:val="000000"/>
        </w:rPr>
      </w:pPr>
      <w:r>
        <w:rPr>
          <w:color w:val="000000"/>
        </w:rPr>
        <w:lastRenderedPageBreak/>
        <w:tab/>
      </w:r>
      <w:r w:rsidR="0085180E">
        <w:rPr>
          <w:color w:val="000000"/>
        </w:rPr>
        <w:t>The trial court discharged the writ i</w:t>
      </w:r>
      <w:r>
        <w:rPr>
          <w:color w:val="000000"/>
        </w:rPr>
        <w:t>n December 2023</w:t>
      </w:r>
      <w:r w:rsidR="0085180E">
        <w:rPr>
          <w:color w:val="000000"/>
        </w:rPr>
        <w:t>.  W</w:t>
      </w:r>
      <w:r w:rsidR="009C6699">
        <w:rPr>
          <w:color w:val="000000"/>
        </w:rPr>
        <w:t xml:space="preserve">e will provide additional background details in the discussion as </w:t>
      </w:r>
      <w:r w:rsidR="0085180E">
        <w:rPr>
          <w:color w:val="000000"/>
        </w:rPr>
        <w:t>relevant</w:t>
      </w:r>
      <w:r w:rsidR="009C6699">
        <w:rPr>
          <w:color w:val="000000"/>
        </w:rPr>
        <w:t xml:space="preserve"> to the contentions on appeal</w:t>
      </w:r>
      <w:r w:rsidR="0085180E">
        <w:rPr>
          <w:color w:val="000000"/>
        </w:rPr>
        <w:t>.</w:t>
      </w:r>
    </w:p>
    <w:p w14:paraId="187393EA" w14:textId="0BBF9C76" w:rsidR="00607764" w:rsidRDefault="00E16253" w:rsidP="00607764">
      <w:pPr>
        <w:keepNext/>
        <w:shd w:val="clear" w:color="auto" w:fill="FFFFFF"/>
        <w:jc w:val="center"/>
        <w:rPr>
          <w:color w:val="000000"/>
        </w:rPr>
      </w:pPr>
      <w:r>
        <w:rPr>
          <w:color w:val="000000"/>
        </w:rPr>
        <w:t>DISCUSSION</w:t>
      </w:r>
    </w:p>
    <w:p w14:paraId="50E223D9" w14:textId="48817E96" w:rsidR="00607764" w:rsidRDefault="00E16253" w:rsidP="00607764">
      <w:pPr>
        <w:keepNext/>
        <w:shd w:val="clear" w:color="auto" w:fill="FFFFFF"/>
        <w:jc w:val="center"/>
        <w:rPr>
          <w:color w:val="000000"/>
        </w:rPr>
      </w:pPr>
      <w:r>
        <w:rPr>
          <w:color w:val="000000"/>
        </w:rPr>
        <w:t>I</w:t>
      </w:r>
    </w:p>
    <w:p w14:paraId="0AC32D27" w14:textId="430F2108" w:rsidR="00971EBE" w:rsidRDefault="00E16253" w:rsidP="00A6299F">
      <w:r>
        <w:rPr>
          <w:color w:val="000000"/>
        </w:rPr>
        <w:tab/>
      </w:r>
      <w:r w:rsidR="006347E0">
        <w:rPr>
          <w:color w:val="000000"/>
        </w:rPr>
        <w:t>Save the Capitol</w:t>
      </w:r>
      <w:r>
        <w:t xml:space="preserve"> contends discharge of the writ was premature because the writ </w:t>
      </w:r>
      <w:r w:rsidR="000627F3">
        <w:t xml:space="preserve">not only </w:t>
      </w:r>
      <w:r>
        <w:t xml:space="preserve">required DGS to revise and recirculate the defective portions of the EIR, but </w:t>
      </w:r>
      <w:r w:rsidR="000627F3">
        <w:t xml:space="preserve">also </w:t>
      </w:r>
      <w:r>
        <w:t xml:space="preserve">to do so in a manner </w:t>
      </w:r>
      <w:r w:rsidR="000604A6">
        <w:rPr>
          <w:color w:val="000000"/>
        </w:rPr>
        <w:t xml:space="preserve">consistent with this court’s opinion in </w:t>
      </w:r>
      <w:r w:rsidR="000604A6" w:rsidRPr="00251AF7">
        <w:rPr>
          <w:i/>
          <w:iCs/>
          <w:color w:val="000000"/>
        </w:rPr>
        <w:t>Save Our Capitol</w:t>
      </w:r>
      <w:r w:rsidR="00025FC3">
        <w:t xml:space="preserve">, and thus </w:t>
      </w:r>
      <w:r>
        <w:t xml:space="preserve">certification of the revised final EIR was not enough to discharge the writ because there has not yet been an </w:t>
      </w:r>
      <w:r w:rsidRPr="00A6299F">
        <w:t>adjudication as to the adequacy of th</w:t>
      </w:r>
      <w:r w:rsidR="00025FC3">
        <w:t xml:space="preserve">e </w:t>
      </w:r>
      <w:r w:rsidRPr="00A6299F">
        <w:t>revised EIR.</w:t>
      </w:r>
    </w:p>
    <w:p w14:paraId="7B1BBA4B" w14:textId="71C6D06B" w:rsidR="0005227A" w:rsidRPr="00A6299F" w:rsidRDefault="00E16253" w:rsidP="0005227A">
      <w:pPr>
        <w:keepNext/>
        <w:jc w:val="center"/>
      </w:pPr>
      <w:r>
        <w:t>A</w:t>
      </w:r>
    </w:p>
    <w:p w14:paraId="59596A87" w14:textId="53135F89" w:rsidR="003A0051" w:rsidRDefault="00E16253" w:rsidP="002B4F6B">
      <w:pPr>
        <w:rPr>
          <w:color w:val="000000"/>
        </w:rPr>
      </w:pPr>
      <w:r>
        <w:tab/>
        <w:t xml:space="preserve">Where, as here, the trial court finds, </w:t>
      </w:r>
      <w:proofErr w:type="gramStart"/>
      <w:r>
        <w:t>as a result of</w:t>
      </w:r>
      <w:proofErr w:type="gramEnd"/>
      <w:r>
        <w:t xml:space="preserve"> a remand from an appellate court, that a public agency such as DGS has violated CEQA, the trial court shall enter</w:t>
      </w:r>
      <w:r w:rsidR="00137F60">
        <w:t xml:space="preserve"> a</w:t>
      </w:r>
      <w:r w:rsidR="00BF5C10">
        <w:t xml:space="preserve"> peremptory writ of mandate directing the agency to take </w:t>
      </w:r>
      <w:r w:rsidR="00137F60">
        <w:t>certain actions in order to bring the agency into compliance with CEQA.  (§ 21168.9, subd. (a).)</w:t>
      </w:r>
      <w:r>
        <w:t xml:space="preserve">  </w:t>
      </w:r>
      <w:r w:rsidR="00137F60">
        <w:t xml:space="preserve">There are </w:t>
      </w:r>
      <w:r w:rsidR="00A6299F" w:rsidRPr="00A6299F">
        <w:rPr>
          <w:color w:val="000000"/>
        </w:rPr>
        <w:t>three types of</w:t>
      </w:r>
      <w:r w:rsidR="00C013AA">
        <w:rPr>
          <w:color w:val="000000"/>
        </w:rPr>
        <w:t> </w:t>
      </w:r>
      <w:r w:rsidR="00A6299F" w:rsidRPr="00A6299F">
        <w:rPr>
          <w:color w:val="000000"/>
        </w:rPr>
        <w:t>mandates that may issue</w:t>
      </w:r>
      <w:r>
        <w:rPr>
          <w:color w:val="000000"/>
        </w:rPr>
        <w:t xml:space="preserve"> </w:t>
      </w:r>
      <w:r w:rsidR="00137F60">
        <w:rPr>
          <w:color w:val="000000"/>
        </w:rPr>
        <w:t>under section 21168.9</w:t>
      </w:r>
      <w:r>
        <w:rPr>
          <w:color w:val="000000"/>
        </w:rPr>
        <w:t xml:space="preserve">. </w:t>
      </w:r>
      <w:r w:rsidR="00137F60">
        <w:rPr>
          <w:color w:val="000000"/>
        </w:rPr>
        <w:t xml:space="preserve"> </w:t>
      </w:r>
      <w:r w:rsidR="00FF6C64" w:rsidRPr="002B4F6B">
        <w:rPr>
          <w:color w:val="000000"/>
        </w:rPr>
        <w:t>(</w:t>
      </w:r>
      <w:r w:rsidR="00A6299F" w:rsidRPr="00A6299F">
        <w:rPr>
          <w:i/>
          <w:iCs/>
          <w:color w:val="3D3D3D"/>
          <w:bdr w:val="none" w:sz="0" w:space="0" w:color="auto" w:frame="1"/>
        </w:rPr>
        <w:t>McCann v. City of San Diego</w:t>
      </w:r>
      <w:r w:rsidR="00A6299F" w:rsidRPr="00A6299F">
        <w:rPr>
          <w:color w:val="000000"/>
        </w:rPr>
        <w:t xml:space="preserve"> (2023) 94 Cal.App.5th 284, 292 </w:t>
      </w:r>
      <w:r w:rsidR="00FF6C64" w:rsidRPr="002B4F6B">
        <w:rPr>
          <w:color w:val="000000"/>
        </w:rPr>
        <w:t>(</w:t>
      </w:r>
      <w:r w:rsidR="00FF6C64" w:rsidRPr="002B4F6B">
        <w:rPr>
          <w:i/>
          <w:iCs/>
          <w:color w:val="000000"/>
        </w:rPr>
        <w:t>McCann</w:t>
      </w:r>
      <w:r w:rsidR="00FF6C64" w:rsidRPr="002B4F6B">
        <w:rPr>
          <w:color w:val="000000"/>
        </w:rPr>
        <w:t xml:space="preserve">).)  </w:t>
      </w:r>
      <w:r w:rsidR="00137F60">
        <w:rPr>
          <w:color w:val="000000"/>
        </w:rPr>
        <w:t xml:space="preserve">First, the trial court may “mandate that the determination, finding, or decision be voided by the public agency, in whole or in part.”  (§ 21168.9, subd. (a)(1).)  Second, </w:t>
      </w:r>
      <w:r w:rsidR="00BF5C10">
        <w:rPr>
          <w:color w:val="000000"/>
        </w:rPr>
        <w:t xml:space="preserve">where certain conditions exist, the </w:t>
      </w:r>
      <w:r w:rsidR="00A936EF">
        <w:rPr>
          <w:color w:val="000000"/>
        </w:rPr>
        <w:t xml:space="preserve">trial </w:t>
      </w:r>
      <w:r w:rsidR="00BF5C10">
        <w:rPr>
          <w:color w:val="000000"/>
        </w:rPr>
        <w:t xml:space="preserve">court may “mandate that the public agency and any real parties in interest suspend any </w:t>
      </w:r>
      <w:r w:rsidR="008031D8">
        <w:rPr>
          <w:color w:val="000000"/>
        </w:rPr>
        <w:t>or</w:t>
      </w:r>
      <w:r w:rsidR="00BF5C10">
        <w:rPr>
          <w:color w:val="000000"/>
        </w:rPr>
        <w:t xml:space="preserve"> all specific project activity or activities . . . until the public agency has taken any actions that may be necessary to bring the determination, finding, or decision into compliance with [CEQA].”  (§ 21168.9, subd. (a)(2).)  Third, the </w:t>
      </w:r>
      <w:r w:rsidR="00A936EF">
        <w:rPr>
          <w:color w:val="000000"/>
        </w:rPr>
        <w:t xml:space="preserve">trial </w:t>
      </w:r>
      <w:r w:rsidR="00BF5C10">
        <w:rPr>
          <w:color w:val="000000"/>
        </w:rPr>
        <w:t>court may “mandate that the public agency take specific action as may be necessary to bring the determination, finding, or decision into compliance with [CEQA].”  (§ 21168.9, subd. (a)(3)</w:t>
      </w:r>
      <w:r>
        <w:rPr>
          <w:color w:val="000000"/>
        </w:rPr>
        <w:t>.)</w:t>
      </w:r>
    </w:p>
    <w:p w14:paraId="0F2F6A71" w14:textId="34F40277" w:rsidR="00BF5C10" w:rsidRDefault="00E16253" w:rsidP="003A0051">
      <w:pPr>
        <w:rPr>
          <w:color w:val="000000"/>
        </w:rPr>
      </w:pPr>
      <w:r>
        <w:rPr>
          <w:color w:val="000000"/>
        </w:rPr>
        <w:tab/>
        <w:t>The peremptory writ must include “one or more of [the] specified mandates</w:t>
      </w:r>
      <w:r w:rsidR="005639FD">
        <w:rPr>
          <w:color w:val="000000"/>
        </w:rPr>
        <w:t>.</w:t>
      </w:r>
      <w:r>
        <w:rPr>
          <w:color w:val="000000"/>
        </w:rPr>
        <w:t xml:space="preserve">” </w:t>
      </w:r>
      <w:r w:rsidR="005639FD">
        <w:rPr>
          <w:color w:val="000000"/>
        </w:rPr>
        <w:t xml:space="preserve"> </w:t>
      </w:r>
      <w:r>
        <w:rPr>
          <w:color w:val="000000"/>
        </w:rPr>
        <w:t>(</w:t>
      </w:r>
      <w:r w:rsidRPr="003A0051">
        <w:rPr>
          <w:i/>
          <w:iCs/>
          <w:color w:val="000000"/>
        </w:rPr>
        <w:t>P</w:t>
      </w:r>
      <w:r w:rsidRPr="003A0051">
        <w:rPr>
          <w:i/>
          <w:iCs/>
        </w:rPr>
        <w:t>reserve Wild Santee v. City of Santee</w:t>
      </w:r>
      <w:r>
        <w:t xml:space="preserve"> (2012) 210 Cal.App.4th 260, 286</w:t>
      </w:r>
      <w:r w:rsidR="000C27AF">
        <w:t xml:space="preserve"> (</w:t>
      </w:r>
      <w:r w:rsidR="000C27AF" w:rsidRPr="000C27AF">
        <w:rPr>
          <w:i/>
          <w:iCs/>
        </w:rPr>
        <w:t>Preserve Wild Santee</w:t>
      </w:r>
      <w:r w:rsidR="000C27AF">
        <w:t>)</w:t>
      </w:r>
      <w:r w:rsidR="005639FD">
        <w:t>.</w:t>
      </w:r>
      <w:r>
        <w:rPr>
          <w:color w:val="000000"/>
        </w:rPr>
        <w:t xml:space="preserve">) </w:t>
      </w:r>
      <w:r w:rsidR="005639FD">
        <w:rPr>
          <w:color w:val="000000"/>
        </w:rPr>
        <w:t xml:space="preserve"> </w:t>
      </w:r>
      <w:r w:rsidR="0019484A">
        <w:rPr>
          <w:color w:val="000000"/>
        </w:rPr>
        <w:t xml:space="preserve">However, </w:t>
      </w:r>
      <w:r w:rsidR="00A936EF">
        <w:rPr>
          <w:color w:val="000000"/>
        </w:rPr>
        <w:t xml:space="preserve">section 21168.9, subdivision (b) provides, in relevant part, that the </w:t>
      </w:r>
      <w:r w:rsidR="00A936EF">
        <w:rPr>
          <w:color w:val="000000"/>
        </w:rPr>
        <w:lastRenderedPageBreak/>
        <w:t xml:space="preserve">peremptory writ </w:t>
      </w:r>
      <w:r w:rsidR="0019484A">
        <w:rPr>
          <w:color w:val="000000"/>
        </w:rPr>
        <w:t xml:space="preserve">“shall include only those mandates which are necessary to achieve compliance with [CEQA] and only those specific project activities in noncompliance with [CEQA].”  (§ 21168.9, subd. (b).)  The </w:t>
      </w:r>
      <w:r w:rsidR="00A936EF">
        <w:rPr>
          <w:color w:val="000000"/>
        </w:rPr>
        <w:t xml:space="preserve">peremptory writ </w:t>
      </w:r>
      <w:r w:rsidR="0019484A">
        <w:rPr>
          <w:color w:val="000000"/>
        </w:rPr>
        <w:t>must also “</w:t>
      </w:r>
      <w:proofErr w:type="gramStart"/>
      <w:r w:rsidR="0019484A">
        <w:rPr>
          <w:color w:val="000000"/>
        </w:rPr>
        <w:t>specify[</w:t>
      </w:r>
      <w:proofErr w:type="gramEnd"/>
      <w:r w:rsidR="0019484A">
        <w:rPr>
          <w:color w:val="000000"/>
        </w:rPr>
        <w:t>] what action by the public agency is necessary to comply with [CEQA].”  (</w:t>
      </w:r>
      <w:r w:rsidR="0019484A" w:rsidRPr="0019484A">
        <w:rPr>
          <w:i/>
          <w:iCs/>
          <w:color w:val="000000"/>
        </w:rPr>
        <w:t>Ibid</w:t>
      </w:r>
      <w:r w:rsidR="0019484A">
        <w:rPr>
          <w:color w:val="000000"/>
        </w:rPr>
        <w:t xml:space="preserve">.)  </w:t>
      </w:r>
      <w:r w:rsidR="00A936EF">
        <w:rPr>
          <w:color w:val="000000"/>
        </w:rPr>
        <w:t>Finally, “[t]</w:t>
      </w:r>
      <w:r w:rsidR="00A936EF" w:rsidRPr="002B4F6B">
        <w:rPr>
          <w:color w:val="000000"/>
        </w:rPr>
        <w:t>he</w:t>
      </w:r>
      <w:r w:rsidR="00C013AA">
        <w:rPr>
          <w:color w:val="000000"/>
        </w:rPr>
        <w:t> </w:t>
      </w:r>
      <w:proofErr w:type="gramStart"/>
      <w:r w:rsidR="00A936EF" w:rsidRPr="002B4F6B">
        <w:rPr>
          <w:color w:val="000000"/>
        </w:rPr>
        <w:t>trial</w:t>
      </w:r>
      <w:proofErr w:type="gramEnd"/>
      <w:r w:rsidR="00A936EF" w:rsidRPr="002B4F6B">
        <w:rPr>
          <w:color w:val="000000"/>
        </w:rPr>
        <w:t xml:space="preserve"> court shall retain jurisdiction over the public agency</w:t>
      </w:r>
      <w:r w:rsidR="00A936EF">
        <w:rPr>
          <w:color w:val="000000"/>
        </w:rPr>
        <w:t>’</w:t>
      </w:r>
      <w:r w:rsidR="00A936EF" w:rsidRPr="002B4F6B">
        <w:rPr>
          <w:color w:val="000000"/>
        </w:rPr>
        <w:t>s proceedings by way of</w:t>
      </w:r>
      <w:r w:rsidR="00C013AA">
        <w:rPr>
          <w:color w:val="000000"/>
        </w:rPr>
        <w:t> </w:t>
      </w:r>
      <w:r w:rsidR="00A936EF" w:rsidRPr="002B4F6B">
        <w:rPr>
          <w:color w:val="000000"/>
        </w:rPr>
        <w:t xml:space="preserve">a return to the peremptory writ until the court has determined that the public agency has complied with </w:t>
      </w:r>
      <w:r w:rsidR="00A936EF">
        <w:rPr>
          <w:color w:val="000000"/>
        </w:rPr>
        <w:t>[CEQA]</w:t>
      </w:r>
      <w:r w:rsidR="00A936EF" w:rsidRPr="002B4F6B">
        <w:rPr>
          <w:color w:val="000000"/>
        </w:rPr>
        <w:t>.</w:t>
      </w:r>
      <w:r w:rsidR="00A936EF">
        <w:rPr>
          <w:color w:val="000000"/>
        </w:rPr>
        <w:t>”  (</w:t>
      </w:r>
      <w:r w:rsidR="00A936EF" w:rsidRPr="00A936EF">
        <w:rPr>
          <w:i/>
          <w:iCs/>
          <w:color w:val="000000"/>
        </w:rPr>
        <w:t>Ibid</w:t>
      </w:r>
      <w:r w:rsidR="00A936EF">
        <w:rPr>
          <w:color w:val="000000"/>
        </w:rPr>
        <w:t>.)</w:t>
      </w:r>
    </w:p>
    <w:p w14:paraId="794945FD" w14:textId="7D99770F" w:rsidR="001F73FD" w:rsidRDefault="00E16253" w:rsidP="002B4F6B">
      <w:pPr>
        <w:rPr>
          <w:color w:val="000000"/>
        </w:rPr>
      </w:pPr>
      <w:r>
        <w:rPr>
          <w:color w:val="000000"/>
        </w:rPr>
        <w:tab/>
        <w:t xml:space="preserve">Section 21168.9. subdivision (c) then provides: “Nothing in this section authorizes a court to direct any public agency to exercise its discretion in any </w:t>
      </w:r>
      <w:proofErr w:type="gramStart"/>
      <w:r>
        <w:rPr>
          <w:color w:val="000000"/>
        </w:rPr>
        <w:t>particular way</w:t>
      </w:r>
      <w:proofErr w:type="gramEnd"/>
      <w:r>
        <w:rPr>
          <w:color w:val="000000"/>
        </w:rPr>
        <w:t xml:space="preserve">.  Except as provided in this section, nothing in this section is intended to limit the equitable powers of the court.”  </w:t>
      </w:r>
      <w:r w:rsidR="0005227A">
        <w:rPr>
          <w:color w:val="000000"/>
        </w:rPr>
        <w:t>While t</w:t>
      </w:r>
      <w:r>
        <w:rPr>
          <w:color w:val="000000"/>
        </w:rPr>
        <w:t xml:space="preserve">his subdivision provides the agency with “discretion to determine </w:t>
      </w:r>
      <w:r w:rsidRPr="001F73FD">
        <w:rPr>
          <w:i/>
          <w:iCs/>
          <w:color w:val="000000"/>
        </w:rPr>
        <w:t>how</w:t>
      </w:r>
      <w:r>
        <w:rPr>
          <w:color w:val="000000"/>
        </w:rPr>
        <w:t xml:space="preserve"> to comply with CEQA</w:t>
      </w:r>
      <w:r w:rsidR="0005227A">
        <w:rPr>
          <w:color w:val="000000"/>
        </w:rPr>
        <w:t>[</w:t>
      </w:r>
      <w:r>
        <w:rPr>
          <w:color w:val="000000"/>
        </w:rPr>
        <w:t>,</w:t>
      </w:r>
      <w:r w:rsidR="0005227A">
        <w:rPr>
          <w:color w:val="000000"/>
        </w:rPr>
        <w:t xml:space="preserve">] . . . an agency does not have discretion to decide </w:t>
      </w:r>
      <w:r w:rsidR="0005227A" w:rsidRPr="0005227A">
        <w:rPr>
          <w:i/>
          <w:iCs/>
          <w:color w:val="000000"/>
        </w:rPr>
        <w:t>whether</w:t>
      </w:r>
      <w:r w:rsidR="0005227A">
        <w:rPr>
          <w:color w:val="000000"/>
        </w:rPr>
        <w:t xml:space="preserve"> to comply with CEQA; thus, an order directing an agency to comply with CEQA, including by ordering it to ‘take specific action as may be necessary to bring [its] determination, finding, or decision into compliance with [CEQA]’ (§ 21168.9, subd. (a)(3)), is entirely within the court’s remedial authority.”  </w:t>
      </w:r>
      <w:r w:rsidR="005639FD">
        <w:rPr>
          <w:color w:val="000000"/>
        </w:rPr>
        <w:t>(</w:t>
      </w:r>
      <w:r w:rsidR="005639FD" w:rsidRPr="0064180F">
        <w:rPr>
          <w:i/>
          <w:iCs/>
          <w:color w:val="000000"/>
        </w:rPr>
        <w:t>Natural Resources Defense Council, Inc. v. City of Los Angeles</w:t>
      </w:r>
      <w:r w:rsidR="005639FD">
        <w:rPr>
          <w:color w:val="000000"/>
        </w:rPr>
        <w:t xml:space="preserve"> (2023) 98 Cal.App.5th 1176,</w:t>
      </w:r>
      <w:r w:rsidR="008031D8">
        <w:rPr>
          <w:color w:val="000000"/>
        </w:rPr>
        <w:t xml:space="preserve"> 1236</w:t>
      </w:r>
      <w:r w:rsidR="005639FD">
        <w:rPr>
          <w:color w:val="000000"/>
        </w:rPr>
        <w:t xml:space="preserve"> (</w:t>
      </w:r>
      <w:r w:rsidR="008031D8" w:rsidRPr="0064180F">
        <w:rPr>
          <w:i/>
          <w:iCs/>
          <w:color w:val="000000"/>
        </w:rPr>
        <w:t>Natural Resources</w:t>
      </w:r>
      <w:r w:rsidR="005639FD">
        <w:rPr>
          <w:color w:val="000000"/>
        </w:rPr>
        <w:t>).)</w:t>
      </w:r>
    </w:p>
    <w:p w14:paraId="138FB4C1" w14:textId="1A6D204B" w:rsidR="002B4F6B" w:rsidRPr="002B4F6B" w:rsidRDefault="00E16253" w:rsidP="002B4F6B">
      <w:pPr>
        <w:rPr>
          <w:color w:val="000000"/>
        </w:rPr>
      </w:pPr>
      <w:r>
        <w:rPr>
          <w:color w:val="000000"/>
        </w:rPr>
        <w:tab/>
        <w:t>“</w:t>
      </w:r>
      <w:r w:rsidRPr="002B4F6B">
        <w:rPr>
          <w:color w:val="000000"/>
        </w:rPr>
        <w:t xml:space="preserve">Once a peremptory writ of mandate has been issued, the court </w:t>
      </w:r>
      <w:r>
        <w:rPr>
          <w:color w:val="000000"/>
        </w:rPr>
        <w:t>‘</w:t>
      </w:r>
      <w:r w:rsidRPr="002B4F6B">
        <w:rPr>
          <w:color w:val="000000"/>
        </w:rPr>
        <w:t>should order the agency to file a return by a date certain informing the court of the agency</w:t>
      </w:r>
      <w:r>
        <w:rPr>
          <w:color w:val="000000"/>
        </w:rPr>
        <w:t>’</w:t>
      </w:r>
      <w:r w:rsidRPr="002B4F6B">
        <w:rPr>
          <w:color w:val="000000"/>
        </w:rPr>
        <w:t>s actions in compliance with the writ.</w:t>
      </w:r>
      <w:r>
        <w:rPr>
          <w:color w:val="000000"/>
        </w:rPr>
        <w:t>”  (</w:t>
      </w:r>
      <w:r w:rsidRPr="002B4F6B">
        <w:rPr>
          <w:i/>
          <w:iCs/>
          <w:color w:val="3D3D3D"/>
          <w:bdr w:val="none" w:sz="0" w:space="0" w:color="auto" w:frame="1"/>
        </w:rPr>
        <w:t>McCann</w:t>
      </w:r>
      <w:r>
        <w:rPr>
          <w:color w:val="3D3D3D"/>
          <w:bdr w:val="none" w:sz="0" w:space="0" w:color="auto" w:frame="1"/>
        </w:rPr>
        <w:t xml:space="preserve">, </w:t>
      </w:r>
      <w:r w:rsidRPr="002B4F6B">
        <w:rPr>
          <w:i/>
          <w:iCs/>
          <w:color w:val="3D3D3D"/>
          <w:bdr w:val="none" w:sz="0" w:space="0" w:color="auto" w:frame="1"/>
        </w:rPr>
        <w:t>supra</w:t>
      </w:r>
      <w:r>
        <w:rPr>
          <w:color w:val="3D3D3D"/>
          <w:bdr w:val="none" w:sz="0" w:space="0" w:color="auto" w:frame="1"/>
        </w:rPr>
        <w:t xml:space="preserve">, </w:t>
      </w:r>
      <w:r w:rsidRPr="002B4F6B">
        <w:rPr>
          <w:color w:val="000000"/>
        </w:rPr>
        <w:t xml:space="preserve">94 Cal.App.5th </w:t>
      </w:r>
      <w:r>
        <w:rPr>
          <w:color w:val="000000"/>
        </w:rPr>
        <w:t xml:space="preserve">at p. </w:t>
      </w:r>
      <w:r w:rsidRPr="002B4F6B">
        <w:rPr>
          <w:color w:val="000000"/>
        </w:rPr>
        <w:t>292</w:t>
      </w:r>
      <w:r>
        <w:rPr>
          <w:color w:val="000000"/>
        </w:rPr>
        <w:t xml:space="preserve">.)  </w:t>
      </w:r>
      <w:r w:rsidR="003E4FC2">
        <w:rPr>
          <w:color w:val="000000"/>
        </w:rPr>
        <w:t>W</w:t>
      </w:r>
      <w:r w:rsidR="0005227A">
        <w:rPr>
          <w:color w:val="000000"/>
        </w:rPr>
        <w:t xml:space="preserve">here </w:t>
      </w:r>
      <w:r w:rsidR="00DB1BCB">
        <w:rPr>
          <w:color w:val="000000"/>
        </w:rPr>
        <w:t xml:space="preserve">the peremptory writ directs the public agency to take specific action and the return states that the court’s mandate has been carried out, the petitioner </w:t>
      </w:r>
      <w:r w:rsidR="00DB1BCB" w:rsidRPr="007F20F3">
        <w:rPr>
          <w:color w:val="000000"/>
        </w:rPr>
        <w:t>may</w:t>
      </w:r>
      <w:r w:rsidR="00DB1BCB">
        <w:rPr>
          <w:color w:val="000000"/>
        </w:rPr>
        <w:t xml:space="preserve"> challenge the validity of that claim</w:t>
      </w:r>
      <w:r w:rsidR="007F20F3">
        <w:rPr>
          <w:color w:val="000000"/>
        </w:rPr>
        <w:t xml:space="preserve"> by new or supplemental writ</w:t>
      </w:r>
      <w:r w:rsidR="003E4FC2">
        <w:rPr>
          <w:color w:val="000000"/>
        </w:rPr>
        <w:t>;</w:t>
      </w:r>
      <w:r w:rsidR="007F20F3">
        <w:rPr>
          <w:color w:val="000000"/>
        </w:rPr>
        <w:t xml:space="preserve"> </w:t>
      </w:r>
      <w:r w:rsidR="003E4FC2">
        <w:rPr>
          <w:color w:val="000000"/>
        </w:rPr>
        <w:t xml:space="preserve">but the petitioner is </w:t>
      </w:r>
      <w:r w:rsidR="00DB1BCB" w:rsidRPr="003E4FC2">
        <w:rPr>
          <w:color w:val="000000"/>
        </w:rPr>
        <w:t>not required</w:t>
      </w:r>
      <w:r w:rsidR="00DB1BCB">
        <w:rPr>
          <w:color w:val="000000"/>
        </w:rPr>
        <w:t xml:space="preserve"> to proceed by writ</w:t>
      </w:r>
      <w:r w:rsidR="00AC1E3C">
        <w:rPr>
          <w:color w:val="000000"/>
        </w:rPr>
        <w:t xml:space="preserve"> and may challenge the writ return as failing to demonstrate compliance with CEQA.  </w:t>
      </w:r>
      <w:r w:rsidR="00DB1BCB">
        <w:rPr>
          <w:color w:val="000000"/>
        </w:rPr>
        <w:t>(</w:t>
      </w:r>
      <w:r w:rsidR="00DB1BCB" w:rsidRPr="00DB1BCB">
        <w:rPr>
          <w:i/>
          <w:iCs/>
          <w:color w:val="000000"/>
        </w:rPr>
        <w:t>City of Carmel-</w:t>
      </w:r>
      <w:r w:rsidR="008031D8">
        <w:rPr>
          <w:i/>
          <w:iCs/>
          <w:color w:val="000000"/>
        </w:rPr>
        <w:t>b</w:t>
      </w:r>
      <w:r w:rsidR="00DB1BCB" w:rsidRPr="00DB1BCB">
        <w:rPr>
          <w:i/>
          <w:iCs/>
          <w:color w:val="000000"/>
        </w:rPr>
        <w:t>y-</w:t>
      </w:r>
      <w:r w:rsidR="008031D8">
        <w:rPr>
          <w:i/>
          <w:iCs/>
          <w:color w:val="000000"/>
        </w:rPr>
        <w:t>t</w:t>
      </w:r>
      <w:r w:rsidR="00DB1BCB" w:rsidRPr="00DB1BCB">
        <w:rPr>
          <w:i/>
          <w:iCs/>
          <w:color w:val="000000"/>
        </w:rPr>
        <w:t>he-Sea v. Board of Supervisors</w:t>
      </w:r>
      <w:r w:rsidR="00DB1BCB">
        <w:rPr>
          <w:color w:val="000000"/>
        </w:rPr>
        <w:t xml:space="preserve"> (1982) 137 Cal.App.3d 964, 971</w:t>
      </w:r>
      <w:r w:rsidR="008031D8">
        <w:rPr>
          <w:color w:val="000000"/>
        </w:rPr>
        <w:t xml:space="preserve"> (</w:t>
      </w:r>
      <w:r w:rsidR="008031D8" w:rsidRPr="00DB1BCB">
        <w:rPr>
          <w:i/>
          <w:iCs/>
          <w:color w:val="000000"/>
        </w:rPr>
        <w:t>Carmel-</w:t>
      </w:r>
      <w:r w:rsidR="008031D8">
        <w:rPr>
          <w:i/>
          <w:iCs/>
          <w:color w:val="000000"/>
        </w:rPr>
        <w:t>b</w:t>
      </w:r>
      <w:r w:rsidR="008031D8" w:rsidRPr="00DB1BCB">
        <w:rPr>
          <w:i/>
          <w:iCs/>
          <w:color w:val="000000"/>
        </w:rPr>
        <w:t>y-</w:t>
      </w:r>
      <w:r w:rsidR="008031D8">
        <w:rPr>
          <w:i/>
          <w:iCs/>
          <w:color w:val="000000"/>
        </w:rPr>
        <w:t>t</w:t>
      </w:r>
      <w:r w:rsidR="008031D8" w:rsidRPr="00DB1BCB">
        <w:rPr>
          <w:i/>
          <w:iCs/>
          <w:color w:val="000000"/>
        </w:rPr>
        <w:t>he-Sea</w:t>
      </w:r>
      <w:r w:rsidR="008031D8">
        <w:rPr>
          <w:color w:val="000000"/>
        </w:rPr>
        <w:t>)</w:t>
      </w:r>
      <w:r w:rsidR="00AC1E3C">
        <w:rPr>
          <w:color w:val="000000"/>
        </w:rPr>
        <w:t xml:space="preserve">; </w:t>
      </w:r>
      <w:r w:rsidR="00863098" w:rsidRPr="00EA315A">
        <w:rPr>
          <w:i/>
          <w:iCs/>
          <w:color w:val="000000"/>
        </w:rPr>
        <w:t>County of Inyo v. City of Los Angeles</w:t>
      </w:r>
      <w:r w:rsidR="00863098">
        <w:rPr>
          <w:color w:val="000000"/>
        </w:rPr>
        <w:t xml:space="preserve"> (1977) 71 Cal.App.3d 185, </w:t>
      </w:r>
      <w:r w:rsidR="00863098">
        <w:rPr>
          <w:color w:val="000000"/>
        </w:rPr>
        <w:lastRenderedPageBreak/>
        <w:t>203 (</w:t>
      </w:r>
      <w:r w:rsidR="00863098" w:rsidRPr="00EA315A">
        <w:rPr>
          <w:i/>
          <w:iCs/>
          <w:color w:val="000000"/>
        </w:rPr>
        <w:t>County of Inyo</w:t>
      </w:r>
      <w:r w:rsidR="00863098">
        <w:rPr>
          <w:color w:val="000000"/>
        </w:rPr>
        <w:t>)</w:t>
      </w:r>
      <w:r w:rsidR="007F20F3">
        <w:rPr>
          <w:color w:val="000000"/>
        </w:rPr>
        <w:t xml:space="preserve"> [sustaining petitioner’s objection</w:t>
      </w:r>
      <w:r w:rsidR="002E1ADD">
        <w:rPr>
          <w:color w:val="000000"/>
        </w:rPr>
        <w:t xml:space="preserve"> to respondent’s return to the writ of mandate because the EIR failed to comply with CEQA].)</w:t>
      </w:r>
    </w:p>
    <w:p w14:paraId="7BEAB7FE" w14:textId="37368C21" w:rsidR="00607764" w:rsidRDefault="00E16253" w:rsidP="000C27AF">
      <w:pPr>
        <w:rPr>
          <w:color w:val="000000"/>
        </w:rPr>
      </w:pPr>
      <w:r>
        <w:tab/>
      </w:r>
      <w:r w:rsidR="007F20F3">
        <w:t xml:space="preserve">We </w:t>
      </w:r>
      <w:r w:rsidR="000C27AF">
        <w:t xml:space="preserve">independently interpret </w:t>
      </w:r>
      <w:r w:rsidR="002E1ADD">
        <w:t xml:space="preserve">section 21168.9, </w:t>
      </w:r>
      <w:r w:rsidR="000C27AF">
        <w:t xml:space="preserve">but </w:t>
      </w:r>
      <w:r w:rsidR="002E1ADD">
        <w:t>we review the trial court’s decision to choose a particular remedy under that section for abuse of discretion.  (</w:t>
      </w:r>
      <w:r w:rsidR="008031D8" w:rsidRPr="0064180F">
        <w:rPr>
          <w:i/>
          <w:iCs/>
          <w:color w:val="000000"/>
        </w:rPr>
        <w:t>Natural Resources</w:t>
      </w:r>
      <w:r w:rsidR="008031D8">
        <w:rPr>
          <w:i/>
          <w:iCs/>
          <w:color w:val="000000"/>
        </w:rPr>
        <w:t>,</w:t>
      </w:r>
      <w:r w:rsidR="002E1ADD">
        <w:t xml:space="preserve"> </w:t>
      </w:r>
      <w:r w:rsidR="002E1ADD" w:rsidRPr="003A0051">
        <w:rPr>
          <w:i/>
          <w:iCs/>
        </w:rPr>
        <w:t>supra</w:t>
      </w:r>
      <w:r w:rsidR="002E1ADD">
        <w:t xml:space="preserve">, 98 Cal.App.5th at p. </w:t>
      </w:r>
      <w:r w:rsidR="008031D8">
        <w:t>1233</w:t>
      </w:r>
      <w:r w:rsidR="002E1ADD">
        <w:t xml:space="preserve">; </w:t>
      </w:r>
      <w:r w:rsidR="002E1ADD" w:rsidRPr="003A0051">
        <w:rPr>
          <w:i/>
          <w:iCs/>
        </w:rPr>
        <w:t>Preserve Wild</w:t>
      </w:r>
      <w:r w:rsidR="002E1ADD" w:rsidRPr="000C27AF">
        <w:rPr>
          <w:i/>
          <w:iCs/>
        </w:rPr>
        <w:t xml:space="preserve"> Santee</w:t>
      </w:r>
      <w:r w:rsidR="000C27AF" w:rsidRPr="008031D8">
        <w:rPr>
          <w:i/>
          <w:iCs/>
        </w:rPr>
        <w:t>,</w:t>
      </w:r>
      <w:r w:rsidR="000C27AF">
        <w:t xml:space="preserve"> </w:t>
      </w:r>
      <w:r w:rsidR="000C27AF" w:rsidRPr="000C27AF">
        <w:rPr>
          <w:i/>
          <w:iCs/>
        </w:rPr>
        <w:t>supra</w:t>
      </w:r>
      <w:r w:rsidR="000C27AF">
        <w:t xml:space="preserve">, </w:t>
      </w:r>
      <w:r w:rsidR="002E1ADD">
        <w:t>210</w:t>
      </w:r>
      <w:r w:rsidR="00C013AA">
        <w:t> </w:t>
      </w:r>
      <w:r w:rsidR="002E1ADD">
        <w:t xml:space="preserve">Cal.App.4th </w:t>
      </w:r>
      <w:r w:rsidR="000C27AF">
        <w:t xml:space="preserve">at p. </w:t>
      </w:r>
      <w:r w:rsidR="003A0051">
        <w:t xml:space="preserve">287.)  </w:t>
      </w:r>
      <w:r w:rsidR="000C27AF">
        <w:t>We also independently interpret the terms of the peremptory writ of mandate as a question of law, but we review the adequacy of DGS’s</w:t>
      </w:r>
      <w:r w:rsidR="00365F75">
        <w:t xml:space="preserve"> </w:t>
      </w:r>
      <w:r w:rsidR="000C27AF">
        <w:t xml:space="preserve">return under the abuse of discretion standard of review because the </w:t>
      </w:r>
      <w:proofErr w:type="gramStart"/>
      <w:r w:rsidR="00365F75">
        <w:t xml:space="preserve">“ </w:t>
      </w:r>
      <w:r w:rsidR="000C27AF">
        <w:t>‘</w:t>
      </w:r>
      <w:proofErr w:type="gramEnd"/>
      <w:r w:rsidR="000C27AF">
        <w:t>attempt to comply with the writ is, for all practical purposes, an attempt to comply with CEQA.’</w:t>
      </w:r>
      <w:r w:rsidR="00365F75">
        <w:t xml:space="preserve">  </w:t>
      </w:r>
      <w:r w:rsidR="000C27AF">
        <w:t>[Citation.]”  (</w:t>
      </w:r>
      <w:r w:rsidR="000C27AF" w:rsidRPr="000C27AF">
        <w:rPr>
          <w:i/>
          <w:iCs/>
        </w:rPr>
        <w:t>McCann</w:t>
      </w:r>
      <w:r w:rsidR="000C27AF" w:rsidRPr="008031D8">
        <w:rPr>
          <w:i/>
          <w:iCs/>
        </w:rPr>
        <w:t>,</w:t>
      </w:r>
      <w:r w:rsidR="000C27AF">
        <w:t xml:space="preserve"> </w:t>
      </w:r>
      <w:r w:rsidR="000C27AF" w:rsidRPr="000C27AF">
        <w:rPr>
          <w:i/>
          <w:iCs/>
        </w:rPr>
        <w:t>supra</w:t>
      </w:r>
      <w:r w:rsidR="000C27AF">
        <w:t>, 94 Cal.App.5th at p. 292.)</w:t>
      </w:r>
    </w:p>
    <w:p w14:paraId="651E8D18" w14:textId="6017BCB7" w:rsidR="0005227A" w:rsidRDefault="00E16253" w:rsidP="0005227A">
      <w:pPr>
        <w:shd w:val="clear" w:color="auto" w:fill="FFFFFF"/>
        <w:jc w:val="center"/>
        <w:rPr>
          <w:color w:val="000000"/>
        </w:rPr>
      </w:pPr>
      <w:r>
        <w:rPr>
          <w:color w:val="000000"/>
        </w:rPr>
        <w:t>B</w:t>
      </w:r>
    </w:p>
    <w:p w14:paraId="2D3539AE" w14:textId="5B1CCA77" w:rsidR="00A9304D" w:rsidRDefault="00E16253" w:rsidP="00551735">
      <w:pPr>
        <w:shd w:val="clear" w:color="auto" w:fill="FFFFFF"/>
        <w:rPr>
          <w:color w:val="000000"/>
        </w:rPr>
      </w:pPr>
      <w:r>
        <w:rPr>
          <w:color w:val="000000"/>
        </w:rPr>
        <w:tab/>
        <w:t xml:space="preserve">This court’s </w:t>
      </w:r>
      <w:r w:rsidRPr="00A9304D">
        <w:rPr>
          <w:i/>
          <w:iCs/>
          <w:color w:val="000000"/>
        </w:rPr>
        <w:t>Save Our Capitol</w:t>
      </w:r>
      <w:r>
        <w:rPr>
          <w:color w:val="000000"/>
        </w:rPr>
        <w:t xml:space="preserve"> decision </w:t>
      </w:r>
      <w:r w:rsidR="009E12EF">
        <w:rPr>
          <w:color w:val="000000"/>
        </w:rPr>
        <w:t xml:space="preserve">held that </w:t>
      </w:r>
      <w:r>
        <w:rPr>
          <w:color w:val="000000"/>
        </w:rPr>
        <w:t xml:space="preserve">DGS violated CEQA in </w:t>
      </w:r>
      <w:r w:rsidR="009E12EF">
        <w:rPr>
          <w:color w:val="000000"/>
        </w:rPr>
        <w:t xml:space="preserve">that </w:t>
      </w:r>
      <w:r>
        <w:rPr>
          <w:color w:val="000000"/>
        </w:rPr>
        <w:t>(1)</w:t>
      </w:r>
      <w:r w:rsidR="00800B25">
        <w:rPr>
          <w:color w:val="000000"/>
        </w:rPr>
        <w:t> </w:t>
      </w:r>
      <w:r w:rsidR="009E12EF">
        <w:rPr>
          <w:color w:val="000000"/>
        </w:rPr>
        <w:t xml:space="preserve">the project description of the Annex exterior design changed </w:t>
      </w:r>
      <w:r w:rsidR="00926B34">
        <w:rPr>
          <w:color w:val="000000"/>
        </w:rPr>
        <w:t>significant</w:t>
      </w:r>
      <w:r w:rsidR="009E12EF">
        <w:rPr>
          <w:color w:val="000000"/>
        </w:rPr>
        <w:t>ly without a meaningful opportunity for public comment;</w:t>
      </w:r>
      <w:r>
        <w:rPr>
          <w:color w:val="000000"/>
        </w:rPr>
        <w:t xml:space="preserve"> (2) </w:t>
      </w:r>
      <w:r w:rsidR="009E12EF">
        <w:rPr>
          <w:color w:val="000000"/>
        </w:rPr>
        <w:t xml:space="preserve">the analysis of </w:t>
      </w:r>
      <w:r w:rsidR="00926B34">
        <w:rPr>
          <w:color w:val="000000"/>
        </w:rPr>
        <w:t xml:space="preserve">historical resources and aesthetics </w:t>
      </w:r>
      <w:r w:rsidR="009E12EF">
        <w:rPr>
          <w:color w:val="000000"/>
        </w:rPr>
        <w:t>did not permit meaningful public comment on the new Annex’s revised exterior design, did not provide a light-emission comparison between the existing and new Annex exteriors, and did not include a rendering of the view of the west side of the Capitol depicting a completed visitor center;</w:t>
      </w:r>
      <w:r w:rsidR="00926B34">
        <w:rPr>
          <w:color w:val="000000"/>
        </w:rPr>
        <w:t xml:space="preserve"> </w:t>
      </w:r>
      <w:r w:rsidR="009E12EF">
        <w:rPr>
          <w:color w:val="000000"/>
        </w:rPr>
        <w:t xml:space="preserve">and </w:t>
      </w:r>
      <w:r w:rsidR="00926B34">
        <w:rPr>
          <w:color w:val="000000"/>
        </w:rPr>
        <w:t xml:space="preserve">(3) </w:t>
      </w:r>
      <w:r w:rsidR="009E12EF">
        <w:rPr>
          <w:color w:val="000000"/>
        </w:rPr>
        <w:t>the chosen alternatives did not offer a reasonable range of alternatives</w:t>
      </w:r>
      <w:r w:rsidR="00691124">
        <w:rPr>
          <w:color w:val="000000"/>
        </w:rPr>
        <w:t>.  (</w:t>
      </w:r>
      <w:r w:rsidR="00691124" w:rsidRPr="0097180F">
        <w:rPr>
          <w:i/>
          <w:iCs/>
          <w:color w:val="000000"/>
        </w:rPr>
        <w:t>Save Our Capitol</w:t>
      </w:r>
      <w:r w:rsidR="00691124" w:rsidRPr="00ED335E">
        <w:rPr>
          <w:i/>
          <w:iCs/>
          <w:color w:val="000000"/>
        </w:rPr>
        <w:t>,</w:t>
      </w:r>
      <w:r w:rsidR="00691124">
        <w:rPr>
          <w:color w:val="000000"/>
        </w:rPr>
        <w:t xml:space="preserve"> </w:t>
      </w:r>
      <w:r w:rsidR="00691124" w:rsidRPr="0097180F">
        <w:rPr>
          <w:i/>
          <w:iCs/>
          <w:color w:val="000000"/>
        </w:rPr>
        <w:t>supra</w:t>
      </w:r>
      <w:r w:rsidR="00691124">
        <w:rPr>
          <w:color w:val="000000"/>
        </w:rPr>
        <w:t xml:space="preserve">, </w:t>
      </w:r>
      <w:r w:rsidR="00ED335E">
        <w:t>87 Cal.App.5th</w:t>
      </w:r>
      <w:r w:rsidR="00ED335E">
        <w:rPr>
          <w:color w:val="000000"/>
        </w:rPr>
        <w:t xml:space="preserve"> </w:t>
      </w:r>
      <w:r w:rsidR="00691124">
        <w:rPr>
          <w:color w:val="000000"/>
        </w:rPr>
        <w:t xml:space="preserve">at pp. 676, 683, 695-696, 703-705.)  </w:t>
      </w:r>
      <w:r w:rsidR="00F84779">
        <w:rPr>
          <w:color w:val="000000"/>
        </w:rPr>
        <w:t xml:space="preserve">This court </w:t>
      </w:r>
      <w:r>
        <w:rPr>
          <w:color w:val="000000"/>
        </w:rPr>
        <w:t xml:space="preserve">reversed the </w:t>
      </w:r>
      <w:r w:rsidR="0083648F">
        <w:rPr>
          <w:color w:val="000000"/>
        </w:rPr>
        <w:t xml:space="preserve">trial court’s </w:t>
      </w:r>
      <w:r>
        <w:rPr>
          <w:color w:val="000000"/>
        </w:rPr>
        <w:t>judgment “to the extent it found DGS had complied with CEQA and its findings were supported by substantial evidence with regard to the EIR’s project description, its analysis of the project’s impacts on historical resources and aesthetics, and its analysis of alternatives.”  (</w:t>
      </w:r>
      <w:r w:rsidR="0083648F" w:rsidRPr="0083648F">
        <w:rPr>
          <w:i/>
          <w:iCs/>
          <w:color w:val="000000"/>
        </w:rPr>
        <w:t>Id</w:t>
      </w:r>
      <w:r w:rsidR="0083648F">
        <w:rPr>
          <w:color w:val="000000"/>
        </w:rPr>
        <w:t xml:space="preserve">. </w:t>
      </w:r>
      <w:r>
        <w:rPr>
          <w:color w:val="000000"/>
        </w:rPr>
        <w:t xml:space="preserve">at p. 711.)  </w:t>
      </w:r>
      <w:r w:rsidR="001861E2">
        <w:rPr>
          <w:color w:val="000000"/>
        </w:rPr>
        <w:t xml:space="preserve">This court </w:t>
      </w:r>
      <w:r>
        <w:rPr>
          <w:color w:val="000000"/>
        </w:rPr>
        <w:t>affirmed the judgment in all other respects and remanded the matter with directions to</w:t>
      </w:r>
      <w:r w:rsidR="001861E2">
        <w:rPr>
          <w:color w:val="000000"/>
        </w:rPr>
        <w:t xml:space="preserve"> the trial court to</w:t>
      </w:r>
      <w:r>
        <w:rPr>
          <w:color w:val="000000"/>
        </w:rPr>
        <w:t xml:space="preserve"> </w:t>
      </w:r>
      <w:r w:rsidR="001861E2">
        <w:rPr>
          <w:color w:val="000000"/>
        </w:rPr>
        <w:t>“</w:t>
      </w:r>
      <w:r>
        <w:rPr>
          <w:color w:val="000000"/>
        </w:rPr>
        <w:t xml:space="preserve">issue a peremptory writ of mandate directing DGS to vacate partially its certification of the EIR </w:t>
      </w:r>
      <w:r w:rsidRPr="00165500">
        <w:rPr>
          <w:color w:val="000000"/>
        </w:rPr>
        <w:t xml:space="preserve">and to revise and recirculate the deficient </w:t>
      </w:r>
      <w:r w:rsidRPr="00165500">
        <w:rPr>
          <w:color w:val="000000"/>
        </w:rPr>
        <w:lastRenderedPageBreak/>
        <w:t xml:space="preserve">portions of the EIR </w:t>
      </w:r>
      <w:r w:rsidRPr="007C0F8D">
        <w:rPr>
          <w:color w:val="000000"/>
        </w:rPr>
        <w:t>consistent with this opinion</w:t>
      </w:r>
      <w:r w:rsidRPr="00165500">
        <w:rPr>
          <w:color w:val="000000"/>
        </w:rPr>
        <w:t xml:space="preserve"> before it</w:t>
      </w:r>
      <w:r>
        <w:rPr>
          <w:color w:val="000000"/>
        </w:rPr>
        <w:t xml:space="preserve"> considers recertifying the EIR.”  (</w:t>
      </w:r>
      <w:r w:rsidRPr="00ED204F">
        <w:rPr>
          <w:i/>
          <w:iCs/>
          <w:color w:val="000000"/>
        </w:rPr>
        <w:t>Ibid</w:t>
      </w:r>
      <w:r>
        <w:rPr>
          <w:color w:val="000000"/>
        </w:rPr>
        <w:t>.)</w:t>
      </w:r>
    </w:p>
    <w:p w14:paraId="40863944" w14:textId="4DCC2EC4" w:rsidR="007C30C3" w:rsidRDefault="00E16253" w:rsidP="0005227A">
      <w:pPr>
        <w:shd w:val="clear" w:color="auto" w:fill="FFFFFF"/>
        <w:rPr>
          <w:color w:val="000000"/>
        </w:rPr>
      </w:pPr>
      <w:r>
        <w:rPr>
          <w:color w:val="000000"/>
        </w:rPr>
        <w:tab/>
        <w:t xml:space="preserve">On remand, the trial court </w:t>
      </w:r>
      <w:r w:rsidR="0005227A">
        <w:rPr>
          <w:color w:val="000000"/>
        </w:rPr>
        <w:t xml:space="preserve">issued a peremptory writ of mandate </w:t>
      </w:r>
      <w:r w:rsidR="009004DA">
        <w:rPr>
          <w:color w:val="000000"/>
        </w:rPr>
        <w:t xml:space="preserve">imposing </w:t>
      </w:r>
      <w:r>
        <w:rPr>
          <w:color w:val="000000"/>
        </w:rPr>
        <w:t>all three of the mandate</w:t>
      </w:r>
      <w:r w:rsidR="009004DA">
        <w:rPr>
          <w:color w:val="000000"/>
        </w:rPr>
        <w:t xml:space="preserve"> types authorized by </w:t>
      </w:r>
      <w:r>
        <w:rPr>
          <w:color w:val="000000"/>
        </w:rPr>
        <w:t xml:space="preserve">section 21168.9.  </w:t>
      </w:r>
      <w:r w:rsidR="0089430B">
        <w:rPr>
          <w:color w:val="000000"/>
        </w:rPr>
        <w:t>T</w:t>
      </w:r>
      <w:r>
        <w:rPr>
          <w:color w:val="000000"/>
        </w:rPr>
        <w:t xml:space="preserve">he writ directed DGS to (1) </w:t>
      </w:r>
      <w:r w:rsidR="0005227A">
        <w:rPr>
          <w:color w:val="000000"/>
        </w:rPr>
        <w:t>vacate in part its certification of the EIR and all associated approvals for the project “consistent with the Opinion of the Court of Appeal”</w:t>
      </w:r>
      <w:r>
        <w:rPr>
          <w:color w:val="000000"/>
        </w:rPr>
        <w:t xml:space="preserve"> </w:t>
      </w:r>
      <w:r w:rsidR="0089430B">
        <w:rPr>
          <w:color w:val="000000"/>
        </w:rPr>
        <w:t xml:space="preserve">and </w:t>
      </w:r>
      <w:r w:rsidR="00561371">
        <w:rPr>
          <w:color w:val="000000"/>
        </w:rPr>
        <w:t xml:space="preserve">to </w:t>
      </w:r>
      <w:r w:rsidR="0089430B">
        <w:rPr>
          <w:color w:val="000000"/>
        </w:rPr>
        <w:t xml:space="preserve">file a preliminary return to the writ within 30 days notifying the </w:t>
      </w:r>
      <w:r w:rsidR="005C6B29">
        <w:rPr>
          <w:color w:val="000000"/>
        </w:rPr>
        <w:t xml:space="preserve">trial </w:t>
      </w:r>
      <w:r w:rsidR="0089430B">
        <w:rPr>
          <w:color w:val="000000"/>
        </w:rPr>
        <w:t>court that it had done so</w:t>
      </w:r>
      <w:r>
        <w:rPr>
          <w:color w:val="000000"/>
        </w:rPr>
        <w:t xml:space="preserve">; (2) </w:t>
      </w:r>
      <w:r w:rsidR="0005227A">
        <w:rPr>
          <w:color w:val="000000"/>
        </w:rPr>
        <w:t>suspend project activities that w</w:t>
      </w:r>
      <w:r w:rsidR="005C6B29">
        <w:rPr>
          <w:color w:val="000000"/>
        </w:rPr>
        <w:t xml:space="preserve">ould </w:t>
      </w:r>
      <w:r w:rsidR="0005227A">
        <w:rPr>
          <w:color w:val="000000"/>
        </w:rPr>
        <w:t>physically alter the Capitol, Capitol Park, or the Capitol Complex during remand, aside from demolition of the existing Annex</w:t>
      </w:r>
      <w:r>
        <w:rPr>
          <w:color w:val="000000"/>
        </w:rPr>
        <w:t xml:space="preserve"> </w:t>
      </w:r>
      <w:r w:rsidR="00F951C4">
        <w:rPr>
          <w:color w:val="000000"/>
        </w:rPr>
        <w:t xml:space="preserve">(as had been specifically authorized by this court in its modified opinion) </w:t>
      </w:r>
      <w:r>
        <w:rPr>
          <w:color w:val="000000"/>
        </w:rPr>
        <w:t xml:space="preserve">and </w:t>
      </w:r>
      <w:r w:rsidR="0005227A">
        <w:rPr>
          <w:color w:val="000000"/>
        </w:rPr>
        <w:t xml:space="preserve">refrain from further discretionary project approvals that </w:t>
      </w:r>
      <w:r w:rsidR="00370205">
        <w:rPr>
          <w:color w:val="000000"/>
        </w:rPr>
        <w:t xml:space="preserve">would </w:t>
      </w:r>
      <w:r w:rsidR="0005227A">
        <w:rPr>
          <w:color w:val="000000"/>
        </w:rPr>
        <w:t xml:space="preserve">rely on decertified portions of the EIR until the writ </w:t>
      </w:r>
      <w:r w:rsidR="00370205">
        <w:rPr>
          <w:color w:val="000000"/>
        </w:rPr>
        <w:t xml:space="preserve">was </w:t>
      </w:r>
      <w:r w:rsidR="0005227A">
        <w:rPr>
          <w:color w:val="000000"/>
        </w:rPr>
        <w:t>discharged</w:t>
      </w:r>
      <w:r>
        <w:rPr>
          <w:color w:val="000000"/>
        </w:rPr>
        <w:t>; and (3) file a final return to the writ “upon certification of a revised EIR.”</w:t>
      </w:r>
    </w:p>
    <w:p w14:paraId="2329E5C1" w14:textId="2D2AE1EE" w:rsidR="003965D8" w:rsidRDefault="00E16253" w:rsidP="00463D34">
      <w:pPr>
        <w:shd w:val="clear" w:color="auto" w:fill="FFFFFF"/>
        <w:rPr>
          <w:color w:val="000000"/>
        </w:rPr>
      </w:pPr>
      <w:r>
        <w:rPr>
          <w:color w:val="000000"/>
        </w:rPr>
        <w:tab/>
      </w:r>
      <w:r w:rsidR="0089430B">
        <w:rPr>
          <w:color w:val="000000"/>
        </w:rPr>
        <w:t xml:space="preserve">There is no challenge to </w:t>
      </w:r>
      <w:r w:rsidR="004A5BBA">
        <w:rPr>
          <w:color w:val="000000"/>
        </w:rPr>
        <w:t>DGS’s compliance with th</w:t>
      </w:r>
      <w:r>
        <w:rPr>
          <w:color w:val="000000"/>
        </w:rPr>
        <w:t xml:space="preserve">e first two directives in the writ.  </w:t>
      </w:r>
      <w:r w:rsidR="00672541">
        <w:rPr>
          <w:color w:val="000000"/>
        </w:rPr>
        <w:t>T</w:t>
      </w:r>
      <w:r>
        <w:rPr>
          <w:color w:val="000000"/>
        </w:rPr>
        <w:t>he meaning of the third directive is at issue here.</w:t>
      </w:r>
      <w:r w:rsidR="00E553BA">
        <w:rPr>
          <w:color w:val="000000"/>
        </w:rPr>
        <w:t xml:space="preserve">  </w:t>
      </w:r>
      <w:r w:rsidR="009108E3">
        <w:rPr>
          <w:color w:val="000000"/>
        </w:rPr>
        <w:t>DGS argues th</w:t>
      </w:r>
      <w:r w:rsidR="00E553BA">
        <w:rPr>
          <w:color w:val="000000"/>
        </w:rPr>
        <w:t>e</w:t>
      </w:r>
      <w:r w:rsidR="009108E3">
        <w:rPr>
          <w:color w:val="000000"/>
        </w:rPr>
        <w:t xml:space="preserve"> </w:t>
      </w:r>
      <w:r w:rsidR="00F50331">
        <w:rPr>
          <w:color w:val="000000"/>
        </w:rPr>
        <w:t xml:space="preserve">writ could be discharged once DGS certified a </w:t>
      </w:r>
      <w:r w:rsidR="009108E3">
        <w:rPr>
          <w:color w:val="000000"/>
        </w:rPr>
        <w:t>revised EIR</w:t>
      </w:r>
      <w:r w:rsidR="00F50331">
        <w:rPr>
          <w:color w:val="000000"/>
        </w:rPr>
        <w:t xml:space="preserve">, </w:t>
      </w:r>
      <w:proofErr w:type="gramStart"/>
      <w:r w:rsidR="00F50331">
        <w:rPr>
          <w:color w:val="000000"/>
        </w:rPr>
        <w:t>whether or not</w:t>
      </w:r>
      <w:proofErr w:type="gramEnd"/>
      <w:r w:rsidR="00F50331">
        <w:rPr>
          <w:color w:val="000000"/>
        </w:rPr>
        <w:t xml:space="preserve"> the revised EIR remedied the CEQA deficiencies </w:t>
      </w:r>
      <w:r w:rsidR="002811F9">
        <w:rPr>
          <w:color w:val="000000"/>
        </w:rPr>
        <w:t xml:space="preserve">identified by this court in </w:t>
      </w:r>
      <w:r w:rsidR="002811F9" w:rsidRPr="002811F9">
        <w:rPr>
          <w:i/>
          <w:iCs/>
          <w:color w:val="000000"/>
        </w:rPr>
        <w:t>Save Our Capitol</w:t>
      </w:r>
      <w:r w:rsidR="00863098">
        <w:rPr>
          <w:i/>
          <w:iCs/>
          <w:color w:val="000000"/>
        </w:rPr>
        <w:t>.</w:t>
      </w:r>
      <w:r w:rsidR="002811F9">
        <w:rPr>
          <w:color w:val="000000"/>
        </w:rPr>
        <w:t xml:space="preserve">  </w:t>
      </w:r>
      <w:r w:rsidR="00F50331">
        <w:rPr>
          <w:color w:val="000000"/>
        </w:rPr>
        <w:t>According to DGS, the third directive did not require DGS to remedy the deficienc</w:t>
      </w:r>
      <w:r w:rsidR="000B55C6">
        <w:rPr>
          <w:color w:val="000000"/>
        </w:rPr>
        <w:t>i</w:t>
      </w:r>
      <w:r w:rsidR="00F50331">
        <w:rPr>
          <w:color w:val="000000"/>
        </w:rPr>
        <w:t>es.</w:t>
      </w:r>
      <w:r w:rsidR="00DF4DCA">
        <w:rPr>
          <w:color w:val="000000"/>
        </w:rPr>
        <w:t xml:space="preserve">  We disagree.</w:t>
      </w:r>
    </w:p>
    <w:p w14:paraId="0C5E01BB" w14:textId="0AECD50D" w:rsidR="00E90FE3" w:rsidRDefault="00E16253" w:rsidP="00551735">
      <w:pPr>
        <w:shd w:val="clear" w:color="auto" w:fill="FFFFFF"/>
        <w:rPr>
          <w:color w:val="000000"/>
        </w:rPr>
      </w:pPr>
      <w:r>
        <w:rPr>
          <w:color w:val="000000"/>
        </w:rPr>
        <w:tab/>
      </w:r>
      <w:r w:rsidR="00570E57">
        <w:rPr>
          <w:color w:val="000000"/>
        </w:rPr>
        <w:t>Section 21168.9, subd</w:t>
      </w:r>
      <w:r w:rsidR="002854D5">
        <w:rPr>
          <w:color w:val="000000"/>
        </w:rPr>
        <w:t xml:space="preserve">ivision </w:t>
      </w:r>
      <w:r w:rsidR="00570E57">
        <w:rPr>
          <w:color w:val="000000"/>
        </w:rPr>
        <w:t xml:space="preserve">(a)(3), in articulating the third mandate type, authorized the trial court to mandate that DGS take specific action to bring the project into compliance with CEQA.  </w:t>
      </w:r>
      <w:r w:rsidR="00C85D31">
        <w:rPr>
          <w:color w:val="000000"/>
        </w:rPr>
        <w:t>In addition, s</w:t>
      </w:r>
      <w:r w:rsidR="002854D5">
        <w:rPr>
          <w:color w:val="000000"/>
        </w:rPr>
        <w:t>ection 21168.9, subd</w:t>
      </w:r>
      <w:r w:rsidR="00B36EEA">
        <w:rPr>
          <w:color w:val="000000"/>
        </w:rPr>
        <w:t xml:space="preserve">ivision </w:t>
      </w:r>
      <w:r w:rsidR="002854D5">
        <w:rPr>
          <w:color w:val="000000"/>
        </w:rPr>
        <w:t>(b)</w:t>
      </w:r>
      <w:r w:rsidR="00B36EEA">
        <w:rPr>
          <w:color w:val="000000"/>
        </w:rPr>
        <w:t xml:space="preserve"> required the </w:t>
      </w:r>
      <w:r w:rsidR="002854D5" w:rsidRPr="002B4F6B">
        <w:rPr>
          <w:color w:val="000000"/>
        </w:rPr>
        <w:t xml:space="preserve">trial court </w:t>
      </w:r>
      <w:r w:rsidR="00B36EEA">
        <w:rPr>
          <w:color w:val="000000"/>
        </w:rPr>
        <w:t xml:space="preserve">to </w:t>
      </w:r>
      <w:r w:rsidR="002854D5" w:rsidRPr="002B4F6B">
        <w:rPr>
          <w:color w:val="000000"/>
        </w:rPr>
        <w:t xml:space="preserve">retain jurisdiction by way of a return to the peremptory writ until the court </w:t>
      </w:r>
      <w:r w:rsidR="00B36EEA">
        <w:rPr>
          <w:color w:val="000000"/>
        </w:rPr>
        <w:t xml:space="preserve">determined </w:t>
      </w:r>
      <w:r w:rsidR="002854D5" w:rsidRPr="002B4F6B">
        <w:rPr>
          <w:color w:val="000000"/>
        </w:rPr>
        <w:t xml:space="preserve">that </w:t>
      </w:r>
      <w:r w:rsidR="00B36EEA">
        <w:rPr>
          <w:color w:val="000000"/>
        </w:rPr>
        <w:t xml:space="preserve">DGS </w:t>
      </w:r>
      <w:r w:rsidR="002854D5" w:rsidRPr="002B4F6B">
        <w:rPr>
          <w:color w:val="000000"/>
        </w:rPr>
        <w:t xml:space="preserve">complied with </w:t>
      </w:r>
      <w:r w:rsidR="002854D5">
        <w:rPr>
          <w:color w:val="000000"/>
        </w:rPr>
        <w:t>CEQA</w:t>
      </w:r>
      <w:r w:rsidR="002854D5" w:rsidRPr="002B4F6B">
        <w:rPr>
          <w:color w:val="000000"/>
        </w:rPr>
        <w:t>.</w:t>
      </w:r>
      <w:r w:rsidR="002854D5">
        <w:rPr>
          <w:color w:val="000000"/>
        </w:rPr>
        <w:t xml:space="preserve">  </w:t>
      </w:r>
      <w:r w:rsidR="00C85D31">
        <w:rPr>
          <w:color w:val="000000"/>
        </w:rPr>
        <w:t>T</w:t>
      </w:r>
      <w:r w:rsidR="00551735">
        <w:rPr>
          <w:color w:val="000000"/>
        </w:rPr>
        <w:t>h</w:t>
      </w:r>
      <w:r w:rsidR="00850D4A">
        <w:rPr>
          <w:color w:val="000000"/>
        </w:rPr>
        <w:t xml:space="preserve">ose provisions advance the </w:t>
      </w:r>
      <w:r w:rsidR="00551735">
        <w:rPr>
          <w:color w:val="000000"/>
        </w:rPr>
        <w:t xml:space="preserve">manifest purpose of </w:t>
      </w:r>
      <w:r w:rsidR="00850D4A">
        <w:rPr>
          <w:color w:val="000000"/>
        </w:rPr>
        <w:t xml:space="preserve">a </w:t>
      </w:r>
      <w:r w:rsidR="00551735">
        <w:rPr>
          <w:color w:val="000000"/>
        </w:rPr>
        <w:t xml:space="preserve">peremptory writ </w:t>
      </w:r>
      <w:r w:rsidR="00850D4A">
        <w:rPr>
          <w:color w:val="000000"/>
        </w:rPr>
        <w:t xml:space="preserve">in this context, which is </w:t>
      </w:r>
      <w:r w:rsidR="00EB6DF7">
        <w:rPr>
          <w:color w:val="000000"/>
        </w:rPr>
        <w:t xml:space="preserve">to ensure </w:t>
      </w:r>
      <w:r w:rsidR="00551735">
        <w:rPr>
          <w:color w:val="000000"/>
        </w:rPr>
        <w:t>CEQA compliance after violation</w:t>
      </w:r>
      <w:r>
        <w:rPr>
          <w:color w:val="000000"/>
        </w:rPr>
        <w:t>s</w:t>
      </w:r>
      <w:r w:rsidR="00551735">
        <w:rPr>
          <w:color w:val="000000"/>
        </w:rPr>
        <w:t xml:space="preserve"> ha</w:t>
      </w:r>
      <w:r>
        <w:rPr>
          <w:color w:val="000000"/>
        </w:rPr>
        <w:t>ve</w:t>
      </w:r>
      <w:r w:rsidR="00551735">
        <w:rPr>
          <w:color w:val="000000"/>
        </w:rPr>
        <w:t xml:space="preserve"> been </w:t>
      </w:r>
      <w:r w:rsidR="00EB6DF7">
        <w:rPr>
          <w:color w:val="000000"/>
        </w:rPr>
        <w:t>identified</w:t>
      </w:r>
      <w:r w:rsidR="00551735">
        <w:rPr>
          <w:color w:val="000000"/>
        </w:rPr>
        <w:t>.  (</w:t>
      </w:r>
      <w:r w:rsidR="008031D8" w:rsidRPr="0064180F">
        <w:rPr>
          <w:i/>
          <w:iCs/>
          <w:color w:val="000000"/>
        </w:rPr>
        <w:t>Natural Resources</w:t>
      </w:r>
      <w:r w:rsidR="008031D8">
        <w:rPr>
          <w:i/>
          <w:iCs/>
          <w:color w:val="000000"/>
        </w:rPr>
        <w:t>,</w:t>
      </w:r>
      <w:r w:rsidR="00551735">
        <w:rPr>
          <w:color w:val="000000"/>
        </w:rPr>
        <w:t xml:space="preserve"> </w:t>
      </w:r>
      <w:r w:rsidR="00551735" w:rsidRPr="005639FD">
        <w:rPr>
          <w:i/>
          <w:iCs/>
          <w:color w:val="000000"/>
        </w:rPr>
        <w:t>supra</w:t>
      </w:r>
      <w:r w:rsidR="00551735">
        <w:rPr>
          <w:color w:val="000000"/>
        </w:rPr>
        <w:t>, 98 Cal.App.5th at p.</w:t>
      </w:r>
      <w:r w:rsidR="008031D8">
        <w:rPr>
          <w:color w:val="000000"/>
        </w:rPr>
        <w:t xml:space="preserve"> 1236</w:t>
      </w:r>
      <w:r w:rsidR="00551735">
        <w:rPr>
          <w:color w:val="000000"/>
        </w:rPr>
        <w:t>.)</w:t>
      </w:r>
    </w:p>
    <w:p w14:paraId="5DE7C5B8" w14:textId="2D7BAA1B" w:rsidR="00CB1C0A" w:rsidRDefault="00E16253" w:rsidP="00551735">
      <w:pPr>
        <w:shd w:val="clear" w:color="auto" w:fill="FFFFFF"/>
        <w:rPr>
          <w:color w:val="000000"/>
        </w:rPr>
      </w:pPr>
      <w:r>
        <w:rPr>
          <w:color w:val="000000"/>
        </w:rPr>
        <w:tab/>
        <w:t xml:space="preserve">This court identified CEQA violations and </w:t>
      </w:r>
      <w:r w:rsidR="008A5E19">
        <w:rPr>
          <w:color w:val="000000"/>
        </w:rPr>
        <w:t xml:space="preserve">ordered the trial court to issue a peremptory writ of mandate directing DGS to, among other things, revise and recirculate the deficient portions of the EIR consistent with this court’s opinion before DGS </w:t>
      </w:r>
      <w:r w:rsidR="008A5E19">
        <w:rPr>
          <w:color w:val="000000"/>
        </w:rPr>
        <w:lastRenderedPageBreak/>
        <w:t xml:space="preserve">considered recertifying the EIR.  </w:t>
      </w:r>
      <w:r w:rsidR="00611901">
        <w:rPr>
          <w:color w:val="000000"/>
        </w:rPr>
        <w:t>(</w:t>
      </w:r>
      <w:r w:rsidR="00611901" w:rsidRPr="00611901">
        <w:rPr>
          <w:i/>
          <w:iCs/>
          <w:color w:val="000000"/>
        </w:rPr>
        <w:t>Save Our Capitol</w:t>
      </w:r>
      <w:r w:rsidR="00611901" w:rsidRPr="008031D8">
        <w:rPr>
          <w:i/>
          <w:iCs/>
          <w:color w:val="000000"/>
        </w:rPr>
        <w:t>,</w:t>
      </w:r>
      <w:r w:rsidR="00611901">
        <w:rPr>
          <w:color w:val="000000"/>
        </w:rPr>
        <w:t xml:space="preserve"> </w:t>
      </w:r>
      <w:r w:rsidR="00611901" w:rsidRPr="00611901">
        <w:rPr>
          <w:i/>
          <w:iCs/>
          <w:color w:val="000000"/>
        </w:rPr>
        <w:t>supra</w:t>
      </w:r>
      <w:r w:rsidR="00611901">
        <w:rPr>
          <w:color w:val="000000"/>
        </w:rPr>
        <w:t xml:space="preserve">, </w:t>
      </w:r>
      <w:r w:rsidR="00ED335E">
        <w:t>87 Cal.App.5th</w:t>
      </w:r>
      <w:r w:rsidR="00ED335E">
        <w:rPr>
          <w:color w:val="000000"/>
        </w:rPr>
        <w:t xml:space="preserve"> </w:t>
      </w:r>
      <w:r w:rsidR="00611901">
        <w:rPr>
          <w:color w:val="000000"/>
        </w:rPr>
        <w:t xml:space="preserve">at p. 711.)  </w:t>
      </w:r>
      <w:r>
        <w:rPr>
          <w:color w:val="000000"/>
        </w:rPr>
        <w:t xml:space="preserve">The trial court’s first directive in the writ required DGS action consistent with this court’s opinion.  The writ language also expressly stated, consistent with </w:t>
      </w:r>
      <w:r w:rsidR="009F2D03">
        <w:rPr>
          <w:color w:val="000000"/>
        </w:rPr>
        <w:t>section 21168.9, subdivision (b)</w:t>
      </w:r>
      <w:r>
        <w:rPr>
          <w:color w:val="000000"/>
        </w:rPr>
        <w:t xml:space="preserve">, that the trial court retained jurisdiction over the proceedings </w:t>
      </w:r>
      <w:r w:rsidRPr="00F445D3">
        <w:rPr>
          <w:i/>
          <w:iCs/>
          <w:color w:val="000000"/>
        </w:rPr>
        <w:t>pending compliance with CEQA and the final discharge of the Writ</w:t>
      </w:r>
      <w:r>
        <w:rPr>
          <w:color w:val="000000"/>
        </w:rPr>
        <w:t>.</w:t>
      </w:r>
    </w:p>
    <w:p w14:paraId="1CBE8A8C" w14:textId="1242762D" w:rsidR="00463D34" w:rsidRDefault="00E16253" w:rsidP="00551735">
      <w:pPr>
        <w:shd w:val="clear" w:color="auto" w:fill="FFFFFF"/>
        <w:rPr>
          <w:color w:val="000000"/>
        </w:rPr>
      </w:pPr>
      <w:r>
        <w:rPr>
          <w:color w:val="000000"/>
        </w:rPr>
        <w:tab/>
      </w:r>
      <w:r w:rsidR="00551735">
        <w:rPr>
          <w:color w:val="000000"/>
        </w:rPr>
        <w:t>W</w:t>
      </w:r>
      <w:r w:rsidR="00F93728">
        <w:rPr>
          <w:color w:val="000000"/>
        </w:rPr>
        <w:t xml:space="preserve">e must presume, absent evidence to the contrary, that </w:t>
      </w:r>
      <w:r w:rsidR="00551735">
        <w:rPr>
          <w:color w:val="000000"/>
        </w:rPr>
        <w:t xml:space="preserve">the </w:t>
      </w:r>
      <w:r w:rsidR="00F93728">
        <w:rPr>
          <w:color w:val="000000"/>
        </w:rPr>
        <w:t xml:space="preserve">trial court followed applicable law (see </w:t>
      </w:r>
      <w:r w:rsidR="00F93728" w:rsidRPr="00F93728">
        <w:rPr>
          <w:i/>
          <w:iCs/>
          <w:color w:val="000000"/>
        </w:rPr>
        <w:t>Ross v. Superior Court</w:t>
      </w:r>
      <w:r w:rsidR="00F93728">
        <w:rPr>
          <w:color w:val="000000"/>
        </w:rPr>
        <w:t xml:space="preserve"> (1977) 19 Cal.3d 899, 913-914)</w:t>
      </w:r>
      <w:r w:rsidR="00551735">
        <w:rPr>
          <w:color w:val="000000"/>
        </w:rPr>
        <w:t xml:space="preserve"> and that it also followed </w:t>
      </w:r>
      <w:r w:rsidR="005404F1">
        <w:rPr>
          <w:color w:val="000000"/>
        </w:rPr>
        <w:t xml:space="preserve">our directions </w:t>
      </w:r>
      <w:r w:rsidR="00D70DDB">
        <w:rPr>
          <w:color w:val="000000"/>
        </w:rPr>
        <w:t xml:space="preserve">on remand.  </w:t>
      </w:r>
      <w:r w:rsidR="00551735">
        <w:rPr>
          <w:color w:val="000000"/>
        </w:rPr>
        <w:t xml:space="preserve">In keeping with the </w:t>
      </w:r>
      <w:r>
        <w:rPr>
          <w:color w:val="000000"/>
        </w:rPr>
        <w:t xml:space="preserve">applicable statutory language, the </w:t>
      </w:r>
      <w:r w:rsidR="00551735">
        <w:rPr>
          <w:color w:val="000000"/>
        </w:rPr>
        <w:t xml:space="preserve">purpose of </w:t>
      </w:r>
      <w:r w:rsidR="0009519F">
        <w:rPr>
          <w:color w:val="000000"/>
        </w:rPr>
        <w:t xml:space="preserve">a </w:t>
      </w:r>
      <w:r w:rsidR="00551735">
        <w:rPr>
          <w:color w:val="000000"/>
        </w:rPr>
        <w:t>peremptory writ</w:t>
      </w:r>
      <w:r w:rsidR="0009519F">
        <w:rPr>
          <w:color w:val="000000"/>
        </w:rPr>
        <w:t xml:space="preserve"> in this context</w:t>
      </w:r>
      <w:r>
        <w:rPr>
          <w:color w:val="000000"/>
        </w:rPr>
        <w:t>,</w:t>
      </w:r>
      <w:r w:rsidR="00551735">
        <w:rPr>
          <w:color w:val="000000"/>
        </w:rPr>
        <w:t xml:space="preserve"> and the language of this court’s direction to the trial court, we </w:t>
      </w:r>
      <w:r w:rsidR="00A54C49">
        <w:rPr>
          <w:color w:val="000000"/>
        </w:rPr>
        <w:t xml:space="preserve">interpret the writ to </w:t>
      </w:r>
      <w:r w:rsidR="00D70DDB">
        <w:rPr>
          <w:color w:val="000000"/>
        </w:rPr>
        <w:t xml:space="preserve">require </w:t>
      </w:r>
      <w:r w:rsidR="00DF4DCA">
        <w:rPr>
          <w:color w:val="000000"/>
        </w:rPr>
        <w:t>EIR</w:t>
      </w:r>
      <w:r w:rsidR="00D70DDB">
        <w:rPr>
          <w:color w:val="000000"/>
        </w:rPr>
        <w:t xml:space="preserve"> decertification</w:t>
      </w:r>
      <w:r w:rsidR="00551735">
        <w:rPr>
          <w:color w:val="000000"/>
        </w:rPr>
        <w:t xml:space="preserve"> and subsequent revised EIR certification </w:t>
      </w:r>
      <w:r w:rsidR="00D70DDB">
        <w:rPr>
          <w:color w:val="000000"/>
        </w:rPr>
        <w:t xml:space="preserve">consistent with </w:t>
      </w:r>
      <w:r w:rsidR="007E3BD9" w:rsidRPr="00611901">
        <w:rPr>
          <w:i/>
          <w:iCs/>
          <w:color w:val="000000"/>
        </w:rPr>
        <w:t>Save Our Capitol</w:t>
      </w:r>
      <w:r w:rsidR="00D70DDB">
        <w:rPr>
          <w:color w:val="000000"/>
        </w:rPr>
        <w:t>.</w:t>
      </w:r>
      <w:r w:rsidR="0009519F">
        <w:rPr>
          <w:color w:val="000000"/>
        </w:rPr>
        <w:t xml:space="preserve">  Accordingly, the </w:t>
      </w:r>
      <w:r>
        <w:rPr>
          <w:color w:val="000000"/>
        </w:rPr>
        <w:t>peremptory writ required</w:t>
      </w:r>
      <w:r w:rsidR="00AC12D5">
        <w:rPr>
          <w:color w:val="000000"/>
        </w:rPr>
        <w:t xml:space="preserve"> DGS to </w:t>
      </w:r>
      <w:r>
        <w:rPr>
          <w:color w:val="000000"/>
        </w:rPr>
        <w:t>certif</w:t>
      </w:r>
      <w:r w:rsidR="00AC12D5">
        <w:rPr>
          <w:color w:val="000000"/>
        </w:rPr>
        <w:t xml:space="preserve">y </w:t>
      </w:r>
      <w:r>
        <w:rPr>
          <w:color w:val="000000"/>
        </w:rPr>
        <w:t xml:space="preserve">a revised EIR </w:t>
      </w:r>
      <w:r w:rsidR="00AC12D5">
        <w:rPr>
          <w:color w:val="000000"/>
        </w:rPr>
        <w:t xml:space="preserve">consistent with </w:t>
      </w:r>
      <w:r w:rsidR="00F02171">
        <w:rPr>
          <w:color w:val="000000"/>
        </w:rPr>
        <w:t>this court’s opinion</w:t>
      </w:r>
      <w:r w:rsidR="002A3F2E">
        <w:rPr>
          <w:color w:val="000000"/>
        </w:rPr>
        <w:t xml:space="preserve"> before the writ could be discharged.</w:t>
      </w:r>
    </w:p>
    <w:p w14:paraId="0CFE124F" w14:textId="4702F8EA" w:rsidR="008E3AE9" w:rsidRDefault="00E16253" w:rsidP="00D91A76">
      <w:pPr>
        <w:shd w:val="clear" w:color="auto" w:fill="FFFFFF"/>
        <w:rPr>
          <w:color w:val="000000"/>
        </w:rPr>
      </w:pPr>
      <w:r>
        <w:rPr>
          <w:color w:val="000000"/>
        </w:rPr>
        <w:tab/>
      </w:r>
      <w:r w:rsidR="00BE3372">
        <w:rPr>
          <w:color w:val="000000"/>
        </w:rPr>
        <w:t xml:space="preserve">DGS cites </w:t>
      </w:r>
      <w:r w:rsidR="00BE3372" w:rsidRPr="002A3F2E">
        <w:rPr>
          <w:i/>
          <w:iCs/>
          <w:color w:val="000000"/>
        </w:rPr>
        <w:t>McCann</w:t>
      </w:r>
      <w:r w:rsidR="00BE3372" w:rsidRPr="008031D8">
        <w:rPr>
          <w:i/>
          <w:iCs/>
          <w:color w:val="000000"/>
        </w:rPr>
        <w:t>,</w:t>
      </w:r>
      <w:r w:rsidR="00BE3372">
        <w:rPr>
          <w:color w:val="000000"/>
        </w:rPr>
        <w:t xml:space="preserve"> </w:t>
      </w:r>
      <w:r w:rsidR="00BE3372" w:rsidRPr="002A3F2E">
        <w:rPr>
          <w:i/>
          <w:iCs/>
          <w:color w:val="000000"/>
        </w:rPr>
        <w:t>supra</w:t>
      </w:r>
      <w:r w:rsidR="00BE3372">
        <w:rPr>
          <w:color w:val="000000"/>
        </w:rPr>
        <w:t xml:space="preserve">, 94 Cal.App.5th 284, as an example of a writ that did not </w:t>
      </w:r>
      <w:r w:rsidR="00D91A76">
        <w:rPr>
          <w:color w:val="000000"/>
        </w:rPr>
        <w:t xml:space="preserve">require </w:t>
      </w:r>
      <w:r w:rsidR="00BE3372">
        <w:rPr>
          <w:color w:val="000000"/>
        </w:rPr>
        <w:t xml:space="preserve">remedial action.  </w:t>
      </w:r>
      <w:r w:rsidR="00D91A76">
        <w:rPr>
          <w:color w:val="000000"/>
        </w:rPr>
        <w:t>But that case is distinguishable because the court of appeal’s prior direction</w:t>
      </w:r>
      <w:r w:rsidR="00757EAA">
        <w:rPr>
          <w:color w:val="000000"/>
        </w:rPr>
        <w:t xml:space="preserve"> to the trial court</w:t>
      </w:r>
      <w:r w:rsidR="00D91A76">
        <w:rPr>
          <w:color w:val="000000"/>
        </w:rPr>
        <w:t xml:space="preserve"> </w:t>
      </w:r>
      <w:r w:rsidR="00A54EE8">
        <w:rPr>
          <w:color w:val="000000"/>
        </w:rPr>
        <w:t xml:space="preserve">did not order </w:t>
      </w:r>
      <w:r w:rsidR="00D91A76">
        <w:rPr>
          <w:color w:val="000000"/>
        </w:rPr>
        <w:t xml:space="preserve">remedial action in compliance with CEQA.  </w:t>
      </w:r>
      <w:r w:rsidR="00066C85">
        <w:rPr>
          <w:color w:val="000000"/>
        </w:rPr>
        <w:t>(</w:t>
      </w:r>
      <w:r w:rsidR="0060229D" w:rsidRPr="002A3F2E">
        <w:rPr>
          <w:i/>
          <w:iCs/>
          <w:color w:val="000000"/>
        </w:rPr>
        <w:t>McCann</w:t>
      </w:r>
      <w:r w:rsidR="0060229D" w:rsidRPr="008031D8">
        <w:rPr>
          <w:i/>
          <w:iCs/>
          <w:color w:val="000000"/>
        </w:rPr>
        <w:t>,</w:t>
      </w:r>
      <w:r w:rsidR="0060229D">
        <w:rPr>
          <w:color w:val="000000"/>
        </w:rPr>
        <w:t xml:space="preserve"> </w:t>
      </w:r>
      <w:r w:rsidR="0060229D" w:rsidRPr="002A3F2E">
        <w:rPr>
          <w:i/>
          <w:iCs/>
          <w:color w:val="000000"/>
        </w:rPr>
        <w:t>supra</w:t>
      </w:r>
      <w:r w:rsidR="0060229D">
        <w:rPr>
          <w:color w:val="000000"/>
        </w:rPr>
        <w:t>, 94 Cal.App.5th</w:t>
      </w:r>
      <w:r w:rsidR="00066C85">
        <w:rPr>
          <w:color w:val="000000"/>
        </w:rPr>
        <w:t xml:space="preserve"> at p. 2</w:t>
      </w:r>
      <w:r w:rsidR="00D91A76">
        <w:rPr>
          <w:color w:val="000000"/>
        </w:rPr>
        <w:t>93</w:t>
      </w:r>
      <w:r w:rsidR="00066C85">
        <w:rPr>
          <w:color w:val="000000"/>
        </w:rPr>
        <w:t>.)</w:t>
      </w:r>
      <w:r w:rsidR="00D91A76">
        <w:rPr>
          <w:color w:val="000000"/>
        </w:rPr>
        <w:t xml:space="preserve">  </w:t>
      </w:r>
      <w:r w:rsidR="00757EAA">
        <w:rPr>
          <w:color w:val="000000"/>
        </w:rPr>
        <w:t xml:space="preserve">Unlike in </w:t>
      </w:r>
      <w:r w:rsidR="00757EAA" w:rsidRPr="002A3F2E">
        <w:rPr>
          <w:i/>
          <w:iCs/>
          <w:color w:val="000000"/>
        </w:rPr>
        <w:t>McCann</w:t>
      </w:r>
      <w:r w:rsidR="00757EAA">
        <w:rPr>
          <w:color w:val="000000"/>
        </w:rPr>
        <w:t xml:space="preserve">, </w:t>
      </w:r>
      <w:r>
        <w:rPr>
          <w:color w:val="000000"/>
        </w:rPr>
        <w:t>this court</w:t>
      </w:r>
      <w:r w:rsidR="000B30F9">
        <w:rPr>
          <w:color w:val="000000"/>
        </w:rPr>
        <w:t xml:space="preserve"> </w:t>
      </w:r>
      <w:r>
        <w:rPr>
          <w:color w:val="000000"/>
        </w:rPr>
        <w:t xml:space="preserve">directed </w:t>
      </w:r>
      <w:r w:rsidR="00F43E24">
        <w:rPr>
          <w:color w:val="000000"/>
        </w:rPr>
        <w:t xml:space="preserve">action </w:t>
      </w:r>
      <w:r w:rsidRPr="008E3AE9">
        <w:rPr>
          <w:color w:val="000000"/>
        </w:rPr>
        <w:t xml:space="preserve">consistent with </w:t>
      </w:r>
      <w:r w:rsidR="000B30F9" w:rsidRPr="00611901">
        <w:rPr>
          <w:i/>
          <w:iCs/>
          <w:color w:val="000000"/>
        </w:rPr>
        <w:t>Save Our Capitol</w:t>
      </w:r>
      <w:r w:rsidR="000B30F9" w:rsidRPr="008E3AE9">
        <w:rPr>
          <w:color w:val="000000"/>
        </w:rPr>
        <w:t xml:space="preserve"> </w:t>
      </w:r>
      <w:r>
        <w:rPr>
          <w:color w:val="000000"/>
        </w:rPr>
        <w:t xml:space="preserve">before </w:t>
      </w:r>
      <w:r w:rsidR="00F43E24">
        <w:rPr>
          <w:color w:val="000000"/>
        </w:rPr>
        <w:t>re</w:t>
      </w:r>
      <w:r>
        <w:rPr>
          <w:color w:val="000000"/>
        </w:rPr>
        <w:t>certif</w:t>
      </w:r>
      <w:r w:rsidR="007F0A81">
        <w:rPr>
          <w:color w:val="000000"/>
        </w:rPr>
        <w:t xml:space="preserve">ication of </w:t>
      </w:r>
      <w:r>
        <w:rPr>
          <w:color w:val="000000"/>
        </w:rPr>
        <w:t>the EIR.  (</w:t>
      </w:r>
      <w:r w:rsidRPr="0016065C">
        <w:rPr>
          <w:i/>
          <w:iCs/>
          <w:color w:val="000000"/>
        </w:rPr>
        <w:t>Save Our Capitol</w:t>
      </w:r>
      <w:r w:rsidRPr="008031D8">
        <w:rPr>
          <w:i/>
          <w:iCs/>
          <w:color w:val="000000"/>
        </w:rPr>
        <w:t>,</w:t>
      </w:r>
      <w:r w:rsidR="00ED335E">
        <w:rPr>
          <w:color w:val="000000"/>
        </w:rPr>
        <w:t xml:space="preserve"> </w:t>
      </w:r>
      <w:r w:rsidR="00ED335E">
        <w:t>87</w:t>
      </w:r>
      <w:r w:rsidR="00C013AA">
        <w:t> </w:t>
      </w:r>
      <w:r w:rsidR="00ED335E">
        <w:t>Cal.App.5th</w:t>
      </w:r>
      <w:r>
        <w:rPr>
          <w:color w:val="000000"/>
        </w:rPr>
        <w:t xml:space="preserve"> at p. 711.)</w:t>
      </w:r>
    </w:p>
    <w:p w14:paraId="62EEA5F7" w14:textId="58140B76" w:rsidR="0005227A" w:rsidRDefault="00E16253" w:rsidP="0005227A">
      <w:pPr>
        <w:shd w:val="clear" w:color="auto" w:fill="FFFFFF"/>
        <w:rPr>
          <w:color w:val="000000"/>
        </w:rPr>
      </w:pPr>
      <w:r>
        <w:rPr>
          <w:color w:val="000000"/>
        </w:rPr>
        <w:tab/>
      </w:r>
      <w:r w:rsidR="00E243AC">
        <w:rPr>
          <w:color w:val="000000"/>
        </w:rPr>
        <w:t xml:space="preserve">Noting that </w:t>
      </w:r>
      <w:r w:rsidR="008E3C5E">
        <w:rPr>
          <w:color w:val="000000"/>
        </w:rPr>
        <w:t xml:space="preserve">Save the Capitol </w:t>
      </w:r>
      <w:r>
        <w:rPr>
          <w:color w:val="000000"/>
        </w:rPr>
        <w:t>drafted the language of the peremptory writ</w:t>
      </w:r>
      <w:r w:rsidR="00E243AC">
        <w:rPr>
          <w:color w:val="000000"/>
        </w:rPr>
        <w:t xml:space="preserve">, DGS argues it </w:t>
      </w:r>
      <w:r w:rsidR="008E3C5E">
        <w:rPr>
          <w:color w:val="000000"/>
        </w:rPr>
        <w:t>sho</w:t>
      </w:r>
      <w:r w:rsidR="00872395">
        <w:rPr>
          <w:color w:val="000000"/>
        </w:rPr>
        <w:t xml:space="preserve">uld have made its preferred interpretation explicit but did not do so.  </w:t>
      </w:r>
      <w:r w:rsidR="00E243AC">
        <w:rPr>
          <w:color w:val="000000"/>
        </w:rPr>
        <w:t xml:space="preserve">Although </w:t>
      </w:r>
      <w:r w:rsidR="00872395">
        <w:rPr>
          <w:color w:val="000000"/>
        </w:rPr>
        <w:t>clear</w:t>
      </w:r>
      <w:r w:rsidR="008E3C5E">
        <w:rPr>
          <w:color w:val="000000"/>
        </w:rPr>
        <w:t>er</w:t>
      </w:r>
      <w:r w:rsidR="00872395">
        <w:rPr>
          <w:color w:val="000000"/>
        </w:rPr>
        <w:t xml:space="preserve"> </w:t>
      </w:r>
      <w:r w:rsidR="00E243AC">
        <w:rPr>
          <w:color w:val="000000"/>
        </w:rPr>
        <w:t xml:space="preserve">writ language would have been </w:t>
      </w:r>
      <w:r w:rsidR="00872395">
        <w:rPr>
          <w:color w:val="000000"/>
        </w:rPr>
        <w:t xml:space="preserve">preferrable, </w:t>
      </w:r>
      <w:r w:rsidR="00E243AC">
        <w:rPr>
          <w:color w:val="000000"/>
        </w:rPr>
        <w:t xml:space="preserve">as we have explained, the language encompassed </w:t>
      </w:r>
      <w:r w:rsidR="00FB2719">
        <w:rPr>
          <w:color w:val="000000"/>
        </w:rPr>
        <w:t xml:space="preserve">applicable </w:t>
      </w:r>
      <w:r w:rsidR="00E243AC">
        <w:rPr>
          <w:color w:val="000000"/>
        </w:rPr>
        <w:t xml:space="preserve">law, </w:t>
      </w:r>
      <w:r w:rsidR="00FB2719">
        <w:rPr>
          <w:color w:val="000000"/>
        </w:rPr>
        <w:t xml:space="preserve">the purpose of the writ in this context, and </w:t>
      </w:r>
      <w:r w:rsidR="00E243AC">
        <w:rPr>
          <w:color w:val="000000"/>
        </w:rPr>
        <w:t>this court’s order, and could not properly deviate from those things.</w:t>
      </w:r>
    </w:p>
    <w:p w14:paraId="467EBB30" w14:textId="2FB0B04B" w:rsidR="00B564C6" w:rsidRDefault="00E16253" w:rsidP="00B564C6">
      <w:pPr>
        <w:shd w:val="clear" w:color="auto" w:fill="FFFFFF"/>
        <w:rPr>
          <w:color w:val="000000"/>
        </w:rPr>
      </w:pPr>
      <w:r>
        <w:rPr>
          <w:color w:val="000000"/>
        </w:rPr>
        <w:tab/>
        <w:t xml:space="preserve">DGS </w:t>
      </w:r>
      <w:r w:rsidR="001A193A">
        <w:rPr>
          <w:color w:val="000000"/>
        </w:rPr>
        <w:t xml:space="preserve">further </w:t>
      </w:r>
      <w:r>
        <w:rPr>
          <w:color w:val="000000"/>
        </w:rPr>
        <w:t xml:space="preserve">argues </w:t>
      </w:r>
      <w:r w:rsidR="001A193A">
        <w:rPr>
          <w:color w:val="000000"/>
        </w:rPr>
        <w:t xml:space="preserve">a remedial </w:t>
      </w:r>
      <w:r>
        <w:rPr>
          <w:color w:val="000000"/>
        </w:rPr>
        <w:t>requirement is unworkable because it would</w:t>
      </w:r>
      <w:r w:rsidR="001A193A">
        <w:rPr>
          <w:color w:val="000000"/>
        </w:rPr>
        <w:t xml:space="preserve"> permit </w:t>
      </w:r>
      <w:r>
        <w:rPr>
          <w:color w:val="000000"/>
        </w:rPr>
        <w:t xml:space="preserve">simultaneous identical challenges to the revised EIR, creating the potential for inconsistent adjudications of the same issue.  </w:t>
      </w:r>
      <w:r w:rsidR="007E0901">
        <w:rPr>
          <w:color w:val="000000"/>
        </w:rPr>
        <w:t xml:space="preserve">DGS points out that </w:t>
      </w:r>
      <w:r w:rsidR="00E453D0">
        <w:rPr>
          <w:color w:val="000000"/>
        </w:rPr>
        <w:t xml:space="preserve">the other plaintiff in the </w:t>
      </w:r>
      <w:r w:rsidR="00E453D0">
        <w:rPr>
          <w:color w:val="000000"/>
        </w:rPr>
        <w:lastRenderedPageBreak/>
        <w:t xml:space="preserve">underlying case, </w:t>
      </w:r>
      <w:r>
        <w:rPr>
          <w:color w:val="000000"/>
        </w:rPr>
        <w:t xml:space="preserve">Save Our </w:t>
      </w:r>
      <w:proofErr w:type="gramStart"/>
      <w:r>
        <w:rPr>
          <w:color w:val="000000"/>
        </w:rPr>
        <w:t>Capitol!,</w:t>
      </w:r>
      <w:proofErr w:type="gramEnd"/>
      <w:r>
        <w:rPr>
          <w:color w:val="000000"/>
        </w:rPr>
        <w:t xml:space="preserve"> elected to challenge</w:t>
      </w:r>
      <w:r w:rsidR="00E453D0">
        <w:rPr>
          <w:color w:val="000000"/>
        </w:rPr>
        <w:t xml:space="preserve"> the adequacy of the revised EIR by new writ, whereas </w:t>
      </w:r>
      <w:r w:rsidR="007E0901">
        <w:rPr>
          <w:color w:val="000000"/>
        </w:rPr>
        <w:t xml:space="preserve">Save the Capitol </w:t>
      </w:r>
      <w:r w:rsidR="00E453D0">
        <w:rPr>
          <w:color w:val="000000"/>
        </w:rPr>
        <w:t xml:space="preserve">elected to do so by objection to DGS’s writ return.  DGS </w:t>
      </w:r>
      <w:r w:rsidR="00F35202">
        <w:rPr>
          <w:color w:val="000000"/>
        </w:rPr>
        <w:t xml:space="preserve">notes that </w:t>
      </w:r>
      <w:r w:rsidR="00E453D0">
        <w:rPr>
          <w:color w:val="000000"/>
        </w:rPr>
        <w:t xml:space="preserve">certain procedural deadlines and rules apply to new writs, whereas no specific deadlines or rules apply to adjudicating objections to a writ return.  DGS does not explain, however, why the </w:t>
      </w:r>
      <w:r w:rsidR="000572B0">
        <w:rPr>
          <w:color w:val="000000"/>
        </w:rPr>
        <w:t xml:space="preserve">potential for inconsistent adjudications and procedures could not be avoided through a trial court order of </w:t>
      </w:r>
      <w:r w:rsidR="00E453D0">
        <w:rPr>
          <w:color w:val="000000"/>
        </w:rPr>
        <w:t>consolidat</w:t>
      </w:r>
      <w:r w:rsidR="000572B0">
        <w:rPr>
          <w:color w:val="000000"/>
        </w:rPr>
        <w:t>ion</w:t>
      </w:r>
      <w:r w:rsidR="00E453D0">
        <w:rPr>
          <w:color w:val="000000"/>
        </w:rPr>
        <w:t xml:space="preserve">.  </w:t>
      </w:r>
      <w:r w:rsidR="002B4207">
        <w:rPr>
          <w:color w:val="000000"/>
        </w:rPr>
        <w:t xml:space="preserve">Although the </w:t>
      </w:r>
      <w:r w:rsidR="00F71A09">
        <w:rPr>
          <w:color w:val="000000"/>
        </w:rPr>
        <w:t xml:space="preserve">law </w:t>
      </w:r>
      <w:r w:rsidR="002B4207">
        <w:rPr>
          <w:color w:val="000000"/>
        </w:rPr>
        <w:t xml:space="preserve">allows </w:t>
      </w:r>
      <w:r>
        <w:rPr>
          <w:color w:val="000000"/>
        </w:rPr>
        <w:t xml:space="preserve">a plaintiff </w:t>
      </w:r>
      <w:r w:rsidR="002B4207">
        <w:rPr>
          <w:color w:val="000000"/>
        </w:rPr>
        <w:t xml:space="preserve">to </w:t>
      </w:r>
      <w:r>
        <w:rPr>
          <w:color w:val="000000"/>
        </w:rPr>
        <w:t xml:space="preserve">challenge </w:t>
      </w:r>
      <w:r w:rsidR="00F71A09">
        <w:rPr>
          <w:color w:val="000000"/>
        </w:rPr>
        <w:t xml:space="preserve">an </w:t>
      </w:r>
      <w:r>
        <w:rPr>
          <w:color w:val="000000"/>
        </w:rPr>
        <w:t xml:space="preserve">agency’s purported </w:t>
      </w:r>
      <w:r w:rsidR="00F71A09">
        <w:rPr>
          <w:color w:val="000000"/>
        </w:rPr>
        <w:t xml:space="preserve">CEQA </w:t>
      </w:r>
      <w:r>
        <w:rPr>
          <w:color w:val="000000"/>
        </w:rPr>
        <w:t xml:space="preserve">compliance by new or supplemental writ, </w:t>
      </w:r>
      <w:r w:rsidR="002B4207">
        <w:rPr>
          <w:color w:val="000000"/>
        </w:rPr>
        <w:t xml:space="preserve">it also allows a plaintiff to </w:t>
      </w:r>
      <w:r>
        <w:rPr>
          <w:color w:val="000000"/>
        </w:rPr>
        <w:t>instead file objections to the writ return.  (</w:t>
      </w:r>
      <w:r w:rsidRPr="00DB1BCB">
        <w:rPr>
          <w:i/>
          <w:iCs/>
          <w:color w:val="000000"/>
        </w:rPr>
        <w:t>Carmel-</w:t>
      </w:r>
      <w:r w:rsidR="008031D8">
        <w:rPr>
          <w:i/>
          <w:iCs/>
          <w:color w:val="000000"/>
        </w:rPr>
        <w:t>b</w:t>
      </w:r>
      <w:r w:rsidRPr="00DB1BCB">
        <w:rPr>
          <w:i/>
          <w:iCs/>
          <w:color w:val="000000"/>
        </w:rPr>
        <w:t>y-</w:t>
      </w:r>
      <w:r w:rsidR="008031D8">
        <w:rPr>
          <w:i/>
          <w:iCs/>
          <w:color w:val="000000"/>
        </w:rPr>
        <w:t>t</w:t>
      </w:r>
      <w:r w:rsidRPr="00DB1BCB">
        <w:rPr>
          <w:i/>
          <w:iCs/>
          <w:color w:val="000000"/>
        </w:rPr>
        <w:t>he-Sea</w:t>
      </w:r>
      <w:r w:rsidR="008031D8">
        <w:rPr>
          <w:i/>
          <w:iCs/>
          <w:color w:val="000000"/>
        </w:rPr>
        <w:t>,</w:t>
      </w:r>
      <w:r>
        <w:rPr>
          <w:color w:val="000000"/>
        </w:rPr>
        <w:t xml:space="preserve"> </w:t>
      </w:r>
      <w:r w:rsidRPr="00B564C6">
        <w:rPr>
          <w:i/>
          <w:iCs/>
          <w:color w:val="000000"/>
        </w:rPr>
        <w:t>supra</w:t>
      </w:r>
      <w:r>
        <w:rPr>
          <w:color w:val="000000"/>
        </w:rPr>
        <w:t xml:space="preserve">, 137 Cal.App.3d at p. 971; see also </w:t>
      </w:r>
      <w:r w:rsidRPr="002E1ADD">
        <w:rPr>
          <w:i/>
          <w:iCs/>
          <w:color w:val="000000"/>
        </w:rPr>
        <w:t>County of Inyo</w:t>
      </w:r>
      <w:r w:rsidRPr="008031D8">
        <w:rPr>
          <w:i/>
          <w:iCs/>
          <w:color w:val="000000"/>
        </w:rPr>
        <w:t>,</w:t>
      </w:r>
      <w:r>
        <w:rPr>
          <w:color w:val="000000"/>
        </w:rPr>
        <w:t xml:space="preserve"> </w:t>
      </w:r>
      <w:r w:rsidRPr="002E1ADD">
        <w:rPr>
          <w:i/>
          <w:iCs/>
          <w:color w:val="000000"/>
        </w:rPr>
        <w:t>supra</w:t>
      </w:r>
      <w:r>
        <w:rPr>
          <w:color w:val="000000"/>
        </w:rPr>
        <w:t>, 71</w:t>
      </w:r>
      <w:r w:rsidR="00C013AA">
        <w:rPr>
          <w:color w:val="000000"/>
        </w:rPr>
        <w:t> </w:t>
      </w:r>
      <w:r>
        <w:rPr>
          <w:color w:val="000000"/>
        </w:rPr>
        <w:t xml:space="preserve">Cal.App.3d at p. 203.)  Where two plaintiffs in the same case elect to pursue different means of enforcing CEQA compliance, </w:t>
      </w:r>
      <w:r w:rsidR="00B646BC">
        <w:rPr>
          <w:color w:val="000000"/>
        </w:rPr>
        <w:t>we perceive no impediment to the trial court’s ability to consolidate the matters and issue a single decision.</w:t>
      </w:r>
    </w:p>
    <w:p w14:paraId="02D699E1" w14:textId="28680224" w:rsidR="0005227A" w:rsidRDefault="00E16253" w:rsidP="0005227A">
      <w:pPr>
        <w:shd w:val="clear" w:color="auto" w:fill="FFFFFF"/>
        <w:rPr>
          <w:color w:val="000000"/>
        </w:rPr>
      </w:pPr>
      <w:r>
        <w:rPr>
          <w:color w:val="000000"/>
        </w:rPr>
        <w:tab/>
      </w:r>
      <w:r w:rsidR="0090015D">
        <w:rPr>
          <w:color w:val="000000"/>
        </w:rPr>
        <w:t xml:space="preserve">In addition, </w:t>
      </w:r>
      <w:r>
        <w:rPr>
          <w:color w:val="000000"/>
        </w:rPr>
        <w:t xml:space="preserve">DGS complains that allowing </w:t>
      </w:r>
      <w:r w:rsidR="0021705E">
        <w:rPr>
          <w:color w:val="000000"/>
        </w:rPr>
        <w:t xml:space="preserve">Save the Capitol </w:t>
      </w:r>
      <w:r>
        <w:rPr>
          <w:color w:val="000000"/>
        </w:rPr>
        <w:t xml:space="preserve">to challenge the adequacy of the revised EIR by objecting to the writ return </w:t>
      </w:r>
      <w:r w:rsidR="0060229D">
        <w:rPr>
          <w:color w:val="000000"/>
        </w:rPr>
        <w:t xml:space="preserve">would </w:t>
      </w:r>
      <w:r>
        <w:rPr>
          <w:color w:val="000000"/>
        </w:rPr>
        <w:t>“</w:t>
      </w:r>
      <w:r w:rsidR="0060229D">
        <w:rPr>
          <w:color w:val="000000"/>
        </w:rPr>
        <w:t xml:space="preserve">recast the return as an opening to bring new merits challenges.”  Not so.  In </w:t>
      </w:r>
      <w:r w:rsidR="0060229D" w:rsidRPr="0060229D">
        <w:rPr>
          <w:i/>
          <w:iCs/>
          <w:color w:val="000000"/>
        </w:rPr>
        <w:t>County of Inyo</w:t>
      </w:r>
      <w:r w:rsidR="0060229D">
        <w:rPr>
          <w:color w:val="000000"/>
        </w:rPr>
        <w:t xml:space="preserve">, </w:t>
      </w:r>
      <w:r w:rsidR="00C92290">
        <w:rPr>
          <w:color w:val="000000"/>
        </w:rPr>
        <w:t>after issuing a writ of mandate directing the public agency to prepare a legally sufficient EIR for a certain project, this court sustained the petitioner’s objection to the agency’s writ return because the EIR failed to comply with CEQA.  (</w:t>
      </w:r>
      <w:r w:rsidR="00C92290" w:rsidRPr="00C92290">
        <w:rPr>
          <w:i/>
          <w:iCs/>
          <w:color w:val="000000"/>
        </w:rPr>
        <w:t>County of Inyo</w:t>
      </w:r>
      <w:r w:rsidR="00C92290" w:rsidRPr="008031D8">
        <w:rPr>
          <w:i/>
          <w:iCs/>
          <w:color w:val="000000"/>
        </w:rPr>
        <w:t>,</w:t>
      </w:r>
      <w:r w:rsidR="00C92290">
        <w:rPr>
          <w:color w:val="000000"/>
        </w:rPr>
        <w:t xml:space="preserve"> </w:t>
      </w:r>
      <w:r w:rsidR="00C92290" w:rsidRPr="00C92290">
        <w:rPr>
          <w:i/>
          <w:iCs/>
          <w:color w:val="000000"/>
        </w:rPr>
        <w:t>supra</w:t>
      </w:r>
      <w:r w:rsidR="00C92290">
        <w:rPr>
          <w:color w:val="000000"/>
        </w:rPr>
        <w:t>, 71 Cal.App.3d at pp. 188-189, 203</w:t>
      </w:r>
      <w:proofErr w:type="gramStart"/>
      <w:r w:rsidR="00C92290">
        <w:rPr>
          <w:color w:val="000000"/>
        </w:rPr>
        <w:t xml:space="preserve">)  </w:t>
      </w:r>
      <w:r w:rsidR="0090015D">
        <w:rPr>
          <w:color w:val="000000"/>
        </w:rPr>
        <w:t>But</w:t>
      </w:r>
      <w:proofErr w:type="gramEnd"/>
      <w:r w:rsidR="0090015D">
        <w:rPr>
          <w:color w:val="000000"/>
        </w:rPr>
        <w:t xml:space="preserve"> this court </w:t>
      </w:r>
      <w:r w:rsidR="00C92290">
        <w:rPr>
          <w:color w:val="000000"/>
        </w:rPr>
        <w:t xml:space="preserve">declined to address issues </w:t>
      </w:r>
      <w:r w:rsidR="0090015D">
        <w:rPr>
          <w:color w:val="000000"/>
        </w:rPr>
        <w:t xml:space="preserve">beyond </w:t>
      </w:r>
      <w:r w:rsidR="00C34150">
        <w:rPr>
          <w:color w:val="000000"/>
        </w:rPr>
        <w:t xml:space="preserve">what </w:t>
      </w:r>
      <w:r w:rsidR="0090015D">
        <w:rPr>
          <w:color w:val="000000"/>
        </w:rPr>
        <w:t xml:space="preserve">had been required by the </w:t>
      </w:r>
      <w:r w:rsidR="00C34150">
        <w:rPr>
          <w:color w:val="000000"/>
        </w:rPr>
        <w:t>writ of mandate.  (</w:t>
      </w:r>
      <w:r w:rsidR="00C34150" w:rsidRPr="00C34150">
        <w:rPr>
          <w:i/>
          <w:iCs/>
          <w:color w:val="000000"/>
        </w:rPr>
        <w:t>Id</w:t>
      </w:r>
      <w:r w:rsidR="00C34150">
        <w:rPr>
          <w:color w:val="000000"/>
        </w:rPr>
        <w:t xml:space="preserve">. at p. 204.)  Here, </w:t>
      </w:r>
      <w:r w:rsidR="002B4207">
        <w:rPr>
          <w:color w:val="000000"/>
        </w:rPr>
        <w:t xml:space="preserve">the trial court must determine that the </w:t>
      </w:r>
      <w:r w:rsidR="00C34150">
        <w:rPr>
          <w:color w:val="000000"/>
        </w:rPr>
        <w:t xml:space="preserve">revised EIR </w:t>
      </w:r>
      <w:r w:rsidR="0090015D">
        <w:rPr>
          <w:color w:val="000000"/>
        </w:rPr>
        <w:t xml:space="preserve">is consistent with </w:t>
      </w:r>
      <w:r w:rsidR="0090015D" w:rsidRPr="0016065C">
        <w:rPr>
          <w:i/>
          <w:iCs/>
          <w:color w:val="000000"/>
        </w:rPr>
        <w:t>Save Our Capitol</w:t>
      </w:r>
      <w:r w:rsidR="0090015D">
        <w:rPr>
          <w:color w:val="000000"/>
        </w:rPr>
        <w:t xml:space="preserve"> </w:t>
      </w:r>
      <w:r w:rsidR="00C34150">
        <w:rPr>
          <w:color w:val="000000"/>
        </w:rPr>
        <w:t>before the writ may be discharged, but no new issues may be raised by objection to DGS’s writ return.</w:t>
      </w:r>
    </w:p>
    <w:p w14:paraId="184D37F5" w14:textId="2CF97C99" w:rsidR="00607764" w:rsidRDefault="00E16253" w:rsidP="00607764">
      <w:pPr>
        <w:keepNext/>
        <w:shd w:val="clear" w:color="auto" w:fill="FFFFFF"/>
        <w:jc w:val="center"/>
        <w:rPr>
          <w:color w:val="000000"/>
        </w:rPr>
      </w:pPr>
      <w:r>
        <w:rPr>
          <w:color w:val="000000"/>
        </w:rPr>
        <w:t>II</w:t>
      </w:r>
    </w:p>
    <w:p w14:paraId="1B329162" w14:textId="6B33E1A5" w:rsidR="00971EBE" w:rsidRDefault="00E16253" w:rsidP="00971EBE">
      <w:r>
        <w:rPr>
          <w:color w:val="000000"/>
        </w:rPr>
        <w:tab/>
      </w:r>
      <w:r w:rsidR="006347E0">
        <w:t>Save the Capitol</w:t>
      </w:r>
      <w:r>
        <w:t xml:space="preserve"> also contends </w:t>
      </w:r>
      <w:r w:rsidR="00270562">
        <w:t xml:space="preserve">that </w:t>
      </w:r>
      <w:r>
        <w:t>discharge of the writ was premature because DGS has not yet reapproved the visitor center component of the project.</w:t>
      </w:r>
    </w:p>
    <w:p w14:paraId="6A11BE36" w14:textId="40646B4E" w:rsidR="00607764" w:rsidRDefault="00E16253" w:rsidP="004A4348">
      <w:pPr>
        <w:rPr>
          <w:color w:val="000000"/>
        </w:rPr>
      </w:pPr>
      <w:r>
        <w:tab/>
      </w:r>
      <w:r w:rsidR="0096496F">
        <w:t xml:space="preserve">Citing </w:t>
      </w:r>
      <w:proofErr w:type="spellStart"/>
      <w:r w:rsidR="009E0409" w:rsidRPr="009E0409">
        <w:rPr>
          <w:i/>
          <w:iCs/>
        </w:rPr>
        <w:t>Dusek</w:t>
      </w:r>
      <w:proofErr w:type="spellEnd"/>
      <w:r w:rsidR="009E0409" w:rsidRPr="009E0409">
        <w:rPr>
          <w:i/>
          <w:iCs/>
        </w:rPr>
        <w:t xml:space="preserve"> v. Redevelopment Agency </w:t>
      </w:r>
      <w:r w:rsidR="009E0409">
        <w:t xml:space="preserve">(1985) 173 Cal.App.3d 1029, the trial court </w:t>
      </w:r>
      <w:r w:rsidR="00270562">
        <w:t xml:space="preserve">concluded </w:t>
      </w:r>
      <w:r w:rsidR="0096496F">
        <w:t xml:space="preserve">that an action approved by the public agency may be smaller than the </w:t>
      </w:r>
      <w:r w:rsidR="0096496F">
        <w:lastRenderedPageBreak/>
        <w:t xml:space="preserve">entire project initially described in the EIR.  </w:t>
      </w:r>
      <w:r w:rsidR="00270562">
        <w:t xml:space="preserve">We agree.  </w:t>
      </w:r>
      <w:r w:rsidR="0096496F">
        <w:t>Approval of a project that is narrower than the project initially proposed is not an abuse of discretion.  (</w:t>
      </w:r>
      <w:r w:rsidR="008031D8">
        <w:rPr>
          <w:i/>
          <w:iCs/>
        </w:rPr>
        <w:t>Id.</w:t>
      </w:r>
      <w:r w:rsidR="0096496F">
        <w:t xml:space="preserve"> at p. 1041; see also </w:t>
      </w:r>
      <w:r w:rsidR="0096496F" w:rsidRPr="0096496F">
        <w:rPr>
          <w:i/>
          <w:iCs/>
        </w:rPr>
        <w:t>Sierra Club v. City of Orange</w:t>
      </w:r>
      <w:r w:rsidR="0096496F">
        <w:t xml:space="preserve"> (2008) 163 Cal.App.4th 523, 529.)  </w:t>
      </w:r>
      <w:r w:rsidR="00CB26BA">
        <w:t>A</w:t>
      </w:r>
      <w:r w:rsidR="00527D97">
        <w:t xml:space="preserve">pproving only two of the three project components does not operate as an impediment to discharge of the writ.  In other words, as things currently stand, the proposed visitor center is not part of the </w:t>
      </w:r>
      <w:r w:rsidR="000E4CC4">
        <w:t xml:space="preserve">approved </w:t>
      </w:r>
      <w:r w:rsidR="00527D97">
        <w:t xml:space="preserve">project.  If the visitor center is later approved, </w:t>
      </w:r>
      <w:r w:rsidR="000E4CC4">
        <w:t xml:space="preserve">that decision </w:t>
      </w:r>
      <w:r w:rsidR="00527D97">
        <w:t xml:space="preserve">would trigger a new deadline to </w:t>
      </w:r>
      <w:r w:rsidR="000E4CC4">
        <w:t xml:space="preserve">bring a </w:t>
      </w:r>
      <w:r w:rsidR="00527D97">
        <w:t xml:space="preserve">challenge under CEQA.  </w:t>
      </w:r>
      <w:r w:rsidR="000E4CC4">
        <w:t xml:space="preserve">(See § 21167.) </w:t>
      </w:r>
      <w:r w:rsidR="003C4624">
        <w:t xml:space="preserve"> T</w:t>
      </w:r>
      <w:r w:rsidR="000E4CC4">
        <w:t xml:space="preserve">he trial court must determine </w:t>
      </w:r>
      <w:r w:rsidR="005255EC">
        <w:t xml:space="preserve">that </w:t>
      </w:r>
      <w:r w:rsidR="000E4CC4">
        <w:t xml:space="preserve">the revised EIR </w:t>
      </w:r>
      <w:r w:rsidR="00270562">
        <w:t xml:space="preserve">is consistent with </w:t>
      </w:r>
      <w:r w:rsidR="00270562" w:rsidRPr="00270562">
        <w:rPr>
          <w:i/>
          <w:iCs/>
        </w:rPr>
        <w:t>Save Our Capitol</w:t>
      </w:r>
      <w:r w:rsidR="00270562">
        <w:t xml:space="preserve"> before discharging the writ, but </w:t>
      </w:r>
      <w:r w:rsidR="000E4CC4">
        <w:t>only with respect to the approved project components.</w:t>
      </w:r>
    </w:p>
    <w:p w14:paraId="1D00DF67" w14:textId="3C1602E5" w:rsidR="00607764" w:rsidRDefault="00E16253" w:rsidP="00607764">
      <w:pPr>
        <w:keepNext/>
        <w:shd w:val="clear" w:color="auto" w:fill="FFFFFF"/>
        <w:jc w:val="center"/>
        <w:rPr>
          <w:color w:val="000000"/>
        </w:rPr>
      </w:pPr>
      <w:r>
        <w:rPr>
          <w:color w:val="000000"/>
        </w:rPr>
        <w:t>DISPOSITION</w:t>
      </w:r>
    </w:p>
    <w:p w14:paraId="72DEB242" w14:textId="2DE0A7B2" w:rsidR="00607764" w:rsidRDefault="00E16253" w:rsidP="00B83902">
      <w:pPr>
        <w:shd w:val="clear" w:color="auto" w:fill="FFFFFF"/>
      </w:pPr>
      <w:r>
        <w:rPr>
          <w:color w:val="000000"/>
        </w:rPr>
        <w:tab/>
        <w:t>T</w:t>
      </w:r>
      <w:r w:rsidR="002F1117">
        <w:rPr>
          <w:color w:val="000000"/>
        </w:rPr>
        <w:t xml:space="preserve">he judgment is </w:t>
      </w:r>
      <w:proofErr w:type="gramStart"/>
      <w:r w:rsidR="002F1117">
        <w:rPr>
          <w:color w:val="000000"/>
        </w:rPr>
        <w:t>reversed</w:t>
      </w:r>
      <w:proofErr w:type="gramEnd"/>
      <w:r w:rsidR="002F1117">
        <w:rPr>
          <w:color w:val="000000"/>
        </w:rPr>
        <w:t xml:space="preserve"> and the matter is remanded to the trial court </w:t>
      </w:r>
      <w:r w:rsidR="00B83902">
        <w:rPr>
          <w:color w:val="000000"/>
        </w:rPr>
        <w:t xml:space="preserve">for </w:t>
      </w:r>
      <w:r w:rsidR="004A4348">
        <w:rPr>
          <w:color w:val="000000"/>
        </w:rPr>
        <w:t xml:space="preserve">further proceedings.  </w:t>
      </w:r>
      <w:r w:rsidR="005255EC">
        <w:rPr>
          <w:color w:val="000000"/>
        </w:rPr>
        <w:t xml:space="preserve">As to the approved project components, the </w:t>
      </w:r>
      <w:r w:rsidR="004A4348">
        <w:rPr>
          <w:color w:val="000000"/>
        </w:rPr>
        <w:t xml:space="preserve">trial court </w:t>
      </w:r>
      <w:r w:rsidR="005255EC">
        <w:rPr>
          <w:color w:val="000000"/>
        </w:rPr>
        <w:t>must</w:t>
      </w:r>
      <w:r w:rsidR="004A4348">
        <w:rPr>
          <w:color w:val="000000"/>
        </w:rPr>
        <w:t xml:space="preserve"> determine that the </w:t>
      </w:r>
      <w:r w:rsidR="00B83902">
        <w:rPr>
          <w:color w:val="000000"/>
        </w:rPr>
        <w:t xml:space="preserve">revised EIR </w:t>
      </w:r>
      <w:r w:rsidR="004A4348">
        <w:rPr>
          <w:color w:val="000000"/>
        </w:rPr>
        <w:t xml:space="preserve">is consistent with </w:t>
      </w:r>
      <w:r w:rsidR="00B83902" w:rsidRPr="00B83902">
        <w:rPr>
          <w:i/>
          <w:iCs/>
          <w:color w:val="000000"/>
        </w:rPr>
        <w:t>Save Our Capitol</w:t>
      </w:r>
      <w:r w:rsidR="00B83902" w:rsidRPr="008031D8">
        <w:rPr>
          <w:i/>
          <w:iCs/>
          <w:color w:val="000000"/>
        </w:rPr>
        <w:t>,</w:t>
      </w:r>
      <w:r w:rsidR="00B83902">
        <w:rPr>
          <w:color w:val="000000"/>
        </w:rPr>
        <w:t xml:space="preserve"> </w:t>
      </w:r>
      <w:r w:rsidR="00B83902" w:rsidRPr="00B83902">
        <w:rPr>
          <w:i/>
          <w:iCs/>
          <w:color w:val="000000"/>
        </w:rPr>
        <w:t>supra</w:t>
      </w:r>
      <w:r w:rsidR="00B83902">
        <w:rPr>
          <w:color w:val="000000"/>
        </w:rPr>
        <w:t xml:space="preserve">, </w:t>
      </w:r>
      <w:r w:rsidR="00B83902">
        <w:t>87 Cal.App.5th 655 before discharging the peremptory writ of mandate.</w:t>
      </w:r>
    </w:p>
    <w:p w14:paraId="15E2BB48" w14:textId="77777777" w:rsidR="00864A40" w:rsidRDefault="00864A40" w:rsidP="00864A40">
      <w:pPr>
        <w:shd w:val="clear" w:color="auto" w:fill="FFFFFF"/>
        <w:spacing w:line="240" w:lineRule="auto"/>
        <w:rPr>
          <w:color w:val="000000"/>
        </w:rPr>
      </w:pPr>
    </w:p>
    <w:p w14:paraId="07B11021" w14:textId="77777777" w:rsidR="00864A40" w:rsidRDefault="00864A40" w:rsidP="00864A40">
      <w:pPr>
        <w:shd w:val="clear" w:color="auto" w:fill="FFFFFF"/>
        <w:spacing w:line="240" w:lineRule="auto"/>
        <w:rPr>
          <w:color w:val="000000"/>
        </w:rPr>
      </w:pPr>
    </w:p>
    <w:p w14:paraId="43C991A9" w14:textId="77777777" w:rsidR="00864A40" w:rsidRDefault="00864A40" w:rsidP="00864A40">
      <w:pPr>
        <w:shd w:val="clear" w:color="auto" w:fill="FFFFFF"/>
        <w:spacing w:line="240" w:lineRule="auto"/>
        <w:rPr>
          <w:color w:val="000000"/>
        </w:rPr>
      </w:pPr>
    </w:p>
    <w:p w14:paraId="691361F0" w14:textId="6DEC7C51" w:rsidR="00864A40" w:rsidRDefault="00E16253" w:rsidP="00864A40">
      <w:pPr>
        <w:shd w:val="clear" w:color="auto" w:fill="FFFFFF"/>
        <w:tabs>
          <w:tab w:val="left" w:pos="5040"/>
          <w:tab w:val="left" w:pos="7920"/>
        </w:tabs>
        <w:spacing w:line="240" w:lineRule="auto"/>
        <w:rPr>
          <w:color w:val="000000"/>
        </w:rPr>
      </w:pPr>
      <w:r>
        <w:rPr>
          <w:color w:val="000000"/>
        </w:rPr>
        <w:tab/>
      </w:r>
      <w:r w:rsidRPr="00864A40">
        <w:rPr>
          <w:color w:val="000000"/>
          <w:u w:val="single"/>
        </w:rPr>
        <w:t xml:space="preserve">          </w:t>
      </w:r>
      <w:r w:rsidR="00313ED3">
        <w:rPr>
          <w:color w:val="000000"/>
          <w:u w:val="single"/>
        </w:rPr>
        <w:t>/S/</w:t>
      </w:r>
      <w:r w:rsidRPr="00864A40">
        <w:rPr>
          <w:color w:val="000000"/>
          <w:u w:val="single"/>
        </w:rPr>
        <w:tab/>
      </w:r>
    </w:p>
    <w:p w14:paraId="582361CD" w14:textId="5D12358A" w:rsidR="00864A40" w:rsidRDefault="00E16253" w:rsidP="00864A40">
      <w:pPr>
        <w:shd w:val="clear" w:color="auto" w:fill="FFFFFF"/>
        <w:tabs>
          <w:tab w:val="left" w:pos="5040"/>
          <w:tab w:val="left" w:pos="7920"/>
        </w:tabs>
        <w:spacing w:line="240" w:lineRule="auto"/>
        <w:rPr>
          <w:color w:val="000000"/>
        </w:rPr>
      </w:pPr>
      <w:r>
        <w:rPr>
          <w:color w:val="000000"/>
        </w:rPr>
        <w:tab/>
        <w:t>MAURO, Acting P. J.</w:t>
      </w:r>
    </w:p>
    <w:p w14:paraId="0955B7F2" w14:textId="77777777" w:rsidR="00864A40" w:rsidRDefault="00864A40" w:rsidP="00864A40">
      <w:pPr>
        <w:shd w:val="clear" w:color="auto" w:fill="FFFFFF"/>
        <w:tabs>
          <w:tab w:val="left" w:pos="5040"/>
          <w:tab w:val="left" w:pos="7920"/>
        </w:tabs>
        <w:spacing w:line="240" w:lineRule="auto"/>
        <w:rPr>
          <w:color w:val="000000"/>
        </w:rPr>
      </w:pPr>
    </w:p>
    <w:p w14:paraId="65D4B98D" w14:textId="77777777" w:rsidR="00864A40" w:rsidRDefault="00864A40" w:rsidP="00864A40">
      <w:pPr>
        <w:shd w:val="clear" w:color="auto" w:fill="FFFFFF"/>
        <w:tabs>
          <w:tab w:val="left" w:pos="5040"/>
          <w:tab w:val="left" w:pos="7920"/>
        </w:tabs>
        <w:spacing w:line="240" w:lineRule="auto"/>
        <w:rPr>
          <w:color w:val="000000"/>
        </w:rPr>
      </w:pPr>
    </w:p>
    <w:p w14:paraId="0ADBD520" w14:textId="77777777" w:rsidR="00864A40" w:rsidRDefault="00864A40" w:rsidP="00864A40">
      <w:pPr>
        <w:shd w:val="clear" w:color="auto" w:fill="FFFFFF"/>
        <w:tabs>
          <w:tab w:val="left" w:pos="5040"/>
          <w:tab w:val="left" w:pos="7920"/>
        </w:tabs>
        <w:spacing w:line="240" w:lineRule="auto"/>
        <w:rPr>
          <w:color w:val="000000"/>
        </w:rPr>
      </w:pPr>
    </w:p>
    <w:p w14:paraId="459A28B5" w14:textId="46187228" w:rsidR="00864A40" w:rsidRDefault="00E16253" w:rsidP="00864A40">
      <w:pPr>
        <w:shd w:val="clear" w:color="auto" w:fill="FFFFFF"/>
        <w:spacing w:line="240" w:lineRule="auto"/>
        <w:rPr>
          <w:color w:val="000000"/>
        </w:rPr>
      </w:pPr>
      <w:r>
        <w:rPr>
          <w:color w:val="000000"/>
        </w:rPr>
        <w:t>We concur:</w:t>
      </w:r>
    </w:p>
    <w:p w14:paraId="627E4FBD" w14:textId="77777777" w:rsidR="00864A40" w:rsidRDefault="00864A40" w:rsidP="00864A40">
      <w:pPr>
        <w:shd w:val="clear" w:color="auto" w:fill="FFFFFF"/>
        <w:spacing w:line="240" w:lineRule="auto"/>
        <w:rPr>
          <w:color w:val="000000"/>
        </w:rPr>
      </w:pPr>
    </w:p>
    <w:p w14:paraId="200CF5C8" w14:textId="77777777" w:rsidR="00864A40" w:rsidRDefault="00864A40" w:rsidP="00864A40">
      <w:pPr>
        <w:shd w:val="clear" w:color="auto" w:fill="FFFFFF"/>
        <w:spacing w:line="240" w:lineRule="auto"/>
        <w:rPr>
          <w:color w:val="000000"/>
        </w:rPr>
      </w:pPr>
    </w:p>
    <w:p w14:paraId="56C89045" w14:textId="77777777" w:rsidR="00864A40" w:rsidRDefault="00864A40" w:rsidP="00864A40">
      <w:pPr>
        <w:shd w:val="clear" w:color="auto" w:fill="FFFFFF"/>
        <w:spacing w:line="240" w:lineRule="auto"/>
        <w:rPr>
          <w:color w:val="000000"/>
        </w:rPr>
      </w:pPr>
    </w:p>
    <w:p w14:paraId="51E4C997" w14:textId="10908470" w:rsidR="00864A40" w:rsidRDefault="00E16253" w:rsidP="00864A40">
      <w:pPr>
        <w:shd w:val="clear" w:color="auto" w:fill="FFFFFF"/>
        <w:tabs>
          <w:tab w:val="left" w:pos="2880"/>
        </w:tabs>
        <w:spacing w:line="240" w:lineRule="auto"/>
        <w:rPr>
          <w:color w:val="000000"/>
        </w:rPr>
      </w:pPr>
      <w:r w:rsidRPr="00864A40">
        <w:rPr>
          <w:color w:val="000000"/>
          <w:u w:val="single"/>
        </w:rPr>
        <w:t xml:space="preserve">          </w:t>
      </w:r>
      <w:r w:rsidR="00313ED3">
        <w:rPr>
          <w:color w:val="000000"/>
          <w:u w:val="single"/>
        </w:rPr>
        <w:t>/S/</w:t>
      </w:r>
      <w:r w:rsidRPr="00864A40">
        <w:rPr>
          <w:color w:val="000000"/>
          <w:u w:val="single"/>
        </w:rPr>
        <w:tab/>
      </w:r>
    </w:p>
    <w:p w14:paraId="0BE39AAB" w14:textId="545506DA" w:rsidR="00864A40" w:rsidRDefault="00E16253" w:rsidP="00864A40">
      <w:pPr>
        <w:shd w:val="clear" w:color="auto" w:fill="FFFFFF"/>
        <w:tabs>
          <w:tab w:val="left" w:pos="2880"/>
        </w:tabs>
        <w:spacing w:line="240" w:lineRule="auto"/>
        <w:rPr>
          <w:color w:val="000000"/>
        </w:rPr>
      </w:pPr>
      <w:r>
        <w:rPr>
          <w:color w:val="000000"/>
        </w:rPr>
        <w:t>DUARTE, J.</w:t>
      </w:r>
    </w:p>
    <w:p w14:paraId="0A4DD133" w14:textId="77777777" w:rsidR="00864A40" w:rsidRDefault="00864A40" w:rsidP="00864A40">
      <w:pPr>
        <w:shd w:val="clear" w:color="auto" w:fill="FFFFFF"/>
        <w:tabs>
          <w:tab w:val="left" w:pos="2880"/>
        </w:tabs>
        <w:spacing w:line="240" w:lineRule="auto"/>
        <w:rPr>
          <w:color w:val="000000"/>
        </w:rPr>
      </w:pPr>
    </w:p>
    <w:p w14:paraId="6F09B2FE" w14:textId="77777777" w:rsidR="00864A40" w:rsidRDefault="00864A40" w:rsidP="00864A40">
      <w:pPr>
        <w:shd w:val="clear" w:color="auto" w:fill="FFFFFF"/>
        <w:tabs>
          <w:tab w:val="left" w:pos="2880"/>
        </w:tabs>
        <w:spacing w:line="240" w:lineRule="auto"/>
        <w:rPr>
          <w:color w:val="000000"/>
        </w:rPr>
      </w:pPr>
    </w:p>
    <w:p w14:paraId="31D13D02" w14:textId="77777777" w:rsidR="00864A40" w:rsidRDefault="00864A40" w:rsidP="00864A40">
      <w:pPr>
        <w:shd w:val="clear" w:color="auto" w:fill="FFFFFF"/>
        <w:tabs>
          <w:tab w:val="left" w:pos="2880"/>
        </w:tabs>
        <w:spacing w:line="240" w:lineRule="auto"/>
        <w:rPr>
          <w:color w:val="000000"/>
        </w:rPr>
      </w:pPr>
    </w:p>
    <w:p w14:paraId="30DF0781" w14:textId="228ABBBC" w:rsidR="00864A40" w:rsidRDefault="00E16253" w:rsidP="00864A40">
      <w:pPr>
        <w:shd w:val="clear" w:color="auto" w:fill="FFFFFF"/>
        <w:tabs>
          <w:tab w:val="left" w:pos="2880"/>
        </w:tabs>
        <w:spacing w:line="240" w:lineRule="auto"/>
        <w:rPr>
          <w:color w:val="000000"/>
        </w:rPr>
      </w:pPr>
      <w:r w:rsidRPr="00864A40">
        <w:rPr>
          <w:color w:val="000000"/>
          <w:u w:val="single"/>
        </w:rPr>
        <w:t xml:space="preserve">          </w:t>
      </w:r>
      <w:r w:rsidR="00313ED3">
        <w:rPr>
          <w:color w:val="000000"/>
          <w:u w:val="single"/>
        </w:rPr>
        <w:t>/S/</w:t>
      </w:r>
      <w:r w:rsidRPr="00864A40">
        <w:rPr>
          <w:color w:val="000000"/>
          <w:u w:val="single"/>
        </w:rPr>
        <w:tab/>
      </w:r>
    </w:p>
    <w:p w14:paraId="2CDB1B83" w14:textId="77777777" w:rsidR="00F54131" w:rsidRDefault="00E16253" w:rsidP="00864A40">
      <w:pPr>
        <w:shd w:val="clear" w:color="auto" w:fill="FFFFFF"/>
        <w:tabs>
          <w:tab w:val="left" w:pos="2880"/>
        </w:tabs>
        <w:spacing w:line="240" w:lineRule="auto"/>
        <w:rPr>
          <w:color w:val="000000"/>
        </w:rPr>
        <w:sectPr w:rsidR="00F54131" w:rsidSect="00864A40">
          <w:footerReference w:type="default" r:id="rId6"/>
          <w:pgSz w:w="12240" w:h="15840" w:code="1"/>
          <w:pgMar w:top="1440" w:right="1440" w:bottom="1440" w:left="1440" w:header="720" w:footer="720" w:gutter="0"/>
          <w:cols w:space="720"/>
          <w:docGrid w:linePitch="354"/>
        </w:sectPr>
      </w:pPr>
      <w:r>
        <w:rPr>
          <w:color w:val="000000"/>
        </w:rPr>
        <w:t>BOULWARE EURIE, J.</w:t>
      </w:r>
    </w:p>
    <w:p w14:paraId="30F2D4B7" w14:textId="77777777" w:rsidR="00F54131" w:rsidRPr="0059121C" w:rsidRDefault="00F54131" w:rsidP="00F54131">
      <w:pPr>
        <w:spacing w:line="240" w:lineRule="atLeast"/>
        <w:rPr>
          <w:sz w:val="20"/>
          <w:szCs w:val="20"/>
        </w:rPr>
      </w:pPr>
      <w:r w:rsidRPr="0059121C">
        <w:rPr>
          <w:sz w:val="20"/>
          <w:szCs w:val="20"/>
        </w:rPr>
        <w:lastRenderedPageBreak/>
        <w:t xml:space="preserve">Filed </w:t>
      </w:r>
      <w:proofErr w:type="gramStart"/>
      <w:r w:rsidRPr="0059121C">
        <w:rPr>
          <w:sz w:val="20"/>
          <w:szCs w:val="20"/>
        </w:rPr>
        <w:t>5/15/24</w:t>
      </w:r>
      <w:proofErr w:type="gramEnd"/>
    </w:p>
    <w:p w14:paraId="1618882D" w14:textId="77777777" w:rsidR="0059121C" w:rsidRDefault="0059121C" w:rsidP="00F54131">
      <w:pPr>
        <w:spacing w:line="240" w:lineRule="atLeast"/>
        <w:jc w:val="center"/>
        <w:rPr>
          <w:u w:val="words"/>
        </w:rPr>
      </w:pPr>
    </w:p>
    <w:p w14:paraId="6ED73FAD" w14:textId="2A68EB53" w:rsidR="00F54131" w:rsidRDefault="00F54131" w:rsidP="00F54131">
      <w:pPr>
        <w:spacing w:line="240" w:lineRule="atLeast"/>
        <w:jc w:val="center"/>
        <w:rPr>
          <w:u w:val="words"/>
        </w:rPr>
      </w:pPr>
      <w:r w:rsidRPr="006173BE">
        <w:rPr>
          <w:u w:val="words"/>
        </w:rPr>
        <w:t>CERTIFIED FOR PUBLICATION</w:t>
      </w:r>
    </w:p>
    <w:p w14:paraId="52B2CFD3" w14:textId="77777777" w:rsidR="00F54131" w:rsidRDefault="00F54131" w:rsidP="00F54131">
      <w:pPr>
        <w:spacing w:line="240" w:lineRule="atLeast"/>
        <w:jc w:val="center"/>
        <w:rPr>
          <w:u w:val="words"/>
        </w:rPr>
      </w:pPr>
    </w:p>
    <w:p w14:paraId="30DBB4C9" w14:textId="77777777" w:rsidR="00F54131" w:rsidRDefault="00F54131" w:rsidP="00F54131">
      <w:pPr>
        <w:spacing w:line="240" w:lineRule="atLeast"/>
        <w:jc w:val="center"/>
        <w:rPr>
          <w:u w:val="words"/>
        </w:rPr>
      </w:pPr>
    </w:p>
    <w:p w14:paraId="77B34268" w14:textId="77777777" w:rsidR="00F54131" w:rsidRDefault="00F54131" w:rsidP="00F54131">
      <w:pPr>
        <w:jc w:val="center"/>
      </w:pPr>
      <w:r>
        <w:t>IN THE COURT OF APPEAL OF THE STATE OF CALIFORNIA</w:t>
      </w:r>
    </w:p>
    <w:p w14:paraId="3307833F" w14:textId="77777777" w:rsidR="00F54131" w:rsidRDefault="00F54131" w:rsidP="00F54131">
      <w:pPr>
        <w:jc w:val="center"/>
      </w:pPr>
      <w:r>
        <w:t>THIRD APPELLATE DISTRICT</w:t>
      </w:r>
    </w:p>
    <w:p w14:paraId="4242DE47" w14:textId="77777777" w:rsidR="00F54131" w:rsidRDefault="00F54131" w:rsidP="00F54131">
      <w:pPr>
        <w:jc w:val="center"/>
      </w:pPr>
      <w:r>
        <w:t>(Sacramento)</w:t>
      </w:r>
    </w:p>
    <w:p w14:paraId="1A563432" w14:textId="77777777" w:rsidR="00F54131" w:rsidRDefault="00F54131" w:rsidP="00F54131">
      <w:pPr>
        <w:jc w:val="center"/>
      </w:pPr>
      <w:r>
        <w:t>----</w:t>
      </w:r>
    </w:p>
    <w:p w14:paraId="781D12F0" w14:textId="77777777" w:rsidR="00F54131" w:rsidRDefault="00F54131" w:rsidP="00F54131">
      <w:pPr>
        <w:spacing w:line="240" w:lineRule="atLeast"/>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904"/>
        <w:gridCol w:w="3456"/>
      </w:tblGrid>
      <w:tr w:rsidR="00F54131" w14:paraId="41330B81" w14:textId="77777777" w:rsidTr="00E6199B">
        <w:tc>
          <w:tcPr>
            <w:tcW w:w="5904" w:type="dxa"/>
            <w:shd w:val="clear" w:color="auto" w:fill="auto"/>
          </w:tcPr>
          <w:p w14:paraId="0E6C8AE9" w14:textId="77777777" w:rsidR="00F54131" w:rsidRDefault="00F54131" w:rsidP="00E6199B">
            <w:pPr>
              <w:spacing w:line="240" w:lineRule="atLeast"/>
            </w:pPr>
            <w:r>
              <w:t>SAVE THE CAPITOL, SAVE THE TREES,</w:t>
            </w:r>
          </w:p>
          <w:p w14:paraId="7519BAB9" w14:textId="77777777" w:rsidR="00F54131" w:rsidRDefault="00F54131" w:rsidP="00E6199B">
            <w:pPr>
              <w:spacing w:line="240" w:lineRule="atLeast"/>
            </w:pPr>
          </w:p>
          <w:p w14:paraId="771D403E" w14:textId="77777777" w:rsidR="00F54131" w:rsidRDefault="00F54131" w:rsidP="00E6199B">
            <w:pPr>
              <w:spacing w:line="240" w:lineRule="atLeast"/>
            </w:pPr>
            <w:r>
              <w:tab/>
            </w:r>
            <w:r>
              <w:tab/>
              <w:t>Plaintiff and Appellant,</w:t>
            </w:r>
          </w:p>
          <w:p w14:paraId="3836803D" w14:textId="77777777" w:rsidR="00F54131" w:rsidRDefault="00F54131" w:rsidP="00E6199B">
            <w:pPr>
              <w:spacing w:line="240" w:lineRule="atLeast"/>
            </w:pPr>
          </w:p>
          <w:p w14:paraId="1DE2656D" w14:textId="77777777" w:rsidR="00F54131" w:rsidRDefault="00F54131" w:rsidP="00E6199B">
            <w:pPr>
              <w:spacing w:line="240" w:lineRule="atLeast"/>
            </w:pPr>
            <w:r>
              <w:tab/>
              <w:t>v.</w:t>
            </w:r>
          </w:p>
          <w:p w14:paraId="1159C218" w14:textId="77777777" w:rsidR="00F54131" w:rsidRDefault="00F54131" w:rsidP="00E6199B">
            <w:pPr>
              <w:spacing w:line="240" w:lineRule="atLeast"/>
            </w:pPr>
          </w:p>
          <w:p w14:paraId="3B77CEBD" w14:textId="77777777" w:rsidR="00F54131" w:rsidRDefault="00F54131" w:rsidP="00E6199B">
            <w:pPr>
              <w:spacing w:line="240" w:lineRule="atLeast"/>
            </w:pPr>
            <w:r>
              <w:t>DEPARTMENT OF GENERAL SERVICES,</w:t>
            </w:r>
          </w:p>
          <w:p w14:paraId="7E42EF17" w14:textId="77777777" w:rsidR="00F54131" w:rsidRDefault="00F54131" w:rsidP="00E6199B">
            <w:pPr>
              <w:spacing w:line="240" w:lineRule="atLeast"/>
            </w:pPr>
          </w:p>
          <w:p w14:paraId="68DB3BAA" w14:textId="77777777" w:rsidR="00F54131" w:rsidRDefault="00F54131" w:rsidP="00E6199B">
            <w:pPr>
              <w:spacing w:line="240" w:lineRule="atLeast"/>
            </w:pPr>
            <w:r>
              <w:tab/>
            </w:r>
            <w:r>
              <w:tab/>
              <w:t xml:space="preserve">Defendant and </w:t>
            </w:r>
            <w:proofErr w:type="gramStart"/>
            <w:r>
              <w:t>Respondent;</w:t>
            </w:r>
            <w:proofErr w:type="gramEnd"/>
          </w:p>
          <w:p w14:paraId="3D8CE1C4" w14:textId="77777777" w:rsidR="00F54131" w:rsidRDefault="00F54131" w:rsidP="00E6199B">
            <w:pPr>
              <w:spacing w:line="240" w:lineRule="atLeast"/>
            </w:pPr>
          </w:p>
          <w:p w14:paraId="60BE0374" w14:textId="77777777" w:rsidR="00F54131" w:rsidRDefault="00F54131" w:rsidP="00E6199B">
            <w:pPr>
              <w:spacing w:line="240" w:lineRule="atLeast"/>
            </w:pPr>
            <w:r>
              <w:t>JOINT COMMITTEE ON RULES OF THE CALIFORNIA STATE SENATE AND ASSEMBLY,</w:t>
            </w:r>
          </w:p>
          <w:p w14:paraId="74975E84" w14:textId="77777777" w:rsidR="00F54131" w:rsidRDefault="00F54131" w:rsidP="00E6199B">
            <w:pPr>
              <w:spacing w:line="240" w:lineRule="atLeast"/>
            </w:pPr>
          </w:p>
          <w:p w14:paraId="6E11E4F0" w14:textId="77777777" w:rsidR="00F54131" w:rsidRDefault="00F54131" w:rsidP="00E6199B">
            <w:pPr>
              <w:spacing w:line="240" w:lineRule="atLeast"/>
            </w:pPr>
            <w:r>
              <w:tab/>
            </w:r>
            <w:r>
              <w:tab/>
              <w:t>Real Party in Interest and Respondent.</w:t>
            </w:r>
          </w:p>
          <w:p w14:paraId="3F88B61C" w14:textId="77777777" w:rsidR="00F54131" w:rsidRDefault="00F54131" w:rsidP="00E6199B">
            <w:pPr>
              <w:spacing w:line="240" w:lineRule="atLeast"/>
            </w:pPr>
          </w:p>
        </w:tc>
        <w:tc>
          <w:tcPr>
            <w:tcW w:w="3456" w:type="dxa"/>
            <w:shd w:val="clear" w:color="auto" w:fill="auto"/>
          </w:tcPr>
          <w:p w14:paraId="7ABF31CD" w14:textId="77777777" w:rsidR="00F54131" w:rsidRDefault="00F54131" w:rsidP="00E6199B">
            <w:pPr>
              <w:spacing w:line="240" w:lineRule="atLeast"/>
              <w:jc w:val="center"/>
            </w:pPr>
          </w:p>
          <w:p w14:paraId="13E67951" w14:textId="77777777" w:rsidR="00F54131" w:rsidRDefault="00F54131" w:rsidP="00E6199B">
            <w:pPr>
              <w:spacing w:line="240" w:lineRule="atLeast"/>
              <w:jc w:val="center"/>
            </w:pPr>
          </w:p>
          <w:p w14:paraId="0BC8C503" w14:textId="77777777" w:rsidR="00F54131" w:rsidRDefault="00F54131" w:rsidP="00E6199B">
            <w:pPr>
              <w:spacing w:line="240" w:lineRule="atLeast"/>
              <w:jc w:val="center"/>
            </w:pPr>
            <w:r>
              <w:t>C100160</w:t>
            </w:r>
          </w:p>
          <w:p w14:paraId="303ABA7D" w14:textId="77777777" w:rsidR="00F54131" w:rsidRDefault="00F54131" w:rsidP="00E6199B">
            <w:pPr>
              <w:spacing w:line="240" w:lineRule="atLeast"/>
              <w:jc w:val="center"/>
            </w:pPr>
          </w:p>
          <w:p w14:paraId="5811224E" w14:textId="77777777" w:rsidR="00F54131" w:rsidRDefault="00F54131" w:rsidP="00E6199B">
            <w:pPr>
              <w:spacing w:line="240" w:lineRule="atLeast"/>
              <w:jc w:val="center"/>
            </w:pPr>
            <w:r>
              <w:t>(Super. Ct. No. 34-2021-80003717-CU-WM-GDS)</w:t>
            </w:r>
          </w:p>
          <w:p w14:paraId="245DDC76" w14:textId="77777777" w:rsidR="00F54131" w:rsidRDefault="00F54131" w:rsidP="00E6199B">
            <w:pPr>
              <w:spacing w:line="240" w:lineRule="atLeast"/>
              <w:jc w:val="center"/>
            </w:pPr>
          </w:p>
          <w:p w14:paraId="3FDF5157" w14:textId="77777777" w:rsidR="00F54131" w:rsidRDefault="00F54131" w:rsidP="00E6199B">
            <w:pPr>
              <w:spacing w:line="240" w:lineRule="atLeast"/>
              <w:jc w:val="center"/>
            </w:pPr>
            <w:r>
              <w:t>ORDER GRANTING REQUEST TO PUBLISH</w:t>
            </w:r>
          </w:p>
          <w:p w14:paraId="75405277" w14:textId="77777777" w:rsidR="00F54131" w:rsidRDefault="00F54131" w:rsidP="00E6199B">
            <w:pPr>
              <w:spacing w:line="240" w:lineRule="atLeast"/>
              <w:jc w:val="center"/>
            </w:pPr>
          </w:p>
          <w:p w14:paraId="3FA89398" w14:textId="77777777" w:rsidR="00F54131" w:rsidRDefault="00F54131" w:rsidP="00E6199B">
            <w:pPr>
              <w:spacing w:line="240" w:lineRule="atLeast"/>
              <w:jc w:val="center"/>
            </w:pPr>
          </w:p>
        </w:tc>
      </w:tr>
    </w:tbl>
    <w:p w14:paraId="5E4D332C" w14:textId="77777777" w:rsidR="00F54131" w:rsidRDefault="00F54131" w:rsidP="00F54131">
      <w:pPr>
        <w:spacing w:line="240" w:lineRule="atLeast"/>
      </w:pPr>
    </w:p>
    <w:p w14:paraId="52B0FA9F" w14:textId="77777777" w:rsidR="00F54131" w:rsidRDefault="00F54131" w:rsidP="00F54131">
      <w:pPr>
        <w:spacing w:line="240" w:lineRule="auto"/>
      </w:pPr>
    </w:p>
    <w:p w14:paraId="6A8B8538" w14:textId="77777777" w:rsidR="00F54131" w:rsidRDefault="00F54131" w:rsidP="00F54131">
      <w:pPr>
        <w:spacing w:line="240" w:lineRule="atLeast"/>
      </w:pPr>
    </w:p>
    <w:p w14:paraId="05829EEC" w14:textId="77777777" w:rsidR="00F54131" w:rsidRDefault="00F54131" w:rsidP="00F54131">
      <w:pPr>
        <w:spacing w:line="240" w:lineRule="atLeast"/>
      </w:pPr>
      <w:r>
        <w:tab/>
        <w:t xml:space="preserve">APPEAL from a judgment of the Superior Court of Sacramento County, Steven M. </w:t>
      </w:r>
      <w:proofErr w:type="spellStart"/>
      <w:r>
        <w:rPr>
          <w:rStyle w:val="right"/>
        </w:rPr>
        <w:t>Gevercer</w:t>
      </w:r>
      <w:proofErr w:type="spellEnd"/>
      <w:r>
        <w:t>, Judge.  Reversed and Remanded.</w:t>
      </w:r>
    </w:p>
    <w:p w14:paraId="7F177496" w14:textId="77777777" w:rsidR="00F54131" w:rsidRDefault="00F54131" w:rsidP="00F54131">
      <w:pPr>
        <w:spacing w:line="240" w:lineRule="atLeast"/>
      </w:pPr>
    </w:p>
    <w:p w14:paraId="41E088D1" w14:textId="77777777" w:rsidR="00F54131" w:rsidRDefault="00F54131" w:rsidP="00F54131">
      <w:pPr>
        <w:spacing w:line="240" w:lineRule="atLeast"/>
      </w:pPr>
    </w:p>
    <w:p w14:paraId="5DED8A2C" w14:textId="77777777" w:rsidR="00F54131" w:rsidRDefault="00F54131" w:rsidP="00F54131">
      <w:pPr>
        <w:spacing w:line="240" w:lineRule="atLeast"/>
      </w:pPr>
      <w:r>
        <w:tab/>
        <w:t>Brandt-Hawley Law Group and Susan Brandt-Hawley for Plaintiff and Appellant.</w:t>
      </w:r>
    </w:p>
    <w:p w14:paraId="7CDAA86D" w14:textId="77777777" w:rsidR="00F54131" w:rsidRDefault="00F54131" w:rsidP="00F54131">
      <w:pPr>
        <w:spacing w:line="240" w:lineRule="atLeast"/>
      </w:pPr>
    </w:p>
    <w:p w14:paraId="6B7C53C2" w14:textId="77777777" w:rsidR="00F54131" w:rsidRDefault="00F54131" w:rsidP="00F54131">
      <w:pPr>
        <w:spacing w:line="240" w:lineRule="atLeast"/>
      </w:pPr>
    </w:p>
    <w:p w14:paraId="1BA6248D" w14:textId="77777777" w:rsidR="00F54131" w:rsidRDefault="00F54131" w:rsidP="00F54131">
      <w:pPr>
        <w:spacing w:line="240" w:lineRule="atLeast"/>
      </w:pPr>
      <w:r>
        <w:tab/>
        <w:t xml:space="preserve">Rob Bonta, Attorney General, Tracy L. Winsor, Senior Assistant Attorney General, Russell B. Hildreth, Sierra S. </w:t>
      </w:r>
      <w:proofErr w:type="spellStart"/>
      <w:r>
        <w:t>Arballo</w:t>
      </w:r>
      <w:proofErr w:type="spellEnd"/>
      <w:r>
        <w:t xml:space="preserve">, Sophie A. </w:t>
      </w:r>
      <w:proofErr w:type="spellStart"/>
      <w:r>
        <w:t>Wenzlau</w:t>
      </w:r>
      <w:proofErr w:type="spellEnd"/>
      <w:r>
        <w:t xml:space="preserve">, Gwynne B. Hunter, Deborah A. </w:t>
      </w:r>
      <w:proofErr w:type="spellStart"/>
      <w:r>
        <w:t>Wordham</w:t>
      </w:r>
      <w:proofErr w:type="spellEnd"/>
      <w:r>
        <w:t>, and James C. Crowder, Deputy Attorneys General, for Defendants and Respondents and Real Party in Interest and Respondent.</w:t>
      </w:r>
    </w:p>
    <w:p w14:paraId="4FD4FE6D" w14:textId="77777777" w:rsidR="00F54131" w:rsidRDefault="00F54131" w:rsidP="00F54131">
      <w:pPr>
        <w:spacing w:line="240" w:lineRule="atLeast"/>
      </w:pPr>
    </w:p>
    <w:p w14:paraId="39318732" w14:textId="77777777" w:rsidR="00F54131" w:rsidRDefault="00F54131" w:rsidP="00F54131">
      <w:pPr>
        <w:spacing w:line="240" w:lineRule="atLeast"/>
      </w:pPr>
    </w:p>
    <w:p w14:paraId="3C1C5CB6" w14:textId="77777777" w:rsidR="00F54131" w:rsidRPr="00B60FD9" w:rsidRDefault="00F54131" w:rsidP="00F54131">
      <w:pPr>
        <w:spacing w:line="240" w:lineRule="atLeast"/>
      </w:pPr>
      <w:r w:rsidRPr="00B60FD9">
        <w:lastRenderedPageBreak/>
        <w:t>THE COURT:</w:t>
      </w:r>
    </w:p>
    <w:p w14:paraId="271D79E6" w14:textId="77777777" w:rsidR="00F54131" w:rsidRDefault="00F54131" w:rsidP="00F54131">
      <w:r>
        <w:tab/>
      </w:r>
      <w:r w:rsidRPr="00EF3B94">
        <w:t xml:space="preserve">The opinion in the above-entitled matter filed on </w:t>
      </w:r>
      <w:r>
        <w:t>April 18, 2024</w:t>
      </w:r>
      <w:r w:rsidRPr="00EF3B94">
        <w:t xml:space="preserve">, was not certified for publication in the Official Reports.  For good cause it now appears that the opinion should be published in the Official </w:t>
      </w:r>
      <w:proofErr w:type="gramStart"/>
      <w:r w:rsidRPr="00EF3B94">
        <w:t>Reports</w:t>
      </w:r>
      <w:proofErr w:type="gramEnd"/>
      <w:r>
        <w:t xml:space="preserve"> </w:t>
      </w:r>
      <w:r w:rsidRPr="00EF3B94">
        <w:t>and it is so ordered.</w:t>
      </w:r>
    </w:p>
    <w:p w14:paraId="30DA46D8" w14:textId="77777777" w:rsidR="00F54131" w:rsidRDefault="00F54131" w:rsidP="00F54131">
      <w:pPr>
        <w:spacing w:line="240" w:lineRule="atLeast"/>
      </w:pPr>
    </w:p>
    <w:p w14:paraId="40DCA196" w14:textId="77777777" w:rsidR="00F54131" w:rsidRDefault="00F54131" w:rsidP="00F54131">
      <w:pPr>
        <w:spacing w:line="240" w:lineRule="atLeast"/>
      </w:pPr>
    </w:p>
    <w:p w14:paraId="6B2FDE84" w14:textId="77777777" w:rsidR="00F54131" w:rsidRPr="009A4ADD" w:rsidRDefault="00F54131" w:rsidP="00F54131">
      <w:pPr>
        <w:spacing w:line="240" w:lineRule="atLeast"/>
      </w:pPr>
    </w:p>
    <w:p w14:paraId="267864CB" w14:textId="77777777" w:rsidR="00F54131" w:rsidRPr="00B60FD9" w:rsidRDefault="00F54131" w:rsidP="00F54131">
      <w:pPr>
        <w:spacing w:line="240" w:lineRule="atLeast"/>
      </w:pPr>
      <w:r w:rsidRPr="00B60FD9">
        <w:t>FOR THE COURT:</w:t>
      </w:r>
    </w:p>
    <w:p w14:paraId="73BF7684" w14:textId="77777777" w:rsidR="00F54131" w:rsidRDefault="00F54131" w:rsidP="00F54131">
      <w:pPr>
        <w:spacing w:line="240" w:lineRule="auto"/>
      </w:pPr>
    </w:p>
    <w:p w14:paraId="13329DB1" w14:textId="77777777" w:rsidR="00F54131" w:rsidRDefault="00F54131" w:rsidP="00F54131">
      <w:pPr>
        <w:spacing w:line="240" w:lineRule="auto"/>
      </w:pPr>
    </w:p>
    <w:p w14:paraId="17D84CF8" w14:textId="77777777" w:rsidR="00F54131" w:rsidRDefault="00F54131" w:rsidP="00F54131">
      <w:pPr>
        <w:spacing w:line="240" w:lineRule="auto"/>
      </w:pPr>
    </w:p>
    <w:p w14:paraId="600D8C60" w14:textId="77777777" w:rsidR="00F54131" w:rsidRDefault="00F54131" w:rsidP="00F54131">
      <w:pPr>
        <w:tabs>
          <w:tab w:val="left" w:pos="2880"/>
        </w:tabs>
        <w:spacing w:line="240" w:lineRule="auto"/>
      </w:pPr>
      <w:r w:rsidRPr="0055145B">
        <w:rPr>
          <w:u w:val="single"/>
        </w:rPr>
        <w:t xml:space="preserve">          </w:t>
      </w:r>
      <w:r>
        <w:rPr>
          <w:u w:val="single"/>
        </w:rPr>
        <w:t>/S/</w:t>
      </w:r>
      <w:r w:rsidRPr="0055145B">
        <w:rPr>
          <w:u w:val="single"/>
        </w:rPr>
        <w:tab/>
      </w:r>
    </w:p>
    <w:p w14:paraId="02CF2741" w14:textId="77777777" w:rsidR="00F54131" w:rsidRDefault="00F54131" w:rsidP="00F54131">
      <w:pPr>
        <w:tabs>
          <w:tab w:val="left" w:pos="2880"/>
        </w:tabs>
        <w:spacing w:line="240" w:lineRule="auto"/>
      </w:pPr>
      <w:r>
        <w:t>MAURO, Acting P. J.</w:t>
      </w:r>
    </w:p>
    <w:p w14:paraId="60219D10" w14:textId="77777777" w:rsidR="00F54131" w:rsidRDefault="00F54131" w:rsidP="00F54131">
      <w:pPr>
        <w:spacing w:line="240" w:lineRule="auto"/>
      </w:pPr>
    </w:p>
    <w:p w14:paraId="04934E5A" w14:textId="77777777" w:rsidR="00F54131" w:rsidRDefault="00F54131" w:rsidP="00F54131">
      <w:pPr>
        <w:spacing w:line="240" w:lineRule="auto"/>
      </w:pPr>
    </w:p>
    <w:p w14:paraId="22318D84" w14:textId="77777777" w:rsidR="00F54131" w:rsidRDefault="00F54131" w:rsidP="00F54131">
      <w:pPr>
        <w:spacing w:line="240" w:lineRule="auto"/>
      </w:pPr>
    </w:p>
    <w:p w14:paraId="620ECAFB" w14:textId="77777777" w:rsidR="00F54131" w:rsidRDefault="00F54131" w:rsidP="00F54131">
      <w:pPr>
        <w:tabs>
          <w:tab w:val="left" w:pos="2880"/>
        </w:tabs>
        <w:spacing w:line="240" w:lineRule="auto"/>
      </w:pPr>
      <w:r w:rsidRPr="0055145B">
        <w:rPr>
          <w:u w:val="single"/>
        </w:rPr>
        <w:t xml:space="preserve">         </w:t>
      </w:r>
      <w:r>
        <w:rPr>
          <w:u w:val="single"/>
        </w:rPr>
        <w:t>/S/</w:t>
      </w:r>
      <w:r w:rsidRPr="0055145B">
        <w:rPr>
          <w:u w:val="single"/>
        </w:rPr>
        <w:tab/>
      </w:r>
    </w:p>
    <w:p w14:paraId="6C8DEAB4" w14:textId="77777777" w:rsidR="00F54131" w:rsidRDefault="00F54131" w:rsidP="00F54131">
      <w:pPr>
        <w:tabs>
          <w:tab w:val="left" w:pos="5040"/>
          <w:tab w:val="left" w:pos="7920"/>
        </w:tabs>
        <w:spacing w:line="240" w:lineRule="auto"/>
      </w:pPr>
      <w:r>
        <w:t>DUARTE, J.</w:t>
      </w:r>
    </w:p>
    <w:p w14:paraId="1B71EE55" w14:textId="77777777" w:rsidR="00F54131" w:rsidRDefault="00F54131" w:rsidP="00F54131">
      <w:pPr>
        <w:tabs>
          <w:tab w:val="left" w:pos="2880"/>
        </w:tabs>
        <w:spacing w:line="240" w:lineRule="auto"/>
      </w:pPr>
    </w:p>
    <w:p w14:paraId="7CD0FEEE" w14:textId="77777777" w:rsidR="00F54131" w:rsidRDefault="00F54131" w:rsidP="00F54131">
      <w:pPr>
        <w:tabs>
          <w:tab w:val="left" w:pos="2880"/>
        </w:tabs>
        <w:spacing w:line="240" w:lineRule="auto"/>
      </w:pPr>
    </w:p>
    <w:p w14:paraId="78D0D84F" w14:textId="77777777" w:rsidR="00F54131" w:rsidRDefault="00F54131" w:rsidP="00F54131">
      <w:pPr>
        <w:tabs>
          <w:tab w:val="left" w:pos="2880"/>
        </w:tabs>
        <w:spacing w:line="240" w:lineRule="auto"/>
      </w:pPr>
    </w:p>
    <w:p w14:paraId="7F07459B" w14:textId="77777777" w:rsidR="00F54131" w:rsidRDefault="00F54131" w:rsidP="00F54131">
      <w:pPr>
        <w:tabs>
          <w:tab w:val="left" w:pos="2880"/>
        </w:tabs>
        <w:spacing w:line="240" w:lineRule="auto"/>
      </w:pPr>
      <w:r w:rsidRPr="0055145B">
        <w:rPr>
          <w:u w:val="single"/>
        </w:rPr>
        <w:t xml:space="preserve">          </w:t>
      </w:r>
      <w:r>
        <w:rPr>
          <w:u w:val="single"/>
        </w:rPr>
        <w:t>/S/</w:t>
      </w:r>
      <w:r w:rsidRPr="0055145B">
        <w:rPr>
          <w:u w:val="single"/>
        </w:rPr>
        <w:tab/>
      </w:r>
    </w:p>
    <w:p w14:paraId="550655B3" w14:textId="77777777" w:rsidR="00F54131" w:rsidRDefault="00F54131" w:rsidP="00F54131">
      <w:pPr>
        <w:tabs>
          <w:tab w:val="left" w:pos="2880"/>
        </w:tabs>
        <w:spacing w:line="240" w:lineRule="auto"/>
      </w:pPr>
      <w:r>
        <w:t>BOULWARE EURIE, J.</w:t>
      </w:r>
    </w:p>
    <w:p w14:paraId="7B277322" w14:textId="6F481F96" w:rsidR="00864A40" w:rsidRDefault="00864A40" w:rsidP="00864A40">
      <w:pPr>
        <w:shd w:val="clear" w:color="auto" w:fill="FFFFFF"/>
        <w:tabs>
          <w:tab w:val="left" w:pos="2880"/>
        </w:tabs>
        <w:spacing w:line="240" w:lineRule="auto"/>
        <w:rPr>
          <w:color w:val="000000"/>
        </w:rPr>
      </w:pPr>
    </w:p>
    <w:sectPr w:rsidR="00864A40" w:rsidSect="00352DBD">
      <w:pgSz w:w="12240" w:h="15840" w:code="1"/>
      <w:pgMar w:top="1440" w:right="1440" w:bottom="1440" w:left="1440" w:header="720" w:footer="720" w:gutter="0"/>
      <w:pgNumType w:start="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7D4C1" w14:textId="77777777" w:rsidR="00E16253" w:rsidRDefault="00E16253">
      <w:pPr>
        <w:spacing w:line="240" w:lineRule="auto"/>
      </w:pPr>
      <w:r>
        <w:separator/>
      </w:r>
    </w:p>
  </w:endnote>
  <w:endnote w:type="continuationSeparator" w:id="0">
    <w:p w14:paraId="62AE6661" w14:textId="77777777" w:rsidR="00E16253" w:rsidRDefault="00E162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EACC" w14:textId="077690DF" w:rsidR="009A6C0B" w:rsidRPr="00864A40" w:rsidRDefault="00E16253" w:rsidP="00864A40">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39348" w14:textId="77777777" w:rsidR="001D2940" w:rsidRDefault="00E16253">
      <w:r>
        <w:separator/>
      </w:r>
    </w:p>
  </w:footnote>
  <w:footnote w:type="continuationSeparator" w:id="0">
    <w:p w14:paraId="54B67033" w14:textId="77777777" w:rsidR="001D2940" w:rsidRDefault="00E16253">
      <w:r>
        <w:continuationSeparator/>
      </w:r>
    </w:p>
  </w:footnote>
  <w:footnote w:id="1">
    <w:p w14:paraId="293C4D52" w14:textId="125E9FBB" w:rsidR="00FC7EA7" w:rsidRDefault="00E16253">
      <w:pPr>
        <w:pStyle w:val="FootnoteText"/>
      </w:pPr>
      <w:r w:rsidRPr="006378E7">
        <w:rPr>
          <w:rStyle w:val="FootnoteReference"/>
          <w:sz w:val="22"/>
          <w:szCs w:val="28"/>
        </w:rPr>
        <w:footnoteRef/>
      </w:r>
      <w:r w:rsidR="006347E0">
        <w:t xml:space="preserve">  </w:t>
      </w:r>
      <w:r>
        <w:t>Undesignated statutory references are to the Public Resources Code.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940"/>
    <w:rsid w:val="00006C42"/>
    <w:rsid w:val="00025FC3"/>
    <w:rsid w:val="000411EC"/>
    <w:rsid w:val="000468E5"/>
    <w:rsid w:val="0005136D"/>
    <w:rsid w:val="0005227A"/>
    <w:rsid w:val="000572B0"/>
    <w:rsid w:val="000604A6"/>
    <w:rsid w:val="00061078"/>
    <w:rsid w:val="000627F3"/>
    <w:rsid w:val="00066C85"/>
    <w:rsid w:val="00075241"/>
    <w:rsid w:val="000849C5"/>
    <w:rsid w:val="00091AAA"/>
    <w:rsid w:val="0009519F"/>
    <w:rsid w:val="000A1038"/>
    <w:rsid w:val="000A2BE0"/>
    <w:rsid w:val="000B30F9"/>
    <w:rsid w:val="000B55C6"/>
    <w:rsid w:val="000B5964"/>
    <w:rsid w:val="000C018A"/>
    <w:rsid w:val="000C27AF"/>
    <w:rsid w:val="000C4647"/>
    <w:rsid w:val="000C599D"/>
    <w:rsid w:val="000D0DCD"/>
    <w:rsid w:val="000D6356"/>
    <w:rsid w:val="000D641E"/>
    <w:rsid w:val="000E01B5"/>
    <w:rsid w:val="000E4CC4"/>
    <w:rsid w:val="000F079D"/>
    <w:rsid w:val="000F73BC"/>
    <w:rsid w:val="00101043"/>
    <w:rsid w:val="00101271"/>
    <w:rsid w:val="00113FC1"/>
    <w:rsid w:val="001217C4"/>
    <w:rsid w:val="00136B5C"/>
    <w:rsid w:val="00137F60"/>
    <w:rsid w:val="00140B49"/>
    <w:rsid w:val="001457C4"/>
    <w:rsid w:val="0016065C"/>
    <w:rsid w:val="00162498"/>
    <w:rsid w:val="00165500"/>
    <w:rsid w:val="001720F6"/>
    <w:rsid w:val="00175EC3"/>
    <w:rsid w:val="00181AF9"/>
    <w:rsid w:val="001861E2"/>
    <w:rsid w:val="0019484A"/>
    <w:rsid w:val="001968B8"/>
    <w:rsid w:val="001A0434"/>
    <w:rsid w:val="001A193A"/>
    <w:rsid w:val="001A3269"/>
    <w:rsid w:val="001C7052"/>
    <w:rsid w:val="001D2940"/>
    <w:rsid w:val="001E675C"/>
    <w:rsid w:val="001F73FD"/>
    <w:rsid w:val="0021705E"/>
    <w:rsid w:val="0024685A"/>
    <w:rsid w:val="00247A54"/>
    <w:rsid w:val="00251AF7"/>
    <w:rsid w:val="00261E7F"/>
    <w:rsid w:val="00264AD8"/>
    <w:rsid w:val="00266634"/>
    <w:rsid w:val="00267C0C"/>
    <w:rsid w:val="00270562"/>
    <w:rsid w:val="00273C78"/>
    <w:rsid w:val="002811F9"/>
    <w:rsid w:val="00284353"/>
    <w:rsid w:val="002854D5"/>
    <w:rsid w:val="00296EA2"/>
    <w:rsid w:val="00297A35"/>
    <w:rsid w:val="002A3F2E"/>
    <w:rsid w:val="002B4207"/>
    <w:rsid w:val="002B4F6B"/>
    <w:rsid w:val="002B5448"/>
    <w:rsid w:val="002C1335"/>
    <w:rsid w:val="002D66FD"/>
    <w:rsid w:val="002E1ADD"/>
    <w:rsid w:val="002F1117"/>
    <w:rsid w:val="00313ED3"/>
    <w:rsid w:val="0031490F"/>
    <w:rsid w:val="003475AB"/>
    <w:rsid w:val="00352DBD"/>
    <w:rsid w:val="003621A2"/>
    <w:rsid w:val="0036599D"/>
    <w:rsid w:val="00365F75"/>
    <w:rsid w:val="00370205"/>
    <w:rsid w:val="003965D8"/>
    <w:rsid w:val="003A0051"/>
    <w:rsid w:val="003A3375"/>
    <w:rsid w:val="003B2AFA"/>
    <w:rsid w:val="003C0124"/>
    <w:rsid w:val="003C34F9"/>
    <w:rsid w:val="003C4624"/>
    <w:rsid w:val="003C6FBB"/>
    <w:rsid w:val="003D29BF"/>
    <w:rsid w:val="003D497E"/>
    <w:rsid w:val="003E4FC2"/>
    <w:rsid w:val="003F55ED"/>
    <w:rsid w:val="00414331"/>
    <w:rsid w:val="00423A11"/>
    <w:rsid w:val="00426046"/>
    <w:rsid w:val="0043749A"/>
    <w:rsid w:val="00440062"/>
    <w:rsid w:val="00442885"/>
    <w:rsid w:val="004513EF"/>
    <w:rsid w:val="00453974"/>
    <w:rsid w:val="00463D34"/>
    <w:rsid w:val="0047393A"/>
    <w:rsid w:val="0048049E"/>
    <w:rsid w:val="00481D60"/>
    <w:rsid w:val="004A4348"/>
    <w:rsid w:val="004A5BBA"/>
    <w:rsid w:val="004B3CCB"/>
    <w:rsid w:val="004B57EB"/>
    <w:rsid w:val="004C4AC2"/>
    <w:rsid w:val="004D2ED7"/>
    <w:rsid w:val="004F38E2"/>
    <w:rsid w:val="00502539"/>
    <w:rsid w:val="00506F33"/>
    <w:rsid w:val="00513ECA"/>
    <w:rsid w:val="00517ECE"/>
    <w:rsid w:val="005226B9"/>
    <w:rsid w:val="005255EC"/>
    <w:rsid w:val="00526C3A"/>
    <w:rsid w:val="00527D97"/>
    <w:rsid w:val="005404F1"/>
    <w:rsid w:val="00543887"/>
    <w:rsid w:val="00551735"/>
    <w:rsid w:val="00561371"/>
    <w:rsid w:val="00562F1A"/>
    <w:rsid w:val="005639FD"/>
    <w:rsid w:val="00570E57"/>
    <w:rsid w:val="00586D6C"/>
    <w:rsid w:val="0059121C"/>
    <w:rsid w:val="005C0985"/>
    <w:rsid w:val="005C4555"/>
    <w:rsid w:val="005C6B29"/>
    <w:rsid w:val="005D2F1D"/>
    <w:rsid w:val="005E0185"/>
    <w:rsid w:val="005E6214"/>
    <w:rsid w:val="005E7030"/>
    <w:rsid w:val="005F2BE8"/>
    <w:rsid w:val="0060229D"/>
    <w:rsid w:val="00607764"/>
    <w:rsid w:val="00611901"/>
    <w:rsid w:val="00621524"/>
    <w:rsid w:val="006229C9"/>
    <w:rsid w:val="006269B8"/>
    <w:rsid w:val="00627E51"/>
    <w:rsid w:val="006347E0"/>
    <w:rsid w:val="006378E7"/>
    <w:rsid w:val="0064180F"/>
    <w:rsid w:val="00647280"/>
    <w:rsid w:val="00672541"/>
    <w:rsid w:val="00681E54"/>
    <w:rsid w:val="00691124"/>
    <w:rsid w:val="006937C6"/>
    <w:rsid w:val="006A1096"/>
    <w:rsid w:val="006A7502"/>
    <w:rsid w:val="006B5461"/>
    <w:rsid w:val="006C37F6"/>
    <w:rsid w:val="006E14D9"/>
    <w:rsid w:val="006E1855"/>
    <w:rsid w:val="006E319C"/>
    <w:rsid w:val="006F1C78"/>
    <w:rsid w:val="007101EA"/>
    <w:rsid w:val="00711941"/>
    <w:rsid w:val="007155C9"/>
    <w:rsid w:val="0072019D"/>
    <w:rsid w:val="00721B71"/>
    <w:rsid w:val="0072287A"/>
    <w:rsid w:val="007411C6"/>
    <w:rsid w:val="00744191"/>
    <w:rsid w:val="00757EAA"/>
    <w:rsid w:val="00761CFD"/>
    <w:rsid w:val="007B4E3E"/>
    <w:rsid w:val="007C038B"/>
    <w:rsid w:val="007C0A68"/>
    <w:rsid w:val="007C0F8D"/>
    <w:rsid w:val="007C30C3"/>
    <w:rsid w:val="007D6B5F"/>
    <w:rsid w:val="007E0901"/>
    <w:rsid w:val="007E3BD9"/>
    <w:rsid w:val="007F0A81"/>
    <w:rsid w:val="007F116E"/>
    <w:rsid w:val="007F20F3"/>
    <w:rsid w:val="00800B25"/>
    <w:rsid w:val="00801BD7"/>
    <w:rsid w:val="008031D8"/>
    <w:rsid w:val="00820DB3"/>
    <w:rsid w:val="00823C64"/>
    <w:rsid w:val="00834A76"/>
    <w:rsid w:val="0083648F"/>
    <w:rsid w:val="00840178"/>
    <w:rsid w:val="00843908"/>
    <w:rsid w:val="00850D4A"/>
    <w:rsid w:val="0085180E"/>
    <w:rsid w:val="0085656A"/>
    <w:rsid w:val="00863098"/>
    <w:rsid w:val="00864A40"/>
    <w:rsid w:val="008721C1"/>
    <w:rsid w:val="00872395"/>
    <w:rsid w:val="00874BEA"/>
    <w:rsid w:val="008776E8"/>
    <w:rsid w:val="0089430B"/>
    <w:rsid w:val="008A2BDD"/>
    <w:rsid w:val="008A5E06"/>
    <w:rsid w:val="008A5E19"/>
    <w:rsid w:val="008C1BDA"/>
    <w:rsid w:val="008D60F8"/>
    <w:rsid w:val="008D7F06"/>
    <w:rsid w:val="008E3AE9"/>
    <w:rsid w:val="008E3C5E"/>
    <w:rsid w:val="0090015D"/>
    <w:rsid w:val="009004DA"/>
    <w:rsid w:val="00905A38"/>
    <w:rsid w:val="009108E3"/>
    <w:rsid w:val="00913C62"/>
    <w:rsid w:val="00923186"/>
    <w:rsid w:val="00926B34"/>
    <w:rsid w:val="0093517C"/>
    <w:rsid w:val="0093666D"/>
    <w:rsid w:val="00944F6F"/>
    <w:rsid w:val="009478E4"/>
    <w:rsid w:val="0096496F"/>
    <w:rsid w:val="00966377"/>
    <w:rsid w:val="0097180F"/>
    <w:rsid w:val="00971EBE"/>
    <w:rsid w:val="009A6C0B"/>
    <w:rsid w:val="009C6699"/>
    <w:rsid w:val="009E0409"/>
    <w:rsid w:val="009E12EF"/>
    <w:rsid w:val="009F2C5D"/>
    <w:rsid w:val="009F2D03"/>
    <w:rsid w:val="009F53EE"/>
    <w:rsid w:val="00A038BC"/>
    <w:rsid w:val="00A54C49"/>
    <w:rsid w:val="00A54EE8"/>
    <w:rsid w:val="00A55D13"/>
    <w:rsid w:val="00A6299F"/>
    <w:rsid w:val="00A664A2"/>
    <w:rsid w:val="00A81BEE"/>
    <w:rsid w:val="00A82F0E"/>
    <w:rsid w:val="00A861A3"/>
    <w:rsid w:val="00A8723E"/>
    <w:rsid w:val="00A9304D"/>
    <w:rsid w:val="00A936EF"/>
    <w:rsid w:val="00A93E55"/>
    <w:rsid w:val="00AC12D5"/>
    <w:rsid w:val="00AC1E3C"/>
    <w:rsid w:val="00AC37E1"/>
    <w:rsid w:val="00AE70E4"/>
    <w:rsid w:val="00AF32AF"/>
    <w:rsid w:val="00AF72C4"/>
    <w:rsid w:val="00B06CCC"/>
    <w:rsid w:val="00B33209"/>
    <w:rsid w:val="00B36EEA"/>
    <w:rsid w:val="00B50D78"/>
    <w:rsid w:val="00B51B86"/>
    <w:rsid w:val="00B564C6"/>
    <w:rsid w:val="00B6455D"/>
    <w:rsid w:val="00B646BC"/>
    <w:rsid w:val="00B6655D"/>
    <w:rsid w:val="00B76201"/>
    <w:rsid w:val="00B82032"/>
    <w:rsid w:val="00B83902"/>
    <w:rsid w:val="00BA5092"/>
    <w:rsid w:val="00BA5DD5"/>
    <w:rsid w:val="00BC13EB"/>
    <w:rsid w:val="00BC6A6D"/>
    <w:rsid w:val="00BE3372"/>
    <w:rsid w:val="00BE7BA2"/>
    <w:rsid w:val="00BF5C10"/>
    <w:rsid w:val="00C00419"/>
    <w:rsid w:val="00C013AA"/>
    <w:rsid w:val="00C015A7"/>
    <w:rsid w:val="00C05B34"/>
    <w:rsid w:val="00C077F4"/>
    <w:rsid w:val="00C10B19"/>
    <w:rsid w:val="00C129A4"/>
    <w:rsid w:val="00C14C4D"/>
    <w:rsid w:val="00C25A7A"/>
    <w:rsid w:val="00C34150"/>
    <w:rsid w:val="00C4239D"/>
    <w:rsid w:val="00C61E4A"/>
    <w:rsid w:val="00C651BF"/>
    <w:rsid w:val="00C81534"/>
    <w:rsid w:val="00C8384B"/>
    <w:rsid w:val="00C85D31"/>
    <w:rsid w:val="00C92290"/>
    <w:rsid w:val="00CA0174"/>
    <w:rsid w:val="00CA4B4F"/>
    <w:rsid w:val="00CA7B96"/>
    <w:rsid w:val="00CB1C0A"/>
    <w:rsid w:val="00CB26BA"/>
    <w:rsid w:val="00CB2F08"/>
    <w:rsid w:val="00CE1D2C"/>
    <w:rsid w:val="00CF3720"/>
    <w:rsid w:val="00D21E5A"/>
    <w:rsid w:val="00D35467"/>
    <w:rsid w:val="00D467E2"/>
    <w:rsid w:val="00D47623"/>
    <w:rsid w:val="00D47FD0"/>
    <w:rsid w:val="00D50B50"/>
    <w:rsid w:val="00D5134F"/>
    <w:rsid w:val="00D577FE"/>
    <w:rsid w:val="00D635F2"/>
    <w:rsid w:val="00D645AB"/>
    <w:rsid w:val="00D70DDB"/>
    <w:rsid w:val="00D76EAC"/>
    <w:rsid w:val="00D8195A"/>
    <w:rsid w:val="00D91A76"/>
    <w:rsid w:val="00DB1BCB"/>
    <w:rsid w:val="00DB7848"/>
    <w:rsid w:val="00DF4DCA"/>
    <w:rsid w:val="00E0116A"/>
    <w:rsid w:val="00E01E9E"/>
    <w:rsid w:val="00E11157"/>
    <w:rsid w:val="00E144B1"/>
    <w:rsid w:val="00E16253"/>
    <w:rsid w:val="00E243AC"/>
    <w:rsid w:val="00E36A56"/>
    <w:rsid w:val="00E43CAE"/>
    <w:rsid w:val="00E453D0"/>
    <w:rsid w:val="00E553BA"/>
    <w:rsid w:val="00E67D7F"/>
    <w:rsid w:val="00E70405"/>
    <w:rsid w:val="00E90FE3"/>
    <w:rsid w:val="00E96EF9"/>
    <w:rsid w:val="00EA315A"/>
    <w:rsid w:val="00EA4CD1"/>
    <w:rsid w:val="00EA7E6A"/>
    <w:rsid w:val="00EB6DF7"/>
    <w:rsid w:val="00ED0EAF"/>
    <w:rsid w:val="00ED204F"/>
    <w:rsid w:val="00ED335E"/>
    <w:rsid w:val="00ED5A0F"/>
    <w:rsid w:val="00EF5846"/>
    <w:rsid w:val="00F02171"/>
    <w:rsid w:val="00F35202"/>
    <w:rsid w:val="00F43E24"/>
    <w:rsid w:val="00F445D3"/>
    <w:rsid w:val="00F50331"/>
    <w:rsid w:val="00F54131"/>
    <w:rsid w:val="00F62EF1"/>
    <w:rsid w:val="00F71A09"/>
    <w:rsid w:val="00F7251F"/>
    <w:rsid w:val="00F80AC8"/>
    <w:rsid w:val="00F838DD"/>
    <w:rsid w:val="00F84779"/>
    <w:rsid w:val="00F85628"/>
    <w:rsid w:val="00F93728"/>
    <w:rsid w:val="00F951C4"/>
    <w:rsid w:val="00FA2FA2"/>
    <w:rsid w:val="00FA65FD"/>
    <w:rsid w:val="00FB04C9"/>
    <w:rsid w:val="00FB2719"/>
    <w:rsid w:val="00FB3D2C"/>
    <w:rsid w:val="00FC2662"/>
    <w:rsid w:val="00FC7EA7"/>
    <w:rsid w:val="00FD5BA4"/>
    <w:rsid w:val="00FF08EB"/>
    <w:rsid w:val="00FF0B78"/>
    <w:rsid w:val="00FF6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ED3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00419"/>
    <w:pPr>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semiHidden/>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character" w:customStyle="1" w:styleId="costarpage">
    <w:name w:val="co_starpage"/>
    <w:basedOn w:val="DefaultParagraphFont"/>
    <w:rsid w:val="000C4647"/>
  </w:style>
  <w:style w:type="character" w:styleId="Emphasis">
    <w:name w:val="Emphasis"/>
    <w:basedOn w:val="DefaultParagraphFont"/>
    <w:uiPriority w:val="20"/>
    <w:qFormat/>
    <w:rsid w:val="00FF0B78"/>
    <w:rPr>
      <w:i/>
      <w:iCs/>
    </w:rPr>
  </w:style>
  <w:style w:type="character" w:styleId="CommentReference">
    <w:name w:val="annotation reference"/>
    <w:basedOn w:val="DefaultParagraphFont"/>
    <w:semiHidden/>
    <w:unhideWhenUsed/>
    <w:rsid w:val="00D76EAC"/>
    <w:rPr>
      <w:sz w:val="16"/>
      <w:szCs w:val="16"/>
    </w:rPr>
  </w:style>
  <w:style w:type="paragraph" w:styleId="CommentText">
    <w:name w:val="annotation text"/>
    <w:basedOn w:val="Normal"/>
    <w:link w:val="CommentTextChar"/>
    <w:unhideWhenUsed/>
    <w:rsid w:val="00D76EAC"/>
    <w:pPr>
      <w:spacing w:line="240" w:lineRule="auto"/>
    </w:pPr>
    <w:rPr>
      <w:sz w:val="20"/>
      <w:szCs w:val="20"/>
    </w:rPr>
  </w:style>
  <w:style w:type="character" w:customStyle="1" w:styleId="CommentTextChar">
    <w:name w:val="Comment Text Char"/>
    <w:basedOn w:val="DefaultParagraphFont"/>
    <w:link w:val="CommentText"/>
    <w:rsid w:val="00D76EAC"/>
    <w:rPr>
      <w:sz w:val="20"/>
      <w:szCs w:val="20"/>
    </w:rPr>
  </w:style>
  <w:style w:type="paragraph" w:styleId="CommentSubject">
    <w:name w:val="annotation subject"/>
    <w:basedOn w:val="CommentText"/>
    <w:next w:val="CommentText"/>
    <w:link w:val="CommentSubjectChar"/>
    <w:semiHidden/>
    <w:unhideWhenUsed/>
    <w:rsid w:val="00D76EAC"/>
    <w:rPr>
      <w:b/>
      <w:bCs/>
    </w:rPr>
  </w:style>
  <w:style w:type="character" w:customStyle="1" w:styleId="CommentSubjectChar">
    <w:name w:val="Comment Subject Char"/>
    <w:basedOn w:val="CommentTextChar"/>
    <w:link w:val="CommentSubject"/>
    <w:semiHidden/>
    <w:rsid w:val="00D76EAC"/>
    <w:rPr>
      <w:b/>
      <w:bCs/>
      <w:sz w:val="20"/>
      <w:szCs w:val="20"/>
    </w:rPr>
  </w:style>
  <w:style w:type="paragraph" w:styleId="Revision">
    <w:name w:val="Revision"/>
    <w:hidden/>
    <w:uiPriority w:val="99"/>
    <w:semiHidden/>
    <w:rsid w:val="005E0185"/>
  </w:style>
  <w:style w:type="table" w:styleId="TableGrid">
    <w:name w:val="Table Grid"/>
    <w:basedOn w:val="TableNormal"/>
    <w:rsid w:val="000D6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ght">
    <w:name w:val="right"/>
    <w:basedOn w:val="DefaultParagraphFont"/>
    <w:rsid w:val="00F54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4758</Words>
  <Characters>25124</Characters>
  <Application>Microsoft Office Word</Application>
  <DocSecurity>0</DocSecurity>
  <Lines>483</Lines>
  <Paragraphs>110</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29772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2024-05-15T18:22:00Z</dcterms:created>
  <dcterms:modified xsi:type="dcterms:W3CDTF">2024-05-15T18:31:00Z</dcterms:modified>
  <cp:category/>
</cp:coreProperties>
</file>