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B0143" w14:textId="77777777" w:rsidR="00DA2BB5" w:rsidRPr="00670BC2" w:rsidRDefault="00DA2BB5" w:rsidP="003C0546">
      <w:pPr>
        <w:spacing w:line="240" w:lineRule="atLeast"/>
        <w:rPr>
          <w:sz w:val="20"/>
          <w:szCs w:val="20"/>
        </w:rPr>
      </w:pPr>
      <w:r w:rsidRPr="00670BC2">
        <w:rPr>
          <w:sz w:val="20"/>
          <w:szCs w:val="20"/>
        </w:rPr>
        <w:t>Filed 5/3/24</w:t>
      </w:r>
    </w:p>
    <w:p w14:paraId="599C4573" w14:textId="77777777" w:rsidR="00DA2BB5" w:rsidRDefault="00DA2BB5" w:rsidP="00B86137">
      <w:pPr>
        <w:spacing w:line="240" w:lineRule="atLeast"/>
        <w:jc w:val="center"/>
        <w:rPr>
          <w:u w:val="words"/>
        </w:rPr>
      </w:pPr>
      <w:r w:rsidRPr="00B86137">
        <w:rPr>
          <w:u w:val="words"/>
        </w:rPr>
        <w:t>CERTIFIED FOR PUBLICATION</w:t>
      </w:r>
    </w:p>
    <w:p w14:paraId="5B212C03" w14:textId="77777777" w:rsidR="00DA2BB5" w:rsidRDefault="00DA2BB5" w:rsidP="00B86137">
      <w:pPr>
        <w:spacing w:line="240" w:lineRule="atLeast"/>
        <w:jc w:val="center"/>
        <w:rPr>
          <w:u w:val="words"/>
        </w:rPr>
      </w:pPr>
    </w:p>
    <w:p w14:paraId="22A243C3" w14:textId="77777777" w:rsidR="00DA2BB5" w:rsidRDefault="00DA2BB5" w:rsidP="00B86137">
      <w:pPr>
        <w:spacing w:line="240" w:lineRule="atLeast"/>
        <w:jc w:val="center"/>
        <w:rPr>
          <w:u w:val="words"/>
        </w:rPr>
      </w:pPr>
    </w:p>
    <w:p w14:paraId="460E4D0E" w14:textId="77777777" w:rsidR="00DA2BB5" w:rsidRDefault="00DA2BB5" w:rsidP="00B86137">
      <w:pPr>
        <w:spacing w:line="240" w:lineRule="atLeast"/>
        <w:jc w:val="center"/>
        <w:rPr>
          <w:u w:val="words"/>
        </w:rPr>
      </w:pPr>
    </w:p>
    <w:p w14:paraId="2DAEFB49" w14:textId="77777777" w:rsidR="00DA2BB5" w:rsidRDefault="00DA2BB5" w:rsidP="00B86137">
      <w:pPr>
        <w:spacing w:line="240" w:lineRule="atLeast"/>
        <w:jc w:val="center"/>
        <w:rPr>
          <w:u w:val="words"/>
        </w:rPr>
      </w:pPr>
    </w:p>
    <w:p w14:paraId="2CEAFA42" w14:textId="77777777" w:rsidR="00DA2BB5" w:rsidRDefault="00DA2BB5" w:rsidP="00B86137">
      <w:pPr>
        <w:spacing w:line="240" w:lineRule="atLeast"/>
        <w:jc w:val="center"/>
        <w:rPr>
          <w:u w:val="words"/>
        </w:rPr>
      </w:pPr>
    </w:p>
    <w:p w14:paraId="4D8F8E8B" w14:textId="77777777" w:rsidR="00DA2BB5" w:rsidRDefault="00DA2BB5" w:rsidP="00B86137">
      <w:pPr>
        <w:jc w:val="center"/>
      </w:pPr>
      <w:r>
        <w:t>IN THE COURT OF APPEAL OF THE STATE OF CALIFORNIA</w:t>
      </w:r>
    </w:p>
    <w:p w14:paraId="175C38CD" w14:textId="77777777" w:rsidR="00DA2BB5" w:rsidRDefault="00DA2BB5" w:rsidP="00B86137">
      <w:pPr>
        <w:jc w:val="center"/>
      </w:pPr>
    </w:p>
    <w:p w14:paraId="47FBBCD4" w14:textId="77777777" w:rsidR="00DA2BB5" w:rsidRDefault="00DA2BB5" w:rsidP="00B86137">
      <w:pPr>
        <w:jc w:val="center"/>
      </w:pPr>
      <w:r>
        <w:t>THIRD APPELLATE DISTRICT</w:t>
      </w:r>
    </w:p>
    <w:p w14:paraId="1F87FF3D" w14:textId="77777777" w:rsidR="00DA2BB5" w:rsidRDefault="00DA2BB5" w:rsidP="00B86137">
      <w:pPr>
        <w:jc w:val="center"/>
      </w:pPr>
    </w:p>
    <w:p w14:paraId="3F57820E" w14:textId="77777777" w:rsidR="00DA2BB5" w:rsidRDefault="00DA2BB5" w:rsidP="00B86137">
      <w:pPr>
        <w:jc w:val="center"/>
      </w:pPr>
      <w:r>
        <w:t>(San Joaquin)</w:t>
      </w:r>
    </w:p>
    <w:p w14:paraId="1B252416" w14:textId="77777777" w:rsidR="00DA2BB5" w:rsidRDefault="00DA2BB5" w:rsidP="00B86137">
      <w:pPr>
        <w:jc w:val="center"/>
      </w:pPr>
      <w:r>
        <w:t>----</w:t>
      </w:r>
    </w:p>
    <w:p w14:paraId="7AE62107" w14:textId="77777777" w:rsidR="00DA2BB5" w:rsidRDefault="00DA2BB5" w:rsidP="00B86137">
      <w:pPr>
        <w:jc w:val="center"/>
      </w:pPr>
    </w:p>
    <w:p w14:paraId="698DFCDB" w14:textId="77777777" w:rsidR="00DA2BB5" w:rsidRDefault="00DA2BB5" w:rsidP="00B86137">
      <w:pPr>
        <w:spacing w:line="240" w:lineRule="atLeast"/>
      </w:pPr>
    </w:p>
    <w:p w14:paraId="072A4C62" w14:textId="77777777" w:rsidR="00DA2BB5" w:rsidRDefault="00DA2BB5" w:rsidP="00B86137">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E84786" w14:paraId="59E1E7CC" w14:textId="77777777" w:rsidTr="00B86137">
        <w:tc>
          <w:tcPr>
            <w:tcW w:w="5904" w:type="dxa"/>
            <w:shd w:val="clear" w:color="auto" w:fill="auto"/>
          </w:tcPr>
          <w:p w14:paraId="7CC0F183" w14:textId="77777777" w:rsidR="00DA2BB5" w:rsidRDefault="00DA2BB5" w:rsidP="00B86137">
            <w:pPr>
              <w:spacing w:line="240" w:lineRule="auto"/>
            </w:pPr>
          </w:p>
          <w:p w14:paraId="10FE2B59" w14:textId="77777777" w:rsidR="00DA2BB5" w:rsidRDefault="00DA2BB5" w:rsidP="00B86137">
            <w:pPr>
              <w:spacing w:line="240" w:lineRule="auto"/>
            </w:pPr>
            <w:r>
              <w:t>H.A.,</w:t>
            </w:r>
          </w:p>
          <w:p w14:paraId="01D1B972" w14:textId="77777777" w:rsidR="00DA2BB5" w:rsidRDefault="00DA2BB5" w:rsidP="00B86137">
            <w:pPr>
              <w:spacing w:line="240" w:lineRule="auto"/>
            </w:pPr>
          </w:p>
          <w:p w14:paraId="65C40229" w14:textId="77777777" w:rsidR="00DA2BB5" w:rsidRDefault="00DA2BB5" w:rsidP="00B86137">
            <w:pPr>
              <w:spacing w:line="240" w:lineRule="auto"/>
            </w:pPr>
            <w:r>
              <w:tab/>
            </w:r>
            <w:r>
              <w:tab/>
              <w:t>Petitioner,</w:t>
            </w:r>
          </w:p>
          <w:p w14:paraId="2B93BE22" w14:textId="77777777" w:rsidR="00DA2BB5" w:rsidRDefault="00DA2BB5" w:rsidP="00B86137">
            <w:pPr>
              <w:spacing w:line="240" w:lineRule="auto"/>
            </w:pPr>
          </w:p>
          <w:p w14:paraId="5DF1E3A9" w14:textId="77777777" w:rsidR="00DA2BB5" w:rsidRDefault="00DA2BB5" w:rsidP="00B86137">
            <w:pPr>
              <w:spacing w:line="240" w:lineRule="auto"/>
            </w:pPr>
            <w:r>
              <w:tab/>
              <w:t>v.</w:t>
            </w:r>
          </w:p>
          <w:p w14:paraId="23B7A4E9" w14:textId="77777777" w:rsidR="00DA2BB5" w:rsidRDefault="00DA2BB5" w:rsidP="00B86137">
            <w:pPr>
              <w:spacing w:line="240" w:lineRule="auto"/>
            </w:pPr>
          </w:p>
          <w:p w14:paraId="573E424E" w14:textId="77777777" w:rsidR="00DA2BB5" w:rsidRDefault="00DA2BB5" w:rsidP="00B86137">
            <w:pPr>
              <w:spacing w:line="240" w:lineRule="auto"/>
            </w:pPr>
            <w:r>
              <w:t>THE SUPERIOR COURT OF SAN JOAQUIN COUNTY,</w:t>
            </w:r>
          </w:p>
          <w:p w14:paraId="0A828501" w14:textId="77777777" w:rsidR="00DA2BB5" w:rsidRDefault="00DA2BB5" w:rsidP="00B86137">
            <w:pPr>
              <w:spacing w:line="240" w:lineRule="auto"/>
            </w:pPr>
          </w:p>
          <w:p w14:paraId="4C352299" w14:textId="77777777" w:rsidR="00DA2BB5" w:rsidRDefault="00DA2BB5" w:rsidP="00B86137">
            <w:pPr>
              <w:spacing w:line="240" w:lineRule="auto"/>
            </w:pPr>
            <w:r>
              <w:tab/>
            </w:r>
            <w:r>
              <w:tab/>
            </w:r>
            <w:proofErr w:type="gramStart"/>
            <w:r>
              <w:t>Respondent;</w:t>
            </w:r>
            <w:proofErr w:type="gramEnd"/>
          </w:p>
          <w:p w14:paraId="2D7D1A01" w14:textId="77777777" w:rsidR="00DA2BB5" w:rsidRDefault="00DA2BB5" w:rsidP="00B86137">
            <w:pPr>
              <w:spacing w:line="240" w:lineRule="auto"/>
            </w:pPr>
          </w:p>
          <w:p w14:paraId="335B6AB6" w14:textId="77777777" w:rsidR="00DA2BB5" w:rsidRDefault="00DA2BB5" w:rsidP="00B86137">
            <w:pPr>
              <w:spacing w:line="240" w:lineRule="auto"/>
            </w:pPr>
            <w:r>
              <w:t xml:space="preserve">SAN JOAQUIN COUNTY </w:t>
            </w:r>
            <w:r>
              <w:t>HUMAN SERVICES AGENCY et al.,</w:t>
            </w:r>
          </w:p>
          <w:p w14:paraId="5519937E" w14:textId="77777777" w:rsidR="00DA2BB5" w:rsidRDefault="00DA2BB5" w:rsidP="00B86137">
            <w:pPr>
              <w:spacing w:line="240" w:lineRule="auto"/>
            </w:pPr>
          </w:p>
          <w:p w14:paraId="513C3EA3" w14:textId="77777777" w:rsidR="00DA2BB5" w:rsidRDefault="00DA2BB5" w:rsidP="00B86137">
            <w:pPr>
              <w:spacing w:line="240" w:lineRule="auto"/>
            </w:pPr>
            <w:r>
              <w:tab/>
            </w:r>
            <w:r>
              <w:tab/>
              <w:t>Real Parties in Interest.</w:t>
            </w:r>
          </w:p>
          <w:p w14:paraId="0F3BC258" w14:textId="77777777" w:rsidR="00DA2BB5" w:rsidRDefault="00DA2BB5" w:rsidP="00B86137">
            <w:pPr>
              <w:spacing w:line="240" w:lineRule="auto"/>
            </w:pPr>
          </w:p>
        </w:tc>
        <w:tc>
          <w:tcPr>
            <w:tcW w:w="3456" w:type="dxa"/>
            <w:shd w:val="clear" w:color="auto" w:fill="auto"/>
          </w:tcPr>
          <w:p w14:paraId="029B5641" w14:textId="77777777" w:rsidR="00DA2BB5" w:rsidRDefault="00DA2BB5" w:rsidP="00B86137">
            <w:pPr>
              <w:spacing w:line="240" w:lineRule="atLeast"/>
              <w:jc w:val="center"/>
            </w:pPr>
          </w:p>
          <w:p w14:paraId="1C48BC81" w14:textId="77777777" w:rsidR="00DA2BB5" w:rsidRDefault="00DA2BB5" w:rsidP="00B86137">
            <w:pPr>
              <w:spacing w:line="240" w:lineRule="atLeast"/>
              <w:jc w:val="center"/>
            </w:pPr>
            <w:r>
              <w:t>C099704</w:t>
            </w:r>
          </w:p>
          <w:p w14:paraId="2D745FE2" w14:textId="77777777" w:rsidR="00DA2BB5" w:rsidRDefault="00DA2BB5" w:rsidP="00B86137">
            <w:pPr>
              <w:spacing w:line="240" w:lineRule="atLeast"/>
              <w:jc w:val="center"/>
            </w:pPr>
          </w:p>
          <w:p w14:paraId="648F225D" w14:textId="77777777" w:rsidR="00DA2BB5" w:rsidRDefault="00DA2BB5" w:rsidP="00B86137">
            <w:pPr>
              <w:spacing w:line="240" w:lineRule="atLeast"/>
              <w:jc w:val="center"/>
            </w:pPr>
            <w:r>
              <w:t>(Super. Ct. No.</w:t>
            </w:r>
          </w:p>
          <w:p w14:paraId="62262BA4" w14:textId="77777777" w:rsidR="00DA2BB5" w:rsidRDefault="00DA2BB5" w:rsidP="00B86137">
            <w:pPr>
              <w:spacing w:line="240" w:lineRule="atLeast"/>
              <w:jc w:val="center"/>
            </w:pPr>
            <w:r>
              <w:t>STK</w:t>
            </w:r>
            <w:r>
              <w:t>-</w:t>
            </w:r>
            <w:r>
              <w:t>JD</w:t>
            </w:r>
            <w:r>
              <w:t>-</w:t>
            </w:r>
            <w:r>
              <w:t>DP</w:t>
            </w:r>
            <w:r>
              <w:t>-</w:t>
            </w:r>
            <w:r>
              <w:t>2022</w:t>
            </w:r>
            <w:r>
              <w:t>-</w:t>
            </w:r>
            <w:r>
              <w:t>0000199)</w:t>
            </w:r>
          </w:p>
          <w:p w14:paraId="6D6514F5" w14:textId="77777777" w:rsidR="00DA2BB5" w:rsidRDefault="00DA2BB5" w:rsidP="00B86137">
            <w:pPr>
              <w:spacing w:line="240" w:lineRule="atLeast"/>
              <w:jc w:val="center"/>
            </w:pPr>
          </w:p>
        </w:tc>
      </w:tr>
    </w:tbl>
    <w:p w14:paraId="4A86736C" w14:textId="77777777" w:rsidR="00DA2BB5" w:rsidRDefault="00DA2BB5" w:rsidP="00B86137"/>
    <w:p w14:paraId="2306C8CF" w14:textId="77777777" w:rsidR="00DA2BB5" w:rsidRDefault="00DA2BB5" w:rsidP="00B86137">
      <w:pPr>
        <w:spacing w:line="240" w:lineRule="atLeast"/>
      </w:pPr>
      <w:r>
        <w:tab/>
        <w:t>ORIGINAL PROCEEDING in mandate.  Stay issued.  Petition granted.  Michael J. Mulvihill, Jr., Judge.</w:t>
      </w:r>
    </w:p>
    <w:p w14:paraId="5652671E" w14:textId="77777777" w:rsidR="00DA2BB5" w:rsidRDefault="00DA2BB5" w:rsidP="00B86137">
      <w:pPr>
        <w:spacing w:line="240" w:lineRule="atLeast"/>
      </w:pPr>
    </w:p>
    <w:p w14:paraId="324AD366" w14:textId="77777777" w:rsidR="00DA2BB5" w:rsidRDefault="00DA2BB5" w:rsidP="00B86137">
      <w:pPr>
        <w:spacing w:line="240" w:lineRule="auto"/>
      </w:pPr>
      <w:r>
        <w:lastRenderedPageBreak/>
        <w:tab/>
        <w:t xml:space="preserve">Miriam T. Lyell, Public </w:t>
      </w:r>
      <w:r>
        <w:t>Defender, Rose M. Cardoso and Nelson C. Lu, Deputy Public Defenders, for Petitioner.</w:t>
      </w:r>
    </w:p>
    <w:p w14:paraId="7B9CC04D" w14:textId="77777777" w:rsidR="00DA2BB5" w:rsidRDefault="00DA2BB5" w:rsidP="00B86137">
      <w:pPr>
        <w:spacing w:line="240" w:lineRule="atLeast"/>
      </w:pPr>
    </w:p>
    <w:p w14:paraId="478A386B" w14:textId="77777777" w:rsidR="00DA2BB5" w:rsidRDefault="00DA2BB5" w:rsidP="00B86137">
      <w:pPr>
        <w:spacing w:line="240" w:lineRule="atLeast"/>
      </w:pPr>
      <w:r>
        <w:tab/>
        <w:t>No appearance for</w:t>
      </w:r>
      <w:r>
        <w:t xml:space="preserve"> </w:t>
      </w:r>
      <w:r>
        <w:t>Respondent.</w:t>
      </w:r>
    </w:p>
    <w:p w14:paraId="1CA330D2" w14:textId="77777777" w:rsidR="00DA2BB5" w:rsidRDefault="00DA2BB5" w:rsidP="00B86137">
      <w:pPr>
        <w:spacing w:line="240" w:lineRule="atLeast"/>
      </w:pPr>
    </w:p>
    <w:p w14:paraId="3B94BADC" w14:textId="77777777" w:rsidR="00DA2BB5" w:rsidRDefault="00DA2BB5" w:rsidP="00AD01C9">
      <w:pPr>
        <w:tabs>
          <w:tab w:val="left" w:pos="720"/>
          <w:tab w:val="right" w:pos="9360"/>
        </w:tabs>
        <w:spacing w:line="240" w:lineRule="atLeast"/>
      </w:pPr>
      <w:r>
        <w:tab/>
        <w:t>Alistair Sheaffer, Deputy County Counsel, for Real Party in Interest San Joaquin County Human Services Agency.</w:t>
      </w:r>
    </w:p>
    <w:p w14:paraId="53D16A34" w14:textId="77777777" w:rsidR="00DA2BB5" w:rsidRDefault="00DA2BB5" w:rsidP="00B86137">
      <w:pPr>
        <w:spacing w:line="240" w:lineRule="atLeast"/>
      </w:pPr>
    </w:p>
    <w:p w14:paraId="23E43664" w14:textId="77777777" w:rsidR="00DA2BB5" w:rsidRDefault="00DA2BB5" w:rsidP="006831B1">
      <w:pPr>
        <w:tabs>
          <w:tab w:val="left" w:pos="720"/>
          <w:tab w:val="right" w:pos="9360"/>
        </w:tabs>
        <w:spacing w:line="240" w:lineRule="atLeast"/>
        <w:ind w:left="720"/>
      </w:pPr>
      <w:r>
        <w:t>Robert Anthony Aguilar</w:t>
      </w:r>
      <w:r>
        <w:t xml:space="preserve"> </w:t>
      </w:r>
      <w:r>
        <w:t>for Real Party in Interest S.P.</w:t>
      </w:r>
    </w:p>
    <w:p w14:paraId="05076A95" w14:textId="77777777" w:rsidR="00DA2BB5" w:rsidRDefault="00DA2BB5" w:rsidP="006831B1">
      <w:pPr>
        <w:tabs>
          <w:tab w:val="left" w:pos="720"/>
          <w:tab w:val="right" w:pos="9360"/>
        </w:tabs>
        <w:spacing w:line="240" w:lineRule="atLeast"/>
        <w:ind w:left="720"/>
      </w:pPr>
    </w:p>
    <w:p w14:paraId="089077DA" w14:textId="77777777" w:rsidR="00DA2BB5" w:rsidRDefault="00DA2BB5" w:rsidP="006831B1">
      <w:pPr>
        <w:tabs>
          <w:tab w:val="left" w:pos="720"/>
          <w:tab w:val="right" w:pos="9360"/>
        </w:tabs>
        <w:spacing w:line="240" w:lineRule="atLeast"/>
        <w:ind w:left="720"/>
      </w:pPr>
      <w:r>
        <w:t xml:space="preserve">Darla Westgate for </w:t>
      </w:r>
      <w:r>
        <w:t>R</w:t>
      </w:r>
      <w:r>
        <w:t xml:space="preserve">eal </w:t>
      </w:r>
      <w:r>
        <w:t>P</w:t>
      </w:r>
      <w:r>
        <w:t>art</w:t>
      </w:r>
      <w:r>
        <w:t>y</w:t>
      </w:r>
      <w:r>
        <w:t xml:space="preserve"> in </w:t>
      </w:r>
      <w:r>
        <w:t>I</w:t>
      </w:r>
      <w:r>
        <w:t>nterest</w:t>
      </w:r>
      <w:r>
        <w:t xml:space="preserve"> H.A</w:t>
      </w:r>
      <w:r>
        <w:t>.</w:t>
      </w:r>
    </w:p>
    <w:p w14:paraId="29528FA2" w14:textId="77777777" w:rsidR="00DA2BB5" w:rsidRDefault="00DA2BB5" w:rsidP="00F330E4">
      <w:pPr>
        <w:spacing w:line="240" w:lineRule="auto"/>
      </w:pPr>
    </w:p>
    <w:p w14:paraId="5F5CFE7C" w14:textId="77777777" w:rsidR="00DA2BB5" w:rsidRDefault="00DA2BB5" w:rsidP="00F330E4">
      <w:pPr>
        <w:spacing w:line="240" w:lineRule="auto"/>
      </w:pPr>
    </w:p>
    <w:p w14:paraId="0D9BC393" w14:textId="77777777" w:rsidR="00DA2BB5" w:rsidRPr="00E76614" w:rsidRDefault="00DA2BB5" w:rsidP="00170018">
      <w:r>
        <w:tab/>
      </w:r>
      <w:r w:rsidRPr="00E76614">
        <w:t xml:space="preserve">This matter </w:t>
      </w:r>
      <w:r w:rsidRPr="00E76614">
        <w:t>is one of many</w:t>
      </w:r>
      <w:r w:rsidRPr="00E76614">
        <w:t xml:space="preserve"> we receive</w:t>
      </w:r>
      <w:r w:rsidRPr="00E76614">
        <w:t>, particularly</w:t>
      </w:r>
      <w:r w:rsidRPr="00E76614">
        <w:t xml:space="preserve"> from San Joaquin County</w:t>
      </w:r>
      <w:r w:rsidRPr="00E76614">
        <w:t xml:space="preserve">, </w:t>
      </w:r>
      <w:r w:rsidRPr="00E76614">
        <w:t>complaining of lack of compliance with the inquiry</w:t>
      </w:r>
      <w:r w:rsidRPr="00E76614">
        <w:t xml:space="preserve"> </w:t>
      </w:r>
      <w:r w:rsidRPr="00E76614">
        <w:t xml:space="preserve">requirements of the Indian Child Welfare Act </w:t>
      </w:r>
      <w:r w:rsidRPr="00E76614">
        <w:t>(ICWA) (</w:t>
      </w:r>
      <w:bookmarkStart w:id="0" w:name="dabmci_6a1671ad44354471adf5ad1450e1ca5f"/>
      <w:r w:rsidRPr="00E76614">
        <w:t>25 U.S.C. § 1901</w:t>
      </w:r>
      <w:bookmarkEnd w:id="0"/>
      <w:r w:rsidRPr="00E76614">
        <w:t xml:space="preserve"> et seq.)</w:t>
      </w:r>
      <w:r w:rsidRPr="00E76614">
        <w:t>.</w:t>
      </w:r>
      <w:r w:rsidRPr="00E76614">
        <w:t xml:space="preserve"> </w:t>
      </w:r>
      <w:r w:rsidRPr="00E76614">
        <w:t xml:space="preserve"> </w:t>
      </w:r>
      <w:r w:rsidRPr="00E76614">
        <w:t>Petitioner H.A</w:t>
      </w:r>
      <w:r w:rsidRPr="00AB5435">
        <w:t>., father of the dependent minor</w:t>
      </w:r>
      <w:r w:rsidRPr="00AB5435">
        <w:t>s</w:t>
      </w:r>
      <w:r w:rsidRPr="00AB5435">
        <w:t xml:space="preserve">, seeks an extraordinary writ to vacate orders of the juvenile </w:t>
      </w:r>
      <w:r w:rsidRPr="00016824">
        <w:t>court terminating h</w:t>
      </w:r>
      <w:r w:rsidRPr="00016824">
        <w:t>is</w:t>
      </w:r>
      <w:r w:rsidRPr="00016824">
        <w:t xml:space="preserve"> </w:t>
      </w:r>
      <w:r>
        <w:t xml:space="preserve">visitation and mother’s </w:t>
      </w:r>
      <w:r w:rsidRPr="00016824">
        <w:t>reunification services and setting a hearing pursuant to Welfare and Institutions Code</w:t>
      </w:r>
      <w:r>
        <w:rPr>
          <w:rStyle w:val="FootnoteReference"/>
        </w:rPr>
        <w:footnoteReference w:id="1"/>
      </w:r>
      <w:r w:rsidRPr="00016824">
        <w:t xml:space="preserve"> section 366.26.  </w:t>
      </w:r>
      <w:r w:rsidRPr="00DE06ED">
        <w:t>(Cal. Rules of Court,</w:t>
      </w:r>
      <w:r>
        <w:rPr>
          <w:rStyle w:val="FootnoteReference"/>
        </w:rPr>
        <w:footnoteReference w:id="2"/>
      </w:r>
      <w:r w:rsidRPr="00DE06ED">
        <w:t xml:space="preserve"> rule 8.452.)  </w:t>
      </w:r>
      <w:r w:rsidRPr="00E76614">
        <w:t>Petitioner contends that the inquiry made into the minors</w:t>
      </w:r>
      <w:r w:rsidRPr="00E76614">
        <w:t>’</w:t>
      </w:r>
      <w:r w:rsidRPr="00E76614">
        <w:t xml:space="preserve"> potential Indian heritage </w:t>
      </w:r>
      <w:r w:rsidRPr="00E76614">
        <w:t xml:space="preserve">in this dependency case </w:t>
      </w:r>
      <w:r w:rsidRPr="00E76614">
        <w:t xml:space="preserve">was insufficient and failed to comply with the ICWA.  </w:t>
      </w:r>
    </w:p>
    <w:p w14:paraId="2BAAA0CA" w14:textId="77777777" w:rsidR="00DA2BB5" w:rsidRPr="00E76614" w:rsidRDefault="00DA2BB5" w:rsidP="008B2C0F">
      <w:pPr>
        <w:ind w:firstLine="720"/>
      </w:pPr>
      <w:r w:rsidRPr="00E76614">
        <w:t xml:space="preserve">We issued a stay of the section 366.26 hearing in the respondent juvenile court pending resolution of this writ petition and shall now issue a peremptory writ of mandate directing the respondent juvenile court to vacate the ICWA findings and conduct further proceedings to determine whether the ICWA inquiry and notice requirements have been met. </w:t>
      </w:r>
      <w:r w:rsidRPr="00E76614">
        <w:t xml:space="preserve"> We publish this decision </w:t>
      </w:r>
      <w:r w:rsidRPr="00E76614">
        <w:t xml:space="preserve">to </w:t>
      </w:r>
      <w:r w:rsidRPr="00E76614">
        <w:t>clarify our expect</w:t>
      </w:r>
      <w:r w:rsidRPr="00E76614">
        <w:t xml:space="preserve">ations of counsel and the juvenile court </w:t>
      </w:r>
      <w:r w:rsidRPr="00E76614">
        <w:t>to</w:t>
      </w:r>
      <w:r w:rsidRPr="00E76614">
        <w:t xml:space="preserve"> </w:t>
      </w:r>
      <w:r w:rsidRPr="00E76614">
        <w:t xml:space="preserve">put an </w:t>
      </w:r>
      <w:r w:rsidRPr="00E76614">
        <w:t xml:space="preserve">end to the delays caused by these </w:t>
      </w:r>
      <w:r w:rsidRPr="00E76614">
        <w:t xml:space="preserve">repetitive writ petitions and </w:t>
      </w:r>
      <w:r w:rsidRPr="00E76614">
        <w:t>appeals.</w:t>
      </w:r>
    </w:p>
    <w:p w14:paraId="4BE73CAD" w14:textId="77777777" w:rsidR="00DA2BB5" w:rsidRPr="00E76614" w:rsidRDefault="00DA2BB5" w:rsidP="00170018">
      <w:pPr>
        <w:ind w:firstLine="720"/>
      </w:pPr>
      <w:r w:rsidRPr="00E76614">
        <w:lastRenderedPageBreak/>
        <w:t xml:space="preserve">The relevant facts </w:t>
      </w:r>
      <w:r w:rsidRPr="00E76614">
        <w:t xml:space="preserve">are included in our </w:t>
      </w:r>
      <w:r w:rsidRPr="00E76614">
        <w:t>discussion of the issues.</w:t>
      </w:r>
    </w:p>
    <w:p w14:paraId="010F83C8" w14:textId="77777777" w:rsidR="00DA2BB5" w:rsidRPr="00A40C85" w:rsidRDefault="00DA2BB5" w:rsidP="007E0010">
      <w:pPr>
        <w:keepNext/>
        <w:jc w:val="center"/>
      </w:pPr>
      <w:r w:rsidRPr="00A40C85">
        <w:t>DISCUSSION</w:t>
      </w:r>
    </w:p>
    <w:p w14:paraId="4B3F3558" w14:textId="77777777" w:rsidR="00DA2BB5" w:rsidRPr="00A40C85" w:rsidRDefault="00DA2BB5" w:rsidP="007E0010">
      <w:pPr>
        <w:keepNext/>
        <w:jc w:val="center"/>
      </w:pPr>
      <w:r w:rsidRPr="00A40C85">
        <w:t>I</w:t>
      </w:r>
    </w:p>
    <w:p w14:paraId="52EE58D2" w14:textId="77777777" w:rsidR="00DA2BB5" w:rsidRPr="00B86137" w:rsidRDefault="00DA2BB5" w:rsidP="007E0010">
      <w:pPr>
        <w:keepNext/>
        <w:jc w:val="center"/>
        <w:rPr>
          <w:i/>
          <w:iCs/>
        </w:rPr>
      </w:pPr>
      <w:r w:rsidRPr="00B86137">
        <w:rPr>
          <w:i/>
          <w:iCs/>
        </w:rPr>
        <w:t>ICWA Error</w:t>
      </w:r>
    </w:p>
    <w:p w14:paraId="1CD24C27" w14:textId="77777777" w:rsidR="00DA2BB5" w:rsidRPr="00090920" w:rsidRDefault="00DA2BB5" w:rsidP="00E45D81">
      <w:pPr>
        <w:ind w:firstLine="720"/>
      </w:pPr>
      <w:r w:rsidRPr="00090920">
        <w:t>On June</w:t>
      </w:r>
      <w:r w:rsidRPr="00090920">
        <w:t> </w:t>
      </w:r>
      <w:r w:rsidRPr="00090920">
        <w:t>14, 2022, t</w:t>
      </w:r>
      <w:r w:rsidRPr="00090920">
        <w:t xml:space="preserve">he San Joaquin </w:t>
      </w:r>
      <w:r w:rsidRPr="00090920">
        <w:t xml:space="preserve">County </w:t>
      </w:r>
      <w:r w:rsidRPr="00090920">
        <w:t xml:space="preserve">Human Services Agency (Agency) filed </w:t>
      </w:r>
      <w:r w:rsidRPr="00090920">
        <w:t xml:space="preserve">a </w:t>
      </w:r>
      <w:r w:rsidRPr="00090920">
        <w:t>section</w:t>
      </w:r>
      <w:r w:rsidRPr="00090920">
        <w:t xml:space="preserve"> 300 petition on behalf of </w:t>
      </w:r>
      <w:r w:rsidRPr="00090920">
        <w:t xml:space="preserve">the subject minors based on </w:t>
      </w:r>
      <w:r w:rsidRPr="00090920">
        <w:t xml:space="preserve">the </w:t>
      </w:r>
      <w:r w:rsidRPr="00090920">
        <w:t xml:space="preserve">parents’ substance </w:t>
      </w:r>
      <w:r w:rsidRPr="00090920">
        <w:t xml:space="preserve">abuse and domestic violence, and mother’s untreated mental health issues.  </w:t>
      </w:r>
      <w:r w:rsidRPr="00090920">
        <w:t>The detention report indicated there was no reason to</w:t>
      </w:r>
      <w:r w:rsidRPr="00090920">
        <w:t xml:space="preserve"> </w:t>
      </w:r>
      <w:r w:rsidRPr="00090920">
        <w:t xml:space="preserve">believe the </w:t>
      </w:r>
      <w:r w:rsidRPr="00090920">
        <w:t>m</w:t>
      </w:r>
      <w:r w:rsidRPr="00090920">
        <w:t xml:space="preserve">inors were Indian children, based on the </w:t>
      </w:r>
      <w:r w:rsidRPr="00090920">
        <w:t>p</w:t>
      </w:r>
      <w:r w:rsidRPr="00090920">
        <w:t>arents’ denial</w:t>
      </w:r>
      <w:r w:rsidRPr="00090920">
        <w:t xml:space="preserve"> </w:t>
      </w:r>
      <w:r w:rsidRPr="00090920">
        <w:t xml:space="preserve">of </w:t>
      </w:r>
      <w:r w:rsidRPr="00090920">
        <w:t xml:space="preserve">Native American </w:t>
      </w:r>
      <w:r w:rsidRPr="00090920">
        <w:t>ancestry.</w:t>
      </w:r>
      <w:r w:rsidRPr="00090920">
        <w:t xml:space="preserve"> </w:t>
      </w:r>
      <w:r w:rsidRPr="00090920">
        <w:t xml:space="preserve"> </w:t>
      </w:r>
      <w:r w:rsidRPr="00090920">
        <w:t xml:space="preserve">Both parents had </w:t>
      </w:r>
      <w:r w:rsidRPr="00090920">
        <w:t xml:space="preserve">informed </w:t>
      </w:r>
      <w:r w:rsidRPr="00090920">
        <w:t>the social worker that they did not have any Native American ancestry</w:t>
      </w:r>
      <w:r w:rsidRPr="00090920">
        <w:t xml:space="preserve"> and </w:t>
      </w:r>
      <w:r w:rsidRPr="00090920">
        <w:t xml:space="preserve">completed ICWA-020 </w:t>
      </w:r>
      <w:r>
        <w:t>p</w:t>
      </w:r>
      <w:r w:rsidRPr="00090920">
        <w:t xml:space="preserve">arental </w:t>
      </w:r>
      <w:r>
        <w:t>n</w:t>
      </w:r>
      <w:r w:rsidRPr="00090920">
        <w:t xml:space="preserve">otification of Indian </w:t>
      </w:r>
      <w:r>
        <w:t>s</w:t>
      </w:r>
      <w:r w:rsidRPr="00090920">
        <w:t xml:space="preserve">tatus forms </w:t>
      </w:r>
      <w:r w:rsidRPr="00090920">
        <w:t xml:space="preserve">(ICWA-020 forms) </w:t>
      </w:r>
      <w:r w:rsidRPr="00090920">
        <w:t>denying knowledge of any Native American ancestry</w:t>
      </w:r>
      <w:r w:rsidRPr="00090920">
        <w:t>.</w:t>
      </w:r>
      <w:r w:rsidRPr="00090920">
        <w:t xml:space="preserve">  </w:t>
      </w:r>
    </w:p>
    <w:p w14:paraId="4AC0422B" w14:textId="77777777" w:rsidR="00DA2BB5" w:rsidRPr="008164B4" w:rsidRDefault="00DA2BB5" w:rsidP="00E45D81">
      <w:pPr>
        <w:ind w:firstLine="720"/>
      </w:pPr>
      <w:r w:rsidRPr="00090920">
        <w:t>Petitioner contends that</w:t>
      </w:r>
      <w:r w:rsidRPr="00090920">
        <w:t xml:space="preserve">, although both parents </w:t>
      </w:r>
      <w:r w:rsidRPr="00090920">
        <w:t xml:space="preserve">completed </w:t>
      </w:r>
      <w:bookmarkStart w:id="1" w:name="_Hlk163476441"/>
      <w:r w:rsidRPr="00090920">
        <w:t xml:space="preserve">ICWA-020 forms </w:t>
      </w:r>
      <w:r w:rsidRPr="00090920">
        <w:t>den</w:t>
      </w:r>
      <w:r w:rsidRPr="00090920">
        <w:t>ying knowledge of any</w:t>
      </w:r>
      <w:r w:rsidRPr="00090920">
        <w:t xml:space="preserve"> Native American ancestry</w:t>
      </w:r>
      <w:r w:rsidRPr="00090920">
        <w:t>,</w:t>
      </w:r>
      <w:r w:rsidRPr="00090920">
        <w:t xml:space="preserve"> </w:t>
      </w:r>
      <w:r w:rsidRPr="008164B4">
        <w:t xml:space="preserve">inquiry of relatives and family members about the </w:t>
      </w:r>
      <w:r w:rsidRPr="008164B4">
        <w:t>minors’</w:t>
      </w:r>
      <w:r w:rsidRPr="008164B4">
        <w:t xml:space="preserve"> potential Indian heritage is necessary to meet the requirements of the ICWA.  </w:t>
      </w:r>
      <w:bookmarkEnd w:id="1"/>
      <w:r w:rsidRPr="008164B4">
        <w:t>We agree.</w:t>
      </w:r>
    </w:p>
    <w:p w14:paraId="4CB748D5" w14:textId="77777777" w:rsidR="00DA2BB5" w:rsidRPr="008164B4" w:rsidRDefault="00DA2BB5" w:rsidP="00321FCF">
      <w:pPr>
        <w:ind w:firstLine="720"/>
      </w:pPr>
      <w:r w:rsidRPr="008164B4">
        <w:t>As this court has explained</w:t>
      </w:r>
      <w:proofErr w:type="gramStart"/>
      <w:r w:rsidRPr="008164B4">
        <w:t>:  “</w:t>
      </w:r>
      <w:proofErr w:type="gramEnd"/>
      <w:r w:rsidRPr="008164B4">
        <w:t> ‘The ICWA protects the interests of Indian children and promotes the stability and security of Indian tribes by establishing minimum standards for removal of Indian children from their families, and by permitting tribal participation in dependency proceedings.  [Citations.]  A major purpose of the ICWA is to protect “Indian children who are members of or are eligible for membership in an Indian tribe.”  [Citation.]’  (</w:t>
      </w:r>
      <w:bookmarkStart w:id="2" w:name="dabmci_7f0674d2bbc6440cb179e7c9b29e240f"/>
      <w:r w:rsidRPr="008164B4">
        <w:rPr>
          <w:i/>
          <w:iCs/>
        </w:rPr>
        <w:t xml:space="preserve">In re A.W. </w:t>
      </w:r>
      <w:r w:rsidRPr="008164B4">
        <w:t>(2019) 38 Cal.App.5th 655, 662</w:t>
      </w:r>
      <w:bookmarkEnd w:id="2"/>
      <w:r w:rsidRPr="008164B4">
        <w:t xml:space="preserve">.)  The ICWA defines an </w:t>
      </w:r>
      <w:proofErr w:type="gramStart"/>
      <w:r w:rsidRPr="008164B4">
        <w:t>‘ “</w:t>
      </w:r>
      <w:proofErr w:type="gramEnd"/>
      <w:r w:rsidRPr="008164B4">
        <w:t>Indian child” ’ a</w:t>
      </w:r>
      <w:r w:rsidRPr="008164B4">
        <w:t>s a child who ‘is either (a) a member of an Indian tribe or (b) is eligible for membership in an Indian tribe and is the biological child of a member of an Indian tribe.’  (</w:t>
      </w:r>
      <w:bookmarkStart w:id="3" w:name="dabmci_8da8a9220a3844549b21f9110596fef9"/>
      <w:r w:rsidRPr="008164B4">
        <w:t>25 U.S.C. § 1903(4)</w:t>
      </w:r>
      <w:bookmarkEnd w:id="3"/>
      <w:r w:rsidRPr="008164B4">
        <w:t xml:space="preserve">.)  The juvenile court and the social services </w:t>
      </w:r>
      <w:r>
        <w:t>[agency]</w:t>
      </w:r>
      <w:r w:rsidRPr="008164B4">
        <w:t xml:space="preserve"> have an affirmative and continuing duty, beginning at initial contact, to inquire whether a child who is subject to the proceedings is, or may be, an Indian child.  (</w:t>
      </w:r>
      <w:r>
        <w:t>[R]</w:t>
      </w:r>
      <w:r w:rsidRPr="008164B4">
        <w:t>ule 5.481(a); § 224.2, subd. (a).)”</w:t>
      </w:r>
      <w:r w:rsidRPr="008164B4">
        <w:rPr>
          <w:i/>
          <w:iCs/>
        </w:rPr>
        <w:t xml:space="preserve">  </w:t>
      </w:r>
      <w:r w:rsidRPr="008164B4">
        <w:t>(</w:t>
      </w:r>
      <w:bookmarkStart w:id="4" w:name="dabmci_1865238a61554dba90a1abb91ee578ff"/>
      <w:r w:rsidRPr="008164B4">
        <w:rPr>
          <w:i/>
          <w:iCs/>
        </w:rPr>
        <w:t xml:space="preserve">In re G.A. </w:t>
      </w:r>
      <w:r w:rsidRPr="008164B4">
        <w:t>(2022) 81 Cal.App.5th 355, 360</w:t>
      </w:r>
      <w:bookmarkEnd w:id="4"/>
      <w:r w:rsidRPr="008164B4">
        <w:t>, review granted Oct. 12, 2022, S276056.)</w:t>
      </w:r>
    </w:p>
    <w:p w14:paraId="2E71EBB9" w14:textId="77777777" w:rsidR="00DA2BB5" w:rsidRPr="004F6961" w:rsidRDefault="00DA2BB5" w:rsidP="00321FCF">
      <w:pPr>
        <w:ind w:firstLine="720"/>
      </w:pPr>
      <w:bookmarkStart w:id="5" w:name="bm_dabmci_4798e373b91b4adab21416729fcdd5"/>
      <w:bookmarkStart w:id="6" w:name="bm_ElPgBr4"/>
      <w:bookmarkStart w:id="7" w:name="bm_dabmci_e76c2fb9ed8b470dab10d9f1bc2188"/>
      <w:bookmarkStart w:id="8" w:name="bm_dabmci_c2a8af2cac644202b01bcde6a28228"/>
      <w:bookmarkStart w:id="9" w:name="bm_dabmci_8b5b64f4baa4453b85c38fb0c09e6d"/>
      <w:bookmarkEnd w:id="5"/>
      <w:bookmarkEnd w:id="6"/>
      <w:bookmarkEnd w:id="7"/>
      <w:bookmarkEnd w:id="8"/>
      <w:bookmarkEnd w:id="9"/>
      <w:r w:rsidRPr="004F6961">
        <w:lastRenderedPageBreak/>
        <w:t>“[S]</w:t>
      </w:r>
      <w:proofErr w:type="spellStart"/>
      <w:r w:rsidRPr="004F6961">
        <w:t>ection</w:t>
      </w:r>
      <w:proofErr w:type="spellEnd"/>
      <w:r w:rsidRPr="004F6961">
        <w:t xml:space="preserve"> 224.2 creates three distinct duties regarding </w:t>
      </w:r>
      <w:r w:rsidRPr="004F6961">
        <w:t xml:space="preserve">[the] </w:t>
      </w:r>
      <w:r w:rsidRPr="004F6961">
        <w:t xml:space="preserve">ICWA in dependency proceedings.  First, from the Agency’s initial contact with a minor and his [or her] family, the statute imposes a duty of inquiry to ask all involved persons whether the child may be an Indian child.  (§ 224.2, subds. (a), (b).)  Second, if that initial inquiry creates a ‘reason to </w:t>
      </w:r>
      <w:r w:rsidRPr="004F6961">
        <w:rPr>
          <w:i/>
          <w:iCs/>
        </w:rPr>
        <w:t>believe</w:t>
      </w:r>
      <w:r w:rsidRPr="004F6961">
        <w:t>’</w:t>
      </w:r>
      <w:r w:rsidRPr="004F6961">
        <w:rPr>
          <w:i/>
          <w:iCs/>
        </w:rPr>
        <w:t xml:space="preserve"> </w:t>
      </w:r>
      <w:r w:rsidRPr="004F6961">
        <w:t xml:space="preserve">the child is an Indian child, then the Agency ‘shall make </w:t>
      </w:r>
      <w:r w:rsidRPr="004F6961">
        <w:rPr>
          <w:i/>
          <w:iCs/>
        </w:rPr>
        <w:t>further inquiry</w:t>
      </w:r>
      <w:r w:rsidRPr="004F6961">
        <w:t xml:space="preserve"> regarding the possible Indian status of the </w:t>
      </w:r>
      <w:proofErr w:type="gramStart"/>
      <w:r w:rsidRPr="004F6961">
        <w:t>child, and</w:t>
      </w:r>
      <w:proofErr w:type="gramEnd"/>
      <w:r w:rsidRPr="004F6961">
        <w:t xml:space="preserve"> shall make t</w:t>
      </w:r>
      <w:r w:rsidRPr="004F6961">
        <w:t>hat inquiry as soon as practicable.’</w:t>
      </w:r>
      <w:r w:rsidRPr="004F6961">
        <w:rPr>
          <w:i/>
          <w:iCs/>
        </w:rPr>
        <w:t xml:space="preserve">  </w:t>
      </w:r>
      <w:r w:rsidRPr="004F6961">
        <w:t>(</w:t>
      </w:r>
      <w:bookmarkStart w:id="10" w:name="dabmci_0181c357c8ef4afdbc18f14bf66a0647"/>
      <w:r w:rsidRPr="004F6961">
        <w:rPr>
          <w:i/>
          <w:iCs/>
        </w:rPr>
        <w:t>Id</w:t>
      </w:r>
      <w:r w:rsidRPr="004F6961">
        <w:t>.,</w:t>
      </w:r>
      <w:bookmarkEnd w:id="10"/>
      <w:r w:rsidRPr="004F6961">
        <w:t xml:space="preserve"> subd. (e),</w:t>
      </w:r>
      <w:r w:rsidRPr="004F6961">
        <w:rPr>
          <w:i/>
          <w:iCs/>
        </w:rPr>
        <w:t xml:space="preserve"> </w:t>
      </w:r>
      <w:r w:rsidRPr="004F6961">
        <w:t>italics added.)</w:t>
      </w:r>
      <w:r w:rsidRPr="004F6961">
        <w:rPr>
          <w:i/>
          <w:iCs/>
        </w:rPr>
        <w:t xml:space="preserve">  </w:t>
      </w:r>
      <w:r w:rsidRPr="004F6961">
        <w:t xml:space="preserve">Third, if that further inquiry results in a reason to </w:t>
      </w:r>
      <w:r w:rsidRPr="00B86137">
        <w:rPr>
          <w:i/>
          <w:iCs/>
        </w:rPr>
        <w:t>know</w:t>
      </w:r>
      <w:r w:rsidRPr="004F6961">
        <w:t xml:space="preserve"> the child is an Indian child, then the formal notice requirements of section 224.3 apply.  (See §</w:t>
      </w:r>
      <w:r w:rsidRPr="004F6961">
        <w:t> </w:t>
      </w:r>
      <w:r w:rsidRPr="004F6961">
        <w:t>224.2, subd. (c) [court is obligated to inquire at the first appearance whether anyone ‘knows or has reason to know that the child is an Indian child</w:t>
      </w:r>
      <w:r w:rsidRPr="004F6961">
        <w:t>’</w:t>
      </w:r>
      <w:r w:rsidRPr="004F6961">
        <w:t xml:space="preserve">]; </w:t>
      </w:r>
      <w:bookmarkStart w:id="11" w:name="dabmci_7eda99e593b64b28af7550ad2a45c244"/>
      <w:r w:rsidRPr="004F6961">
        <w:rPr>
          <w:i/>
          <w:iCs/>
        </w:rPr>
        <w:t>id</w:t>
      </w:r>
      <w:r w:rsidRPr="004F6961">
        <w:t>.,</w:t>
      </w:r>
      <w:bookmarkEnd w:id="11"/>
      <w:r w:rsidRPr="004F6961">
        <w:t xml:space="preserve"> subd. </w:t>
      </w:r>
      <w:bookmarkStart w:id="12" w:name="ElPgBr16"/>
      <w:bookmarkEnd w:id="12"/>
      <w:r w:rsidRPr="004F6961">
        <w:t>(d) [defining circumstances that establish a ‘reason to know’ a child is an Indian child]; § 224.3 [ICWA notice is requ</w:t>
      </w:r>
      <w:r w:rsidRPr="004F6961">
        <w:t>ired if there is a ‘reason to know’ a child is an Indian child as defined under § 224.2, subd. (d)].)”  (</w:t>
      </w:r>
      <w:bookmarkStart w:id="13" w:name="dabmci_548b4dd7d0654b02a960f990c3af76ae"/>
      <w:r w:rsidRPr="004F6961">
        <w:rPr>
          <w:i/>
          <w:iCs/>
        </w:rPr>
        <w:t xml:space="preserve">In re D.S. </w:t>
      </w:r>
      <w:r w:rsidRPr="004F6961">
        <w:t>(2020) 46 Cal.App.5th 1041, 1052</w:t>
      </w:r>
      <w:bookmarkEnd w:id="13"/>
      <w:r w:rsidRPr="004F6961">
        <w:t>.)  Additionally, the juvenile court is obligated to inquire at the first appearance whether anyone “knows or has reason to know that the child is an Indian child.”  (§ 224.2, subd. (c).)  We review claims of inadequate inquiry into a child’s Native American ancestry for substantial evidence.  (</w:t>
      </w:r>
      <w:bookmarkStart w:id="14" w:name="dabmci_a128ff70092b4ac8bc8bd7f89175fab9"/>
      <w:r w:rsidRPr="004F6961">
        <w:rPr>
          <w:i/>
          <w:iCs/>
        </w:rPr>
        <w:t xml:space="preserve">In re Rebecca R. </w:t>
      </w:r>
      <w:r w:rsidRPr="004F6961">
        <w:t>(2006) 143 Cal.App.4th 1426, 1430</w:t>
      </w:r>
      <w:bookmarkEnd w:id="14"/>
      <w:r w:rsidRPr="004F6961">
        <w:t>.)</w:t>
      </w:r>
    </w:p>
    <w:p w14:paraId="636CD19A" w14:textId="77777777" w:rsidR="00DA2BB5" w:rsidRPr="004F6961" w:rsidRDefault="00DA2BB5" w:rsidP="00321FCF">
      <w:pPr>
        <w:ind w:firstLine="720"/>
      </w:pPr>
      <w:r w:rsidRPr="004F6961">
        <w:t xml:space="preserve">Courts have generally agreed </w:t>
      </w:r>
      <w:r w:rsidRPr="00B86137">
        <w:t xml:space="preserve">that reversal for an initial inquiry error is dependent on showing prejudice, or a miscarriage of justice, but approaches for assessing prejudice have varied.  (See, e.g., </w:t>
      </w:r>
      <w:bookmarkStart w:id="15" w:name="dabmci_65de63e9eb4d442f9cacf3ecb9806759"/>
      <w:r w:rsidRPr="00B86137">
        <w:rPr>
          <w:i/>
          <w:iCs/>
        </w:rPr>
        <w:t>In re E.V.</w:t>
      </w:r>
      <w:r w:rsidRPr="00B86137">
        <w:t xml:space="preserve"> (2022) 80 Cal.App.5th 691, 698</w:t>
      </w:r>
      <w:bookmarkEnd w:id="15"/>
      <w:r w:rsidRPr="00B86137">
        <w:t xml:space="preserve">; </w:t>
      </w:r>
      <w:bookmarkStart w:id="16" w:name="dabmci_e4f1f5e010e048d9a50b034416d0c1b1"/>
      <w:r w:rsidRPr="00B86137">
        <w:rPr>
          <w:i/>
          <w:iCs/>
        </w:rPr>
        <w:t>In re Dezi C.</w:t>
      </w:r>
      <w:r w:rsidRPr="00B86137">
        <w:t xml:space="preserve"> (2022) 79 Cal.App.5th 769</w:t>
      </w:r>
      <w:bookmarkEnd w:id="16"/>
      <w:r w:rsidRPr="00B86137">
        <w:t xml:space="preserve">, review granted Sept. 21, 2022, S275578; </w:t>
      </w:r>
      <w:bookmarkStart w:id="17" w:name="dabmci_8c5e754682b34959b7ebe7914d545db4"/>
      <w:r w:rsidRPr="00B86137">
        <w:rPr>
          <w:i/>
          <w:iCs/>
        </w:rPr>
        <w:t>In re J.C.</w:t>
      </w:r>
      <w:r w:rsidRPr="00B86137">
        <w:t xml:space="preserve"> (2022) 77 Cal.App.5th 70, 80</w:t>
      </w:r>
      <w:bookmarkEnd w:id="17"/>
      <w:r w:rsidRPr="00B86137">
        <w:t xml:space="preserve">; </w:t>
      </w:r>
      <w:bookmarkStart w:id="18" w:name="dabmci_9f1935a3a7934bbd8dde3d52875ff940"/>
      <w:r w:rsidRPr="00B86137">
        <w:rPr>
          <w:i/>
          <w:iCs/>
        </w:rPr>
        <w:t>In re A.C.</w:t>
      </w:r>
      <w:r w:rsidRPr="00B86137">
        <w:t xml:space="preserve"> (2021) 65 Cal.App.5th 1060, 1069</w:t>
      </w:r>
      <w:bookmarkEnd w:id="18"/>
      <w:r w:rsidRPr="00B86137">
        <w:t xml:space="preserve">; </w:t>
      </w:r>
      <w:bookmarkStart w:id="19" w:name="dabmci_8f5445ba9e8c456e81f86cba3e424c0b"/>
      <w:r w:rsidRPr="00B86137">
        <w:rPr>
          <w:i/>
          <w:iCs/>
        </w:rPr>
        <w:t xml:space="preserve">In re Benjamin M. </w:t>
      </w:r>
      <w:r w:rsidRPr="00B86137">
        <w:t>(2021</w:t>
      </w:r>
      <w:r w:rsidRPr="004F6961">
        <w:t>)</w:t>
      </w:r>
      <w:r w:rsidRPr="004F6961">
        <w:t xml:space="preserve"> 70 Cal.App.5th </w:t>
      </w:r>
      <w:r w:rsidRPr="004F6961">
        <w:t xml:space="preserve">735, </w:t>
      </w:r>
      <w:r w:rsidRPr="004F6961">
        <w:t>744</w:t>
      </w:r>
      <w:bookmarkEnd w:id="19"/>
      <w:r w:rsidRPr="004F6961">
        <w:t xml:space="preserve">; </w:t>
      </w:r>
      <w:bookmarkStart w:id="20" w:name="dabmci_162054a590bc4fd9a6d4e284a5d12241"/>
      <w:r w:rsidRPr="004F6961">
        <w:rPr>
          <w:i/>
          <w:iCs/>
        </w:rPr>
        <w:t>In re G.A.</w:t>
      </w:r>
      <w:r w:rsidRPr="00F9079A">
        <w:t>,</w:t>
      </w:r>
      <w:r w:rsidRPr="004F6961">
        <w:rPr>
          <w:i/>
          <w:iCs/>
        </w:rPr>
        <w:t xml:space="preserve"> supra</w:t>
      </w:r>
      <w:r w:rsidRPr="004F6961">
        <w:t>, 81 Cal.App.5th 355, rev</w:t>
      </w:r>
      <w:r>
        <w:t>.</w:t>
      </w:r>
      <w:r w:rsidRPr="004F6961">
        <w:t xml:space="preserve"> granted.</w:t>
      </w:r>
      <w:bookmarkEnd w:id="20"/>
      <w:r w:rsidRPr="004F6961">
        <w:t xml:space="preserve">)  </w:t>
      </w:r>
      <w:r>
        <w:t>Our</w:t>
      </w:r>
      <w:r w:rsidRPr="004F6961">
        <w:t xml:space="preserve"> Supreme Court has gra</w:t>
      </w:r>
      <w:r w:rsidRPr="004F6961">
        <w:t xml:space="preserve">nted review on this issue in </w:t>
      </w:r>
      <w:bookmarkStart w:id="21" w:name="dabmci_776c3b41ad8846aaa881a8161de7d52c"/>
      <w:proofErr w:type="gramStart"/>
      <w:r w:rsidRPr="004F6961">
        <w:rPr>
          <w:i/>
          <w:iCs/>
        </w:rPr>
        <w:t>In</w:t>
      </w:r>
      <w:proofErr w:type="gramEnd"/>
      <w:r w:rsidRPr="004F6961">
        <w:rPr>
          <w:i/>
          <w:iCs/>
        </w:rPr>
        <w:t xml:space="preserve"> re Dezi C</w:t>
      </w:r>
      <w:r w:rsidRPr="00F9079A">
        <w:rPr>
          <w:i/>
          <w:iCs/>
        </w:rPr>
        <w:t>.</w:t>
      </w:r>
    </w:p>
    <w:bookmarkEnd w:id="21"/>
    <w:p w14:paraId="60B1E007" w14:textId="77777777" w:rsidR="00DA2BB5" w:rsidRPr="0000095B" w:rsidRDefault="00DA2BB5" w:rsidP="00E20164">
      <w:pPr>
        <w:ind w:firstLine="720"/>
      </w:pPr>
      <w:r w:rsidRPr="0000095B">
        <w:t>Mother</w:t>
      </w:r>
      <w:r w:rsidRPr="0000095B">
        <w:t>, who</w:t>
      </w:r>
      <w:r w:rsidRPr="0000095B">
        <w:t xml:space="preserve"> was 21 years old at the time these dependency proceedings commenced</w:t>
      </w:r>
      <w:r w:rsidRPr="0000095B">
        <w:t>, reported she entered the foster care system at the age of 12</w:t>
      </w:r>
      <w:r w:rsidRPr="0000095B">
        <w:t xml:space="preserve">.  She </w:t>
      </w:r>
      <w:r w:rsidRPr="0000095B">
        <w:t>provided family background information to the Agency, including the names of the</w:t>
      </w:r>
      <w:r w:rsidRPr="0000095B">
        <w:t xml:space="preserve"> maternal grandmother and maternal grandfather, who </w:t>
      </w:r>
      <w:r w:rsidRPr="0000095B">
        <w:t>had not been in a relationship during her youth</w:t>
      </w:r>
      <w:r w:rsidRPr="0000095B">
        <w:t>.</w:t>
      </w:r>
      <w:r w:rsidRPr="0000095B">
        <w:t xml:space="preserve">  </w:t>
      </w:r>
      <w:r w:rsidRPr="0000095B">
        <w:t>She has four sibling</w:t>
      </w:r>
      <w:r w:rsidRPr="0000095B">
        <w:t xml:space="preserve">s.  </w:t>
      </w:r>
      <w:r w:rsidRPr="0000095B">
        <w:t>Her</w:t>
      </w:r>
      <w:r w:rsidRPr="0000095B">
        <w:t xml:space="preserve"> youngest two siblings live with the maternal grandmother</w:t>
      </w:r>
      <w:r w:rsidRPr="0000095B">
        <w:t xml:space="preserve">, with whom mother reported </w:t>
      </w:r>
      <w:r w:rsidRPr="0000095B">
        <w:lastRenderedPageBreak/>
        <w:t>she ha</w:t>
      </w:r>
      <w:r w:rsidRPr="0000095B">
        <w:t>s</w:t>
      </w:r>
      <w:r w:rsidRPr="0000095B">
        <w:t xml:space="preserve"> an </w:t>
      </w:r>
      <w:r w:rsidRPr="0000095B">
        <w:t>“</w:t>
      </w:r>
      <w:r w:rsidRPr="0000095B">
        <w:t>on and off</w:t>
      </w:r>
      <w:r w:rsidRPr="0000095B">
        <w:t>”</w:t>
      </w:r>
      <w:r w:rsidRPr="0000095B">
        <w:t xml:space="preserve"> relationship.  </w:t>
      </w:r>
      <w:r w:rsidRPr="0000095B">
        <w:t xml:space="preserve">The maternal grandmother </w:t>
      </w:r>
      <w:r w:rsidRPr="0000095B">
        <w:t xml:space="preserve">participated in visitation with the minors after their removal from parental custody.  </w:t>
      </w:r>
      <w:r w:rsidRPr="002C45EA">
        <w:t xml:space="preserve">Mother also identified </w:t>
      </w:r>
      <w:r w:rsidRPr="002C45EA">
        <w:t xml:space="preserve">a maternal </w:t>
      </w:r>
      <w:proofErr w:type="gramStart"/>
      <w:r w:rsidRPr="002C45EA">
        <w:t>great</w:t>
      </w:r>
      <w:r>
        <w:t>-</w:t>
      </w:r>
      <w:r w:rsidRPr="002C45EA">
        <w:t>cousin</w:t>
      </w:r>
      <w:proofErr w:type="gramEnd"/>
      <w:r w:rsidRPr="002C45EA">
        <w:t xml:space="preserve"> as </w:t>
      </w:r>
      <w:r w:rsidRPr="002C45EA">
        <w:t>part of her suppo</w:t>
      </w:r>
      <w:r w:rsidRPr="002C45EA">
        <w:t xml:space="preserve">rt system.  </w:t>
      </w:r>
      <w:r w:rsidRPr="002C45EA">
        <w:t xml:space="preserve">The </w:t>
      </w:r>
      <w:r w:rsidRPr="002C45EA">
        <w:t xml:space="preserve">social worker reported the </w:t>
      </w:r>
      <w:r w:rsidRPr="002C45EA">
        <w:t xml:space="preserve">maternal </w:t>
      </w:r>
      <w:proofErr w:type="gramStart"/>
      <w:r w:rsidRPr="002C45EA">
        <w:t>great</w:t>
      </w:r>
      <w:r>
        <w:t>-</w:t>
      </w:r>
      <w:r w:rsidRPr="002C45EA">
        <w:t>cousin</w:t>
      </w:r>
      <w:proofErr w:type="gramEnd"/>
      <w:r w:rsidRPr="002C45EA">
        <w:t xml:space="preserve"> had </w:t>
      </w:r>
      <w:r w:rsidRPr="002C45EA">
        <w:t xml:space="preserve">expressed </w:t>
      </w:r>
      <w:r w:rsidRPr="002C45EA">
        <w:t xml:space="preserve">interest in placement of the minors.  </w:t>
      </w:r>
      <w:r w:rsidRPr="002C45EA">
        <w:t>M</w:t>
      </w:r>
      <w:r w:rsidRPr="0000095B">
        <w:t xml:space="preserve">other has no relationship with the maternal grandfather.  </w:t>
      </w:r>
      <w:r w:rsidRPr="0000095B">
        <w:t>There is no indica</w:t>
      </w:r>
      <w:r w:rsidRPr="0000095B">
        <w:t>tion</w:t>
      </w:r>
      <w:r w:rsidRPr="0000095B">
        <w:t xml:space="preserve"> that the Agency </w:t>
      </w:r>
      <w:r w:rsidRPr="0000095B">
        <w:t xml:space="preserve">inquired </w:t>
      </w:r>
      <w:r w:rsidRPr="0000095B">
        <w:t xml:space="preserve">about possible Native American ancestry from </w:t>
      </w:r>
      <w:r w:rsidRPr="0000095B">
        <w:t>the maternal grandparents</w:t>
      </w:r>
      <w:r w:rsidRPr="0000095B">
        <w:t>, maternal great</w:t>
      </w:r>
      <w:r>
        <w:t>-</w:t>
      </w:r>
      <w:r w:rsidRPr="0000095B">
        <w:t>cousin, or mother’s siblings</w:t>
      </w:r>
      <w:r w:rsidRPr="0000095B">
        <w:t>.</w:t>
      </w:r>
    </w:p>
    <w:p w14:paraId="22EC59A4" w14:textId="77777777" w:rsidR="00DA2BB5" w:rsidRPr="00A870DA" w:rsidRDefault="00DA2BB5" w:rsidP="008B30EF">
      <w:pPr>
        <w:ind w:firstLine="720"/>
      </w:pPr>
      <w:proofErr w:type="gramStart"/>
      <w:r>
        <w:t>Petitioner</w:t>
      </w:r>
      <w:proofErr w:type="gramEnd"/>
      <w:r>
        <w:t>, f</w:t>
      </w:r>
      <w:r w:rsidRPr="0000095B">
        <w:t>ather</w:t>
      </w:r>
      <w:r>
        <w:t>,</w:t>
      </w:r>
      <w:r w:rsidRPr="0000095B">
        <w:t xml:space="preserve"> did not respond to the Agency’s </w:t>
      </w:r>
      <w:r w:rsidRPr="0000095B">
        <w:t xml:space="preserve">repeated </w:t>
      </w:r>
      <w:r w:rsidRPr="0000095B">
        <w:t>attempts to obtain a family history</w:t>
      </w:r>
      <w:r w:rsidRPr="0000095B">
        <w:t xml:space="preserve">.  </w:t>
      </w:r>
      <w:r>
        <w:t>He</w:t>
      </w:r>
      <w:r w:rsidRPr="0000095B">
        <w:t xml:space="preserve"> </w:t>
      </w:r>
      <w:r w:rsidRPr="00F9079A">
        <w:t xml:space="preserve">had, however, identified </w:t>
      </w:r>
      <w:r w:rsidRPr="00F9079A">
        <w:t>his mother</w:t>
      </w:r>
      <w:r>
        <w:t xml:space="preserve"> (</w:t>
      </w:r>
      <w:r w:rsidRPr="00F9079A">
        <w:t xml:space="preserve">the paternal </w:t>
      </w:r>
      <w:r w:rsidRPr="00F9079A">
        <w:t>grandmother</w:t>
      </w:r>
      <w:r>
        <w:t>)</w:t>
      </w:r>
      <w:r w:rsidRPr="00F9079A">
        <w:t xml:space="preserve"> as </w:t>
      </w:r>
      <w:r w:rsidRPr="00F9079A">
        <w:t xml:space="preserve">someone who </w:t>
      </w:r>
      <w:r w:rsidRPr="00F9079A">
        <w:t xml:space="preserve">sometimes assisted in caring for the minors </w:t>
      </w:r>
      <w:r w:rsidRPr="00F9079A">
        <w:t xml:space="preserve">prior to detention.  </w:t>
      </w:r>
      <w:r w:rsidRPr="00863B1A">
        <w:t xml:space="preserve">He had also provided the name of </w:t>
      </w:r>
      <w:r>
        <w:t xml:space="preserve">his </w:t>
      </w:r>
      <w:r>
        <w:t xml:space="preserve">aunt (the paternal </w:t>
      </w:r>
      <w:r w:rsidRPr="00863B1A">
        <w:t>great</w:t>
      </w:r>
      <w:r w:rsidRPr="00863B1A">
        <w:t>-</w:t>
      </w:r>
      <w:r w:rsidRPr="00863B1A">
        <w:t>aunt</w:t>
      </w:r>
      <w:r>
        <w:t>)</w:t>
      </w:r>
      <w:r w:rsidRPr="00863B1A">
        <w:t xml:space="preserve">, who was caring for two of </w:t>
      </w:r>
      <w:r w:rsidRPr="00863B1A">
        <w:t>his</w:t>
      </w:r>
      <w:r w:rsidRPr="00863B1A">
        <w:t xml:space="preserve"> other children.  </w:t>
      </w:r>
      <w:r w:rsidRPr="00863B1A">
        <w:t>The paternal great</w:t>
      </w:r>
      <w:r w:rsidRPr="00863B1A">
        <w:t>-</w:t>
      </w:r>
      <w:r w:rsidRPr="00863B1A">
        <w:t xml:space="preserve">aunt and paternal </w:t>
      </w:r>
      <w:r w:rsidRPr="00863B1A">
        <w:t>grandmother</w:t>
      </w:r>
      <w:r w:rsidRPr="00863B1A">
        <w:t xml:space="preserve"> </w:t>
      </w:r>
      <w:r w:rsidRPr="00863B1A">
        <w:t>attended</w:t>
      </w:r>
      <w:r w:rsidRPr="00863B1A">
        <w:t xml:space="preserve"> </w:t>
      </w:r>
      <w:r w:rsidRPr="00863B1A">
        <w:t>a</w:t>
      </w:r>
      <w:r w:rsidRPr="00B5524F">
        <w:t xml:space="preserve"> February 2022 child and family team meeting where it was decided the minors would </w:t>
      </w:r>
      <w:r w:rsidRPr="00B5524F">
        <w:t>remain placed with the paternal great</w:t>
      </w:r>
      <w:r w:rsidRPr="00B5524F">
        <w:t>-</w:t>
      </w:r>
      <w:r w:rsidRPr="00B5524F">
        <w:t xml:space="preserve">aunt.  The paternal grandmother </w:t>
      </w:r>
      <w:r w:rsidRPr="00B5524F">
        <w:t xml:space="preserve">also </w:t>
      </w:r>
      <w:r w:rsidRPr="00B5524F">
        <w:t xml:space="preserve">participated in </w:t>
      </w:r>
      <w:r w:rsidRPr="00B5524F">
        <w:t xml:space="preserve">visitation with the minors.  </w:t>
      </w:r>
      <w:r w:rsidRPr="00B5524F">
        <w:t>There</w:t>
      </w:r>
      <w:r w:rsidRPr="00A870DA">
        <w:t xml:space="preserve"> is no indication that the Agency inquired </w:t>
      </w:r>
      <w:r w:rsidRPr="00A870DA">
        <w:t>about possible Native American ancestry from</w:t>
      </w:r>
      <w:r w:rsidRPr="00A870DA">
        <w:t xml:space="preserve"> the </w:t>
      </w:r>
      <w:r w:rsidRPr="00A870DA">
        <w:t xml:space="preserve">paternal </w:t>
      </w:r>
      <w:r w:rsidRPr="00A870DA">
        <w:t>grand</w:t>
      </w:r>
      <w:r w:rsidRPr="00A870DA">
        <w:t>mother or paternal great</w:t>
      </w:r>
      <w:r w:rsidRPr="00A870DA">
        <w:t>-</w:t>
      </w:r>
      <w:r w:rsidRPr="00A870DA">
        <w:t>aunt</w:t>
      </w:r>
      <w:r w:rsidRPr="00A870DA">
        <w:t>.</w:t>
      </w:r>
    </w:p>
    <w:p w14:paraId="6037AE09" w14:textId="77777777" w:rsidR="00DA2BB5" w:rsidRPr="00B5524F" w:rsidRDefault="00DA2BB5" w:rsidP="00170018">
      <w:pPr>
        <w:ind w:firstLine="720"/>
      </w:pPr>
      <w:r w:rsidRPr="00B5524F">
        <w:t>The Agency</w:t>
      </w:r>
      <w:r w:rsidRPr="00B5524F">
        <w:t xml:space="preserve"> filed a </w:t>
      </w:r>
      <w:r w:rsidRPr="00B5524F">
        <w:t>status review report</w:t>
      </w:r>
      <w:r w:rsidRPr="00B5524F">
        <w:t xml:space="preserve"> on A</w:t>
      </w:r>
      <w:r w:rsidRPr="00B5524F">
        <w:t>ugust</w:t>
      </w:r>
      <w:r w:rsidRPr="00B5524F">
        <w:t> </w:t>
      </w:r>
      <w:r w:rsidRPr="00B5524F">
        <w:t>22, 202</w:t>
      </w:r>
      <w:r w:rsidRPr="00B5524F">
        <w:t>3</w:t>
      </w:r>
      <w:r w:rsidRPr="00B5524F">
        <w:t xml:space="preserve">, recommending family reunification services be </w:t>
      </w:r>
      <w:r w:rsidRPr="00B5524F">
        <w:t xml:space="preserve">terminated.  </w:t>
      </w:r>
      <w:r w:rsidRPr="00B5524F">
        <w:t>The report noted both parents had signed</w:t>
      </w:r>
      <w:r w:rsidRPr="00B5524F">
        <w:t>, and the Agen</w:t>
      </w:r>
      <w:r w:rsidRPr="00B5524F">
        <w:t>cy had filed, ICWA-020 forms denying knowledge of any Native American ancestry.</w:t>
      </w:r>
      <w:r w:rsidRPr="00B5524F">
        <w:t xml:space="preserve">  The Agency concluded there was, accordingly, no reason to believe the mino</w:t>
      </w:r>
      <w:r w:rsidRPr="00B5524F">
        <w:t xml:space="preserve">rs were Indian children within the </w:t>
      </w:r>
      <w:r w:rsidRPr="00B5524F">
        <w:t>meaning</w:t>
      </w:r>
      <w:r w:rsidRPr="00B5524F">
        <w:t xml:space="preserve"> of the ICWA and </w:t>
      </w:r>
      <w:r w:rsidRPr="00B5524F">
        <w:t xml:space="preserve">included this finding </w:t>
      </w:r>
      <w:r w:rsidRPr="00B5524F">
        <w:t xml:space="preserve">in its proposed findings and orders.  </w:t>
      </w:r>
      <w:r w:rsidRPr="00B5524F">
        <w:t xml:space="preserve">The </w:t>
      </w:r>
      <w:r w:rsidRPr="00B5524F">
        <w:t xml:space="preserve">juvenile </w:t>
      </w:r>
      <w:r w:rsidRPr="00B5524F">
        <w:t>court adopted th</w:t>
      </w:r>
      <w:r w:rsidRPr="00B5524F">
        <w:t>e</w:t>
      </w:r>
      <w:r w:rsidRPr="00B5524F">
        <w:t xml:space="preserve"> finding</w:t>
      </w:r>
      <w:r w:rsidRPr="00B5524F">
        <w:t xml:space="preserve"> that the minors were not Indian children within the meaning of the ICWA </w:t>
      </w:r>
      <w:r w:rsidRPr="00B5524F">
        <w:t xml:space="preserve">as part of its orders setting the section 366.26 hearing.  </w:t>
      </w:r>
    </w:p>
    <w:p w14:paraId="531C77B8" w14:textId="77777777" w:rsidR="00DA2BB5" w:rsidRPr="00A40C85" w:rsidRDefault="00DA2BB5" w:rsidP="00EB6F84">
      <w:pPr>
        <w:ind w:firstLine="720"/>
        <w:rPr>
          <w:highlight w:val="yellow"/>
        </w:rPr>
      </w:pPr>
      <w:r w:rsidRPr="00AB5435">
        <w:t>T</w:t>
      </w:r>
      <w:r w:rsidRPr="00AB5435">
        <w:t xml:space="preserve">he parties agree that the Agency and the juvenile court have an affirmative and continuing duty to inquire whether a child is or may be an Indian child, and that under section 224.2, subdivision (b), this inquiry duty includes, but is not limited to, asking the </w:t>
      </w:r>
      <w:bookmarkStart w:id="22" w:name="ElPgBr13"/>
      <w:bookmarkEnd w:id="22"/>
      <w:r w:rsidRPr="00AB5435">
        <w:t xml:space="preserve">parents </w:t>
      </w:r>
      <w:r w:rsidRPr="00AB5435">
        <w:rPr>
          <w:i/>
          <w:iCs/>
        </w:rPr>
        <w:t xml:space="preserve">and </w:t>
      </w:r>
      <w:r w:rsidRPr="00AB5435">
        <w:t>extended family members whether the child is, or may be</w:t>
      </w:r>
      <w:r>
        <w:t>,</w:t>
      </w:r>
      <w:r w:rsidRPr="00AB5435">
        <w:t xml:space="preserve"> an Indian child.  It is </w:t>
      </w:r>
      <w:r w:rsidRPr="00AB5435">
        <w:t xml:space="preserve">also </w:t>
      </w:r>
      <w:r w:rsidRPr="00AB5435">
        <w:t>undisputed that</w:t>
      </w:r>
      <w:r w:rsidRPr="00AB5435">
        <w:t xml:space="preserve"> the Agency </w:t>
      </w:r>
      <w:r w:rsidRPr="00AB5435">
        <w:t>had contact w</w:t>
      </w:r>
      <w:r w:rsidRPr="00133DA5">
        <w:t xml:space="preserve">ith the maternal and paternal </w:t>
      </w:r>
      <w:r w:rsidRPr="00133DA5">
        <w:lastRenderedPageBreak/>
        <w:t>grandmothers and the paternal great</w:t>
      </w:r>
      <w:r w:rsidRPr="00133DA5">
        <w:t>-</w:t>
      </w:r>
      <w:r w:rsidRPr="00133DA5">
        <w:t>aunt, and did not ask them, or any other relat</w:t>
      </w:r>
      <w:r w:rsidRPr="00133DA5">
        <w:t xml:space="preserve">ives, about possible </w:t>
      </w:r>
      <w:r>
        <w:t>N</w:t>
      </w:r>
      <w:r w:rsidRPr="00133DA5">
        <w:t xml:space="preserve">ative American ancestry.  </w:t>
      </w:r>
    </w:p>
    <w:p w14:paraId="0629AFA1" w14:textId="77777777" w:rsidR="00DA2BB5" w:rsidRPr="00133DA5" w:rsidRDefault="00DA2BB5" w:rsidP="00EB6F84">
      <w:pPr>
        <w:ind w:firstLine="720"/>
      </w:pPr>
      <w:r w:rsidRPr="00A870DA">
        <w:t xml:space="preserve">The Agency argues that </w:t>
      </w:r>
      <w:r w:rsidRPr="00A870DA">
        <w:t>t</w:t>
      </w:r>
      <w:r w:rsidRPr="00A870DA">
        <w:t xml:space="preserve">he </w:t>
      </w:r>
      <w:r w:rsidRPr="00A870DA">
        <w:t>parents</w:t>
      </w:r>
      <w:r w:rsidRPr="00A870DA">
        <w:t xml:space="preserve">, who denied knowledge of any Native American </w:t>
      </w:r>
      <w:r w:rsidRPr="00A870DA">
        <w:t>ancestry,</w:t>
      </w:r>
      <w:r w:rsidRPr="00A870DA">
        <w:t xml:space="preserve"> were fully aware of their backgrounds and there is nothing </w:t>
      </w:r>
      <w:r w:rsidRPr="00A870DA">
        <w:t xml:space="preserve">in the record </w:t>
      </w:r>
      <w:r w:rsidRPr="00A870DA">
        <w:t xml:space="preserve">to suggest </w:t>
      </w:r>
      <w:r w:rsidRPr="00A870DA">
        <w:t xml:space="preserve">otherwise or to suggest </w:t>
      </w:r>
      <w:r w:rsidRPr="00A870DA">
        <w:t xml:space="preserve">further inquiry with the relatives would be likely to bear meaningfully upon whether the minors are Indian children.  </w:t>
      </w:r>
      <w:r w:rsidRPr="00133DA5">
        <w:t>But m</w:t>
      </w:r>
      <w:r w:rsidRPr="00133DA5">
        <w:t>other in this case is relatively young</w:t>
      </w:r>
      <w:r w:rsidRPr="00133DA5">
        <w:t xml:space="preserve"> herself and </w:t>
      </w:r>
      <w:r w:rsidRPr="00133DA5">
        <w:t>entered the foster care system at the age of 12</w:t>
      </w:r>
      <w:r w:rsidRPr="00133DA5">
        <w:t xml:space="preserve">.  She has no relationship with the paternal grandfather and a limited relationship with the maternal grandmother.  </w:t>
      </w:r>
      <w:r w:rsidRPr="00133DA5">
        <w:t>W</w:t>
      </w:r>
      <w:r w:rsidRPr="00133DA5">
        <w:t xml:space="preserve">hile mother did provide some family history of </w:t>
      </w:r>
      <w:r w:rsidRPr="00133DA5">
        <w:t>depressio</w:t>
      </w:r>
      <w:r w:rsidRPr="00133DA5">
        <w:t>n, anxiety</w:t>
      </w:r>
      <w:r w:rsidRPr="00133DA5">
        <w:t>,</w:t>
      </w:r>
      <w:r w:rsidRPr="00133DA5">
        <w:t xml:space="preserve"> and cocaine use</w:t>
      </w:r>
      <w:r w:rsidRPr="00133DA5">
        <w:t xml:space="preserve">, </w:t>
      </w:r>
      <w:r w:rsidRPr="00133DA5">
        <w:t>we</w:t>
      </w:r>
      <w:r w:rsidRPr="00133DA5">
        <w:t xml:space="preserve"> disagree with the </w:t>
      </w:r>
      <w:r w:rsidRPr="00133DA5">
        <w:t>Agency</w:t>
      </w:r>
      <w:r w:rsidRPr="00133DA5">
        <w:t xml:space="preserve"> that this </w:t>
      </w:r>
      <w:r w:rsidRPr="00133DA5">
        <w:t>demonstrated</w:t>
      </w:r>
      <w:r w:rsidRPr="00133DA5">
        <w:t xml:space="preserve"> that mother was “fully aware” of her </w:t>
      </w:r>
      <w:r w:rsidRPr="00133DA5">
        <w:t xml:space="preserve">family members’ </w:t>
      </w:r>
      <w:proofErr w:type="gramStart"/>
      <w:r w:rsidRPr="00133DA5">
        <w:t>background</w:t>
      </w:r>
      <w:proofErr w:type="gramEnd"/>
      <w:r w:rsidRPr="00133DA5">
        <w:t xml:space="preserve"> and </w:t>
      </w:r>
      <w:r w:rsidRPr="00133DA5">
        <w:t xml:space="preserve">it was therefore unlikely that her relatives would have additional </w:t>
      </w:r>
      <w:r w:rsidRPr="00133DA5">
        <w:t>information</w:t>
      </w:r>
      <w:r w:rsidRPr="00133DA5">
        <w:t xml:space="preserve"> about possible Native American ancestry</w:t>
      </w:r>
      <w:r w:rsidRPr="00324875">
        <w:t xml:space="preserve">. </w:t>
      </w:r>
      <w:r w:rsidRPr="00324875">
        <w:t xml:space="preserve"> (</w:t>
      </w:r>
      <w:r w:rsidRPr="00324875">
        <w:t>See</w:t>
      </w:r>
      <w:r w:rsidRPr="00324875">
        <w:t>,</w:t>
      </w:r>
      <w:r w:rsidRPr="00324875">
        <w:t xml:space="preserve"> e.g.</w:t>
      </w:r>
      <w:r w:rsidRPr="00324875">
        <w:t>,</w:t>
      </w:r>
      <w:bookmarkStart w:id="23" w:name="dabmci_2b6c9d3b2ad244479c3dcc072ece04ad"/>
      <w:r>
        <w:t xml:space="preserve"> </w:t>
      </w:r>
      <w:r>
        <w:rPr>
          <w:i/>
          <w:iCs/>
        </w:rPr>
        <w:t>I</w:t>
      </w:r>
      <w:r w:rsidRPr="00324875">
        <w:rPr>
          <w:i/>
          <w:iCs/>
        </w:rPr>
        <w:t>n re Y.W.</w:t>
      </w:r>
      <w:r w:rsidRPr="00324875">
        <w:t xml:space="preserve"> (2021) 70</w:t>
      </w:r>
      <w:r w:rsidRPr="00324875">
        <w:t> </w:t>
      </w:r>
      <w:r w:rsidRPr="00324875">
        <w:t>Cal.App.5th 542, 548</w:t>
      </w:r>
      <w:bookmarkEnd w:id="23"/>
      <w:r w:rsidRPr="00324875">
        <w:t xml:space="preserve"> </w:t>
      </w:r>
      <w:r w:rsidRPr="00324875">
        <w:t>[</w:t>
      </w:r>
      <w:r>
        <w:t xml:space="preserve">the </w:t>
      </w:r>
      <w:r w:rsidRPr="00324875">
        <w:t xml:space="preserve">mother was adopted and did not have information about her biological relatives]; </w:t>
      </w:r>
      <w:bookmarkStart w:id="24" w:name="dabmci_4dfd78a423ad45beb3f1f25eb756d223"/>
      <w:r w:rsidRPr="00324875">
        <w:rPr>
          <w:i/>
          <w:iCs/>
        </w:rPr>
        <w:t>In</w:t>
      </w:r>
      <w:r w:rsidRPr="00324875">
        <w:rPr>
          <w:i/>
          <w:iCs/>
        </w:rPr>
        <w:t> </w:t>
      </w:r>
      <w:r w:rsidRPr="00324875">
        <w:rPr>
          <w:i/>
          <w:iCs/>
        </w:rPr>
        <w:t>re</w:t>
      </w:r>
      <w:r w:rsidRPr="00324875">
        <w:rPr>
          <w:i/>
          <w:iCs/>
        </w:rPr>
        <w:t> </w:t>
      </w:r>
      <w:r w:rsidRPr="00324875">
        <w:rPr>
          <w:i/>
          <w:iCs/>
        </w:rPr>
        <w:t>A.C.</w:t>
      </w:r>
      <w:r w:rsidRPr="00324875">
        <w:t xml:space="preserve"> (</w:t>
      </w:r>
      <w:r w:rsidRPr="00324875">
        <w:t xml:space="preserve">2022) </w:t>
      </w:r>
      <w:r w:rsidRPr="00324875">
        <w:t>75</w:t>
      </w:r>
      <w:r w:rsidRPr="00324875">
        <w:t> </w:t>
      </w:r>
      <w:r w:rsidRPr="00324875">
        <w:t xml:space="preserve">Cal.App.5th </w:t>
      </w:r>
      <w:r w:rsidRPr="00324875">
        <w:t xml:space="preserve">1009, </w:t>
      </w:r>
      <w:r w:rsidRPr="00324875">
        <w:t>1017</w:t>
      </w:r>
      <w:bookmarkEnd w:id="24"/>
      <w:r w:rsidRPr="00324875">
        <w:t xml:space="preserve"> [</w:t>
      </w:r>
      <w:r>
        <w:t xml:space="preserve">the </w:t>
      </w:r>
      <w:r w:rsidRPr="00324875">
        <w:t xml:space="preserve">“mother, as a foster care product, may not know her </w:t>
      </w:r>
      <w:r w:rsidRPr="00324875">
        <w:t>cultural heritage”].</w:t>
      </w:r>
      <w:r w:rsidRPr="00324875">
        <w:t xml:space="preserve">)  </w:t>
      </w:r>
      <w:r w:rsidRPr="00133DA5">
        <w:t xml:space="preserve">Likewise, there is little in the record to support the Agency’s position that </w:t>
      </w:r>
      <w:proofErr w:type="gramStart"/>
      <w:r>
        <w:t>petitioner</w:t>
      </w:r>
      <w:proofErr w:type="gramEnd"/>
      <w:r>
        <w:t xml:space="preserve">, </w:t>
      </w:r>
      <w:r w:rsidRPr="00133DA5">
        <w:t>father</w:t>
      </w:r>
      <w:r>
        <w:t>,</w:t>
      </w:r>
      <w:r w:rsidRPr="00133DA5">
        <w:t xml:space="preserve"> was fully aware of his family background, particularly since </w:t>
      </w:r>
      <w:r>
        <w:t>he</w:t>
      </w:r>
      <w:r w:rsidRPr="00133DA5">
        <w:t xml:space="preserve"> </w:t>
      </w:r>
      <w:r w:rsidRPr="00133DA5">
        <w:t xml:space="preserve">did not provide a family history </w:t>
      </w:r>
      <w:r w:rsidRPr="00133DA5">
        <w:t>or any inform</w:t>
      </w:r>
      <w:r w:rsidRPr="00133DA5">
        <w:t>at</w:t>
      </w:r>
      <w:r w:rsidRPr="00133DA5">
        <w:t xml:space="preserve">ion about </w:t>
      </w:r>
      <w:r w:rsidRPr="00133DA5">
        <w:t>t</w:t>
      </w:r>
      <w:r w:rsidRPr="00133DA5">
        <w:t xml:space="preserve">he paternal grandfather.  </w:t>
      </w:r>
      <w:r w:rsidRPr="00133DA5">
        <w:t xml:space="preserve">Instead, the parents’ circumstances and </w:t>
      </w:r>
      <w:r w:rsidRPr="00133DA5">
        <w:t xml:space="preserve">reported family relationships raise concern that </w:t>
      </w:r>
      <w:r w:rsidRPr="00133DA5">
        <w:t xml:space="preserve">they may </w:t>
      </w:r>
      <w:r w:rsidRPr="00133DA5">
        <w:rPr>
          <w:i/>
          <w:iCs/>
        </w:rPr>
        <w:t>not</w:t>
      </w:r>
      <w:r w:rsidRPr="00133DA5">
        <w:t xml:space="preserve"> have been fully informed as to possible Native American ancestry.  Yet</w:t>
      </w:r>
      <w:r w:rsidRPr="00133DA5">
        <w:t xml:space="preserve"> the Agency made no attempt to inquire </w:t>
      </w:r>
      <w:r w:rsidRPr="00133DA5">
        <w:t xml:space="preserve">further </w:t>
      </w:r>
      <w:proofErr w:type="gramStart"/>
      <w:r w:rsidRPr="00133DA5">
        <w:t>of</w:t>
      </w:r>
      <w:proofErr w:type="gramEnd"/>
      <w:r w:rsidRPr="00133DA5">
        <w:t xml:space="preserve"> any of the </w:t>
      </w:r>
      <w:r w:rsidRPr="00133DA5">
        <w:t>parents’ known relatives</w:t>
      </w:r>
      <w:r w:rsidRPr="00133DA5">
        <w:t>.</w:t>
      </w:r>
    </w:p>
    <w:p w14:paraId="0843688B" w14:textId="77777777" w:rsidR="00DA2BB5" w:rsidRPr="00A40C85" w:rsidRDefault="00DA2BB5" w:rsidP="00EB6F84">
      <w:pPr>
        <w:ind w:firstLine="720"/>
        <w:rPr>
          <w:highlight w:val="yellow"/>
        </w:rPr>
      </w:pPr>
      <w:r w:rsidRPr="00133DA5">
        <w:t xml:space="preserve">The Agency </w:t>
      </w:r>
      <w:r w:rsidRPr="00133DA5">
        <w:t xml:space="preserve">also </w:t>
      </w:r>
      <w:r w:rsidRPr="00133DA5">
        <w:t xml:space="preserve">suggests, in passing, that </w:t>
      </w:r>
      <w:r w:rsidRPr="00133DA5">
        <w:t>the minors’ placement with the paternal great</w:t>
      </w:r>
      <w:r w:rsidRPr="00133DA5">
        <w:t>-</w:t>
      </w:r>
      <w:r w:rsidRPr="00133DA5">
        <w:t xml:space="preserve">aunt </w:t>
      </w:r>
      <w:r w:rsidRPr="00133DA5">
        <w:t>negates any finding of prejudice</w:t>
      </w:r>
      <w:r w:rsidRPr="00133DA5">
        <w:t xml:space="preserve"> in failing to </w:t>
      </w:r>
      <w:r w:rsidRPr="00133DA5">
        <w:t xml:space="preserve">interview extended family in this case, </w:t>
      </w:r>
      <w:r w:rsidRPr="00133DA5">
        <w:t xml:space="preserve">because </w:t>
      </w:r>
      <w:r w:rsidRPr="00133DA5">
        <w:t>placement with a member of the child’s extended family</w:t>
      </w:r>
      <w:r w:rsidRPr="00133DA5">
        <w:t xml:space="preserve"> is in accordance with the ICWA’s placement preference.</w:t>
      </w:r>
      <w:r w:rsidRPr="00133DA5">
        <w:t xml:space="preserve">  </w:t>
      </w:r>
      <w:r w:rsidRPr="00324875">
        <w:t>(</w:t>
      </w:r>
      <w:r>
        <w:t xml:space="preserve">See </w:t>
      </w:r>
      <w:bookmarkStart w:id="25" w:name="dabmci_cff25104f52e437a9d0da40a11706700"/>
      <w:r w:rsidRPr="00324875">
        <w:rPr>
          <w:i/>
          <w:iCs/>
        </w:rPr>
        <w:t>In re Dezi C.</w:t>
      </w:r>
      <w:r w:rsidRPr="00324875">
        <w:t>,</w:t>
      </w:r>
      <w:r w:rsidRPr="00324875">
        <w:rPr>
          <w:i/>
          <w:iCs/>
        </w:rPr>
        <w:t xml:space="preserve"> supra</w:t>
      </w:r>
      <w:r w:rsidRPr="00324875">
        <w:t>,</w:t>
      </w:r>
      <w:r w:rsidRPr="00324875">
        <w:t xml:space="preserve"> 79 Cal.App.5th </w:t>
      </w:r>
      <w:r w:rsidRPr="00324875">
        <w:t xml:space="preserve">at </w:t>
      </w:r>
      <w:r w:rsidRPr="00863B1A">
        <w:t>pp. </w:t>
      </w:r>
      <w:r w:rsidRPr="00863B1A">
        <w:t>779-782</w:t>
      </w:r>
      <w:bookmarkEnd w:id="25"/>
      <w:r w:rsidRPr="00863B1A">
        <w:t xml:space="preserve">, </w:t>
      </w:r>
      <w:r w:rsidRPr="001B1E35">
        <w:t>rev</w:t>
      </w:r>
      <w:r>
        <w:t>.</w:t>
      </w:r>
      <w:r w:rsidRPr="001B1E35">
        <w:t xml:space="preserve"> </w:t>
      </w:r>
      <w:r w:rsidRPr="001B1E35">
        <w:t xml:space="preserve">granted; see also </w:t>
      </w:r>
      <w:bookmarkStart w:id="26" w:name="dabmci_ba73af525a9c40caae4de0e10e679e1f"/>
      <w:proofErr w:type="gramStart"/>
      <w:r w:rsidRPr="001B1E35">
        <w:rPr>
          <w:i/>
          <w:iCs/>
        </w:rPr>
        <w:t>In</w:t>
      </w:r>
      <w:proofErr w:type="gramEnd"/>
      <w:r w:rsidRPr="001B1E35">
        <w:rPr>
          <w:i/>
          <w:iCs/>
        </w:rPr>
        <w:t xml:space="preserve"> re G.A.</w:t>
      </w:r>
      <w:r w:rsidRPr="001B1E35">
        <w:t>,</w:t>
      </w:r>
      <w:r w:rsidRPr="001B1E35">
        <w:rPr>
          <w:i/>
          <w:iCs/>
        </w:rPr>
        <w:t xml:space="preserve"> supra</w:t>
      </w:r>
      <w:r w:rsidRPr="001B1E35">
        <w:t>,</w:t>
      </w:r>
      <w:r w:rsidRPr="001B1E35">
        <w:rPr>
          <w:i/>
          <w:iCs/>
        </w:rPr>
        <w:t xml:space="preserve"> </w:t>
      </w:r>
      <w:r w:rsidRPr="001B1E35">
        <w:t xml:space="preserve">81 Cal.App.5th at </w:t>
      </w:r>
      <w:r w:rsidRPr="00F9079A">
        <w:t>p. 360</w:t>
      </w:r>
      <w:bookmarkEnd w:id="26"/>
      <w:r w:rsidRPr="00F9079A">
        <w:t>,</w:t>
      </w:r>
      <w:r w:rsidRPr="001B1E35">
        <w:t xml:space="preserve"> rev</w:t>
      </w:r>
      <w:r>
        <w:t>.</w:t>
      </w:r>
      <w:r w:rsidRPr="001B1E35">
        <w:t xml:space="preserve"> granted.)</w:t>
      </w:r>
      <w:r w:rsidRPr="001B1E35">
        <w:t xml:space="preserve">  </w:t>
      </w:r>
      <w:r w:rsidRPr="00133DA5">
        <w:t>We disregard this undeveloped argument</w:t>
      </w:r>
      <w:r w:rsidRPr="00133DA5">
        <w:t xml:space="preserve">, </w:t>
      </w:r>
      <w:r w:rsidRPr="00133DA5">
        <w:t xml:space="preserve">except to </w:t>
      </w:r>
      <w:r w:rsidRPr="00133DA5">
        <w:t xml:space="preserve">note that </w:t>
      </w:r>
      <w:r w:rsidRPr="00133DA5">
        <w:t xml:space="preserve">it fails to recognize </w:t>
      </w:r>
      <w:r w:rsidRPr="00133DA5">
        <w:t xml:space="preserve">the many </w:t>
      </w:r>
      <w:r w:rsidRPr="00133DA5">
        <w:t>other aspects of the ICWA</w:t>
      </w:r>
      <w:r w:rsidRPr="005443B7">
        <w:t xml:space="preserve">, such as </w:t>
      </w:r>
      <w:r w:rsidRPr="005443B7">
        <w:t xml:space="preserve">the </w:t>
      </w:r>
      <w:r w:rsidRPr="005443B7">
        <w:t>possibility</w:t>
      </w:r>
      <w:r w:rsidRPr="005443B7">
        <w:t xml:space="preserve"> of transfer to a tribal court</w:t>
      </w:r>
      <w:r w:rsidRPr="005443B7">
        <w:t xml:space="preserve"> or</w:t>
      </w:r>
      <w:r w:rsidRPr="005443B7">
        <w:t xml:space="preserve"> tribal customary adoption</w:t>
      </w:r>
      <w:r w:rsidRPr="005443B7">
        <w:t>.</w:t>
      </w:r>
      <w:r w:rsidRPr="005443B7">
        <w:t xml:space="preserve">  (</w:t>
      </w:r>
      <w:bookmarkStart w:id="27" w:name="dabmci_4967be87a2184dd18eda8bd8c7a01f2b"/>
      <w:r w:rsidRPr="005443B7">
        <w:rPr>
          <w:i/>
          <w:iCs/>
        </w:rPr>
        <w:t xml:space="preserve">Maral v. City of Live Oak </w:t>
      </w:r>
      <w:r w:rsidRPr="005443B7">
        <w:t>(2013) 221</w:t>
      </w:r>
      <w:r w:rsidRPr="005443B7">
        <w:t> </w:t>
      </w:r>
      <w:r w:rsidRPr="005443B7">
        <w:t>Cal.App.4th 975, 984-</w:t>
      </w:r>
      <w:r w:rsidRPr="005443B7">
        <w:lastRenderedPageBreak/>
        <w:t>985</w:t>
      </w:r>
      <w:bookmarkEnd w:id="27"/>
      <w:r w:rsidRPr="005443B7">
        <w:t xml:space="preserve"> </w:t>
      </w:r>
      <w:proofErr w:type="gramStart"/>
      <w:r w:rsidRPr="00133DA5">
        <w:t>[“ ‘</w:t>
      </w:r>
      <w:proofErr w:type="gramEnd"/>
      <w:r w:rsidRPr="00133DA5">
        <w:t>[a]n appellate court is not required to examine undeveloped claims, nor to make arguments for parties’ </w:t>
      </w:r>
      <w:r w:rsidRPr="005443B7">
        <w:t>”]</w:t>
      </w:r>
      <w:r w:rsidRPr="005443B7">
        <w:t xml:space="preserve">; </w:t>
      </w:r>
      <w:bookmarkStart w:id="28" w:name="dabmci_f7e0c676b0744dbc858783c75b05304a"/>
      <w:r w:rsidRPr="005443B7">
        <w:rPr>
          <w:i/>
          <w:iCs/>
        </w:rPr>
        <w:t>In</w:t>
      </w:r>
      <w:r w:rsidRPr="005443B7">
        <w:t xml:space="preserve"> </w:t>
      </w:r>
      <w:r w:rsidRPr="005443B7">
        <w:rPr>
          <w:i/>
          <w:iCs/>
        </w:rPr>
        <w:t>re A.W.</w:t>
      </w:r>
      <w:r>
        <w:t xml:space="preserve">, </w:t>
      </w:r>
      <w:r>
        <w:rPr>
          <w:i/>
          <w:iCs/>
        </w:rPr>
        <w:t>supra</w:t>
      </w:r>
      <w:r>
        <w:t>,</w:t>
      </w:r>
      <w:r w:rsidRPr="005443B7">
        <w:t xml:space="preserve"> </w:t>
      </w:r>
      <w:r w:rsidRPr="005443B7">
        <w:t>38</w:t>
      </w:r>
      <w:r w:rsidRPr="005443B7">
        <w:t> </w:t>
      </w:r>
      <w:r w:rsidRPr="005443B7">
        <w:t>Cal.</w:t>
      </w:r>
      <w:r w:rsidRPr="005443B7">
        <w:t xml:space="preserve">App.5th </w:t>
      </w:r>
      <w:r>
        <w:t>at p. </w:t>
      </w:r>
      <w:r w:rsidRPr="005443B7">
        <w:t>662</w:t>
      </w:r>
      <w:bookmarkEnd w:id="28"/>
      <w:r w:rsidRPr="005443B7">
        <w:t xml:space="preserve"> [the ICWA protects interests of Indian children by permitting tribal participation in dependency proceedings].)</w:t>
      </w:r>
    </w:p>
    <w:p w14:paraId="1D0E40B0" w14:textId="77777777" w:rsidR="00DA2BB5" w:rsidRPr="005443B7" w:rsidRDefault="00DA2BB5" w:rsidP="00C8168E">
      <w:pPr>
        <w:ind w:firstLine="720"/>
      </w:pPr>
      <w:r w:rsidRPr="005443B7">
        <w:t xml:space="preserve">In light of the </w:t>
      </w:r>
      <w:r w:rsidRPr="005443B7">
        <w:t>issue’s pendency before</w:t>
      </w:r>
      <w:r w:rsidRPr="005443B7">
        <w:t xml:space="preserve"> </w:t>
      </w:r>
      <w:r>
        <w:t>our</w:t>
      </w:r>
      <w:r w:rsidRPr="005443B7">
        <w:t xml:space="preserve"> Supreme </w:t>
      </w:r>
      <w:bookmarkStart w:id="29" w:name="dabmci_ed7e775940a4475ca8d5351447bb2e78"/>
      <w:r w:rsidRPr="005443B7">
        <w:t xml:space="preserve">Court in </w:t>
      </w:r>
      <w:r w:rsidRPr="001B1E35">
        <w:rPr>
          <w:i/>
          <w:iCs/>
        </w:rPr>
        <w:t>In</w:t>
      </w:r>
      <w:r w:rsidRPr="001B1E35">
        <w:rPr>
          <w:i/>
          <w:iCs/>
        </w:rPr>
        <w:t> </w:t>
      </w:r>
      <w:r w:rsidRPr="001B1E35">
        <w:rPr>
          <w:i/>
          <w:iCs/>
        </w:rPr>
        <w:t>re</w:t>
      </w:r>
      <w:r w:rsidRPr="001B1E35">
        <w:rPr>
          <w:i/>
          <w:iCs/>
        </w:rPr>
        <w:t> </w:t>
      </w:r>
      <w:r w:rsidRPr="001B1E35">
        <w:rPr>
          <w:i/>
          <w:iCs/>
        </w:rPr>
        <w:t>Dezi C.</w:t>
      </w:r>
      <w:r w:rsidRPr="007B7A8E">
        <w:t>,</w:t>
      </w:r>
      <w:r w:rsidRPr="001B1E35">
        <w:t xml:space="preserve"> </w:t>
      </w:r>
      <w:r w:rsidRPr="001B1E35">
        <w:rPr>
          <w:i/>
          <w:iCs/>
        </w:rPr>
        <w:t>supra</w:t>
      </w:r>
      <w:r w:rsidRPr="001B1E35">
        <w:t>, 79 Cal.App.5th 769</w:t>
      </w:r>
      <w:bookmarkEnd w:id="29"/>
      <w:r w:rsidRPr="001B1E35">
        <w:t xml:space="preserve">, </w:t>
      </w:r>
      <w:r w:rsidRPr="001B1E35">
        <w:t>the</w:t>
      </w:r>
      <w:r w:rsidRPr="005443B7">
        <w:t xml:space="preserve"> record</w:t>
      </w:r>
      <w:r w:rsidRPr="005443B7">
        <w:t xml:space="preserve"> in this case</w:t>
      </w:r>
      <w:r w:rsidRPr="005443B7">
        <w:t>, the remedial purpose underlying the ICWA and related California law intended to protect third party rights, a</w:t>
      </w:r>
      <w:r w:rsidRPr="005443B7">
        <w:t xml:space="preserve">s </w:t>
      </w:r>
      <w:r w:rsidRPr="001B1E35">
        <w:t>well as the fact</w:t>
      </w:r>
      <w:r w:rsidRPr="001B1E35">
        <w:t xml:space="preserve"> that it was the Agency’s and the juvenile court’s duty</w:t>
      </w:r>
      <w:r w:rsidRPr="001B1E35">
        <w:t xml:space="preserve"> to fully develop </w:t>
      </w:r>
      <w:r>
        <w:t xml:space="preserve">the </w:t>
      </w:r>
      <w:r w:rsidRPr="001B1E35">
        <w:t>ICWA information (</w:t>
      </w:r>
      <w:bookmarkStart w:id="30" w:name="dabmci_45a2ba72a1ad432ea4065f1f25e707ca"/>
      <w:r w:rsidRPr="001B1E35">
        <w:rPr>
          <w:i/>
          <w:iCs/>
        </w:rPr>
        <w:t>In</w:t>
      </w:r>
      <w:r>
        <w:rPr>
          <w:i/>
          <w:iCs/>
        </w:rPr>
        <w:t> </w:t>
      </w:r>
      <w:r w:rsidRPr="001B1E35">
        <w:rPr>
          <w:i/>
          <w:iCs/>
        </w:rPr>
        <w:t xml:space="preserve">re Antonio R. </w:t>
      </w:r>
      <w:r w:rsidRPr="001B1E35">
        <w:t>(2022)</w:t>
      </w:r>
      <w:r w:rsidRPr="001B1E35">
        <w:t xml:space="preserve"> 76 Cal.App.5th </w:t>
      </w:r>
      <w:r w:rsidRPr="001B1E35">
        <w:t xml:space="preserve">421, </w:t>
      </w:r>
      <w:r w:rsidRPr="001B1E35">
        <w:t>431</w:t>
      </w:r>
      <w:bookmarkEnd w:id="30"/>
      <w:r w:rsidRPr="001B1E35">
        <w:t xml:space="preserve">; </w:t>
      </w:r>
      <w:bookmarkStart w:id="31" w:name="dabmci_e766ba3335cd4a079ef75a8d37b2f6df"/>
      <w:r w:rsidRPr="001B1E35">
        <w:rPr>
          <w:i/>
          <w:iCs/>
        </w:rPr>
        <w:t>In re Elizabeth M.</w:t>
      </w:r>
      <w:r w:rsidRPr="001B1E35">
        <w:t xml:space="preserve"> </w:t>
      </w:r>
      <w:r w:rsidRPr="001B1E35">
        <w:t xml:space="preserve">(2018) </w:t>
      </w:r>
      <w:r w:rsidRPr="001B1E35">
        <w:t xml:space="preserve">19 Cal.App.5th </w:t>
      </w:r>
      <w:r w:rsidRPr="001B1E35">
        <w:t xml:space="preserve">768, </w:t>
      </w:r>
      <w:r w:rsidRPr="001B1E35">
        <w:t>785</w:t>
      </w:r>
      <w:bookmarkEnd w:id="31"/>
      <w:r w:rsidRPr="001B1E35">
        <w:t xml:space="preserve">), </w:t>
      </w:r>
      <w:r w:rsidRPr="005443B7">
        <w:t xml:space="preserve">we apply the analytical framework set forth by </w:t>
      </w:r>
      <w:r>
        <w:t>our</w:t>
      </w:r>
      <w:r w:rsidRPr="005443B7">
        <w:t xml:space="preserve"> Supreme Court in </w:t>
      </w:r>
      <w:r w:rsidRPr="005443B7">
        <w:rPr>
          <w:i/>
          <w:iCs/>
        </w:rPr>
        <w:t>In re A.R.</w:t>
      </w:r>
      <w:r w:rsidRPr="005443B7">
        <w:t xml:space="preserve"> for assessing harm and conclude the error is prejudicial (</w:t>
      </w:r>
      <w:bookmarkStart w:id="32" w:name="dabmci_8011ae6acb094e8f9dfecc46c30950e0"/>
      <w:r w:rsidRPr="005443B7">
        <w:rPr>
          <w:i/>
          <w:iCs/>
        </w:rPr>
        <w:t>In re A.R.</w:t>
      </w:r>
      <w:r w:rsidRPr="005443B7">
        <w:t xml:space="preserve"> (2021) 11 Cal.5th 234, 252-254</w:t>
      </w:r>
      <w:bookmarkEnd w:id="32"/>
      <w:r w:rsidRPr="005443B7">
        <w:t xml:space="preserve"> [declining to apply an outcome-focused “likelihood-of-success condition,” and explaining that “[f]or a parent whose attorney has incompet</w:t>
      </w:r>
      <w:r w:rsidRPr="005443B7">
        <w:t xml:space="preserve">ently failed to file a timely appeal, the relevant injury is not </w:t>
      </w:r>
      <w:bookmarkStart w:id="33" w:name="ElPgBr14"/>
      <w:bookmarkEnd w:id="33"/>
      <w:r w:rsidRPr="005443B7">
        <w:t>denial of any specific substantive appellate victory; it is the opportunity to appeal at all”])</w:t>
      </w:r>
      <w:r>
        <w:t>.</w:t>
      </w:r>
    </w:p>
    <w:p w14:paraId="46D46F83" w14:textId="77777777" w:rsidR="00DA2BB5" w:rsidRPr="005443B7" w:rsidRDefault="00DA2BB5" w:rsidP="00467439">
      <w:pPr>
        <w:ind w:firstLine="720"/>
      </w:pPr>
      <w:r w:rsidRPr="001B1E35">
        <w:t xml:space="preserve">We therefore vacate the </w:t>
      </w:r>
      <w:r w:rsidRPr="001B1E35">
        <w:t>juvenile</w:t>
      </w:r>
      <w:r w:rsidRPr="001B1E35">
        <w:t xml:space="preserve"> court’s finding that </w:t>
      </w:r>
      <w:r w:rsidRPr="001B1E35">
        <w:t xml:space="preserve">the minors are not Indian children within the meaning of the ICWA </w:t>
      </w:r>
      <w:r w:rsidRPr="001B1E35">
        <w:t xml:space="preserve">and </w:t>
      </w:r>
      <w:r w:rsidRPr="001B1E35">
        <w:t>remand</w:t>
      </w:r>
      <w:r w:rsidRPr="005443B7">
        <w:t xml:space="preserve"> the case to the juvenile court for further proceedings to address compliance with the inquiry and notice provisions of the ICWA and to enter new orders regarding the applicability of the ICWA</w:t>
      </w:r>
      <w:r w:rsidRPr="005443B7">
        <w:t xml:space="preserve"> prior to proceeding with the section 366.26 selection and implementation hearing</w:t>
      </w:r>
      <w:r w:rsidRPr="005443B7">
        <w:t>.</w:t>
      </w:r>
    </w:p>
    <w:p w14:paraId="5EC6CAAE" w14:textId="77777777" w:rsidR="00DA2BB5" w:rsidRPr="00A870DA" w:rsidRDefault="00DA2BB5" w:rsidP="009C7AD8">
      <w:pPr>
        <w:keepNext/>
        <w:jc w:val="center"/>
      </w:pPr>
      <w:r w:rsidRPr="00A870DA">
        <w:t>II</w:t>
      </w:r>
    </w:p>
    <w:p w14:paraId="0B5A6A1A" w14:textId="77777777" w:rsidR="00DA2BB5" w:rsidRPr="00B86137" w:rsidRDefault="00DA2BB5" w:rsidP="009C7AD8">
      <w:pPr>
        <w:keepNext/>
        <w:jc w:val="center"/>
        <w:rPr>
          <w:i/>
          <w:iCs/>
        </w:rPr>
      </w:pPr>
      <w:r w:rsidRPr="00B86137">
        <w:rPr>
          <w:i/>
          <w:iCs/>
        </w:rPr>
        <w:t xml:space="preserve">Attorney </w:t>
      </w:r>
      <w:r w:rsidRPr="00A870DA">
        <w:rPr>
          <w:i/>
          <w:iCs/>
        </w:rPr>
        <w:t>A</w:t>
      </w:r>
      <w:r w:rsidRPr="00B86137">
        <w:rPr>
          <w:i/>
          <w:iCs/>
        </w:rPr>
        <w:t xml:space="preserve">nd Juvenile Court Obligations </w:t>
      </w:r>
      <w:r w:rsidRPr="00B86137">
        <w:rPr>
          <w:i/>
          <w:iCs/>
        </w:rPr>
        <w:t xml:space="preserve">Under </w:t>
      </w:r>
      <w:r w:rsidRPr="00A870DA">
        <w:rPr>
          <w:i/>
          <w:iCs/>
        </w:rPr>
        <w:t>T</w:t>
      </w:r>
      <w:r w:rsidRPr="00B86137">
        <w:rPr>
          <w:i/>
          <w:iCs/>
        </w:rPr>
        <w:t>he ICWA</w:t>
      </w:r>
    </w:p>
    <w:p w14:paraId="26A528B6" w14:textId="77777777" w:rsidR="00DA2BB5" w:rsidRPr="00A870DA" w:rsidRDefault="00DA2BB5" w:rsidP="00170018">
      <w:pPr>
        <w:ind w:firstLine="720"/>
      </w:pPr>
      <w:r w:rsidRPr="00A870DA">
        <w:t xml:space="preserve">Finally, because we have received an inordinate number of cases </w:t>
      </w:r>
      <w:r w:rsidRPr="00A870DA">
        <w:t xml:space="preserve">arguing inadequacy of </w:t>
      </w:r>
      <w:r>
        <w:t xml:space="preserve">the </w:t>
      </w:r>
      <w:r w:rsidRPr="00A870DA">
        <w:t>ICWA inquiry based on the Agency’s failure to inquire about possible Indian heritage from relatives</w:t>
      </w:r>
      <w:r w:rsidRPr="00A870DA">
        <w:t xml:space="preserve"> and have remanded many such cases for correction of ICWA error</w:t>
      </w:r>
      <w:r w:rsidRPr="00A870DA">
        <w:t xml:space="preserve">, we </w:t>
      </w:r>
      <w:r w:rsidRPr="00A870DA">
        <w:t>are compelled to comment</w:t>
      </w:r>
      <w:r w:rsidRPr="00A870DA">
        <w:t xml:space="preserve"> upon the omissions of </w:t>
      </w:r>
      <w:r w:rsidRPr="00A870DA">
        <w:t xml:space="preserve">both </w:t>
      </w:r>
      <w:r w:rsidRPr="00A870DA">
        <w:t xml:space="preserve">the parties and </w:t>
      </w:r>
      <w:r w:rsidRPr="00A870DA">
        <w:t xml:space="preserve">the </w:t>
      </w:r>
      <w:r w:rsidRPr="00A870DA">
        <w:t xml:space="preserve">juvenile court, </w:t>
      </w:r>
      <w:r w:rsidRPr="00A870DA">
        <w:t>and</w:t>
      </w:r>
      <w:r w:rsidRPr="00A870DA">
        <w:t xml:space="preserve"> to </w:t>
      </w:r>
      <w:r w:rsidRPr="00A870DA">
        <w:t xml:space="preserve">provide some direction to </w:t>
      </w:r>
      <w:r w:rsidRPr="00A870DA">
        <w:t>all involved in these dependency matters.</w:t>
      </w:r>
    </w:p>
    <w:p w14:paraId="2917899D" w14:textId="77777777" w:rsidR="00DA2BB5" w:rsidRPr="00A870DA" w:rsidRDefault="00DA2BB5" w:rsidP="00B86137">
      <w:pPr>
        <w:pStyle w:val="ListParagraph"/>
        <w:keepNext/>
        <w:ind w:left="0"/>
        <w:jc w:val="center"/>
      </w:pPr>
      <w:r w:rsidRPr="00A870DA">
        <w:lastRenderedPageBreak/>
        <w:t>A</w:t>
      </w:r>
    </w:p>
    <w:p w14:paraId="0707080E" w14:textId="77777777" w:rsidR="00DA2BB5" w:rsidRPr="00B86137" w:rsidRDefault="00DA2BB5" w:rsidP="00B86137">
      <w:pPr>
        <w:pStyle w:val="ListParagraph"/>
        <w:keepNext/>
        <w:ind w:left="0"/>
        <w:jc w:val="center"/>
        <w:rPr>
          <w:i/>
          <w:iCs/>
        </w:rPr>
      </w:pPr>
      <w:r w:rsidRPr="00B86137">
        <w:rPr>
          <w:i/>
          <w:iCs/>
        </w:rPr>
        <w:t xml:space="preserve">Parents’ </w:t>
      </w:r>
      <w:r w:rsidRPr="00B86137">
        <w:rPr>
          <w:i/>
          <w:iCs/>
        </w:rPr>
        <w:t>A</w:t>
      </w:r>
      <w:r w:rsidRPr="00B86137">
        <w:rPr>
          <w:i/>
          <w:iCs/>
        </w:rPr>
        <w:t>nd Minors’ Counsel</w:t>
      </w:r>
    </w:p>
    <w:p w14:paraId="33CCC785" w14:textId="77777777" w:rsidR="00DA2BB5" w:rsidRPr="00A870DA" w:rsidRDefault="00DA2BB5" w:rsidP="00073EBC">
      <w:pPr>
        <w:ind w:firstLine="720"/>
      </w:pPr>
      <w:r w:rsidRPr="00A870DA">
        <w:t xml:space="preserve">This is </w:t>
      </w:r>
      <w:r w:rsidRPr="00A870DA">
        <w:rPr>
          <w:i/>
          <w:iCs/>
        </w:rPr>
        <w:t>not</w:t>
      </w:r>
      <w:r w:rsidRPr="00A870DA">
        <w:t xml:space="preserve"> a case of </w:t>
      </w:r>
      <w:proofErr w:type="gramStart"/>
      <w:r w:rsidRPr="00A870DA">
        <w:t>petitioner</w:t>
      </w:r>
      <w:proofErr w:type="gramEnd"/>
      <w:r w:rsidRPr="00A870DA">
        <w:t xml:space="preserve"> having unsuccessfully raised the ICWA inquiry issue in the juvenile court </w:t>
      </w:r>
      <w:r w:rsidRPr="00A870DA">
        <w:t xml:space="preserve">and now seeking review of that decision.  </w:t>
      </w:r>
      <w:r w:rsidRPr="00A870DA">
        <w:t>Like m</w:t>
      </w:r>
      <w:r w:rsidRPr="00A870DA">
        <w:t xml:space="preserve">ost of </w:t>
      </w:r>
      <w:r w:rsidRPr="00A870DA">
        <w:t xml:space="preserve">the </w:t>
      </w:r>
      <w:r w:rsidRPr="00A870DA">
        <w:t xml:space="preserve">cases </w:t>
      </w:r>
      <w:r w:rsidRPr="00A870DA">
        <w:t>in this procedural posture</w:t>
      </w:r>
      <w:r w:rsidRPr="00A870DA">
        <w:t xml:space="preserve">, </w:t>
      </w:r>
      <w:r w:rsidRPr="00A870DA">
        <w:t xml:space="preserve">the adequacy of the ICWA inquiry was never raised in the juvenile court.  </w:t>
      </w:r>
      <w:r w:rsidRPr="00A870DA">
        <w:t>This court</w:t>
      </w:r>
      <w:r w:rsidRPr="00184BFA">
        <w:t xml:space="preserve">, as part of an order directing petitioner to file a supplement to the petition, invited the parties to indicate what </w:t>
      </w:r>
      <w:r w:rsidRPr="00184BFA">
        <w:t>ICWA-related issues and/or requests ha</w:t>
      </w:r>
      <w:r w:rsidRPr="00184BFA">
        <w:t>d</w:t>
      </w:r>
      <w:r w:rsidRPr="00184BFA">
        <w:t xml:space="preserve"> been raised or made in the juvenile court </w:t>
      </w:r>
      <w:r w:rsidRPr="00184BFA">
        <w:t xml:space="preserve">since the filing of the petition </w:t>
      </w:r>
      <w:r>
        <w:t>that</w:t>
      </w:r>
      <w:r w:rsidRPr="00184BFA">
        <w:t xml:space="preserve"> </w:t>
      </w:r>
      <w:r w:rsidRPr="00184BFA">
        <w:t>i</w:t>
      </w:r>
      <w:r w:rsidRPr="00184BFA">
        <w:t>dentified</w:t>
      </w:r>
      <w:r w:rsidRPr="00184BFA">
        <w:t xml:space="preserve"> alleged inadequacies in the ICWA inquiry</w:t>
      </w:r>
      <w:r w:rsidRPr="00184BFA">
        <w:t>.</w:t>
      </w:r>
      <w:r w:rsidRPr="00184BFA">
        <w:t xml:space="preserve">  </w:t>
      </w:r>
      <w:r w:rsidRPr="00184BFA">
        <w:t xml:space="preserve">No </w:t>
      </w:r>
      <w:r w:rsidRPr="00184BFA">
        <w:t>effort</w:t>
      </w:r>
      <w:r w:rsidRPr="00184BFA">
        <w:t xml:space="preserve">s </w:t>
      </w:r>
      <w:r w:rsidRPr="00184BFA">
        <w:t xml:space="preserve">to ensure further ICWA compliance </w:t>
      </w:r>
      <w:r w:rsidRPr="00184BFA">
        <w:t>had been</w:t>
      </w:r>
      <w:r w:rsidRPr="00184BFA">
        <w:t xml:space="preserve"> </w:t>
      </w:r>
      <w:r w:rsidRPr="00184BFA">
        <w:t>undertaken</w:t>
      </w:r>
      <w:r w:rsidRPr="00184BFA">
        <w:t>;</w:t>
      </w:r>
      <w:r w:rsidRPr="00184BFA">
        <w:t xml:space="preserve"> d</w:t>
      </w:r>
      <w:r w:rsidRPr="00184BFA">
        <w:t xml:space="preserve">espite having </w:t>
      </w:r>
      <w:r w:rsidRPr="00184BFA">
        <w:t xml:space="preserve">identified the </w:t>
      </w:r>
      <w:r w:rsidRPr="00184BFA">
        <w:t xml:space="preserve">ICWA </w:t>
      </w:r>
      <w:r w:rsidRPr="00184BFA">
        <w:t xml:space="preserve">issue, the </w:t>
      </w:r>
      <w:r w:rsidRPr="00184BFA">
        <w:t xml:space="preserve">ongoing nature of the proceedings, and </w:t>
      </w:r>
      <w:r w:rsidRPr="00184BFA">
        <w:t>the</w:t>
      </w:r>
      <w:r w:rsidRPr="00184BFA">
        <w:t xml:space="preserve"> affirmative and continuing duty in the juvenile court to inquire whether a child who is subject to the proceedings is, or may be, an Indian child</w:t>
      </w:r>
      <w:r w:rsidRPr="00184BFA">
        <w:t>,</w:t>
      </w:r>
      <w:r w:rsidRPr="00184BFA">
        <w:t xml:space="preserve"> </w:t>
      </w:r>
      <w:r w:rsidRPr="00184BFA">
        <w:t>p</w:t>
      </w:r>
      <w:r w:rsidRPr="00184BFA">
        <w:t xml:space="preserve">etitioner </w:t>
      </w:r>
      <w:r w:rsidRPr="00184BFA">
        <w:t>had failed to</w:t>
      </w:r>
      <w:r w:rsidRPr="00184BFA">
        <w:t xml:space="preserve"> </w:t>
      </w:r>
      <w:r w:rsidRPr="00184BFA">
        <w:t>raise</w:t>
      </w:r>
      <w:r w:rsidRPr="00184BFA">
        <w:t xml:space="preserve"> the adequacy of the ICWA inquiry in the juvenile</w:t>
      </w:r>
      <w:r w:rsidRPr="00184BFA">
        <w:t xml:space="preserve"> court</w:t>
      </w:r>
      <w:r w:rsidRPr="00184BFA">
        <w:t xml:space="preserve">. </w:t>
      </w:r>
      <w:r w:rsidRPr="00184BFA">
        <w:t xml:space="preserve"> </w:t>
      </w:r>
      <w:r w:rsidRPr="00184BFA">
        <w:t>(</w:t>
      </w:r>
      <w:r w:rsidRPr="00184BFA">
        <w:t>R</w:t>
      </w:r>
      <w:r w:rsidRPr="00184BFA">
        <w:t>ule 5.481(a); § 224.2, subd. (a).)</w:t>
      </w:r>
      <w:r w:rsidRPr="00184BFA">
        <w:t xml:space="preserve">  </w:t>
      </w:r>
      <w:r w:rsidRPr="00184BFA">
        <w:t>T</w:t>
      </w:r>
      <w:r w:rsidRPr="00184BFA">
        <w:t>he parties have</w:t>
      </w:r>
      <w:r w:rsidRPr="00A870DA">
        <w:t xml:space="preserve"> done </w:t>
      </w:r>
      <w:r w:rsidRPr="00A870DA">
        <w:rPr>
          <w:i/>
          <w:iCs/>
        </w:rPr>
        <w:t>nothing</w:t>
      </w:r>
      <w:r w:rsidRPr="00A870DA">
        <w:t xml:space="preserve"> to </w:t>
      </w:r>
      <w:r w:rsidRPr="00A870DA">
        <w:t xml:space="preserve">raise or address </w:t>
      </w:r>
      <w:r w:rsidRPr="00A870DA">
        <w:t xml:space="preserve">the </w:t>
      </w:r>
      <w:r w:rsidRPr="00A870DA">
        <w:t xml:space="preserve">ICWA compliance </w:t>
      </w:r>
      <w:r w:rsidRPr="00A870DA">
        <w:t xml:space="preserve">issue in the </w:t>
      </w:r>
      <w:r w:rsidRPr="00A870DA">
        <w:t>juvenile</w:t>
      </w:r>
      <w:r w:rsidRPr="00A870DA">
        <w:t xml:space="preserve"> court.</w:t>
      </w:r>
    </w:p>
    <w:p w14:paraId="520F0944" w14:textId="77777777" w:rsidR="00DA2BB5" w:rsidRPr="00A870DA" w:rsidRDefault="00DA2BB5" w:rsidP="006E6A12">
      <w:pPr>
        <w:ind w:firstLine="720"/>
      </w:pPr>
      <w:r w:rsidRPr="00184BFA">
        <w:t xml:space="preserve">It is true that in general, the forfeiture doctrine does not bar consideration of ICWA inquiry and notice issues not raised in the juvenile court.  </w:t>
      </w:r>
      <w:proofErr w:type="gramStart"/>
      <w:r w:rsidRPr="00184BFA">
        <w:t>“</w:t>
      </w:r>
      <w:r>
        <w:t> ‘</w:t>
      </w:r>
      <w:proofErr w:type="gramEnd"/>
      <w:r w:rsidRPr="00184BFA">
        <w:t xml:space="preserve">The notice requirements serve the interests of the Indian tribes </w:t>
      </w:r>
      <w:r>
        <w:t>“</w:t>
      </w:r>
      <w:r w:rsidRPr="00184BFA">
        <w:t>irrespective of the position of the parents</w:t>
      </w:r>
      <w:r>
        <w:t>”</w:t>
      </w:r>
      <w:r w:rsidRPr="00184BFA">
        <w:t xml:space="preserve"> and cannot be </w:t>
      </w:r>
      <w:r>
        <w:t>[</w:t>
      </w:r>
      <w:r w:rsidRPr="00184BFA">
        <w:t>forfeit</w:t>
      </w:r>
      <w:r>
        <w:t>]</w:t>
      </w:r>
      <w:r w:rsidRPr="00184BFA">
        <w:t>ed by the parent.</w:t>
      </w:r>
      <w:r>
        <w:t>’ </w:t>
      </w:r>
      <w:r w:rsidRPr="00184BFA">
        <w:t>”</w:t>
      </w:r>
      <w:r w:rsidRPr="00184BFA">
        <w:t xml:space="preserve">  </w:t>
      </w:r>
      <w:r w:rsidRPr="00184BFA">
        <w:t>(</w:t>
      </w:r>
      <w:bookmarkStart w:id="34" w:name="dabmci_a1a4ecfb55174ecc9fcfae021d7c2091"/>
      <w:r w:rsidRPr="00184BFA">
        <w:rPr>
          <w:i/>
          <w:iCs/>
        </w:rPr>
        <w:t xml:space="preserve">In re Justin S. </w:t>
      </w:r>
      <w:r w:rsidRPr="00184BFA">
        <w:t>(2007) 150 Cal.App.4th 1426, 1435</w:t>
      </w:r>
      <w:bookmarkEnd w:id="34"/>
      <w:r w:rsidRPr="00184BFA">
        <w:t>.)</w:t>
      </w:r>
      <w:r w:rsidRPr="00D548B2">
        <w:t xml:space="preserve">  </w:t>
      </w:r>
      <w:r w:rsidRPr="00D548B2">
        <w:t xml:space="preserve">But the non-forfeiture rule is </w:t>
      </w:r>
      <w:r w:rsidRPr="00D548B2">
        <w:rPr>
          <w:i/>
          <w:iCs/>
        </w:rPr>
        <w:t xml:space="preserve">not </w:t>
      </w:r>
      <w:r w:rsidRPr="00D548B2">
        <w:t>an invitation to sit idly by</w:t>
      </w:r>
      <w:r w:rsidRPr="00D548B2">
        <w:t xml:space="preserve">, aware of </w:t>
      </w:r>
      <w:r w:rsidRPr="00D548B2">
        <w:t xml:space="preserve">alleged </w:t>
      </w:r>
      <w:r w:rsidRPr="00D548B2">
        <w:t xml:space="preserve">deficiencies in </w:t>
      </w:r>
      <w:r w:rsidRPr="00D548B2">
        <w:t>ICWA compliance, w</w:t>
      </w:r>
      <w:r w:rsidRPr="00D548B2">
        <w:t>hile</w:t>
      </w:r>
      <w:r w:rsidRPr="00D548B2">
        <w:t xml:space="preserve"> making </w:t>
      </w:r>
      <w:r w:rsidRPr="00D548B2">
        <w:t>no</w:t>
      </w:r>
      <w:r w:rsidRPr="00D548B2">
        <w:t xml:space="preserve"> effort to </w:t>
      </w:r>
      <w:r w:rsidRPr="00D548B2">
        <w:t>remedy the matter in the juvenile court proceedings.</w:t>
      </w:r>
      <w:r w:rsidRPr="00D548B2">
        <w:t xml:space="preserve">  Such practice </w:t>
      </w:r>
      <w:r w:rsidRPr="00D548B2">
        <w:t>causes un</w:t>
      </w:r>
      <w:r w:rsidRPr="00D548B2">
        <w:t>reasonable delay</w:t>
      </w:r>
      <w:r w:rsidRPr="00D548B2">
        <w:t xml:space="preserve">, wastes appellate court resources, </w:t>
      </w:r>
      <w:r w:rsidRPr="00D548B2">
        <w:t xml:space="preserve">and </w:t>
      </w:r>
      <w:r w:rsidRPr="00D548B2">
        <w:t xml:space="preserve">fails to comport with </w:t>
      </w:r>
      <w:r w:rsidRPr="00D548B2">
        <w:t>counsel</w:t>
      </w:r>
      <w:r w:rsidRPr="00D548B2">
        <w:t>’</w:t>
      </w:r>
      <w:r w:rsidRPr="00D548B2">
        <w:t xml:space="preserve">s duties as officers of the court.  </w:t>
      </w:r>
      <w:r w:rsidRPr="00D548B2">
        <w:t>(</w:t>
      </w:r>
      <w:bookmarkStart w:id="35" w:name="dabmci_3eb159c7dabe41379b4d1e356bd6f853"/>
      <w:r w:rsidRPr="00D548B2">
        <w:rPr>
          <w:i/>
          <w:iCs/>
        </w:rPr>
        <w:t>Williams v. Superior Court</w:t>
      </w:r>
      <w:r w:rsidRPr="00D548B2">
        <w:t xml:space="preserve"> (1996) 46 Cal.App.4th 320, 330</w:t>
      </w:r>
      <w:bookmarkEnd w:id="35"/>
      <w:r w:rsidRPr="00D548B2">
        <w:t xml:space="preserve"> [“ ‘</w:t>
      </w:r>
      <w:r w:rsidRPr="00D548B2">
        <w:t>C</w:t>
      </w:r>
      <w:r w:rsidRPr="00D548B2">
        <w:t xml:space="preserve">ounsel should not forget that they are officers of the court, and while it is their duty to protect and </w:t>
      </w:r>
      <w:r w:rsidRPr="00D548B2">
        <w:t>defend the interests of their clients, the obligation is equally imperative to aid the court in avoiding error and in determining the cause in accordance with justice and the established rules of practice’ ”]</w:t>
      </w:r>
      <w:r w:rsidRPr="00D548B2">
        <w:t>.)</w:t>
      </w:r>
      <w:r w:rsidRPr="00D548B2">
        <w:t xml:space="preserve">  </w:t>
      </w:r>
      <w:r w:rsidRPr="00A870DA">
        <w:t xml:space="preserve">While the juvenile court and the Agency are charged with making the appropriate inquiry under the ICWA, it is equally the obligation of the parents’ and minors’ counsel to promptly </w:t>
      </w:r>
      <w:r w:rsidRPr="00A870DA">
        <w:lastRenderedPageBreak/>
        <w:t xml:space="preserve">bring such matters to the attention of the juvenile court.  </w:t>
      </w:r>
      <w:r w:rsidRPr="00A870DA">
        <w:t>To be clear, we exp</w:t>
      </w:r>
      <w:r w:rsidRPr="00A870DA">
        <w:t xml:space="preserve">ect </w:t>
      </w:r>
      <w:r w:rsidRPr="00A870DA">
        <w:t xml:space="preserve">counsel to </w:t>
      </w:r>
      <w:r w:rsidRPr="00A870DA">
        <w:rPr>
          <w:i/>
          <w:iCs/>
        </w:rPr>
        <w:t>promptly</w:t>
      </w:r>
      <w:r w:rsidRPr="00A870DA">
        <w:t xml:space="preserve"> bring any percei</w:t>
      </w:r>
      <w:r w:rsidRPr="00A870DA">
        <w:t>ved deficiencies in</w:t>
      </w:r>
      <w:r>
        <w:t xml:space="preserve"> the</w:t>
      </w:r>
      <w:r w:rsidRPr="00A870DA">
        <w:t xml:space="preserve"> ICWA inquiry and notice </w:t>
      </w:r>
      <w:r w:rsidRPr="00A870DA">
        <w:t>to the attention of the juvenile court</w:t>
      </w:r>
      <w:r w:rsidRPr="00A870DA">
        <w:t>, even if the issue is pending on review.</w:t>
      </w:r>
      <w:r>
        <w:rPr>
          <w:rStyle w:val="FootnoteReference"/>
        </w:rPr>
        <w:footnoteReference w:id="3"/>
      </w:r>
      <w:r w:rsidRPr="00A870DA">
        <w:t xml:space="preserve">  We recognize this may</w:t>
      </w:r>
      <w:r w:rsidRPr="00A870DA">
        <w:t>, at times,</w:t>
      </w:r>
      <w:r w:rsidRPr="00A870DA">
        <w:t xml:space="preserve"> require communication between appellate and trial counsel</w:t>
      </w:r>
      <w:r w:rsidRPr="00A870DA">
        <w:t>, but</w:t>
      </w:r>
      <w:r w:rsidRPr="00A870DA">
        <w:t xml:space="preserve"> </w:t>
      </w:r>
      <w:r w:rsidRPr="00A870DA">
        <w:t xml:space="preserve">we </w:t>
      </w:r>
      <w:r w:rsidRPr="00A870DA">
        <w:t>expect that to occur.</w:t>
      </w:r>
    </w:p>
    <w:p w14:paraId="25E34847" w14:textId="77777777" w:rsidR="00DA2BB5" w:rsidRPr="00A870DA" w:rsidRDefault="00DA2BB5" w:rsidP="00B86137">
      <w:pPr>
        <w:pStyle w:val="ListParagraph"/>
        <w:keepNext/>
        <w:ind w:left="0"/>
        <w:jc w:val="center"/>
      </w:pPr>
      <w:r w:rsidRPr="00A870DA">
        <w:t>B</w:t>
      </w:r>
    </w:p>
    <w:p w14:paraId="1B5885B7" w14:textId="77777777" w:rsidR="00DA2BB5" w:rsidRPr="00B86137" w:rsidRDefault="00DA2BB5" w:rsidP="00B86137">
      <w:pPr>
        <w:pStyle w:val="ListParagraph"/>
        <w:keepNext/>
        <w:ind w:left="0"/>
        <w:jc w:val="center"/>
        <w:rPr>
          <w:i/>
          <w:iCs/>
        </w:rPr>
      </w:pPr>
      <w:r w:rsidRPr="00B86137">
        <w:rPr>
          <w:i/>
          <w:iCs/>
        </w:rPr>
        <w:t>The Juvenile Court</w:t>
      </w:r>
    </w:p>
    <w:p w14:paraId="2E0E809E" w14:textId="77777777" w:rsidR="00DA2BB5" w:rsidRPr="00B5524F" w:rsidRDefault="00DA2BB5" w:rsidP="00D548B2">
      <w:pPr>
        <w:ind w:firstLine="720"/>
      </w:pPr>
      <w:r w:rsidRPr="00D548B2">
        <w:t>We</w:t>
      </w:r>
      <w:r w:rsidRPr="00D548B2">
        <w:t xml:space="preserve"> </w:t>
      </w:r>
      <w:r w:rsidRPr="00D548B2">
        <w:t xml:space="preserve">also </w:t>
      </w:r>
      <w:r w:rsidRPr="00D548B2">
        <w:t>expect the juvenile court will timely perform its duties under the ICWA.</w:t>
      </w:r>
      <w:r w:rsidRPr="00D548B2">
        <w:t xml:space="preserve">  </w:t>
      </w:r>
      <w:r w:rsidRPr="00D548B2">
        <w:t>The juvenile court is required to make findings as to the applicability of the ICWA</w:t>
      </w:r>
      <w:r w:rsidRPr="00D548B2">
        <w:t>.</w:t>
      </w:r>
      <w:r>
        <w:rPr>
          <w:rStyle w:val="FootnoteReference"/>
        </w:rPr>
        <w:footnoteReference w:id="4"/>
      </w:r>
      <w:r w:rsidRPr="00D548B2">
        <w:t xml:space="preserve">  </w:t>
      </w:r>
      <w:r w:rsidRPr="00D548B2">
        <w:t>(</w:t>
      </w:r>
      <w:bookmarkStart w:id="36" w:name="dabmci_b417fb33d0a643c784cfb5d7817f785c"/>
      <w:r w:rsidRPr="00D548B2">
        <w:rPr>
          <w:i/>
          <w:iCs/>
        </w:rPr>
        <w:t>In</w:t>
      </w:r>
      <w:r w:rsidRPr="00D548B2">
        <w:rPr>
          <w:i/>
          <w:iCs/>
        </w:rPr>
        <w:t> </w:t>
      </w:r>
      <w:r w:rsidRPr="00D548B2">
        <w:rPr>
          <w:i/>
          <w:iCs/>
        </w:rPr>
        <w:t>re Jennifer A.</w:t>
      </w:r>
      <w:r w:rsidRPr="00D548B2">
        <w:t xml:space="preserve"> (2002) 103 Cal.App.4th 692</w:t>
      </w:r>
      <w:r w:rsidRPr="0055097E">
        <w:t>, 704-705, 709</w:t>
      </w:r>
      <w:bookmarkEnd w:id="36"/>
      <w:r w:rsidRPr="0055097E">
        <w:t>.)</w:t>
      </w:r>
      <w:r w:rsidRPr="0055097E">
        <w:t xml:space="preserve">  </w:t>
      </w:r>
      <w:r w:rsidRPr="0055097E">
        <w:t>It</w:t>
      </w:r>
      <w:r w:rsidRPr="00A870DA">
        <w:t xml:space="preserve"> should </w:t>
      </w:r>
      <w:r w:rsidRPr="00A870DA">
        <w:t xml:space="preserve">undertake </w:t>
      </w:r>
      <w:r w:rsidRPr="00A870DA">
        <w:t>a meaningful ICWA analysis</w:t>
      </w:r>
      <w:r w:rsidRPr="00A870DA">
        <w:t xml:space="preserve"> on the record, not simply adopt</w:t>
      </w:r>
      <w:r w:rsidRPr="00A870DA">
        <w:t xml:space="preserve"> </w:t>
      </w:r>
      <w:r w:rsidRPr="00A870DA">
        <w:t>proposed findings</w:t>
      </w:r>
      <w:r w:rsidRPr="00A870DA">
        <w:t xml:space="preserve"> without further comment</w:t>
      </w:r>
      <w:r w:rsidRPr="00A870DA">
        <w:t>—</w:t>
      </w:r>
      <w:r w:rsidRPr="00A870DA">
        <w:t xml:space="preserve">particularly when </w:t>
      </w:r>
      <w:r w:rsidRPr="00A870DA">
        <w:t>there ha</w:t>
      </w:r>
      <w:r w:rsidRPr="00A870DA">
        <w:t>s</w:t>
      </w:r>
      <w:r w:rsidRPr="00A870DA">
        <w:t xml:space="preserve"> been </w:t>
      </w:r>
      <w:r w:rsidRPr="00A870DA">
        <w:t xml:space="preserve">no </w:t>
      </w:r>
      <w:r w:rsidRPr="00A870DA">
        <w:t xml:space="preserve">previous </w:t>
      </w:r>
      <w:r w:rsidRPr="00A870DA">
        <w:t>ICWA discussion</w:t>
      </w:r>
      <w:r w:rsidRPr="00A870DA">
        <w:t xml:space="preserve"> on the </w:t>
      </w:r>
      <w:r w:rsidRPr="00A870DA">
        <w:t>record</w:t>
      </w:r>
      <w:r w:rsidRPr="00A870DA">
        <w:t xml:space="preserve">.  </w:t>
      </w:r>
      <w:r w:rsidRPr="00A870DA">
        <w:t>In other words, t</w:t>
      </w:r>
      <w:r w:rsidRPr="00A870DA">
        <w:t xml:space="preserve">here </w:t>
      </w:r>
      <w:r w:rsidRPr="00A870DA">
        <w:t xml:space="preserve">should be some </w:t>
      </w:r>
      <w:r w:rsidRPr="00A870DA">
        <w:t>evidence in the record</w:t>
      </w:r>
      <w:r w:rsidRPr="00A870DA">
        <w:t xml:space="preserve"> that the </w:t>
      </w:r>
      <w:r w:rsidRPr="00A870DA">
        <w:t>juvenile</w:t>
      </w:r>
      <w:r w:rsidRPr="00A870DA">
        <w:t xml:space="preserve"> court </w:t>
      </w:r>
      <w:proofErr w:type="gramStart"/>
      <w:r w:rsidRPr="00A870DA">
        <w:t>actually considered</w:t>
      </w:r>
      <w:proofErr w:type="gramEnd"/>
      <w:r w:rsidRPr="00A870DA">
        <w:t xml:space="preserve"> ICWA compliance</w:t>
      </w:r>
      <w:r w:rsidRPr="00A870DA">
        <w:t xml:space="preserve"> and application</w:t>
      </w:r>
      <w:r w:rsidRPr="00B5524F">
        <w:t>.</w:t>
      </w:r>
      <w:r w:rsidRPr="00B5524F">
        <w:t xml:space="preserve"> </w:t>
      </w:r>
      <w:r w:rsidRPr="00B5524F">
        <w:t xml:space="preserve"> </w:t>
      </w:r>
      <w:r w:rsidRPr="00B5524F">
        <w:t>So,</w:t>
      </w:r>
      <w:r w:rsidRPr="00B5524F">
        <w:t xml:space="preserve"> while we </w:t>
      </w:r>
      <w:r w:rsidRPr="00B5524F">
        <w:t xml:space="preserve">accept the </w:t>
      </w:r>
      <w:r w:rsidRPr="00B5524F">
        <w:t>juvenile</w:t>
      </w:r>
      <w:r w:rsidRPr="00B5524F">
        <w:t xml:space="preserve"> court’s </w:t>
      </w:r>
      <w:r w:rsidRPr="00B5524F">
        <w:t>adoption</w:t>
      </w:r>
      <w:r w:rsidRPr="00B5524F">
        <w:t xml:space="preserve"> of the proposed findings </w:t>
      </w:r>
      <w:r w:rsidRPr="00B5524F">
        <w:t xml:space="preserve">as an ICWA finding, rather than an implied </w:t>
      </w:r>
      <w:r w:rsidRPr="00B5524F">
        <w:t>finding, as suggested by petitioner</w:t>
      </w:r>
      <w:r w:rsidRPr="00B5524F">
        <w:t xml:space="preserve">, </w:t>
      </w:r>
      <w:r w:rsidRPr="00B5524F">
        <w:t xml:space="preserve">the </w:t>
      </w:r>
      <w:r w:rsidRPr="00B5524F">
        <w:t>record should,</w:t>
      </w:r>
      <w:r w:rsidRPr="00B5524F">
        <w:t xml:space="preserve"> </w:t>
      </w:r>
      <w:r w:rsidRPr="00B5524F">
        <w:t>going forward</w:t>
      </w:r>
      <w:r w:rsidRPr="00B5524F">
        <w:t xml:space="preserve">, </w:t>
      </w:r>
      <w:r w:rsidRPr="00B5524F">
        <w:t xml:space="preserve">reflect </w:t>
      </w:r>
      <w:r w:rsidRPr="00B5524F">
        <w:t xml:space="preserve">the </w:t>
      </w:r>
      <w:r w:rsidRPr="00B5524F">
        <w:t xml:space="preserve">juvenile </w:t>
      </w:r>
      <w:r w:rsidRPr="00B5524F">
        <w:t>court’s meaningful consideration of ICWA compliance and application.</w:t>
      </w:r>
    </w:p>
    <w:p w14:paraId="7D68FDA5" w14:textId="77777777" w:rsidR="00DA2BB5" w:rsidRPr="00A40C85" w:rsidRDefault="00DA2BB5" w:rsidP="00B86137">
      <w:pPr>
        <w:pStyle w:val="ListParagraph"/>
        <w:keepNext/>
        <w:ind w:left="0"/>
        <w:jc w:val="center"/>
      </w:pPr>
      <w:r w:rsidRPr="00A40C85">
        <w:lastRenderedPageBreak/>
        <w:t>C</w:t>
      </w:r>
    </w:p>
    <w:p w14:paraId="3FD79163" w14:textId="77777777" w:rsidR="00DA2BB5" w:rsidRPr="00B86137" w:rsidRDefault="00DA2BB5" w:rsidP="00B86137">
      <w:pPr>
        <w:pStyle w:val="ListParagraph"/>
        <w:keepNext/>
        <w:ind w:left="0"/>
        <w:jc w:val="center"/>
        <w:rPr>
          <w:i/>
          <w:iCs/>
        </w:rPr>
      </w:pPr>
      <w:r w:rsidRPr="00B86137">
        <w:rPr>
          <w:i/>
          <w:iCs/>
        </w:rPr>
        <w:t>The Agency</w:t>
      </w:r>
    </w:p>
    <w:p w14:paraId="4BF152EA" w14:textId="77777777" w:rsidR="00DA2BB5" w:rsidRPr="00A870DA" w:rsidRDefault="00DA2BB5" w:rsidP="003F1DDC">
      <w:pPr>
        <w:ind w:firstLine="720"/>
      </w:pPr>
      <w:r w:rsidRPr="00FF1F82">
        <w:t xml:space="preserve">Lastly, </w:t>
      </w:r>
      <w:r w:rsidRPr="00FF1F82">
        <w:t>while the Agency “is not required to ‘cast about’ for information or pursue unproductive investigative leads”</w:t>
      </w:r>
      <w:r w:rsidRPr="00FF1F82">
        <w:rPr>
          <w:i/>
          <w:iCs/>
        </w:rPr>
        <w:t xml:space="preserve"> </w:t>
      </w:r>
      <w:r w:rsidRPr="00FF1F82">
        <w:t>(</w:t>
      </w:r>
      <w:bookmarkStart w:id="37" w:name="dabmci_abc68c82baf645c1879b60fb1c577ad1"/>
      <w:r w:rsidRPr="00FF1F82">
        <w:rPr>
          <w:i/>
          <w:iCs/>
        </w:rPr>
        <w:t>In re D.S.</w:t>
      </w:r>
      <w:r w:rsidRPr="00FF1F82">
        <w:t>,</w:t>
      </w:r>
      <w:r w:rsidRPr="00FF1F82">
        <w:rPr>
          <w:i/>
          <w:iCs/>
        </w:rPr>
        <w:t xml:space="preserve"> supra</w:t>
      </w:r>
      <w:r w:rsidRPr="00FF1F82">
        <w:t>,</w:t>
      </w:r>
      <w:r w:rsidRPr="00FF1F82">
        <w:t xml:space="preserve"> 46 Cal.App.5th at p. 1053</w:t>
      </w:r>
      <w:bookmarkEnd w:id="37"/>
      <w:r w:rsidRPr="00FF1F82">
        <w:t xml:space="preserve">), </w:t>
      </w:r>
      <w:r w:rsidRPr="00FF1F82">
        <w:t xml:space="preserve">it has </w:t>
      </w:r>
      <w:r w:rsidRPr="00FF1F82">
        <w:t>“</w:t>
      </w:r>
      <w:r w:rsidRPr="00FF1F82">
        <w:t>an affirmative and continuing duty, beginning at initial contact</w:t>
      </w:r>
      <w:r w:rsidRPr="00FF1F82">
        <w:t xml:space="preserve"> </w:t>
      </w:r>
      <w:r w:rsidRPr="00FF1F82">
        <w:t>[</w:t>
      </w:r>
      <w:r w:rsidRPr="00FF1F82">
        <w:t>and continuing thereafter</w:t>
      </w:r>
      <w:r w:rsidRPr="00FF1F82">
        <w:t>]</w:t>
      </w:r>
      <w:r w:rsidRPr="00FF1F82">
        <w:t xml:space="preserve">, to inquire whether a child who is subject to the </w:t>
      </w:r>
      <w:r w:rsidRPr="00FF1F82">
        <w:t>proceedings is, or may be, an Indian child</w:t>
      </w:r>
      <w:r w:rsidRPr="00FF1F82">
        <w:t>”</w:t>
      </w:r>
      <w:r w:rsidRPr="00FF1F82">
        <w:t xml:space="preserve"> </w:t>
      </w:r>
      <w:r w:rsidRPr="00FF1F82">
        <w:t>(</w:t>
      </w:r>
      <w:bookmarkStart w:id="38" w:name="dabmci_f08744c13f0049608006b33126317c8e"/>
      <w:r w:rsidRPr="00FF1F82">
        <w:rPr>
          <w:i/>
          <w:iCs/>
        </w:rPr>
        <w:t>In re G.A.</w:t>
      </w:r>
      <w:r w:rsidRPr="00FF1F82">
        <w:t>,</w:t>
      </w:r>
      <w:r w:rsidRPr="00FF1F82">
        <w:rPr>
          <w:i/>
          <w:iCs/>
        </w:rPr>
        <w:t xml:space="preserve"> supra</w:t>
      </w:r>
      <w:r w:rsidRPr="00FF1F82">
        <w:t>, 81 Cal.App.5th at p. 360, rev</w:t>
      </w:r>
      <w:r>
        <w:t>.</w:t>
      </w:r>
      <w:r w:rsidRPr="00FF1F82">
        <w:t xml:space="preserve"> granted</w:t>
      </w:r>
      <w:bookmarkEnd w:id="38"/>
      <w:r w:rsidRPr="00FF1F82">
        <w:t xml:space="preserve">) </w:t>
      </w:r>
      <w:r w:rsidRPr="00FF1F82">
        <w:t>and to include in its reports a discussion of what efforts it undertook to locate and interview family members who might have pertinent information</w:t>
      </w:r>
      <w:r w:rsidRPr="00FF1F82">
        <w:t xml:space="preserve"> (</w:t>
      </w:r>
      <w:r w:rsidRPr="00FF1F82">
        <w:t>r</w:t>
      </w:r>
      <w:r w:rsidRPr="00FF1F82">
        <w:t>ule 5.481(a); § 224.2, subd. (</w:t>
      </w:r>
      <w:proofErr w:type="gramStart"/>
      <w:r w:rsidRPr="00FF1F82">
        <w:t>a))</w:t>
      </w:r>
      <w:proofErr w:type="gramEnd"/>
      <w:r w:rsidRPr="00FF1F82">
        <w:t>.</w:t>
      </w:r>
      <w:r w:rsidRPr="00FF1F82">
        <w:t xml:space="preserve">  </w:t>
      </w:r>
      <w:r w:rsidRPr="00A870DA">
        <w:t xml:space="preserve">We expect the Agency to diligently discharge this duty, rather than rely on its </w:t>
      </w:r>
      <w:r w:rsidRPr="00A870DA">
        <w:t xml:space="preserve">unsupported </w:t>
      </w:r>
      <w:r w:rsidRPr="00A870DA">
        <w:t>opinion</w:t>
      </w:r>
      <w:r w:rsidRPr="00A870DA">
        <w:t xml:space="preserve"> that its failure to inquire</w:t>
      </w:r>
      <w:r w:rsidRPr="00A870DA">
        <w:t xml:space="preserve"> of relatives </w:t>
      </w:r>
      <w:r w:rsidRPr="00A870DA">
        <w:t xml:space="preserve">is not </w:t>
      </w:r>
      <w:r w:rsidRPr="00A870DA">
        <w:t>prejudicial.</w:t>
      </w:r>
    </w:p>
    <w:p w14:paraId="0406AD95" w14:textId="77777777" w:rsidR="00DA2BB5" w:rsidRPr="00A40C85" w:rsidRDefault="00DA2BB5" w:rsidP="00A019EF">
      <w:pPr>
        <w:keepNext/>
        <w:keepLines/>
        <w:jc w:val="center"/>
      </w:pPr>
      <w:r w:rsidRPr="00A40C85">
        <w:lastRenderedPageBreak/>
        <w:t>DISPOSITION</w:t>
      </w:r>
    </w:p>
    <w:p w14:paraId="0F3DE70D" w14:textId="77777777" w:rsidR="00DA2BB5" w:rsidRDefault="00DA2BB5" w:rsidP="00A019EF">
      <w:pPr>
        <w:keepNext/>
        <w:keepLines/>
        <w:ind w:firstLine="720"/>
      </w:pPr>
      <w:r w:rsidRPr="00F9079A">
        <w:t>Let a peremptory writ of mandate issue directing respondent court to (1) vacate the finding that the ICWA inquiry and notice provisions were satisfied and that the ICWA does not apply, and (2) order the Agency to conduct further inquiry regarding petitioner’s and mother’s ancestry including reasonable efforts to inquire of parents’ relatives.  The respondent court is then</w:t>
      </w:r>
      <w:r w:rsidRPr="00F9079A">
        <w:t xml:space="preserve"> </w:t>
      </w:r>
      <w:r w:rsidRPr="00F9079A">
        <w:t>directed to</w:t>
      </w:r>
      <w:r w:rsidRPr="00F9079A">
        <w:t xml:space="preserve"> </w:t>
      </w:r>
      <w:r w:rsidRPr="00F9079A">
        <w:t>enter</w:t>
      </w:r>
      <w:r w:rsidRPr="00F9079A">
        <w:t xml:space="preserve"> </w:t>
      </w:r>
      <w:r w:rsidRPr="00F9079A">
        <w:t>updated ICWA findings</w:t>
      </w:r>
      <w:r w:rsidRPr="00F9079A">
        <w:t xml:space="preserve"> </w:t>
      </w:r>
      <w:r w:rsidRPr="00F9079A">
        <w:t xml:space="preserve">prior to proceeding with a section 366.26 hearing. </w:t>
      </w:r>
      <w:r w:rsidRPr="00F9079A">
        <w:t xml:space="preserve"> </w:t>
      </w:r>
      <w:r w:rsidRPr="00F9079A">
        <w:t xml:space="preserve">Having served its purpose, the stay previously issued by this court </w:t>
      </w:r>
      <w:r w:rsidRPr="00F9079A">
        <w:t xml:space="preserve">on January 26, 2024, </w:t>
      </w:r>
      <w:r w:rsidRPr="00F9079A">
        <w:t>is vacated</w:t>
      </w:r>
      <w:r w:rsidRPr="00F9079A">
        <w:t xml:space="preserve"> upon finality of this opinion</w:t>
      </w:r>
      <w:r w:rsidRPr="00F9079A">
        <w:t xml:space="preserve">.  This decision is final forthwith as to this court. </w:t>
      </w:r>
      <w:r w:rsidRPr="00F9079A">
        <w:t xml:space="preserve"> </w:t>
      </w:r>
      <w:r w:rsidRPr="00F9079A">
        <w:t>(Rule 8.490(b)(</w:t>
      </w:r>
      <w:r w:rsidRPr="00F9079A">
        <w:t>2</w:t>
      </w:r>
      <w:r w:rsidRPr="00F9079A">
        <w:t>)</w:t>
      </w:r>
      <w:r w:rsidRPr="00F9079A">
        <w:t>(A)</w:t>
      </w:r>
      <w:r w:rsidRPr="00F9079A">
        <w:t>.)</w:t>
      </w:r>
    </w:p>
    <w:p w14:paraId="54D5A0DC" w14:textId="77777777" w:rsidR="00DA2BB5" w:rsidRDefault="00DA2BB5" w:rsidP="00A019EF">
      <w:pPr>
        <w:keepNext/>
        <w:keepLines/>
      </w:pPr>
    </w:p>
    <w:p w14:paraId="2288E82C" w14:textId="77777777" w:rsidR="00DA2BB5" w:rsidRDefault="00DA2BB5" w:rsidP="00A019EF">
      <w:pPr>
        <w:keepNext/>
        <w:keepLines/>
        <w:spacing w:line="240" w:lineRule="auto"/>
      </w:pPr>
    </w:p>
    <w:p w14:paraId="793FA810" w14:textId="77777777" w:rsidR="00DA2BB5" w:rsidRDefault="00DA2BB5" w:rsidP="00A019EF">
      <w:pPr>
        <w:keepNext/>
        <w:keepLines/>
        <w:spacing w:line="240" w:lineRule="auto"/>
      </w:pPr>
    </w:p>
    <w:p w14:paraId="1A1F63FA" w14:textId="77777777" w:rsidR="00DA2BB5" w:rsidRDefault="00DA2BB5" w:rsidP="00A019EF">
      <w:pPr>
        <w:keepNext/>
        <w:keepLines/>
        <w:spacing w:line="240" w:lineRule="auto"/>
      </w:pPr>
    </w:p>
    <w:p w14:paraId="414B3288" w14:textId="77777777" w:rsidR="00DA2BB5" w:rsidRDefault="00DA2BB5" w:rsidP="00A019EF">
      <w:pPr>
        <w:keepNext/>
        <w:keepLines/>
        <w:tabs>
          <w:tab w:val="left" w:pos="5040"/>
          <w:tab w:val="left" w:pos="7920"/>
        </w:tabs>
        <w:spacing w:line="240" w:lineRule="auto"/>
      </w:pPr>
      <w:r>
        <w:tab/>
      </w:r>
      <w:r w:rsidRPr="00B86137">
        <w:rPr>
          <w:u w:val="single"/>
        </w:rPr>
        <w:t xml:space="preserve"> </w:t>
      </w:r>
      <w:r>
        <w:rPr>
          <w:u w:val="single"/>
        </w:rPr>
        <w:t>/s/</w:t>
      </w:r>
      <w:r w:rsidRPr="00B86137">
        <w:rPr>
          <w:u w:val="single"/>
        </w:rPr>
        <w:t xml:space="preserve">         </w:t>
      </w:r>
      <w:r w:rsidRPr="00B86137">
        <w:rPr>
          <w:u w:val="single"/>
        </w:rPr>
        <w:tab/>
      </w:r>
      <w:r>
        <w:t>,</w:t>
      </w:r>
    </w:p>
    <w:p w14:paraId="7CDE5488" w14:textId="77777777" w:rsidR="00DA2BB5" w:rsidRDefault="00DA2BB5" w:rsidP="00A019EF">
      <w:pPr>
        <w:keepNext/>
        <w:keepLines/>
        <w:tabs>
          <w:tab w:val="left" w:pos="5040"/>
          <w:tab w:val="left" w:pos="7920"/>
        </w:tabs>
        <w:spacing w:line="240" w:lineRule="auto"/>
      </w:pPr>
      <w:r>
        <w:tab/>
        <w:t>ROBIE, Acting P. J.</w:t>
      </w:r>
    </w:p>
    <w:p w14:paraId="785DF065" w14:textId="77777777" w:rsidR="00DA2BB5" w:rsidRDefault="00DA2BB5" w:rsidP="00A019EF">
      <w:pPr>
        <w:keepNext/>
        <w:keepLines/>
        <w:tabs>
          <w:tab w:val="left" w:pos="5040"/>
          <w:tab w:val="left" w:pos="7920"/>
        </w:tabs>
        <w:spacing w:line="240" w:lineRule="auto"/>
      </w:pPr>
    </w:p>
    <w:p w14:paraId="46DC50CC" w14:textId="77777777" w:rsidR="00DA2BB5" w:rsidRDefault="00DA2BB5" w:rsidP="00A019EF">
      <w:pPr>
        <w:keepNext/>
        <w:keepLines/>
        <w:tabs>
          <w:tab w:val="left" w:pos="5040"/>
          <w:tab w:val="left" w:pos="7920"/>
        </w:tabs>
        <w:spacing w:line="240" w:lineRule="auto"/>
      </w:pPr>
    </w:p>
    <w:p w14:paraId="0D147090" w14:textId="77777777" w:rsidR="00DA2BB5" w:rsidRDefault="00DA2BB5" w:rsidP="00A019EF">
      <w:pPr>
        <w:keepNext/>
        <w:keepLines/>
        <w:tabs>
          <w:tab w:val="left" w:pos="5040"/>
          <w:tab w:val="left" w:pos="7920"/>
        </w:tabs>
        <w:spacing w:line="240" w:lineRule="auto"/>
      </w:pPr>
    </w:p>
    <w:p w14:paraId="642EFE9B" w14:textId="77777777" w:rsidR="00DA2BB5" w:rsidRDefault="00DA2BB5" w:rsidP="00A019EF">
      <w:pPr>
        <w:keepNext/>
        <w:keepLines/>
        <w:spacing w:line="240" w:lineRule="auto"/>
      </w:pPr>
      <w:r>
        <w:t>We concur:</w:t>
      </w:r>
    </w:p>
    <w:p w14:paraId="79EA6648" w14:textId="77777777" w:rsidR="00DA2BB5" w:rsidRDefault="00DA2BB5" w:rsidP="00A019EF">
      <w:pPr>
        <w:keepNext/>
        <w:keepLines/>
        <w:spacing w:line="240" w:lineRule="auto"/>
      </w:pPr>
    </w:p>
    <w:p w14:paraId="3062E087" w14:textId="77777777" w:rsidR="00DA2BB5" w:rsidRDefault="00DA2BB5" w:rsidP="00A019EF">
      <w:pPr>
        <w:keepNext/>
        <w:keepLines/>
        <w:spacing w:line="240" w:lineRule="auto"/>
      </w:pPr>
    </w:p>
    <w:p w14:paraId="5C4C64FF" w14:textId="77777777" w:rsidR="00DA2BB5" w:rsidRDefault="00DA2BB5" w:rsidP="00A019EF">
      <w:pPr>
        <w:keepNext/>
        <w:keepLines/>
        <w:spacing w:line="240" w:lineRule="auto"/>
      </w:pPr>
    </w:p>
    <w:p w14:paraId="79CB6F30" w14:textId="77777777" w:rsidR="00DA2BB5" w:rsidRDefault="00DA2BB5" w:rsidP="00A019EF">
      <w:pPr>
        <w:keepNext/>
        <w:keepLines/>
        <w:spacing w:line="240" w:lineRule="auto"/>
      </w:pPr>
    </w:p>
    <w:p w14:paraId="0C757B81" w14:textId="77777777" w:rsidR="00DA2BB5" w:rsidRDefault="00DA2BB5" w:rsidP="00A019EF">
      <w:pPr>
        <w:keepNext/>
        <w:keepLines/>
        <w:tabs>
          <w:tab w:val="left" w:pos="2880"/>
        </w:tabs>
        <w:spacing w:line="240" w:lineRule="auto"/>
        <w:rPr>
          <w:u w:val="single"/>
        </w:rPr>
      </w:pPr>
      <w:r w:rsidRPr="00B86137">
        <w:rPr>
          <w:u w:val="single"/>
        </w:rPr>
        <w:t xml:space="preserve"> </w:t>
      </w:r>
      <w:r>
        <w:rPr>
          <w:u w:val="single"/>
        </w:rPr>
        <w:t>/s/</w:t>
      </w:r>
      <w:r w:rsidRPr="00B86137">
        <w:rPr>
          <w:u w:val="single"/>
        </w:rPr>
        <w:t xml:space="preserve">         </w:t>
      </w:r>
      <w:r w:rsidRPr="00B86137">
        <w:rPr>
          <w:u w:val="single"/>
        </w:rPr>
        <w:tab/>
      </w:r>
    </w:p>
    <w:p w14:paraId="120FA91B" w14:textId="77777777" w:rsidR="00DA2BB5" w:rsidRDefault="00DA2BB5" w:rsidP="00A019EF">
      <w:pPr>
        <w:keepNext/>
        <w:keepLines/>
        <w:tabs>
          <w:tab w:val="left" w:pos="2880"/>
        </w:tabs>
        <w:spacing w:line="240" w:lineRule="auto"/>
      </w:pPr>
      <w:r>
        <w:t>DUARTE, J.</w:t>
      </w:r>
    </w:p>
    <w:p w14:paraId="7DD72ED9" w14:textId="77777777" w:rsidR="00DA2BB5" w:rsidRDefault="00DA2BB5" w:rsidP="00A019EF">
      <w:pPr>
        <w:keepNext/>
        <w:keepLines/>
        <w:tabs>
          <w:tab w:val="left" w:pos="2880"/>
        </w:tabs>
        <w:spacing w:line="240" w:lineRule="auto"/>
      </w:pPr>
    </w:p>
    <w:p w14:paraId="432D23F5" w14:textId="77777777" w:rsidR="00DA2BB5" w:rsidRDefault="00DA2BB5" w:rsidP="00A019EF">
      <w:pPr>
        <w:keepNext/>
        <w:keepLines/>
        <w:tabs>
          <w:tab w:val="left" w:pos="2880"/>
        </w:tabs>
        <w:spacing w:line="240" w:lineRule="auto"/>
      </w:pPr>
    </w:p>
    <w:p w14:paraId="35C941DA" w14:textId="77777777" w:rsidR="00DA2BB5" w:rsidRDefault="00DA2BB5" w:rsidP="00A019EF">
      <w:pPr>
        <w:keepNext/>
        <w:keepLines/>
        <w:tabs>
          <w:tab w:val="left" w:pos="2880"/>
        </w:tabs>
        <w:spacing w:line="240" w:lineRule="auto"/>
      </w:pPr>
    </w:p>
    <w:p w14:paraId="04F0057E" w14:textId="77777777" w:rsidR="00DA2BB5" w:rsidRDefault="00DA2BB5" w:rsidP="00A019EF">
      <w:pPr>
        <w:keepNext/>
        <w:keepLines/>
        <w:tabs>
          <w:tab w:val="left" w:pos="2880"/>
        </w:tabs>
        <w:spacing w:line="240" w:lineRule="auto"/>
      </w:pPr>
    </w:p>
    <w:p w14:paraId="070F5638" w14:textId="77777777" w:rsidR="00DA2BB5" w:rsidRDefault="00DA2BB5" w:rsidP="00A019EF">
      <w:pPr>
        <w:keepNext/>
        <w:keepLines/>
        <w:tabs>
          <w:tab w:val="left" w:pos="2880"/>
        </w:tabs>
        <w:spacing w:line="240" w:lineRule="auto"/>
        <w:rPr>
          <w:u w:val="single"/>
        </w:rPr>
      </w:pPr>
      <w:r w:rsidRPr="00B86137">
        <w:rPr>
          <w:u w:val="single"/>
        </w:rPr>
        <w:t xml:space="preserve"> </w:t>
      </w:r>
      <w:r>
        <w:rPr>
          <w:u w:val="single"/>
        </w:rPr>
        <w:t>/s/</w:t>
      </w:r>
      <w:r w:rsidRPr="00B86137">
        <w:rPr>
          <w:u w:val="single"/>
        </w:rPr>
        <w:t xml:space="preserve">         </w:t>
      </w:r>
      <w:r w:rsidRPr="00B86137">
        <w:rPr>
          <w:u w:val="single"/>
        </w:rPr>
        <w:tab/>
      </w:r>
    </w:p>
    <w:p w14:paraId="726B5298" w14:textId="77777777" w:rsidR="00DA2BB5" w:rsidRPr="00B86137" w:rsidRDefault="00DA2BB5" w:rsidP="00A019EF">
      <w:pPr>
        <w:keepNext/>
        <w:keepLines/>
        <w:tabs>
          <w:tab w:val="left" w:pos="2880"/>
        </w:tabs>
        <w:spacing w:line="240" w:lineRule="auto"/>
      </w:pPr>
      <w:r>
        <w:t>KRAUSE, J.</w:t>
      </w:r>
    </w:p>
    <w:sectPr w:rsidR="00B86137" w:rsidRPr="00B86137" w:rsidSect="00B86137">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D648C" w14:textId="77777777" w:rsidR="00DA2BB5" w:rsidRDefault="00DA2BB5">
      <w:pPr>
        <w:spacing w:line="240" w:lineRule="auto"/>
      </w:pPr>
      <w:r>
        <w:separator/>
      </w:r>
    </w:p>
  </w:endnote>
  <w:endnote w:type="continuationSeparator" w:id="0">
    <w:p w14:paraId="0AF3206B" w14:textId="77777777" w:rsidR="00DA2BB5" w:rsidRDefault="00DA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94E84" w14:textId="77777777" w:rsidR="00DA2BB5" w:rsidRPr="00B86137" w:rsidRDefault="00DA2BB5" w:rsidP="00B8613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F1A2A" w14:textId="77777777" w:rsidR="00DA2BB5" w:rsidRDefault="00DA2BB5">
      <w:r>
        <w:separator/>
      </w:r>
    </w:p>
  </w:footnote>
  <w:footnote w:type="continuationSeparator" w:id="0">
    <w:p w14:paraId="564A7A5A" w14:textId="77777777" w:rsidR="00DA2BB5" w:rsidRDefault="00DA2BB5">
      <w:r>
        <w:continuationSeparator/>
      </w:r>
    </w:p>
  </w:footnote>
  <w:footnote w:id="1">
    <w:p w14:paraId="01FA0BB8" w14:textId="77777777" w:rsidR="00DA2BB5" w:rsidRDefault="00DA2BB5" w:rsidP="00E76614">
      <w:pPr>
        <w:pStyle w:val="FootnoteText"/>
      </w:pPr>
      <w:r>
        <w:rPr>
          <w:rStyle w:val="FootnoteReference"/>
        </w:rPr>
        <w:footnoteRef/>
      </w:r>
      <w:r>
        <w:tab/>
        <w:t>Undesignated statutory code references are to the Welfare and Institutions Code.</w:t>
      </w:r>
    </w:p>
  </w:footnote>
  <w:footnote w:id="2">
    <w:p w14:paraId="70A03B94" w14:textId="77777777" w:rsidR="00DA2BB5" w:rsidRDefault="00DA2BB5" w:rsidP="00E76614">
      <w:pPr>
        <w:pStyle w:val="FootnoteText"/>
      </w:pPr>
      <w:r>
        <w:rPr>
          <w:rStyle w:val="FootnoteReference"/>
        </w:rPr>
        <w:footnoteRef/>
      </w:r>
      <w:r>
        <w:tab/>
      </w:r>
      <w:r w:rsidRPr="002A18FE">
        <w:t>Further undesignated rule references are to the California Rules of Court.</w:t>
      </w:r>
    </w:p>
  </w:footnote>
  <w:footnote w:id="3">
    <w:p w14:paraId="4E1A7D46" w14:textId="77777777" w:rsidR="00DA2BB5" w:rsidRPr="00A870DA" w:rsidRDefault="00DA2BB5">
      <w:pPr>
        <w:pStyle w:val="FootnoteText"/>
      </w:pPr>
      <w:r>
        <w:rPr>
          <w:rStyle w:val="FootnoteReference"/>
        </w:rPr>
        <w:footnoteRef/>
      </w:r>
      <w:r>
        <w:tab/>
      </w:r>
      <w:r w:rsidRPr="00A870DA">
        <w:t>And if the alleged deficiency is resolved while the matter is pending on review</w:t>
      </w:r>
      <w:r w:rsidRPr="00A870DA">
        <w:t xml:space="preserve">, we expect </w:t>
      </w:r>
      <w:r w:rsidRPr="00A870DA">
        <w:t xml:space="preserve">counsel to </w:t>
      </w:r>
      <w:r w:rsidRPr="00A870DA">
        <w:rPr>
          <w:i/>
          <w:iCs/>
        </w:rPr>
        <w:t>promptly</w:t>
      </w:r>
      <w:r w:rsidRPr="00A870DA">
        <w:t xml:space="preserve"> inform this court.</w:t>
      </w:r>
    </w:p>
  </w:footnote>
  <w:footnote w:id="4">
    <w:p w14:paraId="6944D58C" w14:textId="77777777" w:rsidR="00DA2BB5" w:rsidRDefault="00DA2BB5" w:rsidP="00162C91">
      <w:pPr>
        <w:pStyle w:val="FootnoteText"/>
      </w:pPr>
      <w:r w:rsidRPr="00A870DA">
        <w:rPr>
          <w:rStyle w:val="FootnoteReference"/>
        </w:rPr>
        <w:footnoteRef/>
      </w:r>
      <w:r w:rsidRPr="00A870DA">
        <w:tab/>
      </w:r>
      <w:r w:rsidRPr="00A870DA">
        <w:t xml:space="preserve">We note that, despite our repeated orders finding writ petitions and appeals out of San Joaquin County premature because no ICWA findings and orders have </w:t>
      </w:r>
      <w:r w:rsidRPr="00A870DA">
        <w:t xml:space="preserve">yet </w:t>
      </w:r>
      <w:r w:rsidRPr="00A870DA">
        <w:t xml:space="preserve">been entered, we continue to receive an excessive number of these premature writ petitions and appeals because the juvenile court is not making the required ICWA findings.  </w:t>
      </w:r>
      <w:r w:rsidRPr="00A870DA">
        <w:t xml:space="preserve">We further note that, in these instances, </w:t>
      </w:r>
      <w:r w:rsidRPr="00A870DA">
        <w:t>counsel</w:t>
      </w:r>
      <w:r w:rsidRPr="00A870DA">
        <w:t xml:space="preserve"> </w:t>
      </w:r>
      <w:r w:rsidRPr="00A870DA">
        <w:t xml:space="preserve">is </w:t>
      </w:r>
      <w:r w:rsidRPr="00A870DA">
        <w:rPr>
          <w:i/>
          <w:iCs/>
        </w:rPr>
        <w:t xml:space="preserve">not </w:t>
      </w:r>
      <w:r w:rsidRPr="00A870DA">
        <w:rPr>
          <w:i/>
          <w:iCs/>
        </w:rPr>
        <w:t>requesting</w:t>
      </w:r>
      <w:r w:rsidRPr="00A870DA">
        <w:t xml:space="preserve"> the juvenile court make the required ICWA finding</w:t>
      </w:r>
      <w:r w:rsidRPr="00A870DA">
        <w:t>.</w:t>
      </w:r>
      <w:r w:rsidRPr="00A870DA">
        <w:t xml:space="preserve">  This is </w:t>
      </w:r>
      <w:r w:rsidRPr="00A870DA">
        <w:t xml:space="preserve">not </w:t>
      </w:r>
      <w:r w:rsidRPr="00A870DA">
        <w:t>acceptable</w:t>
      </w:r>
      <w:r w:rsidRPr="00A870DA">
        <w:t xml:space="preserve">.  We expect the </w:t>
      </w:r>
      <w:r w:rsidRPr="00A870DA">
        <w:t>requisite</w:t>
      </w:r>
      <w:r w:rsidRPr="00A870DA">
        <w:t xml:space="preserve"> finding to b</w:t>
      </w:r>
      <w:r w:rsidRPr="00A870DA">
        <w:t>e made</w:t>
      </w:r>
      <w:r w:rsidRPr="00A870DA">
        <w:t xml:space="preserve"> </w:t>
      </w:r>
      <w:r w:rsidRPr="00A870DA">
        <w:t xml:space="preserve">once the information has been provided to the juvenile court </w:t>
      </w:r>
      <w:r w:rsidRPr="00A870DA">
        <w:t>and if it has not been made, we expect counsel for the parents, the minors</w:t>
      </w:r>
      <w:r w:rsidRPr="00A870DA">
        <w:t>,</w:t>
      </w:r>
      <w:r w:rsidRPr="00A870DA">
        <w:t xml:space="preserve"> and the Agency</w:t>
      </w:r>
      <w:r w:rsidRPr="00A870DA">
        <w:t xml:space="preserve"> to </w:t>
      </w:r>
      <w:r w:rsidRPr="00A870DA">
        <w:t xml:space="preserve">ask </w:t>
      </w:r>
      <w:r w:rsidRPr="00A870DA">
        <w:t xml:space="preserve">the juvenile court </w:t>
      </w:r>
      <w:r w:rsidRPr="00A870DA">
        <w:t xml:space="preserve">to </w:t>
      </w:r>
      <w:r w:rsidRPr="00A870DA">
        <w:t xml:space="preserve">make </w:t>
      </w:r>
      <w:r w:rsidRPr="00A870DA">
        <w:t>the required</w:t>
      </w:r>
      <w:r w:rsidRPr="00A870DA">
        <w:t xml:space="preserve"> ICWA findings.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6A6F84"/>
    <w:multiLevelType w:val="hybridMultilevel"/>
    <w:tmpl w:val="D0ACE214"/>
    <w:lvl w:ilvl="0" w:tplc="5B646AF4">
      <w:start w:val="1"/>
      <w:numFmt w:val="upperLetter"/>
      <w:lvlText w:val="%1."/>
      <w:lvlJc w:val="left"/>
      <w:pPr>
        <w:ind w:left="1080" w:hanging="360"/>
      </w:pPr>
      <w:rPr>
        <w:rFonts w:hint="default"/>
      </w:rPr>
    </w:lvl>
    <w:lvl w:ilvl="1" w:tplc="962458FA" w:tentative="1">
      <w:start w:val="1"/>
      <w:numFmt w:val="lowerLetter"/>
      <w:lvlText w:val="%2."/>
      <w:lvlJc w:val="left"/>
      <w:pPr>
        <w:ind w:left="1800" w:hanging="360"/>
      </w:pPr>
    </w:lvl>
    <w:lvl w:ilvl="2" w:tplc="CAAA9148" w:tentative="1">
      <w:start w:val="1"/>
      <w:numFmt w:val="lowerRoman"/>
      <w:lvlText w:val="%3."/>
      <w:lvlJc w:val="right"/>
      <w:pPr>
        <w:ind w:left="2520" w:hanging="180"/>
      </w:pPr>
    </w:lvl>
    <w:lvl w:ilvl="3" w:tplc="F7225D40" w:tentative="1">
      <w:start w:val="1"/>
      <w:numFmt w:val="decimal"/>
      <w:lvlText w:val="%4."/>
      <w:lvlJc w:val="left"/>
      <w:pPr>
        <w:ind w:left="3240" w:hanging="360"/>
      </w:pPr>
    </w:lvl>
    <w:lvl w:ilvl="4" w:tplc="E07481F2" w:tentative="1">
      <w:start w:val="1"/>
      <w:numFmt w:val="lowerLetter"/>
      <w:lvlText w:val="%5."/>
      <w:lvlJc w:val="left"/>
      <w:pPr>
        <w:ind w:left="3960" w:hanging="360"/>
      </w:pPr>
    </w:lvl>
    <w:lvl w:ilvl="5" w:tplc="C636A2CA" w:tentative="1">
      <w:start w:val="1"/>
      <w:numFmt w:val="lowerRoman"/>
      <w:lvlText w:val="%6."/>
      <w:lvlJc w:val="right"/>
      <w:pPr>
        <w:ind w:left="4680" w:hanging="180"/>
      </w:pPr>
    </w:lvl>
    <w:lvl w:ilvl="6" w:tplc="8B666ED4" w:tentative="1">
      <w:start w:val="1"/>
      <w:numFmt w:val="decimal"/>
      <w:lvlText w:val="%7."/>
      <w:lvlJc w:val="left"/>
      <w:pPr>
        <w:ind w:left="5400" w:hanging="360"/>
      </w:pPr>
    </w:lvl>
    <w:lvl w:ilvl="7" w:tplc="4FD2B22A" w:tentative="1">
      <w:start w:val="1"/>
      <w:numFmt w:val="lowerLetter"/>
      <w:lvlText w:val="%8."/>
      <w:lvlJc w:val="left"/>
      <w:pPr>
        <w:ind w:left="6120" w:hanging="360"/>
      </w:pPr>
    </w:lvl>
    <w:lvl w:ilvl="8" w:tplc="8D988026" w:tentative="1">
      <w:start w:val="1"/>
      <w:numFmt w:val="lowerRoman"/>
      <w:lvlText w:val="%9."/>
      <w:lvlJc w:val="right"/>
      <w:pPr>
        <w:ind w:left="6840" w:hanging="180"/>
      </w:pPr>
    </w:lvl>
  </w:abstractNum>
  <w:num w:numId="1" w16cid:durableId="129632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86"/>
    <w:rsid w:val="00094832"/>
    <w:rsid w:val="00670BC2"/>
    <w:rsid w:val="009C6148"/>
    <w:rsid w:val="00DA2BB5"/>
    <w:rsid w:val="00E8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7E6AFF"/>
    <w:pPr>
      <w:ind w:left="720"/>
      <w:contextualSpacing/>
    </w:pPr>
  </w:style>
  <w:style w:type="paragraph" w:styleId="Revision">
    <w:name w:val="Revision"/>
    <w:hidden/>
    <w:uiPriority w:val="99"/>
    <w:semiHidden/>
    <w:rsid w:val="0003781B"/>
  </w:style>
  <w:style w:type="character" w:styleId="CommentReference">
    <w:name w:val="annotation reference"/>
    <w:basedOn w:val="DefaultParagraphFont"/>
    <w:semiHidden/>
    <w:unhideWhenUsed/>
    <w:rsid w:val="001C3161"/>
    <w:rPr>
      <w:sz w:val="16"/>
      <w:szCs w:val="16"/>
    </w:rPr>
  </w:style>
  <w:style w:type="paragraph" w:styleId="CommentText">
    <w:name w:val="annotation text"/>
    <w:basedOn w:val="Normal"/>
    <w:link w:val="CommentTextChar"/>
    <w:unhideWhenUsed/>
    <w:rsid w:val="001C3161"/>
    <w:pPr>
      <w:spacing w:line="240" w:lineRule="auto"/>
    </w:pPr>
    <w:rPr>
      <w:sz w:val="20"/>
      <w:szCs w:val="20"/>
    </w:rPr>
  </w:style>
  <w:style w:type="character" w:customStyle="1" w:styleId="CommentTextChar">
    <w:name w:val="Comment Text Char"/>
    <w:basedOn w:val="DefaultParagraphFont"/>
    <w:link w:val="CommentText"/>
    <w:rsid w:val="001C3161"/>
    <w:rPr>
      <w:sz w:val="20"/>
      <w:szCs w:val="20"/>
    </w:rPr>
  </w:style>
  <w:style w:type="paragraph" w:styleId="CommentSubject">
    <w:name w:val="annotation subject"/>
    <w:basedOn w:val="CommentText"/>
    <w:next w:val="CommentText"/>
    <w:link w:val="CommentSubjectChar"/>
    <w:semiHidden/>
    <w:unhideWhenUsed/>
    <w:rsid w:val="001C3161"/>
    <w:rPr>
      <w:b/>
      <w:bCs/>
    </w:rPr>
  </w:style>
  <w:style w:type="character" w:customStyle="1" w:styleId="CommentSubjectChar">
    <w:name w:val="Comment Subject Char"/>
    <w:basedOn w:val="CommentTextChar"/>
    <w:link w:val="CommentSubject"/>
    <w:semiHidden/>
    <w:rsid w:val="001C3161"/>
    <w:rPr>
      <w:b/>
      <w:bCs/>
      <w:sz w:val="20"/>
      <w:szCs w:val="20"/>
    </w:rPr>
  </w:style>
  <w:style w:type="character" w:styleId="PlaceholderText">
    <w:name w:val="Placeholder Text"/>
    <w:basedOn w:val="DefaultParagraphFont"/>
    <w:uiPriority w:val="99"/>
    <w:semiHidden/>
    <w:rsid w:val="00570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2999</Words>
  <Characters>15588</Characters>
  <Application>Microsoft Office Word</Application>
  <DocSecurity>0</DocSecurity>
  <Lines>302</Lines>
  <Paragraphs>63</Paragraphs>
  <ScaleCrop>false</ScaleCrop>
  <Manager/>
  <Company/>
  <LinksUpToDate>false</LinksUpToDate>
  <CharactersWithSpaces>18660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2024-05-03T18:17:00Z</dcterms:created>
  <dcterms:modified xsi:type="dcterms:W3CDTF">2024-05-03T18:17:00Z</dcterms:modified>
  <cp:category/>
</cp:coreProperties>
</file>