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544D36" w:rsidRPr="005250CC" w:rsidP="005250CC" w14:paraId="2D01F0E2" w14:textId="45C3C9E6">
      <w:pPr>
        <w:spacing w:line="240" w:lineRule="atLeast"/>
        <w:rPr>
          <w:sz w:val="20"/>
          <w:szCs w:val="20"/>
        </w:rPr>
      </w:pPr>
      <w:r w:rsidRPr="005250CC">
        <w:rPr>
          <w:sz w:val="20"/>
          <w:szCs w:val="20"/>
        </w:rPr>
        <w:t>Filed 6/10/24</w:t>
      </w:r>
    </w:p>
    <w:p w:rsidR="003E180C" w:rsidP="003E180C" w14:paraId="303F1BE6" w14:textId="001E1802">
      <w:pPr>
        <w:spacing w:line="240" w:lineRule="atLeast"/>
        <w:jc w:val="center"/>
        <w:rPr>
          <w:u w:val="words"/>
        </w:rPr>
      </w:pPr>
      <w:r w:rsidRPr="003E180C">
        <w:rPr>
          <w:u w:val="words"/>
        </w:rPr>
        <w:t>CERTIFIED FOR PUBLICATION</w:t>
      </w:r>
    </w:p>
    <w:p w:rsidR="003E180C" w:rsidP="003E180C" w14:paraId="10F3396D" w14:textId="77777777">
      <w:pPr>
        <w:spacing w:line="240" w:lineRule="atLeast"/>
        <w:jc w:val="center"/>
        <w:rPr>
          <w:u w:val="words"/>
        </w:rPr>
      </w:pPr>
    </w:p>
    <w:p w:rsidR="003E180C" w:rsidP="003E180C" w14:paraId="2ADF1200" w14:textId="77777777">
      <w:pPr>
        <w:spacing w:line="240" w:lineRule="atLeast"/>
        <w:jc w:val="center"/>
        <w:rPr>
          <w:u w:val="words"/>
        </w:rPr>
      </w:pPr>
    </w:p>
    <w:p w:rsidR="003E180C" w:rsidP="003E180C" w14:paraId="19B757BE" w14:textId="77777777">
      <w:pPr>
        <w:spacing w:line="240" w:lineRule="atLeast"/>
        <w:jc w:val="center"/>
        <w:rPr>
          <w:u w:val="words"/>
        </w:rPr>
      </w:pPr>
    </w:p>
    <w:p w:rsidR="003E180C" w:rsidP="003E180C" w14:paraId="0E7D00A1" w14:textId="77777777">
      <w:pPr>
        <w:spacing w:line="240" w:lineRule="atLeast"/>
        <w:jc w:val="center"/>
        <w:rPr>
          <w:u w:val="words"/>
        </w:rPr>
      </w:pPr>
    </w:p>
    <w:p w:rsidR="003E180C" w:rsidP="003E180C" w14:paraId="160133D0" w14:textId="77777777">
      <w:pPr>
        <w:spacing w:line="240" w:lineRule="atLeast"/>
        <w:jc w:val="center"/>
        <w:rPr>
          <w:u w:val="words"/>
        </w:rPr>
      </w:pPr>
    </w:p>
    <w:p w:rsidR="003E180C" w:rsidP="003E180C" w14:paraId="362E8298" w14:textId="3154E074">
      <w:pPr>
        <w:jc w:val="center"/>
      </w:pPr>
      <w:r>
        <w:t>IN THE COURT OF APPEAL OF THE STATE OF CALIFORNIA</w:t>
      </w:r>
    </w:p>
    <w:p w:rsidR="003E180C" w:rsidP="003E180C" w14:paraId="762D66C7" w14:textId="46CCC97E">
      <w:pPr>
        <w:jc w:val="center"/>
      </w:pPr>
      <w:r>
        <w:t>THIRD APPELLATE DISTRICT</w:t>
      </w:r>
    </w:p>
    <w:p w:rsidR="003E180C" w:rsidP="003E180C" w14:paraId="69BE9727" w14:textId="4FB9A7D5">
      <w:pPr>
        <w:jc w:val="center"/>
      </w:pPr>
      <w:r>
        <w:t>(Sacramento)</w:t>
      </w:r>
    </w:p>
    <w:p w:rsidR="003E180C" w:rsidP="003E180C" w14:paraId="6094D24D" w14:textId="4854B53B">
      <w:pPr>
        <w:jc w:val="center"/>
      </w:pPr>
      <w:r>
        <w:t>----</w:t>
      </w:r>
    </w:p>
    <w:p w:rsidR="003E180C" w:rsidP="003E180C" w14:paraId="080E885E" w14:textId="77777777">
      <w:pPr>
        <w:jc w:val="center"/>
      </w:pPr>
    </w:p>
    <w:p w:rsidR="003E180C" w:rsidP="003E180C" w14:paraId="71982F0A" w14:textId="77777777">
      <w:pPr>
        <w:spacing w:line="240" w:lineRule="atLeast"/>
      </w:pPr>
    </w:p>
    <w:p w:rsidR="003E180C" w:rsidP="003E180C" w14:paraId="2F6750ED" w14:textId="77777777">
      <w:pPr>
        <w:spacing w:line="240" w:lineRule="atLeast"/>
      </w:pPr>
    </w:p>
    <w:p w:rsidR="003E180C" w:rsidP="003E180C" w14:paraId="5579BBFB" w14:textId="77777777">
      <w:pPr>
        <w:spacing w:line="240" w:lineRule="atLeast"/>
      </w:pPr>
    </w:p>
    <w:tbl>
      <w:tblPr>
        <w:tblW w:w="0" w:type="auto"/>
        <w:tblBorders>
          <w:insideH w:val="single" w:sz="4" w:space="0" w:color="auto"/>
          <w:insideV w:val="single" w:sz="4" w:space="0" w:color="auto"/>
        </w:tblBorders>
        <w:tblLayout w:type="fixed"/>
        <w:tblLook w:val="0000"/>
      </w:tblPr>
      <w:tblGrid>
        <w:gridCol w:w="5904"/>
        <w:gridCol w:w="3456"/>
      </w:tblGrid>
      <w:tr w14:paraId="46196567" w14:textId="77777777" w:rsidTr="003E180C">
        <w:tblPrEx>
          <w:tblW w:w="0" w:type="auto"/>
          <w:tblBorders>
            <w:insideH w:val="single" w:sz="4" w:space="0" w:color="auto"/>
            <w:insideV w:val="single" w:sz="4" w:space="0" w:color="auto"/>
          </w:tblBorders>
          <w:tblLayout w:type="fixed"/>
          <w:tblLook w:val="0000"/>
        </w:tblPrEx>
        <w:tc>
          <w:tcPr>
            <w:tcW w:w="5904" w:type="dxa"/>
            <w:shd w:val="clear" w:color="auto" w:fill="auto"/>
          </w:tcPr>
          <w:p w:rsidR="003E180C" w:rsidP="003E180C" w14:paraId="10EC9D1C" w14:textId="77777777">
            <w:pPr>
              <w:spacing w:line="240" w:lineRule="atLeast"/>
            </w:pPr>
            <w:r>
              <w:t>THE PEOPLE,</w:t>
            </w:r>
          </w:p>
          <w:p w:rsidR="003E180C" w:rsidP="003E180C" w14:paraId="0D6D59B3" w14:textId="77777777">
            <w:pPr>
              <w:spacing w:line="240" w:lineRule="atLeast"/>
            </w:pPr>
          </w:p>
          <w:p w:rsidR="003E180C" w:rsidP="003E180C" w14:paraId="4A6BFE81" w14:textId="77777777">
            <w:pPr>
              <w:spacing w:line="240" w:lineRule="atLeast"/>
            </w:pPr>
            <w:r>
              <w:tab/>
            </w:r>
            <w:r>
              <w:tab/>
              <w:t>Plaintiff and Respondent,</w:t>
            </w:r>
          </w:p>
          <w:p w:rsidR="003E180C" w:rsidP="003E180C" w14:paraId="66CC3CC5" w14:textId="77777777">
            <w:pPr>
              <w:spacing w:line="240" w:lineRule="atLeast"/>
            </w:pPr>
          </w:p>
          <w:p w:rsidR="003E180C" w:rsidP="003E180C" w14:paraId="62CDD489" w14:textId="77777777">
            <w:pPr>
              <w:spacing w:line="240" w:lineRule="atLeast"/>
            </w:pPr>
            <w:r>
              <w:tab/>
              <w:t>v.</w:t>
            </w:r>
          </w:p>
          <w:p w:rsidR="003E180C" w:rsidP="003E180C" w14:paraId="23141D74" w14:textId="77777777">
            <w:pPr>
              <w:spacing w:line="240" w:lineRule="atLeast"/>
            </w:pPr>
          </w:p>
          <w:p w:rsidR="003E180C" w:rsidP="003E180C" w14:paraId="24AE862D" w14:textId="77777777">
            <w:pPr>
              <w:spacing w:line="240" w:lineRule="atLeast"/>
            </w:pPr>
            <w:r>
              <w:t>CRYSTAL GRAHAM,</w:t>
            </w:r>
          </w:p>
          <w:p w:rsidR="003E180C" w:rsidP="003E180C" w14:paraId="757EA1BC" w14:textId="77777777">
            <w:pPr>
              <w:spacing w:line="240" w:lineRule="atLeast"/>
            </w:pPr>
          </w:p>
          <w:p w:rsidR="003E180C" w:rsidP="003E180C" w14:paraId="0AE25484" w14:textId="77777777">
            <w:pPr>
              <w:spacing w:line="240" w:lineRule="atLeast"/>
            </w:pPr>
            <w:r>
              <w:tab/>
            </w:r>
            <w:r>
              <w:tab/>
              <w:t>Defendant and Appellant.</w:t>
            </w:r>
          </w:p>
          <w:p w:rsidR="003E180C" w:rsidP="003E180C" w14:paraId="545C055A" w14:textId="6E544E5F">
            <w:pPr>
              <w:spacing w:line="240" w:lineRule="atLeast"/>
            </w:pPr>
          </w:p>
        </w:tc>
        <w:tc>
          <w:tcPr>
            <w:tcW w:w="3456" w:type="dxa"/>
            <w:shd w:val="clear" w:color="auto" w:fill="auto"/>
          </w:tcPr>
          <w:p w:rsidR="003E180C" w:rsidP="003E180C" w14:paraId="0132278A" w14:textId="77777777">
            <w:pPr>
              <w:spacing w:line="240" w:lineRule="atLeast"/>
              <w:jc w:val="center"/>
            </w:pPr>
            <w:r>
              <w:t>C097971</w:t>
            </w:r>
          </w:p>
          <w:p w:rsidR="003E180C" w:rsidP="003E180C" w14:paraId="7A129723" w14:textId="77777777">
            <w:pPr>
              <w:spacing w:line="240" w:lineRule="atLeast"/>
              <w:jc w:val="center"/>
            </w:pPr>
          </w:p>
          <w:p w:rsidR="003E180C" w:rsidP="003E180C" w14:paraId="5C123BFF" w14:textId="77777777">
            <w:pPr>
              <w:spacing w:line="240" w:lineRule="atLeast"/>
              <w:jc w:val="center"/>
            </w:pPr>
            <w:r>
              <w:t>(Super. Ct. No. 16FE017331)</w:t>
            </w:r>
          </w:p>
          <w:p w:rsidR="003E180C" w:rsidP="003E180C" w14:paraId="59215801" w14:textId="77777777">
            <w:pPr>
              <w:spacing w:line="240" w:lineRule="atLeast"/>
              <w:jc w:val="center"/>
            </w:pPr>
          </w:p>
          <w:p w:rsidR="003E180C" w:rsidP="003E180C" w14:paraId="69463984" w14:textId="363D0A55">
            <w:pPr>
              <w:spacing w:line="240" w:lineRule="atLeast"/>
              <w:jc w:val="center"/>
            </w:pPr>
          </w:p>
        </w:tc>
      </w:tr>
    </w:tbl>
    <w:p w:rsidR="003E180C" w:rsidP="003E180C" w14:paraId="7EA39853" w14:textId="77777777">
      <w:pPr>
        <w:spacing w:line="240" w:lineRule="atLeast"/>
      </w:pPr>
    </w:p>
    <w:p w:rsidR="003E180C" w:rsidP="003E180C" w14:paraId="1F7AA2FA" w14:textId="3ECB12FB">
      <w:pPr>
        <w:spacing w:line="240" w:lineRule="atLeast"/>
      </w:pPr>
      <w:r>
        <w:tab/>
        <w:t>APPEAL from a judgment of the Superior Court of Sacramento County, Raoul M. Thorbourne, Judge.  Affirmed.</w:t>
      </w:r>
    </w:p>
    <w:p w:rsidR="003E180C" w:rsidP="003E180C" w14:paraId="24041B1E" w14:textId="77777777">
      <w:pPr>
        <w:spacing w:line="240" w:lineRule="atLeast"/>
      </w:pPr>
    </w:p>
    <w:p w:rsidR="003E180C" w:rsidP="003E180C" w14:paraId="75724911" w14:textId="3C69F907">
      <w:pPr>
        <w:spacing w:line="240" w:lineRule="atLeast"/>
      </w:pPr>
      <w:r>
        <w:tab/>
        <w:t>Steven Schorr, under appointment by the Court of Appeal, for Defendant and Appellant.</w:t>
      </w:r>
    </w:p>
    <w:p w:rsidR="003E180C" w:rsidP="003E180C" w14:paraId="70F1204F" w14:textId="77777777">
      <w:pPr>
        <w:spacing w:line="240" w:lineRule="atLeast"/>
      </w:pPr>
    </w:p>
    <w:p w:rsidR="003E180C" w:rsidP="003E180C" w14:paraId="30F1BB73" w14:textId="2BFC85BD">
      <w:pPr>
        <w:spacing w:line="240" w:lineRule="atLeast"/>
      </w:pPr>
      <w:r>
        <w:tab/>
        <w:t>Rob Bonta, Attorney General, Lance E. Winters, Chief Assistant Attorney General, Michael P. Farrell, Assistant Attorney General, Ivan P. Marrs and Caely E. Fallini, Deputy Attorneys General, for Plaintiff and Respondent.</w:t>
      </w:r>
    </w:p>
    <w:p w:rsidR="003E180C" w:rsidRPr="003E180C" w:rsidP="003E180C" w14:paraId="02C774E7" w14:textId="77777777"/>
    <w:p w:rsidR="003E180C" w:rsidP="00330012" w14:paraId="539D99F3" w14:textId="77777777">
      <w:pPr>
        <w:tabs>
          <w:tab w:val="center" w:pos="4680"/>
          <w:tab w:val="right" w:pos="9360"/>
        </w:tabs>
        <w:spacing w:line="240" w:lineRule="auto"/>
        <w:rPr>
          <w:u w:val="single"/>
        </w:rPr>
      </w:pPr>
    </w:p>
    <w:p w:rsidR="00544D36" w:rsidP="00330012" w14:paraId="3E3703AA" w14:textId="77777777">
      <w:pPr>
        <w:tabs>
          <w:tab w:val="center" w:pos="4680"/>
          <w:tab w:val="right" w:pos="9360"/>
        </w:tabs>
        <w:spacing w:line="240" w:lineRule="auto"/>
        <w:rPr>
          <w:u w:val="single"/>
        </w:rPr>
      </w:pPr>
    </w:p>
    <w:p w:rsidR="009A6C0B" w:rsidRPr="00B34560" w:rsidP="00E42533" w14:paraId="6DBAEEBF" w14:textId="316DF2DE">
      <w:pPr>
        <w:ind w:firstLine="720"/>
      </w:pPr>
      <w:r w:rsidRPr="00B34560">
        <w:t xml:space="preserve">This appeal arises from the trial court’s denial of defendant Crystal Graham’s postconviction request for </w:t>
      </w:r>
      <w:r w:rsidR="00E04396">
        <w:t xml:space="preserve">pretrial </w:t>
      </w:r>
      <w:r w:rsidRPr="00B34560">
        <w:t>mental health diversion</w:t>
      </w:r>
      <w:r w:rsidRPr="00E04396" w:rsidR="00E04396">
        <w:t xml:space="preserve"> </w:t>
      </w:r>
      <w:r w:rsidR="00E04396">
        <w:t xml:space="preserve">under </w:t>
      </w:r>
      <w:bookmarkStart w:id="0" w:name="dabmci_e056303a2e6b4470bd24f7b60416902a"/>
      <w:r w:rsidRPr="00B34560" w:rsidR="00E04396">
        <w:t>Penal Code section 1001.36</w:t>
      </w:r>
      <w:bookmarkEnd w:id="0"/>
      <w:r w:rsidR="00E04396">
        <w:t>.</w:t>
      </w:r>
      <w:r>
        <w:rPr>
          <w:rStyle w:val="FootnoteReference"/>
          <w:bCs/>
          <w:szCs w:val="20"/>
        </w:rPr>
        <w:footnoteReference w:id="2"/>
      </w:r>
      <w:r w:rsidRPr="00B34560">
        <w:t xml:space="preserve">  </w:t>
      </w:r>
      <w:r w:rsidR="00B12569">
        <w:t>Defendant</w:t>
      </w:r>
      <w:r w:rsidRPr="00B34560">
        <w:t xml:space="preserve"> </w:t>
      </w:r>
      <w:r w:rsidRPr="00B34560" w:rsidR="00484098">
        <w:t xml:space="preserve">first </w:t>
      </w:r>
      <w:r w:rsidRPr="00B34560">
        <w:t>contends that</w:t>
      </w:r>
      <w:r w:rsidR="00B12569">
        <w:t>, in ruling on her request,</w:t>
      </w:r>
      <w:r w:rsidRPr="00B34560">
        <w:t xml:space="preserve"> </w:t>
      </w:r>
      <w:r w:rsidR="00B12569">
        <w:t xml:space="preserve">the trial court was limited to viewing the matter as it stood </w:t>
      </w:r>
      <w:r w:rsidR="00B12569">
        <w:rPr>
          <w:i/>
          <w:iCs/>
        </w:rPr>
        <w:t xml:space="preserve">before </w:t>
      </w:r>
      <w:r w:rsidR="00B12569">
        <w:t xml:space="preserve">trial, and hence </w:t>
      </w:r>
      <w:r w:rsidRPr="00B34560">
        <w:t xml:space="preserve">the trial court </w:t>
      </w:r>
      <w:r w:rsidRPr="00B34560" w:rsidR="00A831A7">
        <w:t>prejudicially</w:t>
      </w:r>
      <w:r w:rsidR="00B12569">
        <w:t xml:space="preserve"> erred in</w:t>
      </w:r>
      <w:r w:rsidRPr="00B34560">
        <w:t xml:space="preserve"> consider</w:t>
      </w:r>
      <w:r w:rsidR="00B12569">
        <w:t>ing</w:t>
      </w:r>
      <w:r w:rsidRPr="00B34560" w:rsidR="00484098">
        <w:t xml:space="preserve"> </w:t>
      </w:r>
      <w:r w:rsidR="00355877">
        <w:t xml:space="preserve">the </w:t>
      </w:r>
      <w:r w:rsidRPr="00B34560">
        <w:t xml:space="preserve">transcripts </w:t>
      </w:r>
      <w:r w:rsidR="00355877">
        <w:t xml:space="preserve">of her trial and resulting </w:t>
      </w:r>
      <w:r w:rsidRPr="00B34560" w:rsidR="00484098">
        <w:t xml:space="preserve">convictions when assessing her eligibility </w:t>
      </w:r>
      <w:r w:rsidR="00D24F14">
        <w:t xml:space="preserve">and suitability </w:t>
      </w:r>
      <w:r w:rsidRPr="00B34560" w:rsidR="00484098">
        <w:t xml:space="preserve">for diversion.  Defendant </w:t>
      </w:r>
      <w:r w:rsidR="00413746">
        <w:t>also</w:t>
      </w:r>
      <w:r w:rsidRPr="00B34560" w:rsidR="00484098">
        <w:t xml:space="preserve"> argues that</w:t>
      </w:r>
      <w:r w:rsidR="00413746">
        <w:t>,</w:t>
      </w:r>
      <w:r w:rsidRPr="00B34560" w:rsidR="00484098">
        <w:t xml:space="preserve"> even if the trial court did not err by taking </w:t>
      </w:r>
      <w:r w:rsidR="00377144">
        <w:t>the</w:t>
      </w:r>
      <w:r w:rsidRPr="00B34560" w:rsidR="00484098">
        <w:t xml:space="preserve"> trial evidence and </w:t>
      </w:r>
      <w:r w:rsidR="00377144">
        <w:t xml:space="preserve">her </w:t>
      </w:r>
      <w:r w:rsidRPr="00B34560" w:rsidR="00484098">
        <w:t xml:space="preserve">convictions into account, it still erred by finding her </w:t>
      </w:r>
      <w:r w:rsidR="006A7C7C">
        <w:t xml:space="preserve">both </w:t>
      </w:r>
      <w:r w:rsidRPr="00B34560" w:rsidR="00484098">
        <w:t xml:space="preserve">ineligible </w:t>
      </w:r>
      <w:r w:rsidRPr="00B34560" w:rsidR="00CA1DD0">
        <w:t xml:space="preserve">and unsuitable </w:t>
      </w:r>
      <w:r w:rsidRPr="00B34560" w:rsidR="00484098">
        <w:t>for diversion.  We</w:t>
      </w:r>
      <w:r w:rsidRPr="00B34560" w:rsidR="00A831A7">
        <w:t xml:space="preserve"> </w:t>
      </w:r>
      <w:r w:rsidR="00355877">
        <w:t xml:space="preserve">will </w:t>
      </w:r>
      <w:r w:rsidRPr="00B34560" w:rsidR="00A831A7">
        <w:t>affirm.</w:t>
      </w:r>
    </w:p>
    <w:p w:rsidR="00484098" w:rsidRPr="00B34560" w:rsidP="001B590A" w14:paraId="444339C0" w14:textId="4B14FD68">
      <w:pPr>
        <w:keepNext/>
        <w:jc w:val="center"/>
      </w:pPr>
      <w:r w:rsidRPr="00B34560">
        <w:t xml:space="preserve">FACTUAL AND PROCEDURAL </w:t>
      </w:r>
      <w:r w:rsidRPr="00B34560" w:rsidR="00C62B5C">
        <w:t>HISTORY</w:t>
      </w:r>
    </w:p>
    <w:p w:rsidR="006B0162" w:rsidRPr="00B34560" w:rsidP="001B590A" w14:paraId="21CBA762" w14:textId="208B3B61">
      <w:pPr>
        <w:ind w:firstLine="720"/>
      </w:pPr>
      <w:r w:rsidRPr="00B34560">
        <w:t xml:space="preserve">On </w:t>
      </w:r>
      <w:r w:rsidRPr="00DB42A7">
        <w:t>March 22, 2018, a</w:t>
      </w:r>
      <w:r w:rsidRPr="00B34560">
        <w:t xml:space="preserve"> jury found defendant guilty of kidnapping to commit robbery (§ 209, subd. (b)(1)), kidnapping during the commission of carjacking (§ 209.5, subd. (a)), second degree robbery (§ 211), and simple kidnapping (§ 207, subd. (a)).  In a prior opinion, we summarized defendant’s underlying crimes as follows:</w:t>
      </w:r>
    </w:p>
    <w:p w:rsidR="006B0162" w:rsidRPr="00B34560" w:rsidP="001B590A" w14:paraId="60246A0E" w14:textId="23C47B7F">
      <w:pPr>
        <w:ind w:firstLine="720"/>
      </w:pPr>
      <w:r>
        <w:t xml:space="preserve">On </w:t>
      </w:r>
      <w:r w:rsidRPr="00DB42A7">
        <w:t>August 28, 2016, “[</w:t>
      </w:r>
      <w:r>
        <w:t>d]</w:t>
      </w:r>
      <w:r w:rsidRPr="00B34560">
        <w:t>efendant [</w:t>
      </w:r>
      <w:r w:rsidR="00E42533">
        <w:t xml:space="preserve"> </w:t>
      </w:r>
      <w:r w:rsidRPr="00B34560">
        <w:t>] brought the victim, E.C., to a motel room where he was attacked by her codefendant Joe Navarro, who held a box cutter to the victim’s neck and relieved him of his wallet and keys.  Defendant took the victim’s bank card, went to an ATM, called Navarro who forced the victim to disclose his personal identification number (PIN), and withdrew $400.  Defendant and Navarro left the motel in two vehicles, a Toyota 4Runner, in which they had arrived, and the victim’s Prius, with the victim first in the backseat of the 4Runner and then transferred to the Prius driven by defendant.  The victim escaped by untying the tape binding his hands, jumping out of the Prius when it slowed down on the freeway, and waving to passersby.  Defendant exited the freeway, abandoned the Prius, and fled in the 4Runner with Navarro.”  (</w:t>
      </w:r>
      <w:r w:rsidRPr="00B34560">
        <w:rPr>
          <w:i/>
          <w:iCs/>
        </w:rPr>
        <w:t xml:space="preserve">People v. Graham </w:t>
      </w:r>
      <w:r w:rsidRPr="00B34560">
        <w:t>(July 9, 2021, C087027) [nonpub. opn.]</w:t>
      </w:r>
      <w:r w:rsidR="006A7C7C">
        <w:t xml:space="preserve"> </w:t>
      </w:r>
      <w:r w:rsidR="00D24F14">
        <w:t>(</w:t>
      </w:r>
      <w:r w:rsidR="00D24F14">
        <w:rPr>
          <w:i/>
          <w:iCs/>
        </w:rPr>
        <w:t>Graham I</w:t>
      </w:r>
      <w:r w:rsidR="00D24F14">
        <w:t>)</w:t>
      </w:r>
      <w:r w:rsidRPr="00B34560">
        <w:t>.)</w:t>
      </w:r>
      <w:r>
        <w:rPr>
          <w:rStyle w:val="FootnoteReference"/>
          <w:szCs w:val="20"/>
        </w:rPr>
        <w:footnoteReference w:id="3"/>
      </w:r>
    </w:p>
    <w:p w:rsidR="003A0F5E" w:rsidRPr="00B34560" w:rsidP="006B0162" w14:paraId="3C6A5553" w14:textId="2BC4A4E3">
      <w:pPr>
        <w:ind w:firstLine="720"/>
      </w:pPr>
      <w:r w:rsidRPr="00B34560">
        <w:t xml:space="preserve">The trial court sentenced defendant to two consecutive terms of life </w:t>
      </w:r>
      <w:r w:rsidR="006A7C7C">
        <w:t xml:space="preserve">in prison </w:t>
      </w:r>
      <w:r w:rsidRPr="00B34560">
        <w:t>with the possibility of parole (for kidnapping to commit a robbery and kidnapping during the commission of carjacking) and stayed the sentences for the remaining two counts per section 654.</w:t>
      </w:r>
    </w:p>
    <w:p w:rsidR="003A0F5E" w:rsidRPr="00B34560" w:rsidP="001B590A" w14:paraId="630385B2" w14:textId="25705D2A">
      <w:pPr>
        <w:ind w:firstLine="720"/>
      </w:pPr>
      <w:r>
        <w:t>In our opinion on defendant’s prior appeal from the judgment</w:t>
      </w:r>
      <w:r w:rsidRPr="00B34560">
        <w:t xml:space="preserve">, we reversed defendant’s conviction for simple kidnapping.  </w:t>
      </w:r>
      <w:r w:rsidR="00042C6E">
        <w:t>(</w:t>
      </w:r>
      <w:r w:rsidR="00042C6E">
        <w:rPr>
          <w:i/>
          <w:iCs/>
        </w:rPr>
        <w:t>Graham I</w:t>
      </w:r>
      <w:r w:rsidR="00D24F14">
        <w:t xml:space="preserve">, </w:t>
      </w:r>
      <w:bookmarkStart w:id="1" w:name="dabmci_e4081c14601043e48b724f32259bb0c2"/>
      <w:r w:rsidRPr="00DC4A85" w:rsidR="0057671F">
        <w:rPr>
          <w:i/>
          <w:iCs/>
        </w:rPr>
        <w:t>supra</w:t>
      </w:r>
      <w:r w:rsidR="0057671F">
        <w:t>,</w:t>
      </w:r>
      <w:bookmarkEnd w:id="1"/>
      <w:r w:rsidR="0057671F">
        <w:t xml:space="preserve"> </w:t>
      </w:r>
      <w:r w:rsidRPr="00B34560" w:rsidR="0057671F">
        <w:t>C087027</w:t>
      </w:r>
      <w:r w:rsidRPr="00B34560">
        <w:t>.)</w:t>
      </w:r>
      <w:r w:rsidRPr="00B34560" w:rsidR="000D3FDA">
        <w:t xml:space="preserve">  Additionally, </w:t>
      </w:r>
      <w:r w:rsidRPr="00B34560" w:rsidR="00A831A7">
        <w:t xml:space="preserve">we </w:t>
      </w:r>
      <w:r w:rsidR="00D24F14">
        <w:t>acknowledged</w:t>
      </w:r>
      <w:r w:rsidRPr="00B34560" w:rsidR="00A831A7">
        <w:t xml:space="preserve"> that the amendments to </w:t>
      </w:r>
      <w:bookmarkStart w:id="2" w:name="dabmci_3165a03dc15747559d933c938bd74efa"/>
      <w:r w:rsidRPr="00B34560" w:rsidR="000D3FDA">
        <w:t>section 1001.36</w:t>
      </w:r>
      <w:bookmarkEnd w:id="2"/>
      <w:r w:rsidRPr="00B34560" w:rsidR="00A831A7">
        <w:t>, which</w:t>
      </w:r>
      <w:r w:rsidRPr="00B34560" w:rsidR="000D3FDA">
        <w:t xml:space="preserve"> became effective while defendant’s </w:t>
      </w:r>
      <w:r>
        <w:t xml:space="preserve">prior </w:t>
      </w:r>
      <w:r w:rsidRPr="00B34560" w:rsidR="000D3FDA">
        <w:t>appeal was pending</w:t>
      </w:r>
      <w:r w:rsidRPr="00B34560" w:rsidR="00A831A7">
        <w:t xml:space="preserve">, applied retroactively to </w:t>
      </w:r>
      <w:r w:rsidR="00355877">
        <w:t xml:space="preserve">her </w:t>
      </w:r>
      <w:r w:rsidRPr="00B34560" w:rsidR="00A831A7">
        <w:t>case</w:t>
      </w:r>
      <w:r w:rsidRPr="00B34560" w:rsidR="000D3FDA">
        <w:t>.  (</w:t>
      </w:r>
      <w:r w:rsidR="00162D1C">
        <w:rPr>
          <w:i/>
          <w:iCs/>
        </w:rPr>
        <w:t>Graham I</w:t>
      </w:r>
      <w:r w:rsidR="00591DBE">
        <w:rPr>
          <w:i/>
          <w:iCs/>
        </w:rPr>
        <w:t xml:space="preserve">, </w:t>
      </w:r>
      <w:bookmarkStart w:id="3" w:name="dabmci_996625d60d4f4b2fa6f2e4c979d19b0e"/>
      <w:r w:rsidR="00591DBE">
        <w:rPr>
          <w:i/>
          <w:iCs/>
        </w:rPr>
        <w:t>supra</w:t>
      </w:r>
      <w:r w:rsidRPr="00DC06F5" w:rsidR="00591DBE">
        <w:t>,</w:t>
      </w:r>
      <w:bookmarkEnd w:id="3"/>
      <w:r w:rsidR="00591DBE">
        <w:rPr>
          <w:i/>
          <w:iCs/>
        </w:rPr>
        <w:t xml:space="preserve"> </w:t>
      </w:r>
      <w:r w:rsidR="00591DBE">
        <w:t>C087027</w:t>
      </w:r>
      <w:r w:rsidRPr="00B34560" w:rsidR="000D3FDA">
        <w:t>.)  As a result, we conditionally reversed the re</w:t>
      </w:r>
      <w:r w:rsidRPr="00B34560" w:rsidR="00A831A7">
        <w:t>mainder</w:t>
      </w:r>
      <w:r w:rsidRPr="00B34560" w:rsidR="000D3FDA">
        <w:t xml:space="preserve"> of the judgment and remanded the case for a </w:t>
      </w:r>
      <w:bookmarkStart w:id="4" w:name="_Hlk168410333"/>
      <w:r w:rsidRPr="00B34560" w:rsidR="000D3FDA">
        <w:t xml:space="preserve">mental health </w:t>
      </w:r>
      <w:bookmarkEnd w:id="4"/>
      <w:r w:rsidRPr="00B34560" w:rsidR="000D3FDA">
        <w:t xml:space="preserve">diversion eligibility hearing pursuant to </w:t>
      </w:r>
      <w:bookmarkStart w:id="5" w:name="dabmci_2a162f5210d24d009877af421dd3db53"/>
      <w:r w:rsidRPr="00B34560" w:rsidR="000D3FDA">
        <w:t>section 1001.36</w:t>
      </w:r>
      <w:bookmarkEnd w:id="5"/>
      <w:r w:rsidRPr="00B34560" w:rsidR="000D3FDA">
        <w:t xml:space="preserve">.  </w:t>
      </w:r>
      <w:r w:rsidRPr="00B34560" w:rsidR="005B0CD2">
        <w:t>(</w:t>
      </w:r>
      <w:r w:rsidR="006A7C7C">
        <w:rPr>
          <w:i/>
          <w:iCs/>
        </w:rPr>
        <w:t>Graham I</w:t>
      </w:r>
      <w:r w:rsidR="009C6B7F">
        <w:rPr>
          <w:i/>
          <w:iCs/>
        </w:rPr>
        <w:t>,</w:t>
      </w:r>
      <w:r w:rsidRPr="00591DBE" w:rsidR="00591DBE">
        <w:rPr>
          <w:i/>
          <w:iCs/>
        </w:rPr>
        <w:t xml:space="preserve"> </w:t>
      </w:r>
      <w:bookmarkStart w:id="6" w:name="dabmci_3bcce3fe51784f91b618ec9f049f224d"/>
      <w:r w:rsidR="00591DBE">
        <w:rPr>
          <w:i/>
          <w:iCs/>
        </w:rPr>
        <w:t>supra</w:t>
      </w:r>
      <w:r w:rsidRPr="00CA084A" w:rsidR="00591DBE">
        <w:t>,</w:t>
      </w:r>
      <w:bookmarkEnd w:id="6"/>
      <w:r w:rsidR="00591DBE">
        <w:rPr>
          <w:i/>
          <w:iCs/>
        </w:rPr>
        <w:t xml:space="preserve"> </w:t>
      </w:r>
      <w:r w:rsidR="00591DBE">
        <w:t>C087027</w:t>
      </w:r>
      <w:r w:rsidRPr="00B34560" w:rsidR="000D3FDA">
        <w:t>.)</w:t>
      </w:r>
    </w:p>
    <w:p w:rsidR="008F7B01" w:rsidRPr="00B34560" w:rsidP="001B590A" w14:paraId="6B1F0319" w14:textId="55AFF85A">
      <w:pPr>
        <w:ind w:firstLine="720"/>
      </w:pPr>
      <w:r w:rsidRPr="00B34560">
        <w:t>On remand</w:t>
      </w:r>
      <w:r w:rsidR="00A742BF">
        <w:t>,</w:t>
      </w:r>
      <w:r w:rsidRPr="00B34560">
        <w:t xml:space="preserve"> d</w:t>
      </w:r>
      <w:r w:rsidRPr="00B34560" w:rsidR="00830177">
        <w:t>efendant</w:t>
      </w:r>
      <w:r w:rsidR="00DC26B7">
        <w:t>’s</w:t>
      </w:r>
      <w:r w:rsidR="00A742BF">
        <w:t xml:space="preserve"> </w:t>
      </w:r>
      <w:r w:rsidRPr="00B34560" w:rsidR="00830177">
        <w:t xml:space="preserve">mental health diversion application included a report from </w:t>
      </w:r>
      <w:r w:rsidR="000C44D2">
        <w:t xml:space="preserve">clinical and </w:t>
      </w:r>
      <w:r w:rsidRPr="00B34560" w:rsidR="00830177">
        <w:t xml:space="preserve">forensic psychologist </w:t>
      </w:r>
      <w:r w:rsidR="00693A1F">
        <w:t xml:space="preserve">Dr. </w:t>
      </w:r>
      <w:r w:rsidRPr="00B34560" w:rsidR="00830177">
        <w:t>Bruce W. Ebert</w:t>
      </w:r>
      <w:r w:rsidR="006A7C7C">
        <w:t>,</w:t>
      </w:r>
      <w:r w:rsidRPr="00B34560" w:rsidR="00830177">
        <w:t xml:space="preserve"> </w:t>
      </w:r>
      <w:r w:rsidR="00CE59D4">
        <w:t xml:space="preserve">a </w:t>
      </w:r>
      <w:r w:rsidRPr="00B34560">
        <w:t>mental health diversion court referral form</w:t>
      </w:r>
      <w:r w:rsidR="006A7C7C">
        <w:t>,</w:t>
      </w:r>
      <w:r w:rsidRPr="00B34560">
        <w:t xml:space="preserve"> and additional mental health documentation</w:t>
      </w:r>
      <w:r w:rsidR="007B7062">
        <w:t>.</w:t>
      </w:r>
      <w:r w:rsidRPr="00B34560">
        <w:t xml:space="preserve"> </w:t>
      </w:r>
      <w:r w:rsidR="000C44D2">
        <w:t xml:space="preserve"> </w:t>
      </w:r>
      <w:r w:rsidRPr="00B34560" w:rsidR="001D1B42">
        <w:t xml:space="preserve">It </w:t>
      </w:r>
      <w:r w:rsidR="00A742BF">
        <w:t>also</w:t>
      </w:r>
      <w:r w:rsidRPr="00B34560" w:rsidR="001D1B42">
        <w:t xml:space="preserve"> included several letters </w:t>
      </w:r>
      <w:r w:rsidR="00A742BF">
        <w:t xml:space="preserve">in support </w:t>
      </w:r>
      <w:r w:rsidRPr="00B34560" w:rsidR="001D1B42">
        <w:t xml:space="preserve">from </w:t>
      </w:r>
      <w:r w:rsidR="000C44D2">
        <w:t xml:space="preserve">defendant’s </w:t>
      </w:r>
      <w:r w:rsidRPr="00B34560" w:rsidR="001D1B42">
        <w:t xml:space="preserve">daughter and </w:t>
      </w:r>
      <w:r w:rsidR="00027873">
        <w:t xml:space="preserve">defendant’s </w:t>
      </w:r>
      <w:r w:rsidRPr="00B34560" w:rsidR="001D1B42">
        <w:t xml:space="preserve">correctional counselor, certificates and awards </w:t>
      </w:r>
      <w:r w:rsidR="000C44D2">
        <w:t xml:space="preserve">defendant </w:t>
      </w:r>
      <w:r w:rsidRPr="00B34560">
        <w:t xml:space="preserve">received </w:t>
      </w:r>
      <w:r w:rsidRPr="00B34560" w:rsidR="001D1B42">
        <w:t xml:space="preserve">while </w:t>
      </w:r>
      <w:r w:rsidR="00CE3BD1">
        <w:t>in prison</w:t>
      </w:r>
      <w:r w:rsidRPr="00B34560" w:rsidR="001D1B42">
        <w:t>, and a let</w:t>
      </w:r>
      <w:r w:rsidRPr="00B34560" w:rsidR="0063634F">
        <w:t>ter</w:t>
      </w:r>
      <w:r w:rsidRPr="00B34560" w:rsidR="001D1B42">
        <w:t xml:space="preserve"> of acceptance from a transitional housing </w:t>
      </w:r>
      <w:r w:rsidR="00D13651">
        <w:t>facility</w:t>
      </w:r>
      <w:r w:rsidRPr="00B34560" w:rsidR="001D1B42">
        <w:t>.  The trial court denied defendant’s motion to “exclude all trial transcripts from consideration.</w:t>
      </w:r>
      <w:r w:rsidRPr="00B34560" w:rsidR="00A435A5">
        <w:t>”</w:t>
      </w:r>
    </w:p>
    <w:p w:rsidR="00A831A7" w:rsidRPr="00B34560" w:rsidP="001B590A" w14:paraId="5DFC2BB0" w14:textId="41033F6F">
      <w:pPr>
        <w:ind w:firstLine="720"/>
      </w:pPr>
      <w:r>
        <w:t>At defendant’s</w:t>
      </w:r>
      <w:r w:rsidRPr="00B34560" w:rsidR="00A435A5">
        <w:t xml:space="preserve"> </w:t>
      </w:r>
      <w:bookmarkStart w:id="7" w:name="dabmci_e3361548fb6e4ab9abf14e451b4d80d2"/>
      <w:r w:rsidRPr="00B34560" w:rsidR="00A435A5">
        <w:t>section 1001.36</w:t>
      </w:r>
      <w:bookmarkEnd w:id="7"/>
      <w:r w:rsidRPr="00B34560" w:rsidR="00A435A5">
        <w:t xml:space="preserve"> </w:t>
      </w:r>
      <w:r w:rsidRPr="00B34560" w:rsidR="005773E6">
        <w:t xml:space="preserve">mental health </w:t>
      </w:r>
      <w:r w:rsidRPr="00B34560" w:rsidR="00A435A5">
        <w:t>diversion hearing</w:t>
      </w:r>
      <w:r>
        <w:t>,</w:t>
      </w:r>
      <w:r w:rsidRPr="00B34560" w:rsidR="00A435A5">
        <w:t xml:space="preserve"> </w:t>
      </w:r>
      <w:r>
        <w:t>d</w:t>
      </w:r>
      <w:r w:rsidRPr="00B34560" w:rsidR="001D1B42">
        <w:t xml:space="preserve">efendant’s counsel </w:t>
      </w:r>
      <w:r w:rsidRPr="00B34560" w:rsidR="0049148B">
        <w:t xml:space="preserve">made an offer of proof as to treatment and housing that defendant would receive if diverted.  Counsel further </w:t>
      </w:r>
      <w:r w:rsidRPr="00B34560" w:rsidR="001D1B42">
        <w:t>stated that</w:t>
      </w:r>
      <w:r>
        <w:t>,</w:t>
      </w:r>
      <w:r w:rsidRPr="00B34560" w:rsidR="001D1B42">
        <w:t xml:space="preserve"> if called to testify, defendant would </w:t>
      </w:r>
      <w:r w:rsidR="008621DB">
        <w:t>acknowledge</w:t>
      </w:r>
      <w:r w:rsidRPr="00B34560" w:rsidR="001D1B42">
        <w:t xml:space="preserve"> that she understands her rights and agrees to comply with the program.</w:t>
      </w:r>
    </w:p>
    <w:p w:rsidR="00234EB8" w:rsidRPr="00B34560" w:rsidP="00A831A7" w14:paraId="5B42A953" w14:textId="72CFA6D9">
      <w:pPr>
        <w:ind w:firstLine="720"/>
      </w:pPr>
      <w:r w:rsidRPr="00B34560">
        <w:t>The trial court</w:t>
      </w:r>
      <w:r w:rsidRPr="00B34560" w:rsidR="00A831A7">
        <w:t xml:space="preserve"> </w:t>
      </w:r>
      <w:r w:rsidR="00D24F14">
        <w:t>remarked</w:t>
      </w:r>
      <w:r w:rsidRPr="00B34560">
        <w:t xml:space="preserve"> that </w:t>
      </w:r>
      <w:r w:rsidRPr="00B34560" w:rsidR="00A831A7">
        <w:t>the portion of Dr. Ebert’s report regarding</w:t>
      </w:r>
      <w:r w:rsidRPr="00B34560">
        <w:t xml:space="preserve"> a causal connection between defendant’s mental illness and criminal behavior </w:t>
      </w:r>
      <w:r w:rsidRPr="00B34560" w:rsidR="00A831A7">
        <w:t>consisted of</w:t>
      </w:r>
      <w:r w:rsidRPr="00B34560">
        <w:t xml:space="preserve"> “rather short and rather cryptic”</w:t>
      </w:r>
      <w:r w:rsidRPr="00B34560" w:rsidR="00A831A7">
        <w:t xml:space="preserve"> comments.  </w:t>
      </w:r>
      <w:r w:rsidR="00DC26B7">
        <w:t>A</w:t>
      </w:r>
      <w:r w:rsidRPr="00B34560" w:rsidR="00DC26B7">
        <w:t>ccordingly</w:t>
      </w:r>
      <w:r w:rsidR="00DC26B7">
        <w:t>,</w:t>
      </w:r>
      <w:r w:rsidRPr="00B34560" w:rsidR="00DC26B7">
        <w:t xml:space="preserve"> </w:t>
      </w:r>
      <w:r w:rsidR="00DC26B7">
        <w:t>i</w:t>
      </w:r>
      <w:r w:rsidRPr="00B34560" w:rsidR="00A831A7">
        <w:t xml:space="preserve">t </w:t>
      </w:r>
      <w:r w:rsidRPr="00B34560">
        <w:t xml:space="preserve">permitted Dr. Ebert to testify as to the contents of his report.  </w:t>
      </w:r>
      <w:r w:rsidRPr="00B34560" w:rsidR="00A831A7">
        <w:t>At the hearing, Dr. Ebert</w:t>
      </w:r>
      <w:r w:rsidRPr="00B34560" w:rsidR="00D760EB">
        <w:t xml:space="preserve"> opined there was “no question in [his] mind” that there was a causal connection between defendant’s mental diagnoses and criminal behavior.  </w:t>
      </w:r>
      <w:r w:rsidRPr="00B34560" w:rsidR="00A831A7">
        <w:t>He</w:t>
      </w:r>
      <w:r w:rsidRPr="00B34560" w:rsidR="00C640C3">
        <w:t xml:space="preserve"> testified that </w:t>
      </w:r>
      <w:r w:rsidR="00027873">
        <w:t xml:space="preserve">defendant’s </w:t>
      </w:r>
      <w:r w:rsidRPr="00B34560" w:rsidR="00C640C3">
        <w:t xml:space="preserve">mental disorders and history of substance abuse led to defects in her brain that impaired her ability to fully understand the consequences of her actions.  He </w:t>
      </w:r>
      <w:r w:rsidRPr="00B34560" w:rsidR="00A831A7">
        <w:t xml:space="preserve">further </w:t>
      </w:r>
      <w:r w:rsidRPr="00B34560" w:rsidR="00C640C3">
        <w:t xml:space="preserve">opined that </w:t>
      </w:r>
      <w:r w:rsidR="00027873">
        <w:t>defendant</w:t>
      </w:r>
      <w:r w:rsidRPr="00B34560" w:rsidR="00C640C3">
        <w:t xml:space="preserve"> had been “led by Navarro,” had been “under duress” by him at the time of the underlying offense</w:t>
      </w:r>
      <w:r w:rsidR="001873D9">
        <w:t xml:space="preserve"> </w:t>
      </w:r>
      <w:r w:rsidRPr="00B34560" w:rsidR="00C640C3">
        <w:t>s, and may have been afraid Navarro would harm her children</w:t>
      </w:r>
      <w:r w:rsidRPr="00B34560" w:rsidR="00A831A7">
        <w:t xml:space="preserve"> if she did not comply</w:t>
      </w:r>
      <w:r w:rsidRPr="00B34560" w:rsidR="00513247">
        <w:t>, particularly because she had been abused by men</w:t>
      </w:r>
      <w:r w:rsidRPr="007B7062" w:rsidR="007B7062">
        <w:t xml:space="preserve"> </w:t>
      </w:r>
      <w:r w:rsidRPr="00B34560" w:rsidR="007B7062">
        <w:t>previously</w:t>
      </w:r>
      <w:r w:rsidRPr="00B34560" w:rsidR="00C640C3">
        <w:t xml:space="preserve">.  </w:t>
      </w:r>
      <w:r w:rsidRPr="00B34560" w:rsidR="00513247">
        <w:t xml:space="preserve">In sum, he </w:t>
      </w:r>
      <w:r w:rsidRPr="00B34560" w:rsidR="00A831A7">
        <w:t>found</w:t>
      </w:r>
      <w:r w:rsidRPr="00B34560" w:rsidR="00513247">
        <w:t xml:space="preserve"> that </w:t>
      </w:r>
      <w:r w:rsidR="00027873">
        <w:t xml:space="preserve">defendant’s </w:t>
      </w:r>
      <w:r w:rsidRPr="00B34560" w:rsidR="00513247">
        <w:t xml:space="preserve">mental </w:t>
      </w:r>
      <w:r w:rsidRPr="00B34560" w:rsidR="00A831A7">
        <w:t xml:space="preserve">health </w:t>
      </w:r>
      <w:r w:rsidRPr="00B34560" w:rsidR="00513247">
        <w:t xml:space="preserve">disorder and </w:t>
      </w:r>
      <w:r w:rsidRPr="00B34560" w:rsidR="00A831A7">
        <w:t xml:space="preserve">the </w:t>
      </w:r>
      <w:r w:rsidRPr="00B34560" w:rsidR="00513247">
        <w:t>effect</w:t>
      </w:r>
      <w:r w:rsidR="008621DB">
        <w:t>s</w:t>
      </w:r>
      <w:r w:rsidRPr="00B34560" w:rsidR="00513247">
        <w:t xml:space="preserve"> of methamphetamine on her brain rendered her unable to make good choices, which was the “nexus” between the diagnos</w:t>
      </w:r>
      <w:r w:rsidR="008621DB">
        <w:t>e</w:t>
      </w:r>
      <w:r w:rsidRPr="00B34560" w:rsidR="00513247">
        <w:t>s and crimes.  Dr. Ebert said that</w:t>
      </w:r>
      <w:r w:rsidR="007B7062">
        <w:t>,</w:t>
      </w:r>
      <w:r w:rsidRPr="00B34560" w:rsidR="00513247">
        <w:t xml:space="preserve"> </w:t>
      </w:r>
      <w:r w:rsidRPr="00B34560" w:rsidR="007B7062">
        <w:t>when preparing his report</w:t>
      </w:r>
      <w:r w:rsidR="007B7062">
        <w:t>,</w:t>
      </w:r>
      <w:r w:rsidRPr="00B34560" w:rsidR="007B7062">
        <w:t xml:space="preserve"> </w:t>
      </w:r>
      <w:r w:rsidRPr="00B34560" w:rsidR="00513247">
        <w:t xml:space="preserve">he </w:t>
      </w:r>
      <w:r w:rsidR="00B12569">
        <w:t>reviewed various behavioral health</w:t>
      </w:r>
      <w:r w:rsidR="003E71DB">
        <w:t xml:space="preserve"> and prison </w:t>
      </w:r>
      <w:r w:rsidR="00B12569">
        <w:t xml:space="preserve">records relating to defendant, as well as </w:t>
      </w:r>
      <w:r w:rsidR="00DC6439">
        <w:t>this court’s</w:t>
      </w:r>
      <w:r w:rsidR="00A742BF">
        <w:t xml:space="preserve"> opinion</w:t>
      </w:r>
      <w:r w:rsidRPr="00B34560" w:rsidR="00513247">
        <w:t xml:space="preserve"> </w:t>
      </w:r>
      <w:r w:rsidR="00A742BF">
        <w:t xml:space="preserve">in </w:t>
      </w:r>
      <w:r w:rsidRPr="00B34560" w:rsidR="00513247">
        <w:rPr>
          <w:i/>
          <w:iCs/>
        </w:rPr>
        <w:t>Graham</w:t>
      </w:r>
      <w:r w:rsidR="00042C6E">
        <w:rPr>
          <w:i/>
          <w:iCs/>
        </w:rPr>
        <w:t xml:space="preserve"> I</w:t>
      </w:r>
      <w:r w:rsidRPr="00B34560" w:rsidR="00513247">
        <w:t xml:space="preserve">, </w:t>
      </w:r>
      <w:r w:rsidR="00B12569">
        <w:t xml:space="preserve">and would have liked to review the transcripts of defendant’s trial, </w:t>
      </w:r>
      <w:r w:rsidRPr="00B34560" w:rsidR="00513247">
        <w:t xml:space="preserve">but </w:t>
      </w:r>
      <w:r w:rsidR="00B12569">
        <w:t xml:space="preserve">could not obtain copies and therefore </w:t>
      </w:r>
      <w:r w:rsidRPr="00B34560" w:rsidR="00513247">
        <w:t>did not read the transcripts</w:t>
      </w:r>
      <w:r w:rsidR="00CE3BD1">
        <w:t xml:space="preserve">, including </w:t>
      </w:r>
      <w:r w:rsidR="003E71DB">
        <w:t xml:space="preserve">those reflecting </w:t>
      </w:r>
      <w:r w:rsidR="00CE3BD1">
        <w:t xml:space="preserve">defendant’s </w:t>
      </w:r>
      <w:r w:rsidR="006B199A">
        <w:t xml:space="preserve">extensive trial </w:t>
      </w:r>
      <w:r w:rsidR="00CE3BD1">
        <w:t>testimony</w:t>
      </w:r>
      <w:r w:rsidRPr="00B34560" w:rsidR="00513247">
        <w:t>.</w:t>
      </w:r>
    </w:p>
    <w:p w:rsidR="00993122" w:rsidRPr="00B34560" w:rsidP="00053418" w14:paraId="4AD05A7F" w14:textId="1577248E">
      <w:pPr>
        <w:ind w:firstLine="720"/>
      </w:pPr>
      <w:r w:rsidRPr="00B34560">
        <w:t>The prosecutor</w:t>
      </w:r>
      <w:r w:rsidRPr="00B34560" w:rsidR="00A831A7">
        <w:t xml:space="preserve"> cross-examined Dr. Ebert</w:t>
      </w:r>
      <w:r w:rsidR="00042C6E">
        <w:t xml:space="preserve"> </w:t>
      </w:r>
      <w:r w:rsidR="00D24F14">
        <w:t>and</w:t>
      </w:r>
      <w:r w:rsidR="00042C6E">
        <w:t xml:space="preserve"> </w:t>
      </w:r>
      <w:r w:rsidR="00FF371A">
        <w:t>later</w:t>
      </w:r>
      <w:r w:rsidR="00D24F14">
        <w:t xml:space="preserve"> </w:t>
      </w:r>
      <w:r w:rsidRPr="00B34560" w:rsidR="00441733">
        <w:t>argued that Dr.</w:t>
      </w:r>
      <w:r w:rsidR="00FF371A">
        <w:t> </w:t>
      </w:r>
      <w:r w:rsidRPr="00B34560" w:rsidR="00441733">
        <w:t xml:space="preserve">Ebert never opined </w:t>
      </w:r>
      <w:r w:rsidRPr="00B34560" w:rsidR="00A831A7">
        <w:t xml:space="preserve">as to </w:t>
      </w:r>
      <w:r w:rsidRPr="00B34560" w:rsidR="00441733">
        <w:t xml:space="preserve">how defendant’s diagnosed disorder was connected to the crime, and that his report was internally inconsistent.  She </w:t>
      </w:r>
      <w:r w:rsidR="00D13651">
        <w:t xml:space="preserve">went on to </w:t>
      </w:r>
      <w:r w:rsidRPr="00B34560">
        <w:t>recount the details of the crime</w:t>
      </w:r>
      <w:r w:rsidR="008621DB">
        <w:t>s</w:t>
      </w:r>
      <w:r w:rsidRPr="00B34560">
        <w:t xml:space="preserve"> </w:t>
      </w:r>
      <w:r w:rsidRPr="00B34560" w:rsidR="00441733">
        <w:t xml:space="preserve">based on evidence presented at trial </w:t>
      </w:r>
      <w:r w:rsidRPr="00B34560">
        <w:t xml:space="preserve">and urged the </w:t>
      </w:r>
      <w:r w:rsidR="00027873">
        <w:t xml:space="preserve">trial </w:t>
      </w:r>
      <w:r w:rsidRPr="00B34560">
        <w:t xml:space="preserve">court to focus on </w:t>
      </w:r>
      <w:r w:rsidRPr="00B34560" w:rsidR="00A831A7">
        <w:t>defendant’s</w:t>
      </w:r>
      <w:r w:rsidRPr="00B34560">
        <w:t xml:space="preserve"> conduct before and during the </w:t>
      </w:r>
      <w:r w:rsidRPr="00B34560" w:rsidR="00441733">
        <w:t xml:space="preserve">crime, which indicated that </w:t>
      </w:r>
      <w:r w:rsidR="00042C6E">
        <w:t xml:space="preserve">she </w:t>
      </w:r>
      <w:r w:rsidRPr="00B34560" w:rsidR="00441733">
        <w:t xml:space="preserve">willingly worked in tandem with Navarro to rob and kidnap the victim.  </w:t>
      </w:r>
      <w:r w:rsidR="00D24F14">
        <w:t>The prosecutor</w:t>
      </w:r>
      <w:r w:rsidRPr="00B34560" w:rsidR="00441733">
        <w:t xml:space="preserve"> noted that the jury’s findings reflect </w:t>
      </w:r>
      <w:r w:rsidR="00DC6439">
        <w:t xml:space="preserve">that </w:t>
      </w:r>
      <w:r w:rsidRPr="00B34560" w:rsidR="00441733">
        <w:t>the</w:t>
      </w:r>
      <w:r w:rsidR="008621DB">
        <w:t xml:space="preserve"> jurors</w:t>
      </w:r>
      <w:r w:rsidRPr="00B34560" w:rsidR="00441733">
        <w:t xml:space="preserve"> disregarded defendant’s claim of duress and did not find </w:t>
      </w:r>
      <w:r w:rsidR="00042C6E">
        <w:t>defendant</w:t>
      </w:r>
      <w:r w:rsidRPr="00B34560" w:rsidR="00441733">
        <w:t xml:space="preserve"> credible.</w:t>
      </w:r>
    </w:p>
    <w:p w:rsidR="00234EB8" w:rsidRPr="00B34560" w:rsidP="00053418" w14:paraId="2C56754A" w14:textId="15A71038">
      <w:pPr>
        <w:ind w:firstLine="720"/>
      </w:pPr>
      <w:r w:rsidRPr="00B34560">
        <w:t xml:space="preserve">The prosecutor further argued </w:t>
      </w:r>
      <w:r w:rsidR="00A27AE5">
        <w:t xml:space="preserve">that </w:t>
      </w:r>
      <w:r w:rsidRPr="00B34560">
        <w:t>defendant posed an unreasonable risk of danger to public safety because she had been convicted of two super</w:t>
      </w:r>
      <w:r w:rsidR="00773EAB">
        <w:t xml:space="preserve"> </w:t>
      </w:r>
      <w:r w:rsidRPr="00B34560">
        <w:t xml:space="preserve">strikes </w:t>
      </w:r>
      <w:r w:rsidR="00BE6664">
        <w:t xml:space="preserve">under the Penal Code </w:t>
      </w:r>
      <w:r w:rsidRPr="00B34560">
        <w:t xml:space="preserve">in this case, and </w:t>
      </w:r>
      <w:r w:rsidR="00D13651">
        <w:t xml:space="preserve">she </w:t>
      </w:r>
      <w:r w:rsidRPr="00B34560">
        <w:t xml:space="preserve">had a history of prior noncompliance with court-ordered treatment, including mental health treatment.  She also </w:t>
      </w:r>
      <w:r w:rsidR="00042C6E">
        <w:t xml:space="preserve">argued that defendant </w:t>
      </w:r>
      <w:r w:rsidRPr="00B34560">
        <w:t xml:space="preserve">was seeing a mental health provider and getting drug treatment and services at the time she committed the underlying offenses.  </w:t>
      </w:r>
      <w:r w:rsidRPr="00B34560" w:rsidR="00CA6F61">
        <w:t xml:space="preserve">The prosecutor noted that the proposed treatment </w:t>
      </w:r>
      <w:r w:rsidR="00D13651">
        <w:t xml:space="preserve">site </w:t>
      </w:r>
      <w:r w:rsidRPr="00B34560" w:rsidR="00CA6F61">
        <w:t xml:space="preserve">for defendant was not a locked facility, </w:t>
      </w:r>
      <w:r w:rsidR="00FF371A">
        <w:t xml:space="preserve">so </w:t>
      </w:r>
      <w:r w:rsidRPr="00B34560" w:rsidR="00CA6F61">
        <w:t xml:space="preserve">it could not ensure </w:t>
      </w:r>
      <w:r w:rsidR="00FF371A">
        <w:t xml:space="preserve">that </w:t>
      </w:r>
      <w:r w:rsidRPr="00B34560" w:rsidR="00CA6F61">
        <w:t xml:space="preserve">defendant would stay </w:t>
      </w:r>
      <w:r w:rsidR="007E405E">
        <w:t>drug</w:t>
      </w:r>
      <w:r w:rsidR="0008283F">
        <w:t>-</w:t>
      </w:r>
      <w:r w:rsidR="007E405E">
        <w:t xml:space="preserve">free or </w:t>
      </w:r>
      <w:r w:rsidRPr="00B34560" w:rsidR="00CA6F61">
        <w:t>sober.</w:t>
      </w:r>
    </w:p>
    <w:p w:rsidR="00CA6F61" w:rsidRPr="00B34560" w:rsidP="00053418" w14:paraId="09F696D8" w14:textId="1FB64640">
      <w:pPr>
        <w:ind w:firstLine="720"/>
      </w:pPr>
      <w:r>
        <w:t>In closing, d</w:t>
      </w:r>
      <w:r w:rsidRPr="00B34560">
        <w:t xml:space="preserve">efense counsel read defendant’s statement saying </w:t>
      </w:r>
      <w:r>
        <w:t xml:space="preserve">that </w:t>
      </w:r>
      <w:r w:rsidRPr="00B34560">
        <w:t xml:space="preserve">she takes full responsibility </w:t>
      </w:r>
      <w:r w:rsidR="00D24F14">
        <w:t xml:space="preserve">for her involvement </w:t>
      </w:r>
      <w:r w:rsidR="00761F7C">
        <w:t xml:space="preserve">in the crimes against the victim </w:t>
      </w:r>
      <w:r w:rsidR="00D24F14">
        <w:t xml:space="preserve">and today </w:t>
      </w:r>
      <w:r w:rsidRPr="00B34560">
        <w:t xml:space="preserve">has new </w:t>
      </w:r>
      <w:r>
        <w:t xml:space="preserve">values and </w:t>
      </w:r>
      <w:r w:rsidRPr="00B34560">
        <w:t>beliefs.</w:t>
      </w:r>
    </w:p>
    <w:p w:rsidR="00B26029" w:rsidRPr="00B34560" w:rsidP="00413A2E" w14:paraId="27495AE0" w14:textId="04D0C15A">
      <w:pPr>
        <w:ind w:firstLine="720"/>
      </w:pPr>
      <w:r w:rsidRPr="00B34560">
        <w:t xml:space="preserve">The trial court </w:t>
      </w:r>
      <w:r w:rsidR="009B7F4A">
        <w:t xml:space="preserve">first </w:t>
      </w:r>
      <w:r w:rsidRPr="00B34560">
        <w:t xml:space="preserve">found </w:t>
      </w:r>
      <w:r w:rsidRPr="00B34560" w:rsidR="005B0CD2">
        <w:t xml:space="preserve">that defendant was </w:t>
      </w:r>
      <w:r w:rsidRPr="00B34560" w:rsidR="00234EB8">
        <w:t xml:space="preserve">ineligible for </w:t>
      </w:r>
      <w:r w:rsidR="0008283F">
        <w:t xml:space="preserve">mental health </w:t>
      </w:r>
      <w:r w:rsidRPr="00B34560" w:rsidR="00234EB8">
        <w:t>diversion</w:t>
      </w:r>
      <w:r w:rsidRPr="00B34560" w:rsidR="00453BFF">
        <w:t xml:space="preserve">.  </w:t>
      </w:r>
      <w:r w:rsidRPr="00B34560" w:rsidR="00977F19">
        <w:t xml:space="preserve">It </w:t>
      </w:r>
      <w:r w:rsidR="009B7F4A">
        <w:t>viewed</w:t>
      </w:r>
      <w:r w:rsidRPr="00B34560" w:rsidR="00977F19">
        <w:t xml:space="preserve"> Dr. Ebert’s description of the nexus between the diagnosis and criminal behavior </w:t>
      </w:r>
      <w:r w:rsidR="009B7F4A">
        <w:t>as</w:t>
      </w:r>
      <w:r w:rsidRPr="00B34560" w:rsidR="00977F19">
        <w:t xml:space="preserve"> “rather scant</w:t>
      </w:r>
      <w:r w:rsidR="00987B78">
        <w:t>” and “</w:t>
      </w:r>
      <w:r w:rsidRPr="00B34560" w:rsidR="00977F19">
        <w:t xml:space="preserve">not detailed.”  </w:t>
      </w:r>
      <w:r w:rsidRPr="00B34560" w:rsidR="00413A2E">
        <w:t xml:space="preserve">The court </w:t>
      </w:r>
      <w:r w:rsidRPr="00B34560" w:rsidR="00977F19">
        <w:t xml:space="preserve">observed, “I have no evidence </w:t>
      </w:r>
      <w:r w:rsidR="007E405E">
        <w:t xml:space="preserve">that </w:t>
      </w:r>
      <w:r w:rsidRPr="00B34560" w:rsidR="00977F19">
        <w:t>I found from any other source, at the time, that the Defendant’s admittedly diagnosed [disorder] played any role in her commission of these crimes.”  Further, she was not under the influence of drugs or suffering from delusions or hallucinations at the time of the underlying crimes</w:t>
      </w:r>
      <w:r w:rsidR="00042C6E">
        <w:t xml:space="preserve">. </w:t>
      </w:r>
      <w:r w:rsidRPr="00B34560" w:rsidR="00977F19">
        <w:t xml:space="preserve"> </w:t>
      </w:r>
      <w:r w:rsidR="007E405E">
        <w:t>T</w:t>
      </w:r>
      <w:r w:rsidR="00042C6E">
        <w:t xml:space="preserve">he court found </w:t>
      </w:r>
      <w:r w:rsidRPr="00B34560">
        <w:t xml:space="preserve">there was no evidence that physiological brain changes from drug abuse influenced her behavior.  </w:t>
      </w:r>
      <w:r w:rsidRPr="00B34560" w:rsidR="00C16529">
        <w:t xml:space="preserve">The court </w:t>
      </w:r>
      <w:r w:rsidRPr="00B34560" w:rsidR="00413A2E">
        <w:t xml:space="preserve">also </w:t>
      </w:r>
      <w:r w:rsidRPr="00B34560" w:rsidR="00C16529">
        <w:t xml:space="preserve">found relevant that defendant was “the principal actor” </w:t>
      </w:r>
      <w:r w:rsidR="00FF371A">
        <w:t>in</w:t>
      </w:r>
      <w:r w:rsidRPr="00B34560" w:rsidR="00C16529">
        <w:t xml:space="preserve"> crimes that “took a certain amount of sophistication, elaboration, and planning,” and that defendant “helped to formulate the plan” and carry it out, which took</w:t>
      </w:r>
      <w:r w:rsidR="00042C6E">
        <w:t xml:space="preserve"> place over an extended period of time</w:t>
      </w:r>
      <w:r w:rsidRPr="00B34560" w:rsidR="00C16529">
        <w:t>.  Accordingly, the court found clear and convincing evidence to overcome the presumption there was a connection between defendant’s diagnosis and criminal behavior “given the facts as laid out by [the prosecutor] and as laid out</w:t>
      </w:r>
      <w:r w:rsidR="00BD29ED">
        <w:t>,</w:t>
      </w:r>
      <w:r w:rsidRPr="00B34560" w:rsidR="00A831A7">
        <w:t xml:space="preserve"> .</w:t>
      </w:r>
      <w:r w:rsidR="00053418">
        <w:t> </w:t>
      </w:r>
      <w:r w:rsidRPr="00B34560" w:rsidR="00A831A7">
        <w:t>.</w:t>
      </w:r>
      <w:r w:rsidR="00053418">
        <w:t> </w:t>
      </w:r>
      <w:r w:rsidRPr="00B34560" w:rsidR="00A831A7">
        <w:t>.</w:t>
      </w:r>
      <w:r w:rsidR="00053418">
        <w:t> </w:t>
      </w:r>
      <w:r w:rsidRPr="00B34560" w:rsidR="00C16529">
        <w:t>in the trial transcript</w:t>
      </w:r>
      <w:r w:rsidR="00BD29ED">
        <w:t xml:space="preserve"> . . .</w:t>
      </w:r>
      <w:r w:rsidRPr="00B34560" w:rsidR="00C16529">
        <w:t xml:space="preserve">detailing, step by step, her participation in this case.”  </w:t>
      </w:r>
      <w:r w:rsidRPr="00B34560" w:rsidR="00413A2E">
        <w:t>It concluded there was “no nexus” between her mental health diagnosis and criminal behavior.</w:t>
      </w:r>
    </w:p>
    <w:p w:rsidR="006B0162" w:rsidRPr="00B34560" w:rsidP="006B0162" w14:paraId="67954544" w14:textId="14D96F72">
      <w:pPr>
        <w:ind w:firstLine="720"/>
      </w:pPr>
      <w:r w:rsidRPr="00B34560">
        <w:t xml:space="preserve">The </w:t>
      </w:r>
      <w:r w:rsidR="007F44BD">
        <w:t xml:space="preserve">trial </w:t>
      </w:r>
      <w:r w:rsidRPr="00B34560">
        <w:t xml:space="preserve">court </w:t>
      </w:r>
      <w:r w:rsidRPr="00B34560" w:rsidR="00413A2E">
        <w:t>next</w:t>
      </w:r>
      <w:r w:rsidRPr="00B34560">
        <w:t xml:space="preserve"> found</w:t>
      </w:r>
      <w:r w:rsidR="00DC26B7">
        <w:t>, with regard to suitability,</w:t>
      </w:r>
      <w:r w:rsidRPr="00B34560">
        <w:t xml:space="preserve"> that defendant posed an unreasonable risk of danger to public safety.  </w:t>
      </w:r>
      <w:r w:rsidRPr="00B34560" w:rsidR="00D04D81">
        <w:t>It reasoned that</w:t>
      </w:r>
      <w:r w:rsidR="00302D8F">
        <w:t>,</w:t>
      </w:r>
      <w:r w:rsidRPr="00B34560" w:rsidR="00D04D81">
        <w:t xml:space="preserve"> while typically </w:t>
      </w:r>
      <w:r w:rsidR="0008283F">
        <w:t xml:space="preserve">mental health </w:t>
      </w:r>
      <w:r w:rsidRPr="00B34560" w:rsidR="00D04D81">
        <w:t xml:space="preserve">diversion applications are </w:t>
      </w:r>
      <w:r w:rsidR="008621DB">
        <w:t xml:space="preserve">considered </w:t>
      </w:r>
      <w:r w:rsidRPr="00B34560" w:rsidR="00D04D81">
        <w:t xml:space="preserve">pretrial such that the court has to assess ahead of time whether </w:t>
      </w:r>
      <w:r w:rsidRPr="00B34560" w:rsidR="004802D3">
        <w:t>someone</w:t>
      </w:r>
      <w:r w:rsidRPr="00B34560" w:rsidR="00D04D81">
        <w:t xml:space="preserve"> </w:t>
      </w:r>
      <w:r w:rsidRPr="00FF371A" w:rsidR="00D04D81">
        <w:rPr>
          <w:i/>
          <w:iCs/>
        </w:rPr>
        <w:t>might</w:t>
      </w:r>
      <w:r w:rsidRPr="00B34560" w:rsidR="00D04D81">
        <w:t xml:space="preserve"> commit a </w:t>
      </w:r>
      <w:r w:rsidRPr="00B34560">
        <w:t>super strike</w:t>
      </w:r>
      <w:r w:rsidRPr="00B34560" w:rsidR="00D04D81">
        <w:t xml:space="preserve"> if released </w:t>
      </w:r>
      <w:r w:rsidR="008621DB">
        <w:t xml:space="preserve">into </w:t>
      </w:r>
      <w:r w:rsidRPr="00B34560" w:rsidR="00D04D81">
        <w:t xml:space="preserve">the community, here, defendant’s convictions make it knowable that she </w:t>
      </w:r>
      <w:r w:rsidRPr="00E6427D" w:rsidR="00D04D81">
        <w:rPr>
          <w:i/>
          <w:iCs/>
        </w:rPr>
        <w:t>did</w:t>
      </w:r>
      <w:r w:rsidRPr="00B34560" w:rsidR="00D04D81">
        <w:t xml:space="preserve">, in fact, commit two super strikes.  </w:t>
      </w:r>
      <w:r w:rsidRPr="00B34560">
        <w:t xml:space="preserve">Taking the interests of the community into account, the court found that </w:t>
      </w:r>
      <w:r w:rsidR="009A420F">
        <w:t xml:space="preserve">defendant’s </w:t>
      </w:r>
      <w:r w:rsidRPr="00B34560">
        <w:t xml:space="preserve">participation in the crimes, along with her convictions and life sentences, disqualified </w:t>
      </w:r>
      <w:r w:rsidR="009A420F">
        <w:t xml:space="preserve">defendant </w:t>
      </w:r>
      <w:r w:rsidRPr="00B34560">
        <w:t>from diversion.</w:t>
      </w:r>
    </w:p>
    <w:p w:rsidR="006B0162" w:rsidRPr="00B34560" w:rsidP="006B0162" w14:paraId="59E19716" w14:textId="57161E07">
      <w:pPr>
        <w:ind w:firstLine="720"/>
      </w:pPr>
      <w:r w:rsidRPr="00B34560">
        <w:t xml:space="preserve">The </w:t>
      </w:r>
      <w:r w:rsidR="007F44BD">
        <w:t xml:space="preserve">trial </w:t>
      </w:r>
      <w:r w:rsidRPr="00B34560">
        <w:t xml:space="preserve">court vacated defendant’s conviction </w:t>
      </w:r>
      <w:r w:rsidRPr="00B34560" w:rsidR="00413A2E">
        <w:t>f</w:t>
      </w:r>
      <w:r w:rsidRPr="00B34560">
        <w:t>or simple kidna</w:t>
      </w:r>
      <w:r w:rsidR="00AE37E9">
        <w:t>p</w:t>
      </w:r>
      <w:r w:rsidRPr="00B34560">
        <w:t xml:space="preserve">ping per </w:t>
      </w:r>
      <w:r w:rsidRPr="00B34560">
        <w:rPr>
          <w:i/>
          <w:iCs/>
        </w:rPr>
        <w:t>Graham</w:t>
      </w:r>
      <w:r w:rsidRPr="00B34560" w:rsidR="00413A2E">
        <w:rPr>
          <w:i/>
          <w:iCs/>
        </w:rPr>
        <w:t xml:space="preserve"> I</w:t>
      </w:r>
      <w:r w:rsidRPr="00B34560">
        <w:t xml:space="preserve"> and affirmed the rest of the judgment, reinstating </w:t>
      </w:r>
      <w:r w:rsidR="009A420F">
        <w:t xml:space="preserve">defendant’s </w:t>
      </w:r>
      <w:r w:rsidRPr="00B34560">
        <w:t>sentence on the remaining offenses.</w:t>
      </w:r>
    </w:p>
    <w:p w:rsidR="00C62B5C" w:rsidRPr="00B34560" w:rsidP="00053418" w14:paraId="4F9BA0BF" w14:textId="5545DE4D">
      <w:pPr>
        <w:keepNext/>
        <w:jc w:val="center"/>
      </w:pPr>
      <w:r w:rsidRPr="00B34560">
        <w:t>DISCUSSION</w:t>
      </w:r>
    </w:p>
    <w:p w:rsidR="007C080C" w:rsidRPr="00B34560" w:rsidP="00053418" w14:paraId="3C46B2A6" w14:textId="7BA3D8FA">
      <w:pPr>
        <w:ind w:firstLine="720"/>
      </w:pPr>
      <w:r w:rsidRPr="00B34560">
        <w:t xml:space="preserve">Defendant contends that she was entitled to the full retroactive benefit of a </w:t>
      </w:r>
      <w:r w:rsidRPr="009B7F4A">
        <w:t>pretrial</w:t>
      </w:r>
      <w:r w:rsidRPr="00B34560">
        <w:t xml:space="preserve"> diversion hearing, such that the trial court </w:t>
      </w:r>
      <w:r w:rsidRPr="00B34560" w:rsidR="00BB425C">
        <w:t xml:space="preserve">prejudicially </w:t>
      </w:r>
      <w:r w:rsidRPr="00B34560">
        <w:t>erred by admitting her trial transcripts and considering her convictions when assessing her eligibility</w:t>
      </w:r>
      <w:r w:rsidRPr="00B34560" w:rsidR="00D56DEB">
        <w:t xml:space="preserve"> and </w:t>
      </w:r>
      <w:r w:rsidR="00A13264">
        <w:t xml:space="preserve">suitability at a hearing intended </w:t>
      </w:r>
      <w:r w:rsidR="00FF371A">
        <w:t xml:space="preserve">by the Legislature </w:t>
      </w:r>
      <w:r w:rsidR="00A13264">
        <w:t>to occur before trial</w:t>
      </w:r>
      <w:r w:rsidRPr="00B34560">
        <w:t xml:space="preserve">.  </w:t>
      </w:r>
      <w:r w:rsidRPr="00B34560" w:rsidR="00BB425C">
        <w:t xml:space="preserve">In the alternative, </w:t>
      </w:r>
      <w:r w:rsidR="009A420F">
        <w:t xml:space="preserve">defendant </w:t>
      </w:r>
      <w:r w:rsidRPr="00B34560" w:rsidR="00BB425C">
        <w:t>contends that the trial court abused its discretion by finding</w:t>
      </w:r>
      <w:r w:rsidR="006B199A">
        <w:t xml:space="preserve"> that</w:t>
      </w:r>
      <w:r w:rsidRPr="00B34560" w:rsidR="00BB425C">
        <w:t xml:space="preserve"> </w:t>
      </w:r>
      <w:r w:rsidR="00C45FB8">
        <w:t>she</w:t>
      </w:r>
      <w:r w:rsidRPr="00B34560" w:rsidR="00C45FB8">
        <w:t xml:space="preserve"> </w:t>
      </w:r>
      <w:r w:rsidRPr="00B34560" w:rsidR="00BB425C">
        <w:t>was neither eligible nor suitable for diversion.</w:t>
      </w:r>
    </w:p>
    <w:p w:rsidR="00BB425C" w:rsidRPr="00B34560" w:rsidP="00053418" w14:paraId="1A5D7AC3" w14:textId="7C01150D">
      <w:pPr>
        <w:keepNext/>
        <w:jc w:val="center"/>
      </w:pPr>
      <w:r w:rsidRPr="00B34560">
        <w:t>I</w:t>
      </w:r>
    </w:p>
    <w:p w:rsidR="00BB425C" w:rsidRPr="00B34560" w:rsidP="00053418" w14:paraId="048A9A23" w14:textId="31691505">
      <w:pPr>
        <w:keepNext/>
        <w:jc w:val="center"/>
        <w:rPr>
          <w:i/>
          <w:iCs/>
        </w:rPr>
      </w:pPr>
      <w:bookmarkStart w:id="8" w:name="dabmci_c9cb57aadb894494956499e15c223a93"/>
      <w:r w:rsidRPr="00B34560">
        <w:rPr>
          <w:i/>
          <w:iCs/>
        </w:rPr>
        <w:t>Section 1001.36</w:t>
      </w:r>
      <w:bookmarkEnd w:id="8"/>
    </w:p>
    <w:p w:rsidR="00E60570" w:rsidRPr="00B34560" w:rsidP="00CE796C" w14:paraId="4B61C077" w14:textId="43D42CA3">
      <w:pPr>
        <w:ind w:firstLine="720"/>
      </w:pPr>
      <w:r w:rsidRPr="00B34560">
        <w:t>In June 2018, the Legislature enacted </w:t>
      </w:r>
      <w:bookmarkStart w:id="9" w:name="dabmci_c1922eba566e451a8ddba36f3bdf72c5"/>
      <w:r w:rsidRPr="00B34560">
        <w:t>section</w:t>
      </w:r>
      <w:r w:rsidR="00D61D25">
        <w:t xml:space="preserve">s 1001.35 and </w:t>
      </w:r>
      <w:r w:rsidRPr="00B34560">
        <w:t>1001.36</w:t>
      </w:r>
      <w:bookmarkEnd w:id="9"/>
      <w:r w:rsidRPr="00B34560">
        <w:t>, which authorized pretrial diversion for defendants with qualifying mental health disorders. </w:t>
      </w:r>
      <w:r w:rsidRPr="00B34560" w:rsidR="00CE796C">
        <w:t xml:space="preserve"> </w:t>
      </w:r>
      <w:r w:rsidRPr="00B34560">
        <w:t>(</w:t>
      </w:r>
      <w:bookmarkStart w:id="10" w:name="dabmci_5e2700ed203c4e2b8999b73b33fc3d29"/>
      <w:r w:rsidRPr="00B34560">
        <w:rPr>
          <w:i/>
          <w:iCs/>
        </w:rPr>
        <w:t>People v. Frahs</w:t>
      </w:r>
      <w:r w:rsidRPr="00B34560">
        <w:t> (2020) 9 Cal.5th 618, 626</w:t>
      </w:r>
      <w:r w:rsidR="005B7BEF">
        <w:t xml:space="preserve"> (</w:t>
      </w:r>
      <w:r w:rsidR="005B7BEF">
        <w:rPr>
          <w:i/>
          <w:iCs/>
        </w:rPr>
        <w:t>Frahs</w:t>
      </w:r>
      <w:r w:rsidR="005B7BEF">
        <w:t>)</w:t>
      </w:r>
      <w:bookmarkEnd w:id="10"/>
      <w:r w:rsidRPr="00B34560">
        <w:t>.)</w:t>
      </w:r>
      <w:r w:rsidRPr="00B34560" w:rsidR="00CE796C">
        <w:rPr>
          <w:vertAlign w:val="superscript"/>
        </w:rPr>
        <w:t xml:space="preserve"> </w:t>
      </w:r>
      <w:r w:rsidRPr="00B34560" w:rsidR="00CE796C">
        <w:t xml:space="preserve"> </w:t>
      </w:r>
      <w:r w:rsidR="00455D09">
        <w:t xml:space="preserve"> </w:t>
      </w:r>
      <w:r w:rsidRPr="00B34560">
        <w:t xml:space="preserve">The purpose of the statute is: </w:t>
      </w:r>
      <w:r w:rsidR="00053418">
        <w:t xml:space="preserve"> </w:t>
      </w:r>
      <w:r w:rsidRPr="00B34560">
        <w:t xml:space="preserve">(1) to increase “diversion of individuals with mental disorders to mitigate the individuals’ entry and reentry into the criminal justice system while protecting public safety”; (2) to allow local discretion and flexibility for counties to develop and implement diversion for individuals with mental disorders across a continuum of care settings; and (3) to provide “diversion that meets the unique mental health treatment and support needs of individuals with mental disorders.” </w:t>
      </w:r>
      <w:r w:rsidRPr="00B34560" w:rsidR="00CE796C">
        <w:t xml:space="preserve"> </w:t>
      </w:r>
      <w:r w:rsidRPr="00B34560">
        <w:t>(</w:t>
      </w:r>
      <w:bookmarkStart w:id="11" w:name="dabmci_00b1f055ac37441995e1afe866e34b47"/>
      <w:r w:rsidRPr="00B34560">
        <w:t>§ 1001.35, subds. (a)-(c)</w:t>
      </w:r>
      <w:bookmarkEnd w:id="11"/>
      <w:r w:rsidRPr="00B34560">
        <w:t>.)</w:t>
      </w:r>
    </w:p>
    <w:p w:rsidR="00E60570" w:rsidRPr="00B34560" w:rsidP="008C1F79" w14:paraId="1E780E29" w14:textId="04B15156">
      <w:pPr>
        <w:ind w:firstLine="720"/>
      </w:pPr>
      <w:r w:rsidRPr="00B34560">
        <w:t>While defendant</w:t>
      </w:r>
      <w:r w:rsidRPr="00B34560" w:rsidR="00CE796C">
        <w:t>’</w:t>
      </w:r>
      <w:r w:rsidRPr="00B34560">
        <w:t xml:space="preserve">s appeal was pending, </w:t>
      </w:r>
      <w:bookmarkStart w:id="12" w:name="dabmci_8554f99489b747b5ae00ad3d2165b50f"/>
      <w:r w:rsidRPr="00B34560">
        <w:t>Senate Bill No. 1223</w:t>
      </w:r>
      <w:bookmarkEnd w:id="12"/>
      <w:r w:rsidRPr="00B34560">
        <w:t xml:space="preserve"> (2021-2022 Reg. Sess.), effective January 1, 2023, amended </w:t>
      </w:r>
      <w:bookmarkStart w:id="13" w:name="dabmci_5705ff3898844b489917af801e4e28e8"/>
      <w:r w:rsidRPr="00B34560">
        <w:t>section 1001.36</w:t>
      </w:r>
      <w:bookmarkEnd w:id="13"/>
      <w:r w:rsidRPr="00B34560">
        <w:t> to give courts discretion to grant pretrial diversion “if the defendant satisfies the eligibility requirements for pretrial diversion set forth in subdivision (b)” and the court finds “that the defendant is suitable for that diversion under the factors set forth in subdivision (c).”</w:t>
      </w:r>
      <w:r w:rsidRPr="00B34560" w:rsidR="00CE796C">
        <w:t xml:space="preserve"> </w:t>
      </w:r>
      <w:r w:rsidRPr="00B34560">
        <w:t xml:space="preserve"> (</w:t>
      </w:r>
      <w:bookmarkStart w:id="14" w:name="dabmci_f5d9c25ed44b4a02bc68cfc601385286"/>
      <w:r w:rsidRPr="00B34560">
        <w:t>§ 1001.36, subd. (a</w:t>
      </w:r>
      <w:r w:rsidRPr="00B34560" w:rsidR="000C6856">
        <w:t>)</w:t>
      </w:r>
      <w:bookmarkEnd w:id="14"/>
      <w:r w:rsidR="000C6856">
        <w:t>,</w:t>
      </w:r>
      <w:r w:rsidRPr="00B34560" w:rsidR="000C6856">
        <w:t xml:space="preserve"> </w:t>
      </w:r>
      <w:r w:rsidRPr="00B34560">
        <w:t xml:space="preserve">as amended by Stats. 2022, ch. 735, § 1.) </w:t>
      </w:r>
      <w:r w:rsidRPr="00B34560" w:rsidR="00CE796C">
        <w:t xml:space="preserve"> </w:t>
      </w:r>
      <w:bookmarkStart w:id="15" w:name="dabmci_a1a8b3f80c2d42efbead2755b9f52072"/>
      <w:r w:rsidRPr="00B34560">
        <w:t>Senate Bill No. 1223</w:t>
      </w:r>
      <w:bookmarkEnd w:id="15"/>
      <w:r w:rsidRPr="00B34560" w:rsidR="008C1F79">
        <w:t>’</w:t>
      </w:r>
      <w:r w:rsidRPr="00B34560">
        <w:t>s amendments to </w:t>
      </w:r>
      <w:bookmarkStart w:id="16" w:name="dabmci_da122cf682974a34859d023e1a8dcfe3"/>
      <w:r w:rsidRPr="00B34560">
        <w:t>section 1001.36</w:t>
      </w:r>
      <w:bookmarkEnd w:id="16"/>
      <w:r w:rsidRPr="00B34560">
        <w:t> appl</w:t>
      </w:r>
      <w:r w:rsidRPr="00B34560" w:rsidR="008C1F79">
        <w:t>ied</w:t>
      </w:r>
      <w:r w:rsidRPr="00B34560">
        <w:t xml:space="preserve"> retroactively to </w:t>
      </w:r>
      <w:r w:rsidRPr="00B34560" w:rsidR="008C1F79">
        <w:t>defendant’s</w:t>
      </w:r>
      <w:r w:rsidRPr="00B34560">
        <w:t xml:space="preserve"> case</w:t>
      </w:r>
      <w:r w:rsidRPr="00B34560" w:rsidR="008C1F79">
        <w:t xml:space="preserve"> </w:t>
      </w:r>
      <w:r w:rsidRPr="00B34560" w:rsidR="007C080C">
        <w:t xml:space="preserve">on remand.  </w:t>
      </w:r>
      <w:r w:rsidRPr="00B34560" w:rsidR="008C1F79">
        <w:t>(</w:t>
      </w:r>
      <w:r w:rsidRPr="00B34560" w:rsidR="008C1F79">
        <w:rPr>
          <w:i/>
          <w:iCs/>
        </w:rPr>
        <w:t>Graham</w:t>
      </w:r>
      <w:r w:rsidR="005B7BEF">
        <w:rPr>
          <w:i/>
          <w:iCs/>
        </w:rPr>
        <w:t xml:space="preserve"> I</w:t>
      </w:r>
      <w:r w:rsidRPr="00B34560" w:rsidR="008C1F79">
        <w:t xml:space="preserve">, </w:t>
      </w:r>
      <w:r w:rsidRPr="00D97209" w:rsidR="00455D09">
        <w:rPr>
          <w:i/>
          <w:iCs/>
        </w:rPr>
        <w:t>supra</w:t>
      </w:r>
      <w:r w:rsidR="00455D09">
        <w:t xml:space="preserve">, </w:t>
      </w:r>
      <w:r w:rsidRPr="00B34560" w:rsidR="00455D09">
        <w:t>C087027</w:t>
      </w:r>
      <w:r w:rsidRPr="00B34560" w:rsidR="000C6856">
        <w:t>,</w:t>
      </w:r>
      <w:r w:rsidR="000C6856">
        <w:t xml:space="preserve"> </w:t>
      </w:r>
      <w:r w:rsidRPr="00B34560" w:rsidR="007C080C">
        <w:t xml:space="preserve">citing </w:t>
      </w:r>
      <w:bookmarkStart w:id="17" w:name="dabmci_8df04bacd0984317b27f78006f9156be"/>
      <w:r w:rsidRPr="00B34560" w:rsidR="007C080C">
        <w:rPr>
          <w:i/>
          <w:iCs/>
        </w:rPr>
        <w:t>Frahs</w:t>
      </w:r>
      <w:r w:rsidRPr="00DC06F5" w:rsidR="007C080C">
        <w:rPr>
          <w:i/>
          <w:iCs/>
        </w:rPr>
        <w:t>,</w:t>
      </w:r>
      <w:r w:rsidRPr="00B34560" w:rsidR="007C080C">
        <w:t xml:space="preserve"> </w:t>
      </w:r>
      <w:r w:rsidRPr="00B34560" w:rsidR="007C080C">
        <w:rPr>
          <w:i/>
          <w:iCs/>
        </w:rPr>
        <w:t>supra</w:t>
      </w:r>
      <w:r w:rsidRPr="00B34560" w:rsidR="007C080C">
        <w:t>, 9 Cal.5th at p. 640</w:t>
      </w:r>
      <w:bookmarkEnd w:id="17"/>
      <w:r w:rsidRPr="00B34560" w:rsidR="008C1F79">
        <w:t>.)</w:t>
      </w:r>
    </w:p>
    <w:p w:rsidR="00E60570" w:rsidRPr="00B34560" w:rsidP="008C1F79" w14:paraId="7EC4005A" w14:textId="4A50ECAE">
      <w:pPr>
        <w:ind w:firstLine="720"/>
      </w:pPr>
      <w:r w:rsidRPr="00B34560">
        <w:t>As presently enacted, </w:t>
      </w:r>
      <w:bookmarkStart w:id="18" w:name="dabmci_8814a51f23f94bc6b95921db5820b128"/>
      <w:r w:rsidRPr="00B34560">
        <w:t>section 1001.36, subdivision (b)</w:t>
      </w:r>
      <w:bookmarkEnd w:id="18"/>
      <w:r w:rsidRPr="00B34560">
        <w:t> provides that a defendant is eligible for pretrial diversion if two criteria are met.</w:t>
      </w:r>
      <w:r w:rsidRPr="00B34560" w:rsidR="008C1F79">
        <w:t xml:space="preserve"> </w:t>
      </w:r>
      <w:r w:rsidRPr="00B34560">
        <w:t xml:space="preserve"> First, the defendant has been diagnosed with a mental disorder, </w:t>
      </w:r>
      <w:r w:rsidR="00FF371A">
        <w:t xml:space="preserve">such as the one with which </w:t>
      </w:r>
      <w:r w:rsidRPr="00B34560" w:rsidR="008C1F79">
        <w:t>defendant</w:t>
      </w:r>
      <w:r w:rsidR="00FF371A">
        <w:t xml:space="preserve"> was diagnosed</w:t>
      </w:r>
      <w:r w:rsidRPr="00B34560">
        <w:t xml:space="preserve">, within the last five years by a qualified mental health expert. </w:t>
      </w:r>
      <w:r w:rsidRPr="00B34560" w:rsidR="008C1F79">
        <w:t xml:space="preserve"> </w:t>
      </w:r>
      <w:r w:rsidRPr="00B34560">
        <w:t>(</w:t>
      </w:r>
      <w:bookmarkStart w:id="19" w:name="dabmci_569b7ec050524a258b314d06504fe707"/>
      <w:r w:rsidRPr="00B34560">
        <w:t>§ 1001.36, subd. (b)(1)</w:t>
      </w:r>
      <w:bookmarkEnd w:id="19"/>
      <w:r w:rsidRPr="00B34560">
        <w:t xml:space="preserve">.) </w:t>
      </w:r>
      <w:r w:rsidRPr="00B34560" w:rsidR="008C1F79">
        <w:t xml:space="preserve"> </w:t>
      </w:r>
      <w:r w:rsidRPr="00B34560">
        <w:t xml:space="preserve">Second, the </w:t>
      </w:r>
      <w:r w:rsidR="007B2F9C">
        <w:t>“</w:t>
      </w:r>
      <w:r w:rsidRPr="00B34560">
        <w:t>defendan</w:t>
      </w:r>
      <w:r w:rsidRPr="00B34560" w:rsidR="008C1F79">
        <w:t>t’</w:t>
      </w:r>
      <w:r w:rsidRPr="00B34560">
        <w:t>s mental disorder was a significant factor in the commission of the charged offense</w:t>
      </w:r>
      <w:r w:rsidRPr="00B34560" w:rsidR="008C1F79">
        <w:t>.</w:t>
      </w:r>
      <w:r w:rsidR="007B2F9C">
        <w:t>”</w:t>
      </w:r>
      <w:r w:rsidRPr="00B34560" w:rsidR="008C1F79">
        <w:t xml:space="preserve">  (</w:t>
      </w:r>
      <w:bookmarkStart w:id="20" w:name="dabmci_608fa9069eeb420d81ec0432f7e12779"/>
      <w:r w:rsidRPr="00B34560" w:rsidR="008C1F79">
        <w:t>§ 1001.36, subd. (b)(2)</w:t>
      </w:r>
      <w:bookmarkEnd w:id="20"/>
      <w:r w:rsidRPr="00B34560" w:rsidR="008C1F79">
        <w:t xml:space="preserve">.)  </w:t>
      </w:r>
      <w:r w:rsidR="000C2AE6">
        <w:t>“</w:t>
      </w:r>
      <w:r w:rsidRPr="00B34560" w:rsidR="008C1F79">
        <w:t>I</w:t>
      </w:r>
      <w:r w:rsidRPr="00B34560">
        <w:t>f the defendant has been diagnosed with a mental disorder, the court shall find</w:t>
      </w:r>
      <w:r w:rsidR="000C2AE6">
        <w:t xml:space="preserve"> that</w:t>
      </w:r>
      <w:r w:rsidRPr="00B34560">
        <w:t xml:space="preserve"> the </w:t>
      </w:r>
      <w:r w:rsidR="000C2AE6">
        <w:t xml:space="preserve">defendant’s </w:t>
      </w:r>
      <w:r w:rsidRPr="00B34560">
        <w:t>mental disorder was a significant factor in the commission of the offense unless there is clear and convincing evidence that it was not a motivating factor, causal factor, or contributing factor to the defendant</w:t>
      </w:r>
      <w:r w:rsidRPr="00B34560" w:rsidR="007C080C">
        <w:t>’</w:t>
      </w:r>
      <w:r w:rsidRPr="00B34560">
        <w:t>s involvement in the alleged offense.</w:t>
      </w:r>
      <w:r w:rsidR="000C2AE6">
        <w:t>”</w:t>
      </w:r>
      <w:r w:rsidRPr="00B34560">
        <w:t xml:space="preserve"> </w:t>
      </w:r>
      <w:r w:rsidRPr="00B34560" w:rsidR="008C1F79">
        <w:t xml:space="preserve"> (</w:t>
      </w:r>
      <w:bookmarkStart w:id="21" w:name="dabmci_f761bedfb4fe459fa1923fdfc56fba4e"/>
      <w:r w:rsidRPr="00B34560" w:rsidR="008C1F79">
        <w:rPr>
          <w:i/>
          <w:iCs/>
        </w:rPr>
        <w:t>Ibid.</w:t>
      </w:r>
      <w:bookmarkEnd w:id="21"/>
      <w:r w:rsidRPr="00B34560" w:rsidR="008C1F79">
        <w:t>)</w:t>
      </w:r>
    </w:p>
    <w:p w:rsidR="00E60570" w:rsidP="007C080C" w14:paraId="1CB3058B" w14:textId="63179BA1">
      <w:pPr>
        <w:ind w:firstLine="720"/>
      </w:pPr>
      <w:r>
        <w:t>If a</w:t>
      </w:r>
      <w:r w:rsidRPr="00B34560">
        <w:t xml:space="preserve"> defendant </w:t>
      </w:r>
      <w:r>
        <w:t>meets</w:t>
      </w:r>
      <w:r w:rsidRPr="00B34560">
        <w:t xml:space="preserve"> the</w:t>
      </w:r>
      <w:r>
        <w:t>se</w:t>
      </w:r>
      <w:r w:rsidRPr="00B34560">
        <w:t xml:space="preserve"> eligibility requirements, the court </w:t>
      </w:r>
      <w:r w:rsidR="00FF371A">
        <w:t xml:space="preserve">also </w:t>
      </w:r>
      <w:r w:rsidRPr="00B34560">
        <w:t xml:space="preserve">must find </w:t>
      </w:r>
      <w:r w:rsidR="00FF371A">
        <w:t xml:space="preserve">that </w:t>
      </w:r>
      <w:r w:rsidRPr="00B34560">
        <w:t xml:space="preserve">the defendant is suitable for pretrial diversion </w:t>
      </w:r>
      <w:r>
        <w:t>based on satisfaction of</w:t>
      </w:r>
      <w:r w:rsidRPr="00B34560">
        <w:t xml:space="preserve"> the following criteria: </w:t>
      </w:r>
      <w:r w:rsidR="00053418">
        <w:t xml:space="preserve"> </w:t>
      </w:r>
      <w:r w:rsidRPr="00B34560">
        <w:t>“(1) In the opinion of a qualified mental health expert, the defendant</w:t>
      </w:r>
      <w:r w:rsidR="000A2FC5">
        <w:t>’</w:t>
      </w:r>
      <w:r w:rsidRPr="00B34560">
        <w:t>s symptoms of the mental disorder causing, contributing to, or motivating the criminal behavior would respond to mental health treatment.</w:t>
      </w:r>
      <w:r w:rsidR="00053418">
        <w:t xml:space="preserve"> </w:t>
      </w:r>
      <w:r w:rsidRPr="00B34560">
        <w:t> [¶]</w:t>
      </w:r>
      <w:r w:rsidR="00053418">
        <w:t xml:space="preserve"> </w:t>
      </w:r>
      <w:r w:rsidRPr="00B34560">
        <w:t xml:space="preserve"> (2) The defendant consents to diversion and waives the defendant</w:t>
      </w:r>
      <w:r w:rsidR="000A2FC5">
        <w:t>’</w:t>
      </w:r>
      <w:r w:rsidRPr="00B34560">
        <w:t xml:space="preserve">s right to a speedy trial </w:t>
      </w:r>
      <w:r w:rsidR="00053418">
        <w:t>. . . .</w:t>
      </w:r>
      <w:r w:rsidRPr="00B34560">
        <w:t xml:space="preserve"> </w:t>
      </w:r>
      <w:r w:rsidR="00053418">
        <w:t xml:space="preserve"> </w:t>
      </w:r>
      <w:r w:rsidRPr="00B34560">
        <w:t>[¶]</w:t>
      </w:r>
      <w:r w:rsidR="00053418">
        <w:t xml:space="preserve"> </w:t>
      </w:r>
      <w:r w:rsidRPr="00B34560">
        <w:t xml:space="preserve"> (3) The defendant agrees to comply with treatment as a condition of diversion </w:t>
      </w:r>
      <w:r w:rsidR="00053418">
        <w:t>. . . . </w:t>
      </w:r>
      <w:r w:rsidRPr="00B34560">
        <w:t xml:space="preserve"> [¶]</w:t>
      </w:r>
      <w:r w:rsidR="00053418">
        <w:t xml:space="preserve"> </w:t>
      </w:r>
      <w:r w:rsidRPr="00B34560">
        <w:t xml:space="preserve"> [and] (4) The defendant will not pose an unreasonable risk of danger to public safety, as defined in Section 1170.18, if treated in the community.”</w:t>
      </w:r>
      <w:r w:rsidRPr="00B34560" w:rsidR="007C080C">
        <w:t xml:space="preserve"> </w:t>
      </w:r>
      <w:r w:rsidRPr="00B34560">
        <w:t xml:space="preserve"> (</w:t>
      </w:r>
      <w:bookmarkStart w:id="22" w:name="dabmci_3741835b639d40c2ae099a007830ef08"/>
      <w:r w:rsidRPr="00B34560">
        <w:t>§ 1001.36, subd. (c)(1)-(4)</w:t>
      </w:r>
      <w:bookmarkEnd w:id="22"/>
      <w:r w:rsidRPr="00B34560">
        <w:t>.)</w:t>
      </w:r>
    </w:p>
    <w:p w:rsidR="00916497" w:rsidRPr="00B34560" w:rsidP="007C080C" w14:paraId="7E0A0248" w14:textId="0BA30F48">
      <w:pPr>
        <w:ind w:firstLine="720"/>
      </w:pPr>
      <w:r w:rsidRPr="00B34560">
        <w:t>We review a trial court</w:t>
      </w:r>
      <w:r>
        <w:t>’</w:t>
      </w:r>
      <w:r w:rsidRPr="00B34560">
        <w:t>s ruling on a petition for pretrial mental health diversion for abuse of discretion.  (</w:t>
      </w:r>
      <w:bookmarkStart w:id="23" w:name="dabmci_4a512954a471452bbd456ea1fa15fd1e"/>
      <w:r w:rsidRPr="00B34560">
        <w:rPr>
          <w:i/>
          <w:iCs/>
        </w:rPr>
        <w:t>People v. Whitmill</w:t>
      </w:r>
      <w:r w:rsidRPr="00B34560">
        <w:t> (2022) 86 Cal.App.5th 1138, 1147</w:t>
      </w:r>
      <w:bookmarkEnd w:id="23"/>
      <w:r w:rsidR="008621DB">
        <w:t>;</w:t>
      </w:r>
      <w:r w:rsidRPr="00B34560">
        <w:t> </w:t>
      </w:r>
      <w:bookmarkStart w:id="24" w:name="dabmci_e017730bbf1546ccbb673d8b90249807"/>
      <w:r w:rsidRPr="00B34560">
        <w:rPr>
          <w:i/>
          <w:iCs/>
        </w:rPr>
        <w:t>People v. Moine</w:t>
      </w:r>
      <w:r w:rsidRPr="00B34560">
        <w:t> (2021) 62 Cal.App.5th 440, 448-449</w:t>
      </w:r>
      <w:bookmarkEnd w:id="24"/>
      <w:r w:rsidRPr="00B34560">
        <w:t>; see</w:t>
      </w:r>
      <w:r w:rsidRPr="00B34560">
        <w:rPr>
          <w:i/>
          <w:iCs/>
        </w:rPr>
        <w:t xml:space="preserve"> </w:t>
      </w:r>
      <w:bookmarkStart w:id="25" w:name="dabmci_8e623aecabad465ca52064b34ef5da52"/>
      <w:r w:rsidRPr="00B34560">
        <w:rPr>
          <w:i/>
          <w:iCs/>
        </w:rPr>
        <w:t>Frahs</w:t>
      </w:r>
      <w:r w:rsidRPr="00212EAE">
        <w:rPr>
          <w:i/>
          <w:iCs/>
        </w:rPr>
        <w:t>,</w:t>
      </w:r>
      <w:r w:rsidRPr="00B34560">
        <w:t xml:space="preserve"> </w:t>
      </w:r>
      <w:r w:rsidRPr="00B34560">
        <w:rPr>
          <w:i/>
          <w:iCs/>
        </w:rPr>
        <w:t>supra</w:t>
      </w:r>
      <w:r w:rsidRPr="00B34560">
        <w:t>, 9 Cal.5th at p. 626</w:t>
      </w:r>
      <w:bookmarkEnd w:id="25"/>
      <w:r w:rsidRPr="00B34560">
        <w:t>.)  “A court abuses its discretion when it makes an arbitrary or capricious decision by applying the wrong legal standard [citations], or bases its decision on express or implied factual findings that are not supported by substantial evidence</w:t>
      </w:r>
      <w:r w:rsidR="00AA6380">
        <w:t xml:space="preserve"> [citation]</w:t>
      </w:r>
      <w:r w:rsidRPr="00B34560">
        <w:t>.”  (</w:t>
      </w:r>
      <w:bookmarkStart w:id="26" w:name="dabmci_8f11adef0e3f4834aab69fbdf2688546"/>
      <w:r w:rsidRPr="00B34560">
        <w:rPr>
          <w:i/>
          <w:iCs/>
        </w:rPr>
        <w:t>Moine</w:t>
      </w:r>
      <w:r w:rsidRPr="00DC06F5">
        <w:rPr>
          <w:i/>
          <w:iCs/>
        </w:rPr>
        <w:t>,</w:t>
      </w:r>
      <w:r>
        <w:t xml:space="preserve"> </w:t>
      </w:r>
      <w:r w:rsidRPr="00DC06F5" w:rsidR="00212EAE">
        <w:rPr>
          <w:i/>
          <w:iCs/>
        </w:rPr>
        <w:t>supra</w:t>
      </w:r>
      <w:r w:rsidR="00212EAE">
        <w:t xml:space="preserve">, </w:t>
      </w:r>
      <w:r w:rsidRPr="00B34560">
        <w:t>at p.</w:t>
      </w:r>
      <w:r w:rsidR="00995A50">
        <w:t> </w:t>
      </w:r>
      <w:r w:rsidRPr="00B34560">
        <w:t>449</w:t>
      </w:r>
      <w:bookmarkEnd w:id="26"/>
      <w:r w:rsidRPr="00B34560">
        <w:t>.)</w:t>
      </w:r>
    </w:p>
    <w:p w:rsidR="007F5A52" w:rsidRPr="00B34560" w:rsidP="00991B41" w14:paraId="3D9DC0FA" w14:textId="25916BAF">
      <w:pPr>
        <w:jc w:val="center"/>
        <w:rPr>
          <w:i/>
          <w:iCs/>
        </w:rPr>
      </w:pPr>
      <w:r w:rsidRPr="00DC4A85">
        <w:t>II</w:t>
      </w:r>
    </w:p>
    <w:p w:rsidR="00991B41" w:rsidRPr="00B34560" w:rsidP="00053418" w14:paraId="4BD075D2" w14:textId="0E97DAF3">
      <w:pPr>
        <w:keepNext/>
        <w:jc w:val="center"/>
        <w:rPr>
          <w:i/>
          <w:iCs/>
        </w:rPr>
      </w:pPr>
      <w:r w:rsidRPr="00B34560">
        <w:rPr>
          <w:i/>
          <w:iCs/>
        </w:rPr>
        <w:t>Trial Transcripts and Defendant’s Convictions</w:t>
      </w:r>
    </w:p>
    <w:p w:rsidR="008E061E" w:rsidRPr="00B34560" w:rsidP="00053418" w14:paraId="22CB9CF2" w14:textId="1D357E31">
      <w:pPr>
        <w:ind w:firstLine="720"/>
      </w:pPr>
      <w:r w:rsidRPr="00B34560">
        <w:t xml:space="preserve">We first consider defendant’s argument that the trial court prejudicially erred by considering her trial transcripts </w:t>
      </w:r>
      <w:r w:rsidR="003B050C">
        <w:t xml:space="preserve">as evidence when </w:t>
      </w:r>
      <w:r w:rsidRPr="00B34560">
        <w:t>deny</w:t>
      </w:r>
      <w:r w:rsidR="003B050C">
        <w:t>ing</w:t>
      </w:r>
      <w:r w:rsidRPr="00B34560">
        <w:t xml:space="preserve"> her request for </w:t>
      </w:r>
      <w:r w:rsidR="006B199A">
        <w:t xml:space="preserve">mental health </w:t>
      </w:r>
      <w:r w:rsidRPr="00B34560">
        <w:t xml:space="preserve">diversion.  </w:t>
      </w:r>
      <w:r w:rsidRPr="00B34560" w:rsidR="005B7BEF">
        <w:t>We find no error in the trial court’s ruling.</w:t>
      </w:r>
    </w:p>
    <w:p w:rsidR="00991B41" w:rsidRPr="00B34560" w:rsidP="008E061E" w14:paraId="7D1F0126" w14:textId="5EAFE697">
      <w:pPr>
        <w:ind w:firstLine="720"/>
      </w:pPr>
      <w:r>
        <w:t xml:space="preserve">Before </w:t>
      </w:r>
      <w:r w:rsidRPr="00B34560" w:rsidR="003D10B7">
        <w:t xml:space="preserve">the diversion hearing, defendant moved “to exclude all trial transcripts from consideration.”  </w:t>
      </w:r>
      <w:r w:rsidR="00E103A3">
        <w:t xml:space="preserve">Defendant </w:t>
      </w:r>
      <w:r w:rsidRPr="00B34560" w:rsidR="003D10B7">
        <w:t xml:space="preserve">argued that the </w:t>
      </w:r>
      <w:r w:rsidR="002B0BBC">
        <w:t xml:space="preserve">trial </w:t>
      </w:r>
      <w:r w:rsidRPr="00B34560" w:rsidR="003D10B7">
        <w:t xml:space="preserve">court </w:t>
      </w:r>
      <w:r w:rsidRPr="00B34560" w:rsidR="00137F30">
        <w:t xml:space="preserve">may not consider the </w:t>
      </w:r>
      <w:r>
        <w:t xml:space="preserve">trial </w:t>
      </w:r>
      <w:r w:rsidRPr="00B34560" w:rsidR="00137F30">
        <w:t xml:space="preserve">transcripts because it </w:t>
      </w:r>
      <w:r w:rsidRPr="00B34560" w:rsidR="001D42C6">
        <w:t>must</w:t>
      </w:r>
      <w:r w:rsidRPr="00B34560" w:rsidR="003D10B7">
        <w:t xml:space="preserve"> revert the case to its pretrial posture </w:t>
      </w:r>
      <w:r w:rsidRPr="00B34560" w:rsidR="001D42C6">
        <w:t>to properly assess her for pretrial diversion</w:t>
      </w:r>
      <w:r w:rsidRPr="00B34560" w:rsidR="00137F30">
        <w:t xml:space="preserve"> under</w:t>
      </w:r>
      <w:r w:rsidRPr="00B34560" w:rsidR="003D10B7">
        <w:t xml:space="preserve"> section 1001.36.  The trial court denied the motion</w:t>
      </w:r>
      <w:r w:rsidR="003B050C">
        <w:t xml:space="preserve">, reasoning </w:t>
      </w:r>
      <w:r w:rsidRPr="00B34560" w:rsidR="003D10B7">
        <w:t xml:space="preserve">that it was entitled to </w:t>
      </w:r>
      <w:r>
        <w:t xml:space="preserve">consider the evidence adduced in </w:t>
      </w:r>
      <w:r w:rsidRPr="00B34560" w:rsidR="003D10B7">
        <w:t xml:space="preserve">the transcripts, which </w:t>
      </w:r>
      <w:r>
        <w:t xml:space="preserve">was </w:t>
      </w:r>
      <w:r w:rsidR="005B7BEF">
        <w:t>crucial</w:t>
      </w:r>
      <w:r w:rsidRPr="00B34560" w:rsidR="003D10B7">
        <w:t xml:space="preserve"> to assessing defendant’s dangerousness.  It further noted that it </w:t>
      </w:r>
      <w:r w:rsidR="003B050C">
        <w:t xml:space="preserve">was </w:t>
      </w:r>
      <w:r w:rsidRPr="00B34560" w:rsidR="003D10B7">
        <w:t>familiar with defendant’s history</w:t>
      </w:r>
      <w:r w:rsidR="005B7BEF">
        <w:t>, having presided over her trial</w:t>
      </w:r>
      <w:r w:rsidRPr="00B34560" w:rsidR="003D10B7">
        <w:t>.</w:t>
      </w:r>
    </w:p>
    <w:p w:rsidR="00D56DEB" w:rsidRPr="00B34560" w:rsidP="00053418" w14:paraId="7DD1A07E" w14:textId="2153A215">
      <w:pPr>
        <w:ind w:firstLine="720"/>
      </w:pPr>
      <w:r w:rsidRPr="00B34560">
        <w:t xml:space="preserve">As amended, section 1001.36 permits the trial court to consider any and all relevant evidence.  (§ 1001.36, subd. (b)(2) [“A court may consider any relevant and credible evidence”].)  </w:t>
      </w:r>
      <w:r w:rsidRPr="00B34560" w:rsidR="00AF586B">
        <w:t xml:space="preserve">It does not carve out an exception for </w:t>
      </w:r>
      <w:r w:rsidR="00672788">
        <w:t>evidence presented at trial</w:t>
      </w:r>
      <w:r w:rsidRPr="00B34560" w:rsidR="00AF586B">
        <w:t xml:space="preserve">, </w:t>
      </w:r>
      <w:r w:rsidR="0043556E">
        <w:t xml:space="preserve">which makes sense given that the statute typically applies </w:t>
      </w:r>
      <w:r w:rsidR="0043556E">
        <w:rPr>
          <w:i/>
          <w:iCs/>
        </w:rPr>
        <w:t xml:space="preserve">before </w:t>
      </w:r>
      <w:r w:rsidR="0043556E">
        <w:t xml:space="preserve">a trial.  Because of the posture of this case, however, </w:t>
      </w:r>
      <w:r w:rsidRPr="00B34560" w:rsidR="00AF586B">
        <w:t xml:space="preserve">the trial court </w:t>
      </w:r>
      <w:r w:rsidR="0043556E">
        <w:t xml:space="preserve">had access to extensive trial transcripts and </w:t>
      </w:r>
      <w:r w:rsidRPr="00B34560" w:rsidR="00AF586B">
        <w:t xml:space="preserve">reasonably found </w:t>
      </w:r>
      <w:r w:rsidR="0043556E">
        <w:t xml:space="preserve">the trial evidence </w:t>
      </w:r>
      <w:r w:rsidRPr="00B34560" w:rsidR="00AF586B">
        <w:t>relevant to its assessment of defendant’s dangerousness.</w:t>
      </w:r>
      <w:r>
        <w:rPr>
          <w:rStyle w:val="FootnoteReference"/>
          <w:szCs w:val="20"/>
        </w:rPr>
        <w:footnoteReference w:id="4"/>
      </w:r>
      <w:r w:rsidRPr="00B34560" w:rsidR="00AF586B">
        <w:t xml:space="preserve">  </w:t>
      </w:r>
      <w:r w:rsidR="0043556E">
        <w:t>Notably</w:t>
      </w:r>
      <w:r w:rsidRPr="00B34560" w:rsidR="00AF586B">
        <w:t xml:space="preserve">, section 1001.36 expressly permits the trial court to consider preliminary hearing transcripts and witness statements.  Thus, even in a pretrial context, there is nothing preventing the court from hearing evidence of what the People </w:t>
      </w:r>
      <w:r w:rsidRPr="00B34560" w:rsidR="00567E4F">
        <w:t>anticipate presenting</w:t>
      </w:r>
      <w:r w:rsidRPr="00B34560" w:rsidR="00AF586B">
        <w:t xml:space="preserve"> at trial.</w:t>
      </w:r>
      <w:r w:rsidRPr="00B34560" w:rsidR="00567E4F">
        <w:t xml:space="preserve">  </w:t>
      </w:r>
      <w:r w:rsidR="0043556E">
        <w:t xml:space="preserve">Hence, </w:t>
      </w:r>
      <w:r w:rsidR="00B711A4">
        <w:t xml:space="preserve">consistent with the plain language of the statute, </w:t>
      </w:r>
      <w:r w:rsidR="0043556E">
        <w:t xml:space="preserve">we conclude that </w:t>
      </w:r>
      <w:r w:rsidR="00B711A4">
        <w:t>section 1001.36, subdivision (b)(2)</w:t>
      </w:r>
      <w:r w:rsidRPr="00B34560" w:rsidR="00567E4F">
        <w:t xml:space="preserve"> authorizes the trial court to consider </w:t>
      </w:r>
      <w:r w:rsidRPr="00B34560">
        <w:t xml:space="preserve">any </w:t>
      </w:r>
      <w:r w:rsidRPr="00B34560" w:rsidR="00567E4F">
        <w:t xml:space="preserve">relevant </w:t>
      </w:r>
      <w:r w:rsidR="00B711A4">
        <w:t>and credible evidence</w:t>
      </w:r>
      <w:r w:rsidRPr="00B34560" w:rsidR="00567E4F">
        <w:t xml:space="preserve"> regardless of the format or timing of </w:t>
      </w:r>
      <w:r w:rsidR="00231311">
        <w:t>its</w:t>
      </w:r>
      <w:r w:rsidRPr="00B34560" w:rsidR="00567E4F">
        <w:t xml:space="preserve"> presentation. </w:t>
      </w:r>
      <w:r w:rsidRPr="00B34560" w:rsidR="00AF586B">
        <w:t xml:space="preserve"> </w:t>
      </w:r>
      <w:r w:rsidRPr="00B34560" w:rsidR="00E73DCB">
        <w:t xml:space="preserve">(See </w:t>
      </w:r>
      <w:bookmarkStart w:id="27" w:name="dabmci_dbe74427bc0642cf90b30041ddab155c"/>
      <w:r w:rsidRPr="00B34560" w:rsidR="00E73DCB">
        <w:rPr>
          <w:i/>
          <w:iCs/>
        </w:rPr>
        <w:t xml:space="preserve">People v. Oneal </w:t>
      </w:r>
      <w:r w:rsidRPr="00B34560" w:rsidR="00E73DCB">
        <w:t>(2021) 64 Cal.App.5th 581, 591</w:t>
      </w:r>
      <w:bookmarkEnd w:id="27"/>
      <w:r w:rsidRPr="00B34560" w:rsidR="00E73DCB">
        <w:t xml:space="preserve"> [admissibility of evidence at </w:t>
      </w:r>
      <w:r w:rsidR="008621DB">
        <w:t>§</w:t>
      </w:r>
      <w:r w:rsidRPr="00B34560" w:rsidR="00E73DCB">
        <w:t xml:space="preserve"> 1001.36 hearing turns on the relevance of the proffered evidence].)</w:t>
      </w:r>
    </w:p>
    <w:p w:rsidR="00A13264" w:rsidRPr="00B34560" w:rsidP="00916497" w14:paraId="10D7FA45" w14:textId="69EA8A33">
      <w:pPr>
        <w:ind w:firstLine="720"/>
      </w:pPr>
      <w:r>
        <w:t xml:space="preserve">Despite the broad discretion granted by the </w:t>
      </w:r>
      <w:r w:rsidR="0043556E">
        <w:t xml:space="preserve">text of the </w:t>
      </w:r>
      <w:r>
        <w:t>statute, d</w:t>
      </w:r>
      <w:r w:rsidRPr="00B34560" w:rsidR="00D80995">
        <w:t xml:space="preserve">efendant contends that </w:t>
      </w:r>
      <w:bookmarkStart w:id="28" w:name="dabmci_728d71eceb2e41b6b8904afdcd754abe"/>
      <w:r w:rsidRPr="00B34560" w:rsidR="00D80995">
        <w:rPr>
          <w:i/>
          <w:iCs/>
        </w:rPr>
        <w:t>Frahs</w:t>
      </w:r>
      <w:r w:rsidRPr="00DC06F5" w:rsidR="00D80995">
        <w:rPr>
          <w:i/>
          <w:iCs/>
        </w:rPr>
        <w:t>,</w:t>
      </w:r>
      <w:r w:rsidRPr="00B34560" w:rsidR="00D80995">
        <w:t xml:space="preserve"> </w:t>
      </w:r>
      <w:r w:rsidRPr="00B34560" w:rsidR="00D80995">
        <w:rPr>
          <w:i/>
          <w:iCs/>
        </w:rPr>
        <w:t>supra</w:t>
      </w:r>
      <w:r w:rsidRPr="00B34560" w:rsidR="00D80995">
        <w:t>, 9 Cal.5th 618</w:t>
      </w:r>
      <w:bookmarkEnd w:id="28"/>
      <w:r w:rsidRPr="00B34560" w:rsidR="00D80995">
        <w:t xml:space="preserve"> and </w:t>
      </w:r>
      <w:bookmarkStart w:id="29" w:name="dabmci_69eb55282d404d6791b92a5e8a6900b4"/>
      <w:r w:rsidRPr="00B34560" w:rsidR="00D80995">
        <w:rPr>
          <w:i/>
          <w:iCs/>
        </w:rPr>
        <w:t xml:space="preserve">People v. Qualkinbush </w:t>
      </w:r>
      <w:r w:rsidRPr="00B34560" w:rsidR="00D80995">
        <w:t xml:space="preserve">(2022) 79 Cal.App.5th 879 </w:t>
      </w:r>
      <w:r w:rsidRPr="00B34560" w:rsidR="00512238">
        <w:t>(</w:t>
      </w:r>
      <w:r w:rsidRPr="00B34560" w:rsidR="00512238">
        <w:rPr>
          <w:i/>
          <w:iCs/>
        </w:rPr>
        <w:t>Qualkinbush</w:t>
      </w:r>
      <w:r w:rsidRPr="00B34560" w:rsidR="00512238">
        <w:t>)</w:t>
      </w:r>
      <w:bookmarkEnd w:id="29"/>
      <w:r w:rsidRPr="00B34560" w:rsidR="00512238">
        <w:t xml:space="preserve"> </w:t>
      </w:r>
      <w:r w:rsidR="00672788">
        <w:t>suggest</w:t>
      </w:r>
      <w:r w:rsidR="003F6AD0">
        <w:t xml:space="preserve"> that </w:t>
      </w:r>
      <w:r w:rsidR="00672788">
        <w:t>a</w:t>
      </w:r>
      <w:r w:rsidR="003F6AD0">
        <w:t xml:space="preserve"> court may not consider a defendant’s trial transcripts on remand</w:t>
      </w:r>
      <w:r w:rsidR="00307125">
        <w:t xml:space="preserve"> for a “pretrial” hearing</w:t>
      </w:r>
      <w:r w:rsidR="003F6AD0">
        <w:t xml:space="preserve">.  We find these cases distinguishable, as neither addresses the evidentiary question before us.  </w:t>
      </w:r>
      <w:r w:rsidR="008621DB">
        <w:t>I</w:t>
      </w:r>
      <w:r w:rsidRPr="00B34560" w:rsidR="00EE6F28">
        <w:t xml:space="preserve">n </w:t>
      </w:r>
      <w:bookmarkStart w:id="30" w:name="dabmci_a1752f019ebe425593860bbcc613d492"/>
      <w:r w:rsidRPr="00B34560" w:rsidR="00EE6F28">
        <w:rPr>
          <w:i/>
          <w:iCs/>
        </w:rPr>
        <w:t>Frahs</w:t>
      </w:r>
      <w:bookmarkEnd w:id="30"/>
      <w:r w:rsidRPr="00B34560" w:rsidR="00EE6F28">
        <w:t>,</w:t>
      </w:r>
      <w:r w:rsidRPr="00B34560" w:rsidR="00EE6F28">
        <w:rPr>
          <w:i/>
          <w:iCs/>
        </w:rPr>
        <w:t xml:space="preserve"> </w:t>
      </w:r>
      <w:r w:rsidRPr="00B34560" w:rsidR="00EE6F28">
        <w:t>our Supreme Court held that section 1001.36 applies retroactively to nonfinal judgments</w:t>
      </w:r>
      <w:r w:rsidR="003F6AD0">
        <w:t>.  (</w:t>
      </w:r>
      <w:bookmarkStart w:id="31" w:name="dabmci_95217aac451543278fe4144b38475167"/>
      <w:r w:rsidRPr="00B34560" w:rsidR="003F6AD0">
        <w:rPr>
          <w:i/>
          <w:iCs/>
        </w:rPr>
        <w:t>Frahs</w:t>
      </w:r>
      <w:r w:rsidRPr="00B34560" w:rsidR="003F6AD0">
        <w:t xml:space="preserve">, </w:t>
      </w:r>
      <w:r w:rsidRPr="008621DB" w:rsidR="008621DB">
        <w:rPr>
          <w:i/>
          <w:iCs/>
        </w:rPr>
        <w:t>supra</w:t>
      </w:r>
      <w:r w:rsidR="008621DB">
        <w:t xml:space="preserve">, </w:t>
      </w:r>
      <w:r w:rsidRPr="008621DB" w:rsidR="003F6AD0">
        <w:t>at</w:t>
      </w:r>
      <w:r w:rsidRPr="00B34560" w:rsidR="003F6AD0">
        <w:t xml:space="preserve"> p. 640</w:t>
      </w:r>
      <w:bookmarkEnd w:id="31"/>
      <w:r w:rsidR="003F6AD0">
        <w:t xml:space="preserve">.)  It then opined that the proper remedy </w:t>
      </w:r>
      <w:r w:rsidR="00672788">
        <w:t xml:space="preserve">for retroactive application of the statute </w:t>
      </w:r>
      <w:r w:rsidR="003F6AD0">
        <w:t>is</w:t>
      </w:r>
      <w:r w:rsidRPr="00B34560" w:rsidR="00EE6F28">
        <w:t xml:space="preserve"> a conditional</w:t>
      </w:r>
      <w:r w:rsidR="00672788">
        <w:t>,</w:t>
      </w:r>
      <w:r w:rsidRPr="00B34560" w:rsidR="00EE6F28">
        <w:t xml:space="preserve"> limited remand to conduct a mental health diversion eligibility </w:t>
      </w:r>
      <w:r w:rsidR="00672788">
        <w:t>hearing</w:t>
      </w:r>
      <w:r w:rsidRPr="00B34560" w:rsidR="00EE6F28">
        <w:t>.  (</w:t>
      </w:r>
      <w:bookmarkStart w:id="32" w:name="dabmci_2aed5cd73ab440f5a9e417b2d667c6d7"/>
      <w:r w:rsidR="003F6AD0">
        <w:rPr>
          <w:i/>
          <w:iCs/>
        </w:rPr>
        <w:t>Ibid</w:t>
      </w:r>
      <w:r w:rsidRPr="00B34560" w:rsidR="00EE6F28">
        <w:t>.</w:t>
      </w:r>
      <w:bookmarkEnd w:id="32"/>
      <w:r w:rsidRPr="00B34560" w:rsidR="00EE6F28">
        <w:t xml:space="preserve">)  In </w:t>
      </w:r>
      <w:r w:rsidR="00672788">
        <w:t>reaching this</w:t>
      </w:r>
      <w:r w:rsidRPr="00B34560" w:rsidR="00EE6F28">
        <w:t xml:space="preserve"> </w:t>
      </w:r>
      <w:r w:rsidR="00672788">
        <w:t>conclusion</w:t>
      </w:r>
      <w:r w:rsidRPr="00B34560" w:rsidR="00EE6F28">
        <w:t>, it stated</w:t>
      </w:r>
      <w:r w:rsidRPr="00B34560" w:rsidR="00D80995">
        <w:t xml:space="preserve"> the broad proposition that, on remand for retroactive application of section 1001.36, a case is restored to its “procedural posture before the jury verdict for purposes of evaluating </w:t>
      </w:r>
      <w:r w:rsidR="007118E7">
        <w:t xml:space="preserve">defendant’s </w:t>
      </w:r>
      <w:r w:rsidRPr="00B34560" w:rsidR="00D80995">
        <w:t>eligibility for pretrial mental health diversion.”  (</w:t>
      </w:r>
      <w:bookmarkStart w:id="33" w:name="dabmci_9dc7fecd5a0c4f9bb2fdc093d77f7066"/>
      <w:r w:rsidRPr="00B34560" w:rsidR="00D80995">
        <w:rPr>
          <w:i/>
          <w:iCs/>
        </w:rPr>
        <w:t>Frahs</w:t>
      </w:r>
      <w:r w:rsidRPr="00DC06F5" w:rsidR="00D80995">
        <w:t>,</w:t>
      </w:r>
      <w:r w:rsidRPr="00B34560" w:rsidR="00D80995">
        <w:t xml:space="preserve"> </w:t>
      </w:r>
      <w:r w:rsidRPr="00672788" w:rsidR="00D80995">
        <w:t>at</w:t>
      </w:r>
      <w:r w:rsidRPr="00B34560" w:rsidR="00D80995">
        <w:t xml:space="preserve"> p. 639</w:t>
      </w:r>
      <w:bookmarkEnd w:id="33"/>
      <w:r w:rsidRPr="00B34560" w:rsidR="00D80995">
        <w:t xml:space="preserve">.)  </w:t>
      </w:r>
      <w:r w:rsidRPr="00B34560" w:rsidR="00EE6F28">
        <w:t xml:space="preserve">Thus, </w:t>
      </w:r>
      <w:bookmarkStart w:id="34" w:name="dabmci_68c493aef15848e2ba5bfa79bf763f10"/>
      <w:r w:rsidRPr="00B34560" w:rsidR="00EE6F28">
        <w:rPr>
          <w:i/>
          <w:iCs/>
        </w:rPr>
        <w:t>Frahs</w:t>
      </w:r>
      <w:bookmarkEnd w:id="34"/>
      <w:r w:rsidRPr="00B34560" w:rsidR="00EE6F28">
        <w:rPr>
          <w:i/>
          <w:iCs/>
        </w:rPr>
        <w:t xml:space="preserve"> </w:t>
      </w:r>
      <w:r w:rsidRPr="00B34560" w:rsidR="00EE6F28">
        <w:t xml:space="preserve">addresses only a defendant’s entitlement to a retroactive diversion hearing, and the </w:t>
      </w:r>
      <w:r w:rsidR="00584278">
        <w:t>general</w:t>
      </w:r>
      <w:r w:rsidR="00672788">
        <w:t>, conditional</w:t>
      </w:r>
      <w:r w:rsidR="00584278">
        <w:t xml:space="preserve"> </w:t>
      </w:r>
      <w:r w:rsidRPr="00B34560" w:rsidR="00EE6F28">
        <w:t xml:space="preserve">posture of such cases on remand.  </w:t>
      </w:r>
      <w:r w:rsidR="0043556E">
        <w:t xml:space="preserve">The Supreme Court did </w:t>
      </w:r>
      <w:r w:rsidRPr="00B34560" w:rsidR="00EE6F28">
        <w:t xml:space="preserve">not consider the admissibility of evidence </w:t>
      </w:r>
      <w:r w:rsidR="00672788">
        <w:t>on remand</w:t>
      </w:r>
      <w:r w:rsidRPr="00B34560" w:rsidR="00EE6F28">
        <w:t>.</w:t>
      </w:r>
    </w:p>
    <w:p w:rsidR="00495EA1" w:rsidP="00495EA1" w14:paraId="6CF444C9" w14:textId="0D61E29A">
      <w:pPr>
        <w:ind w:firstLine="720"/>
      </w:pPr>
      <w:r w:rsidRPr="00B34560">
        <w:rPr>
          <w:i/>
          <w:iCs/>
        </w:rPr>
        <w:t>Qualkinbush</w:t>
      </w:r>
      <w:r w:rsidRPr="00B34560">
        <w:t xml:space="preserve"> is similarly inapplicable.  In </w:t>
      </w:r>
      <w:bookmarkStart w:id="35" w:name="dabmci_0deee46fd3674dd7aa9ef785768e5947"/>
      <w:r w:rsidRPr="00B34560">
        <w:rPr>
          <w:i/>
          <w:iCs/>
        </w:rPr>
        <w:t>Qualkinbush</w:t>
      </w:r>
      <w:bookmarkEnd w:id="35"/>
      <w:r w:rsidRPr="00B34560">
        <w:t xml:space="preserve">, the court recognized that applying the goals of sentencing to a mental health diversion application is </w:t>
      </w:r>
      <w:r w:rsidRPr="00B34560" w:rsidR="00137F30">
        <w:t>improper and</w:t>
      </w:r>
      <w:r w:rsidRPr="00B34560" w:rsidR="00512238">
        <w:t xml:space="preserve"> remanded the matter to the trial court to reconsider diversion</w:t>
      </w:r>
      <w:r w:rsidRPr="00B34560">
        <w:t>.  (</w:t>
      </w:r>
      <w:bookmarkStart w:id="36" w:name="dabmci_8c7fe7d689e843a8ac66f0db3112aec2"/>
      <w:r w:rsidRPr="00B34560" w:rsidR="00512238">
        <w:rPr>
          <w:i/>
          <w:iCs/>
        </w:rPr>
        <w:t>Qualkinbush</w:t>
      </w:r>
      <w:r w:rsidRPr="00DC06F5" w:rsidR="00512238">
        <w:rPr>
          <w:i/>
          <w:iCs/>
        </w:rPr>
        <w:t>,</w:t>
      </w:r>
      <w:r w:rsidRPr="00B34560" w:rsidR="00512238">
        <w:t xml:space="preserve"> </w:t>
      </w:r>
      <w:r w:rsidRPr="00B34560" w:rsidR="00512238">
        <w:rPr>
          <w:i/>
          <w:iCs/>
        </w:rPr>
        <w:t>supra</w:t>
      </w:r>
      <w:r w:rsidRPr="00B34560" w:rsidR="00512238">
        <w:t xml:space="preserve">, </w:t>
      </w:r>
      <w:r w:rsidRPr="00B34560" w:rsidR="003E4EBB">
        <w:t>79</w:t>
      </w:r>
      <w:r w:rsidR="00901FE9">
        <w:t> </w:t>
      </w:r>
      <w:r w:rsidRPr="00B34560" w:rsidR="003E4EBB">
        <w:t xml:space="preserve">Cal.App.5th </w:t>
      </w:r>
      <w:r w:rsidRPr="00B34560" w:rsidR="00512238">
        <w:t>at pp. 891-892</w:t>
      </w:r>
      <w:bookmarkEnd w:id="36"/>
      <w:r w:rsidRPr="00B34560" w:rsidR="00512238">
        <w:t xml:space="preserve">.) </w:t>
      </w:r>
      <w:r w:rsidRPr="00B34560">
        <w:t xml:space="preserve"> </w:t>
      </w:r>
      <w:r w:rsidRPr="00B34560" w:rsidR="00512238">
        <w:t xml:space="preserve">In a footnote, it commented that </w:t>
      </w:r>
      <w:r w:rsidRPr="00B34560">
        <w:t>“[f]or purposes of evaluating the defendant</w:t>
      </w:r>
      <w:r w:rsidR="000B2B6D">
        <w:t>’</w:t>
      </w:r>
      <w:r w:rsidRPr="00B34560">
        <w:t>s eligibility and/or suitability for pretrial mental health diversion,</w:t>
      </w:r>
      <w:r w:rsidRPr="00B34560" w:rsidR="00512238">
        <w:t xml:space="preserve"> </w:t>
      </w:r>
      <w:r w:rsidRPr="00B34560">
        <w:t>the court must treat the matter as if the charges against the</w:t>
      </w:r>
      <w:r w:rsidRPr="00B34560" w:rsidR="00512238">
        <w:t xml:space="preserve"> </w:t>
      </w:r>
      <w:r w:rsidRPr="00B34560">
        <w:t xml:space="preserve">defendant have not yet been adjudicated </w:t>
      </w:r>
      <w:r w:rsidR="00534BF9">
        <w:t>. . . </w:t>
      </w:r>
      <w:r w:rsidRPr="00B34560">
        <w:t xml:space="preserve">” </w:t>
      </w:r>
      <w:r w:rsidRPr="00B34560" w:rsidR="00512238">
        <w:t xml:space="preserve"> </w:t>
      </w:r>
      <w:r w:rsidRPr="00B34560">
        <w:t>(</w:t>
      </w:r>
      <w:bookmarkStart w:id="37" w:name="dabmci_c5ca7382d4ae43569c80a6a9d1f09d7a"/>
      <w:r w:rsidRPr="00B34560">
        <w:rPr>
          <w:i/>
          <w:iCs/>
        </w:rPr>
        <w:t xml:space="preserve">Id. </w:t>
      </w:r>
      <w:r w:rsidRPr="00B34560">
        <w:t xml:space="preserve">at </w:t>
      </w:r>
      <w:r w:rsidR="00F26A1F">
        <w:t xml:space="preserve">p. </w:t>
      </w:r>
      <w:r w:rsidRPr="00B34560">
        <w:t xml:space="preserve">892, </w:t>
      </w:r>
      <w:r w:rsidRPr="00B34560" w:rsidR="00512238">
        <w:t>f</w:t>
      </w:r>
      <w:r w:rsidRPr="00B34560">
        <w:t>n. 11</w:t>
      </w:r>
      <w:bookmarkEnd w:id="37"/>
      <w:r w:rsidRPr="00B34560" w:rsidR="00512238">
        <w:t xml:space="preserve">.)  Again, this is a statement about the </w:t>
      </w:r>
      <w:r w:rsidR="004A026E">
        <w:t xml:space="preserve">conditional </w:t>
      </w:r>
      <w:r w:rsidRPr="00B34560" w:rsidR="00512238">
        <w:t>posture of the case on remand;</w:t>
      </w:r>
      <w:r w:rsidRPr="00B34560" w:rsidR="00A615B9">
        <w:t xml:space="preserve"> </w:t>
      </w:r>
      <w:r w:rsidR="00672788">
        <w:t xml:space="preserve">neither </w:t>
      </w:r>
      <w:r w:rsidR="003E4EBB">
        <w:t xml:space="preserve">the </w:t>
      </w:r>
      <w:r w:rsidR="00672788">
        <w:rPr>
          <w:i/>
          <w:iCs/>
        </w:rPr>
        <w:t xml:space="preserve">Frahs </w:t>
      </w:r>
      <w:r w:rsidR="00672788">
        <w:t>nor</w:t>
      </w:r>
      <w:r w:rsidRPr="00B34560" w:rsidR="00512238">
        <w:t xml:space="preserve"> </w:t>
      </w:r>
      <w:r w:rsidRPr="00B34560" w:rsidR="00A615B9">
        <w:rPr>
          <w:i/>
          <w:iCs/>
        </w:rPr>
        <w:t>Qualkinbush</w:t>
      </w:r>
      <w:r w:rsidRPr="00B34560" w:rsidR="00A615B9">
        <w:t xml:space="preserve"> </w:t>
      </w:r>
      <w:r w:rsidRPr="00B34560" w:rsidR="00512238">
        <w:t>court</w:t>
      </w:r>
      <w:r w:rsidRPr="00B34560">
        <w:t xml:space="preserve"> suggest</w:t>
      </w:r>
      <w:r w:rsidR="00916497">
        <w:t>ed</w:t>
      </w:r>
      <w:r w:rsidRPr="00B34560">
        <w:t xml:space="preserve"> that a trial court </w:t>
      </w:r>
      <w:r w:rsidR="00584278">
        <w:t xml:space="preserve">must </w:t>
      </w:r>
      <w:r w:rsidR="00916497">
        <w:t>ignore</w:t>
      </w:r>
      <w:r w:rsidRPr="00B34560">
        <w:t xml:space="preserve"> relevant evidence simply because it was introduced at trial</w:t>
      </w:r>
      <w:r w:rsidRPr="00B34560" w:rsidR="00E9015B">
        <w:t>.</w:t>
      </w:r>
      <w:r>
        <w:rPr>
          <w:rStyle w:val="FootnoteReference"/>
        </w:rPr>
        <w:footnoteReference w:id="5"/>
      </w:r>
    </w:p>
    <w:p w:rsidR="00982D36" w:rsidP="00982D36" w14:paraId="1A5EBC45" w14:textId="5E8D117A">
      <w:pPr>
        <w:ind w:firstLine="720"/>
      </w:pPr>
      <w:r w:rsidRPr="00B34560">
        <w:t xml:space="preserve">In addressing defendant’s arguments regarding </w:t>
      </w:r>
      <w:r w:rsidR="00AE37E9">
        <w:t xml:space="preserve">the </w:t>
      </w:r>
      <w:r w:rsidRPr="00B34560">
        <w:t xml:space="preserve">admissibility of the trial transcripts, we are compelled to note the </w:t>
      </w:r>
      <w:r w:rsidR="00384EE4">
        <w:t>paradox</w:t>
      </w:r>
      <w:r w:rsidRPr="00B34560">
        <w:t xml:space="preserve"> inherent in her </w:t>
      </w:r>
      <w:r>
        <w:t>position</w:t>
      </w:r>
      <w:r w:rsidRPr="00B34560">
        <w:t xml:space="preserve">.  </w:t>
      </w:r>
      <w:r w:rsidR="004A026E">
        <w:t xml:space="preserve">While arguing that this case must be returned to its pretrial status, </w:t>
      </w:r>
      <w:r w:rsidR="00A13264">
        <w:t xml:space="preserve">effectively </w:t>
      </w:r>
      <w:r w:rsidR="00916497">
        <w:t xml:space="preserve">erasing </w:t>
      </w:r>
      <w:r w:rsidR="00A13264">
        <w:t>any</w:t>
      </w:r>
      <w:r w:rsidR="004A026E">
        <w:t xml:space="preserve"> evidence </w:t>
      </w:r>
      <w:r w:rsidR="00A13264">
        <w:t>of what occurred or was presented thereafter</w:t>
      </w:r>
      <w:r w:rsidR="004A026E">
        <w:t>, defendant simultaneously</w:t>
      </w:r>
      <w:r w:rsidRPr="00B34560">
        <w:t xml:space="preserve"> urges us to consider evidence of her progress and behavior while in prison</w:t>
      </w:r>
      <w:r w:rsidR="00B711A4">
        <w:t xml:space="preserve"> (</w:t>
      </w:r>
      <w:r w:rsidR="00EC16E2">
        <w:t>whi</w:t>
      </w:r>
      <w:r w:rsidR="00FB70FB">
        <w:t xml:space="preserve">ch </w:t>
      </w:r>
      <w:r w:rsidR="00231311">
        <w:t xml:space="preserve">defendant </w:t>
      </w:r>
      <w:r w:rsidR="00FB70FB">
        <w:t xml:space="preserve">introduced and </w:t>
      </w:r>
      <w:r w:rsidR="00231311">
        <w:t xml:space="preserve">urged the trial court to </w:t>
      </w:r>
      <w:r w:rsidR="00FB70FB">
        <w:t xml:space="preserve">consider at </w:t>
      </w:r>
      <w:r w:rsidR="00EC16E2">
        <w:t>her diversion hearing</w:t>
      </w:r>
      <w:r w:rsidR="00B711A4">
        <w:t>)</w:t>
      </w:r>
      <w:r w:rsidRPr="00B34560">
        <w:t xml:space="preserve">.  However, if we </w:t>
      </w:r>
      <w:r w:rsidR="00466FCA">
        <w:t xml:space="preserve">were </w:t>
      </w:r>
      <w:r w:rsidRPr="00B34560">
        <w:t>to conclude</w:t>
      </w:r>
      <w:r w:rsidR="00466FCA">
        <w:t xml:space="preserve"> </w:t>
      </w:r>
      <w:r w:rsidRPr="00B34560">
        <w:t xml:space="preserve">that the case </w:t>
      </w:r>
      <w:r w:rsidR="00466FCA">
        <w:t xml:space="preserve">must be returned </w:t>
      </w:r>
      <w:r w:rsidRPr="00B34560">
        <w:t xml:space="preserve">to its pretrial posture, </w:t>
      </w:r>
      <w:r w:rsidR="00466FCA">
        <w:t xml:space="preserve">and that </w:t>
      </w:r>
      <w:r w:rsidRPr="00B34560">
        <w:t xml:space="preserve">any trial and posttrial evidence must be excluded from the diversion analysis, it </w:t>
      </w:r>
      <w:r w:rsidR="00916497">
        <w:t xml:space="preserve">stands to reason </w:t>
      </w:r>
      <w:r w:rsidRPr="00B34560">
        <w:t xml:space="preserve">that evidence of defendant’s </w:t>
      </w:r>
      <w:r w:rsidRPr="00916497">
        <w:rPr>
          <w:i/>
          <w:iCs/>
        </w:rPr>
        <w:t>post-conviction</w:t>
      </w:r>
      <w:r w:rsidRPr="00B34560">
        <w:t xml:space="preserve"> </w:t>
      </w:r>
      <w:r w:rsidR="00916497">
        <w:t xml:space="preserve">actions or </w:t>
      </w:r>
      <w:r w:rsidRPr="00B34560">
        <w:t xml:space="preserve">behavior </w:t>
      </w:r>
      <w:r w:rsidR="00B711A4">
        <w:t>also would be</w:t>
      </w:r>
      <w:r w:rsidRPr="00B34560">
        <w:t xml:space="preserve"> subject to exclusion.  </w:t>
      </w:r>
      <w:r w:rsidR="00466FCA">
        <w:t>But</w:t>
      </w:r>
      <w:r w:rsidR="008621DB">
        <w:t>,</w:t>
      </w:r>
      <w:r w:rsidR="00466FCA">
        <w:t xml:space="preserve"> like trial evidence, </w:t>
      </w:r>
      <w:r w:rsidR="00B711A4">
        <w:t xml:space="preserve">evidence relating to a </w:t>
      </w:r>
      <w:r w:rsidR="004A026E">
        <w:t>defendant’s behavior in prison may be</w:t>
      </w:r>
      <w:r w:rsidRPr="00B34560">
        <w:t xml:space="preserve"> relevant and useful to </w:t>
      </w:r>
      <w:r w:rsidR="00B711A4">
        <w:t xml:space="preserve">a </w:t>
      </w:r>
      <w:r w:rsidRPr="00B34560">
        <w:t xml:space="preserve">court’s diversion assessment, and excluding such evidence </w:t>
      </w:r>
      <w:r w:rsidR="00B711A4">
        <w:t>c</w:t>
      </w:r>
      <w:r w:rsidRPr="00B34560">
        <w:t xml:space="preserve">ould </w:t>
      </w:r>
      <w:r w:rsidR="00B711A4">
        <w:t>unduly limit</w:t>
      </w:r>
      <w:r w:rsidRPr="00B34560" w:rsidR="00B711A4">
        <w:t xml:space="preserve"> </w:t>
      </w:r>
      <w:r w:rsidRPr="00B34560">
        <w:t xml:space="preserve">the court’s analysis.  </w:t>
      </w:r>
      <w:r>
        <w:t>Thus, the rule that</w:t>
      </w:r>
      <w:r w:rsidRPr="00B34560">
        <w:t xml:space="preserve"> defendant proposes brings into focus the difficulty inherent in drawing lin</w:t>
      </w:r>
      <w:r w:rsidR="00916497">
        <w:t xml:space="preserve">es of admissibility </w:t>
      </w:r>
      <w:r>
        <w:t>if we prohibit relevant evidence simply because of the posture of the case</w:t>
      </w:r>
      <w:r w:rsidR="004A026E">
        <w:t xml:space="preserve"> on remand</w:t>
      </w:r>
      <w:r>
        <w:t>.</w:t>
      </w:r>
    </w:p>
    <w:p w:rsidR="00982D36" w:rsidP="00982D36" w14:paraId="27845287" w14:textId="4851A96B">
      <w:pPr>
        <w:ind w:firstLine="720"/>
      </w:pPr>
      <w:r>
        <w:t xml:space="preserve">Based on the foregoing, we find no error </w:t>
      </w:r>
      <w:r w:rsidR="00916497">
        <w:t xml:space="preserve">or abuse of discretion </w:t>
      </w:r>
      <w:r>
        <w:t xml:space="preserve">in the </w:t>
      </w:r>
      <w:r w:rsidR="003E4EBB">
        <w:t xml:space="preserve">trial </w:t>
      </w:r>
      <w:r>
        <w:t xml:space="preserve">court’s consideration of </w:t>
      </w:r>
      <w:r w:rsidR="00916497">
        <w:t xml:space="preserve">facts from the </w:t>
      </w:r>
      <w:r>
        <w:t>trial transcripts.</w:t>
      </w:r>
      <w:r>
        <w:rPr>
          <w:rStyle w:val="FootnoteReference"/>
          <w:szCs w:val="20"/>
        </w:rPr>
        <w:footnoteReference w:id="6"/>
      </w:r>
    </w:p>
    <w:p w:rsidR="00EC6F94" w:rsidP="00982D36" w14:paraId="7A0EDC74" w14:textId="4466B494">
      <w:pPr>
        <w:ind w:firstLine="720"/>
      </w:pPr>
      <w:r>
        <w:t xml:space="preserve">We further </w:t>
      </w:r>
      <w:r w:rsidR="00495EA1">
        <w:t xml:space="preserve">find that defendant forfeited her argument that the </w:t>
      </w:r>
      <w:r w:rsidR="00CC2B7F">
        <w:t xml:space="preserve">trial </w:t>
      </w:r>
      <w:r w:rsidR="00495EA1">
        <w:t>court could not consider her convictions in its analysis.</w:t>
      </w:r>
      <w:r>
        <w:rPr>
          <w:rStyle w:val="FootnoteReference"/>
        </w:rPr>
        <w:footnoteReference w:id="7"/>
      </w:r>
      <w:r w:rsidR="00495EA1">
        <w:t xml:space="preserve">  </w:t>
      </w:r>
      <w:r w:rsidRPr="00495EA1" w:rsidR="00495EA1">
        <w:t>“It is axiomatic that arguments not raised in the trial court are forfeited on appeal.”  (</w:t>
      </w:r>
      <w:bookmarkStart w:id="40" w:name="dabmci_650fa44110834e0786a4a7c4fad52ae9"/>
      <w:r w:rsidRPr="00495EA1" w:rsidR="00495EA1">
        <w:rPr>
          <w:i/>
          <w:iCs/>
        </w:rPr>
        <w:t>Kern County Dept. of Child Support Services v. Camacho</w:t>
      </w:r>
      <w:r w:rsidRPr="00495EA1" w:rsidR="00495EA1">
        <w:t> (2012) 209 Cal.App.4th 1028, 1038</w:t>
      </w:r>
      <w:bookmarkEnd w:id="40"/>
      <w:r w:rsidRPr="00495EA1" w:rsidR="00495EA1">
        <w:t>.)</w:t>
      </w:r>
      <w:r w:rsidR="00982D36">
        <w:t xml:space="preserve">  Here, defendant’s</w:t>
      </w:r>
      <w:r w:rsidRPr="00982D36" w:rsidR="00982D36">
        <w:t xml:space="preserve"> attorney did not expressly object to the trial court’s consideration of defendant’s convictions at the hearing.  Rather, he made a motion “to exclude all trial transcripts from consideration by the Court</w:t>
      </w:r>
      <w:r w:rsidR="00982D36">
        <w:t xml:space="preserve">” because the case “should </w:t>
      </w:r>
      <w:r w:rsidR="00BC5E92">
        <w:t xml:space="preserve">have been, under the law, </w:t>
      </w:r>
      <w:r w:rsidRPr="00982D36" w:rsidR="00982D36">
        <w:t>looked at prior to her conviction.”  The court denied the motion and</w:t>
      </w:r>
      <w:r w:rsidR="00A13670">
        <w:t xml:space="preserve"> specifically</w:t>
      </w:r>
      <w:r w:rsidRPr="00982D36" w:rsidR="00982D36">
        <w:t xml:space="preserve"> found the </w:t>
      </w:r>
      <w:r w:rsidRPr="00982D36" w:rsidR="00982D36">
        <w:rPr>
          <w:i/>
          <w:iCs/>
        </w:rPr>
        <w:t>transcripts</w:t>
      </w:r>
      <w:r w:rsidRPr="00982D36" w:rsidR="00982D36">
        <w:t xml:space="preserve"> admissible</w:t>
      </w:r>
      <w:r w:rsidR="00A13670">
        <w:t xml:space="preserve">, making no mention of defendant’s </w:t>
      </w:r>
      <w:r w:rsidRPr="00E6427D" w:rsidR="00A13670">
        <w:rPr>
          <w:i/>
          <w:iCs/>
        </w:rPr>
        <w:t>convictions</w:t>
      </w:r>
      <w:r w:rsidR="00982D36">
        <w:t>.  Later, the</w:t>
      </w:r>
      <w:r w:rsidRPr="00982D36" w:rsidR="00982D36">
        <w:t xml:space="preserve"> court and prosecutor discuss</w:t>
      </w:r>
      <w:r w:rsidR="00A13264">
        <w:t>ed</w:t>
      </w:r>
      <w:r w:rsidRPr="00982D36" w:rsidR="00982D36">
        <w:t xml:space="preserve"> defendant’s convictions </w:t>
      </w:r>
      <w:r w:rsidR="00982D36">
        <w:t>at length</w:t>
      </w:r>
      <w:r w:rsidRPr="00982D36" w:rsidR="00982D36">
        <w:t xml:space="preserve">, </w:t>
      </w:r>
      <w:r w:rsidR="00982D36">
        <w:t xml:space="preserve">with regard to </w:t>
      </w:r>
      <w:r w:rsidR="006F3B7F">
        <w:t xml:space="preserve">the </w:t>
      </w:r>
      <w:r w:rsidR="00982D36">
        <w:t xml:space="preserve">suitability analysis, </w:t>
      </w:r>
      <w:r w:rsidRPr="00982D36" w:rsidR="00982D36">
        <w:t xml:space="preserve">and </w:t>
      </w:r>
      <w:r w:rsidR="00982D36">
        <w:t xml:space="preserve">defendant’s attorney </w:t>
      </w:r>
      <w:r w:rsidR="00A13670">
        <w:t>did</w:t>
      </w:r>
      <w:r w:rsidR="00982D36">
        <w:t xml:space="preserve"> not object</w:t>
      </w:r>
      <w:r w:rsidRPr="00982D36" w:rsidR="00982D36">
        <w:t xml:space="preserve">.  Later still, </w:t>
      </w:r>
      <w:r w:rsidR="00982D36">
        <w:t>defendant’s</w:t>
      </w:r>
      <w:r w:rsidRPr="00982D36" w:rsidR="00982D36">
        <w:t xml:space="preserve"> attorney sa</w:t>
      </w:r>
      <w:r w:rsidR="00F00FF9">
        <w:t>id</w:t>
      </w:r>
      <w:r w:rsidRPr="00982D36" w:rsidR="00982D36">
        <w:t>:  “She is not in any way asserting that she is not guilty of those crimes.</w:t>
      </w:r>
      <w:r w:rsidR="0085309B">
        <w:t xml:space="preserve">  </w:t>
      </w:r>
      <w:r w:rsidRPr="00982D36" w:rsidR="00982D36">
        <w:t xml:space="preserve">She absolutely takes responsibility for those terrible crimes </w:t>
      </w:r>
      <w:r w:rsidR="00D24F14">
        <w:t xml:space="preserve">that she did in 2016.  </w:t>
      </w:r>
      <w:r w:rsidRPr="00982D36" w:rsidR="00982D36">
        <w:t>She</w:t>
      </w:r>
      <w:r w:rsidR="00CC2B7F">
        <w:t>’</w:t>
      </w:r>
      <w:r w:rsidRPr="00982D36" w:rsidR="00982D36">
        <w:t xml:space="preserve">s not denying that.” </w:t>
      </w:r>
      <w:r w:rsidR="00982D36">
        <w:t xml:space="preserve"> Defense counsel also </w:t>
      </w:r>
      <w:r w:rsidR="00150563">
        <w:t>contested</w:t>
      </w:r>
      <w:r w:rsidRPr="00982D36" w:rsidR="00982D36">
        <w:t xml:space="preserve"> the meaning of the jury’s finding on the duress instruction</w:t>
      </w:r>
      <w:r w:rsidR="00150563">
        <w:t xml:space="preserve"> </w:t>
      </w:r>
      <w:r w:rsidR="008621DB">
        <w:t>with</w:t>
      </w:r>
      <w:r w:rsidR="00150563">
        <w:t xml:space="preserve"> regard to defendant’s convictions</w:t>
      </w:r>
      <w:r w:rsidRPr="00982D36" w:rsidR="00982D36">
        <w:t xml:space="preserve">, </w:t>
      </w:r>
      <w:r w:rsidR="00150563">
        <w:t>tacitly conceding their admissibility.</w:t>
      </w:r>
      <w:r w:rsidRPr="00982D36" w:rsidR="00982D36">
        <w:t xml:space="preserve">  </w:t>
      </w:r>
      <w:r w:rsidR="00982D36">
        <w:t>Finally, Dr.</w:t>
      </w:r>
      <w:r w:rsidR="00995A50">
        <w:t> </w:t>
      </w:r>
      <w:r w:rsidR="00982D36">
        <w:t>Ebert</w:t>
      </w:r>
      <w:r w:rsidR="00F00FF9">
        <w:t xml:space="preserve">—defendant’s </w:t>
      </w:r>
      <w:r w:rsidR="00D12255">
        <w:t xml:space="preserve">mental health </w:t>
      </w:r>
      <w:r w:rsidR="00F00FF9">
        <w:t>expert—</w:t>
      </w:r>
      <w:r w:rsidRPr="00982D36" w:rsidR="00982D36">
        <w:t>reference</w:t>
      </w:r>
      <w:r w:rsidR="00F00FF9">
        <w:t>d</w:t>
      </w:r>
      <w:r w:rsidRPr="00982D36" w:rsidR="00982D36">
        <w:t xml:space="preserve"> the crimes for which </w:t>
      </w:r>
      <w:r w:rsidR="00982D36">
        <w:t>defendant</w:t>
      </w:r>
      <w:r w:rsidRPr="00982D36" w:rsidR="00982D36">
        <w:t xml:space="preserve"> “was convicted” in his testimony</w:t>
      </w:r>
      <w:r w:rsidR="00982D36">
        <w:t xml:space="preserve">, and again, defense counsel </w:t>
      </w:r>
      <w:r w:rsidR="00150563">
        <w:t>did not object</w:t>
      </w:r>
      <w:r w:rsidRPr="00982D36" w:rsidR="00982D36">
        <w:t>.</w:t>
      </w:r>
    </w:p>
    <w:p w:rsidR="00495EA1" w:rsidP="00982D36" w14:paraId="7F5273A6" w14:textId="71585399">
      <w:pPr>
        <w:ind w:firstLine="720"/>
      </w:pPr>
      <w:r>
        <w:t>Based on this record, we conclude that defendant forfeited her argument that the trial court was barred from considering her convictions on appeal.</w:t>
      </w:r>
    </w:p>
    <w:p w:rsidR="00137F30" w:rsidRPr="00B34560" w:rsidP="00DC4A85" w14:paraId="7E74E5F5" w14:textId="0E190BDF">
      <w:pPr>
        <w:keepNext/>
        <w:jc w:val="center"/>
        <w:rPr>
          <w:i/>
          <w:iCs/>
        </w:rPr>
      </w:pPr>
      <w:r w:rsidRPr="00534BF9">
        <w:t>III</w:t>
      </w:r>
    </w:p>
    <w:p w:rsidR="009B740F" w:rsidRPr="00B34560" w:rsidP="00DC4A85" w14:paraId="55B802DD" w14:textId="226B724A">
      <w:pPr>
        <w:keepNext/>
        <w:jc w:val="center"/>
        <w:rPr>
          <w:i/>
          <w:iCs/>
        </w:rPr>
      </w:pPr>
      <w:r w:rsidRPr="00B34560">
        <w:rPr>
          <w:i/>
          <w:iCs/>
        </w:rPr>
        <w:t>Suitability</w:t>
      </w:r>
    </w:p>
    <w:p w:rsidR="009B740F" w:rsidRPr="00B34560" w:rsidP="00534BF9" w14:paraId="228546D5" w14:textId="6E7A5E57">
      <w:pPr>
        <w:ind w:firstLine="720"/>
      </w:pPr>
      <w:r w:rsidRPr="00B34560">
        <w:t xml:space="preserve">Defendant </w:t>
      </w:r>
      <w:r w:rsidR="00A13670">
        <w:t xml:space="preserve">next </w:t>
      </w:r>
      <w:r w:rsidRPr="00B34560">
        <w:t xml:space="preserve">contends that the trial court erred by finding her unsuitable for diversion.  We </w:t>
      </w:r>
      <w:r w:rsidR="009315B5">
        <w:t xml:space="preserve">again </w:t>
      </w:r>
      <w:r w:rsidRPr="00B34560">
        <w:t>disagree, as substantial evidence supports the trial court’s finding that defendant would pose an unreasonable risk to public safety if granted diversion and treated in the community.</w:t>
      </w:r>
    </w:p>
    <w:p w:rsidR="00A13264" w:rsidP="00A13264" w14:paraId="04DDF6DB" w14:textId="3474D556">
      <w:pPr>
        <w:ind w:firstLine="720"/>
      </w:pPr>
      <w:r w:rsidRPr="00B34560">
        <w:t xml:space="preserve">Whether a defendant would pose an </w:t>
      </w:r>
      <w:r w:rsidR="007B6FDE">
        <w:t>“</w:t>
      </w:r>
      <w:r w:rsidRPr="00B34560">
        <w:t>unreasonable risk of danger to public safety</w:t>
      </w:r>
      <w:r w:rsidR="007B6FDE">
        <w:t>”</w:t>
      </w:r>
      <w:r w:rsidRPr="00B34560">
        <w:t xml:space="preserve"> is </w:t>
      </w:r>
      <w:r w:rsidR="009315B5">
        <w:t xml:space="preserve">analyzed </w:t>
      </w:r>
      <w:r w:rsidR="007B6FDE">
        <w:t xml:space="preserve">employing the definition of that term found in </w:t>
      </w:r>
      <w:r w:rsidRPr="00B34560">
        <w:t>section 1170.18.  (§ 1001.36, subd. (c)</w:t>
      </w:r>
      <w:r w:rsidR="00D12255">
        <w:t>(4)</w:t>
      </w:r>
      <w:r w:rsidRPr="00B34560">
        <w:t xml:space="preserve">.)  </w:t>
      </w:r>
      <w:r w:rsidR="007B6FDE">
        <w:t>Under</w:t>
      </w:r>
      <w:r w:rsidRPr="00B34560">
        <w:t xml:space="preserve"> section 1170.18, an “</w:t>
      </w:r>
      <w:r w:rsidR="00D12255">
        <w:t> ‘</w:t>
      </w:r>
      <w:r w:rsidRPr="00B34560">
        <w:t>unreasonable risk of danger to public safety</w:t>
      </w:r>
      <w:r w:rsidR="00D12255">
        <w:t>’ </w:t>
      </w:r>
      <w:r w:rsidRPr="00B34560">
        <w:t>” is “an unreasonable risk that the petitioner will commit a new violent</w:t>
      </w:r>
      <w:r w:rsidRPr="00B34560" w:rsidR="001B0748">
        <w:t xml:space="preserve"> [super strike].”  </w:t>
      </w:r>
      <w:r w:rsidRPr="00B34560">
        <w:t>(§</w:t>
      </w:r>
      <w:r w:rsidR="00995A50">
        <w:t> </w:t>
      </w:r>
      <w:r w:rsidRPr="00B34560">
        <w:t xml:space="preserve">1170.18, subd. (c).)  </w:t>
      </w:r>
      <w:r w:rsidRPr="00B34560" w:rsidR="001B0748">
        <w:t xml:space="preserve">Thus, a defendant is not suitable for </w:t>
      </w:r>
      <w:r w:rsidRPr="00B34560">
        <w:t xml:space="preserve">diversion if </w:t>
      </w:r>
      <w:r w:rsidRPr="00B34560" w:rsidR="001B0748">
        <w:t xml:space="preserve">the </w:t>
      </w:r>
      <w:r w:rsidRPr="00B34560">
        <w:t xml:space="preserve">defendant is “too dangerous to be treated in the community because he </w:t>
      </w:r>
      <w:r w:rsidR="00CC2B7F">
        <w:t xml:space="preserve">[or she] </w:t>
      </w:r>
      <w:r w:rsidRPr="00B34560">
        <w:t>would commit a new violent super strike.”  (</w:t>
      </w:r>
      <w:bookmarkStart w:id="41" w:name="dabmci_0adf3f500f7d431e943c904975a6755d"/>
      <w:r w:rsidR="008621DB">
        <w:rPr>
          <w:i/>
          <w:iCs/>
        </w:rPr>
        <w:t xml:space="preserve">People v. </w:t>
      </w:r>
      <w:r w:rsidRPr="00B34560">
        <w:rPr>
          <w:i/>
          <w:iCs/>
        </w:rPr>
        <w:t>Whitmill</w:t>
      </w:r>
      <w:r w:rsidRPr="00DC06F5" w:rsidR="00994EDA">
        <w:rPr>
          <w:i/>
          <w:iCs/>
        </w:rPr>
        <w:t>,</w:t>
      </w:r>
      <w:r w:rsidR="00994EDA">
        <w:rPr>
          <w:i/>
          <w:iCs/>
        </w:rPr>
        <w:t xml:space="preserve"> supra</w:t>
      </w:r>
      <w:r w:rsidRPr="00995A50" w:rsidR="00994EDA">
        <w:t>,</w:t>
      </w:r>
      <w:r w:rsidR="00994EDA">
        <w:rPr>
          <w:i/>
          <w:iCs/>
        </w:rPr>
        <w:t xml:space="preserve"> </w:t>
      </w:r>
      <w:r w:rsidRPr="00B34560" w:rsidR="0037316F">
        <w:t xml:space="preserve">86 Cal.App.5th </w:t>
      </w:r>
      <w:r w:rsidRPr="00DC4A85" w:rsidR="00994EDA">
        <w:t>at p.</w:t>
      </w:r>
      <w:r w:rsidR="00994EDA">
        <w:rPr>
          <w:i/>
          <w:iCs/>
        </w:rPr>
        <w:t> </w:t>
      </w:r>
      <w:r w:rsidRPr="00B34560">
        <w:t>1150</w:t>
      </w:r>
      <w:bookmarkEnd w:id="41"/>
      <w:r w:rsidRPr="00B34560" w:rsidR="001B0748">
        <w:t xml:space="preserve">.)  </w:t>
      </w:r>
      <w:r w:rsidRPr="0018128B">
        <w:t>When determining whether the defendant will pose an unreasonable risk of danger to public safety, “[t]he court may consider the opinions of the district attorney, the defense, or a qualified mental health expert, and may consider the defendant</w:t>
      </w:r>
      <w:r w:rsidR="00A13670">
        <w:t>’</w:t>
      </w:r>
      <w:r w:rsidRPr="0018128B">
        <w:t>s treatment plan, the defendant</w:t>
      </w:r>
      <w:r w:rsidR="00CC2B7F">
        <w:t>’</w:t>
      </w:r>
      <w:r w:rsidRPr="0018128B">
        <w:t>s violence and criminal history, the current charged offense, and any other factors that the court deems appropriate.”</w:t>
      </w:r>
      <w:r w:rsidRPr="00B34560">
        <w:t xml:space="preserve"> </w:t>
      </w:r>
      <w:r w:rsidRPr="0018128B">
        <w:t xml:space="preserve"> (§</w:t>
      </w:r>
      <w:r w:rsidR="00361AEE">
        <w:t> </w:t>
      </w:r>
      <w:r w:rsidRPr="0018128B">
        <w:t>1001.36, subd. (c)(4).)</w:t>
      </w:r>
    </w:p>
    <w:p w:rsidR="00716686" w:rsidRPr="00B34560" w:rsidP="00597B92" w14:paraId="130AFE3C" w14:textId="54884657">
      <w:pPr>
        <w:ind w:firstLine="720"/>
      </w:pPr>
      <w:bookmarkStart w:id="42" w:name="_Hlk161312927"/>
      <w:r>
        <w:t>Here, w</w:t>
      </w:r>
      <w:r w:rsidRPr="00B34560" w:rsidR="009B740F">
        <w:t xml:space="preserve">hen assessing defendant’s suitability for diversion, the trial court </w:t>
      </w:r>
      <w:r>
        <w:t>observed</w:t>
      </w:r>
      <w:r w:rsidRPr="00B34560" w:rsidR="009B740F">
        <w:t xml:space="preserve"> that diversion applications are typically brought pretrial, such that the court and all “interested professionals” are “trying to predict ahead of time whether or not somebody poses a risk that they will commit a [super</w:t>
      </w:r>
      <w:r w:rsidR="00D448A8">
        <w:t xml:space="preserve"> </w:t>
      </w:r>
      <w:r w:rsidRPr="00B34560" w:rsidR="009B740F">
        <w:t xml:space="preserve">strike].”  </w:t>
      </w:r>
      <w:r w:rsidR="00F16C8F">
        <w:t>However, because</w:t>
      </w:r>
      <w:r w:rsidRPr="00B34560" w:rsidR="009B740F">
        <w:t xml:space="preserve"> defendant </w:t>
      </w:r>
      <w:r w:rsidR="00B94937">
        <w:t>had already been</w:t>
      </w:r>
      <w:r w:rsidRPr="00B34560" w:rsidR="009B740F">
        <w:t xml:space="preserve"> convicted of two super strikes, </w:t>
      </w:r>
      <w:r w:rsidR="00F16C8F">
        <w:t xml:space="preserve">the court </w:t>
      </w:r>
      <w:r w:rsidR="006A782B">
        <w:t xml:space="preserve">stated that </w:t>
      </w:r>
      <w:r w:rsidRPr="00B34560" w:rsidR="009B740F">
        <w:t xml:space="preserve">nobody “[had] to speculate,” as “there is no doubt” she committed two such crimes.  Thus, when considering </w:t>
      </w:r>
      <w:r w:rsidR="006A782B">
        <w:t xml:space="preserve">defendant’s dangerousness and </w:t>
      </w:r>
      <w:r w:rsidRPr="00B34560" w:rsidR="009B740F">
        <w:t>the interests of the community, the trial court found that defendant’s “participation in this case</w:t>
      </w:r>
      <w:r w:rsidRPr="00B34560" w:rsidR="00845120">
        <w:t>,” “</w:t>
      </w:r>
      <w:r w:rsidRPr="00B34560" w:rsidR="009B740F">
        <w:t xml:space="preserve">what </w:t>
      </w:r>
      <w:r w:rsidRPr="009B740F" w:rsidR="009B740F">
        <w:t>the two crimes were,</w:t>
      </w:r>
      <w:r w:rsidRPr="00B34560" w:rsidR="00845120">
        <w:t>” and the fact that she</w:t>
      </w:r>
      <w:r w:rsidRPr="009B740F" w:rsidR="009B740F">
        <w:t xml:space="preserve"> </w:t>
      </w:r>
      <w:r w:rsidRPr="00B34560" w:rsidR="00845120">
        <w:t>“</w:t>
      </w:r>
      <w:r w:rsidRPr="009B740F" w:rsidR="009B740F">
        <w:t>has been convicted of</w:t>
      </w:r>
      <w:r w:rsidRPr="00B34560" w:rsidR="007B763B">
        <w:t xml:space="preserve"> </w:t>
      </w:r>
      <w:r w:rsidRPr="009B740F" w:rsidR="009B740F">
        <w:t xml:space="preserve">two crimes that carry </w:t>
      </w:r>
      <w:r w:rsidR="00B95104">
        <w:t>. . .</w:t>
      </w:r>
      <w:r w:rsidRPr="009B740F" w:rsidR="009B740F">
        <w:t xml:space="preserve"> life in prison sentences</w:t>
      </w:r>
      <w:r w:rsidR="00D12255">
        <w:t>,</w:t>
      </w:r>
      <w:r w:rsidRPr="00B34560" w:rsidR="007B763B">
        <w:t xml:space="preserve"> .</w:t>
      </w:r>
      <w:r w:rsidR="00361AEE">
        <w:t> </w:t>
      </w:r>
      <w:r w:rsidRPr="00B34560" w:rsidR="007B763B">
        <w:t>.</w:t>
      </w:r>
      <w:r w:rsidR="00361AEE">
        <w:t> </w:t>
      </w:r>
      <w:r w:rsidRPr="00B34560" w:rsidR="007B763B">
        <w:t>.</w:t>
      </w:r>
      <w:r w:rsidR="00D448A8">
        <w:t> </w:t>
      </w:r>
      <w:r w:rsidR="00570F6D">
        <w:t xml:space="preserve"> </w:t>
      </w:r>
      <w:r w:rsidRPr="00B34560" w:rsidR="00570F6D">
        <w:t>[¶]</w:t>
      </w:r>
      <w:r w:rsidR="00570F6D">
        <w:t xml:space="preserve">  </w:t>
      </w:r>
      <w:r w:rsidRPr="00B34560" w:rsidR="009B740F">
        <w:t>disqualify her</w:t>
      </w:r>
      <w:r w:rsidRPr="00B34560" w:rsidR="007B763B">
        <w:t>” and “the dangerousness standard is met.”</w:t>
      </w:r>
    </w:p>
    <w:bookmarkEnd w:id="42"/>
    <w:p w:rsidR="0000274E" w:rsidP="00361AEE" w14:paraId="5BD67021" w14:textId="332A66CF">
      <w:pPr>
        <w:ind w:firstLine="720"/>
      </w:pPr>
      <w:r w:rsidRPr="00B34560">
        <w:t>It therefore appears that the trial court based its determination on the serious and violent nature of defendant’s charged crimes</w:t>
      </w:r>
      <w:r w:rsidR="006A782B">
        <w:t xml:space="preserve"> and defendant’s actions during the commission of those crimes</w:t>
      </w:r>
      <w:r w:rsidRPr="00B34560">
        <w:t xml:space="preserve">.  </w:t>
      </w:r>
      <w:r w:rsidR="00F16C8F">
        <w:t>S</w:t>
      </w:r>
      <w:r w:rsidRPr="00B34560">
        <w:t xml:space="preserve">ection 1001.36 grants broad discretion to the court to consider any factors it deems appropriate when assessing dangerousness, </w:t>
      </w:r>
      <w:r w:rsidR="00F16C8F">
        <w:t xml:space="preserve">and </w:t>
      </w:r>
      <w:r w:rsidRPr="00B34560">
        <w:t>it expressly includes “</w:t>
      </w:r>
      <w:r w:rsidRPr="0018128B">
        <w:t xml:space="preserve">the </w:t>
      </w:r>
      <w:r w:rsidRPr="0018128B" w:rsidR="00F16C8F">
        <w:t>defendant</w:t>
      </w:r>
      <w:r w:rsidR="00F16C8F">
        <w:t>’</w:t>
      </w:r>
      <w:r w:rsidRPr="0018128B" w:rsidR="00F16C8F">
        <w:t xml:space="preserve">s </w:t>
      </w:r>
      <w:r w:rsidRPr="0018128B">
        <w:t>violence and criminal history</w:t>
      </w:r>
      <w:r w:rsidRPr="00B34560">
        <w:t>” and</w:t>
      </w:r>
      <w:r w:rsidRPr="0018128B">
        <w:t xml:space="preserve"> </w:t>
      </w:r>
      <w:r w:rsidRPr="00B34560">
        <w:t>“</w:t>
      </w:r>
      <w:r w:rsidRPr="0018128B">
        <w:t>the current charged offense</w:t>
      </w:r>
      <w:r w:rsidRPr="00B34560">
        <w:t xml:space="preserve">” </w:t>
      </w:r>
      <w:r w:rsidR="00F16C8F">
        <w:t>among the</w:t>
      </w:r>
      <w:r w:rsidRPr="00B34560">
        <w:t xml:space="preserve"> permissible factors.  </w:t>
      </w:r>
      <w:r w:rsidRPr="0018128B">
        <w:t>(§ 1001.36, subd. (c)(4)</w:t>
      </w:r>
      <w:r w:rsidRPr="00B34560">
        <w:t>.)</w:t>
      </w:r>
      <w:r w:rsidRPr="00B34560" w:rsidR="001E1914">
        <w:t xml:space="preserve">  “[T]</w:t>
      </w:r>
      <w:r w:rsidRPr="00557E8E" w:rsidR="001E1914">
        <w:t>here is nothing in section 1001.36, with respect to</w:t>
      </w:r>
      <w:r w:rsidR="00570F6D">
        <w:t>. . .</w:t>
      </w:r>
      <w:r w:rsidR="008C37ED">
        <w:t> </w:t>
      </w:r>
      <w:r w:rsidRPr="00557E8E" w:rsidR="001E1914">
        <w:t>suitability, that precludes a trial court from relying primarily, or even entirely, on the circumstances of the charged offense or offenses in denying a motion for diversion.</w:t>
      </w:r>
      <w:r w:rsidRPr="00B34560" w:rsidR="001E1914">
        <w:t>”  (</w:t>
      </w:r>
      <w:bookmarkStart w:id="43" w:name="dabmci_b8eb1584e04946a7963c67733aad2018"/>
      <w:r w:rsidRPr="00B34560" w:rsidR="000C6A2F">
        <w:rPr>
          <w:i/>
          <w:iCs/>
        </w:rPr>
        <w:t xml:space="preserve">People v. Bunas </w:t>
      </w:r>
      <w:r w:rsidRPr="00B34560" w:rsidR="000C6A2F">
        <w:t>(2022) 79 Cal.App.5th 840, 862</w:t>
      </w:r>
      <w:bookmarkEnd w:id="43"/>
      <w:r w:rsidRPr="00B34560" w:rsidR="000C6A2F">
        <w:t>.)</w:t>
      </w:r>
      <w:r w:rsidRPr="00B34560" w:rsidR="001E1914">
        <w:t xml:space="preserve">  </w:t>
      </w:r>
      <w:r w:rsidRPr="00B34560">
        <w:t xml:space="preserve">Thus, the court acted within its discretion </w:t>
      </w:r>
      <w:r w:rsidR="00F16C8F">
        <w:t>in</w:t>
      </w:r>
      <w:r w:rsidRPr="00B34560" w:rsidR="00F16C8F">
        <w:t xml:space="preserve"> determin</w:t>
      </w:r>
      <w:r w:rsidR="00F16C8F">
        <w:t>ing</w:t>
      </w:r>
      <w:r w:rsidRPr="00B34560" w:rsidR="00F16C8F">
        <w:t xml:space="preserve"> </w:t>
      </w:r>
      <w:r w:rsidRPr="00B34560">
        <w:t xml:space="preserve">that the nature </w:t>
      </w:r>
      <w:r w:rsidRPr="00B34560" w:rsidR="00D044D4">
        <w:t xml:space="preserve">and manner </w:t>
      </w:r>
      <w:r w:rsidRPr="00B34560">
        <w:t>of defendant’s charged crimes</w:t>
      </w:r>
      <w:r w:rsidR="00DC06F5">
        <w:t>—</w:t>
      </w:r>
      <w:r w:rsidRPr="00B34560" w:rsidR="00D044D4">
        <w:t>and particularly, the</w:t>
      </w:r>
      <w:r w:rsidRPr="00B34560">
        <w:t xml:space="preserve"> two super strikes</w:t>
      </w:r>
      <w:r w:rsidR="00DC06F5">
        <w:t>—</w:t>
      </w:r>
      <w:r w:rsidRPr="00B34560">
        <w:t>rendered her likely to commit another super strike.</w:t>
      </w:r>
    </w:p>
    <w:p w:rsidR="0000274E" w:rsidRPr="00B34560" w:rsidP="0000274E" w14:paraId="3BA531A5" w14:textId="29AC7435">
      <w:pPr>
        <w:ind w:firstLine="720"/>
      </w:pPr>
      <w:r w:rsidRPr="00B34560">
        <w:t xml:space="preserve">Specifically, </w:t>
      </w:r>
      <w:r>
        <w:t xml:space="preserve">the evidence </w:t>
      </w:r>
      <w:r w:rsidR="00B94937">
        <w:t xml:space="preserve">presented at trial </w:t>
      </w:r>
      <w:r>
        <w:t>revealed the following</w:t>
      </w:r>
      <w:r w:rsidR="004363BE">
        <w:t>:</w:t>
      </w:r>
      <w:r>
        <w:t xml:space="preserve"> </w:t>
      </w:r>
      <w:r w:rsidR="008C37ED">
        <w:t xml:space="preserve"> </w:t>
      </w:r>
      <w:r>
        <w:t xml:space="preserve">On </w:t>
      </w:r>
      <w:r w:rsidRPr="00B34560">
        <w:t xml:space="preserve">August 27, 2016, the day before the charged offenses, defendant and Navarro rented a motel room.  </w:t>
      </w:r>
      <w:r w:rsidRPr="003A550D">
        <w:t>Video surveillance from the motel show</w:t>
      </w:r>
      <w:r w:rsidRPr="00B34560">
        <w:t>ed</w:t>
      </w:r>
      <w:r w:rsidRPr="003A550D">
        <w:t xml:space="preserve"> </w:t>
      </w:r>
      <w:r w:rsidRPr="00B34560">
        <w:t xml:space="preserve">them laughing and smiling while talking to the motel clerk upon entry.  The following day, defendant walked in front of the victim’s car while he was parked at a gas station.  Defendant smiled at him, opened the </w:t>
      </w:r>
      <w:r w:rsidR="00232FF2">
        <w:t xml:space="preserve">passenger </w:t>
      </w:r>
      <w:r w:rsidRPr="00B34560">
        <w:t xml:space="preserve">car door, and got into the car.  He told defendant to get out, but she put her hand on his crotch and his hand on her breast and said she needed a ride back to the </w:t>
      </w:r>
      <w:r w:rsidR="00232FF2">
        <w:t>m</w:t>
      </w:r>
      <w:r w:rsidRPr="00B34560">
        <w:t xml:space="preserve">otel.  He decided to drive her to the motel so she would leave his car.  At the motel, she pressed him to come into her room </w:t>
      </w:r>
      <w:r w:rsidR="00232FF2">
        <w:t xml:space="preserve">for a drink </w:t>
      </w:r>
      <w:r w:rsidRPr="00B34560">
        <w:t>after he hesitated.  When he</w:t>
      </w:r>
      <w:r>
        <w:t xml:space="preserve"> acquiesced and</w:t>
      </w:r>
      <w:r w:rsidRPr="00B34560">
        <w:t xml:space="preserve"> entered the room, Navarro, wearing a Halloween mask, grabbed him and pushed him face down on the bed while holding a box cutter with an exposed blade.  Someone took the victim’s wallet and keys from his pants, and defendant and Navarro asked for his PIN.  Defendant left while Navarro pressed the box cutter to the victim’s neck, demanding his PIN.  Navarro repeated the PIN over the phone and $400 was withdraw</w:t>
      </w:r>
      <w:r w:rsidR="00AE37E9">
        <w:t>n</w:t>
      </w:r>
      <w:r w:rsidRPr="00B34560">
        <w:t xml:space="preserve"> from the victim’s bank account.  Defendant returned to the </w:t>
      </w:r>
      <w:r w:rsidR="00232FF2">
        <w:t xml:space="preserve">motel </w:t>
      </w:r>
      <w:r w:rsidRPr="00B34560">
        <w:t>room and hit the victim with her hat.  Defendant acted angry and the victim was afraid of her.</w:t>
      </w:r>
    </w:p>
    <w:p w:rsidR="0000274E" w:rsidRPr="00B34560" w:rsidP="0000274E" w14:paraId="4B6E64D4" w14:textId="190E4C73">
      <w:pPr>
        <w:ind w:firstLine="720"/>
      </w:pPr>
      <w:r w:rsidRPr="00B34560">
        <w:t>Navarro taped the victim’s wrist</w:t>
      </w:r>
      <w:r w:rsidR="00567F5E">
        <w:t>s</w:t>
      </w:r>
      <w:r w:rsidRPr="00B34560">
        <w:t xml:space="preserve"> together and put him in Navarro’s</w:t>
      </w:r>
      <w:r w:rsidR="009315B5">
        <w:t xml:space="preserve"> Toyota </w:t>
      </w:r>
      <w:r w:rsidRPr="00B34560">
        <w:t>4Runner.  At that time, the victim heard defendant say they would take him “</w:t>
      </w:r>
      <w:r w:rsidR="00232FF2">
        <w:t> ‘</w:t>
      </w:r>
      <w:r w:rsidRPr="00B34560">
        <w:t>to the woods.</w:t>
      </w:r>
      <w:r w:rsidR="00232FF2">
        <w:t>’ </w:t>
      </w:r>
      <w:r w:rsidRPr="00B34560">
        <w:t xml:space="preserve">”  Defendant </w:t>
      </w:r>
      <w:r w:rsidR="00567F5E">
        <w:t>got</w:t>
      </w:r>
      <w:r w:rsidRPr="00B34560">
        <w:t xml:space="preserve"> into the victim’s Prius</w:t>
      </w:r>
      <w:r w:rsidR="00F16C8F">
        <w:t xml:space="preserve"> </w:t>
      </w:r>
      <w:r w:rsidRPr="00B34560">
        <w:t>and drove away.  Both defendant and Navarro drove on the freeway and exited at a vacant lot.  Navarro shoved the victim into the Prius and drove to a gas station in the 4Runner.  Defendant drove the Prius</w:t>
      </w:r>
      <w:r>
        <w:t>, with the victim inside,</w:t>
      </w:r>
      <w:r w:rsidRPr="00B34560">
        <w:t xml:space="preserve"> in circles around the </w:t>
      </w:r>
      <w:r>
        <w:t xml:space="preserve">gas station </w:t>
      </w:r>
      <w:r w:rsidRPr="00B34560">
        <w:t>parking lot</w:t>
      </w:r>
      <w:r>
        <w:t xml:space="preserve">.  Then </w:t>
      </w:r>
      <w:r w:rsidRPr="00B34560">
        <w:t xml:space="preserve">both defendant and Navarro </w:t>
      </w:r>
      <w:r w:rsidR="00567F5E">
        <w:t>got back</w:t>
      </w:r>
      <w:r w:rsidRPr="00B34560" w:rsidR="00567F5E">
        <w:t xml:space="preserve"> </w:t>
      </w:r>
      <w:r w:rsidRPr="00B34560">
        <w:t>on the freeway, with defendant driving in front of Navarro.</w:t>
      </w:r>
    </w:p>
    <w:p w:rsidR="0000274E" w:rsidRPr="00B34560" w:rsidP="0000274E" w14:paraId="651EE358" w14:textId="7A804AB5">
      <w:pPr>
        <w:ind w:firstLine="720"/>
      </w:pPr>
      <w:r w:rsidRPr="00B34560">
        <w:t xml:space="preserve">The victim started biting the tape off his hands and thought defendant saw him in the rearview mirror.  Defendant pulled over and stopped, as did Navarro.  Defendant told Navarro the victim was trying to take off the tape, but Navarro said it was fine.  They both drove back onto the freeway.  The victim continued unraveling his tape, and defendant pulled over again.  While the car was still moving, the victim jumped out of the vehicle and was rescued by a couple driving by.  Defendant left the Prius and got into the 4Runner with Navarro, who drove </w:t>
      </w:r>
      <w:r>
        <w:t xml:space="preserve">them </w:t>
      </w:r>
      <w:r w:rsidRPr="00B34560">
        <w:t>away.</w:t>
      </w:r>
    </w:p>
    <w:p w:rsidR="0018128B" w:rsidRPr="00B34560" w:rsidP="0000274E" w14:paraId="68DA3CCB" w14:textId="5498105A">
      <w:pPr>
        <w:ind w:firstLine="720"/>
      </w:pPr>
      <w:r>
        <w:t>This evidence</w:t>
      </w:r>
      <w:r w:rsidR="00761F7C">
        <w:t xml:space="preserve"> </w:t>
      </w:r>
      <w:r>
        <w:t>reveal</w:t>
      </w:r>
      <w:r w:rsidR="00AE37E9">
        <w:t>s</w:t>
      </w:r>
      <w:r w:rsidRPr="00B34560" w:rsidR="0000274E">
        <w:t xml:space="preserve"> that defendant took numerous intentional and calculated steps over a substantial period of time to kidnap and rob the victim with Navarro.  She rented a motel room with Navarro, </w:t>
      </w:r>
      <w:r w:rsidR="00355877">
        <w:t xml:space="preserve">initiated contact with and </w:t>
      </w:r>
      <w:r w:rsidRPr="00B34560" w:rsidR="0000274E">
        <w:t xml:space="preserve">lured the victim to the </w:t>
      </w:r>
      <w:r w:rsidR="00021217">
        <w:t xml:space="preserve">motel </w:t>
      </w:r>
      <w:r w:rsidRPr="00B34560" w:rsidR="0000274E">
        <w:t>room, stood by while Navarro violently attacked the victim, helped Navarro steal the victim</w:t>
      </w:r>
      <w:r w:rsidR="00AE37E9">
        <w:t>’</w:t>
      </w:r>
      <w:r w:rsidRPr="00B34560" w:rsidR="0000274E">
        <w:t xml:space="preserve">s money, independently returned to the motel room, suggested taking the victim to the woods, drove away in the victim’s car, transferred the victim to the Prius, drove off in tandem with Navarro, and stopped twice to ensure the victim remained bound.  This evidence also reveals that defendant had numerous opportunities to abandon Navarro and their </w:t>
      </w:r>
      <w:r w:rsidRPr="00B34560">
        <w:t>scheme but</w:t>
      </w:r>
      <w:r w:rsidRPr="00B34560" w:rsidR="0000274E">
        <w:t xml:space="preserve"> </w:t>
      </w:r>
      <w:r w:rsidR="00761F7C">
        <w:t xml:space="preserve">did not </w:t>
      </w:r>
      <w:r w:rsidRPr="00B34560" w:rsidR="0000274E">
        <w:t xml:space="preserve">do so.  Specifically, she </w:t>
      </w:r>
      <w:r w:rsidR="009315B5">
        <w:t xml:space="preserve">initiated the encounter by entering </w:t>
      </w:r>
      <w:r w:rsidRPr="00B34560" w:rsidR="0000274E">
        <w:t xml:space="preserve">the victim’s car </w:t>
      </w:r>
      <w:r w:rsidR="00995A50">
        <w:t xml:space="preserve">at the gas station </w:t>
      </w:r>
      <w:r w:rsidRPr="00B34560" w:rsidR="0000274E">
        <w:t>and lur</w:t>
      </w:r>
      <w:r w:rsidR="009315B5">
        <w:t>ing</w:t>
      </w:r>
      <w:r w:rsidRPr="00B34560" w:rsidR="0000274E">
        <w:t xml:space="preserve"> him into the motel room, </w:t>
      </w:r>
      <w:r>
        <w:t xml:space="preserve">and </w:t>
      </w:r>
      <w:r w:rsidRPr="00B34560" w:rsidR="0000274E">
        <w:t>she left while Navarro held the victim to the bed with a box</w:t>
      </w:r>
      <w:r w:rsidR="005D349E">
        <w:t xml:space="preserve"> </w:t>
      </w:r>
      <w:r w:rsidRPr="00B34560" w:rsidR="0000274E">
        <w:t xml:space="preserve">cutter but returned to the motel room shortly thereafter.  She also initially drove off in the victim’s car by herself, and later, with the victim, yet continued to </w:t>
      </w:r>
      <w:r>
        <w:t xml:space="preserve">drive </w:t>
      </w:r>
      <w:r w:rsidR="00567F5E">
        <w:t>in tandem with</w:t>
      </w:r>
      <w:r w:rsidRPr="00B34560" w:rsidR="00567F5E">
        <w:t xml:space="preserve"> </w:t>
      </w:r>
      <w:r w:rsidRPr="00B34560" w:rsidR="0000274E">
        <w:t>Navarro and execute their crimes.</w:t>
      </w:r>
      <w:r w:rsidR="0000274E">
        <w:t xml:space="preserve">  </w:t>
      </w:r>
      <w:r w:rsidRPr="00B34560" w:rsidR="00D044D4">
        <w:t xml:space="preserve">It was reasonable for the </w:t>
      </w:r>
      <w:r w:rsidR="005D349E">
        <w:t xml:space="preserve">trial </w:t>
      </w:r>
      <w:r w:rsidRPr="00B34560" w:rsidR="00D044D4">
        <w:t xml:space="preserve">court to infer from these facts that, because defendant was recently capable of engaging in such violent, </w:t>
      </w:r>
      <w:r w:rsidR="0000274E">
        <w:t>calculated criminal</w:t>
      </w:r>
      <w:r w:rsidRPr="00B34560" w:rsidR="00D044D4">
        <w:t xml:space="preserve"> behavior, she posed a risk of doing so again</w:t>
      </w:r>
      <w:r w:rsidRPr="00B34560" w:rsidR="000C6A2F">
        <w:t>.</w:t>
      </w:r>
    </w:p>
    <w:p w:rsidR="00D044D4" w:rsidRPr="00B34560" w:rsidP="00361AEE" w14:paraId="4F4F54C8" w14:textId="085CA916">
      <w:pPr>
        <w:ind w:firstLine="720"/>
      </w:pPr>
      <w:r>
        <w:t>Additional evidence in the record support</w:t>
      </w:r>
      <w:r w:rsidR="0000274E">
        <w:t>s</w:t>
      </w:r>
      <w:r>
        <w:t xml:space="preserve"> the </w:t>
      </w:r>
      <w:r w:rsidR="005D349E">
        <w:t xml:space="preserve">trial </w:t>
      </w:r>
      <w:r>
        <w:t>court’s determination that defendant was likely to commit a super</w:t>
      </w:r>
      <w:r w:rsidR="005D349E">
        <w:t xml:space="preserve"> </w:t>
      </w:r>
      <w:r>
        <w:t>strike if treated in the community</w:t>
      </w:r>
      <w:r w:rsidRPr="00B34560">
        <w:t xml:space="preserve">.  </w:t>
      </w:r>
      <w:r w:rsidR="0000274E">
        <w:t>Indeed</w:t>
      </w:r>
      <w:r>
        <w:t xml:space="preserve">, defendant’s </w:t>
      </w:r>
      <w:r w:rsidRPr="006A782B">
        <w:t>history reflects a lack of compliance with court</w:t>
      </w:r>
      <w:r w:rsidR="00995A50">
        <w:t>-</w:t>
      </w:r>
      <w:r w:rsidRPr="006A782B">
        <w:t>ordered treatment, which culminated in her supe</w:t>
      </w:r>
      <w:r w:rsidR="005D349E">
        <w:t xml:space="preserve">r </w:t>
      </w:r>
      <w:r w:rsidRPr="006A782B">
        <w:t>strike charges</w:t>
      </w:r>
      <w:r>
        <w:t xml:space="preserve">.  </w:t>
      </w:r>
      <w:r w:rsidR="0000274E">
        <w:t>The</w:t>
      </w:r>
      <w:r w:rsidRPr="00B34560" w:rsidR="00AE6DD9">
        <w:t xml:space="preserve"> charged crimes in this case occurred on August 28, 2016.  (</w:t>
      </w:r>
      <w:r w:rsidRPr="00B34560" w:rsidR="00AE6DD9">
        <w:rPr>
          <w:i/>
          <w:iCs/>
        </w:rPr>
        <w:t>Graham I</w:t>
      </w:r>
      <w:r w:rsidRPr="00B34560" w:rsidR="00AE6DD9">
        <w:t xml:space="preserve">, </w:t>
      </w:r>
      <w:r w:rsidRPr="00D97209" w:rsidR="005D349E">
        <w:rPr>
          <w:i/>
          <w:iCs/>
        </w:rPr>
        <w:t>supra</w:t>
      </w:r>
      <w:r w:rsidR="005D349E">
        <w:t xml:space="preserve">, </w:t>
      </w:r>
      <w:r w:rsidRPr="00B34560" w:rsidR="005D349E">
        <w:t>C087027</w:t>
      </w:r>
      <w:r w:rsidRPr="00B34560" w:rsidR="00AE6DD9">
        <w:t xml:space="preserve">.)  Several months prior, on March 30, 2016, defendant received three years of probation and a </w:t>
      </w:r>
      <w:r w:rsidRPr="00B34560" w:rsidR="009019B1">
        <w:t>one-year</w:t>
      </w:r>
      <w:r w:rsidRPr="00B34560" w:rsidR="00AE6DD9">
        <w:t xml:space="preserve"> jail</w:t>
      </w:r>
      <w:r w:rsidR="00F16C8F">
        <w:t xml:space="preserve"> </w:t>
      </w:r>
      <w:r w:rsidRPr="00B34560" w:rsidR="00AE6DD9">
        <w:t xml:space="preserve">term </w:t>
      </w:r>
      <w:r w:rsidRPr="00B34560" w:rsidR="009019B1">
        <w:t>for unlawfully taking another’s vehicle.  (</w:t>
      </w:r>
      <w:bookmarkStart w:id="44" w:name="dabmci_9193579583c34a9591d6cb3d975b9560"/>
      <w:r w:rsidRPr="00B34560" w:rsidR="009019B1">
        <w:t>Veh. Code</w:t>
      </w:r>
      <w:r w:rsidR="00540947">
        <w:t>,</w:t>
      </w:r>
      <w:r w:rsidRPr="00B34560" w:rsidR="009019B1">
        <w:t xml:space="preserve"> §</w:t>
      </w:r>
      <w:r w:rsidR="00540947">
        <w:t> </w:t>
      </w:r>
      <w:r w:rsidRPr="00B34560" w:rsidR="009019B1">
        <w:t>10851</w:t>
      </w:r>
      <w:r w:rsidR="005D349E">
        <w:t xml:space="preserve">, subd. </w:t>
      </w:r>
      <w:r w:rsidRPr="00B34560" w:rsidR="009019B1">
        <w:t>(a)</w:t>
      </w:r>
      <w:bookmarkEnd w:id="44"/>
      <w:r w:rsidRPr="00B34560" w:rsidR="009019B1">
        <w:t xml:space="preserve">.)  According to defendant’s probation officer, </w:t>
      </w:r>
      <w:r>
        <w:t xml:space="preserve">her most recent report to probation </w:t>
      </w:r>
      <w:r w:rsidR="00483C75">
        <w:t xml:space="preserve">was that </w:t>
      </w:r>
      <w:r>
        <w:t>she was</w:t>
      </w:r>
      <w:r w:rsidRPr="00B34560" w:rsidR="009019B1">
        <w:t xml:space="preserve"> homeless and participating in a drug treatment program.  However, she last attended the </w:t>
      </w:r>
      <w:r>
        <w:t xml:space="preserve">treatment </w:t>
      </w:r>
      <w:r w:rsidRPr="00B34560" w:rsidR="009019B1">
        <w:t>program on August 10, 2016</w:t>
      </w:r>
      <w:r w:rsidR="005D349E">
        <w:t>,</w:t>
      </w:r>
      <w:r w:rsidRPr="00B34560" w:rsidR="009019B1">
        <w:t xml:space="preserve"> and failed to complete it.  She also failed to report to probation on August 31, 2016</w:t>
      </w:r>
      <w:r w:rsidR="00241605">
        <w:t>,</w:t>
      </w:r>
      <w:r w:rsidRPr="00B34560" w:rsidR="009019B1">
        <w:t xml:space="preserve"> and September 9, 2016, as directed, and last contacted her probation officer by phone in late September 2016.  She was informed at that time that a violation of probation</w:t>
      </w:r>
      <w:r w:rsidR="00E2268D">
        <w:t xml:space="preserve"> petition</w:t>
      </w:r>
      <w:r w:rsidRPr="00B34560" w:rsidR="009019B1">
        <w:t xml:space="preserve"> had been filed and a hearing set, but she failed to appear in court for the hearing</w:t>
      </w:r>
      <w:r>
        <w:t>, resulting in a warrant for her arrest</w:t>
      </w:r>
      <w:r w:rsidRPr="00B34560" w:rsidR="009019B1">
        <w:t>.</w:t>
      </w:r>
    </w:p>
    <w:p w:rsidR="004736BB" w:rsidRPr="00B34560" w:rsidP="00361AEE" w14:paraId="7D9B898A" w14:textId="3CC23CE3">
      <w:pPr>
        <w:ind w:firstLine="720"/>
      </w:pPr>
      <w:r>
        <w:t>Further</w:t>
      </w:r>
      <w:r w:rsidRPr="00B34560" w:rsidR="00CA51CD">
        <w:t>, shortly</w:t>
      </w:r>
      <w:r w:rsidRPr="00B34560">
        <w:t xml:space="preserve"> before the charged crimes, defendant was asked to leave a shelter for battered women after she twice failed to obey its curfew.  </w:t>
      </w:r>
      <w:r w:rsidRPr="00B34560" w:rsidR="00706B5F">
        <w:t xml:space="preserve">She also previously failed to comply </w:t>
      </w:r>
      <w:r w:rsidRPr="004736BB">
        <w:t>with court-ordered</w:t>
      </w:r>
      <w:r w:rsidRPr="00B34560" w:rsidR="00706B5F">
        <w:t xml:space="preserve"> </w:t>
      </w:r>
      <w:r w:rsidRPr="004736BB">
        <w:t>treatment</w:t>
      </w:r>
      <w:r w:rsidRPr="00B34560" w:rsidR="00706B5F">
        <w:t xml:space="preserve"> by refusing to </w:t>
      </w:r>
      <w:r w:rsidRPr="004736BB">
        <w:t>participate in drug testing, counseling,</w:t>
      </w:r>
      <w:r w:rsidRPr="00B34560" w:rsidR="00706B5F">
        <w:t xml:space="preserve"> </w:t>
      </w:r>
      <w:r w:rsidRPr="004736BB">
        <w:t>appointments, and meetings</w:t>
      </w:r>
      <w:r w:rsidR="00E2268D">
        <w:t>,</w:t>
      </w:r>
      <w:r w:rsidRPr="004736BB">
        <w:t xml:space="preserve"> </w:t>
      </w:r>
      <w:r w:rsidR="00B95104">
        <w:t xml:space="preserve">and </w:t>
      </w:r>
      <w:r w:rsidRPr="00B34560" w:rsidR="00706B5F">
        <w:t>failed to</w:t>
      </w:r>
      <w:r w:rsidRPr="004736BB">
        <w:t xml:space="preserve"> benefit from or complete prior court-ordered</w:t>
      </w:r>
      <w:r w:rsidRPr="00B34560" w:rsidR="00706B5F">
        <w:t xml:space="preserve"> </w:t>
      </w:r>
      <w:r w:rsidRPr="004736BB">
        <w:t>mental health treatment</w:t>
      </w:r>
      <w:r w:rsidR="00B95104">
        <w:t>.</w:t>
      </w:r>
      <w:r w:rsidRPr="004736BB">
        <w:t xml:space="preserve"> </w:t>
      </w:r>
      <w:r w:rsidRPr="00B34560" w:rsidR="00706B5F">
        <w:t xml:space="preserve"> </w:t>
      </w:r>
      <w:r w:rsidRPr="00B34560" w:rsidR="00B95104">
        <w:t xml:space="preserve">These facts indicate that, when offered treatment in the community, defendant </w:t>
      </w:r>
      <w:r w:rsidR="00B95104">
        <w:t>was</w:t>
      </w:r>
      <w:r w:rsidRPr="00B34560" w:rsidR="00B95104">
        <w:t xml:space="preserve"> noncompliant and, in fact, engaged in behavior resulting </w:t>
      </w:r>
      <w:r w:rsidR="00B95104">
        <w:t>in two</w:t>
      </w:r>
      <w:r w:rsidRPr="00B34560" w:rsidR="00B95104">
        <w:t xml:space="preserve"> super strikes.</w:t>
      </w:r>
      <w:r w:rsidR="00B95104">
        <w:t xml:space="preserve">  Additionally, if released into the community, defendant </w:t>
      </w:r>
      <w:r w:rsidR="00257254">
        <w:t xml:space="preserve">again </w:t>
      </w:r>
      <w:r w:rsidRPr="00B34560" w:rsidR="00706B5F">
        <w:t xml:space="preserve">would have access to </w:t>
      </w:r>
      <w:r w:rsidR="00B95104">
        <w:t xml:space="preserve">illicit </w:t>
      </w:r>
      <w:r w:rsidRPr="00B34560" w:rsidR="00706B5F">
        <w:t>substances</w:t>
      </w:r>
      <w:r w:rsidR="00B95104">
        <w:t xml:space="preserve"> and alcohol</w:t>
      </w:r>
      <w:r w:rsidRPr="00B34560" w:rsidR="00706B5F">
        <w:t xml:space="preserve">, which would increase her </w:t>
      </w:r>
      <w:r w:rsidR="00E2268D">
        <w:t>likelihood</w:t>
      </w:r>
      <w:r w:rsidRPr="00B34560" w:rsidR="00E2268D">
        <w:t xml:space="preserve"> </w:t>
      </w:r>
      <w:r w:rsidRPr="00B34560" w:rsidR="00706B5F">
        <w:t xml:space="preserve">of committing a violent felony.  </w:t>
      </w:r>
      <w:r w:rsidR="00B95104">
        <w:t>Relatedly</w:t>
      </w:r>
      <w:r w:rsidRPr="00B34560" w:rsidR="005157F1">
        <w:t xml:space="preserve">, the treatment program that defendant sought to use </w:t>
      </w:r>
      <w:r w:rsidR="00B95104">
        <w:t xml:space="preserve">if diverted </w:t>
      </w:r>
      <w:r w:rsidRPr="00B34560" w:rsidR="005157F1">
        <w:t xml:space="preserve">would be </w:t>
      </w:r>
      <w:r w:rsidR="00483C75">
        <w:t>unsecure</w:t>
      </w:r>
      <w:r w:rsidR="00B95104">
        <w:t>d</w:t>
      </w:r>
      <w:r w:rsidRPr="00B34560" w:rsidR="005157F1">
        <w:t xml:space="preserve"> and create the risk and opportunity for relapse.  </w:t>
      </w:r>
      <w:r w:rsidRPr="00B34560" w:rsidR="00F04817">
        <w:t>Based on the foregoing, substantial evidence supports the trial court’s finding that defendant was not suitable for diversion.</w:t>
      </w:r>
    </w:p>
    <w:p w:rsidR="005E5BFC" w:rsidP="00361AEE" w14:paraId="6C03C685" w14:textId="3030600C">
      <w:pPr>
        <w:ind w:firstLine="720"/>
      </w:pPr>
      <w:r w:rsidRPr="00B34560">
        <w:t xml:space="preserve">In reaching this conclusion, we </w:t>
      </w:r>
      <w:r w:rsidR="00483C75">
        <w:t xml:space="preserve">acknowledge </w:t>
      </w:r>
      <w:r w:rsidRPr="00B34560">
        <w:t xml:space="preserve">that </w:t>
      </w:r>
      <w:r w:rsidRPr="00B34560" w:rsidR="0083349F">
        <w:t xml:space="preserve">one could read </w:t>
      </w:r>
      <w:r w:rsidRPr="00B34560">
        <w:t xml:space="preserve">the trial court’s </w:t>
      </w:r>
      <w:r w:rsidRPr="00B34560" w:rsidR="0083349F">
        <w:t xml:space="preserve">dangerousness analysis to </w:t>
      </w:r>
      <w:r>
        <w:t>indicate it found defendant’s super</w:t>
      </w:r>
      <w:r w:rsidR="00CD4C00">
        <w:t xml:space="preserve"> </w:t>
      </w:r>
      <w:r>
        <w:t xml:space="preserve">strike convictions </w:t>
      </w:r>
      <w:r w:rsidR="0037625D">
        <w:t xml:space="preserve">themselves </w:t>
      </w:r>
      <w:r>
        <w:t>dispositive as a matter of law, categorically barring her from being found suitable</w:t>
      </w:r>
      <w:r w:rsidRPr="00B34560" w:rsidR="0083349F">
        <w:t xml:space="preserve">.  However, we do not read the </w:t>
      </w:r>
      <w:r w:rsidR="0037625D">
        <w:t>analysis</w:t>
      </w:r>
      <w:r w:rsidRPr="00B34560" w:rsidR="0083349F">
        <w:t xml:space="preserve"> so narrowly.  Rather, we interpret the trial court’s </w:t>
      </w:r>
      <w:r w:rsidR="0037625D">
        <w:t>inquiry</w:t>
      </w:r>
      <w:r w:rsidRPr="00B34560" w:rsidR="0083349F">
        <w:t xml:space="preserve"> to acknowledge that this case present</w:t>
      </w:r>
      <w:r w:rsidR="00567F5E">
        <w:t>ed</w:t>
      </w:r>
      <w:r w:rsidRPr="00B34560" w:rsidR="0083349F">
        <w:t xml:space="preserve"> a unique posture, </w:t>
      </w:r>
      <w:r w:rsidRPr="00B34560" w:rsidR="00B82618">
        <w:t>as</w:t>
      </w:r>
      <w:r w:rsidRPr="00B34560" w:rsidR="0083349F">
        <w:t xml:space="preserve"> the </w:t>
      </w:r>
      <w:r w:rsidRPr="00B34560" w:rsidR="004739CD">
        <w:t>jury had already reached a verdict</w:t>
      </w:r>
      <w:r w:rsidRPr="00B34560" w:rsidR="00B82618">
        <w:t xml:space="preserve"> </w:t>
      </w:r>
      <w:r w:rsidR="009315B5">
        <w:t xml:space="preserve">before </w:t>
      </w:r>
      <w:r w:rsidRPr="00B34560" w:rsidR="00B82618">
        <w:t>the diversion hearing</w:t>
      </w:r>
      <w:r w:rsidRPr="00B34560" w:rsidR="004739CD">
        <w:t xml:space="preserve">.  </w:t>
      </w:r>
      <w:r>
        <w:t xml:space="preserve">And viewing </w:t>
      </w:r>
      <w:r w:rsidR="00CD4C00">
        <w:t>the</w:t>
      </w:r>
      <w:r>
        <w:t xml:space="preserve"> comments as a whole, they</w:t>
      </w:r>
      <w:r w:rsidRPr="00B34560" w:rsidR="001E1914">
        <w:t xml:space="preserve"> suggest </w:t>
      </w:r>
      <w:r w:rsidRPr="00B34560" w:rsidR="00B82618">
        <w:t xml:space="preserve">that the </w:t>
      </w:r>
      <w:r w:rsidRPr="00B34560" w:rsidR="004739CD">
        <w:t xml:space="preserve">evidence </w:t>
      </w:r>
      <w:r w:rsidR="00483C75">
        <w:t xml:space="preserve">at trial </w:t>
      </w:r>
      <w:r w:rsidRPr="00B34560" w:rsidR="004739CD">
        <w:t xml:space="preserve">of defendant’s charged crimes, and </w:t>
      </w:r>
      <w:r w:rsidRPr="00B34560" w:rsidR="00B82618">
        <w:t xml:space="preserve">not </w:t>
      </w:r>
      <w:r w:rsidRPr="00B34560" w:rsidR="005157F1">
        <w:t xml:space="preserve">simply </w:t>
      </w:r>
      <w:r w:rsidRPr="00B34560" w:rsidR="00B82618">
        <w:t>the fact that she was con</w:t>
      </w:r>
      <w:r w:rsidRPr="00B34560" w:rsidR="005157F1">
        <w:t xml:space="preserve">victed, </w:t>
      </w:r>
      <w:r w:rsidR="00483C75">
        <w:t xml:space="preserve">guided </w:t>
      </w:r>
      <w:r w:rsidRPr="00B34560" w:rsidR="005157F1">
        <w:t>the court’s finding of dangerousness.</w:t>
      </w:r>
      <w:r w:rsidR="006A5417">
        <w:t xml:space="preserve">  </w:t>
      </w:r>
      <w:r w:rsidR="00355877">
        <w:t xml:space="preserve">Before </w:t>
      </w:r>
      <w:r w:rsidR="00E2268D">
        <w:t>rendering its</w:t>
      </w:r>
      <w:r w:rsidR="00542318">
        <w:t xml:space="preserve"> decision, the</w:t>
      </w:r>
      <w:r w:rsidRPr="00B34560" w:rsidR="00ED4149">
        <w:t xml:space="preserve"> court questioned the attorneys extensively regarding defendant’s behavior in prison and other factors, clearly </w:t>
      </w:r>
      <w:r w:rsidR="00355877">
        <w:t xml:space="preserve">considering them and </w:t>
      </w:r>
      <w:r w:rsidRPr="00B34560" w:rsidR="00ED4149">
        <w:t xml:space="preserve">finding them </w:t>
      </w:r>
      <w:r w:rsidR="00542318">
        <w:t>to be relevan</w:t>
      </w:r>
      <w:r w:rsidR="00B95104">
        <w:t>t</w:t>
      </w:r>
      <w:r w:rsidRPr="00B34560" w:rsidR="00ED4149">
        <w:t xml:space="preserve">.  It also asked the prosecutor whether she viewed defendant’s convictions </w:t>
      </w:r>
      <w:r w:rsidR="00241605">
        <w:t xml:space="preserve">as </w:t>
      </w:r>
      <w:r w:rsidRPr="00B34560" w:rsidR="00ED4149">
        <w:t xml:space="preserve">sufficient to meet the dangerousness requirement alone, </w:t>
      </w:r>
      <w:r w:rsidRPr="00B34560" w:rsidR="001E1914">
        <w:t>to which</w:t>
      </w:r>
      <w:r w:rsidRPr="00B34560" w:rsidR="00ED4149">
        <w:t xml:space="preserve"> </w:t>
      </w:r>
      <w:r w:rsidRPr="00B34560" w:rsidR="001E1914">
        <w:t>the prosecutor</w:t>
      </w:r>
      <w:r w:rsidRPr="00B34560" w:rsidR="00ED4149">
        <w:t xml:space="preserve"> responded, “</w:t>
      </w:r>
      <w:r w:rsidRPr="00B34560" w:rsidR="00413A2E">
        <w:t>I don</w:t>
      </w:r>
      <w:r w:rsidR="00403BEB">
        <w:t>’</w:t>
      </w:r>
      <w:r w:rsidRPr="00B34560" w:rsidR="00413A2E">
        <w:t xml:space="preserve">t think that by itself.  </w:t>
      </w:r>
      <w:r w:rsidRPr="00413A2E" w:rsidR="00413A2E">
        <w:t>That</w:t>
      </w:r>
      <w:r w:rsidR="00403BEB">
        <w:t>’</w:t>
      </w:r>
      <w:r w:rsidRPr="00413A2E" w:rsidR="00413A2E">
        <w:t>s why I</w:t>
      </w:r>
      <w:r w:rsidR="00403BEB">
        <w:t>’</w:t>
      </w:r>
      <w:r w:rsidRPr="00413A2E" w:rsidR="00413A2E">
        <w:t>ve mentioned all the other things that I</w:t>
      </w:r>
      <w:r w:rsidR="00403BEB">
        <w:t>’</w:t>
      </w:r>
      <w:r w:rsidRPr="00413A2E" w:rsidR="00413A2E">
        <w:t>ve</w:t>
      </w:r>
      <w:r w:rsidRPr="00B34560" w:rsidR="00413A2E">
        <w:t xml:space="preserve"> mentioned.”  </w:t>
      </w:r>
      <w:r>
        <w:t>When making its findings, the court remarked that defendant’s “participation in th</w:t>
      </w:r>
      <w:r w:rsidR="00F23CF8">
        <w:t>is</w:t>
      </w:r>
      <w:r>
        <w:t xml:space="preserve"> case” and “what the two crimes were” were relevant to its analysis, and not simply the fact she was convicted.  </w:t>
      </w:r>
      <w:r w:rsidR="00F23CF8">
        <w:t>I</w:t>
      </w:r>
      <w:r w:rsidRPr="00B34560" w:rsidR="00296D3A">
        <w:t xml:space="preserve">n any event, as discussed </w:t>
      </w:r>
      <w:bookmarkStart w:id="45" w:name="dabmci_e0649a79be5547ba9078e5b4fea425c6"/>
      <w:r w:rsidRPr="00B34560" w:rsidR="00296D3A">
        <w:rPr>
          <w:i/>
          <w:iCs/>
        </w:rPr>
        <w:t>ante</w:t>
      </w:r>
      <w:r w:rsidRPr="00B34560" w:rsidR="00296D3A">
        <w:t>,</w:t>
      </w:r>
      <w:bookmarkEnd w:id="45"/>
      <w:r w:rsidRPr="00B34560" w:rsidR="00296D3A">
        <w:t xml:space="preserve"> substantial evidence supports the trial court’s finding that she posed an unreasonable risk of committing a new violent super strike.</w:t>
      </w:r>
    </w:p>
    <w:p w:rsidR="00D044D4" w:rsidRPr="00B34560" w:rsidP="005E5BFC" w14:paraId="0EB82583" w14:textId="4AE16DB2">
      <w:pPr>
        <w:ind w:firstLine="720"/>
      </w:pPr>
      <w:r>
        <w:t xml:space="preserve">Because </w:t>
      </w:r>
      <w:r w:rsidR="005E5BFC">
        <w:t xml:space="preserve">we conclude that the trial court did not abuse its discretion in finding defendant was not suitable for diversion, we affirm </w:t>
      </w:r>
      <w:r w:rsidR="00CD4C00">
        <w:t xml:space="preserve">its denial </w:t>
      </w:r>
      <w:r w:rsidR="005E5BFC">
        <w:t>on this ground alone, and we need not address defendant’s alternative contention that she was eligible for diversion.</w:t>
      </w:r>
    </w:p>
    <w:p w:rsidR="00296D3A" w:rsidRPr="00B34560" w:rsidP="00361AEE" w14:paraId="76CA70CA" w14:textId="1791D841">
      <w:pPr>
        <w:keepNext/>
        <w:jc w:val="center"/>
      </w:pPr>
      <w:r w:rsidRPr="00B34560">
        <w:t>DISPOSITION</w:t>
      </w:r>
    </w:p>
    <w:p w:rsidR="005C790B" w:rsidP="00361AEE" w14:paraId="08A02E05" w14:textId="77777777">
      <w:pPr>
        <w:ind w:firstLine="720"/>
        <w:sectPr w:rsidSect="003E180C">
          <w:footerReference w:type="default" r:id="rId6"/>
          <w:pgSz w:w="12240" w:h="15840" w:code="1"/>
          <w:pgMar w:top="1440" w:right="1440" w:bottom="1440" w:left="1440" w:header="720" w:footer="720" w:gutter="0"/>
          <w:cols w:space="720"/>
          <w:docGrid w:linePitch="354"/>
        </w:sectPr>
      </w:pPr>
      <w:r w:rsidRPr="00B34560">
        <w:t>The judgment is affirmed.</w:t>
      </w:r>
    </w:p>
    <w:p w:rsidR="003E180C" w:rsidP="003E180C" w14:paraId="7B00E757" w14:textId="77777777">
      <w:pPr>
        <w:spacing w:line="240" w:lineRule="auto"/>
        <w:ind w:firstLine="720"/>
      </w:pPr>
    </w:p>
    <w:p w:rsidR="003E180C" w:rsidP="003E180C" w14:paraId="65745AC2" w14:textId="77777777">
      <w:pPr>
        <w:spacing w:line="240" w:lineRule="auto"/>
        <w:ind w:firstLine="720"/>
      </w:pPr>
    </w:p>
    <w:p w:rsidR="003E180C" w:rsidP="003E180C" w14:paraId="6A97F386" w14:textId="77777777">
      <w:pPr>
        <w:spacing w:line="240" w:lineRule="auto"/>
        <w:ind w:firstLine="720"/>
      </w:pPr>
    </w:p>
    <w:p w:rsidR="005C790B" w:rsidP="003E180C" w14:paraId="19E6DDFD" w14:textId="395E761B">
      <w:pPr>
        <w:tabs>
          <w:tab w:val="left" w:pos="5040"/>
          <w:tab w:val="left" w:pos="7920"/>
        </w:tabs>
        <w:spacing w:line="240" w:lineRule="auto"/>
        <w:ind w:firstLine="720"/>
      </w:pPr>
      <w:r>
        <w:tab/>
      </w:r>
      <w:r w:rsidRPr="003E180C">
        <w:rPr>
          <w:u w:val="single"/>
        </w:rPr>
        <w:t xml:space="preserve">          </w:t>
      </w:r>
      <w:r w:rsidR="00507012">
        <w:rPr>
          <w:u w:val="single"/>
        </w:rPr>
        <w:t>\s\</w:t>
      </w:r>
      <w:r w:rsidRPr="003E180C">
        <w:rPr>
          <w:u w:val="single"/>
        </w:rPr>
        <w:tab/>
      </w:r>
      <w:r>
        <w:t>,</w:t>
      </w:r>
    </w:p>
    <w:p w:rsidR="003E180C" w:rsidP="003E180C" w14:paraId="06CC793C" w14:textId="3190B87E">
      <w:pPr>
        <w:tabs>
          <w:tab w:val="left" w:pos="5040"/>
          <w:tab w:val="left" w:pos="7920"/>
        </w:tabs>
        <w:spacing w:line="240" w:lineRule="auto"/>
        <w:ind w:firstLine="720"/>
      </w:pPr>
      <w:r>
        <w:tab/>
        <w:t>Kra</w:t>
      </w:r>
      <w:r w:rsidR="00DD255C">
        <w:t>use</w:t>
      </w:r>
      <w:r>
        <w:t>, Acting P. J.</w:t>
      </w:r>
    </w:p>
    <w:p w:rsidR="003E180C" w:rsidP="003E180C" w14:paraId="22A6DB86" w14:textId="77777777">
      <w:pPr>
        <w:tabs>
          <w:tab w:val="left" w:pos="5040"/>
          <w:tab w:val="left" w:pos="7920"/>
        </w:tabs>
        <w:spacing w:line="240" w:lineRule="auto"/>
        <w:ind w:firstLine="720"/>
      </w:pPr>
    </w:p>
    <w:p w:rsidR="003E180C" w:rsidP="003E180C" w14:paraId="1E0323B4" w14:textId="77777777">
      <w:pPr>
        <w:tabs>
          <w:tab w:val="left" w:pos="5040"/>
          <w:tab w:val="left" w:pos="7920"/>
        </w:tabs>
        <w:spacing w:line="240" w:lineRule="auto"/>
        <w:ind w:firstLine="720"/>
      </w:pPr>
    </w:p>
    <w:p w:rsidR="003E180C" w:rsidP="003E180C" w14:paraId="5EC85B24" w14:textId="77777777">
      <w:pPr>
        <w:tabs>
          <w:tab w:val="left" w:pos="5040"/>
          <w:tab w:val="left" w:pos="7920"/>
        </w:tabs>
        <w:spacing w:line="240" w:lineRule="auto"/>
        <w:ind w:firstLine="720"/>
      </w:pPr>
    </w:p>
    <w:p w:rsidR="003E180C" w:rsidP="005C790B" w14:paraId="634EED59" w14:textId="65F467E4">
      <w:pPr>
        <w:spacing w:line="240" w:lineRule="auto"/>
      </w:pPr>
      <w:r>
        <w:t>We concur:</w:t>
      </w:r>
    </w:p>
    <w:p w:rsidR="003E180C" w:rsidP="005C790B" w14:paraId="4D411398" w14:textId="77777777">
      <w:pPr>
        <w:spacing w:line="240" w:lineRule="auto"/>
      </w:pPr>
    </w:p>
    <w:p w:rsidR="003E180C" w:rsidP="005C790B" w14:paraId="1F508CC8" w14:textId="77777777">
      <w:pPr>
        <w:spacing w:line="240" w:lineRule="auto"/>
      </w:pPr>
    </w:p>
    <w:p w:rsidR="003E180C" w:rsidP="005C790B" w14:paraId="5285FD12" w14:textId="77777777">
      <w:pPr>
        <w:spacing w:line="240" w:lineRule="auto"/>
      </w:pPr>
    </w:p>
    <w:p w:rsidR="005C790B" w:rsidP="005C790B" w14:paraId="45CDFE58" w14:textId="6197A48B">
      <w:pPr>
        <w:tabs>
          <w:tab w:val="left" w:pos="2880"/>
        </w:tabs>
        <w:spacing w:line="240" w:lineRule="auto"/>
      </w:pPr>
      <w:r w:rsidRPr="003E180C">
        <w:rPr>
          <w:u w:val="single"/>
        </w:rPr>
        <w:t xml:space="preserve">          </w:t>
      </w:r>
      <w:r w:rsidR="00507012">
        <w:rPr>
          <w:u w:val="single"/>
        </w:rPr>
        <w:t>\s\</w:t>
      </w:r>
      <w:r w:rsidRPr="003E180C">
        <w:rPr>
          <w:u w:val="single"/>
        </w:rPr>
        <w:tab/>
      </w:r>
      <w:r>
        <w:t>,</w:t>
      </w:r>
    </w:p>
    <w:p w:rsidR="003E180C" w:rsidP="005C790B" w14:paraId="3BE4351D" w14:textId="6F4504C1">
      <w:pPr>
        <w:tabs>
          <w:tab w:val="left" w:pos="2880"/>
        </w:tabs>
        <w:spacing w:line="240" w:lineRule="auto"/>
      </w:pPr>
      <w:r>
        <w:t>Boulware Eurie, J.</w:t>
      </w:r>
    </w:p>
    <w:p w:rsidR="003E180C" w:rsidP="005C790B" w14:paraId="1CDAE425" w14:textId="77777777">
      <w:pPr>
        <w:tabs>
          <w:tab w:val="left" w:pos="2880"/>
        </w:tabs>
        <w:spacing w:line="240" w:lineRule="auto"/>
      </w:pPr>
    </w:p>
    <w:p w:rsidR="003E180C" w:rsidP="005C790B" w14:paraId="07EFE81C" w14:textId="77777777">
      <w:pPr>
        <w:tabs>
          <w:tab w:val="left" w:pos="2880"/>
        </w:tabs>
        <w:spacing w:line="240" w:lineRule="auto"/>
      </w:pPr>
    </w:p>
    <w:p w:rsidR="003E180C" w:rsidP="005C790B" w14:paraId="65C93582" w14:textId="77777777">
      <w:pPr>
        <w:tabs>
          <w:tab w:val="left" w:pos="2880"/>
        </w:tabs>
        <w:spacing w:line="240" w:lineRule="auto"/>
      </w:pPr>
    </w:p>
    <w:p w:rsidR="005C790B" w:rsidP="005C790B" w14:paraId="7C87876A" w14:textId="022AA884">
      <w:pPr>
        <w:tabs>
          <w:tab w:val="left" w:pos="2880"/>
        </w:tabs>
        <w:spacing w:line="240" w:lineRule="auto"/>
      </w:pPr>
      <w:r w:rsidRPr="003E180C">
        <w:rPr>
          <w:u w:val="single"/>
        </w:rPr>
        <w:t xml:space="preserve">          </w:t>
      </w:r>
      <w:r w:rsidR="00507012">
        <w:rPr>
          <w:u w:val="single"/>
        </w:rPr>
        <w:t>\s\</w:t>
      </w:r>
      <w:r w:rsidRPr="003E180C">
        <w:rPr>
          <w:u w:val="single"/>
        </w:rPr>
        <w:tab/>
      </w:r>
      <w:r>
        <w:t>,</w:t>
      </w:r>
    </w:p>
    <w:p w:rsidR="003E180C" w:rsidP="005C790B" w14:paraId="456DD180" w14:textId="2918FE35">
      <w:pPr>
        <w:tabs>
          <w:tab w:val="left" w:pos="2880"/>
        </w:tabs>
        <w:spacing w:line="240" w:lineRule="auto"/>
      </w:pPr>
      <w:r>
        <w:t>Ashworth, J.</w:t>
      </w:r>
      <w:r>
        <w:rPr>
          <w:rStyle w:val="FootnoteReference"/>
        </w:rPr>
        <w:footnoteReference w:id="8"/>
      </w:r>
    </w:p>
    <w:sectPr w:rsidSect="005C790B">
      <w:footnotePr>
        <w:numFmt w:val="chicago"/>
        <w:numRestart w:val="eachSect"/>
      </w:footnotePr>
      <w:type w:val="continuous"/>
      <w:pgSz w:w="12240" w:h="15840" w:code="1"/>
      <w:pgMar w:top="1440" w:right="1440" w:bottom="1440" w:left="144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6C0B" w:rsidRPr="003E180C" w:rsidP="003E180C" w14:paraId="7E89065E" w14:textId="5320DD29">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A4B29" w14:paraId="3936A8CF" w14:textId="77777777">
      <w:r>
        <w:separator/>
      </w:r>
    </w:p>
  </w:footnote>
  <w:footnote w:type="continuationSeparator" w:id="1">
    <w:p w:rsidR="003A4B29" w14:paraId="1B15BBCA" w14:textId="77777777">
      <w:r>
        <w:continuationSeparator/>
      </w:r>
    </w:p>
  </w:footnote>
  <w:footnote w:id="2">
    <w:p w:rsidR="00E04396" w:rsidP="00E04396" w14:paraId="4C8F0B06" w14:textId="46BF11FB">
      <w:pPr>
        <w:pStyle w:val="FootnoteText"/>
      </w:pPr>
      <w:r>
        <w:rPr>
          <w:rStyle w:val="FootnoteReference"/>
        </w:rPr>
        <w:footnoteRef/>
      </w:r>
      <w:r>
        <w:tab/>
        <w:t xml:space="preserve">Undesignated </w:t>
      </w:r>
      <w:r w:rsidR="00355877">
        <w:t>section</w:t>
      </w:r>
      <w:r>
        <w:t xml:space="preserve"> references are to the Penal Code.</w:t>
      </w:r>
    </w:p>
  </w:footnote>
  <w:footnote w:id="3">
    <w:p w:rsidR="00752F3E" w:rsidRPr="00752F3E" w14:paraId="620466CD" w14:textId="453A2E7D">
      <w:pPr>
        <w:pStyle w:val="FootnoteText"/>
      </w:pPr>
      <w:r>
        <w:rPr>
          <w:rStyle w:val="FootnoteReference"/>
        </w:rPr>
        <w:footnoteRef/>
      </w:r>
      <w:r>
        <w:tab/>
        <w:t xml:space="preserve">The People’s motion to incorporate by reference the record from </w:t>
      </w:r>
      <w:r w:rsidRPr="00752F3E">
        <w:rPr>
          <w:i/>
          <w:iCs/>
        </w:rPr>
        <w:t>Graham</w:t>
      </w:r>
      <w:r w:rsidR="00C93BD9">
        <w:rPr>
          <w:i/>
          <w:iCs/>
        </w:rPr>
        <w:t xml:space="preserve"> I</w:t>
      </w:r>
      <w:r>
        <w:t xml:space="preserve">, is granted in part.  We grant the motion as to our </w:t>
      </w:r>
      <w:r w:rsidR="0057671F">
        <w:t xml:space="preserve">previous </w:t>
      </w:r>
      <w:r>
        <w:t xml:space="preserve">opinion in </w:t>
      </w:r>
      <w:r>
        <w:rPr>
          <w:i/>
          <w:iCs/>
        </w:rPr>
        <w:t>Graham I</w:t>
      </w:r>
      <w:r>
        <w:t>, as well as the trial transcript and preliminary hearing transcript.  We deny the motion as to the remainder of the record on relevance grounds.</w:t>
      </w:r>
    </w:p>
  </w:footnote>
  <w:footnote w:id="4">
    <w:p w:rsidR="00D65C74" w14:paraId="437B7B40" w14:textId="64164FAB">
      <w:pPr>
        <w:pStyle w:val="FootnoteText"/>
      </w:pPr>
      <w:r>
        <w:rPr>
          <w:rStyle w:val="FootnoteReference"/>
        </w:rPr>
        <w:footnoteRef/>
      </w:r>
      <w:r>
        <w:tab/>
        <w:t>Defendant does not challenge the relevance or credibility of the trial transcripts</w:t>
      </w:r>
      <w:r w:rsidR="005B7BEF">
        <w:t>, objecting solely based on the pretrial posture of the case on remand</w:t>
      </w:r>
      <w:r>
        <w:t>.</w:t>
      </w:r>
    </w:p>
  </w:footnote>
  <w:footnote w:id="5">
    <w:p w:rsidR="004A026E" w14:paraId="64D11F90" w14:textId="3CD56DE5">
      <w:pPr>
        <w:pStyle w:val="FootnoteText"/>
      </w:pPr>
      <w:r>
        <w:rPr>
          <w:rStyle w:val="FootnoteReference"/>
        </w:rPr>
        <w:footnoteRef/>
      </w:r>
      <w:r>
        <w:tab/>
        <w:t>We also note that</w:t>
      </w:r>
      <w:r w:rsidR="00400731">
        <w:t>,</w:t>
      </w:r>
      <w:r>
        <w:t xml:space="preserve"> although defendant here does not necessarily benefit from the introduction </w:t>
      </w:r>
      <w:r w:rsidR="00466FCA">
        <w:t xml:space="preserve">and consideration </w:t>
      </w:r>
      <w:r>
        <w:t xml:space="preserve">of trial evidence at her </w:t>
      </w:r>
      <w:r w:rsidR="008621DB">
        <w:t xml:space="preserve">mental health </w:t>
      </w:r>
      <w:r>
        <w:t xml:space="preserve">diversion hearing, the conclusion we reach may benefit defendants in other cases, </w:t>
      </w:r>
      <w:r w:rsidR="00466FCA">
        <w:t xml:space="preserve">given that favorable </w:t>
      </w:r>
      <w:r>
        <w:t xml:space="preserve">evidence also </w:t>
      </w:r>
      <w:r w:rsidR="00466FCA">
        <w:t xml:space="preserve">could </w:t>
      </w:r>
      <w:r>
        <w:t xml:space="preserve">be </w:t>
      </w:r>
      <w:r w:rsidR="00466FCA">
        <w:t xml:space="preserve">introduced and </w:t>
      </w:r>
      <w:r>
        <w:t>considered.</w:t>
      </w:r>
    </w:p>
  </w:footnote>
  <w:footnote w:id="6">
    <w:p w:rsidR="00982D36" w:rsidP="00982D36" w14:paraId="5D7FBD2C" w14:textId="574FAA53">
      <w:pPr>
        <w:pStyle w:val="FootnoteText"/>
      </w:pPr>
      <w:r>
        <w:rPr>
          <w:rStyle w:val="FootnoteReference"/>
        </w:rPr>
        <w:footnoteRef/>
      </w:r>
      <w:r>
        <w:tab/>
      </w:r>
      <w:r w:rsidR="00916497">
        <w:t>A</w:t>
      </w:r>
      <w:r>
        <w:t>lthough the trial court said it would consider the trial transcripts for purposes of deciding whether defendant posed a danger to public safety, it also relied on the transcripts, and the prosecutor’s reassertion of the facts presented at trial, to determine that there was no nexus between defendant’s mental disorder and the offenses.</w:t>
      </w:r>
    </w:p>
  </w:footnote>
  <w:footnote w:id="7">
    <w:p w:rsidR="00495EA1" w14:paraId="3B50BE90" w14:textId="3F379FAE">
      <w:pPr>
        <w:pStyle w:val="FootnoteText"/>
      </w:pPr>
      <w:r>
        <w:rPr>
          <w:rStyle w:val="FootnoteReference"/>
        </w:rPr>
        <w:footnoteRef/>
      </w:r>
      <w:r>
        <w:tab/>
      </w:r>
      <w:r w:rsidRPr="00495EA1">
        <w:t xml:space="preserve">The parties did not address forfeiture in connection with the </w:t>
      </w:r>
      <w:r>
        <w:t>propriety of considering defendant’s convictions at the diversion hearing</w:t>
      </w:r>
      <w:r w:rsidRPr="00495EA1">
        <w:t xml:space="preserve">.  However, the parties had the </w:t>
      </w:r>
      <w:r w:rsidRPr="00495EA1">
        <w:rPr>
          <w:i/>
          <w:iCs/>
        </w:rPr>
        <w:t>opportunity</w:t>
      </w:r>
      <w:r w:rsidRPr="00495EA1">
        <w:t xml:space="preserve"> to brief forfeiture, a rule always implicated when an argument is raised for the first time on appeal.  (See </w:t>
      </w:r>
      <w:bookmarkStart w:id="38" w:name="dabmci_60d075ab914e4689b9e6922130c9aa86"/>
      <w:r w:rsidRPr="00495EA1">
        <w:rPr>
          <w:i/>
          <w:iCs/>
        </w:rPr>
        <w:t>People v. Alice</w:t>
      </w:r>
      <w:r w:rsidRPr="00495EA1">
        <w:t xml:space="preserve"> (2007) 41 Cal.4th 668, 679</w:t>
      </w:r>
      <w:bookmarkEnd w:id="38"/>
      <w:r w:rsidRPr="00495EA1">
        <w:t xml:space="preserve"> [“The parties need only have been given an opportunity to brief the issue decided by the court, and the fact that a party does not address an issue, mode of analysis, or authority that is raised </w:t>
      </w:r>
      <w:r w:rsidRPr="00495EA1">
        <w:rPr>
          <w:i/>
          <w:iCs/>
        </w:rPr>
        <w:t>or fairly included within the issues raised</w:t>
      </w:r>
      <w:r w:rsidRPr="00495EA1">
        <w:t xml:space="preserve"> does not implicate the protections of </w:t>
      </w:r>
      <w:bookmarkStart w:id="39" w:name="dabmci_05a22ec876bd4416bbe0f3b734f96b2e"/>
      <w:r w:rsidRPr="00495EA1">
        <w:t>[Government Code] section 68081</w:t>
      </w:r>
      <w:bookmarkEnd w:id="39"/>
      <w:r w:rsidRPr="00495EA1">
        <w:t>” (italics added)].)</w:t>
      </w:r>
    </w:p>
  </w:footnote>
  <w:footnote w:id="8">
    <w:p w:rsidR="005C790B" w14:paraId="3EDD0C26" w14:textId="0EE665BC">
      <w:pPr>
        <w:pStyle w:val="FootnoteText"/>
      </w:pPr>
      <w:r>
        <w:rPr>
          <w:rStyle w:val="FootnoteReference"/>
        </w:rPr>
        <w:footnoteRef/>
      </w:r>
      <w:r>
        <w:tab/>
      </w:r>
      <w:r w:rsidRPr="005A039F">
        <w:t>Judge of the El Dorado County Superior Court, assigned by the Chief Justice pursuant to article VI, section 6 of the California Constitution.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295"/>
    <w:rsid w:val="00000F25"/>
    <w:rsid w:val="0000274E"/>
    <w:rsid w:val="0001478D"/>
    <w:rsid w:val="00021217"/>
    <w:rsid w:val="00027873"/>
    <w:rsid w:val="00040FB0"/>
    <w:rsid w:val="00042C6E"/>
    <w:rsid w:val="000443D8"/>
    <w:rsid w:val="00053418"/>
    <w:rsid w:val="0008283F"/>
    <w:rsid w:val="000948E4"/>
    <w:rsid w:val="000A1749"/>
    <w:rsid w:val="000A2FC5"/>
    <w:rsid w:val="000B2B6D"/>
    <w:rsid w:val="000C04DD"/>
    <w:rsid w:val="000C1B20"/>
    <w:rsid w:val="000C2AE6"/>
    <w:rsid w:val="000C44D2"/>
    <w:rsid w:val="000C6856"/>
    <w:rsid w:val="000C6A2F"/>
    <w:rsid w:val="000D3FDA"/>
    <w:rsid w:val="000D65BF"/>
    <w:rsid w:val="00101043"/>
    <w:rsid w:val="00133295"/>
    <w:rsid w:val="00134815"/>
    <w:rsid w:val="0013548B"/>
    <w:rsid w:val="00137F30"/>
    <w:rsid w:val="00150563"/>
    <w:rsid w:val="00162498"/>
    <w:rsid w:val="00162D1C"/>
    <w:rsid w:val="0018128B"/>
    <w:rsid w:val="001873D9"/>
    <w:rsid w:val="001B0748"/>
    <w:rsid w:val="001B590A"/>
    <w:rsid w:val="001D1B42"/>
    <w:rsid w:val="001D42C6"/>
    <w:rsid w:val="001E1914"/>
    <w:rsid w:val="001F0341"/>
    <w:rsid w:val="001F47F1"/>
    <w:rsid w:val="00212EAE"/>
    <w:rsid w:val="002158E4"/>
    <w:rsid w:val="00227583"/>
    <w:rsid w:val="00231311"/>
    <w:rsid w:val="00232FF2"/>
    <w:rsid w:val="00234EB8"/>
    <w:rsid w:val="00241605"/>
    <w:rsid w:val="002476B3"/>
    <w:rsid w:val="00247BE0"/>
    <w:rsid w:val="00253E12"/>
    <w:rsid w:val="00257254"/>
    <w:rsid w:val="0027099A"/>
    <w:rsid w:val="00277F45"/>
    <w:rsid w:val="00296D3A"/>
    <w:rsid w:val="002B0BBC"/>
    <w:rsid w:val="00302D8F"/>
    <w:rsid w:val="00307125"/>
    <w:rsid w:val="0031116C"/>
    <w:rsid w:val="00317C4E"/>
    <w:rsid w:val="00317DEA"/>
    <w:rsid w:val="00317E70"/>
    <w:rsid w:val="0032251A"/>
    <w:rsid w:val="00330012"/>
    <w:rsid w:val="00344479"/>
    <w:rsid w:val="00351E29"/>
    <w:rsid w:val="003523EE"/>
    <w:rsid w:val="00355877"/>
    <w:rsid w:val="00361AEE"/>
    <w:rsid w:val="003621A2"/>
    <w:rsid w:val="00367616"/>
    <w:rsid w:val="00372EB2"/>
    <w:rsid w:val="0037316F"/>
    <w:rsid w:val="0037625D"/>
    <w:rsid w:val="00376864"/>
    <w:rsid w:val="00377144"/>
    <w:rsid w:val="00384EE4"/>
    <w:rsid w:val="003A0F5E"/>
    <w:rsid w:val="003A4B29"/>
    <w:rsid w:val="003A550D"/>
    <w:rsid w:val="003B050C"/>
    <w:rsid w:val="003B69AC"/>
    <w:rsid w:val="003C787F"/>
    <w:rsid w:val="003D0823"/>
    <w:rsid w:val="003D10B7"/>
    <w:rsid w:val="003D21EF"/>
    <w:rsid w:val="003D497E"/>
    <w:rsid w:val="003E180C"/>
    <w:rsid w:val="003E43C0"/>
    <w:rsid w:val="003E4EBB"/>
    <w:rsid w:val="003E71DB"/>
    <w:rsid w:val="003F6AD0"/>
    <w:rsid w:val="00400731"/>
    <w:rsid w:val="00403BEB"/>
    <w:rsid w:val="00410BDE"/>
    <w:rsid w:val="00413746"/>
    <w:rsid w:val="00413A2E"/>
    <w:rsid w:val="0043556E"/>
    <w:rsid w:val="004363BE"/>
    <w:rsid w:val="00441733"/>
    <w:rsid w:val="00453BFF"/>
    <w:rsid w:val="00455D09"/>
    <w:rsid w:val="00460DBA"/>
    <w:rsid w:val="00466FCA"/>
    <w:rsid w:val="0047117C"/>
    <w:rsid w:val="004736BB"/>
    <w:rsid w:val="004739CD"/>
    <w:rsid w:val="004802D3"/>
    <w:rsid w:val="0048049E"/>
    <w:rsid w:val="00483C75"/>
    <w:rsid w:val="00484098"/>
    <w:rsid w:val="00485703"/>
    <w:rsid w:val="0049148B"/>
    <w:rsid w:val="00495EA1"/>
    <w:rsid w:val="0049709B"/>
    <w:rsid w:val="004A026E"/>
    <w:rsid w:val="004A766D"/>
    <w:rsid w:val="004F5BAA"/>
    <w:rsid w:val="00507012"/>
    <w:rsid w:val="00512238"/>
    <w:rsid w:val="00513247"/>
    <w:rsid w:val="005157F1"/>
    <w:rsid w:val="005250CC"/>
    <w:rsid w:val="00532756"/>
    <w:rsid w:val="00534BF9"/>
    <w:rsid w:val="00540947"/>
    <w:rsid w:val="00542318"/>
    <w:rsid w:val="005423F3"/>
    <w:rsid w:val="00544D36"/>
    <w:rsid w:val="00557E8E"/>
    <w:rsid w:val="00562D6D"/>
    <w:rsid w:val="00565620"/>
    <w:rsid w:val="00567E4F"/>
    <w:rsid w:val="00567F5E"/>
    <w:rsid w:val="00570F6D"/>
    <w:rsid w:val="0057315D"/>
    <w:rsid w:val="0057671F"/>
    <w:rsid w:val="005773E6"/>
    <w:rsid w:val="00584278"/>
    <w:rsid w:val="00591DBE"/>
    <w:rsid w:val="00597B92"/>
    <w:rsid w:val="005A039F"/>
    <w:rsid w:val="005B0CD2"/>
    <w:rsid w:val="005B7BEF"/>
    <w:rsid w:val="005C790B"/>
    <w:rsid w:val="005D349E"/>
    <w:rsid w:val="005E5BFC"/>
    <w:rsid w:val="005F457A"/>
    <w:rsid w:val="005F78C5"/>
    <w:rsid w:val="00626871"/>
    <w:rsid w:val="00632CD4"/>
    <w:rsid w:val="0063634F"/>
    <w:rsid w:val="00647845"/>
    <w:rsid w:val="006723C9"/>
    <w:rsid w:val="00672788"/>
    <w:rsid w:val="0067709C"/>
    <w:rsid w:val="006921E3"/>
    <w:rsid w:val="00693A1F"/>
    <w:rsid w:val="0069418D"/>
    <w:rsid w:val="006A294A"/>
    <w:rsid w:val="006A5417"/>
    <w:rsid w:val="006A782B"/>
    <w:rsid w:val="006A7C7C"/>
    <w:rsid w:val="006B0162"/>
    <w:rsid w:val="006B199A"/>
    <w:rsid w:val="006B5461"/>
    <w:rsid w:val="006B626A"/>
    <w:rsid w:val="006D2129"/>
    <w:rsid w:val="006F3B7F"/>
    <w:rsid w:val="00706B5F"/>
    <w:rsid w:val="007118E7"/>
    <w:rsid w:val="00716686"/>
    <w:rsid w:val="0072482C"/>
    <w:rsid w:val="00734E0B"/>
    <w:rsid w:val="00741762"/>
    <w:rsid w:val="00744117"/>
    <w:rsid w:val="00752F3E"/>
    <w:rsid w:val="0075379F"/>
    <w:rsid w:val="00755286"/>
    <w:rsid w:val="00761F7C"/>
    <w:rsid w:val="00773EAB"/>
    <w:rsid w:val="007923FB"/>
    <w:rsid w:val="007A13A0"/>
    <w:rsid w:val="007A1923"/>
    <w:rsid w:val="007A62CC"/>
    <w:rsid w:val="007B2F9C"/>
    <w:rsid w:val="007B6FDE"/>
    <w:rsid w:val="007B7062"/>
    <w:rsid w:val="007B763B"/>
    <w:rsid w:val="007C080C"/>
    <w:rsid w:val="007E405E"/>
    <w:rsid w:val="007E72B5"/>
    <w:rsid w:val="007F44BD"/>
    <w:rsid w:val="007F5A52"/>
    <w:rsid w:val="00830177"/>
    <w:rsid w:val="0083349F"/>
    <w:rsid w:val="008447C8"/>
    <w:rsid w:val="00845120"/>
    <w:rsid w:val="0085309B"/>
    <w:rsid w:val="008621DB"/>
    <w:rsid w:val="0087197D"/>
    <w:rsid w:val="00874BEA"/>
    <w:rsid w:val="00876339"/>
    <w:rsid w:val="00882F9B"/>
    <w:rsid w:val="00895583"/>
    <w:rsid w:val="00896759"/>
    <w:rsid w:val="00896FF5"/>
    <w:rsid w:val="008C1F79"/>
    <w:rsid w:val="008C37ED"/>
    <w:rsid w:val="008E061E"/>
    <w:rsid w:val="008E45BB"/>
    <w:rsid w:val="008F76B6"/>
    <w:rsid w:val="008F7B01"/>
    <w:rsid w:val="009019B1"/>
    <w:rsid w:val="00901FE9"/>
    <w:rsid w:val="0091553A"/>
    <w:rsid w:val="00916497"/>
    <w:rsid w:val="009315B5"/>
    <w:rsid w:val="00975FC7"/>
    <w:rsid w:val="00977F19"/>
    <w:rsid w:val="00982D36"/>
    <w:rsid w:val="00987B78"/>
    <w:rsid w:val="00991B41"/>
    <w:rsid w:val="00993122"/>
    <w:rsid w:val="00994EDA"/>
    <w:rsid w:val="00995A50"/>
    <w:rsid w:val="009A420F"/>
    <w:rsid w:val="009A6C0B"/>
    <w:rsid w:val="009B1A6F"/>
    <w:rsid w:val="009B30ED"/>
    <w:rsid w:val="009B740F"/>
    <w:rsid w:val="009B7F4A"/>
    <w:rsid w:val="009C6B7F"/>
    <w:rsid w:val="009E2228"/>
    <w:rsid w:val="009E551E"/>
    <w:rsid w:val="009F53EE"/>
    <w:rsid w:val="00A13264"/>
    <w:rsid w:val="00A13670"/>
    <w:rsid w:val="00A27AE5"/>
    <w:rsid w:val="00A27B20"/>
    <w:rsid w:val="00A435A5"/>
    <w:rsid w:val="00A46007"/>
    <w:rsid w:val="00A51C59"/>
    <w:rsid w:val="00A615B9"/>
    <w:rsid w:val="00A73D25"/>
    <w:rsid w:val="00A742BF"/>
    <w:rsid w:val="00A831A7"/>
    <w:rsid w:val="00A931BA"/>
    <w:rsid w:val="00AA089C"/>
    <w:rsid w:val="00AA6380"/>
    <w:rsid w:val="00AB2E31"/>
    <w:rsid w:val="00AC7D1A"/>
    <w:rsid w:val="00AE37E9"/>
    <w:rsid w:val="00AE6DD9"/>
    <w:rsid w:val="00AF2F8A"/>
    <w:rsid w:val="00AF4E89"/>
    <w:rsid w:val="00AF586B"/>
    <w:rsid w:val="00B12569"/>
    <w:rsid w:val="00B26029"/>
    <w:rsid w:val="00B34560"/>
    <w:rsid w:val="00B34885"/>
    <w:rsid w:val="00B350A5"/>
    <w:rsid w:val="00B460CD"/>
    <w:rsid w:val="00B543F0"/>
    <w:rsid w:val="00B54F53"/>
    <w:rsid w:val="00B711A4"/>
    <w:rsid w:val="00B82032"/>
    <w:rsid w:val="00B82618"/>
    <w:rsid w:val="00B8587E"/>
    <w:rsid w:val="00B94937"/>
    <w:rsid w:val="00B95104"/>
    <w:rsid w:val="00B9647D"/>
    <w:rsid w:val="00BA259B"/>
    <w:rsid w:val="00BB425C"/>
    <w:rsid w:val="00BC1FFA"/>
    <w:rsid w:val="00BC5E92"/>
    <w:rsid w:val="00BD29ED"/>
    <w:rsid w:val="00BE6664"/>
    <w:rsid w:val="00C00419"/>
    <w:rsid w:val="00C00DDB"/>
    <w:rsid w:val="00C16529"/>
    <w:rsid w:val="00C45FB8"/>
    <w:rsid w:val="00C62B5C"/>
    <w:rsid w:val="00C63EB6"/>
    <w:rsid w:val="00C640C3"/>
    <w:rsid w:val="00C93BD9"/>
    <w:rsid w:val="00C94CB6"/>
    <w:rsid w:val="00CA084A"/>
    <w:rsid w:val="00CA144B"/>
    <w:rsid w:val="00CA1DD0"/>
    <w:rsid w:val="00CA51CD"/>
    <w:rsid w:val="00CA6F61"/>
    <w:rsid w:val="00CB6AC5"/>
    <w:rsid w:val="00CC2B7F"/>
    <w:rsid w:val="00CD4C00"/>
    <w:rsid w:val="00CE3BD1"/>
    <w:rsid w:val="00CE59D4"/>
    <w:rsid w:val="00CE796C"/>
    <w:rsid w:val="00D044D4"/>
    <w:rsid w:val="00D04D81"/>
    <w:rsid w:val="00D05329"/>
    <w:rsid w:val="00D12255"/>
    <w:rsid w:val="00D13651"/>
    <w:rsid w:val="00D24F14"/>
    <w:rsid w:val="00D32ABD"/>
    <w:rsid w:val="00D448A8"/>
    <w:rsid w:val="00D56DEB"/>
    <w:rsid w:val="00D61D25"/>
    <w:rsid w:val="00D635F2"/>
    <w:rsid w:val="00D65C74"/>
    <w:rsid w:val="00D760EB"/>
    <w:rsid w:val="00D80995"/>
    <w:rsid w:val="00D97209"/>
    <w:rsid w:val="00DA0B74"/>
    <w:rsid w:val="00DA663D"/>
    <w:rsid w:val="00DB42A7"/>
    <w:rsid w:val="00DC06F5"/>
    <w:rsid w:val="00DC09C9"/>
    <w:rsid w:val="00DC26B7"/>
    <w:rsid w:val="00DC4A85"/>
    <w:rsid w:val="00DC6439"/>
    <w:rsid w:val="00DD255C"/>
    <w:rsid w:val="00E04396"/>
    <w:rsid w:val="00E103A3"/>
    <w:rsid w:val="00E17ECC"/>
    <w:rsid w:val="00E2268D"/>
    <w:rsid w:val="00E42533"/>
    <w:rsid w:val="00E60570"/>
    <w:rsid w:val="00E6427D"/>
    <w:rsid w:val="00E73DCB"/>
    <w:rsid w:val="00E9015B"/>
    <w:rsid w:val="00E9561B"/>
    <w:rsid w:val="00EA36EC"/>
    <w:rsid w:val="00EA37AD"/>
    <w:rsid w:val="00EC16E2"/>
    <w:rsid w:val="00EC6F94"/>
    <w:rsid w:val="00ED1447"/>
    <w:rsid w:val="00ED4149"/>
    <w:rsid w:val="00EE6F28"/>
    <w:rsid w:val="00EE7DB1"/>
    <w:rsid w:val="00F00FF9"/>
    <w:rsid w:val="00F04817"/>
    <w:rsid w:val="00F10BBF"/>
    <w:rsid w:val="00F16C8F"/>
    <w:rsid w:val="00F23CF8"/>
    <w:rsid w:val="00F258B2"/>
    <w:rsid w:val="00F26A1F"/>
    <w:rsid w:val="00F82958"/>
    <w:rsid w:val="00F841B2"/>
    <w:rsid w:val="00FA5588"/>
    <w:rsid w:val="00FB70FB"/>
    <w:rsid w:val="00FF37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2"/>
        <w:sz w:val="26"/>
        <w:szCs w:val="26"/>
        <w:lang w:val="en-US" w:eastAsia="en-US"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0419"/>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character" w:styleId="Hyperlink">
    <w:name w:val="Hyperlink"/>
    <w:basedOn w:val="DefaultParagraphFont"/>
    <w:rsid w:val="00882F9B"/>
    <w:rPr>
      <w:color w:val="0000FF" w:themeColor="hyperlink"/>
      <w:u w:val="single"/>
    </w:rPr>
  </w:style>
  <w:style w:type="character" w:customStyle="1" w:styleId="UnresolvedMention1">
    <w:name w:val="Unresolved Mention1"/>
    <w:basedOn w:val="DefaultParagraphFont"/>
    <w:uiPriority w:val="99"/>
    <w:semiHidden/>
    <w:unhideWhenUsed/>
    <w:rsid w:val="00882F9B"/>
    <w:rPr>
      <w:color w:val="605E5C"/>
      <w:shd w:val="clear" w:color="auto" w:fill="E1DFDD"/>
    </w:rPr>
  </w:style>
  <w:style w:type="character" w:customStyle="1" w:styleId="costarpage">
    <w:name w:val="co_starpage"/>
    <w:basedOn w:val="DefaultParagraphFont"/>
    <w:rsid w:val="006723C9"/>
  </w:style>
  <w:style w:type="character" w:styleId="FollowedHyperlink">
    <w:name w:val="FollowedHyperlink"/>
    <w:basedOn w:val="DefaultParagraphFont"/>
    <w:rsid w:val="009B740F"/>
    <w:rPr>
      <w:color w:val="800080" w:themeColor="followedHyperlink"/>
      <w:u w:val="single"/>
    </w:rPr>
  </w:style>
  <w:style w:type="paragraph" w:styleId="Revision">
    <w:name w:val="Revision"/>
    <w:hidden/>
    <w:uiPriority w:val="99"/>
    <w:semiHidden/>
    <w:rsid w:val="00053418"/>
  </w:style>
  <w:style w:type="character" w:styleId="CommentReference">
    <w:name w:val="annotation reference"/>
    <w:basedOn w:val="DefaultParagraphFont"/>
    <w:rsid w:val="0075379F"/>
    <w:rPr>
      <w:sz w:val="16"/>
      <w:szCs w:val="16"/>
    </w:rPr>
  </w:style>
  <w:style w:type="paragraph" w:styleId="CommentText">
    <w:name w:val="annotation text"/>
    <w:basedOn w:val="Normal"/>
    <w:link w:val="CommentTextChar"/>
    <w:rsid w:val="0075379F"/>
    <w:pPr>
      <w:spacing w:line="240" w:lineRule="auto"/>
    </w:pPr>
    <w:rPr>
      <w:sz w:val="20"/>
      <w:szCs w:val="20"/>
    </w:rPr>
  </w:style>
  <w:style w:type="character" w:customStyle="1" w:styleId="CommentTextChar">
    <w:name w:val="Comment Text Char"/>
    <w:basedOn w:val="DefaultParagraphFont"/>
    <w:link w:val="CommentText"/>
    <w:rsid w:val="0075379F"/>
    <w:rPr>
      <w:sz w:val="20"/>
      <w:szCs w:val="20"/>
    </w:rPr>
  </w:style>
  <w:style w:type="paragraph" w:styleId="CommentSubject">
    <w:name w:val="annotation subject"/>
    <w:basedOn w:val="CommentText"/>
    <w:next w:val="CommentText"/>
    <w:link w:val="CommentSubjectChar"/>
    <w:rsid w:val="0075379F"/>
    <w:rPr>
      <w:b/>
      <w:bCs/>
    </w:rPr>
  </w:style>
  <w:style w:type="character" w:customStyle="1" w:styleId="CommentSubjectChar">
    <w:name w:val="Comment Subject Char"/>
    <w:basedOn w:val="CommentTextChar"/>
    <w:link w:val="CommentSubject"/>
    <w:rsid w:val="007537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C1F0A-E966-407F-A777-C5D568AF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4744</Words>
  <Characters>27044</Characters>
  <Application>Microsoft Office Word</Application>
  <DocSecurity>0</DocSecurity>
  <Lines>225</Lines>
  <Paragraphs>63</Paragraphs>
  <ScaleCrop>false</ScaleCrop>
  <Company/>
  <LinksUpToDate>false</LinksUpToDate>
  <CharactersWithSpaces>31725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2024-06-10T16:42:02Z</dcterms:created>
  <dcterms:modified xsi:type="dcterms:W3CDTF">2024-06-10T16:42:02Z</dcterms:modified>
</cp:coreProperties>
</file>