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6B62A0" w:rsidRPr="001128DB" w:rsidP="00105FA6" w14:paraId="20A2BD25" w14:textId="455B3712">
      <w:pPr>
        <w:spacing w:after="0" w:line="240" w:lineRule="atLeast"/>
        <w:rPr>
          <w:sz w:val="20"/>
          <w:szCs w:val="20"/>
        </w:rPr>
      </w:pPr>
      <w:r w:rsidRPr="001128DB">
        <w:rPr>
          <w:sz w:val="20"/>
          <w:szCs w:val="20"/>
        </w:rPr>
        <w:t>Filed 6/27/24</w:t>
      </w:r>
    </w:p>
    <w:p w:rsidR="0061662B" w:rsidP="0061662B" w14:paraId="71AF5EC3" w14:textId="6FD34929">
      <w:pPr>
        <w:spacing w:after="0" w:line="240" w:lineRule="atLeast"/>
        <w:jc w:val="center"/>
        <w:rPr>
          <w:u w:val="words"/>
        </w:rPr>
      </w:pPr>
      <w:r w:rsidRPr="0061662B">
        <w:rPr>
          <w:u w:val="words"/>
        </w:rPr>
        <w:t>CERTIFIED FOR PUBLICATION</w:t>
      </w:r>
    </w:p>
    <w:p w:rsidR="0061662B" w:rsidP="0061662B" w14:paraId="07DC6363" w14:textId="77777777">
      <w:pPr>
        <w:spacing w:after="0" w:line="240" w:lineRule="atLeast"/>
        <w:jc w:val="center"/>
        <w:rPr>
          <w:u w:val="words"/>
        </w:rPr>
      </w:pPr>
    </w:p>
    <w:p w:rsidR="0061662B" w:rsidP="0061662B" w14:paraId="481F6606" w14:textId="77777777">
      <w:pPr>
        <w:spacing w:after="0" w:line="240" w:lineRule="atLeast"/>
        <w:jc w:val="center"/>
        <w:rPr>
          <w:u w:val="words"/>
        </w:rPr>
      </w:pPr>
    </w:p>
    <w:p w:rsidR="0061662B" w:rsidP="0061662B" w14:paraId="64C32D7E" w14:textId="77777777">
      <w:pPr>
        <w:spacing w:after="0" w:line="240" w:lineRule="atLeast"/>
        <w:jc w:val="center"/>
        <w:rPr>
          <w:u w:val="words"/>
        </w:rPr>
      </w:pPr>
    </w:p>
    <w:p w:rsidR="0061662B" w:rsidP="0061662B" w14:paraId="762F0252" w14:textId="77777777">
      <w:pPr>
        <w:spacing w:after="0" w:line="240" w:lineRule="atLeast"/>
        <w:jc w:val="center"/>
        <w:rPr>
          <w:u w:val="words"/>
        </w:rPr>
      </w:pPr>
    </w:p>
    <w:p w:rsidR="0061662B" w:rsidP="0061662B" w14:paraId="3208341B" w14:textId="77777777">
      <w:pPr>
        <w:spacing w:after="0" w:line="240" w:lineRule="atLeast"/>
        <w:jc w:val="center"/>
        <w:rPr>
          <w:u w:val="words"/>
        </w:rPr>
      </w:pPr>
    </w:p>
    <w:p w:rsidR="0061662B" w:rsidP="0061662B" w14:paraId="159D1129" w14:textId="45A80B5D">
      <w:pPr>
        <w:spacing w:after="0" w:line="480" w:lineRule="atLeast"/>
        <w:jc w:val="center"/>
      </w:pPr>
      <w:r>
        <w:t>IN THE COURT OF APPEAL OF THE STATE OF CALIFORNIA</w:t>
      </w:r>
    </w:p>
    <w:p w:rsidR="0061662B" w:rsidP="0061662B" w14:paraId="6599FEB7" w14:textId="5FCD9EAD">
      <w:pPr>
        <w:spacing w:after="0" w:line="480" w:lineRule="atLeast"/>
        <w:jc w:val="center"/>
      </w:pPr>
      <w:r>
        <w:t>THIRD APPELLATE DISTRICT</w:t>
      </w:r>
    </w:p>
    <w:p w:rsidR="0061662B" w:rsidP="0061662B" w14:paraId="23619A79" w14:textId="726FCB07">
      <w:pPr>
        <w:spacing w:after="0" w:line="480" w:lineRule="atLeast"/>
        <w:jc w:val="center"/>
      </w:pPr>
      <w:r>
        <w:t>(Sacramento)</w:t>
      </w:r>
    </w:p>
    <w:p w:rsidR="0061662B" w:rsidP="0061662B" w14:paraId="59D9F0ED" w14:textId="18FCA23F">
      <w:pPr>
        <w:jc w:val="center"/>
      </w:pPr>
      <w:r>
        <w:t>----</w:t>
      </w:r>
    </w:p>
    <w:p w:rsidR="0061662B" w:rsidP="0061662B" w14:paraId="3B8446AE" w14:textId="77777777">
      <w:pPr>
        <w:spacing w:after="0" w:line="240" w:lineRule="atLeast"/>
        <w:jc w:val="center"/>
      </w:pPr>
    </w:p>
    <w:p w:rsidR="0061662B" w:rsidP="0061662B" w14:paraId="18774E8B" w14:textId="77777777">
      <w:pPr>
        <w:spacing w:after="0" w:line="240" w:lineRule="atLeast"/>
      </w:pPr>
    </w:p>
    <w:p w:rsidR="00412BF7" w:rsidP="0061662B" w14:paraId="757A04C8" w14:textId="77777777">
      <w:pPr>
        <w:spacing w:after="0" w:line="240" w:lineRule="atLeast"/>
      </w:pPr>
    </w:p>
    <w:p w:rsidR="0061662B" w:rsidP="0061662B" w14:paraId="6F69CB92" w14:textId="77777777">
      <w:pPr>
        <w:spacing w:after="0" w:line="240" w:lineRule="atLeast"/>
      </w:pPr>
    </w:p>
    <w:tbl>
      <w:tblPr>
        <w:tblW w:w="0" w:type="auto"/>
        <w:tblBorders>
          <w:insideH w:val="single" w:sz="4" w:space="0" w:color="auto"/>
          <w:insideV w:val="single" w:sz="4" w:space="0" w:color="auto"/>
        </w:tblBorders>
        <w:tblLayout w:type="fixed"/>
        <w:tblLook w:val="0000"/>
      </w:tblPr>
      <w:tblGrid>
        <w:gridCol w:w="5904"/>
        <w:gridCol w:w="3456"/>
      </w:tblGrid>
      <w:tr w14:paraId="58EEBF99" w14:textId="77777777" w:rsidTr="0061662B">
        <w:tblPrEx>
          <w:tblW w:w="0" w:type="auto"/>
          <w:tblBorders>
            <w:insideH w:val="single" w:sz="4" w:space="0" w:color="auto"/>
            <w:insideV w:val="single" w:sz="4" w:space="0" w:color="auto"/>
          </w:tblBorders>
          <w:tblLayout w:type="fixed"/>
          <w:tblLook w:val="0000"/>
        </w:tblPrEx>
        <w:tc>
          <w:tcPr>
            <w:tcW w:w="5904" w:type="dxa"/>
            <w:shd w:val="clear" w:color="auto" w:fill="auto"/>
          </w:tcPr>
          <w:p w:rsidR="0061662B" w:rsidP="0061662B" w14:paraId="549E3A8D" w14:textId="77777777">
            <w:pPr>
              <w:spacing w:after="0" w:line="240" w:lineRule="atLeast"/>
            </w:pPr>
            <w:r>
              <w:t>ERIKA PALENY,</w:t>
            </w:r>
          </w:p>
          <w:p w:rsidR="0061662B" w:rsidP="0061662B" w14:paraId="07F65927" w14:textId="77777777">
            <w:pPr>
              <w:spacing w:after="0" w:line="240" w:lineRule="atLeast"/>
            </w:pPr>
          </w:p>
          <w:p w:rsidR="0061662B" w:rsidP="0061662B" w14:paraId="26E14A16" w14:textId="77777777">
            <w:pPr>
              <w:spacing w:after="0" w:line="240" w:lineRule="atLeast"/>
            </w:pPr>
            <w:r>
              <w:tab/>
            </w:r>
            <w:r>
              <w:tab/>
              <w:t>Plaintiff and Appellant,</w:t>
            </w:r>
          </w:p>
          <w:p w:rsidR="0061662B" w:rsidP="0061662B" w14:paraId="658BEDDE" w14:textId="77777777">
            <w:pPr>
              <w:spacing w:after="0" w:line="240" w:lineRule="atLeast"/>
            </w:pPr>
          </w:p>
          <w:p w:rsidR="0061662B" w:rsidP="0061662B" w14:paraId="677F8AFC" w14:textId="77777777">
            <w:pPr>
              <w:spacing w:after="0" w:line="240" w:lineRule="atLeast"/>
            </w:pPr>
            <w:r>
              <w:tab/>
              <w:t>v.</w:t>
            </w:r>
          </w:p>
          <w:p w:rsidR="0061662B" w:rsidP="0061662B" w14:paraId="66781518" w14:textId="77777777">
            <w:pPr>
              <w:spacing w:after="0" w:line="240" w:lineRule="atLeast"/>
            </w:pPr>
          </w:p>
          <w:p w:rsidR="0061662B" w:rsidP="0061662B" w14:paraId="5660AE49" w14:textId="77777777">
            <w:pPr>
              <w:spacing w:after="0" w:line="240" w:lineRule="atLeast"/>
            </w:pPr>
            <w:r>
              <w:t>FIREPLACE PRODUCTS U.S., INC., et al.,</w:t>
            </w:r>
          </w:p>
          <w:p w:rsidR="0061662B" w:rsidP="0061662B" w14:paraId="00AEE8DD" w14:textId="77777777">
            <w:pPr>
              <w:spacing w:after="0" w:line="240" w:lineRule="atLeast"/>
            </w:pPr>
          </w:p>
          <w:p w:rsidR="0061662B" w:rsidP="0061662B" w14:paraId="16618033" w14:textId="77777777">
            <w:pPr>
              <w:spacing w:after="0" w:line="240" w:lineRule="atLeast"/>
            </w:pPr>
            <w:r>
              <w:tab/>
            </w:r>
            <w:r>
              <w:tab/>
              <w:t>Defendants and Respondents.</w:t>
            </w:r>
          </w:p>
          <w:p w:rsidR="0061662B" w:rsidP="0061662B" w14:paraId="46DF7B74" w14:textId="098849FE">
            <w:pPr>
              <w:spacing w:after="0" w:line="240" w:lineRule="atLeast"/>
            </w:pPr>
          </w:p>
        </w:tc>
        <w:tc>
          <w:tcPr>
            <w:tcW w:w="3456" w:type="dxa"/>
            <w:shd w:val="clear" w:color="auto" w:fill="auto"/>
          </w:tcPr>
          <w:p w:rsidR="0061662B" w:rsidP="0061662B" w14:paraId="788AE73B" w14:textId="77777777">
            <w:pPr>
              <w:spacing w:after="0" w:line="240" w:lineRule="atLeast"/>
              <w:jc w:val="center"/>
            </w:pPr>
            <w:r>
              <w:t>C097584</w:t>
            </w:r>
          </w:p>
          <w:p w:rsidR="0061662B" w:rsidP="0061662B" w14:paraId="39CCA212" w14:textId="77777777">
            <w:pPr>
              <w:spacing w:after="0" w:line="240" w:lineRule="atLeast"/>
              <w:jc w:val="center"/>
            </w:pPr>
          </w:p>
          <w:p w:rsidR="0061662B" w:rsidP="0061662B" w14:paraId="5A6C0FA6" w14:textId="77777777">
            <w:pPr>
              <w:spacing w:after="0" w:line="240" w:lineRule="atLeast"/>
              <w:jc w:val="center"/>
            </w:pPr>
            <w:r>
              <w:t>(Super. Ct. No. 34-2019-00270758-CU-WT-GDS)</w:t>
            </w:r>
          </w:p>
          <w:p w:rsidR="0061662B" w:rsidP="0061662B" w14:paraId="080B9917" w14:textId="77777777">
            <w:pPr>
              <w:spacing w:after="0" w:line="240" w:lineRule="atLeast"/>
              <w:jc w:val="center"/>
            </w:pPr>
          </w:p>
          <w:p w:rsidR="0061662B" w:rsidP="0061662B" w14:paraId="068FE271" w14:textId="7A72579D">
            <w:pPr>
              <w:spacing w:after="0" w:line="240" w:lineRule="atLeast"/>
              <w:jc w:val="center"/>
            </w:pPr>
          </w:p>
        </w:tc>
      </w:tr>
    </w:tbl>
    <w:p w:rsidR="0061662B" w:rsidP="0061662B" w14:paraId="2CCF8B04" w14:textId="77777777">
      <w:pPr>
        <w:spacing w:after="0" w:line="240" w:lineRule="atLeast"/>
      </w:pPr>
    </w:p>
    <w:p w:rsidR="00412BF7" w:rsidP="0061662B" w14:paraId="08A3A2A4" w14:textId="77777777">
      <w:pPr>
        <w:spacing w:after="0" w:line="240" w:lineRule="atLeast"/>
      </w:pPr>
    </w:p>
    <w:p w:rsidR="0061662B" w:rsidP="0061662B" w14:paraId="14CC9C9A" w14:textId="77777777">
      <w:pPr>
        <w:spacing w:after="0" w:line="240" w:lineRule="atLeast"/>
      </w:pPr>
    </w:p>
    <w:p w:rsidR="0061662B" w:rsidP="0061662B" w14:paraId="603EB087" w14:textId="60071D4F">
      <w:pPr>
        <w:spacing w:after="0" w:line="240" w:lineRule="atLeast"/>
      </w:pPr>
      <w:r>
        <w:tab/>
        <w:t>APPEAL from a judgment of the Superior Court of Sacramento County, Richard K. Sueyoshi, Judge.  Affirmed.</w:t>
      </w:r>
    </w:p>
    <w:p w:rsidR="0061662B" w:rsidP="0061662B" w14:paraId="663B14AC" w14:textId="77777777">
      <w:pPr>
        <w:spacing w:after="0" w:line="240" w:lineRule="atLeast"/>
      </w:pPr>
    </w:p>
    <w:p w:rsidR="0061662B" w:rsidP="0061662B" w14:paraId="07187B81" w14:textId="7729296F">
      <w:pPr>
        <w:spacing w:after="0" w:line="240" w:lineRule="atLeast"/>
      </w:pPr>
      <w:r>
        <w:tab/>
        <w:t>Law Offices of J. David Nick and J. David Nick for Plaintiff and Appellant.</w:t>
      </w:r>
    </w:p>
    <w:p w:rsidR="0061662B" w:rsidP="0061662B" w14:paraId="557228A6" w14:textId="77777777">
      <w:pPr>
        <w:spacing w:after="0" w:line="240" w:lineRule="atLeast"/>
      </w:pPr>
    </w:p>
    <w:p w:rsidR="0061662B" w:rsidP="0061662B" w14:paraId="48BA2989" w14:textId="57225B3D">
      <w:pPr>
        <w:spacing w:after="0" w:line="240" w:lineRule="atLeast"/>
      </w:pPr>
      <w:r>
        <w:tab/>
        <w:t>Littler Mendelson, Barbara A. Blackburn, John H. Adams, Jr., and Douglas L. Ropel for Defendants and Respondents.</w:t>
      </w:r>
    </w:p>
    <w:p w:rsidR="0061662B" w:rsidRPr="0061662B" w:rsidP="0061662B" w14:paraId="1F2D87A7" w14:textId="77777777">
      <w:pPr>
        <w:spacing w:after="0" w:line="240" w:lineRule="atLeast"/>
      </w:pPr>
    </w:p>
    <w:p w:rsidR="0061662B" w:rsidP="0061662B" w14:paraId="0E6B7D14" w14:textId="77777777">
      <w:pPr>
        <w:tabs>
          <w:tab w:val="center" w:pos="4680"/>
          <w:tab w:val="right" w:pos="9360"/>
        </w:tabs>
        <w:spacing w:after="0" w:line="240" w:lineRule="atLeast"/>
        <w:rPr>
          <w:u w:val="single"/>
        </w:rPr>
      </w:pPr>
    </w:p>
    <w:p w:rsidR="006B62A0" w:rsidP="0061662B" w14:paraId="6D9989B8" w14:textId="77777777">
      <w:pPr>
        <w:tabs>
          <w:tab w:val="center" w:pos="4680"/>
          <w:tab w:val="right" w:pos="9360"/>
        </w:tabs>
        <w:spacing w:after="0" w:line="240" w:lineRule="atLeast"/>
        <w:rPr>
          <w:u w:val="single"/>
        </w:rPr>
      </w:pPr>
    </w:p>
    <w:p w:rsidR="00B11B44" w:rsidP="006B62A0" w14:paraId="66EA122C" w14:textId="77777777">
      <w:pPr>
        <w:tabs>
          <w:tab w:val="center" w:pos="4680"/>
          <w:tab w:val="right" w:pos="9360"/>
        </w:tabs>
        <w:spacing w:after="0" w:line="240" w:lineRule="auto"/>
        <w:rPr>
          <w:u w:val="single"/>
        </w:rPr>
      </w:pPr>
    </w:p>
    <w:p w:rsidR="006B62A0" w:rsidP="006B62A0" w14:paraId="004473C2" w14:textId="77777777">
      <w:pPr>
        <w:tabs>
          <w:tab w:val="center" w:pos="4680"/>
          <w:tab w:val="right" w:pos="9360"/>
        </w:tabs>
        <w:spacing w:after="0" w:line="240" w:lineRule="auto"/>
        <w:rPr>
          <w:u w:val="single"/>
        </w:rPr>
      </w:pPr>
    </w:p>
    <w:p w:rsidR="006B62A0" w:rsidRPr="00492CC1" w:rsidP="006B62A0" w14:paraId="66110DE9" w14:textId="221A6E4D">
      <w:pPr>
        <w:spacing w:after="0" w:line="480" w:lineRule="atLeast"/>
        <w:rPr>
          <w:rFonts w:cs="Times New Roman"/>
          <w:szCs w:val="26"/>
        </w:rPr>
      </w:pPr>
      <w:r>
        <w:tab/>
      </w:r>
      <w:r w:rsidRPr="00492CC1">
        <w:rPr>
          <w:rFonts w:cs="Times New Roman"/>
          <w:szCs w:val="26"/>
        </w:rPr>
        <w:t>Appellant Erika Paleny sued respondents Fireplace Products U.S., Inc.</w:t>
      </w:r>
      <w:r>
        <w:rPr>
          <w:rFonts w:cs="Times New Roman"/>
          <w:szCs w:val="26"/>
        </w:rPr>
        <w:t xml:space="preserve"> (Fireplace Products)</w:t>
      </w:r>
      <w:r w:rsidR="008A2C79">
        <w:rPr>
          <w:rFonts w:cs="Times New Roman"/>
          <w:szCs w:val="26"/>
        </w:rPr>
        <w:t>,</w:t>
      </w:r>
      <w:r w:rsidRPr="00492CC1">
        <w:rPr>
          <w:rFonts w:cs="Times New Roman"/>
          <w:szCs w:val="26"/>
        </w:rPr>
        <w:t xml:space="preserve"> and Sabah Salah (collectively, respondents), arguing that she experienced harassment, discrimination, and retaliation after she informed her manager</w:t>
      </w:r>
      <w:r w:rsidR="008D0238">
        <w:rPr>
          <w:rFonts w:cs="Times New Roman"/>
          <w:szCs w:val="26"/>
        </w:rPr>
        <w:t>,</w:t>
      </w:r>
      <w:r w:rsidRPr="00492CC1">
        <w:rPr>
          <w:rFonts w:cs="Times New Roman"/>
          <w:szCs w:val="26"/>
        </w:rPr>
        <w:t xml:space="preserve"> </w:t>
      </w:r>
      <w:r>
        <w:rPr>
          <w:rFonts w:cs="Times New Roman"/>
          <w:szCs w:val="26"/>
        </w:rPr>
        <w:t>Salah</w:t>
      </w:r>
      <w:r w:rsidR="008D0238">
        <w:rPr>
          <w:rFonts w:cs="Times New Roman"/>
          <w:szCs w:val="26"/>
        </w:rPr>
        <w:t>,</w:t>
      </w:r>
      <w:r>
        <w:rPr>
          <w:rFonts w:cs="Times New Roman"/>
          <w:szCs w:val="26"/>
        </w:rPr>
        <w:t xml:space="preserve"> </w:t>
      </w:r>
      <w:r w:rsidRPr="00492CC1">
        <w:rPr>
          <w:rFonts w:cs="Times New Roman"/>
          <w:szCs w:val="26"/>
        </w:rPr>
        <w:t xml:space="preserve">that she would be undergoing </w:t>
      </w:r>
      <w:r>
        <w:rPr>
          <w:rFonts w:cs="Times New Roman"/>
          <w:szCs w:val="26"/>
        </w:rPr>
        <w:t>oocyte (</w:t>
      </w:r>
      <w:r w:rsidRPr="00492CC1">
        <w:rPr>
          <w:rFonts w:cs="Times New Roman"/>
          <w:szCs w:val="26"/>
        </w:rPr>
        <w:t>egg</w:t>
      </w:r>
      <w:r>
        <w:rPr>
          <w:rFonts w:cs="Times New Roman"/>
          <w:szCs w:val="26"/>
        </w:rPr>
        <w:t>)</w:t>
      </w:r>
      <w:r w:rsidRPr="00492CC1">
        <w:rPr>
          <w:rFonts w:cs="Times New Roman"/>
          <w:szCs w:val="26"/>
        </w:rPr>
        <w:t xml:space="preserve"> retrieval procedure</w:t>
      </w:r>
      <w:r>
        <w:rPr>
          <w:rFonts w:cs="Times New Roman"/>
          <w:szCs w:val="26"/>
        </w:rPr>
        <w:t>s</w:t>
      </w:r>
      <w:r w:rsidRPr="00492CC1">
        <w:rPr>
          <w:rFonts w:cs="Times New Roman"/>
          <w:szCs w:val="26"/>
        </w:rPr>
        <w:t xml:space="preserve"> to </w:t>
      </w:r>
      <w:r>
        <w:rPr>
          <w:rFonts w:cs="Times New Roman"/>
          <w:szCs w:val="26"/>
        </w:rPr>
        <w:t xml:space="preserve">both </w:t>
      </w:r>
      <w:r w:rsidRPr="00492CC1">
        <w:rPr>
          <w:rFonts w:cs="Times New Roman"/>
          <w:szCs w:val="26"/>
        </w:rPr>
        <w:t xml:space="preserve">donate and freeze </w:t>
      </w:r>
      <w:r>
        <w:rPr>
          <w:rFonts w:cs="Times New Roman"/>
          <w:szCs w:val="26"/>
        </w:rPr>
        <w:t xml:space="preserve">eggs </w:t>
      </w:r>
      <w:r w:rsidRPr="00492CC1">
        <w:rPr>
          <w:rFonts w:cs="Times New Roman"/>
          <w:szCs w:val="26"/>
        </w:rPr>
        <w:t xml:space="preserve">for herself for potential use at some unknown time in the future.  The </w:t>
      </w:r>
      <w:r>
        <w:rPr>
          <w:rFonts w:cs="Times New Roman"/>
          <w:szCs w:val="26"/>
        </w:rPr>
        <w:t>superior</w:t>
      </w:r>
      <w:r w:rsidRPr="00492CC1">
        <w:rPr>
          <w:rFonts w:cs="Times New Roman"/>
          <w:szCs w:val="26"/>
        </w:rPr>
        <w:t xml:space="preserve"> court granted respondents’ motion for summary judgment based on its finding that the egg retrieval and freezing procedure</w:t>
      </w:r>
      <w:r>
        <w:rPr>
          <w:rFonts w:cs="Times New Roman"/>
          <w:szCs w:val="26"/>
        </w:rPr>
        <w:t>s</w:t>
      </w:r>
      <w:r w:rsidRPr="00492CC1">
        <w:rPr>
          <w:rFonts w:cs="Times New Roman"/>
          <w:szCs w:val="26"/>
        </w:rPr>
        <w:t xml:space="preserve"> did not qualify as a pregnancy-related medical condition or disability and </w:t>
      </w:r>
      <w:r w:rsidR="00A67931">
        <w:rPr>
          <w:rFonts w:cs="Times New Roman"/>
          <w:szCs w:val="26"/>
        </w:rPr>
        <w:t>were</w:t>
      </w:r>
      <w:r w:rsidR="008A2C79">
        <w:rPr>
          <w:rFonts w:cs="Times New Roman"/>
          <w:szCs w:val="26"/>
        </w:rPr>
        <w:t>,</w:t>
      </w:r>
      <w:r w:rsidRPr="00492CC1" w:rsidR="00A67931">
        <w:rPr>
          <w:rFonts w:cs="Times New Roman"/>
          <w:szCs w:val="26"/>
        </w:rPr>
        <w:t xml:space="preserve"> </w:t>
      </w:r>
      <w:r w:rsidRPr="00492CC1">
        <w:rPr>
          <w:rFonts w:cs="Times New Roman"/>
          <w:szCs w:val="26"/>
        </w:rPr>
        <w:t>therefore</w:t>
      </w:r>
      <w:r w:rsidR="008A2C79">
        <w:rPr>
          <w:rFonts w:cs="Times New Roman"/>
          <w:szCs w:val="26"/>
        </w:rPr>
        <w:t>,</w:t>
      </w:r>
      <w:r w:rsidRPr="00492CC1">
        <w:rPr>
          <w:rFonts w:cs="Times New Roman"/>
          <w:szCs w:val="26"/>
        </w:rPr>
        <w:t xml:space="preserve"> not protected by the </w:t>
      </w:r>
      <w:r w:rsidR="00D05E5C">
        <w:rPr>
          <w:rFonts w:cs="Times New Roman"/>
          <w:szCs w:val="26"/>
        </w:rPr>
        <w:t xml:space="preserve">California </w:t>
      </w:r>
      <w:r w:rsidRPr="00492CC1">
        <w:rPr>
          <w:rFonts w:cs="Times New Roman"/>
          <w:szCs w:val="26"/>
        </w:rPr>
        <w:t>Fair Employment and Housing Act (FEHA)</w:t>
      </w:r>
      <w:r w:rsidR="00D05E5C">
        <w:rPr>
          <w:rFonts w:cs="Times New Roman"/>
          <w:szCs w:val="26"/>
        </w:rPr>
        <w:t xml:space="preserve"> (Gov. Code, § 12900 et seq.)</w:t>
      </w:r>
      <w:r w:rsidRPr="00492CC1">
        <w:rPr>
          <w:rFonts w:cs="Times New Roman"/>
          <w:szCs w:val="26"/>
        </w:rPr>
        <w:t>.</w:t>
      </w:r>
      <w:r>
        <w:rPr>
          <w:rStyle w:val="FootnoteReference"/>
          <w:rFonts w:cs="Times New Roman"/>
          <w:szCs w:val="26"/>
        </w:rPr>
        <w:footnoteReference w:id="2"/>
      </w:r>
      <w:r w:rsidRPr="00492CC1">
        <w:rPr>
          <w:rFonts w:cs="Times New Roman"/>
          <w:szCs w:val="26"/>
        </w:rPr>
        <w:t xml:space="preserve">  Paleny appeals, arguing the </w:t>
      </w:r>
      <w:r>
        <w:rPr>
          <w:rFonts w:cs="Times New Roman"/>
          <w:szCs w:val="26"/>
        </w:rPr>
        <w:t>superior</w:t>
      </w:r>
      <w:r w:rsidRPr="00492CC1">
        <w:rPr>
          <w:rFonts w:cs="Times New Roman"/>
          <w:szCs w:val="26"/>
        </w:rPr>
        <w:t xml:space="preserve"> court’s ruling erroneously construed the relevant statutes</w:t>
      </w:r>
      <w:r>
        <w:rPr>
          <w:rFonts w:cs="Times New Roman"/>
          <w:szCs w:val="26"/>
        </w:rPr>
        <w:t xml:space="preserve"> to deny her protection under the FEHA</w:t>
      </w:r>
      <w:r w:rsidRPr="00492CC1">
        <w:rPr>
          <w:rFonts w:cs="Times New Roman"/>
          <w:szCs w:val="26"/>
        </w:rPr>
        <w:t>.  We affirm.</w:t>
      </w:r>
    </w:p>
    <w:p w:rsidR="006B62A0" w:rsidRPr="00492CC1" w:rsidP="00E1048B" w14:paraId="374F91B7" w14:textId="77777777">
      <w:pPr>
        <w:keepNext/>
        <w:spacing w:after="0" w:line="480" w:lineRule="atLeast"/>
        <w:jc w:val="center"/>
        <w:rPr>
          <w:rFonts w:cs="Times New Roman"/>
          <w:b/>
          <w:bCs/>
          <w:szCs w:val="26"/>
        </w:rPr>
      </w:pPr>
      <w:r w:rsidRPr="00492CC1">
        <w:rPr>
          <w:rFonts w:cs="Times New Roman"/>
          <w:b/>
          <w:bCs/>
          <w:szCs w:val="26"/>
        </w:rPr>
        <w:t>LEGAL AND FACTUAL BACKGROUND</w:t>
      </w:r>
    </w:p>
    <w:p w:rsidR="006B62A0" w:rsidRPr="00492CC1" w:rsidP="006B62A0" w14:paraId="0295ECCE" w14:textId="6A93EF6A">
      <w:pPr>
        <w:pStyle w:val="Default"/>
        <w:spacing w:line="480" w:lineRule="atLeast"/>
        <w:rPr>
          <w:rFonts w:ascii="Times New Roman" w:hAnsi="Times New Roman" w:cs="Times New Roman"/>
          <w:sz w:val="26"/>
          <w:szCs w:val="26"/>
        </w:rPr>
      </w:pPr>
      <w:r w:rsidRPr="00492CC1">
        <w:rPr>
          <w:rFonts w:ascii="Times New Roman" w:hAnsi="Times New Roman" w:cs="Times New Roman"/>
          <w:sz w:val="26"/>
          <w:szCs w:val="26"/>
        </w:rPr>
        <w:tab/>
        <w:t xml:space="preserve">The </w:t>
      </w:r>
      <w:r>
        <w:rPr>
          <w:rFonts w:ascii="Times New Roman" w:hAnsi="Times New Roman" w:cs="Times New Roman"/>
          <w:sz w:val="26"/>
          <w:szCs w:val="26"/>
        </w:rPr>
        <w:t>c</w:t>
      </w:r>
      <w:r w:rsidRPr="00492CC1">
        <w:rPr>
          <w:rFonts w:ascii="Times New Roman" w:hAnsi="Times New Roman" w:cs="Times New Roman"/>
          <w:sz w:val="26"/>
          <w:szCs w:val="26"/>
        </w:rPr>
        <w:t>omplaint allege</w:t>
      </w:r>
      <w:r>
        <w:rPr>
          <w:rFonts w:ascii="Times New Roman" w:hAnsi="Times New Roman" w:cs="Times New Roman"/>
          <w:sz w:val="26"/>
          <w:szCs w:val="26"/>
        </w:rPr>
        <w:t>d</w:t>
      </w:r>
      <w:r w:rsidRPr="00492CC1">
        <w:rPr>
          <w:rFonts w:ascii="Times New Roman" w:hAnsi="Times New Roman" w:cs="Times New Roman"/>
          <w:sz w:val="26"/>
          <w:szCs w:val="26"/>
        </w:rPr>
        <w:t xml:space="preserve"> that </w:t>
      </w:r>
      <w:r>
        <w:rPr>
          <w:rFonts w:ascii="Times New Roman" w:hAnsi="Times New Roman" w:cs="Times New Roman"/>
          <w:sz w:val="26"/>
          <w:szCs w:val="26"/>
        </w:rPr>
        <w:t>a</w:t>
      </w:r>
      <w:r w:rsidRPr="00492CC1">
        <w:rPr>
          <w:rFonts w:ascii="Times New Roman" w:hAnsi="Times New Roman" w:cs="Times New Roman"/>
          <w:sz w:val="26"/>
          <w:szCs w:val="26"/>
        </w:rPr>
        <w:t xml:space="preserve">ppellant began working for </w:t>
      </w:r>
      <w:r>
        <w:rPr>
          <w:rFonts w:ascii="Times New Roman" w:hAnsi="Times New Roman" w:cs="Times New Roman"/>
          <w:sz w:val="26"/>
          <w:szCs w:val="26"/>
        </w:rPr>
        <w:t>r</w:t>
      </w:r>
      <w:r w:rsidRPr="00492CC1">
        <w:rPr>
          <w:rFonts w:ascii="Times New Roman" w:hAnsi="Times New Roman" w:cs="Times New Roman"/>
          <w:sz w:val="26"/>
          <w:szCs w:val="26"/>
        </w:rPr>
        <w:t>espondents as a full-time administrative assistant in May 2018.</w:t>
      </w:r>
      <w:r>
        <w:rPr>
          <w:rFonts w:ascii="Times New Roman" w:hAnsi="Times New Roman" w:cs="Times New Roman"/>
          <w:sz w:val="26"/>
          <w:szCs w:val="26"/>
        </w:rPr>
        <w:t xml:space="preserve"> </w:t>
      </w:r>
      <w:r w:rsidRPr="00492CC1">
        <w:rPr>
          <w:rFonts w:ascii="Times New Roman" w:hAnsi="Times New Roman" w:cs="Times New Roman"/>
          <w:sz w:val="26"/>
          <w:szCs w:val="26"/>
        </w:rPr>
        <w:t xml:space="preserve"> In October 201</w:t>
      </w:r>
      <w:r>
        <w:rPr>
          <w:rFonts w:ascii="Times New Roman" w:hAnsi="Times New Roman" w:cs="Times New Roman"/>
          <w:sz w:val="26"/>
          <w:szCs w:val="26"/>
        </w:rPr>
        <w:t>8</w:t>
      </w:r>
      <w:r w:rsidRPr="00492CC1">
        <w:rPr>
          <w:rFonts w:ascii="Times New Roman" w:hAnsi="Times New Roman" w:cs="Times New Roman"/>
          <w:sz w:val="26"/>
          <w:szCs w:val="26"/>
        </w:rPr>
        <w:t xml:space="preserve">, </w:t>
      </w:r>
      <w:r>
        <w:rPr>
          <w:rFonts w:ascii="Times New Roman" w:hAnsi="Times New Roman" w:cs="Times New Roman"/>
          <w:sz w:val="26"/>
          <w:szCs w:val="26"/>
        </w:rPr>
        <w:t>a</w:t>
      </w:r>
      <w:r w:rsidRPr="00492CC1">
        <w:rPr>
          <w:rFonts w:ascii="Times New Roman" w:hAnsi="Times New Roman" w:cs="Times New Roman"/>
          <w:sz w:val="26"/>
          <w:szCs w:val="26"/>
        </w:rPr>
        <w:t xml:space="preserve">ppellant informed </w:t>
      </w:r>
      <w:r>
        <w:rPr>
          <w:rFonts w:ascii="Times New Roman" w:hAnsi="Times New Roman" w:cs="Times New Roman"/>
          <w:sz w:val="26"/>
          <w:szCs w:val="26"/>
        </w:rPr>
        <w:t>r</w:t>
      </w:r>
      <w:r w:rsidRPr="00492CC1">
        <w:rPr>
          <w:rFonts w:ascii="Times New Roman" w:hAnsi="Times New Roman" w:cs="Times New Roman"/>
          <w:sz w:val="26"/>
          <w:szCs w:val="26"/>
        </w:rPr>
        <w:t>espondents that she had begun</w:t>
      </w:r>
      <w:r>
        <w:rPr>
          <w:rFonts w:ascii="Times New Roman" w:hAnsi="Times New Roman" w:cs="Times New Roman"/>
          <w:sz w:val="26"/>
          <w:szCs w:val="26"/>
        </w:rPr>
        <w:t xml:space="preserve"> procedures necessary for egg retrieval.</w:t>
      </w:r>
      <w:r w:rsidRPr="00492CC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92CC1">
        <w:rPr>
          <w:rFonts w:ascii="Times New Roman" w:hAnsi="Times New Roman" w:cs="Times New Roman"/>
          <w:sz w:val="26"/>
          <w:szCs w:val="26"/>
        </w:rPr>
        <w:t xml:space="preserve">Appellant underwent </w:t>
      </w:r>
      <w:r>
        <w:rPr>
          <w:rFonts w:ascii="Times New Roman" w:hAnsi="Times New Roman" w:cs="Times New Roman"/>
          <w:sz w:val="26"/>
          <w:szCs w:val="26"/>
        </w:rPr>
        <w:t xml:space="preserve">these procedures </w:t>
      </w:r>
      <w:r w:rsidRPr="00492CC1">
        <w:rPr>
          <w:rFonts w:ascii="Times New Roman" w:hAnsi="Times New Roman" w:cs="Times New Roman"/>
          <w:sz w:val="26"/>
          <w:szCs w:val="26"/>
        </w:rPr>
        <w:t xml:space="preserve">from October of 2018 through her termination </w:t>
      </w:r>
      <w:r>
        <w:rPr>
          <w:rFonts w:ascii="Times New Roman" w:hAnsi="Times New Roman" w:cs="Times New Roman"/>
          <w:sz w:val="26"/>
          <w:szCs w:val="26"/>
        </w:rPr>
        <w:t>i</w:t>
      </w:r>
      <w:r w:rsidRPr="00492CC1">
        <w:rPr>
          <w:rFonts w:ascii="Times New Roman" w:hAnsi="Times New Roman" w:cs="Times New Roman"/>
          <w:sz w:val="26"/>
          <w:szCs w:val="26"/>
        </w:rPr>
        <w:t>n February</w:t>
      </w:r>
      <w:r>
        <w:rPr>
          <w:rFonts w:ascii="Times New Roman" w:hAnsi="Times New Roman" w:cs="Times New Roman"/>
          <w:sz w:val="26"/>
          <w:szCs w:val="26"/>
        </w:rPr>
        <w:t xml:space="preserve"> </w:t>
      </w:r>
      <w:r w:rsidRPr="00492CC1">
        <w:rPr>
          <w:rFonts w:ascii="Times New Roman" w:hAnsi="Times New Roman" w:cs="Times New Roman"/>
          <w:sz w:val="26"/>
          <w:szCs w:val="26"/>
        </w:rPr>
        <w:t>2019.</w:t>
      </w:r>
    </w:p>
    <w:p w:rsidR="006B62A0" w:rsidRPr="00492CC1" w:rsidP="006B62A0" w14:paraId="4CAA4DB6" w14:textId="1D22678E">
      <w:pPr>
        <w:pStyle w:val="Default"/>
        <w:spacing w:line="480" w:lineRule="atLeast"/>
        <w:ind w:firstLine="720"/>
        <w:rPr>
          <w:rFonts w:ascii="Times New Roman" w:hAnsi="Times New Roman" w:cs="Times New Roman"/>
          <w:sz w:val="26"/>
          <w:szCs w:val="26"/>
        </w:rPr>
      </w:pPr>
      <w:r w:rsidRPr="00492CC1">
        <w:rPr>
          <w:rFonts w:ascii="Times New Roman" w:hAnsi="Times New Roman" w:cs="Times New Roman"/>
          <w:sz w:val="26"/>
          <w:szCs w:val="26"/>
        </w:rPr>
        <w:t xml:space="preserve">In November 2018, </w:t>
      </w:r>
      <w:r>
        <w:rPr>
          <w:rFonts w:ascii="Times New Roman" w:hAnsi="Times New Roman" w:cs="Times New Roman"/>
          <w:sz w:val="26"/>
          <w:szCs w:val="26"/>
        </w:rPr>
        <w:t xml:space="preserve">appellant’s supervisor, </w:t>
      </w:r>
      <w:r w:rsidRPr="00492CC1">
        <w:rPr>
          <w:rFonts w:ascii="Times New Roman" w:hAnsi="Times New Roman" w:cs="Times New Roman"/>
          <w:sz w:val="26"/>
          <w:szCs w:val="26"/>
        </w:rPr>
        <w:t>Salah</w:t>
      </w:r>
      <w:r>
        <w:rPr>
          <w:rFonts w:ascii="Times New Roman" w:hAnsi="Times New Roman" w:cs="Times New Roman"/>
          <w:sz w:val="26"/>
          <w:szCs w:val="26"/>
        </w:rPr>
        <w:t>,</w:t>
      </w:r>
      <w:r w:rsidRPr="00492CC1">
        <w:rPr>
          <w:rFonts w:ascii="Times New Roman" w:hAnsi="Times New Roman" w:cs="Times New Roman"/>
          <w:sz w:val="26"/>
          <w:szCs w:val="26"/>
        </w:rPr>
        <w:t xml:space="preserve"> informed </w:t>
      </w:r>
      <w:r>
        <w:rPr>
          <w:rFonts w:ascii="Times New Roman" w:hAnsi="Times New Roman" w:cs="Times New Roman"/>
          <w:sz w:val="26"/>
          <w:szCs w:val="26"/>
        </w:rPr>
        <w:t>a</w:t>
      </w:r>
      <w:r w:rsidRPr="00492CC1">
        <w:rPr>
          <w:rFonts w:ascii="Times New Roman" w:hAnsi="Times New Roman" w:cs="Times New Roman"/>
          <w:sz w:val="26"/>
          <w:szCs w:val="26"/>
        </w:rPr>
        <w:t xml:space="preserve">ppellant that </w:t>
      </w:r>
      <w:r>
        <w:rPr>
          <w:rFonts w:ascii="Times New Roman" w:hAnsi="Times New Roman" w:cs="Times New Roman"/>
          <w:sz w:val="26"/>
          <w:szCs w:val="26"/>
        </w:rPr>
        <w:t>she</w:t>
      </w:r>
      <w:r w:rsidRPr="00492CC1">
        <w:rPr>
          <w:rFonts w:ascii="Times New Roman" w:hAnsi="Times New Roman" w:cs="Times New Roman"/>
          <w:sz w:val="26"/>
          <w:szCs w:val="26"/>
        </w:rPr>
        <w:t xml:space="preserve"> disapproved of </w:t>
      </w:r>
      <w:r>
        <w:rPr>
          <w:rFonts w:ascii="Times New Roman" w:hAnsi="Times New Roman" w:cs="Times New Roman"/>
          <w:sz w:val="26"/>
          <w:szCs w:val="26"/>
        </w:rPr>
        <w:t>the procedures</w:t>
      </w:r>
      <w:r w:rsidRPr="00492CC1">
        <w:rPr>
          <w:rFonts w:ascii="Times New Roman" w:hAnsi="Times New Roman" w:cs="Times New Roman"/>
          <w:sz w:val="26"/>
          <w:szCs w:val="26"/>
        </w:rPr>
        <w:t>.</w:t>
      </w:r>
      <w:r>
        <w:rPr>
          <w:rFonts w:ascii="Times New Roman" w:hAnsi="Times New Roman" w:cs="Times New Roman"/>
          <w:sz w:val="26"/>
          <w:szCs w:val="26"/>
        </w:rPr>
        <w:t xml:space="preserve"> </w:t>
      </w:r>
      <w:r w:rsidRPr="00492CC1">
        <w:rPr>
          <w:rFonts w:ascii="Times New Roman" w:hAnsi="Times New Roman" w:cs="Times New Roman"/>
          <w:sz w:val="26"/>
          <w:szCs w:val="26"/>
        </w:rPr>
        <w:t xml:space="preserve"> </w:t>
      </w:r>
      <w:r>
        <w:rPr>
          <w:rFonts w:ascii="Times New Roman" w:hAnsi="Times New Roman" w:cs="Times New Roman"/>
          <w:sz w:val="26"/>
          <w:szCs w:val="26"/>
        </w:rPr>
        <w:t xml:space="preserve">According to appellant, </w:t>
      </w:r>
      <w:r w:rsidRPr="00492CC1">
        <w:rPr>
          <w:rFonts w:ascii="Times New Roman" w:hAnsi="Times New Roman" w:cs="Times New Roman"/>
          <w:sz w:val="26"/>
          <w:szCs w:val="26"/>
        </w:rPr>
        <w:t xml:space="preserve">Salah then harassed </w:t>
      </w:r>
      <w:r>
        <w:rPr>
          <w:rFonts w:ascii="Times New Roman" w:hAnsi="Times New Roman" w:cs="Times New Roman"/>
          <w:sz w:val="26"/>
          <w:szCs w:val="26"/>
        </w:rPr>
        <w:t>a</w:t>
      </w:r>
      <w:r w:rsidRPr="00492CC1">
        <w:rPr>
          <w:rFonts w:ascii="Times New Roman" w:hAnsi="Times New Roman" w:cs="Times New Roman"/>
          <w:sz w:val="26"/>
          <w:szCs w:val="26"/>
        </w:rPr>
        <w:t xml:space="preserve">ppellant for needing </w:t>
      </w:r>
      <w:r>
        <w:rPr>
          <w:rFonts w:ascii="Times New Roman" w:hAnsi="Times New Roman" w:cs="Times New Roman"/>
          <w:sz w:val="26"/>
          <w:szCs w:val="26"/>
        </w:rPr>
        <w:t xml:space="preserve">time off for the procedures. </w:t>
      </w:r>
      <w:r w:rsidRPr="00492CC1">
        <w:rPr>
          <w:rFonts w:ascii="Times New Roman" w:hAnsi="Times New Roman" w:cs="Times New Roman"/>
          <w:sz w:val="26"/>
          <w:szCs w:val="26"/>
        </w:rPr>
        <w:t xml:space="preserve"> Appellant </w:t>
      </w:r>
      <w:r>
        <w:rPr>
          <w:rFonts w:ascii="Times New Roman" w:hAnsi="Times New Roman" w:cs="Times New Roman"/>
          <w:sz w:val="26"/>
          <w:szCs w:val="26"/>
        </w:rPr>
        <w:t xml:space="preserve">claimed she expressed disagreement with </w:t>
      </w:r>
      <w:r w:rsidRPr="00492CC1">
        <w:rPr>
          <w:rFonts w:ascii="Times New Roman" w:hAnsi="Times New Roman" w:cs="Times New Roman"/>
          <w:sz w:val="26"/>
          <w:szCs w:val="26"/>
        </w:rPr>
        <w:t>Salah’s position, which further created hostility in the workplace.</w:t>
      </w:r>
    </w:p>
    <w:p w:rsidR="006B62A0" w:rsidRPr="00492CC1" w:rsidP="006B62A0" w14:paraId="3C7425C6" w14:textId="6CF296B0">
      <w:pPr>
        <w:pStyle w:val="Default"/>
        <w:spacing w:line="480" w:lineRule="atLeast"/>
        <w:ind w:firstLine="720"/>
        <w:rPr>
          <w:rFonts w:ascii="Times New Roman" w:hAnsi="Times New Roman" w:cs="Times New Roman"/>
          <w:sz w:val="26"/>
          <w:szCs w:val="26"/>
        </w:rPr>
      </w:pPr>
      <w:r>
        <w:rPr>
          <w:rFonts w:ascii="Times New Roman" w:hAnsi="Times New Roman" w:cs="Times New Roman"/>
          <w:sz w:val="26"/>
          <w:szCs w:val="26"/>
        </w:rPr>
        <w:t>In early</w:t>
      </w:r>
      <w:r w:rsidRPr="00492CC1">
        <w:rPr>
          <w:rFonts w:ascii="Times New Roman" w:hAnsi="Times New Roman" w:cs="Times New Roman"/>
          <w:sz w:val="26"/>
          <w:szCs w:val="26"/>
        </w:rPr>
        <w:t xml:space="preserve"> February 2019, </w:t>
      </w:r>
      <w:r>
        <w:rPr>
          <w:rFonts w:ascii="Times New Roman" w:hAnsi="Times New Roman" w:cs="Times New Roman"/>
          <w:sz w:val="26"/>
          <w:szCs w:val="26"/>
        </w:rPr>
        <w:t>a</w:t>
      </w:r>
      <w:r w:rsidRPr="00492CC1">
        <w:rPr>
          <w:rFonts w:ascii="Times New Roman" w:hAnsi="Times New Roman" w:cs="Times New Roman"/>
          <w:sz w:val="26"/>
          <w:szCs w:val="26"/>
        </w:rPr>
        <w:t xml:space="preserve">ppellant informed Salah that she would need </w:t>
      </w:r>
      <w:r>
        <w:rPr>
          <w:rFonts w:ascii="Times New Roman" w:hAnsi="Times New Roman" w:cs="Times New Roman"/>
          <w:sz w:val="26"/>
          <w:szCs w:val="26"/>
        </w:rPr>
        <w:t xml:space="preserve">additional time off for another appointment related to her procedures. </w:t>
      </w:r>
      <w:r w:rsidRPr="00492CC1">
        <w:rPr>
          <w:rFonts w:ascii="Times New Roman" w:hAnsi="Times New Roman" w:cs="Times New Roman"/>
          <w:sz w:val="26"/>
          <w:szCs w:val="26"/>
        </w:rPr>
        <w:t xml:space="preserve"> </w:t>
      </w:r>
      <w:r>
        <w:rPr>
          <w:rFonts w:ascii="Times New Roman" w:hAnsi="Times New Roman" w:cs="Times New Roman"/>
          <w:sz w:val="26"/>
          <w:szCs w:val="26"/>
        </w:rPr>
        <w:t xml:space="preserve">Appellant alleged </w:t>
      </w:r>
      <w:r w:rsidRPr="00492CC1">
        <w:rPr>
          <w:rFonts w:ascii="Times New Roman" w:hAnsi="Times New Roman" w:cs="Times New Roman"/>
          <w:sz w:val="26"/>
          <w:szCs w:val="26"/>
        </w:rPr>
        <w:t>Salah became angry</w:t>
      </w:r>
      <w:r>
        <w:rPr>
          <w:rFonts w:ascii="Times New Roman" w:hAnsi="Times New Roman" w:cs="Times New Roman"/>
          <w:sz w:val="26"/>
          <w:szCs w:val="26"/>
        </w:rPr>
        <w:t>,</w:t>
      </w:r>
      <w:r w:rsidRPr="00492CC1">
        <w:rPr>
          <w:rFonts w:ascii="Times New Roman" w:hAnsi="Times New Roman" w:cs="Times New Roman"/>
          <w:sz w:val="26"/>
          <w:szCs w:val="26"/>
        </w:rPr>
        <w:t xml:space="preserve"> </w:t>
      </w:r>
      <w:r>
        <w:rPr>
          <w:rFonts w:ascii="Times New Roman" w:hAnsi="Times New Roman" w:cs="Times New Roman"/>
          <w:sz w:val="26"/>
          <w:szCs w:val="26"/>
        </w:rPr>
        <w:t>and</w:t>
      </w:r>
      <w:r w:rsidRPr="00492CC1">
        <w:rPr>
          <w:rFonts w:ascii="Times New Roman" w:hAnsi="Times New Roman" w:cs="Times New Roman"/>
          <w:sz w:val="26"/>
          <w:szCs w:val="26"/>
        </w:rPr>
        <w:t xml:space="preserve"> </w:t>
      </w:r>
      <w:r>
        <w:rPr>
          <w:rFonts w:ascii="Times New Roman" w:hAnsi="Times New Roman" w:cs="Times New Roman"/>
          <w:sz w:val="26"/>
          <w:szCs w:val="26"/>
        </w:rPr>
        <w:t>a</w:t>
      </w:r>
      <w:r w:rsidRPr="00492CC1">
        <w:rPr>
          <w:rFonts w:ascii="Times New Roman" w:hAnsi="Times New Roman" w:cs="Times New Roman"/>
          <w:sz w:val="26"/>
          <w:szCs w:val="26"/>
        </w:rPr>
        <w:t>ppellant’s employment was terminated.</w:t>
      </w:r>
    </w:p>
    <w:p w:rsidR="006B62A0" w:rsidRPr="00492CC1" w:rsidP="006B62A0" w14:paraId="4ED9E190" w14:textId="6FE73C9D">
      <w:pPr>
        <w:spacing w:after="0" w:line="480" w:lineRule="atLeast"/>
        <w:ind w:firstLine="720"/>
        <w:rPr>
          <w:rFonts w:cs="Times New Roman"/>
          <w:szCs w:val="26"/>
        </w:rPr>
      </w:pPr>
      <w:r w:rsidRPr="00492CC1">
        <w:rPr>
          <w:rFonts w:cs="Times New Roman"/>
          <w:szCs w:val="26"/>
        </w:rPr>
        <w:t xml:space="preserve">The </w:t>
      </w:r>
      <w:r>
        <w:rPr>
          <w:rFonts w:cs="Times New Roman"/>
          <w:szCs w:val="26"/>
        </w:rPr>
        <w:t>c</w:t>
      </w:r>
      <w:r w:rsidRPr="00492CC1">
        <w:rPr>
          <w:rFonts w:cs="Times New Roman"/>
          <w:szCs w:val="26"/>
        </w:rPr>
        <w:t>omplaint assert</w:t>
      </w:r>
      <w:r>
        <w:rPr>
          <w:rFonts w:cs="Times New Roman"/>
          <w:szCs w:val="26"/>
        </w:rPr>
        <w:t>ed</w:t>
      </w:r>
      <w:r w:rsidRPr="00492CC1">
        <w:rPr>
          <w:rFonts w:cs="Times New Roman"/>
          <w:szCs w:val="26"/>
        </w:rPr>
        <w:t xml:space="preserve"> the following </w:t>
      </w:r>
      <w:r>
        <w:rPr>
          <w:rFonts w:cs="Times New Roman"/>
          <w:szCs w:val="26"/>
        </w:rPr>
        <w:t>10</w:t>
      </w:r>
      <w:r w:rsidRPr="00492CC1">
        <w:rPr>
          <w:rFonts w:cs="Times New Roman"/>
          <w:szCs w:val="26"/>
        </w:rPr>
        <w:t xml:space="preserve"> causes of action: </w:t>
      </w:r>
      <w:r w:rsidR="00D05E5C">
        <w:rPr>
          <w:rFonts w:cs="Times New Roman"/>
          <w:szCs w:val="26"/>
        </w:rPr>
        <w:t xml:space="preserve"> </w:t>
      </w:r>
      <w:r w:rsidRPr="00492CC1">
        <w:rPr>
          <w:rFonts w:cs="Times New Roman"/>
          <w:szCs w:val="26"/>
        </w:rPr>
        <w:t xml:space="preserve">(1) </w:t>
      </w:r>
      <w:r>
        <w:rPr>
          <w:rFonts w:cs="Times New Roman"/>
          <w:szCs w:val="26"/>
        </w:rPr>
        <w:t>d</w:t>
      </w:r>
      <w:r w:rsidRPr="00492CC1">
        <w:rPr>
          <w:rFonts w:cs="Times New Roman"/>
          <w:szCs w:val="26"/>
        </w:rPr>
        <w:t xml:space="preserve">eclaratory relief; (2) </w:t>
      </w:r>
      <w:r>
        <w:rPr>
          <w:rFonts w:cs="Times New Roman"/>
          <w:szCs w:val="26"/>
        </w:rPr>
        <w:t>h</w:t>
      </w:r>
      <w:r w:rsidRPr="00492CC1">
        <w:rPr>
          <w:rFonts w:cs="Times New Roman"/>
          <w:szCs w:val="26"/>
        </w:rPr>
        <w:t>arassment based on sex (pregnancy) in violation of the FEHA</w:t>
      </w:r>
      <w:r>
        <w:rPr>
          <w:rFonts w:cs="Times New Roman"/>
          <w:szCs w:val="26"/>
        </w:rPr>
        <w:t>;</w:t>
      </w:r>
      <w:r w:rsidRPr="00492CC1">
        <w:rPr>
          <w:rFonts w:cs="Times New Roman"/>
          <w:szCs w:val="26"/>
        </w:rPr>
        <w:t xml:space="preserve"> (3) </w:t>
      </w:r>
      <w:r>
        <w:rPr>
          <w:rFonts w:cs="Times New Roman"/>
          <w:szCs w:val="26"/>
        </w:rPr>
        <w:t>d</w:t>
      </w:r>
      <w:r w:rsidRPr="00492CC1">
        <w:rPr>
          <w:rFonts w:cs="Times New Roman"/>
          <w:szCs w:val="26"/>
        </w:rPr>
        <w:t xml:space="preserve">iscrimination based on sex (pregnancy) in violation of the FEHA; (4) </w:t>
      </w:r>
      <w:r>
        <w:rPr>
          <w:rFonts w:cs="Times New Roman"/>
          <w:szCs w:val="26"/>
        </w:rPr>
        <w:t>d</w:t>
      </w:r>
      <w:r w:rsidRPr="00492CC1">
        <w:rPr>
          <w:rFonts w:cs="Times New Roman"/>
          <w:szCs w:val="26"/>
        </w:rPr>
        <w:t xml:space="preserve">isability discrimination in violation of the FEHA; (5) </w:t>
      </w:r>
      <w:r>
        <w:rPr>
          <w:rFonts w:cs="Times New Roman"/>
          <w:szCs w:val="26"/>
        </w:rPr>
        <w:t>f</w:t>
      </w:r>
      <w:r w:rsidRPr="00492CC1">
        <w:rPr>
          <w:rFonts w:cs="Times New Roman"/>
          <w:szCs w:val="26"/>
        </w:rPr>
        <w:t xml:space="preserve">ailure to accommodate in violation of the FEHA; (6) </w:t>
      </w:r>
      <w:r>
        <w:rPr>
          <w:rFonts w:cs="Times New Roman"/>
          <w:szCs w:val="26"/>
        </w:rPr>
        <w:t>f</w:t>
      </w:r>
      <w:r w:rsidRPr="00492CC1">
        <w:rPr>
          <w:rFonts w:cs="Times New Roman"/>
          <w:szCs w:val="26"/>
        </w:rPr>
        <w:t xml:space="preserve">ailure to engage in the interactive process in violation of the FEHA; (7) </w:t>
      </w:r>
      <w:r>
        <w:rPr>
          <w:rFonts w:cs="Times New Roman"/>
          <w:szCs w:val="26"/>
        </w:rPr>
        <w:t>f</w:t>
      </w:r>
      <w:r w:rsidRPr="00492CC1">
        <w:rPr>
          <w:rFonts w:cs="Times New Roman"/>
          <w:szCs w:val="26"/>
        </w:rPr>
        <w:t xml:space="preserve">ailure to prevent discrimination, harassment, and retaliation in violation of the FEHA; (8) </w:t>
      </w:r>
      <w:r>
        <w:rPr>
          <w:rFonts w:cs="Times New Roman"/>
          <w:szCs w:val="26"/>
        </w:rPr>
        <w:t>r</w:t>
      </w:r>
      <w:r w:rsidRPr="00492CC1">
        <w:rPr>
          <w:rFonts w:cs="Times New Roman"/>
          <w:szCs w:val="26"/>
        </w:rPr>
        <w:t xml:space="preserve">etaliation in violation of the FEHA; (9) </w:t>
      </w:r>
      <w:r>
        <w:rPr>
          <w:rFonts w:cs="Times New Roman"/>
          <w:szCs w:val="26"/>
        </w:rPr>
        <w:t>v</w:t>
      </w:r>
      <w:r w:rsidRPr="00492CC1">
        <w:rPr>
          <w:rFonts w:cs="Times New Roman"/>
          <w:szCs w:val="26"/>
        </w:rPr>
        <w:t>iolation of the Pregnancy Disability Leave Law</w:t>
      </w:r>
      <w:r w:rsidR="00D05E5C">
        <w:rPr>
          <w:rFonts w:cs="Times New Roman"/>
          <w:szCs w:val="26"/>
        </w:rPr>
        <w:t xml:space="preserve"> (§ 12495)</w:t>
      </w:r>
      <w:r w:rsidRPr="00492CC1">
        <w:rPr>
          <w:rFonts w:cs="Times New Roman"/>
          <w:szCs w:val="26"/>
        </w:rPr>
        <w:t xml:space="preserve">; and (10) </w:t>
      </w:r>
      <w:r>
        <w:rPr>
          <w:rFonts w:cs="Times New Roman"/>
          <w:szCs w:val="26"/>
        </w:rPr>
        <w:t>w</w:t>
      </w:r>
      <w:r w:rsidRPr="00492CC1">
        <w:rPr>
          <w:rFonts w:cs="Times New Roman"/>
          <w:szCs w:val="26"/>
        </w:rPr>
        <w:t>rongful termination in violation of public policy.</w:t>
      </w:r>
      <w:r>
        <w:rPr>
          <w:rFonts w:cs="Times New Roman"/>
          <w:szCs w:val="26"/>
        </w:rPr>
        <w:t xml:space="preserve"> </w:t>
      </w:r>
      <w:r w:rsidRPr="00492CC1">
        <w:rPr>
          <w:rFonts w:cs="Times New Roman"/>
          <w:szCs w:val="26"/>
        </w:rPr>
        <w:t xml:space="preserve"> All of these causes of action </w:t>
      </w:r>
      <w:r>
        <w:rPr>
          <w:rFonts w:cs="Times New Roman"/>
          <w:szCs w:val="26"/>
        </w:rPr>
        <w:t>we</w:t>
      </w:r>
      <w:r w:rsidRPr="00492CC1">
        <w:rPr>
          <w:rFonts w:cs="Times New Roman"/>
          <w:szCs w:val="26"/>
        </w:rPr>
        <w:t xml:space="preserve">re asserted against Fireplace Products, and the </w:t>
      </w:r>
      <w:r>
        <w:rPr>
          <w:rFonts w:cs="Times New Roman"/>
          <w:szCs w:val="26"/>
        </w:rPr>
        <w:t>f</w:t>
      </w:r>
      <w:r w:rsidRPr="00492CC1">
        <w:rPr>
          <w:rFonts w:cs="Times New Roman"/>
          <w:szCs w:val="26"/>
        </w:rPr>
        <w:t xml:space="preserve">irst, </w:t>
      </w:r>
      <w:r>
        <w:rPr>
          <w:rFonts w:cs="Times New Roman"/>
          <w:szCs w:val="26"/>
        </w:rPr>
        <w:t>s</w:t>
      </w:r>
      <w:r w:rsidRPr="00492CC1">
        <w:rPr>
          <w:rFonts w:cs="Times New Roman"/>
          <w:szCs w:val="26"/>
        </w:rPr>
        <w:t xml:space="preserve">econd, </w:t>
      </w:r>
      <w:r>
        <w:rPr>
          <w:rFonts w:cs="Times New Roman"/>
          <w:szCs w:val="26"/>
        </w:rPr>
        <w:t>n</w:t>
      </w:r>
      <w:r w:rsidRPr="00492CC1">
        <w:rPr>
          <w:rFonts w:cs="Times New Roman"/>
          <w:szCs w:val="26"/>
        </w:rPr>
        <w:t xml:space="preserve">inth, and </w:t>
      </w:r>
      <w:r w:rsidR="00D05E5C">
        <w:rPr>
          <w:rFonts w:cs="Times New Roman"/>
          <w:szCs w:val="26"/>
        </w:rPr>
        <w:t>10th</w:t>
      </w:r>
      <w:r w:rsidRPr="00492CC1" w:rsidR="00D05E5C">
        <w:rPr>
          <w:rFonts w:cs="Times New Roman"/>
          <w:szCs w:val="26"/>
        </w:rPr>
        <w:t xml:space="preserve"> </w:t>
      </w:r>
      <w:r w:rsidRPr="00492CC1">
        <w:rPr>
          <w:rFonts w:cs="Times New Roman"/>
          <w:szCs w:val="26"/>
        </w:rPr>
        <w:t xml:space="preserve">causes of action </w:t>
      </w:r>
      <w:r>
        <w:rPr>
          <w:rFonts w:cs="Times New Roman"/>
          <w:szCs w:val="26"/>
        </w:rPr>
        <w:t>we</w:t>
      </w:r>
      <w:r w:rsidRPr="00492CC1">
        <w:rPr>
          <w:rFonts w:cs="Times New Roman"/>
          <w:szCs w:val="26"/>
        </w:rPr>
        <w:t>re also asserted against Salah.</w:t>
      </w:r>
    </w:p>
    <w:p w:rsidR="006B62A0" w:rsidRPr="00492CC1" w:rsidP="006B62A0" w14:paraId="17AF39D7" w14:textId="4426198E">
      <w:pPr>
        <w:pStyle w:val="Default"/>
        <w:spacing w:line="480" w:lineRule="atLeast"/>
        <w:ind w:firstLine="720"/>
        <w:rPr>
          <w:rFonts w:ascii="Times New Roman" w:hAnsi="Times New Roman" w:cs="Times New Roman"/>
          <w:sz w:val="26"/>
          <w:szCs w:val="26"/>
        </w:rPr>
      </w:pPr>
      <w:r w:rsidRPr="00492CC1">
        <w:rPr>
          <w:rFonts w:ascii="Times New Roman" w:hAnsi="Times New Roman" w:cs="Times New Roman"/>
          <w:sz w:val="26"/>
          <w:szCs w:val="26"/>
        </w:rPr>
        <w:t xml:space="preserve">Respondents moved for summary judgment on the </w:t>
      </w:r>
      <w:r>
        <w:rPr>
          <w:rFonts w:ascii="Times New Roman" w:hAnsi="Times New Roman" w:cs="Times New Roman"/>
          <w:sz w:val="26"/>
          <w:szCs w:val="26"/>
        </w:rPr>
        <w:t xml:space="preserve">primary </w:t>
      </w:r>
      <w:r w:rsidRPr="00492CC1">
        <w:rPr>
          <w:rFonts w:ascii="Times New Roman" w:hAnsi="Times New Roman" w:cs="Times New Roman"/>
          <w:sz w:val="26"/>
          <w:szCs w:val="26"/>
        </w:rPr>
        <w:t xml:space="preserve">ground that </w:t>
      </w:r>
      <w:r>
        <w:rPr>
          <w:rFonts w:ascii="Times New Roman" w:hAnsi="Times New Roman" w:cs="Times New Roman"/>
          <w:sz w:val="26"/>
          <w:szCs w:val="26"/>
        </w:rPr>
        <w:t>a</w:t>
      </w:r>
      <w:r w:rsidRPr="00492CC1">
        <w:rPr>
          <w:rFonts w:ascii="Times New Roman" w:hAnsi="Times New Roman" w:cs="Times New Roman"/>
          <w:sz w:val="26"/>
          <w:szCs w:val="26"/>
        </w:rPr>
        <w:t>ppellant c</w:t>
      </w:r>
      <w:r>
        <w:rPr>
          <w:rFonts w:ascii="Times New Roman" w:hAnsi="Times New Roman" w:cs="Times New Roman"/>
          <w:sz w:val="26"/>
          <w:szCs w:val="26"/>
        </w:rPr>
        <w:t>ould not</w:t>
      </w:r>
      <w:r w:rsidRPr="00492CC1">
        <w:rPr>
          <w:rFonts w:ascii="Times New Roman" w:hAnsi="Times New Roman" w:cs="Times New Roman"/>
          <w:sz w:val="26"/>
          <w:szCs w:val="26"/>
        </w:rPr>
        <w:t xml:space="preserve"> establish that she had a characteristic protected by the FEHA because she was never pregnant or attempting to get pregnant, nor was she disabled, during her employment with </w:t>
      </w:r>
      <w:r>
        <w:rPr>
          <w:rFonts w:ascii="Times New Roman" w:hAnsi="Times New Roman" w:cs="Times New Roman"/>
          <w:sz w:val="26"/>
          <w:szCs w:val="26"/>
        </w:rPr>
        <w:t>respondents</w:t>
      </w:r>
      <w:r w:rsidRPr="00492CC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92CC1">
        <w:rPr>
          <w:rFonts w:ascii="Times New Roman" w:hAnsi="Times New Roman" w:cs="Times New Roman"/>
          <w:sz w:val="26"/>
          <w:szCs w:val="26"/>
        </w:rPr>
        <w:t>Appellant opposed the motion</w:t>
      </w:r>
      <w:r>
        <w:rPr>
          <w:rFonts w:ascii="Times New Roman" w:hAnsi="Times New Roman" w:cs="Times New Roman"/>
          <w:sz w:val="26"/>
          <w:szCs w:val="26"/>
        </w:rPr>
        <w:t>, arguing</w:t>
      </w:r>
      <w:r w:rsidRPr="00492CC1">
        <w:rPr>
          <w:rFonts w:ascii="Times New Roman" w:hAnsi="Times New Roman" w:cs="Times New Roman"/>
          <w:sz w:val="26"/>
          <w:szCs w:val="26"/>
        </w:rPr>
        <w:t xml:space="preserve"> that freezing her eggs for potential future use qualifie</w:t>
      </w:r>
      <w:r>
        <w:rPr>
          <w:rFonts w:ascii="Times New Roman" w:hAnsi="Times New Roman" w:cs="Times New Roman"/>
          <w:sz w:val="26"/>
          <w:szCs w:val="26"/>
        </w:rPr>
        <w:t>d</w:t>
      </w:r>
      <w:r w:rsidRPr="00492CC1">
        <w:rPr>
          <w:rFonts w:ascii="Times New Roman" w:hAnsi="Times New Roman" w:cs="Times New Roman"/>
          <w:sz w:val="26"/>
          <w:szCs w:val="26"/>
        </w:rPr>
        <w:t xml:space="preserve"> as a pregnancy “related medical condition.”</w:t>
      </w:r>
    </w:p>
    <w:p w:rsidR="006B62A0" w:rsidRPr="000865E2" w:rsidP="006B62A0" w14:paraId="384AAF7E" w14:textId="1BBA1A91">
      <w:pPr>
        <w:pStyle w:val="Default"/>
        <w:spacing w:line="480" w:lineRule="atLeast"/>
        <w:ind w:firstLine="720"/>
        <w:rPr>
          <w:rFonts w:ascii="Times New Roman" w:hAnsi="Times New Roman" w:cs="Times New Roman"/>
          <w:sz w:val="26"/>
          <w:szCs w:val="26"/>
        </w:rPr>
      </w:pPr>
      <w:r>
        <w:rPr>
          <w:rFonts w:ascii="Times New Roman" w:hAnsi="Times New Roman" w:cs="Times New Roman"/>
          <w:sz w:val="26"/>
          <w:szCs w:val="26"/>
        </w:rPr>
        <w:t xml:space="preserve">Respondents </w:t>
      </w:r>
      <w:r w:rsidRPr="000865E2">
        <w:rPr>
          <w:rFonts w:ascii="Times New Roman" w:hAnsi="Times New Roman" w:cs="Times New Roman"/>
          <w:sz w:val="26"/>
          <w:szCs w:val="26"/>
        </w:rPr>
        <w:t>rel</w:t>
      </w:r>
      <w:r>
        <w:rPr>
          <w:rFonts w:ascii="Times New Roman" w:hAnsi="Times New Roman" w:cs="Times New Roman"/>
          <w:sz w:val="26"/>
          <w:szCs w:val="26"/>
        </w:rPr>
        <w:t>ied on the following relevant undisputed material facts.</w:t>
      </w:r>
      <w:r>
        <w:rPr>
          <w:rStyle w:val="FootnoteReference"/>
          <w:rFonts w:cs="Times New Roman"/>
          <w:szCs w:val="20"/>
        </w:rPr>
        <w:footnoteReference w:id="3"/>
      </w:r>
      <w:r w:rsidRPr="006B62A0">
        <w:rPr>
          <w:rFonts w:ascii="Times New Roman" w:hAnsi="Times New Roman" w:cs="Times New Roman"/>
          <w:sz w:val="26"/>
          <w:szCs w:val="26"/>
        </w:rPr>
        <w:t xml:space="preserve">  </w:t>
      </w:r>
      <w:r>
        <w:rPr>
          <w:rFonts w:ascii="Times New Roman" w:hAnsi="Times New Roman" w:cs="Times New Roman"/>
          <w:sz w:val="26"/>
          <w:szCs w:val="26"/>
        </w:rPr>
        <w:t>Appellant’s</w:t>
      </w:r>
      <w:r w:rsidRPr="000865E2">
        <w:rPr>
          <w:rFonts w:ascii="Times New Roman" w:hAnsi="Times New Roman" w:cs="Times New Roman"/>
          <w:sz w:val="26"/>
          <w:szCs w:val="26"/>
        </w:rPr>
        <w:t xml:space="preserve"> employment was at-will and began in May 2018</w:t>
      </w:r>
      <w:r w:rsidR="008A2C79">
        <w:rPr>
          <w:rFonts w:ascii="Times New Roman" w:hAnsi="Times New Roman" w:cs="Times New Roman"/>
          <w:sz w:val="26"/>
          <w:szCs w:val="26"/>
        </w:rPr>
        <w:t>,</w:t>
      </w:r>
      <w:r w:rsidRPr="000865E2">
        <w:rPr>
          <w:rFonts w:ascii="Times New Roman" w:hAnsi="Times New Roman" w:cs="Times New Roman"/>
          <w:sz w:val="26"/>
          <w:szCs w:val="26"/>
        </w:rPr>
        <w:t xml:space="preserve"> and she was terminated in February 2019.</w:t>
      </w:r>
      <w:r>
        <w:rPr>
          <w:rFonts w:ascii="Times New Roman" w:hAnsi="Times New Roman" w:cs="Times New Roman"/>
          <w:sz w:val="26"/>
          <w:szCs w:val="26"/>
        </w:rPr>
        <w:t xml:space="preserve">  During her employment with respondents, appellant</w:t>
      </w:r>
      <w:r w:rsidRPr="000865E2">
        <w:rPr>
          <w:rFonts w:ascii="Times New Roman" w:hAnsi="Times New Roman" w:cs="Times New Roman"/>
          <w:sz w:val="26"/>
          <w:szCs w:val="26"/>
        </w:rPr>
        <w:t xml:space="preserve"> was not</w:t>
      </w:r>
      <w:r>
        <w:rPr>
          <w:rFonts w:ascii="Times New Roman" w:hAnsi="Times New Roman" w:cs="Times New Roman"/>
          <w:sz w:val="26"/>
          <w:szCs w:val="26"/>
        </w:rPr>
        <w:t xml:space="preserve"> </w:t>
      </w:r>
      <w:r w:rsidRPr="000865E2">
        <w:rPr>
          <w:rFonts w:ascii="Times New Roman" w:hAnsi="Times New Roman" w:cs="Times New Roman"/>
          <w:sz w:val="26"/>
          <w:szCs w:val="26"/>
        </w:rPr>
        <w:t>pregnant</w:t>
      </w:r>
      <w:r>
        <w:rPr>
          <w:rFonts w:ascii="Times New Roman" w:hAnsi="Times New Roman" w:cs="Times New Roman"/>
          <w:sz w:val="26"/>
          <w:szCs w:val="26"/>
        </w:rPr>
        <w:t>,</w:t>
      </w:r>
      <w:r w:rsidRPr="000865E2">
        <w:rPr>
          <w:rFonts w:ascii="Times New Roman" w:hAnsi="Times New Roman" w:cs="Times New Roman"/>
          <w:sz w:val="26"/>
          <w:szCs w:val="26"/>
        </w:rPr>
        <w:t xml:space="preserve"> </w:t>
      </w:r>
      <w:r>
        <w:rPr>
          <w:rFonts w:ascii="Times New Roman" w:hAnsi="Times New Roman" w:cs="Times New Roman"/>
          <w:sz w:val="26"/>
          <w:szCs w:val="26"/>
        </w:rPr>
        <w:t xml:space="preserve">was not </w:t>
      </w:r>
      <w:r w:rsidRPr="000865E2">
        <w:rPr>
          <w:rFonts w:ascii="Times New Roman" w:hAnsi="Times New Roman" w:cs="Times New Roman"/>
          <w:sz w:val="26"/>
          <w:szCs w:val="26"/>
        </w:rPr>
        <w:t xml:space="preserve">trying to </w:t>
      </w:r>
      <w:r w:rsidR="00BD5A47">
        <w:rPr>
          <w:rFonts w:ascii="Times New Roman" w:hAnsi="Times New Roman" w:cs="Times New Roman"/>
          <w:sz w:val="26"/>
          <w:szCs w:val="26"/>
        </w:rPr>
        <w:t>become</w:t>
      </w:r>
      <w:r w:rsidRPr="000865E2" w:rsidR="00BD5A47">
        <w:rPr>
          <w:rFonts w:ascii="Times New Roman" w:hAnsi="Times New Roman" w:cs="Times New Roman"/>
          <w:sz w:val="26"/>
          <w:szCs w:val="26"/>
        </w:rPr>
        <w:t xml:space="preserve"> </w:t>
      </w:r>
      <w:r w:rsidRPr="000865E2">
        <w:rPr>
          <w:rFonts w:ascii="Times New Roman" w:hAnsi="Times New Roman" w:cs="Times New Roman"/>
          <w:sz w:val="26"/>
          <w:szCs w:val="26"/>
        </w:rPr>
        <w:t>pregnant</w:t>
      </w:r>
      <w:r>
        <w:rPr>
          <w:rFonts w:ascii="Times New Roman" w:hAnsi="Times New Roman" w:cs="Times New Roman"/>
          <w:sz w:val="26"/>
          <w:szCs w:val="26"/>
        </w:rPr>
        <w:t>, and did not have a disability.</w:t>
      </w:r>
      <w:r w:rsidRPr="000865E2">
        <w:rPr>
          <w:rFonts w:ascii="Times New Roman" w:hAnsi="Times New Roman" w:cs="Times New Roman"/>
          <w:sz w:val="26"/>
          <w:szCs w:val="26"/>
        </w:rPr>
        <w:t xml:space="preserve"> </w:t>
      </w:r>
      <w:r>
        <w:rPr>
          <w:rFonts w:ascii="Times New Roman" w:hAnsi="Times New Roman" w:cs="Times New Roman"/>
          <w:sz w:val="26"/>
          <w:szCs w:val="26"/>
        </w:rPr>
        <w:t xml:space="preserve"> Appellant </w:t>
      </w:r>
      <w:r w:rsidRPr="000865E2">
        <w:rPr>
          <w:rFonts w:ascii="Times New Roman" w:hAnsi="Times New Roman" w:cs="Times New Roman"/>
          <w:sz w:val="26"/>
          <w:szCs w:val="26"/>
        </w:rPr>
        <w:t>did not disclose that she was pregnant or had a disability to her supervisor.</w:t>
      </w:r>
      <w:r>
        <w:rPr>
          <w:rFonts w:ascii="Times New Roman" w:hAnsi="Times New Roman" w:cs="Times New Roman"/>
          <w:sz w:val="26"/>
          <w:szCs w:val="26"/>
        </w:rPr>
        <w:t xml:space="preserve">  Appellant’s</w:t>
      </w:r>
      <w:r w:rsidRPr="000865E2">
        <w:rPr>
          <w:rFonts w:ascii="Times New Roman" w:hAnsi="Times New Roman" w:cs="Times New Roman"/>
          <w:sz w:val="26"/>
          <w:szCs w:val="26"/>
        </w:rPr>
        <w:t xml:space="preserve"> </w:t>
      </w:r>
      <w:r>
        <w:rPr>
          <w:rFonts w:ascii="Times New Roman" w:hAnsi="Times New Roman" w:cs="Times New Roman"/>
          <w:sz w:val="26"/>
          <w:szCs w:val="26"/>
        </w:rPr>
        <w:t>“</w:t>
      </w:r>
      <w:r w:rsidRPr="000865E2">
        <w:rPr>
          <w:rFonts w:ascii="Times New Roman" w:hAnsi="Times New Roman" w:cs="Times New Roman"/>
          <w:sz w:val="26"/>
          <w:szCs w:val="26"/>
        </w:rPr>
        <w:t>egg</w:t>
      </w:r>
      <w:r>
        <w:rPr>
          <w:rFonts w:ascii="Times New Roman" w:hAnsi="Times New Roman" w:cs="Times New Roman"/>
          <w:sz w:val="26"/>
          <w:szCs w:val="26"/>
        </w:rPr>
        <w:t xml:space="preserve"> </w:t>
      </w:r>
      <w:r w:rsidRPr="000865E2">
        <w:rPr>
          <w:rFonts w:ascii="Times New Roman" w:hAnsi="Times New Roman" w:cs="Times New Roman"/>
          <w:sz w:val="26"/>
          <w:szCs w:val="26"/>
        </w:rPr>
        <w:t>donation appointments were outside of work hours and she did not request any accommodation,</w:t>
      </w:r>
      <w:r>
        <w:rPr>
          <w:rFonts w:ascii="Times New Roman" w:hAnsi="Times New Roman" w:cs="Times New Roman"/>
          <w:sz w:val="26"/>
          <w:szCs w:val="26"/>
        </w:rPr>
        <w:t xml:space="preserve"> </w:t>
      </w:r>
      <w:r w:rsidRPr="000865E2">
        <w:rPr>
          <w:rFonts w:ascii="Times New Roman" w:hAnsi="Times New Roman" w:cs="Times New Roman"/>
          <w:sz w:val="26"/>
          <w:szCs w:val="26"/>
        </w:rPr>
        <w:t>leave of absence, or sick time relating to a pregnancy or disability during her employment</w:t>
      </w:r>
      <w:r>
        <w:rPr>
          <w:rFonts w:ascii="Times New Roman" w:hAnsi="Times New Roman" w:cs="Times New Roman"/>
          <w:sz w:val="26"/>
          <w:szCs w:val="26"/>
        </w:rPr>
        <w:t>.”</w:t>
      </w:r>
    </w:p>
    <w:p w:rsidR="006B62A0" w:rsidRPr="00492CC1" w:rsidP="006B62A0" w14:paraId="243B4C11" w14:textId="150F063E">
      <w:pPr>
        <w:pStyle w:val="Default"/>
        <w:spacing w:line="480" w:lineRule="atLeast"/>
        <w:ind w:firstLine="720"/>
        <w:rPr>
          <w:rFonts w:ascii="Times New Roman" w:hAnsi="Times New Roman" w:cs="Times New Roman"/>
          <w:sz w:val="26"/>
          <w:szCs w:val="26"/>
        </w:rPr>
      </w:pPr>
      <w:r>
        <w:rPr>
          <w:rFonts w:ascii="Times New Roman" w:hAnsi="Times New Roman" w:cs="Times New Roman"/>
          <w:sz w:val="26"/>
          <w:szCs w:val="26"/>
        </w:rPr>
        <w:t>In her deposition, a</w:t>
      </w:r>
      <w:r w:rsidRPr="00492CC1">
        <w:rPr>
          <w:rFonts w:ascii="Times New Roman" w:hAnsi="Times New Roman" w:cs="Times New Roman"/>
          <w:sz w:val="26"/>
          <w:szCs w:val="26"/>
        </w:rPr>
        <w:t xml:space="preserve">ppellant testified that </w:t>
      </w:r>
      <w:r>
        <w:rPr>
          <w:rFonts w:ascii="Times New Roman" w:hAnsi="Times New Roman" w:cs="Times New Roman"/>
          <w:sz w:val="26"/>
          <w:szCs w:val="26"/>
        </w:rPr>
        <w:t>during late</w:t>
      </w:r>
      <w:r w:rsidRPr="00492CC1">
        <w:rPr>
          <w:rFonts w:ascii="Times New Roman" w:hAnsi="Times New Roman" w:cs="Times New Roman"/>
          <w:sz w:val="26"/>
          <w:szCs w:val="26"/>
        </w:rPr>
        <w:t xml:space="preserve"> September or early October 2018</w:t>
      </w:r>
      <w:r>
        <w:rPr>
          <w:rFonts w:ascii="Times New Roman" w:hAnsi="Times New Roman" w:cs="Times New Roman"/>
          <w:sz w:val="26"/>
          <w:szCs w:val="26"/>
        </w:rPr>
        <w:t xml:space="preserve">, </w:t>
      </w:r>
      <w:r w:rsidRPr="00492CC1">
        <w:rPr>
          <w:rFonts w:ascii="Times New Roman" w:hAnsi="Times New Roman" w:cs="Times New Roman"/>
          <w:sz w:val="26"/>
          <w:szCs w:val="26"/>
        </w:rPr>
        <w:t xml:space="preserve">she discussed </w:t>
      </w:r>
      <w:r>
        <w:rPr>
          <w:rFonts w:ascii="Times New Roman" w:hAnsi="Times New Roman" w:cs="Times New Roman"/>
          <w:sz w:val="26"/>
          <w:szCs w:val="26"/>
        </w:rPr>
        <w:t xml:space="preserve">with Salah her </w:t>
      </w:r>
      <w:r w:rsidRPr="00492CC1">
        <w:rPr>
          <w:rFonts w:ascii="Times New Roman" w:hAnsi="Times New Roman" w:cs="Times New Roman"/>
          <w:sz w:val="26"/>
          <w:szCs w:val="26"/>
        </w:rPr>
        <w:t>need</w:t>
      </w:r>
      <w:r>
        <w:rPr>
          <w:rFonts w:ascii="Times New Roman" w:hAnsi="Times New Roman" w:cs="Times New Roman"/>
          <w:sz w:val="26"/>
          <w:szCs w:val="26"/>
        </w:rPr>
        <w:t xml:space="preserve"> for</w:t>
      </w:r>
      <w:r w:rsidRPr="00492CC1">
        <w:rPr>
          <w:rFonts w:ascii="Times New Roman" w:hAnsi="Times New Roman" w:cs="Times New Roman"/>
          <w:sz w:val="26"/>
          <w:szCs w:val="26"/>
        </w:rPr>
        <w:t xml:space="preserve"> time off. </w:t>
      </w:r>
      <w:r>
        <w:rPr>
          <w:rFonts w:ascii="Times New Roman" w:hAnsi="Times New Roman" w:cs="Times New Roman"/>
          <w:sz w:val="26"/>
          <w:szCs w:val="26"/>
        </w:rPr>
        <w:t xml:space="preserve"> </w:t>
      </w:r>
      <w:r w:rsidRPr="00492CC1">
        <w:rPr>
          <w:rFonts w:ascii="Times New Roman" w:hAnsi="Times New Roman" w:cs="Times New Roman"/>
          <w:sz w:val="26"/>
          <w:szCs w:val="26"/>
        </w:rPr>
        <w:t xml:space="preserve">At the time, </w:t>
      </w:r>
      <w:r w:rsidR="00052DBF">
        <w:rPr>
          <w:rFonts w:ascii="Times New Roman" w:hAnsi="Times New Roman" w:cs="Times New Roman"/>
          <w:sz w:val="26"/>
          <w:szCs w:val="26"/>
        </w:rPr>
        <w:t>a</w:t>
      </w:r>
      <w:r w:rsidRPr="00492CC1">
        <w:rPr>
          <w:rFonts w:ascii="Times New Roman" w:hAnsi="Times New Roman" w:cs="Times New Roman"/>
          <w:sz w:val="26"/>
          <w:szCs w:val="26"/>
        </w:rPr>
        <w:t xml:space="preserve">ppellant was “preplanning” and “was in the process of considering doing an egg donation.” </w:t>
      </w:r>
      <w:r>
        <w:rPr>
          <w:rFonts w:ascii="Times New Roman" w:hAnsi="Times New Roman" w:cs="Times New Roman"/>
          <w:sz w:val="26"/>
          <w:szCs w:val="26"/>
        </w:rPr>
        <w:t xml:space="preserve"> </w:t>
      </w:r>
      <w:r w:rsidRPr="00492CC1">
        <w:rPr>
          <w:rFonts w:ascii="Times New Roman" w:hAnsi="Times New Roman" w:cs="Times New Roman"/>
          <w:sz w:val="26"/>
          <w:szCs w:val="26"/>
        </w:rPr>
        <w:t>Appellant told Salah that she could get paid $8,000 for the egg donation</w:t>
      </w:r>
      <w:r>
        <w:rPr>
          <w:rFonts w:ascii="Times New Roman" w:hAnsi="Times New Roman" w:cs="Times New Roman"/>
          <w:sz w:val="26"/>
          <w:szCs w:val="26"/>
        </w:rPr>
        <w:t xml:space="preserve">.  She was also </w:t>
      </w:r>
      <w:r w:rsidRPr="00492CC1">
        <w:rPr>
          <w:rFonts w:ascii="Times New Roman" w:hAnsi="Times New Roman" w:cs="Times New Roman"/>
          <w:color w:val="202020"/>
          <w:sz w:val="26"/>
          <w:szCs w:val="26"/>
        </w:rPr>
        <w:t>“potentially planning on freezing some of [</w:t>
      </w:r>
      <w:r>
        <w:rPr>
          <w:rFonts w:ascii="Times New Roman" w:hAnsi="Times New Roman" w:cs="Times New Roman"/>
          <w:color w:val="202020"/>
          <w:sz w:val="26"/>
          <w:szCs w:val="26"/>
        </w:rPr>
        <w:t>a</w:t>
      </w:r>
      <w:r w:rsidRPr="00492CC1">
        <w:rPr>
          <w:rFonts w:ascii="Times New Roman" w:hAnsi="Times New Roman" w:cs="Times New Roman"/>
          <w:color w:val="202020"/>
          <w:sz w:val="26"/>
          <w:szCs w:val="26"/>
        </w:rPr>
        <w:t xml:space="preserve">ppellant’s] own eggs for future pregnancy due to the fact that </w:t>
      </w:r>
      <w:r>
        <w:rPr>
          <w:rFonts w:ascii="Times New Roman" w:hAnsi="Times New Roman" w:cs="Times New Roman"/>
          <w:color w:val="202020"/>
          <w:sz w:val="26"/>
          <w:szCs w:val="26"/>
        </w:rPr>
        <w:t xml:space="preserve">[at] </w:t>
      </w:r>
      <w:r w:rsidRPr="00492CC1">
        <w:rPr>
          <w:rFonts w:ascii="Times New Roman" w:hAnsi="Times New Roman" w:cs="Times New Roman"/>
          <w:color w:val="202020"/>
          <w:sz w:val="26"/>
          <w:szCs w:val="26"/>
        </w:rPr>
        <w:t xml:space="preserve">my age, my eggs were at their best quality at that point.” </w:t>
      </w:r>
      <w:r>
        <w:rPr>
          <w:rFonts w:ascii="Times New Roman" w:hAnsi="Times New Roman" w:cs="Times New Roman"/>
          <w:color w:val="202020"/>
          <w:sz w:val="26"/>
          <w:szCs w:val="26"/>
        </w:rPr>
        <w:t xml:space="preserve"> </w:t>
      </w:r>
      <w:r w:rsidRPr="00492CC1">
        <w:rPr>
          <w:rFonts w:ascii="Times New Roman" w:hAnsi="Times New Roman" w:cs="Times New Roman"/>
          <w:sz w:val="26"/>
          <w:szCs w:val="26"/>
        </w:rPr>
        <w:t>Appellant explained that she would have to attend early</w:t>
      </w:r>
      <w:r w:rsidR="00052DBF">
        <w:rPr>
          <w:rFonts w:ascii="Times New Roman" w:hAnsi="Times New Roman" w:cs="Times New Roman"/>
          <w:sz w:val="26"/>
          <w:szCs w:val="26"/>
        </w:rPr>
        <w:t xml:space="preserve"> </w:t>
      </w:r>
      <w:r w:rsidRPr="00492CC1">
        <w:rPr>
          <w:rFonts w:ascii="Times New Roman" w:hAnsi="Times New Roman" w:cs="Times New Roman"/>
          <w:sz w:val="26"/>
          <w:szCs w:val="26"/>
        </w:rPr>
        <w:t xml:space="preserve">morning appointments in the Bay Area “for the donation and the consideration of freezing my own eggs.” </w:t>
      </w:r>
      <w:r>
        <w:rPr>
          <w:rFonts w:ascii="Times New Roman" w:hAnsi="Times New Roman" w:cs="Times New Roman"/>
          <w:sz w:val="26"/>
          <w:szCs w:val="26"/>
        </w:rPr>
        <w:t xml:space="preserve"> </w:t>
      </w:r>
      <w:r w:rsidRPr="00492CC1">
        <w:rPr>
          <w:rFonts w:ascii="Times New Roman" w:hAnsi="Times New Roman" w:cs="Times New Roman"/>
          <w:color w:val="202020"/>
          <w:sz w:val="26"/>
          <w:szCs w:val="26"/>
        </w:rPr>
        <w:t>Appellant told Salah that she needed to be able to start her workday 15</w:t>
      </w:r>
      <w:r>
        <w:rPr>
          <w:rFonts w:ascii="Times New Roman" w:hAnsi="Times New Roman" w:cs="Times New Roman"/>
          <w:color w:val="202020"/>
          <w:sz w:val="26"/>
          <w:szCs w:val="26"/>
        </w:rPr>
        <w:t xml:space="preserve"> to </w:t>
      </w:r>
      <w:r w:rsidRPr="00492CC1">
        <w:rPr>
          <w:rFonts w:ascii="Times New Roman" w:hAnsi="Times New Roman" w:cs="Times New Roman"/>
          <w:color w:val="202020"/>
          <w:sz w:val="26"/>
          <w:szCs w:val="26"/>
        </w:rPr>
        <w:t xml:space="preserve">20 minutes later than normal on occasions where she had </w:t>
      </w:r>
      <w:r>
        <w:rPr>
          <w:rFonts w:ascii="Times New Roman" w:hAnsi="Times New Roman" w:cs="Times New Roman"/>
          <w:color w:val="202020"/>
          <w:sz w:val="26"/>
          <w:szCs w:val="26"/>
        </w:rPr>
        <w:t xml:space="preserve">those </w:t>
      </w:r>
      <w:r w:rsidRPr="00492CC1">
        <w:rPr>
          <w:rFonts w:ascii="Times New Roman" w:hAnsi="Times New Roman" w:cs="Times New Roman"/>
          <w:color w:val="202020"/>
          <w:sz w:val="26"/>
          <w:szCs w:val="26"/>
        </w:rPr>
        <w:t>early morning appointments.</w:t>
      </w:r>
      <w:r>
        <w:rPr>
          <w:rFonts w:ascii="Times New Roman" w:hAnsi="Times New Roman" w:cs="Times New Roman"/>
          <w:color w:val="202020"/>
          <w:sz w:val="26"/>
          <w:szCs w:val="26"/>
        </w:rPr>
        <w:t xml:space="preserve"> </w:t>
      </w:r>
      <w:r w:rsidRPr="00492CC1">
        <w:rPr>
          <w:rFonts w:ascii="Times New Roman" w:hAnsi="Times New Roman" w:cs="Times New Roman"/>
          <w:color w:val="202020"/>
          <w:sz w:val="26"/>
          <w:szCs w:val="26"/>
        </w:rPr>
        <w:t xml:space="preserve"> Salah gave </w:t>
      </w:r>
      <w:r>
        <w:rPr>
          <w:rFonts w:ascii="Times New Roman" w:hAnsi="Times New Roman" w:cs="Times New Roman"/>
          <w:color w:val="202020"/>
          <w:sz w:val="26"/>
          <w:szCs w:val="26"/>
        </w:rPr>
        <w:t>a</w:t>
      </w:r>
      <w:r w:rsidRPr="00492CC1">
        <w:rPr>
          <w:rFonts w:ascii="Times New Roman" w:hAnsi="Times New Roman" w:cs="Times New Roman"/>
          <w:color w:val="202020"/>
          <w:sz w:val="26"/>
          <w:szCs w:val="26"/>
        </w:rPr>
        <w:t>ppellant a “</w:t>
      </w:r>
      <w:r>
        <w:rPr>
          <w:rFonts w:ascii="Times New Roman" w:hAnsi="Times New Roman" w:cs="Times New Roman"/>
          <w:color w:val="202020"/>
          <w:sz w:val="26"/>
          <w:szCs w:val="26"/>
        </w:rPr>
        <w:t xml:space="preserve">scolding </w:t>
      </w:r>
      <w:r w:rsidR="00577974">
        <w:rPr>
          <w:rFonts w:ascii="Times New Roman" w:hAnsi="Times New Roman" w:cs="Times New Roman"/>
          <w:color w:val="202020"/>
          <w:sz w:val="26"/>
          <w:szCs w:val="26"/>
        </w:rPr>
        <w:t>face</w:t>
      </w:r>
      <w:r w:rsidR="008A2C79">
        <w:rPr>
          <w:rFonts w:ascii="Times New Roman" w:hAnsi="Times New Roman" w:cs="Times New Roman"/>
          <w:color w:val="202020"/>
          <w:sz w:val="26"/>
          <w:szCs w:val="26"/>
        </w:rPr>
        <w:t>,</w:t>
      </w:r>
      <w:r w:rsidRPr="00492CC1">
        <w:rPr>
          <w:rFonts w:ascii="Times New Roman" w:hAnsi="Times New Roman" w:cs="Times New Roman"/>
          <w:color w:val="202020"/>
          <w:sz w:val="26"/>
          <w:szCs w:val="26"/>
        </w:rPr>
        <w:t>” and said that she did</w:t>
      </w:r>
      <w:r>
        <w:rPr>
          <w:rFonts w:ascii="Times New Roman" w:hAnsi="Times New Roman" w:cs="Times New Roman"/>
          <w:color w:val="202020"/>
          <w:sz w:val="26"/>
          <w:szCs w:val="26"/>
        </w:rPr>
        <w:t xml:space="preserve"> </w:t>
      </w:r>
      <w:r w:rsidRPr="00492CC1">
        <w:rPr>
          <w:rFonts w:ascii="Times New Roman" w:hAnsi="Times New Roman" w:cs="Times New Roman"/>
          <w:color w:val="202020"/>
          <w:sz w:val="26"/>
          <w:szCs w:val="26"/>
        </w:rPr>
        <w:t>n</w:t>
      </w:r>
      <w:r>
        <w:rPr>
          <w:rFonts w:ascii="Times New Roman" w:hAnsi="Times New Roman" w:cs="Times New Roman"/>
          <w:color w:val="202020"/>
          <w:sz w:val="26"/>
          <w:szCs w:val="26"/>
        </w:rPr>
        <w:t>o</w:t>
      </w:r>
      <w:r w:rsidRPr="00492CC1">
        <w:rPr>
          <w:rFonts w:ascii="Times New Roman" w:hAnsi="Times New Roman" w:cs="Times New Roman"/>
          <w:color w:val="202020"/>
          <w:sz w:val="26"/>
          <w:szCs w:val="26"/>
        </w:rPr>
        <w:t xml:space="preserve">t want </w:t>
      </w:r>
      <w:r>
        <w:rPr>
          <w:rFonts w:ascii="Times New Roman" w:hAnsi="Times New Roman" w:cs="Times New Roman"/>
          <w:color w:val="202020"/>
          <w:sz w:val="26"/>
          <w:szCs w:val="26"/>
        </w:rPr>
        <w:t>a</w:t>
      </w:r>
      <w:r w:rsidRPr="00492CC1">
        <w:rPr>
          <w:rFonts w:ascii="Times New Roman" w:hAnsi="Times New Roman" w:cs="Times New Roman"/>
          <w:color w:val="202020"/>
          <w:sz w:val="26"/>
          <w:szCs w:val="26"/>
        </w:rPr>
        <w:t>ppellant talking about th</w:t>
      </w:r>
      <w:r>
        <w:rPr>
          <w:rFonts w:ascii="Times New Roman" w:hAnsi="Times New Roman" w:cs="Times New Roman"/>
          <w:color w:val="202020"/>
          <w:sz w:val="26"/>
          <w:szCs w:val="26"/>
        </w:rPr>
        <w:t>e</w:t>
      </w:r>
      <w:r w:rsidRPr="00492CC1">
        <w:rPr>
          <w:rFonts w:ascii="Times New Roman" w:hAnsi="Times New Roman" w:cs="Times New Roman"/>
          <w:color w:val="202020"/>
          <w:sz w:val="26"/>
          <w:szCs w:val="26"/>
        </w:rPr>
        <w:t xml:space="preserve"> subject</w:t>
      </w:r>
      <w:r>
        <w:rPr>
          <w:rFonts w:ascii="Times New Roman" w:hAnsi="Times New Roman" w:cs="Times New Roman"/>
          <w:color w:val="202020"/>
          <w:sz w:val="26"/>
          <w:szCs w:val="26"/>
        </w:rPr>
        <w:t xml:space="preserve"> of egg donation</w:t>
      </w:r>
      <w:r w:rsidRPr="00492CC1">
        <w:rPr>
          <w:rFonts w:ascii="Times New Roman" w:hAnsi="Times New Roman" w:cs="Times New Roman"/>
          <w:color w:val="202020"/>
          <w:sz w:val="26"/>
          <w:szCs w:val="26"/>
        </w:rPr>
        <w:t xml:space="preserve"> in the office</w:t>
      </w:r>
      <w:r>
        <w:rPr>
          <w:rFonts w:ascii="Times New Roman" w:hAnsi="Times New Roman" w:cs="Times New Roman"/>
          <w:color w:val="202020"/>
          <w:sz w:val="26"/>
          <w:szCs w:val="26"/>
        </w:rPr>
        <w:t xml:space="preserve">; </w:t>
      </w:r>
      <w:r w:rsidRPr="00492CC1">
        <w:rPr>
          <w:rFonts w:ascii="Times New Roman" w:hAnsi="Times New Roman" w:cs="Times New Roman"/>
          <w:color w:val="202020"/>
          <w:sz w:val="26"/>
          <w:szCs w:val="26"/>
        </w:rPr>
        <w:t>Salah felt it was inappropriate and against what she personally believed in.</w:t>
      </w:r>
    </w:p>
    <w:p w:rsidR="006B62A0" w:rsidRPr="00492CC1" w:rsidP="006B62A0" w14:paraId="11E1F31B" w14:textId="2B47FC10">
      <w:pPr>
        <w:spacing w:after="0" w:line="480" w:lineRule="atLeast"/>
        <w:ind w:firstLine="720"/>
        <w:rPr>
          <w:rFonts w:cs="Times New Roman"/>
          <w:szCs w:val="26"/>
        </w:rPr>
      </w:pPr>
      <w:r>
        <w:rPr>
          <w:rFonts w:cs="Times New Roman"/>
          <w:color w:val="202020"/>
          <w:szCs w:val="26"/>
        </w:rPr>
        <w:t xml:space="preserve">In early </w:t>
      </w:r>
      <w:r w:rsidRPr="00492CC1">
        <w:rPr>
          <w:rFonts w:cs="Times New Roman"/>
          <w:color w:val="202020"/>
          <w:szCs w:val="26"/>
        </w:rPr>
        <w:t xml:space="preserve">February 2019, </w:t>
      </w:r>
      <w:r>
        <w:rPr>
          <w:rFonts w:cs="Times New Roman"/>
          <w:color w:val="202020"/>
          <w:szCs w:val="26"/>
        </w:rPr>
        <w:t>a</w:t>
      </w:r>
      <w:r w:rsidRPr="00492CC1">
        <w:rPr>
          <w:rFonts w:cs="Times New Roman"/>
          <w:color w:val="202020"/>
          <w:szCs w:val="26"/>
        </w:rPr>
        <w:t xml:space="preserve">ppellant informed Salah that she had one last appointment </w:t>
      </w:r>
      <w:r>
        <w:rPr>
          <w:rFonts w:cs="Times New Roman"/>
          <w:color w:val="202020"/>
          <w:szCs w:val="26"/>
        </w:rPr>
        <w:t>related to</w:t>
      </w:r>
      <w:r w:rsidRPr="00492CC1">
        <w:rPr>
          <w:rFonts w:cs="Times New Roman"/>
          <w:color w:val="202020"/>
          <w:szCs w:val="26"/>
        </w:rPr>
        <w:t xml:space="preserve"> her egg retrieval and would need to come in late on the Friday of that week</w:t>
      </w:r>
      <w:r w:rsidR="00052DBF">
        <w:rPr>
          <w:rFonts w:cs="Times New Roman"/>
          <w:color w:val="202020"/>
          <w:szCs w:val="26"/>
        </w:rPr>
        <w:t>.</w:t>
      </w:r>
      <w:r>
        <w:rPr>
          <w:rFonts w:cs="Times New Roman"/>
          <w:color w:val="202020"/>
          <w:szCs w:val="26"/>
        </w:rPr>
        <w:t xml:space="preserve"> </w:t>
      </w:r>
      <w:r w:rsidRPr="00492CC1">
        <w:rPr>
          <w:rFonts w:cs="Times New Roman"/>
          <w:color w:val="202020"/>
          <w:szCs w:val="26"/>
        </w:rPr>
        <w:t xml:space="preserve"> Salah became upset and terminated </w:t>
      </w:r>
      <w:r>
        <w:rPr>
          <w:rFonts w:cs="Times New Roman"/>
          <w:color w:val="202020"/>
          <w:szCs w:val="26"/>
        </w:rPr>
        <w:t>a</w:t>
      </w:r>
      <w:r w:rsidRPr="00492CC1">
        <w:rPr>
          <w:rFonts w:cs="Times New Roman"/>
          <w:color w:val="202020"/>
          <w:szCs w:val="26"/>
        </w:rPr>
        <w:t xml:space="preserve">ppellant’s employment later that day. </w:t>
      </w:r>
      <w:r>
        <w:rPr>
          <w:rFonts w:cs="Times New Roman"/>
          <w:color w:val="202020"/>
          <w:szCs w:val="26"/>
        </w:rPr>
        <w:t xml:space="preserve"> </w:t>
      </w:r>
    </w:p>
    <w:p w:rsidR="006B62A0" w:rsidRPr="00492CC1" w:rsidP="006B62A0" w14:paraId="24381EDD" w14:textId="6B6A6322">
      <w:pPr>
        <w:pStyle w:val="Default"/>
        <w:spacing w:line="480" w:lineRule="atLeast"/>
        <w:ind w:firstLine="720"/>
        <w:rPr>
          <w:rFonts w:ascii="Times New Roman" w:hAnsi="Times New Roman" w:cs="Times New Roman"/>
          <w:color w:val="202020"/>
          <w:sz w:val="26"/>
          <w:szCs w:val="26"/>
        </w:rPr>
      </w:pPr>
      <w:r w:rsidRPr="00492CC1">
        <w:rPr>
          <w:rFonts w:ascii="Times New Roman" w:hAnsi="Times New Roman" w:cs="Times New Roman"/>
          <w:color w:val="202020"/>
          <w:sz w:val="26"/>
          <w:szCs w:val="26"/>
        </w:rPr>
        <w:t>Appellant admitted</w:t>
      </w:r>
      <w:r>
        <w:rPr>
          <w:rFonts w:ascii="Times New Roman" w:hAnsi="Times New Roman" w:cs="Times New Roman"/>
          <w:color w:val="202020"/>
          <w:sz w:val="26"/>
          <w:szCs w:val="26"/>
        </w:rPr>
        <w:t xml:space="preserve"> she </w:t>
      </w:r>
      <w:r w:rsidRPr="00492CC1">
        <w:rPr>
          <w:rFonts w:ascii="Times New Roman" w:hAnsi="Times New Roman" w:cs="Times New Roman"/>
          <w:color w:val="202020"/>
          <w:sz w:val="26"/>
          <w:szCs w:val="26"/>
        </w:rPr>
        <w:t>never requested a leave of absence for a medical condition</w:t>
      </w:r>
      <w:r>
        <w:rPr>
          <w:rFonts w:ascii="Times New Roman" w:hAnsi="Times New Roman" w:cs="Times New Roman"/>
          <w:color w:val="202020"/>
          <w:sz w:val="26"/>
          <w:szCs w:val="26"/>
        </w:rPr>
        <w:t xml:space="preserve">, nor did she ever </w:t>
      </w:r>
      <w:r w:rsidRPr="00492CC1">
        <w:rPr>
          <w:rFonts w:ascii="Times New Roman" w:hAnsi="Times New Roman" w:cs="Times New Roman"/>
          <w:color w:val="202020"/>
          <w:sz w:val="26"/>
          <w:szCs w:val="26"/>
        </w:rPr>
        <w:t xml:space="preserve">need a full day off in the egg retrieval process. </w:t>
      </w:r>
      <w:r>
        <w:rPr>
          <w:rFonts w:ascii="Times New Roman" w:hAnsi="Times New Roman" w:cs="Times New Roman"/>
          <w:color w:val="202020"/>
          <w:sz w:val="26"/>
          <w:szCs w:val="26"/>
        </w:rPr>
        <w:t xml:space="preserve"> She also admitted that although she had to take injections to prepare for the procedure that made her nauseated, she did not consider that a disability and she was able to work through it.  Nor did she have any other medical condition that impacted her ability to work.</w:t>
      </w:r>
    </w:p>
    <w:p w:rsidR="006B62A0" w:rsidRPr="00492CC1" w:rsidP="006B62A0" w14:paraId="1804C5C6" w14:textId="638A31CB">
      <w:pPr>
        <w:spacing w:after="0" w:line="480" w:lineRule="atLeast"/>
        <w:ind w:firstLine="720"/>
        <w:rPr>
          <w:rFonts w:cs="Times New Roman"/>
          <w:szCs w:val="26"/>
        </w:rPr>
      </w:pPr>
      <w:r w:rsidRPr="00492CC1">
        <w:rPr>
          <w:rFonts w:cs="Times New Roman"/>
          <w:szCs w:val="26"/>
        </w:rPr>
        <w:t xml:space="preserve">The </w:t>
      </w:r>
      <w:r>
        <w:rPr>
          <w:rFonts w:cs="Times New Roman"/>
          <w:szCs w:val="26"/>
        </w:rPr>
        <w:t>superior</w:t>
      </w:r>
      <w:r w:rsidRPr="00492CC1">
        <w:rPr>
          <w:rFonts w:cs="Times New Roman"/>
          <w:szCs w:val="26"/>
        </w:rPr>
        <w:t xml:space="preserve"> court granted </w:t>
      </w:r>
      <w:r>
        <w:rPr>
          <w:rFonts w:cs="Times New Roman"/>
          <w:szCs w:val="26"/>
        </w:rPr>
        <w:t>r</w:t>
      </w:r>
      <w:r w:rsidRPr="00492CC1">
        <w:rPr>
          <w:rFonts w:cs="Times New Roman"/>
          <w:szCs w:val="26"/>
        </w:rPr>
        <w:t xml:space="preserve">espondents’ motion in its entirety. </w:t>
      </w:r>
      <w:r>
        <w:rPr>
          <w:rFonts w:cs="Times New Roman"/>
          <w:szCs w:val="26"/>
        </w:rPr>
        <w:t xml:space="preserve"> </w:t>
      </w:r>
      <w:r w:rsidRPr="00492CC1">
        <w:rPr>
          <w:rFonts w:cs="Times New Roman"/>
          <w:szCs w:val="26"/>
        </w:rPr>
        <w:t xml:space="preserve">The court framed the primary inquiry </w:t>
      </w:r>
      <w:r>
        <w:rPr>
          <w:rFonts w:cs="Times New Roman"/>
          <w:szCs w:val="26"/>
        </w:rPr>
        <w:t>as follows—</w:t>
      </w:r>
      <w:r w:rsidRPr="00492CC1">
        <w:rPr>
          <w:rFonts w:cs="Times New Roman"/>
          <w:szCs w:val="26"/>
        </w:rPr>
        <w:t>whether the “FEHA’s protections extend to the medical procedures [</w:t>
      </w:r>
      <w:r>
        <w:rPr>
          <w:rFonts w:cs="Times New Roman"/>
          <w:szCs w:val="26"/>
        </w:rPr>
        <w:t>a</w:t>
      </w:r>
      <w:r w:rsidRPr="00492CC1">
        <w:rPr>
          <w:rFonts w:cs="Times New Roman"/>
          <w:szCs w:val="26"/>
        </w:rPr>
        <w:t>ppellant] underwent in order to donate her eggs to others and freeze them for her own possible pregnancy at some unknown time in the future.”</w:t>
      </w:r>
      <w:r>
        <w:rPr>
          <w:rFonts w:cs="Times New Roman"/>
          <w:szCs w:val="26"/>
        </w:rPr>
        <w:t xml:space="preserve"> </w:t>
      </w:r>
      <w:r w:rsidRPr="00492CC1">
        <w:rPr>
          <w:rFonts w:cs="Times New Roman"/>
          <w:szCs w:val="26"/>
        </w:rPr>
        <w:t xml:space="preserve"> After reviewing the FEHA’s text, its supporting regulations, and case authority, the </w:t>
      </w:r>
      <w:r>
        <w:rPr>
          <w:rFonts w:cs="Times New Roman"/>
          <w:szCs w:val="26"/>
        </w:rPr>
        <w:t>superior</w:t>
      </w:r>
      <w:r w:rsidRPr="00492CC1">
        <w:rPr>
          <w:rFonts w:cs="Times New Roman"/>
          <w:szCs w:val="26"/>
        </w:rPr>
        <w:t xml:space="preserve"> court found that </w:t>
      </w:r>
      <w:r>
        <w:rPr>
          <w:rFonts w:cs="Times New Roman"/>
          <w:szCs w:val="26"/>
        </w:rPr>
        <w:t xml:space="preserve">“an indirect connection between the medical procedures </w:t>
      </w:r>
      <w:r w:rsidR="00052DBF">
        <w:rPr>
          <w:rFonts w:cs="Times New Roman"/>
          <w:szCs w:val="26"/>
        </w:rPr>
        <w:t>[appellant]</w:t>
      </w:r>
      <w:r>
        <w:rPr>
          <w:rFonts w:cs="Times New Roman"/>
          <w:szCs w:val="26"/>
        </w:rPr>
        <w:t xml:space="preserve"> elected to undergo to freeze her eggs for a possible pregnancy at some time in the future is insufficient to state a claim for pregnancy harassment or pregnancy discrimination under FEHA”</w:t>
      </w:r>
      <w:r w:rsidRPr="00492CC1">
        <w:rPr>
          <w:rFonts w:cs="Times New Roman"/>
          <w:szCs w:val="26"/>
        </w:rPr>
        <w:t xml:space="preserve"> because </w:t>
      </w:r>
      <w:r>
        <w:rPr>
          <w:rFonts w:cs="Times New Roman"/>
          <w:szCs w:val="26"/>
        </w:rPr>
        <w:t>a</w:t>
      </w:r>
      <w:r w:rsidRPr="00492CC1">
        <w:rPr>
          <w:rFonts w:cs="Times New Roman"/>
          <w:szCs w:val="26"/>
        </w:rPr>
        <w:t xml:space="preserve">ppellant “cannot establish she suffered from a pregnancy related medical condition.” </w:t>
      </w:r>
      <w:r>
        <w:rPr>
          <w:rFonts w:cs="Times New Roman"/>
          <w:szCs w:val="26"/>
        </w:rPr>
        <w:t xml:space="preserve"> </w:t>
      </w:r>
      <w:r w:rsidRPr="00492CC1">
        <w:rPr>
          <w:rFonts w:cs="Times New Roman"/>
          <w:szCs w:val="26"/>
        </w:rPr>
        <w:t xml:space="preserve">The </w:t>
      </w:r>
      <w:r>
        <w:rPr>
          <w:rFonts w:cs="Times New Roman"/>
          <w:szCs w:val="26"/>
        </w:rPr>
        <w:t>superior</w:t>
      </w:r>
      <w:r w:rsidRPr="00492CC1">
        <w:rPr>
          <w:rFonts w:cs="Times New Roman"/>
          <w:szCs w:val="26"/>
        </w:rPr>
        <w:t xml:space="preserve"> court </w:t>
      </w:r>
      <w:r>
        <w:rPr>
          <w:rFonts w:cs="Times New Roman"/>
          <w:szCs w:val="26"/>
        </w:rPr>
        <w:t>also determined</w:t>
      </w:r>
      <w:r w:rsidRPr="00492CC1">
        <w:rPr>
          <w:rFonts w:cs="Times New Roman"/>
          <w:szCs w:val="26"/>
        </w:rPr>
        <w:t xml:space="preserve"> that </w:t>
      </w:r>
      <w:r>
        <w:rPr>
          <w:rFonts w:cs="Times New Roman"/>
          <w:szCs w:val="26"/>
        </w:rPr>
        <w:t>a</w:t>
      </w:r>
      <w:r w:rsidRPr="00492CC1">
        <w:rPr>
          <w:rFonts w:cs="Times New Roman"/>
          <w:szCs w:val="26"/>
        </w:rPr>
        <w:t>ppellant could not establish that she was disabled or had engaged in protected activity under the FEHA.</w:t>
      </w:r>
    </w:p>
    <w:p w:rsidR="006B62A0" w:rsidRPr="00156A79" w:rsidP="00E1048B" w14:paraId="0A240D55" w14:textId="77777777">
      <w:pPr>
        <w:keepNext/>
        <w:spacing w:after="0" w:line="480" w:lineRule="atLeast"/>
        <w:jc w:val="center"/>
        <w:rPr>
          <w:rFonts w:cs="Times New Roman"/>
          <w:b/>
          <w:bCs/>
          <w:szCs w:val="26"/>
        </w:rPr>
      </w:pPr>
      <w:r w:rsidRPr="00156A79">
        <w:rPr>
          <w:rFonts w:cs="Times New Roman"/>
          <w:b/>
          <w:bCs/>
          <w:szCs w:val="26"/>
        </w:rPr>
        <w:t>DISCUSSION</w:t>
      </w:r>
    </w:p>
    <w:p w:rsidR="006B62A0" w:rsidP="006B62A0" w14:paraId="24202589" w14:textId="5C130548">
      <w:pPr>
        <w:pStyle w:val="Default"/>
        <w:spacing w:line="480" w:lineRule="atLeast"/>
        <w:ind w:firstLine="720"/>
        <w:rPr>
          <w:rFonts w:ascii="Times New Roman" w:hAnsi="Times New Roman" w:cs="Times New Roman"/>
          <w:sz w:val="26"/>
          <w:szCs w:val="26"/>
        </w:rPr>
      </w:pPr>
      <w:r w:rsidRPr="00156A79">
        <w:rPr>
          <w:rFonts w:ascii="Times New Roman" w:hAnsi="Times New Roman" w:cs="Times New Roman"/>
          <w:sz w:val="26"/>
          <w:szCs w:val="26"/>
        </w:rPr>
        <w:t xml:space="preserve">Appellant argues that the </w:t>
      </w:r>
      <w:r>
        <w:rPr>
          <w:rFonts w:ascii="Times New Roman" w:hAnsi="Times New Roman" w:cs="Times New Roman"/>
          <w:sz w:val="26"/>
          <w:szCs w:val="26"/>
        </w:rPr>
        <w:t>superior</w:t>
      </w:r>
      <w:r w:rsidRPr="00156A79">
        <w:rPr>
          <w:rFonts w:ascii="Times New Roman" w:hAnsi="Times New Roman" w:cs="Times New Roman"/>
          <w:sz w:val="26"/>
          <w:szCs w:val="26"/>
        </w:rPr>
        <w:t xml:space="preserve"> court </w:t>
      </w:r>
      <w:r>
        <w:rPr>
          <w:rFonts w:ascii="Times New Roman" w:hAnsi="Times New Roman" w:cs="Times New Roman"/>
          <w:sz w:val="26"/>
          <w:szCs w:val="26"/>
        </w:rPr>
        <w:t>interpreted the</w:t>
      </w:r>
      <w:r w:rsidRPr="00156A79">
        <w:rPr>
          <w:rFonts w:ascii="Times New Roman" w:hAnsi="Times New Roman" w:cs="Times New Roman"/>
          <w:sz w:val="26"/>
          <w:szCs w:val="26"/>
        </w:rPr>
        <w:t xml:space="preserve"> FEHA </w:t>
      </w:r>
      <w:r>
        <w:rPr>
          <w:rFonts w:ascii="Times New Roman" w:hAnsi="Times New Roman" w:cs="Times New Roman"/>
          <w:sz w:val="26"/>
          <w:szCs w:val="26"/>
        </w:rPr>
        <w:t xml:space="preserve">too narrowly, improperly excluding future pregnancies from the provisions </w:t>
      </w:r>
      <w:r w:rsidRPr="00156A79">
        <w:rPr>
          <w:rFonts w:ascii="Times New Roman" w:hAnsi="Times New Roman" w:cs="Times New Roman"/>
          <w:sz w:val="26"/>
          <w:szCs w:val="26"/>
        </w:rPr>
        <w:t xml:space="preserve">that prohibit an employer from </w:t>
      </w:r>
      <w:r>
        <w:rPr>
          <w:rFonts w:ascii="Times New Roman" w:hAnsi="Times New Roman" w:cs="Times New Roman"/>
          <w:sz w:val="26"/>
          <w:szCs w:val="26"/>
        </w:rPr>
        <w:t xml:space="preserve">discriminating, </w:t>
      </w:r>
      <w:r w:rsidRPr="00156A79">
        <w:rPr>
          <w:rFonts w:ascii="Times New Roman" w:hAnsi="Times New Roman" w:cs="Times New Roman"/>
          <w:sz w:val="26"/>
          <w:szCs w:val="26"/>
        </w:rPr>
        <w:t>harassing</w:t>
      </w:r>
      <w:r>
        <w:rPr>
          <w:rFonts w:ascii="Times New Roman" w:hAnsi="Times New Roman" w:cs="Times New Roman"/>
          <w:sz w:val="26"/>
          <w:szCs w:val="26"/>
        </w:rPr>
        <w:t>,</w:t>
      </w:r>
      <w:r w:rsidRPr="00156A79">
        <w:rPr>
          <w:rFonts w:ascii="Times New Roman" w:hAnsi="Times New Roman" w:cs="Times New Roman"/>
          <w:sz w:val="26"/>
          <w:szCs w:val="26"/>
        </w:rPr>
        <w:t xml:space="preserve"> or terminating an employee for a medical condition </w:t>
      </w:r>
      <w:r>
        <w:rPr>
          <w:rFonts w:ascii="Times New Roman" w:hAnsi="Times New Roman" w:cs="Times New Roman"/>
          <w:sz w:val="26"/>
          <w:szCs w:val="26"/>
        </w:rPr>
        <w:t xml:space="preserve">or disability </w:t>
      </w:r>
      <w:r w:rsidRPr="00156A79">
        <w:rPr>
          <w:rFonts w:ascii="Times New Roman" w:hAnsi="Times New Roman" w:cs="Times New Roman"/>
          <w:sz w:val="26"/>
          <w:szCs w:val="26"/>
        </w:rPr>
        <w:t>related to pregnancy</w:t>
      </w:r>
      <w:r>
        <w:rPr>
          <w:rFonts w:ascii="Times New Roman" w:hAnsi="Times New Roman" w:cs="Times New Roman"/>
          <w:sz w:val="26"/>
          <w:szCs w:val="26"/>
        </w:rPr>
        <w:t>.  According to appellant, the egg retrieval procedure constitutes a medical condition related to pregnancy, and the superior court’s reliance upon the fact that appellant was not pregnant, nor trying to become pregnant</w:t>
      </w:r>
      <w:r w:rsidR="001D5E9E">
        <w:rPr>
          <w:rFonts w:ascii="Times New Roman" w:hAnsi="Times New Roman" w:cs="Times New Roman"/>
          <w:sz w:val="26"/>
          <w:szCs w:val="26"/>
        </w:rPr>
        <w:t>,</w:t>
      </w:r>
      <w:r>
        <w:rPr>
          <w:rFonts w:ascii="Times New Roman" w:hAnsi="Times New Roman" w:cs="Times New Roman"/>
          <w:sz w:val="26"/>
          <w:szCs w:val="26"/>
        </w:rPr>
        <w:t xml:space="preserve"> while she was employed by respondents, </w:t>
      </w:r>
      <w:r w:rsidR="001D5E9E">
        <w:rPr>
          <w:rFonts w:ascii="Times New Roman" w:hAnsi="Times New Roman" w:cs="Times New Roman"/>
          <w:sz w:val="26"/>
          <w:szCs w:val="26"/>
        </w:rPr>
        <w:t>was prejudicial error eliminating</w:t>
      </w:r>
      <w:r>
        <w:rPr>
          <w:rFonts w:ascii="Times New Roman" w:hAnsi="Times New Roman" w:cs="Times New Roman"/>
          <w:sz w:val="26"/>
          <w:szCs w:val="26"/>
        </w:rPr>
        <w:t xml:space="preserve"> protections otherwise provided</w:t>
      </w:r>
      <w:r w:rsidRPr="00156A79">
        <w:rPr>
          <w:rFonts w:ascii="Times New Roman" w:hAnsi="Times New Roman" w:cs="Times New Roman"/>
          <w:sz w:val="26"/>
          <w:szCs w:val="26"/>
        </w:rPr>
        <w:t xml:space="preserve"> </w:t>
      </w:r>
      <w:r>
        <w:rPr>
          <w:rFonts w:ascii="Times New Roman" w:hAnsi="Times New Roman" w:cs="Times New Roman"/>
          <w:sz w:val="26"/>
          <w:szCs w:val="26"/>
        </w:rPr>
        <w:t>by</w:t>
      </w:r>
      <w:r w:rsidRPr="00156A79">
        <w:rPr>
          <w:rFonts w:ascii="Times New Roman" w:hAnsi="Times New Roman" w:cs="Times New Roman"/>
          <w:sz w:val="26"/>
          <w:szCs w:val="26"/>
        </w:rPr>
        <w:t xml:space="preserve"> the statute</w:t>
      </w:r>
      <w:r>
        <w:rPr>
          <w:rFonts w:ascii="Times New Roman" w:hAnsi="Times New Roman" w:cs="Times New Roman"/>
          <w:sz w:val="26"/>
          <w:szCs w:val="26"/>
        </w:rPr>
        <w:t xml:space="preserve"> </w:t>
      </w:r>
      <w:r w:rsidR="001D5E9E">
        <w:rPr>
          <w:rFonts w:ascii="Times New Roman" w:hAnsi="Times New Roman" w:cs="Times New Roman"/>
          <w:sz w:val="26"/>
          <w:szCs w:val="26"/>
        </w:rPr>
        <w:t xml:space="preserve">and </w:t>
      </w:r>
      <w:r>
        <w:rPr>
          <w:rFonts w:ascii="Times New Roman" w:hAnsi="Times New Roman" w:cs="Times New Roman"/>
          <w:sz w:val="26"/>
          <w:szCs w:val="26"/>
        </w:rPr>
        <w:t xml:space="preserve">leading </w:t>
      </w:r>
      <w:r w:rsidRPr="00156A79">
        <w:rPr>
          <w:rFonts w:ascii="Times New Roman" w:hAnsi="Times New Roman" w:cs="Times New Roman"/>
          <w:sz w:val="26"/>
          <w:szCs w:val="26"/>
        </w:rPr>
        <w:t>to absurd results.</w:t>
      </w:r>
    </w:p>
    <w:p w:rsidR="006B62A0" w:rsidP="00E1048B" w14:paraId="004CC055" w14:textId="261B5A7B">
      <w:pPr>
        <w:keepNext/>
        <w:spacing w:after="0" w:line="480" w:lineRule="atLeast"/>
        <w:jc w:val="center"/>
        <w:rPr>
          <w:rFonts w:cs="Times New Roman"/>
          <w:szCs w:val="26"/>
        </w:rPr>
      </w:pPr>
      <w:r>
        <w:rPr>
          <w:rFonts w:cs="Times New Roman"/>
          <w:szCs w:val="26"/>
        </w:rPr>
        <w:t>I</w:t>
      </w:r>
    </w:p>
    <w:p w:rsidR="006B62A0" w:rsidRPr="007727B9" w:rsidP="00E1048B" w14:paraId="1B7B1BE7" w14:textId="77777777">
      <w:pPr>
        <w:keepNext/>
        <w:spacing w:after="0" w:line="480" w:lineRule="atLeast"/>
        <w:jc w:val="center"/>
        <w:rPr>
          <w:rFonts w:cs="Times New Roman"/>
          <w:i/>
          <w:iCs/>
          <w:szCs w:val="26"/>
        </w:rPr>
      </w:pPr>
      <w:r w:rsidRPr="007727B9">
        <w:rPr>
          <w:rFonts w:cs="Times New Roman"/>
          <w:i/>
          <w:iCs/>
          <w:szCs w:val="26"/>
        </w:rPr>
        <w:t>Standard of Review</w:t>
      </w:r>
    </w:p>
    <w:p w:rsidR="006B62A0" w:rsidRPr="000D3DB8" w:rsidP="006B62A0" w14:paraId="5CEA2809" w14:textId="718BCD47">
      <w:pPr>
        <w:spacing w:after="0" w:line="480" w:lineRule="atLeast"/>
        <w:ind w:firstLine="720"/>
        <w:rPr>
          <w:rFonts w:cs="Times New Roman"/>
          <w:szCs w:val="26"/>
        </w:rPr>
      </w:pPr>
      <w:r w:rsidRPr="000D3DB8">
        <w:rPr>
          <w:rFonts w:cs="Times New Roman"/>
          <w:szCs w:val="26"/>
        </w:rPr>
        <w:t>Summary judgment is properly granted if “all the papers submitted show that there is no triable issue as to any material fact and that the moving party is entitled to a judgment as a matter of law.”  (Code Civ. Proc., §</w:t>
      </w:r>
      <w:r>
        <w:rPr>
          <w:rFonts w:cs="Times New Roman"/>
          <w:szCs w:val="26"/>
        </w:rPr>
        <w:t> </w:t>
      </w:r>
      <w:r w:rsidRPr="000D3DB8">
        <w:rPr>
          <w:rFonts w:cs="Times New Roman"/>
          <w:szCs w:val="26"/>
        </w:rPr>
        <w:t>437c, subd. (c).)  A defendant moving for summary judgment can meet its burden by showing that the plaintiff cannot establish one or more elements of a cause of action.  (Code Civ. Proc., §</w:t>
      </w:r>
      <w:r>
        <w:rPr>
          <w:rFonts w:cs="Times New Roman"/>
          <w:szCs w:val="26"/>
        </w:rPr>
        <w:t> </w:t>
      </w:r>
      <w:r w:rsidRPr="000D3DB8">
        <w:rPr>
          <w:rFonts w:cs="Times New Roman"/>
          <w:szCs w:val="26"/>
        </w:rPr>
        <w:t>437c, subd. (p)(2).)  “Once defendants meet this burden, the burden shifts to plaintiff to show the existence of a triable issue of material fact.”  (</w:t>
      </w:r>
      <w:r w:rsidRPr="000D3DB8">
        <w:rPr>
          <w:rFonts w:cs="Times New Roman"/>
          <w:i/>
          <w:iCs/>
          <w:szCs w:val="26"/>
        </w:rPr>
        <w:t>Nazir v. United Airlines</w:t>
      </w:r>
      <w:r w:rsidR="00052DBF">
        <w:rPr>
          <w:rFonts w:cs="Times New Roman"/>
          <w:i/>
          <w:iCs/>
          <w:szCs w:val="26"/>
        </w:rPr>
        <w:t>, Inc.</w:t>
      </w:r>
      <w:r w:rsidRPr="000D3DB8">
        <w:rPr>
          <w:rFonts w:cs="Times New Roman"/>
          <w:szCs w:val="26"/>
        </w:rPr>
        <w:t xml:space="preserve"> (2009) 178</w:t>
      </w:r>
      <w:r w:rsidR="00052DBF">
        <w:rPr>
          <w:rFonts w:cs="Times New Roman"/>
          <w:szCs w:val="26"/>
        </w:rPr>
        <w:t> </w:t>
      </w:r>
      <w:r w:rsidRPr="000D3DB8">
        <w:rPr>
          <w:rFonts w:cs="Times New Roman"/>
          <w:szCs w:val="26"/>
        </w:rPr>
        <w:t>Cal.App.4th 243, 253.)  A triable issue of material fact exists if the evidence and inferences therefrom would allow a reasonable juror to find the underlying fact in favor of the party opposing summary judgment.  (</w:t>
      </w:r>
      <w:r w:rsidRPr="000D3DB8">
        <w:rPr>
          <w:rFonts w:cs="Times New Roman"/>
          <w:i/>
          <w:iCs/>
          <w:szCs w:val="26"/>
        </w:rPr>
        <w:t>Aguilar v. Atlantic Richfield Co.</w:t>
      </w:r>
      <w:r w:rsidRPr="000D3DB8">
        <w:rPr>
          <w:rFonts w:cs="Times New Roman"/>
          <w:szCs w:val="26"/>
        </w:rPr>
        <w:t xml:space="preserve"> </w:t>
      </w:r>
      <w:r w:rsidR="00A40970">
        <w:rPr>
          <w:rFonts w:cs="Times New Roman"/>
          <w:szCs w:val="26"/>
        </w:rPr>
        <w:t>(2001)</w:t>
      </w:r>
      <w:r w:rsidRPr="000D3DB8">
        <w:rPr>
          <w:rFonts w:cs="Times New Roman"/>
          <w:szCs w:val="26"/>
        </w:rPr>
        <w:t xml:space="preserve"> 25</w:t>
      </w:r>
      <w:r w:rsidR="00A40970">
        <w:rPr>
          <w:rFonts w:cs="Times New Roman"/>
          <w:szCs w:val="26"/>
        </w:rPr>
        <w:t> </w:t>
      </w:r>
      <w:r w:rsidRPr="000D3DB8">
        <w:rPr>
          <w:rFonts w:cs="Times New Roman"/>
          <w:szCs w:val="26"/>
        </w:rPr>
        <w:t xml:space="preserve">Cal.4th </w:t>
      </w:r>
      <w:r w:rsidR="00A40970">
        <w:rPr>
          <w:rFonts w:cs="Times New Roman"/>
          <w:szCs w:val="26"/>
        </w:rPr>
        <w:t xml:space="preserve">826, </w:t>
      </w:r>
      <w:r w:rsidRPr="000D3DB8">
        <w:rPr>
          <w:rFonts w:cs="Times New Roman"/>
          <w:szCs w:val="26"/>
        </w:rPr>
        <w:t xml:space="preserve">850, 856.)       </w:t>
      </w:r>
    </w:p>
    <w:p w:rsidR="006B62A0" w:rsidP="006B62A0" w14:paraId="1E0ED590" w14:textId="7E6B3429">
      <w:pPr>
        <w:spacing w:after="0" w:line="480" w:lineRule="atLeast"/>
        <w:ind w:firstLine="720"/>
        <w:rPr>
          <w:rFonts w:cs="Times New Roman"/>
          <w:szCs w:val="26"/>
        </w:rPr>
      </w:pPr>
      <w:r>
        <w:rPr>
          <w:rFonts w:cs="Times New Roman"/>
          <w:szCs w:val="26"/>
        </w:rPr>
        <w:t>Here</w:t>
      </w:r>
      <w:r w:rsidRPr="00A26367">
        <w:rPr>
          <w:rFonts w:cs="Times New Roman"/>
          <w:szCs w:val="26"/>
        </w:rPr>
        <w:t xml:space="preserve">, the </w:t>
      </w:r>
      <w:r>
        <w:rPr>
          <w:rFonts w:cs="Times New Roman"/>
          <w:szCs w:val="26"/>
        </w:rPr>
        <w:t>superior</w:t>
      </w:r>
      <w:r w:rsidRPr="00A26367">
        <w:rPr>
          <w:rFonts w:cs="Times New Roman"/>
          <w:szCs w:val="26"/>
        </w:rPr>
        <w:t xml:space="preserve"> court</w:t>
      </w:r>
      <w:r>
        <w:rPr>
          <w:rFonts w:cs="Times New Roman"/>
          <w:szCs w:val="26"/>
        </w:rPr>
        <w:t>’</w:t>
      </w:r>
      <w:r w:rsidRPr="00A26367">
        <w:rPr>
          <w:rFonts w:cs="Times New Roman"/>
          <w:szCs w:val="26"/>
        </w:rPr>
        <w:t xml:space="preserve">s order </w:t>
      </w:r>
      <w:r>
        <w:rPr>
          <w:rFonts w:cs="Times New Roman"/>
          <w:szCs w:val="26"/>
        </w:rPr>
        <w:t xml:space="preserve">granting summary judgment </w:t>
      </w:r>
      <w:r w:rsidRPr="00A26367">
        <w:rPr>
          <w:rFonts w:cs="Times New Roman"/>
          <w:szCs w:val="26"/>
        </w:rPr>
        <w:t>is subject to de novo review</w:t>
      </w:r>
      <w:r>
        <w:rPr>
          <w:rFonts w:cs="Times New Roman"/>
          <w:szCs w:val="26"/>
        </w:rPr>
        <w:t>;</w:t>
      </w:r>
      <w:r w:rsidRPr="00A26367">
        <w:rPr>
          <w:rFonts w:cs="Times New Roman"/>
          <w:szCs w:val="26"/>
        </w:rPr>
        <w:t xml:space="preserve"> the parties have stipulated to the relevant facts and the issues before us are questions of statutory interpretation.</w:t>
      </w:r>
      <w:r>
        <w:rPr>
          <w:rFonts w:cs="Times New Roman"/>
          <w:szCs w:val="26"/>
        </w:rPr>
        <w:t xml:space="preserve">  (</w:t>
      </w:r>
      <w:r w:rsidRPr="00A26367">
        <w:rPr>
          <w:rFonts w:cs="Times New Roman"/>
          <w:i/>
          <w:iCs/>
          <w:szCs w:val="26"/>
        </w:rPr>
        <w:t>MacIsaac v. Waste Management Collection &amp; Recycling, Inc.</w:t>
      </w:r>
      <w:r w:rsidRPr="00A26367">
        <w:rPr>
          <w:rFonts w:cs="Times New Roman"/>
          <w:szCs w:val="26"/>
        </w:rPr>
        <w:t xml:space="preserve"> (2005) 134</w:t>
      </w:r>
      <w:r w:rsidR="00A40970">
        <w:rPr>
          <w:rFonts w:cs="Times New Roman"/>
          <w:szCs w:val="26"/>
        </w:rPr>
        <w:t> </w:t>
      </w:r>
      <w:r w:rsidRPr="00A26367">
        <w:rPr>
          <w:rFonts w:cs="Times New Roman"/>
          <w:szCs w:val="26"/>
        </w:rPr>
        <w:t>Cal.App.4th 1076, 1081</w:t>
      </w:r>
      <w:r w:rsidR="00A40970">
        <w:rPr>
          <w:rFonts w:cs="Times New Roman"/>
          <w:szCs w:val="26"/>
        </w:rPr>
        <w:t>-</w:t>
      </w:r>
      <w:r w:rsidRPr="00A26367">
        <w:rPr>
          <w:rFonts w:cs="Times New Roman"/>
          <w:szCs w:val="26"/>
        </w:rPr>
        <w:t>1082</w:t>
      </w:r>
      <w:r>
        <w:rPr>
          <w:rFonts w:cs="Times New Roman"/>
          <w:szCs w:val="26"/>
        </w:rPr>
        <w:t>; s</w:t>
      </w:r>
      <w:r w:rsidRPr="000D3DB8">
        <w:rPr>
          <w:rFonts w:cs="Times New Roman"/>
          <w:szCs w:val="26"/>
        </w:rPr>
        <w:t>ee</w:t>
      </w:r>
      <w:r>
        <w:rPr>
          <w:rFonts w:cs="Times New Roman"/>
          <w:szCs w:val="26"/>
        </w:rPr>
        <w:t xml:space="preserve"> also</w:t>
      </w:r>
      <w:r w:rsidRPr="000D3DB8">
        <w:rPr>
          <w:rFonts w:cs="Times New Roman"/>
          <w:szCs w:val="26"/>
        </w:rPr>
        <w:t xml:space="preserve"> </w:t>
      </w:r>
      <w:r w:rsidRPr="00A26367">
        <w:rPr>
          <w:rFonts w:cs="Times New Roman"/>
          <w:i/>
          <w:iCs/>
          <w:szCs w:val="26"/>
        </w:rPr>
        <w:t>Regents of University of California v. Superior Court</w:t>
      </w:r>
      <w:r w:rsidRPr="000D3DB8">
        <w:rPr>
          <w:rFonts w:cs="Times New Roman"/>
          <w:szCs w:val="26"/>
        </w:rPr>
        <w:t xml:space="preserve"> (1999) 20</w:t>
      </w:r>
      <w:r w:rsidR="00A40970">
        <w:rPr>
          <w:rFonts w:cs="Times New Roman"/>
          <w:szCs w:val="26"/>
        </w:rPr>
        <w:t> </w:t>
      </w:r>
      <w:r w:rsidRPr="000D3DB8">
        <w:rPr>
          <w:rFonts w:cs="Times New Roman"/>
          <w:szCs w:val="26"/>
        </w:rPr>
        <w:t>Cal.4th 509, 531</w:t>
      </w:r>
      <w:r>
        <w:rPr>
          <w:rFonts w:cs="Times New Roman"/>
          <w:szCs w:val="26"/>
        </w:rPr>
        <w:t xml:space="preserve"> </w:t>
      </w:r>
      <w:r w:rsidRPr="000D3DB8">
        <w:rPr>
          <w:rFonts w:cs="Times New Roman"/>
          <w:szCs w:val="26"/>
        </w:rPr>
        <w:t>[appellate court exercises de novo review of ruling on summary judgment motion and underlying statutory construction issues</w:t>
      </w:r>
      <w:r>
        <w:rPr>
          <w:rFonts w:cs="Times New Roman"/>
          <w:szCs w:val="26"/>
        </w:rPr>
        <w:t>].</w:t>
      </w:r>
      <w:r w:rsidRPr="000D3DB8">
        <w:rPr>
          <w:rFonts w:cs="Times New Roman"/>
          <w:szCs w:val="26"/>
        </w:rPr>
        <w:t xml:space="preserve">)  Although we review the </w:t>
      </w:r>
      <w:r>
        <w:rPr>
          <w:rFonts w:cs="Times New Roman"/>
          <w:szCs w:val="26"/>
        </w:rPr>
        <w:t>superior</w:t>
      </w:r>
      <w:r w:rsidRPr="000D3DB8">
        <w:rPr>
          <w:rFonts w:cs="Times New Roman"/>
          <w:szCs w:val="26"/>
        </w:rPr>
        <w:t xml:space="preserve"> court’s decision de novo, we do not ignore that decision.  Instead, that decision is presumed correct, and it is the plaintiff’s burden to affirmatively establish reversible error.  (</w:t>
      </w:r>
      <w:r w:rsidRPr="000D3DB8">
        <w:rPr>
          <w:rFonts w:cs="Times New Roman"/>
          <w:i/>
          <w:iCs/>
          <w:szCs w:val="26"/>
        </w:rPr>
        <w:t>Jameson v. Desta</w:t>
      </w:r>
      <w:r w:rsidRPr="000D3DB8">
        <w:rPr>
          <w:rFonts w:cs="Times New Roman"/>
          <w:szCs w:val="26"/>
        </w:rPr>
        <w:t xml:space="preserve"> (2018) 5</w:t>
      </w:r>
      <w:r w:rsidR="00A40970">
        <w:rPr>
          <w:rFonts w:cs="Times New Roman"/>
          <w:szCs w:val="26"/>
        </w:rPr>
        <w:t> </w:t>
      </w:r>
      <w:r w:rsidRPr="000D3DB8">
        <w:rPr>
          <w:rFonts w:cs="Times New Roman"/>
          <w:szCs w:val="26"/>
        </w:rPr>
        <w:t xml:space="preserve">Cal.5th 594, 608-609; </w:t>
      </w:r>
      <w:r w:rsidRPr="000D3DB8">
        <w:rPr>
          <w:rFonts w:cs="Times New Roman"/>
          <w:i/>
          <w:iCs/>
          <w:szCs w:val="26"/>
        </w:rPr>
        <w:t>Swigart v. Bruno</w:t>
      </w:r>
      <w:r w:rsidRPr="000D3DB8">
        <w:rPr>
          <w:rFonts w:cs="Times New Roman"/>
          <w:szCs w:val="26"/>
        </w:rPr>
        <w:t xml:space="preserve"> (2017) 13</w:t>
      </w:r>
      <w:r w:rsidR="00A40970">
        <w:rPr>
          <w:rFonts w:cs="Times New Roman"/>
          <w:szCs w:val="26"/>
        </w:rPr>
        <w:t> </w:t>
      </w:r>
      <w:r w:rsidRPr="000D3DB8">
        <w:rPr>
          <w:rFonts w:cs="Times New Roman"/>
          <w:szCs w:val="26"/>
        </w:rPr>
        <w:t>Cal.App.5th 529, 535.)</w:t>
      </w:r>
      <w:r>
        <w:rPr>
          <w:rFonts w:cs="Times New Roman"/>
          <w:szCs w:val="26"/>
        </w:rPr>
        <w:t xml:space="preserve">  </w:t>
      </w:r>
      <w:r w:rsidRPr="000D3DB8">
        <w:rPr>
          <w:rFonts w:cs="Times New Roman"/>
          <w:szCs w:val="26"/>
        </w:rPr>
        <w:t>We may affirm a ruling granting a motion for summary judgment “if it is correct on any ground, regardless of the trial court’s stated reasons.”  (</w:t>
      </w:r>
      <w:r w:rsidRPr="000D3DB8">
        <w:rPr>
          <w:rFonts w:cs="Times New Roman"/>
          <w:i/>
          <w:iCs/>
          <w:szCs w:val="26"/>
        </w:rPr>
        <w:t>Truck Ins. Exchange v. County of Los Angeles</w:t>
      </w:r>
      <w:r w:rsidRPr="000D3DB8">
        <w:rPr>
          <w:rFonts w:cs="Times New Roman"/>
          <w:szCs w:val="26"/>
        </w:rPr>
        <w:t xml:space="preserve"> (2002) 95</w:t>
      </w:r>
      <w:r w:rsidR="00A40970">
        <w:rPr>
          <w:rFonts w:cs="Times New Roman"/>
          <w:szCs w:val="26"/>
        </w:rPr>
        <w:t> </w:t>
      </w:r>
      <w:r w:rsidRPr="000D3DB8">
        <w:rPr>
          <w:rFonts w:cs="Times New Roman"/>
          <w:szCs w:val="26"/>
        </w:rPr>
        <w:t xml:space="preserve">Cal.App.4th 13, 20.) </w:t>
      </w:r>
    </w:p>
    <w:p w:rsidR="006B62A0" w:rsidP="006B62A0" w14:paraId="3A23A531" w14:textId="71BD0D4B">
      <w:pPr>
        <w:spacing w:after="0" w:line="480" w:lineRule="atLeast"/>
        <w:ind w:firstLine="720"/>
        <w:rPr>
          <w:rFonts w:cs="Times New Roman"/>
          <w:szCs w:val="26"/>
        </w:rPr>
      </w:pPr>
      <w:r>
        <w:rPr>
          <w:rFonts w:cs="Times New Roman"/>
          <w:szCs w:val="26"/>
        </w:rPr>
        <w:t xml:space="preserve">All of appellant’s </w:t>
      </w:r>
      <w:r w:rsidR="00A40970">
        <w:rPr>
          <w:rFonts w:cs="Times New Roman"/>
          <w:szCs w:val="26"/>
        </w:rPr>
        <w:t xml:space="preserve">10 </w:t>
      </w:r>
      <w:r>
        <w:rPr>
          <w:rFonts w:cs="Times New Roman"/>
          <w:szCs w:val="26"/>
        </w:rPr>
        <w:t>causes of action rely or depend upon a pregnancy-related theory of sex discrimination and/or harassment.  Accordingly, we must first consider whether the superior court correctly determined that, under the undisputed facts, appellant’s egg retrieval procedure was not entitled to protection under the FEHA.</w:t>
      </w:r>
    </w:p>
    <w:p w:rsidR="006B62A0" w:rsidP="00E1048B" w14:paraId="04852544" w14:textId="7CB3E583">
      <w:pPr>
        <w:keepNext/>
        <w:spacing w:after="0" w:line="480" w:lineRule="atLeast"/>
        <w:jc w:val="center"/>
        <w:rPr>
          <w:rFonts w:cs="Times New Roman"/>
          <w:szCs w:val="26"/>
        </w:rPr>
      </w:pPr>
      <w:r>
        <w:rPr>
          <w:rFonts w:cs="Times New Roman"/>
          <w:szCs w:val="26"/>
        </w:rPr>
        <w:t>II</w:t>
      </w:r>
    </w:p>
    <w:p w:rsidR="006B62A0" w:rsidRPr="00DD387A" w:rsidP="00E1048B" w14:paraId="02F35ABA" w14:textId="77777777">
      <w:pPr>
        <w:keepNext/>
        <w:spacing w:after="0" w:line="480" w:lineRule="atLeast"/>
        <w:jc w:val="center"/>
        <w:rPr>
          <w:rFonts w:cs="Times New Roman"/>
          <w:i/>
          <w:iCs/>
          <w:szCs w:val="26"/>
        </w:rPr>
      </w:pPr>
      <w:r w:rsidRPr="00DD387A">
        <w:rPr>
          <w:rFonts w:cs="Times New Roman"/>
          <w:i/>
          <w:iCs/>
          <w:szCs w:val="26"/>
        </w:rPr>
        <w:t>Analysis</w:t>
      </w:r>
    </w:p>
    <w:p w:rsidR="006B62A0" w:rsidP="006B62A0" w14:paraId="4CEC4DD0" w14:textId="4EAADF84">
      <w:pPr>
        <w:spacing w:after="0" w:line="480" w:lineRule="atLeast"/>
        <w:ind w:firstLine="720"/>
        <w:rPr>
          <w:rFonts w:cs="Times New Roman"/>
          <w:szCs w:val="26"/>
        </w:rPr>
      </w:pPr>
      <w:r w:rsidRPr="00DB2C56">
        <w:rPr>
          <w:rFonts w:cs="Times New Roman"/>
          <w:szCs w:val="26"/>
        </w:rPr>
        <w:t>“</w:t>
      </w:r>
      <w:r w:rsidR="00A40970">
        <w:rPr>
          <w:rFonts w:cs="Times New Roman"/>
          <w:szCs w:val="26"/>
        </w:rPr>
        <w:t> </w:t>
      </w:r>
      <w:r w:rsidRPr="00DB2C56">
        <w:rPr>
          <w:rFonts w:cs="Times New Roman"/>
          <w:szCs w:val="26"/>
        </w:rPr>
        <w:t>‘A fundamental rule of statutory construction is that a court should ascertain the intent of the Legislature so as to effectuate the purpose of the law.</w:t>
      </w:r>
      <w:r w:rsidR="00A40970">
        <w:rPr>
          <w:rFonts w:cs="Times New Roman"/>
          <w:szCs w:val="26"/>
        </w:rPr>
        <w:t xml:space="preserve"> </w:t>
      </w:r>
      <w:r w:rsidRPr="00DB2C56">
        <w:rPr>
          <w:rFonts w:cs="Times New Roman"/>
          <w:szCs w:val="26"/>
        </w:rPr>
        <w:t xml:space="preserve"> [Citations.]</w:t>
      </w:r>
      <w:r w:rsidR="00A40970">
        <w:rPr>
          <w:rFonts w:cs="Times New Roman"/>
          <w:szCs w:val="26"/>
        </w:rPr>
        <w:t xml:space="preserve"> </w:t>
      </w:r>
      <w:r w:rsidRPr="00DB2C56">
        <w:rPr>
          <w:rFonts w:cs="Times New Roman"/>
          <w:szCs w:val="26"/>
        </w:rPr>
        <w:t xml:space="preserve"> In construing a statute, our first task is to look to the language of the statute itself.</w:t>
      </w:r>
      <w:r w:rsidR="00A40970">
        <w:rPr>
          <w:rFonts w:cs="Times New Roman"/>
          <w:szCs w:val="26"/>
        </w:rPr>
        <w:t xml:space="preserve"> </w:t>
      </w:r>
      <w:r w:rsidRPr="00DB2C56">
        <w:rPr>
          <w:rFonts w:cs="Times New Roman"/>
          <w:szCs w:val="26"/>
        </w:rPr>
        <w:t xml:space="preserve"> [Citation.] </w:t>
      </w:r>
      <w:r w:rsidR="00A40970">
        <w:rPr>
          <w:rFonts w:cs="Times New Roman"/>
          <w:szCs w:val="26"/>
        </w:rPr>
        <w:t xml:space="preserve"> </w:t>
      </w:r>
      <w:r w:rsidRPr="00DB2C56">
        <w:rPr>
          <w:rFonts w:cs="Times New Roman"/>
          <w:szCs w:val="26"/>
        </w:rPr>
        <w:t xml:space="preserve">When the language is clear and there is no uncertainty as to the legislative intent, we look no further and simply enforce the statute according to its terms. </w:t>
      </w:r>
      <w:r w:rsidR="00A40970">
        <w:rPr>
          <w:rFonts w:cs="Times New Roman"/>
          <w:szCs w:val="26"/>
        </w:rPr>
        <w:t xml:space="preserve"> </w:t>
      </w:r>
      <w:r w:rsidRPr="00DB2C56">
        <w:rPr>
          <w:rFonts w:cs="Times New Roman"/>
          <w:szCs w:val="26"/>
        </w:rPr>
        <w:t xml:space="preserve">[Citations.] </w:t>
      </w:r>
      <w:r w:rsidR="00A40970">
        <w:rPr>
          <w:rFonts w:cs="Times New Roman"/>
          <w:szCs w:val="26"/>
        </w:rPr>
        <w:t xml:space="preserve"> </w:t>
      </w:r>
      <w:r w:rsidRPr="00DB2C56">
        <w:rPr>
          <w:rFonts w:cs="Times New Roman"/>
          <w:szCs w:val="26"/>
        </w:rPr>
        <w:t xml:space="preserve">[¶] </w:t>
      </w:r>
      <w:r w:rsidR="00A40970">
        <w:rPr>
          <w:rFonts w:cs="Times New Roman"/>
          <w:szCs w:val="26"/>
        </w:rPr>
        <w:t xml:space="preserve"> </w:t>
      </w:r>
      <w:r w:rsidRPr="00DB2C56">
        <w:rPr>
          <w:rFonts w:cs="Times New Roman"/>
          <w:szCs w:val="26"/>
        </w:rPr>
        <w:t>.</w:t>
      </w:r>
      <w:r w:rsidR="00A40970">
        <w:rPr>
          <w:rFonts w:cs="Times New Roman"/>
          <w:szCs w:val="26"/>
        </w:rPr>
        <w:t> </w:t>
      </w:r>
      <w:r w:rsidRPr="00DB2C56">
        <w:rPr>
          <w:rFonts w:cs="Times New Roman"/>
          <w:szCs w:val="26"/>
        </w:rPr>
        <w:t>.</w:t>
      </w:r>
      <w:r w:rsidR="00A40970">
        <w:rPr>
          <w:rFonts w:cs="Times New Roman"/>
          <w:szCs w:val="26"/>
        </w:rPr>
        <w:t> </w:t>
      </w:r>
      <w:r w:rsidRPr="00DB2C56">
        <w:rPr>
          <w:rFonts w:cs="Times New Roman"/>
          <w:szCs w:val="26"/>
        </w:rPr>
        <w:t>.</w:t>
      </w:r>
      <w:r w:rsidR="00A40970">
        <w:rPr>
          <w:rFonts w:cs="Times New Roman"/>
          <w:szCs w:val="26"/>
        </w:rPr>
        <w:t> </w:t>
      </w:r>
      <w:r w:rsidRPr="00DB2C56">
        <w:rPr>
          <w:rFonts w:cs="Times New Roman"/>
          <w:szCs w:val="26"/>
        </w:rPr>
        <w:t xml:space="preserve">“We are required to give effect to statutes ‘according to the usual, ordinary import of the language employed in framing them.’ </w:t>
      </w:r>
      <w:r w:rsidR="00A40970">
        <w:rPr>
          <w:rFonts w:cs="Times New Roman"/>
          <w:szCs w:val="26"/>
        </w:rPr>
        <w:t xml:space="preserve"> </w:t>
      </w:r>
      <w:r w:rsidRPr="00DB2C56">
        <w:rPr>
          <w:rFonts w:cs="Times New Roman"/>
          <w:szCs w:val="26"/>
        </w:rPr>
        <w:t xml:space="preserve">[Citations.]” </w:t>
      </w:r>
      <w:r w:rsidR="00A40970">
        <w:rPr>
          <w:rFonts w:cs="Times New Roman"/>
          <w:szCs w:val="26"/>
        </w:rPr>
        <w:t xml:space="preserve"> </w:t>
      </w:r>
      <w:r w:rsidRPr="00DB2C56">
        <w:rPr>
          <w:rFonts w:cs="Times New Roman"/>
          <w:szCs w:val="26"/>
        </w:rPr>
        <w:t xml:space="preserve">[Citations.] </w:t>
      </w:r>
      <w:r w:rsidR="00A40970">
        <w:rPr>
          <w:rFonts w:cs="Times New Roman"/>
          <w:szCs w:val="26"/>
        </w:rPr>
        <w:t xml:space="preserve"> </w:t>
      </w:r>
      <w:r w:rsidRPr="00DB2C56">
        <w:rPr>
          <w:rFonts w:cs="Times New Roman"/>
          <w:szCs w:val="26"/>
        </w:rPr>
        <w:t>“</w:t>
      </w:r>
      <w:r w:rsidR="00A40970">
        <w:rPr>
          <w:rFonts w:cs="Times New Roman"/>
          <w:szCs w:val="26"/>
        </w:rPr>
        <w:t> </w:t>
      </w:r>
      <w:r w:rsidRPr="00DB2C56">
        <w:rPr>
          <w:rFonts w:cs="Times New Roman"/>
          <w:szCs w:val="26"/>
        </w:rPr>
        <w:t>‘If possible, significance should be given to every word, phrase, sentence and part of an act in pursuance of the legislative purpose.’</w:t>
      </w:r>
      <w:r w:rsidR="00A40970">
        <w:rPr>
          <w:rFonts w:cs="Times New Roman"/>
          <w:szCs w:val="26"/>
        </w:rPr>
        <w:t> </w:t>
      </w:r>
      <w:r w:rsidRPr="00DB2C56">
        <w:rPr>
          <w:rFonts w:cs="Times New Roman"/>
          <w:szCs w:val="26"/>
        </w:rPr>
        <w:t>”</w:t>
      </w:r>
      <w:r w:rsidR="00A40970">
        <w:rPr>
          <w:rFonts w:cs="Times New Roman"/>
          <w:szCs w:val="26"/>
        </w:rPr>
        <w:t> </w:t>
      </w:r>
      <w:r w:rsidRPr="00DB2C56">
        <w:rPr>
          <w:rFonts w:cs="Times New Roman"/>
          <w:szCs w:val="26"/>
        </w:rPr>
        <w:t>’</w:t>
      </w:r>
      <w:r w:rsidR="00A40970">
        <w:rPr>
          <w:rFonts w:cs="Times New Roman"/>
          <w:szCs w:val="26"/>
        </w:rPr>
        <w:t> </w:t>
      </w:r>
      <w:r w:rsidRPr="00DB2C56">
        <w:rPr>
          <w:rFonts w:cs="Times New Roman"/>
          <w:szCs w:val="26"/>
        </w:rPr>
        <w:t xml:space="preserve">” </w:t>
      </w:r>
      <w:r w:rsidR="00052DBF">
        <w:rPr>
          <w:rFonts w:cs="Times New Roman"/>
          <w:szCs w:val="26"/>
        </w:rPr>
        <w:t xml:space="preserve"> </w:t>
      </w:r>
      <w:r w:rsidRPr="00DB2C56">
        <w:rPr>
          <w:rFonts w:cs="Times New Roman"/>
          <w:szCs w:val="26"/>
        </w:rPr>
        <w:t>(</w:t>
      </w:r>
      <w:r w:rsidRPr="00DB2C56">
        <w:rPr>
          <w:rFonts w:cs="Times New Roman"/>
          <w:i/>
          <w:iCs/>
          <w:szCs w:val="26"/>
        </w:rPr>
        <w:t>Phelps v. Stostad</w:t>
      </w:r>
      <w:r w:rsidRPr="00DB2C56">
        <w:rPr>
          <w:rFonts w:cs="Times New Roman"/>
          <w:szCs w:val="26"/>
        </w:rPr>
        <w:t xml:space="preserve"> (1997) 16</w:t>
      </w:r>
      <w:r w:rsidR="00A40970">
        <w:rPr>
          <w:rFonts w:cs="Times New Roman"/>
          <w:szCs w:val="26"/>
        </w:rPr>
        <w:t> </w:t>
      </w:r>
      <w:r w:rsidRPr="00DB2C56">
        <w:rPr>
          <w:rFonts w:cs="Times New Roman"/>
          <w:szCs w:val="26"/>
        </w:rPr>
        <w:t>Cal.4th 23, 32.)</w:t>
      </w:r>
    </w:p>
    <w:p w:rsidR="006B62A0" w:rsidP="006B62A0" w14:paraId="2071FFE8" w14:textId="435D884D">
      <w:pPr>
        <w:spacing w:after="0" w:line="480" w:lineRule="atLeast"/>
        <w:rPr>
          <w:rFonts w:cs="Times New Roman"/>
          <w:szCs w:val="26"/>
        </w:rPr>
      </w:pPr>
      <w:r>
        <w:rPr>
          <w:rFonts w:cs="Times New Roman"/>
          <w:szCs w:val="26"/>
        </w:rPr>
        <w:tab/>
      </w:r>
      <w:r w:rsidRPr="00887BFD">
        <w:rPr>
          <w:rFonts w:cs="Times New Roman"/>
          <w:szCs w:val="26"/>
        </w:rPr>
        <w:t>The FEHA prohibits employment discrimination based on various protected classifications</w:t>
      </w:r>
      <w:r>
        <w:rPr>
          <w:rFonts w:cs="Times New Roman"/>
          <w:szCs w:val="26"/>
        </w:rPr>
        <w:t xml:space="preserve">, including sex and physical disability.  </w:t>
      </w:r>
      <w:r w:rsidRPr="00887BFD">
        <w:rPr>
          <w:rFonts w:cs="Times New Roman"/>
          <w:szCs w:val="26"/>
        </w:rPr>
        <w:t>(§</w:t>
      </w:r>
      <w:r w:rsidR="00A40970">
        <w:rPr>
          <w:rFonts w:cs="Times New Roman"/>
          <w:szCs w:val="26"/>
        </w:rPr>
        <w:t> </w:t>
      </w:r>
      <w:r w:rsidRPr="00887BFD">
        <w:rPr>
          <w:rFonts w:cs="Times New Roman"/>
          <w:szCs w:val="26"/>
        </w:rPr>
        <w:t xml:space="preserve">12940 </w:t>
      </w:r>
      <w:r>
        <w:rPr>
          <w:rFonts w:cs="Times New Roman"/>
          <w:szCs w:val="26"/>
        </w:rPr>
        <w:t>et seq</w:t>
      </w:r>
      <w:r w:rsidR="00A40970">
        <w:rPr>
          <w:rFonts w:cs="Times New Roman"/>
          <w:szCs w:val="26"/>
        </w:rPr>
        <w:t>.</w:t>
      </w:r>
      <w:r w:rsidRPr="00887BFD">
        <w:rPr>
          <w:rFonts w:cs="Times New Roman"/>
          <w:szCs w:val="26"/>
        </w:rPr>
        <w:t xml:space="preserve">; see also </w:t>
      </w:r>
      <w:bookmarkStart w:id="0" w:name="_Hlk160532022"/>
      <w:r w:rsidRPr="00887BFD">
        <w:rPr>
          <w:rFonts w:cs="Times New Roman"/>
          <w:szCs w:val="26"/>
        </w:rPr>
        <w:t>Cal. Const.</w:t>
      </w:r>
      <w:r w:rsidR="00A40970">
        <w:rPr>
          <w:rFonts w:cs="Times New Roman"/>
          <w:szCs w:val="26"/>
        </w:rPr>
        <w:t>,</w:t>
      </w:r>
      <w:r w:rsidRPr="00887BFD">
        <w:rPr>
          <w:rFonts w:cs="Times New Roman"/>
          <w:szCs w:val="26"/>
        </w:rPr>
        <w:t xml:space="preserve"> art I, §</w:t>
      </w:r>
      <w:r w:rsidR="00A40970">
        <w:rPr>
          <w:rFonts w:cs="Times New Roman"/>
          <w:szCs w:val="26"/>
        </w:rPr>
        <w:t> </w:t>
      </w:r>
      <w:r w:rsidRPr="00887BFD">
        <w:rPr>
          <w:rFonts w:cs="Times New Roman"/>
          <w:szCs w:val="26"/>
        </w:rPr>
        <w:t>1</w:t>
      </w:r>
      <w:bookmarkEnd w:id="0"/>
      <w:r w:rsidRPr="00887BFD">
        <w:rPr>
          <w:rFonts w:cs="Times New Roman"/>
          <w:szCs w:val="26"/>
        </w:rPr>
        <w:t xml:space="preserve">.) </w:t>
      </w:r>
      <w:r>
        <w:rPr>
          <w:rFonts w:cs="Times New Roman"/>
          <w:szCs w:val="26"/>
        </w:rPr>
        <w:t xml:space="preserve"> In 2019, when appellant filed her complaint, section 12940, subdivision (a) stated, in relevant part, that it is unlawful for an employer to refuse to hire, discharge, or discriminate in terms of employment “</w:t>
      </w:r>
      <w:r w:rsidRPr="002E629F">
        <w:rPr>
          <w:rFonts w:cs="Times New Roman"/>
          <w:szCs w:val="26"/>
        </w:rPr>
        <w:t xml:space="preserve">because of </w:t>
      </w:r>
      <w:r>
        <w:rPr>
          <w:rFonts w:cs="Times New Roman"/>
          <w:szCs w:val="26"/>
        </w:rPr>
        <w:t>.</w:t>
      </w:r>
      <w:r w:rsidR="00A40970">
        <w:rPr>
          <w:rFonts w:cs="Times New Roman"/>
          <w:szCs w:val="26"/>
        </w:rPr>
        <w:t> </w:t>
      </w:r>
      <w:r>
        <w:rPr>
          <w:rFonts w:cs="Times New Roman"/>
          <w:szCs w:val="26"/>
        </w:rPr>
        <w:t>.</w:t>
      </w:r>
      <w:r w:rsidR="00A40970">
        <w:rPr>
          <w:rFonts w:cs="Times New Roman"/>
          <w:szCs w:val="26"/>
        </w:rPr>
        <w:t> </w:t>
      </w:r>
      <w:r>
        <w:rPr>
          <w:rFonts w:cs="Times New Roman"/>
          <w:szCs w:val="26"/>
        </w:rPr>
        <w:t xml:space="preserve">. </w:t>
      </w:r>
      <w:r w:rsidRPr="002E629F">
        <w:rPr>
          <w:rFonts w:cs="Times New Roman"/>
          <w:szCs w:val="26"/>
        </w:rPr>
        <w:t>physical disability</w:t>
      </w:r>
      <w:r>
        <w:rPr>
          <w:rFonts w:cs="Times New Roman"/>
          <w:szCs w:val="26"/>
        </w:rPr>
        <w:t>,</w:t>
      </w:r>
      <w:r w:rsidRPr="002E629F">
        <w:rPr>
          <w:rFonts w:cs="Times New Roman"/>
          <w:szCs w:val="26"/>
        </w:rPr>
        <w:t xml:space="preserve"> </w:t>
      </w:r>
      <w:r w:rsidRPr="00597314">
        <w:rPr>
          <w:rFonts w:cs="Times New Roman"/>
          <w:szCs w:val="26"/>
        </w:rPr>
        <w:t xml:space="preserve">mental disability, medical condition, </w:t>
      </w:r>
      <w:r>
        <w:rPr>
          <w:rFonts w:cs="Times New Roman"/>
          <w:szCs w:val="26"/>
        </w:rPr>
        <w:t>.</w:t>
      </w:r>
      <w:r w:rsidR="00A40970">
        <w:rPr>
          <w:rFonts w:cs="Times New Roman"/>
          <w:szCs w:val="26"/>
        </w:rPr>
        <w:t> </w:t>
      </w:r>
      <w:r>
        <w:rPr>
          <w:rFonts w:cs="Times New Roman"/>
          <w:szCs w:val="26"/>
        </w:rPr>
        <w:t>.</w:t>
      </w:r>
      <w:r w:rsidR="00A40970">
        <w:rPr>
          <w:rFonts w:cs="Times New Roman"/>
          <w:szCs w:val="26"/>
        </w:rPr>
        <w:t> </w:t>
      </w:r>
      <w:r>
        <w:rPr>
          <w:rFonts w:cs="Times New Roman"/>
          <w:szCs w:val="26"/>
        </w:rPr>
        <w:t>. [or]</w:t>
      </w:r>
      <w:r w:rsidRPr="00597314">
        <w:rPr>
          <w:rFonts w:cs="Times New Roman"/>
          <w:szCs w:val="26"/>
        </w:rPr>
        <w:t xml:space="preserve"> sex</w:t>
      </w:r>
      <w:r>
        <w:rPr>
          <w:rFonts w:cs="Times New Roman"/>
          <w:szCs w:val="26"/>
        </w:rPr>
        <w:t>.”</w:t>
      </w:r>
      <w:r>
        <w:rPr>
          <w:rStyle w:val="FootnoteReference"/>
          <w:rFonts w:cs="Times New Roman"/>
          <w:szCs w:val="26"/>
        </w:rPr>
        <w:footnoteReference w:id="4"/>
      </w:r>
      <w:r>
        <w:rPr>
          <w:rFonts w:cs="Times New Roman"/>
          <w:szCs w:val="26"/>
        </w:rPr>
        <w:t xml:space="preserve">  </w:t>
      </w:r>
      <w:r w:rsidRPr="0088342E">
        <w:rPr>
          <w:rFonts w:cs="Times New Roman"/>
          <w:szCs w:val="26"/>
        </w:rPr>
        <w:t>Section 12926, subdivision (</w:t>
      </w:r>
      <w:r>
        <w:rPr>
          <w:rFonts w:cs="Times New Roman"/>
          <w:szCs w:val="26"/>
        </w:rPr>
        <w:t>r</w:t>
      </w:r>
      <w:r w:rsidRPr="0088342E">
        <w:rPr>
          <w:rFonts w:cs="Times New Roman"/>
          <w:szCs w:val="26"/>
        </w:rPr>
        <w:t>)</w:t>
      </w:r>
      <w:r>
        <w:rPr>
          <w:rFonts w:cs="Times New Roman"/>
          <w:szCs w:val="26"/>
        </w:rPr>
        <w:t xml:space="preserve"> defines “</w:t>
      </w:r>
      <w:r w:rsidR="00052DBF">
        <w:rPr>
          <w:rFonts w:cs="Times New Roman"/>
          <w:szCs w:val="26"/>
        </w:rPr>
        <w:t> ‘[</w:t>
      </w:r>
      <w:r>
        <w:rPr>
          <w:rFonts w:cs="Times New Roman"/>
          <w:szCs w:val="26"/>
        </w:rPr>
        <w:t>s</w:t>
      </w:r>
      <w:r w:rsidR="00052DBF">
        <w:rPr>
          <w:rFonts w:cs="Times New Roman"/>
          <w:szCs w:val="26"/>
        </w:rPr>
        <w:t>]</w:t>
      </w:r>
      <w:r>
        <w:rPr>
          <w:rFonts w:cs="Times New Roman"/>
          <w:szCs w:val="26"/>
        </w:rPr>
        <w:t>ex</w:t>
      </w:r>
      <w:r w:rsidR="00052DBF">
        <w:rPr>
          <w:rFonts w:cs="Times New Roman"/>
          <w:szCs w:val="26"/>
        </w:rPr>
        <w:t>’ </w:t>
      </w:r>
      <w:r>
        <w:rPr>
          <w:rFonts w:cs="Times New Roman"/>
          <w:szCs w:val="26"/>
        </w:rPr>
        <w:t xml:space="preserve">” as used in </w:t>
      </w:r>
      <w:r w:rsidR="00A40970">
        <w:rPr>
          <w:rFonts w:cs="Times New Roman"/>
          <w:szCs w:val="26"/>
        </w:rPr>
        <w:t>section</w:t>
      </w:r>
      <w:r w:rsidR="001D5E9E">
        <w:rPr>
          <w:rFonts w:cs="Times New Roman"/>
          <w:szCs w:val="26"/>
        </w:rPr>
        <w:t xml:space="preserve"> </w:t>
      </w:r>
      <w:r>
        <w:rPr>
          <w:rFonts w:cs="Times New Roman"/>
          <w:szCs w:val="26"/>
        </w:rPr>
        <w:t>12940 as including, among others, “pregnancy or medical conditions related to pregnancy</w:t>
      </w:r>
      <w:r w:rsidRPr="00143761">
        <w:rPr>
          <w:rFonts w:cs="Times New Roman"/>
          <w:szCs w:val="26"/>
        </w:rPr>
        <w:t>.</w:t>
      </w:r>
      <w:r>
        <w:rPr>
          <w:rFonts w:cs="Times New Roman"/>
          <w:szCs w:val="26"/>
        </w:rPr>
        <w:t>”</w:t>
      </w:r>
      <w:r w:rsidRPr="00143761">
        <w:rPr>
          <w:rFonts w:cs="Times New Roman"/>
          <w:szCs w:val="26"/>
        </w:rPr>
        <w:t xml:space="preserve"> </w:t>
      </w:r>
      <w:r w:rsidR="00A40970">
        <w:rPr>
          <w:rFonts w:cs="Times New Roman"/>
          <w:szCs w:val="26"/>
        </w:rPr>
        <w:t xml:space="preserve"> </w:t>
      </w:r>
      <w:r w:rsidRPr="00143761">
        <w:rPr>
          <w:rFonts w:cs="Times New Roman"/>
          <w:szCs w:val="26"/>
        </w:rPr>
        <w:t>(§</w:t>
      </w:r>
      <w:r w:rsidR="00A40970">
        <w:rPr>
          <w:rFonts w:cs="Times New Roman"/>
          <w:szCs w:val="26"/>
        </w:rPr>
        <w:t> </w:t>
      </w:r>
      <w:r w:rsidRPr="00143761">
        <w:rPr>
          <w:rFonts w:cs="Times New Roman"/>
          <w:szCs w:val="26"/>
        </w:rPr>
        <w:t xml:space="preserve">12926, subd. (r); </w:t>
      </w:r>
      <w:r w:rsidRPr="00887BFD">
        <w:rPr>
          <w:rFonts w:cs="Times New Roman"/>
          <w:szCs w:val="26"/>
        </w:rPr>
        <w:t>Cal. Const.</w:t>
      </w:r>
      <w:r w:rsidR="00A40970">
        <w:rPr>
          <w:rFonts w:cs="Times New Roman"/>
          <w:szCs w:val="26"/>
        </w:rPr>
        <w:t>,</w:t>
      </w:r>
      <w:r w:rsidRPr="00887BFD">
        <w:rPr>
          <w:rFonts w:cs="Times New Roman"/>
          <w:szCs w:val="26"/>
        </w:rPr>
        <w:t xml:space="preserve"> art I, §</w:t>
      </w:r>
      <w:r w:rsidR="00A40970">
        <w:rPr>
          <w:rFonts w:cs="Times New Roman"/>
          <w:szCs w:val="26"/>
        </w:rPr>
        <w:t> </w:t>
      </w:r>
      <w:r>
        <w:rPr>
          <w:rFonts w:cs="Times New Roman"/>
          <w:szCs w:val="26"/>
        </w:rPr>
        <w:t xml:space="preserve">8; </w:t>
      </w:r>
      <w:r w:rsidRPr="00143761">
        <w:rPr>
          <w:rFonts w:cs="Times New Roman"/>
          <w:szCs w:val="26"/>
        </w:rPr>
        <w:t>see</w:t>
      </w:r>
      <w:r w:rsidR="00A40970">
        <w:rPr>
          <w:rFonts w:cs="Times New Roman"/>
          <w:szCs w:val="26"/>
        </w:rPr>
        <w:t>,</w:t>
      </w:r>
      <w:r w:rsidRPr="00143761">
        <w:rPr>
          <w:rFonts w:cs="Times New Roman"/>
          <w:szCs w:val="26"/>
        </w:rPr>
        <w:t xml:space="preserve"> </w:t>
      </w:r>
      <w:r>
        <w:rPr>
          <w:rFonts w:cs="Times New Roman"/>
          <w:szCs w:val="26"/>
        </w:rPr>
        <w:t>e.g.,</w:t>
      </w:r>
      <w:r w:rsidRPr="00143761">
        <w:rPr>
          <w:rFonts w:cs="Times New Roman"/>
          <w:szCs w:val="26"/>
        </w:rPr>
        <w:t xml:space="preserve"> </w:t>
      </w:r>
      <w:r w:rsidRPr="00143761">
        <w:rPr>
          <w:rFonts w:cs="Times New Roman"/>
          <w:i/>
          <w:iCs/>
          <w:szCs w:val="26"/>
        </w:rPr>
        <w:t>Badih v. Myers</w:t>
      </w:r>
      <w:r w:rsidRPr="00143761">
        <w:rPr>
          <w:rFonts w:cs="Times New Roman"/>
          <w:szCs w:val="26"/>
        </w:rPr>
        <w:t xml:space="preserve"> (1995) 36</w:t>
      </w:r>
      <w:r w:rsidR="00A40970">
        <w:rPr>
          <w:rFonts w:cs="Times New Roman"/>
          <w:szCs w:val="26"/>
        </w:rPr>
        <w:t> </w:t>
      </w:r>
      <w:r w:rsidRPr="00143761">
        <w:rPr>
          <w:rFonts w:cs="Times New Roman"/>
          <w:szCs w:val="26"/>
        </w:rPr>
        <w:t>Cal.App.4th 1289</w:t>
      </w:r>
      <w:r>
        <w:rPr>
          <w:rFonts w:cs="Times New Roman"/>
          <w:szCs w:val="26"/>
        </w:rPr>
        <w:t>, 1295</w:t>
      </w:r>
      <w:r w:rsidRPr="00887BFD">
        <w:rPr>
          <w:rFonts w:cs="Times New Roman"/>
          <w:szCs w:val="26"/>
        </w:rPr>
        <w:t>.)</w:t>
      </w:r>
      <w:r w:rsidRPr="0088342E">
        <w:rPr>
          <w:rFonts w:cs="Times New Roman"/>
          <w:szCs w:val="26"/>
        </w:rPr>
        <w:t xml:space="preserve"> </w:t>
      </w:r>
      <w:r>
        <w:rPr>
          <w:rFonts w:cs="Times New Roman"/>
          <w:szCs w:val="26"/>
        </w:rPr>
        <w:t xml:space="preserve"> </w:t>
      </w:r>
    </w:p>
    <w:p w:rsidR="006B62A0" w:rsidP="006B62A0" w14:paraId="50731B81" w14:textId="6631D1FD">
      <w:pPr>
        <w:spacing w:after="0" w:line="480" w:lineRule="atLeast"/>
        <w:ind w:firstLine="720"/>
        <w:rPr>
          <w:rFonts w:cs="Times New Roman"/>
          <w:szCs w:val="26"/>
        </w:rPr>
      </w:pPr>
      <w:r w:rsidRPr="00887BFD">
        <w:rPr>
          <w:rFonts w:cs="Times New Roman"/>
          <w:szCs w:val="26"/>
        </w:rPr>
        <w:t xml:space="preserve">Section 12945 of </w:t>
      </w:r>
      <w:r>
        <w:rPr>
          <w:rFonts w:cs="Times New Roman"/>
          <w:szCs w:val="26"/>
        </w:rPr>
        <w:t xml:space="preserve">the </w:t>
      </w:r>
      <w:r w:rsidRPr="00887BFD">
        <w:rPr>
          <w:rFonts w:cs="Times New Roman"/>
          <w:szCs w:val="26"/>
        </w:rPr>
        <w:t xml:space="preserve">FEHA, </w:t>
      </w:r>
      <w:r>
        <w:rPr>
          <w:rFonts w:cs="Times New Roman"/>
          <w:szCs w:val="26"/>
        </w:rPr>
        <w:t xml:space="preserve">known as the Pregnancy Disability Leave Law (PDLL), </w:t>
      </w:r>
      <w:r w:rsidRPr="00887BFD">
        <w:rPr>
          <w:rFonts w:cs="Times New Roman"/>
          <w:szCs w:val="26"/>
        </w:rPr>
        <w:t>is based on the federal Pregnancy Discrimination Act (PDA) (42</w:t>
      </w:r>
      <w:r w:rsidR="005B532B">
        <w:rPr>
          <w:rFonts w:cs="Times New Roman"/>
          <w:szCs w:val="26"/>
        </w:rPr>
        <w:t> </w:t>
      </w:r>
      <w:r w:rsidRPr="00887BFD">
        <w:rPr>
          <w:rFonts w:cs="Times New Roman"/>
          <w:szCs w:val="26"/>
        </w:rPr>
        <w:t>U.S.C. §</w:t>
      </w:r>
      <w:r w:rsidR="00DB0C3A">
        <w:rPr>
          <w:rFonts w:cs="Times New Roman"/>
          <w:szCs w:val="26"/>
        </w:rPr>
        <w:t> </w:t>
      </w:r>
      <w:r w:rsidRPr="00887BFD">
        <w:rPr>
          <w:rFonts w:cs="Times New Roman"/>
          <w:szCs w:val="26"/>
        </w:rPr>
        <w:t>2000e(k))</w:t>
      </w:r>
      <w:r>
        <w:rPr>
          <w:rFonts w:cs="Times New Roman"/>
          <w:szCs w:val="26"/>
        </w:rPr>
        <w:t xml:space="preserve"> and</w:t>
      </w:r>
      <w:r w:rsidRPr="00887BFD">
        <w:rPr>
          <w:rFonts w:cs="Times New Roman"/>
          <w:szCs w:val="26"/>
        </w:rPr>
        <w:t xml:space="preserve"> ensures equal employment opportunity </w:t>
      </w:r>
      <w:r>
        <w:rPr>
          <w:rFonts w:cs="Times New Roman"/>
          <w:szCs w:val="26"/>
        </w:rPr>
        <w:t>by affording</w:t>
      </w:r>
      <w:r w:rsidRPr="00887BFD">
        <w:rPr>
          <w:rFonts w:cs="Times New Roman"/>
          <w:szCs w:val="26"/>
        </w:rPr>
        <w:t xml:space="preserve"> specific protections for pregnant employees. </w:t>
      </w:r>
      <w:r w:rsidR="005B532B">
        <w:rPr>
          <w:rFonts w:cs="Times New Roman"/>
          <w:szCs w:val="26"/>
        </w:rPr>
        <w:t xml:space="preserve"> </w:t>
      </w:r>
      <w:r w:rsidRPr="00887BFD">
        <w:rPr>
          <w:rFonts w:cs="Times New Roman"/>
          <w:szCs w:val="26"/>
        </w:rPr>
        <w:t>(</w:t>
      </w:r>
      <w:r w:rsidRPr="00887BFD">
        <w:rPr>
          <w:rFonts w:cs="Times New Roman"/>
          <w:i/>
          <w:iCs/>
          <w:szCs w:val="26"/>
        </w:rPr>
        <w:t>Williams v. MacFrugal</w:t>
      </w:r>
      <w:r>
        <w:rPr>
          <w:rFonts w:cs="Times New Roman"/>
          <w:i/>
          <w:iCs/>
          <w:szCs w:val="26"/>
        </w:rPr>
        <w:t>’</w:t>
      </w:r>
      <w:r w:rsidRPr="00887BFD">
        <w:rPr>
          <w:rFonts w:cs="Times New Roman"/>
          <w:i/>
          <w:iCs/>
          <w:szCs w:val="26"/>
        </w:rPr>
        <w:t>s Bargains</w:t>
      </w:r>
      <w:r w:rsidR="00665861">
        <w:rPr>
          <w:rFonts w:cs="Times New Roman"/>
          <w:i/>
          <w:iCs/>
          <w:szCs w:val="26"/>
        </w:rPr>
        <w:t xml:space="preserve"> </w:t>
      </w:r>
      <w:r w:rsidRPr="00887BFD">
        <w:rPr>
          <w:rFonts w:cs="Times New Roman"/>
          <w:i/>
          <w:iCs/>
          <w:szCs w:val="26"/>
        </w:rPr>
        <w:t>-</w:t>
      </w:r>
      <w:r w:rsidR="00665861">
        <w:rPr>
          <w:rFonts w:cs="Times New Roman"/>
          <w:i/>
          <w:iCs/>
          <w:szCs w:val="26"/>
        </w:rPr>
        <w:t xml:space="preserve"> </w:t>
      </w:r>
      <w:r w:rsidRPr="00887BFD">
        <w:rPr>
          <w:rFonts w:cs="Times New Roman"/>
          <w:i/>
          <w:iCs/>
          <w:szCs w:val="26"/>
        </w:rPr>
        <w:t>Close-</w:t>
      </w:r>
      <w:r w:rsidR="00665861">
        <w:rPr>
          <w:rFonts w:cs="Times New Roman"/>
          <w:i/>
          <w:iCs/>
          <w:szCs w:val="26"/>
        </w:rPr>
        <w:t>o</w:t>
      </w:r>
      <w:r w:rsidRPr="00887BFD">
        <w:rPr>
          <w:rFonts w:cs="Times New Roman"/>
          <w:i/>
          <w:iCs/>
          <w:szCs w:val="26"/>
        </w:rPr>
        <w:t>uts, Inc.</w:t>
      </w:r>
      <w:r w:rsidRPr="00887BFD">
        <w:rPr>
          <w:rFonts w:cs="Times New Roman"/>
          <w:szCs w:val="26"/>
        </w:rPr>
        <w:t xml:space="preserve"> (1998) 67</w:t>
      </w:r>
      <w:r w:rsidR="005B532B">
        <w:rPr>
          <w:rFonts w:cs="Times New Roman"/>
          <w:szCs w:val="26"/>
        </w:rPr>
        <w:t> </w:t>
      </w:r>
      <w:r w:rsidRPr="00887BFD">
        <w:rPr>
          <w:rFonts w:cs="Times New Roman"/>
          <w:szCs w:val="26"/>
        </w:rPr>
        <w:t>Cal.App.4</w:t>
      </w:r>
      <w:r w:rsidRPr="00E1048B">
        <w:rPr>
          <w:rFonts w:cs="Times New Roman"/>
          <w:szCs w:val="26"/>
        </w:rPr>
        <w:t>th</w:t>
      </w:r>
      <w:r w:rsidRPr="00887BFD">
        <w:rPr>
          <w:rFonts w:cs="Times New Roman"/>
          <w:szCs w:val="26"/>
        </w:rPr>
        <w:t xml:space="preserve"> 479, 483</w:t>
      </w:r>
      <w:r w:rsidR="001E12C8">
        <w:rPr>
          <w:rFonts w:cs="Times New Roman"/>
          <w:szCs w:val="26"/>
        </w:rPr>
        <w:t xml:space="preserve"> (</w:t>
      </w:r>
      <w:r w:rsidRPr="00E1048B" w:rsidR="001E12C8">
        <w:rPr>
          <w:rFonts w:cs="Times New Roman"/>
          <w:i/>
          <w:iCs/>
          <w:szCs w:val="26"/>
        </w:rPr>
        <w:t>Williams</w:t>
      </w:r>
      <w:r w:rsidR="001E12C8">
        <w:rPr>
          <w:rFonts w:cs="Times New Roman"/>
          <w:szCs w:val="26"/>
        </w:rPr>
        <w:t>)</w:t>
      </w:r>
      <w:r w:rsidRPr="00887BFD">
        <w:rPr>
          <w:rFonts w:cs="Times New Roman"/>
          <w:szCs w:val="26"/>
        </w:rPr>
        <w:t xml:space="preserve">; </w:t>
      </w:r>
      <w:r w:rsidRPr="00887BFD">
        <w:rPr>
          <w:rFonts w:cs="Times New Roman"/>
          <w:i/>
          <w:iCs/>
          <w:szCs w:val="26"/>
        </w:rPr>
        <w:t>Badih v. Myers, supra</w:t>
      </w:r>
      <w:r w:rsidRPr="00887BFD">
        <w:rPr>
          <w:rFonts w:cs="Times New Roman"/>
          <w:szCs w:val="26"/>
        </w:rPr>
        <w:t>, 36</w:t>
      </w:r>
      <w:r w:rsidR="005B532B">
        <w:rPr>
          <w:rFonts w:cs="Times New Roman"/>
          <w:szCs w:val="26"/>
        </w:rPr>
        <w:t> </w:t>
      </w:r>
      <w:r w:rsidRPr="00887BFD">
        <w:rPr>
          <w:rFonts w:cs="Times New Roman"/>
          <w:szCs w:val="26"/>
        </w:rPr>
        <w:t>Cal.App.4</w:t>
      </w:r>
      <w:r w:rsidRPr="00E1048B">
        <w:rPr>
          <w:rFonts w:cs="Times New Roman"/>
          <w:szCs w:val="26"/>
        </w:rPr>
        <w:t>th</w:t>
      </w:r>
      <w:r w:rsidRPr="00887BFD">
        <w:rPr>
          <w:rFonts w:cs="Times New Roman"/>
          <w:szCs w:val="26"/>
        </w:rPr>
        <w:t xml:space="preserve"> at p.</w:t>
      </w:r>
      <w:r w:rsidR="005B532B">
        <w:rPr>
          <w:rFonts w:cs="Times New Roman"/>
          <w:szCs w:val="26"/>
        </w:rPr>
        <w:t> </w:t>
      </w:r>
      <w:r w:rsidRPr="00887BFD">
        <w:rPr>
          <w:rFonts w:cs="Times New Roman"/>
          <w:szCs w:val="26"/>
        </w:rPr>
        <w:t xml:space="preserve">1294.) </w:t>
      </w:r>
      <w:r>
        <w:rPr>
          <w:rFonts w:cs="Times New Roman"/>
          <w:szCs w:val="26"/>
        </w:rPr>
        <w:t xml:space="preserve"> </w:t>
      </w:r>
      <w:r w:rsidRPr="0088342E">
        <w:rPr>
          <w:rFonts w:cs="Times New Roman"/>
          <w:szCs w:val="26"/>
        </w:rPr>
        <w:t xml:space="preserve">Section 12945 </w:t>
      </w:r>
      <w:r w:rsidRPr="003A2FCD">
        <w:rPr>
          <w:rFonts w:cs="Times New Roman"/>
          <w:szCs w:val="26"/>
        </w:rPr>
        <w:t>supplements provisions of section</w:t>
      </w:r>
      <w:r w:rsidR="008A2C79">
        <w:rPr>
          <w:rFonts w:cs="Times New Roman"/>
          <w:szCs w:val="26"/>
        </w:rPr>
        <w:t>s</w:t>
      </w:r>
      <w:r w:rsidRPr="003A2FCD">
        <w:rPr>
          <w:rFonts w:cs="Times New Roman"/>
          <w:szCs w:val="26"/>
        </w:rPr>
        <w:t xml:space="preserve"> 12926 and 12940 that apply to pregnancy-related </w:t>
      </w:r>
      <w:r>
        <w:rPr>
          <w:rFonts w:cs="Times New Roman"/>
          <w:szCs w:val="26"/>
        </w:rPr>
        <w:t xml:space="preserve">medical </w:t>
      </w:r>
      <w:r w:rsidRPr="003A2FCD">
        <w:rPr>
          <w:rFonts w:cs="Times New Roman"/>
          <w:szCs w:val="26"/>
        </w:rPr>
        <w:t>conditions by delineating additional employment practices that are unlawful “unless based upon a bona fide occupational qualification.”</w:t>
      </w:r>
      <w:r w:rsidR="005B532B">
        <w:rPr>
          <w:rFonts w:cs="Times New Roman"/>
          <w:szCs w:val="26"/>
        </w:rPr>
        <w:t xml:space="preserve"> </w:t>
      </w:r>
      <w:r w:rsidRPr="003A2FCD">
        <w:rPr>
          <w:rFonts w:cs="Times New Roman"/>
          <w:szCs w:val="26"/>
        </w:rPr>
        <w:t xml:space="preserve"> (§</w:t>
      </w:r>
      <w:r w:rsidR="005B532B">
        <w:rPr>
          <w:rFonts w:cs="Times New Roman"/>
          <w:szCs w:val="26"/>
        </w:rPr>
        <w:t> </w:t>
      </w:r>
      <w:r w:rsidRPr="003A2FCD">
        <w:rPr>
          <w:rFonts w:cs="Times New Roman"/>
          <w:szCs w:val="26"/>
        </w:rPr>
        <w:t>12945, subd. (a).)</w:t>
      </w:r>
      <w:r>
        <w:rPr>
          <w:rFonts w:cs="Times New Roman"/>
          <w:szCs w:val="26"/>
        </w:rPr>
        <w:t xml:space="preserve">  </w:t>
      </w:r>
    </w:p>
    <w:p w:rsidR="006B62A0" w:rsidP="006B62A0" w14:paraId="6AF314DA" w14:textId="4E805555">
      <w:pPr>
        <w:spacing w:after="0" w:line="480" w:lineRule="atLeast"/>
        <w:ind w:firstLine="720"/>
        <w:rPr>
          <w:rFonts w:cs="Times New Roman"/>
          <w:szCs w:val="26"/>
        </w:rPr>
      </w:pPr>
      <w:r>
        <w:rPr>
          <w:rFonts w:cs="Times New Roman"/>
          <w:szCs w:val="26"/>
        </w:rPr>
        <w:t>S</w:t>
      </w:r>
      <w:r w:rsidRPr="00143761">
        <w:rPr>
          <w:rFonts w:cs="Times New Roman"/>
          <w:szCs w:val="26"/>
        </w:rPr>
        <w:t>ection 12945 addresses two distinct protections available to employees</w:t>
      </w:r>
      <w:r>
        <w:rPr>
          <w:rFonts w:cs="Times New Roman"/>
          <w:szCs w:val="26"/>
        </w:rPr>
        <w:t xml:space="preserve"> disabled by or in need of accommodation due to pregnancy, childbirth, or a related medical condition</w:t>
      </w:r>
      <w:r w:rsidRPr="00143761">
        <w:rPr>
          <w:rFonts w:cs="Times New Roman"/>
          <w:szCs w:val="26"/>
        </w:rPr>
        <w:t xml:space="preserve">. </w:t>
      </w:r>
      <w:r>
        <w:rPr>
          <w:rFonts w:cs="Times New Roman"/>
          <w:szCs w:val="26"/>
        </w:rPr>
        <w:t xml:space="preserve"> </w:t>
      </w:r>
      <w:r w:rsidRPr="00143761">
        <w:rPr>
          <w:rFonts w:cs="Times New Roman"/>
          <w:szCs w:val="26"/>
        </w:rPr>
        <w:t>First, employees disabled by such a condition are entitled to pregnancy-</w:t>
      </w:r>
      <w:r>
        <w:rPr>
          <w:rFonts w:cs="Times New Roman"/>
          <w:szCs w:val="26"/>
        </w:rPr>
        <w:t xml:space="preserve">related </w:t>
      </w:r>
      <w:r w:rsidRPr="00143761">
        <w:rPr>
          <w:rFonts w:cs="Times New Roman"/>
          <w:szCs w:val="26"/>
        </w:rPr>
        <w:t xml:space="preserve">disability leave. </w:t>
      </w:r>
      <w:r>
        <w:rPr>
          <w:rFonts w:cs="Times New Roman"/>
          <w:szCs w:val="26"/>
        </w:rPr>
        <w:t xml:space="preserve"> </w:t>
      </w:r>
      <w:r w:rsidRPr="00143761">
        <w:rPr>
          <w:rFonts w:cs="Times New Roman"/>
          <w:szCs w:val="26"/>
        </w:rPr>
        <w:t xml:space="preserve">Specifically, it is unlawful for an employer to refuse to allow an employee disabled by </w:t>
      </w:r>
      <w:r>
        <w:rPr>
          <w:rFonts w:cs="Times New Roman"/>
          <w:szCs w:val="26"/>
        </w:rPr>
        <w:t>pregnancy, childbirth</w:t>
      </w:r>
      <w:r w:rsidR="00052DBF">
        <w:rPr>
          <w:rFonts w:cs="Times New Roman"/>
          <w:szCs w:val="26"/>
        </w:rPr>
        <w:t>,</w:t>
      </w:r>
      <w:r>
        <w:rPr>
          <w:rFonts w:cs="Times New Roman"/>
          <w:szCs w:val="26"/>
        </w:rPr>
        <w:t xml:space="preserve"> or </w:t>
      </w:r>
      <w:r w:rsidRPr="00143761">
        <w:rPr>
          <w:rFonts w:cs="Times New Roman"/>
          <w:szCs w:val="26"/>
        </w:rPr>
        <w:t xml:space="preserve">a </w:t>
      </w:r>
      <w:r>
        <w:rPr>
          <w:rFonts w:cs="Times New Roman"/>
          <w:szCs w:val="26"/>
        </w:rPr>
        <w:t xml:space="preserve">related medical </w:t>
      </w:r>
      <w:r w:rsidRPr="00143761">
        <w:rPr>
          <w:rFonts w:cs="Times New Roman"/>
          <w:szCs w:val="26"/>
        </w:rPr>
        <w:t>condition to take a leave of absence for a reasonable period, not to exceed four months.</w:t>
      </w:r>
      <w:r w:rsidR="005B532B">
        <w:rPr>
          <w:rFonts w:cs="Times New Roman"/>
          <w:szCs w:val="26"/>
        </w:rPr>
        <w:t xml:space="preserve"> </w:t>
      </w:r>
      <w:r w:rsidRPr="00143761">
        <w:rPr>
          <w:rFonts w:cs="Times New Roman"/>
          <w:szCs w:val="26"/>
        </w:rPr>
        <w:t xml:space="preserve"> (§</w:t>
      </w:r>
      <w:r w:rsidR="005B532B">
        <w:rPr>
          <w:rFonts w:cs="Times New Roman"/>
          <w:szCs w:val="26"/>
        </w:rPr>
        <w:t> </w:t>
      </w:r>
      <w:r w:rsidRPr="00143761">
        <w:rPr>
          <w:rFonts w:cs="Times New Roman"/>
          <w:szCs w:val="26"/>
        </w:rPr>
        <w:t>12945</w:t>
      </w:r>
      <w:r>
        <w:rPr>
          <w:rFonts w:cs="Times New Roman"/>
          <w:szCs w:val="26"/>
        </w:rPr>
        <w:t xml:space="preserve">, subd. </w:t>
      </w:r>
      <w:r w:rsidRPr="00143761">
        <w:rPr>
          <w:rFonts w:cs="Times New Roman"/>
          <w:szCs w:val="26"/>
        </w:rPr>
        <w:t xml:space="preserve">(a)(1).) </w:t>
      </w:r>
      <w:r>
        <w:rPr>
          <w:rFonts w:cs="Times New Roman"/>
          <w:szCs w:val="26"/>
        </w:rPr>
        <w:t xml:space="preserve"> </w:t>
      </w:r>
      <w:r w:rsidRPr="00143761">
        <w:rPr>
          <w:rFonts w:cs="Times New Roman"/>
          <w:szCs w:val="26"/>
        </w:rPr>
        <w:t xml:space="preserve">Second, section 12945 entitles an employee to accommodation </w:t>
      </w:r>
      <w:r>
        <w:rPr>
          <w:rFonts w:cs="Times New Roman"/>
          <w:szCs w:val="26"/>
        </w:rPr>
        <w:t>“for</w:t>
      </w:r>
      <w:r w:rsidRPr="00143761">
        <w:rPr>
          <w:rFonts w:cs="Times New Roman"/>
          <w:szCs w:val="26"/>
        </w:rPr>
        <w:t xml:space="preserve"> a condition relat</w:t>
      </w:r>
      <w:r w:rsidR="00052DBF">
        <w:rPr>
          <w:rFonts w:cs="Times New Roman"/>
          <w:szCs w:val="26"/>
        </w:rPr>
        <w:t>ed</w:t>
      </w:r>
      <w:r w:rsidRPr="00143761">
        <w:rPr>
          <w:rFonts w:cs="Times New Roman"/>
          <w:szCs w:val="26"/>
        </w:rPr>
        <w:t xml:space="preserve"> to pregnancy</w:t>
      </w:r>
      <w:r>
        <w:rPr>
          <w:rFonts w:cs="Times New Roman"/>
          <w:szCs w:val="26"/>
        </w:rPr>
        <w:t>, childbirth, or related medical condition”</w:t>
      </w:r>
      <w:r w:rsidRPr="00143761">
        <w:rPr>
          <w:rFonts w:cs="Times New Roman"/>
          <w:szCs w:val="26"/>
        </w:rPr>
        <w:t xml:space="preserve"> if such accommodation is requested by the employee </w:t>
      </w:r>
      <w:r w:rsidRPr="00887BFD">
        <w:rPr>
          <w:rFonts w:cs="Times New Roman"/>
          <w:szCs w:val="26"/>
        </w:rPr>
        <w:t>and recommended by her health care provider</w:t>
      </w:r>
      <w:r w:rsidRPr="00143761">
        <w:rPr>
          <w:rFonts w:cs="Times New Roman"/>
          <w:szCs w:val="26"/>
        </w:rPr>
        <w:t>.</w:t>
      </w:r>
      <w:r w:rsidR="005B532B">
        <w:rPr>
          <w:rFonts w:cs="Times New Roman"/>
          <w:szCs w:val="26"/>
        </w:rPr>
        <w:t xml:space="preserve"> </w:t>
      </w:r>
      <w:r w:rsidRPr="00143761">
        <w:rPr>
          <w:rFonts w:cs="Times New Roman"/>
          <w:szCs w:val="26"/>
        </w:rPr>
        <w:t xml:space="preserve"> (§</w:t>
      </w:r>
      <w:r w:rsidR="005B532B">
        <w:rPr>
          <w:rFonts w:cs="Times New Roman"/>
          <w:szCs w:val="26"/>
        </w:rPr>
        <w:t> </w:t>
      </w:r>
      <w:r w:rsidRPr="00143761">
        <w:rPr>
          <w:rFonts w:cs="Times New Roman"/>
          <w:szCs w:val="26"/>
        </w:rPr>
        <w:t>12945</w:t>
      </w:r>
      <w:r w:rsidR="005B532B">
        <w:rPr>
          <w:rFonts w:cs="Times New Roman"/>
          <w:szCs w:val="26"/>
        </w:rPr>
        <w:t xml:space="preserve">, subd. </w:t>
      </w:r>
      <w:r w:rsidRPr="00143761">
        <w:rPr>
          <w:rFonts w:cs="Times New Roman"/>
          <w:szCs w:val="26"/>
        </w:rPr>
        <w:t>(a)(</w:t>
      </w:r>
      <w:r>
        <w:rPr>
          <w:rFonts w:cs="Times New Roman"/>
          <w:szCs w:val="26"/>
        </w:rPr>
        <w:t>3</w:t>
      </w:r>
      <w:r w:rsidRPr="00143761">
        <w:rPr>
          <w:rFonts w:cs="Times New Roman"/>
          <w:szCs w:val="26"/>
        </w:rPr>
        <w:t>)(A</w:t>
      </w:r>
      <w:r>
        <w:rPr>
          <w:rFonts w:cs="Times New Roman"/>
          <w:szCs w:val="26"/>
        </w:rPr>
        <w:t>)</w:t>
      </w:r>
      <w:r w:rsidRPr="00887BFD">
        <w:rPr>
          <w:rFonts w:cs="Times New Roman"/>
          <w:szCs w:val="26"/>
        </w:rPr>
        <w:t xml:space="preserve">.) </w:t>
      </w:r>
      <w:r>
        <w:rPr>
          <w:rFonts w:cs="Times New Roman"/>
          <w:szCs w:val="26"/>
        </w:rPr>
        <w:t xml:space="preserve"> In short, “</w:t>
      </w:r>
      <w:r w:rsidRPr="003A2FCD">
        <w:rPr>
          <w:rFonts w:cs="Times New Roman"/>
          <w:szCs w:val="26"/>
        </w:rPr>
        <w:t>section 12945 affords important protections to employees affected by pregnancy, over and above the protections of section 12940.</w:t>
      </w:r>
      <w:r>
        <w:rPr>
          <w:rFonts w:cs="Times New Roman"/>
          <w:szCs w:val="26"/>
        </w:rPr>
        <w:t>”  (</w:t>
      </w:r>
      <w:r w:rsidRPr="003A2FCD">
        <w:rPr>
          <w:rFonts w:cs="Times New Roman"/>
          <w:i/>
          <w:iCs/>
          <w:szCs w:val="26"/>
        </w:rPr>
        <w:t xml:space="preserve">Lopez v. La Casa </w:t>
      </w:r>
      <w:r w:rsidR="00052DBF">
        <w:rPr>
          <w:rFonts w:cs="Times New Roman"/>
          <w:i/>
          <w:iCs/>
          <w:szCs w:val="26"/>
        </w:rPr>
        <w:t>d</w:t>
      </w:r>
      <w:r w:rsidRPr="003A2FCD">
        <w:rPr>
          <w:rFonts w:cs="Times New Roman"/>
          <w:i/>
          <w:iCs/>
          <w:szCs w:val="26"/>
        </w:rPr>
        <w:t>e Las Madres</w:t>
      </w:r>
      <w:r w:rsidRPr="003A2FCD">
        <w:rPr>
          <w:rFonts w:cs="Times New Roman"/>
          <w:szCs w:val="26"/>
        </w:rPr>
        <w:t xml:space="preserve"> (2023) 89</w:t>
      </w:r>
      <w:r w:rsidR="005B532B">
        <w:rPr>
          <w:rFonts w:cs="Times New Roman"/>
          <w:szCs w:val="26"/>
        </w:rPr>
        <w:t> </w:t>
      </w:r>
      <w:r w:rsidRPr="003A2FCD">
        <w:rPr>
          <w:rFonts w:cs="Times New Roman"/>
          <w:szCs w:val="26"/>
        </w:rPr>
        <w:t>Cal.App.5th 365, 38</w:t>
      </w:r>
      <w:r>
        <w:rPr>
          <w:rFonts w:cs="Times New Roman"/>
          <w:szCs w:val="26"/>
        </w:rPr>
        <w:t>1.)</w:t>
      </w:r>
    </w:p>
    <w:p w:rsidR="006B62A0" w:rsidP="006B62A0" w14:paraId="0A73EC1B" w14:textId="7E04C06C">
      <w:pPr>
        <w:spacing w:after="0" w:line="480" w:lineRule="atLeast"/>
        <w:ind w:firstLine="720"/>
        <w:rPr>
          <w:rFonts w:cs="Times New Roman"/>
          <w:szCs w:val="26"/>
        </w:rPr>
      </w:pPr>
      <w:r>
        <w:rPr>
          <w:rFonts w:cs="Times New Roman"/>
          <w:szCs w:val="26"/>
        </w:rPr>
        <w:t xml:space="preserve">In </w:t>
      </w:r>
      <w:r w:rsidRPr="00887BFD">
        <w:rPr>
          <w:rFonts w:cs="Times New Roman"/>
          <w:szCs w:val="26"/>
        </w:rPr>
        <w:t xml:space="preserve">order to </w:t>
      </w:r>
      <w:r w:rsidR="00CD2F63">
        <w:rPr>
          <w:rFonts w:cs="Times New Roman"/>
          <w:szCs w:val="26"/>
        </w:rPr>
        <w:t>claim entitlement to</w:t>
      </w:r>
      <w:r w:rsidRPr="00887BFD" w:rsidR="00CD2F63">
        <w:rPr>
          <w:rFonts w:cs="Times New Roman"/>
          <w:szCs w:val="26"/>
        </w:rPr>
        <w:t xml:space="preserve"> </w:t>
      </w:r>
      <w:r w:rsidRPr="00887BFD">
        <w:rPr>
          <w:rFonts w:cs="Times New Roman"/>
          <w:szCs w:val="26"/>
        </w:rPr>
        <w:t>the protections afforded under section</w:t>
      </w:r>
      <w:r>
        <w:rPr>
          <w:rFonts w:cs="Times New Roman"/>
          <w:szCs w:val="26"/>
        </w:rPr>
        <w:t xml:space="preserve"> 12940</w:t>
      </w:r>
      <w:r w:rsidR="00CD2F63">
        <w:rPr>
          <w:rFonts w:cs="Times New Roman"/>
          <w:szCs w:val="26"/>
        </w:rPr>
        <w:t xml:space="preserve"> et seq</w:t>
      </w:r>
      <w:r w:rsidR="00EA1D65">
        <w:rPr>
          <w:rFonts w:cs="Times New Roman"/>
          <w:szCs w:val="26"/>
        </w:rPr>
        <w:t>.</w:t>
      </w:r>
      <w:r>
        <w:rPr>
          <w:rFonts w:cs="Times New Roman"/>
          <w:szCs w:val="26"/>
        </w:rPr>
        <w:t xml:space="preserve"> and to ultimately prevail on her claims, appellant must show she was subject to unlawful employment practices due to her sex (pregnancy) or physical disability.  Under section 12945</w:t>
      </w:r>
      <w:r w:rsidRPr="00887BFD">
        <w:rPr>
          <w:rFonts w:cs="Times New Roman"/>
          <w:szCs w:val="26"/>
        </w:rPr>
        <w:t>, the employee must establish that she is</w:t>
      </w:r>
      <w:r>
        <w:rPr>
          <w:rFonts w:cs="Times New Roman"/>
          <w:szCs w:val="26"/>
        </w:rPr>
        <w:t xml:space="preserve"> either</w:t>
      </w:r>
      <w:r w:rsidRPr="00887BFD">
        <w:rPr>
          <w:rFonts w:cs="Times New Roman"/>
          <w:szCs w:val="26"/>
        </w:rPr>
        <w:t xml:space="preserve"> “disabled by pregnancy .</w:t>
      </w:r>
      <w:r w:rsidR="005B532B">
        <w:rPr>
          <w:rFonts w:cs="Times New Roman"/>
          <w:szCs w:val="26"/>
        </w:rPr>
        <w:t> </w:t>
      </w:r>
      <w:r w:rsidRPr="00887BFD">
        <w:rPr>
          <w:rFonts w:cs="Times New Roman"/>
          <w:szCs w:val="26"/>
        </w:rPr>
        <w:t>.</w:t>
      </w:r>
      <w:r w:rsidR="005B532B">
        <w:rPr>
          <w:rFonts w:cs="Times New Roman"/>
          <w:szCs w:val="26"/>
        </w:rPr>
        <w:t> </w:t>
      </w:r>
      <w:r w:rsidRPr="00887BFD">
        <w:rPr>
          <w:rFonts w:cs="Times New Roman"/>
          <w:szCs w:val="26"/>
        </w:rPr>
        <w:t>. or related medical condition”</w:t>
      </w:r>
      <w:r>
        <w:rPr>
          <w:rFonts w:cs="Times New Roman"/>
          <w:szCs w:val="26"/>
        </w:rPr>
        <w:t xml:space="preserve"> or that, with the advice of her health care provider, </w:t>
      </w:r>
      <w:r w:rsidR="00052DBF">
        <w:rPr>
          <w:rFonts w:cs="Times New Roman"/>
          <w:szCs w:val="26"/>
        </w:rPr>
        <w:t xml:space="preserve">she </w:t>
      </w:r>
      <w:r>
        <w:rPr>
          <w:rFonts w:cs="Times New Roman"/>
          <w:szCs w:val="26"/>
        </w:rPr>
        <w:t xml:space="preserve">requested reasonable accommodations </w:t>
      </w:r>
      <w:r w:rsidR="00052DBF">
        <w:rPr>
          <w:rFonts w:cs="Times New Roman"/>
          <w:szCs w:val="26"/>
        </w:rPr>
        <w:t>“</w:t>
      </w:r>
      <w:r>
        <w:rPr>
          <w:rFonts w:cs="Times New Roman"/>
          <w:szCs w:val="26"/>
        </w:rPr>
        <w:t>for a condition related to pregnancy</w:t>
      </w:r>
      <w:r w:rsidR="005B532B">
        <w:rPr>
          <w:rFonts w:cs="Times New Roman"/>
          <w:szCs w:val="26"/>
        </w:rPr>
        <w:t xml:space="preserve"> . . .</w:t>
      </w:r>
      <w:r>
        <w:rPr>
          <w:rFonts w:cs="Times New Roman"/>
          <w:szCs w:val="26"/>
        </w:rPr>
        <w:t xml:space="preserve"> or related medical condition.</w:t>
      </w:r>
      <w:r w:rsidR="00052DBF">
        <w:rPr>
          <w:rFonts w:cs="Times New Roman"/>
          <w:szCs w:val="26"/>
        </w:rPr>
        <w:t>”</w:t>
      </w:r>
      <w:r>
        <w:rPr>
          <w:rFonts w:cs="Times New Roman"/>
          <w:szCs w:val="26"/>
        </w:rPr>
        <w:t xml:space="preserve">  We conclude that</w:t>
      </w:r>
      <w:r w:rsidR="002016EF">
        <w:rPr>
          <w:rFonts w:cs="Times New Roman"/>
          <w:szCs w:val="26"/>
        </w:rPr>
        <w:t>,</w:t>
      </w:r>
      <w:r>
        <w:rPr>
          <w:rFonts w:cs="Times New Roman"/>
          <w:szCs w:val="26"/>
        </w:rPr>
        <w:t xml:space="preserve"> as a matter of law, appellant cannot meet her burdens. </w:t>
      </w:r>
      <w:r w:rsidR="00A54734">
        <w:rPr>
          <w:rFonts w:cs="Times New Roman"/>
          <w:szCs w:val="26"/>
        </w:rPr>
        <w:t xml:space="preserve"> Fatal to appellant’s claims are the undisputed facts that she was not pregnant and has not identified a medical condition </w:t>
      </w:r>
      <w:r w:rsidR="00E84801">
        <w:rPr>
          <w:rFonts w:cs="Times New Roman"/>
          <w:szCs w:val="26"/>
        </w:rPr>
        <w:t xml:space="preserve">or disability </w:t>
      </w:r>
      <w:r w:rsidR="00A54734">
        <w:rPr>
          <w:rFonts w:cs="Times New Roman"/>
          <w:szCs w:val="26"/>
        </w:rPr>
        <w:t xml:space="preserve">related to pregnancy.  </w:t>
      </w:r>
      <w:r>
        <w:rPr>
          <w:rFonts w:cs="Times New Roman"/>
          <w:szCs w:val="26"/>
        </w:rPr>
        <w:t xml:space="preserve"> </w:t>
      </w:r>
    </w:p>
    <w:p w:rsidR="006B62A0" w:rsidRPr="00791BE5" w:rsidP="00E1048B" w14:paraId="1C35737F" w14:textId="77777777">
      <w:pPr>
        <w:pStyle w:val="ListParagraph"/>
        <w:keepNext/>
        <w:numPr>
          <w:ilvl w:val="0"/>
          <w:numId w:val="1"/>
        </w:numPr>
        <w:spacing w:after="0" w:line="480" w:lineRule="atLeast"/>
        <w:rPr>
          <w:rFonts w:cs="Times New Roman"/>
          <w:szCs w:val="26"/>
        </w:rPr>
      </w:pPr>
      <w:r w:rsidRPr="00791BE5">
        <w:rPr>
          <w:rFonts w:cs="Times New Roman"/>
          <w:i/>
          <w:iCs/>
          <w:szCs w:val="26"/>
        </w:rPr>
        <w:t xml:space="preserve">Appellant was not pregnant, nor </w:t>
      </w:r>
      <w:r>
        <w:rPr>
          <w:rFonts w:cs="Times New Roman"/>
          <w:i/>
          <w:iCs/>
          <w:szCs w:val="26"/>
        </w:rPr>
        <w:t>disabled by pregnancy.</w:t>
      </w:r>
    </w:p>
    <w:p w:rsidR="006B62A0" w:rsidP="006B62A0" w14:paraId="499C7EA4" w14:textId="627608FE">
      <w:pPr>
        <w:spacing w:after="0" w:line="480" w:lineRule="atLeast"/>
        <w:ind w:firstLine="720"/>
        <w:rPr>
          <w:rFonts w:cs="Times New Roman"/>
          <w:szCs w:val="26"/>
        </w:rPr>
      </w:pPr>
      <w:r w:rsidRPr="00791BE5">
        <w:rPr>
          <w:rFonts w:cs="Times New Roman"/>
          <w:szCs w:val="26"/>
        </w:rPr>
        <w:t>A</w:t>
      </w:r>
      <w:r>
        <w:rPr>
          <w:rFonts w:cs="Times New Roman"/>
          <w:szCs w:val="26"/>
        </w:rPr>
        <w:t>ll of a</w:t>
      </w:r>
      <w:r w:rsidRPr="00791BE5">
        <w:rPr>
          <w:rFonts w:cs="Times New Roman"/>
          <w:szCs w:val="26"/>
        </w:rPr>
        <w:t xml:space="preserve">ppellant’s causes </w:t>
      </w:r>
      <w:r w:rsidR="001D5E9E">
        <w:rPr>
          <w:rFonts w:cs="Times New Roman"/>
          <w:szCs w:val="26"/>
        </w:rPr>
        <w:t xml:space="preserve">of action </w:t>
      </w:r>
      <w:r w:rsidRPr="00791BE5">
        <w:rPr>
          <w:rFonts w:cs="Times New Roman"/>
          <w:szCs w:val="26"/>
        </w:rPr>
        <w:t xml:space="preserve">derive from the </w:t>
      </w:r>
      <w:r>
        <w:rPr>
          <w:rFonts w:cs="Times New Roman"/>
          <w:szCs w:val="26"/>
        </w:rPr>
        <w:t>contention</w:t>
      </w:r>
      <w:r w:rsidRPr="00791BE5">
        <w:rPr>
          <w:rFonts w:cs="Times New Roman"/>
          <w:szCs w:val="26"/>
        </w:rPr>
        <w:t xml:space="preserve"> that she </w:t>
      </w:r>
      <w:r>
        <w:rPr>
          <w:rFonts w:cs="Times New Roman"/>
          <w:szCs w:val="26"/>
        </w:rPr>
        <w:t xml:space="preserve">was either pregnant or was disabled by pregnancy.  Neither is the case. </w:t>
      </w:r>
      <w:r w:rsidR="005B532B">
        <w:rPr>
          <w:rFonts w:cs="Times New Roman"/>
          <w:szCs w:val="26"/>
        </w:rPr>
        <w:t xml:space="preserve"> </w:t>
      </w:r>
      <w:r>
        <w:rPr>
          <w:rFonts w:cs="Times New Roman"/>
          <w:szCs w:val="26"/>
        </w:rPr>
        <w:t xml:space="preserve">First, </w:t>
      </w:r>
      <w:r w:rsidR="00427C96">
        <w:rPr>
          <w:rFonts w:cs="Times New Roman"/>
          <w:szCs w:val="26"/>
        </w:rPr>
        <w:t xml:space="preserve">it is undisputed that </w:t>
      </w:r>
      <w:r w:rsidR="00A54734">
        <w:rPr>
          <w:rFonts w:cs="Times New Roman"/>
          <w:szCs w:val="26"/>
        </w:rPr>
        <w:t xml:space="preserve">appellant was not pregnant during </w:t>
      </w:r>
      <w:r w:rsidR="00427C96">
        <w:rPr>
          <w:rFonts w:cs="Times New Roman"/>
          <w:szCs w:val="26"/>
        </w:rPr>
        <w:t xml:space="preserve">the term of </w:t>
      </w:r>
      <w:r w:rsidR="00A54734">
        <w:rPr>
          <w:rFonts w:cs="Times New Roman"/>
          <w:szCs w:val="26"/>
        </w:rPr>
        <w:t>her employment with respondents</w:t>
      </w:r>
      <w:r>
        <w:rPr>
          <w:rFonts w:cs="Times New Roman"/>
          <w:szCs w:val="26"/>
        </w:rPr>
        <w:t>.  As a result, appellant cannot show, at the time of her discharge, she was discriminated, harassed</w:t>
      </w:r>
      <w:r w:rsidR="005B532B">
        <w:rPr>
          <w:rFonts w:cs="Times New Roman"/>
          <w:szCs w:val="26"/>
        </w:rPr>
        <w:t>,</w:t>
      </w:r>
      <w:r>
        <w:rPr>
          <w:rFonts w:cs="Times New Roman"/>
          <w:szCs w:val="26"/>
        </w:rPr>
        <w:t xml:space="preserve"> or terminated because of pregnancy, as alleged in the second and third causes</w:t>
      </w:r>
      <w:r w:rsidR="002016EF">
        <w:rPr>
          <w:rFonts w:cs="Times New Roman"/>
          <w:szCs w:val="26"/>
        </w:rPr>
        <w:t xml:space="preserve"> of action</w:t>
      </w:r>
      <w:r>
        <w:rPr>
          <w:rFonts w:cs="Times New Roman"/>
          <w:szCs w:val="26"/>
        </w:rPr>
        <w:t xml:space="preserve">.  (Cf. </w:t>
      </w:r>
      <w:r w:rsidRPr="0076269E">
        <w:rPr>
          <w:rFonts w:cs="Times New Roman"/>
          <w:i/>
          <w:iCs/>
          <w:szCs w:val="26"/>
        </w:rPr>
        <w:t>Trop v. Sony Pictures Entertainment, Inc.</w:t>
      </w:r>
      <w:r w:rsidRPr="0076269E">
        <w:rPr>
          <w:rFonts w:cs="Times New Roman"/>
          <w:szCs w:val="26"/>
        </w:rPr>
        <w:t xml:space="preserve"> (2005) 129</w:t>
      </w:r>
      <w:r w:rsidR="005B532B">
        <w:rPr>
          <w:rFonts w:cs="Times New Roman"/>
          <w:szCs w:val="26"/>
        </w:rPr>
        <w:t> </w:t>
      </w:r>
      <w:r w:rsidRPr="0076269E">
        <w:rPr>
          <w:rFonts w:cs="Times New Roman"/>
          <w:szCs w:val="26"/>
        </w:rPr>
        <w:t xml:space="preserve">Cal.App.4th 1133, 1145 </w:t>
      </w:r>
      <w:r>
        <w:rPr>
          <w:rFonts w:cs="Times New Roman"/>
          <w:szCs w:val="26"/>
        </w:rPr>
        <w:t>[“</w:t>
      </w:r>
      <w:r w:rsidRPr="0076269E">
        <w:rPr>
          <w:rFonts w:cs="Times New Roman"/>
          <w:szCs w:val="26"/>
        </w:rPr>
        <w:t>An employee cannot make out a prima facie case of discrimination based on pregnancy under FEHA in the absence of evidence the employer knew the employee was pregnant</w:t>
      </w:r>
      <w:r>
        <w:rPr>
          <w:rFonts w:cs="Times New Roman"/>
          <w:szCs w:val="26"/>
        </w:rPr>
        <w:t xml:space="preserve">”].)  </w:t>
      </w:r>
    </w:p>
    <w:p w:rsidR="006B62A0" w:rsidRPr="00C65ADD" w:rsidP="006B62A0" w14:paraId="13B33990" w14:textId="59611266">
      <w:pPr>
        <w:spacing w:after="0" w:line="480" w:lineRule="atLeast"/>
        <w:ind w:firstLine="720"/>
        <w:rPr>
          <w:rFonts w:cs="Times New Roman"/>
          <w:szCs w:val="26"/>
        </w:rPr>
      </w:pPr>
      <w:r>
        <w:rPr>
          <w:rFonts w:cs="Times New Roman"/>
          <w:szCs w:val="26"/>
        </w:rPr>
        <w:t>Nor can she show that she was “</w:t>
      </w:r>
      <w:r w:rsidRPr="00DA26E7">
        <w:rPr>
          <w:rFonts w:cs="Times New Roman"/>
          <w:szCs w:val="26"/>
        </w:rPr>
        <w:t>disabled by pregnancy</w:t>
      </w:r>
      <w:r>
        <w:rPr>
          <w:rFonts w:cs="Times New Roman"/>
          <w:szCs w:val="26"/>
        </w:rPr>
        <w:t>” under the PDLL.  (§</w:t>
      </w:r>
      <w:r w:rsidR="005B532B">
        <w:rPr>
          <w:rFonts w:cs="Times New Roman"/>
          <w:szCs w:val="26"/>
        </w:rPr>
        <w:t> </w:t>
      </w:r>
      <w:r>
        <w:rPr>
          <w:rFonts w:cs="Times New Roman"/>
          <w:szCs w:val="26"/>
        </w:rPr>
        <w:t xml:space="preserve">12945, subd. (a)(1).)  </w:t>
      </w:r>
      <w:r w:rsidRPr="00887BFD">
        <w:rPr>
          <w:rFonts w:cs="Times New Roman"/>
          <w:szCs w:val="26"/>
        </w:rPr>
        <w:t xml:space="preserve">The Fair Employment and Housing Commission (the Commission) has defined </w:t>
      </w:r>
      <w:r>
        <w:rPr>
          <w:rFonts w:cs="Times New Roman"/>
          <w:szCs w:val="26"/>
        </w:rPr>
        <w:t>several</w:t>
      </w:r>
      <w:r w:rsidRPr="00887BFD">
        <w:rPr>
          <w:rFonts w:cs="Times New Roman"/>
          <w:szCs w:val="26"/>
        </w:rPr>
        <w:t xml:space="preserve"> term</w:t>
      </w:r>
      <w:r>
        <w:rPr>
          <w:rFonts w:cs="Times New Roman"/>
          <w:szCs w:val="26"/>
        </w:rPr>
        <w:t xml:space="preserve">s, such as </w:t>
      </w:r>
      <w:r w:rsidRPr="00887BFD">
        <w:rPr>
          <w:rFonts w:cs="Times New Roman"/>
          <w:szCs w:val="26"/>
        </w:rPr>
        <w:t xml:space="preserve">“disabled by pregnancy” and we will defer to its definition. </w:t>
      </w:r>
      <w:r w:rsidR="005B532B">
        <w:rPr>
          <w:rFonts w:cs="Times New Roman"/>
          <w:szCs w:val="26"/>
        </w:rPr>
        <w:t xml:space="preserve"> </w:t>
      </w:r>
      <w:r w:rsidRPr="00887BFD">
        <w:rPr>
          <w:rFonts w:cs="Times New Roman"/>
          <w:szCs w:val="26"/>
        </w:rPr>
        <w:t>(</w:t>
      </w:r>
      <w:r w:rsidRPr="00887BFD">
        <w:rPr>
          <w:rFonts w:cs="Times New Roman"/>
          <w:i/>
          <w:iCs/>
          <w:szCs w:val="26"/>
        </w:rPr>
        <w:t>Juds</w:t>
      </w:r>
      <w:r w:rsidR="00052DBF">
        <w:rPr>
          <w:rFonts w:cs="Times New Roman"/>
          <w:i/>
          <w:iCs/>
          <w:szCs w:val="26"/>
        </w:rPr>
        <w:t>o</w:t>
      </w:r>
      <w:r w:rsidRPr="00887BFD">
        <w:rPr>
          <w:rFonts w:cs="Times New Roman"/>
          <w:i/>
          <w:iCs/>
          <w:szCs w:val="26"/>
        </w:rPr>
        <w:t>n Steel Corp. v. Workers</w:t>
      </w:r>
      <w:r>
        <w:rPr>
          <w:rFonts w:cs="Times New Roman"/>
          <w:i/>
          <w:iCs/>
          <w:szCs w:val="26"/>
        </w:rPr>
        <w:t>’</w:t>
      </w:r>
      <w:r w:rsidRPr="00887BFD">
        <w:rPr>
          <w:rFonts w:cs="Times New Roman"/>
          <w:i/>
          <w:iCs/>
          <w:szCs w:val="26"/>
        </w:rPr>
        <w:t xml:space="preserve"> Comp</w:t>
      </w:r>
      <w:r w:rsidR="00052DBF">
        <w:rPr>
          <w:rFonts w:cs="Times New Roman"/>
          <w:i/>
          <w:iCs/>
          <w:szCs w:val="26"/>
        </w:rPr>
        <w:t>.</w:t>
      </w:r>
      <w:r w:rsidRPr="00887BFD">
        <w:rPr>
          <w:rFonts w:cs="Times New Roman"/>
          <w:i/>
          <w:iCs/>
          <w:szCs w:val="26"/>
        </w:rPr>
        <w:t xml:space="preserve"> Appeals Bd</w:t>
      </w:r>
      <w:r w:rsidR="00052DBF">
        <w:rPr>
          <w:rFonts w:cs="Times New Roman"/>
          <w:i/>
          <w:iCs/>
          <w:szCs w:val="26"/>
        </w:rPr>
        <w:t>.</w:t>
      </w:r>
      <w:r w:rsidRPr="00887BFD">
        <w:rPr>
          <w:rFonts w:cs="Times New Roman"/>
          <w:szCs w:val="26"/>
        </w:rPr>
        <w:t xml:space="preserve"> (1978) 22</w:t>
      </w:r>
      <w:r w:rsidR="005B532B">
        <w:rPr>
          <w:rFonts w:cs="Times New Roman"/>
          <w:szCs w:val="26"/>
        </w:rPr>
        <w:t> </w:t>
      </w:r>
      <w:r w:rsidRPr="00887BFD">
        <w:rPr>
          <w:rFonts w:cs="Times New Roman"/>
          <w:szCs w:val="26"/>
        </w:rPr>
        <w:t>Cal.3d 658</w:t>
      </w:r>
      <w:r w:rsidR="00052DBF">
        <w:rPr>
          <w:rFonts w:cs="Times New Roman"/>
          <w:szCs w:val="26"/>
        </w:rPr>
        <w:t>, 668</w:t>
      </w:r>
      <w:r w:rsidRPr="00887BFD">
        <w:rPr>
          <w:rFonts w:cs="Times New Roman"/>
          <w:szCs w:val="26"/>
        </w:rPr>
        <w:t xml:space="preserve"> </w:t>
      </w:r>
      <w:r w:rsidR="005B532B">
        <w:rPr>
          <w:rFonts w:cs="Times New Roman"/>
          <w:szCs w:val="26"/>
        </w:rPr>
        <w:t>[</w:t>
      </w:r>
      <w:r w:rsidRPr="00887BFD">
        <w:rPr>
          <w:rFonts w:cs="Times New Roman"/>
          <w:szCs w:val="26"/>
        </w:rPr>
        <w:t>requiring deference to an administrative agency</w:t>
      </w:r>
      <w:r>
        <w:rPr>
          <w:rFonts w:cs="Times New Roman"/>
          <w:szCs w:val="26"/>
        </w:rPr>
        <w:t>’</w:t>
      </w:r>
      <w:r w:rsidRPr="00887BFD">
        <w:rPr>
          <w:rFonts w:cs="Times New Roman"/>
          <w:szCs w:val="26"/>
        </w:rPr>
        <w:t>s interpretation of a statute unless it is clearly erroneous</w:t>
      </w:r>
      <w:r w:rsidR="005B532B">
        <w:rPr>
          <w:rFonts w:cs="Times New Roman"/>
          <w:szCs w:val="26"/>
        </w:rPr>
        <w:t>]</w:t>
      </w:r>
      <w:r w:rsidRPr="00887BFD">
        <w:rPr>
          <w:rFonts w:cs="Times New Roman"/>
          <w:szCs w:val="26"/>
        </w:rPr>
        <w:t xml:space="preserve">.) </w:t>
      </w:r>
      <w:r>
        <w:rPr>
          <w:rFonts w:cs="Times New Roman"/>
          <w:szCs w:val="26"/>
        </w:rPr>
        <w:t xml:space="preserve"> </w:t>
      </w:r>
      <w:r w:rsidRPr="00887BFD">
        <w:rPr>
          <w:rFonts w:cs="Times New Roman"/>
          <w:szCs w:val="26"/>
        </w:rPr>
        <w:t xml:space="preserve">According to the Commission, “[a] woman is ‘disabled by pregnancy’ if, in the opinion of her health care provider, she is unable </w:t>
      </w:r>
      <w:r w:rsidRPr="008504C7">
        <w:rPr>
          <w:rFonts w:cs="Times New Roman"/>
          <w:i/>
          <w:iCs/>
          <w:szCs w:val="26"/>
        </w:rPr>
        <w:t>because of pregnancy</w:t>
      </w:r>
      <w:r w:rsidRPr="00887BFD">
        <w:rPr>
          <w:rFonts w:cs="Times New Roman"/>
          <w:szCs w:val="26"/>
        </w:rPr>
        <w:t xml:space="preserve"> to work at all or is unable to perform any one or more of the essential functions of her job or to perform these functions without undue risk to herself, </w:t>
      </w:r>
      <w:r w:rsidR="00DB0C3A">
        <w:rPr>
          <w:rFonts w:cs="Times New Roman"/>
          <w:szCs w:val="26"/>
        </w:rPr>
        <w:t xml:space="preserve">to her pregnancy’s </w:t>
      </w:r>
      <w:r w:rsidRPr="00887BFD">
        <w:rPr>
          <w:rFonts w:cs="Times New Roman"/>
          <w:szCs w:val="26"/>
        </w:rPr>
        <w:t>successful completion</w:t>
      </w:r>
      <w:r w:rsidR="00DB0C3A">
        <w:rPr>
          <w:rFonts w:cs="Times New Roman"/>
          <w:szCs w:val="26"/>
        </w:rPr>
        <w:t>,</w:t>
      </w:r>
      <w:r w:rsidRPr="00887BFD">
        <w:rPr>
          <w:rFonts w:cs="Times New Roman"/>
          <w:szCs w:val="26"/>
        </w:rPr>
        <w:t xml:space="preserve"> or to other persons.</w:t>
      </w:r>
      <w:r>
        <w:rPr>
          <w:rFonts w:cs="Times New Roman"/>
          <w:szCs w:val="26"/>
        </w:rPr>
        <w:t>”</w:t>
      </w:r>
      <w:r w:rsidR="005B532B">
        <w:rPr>
          <w:rFonts w:cs="Times New Roman"/>
          <w:szCs w:val="26"/>
        </w:rPr>
        <w:t xml:space="preserve"> </w:t>
      </w:r>
      <w:r w:rsidRPr="00887BFD">
        <w:rPr>
          <w:rFonts w:cs="Times New Roman"/>
          <w:szCs w:val="26"/>
        </w:rPr>
        <w:t xml:space="preserve"> </w:t>
      </w:r>
      <w:r>
        <w:rPr>
          <w:rFonts w:cs="Times New Roman"/>
          <w:szCs w:val="26"/>
        </w:rPr>
        <w:t>(</w:t>
      </w:r>
      <w:r w:rsidR="00052DBF">
        <w:rPr>
          <w:rFonts w:cs="Times New Roman"/>
          <w:szCs w:val="26"/>
        </w:rPr>
        <w:t xml:space="preserve">Cal. Code Regs., tit. 2, </w:t>
      </w:r>
      <w:r>
        <w:rPr>
          <w:rFonts w:cs="Times New Roman"/>
          <w:szCs w:val="26"/>
        </w:rPr>
        <w:t>§</w:t>
      </w:r>
      <w:r w:rsidR="005B532B">
        <w:rPr>
          <w:rFonts w:cs="Times New Roman"/>
          <w:szCs w:val="26"/>
        </w:rPr>
        <w:t> </w:t>
      </w:r>
      <w:r>
        <w:rPr>
          <w:rFonts w:cs="Times New Roman"/>
          <w:szCs w:val="26"/>
        </w:rPr>
        <w:t>11035, subd. (f)</w:t>
      </w:r>
      <w:r w:rsidR="005B532B">
        <w:rPr>
          <w:rFonts w:cs="Times New Roman"/>
          <w:szCs w:val="26"/>
        </w:rPr>
        <w:t>,</w:t>
      </w:r>
      <w:r>
        <w:rPr>
          <w:rFonts w:cs="Times New Roman"/>
          <w:szCs w:val="26"/>
        </w:rPr>
        <w:t xml:space="preserve"> italics added</w:t>
      </w:r>
      <w:r w:rsidRPr="00887BFD">
        <w:rPr>
          <w:rFonts w:cs="Times New Roman"/>
          <w:szCs w:val="26"/>
        </w:rPr>
        <w:t>.</w:t>
      </w:r>
      <w:r>
        <w:rPr>
          <w:rFonts w:cs="Times New Roman"/>
          <w:szCs w:val="26"/>
        </w:rPr>
        <w:t xml:space="preserve">)  Because appellant admits she was not pregnant at the time of her discharge, she cannot show she was “disabled by pregnancy.” </w:t>
      </w:r>
      <w:r w:rsidRPr="00887BFD">
        <w:rPr>
          <w:rFonts w:cs="Times New Roman"/>
          <w:szCs w:val="26"/>
        </w:rPr>
        <w:t xml:space="preserve"> </w:t>
      </w:r>
      <w:r>
        <w:rPr>
          <w:rFonts w:cs="Times New Roman"/>
          <w:szCs w:val="26"/>
        </w:rPr>
        <w:t>Moreover, there is no evidence that appellant’s health care provider gave advice or recommendation as to her</w:t>
      </w:r>
      <w:r w:rsidRPr="001372F5">
        <w:rPr>
          <w:rFonts w:cs="Times New Roman"/>
          <w:szCs w:val="26"/>
        </w:rPr>
        <w:t xml:space="preserve"> </w:t>
      </w:r>
      <w:r>
        <w:rPr>
          <w:rFonts w:cs="Times New Roman"/>
          <w:szCs w:val="26"/>
        </w:rPr>
        <w:t>in</w:t>
      </w:r>
      <w:r w:rsidRPr="001372F5">
        <w:rPr>
          <w:rFonts w:cs="Times New Roman"/>
          <w:szCs w:val="26"/>
        </w:rPr>
        <w:t xml:space="preserve">ability to perform </w:t>
      </w:r>
      <w:r>
        <w:rPr>
          <w:rFonts w:cs="Times New Roman"/>
          <w:szCs w:val="26"/>
        </w:rPr>
        <w:t xml:space="preserve">one or more of the essential functions of </w:t>
      </w:r>
      <w:r w:rsidRPr="001372F5">
        <w:rPr>
          <w:rFonts w:cs="Times New Roman"/>
          <w:szCs w:val="26"/>
        </w:rPr>
        <w:t>her job</w:t>
      </w:r>
      <w:r w:rsidR="005B532B">
        <w:rPr>
          <w:rFonts w:cs="Times New Roman"/>
          <w:szCs w:val="26"/>
        </w:rPr>
        <w:t xml:space="preserve"> </w:t>
      </w:r>
      <w:r>
        <w:rPr>
          <w:rFonts w:cs="Times New Roman"/>
          <w:szCs w:val="26"/>
        </w:rPr>
        <w:t>(</w:t>
      </w:r>
      <w:r w:rsidR="008A2C79">
        <w:rPr>
          <w:rFonts w:cs="Times New Roman"/>
          <w:szCs w:val="26"/>
        </w:rPr>
        <w:t xml:space="preserve">Cal. Code Regs., tit. 2, </w:t>
      </w:r>
      <w:r>
        <w:rPr>
          <w:rFonts w:cs="Times New Roman"/>
          <w:szCs w:val="26"/>
        </w:rPr>
        <w:t>§</w:t>
      </w:r>
      <w:r w:rsidR="005B532B">
        <w:rPr>
          <w:rFonts w:cs="Times New Roman"/>
          <w:szCs w:val="26"/>
        </w:rPr>
        <w:t> </w:t>
      </w:r>
      <w:r>
        <w:rPr>
          <w:rFonts w:cs="Times New Roman"/>
          <w:szCs w:val="26"/>
        </w:rPr>
        <w:t xml:space="preserve">11035, subd. (f)), and appellant did not consider herself unable to do so, nor did she request leave or other accommodations. </w:t>
      </w:r>
      <w:r w:rsidRPr="001372F5">
        <w:rPr>
          <w:rFonts w:cs="Times New Roman"/>
          <w:szCs w:val="26"/>
        </w:rPr>
        <w:t xml:space="preserve"> </w:t>
      </w:r>
      <w:r>
        <w:rPr>
          <w:rFonts w:cs="Times New Roman"/>
          <w:szCs w:val="26"/>
        </w:rPr>
        <w:t>Thus, the</w:t>
      </w:r>
      <w:r w:rsidRPr="001372F5">
        <w:rPr>
          <w:rFonts w:cs="Times New Roman"/>
          <w:szCs w:val="26"/>
        </w:rPr>
        <w:t xml:space="preserve"> evidence showed that </w:t>
      </w:r>
      <w:r>
        <w:rPr>
          <w:rFonts w:cs="Times New Roman"/>
          <w:szCs w:val="26"/>
        </w:rPr>
        <w:t>appellant was not disabled by pregnancy</w:t>
      </w:r>
      <w:r w:rsidRPr="001372F5">
        <w:rPr>
          <w:rFonts w:cs="Times New Roman"/>
          <w:szCs w:val="26"/>
        </w:rPr>
        <w:t xml:space="preserve">. </w:t>
      </w:r>
      <w:r>
        <w:rPr>
          <w:rFonts w:cs="Times New Roman"/>
          <w:szCs w:val="26"/>
        </w:rPr>
        <w:t xml:space="preserve"> Summary judgment was thus appropriate on appellant’s n</w:t>
      </w:r>
      <w:r w:rsidRPr="00C074BC">
        <w:rPr>
          <w:rFonts w:cs="Times New Roman"/>
          <w:szCs w:val="26"/>
        </w:rPr>
        <w:t xml:space="preserve">inth </w:t>
      </w:r>
      <w:r>
        <w:rPr>
          <w:rFonts w:cs="Times New Roman"/>
          <w:szCs w:val="26"/>
        </w:rPr>
        <w:t>c</w:t>
      </w:r>
      <w:r w:rsidRPr="00C074BC">
        <w:rPr>
          <w:rFonts w:cs="Times New Roman"/>
          <w:szCs w:val="26"/>
        </w:rPr>
        <w:t xml:space="preserve">ause of </w:t>
      </w:r>
      <w:r>
        <w:rPr>
          <w:rFonts w:cs="Times New Roman"/>
          <w:szCs w:val="26"/>
        </w:rPr>
        <w:t>a</w:t>
      </w:r>
      <w:r w:rsidRPr="00C074BC">
        <w:rPr>
          <w:rFonts w:cs="Times New Roman"/>
          <w:szCs w:val="26"/>
        </w:rPr>
        <w:t>ction</w:t>
      </w:r>
      <w:r>
        <w:rPr>
          <w:rFonts w:cs="Times New Roman"/>
          <w:szCs w:val="26"/>
        </w:rPr>
        <w:t>, alleging that she was disabled by pregnancy and improperly denied a leave of absence in v</w:t>
      </w:r>
      <w:r w:rsidRPr="00C074BC">
        <w:rPr>
          <w:rFonts w:cs="Times New Roman"/>
          <w:szCs w:val="26"/>
        </w:rPr>
        <w:t xml:space="preserve">iolation of </w:t>
      </w:r>
      <w:r w:rsidR="00052DBF">
        <w:rPr>
          <w:rFonts w:cs="Times New Roman"/>
          <w:szCs w:val="26"/>
        </w:rPr>
        <w:t xml:space="preserve">the </w:t>
      </w:r>
      <w:r w:rsidRPr="00C074BC">
        <w:rPr>
          <w:rFonts w:cs="Times New Roman"/>
          <w:szCs w:val="26"/>
        </w:rPr>
        <w:t>P</w:t>
      </w:r>
      <w:r>
        <w:rPr>
          <w:rFonts w:cs="Times New Roman"/>
          <w:szCs w:val="26"/>
        </w:rPr>
        <w:t>D</w:t>
      </w:r>
      <w:r w:rsidRPr="00C074BC">
        <w:rPr>
          <w:rFonts w:cs="Times New Roman"/>
          <w:szCs w:val="26"/>
        </w:rPr>
        <w:t>LL</w:t>
      </w:r>
      <w:r>
        <w:rPr>
          <w:rFonts w:cs="Times New Roman"/>
          <w:szCs w:val="26"/>
        </w:rPr>
        <w:t>.  (§</w:t>
      </w:r>
      <w:r w:rsidR="005B532B">
        <w:rPr>
          <w:rFonts w:cs="Times New Roman"/>
          <w:szCs w:val="26"/>
        </w:rPr>
        <w:t> </w:t>
      </w:r>
      <w:r>
        <w:rPr>
          <w:rFonts w:cs="Times New Roman"/>
          <w:szCs w:val="26"/>
        </w:rPr>
        <w:t>12945</w:t>
      </w:r>
      <w:r w:rsidR="005B532B">
        <w:rPr>
          <w:rFonts w:cs="Times New Roman"/>
          <w:szCs w:val="26"/>
        </w:rPr>
        <w:t>;</w:t>
      </w:r>
      <w:r>
        <w:rPr>
          <w:rFonts w:cs="Times New Roman"/>
          <w:szCs w:val="26"/>
        </w:rPr>
        <w:t xml:space="preserve"> See </w:t>
      </w:r>
      <w:r w:rsidRPr="003509DE">
        <w:rPr>
          <w:rFonts w:cs="Times New Roman"/>
          <w:i/>
          <w:iCs/>
          <w:szCs w:val="26"/>
        </w:rPr>
        <w:t>Williams</w:t>
      </w:r>
      <w:r w:rsidR="001E12C8">
        <w:rPr>
          <w:rFonts w:cs="Times New Roman"/>
          <w:i/>
          <w:iCs/>
          <w:szCs w:val="26"/>
        </w:rPr>
        <w:t>, supra</w:t>
      </w:r>
      <w:r w:rsidR="001E12C8">
        <w:rPr>
          <w:rFonts w:cs="Times New Roman"/>
          <w:szCs w:val="26"/>
        </w:rPr>
        <w:t>,</w:t>
      </w:r>
      <w:r w:rsidRPr="00C65ADD">
        <w:rPr>
          <w:rFonts w:cs="Times New Roman"/>
          <w:szCs w:val="26"/>
        </w:rPr>
        <w:t xml:space="preserve"> 67</w:t>
      </w:r>
      <w:r w:rsidR="005B532B">
        <w:rPr>
          <w:rFonts w:cs="Times New Roman"/>
          <w:szCs w:val="26"/>
        </w:rPr>
        <w:t> </w:t>
      </w:r>
      <w:r w:rsidRPr="00C65ADD">
        <w:rPr>
          <w:rFonts w:cs="Times New Roman"/>
          <w:szCs w:val="26"/>
        </w:rPr>
        <w:t xml:space="preserve">Cal.App.4th </w:t>
      </w:r>
      <w:r w:rsidR="001E12C8">
        <w:rPr>
          <w:rFonts w:cs="Times New Roman"/>
          <w:szCs w:val="26"/>
        </w:rPr>
        <w:t>at p. </w:t>
      </w:r>
      <w:r w:rsidRPr="00C65ADD">
        <w:rPr>
          <w:rFonts w:cs="Times New Roman"/>
          <w:szCs w:val="26"/>
        </w:rPr>
        <w:t xml:space="preserve">483 </w:t>
      </w:r>
      <w:r>
        <w:rPr>
          <w:rFonts w:cs="Times New Roman"/>
          <w:szCs w:val="26"/>
        </w:rPr>
        <w:t>[</w:t>
      </w:r>
      <w:r w:rsidR="005B532B">
        <w:rPr>
          <w:rFonts w:cs="Times New Roman"/>
          <w:szCs w:val="26"/>
        </w:rPr>
        <w:t>§ </w:t>
      </w:r>
      <w:r>
        <w:rPr>
          <w:rFonts w:cs="Times New Roman"/>
          <w:szCs w:val="26"/>
        </w:rPr>
        <w:t>12945 “</w:t>
      </w:r>
      <w:r w:rsidR="005B532B">
        <w:rPr>
          <w:rFonts w:cs="Times New Roman"/>
          <w:szCs w:val="26"/>
        </w:rPr>
        <w:t> </w:t>
      </w:r>
      <w:r>
        <w:rPr>
          <w:rFonts w:cs="Times New Roman"/>
          <w:szCs w:val="26"/>
        </w:rPr>
        <w:t>‘</w:t>
      </w:r>
      <w:r w:rsidRPr="00C65ADD">
        <w:rPr>
          <w:rFonts w:cs="Times New Roman"/>
          <w:szCs w:val="26"/>
        </w:rPr>
        <w:t xml:space="preserve">is narrowly drawn to cover only the period of </w:t>
      </w:r>
      <w:r w:rsidRPr="003509DE">
        <w:rPr>
          <w:rFonts w:cs="Times New Roman"/>
          <w:i/>
          <w:iCs/>
          <w:szCs w:val="26"/>
        </w:rPr>
        <w:t>actual physical disability</w:t>
      </w:r>
      <w:r w:rsidRPr="00C65ADD">
        <w:rPr>
          <w:rFonts w:cs="Times New Roman"/>
          <w:szCs w:val="26"/>
        </w:rPr>
        <w:t xml:space="preserve"> on account of pregnancy, childbirth, or related medical conditions</w:t>
      </w:r>
      <w:r>
        <w:rPr>
          <w:rFonts w:cs="Times New Roman"/>
          <w:szCs w:val="26"/>
        </w:rPr>
        <w:t>’</w:t>
      </w:r>
      <w:r w:rsidR="005B532B">
        <w:rPr>
          <w:rFonts w:cs="Times New Roman"/>
          <w:szCs w:val="26"/>
        </w:rPr>
        <w:t> </w:t>
      </w:r>
      <w:r w:rsidRPr="00C65ADD">
        <w:rPr>
          <w:rFonts w:cs="Times New Roman"/>
          <w:szCs w:val="26"/>
        </w:rPr>
        <w:t>”</w:t>
      </w:r>
      <w:r w:rsidR="00052DBF">
        <w:rPr>
          <w:rFonts w:cs="Times New Roman"/>
          <w:szCs w:val="26"/>
        </w:rPr>
        <w:t>]</w:t>
      </w:r>
      <w:r>
        <w:rPr>
          <w:rFonts w:cs="Times New Roman"/>
          <w:szCs w:val="26"/>
        </w:rPr>
        <w:t>.)</w:t>
      </w:r>
    </w:p>
    <w:p w:rsidR="006B62A0" w:rsidP="006B62A0" w14:paraId="5DB416F0" w14:textId="62B69926">
      <w:pPr>
        <w:spacing w:after="0" w:line="480" w:lineRule="atLeast"/>
        <w:ind w:firstLine="720"/>
        <w:rPr>
          <w:rFonts w:cs="Times New Roman"/>
          <w:szCs w:val="26"/>
        </w:rPr>
      </w:pPr>
      <w:r>
        <w:rPr>
          <w:rFonts w:cs="Times New Roman"/>
          <w:szCs w:val="26"/>
        </w:rPr>
        <w:t>In addition</w:t>
      </w:r>
      <w:r w:rsidRPr="00510EF4">
        <w:rPr>
          <w:rFonts w:cs="Times New Roman"/>
          <w:szCs w:val="26"/>
        </w:rPr>
        <w:t xml:space="preserve">, </w:t>
      </w:r>
      <w:r>
        <w:rPr>
          <w:rFonts w:cs="Times New Roman"/>
          <w:szCs w:val="26"/>
        </w:rPr>
        <w:t>under the general FEHA provisions, “</w:t>
      </w:r>
      <w:r w:rsidR="00052DBF">
        <w:rPr>
          <w:rFonts w:cs="Times New Roman"/>
          <w:szCs w:val="26"/>
        </w:rPr>
        <w:t> ‘[</w:t>
      </w:r>
      <w:r>
        <w:rPr>
          <w:rFonts w:cs="Times New Roman"/>
          <w:szCs w:val="26"/>
        </w:rPr>
        <w:t>p</w:t>
      </w:r>
      <w:r w:rsidR="00052DBF">
        <w:rPr>
          <w:rFonts w:cs="Times New Roman"/>
          <w:szCs w:val="26"/>
        </w:rPr>
        <w:t>]</w:t>
      </w:r>
      <w:r>
        <w:rPr>
          <w:rFonts w:cs="Times New Roman"/>
          <w:szCs w:val="26"/>
        </w:rPr>
        <w:t>hysical disability</w:t>
      </w:r>
      <w:r w:rsidR="00052DBF">
        <w:rPr>
          <w:rFonts w:cs="Times New Roman"/>
          <w:szCs w:val="26"/>
        </w:rPr>
        <w:t>’ </w:t>
      </w:r>
      <w:r>
        <w:rPr>
          <w:rFonts w:cs="Times New Roman"/>
          <w:szCs w:val="26"/>
        </w:rPr>
        <w:t>” includes “any physiological disease, disorder, condition .</w:t>
      </w:r>
      <w:r w:rsidR="005B532B">
        <w:rPr>
          <w:rFonts w:cs="Times New Roman"/>
          <w:szCs w:val="26"/>
        </w:rPr>
        <w:t> </w:t>
      </w:r>
      <w:r>
        <w:rPr>
          <w:rFonts w:cs="Times New Roman"/>
          <w:szCs w:val="26"/>
        </w:rPr>
        <w:t>.</w:t>
      </w:r>
      <w:r w:rsidR="005B532B">
        <w:rPr>
          <w:rFonts w:cs="Times New Roman"/>
          <w:szCs w:val="26"/>
        </w:rPr>
        <w:t> </w:t>
      </w:r>
      <w:r>
        <w:rPr>
          <w:rFonts w:cs="Times New Roman"/>
          <w:szCs w:val="26"/>
        </w:rPr>
        <w:t>. or anatomic</w:t>
      </w:r>
      <w:r w:rsidR="00052DBF">
        <w:rPr>
          <w:rFonts w:cs="Times New Roman"/>
          <w:szCs w:val="26"/>
        </w:rPr>
        <w:t>al</w:t>
      </w:r>
      <w:r>
        <w:rPr>
          <w:rFonts w:cs="Times New Roman"/>
          <w:szCs w:val="26"/>
        </w:rPr>
        <w:t xml:space="preserve"> loss” that both affects one or more defined body systems and limits a major life activity or any “other health impairment .</w:t>
      </w:r>
      <w:r w:rsidR="005B532B">
        <w:rPr>
          <w:rFonts w:cs="Times New Roman"/>
          <w:szCs w:val="26"/>
        </w:rPr>
        <w:t> </w:t>
      </w:r>
      <w:r>
        <w:rPr>
          <w:rFonts w:cs="Times New Roman"/>
          <w:szCs w:val="26"/>
        </w:rPr>
        <w:t>.</w:t>
      </w:r>
      <w:r w:rsidR="005B532B">
        <w:rPr>
          <w:rFonts w:cs="Times New Roman"/>
          <w:szCs w:val="26"/>
        </w:rPr>
        <w:t> </w:t>
      </w:r>
      <w:r>
        <w:rPr>
          <w:rFonts w:cs="Times New Roman"/>
          <w:szCs w:val="26"/>
        </w:rPr>
        <w:t>. that requires special education or related services.”  (§</w:t>
      </w:r>
      <w:r w:rsidR="005B532B">
        <w:rPr>
          <w:rFonts w:cs="Times New Roman"/>
          <w:szCs w:val="26"/>
        </w:rPr>
        <w:t> </w:t>
      </w:r>
      <w:r>
        <w:rPr>
          <w:rFonts w:cs="Times New Roman"/>
          <w:szCs w:val="26"/>
        </w:rPr>
        <w:t>12926, subd. (m).)  Because appellant did not disclose a disability and did not have any condition that impacted her ability to work or that required the use of leave, sick</w:t>
      </w:r>
      <w:r w:rsidR="00052DBF">
        <w:rPr>
          <w:rFonts w:cs="Times New Roman"/>
          <w:szCs w:val="26"/>
        </w:rPr>
        <w:t xml:space="preserve"> </w:t>
      </w:r>
      <w:r>
        <w:rPr>
          <w:rFonts w:cs="Times New Roman"/>
          <w:szCs w:val="26"/>
        </w:rPr>
        <w:t>time</w:t>
      </w:r>
      <w:r w:rsidR="008A2C79">
        <w:rPr>
          <w:rFonts w:cs="Times New Roman"/>
          <w:szCs w:val="26"/>
        </w:rPr>
        <w:t>,</w:t>
      </w:r>
      <w:r>
        <w:rPr>
          <w:rFonts w:cs="Times New Roman"/>
          <w:szCs w:val="26"/>
        </w:rPr>
        <w:t xml:space="preserve"> or other accommodation, her pregnancy disability claims made under the general FEHA provisions also fail.  (See </w:t>
      </w:r>
      <w:r w:rsidRPr="003509DE">
        <w:rPr>
          <w:rFonts w:cs="Times New Roman"/>
          <w:i/>
          <w:iCs/>
          <w:szCs w:val="26"/>
        </w:rPr>
        <w:t>Sanchez v. Swissport, Inc.</w:t>
      </w:r>
      <w:r w:rsidRPr="004C78CF">
        <w:rPr>
          <w:rFonts w:cs="Times New Roman"/>
          <w:szCs w:val="26"/>
        </w:rPr>
        <w:t xml:space="preserve"> (2013) 213</w:t>
      </w:r>
      <w:r w:rsidR="005B532B">
        <w:rPr>
          <w:rFonts w:cs="Times New Roman"/>
          <w:szCs w:val="26"/>
        </w:rPr>
        <w:t> </w:t>
      </w:r>
      <w:r w:rsidRPr="004C78CF">
        <w:rPr>
          <w:rFonts w:cs="Times New Roman"/>
          <w:szCs w:val="26"/>
        </w:rPr>
        <w:t xml:space="preserve">Cal.App.4th 1331, 1341 </w:t>
      </w:r>
      <w:r>
        <w:rPr>
          <w:rFonts w:cs="Times New Roman"/>
          <w:szCs w:val="26"/>
        </w:rPr>
        <w:t>[</w:t>
      </w:r>
      <w:r w:rsidR="005B532B">
        <w:rPr>
          <w:rFonts w:cs="Times New Roman"/>
          <w:szCs w:val="26"/>
        </w:rPr>
        <w:t>§ </w:t>
      </w:r>
      <w:r w:rsidRPr="004C78CF">
        <w:rPr>
          <w:rFonts w:cs="Times New Roman"/>
          <w:szCs w:val="26"/>
        </w:rPr>
        <w:t>12940, subd</w:t>
      </w:r>
      <w:r w:rsidR="005B532B">
        <w:rPr>
          <w:rFonts w:cs="Times New Roman"/>
          <w:szCs w:val="26"/>
        </w:rPr>
        <w:t>.</w:t>
      </w:r>
      <w:r w:rsidRPr="004C78CF">
        <w:rPr>
          <w:rFonts w:cs="Times New Roman"/>
          <w:szCs w:val="26"/>
        </w:rPr>
        <w:t xml:space="preserve"> (m)</w:t>
      </w:r>
      <w:r>
        <w:rPr>
          <w:rFonts w:cs="Times New Roman"/>
          <w:szCs w:val="26"/>
        </w:rPr>
        <w:t xml:space="preserve"> </w:t>
      </w:r>
      <w:r w:rsidRPr="004C78CF">
        <w:rPr>
          <w:rFonts w:cs="Times New Roman"/>
          <w:szCs w:val="26"/>
        </w:rPr>
        <w:t>mandates that an employer provide reasonable accommodations for the known physical disability of an employee</w:t>
      </w:r>
      <w:r>
        <w:rPr>
          <w:rFonts w:cs="Times New Roman"/>
          <w:szCs w:val="26"/>
        </w:rPr>
        <w:t>]</w:t>
      </w:r>
      <w:r w:rsidRPr="004C78CF">
        <w:rPr>
          <w:rFonts w:cs="Times New Roman"/>
          <w:szCs w:val="26"/>
        </w:rPr>
        <w:t>.</w:t>
      </w:r>
      <w:r>
        <w:rPr>
          <w:rFonts w:cs="Times New Roman"/>
          <w:szCs w:val="26"/>
        </w:rPr>
        <w:t>)  Accordingly, we conclude that appellant cannot show, as a matter of law, that she suffered from a pregnancy</w:t>
      </w:r>
      <w:r w:rsidR="00052DBF">
        <w:rPr>
          <w:rFonts w:cs="Times New Roman"/>
          <w:szCs w:val="26"/>
        </w:rPr>
        <w:t>-</w:t>
      </w:r>
      <w:r>
        <w:rPr>
          <w:rFonts w:cs="Times New Roman"/>
          <w:szCs w:val="26"/>
        </w:rPr>
        <w:t>related disability or that she was discriminated against on that basis, nor denied accommodation, as alleged in the third and fourth causes</w:t>
      </w:r>
      <w:r w:rsidR="002016EF">
        <w:rPr>
          <w:rFonts w:cs="Times New Roman"/>
          <w:szCs w:val="26"/>
        </w:rPr>
        <w:t xml:space="preserve"> of action</w:t>
      </w:r>
      <w:r>
        <w:rPr>
          <w:rFonts w:cs="Times New Roman"/>
          <w:szCs w:val="26"/>
        </w:rPr>
        <w:t xml:space="preserve">. </w:t>
      </w:r>
      <w:r w:rsidR="005B532B">
        <w:rPr>
          <w:rFonts w:cs="Times New Roman"/>
          <w:szCs w:val="26"/>
        </w:rPr>
        <w:t xml:space="preserve"> </w:t>
      </w:r>
      <w:r>
        <w:rPr>
          <w:rFonts w:cs="Times New Roman"/>
          <w:szCs w:val="26"/>
        </w:rPr>
        <w:t>(See §</w:t>
      </w:r>
      <w:r w:rsidR="005B532B">
        <w:rPr>
          <w:rFonts w:cs="Times New Roman"/>
          <w:szCs w:val="26"/>
        </w:rPr>
        <w:t> </w:t>
      </w:r>
      <w:r>
        <w:rPr>
          <w:rFonts w:cs="Times New Roman"/>
          <w:szCs w:val="26"/>
        </w:rPr>
        <w:t>12940, subd. (a).)</w:t>
      </w:r>
    </w:p>
    <w:p w:rsidR="006B62A0" w:rsidP="006B62A0" w14:paraId="60E0D5EB" w14:textId="78C86288">
      <w:pPr>
        <w:spacing w:after="0" w:line="480" w:lineRule="atLeast"/>
        <w:ind w:firstLine="720"/>
        <w:rPr>
          <w:rFonts w:cs="Times New Roman"/>
          <w:szCs w:val="26"/>
        </w:rPr>
      </w:pPr>
      <w:r>
        <w:rPr>
          <w:rFonts w:cs="Times New Roman"/>
          <w:szCs w:val="26"/>
        </w:rPr>
        <w:t xml:space="preserve">For those same reasons, appellant cannot make a prima facie case that </w:t>
      </w:r>
      <w:r w:rsidR="00734F4F">
        <w:rPr>
          <w:rFonts w:cs="Times New Roman"/>
          <w:szCs w:val="26"/>
        </w:rPr>
        <w:t>her</w:t>
      </w:r>
      <w:r w:rsidRPr="00510EF4">
        <w:rPr>
          <w:rFonts w:cs="Times New Roman"/>
          <w:szCs w:val="26"/>
        </w:rPr>
        <w:t xml:space="preserve"> employer failed to accommodate a disability under the FEHA, as alleged in </w:t>
      </w:r>
      <w:r>
        <w:rPr>
          <w:rFonts w:cs="Times New Roman"/>
          <w:szCs w:val="26"/>
        </w:rPr>
        <w:t>the</w:t>
      </w:r>
      <w:r w:rsidRPr="00510EF4">
        <w:rPr>
          <w:rFonts w:cs="Times New Roman"/>
          <w:szCs w:val="26"/>
        </w:rPr>
        <w:t xml:space="preserve"> fifth cause of action, </w:t>
      </w:r>
      <w:r>
        <w:rPr>
          <w:rFonts w:cs="Times New Roman"/>
          <w:szCs w:val="26"/>
        </w:rPr>
        <w:t>because she cannot establish</w:t>
      </w:r>
      <w:r w:rsidRPr="00510EF4">
        <w:rPr>
          <w:rFonts w:cs="Times New Roman"/>
          <w:szCs w:val="26"/>
        </w:rPr>
        <w:t xml:space="preserve"> that she is disabled under </w:t>
      </w:r>
      <w:r w:rsidR="00052DBF">
        <w:rPr>
          <w:rFonts w:cs="Times New Roman"/>
          <w:szCs w:val="26"/>
        </w:rPr>
        <w:t xml:space="preserve">the </w:t>
      </w:r>
      <w:r w:rsidRPr="00510EF4">
        <w:rPr>
          <w:rFonts w:cs="Times New Roman"/>
          <w:szCs w:val="26"/>
        </w:rPr>
        <w:t xml:space="preserve">FEHA. </w:t>
      </w:r>
      <w:r>
        <w:rPr>
          <w:rFonts w:cs="Times New Roman"/>
          <w:szCs w:val="26"/>
        </w:rPr>
        <w:t xml:space="preserve"> </w:t>
      </w:r>
      <w:r w:rsidRPr="00510EF4">
        <w:rPr>
          <w:rFonts w:cs="Times New Roman"/>
          <w:szCs w:val="26"/>
        </w:rPr>
        <w:t>(</w:t>
      </w:r>
      <w:r>
        <w:rPr>
          <w:rFonts w:cs="Times New Roman"/>
          <w:szCs w:val="26"/>
        </w:rPr>
        <w:t>§</w:t>
      </w:r>
      <w:r w:rsidR="005B532B">
        <w:rPr>
          <w:rFonts w:cs="Times New Roman"/>
          <w:szCs w:val="26"/>
        </w:rPr>
        <w:t> </w:t>
      </w:r>
      <w:r>
        <w:rPr>
          <w:rFonts w:cs="Times New Roman"/>
          <w:szCs w:val="26"/>
        </w:rPr>
        <w:t xml:space="preserve">12940, subd. (m); </w:t>
      </w:r>
      <w:r w:rsidRPr="00510EF4">
        <w:rPr>
          <w:rFonts w:cs="Times New Roman"/>
          <w:i/>
          <w:iCs/>
          <w:szCs w:val="26"/>
        </w:rPr>
        <w:t>Jensen v. Wells Fargo Bank</w:t>
      </w:r>
      <w:r w:rsidRPr="00510EF4">
        <w:rPr>
          <w:rFonts w:cs="Times New Roman"/>
          <w:szCs w:val="26"/>
        </w:rPr>
        <w:t xml:space="preserve"> (2000) 85</w:t>
      </w:r>
      <w:r w:rsidR="005B532B">
        <w:rPr>
          <w:rFonts w:cs="Times New Roman"/>
          <w:szCs w:val="26"/>
        </w:rPr>
        <w:t> </w:t>
      </w:r>
      <w:r w:rsidRPr="00510EF4">
        <w:rPr>
          <w:rFonts w:cs="Times New Roman"/>
          <w:szCs w:val="26"/>
        </w:rPr>
        <w:t>Cal.App.4th 245, 256</w:t>
      </w:r>
      <w:r>
        <w:rPr>
          <w:rFonts w:cs="Times New Roman"/>
          <w:szCs w:val="26"/>
        </w:rPr>
        <w:t xml:space="preserve">; </w:t>
      </w:r>
      <w:r w:rsidRPr="001728BF">
        <w:rPr>
          <w:rFonts w:cs="Times New Roman"/>
          <w:i/>
          <w:iCs/>
          <w:szCs w:val="26"/>
        </w:rPr>
        <w:t>Deschene v. Pinole Point Steel Co.</w:t>
      </w:r>
      <w:r w:rsidRPr="004357D1">
        <w:rPr>
          <w:rFonts w:cs="Times New Roman"/>
          <w:szCs w:val="26"/>
        </w:rPr>
        <w:t xml:space="preserve"> (1999) 76</w:t>
      </w:r>
      <w:r w:rsidR="005B532B">
        <w:rPr>
          <w:rFonts w:cs="Times New Roman"/>
          <w:szCs w:val="26"/>
        </w:rPr>
        <w:t> </w:t>
      </w:r>
      <w:r w:rsidRPr="004357D1">
        <w:rPr>
          <w:rFonts w:cs="Times New Roman"/>
          <w:szCs w:val="26"/>
        </w:rPr>
        <w:t>Cal.App.4th 33, 44</w:t>
      </w:r>
      <w:r>
        <w:rPr>
          <w:rFonts w:cs="Times New Roman"/>
          <w:szCs w:val="26"/>
        </w:rPr>
        <w:t>.)</w:t>
      </w:r>
      <w:r w:rsidRPr="004357D1">
        <w:rPr>
          <w:rFonts w:cs="Times New Roman"/>
          <w:szCs w:val="26"/>
        </w:rPr>
        <w:t xml:space="preserve"> </w:t>
      </w:r>
      <w:r>
        <w:rPr>
          <w:rFonts w:cs="Times New Roman"/>
          <w:szCs w:val="26"/>
        </w:rPr>
        <w:t xml:space="preserve"> Similarly, we find that appellant cannot show that respondents impermissibly failed to </w:t>
      </w:r>
      <w:r w:rsidRPr="00510EF4">
        <w:rPr>
          <w:rFonts w:cs="Times New Roman"/>
          <w:szCs w:val="26"/>
        </w:rPr>
        <w:t>engage in the interactive process</w:t>
      </w:r>
      <w:r>
        <w:rPr>
          <w:rFonts w:cs="Times New Roman"/>
          <w:szCs w:val="26"/>
        </w:rPr>
        <w:t>, since she admitted she did not inform respondents that she had a disability and there are no facts leading to a triable issue as to whether respondents regarded her as having one.  (§</w:t>
      </w:r>
      <w:r w:rsidR="005B532B">
        <w:rPr>
          <w:rFonts w:cs="Times New Roman"/>
          <w:szCs w:val="26"/>
        </w:rPr>
        <w:t> </w:t>
      </w:r>
      <w:r>
        <w:rPr>
          <w:rFonts w:cs="Times New Roman"/>
          <w:szCs w:val="26"/>
        </w:rPr>
        <w:t xml:space="preserve">12940, subd. (n); see </w:t>
      </w:r>
      <w:r w:rsidRPr="00510EF4">
        <w:rPr>
          <w:rFonts w:cs="Times New Roman"/>
          <w:i/>
          <w:iCs/>
          <w:szCs w:val="26"/>
        </w:rPr>
        <w:t>Moore v. Regents of University of California</w:t>
      </w:r>
      <w:r w:rsidRPr="00510EF4">
        <w:rPr>
          <w:rFonts w:cs="Times New Roman"/>
          <w:szCs w:val="26"/>
        </w:rPr>
        <w:t xml:space="preserve"> (2016) 248</w:t>
      </w:r>
      <w:r w:rsidR="005B532B">
        <w:rPr>
          <w:rFonts w:cs="Times New Roman"/>
          <w:szCs w:val="26"/>
        </w:rPr>
        <w:t> </w:t>
      </w:r>
      <w:r w:rsidRPr="00510EF4">
        <w:rPr>
          <w:rFonts w:cs="Times New Roman"/>
          <w:szCs w:val="26"/>
        </w:rPr>
        <w:t xml:space="preserve">Cal.App.4th 216, 243 </w:t>
      </w:r>
      <w:r>
        <w:rPr>
          <w:rFonts w:cs="Times New Roman"/>
          <w:szCs w:val="26"/>
        </w:rPr>
        <w:t>[</w:t>
      </w:r>
      <w:r w:rsidRPr="00510EF4">
        <w:rPr>
          <w:rFonts w:cs="Times New Roman"/>
          <w:szCs w:val="26"/>
        </w:rPr>
        <w:t xml:space="preserve">a plaintiff </w:t>
      </w:r>
      <w:r>
        <w:rPr>
          <w:rFonts w:cs="Times New Roman"/>
          <w:szCs w:val="26"/>
        </w:rPr>
        <w:t>“</w:t>
      </w:r>
      <w:r w:rsidRPr="00510EF4">
        <w:rPr>
          <w:rFonts w:cs="Times New Roman"/>
          <w:szCs w:val="26"/>
        </w:rPr>
        <w:t xml:space="preserve">need only be regarded by the employer as having </w:t>
      </w:r>
      <w:r>
        <w:rPr>
          <w:rFonts w:cs="Times New Roman"/>
          <w:szCs w:val="26"/>
        </w:rPr>
        <w:t>[a disability]</w:t>
      </w:r>
      <w:r w:rsidRPr="00510EF4">
        <w:rPr>
          <w:rFonts w:cs="Times New Roman"/>
          <w:szCs w:val="26"/>
        </w:rPr>
        <w:t>, to be able to make out claims under section 12940, subdivisions (m) and (n)</w:t>
      </w:r>
      <w:r w:rsidR="005B532B">
        <w:rPr>
          <w:rFonts w:cs="Times New Roman"/>
          <w:szCs w:val="26"/>
        </w:rPr>
        <w:t>”</w:t>
      </w:r>
      <w:r>
        <w:rPr>
          <w:rFonts w:cs="Times New Roman"/>
          <w:szCs w:val="26"/>
        </w:rPr>
        <w:t>]</w:t>
      </w:r>
      <w:r w:rsidR="005B532B">
        <w:rPr>
          <w:rFonts w:cs="Times New Roman"/>
          <w:szCs w:val="26"/>
        </w:rPr>
        <w:t>;</w:t>
      </w:r>
      <w:r w:rsidRPr="0085798C">
        <w:t xml:space="preserve"> </w:t>
      </w:r>
      <w:r w:rsidRPr="0085798C">
        <w:rPr>
          <w:rFonts w:cs="Times New Roman"/>
          <w:i/>
          <w:iCs/>
          <w:szCs w:val="26"/>
        </w:rPr>
        <w:t>Scotch v. Art Institute of California</w:t>
      </w:r>
      <w:r w:rsidR="005B532B">
        <w:rPr>
          <w:rFonts w:cs="Times New Roman"/>
          <w:szCs w:val="26"/>
        </w:rPr>
        <w:t xml:space="preserve"> (2009) </w:t>
      </w:r>
      <w:r w:rsidRPr="0085798C">
        <w:rPr>
          <w:rFonts w:cs="Times New Roman"/>
          <w:szCs w:val="26"/>
        </w:rPr>
        <w:t>173</w:t>
      </w:r>
      <w:r w:rsidR="005B532B">
        <w:rPr>
          <w:rFonts w:cs="Times New Roman"/>
          <w:szCs w:val="26"/>
        </w:rPr>
        <w:t> </w:t>
      </w:r>
      <w:r w:rsidRPr="0085798C">
        <w:rPr>
          <w:rFonts w:cs="Times New Roman"/>
          <w:szCs w:val="26"/>
        </w:rPr>
        <w:t xml:space="preserve">Cal.App.4th </w:t>
      </w:r>
      <w:r w:rsidR="005B532B">
        <w:rPr>
          <w:rFonts w:cs="Times New Roman"/>
          <w:szCs w:val="26"/>
        </w:rPr>
        <w:t xml:space="preserve">986, </w:t>
      </w:r>
      <w:r w:rsidRPr="0085798C">
        <w:rPr>
          <w:rFonts w:cs="Times New Roman"/>
          <w:szCs w:val="26"/>
        </w:rPr>
        <w:t xml:space="preserve">1013 </w:t>
      </w:r>
      <w:r>
        <w:rPr>
          <w:rFonts w:cs="Times New Roman"/>
          <w:szCs w:val="26"/>
        </w:rPr>
        <w:t>[</w:t>
      </w:r>
      <w:r w:rsidRPr="0085798C">
        <w:rPr>
          <w:rFonts w:cs="Times New Roman"/>
          <w:szCs w:val="26"/>
        </w:rPr>
        <w:t>“</w:t>
      </w:r>
      <w:r w:rsidR="005B532B">
        <w:rPr>
          <w:rFonts w:cs="Times New Roman"/>
          <w:szCs w:val="26"/>
        </w:rPr>
        <w:t> </w:t>
      </w:r>
      <w:r w:rsidRPr="0085798C">
        <w:rPr>
          <w:rFonts w:cs="Times New Roman"/>
          <w:szCs w:val="26"/>
        </w:rPr>
        <w:t>‘Where the disability, resulting limitations, and necessary reasonable accommodations, are not open, obvious, and apparent to the employer, .</w:t>
      </w:r>
      <w:r w:rsidR="005B532B">
        <w:rPr>
          <w:rFonts w:cs="Times New Roman"/>
          <w:szCs w:val="26"/>
        </w:rPr>
        <w:t> </w:t>
      </w:r>
      <w:r w:rsidRPr="0085798C">
        <w:rPr>
          <w:rFonts w:cs="Times New Roman"/>
          <w:szCs w:val="26"/>
        </w:rPr>
        <w:t>.</w:t>
      </w:r>
      <w:r w:rsidR="005B532B">
        <w:rPr>
          <w:rFonts w:cs="Times New Roman"/>
          <w:szCs w:val="26"/>
        </w:rPr>
        <w:t> </w:t>
      </w:r>
      <w:r w:rsidRPr="0085798C">
        <w:rPr>
          <w:rFonts w:cs="Times New Roman"/>
          <w:szCs w:val="26"/>
        </w:rPr>
        <w:t>. the initial burden rests primarily upon the employee .</w:t>
      </w:r>
      <w:r w:rsidR="005B532B">
        <w:rPr>
          <w:rFonts w:cs="Times New Roman"/>
          <w:szCs w:val="26"/>
        </w:rPr>
        <w:t> </w:t>
      </w:r>
      <w:r w:rsidRPr="0085798C">
        <w:rPr>
          <w:rFonts w:cs="Times New Roman"/>
          <w:szCs w:val="26"/>
        </w:rPr>
        <w:t>.</w:t>
      </w:r>
      <w:r w:rsidR="005B532B">
        <w:rPr>
          <w:rFonts w:cs="Times New Roman"/>
          <w:szCs w:val="26"/>
        </w:rPr>
        <w:t> </w:t>
      </w:r>
      <w:r w:rsidRPr="0085798C">
        <w:rPr>
          <w:rFonts w:cs="Times New Roman"/>
          <w:szCs w:val="26"/>
        </w:rPr>
        <w:t>. to specifically identify the disability and resulting limitations, and to suggest the reasonable accommodations’</w:t>
      </w:r>
      <w:r w:rsidR="005B532B">
        <w:rPr>
          <w:rFonts w:cs="Times New Roman"/>
          <w:szCs w:val="26"/>
        </w:rPr>
        <w:t> </w:t>
      </w:r>
      <w:r w:rsidRPr="0085798C">
        <w:rPr>
          <w:rFonts w:cs="Times New Roman"/>
          <w:szCs w:val="26"/>
        </w:rPr>
        <w:t>”</w:t>
      </w:r>
      <w:r>
        <w:rPr>
          <w:rFonts w:cs="Times New Roman"/>
          <w:szCs w:val="26"/>
        </w:rPr>
        <w:t>].)</w:t>
      </w:r>
    </w:p>
    <w:p w:rsidR="006B62A0" w:rsidRPr="009953DE" w:rsidP="00E1048B" w14:paraId="2C7B8551" w14:textId="77777777">
      <w:pPr>
        <w:pStyle w:val="ListParagraph"/>
        <w:keepNext/>
        <w:numPr>
          <w:ilvl w:val="0"/>
          <w:numId w:val="1"/>
        </w:numPr>
        <w:spacing w:after="0" w:line="480" w:lineRule="atLeast"/>
        <w:rPr>
          <w:rFonts w:cs="Times New Roman"/>
          <w:i/>
          <w:iCs/>
          <w:szCs w:val="26"/>
        </w:rPr>
      </w:pPr>
      <w:r w:rsidRPr="009953DE">
        <w:rPr>
          <w:rFonts w:cs="Times New Roman"/>
          <w:i/>
          <w:iCs/>
          <w:szCs w:val="26"/>
        </w:rPr>
        <w:t>Appellant was not suffering from a medical condition related to pregnancy.</w:t>
      </w:r>
    </w:p>
    <w:p w:rsidR="006B62A0" w:rsidP="006B62A0" w14:paraId="19B65250" w14:textId="66FF0458">
      <w:pPr>
        <w:spacing w:after="0" w:line="480" w:lineRule="atLeast"/>
        <w:ind w:firstLine="720"/>
        <w:rPr>
          <w:rFonts w:cs="Times New Roman"/>
          <w:szCs w:val="26"/>
        </w:rPr>
      </w:pPr>
      <w:r>
        <w:rPr>
          <w:rFonts w:cs="Times New Roman"/>
          <w:szCs w:val="26"/>
        </w:rPr>
        <w:t>Appellant has also not shown that at the time of her employment, she was experiencing a pregnancy</w:t>
      </w:r>
      <w:r w:rsidR="00052DBF">
        <w:rPr>
          <w:rFonts w:cs="Times New Roman"/>
          <w:szCs w:val="26"/>
        </w:rPr>
        <w:t>-</w:t>
      </w:r>
      <w:r>
        <w:rPr>
          <w:rFonts w:cs="Times New Roman"/>
          <w:szCs w:val="26"/>
        </w:rPr>
        <w:t xml:space="preserve">related medical condition.  In arguing to the contrary, appellant focuses on the phrase “related to” and contends that phrase should be given the broadest interpretation such that it includes </w:t>
      </w:r>
      <w:r w:rsidRPr="008C63A5" w:rsidR="008C63A5">
        <w:rPr>
          <w:rFonts w:cs="Times New Roman"/>
          <w:i/>
          <w:iCs/>
          <w:szCs w:val="26"/>
        </w:rPr>
        <w:t>medical</w:t>
      </w:r>
      <w:r w:rsidR="008C63A5">
        <w:rPr>
          <w:rFonts w:cs="Times New Roman"/>
          <w:szCs w:val="26"/>
        </w:rPr>
        <w:t xml:space="preserve"> </w:t>
      </w:r>
      <w:r w:rsidRPr="008C63A5" w:rsidR="00A54734">
        <w:rPr>
          <w:rFonts w:cs="Times New Roman"/>
          <w:i/>
          <w:iCs/>
          <w:szCs w:val="26"/>
        </w:rPr>
        <w:t>procedures</w:t>
      </w:r>
      <w:r w:rsidR="00A54734">
        <w:rPr>
          <w:rFonts w:cs="Times New Roman"/>
          <w:szCs w:val="26"/>
        </w:rPr>
        <w:t xml:space="preserve"> related to</w:t>
      </w:r>
      <w:r>
        <w:rPr>
          <w:rFonts w:cs="Times New Roman"/>
          <w:szCs w:val="26"/>
        </w:rPr>
        <w:t xml:space="preserve"> </w:t>
      </w:r>
      <w:r w:rsidRPr="008C63A5">
        <w:rPr>
          <w:rFonts w:cs="Times New Roman"/>
          <w:szCs w:val="26"/>
        </w:rPr>
        <w:t>potential</w:t>
      </w:r>
      <w:r>
        <w:rPr>
          <w:rFonts w:cs="Times New Roman"/>
          <w:szCs w:val="26"/>
        </w:rPr>
        <w:t xml:space="preserve"> pregnancies and specifically provides protection for those “who may need an egg freezing medical procedure.”  </w:t>
      </w:r>
      <w:r w:rsidRPr="00156A79">
        <w:rPr>
          <w:rFonts w:cs="Times New Roman"/>
          <w:szCs w:val="26"/>
        </w:rPr>
        <w:t>(</w:t>
      </w:r>
      <w:r>
        <w:rPr>
          <w:rFonts w:cs="Times New Roman"/>
          <w:szCs w:val="26"/>
        </w:rPr>
        <w:t xml:space="preserve">See </w:t>
      </w:r>
      <w:r w:rsidRPr="0073536F">
        <w:rPr>
          <w:rFonts w:cs="Times New Roman"/>
          <w:i/>
          <w:iCs/>
          <w:szCs w:val="26"/>
        </w:rPr>
        <w:t>Williams</w:t>
      </w:r>
      <w:r w:rsidR="001E12C8">
        <w:rPr>
          <w:rFonts w:cs="Times New Roman"/>
          <w:i/>
          <w:iCs/>
          <w:szCs w:val="26"/>
        </w:rPr>
        <w:t>, supra</w:t>
      </w:r>
      <w:r w:rsidR="001E12C8">
        <w:rPr>
          <w:rFonts w:cs="Times New Roman"/>
          <w:szCs w:val="26"/>
        </w:rPr>
        <w:t>,</w:t>
      </w:r>
      <w:r w:rsidRPr="00156A79">
        <w:rPr>
          <w:rFonts w:cs="Times New Roman"/>
          <w:szCs w:val="26"/>
        </w:rPr>
        <w:t xml:space="preserve"> 67 Cal.App.4th </w:t>
      </w:r>
      <w:r w:rsidR="001E12C8">
        <w:rPr>
          <w:rFonts w:cs="Times New Roman"/>
          <w:szCs w:val="26"/>
        </w:rPr>
        <w:t>at p. </w:t>
      </w:r>
      <w:r w:rsidRPr="00156A79">
        <w:rPr>
          <w:rFonts w:cs="Times New Roman"/>
          <w:szCs w:val="26"/>
        </w:rPr>
        <w:t>482</w:t>
      </w:r>
      <w:r>
        <w:rPr>
          <w:rFonts w:cs="Times New Roman"/>
          <w:szCs w:val="26"/>
        </w:rPr>
        <w:t xml:space="preserve"> [</w:t>
      </w:r>
      <w:r w:rsidRPr="00156A79">
        <w:rPr>
          <w:rFonts w:cs="Times New Roman"/>
          <w:szCs w:val="26"/>
        </w:rPr>
        <w:t>“</w:t>
      </w:r>
      <w:r w:rsidR="001E12C8">
        <w:rPr>
          <w:rFonts w:cs="Times New Roman"/>
          <w:szCs w:val="26"/>
        </w:rPr>
        <w:t> </w:t>
      </w:r>
      <w:r w:rsidRPr="00156A79">
        <w:rPr>
          <w:rFonts w:cs="Times New Roman"/>
          <w:szCs w:val="26"/>
        </w:rPr>
        <w:t>‘</w:t>
      </w:r>
      <w:r w:rsidR="001E12C8">
        <w:rPr>
          <w:rFonts w:cs="Times New Roman"/>
          <w:szCs w:val="26"/>
        </w:rPr>
        <w:t> </w:t>
      </w:r>
      <w:r w:rsidRPr="00156A79">
        <w:rPr>
          <w:rFonts w:cs="Times New Roman"/>
          <w:szCs w:val="26"/>
        </w:rPr>
        <w:t>“</w:t>
      </w:r>
      <w:r>
        <w:rPr>
          <w:rFonts w:cs="Times New Roman"/>
          <w:szCs w:val="26"/>
        </w:rPr>
        <w:t>R</w:t>
      </w:r>
      <w:r w:rsidRPr="00156A79">
        <w:rPr>
          <w:rFonts w:cs="Times New Roman"/>
          <w:szCs w:val="26"/>
        </w:rPr>
        <w:t>elated” is a generous choice of wording, suggesting that interpretation should favor inclusion rather than exclusion in the close case’</w:t>
      </w:r>
      <w:r w:rsidR="001E12C8">
        <w:rPr>
          <w:rFonts w:cs="Times New Roman"/>
          <w:szCs w:val="26"/>
        </w:rPr>
        <w:t> </w:t>
      </w:r>
      <w:r w:rsidRPr="00156A79">
        <w:rPr>
          <w:rFonts w:cs="Times New Roman"/>
          <w:szCs w:val="26"/>
        </w:rPr>
        <w:t>”</w:t>
      </w:r>
      <w:r>
        <w:rPr>
          <w:rFonts w:cs="Times New Roman"/>
          <w:szCs w:val="26"/>
        </w:rPr>
        <w:t>]</w:t>
      </w:r>
      <w:r w:rsidRPr="00156A79">
        <w:rPr>
          <w:rFonts w:cs="Times New Roman"/>
          <w:szCs w:val="26"/>
        </w:rPr>
        <w:t>.</w:t>
      </w:r>
      <w:r>
        <w:rPr>
          <w:rFonts w:cs="Times New Roman"/>
          <w:szCs w:val="26"/>
        </w:rPr>
        <w:t xml:space="preserve">)  </w:t>
      </w:r>
      <w:r w:rsidR="00866ADA">
        <w:rPr>
          <w:rFonts w:cs="Times New Roman"/>
          <w:szCs w:val="26"/>
        </w:rPr>
        <w:t xml:space="preserve">Appellant’s argument seeks to expand the definition of “related medical condition” to include medical procedures that may tend toward future pregnancies. We decline to </w:t>
      </w:r>
      <w:r w:rsidR="00074FD6">
        <w:rPr>
          <w:rFonts w:cs="Times New Roman"/>
          <w:szCs w:val="26"/>
        </w:rPr>
        <w:t>d</w:t>
      </w:r>
      <w:r w:rsidR="00866ADA">
        <w:rPr>
          <w:rFonts w:cs="Times New Roman"/>
          <w:szCs w:val="26"/>
        </w:rPr>
        <w:t>o so on this record.  T</w:t>
      </w:r>
      <w:r>
        <w:rPr>
          <w:rFonts w:cs="Times New Roman"/>
          <w:szCs w:val="26"/>
        </w:rPr>
        <w:t xml:space="preserve">he plain language of the statute provides protections for </w:t>
      </w:r>
      <w:r w:rsidRPr="009953DE">
        <w:rPr>
          <w:rFonts w:cs="Times New Roman"/>
          <w:i/>
          <w:iCs/>
          <w:szCs w:val="26"/>
        </w:rPr>
        <w:t>medical</w:t>
      </w:r>
      <w:r>
        <w:rPr>
          <w:rFonts w:cs="Times New Roman"/>
          <w:szCs w:val="26"/>
        </w:rPr>
        <w:t xml:space="preserve"> </w:t>
      </w:r>
      <w:r w:rsidRPr="00F01303">
        <w:rPr>
          <w:rFonts w:cs="Times New Roman"/>
          <w:i/>
          <w:iCs/>
          <w:szCs w:val="26"/>
        </w:rPr>
        <w:t>condition</w:t>
      </w:r>
      <w:r>
        <w:rPr>
          <w:rFonts w:cs="Times New Roman"/>
          <w:i/>
          <w:iCs/>
          <w:szCs w:val="26"/>
        </w:rPr>
        <w:t>s</w:t>
      </w:r>
      <w:r>
        <w:rPr>
          <w:rFonts w:cs="Times New Roman"/>
          <w:szCs w:val="26"/>
        </w:rPr>
        <w:t xml:space="preserve"> related to pregnancy or childbirth, and therein lies the proper focus.  As we explain, under appellant’s circumstances, the egg retrieval procedure </w:t>
      </w:r>
      <w:r w:rsidR="00A54734">
        <w:rPr>
          <w:rFonts w:cs="Times New Roman"/>
          <w:szCs w:val="26"/>
        </w:rPr>
        <w:t>does not</w:t>
      </w:r>
      <w:r>
        <w:rPr>
          <w:rFonts w:cs="Times New Roman"/>
          <w:szCs w:val="26"/>
        </w:rPr>
        <w:t xml:space="preserve"> constitute a medical condition related to pregnancy under the FEHA.  </w:t>
      </w:r>
    </w:p>
    <w:p w:rsidR="006B62A0" w:rsidRPr="0066413D" w:rsidP="006B62A0" w14:paraId="02809165" w14:textId="60568CDE">
      <w:pPr>
        <w:spacing w:after="0" w:line="480" w:lineRule="atLeast"/>
        <w:ind w:firstLine="720"/>
        <w:rPr>
          <w:rFonts w:cs="Times New Roman"/>
          <w:szCs w:val="26"/>
        </w:rPr>
      </w:pPr>
      <w:r>
        <w:rPr>
          <w:rFonts w:cs="Times New Roman"/>
          <w:szCs w:val="26"/>
        </w:rPr>
        <w:t>The Commission has defined a</w:t>
      </w:r>
      <w:r w:rsidRPr="005E109A">
        <w:rPr>
          <w:rFonts w:cs="Times New Roman"/>
          <w:szCs w:val="26"/>
        </w:rPr>
        <w:t xml:space="preserve"> “</w:t>
      </w:r>
      <w:r w:rsidR="00074FD6">
        <w:rPr>
          <w:rFonts w:cs="Times New Roman"/>
          <w:szCs w:val="26"/>
        </w:rPr>
        <w:t> ‘</w:t>
      </w:r>
      <w:r w:rsidRPr="005E109A">
        <w:rPr>
          <w:rFonts w:cs="Times New Roman"/>
          <w:szCs w:val="26"/>
        </w:rPr>
        <w:t>related medical condition</w:t>
      </w:r>
      <w:r w:rsidR="00074FD6">
        <w:rPr>
          <w:rFonts w:cs="Times New Roman"/>
          <w:szCs w:val="26"/>
        </w:rPr>
        <w:t>’ </w:t>
      </w:r>
      <w:r w:rsidRPr="005E109A">
        <w:rPr>
          <w:rFonts w:cs="Times New Roman"/>
          <w:szCs w:val="26"/>
        </w:rPr>
        <w:t xml:space="preserve">” </w:t>
      </w:r>
      <w:r>
        <w:rPr>
          <w:rFonts w:cs="Times New Roman"/>
          <w:szCs w:val="26"/>
        </w:rPr>
        <w:t>a</w:t>
      </w:r>
      <w:r w:rsidRPr="005E109A">
        <w:rPr>
          <w:rFonts w:cs="Times New Roman"/>
          <w:szCs w:val="26"/>
        </w:rPr>
        <w:t xml:space="preserve">s </w:t>
      </w:r>
      <w:r>
        <w:rPr>
          <w:rFonts w:cs="Times New Roman"/>
          <w:szCs w:val="26"/>
        </w:rPr>
        <w:t>“</w:t>
      </w:r>
      <w:r w:rsidRPr="005E109A">
        <w:rPr>
          <w:rFonts w:cs="Times New Roman"/>
          <w:szCs w:val="26"/>
        </w:rPr>
        <w:t>any medically recognized physical or mental condition related to pregnancy, childbirth or recovery from pregnancy or childbirth.</w:t>
      </w:r>
      <w:r w:rsidR="001E12C8">
        <w:rPr>
          <w:rFonts w:cs="Times New Roman"/>
          <w:szCs w:val="26"/>
        </w:rPr>
        <w:t xml:space="preserve"> </w:t>
      </w:r>
      <w:r w:rsidRPr="005E109A">
        <w:rPr>
          <w:rFonts w:cs="Times New Roman"/>
          <w:szCs w:val="26"/>
        </w:rPr>
        <w:t xml:space="preserve"> This term includes, but is not limited to, lactation-related medical conditions such as mastitis; gestational diabetes; pregnancy-induced hypertension; preeclampsia; post-partum depression; loss or end of pregnancy; or recovery from loss or end of pregnancy.</w:t>
      </w:r>
      <w:r>
        <w:rPr>
          <w:rFonts w:cs="Times New Roman"/>
          <w:szCs w:val="26"/>
        </w:rPr>
        <w:t>”  (C</w:t>
      </w:r>
      <w:r w:rsidR="001E12C8">
        <w:rPr>
          <w:rFonts w:cs="Times New Roman"/>
          <w:szCs w:val="26"/>
        </w:rPr>
        <w:t xml:space="preserve">al. </w:t>
      </w:r>
      <w:r>
        <w:rPr>
          <w:rFonts w:cs="Times New Roman"/>
          <w:szCs w:val="26"/>
        </w:rPr>
        <w:t>C</w:t>
      </w:r>
      <w:r w:rsidR="001E12C8">
        <w:rPr>
          <w:rFonts w:cs="Times New Roman"/>
          <w:szCs w:val="26"/>
        </w:rPr>
        <w:t xml:space="preserve">ode </w:t>
      </w:r>
      <w:r>
        <w:rPr>
          <w:rFonts w:cs="Times New Roman"/>
          <w:szCs w:val="26"/>
        </w:rPr>
        <w:t>R</w:t>
      </w:r>
      <w:r w:rsidR="001E12C8">
        <w:rPr>
          <w:rFonts w:cs="Times New Roman"/>
          <w:szCs w:val="26"/>
        </w:rPr>
        <w:t>egs, tit. 2,</w:t>
      </w:r>
      <w:r>
        <w:rPr>
          <w:rFonts w:cs="Times New Roman"/>
          <w:szCs w:val="26"/>
        </w:rPr>
        <w:t xml:space="preserve"> §</w:t>
      </w:r>
      <w:r w:rsidR="001E12C8">
        <w:rPr>
          <w:rFonts w:cs="Times New Roman"/>
          <w:szCs w:val="26"/>
        </w:rPr>
        <w:t> </w:t>
      </w:r>
      <w:r>
        <w:rPr>
          <w:rFonts w:cs="Times New Roman"/>
          <w:szCs w:val="26"/>
        </w:rPr>
        <w:t xml:space="preserve">11035, subd. (u).)  The Commission also defines </w:t>
      </w:r>
      <w:r w:rsidRPr="005E109A">
        <w:rPr>
          <w:rFonts w:cs="Times New Roman"/>
          <w:szCs w:val="26"/>
        </w:rPr>
        <w:t>“</w:t>
      </w:r>
      <w:r w:rsidR="00074FD6">
        <w:rPr>
          <w:rFonts w:cs="Times New Roman"/>
          <w:szCs w:val="26"/>
        </w:rPr>
        <w:t> ‘</w:t>
      </w:r>
      <w:r w:rsidRPr="005E109A">
        <w:rPr>
          <w:rFonts w:cs="Times New Roman"/>
          <w:szCs w:val="26"/>
        </w:rPr>
        <w:t>condition related to pregnancy, childbirth, or a related medical condition,</w:t>
      </w:r>
      <w:r w:rsidR="00074FD6">
        <w:rPr>
          <w:rFonts w:cs="Times New Roman"/>
          <w:szCs w:val="26"/>
        </w:rPr>
        <w:t>’ </w:t>
      </w:r>
      <w:r w:rsidRPr="005E109A">
        <w:rPr>
          <w:rFonts w:cs="Times New Roman"/>
          <w:szCs w:val="26"/>
        </w:rPr>
        <w:t xml:space="preserve">” as </w:t>
      </w:r>
      <w:r>
        <w:rPr>
          <w:rFonts w:cs="Times New Roman"/>
          <w:szCs w:val="26"/>
        </w:rPr>
        <w:t>“</w:t>
      </w:r>
      <w:r w:rsidRPr="005E109A">
        <w:rPr>
          <w:rFonts w:cs="Times New Roman"/>
          <w:szCs w:val="26"/>
        </w:rPr>
        <w:t>a physical or mental condition intrinsic to pregnancy or childbirth that includes, but is not limited to, lactation.</w:t>
      </w:r>
      <w:r>
        <w:rPr>
          <w:rFonts w:cs="Times New Roman"/>
          <w:szCs w:val="26"/>
        </w:rPr>
        <w:t>”  (C</w:t>
      </w:r>
      <w:r w:rsidR="001E12C8">
        <w:rPr>
          <w:rFonts w:cs="Times New Roman"/>
          <w:szCs w:val="26"/>
        </w:rPr>
        <w:t xml:space="preserve">al. </w:t>
      </w:r>
      <w:r>
        <w:rPr>
          <w:rFonts w:cs="Times New Roman"/>
          <w:szCs w:val="26"/>
        </w:rPr>
        <w:t>C</w:t>
      </w:r>
      <w:r w:rsidR="001E12C8">
        <w:rPr>
          <w:rFonts w:cs="Times New Roman"/>
          <w:szCs w:val="26"/>
        </w:rPr>
        <w:t xml:space="preserve">ode </w:t>
      </w:r>
      <w:r>
        <w:rPr>
          <w:rFonts w:cs="Times New Roman"/>
          <w:szCs w:val="26"/>
        </w:rPr>
        <w:t>R</w:t>
      </w:r>
      <w:r w:rsidR="001E12C8">
        <w:rPr>
          <w:rFonts w:cs="Times New Roman"/>
          <w:szCs w:val="26"/>
        </w:rPr>
        <w:t>egs., tit, 2,</w:t>
      </w:r>
      <w:r>
        <w:rPr>
          <w:rFonts w:cs="Times New Roman"/>
          <w:szCs w:val="26"/>
        </w:rPr>
        <w:t xml:space="preserve"> §</w:t>
      </w:r>
      <w:r w:rsidR="001E12C8">
        <w:rPr>
          <w:rFonts w:cs="Times New Roman"/>
          <w:szCs w:val="26"/>
        </w:rPr>
        <w:t> </w:t>
      </w:r>
      <w:r>
        <w:rPr>
          <w:rFonts w:cs="Times New Roman"/>
          <w:szCs w:val="26"/>
        </w:rPr>
        <w:t>1103</w:t>
      </w:r>
      <w:r w:rsidR="00074FD6">
        <w:rPr>
          <w:rFonts w:cs="Times New Roman"/>
          <w:szCs w:val="26"/>
        </w:rPr>
        <w:t>5</w:t>
      </w:r>
      <w:r>
        <w:rPr>
          <w:rFonts w:cs="Times New Roman"/>
          <w:szCs w:val="26"/>
        </w:rPr>
        <w:t>, subd. (d).)</w:t>
      </w:r>
      <w:r w:rsidRPr="005E109A">
        <w:rPr>
          <w:rFonts w:cs="Times New Roman"/>
          <w:szCs w:val="26"/>
        </w:rPr>
        <w:t xml:space="preserve"> </w:t>
      </w:r>
      <w:r>
        <w:rPr>
          <w:rFonts w:cs="Times New Roman"/>
          <w:szCs w:val="26"/>
        </w:rPr>
        <w:t xml:space="preserve"> Appellant’s circumstances are not of the same ilk as these examples. </w:t>
      </w:r>
    </w:p>
    <w:p w:rsidR="006B62A0" w:rsidP="006B62A0" w14:paraId="19568A5D" w14:textId="60361B2E">
      <w:pPr>
        <w:spacing w:after="0" w:line="480" w:lineRule="atLeast"/>
        <w:ind w:firstLine="720"/>
        <w:rPr>
          <w:rFonts w:cs="Times New Roman"/>
          <w:szCs w:val="26"/>
        </w:rPr>
      </w:pPr>
      <w:r>
        <w:rPr>
          <w:rFonts w:cs="Times New Roman"/>
          <w:szCs w:val="26"/>
        </w:rPr>
        <w:t>Appellant correctly notes that the above list is nonexclusive.  She further argues that many of the foregoing conditions listed in the above</w:t>
      </w:r>
      <w:r w:rsidR="00074FD6">
        <w:rPr>
          <w:rFonts w:cs="Times New Roman"/>
          <w:szCs w:val="26"/>
        </w:rPr>
        <w:t>-</w:t>
      </w:r>
      <w:r>
        <w:rPr>
          <w:rFonts w:cs="Times New Roman"/>
          <w:szCs w:val="26"/>
        </w:rPr>
        <w:t>cited regulations occur while an employee is not pregnant nor trying to get pregnant and could even be remote in time from a pregnancy.  Thus, appellant argues, the related condition need not be directly linked to a current or imminent pregnancy, as the trial court found.  (C</w:t>
      </w:r>
      <w:r w:rsidR="00595DE3">
        <w:rPr>
          <w:rFonts w:cs="Times New Roman"/>
          <w:szCs w:val="26"/>
        </w:rPr>
        <w:t>f.</w:t>
      </w:r>
      <w:r>
        <w:rPr>
          <w:rFonts w:cs="Times New Roman"/>
          <w:szCs w:val="26"/>
        </w:rPr>
        <w:t xml:space="preserve"> </w:t>
      </w:r>
      <w:r w:rsidRPr="00583507">
        <w:rPr>
          <w:rFonts w:cs="Times New Roman"/>
          <w:i/>
          <w:iCs/>
          <w:szCs w:val="26"/>
        </w:rPr>
        <w:t>Williams, supra</w:t>
      </w:r>
      <w:r w:rsidRPr="00E1048B">
        <w:rPr>
          <w:rFonts w:cs="Times New Roman"/>
          <w:szCs w:val="26"/>
        </w:rPr>
        <w:t>,</w:t>
      </w:r>
      <w:r w:rsidRPr="00583507">
        <w:rPr>
          <w:rFonts w:cs="Times New Roman"/>
          <w:i/>
          <w:iCs/>
          <w:szCs w:val="26"/>
        </w:rPr>
        <w:t xml:space="preserve"> </w:t>
      </w:r>
      <w:r w:rsidRPr="0014227D">
        <w:rPr>
          <w:rFonts w:cs="Times New Roman"/>
          <w:szCs w:val="26"/>
        </w:rPr>
        <w:t>67</w:t>
      </w:r>
      <w:r w:rsidR="00595DE3">
        <w:rPr>
          <w:rFonts w:cs="Times New Roman"/>
          <w:szCs w:val="26"/>
        </w:rPr>
        <w:t> </w:t>
      </w:r>
      <w:r w:rsidRPr="0014227D">
        <w:rPr>
          <w:rFonts w:cs="Times New Roman"/>
          <w:szCs w:val="26"/>
        </w:rPr>
        <w:t xml:space="preserve">Cal.App.4th </w:t>
      </w:r>
      <w:r>
        <w:rPr>
          <w:rFonts w:cs="Times New Roman"/>
          <w:szCs w:val="26"/>
        </w:rPr>
        <w:t>at p.</w:t>
      </w:r>
      <w:r w:rsidR="00595DE3">
        <w:rPr>
          <w:rFonts w:cs="Times New Roman"/>
          <w:szCs w:val="26"/>
        </w:rPr>
        <w:t> </w:t>
      </w:r>
      <w:r w:rsidRPr="0014227D">
        <w:rPr>
          <w:rFonts w:cs="Times New Roman"/>
          <w:szCs w:val="26"/>
        </w:rPr>
        <w:t>484</w:t>
      </w:r>
      <w:r>
        <w:rPr>
          <w:rFonts w:cs="Times New Roman"/>
          <w:szCs w:val="26"/>
        </w:rPr>
        <w:t xml:space="preserve"> [“</w:t>
      </w:r>
      <w:r w:rsidRPr="0014227D">
        <w:rPr>
          <w:rFonts w:cs="Times New Roman"/>
          <w:szCs w:val="26"/>
        </w:rPr>
        <w:t>a medical disability is not protected by the PDA unless there is a direct link between the medical condition and the employee</w:t>
      </w:r>
      <w:r>
        <w:rPr>
          <w:rFonts w:cs="Times New Roman"/>
          <w:szCs w:val="26"/>
        </w:rPr>
        <w:t>’</w:t>
      </w:r>
      <w:r w:rsidRPr="0014227D">
        <w:rPr>
          <w:rFonts w:cs="Times New Roman"/>
          <w:szCs w:val="26"/>
        </w:rPr>
        <w:t>s pregnancy</w:t>
      </w:r>
      <w:r>
        <w:rPr>
          <w:rFonts w:cs="Times New Roman"/>
          <w:szCs w:val="26"/>
        </w:rPr>
        <w:t xml:space="preserve">”].)  Appellant may be technically correct that a woman may suffer certain </w:t>
      </w:r>
      <w:r w:rsidR="00A54734">
        <w:rPr>
          <w:rFonts w:cs="Times New Roman"/>
          <w:szCs w:val="26"/>
        </w:rPr>
        <w:t xml:space="preserve">medical </w:t>
      </w:r>
      <w:r>
        <w:rPr>
          <w:rFonts w:cs="Times New Roman"/>
          <w:szCs w:val="26"/>
        </w:rPr>
        <w:t>conditions</w:t>
      </w:r>
      <w:r w:rsidR="00A54734">
        <w:rPr>
          <w:rFonts w:cs="Times New Roman"/>
          <w:szCs w:val="26"/>
        </w:rPr>
        <w:t xml:space="preserve"> related to pregnancy</w:t>
      </w:r>
      <w:r>
        <w:rPr>
          <w:rFonts w:cs="Times New Roman"/>
          <w:szCs w:val="26"/>
        </w:rPr>
        <w:t xml:space="preserve">, such as postpartum depression or mastitis, while not pregnant nor trying to become pregnant.  But the statute clearly requires the presence of a medical condition related or intrinsic to pregnancy to trigger the protections under </w:t>
      </w:r>
      <w:r w:rsidR="00074FD6">
        <w:rPr>
          <w:rFonts w:cs="Times New Roman"/>
          <w:szCs w:val="26"/>
        </w:rPr>
        <w:t xml:space="preserve">the </w:t>
      </w:r>
      <w:r>
        <w:rPr>
          <w:rFonts w:cs="Times New Roman"/>
          <w:szCs w:val="26"/>
        </w:rPr>
        <w:t>FEHA.  Appellant has not identified such a condition.</w:t>
      </w:r>
    </w:p>
    <w:p w:rsidR="006B62A0" w:rsidP="006B62A0" w14:paraId="28151525" w14:textId="36A2C135">
      <w:pPr>
        <w:spacing w:after="0" w:line="480" w:lineRule="atLeast"/>
        <w:ind w:firstLine="720"/>
        <w:rPr>
          <w:rFonts w:cs="Times New Roman"/>
          <w:szCs w:val="26"/>
        </w:rPr>
      </w:pPr>
      <w:r>
        <w:rPr>
          <w:rFonts w:cs="Times New Roman"/>
          <w:szCs w:val="26"/>
        </w:rPr>
        <w:t>Appellant also argues that because the PDA provides broad protection to apply to potential pregnancies, we should follow suit</w:t>
      </w:r>
      <w:r w:rsidRPr="004A4F57">
        <w:rPr>
          <w:rFonts w:cs="Times New Roman"/>
          <w:szCs w:val="26"/>
        </w:rPr>
        <w:t xml:space="preserve">. </w:t>
      </w:r>
      <w:r w:rsidR="00595DE3">
        <w:rPr>
          <w:rFonts w:cs="Times New Roman"/>
          <w:szCs w:val="26"/>
        </w:rPr>
        <w:t xml:space="preserve"> </w:t>
      </w:r>
      <w:r>
        <w:rPr>
          <w:rFonts w:cs="Times New Roman"/>
          <w:szCs w:val="26"/>
        </w:rPr>
        <w:t xml:space="preserve">(See </w:t>
      </w:r>
      <w:r w:rsidRPr="001D14E0">
        <w:rPr>
          <w:rFonts w:cs="Times New Roman"/>
          <w:i/>
          <w:iCs/>
          <w:szCs w:val="26"/>
        </w:rPr>
        <w:t>Guz v. Bechtel National, Inc.</w:t>
      </w:r>
      <w:r w:rsidRPr="004A4F57">
        <w:rPr>
          <w:rFonts w:cs="Times New Roman"/>
          <w:szCs w:val="26"/>
        </w:rPr>
        <w:t xml:space="preserve"> (2000) 24</w:t>
      </w:r>
      <w:r w:rsidR="00595DE3">
        <w:rPr>
          <w:rFonts w:cs="Times New Roman"/>
          <w:szCs w:val="26"/>
        </w:rPr>
        <w:t> </w:t>
      </w:r>
      <w:r w:rsidRPr="004A4F57">
        <w:rPr>
          <w:rFonts w:cs="Times New Roman"/>
          <w:szCs w:val="26"/>
        </w:rPr>
        <w:t>Cal.4th 317, 354</w:t>
      </w:r>
      <w:r>
        <w:rPr>
          <w:rFonts w:cs="Times New Roman"/>
          <w:szCs w:val="26"/>
        </w:rPr>
        <w:t xml:space="preserve"> [“</w:t>
      </w:r>
      <w:r w:rsidRPr="001D14E0">
        <w:rPr>
          <w:rFonts w:cs="Times New Roman"/>
          <w:szCs w:val="26"/>
        </w:rPr>
        <w:t>Because of the similarity between state and federal employment discrimination laws, California courts look to pertinent federal precedent when applying our own statutes</w:t>
      </w:r>
      <w:r>
        <w:rPr>
          <w:rFonts w:cs="Times New Roman"/>
          <w:szCs w:val="26"/>
        </w:rPr>
        <w:t xml:space="preserve">”].)  In particular, appellant cites to federal cases that hold </w:t>
      </w:r>
      <w:r w:rsidRPr="004A4F57">
        <w:rPr>
          <w:rFonts w:cs="Times New Roman"/>
          <w:szCs w:val="26"/>
        </w:rPr>
        <w:t>“the PDA applies to discrimination based upon intended or potential pregnancy</w:t>
      </w:r>
      <w:r w:rsidR="00595DE3">
        <w:rPr>
          <w:rFonts w:cs="Times New Roman"/>
          <w:szCs w:val="26"/>
        </w:rPr>
        <w:t xml:space="preserve"> . . . </w:t>
      </w:r>
      <w:r w:rsidRPr="004A4F57">
        <w:rPr>
          <w:rFonts w:cs="Times New Roman"/>
          <w:szCs w:val="26"/>
        </w:rPr>
        <w:t>and</w:t>
      </w:r>
      <w:r w:rsidR="00595DE3">
        <w:rPr>
          <w:rFonts w:cs="Times New Roman"/>
          <w:szCs w:val="26"/>
        </w:rPr>
        <w:t xml:space="preserve"> . . . </w:t>
      </w:r>
      <w:r w:rsidRPr="004A4F57">
        <w:rPr>
          <w:rFonts w:cs="Times New Roman"/>
          <w:szCs w:val="26"/>
        </w:rPr>
        <w:t>infertility is a pregnancy-related condition for</w:t>
      </w:r>
      <w:r>
        <w:rPr>
          <w:rFonts w:cs="Times New Roman"/>
          <w:szCs w:val="26"/>
        </w:rPr>
        <w:t xml:space="preserve"> p</w:t>
      </w:r>
      <w:r w:rsidRPr="004A4F57">
        <w:rPr>
          <w:rFonts w:cs="Times New Roman"/>
          <w:szCs w:val="26"/>
        </w:rPr>
        <w:t xml:space="preserve">urposes of the PDA.” </w:t>
      </w:r>
      <w:r w:rsidR="00595DE3">
        <w:rPr>
          <w:rFonts w:cs="Times New Roman"/>
          <w:szCs w:val="26"/>
        </w:rPr>
        <w:t xml:space="preserve"> </w:t>
      </w:r>
      <w:r>
        <w:rPr>
          <w:rFonts w:cs="Times New Roman"/>
          <w:szCs w:val="26"/>
        </w:rPr>
        <w:t>(</w:t>
      </w:r>
      <w:r w:rsidRPr="001D14E0">
        <w:rPr>
          <w:rFonts w:cs="Times New Roman"/>
          <w:i/>
          <w:iCs/>
          <w:szCs w:val="26"/>
        </w:rPr>
        <w:t>Erickson v. Bd</w:t>
      </w:r>
      <w:r w:rsidR="00074FD6">
        <w:rPr>
          <w:rFonts w:cs="Times New Roman"/>
          <w:i/>
          <w:iCs/>
          <w:szCs w:val="26"/>
        </w:rPr>
        <w:t>.</w:t>
      </w:r>
      <w:r w:rsidRPr="001D14E0">
        <w:rPr>
          <w:rFonts w:cs="Times New Roman"/>
          <w:i/>
          <w:iCs/>
          <w:szCs w:val="26"/>
        </w:rPr>
        <w:t xml:space="preserve"> of Governors of State Colleges</w:t>
      </w:r>
      <w:r w:rsidRPr="004A4F57">
        <w:rPr>
          <w:rFonts w:cs="Times New Roman"/>
          <w:szCs w:val="26"/>
        </w:rPr>
        <w:t xml:space="preserve"> (N.D.Ill. 1995) 911</w:t>
      </w:r>
      <w:r w:rsidR="00595DE3">
        <w:rPr>
          <w:rFonts w:cs="Times New Roman"/>
          <w:szCs w:val="26"/>
        </w:rPr>
        <w:t> </w:t>
      </w:r>
      <w:r w:rsidRPr="004A4F57">
        <w:rPr>
          <w:rFonts w:cs="Times New Roman"/>
          <w:szCs w:val="26"/>
        </w:rPr>
        <w:t>F.Supp. 316, 319;</w:t>
      </w:r>
      <w:r>
        <w:rPr>
          <w:rFonts w:cs="Times New Roman"/>
          <w:szCs w:val="26"/>
        </w:rPr>
        <w:t xml:space="preserve"> see also</w:t>
      </w:r>
      <w:r w:rsidR="00595DE3">
        <w:rPr>
          <w:rFonts w:cs="Times New Roman"/>
          <w:szCs w:val="26"/>
        </w:rPr>
        <w:t>,</w:t>
      </w:r>
      <w:r>
        <w:rPr>
          <w:rFonts w:cs="Times New Roman"/>
          <w:szCs w:val="26"/>
        </w:rPr>
        <w:t xml:space="preserve"> e.g.,</w:t>
      </w:r>
      <w:r w:rsidRPr="004A4F57">
        <w:rPr>
          <w:rFonts w:cs="Times New Roman"/>
          <w:szCs w:val="26"/>
        </w:rPr>
        <w:t xml:space="preserve"> </w:t>
      </w:r>
      <w:r w:rsidRPr="001D14E0">
        <w:rPr>
          <w:rFonts w:cs="Times New Roman"/>
          <w:i/>
          <w:iCs/>
          <w:szCs w:val="26"/>
        </w:rPr>
        <w:t>Pacourek v. Inland Steel Co.</w:t>
      </w:r>
      <w:r w:rsidRPr="004A4F57">
        <w:rPr>
          <w:rFonts w:cs="Times New Roman"/>
          <w:szCs w:val="26"/>
        </w:rPr>
        <w:t xml:space="preserve"> (N.D.Ill. 1994) 858</w:t>
      </w:r>
      <w:r w:rsidR="00595DE3">
        <w:rPr>
          <w:rFonts w:cs="Times New Roman"/>
          <w:szCs w:val="26"/>
        </w:rPr>
        <w:t> </w:t>
      </w:r>
      <w:r w:rsidRPr="004A4F57">
        <w:rPr>
          <w:rFonts w:cs="Times New Roman"/>
          <w:szCs w:val="26"/>
        </w:rPr>
        <w:t>F.Supp. 1393, 1403 [employee undergoing in vitro fertilization treatments</w:t>
      </w:r>
      <w:r>
        <w:rPr>
          <w:rFonts w:cs="Times New Roman"/>
          <w:szCs w:val="26"/>
        </w:rPr>
        <w:t xml:space="preserve"> protected by the PDA because “</w:t>
      </w:r>
      <w:r w:rsidRPr="004A4F57">
        <w:rPr>
          <w:rFonts w:cs="Times New Roman"/>
          <w:szCs w:val="26"/>
        </w:rPr>
        <w:t>potential-pregnancy-related medical conditions should be treated like pregnancy-related medical conditions for purposes of the PDA</w:t>
      </w:r>
      <w:r>
        <w:rPr>
          <w:rFonts w:cs="Times New Roman"/>
          <w:szCs w:val="26"/>
        </w:rPr>
        <w:t>”]</w:t>
      </w:r>
      <w:r w:rsidRPr="004A4F57">
        <w:rPr>
          <w:rFonts w:cs="Times New Roman"/>
          <w:szCs w:val="26"/>
        </w:rPr>
        <w:t xml:space="preserve">; </w:t>
      </w:r>
      <w:r w:rsidRPr="001D14E0">
        <w:rPr>
          <w:rFonts w:cs="Times New Roman"/>
          <w:i/>
          <w:iCs/>
          <w:szCs w:val="26"/>
        </w:rPr>
        <w:t>Zatarain v. WDSU-Television, Inc.</w:t>
      </w:r>
      <w:r w:rsidRPr="004A4F57">
        <w:rPr>
          <w:rFonts w:cs="Times New Roman"/>
          <w:szCs w:val="26"/>
        </w:rPr>
        <w:t xml:space="preserve"> (E.D.La. Mar</w:t>
      </w:r>
      <w:r w:rsidR="00074FD6">
        <w:rPr>
          <w:rFonts w:cs="Times New Roman"/>
          <w:szCs w:val="26"/>
        </w:rPr>
        <w:t>. </w:t>
      </w:r>
      <w:r w:rsidRPr="004A4F57">
        <w:rPr>
          <w:rFonts w:cs="Times New Roman"/>
          <w:szCs w:val="26"/>
        </w:rPr>
        <w:t>9, 1995</w:t>
      </w:r>
      <w:r w:rsidR="00074FD6">
        <w:rPr>
          <w:rFonts w:cs="Times New Roman"/>
          <w:szCs w:val="26"/>
        </w:rPr>
        <w:t>, No. 94-1018</w:t>
      </w:r>
      <w:r w:rsidRPr="004A4F57">
        <w:rPr>
          <w:rFonts w:cs="Times New Roman"/>
          <w:szCs w:val="26"/>
        </w:rPr>
        <w:t xml:space="preserve">) 1995 U.S.Dist. LEXIS 2944, *1-2 </w:t>
      </w:r>
      <w:r>
        <w:rPr>
          <w:rFonts w:cs="Times New Roman"/>
          <w:szCs w:val="26"/>
        </w:rPr>
        <w:t>[</w:t>
      </w:r>
      <w:r w:rsidRPr="004A4F57">
        <w:rPr>
          <w:rFonts w:cs="Times New Roman"/>
          <w:szCs w:val="26"/>
        </w:rPr>
        <w:t xml:space="preserve">pregnancy-related conditions, such as infertility, </w:t>
      </w:r>
      <w:r>
        <w:rPr>
          <w:rFonts w:cs="Times New Roman"/>
          <w:szCs w:val="26"/>
        </w:rPr>
        <w:t>are protected under the PDA]</w:t>
      </w:r>
      <w:r w:rsidRPr="004A4F57">
        <w:rPr>
          <w:rFonts w:cs="Times New Roman"/>
          <w:szCs w:val="26"/>
        </w:rPr>
        <w:t xml:space="preserve">; </w:t>
      </w:r>
      <w:r w:rsidRPr="001D14E0">
        <w:rPr>
          <w:rFonts w:cs="Times New Roman"/>
          <w:i/>
          <w:iCs/>
          <w:szCs w:val="26"/>
        </w:rPr>
        <w:t>Cleese v. Hewlett-Packard Co.</w:t>
      </w:r>
      <w:r w:rsidRPr="004A4F57">
        <w:rPr>
          <w:rFonts w:cs="Times New Roman"/>
          <w:szCs w:val="26"/>
        </w:rPr>
        <w:t xml:space="preserve"> (</w:t>
      </w:r>
      <w:r w:rsidR="00074FD6">
        <w:rPr>
          <w:rFonts w:cs="Times New Roman"/>
          <w:szCs w:val="26"/>
        </w:rPr>
        <w:t>D.</w:t>
      </w:r>
      <w:r w:rsidRPr="004A4F57">
        <w:rPr>
          <w:rFonts w:cs="Times New Roman"/>
          <w:szCs w:val="26"/>
        </w:rPr>
        <w:t>O</w:t>
      </w:r>
      <w:r w:rsidR="00074FD6">
        <w:rPr>
          <w:rFonts w:cs="Times New Roman"/>
          <w:szCs w:val="26"/>
        </w:rPr>
        <w:t>r.</w:t>
      </w:r>
      <w:r w:rsidRPr="004A4F57">
        <w:rPr>
          <w:rFonts w:cs="Times New Roman"/>
          <w:szCs w:val="26"/>
        </w:rPr>
        <w:t xml:space="preserve"> 1995) 911 F.Supp. 1312, 1318 [“the purpose of the PDA is best served by extending its coverage to women who are trying to become pregnant</w:t>
      </w:r>
      <w:r>
        <w:rPr>
          <w:rFonts w:cs="Times New Roman"/>
          <w:szCs w:val="26"/>
        </w:rPr>
        <w:t>”].)  Appellant argues that for the same reasons that federal courts have recognized infertility as a condition protected under the PDA,</w:t>
      </w:r>
      <w:r>
        <w:rPr>
          <w:rStyle w:val="FootnoteReference"/>
          <w:rFonts w:cs="Times New Roman"/>
          <w:szCs w:val="26"/>
        </w:rPr>
        <w:footnoteReference w:id="5"/>
      </w:r>
      <w:r>
        <w:rPr>
          <w:rFonts w:cs="Times New Roman"/>
          <w:szCs w:val="26"/>
        </w:rPr>
        <w:t xml:space="preserve"> so too should we consider </w:t>
      </w:r>
      <w:r w:rsidRPr="004A4F57">
        <w:rPr>
          <w:rFonts w:cs="Times New Roman"/>
          <w:szCs w:val="26"/>
        </w:rPr>
        <w:t>egg</w:t>
      </w:r>
      <w:r>
        <w:rPr>
          <w:rFonts w:cs="Times New Roman"/>
          <w:szCs w:val="26"/>
        </w:rPr>
        <w:t xml:space="preserve"> retrieval and </w:t>
      </w:r>
      <w:r w:rsidRPr="004A4F57">
        <w:rPr>
          <w:rFonts w:cs="Times New Roman"/>
          <w:szCs w:val="26"/>
        </w:rPr>
        <w:t>s</w:t>
      </w:r>
      <w:r>
        <w:rPr>
          <w:rFonts w:cs="Times New Roman"/>
          <w:szCs w:val="26"/>
        </w:rPr>
        <w:t xml:space="preserve">torage for possible future use as a pregnancy-related medical condition.  Appellant argues that “a woman’s need to undergo a medical procedure to extract eggs and freeze them for a future unplanned pregnancy” fits readily into a reasonable definition of “pregnancy, childbirth, or a related medical condition.”  We need not wrestle with defining the protections afforded to infertility or </w:t>
      </w:r>
      <w:r w:rsidR="00074FD6">
        <w:rPr>
          <w:rFonts w:cs="Times New Roman"/>
          <w:szCs w:val="26"/>
        </w:rPr>
        <w:t>in vitro fertilization</w:t>
      </w:r>
      <w:r>
        <w:rPr>
          <w:rFonts w:cs="Times New Roman"/>
          <w:szCs w:val="26"/>
        </w:rPr>
        <w:t xml:space="preserve"> treatments through </w:t>
      </w:r>
      <w:r w:rsidR="00074FD6">
        <w:rPr>
          <w:rFonts w:cs="Times New Roman"/>
          <w:szCs w:val="26"/>
        </w:rPr>
        <w:t xml:space="preserve">the </w:t>
      </w:r>
      <w:r>
        <w:rPr>
          <w:rFonts w:cs="Times New Roman"/>
          <w:szCs w:val="26"/>
        </w:rPr>
        <w:t>FEHA because, in this case, there is no evidence, nor a reasonable inference</w:t>
      </w:r>
      <w:r w:rsidR="008A2C79">
        <w:rPr>
          <w:rFonts w:cs="Times New Roman"/>
          <w:szCs w:val="26"/>
        </w:rPr>
        <w:t>,</w:t>
      </w:r>
      <w:r>
        <w:rPr>
          <w:rFonts w:cs="Times New Roman"/>
          <w:szCs w:val="26"/>
        </w:rPr>
        <w:t xml:space="preserve"> that appellant was undergoing the egg retrieval procedure because she was experiencing infertility or some other medical condition that necessitated the procedure in order for her to become pregnant. </w:t>
      </w:r>
      <w:r w:rsidR="00A54734">
        <w:rPr>
          <w:rFonts w:cs="Times New Roman"/>
          <w:szCs w:val="26"/>
        </w:rPr>
        <w:t xml:space="preserve"> In </w:t>
      </w:r>
      <w:r w:rsidR="00C83F90">
        <w:rPr>
          <w:rFonts w:cs="Times New Roman"/>
          <w:szCs w:val="26"/>
        </w:rPr>
        <w:t>fact</w:t>
      </w:r>
      <w:r w:rsidR="00A54734">
        <w:rPr>
          <w:rFonts w:cs="Times New Roman"/>
          <w:szCs w:val="26"/>
        </w:rPr>
        <w:t>, she has n</w:t>
      </w:r>
      <w:r w:rsidR="00601F76">
        <w:rPr>
          <w:rFonts w:cs="Times New Roman"/>
          <w:szCs w:val="26"/>
        </w:rPr>
        <w:t>ever</w:t>
      </w:r>
      <w:r w:rsidR="00A54734">
        <w:rPr>
          <w:rFonts w:cs="Times New Roman"/>
          <w:szCs w:val="26"/>
        </w:rPr>
        <w:t xml:space="preserve"> identified</w:t>
      </w:r>
      <w:r w:rsidR="00132AE7">
        <w:rPr>
          <w:rFonts w:cs="Times New Roman"/>
          <w:szCs w:val="26"/>
        </w:rPr>
        <w:t>, nor provided any evidence of,</w:t>
      </w:r>
      <w:r w:rsidR="00A54734">
        <w:rPr>
          <w:rFonts w:cs="Times New Roman"/>
          <w:szCs w:val="26"/>
        </w:rPr>
        <w:t xml:space="preserve"> a medical condition that gave rise to her “need to undergo [the] medical procedure” at issue. </w:t>
      </w:r>
      <w:r>
        <w:rPr>
          <w:rFonts w:cs="Times New Roman"/>
          <w:szCs w:val="26"/>
        </w:rPr>
        <w:t xml:space="preserve"> Indeed, her reason for extracting her eggs at that time was </w:t>
      </w:r>
      <w:r w:rsidR="00CF685F">
        <w:rPr>
          <w:rFonts w:cs="Times New Roman"/>
          <w:szCs w:val="26"/>
        </w:rPr>
        <w:t xml:space="preserve">for donation and </w:t>
      </w:r>
      <w:r>
        <w:rPr>
          <w:rFonts w:cs="Times New Roman"/>
          <w:szCs w:val="26"/>
        </w:rPr>
        <w:t xml:space="preserve">to store </w:t>
      </w:r>
      <w:r w:rsidR="00CF685F">
        <w:rPr>
          <w:rFonts w:cs="Times New Roman"/>
          <w:szCs w:val="26"/>
        </w:rPr>
        <w:t>some</w:t>
      </w:r>
      <w:r>
        <w:rPr>
          <w:rFonts w:cs="Times New Roman"/>
          <w:szCs w:val="26"/>
        </w:rPr>
        <w:t xml:space="preserve"> for possible future use because the eggs were at their peak quality.  </w:t>
      </w:r>
      <w:r w:rsidR="00480214">
        <w:rPr>
          <w:rFonts w:cs="Times New Roman"/>
          <w:szCs w:val="26"/>
        </w:rPr>
        <w:t>We see a distinction between a medical procedure related to possible future pregnancy and the pregnancy</w:t>
      </w:r>
      <w:r w:rsidR="0069524C">
        <w:rPr>
          <w:rFonts w:cs="Times New Roman"/>
          <w:szCs w:val="26"/>
        </w:rPr>
        <w:t>-</w:t>
      </w:r>
      <w:r w:rsidR="00480214">
        <w:rPr>
          <w:rFonts w:cs="Times New Roman"/>
          <w:szCs w:val="26"/>
        </w:rPr>
        <w:t>related medical condition contemplated in the statute.</w:t>
      </w:r>
      <w:r>
        <w:rPr>
          <w:rFonts w:cs="Times New Roman"/>
          <w:szCs w:val="26"/>
        </w:rPr>
        <w:t xml:space="preserve"> </w:t>
      </w:r>
      <w:r w:rsidR="0069524C">
        <w:rPr>
          <w:rFonts w:cs="Times New Roman"/>
          <w:szCs w:val="26"/>
        </w:rPr>
        <w:t xml:space="preserve"> </w:t>
      </w:r>
      <w:r w:rsidR="00480214">
        <w:rPr>
          <w:rFonts w:cs="Times New Roman"/>
          <w:szCs w:val="26"/>
        </w:rPr>
        <w:t>Again, there is no evidence that appellant was pregnant, infertile, or addressing some other medical condition.  She was undergoing a</w:t>
      </w:r>
      <w:r w:rsidR="00866ADA">
        <w:rPr>
          <w:rFonts w:cs="Times New Roman"/>
          <w:szCs w:val="26"/>
        </w:rPr>
        <w:t xml:space="preserve">n elective </w:t>
      </w:r>
      <w:r w:rsidR="00480214">
        <w:rPr>
          <w:rFonts w:cs="Times New Roman"/>
          <w:szCs w:val="26"/>
        </w:rPr>
        <w:t>medical procedure but, w</w:t>
      </w:r>
      <w:r w:rsidR="009C2F32">
        <w:rPr>
          <w:rFonts w:cs="Times New Roman"/>
          <w:szCs w:val="26"/>
        </w:rPr>
        <w:t>ithout a</w:t>
      </w:r>
      <w:r w:rsidR="00866ADA">
        <w:rPr>
          <w:rFonts w:cs="Times New Roman"/>
          <w:szCs w:val="26"/>
        </w:rPr>
        <w:t>n underlying</w:t>
      </w:r>
      <w:r w:rsidR="009C2F32">
        <w:rPr>
          <w:rFonts w:cs="Times New Roman"/>
          <w:szCs w:val="26"/>
        </w:rPr>
        <w:t xml:space="preserve"> medical condition</w:t>
      </w:r>
      <w:r w:rsidR="00513429">
        <w:rPr>
          <w:rFonts w:cs="Times New Roman"/>
          <w:szCs w:val="26"/>
        </w:rPr>
        <w:t xml:space="preserve"> related to pregnancy</w:t>
      </w:r>
      <w:r w:rsidR="009C2F32">
        <w:rPr>
          <w:rFonts w:cs="Times New Roman"/>
          <w:szCs w:val="26"/>
        </w:rPr>
        <w:t xml:space="preserve">, appellant </w:t>
      </w:r>
      <w:r w:rsidR="00513429">
        <w:rPr>
          <w:rFonts w:cs="Times New Roman"/>
          <w:szCs w:val="26"/>
        </w:rPr>
        <w:t>does</w:t>
      </w:r>
      <w:r w:rsidR="009C2F32">
        <w:rPr>
          <w:rFonts w:cs="Times New Roman"/>
          <w:szCs w:val="26"/>
        </w:rPr>
        <w:t xml:space="preserve"> not have a protected characteristic under the FEHA.  </w:t>
      </w:r>
    </w:p>
    <w:p w:rsidR="006B62A0" w:rsidP="006B62A0" w14:paraId="4BD8EF34" w14:textId="7410CDD8">
      <w:pPr>
        <w:spacing w:after="0" w:line="480" w:lineRule="atLeast"/>
        <w:ind w:firstLine="720"/>
        <w:rPr>
          <w:rFonts w:cs="Times New Roman"/>
          <w:szCs w:val="26"/>
        </w:rPr>
      </w:pPr>
      <w:r>
        <w:rPr>
          <w:rFonts w:cs="Times New Roman"/>
          <w:szCs w:val="26"/>
        </w:rPr>
        <w:t xml:space="preserve">Appellant’s reliance on recent amendments to section 12940 do not assist her.  The Legislature recently enacted Senate Bill </w:t>
      </w:r>
      <w:r w:rsidR="00595DE3">
        <w:rPr>
          <w:rFonts w:cs="Times New Roman"/>
          <w:szCs w:val="26"/>
        </w:rPr>
        <w:t>No.</w:t>
      </w:r>
      <w:r w:rsidR="00074FD6">
        <w:rPr>
          <w:rFonts w:cs="Times New Roman"/>
          <w:szCs w:val="26"/>
        </w:rPr>
        <w:t> </w:t>
      </w:r>
      <w:r>
        <w:rPr>
          <w:rFonts w:cs="Times New Roman"/>
          <w:szCs w:val="26"/>
        </w:rPr>
        <w:t>523</w:t>
      </w:r>
      <w:r w:rsidR="00595DE3">
        <w:rPr>
          <w:rFonts w:cs="Times New Roman"/>
          <w:szCs w:val="26"/>
        </w:rPr>
        <w:t xml:space="preserve"> (2021-2022 Reg. Sess.)</w:t>
      </w:r>
      <w:r>
        <w:rPr>
          <w:rFonts w:cs="Times New Roman"/>
          <w:szCs w:val="26"/>
        </w:rPr>
        <w:t>, effective on January</w:t>
      </w:r>
      <w:r w:rsidR="00074FD6">
        <w:rPr>
          <w:rFonts w:cs="Times New Roman"/>
          <w:szCs w:val="26"/>
        </w:rPr>
        <w:t> </w:t>
      </w:r>
      <w:r>
        <w:rPr>
          <w:rFonts w:cs="Times New Roman"/>
          <w:szCs w:val="26"/>
        </w:rPr>
        <w:t>1, 2023, to include and define “reproductive health decisionmaking.”  (§§</w:t>
      </w:r>
      <w:r w:rsidR="00595DE3">
        <w:rPr>
          <w:rFonts w:cs="Times New Roman"/>
          <w:szCs w:val="26"/>
        </w:rPr>
        <w:t> </w:t>
      </w:r>
      <w:r w:rsidR="00074FD6">
        <w:rPr>
          <w:rFonts w:cs="Times New Roman"/>
          <w:szCs w:val="26"/>
        </w:rPr>
        <w:t xml:space="preserve">12926, subd. (y), </w:t>
      </w:r>
      <w:r>
        <w:rPr>
          <w:rFonts w:cs="Times New Roman"/>
          <w:szCs w:val="26"/>
        </w:rPr>
        <w:t xml:space="preserve">12940, subd. (a).)  We first note that appellant fails to acknowledge, anywhere in her opening brief, that the amendments to section 12940 occurred long </w:t>
      </w:r>
      <w:r w:rsidRPr="00987F27">
        <w:rPr>
          <w:rFonts w:cs="Times New Roman"/>
          <w:i/>
          <w:iCs/>
          <w:szCs w:val="26"/>
        </w:rPr>
        <w:t xml:space="preserve">after </w:t>
      </w:r>
      <w:r>
        <w:rPr>
          <w:rFonts w:cs="Times New Roman"/>
          <w:szCs w:val="26"/>
        </w:rPr>
        <w:t>both the conduct she complains of in this case and the trial court’s summary judgment ruling.  Thus, not only did she not argue this before the trial court, she could not have done so because it was not then the state of the law.  Nonetheless, appellant cites to the recent amendment and argues that she was terminated because of her decision to use or access a particular medical service for reproductive health.  She also argues that the Legislature’s amendment conclusively establishes that appellant’s egg retrieval process was a protected activity.  (§</w:t>
      </w:r>
      <w:r w:rsidR="00595DE3">
        <w:rPr>
          <w:rFonts w:cs="Times New Roman"/>
          <w:szCs w:val="26"/>
        </w:rPr>
        <w:t> </w:t>
      </w:r>
      <w:r>
        <w:rPr>
          <w:rFonts w:cs="Times New Roman"/>
          <w:szCs w:val="26"/>
        </w:rPr>
        <w:t>12940, subd. (a).)  Yet appellant does not provide any analysis or reasoning for the latter</w:t>
      </w:r>
      <w:r w:rsidR="00416FEE">
        <w:rPr>
          <w:rFonts w:cs="Times New Roman"/>
          <w:szCs w:val="26"/>
        </w:rPr>
        <w:t>,</w:t>
      </w:r>
      <w:r>
        <w:rPr>
          <w:rFonts w:cs="Times New Roman"/>
          <w:szCs w:val="26"/>
        </w:rPr>
        <w:t xml:space="preserve"> and we thus disregard it.</w:t>
      </w:r>
      <w:r w:rsidR="008A2C79">
        <w:rPr>
          <w:rFonts w:cs="Times New Roman"/>
          <w:szCs w:val="26"/>
        </w:rPr>
        <w:t xml:space="preserve"> </w:t>
      </w:r>
      <w:r>
        <w:rPr>
          <w:rFonts w:cs="Times New Roman"/>
          <w:szCs w:val="26"/>
        </w:rPr>
        <w:t xml:space="preserve"> </w:t>
      </w:r>
      <w:r w:rsidRPr="00826F09">
        <w:rPr>
          <w:rFonts w:cs="Times New Roman"/>
          <w:szCs w:val="26"/>
        </w:rPr>
        <w:t xml:space="preserve">(See </w:t>
      </w:r>
      <w:r w:rsidRPr="00CB6C2C">
        <w:rPr>
          <w:rFonts w:cs="Times New Roman"/>
          <w:i/>
          <w:iCs/>
          <w:szCs w:val="26"/>
        </w:rPr>
        <w:t>Ewald v. Nationstar Mortgage, LLC</w:t>
      </w:r>
      <w:r>
        <w:rPr>
          <w:rFonts w:cs="Times New Roman"/>
          <w:szCs w:val="26"/>
        </w:rPr>
        <w:t xml:space="preserve"> (2017)</w:t>
      </w:r>
      <w:r w:rsidRPr="00CB6C2C">
        <w:rPr>
          <w:rFonts w:cs="Times New Roman"/>
          <w:szCs w:val="26"/>
        </w:rPr>
        <w:t xml:space="preserve"> 13</w:t>
      </w:r>
      <w:r w:rsidR="00595DE3">
        <w:rPr>
          <w:rFonts w:cs="Times New Roman"/>
          <w:szCs w:val="26"/>
        </w:rPr>
        <w:t> </w:t>
      </w:r>
      <w:r w:rsidRPr="00CB6C2C">
        <w:rPr>
          <w:rFonts w:cs="Times New Roman"/>
          <w:szCs w:val="26"/>
        </w:rPr>
        <w:t>Cal.App.5</w:t>
      </w:r>
      <w:r w:rsidRPr="00E1048B">
        <w:rPr>
          <w:rFonts w:cs="Times New Roman"/>
          <w:szCs w:val="26"/>
        </w:rPr>
        <w:t>th</w:t>
      </w:r>
      <w:r w:rsidRPr="00CB6C2C">
        <w:rPr>
          <w:rFonts w:cs="Times New Roman"/>
          <w:szCs w:val="26"/>
        </w:rPr>
        <w:t xml:space="preserve"> 947, 94</w:t>
      </w:r>
      <w:r w:rsidR="00074FD6">
        <w:rPr>
          <w:rFonts w:cs="Times New Roman"/>
          <w:szCs w:val="26"/>
        </w:rPr>
        <w:t>8</w:t>
      </w:r>
      <w:r>
        <w:rPr>
          <w:rFonts w:cs="Times New Roman"/>
          <w:szCs w:val="26"/>
        </w:rPr>
        <w:t xml:space="preserve"> [“</w:t>
      </w:r>
      <w:r w:rsidRPr="00CB6C2C">
        <w:rPr>
          <w:rFonts w:cs="Times New Roman"/>
          <w:szCs w:val="26"/>
        </w:rPr>
        <w:t>We repeatedly have held that the failure to provide legal authorities to support arguments forfeits contentions of error</w:t>
      </w:r>
      <w:r>
        <w:rPr>
          <w:rFonts w:cs="Times New Roman"/>
          <w:szCs w:val="26"/>
        </w:rPr>
        <w:t>”</w:t>
      </w:r>
      <w:r w:rsidRPr="00826F09">
        <w:rPr>
          <w:rFonts w:cs="Times New Roman"/>
          <w:szCs w:val="26"/>
        </w:rPr>
        <w:t>].)</w:t>
      </w:r>
      <w:r>
        <w:rPr>
          <w:rFonts w:cs="Times New Roman"/>
          <w:szCs w:val="26"/>
        </w:rPr>
        <w:t xml:space="preserve">  Appellant also does not address the retroactivity of this amendment other than to assert, in her reply brief,</w:t>
      </w:r>
      <w:r w:rsidR="008C43C6">
        <w:rPr>
          <w:rFonts w:cs="Times New Roman"/>
          <w:szCs w:val="26"/>
        </w:rPr>
        <w:t xml:space="preserve"> as she did at oral argument,</w:t>
      </w:r>
      <w:r>
        <w:rPr>
          <w:rFonts w:cs="Times New Roman"/>
          <w:szCs w:val="26"/>
        </w:rPr>
        <w:t xml:space="preserve"> that the amendment was a mere clarification of existing law, i.e.</w:t>
      </w:r>
      <w:r w:rsidR="00074FD6">
        <w:rPr>
          <w:rFonts w:cs="Times New Roman"/>
          <w:szCs w:val="26"/>
        </w:rPr>
        <w:t>,</w:t>
      </w:r>
      <w:r>
        <w:rPr>
          <w:rFonts w:cs="Times New Roman"/>
          <w:szCs w:val="26"/>
        </w:rPr>
        <w:t xml:space="preserve"> the forms of sex discrimination, and thus presents no question of retroactivity.  As we have indicated, the issue of retroactivity was not addressed in her</w:t>
      </w:r>
      <w:r w:rsidRPr="00826F09">
        <w:rPr>
          <w:rFonts w:cs="Times New Roman"/>
          <w:szCs w:val="26"/>
        </w:rPr>
        <w:t xml:space="preserve"> opening brief</w:t>
      </w:r>
      <w:r>
        <w:rPr>
          <w:rFonts w:cs="Times New Roman"/>
          <w:szCs w:val="26"/>
        </w:rPr>
        <w:t xml:space="preserve">, and we thus find it forfeited. </w:t>
      </w:r>
      <w:r w:rsidRPr="00826F09">
        <w:rPr>
          <w:rFonts w:cs="Times New Roman"/>
          <w:szCs w:val="26"/>
        </w:rPr>
        <w:t xml:space="preserve"> (</w:t>
      </w:r>
      <w:r>
        <w:rPr>
          <w:rFonts w:cs="Times New Roman"/>
          <w:szCs w:val="26"/>
        </w:rPr>
        <w:t xml:space="preserve">See </w:t>
      </w:r>
      <w:r w:rsidRPr="00600994">
        <w:rPr>
          <w:rFonts w:cs="Times New Roman"/>
          <w:i/>
          <w:iCs/>
          <w:szCs w:val="26"/>
        </w:rPr>
        <w:t>WorldMark, The Club v. Wyndham Resort Development Corp</w:t>
      </w:r>
      <w:r w:rsidRPr="00665861">
        <w:rPr>
          <w:rFonts w:cs="Times New Roman"/>
          <w:i/>
          <w:iCs/>
          <w:szCs w:val="26"/>
        </w:rPr>
        <w:t>.</w:t>
      </w:r>
      <w:r w:rsidRPr="00826F09">
        <w:rPr>
          <w:rFonts w:cs="Times New Roman"/>
          <w:szCs w:val="26"/>
        </w:rPr>
        <w:t xml:space="preserve"> (2010) 187</w:t>
      </w:r>
      <w:r w:rsidR="00595DE3">
        <w:rPr>
          <w:rFonts w:cs="Times New Roman"/>
          <w:szCs w:val="26"/>
        </w:rPr>
        <w:t> </w:t>
      </w:r>
      <w:r w:rsidRPr="00826F09">
        <w:rPr>
          <w:rFonts w:cs="Times New Roman"/>
          <w:szCs w:val="26"/>
        </w:rPr>
        <w:t>Cal.App.4th 1017, 1030, fn.</w:t>
      </w:r>
      <w:r w:rsidR="00595DE3">
        <w:rPr>
          <w:rFonts w:cs="Times New Roman"/>
          <w:szCs w:val="26"/>
        </w:rPr>
        <w:t> </w:t>
      </w:r>
      <w:r w:rsidRPr="00826F09">
        <w:rPr>
          <w:rFonts w:cs="Times New Roman"/>
          <w:szCs w:val="26"/>
        </w:rPr>
        <w:t xml:space="preserve">7 [“Arguments raised for the first time in the reply brief are untimely and may be disregarded”].) </w:t>
      </w:r>
      <w:r>
        <w:rPr>
          <w:rFonts w:cs="Times New Roman"/>
          <w:szCs w:val="26"/>
        </w:rPr>
        <w:t xml:space="preserve"> </w:t>
      </w:r>
    </w:p>
    <w:p w:rsidR="006B62A0" w:rsidRPr="0061662B" w:rsidP="0061662B" w14:paraId="5C5D71A9" w14:textId="25338E59">
      <w:pPr>
        <w:pStyle w:val="ListParagraph"/>
        <w:keepNext/>
        <w:numPr>
          <w:ilvl w:val="0"/>
          <w:numId w:val="1"/>
        </w:numPr>
        <w:spacing w:after="0" w:line="480" w:lineRule="atLeast"/>
        <w:rPr>
          <w:rFonts w:cs="Times New Roman"/>
          <w:szCs w:val="26"/>
        </w:rPr>
      </w:pPr>
      <w:r w:rsidRPr="0061662B">
        <w:rPr>
          <w:rFonts w:cs="Times New Roman"/>
          <w:i/>
          <w:iCs/>
          <w:szCs w:val="26"/>
        </w:rPr>
        <w:t>Appellant cannot establish a claim for unlawful employment practices under the FEHA</w:t>
      </w:r>
      <w:r w:rsidRPr="0061662B">
        <w:rPr>
          <w:rFonts w:cs="Times New Roman"/>
          <w:szCs w:val="26"/>
        </w:rPr>
        <w:t xml:space="preserve">. </w:t>
      </w:r>
    </w:p>
    <w:p w:rsidR="006B62A0" w:rsidRPr="00C074BC" w:rsidP="006B62A0" w14:paraId="07DE3D16" w14:textId="25416972">
      <w:pPr>
        <w:spacing w:after="0" w:line="480" w:lineRule="atLeast"/>
        <w:ind w:firstLine="720"/>
        <w:rPr>
          <w:rFonts w:cs="Times New Roman"/>
          <w:szCs w:val="26"/>
        </w:rPr>
      </w:pPr>
      <w:r w:rsidRPr="00C074BC">
        <w:rPr>
          <w:rFonts w:cs="Times New Roman"/>
          <w:szCs w:val="26"/>
        </w:rPr>
        <w:t xml:space="preserve">The FEHA </w:t>
      </w:r>
      <w:r>
        <w:rPr>
          <w:rFonts w:cs="Times New Roman"/>
          <w:szCs w:val="26"/>
        </w:rPr>
        <w:t xml:space="preserve">also </w:t>
      </w:r>
      <w:r w:rsidRPr="00C074BC">
        <w:rPr>
          <w:rFonts w:cs="Times New Roman"/>
          <w:szCs w:val="26"/>
        </w:rPr>
        <w:t xml:space="preserve">prohibits employers from failing </w:t>
      </w:r>
      <w:r>
        <w:rPr>
          <w:rFonts w:cs="Times New Roman"/>
          <w:szCs w:val="26"/>
        </w:rPr>
        <w:t>“</w:t>
      </w:r>
      <w:r w:rsidRPr="00C074BC">
        <w:rPr>
          <w:rFonts w:cs="Times New Roman"/>
          <w:szCs w:val="26"/>
        </w:rPr>
        <w:t>to take all reasonable steps necessary to prevent discrimination and harassment from occurring.</w:t>
      </w:r>
      <w:r>
        <w:rPr>
          <w:rFonts w:cs="Times New Roman"/>
          <w:szCs w:val="26"/>
        </w:rPr>
        <w:t>”</w:t>
      </w:r>
      <w:r w:rsidR="00595DE3">
        <w:rPr>
          <w:rFonts w:cs="Times New Roman"/>
          <w:szCs w:val="26"/>
        </w:rPr>
        <w:t xml:space="preserve"> </w:t>
      </w:r>
      <w:r w:rsidRPr="00C074BC">
        <w:rPr>
          <w:rFonts w:cs="Times New Roman"/>
          <w:szCs w:val="26"/>
        </w:rPr>
        <w:t xml:space="preserve"> (§</w:t>
      </w:r>
      <w:r w:rsidR="00595DE3">
        <w:rPr>
          <w:rFonts w:cs="Times New Roman"/>
          <w:szCs w:val="26"/>
        </w:rPr>
        <w:t> </w:t>
      </w:r>
      <w:r w:rsidRPr="00C074BC">
        <w:rPr>
          <w:rFonts w:cs="Times New Roman"/>
          <w:szCs w:val="26"/>
        </w:rPr>
        <w:t xml:space="preserve">12940, subd. (k).) </w:t>
      </w:r>
      <w:r w:rsidR="00595DE3">
        <w:rPr>
          <w:rFonts w:cs="Times New Roman"/>
          <w:szCs w:val="26"/>
        </w:rPr>
        <w:t xml:space="preserve"> </w:t>
      </w:r>
      <w:r>
        <w:rPr>
          <w:rFonts w:cs="Times New Roman"/>
          <w:szCs w:val="26"/>
        </w:rPr>
        <w:t>“</w:t>
      </w:r>
      <w:r w:rsidRPr="00B43D48">
        <w:rPr>
          <w:rFonts w:cs="Times New Roman"/>
          <w:szCs w:val="26"/>
        </w:rPr>
        <w:t>It creates a separate actionable tort enforceable upon the establishment of the usual tort elements of duty of care, breach of duty (a negligent act or omission), causation, and damages.</w:t>
      </w:r>
      <w:r>
        <w:rPr>
          <w:rFonts w:cs="Times New Roman"/>
          <w:szCs w:val="26"/>
        </w:rPr>
        <w:t>”</w:t>
      </w:r>
      <w:r w:rsidR="00BA400E">
        <w:rPr>
          <w:rFonts w:cs="Times New Roman"/>
          <w:szCs w:val="26"/>
        </w:rPr>
        <w:t xml:space="preserve"> </w:t>
      </w:r>
      <w:r w:rsidRPr="00B43D48">
        <w:rPr>
          <w:rFonts w:cs="Times New Roman"/>
          <w:szCs w:val="26"/>
        </w:rPr>
        <w:t xml:space="preserve"> </w:t>
      </w:r>
      <w:r>
        <w:rPr>
          <w:rFonts w:cs="Times New Roman"/>
          <w:szCs w:val="26"/>
        </w:rPr>
        <w:t>(</w:t>
      </w:r>
      <w:r w:rsidRPr="00B43D48">
        <w:rPr>
          <w:rFonts w:cs="Times New Roman"/>
          <w:i/>
          <w:iCs/>
          <w:szCs w:val="26"/>
        </w:rPr>
        <w:t>Dickson v. Burke Williams, Inc.</w:t>
      </w:r>
      <w:r w:rsidRPr="00B43D48">
        <w:rPr>
          <w:rFonts w:cs="Times New Roman"/>
          <w:szCs w:val="26"/>
        </w:rPr>
        <w:t xml:space="preserve"> (2015) 234</w:t>
      </w:r>
      <w:r w:rsidR="00595DE3">
        <w:rPr>
          <w:rFonts w:cs="Times New Roman"/>
          <w:szCs w:val="26"/>
        </w:rPr>
        <w:t> </w:t>
      </w:r>
      <w:r w:rsidRPr="00B43D48">
        <w:rPr>
          <w:rFonts w:cs="Times New Roman"/>
          <w:szCs w:val="26"/>
        </w:rPr>
        <w:t>Cal.App.4th 1307, 1313</w:t>
      </w:r>
      <w:r>
        <w:rPr>
          <w:rFonts w:cs="Times New Roman"/>
          <w:szCs w:val="26"/>
        </w:rPr>
        <w:t>.</w:t>
      </w:r>
      <w:r w:rsidRPr="00B43D48">
        <w:rPr>
          <w:rFonts w:cs="Times New Roman"/>
          <w:szCs w:val="26"/>
        </w:rPr>
        <w:t>)</w:t>
      </w:r>
      <w:r>
        <w:rPr>
          <w:rFonts w:cs="Times New Roman"/>
          <w:szCs w:val="26"/>
        </w:rPr>
        <w:t xml:space="preserve">  </w:t>
      </w:r>
      <w:r w:rsidRPr="00B43D48">
        <w:rPr>
          <w:rFonts w:cs="Times New Roman"/>
          <w:szCs w:val="26"/>
        </w:rPr>
        <w:t>“</w:t>
      </w:r>
      <w:r>
        <w:rPr>
          <w:rFonts w:cs="Times New Roman"/>
          <w:szCs w:val="26"/>
        </w:rPr>
        <w:t>[C]o</w:t>
      </w:r>
      <w:r w:rsidRPr="00B43D48">
        <w:rPr>
          <w:rFonts w:cs="Times New Roman"/>
          <w:szCs w:val="26"/>
        </w:rPr>
        <w:t xml:space="preserve">urts have required a finding of actual discrimination or harassment under FEHA before a plaintiff may prevail under section 12940, subdivision (k).” </w:t>
      </w:r>
      <w:r w:rsidR="00595DE3">
        <w:rPr>
          <w:rFonts w:cs="Times New Roman"/>
          <w:szCs w:val="26"/>
        </w:rPr>
        <w:t xml:space="preserve"> </w:t>
      </w:r>
      <w:r w:rsidRPr="00B43D48">
        <w:rPr>
          <w:rFonts w:cs="Times New Roman"/>
          <w:szCs w:val="26"/>
        </w:rPr>
        <w:t>(</w:t>
      </w:r>
      <w:r w:rsidRPr="00B43D48">
        <w:rPr>
          <w:rFonts w:cs="Times New Roman"/>
          <w:i/>
          <w:iCs/>
          <w:szCs w:val="26"/>
        </w:rPr>
        <w:t>Carter v. California Dept. of Veterans Affairs</w:t>
      </w:r>
      <w:r>
        <w:rPr>
          <w:rFonts w:cs="Times New Roman"/>
          <w:i/>
          <w:iCs/>
          <w:szCs w:val="26"/>
        </w:rPr>
        <w:t xml:space="preserve"> </w:t>
      </w:r>
      <w:r>
        <w:rPr>
          <w:rFonts w:cs="Times New Roman"/>
          <w:szCs w:val="26"/>
        </w:rPr>
        <w:t>(2006)</w:t>
      </w:r>
      <w:r w:rsidRPr="00B43D48">
        <w:rPr>
          <w:rFonts w:cs="Times New Roman"/>
          <w:szCs w:val="26"/>
        </w:rPr>
        <w:t xml:space="preserve"> 38</w:t>
      </w:r>
      <w:r w:rsidR="00595DE3">
        <w:rPr>
          <w:rFonts w:cs="Times New Roman"/>
          <w:szCs w:val="26"/>
        </w:rPr>
        <w:t> </w:t>
      </w:r>
      <w:r w:rsidRPr="00B43D48">
        <w:rPr>
          <w:rFonts w:cs="Times New Roman"/>
          <w:szCs w:val="26"/>
        </w:rPr>
        <w:t xml:space="preserve">Cal.4th </w:t>
      </w:r>
      <w:r>
        <w:rPr>
          <w:rFonts w:cs="Times New Roman"/>
          <w:szCs w:val="26"/>
        </w:rPr>
        <w:t>914,</w:t>
      </w:r>
      <w:r w:rsidRPr="00B43D48">
        <w:rPr>
          <w:rFonts w:cs="Times New Roman"/>
          <w:szCs w:val="26"/>
        </w:rPr>
        <w:t xml:space="preserve"> 925, fn.</w:t>
      </w:r>
      <w:r w:rsidR="00595DE3">
        <w:rPr>
          <w:rFonts w:cs="Times New Roman"/>
          <w:szCs w:val="26"/>
        </w:rPr>
        <w:t> </w:t>
      </w:r>
      <w:r w:rsidRPr="00B43D48">
        <w:rPr>
          <w:rFonts w:cs="Times New Roman"/>
          <w:szCs w:val="26"/>
        </w:rPr>
        <w:t xml:space="preserve">4, </w:t>
      </w:r>
      <w:r>
        <w:rPr>
          <w:rFonts w:cs="Times New Roman"/>
          <w:szCs w:val="26"/>
        </w:rPr>
        <w:t xml:space="preserve">citing </w:t>
      </w:r>
      <w:r w:rsidRPr="00B43D48">
        <w:rPr>
          <w:rFonts w:cs="Times New Roman"/>
          <w:i/>
          <w:iCs/>
          <w:szCs w:val="26"/>
        </w:rPr>
        <w:t xml:space="preserve">Trujillo </w:t>
      </w:r>
      <w:r w:rsidR="00BA400E">
        <w:rPr>
          <w:rFonts w:cs="Times New Roman"/>
          <w:i/>
          <w:iCs/>
          <w:szCs w:val="26"/>
        </w:rPr>
        <w:t>v</w:t>
      </w:r>
      <w:r w:rsidRPr="00B43D48">
        <w:rPr>
          <w:rFonts w:cs="Times New Roman"/>
          <w:i/>
          <w:iCs/>
          <w:szCs w:val="26"/>
        </w:rPr>
        <w:t>. North County Transi</w:t>
      </w:r>
      <w:r>
        <w:rPr>
          <w:rFonts w:cs="Times New Roman"/>
          <w:i/>
          <w:iCs/>
          <w:szCs w:val="26"/>
        </w:rPr>
        <w:t>t</w:t>
      </w:r>
      <w:r w:rsidRPr="00B43D48">
        <w:rPr>
          <w:rFonts w:cs="Times New Roman"/>
          <w:i/>
          <w:iCs/>
          <w:szCs w:val="26"/>
        </w:rPr>
        <w:t xml:space="preserve"> Dist.</w:t>
      </w:r>
      <w:r w:rsidRPr="00C074BC">
        <w:rPr>
          <w:rFonts w:cs="Times New Roman"/>
          <w:szCs w:val="26"/>
        </w:rPr>
        <w:t xml:space="preserve"> (1998) 63</w:t>
      </w:r>
      <w:r w:rsidR="00595DE3">
        <w:rPr>
          <w:rFonts w:cs="Times New Roman"/>
          <w:szCs w:val="26"/>
        </w:rPr>
        <w:t> </w:t>
      </w:r>
      <w:r w:rsidRPr="00C074BC">
        <w:rPr>
          <w:rFonts w:cs="Times New Roman"/>
          <w:szCs w:val="26"/>
        </w:rPr>
        <w:t>Cal.App.4th 280, 28</w:t>
      </w:r>
      <w:r w:rsidR="00BA400E">
        <w:rPr>
          <w:rFonts w:cs="Times New Roman"/>
          <w:szCs w:val="26"/>
        </w:rPr>
        <w:t>3-284</w:t>
      </w:r>
      <w:r w:rsidRPr="00C074BC">
        <w:rPr>
          <w:rFonts w:cs="Times New Roman"/>
          <w:szCs w:val="26"/>
        </w:rPr>
        <w:t xml:space="preserve">.) </w:t>
      </w:r>
      <w:r w:rsidR="008A2C79">
        <w:rPr>
          <w:rFonts w:cs="Times New Roman"/>
          <w:szCs w:val="26"/>
        </w:rPr>
        <w:t xml:space="preserve"> </w:t>
      </w:r>
      <w:r>
        <w:rPr>
          <w:rFonts w:cs="Times New Roman"/>
          <w:szCs w:val="26"/>
        </w:rPr>
        <w:t>B</w:t>
      </w:r>
      <w:r w:rsidRPr="00C074BC">
        <w:rPr>
          <w:rFonts w:cs="Times New Roman"/>
          <w:szCs w:val="26"/>
        </w:rPr>
        <w:t xml:space="preserve">ecause each of </w:t>
      </w:r>
      <w:r>
        <w:rPr>
          <w:rFonts w:cs="Times New Roman"/>
          <w:szCs w:val="26"/>
        </w:rPr>
        <w:t>appellant’s</w:t>
      </w:r>
      <w:r w:rsidRPr="00C074BC">
        <w:rPr>
          <w:rFonts w:cs="Times New Roman"/>
          <w:szCs w:val="26"/>
        </w:rPr>
        <w:t xml:space="preserve"> causes of action for harassment, discrimination, and </w:t>
      </w:r>
      <w:r>
        <w:rPr>
          <w:rFonts w:cs="Times New Roman"/>
          <w:szCs w:val="26"/>
        </w:rPr>
        <w:t>r</w:t>
      </w:r>
      <w:r w:rsidRPr="00C074BC">
        <w:rPr>
          <w:rFonts w:cs="Times New Roman"/>
          <w:szCs w:val="26"/>
        </w:rPr>
        <w:t xml:space="preserve">etaliation fail as a matter of law, this dependent cause of action likewise fails. </w:t>
      </w:r>
      <w:r>
        <w:rPr>
          <w:rFonts w:cs="Times New Roman"/>
          <w:szCs w:val="26"/>
        </w:rPr>
        <w:t xml:space="preserve"> </w:t>
      </w:r>
    </w:p>
    <w:p w:rsidR="006B62A0" w:rsidP="006B62A0" w14:paraId="73DA1C8D" w14:textId="4EDF9495">
      <w:pPr>
        <w:spacing w:after="0" w:line="480" w:lineRule="atLeast"/>
        <w:rPr>
          <w:rFonts w:cs="Times New Roman"/>
          <w:szCs w:val="26"/>
        </w:rPr>
      </w:pPr>
      <w:r>
        <w:rPr>
          <w:rFonts w:cs="Times New Roman"/>
          <w:szCs w:val="26"/>
        </w:rPr>
        <w:tab/>
        <w:t>In appellant’s eighth cause of action, she alleged that her termination was in retaliation for requesting leave related to her pregnancy and pregnancy</w:t>
      </w:r>
      <w:r w:rsidR="00BA400E">
        <w:rPr>
          <w:rFonts w:cs="Times New Roman"/>
          <w:szCs w:val="26"/>
        </w:rPr>
        <w:t>-</w:t>
      </w:r>
      <w:r>
        <w:rPr>
          <w:rFonts w:cs="Times New Roman"/>
          <w:szCs w:val="26"/>
        </w:rPr>
        <w:t xml:space="preserve">related disability. </w:t>
      </w:r>
      <w:r w:rsidR="00BA400E">
        <w:rPr>
          <w:rFonts w:cs="Times New Roman"/>
          <w:szCs w:val="26"/>
        </w:rPr>
        <w:t xml:space="preserve"> The </w:t>
      </w:r>
      <w:r w:rsidRPr="00081DD3">
        <w:rPr>
          <w:rFonts w:cs="Times New Roman"/>
          <w:szCs w:val="26"/>
        </w:rPr>
        <w:t>FEHA protects an employee from retaliation who has blown the whistle on a</w:t>
      </w:r>
      <w:r>
        <w:rPr>
          <w:rFonts w:cs="Times New Roman"/>
          <w:szCs w:val="26"/>
        </w:rPr>
        <w:t>n employer’s</w:t>
      </w:r>
      <w:r w:rsidRPr="00081DD3">
        <w:rPr>
          <w:rFonts w:cs="Times New Roman"/>
          <w:szCs w:val="26"/>
        </w:rPr>
        <w:t xml:space="preserve"> discriminatory practice forbidden by section 12940, subdivision (a</w:t>
      </w:r>
      <w:r>
        <w:rPr>
          <w:rFonts w:cs="Times New Roman"/>
          <w:szCs w:val="26"/>
        </w:rPr>
        <w:t>)</w:t>
      </w:r>
      <w:r w:rsidRPr="00081DD3">
        <w:rPr>
          <w:rFonts w:cs="Times New Roman"/>
          <w:szCs w:val="26"/>
        </w:rPr>
        <w:t xml:space="preserve">. </w:t>
      </w:r>
      <w:r>
        <w:rPr>
          <w:rFonts w:cs="Times New Roman"/>
          <w:szCs w:val="26"/>
        </w:rPr>
        <w:t xml:space="preserve"> One</w:t>
      </w:r>
      <w:r w:rsidRPr="00081DD3">
        <w:rPr>
          <w:rFonts w:cs="Times New Roman"/>
          <w:szCs w:val="26"/>
        </w:rPr>
        <w:t xml:space="preserve"> element of a FEHA retaliation cause of action </w:t>
      </w:r>
      <w:r>
        <w:rPr>
          <w:rFonts w:cs="Times New Roman"/>
          <w:szCs w:val="26"/>
        </w:rPr>
        <w:t xml:space="preserve">is that </w:t>
      </w:r>
      <w:r w:rsidRPr="00081DD3">
        <w:rPr>
          <w:rFonts w:cs="Times New Roman"/>
          <w:szCs w:val="26"/>
        </w:rPr>
        <w:t>the plaintiff engaged in a protected activity.</w:t>
      </w:r>
      <w:r>
        <w:rPr>
          <w:rFonts w:cs="Times New Roman"/>
          <w:szCs w:val="26"/>
        </w:rPr>
        <w:t xml:space="preserve"> </w:t>
      </w:r>
      <w:r w:rsidRPr="00081DD3">
        <w:rPr>
          <w:rFonts w:cs="Times New Roman"/>
          <w:szCs w:val="26"/>
        </w:rPr>
        <w:t xml:space="preserve"> (</w:t>
      </w:r>
      <w:r>
        <w:rPr>
          <w:rFonts w:cs="Times New Roman"/>
          <w:szCs w:val="26"/>
        </w:rPr>
        <w:t>See §</w:t>
      </w:r>
      <w:r w:rsidR="00595DE3">
        <w:rPr>
          <w:rFonts w:cs="Times New Roman"/>
          <w:szCs w:val="26"/>
        </w:rPr>
        <w:t> </w:t>
      </w:r>
      <w:r>
        <w:rPr>
          <w:rFonts w:cs="Times New Roman"/>
          <w:szCs w:val="26"/>
        </w:rPr>
        <w:t xml:space="preserve">12940, subd. (h); </w:t>
      </w:r>
      <w:r w:rsidRPr="00C8297F">
        <w:rPr>
          <w:rFonts w:cs="Times New Roman"/>
          <w:i/>
          <w:iCs/>
          <w:szCs w:val="26"/>
        </w:rPr>
        <w:t>Yanowitz v. L'Oreal USA, Inc.</w:t>
      </w:r>
      <w:r>
        <w:rPr>
          <w:rFonts w:cs="Times New Roman"/>
          <w:szCs w:val="26"/>
        </w:rPr>
        <w:t xml:space="preserve"> (2005)</w:t>
      </w:r>
      <w:r w:rsidRPr="00081DD3">
        <w:rPr>
          <w:rFonts w:cs="Times New Roman"/>
          <w:szCs w:val="26"/>
        </w:rPr>
        <w:t xml:space="preserve"> 36</w:t>
      </w:r>
      <w:r w:rsidR="00595DE3">
        <w:rPr>
          <w:rFonts w:cs="Times New Roman"/>
          <w:szCs w:val="26"/>
        </w:rPr>
        <w:t> </w:t>
      </w:r>
      <w:r w:rsidRPr="00081DD3">
        <w:rPr>
          <w:rFonts w:cs="Times New Roman"/>
          <w:szCs w:val="26"/>
        </w:rPr>
        <w:t xml:space="preserve">Cal.4th </w:t>
      </w:r>
      <w:r>
        <w:rPr>
          <w:rFonts w:cs="Times New Roman"/>
          <w:szCs w:val="26"/>
        </w:rPr>
        <w:t>1028,</w:t>
      </w:r>
      <w:r w:rsidRPr="00081DD3">
        <w:rPr>
          <w:rFonts w:cs="Times New Roman"/>
          <w:szCs w:val="26"/>
        </w:rPr>
        <w:t xml:space="preserve"> 1042.) </w:t>
      </w:r>
      <w:r>
        <w:rPr>
          <w:rFonts w:cs="Times New Roman"/>
          <w:szCs w:val="26"/>
        </w:rPr>
        <w:t xml:space="preserve"> </w:t>
      </w:r>
      <w:r w:rsidRPr="00081DD3">
        <w:rPr>
          <w:rFonts w:cs="Times New Roman"/>
          <w:szCs w:val="26"/>
        </w:rPr>
        <w:t xml:space="preserve">An employee engages in protected activity when she or he has opposed any practices forbidden under </w:t>
      </w:r>
      <w:r w:rsidR="00BA400E">
        <w:rPr>
          <w:rFonts w:cs="Times New Roman"/>
          <w:szCs w:val="26"/>
        </w:rPr>
        <w:t xml:space="preserve">the </w:t>
      </w:r>
      <w:r w:rsidRPr="00081DD3">
        <w:rPr>
          <w:rFonts w:cs="Times New Roman"/>
          <w:szCs w:val="26"/>
        </w:rPr>
        <w:t xml:space="preserve">FEHA, or testified, or assisted in any proceeding under </w:t>
      </w:r>
      <w:r w:rsidR="00BA400E">
        <w:rPr>
          <w:rFonts w:cs="Times New Roman"/>
          <w:szCs w:val="26"/>
        </w:rPr>
        <w:t xml:space="preserve">the </w:t>
      </w:r>
      <w:r w:rsidRPr="00081DD3">
        <w:rPr>
          <w:rFonts w:cs="Times New Roman"/>
          <w:szCs w:val="26"/>
        </w:rPr>
        <w:t>FEHA.</w:t>
      </w:r>
      <w:r w:rsidR="00595DE3">
        <w:rPr>
          <w:rFonts w:cs="Times New Roman"/>
          <w:szCs w:val="26"/>
        </w:rPr>
        <w:t xml:space="preserve"> </w:t>
      </w:r>
      <w:r w:rsidRPr="00081DD3">
        <w:rPr>
          <w:rFonts w:cs="Times New Roman"/>
          <w:szCs w:val="26"/>
        </w:rPr>
        <w:t xml:space="preserve"> (§</w:t>
      </w:r>
      <w:r w:rsidR="00595DE3">
        <w:rPr>
          <w:rFonts w:cs="Times New Roman"/>
          <w:szCs w:val="26"/>
        </w:rPr>
        <w:t> </w:t>
      </w:r>
      <w:r w:rsidRPr="00081DD3">
        <w:rPr>
          <w:rFonts w:cs="Times New Roman"/>
          <w:szCs w:val="26"/>
        </w:rPr>
        <w:t xml:space="preserve">12940, subd. (h).) </w:t>
      </w:r>
      <w:r>
        <w:rPr>
          <w:rFonts w:cs="Times New Roman"/>
          <w:szCs w:val="26"/>
        </w:rPr>
        <w:t xml:space="preserve"> Here, because we have concluded that the egg retrieval procedure was not protected activity under the FEHA, appellant cannot establish a required element for retaliation.  </w:t>
      </w:r>
    </w:p>
    <w:p w:rsidR="006B62A0" w:rsidRPr="00A20661" w:rsidP="006B62A0" w14:paraId="118649D5" w14:textId="19210846">
      <w:pPr>
        <w:spacing w:after="0" w:line="480" w:lineRule="atLeast"/>
        <w:rPr>
          <w:rFonts w:cs="Times New Roman"/>
          <w:i/>
          <w:iCs/>
          <w:szCs w:val="26"/>
        </w:rPr>
      </w:pPr>
      <w:r>
        <w:rPr>
          <w:rFonts w:cs="Times New Roman"/>
          <w:szCs w:val="26"/>
        </w:rPr>
        <w:tab/>
        <w:t xml:space="preserve">Similarly, </w:t>
      </w:r>
      <w:r w:rsidRPr="00C074BC">
        <w:rPr>
          <w:rFonts w:cs="Times New Roman"/>
          <w:szCs w:val="26"/>
        </w:rPr>
        <w:t xml:space="preserve">because each of </w:t>
      </w:r>
      <w:r>
        <w:rPr>
          <w:rFonts w:cs="Times New Roman"/>
          <w:szCs w:val="26"/>
        </w:rPr>
        <w:t>appellant’s</w:t>
      </w:r>
      <w:r w:rsidRPr="00C074BC">
        <w:rPr>
          <w:rFonts w:cs="Times New Roman"/>
          <w:szCs w:val="26"/>
        </w:rPr>
        <w:t xml:space="preserve"> causes of action for harassment, discrimination, and retaliation fail as a matter of law, </w:t>
      </w:r>
      <w:r>
        <w:rPr>
          <w:rFonts w:cs="Times New Roman"/>
          <w:szCs w:val="26"/>
        </w:rPr>
        <w:t xml:space="preserve">appellant’s </w:t>
      </w:r>
      <w:r w:rsidRPr="00C074BC">
        <w:rPr>
          <w:rFonts w:cs="Times New Roman"/>
          <w:szCs w:val="26"/>
        </w:rPr>
        <w:t xml:space="preserve">dependent cause of action </w:t>
      </w:r>
      <w:r>
        <w:rPr>
          <w:rFonts w:cs="Times New Roman"/>
          <w:szCs w:val="26"/>
        </w:rPr>
        <w:t xml:space="preserve">for declaratory relief </w:t>
      </w:r>
      <w:r w:rsidRPr="00C074BC">
        <w:rPr>
          <w:rFonts w:cs="Times New Roman"/>
          <w:szCs w:val="26"/>
        </w:rPr>
        <w:t>likewise fails</w:t>
      </w:r>
      <w:r>
        <w:rPr>
          <w:rFonts w:cs="Times New Roman"/>
          <w:szCs w:val="26"/>
        </w:rPr>
        <w:t>.</w:t>
      </w:r>
    </w:p>
    <w:p w:rsidR="006B62A0" w:rsidRPr="00C074BC" w:rsidP="006B62A0" w14:paraId="67CB268D" w14:textId="6A0ED0C7">
      <w:pPr>
        <w:spacing w:after="0" w:line="480" w:lineRule="atLeast"/>
        <w:rPr>
          <w:rFonts w:cs="Times New Roman"/>
          <w:szCs w:val="26"/>
        </w:rPr>
      </w:pPr>
      <w:r>
        <w:rPr>
          <w:rFonts w:cs="Times New Roman"/>
          <w:szCs w:val="26"/>
        </w:rPr>
        <w:tab/>
        <w:t>Finally, a</w:t>
      </w:r>
      <w:r w:rsidRPr="00C074BC">
        <w:rPr>
          <w:rFonts w:cs="Times New Roman"/>
          <w:szCs w:val="26"/>
        </w:rPr>
        <w:t xml:space="preserve">lthough the FEHA constitutes a public policy, </w:t>
      </w:r>
      <w:r>
        <w:rPr>
          <w:rFonts w:cs="Times New Roman"/>
          <w:szCs w:val="26"/>
        </w:rPr>
        <w:t>“</w:t>
      </w:r>
      <w:r w:rsidRPr="00C074BC">
        <w:rPr>
          <w:rFonts w:cs="Times New Roman"/>
          <w:szCs w:val="26"/>
        </w:rPr>
        <w:t>if an employer did not violate [the] FEHA, the employee</w:t>
      </w:r>
      <w:r>
        <w:rPr>
          <w:rFonts w:cs="Times New Roman"/>
          <w:szCs w:val="26"/>
        </w:rPr>
        <w:t>’</w:t>
      </w:r>
      <w:r w:rsidRPr="00C074BC">
        <w:rPr>
          <w:rFonts w:cs="Times New Roman"/>
          <w:szCs w:val="26"/>
        </w:rPr>
        <w:t>s claim for wrongful termination in violation of public policy necessarily fails.</w:t>
      </w:r>
      <w:r>
        <w:rPr>
          <w:rFonts w:cs="Times New Roman"/>
          <w:szCs w:val="26"/>
        </w:rPr>
        <w:t xml:space="preserve">” </w:t>
      </w:r>
      <w:r w:rsidRPr="00C074BC">
        <w:rPr>
          <w:rFonts w:cs="Times New Roman"/>
          <w:szCs w:val="26"/>
        </w:rPr>
        <w:t xml:space="preserve"> (</w:t>
      </w:r>
      <w:r w:rsidRPr="004920B7">
        <w:rPr>
          <w:rFonts w:cs="Times New Roman"/>
          <w:i/>
          <w:iCs/>
          <w:szCs w:val="26"/>
        </w:rPr>
        <w:t>Featherstone v. S</w:t>
      </w:r>
      <w:r w:rsidR="00BA400E">
        <w:rPr>
          <w:rFonts w:cs="Times New Roman"/>
          <w:i/>
          <w:iCs/>
          <w:szCs w:val="26"/>
        </w:rPr>
        <w:t>outhern</w:t>
      </w:r>
      <w:r w:rsidRPr="004920B7">
        <w:rPr>
          <w:rFonts w:cs="Times New Roman"/>
          <w:i/>
          <w:iCs/>
          <w:szCs w:val="26"/>
        </w:rPr>
        <w:t xml:space="preserve"> Cal</w:t>
      </w:r>
      <w:r w:rsidR="00BA400E">
        <w:rPr>
          <w:rFonts w:cs="Times New Roman"/>
          <w:i/>
          <w:iCs/>
          <w:szCs w:val="26"/>
        </w:rPr>
        <w:t>ifornia</w:t>
      </w:r>
      <w:r w:rsidRPr="004920B7">
        <w:rPr>
          <w:rFonts w:cs="Times New Roman"/>
          <w:i/>
          <w:iCs/>
          <w:szCs w:val="26"/>
        </w:rPr>
        <w:t xml:space="preserve"> Permanente Med</w:t>
      </w:r>
      <w:r w:rsidR="00BA400E">
        <w:rPr>
          <w:rFonts w:cs="Times New Roman"/>
          <w:i/>
          <w:iCs/>
          <w:szCs w:val="26"/>
        </w:rPr>
        <w:t>ical</w:t>
      </w:r>
      <w:r w:rsidRPr="004920B7">
        <w:rPr>
          <w:rFonts w:cs="Times New Roman"/>
          <w:i/>
          <w:iCs/>
          <w:szCs w:val="26"/>
        </w:rPr>
        <w:t xml:space="preserve"> Gr</w:t>
      </w:r>
      <w:r w:rsidR="00BA400E">
        <w:rPr>
          <w:rFonts w:cs="Times New Roman"/>
          <w:i/>
          <w:iCs/>
          <w:szCs w:val="26"/>
        </w:rPr>
        <w:t>ou</w:t>
      </w:r>
      <w:r w:rsidRPr="004920B7">
        <w:rPr>
          <w:rFonts w:cs="Times New Roman"/>
          <w:i/>
          <w:iCs/>
          <w:szCs w:val="26"/>
        </w:rPr>
        <w:t>p</w:t>
      </w:r>
      <w:r w:rsidRPr="00C074BC">
        <w:rPr>
          <w:rFonts w:cs="Times New Roman"/>
          <w:szCs w:val="26"/>
        </w:rPr>
        <w:t xml:space="preserve"> (2017) 10</w:t>
      </w:r>
      <w:r w:rsidR="00595DE3">
        <w:rPr>
          <w:rFonts w:cs="Times New Roman"/>
          <w:szCs w:val="26"/>
        </w:rPr>
        <w:t> </w:t>
      </w:r>
      <w:r w:rsidRPr="00C074BC">
        <w:rPr>
          <w:rFonts w:cs="Times New Roman"/>
          <w:szCs w:val="26"/>
        </w:rPr>
        <w:t>Cal.App.5th 1150, 1169</w:t>
      </w:r>
      <w:r>
        <w:rPr>
          <w:rFonts w:cs="Times New Roman"/>
          <w:szCs w:val="26"/>
        </w:rPr>
        <w:t xml:space="preserve">; </w:t>
      </w:r>
      <w:r w:rsidR="00595DE3">
        <w:rPr>
          <w:rFonts w:cs="Times New Roman"/>
          <w:szCs w:val="26"/>
        </w:rPr>
        <w:t xml:space="preserve">see </w:t>
      </w:r>
      <w:r w:rsidRPr="0085798C">
        <w:rPr>
          <w:rFonts w:cs="Times New Roman"/>
          <w:i/>
          <w:iCs/>
          <w:szCs w:val="26"/>
        </w:rPr>
        <w:t>TRW, Inc. v. Superior Court</w:t>
      </w:r>
      <w:r>
        <w:rPr>
          <w:rFonts w:cs="Times New Roman"/>
          <w:szCs w:val="26"/>
        </w:rPr>
        <w:t xml:space="preserve"> (1994)</w:t>
      </w:r>
      <w:r w:rsidRPr="0085798C">
        <w:rPr>
          <w:rFonts w:cs="Times New Roman"/>
          <w:szCs w:val="26"/>
        </w:rPr>
        <w:t xml:space="preserve"> 25</w:t>
      </w:r>
      <w:r w:rsidR="00BA400E">
        <w:rPr>
          <w:rFonts w:cs="Times New Roman"/>
          <w:szCs w:val="26"/>
        </w:rPr>
        <w:t> </w:t>
      </w:r>
      <w:r w:rsidRPr="0085798C">
        <w:rPr>
          <w:rFonts w:cs="Times New Roman"/>
          <w:szCs w:val="26"/>
        </w:rPr>
        <w:t xml:space="preserve">Cal.App.4th 1834, 1854 </w:t>
      </w:r>
      <w:r>
        <w:rPr>
          <w:rFonts w:cs="Times New Roman"/>
          <w:szCs w:val="26"/>
        </w:rPr>
        <w:t>[same]</w:t>
      </w:r>
      <w:r w:rsidRPr="00C074BC">
        <w:rPr>
          <w:rFonts w:cs="Times New Roman"/>
          <w:szCs w:val="26"/>
        </w:rPr>
        <w:t>.)</w:t>
      </w:r>
      <w:r>
        <w:rPr>
          <w:rFonts w:cs="Times New Roman"/>
          <w:szCs w:val="26"/>
        </w:rPr>
        <w:t xml:space="preserve">  Here, because we have concluded that </w:t>
      </w:r>
      <w:r w:rsidRPr="00C074BC">
        <w:rPr>
          <w:rFonts w:cs="Times New Roman"/>
          <w:szCs w:val="26"/>
        </w:rPr>
        <w:t xml:space="preserve">summary </w:t>
      </w:r>
      <w:r>
        <w:rPr>
          <w:rFonts w:cs="Times New Roman"/>
          <w:szCs w:val="26"/>
        </w:rPr>
        <w:t xml:space="preserve">judgment was appropriately granted on appellant’s </w:t>
      </w:r>
      <w:r w:rsidRPr="00C074BC">
        <w:rPr>
          <w:rFonts w:cs="Times New Roman"/>
          <w:szCs w:val="26"/>
        </w:rPr>
        <w:t xml:space="preserve">other causes of action for discrimination, harassment, and retaliation under </w:t>
      </w:r>
      <w:r w:rsidR="00BA400E">
        <w:rPr>
          <w:rFonts w:cs="Times New Roman"/>
          <w:szCs w:val="26"/>
        </w:rPr>
        <w:t xml:space="preserve">the </w:t>
      </w:r>
      <w:r w:rsidRPr="00C074BC">
        <w:rPr>
          <w:rFonts w:cs="Times New Roman"/>
          <w:szCs w:val="26"/>
        </w:rPr>
        <w:t>FEHA, this dependent cause of action also fails.</w:t>
      </w:r>
    </w:p>
    <w:p w:rsidR="006B62A0" w:rsidRPr="004920B7" w:rsidP="00E1048B" w14:paraId="7792D592" w14:textId="77777777">
      <w:pPr>
        <w:keepNext/>
        <w:spacing w:after="0" w:line="480" w:lineRule="atLeast"/>
        <w:jc w:val="center"/>
        <w:rPr>
          <w:rFonts w:cs="Times New Roman"/>
          <w:b/>
          <w:bCs/>
          <w:szCs w:val="26"/>
        </w:rPr>
      </w:pPr>
      <w:r w:rsidRPr="004920B7">
        <w:rPr>
          <w:rFonts w:cs="Times New Roman"/>
          <w:b/>
          <w:bCs/>
          <w:szCs w:val="26"/>
        </w:rPr>
        <w:t>DISPOSITION</w:t>
      </w:r>
    </w:p>
    <w:p w:rsidR="006B62A0" w:rsidRPr="00C074BC" w:rsidP="00BA400E" w14:paraId="571846E3" w14:textId="141D96B2">
      <w:pPr>
        <w:spacing w:after="0" w:line="480" w:lineRule="atLeast"/>
        <w:ind w:firstLine="720"/>
        <w:rPr>
          <w:rFonts w:cs="Times New Roman"/>
          <w:szCs w:val="26"/>
        </w:rPr>
      </w:pPr>
      <w:r>
        <w:rPr>
          <w:rFonts w:cs="Times New Roman"/>
          <w:szCs w:val="26"/>
        </w:rPr>
        <w:t>The order granting summary judgment is affirmed.</w:t>
      </w:r>
      <w:r w:rsidR="00595DE3">
        <w:rPr>
          <w:rFonts w:cs="Times New Roman"/>
          <w:szCs w:val="26"/>
        </w:rPr>
        <w:t xml:space="preserve">  </w:t>
      </w:r>
      <w:r w:rsidR="00237074">
        <w:rPr>
          <w:rFonts w:cs="Times New Roman"/>
          <w:szCs w:val="26"/>
        </w:rPr>
        <w:t>Respondents shall recover their costs on appeal.  (Cal. Rules of Court, rule 8.278(a)(1), (2).)</w:t>
      </w:r>
    </w:p>
    <w:p w:rsidR="009A6C0B" w:rsidP="006B34E0" w14:paraId="41F3B567" w14:textId="77777777">
      <w:pPr>
        <w:spacing w:after="0" w:line="480" w:lineRule="atLeast"/>
      </w:pPr>
    </w:p>
    <w:p w:rsidR="0061662B" w:rsidP="0061662B" w14:paraId="63315E13" w14:textId="77777777">
      <w:pPr>
        <w:spacing w:after="0" w:line="240" w:lineRule="auto"/>
      </w:pPr>
    </w:p>
    <w:p w:rsidR="0061662B" w:rsidP="0061662B" w14:paraId="3E48D677" w14:textId="77777777">
      <w:pPr>
        <w:spacing w:after="0" w:line="240" w:lineRule="auto"/>
      </w:pPr>
    </w:p>
    <w:p w:rsidR="0061662B" w:rsidP="0061662B" w14:paraId="5BCD0CA8" w14:textId="77777777">
      <w:pPr>
        <w:spacing w:after="0" w:line="240" w:lineRule="auto"/>
      </w:pPr>
    </w:p>
    <w:p w:rsidR="0061662B" w:rsidP="0061662B" w14:paraId="5D916F20" w14:textId="279A3D2A">
      <w:pPr>
        <w:tabs>
          <w:tab w:val="left" w:pos="5040"/>
          <w:tab w:val="left" w:pos="7920"/>
        </w:tabs>
        <w:spacing w:after="0" w:line="240" w:lineRule="auto"/>
        <w:rPr>
          <w:u w:val="single"/>
        </w:rPr>
      </w:pPr>
      <w:r>
        <w:tab/>
      </w:r>
      <w:r w:rsidRPr="0061662B">
        <w:rPr>
          <w:u w:val="single"/>
        </w:rPr>
        <w:t xml:space="preserve">          </w:t>
      </w:r>
      <w:r w:rsidR="00105FA6">
        <w:rPr>
          <w:u w:val="single"/>
        </w:rPr>
        <w:t>/s/</w:t>
      </w:r>
      <w:r w:rsidRPr="0061662B">
        <w:rPr>
          <w:u w:val="single"/>
        </w:rPr>
        <w:tab/>
      </w:r>
    </w:p>
    <w:p w:rsidR="0061662B" w:rsidP="0061662B" w14:paraId="081B86E9" w14:textId="5A48D19F">
      <w:pPr>
        <w:tabs>
          <w:tab w:val="left" w:pos="5040"/>
          <w:tab w:val="left" w:pos="7920"/>
        </w:tabs>
        <w:spacing w:after="0" w:line="240" w:lineRule="auto"/>
      </w:pPr>
      <w:r>
        <w:tab/>
        <w:t>EARL, P. J.</w:t>
      </w:r>
    </w:p>
    <w:p w:rsidR="0061662B" w:rsidP="0061662B" w14:paraId="04B0240B" w14:textId="77777777">
      <w:pPr>
        <w:tabs>
          <w:tab w:val="left" w:pos="5040"/>
          <w:tab w:val="left" w:pos="7920"/>
        </w:tabs>
        <w:spacing w:after="0" w:line="240" w:lineRule="auto"/>
      </w:pPr>
    </w:p>
    <w:p w:rsidR="0061662B" w:rsidP="0061662B" w14:paraId="263A8352" w14:textId="77777777">
      <w:pPr>
        <w:tabs>
          <w:tab w:val="left" w:pos="5040"/>
          <w:tab w:val="left" w:pos="7920"/>
        </w:tabs>
        <w:spacing w:after="0" w:line="240" w:lineRule="auto"/>
      </w:pPr>
    </w:p>
    <w:p w:rsidR="0061662B" w:rsidP="0061662B" w14:paraId="1DDC354E" w14:textId="77777777">
      <w:pPr>
        <w:tabs>
          <w:tab w:val="left" w:pos="5040"/>
          <w:tab w:val="left" w:pos="7920"/>
        </w:tabs>
        <w:spacing w:after="0" w:line="240" w:lineRule="auto"/>
      </w:pPr>
    </w:p>
    <w:p w:rsidR="0061662B" w:rsidP="0061662B" w14:paraId="26669BB2" w14:textId="496FC2EC">
      <w:pPr>
        <w:spacing w:after="0" w:line="240" w:lineRule="auto"/>
      </w:pPr>
      <w:r>
        <w:t>We concur:</w:t>
      </w:r>
    </w:p>
    <w:p w:rsidR="0061662B" w:rsidP="0061662B" w14:paraId="0B4BD747" w14:textId="77777777">
      <w:pPr>
        <w:spacing w:after="0" w:line="240" w:lineRule="auto"/>
      </w:pPr>
    </w:p>
    <w:p w:rsidR="0061662B" w:rsidP="0061662B" w14:paraId="3057E081" w14:textId="77777777">
      <w:pPr>
        <w:spacing w:after="0" w:line="240" w:lineRule="auto"/>
      </w:pPr>
    </w:p>
    <w:p w:rsidR="0061662B" w:rsidP="0061662B" w14:paraId="31256B69" w14:textId="77777777">
      <w:pPr>
        <w:spacing w:after="0" w:line="240" w:lineRule="auto"/>
      </w:pPr>
    </w:p>
    <w:p w:rsidR="0061662B" w:rsidP="0061662B" w14:paraId="7DDFF4A4" w14:textId="33215712">
      <w:pPr>
        <w:tabs>
          <w:tab w:val="left" w:pos="2880"/>
        </w:tabs>
        <w:spacing w:after="0" w:line="240" w:lineRule="auto"/>
        <w:rPr>
          <w:u w:val="single"/>
        </w:rPr>
      </w:pPr>
      <w:r w:rsidRPr="0061662B">
        <w:rPr>
          <w:u w:val="single"/>
        </w:rPr>
        <w:t xml:space="preserve">          </w:t>
      </w:r>
      <w:r w:rsidR="00105FA6">
        <w:rPr>
          <w:u w:val="single"/>
        </w:rPr>
        <w:t>/s/</w:t>
      </w:r>
      <w:r w:rsidRPr="0061662B">
        <w:rPr>
          <w:u w:val="single"/>
        </w:rPr>
        <w:tab/>
      </w:r>
    </w:p>
    <w:p w:rsidR="0061662B" w:rsidP="0061662B" w14:paraId="3BAB94E5" w14:textId="7C10EB44">
      <w:pPr>
        <w:tabs>
          <w:tab w:val="left" w:pos="2880"/>
        </w:tabs>
        <w:spacing w:after="0" w:line="240" w:lineRule="auto"/>
      </w:pPr>
      <w:r>
        <w:t>KRAUSE, J.</w:t>
      </w:r>
    </w:p>
    <w:p w:rsidR="0061662B" w:rsidP="0061662B" w14:paraId="275B6466" w14:textId="77777777">
      <w:pPr>
        <w:tabs>
          <w:tab w:val="left" w:pos="2880"/>
        </w:tabs>
        <w:spacing w:after="0" w:line="240" w:lineRule="auto"/>
      </w:pPr>
    </w:p>
    <w:p w:rsidR="0061662B" w:rsidP="0061662B" w14:paraId="1C8D666D" w14:textId="77777777">
      <w:pPr>
        <w:tabs>
          <w:tab w:val="left" w:pos="2880"/>
        </w:tabs>
        <w:spacing w:after="0" w:line="240" w:lineRule="auto"/>
      </w:pPr>
    </w:p>
    <w:p w:rsidR="0061662B" w:rsidP="0061662B" w14:paraId="30C5DD3A" w14:textId="77777777">
      <w:pPr>
        <w:tabs>
          <w:tab w:val="left" w:pos="2880"/>
        </w:tabs>
        <w:spacing w:after="0" w:line="240" w:lineRule="auto"/>
      </w:pPr>
    </w:p>
    <w:p w:rsidR="0061662B" w:rsidP="0061662B" w14:paraId="203B80C1" w14:textId="1B4F61E0">
      <w:pPr>
        <w:tabs>
          <w:tab w:val="left" w:pos="2880"/>
        </w:tabs>
        <w:spacing w:after="0" w:line="240" w:lineRule="auto"/>
        <w:rPr>
          <w:u w:val="single"/>
        </w:rPr>
      </w:pPr>
      <w:r w:rsidRPr="0061662B">
        <w:rPr>
          <w:u w:val="single"/>
        </w:rPr>
        <w:t xml:space="preserve">          </w:t>
      </w:r>
      <w:r w:rsidR="00105FA6">
        <w:rPr>
          <w:u w:val="single"/>
        </w:rPr>
        <w:t>/s/</w:t>
      </w:r>
      <w:r w:rsidRPr="0061662B">
        <w:rPr>
          <w:u w:val="single"/>
        </w:rPr>
        <w:tab/>
      </w:r>
    </w:p>
    <w:p w:rsidR="0061662B" w:rsidRPr="0061662B" w:rsidP="0061662B" w14:paraId="628334C9" w14:textId="4D32F2AC">
      <w:pPr>
        <w:tabs>
          <w:tab w:val="left" w:pos="2880"/>
        </w:tabs>
        <w:spacing w:after="0" w:line="240" w:lineRule="auto"/>
      </w:pPr>
      <w:r>
        <w:t>BOULWARE EURIE, J.</w:t>
      </w:r>
    </w:p>
    <w:sectPr w:rsidSect="0061662B">
      <w:footerReference w:type="default" r:id="rId6"/>
      <w:pgSz w:w="12240" w:h="15840" w:code="1"/>
      <w:pgMar w:top="1440" w:right="1440" w:bottom="1440" w:left="144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6C0B" w:rsidRPr="0061662B" w:rsidP="0061662B" w14:paraId="4E78FE3A" w14:textId="63CCB07D">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B62A0" w14:paraId="3D830DDB" w14:textId="77777777">
      <w:r>
        <w:separator/>
      </w:r>
    </w:p>
  </w:footnote>
  <w:footnote w:type="continuationSeparator" w:id="1">
    <w:p w:rsidR="006B62A0" w14:paraId="7EBC2F71" w14:textId="77777777">
      <w:r>
        <w:continuationSeparator/>
      </w:r>
    </w:p>
  </w:footnote>
  <w:footnote w:id="2">
    <w:p w:rsidR="00D05E5C" w14:paraId="71D43125" w14:textId="167F2BB6">
      <w:pPr>
        <w:pStyle w:val="FootnoteText"/>
      </w:pPr>
      <w:r>
        <w:rPr>
          <w:rStyle w:val="FootnoteReference"/>
        </w:rPr>
        <w:footnoteRef/>
      </w:r>
      <w:r>
        <w:t xml:space="preserve"> </w:t>
      </w:r>
      <w:r>
        <w:tab/>
        <w:t>Undesignated statutory references are to the Government Code.</w:t>
      </w:r>
    </w:p>
  </w:footnote>
  <w:footnote w:id="3">
    <w:p w:rsidR="006B62A0" w:rsidP="006B62A0" w14:paraId="781ADAA4" w14:textId="512AEBBA">
      <w:pPr>
        <w:pStyle w:val="FootnoteText"/>
      </w:pPr>
      <w:r>
        <w:rPr>
          <w:rStyle w:val="FootnoteReference"/>
        </w:rPr>
        <w:footnoteRef/>
      </w:r>
      <w:r>
        <w:tab/>
        <w:t>These undisputed material facts were relied upon by the superior court in granting summary judgment and are not challenged on appeal.</w:t>
      </w:r>
    </w:p>
  </w:footnote>
  <w:footnote w:id="4">
    <w:p w:rsidR="006B62A0" w:rsidP="006B62A0" w14:paraId="3942CD46" w14:textId="778B2E72">
      <w:pPr>
        <w:pStyle w:val="FootnoteText"/>
      </w:pPr>
      <w:r>
        <w:rPr>
          <w:rStyle w:val="FootnoteReference"/>
        </w:rPr>
        <w:footnoteRef/>
      </w:r>
      <w:r>
        <w:tab/>
        <w:t>The statute has since been amended to include protection for “</w:t>
      </w:r>
      <w:r w:rsidRPr="00D65465">
        <w:t>reproductive health decisionmaking</w:t>
      </w:r>
      <w:r>
        <w:t xml:space="preserve">.”  (See </w:t>
      </w:r>
      <w:r>
        <w:rPr>
          <w:rFonts w:cs="Times New Roman"/>
        </w:rPr>
        <w:t>§</w:t>
      </w:r>
      <w:r w:rsidR="005B532B">
        <w:t> </w:t>
      </w:r>
      <w:r>
        <w:t>12940, subd. (a)</w:t>
      </w:r>
      <w:r w:rsidR="002016EF">
        <w:t>,</w:t>
      </w:r>
      <w:r>
        <w:t xml:space="preserve"> as amended through Sen</w:t>
      </w:r>
      <w:r w:rsidR="005B532B">
        <w:t>.</w:t>
      </w:r>
      <w:r>
        <w:t xml:space="preserve"> Bill </w:t>
      </w:r>
      <w:r w:rsidR="005B532B">
        <w:t>No. </w:t>
      </w:r>
      <w:r>
        <w:t>523</w:t>
      </w:r>
      <w:r w:rsidR="005B532B">
        <w:t xml:space="preserve"> (2021-2022 Reg. Sess.)</w:t>
      </w:r>
      <w:r>
        <w:t>, effective Jan</w:t>
      </w:r>
      <w:r w:rsidR="005B532B">
        <w:t>. </w:t>
      </w:r>
      <w:r>
        <w:t xml:space="preserve">1, 2023.) </w:t>
      </w:r>
    </w:p>
  </w:footnote>
  <w:footnote w:id="5">
    <w:p w:rsidR="006B62A0" w:rsidP="006B62A0" w14:paraId="52C9CE78" w14:textId="3ACD53B4">
      <w:pPr>
        <w:pStyle w:val="FootnoteText"/>
      </w:pPr>
      <w:r>
        <w:rPr>
          <w:rStyle w:val="FootnoteReference"/>
        </w:rPr>
        <w:footnoteRef/>
      </w:r>
      <w:r>
        <w:tab/>
      </w:r>
      <w:r w:rsidRPr="00B76C7D">
        <w:t>As respondent</w:t>
      </w:r>
      <w:r w:rsidR="00595DE3">
        <w:t>s</w:t>
      </w:r>
      <w:r w:rsidRPr="00B76C7D">
        <w:t xml:space="preserve"> note, however, not all federal courts agree that infertility treatments qualify for protection under </w:t>
      </w:r>
      <w:r w:rsidR="00EA1D65">
        <w:t>t</w:t>
      </w:r>
      <w:r w:rsidRPr="00B76C7D">
        <w:t xml:space="preserve">itle VII </w:t>
      </w:r>
      <w:r w:rsidRPr="00385734" w:rsidR="00385734">
        <w:t xml:space="preserve">of the Civil Rights Act of 1964 </w:t>
      </w:r>
      <w:r w:rsidR="008E0F03">
        <w:t>(</w:t>
      </w:r>
      <w:r w:rsidRPr="00385734" w:rsidR="00385734">
        <w:t>42</w:t>
      </w:r>
      <w:r w:rsidR="008E0F03">
        <w:t> </w:t>
      </w:r>
      <w:r w:rsidRPr="00385734" w:rsidR="00385734">
        <w:t>U.S.C. §</w:t>
      </w:r>
      <w:r w:rsidR="008E0F03">
        <w:t> </w:t>
      </w:r>
      <w:r w:rsidRPr="00385734" w:rsidR="00385734">
        <w:t>2000e et seq</w:t>
      </w:r>
      <w:r w:rsidR="008E0F03">
        <w:t>.)</w:t>
      </w:r>
      <w:r w:rsidR="00385734">
        <w:t xml:space="preserve"> </w:t>
      </w:r>
      <w:r w:rsidRPr="00B76C7D">
        <w:t>and</w:t>
      </w:r>
      <w:r w:rsidR="00385734">
        <w:t>, specifically,</w:t>
      </w:r>
      <w:r w:rsidRPr="00B76C7D">
        <w:t xml:space="preserve"> the PDA</w:t>
      </w:r>
      <w:r w:rsidR="00385734">
        <w:t xml:space="preserve"> (</w:t>
      </w:r>
      <w:r w:rsidRPr="00385734" w:rsidR="00385734">
        <w:t>42</w:t>
      </w:r>
      <w:r w:rsidR="008E0F03">
        <w:t> </w:t>
      </w:r>
      <w:r w:rsidRPr="00385734" w:rsidR="00385734">
        <w:t>U.S.C. §</w:t>
      </w:r>
      <w:r w:rsidR="008E0F03">
        <w:t> </w:t>
      </w:r>
      <w:r w:rsidRPr="00385734" w:rsidR="00385734">
        <w:t>2000e(k)</w:t>
      </w:r>
      <w:r w:rsidR="00385734">
        <w:t>)</w:t>
      </w:r>
      <w:r w:rsidRPr="00B76C7D">
        <w:t xml:space="preserve">.  (See </w:t>
      </w:r>
      <w:r w:rsidRPr="00B76C7D">
        <w:rPr>
          <w:i/>
          <w:iCs/>
        </w:rPr>
        <w:t>Saks v. Franklin Covey Co.</w:t>
      </w:r>
      <w:r w:rsidRPr="00B76C7D">
        <w:t xml:space="preserve"> (2d Cir. 2003) 316 F.3d 337, 346 [“for a condition to fall within the PDA’s inclusion of ‘pregnancy .</w:t>
      </w:r>
      <w:r w:rsidR="00595DE3">
        <w:t> </w:t>
      </w:r>
      <w:r w:rsidRPr="00B76C7D">
        <w:t>.</w:t>
      </w:r>
      <w:r w:rsidR="00595DE3">
        <w:t> </w:t>
      </w:r>
      <w:r w:rsidRPr="00B76C7D">
        <w:t xml:space="preserve">. and related medical conditions’ as sex-based characteristics, that condition must be unique to women” and infertility is a medical condition that is gender neutral]; </w:t>
      </w:r>
      <w:r w:rsidRPr="00B76C7D">
        <w:rPr>
          <w:i/>
          <w:iCs/>
        </w:rPr>
        <w:t>LaPorta v. Wal-Mart Stores, Inc.</w:t>
      </w:r>
      <w:r w:rsidRPr="00B76C7D">
        <w:t xml:space="preserve"> (W.D.Mich. 2001) 163</w:t>
      </w:r>
      <w:r w:rsidR="00595DE3">
        <w:t> </w:t>
      </w:r>
      <w:r w:rsidRPr="00B76C7D">
        <w:t xml:space="preserve">F.Supp.2d 758, 770 [“Neither the language nor the legislative history of the PDA reflects an intent to cover infertility”]; </w:t>
      </w:r>
      <w:r w:rsidRPr="00B76C7D">
        <w:rPr>
          <w:i/>
          <w:iCs/>
        </w:rPr>
        <w:t>Krauel v. Iowa Methodist Med</w:t>
      </w:r>
      <w:r w:rsidR="00074FD6">
        <w:rPr>
          <w:i/>
          <w:iCs/>
        </w:rPr>
        <w:t>ical</w:t>
      </w:r>
      <w:r w:rsidRPr="00B76C7D">
        <w:rPr>
          <w:i/>
          <w:iCs/>
        </w:rPr>
        <w:t xml:space="preserve"> C</w:t>
      </w:r>
      <w:r w:rsidR="00074FD6">
        <w:rPr>
          <w:i/>
          <w:iCs/>
        </w:rPr>
        <w:t>en</w:t>
      </w:r>
      <w:r w:rsidRPr="00B76C7D">
        <w:rPr>
          <w:i/>
          <w:iCs/>
        </w:rPr>
        <w:t>t</w:t>
      </w:r>
      <w:r w:rsidR="00074FD6">
        <w:rPr>
          <w:i/>
          <w:iCs/>
        </w:rPr>
        <w:t>e</w:t>
      </w:r>
      <w:r w:rsidRPr="00B76C7D">
        <w:rPr>
          <w:i/>
          <w:iCs/>
        </w:rPr>
        <w:t>r</w:t>
      </w:r>
      <w:r w:rsidRPr="00B76C7D">
        <w:t xml:space="preserve"> (8th Cir. 1996) 95</w:t>
      </w:r>
      <w:r w:rsidR="00595DE3">
        <w:t> </w:t>
      </w:r>
      <w:r w:rsidRPr="00B76C7D">
        <w:t>F.3d 674, 679-680</w:t>
      </w:r>
      <w:r w:rsidR="00074FD6">
        <w:t xml:space="preserve"> </w:t>
      </w:r>
      <w:r w:rsidRPr="00B76C7D" w:rsidR="00074FD6">
        <w:t>[“infertility is outside of the PDA’s protection because it is not pregnancy, childbirth, or a related medical condition”]</w:t>
      </w:r>
      <w:r w:rsidRPr="00B76C7D">
        <w:t xml:space="preserve">, abrogated on other grounds </w:t>
      </w:r>
      <w:r w:rsidR="00074FD6">
        <w:t>in</w:t>
      </w:r>
      <w:r w:rsidRPr="00B76C7D">
        <w:t xml:space="preserve"> </w:t>
      </w:r>
      <w:r w:rsidRPr="00B76C7D">
        <w:rPr>
          <w:i/>
          <w:iCs/>
        </w:rPr>
        <w:t>Bragdon v. Abbott</w:t>
      </w:r>
      <w:r w:rsidRPr="00B76C7D">
        <w:t xml:space="preserve"> (1998) 524</w:t>
      </w:r>
      <w:r w:rsidR="00595DE3">
        <w:t> </w:t>
      </w:r>
      <w:r w:rsidRPr="00B76C7D">
        <w:t>U.S. 624, 638.)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55F070F"/>
    <w:multiLevelType w:val="hybridMultilevel"/>
    <w:tmpl w:val="4A2AA43E"/>
    <w:lvl w:ilvl="0">
      <w:start w:val="1"/>
      <w:numFmt w:val="upperLetter"/>
      <w:lvlText w:val="%1."/>
      <w:lvlJc w:val="left"/>
      <w:pPr>
        <w:ind w:left="1080" w:hanging="360"/>
      </w:pPr>
      <w:rPr>
        <w:rFonts w:hint="default"/>
        <w:i/>
        <w:i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A0"/>
    <w:rsid w:val="00012F5B"/>
    <w:rsid w:val="00013BCF"/>
    <w:rsid w:val="00043DEA"/>
    <w:rsid w:val="00052DBF"/>
    <w:rsid w:val="00074FD6"/>
    <w:rsid w:val="00081DD3"/>
    <w:rsid w:val="000865E2"/>
    <w:rsid w:val="000D3DB8"/>
    <w:rsid w:val="00101043"/>
    <w:rsid w:val="00105FA6"/>
    <w:rsid w:val="001128DB"/>
    <w:rsid w:val="00132AE7"/>
    <w:rsid w:val="001372F5"/>
    <w:rsid w:val="0014227D"/>
    <w:rsid w:val="00143761"/>
    <w:rsid w:val="00145B01"/>
    <w:rsid w:val="00156A79"/>
    <w:rsid w:val="00162498"/>
    <w:rsid w:val="001728BF"/>
    <w:rsid w:val="00177F17"/>
    <w:rsid w:val="00185B10"/>
    <w:rsid w:val="001D14E0"/>
    <w:rsid w:val="001D5E9E"/>
    <w:rsid w:val="001E12C8"/>
    <w:rsid w:val="002016EF"/>
    <w:rsid w:val="00237074"/>
    <w:rsid w:val="002620EE"/>
    <w:rsid w:val="002E629F"/>
    <w:rsid w:val="002F4DEA"/>
    <w:rsid w:val="003509DE"/>
    <w:rsid w:val="003621A2"/>
    <w:rsid w:val="00385734"/>
    <w:rsid w:val="003907CB"/>
    <w:rsid w:val="003A2FCD"/>
    <w:rsid w:val="003B0319"/>
    <w:rsid w:val="003D497E"/>
    <w:rsid w:val="003E3C39"/>
    <w:rsid w:val="00412BF7"/>
    <w:rsid w:val="00416FEE"/>
    <w:rsid w:val="00427C96"/>
    <w:rsid w:val="004357D1"/>
    <w:rsid w:val="00480214"/>
    <w:rsid w:val="0048049E"/>
    <w:rsid w:val="00481222"/>
    <w:rsid w:val="00481BE6"/>
    <w:rsid w:val="00490FC2"/>
    <w:rsid w:val="004920B7"/>
    <w:rsid w:val="00492CC1"/>
    <w:rsid w:val="004A4F57"/>
    <w:rsid w:val="004C78CF"/>
    <w:rsid w:val="00510EF4"/>
    <w:rsid w:val="00513429"/>
    <w:rsid w:val="00577974"/>
    <w:rsid w:val="00583507"/>
    <w:rsid w:val="00595DE3"/>
    <w:rsid w:val="00597314"/>
    <w:rsid w:val="005B532B"/>
    <w:rsid w:val="005B6FF5"/>
    <w:rsid w:val="005C035A"/>
    <w:rsid w:val="005E109A"/>
    <w:rsid w:val="00600994"/>
    <w:rsid w:val="00601F76"/>
    <w:rsid w:val="0061662B"/>
    <w:rsid w:val="006173F7"/>
    <w:rsid w:val="00645DA7"/>
    <w:rsid w:val="0066413D"/>
    <w:rsid w:val="00665861"/>
    <w:rsid w:val="0069524C"/>
    <w:rsid w:val="006B0063"/>
    <w:rsid w:val="006B34E0"/>
    <w:rsid w:val="006B5461"/>
    <w:rsid w:val="006B62A0"/>
    <w:rsid w:val="00727DA1"/>
    <w:rsid w:val="00734F4F"/>
    <w:rsid w:val="0073536F"/>
    <w:rsid w:val="0076269E"/>
    <w:rsid w:val="007727B9"/>
    <w:rsid w:val="00783B16"/>
    <w:rsid w:val="00791BE5"/>
    <w:rsid w:val="007B3D87"/>
    <w:rsid w:val="008134A3"/>
    <w:rsid w:val="00814868"/>
    <w:rsid w:val="00826F09"/>
    <w:rsid w:val="008504C7"/>
    <w:rsid w:val="0085798C"/>
    <w:rsid w:val="00866ADA"/>
    <w:rsid w:val="00874BEA"/>
    <w:rsid w:val="0088342E"/>
    <w:rsid w:val="00887BFD"/>
    <w:rsid w:val="008913AD"/>
    <w:rsid w:val="00891BE2"/>
    <w:rsid w:val="008A2C79"/>
    <w:rsid w:val="008C43C6"/>
    <w:rsid w:val="008C63A5"/>
    <w:rsid w:val="008D0238"/>
    <w:rsid w:val="008E0F03"/>
    <w:rsid w:val="00920B5E"/>
    <w:rsid w:val="00922FD6"/>
    <w:rsid w:val="009737CC"/>
    <w:rsid w:val="00987F27"/>
    <w:rsid w:val="009953DE"/>
    <w:rsid w:val="00996563"/>
    <w:rsid w:val="009A6C0B"/>
    <w:rsid w:val="009C2F32"/>
    <w:rsid w:val="009C32A0"/>
    <w:rsid w:val="009E29F1"/>
    <w:rsid w:val="009F53EE"/>
    <w:rsid w:val="00A20661"/>
    <w:rsid w:val="00A26367"/>
    <w:rsid w:val="00A40970"/>
    <w:rsid w:val="00A54734"/>
    <w:rsid w:val="00A67931"/>
    <w:rsid w:val="00A85565"/>
    <w:rsid w:val="00A948D8"/>
    <w:rsid w:val="00B11B44"/>
    <w:rsid w:val="00B31389"/>
    <w:rsid w:val="00B43D48"/>
    <w:rsid w:val="00B76C7D"/>
    <w:rsid w:val="00B814EA"/>
    <w:rsid w:val="00B82032"/>
    <w:rsid w:val="00B86AC6"/>
    <w:rsid w:val="00BA21CC"/>
    <w:rsid w:val="00BA400E"/>
    <w:rsid w:val="00BD5A47"/>
    <w:rsid w:val="00BE2AA5"/>
    <w:rsid w:val="00BF7934"/>
    <w:rsid w:val="00C00419"/>
    <w:rsid w:val="00C074BC"/>
    <w:rsid w:val="00C10C63"/>
    <w:rsid w:val="00C34936"/>
    <w:rsid w:val="00C35283"/>
    <w:rsid w:val="00C65ADD"/>
    <w:rsid w:val="00C8297F"/>
    <w:rsid w:val="00C83F90"/>
    <w:rsid w:val="00C90BAA"/>
    <w:rsid w:val="00C943D3"/>
    <w:rsid w:val="00CB6C2C"/>
    <w:rsid w:val="00CD2F63"/>
    <w:rsid w:val="00CD4503"/>
    <w:rsid w:val="00CF685F"/>
    <w:rsid w:val="00D05335"/>
    <w:rsid w:val="00D05E5C"/>
    <w:rsid w:val="00D12293"/>
    <w:rsid w:val="00D635F2"/>
    <w:rsid w:val="00D65465"/>
    <w:rsid w:val="00D77E95"/>
    <w:rsid w:val="00D81BA8"/>
    <w:rsid w:val="00D92C55"/>
    <w:rsid w:val="00D9666B"/>
    <w:rsid w:val="00DA043E"/>
    <w:rsid w:val="00DA26E7"/>
    <w:rsid w:val="00DB0C3A"/>
    <w:rsid w:val="00DB2C56"/>
    <w:rsid w:val="00DD387A"/>
    <w:rsid w:val="00E1048B"/>
    <w:rsid w:val="00E16B64"/>
    <w:rsid w:val="00E32C8D"/>
    <w:rsid w:val="00E417DE"/>
    <w:rsid w:val="00E546C0"/>
    <w:rsid w:val="00E75A2C"/>
    <w:rsid w:val="00E84801"/>
    <w:rsid w:val="00EA1D65"/>
    <w:rsid w:val="00F01303"/>
    <w:rsid w:val="00F043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2"/>
        <w:sz w:val="26"/>
        <w:szCs w:val="26"/>
        <w:lang w:val="en-US" w:eastAsia="en-US"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2A0"/>
    <w:pPr>
      <w:spacing w:after="160" w:line="259" w:lineRule="auto"/>
    </w:pPr>
    <w:rPr>
      <w:rFonts w:eastAsia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uiPriority w:val="99"/>
    <w:semiHidden/>
    <w:rsid w:val="00C00419"/>
    <w:rPr>
      <w:rFonts w:ascii="Times New Roman" w:hAnsi="Times New Roman"/>
      <w:b/>
      <w:kern w:val="0"/>
      <w:position w:val="8"/>
      <w:sz w:val="20"/>
      <w:u w:val="none"/>
      <w:vertAlign w:val="baseline"/>
    </w:rPr>
  </w:style>
  <w:style w:type="paragraph" w:styleId="FootnoteText">
    <w:name w:val="footnote text"/>
    <w:basedOn w:val="Normal"/>
    <w:link w:val="FootnoteTextChar"/>
    <w:uiPriority w:val="99"/>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paragraph" w:customStyle="1" w:styleId="Default">
    <w:name w:val="Default"/>
    <w:rsid w:val="006B62A0"/>
    <w:pPr>
      <w:autoSpaceDE w:val="0"/>
      <w:autoSpaceDN w:val="0"/>
      <w:adjustRightInd w:val="0"/>
    </w:pPr>
    <w:rPr>
      <w:rFonts w:ascii="Century Schoolbook" w:hAnsi="Century Schoolbook" w:eastAsiaTheme="minorHAnsi" w:cs="Century Schoolbook"/>
      <w:color w:val="000000"/>
      <w:kern w:val="0"/>
      <w:sz w:val="24"/>
      <w:szCs w:val="24"/>
    </w:rPr>
  </w:style>
  <w:style w:type="character" w:customStyle="1" w:styleId="FootnoteTextChar">
    <w:name w:val="Footnote Text Char"/>
    <w:basedOn w:val="DefaultParagraphFont"/>
    <w:link w:val="FootnoteText"/>
    <w:uiPriority w:val="99"/>
    <w:semiHidden/>
    <w:rsid w:val="006B62A0"/>
  </w:style>
  <w:style w:type="paragraph" w:styleId="ListParagraph">
    <w:name w:val="List Paragraph"/>
    <w:basedOn w:val="Normal"/>
    <w:uiPriority w:val="34"/>
    <w:qFormat/>
    <w:rsid w:val="006B62A0"/>
    <w:pPr>
      <w:ind w:left="720"/>
      <w:contextualSpacing/>
    </w:pPr>
  </w:style>
  <w:style w:type="paragraph" w:styleId="Revision">
    <w:name w:val="Revision"/>
    <w:hidden/>
    <w:uiPriority w:val="99"/>
    <w:semiHidden/>
    <w:rsid w:val="006B62A0"/>
    <w:rPr>
      <w:rFonts w:eastAsiaTheme="minorHAnsi" w:cstheme="minorBidi"/>
      <w:szCs w:val="22"/>
    </w:rPr>
  </w:style>
  <w:style w:type="table" w:styleId="TableGrid">
    <w:name w:val="Table Grid"/>
    <w:basedOn w:val="TableNormal"/>
    <w:rsid w:val="00C35283"/>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34F4F"/>
    <w:rPr>
      <w:sz w:val="16"/>
      <w:szCs w:val="16"/>
    </w:rPr>
  </w:style>
  <w:style w:type="paragraph" w:styleId="CommentText">
    <w:name w:val="annotation text"/>
    <w:basedOn w:val="Normal"/>
    <w:link w:val="CommentTextChar"/>
    <w:rsid w:val="00734F4F"/>
    <w:pPr>
      <w:spacing w:line="240" w:lineRule="auto"/>
    </w:pPr>
    <w:rPr>
      <w:sz w:val="20"/>
      <w:szCs w:val="20"/>
    </w:rPr>
  </w:style>
  <w:style w:type="character" w:customStyle="1" w:styleId="CommentTextChar">
    <w:name w:val="Comment Text Char"/>
    <w:basedOn w:val="DefaultParagraphFont"/>
    <w:link w:val="CommentText"/>
    <w:rsid w:val="00734F4F"/>
    <w:rPr>
      <w:rFonts w:eastAsiaTheme="minorHAnsi" w:cstheme="minorBidi"/>
      <w:sz w:val="20"/>
      <w:szCs w:val="20"/>
    </w:rPr>
  </w:style>
  <w:style w:type="paragraph" w:styleId="CommentSubject">
    <w:name w:val="annotation subject"/>
    <w:basedOn w:val="CommentText"/>
    <w:next w:val="CommentText"/>
    <w:link w:val="CommentSubjectChar"/>
    <w:rsid w:val="00734F4F"/>
    <w:rPr>
      <w:b/>
      <w:bCs/>
    </w:rPr>
  </w:style>
  <w:style w:type="character" w:customStyle="1" w:styleId="CommentSubjectChar">
    <w:name w:val="Comment Subject Char"/>
    <w:basedOn w:val="CommentTextChar"/>
    <w:link w:val="CommentSubject"/>
    <w:rsid w:val="00734F4F"/>
    <w:rPr>
      <w:rFonts w:eastAsia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B2FF7-A46A-4749-B72F-4A964B27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4458</Words>
  <Characters>25417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2024-06-27T18:25:12Z</dcterms:created>
  <dcterms:modified xsi:type="dcterms:W3CDTF">2024-06-27T18:25:12Z</dcterms:modified>
</cp:coreProperties>
</file>