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61BC2" w:rsidRPr="005009EF" w:rsidP="005009EF" w14:paraId="5D5ED7B9" w14:textId="2CAF687E">
      <w:pPr>
        <w:spacing w:line="240" w:lineRule="atLeast"/>
        <w:rPr>
          <w:sz w:val="20"/>
          <w:szCs w:val="20"/>
        </w:rPr>
      </w:pPr>
      <w:r w:rsidRPr="005009EF">
        <w:rPr>
          <w:sz w:val="20"/>
          <w:szCs w:val="20"/>
        </w:rPr>
        <w:t>Filed 5/17/24</w:t>
      </w:r>
    </w:p>
    <w:p w:rsidR="003D117B" w:rsidP="003D117B" w14:paraId="275F447F" w14:textId="282E1789">
      <w:pPr>
        <w:spacing w:line="240" w:lineRule="atLeast"/>
        <w:jc w:val="center"/>
      </w:pPr>
      <w:r w:rsidRPr="003D117B">
        <w:rPr>
          <w:u w:val="words"/>
        </w:rPr>
        <w:t>CERTIFIED FOR PARTIAL PUBLICATION</w:t>
      </w:r>
      <w:r>
        <w:rPr>
          <w:rStyle w:val="FootnoteReference"/>
        </w:rPr>
        <w:footnoteReference w:customMarkFollows="1" w:id="2"/>
        <w:t xml:space="preserve">*</w:t>
      </w:r>
    </w:p>
    <w:p w:rsidR="003D117B" w:rsidP="003D117B" w14:paraId="57C7284A" w14:textId="77777777">
      <w:pPr>
        <w:spacing w:line="240" w:lineRule="atLeast"/>
        <w:jc w:val="center"/>
      </w:pPr>
    </w:p>
    <w:p w:rsidR="003D117B" w:rsidP="003D117B" w14:paraId="4C10A680" w14:textId="77777777">
      <w:pPr>
        <w:spacing w:line="240" w:lineRule="atLeast"/>
        <w:jc w:val="center"/>
      </w:pPr>
    </w:p>
    <w:p w:rsidR="003D117B" w:rsidP="003D117B" w14:paraId="1487598A" w14:textId="77777777">
      <w:pPr>
        <w:spacing w:line="240" w:lineRule="atLeast"/>
        <w:jc w:val="center"/>
      </w:pPr>
    </w:p>
    <w:p w:rsidR="003D117B" w:rsidP="003D117B" w14:paraId="5DCF42E4" w14:textId="77777777">
      <w:pPr>
        <w:spacing w:line="240" w:lineRule="atLeast"/>
        <w:jc w:val="center"/>
      </w:pPr>
    </w:p>
    <w:p w:rsidR="003D117B" w:rsidP="003D117B" w14:paraId="63F941BC" w14:textId="77777777">
      <w:pPr>
        <w:spacing w:line="240" w:lineRule="atLeast"/>
        <w:jc w:val="center"/>
      </w:pPr>
    </w:p>
    <w:p w:rsidR="003D117B" w:rsidP="003D117B" w14:paraId="130CC1B3" w14:textId="6B6FADB1">
      <w:pPr>
        <w:jc w:val="center"/>
      </w:pPr>
      <w:r>
        <w:t>IN THE COURT OF APPEAL OF THE STATE OF CALIFORNIA</w:t>
      </w:r>
    </w:p>
    <w:p w:rsidR="003D117B" w:rsidP="003D117B" w14:paraId="33D96B71" w14:textId="36FB9070">
      <w:pPr>
        <w:jc w:val="center"/>
      </w:pPr>
      <w:r>
        <w:t>THIRD APPELLATE DISTRICT</w:t>
      </w:r>
    </w:p>
    <w:p w:rsidR="003D117B" w:rsidP="003D117B" w14:paraId="2F633B1D" w14:textId="0CDF9397">
      <w:pPr>
        <w:jc w:val="center"/>
      </w:pPr>
      <w:r>
        <w:t>(Nevada)</w:t>
      </w:r>
    </w:p>
    <w:p w:rsidR="003D117B" w:rsidP="003D117B" w14:paraId="0F92055F" w14:textId="6FE4BD3D">
      <w:pPr>
        <w:jc w:val="center"/>
      </w:pPr>
      <w:r>
        <w:t>----</w:t>
      </w:r>
    </w:p>
    <w:p w:rsidR="003D117B" w:rsidP="003D117B" w14:paraId="76ED2DFB" w14:textId="77777777">
      <w:pPr>
        <w:jc w:val="center"/>
      </w:pPr>
    </w:p>
    <w:p w:rsidR="003D117B" w:rsidP="003D117B" w14:paraId="0E7197F4" w14:textId="77777777">
      <w:pPr>
        <w:spacing w:line="240" w:lineRule="atLeast"/>
      </w:pPr>
    </w:p>
    <w:p w:rsidR="003D117B" w:rsidP="003D117B" w14:paraId="27E7BD03" w14:textId="77777777">
      <w:pPr>
        <w:spacing w:line="240" w:lineRule="atLeast"/>
      </w:pPr>
    </w:p>
    <w:p w:rsidR="003D117B" w:rsidP="003D117B" w14:paraId="55CF6862" w14:textId="77777777">
      <w:pPr>
        <w:spacing w:line="240" w:lineRule="atLeast"/>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14:paraId="338E54BB" w14:textId="77777777" w:rsidTr="003D117B">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3D117B" w:rsidP="003D117B" w14:paraId="750E1F7A" w14:textId="77777777">
            <w:pPr>
              <w:spacing w:line="240" w:lineRule="atLeast"/>
              <w:rPr>
                <w:rStyle w:val="DefaultParagraphFont"/>
                <w:sz w:val="26"/>
                <w:szCs w:val="26"/>
                <w:lang w:val="en-US" w:eastAsia="en-US" w:bidi="ar-SA"/>
              </w:rPr>
            </w:pPr>
            <w:r>
              <w:rPr>
                <w:sz w:val="26"/>
                <w:szCs w:val="26"/>
                <w:lang w:val="en-US" w:eastAsia="en-US" w:bidi="ar-SA"/>
              </w:rPr>
              <w:t>JESSICA HOGLUND,</w:t>
            </w:r>
          </w:p>
          <w:p w:rsidR="003D117B" w:rsidP="003D117B" w14:paraId="0F10920D" w14:textId="77777777">
            <w:pPr>
              <w:spacing w:line="240" w:lineRule="atLeast"/>
              <w:rPr>
                <w:rStyle w:val="DefaultParagraphFont"/>
                <w:sz w:val="26"/>
                <w:szCs w:val="26"/>
                <w:lang w:val="en-US" w:eastAsia="en-US" w:bidi="ar-SA"/>
              </w:rPr>
            </w:pPr>
          </w:p>
          <w:p w:rsidR="003D117B" w:rsidP="003D117B" w14:paraId="64BBDCDF" w14:textId="77777777">
            <w:pPr>
              <w:spacing w:line="240" w:lineRule="atLeast"/>
              <w:rPr>
                <w:rStyle w:val="DefaultParagraphFont"/>
                <w:sz w:val="26"/>
                <w:szCs w:val="26"/>
                <w:lang w:val="en-US" w:eastAsia="en-US" w:bidi="ar-SA"/>
              </w:rPr>
            </w:pPr>
            <w:r>
              <w:rPr>
                <w:sz w:val="26"/>
                <w:szCs w:val="26"/>
                <w:lang w:val="en-US" w:eastAsia="en-US" w:bidi="ar-SA"/>
              </w:rPr>
              <w:tab/>
            </w:r>
            <w:r>
              <w:rPr>
                <w:sz w:val="26"/>
                <w:szCs w:val="26"/>
                <w:lang w:val="en-US" w:eastAsia="en-US" w:bidi="ar-SA"/>
              </w:rPr>
              <w:tab/>
              <w:t>Plaintiff and Appellant,</w:t>
            </w:r>
          </w:p>
          <w:p w:rsidR="003D117B" w:rsidP="003D117B" w14:paraId="4824F42A" w14:textId="77777777">
            <w:pPr>
              <w:spacing w:line="240" w:lineRule="atLeast"/>
              <w:rPr>
                <w:rStyle w:val="DefaultParagraphFont"/>
                <w:sz w:val="26"/>
                <w:szCs w:val="26"/>
                <w:lang w:val="en-US" w:eastAsia="en-US" w:bidi="ar-SA"/>
              </w:rPr>
            </w:pPr>
          </w:p>
          <w:p w:rsidR="003D117B" w:rsidP="003D117B" w14:paraId="18899628" w14:textId="77777777">
            <w:pPr>
              <w:spacing w:line="240" w:lineRule="atLeast"/>
              <w:rPr>
                <w:rStyle w:val="DefaultParagraphFont"/>
                <w:sz w:val="26"/>
                <w:szCs w:val="26"/>
                <w:lang w:val="en-US" w:eastAsia="en-US" w:bidi="ar-SA"/>
              </w:rPr>
            </w:pPr>
            <w:r>
              <w:rPr>
                <w:sz w:val="26"/>
                <w:szCs w:val="26"/>
                <w:lang w:val="en-US" w:eastAsia="en-US" w:bidi="ar-SA"/>
              </w:rPr>
              <w:tab/>
              <w:t>v.</w:t>
            </w:r>
          </w:p>
          <w:p w:rsidR="003D117B" w:rsidP="003D117B" w14:paraId="79534B08" w14:textId="77777777">
            <w:pPr>
              <w:spacing w:line="240" w:lineRule="atLeast"/>
              <w:rPr>
                <w:rStyle w:val="DefaultParagraphFont"/>
                <w:sz w:val="26"/>
                <w:szCs w:val="26"/>
                <w:lang w:val="en-US" w:eastAsia="en-US" w:bidi="ar-SA"/>
              </w:rPr>
            </w:pPr>
          </w:p>
          <w:p w:rsidR="003D117B" w:rsidP="003D117B" w14:paraId="13570DCC" w14:textId="77777777">
            <w:pPr>
              <w:spacing w:line="240" w:lineRule="atLeast"/>
              <w:rPr>
                <w:rStyle w:val="DefaultParagraphFont"/>
                <w:sz w:val="26"/>
                <w:szCs w:val="26"/>
                <w:lang w:val="en-US" w:eastAsia="en-US" w:bidi="ar-SA"/>
              </w:rPr>
            </w:pPr>
            <w:r>
              <w:rPr>
                <w:sz w:val="26"/>
                <w:szCs w:val="26"/>
                <w:lang w:val="en-US" w:eastAsia="en-US" w:bidi="ar-SA"/>
              </w:rPr>
              <w:t>SIERRA NEVADA MEMORIAL-MINERS HOSPITAL et al.,</w:t>
            </w:r>
          </w:p>
          <w:p w:rsidR="003D117B" w:rsidP="003D117B" w14:paraId="104D2CAA" w14:textId="77777777">
            <w:pPr>
              <w:spacing w:line="240" w:lineRule="atLeast"/>
              <w:rPr>
                <w:rStyle w:val="DefaultParagraphFont"/>
                <w:sz w:val="26"/>
                <w:szCs w:val="26"/>
                <w:lang w:val="en-US" w:eastAsia="en-US" w:bidi="ar-SA"/>
              </w:rPr>
            </w:pPr>
          </w:p>
          <w:p w:rsidR="003D117B" w:rsidP="003D117B" w14:paraId="1067587C" w14:textId="77777777">
            <w:pPr>
              <w:spacing w:line="240" w:lineRule="atLeast"/>
              <w:rPr>
                <w:rStyle w:val="DefaultParagraphFont"/>
                <w:sz w:val="26"/>
                <w:szCs w:val="26"/>
                <w:lang w:val="en-US" w:eastAsia="en-US" w:bidi="ar-SA"/>
              </w:rPr>
            </w:pPr>
            <w:r>
              <w:rPr>
                <w:sz w:val="26"/>
                <w:szCs w:val="26"/>
                <w:lang w:val="en-US" w:eastAsia="en-US" w:bidi="ar-SA"/>
              </w:rPr>
              <w:tab/>
            </w:r>
            <w:r>
              <w:rPr>
                <w:sz w:val="26"/>
                <w:szCs w:val="26"/>
                <w:lang w:val="en-US" w:eastAsia="en-US" w:bidi="ar-SA"/>
              </w:rPr>
              <w:tab/>
              <w:t>Defendants and Appellants.</w:t>
            </w:r>
          </w:p>
          <w:p w:rsidR="003D117B" w:rsidP="003D117B" w14:paraId="2CCB45FC" w14:textId="3BC43F55">
            <w:pPr>
              <w:spacing w:line="240" w:lineRule="atLeast"/>
              <w:rPr>
                <w:rStyle w:val="DefaultParagraphFont"/>
                <w:sz w:val="26"/>
                <w:szCs w:val="26"/>
                <w:lang w:val="en-US" w:eastAsia="en-US" w:bidi="ar-SA"/>
              </w:rPr>
            </w:pPr>
          </w:p>
        </w:tc>
        <w:tc>
          <w:tcPr>
            <w:tcW w:w="3456" w:type="dxa"/>
            <w:shd w:val="clear" w:color="auto" w:fill="auto"/>
          </w:tcPr>
          <w:p w:rsidR="003D117B" w:rsidP="003D117B" w14:paraId="556244A6" w14:textId="77777777">
            <w:pPr>
              <w:spacing w:line="240" w:lineRule="atLeast"/>
              <w:jc w:val="center"/>
              <w:rPr>
                <w:rStyle w:val="DefaultParagraphFont"/>
                <w:sz w:val="26"/>
                <w:szCs w:val="26"/>
                <w:lang w:val="en-US" w:eastAsia="en-US" w:bidi="ar-SA"/>
              </w:rPr>
            </w:pPr>
            <w:r>
              <w:rPr>
                <w:sz w:val="26"/>
                <w:szCs w:val="26"/>
                <w:lang w:val="en-US" w:eastAsia="en-US" w:bidi="ar-SA"/>
              </w:rPr>
              <w:t>C097065</w:t>
            </w:r>
          </w:p>
          <w:p w:rsidR="003D117B" w:rsidP="003D117B" w14:paraId="65D4FB0F" w14:textId="77777777">
            <w:pPr>
              <w:spacing w:line="240" w:lineRule="atLeast"/>
              <w:jc w:val="center"/>
              <w:rPr>
                <w:rStyle w:val="DefaultParagraphFont"/>
                <w:sz w:val="26"/>
                <w:szCs w:val="26"/>
                <w:lang w:val="en-US" w:eastAsia="en-US" w:bidi="ar-SA"/>
              </w:rPr>
            </w:pPr>
          </w:p>
          <w:p w:rsidR="003D117B" w:rsidP="003D117B" w14:paraId="05EB988B" w14:textId="77777777">
            <w:pPr>
              <w:spacing w:line="240" w:lineRule="atLeast"/>
              <w:jc w:val="center"/>
              <w:rPr>
                <w:rStyle w:val="DefaultParagraphFont"/>
                <w:sz w:val="26"/>
                <w:szCs w:val="26"/>
                <w:lang w:val="en-US" w:eastAsia="en-US" w:bidi="ar-SA"/>
              </w:rPr>
            </w:pPr>
            <w:r>
              <w:rPr>
                <w:sz w:val="26"/>
                <w:szCs w:val="26"/>
                <w:lang w:val="en-US" w:eastAsia="en-US" w:bidi="ar-SA"/>
              </w:rPr>
              <w:t>(Super. Ct. No. CU18-083045)</w:t>
            </w:r>
          </w:p>
          <w:p w:rsidR="003D117B" w:rsidP="003D117B" w14:paraId="6C187696" w14:textId="77777777">
            <w:pPr>
              <w:spacing w:line="240" w:lineRule="atLeast"/>
              <w:jc w:val="center"/>
              <w:rPr>
                <w:rStyle w:val="DefaultParagraphFont"/>
                <w:sz w:val="26"/>
                <w:szCs w:val="26"/>
                <w:lang w:val="en-US" w:eastAsia="en-US" w:bidi="ar-SA"/>
              </w:rPr>
            </w:pPr>
          </w:p>
          <w:p w:rsidR="003D117B" w:rsidP="003D117B" w14:paraId="0D488E78" w14:textId="36B04897">
            <w:pPr>
              <w:spacing w:line="240" w:lineRule="atLeast"/>
              <w:jc w:val="center"/>
              <w:rPr>
                <w:rStyle w:val="DefaultParagraphFont"/>
                <w:sz w:val="26"/>
                <w:szCs w:val="26"/>
                <w:lang w:val="en-US" w:eastAsia="en-US" w:bidi="ar-SA"/>
              </w:rPr>
            </w:pPr>
          </w:p>
        </w:tc>
      </w:tr>
    </w:tbl>
    <w:p w:rsidR="003D117B" w:rsidP="003D117B" w14:paraId="2400C5FF" w14:textId="77777777">
      <w:pPr>
        <w:spacing w:line="240" w:lineRule="atLeast"/>
      </w:pPr>
    </w:p>
    <w:p w:rsidR="003D117B" w:rsidP="003D117B" w14:paraId="308B383E" w14:textId="328ECBFE">
      <w:pPr>
        <w:spacing w:line="240" w:lineRule="atLeast"/>
      </w:pPr>
      <w:r>
        <w:tab/>
        <w:t xml:space="preserve">APPEAL from </w:t>
      </w:r>
      <w:r w:rsidR="002A608E">
        <w:t xml:space="preserve">a </w:t>
      </w:r>
      <w:r>
        <w:t xml:space="preserve">judgment of the Superior Court of Nevada County, </w:t>
      </w:r>
      <w:r w:rsidRPr="00DC2AB7">
        <w:t>Thomas M. Anderson</w:t>
      </w:r>
      <w:r w:rsidR="00DC2AB7">
        <w:t xml:space="preserve"> and </w:t>
      </w:r>
      <w:r w:rsidR="003F705D">
        <w:t xml:space="preserve">S. </w:t>
      </w:r>
      <w:r w:rsidR="00DC2AB7">
        <w:t>Robert Tice</w:t>
      </w:r>
      <w:r w:rsidR="00C56647">
        <w:t>-</w:t>
      </w:r>
      <w:r w:rsidR="00DC2AB7">
        <w:t>Raskin</w:t>
      </w:r>
      <w:r>
        <w:t>, Judge</w:t>
      </w:r>
      <w:r w:rsidR="00DC2AB7">
        <w:t>s</w:t>
      </w:r>
      <w:r>
        <w:t>.  Affirmed.</w:t>
      </w:r>
    </w:p>
    <w:p w:rsidR="003D117B" w:rsidP="003D117B" w14:paraId="718C9F4D" w14:textId="77777777">
      <w:pPr>
        <w:spacing w:line="240" w:lineRule="atLeast"/>
      </w:pPr>
    </w:p>
    <w:p w:rsidR="003D117B" w:rsidRPr="00A25A91" w:rsidP="003D117B" w14:paraId="2CEA3B46" w14:textId="2D81A3F3">
      <w:pPr>
        <w:spacing w:line="240" w:lineRule="atLeast"/>
        <w:rPr>
          <w:highlight w:val="yellow"/>
        </w:rPr>
      </w:pPr>
      <w:r>
        <w:tab/>
      </w:r>
      <w:r w:rsidR="008D0D8E">
        <w:t xml:space="preserve">Goodman Law, </w:t>
      </w:r>
      <w:r w:rsidRPr="008D0D8E">
        <w:t>Karen M. Goodman</w:t>
      </w:r>
      <w:r w:rsidRPr="008D0D8E" w:rsidR="008D0D8E">
        <w:t xml:space="preserve">; </w:t>
      </w:r>
      <w:r w:rsidR="008D0D8E">
        <w:t xml:space="preserve">and </w:t>
      </w:r>
      <w:r w:rsidRPr="008D0D8E">
        <w:t xml:space="preserve">C. </w:t>
      </w:r>
      <w:r w:rsidRPr="008D0D8E" w:rsidR="008D0D8E">
        <w:t xml:space="preserve">Athena </w:t>
      </w:r>
      <w:r w:rsidRPr="008D0D8E">
        <w:t>Roussos for Plaintiff and Appellant.</w:t>
      </w:r>
    </w:p>
    <w:p w:rsidR="003D117B" w:rsidRPr="00A25A91" w:rsidP="003D117B" w14:paraId="208E5079" w14:textId="77777777">
      <w:pPr>
        <w:spacing w:line="240" w:lineRule="atLeast"/>
        <w:rPr>
          <w:highlight w:val="yellow"/>
        </w:rPr>
      </w:pPr>
    </w:p>
    <w:p w:rsidR="003D117B" w:rsidP="003D117B" w14:paraId="596B289E" w14:textId="3487B9B4">
      <w:pPr>
        <w:spacing w:line="240" w:lineRule="atLeast"/>
      </w:pPr>
      <w:r w:rsidRPr="003A56A9">
        <w:tab/>
      </w:r>
      <w:r w:rsidRPr="003A56A9" w:rsidR="003A56A9">
        <w:t>Atkinson, Andelson, Loya, Ruud &amp; Romo, Catherine M. Lee</w:t>
      </w:r>
      <w:r w:rsidR="00040506">
        <w:t xml:space="preserve">, </w:t>
      </w:r>
      <w:r w:rsidRPr="003A56A9" w:rsidR="003A56A9">
        <w:t xml:space="preserve">Mae G. Alberto </w:t>
      </w:r>
      <w:r w:rsidR="00040506">
        <w:t xml:space="preserve">and Rex Darrell Berry </w:t>
      </w:r>
      <w:r w:rsidRPr="003A56A9" w:rsidR="003A56A9">
        <w:t xml:space="preserve">for </w:t>
      </w:r>
      <w:r w:rsidRPr="003A56A9">
        <w:t>Defendants and Appellants.</w:t>
      </w:r>
    </w:p>
    <w:p w:rsidR="009A6C0B" w:rsidRPr="00B707D6" w:rsidP="00B640CB" w14:paraId="050C6BF5" w14:textId="569A66A7">
      <w:pPr>
        <w:ind w:firstLine="720"/>
      </w:pPr>
      <w:r w:rsidRPr="00B707D6">
        <w:t xml:space="preserve">Plaintiff Jessica Hoglund (Hoglund) </w:t>
      </w:r>
      <w:r w:rsidR="004D2693">
        <w:t xml:space="preserve">sued </w:t>
      </w:r>
      <w:r w:rsidRPr="00B707D6">
        <w:t>her employer, defendant Sierra Nevada Memorial</w:t>
      </w:r>
      <w:r w:rsidR="00EE6AAA">
        <w:t>-</w:t>
      </w:r>
      <w:r w:rsidRPr="00B707D6">
        <w:t>Miners Hospital (Hospital)</w:t>
      </w:r>
      <w:r w:rsidR="00307DAF">
        <w:t>,</w:t>
      </w:r>
      <w:r w:rsidRPr="00B707D6">
        <w:t xml:space="preserve"> and her supervisor Rhonda Horne (Horne) (together, defendants) for age discrimination, harassment, and wrongful termination.  Following a bench trial, the trial court found for Hoglund on </w:t>
      </w:r>
      <w:r w:rsidR="00576F9B">
        <w:t>those</w:t>
      </w:r>
      <w:r w:rsidRPr="00B707D6">
        <w:t xml:space="preserve"> claims and awarded her $1,431,800 in economic and non-economic damages, along with $958,297 in attorney fees and $57,333 in costs.  </w:t>
      </w:r>
      <w:r w:rsidRPr="00B707D6" w:rsidR="00946F1A">
        <w:t>Defendants appeal on numerous grounds, cha</w:t>
      </w:r>
      <w:r w:rsidRPr="00B707D6" w:rsidR="0022305A">
        <w:t>llenging the verdict as unsupported by sufficient evidence, the damages as excessive, the statement of decision as inadequate, and the award of attorney fees and cost items as lacking evidentiary support.  Hoglund</w:t>
      </w:r>
      <w:r w:rsidR="00A8772F">
        <w:t xml:space="preserve"> </w:t>
      </w:r>
      <w:r w:rsidRPr="00B707D6" w:rsidR="0022305A">
        <w:t>cross-appeal</w:t>
      </w:r>
      <w:r w:rsidR="001B749D">
        <w:t>ed</w:t>
      </w:r>
      <w:r w:rsidRPr="00B707D6" w:rsidR="0022305A">
        <w:t>, arguing that the trial court erred by failing to award a tax neutralization payment.  We affirm.</w:t>
      </w:r>
    </w:p>
    <w:p w:rsidR="00946F1A" w:rsidRPr="00B707D6" w:rsidP="00B640CB" w14:paraId="43001880" w14:textId="58CDB698">
      <w:pPr>
        <w:keepNext/>
        <w:jc w:val="center"/>
      </w:pPr>
      <w:r w:rsidRPr="00B707D6">
        <w:t>FACTUAL AND PROCEDURAL BACKGROUND</w:t>
      </w:r>
    </w:p>
    <w:p w:rsidR="00946F1A" w:rsidRPr="00B707D6" w:rsidP="00B640CB" w14:paraId="66E2C5CD" w14:textId="41E344C3">
      <w:pPr>
        <w:keepNext/>
        <w:jc w:val="center"/>
      </w:pPr>
      <w:r w:rsidRPr="00B707D6">
        <w:t>I</w:t>
      </w:r>
    </w:p>
    <w:p w:rsidR="00946F1A" w:rsidRPr="00B707D6" w:rsidP="00B640CB" w14:paraId="003D0A28" w14:textId="4358CFCF">
      <w:pPr>
        <w:keepNext/>
        <w:jc w:val="center"/>
        <w:rPr>
          <w:i/>
          <w:iCs/>
        </w:rPr>
      </w:pPr>
      <w:r w:rsidRPr="00B707D6">
        <w:rPr>
          <w:i/>
          <w:iCs/>
        </w:rPr>
        <w:t>The Facts</w:t>
      </w:r>
    </w:p>
    <w:p w:rsidR="00A7014B" w:rsidRPr="00B707D6" w:rsidP="00B640CB" w14:paraId="00602F91" w14:textId="1CE8A9CE">
      <w:pPr>
        <w:ind w:firstLine="720"/>
      </w:pPr>
      <w:r w:rsidRPr="00B707D6">
        <w:t xml:space="preserve">In 2004, the Hospital hired Hoglund as a phlebotomist trainee.  In February 2011, at age 56, Hoglund became the sole </w:t>
      </w:r>
      <w:r w:rsidR="00EE6AAA">
        <w:t>l</w:t>
      </w:r>
      <w:r w:rsidRPr="00B707D6">
        <w:t xml:space="preserve">aboratory </w:t>
      </w:r>
      <w:r w:rsidR="00EE6AAA">
        <w:t>s</w:t>
      </w:r>
      <w:r w:rsidRPr="00B707D6">
        <w:t xml:space="preserve">upervisor, supervising all </w:t>
      </w:r>
      <w:r w:rsidRPr="00B707D6" w:rsidR="0022305A">
        <w:t xml:space="preserve">of the </w:t>
      </w:r>
      <w:r w:rsidRPr="00B707D6">
        <w:t>phlebotomists</w:t>
      </w:r>
      <w:r w:rsidRPr="00B707D6" w:rsidR="0022305A">
        <w:t xml:space="preserve"> at the Hospital</w:t>
      </w:r>
      <w:r w:rsidRPr="00B707D6">
        <w:t xml:space="preserve">.  She </w:t>
      </w:r>
      <w:r w:rsidR="00576F9B">
        <w:t>loved</w:t>
      </w:r>
      <w:r w:rsidRPr="00B707D6">
        <w:t xml:space="preserve"> her job and worked well with her supervisor.  Hoglund hoped to work at the Hospital until she was 72.</w:t>
      </w:r>
    </w:p>
    <w:p w:rsidR="00946F1A" w:rsidRPr="00B707D6" w:rsidP="008369A4" w14:paraId="4EB241C2" w14:textId="76186827">
      <w:pPr>
        <w:ind w:firstLine="720"/>
      </w:pPr>
      <w:bookmarkStart w:id="0" w:name="_Hlk156468557"/>
      <w:r w:rsidRPr="00B707D6">
        <w:t>In May 2011</w:t>
      </w:r>
      <w:r w:rsidRPr="00B707D6" w:rsidR="00BB2AFA">
        <w:t xml:space="preserve">, the Hospital hired </w:t>
      </w:r>
      <w:r w:rsidRPr="00B707D6" w:rsidR="00A7014B">
        <w:t xml:space="preserve">Horne as its </w:t>
      </w:r>
      <w:r w:rsidR="00EE6AAA">
        <w:t>d</w:t>
      </w:r>
      <w:r w:rsidRPr="00B707D6" w:rsidR="00A7014B">
        <w:t xml:space="preserve">irector of </w:t>
      </w:r>
      <w:r w:rsidR="00EE6AAA">
        <w:t>c</w:t>
      </w:r>
      <w:r w:rsidRPr="00B707D6" w:rsidR="00A7014B">
        <w:t xml:space="preserve">linical </w:t>
      </w:r>
      <w:r w:rsidR="00EE6AAA">
        <w:t>o</w:t>
      </w:r>
      <w:r w:rsidRPr="00B707D6" w:rsidR="00A7014B">
        <w:t>perations, making Horne Hog</w:t>
      </w:r>
      <w:r w:rsidRPr="00B707D6" w:rsidR="00570E03">
        <w:t>l</w:t>
      </w:r>
      <w:r w:rsidRPr="00B707D6" w:rsidR="00A7014B">
        <w:t xml:space="preserve">und’s new supervisor.  Horne was six years younger than Hoglund.  </w:t>
      </w:r>
      <w:r w:rsidRPr="00B707D6" w:rsidR="007C56FD">
        <w:t xml:space="preserve">From the time Horne was hired until Hoglund was terminated, Horne made derogatory comments to Hoglund about her age.  </w:t>
      </w:r>
      <w:r w:rsidRPr="00B707D6" w:rsidR="00D466B1">
        <w:t xml:space="preserve">Horne and Hoglund would have frequent one-on-one meetings, in which Horne would tell Hoglund she looked “sloppy,” that she disliked her hair and manner of dress, and that she thought Hoglund </w:t>
      </w:r>
      <w:r w:rsidRPr="00B707D6" w:rsidR="00853604">
        <w:t>was</w:t>
      </w:r>
      <w:r w:rsidRPr="00B707D6" w:rsidR="00D466B1">
        <w:t xml:space="preserve"> </w:t>
      </w:r>
      <w:r w:rsidRPr="00B707D6">
        <w:t>“</w:t>
      </w:r>
      <w:r w:rsidRPr="00B707D6" w:rsidR="00D466B1">
        <w:t>old-fashioned.</w:t>
      </w:r>
      <w:r w:rsidRPr="00B707D6">
        <w:t>”</w:t>
      </w:r>
      <w:r w:rsidRPr="00B707D6" w:rsidR="00D466B1">
        <w:t xml:space="preserve">  Hoglund found Horne’s critiques unnerving, as she felt her appearance was perfectly acceptable, and had never been criticized for her dress before.  Horne also asked Hoglund multiple times how long she was planning on staying, and if she was going to retire.  </w:t>
      </w:r>
      <w:r w:rsidR="00220F84">
        <w:t xml:space="preserve">Horne </w:t>
      </w:r>
      <w:r w:rsidRPr="00B707D6" w:rsidR="00D466B1">
        <w:t xml:space="preserve">commented </w:t>
      </w:r>
      <w:r w:rsidRPr="00B707D6" w:rsidR="007C56FD">
        <w:t xml:space="preserve">quite a bit </w:t>
      </w:r>
      <w:r w:rsidRPr="00B707D6" w:rsidR="00D466B1">
        <w:t>that “we have an aging staff</w:t>
      </w:r>
      <w:r w:rsidRPr="00B707D6" w:rsidR="007C56FD">
        <w:t>.”</w:t>
      </w:r>
      <w:r w:rsidRPr="00B707D6" w:rsidR="00D466B1">
        <w:t xml:space="preserve">  When a position was posted, </w:t>
      </w:r>
      <w:r w:rsidRPr="00B707D6" w:rsidR="00D466B1">
        <w:t>she would mention the “aging staff” and ask</w:t>
      </w:r>
      <w:r w:rsidR="001F251B">
        <w:t>,</w:t>
      </w:r>
      <w:r w:rsidRPr="00B707D6" w:rsidR="00D466B1">
        <w:t xml:space="preserve"> “</w:t>
      </w:r>
      <w:r w:rsidR="00307DAF">
        <w:t>[W]</w:t>
      </w:r>
      <w:r w:rsidRPr="00B707D6" w:rsidR="00D466B1">
        <w:t xml:space="preserve">ho do you think is going to retire next”?  </w:t>
      </w:r>
      <w:r w:rsidRPr="00B707D6" w:rsidR="000C593D">
        <w:t xml:space="preserve">Horne said she “wanted to hire babies” because “they’re easier to train.”  </w:t>
      </w:r>
      <w:r w:rsidRPr="00B707D6" w:rsidR="007C56FD">
        <w:t xml:space="preserve">She told Hoglund </w:t>
      </w:r>
      <w:r w:rsidRPr="00B707D6" w:rsidR="008369A4">
        <w:t>that Hoglund</w:t>
      </w:r>
      <w:r w:rsidRPr="00B707D6" w:rsidR="007C56FD">
        <w:t xml:space="preserve"> had been at the Hospital “since the dark ages,” and that Hoglund knew “where all the bodies are buried” with respect to which employees had come and gone.  </w:t>
      </w:r>
      <w:r w:rsidRPr="00B707D6" w:rsidR="008369A4">
        <w:t>When Hoglund prepared</w:t>
      </w:r>
      <w:r w:rsidRPr="00B707D6" w:rsidR="00014F6E">
        <w:t xml:space="preserve"> schedules</w:t>
      </w:r>
      <w:r w:rsidRPr="00B707D6" w:rsidR="008369A4">
        <w:t xml:space="preserve"> on paper, Horne criticized her for doing it</w:t>
      </w:r>
      <w:r w:rsidRPr="00B707D6" w:rsidR="00014F6E">
        <w:t xml:space="preserve"> “the old fashioned way</w:t>
      </w:r>
      <w:r w:rsidRPr="00B707D6" w:rsidR="008369A4">
        <w:t>.</w:t>
      </w:r>
      <w:r w:rsidRPr="00B707D6" w:rsidR="00014F6E">
        <w:t xml:space="preserve">”  </w:t>
      </w:r>
      <w:r w:rsidRPr="00B707D6" w:rsidR="008369A4">
        <w:t xml:space="preserve">However, she did not train Hoglund </w:t>
      </w:r>
      <w:r w:rsidR="00EE6AAA">
        <w:t xml:space="preserve">on </w:t>
      </w:r>
      <w:r w:rsidRPr="00B707D6" w:rsidR="008369A4">
        <w:t xml:space="preserve">how to use the scheduling computer program, </w:t>
      </w:r>
      <w:r w:rsidR="00576F9B">
        <w:t xml:space="preserve">instead </w:t>
      </w:r>
      <w:r w:rsidRPr="00B707D6" w:rsidR="008369A4">
        <w:t>telling her, “You just don’t know how to do it.”</w:t>
      </w:r>
    </w:p>
    <w:p w:rsidR="008369A4" w:rsidRPr="00B707D6" w:rsidP="008369A4" w14:paraId="603A4790" w14:textId="61700DB8">
      <w:pPr>
        <w:ind w:firstLine="720"/>
      </w:pPr>
      <w:r w:rsidRPr="00B707D6">
        <w:t xml:space="preserve">Horne moved lab </w:t>
      </w:r>
      <w:r w:rsidR="00DA18DD">
        <w:t xml:space="preserve">and office </w:t>
      </w:r>
      <w:r w:rsidRPr="00B707D6">
        <w:t xml:space="preserve">equipment into Hoglund’s office, which forced Hoglund out, such that she had no workspace for over a year.  She carried around her things daily, looking for </w:t>
      </w:r>
      <w:r w:rsidR="00576F9B">
        <w:t>an area</w:t>
      </w:r>
      <w:r w:rsidRPr="00B707D6">
        <w:t xml:space="preserve"> </w:t>
      </w:r>
      <w:r w:rsidR="004D2693">
        <w:t xml:space="preserve">in which </w:t>
      </w:r>
      <w:r w:rsidRPr="00B707D6">
        <w:t xml:space="preserve">to work.  When Hoglund asked Horne for a stable workspace, Horne said that if she “didn’t shut up about it” </w:t>
      </w:r>
      <w:r w:rsidR="00EE6AAA">
        <w:t xml:space="preserve">she </w:t>
      </w:r>
      <w:r w:rsidRPr="00B707D6">
        <w:t>would “have [Hoglund] working out of the back of [her] truck.”</w:t>
      </w:r>
    </w:p>
    <w:p w:rsidR="00C336AE" w:rsidRPr="00B707D6" w:rsidP="00C336AE" w14:paraId="366C1912" w14:textId="13B59CF7">
      <w:pPr>
        <w:ind w:firstLine="720"/>
      </w:pPr>
      <w:r w:rsidRPr="00B707D6">
        <w:t xml:space="preserve">Horne also made comments about Kaye Holzworth, who was Hoglund’s supervisor at the time Hoglund was hired.  Horne asked Hoglund how old Holtzworth was, how long she had been employed by the Hospital, and if she would leave </w:t>
      </w:r>
      <w:r w:rsidR="00EE6AAA">
        <w:t xml:space="preserve">her </w:t>
      </w:r>
      <w:r w:rsidRPr="00B707D6">
        <w:t>employment soon.  In 2013, Holtzworth retired.  Horne commented that “it was time for [Holtzworth] to move on and maybe it was time for [Hoglund] to move on as well.”</w:t>
      </w:r>
    </w:p>
    <w:p w:rsidR="00C336AE" w:rsidRPr="00B707D6" w:rsidP="008369A4" w14:paraId="2DD38632" w14:textId="066DACAE">
      <w:pPr>
        <w:ind w:firstLine="720"/>
      </w:pPr>
      <w:r w:rsidRPr="00B707D6">
        <w:t xml:space="preserve">Hoglund felt Horne was trying to push her out of </w:t>
      </w:r>
      <w:r w:rsidR="004D2693">
        <w:t>her</w:t>
      </w:r>
      <w:r w:rsidRPr="00B707D6">
        <w:t xml:space="preserve"> job.  In October 2013, </w:t>
      </w:r>
      <w:r w:rsidRPr="00B707D6" w:rsidR="00F92540">
        <w:t>Hoglund</w:t>
      </w:r>
      <w:r w:rsidRPr="00B707D6">
        <w:t xml:space="preserve"> told Chery </w:t>
      </w:r>
      <w:r w:rsidRPr="00B707D6" w:rsidR="00F92540">
        <w:t xml:space="preserve">Mullaly in </w:t>
      </w:r>
      <w:r w:rsidR="004D2693">
        <w:t xml:space="preserve">the </w:t>
      </w:r>
      <w:r w:rsidRPr="00B707D6" w:rsidR="00F92540">
        <w:t xml:space="preserve">human resources </w:t>
      </w:r>
      <w:r w:rsidR="004D2693">
        <w:t xml:space="preserve">unit </w:t>
      </w:r>
      <w:r w:rsidRPr="00B707D6" w:rsidR="00F92540">
        <w:t xml:space="preserve">that Horne was abusive, mocked her clothes and hair, and made derogatory comments about her in front of Hoglund’s subordinates.  She told Mullaly that Horne “thinks I’m too old to do my job.”  </w:t>
      </w:r>
      <w:r w:rsidRPr="00B707D6" w:rsidR="00E71716">
        <w:t xml:space="preserve">Mullaly told Hoglund to talk to the </w:t>
      </w:r>
      <w:r w:rsidR="00D43CE8">
        <w:t>chief executive officer (</w:t>
      </w:r>
      <w:r w:rsidRPr="00B707D6" w:rsidR="00E71716">
        <w:t>CEO</w:t>
      </w:r>
      <w:r w:rsidR="00D43CE8">
        <w:t>)</w:t>
      </w:r>
      <w:r w:rsidR="004559FF">
        <w:t xml:space="preserve"> </w:t>
      </w:r>
      <w:r w:rsidRPr="00B707D6" w:rsidR="004559FF">
        <w:t xml:space="preserve">of the </w:t>
      </w:r>
      <w:r w:rsidR="00C07673">
        <w:t>H</w:t>
      </w:r>
      <w:r w:rsidRPr="00B707D6" w:rsidR="004559FF">
        <w:t>ospital</w:t>
      </w:r>
      <w:r w:rsidRPr="00B707D6" w:rsidR="00E71716">
        <w:t>, but it did not make sense to Hoglund to talk to a CEO about an employ</w:t>
      </w:r>
      <w:r w:rsidR="004D2693">
        <w:t>ment</w:t>
      </w:r>
      <w:r w:rsidRPr="00B707D6" w:rsidR="00E71716">
        <w:t xml:space="preserve"> issue</w:t>
      </w:r>
      <w:r w:rsidRPr="00B707D6" w:rsidR="00C278C9">
        <w:t>, so she did not do so</w:t>
      </w:r>
      <w:r w:rsidRPr="00B707D6" w:rsidR="00E71716">
        <w:t>.</w:t>
      </w:r>
    </w:p>
    <w:p w:rsidR="00E71716" w:rsidRPr="00B707D6" w:rsidP="008369A4" w14:paraId="1B09C2F2" w14:textId="273202F1">
      <w:pPr>
        <w:ind w:firstLine="720"/>
      </w:pPr>
      <w:r w:rsidRPr="00B707D6">
        <w:t xml:space="preserve">In November 2013, Horne </w:t>
      </w:r>
      <w:r w:rsidR="00EE6AAA">
        <w:t>re</w:t>
      </w:r>
      <w:r w:rsidR="00A8772F">
        <w:t>located</w:t>
      </w:r>
      <w:r w:rsidRPr="00B707D6">
        <w:t xml:space="preserve"> Hoglund’s </w:t>
      </w:r>
      <w:r w:rsidRPr="00B707D6" w:rsidR="00C278C9">
        <w:t>workstation</w:t>
      </w:r>
      <w:r w:rsidRPr="00B707D6">
        <w:t xml:space="preserve"> </w:t>
      </w:r>
      <w:r w:rsidR="00EE6AAA">
        <w:t xml:space="preserve">to </w:t>
      </w:r>
      <w:r w:rsidRPr="00B707D6">
        <w:t xml:space="preserve">a storage area in a separate building, requiring Hoglund to walk and drive to various locations </w:t>
      </w:r>
      <w:r w:rsidRPr="00B707D6" w:rsidR="00C278C9">
        <w:t>around the Hospital every day to complete her tasks</w:t>
      </w:r>
      <w:r w:rsidRPr="00B707D6">
        <w:t xml:space="preserve">, </w:t>
      </w:r>
      <w:r w:rsidR="00A8772F">
        <w:t>which made</w:t>
      </w:r>
      <w:r w:rsidRPr="00B707D6">
        <w:t xml:space="preserve"> her feel isolated and “pushed out” by Horne.  In December 2013, Hoglund again reported her difficulties getting along with Horne to Mullaly, and Mullaly suggested she talk to Horne.  Hoglund asked Horne if they could talk through </w:t>
      </w:r>
      <w:r w:rsidR="00EE6AAA">
        <w:t xml:space="preserve">the </w:t>
      </w:r>
      <w:r w:rsidRPr="00B707D6">
        <w:t>problems, but Horne responded by criticizing Hoglund for “coddl[ing]” the phlebotomists.</w:t>
      </w:r>
    </w:p>
    <w:p w:rsidR="005F4230" w:rsidRPr="00B707D6" w:rsidP="005F4230" w14:paraId="7FA4FECC" w14:textId="6F82BFA4">
      <w:pPr>
        <w:ind w:firstLine="720"/>
      </w:pPr>
      <w:r w:rsidRPr="00B707D6">
        <w:t xml:space="preserve">In 2014, Hoglund went to work with a new haircut.  When Horne arrived, she said in an unfriendly manner, in front of Hoglund’s staff, “Why did you do that to your hair?  Are you trying to look like a young person?  I need to take you to my hairdresser.”  Hoglund was </w:t>
      </w:r>
      <w:r w:rsidRPr="00B707D6" w:rsidR="00B0346D">
        <w:t>embarrassed</w:t>
      </w:r>
      <w:r w:rsidRPr="00B707D6">
        <w:t xml:space="preserve"> and reported the incident to Mullaly.  Mullaly again suggested Horne go to the CEO of the </w:t>
      </w:r>
      <w:r w:rsidR="00C07673">
        <w:t>H</w:t>
      </w:r>
      <w:r w:rsidRPr="00B707D6">
        <w:t xml:space="preserve">ospital with her issue, which Hoglund did not think made sense.  On another day, Horne told Hoglund she looked “dowdy” in front of her staff, </w:t>
      </w:r>
      <w:r w:rsidRPr="00B707D6" w:rsidR="00B0346D">
        <w:t>causing</w:t>
      </w:r>
      <w:r w:rsidRPr="00B707D6">
        <w:t xml:space="preserve"> the staff </w:t>
      </w:r>
      <w:r w:rsidRPr="00B707D6" w:rsidR="00B0346D">
        <w:t xml:space="preserve">to </w:t>
      </w:r>
      <w:r w:rsidRPr="00B707D6">
        <w:t>ask her if she was handling Horne’s comments ok</w:t>
      </w:r>
      <w:r w:rsidR="004D2693">
        <w:t>ay</w:t>
      </w:r>
      <w:r w:rsidRPr="00B707D6">
        <w:t xml:space="preserve"> and if Horne was trying to push her out.  Also in 2014, Hoglund asked Horne for a workspace in the main lab, and Horne responded, “Maybe </w:t>
      </w:r>
      <w:r w:rsidRPr="00B707D6" w:rsidR="000E5D96">
        <w:t>you’re</w:t>
      </w:r>
      <w:r w:rsidRPr="00B707D6">
        <w:t xml:space="preserve"> too old to be doing al</w:t>
      </w:r>
      <w:r w:rsidRPr="00B707D6" w:rsidR="000E5D96">
        <w:t>l</w:t>
      </w:r>
      <w:r w:rsidRPr="00B707D6">
        <w:t xml:space="preserve"> this running around.”</w:t>
      </w:r>
    </w:p>
    <w:p w:rsidR="000E5D96" w:rsidRPr="00B707D6" w:rsidP="005F4230" w14:paraId="3C550F59" w14:textId="39D663CA">
      <w:pPr>
        <w:ind w:firstLine="720"/>
      </w:pPr>
      <w:r w:rsidRPr="00B707D6">
        <w:t xml:space="preserve">In 2014, Hoglund’s job duties expanded, as the Hospital hired up to 50 phlebotomists for Hoglund to review, train, and </w:t>
      </w:r>
      <w:r w:rsidR="00776214">
        <w:t>supervise</w:t>
      </w:r>
      <w:r w:rsidRPr="00B707D6">
        <w:t xml:space="preserve">.  By August 2014, Hoglund was working </w:t>
      </w:r>
      <w:r w:rsidRPr="00B707D6" w:rsidR="00570E03">
        <w:t>12-hour</w:t>
      </w:r>
      <w:r w:rsidRPr="00B707D6">
        <w:t xml:space="preserve"> days, and answering night and weekend calls.  She was “trying desperately” to keep up with all the extra staff and duties she had been given.  However, Horne’s review stated that Hoglund was just “meeting expectations.”  In September 2014, Hoglund told </w:t>
      </w:r>
      <w:r w:rsidRPr="00795780">
        <w:t>Apr</w:t>
      </w:r>
      <w:r w:rsidR="00795780">
        <w:t>y</w:t>
      </w:r>
      <w:r w:rsidRPr="00795780">
        <w:t>l</w:t>
      </w:r>
      <w:r w:rsidRPr="00B707D6">
        <w:t xml:space="preserve"> Lucas in </w:t>
      </w:r>
      <w:r w:rsidR="00143FFF">
        <w:t>h</w:t>
      </w:r>
      <w:r w:rsidRPr="00B707D6">
        <w:t xml:space="preserve">uman </w:t>
      </w:r>
      <w:r w:rsidR="00143FFF">
        <w:t>r</w:t>
      </w:r>
      <w:r w:rsidRPr="00B707D6">
        <w:t xml:space="preserve">esources that Horne was treating Hoglund poorly, was overworking her, forced her to run circles between her building and the main lab, and was trying to “run [her] out” because she thought she was “too old to do” her job.  Lucas recommended </w:t>
      </w:r>
      <w:r w:rsidR="00002832">
        <w:t xml:space="preserve">that </w:t>
      </w:r>
      <w:r w:rsidRPr="00B707D6" w:rsidR="00B0346D">
        <w:t>Hoglund</w:t>
      </w:r>
      <w:r w:rsidRPr="00B707D6">
        <w:t xml:space="preserve"> get </w:t>
      </w:r>
      <w:r w:rsidRPr="00B707D6" w:rsidR="00C278C9">
        <w:t xml:space="preserve">individual </w:t>
      </w:r>
      <w:r w:rsidRPr="00B707D6">
        <w:t>counseling.  Horne continued to comment</w:t>
      </w:r>
      <w:r w:rsidRPr="00B707D6" w:rsidR="00C278C9">
        <w:t xml:space="preserve"> </w:t>
      </w:r>
      <w:r w:rsidR="00002832">
        <w:t xml:space="preserve">when </w:t>
      </w:r>
      <w:r w:rsidRPr="00B707D6" w:rsidR="00C278C9">
        <w:t>around Hoglund</w:t>
      </w:r>
      <w:r w:rsidRPr="00B707D6">
        <w:t xml:space="preserve"> that the</w:t>
      </w:r>
      <w:r w:rsidRPr="00B707D6" w:rsidR="00570E03">
        <w:t>y</w:t>
      </w:r>
      <w:r w:rsidRPr="00B707D6">
        <w:t xml:space="preserve"> “need to hire young people,” that when a young person was hired “they should catch on quick</w:t>
      </w:r>
      <w:r w:rsidRPr="00B707D6" w:rsidR="00B0346D">
        <w:t>,</w:t>
      </w:r>
      <w:r w:rsidRPr="00B707D6">
        <w:t xml:space="preserve">” and other </w:t>
      </w:r>
      <w:r w:rsidRPr="00B707D6" w:rsidR="00B0346D">
        <w:t xml:space="preserve">such </w:t>
      </w:r>
      <w:r w:rsidRPr="00B707D6">
        <w:t>comments that were “kind of a running theme.”</w:t>
      </w:r>
    </w:p>
    <w:p w:rsidR="00FB76C4" w:rsidRPr="00B707D6" w:rsidP="005F4230" w14:paraId="03DA00E5" w14:textId="1959919E">
      <w:pPr>
        <w:ind w:firstLine="720"/>
      </w:pPr>
      <w:r w:rsidRPr="00B707D6">
        <w:t xml:space="preserve">In 2015, the </w:t>
      </w:r>
      <w:r w:rsidRPr="00B707D6" w:rsidR="00F4712A">
        <w:t>Hospital</w:t>
      </w:r>
      <w:r w:rsidRPr="00B707D6">
        <w:t xml:space="preserve"> decided to convert its computer program.  Hoglund had been very proficient at the old program and </w:t>
      </w:r>
      <w:r w:rsidRPr="00B707D6" w:rsidR="00B0346D">
        <w:t xml:space="preserve">had </w:t>
      </w:r>
      <w:r w:rsidRPr="00B707D6">
        <w:t xml:space="preserve">trained others on it.  She asked Horne for training on the new program, because it would be essential for her job, but Horne said they would not send management for training.  Instead, she said they would “pick out young people because they’re easier to train.”  </w:t>
      </w:r>
      <w:r w:rsidRPr="00B707D6" w:rsidR="00A3419F">
        <w:t xml:space="preserve">So, </w:t>
      </w:r>
      <w:r w:rsidRPr="00B707D6">
        <w:t xml:space="preserve">Horne chose Elizabeth Prout for </w:t>
      </w:r>
      <w:r w:rsidR="00576F9B">
        <w:t xml:space="preserve">the </w:t>
      </w:r>
      <w:r w:rsidRPr="00B707D6">
        <w:t>“train the trainer” training, along with other younger employees.  Prout was 31 years old</w:t>
      </w:r>
      <w:r w:rsidRPr="00B707D6" w:rsidR="00F4712A">
        <w:t xml:space="preserve"> at the time</w:t>
      </w:r>
      <w:r w:rsidRPr="00B707D6">
        <w:t xml:space="preserve">.  </w:t>
      </w:r>
      <w:r w:rsidRPr="00B707D6" w:rsidR="001E72F3">
        <w:t>The criteria for the training program w</w:t>
      </w:r>
      <w:r w:rsidR="00705982">
        <w:t xml:space="preserve">ere </w:t>
      </w:r>
      <w:r w:rsidRPr="00B707D6" w:rsidR="00B0346D">
        <w:t xml:space="preserve">the </w:t>
      </w:r>
      <w:r w:rsidRPr="00B707D6" w:rsidR="00570E03">
        <w:t>employees</w:t>
      </w:r>
      <w:r w:rsidRPr="00B707D6" w:rsidR="00B0346D">
        <w:t>’</w:t>
      </w:r>
      <w:r w:rsidRPr="00B707D6" w:rsidR="001E72F3">
        <w:t xml:space="preserve"> technical skills and ability to teach, but Horne had not observed that Prout had any technical or teaching skills.</w:t>
      </w:r>
    </w:p>
    <w:p w:rsidR="001E72F3" w:rsidRPr="00B707D6" w:rsidP="005F4230" w14:paraId="4784F90D" w14:textId="1F230724">
      <w:pPr>
        <w:ind w:firstLine="720"/>
      </w:pPr>
      <w:r w:rsidRPr="00B707D6">
        <w:t>In March 2015, Hoglund and other employees attended Prout’s training c</w:t>
      </w:r>
      <w:r w:rsidRPr="00B707D6" w:rsidR="008E4C71">
        <w:t>l</w:t>
      </w:r>
      <w:r w:rsidRPr="00B707D6">
        <w:t xml:space="preserve">ass.  Another lab employee told Hoglund the main lab was falling far behind due to the training, and someone needed to go to the lab.  Hoglund told Horne she felt she should go to the lab to attend to the patients, and </w:t>
      </w:r>
      <w:r w:rsidRPr="00B707D6" w:rsidR="00570E03">
        <w:t xml:space="preserve">she could </w:t>
      </w:r>
      <w:r w:rsidRPr="00B707D6">
        <w:t xml:space="preserve">go to class later in the week.  Horne loudly told Hoglund to “sit down and shut up” and called her the “problem child of the class.”  </w:t>
      </w:r>
      <w:r w:rsidRPr="00B707D6" w:rsidR="008E4C71">
        <w:t xml:space="preserve">Hoglund was shocked and started to cry.  She was upset because Horne said this in front of her subordinates, and also because </w:t>
      </w:r>
      <w:r w:rsidR="00A8772F">
        <w:t>Horne</w:t>
      </w:r>
      <w:r w:rsidRPr="00B707D6" w:rsidR="008E4C71">
        <w:t xml:space="preserve"> would not allow her to help her staff or the patients.  The following day, Hoglund told Horne’s supervisor Deb Plass that Horne was abusive, trying to push Hoglund out, and that she believed Horne wanted someone younger.  Plass offered to meet with Hoglund twice weekly</w:t>
      </w:r>
      <w:r w:rsidR="007D4674">
        <w:t xml:space="preserve"> until the issue was straightened out</w:t>
      </w:r>
      <w:r w:rsidRPr="00B707D6" w:rsidR="008E4C71">
        <w:t xml:space="preserve">, but they only had one or two meetings.  </w:t>
      </w:r>
      <w:r w:rsidRPr="00B707D6" w:rsidR="00633EE6">
        <w:t xml:space="preserve">Plass did tell Horne that Hoglund complained about her treatment at the training, and Horne admitted to making offensive comments and claimed she had apologized, such that Plass thought the issue was resolved.  </w:t>
      </w:r>
      <w:r w:rsidRPr="00B707D6" w:rsidR="00C90535">
        <w:t>Several days later</w:t>
      </w:r>
      <w:r w:rsidRPr="00B707D6" w:rsidR="00633EE6">
        <w:t xml:space="preserve">, Horne told </w:t>
      </w:r>
      <w:r w:rsidRPr="00B707D6" w:rsidR="00C90535">
        <w:t>H</w:t>
      </w:r>
      <w:r w:rsidRPr="00B707D6" w:rsidR="00633EE6">
        <w:t xml:space="preserve">oglund, “I’m sorry what I said made you feel bad, and now I’m in trouble because of you.”  Around that time, Hoglund went to see her doctor for extreme stress due to Horne’s treatment of her.  She was breaking out into hives, rashes, and cold sores, and felt </w:t>
      </w:r>
      <w:r w:rsidRPr="00B707D6" w:rsidR="00C278C9">
        <w:t xml:space="preserve">a </w:t>
      </w:r>
      <w:r w:rsidRPr="00B707D6" w:rsidR="00633EE6">
        <w:t>physical burning.</w:t>
      </w:r>
    </w:p>
    <w:p w:rsidR="003706D9" w:rsidRPr="00B707D6" w:rsidP="005F4230" w14:paraId="35F29ABE" w14:textId="4FAB2261">
      <w:pPr>
        <w:ind w:firstLine="720"/>
      </w:pPr>
      <w:r w:rsidRPr="00B707D6">
        <w:t>A couple of days after the training incident, Horne informed Hoglund that Horne and Plass had decided to</w:t>
      </w:r>
      <w:r w:rsidRPr="00B707D6" w:rsidR="00A3419F">
        <w:t xml:space="preserve"> hire a second lab supervisor, </w:t>
      </w:r>
      <w:r w:rsidRPr="00B707D6">
        <w:t>who would be</w:t>
      </w:r>
      <w:r w:rsidRPr="00B707D6" w:rsidR="00A3419F">
        <w:t xml:space="preserve"> Hoglund’s equal.  </w:t>
      </w:r>
      <w:r w:rsidRPr="00B707D6">
        <w:t xml:space="preserve">Hoglund responded that she needed an assistant or scheduler, but did not need a second supervisor.  Nonetheless, </w:t>
      </w:r>
      <w:r w:rsidRPr="00B707D6" w:rsidR="00A3419F">
        <w:t xml:space="preserve">Horne and Hoglund </w:t>
      </w:r>
      <w:r w:rsidR="0048279B">
        <w:t>eventually</w:t>
      </w:r>
      <w:r w:rsidRPr="00B707D6" w:rsidR="00944B5A">
        <w:t xml:space="preserve"> </w:t>
      </w:r>
      <w:r w:rsidRPr="00B707D6" w:rsidR="00A3419F">
        <w:t xml:space="preserve">interviewed Prout for the </w:t>
      </w:r>
      <w:r w:rsidRPr="00B707D6" w:rsidR="00944B5A">
        <w:t xml:space="preserve">supervisor </w:t>
      </w:r>
      <w:r w:rsidRPr="00B707D6" w:rsidR="00A3419F">
        <w:t>position</w:t>
      </w:r>
      <w:r w:rsidRPr="00B707D6" w:rsidR="00C278C9">
        <w:t xml:space="preserve"> without informing </w:t>
      </w:r>
      <w:r w:rsidRPr="00B707D6" w:rsidR="00944B5A">
        <w:t>Prout</w:t>
      </w:r>
      <w:r w:rsidRPr="00B707D6" w:rsidR="00C278C9">
        <w:t xml:space="preserve"> </w:t>
      </w:r>
      <w:r w:rsidRPr="00B707D6">
        <w:t>of the purpose of the interview.  B</w:t>
      </w:r>
      <w:r w:rsidRPr="00B707D6" w:rsidR="00A3419F">
        <w:t xml:space="preserve">oth </w:t>
      </w:r>
      <w:r w:rsidRPr="00B707D6">
        <w:t xml:space="preserve">Horne and Hoglund </w:t>
      </w:r>
      <w:r w:rsidRPr="00B707D6" w:rsidR="00A3419F">
        <w:t xml:space="preserve">supported hiring </w:t>
      </w:r>
      <w:r w:rsidRPr="00B707D6">
        <w:t>Prout for the position</w:t>
      </w:r>
      <w:r w:rsidRPr="00B707D6" w:rsidR="00A3419F">
        <w:t xml:space="preserve">.  </w:t>
      </w:r>
      <w:r w:rsidRPr="00B707D6" w:rsidR="00C90535">
        <w:t xml:space="preserve">In </w:t>
      </w:r>
      <w:r w:rsidR="00984F40">
        <w:t xml:space="preserve">June </w:t>
      </w:r>
      <w:r w:rsidRPr="00B707D6" w:rsidR="00C90535">
        <w:t xml:space="preserve">2015, Prout was promoted to </w:t>
      </w:r>
      <w:r w:rsidRPr="00B707D6" w:rsidR="00A3419F">
        <w:t xml:space="preserve">second </w:t>
      </w:r>
      <w:r w:rsidRPr="00B707D6" w:rsidR="00C90535">
        <w:t>supervisor.</w:t>
      </w:r>
      <w:r w:rsidRPr="00B707D6" w:rsidR="006E3403">
        <w:t xml:space="preserve">  Prout did not have any supervisory experience, or experience in the technology</w:t>
      </w:r>
      <w:r w:rsidR="00C07673">
        <w:t xml:space="preserve"> field</w:t>
      </w:r>
      <w:r w:rsidRPr="00B707D6" w:rsidR="006E3403">
        <w:t>, and did not have a bachelor’s degree.  Prout was a waitress prior to her job at the Hospital.  Hoglund trained Prout, who relied on her for advice and assistance.</w:t>
      </w:r>
    </w:p>
    <w:p w:rsidR="006E3403" w:rsidRPr="00B707D6" w:rsidP="005F4230" w14:paraId="00EED671" w14:textId="341967EE">
      <w:pPr>
        <w:ind w:firstLine="720"/>
      </w:pPr>
      <w:r w:rsidRPr="00B707D6">
        <w:t>In M</w:t>
      </w:r>
      <w:r w:rsidR="003F662B">
        <w:t>arch</w:t>
      </w:r>
      <w:r w:rsidRPr="00B707D6">
        <w:t xml:space="preserve"> 2015, Hoglund applied for a</w:t>
      </w:r>
      <w:r w:rsidRPr="00B707D6" w:rsidR="00E24461">
        <w:t>n</w:t>
      </w:r>
      <w:r w:rsidRPr="00B707D6">
        <w:t xml:space="preserve"> open pathology secretary job </w:t>
      </w:r>
      <w:r w:rsidRPr="00B707D6" w:rsidR="00F339CA">
        <w:t>so that she could</w:t>
      </w:r>
      <w:r w:rsidRPr="00B707D6">
        <w:t xml:space="preserve"> have less contact with Horne, even though it paid less</w:t>
      </w:r>
      <w:r w:rsidRPr="00B707D6" w:rsidR="004E09FD">
        <w:t>.  She</w:t>
      </w:r>
      <w:r w:rsidRPr="00B707D6" w:rsidR="00E24461">
        <w:t xml:space="preserve"> informed Plass of her application so that Plass was not </w:t>
      </w:r>
      <w:r w:rsidR="009350E4">
        <w:t>“</w:t>
      </w:r>
      <w:r w:rsidRPr="00B707D6" w:rsidR="00E24461">
        <w:t>shocked</w:t>
      </w:r>
      <w:r w:rsidRPr="00B707D6">
        <w:t>.</w:t>
      </w:r>
      <w:r w:rsidR="0048279B">
        <w:t>”</w:t>
      </w:r>
      <w:r w:rsidRPr="00B707D6">
        <w:t xml:space="preserve">  </w:t>
      </w:r>
      <w:r w:rsidRPr="00B707D6" w:rsidR="00E24461">
        <w:t xml:space="preserve">Hoglund believed she was qualified because she had previously been a pathology secretary.  However, Horne rejected Hoglund </w:t>
      </w:r>
      <w:r w:rsidR="00002832">
        <w:t xml:space="preserve">for the position </w:t>
      </w:r>
      <w:r w:rsidRPr="00B707D6" w:rsidR="00E24461">
        <w:t xml:space="preserve">without an interview.  Horne told Hoglund that she had a per diem already doing the job who she did not want to “boot,” and that she would be posting another pathology secretary position later that Hoglund would get.  </w:t>
      </w:r>
      <w:r w:rsidR="0095100C">
        <w:t>I</w:t>
      </w:r>
      <w:r w:rsidRPr="00B707D6" w:rsidR="00E24461">
        <w:t>n May 2015, the Hospital transitioned to its new computer program, which was a “very</w:t>
      </w:r>
      <w:r w:rsidR="00363B26">
        <w:t>,</w:t>
      </w:r>
      <w:r w:rsidRPr="00B707D6" w:rsidR="00E24461">
        <w:t xml:space="preserve"> very difficult time for everybody,” caused lab backups, and </w:t>
      </w:r>
      <w:r w:rsidRPr="00B707D6" w:rsidR="004E09FD">
        <w:t>forced</w:t>
      </w:r>
      <w:r w:rsidRPr="00B707D6" w:rsidR="00E24461">
        <w:t xml:space="preserve"> Hoglund</w:t>
      </w:r>
      <w:r w:rsidRPr="00B707D6" w:rsidR="004E09FD">
        <w:t xml:space="preserve"> to</w:t>
      </w:r>
      <w:r w:rsidRPr="00B707D6" w:rsidR="00E24461">
        <w:t xml:space="preserve"> work even longer hours.  </w:t>
      </w:r>
      <w:r w:rsidR="004D27D7">
        <w:t xml:space="preserve">At that time, </w:t>
      </w:r>
      <w:r w:rsidRPr="00B707D6" w:rsidR="00F52C4E">
        <w:t>Hoglund worked daily from 5:00 a.m. until 9:00 or 9</w:t>
      </w:r>
      <w:r w:rsidRPr="00B707D6" w:rsidR="004E09FD">
        <w:t>:</w:t>
      </w:r>
      <w:r w:rsidRPr="00B707D6" w:rsidR="00F52C4E">
        <w:t>30 p.m.  Hoglund asked Horne and Plass for additional support, but did not receive any.  Horne informed Hoglund that she was unable to get more help.</w:t>
      </w:r>
    </w:p>
    <w:p w:rsidR="00F52C4E" w:rsidRPr="00B707D6" w:rsidP="005F4230" w14:paraId="72CF5B5B" w14:textId="6FDAA860">
      <w:pPr>
        <w:ind w:firstLine="720"/>
      </w:pPr>
      <w:r w:rsidRPr="00B707D6">
        <w:t xml:space="preserve">In July 2015, Hoglund learned her sister had cancer, and asked Horne for a decreased workload so she could help </w:t>
      </w:r>
      <w:r w:rsidRPr="00B707D6" w:rsidR="004E09FD">
        <w:t>provide care</w:t>
      </w:r>
      <w:r w:rsidRPr="00B707D6">
        <w:t xml:space="preserve">.  Horne told her that “would not work,” and </w:t>
      </w:r>
      <w:r w:rsidR="00307DAF">
        <w:t xml:space="preserve">that </w:t>
      </w:r>
      <w:r w:rsidRPr="00B707D6">
        <w:t>she should take a leave of absence instead, which Hoglund did.  When Hoglund returned to work in November 2015, her workspace had been moved to</w:t>
      </w:r>
      <w:r w:rsidRPr="00B707D6" w:rsidR="00DB4FB7">
        <w:t xml:space="preserve"> a tiny wheelchair </w:t>
      </w:r>
      <w:r w:rsidR="00254ACA">
        <w:t xml:space="preserve">storage </w:t>
      </w:r>
      <w:r w:rsidRPr="00B707D6" w:rsidR="00DB4FB7">
        <w:t>closet in a separate building</w:t>
      </w:r>
      <w:r w:rsidRPr="00B707D6" w:rsidR="004E09FD">
        <w:t xml:space="preserve">, </w:t>
      </w:r>
      <w:r w:rsidRPr="00B707D6" w:rsidR="00DB4FB7">
        <w:t>with no windows or ventilation.  On her first day back, Horne told Hoglund that Prou</w:t>
      </w:r>
      <w:r w:rsidRPr="00B707D6" w:rsidR="00944B5A">
        <w:t>t</w:t>
      </w:r>
      <w:r w:rsidRPr="00B707D6" w:rsidR="00DB4FB7">
        <w:t xml:space="preserve"> was doing great, they did not really need Hoglund, was “surprised [Hoglund] didn’t just retire,” </w:t>
      </w:r>
      <w:r w:rsidRPr="00B707D6" w:rsidR="00944B5A">
        <w:t xml:space="preserve">and </w:t>
      </w:r>
      <w:r w:rsidRPr="00B707D6" w:rsidR="00DB4FB7">
        <w:t xml:space="preserve">that Hoglund “wasn’t really needed and </w:t>
      </w:r>
      <w:r w:rsidRPr="00B707D6" w:rsidR="00944B5A">
        <w:t xml:space="preserve">[should] </w:t>
      </w:r>
      <w:r w:rsidRPr="00B707D6" w:rsidR="00DB4FB7">
        <w:t>just go sit in”</w:t>
      </w:r>
      <w:r w:rsidRPr="00B707D6" w:rsidR="00944B5A">
        <w:t xml:space="preserve"> a distant building.</w:t>
      </w:r>
      <w:r w:rsidRPr="00B707D6" w:rsidR="00DB4FB7">
        <w:t xml:space="preserve">  Hoglund was heartbroken.  She also learned that Horne had given the second pathology secretary position to a young man, rather than to Hoglund as promised.  Hoglund emailed Lucas in </w:t>
      </w:r>
      <w:r w:rsidR="00363B26">
        <w:t>h</w:t>
      </w:r>
      <w:r w:rsidRPr="00B707D6" w:rsidR="00DB4FB7">
        <w:t xml:space="preserve">uman </w:t>
      </w:r>
      <w:r w:rsidR="00363B26">
        <w:t>r</w:t>
      </w:r>
      <w:r w:rsidRPr="00B707D6" w:rsidR="00DB4FB7">
        <w:t xml:space="preserve">esources and wrote that she felt Horne was “trying to keep </w:t>
      </w:r>
      <w:r w:rsidRPr="00B707D6" w:rsidR="00944B5A">
        <w:t>[her]</w:t>
      </w:r>
      <w:r w:rsidRPr="00B707D6" w:rsidR="00DB4FB7">
        <w:t xml:space="preserve"> out of that position that </w:t>
      </w:r>
      <w:r w:rsidRPr="00B707D6" w:rsidR="00944B5A">
        <w:t>[she]</w:t>
      </w:r>
      <w:r w:rsidRPr="00B707D6" w:rsidR="00DB4FB7">
        <w:t xml:space="preserve"> need</w:t>
      </w:r>
      <w:r w:rsidRPr="00B707D6" w:rsidR="00944B5A">
        <w:t>[s]</w:t>
      </w:r>
      <w:r w:rsidRPr="00B707D6" w:rsidR="00DB4FB7">
        <w:t xml:space="preserve"> very much.”  Hoglund met with Lucas, who told Hoglund that Horne had wanted someone with Excel </w:t>
      </w:r>
      <w:r w:rsidR="00254ACA">
        <w:t xml:space="preserve">spreadsheet application </w:t>
      </w:r>
      <w:r w:rsidRPr="00B707D6" w:rsidR="00DB4FB7">
        <w:t xml:space="preserve">experience.  Hoglund said that she did have Excel experience, and Lucas said that maybe Horne did not know that.  </w:t>
      </w:r>
      <w:r w:rsidRPr="00B707D6" w:rsidR="003F03A8">
        <w:t xml:space="preserve">Six days after returning to work, Hoglund took another leave of absence because she was extremely distraught.  In </w:t>
      </w:r>
      <w:r w:rsidRPr="00B707D6" w:rsidR="00CB5834">
        <w:t>early</w:t>
      </w:r>
      <w:r w:rsidRPr="00B707D6" w:rsidR="003F03A8">
        <w:t xml:space="preserve"> December 2015, Horne sought approval to </w:t>
      </w:r>
      <w:r w:rsidRPr="00B707D6" w:rsidR="00CB5834">
        <w:t xml:space="preserve">post Hoglund’s position </w:t>
      </w:r>
      <w:r w:rsidR="00E450FE">
        <w:t>as</w:t>
      </w:r>
      <w:r w:rsidRPr="00B707D6" w:rsidR="00CB5834">
        <w:t xml:space="preserve"> supervisor so that she could have Hoglund replaced</w:t>
      </w:r>
      <w:r w:rsidRPr="00B707D6" w:rsidR="003F03A8">
        <w:t>.</w:t>
      </w:r>
    </w:p>
    <w:p w:rsidR="00B71247" w:rsidRPr="00B707D6" w:rsidP="00F339CA" w14:paraId="241D03DD" w14:textId="59932E95">
      <w:pPr>
        <w:ind w:firstLine="720"/>
      </w:pPr>
      <w:r w:rsidRPr="00B707D6">
        <w:t>Hoglund returned to work on December</w:t>
      </w:r>
      <w:r w:rsidR="00363B26">
        <w:t> </w:t>
      </w:r>
      <w:r w:rsidRPr="00B707D6">
        <w:t xml:space="preserve">27, 2015.  At that time, Hoglund and Prout </w:t>
      </w:r>
      <w:r w:rsidRPr="00B707D6" w:rsidR="006E5A7A">
        <w:t>“both did both jobs</w:t>
      </w:r>
      <w:r w:rsidRPr="00B707D6">
        <w:t>.</w:t>
      </w:r>
      <w:r w:rsidRPr="00B707D6" w:rsidR="006E5A7A">
        <w:t>”</w:t>
      </w:r>
      <w:r w:rsidRPr="00B707D6">
        <w:t xml:space="preserve">  However, Hoglund was tasked with more </w:t>
      </w:r>
      <w:r w:rsidRPr="00B707D6" w:rsidR="00F339CA">
        <w:t>outreach (outpatient)</w:t>
      </w:r>
      <w:r w:rsidRPr="00B707D6">
        <w:t xml:space="preserve"> services, while Prout was tasked with more inpatient services.  Horne </w:t>
      </w:r>
      <w:r w:rsidRPr="00B707D6" w:rsidR="00F339CA">
        <w:t>informally assigned many of the</w:t>
      </w:r>
      <w:r w:rsidRPr="00B707D6">
        <w:t xml:space="preserve"> outreach employees to Hoglund and inpatient employees to </w:t>
      </w:r>
      <w:r w:rsidRPr="00B707D6" w:rsidR="00F339CA">
        <w:t>Prout, though both Prout and Hoglund oversaw all employees, and the employees were not told they had one specific supervisor</w:t>
      </w:r>
      <w:r w:rsidRPr="00B707D6">
        <w:t xml:space="preserve">.  </w:t>
      </w:r>
      <w:r w:rsidRPr="00B707D6" w:rsidR="006E5A7A">
        <w:t xml:space="preserve">At that time, </w:t>
      </w:r>
      <w:r w:rsidR="004D27D7">
        <w:t>Horne</w:t>
      </w:r>
      <w:r w:rsidRPr="00B707D6" w:rsidR="006E5A7A">
        <w:t xml:space="preserve"> and Plass were involved in an ongoing discussion at the Hospital about possibly selling the outreach stations</w:t>
      </w:r>
      <w:r w:rsidR="004D27D7">
        <w:t>, which had been discussed for the past few years</w:t>
      </w:r>
      <w:r w:rsidRPr="00B707D6" w:rsidR="006E5A7A">
        <w:t xml:space="preserve">.  </w:t>
      </w:r>
      <w:r w:rsidRPr="00B707D6" w:rsidR="00F339CA">
        <w:t>Hoglund also continued to train Prout and helped Prout with employee evaluations when Prout fell behind, at the request of Horne and Plass.</w:t>
      </w:r>
    </w:p>
    <w:p w:rsidR="00DB4FB7" w:rsidRPr="00B707D6" w:rsidP="005F4230" w14:paraId="75E76B0D" w14:textId="7E6EF9C5">
      <w:pPr>
        <w:ind w:firstLine="720"/>
      </w:pPr>
      <w:r w:rsidRPr="00B707D6">
        <w:t xml:space="preserve">Throughout 2016, Horne continued to say comments to Hoglund such as, “We need to hire babies.  You’ve been here since the dark ages </w:t>
      </w:r>
      <w:r w:rsidR="00363B26">
        <w:t xml:space="preserve">. . . . </w:t>
      </w:r>
      <w:r w:rsidR="00931ED0">
        <w:t xml:space="preserve"> </w:t>
      </w:r>
      <w:r w:rsidRPr="00B707D6">
        <w:t>It’s time for new blood.  You could have just stayed out.  Why didn’t you just retire?  [Prout’s] doing a great job.”</w:t>
      </w:r>
    </w:p>
    <w:p w:rsidR="002E2057" w:rsidRPr="00B707D6" w:rsidP="005F4230" w14:paraId="1E2A6273" w14:textId="6AE9A0FF">
      <w:pPr>
        <w:ind w:firstLine="720"/>
      </w:pPr>
      <w:r>
        <w:t xml:space="preserve">Hoglund’s </w:t>
      </w:r>
      <w:r w:rsidRPr="00B707D6" w:rsidR="006E5A7A">
        <w:t xml:space="preserve">September 2016 </w:t>
      </w:r>
      <w:r w:rsidRPr="00B707D6" w:rsidR="005B6D4D">
        <w:t xml:space="preserve">performance review said </w:t>
      </w:r>
      <w:r>
        <w:t xml:space="preserve">that </w:t>
      </w:r>
      <w:r w:rsidRPr="00B707D6" w:rsidR="005B6D4D">
        <w:t xml:space="preserve">she helped improve patient satisfaction scores, but according </w:t>
      </w:r>
      <w:r w:rsidR="0048279B">
        <w:t xml:space="preserve">to </w:t>
      </w:r>
      <w:r w:rsidRPr="00B707D6">
        <w:t>a survey of her</w:t>
      </w:r>
      <w:r w:rsidRPr="00B707D6" w:rsidR="005B6D4D">
        <w:t xml:space="preserve"> employees</w:t>
      </w:r>
      <w:r w:rsidRPr="00B707D6">
        <w:t xml:space="preserve">, she </w:t>
      </w:r>
      <w:r w:rsidRPr="00B707D6" w:rsidR="005B6D4D">
        <w:t>needed to “strengthen the employee relationships.</w:t>
      </w:r>
      <w:r w:rsidRPr="00B707D6" w:rsidR="006E5A7A">
        <w:t>”</w:t>
      </w:r>
      <w:r w:rsidRPr="00B707D6" w:rsidR="005B6D4D">
        <w:t xml:space="preserve">  </w:t>
      </w:r>
      <w:r w:rsidRPr="00B707D6">
        <w:t>However, the employment survey generally addressed the employees’ relationship to “management”</w:t>
      </w:r>
      <w:r>
        <w:t xml:space="preserve"> and was not specific</w:t>
      </w:r>
      <w:r w:rsidR="0048279B">
        <w:t xml:space="preserve"> to</w:t>
      </w:r>
      <w:r>
        <w:t xml:space="preserve"> Hoglund.</w:t>
      </w:r>
      <w:r w:rsidRPr="00B707D6">
        <w:t xml:space="preserve">  </w:t>
      </w:r>
      <w:r w:rsidRPr="00B707D6" w:rsidR="005B6D4D">
        <w:t xml:space="preserve">Hoglund spoke to the employees about </w:t>
      </w:r>
      <w:r w:rsidRPr="00B707D6">
        <w:t>the negative feedback</w:t>
      </w:r>
      <w:r w:rsidRPr="00B707D6" w:rsidR="005B6D4D">
        <w:t xml:space="preserve">, who said their </w:t>
      </w:r>
      <w:r w:rsidRPr="00B707D6" w:rsidR="006E5A7A">
        <w:t>criticism</w:t>
      </w:r>
      <w:r w:rsidRPr="00B707D6" w:rsidR="005B6D4D">
        <w:t xml:space="preserve"> was directed at Horne, not Hoglund.  Hoglund met with Horne, and told Horne she did not believe those were her scores, but that she was willing to help increase the scores nonetheless.  Horne did not offer any comments about what Hoglund could do to increase the scores.  Instead, Horne said that Plass wanted Hoglund “written up” for the low engagement scores.  Hoglund said that was not appropriate, because those were not her scores.</w:t>
      </w:r>
    </w:p>
    <w:p w:rsidR="007865F5" w:rsidRPr="00B707D6" w:rsidP="005F4230" w14:paraId="121422F1" w14:textId="365DE492">
      <w:pPr>
        <w:ind w:firstLine="720"/>
      </w:pPr>
      <w:r w:rsidRPr="00B707D6">
        <w:t>Hoglund</w:t>
      </w:r>
      <w:r w:rsidRPr="00B707D6" w:rsidR="005B6D4D">
        <w:t xml:space="preserve"> went to </w:t>
      </w:r>
      <w:r w:rsidRPr="00B707D6">
        <w:t xml:space="preserve">Plass about the conversation, who said that she (Plass) was </w:t>
      </w:r>
      <w:r w:rsidRPr="00B707D6" w:rsidR="002E2057">
        <w:t xml:space="preserve">in fact </w:t>
      </w:r>
      <w:r w:rsidRPr="00B707D6">
        <w:t>not writing Hoglund up for those scores, and that Plass would talk to Horne.  Plass reviewed the comments, one of which complained that Horne ma</w:t>
      </w:r>
      <w:r w:rsidR="00363B26">
        <w:t>d</w:t>
      </w:r>
      <w:r w:rsidRPr="00B707D6">
        <w:t>e “rude” and “inappropriate” comments, yell</w:t>
      </w:r>
      <w:r w:rsidR="004D27D7">
        <w:t>ed</w:t>
      </w:r>
      <w:r w:rsidRPr="00B707D6">
        <w:t xml:space="preserve"> at employees, and play</w:t>
      </w:r>
      <w:r w:rsidR="004D27D7">
        <w:t>ed</w:t>
      </w:r>
      <w:r w:rsidRPr="00B707D6">
        <w:t xml:space="preserve"> favorites.  Another </w:t>
      </w:r>
      <w:r w:rsidRPr="00B707D6" w:rsidR="00910DD0">
        <w:t xml:space="preserve">said that Horne should be replaced with someone who cares about their employees.  Another employee said Horne “needs to go ASAP” but that </w:t>
      </w:r>
      <w:r w:rsidRPr="00B707D6">
        <w:t xml:space="preserve">Hoglund and Prout were doing an “awesome job as supervisors.  They work hard and genuinely like everybody.”  </w:t>
      </w:r>
      <w:r w:rsidRPr="00B707D6" w:rsidR="002E2057">
        <w:t>Hoglund went to Lucas about the anonymous employee comments, who did nothing in response.</w:t>
      </w:r>
    </w:p>
    <w:p w:rsidR="0042259D" w:rsidRPr="00B707D6" w:rsidP="005F4230" w14:paraId="583E6F3C" w14:textId="1D6305BC">
      <w:pPr>
        <w:ind w:firstLine="720"/>
      </w:pPr>
      <w:r w:rsidRPr="00B707D6">
        <w:t>By the end of 2016, there was a “mass exodus of staff” and Hoglund was filling in shifts for missing staff.  Hoglund again told Lucas that Horne thought she was too old for her job and was trying to push her out.  Lucas responded that she would look into it.</w:t>
      </w:r>
    </w:p>
    <w:p w:rsidR="004D27D7" w:rsidP="00090E51" w14:paraId="793B9CBD" w14:textId="2BD61AFC">
      <w:pPr>
        <w:ind w:firstLine="720"/>
      </w:pPr>
      <w:r w:rsidRPr="00B707D6">
        <w:t>In June 2017, the Hospital</w:t>
      </w:r>
      <w:r>
        <w:t xml:space="preserve"> sold its</w:t>
      </w:r>
      <w:r w:rsidRPr="00B707D6">
        <w:t xml:space="preserve"> outreach stations, </w:t>
      </w:r>
      <w:r w:rsidRPr="00B707D6" w:rsidR="007210F5">
        <w:t>resulting in</w:t>
      </w:r>
      <w:r w:rsidRPr="00B707D6">
        <w:t xml:space="preserve"> a reduction in </w:t>
      </w:r>
      <w:r w:rsidRPr="00B707D6" w:rsidR="007210F5">
        <w:t xml:space="preserve">Hospital </w:t>
      </w:r>
      <w:r w:rsidRPr="00B707D6">
        <w:t xml:space="preserve">staff.  </w:t>
      </w:r>
      <w:r w:rsidRPr="00B707D6" w:rsidR="00D92957">
        <w:t xml:space="preserve">Horne, Plass, and Lucas worked together on the downsizing, and the three of them determined that only one lab supervisor position would remain.  Lucas and Plass relied on Horne to describe the job </w:t>
      </w:r>
      <w:r w:rsidRPr="00B707D6" w:rsidR="002E2057">
        <w:t xml:space="preserve">requirements </w:t>
      </w:r>
      <w:r w:rsidRPr="00B707D6" w:rsidR="00D92957">
        <w:t>of the lab supervisor.</w:t>
      </w:r>
    </w:p>
    <w:p w:rsidR="004D27D7" w:rsidP="004D27D7" w14:paraId="1A77BC61" w14:textId="135BB77C">
      <w:pPr>
        <w:ind w:firstLine="720"/>
      </w:pPr>
      <w:r>
        <w:t>Ultimately, all</w:t>
      </w:r>
      <w:r w:rsidRPr="00B707D6" w:rsidR="00D92957">
        <w:t xml:space="preserve"> three agreed that Prout would be the sole supervisor because she was better qualified</w:t>
      </w:r>
      <w:r w:rsidR="0048279B">
        <w:t xml:space="preserve"> than Hoglund</w:t>
      </w:r>
      <w:r w:rsidRPr="00B707D6" w:rsidR="00D92957">
        <w:t>.</w:t>
      </w:r>
      <w:r>
        <w:rPr>
          <w:rStyle w:val="FootnoteReference"/>
        </w:rPr>
        <w:footnoteReference w:id="3"/>
      </w:r>
      <w:r w:rsidRPr="00B707D6" w:rsidR="00D92957">
        <w:t xml:space="preserve">  </w:t>
      </w:r>
      <w:r w:rsidR="0048279B">
        <w:t>Specifically, they</w:t>
      </w:r>
      <w:r w:rsidRPr="00B707D6" w:rsidR="007210F5">
        <w:t xml:space="preserve"> decided to</w:t>
      </w:r>
      <w:r w:rsidRPr="00B707D6" w:rsidR="00090E51">
        <w:t xml:space="preserve"> fire Hoglund and retain</w:t>
      </w:r>
      <w:r w:rsidRPr="00B707D6" w:rsidR="007210F5">
        <w:t xml:space="preserve"> </w:t>
      </w:r>
      <w:r w:rsidRPr="00B707D6" w:rsidR="00090E51">
        <w:t xml:space="preserve">Prout because Prout had “basic computer acumen” and </w:t>
      </w:r>
      <w:r w:rsidRPr="00B707D6" w:rsidR="00095DD7">
        <w:t>adapted to the new computer system, where</w:t>
      </w:r>
      <w:r w:rsidR="001C3B54">
        <w:t>as</w:t>
      </w:r>
      <w:r w:rsidRPr="00B707D6" w:rsidR="00095DD7">
        <w:t xml:space="preserve"> Hoglund struggled with her computer skills.  However, Plass had not observed </w:t>
      </w:r>
      <w:r w:rsidRPr="00B707D6" w:rsidR="00D100FD">
        <w:t>Prout</w:t>
      </w:r>
      <w:r w:rsidRPr="00B707D6" w:rsidR="00095DD7">
        <w:t xml:space="preserve"> on the new computer system, and neither Plass nor Lucas knew that Hoglund sought and was denied additional training on the system.  </w:t>
      </w:r>
      <w:r w:rsidR="0048279B">
        <w:t>They also based their termination decision on the fact that</w:t>
      </w:r>
      <w:r w:rsidRPr="00B707D6" w:rsidR="00095DD7">
        <w:t xml:space="preserve"> the majority of the </w:t>
      </w:r>
      <w:r w:rsidR="0048279B">
        <w:t xml:space="preserve">fired </w:t>
      </w:r>
      <w:r w:rsidRPr="00B707D6" w:rsidR="00095DD7">
        <w:t xml:space="preserve">employees were part of the outreach </w:t>
      </w:r>
      <w:r w:rsidR="00F975DC">
        <w:t xml:space="preserve">services </w:t>
      </w:r>
      <w:r w:rsidRPr="00B707D6" w:rsidR="00095DD7">
        <w:t>program</w:t>
      </w:r>
      <w:r>
        <w:t xml:space="preserve">, and </w:t>
      </w:r>
      <w:r w:rsidR="0048279B">
        <w:t xml:space="preserve">Horne had informed </w:t>
      </w:r>
      <w:r>
        <w:t>P</w:t>
      </w:r>
      <w:r w:rsidRPr="00B707D6">
        <w:t xml:space="preserve">lass and Lucas that Hoglund managed </w:t>
      </w:r>
      <w:r w:rsidR="00614B77">
        <w:t xml:space="preserve">the </w:t>
      </w:r>
      <w:r w:rsidRPr="00B707D6">
        <w:t>outreach</w:t>
      </w:r>
      <w:r w:rsidR="00614B77">
        <w:t xml:space="preserve"> </w:t>
      </w:r>
      <w:r w:rsidR="00F975DC">
        <w:t xml:space="preserve">services </w:t>
      </w:r>
      <w:r w:rsidR="00614B77">
        <w:t>program</w:t>
      </w:r>
      <w:r w:rsidRPr="00B707D6">
        <w:t xml:space="preserve"> while Prout managed </w:t>
      </w:r>
      <w:r w:rsidR="00614B77">
        <w:t xml:space="preserve">the </w:t>
      </w:r>
      <w:r w:rsidRPr="00B707D6">
        <w:t>inpatient</w:t>
      </w:r>
      <w:r w:rsidR="00614B77">
        <w:t xml:space="preserve"> services</w:t>
      </w:r>
      <w:r w:rsidRPr="00B707D6" w:rsidR="00095DD7">
        <w:t xml:space="preserve">.  </w:t>
      </w:r>
      <w:r>
        <w:t xml:space="preserve">However, Hoglund was never </w:t>
      </w:r>
      <w:r w:rsidR="00732784">
        <w:t xml:space="preserve">officially </w:t>
      </w:r>
      <w:r>
        <w:t xml:space="preserve">made an outreach </w:t>
      </w:r>
      <w:r w:rsidR="00F975DC">
        <w:t xml:space="preserve">services </w:t>
      </w:r>
      <w:r>
        <w:t xml:space="preserve">manager, as Horne’s request to create the position </w:t>
      </w:r>
      <w:r w:rsidR="00732784">
        <w:t xml:space="preserve">of outreach </w:t>
      </w:r>
      <w:r w:rsidR="00F975DC">
        <w:t xml:space="preserve">services </w:t>
      </w:r>
      <w:r w:rsidR="00732784">
        <w:t>manager was never fulfilled</w:t>
      </w:r>
      <w:r w:rsidRPr="00B707D6" w:rsidR="00832E37">
        <w:t>.</w:t>
      </w:r>
    </w:p>
    <w:p w:rsidR="00D92957" w:rsidRPr="00B707D6" w:rsidP="004D27D7" w14:paraId="13054BD8" w14:textId="64C3F64B">
      <w:pPr>
        <w:ind w:firstLine="720"/>
      </w:pPr>
      <w:r w:rsidRPr="00B707D6">
        <w:t xml:space="preserve">Both Prout and Hoglund had excellent performance evaluations, and Hoglund had a good reputation as a reliable worker.  Hoglund had been a lab supervisor at the Hospital for four years longer than Prout.  Hoglund was 62 years old and Prout was 33 years old.  </w:t>
      </w:r>
      <w:r w:rsidRPr="00B707D6" w:rsidR="00B152CF">
        <w:t xml:space="preserve">In total, the Hospital laid off </w:t>
      </w:r>
      <w:r w:rsidRPr="00B707D6" w:rsidR="00C22CFD">
        <w:t xml:space="preserve">approximately </w:t>
      </w:r>
      <w:r w:rsidRPr="00B707D6" w:rsidR="00B152CF">
        <w:t>17 employees due to the downsiz</w:t>
      </w:r>
      <w:r w:rsidR="00307DAF">
        <w:t>ing</w:t>
      </w:r>
      <w:r w:rsidRPr="00B707D6" w:rsidR="00B152CF">
        <w:t>.</w:t>
      </w:r>
    </w:p>
    <w:p w:rsidR="003963C3" w:rsidRPr="00B707D6" w:rsidP="00090E51" w14:paraId="38E0BCC3" w14:textId="435C4B8E">
      <w:pPr>
        <w:ind w:firstLine="720"/>
      </w:pPr>
      <w:r w:rsidRPr="00B707D6">
        <w:t>On June</w:t>
      </w:r>
      <w:r w:rsidR="00F975DC">
        <w:t> </w:t>
      </w:r>
      <w:r w:rsidRPr="00B707D6">
        <w:t xml:space="preserve">2, 2017, Horne told Hoglund she would be terminated, and Hoglund was shocked.  She had been at the Hospital for 13 years, had seniority, was a good employee, and was not finished training Prout.  Hoglund asked Lucas why she was terminated, and Lucas said it was because Hoglund was the outreach </w:t>
      </w:r>
      <w:r w:rsidR="00F975DC">
        <w:t xml:space="preserve">services </w:t>
      </w:r>
      <w:r w:rsidRPr="00B707D6">
        <w:t xml:space="preserve">manager.  Hoglund told Lucas she had never been designated the outreach </w:t>
      </w:r>
      <w:r w:rsidR="00F975DC">
        <w:t xml:space="preserve">services </w:t>
      </w:r>
      <w:r w:rsidRPr="00B707D6">
        <w:t xml:space="preserve">manager, and Lucas responded Horne had told Lucas </w:t>
      </w:r>
      <w:r w:rsidR="00CF3E78">
        <w:t xml:space="preserve">that was Hoglund’s </w:t>
      </w:r>
      <w:r w:rsidRPr="00B707D6">
        <w:t>job.</w:t>
      </w:r>
    </w:p>
    <w:bookmarkEnd w:id="0"/>
    <w:p w:rsidR="003963C3" w:rsidRPr="00B707D6" w:rsidP="003963C3" w14:paraId="0EF0839B" w14:textId="43FA310A">
      <w:pPr>
        <w:ind w:firstLine="720"/>
      </w:pPr>
      <w:r>
        <w:t xml:space="preserve">In a discussion at that time, </w:t>
      </w:r>
      <w:r w:rsidRPr="00B707D6">
        <w:t xml:space="preserve">Horne said that she felt sorry for the younger people with families losing their jobs.  Hoglund responded she </w:t>
      </w:r>
      <w:r w:rsidR="00732784">
        <w:t>also felt</w:t>
      </w:r>
      <w:r w:rsidRPr="00B707D6">
        <w:t xml:space="preserve"> sorry for older people, who might have a harder time with it</w:t>
      </w:r>
      <w:r>
        <w:t xml:space="preserve">.  </w:t>
      </w:r>
      <w:r w:rsidRPr="00B707D6">
        <w:t xml:space="preserve">Horne </w:t>
      </w:r>
      <w:r>
        <w:t xml:space="preserve">laughed and </w:t>
      </w:r>
      <w:r w:rsidRPr="00B707D6">
        <w:t>said, “</w:t>
      </w:r>
      <w:r w:rsidR="00E450FE">
        <w:t>[T]</w:t>
      </w:r>
      <w:r w:rsidRPr="00B707D6">
        <w:t xml:space="preserve">hat’s discrimination, that </w:t>
      </w:r>
      <w:r w:rsidR="00FA1D65">
        <w:t xml:space="preserve">it </w:t>
      </w:r>
      <w:r w:rsidRPr="00B707D6">
        <w:t>doesn’t work like that.</w:t>
      </w:r>
      <w:r>
        <w:t>”</w:t>
      </w:r>
      <w:r w:rsidRPr="00B707D6">
        <w:t xml:space="preserve">  Horne said Hoglund had “done [her] time” and was “close to retirement.”  However, Hoglund had planned to work for many more years.  Hoglund spoke to Plass, who said that Horne blamed Hoglund for everything that went wrong in the laboratory, and that now Horne “would be easier to watch.”  Hoglund’s last day was July</w:t>
      </w:r>
      <w:r w:rsidR="006865E4">
        <w:t> </w:t>
      </w:r>
      <w:r w:rsidRPr="00B707D6">
        <w:t>7, 2017.</w:t>
      </w:r>
    </w:p>
    <w:p w:rsidR="00B33E78" w:rsidRPr="00B707D6" w:rsidP="00B33E78" w14:paraId="49451999" w14:textId="39783EA7">
      <w:pPr>
        <w:ind w:firstLine="720"/>
      </w:pPr>
      <w:r w:rsidRPr="00B707D6">
        <w:t xml:space="preserve">Thereafter, at least six employees told Lucas how sad they were that Hoglund was terminated.  They explained that the low employee </w:t>
      </w:r>
      <w:r w:rsidRPr="00B707D6" w:rsidR="00570E03">
        <w:t>engagement</w:t>
      </w:r>
      <w:r w:rsidRPr="00B707D6">
        <w:t xml:space="preserve"> scores from their employee surveys were for their director (Horne) and not their supervisors.  When Lucas learned that the low engagement scores were intended for Horne, rather than Hoglund, she was surprised by the revelation.</w:t>
      </w:r>
    </w:p>
    <w:p w:rsidR="00265399" w:rsidRPr="00B707D6" w:rsidP="003963C3" w14:paraId="3EF223DC" w14:textId="1406FA6A">
      <w:pPr>
        <w:ind w:firstLine="720"/>
      </w:pPr>
      <w:r w:rsidRPr="00B707D6">
        <w:t xml:space="preserve">Consequently, the Hospital held focus groups.  </w:t>
      </w:r>
      <w:r w:rsidRPr="00B707D6" w:rsidR="00573FC3">
        <w:t xml:space="preserve">At least one employee expressed his or her belief that Hoglund had been set up by being sent to outreach </w:t>
      </w:r>
      <w:r w:rsidR="006865E4">
        <w:t xml:space="preserve">services </w:t>
      </w:r>
      <w:r w:rsidRPr="00B707D6" w:rsidR="00573FC3">
        <w:t>so that Horne could terminate her.  Employees also complained that Horne was retaliatory</w:t>
      </w:r>
      <w:r w:rsidR="00290E2D">
        <w:t xml:space="preserve"> and</w:t>
      </w:r>
      <w:r w:rsidRPr="00B707D6" w:rsidR="00573FC3">
        <w:t xml:space="preserve"> gave preferential treatment when awarding positions to staff.  They found it unfair that people were laid off</w:t>
      </w:r>
      <w:r w:rsidRPr="00B707D6" w:rsidR="00B33E78">
        <w:t xml:space="preserve">, yet </w:t>
      </w:r>
      <w:r w:rsidRPr="00B707D6" w:rsidR="00573FC3">
        <w:t xml:space="preserve">jobs were brought back shortly thereafter.  The Hospital did hire a pathology secretary and team lead phlebotomist </w:t>
      </w:r>
      <w:r w:rsidRPr="00B707D6" w:rsidR="00A554B6">
        <w:t>later in 2017, after Hoglund was terminated</w:t>
      </w:r>
      <w:r w:rsidRPr="00B707D6" w:rsidR="00573FC3">
        <w:t>.</w:t>
      </w:r>
    </w:p>
    <w:p w:rsidR="004A0ED2" w:rsidRPr="00B707D6" w:rsidP="00290E2D" w14:paraId="271B77A5" w14:textId="6C47327B">
      <w:pPr>
        <w:ind w:firstLine="720"/>
      </w:pPr>
      <w:r w:rsidRPr="00B707D6">
        <w:t xml:space="preserve">In August 2017, </w:t>
      </w:r>
      <w:r w:rsidRPr="00B707D6" w:rsidR="00187206">
        <w:t xml:space="preserve">a month after her termination, </w:t>
      </w:r>
      <w:r w:rsidRPr="00B707D6">
        <w:t>Hoglund was diagnosed with lung cancer</w:t>
      </w:r>
      <w:r w:rsidR="00290E2D">
        <w:t>.  She consequently had surgery in September 2017</w:t>
      </w:r>
      <w:r w:rsidR="008E19A9">
        <w:t>,</w:t>
      </w:r>
      <w:r w:rsidR="00290E2D">
        <w:t xml:space="preserve"> and</w:t>
      </w:r>
      <w:r w:rsidRPr="00B707D6">
        <w:t xml:space="preserve"> was unable to work until the beginning of January 2018.  The loss of her job made her feel absolutely devastated, and she felt more stressed tha</w:t>
      </w:r>
      <w:r w:rsidR="006865E4">
        <w:t>n</w:t>
      </w:r>
      <w:r w:rsidRPr="00B707D6">
        <w:t xml:space="preserve"> she had </w:t>
      </w:r>
      <w:r w:rsidR="001C0C19">
        <w:t xml:space="preserve">ever </w:t>
      </w:r>
      <w:r w:rsidRPr="00B707D6">
        <w:t xml:space="preserve">been in her life.  It was emotionally rougher than her cancer diagnosis.  </w:t>
      </w:r>
      <w:r w:rsidRPr="00B707D6" w:rsidR="002E6173">
        <w:t xml:space="preserve">Her confidence was “demolished,” because </w:t>
      </w:r>
      <w:r w:rsidRPr="00B707D6" w:rsidR="00187206">
        <w:t xml:space="preserve">prior to her employment at the Hospital, </w:t>
      </w:r>
      <w:r w:rsidRPr="00B707D6" w:rsidR="002E6173">
        <w:t>she had thought she was a good employee.  Hoglund had awful nightmares every night that she was working at the Hospital and hiding from Horne.</w:t>
      </w:r>
    </w:p>
    <w:p w:rsidR="00187206" w:rsidRPr="00041F59" w:rsidP="00B640CB" w14:paraId="37A6008D" w14:textId="7D1DA121">
      <w:pPr>
        <w:keepNext/>
        <w:jc w:val="center"/>
      </w:pPr>
      <w:r w:rsidRPr="00041F59">
        <w:t>II</w:t>
      </w:r>
    </w:p>
    <w:p w:rsidR="00187206" w:rsidRPr="00B707D6" w:rsidP="00B640CB" w14:paraId="4CB6C154" w14:textId="02F31AD8">
      <w:pPr>
        <w:keepNext/>
        <w:jc w:val="center"/>
        <w:rPr>
          <w:i/>
          <w:iCs/>
        </w:rPr>
      </w:pPr>
      <w:r w:rsidRPr="00B707D6">
        <w:rPr>
          <w:i/>
          <w:iCs/>
        </w:rPr>
        <w:t>Procedural History</w:t>
      </w:r>
    </w:p>
    <w:p w:rsidR="00161A7F" w:rsidRPr="00B707D6" w:rsidP="00B640CB" w14:paraId="43598A63" w14:textId="3F9ADA98">
      <w:pPr>
        <w:ind w:firstLine="720"/>
      </w:pPr>
      <w:r w:rsidRPr="00B707D6">
        <w:t>On February</w:t>
      </w:r>
      <w:r w:rsidR="00B640CB">
        <w:t> </w:t>
      </w:r>
      <w:r w:rsidRPr="00B707D6">
        <w:t>9, 2018, Hoglund filed an administrative complaint with the Department of Fair Employment and Housing (DFEH)</w:t>
      </w:r>
      <w:r w:rsidRPr="00B707D6" w:rsidR="00C22CFD">
        <w:t>, which she amended on February</w:t>
      </w:r>
      <w:r w:rsidR="00B640CB">
        <w:t> </w:t>
      </w:r>
      <w:r w:rsidRPr="00B707D6" w:rsidR="00C22CFD">
        <w:t>15, 2018</w:t>
      </w:r>
      <w:r w:rsidR="001245AE">
        <w:t>,</w:t>
      </w:r>
      <w:r w:rsidRPr="00B707D6" w:rsidR="00C22CFD">
        <w:t xml:space="preserve"> to include age discrimination</w:t>
      </w:r>
      <w:r w:rsidRPr="00B707D6">
        <w:t>.  On May</w:t>
      </w:r>
      <w:r w:rsidR="00B640CB">
        <w:t> </w:t>
      </w:r>
      <w:r w:rsidRPr="00B707D6">
        <w:t>25, 2018, DFEH issued a right to sue letter.  On June</w:t>
      </w:r>
      <w:r w:rsidR="00B640CB">
        <w:t> </w:t>
      </w:r>
      <w:r w:rsidRPr="00B707D6">
        <w:t>12, 2018, Hoglund filed her complaint, which she later amended, rendering the First Amended Complaint (FAC) the operative complaint.  The FAC alleged five causes of action</w:t>
      </w:r>
      <w:r w:rsidR="00A15D37">
        <w:t>:</w:t>
      </w:r>
      <w:r w:rsidRPr="00B707D6">
        <w:t xml:space="preserve"> </w:t>
      </w:r>
      <w:r w:rsidR="00705BF8">
        <w:t xml:space="preserve"> </w:t>
      </w:r>
      <w:r w:rsidRPr="00B707D6">
        <w:t>(1)</w:t>
      </w:r>
      <w:r w:rsidR="0001290D">
        <w:t> </w:t>
      </w:r>
      <w:r w:rsidRPr="00B707D6">
        <w:t>retaliation</w:t>
      </w:r>
      <w:r w:rsidRPr="00B707D6" w:rsidR="00280BCF">
        <w:t xml:space="preserve"> under the Fair Housing and Employment Act (FEHA)</w:t>
      </w:r>
      <w:r w:rsidR="00452588">
        <w:t xml:space="preserve"> (Gov. Code, § 12940</w:t>
      </w:r>
      <w:r w:rsidR="002D63E4">
        <w:t xml:space="preserve"> et seq.</w:t>
      </w:r>
      <w:r w:rsidR="00452588">
        <w:t>)</w:t>
      </w:r>
      <w:r>
        <w:rPr>
          <w:rStyle w:val="FootnoteReference"/>
          <w:szCs w:val="20"/>
        </w:rPr>
        <w:footnoteReference w:id="4"/>
      </w:r>
      <w:r w:rsidR="00A15D37">
        <w:t>;</w:t>
      </w:r>
      <w:r w:rsidRPr="00B55334" w:rsidR="008D209D">
        <w:rPr>
          <w:sz w:val="20"/>
          <w:szCs w:val="20"/>
        </w:rPr>
        <w:t xml:space="preserve"> </w:t>
      </w:r>
      <w:r w:rsidRPr="00B707D6">
        <w:t xml:space="preserve"> (2)</w:t>
      </w:r>
      <w:r w:rsidR="0001290D">
        <w:t> </w:t>
      </w:r>
      <w:r w:rsidRPr="00B707D6" w:rsidR="00280BCF">
        <w:t xml:space="preserve">FEHA </w:t>
      </w:r>
      <w:r w:rsidRPr="00B707D6">
        <w:t>age discrimination</w:t>
      </w:r>
      <w:r w:rsidR="009D3B41">
        <w:t xml:space="preserve"> (§ 12940, subd. (a)</w:t>
      </w:r>
      <w:r w:rsidR="00A15D37">
        <w:t>;</w:t>
      </w:r>
      <w:r w:rsidRPr="00B707D6">
        <w:t xml:space="preserve"> (3)</w:t>
      </w:r>
      <w:r w:rsidR="0001290D">
        <w:t> </w:t>
      </w:r>
      <w:r w:rsidRPr="00B707D6" w:rsidR="00280BCF">
        <w:t xml:space="preserve">FEHA </w:t>
      </w:r>
      <w:r w:rsidRPr="00B707D6">
        <w:t>harassment</w:t>
      </w:r>
      <w:r w:rsidR="009D3B41">
        <w:t xml:space="preserve"> (§ 12940, subd. (j)</w:t>
      </w:r>
      <w:r w:rsidR="00A15D37">
        <w:t>;</w:t>
      </w:r>
      <w:r w:rsidRPr="00B707D6">
        <w:t xml:space="preserve"> (4)</w:t>
      </w:r>
      <w:r w:rsidR="0001290D">
        <w:t> </w:t>
      </w:r>
      <w:r w:rsidRPr="00B707D6">
        <w:t>wrongful termination in violation of public policy</w:t>
      </w:r>
      <w:r w:rsidR="00A15D37">
        <w:t>;</w:t>
      </w:r>
      <w:r w:rsidRPr="00B707D6">
        <w:t xml:space="preserve"> and (5)</w:t>
      </w:r>
      <w:r w:rsidR="0001290D">
        <w:t> </w:t>
      </w:r>
      <w:r w:rsidRPr="00B707D6">
        <w:t>failure to pay overtime wages</w:t>
      </w:r>
      <w:r w:rsidR="00356B61">
        <w:t xml:space="preserve"> (Lab. Code, § 510)</w:t>
      </w:r>
      <w:r w:rsidRPr="00B707D6">
        <w:t xml:space="preserve">.  </w:t>
      </w:r>
      <w:r w:rsidRPr="00B707D6" w:rsidR="00A554B6">
        <w:t>Defendants moved for summary judgment</w:t>
      </w:r>
      <w:r w:rsidRPr="00B707D6" w:rsidR="00C22CFD">
        <w:t xml:space="preserve"> or adjudication</w:t>
      </w:r>
      <w:r w:rsidRPr="00B707D6" w:rsidR="00A554B6">
        <w:t>, and t</w:t>
      </w:r>
      <w:r w:rsidRPr="00B707D6">
        <w:t>he trial court granted summary adjudication of Hoglund’s retaliation claim and for punitive damages, but denied the rest of the motion.</w:t>
      </w:r>
    </w:p>
    <w:p w:rsidR="00A61F1B" w:rsidRPr="00B707D6" w:rsidP="00B640CB" w14:paraId="48343E8C" w14:textId="5EE07D2F">
      <w:pPr>
        <w:ind w:firstLine="720"/>
      </w:pPr>
      <w:r w:rsidRPr="00B707D6">
        <w:t xml:space="preserve">In January 2022, the case proceeded to a bench trial.  </w:t>
      </w:r>
      <w:r w:rsidRPr="00B707D6" w:rsidR="0018688E">
        <w:t xml:space="preserve">In June 2022, the trial court issued a ruling on submitted matter, and in response, defendants filed a request for a statement of decision, asking the court to explain the factual and legal basis for eight controverted issues.  The trial court issued a statement of decision and proposed judgment.  Defendants filed objections to the proposed statement of decision, listing the same eight issues that they </w:t>
      </w:r>
      <w:r w:rsidRPr="00B707D6" w:rsidR="00C22CFD">
        <w:t xml:space="preserve">still </w:t>
      </w:r>
      <w:r w:rsidRPr="00B707D6" w:rsidR="0018688E">
        <w:t>believed had not been adequately addressed by the court.</w:t>
      </w:r>
    </w:p>
    <w:p w:rsidR="0018688E" w:rsidRPr="00B707D6" w:rsidP="00B640CB" w14:paraId="67312A0F" w14:textId="1ED6BD4A">
      <w:pPr>
        <w:ind w:firstLine="720"/>
      </w:pPr>
      <w:r w:rsidRPr="00B707D6">
        <w:t>On July</w:t>
      </w:r>
      <w:r w:rsidR="00B640CB">
        <w:t> </w:t>
      </w:r>
      <w:r w:rsidRPr="00B707D6">
        <w:t xml:space="preserve">28, 2022, the trial court issued its final statement of decision and final judgment.  It found in favor of </w:t>
      </w:r>
      <w:r w:rsidRPr="00B707D6" w:rsidR="00E9616A">
        <w:t xml:space="preserve">Hoglund on her claims for age discrimination, harassment, and wrongful discharge, but found for </w:t>
      </w:r>
      <w:r w:rsidRPr="00B707D6" w:rsidR="00C22CFD">
        <w:t>the Hospital</w:t>
      </w:r>
      <w:r w:rsidRPr="00B707D6" w:rsidR="00E9616A">
        <w:t xml:space="preserve"> on the unpaid overtime claim.  </w:t>
      </w:r>
      <w:r w:rsidRPr="00B707D6" w:rsidR="00A554B6">
        <w:t xml:space="preserve">It found </w:t>
      </w:r>
      <w:r w:rsidRPr="00B707D6" w:rsidR="00E9616A">
        <w:t xml:space="preserve">Horne jointly and severally liable </w:t>
      </w:r>
      <w:r w:rsidRPr="00B707D6" w:rsidR="00C22CFD">
        <w:t xml:space="preserve">with the Hospital </w:t>
      </w:r>
      <w:r w:rsidRPr="00B707D6" w:rsidR="00E9616A">
        <w:t xml:space="preserve">for the harassment claim.  The trial court awarded Hoglund $1,431,800 </w:t>
      </w:r>
      <w:r w:rsidRPr="00B707D6" w:rsidR="00C22CFD">
        <w:t>in</w:t>
      </w:r>
      <w:r w:rsidRPr="00B707D6" w:rsidR="00E9616A">
        <w:t xml:space="preserve"> damages</w:t>
      </w:r>
      <w:r w:rsidRPr="00B707D6" w:rsidR="00C22CFD">
        <w:t xml:space="preserve">, comprised of $881,800 in economic damages (past and future wages/benefits and COBRA </w:t>
      </w:r>
      <w:r w:rsidR="00423363">
        <w:t>(</w:t>
      </w:r>
      <w:r w:rsidR="00E450FE">
        <w:t>Consolidated</w:t>
      </w:r>
      <w:r w:rsidR="00423363">
        <w:t xml:space="preserve"> Omnibus Budget Reconciliation Act</w:t>
      </w:r>
      <w:r w:rsidR="00C22F41">
        <w:t xml:space="preserve"> of 1985</w:t>
      </w:r>
      <w:r w:rsidR="00423363">
        <w:t xml:space="preserve">) </w:t>
      </w:r>
      <w:r w:rsidRPr="00B707D6" w:rsidR="00C22CFD">
        <w:t>payments) and $550,000 in noneconomic, emotional distress damages</w:t>
      </w:r>
      <w:r w:rsidRPr="00B707D6" w:rsidR="00E9616A">
        <w:t xml:space="preserve">.  In January 2023, it issued an amended judgment, </w:t>
      </w:r>
      <w:r w:rsidRPr="00B707D6" w:rsidR="00C22CFD">
        <w:t>which also awarded</w:t>
      </w:r>
      <w:r w:rsidRPr="00B707D6" w:rsidR="00E9616A">
        <w:t xml:space="preserve"> Hoglund $958,297 in attorneys’ fees and $57,332 in costs.</w:t>
      </w:r>
    </w:p>
    <w:p w:rsidR="004E49D9" w:rsidRPr="00B707D6" w:rsidP="00B640CB" w14:paraId="2E7FC4AE" w14:textId="4A9BFD93">
      <w:pPr>
        <w:keepNext/>
        <w:jc w:val="center"/>
      </w:pPr>
      <w:r w:rsidRPr="00B707D6">
        <w:t>DISCUSSION</w:t>
      </w:r>
    </w:p>
    <w:p w:rsidR="004E49D9" w:rsidRPr="00041F59" w:rsidP="00B640CB" w14:paraId="5D5BC538" w14:textId="38406DC6">
      <w:pPr>
        <w:keepNext/>
        <w:jc w:val="center"/>
      </w:pPr>
      <w:r w:rsidRPr="00041F59">
        <w:t>I</w:t>
      </w:r>
    </w:p>
    <w:p w:rsidR="00E17BCF" w:rsidRPr="00B707D6" w:rsidP="00B640CB" w14:paraId="05925BE9" w14:textId="6F3358FF">
      <w:pPr>
        <w:keepNext/>
        <w:jc w:val="center"/>
        <w:rPr>
          <w:i/>
          <w:iCs/>
        </w:rPr>
      </w:pPr>
      <w:r w:rsidRPr="00B707D6">
        <w:rPr>
          <w:i/>
          <w:iCs/>
        </w:rPr>
        <w:t>Timeliness of Suit</w:t>
      </w:r>
    </w:p>
    <w:p w:rsidR="00526B6D" w:rsidRPr="00B707D6" w:rsidP="00B640CB" w14:paraId="5EEE0F6E" w14:textId="702DB0CB">
      <w:pPr>
        <w:ind w:firstLine="720"/>
      </w:pPr>
      <w:r w:rsidRPr="00B707D6">
        <w:t xml:space="preserve">Defendants first contend that the trial court </w:t>
      </w:r>
      <w:r w:rsidR="00290E2D">
        <w:t>erroneously</w:t>
      </w:r>
      <w:r w:rsidRPr="00B707D6">
        <w:t xml:space="preserve"> </w:t>
      </w:r>
      <w:r w:rsidR="0068675B">
        <w:t xml:space="preserve">applied the continuing violations doctrine, which allowed it to </w:t>
      </w:r>
      <w:r w:rsidR="00290E2D">
        <w:t xml:space="preserve">improperly </w:t>
      </w:r>
      <w:r w:rsidRPr="00B707D6">
        <w:t>rel</w:t>
      </w:r>
      <w:r w:rsidR="0068675B">
        <w:t>y</w:t>
      </w:r>
      <w:r w:rsidRPr="00B707D6">
        <w:t xml:space="preserve"> on time-barred </w:t>
      </w:r>
      <w:r w:rsidRPr="00B707D6" w:rsidR="00B4364C">
        <w:t>evidence</w:t>
      </w:r>
      <w:r w:rsidRPr="00B707D6">
        <w:t xml:space="preserve"> of harassment and discrimination.  They argue that </w:t>
      </w:r>
      <w:r w:rsidRPr="00B707D6" w:rsidR="004C23B4">
        <w:t xml:space="preserve">the one-year statute of limitations under </w:t>
      </w:r>
      <w:r w:rsidRPr="00B707D6" w:rsidR="00280BCF">
        <w:t>FEHA</w:t>
      </w:r>
      <w:r w:rsidRPr="00B707D6" w:rsidR="004C23B4">
        <w:t xml:space="preserve"> precludes </w:t>
      </w:r>
      <w:r w:rsidRPr="00B707D6" w:rsidR="00280BCF">
        <w:t>their</w:t>
      </w:r>
      <w:r w:rsidRPr="00B707D6" w:rsidR="004C23B4">
        <w:t xml:space="preserve"> liability for any</w:t>
      </w:r>
      <w:r w:rsidRPr="00B707D6" w:rsidR="00B4364C">
        <w:t xml:space="preserve"> </w:t>
      </w:r>
      <w:r w:rsidRPr="00B707D6" w:rsidR="004C23B4">
        <w:t>conduct</w:t>
      </w:r>
      <w:r w:rsidRPr="00B707D6" w:rsidR="00B4364C">
        <w:t xml:space="preserve"> prior to</w:t>
      </w:r>
      <w:r w:rsidRPr="00B707D6">
        <w:t xml:space="preserve"> 2014, </w:t>
      </w:r>
      <w:r w:rsidRPr="00B707D6" w:rsidR="00280BCF">
        <w:t xml:space="preserve">which </w:t>
      </w:r>
      <w:r w:rsidRPr="00B707D6" w:rsidR="00F33145">
        <w:t xml:space="preserve">was </w:t>
      </w:r>
      <w:r w:rsidRPr="00B707D6" w:rsidR="00B4364C">
        <w:t>when</w:t>
      </w:r>
      <w:r w:rsidRPr="00B707D6" w:rsidR="00280BCF">
        <w:t>, according to defendants,</w:t>
      </w:r>
      <w:r w:rsidRPr="00B707D6" w:rsidR="00B4364C">
        <w:t xml:space="preserve"> </w:t>
      </w:r>
      <w:r w:rsidRPr="00B707D6">
        <w:t xml:space="preserve">Hoglund believed </w:t>
      </w:r>
      <w:r w:rsidRPr="00B707D6" w:rsidR="00B4364C">
        <w:t>defendants’</w:t>
      </w:r>
      <w:r w:rsidRPr="00B707D6">
        <w:t xml:space="preserve"> discrimination and harassment had become permanent</w:t>
      </w:r>
      <w:r w:rsidRPr="00B707D6" w:rsidR="00B4364C">
        <w:t xml:space="preserve"> and would never be resolved</w:t>
      </w:r>
      <w:r w:rsidRPr="00B707D6">
        <w:t xml:space="preserve">.  </w:t>
      </w:r>
      <w:r w:rsidRPr="00B707D6" w:rsidR="00E0239B">
        <w:t>W</w:t>
      </w:r>
      <w:r w:rsidRPr="00B707D6" w:rsidR="00B4364C">
        <w:t>e are not persuaded.</w:t>
      </w:r>
    </w:p>
    <w:p w:rsidR="00D66282" w:rsidRPr="00B707D6" w:rsidP="004C23B4" w14:paraId="761E15A9" w14:textId="40244E86">
      <w:pPr>
        <w:ind w:firstLine="720"/>
      </w:pPr>
      <w:r w:rsidRPr="00B707D6">
        <w:t>“A plaintiff suing for violations of FEHA ordinarily cannot recover for acts occurring more than one year before the filing of the DFEH complaint.”  (</w:t>
      </w:r>
      <w:r w:rsidRPr="00B707D6">
        <w:rPr>
          <w:i/>
          <w:iCs/>
        </w:rPr>
        <w:t>Jumaane v. City of Los Angeles</w:t>
      </w:r>
      <w:r w:rsidRPr="00B707D6">
        <w:t> (2015) 241 Cal.App.4th 1390, 1400</w:t>
      </w:r>
      <w:r w:rsidRPr="00B707D6" w:rsidR="007E5F56">
        <w:t xml:space="preserve"> (</w:t>
      </w:r>
      <w:r w:rsidRPr="00B707D6" w:rsidR="007E5F56">
        <w:rPr>
          <w:i/>
          <w:iCs/>
        </w:rPr>
        <w:t>Jumaane</w:t>
      </w:r>
      <w:r w:rsidRPr="00B707D6" w:rsidR="007E5F56">
        <w:t>)</w:t>
      </w:r>
      <w:r w:rsidRPr="00B707D6">
        <w:t xml:space="preserve">; accord </w:t>
      </w:r>
      <w:r w:rsidRPr="00B707D6">
        <w:rPr>
          <w:i/>
          <w:iCs/>
        </w:rPr>
        <w:t xml:space="preserve">Richards v. CH2M Hill, Inc. </w:t>
      </w:r>
      <w:r w:rsidRPr="00B707D6">
        <w:t>(2001) 26 Cal.4th 798, 818 (</w:t>
      </w:r>
      <w:r w:rsidRPr="00B707D6">
        <w:rPr>
          <w:i/>
          <w:iCs/>
        </w:rPr>
        <w:t>Richards</w:t>
      </w:r>
      <w:r w:rsidRPr="00B707D6">
        <w:t>); see</w:t>
      </w:r>
      <w:r w:rsidRPr="00B707D6" w:rsidR="005C35B2">
        <w:t xml:space="preserve"> </w:t>
      </w:r>
      <w:r w:rsidRPr="00B707D6">
        <w:t xml:space="preserve">§ 12960, subd. (e).)  </w:t>
      </w:r>
      <w:r w:rsidRPr="00B707D6" w:rsidR="004C23B4">
        <w:t xml:space="preserve">Where applicable, the continuing violations doctrine provides an equitable exception to the one-year statute of limitations for FEHA actions.  </w:t>
      </w:r>
      <w:r w:rsidRPr="00B707D6" w:rsidR="00280BCF">
        <w:t>(</w:t>
      </w:r>
      <w:r w:rsidRPr="00B707D6" w:rsidR="00280BCF">
        <w:rPr>
          <w:i/>
          <w:iCs/>
        </w:rPr>
        <w:t>Richards</w:t>
      </w:r>
      <w:r w:rsidRPr="00041F59" w:rsidR="00280BCF">
        <w:rPr>
          <w:i/>
          <w:iCs/>
        </w:rPr>
        <w:t>,</w:t>
      </w:r>
      <w:r w:rsidRPr="00B707D6" w:rsidR="00280BCF">
        <w:t xml:space="preserve"> </w:t>
      </w:r>
      <w:r w:rsidRPr="00B707D6" w:rsidR="00280BCF">
        <w:rPr>
          <w:i/>
          <w:iCs/>
        </w:rPr>
        <w:t>supra</w:t>
      </w:r>
      <w:r w:rsidRPr="00B707D6" w:rsidR="00280BCF">
        <w:t>, 26</w:t>
      </w:r>
      <w:r w:rsidR="00DC4CFC">
        <w:t> </w:t>
      </w:r>
      <w:r w:rsidRPr="00B707D6" w:rsidR="00280BCF">
        <w:t>Cal.</w:t>
      </w:r>
      <w:r w:rsidRPr="00B707D6" w:rsidR="004C23B4">
        <w:t>4th at p</w:t>
      </w:r>
      <w:r w:rsidR="0012315B">
        <w:t>p</w:t>
      </w:r>
      <w:r w:rsidR="00931ED0">
        <w:t>.</w:t>
      </w:r>
      <w:r w:rsidRPr="00B707D6" w:rsidR="004C23B4">
        <w:t> 823-824.)  The doctrine</w:t>
      </w:r>
      <w:r w:rsidRPr="00B707D6">
        <w:t xml:space="preserve"> “allows liability for unlawful employer conduct occurring outside the statute of limitations if it is sufficiently connected to unlawful conduct within the limitations </w:t>
      </w:r>
      <w:r w:rsidRPr="00B707D6" w:rsidR="005C35B2">
        <w:t xml:space="preserve">period.” </w:t>
      </w:r>
      <w:r w:rsidRPr="00B707D6">
        <w:t> (</w:t>
      </w:r>
      <w:bookmarkStart w:id="1" w:name="_Hlk156387968"/>
      <w:r w:rsidRPr="00B707D6" w:rsidR="004C23B4">
        <w:rPr>
          <w:i/>
          <w:iCs/>
        </w:rPr>
        <w:t>Id.</w:t>
      </w:r>
      <w:r w:rsidRPr="00B707D6">
        <w:t> at p. 802</w:t>
      </w:r>
      <w:bookmarkEnd w:id="1"/>
      <w:r w:rsidRPr="00B707D6" w:rsidR="005C35B2">
        <w:t xml:space="preserve">.)  </w:t>
      </w:r>
      <w:r w:rsidRPr="00B707D6">
        <w:t>The employer</w:t>
      </w:r>
      <w:r w:rsidRPr="00B707D6" w:rsidR="00280BCF">
        <w:t>’</w:t>
      </w:r>
      <w:r w:rsidRPr="00B707D6">
        <w:t>s unlawful actions are “sufficiently connected” if they satisfy three criteria:</w:t>
      </w:r>
      <w:r w:rsidRPr="00B707D6" w:rsidR="005C35B2">
        <w:t xml:space="preserve"> </w:t>
      </w:r>
      <w:r w:rsidRPr="00B707D6">
        <w:t xml:space="preserve"> (1)</w:t>
      </w:r>
      <w:r w:rsidR="00DC4CFC">
        <w:t> </w:t>
      </w:r>
      <w:r w:rsidRPr="00B707D6">
        <w:t>the unlawful conduct occurring outside the statute of limitations is “sufficiently similar in kind” to the unlawful conduct within the limitations period</w:t>
      </w:r>
      <w:r w:rsidR="00290E2D">
        <w:t>,</w:t>
      </w:r>
      <w:r w:rsidRPr="00B707D6">
        <w:t xml:space="preserve"> (2)</w:t>
      </w:r>
      <w:r w:rsidR="00DC4CFC">
        <w:t> </w:t>
      </w:r>
      <w:r w:rsidRPr="00B707D6">
        <w:t>the unlawful actions have occurred with “reasonable frequency</w:t>
      </w:r>
      <w:r w:rsidR="00DA74C8">
        <w:t>,</w:t>
      </w:r>
      <w:r w:rsidRPr="00B707D6">
        <w:t>” and (3)</w:t>
      </w:r>
      <w:r w:rsidR="00DC4CFC">
        <w:t> </w:t>
      </w:r>
      <w:r w:rsidRPr="00B707D6">
        <w:t>they have not “acquired a degree of permanence.”</w:t>
      </w:r>
      <w:r w:rsidRPr="00B707D6" w:rsidR="00526B6D">
        <w:t xml:space="preserve"> </w:t>
      </w:r>
      <w:r w:rsidRPr="00B707D6">
        <w:t xml:space="preserve"> (</w:t>
      </w:r>
      <w:r w:rsidR="0012315B">
        <w:rPr>
          <w:i/>
          <w:iCs/>
        </w:rPr>
        <w:t>Id.</w:t>
      </w:r>
      <w:r w:rsidRPr="00B707D6">
        <w:t> at p. 823.)</w:t>
      </w:r>
    </w:p>
    <w:p w:rsidR="005C35B2" w:rsidRPr="00B707D6" w:rsidP="005C35B2" w14:paraId="19918EE3" w14:textId="7942F25B">
      <w:pPr>
        <w:ind w:firstLine="720"/>
      </w:pPr>
      <w:r w:rsidRPr="00B707D6">
        <w:t xml:space="preserve">Here, </w:t>
      </w:r>
      <w:r w:rsidR="00C5521E">
        <w:t>d</w:t>
      </w:r>
      <w:r w:rsidRPr="00B707D6">
        <w:t>efendants challenge only the third criter</w:t>
      </w:r>
      <w:r w:rsidR="00890A1B">
        <w:t>ion</w:t>
      </w:r>
      <w:r w:rsidRPr="00B707D6">
        <w:t>, i.e.</w:t>
      </w:r>
      <w:r w:rsidR="00951839">
        <w:t>,</w:t>
      </w:r>
      <w:r w:rsidRPr="00B707D6">
        <w:t xml:space="preserve"> whether defendants’ failure to end the harassment and discrimination had acquired a degree of permanence</w:t>
      </w:r>
      <w:r w:rsidR="00C5521E">
        <w:t xml:space="preserve"> in 2014</w:t>
      </w:r>
      <w:r w:rsidRPr="00B707D6">
        <w:t>, such that the cause of action began to accrue.  “</w:t>
      </w:r>
      <w:r w:rsidR="004B3FFA">
        <w:t> ‘</w:t>
      </w:r>
      <w:r w:rsidRPr="00B707D6">
        <w:t>Permanence</w:t>
      </w:r>
      <w:r w:rsidR="004B3FFA">
        <w:t>’ </w:t>
      </w:r>
      <w:r w:rsidRPr="00B707D6">
        <w:t>” in this context means “that an employer’s statements and actions make clear to a reasonable employee that any further efforts at informal conciliation to obtain reasonable accommodation or end harassment will be futile.  [¶]  Thus, when an employer engages in a continuing course of unlawful conduct under the FEHA by .</w:t>
      </w:r>
      <w:r w:rsidR="005467FA">
        <w:t> </w:t>
      </w:r>
      <w:r w:rsidRPr="00B707D6">
        <w:t>.</w:t>
      </w:r>
      <w:r w:rsidR="005467FA">
        <w:t> </w:t>
      </w:r>
      <w:r w:rsidRPr="00B707D6">
        <w:t>.</w:t>
      </w:r>
      <w:r w:rsidR="005467FA">
        <w:t> </w:t>
      </w:r>
      <w:r w:rsidRPr="00B707D6">
        <w:t>engaging in [</w:t>
      </w:r>
      <w:r w:rsidR="0037544C">
        <w:t xml:space="preserve"> </w:t>
      </w:r>
      <w:r w:rsidRPr="00B707D6">
        <w:t>] harassment, and this course of conduct does not constitute a constructive discharge, the statute of limitations begins to run .</w:t>
      </w:r>
      <w:r w:rsidR="005467FA">
        <w:t> </w:t>
      </w:r>
      <w:r w:rsidRPr="00B707D6">
        <w:t>.</w:t>
      </w:r>
      <w:r w:rsidR="005467FA">
        <w:t> </w:t>
      </w:r>
      <w:r w:rsidRPr="00B707D6">
        <w:t>.</w:t>
      </w:r>
      <w:r w:rsidR="005467FA">
        <w:t> </w:t>
      </w:r>
      <w:r w:rsidRPr="00B707D6">
        <w:rPr>
          <w:i/>
          <w:iCs/>
        </w:rPr>
        <w:t>either</w:t>
      </w:r>
      <w:r w:rsidRPr="00B707D6">
        <w:t xml:space="preserve"> when the course of conduct is brought to an end, as by the employer’s cessation of such conduct or by the employee’s resignation, </w:t>
      </w:r>
      <w:r w:rsidRPr="00B707D6">
        <w:rPr>
          <w:i/>
          <w:iCs/>
        </w:rPr>
        <w:t>or</w:t>
      </w:r>
      <w:r w:rsidRPr="00B707D6">
        <w:t xml:space="preserve"> when the employee is on notice that further efforts to end the unlawful conduct will be in vain.  Accordingly, an employer who is confronted with an employee seeking </w:t>
      </w:r>
      <w:r w:rsidR="005467FA">
        <w:t>. . . </w:t>
      </w:r>
      <w:r w:rsidRPr="00B707D6">
        <w:t xml:space="preserve">relief from </w:t>
      </w:r>
      <w:r w:rsidR="005467FA">
        <w:t>. . . </w:t>
      </w:r>
      <w:r w:rsidRPr="00B707D6">
        <w:t>harassment may assert control over its legal relationship with the employee either by accommodating the employee’s requests, or by making clear to the employee in a definitive manner that it will not be granting any such requests, thereby commencing the running of the statute of limitations.”  (</w:t>
      </w:r>
      <w:r w:rsidRPr="00B707D6" w:rsidR="0012315B">
        <w:rPr>
          <w:i/>
          <w:iCs/>
        </w:rPr>
        <w:t>Richards</w:t>
      </w:r>
      <w:r w:rsidRPr="00041F59" w:rsidR="0012315B">
        <w:rPr>
          <w:i/>
          <w:iCs/>
        </w:rPr>
        <w:t>,</w:t>
      </w:r>
      <w:r w:rsidRPr="00B707D6" w:rsidR="0012315B">
        <w:t xml:space="preserve"> </w:t>
      </w:r>
      <w:r w:rsidRPr="00B707D6" w:rsidR="0012315B">
        <w:rPr>
          <w:i/>
          <w:iCs/>
        </w:rPr>
        <w:t>supra</w:t>
      </w:r>
      <w:r w:rsidRPr="00B707D6" w:rsidR="0012315B">
        <w:t>, 26 Cal.4th at p</w:t>
      </w:r>
      <w:r w:rsidR="0012315B">
        <w:t>p</w:t>
      </w:r>
      <w:r w:rsidRPr="00B707D6" w:rsidR="0012315B">
        <w:t>.  823-824</w:t>
      </w:r>
      <w:r w:rsidR="0012315B">
        <w:t>.</w:t>
      </w:r>
      <w:r w:rsidRPr="00B707D6">
        <w:t>)</w:t>
      </w:r>
    </w:p>
    <w:p w:rsidR="006F3CE4" w:rsidRPr="00B707D6" w:rsidP="005C35B2" w14:paraId="336C56D4" w14:textId="4C61ADBD">
      <w:pPr>
        <w:ind w:firstLine="720"/>
      </w:pPr>
      <w:r w:rsidRPr="00B707D6">
        <w:t xml:space="preserve">The plaintiff bears the burden to demonstrate </w:t>
      </w:r>
      <w:r w:rsidR="00890A1B">
        <w:t xml:space="preserve">that </w:t>
      </w:r>
      <w:r w:rsidRPr="00B707D6" w:rsidR="00D66282">
        <w:t xml:space="preserve">his or </w:t>
      </w:r>
      <w:r w:rsidRPr="00B707D6" w:rsidR="005C35B2">
        <w:t>her</w:t>
      </w:r>
      <w:r w:rsidRPr="00B707D6">
        <w:t xml:space="preserve"> claims are founded on a pattern or practice of employer conduct that continued into the limitations period.</w:t>
      </w:r>
      <w:r w:rsidRPr="00B707D6" w:rsidR="005C35B2">
        <w:t xml:space="preserve"> </w:t>
      </w:r>
      <w:r w:rsidRPr="00B707D6">
        <w:t xml:space="preserve"> (</w:t>
      </w:r>
      <w:r w:rsidRPr="00B707D6">
        <w:rPr>
          <w:i/>
          <w:iCs/>
        </w:rPr>
        <w:t>Jumaane, supra,</w:t>
      </w:r>
      <w:r w:rsidRPr="00B707D6">
        <w:t> 241 Cal.App.4th at p. 1402</w:t>
      </w:r>
      <w:r w:rsidRPr="00B707D6" w:rsidR="005C35B2">
        <w:t>.)</w:t>
      </w:r>
      <w:r w:rsidRPr="00B707D6" w:rsidR="00736CC9">
        <w:t xml:space="preserve">  We review the trial court’s determination for substantial evidence, considering the facts in the light most favorable to Hoglund.  (</w:t>
      </w:r>
      <w:r w:rsidRPr="00B707D6" w:rsidR="00736CC9">
        <w:rPr>
          <w:i/>
          <w:iCs/>
        </w:rPr>
        <w:t>Richards, supra,</w:t>
      </w:r>
      <w:r w:rsidRPr="00B707D6" w:rsidR="00736CC9">
        <w:t> 26 Cal.4th at p. 802, fn. 2.)</w:t>
      </w:r>
    </w:p>
    <w:p w:rsidR="00A56C4B" w:rsidRPr="00B707D6" w:rsidP="00A56C4B" w14:paraId="0669E794" w14:textId="07AFD055">
      <w:pPr>
        <w:ind w:firstLine="720"/>
      </w:pPr>
      <w:r w:rsidRPr="00B707D6">
        <w:t xml:space="preserve">There is no dispute that </w:t>
      </w:r>
      <w:r w:rsidRPr="00B707D6" w:rsidR="00E93EA6">
        <w:t xml:space="preserve">Horne’s unlawful conduct began in 2011, years before </w:t>
      </w:r>
      <w:r w:rsidRPr="00B707D6">
        <w:t xml:space="preserve">Hoglund filed </w:t>
      </w:r>
      <w:r w:rsidR="00C5521E">
        <w:t>her February 9, 2018</w:t>
      </w:r>
      <w:r w:rsidR="00A77497">
        <w:t>,</w:t>
      </w:r>
      <w:r w:rsidRPr="00B707D6">
        <w:t xml:space="preserve"> administrative complaint with DFEH.  Nevertheless, the trial court found </w:t>
      </w:r>
      <w:r w:rsidRPr="00B707D6" w:rsidR="00E93EA6">
        <w:t xml:space="preserve">that </w:t>
      </w:r>
      <w:r w:rsidRPr="00B707D6" w:rsidR="00B67ECC">
        <w:t xml:space="preserve">defendants </w:t>
      </w:r>
      <w:r w:rsidR="001747DC">
        <w:t>“</w:t>
      </w:r>
      <w:r w:rsidRPr="00B707D6" w:rsidR="00B67ECC">
        <w:t xml:space="preserve">engaged in a continuous course of unlawful conduct under the FEHA and that the statute of limitations did not begin to run until that course of conduct was brought to an end; i.e., when </w:t>
      </w:r>
      <w:r w:rsidR="001747DC">
        <w:t>[</w:t>
      </w:r>
      <w:r w:rsidRPr="00B707D6" w:rsidR="00B67ECC">
        <w:t>Hoglund</w:t>
      </w:r>
      <w:r w:rsidR="001747DC">
        <w:t>]</w:t>
      </w:r>
      <w:r w:rsidRPr="00B707D6" w:rsidR="00B67ECC">
        <w:t xml:space="preserve"> was discharged.”  </w:t>
      </w:r>
      <w:r w:rsidRPr="00B707D6">
        <w:t xml:space="preserve">Defendants </w:t>
      </w:r>
      <w:r w:rsidR="00C5521E">
        <w:t>dispute</w:t>
      </w:r>
      <w:r w:rsidRPr="00B707D6">
        <w:t xml:space="preserve"> this finding, based on various pieces of Hoglund’s testimony.  For example, Hoglund testified that in 2014 she “wanted to give up.”  She felt as though Horne’s harassment continued, even after she complained, and that by September 2014, her complaints were “being ignored.”  And, although Hoglund “never lost faith in” the Hospital, Plass, or Lucas,</w:t>
      </w:r>
      <w:r w:rsidRPr="00B707D6" w:rsidR="00E93EA6">
        <w:t xml:space="preserve"> or</w:t>
      </w:r>
      <w:r w:rsidRPr="00B707D6">
        <w:t xml:space="preserve"> “that something would change,” she “found [she] was beating a dead horse to try to find a better way to get along [with Horne].”</w:t>
      </w:r>
    </w:p>
    <w:p w:rsidR="00736CC9" w:rsidRPr="00B707D6" w:rsidP="00A56C4B" w14:paraId="17C7DF64" w14:textId="5286B3F0">
      <w:pPr>
        <w:ind w:firstLine="720"/>
      </w:pPr>
      <w:r w:rsidRPr="00B707D6">
        <w:t xml:space="preserve">At the outset, we </w:t>
      </w:r>
      <w:r w:rsidRPr="00B707D6" w:rsidR="00E93EA6">
        <w:t>emphasize</w:t>
      </w:r>
      <w:r w:rsidRPr="00B707D6">
        <w:t xml:space="preserve"> that the question of pe</w:t>
      </w:r>
      <w:r w:rsidRPr="00B707D6" w:rsidR="005E138D">
        <w:t>rmanence</w:t>
      </w:r>
      <w:r w:rsidR="00BB6409">
        <w:t>—</w:t>
      </w:r>
      <w:r w:rsidRPr="00B707D6" w:rsidR="005E138D">
        <w:t>i.e., whether the employer has made clear that any further efforts to resolve the harassment and discrimination would be futile</w:t>
      </w:r>
      <w:r w:rsidR="008A5A91">
        <w:t>—</w:t>
      </w:r>
      <w:r w:rsidRPr="00B707D6" w:rsidR="005E138D">
        <w:t xml:space="preserve">is based primarily on the </w:t>
      </w:r>
      <w:r w:rsidRPr="00B707D6" w:rsidR="005E138D">
        <w:rPr>
          <w:i/>
          <w:iCs/>
        </w:rPr>
        <w:t>employer’s</w:t>
      </w:r>
      <w:r w:rsidRPr="00B707D6" w:rsidR="005E138D">
        <w:t xml:space="preserve"> actions and statements, and not</w:t>
      </w:r>
      <w:r w:rsidR="00C5521E">
        <w:t>, as defendants suggest,</w:t>
      </w:r>
      <w:r w:rsidRPr="00B707D6" w:rsidR="005E138D">
        <w:t xml:space="preserve"> the employee’s subjective belief.  (See </w:t>
      </w:r>
      <w:r w:rsidRPr="00B707D6" w:rsidR="005E138D">
        <w:rPr>
          <w:i/>
          <w:iCs/>
        </w:rPr>
        <w:t>Richards</w:t>
      </w:r>
      <w:r w:rsidRPr="00041F59" w:rsidR="005E138D">
        <w:rPr>
          <w:i/>
          <w:iCs/>
        </w:rPr>
        <w:t>,</w:t>
      </w:r>
      <w:r w:rsidRPr="00B707D6" w:rsidR="005E138D">
        <w:t xml:space="preserve"> </w:t>
      </w:r>
      <w:r w:rsidRPr="00B707D6" w:rsidR="005E138D">
        <w:rPr>
          <w:i/>
          <w:iCs/>
        </w:rPr>
        <w:t>supra</w:t>
      </w:r>
      <w:r w:rsidRPr="00B707D6" w:rsidR="005E138D">
        <w:t xml:space="preserve">, 26 Cal.4th at p. 823-824.)  Here, Hoglund’s statements do not establish that defendants either </w:t>
      </w:r>
      <w:r w:rsidRPr="00B707D6" w:rsidR="00914D5E">
        <w:t>(1)</w:t>
      </w:r>
      <w:r w:rsidR="00372085">
        <w:t> </w:t>
      </w:r>
      <w:r w:rsidRPr="00B707D6" w:rsidR="005E138D">
        <w:t xml:space="preserve">asserted control over </w:t>
      </w:r>
      <w:r w:rsidR="000646C1">
        <w:t>their</w:t>
      </w:r>
      <w:r w:rsidRPr="00B707D6" w:rsidR="005E138D">
        <w:t xml:space="preserve"> relationship with Hoglund by </w:t>
      </w:r>
      <w:r w:rsidRPr="00B707D6" w:rsidR="00914D5E">
        <w:t>resolving her complaints</w:t>
      </w:r>
      <w:r w:rsidRPr="00B707D6" w:rsidR="005E138D">
        <w:t>, or that</w:t>
      </w:r>
      <w:r w:rsidR="00290E2D">
        <w:t xml:space="preserve"> they </w:t>
      </w:r>
      <w:r w:rsidRPr="00B707D6" w:rsidR="00914D5E">
        <w:t>(2)</w:t>
      </w:r>
      <w:r w:rsidR="00372085">
        <w:t> </w:t>
      </w:r>
      <w:r w:rsidRPr="00B707D6" w:rsidR="005E138D">
        <w:t xml:space="preserve">definitively made it clear to Hoglund that they would not </w:t>
      </w:r>
      <w:r w:rsidRPr="00B707D6" w:rsidR="00914D5E">
        <w:t>address her complaints.  (</w:t>
      </w:r>
      <w:r w:rsidR="00B71CC8">
        <w:t xml:space="preserve">See </w:t>
      </w:r>
      <w:r w:rsidRPr="00041F59" w:rsidR="00A53C07">
        <w:rPr>
          <w:i/>
          <w:iCs/>
        </w:rPr>
        <w:t>I</w:t>
      </w:r>
      <w:r w:rsidRPr="00B707D6" w:rsidR="00914D5E">
        <w:rPr>
          <w:i/>
          <w:iCs/>
        </w:rPr>
        <w:t>bid.</w:t>
      </w:r>
      <w:r w:rsidRPr="00B707D6" w:rsidR="00914D5E">
        <w:t xml:space="preserve">)  </w:t>
      </w:r>
      <w:r w:rsidR="00290E2D">
        <w:t>To the contrary</w:t>
      </w:r>
      <w:r w:rsidRPr="00B707D6" w:rsidR="00914D5E">
        <w:t xml:space="preserve">; substantial evidence supports the finding that defendants neither resolved Hoglund’s issues nor communicated to Hoglund by acts or statements that they refused to do so.  Rather, Lucas and Plass listened to Hoglund’s concerns and either made suggestions to help Hoglund improve the issue, discussed Hoglund’s complaints with Horne, or promised </w:t>
      </w:r>
      <w:r w:rsidRPr="00B707D6" w:rsidR="007E5F56">
        <w:t>further action</w:t>
      </w:r>
      <w:r w:rsidRPr="00B707D6" w:rsidR="00914D5E">
        <w:t xml:space="preserve">.  </w:t>
      </w:r>
      <w:r w:rsidRPr="00B707D6" w:rsidR="00E93EA6">
        <w:t>Moreover</w:t>
      </w:r>
      <w:r w:rsidRPr="00B707D6" w:rsidR="007E5F56">
        <w:t>, while</w:t>
      </w:r>
      <w:r w:rsidRPr="00B707D6" w:rsidR="00914D5E">
        <w:t xml:space="preserve"> Hoglund eventually felt her efforts </w:t>
      </w:r>
      <w:r w:rsidRPr="00B707D6" w:rsidR="00E93EA6">
        <w:t>at</w:t>
      </w:r>
      <w:r w:rsidRPr="00B707D6" w:rsidR="00914D5E">
        <w:t xml:space="preserve"> </w:t>
      </w:r>
      <w:r w:rsidRPr="00B707D6" w:rsidR="00E93EA6">
        <w:t>a collegial relationship with Horn</w:t>
      </w:r>
      <w:r w:rsidRPr="00B707D6" w:rsidR="00914D5E">
        <w:t xml:space="preserve">e </w:t>
      </w:r>
      <w:r w:rsidRPr="00B707D6" w:rsidR="00E93EA6">
        <w:t>became</w:t>
      </w:r>
      <w:r w:rsidRPr="00B707D6" w:rsidR="00914D5E">
        <w:t xml:space="preserve"> “futile,” she “never lost faith” that the Hospital would put an end to Horne’s harassment and discrimination</w:t>
      </w:r>
      <w:r w:rsidRPr="00B707D6" w:rsidR="00E93EA6">
        <w:t xml:space="preserve">. </w:t>
      </w:r>
      <w:r w:rsidRPr="00B707D6" w:rsidR="00914D5E">
        <w:t xml:space="preserve"> </w:t>
      </w:r>
      <w:r w:rsidRPr="00B707D6" w:rsidR="00E93EA6">
        <w:t>S</w:t>
      </w:r>
      <w:r w:rsidRPr="00B707D6" w:rsidR="00914D5E">
        <w:t xml:space="preserve">he </w:t>
      </w:r>
      <w:r w:rsidRPr="00B707D6" w:rsidR="00E93EA6">
        <w:t xml:space="preserve">continued to </w:t>
      </w:r>
      <w:r w:rsidRPr="00B707D6" w:rsidR="00914D5E">
        <w:t>“hop</w:t>
      </w:r>
      <w:r w:rsidRPr="00B707D6" w:rsidR="00E93EA6">
        <w:t>e</w:t>
      </w:r>
      <w:r w:rsidRPr="00B707D6" w:rsidR="00914D5E">
        <w:t xml:space="preserve"> something would be done</w:t>
      </w:r>
      <w:r w:rsidRPr="00B707D6" w:rsidR="00E93EA6">
        <w:t>,</w:t>
      </w:r>
      <w:r w:rsidRPr="00B707D6" w:rsidR="00914D5E">
        <w:t xml:space="preserve">” </w:t>
      </w:r>
      <w:r w:rsidRPr="00B707D6" w:rsidR="00E93EA6">
        <w:t>aware that</w:t>
      </w:r>
      <w:r w:rsidRPr="00B707D6" w:rsidR="00914D5E">
        <w:t xml:space="preserve"> “the wheels upstairs roll really slow.”</w:t>
      </w:r>
      <w:r w:rsidRPr="00B707D6" w:rsidR="00F33145">
        <w:t xml:space="preserve"> </w:t>
      </w:r>
      <w:r w:rsidRPr="00B707D6" w:rsidR="00914D5E">
        <w:t xml:space="preserve"> </w:t>
      </w:r>
      <w:r w:rsidRPr="00B707D6" w:rsidR="00E93EA6">
        <w:t xml:space="preserve">This is consistent with the Hospital’s continued, albeit tepid and ineffective, engagement with Hoglund regarding her complaints.  </w:t>
      </w:r>
      <w:r w:rsidRPr="00B707D6" w:rsidR="00610888">
        <w:t xml:space="preserve">Thus, substantial evidence supports the trial court’s finding that the defendants’ actions had not acquired a degree of permanence.  (See </w:t>
      </w:r>
      <w:r w:rsidRPr="00B707D6" w:rsidR="00610888">
        <w:rPr>
          <w:i/>
          <w:iCs/>
        </w:rPr>
        <w:t>Blue Fountain</w:t>
      </w:r>
      <w:r w:rsidR="00B71CC8">
        <w:t xml:space="preserve"> </w:t>
      </w:r>
      <w:r w:rsidR="00B71CC8">
        <w:rPr>
          <w:i/>
          <w:iCs/>
        </w:rPr>
        <w:t xml:space="preserve">Pools </w:t>
      </w:r>
      <w:r w:rsidR="00C812CA">
        <w:rPr>
          <w:i/>
          <w:iCs/>
        </w:rPr>
        <w:t>&amp;</w:t>
      </w:r>
      <w:r w:rsidR="00B71CC8">
        <w:rPr>
          <w:i/>
          <w:iCs/>
        </w:rPr>
        <w:t xml:space="preserve"> Spas Inc. v. Superior Court of San Bernadino County </w:t>
      </w:r>
      <w:r w:rsidR="00B71CC8">
        <w:t>(2020) 53</w:t>
      </w:r>
      <w:r w:rsidR="00372085">
        <w:t> </w:t>
      </w:r>
      <w:r w:rsidR="00B71CC8">
        <w:t xml:space="preserve">Cal.App.5th 239, 253 </w:t>
      </w:r>
      <w:r w:rsidRPr="00B707D6" w:rsidR="00610888">
        <w:t xml:space="preserve">[permanence was a question of fact where the employer tried and failed to resolve the employee’s multiple complaints of sexual harassment, but did not “make clear </w:t>
      </w:r>
      <w:r w:rsidR="00B71CC8">
        <w:t>[</w:t>
      </w:r>
      <w:r w:rsidR="0037544C">
        <w:t xml:space="preserve"> </w:t>
      </w:r>
      <w:r w:rsidR="00B71CC8">
        <w:t xml:space="preserve">] </w:t>
      </w:r>
      <w:r w:rsidRPr="00B707D6" w:rsidR="00610888">
        <w:t>in a definitive manner” that their efforts to resolve it would cease].)</w:t>
      </w:r>
    </w:p>
    <w:p w:rsidR="00A56C4B" w:rsidRPr="00B707D6" w:rsidP="00D223EE" w14:paraId="370718FD" w14:textId="2D9C9765">
      <w:pPr>
        <w:ind w:firstLine="720"/>
      </w:pPr>
      <w:r w:rsidRPr="00B707D6">
        <w:t xml:space="preserve">The facts here are </w:t>
      </w:r>
      <w:r w:rsidRPr="00B707D6" w:rsidR="00020115">
        <w:t xml:space="preserve">distinguishable from the line of cases </w:t>
      </w:r>
      <w:r w:rsidRPr="00B707D6" w:rsidR="00020115">
        <w:rPr>
          <w:iCs/>
        </w:rPr>
        <w:t>finding permanence where the employer expressly and repeatedly denied the employee’s complaints,</w:t>
      </w:r>
      <w:r w:rsidR="00C13920">
        <w:rPr>
          <w:iCs/>
        </w:rPr>
        <w:t xml:space="preserve"> definitively</w:t>
      </w:r>
      <w:r w:rsidRPr="00B707D6" w:rsidR="00020115">
        <w:rPr>
          <w:iCs/>
        </w:rPr>
        <w:t xml:space="preserve"> stymying any prospect for resolution.  (See, e.g., </w:t>
      </w:r>
      <w:r w:rsidRPr="00B707D6">
        <w:rPr>
          <w:i/>
          <w:iCs/>
        </w:rPr>
        <w:t>Jumaane, supra,</w:t>
      </w:r>
      <w:r w:rsidRPr="00B707D6">
        <w:t xml:space="preserve"> 241 Cal.App.4th </w:t>
      </w:r>
      <w:r w:rsidR="00B71CC8">
        <w:t>at pp.</w:t>
      </w:r>
      <w:r w:rsidR="00372085">
        <w:t> </w:t>
      </w:r>
      <w:r w:rsidRPr="00B707D6" w:rsidR="00020115">
        <w:t>1403-1404 [</w:t>
      </w:r>
      <w:r w:rsidRPr="00B707D6" w:rsidR="00D223EE">
        <w:t xml:space="preserve">statute of limitations began </w:t>
      </w:r>
      <w:r w:rsidRPr="00B707D6" w:rsidR="00020115">
        <w:t xml:space="preserve">after </w:t>
      </w:r>
      <w:r w:rsidR="000646C1">
        <w:t xml:space="preserve">an </w:t>
      </w:r>
      <w:r w:rsidRPr="00B707D6" w:rsidR="00020115">
        <w:t>employee was suspended, his employer</w:t>
      </w:r>
      <w:r w:rsidRPr="00B707D6" w:rsidR="00D223EE">
        <w:t xml:space="preserve"> affirmatively denied his grievances, and the </w:t>
      </w:r>
      <w:r w:rsidRPr="00B707D6" w:rsidR="00020115">
        <w:t>employee</w:t>
      </w:r>
      <w:r w:rsidRPr="00B707D6" w:rsidR="00D223EE">
        <w:t xml:space="preserve"> </w:t>
      </w:r>
      <w:r w:rsidR="004B02F0">
        <w:t>knew</w:t>
      </w:r>
      <w:r w:rsidRPr="00B707D6" w:rsidR="00020115">
        <w:t xml:space="preserve"> </w:t>
      </w:r>
      <w:r w:rsidR="000646C1">
        <w:t xml:space="preserve">the </w:t>
      </w:r>
      <w:r w:rsidRPr="00B707D6" w:rsidR="00020115">
        <w:t>resolution was hopeless]</w:t>
      </w:r>
      <w:r w:rsidRPr="00B707D6" w:rsidR="00020115">
        <w:rPr>
          <w:iCs/>
        </w:rPr>
        <w:t xml:space="preserve">; </w:t>
      </w:r>
      <w:r w:rsidRPr="00B707D6" w:rsidR="00FB28D5">
        <w:rPr>
          <w:i/>
          <w:iCs/>
        </w:rPr>
        <w:t>Cucuzza v. City of Santa Clara</w:t>
      </w:r>
      <w:r w:rsidRPr="00B707D6" w:rsidR="00FB28D5">
        <w:t> (2002) 104 Cal.App.4th 1031, 1035-1037, 1042-1043 [</w:t>
      </w:r>
      <w:r w:rsidRPr="00B707D6" w:rsidR="00020115">
        <w:t>permanence established</w:t>
      </w:r>
      <w:r w:rsidRPr="00B707D6" w:rsidR="00FB28D5">
        <w:t xml:space="preserve"> after </w:t>
      </w:r>
      <w:r w:rsidR="00372085">
        <w:t xml:space="preserve">the </w:t>
      </w:r>
      <w:r w:rsidRPr="00B707D6" w:rsidR="00FB28D5">
        <w:t xml:space="preserve">supervisor </w:t>
      </w:r>
      <w:r w:rsidRPr="00B707D6" w:rsidR="00D223EE">
        <w:t xml:space="preserve">denied the </w:t>
      </w:r>
      <w:r w:rsidR="00530533">
        <w:t>employee’s</w:t>
      </w:r>
      <w:r w:rsidRPr="00B707D6" w:rsidR="00D223EE">
        <w:t xml:space="preserve"> request to work in a different job</w:t>
      </w:r>
      <w:r w:rsidR="00530533">
        <w:t>, offering only to transfer her out of the department</w:t>
      </w:r>
      <w:r w:rsidRPr="00B707D6" w:rsidR="00FB28D5">
        <w:t>]; </w:t>
      </w:r>
      <w:r w:rsidRPr="00B707D6" w:rsidR="00FB28D5">
        <w:rPr>
          <w:i/>
          <w:iCs/>
        </w:rPr>
        <w:t>Acuna v. San Diego Gas &amp; Electric Co.</w:t>
      </w:r>
      <w:r w:rsidRPr="00B707D6" w:rsidR="00FB28D5">
        <w:t xml:space="preserve"> (2013) 217 Cal.App.4th 1402, 1414-1415 [failure to accommodate claim became permanent </w:t>
      </w:r>
      <w:r w:rsidRPr="00B707D6" w:rsidR="00935ACD">
        <w:t>after the</w:t>
      </w:r>
      <w:r w:rsidRPr="00B707D6" w:rsidR="00FB28D5">
        <w:t xml:space="preserve"> employer denied </w:t>
      </w:r>
      <w:r w:rsidRPr="00B707D6" w:rsidR="00935ACD">
        <w:t xml:space="preserve">the employee’s </w:t>
      </w:r>
      <w:r w:rsidRPr="00B707D6" w:rsidR="00FB28D5">
        <w:t xml:space="preserve">accommodation request </w:t>
      </w:r>
      <w:r w:rsidRPr="00B707D6" w:rsidR="00935ACD">
        <w:t>and the employee</w:t>
      </w:r>
      <w:r w:rsidR="00530533">
        <w:t xml:space="preserve"> filed a DFEH complaint and</w:t>
      </w:r>
      <w:r w:rsidRPr="00B707D6" w:rsidR="00935ACD">
        <w:t xml:space="preserve"> hired an attorney</w:t>
      </w:r>
      <w:r w:rsidRPr="00B707D6" w:rsidR="00FB28D5">
        <w:t>].) </w:t>
      </w:r>
      <w:r w:rsidRPr="00B707D6" w:rsidR="00935ACD">
        <w:t xml:space="preserve"> Here, </w:t>
      </w:r>
      <w:r w:rsidRPr="00B707D6" w:rsidR="00020115">
        <w:t>unlike the foregoing cases</w:t>
      </w:r>
      <w:r w:rsidRPr="00B707D6" w:rsidR="00935ACD">
        <w:t xml:space="preserve">, the Hospital never denied a formal complaint by Hoglund, </w:t>
      </w:r>
      <w:r w:rsidR="00C13920">
        <w:t>n</w:t>
      </w:r>
      <w:r w:rsidRPr="00B707D6" w:rsidR="00935ACD">
        <w:t>or communicated a refusal to cooperate</w:t>
      </w:r>
      <w:r w:rsidRPr="00B707D6" w:rsidR="00C809E1">
        <w:t xml:space="preserve">; </w:t>
      </w:r>
      <w:r w:rsidRPr="00B707D6" w:rsidR="00610888">
        <w:t>in fact</w:t>
      </w:r>
      <w:r w:rsidRPr="00B707D6" w:rsidR="00C809E1">
        <w:t>, the Hospital</w:t>
      </w:r>
      <w:r w:rsidRPr="00B707D6" w:rsidR="00610888">
        <w:t xml:space="preserve"> </w:t>
      </w:r>
      <w:r w:rsidRPr="00B707D6" w:rsidR="00020115">
        <w:t xml:space="preserve">continued to listen to </w:t>
      </w:r>
      <w:r w:rsidRPr="00B707D6" w:rsidR="00610888">
        <w:t>Hoglund</w:t>
      </w:r>
      <w:r w:rsidRPr="00B707D6" w:rsidR="00020115">
        <w:t>’s complaints</w:t>
      </w:r>
      <w:r w:rsidRPr="00B707D6" w:rsidR="00610888">
        <w:t xml:space="preserve">, </w:t>
      </w:r>
      <w:r w:rsidRPr="00B707D6" w:rsidR="00020115">
        <w:t>albeit</w:t>
      </w:r>
      <w:r w:rsidRPr="00B707D6" w:rsidR="00610888">
        <w:t xml:space="preserve"> ineffectually.  </w:t>
      </w:r>
      <w:r w:rsidRPr="00B707D6" w:rsidR="00EE7571">
        <w:t>And</w:t>
      </w:r>
      <w:r w:rsidRPr="00B707D6" w:rsidR="00610888">
        <w:t xml:space="preserve"> </w:t>
      </w:r>
      <w:r w:rsidRPr="00B707D6" w:rsidR="00935ACD">
        <w:t xml:space="preserve">Hoglund </w:t>
      </w:r>
      <w:r w:rsidRPr="00B707D6" w:rsidR="00EE7571">
        <w:t xml:space="preserve">did not </w:t>
      </w:r>
      <w:r w:rsidRPr="00B707D6" w:rsidR="00935ACD">
        <w:t>give up on the prospect of resolution</w:t>
      </w:r>
      <w:r w:rsidRPr="00B707D6" w:rsidR="00020115">
        <w:t>.  We therefore</w:t>
      </w:r>
      <w:r w:rsidRPr="00B707D6" w:rsidR="007826B3">
        <w:t xml:space="preserve"> find no error in the trial court’s ruling that the continuing violation doctrine applies, and that her termination triggered the running of the statute of limitations.  Accordingly, </w:t>
      </w:r>
      <w:r w:rsidRPr="00B707D6" w:rsidR="006254B4">
        <w:t xml:space="preserve">the trial court properly </w:t>
      </w:r>
      <w:r w:rsidRPr="00B707D6" w:rsidR="007826B3">
        <w:t>consider</w:t>
      </w:r>
      <w:r w:rsidRPr="00B707D6" w:rsidR="006254B4">
        <w:t>ed</w:t>
      </w:r>
      <w:r w:rsidRPr="00B707D6" w:rsidR="007826B3">
        <w:t xml:space="preserve"> evidence of liability during the </w:t>
      </w:r>
      <w:r w:rsidRPr="00B707D6" w:rsidR="00EE7571">
        <w:t xml:space="preserve">entire </w:t>
      </w:r>
      <w:r w:rsidRPr="00B707D6" w:rsidR="007826B3">
        <w:t>course of Hoglund’s employment with the Hospital.</w:t>
      </w:r>
    </w:p>
    <w:p w:rsidR="001404EE" w:rsidRPr="00041F59" w:rsidP="00B640CB" w14:paraId="1D5F46F2" w14:textId="2CB25E81">
      <w:pPr>
        <w:keepNext/>
        <w:jc w:val="center"/>
      </w:pPr>
      <w:r w:rsidRPr="00041F59">
        <w:t>II</w:t>
      </w:r>
    </w:p>
    <w:p w:rsidR="001404EE" w:rsidRPr="00B707D6" w:rsidP="00B640CB" w14:paraId="19FA5AC1" w14:textId="69E4B2C4">
      <w:pPr>
        <w:keepNext/>
        <w:jc w:val="center"/>
        <w:rPr>
          <w:i/>
          <w:iCs/>
        </w:rPr>
      </w:pPr>
      <w:r w:rsidRPr="00B707D6">
        <w:rPr>
          <w:i/>
          <w:iCs/>
        </w:rPr>
        <w:t>Substantial Evidence</w:t>
      </w:r>
    </w:p>
    <w:p w:rsidR="00187206" w:rsidRPr="00B707D6" w:rsidP="009F0DDA" w14:paraId="75DD8A2F" w14:textId="707F4C63">
      <w:pPr>
        <w:ind w:firstLine="720"/>
      </w:pPr>
      <w:r w:rsidRPr="00B707D6">
        <w:t>Next, defendants contend that the trial court’s verdict for Hoglund is not supported by substantial evidence.</w:t>
      </w:r>
      <w:r w:rsidR="006E4848">
        <w:rPr>
          <w:szCs w:val="20"/>
        </w:rPr>
        <w:t xml:space="preserve"> </w:t>
      </w:r>
      <w:r w:rsidRPr="00B707D6">
        <w:t xml:space="preserve"> We do not hesitate </w:t>
      </w:r>
      <w:r w:rsidRPr="00B707D6" w:rsidR="00263AD5">
        <w:t>to conclude</w:t>
      </w:r>
      <w:r w:rsidRPr="00B707D6">
        <w:t xml:space="preserve"> that sufficient evidence supports the verdict.</w:t>
      </w:r>
    </w:p>
    <w:p w:rsidR="001A2F15" w:rsidRPr="00B707D6" w:rsidP="00B640CB" w14:paraId="7A565A9D" w14:textId="6B68B9A2">
      <w:pPr>
        <w:pStyle w:val="ListParagraph"/>
        <w:keepNext/>
        <w:numPr>
          <w:ilvl w:val="0"/>
          <w:numId w:val="1"/>
        </w:numPr>
        <w:rPr>
          <w:i/>
          <w:iCs/>
        </w:rPr>
      </w:pPr>
      <w:r w:rsidRPr="00B707D6">
        <w:rPr>
          <w:i/>
          <w:iCs/>
        </w:rPr>
        <w:t>FEHA Age Discrimination</w:t>
      </w:r>
    </w:p>
    <w:p w:rsidR="00647196" w:rsidRPr="00B707D6" w:rsidP="00F46875" w14:paraId="7826DC0C" w14:textId="659E2FA6">
      <w:pPr>
        <w:ind w:firstLine="720"/>
      </w:pPr>
      <w:r w:rsidRPr="00B707D6">
        <w:t>Under the FEHA, it is unlawful for an employer to discriminate against a person because of age.</w:t>
      </w:r>
      <w:r w:rsidRPr="00B707D6" w:rsidR="00263AD5">
        <w:t xml:space="preserve"> </w:t>
      </w:r>
      <w:r w:rsidRPr="00B707D6">
        <w:t xml:space="preserve"> (§ 12940, subd. (a).)</w:t>
      </w:r>
      <w:r w:rsidRPr="00B707D6" w:rsidR="00263AD5">
        <w:t xml:space="preserve"> </w:t>
      </w:r>
      <w:r w:rsidR="00127CA3">
        <w:t xml:space="preserve"> </w:t>
      </w:r>
      <w:r w:rsidRPr="00B707D6">
        <w:t xml:space="preserve">A plaintiff is in a protected class for purposes of an age discrimination lawsuit if he or she is 40 years of age or older. </w:t>
      </w:r>
      <w:r w:rsidRPr="00B707D6" w:rsidR="00263AD5">
        <w:t xml:space="preserve"> </w:t>
      </w:r>
      <w:r w:rsidRPr="00B707D6">
        <w:t>(§</w:t>
      </w:r>
      <w:r w:rsidR="003907DB">
        <w:t> </w:t>
      </w:r>
      <w:r w:rsidRPr="00B707D6">
        <w:t xml:space="preserve">12926, subd. (b); </w:t>
      </w:r>
      <w:r w:rsidRPr="00B707D6">
        <w:rPr>
          <w:i/>
          <w:iCs/>
        </w:rPr>
        <w:t>McCaskey v. California State Automobile Assn.</w:t>
      </w:r>
      <w:r w:rsidRPr="00B707D6">
        <w:t xml:space="preserve"> (2010) 189 Cal.App.4th 947, 978.)</w:t>
      </w:r>
      <w:r w:rsidRPr="00B707D6" w:rsidR="00F46875">
        <w:t xml:space="preserve">  </w:t>
      </w:r>
      <w:r w:rsidRPr="00B707D6">
        <w:t xml:space="preserve">An employee alleging age discrimination has the burden to prove at trial that an adverse employment action was taken because of his or her age. </w:t>
      </w:r>
      <w:r w:rsidRPr="00B707D6" w:rsidR="00F46875">
        <w:t xml:space="preserve"> </w:t>
      </w:r>
      <w:r w:rsidRPr="00B707D6">
        <w:t>(</w:t>
      </w:r>
      <w:r w:rsidRPr="00B707D6">
        <w:rPr>
          <w:i/>
          <w:iCs/>
        </w:rPr>
        <w:t>Hersant v. Department of Social Services</w:t>
      </w:r>
      <w:r w:rsidRPr="00B707D6">
        <w:t xml:space="preserve"> (1997) 57 Cal.App.4th 997, 1002.)</w:t>
      </w:r>
      <w:r w:rsidRPr="00B707D6" w:rsidR="00263AD5">
        <w:t xml:space="preserve"> </w:t>
      </w:r>
      <w:r w:rsidRPr="00B707D6">
        <w:t xml:space="preserve"> “The phrase ‘because of’ means there must be a causal link between the employer’s consideration of [the] protected characteristic and the [adverse] action taken by the employer.”</w:t>
      </w:r>
      <w:r w:rsidRPr="00B707D6" w:rsidR="00263AD5">
        <w:t xml:space="preserve"> </w:t>
      </w:r>
      <w:r w:rsidRPr="00B707D6">
        <w:t xml:space="preserve"> (</w:t>
      </w:r>
      <w:r w:rsidRPr="00B707D6">
        <w:rPr>
          <w:i/>
          <w:iCs/>
        </w:rPr>
        <w:t>Harris v. City of Santa Monica</w:t>
      </w:r>
      <w:r w:rsidRPr="00B707D6">
        <w:t xml:space="preserve"> (2013) 56 Cal.4th 203, 215.)</w:t>
      </w:r>
    </w:p>
    <w:p w:rsidR="00647196" w:rsidRPr="00B707D6" w:rsidP="00263AD5" w14:paraId="05D4A78F" w14:textId="57664C0D">
      <w:pPr>
        <w:ind w:firstLine="720"/>
      </w:pPr>
      <w:r w:rsidRPr="00B707D6">
        <w:t xml:space="preserve">An employee can prove a FEHA violation in one of two ways: </w:t>
      </w:r>
      <w:r w:rsidR="008D209D">
        <w:t xml:space="preserve"> </w:t>
      </w:r>
      <w:r w:rsidR="006E090B">
        <w:t>b</w:t>
      </w:r>
      <w:r w:rsidRPr="00B707D6">
        <w:t>y direct evidence of intentional discrimination or by circumstantial evidence.</w:t>
      </w:r>
      <w:r w:rsidRPr="00B707D6" w:rsidR="00F46875">
        <w:t xml:space="preserve"> </w:t>
      </w:r>
      <w:r w:rsidRPr="00B707D6" w:rsidR="001A2F15">
        <w:t xml:space="preserve"> </w:t>
      </w:r>
      <w:r w:rsidRPr="00B707D6">
        <w:t>(</w:t>
      </w:r>
      <w:r w:rsidRPr="00B707D6" w:rsidR="00B02B6D">
        <w:rPr>
          <w:i/>
          <w:iCs/>
        </w:rPr>
        <w:t xml:space="preserve">DeJung v. Superior Court </w:t>
      </w:r>
      <w:r w:rsidR="005B3033">
        <w:rPr>
          <w:i/>
          <w:iCs/>
        </w:rPr>
        <w:t xml:space="preserve">of Sonoma County </w:t>
      </w:r>
      <w:r w:rsidRPr="00B707D6" w:rsidR="00B02B6D">
        <w:t>(2008) 169 Cal.App.4th 533, 5</w:t>
      </w:r>
      <w:r w:rsidRPr="00B707D6">
        <w:t>49</w:t>
      </w:r>
      <w:r w:rsidRPr="00B707D6" w:rsidR="00A5436A">
        <w:t xml:space="preserve"> (</w:t>
      </w:r>
      <w:r w:rsidRPr="00B707D6" w:rsidR="00A5436A">
        <w:rPr>
          <w:i/>
          <w:iCs/>
        </w:rPr>
        <w:t>DeJung</w:t>
      </w:r>
      <w:r w:rsidRPr="00B707D6" w:rsidR="00A5436A">
        <w:t>)</w:t>
      </w:r>
      <w:r w:rsidRPr="00B707D6">
        <w:t>.)</w:t>
      </w:r>
      <w:r w:rsidRPr="00B707D6" w:rsidR="00F46875">
        <w:t xml:space="preserve"> </w:t>
      </w:r>
      <w:r w:rsidRPr="00B707D6">
        <w:t xml:space="preserve"> Because direct evidence of intentional discrimination is seldom available, California courts use the burden-shifting test established by the United States Supreme Court in </w:t>
      </w:r>
      <w:r w:rsidRPr="00B707D6">
        <w:rPr>
          <w:i/>
          <w:iCs/>
        </w:rPr>
        <w:t>McDonnell Douglas Corp. v. Green</w:t>
      </w:r>
      <w:r w:rsidRPr="00B707D6">
        <w:t xml:space="preserve"> (1973) 411 U.S. 792 [36 L.Ed.2d 668] (</w:t>
      </w:r>
      <w:r w:rsidRPr="00B707D6">
        <w:rPr>
          <w:i/>
          <w:iCs/>
        </w:rPr>
        <w:t>McDonnell Douglas</w:t>
      </w:r>
      <w:r w:rsidRPr="00B707D6">
        <w:t>) as an aid for trying claims of discrimination based on circumstantial evidence.</w:t>
      </w:r>
      <w:r w:rsidRPr="00B707D6" w:rsidR="001A2F15">
        <w:t xml:space="preserve"> </w:t>
      </w:r>
      <w:r w:rsidRPr="00B707D6">
        <w:t xml:space="preserve"> (</w:t>
      </w:r>
      <w:r w:rsidRPr="00B707D6">
        <w:rPr>
          <w:i/>
          <w:iCs/>
        </w:rPr>
        <w:t>Guz</w:t>
      </w:r>
      <w:r w:rsidRPr="00B707D6" w:rsidR="00B02B6D">
        <w:rPr>
          <w:i/>
          <w:iCs/>
        </w:rPr>
        <w:t xml:space="preserve"> v. Bechtel Nat. Inc.</w:t>
      </w:r>
      <w:r w:rsidRPr="00B707D6">
        <w:t xml:space="preserve"> </w:t>
      </w:r>
      <w:r w:rsidRPr="00B707D6" w:rsidR="00B02B6D">
        <w:t xml:space="preserve">(2000) </w:t>
      </w:r>
      <w:r w:rsidRPr="00B707D6">
        <w:t xml:space="preserve">24 Cal.4th </w:t>
      </w:r>
      <w:r w:rsidRPr="00B707D6" w:rsidR="00B02B6D">
        <w:t>317,</w:t>
      </w:r>
      <w:r w:rsidRPr="00B707D6">
        <w:t xml:space="preserve"> 354</w:t>
      </w:r>
      <w:r w:rsidRPr="00B707D6" w:rsidR="00B02B6D">
        <w:t xml:space="preserve"> (</w:t>
      </w:r>
      <w:r w:rsidRPr="00B707D6" w:rsidR="00B02B6D">
        <w:rPr>
          <w:i/>
          <w:iCs/>
        </w:rPr>
        <w:t>Guz</w:t>
      </w:r>
      <w:r w:rsidRPr="00B707D6" w:rsidR="00B02B6D">
        <w:t>)</w:t>
      </w:r>
      <w:r w:rsidRPr="00B707D6">
        <w:t>.)</w:t>
      </w:r>
    </w:p>
    <w:p w:rsidR="00647196" w:rsidRPr="00B707D6" w:rsidP="00263AD5" w14:paraId="4A2CBB57" w14:textId="61BA880B">
      <w:pPr>
        <w:ind w:firstLine="720"/>
      </w:pPr>
      <w:r w:rsidRPr="00B707D6">
        <w:t xml:space="preserve">Under the </w:t>
      </w:r>
      <w:r w:rsidRPr="00B707D6">
        <w:rPr>
          <w:i/>
          <w:iCs/>
        </w:rPr>
        <w:t>McDonnell Douglas</w:t>
      </w:r>
      <w:r w:rsidRPr="00B707D6">
        <w:t xml:space="preserve"> test, the plaintiff has the initial burden at trial to establish a prima facie case of age discrimination.</w:t>
      </w:r>
      <w:r w:rsidRPr="00B707D6" w:rsidR="001A2F15">
        <w:t xml:space="preserve"> </w:t>
      </w:r>
      <w:r w:rsidRPr="00B707D6">
        <w:t xml:space="preserve"> (</w:t>
      </w:r>
      <w:r w:rsidRPr="00B707D6">
        <w:rPr>
          <w:i/>
          <w:iCs/>
        </w:rPr>
        <w:t>Guz</w:t>
      </w:r>
      <w:r w:rsidRPr="00041F59">
        <w:rPr>
          <w:i/>
          <w:iCs/>
        </w:rPr>
        <w:t>,</w:t>
      </w:r>
      <w:r w:rsidRPr="00B707D6">
        <w:t xml:space="preserve"> </w:t>
      </w:r>
      <w:r w:rsidRPr="00B707D6">
        <w:rPr>
          <w:i/>
          <w:iCs/>
        </w:rPr>
        <w:t>supra</w:t>
      </w:r>
      <w:r w:rsidRPr="00B707D6">
        <w:t xml:space="preserve">, 24 Cal.4th at p. 354.) </w:t>
      </w:r>
      <w:r w:rsidRPr="00B707D6" w:rsidR="00263AD5">
        <w:t xml:space="preserve"> This requires a</w:t>
      </w:r>
      <w:r w:rsidRPr="00B707D6">
        <w:t xml:space="preserve"> showing that</w:t>
      </w:r>
      <w:r w:rsidR="005C31D4">
        <w:t xml:space="preserve">: </w:t>
      </w:r>
      <w:r w:rsidRPr="00B707D6">
        <w:t xml:space="preserve"> (1)</w:t>
      </w:r>
      <w:r w:rsidR="008F619E">
        <w:t> </w:t>
      </w:r>
      <w:r w:rsidRPr="00B707D6">
        <w:t>the plaintiff was a member of a protected class; (2)</w:t>
      </w:r>
      <w:r w:rsidR="008F619E">
        <w:t> </w:t>
      </w:r>
      <w:r w:rsidRPr="00B707D6">
        <w:t>the plaintiff was qualified for the position sought or was performing competently in the position held; (3)</w:t>
      </w:r>
      <w:r w:rsidR="008F619E">
        <w:t> </w:t>
      </w:r>
      <w:r w:rsidRPr="00B707D6">
        <w:t>the plaintiff suffered an adverse employment action; and (4)</w:t>
      </w:r>
      <w:r w:rsidR="008F619E">
        <w:t> </w:t>
      </w:r>
      <w:r w:rsidRPr="00B707D6">
        <w:t>the adverse action occurred under some circumstance suggesting discriminatory motive (such as the employee was replaced in his or her position by a significantly younger person).</w:t>
      </w:r>
      <w:r w:rsidRPr="00B707D6" w:rsidR="00263AD5">
        <w:t xml:space="preserve"> </w:t>
      </w:r>
      <w:r w:rsidRPr="00B707D6">
        <w:t xml:space="preserve"> (</w:t>
      </w:r>
      <w:r w:rsidRPr="00B707D6">
        <w:rPr>
          <w:i/>
          <w:iCs/>
        </w:rPr>
        <w:t>Id.</w:t>
      </w:r>
      <w:r w:rsidRPr="00B707D6" w:rsidR="00263AD5">
        <w:rPr>
          <w:i/>
          <w:iCs/>
        </w:rPr>
        <w:t xml:space="preserve"> </w:t>
      </w:r>
      <w:r w:rsidRPr="00B707D6" w:rsidR="00263AD5">
        <w:t>at p.</w:t>
      </w:r>
      <w:r w:rsidR="009F0DDA">
        <w:t> </w:t>
      </w:r>
      <w:r w:rsidRPr="00B707D6" w:rsidR="00263AD5">
        <w:t>355</w:t>
      </w:r>
      <w:r w:rsidRPr="00B707D6">
        <w:t>.)</w:t>
      </w:r>
    </w:p>
    <w:p w:rsidR="00417097" w:rsidRPr="00B707D6" w:rsidP="00F14948" w14:paraId="557F39E5" w14:textId="3702D46B">
      <w:pPr>
        <w:ind w:firstLine="720"/>
      </w:pPr>
      <w:r w:rsidRPr="00B707D6">
        <w:t xml:space="preserve">If the plaintiff establishes a prima facie case, a rebuttable presumption of discrimination arises, and the burden shifts to the employer to produce evidence which, </w:t>
      </w:r>
      <w:r w:rsidR="00C13920">
        <w:t xml:space="preserve">if </w:t>
      </w:r>
      <w:r w:rsidRPr="00B707D6">
        <w:t xml:space="preserve">taken as true, would justify a judgment for the employer that the adverse employment action was taken for a legitimate, nondiscriminatory reason. </w:t>
      </w:r>
      <w:r w:rsidRPr="00B707D6" w:rsidR="00263AD5">
        <w:t xml:space="preserve"> </w:t>
      </w:r>
      <w:r w:rsidRPr="00B707D6">
        <w:t>(</w:t>
      </w:r>
      <w:r w:rsidRPr="00B707D6">
        <w:rPr>
          <w:i/>
          <w:iCs/>
        </w:rPr>
        <w:t>Guz</w:t>
      </w:r>
      <w:r w:rsidRPr="00041F59">
        <w:rPr>
          <w:i/>
          <w:iCs/>
        </w:rPr>
        <w:t>,</w:t>
      </w:r>
      <w:r w:rsidRPr="00B707D6">
        <w:t xml:space="preserve"> </w:t>
      </w:r>
      <w:r w:rsidRPr="00B707D6">
        <w:rPr>
          <w:i/>
          <w:iCs/>
        </w:rPr>
        <w:t>supra</w:t>
      </w:r>
      <w:r w:rsidRPr="00B707D6">
        <w:t>, 24 Cal.4th at pp. 355-356.)</w:t>
      </w:r>
      <w:r w:rsidRPr="00B707D6" w:rsidR="00263AD5">
        <w:t xml:space="preserve">  </w:t>
      </w:r>
      <w:r w:rsidRPr="00B707D6">
        <w:t xml:space="preserve">If the employer sustains its burden, the presumption of discrimination drops from the case and the burden shifts back to the employee to </w:t>
      </w:r>
      <w:r w:rsidRPr="00B707D6" w:rsidR="00263AD5">
        <w:t xml:space="preserve">prove the stated reason was </w:t>
      </w:r>
      <w:r w:rsidR="000646C1">
        <w:t xml:space="preserve">a </w:t>
      </w:r>
      <w:r w:rsidRPr="00B707D6" w:rsidR="00263AD5">
        <w:t>pretext to disguise illegal discrimination</w:t>
      </w:r>
      <w:r w:rsidRPr="00B707D6">
        <w:t xml:space="preserve">. </w:t>
      </w:r>
      <w:r w:rsidRPr="00B707D6" w:rsidR="00263AD5">
        <w:t xml:space="preserve"> </w:t>
      </w:r>
      <w:r w:rsidRPr="00B707D6">
        <w:t>(</w:t>
      </w:r>
      <w:r w:rsidRPr="00B707D6">
        <w:rPr>
          <w:i/>
          <w:iCs/>
        </w:rPr>
        <w:t>Guz</w:t>
      </w:r>
      <w:r w:rsidRPr="00B707D6">
        <w:t xml:space="preserve">, at pp. 356, 361; </w:t>
      </w:r>
      <w:r w:rsidRPr="00B707D6">
        <w:rPr>
          <w:i/>
          <w:iCs/>
        </w:rPr>
        <w:t>Clark v. Claremont University Center</w:t>
      </w:r>
      <w:r w:rsidRPr="00B707D6">
        <w:t xml:space="preserve"> (1992) 6 Cal.App.4th 639, 664</w:t>
      </w:r>
      <w:r w:rsidR="0099622E">
        <w:t xml:space="preserve"> (</w:t>
      </w:r>
      <w:r w:rsidR="0099622E">
        <w:rPr>
          <w:i/>
          <w:iCs/>
        </w:rPr>
        <w:t>Clark</w:t>
      </w:r>
      <w:r w:rsidR="0099622E">
        <w:t>)</w:t>
      </w:r>
      <w:r w:rsidRPr="00B707D6" w:rsidR="00263AD5">
        <w:t xml:space="preserve">.)  </w:t>
      </w:r>
      <w:r w:rsidRPr="00B707D6">
        <w:t xml:space="preserve">At trial, a plaintiff may show pretext either directly, by showing that unlawful discrimination more likely than not motivated the employer, or indirectly, by showing that the employer’s proffered explanation is “unworthy of credence.” </w:t>
      </w:r>
      <w:r w:rsidRPr="00B707D6" w:rsidR="00263AD5">
        <w:t xml:space="preserve"> </w:t>
      </w:r>
      <w:r w:rsidRPr="00B707D6">
        <w:t>(</w:t>
      </w:r>
      <w:r w:rsidRPr="00B707D6">
        <w:rPr>
          <w:i/>
          <w:iCs/>
        </w:rPr>
        <w:t>DeJung</w:t>
      </w:r>
      <w:r w:rsidRPr="00041F59" w:rsidR="00B02B6D">
        <w:rPr>
          <w:i/>
          <w:iCs/>
        </w:rPr>
        <w:t>,</w:t>
      </w:r>
      <w:r w:rsidRPr="00B707D6" w:rsidR="00B02B6D">
        <w:rPr>
          <w:i/>
          <w:iCs/>
        </w:rPr>
        <w:t xml:space="preserve"> supra</w:t>
      </w:r>
      <w:r w:rsidRPr="00B707D6" w:rsidR="00B02B6D">
        <w:t xml:space="preserve">, </w:t>
      </w:r>
      <w:r w:rsidRPr="00B707D6">
        <w:t xml:space="preserve">169 Cal.App.4th </w:t>
      </w:r>
      <w:r w:rsidRPr="00B707D6" w:rsidR="00B02B6D">
        <w:t>at p.</w:t>
      </w:r>
      <w:r w:rsidRPr="00B707D6">
        <w:t xml:space="preserve"> 553; </w:t>
      </w:r>
      <w:r w:rsidRPr="00B707D6">
        <w:rPr>
          <w:i/>
          <w:iCs/>
        </w:rPr>
        <w:t>Clark,</w:t>
      </w:r>
      <w:r w:rsidRPr="00B707D6">
        <w:t xml:space="preserve"> </w:t>
      </w:r>
      <w:r w:rsidRPr="00041F59" w:rsidR="0099622E">
        <w:rPr>
          <w:i/>
          <w:iCs/>
        </w:rPr>
        <w:t>supra</w:t>
      </w:r>
      <w:r w:rsidR="0099622E">
        <w:t xml:space="preserve">, 6 Cal.App.4th </w:t>
      </w:r>
      <w:r w:rsidRPr="0099622E">
        <w:t>at</w:t>
      </w:r>
      <w:r w:rsidRPr="00B707D6">
        <w:t xml:space="preserve"> pp. 664-665.)</w:t>
      </w:r>
      <w:r w:rsidRPr="00B707D6" w:rsidR="00A27C63">
        <w:t xml:space="preserve">  “</w:t>
      </w:r>
      <w:r w:rsidR="00160E4E">
        <w:t> ‘</w:t>
      </w:r>
      <w:r w:rsidRPr="00B707D6" w:rsidR="00A27C63">
        <w:t>Pretext may .</w:t>
      </w:r>
      <w:r w:rsidR="00EB4CD4">
        <w:t> </w:t>
      </w:r>
      <w:r w:rsidRPr="00B707D6" w:rsidR="00A27C63">
        <w:t>.</w:t>
      </w:r>
      <w:r w:rsidR="00EB4CD4">
        <w:t> </w:t>
      </w:r>
      <w:r w:rsidRPr="00B707D6" w:rsidR="00A27C63">
        <w:t>.</w:t>
      </w:r>
      <w:r w:rsidR="00EB4CD4">
        <w:t> </w:t>
      </w:r>
      <w:r w:rsidRPr="00B707D6" w:rsidR="00A27C63">
        <w:t>be inferred from the timing of the company’s termination decision, by the identity of the person making the decision, and by the terminated employee’s job performance before termination.</w:t>
      </w:r>
      <w:r w:rsidR="00160E4E">
        <w:t>’ </w:t>
      </w:r>
      <w:r w:rsidRPr="00B707D6" w:rsidR="00A27C63">
        <w:t>”  (</w:t>
      </w:r>
      <w:r w:rsidRPr="00B707D6" w:rsidR="00A27C63">
        <w:rPr>
          <w:i/>
          <w:iCs/>
        </w:rPr>
        <w:t>Nazir v. United Airlines, Inc</w:t>
      </w:r>
      <w:r w:rsidRPr="00B707D6" w:rsidR="00A27C63">
        <w:t xml:space="preserve">. (2009) 178 Cal.App.4th 243, </w:t>
      </w:r>
      <w:r w:rsidR="005E3877">
        <w:t>271-</w:t>
      </w:r>
      <w:r w:rsidRPr="00B707D6" w:rsidR="00A27C63">
        <w:t>272.)</w:t>
      </w:r>
      <w:r w:rsidRPr="00B707D6" w:rsidR="00821710">
        <w:t xml:space="preserve">  </w:t>
      </w:r>
      <w:r w:rsidRPr="00B707D6">
        <w:t>Alternatively, a plaintiff may prove “mixed motives,” by showing that there was a “mix of discriminatory and legitimate reasons” that motivated the employment decision, but that discrimination was a substantial motivating factor for the adverse action.  (</w:t>
      </w:r>
      <w:r w:rsidRPr="00B707D6">
        <w:rPr>
          <w:i/>
          <w:iCs/>
        </w:rPr>
        <w:t>Harris</w:t>
      </w:r>
      <w:r w:rsidR="00932B25">
        <w:rPr>
          <w:i/>
          <w:iCs/>
        </w:rPr>
        <w:t xml:space="preserve"> </w:t>
      </w:r>
      <w:r w:rsidRPr="00B707D6" w:rsidR="00932B25">
        <w:rPr>
          <w:i/>
          <w:iCs/>
        </w:rPr>
        <w:t>v. City of Santa Monica</w:t>
      </w:r>
      <w:r w:rsidRPr="00B707D6">
        <w:rPr>
          <w:i/>
          <w:iCs/>
        </w:rPr>
        <w:t xml:space="preserve">, supra, </w:t>
      </w:r>
      <w:r w:rsidRPr="00B707D6">
        <w:t>56 Cal.4th at p</w:t>
      </w:r>
      <w:r w:rsidR="00A3788B">
        <w:t>p</w:t>
      </w:r>
      <w:r w:rsidRPr="00B707D6">
        <w:t>.</w:t>
      </w:r>
      <w:r w:rsidR="009F0DDA">
        <w:t> </w:t>
      </w:r>
      <w:r w:rsidRPr="00B707D6">
        <w:t>215, 232.)</w:t>
      </w:r>
    </w:p>
    <w:p w:rsidR="008B1EB2" w:rsidRPr="00B707D6" w:rsidP="00263AD5" w14:paraId="6C7E344D" w14:textId="0F84DD24">
      <w:pPr>
        <w:ind w:firstLine="720"/>
      </w:pPr>
      <w:r w:rsidRPr="00B707D6">
        <w:t>We review Hoglund’s FEHA and wrongful termination claims for substantial evidence.  (</w:t>
      </w:r>
      <w:r w:rsidRPr="00B707D6">
        <w:rPr>
          <w:i/>
          <w:iCs/>
        </w:rPr>
        <w:t xml:space="preserve">Schmidt v. Superior Court </w:t>
      </w:r>
      <w:r w:rsidR="00B20AC0">
        <w:rPr>
          <w:i/>
          <w:iCs/>
        </w:rPr>
        <w:t xml:space="preserve">of Ventura County </w:t>
      </w:r>
      <w:r w:rsidRPr="00B707D6">
        <w:t>(2020) 44 Cal.App.5th 570, 581</w:t>
      </w:r>
      <w:r w:rsidR="005E3877">
        <w:t>-582</w:t>
      </w:r>
      <w:r w:rsidRPr="00B707D6">
        <w:t>.)  In doing</w:t>
      </w:r>
      <w:r w:rsidR="005E3877">
        <w:t xml:space="preserve"> </w:t>
      </w:r>
      <w:r w:rsidRPr="00B707D6">
        <w:t>so, we accept all evidence in support of the judgment, draw all reasonable inferences to affirm the judgment, and may not reweigh the evidence.  (</w:t>
      </w:r>
      <w:r w:rsidRPr="00B707D6">
        <w:rPr>
          <w:i/>
          <w:iCs/>
        </w:rPr>
        <w:t>Ibid.</w:t>
      </w:r>
      <w:r w:rsidRPr="00B707D6">
        <w:t>)</w:t>
      </w:r>
    </w:p>
    <w:p w:rsidR="001A2F15" w:rsidRPr="00B707D6" w:rsidP="00B640CB" w14:paraId="75B409B0" w14:textId="1859E547">
      <w:pPr>
        <w:ind w:firstLine="720"/>
      </w:pPr>
      <w:r w:rsidRPr="00B707D6">
        <w:t xml:space="preserve">Defendants do not challenge that Hoglund was over </w:t>
      </w:r>
      <w:r w:rsidR="008E4759">
        <w:t xml:space="preserve">the age of </w:t>
      </w:r>
      <w:r w:rsidRPr="00B707D6">
        <w:t>40, was qualified for her job</w:t>
      </w:r>
      <w:r w:rsidR="000646C1">
        <w:t>,</w:t>
      </w:r>
      <w:r w:rsidRPr="00B707D6">
        <w:t xml:space="preserve"> and performing competently, or that her termination was an adverse employment action.  </w:t>
      </w:r>
      <w:r w:rsidRPr="00B707D6" w:rsidR="0006637A">
        <w:t>They solely</w:t>
      </w:r>
      <w:r w:rsidRPr="00B707D6">
        <w:t xml:space="preserve"> dispute the trial court’s finding that Hoglund was terminated based on her age, contending the record is devoid of any such evidence.  However, while defendants point to testimony from Hoglund and others that do no</w:t>
      </w:r>
      <w:r w:rsidR="00E55465">
        <w:t>t</w:t>
      </w:r>
      <w:r w:rsidRPr="00B707D6">
        <w:t xml:space="preserve"> mention age discrimination, defendants ignore the substantial evidence </w:t>
      </w:r>
      <w:r w:rsidR="000646C1">
        <w:t>that</w:t>
      </w:r>
      <w:r w:rsidRPr="00B707D6">
        <w:t xml:space="preserve"> </w:t>
      </w:r>
      <w:r w:rsidRPr="00B707D6">
        <w:rPr>
          <w:i/>
          <w:iCs/>
        </w:rPr>
        <w:t>does</w:t>
      </w:r>
      <w:r w:rsidRPr="00B707D6">
        <w:t xml:space="preserve"> support a finding of discriminatory motive</w:t>
      </w:r>
      <w:r w:rsidRPr="00B707D6" w:rsidR="00D77197">
        <w:t>, and evidence of pretext</w:t>
      </w:r>
      <w:r w:rsidRPr="00B707D6">
        <w:t>.</w:t>
      </w:r>
      <w:r>
        <w:rPr>
          <w:rStyle w:val="FootnoteReference"/>
          <w:szCs w:val="20"/>
        </w:rPr>
        <w:footnoteReference w:id="5"/>
      </w:r>
    </w:p>
    <w:p w:rsidR="00883494" w:rsidRPr="00B707D6" w:rsidP="00B640CB" w14:paraId="38D3B5A8" w14:textId="6A82E19E">
      <w:pPr>
        <w:ind w:firstLine="720"/>
      </w:pPr>
      <w:r w:rsidRPr="00B707D6">
        <w:t xml:space="preserve">First, Hoglund presented copious evidence of Horne’s age discrimination.  Horne criticized Hoglund’s appearance as old-fashioned and dowdy.  She repeatedly asked Hoglund when she would retire, saying Hoglund had been there since the dark ages and knew where all the bodies were buried.  Horne asserted that she wanted to hire “babies” because they are easier to train, and </w:t>
      </w:r>
      <w:r w:rsidRPr="00B707D6" w:rsidR="00F46875">
        <w:t xml:space="preserve">she </w:t>
      </w:r>
      <w:r w:rsidRPr="00B707D6">
        <w:t xml:space="preserve">chose to train Prout on the new computer program </w:t>
      </w:r>
      <w:r w:rsidR="001B6105">
        <w:t xml:space="preserve">in part </w:t>
      </w:r>
      <w:r w:rsidRPr="00B707D6">
        <w:t xml:space="preserve">because </w:t>
      </w:r>
      <w:r w:rsidR="001B6105">
        <w:t xml:space="preserve">she believed </w:t>
      </w:r>
      <w:r w:rsidRPr="00B707D6">
        <w:t xml:space="preserve">young people are easier to train.  When Hoglund asked for a more convenient workspace, </w:t>
      </w:r>
      <w:r w:rsidR="001B6105">
        <w:t xml:space="preserve">because Horne had deprived her of an adequate </w:t>
      </w:r>
      <w:r w:rsidR="00F812CB">
        <w:t>workstation</w:t>
      </w:r>
      <w:r w:rsidR="001B6105">
        <w:t xml:space="preserve">, </w:t>
      </w:r>
      <w:r w:rsidRPr="00B707D6">
        <w:t xml:space="preserve">Horne remarked that maybe Hoglund was “too old to be running around.”  Upon Hoglund’s return from leave, Horne said she was surprised Hoglund </w:t>
      </w:r>
      <w:r w:rsidR="009F0DDA">
        <w:t xml:space="preserve">did not </w:t>
      </w:r>
      <w:r w:rsidRPr="00B707D6">
        <w:t xml:space="preserve">just retire because she was not really needed, and continued to say it was time for “new blood” and she should have just retired.  Horne expressed sympathy for the younger employees who were fired because they had families, and laughed when Hoglund said older employees might also struggle.  Hoglund considered these constant comments to be ageist and offensive, telling both Plass and Lucas that she believed Horne sought to push her out due to her age.  Horne’s statements and actions towards Hoglund are substantial evidence of </w:t>
      </w:r>
      <w:r w:rsidRPr="00B707D6" w:rsidR="00640314">
        <w:t>discriminatory animus towards Hoglund based on her age</w:t>
      </w:r>
      <w:r w:rsidRPr="00B707D6">
        <w:t>.</w:t>
      </w:r>
      <w:r w:rsidRPr="00B707D6" w:rsidR="009938E5">
        <w:t xml:space="preserve">  (See, e.g. </w:t>
      </w:r>
      <w:r w:rsidRPr="00B707D6" w:rsidR="009938E5">
        <w:rPr>
          <w:i/>
          <w:iCs/>
        </w:rPr>
        <w:t xml:space="preserve">Chearl v. El Camino Hospital </w:t>
      </w:r>
      <w:r w:rsidRPr="00B707D6" w:rsidR="009938E5">
        <w:t>(2014) 223 Cal.App.4th 736</w:t>
      </w:r>
      <w:r w:rsidRPr="00B707D6" w:rsidR="001C066D">
        <w:t>, 755 [supervisor’s statement that she preferred younger workers provided “ample basis” of discriminatory animus against older workers].)</w:t>
      </w:r>
    </w:p>
    <w:p w:rsidR="00255FFD" w:rsidRPr="00B707D6" w:rsidP="00B640CB" w14:paraId="51EC96BE" w14:textId="41388FB4">
      <w:pPr>
        <w:ind w:firstLine="720"/>
      </w:pPr>
      <w:r w:rsidRPr="00B707D6">
        <w:t xml:space="preserve">Next, the record supports the </w:t>
      </w:r>
      <w:r w:rsidRPr="00B707D6" w:rsidR="00F46875">
        <w:t xml:space="preserve">trial court’s </w:t>
      </w:r>
      <w:r w:rsidRPr="00B707D6">
        <w:t xml:space="preserve">finding that Hoglund was terminated due to Horne’s discrimination, and that defendants asserted legitimate basis for firing Hoglund was pretextual.  We initially reject defendants’ contention that Plass and Plass alone decided to terminate Hoglund, such that Horne’s discrimination could not </w:t>
      </w:r>
      <w:r w:rsidRPr="00B707D6" w:rsidR="003F138A">
        <w:t>have motivated</w:t>
      </w:r>
      <w:r w:rsidRPr="00B707D6">
        <w:t xml:space="preserve"> the adverse action.  This argument is neither </w:t>
      </w:r>
      <w:r w:rsidR="005E3877">
        <w:t>s</w:t>
      </w:r>
      <w:r w:rsidRPr="00B707D6">
        <w:t>upported by the law nor the evidence.</w:t>
      </w:r>
    </w:p>
    <w:p w:rsidR="001C066D" w:rsidRPr="00B707D6" w:rsidP="00255FFD" w14:paraId="119FA84E" w14:textId="2DF01CD7">
      <w:pPr>
        <w:ind w:firstLine="720"/>
      </w:pPr>
      <w:r w:rsidRPr="00B707D6">
        <w:t xml:space="preserve">Here, the </w:t>
      </w:r>
      <w:r w:rsidR="00C14890">
        <w:t xml:space="preserve">trial </w:t>
      </w:r>
      <w:r w:rsidRPr="00B707D6">
        <w:t xml:space="preserve">court could find Horne’s </w:t>
      </w:r>
      <w:r w:rsidRPr="00B707D6" w:rsidR="003F138A">
        <w:t xml:space="preserve">substantial involvement in the decision to terminate Hoglund and Horne’s discriminatory animus towards Hoglund was sufficient to prove a discriminatory motive for termination </w:t>
      </w:r>
      <w:r w:rsidRPr="00B707D6">
        <w:t>under the “cat’s paw” theory.  In the employment context, “</w:t>
      </w:r>
      <w:r w:rsidR="00F45245">
        <w:t> </w:t>
      </w:r>
      <w:r w:rsidRPr="00B707D6">
        <w:t>‘cat’s paw’ refers to a situation in which a biased subordinate, who lacks decisionmaking power, uses the formal decisionmaker as a dupe in a deliberate scheme to trigger a discriminatory employment action.  [Citation.]”  (</w:t>
      </w:r>
      <w:r w:rsidRPr="00B707D6">
        <w:rPr>
          <w:i/>
          <w:iCs/>
        </w:rPr>
        <w:t>EEOC v. BCI Coca-Cola Bottling Co.</w:t>
      </w:r>
      <w:r w:rsidRPr="00B707D6">
        <w:t xml:space="preserve"> (10th Cir. 2006) 450 F.3d 476, 484.)  </w:t>
      </w:r>
      <w:r w:rsidRPr="00B707D6" w:rsidR="001A2F15">
        <w:t>Under the “cat’s paw” theory, a showing that any “significant participant” in the adverse employment decision exhibited discriminatory animus is “enough to raise an inference that the employment decision itself was discriminatory.”  (</w:t>
      </w:r>
      <w:r w:rsidRPr="00B707D6" w:rsidR="001A2F15">
        <w:rPr>
          <w:i/>
          <w:iCs/>
        </w:rPr>
        <w:t>DeJung, supra</w:t>
      </w:r>
      <w:r w:rsidRPr="00B707D6" w:rsidR="001A2F15">
        <w:t>, 169 Cal.App.4th at p. 551; see also </w:t>
      </w:r>
      <w:r w:rsidRPr="00B707D6" w:rsidR="001A2F15">
        <w:rPr>
          <w:i/>
          <w:iCs/>
        </w:rPr>
        <w:t>Reeves v. Safeway Stores, Inc.</w:t>
      </w:r>
      <w:r w:rsidRPr="00B707D6" w:rsidR="001A2F15">
        <w:t> (2004) 121 Cal.App.4th 95, 110 [plaintiff can establish causation by showing that any substantial contributor to the decision bore the requisite discriminatory animus].)</w:t>
      </w:r>
    </w:p>
    <w:p w:rsidR="00255FFD" w:rsidRPr="00B707D6" w:rsidP="00EB69AE" w14:paraId="06C478E7" w14:textId="0A984E93">
      <w:pPr>
        <w:ind w:firstLine="720"/>
      </w:pPr>
      <w:r w:rsidRPr="00B707D6">
        <w:t>H</w:t>
      </w:r>
      <w:r w:rsidRPr="00B707D6" w:rsidR="00BB260F">
        <w:t xml:space="preserve">ere, </w:t>
      </w:r>
      <w:r w:rsidRPr="00B707D6">
        <w:t>substantial evidence supports the finding that Horne was a significant decision</w:t>
      </w:r>
      <w:r w:rsidR="000646C1">
        <w:t>-</w:t>
      </w:r>
      <w:r w:rsidRPr="00B707D6">
        <w:t xml:space="preserve">maker in the </w:t>
      </w:r>
      <w:r w:rsidRPr="00B707D6" w:rsidR="00D100FD">
        <w:t>choice</w:t>
      </w:r>
      <w:r w:rsidRPr="00B707D6">
        <w:t xml:space="preserve"> to fire Hoglund.  First, </w:t>
      </w:r>
      <w:r w:rsidRPr="00B707D6" w:rsidR="00BB260F">
        <w:t>Horne testified that she was one of the three decision</w:t>
      </w:r>
      <w:r w:rsidR="000646C1">
        <w:t>-</w:t>
      </w:r>
      <w:r w:rsidRPr="00B707D6" w:rsidR="00BB260F">
        <w:t xml:space="preserve">makers in the Hospital’s decision to terminate Hoglund.  Further, Plass and Lucas relied on Horne for information about Hoglund’s </w:t>
      </w:r>
      <w:r w:rsidR="001B6105">
        <w:t xml:space="preserve">and Prout’s </w:t>
      </w:r>
      <w:r w:rsidRPr="00B707D6" w:rsidR="00BB260F">
        <w:t xml:space="preserve">skills and duties to determine whether termination was appropriate.  </w:t>
      </w:r>
      <w:r w:rsidRPr="00B707D6">
        <w:t xml:space="preserve">Specifically, they relied on Horne’s representation that Hoglund’s role was in </w:t>
      </w:r>
      <w:r w:rsidR="00F45245">
        <w:t xml:space="preserve">the </w:t>
      </w:r>
      <w:r w:rsidRPr="00B707D6">
        <w:t>outreach</w:t>
      </w:r>
      <w:r w:rsidR="00F45245">
        <w:t xml:space="preserve"> services program</w:t>
      </w:r>
      <w:r w:rsidRPr="00B707D6">
        <w:t xml:space="preserve">, and that </w:t>
      </w:r>
      <w:r w:rsidRPr="00B707D6" w:rsidR="005433E8">
        <w:t>Prout possessed superior computer skills</w:t>
      </w:r>
      <w:r w:rsidRPr="00B707D6">
        <w:t xml:space="preserve">.  </w:t>
      </w:r>
      <w:r w:rsidRPr="00B707D6" w:rsidR="00214CD6">
        <w:t xml:space="preserve">Indeed, they appeared to trust Horne’s information, as they </w:t>
      </w:r>
      <w:r w:rsidRPr="00B707D6" w:rsidR="004F71B4">
        <w:t>accepted her account without inquiry</w:t>
      </w:r>
      <w:r w:rsidRPr="00B707D6" w:rsidR="00214CD6">
        <w:t xml:space="preserve"> into whether Horne had officially assigned outreach </w:t>
      </w:r>
      <w:r w:rsidR="00CD7B2C">
        <w:t xml:space="preserve">services </w:t>
      </w:r>
      <w:r w:rsidRPr="00B707D6" w:rsidR="00214CD6">
        <w:t xml:space="preserve">supervision to Hoglund, </w:t>
      </w:r>
      <w:r w:rsidRPr="00B707D6" w:rsidR="003F138A">
        <w:t>provided</w:t>
      </w:r>
      <w:r w:rsidRPr="00B707D6" w:rsidR="00214CD6">
        <w:t xml:space="preserve"> Hoglund </w:t>
      </w:r>
      <w:r w:rsidRPr="00B707D6" w:rsidR="003F138A">
        <w:t xml:space="preserve">with adequate </w:t>
      </w:r>
      <w:r w:rsidRPr="00B707D6" w:rsidR="00214CD6">
        <w:t xml:space="preserve">computer training, overburdened her with work, or </w:t>
      </w:r>
      <w:r w:rsidRPr="00B707D6" w:rsidR="005433E8">
        <w:t>given</w:t>
      </w:r>
      <w:r w:rsidRPr="00B707D6" w:rsidR="00214CD6">
        <w:t xml:space="preserve"> her a proper workspace.</w:t>
      </w:r>
      <w:r w:rsidRPr="00B707D6" w:rsidR="004F71B4">
        <w:t xml:space="preserve">  Nor did they have firsthand knowledge of Hoglund</w:t>
      </w:r>
      <w:r w:rsidRPr="00B707D6" w:rsidR="005433E8">
        <w:t xml:space="preserve"> or Prout’s</w:t>
      </w:r>
      <w:r w:rsidRPr="00B707D6" w:rsidR="004F71B4">
        <w:t xml:space="preserve"> computer skills</w:t>
      </w:r>
      <w:r w:rsidRPr="00B707D6" w:rsidR="003F138A">
        <w:t xml:space="preserve">, </w:t>
      </w:r>
      <w:r w:rsidR="001B6105">
        <w:t>appearing to accept</w:t>
      </w:r>
      <w:r w:rsidRPr="00B707D6" w:rsidR="003F138A">
        <w:t xml:space="preserve"> Horne’s information about Hoglund’s abilities at face value</w:t>
      </w:r>
      <w:r w:rsidRPr="00B707D6" w:rsidR="004F71B4">
        <w:t>.</w:t>
      </w:r>
      <w:r w:rsidRPr="00B707D6" w:rsidR="003F138A">
        <w:t xml:space="preserve">  This is sufficient to show that Horne was a significant participa</w:t>
      </w:r>
      <w:r w:rsidR="00F812CB">
        <w:t>nt</w:t>
      </w:r>
      <w:r w:rsidRPr="00B707D6" w:rsidR="003F138A">
        <w:t xml:space="preserve"> in the decision to fire Hoglund.</w:t>
      </w:r>
    </w:p>
    <w:p w:rsidR="004F71B4" w:rsidRPr="00B707D6" w:rsidP="003F138A" w14:paraId="346DB009" w14:textId="62256038">
      <w:pPr>
        <w:ind w:firstLine="720"/>
      </w:pPr>
      <w:r w:rsidRPr="00B707D6">
        <w:t>Next</w:t>
      </w:r>
      <w:r w:rsidRPr="00B707D6" w:rsidR="00640314">
        <w:t>, substantial evidence supports the trial court’s finding that the reasons for termination</w:t>
      </w:r>
      <w:r w:rsidR="00CD7B2C">
        <w:t>—</w:t>
      </w:r>
      <w:r w:rsidRPr="00B707D6" w:rsidR="00640314">
        <w:t xml:space="preserve">Prout’s superior computer skills and Hoglund’s role as </w:t>
      </w:r>
      <w:r w:rsidRPr="00B707D6" w:rsidR="00EB69AE">
        <w:t>“</w:t>
      </w:r>
      <w:r w:rsidRPr="00B707D6" w:rsidR="00640314">
        <w:t xml:space="preserve">outreach </w:t>
      </w:r>
      <w:r w:rsidR="008868E8">
        <w:t xml:space="preserve">services </w:t>
      </w:r>
      <w:r w:rsidRPr="00B707D6" w:rsidR="00640314">
        <w:t>manager</w:t>
      </w:r>
      <w:r w:rsidRPr="00B707D6" w:rsidR="00EB69AE">
        <w:t>”</w:t>
      </w:r>
      <w:r w:rsidR="00CD7B2C">
        <w:t>—</w:t>
      </w:r>
      <w:r w:rsidRPr="00B707D6" w:rsidR="00640314">
        <w:t xml:space="preserve">were </w:t>
      </w:r>
      <w:r w:rsidRPr="00B707D6" w:rsidR="009938E5">
        <w:t>pretextual</w:t>
      </w:r>
      <w:r w:rsidRPr="00B707D6" w:rsidR="00640314">
        <w:t xml:space="preserve">.  </w:t>
      </w:r>
      <w:r w:rsidRPr="00B707D6" w:rsidR="001C066D">
        <w:t xml:space="preserve">Horne </w:t>
      </w:r>
      <w:r w:rsidRPr="00B707D6" w:rsidR="00EB69AE">
        <w:t>refused to train</w:t>
      </w:r>
      <w:r w:rsidRPr="00B707D6" w:rsidR="001C066D">
        <w:t xml:space="preserve"> Hoglund on the new computer program</w:t>
      </w:r>
      <w:r w:rsidRPr="00B707D6" w:rsidR="009D113C">
        <w:t xml:space="preserve"> and trained Prout instead</w:t>
      </w:r>
      <w:r w:rsidRPr="00B707D6" w:rsidR="001C066D">
        <w:t xml:space="preserve">.  </w:t>
      </w:r>
      <w:r w:rsidRPr="00B707D6" w:rsidR="006515B6">
        <w:t xml:space="preserve">While she later claimed she chose Prout based on her technical skills and ability to teach, she did not actually know whether Prout had either of those skills.  </w:t>
      </w:r>
      <w:r w:rsidRPr="00B707D6" w:rsidR="004B2C0E">
        <w:t>In fact, Horne expressly stated that she preferred to train younger employees (such as Prout) on the computer system because they were easier to train.  And, neither Plass nor Lucas had any firsthand knowledge of Hoglund’s computer skills, nor did they know Horne denied Hoglund computer training</w:t>
      </w:r>
      <w:r w:rsidRPr="00B707D6">
        <w:t xml:space="preserve">.  </w:t>
      </w:r>
      <w:r w:rsidRPr="00B707D6" w:rsidR="006515B6">
        <w:t xml:space="preserve">With respect to Hoglund’s purported outreach role, Horne informed Lucas and Plass that Hoglund </w:t>
      </w:r>
      <w:r w:rsidRPr="00B707D6" w:rsidR="00B05562">
        <w:t xml:space="preserve">managed outreach services while Prout managed inpatient services.  However, the Hospital never created an outreach </w:t>
      </w:r>
      <w:r w:rsidR="000F57BA">
        <w:t xml:space="preserve">services </w:t>
      </w:r>
      <w:r w:rsidRPr="00B707D6" w:rsidR="00B05562">
        <w:t>manager position, Hoglund and Prout shared many dutie</w:t>
      </w:r>
      <w:r w:rsidRPr="00B707D6" w:rsidR="00D72D0F">
        <w:t>s</w:t>
      </w:r>
      <w:r w:rsidRPr="00B707D6" w:rsidR="00EF0ABF">
        <w:t xml:space="preserve"> </w:t>
      </w:r>
      <w:r w:rsidR="00495C14">
        <w:t>and</w:t>
      </w:r>
      <w:r w:rsidRPr="00B707D6" w:rsidR="00EF0ABF">
        <w:t xml:space="preserve"> joint</w:t>
      </w:r>
      <w:r w:rsidR="00495C14">
        <w:t>ly</w:t>
      </w:r>
      <w:r w:rsidRPr="00B707D6" w:rsidR="00EF0ABF">
        <w:t xml:space="preserve"> supervis</w:t>
      </w:r>
      <w:r w:rsidR="00495C14">
        <w:t xml:space="preserve">ed all </w:t>
      </w:r>
      <w:r w:rsidRPr="00B707D6" w:rsidR="00EF0ABF">
        <w:t>of the phlebotomists</w:t>
      </w:r>
      <w:r w:rsidRPr="00B707D6" w:rsidR="00B05562">
        <w:t xml:space="preserve">, and Hoglund </w:t>
      </w:r>
      <w:r w:rsidRPr="00B707D6" w:rsidR="00D72D0F">
        <w:t xml:space="preserve">also </w:t>
      </w:r>
      <w:r w:rsidRPr="00B707D6" w:rsidR="00B05562">
        <w:t xml:space="preserve">handled </w:t>
      </w:r>
      <w:r w:rsidRPr="00B707D6" w:rsidR="00D72D0F">
        <w:t xml:space="preserve">some </w:t>
      </w:r>
      <w:r w:rsidRPr="00B707D6" w:rsidR="00B05562">
        <w:t xml:space="preserve">inpatient care in the main lab.  </w:t>
      </w:r>
      <w:r w:rsidRPr="00B707D6" w:rsidR="004B2C0E">
        <w:t xml:space="preserve">Additionally, </w:t>
      </w:r>
      <w:r w:rsidRPr="00B707D6" w:rsidR="00D72D0F">
        <w:t xml:space="preserve">Horne had been aware for years that the outreach stations </w:t>
      </w:r>
      <w:r w:rsidRPr="00B707D6" w:rsidR="004B2C0E">
        <w:t>were at risk of removal</w:t>
      </w:r>
      <w:r w:rsidRPr="00B707D6" w:rsidR="00D72D0F">
        <w:t xml:space="preserve">, yet attempted to define Hoglund’s role as </w:t>
      </w:r>
      <w:r w:rsidRPr="00B707D6" w:rsidR="007A0D6D">
        <w:t>one directed</w:t>
      </w:r>
      <w:r w:rsidRPr="00B707D6" w:rsidR="00D72D0F">
        <w:t xml:space="preserve"> </w:t>
      </w:r>
      <w:r w:rsidRPr="00B707D6" w:rsidR="007A0D6D">
        <w:t>towards</w:t>
      </w:r>
      <w:r w:rsidRPr="00B707D6" w:rsidR="00D72D0F">
        <w:t xml:space="preserve"> outreach</w:t>
      </w:r>
      <w:r w:rsidR="0037544C">
        <w:t xml:space="preserve"> services</w:t>
      </w:r>
      <w:r w:rsidRPr="00B707D6" w:rsidR="00D72D0F">
        <w:t>.  Horne’s efforts to focus Hoglund’s job duties in an area she knew may become defunct</w:t>
      </w:r>
      <w:r w:rsidRPr="00B707D6" w:rsidR="004B2C0E">
        <w:t>, along with other evidence of discriminatory animus towards Hoglund,</w:t>
      </w:r>
      <w:r w:rsidRPr="00B707D6" w:rsidR="00D72D0F">
        <w:t xml:space="preserve"> </w:t>
      </w:r>
      <w:r w:rsidRPr="00B707D6" w:rsidR="00346C1C">
        <w:t xml:space="preserve">suggests that </w:t>
      </w:r>
      <w:r w:rsidRPr="00B707D6" w:rsidR="00D72D0F">
        <w:t xml:space="preserve">Horne was </w:t>
      </w:r>
      <w:r w:rsidRPr="00B707D6" w:rsidR="007A0D6D">
        <w:t>trying</w:t>
      </w:r>
      <w:r w:rsidRPr="00B707D6" w:rsidR="00D72D0F">
        <w:t xml:space="preserve"> to push her out</w:t>
      </w:r>
      <w:r w:rsidRPr="00B707D6" w:rsidR="00346C1C">
        <w:t xml:space="preserve">, and that assigning her to outreach </w:t>
      </w:r>
      <w:r w:rsidR="00FB12E6">
        <w:t xml:space="preserve">services </w:t>
      </w:r>
      <w:r w:rsidRPr="00B707D6" w:rsidR="00346C1C">
        <w:t>would create the pretext to do so</w:t>
      </w:r>
      <w:r w:rsidRPr="00B707D6" w:rsidR="00D72D0F">
        <w:t xml:space="preserve">.  </w:t>
      </w:r>
      <w:r w:rsidRPr="00B707D6" w:rsidR="006515B6">
        <w:t>Horne also stated that she felt sorry for the younger employees who were let go,</w:t>
      </w:r>
      <w:r w:rsidRPr="00B707D6" w:rsidR="004B2C0E">
        <w:t xml:space="preserve"> but not for the older employees,</w:t>
      </w:r>
      <w:r w:rsidRPr="00B707D6" w:rsidR="006515B6">
        <w:t xml:space="preserve"> further </w:t>
      </w:r>
      <w:r w:rsidRPr="00B707D6" w:rsidR="004B2C0E">
        <w:t>revealing that</w:t>
      </w:r>
      <w:r w:rsidRPr="00B707D6" w:rsidR="006515B6">
        <w:t xml:space="preserve"> she chose to keep Prout and terminate Hoglund based on age. </w:t>
      </w:r>
      <w:r w:rsidRPr="00B707D6" w:rsidR="00346C1C">
        <w:t xml:space="preserve"> </w:t>
      </w:r>
      <w:r w:rsidRPr="00B707D6">
        <w:t xml:space="preserve">Finally, </w:t>
      </w:r>
      <w:r w:rsidRPr="00B707D6" w:rsidR="00346C1C">
        <w:t xml:space="preserve">and generally speaking, </w:t>
      </w:r>
      <w:r w:rsidRPr="00B707D6">
        <w:t xml:space="preserve">Hoglund had considerably more experience than Prout, </w:t>
      </w:r>
      <w:r w:rsidRPr="00B707D6" w:rsidR="004B2C0E">
        <w:t>and in fact</w:t>
      </w:r>
      <w:r w:rsidR="00E6755C">
        <w:t>,</w:t>
      </w:r>
      <w:r w:rsidRPr="00B707D6" w:rsidR="004B2C0E">
        <w:t xml:space="preserve"> </w:t>
      </w:r>
      <w:r w:rsidRPr="00B707D6">
        <w:t>was still training Prout at the time she was terminated.</w:t>
      </w:r>
    </w:p>
    <w:p w:rsidR="006515B6" w:rsidRPr="00B707D6" w:rsidP="00D05669" w14:paraId="5C513E42" w14:textId="12186B8A">
      <w:pPr>
        <w:ind w:firstLine="720"/>
      </w:pPr>
      <w:r w:rsidRPr="00B707D6">
        <w:t xml:space="preserve">Based on the foregoing, there was sufficient evidence for the </w:t>
      </w:r>
      <w:r w:rsidR="00FB12E6">
        <w:t xml:space="preserve">trial </w:t>
      </w:r>
      <w:r w:rsidRPr="00B707D6">
        <w:t>court to conclude that there was a causal link between defendants’ discrimination and Hoglund’s termination, and that defendants’ asserted basis for terminating Hoglund was pretextual.</w:t>
      </w:r>
    </w:p>
    <w:p w:rsidR="00C9591A" w:rsidRPr="00B707D6" w:rsidP="00C9591A" w14:paraId="4A18CCEB" w14:textId="4EE94239">
      <w:pPr>
        <w:ind w:firstLine="720"/>
      </w:pPr>
      <w:r w:rsidRPr="00B707D6">
        <w:t xml:space="preserve">As we conclude substantial evidence supports the verdict for Hoglund’s discrimination claim, we necessarily conclude that substantial evidence supports Hoglund’s derivative claim for wrongful termination in violation of public policy.  (See </w:t>
      </w:r>
      <w:r w:rsidRPr="00B707D6">
        <w:rPr>
          <w:i/>
          <w:iCs/>
        </w:rPr>
        <w:t xml:space="preserve">Stevenson v. Superior Court </w:t>
      </w:r>
      <w:r w:rsidR="000633DD">
        <w:rPr>
          <w:i/>
          <w:iCs/>
        </w:rPr>
        <w:t xml:space="preserve">of Los Angeles County </w:t>
      </w:r>
      <w:r w:rsidRPr="00B707D6">
        <w:t xml:space="preserve">(1997) </w:t>
      </w:r>
      <w:r w:rsidR="00C14518">
        <w:t>1</w:t>
      </w:r>
      <w:r w:rsidRPr="00B707D6">
        <w:t>6 Cal.4th 880, 897 [“FEHA’s policy against age discrimination satisfies each of the four requirements that this court has established as essential to support a common law tort claim for wrongful discharge in violation of public policy</w:t>
      </w:r>
      <w:r w:rsidRPr="00B707D6" w:rsidR="00346C1C">
        <w:t>”].)</w:t>
      </w:r>
    </w:p>
    <w:p w:rsidR="00640314" w:rsidRPr="00B707D6" w:rsidP="00D05669" w14:paraId="79B99C1A" w14:textId="3B5F0437">
      <w:pPr>
        <w:pStyle w:val="ListParagraph"/>
        <w:keepNext/>
        <w:numPr>
          <w:ilvl w:val="0"/>
          <w:numId w:val="1"/>
        </w:numPr>
        <w:rPr>
          <w:i/>
          <w:iCs/>
        </w:rPr>
      </w:pPr>
      <w:r w:rsidRPr="00B707D6">
        <w:rPr>
          <w:i/>
          <w:iCs/>
        </w:rPr>
        <w:t>Harassment</w:t>
      </w:r>
    </w:p>
    <w:p w:rsidR="00D84AAC" w:rsidRPr="00B707D6" w:rsidP="00644586" w14:paraId="4731981C" w14:textId="115F848F">
      <w:pPr>
        <w:ind w:firstLine="720"/>
      </w:pPr>
      <w:r w:rsidRPr="00B707D6">
        <w:t xml:space="preserve">Defendants next </w:t>
      </w:r>
      <w:r w:rsidRPr="00B707D6" w:rsidR="00644586">
        <w:t xml:space="preserve">contend Hoglund failed to establish that Horne harassed Hoglund because of Hoglund’s age.  </w:t>
      </w:r>
      <w:r w:rsidRPr="00B707D6" w:rsidR="000163E2">
        <w:t xml:space="preserve">While they concede that the witnesses found Horne to be a rude and </w:t>
      </w:r>
      <w:r w:rsidR="00FB12E6">
        <w:t xml:space="preserve">an </w:t>
      </w:r>
      <w:r w:rsidRPr="00B707D6" w:rsidR="000163E2">
        <w:t xml:space="preserve">unkind manager, they argue this is not sufficient to reasonably infer that her animus was based on Hoglund’s age.  </w:t>
      </w:r>
      <w:r w:rsidRPr="00B707D6" w:rsidR="00D54C12">
        <w:t xml:space="preserve">Defendants again </w:t>
      </w:r>
      <w:r w:rsidRPr="00B707D6" w:rsidR="00EF0ABF">
        <w:t>cherry-pick</w:t>
      </w:r>
      <w:r w:rsidRPr="00B707D6" w:rsidR="00D54C12">
        <w:t xml:space="preserve"> their facts, omitting ample evidence of Horne’s age-based harassment.</w:t>
      </w:r>
    </w:p>
    <w:p w:rsidR="00CA68EB" w:rsidRPr="00B707D6" w:rsidP="00644586" w14:paraId="7FFCA1DA" w14:textId="73BBDC51">
      <w:pPr>
        <w:ind w:firstLine="720"/>
      </w:pPr>
      <w:r w:rsidRPr="00B707D6">
        <w:t xml:space="preserve">FEHA makes it unlawful for an employer to harass an employee because of the employee’s age.  (§ 12940, subd. (j)(1).)  To succeed </w:t>
      </w:r>
      <w:r w:rsidR="00E6755C">
        <w:t>i</w:t>
      </w:r>
      <w:r w:rsidRPr="00B707D6">
        <w:t>n a harassment claim, the employee must show that the harassment unreasonably interfered with the plaintiff</w:t>
      </w:r>
      <w:r w:rsidR="00495C14">
        <w:t>’</w:t>
      </w:r>
      <w:r w:rsidRPr="00B707D6">
        <w:t>s work performance by creating an intimidating, hostile, or offensive work environment.  (</w:t>
      </w:r>
      <w:r w:rsidRPr="00B707D6">
        <w:rPr>
          <w:i/>
          <w:iCs/>
        </w:rPr>
        <w:t>Ortiz v. Dameron Hospital Assn.</w:t>
      </w:r>
      <w:r w:rsidRPr="00B707D6">
        <w:t> (2019) 37 Cal.App.5th 568, 581.)</w:t>
      </w:r>
    </w:p>
    <w:p w:rsidR="000163E2" w:rsidRPr="00B707D6" w:rsidP="00644586" w14:paraId="2B25E079" w14:textId="2BEDAC81">
      <w:pPr>
        <w:ind w:firstLine="720"/>
      </w:pPr>
      <w:r w:rsidRPr="00B707D6">
        <w:t xml:space="preserve">As discussed, </w:t>
      </w:r>
      <w:r w:rsidRPr="00B707D6">
        <w:rPr>
          <w:i/>
          <w:iCs/>
        </w:rPr>
        <w:t>ante</w:t>
      </w:r>
      <w:r w:rsidRPr="00B707D6">
        <w:t xml:space="preserve">, Horne repeatedly made ageist comments to Hoglund, mocked her </w:t>
      </w:r>
      <w:r w:rsidRPr="00B707D6" w:rsidR="00BD684E">
        <w:t>clothes and hair</w:t>
      </w:r>
      <w:r w:rsidRPr="00B707D6">
        <w:t xml:space="preserve"> as old-fashioned, pushed Hoglund to retire, expressed preference for younger employees, moved her workspace to a </w:t>
      </w:r>
      <w:r w:rsidRPr="00B707D6" w:rsidR="00BD684E">
        <w:t xml:space="preserve">faraway </w:t>
      </w:r>
      <w:r w:rsidR="00006848">
        <w:t xml:space="preserve">storage </w:t>
      </w:r>
      <w:r w:rsidRPr="00B707D6">
        <w:t>closet</w:t>
      </w:r>
      <w:r w:rsidR="00AE0574">
        <w:t>,</w:t>
      </w:r>
      <w:r w:rsidRPr="00B707D6" w:rsidR="00BD684E">
        <w:t xml:space="preserve"> and then</w:t>
      </w:r>
      <w:r w:rsidRPr="00B707D6" w:rsidR="00CA68EB">
        <w:t xml:space="preserve"> questioned whether she was too old to walk long distances</w:t>
      </w:r>
      <w:r w:rsidRPr="00B707D6" w:rsidR="00BD684E">
        <w:t xml:space="preserve"> around the </w:t>
      </w:r>
      <w:r w:rsidRPr="00B707D6" w:rsidR="00CA68EB">
        <w:t>Hospital</w:t>
      </w:r>
      <w:r w:rsidRPr="00B707D6" w:rsidR="00BD684E">
        <w:t xml:space="preserve">, refused to train </w:t>
      </w:r>
      <w:r w:rsidRPr="00B707D6" w:rsidR="00CA68EB">
        <w:t>Hoglund</w:t>
      </w:r>
      <w:r w:rsidRPr="00B707D6" w:rsidR="00BD684E">
        <w:t xml:space="preserve"> based on her age, told Hoglund </w:t>
      </w:r>
      <w:r w:rsidRPr="00B707D6" w:rsidR="00346C1C">
        <w:t xml:space="preserve">that she </w:t>
      </w:r>
      <w:r w:rsidRPr="00B707D6" w:rsidR="00BD684E">
        <w:t xml:space="preserve">was unneeded and should </w:t>
      </w:r>
      <w:r w:rsidR="00495C14">
        <w:t>retire</w:t>
      </w:r>
      <w:r w:rsidRPr="00B707D6" w:rsidR="00BD684E">
        <w:t xml:space="preserve"> after Hoglund returned from leave, and then laughed at Hoglund’s concern for older employees who had been terminated, saying she </w:t>
      </w:r>
      <w:r w:rsidRPr="00B707D6" w:rsidR="00CA68EB">
        <w:t xml:space="preserve">only </w:t>
      </w:r>
      <w:r w:rsidRPr="00B707D6" w:rsidR="00BD684E">
        <w:t xml:space="preserve">felt sorry for the younger ones.  Hoglund experienced incredible stress, health problems, and a loss of confidence from the hostility and offensive nature of Horne’s harassment.  She expressed multiple times to management that she felt Horne was treating her this way because of her age, </w:t>
      </w:r>
      <w:r w:rsidRPr="00B707D6" w:rsidR="00CA68EB">
        <w:t xml:space="preserve">and </w:t>
      </w:r>
      <w:r w:rsidR="00495C14">
        <w:t xml:space="preserve">that Horne </w:t>
      </w:r>
      <w:r w:rsidRPr="00B707D6" w:rsidR="00CA68EB">
        <w:t xml:space="preserve">was trying to push her out because of her age, </w:t>
      </w:r>
      <w:r w:rsidRPr="00B707D6" w:rsidR="00BD684E">
        <w:t>based on the content of Horne’s harassing statements.  This is sufficient to support a finding that Horne harassed Hoglund because of her age.</w:t>
      </w:r>
    </w:p>
    <w:p w:rsidR="00512F43" w:rsidRPr="00041F59" w:rsidP="00D05669" w14:paraId="4B6CBA27" w14:textId="32BA7D89">
      <w:pPr>
        <w:keepNext/>
        <w:jc w:val="center"/>
      </w:pPr>
      <w:r w:rsidRPr="00041F59">
        <w:t>II</w:t>
      </w:r>
      <w:r w:rsidR="00171AE6">
        <w:t>I</w:t>
      </w:r>
    </w:p>
    <w:p w:rsidR="00512F43" w:rsidRPr="00B707D6" w:rsidP="00D05669" w14:paraId="3B963CA9" w14:textId="4EA1CD45">
      <w:pPr>
        <w:keepNext/>
        <w:jc w:val="center"/>
        <w:rPr>
          <w:i/>
          <w:iCs/>
        </w:rPr>
      </w:pPr>
      <w:r w:rsidRPr="00B707D6">
        <w:rPr>
          <w:i/>
          <w:iCs/>
        </w:rPr>
        <w:t>Damages</w:t>
      </w:r>
    </w:p>
    <w:p w:rsidR="00495C14" w:rsidP="00D05669" w14:paraId="6295ED65" w14:textId="186D2084">
      <w:pPr>
        <w:ind w:firstLine="720"/>
      </w:pPr>
      <w:r>
        <w:t>Next, d</w:t>
      </w:r>
      <w:r w:rsidRPr="00B707D6" w:rsidR="00336DB6">
        <w:t>efendants challenge the trial court’s damages award on four separate bases</w:t>
      </w:r>
      <w:r w:rsidRPr="00B707D6" w:rsidR="00CA68EB">
        <w:t>:</w:t>
      </w:r>
      <w:r w:rsidRPr="00B707D6" w:rsidR="00336DB6">
        <w:t xml:space="preserve">  (1)</w:t>
      </w:r>
      <w:r w:rsidR="00FB12E6">
        <w:t> </w:t>
      </w:r>
      <w:r w:rsidRPr="00B707D6" w:rsidR="00336DB6">
        <w:t xml:space="preserve">Hoglund </w:t>
      </w:r>
      <w:r w:rsidRPr="00B707D6" w:rsidR="00A54048">
        <w:t>would have been terminated regardless of discrimination, (2)</w:t>
      </w:r>
      <w:r w:rsidR="00FB12E6">
        <w:t> </w:t>
      </w:r>
      <w:r w:rsidRPr="00B707D6" w:rsidR="00A54048">
        <w:t>Hoglund cannot recover economic damages for the time she was unable or unwilling to work, (3)</w:t>
      </w:r>
      <w:r w:rsidR="00FB12E6">
        <w:t> </w:t>
      </w:r>
      <w:r w:rsidRPr="00B707D6" w:rsidR="00A54048">
        <w:t>Hoglund’s recovery must be reduced for her failure to mitigate economic damages, and (4)</w:t>
      </w:r>
      <w:r w:rsidR="00FB12E6">
        <w:t> </w:t>
      </w:r>
      <w:r w:rsidRPr="00B707D6" w:rsidR="00A54048">
        <w:t>Hoglund</w:t>
      </w:r>
      <w:r>
        <w:t xml:space="preserve">’s </w:t>
      </w:r>
      <w:r w:rsidRPr="00B707D6" w:rsidR="00A54048">
        <w:t>emotional distress damages</w:t>
      </w:r>
      <w:r>
        <w:t xml:space="preserve"> are excessive</w:t>
      </w:r>
      <w:r w:rsidRPr="00B707D6" w:rsidR="00A54048">
        <w:t xml:space="preserve">.  </w:t>
      </w:r>
      <w:r>
        <w:t>However, w</w:t>
      </w:r>
      <w:r w:rsidRPr="00B707D6" w:rsidR="00554618">
        <w:t xml:space="preserve">e </w:t>
      </w:r>
      <w:r w:rsidR="00637221">
        <w:t>may not consider the merits</w:t>
      </w:r>
      <w:r w:rsidRPr="00B707D6" w:rsidR="00554618">
        <w:t xml:space="preserve"> </w:t>
      </w:r>
      <w:r w:rsidR="00637221">
        <w:t>of these arguments</w:t>
      </w:r>
      <w:r w:rsidRPr="00B707D6" w:rsidR="00554618">
        <w:t xml:space="preserve"> because defendants did not adequately preserve the issue for appeal.</w:t>
      </w:r>
    </w:p>
    <w:p w:rsidR="00431789" w:rsidRPr="00B707D6" w:rsidP="00495C14" w14:paraId="67F87457" w14:textId="6ADC6CE7">
      <w:pPr>
        <w:ind w:firstLine="720"/>
      </w:pPr>
      <w:r w:rsidRPr="00B707D6">
        <w:t>As Hoglund notes</w:t>
      </w:r>
      <w:r w:rsidR="00495C14">
        <w:t xml:space="preserve"> in her responsive brief</w:t>
      </w:r>
      <w:r w:rsidRPr="00B707D6">
        <w:t xml:space="preserve">, defendants did not bring a motion for </w:t>
      </w:r>
      <w:r w:rsidR="00FB12E6">
        <w:t xml:space="preserve">a </w:t>
      </w:r>
      <w:r w:rsidR="00F77D12">
        <w:t xml:space="preserve">new </w:t>
      </w:r>
      <w:r w:rsidRPr="00B707D6">
        <w:t xml:space="preserve">trial on grounds of excessive damages.  </w:t>
      </w:r>
      <w:r w:rsidRPr="00E8758E">
        <w:t>“[A] failure to</w:t>
      </w:r>
      <w:r w:rsidRPr="00B707D6">
        <w:t xml:space="preserve"> move for a new trial ordinarily precludes a party from complaining on appeal that the damages awarded were either excessive or inadequate, </w:t>
      </w:r>
      <w:r w:rsidR="00F77D12">
        <w:t xml:space="preserve">whether the case was tried by a jury or a court without </w:t>
      </w:r>
      <w:r w:rsidRPr="00B707D6">
        <w:t xml:space="preserve">a jury.  </w:t>
      </w:r>
      <w:r w:rsidR="00E8758E">
        <w:t>[Citation</w:t>
      </w:r>
      <w:r w:rsidR="00203851">
        <w:t>.</w:t>
      </w:r>
      <w:r w:rsidR="00E8758E">
        <w:t xml:space="preserve">]  </w:t>
      </w:r>
      <w:r w:rsidR="00203851">
        <w:t>[jury trial</w:t>
      </w:r>
      <w:r w:rsidR="00E070A5">
        <w:t>,</w:t>
      </w:r>
      <w:r w:rsidR="00203851">
        <w:t xml:space="preserve"> excessive damages];  [Citations</w:t>
      </w:r>
      <w:r w:rsidR="00E070A5">
        <w:t>; c</w:t>
      </w:r>
      <w:r w:rsidRPr="00B707D6">
        <w:t>ollecting cases.]  The rule is a sound one</w:t>
      </w:r>
      <w:r w:rsidR="00FB12E6">
        <w:t> . . . . </w:t>
      </w:r>
      <w:r w:rsidRPr="00B707D6">
        <w:t xml:space="preserve"> [T]he power to weigh the evidence and resolve issues of credibility is vested in the trial court, not the reviewing court.  (</w:t>
      </w:r>
      <w:r w:rsidRPr="00B707D6">
        <w:rPr>
          <w:i/>
          <w:iCs/>
        </w:rPr>
        <w:t>Schroeder v. Auto Driveaway Co.</w:t>
      </w:r>
      <w:r w:rsidR="002E26B8">
        <w:rPr>
          <w:i/>
          <w:iCs/>
        </w:rPr>
        <w:t xml:space="preserve"> </w:t>
      </w:r>
      <w:r w:rsidRPr="00D37B42" w:rsidR="00203851">
        <w:t>[</w:t>
      </w:r>
      <w:r w:rsidR="002E26B8">
        <w:t>(1974)</w:t>
      </w:r>
      <w:r w:rsidR="00203851">
        <w:t>]</w:t>
      </w:r>
      <w:r w:rsidR="002E26B8">
        <w:t xml:space="preserve"> 11 </w:t>
      </w:r>
      <w:r w:rsidRPr="00B707D6">
        <w:t>Cal.3d 908, 919.)  Consequently, where the ascertainment of the amount of damage requires resolution of conflicts in the evidence or depends on the credibility of witnesses, the award may not be challenged for inadequacy or excessiveness for the first time on appeal.  To permit a party to do so without a motion for new trial would unnecessarily burden reviewing courts with issues which can and should be resolved at the trial court level.  (</w:t>
      </w:r>
      <w:r w:rsidRPr="00B707D6">
        <w:rPr>
          <w:i/>
          <w:iCs/>
        </w:rPr>
        <w:t>Schroeder v. Auto Driveaway Co., supra</w:t>
      </w:r>
      <w:r w:rsidRPr="00B707D6">
        <w:t>, 11</w:t>
      </w:r>
      <w:r w:rsidR="00382F3E">
        <w:t> </w:t>
      </w:r>
      <w:r w:rsidRPr="00B707D6">
        <w:t xml:space="preserve">Cal.3d 908, 919.)” </w:t>
      </w:r>
      <w:r w:rsidR="00F77D12">
        <w:t xml:space="preserve"> </w:t>
      </w:r>
      <w:r w:rsidRPr="00B707D6">
        <w:t>(</w:t>
      </w:r>
      <w:r w:rsidRPr="00B707D6">
        <w:rPr>
          <w:i/>
          <w:iCs/>
        </w:rPr>
        <w:t>Glendale Fed</w:t>
      </w:r>
      <w:r w:rsidR="003A407A">
        <w:rPr>
          <w:i/>
          <w:iCs/>
        </w:rPr>
        <w:t>eral</w:t>
      </w:r>
      <w:r w:rsidRPr="00B707D6">
        <w:rPr>
          <w:i/>
          <w:iCs/>
        </w:rPr>
        <w:t xml:space="preserve"> Sav</w:t>
      </w:r>
      <w:r w:rsidR="003A407A">
        <w:rPr>
          <w:i/>
          <w:iCs/>
        </w:rPr>
        <w:t>ings</w:t>
      </w:r>
      <w:r w:rsidRPr="00B707D6">
        <w:rPr>
          <w:i/>
          <w:iCs/>
        </w:rPr>
        <w:t xml:space="preserve"> &amp; Loan Ass</w:t>
      </w:r>
      <w:r w:rsidR="00E50B09">
        <w:rPr>
          <w:i/>
          <w:iCs/>
        </w:rPr>
        <w:t>n</w:t>
      </w:r>
      <w:r w:rsidR="0074229B">
        <w:rPr>
          <w:i/>
          <w:iCs/>
        </w:rPr>
        <w:t>.</w:t>
      </w:r>
      <w:r w:rsidRPr="00B707D6">
        <w:rPr>
          <w:i/>
          <w:iCs/>
        </w:rPr>
        <w:t xml:space="preserve"> v. Marina View Heights Dev</w:t>
      </w:r>
      <w:r w:rsidR="003A407A">
        <w:rPr>
          <w:i/>
          <w:iCs/>
        </w:rPr>
        <w:t>elopment</w:t>
      </w:r>
      <w:r w:rsidRPr="00B707D6">
        <w:rPr>
          <w:i/>
          <w:iCs/>
        </w:rPr>
        <w:t xml:space="preserve"> Co.</w:t>
      </w:r>
      <w:r w:rsidRPr="00B707D6">
        <w:t> (1977) 66 Cal.App.3d 101, 122.)  Based on the foregoing</w:t>
      </w:r>
      <w:r w:rsidR="00A00011">
        <w:t xml:space="preserve"> </w:t>
      </w:r>
      <w:r w:rsidRPr="00B707D6">
        <w:t xml:space="preserve">law, defendants’ failure to move for a new trial on grounds of excessive damages </w:t>
      </w:r>
      <w:r w:rsidR="00823B5B">
        <w:t xml:space="preserve">forfeits </w:t>
      </w:r>
      <w:r w:rsidRPr="00B707D6">
        <w:t>their challenges to the damages award on appeal.</w:t>
      </w:r>
    </w:p>
    <w:p w:rsidR="00114CEF" w:rsidP="00D05669" w14:paraId="4430338E" w14:textId="5261360F">
      <w:pPr>
        <w:ind w:firstLine="720"/>
      </w:pPr>
      <w:r w:rsidRPr="00B707D6">
        <w:t xml:space="preserve">Nonetheless, defendants argue that they may properly raise these arguments on appeal because they objected to the damages award below.  </w:t>
      </w:r>
      <w:r w:rsidR="00495C14">
        <w:t>Defendants</w:t>
      </w:r>
      <w:r w:rsidRPr="00B707D6">
        <w:t xml:space="preserve"> contend they raised the issue of excessive </w:t>
      </w:r>
      <w:r w:rsidR="00495C14">
        <w:t xml:space="preserve">damages </w:t>
      </w:r>
      <w:r w:rsidRPr="00B707D6">
        <w:t xml:space="preserve">in the trial court pursuant to Code of Civil Procedure sections 632, 634, and 662, such that the arguments are adequately preserved.  Not so.  </w:t>
      </w:r>
      <w:r>
        <w:t>The</w:t>
      </w:r>
      <w:r w:rsidR="00495C14">
        <w:t xml:space="preserve"> statutes </w:t>
      </w:r>
      <w:r>
        <w:t xml:space="preserve">cited by defendants </w:t>
      </w:r>
      <w:r w:rsidR="00495C14">
        <w:t>are inapplicable</w:t>
      </w:r>
      <w:r w:rsidR="00A2762A">
        <w:t xml:space="preserve"> here.</w:t>
      </w:r>
    </w:p>
    <w:p w:rsidR="008B2944" w:rsidRPr="00B707D6" w:rsidP="00114CEF" w14:paraId="448D184C" w14:textId="74C60099">
      <w:pPr>
        <w:ind w:firstLine="720"/>
      </w:pPr>
      <w:r>
        <w:t xml:space="preserve">First, </w:t>
      </w:r>
      <w:r w:rsidRPr="00B707D6" w:rsidR="008D62AC">
        <w:t>Code of Civil Procedure section</w:t>
      </w:r>
      <w:r w:rsidR="00114CEF">
        <w:t>s</w:t>
      </w:r>
      <w:r w:rsidRPr="00B707D6" w:rsidR="008D62AC">
        <w:t xml:space="preserve"> 632 </w:t>
      </w:r>
      <w:r w:rsidR="00114CEF">
        <w:t xml:space="preserve">and 634 delineate the procedures for requesting a statement of decision and objecting to its procedural deficiencies.  Specifically, Code of Civil Procedure section 632 authorizes </w:t>
      </w:r>
      <w:r w:rsidRPr="00B707D6">
        <w:t xml:space="preserve">a party to request a statement of decision </w:t>
      </w:r>
      <w:r w:rsidR="00E6755C">
        <w:t>that</w:t>
      </w:r>
      <w:r w:rsidR="00114CEF">
        <w:t xml:space="preserve"> explains</w:t>
      </w:r>
      <w:r w:rsidRPr="00B707D6">
        <w:t xml:space="preserve"> the factual and legal bases for its decision as to each of the </w:t>
      </w:r>
      <w:r w:rsidR="00951839">
        <w:t>principal</w:t>
      </w:r>
      <w:r w:rsidRPr="00B707D6" w:rsidR="00951839">
        <w:t xml:space="preserve"> </w:t>
      </w:r>
      <w:r w:rsidRPr="00B707D6">
        <w:t>controverted issue</w:t>
      </w:r>
      <w:r w:rsidR="00C67F00">
        <w:t>s</w:t>
      </w:r>
      <w:r w:rsidRPr="00B707D6">
        <w:t>.  (Code Civ. Proc., § 632</w:t>
      </w:r>
      <w:r w:rsidR="002A608E">
        <w:t>.</w:t>
      </w:r>
      <w:r w:rsidRPr="00B707D6">
        <w:t>)  Code of Civil Procedure section 634 allows a party to file objections to a statement of decision when it “does not resolve a controverted issue, or if the statement is ambiguous</w:t>
      </w:r>
      <w:r w:rsidR="00114CEF">
        <w:t>.</w:t>
      </w:r>
      <w:r w:rsidRPr="00B707D6">
        <w:t>”  (Code Civ. Proc., §</w:t>
      </w:r>
      <w:r w:rsidR="00FB12E6">
        <w:t> </w:t>
      </w:r>
      <w:r w:rsidRPr="00B707D6">
        <w:t>634</w:t>
      </w:r>
      <w:r w:rsidR="002A608E">
        <w:t>.</w:t>
      </w:r>
      <w:r w:rsidRPr="00B707D6">
        <w:t xml:space="preserve">)  </w:t>
      </w:r>
      <w:r w:rsidR="00114CEF">
        <w:t xml:space="preserve">Thus, it is irrelevant that defendants </w:t>
      </w:r>
      <w:r w:rsidR="00A00011">
        <w:t xml:space="preserve">obliquely raised the </w:t>
      </w:r>
      <w:r w:rsidR="00FB12E6">
        <w:t xml:space="preserve">trial </w:t>
      </w:r>
      <w:r w:rsidR="00A2762A">
        <w:t xml:space="preserve">court’s damages decisions </w:t>
      </w:r>
      <w:r w:rsidR="00A00011">
        <w:t xml:space="preserve">under </w:t>
      </w:r>
      <w:r w:rsidR="00A2762A">
        <w:t>these statutes</w:t>
      </w:r>
      <w:r w:rsidR="00114CEF">
        <w:t>, as the statutes</w:t>
      </w:r>
      <w:r w:rsidRPr="00B707D6">
        <w:t xml:space="preserve"> are only for the purpose of requesting a statement of decision and correcting </w:t>
      </w:r>
      <w:r w:rsidR="00A2762A">
        <w:t xml:space="preserve">procedural </w:t>
      </w:r>
      <w:r w:rsidRPr="00B707D6">
        <w:t xml:space="preserve">omissions and ambiguities; they </w:t>
      </w:r>
      <w:r w:rsidR="00114CEF">
        <w:t>are not the proper avenue for</w:t>
      </w:r>
      <w:r w:rsidR="002E26B8">
        <w:t xml:space="preserve"> a party</w:t>
      </w:r>
      <w:r w:rsidRPr="00B707D6">
        <w:t xml:space="preserve"> to challenge the trial court’s findings on the merits.  (See, </w:t>
      </w:r>
      <w:r w:rsidRPr="00B707D6">
        <w:rPr>
          <w:i/>
          <w:iCs/>
        </w:rPr>
        <w:t>Thompson v. Asimos</w:t>
      </w:r>
      <w:r w:rsidRPr="00B707D6">
        <w:t xml:space="preserve"> (2016) 6 Cal.App.5th 970, 982-984 [explaining the procedure to preserve objections to statement of decision on appeal].)  </w:t>
      </w:r>
      <w:r w:rsidR="00114CEF">
        <w:t xml:space="preserve">Next, </w:t>
      </w:r>
      <w:r w:rsidRPr="00B707D6" w:rsidR="00800A64">
        <w:t xml:space="preserve">Code </w:t>
      </w:r>
      <w:r w:rsidR="00313256">
        <w:t xml:space="preserve">of </w:t>
      </w:r>
      <w:r w:rsidRPr="00B707D6" w:rsidR="00800A64">
        <w:t xml:space="preserve">Civil Procedure section 662, which defendants contend sets forth “precisely the procedure” that they invoke, is </w:t>
      </w:r>
      <w:r w:rsidR="002E26B8">
        <w:t xml:space="preserve">also </w:t>
      </w:r>
      <w:r w:rsidRPr="00B707D6" w:rsidR="00800A64">
        <w:t xml:space="preserve">inapplicable here.  This section sets forth the “powers of </w:t>
      </w:r>
      <w:r w:rsidR="00C158B4">
        <w:t>[</w:t>
      </w:r>
      <w:r w:rsidRPr="00B707D6" w:rsidR="00800A64">
        <w:t>a</w:t>
      </w:r>
      <w:r w:rsidR="00C158B4">
        <w:t>]</w:t>
      </w:r>
      <w:r w:rsidRPr="00B707D6" w:rsidR="00800A64">
        <w:t xml:space="preserve"> judge </w:t>
      </w:r>
      <w:r w:rsidRPr="00D37B42" w:rsidR="00800A64">
        <w:t>on</w:t>
      </w:r>
      <w:r w:rsidRPr="00B707D6" w:rsidR="00800A64">
        <w:rPr>
          <w:i/>
          <w:iCs/>
        </w:rPr>
        <w:t xml:space="preserve"> </w:t>
      </w:r>
      <w:r w:rsidRPr="006F0856" w:rsidR="00C158B4">
        <w:t>[</w:t>
      </w:r>
      <w:r w:rsidRPr="00C158B4" w:rsidR="00800A64">
        <w:rPr>
          <w:i/>
          <w:iCs/>
        </w:rPr>
        <w:t>a</w:t>
      </w:r>
      <w:r w:rsidRPr="006F0856" w:rsidR="00C158B4">
        <w:t>]</w:t>
      </w:r>
      <w:r w:rsidRPr="00B707D6" w:rsidR="00800A64">
        <w:rPr>
          <w:i/>
          <w:iCs/>
        </w:rPr>
        <w:t xml:space="preserve"> motion for new trial</w:t>
      </w:r>
      <w:r w:rsidRPr="00B707D6" w:rsidR="00800A64">
        <w:t>” following a bench trial, and explains what the judge may do “[i]n ruling on such a motion.”  (Code Civ. Proc., § 662</w:t>
      </w:r>
      <w:r w:rsidR="00A2762A">
        <w:t>, italics added</w:t>
      </w:r>
      <w:r w:rsidRPr="00B707D6" w:rsidR="00800A64">
        <w:t>.)  As defendants did not move for a new trial, this section is of no consequence.</w:t>
      </w:r>
    </w:p>
    <w:p w:rsidR="00800A64" w:rsidRPr="00B707D6" w:rsidP="007110C5" w14:paraId="4A59AEBE" w14:textId="7C0DFFE8">
      <w:pPr>
        <w:ind w:firstLine="720"/>
      </w:pPr>
      <w:r>
        <w:t xml:space="preserve">Defendants have failed to point to any </w:t>
      </w:r>
      <w:r w:rsidR="00637221">
        <w:t xml:space="preserve">legal authority </w:t>
      </w:r>
      <w:r w:rsidR="00E6755C">
        <w:t>that</w:t>
      </w:r>
      <w:r w:rsidR="00637221">
        <w:t xml:space="preserve"> permits us</w:t>
      </w:r>
      <w:r>
        <w:t xml:space="preserve"> to consider </w:t>
      </w:r>
      <w:r w:rsidRPr="00B707D6" w:rsidR="00A00011">
        <w:t>on appeal</w:t>
      </w:r>
      <w:r w:rsidR="00A00011">
        <w:t xml:space="preserve"> </w:t>
      </w:r>
      <w:r>
        <w:t xml:space="preserve">their challenges to </w:t>
      </w:r>
      <w:r w:rsidRPr="00B707D6" w:rsidR="00EF08EC">
        <w:t>the amount of damages awarded</w:t>
      </w:r>
      <w:r>
        <w:t>, nor can we discern one</w:t>
      </w:r>
      <w:r w:rsidRPr="00B707D6" w:rsidR="00EF08EC">
        <w:t>.</w:t>
      </w:r>
      <w:r>
        <w:t xml:space="preserve">  Accordingly, </w:t>
      </w:r>
      <w:r w:rsidR="00114CEF">
        <w:t xml:space="preserve">defendants’ </w:t>
      </w:r>
      <w:r w:rsidR="00A2762A">
        <w:t>challenges to the damages award</w:t>
      </w:r>
      <w:r w:rsidR="00114CEF">
        <w:t xml:space="preserve"> are not cognizable</w:t>
      </w:r>
      <w:r>
        <w:t>.</w:t>
      </w:r>
    </w:p>
    <w:p w:rsidR="00633E44" w:rsidRPr="00041F59" w:rsidP="00D05669" w14:paraId="2CF8FF21" w14:textId="490FC994">
      <w:pPr>
        <w:keepNext/>
        <w:jc w:val="center"/>
      </w:pPr>
      <w:r>
        <w:t>IV</w:t>
      </w:r>
    </w:p>
    <w:p w:rsidR="00633E44" w:rsidRPr="00B707D6" w:rsidP="00D05669" w14:paraId="3B1A5F8A" w14:textId="236C13F8">
      <w:pPr>
        <w:keepNext/>
        <w:jc w:val="center"/>
        <w:rPr>
          <w:i/>
          <w:iCs/>
        </w:rPr>
      </w:pPr>
      <w:r w:rsidRPr="00B707D6">
        <w:rPr>
          <w:i/>
          <w:iCs/>
        </w:rPr>
        <w:t>Statement of Decision</w:t>
      </w:r>
    </w:p>
    <w:p w:rsidR="00130349" w:rsidRPr="00B707D6" w:rsidP="007574BC" w14:paraId="484FD686" w14:textId="17EBD0C3">
      <w:pPr>
        <w:ind w:firstLine="720"/>
      </w:pPr>
      <w:r w:rsidRPr="00B707D6">
        <w:t xml:space="preserve">Defendants next assert that we should reverse and remand for a new trial because the trial court failed to issue a sufficient statement of decision.  </w:t>
      </w:r>
      <w:r w:rsidRPr="00B707D6" w:rsidR="00F94BD4">
        <w:t xml:space="preserve">They argue that the final statement of decision is “riddled with legal error, such as the failure to properly apply the exhaustion doctrine and statute of limitations for FEHA claims, and the failure to properly apply California law limiting the award of damages to </w:t>
      </w:r>
      <w:r w:rsidRPr="00B707D6" w:rsidR="00115FAD">
        <w:t>[</w:t>
      </w:r>
      <w:r w:rsidR="0037544C">
        <w:t xml:space="preserve"> </w:t>
      </w:r>
      <w:r w:rsidRPr="00B707D6" w:rsidR="00115FAD">
        <w:t>]</w:t>
      </w:r>
      <w:r w:rsidR="007574BC">
        <w:t xml:space="preserve"> </w:t>
      </w:r>
      <w:r w:rsidRPr="00B707D6" w:rsidR="00F94BD4">
        <w:t xml:space="preserve">Hoglund to those permitted by law.”  </w:t>
      </w:r>
      <w:r w:rsidR="00114CEF">
        <w:t>In effect</w:t>
      </w:r>
      <w:r w:rsidRPr="00B707D6" w:rsidR="00705E1E">
        <w:t>, defendant</w:t>
      </w:r>
      <w:r w:rsidRPr="00B707D6">
        <w:t>s</w:t>
      </w:r>
      <w:r w:rsidRPr="00B707D6" w:rsidR="00F94BD4">
        <w:t xml:space="preserve"> </w:t>
      </w:r>
      <w:r w:rsidRPr="00B707D6">
        <w:t xml:space="preserve">are </w:t>
      </w:r>
      <w:r w:rsidR="00136BDE">
        <w:t xml:space="preserve">attempting to </w:t>
      </w:r>
      <w:r w:rsidRPr="00B707D6" w:rsidR="00F94BD4">
        <w:t xml:space="preserve">rehash </w:t>
      </w:r>
      <w:r w:rsidR="00136BDE">
        <w:t>the merits of their</w:t>
      </w:r>
      <w:r w:rsidRPr="00B707D6" w:rsidR="00F94BD4">
        <w:t xml:space="preserve"> evidentiary and legal arguments</w:t>
      </w:r>
      <w:r w:rsidR="00136BDE">
        <w:t xml:space="preserve">, </w:t>
      </w:r>
      <w:r w:rsidRPr="00B707D6" w:rsidR="00136BDE">
        <w:t>which we have already considered and rejected</w:t>
      </w:r>
      <w:r w:rsidRPr="00B707D6" w:rsidR="00F94BD4">
        <w:t xml:space="preserve">.  </w:t>
      </w:r>
      <w:r w:rsidRPr="00B707D6" w:rsidR="00A74A2A">
        <w:t xml:space="preserve">Further, </w:t>
      </w:r>
      <w:r w:rsidRPr="00B707D6">
        <w:t xml:space="preserve">defendants dedicate little analysis or explanation to their view that the statement of decision is insufficient or erroneous.  They instead reassert the objections they </w:t>
      </w:r>
      <w:r w:rsidR="00672837">
        <w:t xml:space="preserve">previously </w:t>
      </w:r>
      <w:r w:rsidRPr="00B707D6">
        <w:t>raised, and then</w:t>
      </w:r>
      <w:r w:rsidRPr="00B707D6" w:rsidR="00A74A2A">
        <w:t xml:space="preserve"> </w:t>
      </w:r>
      <w:r w:rsidRPr="00B707D6" w:rsidR="00705E1E">
        <w:t xml:space="preserve">broadly claim that the trial court failed to address the objections.  </w:t>
      </w:r>
      <w:r w:rsidRPr="00B707D6">
        <w:t>Not so.</w:t>
      </w:r>
    </w:p>
    <w:p w:rsidR="00705E1E" w:rsidRPr="00B707D6" w:rsidP="00130349" w14:paraId="72450246" w14:textId="6AB99D44">
      <w:pPr>
        <w:ind w:firstLine="720"/>
      </w:pPr>
      <w:r w:rsidRPr="00B707D6">
        <w:t>“</w:t>
      </w:r>
      <w:r w:rsidR="00D05669">
        <w:t> </w:t>
      </w:r>
      <w:r w:rsidRPr="00B707D6">
        <w:t>‘</w:t>
      </w:r>
      <w:r w:rsidR="004402B5">
        <w:t>[</w:t>
      </w:r>
      <w:r w:rsidRPr="00B707D6">
        <w:t>T</w:t>
      </w:r>
      <w:r w:rsidR="004402B5">
        <w:t>]</w:t>
      </w:r>
      <w:r w:rsidRPr="00B707D6">
        <w:t>he trial court is not required to respond point by point to the issues posed in a request for statement of decision.  The court’s statement of decision is sufficient if it fairly discloses the court’s determination as to the ultimate facts and material issues in the case.’  [Citations.] .</w:t>
      </w:r>
      <w:r w:rsidR="00472A9B">
        <w:t> </w:t>
      </w:r>
      <w:r w:rsidRPr="00B707D6">
        <w:t>.</w:t>
      </w:r>
      <w:r w:rsidR="00472A9B">
        <w:t> </w:t>
      </w:r>
      <w:r w:rsidRPr="00B707D6">
        <w:t>.</w:t>
      </w:r>
      <w:r w:rsidR="00472A9B">
        <w:t> </w:t>
      </w:r>
      <w:r w:rsidRPr="00B707D6">
        <w:t xml:space="preserve">[The] court is not expected to make findings with regard to ‘detailed evidentiary facts or to make minute findings as to individual items of evidence.’  [Citation.] </w:t>
      </w:r>
      <w:r w:rsidRPr="00B707D6" w:rsidR="00A74A2A">
        <w:t xml:space="preserve"> </w:t>
      </w:r>
      <w:r w:rsidRPr="00B707D6">
        <w:t>In addition, ‘[e]ven though a court fails to make a finding on a particular matter, if the judgment is otherwise supported, the omission is harmless error unless the evidence is sufficient to sustain a finding in favor of the complaining party which would have the effect of countervailing or destroying other findings.’</w:t>
      </w:r>
      <w:r w:rsidR="00472A9B">
        <w:t> </w:t>
      </w:r>
      <w:r w:rsidRPr="00B707D6">
        <w:t>”  (</w:t>
      </w:r>
      <w:r w:rsidRPr="00B707D6">
        <w:rPr>
          <w:i/>
          <w:iCs/>
        </w:rPr>
        <w:t>Thompson v. Asimos</w:t>
      </w:r>
      <w:r w:rsidRPr="00A00011" w:rsidR="00FD4B4C">
        <w:t>,</w:t>
      </w:r>
      <w:r w:rsidRPr="00B707D6" w:rsidR="00FD4B4C">
        <w:t xml:space="preserve"> </w:t>
      </w:r>
      <w:r w:rsidRPr="00B707D6" w:rsidR="00FD4B4C">
        <w:rPr>
          <w:i/>
          <w:iCs/>
        </w:rPr>
        <w:t>supra</w:t>
      </w:r>
      <w:r w:rsidRPr="00B707D6" w:rsidR="00FD4B4C">
        <w:t>,</w:t>
      </w:r>
      <w:r w:rsidRPr="00B707D6">
        <w:t xml:space="preserve"> 6 Cal.App.5th </w:t>
      </w:r>
      <w:r w:rsidRPr="00B707D6" w:rsidR="00FD4B4C">
        <w:t>at p.</w:t>
      </w:r>
      <w:r w:rsidRPr="00B707D6">
        <w:t xml:space="preserve"> 983.)</w:t>
      </w:r>
    </w:p>
    <w:p w:rsidR="00705E1E" w:rsidRPr="00B707D6" w:rsidP="00705E1E" w14:paraId="05DF9363" w14:textId="4A92F04C">
      <w:pPr>
        <w:ind w:firstLine="720"/>
      </w:pPr>
      <w:r w:rsidRPr="00B707D6">
        <w:t xml:space="preserve">Here, the statement of decision properly addressed each of the issues identified in defendants’ objections.  </w:t>
      </w:r>
      <w:r w:rsidRPr="00B707D6" w:rsidR="00C10E67">
        <w:t xml:space="preserve">They asked for the </w:t>
      </w:r>
      <w:r w:rsidR="00472A9B">
        <w:t xml:space="preserve">trial </w:t>
      </w:r>
      <w:r w:rsidRPr="00B707D6" w:rsidR="00C10E67">
        <w:t xml:space="preserve">court to resolve whether Hoglund’s claims were time-barred, whether the verdict was supported by the evidence, if Hoglund failed to mitigate damages or if her damages were otherwise limited, and if she could recover emotional distress damages.  The trial court provided a factual and legal basis for each of these findings in its statement of decision.  </w:t>
      </w:r>
      <w:r w:rsidRPr="00B707D6" w:rsidR="00115FAD">
        <w:t xml:space="preserve">Defendants point to no actual deficiencies in the statement of decision, beyond the conclusions of fact and law with which they substantively disagree.  </w:t>
      </w:r>
      <w:r w:rsidRPr="00B707D6" w:rsidR="009948C1">
        <w:t xml:space="preserve">A statement of decision is not insufficient simply because a party disagrees with the underlying findings.  </w:t>
      </w:r>
      <w:r w:rsidRPr="00B707D6" w:rsidR="00115FAD">
        <w:t>We accordingly reject defendants’ challenge to the statement of decision.</w:t>
      </w:r>
      <w:r>
        <w:rPr>
          <w:rStyle w:val="FootnoteReference"/>
          <w:szCs w:val="20"/>
        </w:rPr>
        <w:footnoteReference w:id="6"/>
      </w:r>
    </w:p>
    <w:p w:rsidR="00115FAD" w:rsidRPr="00041F59" w:rsidP="00D05669" w14:paraId="37D00748" w14:textId="7DB4FFF0">
      <w:pPr>
        <w:keepNext/>
        <w:jc w:val="center"/>
      </w:pPr>
      <w:r w:rsidRPr="00041F59">
        <w:t>V</w:t>
      </w:r>
    </w:p>
    <w:p w:rsidR="00115FAD" w:rsidRPr="00B707D6" w:rsidP="00D05669" w14:paraId="4C5B8254" w14:textId="48B0A4EE">
      <w:pPr>
        <w:keepNext/>
        <w:jc w:val="center"/>
        <w:rPr>
          <w:i/>
          <w:iCs/>
        </w:rPr>
      </w:pPr>
      <w:r w:rsidRPr="00B707D6">
        <w:rPr>
          <w:i/>
          <w:iCs/>
        </w:rPr>
        <w:t>Attorney Fees</w:t>
      </w:r>
    </w:p>
    <w:p w:rsidR="00290C6A" w:rsidRPr="00B707D6" w:rsidP="00290C6A" w14:paraId="4B52F491" w14:textId="4C9B552C">
      <w:pPr>
        <w:ind w:firstLine="720"/>
      </w:pPr>
      <w:r w:rsidRPr="00B707D6">
        <w:t xml:space="preserve">Defendants </w:t>
      </w:r>
      <w:r w:rsidRPr="00B707D6" w:rsidR="009948C1">
        <w:t xml:space="preserve">next </w:t>
      </w:r>
      <w:r w:rsidRPr="00B707D6">
        <w:t xml:space="preserve">challenge the trial court’s order awarding Hoglund $958,297 in attorneys’ fees.  </w:t>
      </w:r>
      <w:r w:rsidRPr="00B707D6" w:rsidR="00260452">
        <w:t>They contend Hoglund failed to provide satisfactory evidence that her</w:t>
      </w:r>
      <w:r w:rsidRPr="00B707D6" w:rsidR="009948C1">
        <w:t xml:space="preserve"> attorneys’</w:t>
      </w:r>
      <w:r w:rsidRPr="00B707D6" w:rsidR="00260452">
        <w:t xml:space="preserve"> requested rates were consistent with the rates in the community, and further contend the trial court erred by awarding a multiplier.  We conclude that the trial court</w:t>
      </w:r>
      <w:r w:rsidR="00A00011">
        <w:t xml:space="preserve"> did not</w:t>
      </w:r>
      <w:r w:rsidRPr="00B707D6" w:rsidR="00260452">
        <w:t xml:space="preserve"> </w:t>
      </w:r>
      <w:r w:rsidRPr="00B707D6" w:rsidR="00A00011">
        <w:t xml:space="preserve">abuse </w:t>
      </w:r>
      <w:r w:rsidR="00A00011">
        <w:t>its</w:t>
      </w:r>
      <w:r w:rsidRPr="00B707D6" w:rsidR="00A00011">
        <w:t xml:space="preserve"> discretion </w:t>
      </w:r>
      <w:r w:rsidR="00A00011">
        <w:t xml:space="preserve">in making the </w:t>
      </w:r>
      <w:r w:rsidRPr="00B707D6" w:rsidR="00260452">
        <w:t>fee award.</w:t>
      </w:r>
    </w:p>
    <w:p w:rsidR="00A044DB" w:rsidRPr="007B48C2" w:rsidP="007B48C2" w14:paraId="50F98B36" w14:textId="70387DF1">
      <w:pPr>
        <w:pStyle w:val="ListParagraph"/>
        <w:keepNext/>
        <w:numPr>
          <w:ilvl w:val="0"/>
          <w:numId w:val="5"/>
        </w:numPr>
        <w:rPr>
          <w:i/>
          <w:iCs/>
          <w:color w:val="3D3D3D"/>
        </w:rPr>
      </w:pPr>
      <w:r w:rsidRPr="007B48C2">
        <w:rPr>
          <w:i/>
          <w:iCs/>
          <w:color w:val="3D3D3D"/>
        </w:rPr>
        <w:t>The Trial Court’s Ruling</w:t>
      </w:r>
    </w:p>
    <w:p w:rsidR="00CB0BF3" w:rsidP="00CB0BF3" w14:paraId="719362CB" w14:textId="40DC6341">
      <w:pPr>
        <w:ind w:firstLine="720"/>
        <w:rPr>
          <w:color w:val="3D3D3D"/>
        </w:rPr>
      </w:pPr>
      <w:r w:rsidRPr="00B707D6">
        <w:rPr>
          <w:color w:val="3D3D3D"/>
        </w:rPr>
        <w:t xml:space="preserve">Following </w:t>
      </w:r>
      <w:r>
        <w:rPr>
          <w:color w:val="3D3D3D"/>
        </w:rPr>
        <w:t xml:space="preserve">the </w:t>
      </w:r>
      <w:r w:rsidRPr="00B707D6">
        <w:rPr>
          <w:color w:val="3D3D3D"/>
        </w:rPr>
        <w:t>trial, Hoglund moved for attorney fees in the amount of $1,274,828</w:t>
      </w:r>
      <w:r w:rsidRPr="00B707D6" w:rsidR="000949EA">
        <w:rPr>
          <w:color w:val="3D3D3D"/>
        </w:rPr>
        <w:t xml:space="preserve"> based on </w:t>
      </w:r>
      <w:r w:rsidRPr="00B707D6" w:rsidR="009948C1">
        <w:rPr>
          <w:color w:val="3D3D3D"/>
        </w:rPr>
        <w:t>the attorneys’</w:t>
      </w:r>
      <w:r w:rsidRPr="00B707D6" w:rsidR="000949EA">
        <w:rPr>
          <w:color w:val="3D3D3D"/>
        </w:rPr>
        <w:t xml:space="preserve"> hours</w:t>
      </w:r>
      <w:r w:rsidRPr="00B707D6" w:rsidR="009948C1">
        <w:rPr>
          <w:color w:val="3D3D3D"/>
        </w:rPr>
        <w:t xml:space="preserve"> expended</w:t>
      </w:r>
      <w:r w:rsidRPr="00B707D6" w:rsidR="000949EA">
        <w:rPr>
          <w:color w:val="3D3D3D"/>
        </w:rPr>
        <w:t xml:space="preserve">, </w:t>
      </w:r>
      <w:r w:rsidRPr="00B707D6" w:rsidR="009948C1">
        <w:rPr>
          <w:color w:val="3D3D3D"/>
        </w:rPr>
        <w:t xml:space="preserve">hourly </w:t>
      </w:r>
      <w:r w:rsidRPr="00B707D6" w:rsidR="000949EA">
        <w:rPr>
          <w:color w:val="3D3D3D"/>
        </w:rPr>
        <w:t xml:space="preserve">rates, and a positive multiplier. </w:t>
      </w:r>
      <w:r w:rsidRPr="00B707D6">
        <w:rPr>
          <w:color w:val="3D3D3D"/>
        </w:rPr>
        <w:t xml:space="preserve"> While defendants conceded she was entitled to fees under FEHA, they argued that the requested fee amount was excessive, and should be, at most, $523,902.  </w:t>
      </w:r>
      <w:r w:rsidRPr="00B707D6" w:rsidR="000949EA">
        <w:rPr>
          <w:color w:val="3D3D3D"/>
        </w:rPr>
        <w:t>The trial court found that the hours claimed by Hoglund were reasonable and adequately proven.  It also found that the hourly rates requested by Hoglund</w:t>
      </w:r>
      <w:r w:rsidR="00A86422">
        <w:rPr>
          <w:color w:val="3D3D3D"/>
        </w:rPr>
        <w:t>—</w:t>
      </w:r>
      <w:r w:rsidRPr="00B707D6" w:rsidR="000949EA">
        <w:rPr>
          <w:color w:val="3D3D3D"/>
        </w:rPr>
        <w:t>$550 for the lead attorney, $325 for associates, and $150 for paralegals</w:t>
      </w:r>
      <w:r w:rsidR="00A86422">
        <w:rPr>
          <w:color w:val="3D3D3D"/>
        </w:rPr>
        <w:t>—</w:t>
      </w:r>
      <w:r w:rsidRPr="00B707D6" w:rsidR="000949EA">
        <w:rPr>
          <w:color w:val="3D3D3D"/>
        </w:rPr>
        <w:t xml:space="preserve">were reasonable and supported by declarations, defendants’ own expert, and further justified by the complexity of the matter.  The trial court </w:t>
      </w:r>
      <w:r w:rsidRPr="00B707D6" w:rsidR="006E3BDD">
        <w:rPr>
          <w:color w:val="3D3D3D"/>
        </w:rPr>
        <w:t xml:space="preserve">then </w:t>
      </w:r>
      <w:r w:rsidRPr="00B707D6" w:rsidR="000949EA">
        <w:rPr>
          <w:color w:val="3D3D3D"/>
        </w:rPr>
        <w:t xml:space="preserve">awarded a multiplier of 1.5, based on the contingent risk associated with Hoglund’s counsel’s acceptance of the case, particularly </w:t>
      </w:r>
      <w:r w:rsidRPr="00B707D6" w:rsidR="007C6504">
        <w:rPr>
          <w:color w:val="3D3D3D"/>
        </w:rPr>
        <w:t>because</w:t>
      </w:r>
      <w:r w:rsidRPr="00B707D6" w:rsidR="000949EA">
        <w:rPr>
          <w:color w:val="3D3D3D"/>
        </w:rPr>
        <w:t xml:space="preserve"> the risk was not mitigated </w:t>
      </w:r>
      <w:r w:rsidRPr="00B707D6" w:rsidR="007C6504">
        <w:rPr>
          <w:color w:val="3D3D3D"/>
        </w:rPr>
        <w:t>through</w:t>
      </w:r>
      <w:r w:rsidRPr="00B707D6" w:rsidR="000949EA">
        <w:rPr>
          <w:color w:val="3D3D3D"/>
        </w:rPr>
        <w:t xml:space="preserve"> a partial payment by Hoglund.  The court also considered, to a lesser degree, the preclusion of other employment available to Hoglund’s attorneys by taking the case.  </w:t>
      </w:r>
      <w:r w:rsidRPr="00B707D6" w:rsidR="007C6504">
        <w:rPr>
          <w:color w:val="3D3D3D"/>
        </w:rPr>
        <w:t xml:space="preserve">The trial court reached the final </w:t>
      </w:r>
      <w:r w:rsidR="00136BDE">
        <w:rPr>
          <w:color w:val="3D3D3D"/>
        </w:rPr>
        <w:t xml:space="preserve">amount of </w:t>
      </w:r>
      <w:r w:rsidRPr="00B707D6" w:rsidR="007C6504">
        <w:rPr>
          <w:color w:val="3D3D3D"/>
        </w:rPr>
        <w:t>$958,297 by taking the lodestar of $633,061 multiplied by 1.5, plus additional fees of $8,704 for the preparation of the fee motion.</w:t>
      </w:r>
    </w:p>
    <w:p w:rsidR="007C6504" w:rsidRPr="00041F59" w:rsidP="00CB0BF3" w14:paraId="4BFD7EBD" w14:textId="0239DA5D">
      <w:pPr>
        <w:pStyle w:val="ListParagraph"/>
        <w:keepNext/>
        <w:numPr>
          <w:ilvl w:val="0"/>
          <w:numId w:val="5"/>
        </w:numPr>
        <w:ind w:left="907"/>
        <w:rPr>
          <w:color w:val="3D3D3D"/>
        </w:rPr>
      </w:pPr>
      <w:r w:rsidRPr="00041F59">
        <w:rPr>
          <w:i/>
          <w:iCs/>
          <w:color w:val="3D3D3D"/>
        </w:rPr>
        <w:t>Analysis</w:t>
      </w:r>
    </w:p>
    <w:p w:rsidR="007C6504" w:rsidRPr="00B707D6" w:rsidP="007C6504" w14:paraId="10DF4041" w14:textId="08A726E5">
      <w:pPr>
        <w:shd w:val="clear" w:color="auto" w:fill="FFFFFF"/>
        <w:ind w:firstLine="720"/>
        <w:textAlignment w:val="baseline"/>
        <w:rPr>
          <w:szCs w:val="24"/>
        </w:rPr>
      </w:pPr>
      <w:r w:rsidRPr="00B707D6">
        <w:rPr>
          <w:szCs w:val="24"/>
        </w:rPr>
        <w:t>“[A] prevailing plaintiff in a [FEHA] lawsuit is usually entitled by statute to receive an award of attorney fees.”  (</w:t>
      </w:r>
      <w:r w:rsidRPr="00B707D6">
        <w:rPr>
          <w:rStyle w:val="Emphasis"/>
          <w:szCs w:val="24"/>
          <w:bdr w:val="none" w:sz="0" w:space="0" w:color="auto" w:frame="1"/>
        </w:rPr>
        <w:t>Caldera v. Department of Corrections &amp; Rehabilitation</w:t>
      </w:r>
      <w:r w:rsidRPr="00B707D6">
        <w:rPr>
          <w:szCs w:val="24"/>
          <w:bdr w:val="none" w:sz="0" w:space="0" w:color="auto" w:frame="1"/>
        </w:rPr>
        <w:t> (2020) 48 Cal.App.5th 601, 606</w:t>
      </w:r>
      <w:r w:rsidR="00DE346E">
        <w:rPr>
          <w:szCs w:val="24"/>
          <w:bdr w:val="none" w:sz="0" w:space="0" w:color="auto" w:frame="1"/>
        </w:rPr>
        <w:t xml:space="preserve">; </w:t>
      </w:r>
      <w:r w:rsidRPr="00DE346E" w:rsidR="00DE346E">
        <w:rPr>
          <w:szCs w:val="24"/>
          <w:bdr w:val="none" w:sz="0" w:space="0" w:color="auto" w:frame="1"/>
        </w:rPr>
        <w:t>§ 12965, subd. (b)</w:t>
      </w:r>
      <w:r w:rsidRPr="00B707D6">
        <w:rPr>
          <w:szCs w:val="24"/>
        </w:rPr>
        <w:t>.)  In determining the amount of an attorney fee award under the [FEHA], courts generally use the well-established lodestar method.  (</w:t>
      </w:r>
      <w:r w:rsidRPr="00B707D6">
        <w:rPr>
          <w:rStyle w:val="Emphasis"/>
          <w:szCs w:val="24"/>
          <w:bdr w:val="none" w:sz="0" w:space="0" w:color="auto" w:frame="1"/>
        </w:rPr>
        <w:t>Caldera v. Department of Corrections &amp; Rehabilitation, supra</w:t>
      </w:r>
      <w:r w:rsidRPr="00B707D6">
        <w:rPr>
          <w:szCs w:val="24"/>
          <w:bdr w:val="none" w:sz="0" w:space="0" w:color="auto" w:frame="1"/>
        </w:rPr>
        <w:t>, 48 Cal.App.5th at p. 607</w:t>
      </w:r>
      <w:r w:rsidRPr="00B707D6">
        <w:rPr>
          <w:szCs w:val="24"/>
        </w:rPr>
        <w:t>.)  The trial court begins by calculating the lodestar figure based on the number of hours reasonably expended by counsel in the presentation of the case, multiplied by the prevailing hourly rate for private attorneys in the community conducting similar work.  (</w:t>
      </w:r>
      <w:r w:rsidRPr="00B707D6">
        <w:rPr>
          <w:rStyle w:val="Emphasis"/>
          <w:szCs w:val="24"/>
          <w:bdr w:val="none" w:sz="0" w:space="0" w:color="auto" w:frame="1"/>
        </w:rPr>
        <w:t>Ketchum v. Moses</w:t>
      </w:r>
      <w:r w:rsidRPr="00B707D6">
        <w:rPr>
          <w:szCs w:val="24"/>
          <w:bdr w:val="none" w:sz="0" w:space="0" w:color="auto" w:frame="1"/>
        </w:rPr>
        <w:t xml:space="preserve"> (2001) 24 Cal.4th 1122, 1131-1133 </w:t>
      </w:r>
      <w:r w:rsidRPr="00B707D6">
        <w:rPr>
          <w:szCs w:val="24"/>
        </w:rPr>
        <w:t>(</w:t>
      </w:r>
      <w:r w:rsidRPr="00B707D6">
        <w:rPr>
          <w:rStyle w:val="Emphasis"/>
          <w:szCs w:val="24"/>
          <w:bdr w:val="none" w:sz="0" w:space="0" w:color="auto" w:frame="1"/>
        </w:rPr>
        <w:t>Ketchum</w:t>
      </w:r>
      <w:r w:rsidRPr="00B707D6">
        <w:rPr>
          <w:szCs w:val="24"/>
        </w:rPr>
        <w:t>).)  The lodestar figure represents the “basic fee for comparable legal services in the community.”  (</w:t>
      </w:r>
      <w:r w:rsidRPr="00B707D6">
        <w:rPr>
          <w:rStyle w:val="Emphasis"/>
          <w:szCs w:val="24"/>
          <w:bdr w:val="none" w:sz="0" w:space="0" w:color="auto" w:frame="1"/>
        </w:rPr>
        <w:t>Id.</w:t>
      </w:r>
      <w:r w:rsidRPr="00B707D6">
        <w:rPr>
          <w:szCs w:val="24"/>
          <w:bdr w:val="none" w:sz="0" w:space="0" w:color="auto" w:frame="1"/>
        </w:rPr>
        <w:t> at p. 1132</w:t>
      </w:r>
      <w:r w:rsidRPr="00B707D6">
        <w:rPr>
          <w:szCs w:val="24"/>
        </w:rPr>
        <w:t>.)</w:t>
      </w:r>
    </w:p>
    <w:p w:rsidR="00A044DB" w:rsidRPr="00B707D6" w:rsidP="007C6504" w14:paraId="552C99E7" w14:textId="0329AED0">
      <w:pPr>
        <w:shd w:val="clear" w:color="auto" w:fill="FFFFFF"/>
        <w:ind w:firstLine="720"/>
        <w:textAlignment w:val="baseline"/>
        <w:rPr>
          <w:szCs w:val="24"/>
        </w:rPr>
      </w:pPr>
      <w:r w:rsidRPr="00B707D6">
        <w:rPr>
          <w:szCs w:val="24"/>
        </w:rPr>
        <w:t xml:space="preserve">Once the trial court has determined the lodestar figure, it may then increase or decrease that amount by applying a positive or negative “multiplier” to take other factors into account. </w:t>
      </w:r>
      <w:r w:rsidR="00736790">
        <w:rPr>
          <w:szCs w:val="24"/>
        </w:rPr>
        <w:t xml:space="preserve"> </w:t>
      </w:r>
      <w:r w:rsidRPr="00B707D6">
        <w:rPr>
          <w:szCs w:val="24"/>
        </w:rPr>
        <w:t>(</w:t>
      </w:r>
      <w:r w:rsidRPr="00B707D6">
        <w:rPr>
          <w:rStyle w:val="Emphasis"/>
          <w:szCs w:val="24"/>
          <w:bdr w:val="none" w:sz="0" w:space="0" w:color="auto" w:frame="1"/>
        </w:rPr>
        <w:t>Ketchum, supra</w:t>
      </w:r>
      <w:r w:rsidRPr="00B707D6">
        <w:rPr>
          <w:szCs w:val="24"/>
          <w:bdr w:val="none" w:sz="0" w:space="0" w:color="auto" w:frame="1"/>
        </w:rPr>
        <w:t>, 24 Cal.4th at p. 1132</w:t>
      </w:r>
      <w:r w:rsidRPr="00B707D6">
        <w:rPr>
          <w:szCs w:val="24"/>
        </w:rPr>
        <w:t xml:space="preserve">.) </w:t>
      </w:r>
      <w:r w:rsidRPr="00B707D6" w:rsidR="007C6504">
        <w:rPr>
          <w:szCs w:val="24"/>
        </w:rPr>
        <w:t xml:space="preserve"> </w:t>
      </w:r>
      <w:r w:rsidRPr="00B707D6">
        <w:rPr>
          <w:szCs w:val="24"/>
        </w:rPr>
        <w:t>Such factors may include, but are not limited to:</w:t>
      </w:r>
      <w:r w:rsidR="00736790">
        <w:rPr>
          <w:szCs w:val="24"/>
        </w:rPr>
        <w:t xml:space="preserve"> </w:t>
      </w:r>
      <w:r w:rsidRPr="00B707D6">
        <w:rPr>
          <w:szCs w:val="24"/>
        </w:rPr>
        <w:t xml:space="preserve"> (1)</w:t>
      </w:r>
      <w:r w:rsidR="00CA3A67">
        <w:rPr>
          <w:szCs w:val="24"/>
        </w:rPr>
        <w:t> </w:t>
      </w:r>
      <w:r w:rsidRPr="00B707D6">
        <w:rPr>
          <w:szCs w:val="24"/>
        </w:rPr>
        <w:t>the novelty and difficulty of the questions involved; (2)</w:t>
      </w:r>
      <w:r w:rsidR="00CA3A67">
        <w:rPr>
          <w:szCs w:val="24"/>
        </w:rPr>
        <w:t> </w:t>
      </w:r>
      <w:r w:rsidRPr="00B707D6">
        <w:rPr>
          <w:szCs w:val="24"/>
        </w:rPr>
        <w:t>the skill displayed in presenting them; (</w:t>
      </w:r>
      <w:r w:rsidRPr="00B707D6" w:rsidR="009B7E96">
        <w:rPr>
          <w:szCs w:val="24"/>
        </w:rPr>
        <w:t>3)</w:t>
      </w:r>
      <w:r w:rsidR="00CA3A67">
        <w:rPr>
          <w:szCs w:val="24"/>
        </w:rPr>
        <w:t> </w:t>
      </w:r>
      <w:r w:rsidRPr="00B707D6">
        <w:rPr>
          <w:szCs w:val="24"/>
        </w:rPr>
        <w:t>the extent to which the nature of the litigation precluded other employment</w:t>
      </w:r>
      <w:r w:rsidR="0049520A">
        <w:rPr>
          <w:szCs w:val="24"/>
        </w:rPr>
        <w:t xml:space="preserve"> by the attorneys</w:t>
      </w:r>
      <w:r w:rsidRPr="00B707D6">
        <w:rPr>
          <w:szCs w:val="24"/>
        </w:rPr>
        <w:t>; and (4)</w:t>
      </w:r>
      <w:r w:rsidR="00CA3A67">
        <w:rPr>
          <w:szCs w:val="24"/>
        </w:rPr>
        <w:t> </w:t>
      </w:r>
      <w:r w:rsidRPr="00B707D6">
        <w:rPr>
          <w:szCs w:val="24"/>
        </w:rPr>
        <w:t>the contingent nature of the fee award.</w:t>
      </w:r>
      <w:r w:rsidRPr="00B707D6" w:rsidR="007C6504">
        <w:rPr>
          <w:szCs w:val="24"/>
        </w:rPr>
        <w:t xml:space="preserve"> </w:t>
      </w:r>
      <w:r w:rsidRPr="00B707D6">
        <w:rPr>
          <w:szCs w:val="24"/>
        </w:rPr>
        <w:t xml:space="preserve"> (</w:t>
      </w:r>
      <w:r w:rsidRPr="00B707D6">
        <w:rPr>
          <w:rStyle w:val="Emphasis"/>
          <w:szCs w:val="24"/>
          <w:bdr w:val="none" w:sz="0" w:space="0" w:color="auto" w:frame="1"/>
        </w:rPr>
        <w:t>Ibid.</w:t>
      </w:r>
      <w:r w:rsidRPr="00B707D6">
        <w:rPr>
          <w:szCs w:val="24"/>
        </w:rPr>
        <w:t xml:space="preserve">) </w:t>
      </w:r>
      <w:r w:rsidRPr="00B707D6" w:rsidR="007C6504">
        <w:rPr>
          <w:szCs w:val="24"/>
        </w:rPr>
        <w:t xml:space="preserve"> </w:t>
      </w:r>
      <w:r w:rsidRPr="00B707D6">
        <w:rPr>
          <w:szCs w:val="24"/>
        </w:rPr>
        <w:t xml:space="preserve">The purpose of the adjustment is to “fix a fee at the fair market value for the particular action.” </w:t>
      </w:r>
      <w:r w:rsidRPr="00B707D6" w:rsidR="007C6504">
        <w:rPr>
          <w:szCs w:val="24"/>
        </w:rPr>
        <w:t xml:space="preserve"> </w:t>
      </w:r>
      <w:r w:rsidRPr="00B707D6">
        <w:rPr>
          <w:szCs w:val="24"/>
        </w:rPr>
        <w:t>(</w:t>
      </w:r>
      <w:r w:rsidRPr="00B707D6">
        <w:rPr>
          <w:rStyle w:val="Emphasis"/>
          <w:szCs w:val="24"/>
          <w:bdr w:val="none" w:sz="0" w:space="0" w:color="auto" w:frame="1"/>
        </w:rPr>
        <w:t>Ibid.</w:t>
      </w:r>
      <w:r w:rsidRPr="00B707D6">
        <w:rPr>
          <w:szCs w:val="24"/>
        </w:rPr>
        <w:t>)</w:t>
      </w:r>
    </w:p>
    <w:p w:rsidR="00A044DB" w:rsidRPr="00B707D6" w:rsidP="007C6504" w14:paraId="2B19184C" w14:textId="064E53DC">
      <w:pPr>
        <w:shd w:val="clear" w:color="auto" w:fill="FFFFFF"/>
        <w:ind w:firstLine="720"/>
        <w:textAlignment w:val="baseline"/>
        <w:rPr>
          <w:szCs w:val="24"/>
        </w:rPr>
      </w:pPr>
      <w:r w:rsidRPr="00B707D6">
        <w:rPr>
          <w:szCs w:val="24"/>
        </w:rPr>
        <w:t xml:space="preserve">Defendants first assert, without </w:t>
      </w:r>
      <w:r w:rsidR="00951839">
        <w:rPr>
          <w:szCs w:val="24"/>
        </w:rPr>
        <w:t xml:space="preserve">citing </w:t>
      </w:r>
      <w:r w:rsidRPr="00B707D6" w:rsidR="002A2BDD">
        <w:rPr>
          <w:szCs w:val="24"/>
        </w:rPr>
        <w:t>any legal authority</w:t>
      </w:r>
      <w:r w:rsidRPr="00B707D6">
        <w:rPr>
          <w:szCs w:val="24"/>
        </w:rPr>
        <w:t xml:space="preserve">, that we must review the trial court’s ruling de novo because it was issued by a judge who did not preside over the trial.  </w:t>
      </w:r>
      <w:r w:rsidRPr="00B707D6" w:rsidR="00F52CAB">
        <w:rPr>
          <w:szCs w:val="24"/>
        </w:rPr>
        <w:t>We are not aware of such</w:t>
      </w:r>
      <w:r w:rsidR="00A00011">
        <w:rPr>
          <w:szCs w:val="24"/>
        </w:rPr>
        <w:t xml:space="preserve"> a</w:t>
      </w:r>
      <w:r w:rsidRPr="00B707D6" w:rsidR="00F52CAB">
        <w:rPr>
          <w:szCs w:val="24"/>
        </w:rPr>
        <w:t xml:space="preserve"> rule, nor do the defendants </w:t>
      </w:r>
      <w:r w:rsidRPr="00B707D6" w:rsidR="009B7E96">
        <w:rPr>
          <w:szCs w:val="24"/>
        </w:rPr>
        <w:t>reference</w:t>
      </w:r>
      <w:r w:rsidRPr="00B707D6" w:rsidR="00F52CAB">
        <w:rPr>
          <w:szCs w:val="24"/>
        </w:rPr>
        <w:t xml:space="preserve"> one.  </w:t>
      </w:r>
      <w:r w:rsidR="00736790">
        <w:rPr>
          <w:szCs w:val="24"/>
        </w:rPr>
        <w:t>Indeed, it</w:t>
      </w:r>
      <w:r w:rsidRPr="00B707D6" w:rsidR="00F52CAB">
        <w:rPr>
          <w:szCs w:val="24"/>
        </w:rPr>
        <w:t xml:space="preserve"> </w:t>
      </w:r>
      <w:r w:rsidR="00736790">
        <w:rPr>
          <w:szCs w:val="24"/>
        </w:rPr>
        <w:t>is well established</w:t>
      </w:r>
      <w:r w:rsidRPr="00B707D6" w:rsidR="00F52CAB">
        <w:rPr>
          <w:szCs w:val="24"/>
        </w:rPr>
        <w:t xml:space="preserve"> that t</w:t>
      </w:r>
      <w:r w:rsidRPr="00B707D6">
        <w:rPr>
          <w:szCs w:val="24"/>
        </w:rPr>
        <w:t>he determination of what constitutes reasonable attorney fees is committed to the trial court</w:t>
      </w:r>
      <w:r w:rsidR="00136BDE">
        <w:rPr>
          <w:szCs w:val="24"/>
        </w:rPr>
        <w:t>’</w:t>
      </w:r>
      <w:r w:rsidRPr="00B707D6">
        <w:rPr>
          <w:szCs w:val="24"/>
        </w:rPr>
        <w:t xml:space="preserve">s sound discretion.  </w:t>
      </w:r>
      <w:r w:rsidRPr="00B707D6" w:rsidR="007C6504">
        <w:rPr>
          <w:szCs w:val="24"/>
        </w:rPr>
        <w:t>(</w:t>
      </w:r>
      <w:r w:rsidRPr="00B707D6" w:rsidR="007C6504">
        <w:rPr>
          <w:i/>
          <w:iCs/>
          <w:szCs w:val="24"/>
        </w:rPr>
        <w:t xml:space="preserve">PLCM Group, Inc. v. Drexler </w:t>
      </w:r>
      <w:r w:rsidRPr="00B707D6" w:rsidR="007C6504">
        <w:rPr>
          <w:szCs w:val="24"/>
        </w:rPr>
        <w:t>(2000) 22</w:t>
      </w:r>
      <w:r w:rsidR="009456E4">
        <w:rPr>
          <w:szCs w:val="24"/>
        </w:rPr>
        <w:t> </w:t>
      </w:r>
      <w:r w:rsidRPr="00B707D6" w:rsidR="007C6504">
        <w:rPr>
          <w:szCs w:val="24"/>
        </w:rPr>
        <w:t xml:space="preserve">Cal.4th 1084, </w:t>
      </w:r>
      <w:r w:rsidR="00DE346E">
        <w:rPr>
          <w:szCs w:val="24"/>
        </w:rPr>
        <w:t>1095-</w:t>
      </w:r>
      <w:r w:rsidRPr="00B707D6" w:rsidR="007C6504">
        <w:rPr>
          <w:szCs w:val="24"/>
        </w:rPr>
        <w:t xml:space="preserve">1096.)  </w:t>
      </w:r>
      <w:r w:rsidRPr="00B707D6">
        <w:rPr>
          <w:szCs w:val="24"/>
        </w:rPr>
        <w:t xml:space="preserve">An appellate court will interfere with a determination of reasonable attorney fees only if there has been a manifest abuse of discretion. </w:t>
      </w:r>
      <w:r w:rsidRPr="00B707D6" w:rsidR="007C6504">
        <w:rPr>
          <w:szCs w:val="24"/>
        </w:rPr>
        <w:t xml:space="preserve"> </w:t>
      </w:r>
      <w:r w:rsidRPr="00B707D6">
        <w:rPr>
          <w:szCs w:val="24"/>
        </w:rPr>
        <w:t>(</w:t>
      </w:r>
      <w:r w:rsidRPr="00B707D6">
        <w:rPr>
          <w:i/>
          <w:iCs/>
          <w:szCs w:val="24"/>
        </w:rPr>
        <w:t xml:space="preserve">Id. </w:t>
      </w:r>
      <w:r w:rsidRPr="00B707D6">
        <w:rPr>
          <w:szCs w:val="24"/>
        </w:rPr>
        <w:t>at p.</w:t>
      </w:r>
      <w:r w:rsidR="009456E4">
        <w:rPr>
          <w:szCs w:val="24"/>
        </w:rPr>
        <w:t> </w:t>
      </w:r>
      <w:r w:rsidRPr="00B707D6">
        <w:rPr>
          <w:szCs w:val="24"/>
        </w:rPr>
        <w:t>1095.)</w:t>
      </w:r>
      <w:r w:rsidRPr="00B707D6" w:rsidR="009B7E96">
        <w:rPr>
          <w:szCs w:val="24"/>
        </w:rPr>
        <w:t xml:space="preserve">  Accordingly, we turn to defendants’ arguments to determine whether any of the issues raised by defendants </w:t>
      </w:r>
      <w:r w:rsidR="00CA67E0">
        <w:rPr>
          <w:szCs w:val="24"/>
        </w:rPr>
        <w:t>evince</w:t>
      </w:r>
      <w:r w:rsidRPr="00B707D6" w:rsidR="009B7E96">
        <w:rPr>
          <w:szCs w:val="24"/>
        </w:rPr>
        <w:t xml:space="preserve"> an abuse of discretion.</w:t>
      </w:r>
    </w:p>
    <w:p w:rsidR="00CA67E0" w:rsidP="007C6504" w14:paraId="2A72D759" w14:textId="78B863BF">
      <w:pPr>
        <w:shd w:val="clear" w:color="auto" w:fill="FFFFFF"/>
        <w:ind w:firstLine="720"/>
        <w:textAlignment w:val="baseline"/>
        <w:rPr>
          <w:sz w:val="20"/>
          <w:szCs w:val="20"/>
        </w:rPr>
      </w:pPr>
      <w:r w:rsidRPr="00B707D6">
        <w:rPr>
          <w:szCs w:val="24"/>
        </w:rPr>
        <w:t>Defendants argue that Hoglund was required to provide evidence of the reasonable hourly rates in the Nevada County legal community</w:t>
      </w:r>
      <w:r w:rsidRPr="00B707D6" w:rsidR="00D14ED1">
        <w:rPr>
          <w:szCs w:val="24"/>
        </w:rPr>
        <w:t xml:space="preserve"> (</w:t>
      </w:r>
      <w:r w:rsidRPr="00B707D6">
        <w:rPr>
          <w:szCs w:val="24"/>
        </w:rPr>
        <w:t>where this case was litigated and tried</w:t>
      </w:r>
      <w:r w:rsidRPr="00B707D6" w:rsidR="00D14ED1">
        <w:rPr>
          <w:szCs w:val="24"/>
        </w:rPr>
        <w:t>)</w:t>
      </w:r>
      <w:r w:rsidRPr="00B707D6">
        <w:rPr>
          <w:szCs w:val="24"/>
        </w:rPr>
        <w:t xml:space="preserve">, and that their evidence of Sacramento hourly rates </w:t>
      </w:r>
      <w:r w:rsidRPr="00B707D6" w:rsidR="00D14ED1">
        <w:rPr>
          <w:szCs w:val="24"/>
        </w:rPr>
        <w:t>(where counsel is located) is</w:t>
      </w:r>
      <w:r w:rsidRPr="00B707D6">
        <w:rPr>
          <w:szCs w:val="24"/>
        </w:rPr>
        <w:t xml:space="preserve"> insufficient.  </w:t>
      </w:r>
      <w:r w:rsidRPr="00B707D6" w:rsidR="009B7E96">
        <w:rPr>
          <w:szCs w:val="24"/>
        </w:rPr>
        <w:t xml:space="preserve">We disagree.  </w:t>
      </w:r>
      <w:r w:rsidR="00736790">
        <w:rPr>
          <w:szCs w:val="24"/>
        </w:rPr>
        <w:t xml:space="preserve">While courts tend to default to </w:t>
      </w:r>
      <w:r w:rsidR="00136BDE">
        <w:rPr>
          <w:szCs w:val="24"/>
        </w:rPr>
        <w:t xml:space="preserve">the rates in </w:t>
      </w:r>
      <w:r w:rsidR="00736790">
        <w:rPr>
          <w:szCs w:val="24"/>
        </w:rPr>
        <w:t xml:space="preserve">the </w:t>
      </w:r>
      <w:r w:rsidR="00136BDE">
        <w:rPr>
          <w:szCs w:val="24"/>
        </w:rPr>
        <w:t>location</w:t>
      </w:r>
      <w:r w:rsidR="00736790">
        <w:rPr>
          <w:szCs w:val="24"/>
        </w:rPr>
        <w:t xml:space="preserve"> </w:t>
      </w:r>
      <w:r w:rsidR="00951839">
        <w:rPr>
          <w:szCs w:val="24"/>
        </w:rPr>
        <w:t xml:space="preserve">in which </w:t>
      </w:r>
      <w:r w:rsidR="00736790">
        <w:rPr>
          <w:szCs w:val="24"/>
        </w:rPr>
        <w:t xml:space="preserve">the case was litigated to determine </w:t>
      </w:r>
      <w:r w:rsidR="00136BDE">
        <w:rPr>
          <w:szCs w:val="24"/>
        </w:rPr>
        <w:t>reasonableness</w:t>
      </w:r>
      <w:r w:rsidR="00736790">
        <w:rPr>
          <w:szCs w:val="24"/>
        </w:rPr>
        <w:t xml:space="preserve"> (</w:t>
      </w:r>
      <w:r w:rsidR="00736790">
        <w:t xml:space="preserve">see </w:t>
      </w:r>
      <w:r w:rsidRPr="00625EE8" w:rsidR="00736790">
        <w:rPr>
          <w:i/>
          <w:iCs/>
        </w:rPr>
        <w:t>Altavion, Inc. v. Konica Minolta Sys</w:t>
      </w:r>
      <w:r w:rsidR="00B2440A">
        <w:rPr>
          <w:i/>
          <w:iCs/>
        </w:rPr>
        <w:t>tems</w:t>
      </w:r>
      <w:r w:rsidRPr="00625EE8" w:rsidR="00736790">
        <w:rPr>
          <w:i/>
          <w:iCs/>
        </w:rPr>
        <w:t xml:space="preserve"> Lab</w:t>
      </w:r>
      <w:r w:rsidR="00B2440A">
        <w:rPr>
          <w:i/>
          <w:iCs/>
        </w:rPr>
        <w:t>oratory</w:t>
      </w:r>
      <w:r w:rsidRPr="00625EE8" w:rsidR="00736790">
        <w:rPr>
          <w:i/>
          <w:iCs/>
        </w:rPr>
        <w:t>, Inc.</w:t>
      </w:r>
      <w:r w:rsidR="00736790">
        <w:rPr>
          <w:i/>
          <w:iCs/>
        </w:rPr>
        <w:t xml:space="preserve"> </w:t>
      </w:r>
      <w:r w:rsidR="00736790">
        <w:t xml:space="preserve">(2014) </w:t>
      </w:r>
      <w:r w:rsidRPr="00625EE8" w:rsidR="00736790">
        <w:t>226 Cal. App.4th 26, 72)</w:t>
      </w:r>
      <w:r w:rsidR="00736790">
        <w:t>, the</w:t>
      </w:r>
      <w:r w:rsidRPr="00B707D6" w:rsidR="0025018B">
        <w:rPr>
          <w:szCs w:val="24"/>
        </w:rPr>
        <w:t xml:space="preserve"> law does not </w:t>
      </w:r>
      <w:r w:rsidRPr="00B707D6" w:rsidR="0025018B">
        <w:rPr>
          <w:i/>
          <w:iCs/>
          <w:szCs w:val="24"/>
        </w:rPr>
        <w:t>require</w:t>
      </w:r>
      <w:r w:rsidRPr="00B707D6" w:rsidR="0025018B">
        <w:rPr>
          <w:szCs w:val="24"/>
        </w:rPr>
        <w:t xml:space="preserve"> </w:t>
      </w:r>
      <w:r w:rsidR="00736790">
        <w:rPr>
          <w:szCs w:val="24"/>
        </w:rPr>
        <w:t>this approach</w:t>
      </w:r>
      <w:r w:rsidRPr="00B707D6" w:rsidR="0025018B">
        <w:rPr>
          <w:szCs w:val="24"/>
        </w:rPr>
        <w:t xml:space="preserve">.  </w:t>
      </w:r>
      <w:r w:rsidR="00136BDE">
        <w:rPr>
          <w:szCs w:val="24"/>
        </w:rPr>
        <w:t>(</w:t>
      </w:r>
      <w:r w:rsidRPr="00136BDE" w:rsidR="00136BDE">
        <w:rPr>
          <w:i/>
          <w:iCs/>
          <w:szCs w:val="24"/>
        </w:rPr>
        <w:t>Ibid</w:t>
      </w:r>
      <w:r w:rsidR="00136BDE">
        <w:rPr>
          <w:szCs w:val="24"/>
        </w:rPr>
        <w:t xml:space="preserve">.)  </w:t>
      </w:r>
      <w:r w:rsidRPr="00136BDE" w:rsidR="00D14ED1">
        <w:rPr>
          <w:szCs w:val="24"/>
        </w:rPr>
        <w:t>This</w:t>
      </w:r>
      <w:r w:rsidRPr="00B707D6" w:rsidR="00D14ED1">
        <w:rPr>
          <w:szCs w:val="24"/>
        </w:rPr>
        <w:t xml:space="preserve"> is because the </w:t>
      </w:r>
      <w:r w:rsidRPr="00B707D6" w:rsidR="007A2B39">
        <w:rPr>
          <w:szCs w:val="24"/>
        </w:rPr>
        <w:t>court’s determination of the relevant legal “</w:t>
      </w:r>
      <w:r w:rsidR="00F15344">
        <w:rPr>
          <w:szCs w:val="24"/>
        </w:rPr>
        <w:t> </w:t>
      </w:r>
      <w:r w:rsidR="00DE346E">
        <w:rPr>
          <w:szCs w:val="24"/>
        </w:rPr>
        <w:t>‘</w:t>
      </w:r>
      <w:r w:rsidRPr="00B707D6" w:rsidR="007A2B39">
        <w:rPr>
          <w:szCs w:val="24"/>
        </w:rPr>
        <w:t>market</w:t>
      </w:r>
      <w:r w:rsidR="00DE346E">
        <w:rPr>
          <w:szCs w:val="24"/>
        </w:rPr>
        <w:t xml:space="preserve"> rate’ .</w:t>
      </w:r>
      <w:r w:rsidR="00F15344">
        <w:rPr>
          <w:szCs w:val="24"/>
        </w:rPr>
        <w:t> </w:t>
      </w:r>
      <w:r w:rsidR="00DE346E">
        <w:rPr>
          <w:szCs w:val="24"/>
        </w:rPr>
        <w:t>.</w:t>
      </w:r>
      <w:r w:rsidR="00F15344">
        <w:rPr>
          <w:szCs w:val="24"/>
        </w:rPr>
        <w:t> </w:t>
      </w:r>
      <w:r w:rsidR="00DE346E">
        <w:rPr>
          <w:szCs w:val="24"/>
        </w:rPr>
        <w:t>.</w:t>
      </w:r>
      <w:r w:rsidR="00F15344">
        <w:rPr>
          <w:szCs w:val="24"/>
        </w:rPr>
        <w:t> </w:t>
      </w:r>
      <w:r w:rsidRPr="00B707D6" w:rsidR="007A2B39">
        <w:rPr>
          <w:szCs w:val="24"/>
        </w:rPr>
        <w:t>lie[s] within [its] broad discretion.”  (</w:t>
      </w:r>
      <w:r w:rsidRPr="00B707D6" w:rsidR="007A2B39">
        <w:rPr>
          <w:i/>
          <w:iCs/>
          <w:szCs w:val="24"/>
        </w:rPr>
        <w:t xml:space="preserve">Syers Properties III, Inc. v. Rankin </w:t>
      </w:r>
      <w:r w:rsidRPr="00B707D6" w:rsidR="007A2B39">
        <w:rPr>
          <w:szCs w:val="24"/>
        </w:rPr>
        <w:t xml:space="preserve">(2014) 226 Cal.App.4th 691, 702-703.)  In </w:t>
      </w:r>
      <w:r w:rsidRPr="00B707D6" w:rsidR="00D14ED1">
        <w:rPr>
          <w:szCs w:val="24"/>
        </w:rPr>
        <w:t>setting a reasonable rate</w:t>
      </w:r>
      <w:r w:rsidRPr="00B707D6" w:rsidR="007A2B39">
        <w:rPr>
          <w:szCs w:val="24"/>
        </w:rPr>
        <w:t>, the</w:t>
      </w:r>
      <w:r w:rsidRPr="00B707D6" w:rsidR="0025018B">
        <w:rPr>
          <w:szCs w:val="24"/>
        </w:rPr>
        <w:t xml:space="preserve"> court may consider various factors beyond the applicable legal community, such as the attorney</w:t>
      </w:r>
      <w:r w:rsidRPr="00B707D6" w:rsidR="00D71CFA">
        <w:rPr>
          <w:szCs w:val="24"/>
        </w:rPr>
        <w:t>’</w:t>
      </w:r>
      <w:r w:rsidRPr="00B707D6" w:rsidR="0025018B">
        <w:rPr>
          <w:szCs w:val="24"/>
        </w:rPr>
        <w:t>s skill and experience, the nature of the work performed, the relevant area of expertise</w:t>
      </w:r>
      <w:r w:rsidR="00E6755C">
        <w:rPr>
          <w:szCs w:val="24"/>
        </w:rPr>
        <w:t>,</w:t>
      </w:r>
      <w:r w:rsidRPr="00B707D6" w:rsidR="0025018B">
        <w:rPr>
          <w:szCs w:val="24"/>
        </w:rPr>
        <w:t xml:space="preserve"> and the attorney</w:t>
      </w:r>
      <w:r w:rsidRPr="00B707D6" w:rsidR="00D71CFA">
        <w:rPr>
          <w:szCs w:val="24"/>
        </w:rPr>
        <w:t>’</w:t>
      </w:r>
      <w:r w:rsidRPr="00B707D6" w:rsidR="0025018B">
        <w:rPr>
          <w:szCs w:val="24"/>
        </w:rPr>
        <w:t xml:space="preserve">s customary billing rates. </w:t>
      </w:r>
      <w:r w:rsidRPr="00B707D6" w:rsidR="00D71CFA">
        <w:rPr>
          <w:szCs w:val="24"/>
        </w:rPr>
        <w:t xml:space="preserve"> (</w:t>
      </w:r>
      <w:r w:rsidRPr="00B707D6" w:rsidR="0025018B">
        <w:rPr>
          <w:i/>
          <w:iCs/>
          <w:szCs w:val="24"/>
        </w:rPr>
        <w:t>Flannery v. California Highway Patrol</w:t>
      </w:r>
      <w:r w:rsidRPr="00B707D6" w:rsidR="0025018B">
        <w:rPr>
          <w:szCs w:val="24"/>
        </w:rPr>
        <w:t> (1998) 61 C</w:t>
      </w:r>
      <w:r w:rsidRPr="00B707D6" w:rsidR="00D71CFA">
        <w:rPr>
          <w:szCs w:val="24"/>
        </w:rPr>
        <w:t>al.</w:t>
      </w:r>
      <w:r w:rsidRPr="00B707D6" w:rsidR="0025018B">
        <w:rPr>
          <w:szCs w:val="24"/>
        </w:rPr>
        <w:t>A</w:t>
      </w:r>
      <w:r w:rsidRPr="00B707D6" w:rsidR="00D71CFA">
        <w:rPr>
          <w:szCs w:val="24"/>
        </w:rPr>
        <w:t>pp.</w:t>
      </w:r>
      <w:r w:rsidRPr="00B707D6" w:rsidR="0025018B">
        <w:rPr>
          <w:szCs w:val="24"/>
        </w:rPr>
        <w:t>4th 629, 632-63</w:t>
      </w:r>
      <w:r w:rsidR="00DE346E">
        <w:rPr>
          <w:szCs w:val="24"/>
        </w:rPr>
        <w:t>3</w:t>
      </w:r>
      <w:r w:rsidRPr="00B707D6" w:rsidR="00D71CFA">
        <w:rPr>
          <w:szCs w:val="24"/>
        </w:rPr>
        <w:t>.)</w:t>
      </w:r>
      <w:r w:rsidRPr="00B707D6" w:rsidR="007A2B39">
        <w:rPr>
          <w:szCs w:val="24"/>
        </w:rPr>
        <w:t xml:space="preserve">  </w:t>
      </w:r>
      <w:r w:rsidRPr="00B707D6" w:rsidR="009B7E96">
        <w:rPr>
          <w:szCs w:val="24"/>
        </w:rPr>
        <w:t>As a result, the trial court is not legally confined to the four corners of the county where the case is tried to determine a reasonable rate.</w:t>
      </w:r>
      <w:r w:rsidR="00736790">
        <w:rPr>
          <w:szCs w:val="24"/>
        </w:rPr>
        <w:t xml:space="preserve">  Indeed</w:t>
      </w:r>
      <w:r w:rsidRPr="00B707D6" w:rsidR="00736790">
        <w:rPr>
          <w:szCs w:val="24"/>
        </w:rPr>
        <w:t>, our Supreme Court has upheld a fee award based on the prevailing market rate for comparable legal services “where counsel is located,” as opposed to where the case was litigated.  (</w:t>
      </w:r>
      <w:r w:rsidRPr="00B707D6" w:rsidR="00736790">
        <w:rPr>
          <w:i/>
          <w:iCs/>
          <w:szCs w:val="24"/>
        </w:rPr>
        <w:t>PLCM</w:t>
      </w:r>
      <w:r w:rsidRPr="00A3788B" w:rsidR="00A3788B">
        <w:rPr>
          <w:i/>
          <w:iCs/>
          <w:szCs w:val="24"/>
        </w:rPr>
        <w:t xml:space="preserve"> </w:t>
      </w:r>
      <w:r w:rsidRPr="00B707D6" w:rsidR="00C52936">
        <w:rPr>
          <w:i/>
          <w:iCs/>
          <w:szCs w:val="24"/>
        </w:rPr>
        <w:t xml:space="preserve">Group, Inc. </w:t>
      </w:r>
      <w:r w:rsidRPr="00B707D6" w:rsidR="00A3788B">
        <w:rPr>
          <w:i/>
          <w:iCs/>
          <w:szCs w:val="24"/>
        </w:rPr>
        <w:t>v. Drexler</w:t>
      </w:r>
      <w:r w:rsidRPr="00B707D6" w:rsidR="00736790">
        <w:rPr>
          <w:i/>
          <w:iCs/>
          <w:szCs w:val="24"/>
        </w:rPr>
        <w:t>, supra</w:t>
      </w:r>
      <w:r w:rsidRPr="00B707D6" w:rsidR="00736790">
        <w:rPr>
          <w:szCs w:val="24"/>
        </w:rPr>
        <w:t>, 22</w:t>
      </w:r>
      <w:r w:rsidR="009456E4">
        <w:rPr>
          <w:szCs w:val="24"/>
        </w:rPr>
        <w:t> </w:t>
      </w:r>
      <w:r w:rsidRPr="00B707D6" w:rsidR="00736790">
        <w:rPr>
          <w:szCs w:val="24"/>
        </w:rPr>
        <w:t>Cal.4th at p.</w:t>
      </w:r>
      <w:r w:rsidR="00C52936">
        <w:rPr>
          <w:szCs w:val="24"/>
        </w:rPr>
        <w:t> </w:t>
      </w:r>
      <w:r w:rsidRPr="00B707D6" w:rsidR="00736790">
        <w:rPr>
          <w:szCs w:val="24"/>
        </w:rPr>
        <w:t>1096.)</w:t>
      </w:r>
    </w:p>
    <w:p w:rsidR="001A0514" w:rsidRPr="00B707D6" w:rsidP="007C6504" w14:paraId="35613973" w14:textId="7F8D4922">
      <w:pPr>
        <w:shd w:val="clear" w:color="auto" w:fill="FFFFFF"/>
        <w:ind w:firstLine="720"/>
        <w:textAlignment w:val="baseline"/>
        <w:rPr>
          <w:szCs w:val="24"/>
        </w:rPr>
      </w:pPr>
      <w:r w:rsidRPr="00B707D6">
        <w:rPr>
          <w:szCs w:val="24"/>
        </w:rPr>
        <w:t xml:space="preserve">Here, </w:t>
      </w:r>
      <w:r w:rsidRPr="00B707D6" w:rsidR="00625EE8">
        <w:rPr>
          <w:szCs w:val="24"/>
        </w:rPr>
        <w:t>Hoglund’s requested</w:t>
      </w:r>
      <w:r w:rsidRPr="00B707D6">
        <w:rPr>
          <w:szCs w:val="24"/>
        </w:rPr>
        <w:t xml:space="preserve"> hourly rates </w:t>
      </w:r>
      <w:r w:rsidRPr="00B707D6" w:rsidR="00D14ED1">
        <w:rPr>
          <w:szCs w:val="24"/>
        </w:rPr>
        <w:t>are</w:t>
      </w:r>
      <w:r w:rsidRPr="00B707D6">
        <w:rPr>
          <w:szCs w:val="24"/>
        </w:rPr>
        <w:t xml:space="preserve"> supported by two attorney declarations</w:t>
      </w:r>
      <w:r w:rsidRPr="00B707D6" w:rsidR="00625EE8">
        <w:rPr>
          <w:szCs w:val="24"/>
        </w:rPr>
        <w:t xml:space="preserve">, setting forth </w:t>
      </w:r>
      <w:r w:rsidRPr="00B707D6" w:rsidR="00DA3D58">
        <w:rPr>
          <w:szCs w:val="24"/>
        </w:rPr>
        <w:t xml:space="preserve">in detail </w:t>
      </w:r>
      <w:r w:rsidRPr="00B707D6" w:rsidR="00625EE8">
        <w:rPr>
          <w:szCs w:val="24"/>
        </w:rPr>
        <w:t>the attorneys</w:t>
      </w:r>
      <w:r w:rsidRPr="00B707D6" w:rsidR="00DA3D58">
        <w:rPr>
          <w:szCs w:val="24"/>
        </w:rPr>
        <w:t>’ experience</w:t>
      </w:r>
      <w:r w:rsidRPr="00B707D6" w:rsidR="00625EE8">
        <w:rPr>
          <w:szCs w:val="24"/>
        </w:rPr>
        <w:t>, their prior fee awards, credentials, and the complexity and difficulty of the case</w:t>
      </w:r>
      <w:r w:rsidRPr="00B707D6">
        <w:rPr>
          <w:szCs w:val="24"/>
        </w:rPr>
        <w:t xml:space="preserve">.  </w:t>
      </w:r>
      <w:r w:rsidRPr="00B707D6" w:rsidR="00DA3D58">
        <w:rPr>
          <w:szCs w:val="24"/>
        </w:rPr>
        <w:t xml:space="preserve">And while the lead attorney requested an hourly rate of $550, </w:t>
      </w:r>
      <w:r w:rsidR="00B707D6">
        <w:rPr>
          <w:szCs w:val="24"/>
        </w:rPr>
        <w:t>an experience</w:t>
      </w:r>
      <w:r w:rsidR="004D13C2">
        <w:rPr>
          <w:szCs w:val="24"/>
        </w:rPr>
        <w:t>d</w:t>
      </w:r>
      <w:r w:rsidR="00B707D6">
        <w:rPr>
          <w:szCs w:val="24"/>
        </w:rPr>
        <w:t xml:space="preserve"> attorney familiar with the lead attorney and the case</w:t>
      </w:r>
      <w:r w:rsidRPr="00B707D6" w:rsidR="00DA3D58">
        <w:rPr>
          <w:szCs w:val="24"/>
        </w:rPr>
        <w:t xml:space="preserve"> </w:t>
      </w:r>
      <w:r w:rsidRPr="00B707D6">
        <w:rPr>
          <w:szCs w:val="24"/>
        </w:rPr>
        <w:t>declared</w:t>
      </w:r>
      <w:r w:rsidRPr="00B707D6" w:rsidR="00FB2F5D">
        <w:rPr>
          <w:szCs w:val="24"/>
        </w:rPr>
        <w:t xml:space="preserve"> that $650 </w:t>
      </w:r>
      <w:r w:rsidRPr="00B707D6" w:rsidR="00DA3D58">
        <w:rPr>
          <w:szCs w:val="24"/>
        </w:rPr>
        <w:t>would be</w:t>
      </w:r>
      <w:r w:rsidRPr="00B707D6" w:rsidR="00FB2F5D">
        <w:rPr>
          <w:szCs w:val="24"/>
        </w:rPr>
        <w:t xml:space="preserve"> a more appropriate hourly rate</w:t>
      </w:r>
      <w:r w:rsidRPr="00B707D6">
        <w:rPr>
          <w:szCs w:val="24"/>
        </w:rPr>
        <w:t xml:space="preserve"> </w:t>
      </w:r>
      <w:r w:rsidRPr="00B707D6" w:rsidR="00D14ED1">
        <w:rPr>
          <w:szCs w:val="24"/>
        </w:rPr>
        <w:t xml:space="preserve">than $550 </w:t>
      </w:r>
      <w:r w:rsidRPr="00B707D6" w:rsidR="00FB2F5D">
        <w:rPr>
          <w:szCs w:val="24"/>
        </w:rPr>
        <w:t xml:space="preserve">based on the lead attorney’s 37 years of experience and skills.  </w:t>
      </w:r>
      <w:r w:rsidRPr="00B707D6" w:rsidR="003C5DA9">
        <w:rPr>
          <w:szCs w:val="24"/>
        </w:rPr>
        <w:t>D</w:t>
      </w:r>
      <w:r w:rsidRPr="00B707D6" w:rsidR="00625EE8">
        <w:rPr>
          <w:szCs w:val="24"/>
        </w:rPr>
        <w:t xml:space="preserve">efendants’ </w:t>
      </w:r>
      <w:r w:rsidRPr="00B707D6" w:rsidR="00FB2F5D">
        <w:rPr>
          <w:szCs w:val="24"/>
        </w:rPr>
        <w:t>expert</w:t>
      </w:r>
      <w:r w:rsidRPr="00B707D6" w:rsidR="003C5DA9">
        <w:rPr>
          <w:szCs w:val="24"/>
        </w:rPr>
        <w:t>, in turn,</w:t>
      </w:r>
      <w:r w:rsidRPr="00B707D6" w:rsidR="00FB2F5D">
        <w:rPr>
          <w:szCs w:val="24"/>
        </w:rPr>
        <w:t xml:space="preserve"> </w:t>
      </w:r>
      <w:r w:rsidRPr="00B707D6" w:rsidR="00625EE8">
        <w:rPr>
          <w:szCs w:val="24"/>
        </w:rPr>
        <w:t>opined</w:t>
      </w:r>
      <w:r w:rsidRPr="00B707D6" w:rsidR="00FB2F5D">
        <w:rPr>
          <w:szCs w:val="24"/>
        </w:rPr>
        <w:t xml:space="preserve"> that the $550 rate was “high,</w:t>
      </w:r>
      <w:r w:rsidRPr="00B707D6" w:rsidR="00625EE8">
        <w:rPr>
          <w:szCs w:val="24"/>
        </w:rPr>
        <w:t xml:space="preserve">” </w:t>
      </w:r>
      <w:r w:rsidRPr="00B707D6" w:rsidR="003C5DA9">
        <w:rPr>
          <w:szCs w:val="24"/>
        </w:rPr>
        <w:t>yet</w:t>
      </w:r>
      <w:r w:rsidRPr="00B707D6" w:rsidR="00625EE8">
        <w:rPr>
          <w:szCs w:val="24"/>
        </w:rPr>
        <w:t xml:space="preserve"> conceded that </w:t>
      </w:r>
      <w:r w:rsidRPr="00B707D6" w:rsidR="003C5DA9">
        <w:rPr>
          <w:szCs w:val="24"/>
        </w:rPr>
        <w:t>the rate</w:t>
      </w:r>
      <w:r w:rsidRPr="00B707D6" w:rsidR="00FB2F5D">
        <w:rPr>
          <w:szCs w:val="24"/>
        </w:rPr>
        <w:t xml:space="preserve"> </w:t>
      </w:r>
      <w:r w:rsidRPr="00B707D6" w:rsidR="00625EE8">
        <w:rPr>
          <w:szCs w:val="24"/>
        </w:rPr>
        <w:t>“</w:t>
      </w:r>
      <w:r w:rsidRPr="00B707D6" w:rsidR="00FB2F5D">
        <w:rPr>
          <w:szCs w:val="24"/>
        </w:rPr>
        <w:t xml:space="preserve">may be appropriate given [the attorney’s] level of experience.”  </w:t>
      </w:r>
      <w:r w:rsidRPr="00B707D6" w:rsidR="00625EE8">
        <w:rPr>
          <w:szCs w:val="24"/>
        </w:rPr>
        <w:t xml:space="preserve">Similarly, although defendants argue that the $325 rate </w:t>
      </w:r>
      <w:r w:rsidRPr="00B707D6" w:rsidR="003C5DA9">
        <w:rPr>
          <w:szCs w:val="24"/>
        </w:rPr>
        <w:t>is</w:t>
      </w:r>
      <w:r w:rsidRPr="00B707D6" w:rsidR="00625EE8">
        <w:rPr>
          <w:szCs w:val="24"/>
        </w:rPr>
        <w:t xml:space="preserve"> too high given the relative inexperience of the associates, defendants’ expert</w:t>
      </w:r>
      <w:r w:rsidRPr="00B707D6" w:rsidR="00FB2F5D">
        <w:rPr>
          <w:szCs w:val="24"/>
        </w:rPr>
        <w:t xml:space="preserve"> included an audit of billing rates in Sacramento from six years prior, which reflect</w:t>
      </w:r>
      <w:r w:rsidRPr="00B707D6" w:rsidR="003C5DA9">
        <w:rPr>
          <w:szCs w:val="24"/>
        </w:rPr>
        <w:t>s</w:t>
      </w:r>
      <w:r w:rsidRPr="00B707D6" w:rsidR="00FB2F5D">
        <w:rPr>
          <w:szCs w:val="24"/>
        </w:rPr>
        <w:t xml:space="preserve"> that $305 was a reasonable hourly rate for </w:t>
      </w:r>
      <w:r w:rsidRPr="00B707D6" w:rsidR="00625EE8">
        <w:rPr>
          <w:szCs w:val="24"/>
        </w:rPr>
        <w:t>new associates at that time</w:t>
      </w:r>
      <w:r w:rsidRPr="00B707D6" w:rsidR="00FB2F5D">
        <w:rPr>
          <w:szCs w:val="24"/>
        </w:rPr>
        <w:t xml:space="preserve">.  </w:t>
      </w:r>
      <w:r w:rsidRPr="00B707D6" w:rsidR="00DB2B0F">
        <w:rPr>
          <w:szCs w:val="24"/>
        </w:rPr>
        <w:t xml:space="preserve">It was therefore </w:t>
      </w:r>
      <w:r w:rsidRPr="00B707D6" w:rsidR="00625EE8">
        <w:rPr>
          <w:szCs w:val="24"/>
        </w:rPr>
        <w:t xml:space="preserve">well </w:t>
      </w:r>
      <w:r w:rsidRPr="00B707D6" w:rsidR="00DB2B0F">
        <w:rPr>
          <w:szCs w:val="24"/>
        </w:rPr>
        <w:t>within the trial court’s discretion to conclude that Hoglund’s requested rate</w:t>
      </w:r>
      <w:r w:rsidRPr="00B707D6" w:rsidR="00625EE8">
        <w:rPr>
          <w:szCs w:val="24"/>
        </w:rPr>
        <w:t>s</w:t>
      </w:r>
      <w:r w:rsidRPr="00B707D6" w:rsidR="00DB2B0F">
        <w:rPr>
          <w:szCs w:val="24"/>
        </w:rPr>
        <w:t xml:space="preserve"> </w:t>
      </w:r>
      <w:r w:rsidRPr="00B707D6" w:rsidR="00625EE8">
        <w:rPr>
          <w:szCs w:val="24"/>
        </w:rPr>
        <w:t>were reasonable and supported by the evidence.</w:t>
      </w:r>
    </w:p>
    <w:p w:rsidR="008B5D9B" w:rsidRPr="00B707D6" w:rsidP="008B5D9B" w14:paraId="46833DC2" w14:textId="73C94AB9">
      <w:pPr>
        <w:shd w:val="clear" w:color="auto" w:fill="FFFFFF"/>
        <w:ind w:firstLine="720"/>
        <w:textAlignment w:val="baseline"/>
        <w:rPr>
          <w:szCs w:val="24"/>
        </w:rPr>
      </w:pPr>
      <w:r w:rsidRPr="00B707D6">
        <w:rPr>
          <w:szCs w:val="24"/>
        </w:rPr>
        <w:t xml:space="preserve">Defendants next argue that the 1.5 multiplier should be rejected, because </w:t>
      </w:r>
      <w:r w:rsidR="004D13C2">
        <w:rPr>
          <w:szCs w:val="24"/>
        </w:rPr>
        <w:t>the</w:t>
      </w:r>
      <w:r w:rsidRPr="00B707D6">
        <w:rPr>
          <w:szCs w:val="24"/>
        </w:rPr>
        <w:t xml:space="preserve"> multiplier was duplicative of the high rates</w:t>
      </w:r>
      <w:r w:rsidR="004D13C2">
        <w:rPr>
          <w:szCs w:val="24"/>
        </w:rPr>
        <w:t>, and there was no permissible independent basis for the multiplier</w:t>
      </w:r>
      <w:r w:rsidRPr="00B707D6">
        <w:rPr>
          <w:szCs w:val="24"/>
        </w:rPr>
        <w:t>.  While using a single factor to increase a lodestar and to justify a multiplier amounts to impermissible double counting (</w:t>
      </w:r>
      <w:r w:rsidRPr="00B707D6">
        <w:rPr>
          <w:i/>
          <w:iCs/>
          <w:szCs w:val="24"/>
        </w:rPr>
        <w:t>Ketchum</w:t>
      </w:r>
      <w:r w:rsidRPr="00D37B42">
        <w:rPr>
          <w:i/>
          <w:iCs/>
          <w:szCs w:val="24"/>
        </w:rPr>
        <w:t>,</w:t>
      </w:r>
      <w:r w:rsidRPr="00B707D6">
        <w:rPr>
          <w:szCs w:val="24"/>
        </w:rPr>
        <w:t> </w:t>
      </w:r>
      <w:r w:rsidRPr="00B707D6">
        <w:rPr>
          <w:i/>
          <w:iCs/>
          <w:szCs w:val="24"/>
        </w:rPr>
        <w:t>supra</w:t>
      </w:r>
      <w:r w:rsidRPr="00B707D6">
        <w:rPr>
          <w:szCs w:val="24"/>
        </w:rPr>
        <w:t>, 24</w:t>
      </w:r>
      <w:r w:rsidR="007C32E4">
        <w:rPr>
          <w:szCs w:val="24"/>
        </w:rPr>
        <w:t> </w:t>
      </w:r>
      <w:r w:rsidRPr="00B707D6">
        <w:rPr>
          <w:szCs w:val="24"/>
        </w:rPr>
        <w:t>Cal.4th at pp.</w:t>
      </w:r>
      <w:r w:rsidR="009456E4">
        <w:rPr>
          <w:szCs w:val="24"/>
        </w:rPr>
        <w:t> </w:t>
      </w:r>
      <w:r w:rsidRPr="00B707D6">
        <w:rPr>
          <w:szCs w:val="24"/>
        </w:rPr>
        <w:t xml:space="preserve">1138-1139), the trial court here did no such thing.  In fact, the trial court was careful to </w:t>
      </w:r>
      <w:r w:rsidR="007F3B44">
        <w:rPr>
          <w:szCs w:val="24"/>
        </w:rPr>
        <w:t>explicitly</w:t>
      </w:r>
      <w:r w:rsidRPr="00B707D6">
        <w:rPr>
          <w:szCs w:val="24"/>
        </w:rPr>
        <w:t xml:space="preserve"> grant the multiplier due to the contingent nature of the case, which it did not consider when determining the reasonable base rate.  A contingent risk factor alone can be sufficient to justify a fee enhancement (</w:t>
      </w:r>
      <w:r w:rsidRPr="00B707D6">
        <w:rPr>
          <w:i/>
          <w:iCs/>
          <w:szCs w:val="24"/>
        </w:rPr>
        <w:t>Sonoma Land Tr</w:t>
      </w:r>
      <w:r w:rsidR="007C32E4">
        <w:rPr>
          <w:i/>
          <w:iCs/>
          <w:szCs w:val="24"/>
        </w:rPr>
        <w:t>ust</w:t>
      </w:r>
      <w:r w:rsidRPr="00B707D6">
        <w:rPr>
          <w:i/>
          <w:iCs/>
          <w:szCs w:val="24"/>
        </w:rPr>
        <w:t xml:space="preserve"> v. Thompson</w:t>
      </w:r>
      <w:r w:rsidRPr="00B707D6">
        <w:rPr>
          <w:szCs w:val="24"/>
        </w:rPr>
        <w:t xml:space="preserve"> (2021) 63</w:t>
      </w:r>
      <w:r w:rsidR="009456E4">
        <w:rPr>
          <w:szCs w:val="24"/>
        </w:rPr>
        <w:t> </w:t>
      </w:r>
      <w:r w:rsidRPr="00B707D6">
        <w:rPr>
          <w:szCs w:val="24"/>
        </w:rPr>
        <w:t>Cal. App. 5th 978, 988</w:t>
      </w:r>
      <w:r w:rsidRPr="00B707D6" w:rsidR="00523AFD">
        <w:rPr>
          <w:szCs w:val="24"/>
        </w:rPr>
        <w:t>)</w:t>
      </w:r>
      <w:r w:rsidRPr="00B707D6">
        <w:rPr>
          <w:szCs w:val="24"/>
        </w:rPr>
        <w:t xml:space="preserve">, and here, the contingent nature </w:t>
      </w:r>
      <w:r w:rsidRPr="00B707D6" w:rsidR="006E3C99">
        <w:rPr>
          <w:szCs w:val="24"/>
        </w:rPr>
        <w:t xml:space="preserve">of the fee agreement </w:t>
      </w:r>
      <w:r w:rsidRPr="00B707D6">
        <w:rPr>
          <w:szCs w:val="24"/>
        </w:rPr>
        <w:t xml:space="preserve">and </w:t>
      </w:r>
      <w:r w:rsidRPr="00B707D6" w:rsidR="006E3C99">
        <w:rPr>
          <w:szCs w:val="24"/>
        </w:rPr>
        <w:t xml:space="preserve">corresponding </w:t>
      </w:r>
      <w:r w:rsidRPr="00B707D6">
        <w:rPr>
          <w:szCs w:val="24"/>
        </w:rPr>
        <w:t xml:space="preserve">risk </w:t>
      </w:r>
      <w:r w:rsidRPr="00B707D6" w:rsidR="006E3C99">
        <w:rPr>
          <w:szCs w:val="24"/>
        </w:rPr>
        <w:t xml:space="preserve">that Hoglund’s counsel absorbed as a result </w:t>
      </w:r>
      <w:r w:rsidR="007F3B44">
        <w:rPr>
          <w:szCs w:val="24"/>
        </w:rPr>
        <w:t>are</w:t>
      </w:r>
      <w:r w:rsidRPr="00B707D6" w:rsidR="006E3C99">
        <w:rPr>
          <w:szCs w:val="24"/>
        </w:rPr>
        <w:t xml:space="preserve"> well documented by her declaration.  Defendants have thus failed to show that the trial court’s use of the multiplier was an abuse of discretion.</w:t>
      </w:r>
      <w:r w:rsidR="004D13C2">
        <w:rPr>
          <w:szCs w:val="24"/>
        </w:rPr>
        <w:t xml:space="preserve">  Based on the foregoing, we affirm the award of fees.</w:t>
      </w:r>
    </w:p>
    <w:p w:rsidR="00800250" w:rsidRPr="00041F59" w:rsidP="00D05669" w14:paraId="01D8A5BC" w14:textId="5641B024">
      <w:pPr>
        <w:keepNext/>
        <w:shd w:val="clear" w:color="auto" w:fill="FFFFFF"/>
        <w:jc w:val="center"/>
        <w:textAlignment w:val="baseline"/>
        <w:rPr>
          <w:szCs w:val="24"/>
        </w:rPr>
      </w:pPr>
      <w:r w:rsidRPr="00041F59">
        <w:rPr>
          <w:szCs w:val="24"/>
        </w:rPr>
        <w:t>V</w:t>
      </w:r>
      <w:r w:rsidR="00F2102E">
        <w:rPr>
          <w:szCs w:val="24"/>
        </w:rPr>
        <w:t>I</w:t>
      </w:r>
    </w:p>
    <w:p w:rsidR="00800250" w:rsidRPr="00B707D6" w:rsidP="00D05669" w14:paraId="11536B1B" w14:textId="57D13CE3">
      <w:pPr>
        <w:keepNext/>
        <w:shd w:val="clear" w:color="auto" w:fill="FFFFFF"/>
        <w:jc w:val="center"/>
        <w:textAlignment w:val="baseline"/>
        <w:rPr>
          <w:i/>
          <w:iCs/>
          <w:szCs w:val="24"/>
        </w:rPr>
      </w:pPr>
      <w:r w:rsidRPr="00B707D6">
        <w:rPr>
          <w:i/>
          <w:iCs/>
          <w:szCs w:val="24"/>
        </w:rPr>
        <w:t>Costs</w:t>
      </w:r>
    </w:p>
    <w:p w:rsidR="00970588" w:rsidRPr="00B707D6" w:rsidP="00D05669" w14:paraId="58A36048" w14:textId="79FE3DFF">
      <w:pPr>
        <w:shd w:val="clear" w:color="auto" w:fill="FFFFFF"/>
        <w:ind w:firstLine="720"/>
        <w:textAlignment w:val="baseline"/>
        <w:rPr>
          <w:szCs w:val="24"/>
        </w:rPr>
      </w:pPr>
      <w:r w:rsidRPr="00B707D6">
        <w:rPr>
          <w:szCs w:val="24"/>
        </w:rPr>
        <w:t>Defendants assert that the trial court erred by awarding costs for service of process fees and for transcripts.  We are not persuaded.</w:t>
      </w:r>
    </w:p>
    <w:p w:rsidR="00970588" w:rsidRPr="00B707D6" w:rsidP="00970588" w14:paraId="0E9B50F2" w14:textId="782045BC">
      <w:pPr>
        <w:shd w:val="clear" w:color="auto" w:fill="FFFFFF"/>
        <w:ind w:firstLine="720"/>
        <w:textAlignment w:val="baseline"/>
        <w:rPr>
          <w:szCs w:val="24"/>
        </w:rPr>
      </w:pPr>
      <w:r w:rsidRPr="00B707D6">
        <w:rPr>
          <w:szCs w:val="24"/>
        </w:rPr>
        <w:t xml:space="preserve">They first argue that the trial court abused its discretion by permitting $2,582 for service of process fees, because their necessity and reasonableness cannot be determined, and because the fees are “duplicative.”  </w:t>
      </w:r>
      <w:r w:rsidR="007F3B44">
        <w:rPr>
          <w:szCs w:val="24"/>
        </w:rPr>
        <w:t>Here, Hoglund is the prevailing party, and a</w:t>
      </w:r>
      <w:r w:rsidRPr="00B707D6">
        <w:rPr>
          <w:szCs w:val="24"/>
        </w:rPr>
        <w:t xml:space="preserve"> prevailing party may recover service of process fees.  (Code Civ. Pro</w:t>
      </w:r>
      <w:r w:rsidR="00836146">
        <w:rPr>
          <w:szCs w:val="24"/>
        </w:rPr>
        <w:t>c</w:t>
      </w:r>
      <w:r w:rsidRPr="00B707D6">
        <w:rPr>
          <w:szCs w:val="24"/>
        </w:rPr>
        <w:t>.</w:t>
      </w:r>
      <w:r w:rsidR="00B6183E">
        <w:rPr>
          <w:szCs w:val="24"/>
        </w:rPr>
        <w:t>,</w:t>
      </w:r>
      <w:r w:rsidRPr="00B707D6">
        <w:rPr>
          <w:szCs w:val="24"/>
        </w:rPr>
        <w:t xml:space="preserve"> § 1033.5, subd. (a)(4).)  Thus, the burden is on defendants to show these costs are unnecessary or unreasonable, such that the trial court’s award of these costs was an abuse of discretion.  (</w:t>
      </w:r>
      <w:r w:rsidRPr="00B707D6">
        <w:rPr>
          <w:i/>
          <w:iCs/>
          <w:szCs w:val="24"/>
        </w:rPr>
        <w:t xml:space="preserve">Los Alamito Unified School District v. Howard Contracting, Inc. </w:t>
      </w:r>
      <w:r w:rsidRPr="00B707D6">
        <w:rPr>
          <w:szCs w:val="24"/>
        </w:rPr>
        <w:t xml:space="preserve">(2014) 229Cal.App.4th. 1222, 1232.)  Hoglund’s counsel </w:t>
      </w:r>
      <w:r w:rsidRPr="00B707D6" w:rsidR="000456E5">
        <w:rPr>
          <w:szCs w:val="24"/>
        </w:rPr>
        <w:t xml:space="preserve">provided a declaration that specified the date of service, the reason for service, the company used, and why </w:t>
      </w:r>
      <w:r w:rsidR="009B730D">
        <w:rPr>
          <w:szCs w:val="24"/>
        </w:rPr>
        <w:t xml:space="preserve">the </w:t>
      </w:r>
      <w:r w:rsidRPr="00B707D6" w:rsidR="00523AFD">
        <w:rPr>
          <w:szCs w:val="24"/>
        </w:rPr>
        <w:t>service</w:t>
      </w:r>
      <w:r w:rsidRPr="00B707D6" w:rsidR="000456E5">
        <w:rPr>
          <w:szCs w:val="24"/>
        </w:rPr>
        <w:t xml:space="preserve"> was reasonably necessary.  The trial court found that </w:t>
      </w:r>
      <w:r w:rsidRPr="00B707D6" w:rsidR="00523AFD">
        <w:rPr>
          <w:szCs w:val="24"/>
        </w:rPr>
        <w:t>this</w:t>
      </w:r>
      <w:r w:rsidRPr="00B707D6" w:rsidR="000456E5">
        <w:rPr>
          <w:szCs w:val="24"/>
        </w:rPr>
        <w:t xml:space="preserve"> detailed </w:t>
      </w:r>
      <w:r w:rsidRPr="00B707D6" w:rsidR="00523AFD">
        <w:rPr>
          <w:szCs w:val="24"/>
        </w:rPr>
        <w:t>evidence</w:t>
      </w:r>
      <w:r w:rsidRPr="00B707D6" w:rsidR="000456E5">
        <w:rPr>
          <w:szCs w:val="24"/>
        </w:rPr>
        <w:t xml:space="preserve"> of service of process fees “credibly addresses [defendants’] claims of duplicative service.”  Defendants simply ignore this evidence when making their argument.  They have therefore given us no reason to disturb the trial court’s finding.</w:t>
      </w:r>
    </w:p>
    <w:p w:rsidR="00ED1AE0" w:rsidRPr="00B707D6" w:rsidP="00BB6C8E" w14:paraId="2F16FCAE" w14:textId="7F569F10">
      <w:pPr>
        <w:shd w:val="clear" w:color="auto" w:fill="FFFFFF"/>
        <w:ind w:firstLine="720"/>
        <w:textAlignment w:val="baseline"/>
        <w:rPr>
          <w:szCs w:val="24"/>
        </w:rPr>
      </w:pPr>
      <w:r w:rsidRPr="00B707D6">
        <w:rPr>
          <w:szCs w:val="24"/>
        </w:rPr>
        <w:t>Defendants also challenge</w:t>
      </w:r>
      <w:r w:rsidR="009B730D">
        <w:rPr>
          <w:szCs w:val="24"/>
        </w:rPr>
        <w:t>d</w:t>
      </w:r>
      <w:r w:rsidRPr="00B707D6">
        <w:rPr>
          <w:szCs w:val="24"/>
        </w:rPr>
        <w:t xml:space="preserve"> the recovery of $10,626 for court transcripts, because the trial court did not order them, the parties agreed to split the cost</w:t>
      </w:r>
      <w:r w:rsidRPr="00B707D6" w:rsidR="004D10C1">
        <w:rPr>
          <w:szCs w:val="24"/>
        </w:rPr>
        <w:t>, and Hoglund did not provide a receipt</w:t>
      </w:r>
      <w:r w:rsidRPr="00B707D6">
        <w:rPr>
          <w:szCs w:val="24"/>
        </w:rPr>
        <w:t xml:space="preserve">.  </w:t>
      </w:r>
      <w:r w:rsidRPr="00B707D6" w:rsidR="004D10C1">
        <w:rPr>
          <w:szCs w:val="24"/>
        </w:rPr>
        <w:t xml:space="preserve">Here, the trial court awarded these costs pursuant to section 12965, subdivision (c)(6), which permits additional costs beyond those identified in Code </w:t>
      </w:r>
      <w:r w:rsidR="00FB56AF">
        <w:rPr>
          <w:szCs w:val="24"/>
        </w:rPr>
        <w:t xml:space="preserve">of </w:t>
      </w:r>
      <w:r w:rsidRPr="00B707D6" w:rsidR="004D10C1">
        <w:rPr>
          <w:szCs w:val="24"/>
        </w:rPr>
        <w:t>Civ</w:t>
      </w:r>
      <w:r w:rsidR="00FB56AF">
        <w:rPr>
          <w:szCs w:val="24"/>
        </w:rPr>
        <w:t xml:space="preserve">il </w:t>
      </w:r>
      <w:r w:rsidRPr="00B707D6" w:rsidR="004D10C1">
        <w:rPr>
          <w:szCs w:val="24"/>
        </w:rPr>
        <w:t>Pro</w:t>
      </w:r>
      <w:r w:rsidR="00FB56AF">
        <w:rPr>
          <w:szCs w:val="24"/>
        </w:rPr>
        <w:t xml:space="preserve">cedure </w:t>
      </w:r>
      <w:r w:rsidRPr="00B707D6" w:rsidR="00523AFD">
        <w:rPr>
          <w:szCs w:val="24"/>
        </w:rPr>
        <w:t xml:space="preserve">section </w:t>
      </w:r>
      <w:r w:rsidRPr="00B707D6" w:rsidR="004D10C1">
        <w:rPr>
          <w:szCs w:val="24"/>
        </w:rPr>
        <w:t xml:space="preserve">1033.5, at the court’s discretion.  Thus, unlike </w:t>
      </w:r>
      <w:r w:rsidRPr="00B707D6" w:rsidR="00FF4C18">
        <w:rPr>
          <w:szCs w:val="24"/>
        </w:rPr>
        <w:t xml:space="preserve">Code </w:t>
      </w:r>
      <w:r w:rsidR="00FB56AF">
        <w:rPr>
          <w:szCs w:val="24"/>
        </w:rPr>
        <w:t xml:space="preserve">of </w:t>
      </w:r>
      <w:r w:rsidRPr="00B707D6" w:rsidR="00FF4C18">
        <w:rPr>
          <w:szCs w:val="24"/>
        </w:rPr>
        <w:t>Civ</w:t>
      </w:r>
      <w:r w:rsidR="00FB56AF">
        <w:rPr>
          <w:szCs w:val="24"/>
        </w:rPr>
        <w:t>il</w:t>
      </w:r>
      <w:r w:rsidRPr="00B707D6" w:rsidR="00FF4C18">
        <w:rPr>
          <w:szCs w:val="24"/>
        </w:rPr>
        <w:t xml:space="preserve"> Pro</w:t>
      </w:r>
      <w:r w:rsidR="00FB56AF">
        <w:rPr>
          <w:szCs w:val="24"/>
        </w:rPr>
        <w:t xml:space="preserve">cedure </w:t>
      </w:r>
      <w:r w:rsidRPr="00B707D6" w:rsidR="00FF4C18">
        <w:rPr>
          <w:szCs w:val="24"/>
        </w:rPr>
        <w:t xml:space="preserve">section </w:t>
      </w:r>
      <w:r w:rsidRPr="00B707D6" w:rsidR="004D10C1">
        <w:rPr>
          <w:szCs w:val="24"/>
        </w:rPr>
        <w:t xml:space="preserve">1033.5, </w:t>
      </w:r>
      <w:r w:rsidR="00FF4C18">
        <w:rPr>
          <w:szCs w:val="24"/>
        </w:rPr>
        <w:t xml:space="preserve">subdivision (a)(9), </w:t>
      </w:r>
      <w:r w:rsidRPr="00B707D6" w:rsidR="004D10C1">
        <w:rPr>
          <w:szCs w:val="24"/>
        </w:rPr>
        <w:t xml:space="preserve">there is no requirement that the transcripts </w:t>
      </w:r>
      <w:r w:rsidR="00CA67E0">
        <w:rPr>
          <w:szCs w:val="24"/>
        </w:rPr>
        <w:t>be</w:t>
      </w:r>
      <w:r w:rsidRPr="00B707D6" w:rsidR="004D10C1">
        <w:rPr>
          <w:szCs w:val="24"/>
        </w:rPr>
        <w:t xml:space="preserve"> court ordered </w:t>
      </w:r>
      <w:r w:rsidRPr="00B707D6" w:rsidR="00523AFD">
        <w:rPr>
          <w:szCs w:val="24"/>
        </w:rPr>
        <w:t xml:space="preserve">for the costs </w:t>
      </w:r>
      <w:r w:rsidRPr="00B707D6" w:rsidR="004D10C1">
        <w:rPr>
          <w:szCs w:val="24"/>
        </w:rPr>
        <w:t xml:space="preserve">to be recoverable.  Further, the trial court </w:t>
      </w:r>
      <w:r w:rsidRPr="00B707D6" w:rsidR="0065565B">
        <w:rPr>
          <w:szCs w:val="24"/>
        </w:rPr>
        <w:t xml:space="preserve">set the due dates for closing briefs based on the completion of the trial transcripts, </w:t>
      </w:r>
      <w:r w:rsidR="004D13C2">
        <w:rPr>
          <w:szCs w:val="24"/>
        </w:rPr>
        <w:t>indicating</w:t>
      </w:r>
      <w:r w:rsidRPr="00B707D6" w:rsidR="0065565B">
        <w:rPr>
          <w:szCs w:val="24"/>
        </w:rPr>
        <w:t xml:space="preserve"> the transcripts would be reasonably necessary to their preparation.  And, Hoglund’s counsel’s declaration explained why they were reasonably necessary for the litigation, as they were used in both closing briefs and in the court’s own statement of decision.  While defendants argue that Hoglund did not provide a receipt, they admit that they initially split the cost, and do not contend that the cost claimed by Hoglund is inaccurate.  The trial court’s award of these costs was therefore not an abuse of discretion.</w:t>
      </w:r>
    </w:p>
    <w:p w:rsidR="00BB6C8E" w:rsidRPr="00B707D6" w:rsidP="00D05669" w14:paraId="76BDF11B" w14:textId="0B1AC174">
      <w:pPr>
        <w:keepNext/>
        <w:shd w:val="clear" w:color="auto" w:fill="FFFFFF"/>
        <w:jc w:val="center"/>
        <w:textAlignment w:val="baseline"/>
        <w:rPr>
          <w:szCs w:val="24"/>
        </w:rPr>
      </w:pPr>
      <w:r w:rsidRPr="00B707D6">
        <w:rPr>
          <w:szCs w:val="24"/>
        </w:rPr>
        <w:t>HOGLUND’S CROSS</w:t>
      </w:r>
      <w:r w:rsidR="004F68CD">
        <w:rPr>
          <w:szCs w:val="24"/>
        </w:rPr>
        <w:t>-</w:t>
      </w:r>
      <w:r w:rsidRPr="00B707D6">
        <w:rPr>
          <w:szCs w:val="24"/>
        </w:rPr>
        <w:t>APPEAL</w:t>
      </w:r>
    </w:p>
    <w:p w:rsidR="00BB6C8E" w:rsidRPr="00B707D6" w:rsidP="00D05669" w14:paraId="64BCF721" w14:textId="72B35B1C">
      <w:pPr>
        <w:shd w:val="clear" w:color="auto" w:fill="FFFFFF"/>
        <w:ind w:firstLine="720"/>
        <w:textAlignment w:val="baseline"/>
        <w:rPr>
          <w:szCs w:val="24"/>
        </w:rPr>
      </w:pPr>
      <w:r w:rsidRPr="00B707D6">
        <w:rPr>
          <w:szCs w:val="24"/>
        </w:rPr>
        <w:t>Hoglund cross</w:t>
      </w:r>
      <w:r w:rsidR="004F68CD">
        <w:rPr>
          <w:szCs w:val="24"/>
        </w:rPr>
        <w:t>-</w:t>
      </w:r>
      <w:r w:rsidRPr="00B707D6">
        <w:rPr>
          <w:szCs w:val="24"/>
        </w:rPr>
        <w:t>appeals, challenging the trial court’s ruling declining to award her a tax neutralization adjustment.  We conclude that Hoglund has failed to show the trial court’s ruling was erroneous as a matter of law.</w:t>
      </w:r>
    </w:p>
    <w:p w:rsidR="00BB6C8E" w:rsidRPr="00B707D6" w:rsidP="00D05669" w14:paraId="714DDA1F" w14:textId="6FEC159E">
      <w:pPr>
        <w:keepNext/>
        <w:shd w:val="clear" w:color="auto" w:fill="FFFFFF"/>
        <w:jc w:val="center"/>
        <w:textAlignment w:val="baseline"/>
        <w:rPr>
          <w:szCs w:val="24"/>
        </w:rPr>
      </w:pPr>
      <w:r w:rsidRPr="00B707D6">
        <w:rPr>
          <w:szCs w:val="24"/>
        </w:rPr>
        <w:t>I</w:t>
      </w:r>
    </w:p>
    <w:p w:rsidR="00BB6C8E" w:rsidRPr="00B707D6" w:rsidP="00D05669" w14:paraId="315B81FA" w14:textId="66EAE84F">
      <w:pPr>
        <w:keepNext/>
        <w:shd w:val="clear" w:color="auto" w:fill="FFFFFF"/>
        <w:jc w:val="center"/>
        <w:textAlignment w:val="baseline"/>
        <w:rPr>
          <w:i/>
          <w:iCs/>
          <w:szCs w:val="24"/>
        </w:rPr>
      </w:pPr>
      <w:r w:rsidRPr="00B707D6">
        <w:rPr>
          <w:i/>
          <w:iCs/>
          <w:szCs w:val="24"/>
        </w:rPr>
        <w:t>Factual and Procedural Background</w:t>
      </w:r>
    </w:p>
    <w:p w:rsidR="00BB6C8E" w:rsidRPr="00B707D6" w:rsidP="00D05669" w14:paraId="5AF069AC" w14:textId="361EA90D">
      <w:pPr>
        <w:shd w:val="clear" w:color="auto" w:fill="FFFFFF"/>
        <w:ind w:firstLine="720"/>
        <w:textAlignment w:val="baseline"/>
        <w:rPr>
          <w:szCs w:val="24"/>
        </w:rPr>
      </w:pPr>
      <w:r w:rsidRPr="00B707D6">
        <w:rPr>
          <w:szCs w:val="24"/>
        </w:rPr>
        <w:t xml:space="preserve">Hoglund’s economic expert, Richard Barnes, issued a report on Hoglund’s economic damages </w:t>
      </w:r>
      <w:r w:rsidR="00CA67E0">
        <w:rPr>
          <w:szCs w:val="24"/>
        </w:rPr>
        <w:t>before</w:t>
      </w:r>
      <w:r w:rsidRPr="00B707D6">
        <w:rPr>
          <w:szCs w:val="24"/>
        </w:rPr>
        <w:t xml:space="preserve"> trial.  He opine</w:t>
      </w:r>
      <w:r w:rsidR="007B3E10">
        <w:rPr>
          <w:szCs w:val="24"/>
        </w:rPr>
        <w:t>d</w:t>
      </w:r>
      <w:r w:rsidRPr="00B707D6">
        <w:rPr>
          <w:szCs w:val="24"/>
        </w:rPr>
        <w:t xml:space="preserve"> that, if found liable, an appropriate award for </w:t>
      </w:r>
      <w:r w:rsidRPr="00B707D6" w:rsidR="00A22EF2">
        <w:rPr>
          <w:szCs w:val="24"/>
        </w:rPr>
        <w:t xml:space="preserve">Hoglund’s </w:t>
      </w:r>
      <w:r w:rsidRPr="00B707D6">
        <w:rPr>
          <w:szCs w:val="24"/>
        </w:rPr>
        <w:t xml:space="preserve">past lost wages </w:t>
      </w:r>
      <w:r w:rsidR="007B3E10">
        <w:rPr>
          <w:szCs w:val="24"/>
        </w:rPr>
        <w:t>wa</w:t>
      </w:r>
      <w:r w:rsidR="00FF4C18">
        <w:rPr>
          <w:szCs w:val="24"/>
        </w:rPr>
        <w:t>s</w:t>
      </w:r>
      <w:r w:rsidRPr="00B707D6">
        <w:rPr>
          <w:szCs w:val="24"/>
        </w:rPr>
        <w:t xml:space="preserve"> $406,400 and for future lost wages </w:t>
      </w:r>
      <w:r w:rsidR="007B3E10">
        <w:rPr>
          <w:szCs w:val="24"/>
        </w:rPr>
        <w:t>wa</w:t>
      </w:r>
      <w:r w:rsidR="00FF4C18">
        <w:rPr>
          <w:szCs w:val="24"/>
        </w:rPr>
        <w:t>s</w:t>
      </w:r>
      <w:r w:rsidRPr="00B707D6">
        <w:rPr>
          <w:szCs w:val="24"/>
        </w:rPr>
        <w:t xml:space="preserve"> $457,376.  </w:t>
      </w:r>
      <w:r w:rsidRPr="00B707D6" w:rsidR="00A22EF2">
        <w:rPr>
          <w:szCs w:val="24"/>
        </w:rPr>
        <w:t>He further state</w:t>
      </w:r>
      <w:r w:rsidR="007B3E10">
        <w:rPr>
          <w:szCs w:val="24"/>
        </w:rPr>
        <w:t>d</w:t>
      </w:r>
      <w:r w:rsidRPr="00B707D6" w:rsidR="00A22EF2">
        <w:rPr>
          <w:szCs w:val="24"/>
        </w:rPr>
        <w:t xml:space="preserve"> that if awarding Hoglund economic damages, the </w:t>
      </w:r>
      <w:r w:rsidR="008E0EC6">
        <w:rPr>
          <w:szCs w:val="24"/>
        </w:rPr>
        <w:t xml:space="preserve">trial </w:t>
      </w:r>
      <w:r w:rsidRPr="00B707D6" w:rsidR="00A22EF2">
        <w:rPr>
          <w:szCs w:val="24"/>
        </w:rPr>
        <w:t xml:space="preserve">court should also award her a tax neutralization adjustment.  </w:t>
      </w:r>
      <w:r w:rsidRPr="00B707D6" w:rsidR="00815692">
        <w:rPr>
          <w:szCs w:val="24"/>
        </w:rPr>
        <w:t>This is because, he</w:t>
      </w:r>
      <w:r w:rsidRPr="00B707D6" w:rsidR="00A22EF2">
        <w:rPr>
          <w:szCs w:val="24"/>
        </w:rPr>
        <w:t xml:space="preserve"> explain</w:t>
      </w:r>
      <w:r w:rsidR="007B3E10">
        <w:rPr>
          <w:szCs w:val="24"/>
        </w:rPr>
        <w:t>ed</w:t>
      </w:r>
      <w:r w:rsidRPr="00B707D6" w:rsidR="00815692">
        <w:rPr>
          <w:szCs w:val="24"/>
        </w:rPr>
        <w:t>,</w:t>
      </w:r>
      <w:r w:rsidRPr="00B707D6" w:rsidR="00A22EF2">
        <w:rPr>
          <w:szCs w:val="24"/>
        </w:rPr>
        <w:t xml:space="preserve"> Hoglund </w:t>
      </w:r>
      <w:r w:rsidR="007B3E10">
        <w:rPr>
          <w:szCs w:val="24"/>
        </w:rPr>
        <w:t>would</w:t>
      </w:r>
      <w:r w:rsidRPr="00B707D6" w:rsidR="00A22EF2">
        <w:rPr>
          <w:szCs w:val="24"/>
        </w:rPr>
        <w:t xml:space="preserve"> likely incur negative tax consequences by receiving her economic damages as a lump sum, rather than spread out over the years</w:t>
      </w:r>
      <w:r w:rsidRPr="00B707D6" w:rsidR="00815692">
        <w:rPr>
          <w:szCs w:val="24"/>
        </w:rPr>
        <w:t xml:space="preserve"> like a</w:t>
      </w:r>
      <w:r w:rsidRPr="00B707D6" w:rsidR="00A22EF2">
        <w:rPr>
          <w:szCs w:val="24"/>
        </w:rPr>
        <w:t xml:space="preserve"> </w:t>
      </w:r>
      <w:r w:rsidR="007B3E10">
        <w:rPr>
          <w:szCs w:val="24"/>
        </w:rPr>
        <w:t>typical</w:t>
      </w:r>
      <w:r w:rsidRPr="00B707D6" w:rsidR="00A22EF2">
        <w:rPr>
          <w:szCs w:val="24"/>
        </w:rPr>
        <w:t xml:space="preserve"> income.  </w:t>
      </w:r>
      <w:r w:rsidRPr="00B707D6" w:rsidR="00815692">
        <w:rPr>
          <w:szCs w:val="24"/>
        </w:rPr>
        <w:t>In other words,</w:t>
      </w:r>
      <w:r w:rsidRPr="00B707D6" w:rsidR="00A22EF2">
        <w:rPr>
          <w:szCs w:val="24"/>
        </w:rPr>
        <w:t xml:space="preserve"> a single large payment </w:t>
      </w:r>
      <w:r w:rsidR="007B3E10">
        <w:rPr>
          <w:szCs w:val="24"/>
        </w:rPr>
        <w:t>would</w:t>
      </w:r>
      <w:r w:rsidRPr="00B707D6" w:rsidR="00A22EF2">
        <w:rPr>
          <w:szCs w:val="24"/>
        </w:rPr>
        <w:t xml:space="preserve"> move her into a higher tax bracket for the year, resulting in higher income taxes</w:t>
      </w:r>
      <w:r w:rsidRPr="00B707D6" w:rsidR="00362201">
        <w:rPr>
          <w:szCs w:val="24"/>
        </w:rPr>
        <w:t xml:space="preserve"> than she would have otherwise paid had she </w:t>
      </w:r>
      <w:r w:rsidRPr="00B707D6" w:rsidR="002E4886">
        <w:rPr>
          <w:szCs w:val="24"/>
        </w:rPr>
        <w:t xml:space="preserve">not been </w:t>
      </w:r>
      <w:r w:rsidR="007B3E10">
        <w:rPr>
          <w:szCs w:val="24"/>
        </w:rPr>
        <w:t xml:space="preserve">wrongfully </w:t>
      </w:r>
      <w:r w:rsidRPr="00B707D6" w:rsidR="002E4886">
        <w:rPr>
          <w:szCs w:val="24"/>
        </w:rPr>
        <w:t>terminated</w:t>
      </w:r>
      <w:r w:rsidRPr="00B707D6" w:rsidR="00A22EF2">
        <w:rPr>
          <w:szCs w:val="24"/>
        </w:rPr>
        <w:t xml:space="preserve">.  </w:t>
      </w:r>
      <w:r w:rsidRPr="00B707D6" w:rsidR="00815692">
        <w:rPr>
          <w:szCs w:val="24"/>
        </w:rPr>
        <w:t xml:space="preserve">He </w:t>
      </w:r>
      <w:r w:rsidRPr="00B707D6" w:rsidR="00362201">
        <w:rPr>
          <w:szCs w:val="24"/>
        </w:rPr>
        <w:t>reason</w:t>
      </w:r>
      <w:r w:rsidR="007B3E10">
        <w:rPr>
          <w:szCs w:val="24"/>
        </w:rPr>
        <w:t>ed</w:t>
      </w:r>
      <w:r w:rsidRPr="00B707D6" w:rsidR="00815692">
        <w:rPr>
          <w:szCs w:val="24"/>
        </w:rPr>
        <w:t xml:space="preserve"> that defendants should pay Hoglund the discrepancy to ensure she is made whole</w:t>
      </w:r>
      <w:r w:rsidRPr="00B707D6" w:rsidR="00362201">
        <w:rPr>
          <w:szCs w:val="24"/>
        </w:rPr>
        <w:t xml:space="preserve"> by her damages award</w:t>
      </w:r>
      <w:r w:rsidRPr="00B707D6" w:rsidR="00815692">
        <w:rPr>
          <w:szCs w:val="24"/>
        </w:rPr>
        <w:t xml:space="preserve">.  </w:t>
      </w:r>
      <w:r w:rsidRPr="00B707D6" w:rsidR="00A22EF2">
        <w:rPr>
          <w:szCs w:val="24"/>
        </w:rPr>
        <w:t>Barne</w:t>
      </w:r>
      <w:r w:rsidR="00B47B70">
        <w:rPr>
          <w:szCs w:val="24"/>
        </w:rPr>
        <w:t>s</w:t>
      </w:r>
      <w:r w:rsidRPr="00B707D6" w:rsidR="00A22EF2">
        <w:rPr>
          <w:szCs w:val="24"/>
        </w:rPr>
        <w:t xml:space="preserve"> cite</w:t>
      </w:r>
      <w:r w:rsidRPr="00B707D6" w:rsidR="00815692">
        <w:rPr>
          <w:szCs w:val="24"/>
        </w:rPr>
        <w:t>s</w:t>
      </w:r>
      <w:r w:rsidRPr="00B707D6" w:rsidR="00A22EF2">
        <w:rPr>
          <w:szCs w:val="24"/>
        </w:rPr>
        <w:t xml:space="preserve"> the single published California case that has upheld a tax neutralization adjustment, </w:t>
      </w:r>
      <w:r w:rsidRPr="00B707D6" w:rsidR="006A0EA9">
        <w:rPr>
          <w:i/>
          <w:iCs/>
          <w:szCs w:val="24"/>
        </w:rPr>
        <w:t xml:space="preserve">Economy v. Sutter East Bay Hospitals </w:t>
      </w:r>
      <w:r w:rsidRPr="00B707D6" w:rsidR="006A0EA9">
        <w:rPr>
          <w:szCs w:val="24"/>
        </w:rPr>
        <w:t>(2019) 31</w:t>
      </w:r>
      <w:r w:rsidR="007968F9">
        <w:rPr>
          <w:szCs w:val="24"/>
        </w:rPr>
        <w:t> </w:t>
      </w:r>
      <w:r w:rsidRPr="00B707D6" w:rsidR="006A0EA9">
        <w:rPr>
          <w:szCs w:val="24"/>
        </w:rPr>
        <w:t>Cal.App.5th 1147</w:t>
      </w:r>
      <w:r w:rsidR="00A57EFD">
        <w:rPr>
          <w:szCs w:val="24"/>
        </w:rPr>
        <w:t xml:space="preserve"> (</w:t>
      </w:r>
      <w:r w:rsidRPr="00D37B42" w:rsidR="00A57EFD">
        <w:rPr>
          <w:i/>
          <w:iCs/>
          <w:szCs w:val="24"/>
        </w:rPr>
        <w:t>Economy</w:t>
      </w:r>
      <w:r w:rsidR="00A57EFD">
        <w:rPr>
          <w:szCs w:val="24"/>
        </w:rPr>
        <w:t>)</w:t>
      </w:r>
      <w:r w:rsidRPr="00B707D6" w:rsidR="006A0EA9">
        <w:rPr>
          <w:szCs w:val="24"/>
        </w:rPr>
        <w:t xml:space="preserve">, as legal </w:t>
      </w:r>
      <w:r w:rsidR="00FF4C18">
        <w:rPr>
          <w:szCs w:val="24"/>
        </w:rPr>
        <w:t>authority</w:t>
      </w:r>
      <w:r w:rsidRPr="00B707D6" w:rsidR="006A0EA9">
        <w:rPr>
          <w:szCs w:val="24"/>
        </w:rPr>
        <w:t xml:space="preserve"> for the requested offset.</w:t>
      </w:r>
    </w:p>
    <w:p w:rsidR="006A0EA9" w:rsidRPr="00B707D6" w:rsidP="00D05669" w14:paraId="0E88D277" w14:textId="1CA83710">
      <w:pPr>
        <w:shd w:val="clear" w:color="auto" w:fill="FFFFFF"/>
        <w:ind w:firstLine="720"/>
        <w:textAlignment w:val="baseline"/>
        <w:rPr>
          <w:szCs w:val="24"/>
        </w:rPr>
      </w:pPr>
      <w:r w:rsidRPr="00B707D6">
        <w:rPr>
          <w:szCs w:val="24"/>
        </w:rPr>
        <w:t>As Barnes did not know the amount of economic damages the trial court would ultimately award when he drafted his report, he calculated a tax neutralization adjustment based on $800,000 in lost wages, as an “</w:t>
      </w:r>
      <w:r w:rsidR="007968F9">
        <w:rPr>
          <w:szCs w:val="24"/>
        </w:rPr>
        <w:t>[</w:t>
      </w:r>
      <w:r w:rsidRPr="00B707D6">
        <w:rPr>
          <w:szCs w:val="24"/>
        </w:rPr>
        <w:t>e</w:t>
      </w:r>
      <w:r w:rsidR="007968F9">
        <w:rPr>
          <w:szCs w:val="24"/>
        </w:rPr>
        <w:t>]</w:t>
      </w:r>
      <w:r w:rsidRPr="00B707D6">
        <w:rPr>
          <w:szCs w:val="24"/>
        </w:rPr>
        <w:t xml:space="preserve">xample.”  </w:t>
      </w:r>
      <w:r w:rsidRPr="00B707D6" w:rsidR="007F5AD8">
        <w:rPr>
          <w:szCs w:val="24"/>
        </w:rPr>
        <w:t xml:space="preserve">Using the tax rates for married individuals filing jointly in California, Barnes calculated the taxes that would be due on an $800,000 award in 2020, as compared to the taxes due if the award was spread out over </w:t>
      </w:r>
      <w:r w:rsidRPr="00B707D6" w:rsidR="002E4886">
        <w:rPr>
          <w:szCs w:val="24"/>
        </w:rPr>
        <w:t>nine</w:t>
      </w:r>
      <w:r w:rsidRPr="00B707D6" w:rsidR="007F5AD8">
        <w:rPr>
          <w:szCs w:val="24"/>
        </w:rPr>
        <w:t xml:space="preserve"> working years, and then retirement.  In sum, he opined that defendants owed Hoglund an additional $375,000 to compensate for her income tax liability from the lump sum payment.  However, h</w:t>
      </w:r>
      <w:r w:rsidRPr="00B707D6">
        <w:rPr>
          <w:szCs w:val="24"/>
        </w:rPr>
        <w:t>e noted that, “Given the wide range of possible outcomes coming from a trier of fact, the tax neutralization adjustment is frequently addressed post-trial, based on the actual award.”</w:t>
      </w:r>
    </w:p>
    <w:p w:rsidR="00205F55" w:rsidRPr="00B707D6" w:rsidP="00D05669" w14:paraId="43897529" w14:textId="0D462DBD">
      <w:pPr>
        <w:shd w:val="clear" w:color="auto" w:fill="FFFFFF"/>
        <w:ind w:firstLine="720"/>
        <w:textAlignment w:val="baseline"/>
        <w:rPr>
          <w:szCs w:val="24"/>
        </w:rPr>
      </w:pPr>
      <w:r w:rsidRPr="00B707D6">
        <w:rPr>
          <w:szCs w:val="24"/>
        </w:rPr>
        <w:t>Barnes did not testify at trial.  Hoglund dedicated a page to the tax neutralization adjustment in her closing trial brief, arguing that Barnes had provided the “foundational information</w:t>
      </w:r>
      <w:r w:rsidRPr="00B707D6" w:rsidR="00495787">
        <w:rPr>
          <w:szCs w:val="24"/>
        </w:rPr>
        <w:t>” for the “</w:t>
      </w:r>
      <w:r w:rsidRPr="00880294">
        <w:rPr>
          <w:szCs w:val="24"/>
        </w:rPr>
        <w:t>methodology for determination the additional tax</w:t>
      </w:r>
      <w:r w:rsidRPr="00B707D6">
        <w:rPr>
          <w:szCs w:val="24"/>
        </w:rPr>
        <w:t xml:space="preserve"> neutralization sums,” and that an offset on this basis was appropriate to make Hoglund whole pursuant to Civil Code section 3333.  She concluded, “[Hoglund] requests that the Court’s determination of the tax neutralization amount be determined after liability and economic damages have been calculated and then have expert Barnes calculate the additional monies required to make the economic award tax neutral consistent with Civil Code Section 3333.”</w:t>
      </w:r>
    </w:p>
    <w:p w:rsidR="006B260D" w:rsidRPr="00B707D6" w:rsidP="00D05669" w14:paraId="045C6FA7" w14:textId="5EED4ADA">
      <w:pPr>
        <w:shd w:val="clear" w:color="auto" w:fill="FFFFFF"/>
        <w:ind w:firstLine="720"/>
        <w:textAlignment w:val="baseline"/>
        <w:rPr>
          <w:szCs w:val="24"/>
        </w:rPr>
      </w:pPr>
      <w:r w:rsidRPr="00B707D6">
        <w:rPr>
          <w:szCs w:val="24"/>
        </w:rPr>
        <w:t>In its statement of decision, the trial court wrote simply:  “The court declines to award a tax neutralization adjustment, as such claim was not supported by sufficient evidence</w:t>
      </w:r>
      <w:r w:rsidR="00270E09">
        <w:rPr>
          <w:szCs w:val="24"/>
        </w:rPr>
        <w:t>.</w:t>
      </w:r>
      <w:r w:rsidRPr="00B707D6">
        <w:rPr>
          <w:szCs w:val="24"/>
        </w:rPr>
        <w:t xml:space="preserve">”  There is nothing in the record indicating that Hoglund </w:t>
      </w:r>
      <w:r w:rsidRPr="00B707D6" w:rsidR="00C2582E">
        <w:rPr>
          <w:szCs w:val="24"/>
        </w:rPr>
        <w:t xml:space="preserve">objected to this finding, </w:t>
      </w:r>
      <w:r w:rsidRPr="00B707D6" w:rsidR="002E4886">
        <w:rPr>
          <w:szCs w:val="24"/>
        </w:rPr>
        <w:t>nor that she filed a motion or</w:t>
      </w:r>
      <w:r w:rsidRPr="00B707D6" w:rsidR="00C2582E">
        <w:rPr>
          <w:szCs w:val="24"/>
        </w:rPr>
        <w:t xml:space="preserve"> submitted a supplemental report calculating an updated amount based on the actual award.</w:t>
      </w:r>
    </w:p>
    <w:p w:rsidR="00C2582E" w:rsidRPr="00041F59" w:rsidP="00D05669" w14:paraId="459897AA" w14:textId="2249C054">
      <w:pPr>
        <w:keepNext/>
        <w:shd w:val="clear" w:color="auto" w:fill="FFFFFF"/>
        <w:jc w:val="center"/>
        <w:textAlignment w:val="baseline"/>
        <w:rPr>
          <w:szCs w:val="24"/>
        </w:rPr>
      </w:pPr>
      <w:r w:rsidRPr="00041F59">
        <w:rPr>
          <w:szCs w:val="24"/>
        </w:rPr>
        <w:t>II</w:t>
      </w:r>
    </w:p>
    <w:p w:rsidR="00C2582E" w:rsidRPr="00B707D6" w:rsidP="00D05669" w14:paraId="071B7AB0" w14:textId="3AEEB205">
      <w:pPr>
        <w:keepNext/>
        <w:shd w:val="clear" w:color="auto" w:fill="FFFFFF"/>
        <w:jc w:val="center"/>
        <w:textAlignment w:val="baseline"/>
        <w:rPr>
          <w:i/>
          <w:iCs/>
          <w:szCs w:val="24"/>
        </w:rPr>
      </w:pPr>
      <w:r w:rsidRPr="00B707D6">
        <w:rPr>
          <w:i/>
          <w:iCs/>
          <w:szCs w:val="24"/>
        </w:rPr>
        <w:t>Appealability</w:t>
      </w:r>
      <w:r w:rsidRPr="00B707D6" w:rsidR="007D5FE3">
        <w:rPr>
          <w:i/>
          <w:iCs/>
          <w:szCs w:val="24"/>
        </w:rPr>
        <w:t xml:space="preserve"> and Standard of Review</w:t>
      </w:r>
    </w:p>
    <w:p w:rsidR="004A2D0D" w:rsidRPr="00B707D6" w:rsidP="00D05669" w14:paraId="2D9A948E" w14:textId="35FE4CDC">
      <w:pPr>
        <w:shd w:val="clear" w:color="auto" w:fill="FFFFFF"/>
        <w:ind w:firstLine="720"/>
        <w:textAlignment w:val="baseline"/>
        <w:rPr>
          <w:szCs w:val="24"/>
        </w:rPr>
      </w:pPr>
      <w:r w:rsidRPr="00B707D6">
        <w:rPr>
          <w:szCs w:val="24"/>
        </w:rPr>
        <w:t>We first address the question of appealability.  Defendants argue that Hoglund’s failure to move for a new trial based on an inadequate damages award bars her ability to appeal on this issue, and that her argument is waived.  This is because, they contend, Hoglund raises a question of fact, which must be first evaluated in the trial court.  Hoglund counters that her cross-appeal presents a question of law, based on a failure of proof, which does not require an objection or new trial motion below to preserve the issue.</w:t>
      </w:r>
    </w:p>
    <w:p w:rsidR="00CF41E3" w:rsidRPr="00B707D6" w:rsidP="00D05669" w14:paraId="2B9228E6" w14:textId="66EAD1F6">
      <w:pPr>
        <w:shd w:val="clear" w:color="auto" w:fill="FFFFFF"/>
        <w:ind w:firstLine="720"/>
        <w:textAlignment w:val="baseline"/>
        <w:rPr>
          <w:szCs w:val="24"/>
        </w:rPr>
      </w:pPr>
      <w:r w:rsidRPr="00B707D6">
        <w:rPr>
          <w:szCs w:val="24"/>
        </w:rPr>
        <w:t xml:space="preserve">“A failure to timely move for a new trial ordinarily precludes a party from complaining on appeal that the damages awarded were </w:t>
      </w:r>
      <w:r w:rsidR="002B43BC">
        <w:rPr>
          <w:szCs w:val="24"/>
        </w:rPr>
        <w:t xml:space="preserve">either </w:t>
      </w:r>
      <w:r w:rsidRPr="00B707D6">
        <w:rPr>
          <w:szCs w:val="24"/>
        </w:rPr>
        <w:t>excessive [or inadequate].”  (</w:t>
      </w:r>
      <w:r w:rsidRPr="00B707D6">
        <w:rPr>
          <w:i/>
          <w:iCs/>
          <w:szCs w:val="24"/>
        </w:rPr>
        <w:t xml:space="preserve">Jamison v. Jamison </w:t>
      </w:r>
      <w:r w:rsidRPr="00B707D6">
        <w:rPr>
          <w:szCs w:val="24"/>
        </w:rPr>
        <w:t xml:space="preserve">(2008) 164 Cal.App.4th 714, 719.) </w:t>
      </w:r>
      <w:r w:rsidRPr="00B707D6" w:rsidR="00272DE4">
        <w:rPr>
          <w:szCs w:val="24"/>
        </w:rPr>
        <w:t xml:space="preserve"> This is because the authority to weigh the evidence and resolve questions of credibility is vested in the trial court, not the reviewing court.  (</w:t>
      </w:r>
      <w:r w:rsidRPr="00B707D6" w:rsidR="00272DE4">
        <w:rPr>
          <w:i/>
          <w:iCs/>
          <w:szCs w:val="24"/>
        </w:rPr>
        <w:t>Schroeder v. Auto Driveaway Co.</w:t>
      </w:r>
      <w:r w:rsidR="00AD2F6B">
        <w:rPr>
          <w:i/>
          <w:iCs/>
          <w:szCs w:val="24"/>
        </w:rPr>
        <w:t>, supra</w:t>
      </w:r>
      <w:r w:rsidRPr="00D37B42" w:rsidR="00AD2F6B">
        <w:rPr>
          <w:szCs w:val="24"/>
        </w:rPr>
        <w:t>,</w:t>
      </w:r>
      <w:r w:rsidR="00CE6484">
        <w:rPr>
          <w:szCs w:val="24"/>
        </w:rPr>
        <w:t xml:space="preserve"> </w:t>
      </w:r>
      <w:r w:rsidRPr="00B707D6" w:rsidR="00272DE4">
        <w:rPr>
          <w:szCs w:val="24"/>
        </w:rPr>
        <w:t xml:space="preserve">11 Cal.3d </w:t>
      </w:r>
      <w:r w:rsidR="00D365A4">
        <w:rPr>
          <w:szCs w:val="24"/>
        </w:rPr>
        <w:t xml:space="preserve">at p. </w:t>
      </w:r>
      <w:r w:rsidRPr="00B707D6" w:rsidR="00272DE4">
        <w:rPr>
          <w:szCs w:val="24"/>
        </w:rPr>
        <w:t xml:space="preserve">919.) </w:t>
      </w:r>
      <w:r w:rsidRPr="00B707D6">
        <w:rPr>
          <w:szCs w:val="24"/>
        </w:rPr>
        <w:t xml:space="preserve"> However, </w:t>
      </w:r>
      <w:r w:rsidRPr="00B707D6" w:rsidR="00272DE4">
        <w:rPr>
          <w:szCs w:val="24"/>
        </w:rPr>
        <w:t>“it is also established that “</w:t>
      </w:r>
      <w:r w:rsidR="00B47B70">
        <w:rPr>
          <w:szCs w:val="24"/>
        </w:rPr>
        <w:t> </w:t>
      </w:r>
      <w:r w:rsidRPr="00B707D6" w:rsidR="00272DE4">
        <w:rPr>
          <w:szCs w:val="24"/>
        </w:rPr>
        <w:t>‘the failure to move for a new trial does not preclude a party from asserting error in the trial of damages issues</w:t>
      </w:r>
      <w:r w:rsidR="003E5A72">
        <w:rPr>
          <w:szCs w:val="24"/>
        </w:rPr>
        <w:t>–</w:t>
      </w:r>
      <w:r w:rsidRPr="00B707D6" w:rsidR="00272DE4">
        <w:rPr>
          <w:szCs w:val="24"/>
        </w:rPr>
        <w:t>e.g., erroneous evidentiary rulings, instructional errors, or failure to apply the proper measure of damages.’  [Citation].”  (</w:t>
      </w:r>
      <w:r w:rsidRPr="00B707D6" w:rsidR="00361575">
        <w:rPr>
          <w:i/>
          <w:iCs/>
          <w:szCs w:val="24"/>
        </w:rPr>
        <w:t>Greenwich S.F., LLC v. Wong</w:t>
      </w:r>
      <w:r w:rsidRPr="00B707D6" w:rsidR="00361575">
        <w:rPr>
          <w:szCs w:val="24"/>
        </w:rPr>
        <w:t> (2010) 190 Cal.App.4th 739</w:t>
      </w:r>
      <w:r w:rsidRPr="00B707D6" w:rsidR="00272DE4">
        <w:rPr>
          <w:szCs w:val="24"/>
        </w:rPr>
        <w:t>, 759</w:t>
      </w:r>
      <w:r w:rsidRPr="00B707D6" w:rsidR="00361575">
        <w:rPr>
          <w:szCs w:val="24"/>
        </w:rPr>
        <w:t xml:space="preserve"> (</w:t>
      </w:r>
      <w:r w:rsidRPr="00B707D6" w:rsidR="00361575">
        <w:rPr>
          <w:i/>
          <w:iCs/>
          <w:szCs w:val="24"/>
        </w:rPr>
        <w:t>Greenwich</w:t>
      </w:r>
      <w:r w:rsidRPr="00B707D6" w:rsidR="00361575">
        <w:rPr>
          <w:szCs w:val="24"/>
        </w:rPr>
        <w:t>)</w:t>
      </w:r>
      <w:r w:rsidRPr="00B707D6" w:rsidR="00272DE4">
        <w:rPr>
          <w:szCs w:val="24"/>
        </w:rPr>
        <w:t xml:space="preserve">.)  </w:t>
      </w:r>
      <w:r w:rsidRPr="00B707D6" w:rsidR="00361575">
        <w:rPr>
          <w:szCs w:val="24"/>
        </w:rPr>
        <w:t xml:space="preserve">In </w:t>
      </w:r>
      <w:r w:rsidRPr="00B707D6" w:rsidR="00361575">
        <w:rPr>
          <w:i/>
          <w:iCs/>
          <w:szCs w:val="24"/>
        </w:rPr>
        <w:t>Greenwich</w:t>
      </w:r>
      <w:r w:rsidRPr="00B707D6" w:rsidR="00361575">
        <w:rPr>
          <w:szCs w:val="24"/>
        </w:rPr>
        <w:t xml:space="preserve">, </w:t>
      </w:r>
      <w:r w:rsidRPr="00B707D6" w:rsidR="00272DE4">
        <w:rPr>
          <w:szCs w:val="24"/>
        </w:rPr>
        <w:t>the appellate court held that where</w:t>
      </w:r>
      <w:r w:rsidRPr="00B707D6" w:rsidR="00A46A61">
        <w:rPr>
          <w:szCs w:val="24"/>
        </w:rPr>
        <w:t xml:space="preserve"> the issue</w:t>
      </w:r>
      <w:r w:rsidRPr="00B707D6" w:rsidR="00272DE4">
        <w:rPr>
          <w:szCs w:val="24"/>
        </w:rPr>
        <w:t xml:space="preserve"> </w:t>
      </w:r>
      <w:r w:rsidRPr="00B707D6" w:rsidR="00A46A61">
        <w:rPr>
          <w:szCs w:val="24"/>
        </w:rPr>
        <w:t xml:space="preserve">on appeal “is not a question of </w:t>
      </w:r>
      <w:r w:rsidRPr="00B707D6" w:rsidR="00A46A61">
        <w:rPr>
          <w:i/>
          <w:iCs/>
          <w:szCs w:val="24"/>
        </w:rPr>
        <w:t>excessive</w:t>
      </w:r>
      <w:r w:rsidRPr="00B707D6" w:rsidR="00A46A61">
        <w:rPr>
          <w:szCs w:val="24"/>
        </w:rPr>
        <w:t xml:space="preserve"> damages, but whether the evidence was sufficient to support the award [</w:t>
      </w:r>
      <w:r w:rsidR="00B47B70">
        <w:rPr>
          <w:szCs w:val="24"/>
        </w:rPr>
        <w:t xml:space="preserve"> </w:t>
      </w:r>
      <w:r w:rsidRPr="00B707D6" w:rsidR="00A46A61">
        <w:rPr>
          <w:szCs w:val="24"/>
        </w:rPr>
        <w:t xml:space="preserve">] in </w:t>
      </w:r>
      <w:r w:rsidRPr="00B707D6" w:rsidR="00A46A61">
        <w:rPr>
          <w:i/>
          <w:iCs/>
          <w:szCs w:val="24"/>
        </w:rPr>
        <w:t>any</w:t>
      </w:r>
      <w:r w:rsidRPr="00B707D6" w:rsidR="00A46A61">
        <w:rPr>
          <w:szCs w:val="24"/>
        </w:rPr>
        <w:t xml:space="preserve"> amount,” a new trial motion was not necessary to preserve the issue for appeal.  (</w:t>
      </w:r>
      <w:r w:rsidRPr="00B707D6" w:rsidR="00A46A61">
        <w:rPr>
          <w:i/>
          <w:iCs/>
          <w:szCs w:val="24"/>
        </w:rPr>
        <w:t>Ibid</w:t>
      </w:r>
      <w:r w:rsidR="00B47B70">
        <w:rPr>
          <w:i/>
          <w:iCs/>
          <w:szCs w:val="24"/>
        </w:rPr>
        <w:t>.</w:t>
      </w:r>
      <w:r w:rsidRPr="00B707D6" w:rsidR="00A46A61">
        <w:rPr>
          <w:szCs w:val="24"/>
        </w:rPr>
        <w:t>)  As the analysis turned on “whether substantial evidence supported the award of lost profits” and</w:t>
      </w:r>
      <w:r w:rsidR="00FF4C18">
        <w:rPr>
          <w:szCs w:val="24"/>
        </w:rPr>
        <w:t xml:space="preserve"> whether</w:t>
      </w:r>
      <w:r w:rsidRPr="00B707D6" w:rsidR="00A46A61">
        <w:rPr>
          <w:szCs w:val="24"/>
        </w:rPr>
        <w:t xml:space="preserve"> “the award of any lost profits was unduly speculative and uncertain as a matter of law,” rather </w:t>
      </w:r>
      <w:r w:rsidR="00FF4C18">
        <w:rPr>
          <w:szCs w:val="24"/>
        </w:rPr>
        <w:t xml:space="preserve">than turning on </w:t>
      </w:r>
      <w:r w:rsidRPr="00B707D6" w:rsidR="00A46A61">
        <w:rPr>
          <w:szCs w:val="24"/>
        </w:rPr>
        <w:t>witness credibility or conflicting evidence, the court concluded that it had jurisdiction to consider the appeal.  (</w:t>
      </w:r>
      <w:r w:rsidRPr="00B707D6" w:rsidR="00A46A61">
        <w:rPr>
          <w:i/>
          <w:iCs/>
          <w:szCs w:val="24"/>
        </w:rPr>
        <w:t xml:space="preserve">Id. </w:t>
      </w:r>
      <w:r w:rsidRPr="00B707D6" w:rsidR="00A46A61">
        <w:rPr>
          <w:szCs w:val="24"/>
        </w:rPr>
        <w:t>at pp.</w:t>
      </w:r>
      <w:r w:rsidR="003E5A72">
        <w:rPr>
          <w:szCs w:val="24"/>
        </w:rPr>
        <w:t> </w:t>
      </w:r>
      <w:r w:rsidRPr="00B707D6" w:rsidR="00A46A61">
        <w:rPr>
          <w:szCs w:val="24"/>
        </w:rPr>
        <w:t xml:space="preserve">759-760.)  As in </w:t>
      </w:r>
      <w:r w:rsidRPr="00B707D6" w:rsidR="00A46A61">
        <w:rPr>
          <w:i/>
          <w:iCs/>
          <w:szCs w:val="24"/>
        </w:rPr>
        <w:t>Greenwich</w:t>
      </w:r>
      <w:r w:rsidRPr="00B707D6" w:rsidR="00A46A61">
        <w:rPr>
          <w:szCs w:val="24"/>
        </w:rPr>
        <w:t xml:space="preserve">, </w:t>
      </w:r>
      <w:r w:rsidRPr="00B707D6">
        <w:rPr>
          <w:szCs w:val="24"/>
        </w:rPr>
        <w:t xml:space="preserve">Hoglund asks us to determine whether Barnes’ opinion established that a tax neutralization adjustment </w:t>
      </w:r>
      <w:r w:rsidR="00FF4C18">
        <w:rPr>
          <w:szCs w:val="24"/>
        </w:rPr>
        <w:t xml:space="preserve">was </w:t>
      </w:r>
      <w:r w:rsidRPr="00B707D6">
        <w:rPr>
          <w:szCs w:val="24"/>
        </w:rPr>
        <w:t xml:space="preserve">unduly speculative </w:t>
      </w:r>
      <w:r w:rsidR="00FF4C18">
        <w:rPr>
          <w:szCs w:val="24"/>
        </w:rPr>
        <w:t xml:space="preserve">or insufficient </w:t>
      </w:r>
      <w:r w:rsidRPr="00B707D6">
        <w:rPr>
          <w:szCs w:val="24"/>
        </w:rPr>
        <w:t xml:space="preserve">as a matter of law.  We accordingly conclude that we may properly consider this question on appeal, and </w:t>
      </w:r>
      <w:r w:rsidR="007F3B44">
        <w:rPr>
          <w:szCs w:val="24"/>
        </w:rPr>
        <w:t>address</w:t>
      </w:r>
      <w:r w:rsidRPr="00B707D6">
        <w:rPr>
          <w:szCs w:val="24"/>
        </w:rPr>
        <w:t xml:space="preserve"> the merits.</w:t>
      </w:r>
    </w:p>
    <w:p w:rsidR="00E65CFB" w:rsidRPr="00B707D6" w:rsidP="00D05669" w14:paraId="11B697DF" w14:textId="064FEBAA">
      <w:pPr>
        <w:shd w:val="clear" w:color="auto" w:fill="FFFFFF"/>
        <w:ind w:firstLine="720"/>
        <w:textAlignment w:val="baseline"/>
        <w:rPr>
          <w:szCs w:val="24"/>
        </w:rPr>
      </w:pPr>
      <w:r w:rsidRPr="00B707D6">
        <w:rPr>
          <w:szCs w:val="24"/>
        </w:rPr>
        <w:t>In doing so, we note that Hoglund is faced with a “heavy, perhaps insurmountable, burden on appeal .</w:t>
      </w:r>
      <w:r w:rsidR="00B47B70">
        <w:rPr>
          <w:szCs w:val="24"/>
        </w:rPr>
        <w:t> </w:t>
      </w:r>
      <w:r w:rsidRPr="00B707D6">
        <w:rPr>
          <w:szCs w:val="24"/>
        </w:rPr>
        <w:t>.</w:t>
      </w:r>
      <w:r w:rsidR="00B47B70">
        <w:rPr>
          <w:szCs w:val="24"/>
        </w:rPr>
        <w:t> </w:t>
      </w:r>
      <w:r w:rsidRPr="00B707D6">
        <w:rPr>
          <w:szCs w:val="24"/>
        </w:rPr>
        <w:t>.</w:t>
      </w:r>
      <w:r w:rsidR="00B47B70">
        <w:rPr>
          <w:szCs w:val="24"/>
        </w:rPr>
        <w:t> </w:t>
      </w:r>
      <w:r w:rsidRPr="00B707D6">
        <w:rPr>
          <w:szCs w:val="24"/>
        </w:rPr>
        <w:t>.”  (</w:t>
      </w:r>
      <w:r w:rsidRPr="00B707D6">
        <w:rPr>
          <w:i/>
          <w:iCs/>
          <w:szCs w:val="24"/>
        </w:rPr>
        <w:t>Lincoln v. Lopez</w:t>
      </w:r>
      <w:r w:rsidRPr="00B707D6">
        <w:rPr>
          <w:szCs w:val="24"/>
        </w:rPr>
        <w:t xml:space="preserve"> (2022) 77 Cal.App.5th 922, 929; accord, </w:t>
      </w:r>
      <w:r w:rsidRPr="00B707D6">
        <w:rPr>
          <w:i/>
          <w:iCs/>
          <w:szCs w:val="24"/>
        </w:rPr>
        <w:t>Fabian v. Renovate America, Inc.</w:t>
      </w:r>
      <w:r w:rsidRPr="00B707D6">
        <w:rPr>
          <w:szCs w:val="24"/>
        </w:rPr>
        <w:t> (2019) 42 Cal.App.5th 1062, 1067.)  As the issue turns on a failure of proof, “</w:t>
      </w:r>
      <w:r w:rsidR="005C7EB4">
        <w:rPr>
          <w:szCs w:val="24"/>
        </w:rPr>
        <w:t> ‘</w:t>
      </w:r>
      <w:r w:rsidRPr="00B707D6">
        <w:rPr>
          <w:szCs w:val="24"/>
        </w:rPr>
        <w:t>the question for a reviewing court becomes whether the evidence compels a finding in favor of the appellant as a matter of law</w:t>
      </w:r>
      <w:r w:rsidR="00B47B70">
        <w:rPr>
          <w:szCs w:val="24"/>
        </w:rPr>
        <w:t>.</w:t>
      </w:r>
      <w:r w:rsidR="0047673F">
        <w:rPr>
          <w:szCs w:val="24"/>
        </w:rPr>
        <w:t xml:space="preserve">  [Citations.]  </w:t>
      </w:r>
      <w:r w:rsidRPr="00B707D6">
        <w:rPr>
          <w:szCs w:val="24"/>
        </w:rPr>
        <w:t>Specifically, the question becomes whether the appellant’s evidence was (1)</w:t>
      </w:r>
      <w:r w:rsidR="00B47B70">
        <w:rPr>
          <w:szCs w:val="24"/>
        </w:rPr>
        <w:t> </w:t>
      </w:r>
      <w:r w:rsidR="005C7EB4">
        <w:rPr>
          <w:szCs w:val="24"/>
        </w:rPr>
        <w:t>“</w:t>
      </w:r>
      <w:r w:rsidRPr="00B707D6">
        <w:rPr>
          <w:szCs w:val="24"/>
        </w:rPr>
        <w:t>uncontradicted and unimpeached</w:t>
      </w:r>
      <w:r w:rsidR="005C7EB4">
        <w:rPr>
          <w:szCs w:val="24"/>
        </w:rPr>
        <w:t>”</w:t>
      </w:r>
      <w:r w:rsidRPr="00B707D6">
        <w:rPr>
          <w:szCs w:val="24"/>
        </w:rPr>
        <w:t xml:space="preserve"> and (2)</w:t>
      </w:r>
      <w:r w:rsidR="00B47B70">
        <w:rPr>
          <w:szCs w:val="24"/>
        </w:rPr>
        <w:t> </w:t>
      </w:r>
      <w:r w:rsidR="005C7EB4">
        <w:rPr>
          <w:szCs w:val="24"/>
        </w:rPr>
        <w:t>“</w:t>
      </w:r>
      <w:r w:rsidRPr="00B707D6">
        <w:rPr>
          <w:szCs w:val="24"/>
        </w:rPr>
        <w:t>of such a character and weight as to leave no room for a judicial determination that it was insufficient to support such a finding.</w:t>
      </w:r>
      <w:r w:rsidR="004B0A48">
        <w:rPr>
          <w:szCs w:val="24"/>
        </w:rPr>
        <w:t>” </w:t>
      </w:r>
      <w:r w:rsidR="005C7EB4">
        <w:rPr>
          <w:szCs w:val="24"/>
        </w:rPr>
        <w:t>’ </w:t>
      </w:r>
      <w:r w:rsidRPr="00B707D6">
        <w:rPr>
          <w:szCs w:val="24"/>
        </w:rPr>
        <w:t>”  (</w:t>
      </w:r>
      <w:r w:rsidRPr="00B707D6">
        <w:rPr>
          <w:i/>
          <w:iCs/>
          <w:szCs w:val="24"/>
        </w:rPr>
        <w:t>Sonic M</w:t>
      </w:r>
      <w:r w:rsidR="0047673F">
        <w:rPr>
          <w:i/>
          <w:iCs/>
          <w:szCs w:val="24"/>
        </w:rPr>
        <w:t>anufacturing</w:t>
      </w:r>
      <w:r w:rsidRPr="00B707D6">
        <w:rPr>
          <w:i/>
          <w:iCs/>
          <w:szCs w:val="24"/>
        </w:rPr>
        <w:t xml:space="preserve"> Technologies, Inc. v. AAE Systems, Inc. </w:t>
      </w:r>
      <w:r w:rsidRPr="00B707D6">
        <w:rPr>
          <w:szCs w:val="24"/>
        </w:rPr>
        <w:t>(2011) 196 Cal.App.4th 456, 465.)  As we explain, Hoglund has failed to meet her burden.</w:t>
      </w:r>
    </w:p>
    <w:p w:rsidR="00C2582E" w:rsidRPr="00041F59" w:rsidP="00D05669" w14:paraId="5213172F" w14:textId="12A68FB3">
      <w:pPr>
        <w:keepNext/>
        <w:shd w:val="clear" w:color="auto" w:fill="FFFFFF"/>
        <w:jc w:val="center"/>
        <w:textAlignment w:val="baseline"/>
        <w:rPr>
          <w:szCs w:val="24"/>
        </w:rPr>
      </w:pPr>
      <w:r w:rsidRPr="00041F59">
        <w:rPr>
          <w:szCs w:val="24"/>
        </w:rPr>
        <w:t>III</w:t>
      </w:r>
    </w:p>
    <w:p w:rsidR="00CF41E3" w:rsidRPr="00B707D6" w:rsidP="00D05669" w14:paraId="029C2C9A" w14:textId="59E8A4FE">
      <w:pPr>
        <w:keepNext/>
        <w:shd w:val="clear" w:color="auto" w:fill="FFFFFF"/>
        <w:jc w:val="center"/>
        <w:textAlignment w:val="baseline"/>
        <w:rPr>
          <w:i/>
          <w:iCs/>
          <w:szCs w:val="24"/>
        </w:rPr>
      </w:pPr>
      <w:r w:rsidRPr="00B707D6">
        <w:rPr>
          <w:i/>
          <w:iCs/>
          <w:szCs w:val="24"/>
        </w:rPr>
        <w:t>Analysis</w:t>
      </w:r>
    </w:p>
    <w:p w:rsidR="00CF41E3" w:rsidRPr="00B707D6" w:rsidP="00D05669" w14:paraId="4D0E7E90" w14:textId="666BDCBF">
      <w:pPr>
        <w:shd w:val="clear" w:color="auto" w:fill="FFFFFF"/>
        <w:ind w:firstLine="720"/>
        <w:textAlignment w:val="baseline"/>
        <w:rPr>
          <w:szCs w:val="24"/>
        </w:rPr>
      </w:pPr>
      <w:r>
        <w:rPr>
          <w:szCs w:val="24"/>
        </w:rPr>
        <w:t xml:space="preserve">Several </w:t>
      </w:r>
      <w:r w:rsidRPr="00B707D6">
        <w:rPr>
          <w:szCs w:val="24"/>
        </w:rPr>
        <w:t xml:space="preserve">federal courts have held that the district court may award offset tax payments under statutes authorizing damage awards meant to make the aggrieved party “whole.” </w:t>
      </w:r>
      <w:r w:rsidR="00FF4C18">
        <w:rPr>
          <w:szCs w:val="24"/>
        </w:rPr>
        <w:t xml:space="preserve"> </w:t>
      </w:r>
      <w:r w:rsidRPr="00B707D6" w:rsidR="002E4886">
        <w:rPr>
          <w:szCs w:val="24"/>
        </w:rPr>
        <w:t xml:space="preserve">Such </w:t>
      </w:r>
      <w:r w:rsidRPr="00B707D6" w:rsidR="005B0087">
        <w:rPr>
          <w:szCs w:val="24"/>
        </w:rPr>
        <w:t xml:space="preserve">“gross up” payments have </w:t>
      </w:r>
      <w:r w:rsidRPr="00B707D6" w:rsidR="002E4886">
        <w:rPr>
          <w:szCs w:val="24"/>
        </w:rPr>
        <w:t xml:space="preserve">specifically </w:t>
      </w:r>
      <w:r w:rsidRPr="00B707D6" w:rsidR="005B0087">
        <w:rPr>
          <w:szCs w:val="24"/>
        </w:rPr>
        <w:t>been granted to employees in employment discrimination cases</w:t>
      </w:r>
      <w:r w:rsidRPr="00B707D6" w:rsidR="002E4886">
        <w:rPr>
          <w:szCs w:val="24"/>
        </w:rPr>
        <w:t xml:space="preserve"> and upheld by the federal appellate courts</w:t>
      </w:r>
      <w:r w:rsidRPr="00B707D6" w:rsidR="005B0087">
        <w:rPr>
          <w:szCs w:val="24"/>
        </w:rPr>
        <w:t xml:space="preserve">.  </w:t>
      </w:r>
      <w:r w:rsidRPr="00B707D6">
        <w:rPr>
          <w:szCs w:val="24"/>
        </w:rPr>
        <w:t>(See, e.g., </w:t>
      </w:r>
      <w:r w:rsidRPr="00B707D6">
        <w:rPr>
          <w:i/>
          <w:iCs/>
          <w:szCs w:val="24"/>
        </w:rPr>
        <w:t>Clemens v. CenturyLink</w:t>
      </w:r>
      <w:r w:rsidRPr="00B707D6">
        <w:rPr>
          <w:szCs w:val="24"/>
        </w:rPr>
        <w:t xml:space="preserve"> (9th Cir. 2017) 874 F.3d 1113, 1117; </w:t>
      </w:r>
      <w:r w:rsidRPr="00B707D6">
        <w:rPr>
          <w:i/>
          <w:iCs/>
          <w:szCs w:val="24"/>
        </w:rPr>
        <w:t>Eshelman v. Agere Systems, Inc.</w:t>
      </w:r>
      <w:r w:rsidRPr="00B707D6">
        <w:rPr>
          <w:szCs w:val="24"/>
        </w:rPr>
        <w:t> (3rd Cir. 2009) 554 F.3d 426, 441-442</w:t>
      </w:r>
      <w:r w:rsidRPr="00B707D6" w:rsidR="005B0087">
        <w:rPr>
          <w:szCs w:val="24"/>
        </w:rPr>
        <w:t>;</w:t>
      </w:r>
      <w:r w:rsidRPr="00B707D6">
        <w:rPr>
          <w:szCs w:val="24"/>
        </w:rPr>
        <w:t> </w:t>
      </w:r>
      <w:r w:rsidRPr="00B707D6">
        <w:rPr>
          <w:i/>
          <w:iCs/>
          <w:szCs w:val="24"/>
        </w:rPr>
        <w:t>Sears v. Atchison, Topeka &amp; Santa Fe Railway, Co.</w:t>
      </w:r>
      <w:r w:rsidRPr="00B707D6">
        <w:rPr>
          <w:szCs w:val="24"/>
        </w:rPr>
        <w:t xml:space="preserve"> (10th Cir. 1984) 749 F.2d 1451, </w:t>
      </w:r>
      <w:r w:rsidRPr="00B707D6" w:rsidR="005B0087">
        <w:rPr>
          <w:szCs w:val="24"/>
        </w:rPr>
        <w:t xml:space="preserve">1456.)  </w:t>
      </w:r>
      <w:r w:rsidR="003A4A7D">
        <w:rPr>
          <w:szCs w:val="24"/>
        </w:rPr>
        <w:t>California caselaw on this issue, however, is sparse.  Nonetheless</w:t>
      </w:r>
      <w:r w:rsidRPr="00B707D6" w:rsidR="005B0087">
        <w:rPr>
          <w:szCs w:val="24"/>
        </w:rPr>
        <w:t>, one</w:t>
      </w:r>
      <w:r w:rsidRPr="00B707D6">
        <w:rPr>
          <w:szCs w:val="24"/>
        </w:rPr>
        <w:t xml:space="preserve"> California appellate court</w:t>
      </w:r>
      <w:r w:rsidRPr="00B707D6" w:rsidR="002E4886">
        <w:rPr>
          <w:szCs w:val="24"/>
        </w:rPr>
        <w:t xml:space="preserve"> </w:t>
      </w:r>
      <w:r w:rsidRPr="00B707D6">
        <w:rPr>
          <w:szCs w:val="24"/>
        </w:rPr>
        <w:t>has concluded that trial courts can award gross-up damages to offset the tax consequences of lump sum awards in appropriate cases</w:t>
      </w:r>
      <w:r w:rsidR="003A4A7D">
        <w:rPr>
          <w:szCs w:val="24"/>
        </w:rPr>
        <w:t>, if established with “sufficient certainty</w:t>
      </w:r>
      <w:r w:rsidRPr="00B707D6">
        <w:rPr>
          <w:szCs w:val="24"/>
        </w:rPr>
        <w:t>.</w:t>
      </w:r>
      <w:r w:rsidR="003A4A7D">
        <w:rPr>
          <w:szCs w:val="24"/>
        </w:rPr>
        <w:t>”</w:t>
      </w:r>
      <w:r w:rsidRPr="00B707D6" w:rsidR="005B0087">
        <w:rPr>
          <w:szCs w:val="24"/>
        </w:rPr>
        <w:t xml:space="preserve">  (</w:t>
      </w:r>
      <w:r w:rsidRPr="00B707D6" w:rsidR="005B0087">
        <w:rPr>
          <w:i/>
          <w:iCs/>
          <w:szCs w:val="24"/>
        </w:rPr>
        <w:t>Economy</w:t>
      </w:r>
      <w:r w:rsidRPr="00041F59" w:rsidR="005B0087">
        <w:rPr>
          <w:i/>
          <w:iCs/>
          <w:szCs w:val="24"/>
        </w:rPr>
        <w:t>,</w:t>
      </w:r>
      <w:r w:rsidRPr="00B707D6" w:rsidR="005B0087">
        <w:rPr>
          <w:szCs w:val="24"/>
        </w:rPr>
        <w:t xml:space="preserve"> </w:t>
      </w:r>
      <w:r w:rsidRPr="00B707D6" w:rsidR="005B0087">
        <w:rPr>
          <w:i/>
          <w:iCs/>
          <w:szCs w:val="24"/>
        </w:rPr>
        <w:t>supra</w:t>
      </w:r>
      <w:r w:rsidRPr="00B707D6" w:rsidR="005B0087">
        <w:rPr>
          <w:szCs w:val="24"/>
        </w:rPr>
        <w:t>, 31</w:t>
      </w:r>
      <w:r w:rsidR="00A57EFD">
        <w:rPr>
          <w:szCs w:val="24"/>
        </w:rPr>
        <w:t> </w:t>
      </w:r>
      <w:r w:rsidRPr="00B707D6" w:rsidR="005B0087">
        <w:rPr>
          <w:szCs w:val="24"/>
        </w:rPr>
        <w:t>Cal.App.5th at pp. 1163-1164.)</w:t>
      </w:r>
    </w:p>
    <w:p w:rsidR="00251B27" w:rsidRPr="00B707D6" w:rsidP="00D05669" w14:paraId="72B441B9" w14:textId="03ECA973">
      <w:pPr>
        <w:shd w:val="clear" w:color="auto" w:fill="FFFFFF"/>
        <w:ind w:firstLine="720"/>
        <w:textAlignment w:val="baseline"/>
        <w:rPr>
          <w:szCs w:val="24"/>
        </w:rPr>
      </w:pPr>
      <w:r w:rsidRPr="00B707D6">
        <w:rPr>
          <w:szCs w:val="24"/>
        </w:rPr>
        <w:t xml:space="preserve">In </w:t>
      </w:r>
      <w:r w:rsidRPr="00B707D6">
        <w:rPr>
          <w:i/>
          <w:iCs/>
          <w:szCs w:val="24"/>
        </w:rPr>
        <w:t>Economy</w:t>
      </w:r>
      <w:r w:rsidRPr="00B707D6">
        <w:rPr>
          <w:szCs w:val="24"/>
        </w:rPr>
        <w:t xml:space="preserve">, the trial court </w:t>
      </w:r>
      <w:r w:rsidRPr="00B707D6" w:rsidR="00412DB6">
        <w:rPr>
          <w:szCs w:val="24"/>
        </w:rPr>
        <w:t>ordered the employer to pay</w:t>
      </w:r>
      <w:r w:rsidRPr="00B707D6">
        <w:rPr>
          <w:szCs w:val="24"/>
        </w:rPr>
        <w:t xml:space="preserve"> </w:t>
      </w:r>
      <w:r w:rsidR="003A4A7D">
        <w:rPr>
          <w:szCs w:val="24"/>
        </w:rPr>
        <w:t xml:space="preserve">its former employee an additional </w:t>
      </w:r>
      <w:r w:rsidRPr="00B707D6">
        <w:rPr>
          <w:szCs w:val="24"/>
        </w:rPr>
        <w:t xml:space="preserve">$650,910 </w:t>
      </w:r>
      <w:r w:rsidRPr="00B707D6" w:rsidR="00412DB6">
        <w:rPr>
          <w:szCs w:val="24"/>
        </w:rPr>
        <w:t>as</w:t>
      </w:r>
      <w:r w:rsidRPr="00B707D6">
        <w:rPr>
          <w:szCs w:val="24"/>
        </w:rPr>
        <w:t xml:space="preserve"> tax neutralization</w:t>
      </w:r>
      <w:r w:rsidR="003A4A7D">
        <w:rPr>
          <w:szCs w:val="24"/>
        </w:rPr>
        <w:t xml:space="preserve"> for his economic damages, which consisted of lost past and future income</w:t>
      </w:r>
      <w:r w:rsidR="008957E4">
        <w:rPr>
          <w:szCs w:val="24"/>
        </w:rPr>
        <w:t>.</w:t>
      </w:r>
      <w:r w:rsidRPr="00B707D6">
        <w:rPr>
          <w:szCs w:val="24"/>
        </w:rPr>
        <w:t xml:space="preserve">  (</w:t>
      </w:r>
      <w:r w:rsidRPr="00B707D6">
        <w:rPr>
          <w:i/>
          <w:iCs/>
          <w:szCs w:val="24"/>
        </w:rPr>
        <w:t>Economy</w:t>
      </w:r>
      <w:r w:rsidRPr="00041F59">
        <w:rPr>
          <w:i/>
          <w:iCs/>
          <w:szCs w:val="24"/>
        </w:rPr>
        <w:t>,</w:t>
      </w:r>
      <w:r w:rsidRPr="00B707D6">
        <w:rPr>
          <w:szCs w:val="24"/>
        </w:rPr>
        <w:t xml:space="preserve"> </w:t>
      </w:r>
      <w:r w:rsidRPr="00B707D6">
        <w:rPr>
          <w:i/>
          <w:iCs/>
          <w:szCs w:val="24"/>
        </w:rPr>
        <w:t>supra</w:t>
      </w:r>
      <w:r w:rsidRPr="00B707D6">
        <w:rPr>
          <w:szCs w:val="24"/>
        </w:rPr>
        <w:t xml:space="preserve">, 31 Cal.App.5th at p. 1163.)  The employer challenged the </w:t>
      </w:r>
      <w:r w:rsidR="003A4A7D">
        <w:rPr>
          <w:szCs w:val="24"/>
        </w:rPr>
        <w:t>offset</w:t>
      </w:r>
      <w:r w:rsidRPr="00B707D6">
        <w:rPr>
          <w:szCs w:val="24"/>
        </w:rPr>
        <w:t xml:space="preserve"> </w:t>
      </w:r>
      <w:r w:rsidRPr="00B707D6" w:rsidR="007D5FE3">
        <w:rPr>
          <w:szCs w:val="24"/>
        </w:rPr>
        <w:t>on the grounds that it was based on speculative assumptions about future tax rates, tax returns, and income.  (</w:t>
      </w:r>
      <w:r w:rsidRPr="00B707D6" w:rsidR="007D5FE3">
        <w:rPr>
          <w:i/>
          <w:iCs/>
          <w:szCs w:val="24"/>
        </w:rPr>
        <w:t>Ibid.</w:t>
      </w:r>
      <w:r w:rsidRPr="00B707D6" w:rsidR="007D5FE3">
        <w:rPr>
          <w:szCs w:val="24"/>
        </w:rPr>
        <w:t>)  The appellate court affirmed</w:t>
      </w:r>
      <w:r w:rsidR="008957E4">
        <w:rPr>
          <w:szCs w:val="24"/>
        </w:rPr>
        <w:t xml:space="preserve"> the offset</w:t>
      </w:r>
      <w:r w:rsidRPr="00B707D6" w:rsidR="007D5FE3">
        <w:rPr>
          <w:szCs w:val="24"/>
        </w:rPr>
        <w:t>.  While it acknowledged that “an award to compensate for an income-tax disparity for lost future wages is inherently speculative,” it saw “no reason why this factor cannot be established with sufficient certainty” as “plaintiff’s expert provided ‘detailed testimony regarding his calculations of (i) plaintiff's total tax liability had plaintiff not been terminated and had he continued to earn income, (ii) the amount plaintiff would have to pay in taxes if awarded the computed loss of earnings (back and front pay), and (iii) the tax neutralization amount, i.e., the amount of money needed to generate a net amount equal to the adverse tax consequence.’ ”  (</w:t>
      </w:r>
      <w:r w:rsidRPr="00B707D6">
        <w:rPr>
          <w:i/>
          <w:iCs/>
          <w:szCs w:val="24"/>
        </w:rPr>
        <w:t xml:space="preserve">Id. </w:t>
      </w:r>
      <w:r w:rsidRPr="00B707D6">
        <w:rPr>
          <w:szCs w:val="24"/>
        </w:rPr>
        <w:t xml:space="preserve">at </w:t>
      </w:r>
      <w:r w:rsidR="00C80290">
        <w:rPr>
          <w:szCs w:val="24"/>
        </w:rPr>
        <w:t xml:space="preserve">p. </w:t>
      </w:r>
      <w:r w:rsidRPr="00B707D6">
        <w:rPr>
          <w:szCs w:val="24"/>
        </w:rPr>
        <w:t>1164.)  It accordingly found it reasonable that the trial court awarded a tax neutralization amount to offset the damages</w:t>
      </w:r>
      <w:r w:rsidRPr="00B707D6" w:rsidR="00862C48">
        <w:rPr>
          <w:szCs w:val="24"/>
        </w:rPr>
        <w:t xml:space="preserve"> to ensure the plaintiff was fully compensated for his losses</w:t>
      </w:r>
      <w:r w:rsidRPr="00B707D6">
        <w:rPr>
          <w:szCs w:val="24"/>
        </w:rPr>
        <w:t xml:space="preserve">.  </w:t>
      </w:r>
      <w:r w:rsidRPr="00B707D6" w:rsidR="00862C48">
        <w:rPr>
          <w:szCs w:val="24"/>
        </w:rPr>
        <w:t>(</w:t>
      </w:r>
      <w:r w:rsidRPr="00B707D6" w:rsidR="00862C48">
        <w:rPr>
          <w:i/>
          <w:iCs/>
          <w:szCs w:val="24"/>
        </w:rPr>
        <w:t>Ibid.</w:t>
      </w:r>
      <w:r w:rsidRPr="00B707D6" w:rsidR="00862C48">
        <w:rPr>
          <w:szCs w:val="24"/>
        </w:rPr>
        <w:t>)</w:t>
      </w:r>
    </w:p>
    <w:p w:rsidR="00902371" w:rsidRPr="00B707D6" w:rsidP="005841EC" w14:paraId="0017EADD" w14:textId="7CCE3F04">
      <w:pPr>
        <w:shd w:val="clear" w:color="auto" w:fill="FFFFFF"/>
        <w:ind w:firstLine="720"/>
        <w:textAlignment w:val="baseline"/>
        <w:rPr>
          <w:szCs w:val="24"/>
        </w:rPr>
      </w:pPr>
      <w:r w:rsidRPr="00B707D6">
        <w:rPr>
          <w:szCs w:val="24"/>
        </w:rPr>
        <w:t xml:space="preserve">Here, of course, the standard </w:t>
      </w:r>
      <w:r w:rsidR="003A4A7D">
        <w:rPr>
          <w:szCs w:val="24"/>
        </w:rPr>
        <w:t xml:space="preserve">of review imposes a </w:t>
      </w:r>
      <w:r w:rsidRPr="00B707D6">
        <w:rPr>
          <w:szCs w:val="24"/>
        </w:rPr>
        <w:t xml:space="preserve">much </w:t>
      </w:r>
      <w:r w:rsidR="003A4A7D">
        <w:rPr>
          <w:szCs w:val="24"/>
        </w:rPr>
        <w:t>weightier burden on Hoglund</w:t>
      </w:r>
      <w:r w:rsidRPr="00B707D6">
        <w:rPr>
          <w:szCs w:val="24"/>
        </w:rPr>
        <w:t>, as the trial court did not award any tax offset</w:t>
      </w:r>
      <w:r w:rsidR="003A4A7D">
        <w:rPr>
          <w:szCs w:val="24"/>
        </w:rPr>
        <w:t xml:space="preserve"> due to</w:t>
      </w:r>
      <w:r w:rsidRPr="00B707D6">
        <w:rPr>
          <w:szCs w:val="24"/>
        </w:rPr>
        <w:t xml:space="preserve"> insufficient</w:t>
      </w:r>
      <w:r w:rsidR="003A4A7D">
        <w:rPr>
          <w:szCs w:val="24"/>
        </w:rPr>
        <w:t xml:space="preserve"> evidence</w:t>
      </w:r>
      <w:r w:rsidRPr="00B707D6">
        <w:rPr>
          <w:szCs w:val="24"/>
        </w:rPr>
        <w:t xml:space="preserve">.  Having reviewed Barnes’ report and testimony, we cannot conclude that </w:t>
      </w:r>
      <w:r w:rsidRPr="00B707D6" w:rsidR="00412DB6">
        <w:rPr>
          <w:szCs w:val="24"/>
        </w:rPr>
        <w:t xml:space="preserve">this evidence </w:t>
      </w:r>
      <w:r w:rsidRPr="00B707D6">
        <w:rPr>
          <w:szCs w:val="24"/>
        </w:rPr>
        <w:t>is “</w:t>
      </w:r>
      <w:r w:rsidR="00A027A8">
        <w:rPr>
          <w:szCs w:val="24"/>
        </w:rPr>
        <w:t> ‘</w:t>
      </w:r>
      <w:r w:rsidRPr="00B707D6">
        <w:rPr>
          <w:szCs w:val="24"/>
        </w:rPr>
        <w:t>of such a character and weight as to leave no room for a judicial determination</w:t>
      </w:r>
      <w:r w:rsidR="00A027A8">
        <w:rPr>
          <w:szCs w:val="24"/>
        </w:rPr>
        <w:t>’ </w:t>
      </w:r>
      <w:r w:rsidRPr="00B707D6">
        <w:rPr>
          <w:szCs w:val="24"/>
        </w:rPr>
        <w:t>” that the evidence was insufficient.  (</w:t>
      </w:r>
      <w:r w:rsidRPr="00B707D6">
        <w:rPr>
          <w:i/>
          <w:iCs/>
          <w:szCs w:val="24"/>
        </w:rPr>
        <w:t>Sonic M</w:t>
      </w:r>
      <w:r w:rsidR="00A027A8">
        <w:rPr>
          <w:i/>
          <w:iCs/>
          <w:szCs w:val="24"/>
        </w:rPr>
        <w:t>anufacturing</w:t>
      </w:r>
      <w:r w:rsidRPr="00B707D6">
        <w:rPr>
          <w:i/>
          <w:iCs/>
          <w:szCs w:val="24"/>
        </w:rPr>
        <w:t xml:space="preserve"> Technologies, Inc. v. AAE Systems, Inc.</w:t>
      </w:r>
      <w:r w:rsidRPr="00041F59">
        <w:rPr>
          <w:i/>
          <w:iCs/>
          <w:szCs w:val="24"/>
        </w:rPr>
        <w:t>,</w:t>
      </w:r>
      <w:r w:rsidRPr="00B707D6">
        <w:rPr>
          <w:szCs w:val="24"/>
        </w:rPr>
        <w:t xml:space="preserve"> </w:t>
      </w:r>
      <w:r w:rsidRPr="00B707D6">
        <w:rPr>
          <w:i/>
          <w:iCs/>
          <w:szCs w:val="24"/>
        </w:rPr>
        <w:t>supra</w:t>
      </w:r>
      <w:r w:rsidRPr="00B707D6">
        <w:rPr>
          <w:szCs w:val="24"/>
        </w:rPr>
        <w:t>, 196 Cal.App.4th at p. 46</w:t>
      </w:r>
      <w:r w:rsidR="007F2586">
        <w:rPr>
          <w:szCs w:val="24"/>
        </w:rPr>
        <w:t>6</w:t>
      </w:r>
      <w:r w:rsidRPr="00B707D6">
        <w:rPr>
          <w:szCs w:val="24"/>
        </w:rPr>
        <w:t xml:space="preserve">.)  </w:t>
      </w:r>
      <w:r w:rsidRPr="00B707D6" w:rsidR="00412DB6">
        <w:rPr>
          <w:szCs w:val="24"/>
        </w:rPr>
        <w:t xml:space="preserve">In his </w:t>
      </w:r>
      <w:r w:rsidR="002046DF">
        <w:rPr>
          <w:szCs w:val="24"/>
        </w:rPr>
        <w:t>10</w:t>
      </w:r>
      <w:r w:rsidR="007F2586">
        <w:rPr>
          <w:szCs w:val="24"/>
        </w:rPr>
        <w:t>-</w:t>
      </w:r>
      <w:r w:rsidRPr="00B707D6" w:rsidR="00442E94">
        <w:rPr>
          <w:szCs w:val="24"/>
        </w:rPr>
        <w:t>page</w:t>
      </w:r>
      <w:r w:rsidRPr="00B707D6" w:rsidR="00412DB6">
        <w:rPr>
          <w:szCs w:val="24"/>
        </w:rPr>
        <w:t xml:space="preserve"> damages report, </w:t>
      </w:r>
      <w:r w:rsidRPr="00B707D6" w:rsidR="005573DA">
        <w:rPr>
          <w:szCs w:val="24"/>
        </w:rPr>
        <w:t>Barnes dedicate</w:t>
      </w:r>
      <w:r w:rsidR="000960B2">
        <w:rPr>
          <w:szCs w:val="24"/>
        </w:rPr>
        <w:t>d</w:t>
      </w:r>
      <w:r w:rsidRPr="00B707D6" w:rsidR="005573DA">
        <w:rPr>
          <w:szCs w:val="24"/>
        </w:rPr>
        <w:t xml:space="preserve"> five pages to the </w:t>
      </w:r>
      <w:r w:rsidR="003A4A7D">
        <w:rPr>
          <w:szCs w:val="24"/>
        </w:rPr>
        <w:t xml:space="preserve">tax neutralization </w:t>
      </w:r>
      <w:r w:rsidRPr="00B707D6" w:rsidR="005573DA">
        <w:rPr>
          <w:szCs w:val="24"/>
        </w:rPr>
        <w:t>issue</w:t>
      </w:r>
      <w:r w:rsidRPr="00B707D6" w:rsidR="00412DB6">
        <w:rPr>
          <w:szCs w:val="24"/>
        </w:rPr>
        <w:t xml:space="preserve">.  </w:t>
      </w:r>
      <w:r w:rsidR="003A4A7D">
        <w:rPr>
          <w:szCs w:val="24"/>
        </w:rPr>
        <w:t>H</w:t>
      </w:r>
      <w:r w:rsidRPr="00B707D6" w:rsidR="005573DA">
        <w:rPr>
          <w:szCs w:val="24"/>
        </w:rPr>
        <w:t xml:space="preserve">is </w:t>
      </w:r>
      <w:r w:rsidR="003A4A7D">
        <w:rPr>
          <w:szCs w:val="24"/>
        </w:rPr>
        <w:t>calculation of the appropriate offset</w:t>
      </w:r>
      <w:r w:rsidRPr="00B707D6" w:rsidR="005573DA">
        <w:rPr>
          <w:szCs w:val="24"/>
        </w:rPr>
        <w:t xml:space="preserve"> is merely an example, and not a true calculation based on the damages award.  Indeed, although Barnes suggests that </w:t>
      </w:r>
      <w:r w:rsidRPr="00B707D6" w:rsidR="00412DB6">
        <w:rPr>
          <w:szCs w:val="24"/>
        </w:rPr>
        <w:t xml:space="preserve">he would need to provide </w:t>
      </w:r>
      <w:r w:rsidRPr="00B707D6" w:rsidR="005573DA">
        <w:rPr>
          <w:szCs w:val="24"/>
        </w:rPr>
        <w:t xml:space="preserve">such a precise, post-award calculation </w:t>
      </w:r>
      <w:r w:rsidRPr="00B707D6" w:rsidR="00412DB6">
        <w:rPr>
          <w:szCs w:val="24"/>
        </w:rPr>
        <w:t>to the trial court for it to assess the proper amount</w:t>
      </w:r>
      <w:r w:rsidRPr="00B707D6" w:rsidR="005573DA">
        <w:rPr>
          <w:szCs w:val="24"/>
        </w:rPr>
        <w:t xml:space="preserve">, </w:t>
      </w:r>
      <w:r w:rsidR="000960B2">
        <w:rPr>
          <w:szCs w:val="24"/>
        </w:rPr>
        <w:t>no such calculation was offered</w:t>
      </w:r>
      <w:r w:rsidRPr="00B707D6" w:rsidR="005573DA">
        <w:rPr>
          <w:szCs w:val="24"/>
        </w:rPr>
        <w:t>.  Rather, h</w:t>
      </w:r>
      <w:r w:rsidR="003A4A7D">
        <w:rPr>
          <w:szCs w:val="24"/>
        </w:rPr>
        <w:t>is report</w:t>
      </w:r>
      <w:r w:rsidRPr="00B707D6" w:rsidR="005573DA">
        <w:rPr>
          <w:szCs w:val="24"/>
        </w:rPr>
        <w:t xml:space="preserve"> sets forth only a vague “methodology” for the trial court to conduct its own calculation</w:t>
      </w:r>
      <w:r w:rsidR="003A4A7D">
        <w:rPr>
          <w:szCs w:val="24"/>
        </w:rPr>
        <w:t>,</w:t>
      </w:r>
      <w:r w:rsidRPr="00B707D6" w:rsidR="00412DB6">
        <w:rPr>
          <w:szCs w:val="24"/>
        </w:rPr>
        <w:t xml:space="preserve"> without any post-award follow up</w:t>
      </w:r>
      <w:r w:rsidRPr="00B707D6" w:rsidR="005573DA">
        <w:rPr>
          <w:szCs w:val="24"/>
        </w:rPr>
        <w:t xml:space="preserve">.  </w:t>
      </w:r>
      <w:r w:rsidRPr="00B707D6" w:rsidR="00412DB6">
        <w:rPr>
          <w:szCs w:val="24"/>
        </w:rPr>
        <w:t>Further, the rationale behind Barnes’</w:t>
      </w:r>
      <w:r w:rsidRPr="00B707D6" w:rsidR="005573DA">
        <w:rPr>
          <w:szCs w:val="24"/>
        </w:rPr>
        <w:t xml:space="preserve"> </w:t>
      </w:r>
      <w:r w:rsidRPr="00B707D6">
        <w:rPr>
          <w:szCs w:val="24"/>
        </w:rPr>
        <w:t>methodology</w:t>
      </w:r>
      <w:r w:rsidRPr="00B707D6" w:rsidR="005573DA">
        <w:rPr>
          <w:szCs w:val="24"/>
        </w:rPr>
        <w:t xml:space="preserve"> </w:t>
      </w:r>
      <w:r w:rsidRPr="00B707D6" w:rsidR="00412DB6">
        <w:rPr>
          <w:szCs w:val="24"/>
        </w:rPr>
        <w:t xml:space="preserve">is poorly explained.  It </w:t>
      </w:r>
      <w:r w:rsidRPr="00B707D6" w:rsidR="005573DA">
        <w:rPr>
          <w:szCs w:val="24"/>
        </w:rPr>
        <w:t xml:space="preserve">does not discuss </w:t>
      </w:r>
      <w:r w:rsidRPr="00B707D6">
        <w:rPr>
          <w:szCs w:val="24"/>
        </w:rPr>
        <w:t>Hoglund’s</w:t>
      </w:r>
      <w:r w:rsidRPr="00B707D6" w:rsidR="005573DA">
        <w:rPr>
          <w:szCs w:val="24"/>
        </w:rPr>
        <w:t xml:space="preserve"> past tax returns, income, or filing status.  While it assumes she will be married and filing jointly, it also does </w:t>
      </w:r>
      <w:r w:rsidR="00442E94">
        <w:rPr>
          <w:szCs w:val="24"/>
        </w:rPr>
        <w:t>reflect that he took her</w:t>
      </w:r>
      <w:r w:rsidRPr="00B707D6" w:rsidR="005573DA">
        <w:rPr>
          <w:szCs w:val="24"/>
        </w:rPr>
        <w:t xml:space="preserve"> spouse’s income into account.  </w:t>
      </w:r>
      <w:r w:rsidRPr="00B707D6" w:rsidR="00412DB6">
        <w:rPr>
          <w:szCs w:val="24"/>
        </w:rPr>
        <w:t>In general, i</w:t>
      </w:r>
      <w:r w:rsidRPr="00B707D6" w:rsidR="005573DA">
        <w:rPr>
          <w:szCs w:val="24"/>
        </w:rPr>
        <w:t xml:space="preserve">t </w:t>
      </w:r>
      <w:r w:rsidRPr="00B707D6">
        <w:rPr>
          <w:szCs w:val="24"/>
        </w:rPr>
        <w:t>appears to be based on numerous assumptions</w:t>
      </w:r>
      <w:r w:rsidRPr="00B707D6" w:rsidR="00412DB6">
        <w:rPr>
          <w:szCs w:val="24"/>
        </w:rPr>
        <w:t xml:space="preserve"> about Hoglund’s income, joint income, and applicable tax rates</w:t>
      </w:r>
      <w:r w:rsidRPr="00B707D6">
        <w:rPr>
          <w:szCs w:val="24"/>
        </w:rPr>
        <w:t xml:space="preserve">, yet does not explain the reasons for those assumptions.  For example, the report </w:t>
      </w:r>
      <w:r w:rsidRPr="00B707D6" w:rsidR="005573DA">
        <w:rPr>
          <w:szCs w:val="24"/>
        </w:rPr>
        <w:t xml:space="preserve">does not explain </w:t>
      </w:r>
      <w:r w:rsidRPr="00B707D6">
        <w:rPr>
          <w:szCs w:val="24"/>
        </w:rPr>
        <w:t xml:space="preserve">why he assumes Hoglund has no other sources of income, such as from stock holdings or investments.  Nor does it make any reasonable projections about the future.  In sum, it is extremely </w:t>
      </w:r>
      <w:r w:rsidR="008957E4">
        <w:rPr>
          <w:szCs w:val="24"/>
        </w:rPr>
        <w:t>limited</w:t>
      </w:r>
      <w:r w:rsidRPr="00B707D6">
        <w:rPr>
          <w:szCs w:val="24"/>
        </w:rPr>
        <w:t xml:space="preserve"> and theoretical, essentially proposing a concept without applying the specific facts of this case beyond a very generic, simplistic calculation.  Accordingly, we are not persuaded that Hoglund provided such clear, detailed, substantial, and unrebutted evidence that she has established her entitlement to the tax neutralization award as a matter of law.  We therefore affirm the trial court’s </w:t>
      </w:r>
      <w:r w:rsidRPr="00B707D6" w:rsidR="00412DB6">
        <w:rPr>
          <w:szCs w:val="24"/>
        </w:rPr>
        <w:t>ruling denying the</w:t>
      </w:r>
      <w:r w:rsidRPr="00B707D6">
        <w:rPr>
          <w:szCs w:val="24"/>
        </w:rPr>
        <w:t xml:space="preserve"> tax neutralization </w:t>
      </w:r>
      <w:r w:rsidRPr="00B707D6" w:rsidR="00412DB6">
        <w:rPr>
          <w:szCs w:val="24"/>
        </w:rPr>
        <w:t>payment</w:t>
      </w:r>
      <w:r w:rsidRPr="00B707D6">
        <w:rPr>
          <w:szCs w:val="24"/>
        </w:rPr>
        <w:t>.</w:t>
      </w:r>
    </w:p>
    <w:p w:rsidR="00902371" w:rsidRPr="00B707D6" w:rsidP="005841EC" w14:paraId="7D3B621F" w14:textId="77777777">
      <w:pPr>
        <w:keepNext/>
        <w:shd w:val="clear" w:color="auto" w:fill="FFFFFF"/>
        <w:jc w:val="center"/>
        <w:textAlignment w:val="baseline"/>
        <w:rPr>
          <w:szCs w:val="24"/>
        </w:rPr>
      </w:pPr>
      <w:r w:rsidRPr="00B707D6">
        <w:rPr>
          <w:szCs w:val="24"/>
        </w:rPr>
        <w:t>DISPOSITION</w:t>
      </w:r>
    </w:p>
    <w:p w:rsidR="000A008B" w:rsidP="00E74FE0" w14:paraId="5A8D514F" w14:textId="50B8F127">
      <w:pPr>
        <w:ind w:firstLine="720"/>
        <w:sectPr w:rsidSect="003D11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54"/>
        </w:sectPr>
      </w:pPr>
      <w:r w:rsidRPr="00B707D6">
        <w:rPr>
          <w:szCs w:val="24"/>
        </w:rPr>
        <w:t xml:space="preserve">The </w:t>
      </w:r>
      <w:r w:rsidRPr="00B43EB3">
        <w:rPr>
          <w:szCs w:val="24"/>
        </w:rPr>
        <w:t>judgment</w:t>
      </w:r>
      <w:r w:rsidR="006E3E66">
        <w:rPr>
          <w:szCs w:val="24"/>
        </w:rPr>
        <w:t xml:space="preserve"> is </w:t>
      </w:r>
      <w:r w:rsidRPr="00B43EB3">
        <w:rPr>
          <w:szCs w:val="24"/>
        </w:rPr>
        <w:t>affirmed.</w:t>
      </w:r>
      <w:r w:rsidRPr="00B707D6">
        <w:rPr>
          <w:szCs w:val="24"/>
        </w:rPr>
        <w:t xml:space="preserve">  </w:t>
      </w:r>
      <w:r w:rsidR="00E74FE0">
        <w:t>Hoglund shall r</w:t>
      </w:r>
      <w:r w:rsidRPr="00EA3747" w:rsidR="00E74FE0">
        <w:t xml:space="preserve">ecover </w:t>
      </w:r>
      <w:r w:rsidR="00E74FE0">
        <w:t>her</w:t>
      </w:r>
      <w:r w:rsidRPr="00EA3747" w:rsidR="00E74FE0">
        <w:t xml:space="preserve"> costs on appeal.  (Cal. Rules of Court, rule 8.278(a)(1), (</w:t>
      </w:r>
      <w:r w:rsidR="00176268">
        <w:t>5</w:t>
      </w:r>
      <w:r w:rsidRPr="00EA3747" w:rsidR="00E74FE0">
        <w:t>).)</w:t>
      </w:r>
    </w:p>
    <w:p w:rsidR="003D117B" w:rsidP="003D117B" w14:paraId="56029BC2" w14:textId="77777777">
      <w:pPr>
        <w:spacing w:line="240" w:lineRule="auto"/>
        <w:ind w:firstLine="720"/>
      </w:pPr>
    </w:p>
    <w:p w:rsidR="003D117B" w:rsidP="003D117B" w14:paraId="4FEF94E5" w14:textId="77777777">
      <w:pPr>
        <w:spacing w:line="240" w:lineRule="auto"/>
        <w:ind w:firstLine="720"/>
      </w:pPr>
    </w:p>
    <w:p w:rsidR="003D117B" w:rsidP="003D117B" w14:paraId="09AD0632" w14:textId="77777777">
      <w:pPr>
        <w:spacing w:line="240" w:lineRule="auto"/>
        <w:ind w:firstLine="720"/>
      </w:pPr>
    </w:p>
    <w:p w:rsidR="000A008B" w:rsidP="003D117B" w14:paraId="376A24EA" w14:textId="417157C3">
      <w:pPr>
        <w:tabs>
          <w:tab w:val="left" w:pos="5040"/>
          <w:tab w:val="left" w:pos="7920"/>
        </w:tabs>
        <w:spacing w:line="240" w:lineRule="auto"/>
        <w:ind w:firstLine="720"/>
      </w:pPr>
      <w:r>
        <w:tab/>
      </w:r>
      <w:r w:rsidRPr="003D117B">
        <w:rPr>
          <w:u w:val="single"/>
        </w:rPr>
        <w:t xml:space="preserve">          </w:t>
      </w:r>
      <w:r w:rsidR="003C6623">
        <w:rPr>
          <w:u w:val="single"/>
        </w:rPr>
        <w:t>\s\</w:t>
      </w:r>
      <w:r w:rsidRPr="003D117B">
        <w:rPr>
          <w:u w:val="single"/>
        </w:rPr>
        <w:tab/>
      </w:r>
      <w:r>
        <w:t>,</w:t>
      </w:r>
    </w:p>
    <w:p w:rsidR="003D117B" w:rsidP="003D117B" w14:paraId="41C3BFD8" w14:textId="6CA57628">
      <w:pPr>
        <w:tabs>
          <w:tab w:val="left" w:pos="5040"/>
          <w:tab w:val="left" w:pos="7920"/>
        </w:tabs>
        <w:spacing w:line="240" w:lineRule="auto"/>
        <w:ind w:firstLine="720"/>
      </w:pPr>
      <w:r>
        <w:tab/>
        <w:t>Krause, J.</w:t>
      </w:r>
    </w:p>
    <w:p w:rsidR="003D117B" w:rsidP="003D117B" w14:paraId="2BB6ECC1" w14:textId="77777777">
      <w:pPr>
        <w:tabs>
          <w:tab w:val="left" w:pos="5040"/>
          <w:tab w:val="left" w:pos="7920"/>
        </w:tabs>
        <w:spacing w:line="240" w:lineRule="auto"/>
        <w:ind w:firstLine="720"/>
      </w:pPr>
    </w:p>
    <w:p w:rsidR="003D117B" w:rsidP="003D117B" w14:paraId="1BC589DD" w14:textId="77777777">
      <w:pPr>
        <w:tabs>
          <w:tab w:val="left" w:pos="5040"/>
          <w:tab w:val="left" w:pos="7920"/>
        </w:tabs>
        <w:spacing w:line="240" w:lineRule="auto"/>
        <w:ind w:firstLine="720"/>
      </w:pPr>
    </w:p>
    <w:p w:rsidR="003D117B" w:rsidP="000A008B" w14:paraId="257077AE" w14:textId="66AC0641">
      <w:pPr>
        <w:spacing w:line="240" w:lineRule="auto"/>
      </w:pPr>
      <w:r>
        <w:t>We concur:</w:t>
      </w:r>
    </w:p>
    <w:p w:rsidR="003D117B" w:rsidP="000A008B" w14:paraId="69380B64" w14:textId="77777777">
      <w:pPr>
        <w:spacing w:line="240" w:lineRule="auto"/>
      </w:pPr>
    </w:p>
    <w:p w:rsidR="003D117B" w:rsidP="000A008B" w14:paraId="49C890A3" w14:textId="77777777">
      <w:pPr>
        <w:spacing w:line="240" w:lineRule="auto"/>
      </w:pPr>
    </w:p>
    <w:p w:rsidR="000A008B" w:rsidP="000A008B" w14:paraId="3EEB36BD" w14:textId="5CC6F1F8">
      <w:pPr>
        <w:tabs>
          <w:tab w:val="left" w:pos="2880"/>
        </w:tabs>
        <w:spacing w:line="240" w:lineRule="auto"/>
      </w:pPr>
      <w:r w:rsidRPr="003D117B">
        <w:rPr>
          <w:u w:val="single"/>
        </w:rPr>
        <w:t xml:space="preserve">          </w:t>
      </w:r>
      <w:r w:rsidR="003C6623">
        <w:rPr>
          <w:u w:val="single"/>
        </w:rPr>
        <w:t>\s\</w:t>
      </w:r>
      <w:r w:rsidRPr="003D117B">
        <w:rPr>
          <w:u w:val="single"/>
        </w:rPr>
        <w:tab/>
      </w:r>
      <w:r>
        <w:t>,</w:t>
      </w:r>
    </w:p>
    <w:p w:rsidR="003D117B" w:rsidP="000A008B" w14:paraId="66C39BAA" w14:textId="6D0FE040">
      <w:pPr>
        <w:tabs>
          <w:tab w:val="left" w:pos="2880"/>
        </w:tabs>
        <w:spacing w:line="240" w:lineRule="auto"/>
      </w:pPr>
      <w:r>
        <w:t>Earl, P. J.</w:t>
      </w:r>
    </w:p>
    <w:p w:rsidR="003D117B" w:rsidP="000A008B" w14:paraId="0C8B1241" w14:textId="77777777">
      <w:pPr>
        <w:tabs>
          <w:tab w:val="left" w:pos="2880"/>
        </w:tabs>
        <w:spacing w:line="240" w:lineRule="auto"/>
      </w:pPr>
    </w:p>
    <w:p w:rsidR="003D117B" w:rsidP="000A008B" w14:paraId="38D4C5E9" w14:textId="77777777">
      <w:pPr>
        <w:tabs>
          <w:tab w:val="left" w:pos="2880"/>
        </w:tabs>
        <w:spacing w:line="240" w:lineRule="auto"/>
      </w:pPr>
    </w:p>
    <w:p w:rsidR="000A008B" w:rsidP="000A008B" w14:paraId="46AAEDDA" w14:textId="451B15EA">
      <w:pPr>
        <w:tabs>
          <w:tab w:val="left" w:pos="2880"/>
        </w:tabs>
        <w:spacing w:line="240" w:lineRule="auto"/>
      </w:pPr>
      <w:r w:rsidRPr="003D117B">
        <w:rPr>
          <w:u w:val="single"/>
        </w:rPr>
        <w:t xml:space="preserve">          </w:t>
      </w:r>
      <w:r w:rsidR="003C6623">
        <w:rPr>
          <w:u w:val="single"/>
        </w:rPr>
        <w:t>\s\</w:t>
      </w:r>
      <w:r w:rsidRPr="003D117B">
        <w:rPr>
          <w:u w:val="single"/>
        </w:rPr>
        <w:tab/>
      </w:r>
      <w:r>
        <w:t>,</w:t>
      </w:r>
    </w:p>
    <w:p w:rsidR="003D117B" w:rsidP="000A008B" w14:paraId="68B424F5" w14:textId="226BDB12">
      <w:pPr>
        <w:tabs>
          <w:tab w:val="left" w:pos="2880"/>
        </w:tabs>
        <w:spacing w:line="240" w:lineRule="auto"/>
      </w:pPr>
      <w:r>
        <w:t>Wiseman, J.</w:t>
      </w:r>
      <w:r>
        <w:rPr>
          <w:rStyle w:val="FootnoteReference"/>
        </w:rPr>
        <w:footnoteReference w:id="7"/>
      </w:r>
    </w:p>
    <w:sectPr w:rsidSect="000A008B">
      <w:footnotePr>
        <w:numFmt w:val="chicago"/>
        <w:numRestart w:val="eachSect"/>
      </w:footnotePr>
      <w:type w:val="continuous"/>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1A3F" w14:paraId="781435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RPr="003D117B" w:rsidP="003D117B" w14:paraId="60B63387" w14:textId="04D34C5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1A3F" w14:paraId="6C3A99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01F" w14:paraId="4FDD540C" w14:textId="77777777">
      <w:r>
        <w:separator/>
      </w:r>
    </w:p>
  </w:footnote>
  <w:footnote w:type="continuationSeparator" w:id="1">
    <w:p w:rsidR="009D601F" w14:paraId="62828775" w14:textId="77777777">
      <w:r>
        <w:continuationSeparator/>
      </w:r>
    </w:p>
  </w:footnote>
  <w:footnote w:id="2">
    <w:p w:rsidR="003D117B" w14:paraId="0B499F17" w14:textId="0F64CDC7">
      <w:pPr>
        <w:pStyle w:val="FootnoteText"/>
      </w:pPr>
      <w:r>
        <w:rPr>
          <w:rStyle w:val="FootnoteReference"/>
        </w:rPr>
        <w:t>*</w:t>
      </w:r>
      <w:r w:rsidR="000A008B">
        <w:tab/>
      </w:r>
      <w:r>
        <w:t xml:space="preserve">Pursuant to California Rules of Court, rules 8.1105 and 8.1110, this opinion is certified for publication with the exception </w:t>
      </w:r>
      <w:r w:rsidRPr="004B053D">
        <w:t xml:space="preserve">of </w:t>
      </w:r>
      <w:r w:rsidRPr="004B053D" w:rsidR="00A25A91">
        <w:t>section</w:t>
      </w:r>
      <w:r w:rsidRPr="004B053D" w:rsidR="004B053D">
        <w:t>s</w:t>
      </w:r>
      <w:r w:rsidRPr="004B053D" w:rsidR="00A25A91">
        <w:t xml:space="preserve"> </w:t>
      </w:r>
      <w:r w:rsidRPr="0002446E" w:rsidR="00ED45C6">
        <w:t>IV</w:t>
      </w:r>
      <w:r w:rsidRPr="0002446E" w:rsidR="00A25A91">
        <w:t xml:space="preserve"> and V</w:t>
      </w:r>
      <w:r w:rsidRPr="0002446E" w:rsidR="00ED45C6">
        <w:t>I</w:t>
      </w:r>
      <w:r w:rsidRPr="0002446E" w:rsidR="004B053D">
        <w:t xml:space="preserve"> of</w:t>
      </w:r>
      <w:r w:rsidR="004B053D">
        <w:t xml:space="preserve"> the Discussion</w:t>
      </w:r>
      <w:r>
        <w:t>.</w:t>
      </w:r>
    </w:p>
  </w:footnote>
  <w:footnote w:id="3">
    <w:p w:rsidR="001C3B54" w:rsidP="001C3B54" w14:paraId="359AB7A0" w14:textId="32DD9C8E">
      <w:pPr>
        <w:pStyle w:val="FootnoteText"/>
      </w:pPr>
      <w:r>
        <w:rPr>
          <w:rStyle w:val="FootnoteReference"/>
        </w:rPr>
        <w:footnoteRef/>
      </w:r>
      <w:r w:rsidR="008165F8">
        <w:t xml:space="preserve"> </w:t>
      </w:r>
      <w:r w:rsidR="008165F8">
        <w:tab/>
      </w:r>
      <w:r w:rsidRPr="00B707D6">
        <w:t xml:space="preserve">Horne </w:t>
      </w:r>
      <w:r>
        <w:t xml:space="preserve">testified that she </w:t>
      </w:r>
      <w:r w:rsidRPr="00B707D6">
        <w:t xml:space="preserve">was one of the “decision makers” in the Hospital’s decision to terminate Hoglund, </w:t>
      </w:r>
      <w:r>
        <w:t xml:space="preserve">but </w:t>
      </w:r>
      <w:r w:rsidRPr="00B707D6">
        <w:t xml:space="preserve">Plass “ultimately </w:t>
      </w:r>
      <w:r w:rsidR="006908C0">
        <w:t>[</w:t>
      </w:r>
      <w:r w:rsidR="002A608E">
        <w:t xml:space="preserve"> </w:t>
      </w:r>
      <w:r w:rsidR="006908C0">
        <w:t xml:space="preserve">] </w:t>
      </w:r>
      <w:r w:rsidRPr="00B707D6">
        <w:t>made th</w:t>
      </w:r>
      <w:r w:rsidR="006908C0">
        <w:t>[</w:t>
      </w:r>
      <w:r w:rsidRPr="00B707D6">
        <w:t>e</w:t>
      </w:r>
      <w:r w:rsidR="006908C0">
        <w:t>]</w:t>
      </w:r>
      <w:r w:rsidRPr="00B707D6">
        <w:t xml:space="preserve"> decision.”</w:t>
      </w:r>
    </w:p>
  </w:footnote>
  <w:footnote w:id="4">
    <w:p w:rsidR="00F43D2B" w:rsidP="00F43D2B" w14:paraId="1EF3079B" w14:textId="77777777">
      <w:pPr>
        <w:pStyle w:val="FootnoteText"/>
      </w:pPr>
      <w:r>
        <w:rPr>
          <w:rStyle w:val="FootnoteReference"/>
        </w:rPr>
        <w:footnoteRef/>
      </w:r>
      <w:r>
        <w:tab/>
        <w:t>Undesignated section references are to the Government Code.</w:t>
      </w:r>
    </w:p>
  </w:footnote>
  <w:footnote w:id="5">
    <w:p w:rsidR="00D14560" w:rsidP="00D14560" w14:paraId="4099298B" w14:textId="28B38A30">
      <w:pPr>
        <w:pStyle w:val="FootnoteText"/>
      </w:pPr>
      <w:r>
        <w:rPr>
          <w:rStyle w:val="FootnoteReference"/>
        </w:rPr>
        <w:footnoteRef/>
      </w:r>
      <w:r>
        <w:tab/>
        <w:t xml:space="preserve">Indeed, </w:t>
      </w:r>
      <w:r w:rsidR="003C5415">
        <w:t xml:space="preserve">the statement of facts in defendants’ opening brief is </w:t>
      </w:r>
      <w:r w:rsidR="009F0DDA">
        <w:t xml:space="preserve">distressingly </w:t>
      </w:r>
      <w:r w:rsidR="003C5415">
        <w:t xml:space="preserve">sparse, </w:t>
      </w:r>
      <w:r w:rsidR="009F0DDA">
        <w:t>as it omits</w:t>
      </w:r>
      <w:r w:rsidR="003C5415">
        <w:t xml:space="preserve"> virtually all evidence of harassment and discrimination </w:t>
      </w:r>
      <w:r w:rsidR="0001639A">
        <w:t xml:space="preserve">that </w:t>
      </w:r>
      <w:r w:rsidR="009F0DDA">
        <w:t xml:space="preserve">emerged </w:t>
      </w:r>
      <w:r w:rsidR="003C5415">
        <w:t>at trial</w:t>
      </w:r>
      <w:r w:rsidR="00E55465">
        <w:t xml:space="preserve">.  </w:t>
      </w:r>
      <w:r w:rsidR="003C5415">
        <w:t xml:space="preserve">Hoglund contends that we should find defendants forfeited their challenge to the sufficiency of the evidence, for failing in their obligation to present a fair statement of the facts. </w:t>
      </w:r>
      <w:r w:rsidR="008A7128">
        <w:t xml:space="preserve"> </w:t>
      </w:r>
      <w:r w:rsidR="00F812CB">
        <w:t xml:space="preserve">We agree that defendants have not fully complied with their duty to fully and fairly present the evidence.  </w:t>
      </w:r>
      <w:r w:rsidRPr="003C5415" w:rsidR="00F812CB">
        <w:t xml:space="preserve">“In every appeal, </w:t>
      </w:r>
      <w:r w:rsidR="00F812CB">
        <w:t>‘</w:t>
      </w:r>
      <w:r w:rsidRPr="003C5415" w:rsidR="00F812CB">
        <w:t>the appellant has the duty to fairly summarize all of the facts in the light most favorable to the judgment</w:t>
      </w:r>
      <w:r w:rsidR="00F812CB">
        <w:t xml:space="preserve">.  [Citation.]  Further, the burden to provide a fair summary of </w:t>
      </w:r>
      <w:r w:rsidR="00B20AC0">
        <w:t xml:space="preserve">the </w:t>
      </w:r>
      <w:r w:rsidR="00F812CB">
        <w:t>evidence “grows with the complexity of the record.  [Citation.]”  [Citation.]’</w:t>
      </w:r>
      <w:r w:rsidR="008F24C5">
        <w:t> </w:t>
      </w:r>
      <w:r w:rsidR="00F812CB">
        <w:t>”  (</w:t>
      </w:r>
      <w:r w:rsidRPr="003C5415" w:rsidR="00F812CB">
        <w:rPr>
          <w:i/>
          <w:iCs/>
        </w:rPr>
        <w:t xml:space="preserve">Myers v. Trendwest Resorts, Inc. </w:t>
      </w:r>
      <w:r w:rsidRPr="003C5415" w:rsidR="00F812CB">
        <w:t>(2009) 178</w:t>
      </w:r>
      <w:r w:rsidR="00B20AC0">
        <w:t> </w:t>
      </w:r>
      <w:r w:rsidRPr="003C5415" w:rsidR="00F812CB">
        <w:t>Cal.App.4th 735, 739</w:t>
      </w:r>
      <w:r w:rsidR="00F812CB">
        <w:t xml:space="preserve">; see also Cal. Rules of Court, rule 8.204(a)(2).)  </w:t>
      </w:r>
      <w:r w:rsidR="003C5415">
        <w:t xml:space="preserve">While we do not go so far as to find defendants’ arguments </w:t>
      </w:r>
      <w:r w:rsidR="009A5FA2">
        <w:t>forfeited</w:t>
      </w:r>
      <w:r w:rsidR="003C5415">
        <w:t xml:space="preserve"> on this basis, we nonetheless caution counsel that </w:t>
      </w:r>
      <w:r w:rsidR="009F0DDA">
        <w:t>f</w:t>
      </w:r>
      <w:r w:rsidR="00F14948">
        <w:t>uture</w:t>
      </w:r>
      <w:r w:rsidR="003C5415">
        <w:t xml:space="preserve"> misrepresentation</w:t>
      </w:r>
      <w:r w:rsidR="00F14948">
        <w:t>s of fact</w:t>
      </w:r>
      <w:r w:rsidR="003C5415">
        <w:t xml:space="preserve">, by omission or otherwise, may result in adverse rulings.  </w:t>
      </w:r>
      <w:r w:rsidR="009A5FA2">
        <w:t>(</w:t>
      </w:r>
      <w:r w:rsidRPr="003C5415" w:rsidR="001B244E">
        <w:rPr>
          <w:i/>
          <w:iCs/>
        </w:rPr>
        <w:t>Myers v. Trendwest Resorts, Inc</w:t>
      </w:r>
      <w:r w:rsidR="001B244E">
        <w:rPr>
          <w:i/>
          <w:iCs/>
        </w:rPr>
        <w:t>.</w:t>
      </w:r>
      <w:r w:rsidRPr="00D37B42" w:rsidR="001B244E">
        <w:rPr>
          <w:i/>
          <w:iCs/>
        </w:rPr>
        <w:t>,</w:t>
      </w:r>
      <w:r w:rsidR="001B244E">
        <w:t xml:space="preserve"> </w:t>
      </w:r>
      <w:r w:rsidRPr="001B244E" w:rsidR="001B244E">
        <w:rPr>
          <w:i/>
          <w:iCs/>
        </w:rPr>
        <w:t>supra</w:t>
      </w:r>
      <w:r w:rsidR="001B244E">
        <w:t xml:space="preserve">, </w:t>
      </w:r>
      <w:r w:rsidRPr="001B244E" w:rsidR="001B244E">
        <w:t>178</w:t>
      </w:r>
      <w:r w:rsidR="00B20AC0">
        <w:t> </w:t>
      </w:r>
      <w:r w:rsidRPr="003C5415" w:rsidR="001B244E">
        <w:t xml:space="preserve">Cal.App.4th </w:t>
      </w:r>
      <w:r w:rsidR="009A5FA2">
        <w:t xml:space="preserve">at p. </w:t>
      </w:r>
      <w:r w:rsidR="001B244E">
        <w:t xml:space="preserve">749 </w:t>
      </w:r>
      <w:r w:rsidR="009A5FA2">
        <w:t>[plaintiff waived substantial evidence argument on appeal by not adequately recounting defense’s evidence].)</w:t>
      </w:r>
    </w:p>
  </w:footnote>
  <w:footnote w:id="6">
    <w:p w:rsidR="00290C6A" w:rsidRPr="00290C6A" w14:paraId="3A8EDD71" w14:textId="0AC90D49">
      <w:pPr>
        <w:pStyle w:val="FootnoteText"/>
      </w:pPr>
      <w:r>
        <w:rPr>
          <w:rStyle w:val="FootnoteReference"/>
        </w:rPr>
        <w:footnoteRef/>
      </w:r>
      <w:r>
        <w:tab/>
        <w:t xml:space="preserve">Defendants </w:t>
      </w:r>
      <w:r w:rsidR="00A00011">
        <w:t xml:space="preserve">also </w:t>
      </w:r>
      <w:r>
        <w:t xml:space="preserve">argue that cumulative error requires reversal of the verdict.  We need not address this argument because, as explained </w:t>
      </w:r>
      <w:r>
        <w:rPr>
          <w:i/>
          <w:iCs/>
        </w:rPr>
        <w:t>ante</w:t>
      </w:r>
      <w:r>
        <w:t>, we do not find the trial court’s decisions erroneous.</w:t>
      </w:r>
    </w:p>
  </w:footnote>
  <w:footnote w:id="7">
    <w:p w:rsidR="000A008B" w14:paraId="1EC01144" w14:textId="5EDC23A7">
      <w:pPr>
        <w:pStyle w:val="FootnoteText"/>
      </w:pPr>
      <w:r>
        <w:rPr>
          <w:rStyle w:val="FootnoteReference"/>
        </w:rPr>
        <w:footnoteRef/>
      </w:r>
      <w:r>
        <w:tab/>
        <w:t xml:space="preserve">Retired Associate Justice of the Court of Appeal, Fifth Appellate District, assigned by the Chief Justice pursuant to </w:t>
      </w:r>
      <w:bookmarkStart w:id="2" w:name="dabmci_c04db02f73284f13b0b956e085aa212f"/>
      <w:r>
        <w:t>article VI, section 6 of the California Constitution</w:t>
      </w:r>
      <w:bookmarkEnd w:id="2"/>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1A3F" w14:paraId="3B54EB9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1A3F" w14:paraId="4FDAC95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1A3F" w14:paraId="71E26A2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415FB6"/>
    <w:multiLevelType w:val="hybridMultilevel"/>
    <w:tmpl w:val="114002C0"/>
    <w:lvl w:ilvl="0">
      <w:start w:val="1"/>
      <w:numFmt w:val="upperLetter"/>
      <w:lvlText w:val="%1."/>
      <w:lvlJc w:val="left"/>
      <w:pPr>
        <w:ind w:left="90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26B5700"/>
    <w:multiLevelType w:val="hybridMultilevel"/>
    <w:tmpl w:val="BC187DD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D06A19"/>
    <w:multiLevelType w:val="hybridMultilevel"/>
    <w:tmpl w:val="6B76202A"/>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D531F59"/>
    <w:multiLevelType w:val="hybridMultilevel"/>
    <w:tmpl w:val="F0EA0354"/>
    <w:lvl w:ilvl="0">
      <w:start w:val="1"/>
      <w:numFmt w:val="upperLetter"/>
      <w:lvlText w:val="%1."/>
      <w:lvlJc w:val="left"/>
      <w:pPr>
        <w:ind w:left="1440" w:hanging="72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745C4E7B"/>
    <w:multiLevelType w:val="hybridMultilevel"/>
    <w:tmpl w:val="BE64782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5A"/>
    <w:rsid w:val="00002832"/>
    <w:rsid w:val="00006848"/>
    <w:rsid w:val="0001290D"/>
    <w:rsid w:val="00014F6E"/>
    <w:rsid w:val="0001639A"/>
    <w:rsid w:val="000163E2"/>
    <w:rsid w:val="00020115"/>
    <w:rsid w:val="0002446E"/>
    <w:rsid w:val="00040088"/>
    <w:rsid w:val="00040506"/>
    <w:rsid w:val="00040896"/>
    <w:rsid w:val="00041F59"/>
    <w:rsid w:val="000456E5"/>
    <w:rsid w:val="00060352"/>
    <w:rsid w:val="00062143"/>
    <w:rsid w:val="000633DD"/>
    <w:rsid w:val="000646A9"/>
    <w:rsid w:val="000646C1"/>
    <w:rsid w:val="0006637A"/>
    <w:rsid w:val="00075812"/>
    <w:rsid w:val="00090E51"/>
    <w:rsid w:val="000949EA"/>
    <w:rsid w:val="00095DD7"/>
    <w:rsid w:val="000960B2"/>
    <w:rsid w:val="000A008B"/>
    <w:rsid w:val="000A1EE6"/>
    <w:rsid w:val="000B06D3"/>
    <w:rsid w:val="000B1631"/>
    <w:rsid w:val="000B6EC9"/>
    <w:rsid w:val="000B7E8D"/>
    <w:rsid w:val="000C4A8F"/>
    <w:rsid w:val="000C593D"/>
    <w:rsid w:val="000D4596"/>
    <w:rsid w:val="000E1A3F"/>
    <w:rsid w:val="000E38D1"/>
    <w:rsid w:val="000E5D96"/>
    <w:rsid w:val="000E62FB"/>
    <w:rsid w:val="000F57BA"/>
    <w:rsid w:val="000F7FF3"/>
    <w:rsid w:val="00101043"/>
    <w:rsid w:val="0010179D"/>
    <w:rsid w:val="00112C99"/>
    <w:rsid w:val="00114CEF"/>
    <w:rsid w:val="00115FAD"/>
    <w:rsid w:val="0012315B"/>
    <w:rsid w:val="001245AE"/>
    <w:rsid w:val="00127CA3"/>
    <w:rsid w:val="00130349"/>
    <w:rsid w:val="0013388A"/>
    <w:rsid w:val="00136BDE"/>
    <w:rsid w:val="001404EE"/>
    <w:rsid w:val="00140879"/>
    <w:rsid w:val="00143FFF"/>
    <w:rsid w:val="00160E4E"/>
    <w:rsid w:val="0016184F"/>
    <w:rsid w:val="00161A7F"/>
    <w:rsid w:val="00162498"/>
    <w:rsid w:val="00162CCE"/>
    <w:rsid w:val="00171AE6"/>
    <w:rsid w:val="00172C66"/>
    <w:rsid w:val="001747DC"/>
    <w:rsid w:val="00176268"/>
    <w:rsid w:val="00183528"/>
    <w:rsid w:val="0018688E"/>
    <w:rsid w:val="00187206"/>
    <w:rsid w:val="001901BB"/>
    <w:rsid w:val="00191FAE"/>
    <w:rsid w:val="001A0514"/>
    <w:rsid w:val="001A060F"/>
    <w:rsid w:val="001A2F15"/>
    <w:rsid w:val="001B244E"/>
    <w:rsid w:val="001B6105"/>
    <w:rsid w:val="001B6FAC"/>
    <w:rsid w:val="001B749D"/>
    <w:rsid w:val="001C066D"/>
    <w:rsid w:val="001C0C19"/>
    <w:rsid w:val="001C3B54"/>
    <w:rsid w:val="001C7506"/>
    <w:rsid w:val="001E72F3"/>
    <w:rsid w:val="001F251B"/>
    <w:rsid w:val="00203851"/>
    <w:rsid w:val="002046DF"/>
    <w:rsid w:val="002052EF"/>
    <w:rsid w:val="00205F55"/>
    <w:rsid w:val="00214CD6"/>
    <w:rsid w:val="002172A7"/>
    <w:rsid w:val="00220F84"/>
    <w:rsid w:val="0022305A"/>
    <w:rsid w:val="00224FD7"/>
    <w:rsid w:val="00226DA5"/>
    <w:rsid w:val="002431C9"/>
    <w:rsid w:val="0025018B"/>
    <w:rsid w:val="00251B27"/>
    <w:rsid w:val="00254ACA"/>
    <w:rsid w:val="00255FFD"/>
    <w:rsid w:val="00260452"/>
    <w:rsid w:val="00260D92"/>
    <w:rsid w:val="00263AD5"/>
    <w:rsid w:val="00264246"/>
    <w:rsid w:val="00265399"/>
    <w:rsid w:val="00270E09"/>
    <w:rsid w:val="00272DE4"/>
    <w:rsid w:val="00274F9B"/>
    <w:rsid w:val="00280BCF"/>
    <w:rsid w:val="00281252"/>
    <w:rsid w:val="002832BB"/>
    <w:rsid w:val="00286509"/>
    <w:rsid w:val="00290C6A"/>
    <w:rsid w:val="00290E2D"/>
    <w:rsid w:val="00292C6A"/>
    <w:rsid w:val="002932DD"/>
    <w:rsid w:val="00295DEB"/>
    <w:rsid w:val="002A2640"/>
    <w:rsid w:val="002A2BDD"/>
    <w:rsid w:val="002A608E"/>
    <w:rsid w:val="002B2EB6"/>
    <w:rsid w:val="002B43BC"/>
    <w:rsid w:val="002D1ACD"/>
    <w:rsid w:val="002D4E2B"/>
    <w:rsid w:val="002D56E3"/>
    <w:rsid w:val="002D63E4"/>
    <w:rsid w:val="002E2057"/>
    <w:rsid w:val="002E26B8"/>
    <w:rsid w:val="002E359B"/>
    <w:rsid w:val="002E4886"/>
    <w:rsid w:val="002E6173"/>
    <w:rsid w:val="00302812"/>
    <w:rsid w:val="00307DAF"/>
    <w:rsid w:val="00313256"/>
    <w:rsid w:val="00325E39"/>
    <w:rsid w:val="00336582"/>
    <w:rsid w:val="003368F0"/>
    <w:rsid w:val="00336DB6"/>
    <w:rsid w:val="00346C1C"/>
    <w:rsid w:val="00352B8E"/>
    <w:rsid w:val="00354F04"/>
    <w:rsid w:val="00355368"/>
    <w:rsid w:val="00356B61"/>
    <w:rsid w:val="00361575"/>
    <w:rsid w:val="003621A2"/>
    <w:rsid w:val="00362201"/>
    <w:rsid w:val="00363B26"/>
    <w:rsid w:val="003667E1"/>
    <w:rsid w:val="003706D9"/>
    <w:rsid w:val="00372085"/>
    <w:rsid w:val="0037544C"/>
    <w:rsid w:val="00382F3E"/>
    <w:rsid w:val="00385E0B"/>
    <w:rsid w:val="003907DB"/>
    <w:rsid w:val="003963C3"/>
    <w:rsid w:val="003A2C1B"/>
    <w:rsid w:val="003A407A"/>
    <w:rsid w:val="003A4A7D"/>
    <w:rsid w:val="003A56A9"/>
    <w:rsid w:val="003A7AF2"/>
    <w:rsid w:val="003B0064"/>
    <w:rsid w:val="003B0A56"/>
    <w:rsid w:val="003C5415"/>
    <w:rsid w:val="003C5DA9"/>
    <w:rsid w:val="003C6623"/>
    <w:rsid w:val="003C736A"/>
    <w:rsid w:val="003D117B"/>
    <w:rsid w:val="003D497E"/>
    <w:rsid w:val="003E42D8"/>
    <w:rsid w:val="003E5A72"/>
    <w:rsid w:val="003F03A8"/>
    <w:rsid w:val="003F138A"/>
    <w:rsid w:val="003F616E"/>
    <w:rsid w:val="003F662B"/>
    <w:rsid w:val="003F705D"/>
    <w:rsid w:val="003F708E"/>
    <w:rsid w:val="00402C64"/>
    <w:rsid w:val="00402CAC"/>
    <w:rsid w:val="00406866"/>
    <w:rsid w:val="00412DB6"/>
    <w:rsid w:val="00415585"/>
    <w:rsid w:val="00417097"/>
    <w:rsid w:val="00421714"/>
    <w:rsid w:val="0042259D"/>
    <w:rsid w:val="00423363"/>
    <w:rsid w:val="00431789"/>
    <w:rsid w:val="004402B5"/>
    <w:rsid w:val="004427D6"/>
    <w:rsid w:val="00442800"/>
    <w:rsid w:val="00442E94"/>
    <w:rsid w:val="00446B35"/>
    <w:rsid w:val="00452588"/>
    <w:rsid w:val="00453AF4"/>
    <w:rsid w:val="004559FF"/>
    <w:rsid w:val="00472A9B"/>
    <w:rsid w:val="0047673F"/>
    <w:rsid w:val="0048049E"/>
    <w:rsid w:val="0048279B"/>
    <w:rsid w:val="004844B4"/>
    <w:rsid w:val="0049520A"/>
    <w:rsid w:val="00495787"/>
    <w:rsid w:val="00495C14"/>
    <w:rsid w:val="004978FB"/>
    <w:rsid w:val="004A0ED2"/>
    <w:rsid w:val="004A2D0D"/>
    <w:rsid w:val="004A4B76"/>
    <w:rsid w:val="004A761A"/>
    <w:rsid w:val="004B02F0"/>
    <w:rsid w:val="004B053D"/>
    <w:rsid w:val="004B0A48"/>
    <w:rsid w:val="004B2C0E"/>
    <w:rsid w:val="004B3FFA"/>
    <w:rsid w:val="004C23B4"/>
    <w:rsid w:val="004C5DC5"/>
    <w:rsid w:val="004D10C1"/>
    <w:rsid w:val="004D13C2"/>
    <w:rsid w:val="004D2693"/>
    <w:rsid w:val="004D27D7"/>
    <w:rsid w:val="004E09FD"/>
    <w:rsid w:val="004E2597"/>
    <w:rsid w:val="004E49D9"/>
    <w:rsid w:val="004E6D6F"/>
    <w:rsid w:val="004E7AC5"/>
    <w:rsid w:val="004F3932"/>
    <w:rsid w:val="004F68CD"/>
    <w:rsid w:val="004F71B4"/>
    <w:rsid w:val="004F726F"/>
    <w:rsid w:val="004F75EB"/>
    <w:rsid w:val="005009EF"/>
    <w:rsid w:val="00512F43"/>
    <w:rsid w:val="00523AFD"/>
    <w:rsid w:val="00526B6D"/>
    <w:rsid w:val="00530533"/>
    <w:rsid w:val="00533AE3"/>
    <w:rsid w:val="00535E00"/>
    <w:rsid w:val="0054001B"/>
    <w:rsid w:val="005433E8"/>
    <w:rsid w:val="005467FA"/>
    <w:rsid w:val="00554618"/>
    <w:rsid w:val="005573DA"/>
    <w:rsid w:val="00570E03"/>
    <w:rsid w:val="00573FC3"/>
    <w:rsid w:val="00576F9B"/>
    <w:rsid w:val="005841EC"/>
    <w:rsid w:val="005951E9"/>
    <w:rsid w:val="005A010B"/>
    <w:rsid w:val="005A21AD"/>
    <w:rsid w:val="005A2690"/>
    <w:rsid w:val="005A6D23"/>
    <w:rsid w:val="005B0087"/>
    <w:rsid w:val="005B3033"/>
    <w:rsid w:val="005B3893"/>
    <w:rsid w:val="005B6D4D"/>
    <w:rsid w:val="005C0504"/>
    <w:rsid w:val="005C31D4"/>
    <w:rsid w:val="005C35B2"/>
    <w:rsid w:val="005C7606"/>
    <w:rsid w:val="005C7EB4"/>
    <w:rsid w:val="005E138D"/>
    <w:rsid w:val="005E3877"/>
    <w:rsid w:val="005F289F"/>
    <w:rsid w:val="005F4230"/>
    <w:rsid w:val="00600856"/>
    <w:rsid w:val="00601C5E"/>
    <w:rsid w:val="00603128"/>
    <w:rsid w:val="00610888"/>
    <w:rsid w:val="00614B77"/>
    <w:rsid w:val="006254B4"/>
    <w:rsid w:val="00625EE8"/>
    <w:rsid w:val="006308DE"/>
    <w:rsid w:val="00633E44"/>
    <w:rsid w:val="00633EE6"/>
    <w:rsid w:val="00637221"/>
    <w:rsid w:val="00640314"/>
    <w:rsid w:val="00644586"/>
    <w:rsid w:val="00647196"/>
    <w:rsid w:val="0064769A"/>
    <w:rsid w:val="006515B6"/>
    <w:rsid w:val="0065565B"/>
    <w:rsid w:val="0065660D"/>
    <w:rsid w:val="00661BC2"/>
    <w:rsid w:val="0067136E"/>
    <w:rsid w:val="00672837"/>
    <w:rsid w:val="00674C50"/>
    <w:rsid w:val="00676A38"/>
    <w:rsid w:val="00680CFA"/>
    <w:rsid w:val="00680D05"/>
    <w:rsid w:val="006865E4"/>
    <w:rsid w:val="0068675B"/>
    <w:rsid w:val="0068695D"/>
    <w:rsid w:val="00686D2F"/>
    <w:rsid w:val="006908C0"/>
    <w:rsid w:val="00693EF4"/>
    <w:rsid w:val="00697FB3"/>
    <w:rsid w:val="006A0EA9"/>
    <w:rsid w:val="006B260D"/>
    <w:rsid w:val="006B5461"/>
    <w:rsid w:val="006E090B"/>
    <w:rsid w:val="006E3403"/>
    <w:rsid w:val="006E3BDD"/>
    <w:rsid w:val="006E3C99"/>
    <w:rsid w:val="006E3E66"/>
    <w:rsid w:val="006E4848"/>
    <w:rsid w:val="006E5A7A"/>
    <w:rsid w:val="006F0856"/>
    <w:rsid w:val="006F3099"/>
    <w:rsid w:val="006F3CE4"/>
    <w:rsid w:val="00701BAE"/>
    <w:rsid w:val="00705982"/>
    <w:rsid w:val="00705BF8"/>
    <w:rsid w:val="00705E1E"/>
    <w:rsid w:val="00710206"/>
    <w:rsid w:val="007110C5"/>
    <w:rsid w:val="00711E96"/>
    <w:rsid w:val="00716DCA"/>
    <w:rsid w:val="00717D3A"/>
    <w:rsid w:val="007210F5"/>
    <w:rsid w:val="00721654"/>
    <w:rsid w:val="007257F4"/>
    <w:rsid w:val="00732784"/>
    <w:rsid w:val="00736790"/>
    <w:rsid w:val="00736CC9"/>
    <w:rsid w:val="0074124D"/>
    <w:rsid w:val="0074229B"/>
    <w:rsid w:val="007438B6"/>
    <w:rsid w:val="007574BC"/>
    <w:rsid w:val="00770952"/>
    <w:rsid w:val="00776214"/>
    <w:rsid w:val="007826B3"/>
    <w:rsid w:val="007865F5"/>
    <w:rsid w:val="00795780"/>
    <w:rsid w:val="00795B4F"/>
    <w:rsid w:val="007968F9"/>
    <w:rsid w:val="007A0D6D"/>
    <w:rsid w:val="007A2B39"/>
    <w:rsid w:val="007A2BF2"/>
    <w:rsid w:val="007B3E10"/>
    <w:rsid w:val="007B48C2"/>
    <w:rsid w:val="007B51D8"/>
    <w:rsid w:val="007C32E4"/>
    <w:rsid w:val="007C56FD"/>
    <w:rsid w:val="007C6504"/>
    <w:rsid w:val="007D4674"/>
    <w:rsid w:val="007D5FE3"/>
    <w:rsid w:val="007E5F56"/>
    <w:rsid w:val="007F2586"/>
    <w:rsid w:val="007F3A45"/>
    <w:rsid w:val="007F3B44"/>
    <w:rsid w:val="007F5AD8"/>
    <w:rsid w:val="00800250"/>
    <w:rsid w:val="00800A64"/>
    <w:rsid w:val="00815692"/>
    <w:rsid w:val="008165F8"/>
    <w:rsid w:val="00821710"/>
    <w:rsid w:val="00823B5B"/>
    <w:rsid w:val="00832E37"/>
    <w:rsid w:val="00836146"/>
    <w:rsid w:val="008369A4"/>
    <w:rsid w:val="00837D0B"/>
    <w:rsid w:val="00853604"/>
    <w:rsid w:val="00853EAB"/>
    <w:rsid w:val="00862C48"/>
    <w:rsid w:val="00874BEA"/>
    <w:rsid w:val="00875FAA"/>
    <w:rsid w:val="00880294"/>
    <w:rsid w:val="00880376"/>
    <w:rsid w:val="00883494"/>
    <w:rsid w:val="008868E8"/>
    <w:rsid w:val="00890A1B"/>
    <w:rsid w:val="00890FAC"/>
    <w:rsid w:val="00893044"/>
    <w:rsid w:val="008932CB"/>
    <w:rsid w:val="0089419A"/>
    <w:rsid w:val="008942F7"/>
    <w:rsid w:val="008957E4"/>
    <w:rsid w:val="008A569F"/>
    <w:rsid w:val="008A5A91"/>
    <w:rsid w:val="008A7128"/>
    <w:rsid w:val="008A7B1F"/>
    <w:rsid w:val="008B1EB2"/>
    <w:rsid w:val="008B2944"/>
    <w:rsid w:val="008B2B35"/>
    <w:rsid w:val="008B4FF3"/>
    <w:rsid w:val="008B5D9B"/>
    <w:rsid w:val="008D0D8E"/>
    <w:rsid w:val="008D1B7C"/>
    <w:rsid w:val="008D209D"/>
    <w:rsid w:val="008D4F3D"/>
    <w:rsid w:val="008D62AC"/>
    <w:rsid w:val="008E0EC6"/>
    <w:rsid w:val="008E19A9"/>
    <w:rsid w:val="008E4759"/>
    <w:rsid w:val="008E4C71"/>
    <w:rsid w:val="008F24C5"/>
    <w:rsid w:val="008F619E"/>
    <w:rsid w:val="00902371"/>
    <w:rsid w:val="00910DD0"/>
    <w:rsid w:val="00914D5E"/>
    <w:rsid w:val="009235B9"/>
    <w:rsid w:val="00930A3D"/>
    <w:rsid w:val="00931ED0"/>
    <w:rsid w:val="00932B25"/>
    <w:rsid w:val="009350E4"/>
    <w:rsid w:val="00935ACD"/>
    <w:rsid w:val="0093718E"/>
    <w:rsid w:val="00944B5A"/>
    <w:rsid w:val="009456E4"/>
    <w:rsid w:val="00946EA4"/>
    <w:rsid w:val="00946F1A"/>
    <w:rsid w:val="0095100C"/>
    <w:rsid w:val="00951839"/>
    <w:rsid w:val="00967483"/>
    <w:rsid w:val="00970588"/>
    <w:rsid w:val="00984F40"/>
    <w:rsid w:val="00987EBD"/>
    <w:rsid w:val="009938E5"/>
    <w:rsid w:val="009948C1"/>
    <w:rsid w:val="0099622E"/>
    <w:rsid w:val="009A5FA2"/>
    <w:rsid w:val="009A6C0B"/>
    <w:rsid w:val="009B11D6"/>
    <w:rsid w:val="009B730D"/>
    <w:rsid w:val="009B7E96"/>
    <w:rsid w:val="009C58C2"/>
    <w:rsid w:val="009D113C"/>
    <w:rsid w:val="009D3B41"/>
    <w:rsid w:val="009D601F"/>
    <w:rsid w:val="009D6AB2"/>
    <w:rsid w:val="009F0B57"/>
    <w:rsid w:val="009F0DDA"/>
    <w:rsid w:val="009F53EE"/>
    <w:rsid w:val="00A00011"/>
    <w:rsid w:val="00A027A8"/>
    <w:rsid w:val="00A02A52"/>
    <w:rsid w:val="00A044DB"/>
    <w:rsid w:val="00A15D37"/>
    <w:rsid w:val="00A165C4"/>
    <w:rsid w:val="00A22EF2"/>
    <w:rsid w:val="00A25A91"/>
    <w:rsid w:val="00A2762A"/>
    <w:rsid w:val="00A27C63"/>
    <w:rsid w:val="00A32294"/>
    <w:rsid w:val="00A329AB"/>
    <w:rsid w:val="00A3419F"/>
    <w:rsid w:val="00A3788B"/>
    <w:rsid w:val="00A41185"/>
    <w:rsid w:val="00A46A61"/>
    <w:rsid w:val="00A53C07"/>
    <w:rsid w:val="00A54048"/>
    <w:rsid w:val="00A5436A"/>
    <w:rsid w:val="00A554B6"/>
    <w:rsid w:val="00A56C4B"/>
    <w:rsid w:val="00A57EFD"/>
    <w:rsid w:val="00A6158E"/>
    <w:rsid w:val="00A61F1B"/>
    <w:rsid w:val="00A6591F"/>
    <w:rsid w:val="00A665B6"/>
    <w:rsid w:val="00A7014B"/>
    <w:rsid w:val="00A74A2A"/>
    <w:rsid w:val="00A77497"/>
    <w:rsid w:val="00A86422"/>
    <w:rsid w:val="00A86FC5"/>
    <w:rsid w:val="00A8772F"/>
    <w:rsid w:val="00AA3B83"/>
    <w:rsid w:val="00AA717C"/>
    <w:rsid w:val="00AB15B7"/>
    <w:rsid w:val="00AB2141"/>
    <w:rsid w:val="00AB280B"/>
    <w:rsid w:val="00AB368A"/>
    <w:rsid w:val="00AB5E9D"/>
    <w:rsid w:val="00AD0531"/>
    <w:rsid w:val="00AD2F6B"/>
    <w:rsid w:val="00AD7E34"/>
    <w:rsid w:val="00AE04CB"/>
    <w:rsid w:val="00AE0574"/>
    <w:rsid w:val="00AE5AD9"/>
    <w:rsid w:val="00AE7C5A"/>
    <w:rsid w:val="00AF0C01"/>
    <w:rsid w:val="00AF29B9"/>
    <w:rsid w:val="00B02B6D"/>
    <w:rsid w:val="00B0346D"/>
    <w:rsid w:val="00B05562"/>
    <w:rsid w:val="00B152CF"/>
    <w:rsid w:val="00B20AC0"/>
    <w:rsid w:val="00B2440A"/>
    <w:rsid w:val="00B33E78"/>
    <w:rsid w:val="00B4364C"/>
    <w:rsid w:val="00B43EB3"/>
    <w:rsid w:val="00B47B70"/>
    <w:rsid w:val="00B52838"/>
    <w:rsid w:val="00B55334"/>
    <w:rsid w:val="00B6183E"/>
    <w:rsid w:val="00B640CB"/>
    <w:rsid w:val="00B67ECC"/>
    <w:rsid w:val="00B707D6"/>
    <w:rsid w:val="00B71247"/>
    <w:rsid w:val="00B71519"/>
    <w:rsid w:val="00B71CC8"/>
    <w:rsid w:val="00B754BC"/>
    <w:rsid w:val="00B75EAB"/>
    <w:rsid w:val="00B7707C"/>
    <w:rsid w:val="00B82032"/>
    <w:rsid w:val="00B82DB7"/>
    <w:rsid w:val="00B8433A"/>
    <w:rsid w:val="00B95C7B"/>
    <w:rsid w:val="00BA6E5A"/>
    <w:rsid w:val="00BB260F"/>
    <w:rsid w:val="00BB2AFA"/>
    <w:rsid w:val="00BB6409"/>
    <w:rsid w:val="00BB6C8E"/>
    <w:rsid w:val="00BD27AE"/>
    <w:rsid w:val="00BD56F9"/>
    <w:rsid w:val="00BD684E"/>
    <w:rsid w:val="00BD7A12"/>
    <w:rsid w:val="00C00419"/>
    <w:rsid w:val="00C07673"/>
    <w:rsid w:val="00C10E67"/>
    <w:rsid w:val="00C13920"/>
    <w:rsid w:val="00C14518"/>
    <w:rsid w:val="00C14890"/>
    <w:rsid w:val="00C158B4"/>
    <w:rsid w:val="00C174EF"/>
    <w:rsid w:val="00C22CFD"/>
    <w:rsid w:val="00C22F41"/>
    <w:rsid w:val="00C23C2B"/>
    <w:rsid w:val="00C2582E"/>
    <w:rsid w:val="00C278C9"/>
    <w:rsid w:val="00C31C42"/>
    <w:rsid w:val="00C336AE"/>
    <w:rsid w:val="00C33DC4"/>
    <w:rsid w:val="00C37175"/>
    <w:rsid w:val="00C42CDC"/>
    <w:rsid w:val="00C42D45"/>
    <w:rsid w:val="00C4607D"/>
    <w:rsid w:val="00C52936"/>
    <w:rsid w:val="00C5521E"/>
    <w:rsid w:val="00C56647"/>
    <w:rsid w:val="00C64CDB"/>
    <w:rsid w:val="00C67F00"/>
    <w:rsid w:val="00C70055"/>
    <w:rsid w:val="00C72ED9"/>
    <w:rsid w:val="00C80290"/>
    <w:rsid w:val="00C809E1"/>
    <w:rsid w:val="00C812CA"/>
    <w:rsid w:val="00C90535"/>
    <w:rsid w:val="00C9591A"/>
    <w:rsid w:val="00C96600"/>
    <w:rsid w:val="00CA3A67"/>
    <w:rsid w:val="00CA5911"/>
    <w:rsid w:val="00CA67E0"/>
    <w:rsid w:val="00CA68EB"/>
    <w:rsid w:val="00CB0BF3"/>
    <w:rsid w:val="00CB5834"/>
    <w:rsid w:val="00CC0289"/>
    <w:rsid w:val="00CC3DC8"/>
    <w:rsid w:val="00CC71AC"/>
    <w:rsid w:val="00CD1C43"/>
    <w:rsid w:val="00CD7B2C"/>
    <w:rsid w:val="00CE6484"/>
    <w:rsid w:val="00CE7288"/>
    <w:rsid w:val="00CF3E78"/>
    <w:rsid w:val="00CF41E3"/>
    <w:rsid w:val="00D05669"/>
    <w:rsid w:val="00D100FD"/>
    <w:rsid w:val="00D14560"/>
    <w:rsid w:val="00D14ED1"/>
    <w:rsid w:val="00D223EE"/>
    <w:rsid w:val="00D23CA8"/>
    <w:rsid w:val="00D365A4"/>
    <w:rsid w:val="00D37B42"/>
    <w:rsid w:val="00D4239B"/>
    <w:rsid w:val="00D43CE8"/>
    <w:rsid w:val="00D466B1"/>
    <w:rsid w:val="00D54C12"/>
    <w:rsid w:val="00D62001"/>
    <w:rsid w:val="00D635F2"/>
    <w:rsid w:val="00D66282"/>
    <w:rsid w:val="00D71CFA"/>
    <w:rsid w:val="00D72D0F"/>
    <w:rsid w:val="00D77197"/>
    <w:rsid w:val="00D800F8"/>
    <w:rsid w:val="00D84AAC"/>
    <w:rsid w:val="00D87D1E"/>
    <w:rsid w:val="00D92957"/>
    <w:rsid w:val="00D9430A"/>
    <w:rsid w:val="00D9719C"/>
    <w:rsid w:val="00DA18DD"/>
    <w:rsid w:val="00DA3D58"/>
    <w:rsid w:val="00DA74C8"/>
    <w:rsid w:val="00DB2B0F"/>
    <w:rsid w:val="00DB41F2"/>
    <w:rsid w:val="00DB4FB7"/>
    <w:rsid w:val="00DC2AB7"/>
    <w:rsid w:val="00DC4CFC"/>
    <w:rsid w:val="00DC622E"/>
    <w:rsid w:val="00DD0DB8"/>
    <w:rsid w:val="00DE346E"/>
    <w:rsid w:val="00DF4930"/>
    <w:rsid w:val="00E0239B"/>
    <w:rsid w:val="00E03A48"/>
    <w:rsid w:val="00E04266"/>
    <w:rsid w:val="00E070A5"/>
    <w:rsid w:val="00E10623"/>
    <w:rsid w:val="00E17BCF"/>
    <w:rsid w:val="00E20766"/>
    <w:rsid w:val="00E24461"/>
    <w:rsid w:val="00E2645C"/>
    <w:rsid w:val="00E37E1D"/>
    <w:rsid w:val="00E450FE"/>
    <w:rsid w:val="00E4742B"/>
    <w:rsid w:val="00E50B09"/>
    <w:rsid w:val="00E55465"/>
    <w:rsid w:val="00E65CFB"/>
    <w:rsid w:val="00E6755C"/>
    <w:rsid w:val="00E71716"/>
    <w:rsid w:val="00E74FE0"/>
    <w:rsid w:val="00E76D36"/>
    <w:rsid w:val="00E773CB"/>
    <w:rsid w:val="00E8139B"/>
    <w:rsid w:val="00E824D6"/>
    <w:rsid w:val="00E83A91"/>
    <w:rsid w:val="00E8758E"/>
    <w:rsid w:val="00E92E41"/>
    <w:rsid w:val="00E93EA6"/>
    <w:rsid w:val="00E94035"/>
    <w:rsid w:val="00E95843"/>
    <w:rsid w:val="00E95B14"/>
    <w:rsid w:val="00E9616A"/>
    <w:rsid w:val="00EA3747"/>
    <w:rsid w:val="00EA3B7F"/>
    <w:rsid w:val="00EB4CD4"/>
    <w:rsid w:val="00EB5474"/>
    <w:rsid w:val="00EB69AE"/>
    <w:rsid w:val="00ED1AE0"/>
    <w:rsid w:val="00ED45C6"/>
    <w:rsid w:val="00EE6AAA"/>
    <w:rsid w:val="00EE7571"/>
    <w:rsid w:val="00EF08EC"/>
    <w:rsid w:val="00EF0ABF"/>
    <w:rsid w:val="00EF6D78"/>
    <w:rsid w:val="00F041AA"/>
    <w:rsid w:val="00F130FF"/>
    <w:rsid w:val="00F14948"/>
    <w:rsid w:val="00F15344"/>
    <w:rsid w:val="00F16C6D"/>
    <w:rsid w:val="00F2102E"/>
    <w:rsid w:val="00F32C64"/>
    <w:rsid w:val="00F33145"/>
    <w:rsid w:val="00F339CA"/>
    <w:rsid w:val="00F359FA"/>
    <w:rsid w:val="00F43D2B"/>
    <w:rsid w:val="00F45245"/>
    <w:rsid w:val="00F46875"/>
    <w:rsid w:val="00F4712A"/>
    <w:rsid w:val="00F51595"/>
    <w:rsid w:val="00F52C4E"/>
    <w:rsid w:val="00F52CAB"/>
    <w:rsid w:val="00F54992"/>
    <w:rsid w:val="00F55BE9"/>
    <w:rsid w:val="00F77D12"/>
    <w:rsid w:val="00F812CB"/>
    <w:rsid w:val="00F92540"/>
    <w:rsid w:val="00F94BD4"/>
    <w:rsid w:val="00F94D25"/>
    <w:rsid w:val="00F975DC"/>
    <w:rsid w:val="00FA0D49"/>
    <w:rsid w:val="00FA1D65"/>
    <w:rsid w:val="00FB12E6"/>
    <w:rsid w:val="00FB28D5"/>
    <w:rsid w:val="00FB2F5D"/>
    <w:rsid w:val="00FB56AF"/>
    <w:rsid w:val="00FB76C4"/>
    <w:rsid w:val="00FC1374"/>
    <w:rsid w:val="00FD366D"/>
    <w:rsid w:val="00FD4B4C"/>
    <w:rsid w:val="00FF1FD6"/>
    <w:rsid w:val="00FF4C18"/>
    <w:rsid w:val="00FF61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paragraph" w:styleId="Heading2">
    <w:name w:val="heading 2"/>
    <w:basedOn w:val="Normal"/>
    <w:link w:val="Heading2Char"/>
    <w:uiPriority w:val="9"/>
    <w:qFormat/>
    <w:rsid w:val="00A044DB"/>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Hyperlink">
    <w:name w:val="Hyperlink"/>
    <w:basedOn w:val="DefaultParagraphFont"/>
    <w:unhideWhenUsed/>
    <w:rsid w:val="006F3CE4"/>
    <w:rPr>
      <w:color w:val="0000FF" w:themeColor="hyperlink"/>
      <w:u w:val="single"/>
    </w:rPr>
  </w:style>
  <w:style w:type="character" w:customStyle="1" w:styleId="UnresolvedMention1">
    <w:name w:val="Unresolved Mention1"/>
    <w:basedOn w:val="DefaultParagraphFont"/>
    <w:uiPriority w:val="99"/>
    <w:semiHidden/>
    <w:unhideWhenUsed/>
    <w:rsid w:val="006F3CE4"/>
    <w:rPr>
      <w:color w:val="605E5C"/>
      <w:shd w:val="clear" w:color="auto" w:fill="E1DFDD"/>
    </w:rPr>
  </w:style>
  <w:style w:type="paragraph" w:styleId="ListParagraph">
    <w:name w:val="List Paragraph"/>
    <w:basedOn w:val="Normal"/>
    <w:uiPriority w:val="34"/>
    <w:qFormat/>
    <w:rsid w:val="001A2F15"/>
    <w:pPr>
      <w:ind w:left="720"/>
      <w:contextualSpacing/>
    </w:pPr>
  </w:style>
  <w:style w:type="character" w:customStyle="1" w:styleId="a">
    <w:name w:val="_"/>
    <w:basedOn w:val="DefaultParagraphFont"/>
    <w:rsid w:val="005A010B"/>
  </w:style>
  <w:style w:type="character" w:customStyle="1" w:styleId="ff7d">
    <w:name w:val="ff7d"/>
    <w:basedOn w:val="DefaultParagraphFont"/>
    <w:rsid w:val="005A010B"/>
  </w:style>
  <w:style w:type="paragraph" w:customStyle="1" w:styleId="Default">
    <w:name w:val="Default"/>
    <w:rsid w:val="005951E9"/>
    <w:pPr>
      <w:autoSpaceDE w:val="0"/>
      <w:autoSpaceDN w:val="0"/>
      <w:adjustRightInd w:val="0"/>
    </w:pPr>
    <w:rPr>
      <w:rFonts w:ascii="Century Schoolbook" w:hAnsi="Century Schoolbook" w:cs="Century Schoolbook"/>
      <w:color w:val="000000"/>
      <w:sz w:val="24"/>
      <w:szCs w:val="24"/>
    </w:rPr>
  </w:style>
  <w:style w:type="character" w:customStyle="1" w:styleId="Heading2Char">
    <w:name w:val="Heading 2 Char"/>
    <w:basedOn w:val="DefaultParagraphFont"/>
    <w:link w:val="Heading2"/>
    <w:uiPriority w:val="9"/>
    <w:rsid w:val="00A044DB"/>
    <w:rPr>
      <w:b/>
      <w:bCs/>
      <w:sz w:val="36"/>
      <w:szCs w:val="36"/>
    </w:rPr>
  </w:style>
  <w:style w:type="character" w:styleId="Emphasis">
    <w:name w:val="Emphasis"/>
    <w:basedOn w:val="DefaultParagraphFont"/>
    <w:uiPriority w:val="20"/>
    <w:qFormat/>
    <w:rsid w:val="00A044DB"/>
    <w:rPr>
      <w:i/>
      <w:iCs/>
    </w:rPr>
  </w:style>
  <w:style w:type="character" w:customStyle="1" w:styleId="cosearchterm">
    <w:name w:val="co_searchterm"/>
    <w:basedOn w:val="DefaultParagraphFont"/>
    <w:rsid w:val="00A044DB"/>
  </w:style>
  <w:style w:type="character" w:customStyle="1" w:styleId="costarpage">
    <w:name w:val="co_starpage"/>
    <w:basedOn w:val="DefaultParagraphFont"/>
    <w:rsid w:val="00A044DB"/>
  </w:style>
  <w:style w:type="character" w:customStyle="1" w:styleId="coconcept14">
    <w:name w:val="co_concept_1_4"/>
    <w:basedOn w:val="DefaultParagraphFont"/>
    <w:rsid w:val="00AB2141"/>
  </w:style>
  <w:style w:type="character" w:customStyle="1" w:styleId="coconcept928">
    <w:name w:val="co_concept_9_28"/>
    <w:basedOn w:val="DefaultParagraphFont"/>
    <w:rsid w:val="00AB2141"/>
  </w:style>
  <w:style w:type="character" w:styleId="Strong">
    <w:name w:val="Strong"/>
    <w:basedOn w:val="DefaultParagraphFont"/>
    <w:uiPriority w:val="22"/>
    <w:qFormat/>
    <w:rsid w:val="00FA0D49"/>
    <w:rPr>
      <w:b/>
      <w:bCs/>
    </w:rPr>
  </w:style>
  <w:style w:type="character" w:customStyle="1" w:styleId="copinpointicon">
    <w:name w:val="co_pinpointicon"/>
    <w:basedOn w:val="DefaultParagraphFont"/>
    <w:rsid w:val="00711E96"/>
  </w:style>
  <w:style w:type="character" w:styleId="FollowedHyperlink">
    <w:name w:val="FollowedHyperlink"/>
    <w:basedOn w:val="DefaultParagraphFont"/>
    <w:semiHidden/>
    <w:unhideWhenUsed/>
    <w:rsid w:val="00D71CFA"/>
    <w:rPr>
      <w:color w:val="800080" w:themeColor="followedHyperlink"/>
      <w:u w:val="single"/>
    </w:rPr>
  </w:style>
  <w:style w:type="paragraph" w:styleId="Revision">
    <w:name w:val="Revision"/>
    <w:hidden/>
    <w:uiPriority w:val="99"/>
    <w:semiHidden/>
    <w:rsid w:val="00220F84"/>
  </w:style>
  <w:style w:type="character" w:styleId="CommentReference">
    <w:name w:val="annotation reference"/>
    <w:basedOn w:val="DefaultParagraphFont"/>
    <w:semiHidden/>
    <w:unhideWhenUsed/>
    <w:rsid w:val="00B71519"/>
    <w:rPr>
      <w:sz w:val="16"/>
      <w:szCs w:val="16"/>
    </w:rPr>
  </w:style>
  <w:style w:type="paragraph" w:styleId="CommentText">
    <w:name w:val="annotation text"/>
    <w:basedOn w:val="Normal"/>
    <w:link w:val="CommentTextChar"/>
    <w:semiHidden/>
    <w:unhideWhenUsed/>
    <w:rsid w:val="00B71519"/>
    <w:pPr>
      <w:spacing w:line="240" w:lineRule="auto"/>
    </w:pPr>
    <w:rPr>
      <w:sz w:val="20"/>
      <w:szCs w:val="20"/>
    </w:rPr>
  </w:style>
  <w:style w:type="character" w:customStyle="1" w:styleId="CommentTextChar">
    <w:name w:val="Comment Text Char"/>
    <w:basedOn w:val="DefaultParagraphFont"/>
    <w:link w:val="CommentText"/>
    <w:semiHidden/>
    <w:rsid w:val="00B71519"/>
    <w:rPr>
      <w:sz w:val="20"/>
      <w:szCs w:val="20"/>
    </w:rPr>
  </w:style>
  <w:style w:type="paragraph" w:styleId="CommentSubject">
    <w:name w:val="annotation subject"/>
    <w:basedOn w:val="CommentText"/>
    <w:next w:val="CommentText"/>
    <w:link w:val="CommentSubjectChar"/>
    <w:semiHidden/>
    <w:unhideWhenUsed/>
    <w:rsid w:val="00B71519"/>
    <w:rPr>
      <w:b/>
      <w:bCs/>
    </w:rPr>
  </w:style>
  <w:style w:type="character" w:customStyle="1" w:styleId="CommentSubjectChar">
    <w:name w:val="Comment Subject Char"/>
    <w:basedOn w:val="CommentTextChar"/>
    <w:link w:val="CommentSubject"/>
    <w:semiHidden/>
    <w:rsid w:val="00B71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14EF0-76EF-4C34-8288-6A02B67C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10492</Words>
  <Characters>59807</Characters>
  <Application>Microsoft Office Word</Application>
  <DocSecurity>0</DocSecurity>
  <Lines>498</Lines>
  <Paragraphs>140</Paragraphs>
  <ScaleCrop>false</ScaleCrop>
  <Company/>
  <LinksUpToDate>false</LinksUpToDate>
  <CharactersWithSpaces>70159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2024-05-17T18:52:40Z</dcterms:created>
  <dcterms:modified xsi:type="dcterms:W3CDTF">2024-05-17T18:52:40Z</dcterms:modified>
</cp:coreProperties>
</file>