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DD051" w14:textId="77777777" w:rsidR="00447998" w:rsidRPr="00071A72" w:rsidRDefault="00447998" w:rsidP="00B811DC">
      <w:pPr>
        <w:spacing w:line="240" w:lineRule="auto"/>
        <w:rPr>
          <w:rFonts w:eastAsia="Aptos"/>
          <w:bCs/>
          <w:sz w:val="20"/>
          <w:szCs w:val="20"/>
        </w:rPr>
      </w:pPr>
      <w:r w:rsidRPr="00071A72">
        <w:rPr>
          <w:rFonts w:eastAsia="Aptos"/>
          <w:bCs/>
          <w:sz w:val="20"/>
          <w:szCs w:val="20"/>
        </w:rPr>
        <w:t>Filed 5/31/24</w:t>
      </w:r>
    </w:p>
    <w:p w14:paraId="2E5D92E3" w14:textId="77777777" w:rsidR="00447998" w:rsidRPr="00107B81" w:rsidRDefault="00447998" w:rsidP="00E842EB">
      <w:pPr>
        <w:spacing w:line="240" w:lineRule="auto"/>
        <w:jc w:val="center"/>
        <w:rPr>
          <w:rFonts w:eastAsia="Aptos" w:cs="Arial"/>
          <w:b/>
          <w:szCs w:val="26"/>
        </w:rPr>
      </w:pPr>
      <w:r w:rsidRPr="00107B81">
        <w:rPr>
          <w:rFonts w:eastAsia="Aptos"/>
          <w:b/>
        </w:rPr>
        <w:t>CERTIFIED FOR PUBLICATION</w:t>
      </w:r>
    </w:p>
    <w:p w14:paraId="56D8D1AD" w14:textId="77777777" w:rsidR="00447998" w:rsidRPr="00107B81" w:rsidRDefault="00447998" w:rsidP="00E842EB">
      <w:pPr>
        <w:spacing w:line="240" w:lineRule="auto"/>
        <w:jc w:val="center"/>
      </w:pPr>
    </w:p>
    <w:p w14:paraId="56F0B110" w14:textId="77777777" w:rsidR="00447998" w:rsidRPr="00107B81" w:rsidRDefault="00447998" w:rsidP="00E842EB">
      <w:pPr>
        <w:spacing w:line="240" w:lineRule="auto"/>
        <w:jc w:val="center"/>
      </w:pPr>
      <w:r w:rsidRPr="00107B81">
        <w:t>IN THE COURT OF APPEAL OF THE STATE OF CALIFORNIA</w:t>
      </w:r>
    </w:p>
    <w:p w14:paraId="6AC59D22" w14:textId="77777777" w:rsidR="00447998" w:rsidRPr="00107B81" w:rsidRDefault="00447998" w:rsidP="00E842EB">
      <w:pPr>
        <w:spacing w:line="240" w:lineRule="auto"/>
        <w:jc w:val="center"/>
      </w:pPr>
    </w:p>
    <w:p w14:paraId="3A2A17E4" w14:textId="77777777" w:rsidR="00447998" w:rsidRPr="00107B81" w:rsidRDefault="00447998" w:rsidP="00E842EB">
      <w:pPr>
        <w:spacing w:line="240" w:lineRule="auto"/>
        <w:jc w:val="center"/>
      </w:pPr>
      <w:r w:rsidRPr="00107B81">
        <w:t>SECOND APPELLATE DISTRICT</w:t>
      </w:r>
    </w:p>
    <w:p w14:paraId="7BE34716" w14:textId="77777777" w:rsidR="00447998" w:rsidRPr="00107B81" w:rsidRDefault="00447998" w:rsidP="00E842EB">
      <w:pPr>
        <w:spacing w:line="240" w:lineRule="auto"/>
        <w:jc w:val="center"/>
      </w:pPr>
    </w:p>
    <w:p w14:paraId="592B1F36" w14:textId="77777777" w:rsidR="00447998" w:rsidRPr="00107B81" w:rsidRDefault="00447998" w:rsidP="00E842EB">
      <w:pPr>
        <w:spacing w:line="240" w:lineRule="auto"/>
        <w:jc w:val="center"/>
      </w:pPr>
      <w:r w:rsidRPr="00107B81">
        <w:t>DIVISION ONE</w:t>
      </w:r>
    </w:p>
    <w:p w14:paraId="66593D25" w14:textId="77777777" w:rsidR="00447998" w:rsidRPr="00107B81" w:rsidRDefault="00447998" w:rsidP="00E842EB">
      <w:pPr>
        <w:spacing w:line="240" w:lineRule="auto"/>
        <w:jc w:val="center"/>
      </w:pPr>
    </w:p>
    <w:p w14:paraId="088BAF2D" w14:textId="77777777" w:rsidR="00447998" w:rsidRPr="00107B81" w:rsidRDefault="00447998" w:rsidP="00E842EB">
      <w:pPr>
        <w:spacing w:line="240" w:lineRule="auto"/>
        <w:jc w:val="center"/>
      </w:pPr>
    </w:p>
    <w:tbl>
      <w:tblPr>
        <w:tblW w:w="8550" w:type="dxa"/>
        <w:tblLayout w:type="fixed"/>
        <w:tblLook w:val="0000" w:firstRow="0" w:lastRow="0" w:firstColumn="0" w:lastColumn="0" w:noHBand="0" w:noVBand="0"/>
      </w:tblPr>
      <w:tblGrid>
        <w:gridCol w:w="4140"/>
        <w:gridCol w:w="4410"/>
      </w:tblGrid>
      <w:tr w:rsidR="00626BF9" w14:paraId="324CE0C0" w14:textId="77777777" w:rsidTr="00DE0A13">
        <w:tc>
          <w:tcPr>
            <w:tcW w:w="4140" w:type="dxa"/>
            <w:tcBorders>
              <w:bottom w:val="single" w:sz="4" w:space="0" w:color="auto"/>
              <w:right w:val="single" w:sz="4" w:space="0" w:color="auto"/>
            </w:tcBorders>
            <w:shd w:val="clear" w:color="auto" w:fill="auto"/>
          </w:tcPr>
          <w:p w14:paraId="71CC190D" w14:textId="77777777" w:rsidR="00447998" w:rsidRPr="00107B81" w:rsidRDefault="00447998" w:rsidP="00F051D0">
            <w:pPr>
              <w:spacing w:line="240" w:lineRule="auto"/>
            </w:pPr>
            <w:r w:rsidRPr="00107B81">
              <w:t>SOUTHERN CALIFORNIA EDISON COMPANY,</w:t>
            </w:r>
          </w:p>
          <w:p w14:paraId="3DEA0168" w14:textId="77777777" w:rsidR="00447998" w:rsidRPr="00107B81" w:rsidRDefault="00447998" w:rsidP="007A17D6">
            <w:pPr>
              <w:spacing w:line="240" w:lineRule="auto"/>
            </w:pPr>
          </w:p>
          <w:p w14:paraId="5544CC05" w14:textId="77777777" w:rsidR="00447998" w:rsidRPr="00107B81" w:rsidRDefault="00447998" w:rsidP="00504027">
            <w:pPr>
              <w:spacing w:line="240" w:lineRule="auto"/>
              <w:ind w:left="720"/>
            </w:pPr>
            <w:r w:rsidRPr="00107B81">
              <w:t>Petitioner,</w:t>
            </w:r>
          </w:p>
          <w:p w14:paraId="4B53C278" w14:textId="77777777" w:rsidR="00447998" w:rsidRPr="00107B81" w:rsidRDefault="00447998" w:rsidP="007A17D6">
            <w:pPr>
              <w:spacing w:line="240" w:lineRule="auto"/>
            </w:pPr>
          </w:p>
          <w:p w14:paraId="67584996" w14:textId="77777777" w:rsidR="00447998" w:rsidRPr="00107B81" w:rsidRDefault="00447998" w:rsidP="007A17D6">
            <w:pPr>
              <w:spacing w:line="240" w:lineRule="auto"/>
            </w:pPr>
            <w:r w:rsidRPr="00107B81">
              <w:tab/>
              <w:t>v.</w:t>
            </w:r>
          </w:p>
          <w:p w14:paraId="410BF115" w14:textId="77777777" w:rsidR="00447998" w:rsidRPr="00107B81" w:rsidRDefault="00447998" w:rsidP="007A17D6">
            <w:pPr>
              <w:spacing w:line="240" w:lineRule="auto"/>
            </w:pPr>
          </w:p>
          <w:p w14:paraId="022C9A8F" w14:textId="77777777" w:rsidR="00447998" w:rsidRPr="00107B81" w:rsidRDefault="00447998" w:rsidP="00A20B42">
            <w:pPr>
              <w:pStyle w:val="Header"/>
              <w:tabs>
                <w:tab w:val="clear" w:pos="4680"/>
                <w:tab w:val="clear" w:pos="9360"/>
              </w:tabs>
              <w:spacing w:line="240" w:lineRule="auto"/>
            </w:pPr>
            <w:r w:rsidRPr="00107B81">
              <w:t>THE SUPERIOR COURT OF LOS ANGELES</w:t>
            </w:r>
            <w:r w:rsidRPr="00107B81">
              <w:t xml:space="preserve"> COUNTY</w:t>
            </w:r>
            <w:r w:rsidRPr="00107B81">
              <w:t>,</w:t>
            </w:r>
          </w:p>
          <w:p w14:paraId="043210F5" w14:textId="77777777" w:rsidR="00447998" w:rsidRPr="00107B81" w:rsidRDefault="00447998" w:rsidP="00A20B42">
            <w:pPr>
              <w:spacing w:line="240" w:lineRule="auto"/>
            </w:pPr>
          </w:p>
          <w:p w14:paraId="0FC1328B" w14:textId="77777777" w:rsidR="00447998" w:rsidRPr="00107B81" w:rsidRDefault="00447998" w:rsidP="00504027">
            <w:pPr>
              <w:spacing w:line="240" w:lineRule="auto"/>
              <w:ind w:left="720"/>
            </w:pPr>
            <w:proofErr w:type="gramStart"/>
            <w:r w:rsidRPr="00107B81">
              <w:t>Respondent</w:t>
            </w:r>
            <w:r w:rsidRPr="00107B81">
              <w:t>;</w:t>
            </w:r>
            <w:proofErr w:type="gramEnd"/>
          </w:p>
          <w:p w14:paraId="01BCB710" w14:textId="77777777" w:rsidR="00447998" w:rsidRPr="00107B81" w:rsidRDefault="00447998" w:rsidP="009A37F6">
            <w:pPr>
              <w:spacing w:line="240" w:lineRule="auto"/>
            </w:pPr>
          </w:p>
          <w:p w14:paraId="3FC78A5C" w14:textId="77777777" w:rsidR="00447998" w:rsidRPr="00107B81" w:rsidRDefault="00447998" w:rsidP="009A37F6">
            <w:pPr>
              <w:spacing w:line="240" w:lineRule="auto"/>
            </w:pPr>
            <w:r w:rsidRPr="00107B81">
              <w:t>21</w:t>
            </w:r>
            <w:r w:rsidRPr="00107B81">
              <w:t>st</w:t>
            </w:r>
            <w:r w:rsidRPr="00107B81">
              <w:t xml:space="preserve"> CENTURY INSURANCE COMPANY et al.,</w:t>
            </w:r>
          </w:p>
          <w:p w14:paraId="6513CDB1" w14:textId="77777777" w:rsidR="00447998" w:rsidRPr="00107B81" w:rsidRDefault="00447998" w:rsidP="009A37F6">
            <w:pPr>
              <w:spacing w:line="240" w:lineRule="auto"/>
            </w:pPr>
          </w:p>
          <w:p w14:paraId="43C6E56E" w14:textId="77777777" w:rsidR="00447998" w:rsidRPr="00107B81" w:rsidRDefault="00447998" w:rsidP="009A37F6">
            <w:pPr>
              <w:spacing w:line="240" w:lineRule="auto"/>
            </w:pPr>
            <w:r w:rsidRPr="00107B81">
              <w:t xml:space="preserve">         Real Parties in Interest.</w:t>
            </w:r>
          </w:p>
          <w:p w14:paraId="405C768A" w14:textId="77777777" w:rsidR="00447998" w:rsidRPr="00107B81" w:rsidRDefault="00447998" w:rsidP="007A17D6">
            <w:pPr>
              <w:spacing w:line="240" w:lineRule="auto"/>
            </w:pPr>
          </w:p>
        </w:tc>
        <w:tc>
          <w:tcPr>
            <w:tcW w:w="4410" w:type="dxa"/>
            <w:tcBorders>
              <w:left w:val="single" w:sz="4" w:space="0" w:color="auto"/>
            </w:tcBorders>
            <w:shd w:val="clear" w:color="auto" w:fill="auto"/>
          </w:tcPr>
          <w:p w14:paraId="363C7436" w14:textId="77777777" w:rsidR="00447998" w:rsidRPr="00107B81" w:rsidRDefault="00447998" w:rsidP="00EF03DA">
            <w:r w:rsidRPr="00107B81">
              <w:t xml:space="preserve">      </w:t>
            </w:r>
            <w:r w:rsidRPr="00107B81">
              <w:t>B</w:t>
            </w:r>
            <w:r w:rsidRPr="00107B81">
              <w:t>3</w:t>
            </w:r>
            <w:r w:rsidRPr="00107B81">
              <w:t>33</w:t>
            </w:r>
            <w:r w:rsidRPr="00107B81">
              <w:t>798</w:t>
            </w:r>
          </w:p>
          <w:p w14:paraId="4842FA8F" w14:textId="77777777" w:rsidR="00447998" w:rsidRPr="00107B81" w:rsidRDefault="00447998" w:rsidP="00EF03DA"/>
          <w:p w14:paraId="4C93099A" w14:textId="77777777" w:rsidR="00447998" w:rsidRPr="00107B81" w:rsidRDefault="00447998" w:rsidP="00F54782">
            <w:pPr>
              <w:spacing w:line="240" w:lineRule="auto"/>
            </w:pPr>
            <w:r w:rsidRPr="00107B81">
              <w:t xml:space="preserve">      (Los Angeles County</w:t>
            </w:r>
          </w:p>
          <w:p w14:paraId="3FE447FD" w14:textId="77777777" w:rsidR="00447998" w:rsidRPr="00107B81" w:rsidRDefault="00447998" w:rsidP="00F54782">
            <w:pPr>
              <w:spacing w:line="240" w:lineRule="auto"/>
            </w:pPr>
            <w:r w:rsidRPr="00107B81">
              <w:t xml:space="preserve">      Super. Ct. No. </w:t>
            </w:r>
            <w:r w:rsidRPr="00107B81">
              <w:t>2</w:t>
            </w:r>
            <w:r w:rsidRPr="00107B81">
              <w:t>1</w:t>
            </w:r>
            <w:r w:rsidRPr="00107B81">
              <w:t>ST</w:t>
            </w:r>
            <w:r w:rsidRPr="00107B81">
              <w:t>CV18308</w:t>
            </w:r>
            <w:r w:rsidRPr="00107B81">
              <w:t>)</w:t>
            </w:r>
          </w:p>
          <w:p w14:paraId="33AA9618" w14:textId="77777777" w:rsidR="00447998" w:rsidRPr="00107B81" w:rsidRDefault="00447998" w:rsidP="007A17D6">
            <w:pPr>
              <w:spacing w:line="240" w:lineRule="auto"/>
            </w:pPr>
          </w:p>
        </w:tc>
      </w:tr>
    </w:tbl>
    <w:p w14:paraId="4A56EAE9" w14:textId="77777777" w:rsidR="00447998" w:rsidRPr="00107B81" w:rsidRDefault="00447998" w:rsidP="00351325">
      <w:pPr>
        <w:pStyle w:val="Header"/>
        <w:tabs>
          <w:tab w:val="clear" w:pos="4680"/>
          <w:tab w:val="clear" w:pos="9360"/>
        </w:tabs>
      </w:pPr>
    </w:p>
    <w:p w14:paraId="037EB93A" w14:textId="77777777" w:rsidR="00447998" w:rsidRPr="00107B81" w:rsidRDefault="00447998" w:rsidP="00351325">
      <w:pPr>
        <w:pStyle w:val="Header"/>
        <w:tabs>
          <w:tab w:val="clear" w:pos="4680"/>
          <w:tab w:val="clear" w:pos="9360"/>
        </w:tabs>
      </w:pPr>
    </w:p>
    <w:p w14:paraId="2F948B9C" w14:textId="77777777" w:rsidR="00447998" w:rsidRPr="00107B81" w:rsidRDefault="00447998" w:rsidP="00351325">
      <w:pPr>
        <w:ind w:firstLine="720"/>
        <w:rPr>
          <w:rFonts w:eastAsia="Times New Roman"/>
          <w:szCs w:val="26"/>
        </w:rPr>
      </w:pPr>
      <w:r w:rsidRPr="00107B81">
        <w:rPr>
          <w:rFonts w:eastAsia="Times New Roman"/>
          <w:szCs w:val="26"/>
        </w:rPr>
        <w:t>ORIGINAL PROCEEDING; p</w:t>
      </w:r>
      <w:r w:rsidRPr="00107B81">
        <w:rPr>
          <w:rFonts w:eastAsia="Times New Roman"/>
          <w:szCs w:val="26"/>
        </w:rPr>
        <w:t xml:space="preserve">etition for </w:t>
      </w:r>
      <w:r w:rsidRPr="00107B81">
        <w:rPr>
          <w:rFonts w:eastAsia="Times New Roman"/>
          <w:szCs w:val="26"/>
        </w:rPr>
        <w:t>writ of mandate</w:t>
      </w:r>
      <w:r w:rsidRPr="00107B81">
        <w:rPr>
          <w:rFonts w:eastAsia="Times New Roman"/>
          <w:szCs w:val="26"/>
        </w:rPr>
        <w:t>.</w:t>
      </w:r>
      <w:r w:rsidRPr="00107B81">
        <w:rPr>
          <w:rFonts w:eastAsia="Times New Roman"/>
          <w:szCs w:val="26"/>
        </w:rPr>
        <w:t xml:space="preserve">  </w:t>
      </w:r>
      <w:r w:rsidRPr="00107B81">
        <w:rPr>
          <w:rFonts w:eastAsia="Times New Roman"/>
          <w:szCs w:val="26"/>
        </w:rPr>
        <w:t>Elihu M. Berle</w:t>
      </w:r>
      <w:r w:rsidRPr="00107B81">
        <w:rPr>
          <w:rFonts w:eastAsia="Times New Roman"/>
          <w:szCs w:val="26"/>
        </w:rPr>
        <w:t xml:space="preserve">, </w:t>
      </w:r>
      <w:r w:rsidRPr="00107B81">
        <w:rPr>
          <w:rFonts w:eastAsia="Times New Roman"/>
          <w:szCs w:val="26"/>
        </w:rPr>
        <w:t xml:space="preserve">Judge.  </w:t>
      </w:r>
      <w:r w:rsidRPr="00107B81">
        <w:rPr>
          <w:rFonts w:eastAsia="Times New Roman"/>
          <w:szCs w:val="26"/>
        </w:rPr>
        <w:t xml:space="preserve">Petition </w:t>
      </w:r>
      <w:r w:rsidRPr="00107B81">
        <w:rPr>
          <w:rFonts w:eastAsia="Times New Roman"/>
          <w:szCs w:val="26"/>
        </w:rPr>
        <w:t>granted</w:t>
      </w:r>
      <w:r w:rsidRPr="00107B81">
        <w:rPr>
          <w:rFonts w:eastAsia="Times New Roman"/>
          <w:szCs w:val="26"/>
        </w:rPr>
        <w:t xml:space="preserve"> with di</w:t>
      </w:r>
      <w:r w:rsidRPr="00107B81">
        <w:rPr>
          <w:rFonts w:eastAsia="Times New Roman"/>
          <w:szCs w:val="26"/>
        </w:rPr>
        <w:t>rections</w:t>
      </w:r>
      <w:r w:rsidRPr="00107B81">
        <w:rPr>
          <w:rFonts w:eastAsia="Times New Roman"/>
          <w:szCs w:val="26"/>
        </w:rPr>
        <w:t>.</w:t>
      </w:r>
    </w:p>
    <w:p w14:paraId="70BCB995" w14:textId="77777777" w:rsidR="00447998" w:rsidRPr="00107B81" w:rsidRDefault="00447998" w:rsidP="001C6467">
      <w:pPr>
        <w:pStyle w:val="BodyTextIndent"/>
        <w:spacing w:before="0" w:after="0"/>
        <w:rPr>
          <w:szCs w:val="26"/>
        </w:rPr>
      </w:pPr>
      <w:bookmarkStart w:id="0" w:name="_Hlk93591209"/>
      <w:r w:rsidRPr="00107B81">
        <w:rPr>
          <w:szCs w:val="26"/>
        </w:rPr>
        <w:t>Hueston Hennigan, John C. Hueston</w:t>
      </w:r>
      <w:r w:rsidRPr="00107B81">
        <w:rPr>
          <w:szCs w:val="26"/>
        </w:rPr>
        <w:t>, Douglas J. Dixon, Padraic Foran</w:t>
      </w:r>
      <w:r w:rsidRPr="00107B81">
        <w:rPr>
          <w:szCs w:val="26"/>
        </w:rPr>
        <w:t xml:space="preserve">, </w:t>
      </w:r>
      <w:r w:rsidRPr="00107B81">
        <w:rPr>
          <w:szCs w:val="26"/>
        </w:rPr>
        <w:t>Brandon Marsh</w:t>
      </w:r>
      <w:r w:rsidRPr="00107B81">
        <w:rPr>
          <w:szCs w:val="26"/>
        </w:rPr>
        <w:t>;</w:t>
      </w:r>
      <w:r w:rsidRPr="00107B81">
        <w:rPr>
          <w:szCs w:val="26"/>
        </w:rPr>
        <w:t xml:space="preserve"> Southern California Edison Company</w:t>
      </w:r>
      <w:r w:rsidRPr="00107B81">
        <w:rPr>
          <w:szCs w:val="26"/>
        </w:rPr>
        <w:t xml:space="preserve">, Belynda B. Reck, Patricia A. </w:t>
      </w:r>
      <w:proofErr w:type="spellStart"/>
      <w:r w:rsidRPr="00107B81">
        <w:rPr>
          <w:szCs w:val="26"/>
        </w:rPr>
        <w:t>Cirucci</w:t>
      </w:r>
      <w:proofErr w:type="spellEnd"/>
      <w:r w:rsidRPr="00107B81">
        <w:rPr>
          <w:szCs w:val="26"/>
        </w:rPr>
        <w:t xml:space="preserve"> and Brian Cardoza </w:t>
      </w:r>
      <w:r w:rsidRPr="00107B81">
        <w:rPr>
          <w:szCs w:val="26"/>
        </w:rPr>
        <w:t xml:space="preserve">for </w:t>
      </w:r>
      <w:r w:rsidRPr="00107B81">
        <w:rPr>
          <w:szCs w:val="26"/>
        </w:rPr>
        <w:t>P</w:t>
      </w:r>
      <w:r w:rsidRPr="00107B81">
        <w:rPr>
          <w:szCs w:val="26"/>
        </w:rPr>
        <w:t>etitioner</w:t>
      </w:r>
      <w:r w:rsidRPr="00107B81">
        <w:rPr>
          <w:szCs w:val="26"/>
        </w:rPr>
        <w:t>.</w:t>
      </w:r>
    </w:p>
    <w:p w14:paraId="13288823" w14:textId="77777777" w:rsidR="00447998" w:rsidRPr="00107B81" w:rsidRDefault="00447998" w:rsidP="001C6467">
      <w:pPr>
        <w:pStyle w:val="BodyTextIndent"/>
        <w:spacing w:before="0" w:after="0"/>
        <w:rPr>
          <w:szCs w:val="26"/>
        </w:rPr>
      </w:pPr>
      <w:r w:rsidRPr="00107B81">
        <w:rPr>
          <w:szCs w:val="26"/>
        </w:rPr>
        <w:lastRenderedPageBreak/>
        <w:t>No appearance for Respondent.</w:t>
      </w:r>
    </w:p>
    <w:p w14:paraId="14FB55B3" w14:textId="77777777" w:rsidR="00447998" w:rsidRPr="00107B81" w:rsidRDefault="00447998" w:rsidP="00351325">
      <w:pPr>
        <w:pStyle w:val="BodyTextIndent"/>
        <w:spacing w:before="0" w:after="0"/>
        <w:rPr>
          <w:szCs w:val="26"/>
        </w:rPr>
      </w:pPr>
      <w:r w:rsidRPr="00107B81">
        <w:rPr>
          <w:szCs w:val="26"/>
        </w:rPr>
        <w:t>Berger Kahn, Craig S. Simon</w:t>
      </w:r>
      <w:r w:rsidRPr="00107B81">
        <w:rPr>
          <w:szCs w:val="26"/>
        </w:rPr>
        <w:t>;</w:t>
      </w:r>
      <w:r w:rsidRPr="00107B81">
        <w:rPr>
          <w:szCs w:val="26"/>
        </w:rPr>
        <w:t xml:space="preserve"> </w:t>
      </w:r>
      <w:proofErr w:type="spellStart"/>
      <w:r w:rsidRPr="00107B81">
        <w:rPr>
          <w:szCs w:val="26"/>
        </w:rPr>
        <w:t>Grotefeld</w:t>
      </w:r>
      <w:proofErr w:type="spellEnd"/>
      <w:r w:rsidRPr="00107B81">
        <w:rPr>
          <w:szCs w:val="26"/>
        </w:rPr>
        <w:t xml:space="preserve"> Hoffman, Adam Romney</w:t>
      </w:r>
      <w:r w:rsidRPr="00107B81">
        <w:rPr>
          <w:szCs w:val="26"/>
        </w:rPr>
        <w:t>;</w:t>
      </w:r>
      <w:r w:rsidRPr="00107B81">
        <w:rPr>
          <w:szCs w:val="26"/>
        </w:rPr>
        <w:t xml:space="preserve"> Engstrom, Lipscomb &amp; Lack</w:t>
      </w:r>
      <w:r w:rsidRPr="00107B81">
        <w:rPr>
          <w:szCs w:val="26"/>
        </w:rPr>
        <w:t xml:space="preserve"> and</w:t>
      </w:r>
      <w:r w:rsidRPr="00107B81">
        <w:rPr>
          <w:szCs w:val="26"/>
        </w:rPr>
        <w:t xml:space="preserve"> Gregory P. Waters </w:t>
      </w:r>
      <w:r w:rsidRPr="00107B81">
        <w:rPr>
          <w:szCs w:val="26"/>
        </w:rPr>
        <w:t>f</w:t>
      </w:r>
      <w:r w:rsidRPr="00107B81">
        <w:rPr>
          <w:szCs w:val="26"/>
        </w:rPr>
        <w:t>or</w:t>
      </w:r>
      <w:r w:rsidRPr="00107B81">
        <w:rPr>
          <w:szCs w:val="26"/>
        </w:rPr>
        <w:t xml:space="preserve"> Real Parties </w:t>
      </w:r>
      <w:r w:rsidRPr="00107B81">
        <w:rPr>
          <w:szCs w:val="26"/>
        </w:rPr>
        <w:t>i</w:t>
      </w:r>
      <w:r w:rsidRPr="00107B81">
        <w:rPr>
          <w:szCs w:val="26"/>
        </w:rPr>
        <w:t>n Interest</w:t>
      </w:r>
      <w:r w:rsidRPr="00107B81">
        <w:rPr>
          <w:szCs w:val="26"/>
        </w:rPr>
        <w:t>.</w:t>
      </w:r>
    </w:p>
    <w:bookmarkEnd w:id="0"/>
    <w:p w14:paraId="0913633C" w14:textId="77777777" w:rsidR="00447998" w:rsidRPr="00107B81" w:rsidRDefault="00447998" w:rsidP="00351325">
      <w:pPr>
        <w:spacing w:before="120" w:after="240"/>
        <w:jc w:val="center"/>
      </w:pPr>
      <w:r w:rsidRPr="00107B81">
        <w:t>___________</w:t>
      </w:r>
      <w:r w:rsidRPr="00107B81">
        <w:t>___</w:t>
      </w:r>
      <w:r w:rsidRPr="00107B81">
        <w:t>_____</w:t>
      </w:r>
      <w:r w:rsidRPr="00107B81">
        <w:t>__</w:t>
      </w:r>
      <w:r w:rsidRPr="00107B81">
        <w:t>_______</w:t>
      </w:r>
    </w:p>
    <w:p w14:paraId="47D2B8E8" w14:textId="77777777" w:rsidR="00447998" w:rsidRPr="00107B81" w:rsidRDefault="00447998" w:rsidP="00B8116A">
      <w:pPr>
        <w:spacing w:after="120" w:line="240" w:lineRule="auto"/>
        <w:jc w:val="center"/>
        <w:rPr>
          <w:b/>
          <w:bCs/>
        </w:rPr>
      </w:pPr>
      <w:r w:rsidRPr="00107B81">
        <w:rPr>
          <w:b/>
          <w:bCs/>
        </w:rPr>
        <w:t>INTRODUCTION</w:t>
      </w:r>
    </w:p>
    <w:p w14:paraId="7A0C7A63" w14:textId="77777777" w:rsidR="00447998" w:rsidRPr="00107B81" w:rsidRDefault="00447998" w:rsidP="005D0E9D">
      <w:pPr>
        <w:ind w:firstLine="720"/>
      </w:pPr>
      <w:r w:rsidRPr="00107B81">
        <w:t xml:space="preserve">California law protects </w:t>
      </w:r>
      <w:r w:rsidRPr="00107B81">
        <w:t xml:space="preserve">the </w:t>
      </w:r>
      <w:r w:rsidRPr="00107B81">
        <w:t>work product</w:t>
      </w:r>
      <w:r w:rsidRPr="00107B81">
        <w:t xml:space="preserve"> of attorney</w:t>
      </w:r>
      <w:r w:rsidRPr="00107B81">
        <w:t>s</w:t>
      </w:r>
      <w:r w:rsidRPr="00107B81">
        <w:t xml:space="preserve"> </w:t>
      </w:r>
      <w:r w:rsidRPr="00107B81">
        <w:t>and those assisting the</w:t>
      </w:r>
      <w:r w:rsidRPr="00107B81">
        <w:t>m</w:t>
      </w:r>
      <w:r w:rsidRPr="00107B81">
        <w:t xml:space="preserve"> </w:t>
      </w:r>
      <w:r w:rsidRPr="00107B81">
        <w:t xml:space="preserve">in investigating facts </w:t>
      </w:r>
      <w:r w:rsidRPr="00107B81">
        <w:t xml:space="preserve">related </w:t>
      </w:r>
      <w:r w:rsidRPr="00107B81">
        <w:t>to provid</w:t>
      </w:r>
      <w:r w:rsidRPr="00107B81">
        <w:t>ing</w:t>
      </w:r>
      <w:r w:rsidRPr="00107B81">
        <w:t xml:space="preserve"> </w:t>
      </w:r>
      <w:r w:rsidRPr="00107B81">
        <w:t xml:space="preserve">a client </w:t>
      </w:r>
      <w:r w:rsidRPr="00107B81">
        <w:t>legal advice</w:t>
      </w:r>
      <w:r w:rsidRPr="00107B81">
        <w:t xml:space="preserve">.  </w:t>
      </w:r>
      <w:r w:rsidRPr="00107B81">
        <w:t xml:space="preserve">This case requires that we </w:t>
      </w:r>
      <w:r w:rsidRPr="00107B81">
        <w:t>decide</w:t>
      </w:r>
      <w:r w:rsidRPr="00107B81">
        <w:t xml:space="preserve"> whether </w:t>
      </w:r>
      <w:r w:rsidRPr="00107B81">
        <w:t>a</w:t>
      </w:r>
      <w:r w:rsidRPr="00107B81">
        <w:t xml:space="preserve"> </w:t>
      </w:r>
      <w:r w:rsidRPr="00107B81">
        <w:t xml:space="preserve">client’s </w:t>
      </w:r>
      <w:r w:rsidRPr="00107B81">
        <w:t>statutory</w:t>
      </w:r>
      <w:r w:rsidRPr="00107B81">
        <w:t xml:space="preserve"> </w:t>
      </w:r>
      <w:r w:rsidRPr="00107B81">
        <w:t>obligation</w:t>
      </w:r>
      <w:r w:rsidRPr="00107B81">
        <w:t xml:space="preserve"> to public</w:t>
      </w:r>
      <w:r w:rsidRPr="00107B81">
        <w:t>ly</w:t>
      </w:r>
      <w:r w:rsidRPr="00107B81">
        <w:t xml:space="preserve"> report </w:t>
      </w:r>
      <w:r w:rsidRPr="00107B81">
        <w:t xml:space="preserve">certain </w:t>
      </w:r>
      <w:r w:rsidRPr="00107B81">
        <w:t>event</w:t>
      </w:r>
      <w:r w:rsidRPr="00107B81">
        <w:t>s</w:t>
      </w:r>
      <w:r w:rsidRPr="00107B81">
        <w:t xml:space="preserve"> </w:t>
      </w:r>
      <w:r w:rsidRPr="00107B81">
        <w:t xml:space="preserve">trumps </w:t>
      </w:r>
      <w:r w:rsidRPr="00107B81">
        <w:t>the</w:t>
      </w:r>
      <w:r w:rsidRPr="00107B81">
        <w:t xml:space="preserve"> </w:t>
      </w:r>
      <w:r w:rsidRPr="00107B81">
        <w:t>protection applicable to</w:t>
      </w:r>
      <w:r w:rsidRPr="00107B81">
        <w:t xml:space="preserve"> attorney</w:t>
      </w:r>
      <w:r w:rsidRPr="00107B81">
        <w:t xml:space="preserve"> work product </w:t>
      </w:r>
      <w:r w:rsidRPr="00107B81">
        <w:t>generated</w:t>
      </w:r>
      <w:r w:rsidRPr="00107B81">
        <w:t xml:space="preserve"> </w:t>
      </w:r>
      <w:r w:rsidRPr="00107B81">
        <w:t xml:space="preserve">during </w:t>
      </w:r>
      <w:r w:rsidRPr="00107B81">
        <w:t>a</w:t>
      </w:r>
      <w:r w:rsidRPr="00107B81">
        <w:t xml:space="preserve">n internal investigation </w:t>
      </w:r>
      <w:r w:rsidRPr="00107B81">
        <w:t xml:space="preserve">into facts </w:t>
      </w:r>
      <w:r w:rsidRPr="00107B81">
        <w:t xml:space="preserve">concerning the reportable </w:t>
      </w:r>
      <w:r w:rsidRPr="00107B81">
        <w:t>event</w:t>
      </w:r>
      <w:r w:rsidRPr="00107B81">
        <w:t>.</w:t>
      </w:r>
    </w:p>
    <w:p w14:paraId="4BC02D90" w14:textId="77777777" w:rsidR="00447998" w:rsidRPr="00107B81" w:rsidRDefault="00447998" w:rsidP="005D0E9D">
      <w:pPr>
        <w:ind w:firstLine="720"/>
      </w:pPr>
      <w:r w:rsidRPr="00107B81">
        <w:t xml:space="preserve">Real </w:t>
      </w:r>
      <w:r w:rsidRPr="00107B81">
        <w:t>p</w:t>
      </w:r>
      <w:r w:rsidRPr="00107B81">
        <w:t xml:space="preserve">arties </w:t>
      </w:r>
      <w:r w:rsidRPr="00107B81">
        <w:t>i</w:t>
      </w:r>
      <w:r w:rsidRPr="00107B81">
        <w:t xml:space="preserve">n </w:t>
      </w:r>
      <w:r w:rsidRPr="00107B81">
        <w:t>i</w:t>
      </w:r>
      <w:r w:rsidRPr="00107B81">
        <w:t xml:space="preserve">nterest </w:t>
      </w:r>
      <w:r w:rsidRPr="00107B81">
        <w:t xml:space="preserve">(plaintiffs) </w:t>
      </w:r>
      <w:r w:rsidRPr="00107B81">
        <w:t xml:space="preserve">are insurance companies </w:t>
      </w:r>
      <w:r w:rsidRPr="00107B81">
        <w:t xml:space="preserve">that </w:t>
      </w:r>
      <w:r w:rsidRPr="00107B81">
        <w:t xml:space="preserve">paid </w:t>
      </w:r>
      <w:r w:rsidRPr="00107B81">
        <w:t xml:space="preserve">policyholders for losses </w:t>
      </w:r>
      <w:r w:rsidRPr="00107B81">
        <w:t xml:space="preserve">resulting from </w:t>
      </w:r>
      <w:r w:rsidRPr="00107B81">
        <w:t xml:space="preserve">a </w:t>
      </w:r>
      <w:r w:rsidRPr="00107B81">
        <w:t>conflagration</w:t>
      </w:r>
      <w:r w:rsidRPr="00107B81">
        <w:t xml:space="preserve"> known as the</w:t>
      </w:r>
      <w:r w:rsidRPr="00107B81">
        <w:t xml:space="preserve"> Creek Fire</w:t>
      </w:r>
      <w:r w:rsidRPr="00107B81">
        <w:t>.  Plaintiffs</w:t>
      </w:r>
      <w:r w:rsidRPr="00107B81">
        <w:t xml:space="preserve"> claim </w:t>
      </w:r>
      <w:r w:rsidRPr="00107B81">
        <w:t xml:space="preserve">an arc from the </w:t>
      </w:r>
      <w:r w:rsidRPr="00107B81">
        <w:t xml:space="preserve">electric </w:t>
      </w:r>
      <w:r w:rsidRPr="00107B81">
        <w:t xml:space="preserve">powerlines of </w:t>
      </w:r>
      <w:r w:rsidRPr="00107B81">
        <w:t>Southern California Edison Company (SCE)</w:t>
      </w:r>
      <w:r w:rsidRPr="00107B81">
        <w:t xml:space="preserve"> </w:t>
      </w:r>
      <w:r w:rsidRPr="00107B81">
        <w:t>cause</w:t>
      </w:r>
      <w:r w:rsidRPr="00107B81">
        <w:t>d</w:t>
      </w:r>
      <w:r w:rsidRPr="00107B81">
        <w:t xml:space="preserve"> the fire</w:t>
      </w:r>
      <w:r w:rsidRPr="00107B81">
        <w:t xml:space="preserve"> and </w:t>
      </w:r>
      <w:r w:rsidRPr="00107B81">
        <w:t xml:space="preserve">have sued SCE </w:t>
      </w:r>
      <w:r w:rsidRPr="00107B81">
        <w:t>under a subrogation theory</w:t>
      </w:r>
      <w:r w:rsidRPr="00107B81">
        <w:t xml:space="preserve"> to recover</w:t>
      </w:r>
      <w:r w:rsidRPr="00107B81">
        <w:t xml:space="preserve"> their</w:t>
      </w:r>
      <w:r w:rsidRPr="00107B81">
        <w:t xml:space="preserve"> </w:t>
      </w:r>
      <w:r w:rsidRPr="00107B81">
        <w:t xml:space="preserve">payments </w:t>
      </w:r>
      <w:r w:rsidRPr="00107B81">
        <w:t>to insureds</w:t>
      </w:r>
      <w:r w:rsidRPr="00107B81">
        <w:t>.</w:t>
      </w:r>
    </w:p>
    <w:p w14:paraId="26A0C20F" w14:textId="77777777" w:rsidR="00447998" w:rsidRPr="00107B81" w:rsidRDefault="00447998" w:rsidP="005D0E9D">
      <w:pPr>
        <w:ind w:firstLine="720"/>
      </w:pPr>
      <w:r w:rsidRPr="00107B81">
        <w:t>During discovery</w:t>
      </w:r>
      <w:r w:rsidRPr="00107B81">
        <w:t xml:space="preserve"> in the subrogation case</w:t>
      </w:r>
      <w:r w:rsidRPr="00107B81">
        <w:t xml:space="preserve">, </w:t>
      </w:r>
      <w:r w:rsidRPr="00107B81">
        <w:t xml:space="preserve">SCE withheld </w:t>
      </w:r>
      <w:r w:rsidRPr="00107B81">
        <w:t xml:space="preserve">certain </w:t>
      </w:r>
      <w:r w:rsidRPr="00107B81">
        <w:t>documents</w:t>
      </w:r>
      <w:r w:rsidRPr="00107B81">
        <w:t xml:space="preserve"> </w:t>
      </w:r>
      <w:r w:rsidRPr="00107B81">
        <w:t>that</w:t>
      </w:r>
      <w:r w:rsidRPr="00107B81">
        <w:t xml:space="preserve"> it </w:t>
      </w:r>
      <w:r w:rsidRPr="00107B81">
        <w:t>assert</w:t>
      </w:r>
      <w:r w:rsidRPr="00107B81">
        <w:t>ed</w:t>
      </w:r>
      <w:r w:rsidRPr="00107B81">
        <w:t xml:space="preserve"> </w:t>
      </w:r>
      <w:r w:rsidRPr="00107B81">
        <w:t xml:space="preserve">were generated during </w:t>
      </w:r>
      <w:r w:rsidRPr="00107B81">
        <w:t>an attorney</w:t>
      </w:r>
      <w:r w:rsidRPr="00107B81">
        <w:t xml:space="preserve"> initiated and directed</w:t>
      </w:r>
      <w:r w:rsidRPr="00107B81">
        <w:t xml:space="preserve"> </w:t>
      </w:r>
      <w:r w:rsidRPr="00107B81">
        <w:t xml:space="preserve">internal investigation into the cause of the </w:t>
      </w:r>
      <w:r w:rsidRPr="00107B81">
        <w:t>Creek F</w:t>
      </w:r>
      <w:r w:rsidRPr="00107B81">
        <w:t>ire</w:t>
      </w:r>
      <w:r w:rsidRPr="00107B81">
        <w:t xml:space="preserve">.  </w:t>
      </w:r>
      <w:r w:rsidRPr="00107B81">
        <w:t>Plaintiffs moved to compel</w:t>
      </w:r>
      <w:r w:rsidRPr="00107B81">
        <w:t xml:space="preserve">, </w:t>
      </w:r>
      <w:r w:rsidRPr="00107B81">
        <w:t xml:space="preserve">arguing the attorney-client privilege and attorney work product doctrine did </w:t>
      </w:r>
      <w:r w:rsidRPr="00107B81">
        <w:t>not exempt</w:t>
      </w:r>
      <w:r w:rsidRPr="00107B81">
        <w:t xml:space="preserve"> </w:t>
      </w:r>
      <w:r w:rsidRPr="00107B81">
        <w:t>these documents</w:t>
      </w:r>
      <w:r w:rsidRPr="00107B81">
        <w:t xml:space="preserve"> from production</w:t>
      </w:r>
      <w:r w:rsidRPr="00107B81">
        <w:rPr>
          <w:szCs w:val="26"/>
        </w:rPr>
        <w:t xml:space="preserve">. </w:t>
      </w:r>
      <w:r w:rsidRPr="00107B81">
        <w:t xml:space="preserve"> </w:t>
      </w:r>
      <w:r w:rsidRPr="00107B81">
        <w:t xml:space="preserve">Among other things, plaintiffs argued that </w:t>
      </w:r>
      <w:r w:rsidRPr="00107B81">
        <w:t>SCE could not assert privilege</w:t>
      </w:r>
      <w:r w:rsidRPr="00107B81">
        <w:t xml:space="preserve"> and withhold documents</w:t>
      </w:r>
      <w:r w:rsidRPr="00107B81">
        <w:t xml:space="preserve"> </w:t>
      </w:r>
      <w:r w:rsidRPr="00107B81">
        <w:t>because</w:t>
      </w:r>
      <w:r w:rsidRPr="00107B81">
        <w:t xml:space="preserve"> </w:t>
      </w:r>
      <w:r w:rsidRPr="00107B81">
        <w:t xml:space="preserve">the primary reason </w:t>
      </w:r>
      <w:r w:rsidRPr="00107B81">
        <w:t>SCE</w:t>
      </w:r>
      <w:r w:rsidRPr="00107B81">
        <w:t xml:space="preserve"> conducted the investigation </w:t>
      </w:r>
      <w:r w:rsidRPr="00107B81">
        <w:t xml:space="preserve">was </w:t>
      </w:r>
      <w:r w:rsidRPr="00107B81">
        <w:t>to comply with s</w:t>
      </w:r>
      <w:r w:rsidRPr="00107B81">
        <w:t xml:space="preserve">tate law </w:t>
      </w:r>
      <w:r w:rsidRPr="00107B81">
        <w:t>requiring</w:t>
      </w:r>
      <w:r w:rsidRPr="00107B81">
        <w:t xml:space="preserve"> </w:t>
      </w:r>
      <w:r w:rsidRPr="00107B81">
        <w:t>it</w:t>
      </w:r>
      <w:r w:rsidRPr="00107B81">
        <w:t xml:space="preserve"> to publicly report any involvement it had in causing the fire</w:t>
      </w:r>
      <w:r w:rsidRPr="00107B81">
        <w:t>.</w:t>
      </w:r>
      <w:r w:rsidRPr="00107B81">
        <w:t xml:space="preserve">  The </w:t>
      </w:r>
      <w:r w:rsidRPr="00107B81">
        <w:lastRenderedPageBreak/>
        <w:t>trial court agreed</w:t>
      </w:r>
      <w:r w:rsidRPr="00107B81">
        <w:t xml:space="preserve"> the </w:t>
      </w:r>
      <w:r w:rsidRPr="00107B81">
        <w:t>dominant purpose of the</w:t>
      </w:r>
      <w:r w:rsidRPr="00107B81">
        <w:t xml:space="preserve"> investigation was to comply with public reporting requirements, held the </w:t>
      </w:r>
      <w:r w:rsidRPr="00107B81">
        <w:t xml:space="preserve">documents </w:t>
      </w:r>
      <w:r w:rsidRPr="00107B81">
        <w:t xml:space="preserve">thus </w:t>
      </w:r>
      <w:r w:rsidRPr="00107B81">
        <w:t>were not privileged</w:t>
      </w:r>
      <w:r w:rsidRPr="00107B81">
        <w:t>, and compelled production.</w:t>
      </w:r>
    </w:p>
    <w:p w14:paraId="00417DA3" w14:textId="77777777" w:rsidR="00447998" w:rsidRPr="00107B81" w:rsidRDefault="00447998" w:rsidP="00F73152">
      <w:pPr>
        <w:pStyle w:val="ListParagraph"/>
        <w:ind w:left="0" w:firstLine="720"/>
        <w:contextualSpacing w:val="0"/>
      </w:pPr>
      <w:r w:rsidRPr="00107B81">
        <w:t xml:space="preserve">We </w:t>
      </w:r>
      <w:r w:rsidRPr="00107B81">
        <w:t>conclude the trial court</w:t>
      </w:r>
      <w:r w:rsidRPr="00107B81">
        <w:t xml:space="preserve">’s order </w:t>
      </w:r>
      <w:r w:rsidRPr="00107B81">
        <w:t xml:space="preserve">improperly invaded </w:t>
      </w:r>
      <w:r w:rsidRPr="00107B81">
        <w:t xml:space="preserve">the </w:t>
      </w:r>
      <w:r w:rsidRPr="00107B81">
        <w:t xml:space="preserve">protection afforded by the </w:t>
      </w:r>
      <w:r w:rsidRPr="00107B81">
        <w:t xml:space="preserve">attorney work </w:t>
      </w:r>
      <w:r w:rsidRPr="00107B81">
        <w:t>product doctrine</w:t>
      </w:r>
      <w:r w:rsidRPr="00107B81">
        <w:t xml:space="preserve">.  </w:t>
      </w:r>
      <w:r w:rsidRPr="00107B81">
        <w:t>Even where the dominant purpose of an</w:t>
      </w:r>
      <w:r w:rsidRPr="00107B81">
        <w:t xml:space="preserve"> attorney</w:t>
      </w:r>
      <w:r>
        <w:t xml:space="preserve"> </w:t>
      </w:r>
      <w:r w:rsidRPr="00107B81">
        <w:t>directed</w:t>
      </w:r>
      <w:r w:rsidRPr="00107B81">
        <w:t xml:space="preserve"> internal investigation is to comply</w:t>
      </w:r>
      <w:r w:rsidRPr="00107B81">
        <w:t xml:space="preserve"> with</w:t>
      </w:r>
      <w:r w:rsidRPr="00107B81">
        <w:t xml:space="preserve"> a</w:t>
      </w:r>
      <w:r w:rsidRPr="00107B81">
        <w:t xml:space="preserve"> </w:t>
      </w:r>
      <w:r w:rsidRPr="00107B81">
        <w:t xml:space="preserve">client’s </w:t>
      </w:r>
      <w:r w:rsidRPr="00107B81">
        <w:t>public</w:t>
      </w:r>
      <w:r w:rsidRPr="00107B81">
        <w:t xml:space="preserve"> reporting requirement</w:t>
      </w:r>
      <w:r w:rsidRPr="00107B81">
        <w:t xml:space="preserve">, </w:t>
      </w:r>
      <w:r w:rsidRPr="00107B81">
        <w:t xml:space="preserve">attorney </w:t>
      </w:r>
      <w:r w:rsidRPr="00107B81">
        <w:t xml:space="preserve">work product </w:t>
      </w:r>
      <w:r w:rsidRPr="00107B81">
        <w:t xml:space="preserve">generated </w:t>
      </w:r>
      <w:r w:rsidRPr="00107B81">
        <w:t xml:space="preserve">in connection with </w:t>
      </w:r>
      <w:r w:rsidRPr="00107B81">
        <w:t>gather</w:t>
      </w:r>
      <w:r w:rsidRPr="00107B81">
        <w:t>ing</w:t>
      </w:r>
      <w:r w:rsidRPr="00107B81">
        <w:t xml:space="preserve"> facts </w:t>
      </w:r>
      <w:r w:rsidRPr="00107B81">
        <w:t xml:space="preserve">to assist </w:t>
      </w:r>
      <w:r w:rsidRPr="00107B81">
        <w:t xml:space="preserve">counsel </w:t>
      </w:r>
      <w:r w:rsidRPr="00107B81">
        <w:t xml:space="preserve">in </w:t>
      </w:r>
      <w:r w:rsidRPr="00107B81">
        <w:t>advi</w:t>
      </w:r>
      <w:r w:rsidRPr="00107B81">
        <w:t>s</w:t>
      </w:r>
      <w:r w:rsidRPr="00107B81">
        <w:t>ing</w:t>
      </w:r>
      <w:r w:rsidRPr="00107B81">
        <w:t xml:space="preserve"> </w:t>
      </w:r>
      <w:r w:rsidRPr="00107B81">
        <w:t xml:space="preserve">the </w:t>
      </w:r>
      <w:r w:rsidRPr="00107B81">
        <w:t>client</w:t>
      </w:r>
      <w:r w:rsidRPr="00107B81">
        <w:t xml:space="preserve"> </w:t>
      </w:r>
      <w:r w:rsidRPr="00107B81">
        <w:t>on how</w:t>
      </w:r>
      <w:r w:rsidRPr="00107B81">
        <w:t xml:space="preserve"> </w:t>
      </w:r>
      <w:r w:rsidRPr="00107B81">
        <w:t>to</w:t>
      </w:r>
      <w:r w:rsidRPr="00107B81">
        <w:t xml:space="preserve"> comply with </w:t>
      </w:r>
      <w:r w:rsidRPr="00107B81">
        <w:t xml:space="preserve">that </w:t>
      </w:r>
      <w:r w:rsidRPr="00107B81">
        <w:t xml:space="preserve">statutory or regulatory </w:t>
      </w:r>
      <w:r w:rsidRPr="00107B81">
        <w:t>reporting requirement</w:t>
      </w:r>
      <w:r w:rsidRPr="00107B81">
        <w:t xml:space="preserve"> remains protected</w:t>
      </w:r>
      <w:r w:rsidRPr="00107B81">
        <w:t>.</w:t>
      </w:r>
      <w:r w:rsidRPr="00107B81">
        <w:t xml:space="preserve">  As plaintiffs have not shown grounds for production of</w:t>
      </w:r>
      <w:r w:rsidRPr="00107B81">
        <w:t xml:space="preserve"> their adversary’s work product, the trial court erred in compelling its production.</w:t>
      </w:r>
      <w:r w:rsidRPr="00107B81">
        <w:t xml:space="preserve">  </w:t>
      </w:r>
      <w:r w:rsidRPr="00107B81">
        <w:rPr>
          <w:szCs w:val="26"/>
        </w:rPr>
        <w:t xml:space="preserve">Our conclusion </w:t>
      </w:r>
      <w:r w:rsidRPr="00107B81">
        <w:rPr>
          <w:szCs w:val="26"/>
        </w:rPr>
        <w:t xml:space="preserve">regarding </w:t>
      </w:r>
      <w:r w:rsidRPr="00107B81">
        <w:rPr>
          <w:szCs w:val="26"/>
        </w:rPr>
        <w:t xml:space="preserve">the attorney work product doctrine is dispositive </w:t>
      </w:r>
      <w:r w:rsidRPr="00107B81">
        <w:rPr>
          <w:szCs w:val="26"/>
        </w:rPr>
        <w:t>in this matter</w:t>
      </w:r>
      <w:r w:rsidRPr="00107B81">
        <w:rPr>
          <w:szCs w:val="26"/>
        </w:rPr>
        <w:t>, and therefore we do address, and express no opinion on, whether the order also</w:t>
      </w:r>
      <w:r w:rsidRPr="00107B81">
        <w:rPr>
          <w:szCs w:val="26"/>
        </w:rPr>
        <w:t xml:space="preserve"> violated the attorney-client privilege.</w:t>
      </w:r>
    </w:p>
    <w:p w14:paraId="6B7D94ED" w14:textId="77777777" w:rsidR="00447998" w:rsidRPr="00107B81" w:rsidRDefault="00447998" w:rsidP="00264FBA">
      <w:pPr>
        <w:pStyle w:val="ListParagraph"/>
        <w:spacing w:before="120" w:after="120"/>
        <w:ind w:left="0"/>
        <w:contextualSpacing w:val="0"/>
        <w:jc w:val="center"/>
      </w:pPr>
      <w:r w:rsidRPr="00107B81">
        <w:rPr>
          <w:b/>
          <w:bCs/>
        </w:rPr>
        <w:t>FACTUAL AND PROCEDURAL BACKGROUND</w:t>
      </w:r>
    </w:p>
    <w:p w14:paraId="4BC74993" w14:textId="77777777" w:rsidR="00447998" w:rsidRPr="00107B81" w:rsidRDefault="00447998" w:rsidP="00F73152">
      <w:pPr>
        <w:pStyle w:val="ListParagraph"/>
        <w:numPr>
          <w:ilvl w:val="0"/>
          <w:numId w:val="19"/>
        </w:numPr>
        <w:ind w:left="720" w:hanging="720"/>
        <w:contextualSpacing w:val="0"/>
        <w:rPr>
          <w:b/>
          <w:bCs/>
        </w:rPr>
      </w:pPr>
      <w:r w:rsidRPr="00107B81">
        <w:rPr>
          <w:b/>
          <w:bCs/>
        </w:rPr>
        <w:t xml:space="preserve">Legal Obligation </w:t>
      </w:r>
      <w:r w:rsidRPr="00107B81">
        <w:rPr>
          <w:b/>
          <w:bCs/>
        </w:rPr>
        <w:t xml:space="preserve">of Utilities </w:t>
      </w:r>
      <w:r w:rsidRPr="00107B81">
        <w:rPr>
          <w:b/>
          <w:bCs/>
        </w:rPr>
        <w:t xml:space="preserve">to Investigate </w:t>
      </w:r>
      <w:r w:rsidRPr="00107B81">
        <w:rPr>
          <w:b/>
          <w:bCs/>
        </w:rPr>
        <w:t>and</w:t>
      </w:r>
      <w:r w:rsidRPr="00107B81">
        <w:rPr>
          <w:b/>
          <w:bCs/>
        </w:rPr>
        <w:t xml:space="preserve"> </w:t>
      </w:r>
      <w:r w:rsidRPr="00107B81">
        <w:rPr>
          <w:b/>
          <w:bCs/>
        </w:rPr>
        <w:t>Report Certain Fires to the Public Utilities Commission</w:t>
      </w:r>
    </w:p>
    <w:p w14:paraId="375E6FD5" w14:textId="77777777" w:rsidR="00447998" w:rsidRPr="00107B81" w:rsidRDefault="00447998" w:rsidP="00F73152">
      <w:pPr>
        <w:ind w:firstLine="720"/>
      </w:pPr>
      <w:r w:rsidRPr="00107B81">
        <w:t xml:space="preserve">Public Utilities Code section 315 requires the Public Utilities </w:t>
      </w:r>
      <w:r w:rsidRPr="00107B81">
        <w:t>Commission (PUC or commission) to “investigate the cause of all accidents occurring within this State upon the property of any public utility or directly or indirectly arising from or connected with its maintenance or operation, resulting in loss of life or injury to person or property and requiring, in the judgment of the commission, investigation by it.”  The statute also requires public utilities to “file with the commission, under such rules as the commission prescribes, a report of each accident so occ</w:t>
      </w:r>
      <w:r w:rsidRPr="00107B81">
        <w:t>urring.”  (Pub. Util. Code, §</w:t>
      </w:r>
      <w:r w:rsidRPr="00107B81">
        <w:t> </w:t>
      </w:r>
      <w:r w:rsidRPr="00107B81">
        <w:t>315.)</w:t>
      </w:r>
    </w:p>
    <w:p w14:paraId="3CF519A4" w14:textId="77777777" w:rsidR="00447998" w:rsidRPr="00107B81" w:rsidRDefault="00447998" w:rsidP="00F73152">
      <w:pPr>
        <w:ind w:firstLine="720"/>
      </w:pPr>
      <w:r w:rsidRPr="00107B81">
        <w:lastRenderedPageBreak/>
        <w:t xml:space="preserve">In turn, PUC General Order 95, </w:t>
      </w:r>
      <w:r w:rsidRPr="00107B81">
        <w:t>section 1, r</w:t>
      </w:r>
      <w:r w:rsidRPr="00107B81">
        <w:t>ule 17 (</w:t>
      </w:r>
      <w:r w:rsidRPr="00107B81">
        <w:t xml:space="preserve">PUC </w:t>
      </w:r>
      <w:r w:rsidRPr="00107B81">
        <w:t>r</w:t>
      </w:r>
      <w:r w:rsidRPr="00107B81">
        <w:t>ule 17) requires</w:t>
      </w:r>
      <w:r w:rsidRPr="00107B81">
        <w:t xml:space="preserve"> utilities such as SCE </w:t>
      </w:r>
      <w:r w:rsidRPr="00107B81">
        <w:t>to “establish procedures for the investigation of major accidents and failures for the purpose of determining the causes and minimizing the possibility of recurrence.”  The rule defines “major accidents and failures” as “[</w:t>
      </w:r>
      <w:proofErr w:type="spellStart"/>
      <w:r w:rsidRPr="00107B81">
        <w:t>i</w:t>
      </w:r>
      <w:proofErr w:type="spellEnd"/>
      <w:r w:rsidRPr="00107B81">
        <w:t>]</w:t>
      </w:r>
      <w:proofErr w:type="spellStart"/>
      <w:r w:rsidRPr="00107B81">
        <w:t>ncidents</w:t>
      </w:r>
      <w:proofErr w:type="spellEnd"/>
      <w:r w:rsidRPr="00107B81">
        <w:t xml:space="preserve"> associated with utility facilities which cause property damage estimated at or about the time of the incident to be more than $50,000” and “[</w:t>
      </w:r>
      <w:proofErr w:type="spellStart"/>
      <w:r w:rsidRPr="00107B81">
        <w:t>i</w:t>
      </w:r>
      <w:proofErr w:type="spellEnd"/>
      <w:r w:rsidRPr="00107B81">
        <w:t>]</w:t>
      </w:r>
      <w:proofErr w:type="spellStart"/>
      <w:r w:rsidRPr="00107B81">
        <w:t>ncidents</w:t>
      </w:r>
      <w:proofErr w:type="spellEnd"/>
      <w:r w:rsidRPr="00107B81">
        <w:t xml:space="preserve"> resulting from electrical contact which cause personal injury w</w:t>
      </w:r>
      <w:r w:rsidRPr="00107B81">
        <w:t xml:space="preserve">hich require hospitalization </w:t>
      </w:r>
      <w:proofErr w:type="gramStart"/>
      <w:r w:rsidRPr="00107B81">
        <w:t>overnight, or</w:t>
      </w:r>
      <w:proofErr w:type="gramEnd"/>
      <w:r w:rsidRPr="00107B81">
        <w:t xml:space="preserve"> result in death.”  (</w:t>
      </w:r>
      <w:r w:rsidRPr="00107B81">
        <w:rPr>
          <w:i/>
          <w:iCs/>
        </w:rPr>
        <w:t>Ibid</w:t>
      </w:r>
      <w:r w:rsidRPr="00107B81">
        <w:t>.)</w:t>
      </w:r>
    </w:p>
    <w:p w14:paraId="21E58B90" w14:textId="77777777" w:rsidR="00447998" w:rsidRPr="00107B81" w:rsidRDefault="00447998" w:rsidP="00F73152">
      <w:pPr>
        <w:ind w:firstLine="720"/>
      </w:pPr>
      <w:r w:rsidRPr="00107B81">
        <w:t xml:space="preserve">PUC also requires utilities to notify it within two hours of an incident during normal working hours or within four hours outside of normal working hours, and to submit, within </w:t>
      </w:r>
      <w:r w:rsidRPr="00107B81">
        <w:t xml:space="preserve">20 </w:t>
      </w:r>
      <w:r w:rsidRPr="00107B81">
        <w:t>business days, “a written account of the incident which includes a detailed description of the nature of the incident, its cause and estimated damage.”  (Pub. Util. Com</w:t>
      </w:r>
      <w:r w:rsidRPr="00107B81">
        <w:t>.</w:t>
      </w:r>
      <w:r w:rsidRPr="00107B81">
        <w:t xml:space="preserve"> Final Resolution E-4184 (Aug</w:t>
      </w:r>
      <w:r w:rsidRPr="00107B81">
        <w:t>.</w:t>
      </w:r>
      <w:r w:rsidRPr="00107B81">
        <w:t xml:space="preserve"> 21, 2008) Decision No. 06-04-055, App. B.)  PUC defines </w:t>
      </w:r>
      <w:proofErr w:type="gramStart"/>
      <w:r w:rsidRPr="00107B81">
        <w:t>“</w:t>
      </w:r>
      <w:r>
        <w:t> </w:t>
      </w:r>
      <w:r w:rsidRPr="00107B81">
        <w:t>‘</w:t>
      </w:r>
      <w:proofErr w:type="gramEnd"/>
      <w:r w:rsidRPr="00107B81">
        <w:t>[r]</w:t>
      </w:r>
      <w:proofErr w:type="spellStart"/>
      <w:r w:rsidRPr="00107B81">
        <w:t>eportable</w:t>
      </w:r>
      <w:proofErr w:type="spellEnd"/>
      <w:r w:rsidRPr="00107B81">
        <w:t xml:space="preserve"> incidents’ ” as “those which: (a) result in fatality or personal injury rising to the level of in-patient hospitalization and attributable or allegedly attributable to utility owned facilities; or (b) are the subject of significant publi</w:t>
      </w:r>
      <w:r w:rsidRPr="00107B81">
        <w:t>c attention or media coverage and are attributable or allegedly attributable to utility facilities; or (c) involve damage to property of the utility or others estimated to exceed $50,000.”  (</w:t>
      </w:r>
      <w:r w:rsidRPr="00107B81">
        <w:rPr>
          <w:i/>
          <w:iCs/>
        </w:rPr>
        <w:t>Ibid.</w:t>
      </w:r>
      <w:r w:rsidRPr="00107B81">
        <w:t xml:space="preserve">)  </w:t>
      </w:r>
      <w:r w:rsidRPr="00107B81">
        <w:t xml:space="preserve">PUC </w:t>
      </w:r>
      <w:r w:rsidRPr="00107B81">
        <w:t>r</w:t>
      </w:r>
      <w:r w:rsidRPr="00107B81">
        <w:t>ule 17 provides, “Nothing in this rule is intended to extend, waive, or limit any claim of attorney client privilege and/or attorney work product privilege.”</w:t>
      </w:r>
    </w:p>
    <w:p w14:paraId="7E27C4C3" w14:textId="77777777" w:rsidR="00447998" w:rsidRPr="00107B81" w:rsidRDefault="00447998" w:rsidP="00F73152">
      <w:pPr>
        <w:pStyle w:val="ListParagraph"/>
        <w:keepNext/>
        <w:numPr>
          <w:ilvl w:val="0"/>
          <w:numId w:val="19"/>
        </w:numPr>
        <w:spacing w:before="120"/>
        <w:ind w:left="720" w:hanging="720"/>
        <w:contextualSpacing w:val="0"/>
        <w:rPr>
          <w:b/>
          <w:bCs/>
        </w:rPr>
      </w:pPr>
      <w:r w:rsidRPr="00107B81">
        <w:rPr>
          <w:b/>
          <w:bCs/>
        </w:rPr>
        <w:lastRenderedPageBreak/>
        <w:t>The Creek Fire and</w:t>
      </w:r>
      <w:r w:rsidRPr="00107B81">
        <w:rPr>
          <w:b/>
          <w:bCs/>
        </w:rPr>
        <w:t xml:space="preserve"> Events Leading to</w:t>
      </w:r>
      <w:r w:rsidRPr="00107B81">
        <w:rPr>
          <w:b/>
          <w:bCs/>
        </w:rPr>
        <w:t xml:space="preserve"> Plaintiffs’ Lawsuit Against SCE</w:t>
      </w:r>
    </w:p>
    <w:p w14:paraId="56B4688C" w14:textId="77777777" w:rsidR="00447998" w:rsidRPr="00107B81" w:rsidRDefault="00447998" w:rsidP="000B519E">
      <w:r w:rsidRPr="00107B81">
        <w:rPr>
          <w:szCs w:val="26"/>
        </w:rPr>
        <w:tab/>
      </w:r>
      <w:r w:rsidRPr="00107B81">
        <w:rPr>
          <w:szCs w:val="26"/>
        </w:rPr>
        <w:t>T</w:t>
      </w:r>
      <w:r w:rsidRPr="00107B81">
        <w:t xml:space="preserve">he Creek Fire ignited </w:t>
      </w:r>
      <w:r w:rsidRPr="00107B81">
        <w:t xml:space="preserve">on December 5, </w:t>
      </w:r>
      <w:proofErr w:type="gramStart"/>
      <w:r w:rsidRPr="00107B81">
        <w:t>2017</w:t>
      </w:r>
      <w:proofErr w:type="gramEnd"/>
      <w:r w:rsidRPr="00107B81">
        <w:t xml:space="preserve"> </w:t>
      </w:r>
      <w:r w:rsidRPr="00107B81">
        <w:t>in Los Angeles County</w:t>
      </w:r>
      <w:r w:rsidRPr="00107B81">
        <w:t>,</w:t>
      </w:r>
      <w:r w:rsidRPr="00107B81">
        <w:t xml:space="preserve"> and damaged multiple properties before being extinguished.  </w:t>
      </w:r>
      <w:r w:rsidRPr="00107B81">
        <w:t xml:space="preserve">On December 11 and </w:t>
      </w:r>
      <w:r w:rsidRPr="00107B81">
        <w:t>12, 2017</w:t>
      </w:r>
      <w:r w:rsidRPr="00107B81">
        <w:t xml:space="preserve">, </w:t>
      </w:r>
      <w:r w:rsidRPr="00107B81">
        <w:t xml:space="preserve">counsel for </w:t>
      </w:r>
      <w:r w:rsidRPr="00107B81">
        <w:t xml:space="preserve">several </w:t>
      </w:r>
      <w:r w:rsidRPr="00107B81">
        <w:t>of the</w:t>
      </w:r>
      <w:r w:rsidRPr="00107B81">
        <w:t xml:space="preserve"> </w:t>
      </w:r>
      <w:r w:rsidRPr="00107B81">
        <w:t xml:space="preserve">plaintiffs sent evidence </w:t>
      </w:r>
      <w:r w:rsidRPr="00107B81">
        <w:t xml:space="preserve">preservation letters to SCE </w:t>
      </w:r>
      <w:r w:rsidRPr="00107B81">
        <w:t xml:space="preserve">asserting that </w:t>
      </w:r>
      <w:r w:rsidRPr="00107B81">
        <w:t xml:space="preserve">they believed SCE’s </w:t>
      </w:r>
      <w:r w:rsidRPr="00107B81">
        <w:t xml:space="preserve">equipment </w:t>
      </w:r>
      <w:r w:rsidRPr="00107B81">
        <w:t xml:space="preserve">likely contributed to the ignition and spread of </w:t>
      </w:r>
      <w:r w:rsidRPr="00107B81">
        <w:t xml:space="preserve">the </w:t>
      </w:r>
      <w:r w:rsidRPr="00107B81">
        <w:t>fire</w:t>
      </w:r>
      <w:r w:rsidRPr="00107B81">
        <w:t xml:space="preserve">.  </w:t>
      </w:r>
      <w:r w:rsidRPr="00107B81">
        <w:t>The Department of Forestry and Fire Protection (CalFire) notified SCE on December</w:t>
      </w:r>
      <w:r>
        <w:t> </w:t>
      </w:r>
      <w:r w:rsidRPr="00107B81">
        <w:t xml:space="preserve">14, </w:t>
      </w:r>
      <w:proofErr w:type="gramStart"/>
      <w:r w:rsidRPr="00107B81">
        <w:t>2017</w:t>
      </w:r>
      <w:proofErr w:type="gramEnd"/>
      <w:r w:rsidRPr="00107B81">
        <w:t xml:space="preserve"> that its investigation of the fire’s area of potential origin did not include SCE </w:t>
      </w:r>
      <w:r w:rsidRPr="00107B81">
        <w:t>facilities.  CalFire nonetheless requested SCE provide information regarding some of its facilities and SCE responded.</w:t>
      </w:r>
    </w:p>
    <w:p w14:paraId="621B9880" w14:textId="77777777" w:rsidR="00447998" w:rsidRPr="00107B81" w:rsidRDefault="00447998" w:rsidP="001A6BEB">
      <w:pPr>
        <w:rPr>
          <w:szCs w:val="26"/>
        </w:rPr>
      </w:pPr>
      <w:r w:rsidRPr="00107B81">
        <w:tab/>
      </w:r>
      <w:r w:rsidRPr="00107B81">
        <w:rPr>
          <w:szCs w:val="26"/>
        </w:rPr>
        <w:t>The U</w:t>
      </w:r>
      <w:r w:rsidRPr="00107B81">
        <w:rPr>
          <w:szCs w:val="26"/>
        </w:rPr>
        <w:t>.</w:t>
      </w:r>
      <w:r w:rsidRPr="00107B81">
        <w:rPr>
          <w:szCs w:val="26"/>
        </w:rPr>
        <w:t>S</w:t>
      </w:r>
      <w:r w:rsidRPr="00107B81">
        <w:rPr>
          <w:szCs w:val="26"/>
        </w:rPr>
        <w:t>. Department of Agriculture</w:t>
      </w:r>
      <w:r w:rsidRPr="00107B81">
        <w:rPr>
          <w:szCs w:val="26"/>
        </w:rPr>
        <w:t xml:space="preserve"> Forest Service (USFS) investigated and prepared a report dated January 13, 2018, in which it concluded the cause of the fire was Los Angeles Department of Water and Power (LADWP) electrical transmission lines.</w:t>
      </w:r>
      <w:r>
        <w:rPr>
          <w:rStyle w:val="FootnoteReference"/>
          <w:b/>
          <w:position w:val="8"/>
          <w:sz w:val="20"/>
          <w:szCs w:val="26"/>
          <w:vertAlign w:val="baseline"/>
        </w:rPr>
        <w:footnoteReference w:id="2"/>
      </w:r>
      <w:r w:rsidRPr="00107B81">
        <w:rPr>
          <w:szCs w:val="26"/>
        </w:rPr>
        <w:t xml:space="preserve">  </w:t>
      </w:r>
      <w:r w:rsidRPr="00107B81">
        <w:t>In 2018, a</w:t>
      </w:r>
      <w:r w:rsidRPr="00107B81">
        <w:rPr>
          <w:szCs w:val="26"/>
        </w:rPr>
        <w:t xml:space="preserve"> lawsuit was filed </w:t>
      </w:r>
      <w:r w:rsidRPr="00107B81">
        <w:rPr>
          <w:szCs w:val="26"/>
        </w:rPr>
        <w:t xml:space="preserve">against LADWP </w:t>
      </w:r>
      <w:r w:rsidRPr="00107B81">
        <w:rPr>
          <w:szCs w:val="26"/>
        </w:rPr>
        <w:t xml:space="preserve">for allegedly causing the Creek Fire </w:t>
      </w:r>
      <w:r w:rsidRPr="00107B81">
        <w:rPr>
          <w:szCs w:val="26"/>
        </w:rPr>
        <w:t>and, on</w:t>
      </w:r>
      <w:r w:rsidRPr="00107B81">
        <w:rPr>
          <w:szCs w:val="26"/>
        </w:rPr>
        <w:t xml:space="preserve"> or about July 21, 2020, </w:t>
      </w:r>
      <w:r w:rsidRPr="00107B81">
        <w:rPr>
          <w:szCs w:val="26"/>
        </w:rPr>
        <w:t xml:space="preserve">a subpoena was served </w:t>
      </w:r>
      <w:r w:rsidRPr="00107B81">
        <w:rPr>
          <w:szCs w:val="26"/>
        </w:rPr>
        <w:t xml:space="preserve">on SCE </w:t>
      </w:r>
      <w:r w:rsidRPr="00107B81">
        <w:rPr>
          <w:szCs w:val="26"/>
        </w:rPr>
        <w:t xml:space="preserve">seeking </w:t>
      </w:r>
      <w:r w:rsidRPr="00107B81">
        <w:rPr>
          <w:szCs w:val="26"/>
        </w:rPr>
        <w:t xml:space="preserve">data regarding specific elements of SCE’s electrical system in the area of the fire, </w:t>
      </w:r>
      <w:r w:rsidRPr="00107B81">
        <w:t xml:space="preserve">including </w:t>
      </w:r>
      <w:r w:rsidRPr="00107B81">
        <w:t xml:space="preserve">what the parties call </w:t>
      </w:r>
      <w:r w:rsidRPr="00107B81">
        <w:t>the “Lopez Circuit.”</w:t>
      </w:r>
    </w:p>
    <w:p w14:paraId="57B657F1" w14:textId="77777777" w:rsidR="00447998" w:rsidRPr="00107B81" w:rsidRDefault="00447998" w:rsidP="00753539">
      <w:pPr>
        <w:rPr>
          <w:szCs w:val="26"/>
        </w:rPr>
      </w:pPr>
      <w:r w:rsidRPr="00107B81">
        <w:rPr>
          <w:szCs w:val="26"/>
        </w:rPr>
        <w:tab/>
        <w:t>Although the details are not</w:t>
      </w:r>
      <w:r w:rsidRPr="00107B81">
        <w:rPr>
          <w:szCs w:val="26"/>
        </w:rPr>
        <w:t xml:space="preserve"> part of the record, it appears that </w:t>
      </w:r>
      <w:r w:rsidRPr="00107B81">
        <w:rPr>
          <w:szCs w:val="26"/>
        </w:rPr>
        <w:t xml:space="preserve">in June 2019 </w:t>
      </w:r>
      <w:r w:rsidRPr="00107B81">
        <w:rPr>
          <w:szCs w:val="26"/>
        </w:rPr>
        <w:t xml:space="preserve">SCE was sued </w:t>
      </w:r>
      <w:r w:rsidRPr="00107B81">
        <w:rPr>
          <w:szCs w:val="26"/>
        </w:rPr>
        <w:t>for c</w:t>
      </w:r>
      <w:r w:rsidRPr="00107B81">
        <w:rPr>
          <w:szCs w:val="26"/>
        </w:rPr>
        <w:t>ontributing to the</w:t>
      </w:r>
      <w:r w:rsidRPr="00107B81">
        <w:rPr>
          <w:szCs w:val="26"/>
        </w:rPr>
        <w:t xml:space="preserve"> Creek Fire’s</w:t>
      </w:r>
      <w:r w:rsidRPr="00107B81">
        <w:rPr>
          <w:szCs w:val="26"/>
        </w:rPr>
        <w:t xml:space="preserve"> ignition and spread.</w:t>
      </w:r>
      <w:r w:rsidRPr="00107B81">
        <w:rPr>
          <w:szCs w:val="26"/>
        </w:rPr>
        <w:t xml:space="preserve">  </w:t>
      </w:r>
      <w:r w:rsidRPr="00107B81">
        <w:rPr>
          <w:szCs w:val="26"/>
        </w:rPr>
        <w:t>SCE submit</w:t>
      </w:r>
      <w:r w:rsidRPr="00107B81">
        <w:rPr>
          <w:szCs w:val="26"/>
        </w:rPr>
        <w:t>ted</w:t>
      </w:r>
      <w:r w:rsidRPr="00107B81">
        <w:rPr>
          <w:szCs w:val="26"/>
        </w:rPr>
        <w:t xml:space="preserve"> an accident report to </w:t>
      </w:r>
      <w:r w:rsidRPr="00107B81">
        <w:rPr>
          <w:szCs w:val="26"/>
        </w:rPr>
        <w:lastRenderedPageBreak/>
        <w:t xml:space="preserve">PUC regarding the </w:t>
      </w:r>
      <w:r w:rsidRPr="00107B81">
        <w:rPr>
          <w:szCs w:val="26"/>
        </w:rPr>
        <w:t>fire</w:t>
      </w:r>
      <w:r w:rsidRPr="00107B81">
        <w:rPr>
          <w:szCs w:val="26"/>
        </w:rPr>
        <w:t xml:space="preserve"> </w:t>
      </w:r>
      <w:r w:rsidRPr="00107B81">
        <w:rPr>
          <w:szCs w:val="26"/>
        </w:rPr>
        <w:t>on</w:t>
      </w:r>
      <w:r w:rsidRPr="00107B81">
        <w:rPr>
          <w:szCs w:val="26"/>
        </w:rPr>
        <w:t xml:space="preserve"> December 11, 2020</w:t>
      </w:r>
      <w:r w:rsidRPr="00107B81">
        <w:rPr>
          <w:szCs w:val="26"/>
        </w:rPr>
        <w:t>—</w:t>
      </w:r>
      <w:r w:rsidRPr="00107B81">
        <w:rPr>
          <w:szCs w:val="26"/>
        </w:rPr>
        <w:t xml:space="preserve">just over three years after the fire began and </w:t>
      </w:r>
      <w:r w:rsidRPr="00107B81">
        <w:rPr>
          <w:szCs w:val="26"/>
        </w:rPr>
        <w:t xml:space="preserve">well </w:t>
      </w:r>
      <w:r w:rsidRPr="00107B81">
        <w:rPr>
          <w:szCs w:val="26"/>
        </w:rPr>
        <w:t>beyond</w:t>
      </w:r>
      <w:r w:rsidRPr="00107B81">
        <w:rPr>
          <w:szCs w:val="26"/>
        </w:rPr>
        <w:t xml:space="preserve"> the 20 business day</w:t>
      </w:r>
      <w:r w:rsidRPr="00107B81">
        <w:rPr>
          <w:szCs w:val="26"/>
        </w:rPr>
        <w:t>s</w:t>
      </w:r>
      <w:r w:rsidRPr="00107B81">
        <w:rPr>
          <w:szCs w:val="26"/>
        </w:rPr>
        <w:t xml:space="preserve"> </w:t>
      </w:r>
      <w:r w:rsidRPr="00107B81">
        <w:rPr>
          <w:szCs w:val="26"/>
        </w:rPr>
        <w:t xml:space="preserve">required by </w:t>
      </w:r>
      <w:r w:rsidRPr="00107B81">
        <w:rPr>
          <w:szCs w:val="26"/>
        </w:rPr>
        <w:t>PUC</w:t>
      </w:r>
      <w:r w:rsidRPr="00107B81">
        <w:rPr>
          <w:szCs w:val="26"/>
        </w:rPr>
        <w:t xml:space="preserve">.  Scott Hayashi, a </w:t>
      </w:r>
      <w:r w:rsidRPr="00107B81">
        <w:rPr>
          <w:szCs w:val="26"/>
        </w:rPr>
        <w:t>s</w:t>
      </w:r>
      <w:r w:rsidRPr="00107B81">
        <w:rPr>
          <w:szCs w:val="26"/>
        </w:rPr>
        <w:t xml:space="preserve">enior </w:t>
      </w:r>
      <w:r w:rsidRPr="00107B81">
        <w:rPr>
          <w:szCs w:val="26"/>
        </w:rPr>
        <w:t>a</w:t>
      </w:r>
      <w:r w:rsidRPr="00107B81">
        <w:rPr>
          <w:szCs w:val="26"/>
        </w:rPr>
        <w:t xml:space="preserve">dvisor in SCE’s </w:t>
      </w:r>
      <w:r w:rsidRPr="00107B81">
        <w:rPr>
          <w:szCs w:val="26"/>
        </w:rPr>
        <w:t>c</w:t>
      </w:r>
      <w:r w:rsidRPr="00107B81">
        <w:rPr>
          <w:szCs w:val="26"/>
        </w:rPr>
        <w:t xml:space="preserve">laims </w:t>
      </w:r>
      <w:r w:rsidRPr="00107B81">
        <w:rPr>
          <w:szCs w:val="26"/>
        </w:rPr>
        <w:t>d</w:t>
      </w:r>
      <w:r w:rsidRPr="00107B81">
        <w:rPr>
          <w:szCs w:val="26"/>
        </w:rPr>
        <w:t xml:space="preserve">epartment, </w:t>
      </w:r>
      <w:r w:rsidRPr="00107B81">
        <w:rPr>
          <w:szCs w:val="26"/>
        </w:rPr>
        <w:t xml:space="preserve">wrote in </w:t>
      </w:r>
      <w:r w:rsidRPr="00107B81">
        <w:rPr>
          <w:szCs w:val="26"/>
        </w:rPr>
        <w:t xml:space="preserve">the report </w:t>
      </w:r>
      <w:r w:rsidRPr="00107B81">
        <w:rPr>
          <w:szCs w:val="26"/>
        </w:rPr>
        <w:t xml:space="preserve">that it was being </w:t>
      </w:r>
      <w:r w:rsidRPr="00107B81">
        <w:rPr>
          <w:szCs w:val="26"/>
        </w:rPr>
        <w:t>made “under Public Utilities Code [s]</w:t>
      </w:r>
      <w:proofErr w:type="spellStart"/>
      <w:r w:rsidRPr="00107B81">
        <w:rPr>
          <w:szCs w:val="26"/>
        </w:rPr>
        <w:t>ection</w:t>
      </w:r>
      <w:proofErr w:type="spellEnd"/>
      <w:r w:rsidRPr="00107B81">
        <w:rPr>
          <w:szCs w:val="26"/>
        </w:rPr>
        <w:t xml:space="preserve"> 315 because litigation has been filed and served on SCE in which it is alleged that damage to third-party property is attributable to SCE facilities.”  The report indicated that USFS initially investigated the cause and origin of the fire and determined that SCE facilities were not involved.  The </w:t>
      </w:r>
      <w:r w:rsidRPr="00107B81">
        <w:rPr>
          <w:szCs w:val="26"/>
        </w:rPr>
        <w:t>report</w:t>
      </w:r>
      <w:r w:rsidRPr="00107B81">
        <w:rPr>
          <w:szCs w:val="26"/>
        </w:rPr>
        <w:t xml:space="preserve"> stated, “Given the allegations in the litigation, SCE is evalu</w:t>
      </w:r>
      <w:r w:rsidRPr="00107B81">
        <w:rPr>
          <w:szCs w:val="26"/>
        </w:rPr>
        <w:t xml:space="preserve">ating activity on the Lopez </w:t>
      </w:r>
      <w:r w:rsidRPr="00107B81">
        <w:rPr>
          <w:szCs w:val="26"/>
        </w:rPr>
        <w:t>[</w:t>
      </w:r>
      <w:r w:rsidRPr="00107B81">
        <w:rPr>
          <w:szCs w:val="26"/>
        </w:rPr>
        <w:t>C</w:t>
      </w:r>
      <w:r w:rsidRPr="00107B81">
        <w:rPr>
          <w:szCs w:val="26"/>
        </w:rPr>
        <w:t>]</w:t>
      </w:r>
      <w:proofErr w:type="spellStart"/>
      <w:r w:rsidRPr="00107B81">
        <w:rPr>
          <w:szCs w:val="26"/>
        </w:rPr>
        <w:t>ircuit</w:t>
      </w:r>
      <w:proofErr w:type="spellEnd"/>
      <w:r w:rsidRPr="00107B81">
        <w:rPr>
          <w:szCs w:val="26"/>
        </w:rPr>
        <w:t>, including a branch line fuse operation outside the vicinity of the origin of the fire and elevated amperage readings on the circuit on December 5, 2017.”</w:t>
      </w:r>
    </w:p>
    <w:p w14:paraId="0958928B" w14:textId="77777777" w:rsidR="00447998" w:rsidRPr="00107B81" w:rsidRDefault="00447998" w:rsidP="001060CE">
      <w:pPr>
        <w:ind w:firstLine="720"/>
      </w:pPr>
      <w:r w:rsidRPr="00107B81">
        <w:rPr>
          <w:szCs w:val="26"/>
        </w:rPr>
        <w:t xml:space="preserve">Plaintiffs filed their initial </w:t>
      </w:r>
      <w:r w:rsidRPr="00107B81">
        <w:rPr>
          <w:szCs w:val="26"/>
        </w:rPr>
        <w:t>subrogation c</w:t>
      </w:r>
      <w:r w:rsidRPr="00107B81">
        <w:rPr>
          <w:szCs w:val="26"/>
        </w:rPr>
        <w:t>omplain</w:t>
      </w:r>
      <w:r w:rsidRPr="00107B81">
        <w:rPr>
          <w:szCs w:val="26"/>
        </w:rPr>
        <w:t>t against SCE</w:t>
      </w:r>
      <w:r w:rsidRPr="00107B81">
        <w:rPr>
          <w:szCs w:val="26"/>
        </w:rPr>
        <w:t xml:space="preserve"> on May 14, 2021</w:t>
      </w:r>
      <w:r w:rsidRPr="00107B81">
        <w:rPr>
          <w:szCs w:val="26"/>
        </w:rPr>
        <w:t xml:space="preserve">.  </w:t>
      </w:r>
      <w:r w:rsidRPr="00107B81">
        <w:rPr>
          <w:szCs w:val="26"/>
        </w:rPr>
        <w:t xml:space="preserve">A </w:t>
      </w:r>
      <w:r w:rsidRPr="00107B81">
        <w:t>m</w:t>
      </w:r>
      <w:r w:rsidRPr="00107B81">
        <w:t xml:space="preserve">aster </w:t>
      </w:r>
      <w:r w:rsidRPr="00107B81">
        <w:t>s</w:t>
      </w:r>
      <w:r w:rsidRPr="00107B81">
        <w:t xml:space="preserve">ubrogation </w:t>
      </w:r>
      <w:r w:rsidRPr="00107B81">
        <w:t>c</w:t>
      </w:r>
      <w:r w:rsidRPr="00107B81">
        <w:t>omplaint</w:t>
      </w:r>
      <w:r w:rsidRPr="00107B81">
        <w:t xml:space="preserve"> filed</w:t>
      </w:r>
      <w:r w:rsidRPr="00107B81">
        <w:t xml:space="preserve"> </w:t>
      </w:r>
      <w:r w:rsidRPr="00107B81">
        <w:t>on April 18, 2022,</w:t>
      </w:r>
      <w:r w:rsidRPr="00107B81">
        <w:t xml:space="preserve"> </w:t>
      </w:r>
      <w:r w:rsidRPr="00107B81">
        <w:t xml:space="preserve">which </w:t>
      </w:r>
      <w:r w:rsidRPr="00107B81">
        <w:t xml:space="preserve">plaintiffs joined, </w:t>
      </w:r>
      <w:r w:rsidRPr="00107B81">
        <w:t xml:space="preserve">alleged </w:t>
      </w:r>
      <w:r w:rsidRPr="00107B81">
        <w:t xml:space="preserve">that </w:t>
      </w:r>
      <w:r w:rsidRPr="00107B81">
        <w:t>an electrical arc on SCE’s Lopez Circuit “ignite[d] nearby trees, brush, and vegetation giving rise to the Creek Fire.”</w:t>
      </w:r>
    </w:p>
    <w:p w14:paraId="25FA97BE" w14:textId="77777777" w:rsidR="00447998" w:rsidRPr="00107B81" w:rsidRDefault="00447998" w:rsidP="00166046">
      <w:pPr>
        <w:pStyle w:val="ListParagraph"/>
        <w:numPr>
          <w:ilvl w:val="0"/>
          <w:numId w:val="19"/>
        </w:numPr>
        <w:spacing w:before="120"/>
        <w:ind w:left="720" w:hanging="720"/>
        <w:contextualSpacing w:val="0"/>
        <w:rPr>
          <w:b/>
          <w:bCs/>
        </w:rPr>
      </w:pPr>
      <w:r w:rsidRPr="00107B81">
        <w:rPr>
          <w:b/>
          <w:bCs/>
        </w:rPr>
        <w:t xml:space="preserve">SCE’s </w:t>
      </w:r>
      <w:r w:rsidRPr="00107B81">
        <w:rPr>
          <w:b/>
          <w:bCs/>
        </w:rPr>
        <w:t>Withholding of Documents from Production</w:t>
      </w:r>
    </w:p>
    <w:p w14:paraId="199C252C" w14:textId="77777777" w:rsidR="00447998" w:rsidRPr="00107B81" w:rsidRDefault="00447998" w:rsidP="001060CE">
      <w:pPr>
        <w:ind w:firstLine="720"/>
        <w:rPr>
          <w:b/>
          <w:bCs/>
        </w:rPr>
      </w:pPr>
      <w:r w:rsidRPr="00107B81">
        <w:t>During discovery</w:t>
      </w:r>
      <w:r w:rsidRPr="00107B81">
        <w:t xml:space="preserve"> in the subrogation case</w:t>
      </w:r>
      <w:r w:rsidRPr="00107B81">
        <w:t xml:space="preserve">, </w:t>
      </w:r>
      <w:r w:rsidRPr="00107B81">
        <w:t xml:space="preserve">SCE withheld </w:t>
      </w:r>
      <w:r w:rsidRPr="00107B81">
        <w:t xml:space="preserve">certain </w:t>
      </w:r>
      <w:r w:rsidRPr="00107B81">
        <w:t>documents, primarily emails, which it claimed</w:t>
      </w:r>
      <w:r w:rsidRPr="00107B81">
        <w:t xml:space="preserve"> </w:t>
      </w:r>
      <w:r w:rsidRPr="00107B81">
        <w:rPr>
          <w:szCs w:val="26"/>
        </w:rPr>
        <w:t xml:space="preserve">were </w:t>
      </w:r>
      <w:r w:rsidRPr="00107B81">
        <w:rPr>
          <w:szCs w:val="26"/>
        </w:rPr>
        <w:t xml:space="preserve">created as </w:t>
      </w:r>
      <w:r w:rsidRPr="00107B81">
        <w:rPr>
          <w:szCs w:val="26"/>
        </w:rPr>
        <w:t>part of an investigation of the Creek Fire initiated by its in-house counsel</w:t>
      </w:r>
      <w:r w:rsidRPr="00107B81">
        <w:rPr>
          <w:szCs w:val="26"/>
        </w:rPr>
        <w:t xml:space="preserve">.  </w:t>
      </w:r>
      <w:r w:rsidRPr="00107B81">
        <w:rPr>
          <w:szCs w:val="26"/>
        </w:rPr>
        <w:t>SCE asserted the documents were protected by the attorney-client privilege and the attorney work</w:t>
      </w:r>
      <w:r w:rsidRPr="00107B81">
        <w:rPr>
          <w:szCs w:val="26"/>
        </w:rPr>
        <w:t xml:space="preserve"> </w:t>
      </w:r>
      <w:r w:rsidRPr="00107B81">
        <w:rPr>
          <w:szCs w:val="26"/>
        </w:rPr>
        <w:t xml:space="preserve">product doctrine. </w:t>
      </w:r>
      <w:r w:rsidRPr="00107B81">
        <w:t xml:space="preserve"> </w:t>
      </w:r>
      <w:r w:rsidRPr="00107B81">
        <w:t>A</w:t>
      </w:r>
      <w:r w:rsidRPr="00107B81">
        <w:t xml:space="preserve"> subset of these documents (108 in total)</w:t>
      </w:r>
      <w:r w:rsidRPr="00107B81">
        <w:t>,</w:t>
      </w:r>
      <w:r w:rsidRPr="00107B81">
        <w:t xml:space="preserve"> </w:t>
      </w:r>
      <w:proofErr w:type="gramStart"/>
      <w:r w:rsidRPr="00107B81">
        <w:t xml:space="preserve">dated </w:t>
      </w:r>
      <w:r w:rsidRPr="00107B81">
        <w:t>from</w:t>
      </w:r>
      <w:proofErr w:type="gramEnd"/>
      <w:r w:rsidRPr="00107B81">
        <w:t xml:space="preserve"> between December </w:t>
      </w:r>
      <w:r w:rsidRPr="00107B81">
        <w:t>7</w:t>
      </w:r>
      <w:r w:rsidRPr="00107B81">
        <w:t xml:space="preserve">, </w:t>
      </w:r>
      <w:proofErr w:type="gramStart"/>
      <w:r w:rsidRPr="00107B81">
        <w:t>2017</w:t>
      </w:r>
      <w:proofErr w:type="gramEnd"/>
      <w:r w:rsidRPr="00107B81">
        <w:t xml:space="preserve"> and June 29, 2021</w:t>
      </w:r>
      <w:r w:rsidRPr="00107B81">
        <w:t>,</w:t>
      </w:r>
      <w:r w:rsidRPr="00107B81">
        <w:t xml:space="preserve"> </w:t>
      </w:r>
      <w:r w:rsidRPr="00107B81">
        <w:t>are relevant here.  The</w:t>
      </w:r>
      <w:r w:rsidRPr="00107B81">
        <w:t xml:space="preserve"> documents at issue </w:t>
      </w:r>
      <w:r w:rsidRPr="00107B81">
        <w:t xml:space="preserve">include </w:t>
      </w:r>
      <w:r w:rsidRPr="00107B81">
        <w:t xml:space="preserve">emails between employees in SCE’s </w:t>
      </w:r>
      <w:r w:rsidRPr="00107B81">
        <w:t>c</w:t>
      </w:r>
      <w:r w:rsidRPr="00107B81">
        <w:t xml:space="preserve">laims </w:t>
      </w:r>
      <w:r w:rsidRPr="00107B81">
        <w:t>d</w:t>
      </w:r>
      <w:r w:rsidRPr="00107B81">
        <w:t xml:space="preserve">epartment (Claims employees) on which no attorney was copied, emails between Claims employees and SCE </w:t>
      </w:r>
      <w:r w:rsidRPr="00107B81">
        <w:lastRenderedPageBreak/>
        <w:t xml:space="preserve">employees in other </w:t>
      </w:r>
      <w:r w:rsidRPr="00107B81">
        <w:t xml:space="preserve">non-legal </w:t>
      </w:r>
      <w:r w:rsidRPr="00107B81">
        <w:t>departments</w:t>
      </w:r>
      <w:r w:rsidRPr="00107B81">
        <w:t>, and emails that did not include any Claims employees or attorneys</w:t>
      </w:r>
      <w:r w:rsidRPr="00107B81">
        <w:t xml:space="preserve">.  </w:t>
      </w:r>
      <w:r w:rsidRPr="00107B81">
        <w:t xml:space="preserve">Also included </w:t>
      </w:r>
      <w:r w:rsidRPr="00107B81">
        <w:t>are</w:t>
      </w:r>
      <w:r w:rsidRPr="00107B81">
        <w:t xml:space="preserve"> t</w:t>
      </w:r>
      <w:r w:rsidRPr="00107B81">
        <w:t>wo documents purportedly drafted or edited by Hayashi</w:t>
      </w:r>
      <w:r w:rsidRPr="00107B81">
        <w:t xml:space="preserve">, and </w:t>
      </w:r>
      <w:r w:rsidRPr="00107B81">
        <w:t xml:space="preserve">a </w:t>
      </w:r>
      <w:r w:rsidRPr="00107B81">
        <w:t>third</w:t>
      </w:r>
      <w:r w:rsidRPr="00107B81">
        <w:t xml:space="preserve"> described </w:t>
      </w:r>
      <w:r w:rsidRPr="00107B81">
        <w:t xml:space="preserve">only </w:t>
      </w:r>
      <w:r w:rsidRPr="00107B81">
        <w:t xml:space="preserve">as an “[e]mail or document reflecting communication with SCE </w:t>
      </w:r>
      <w:r w:rsidRPr="00107B81">
        <w:t>[l]</w:t>
      </w:r>
      <w:r w:rsidRPr="00107B81">
        <w:t>egal.”</w:t>
      </w:r>
    </w:p>
    <w:p w14:paraId="164AD7F6" w14:textId="77777777" w:rsidR="00447998" w:rsidRPr="00107B81" w:rsidRDefault="00447998" w:rsidP="00F73152">
      <w:pPr>
        <w:pStyle w:val="ListParagraph"/>
        <w:numPr>
          <w:ilvl w:val="0"/>
          <w:numId w:val="19"/>
        </w:numPr>
        <w:spacing w:before="120"/>
        <w:ind w:left="720" w:hanging="720"/>
        <w:contextualSpacing w:val="0"/>
        <w:rPr>
          <w:b/>
          <w:bCs/>
        </w:rPr>
      </w:pPr>
      <w:r w:rsidRPr="00107B81">
        <w:rPr>
          <w:b/>
          <w:bCs/>
        </w:rPr>
        <w:t>Plaintiffs’ Motion to Compel</w:t>
      </w:r>
    </w:p>
    <w:p w14:paraId="504BBD13" w14:textId="77777777" w:rsidR="00447998" w:rsidRPr="00107B81" w:rsidRDefault="00447998" w:rsidP="00F73152">
      <w:pPr>
        <w:ind w:firstLine="720"/>
        <w:rPr>
          <w:szCs w:val="26"/>
        </w:rPr>
      </w:pPr>
      <w:r w:rsidRPr="00107B81">
        <w:rPr>
          <w:szCs w:val="26"/>
        </w:rPr>
        <w:t>P</w:t>
      </w:r>
      <w:r w:rsidRPr="00107B81">
        <w:rPr>
          <w:szCs w:val="26"/>
        </w:rPr>
        <w:t xml:space="preserve">laintiffs moved to compel production of </w:t>
      </w:r>
      <w:r w:rsidRPr="00107B81">
        <w:rPr>
          <w:szCs w:val="26"/>
        </w:rPr>
        <w:t xml:space="preserve">these </w:t>
      </w:r>
      <w:r w:rsidRPr="00107B81">
        <w:rPr>
          <w:szCs w:val="26"/>
        </w:rPr>
        <w:t>108 documents</w:t>
      </w:r>
      <w:r w:rsidRPr="00107B81">
        <w:rPr>
          <w:szCs w:val="26"/>
        </w:rPr>
        <w:t xml:space="preserve">. </w:t>
      </w:r>
      <w:r w:rsidRPr="00107B81">
        <w:rPr>
          <w:szCs w:val="26"/>
        </w:rPr>
        <w:t xml:space="preserve"> </w:t>
      </w:r>
      <w:r w:rsidRPr="00107B81">
        <w:rPr>
          <w:szCs w:val="26"/>
        </w:rPr>
        <w:t>P</w:t>
      </w:r>
      <w:r w:rsidRPr="00107B81">
        <w:rPr>
          <w:szCs w:val="26"/>
        </w:rPr>
        <w:t xml:space="preserve">laintiffs contended that </w:t>
      </w:r>
      <w:r w:rsidRPr="00107B81">
        <w:rPr>
          <w:szCs w:val="26"/>
        </w:rPr>
        <w:t xml:space="preserve">the dominant purpose of </w:t>
      </w:r>
      <w:r w:rsidRPr="00107B81">
        <w:rPr>
          <w:szCs w:val="26"/>
        </w:rPr>
        <w:t>SCE</w:t>
      </w:r>
      <w:r w:rsidRPr="00107B81">
        <w:rPr>
          <w:szCs w:val="26"/>
        </w:rPr>
        <w:t xml:space="preserve">’s investigation </w:t>
      </w:r>
      <w:r w:rsidRPr="00107B81">
        <w:rPr>
          <w:szCs w:val="26"/>
        </w:rPr>
        <w:t>was</w:t>
      </w:r>
      <w:r w:rsidRPr="00107B81">
        <w:rPr>
          <w:szCs w:val="26"/>
        </w:rPr>
        <w:t xml:space="preserve"> </w:t>
      </w:r>
      <w:r w:rsidRPr="00107B81">
        <w:rPr>
          <w:szCs w:val="26"/>
        </w:rPr>
        <w:t xml:space="preserve">to comply </w:t>
      </w:r>
      <w:r w:rsidRPr="00107B81">
        <w:rPr>
          <w:szCs w:val="26"/>
        </w:rPr>
        <w:t xml:space="preserve">with </w:t>
      </w:r>
      <w:r w:rsidRPr="00107B81">
        <w:rPr>
          <w:szCs w:val="26"/>
        </w:rPr>
        <w:t xml:space="preserve">its </w:t>
      </w:r>
      <w:r w:rsidRPr="00107B81">
        <w:rPr>
          <w:szCs w:val="26"/>
        </w:rPr>
        <w:t xml:space="preserve">legal </w:t>
      </w:r>
      <w:r w:rsidRPr="00107B81">
        <w:rPr>
          <w:szCs w:val="26"/>
        </w:rPr>
        <w:t xml:space="preserve">reporting </w:t>
      </w:r>
      <w:r w:rsidRPr="00107B81">
        <w:rPr>
          <w:szCs w:val="26"/>
        </w:rPr>
        <w:t>obligation to PUC</w:t>
      </w:r>
      <w:r w:rsidRPr="00107B81">
        <w:rPr>
          <w:szCs w:val="26"/>
        </w:rPr>
        <w:t>, and thus</w:t>
      </w:r>
      <w:r w:rsidRPr="00107B81">
        <w:rPr>
          <w:szCs w:val="26"/>
        </w:rPr>
        <w:t xml:space="preserve"> </w:t>
      </w:r>
      <w:r w:rsidRPr="00107B81">
        <w:rPr>
          <w:szCs w:val="26"/>
        </w:rPr>
        <w:t xml:space="preserve">the investigation </w:t>
      </w:r>
      <w:r w:rsidRPr="00107B81">
        <w:rPr>
          <w:szCs w:val="26"/>
        </w:rPr>
        <w:t xml:space="preserve">could not be privileged because </w:t>
      </w:r>
      <w:r w:rsidRPr="00107B81">
        <w:rPr>
          <w:szCs w:val="26"/>
        </w:rPr>
        <w:t>PUC mandated</w:t>
      </w:r>
      <w:r w:rsidRPr="00107B81">
        <w:rPr>
          <w:szCs w:val="26"/>
        </w:rPr>
        <w:t xml:space="preserve"> reports </w:t>
      </w:r>
      <w:r w:rsidRPr="00107B81">
        <w:rPr>
          <w:szCs w:val="26"/>
        </w:rPr>
        <w:t>are</w:t>
      </w:r>
      <w:r w:rsidRPr="00107B81">
        <w:rPr>
          <w:szCs w:val="26"/>
        </w:rPr>
        <w:t xml:space="preserve"> public</w:t>
      </w:r>
      <w:r w:rsidRPr="00107B81">
        <w:rPr>
          <w:szCs w:val="26"/>
        </w:rPr>
        <w:t xml:space="preserve">.  </w:t>
      </w:r>
      <w:r w:rsidRPr="00107B81">
        <w:rPr>
          <w:szCs w:val="26"/>
        </w:rPr>
        <w:t xml:space="preserve">Plaintiffs further argued </w:t>
      </w:r>
      <w:r w:rsidRPr="00107B81">
        <w:rPr>
          <w:szCs w:val="26"/>
        </w:rPr>
        <w:t>that Claims employees typically filed incident notifications with PUC without legal review</w:t>
      </w:r>
      <w:r w:rsidRPr="00107B81">
        <w:rPr>
          <w:szCs w:val="26"/>
        </w:rPr>
        <w:t xml:space="preserve">, and </w:t>
      </w:r>
      <w:r w:rsidRPr="00107B81">
        <w:rPr>
          <w:szCs w:val="26"/>
        </w:rPr>
        <w:t xml:space="preserve">SCE attorneys </w:t>
      </w:r>
      <w:r w:rsidRPr="00107B81">
        <w:rPr>
          <w:szCs w:val="26"/>
        </w:rPr>
        <w:t xml:space="preserve">generally </w:t>
      </w:r>
      <w:r w:rsidRPr="00107B81">
        <w:rPr>
          <w:szCs w:val="26"/>
        </w:rPr>
        <w:t xml:space="preserve">did not supervise Claims employees as those employees worked mostly on matters where </w:t>
      </w:r>
      <w:r w:rsidRPr="00107B81">
        <w:rPr>
          <w:szCs w:val="26"/>
        </w:rPr>
        <w:t xml:space="preserve">litigation was not </w:t>
      </w:r>
      <w:r w:rsidRPr="00107B81">
        <w:rPr>
          <w:szCs w:val="26"/>
        </w:rPr>
        <w:t>anticipat</w:t>
      </w:r>
      <w:r w:rsidRPr="00107B81">
        <w:rPr>
          <w:szCs w:val="26"/>
        </w:rPr>
        <w:t>ed</w:t>
      </w:r>
      <w:r w:rsidRPr="00107B81">
        <w:rPr>
          <w:szCs w:val="26"/>
        </w:rPr>
        <w:t xml:space="preserve">.  </w:t>
      </w:r>
      <w:r w:rsidRPr="00107B81">
        <w:rPr>
          <w:szCs w:val="26"/>
        </w:rPr>
        <w:t xml:space="preserve">Noting that SCE was not sued until June 2019, plaintiffs </w:t>
      </w:r>
      <w:r w:rsidRPr="00107B81">
        <w:rPr>
          <w:szCs w:val="26"/>
        </w:rPr>
        <w:t xml:space="preserve">also </w:t>
      </w:r>
      <w:r w:rsidRPr="00107B81">
        <w:rPr>
          <w:szCs w:val="26"/>
        </w:rPr>
        <w:t>argued that it was “not plausible” that SCE’s investigation</w:t>
      </w:r>
      <w:r w:rsidRPr="00107B81">
        <w:rPr>
          <w:szCs w:val="26"/>
        </w:rPr>
        <w:t xml:space="preserve"> (which began </w:t>
      </w:r>
      <w:r w:rsidRPr="00107B81">
        <w:rPr>
          <w:szCs w:val="26"/>
        </w:rPr>
        <w:t xml:space="preserve">shortly </w:t>
      </w:r>
      <w:r w:rsidRPr="00107B81">
        <w:rPr>
          <w:szCs w:val="26"/>
        </w:rPr>
        <w:t>after the fire started)</w:t>
      </w:r>
      <w:r w:rsidRPr="00107B81">
        <w:rPr>
          <w:szCs w:val="26"/>
        </w:rPr>
        <w:t xml:space="preserve"> was </w:t>
      </w:r>
      <w:r w:rsidRPr="00107B81">
        <w:rPr>
          <w:szCs w:val="26"/>
        </w:rPr>
        <w:t xml:space="preserve">in anticipation of </w:t>
      </w:r>
      <w:r w:rsidRPr="00107B81">
        <w:rPr>
          <w:szCs w:val="26"/>
        </w:rPr>
        <w:t>litigation</w:t>
      </w:r>
      <w:r w:rsidRPr="00107B81">
        <w:rPr>
          <w:szCs w:val="26"/>
        </w:rPr>
        <w:t xml:space="preserve"> and instead was to respond to re</w:t>
      </w:r>
      <w:r w:rsidRPr="00107B81">
        <w:rPr>
          <w:szCs w:val="26"/>
        </w:rPr>
        <w:t xml:space="preserve">quests from </w:t>
      </w:r>
      <w:r w:rsidRPr="00107B81">
        <w:rPr>
          <w:szCs w:val="26"/>
        </w:rPr>
        <w:t xml:space="preserve">government </w:t>
      </w:r>
      <w:r w:rsidRPr="00107B81">
        <w:rPr>
          <w:szCs w:val="26"/>
        </w:rPr>
        <w:t>agencies</w:t>
      </w:r>
      <w:r w:rsidRPr="00107B81">
        <w:rPr>
          <w:szCs w:val="26"/>
        </w:rPr>
        <w:t xml:space="preserve"> such as </w:t>
      </w:r>
      <w:r w:rsidRPr="00107B81">
        <w:rPr>
          <w:szCs w:val="26"/>
        </w:rPr>
        <w:t>USFS</w:t>
      </w:r>
      <w:r w:rsidRPr="00107B81">
        <w:rPr>
          <w:szCs w:val="26"/>
        </w:rPr>
        <w:t>,</w:t>
      </w:r>
      <w:r w:rsidRPr="00107B81">
        <w:rPr>
          <w:szCs w:val="26"/>
        </w:rPr>
        <w:t xml:space="preserve"> </w:t>
      </w:r>
      <w:r w:rsidRPr="00107B81">
        <w:rPr>
          <w:szCs w:val="26"/>
        </w:rPr>
        <w:t>CalFire</w:t>
      </w:r>
      <w:r w:rsidRPr="00107B81">
        <w:rPr>
          <w:szCs w:val="26"/>
        </w:rPr>
        <w:t>, and PUC</w:t>
      </w:r>
      <w:r w:rsidRPr="00107B81">
        <w:rPr>
          <w:szCs w:val="26"/>
        </w:rPr>
        <w:t>.</w:t>
      </w:r>
    </w:p>
    <w:p w14:paraId="04A17166" w14:textId="77777777" w:rsidR="00447998" w:rsidRPr="00107B81" w:rsidRDefault="00447998" w:rsidP="00F73152">
      <w:pPr>
        <w:ind w:firstLine="720"/>
      </w:pPr>
      <w:r w:rsidRPr="00107B81">
        <w:rPr>
          <w:szCs w:val="26"/>
        </w:rPr>
        <w:t xml:space="preserve">Plaintiffs contended that </w:t>
      </w:r>
      <w:r w:rsidRPr="00107B81">
        <w:rPr>
          <w:szCs w:val="26"/>
        </w:rPr>
        <w:t xml:space="preserve">SCE’s failure to produce the documents thwarted </w:t>
      </w:r>
      <w:r w:rsidRPr="00107B81">
        <w:rPr>
          <w:szCs w:val="26"/>
        </w:rPr>
        <w:t xml:space="preserve">their </w:t>
      </w:r>
      <w:r w:rsidRPr="00107B81">
        <w:rPr>
          <w:szCs w:val="26"/>
        </w:rPr>
        <w:t xml:space="preserve">efforts to </w:t>
      </w:r>
      <w:r w:rsidRPr="00107B81">
        <w:rPr>
          <w:szCs w:val="26"/>
        </w:rPr>
        <w:t>discover information showing SCE knew it had caused the Creek Fire</w:t>
      </w:r>
      <w:r w:rsidRPr="00107B81">
        <w:rPr>
          <w:szCs w:val="26"/>
        </w:rPr>
        <w:t>,</w:t>
      </w:r>
      <w:r w:rsidRPr="00107B81">
        <w:rPr>
          <w:szCs w:val="26"/>
        </w:rPr>
        <w:t xml:space="preserve"> had </w:t>
      </w:r>
      <w:r w:rsidRPr="00107B81">
        <w:rPr>
          <w:szCs w:val="26"/>
        </w:rPr>
        <w:t xml:space="preserve">failed to comply with its </w:t>
      </w:r>
      <w:r w:rsidRPr="00107B81">
        <w:rPr>
          <w:szCs w:val="26"/>
        </w:rPr>
        <w:t xml:space="preserve">PUC reporting </w:t>
      </w:r>
      <w:r w:rsidRPr="00107B81">
        <w:rPr>
          <w:szCs w:val="26"/>
        </w:rPr>
        <w:t>obligation</w:t>
      </w:r>
      <w:r w:rsidRPr="00107B81">
        <w:rPr>
          <w:szCs w:val="26"/>
        </w:rPr>
        <w:t>,</w:t>
      </w:r>
      <w:r w:rsidRPr="00107B81">
        <w:rPr>
          <w:szCs w:val="26"/>
        </w:rPr>
        <w:t xml:space="preserve"> and</w:t>
      </w:r>
      <w:r w:rsidRPr="00107B81">
        <w:rPr>
          <w:szCs w:val="26"/>
        </w:rPr>
        <w:t xml:space="preserve"> did not</w:t>
      </w:r>
      <w:r w:rsidRPr="00107B81">
        <w:rPr>
          <w:szCs w:val="26"/>
        </w:rPr>
        <w:t xml:space="preserve"> </w:t>
      </w:r>
      <w:r w:rsidRPr="00107B81">
        <w:rPr>
          <w:szCs w:val="26"/>
        </w:rPr>
        <w:t xml:space="preserve">“accurately respond to official investigations of the origin and cause of </w:t>
      </w:r>
      <w:r w:rsidRPr="00107B81">
        <w:rPr>
          <w:szCs w:val="26"/>
        </w:rPr>
        <w:t xml:space="preserve">the </w:t>
      </w:r>
      <w:r w:rsidRPr="00107B81">
        <w:rPr>
          <w:szCs w:val="26"/>
        </w:rPr>
        <w:t>Creek Fire</w:t>
      </w:r>
      <w:r w:rsidRPr="00107B81">
        <w:rPr>
          <w:szCs w:val="26"/>
        </w:rPr>
        <w:t>” by USFS, PUC</w:t>
      </w:r>
      <w:r>
        <w:rPr>
          <w:szCs w:val="26"/>
        </w:rPr>
        <w:t>,</w:t>
      </w:r>
      <w:r w:rsidRPr="00107B81">
        <w:rPr>
          <w:szCs w:val="26"/>
        </w:rPr>
        <w:t xml:space="preserve"> and CalFire.</w:t>
      </w:r>
    </w:p>
    <w:p w14:paraId="40881452" w14:textId="77777777" w:rsidR="00447998" w:rsidRPr="00107B81" w:rsidRDefault="00447998" w:rsidP="00F73152">
      <w:pPr>
        <w:pStyle w:val="ListParagraph"/>
        <w:numPr>
          <w:ilvl w:val="0"/>
          <w:numId w:val="19"/>
        </w:numPr>
        <w:spacing w:before="120"/>
        <w:ind w:left="720" w:hanging="720"/>
        <w:contextualSpacing w:val="0"/>
        <w:rPr>
          <w:b/>
          <w:bCs/>
        </w:rPr>
      </w:pPr>
      <w:r w:rsidRPr="00107B81">
        <w:rPr>
          <w:b/>
          <w:bCs/>
        </w:rPr>
        <w:t xml:space="preserve">SCE’s </w:t>
      </w:r>
      <w:r w:rsidRPr="00107B81">
        <w:rPr>
          <w:b/>
          <w:bCs/>
        </w:rPr>
        <w:t xml:space="preserve">Opposition to the Motion to </w:t>
      </w:r>
      <w:r w:rsidRPr="00107B81">
        <w:rPr>
          <w:b/>
          <w:bCs/>
        </w:rPr>
        <w:t>Compel</w:t>
      </w:r>
    </w:p>
    <w:p w14:paraId="3F806575" w14:textId="77777777" w:rsidR="00447998" w:rsidRPr="00107B81" w:rsidRDefault="00447998" w:rsidP="00345971">
      <w:pPr>
        <w:ind w:firstLine="720"/>
      </w:pPr>
      <w:r w:rsidRPr="00107B81">
        <w:rPr>
          <w:szCs w:val="26"/>
        </w:rPr>
        <w:t xml:space="preserve">SCE </w:t>
      </w:r>
      <w:r w:rsidRPr="00107B81">
        <w:rPr>
          <w:szCs w:val="26"/>
        </w:rPr>
        <w:t xml:space="preserve">opposed the motion to compel, </w:t>
      </w:r>
      <w:r w:rsidRPr="00107B81">
        <w:rPr>
          <w:szCs w:val="26"/>
        </w:rPr>
        <w:t>contend</w:t>
      </w:r>
      <w:r w:rsidRPr="00107B81">
        <w:rPr>
          <w:szCs w:val="26"/>
        </w:rPr>
        <w:t>ing</w:t>
      </w:r>
      <w:r w:rsidRPr="00107B81">
        <w:rPr>
          <w:szCs w:val="26"/>
        </w:rPr>
        <w:t xml:space="preserve"> that the documents “were created as part of the SCE </w:t>
      </w:r>
      <w:r w:rsidRPr="00107B81">
        <w:rPr>
          <w:szCs w:val="26"/>
        </w:rPr>
        <w:t>[l]</w:t>
      </w:r>
      <w:r w:rsidRPr="00107B81">
        <w:rPr>
          <w:szCs w:val="26"/>
        </w:rPr>
        <w:t xml:space="preserve">aw </w:t>
      </w:r>
      <w:r w:rsidRPr="00107B81">
        <w:rPr>
          <w:szCs w:val="26"/>
        </w:rPr>
        <w:t>[d]</w:t>
      </w:r>
      <w:proofErr w:type="spellStart"/>
      <w:r w:rsidRPr="00107B81">
        <w:rPr>
          <w:szCs w:val="26"/>
        </w:rPr>
        <w:t>epartment’s</w:t>
      </w:r>
      <w:proofErr w:type="spellEnd"/>
      <w:r w:rsidRPr="00107B81">
        <w:rPr>
          <w:szCs w:val="26"/>
        </w:rPr>
        <w:t xml:space="preserve"> investigation into the Creek Fire, for the purpose of rendering </w:t>
      </w:r>
      <w:r w:rsidRPr="00107B81">
        <w:rPr>
          <w:szCs w:val="26"/>
        </w:rPr>
        <w:lastRenderedPageBreak/>
        <w:t xml:space="preserve">legal advice and in anticipation of litigation.”  </w:t>
      </w:r>
      <w:r w:rsidRPr="00107B81">
        <w:t>SCE further disputed that it had withheld any relevant information from CalFire, PUC</w:t>
      </w:r>
      <w:r>
        <w:t>,</w:t>
      </w:r>
      <w:r w:rsidRPr="00107B81">
        <w:t xml:space="preserve"> or USFS.</w:t>
      </w:r>
    </w:p>
    <w:p w14:paraId="3BC100E9" w14:textId="77777777" w:rsidR="00447998" w:rsidRPr="00107B81" w:rsidRDefault="00447998" w:rsidP="00D70D5A">
      <w:pPr>
        <w:ind w:firstLine="720"/>
        <w:rPr>
          <w:szCs w:val="26"/>
        </w:rPr>
      </w:pPr>
      <w:r w:rsidRPr="00107B81">
        <w:rPr>
          <w:szCs w:val="26"/>
        </w:rPr>
        <w:t xml:space="preserve">Brian Cardoza, SCE’s </w:t>
      </w:r>
      <w:r w:rsidRPr="00107B81">
        <w:rPr>
          <w:szCs w:val="26"/>
        </w:rPr>
        <w:t>l</w:t>
      </w:r>
      <w:r w:rsidRPr="00107B81">
        <w:rPr>
          <w:szCs w:val="26"/>
        </w:rPr>
        <w:t xml:space="preserve">ead </w:t>
      </w:r>
      <w:r w:rsidRPr="00107B81">
        <w:rPr>
          <w:szCs w:val="26"/>
        </w:rPr>
        <w:t>c</w:t>
      </w:r>
      <w:r w:rsidRPr="00107B81">
        <w:rPr>
          <w:szCs w:val="26"/>
        </w:rPr>
        <w:t xml:space="preserve">laims </w:t>
      </w:r>
      <w:r w:rsidRPr="00107B81">
        <w:rPr>
          <w:szCs w:val="26"/>
        </w:rPr>
        <w:t>t</w:t>
      </w:r>
      <w:r w:rsidRPr="00107B81">
        <w:rPr>
          <w:szCs w:val="26"/>
        </w:rPr>
        <w:t xml:space="preserve">rial </w:t>
      </w:r>
      <w:r w:rsidRPr="00107B81">
        <w:rPr>
          <w:szCs w:val="26"/>
        </w:rPr>
        <w:t>a</w:t>
      </w:r>
      <w:r w:rsidRPr="00107B81">
        <w:rPr>
          <w:szCs w:val="26"/>
        </w:rPr>
        <w:t xml:space="preserve">ttorney, submitted a declaration in which he averred that, on December 5, 2017, he “directed SCE’s </w:t>
      </w:r>
      <w:r w:rsidRPr="00107B81">
        <w:rPr>
          <w:szCs w:val="26"/>
        </w:rPr>
        <w:t>[c]</w:t>
      </w:r>
      <w:proofErr w:type="spellStart"/>
      <w:r w:rsidRPr="00107B81">
        <w:rPr>
          <w:szCs w:val="26"/>
        </w:rPr>
        <w:t>laims</w:t>
      </w:r>
      <w:proofErr w:type="spellEnd"/>
      <w:r w:rsidRPr="00107B81">
        <w:rPr>
          <w:szCs w:val="26"/>
        </w:rPr>
        <w:t xml:space="preserve"> </w:t>
      </w:r>
      <w:r w:rsidRPr="00107B81">
        <w:rPr>
          <w:szCs w:val="26"/>
        </w:rPr>
        <w:t>[d]</w:t>
      </w:r>
      <w:proofErr w:type="spellStart"/>
      <w:r w:rsidRPr="00107B81">
        <w:rPr>
          <w:szCs w:val="26"/>
        </w:rPr>
        <w:t>epartment</w:t>
      </w:r>
      <w:proofErr w:type="spellEnd"/>
      <w:r w:rsidRPr="00107B81">
        <w:rPr>
          <w:szCs w:val="26"/>
        </w:rPr>
        <w:t xml:space="preserve"> to conduct a privileged and confidential internal investigation of the Creek Fire for the purpose of assessing SCE’s potential legal liability in anticipation of future litigation.”  </w:t>
      </w:r>
      <w:r w:rsidRPr="00107B81">
        <w:rPr>
          <w:szCs w:val="26"/>
        </w:rPr>
        <w:t xml:space="preserve">According to Cardoza and other SCE witnesses, SCE’s </w:t>
      </w:r>
      <w:r w:rsidRPr="00107B81">
        <w:rPr>
          <w:szCs w:val="26"/>
        </w:rPr>
        <w:t>c</w:t>
      </w:r>
      <w:r w:rsidRPr="00107B81">
        <w:rPr>
          <w:szCs w:val="26"/>
        </w:rPr>
        <w:t xml:space="preserve">laims </w:t>
      </w:r>
      <w:r w:rsidRPr="00107B81">
        <w:rPr>
          <w:szCs w:val="26"/>
        </w:rPr>
        <w:t>d</w:t>
      </w:r>
      <w:r w:rsidRPr="00107B81">
        <w:rPr>
          <w:szCs w:val="26"/>
        </w:rPr>
        <w:t xml:space="preserve">epartment and </w:t>
      </w:r>
      <w:r w:rsidRPr="00107B81">
        <w:rPr>
          <w:szCs w:val="26"/>
        </w:rPr>
        <w:t xml:space="preserve">its </w:t>
      </w:r>
      <w:r w:rsidRPr="00107B81">
        <w:rPr>
          <w:szCs w:val="26"/>
        </w:rPr>
        <w:t>l</w:t>
      </w:r>
      <w:r w:rsidRPr="00107B81">
        <w:rPr>
          <w:szCs w:val="26"/>
        </w:rPr>
        <w:t xml:space="preserve">aw </w:t>
      </w:r>
      <w:r w:rsidRPr="00107B81">
        <w:rPr>
          <w:szCs w:val="26"/>
        </w:rPr>
        <w:t>d</w:t>
      </w:r>
      <w:r w:rsidRPr="00107B81">
        <w:rPr>
          <w:szCs w:val="26"/>
        </w:rPr>
        <w:t>epartment are both part of SCE</w:t>
      </w:r>
      <w:r w:rsidRPr="00107B81">
        <w:rPr>
          <w:szCs w:val="26"/>
        </w:rPr>
        <w:t>’s</w:t>
      </w:r>
      <w:r w:rsidRPr="00107B81">
        <w:rPr>
          <w:szCs w:val="26"/>
        </w:rPr>
        <w:t xml:space="preserve"> </w:t>
      </w:r>
      <w:r w:rsidRPr="00107B81">
        <w:rPr>
          <w:szCs w:val="26"/>
        </w:rPr>
        <w:t>“</w:t>
      </w:r>
      <w:r w:rsidRPr="00107B81">
        <w:rPr>
          <w:szCs w:val="26"/>
        </w:rPr>
        <w:t>[l]</w:t>
      </w:r>
      <w:r w:rsidRPr="00107B81">
        <w:rPr>
          <w:szCs w:val="26"/>
        </w:rPr>
        <w:t xml:space="preserve">egal </w:t>
      </w:r>
      <w:r w:rsidRPr="00107B81">
        <w:rPr>
          <w:szCs w:val="26"/>
        </w:rPr>
        <w:t>[o]</w:t>
      </w:r>
      <w:proofErr w:type="spellStart"/>
      <w:r w:rsidRPr="00107B81">
        <w:rPr>
          <w:szCs w:val="26"/>
        </w:rPr>
        <w:t>rganization</w:t>
      </w:r>
      <w:proofErr w:type="spellEnd"/>
      <w:r w:rsidRPr="00107B81">
        <w:rPr>
          <w:szCs w:val="26"/>
        </w:rPr>
        <w:t>.</w:t>
      </w:r>
      <w:r w:rsidRPr="00107B81">
        <w:rPr>
          <w:szCs w:val="26"/>
        </w:rPr>
        <w:t>”</w:t>
      </w:r>
      <w:r w:rsidRPr="00107B81">
        <w:rPr>
          <w:szCs w:val="26"/>
        </w:rPr>
        <w:t xml:space="preserve">  </w:t>
      </w:r>
      <w:r w:rsidRPr="00107B81">
        <w:rPr>
          <w:szCs w:val="26"/>
        </w:rPr>
        <w:t>Cardoza</w:t>
      </w:r>
      <w:r w:rsidRPr="00107B81">
        <w:rPr>
          <w:szCs w:val="26"/>
        </w:rPr>
        <w:t xml:space="preserve"> </w:t>
      </w:r>
      <w:r w:rsidRPr="00107B81">
        <w:rPr>
          <w:szCs w:val="26"/>
        </w:rPr>
        <w:t xml:space="preserve">stated </w:t>
      </w:r>
      <w:r w:rsidRPr="00107B81">
        <w:rPr>
          <w:szCs w:val="26"/>
        </w:rPr>
        <w:t>that</w:t>
      </w:r>
      <w:r w:rsidRPr="00107B81">
        <w:rPr>
          <w:szCs w:val="26"/>
        </w:rPr>
        <w:t xml:space="preserve"> he</w:t>
      </w:r>
      <w:r w:rsidRPr="00107B81">
        <w:rPr>
          <w:szCs w:val="26"/>
        </w:rPr>
        <w:t xml:space="preserve"> initiated “</w:t>
      </w:r>
      <w:proofErr w:type="spellStart"/>
      <w:r w:rsidRPr="00107B81">
        <w:rPr>
          <w:szCs w:val="26"/>
        </w:rPr>
        <w:t>th</w:t>
      </w:r>
      <w:proofErr w:type="spellEnd"/>
      <w:r w:rsidRPr="00107B81">
        <w:rPr>
          <w:szCs w:val="26"/>
        </w:rPr>
        <w:t>[e] investigation in order to facilitate the provision of legal advice” on several topics, including “potential regulatory action related to</w:t>
      </w:r>
      <w:r w:rsidRPr="00107B81">
        <w:rPr>
          <w:szCs w:val="26"/>
        </w:rPr>
        <w:t xml:space="preserve"> the fire” and “evaluations of potential company risk and monetary liability in litigation or through regulatory action.”</w:t>
      </w:r>
    </w:p>
    <w:p w14:paraId="764CC874" w14:textId="77777777" w:rsidR="00447998" w:rsidRPr="00107B81" w:rsidRDefault="00447998" w:rsidP="00D70D5A">
      <w:pPr>
        <w:ind w:firstLine="720"/>
        <w:rPr>
          <w:szCs w:val="26"/>
        </w:rPr>
      </w:pPr>
      <w:r w:rsidRPr="00107B81">
        <w:rPr>
          <w:szCs w:val="26"/>
        </w:rPr>
        <w:t xml:space="preserve">Cardoza </w:t>
      </w:r>
      <w:r w:rsidRPr="00107B81">
        <w:rPr>
          <w:szCs w:val="26"/>
        </w:rPr>
        <w:t>declared</w:t>
      </w:r>
      <w:r w:rsidRPr="00107B81">
        <w:rPr>
          <w:szCs w:val="26"/>
        </w:rPr>
        <w:t xml:space="preserve">, “SCE is routinely sued after a wildfire incident even when SCE facilities are not involved in the ignition.  Accordingly, SCE’s attorneys regularly undertake confidential and privileged investigations after fires </w:t>
      </w:r>
      <w:proofErr w:type="gramStart"/>
      <w:r w:rsidRPr="00107B81">
        <w:rPr>
          <w:szCs w:val="26"/>
        </w:rPr>
        <w:t>in order to</w:t>
      </w:r>
      <w:proofErr w:type="gramEnd"/>
      <w:r w:rsidRPr="00107B81">
        <w:rPr>
          <w:szCs w:val="26"/>
        </w:rPr>
        <w:t xml:space="preserve"> procure legal advice in anticipation of litigation.”  </w:t>
      </w:r>
      <w:r w:rsidRPr="00107B81">
        <w:rPr>
          <w:szCs w:val="26"/>
        </w:rPr>
        <w:t xml:space="preserve">SCE also </w:t>
      </w:r>
      <w:r w:rsidRPr="00107B81">
        <w:rPr>
          <w:szCs w:val="26"/>
        </w:rPr>
        <w:t>submitted copies of</w:t>
      </w:r>
      <w:r w:rsidRPr="00107B81">
        <w:rPr>
          <w:szCs w:val="26"/>
        </w:rPr>
        <w:t xml:space="preserve"> the</w:t>
      </w:r>
      <w:r w:rsidRPr="00107B81">
        <w:rPr>
          <w:szCs w:val="26"/>
        </w:rPr>
        <w:t xml:space="preserve"> evidence preservation letters sent to SCE by plaintiffs’ attorneys </w:t>
      </w:r>
      <w:r w:rsidRPr="00107B81">
        <w:rPr>
          <w:szCs w:val="26"/>
        </w:rPr>
        <w:t>within a week of the fire</w:t>
      </w:r>
      <w:r w:rsidRPr="00107B81">
        <w:rPr>
          <w:szCs w:val="26"/>
        </w:rPr>
        <w:t xml:space="preserve"> </w:t>
      </w:r>
      <w:r w:rsidRPr="00107B81">
        <w:rPr>
          <w:szCs w:val="26"/>
        </w:rPr>
        <w:t xml:space="preserve">which </w:t>
      </w:r>
      <w:r w:rsidRPr="00107B81">
        <w:rPr>
          <w:szCs w:val="26"/>
        </w:rPr>
        <w:t xml:space="preserve">asserted that </w:t>
      </w:r>
      <w:r w:rsidRPr="00107B81">
        <w:rPr>
          <w:szCs w:val="26"/>
        </w:rPr>
        <w:t xml:space="preserve">SCE’s equipment </w:t>
      </w:r>
      <w:r w:rsidRPr="00107B81">
        <w:rPr>
          <w:szCs w:val="26"/>
        </w:rPr>
        <w:t xml:space="preserve">either </w:t>
      </w:r>
      <w:r w:rsidRPr="00107B81">
        <w:rPr>
          <w:szCs w:val="26"/>
        </w:rPr>
        <w:t>“likely” or “may have” “</w:t>
      </w:r>
      <w:r w:rsidRPr="00107B81">
        <w:rPr>
          <w:szCs w:val="26"/>
        </w:rPr>
        <w:t>contributed to the ignition an</w:t>
      </w:r>
      <w:r w:rsidRPr="00107B81">
        <w:rPr>
          <w:szCs w:val="26"/>
        </w:rPr>
        <w:t>d spread of” the Creek Fire</w:t>
      </w:r>
      <w:r w:rsidRPr="00107B81">
        <w:rPr>
          <w:szCs w:val="26"/>
        </w:rPr>
        <w:t>.</w:t>
      </w:r>
    </w:p>
    <w:p w14:paraId="7AB2F3DC" w14:textId="77777777" w:rsidR="00447998" w:rsidRPr="00107B81" w:rsidRDefault="00447998" w:rsidP="00D70D5A">
      <w:pPr>
        <w:ind w:firstLine="720"/>
        <w:rPr>
          <w:szCs w:val="26"/>
        </w:rPr>
      </w:pPr>
      <w:r w:rsidRPr="00107B81">
        <w:rPr>
          <w:szCs w:val="26"/>
        </w:rPr>
        <w:t xml:space="preserve">Cardoza </w:t>
      </w:r>
      <w:r w:rsidRPr="00107B81">
        <w:rPr>
          <w:szCs w:val="26"/>
        </w:rPr>
        <w:t xml:space="preserve">averred that he </w:t>
      </w:r>
      <w:r w:rsidRPr="00107B81">
        <w:rPr>
          <w:szCs w:val="26"/>
        </w:rPr>
        <w:t xml:space="preserve">“directed the </w:t>
      </w:r>
      <w:r w:rsidRPr="00107B81">
        <w:rPr>
          <w:szCs w:val="26"/>
        </w:rPr>
        <w:t>[c]</w:t>
      </w:r>
      <w:proofErr w:type="spellStart"/>
      <w:r w:rsidRPr="00107B81">
        <w:rPr>
          <w:szCs w:val="26"/>
        </w:rPr>
        <w:t>laims</w:t>
      </w:r>
      <w:proofErr w:type="spellEnd"/>
      <w:r w:rsidRPr="00107B81">
        <w:rPr>
          <w:szCs w:val="26"/>
        </w:rPr>
        <w:t xml:space="preserve"> </w:t>
      </w:r>
      <w:r w:rsidRPr="00107B81">
        <w:rPr>
          <w:szCs w:val="26"/>
        </w:rPr>
        <w:t>[d]</w:t>
      </w:r>
      <w:proofErr w:type="spellStart"/>
      <w:r w:rsidRPr="00107B81">
        <w:rPr>
          <w:szCs w:val="26"/>
        </w:rPr>
        <w:t>epartment</w:t>
      </w:r>
      <w:proofErr w:type="spellEnd"/>
      <w:r w:rsidRPr="00107B81">
        <w:rPr>
          <w:szCs w:val="26"/>
        </w:rPr>
        <w:t xml:space="preserve"> to report all investigation results to Leon Bass, SCE </w:t>
      </w:r>
      <w:r w:rsidRPr="00107B81">
        <w:rPr>
          <w:szCs w:val="26"/>
        </w:rPr>
        <w:t>[d]</w:t>
      </w:r>
      <w:proofErr w:type="spellStart"/>
      <w:r w:rsidRPr="00107B81">
        <w:rPr>
          <w:szCs w:val="26"/>
        </w:rPr>
        <w:t>irector</w:t>
      </w:r>
      <w:proofErr w:type="spellEnd"/>
      <w:r w:rsidRPr="00107B81">
        <w:rPr>
          <w:szCs w:val="26"/>
        </w:rPr>
        <w:t xml:space="preserve"> and </w:t>
      </w:r>
      <w:r w:rsidRPr="00107B81">
        <w:rPr>
          <w:szCs w:val="26"/>
        </w:rPr>
        <w:t>[m]</w:t>
      </w:r>
      <w:proofErr w:type="spellStart"/>
      <w:r w:rsidRPr="00107B81">
        <w:rPr>
          <w:szCs w:val="26"/>
        </w:rPr>
        <w:t>anaging</w:t>
      </w:r>
      <w:proofErr w:type="spellEnd"/>
      <w:r w:rsidRPr="00107B81">
        <w:rPr>
          <w:szCs w:val="26"/>
        </w:rPr>
        <w:t xml:space="preserve"> </w:t>
      </w:r>
      <w:r w:rsidRPr="00107B81">
        <w:rPr>
          <w:szCs w:val="26"/>
        </w:rPr>
        <w:t>[a]</w:t>
      </w:r>
      <w:proofErr w:type="spellStart"/>
      <w:r w:rsidRPr="00107B81">
        <w:rPr>
          <w:szCs w:val="26"/>
        </w:rPr>
        <w:t>ttorney</w:t>
      </w:r>
      <w:proofErr w:type="spellEnd"/>
      <w:r w:rsidRPr="00107B81">
        <w:rPr>
          <w:szCs w:val="26"/>
        </w:rPr>
        <w:t xml:space="preserve"> </w:t>
      </w:r>
      <w:r w:rsidRPr="00107B81">
        <w:rPr>
          <w:szCs w:val="26"/>
        </w:rPr>
        <w:t>[c]</w:t>
      </w:r>
      <w:proofErr w:type="spellStart"/>
      <w:r w:rsidRPr="00107B81">
        <w:rPr>
          <w:szCs w:val="26"/>
        </w:rPr>
        <w:t>laim</w:t>
      </w:r>
      <w:proofErr w:type="spellEnd"/>
      <w:r w:rsidRPr="00107B81">
        <w:rPr>
          <w:szCs w:val="26"/>
        </w:rPr>
        <w:t xml:space="preserve"> </w:t>
      </w:r>
      <w:r w:rsidRPr="00107B81">
        <w:rPr>
          <w:szCs w:val="26"/>
        </w:rPr>
        <w:t>[l]</w:t>
      </w:r>
      <w:proofErr w:type="spellStart"/>
      <w:r w:rsidRPr="00107B81">
        <w:rPr>
          <w:szCs w:val="26"/>
        </w:rPr>
        <w:t>itigation</w:t>
      </w:r>
      <w:proofErr w:type="spellEnd"/>
      <w:r w:rsidRPr="00107B81">
        <w:rPr>
          <w:szCs w:val="26"/>
        </w:rPr>
        <w:t xml:space="preserve">.”  </w:t>
      </w:r>
      <w:r w:rsidRPr="00107B81">
        <w:rPr>
          <w:szCs w:val="26"/>
        </w:rPr>
        <w:t xml:space="preserve">He further </w:t>
      </w:r>
      <w:r w:rsidRPr="00107B81">
        <w:rPr>
          <w:szCs w:val="26"/>
        </w:rPr>
        <w:t xml:space="preserve">averred that he had reviewed </w:t>
      </w:r>
      <w:proofErr w:type="gramStart"/>
      <w:r w:rsidRPr="00107B81">
        <w:rPr>
          <w:szCs w:val="26"/>
        </w:rPr>
        <w:t>all of</w:t>
      </w:r>
      <w:proofErr w:type="gramEnd"/>
      <w:r w:rsidRPr="00107B81">
        <w:rPr>
          <w:szCs w:val="26"/>
        </w:rPr>
        <w:t xml:space="preserve"> the communications at issue and “</w:t>
      </w:r>
      <w:proofErr w:type="spellStart"/>
      <w:r w:rsidRPr="00107B81">
        <w:rPr>
          <w:szCs w:val="26"/>
        </w:rPr>
        <w:t>underst</w:t>
      </w:r>
      <w:proofErr w:type="spellEnd"/>
      <w:r w:rsidRPr="00107B81">
        <w:rPr>
          <w:szCs w:val="26"/>
        </w:rPr>
        <w:t>[</w:t>
      </w:r>
      <w:proofErr w:type="spellStart"/>
      <w:r w:rsidRPr="00107B81">
        <w:rPr>
          <w:szCs w:val="26"/>
        </w:rPr>
        <w:t>ood</w:t>
      </w:r>
      <w:proofErr w:type="spellEnd"/>
      <w:r w:rsidRPr="00107B81">
        <w:rPr>
          <w:szCs w:val="26"/>
        </w:rPr>
        <w:t xml:space="preserve">] that each </w:t>
      </w:r>
      <w:r w:rsidRPr="00107B81">
        <w:rPr>
          <w:szCs w:val="26"/>
        </w:rPr>
        <w:t>.</w:t>
      </w:r>
      <w:r w:rsidRPr="00107B81">
        <w:rPr>
          <w:szCs w:val="26"/>
        </w:rPr>
        <w:t> </w:t>
      </w:r>
      <w:r w:rsidRPr="00107B81">
        <w:rPr>
          <w:szCs w:val="26"/>
        </w:rPr>
        <w:t>.</w:t>
      </w:r>
      <w:r w:rsidRPr="00107B81">
        <w:rPr>
          <w:szCs w:val="26"/>
        </w:rPr>
        <w:t> </w:t>
      </w:r>
      <w:r w:rsidRPr="00107B81">
        <w:rPr>
          <w:szCs w:val="26"/>
        </w:rPr>
        <w:t xml:space="preserve">. </w:t>
      </w:r>
      <w:r w:rsidRPr="00107B81">
        <w:rPr>
          <w:szCs w:val="26"/>
        </w:rPr>
        <w:t xml:space="preserve">was made as part of and </w:t>
      </w:r>
      <w:r w:rsidRPr="00107B81">
        <w:rPr>
          <w:szCs w:val="26"/>
        </w:rPr>
        <w:lastRenderedPageBreak/>
        <w:t xml:space="preserve">in furtherance of the investigation that SCE’s </w:t>
      </w:r>
      <w:r w:rsidRPr="00107B81">
        <w:rPr>
          <w:szCs w:val="26"/>
        </w:rPr>
        <w:t>[l]</w:t>
      </w:r>
      <w:r w:rsidRPr="00107B81">
        <w:rPr>
          <w:szCs w:val="26"/>
        </w:rPr>
        <w:t xml:space="preserve">aw </w:t>
      </w:r>
      <w:r w:rsidRPr="00107B81">
        <w:rPr>
          <w:szCs w:val="26"/>
        </w:rPr>
        <w:t>[d]</w:t>
      </w:r>
      <w:proofErr w:type="spellStart"/>
      <w:r w:rsidRPr="00107B81">
        <w:rPr>
          <w:szCs w:val="26"/>
        </w:rPr>
        <w:t>epartment</w:t>
      </w:r>
      <w:proofErr w:type="spellEnd"/>
      <w:r w:rsidRPr="00107B81">
        <w:rPr>
          <w:szCs w:val="26"/>
        </w:rPr>
        <w:t xml:space="preserve"> directed the </w:t>
      </w:r>
      <w:r w:rsidRPr="00107B81">
        <w:rPr>
          <w:szCs w:val="26"/>
        </w:rPr>
        <w:t>[c]</w:t>
      </w:r>
      <w:proofErr w:type="spellStart"/>
      <w:r w:rsidRPr="00107B81">
        <w:rPr>
          <w:szCs w:val="26"/>
        </w:rPr>
        <w:t>laims</w:t>
      </w:r>
      <w:proofErr w:type="spellEnd"/>
      <w:r w:rsidRPr="00107B81">
        <w:rPr>
          <w:szCs w:val="26"/>
        </w:rPr>
        <w:t xml:space="preserve"> </w:t>
      </w:r>
      <w:r w:rsidRPr="00107B81">
        <w:rPr>
          <w:szCs w:val="26"/>
        </w:rPr>
        <w:t>[d]</w:t>
      </w:r>
      <w:proofErr w:type="spellStart"/>
      <w:r w:rsidRPr="00107B81">
        <w:rPr>
          <w:szCs w:val="26"/>
        </w:rPr>
        <w:t>epartment</w:t>
      </w:r>
      <w:proofErr w:type="spellEnd"/>
      <w:r w:rsidRPr="00107B81">
        <w:rPr>
          <w:szCs w:val="26"/>
        </w:rPr>
        <w:t xml:space="preserve"> to perform in anticipation of litigation.”  </w:t>
      </w:r>
      <w:r w:rsidRPr="00107B81">
        <w:rPr>
          <w:szCs w:val="26"/>
        </w:rPr>
        <w:t xml:space="preserve">According to </w:t>
      </w:r>
      <w:r w:rsidRPr="00107B81">
        <w:rPr>
          <w:szCs w:val="26"/>
        </w:rPr>
        <w:t xml:space="preserve">Cardoza, </w:t>
      </w:r>
      <w:r w:rsidRPr="00107B81">
        <w:rPr>
          <w:szCs w:val="26"/>
        </w:rPr>
        <w:t xml:space="preserve">“During the Creek Fire investigation, the </w:t>
      </w:r>
      <w:r w:rsidRPr="00107B81">
        <w:rPr>
          <w:szCs w:val="26"/>
        </w:rPr>
        <w:t>[c]</w:t>
      </w:r>
      <w:proofErr w:type="spellStart"/>
      <w:r w:rsidRPr="00107B81">
        <w:rPr>
          <w:szCs w:val="26"/>
        </w:rPr>
        <w:t>laims</w:t>
      </w:r>
      <w:proofErr w:type="spellEnd"/>
      <w:r w:rsidRPr="00107B81">
        <w:rPr>
          <w:szCs w:val="26"/>
        </w:rPr>
        <w:t xml:space="preserve"> </w:t>
      </w:r>
      <w:r w:rsidRPr="00107B81">
        <w:rPr>
          <w:szCs w:val="26"/>
        </w:rPr>
        <w:t>[d]</w:t>
      </w:r>
      <w:proofErr w:type="spellStart"/>
      <w:r w:rsidRPr="00107B81">
        <w:rPr>
          <w:szCs w:val="26"/>
        </w:rPr>
        <w:t>epartment</w:t>
      </w:r>
      <w:proofErr w:type="spellEnd"/>
      <w:r w:rsidRPr="00107B81">
        <w:rPr>
          <w:szCs w:val="26"/>
        </w:rPr>
        <w:t xml:space="preserve"> worked with the </w:t>
      </w:r>
      <w:r w:rsidRPr="00107B81">
        <w:rPr>
          <w:szCs w:val="26"/>
        </w:rPr>
        <w:t>[</w:t>
      </w:r>
      <w:r w:rsidRPr="00107B81">
        <w:rPr>
          <w:szCs w:val="26"/>
        </w:rPr>
        <w:t>l</w:t>
      </w:r>
      <w:r w:rsidRPr="00107B81">
        <w:rPr>
          <w:szCs w:val="26"/>
        </w:rPr>
        <w:t>]</w:t>
      </w:r>
      <w:r w:rsidRPr="00107B81">
        <w:rPr>
          <w:szCs w:val="26"/>
        </w:rPr>
        <w:t xml:space="preserve">aw </w:t>
      </w:r>
      <w:r w:rsidRPr="00107B81">
        <w:rPr>
          <w:szCs w:val="26"/>
        </w:rPr>
        <w:t>[</w:t>
      </w:r>
      <w:r w:rsidRPr="00107B81">
        <w:rPr>
          <w:szCs w:val="26"/>
        </w:rPr>
        <w:t>d]</w:t>
      </w:r>
      <w:proofErr w:type="spellStart"/>
      <w:r w:rsidRPr="00107B81">
        <w:rPr>
          <w:szCs w:val="26"/>
        </w:rPr>
        <w:t>epartment</w:t>
      </w:r>
      <w:proofErr w:type="spellEnd"/>
      <w:r w:rsidRPr="00107B81">
        <w:rPr>
          <w:szCs w:val="26"/>
        </w:rPr>
        <w:t xml:space="preserve"> and outside counsel to help gather facts, communicate with subject-matter experts, and interpret technical data and information, all to facilitate the attorneys’ rendering of legal advice.”  Cardoza </w:t>
      </w:r>
      <w:r w:rsidRPr="00107B81">
        <w:rPr>
          <w:szCs w:val="26"/>
        </w:rPr>
        <w:t xml:space="preserve">stated </w:t>
      </w:r>
      <w:r w:rsidRPr="00107B81">
        <w:rPr>
          <w:szCs w:val="26"/>
        </w:rPr>
        <w:t xml:space="preserve">that he “regularly spoke with Robert Ramos, Scott Hayashi, and other members of the </w:t>
      </w:r>
      <w:r w:rsidRPr="00107B81">
        <w:rPr>
          <w:szCs w:val="26"/>
        </w:rPr>
        <w:t>[c]</w:t>
      </w:r>
      <w:proofErr w:type="spellStart"/>
      <w:r w:rsidRPr="00107B81">
        <w:rPr>
          <w:szCs w:val="26"/>
        </w:rPr>
        <w:t>laims</w:t>
      </w:r>
      <w:proofErr w:type="spellEnd"/>
      <w:r w:rsidRPr="00107B81">
        <w:rPr>
          <w:szCs w:val="26"/>
        </w:rPr>
        <w:t xml:space="preserve"> </w:t>
      </w:r>
      <w:r w:rsidRPr="00107B81">
        <w:rPr>
          <w:szCs w:val="26"/>
        </w:rPr>
        <w:t>[d]</w:t>
      </w:r>
      <w:proofErr w:type="spellStart"/>
      <w:r w:rsidRPr="00107B81">
        <w:rPr>
          <w:szCs w:val="26"/>
        </w:rPr>
        <w:t>epartment</w:t>
      </w:r>
      <w:proofErr w:type="spellEnd"/>
      <w:r w:rsidRPr="00107B81">
        <w:rPr>
          <w:szCs w:val="26"/>
        </w:rPr>
        <w:t xml:space="preserve"> regarding their findings.”</w:t>
      </w:r>
    </w:p>
    <w:p w14:paraId="3E424A84" w14:textId="77777777" w:rsidR="00447998" w:rsidRPr="00107B81" w:rsidRDefault="00447998" w:rsidP="00322139">
      <w:pPr>
        <w:ind w:firstLine="720"/>
        <w:rPr>
          <w:szCs w:val="26"/>
        </w:rPr>
      </w:pPr>
      <w:r w:rsidRPr="00107B81">
        <w:rPr>
          <w:szCs w:val="26"/>
        </w:rPr>
        <w:t>Hayashi</w:t>
      </w:r>
      <w:r w:rsidRPr="00107B81">
        <w:rPr>
          <w:szCs w:val="26"/>
        </w:rPr>
        <w:t xml:space="preserve"> </w:t>
      </w:r>
      <w:r w:rsidRPr="00107B81">
        <w:rPr>
          <w:szCs w:val="26"/>
        </w:rPr>
        <w:t xml:space="preserve">averred in a declaration, “The </w:t>
      </w:r>
      <w:r w:rsidRPr="00107B81">
        <w:rPr>
          <w:szCs w:val="26"/>
        </w:rPr>
        <w:t>[c]</w:t>
      </w:r>
      <w:proofErr w:type="spellStart"/>
      <w:r w:rsidRPr="00107B81">
        <w:rPr>
          <w:szCs w:val="26"/>
        </w:rPr>
        <w:t>laims</w:t>
      </w:r>
      <w:proofErr w:type="spellEnd"/>
      <w:r w:rsidRPr="00107B81">
        <w:rPr>
          <w:szCs w:val="26"/>
        </w:rPr>
        <w:t xml:space="preserve"> </w:t>
      </w:r>
      <w:r w:rsidRPr="00107B81">
        <w:rPr>
          <w:szCs w:val="26"/>
        </w:rPr>
        <w:t>[d]</w:t>
      </w:r>
      <w:proofErr w:type="spellStart"/>
      <w:r w:rsidRPr="00107B81">
        <w:rPr>
          <w:szCs w:val="26"/>
        </w:rPr>
        <w:t>epartment</w:t>
      </w:r>
      <w:proofErr w:type="spellEnd"/>
      <w:r w:rsidRPr="00107B81">
        <w:rPr>
          <w:szCs w:val="26"/>
        </w:rPr>
        <w:t xml:space="preserve"> regularly conducts investigations at the request of counsel and on the </w:t>
      </w:r>
      <w:r w:rsidRPr="00107B81">
        <w:rPr>
          <w:szCs w:val="26"/>
        </w:rPr>
        <w:t>[l]</w:t>
      </w:r>
      <w:r w:rsidRPr="00107B81">
        <w:rPr>
          <w:szCs w:val="26"/>
        </w:rPr>
        <w:t xml:space="preserve">aw </w:t>
      </w:r>
      <w:r w:rsidRPr="00107B81">
        <w:rPr>
          <w:szCs w:val="26"/>
        </w:rPr>
        <w:t>[d]</w:t>
      </w:r>
      <w:proofErr w:type="spellStart"/>
      <w:r w:rsidRPr="00107B81">
        <w:rPr>
          <w:szCs w:val="26"/>
        </w:rPr>
        <w:t>epartment’s</w:t>
      </w:r>
      <w:proofErr w:type="spellEnd"/>
      <w:r w:rsidRPr="00107B81">
        <w:rPr>
          <w:szCs w:val="26"/>
        </w:rPr>
        <w:t xml:space="preserve"> behalf, in order to assist attorneys in the rendering of legal advice, and in anticipation of litigation after wildfires.”  Hayashi </w:t>
      </w:r>
      <w:r w:rsidRPr="00107B81">
        <w:rPr>
          <w:szCs w:val="26"/>
        </w:rPr>
        <w:t>stated that</w:t>
      </w:r>
      <w:r w:rsidRPr="00107B81">
        <w:rPr>
          <w:szCs w:val="26"/>
        </w:rPr>
        <w:t xml:space="preserve"> “</w:t>
      </w:r>
      <w:r w:rsidRPr="00107B81">
        <w:rPr>
          <w:szCs w:val="26"/>
        </w:rPr>
        <w:t>[</w:t>
      </w:r>
      <w:r w:rsidRPr="00107B81">
        <w:rPr>
          <w:szCs w:val="26"/>
        </w:rPr>
        <w:t>b</w:t>
      </w:r>
      <w:r w:rsidRPr="00107B81">
        <w:rPr>
          <w:szCs w:val="26"/>
        </w:rPr>
        <w:t>]</w:t>
      </w:r>
      <w:proofErr w:type="spellStart"/>
      <w:r w:rsidRPr="00107B81">
        <w:rPr>
          <w:szCs w:val="26"/>
        </w:rPr>
        <w:t>eginning</w:t>
      </w:r>
      <w:proofErr w:type="spellEnd"/>
      <w:r w:rsidRPr="00107B81">
        <w:rPr>
          <w:szCs w:val="26"/>
        </w:rPr>
        <w:t xml:space="preserve"> on December 5, 2017,” Cardoza directed the </w:t>
      </w:r>
      <w:r w:rsidRPr="00107B81">
        <w:rPr>
          <w:szCs w:val="26"/>
        </w:rPr>
        <w:t>c</w:t>
      </w:r>
      <w:r w:rsidRPr="00107B81">
        <w:rPr>
          <w:szCs w:val="26"/>
        </w:rPr>
        <w:t xml:space="preserve">laims </w:t>
      </w:r>
      <w:r w:rsidRPr="00107B81">
        <w:rPr>
          <w:szCs w:val="26"/>
        </w:rPr>
        <w:t>d</w:t>
      </w:r>
      <w:r w:rsidRPr="00107B81">
        <w:rPr>
          <w:szCs w:val="26"/>
        </w:rPr>
        <w:t>epartment to conduct such an investigation regarding the Creek Fire</w:t>
      </w:r>
      <w:r w:rsidRPr="00107B81">
        <w:rPr>
          <w:szCs w:val="26"/>
        </w:rPr>
        <w:t xml:space="preserve">, and he described </w:t>
      </w:r>
      <w:r w:rsidRPr="00107B81">
        <w:rPr>
          <w:szCs w:val="26"/>
        </w:rPr>
        <w:t xml:space="preserve">the role of the </w:t>
      </w:r>
      <w:r w:rsidRPr="00107B81">
        <w:rPr>
          <w:szCs w:val="26"/>
        </w:rPr>
        <w:t>c</w:t>
      </w:r>
      <w:r w:rsidRPr="00107B81">
        <w:rPr>
          <w:szCs w:val="26"/>
        </w:rPr>
        <w:t xml:space="preserve">laims </w:t>
      </w:r>
      <w:r w:rsidRPr="00107B81">
        <w:rPr>
          <w:szCs w:val="26"/>
        </w:rPr>
        <w:t>d</w:t>
      </w:r>
      <w:r w:rsidRPr="00107B81">
        <w:rPr>
          <w:szCs w:val="26"/>
        </w:rPr>
        <w:t>epartment consistent with Cardoza</w:t>
      </w:r>
      <w:r w:rsidRPr="00107B81">
        <w:rPr>
          <w:szCs w:val="26"/>
        </w:rPr>
        <w:t>’s declaration</w:t>
      </w:r>
      <w:r w:rsidRPr="00107B81">
        <w:rPr>
          <w:szCs w:val="26"/>
        </w:rPr>
        <w:t xml:space="preserve">.  </w:t>
      </w:r>
      <w:r w:rsidRPr="00107B81">
        <w:rPr>
          <w:szCs w:val="26"/>
        </w:rPr>
        <w:t>Hayashi testified at deposition that he sp</w:t>
      </w:r>
      <w:r w:rsidRPr="00107B81">
        <w:rPr>
          <w:szCs w:val="26"/>
        </w:rPr>
        <w:t xml:space="preserve">oke in the presence of a lawyer within 10 days after the fire began but could not recall which lawyer.  </w:t>
      </w:r>
      <w:r w:rsidRPr="00107B81">
        <w:rPr>
          <w:szCs w:val="26"/>
        </w:rPr>
        <w:t>Hayashi was a sender or recipient on 102 of the 108 documents at issue, and averred that all the communications were made “as part of and in furtherance of the investigation.”</w:t>
      </w:r>
    </w:p>
    <w:p w14:paraId="10316CB8" w14:textId="77777777" w:rsidR="00447998" w:rsidRPr="00107B81" w:rsidRDefault="00447998" w:rsidP="00413314">
      <w:pPr>
        <w:ind w:firstLine="720"/>
      </w:pPr>
      <w:r w:rsidRPr="00107B81">
        <w:rPr>
          <w:szCs w:val="26"/>
        </w:rPr>
        <w:t xml:space="preserve">Ramos, “the highest-ranking employee in” the claims department, authored a declaration mirroring Hayashi’s.  </w:t>
      </w:r>
      <w:r w:rsidRPr="00107B81">
        <w:rPr>
          <w:szCs w:val="26"/>
        </w:rPr>
        <w:t xml:space="preserve">Ramos testified </w:t>
      </w:r>
      <w:proofErr w:type="gramStart"/>
      <w:r w:rsidRPr="00107B81">
        <w:rPr>
          <w:szCs w:val="26"/>
        </w:rPr>
        <w:t>at deposition</w:t>
      </w:r>
      <w:proofErr w:type="gramEnd"/>
      <w:r w:rsidRPr="00107B81">
        <w:rPr>
          <w:szCs w:val="26"/>
        </w:rPr>
        <w:t xml:space="preserve"> that he is not a technical expert concerning electrical systems, so he relies on “subject matter experts” to obtain information.</w:t>
      </w:r>
    </w:p>
    <w:p w14:paraId="53247C40" w14:textId="77777777" w:rsidR="00447998" w:rsidRPr="00107B81" w:rsidRDefault="00447998" w:rsidP="001D4A90">
      <w:pPr>
        <w:ind w:firstLine="720"/>
      </w:pPr>
      <w:r w:rsidRPr="00107B81">
        <w:rPr>
          <w:szCs w:val="26"/>
        </w:rPr>
        <w:lastRenderedPageBreak/>
        <w:t xml:space="preserve">SCE contended that </w:t>
      </w:r>
      <w:r w:rsidRPr="00107B81">
        <w:rPr>
          <w:szCs w:val="26"/>
        </w:rPr>
        <w:t>the documents</w:t>
      </w:r>
      <w:r w:rsidRPr="00107B81">
        <w:rPr>
          <w:szCs w:val="26"/>
        </w:rPr>
        <w:t xml:space="preserve"> were</w:t>
      </w:r>
      <w:r w:rsidRPr="00107B81">
        <w:rPr>
          <w:szCs w:val="26"/>
        </w:rPr>
        <w:t xml:space="preserve"> </w:t>
      </w:r>
      <w:r w:rsidRPr="00107B81">
        <w:rPr>
          <w:szCs w:val="26"/>
        </w:rPr>
        <w:t xml:space="preserve">attorney-client privileged and </w:t>
      </w:r>
      <w:r w:rsidRPr="00107B81">
        <w:rPr>
          <w:szCs w:val="26"/>
        </w:rPr>
        <w:t xml:space="preserve">entitled to both absolute and </w:t>
      </w:r>
      <w:r w:rsidRPr="00107B81">
        <w:rPr>
          <w:szCs w:val="26"/>
        </w:rPr>
        <w:t>qualified protection under the attorney</w:t>
      </w:r>
      <w:r w:rsidRPr="00107B81">
        <w:rPr>
          <w:szCs w:val="26"/>
        </w:rPr>
        <w:t xml:space="preserve"> </w:t>
      </w:r>
      <w:r w:rsidRPr="00107B81">
        <w:rPr>
          <w:szCs w:val="26"/>
        </w:rPr>
        <w:t xml:space="preserve">work product doctrine.  </w:t>
      </w:r>
      <w:r w:rsidRPr="00107B81">
        <w:rPr>
          <w:szCs w:val="26"/>
        </w:rPr>
        <w:t xml:space="preserve">It </w:t>
      </w:r>
      <w:r w:rsidRPr="00107B81">
        <w:rPr>
          <w:szCs w:val="26"/>
        </w:rPr>
        <w:t xml:space="preserve">asserted that its obligation to report to PUC was irrelevant, noting </w:t>
      </w:r>
      <w:r w:rsidRPr="00107B81">
        <w:t xml:space="preserve">that PUC </w:t>
      </w:r>
      <w:r w:rsidRPr="00107B81">
        <w:t>r</w:t>
      </w:r>
      <w:r w:rsidRPr="00107B81">
        <w:t xml:space="preserve">ule 17 preserved attorney-client privilege </w:t>
      </w:r>
      <w:r w:rsidRPr="00107B81">
        <w:t xml:space="preserve">and work product protections </w:t>
      </w:r>
      <w:r w:rsidRPr="00107B81">
        <w:t xml:space="preserve">with respect to a utility’s investigation into a fire.  </w:t>
      </w:r>
      <w:r w:rsidRPr="00107B81">
        <w:t>It also argued that</w:t>
      </w:r>
      <w:r w:rsidRPr="00107B81">
        <w:t>, even if the investigation related to its disclosure obligations, the attorney-client privilege and work</w:t>
      </w:r>
      <w:r w:rsidRPr="00107B81">
        <w:t xml:space="preserve"> </w:t>
      </w:r>
      <w:r w:rsidRPr="00107B81">
        <w:t xml:space="preserve">product doctrine could still apply.  </w:t>
      </w:r>
      <w:r w:rsidRPr="00107B81">
        <w:t xml:space="preserve">SCE </w:t>
      </w:r>
      <w:r w:rsidRPr="00107B81">
        <w:t xml:space="preserve">further </w:t>
      </w:r>
      <w:r w:rsidRPr="00107B81">
        <w:t>contended that the attorney-client privilege and attorney work</w:t>
      </w:r>
      <w:r w:rsidRPr="00107B81">
        <w:t xml:space="preserve"> </w:t>
      </w:r>
      <w:r w:rsidRPr="00107B81">
        <w:t>product doctrine could protect communications between non-attorneys</w:t>
      </w:r>
      <w:r w:rsidRPr="00107B81">
        <w:t>.</w:t>
      </w:r>
    </w:p>
    <w:p w14:paraId="39BF7FF0" w14:textId="77777777" w:rsidR="00447998" w:rsidRPr="00107B81" w:rsidRDefault="00447998" w:rsidP="0024618E">
      <w:pPr>
        <w:pStyle w:val="ListParagraph"/>
        <w:numPr>
          <w:ilvl w:val="0"/>
          <w:numId w:val="19"/>
        </w:numPr>
        <w:spacing w:before="120"/>
        <w:ind w:left="720" w:hanging="720"/>
        <w:contextualSpacing w:val="0"/>
        <w:rPr>
          <w:b/>
          <w:bCs/>
        </w:rPr>
      </w:pPr>
      <w:r w:rsidRPr="00107B81">
        <w:rPr>
          <w:b/>
          <w:bCs/>
        </w:rPr>
        <w:t>The Court’s Ruling</w:t>
      </w:r>
      <w:r w:rsidRPr="00107B81">
        <w:rPr>
          <w:b/>
          <w:bCs/>
        </w:rPr>
        <w:t xml:space="preserve"> and SCE’s Writ Petition</w:t>
      </w:r>
    </w:p>
    <w:p w14:paraId="029BE81E" w14:textId="77777777" w:rsidR="00447998" w:rsidRPr="00107B81" w:rsidRDefault="00447998" w:rsidP="00041DF4">
      <w:pPr>
        <w:ind w:firstLine="720"/>
        <w:rPr>
          <w:szCs w:val="26"/>
        </w:rPr>
      </w:pPr>
      <w:r w:rsidRPr="00107B81">
        <w:rPr>
          <w:szCs w:val="26"/>
        </w:rPr>
        <w:t xml:space="preserve">On November 17, 2023, after hearing oral arguments, the trial court granted the motion to compel.  </w:t>
      </w:r>
      <w:r w:rsidRPr="00107B81">
        <w:rPr>
          <w:szCs w:val="26"/>
        </w:rPr>
        <w:t xml:space="preserve">As to the claim of attorney-client privilege, the court </w:t>
      </w:r>
      <w:r w:rsidRPr="00107B81">
        <w:rPr>
          <w:szCs w:val="26"/>
        </w:rPr>
        <w:t xml:space="preserve">noted that </w:t>
      </w:r>
      <w:r w:rsidRPr="00107B81">
        <w:rPr>
          <w:szCs w:val="26"/>
        </w:rPr>
        <w:t xml:space="preserve">none of the documents </w:t>
      </w:r>
      <w:r w:rsidRPr="00107B81">
        <w:rPr>
          <w:szCs w:val="26"/>
        </w:rPr>
        <w:t>w</w:t>
      </w:r>
      <w:r w:rsidRPr="00107B81">
        <w:rPr>
          <w:szCs w:val="26"/>
        </w:rPr>
        <w:t>as</w:t>
      </w:r>
      <w:r w:rsidRPr="00107B81">
        <w:rPr>
          <w:szCs w:val="26"/>
        </w:rPr>
        <w:t xml:space="preserve"> sent to or from </w:t>
      </w:r>
      <w:r w:rsidRPr="00107B81">
        <w:rPr>
          <w:szCs w:val="26"/>
        </w:rPr>
        <w:t>SCE counsel</w:t>
      </w:r>
      <w:r w:rsidRPr="00107B81">
        <w:rPr>
          <w:szCs w:val="26"/>
        </w:rPr>
        <w:t>.  As for the attorney work product claim, the court concluded “SCE has not shown that the documents at issue involve opinions, communications, impressions, conclusions, or legal research or theories of any attorney,” stating, “All that has been shown is that these documents involve communications and</w:t>
      </w:r>
      <w:r w:rsidRPr="00107B81">
        <w:t xml:space="preserve"> </w:t>
      </w:r>
      <w:r w:rsidRPr="00107B81">
        <w:rPr>
          <w:szCs w:val="26"/>
        </w:rPr>
        <w:t xml:space="preserve">impressions among investigators or employees, that is, non-attorneys.”  </w:t>
      </w:r>
      <w:r w:rsidRPr="00107B81">
        <w:rPr>
          <w:szCs w:val="26"/>
        </w:rPr>
        <w:t xml:space="preserve">The court also </w:t>
      </w:r>
      <w:r w:rsidRPr="00107B81">
        <w:rPr>
          <w:szCs w:val="26"/>
        </w:rPr>
        <w:t>found that SCE had not “adequately establish[ed]” that the Claims employees and other SCE employees were acting</w:t>
      </w:r>
      <w:r w:rsidRPr="00107B81">
        <w:rPr>
          <w:szCs w:val="26"/>
        </w:rPr>
        <w:t xml:space="preserve"> as agents for SCE counsel. </w:t>
      </w:r>
      <w:r w:rsidRPr="00107B81">
        <w:rPr>
          <w:szCs w:val="26"/>
        </w:rPr>
        <w:t xml:space="preserve"> </w:t>
      </w:r>
      <w:r w:rsidRPr="00107B81">
        <w:rPr>
          <w:szCs w:val="26"/>
        </w:rPr>
        <w:t xml:space="preserve">It accepted plaintiffs’ argument that the </w:t>
      </w:r>
      <w:r w:rsidRPr="00107B81">
        <w:rPr>
          <w:szCs w:val="26"/>
        </w:rPr>
        <w:t xml:space="preserve">investigation’s </w:t>
      </w:r>
      <w:r w:rsidRPr="00107B81">
        <w:rPr>
          <w:szCs w:val="26"/>
        </w:rPr>
        <w:t xml:space="preserve">dominant </w:t>
      </w:r>
      <w:r w:rsidRPr="00107B81">
        <w:rPr>
          <w:szCs w:val="26"/>
        </w:rPr>
        <w:t>purpose was</w:t>
      </w:r>
      <w:r w:rsidRPr="00107B81">
        <w:rPr>
          <w:szCs w:val="26"/>
        </w:rPr>
        <w:t xml:space="preserve"> not legal advice</w:t>
      </w:r>
      <w:r w:rsidRPr="00107B81">
        <w:rPr>
          <w:szCs w:val="26"/>
        </w:rPr>
        <w:t xml:space="preserve">, </w:t>
      </w:r>
      <w:r w:rsidRPr="00107B81">
        <w:rPr>
          <w:szCs w:val="26"/>
        </w:rPr>
        <w:t xml:space="preserve">stating </w:t>
      </w:r>
      <w:r w:rsidRPr="00107B81">
        <w:rPr>
          <w:szCs w:val="26"/>
        </w:rPr>
        <w:t xml:space="preserve">“[it] defies logic to accept that the dominant purpose of </w:t>
      </w:r>
      <w:r w:rsidRPr="00107B81">
        <w:rPr>
          <w:szCs w:val="26"/>
        </w:rPr>
        <w:t>[</w:t>
      </w:r>
      <w:r w:rsidRPr="00107B81">
        <w:rPr>
          <w:szCs w:val="26"/>
        </w:rPr>
        <w:t xml:space="preserve">the SCE employees’] investigation into the Creek Fire was simply to aid counsel in advising SCE of its legal rights and responsibilities and not a critical business decision to prevent further chaos to its </w:t>
      </w:r>
      <w:r w:rsidRPr="00107B81">
        <w:rPr>
          <w:szCs w:val="26"/>
        </w:rPr>
        <w:lastRenderedPageBreak/>
        <w:t xml:space="preserve">customers, </w:t>
      </w:r>
      <w:r w:rsidRPr="00107B81">
        <w:rPr>
          <w:szCs w:val="26"/>
        </w:rPr>
        <w:t xml:space="preserve">[and] </w:t>
      </w:r>
      <w:r w:rsidRPr="00107B81">
        <w:rPr>
          <w:szCs w:val="26"/>
        </w:rPr>
        <w:t xml:space="preserve">most importantly, to comply with its legal requirement </w:t>
      </w:r>
      <w:r>
        <w:rPr>
          <w:szCs w:val="26"/>
        </w:rPr>
        <w:t>[as a]</w:t>
      </w:r>
      <w:r w:rsidRPr="00107B81">
        <w:rPr>
          <w:szCs w:val="26"/>
        </w:rPr>
        <w:t xml:space="preserve"> highly-regulated entity, that is, </w:t>
      </w:r>
      <w:r w:rsidRPr="00107B81">
        <w:rPr>
          <w:szCs w:val="26"/>
        </w:rPr>
        <w:t xml:space="preserve">to determine the cause of the fire and minimize the possibility of reoccurrence.”  </w:t>
      </w:r>
      <w:r w:rsidRPr="00107B81">
        <w:rPr>
          <w:szCs w:val="26"/>
        </w:rPr>
        <w:t>While a</w:t>
      </w:r>
      <w:r w:rsidRPr="00107B81">
        <w:rPr>
          <w:szCs w:val="26"/>
        </w:rPr>
        <w:t>cknowledging that the withheld documents “may have relevance to some future yet still nonexistent lawsuit”</w:t>
      </w:r>
      <w:r w:rsidRPr="00107B81">
        <w:rPr>
          <w:szCs w:val="26"/>
        </w:rPr>
        <w:t xml:space="preserve"> when</w:t>
      </w:r>
      <w:r w:rsidRPr="00107B81">
        <w:rPr>
          <w:szCs w:val="26"/>
        </w:rPr>
        <w:t xml:space="preserve"> they were</w:t>
      </w:r>
      <w:r w:rsidRPr="00107B81">
        <w:rPr>
          <w:szCs w:val="26"/>
        </w:rPr>
        <w:t xml:space="preserve"> created,</w:t>
      </w:r>
      <w:r w:rsidRPr="00107B81">
        <w:rPr>
          <w:szCs w:val="26"/>
        </w:rPr>
        <w:t xml:space="preserve"> the court found the documents were related to “legal compliance,” which it characterized as “a business purpose,” and which, in the court’s view, “dominate[d] over anticipated litigation.”</w:t>
      </w:r>
    </w:p>
    <w:p w14:paraId="322476C7" w14:textId="77777777" w:rsidR="00447998" w:rsidRPr="00107B81" w:rsidRDefault="00447998" w:rsidP="00BD5668">
      <w:pPr>
        <w:ind w:firstLine="720"/>
      </w:pPr>
      <w:r w:rsidRPr="00107B81">
        <w:rPr>
          <w:szCs w:val="26"/>
        </w:rPr>
        <w:t xml:space="preserve">The court found the documents at issue discoverable, </w:t>
      </w:r>
      <w:r w:rsidRPr="00107B81">
        <w:rPr>
          <w:szCs w:val="26"/>
        </w:rPr>
        <w:t>stating</w:t>
      </w:r>
      <w:r w:rsidRPr="00107B81">
        <w:rPr>
          <w:szCs w:val="26"/>
        </w:rPr>
        <w:t xml:space="preserve"> </w:t>
      </w:r>
      <w:r w:rsidRPr="00107B81">
        <w:rPr>
          <w:szCs w:val="26"/>
        </w:rPr>
        <w:t xml:space="preserve">that </w:t>
      </w:r>
      <w:r w:rsidRPr="00107B81">
        <w:rPr>
          <w:szCs w:val="26"/>
        </w:rPr>
        <w:t>they</w:t>
      </w:r>
      <w:r w:rsidRPr="00107B81">
        <w:rPr>
          <w:szCs w:val="26"/>
        </w:rPr>
        <w:t xml:space="preserve"> </w:t>
      </w:r>
      <w:r w:rsidRPr="00107B81">
        <w:rPr>
          <w:szCs w:val="26"/>
        </w:rPr>
        <w:t>concerned</w:t>
      </w:r>
      <w:r w:rsidRPr="00107B81">
        <w:rPr>
          <w:szCs w:val="26"/>
        </w:rPr>
        <w:t xml:space="preserve"> “circuit irregularities </w:t>
      </w:r>
      <w:r w:rsidRPr="00107B81">
        <w:rPr>
          <w:szCs w:val="26"/>
        </w:rPr>
        <w:t xml:space="preserve">[that] </w:t>
      </w:r>
      <w:r w:rsidRPr="00107B81">
        <w:rPr>
          <w:szCs w:val="26"/>
        </w:rPr>
        <w:t>would no doubt give a clear picture as to the causation of the Creek Fire, the scope of liability, and ultimately, as the sequence of events suggest, that SCE made a deliberate decision at various stages of its investigation to sidestep unfavorable evidence and/or allow blame to be placed on the LADWP.”</w:t>
      </w:r>
    </w:p>
    <w:p w14:paraId="3BED8CC2" w14:textId="77777777" w:rsidR="00447998" w:rsidRPr="0054000D" w:rsidRDefault="00447998" w:rsidP="00F73152">
      <w:pPr>
        <w:pStyle w:val="ListParagraph"/>
        <w:ind w:left="0" w:firstLine="720"/>
        <w:contextualSpacing w:val="0"/>
      </w:pPr>
      <w:r w:rsidRPr="00107B81">
        <w:t xml:space="preserve">SCE </w:t>
      </w:r>
      <w:r w:rsidRPr="00107B81">
        <w:t xml:space="preserve">thereafter </w:t>
      </w:r>
      <w:r w:rsidRPr="00107B81">
        <w:t xml:space="preserve">filed a petition for writ of mandate or prohibition </w:t>
      </w:r>
      <w:r w:rsidRPr="00107B81">
        <w:t>in this court, contending the</w:t>
      </w:r>
      <w:r w:rsidRPr="00107B81">
        <w:t xml:space="preserve"> trial</w:t>
      </w:r>
      <w:r w:rsidRPr="00107B81">
        <w:t xml:space="preserve"> court erred in granting plaintiffs’ motion to compel</w:t>
      </w:r>
      <w:r w:rsidRPr="00107B81">
        <w:t>.</w:t>
      </w:r>
      <w:r w:rsidRPr="00107B81">
        <w:t xml:space="preserve">  W</w:t>
      </w:r>
      <w:r w:rsidRPr="00107B81">
        <w:t>e issued an order to show cause why a peremptory writ of mandate should not issue directing the trial court to vacate its order and enter a new order</w:t>
      </w:r>
      <w:r w:rsidRPr="00107B81">
        <w:t xml:space="preserve"> denying plaintiffs’ motion to compel</w:t>
      </w:r>
      <w:r w:rsidRPr="00107B81">
        <w:t xml:space="preserve">, and </w:t>
      </w:r>
      <w:r w:rsidRPr="00107B81">
        <w:t>plaintiffs and S</w:t>
      </w:r>
      <w:r w:rsidRPr="00107B81">
        <w:t>C</w:t>
      </w:r>
      <w:r w:rsidRPr="00107B81">
        <w:t>E fully briefed the question</w:t>
      </w:r>
      <w:r w:rsidRPr="00107B81">
        <w:t>.</w:t>
      </w:r>
      <w:r>
        <w:rPr>
          <w:rStyle w:val="FootnoteReference"/>
          <w:b/>
          <w:position w:val="8"/>
          <w:sz w:val="20"/>
          <w:vertAlign w:val="baseline"/>
        </w:rPr>
        <w:footnoteReference w:id="3"/>
      </w:r>
    </w:p>
    <w:p w14:paraId="233DBE81" w14:textId="77777777" w:rsidR="00447998" w:rsidRPr="00107B81" w:rsidRDefault="00447998" w:rsidP="006329A2">
      <w:pPr>
        <w:pStyle w:val="ListParagraph"/>
        <w:keepNext/>
        <w:spacing w:before="120" w:after="120"/>
        <w:ind w:left="0"/>
        <w:contextualSpacing w:val="0"/>
        <w:jc w:val="center"/>
      </w:pPr>
      <w:r w:rsidRPr="00107B81">
        <w:rPr>
          <w:b/>
          <w:bCs/>
        </w:rPr>
        <w:lastRenderedPageBreak/>
        <w:t>DISCUSSION</w:t>
      </w:r>
    </w:p>
    <w:p w14:paraId="12C20E0B" w14:textId="77777777" w:rsidR="00447998" w:rsidRPr="00107B81" w:rsidRDefault="00447998" w:rsidP="006329A2">
      <w:pPr>
        <w:pStyle w:val="ListParagraph"/>
        <w:keepNext/>
        <w:numPr>
          <w:ilvl w:val="0"/>
          <w:numId w:val="20"/>
        </w:numPr>
        <w:ind w:left="720"/>
        <w:contextualSpacing w:val="0"/>
        <w:rPr>
          <w:b/>
        </w:rPr>
      </w:pPr>
      <w:r w:rsidRPr="00107B81">
        <w:rPr>
          <w:b/>
        </w:rPr>
        <w:t>Standard of Review</w:t>
      </w:r>
    </w:p>
    <w:p w14:paraId="39A171CC" w14:textId="77777777" w:rsidR="00447998" w:rsidRPr="00107B81" w:rsidRDefault="00447998" w:rsidP="00AC12C3">
      <w:pPr>
        <w:ind w:firstLine="720"/>
        <w:rPr>
          <w:szCs w:val="26"/>
        </w:rPr>
      </w:pPr>
      <w:proofErr w:type="gramStart"/>
      <w:r w:rsidRPr="00107B81">
        <w:rPr>
          <w:szCs w:val="26"/>
        </w:rPr>
        <w:t>“ ‘</w:t>
      </w:r>
      <w:proofErr w:type="gramEnd"/>
      <w:r w:rsidRPr="00107B81">
        <w:rPr>
          <w:szCs w:val="26"/>
        </w:rPr>
        <w:t>[W]here the petitioner seeks relief from a discovery order that may undermine a privilege, we review the trial court’s order by way of extraordinary writ.’  [Citation.]”  (</w:t>
      </w:r>
      <w:r w:rsidRPr="00107B81">
        <w:rPr>
          <w:i/>
          <w:iCs/>
          <w:szCs w:val="26"/>
        </w:rPr>
        <w:t xml:space="preserve">Doe 2 v. Superior Court </w:t>
      </w:r>
      <w:r w:rsidRPr="00107B81">
        <w:rPr>
          <w:szCs w:val="26"/>
        </w:rPr>
        <w:t>(2005) 132 Cal.App.4th 1504, 1515.)</w:t>
      </w:r>
    </w:p>
    <w:p w14:paraId="019762A0" w14:textId="77777777" w:rsidR="00447998" w:rsidRPr="00107B81" w:rsidRDefault="00447998" w:rsidP="00284C43">
      <w:pPr>
        <w:ind w:firstLine="720"/>
        <w:rPr>
          <w:szCs w:val="26"/>
        </w:rPr>
      </w:pPr>
      <w:r w:rsidRPr="00107B81">
        <w:rPr>
          <w:szCs w:val="26"/>
        </w:rPr>
        <w:t xml:space="preserve">“A trial court’s determination of a motion to compel discovery is reviewed for abuse of discretion.  [Citation.]  An abuse of discretion is shown when the trial court applies the wrong legal </w:t>
      </w:r>
      <w:r w:rsidRPr="00107B81">
        <w:rPr>
          <w:szCs w:val="26"/>
        </w:rPr>
        <w:t>standard.  [Citation.]  However, when the facts asserted in support of and in opposition to the motion are in conflict, the trial court</w:t>
      </w:r>
      <w:r w:rsidRPr="00107B81">
        <w:rPr>
          <w:szCs w:val="26"/>
        </w:rPr>
        <w:t>’</w:t>
      </w:r>
      <w:r w:rsidRPr="00107B81">
        <w:rPr>
          <w:szCs w:val="26"/>
        </w:rPr>
        <w:t>s factual findings will be upheld if they are supported by substantial evidence.</w:t>
      </w:r>
      <w:r w:rsidRPr="00107B81">
        <w:rPr>
          <w:szCs w:val="26"/>
        </w:rPr>
        <w:t xml:space="preserve">  [Citation</w:t>
      </w:r>
      <w:r w:rsidRPr="00107B81">
        <w:rPr>
          <w:szCs w:val="26"/>
        </w:rPr>
        <w:t>s</w:t>
      </w:r>
      <w:r w:rsidRPr="00107B81">
        <w:rPr>
          <w:szCs w:val="26"/>
        </w:rPr>
        <w:t xml:space="preserve">.]”  </w:t>
      </w:r>
      <w:r w:rsidRPr="00107B81">
        <w:rPr>
          <w:szCs w:val="26"/>
        </w:rPr>
        <w:t>(</w:t>
      </w:r>
      <w:r w:rsidRPr="00107B81">
        <w:rPr>
          <w:i/>
          <w:iCs/>
          <w:szCs w:val="26"/>
        </w:rPr>
        <w:t xml:space="preserve">Costco Wholesale Corp. v. Superior Court </w:t>
      </w:r>
      <w:r w:rsidRPr="00107B81">
        <w:rPr>
          <w:szCs w:val="26"/>
        </w:rPr>
        <w:t xml:space="preserve">(2009) 47 Cal.4th 725, </w:t>
      </w:r>
      <w:r w:rsidRPr="00107B81">
        <w:rPr>
          <w:szCs w:val="26"/>
        </w:rPr>
        <w:t>733 (</w:t>
      </w:r>
      <w:r w:rsidRPr="00107B81">
        <w:rPr>
          <w:i/>
          <w:iCs/>
          <w:szCs w:val="26"/>
        </w:rPr>
        <w:t>Costco</w:t>
      </w:r>
      <w:r w:rsidRPr="00107B81">
        <w:rPr>
          <w:szCs w:val="26"/>
        </w:rPr>
        <w:t xml:space="preserve">).)  </w:t>
      </w:r>
      <w:r w:rsidRPr="00107B81">
        <w:rPr>
          <w:szCs w:val="26"/>
        </w:rPr>
        <w:t>“</w:t>
      </w:r>
      <w:r w:rsidRPr="00107B81">
        <w:rPr>
          <w:szCs w:val="26"/>
        </w:rPr>
        <w:t>[</w:t>
      </w:r>
      <w:r w:rsidRPr="00107B81">
        <w:rPr>
          <w:szCs w:val="26"/>
        </w:rPr>
        <w:t>W</w:t>
      </w:r>
      <w:r w:rsidRPr="00107B81">
        <w:rPr>
          <w:szCs w:val="26"/>
        </w:rPr>
        <w:t>]</w:t>
      </w:r>
      <w:r w:rsidRPr="00107B81">
        <w:rPr>
          <w:szCs w:val="26"/>
        </w:rPr>
        <w:t xml:space="preserve">e </w:t>
      </w:r>
      <w:proofErr w:type="gramStart"/>
      <w:r w:rsidRPr="00107B81">
        <w:rPr>
          <w:szCs w:val="26"/>
        </w:rPr>
        <w:t>apply</w:t>
      </w:r>
      <w:proofErr w:type="gramEnd"/>
      <w:r w:rsidRPr="00107B81">
        <w:rPr>
          <w:szCs w:val="26"/>
        </w:rPr>
        <w:t xml:space="preserve"> independent review to the trial court’s conclusions as to the legal significance of the facts.”  (</w:t>
      </w:r>
      <w:r w:rsidRPr="00107B81">
        <w:rPr>
          <w:i/>
          <w:iCs/>
          <w:szCs w:val="26"/>
        </w:rPr>
        <w:t>City of Petaluma v. Superior Court</w:t>
      </w:r>
      <w:r w:rsidRPr="00107B81">
        <w:rPr>
          <w:szCs w:val="26"/>
        </w:rPr>
        <w:t xml:space="preserve"> (2016) 248 Cal.App.4th 1023, 1031.)</w:t>
      </w:r>
    </w:p>
    <w:p w14:paraId="27AF3A7D" w14:textId="77777777" w:rsidR="00447998" w:rsidRPr="00107B81" w:rsidRDefault="00447998" w:rsidP="001C6D42">
      <w:pPr>
        <w:pStyle w:val="ListParagraph"/>
        <w:numPr>
          <w:ilvl w:val="0"/>
          <w:numId w:val="20"/>
        </w:numPr>
        <w:spacing w:before="120"/>
        <w:ind w:left="720"/>
        <w:contextualSpacing w:val="0"/>
        <w:rPr>
          <w:b/>
        </w:rPr>
      </w:pPr>
      <w:r w:rsidRPr="00107B81">
        <w:rPr>
          <w:b/>
        </w:rPr>
        <w:t>The Attorney Work Product Doctrine</w:t>
      </w:r>
    </w:p>
    <w:p w14:paraId="0863A741" w14:textId="77777777" w:rsidR="00447998" w:rsidRPr="00107B81" w:rsidRDefault="00447998" w:rsidP="00E03FD7">
      <w:pPr>
        <w:ind w:firstLine="720"/>
        <w:rPr>
          <w:rStyle w:val="normaltextrun"/>
          <w:color w:val="000000"/>
          <w:shd w:val="clear" w:color="auto" w:fill="FFFFFF"/>
        </w:rPr>
      </w:pPr>
      <w:r w:rsidRPr="00107B81">
        <w:rPr>
          <w:rStyle w:val="normaltextrun"/>
          <w:color w:val="000000"/>
          <w:shd w:val="clear" w:color="auto" w:fill="FFFFFF"/>
        </w:rPr>
        <w:t>California law</w:t>
      </w:r>
      <w:r w:rsidRPr="00107B81">
        <w:rPr>
          <w:rStyle w:val="normaltextrun"/>
          <w:color w:val="000000"/>
          <w:shd w:val="clear" w:color="auto" w:fill="FFFFFF"/>
        </w:rPr>
        <w:t xml:space="preserve"> shields</w:t>
      </w:r>
      <w:r w:rsidRPr="00107B81">
        <w:rPr>
          <w:rStyle w:val="normaltextrun"/>
          <w:color w:val="000000"/>
          <w:shd w:val="clear" w:color="auto" w:fill="FFFFFF"/>
        </w:rPr>
        <w:t xml:space="preserve"> the “work product” of an attorney from disc</w:t>
      </w:r>
      <w:r w:rsidRPr="00107B81">
        <w:rPr>
          <w:rStyle w:val="normaltextrun"/>
          <w:color w:val="000000"/>
          <w:shd w:val="clear" w:color="auto" w:fill="FFFFFF"/>
        </w:rPr>
        <w:t xml:space="preserve">losure </w:t>
      </w:r>
      <w:r w:rsidRPr="00107B81">
        <w:rPr>
          <w:rStyle w:val="normaltextrun"/>
          <w:color w:val="000000"/>
          <w:shd w:val="clear" w:color="auto" w:fill="FFFFFF"/>
        </w:rPr>
        <w:t>in litigation.</w:t>
      </w:r>
      <w:r w:rsidRPr="00107B81">
        <w:rPr>
          <w:rStyle w:val="normaltextrun"/>
          <w:color w:val="000000"/>
          <w:shd w:val="clear" w:color="auto" w:fill="FFFFFF"/>
        </w:rPr>
        <w:t xml:space="preserve">  </w:t>
      </w:r>
      <w:r w:rsidRPr="00107B81">
        <w:rPr>
          <w:rStyle w:val="normaltextrun"/>
          <w:color w:val="000000"/>
          <w:shd w:val="clear" w:color="auto" w:fill="FFFFFF"/>
        </w:rPr>
        <w:t>The</w:t>
      </w:r>
      <w:r w:rsidRPr="00107B81">
        <w:rPr>
          <w:rStyle w:val="normaltextrun"/>
          <w:color w:val="000000"/>
          <w:shd w:val="clear" w:color="auto" w:fill="FFFFFF"/>
        </w:rPr>
        <w:t xml:space="preserve"> legislative</w:t>
      </w:r>
      <w:r w:rsidRPr="00107B81">
        <w:rPr>
          <w:rStyle w:val="normaltextrun"/>
          <w:color w:val="000000"/>
          <w:shd w:val="clear" w:color="auto" w:fill="FFFFFF"/>
        </w:rPr>
        <w:t xml:space="preserve"> policy </w:t>
      </w:r>
      <w:r w:rsidRPr="00107B81">
        <w:rPr>
          <w:rStyle w:val="normaltextrun"/>
          <w:color w:val="000000"/>
          <w:shd w:val="clear" w:color="auto" w:fill="FFFFFF"/>
        </w:rPr>
        <w:t xml:space="preserve">for affording </w:t>
      </w:r>
      <w:r w:rsidRPr="00107B81">
        <w:rPr>
          <w:rStyle w:val="normaltextrun"/>
          <w:color w:val="000000"/>
          <w:shd w:val="clear" w:color="auto" w:fill="FFFFFF"/>
        </w:rPr>
        <w:t>this protection</w:t>
      </w:r>
      <w:r w:rsidRPr="00107B81">
        <w:rPr>
          <w:rStyle w:val="normaltextrun"/>
          <w:color w:val="000000"/>
          <w:shd w:val="clear" w:color="auto" w:fill="FFFFFF"/>
        </w:rPr>
        <w:t xml:space="preserve"> is to “</w:t>
      </w:r>
      <w:r w:rsidRPr="00107B81">
        <w:rPr>
          <w:rStyle w:val="normaltextrun"/>
          <w:color w:val="000000"/>
          <w:shd w:val="clear" w:color="auto" w:fill="FFFFFF"/>
        </w:rPr>
        <w:t xml:space="preserve">[p]reserve the rights of attorneys to prepare cases for trial with that degree of </w:t>
      </w:r>
      <w:r w:rsidRPr="00107B81">
        <w:rPr>
          <w:rStyle w:val="normaltextrun"/>
          <w:color w:val="000000"/>
          <w:shd w:val="clear" w:color="auto" w:fill="FFFFFF"/>
        </w:rPr>
        <w:t xml:space="preserve">privacy necessary to encourage them to prepare their cases thoroughly and to investigate not only the favorable but the unfavorable aspects of those cases” </w:t>
      </w:r>
      <w:r w:rsidRPr="00107B81">
        <w:rPr>
          <w:rStyle w:val="normaltextrun"/>
          <w:color w:val="000000"/>
          <w:shd w:val="clear" w:color="auto" w:fill="FFFFFF"/>
        </w:rPr>
        <w:lastRenderedPageBreak/>
        <w:t>(</w:t>
      </w:r>
      <w:r w:rsidRPr="00107B81">
        <w:rPr>
          <w:rStyle w:val="normaltextrun"/>
          <w:color w:val="000000"/>
          <w:shd w:val="clear" w:color="auto" w:fill="FFFFFF"/>
        </w:rPr>
        <w:t>Code Civ. Proc.,</w:t>
      </w:r>
      <w:r>
        <w:rPr>
          <w:rStyle w:val="FootnoteReference"/>
          <w:b/>
          <w:position w:val="8"/>
          <w:sz w:val="20"/>
          <w:shd w:val="clear" w:color="auto" w:fill="FFFFFF"/>
          <w:vertAlign w:val="baseline"/>
        </w:rPr>
        <w:footnoteReference w:id="4"/>
      </w:r>
      <w:r w:rsidRPr="00107B81">
        <w:rPr>
          <w:rStyle w:val="normaltextrun"/>
          <w:color w:val="000000"/>
          <w:shd w:val="clear" w:color="auto" w:fill="FFFFFF"/>
        </w:rPr>
        <w:t xml:space="preserve"> </w:t>
      </w:r>
      <w:r w:rsidRPr="00107B81">
        <w:rPr>
          <w:rStyle w:val="normaltextrun"/>
          <w:color w:val="000000"/>
          <w:shd w:val="clear" w:color="auto" w:fill="FFFFFF"/>
        </w:rPr>
        <w:t>§</w:t>
      </w:r>
      <w:r w:rsidRPr="00107B81">
        <w:rPr>
          <w:rStyle w:val="normaltextrun"/>
          <w:color w:val="000000"/>
          <w:shd w:val="clear" w:color="auto" w:fill="FFFFFF"/>
        </w:rPr>
        <w:t> </w:t>
      </w:r>
      <w:r w:rsidRPr="00107B81">
        <w:rPr>
          <w:rStyle w:val="normaltextrun"/>
          <w:color w:val="000000"/>
          <w:shd w:val="clear" w:color="auto" w:fill="FFFFFF"/>
        </w:rPr>
        <w:t>2018.020, subd. (a))</w:t>
      </w:r>
      <w:r w:rsidRPr="00107B81">
        <w:rPr>
          <w:rStyle w:val="normaltextrun"/>
          <w:color w:val="000000"/>
          <w:shd w:val="clear" w:color="auto" w:fill="FFFFFF"/>
        </w:rPr>
        <w:t xml:space="preserve"> </w:t>
      </w:r>
      <w:r w:rsidRPr="00107B81">
        <w:rPr>
          <w:rStyle w:val="normaltextrun"/>
          <w:color w:val="000000"/>
          <w:shd w:val="clear" w:color="auto" w:fill="FFFFFF"/>
        </w:rPr>
        <w:t>and “</w:t>
      </w:r>
      <w:r w:rsidRPr="00107B81">
        <w:rPr>
          <w:rStyle w:val="normaltextrun"/>
          <w:color w:val="000000"/>
          <w:shd w:val="clear" w:color="auto" w:fill="FFFFFF"/>
        </w:rPr>
        <w:t>[p]</w:t>
      </w:r>
      <w:proofErr w:type="spellStart"/>
      <w:r w:rsidRPr="00107B81">
        <w:rPr>
          <w:rStyle w:val="normaltextrun"/>
          <w:color w:val="000000"/>
          <w:shd w:val="clear" w:color="auto" w:fill="FFFFFF"/>
        </w:rPr>
        <w:t>revent</w:t>
      </w:r>
      <w:proofErr w:type="spellEnd"/>
      <w:r w:rsidRPr="00107B81">
        <w:rPr>
          <w:rStyle w:val="normaltextrun"/>
          <w:color w:val="000000"/>
          <w:shd w:val="clear" w:color="auto" w:fill="FFFFFF"/>
        </w:rPr>
        <w:t xml:space="preserve"> attorneys from taking undue advantage of their adversary’s industry and efforts” </w:t>
      </w:r>
      <w:r w:rsidRPr="00107B81">
        <w:rPr>
          <w:rStyle w:val="normaltextrun"/>
          <w:color w:val="000000"/>
          <w:shd w:val="clear" w:color="auto" w:fill="FFFFFF"/>
        </w:rPr>
        <w:t>(</w:t>
      </w:r>
      <w:r w:rsidRPr="00107B81">
        <w:rPr>
          <w:rStyle w:val="normaltextrun"/>
          <w:i/>
          <w:iCs/>
          <w:color w:val="000000"/>
          <w:shd w:val="clear" w:color="auto" w:fill="FFFFFF"/>
        </w:rPr>
        <w:t>id</w:t>
      </w:r>
      <w:r w:rsidRPr="00107B81">
        <w:rPr>
          <w:rStyle w:val="normaltextrun"/>
          <w:color w:val="000000"/>
          <w:shd w:val="clear" w:color="auto" w:fill="FFFFFF"/>
        </w:rPr>
        <w:t>., subd. (</w:t>
      </w:r>
      <w:proofErr w:type="gramStart"/>
      <w:r w:rsidRPr="00107B81">
        <w:rPr>
          <w:rStyle w:val="normaltextrun"/>
          <w:color w:val="000000"/>
          <w:shd w:val="clear" w:color="auto" w:fill="FFFFFF"/>
        </w:rPr>
        <w:t>b))</w:t>
      </w:r>
      <w:proofErr w:type="gramEnd"/>
      <w:r w:rsidRPr="00107B81">
        <w:rPr>
          <w:rStyle w:val="normaltextrun"/>
          <w:color w:val="000000"/>
          <w:shd w:val="clear" w:color="auto" w:fill="FFFFFF"/>
        </w:rPr>
        <w:t>.</w:t>
      </w:r>
      <w:r w:rsidRPr="00107B81">
        <w:rPr>
          <w:rStyle w:val="normaltextrun"/>
          <w:color w:val="000000"/>
          <w:shd w:val="clear" w:color="auto" w:fill="FFFFFF"/>
        </w:rPr>
        <w:t xml:space="preserve">  To that end, subdivision (a) of section 2018.030 describes what is known as “absolute” work</w:t>
      </w:r>
      <w:r w:rsidRPr="00107B81">
        <w:rPr>
          <w:rStyle w:val="normaltextrun"/>
          <w:color w:val="000000"/>
          <w:shd w:val="clear" w:color="auto" w:fill="FFFFFF"/>
        </w:rPr>
        <w:t xml:space="preserve"> </w:t>
      </w:r>
      <w:r w:rsidRPr="00107B81">
        <w:rPr>
          <w:rStyle w:val="normaltextrun"/>
          <w:color w:val="000000"/>
          <w:shd w:val="clear" w:color="auto" w:fill="FFFFFF"/>
        </w:rPr>
        <w:t xml:space="preserve">product protection, while subdivision (b) describes “qualified” protection.  </w:t>
      </w:r>
      <w:r w:rsidRPr="00107B81">
        <w:rPr>
          <w:rStyle w:val="normaltextrun"/>
          <w:color w:val="000000"/>
          <w:shd w:val="clear" w:color="auto" w:fill="FFFFFF"/>
        </w:rPr>
        <w:t xml:space="preserve">“A writing that reflects an attorney’s impressions, conclusions, opinions, or legal research or theories is not discoverable under any circumstances.”  </w:t>
      </w:r>
      <w:r w:rsidRPr="00107B81">
        <w:rPr>
          <w:rStyle w:val="normaltextrun"/>
          <w:color w:val="000000"/>
          <w:shd w:val="clear" w:color="auto" w:fill="FFFFFF"/>
        </w:rPr>
        <w:t>(</w:t>
      </w:r>
      <w:r w:rsidRPr="00107B81">
        <w:rPr>
          <w:rStyle w:val="normaltextrun"/>
          <w:i/>
          <w:iCs/>
          <w:color w:val="000000"/>
          <w:shd w:val="clear" w:color="auto" w:fill="FFFFFF"/>
        </w:rPr>
        <w:t>Id</w:t>
      </w:r>
      <w:r w:rsidRPr="00107B81">
        <w:rPr>
          <w:rStyle w:val="normaltextrun"/>
          <w:color w:val="000000"/>
          <w:shd w:val="clear" w:color="auto" w:fill="FFFFFF"/>
        </w:rPr>
        <w:t>.</w:t>
      </w:r>
      <w:r w:rsidRPr="00107B81">
        <w:rPr>
          <w:rStyle w:val="normaltextrun"/>
          <w:color w:val="000000"/>
          <w:shd w:val="clear" w:color="auto" w:fill="FFFFFF"/>
        </w:rPr>
        <w:t>, subd. (a)</w:t>
      </w:r>
      <w:r w:rsidRPr="00107B81">
        <w:rPr>
          <w:rStyle w:val="normaltextrun"/>
          <w:color w:val="000000"/>
          <w:shd w:val="clear" w:color="auto" w:fill="FFFFFF"/>
        </w:rPr>
        <w:t xml:space="preserve">.) </w:t>
      </w:r>
      <w:r w:rsidRPr="00107B81">
        <w:rPr>
          <w:rStyle w:val="normaltextrun"/>
          <w:color w:val="000000"/>
          <w:shd w:val="clear" w:color="auto" w:fill="FFFFFF"/>
        </w:rPr>
        <w:t xml:space="preserve"> A</w:t>
      </w:r>
      <w:r w:rsidRPr="00107B81">
        <w:rPr>
          <w:rStyle w:val="normaltextrun"/>
          <w:color w:val="000000"/>
          <w:shd w:val="clear" w:color="auto" w:fill="FFFFFF"/>
        </w:rPr>
        <w:t>ny</w:t>
      </w:r>
      <w:r w:rsidRPr="00107B81">
        <w:rPr>
          <w:rStyle w:val="normaltextrun"/>
          <w:color w:val="000000"/>
          <w:shd w:val="clear" w:color="auto" w:fill="FFFFFF"/>
        </w:rPr>
        <w:t xml:space="preserve"> </w:t>
      </w:r>
      <w:r w:rsidRPr="00107B81">
        <w:rPr>
          <w:rStyle w:val="normaltextrun"/>
          <w:color w:val="000000"/>
          <w:shd w:val="clear" w:color="auto" w:fill="FFFFFF"/>
        </w:rPr>
        <w:t xml:space="preserve">attorney </w:t>
      </w:r>
      <w:r w:rsidRPr="00107B81">
        <w:rPr>
          <w:rStyle w:val="normaltextrun"/>
          <w:color w:val="000000"/>
          <w:shd w:val="clear" w:color="auto" w:fill="FFFFFF"/>
        </w:rPr>
        <w:t>work</w:t>
      </w:r>
      <w:r w:rsidRPr="00107B81">
        <w:rPr>
          <w:rStyle w:val="normaltextrun"/>
          <w:color w:val="000000"/>
          <w:shd w:val="clear" w:color="auto" w:fill="FFFFFF"/>
        </w:rPr>
        <w:t xml:space="preserve"> </w:t>
      </w:r>
      <w:r w:rsidRPr="00107B81">
        <w:rPr>
          <w:rStyle w:val="normaltextrun"/>
          <w:color w:val="000000"/>
          <w:shd w:val="clear" w:color="auto" w:fill="FFFFFF"/>
        </w:rPr>
        <w:t xml:space="preserve">product that does not reflect </w:t>
      </w:r>
      <w:r w:rsidRPr="00107B81">
        <w:rPr>
          <w:rStyle w:val="normaltextrun"/>
          <w:color w:val="000000"/>
          <w:shd w:val="clear" w:color="auto" w:fill="FFFFFF"/>
        </w:rPr>
        <w:t>counsel</w:t>
      </w:r>
      <w:r w:rsidRPr="00107B81">
        <w:rPr>
          <w:rStyle w:val="normaltextrun"/>
          <w:color w:val="000000"/>
          <w:shd w:val="clear" w:color="auto" w:fill="FFFFFF"/>
        </w:rPr>
        <w:t xml:space="preserve">’s impressions, conclusions, opinions, or legal research or theories </w:t>
      </w:r>
      <w:r w:rsidRPr="00107B81">
        <w:rPr>
          <w:rStyle w:val="normaltextrun"/>
          <w:color w:val="000000"/>
          <w:shd w:val="clear" w:color="auto" w:fill="FFFFFF"/>
        </w:rPr>
        <w:t>“is not discoverable unless the court determines that denial of discovery will unfairly prejudice the party seeking discovery in preparing that party’s claim or defense or will result in an injustice.”</w:t>
      </w:r>
      <w:r w:rsidRPr="00107B81">
        <w:rPr>
          <w:rStyle w:val="normaltextrun"/>
          <w:color w:val="000000"/>
          <w:shd w:val="clear" w:color="auto" w:fill="FFFFFF"/>
        </w:rPr>
        <w:t xml:space="preserve"> </w:t>
      </w:r>
      <w:r w:rsidRPr="00107B81">
        <w:rPr>
          <w:rStyle w:val="normaltextrun"/>
          <w:color w:val="000000"/>
          <w:shd w:val="clear" w:color="auto" w:fill="FFFFFF"/>
        </w:rPr>
        <w:t xml:space="preserve"> </w:t>
      </w:r>
      <w:r w:rsidRPr="00107B81">
        <w:rPr>
          <w:rStyle w:val="normaltextrun"/>
          <w:color w:val="000000"/>
          <w:shd w:val="clear" w:color="auto" w:fill="FFFFFF"/>
        </w:rPr>
        <w:t>(</w:t>
      </w:r>
      <w:r w:rsidRPr="00107B81">
        <w:rPr>
          <w:rStyle w:val="normaltextrun"/>
          <w:i/>
          <w:iCs/>
          <w:color w:val="000000"/>
          <w:shd w:val="clear" w:color="auto" w:fill="FFFFFF"/>
        </w:rPr>
        <w:t>Id.</w:t>
      </w:r>
      <w:r w:rsidRPr="00107B81">
        <w:rPr>
          <w:rStyle w:val="normaltextrun"/>
          <w:color w:val="000000"/>
          <w:shd w:val="clear" w:color="auto" w:fill="FFFFFF"/>
        </w:rPr>
        <w:t>, subd. (b).)</w:t>
      </w:r>
    </w:p>
    <w:p w14:paraId="72141F6C" w14:textId="77777777" w:rsidR="00447998" w:rsidRPr="00107B81" w:rsidRDefault="00447998" w:rsidP="00E03FD7">
      <w:pPr>
        <w:ind w:firstLine="720"/>
        <w:rPr>
          <w:rStyle w:val="normaltextrun"/>
          <w:color w:val="000000"/>
          <w:shd w:val="clear" w:color="auto" w:fill="FFFFFF"/>
        </w:rPr>
      </w:pPr>
      <w:r w:rsidRPr="00107B81">
        <w:rPr>
          <w:rStyle w:val="normaltextrun"/>
          <w:color w:val="000000"/>
          <w:shd w:val="clear" w:color="auto" w:fill="FFFFFF"/>
        </w:rPr>
        <w:t>“[T]he Legislature in enacting section 2018.030 did not define ‘work product’ and instead left the term open to judicial interpretation.”  (</w:t>
      </w:r>
      <w:r w:rsidRPr="00107B81">
        <w:rPr>
          <w:rStyle w:val="normaltextrun"/>
          <w:i/>
          <w:iCs/>
          <w:color w:val="000000"/>
          <w:shd w:val="clear" w:color="auto" w:fill="FFFFFF"/>
        </w:rPr>
        <w:t>Coito v. Superior Court</w:t>
      </w:r>
      <w:r w:rsidRPr="00107B81">
        <w:rPr>
          <w:rStyle w:val="normaltextrun"/>
          <w:color w:val="000000"/>
          <w:shd w:val="clear" w:color="auto" w:fill="FFFFFF"/>
        </w:rPr>
        <w:t xml:space="preserve"> (2012) 54 Cal.4th 480, 494</w:t>
      </w:r>
      <w:r w:rsidRPr="00107B81">
        <w:rPr>
          <w:rStyle w:val="normaltextrun"/>
          <w:color w:val="000000"/>
          <w:shd w:val="clear" w:color="auto" w:fill="FFFFFF"/>
        </w:rPr>
        <w:t xml:space="preserve"> (</w:t>
      </w:r>
      <w:r w:rsidRPr="00107B81">
        <w:rPr>
          <w:rStyle w:val="normaltextrun"/>
          <w:i/>
          <w:iCs/>
          <w:color w:val="000000"/>
          <w:shd w:val="clear" w:color="auto" w:fill="FFFFFF"/>
        </w:rPr>
        <w:t>Coito</w:t>
      </w:r>
      <w:r w:rsidRPr="00107B81">
        <w:rPr>
          <w:rStyle w:val="normaltextrun"/>
          <w:color w:val="000000"/>
          <w:shd w:val="clear" w:color="auto" w:fill="FFFFFF"/>
        </w:rPr>
        <w:t>)</w:t>
      </w:r>
      <w:r w:rsidRPr="00107B81">
        <w:rPr>
          <w:rStyle w:val="normaltextrun"/>
          <w:color w:val="000000"/>
          <w:shd w:val="clear" w:color="auto" w:fill="FFFFFF"/>
        </w:rPr>
        <w:t xml:space="preserve">.)  </w:t>
      </w:r>
      <w:r w:rsidRPr="00107B81">
        <w:rPr>
          <w:rStyle w:val="normaltextrun"/>
          <w:color w:val="000000"/>
          <w:shd w:val="clear" w:color="auto" w:fill="FFFFFF"/>
        </w:rPr>
        <w:t xml:space="preserve">Courts have </w:t>
      </w:r>
      <w:r w:rsidRPr="00107B81">
        <w:rPr>
          <w:rStyle w:val="normaltextrun"/>
          <w:color w:val="000000"/>
          <w:shd w:val="clear" w:color="auto" w:fill="FFFFFF"/>
        </w:rPr>
        <w:t>defined attorney work</w:t>
      </w:r>
      <w:r w:rsidRPr="00107B81">
        <w:rPr>
          <w:rStyle w:val="normaltextrun"/>
          <w:color w:val="000000"/>
          <w:shd w:val="clear" w:color="auto" w:fill="FFFFFF"/>
        </w:rPr>
        <w:t xml:space="preserve"> </w:t>
      </w:r>
      <w:r w:rsidRPr="00107B81">
        <w:rPr>
          <w:rStyle w:val="normaltextrun"/>
          <w:color w:val="000000"/>
          <w:shd w:val="clear" w:color="auto" w:fill="FFFFFF"/>
        </w:rPr>
        <w:t>product as “</w:t>
      </w:r>
      <w:r w:rsidRPr="00107B81">
        <w:rPr>
          <w:rStyle w:val="normaltextrun"/>
          <w:color w:val="000000"/>
          <w:shd w:val="clear" w:color="auto" w:fill="FFFFFF"/>
        </w:rPr>
        <w:t xml:space="preserve">the product of the attorney’s </w:t>
      </w:r>
      <w:proofErr w:type="gramStart"/>
      <w:r w:rsidRPr="00107B81">
        <w:rPr>
          <w:rStyle w:val="normaltextrun"/>
          <w:color w:val="000000"/>
          <w:shd w:val="clear" w:color="auto" w:fill="FFFFFF"/>
        </w:rPr>
        <w:t>‘ “</w:t>
      </w:r>
      <w:proofErr w:type="gramEnd"/>
      <w:r w:rsidRPr="00107B81">
        <w:rPr>
          <w:rStyle w:val="normaltextrun"/>
          <w:color w:val="000000"/>
          <w:shd w:val="clear" w:color="auto" w:fill="FFFFFF"/>
        </w:rPr>
        <w:t>effort, research, and thought in the preparation of his client’s case.  It includes the results of his own work, and the work of those employed by him or for him by his client, in investigating both the favorable and unfavorable aspects of the case, the information thus assembled, and the legal theories and plan of strategy developed by the attorney—all as reflected in interviews, statements</w:t>
      </w:r>
      <w:r w:rsidRPr="00107B81">
        <w:rPr>
          <w:rStyle w:val="normaltextrun"/>
          <w:color w:val="000000"/>
          <w:shd w:val="clear" w:color="auto" w:fill="FFFFFF"/>
        </w:rPr>
        <w:t>, memoranda, correspondence, briefs, and any other writings reflecting the attorney’s ‘impressions, conclusions, opinions, or legal research or theories’ and in countless other tangible and intangible ways.” ’  ”  (</w:t>
      </w:r>
      <w:r w:rsidRPr="00107B81">
        <w:rPr>
          <w:rStyle w:val="normaltextrun"/>
          <w:i/>
          <w:iCs/>
          <w:color w:val="000000"/>
          <w:shd w:val="clear" w:color="auto" w:fill="FFFFFF"/>
        </w:rPr>
        <w:t xml:space="preserve">Meza v. </w:t>
      </w:r>
      <w:r w:rsidRPr="00107B81">
        <w:rPr>
          <w:rStyle w:val="normaltextrun"/>
          <w:i/>
          <w:iCs/>
          <w:color w:val="000000"/>
          <w:shd w:val="clear" w:color="auto" w:fill="FFFFFF"/>
        </w:rPr>
        <w:lastRenderedPageBreak/>
        <w:t>H. Muehlstein &amp; Co., Inc.</w:t>
      </w:r>
      <w:r w:rsidRPr="00107B81">
        <w:rPr>
          <w:rStyle w:val="normaltextrun"/>
          <w:color w:val="000000"/>
          <w:shd w:val="clear" w:color="auto" w:fill="FFFFFF"/>
        </w:rPr>
        <w:t xml:space="preserve"> (2009) 176 Cal.App.4th 969, 977, quoting </w:t>
      </w:r>
      <w:r w:rsidRPr="00107B81">
        <w:rPr>
          <w:rStyle w:val="normaltextrun"/>
          <w:i/>
          <w:iCs/>
          <w:color w:val="000000"/>
          <w:shd w:val="clear" w:color="auto" w:fill="FFFFFF"/>
        </w:rPr>
        <w:t>BP Alaska Exploration, Inc. v. Superior Court</w:t>
      </w:r>
      <w:r w:rsidRPr="00107B81">
        <w:rPr>
          <w:rStyle w:val="normaltextrun"/>
          <w:color w:val="000000"/>
          <w:shd w:val="clear" w:color="auto" w:fill="FFFFFF"/>
        </w:rPr>
        <w:t xml:space="preserve"> (1988) 199 Cal.App.3d 1240, 1253-1254, fn. 4</w:t>
      </w:r>
      <w:r w:rsidRPr="00107B81">
        <w:rPr>
          <w:rStyle w:val="normaltextrun"/>
          <w:color w:val="000000"/>
          <w:shd w:val="clear" w:color="auto" w:fill="FFFFFF"/>
        </w:rPr>
        <w:t xml:space="preserve">; see </w:t>
      </w:r>
      <w:r w:rsidRPr="00107B81">
        <w:rPr>
          <w:rStyle w:val="normaltextrun"/>
          <w:i/>
          <w:iCs/>
          <w:color w:val="000000"/>
          <w:shd w:val="clear" w:color="auto" w:fill="FFFFFF"/>
        </w:rPr>
        <w:t>Citizens for Ceres</w:t>
      </w:r>
      <w:r w:rsidRPr="00107B81">
        <w:rPr>
          <w:rStyle w:val="normaltextrun"/>
          <w:i/>
          <w:iCs/>
          <w:color w:val="000000"/>
          <w:shd w:val="clear" w:color="auto" w:fill="FFFFFF"/>
        </w:rPr>
        <w:t xml:space="preserve"> v. Superior Court</w:t>
      </w:r>
      <w:r w:rsidRPr="00107B81">
        <w:rPr>
          <w:rStyle w:val="normaltextrun"/>
          <w:color w:val="000000"/>
          <w:shd w:val="clear" w:color="auto" w:fill="FFFFFF"/>
        </w:rPr>
        <w:t xml:space="preserve"> </w:t>
      </w:r>
      <w:r w:rsidRPr="00107B81">
        <w:rPr>
          <w:rStyle w:val="normaltextrun"/>
          <w:color w:val="000000"/>
          <w:shd w:val="clear" w:color="auto" w:fill="FFFFFF"/>
        </w:rPr>
        <w:t>(2013) 217 Cal.App.4th 889,</w:t>
      </w:r>
      <w:r w:rsidRPr="00107B81">
        <w:rPr>
          <w:rStyle w:val="normaltextrun"/>
          <w:color w:val="000000"/>
          <w:shd w:val="clear" w:color="auto" w:fill="FFFFFF"/>
        </w:rPr>
        <w:t xml:space="preserve"> 911 [“</w:t>
      </w:r>
      <w:r w:rsidRPr="00107B81">
        <w:rPr>
          <w:rStyle w:val="normaltextrun"/>
          <w:color w:val="000000"/>
          <w:shd w:val="clear" w:color="auto" w:fill="FFFFFF"/>
        </w:rPr>
        <w:t>W</w:t>
      </w:r>
      <w:r w:rsidRPr="00107B81">
        <w:rPr>
          <w:rStyle w:val="normaltextrun"/>
          <w:color w:val="000000"/>
          <w:shd w:val="clear" w:color="auto" w:fill="FFFFFF"/>
        </w:rPr>
        <w:t xml:space="preserve">ork produced by an attorney’s agents and </w:t>
      </w:r>
      <w:r w:rsidRPr="00107B81">
        <w:rPr>
          <w:rStyle w:val="normaltextrun"/>
          <w:color w:val="000000"/>
          <w:shd w:val="clear" w:color="auto" w:fill="FFFFFF"/>
        </w:rPr>
        <w:t>consultants, as well as the attorney’s own work product, is protected by the attorney work</w:t>
      </w:r>
      <w:r w:rsidRPr="00107B81">
        <w:rPr>
          <w:rStyle w:val="normaltextrun"/>
          <w:color w:val="000000"/>
          <w:shd w:val="clear" w:color="auto" w:fill="FFFFFF"/>
        </w:rPr>
        <w:t xml:space="preserve"> </w:t>
      </w:r>
      <w:r w:rsidRPr="00107B81">
        <w:rPr>
          <w:rStyle w:val="normaltextrun"/>
          <w:color w:val="000000"/>
          <w:shd w:val="clear" w:color="auto" w:fill="FFFFFF"/>
        </w:rPr>
        <w:t>product doctrine</w:t>
      </w:r>
      <w:r>
        <w:rPr>
          <w:rStyle w:val="normaltextrun"/>
          <w:color w:val="000000"/>
          <w:shd w:val="clear" w:color="auto" w:fill="FFFFFF"/>
        </w:rPr>
        <w:t>.</w:t>
      </w:r>
      <w:r w:rsidRPr="00107B81">
        <w:rPr>
          <w:rStyle w:val="normaltextrun"/>
          <w:color w:val="000000"/>
          <w:shd w:val="clear" w:color="auto" w:fill="FFFFFF"/>
        </w:rPr>
        <w:t>”]</w:t>
      </w:r>
      <w:r w:rsidRPr="00107B81">
        <w:rPr>
          <w:rStyle w:val="normaltextrun"/>
          <w:color w:val="000000"/>
          <w:shd w:val="clear" w:color="auto" w:fill="FFFFFF"/>
        </w:rPr>
        <w:t>.)</w:t>
      </w:r>
    </w:p>
    <w:p w14:paraId="09065A47" w14:textId="77777777" w:rsidR="00447998" w:rsidRPr="00107B81" w:rsidRDefault="00447998" w:rsidP="00E03FD7">
      <w:pPr>
        <w:ind w:firstLine="720"/>
        <w:rPr>
          <w:szCs w:val="26"/>
        </w:rPr>
      </w:pPr>
      <w:r w:rsidRPr="00107B81">
        <w:rPr>
          <w:rStyle w:val="normaltextrun"/>
          <w:color w:val="000000"/>
          <w:shd w:val="clear" w:color="auto" w:fill="FFFFFF"/>
        </w:rPr>
        <w:t>Work</w:t>
      </w:r>
      <w:r w:rsidRPr="00107B81">
        <w:rPr>
          <w:rStyle w:val="normaltextrun"/>
          <w:color w:val="000000"/>
          <w:shd w:val="clear" w:color="auto" w:fill="FFFFFF"/>
        </w:rPr>
        <w:t xml:space="preserve"> </w:t>
      </w:r>
      <w:r w:rsidRPr="00107B81">
        <w:rPr>
          <w:rStyle w:val="normaltextrun"/>
          <w:color w:val="000000"/>
          <w:shd w:val="clear" w:color="auto" w:fill="FFFFFF"/>
        </w:rPr>
        <w:t>product protection applies when an attorney acts in a litigation or “nonlitigation legal capacity.”  (</w:t>
      </w:r>
      <w:proofErr w:type="spellStart"/>
      <w:r w:rsidRPr="00107B81">
        <w:rPr>
          <w:rStyle w:val="normaltextrun"/>
          <w:i/>
          <w:iCs/>
          <w:color w:val="000000"/>
          <w:shd w:val="clear" w:color="auto" w:fill="FFFFFF"/>
        </w:rPr>
        <w:t>Rumac</w:t>
      </w:r>
      <w:proofErr w:type="spellEnd"/>
      <w:r w:rsidRPr="00107B81">
        <w:rPr>
          <w:rStyle w:val="normaltextrun"/>
          <w:i/>
          <w:iCs/>
          <w:color w:val="000000"/>
          <w:shd w:val="clear" w:color="auto" w:fill="FFFFFF"/>
        </w:rPr>
        <w:t>, Inc. v. Bottomley</w:t>
      </w:r>
      <w:r w:rsidRPr="00107B81">
        <w:rPr>
          <w:rStyle w:val="normaltextrun"/>
          <w:color w:val="000000"/>
          <w:shd w:val="clear" w:color="auto" w:fill="FFFFFF"/>
        </w:rPr>
        <w:t xml:space="preserve"> (1983) 143 Cal.App.3d 810, 815-816</w:t>
      </w:r>
      <w:r w:rsidRPr="00107B81">
        <w:rPr>
          <w:rStyle w:val="normaltextrun"/>
          <w:color w:val="000000"/>
          <w:shd w:val="clear" w:color="auto" w:fill="FFFFFF"/>
        </w:rPr>
        <w:t>.)</w:t>
      </w:r>
      <w:r w:rsidRPr="00107B81">
        <w:rPr>
          <w:rStyle w:val="normaltextrun"/>
          <w:color w:val="000000"/>
          <w:shd w:val="clear" w:color="auto" w:fill="FFFFFF"/>
        </w:rPr>
        <w:t xml:space="preserve">  </w:t>
      </w:r>
      <w:r w:rsidRPr="00107B81">
        <w:rPr>
          <w:rStyle w:val="normaltextrun"/>
          <w:color w:val="000000"/>
          <w:shd w:val="clear" w:color="auto" w:fill="FFFFFF"/>
        </w:rPr>
        <w:t xml:space="preserve">Further, </w:t>
      </w:r>
      <w:r w:rsidRPr="00107B81">
        <w:rPr>
          <w:bCs/>
        </w:rPr>
        <w:t>“</w:t>
      </w:r>
      <w:r w:rsidRPr="00107B81">
        <w:rPr>
          <w:bCs/>
        </w:rPr>
        <w:t>t</w:t>
      </w:r>
      <w:r w:rsidRPr="00107B81">
        <w:rPr>
          <w:bCs/>
        </w:rPr>
        <w:t>he work product privilege is not limited to documents prepared in anticipation of litigation</w:t>
      </w:r>
      <w:r w:rsidRPr="00107B81">
        <w:rPr>
          <w:bCs/>
        </w:rPr>
        <w:t xml:space="preserve"> but also applies to</w:t>
      </w:r>
      <w:r w:rsidRPr="00107B81">
        <w:rPr>
          <w:bCs/>
        </w:rPr>
        <w:t xml:space="preserve"> the work product </w:t>
      </w:r>
      <w:r w:rsidRPr="00107B81">
        <w:rPr>
          <w:bCs/>
        </w:rPr>
        <w:t xml:space="preserve">of </w:t>
      </w:r>
      <w:r w:rsidRPr="00107B81">
        <w:rPr>
          <w:bCs/>
        </w:rPr>
        <w:t xml:space="preserve">an attorney generated in his [or her] role as </w:t>
      </w:r>
      <w:r w:rsidRPr="00107B81">
        <w:rPr>
          <w:bCs/>
          <w:i/>
          <w:iCs/>
        </w:rPr>
        <w:t>counselor</w:t>
      </w:r>
      <w:r w:rsidRPr="00107B81">
        <w:rPr>
          <w:bCs/>
        </w:rPr>
        <w:t>.</w:t>
      </w:r>
      <w:r w:rsidRPr="00107B81">
        <w:rPr>
          <w:bCs/>
        </w:rPr>
        <w:t>”</w:t>
      </w:r>
      <w:r w:rsidRPr="00107B81">
        <w:rPr>
          <w:rStyle w:val="normaltextrun"/>
          <w:color w:val="000000"/>
          <w:shd w:val="clear" w:color="auto" w:fill="FFFFFF"/>
        </w:rPr>
        <w:t xml:space="preserve">  (</w:t>
      </w:r>
      <w:r w:rsidRPr="00107B81">
        <w:rPr>
          <w:bCs/>
          <w:i/>
          <w:iCs/>
        </w:rPr>
        <w:t>Aetna Casualty &amp; Surety Co. v. Superior Court</w:t>
      </w:r>
      <w:r w:rsidRPr="00107B81">
        <w:rPr>
          <w:bCs/>
        </w:rPr>
        <w:t xml:space="preserve"> (1984) 153 Cal.App.3d 467, 478-479</w:t>
      </w:r>
      <w:r w:rsidRPr="00107B81">
        <w:rPr>
          <w:rStyle w:val="normaltextrun"/>
          <w:color w:val="000000"/>
          <w:shd w:val="clear" w:color="auto" w:fill="FFFFFF"/>
        </w:rPr>
        <w:t xml:space="preserve">.)  </w:t>
      </w:r>
      <w:r w:rsidRPr="00107B81">
        <w:rPr>
          <w:rStyle w:val="normaltextrun"/>
          <w:color w:val="000000"/>
          <w:shd w:val="clear" w:color="auto" w:fill="FFFFFF"/>
        </w:rPr>
        <w:t>The privilege</w:t>
      </w:r>
      <w:r w:rsidRPr="00107B81">
        <w:rPr>
          <w:rStyle w:val="normaltextrun"/>
          <w:color w:val="000000"/>
          <w:shd w:val="clear" w:color="auto" w:fill="FFFFFF"/>
        </w:rPr>
        <w:t xml:space="preserve"> can also apply where an attorney is fact-finding, because </w:t>
      </w:r>
      <w:proofErr w:type="gramStart"/>
      <w:r w:rsidRPr="00107B81">
        <w:rPr>
          <w:szCs w:val="26"/>
        </w:rPr>
        <w:t>“ ‘</w:t>
      </w:r>
      <w:proofErr w:type="gramEnd"/>
      <w:r w:rsidRPr="00107B81">
        <w:rPr>
          <w:szCs w:val="26"/>
        </w:rPr>
        <w:t>[</w:t>
      </w:r>
      <w:r w:rsidRPr="00107B81">
        <w:rPr>
          <w:szCs w:val="26"/>
        </w:rPr>
        <w:t>t</w:t>
      </w:r>
      <w:r w:rsidRPr="00107B81">
        <w:rPr>
          <w:szCs w:val="26"/>
        </w:rPr>
        <w:t>]</w:t>
      </w:r>
      <w:r w:rsidRPr="00107B81">
        <w:rPr>
          <w:szCs w:val="26"/>
        </w:rPr>
        <w:t xml:space="preserve">he first step in the </w:t>
      </w:r>
      <w:r w:rsidRPr="00107B81">
        <w:rPr>
          <w:szCs w:val="26"/>
        </w:rPr>
        <w:t>resolution of any legal problem is ascertaining the factual background and sifting through the facts with an eye to the legally relevant.’  [Citation.]”  (</w:t>
      </w:r>
      <w:r w:rsidRPr="00107B81">
        <w:rPr>
          <w:i/>
          <w:iCs/>
          <w:szCs w:val="26"/>
        </w:rPr>
        <w:t>City of Petaluma v. Superior Court</w:t>
      </w:r>
      <w:r w:rsidRPr="00107B81">
        <w:rPr>
          <w:szCs w:val="26"/>
        </w:rPr>
        <w:t xml:space="preserve">, </w:t>
      </w:r>
      <w:r w:rsidRPr="00107B81">
        <w:rPr>
          <w:i/>
          <w:iCs/>
          <w:szCs w:val="26"/>
        </w:rPr>
        <w:t>supra</w:t>
      </w:r>
      <w:r w:rsidRPr="00107B81">
        <w:rPr>
          <w:szCs w:val="26"/>
        </w:rPr>
        <w:t>, 248 Cal.App.4th at p.</w:t>
      </w:r>
      <w:r w:rsidRPr="00107B81">
        <w:rPr>
          <w:szCs w:val="26"/>
        </w:rPr>
        <w:t> </w:t>
      </w:r>
      <w:r w:rsidRPr="00107B81">
        <w:rPr>
          <w:szCs w:val="26"/>
        </w:rPr>
        <w:t>1034.)</w:t>
      </w:r>
    </w:p>
    <w:p w14:paraId="53C1FE2E" w14:textId="77777777" w:rsidR="00447998" w:rsidRPr="00107B81" w:rsidRDefault="00447998" w:rsidP="00E03FD7">
      <w:pPr>
        <w:ind w:firstLine="720"/>
        <w:rPr>
          <w:rStyle w:val="normaltextrun"/>
          <w:color w:val="000000"/>
          <w:shd w:val="clear" w:color="auto" w:fill="FFFFFF"/>
        </w:rPr>
      </w:pPr>
      <w:r w:rsidRPr="00107B81">
        <w:rPr>
          <w:rStyle w:val="normaltextrun"/>
          <w:color w:val="000000"/>
          <w:shd w:val="clear" w:color="auto" w:fill="FFFFFF"/>
        </w:rPr>
        <w:t>“The work product privilege is held by the attorney, not the client.”  (</w:t>
      </w:r>
      <w:r w:rsidRPr="00107B81">
        <w:rPr>
          <w:rStyle w:val="normaltextrun"/>
          <w:i/>
          <w:iCs/>
          <w:color w:val="000000"/>
          <w:shd w:val="clear" w:color="auto" w:fill="FFFFFF"/>
        </w:rPr>
        <w:t xml:space="preserve">Curtis v. Superior Court </w:t>
      </w:r>
      <w:r w:rsidRPr="00107B81">
        <w:rPr>
          <w:rStyle w:val="normaltextrun"/>
          <w:color w:val="000000"/>
          <w:shd w:val="clear" w:color="auto" w:fill="FFFFFF"/>
        </w:rPr>
        <w:t>(2021) 62 Cal.App.5th 453</w:t>
      </w:r>
      <w:r w:rsidRPr="00107B81">
        <w:rPr>
          <w:rStyle w:val="normaltextrun"/>
          <w:color w:val="000000"/>
          <w:shd w:val="clear" w:color="auto" w:fill="FFFFFF"/>
        </w:rPr>
        <w:t>,</w:t>
      </w:r>
      <w:r w:rsidRPr="00107B81">
        <w:rPr>
          <w:rStyle w:val="normaltextrun"/>
          <w:color w:val="000000"/>
          <w:shd w:val="clear" w:color="auto" w:fill="FFFFFF"/>
        </w:rPr>
        <w:t xml:space="preserve"> 468.)</w:t>
      </w:r>
      <w:r w:rsidRPr="00107B81">
        <w:rPr>
          <w:rStyle w:val="normaltextrun"/>
          <w:color w:val="000000"/>
          <w:shd w:val="clear" w:color="auto" w:fill="FFFFFF"/>
        </w:rPr>
        <w:t xml:space="preserve">  </w:t>
      </w:r>
      <w:r w:rsidRPr="00107B81">
        <w:rPr>
          <w:rStyle w:val="normaltextrun"/>
          <w:color w:val="000000"/>
          <w:shd w:val="clear" w:color="auto" w:fill="FFFFFF"/>
        </w:rPr>
        <w:t>A</w:t>
      </w:r>
      <w:r w:rsidRPr="00107B81">
        <w:rPr>
          <w:rStyle w:val="normaltextrun"/>
          <w:color w:val="000000"/>
          <w:shd w:val="clear" w:color="auto" w:fill="FFFFFF"/>
        </w:rPr>
        <w:t>n</w:t>
      </w:r>
      <w:r w:rsidRPr="00107B81">
        <w:rPr>
          <w:rStyle w:val="normaltextrun"/>
          <w:color w:val="000000"/>
          <w:shd w:val="clear" w:color="auto" w:fill="FFFFFF"/>
        </w:rPr>
        <w:t xml:space="preserve"> </w:t>
      </w:r>
      <w:r w:rsidRPr="00107B81">
        <w:rPr>
          <w:rStyle w:val="normaltextrun"/>
          <w:color w:val="000000"/>
          <w:shd w:val="clear" w:color="auto" w:fill="FFFFFF"/>
        </w:rPr>
        <w:t xml:space="preserve">attorney </w:t>
      </w:r>
      <w:r w:rsidRPr="00107B81">
        <w:rPr>
          <w:rStyle w:val="normaltextrun"/>
          <w:color w:val="000000"/>
          <w:shd w:val="clear" w:color="auto" w:fill="FFFFFF"/>
        </w:rPr>
        <w:t>seeking to invoke work</w:t>
      </w:r>
      <w:r w:rsidRPr="00107B81">
        <w:rPr>
          <w:rStyle w:val="normaltextrun"/>
          <w:color w:val="000000"/>
          <w:shd w:val="clear" w:color="auto" w:fill="FFFFFF"/>
        </w:rPr>
        <w:t xml:space="preserve"> </w:t>
      </w:r>
      <w:r w:rsidRPr="00107B81">
        <w:rPr>
          <w:rStyle w:val="normaltextrun"/>
          <w:color w:val="000000"/>
          <w:shd w:val="clear" w:color="auto" w:fill="FFFFFF"/>
        </w:rPr>
        <w:t xml:space="preserve">product protection </w:t>
      </w:r>
      <w:r w:rsidRPr="00107B81">
        <w:rPr>
          <w:rStyle w:val="normaltextrun"/>
          <w:color w:val="000000"/>
          <w:shd w:val="clear" w:color="auto" w:fill="FFFFFF"/>
        </w:rPr>
        <w:t xml:space="preserve">has </w:t>
      </w:r>
      <w:r w:rsidRPr="00107B81">
        <w:rPr>
          <w:rStyle w:val="normaltextrun"/>
          <w:color w:val="000000"/>
          <w:shd w:val="clear" w:color="auto" w:fill="FFFFFF"/>
        </w:rPr>
        <w:t xml:space="preserve">the burden </w:t>
      </w:r>
      <w:proofErr w:type="gramStart"/>
      <w:r w:rsidRPr="00107B81">
        <w:rPr>
          <w:rStyle w:val="normaltextrun"/>
          <w:color w:val="000000"/>
          <w:shd w:val="clear" w:color="auto" w:fill="FFFFFF"/>
        </w:rPr>
        <w:t xml:space="preserve">to </w:t>
      </w:r>
      <w:r w:rsidRPr="00107B81">
        <w:rPr>
          <w:rStyle w:val="normaltextrun"/>
          <w:color w:val="000000"/>
          <w:shd w:val="clear" w:color="auto" w:fill="FFFFFF"/>
        </w:rPr>
        <w:t>show</w:t>
      </w:r>
      <w:proofErr w:type="gramEnd"/>
      <w:r w:rsidRPr="00107B81">
        <w:rPr>
          <w:rStyle w:val="normaltextrun"/>
          <w:color w:val="000000"/>
          <w:shd w:val="clear" w:color="auto" w:fill="FFFFFF"/>
        </w:rPr>
        <w:t xml:space="preserve"> that </w:t>
      </w:r>
      <w:r w:rsidRPr="00107B81">
        <w:rPr>
          <w:rStyle w:val="normaltextrun"/>
          <w:color w:val="000000"/>
          <w:shd w:val="clear" w:color="auto" w:fill="FFFFFF"/>
        </w:rPr>
        <w:t xml:space="preserve">materials are </w:t>
      </w:r>
      <w:r w:rsidRPr="00107B81">
        <w:rPr>
          <w:rStyle w:val="normaltextrun"/>
          <w:color w:val="000000"/>
          <w:shd w:val="clear" w:color="auto" w:fill="FFFFFF"/>
        </w:rPr>
        <w:t>either ab</w:t>
      </w:r>
      <w:r w:rsidRPr="00107B81">
        <w:rPr>
          <w:rStyle w:val="normaltextrun"/>
          <w:color w:val="000000"/>
          <w:shd w:val="clear" w:color="auto" w:fill="FFFFFF"/>
        </w:rPr>
        <w:t>solute or qualified work</w:t>
      </w:r>
      <w:r w:rsidRPr="00107B81">
        <w:rPr>
          <w:rStyle w:val="normaltextrun"/>
          <w:color w:val="000000"/>
          <w:shd w:val="clear" w:color="auto" w:fill="FFFFFF"/>
        </w:rPr>
        <w:t xml:space="preserve"> </w:t>
      </w:r>
      <w:r w:rsidRPr="00107B81">
        <w:rPr>
          <w:rStyle w:val="normaltextrun"/>
          <w:color w:val="000000"/>
          <w:shd w:val="clear" w:color="auto" w:fill="FFFFFF"/>
        </w:rPr>
        <w:t xml:space="preserve">product.  </w:t>
      </w:r>
      <w:r w:rsidRPr="00107B81">
        <w:rPr>
          <w:rStyle w:val="normaltextrun"/>
          <w:color w:val="000000"/>
          <w:shd w:val="clear" w:color="auto" w:fill="FFFFFF"/>
        </w:rPr>
        <w:t>(</w:t>
      </w:r>
      <w:r w:rsidRPr="00107B81">
        <w:rPr>
          <w:rStyle w:val="normaltextrun"/>
          <w:i/>
          <w:iCs/>
          <w:color w:val="000000"/>
          <w:shd w:val="clear" w:color="auto" w:fill="FFFFFF"/>
        </w:rPr>
        <w:t>Coito</w:t>
      </w:r>
      <w:r w:rsidRPr="00107B81">
        <w:rPr>
          <w:rStyle w:val="normaltextrun"/>
          <w:color w:val="000000"/>
          <w:shd w:val="clear" w:color="auto" w:fill="FFFFFF"/>
        </w:rPr>
        <w:t xml:space="preserve">, </w:t>
      </w:r>
      <w:r w:rsidRPr="00107B81">
        <w:rPr>
          <w:rStyle w:val="normaltextrun"/>
          <w:i/>
          <w:iCs/>
          <w:color w:val="000000"/>
          <w:shd w:val="clear" w:color="auto" w:fill="FFFFFF"/>
        </w:rPr>
        <w:t>supra</w:t>
      </w:r>
      <w:r w:rsidRPr="00107B81">
        <w:rPr>
          <w:rStyle w:val="normaltextrun"/>
          <w:color w:val="000000"/>
          <w:shd w:val="clear" w:color="auto" w:fill="FFFFFF"/>
        </w:rPr>
        <w:t xml:space="preserve">, 54 Cal.4th at </w:t>
      </w:r>
      <w:r w:rsidRPr="00107B81">
        <w:rPr>
          <w:rStyle w:val="normaltextrun"/>
          <w:color w:val="000000"/>
          <w:shd w:val="clear" w:color="auto" w:fill="FFFFFF"/>
        </w:rPr>
        <w:t>p</w:t>
      </w:r>
      <w:r w:rsidRPr="00107B81">
        <w:rPr>
          <w:rStyle w:val="normaltextrun"/>
          <w:color w:val="000000"/>
          <w:shd w:val="clear" w:color="auto" w:fill="FFFFFF"/>
        </w:rPr>
        <w:t>p.</w:t>
      </w:r>
      <w:r w:rsidRPr="00107B81">
        <w:rPr>
          <w:rStyle w:val="normaltextrun"/>
          <w:color w:val="000000"/>
          <w:shd w:val="clear" w:color="auto" w:fill="FFFFFF"/>
        </w:rPr>
        <w:t xml:space="preserve"> </w:t>
      </w:r>
      <w:r w:rsidRPr="00107B81">
        <w:rPr>
          <w:rStyle w:val="normaltextrun"/>
          <w:color w:val="000000"/>
          <w:shd w:val="clear" w:color="auto" w:fill="FFFFFF"/>
        </w:rPr>
        <w:t xml:space="preserve">486, </w:t>
      </w:r>
      <w:r w:rsidRPr="00107B81">
        <w:rPr>
          <w:rStyle w:val="normaltextrun"/>
          <w:color w:val="000000"/>
          <w:shd w:val="clear" w:color="auto" w:fill="FFFFFF"/>
        </w:rPr>
        <w:t>495-496</w:t>
      </w:r>
      <w:r w:rsidRPr="00107B81">
        <w:rPr>
          <w:rStyle w:val="normaltextrun"/>
          <w:color w:val="000000"/>
          <w:shd w:val="clear" w:color="auto" w:fill="FFFFFF"/>
        </w:rPr>
        <w:t xml:space="preserve">; </w:t>
      </w:r>
      <w:r w:rsidRPr="00107B81">
        <w:rPr>
          <w:rStyle w:val="normaltextrun"/>
          <w:i/>
          <w:iCs/>
          <w:color w:val="000000"/>
          <w:shd w:val="clear" w:color="auto" w:fill="FFFFFF"/>
        </w:rPr>
        <w:t>BP Alaska Exploration, Inc. v. Superior Court</w:t>
      </w:r>
      <w:r w:rsidRPr="00107B81">
        <w:rPr>
          <w:rStyle w:val="normaltextrun"/>
          <w:color w:val="000000"/>
          <w:shd w:val="clear" w:color="auto" w:fill="FFFFFF"/>
        </w:rPr>
        <w:t xml:space="preserve">, </w:t>
      </w:r>
      <w:r w:rsidRPr="00107B81">
        <w:rPr>
          <w:rStyle w:val="normaltextrun"/>
          <w:i/>
          <w:iCs/>
          <w:color w:val="000000"/>
          <w:shd w:val="clear" w:color="auto" w:fill="FFFFFF"/>
        </w:rPr>
        <w:t>supra</w:t>
      </w:r>
      <w:r w:rsidRPr="00107B81">
        <w:rPr>
          <w:rStyle w:val="normaltextrun"/>
          <w:color w:val="000000"/>
          <w:shd w:val="clear" w:color="auto" w:fill="FFFFFF"/>
        </w:rPr>
        <w:t xml:space="preserve">, 199 Cal.App.3d at p. </w:t>
      </w:r>
      <w:r w:rsidRPr="00107B81">
        <w:rPr>
          <w:rStyle w:val="normaltextrun"/>
          <w:color w:val="000000"/>
          <w:shd w:val="clear" w:color="auto" w:fill="FFFFFF"/>
        </w:rPr>
        <w:t>1252</w:t>
      </w:r>
      <w:r w:rsidRPr="00107B81">
        <w:rPr>
          <w:rStyle w:val="normaltextrun"/>
          <w:color w:val="000000"/>
          <w:shd w:val="clear" w:color="auto" w:fill="FFFFFF"/>
        </w:rPr>
        <w:t>.)</w:t>
      </w:r>
      <w:r w:rsidRPr="00107B81">
        <w:rPr>
          <w:rStyle w:val="normaltextrun"/>
          <w:color w:val="000000"/>
          <w:shd w:val="clear" w:color="auto" w:fill="FFFFFF"/>
        </w:rPr>
        <w:t xml:space="preserve">  </w:t>
      </w:r>
      <w:r w:rsidRPr="00107B81">
        <w:rPr>
          <w:rStyle w:val="normaltextrun"/>
          <w:color w:val="000000"/>
          <w:shd w:val="clear" w:color="auto" w:fill="FFFFFF"/>
        </w:rPr>
        <w:t xml:space="preserve">If material is entitled to only qualified </w:t>
      </w:r>
      <w:r w:rsidRPr="00107B81">
        <w:rPr>
          <w:rStyle w:val="normaltextrun"/>
          <w:color w:val="000000"/>
          <w:shd w:val="clear" w:color="auto" w:fill="FFFFFF"/>
        </w:rPr>
        <w:t>work</w:t>
      </w:r>
      <w:r w:rsidRPr="00107B81">
        <w:rPr>
          <w:rStyle w:val="normaltextrun"/>
          <w:color w:val="000000"/>
          <w:shd w:val="clear" w:color="auto" w:fill="FFFFFF"/>
        </w:rPr>
        <w:t xml:space="preserve"> </w:t>
      </w:r>
      <w:r w:rsidRPr="00107B81">
        <w:rPr>
          <w:rStyle w:val="normaltextrun"/>
          <w:color w:val="000000"/>
          <w:shd w:val="clear" w:color="auto" w:fill="FFFFFF"/>
        </w:rPr>
        <w:t xml:space="preserve">product </w:t>
      </w:r>
      <w:r w:rsidRPr="00107B81">
        <w:rPr>
          <w:rStyle w:val="normaltextrun"/>
          <w:color w:val="000000"/>
          <w:shd w:val="clear" w:color="auto" w:fill="FFFFFF"/>
        </w:rPr>
        <w:t xml:space="preserve">protection, the party seeking the material </w:t>
      </w:r>
      <w:r w:rsidRPr="00107B81">
        <w:rPr>
          <w:rStyle w:val="normaltextrun"/>
          <w:color w:val="000000"/>
          <w:shd w:val="clear" w:color="auto" w:fill="FFFFFF"/>
        </w:rPr>
        <w:t xml:space="preserve">“has the burden of establishing that denial of disclosure will unfairly prejudice the party in preparing its claim or defense or will result in an </w:t>
      </w:r>
      <w:r w:rsidRPr="00107B81">
        <w:rPr>
          <w:rStyle w:val="normaltextrun"/>
          <w:color w:val="000000"/>
          <w:shd w:val="clear" w:color="auto" w:fill="FFFFFF"/>
        </w:rPr>
        <w:lastRenderedPageBreak/>
        <w:t>injustice.”  (</w:t>
      </w:r>
      <w:r w:rsidRPr="00107B81">
        <w:rPr>
          <w:rStyle w:val="normaltextrun"/>
          <w:i/>
          <w:iCs/>
          <w:color w:val="000000"/>
          <w:shd w:val="clear" w:color="auto" w:fill="FFFFFF"/>
        </w:rPr>
        <w:t>Coito</w:t>
      </w:r>
      <w:r w:rsidRPr="00107B81">
        <w:rPr>
          <w:rStyle w:val="normaltextrun"/>
          <w:color w:val="000000"/>
          <w:shd w:val="clear" w:color="auto" w:fill="FFFFFF"/>
        </w:rPr>
        <w:t xml:space="preserve">, </w:t>
      </w:r>
      <w:r w:rsidRPr="00107B81">
        <w:rPr>
          <w:rStyle w:val="normaltextrun"/>
          <w:i/>
          <w:iCs/>
          <w:color w:val="000000"/>
          <w:shd w:val="clear" w:color="auto" w:fill="FFFFFF"/>
        </w:rPr>
        <w:t>supra</w:t>
      </w:r>
      <w:r w:rsidRPr="00107B81">
        <w:rPr>
          <w:rStyle w:val="normaltextrun"/>
          <w:color w:val="000000"/>
          <w:shd w:val="clear" w:color="auto" w:fill="FFFFFF"/>
        </w:rPr>
        <w:t xml:space="preserve">, 54 Cal.4th at p. 499; </w:t>
      </w:r>
      <w:r w:rsidRPr="00107B81">
        <w:rPr>
          <w:rStyle w:val="normaltextrun"/>
          <w:i/>
          <w:iCs/>
          <w:color w:val="000000"/>
          <w:shd w:val="clear" w:color="auto" w:fill="FFFFFF"/>
        </w:rPr>
        <w:t>Citizens for Ceres</w:t>
      </w:r>
      <w:r w:rsidRPr="00107B81">
        <w:rPr>
          <w:rStyle w:val="normaltextrun"/>
          <w:i/>
          <w:iCs/>
          <w:color w:val="000000"/>
          <w:shd w:val="clear" w:color="auto" w:fill="FFFFFF"/>
        </w:rPr>
        <w:t xml:space="preserve"> v. Superior Court</w:t>
      </w:r>
      <w:r w:rsidRPr="00107B81">
        <w:rPr>
          <w:rStyle w:val="normaltextrun"/>
          <w:color w:val="000000"/>
          <w:shd w:val="clear" w:color="auto" w:fill="FFFFFF"/>
        </w:rPr>
        <w:t xml:space="preserve">, </w:t>
      </w:r>
      <w:r w:rsidRPr="00107B81">
        <w:rPr>
          <w:rStyle w:val="normaltextrun"/>
          <w:i/>
          <w:iCs/>
          <w:color w:val="000000"/>
          <w:shd w:val="clear" w:color="auto" w:fill="FFFFFF"/>
        </w:rPr>
        <w:t>supra</w:t>
      </w:r>
      <w:r w:rsidRPr="00107B81">
        <w:rPr>
          <w:rStyle w:val="normaltextrun"/>
          <w:color w:val="000000"/>
          <w:shd w:val="clear" w:color="auto" w:fill="FFFFFF"/>
        </w:rPr>
        <w:t>, 217 Cal.App.4th at p. 912.)</w:t>
      </w:r>
    </w:p>
    <w:p w14:paraId="544100E1" w14:textId="77777777" w:rsidR="00447998" w:rsidRPr="00107B81" w:rsidRDefault="00447998" w:rsidP="00083081">
      <w:pPr>
        <w:ind w:firstLine="720"/>
        <w:rPr>
          <w:szCs w:val="26"/>
        </w:rPr>
      </w:pPr>
      <w:r w:rsidRPr="00107B81">
        <w:rPr>
          <w:szCs w:val="26"/>
        </w:rPr>
        <w:t xml:space="preserve">A </w:t>
      </w:r>
      <w:r w:rsidRPr="00107B81">
        <w:rPr>
          <w:szCs w:val="26"/>
        </w:rPr>
        <w:t>trial court “</w:t>
      </w:r>
      <w:r w:rsidRPr="00107B81">
        <w:rPr>
          <w:szCs w:val="26"/>
        </w:rPr>
        <w:t xml:space="preserve">may not require disclosure of information claimed to be </w:t>
      </w:r>
      <w:r w:rsidRPr="00107B81">
        <w:rPr>
          <w:szCs w:val="26"/>
        </w:rPr>
        <w:t>.</w:t>
      </w:r>
      <w:r w:rsidRPr="00107B81">
        <w:rPr>
          <w:szCs w:val="26"/>
        </w:rPr>
        <w:t> </w:t>
      </w:r>
      <w:r w:rsidRPr="00107B81">
        <w:rPr>
          <w:szCs w:val="26"/>
        </w:rPr>
        <w:t>.</w:t>
      </w:r>
      <w:r w:rsidRPr="00107B81">
        <w:rPr>
          <w:szCs w:val="26"/>
        </w:rPr>
        <w:t> </w:t>
      </w:r>
      <w:r w:rsidRPr="00107B81">
        <w:rPr>
          <w:szCs w:val="26"/>
        </w:rPr>
        <w:t xml:space="preserve">. </w:t>
      </w:r>
      <w:r w:rsidRPr="00107B81">
        <w:rPr>
          <w:szCs w:val="26"/>
        </w:rPr>
        <w:t xml:space="preserve">[absolute] </w:t>
      </w:r>
      <w:r w:rsidRPr="00107B81">
        <w:rPr>
          <w:szCs w:val="26"/>
        </w:rPr>
        <w:t>attorney work product</w:t>
      </w:r>
      <w:r w:rsidRPr="00107B81">
        <w:rPr>
          <w:szCs w:val="26"/>
        </w:rPr>
        <w:t xml:space="preserve">” to </w:t>
      </w:r>
      <w:r w:rsidRPr="00107B81">
        <w:rPr>
          <w:szCs w:val="26"/>
        </w:rPr>
        <w:t>rule on the claim</w:t>
      </w:r>
      <w:r w:rsidRPr="00107B81">
        <w:rPr>
          <w:szCs w:val="26"/>
        </w:rPr>
        <w:t>.</w:t>
      </w:r>
      <w:r w:rsidRPr="00107B81">
        <w:rPr>
          <w:szCs w:val="26"/>
        </w:rPr>
        <w:t xml:space="preserve">  (Evid. Code, </w:t>
      </w:r>
      <w:r w:rsidRPr="00107B81">
        <w:rPr>
          <w:szCs w:val="26"/>
        </w:rPr>
        <w:t>§</w:t>
      </w:r>
      <w:r w:rsidRPr="00107B81">
        <w:rPr>
          <w:szCs w:val="26"/>
        </w:rPr>
        <w:t> </w:t>
      </w:r>
      <w:r w:rsidRPr="00107B81">
        <w:rPr>
          <w:szCs w:val="26"/>
        </w:rPr>
        <w:t xml:space="preserve">915, subd. (a).)  However, </w:t>
      </w:r>
      <w:r w:rsidRPr="00107B81">
        <w:rPr>
          <w:szCs w:val="26"/>
        </w:rPr>
        <w:t>a</w:t>
      </w:r>
      <w:r w:rsidRPr="00107B81">
        <w:rPr>
          <w:szCs w:val="26"/>
        </w:rPr>
        <w:t xml:space="preserve"> court </w:t>
      </w:r>
      <w:r w:rsidRPr="00107B81">
        <w:rPr>
          <w:szCs w:val="26"/>
        </w:rPr>
        <w:t xml:space="preserve">can require an </w:t>
      </w:r>
      <w:proofErr w:type="gramStart"/>
      <w:r w:rsidRPr="00107B81">
        <w:rPr>
          <w:szCs w:val="26"/>
        </w:rPr>
        <w:t>in camera</w:t>
      </w:r>
      <w:proofErr w:type="gramEnd"/>
      <w:r w:rsidRPr="00107B81">
        <w:rPr>
          <w:szCs w:val="26"/>
        </w:rPr>
        <w:t xml:space="preserve"> review of materials claimed to be protected as qualified work</w:t>
      </w:r>
      <w:r w:rsidRPr="00107B81">
        <w:rPr>
          <w:szCs w:val="26"/>
        </w:rPr>
        <w:t xml:space="preserve"> </w:t>
      </w:r>
      <w:r w:rsidRPr="00107B81">
        <w:rPr>
          <w:szCs w:val="26"/>
        </w:rPr>
        <w:t xml:space="preserve">product where it is </w:t>
      </w:r>
      <w:r w:rsidRPr="00107B81">
        <w:rPr>
          <w:szCs w:val="26"/>
        </w:rPr>
        <w:t>unable</w:t>
      </w:r>
      <w:r w:rsidRPr="00107B81">
        <w:rPr>
          <w:szCs w:val="26"/>
        </w:rPr>
        <w:t xml:space="preserve"> to </w:t>
      </w:r>
      <w:r w:rsidRPr="00107B81">
        <w:rPr>
          <w:szCs w:val="26"/>
        </w:rPr>
        <w:t xml:space="preserve">determine the discoverability of those materials </w:t>
      </w:r>
      <w:r w:rsidRPr="00107B81">
        <w:rPr>
          <w:szCs w:val="26"/>
        </w:rPr>
        <w:t>with</w:t>
      </w:r>
      <w:r w:rsidRPr="00107B81">
        <w:rPr>
          <w:szCs w:val="26"/>
        </w:rPr>
        <w:t>out</w:t>
      </w:r>
      <w:r w:rsidRPr="00107B81">
        <w:rPr>
          <w:szCs w:val="26"/>
        </w:rPr>
        <w:t xml:space="preserve"> such a review.</w:t>
      </w:r>
      <w:r w:rsidRPr="00107B81">
        <w:rPr>
          <w:szCs w:val="26"/>
        </w:rPr>
        <w:t xml:space="preserve">  (</w:t>
      </w:r>
      <w:r w:rsidRPr="00107B81">
        <w:rPr>
          <w:i/>
          <w:iCs/>
          <w:szCs w:val="26"/>
        </w:rPr>
        <w:t>Id.</w:t>
      </w:r>
      <w:r w:rsidRPr="00107B81">
        <w:rPr>
          <w:szCs w:val="26"/>
        </w:rPr>
        <w:t>, subd. (b).)</w:t>
      </w:r>
    </w:p>
    <w:p w14:paraId="5CCB8D3B" w14:textId="77777777" w:rsidR="00447998" w:rsidRPr="00107B81" w:rsidRDefault="00447998" w:rsidP="00DD1F94">
      <w:pPr>
        <w:pStyle w:val="ListParagraph"/>
        <w:numPr>
          <w:ilvl w:val="0"/>
          <w:numId w:val="20"/>
        </w:numPr>
        <w:spacing w:before="120"/>
        <w:ind w:left="720"/>
        <w:contextualSpacing w:val="0"/>
        <w:rPr>
          <w:b/>
        </w:rPr>
      </w:pPr>
      <w:r w:rsidRPr="00107B81">
        <w:rPr>
          <w:b/>
        </w:rPr>
        <w:t xml:space="preserve">The Trial </w:t>
      </w:r>
      <w:r w:rsidRPr="00107B81">
        <w:rPr>
          <w:b/>
        </w:rPr>
        <w:t xml:space="preserve">Court </w:t>
      </w:r>
      <w:r w:rsidRPr="00107B81">
        <w:rPr>
          <w:b/>
        </w:rPr>
        <w:t xml:space="preserve">Abused </w:t>
      </w:r>
      <w:r w:rsidRPr="00107B81">
        <w:rPr>
          <w:b/>
        </w:rPr>
        <w:t>i</w:t>
      </w:r>
      <w:r w:rsidRPr="00107B81">
        <w:rPr>
          <w:b/>
        </w:rPr>
        <w:t xml:space="preserve">ts Discretion in </w:t>
      </w:r>
      <w:r w:rsidRPr="00107B81">
        <w:rPr>
          <w:b/>
        </w:rPr>
        <w:t xml:space="preserve">Ruling that the </w:t>
      </w:r>
      <w:r w:rsidRPr="00107B81">
        <w:rPr>
          <w:b/>
        </w:rPr>
        <w:t xml:space="preserve">Documents </w:t>
      </w:r>
      <w:r w:rsidRPr="00107B81">
        <w:rPr>
          <w:b/>
        </w:rPr>
        <w:t>W</w:t>
      </w:r>
      <w:r w:rsidRPr="00107B81">
        <w:rPr>
          <w:b/>
        </w:rPr>
        <w:t xml:space="preserve">ere Not </w:t>
      </w:r>
      <w:r w:rsidRPr="00107B81">
        <w:rPr>
          <w:b/>
        </w:rPr>
        <w:t xml:space="preserve">Entitled to </w:t>
      </w:r>
      <w:r w:rsidRPr="00107B81">
        <w:rPr>
          <w:b/>
        </w:rPr>
        <w:t xml:space="preserve">At Least </w:t>
      </w:r>
      <w:r w:rsidRPr="00107B81">
        <w:rPr>
          <w:b/>
        </w:rPr>
        <w:t xml:space="preserve">Qualified </w:t>
      </w:r>
      <w:r w:rsidRPr="00107B81">
        <w:rPr>
          <w:b/>
        </w:rPr>
        <w:t>Attorney Work</w:t>
      </w:r>
      <w:r w:rsidRPr="00107B81">
        <w:rPr>
          <w:b/>
        </w:rPr>
        <w:t xml:space="preserve"> </w:t>
      </w:r>
      <w:r w:rsidRPr="00107B81">
        <w:rPr>
          <w:b/>
        </w:rPr>
        <w:t>Product</w:t>
      </w:r>
      <w:r w:rsidRPr="00107B81">
        <w:rPr>
          <w:b/>
        </w:rPr>
        <w:t xml:space="preserve"> Protection</w:t>
      </w:r>
    </w:p>
    <w:p w14:paraId="07F5F3F1" w14:textId="77777777" w:rsidR="00447998" w:rsidRPr="00107B81" w:rsidRDefault="00447998" w:rsidP="00EE56F8">
      <w:pPr>
        <w:ind w:firstLine="720"/>
        <w:rPr>
          <w:rStyle w:val="normaltextrun"/>
          <w:color w:val="000000"/>
          <w:shd w:val="clear" w:color="auto" w:fill="FFFFFF"/>
        </w:rPr>
      </w:pPr>
      <w:r w:rsidRPr="00107B81">
        <w:t>The documents at issue</w:t>
      </w:r>
      <w:r w:rsidRPr="00107B81">
        <w:t xml:space="preserve">, </w:t>
      </w:r>
      <w:r w:rsidRPr="00107B81">
        <w:t>which S</w:t>
      </w:r>
      <w:r w:rsidRPr="00107B81">
        <w:t>C</w:t>
      </w:r>
      <w:r w:rsidRPr="00107B81">
        <w:t xml:space="preserve">E </w:t>
      </w:r>
      <w:r w:rsidRPr="00107B81">
        <w:t>provided substantial evidence</w:t>
      </w:r>
      <w:r w:rsidRPr="00107B81">
        <w:t xml:space="preserve"> were prepared as part of an attorney led internal investigation, are</w:t>
      </w:r>
      <w:r w:rsidRPr="00107B81">
        <w:t xml:space="preserve"> the type of materials typically entitled to work</w:t>
      </w:r>
      <w:r w:rsidRPr="00107B81">
        <w:t xml:space="preserve"> </w:t>
      </w:r>
      <w:r w:rsidRPr="00107B81">
        <w:t xml:space="preserve">product protection.  </w:t>
      </w:r>
      <w:r w:rsidRPr="00107B81">
        <w:t xml:space="preserve">Our Supreme Court’s </w:t>
      </w:r>
      <w:r w:rsidRPr="00107B81">
        <w:t xml:space="preserve">decision in </w:t>
      </w:r>
      <w:r w:rsidRPr="00107B81">
        <w:rPr>
          <w:i/>
          <w:iCs/>
        </w:rPr>
        <w:t>Coito</w:t>
      </w:r>
      <w:r w:rsidRPr="00107B81">
        <w:t xml:space="preserve"> </w:t>
      </w:r>
      <w:r w:rsidRPr="00107B81">
        <w:t xml:space="preserve">is instructive.  The court addressed </w:t>
      </w:r>
      <w:r w:rsidRPr="00107B81">
        <w:t xml:space="preserve">whether </w:t>
      </w:r>
      <w:r w:rsidRPr="00107B81">
        <w:rPr>
          <w:rStyle w:val="normaltextrun"/>
          <w:color w:val="000000"/>
          <w:szCs w:val="26"/>
          <w:shd w:val="clear" w:color="auto" w:fill="FFFFFF"/>
        </w:rPr>
        <w:t xml:space="preserve">witness statements taken by investigating agents on behalf of the state </w:t>
      </w:r>
      <w:r w:rsidRPr="00107B81">
        <w:rPr>
          <w:rStyle w:val="normaltextrun"/>
          <w:color w:val="000000"/>
          <w:szCs w:val="26"/>
          <w:shd w:val="clear" w:color="auto" w:fill="FFFFFF"/>
        </w:rPr>
        <w:t>agency’s attorney</w:t>
      </w:r>
      <w:r w:rsidRPr="00107B81">
        <w:rPr>
          <w:rStyle w:val="normaltextrun"/>
          <w:color w:val="000000"/>
          <w:szCs w:val="26"/>
          <w:shd w:val="clear" w:color="auto" w:fill="FFFFFF"/>
        </w:rPr>
        <w:t xml:space="preserve"> </w:t>
      </w:r>
      <w:r w:rsidRPr="00107B81">
        <w:rPr>
          <w:rStyle w:val="normaltextrun"/>
          <w:color w:val="000000"/>
          <w:szCs w:val="26"/>
          <w:shd w:val="clear" w:color="auto" w:fill="FFFFFF"/>
        </w:rPr>
        <w:t>were protected work product</w:t>
      </w:r>
      <w:r w:rsidRPr="00107B81">
        <w:rPr>
          <w:rStyle w:val="normaltextrun"/>
          <w:color w:val="000000"/>
          <w:szCs w:val="26"/>
          <w:shd w:val="clear" w:color="auto" w:fill="FFFFFF"/>
        </w:rPr>
        <w:t>.  (</w:t>
      </w:r>
      <w:r w:rsidRPr="00107B81">
        <w:rPr>
          <w:rStyle w:val="normaltextrun"/>
          <w:i/>
          <w:iCs/>
          <w:color w:val="000000"/>
          <w:shd w:val="clear" w:color="auto" w:fill="FFFFFF"/>
        </w:rPr>
        <w:t>Coito</w:t>
      </w:r>
      <w:r w:rsidRPr="00107B81">
        <w:rPr>
          <w:rStyle w:val="normaltextrun"/>
          <w:color w:val="000000"/>
          <w:shd w:val="clear" w:color="auto" w:fill="FFFFFF"/>
        </w:rPr>
        <w:t xml:space="preserve">, </w:t>
      </w:r>
      <w:r w:rsidRPr="00107B81">
        <w:rPr>
          <w:rStyle w:val="normaltextrun"/>
          <w:i/>
          <w:iCs/>
          <w:color w:val="000000"/>
          <w:shd w:val="clear" w:color="auto" w:fill="FFFFFF"/>
        </w:rPr>
        <w:t>supra</w:t>
      </w:r>
      <w:r w:rsidRPr="00107B81">
        <w:rPr>
          <w:rStyle w:val="normaltextrun"/>
          <w:color w:val="000000"/>
          <w:shd w:val="clear" w:color="auto" w:fill="FFFFFF"/>
        </w:rPr>
        <w:t>, 54 Cal.4th at pp</w:t>
      </w:r>
      <w:r w:rsidRPr="00107B81">
        <w:rPr>
          <w:rStyle w:val="normaltextrun"/>
          <w:color w:val="000000"/>
          <w:szCs w:val="26"/>
          <w:shd w:val="clear" w:color="auto" w:fill="FFFFFF"/>
        </w:rPr>
        <w:t xml:space="preserve"> 487, 500.) </w:t>
      </w:r>
      <w:r w:rsidRPr="00107B81">
        <w:rPr>
          <w:rStyle w:val="normaltextrun"/>
          <w:color w:val="000000"/>
          <w:szCs w:val="26"/>
          <w:shd w:val="clear" w:color="auto" w:fill="FFFFFF"/>
        </w:rPr>
        <w:t xml:space="preserve"> The court </w:t>
      </w:r>
      <w:r w:rsidRPr="00107B81">
        <w:rPr>
          <w:rStyle w:val="normaltextrun"/>
          <w:color w:val="000000"/>
          <w:szCs w:val="26"/>
          <w:shd w:val="clear" w:color="auto" w:fill="FFFFFF"/>
        </w:rPr>
        <w:t xml:space="preserve">first </w:t>
      </w:r>
      <w:r w:rsidRPr="00107B81">
        <w:rPr>
          <w:rStyle w:val="normaltextrun"/>
          <w:color w:val="000000"/>
          <w:szCs w:val="26"/>
          <w:shd w:val="clear" w:color="auto" w:fill="FFFFFF"/>
        </w:rPr>
        <w:t xml:space="preserve">held that </w:t>
      </w:r>
      <w:r w:rsidRPr="00107B81">
        <w:rPr>
          <w:rStyle w:val="normaltextrun"/>
          <w:color w:val="000000"/>
          <w:szCs w:val="26"/>
          <w:shd w:val="clear" w:color="auto" w:fill="FFFFFF"/>
        </w:rPr>
        <w:t xml:space="preserve">a </w:t>
      </w:r>
      <w:r w:rsidRPr="00107B81">
        <w:t xml:space="preserve">witness statement obtained </w:t>
      </w:r>
      <w:r w:rsidRPr="00107B81">
        <w:t>from</w:t>
      </w:r>
      <w:r w:rsidRPr="00107B81">
        <w:t xml:space="preserve"> </w:t>
      </w:r>
      <w:r w:rsidRPr="00107B81">
        <w:t xml:space="preserve">an </w:t>
      </w:r>
      <w:r w:rsidRPr="00107B81">
        <w:t>interview</w:t>
      </w:r>
      <w:r w:rsidRPr="00107B81">
        <w:t xml:space="preserve">, whether </w:t>
      </w:r>
      <w:r w:rsidRPr="00107B81">
        <w:t>conducted by an attorney</w:t>
      </w:r>
      <w:r w:rsidRPr="00107B81">
        <w:t xml:space="preserve"> “</w:t>
      </w:r>
      <w:r w:rsidRPr="00107B81">
        <w:t>or by an attorney’s agent at the attorney’s behest”</w:t>
      </w:r>
      <w:r w:rsidRPr="00107B81">
        <w:t xml:space="preserve"> </w:t>
      </w:r>
      <w:r w:rsidRPr="00107B81">
        <w:t>(</w:t>
      </w:r>
      <w:r w:rsidRPr="00107B81">
        <w:rPr>
          <w:i/>
          <w:iCs/>
        </w:rPr>
        <w:t>id</w:t>
      </w:r>
      <w:r w:rsidRPr="00107B81">
        <w:t xml:space="preserve">. </w:t>
      </w:r>
      <w:r w:rsidRPr="00107B81">
        <w:t>at p. 494),</w:t>
      </w:r>
      <w:r w:rsidRPr="00107B81">
        <w:t xml:space="preserve"> </w:t>
      </w:r>
      <w:r w:rsidRPr="00107B81">
        <w:rPr>
          <w:rStyle w:val="normaltextrun"/>
          <w:color w:val="000000"/>
          <w:shd w:val="clear" w:color="auto" w:fill="FFFFFF"/>
        </w:rPr>
        <w:t>“</w:t>
      </w:r>
      <w:r w:rsidRPr="00107B81">
        <w:rPr>
          <w:rStyle w:val="normaltextrun"/>
          <w:color w:val="000000"/>
          <w:shd w:val="clear" w:color="auto" w:fill="FFFFFF"/>
        </w:rPr>
        <w:t>may, in some instances, reveal the ‘impressions, conclusions, opinions, or legal research or theories’ of the attorney and thus be entitled to absolute protection</w:t>
      </w:r>
      <w:r w:rsidRPr="00107B81">
        <w:rPr>
          <w:rStyle w:val="normaltextrun"/>
          <w:color w:val="000000"/>
          <w:shd w:val="clear" w:color="auto" w:fill="FFFFFF"/>
        </w:rPr>
        <w:t>.</w:t>
      </w:r>
      <w:r w:rsidRPr="00107B81">
        <w:rPr>
          <w:rStyle w:val="normaltextrun"/>
          <w:color w:val="000000"/>
          <w:shd w:val="clear" w:color="auto" w:fill="FFFFFF"/>
        </w:rPr>
        <w:t>”</w:t>
      </w:r>
      <w:r w:rsidRPr="00107B81">
        <w:rPr>
          <w:rStyle w:val="normaltextrun"/>
          <w:color w:val="000000"/>
          <w:shd w:val="clear" w:color="auto" w:fill="FFFFFF"/>
        </w:rPr>
        <w:t xml:space="preserve"> </w:t>
      </w:r>
      <w:r w:rsidRPr="00107B81">
        <w:rPr>
          <w:rStyle w:val="normaltextrun"/>
          <w:color w:val="000000"/>
          <w:shd w:val="clear" w:color="auto" w:fill="FFFFFF"/>
        </w:rPr>
        <w:t xml:space="preserve"> (</w:t>
      </w:r>
      <w:r w:rsidRPr="00107B81">
        <w:rPr>
          <w:rStyle w:val="normaltextrun"/>
          <w:i/>
          <w:color w:val="000000"/>
          <w:shd w:val="clear" w:color="auto" w:fill="FFFFFF"/>
        </w:rPr>
        <w:t>I</w:t>
      </w:r>
      <w:r w:rsidRPr="00107B81">
        <w:rPr>
          <w:rStyle w:val="normaltextrun"/>
          <w:i/>
          <w:color w:val="000000"/>
          <w:shd w:val="clear" w:color="auto" w:fill="FFFFFF"/>
        </w:rPr>
        <w:t>d.</w:t>
      </w:r>
      <w:r w:rsidRPr="00107B81">
        <w:rPr>
          <w:rStyle w:val="normaltextrun"/>
          <w:color w:val="000000"/>
          <w:shd w:val="clear" w:color="auto" w:fill="FFFFFF"/>
        </w:rPr>
        <w:t xml:space="preserve"> at p.</w:t>
      </w:r>
      <w:r>
        <w:rPr>
          <w:rStyle w:val="normaltextrun"/>
          <w:color w:val="000000"/>
          <w:shd w:val="clear" w:color="auto" w:fill="FFFFFF"/>
        </w:rPr>
        <w:t xml:space="preserve"> </w:t>
      </w:r>
      <w:r w:rsidRPr="00107B81">
        <w:rPr>
          <w:rStyle w:val="normaltextrun"/>
          <w:color w:val="000000"/>
          <w:shd w:val="clear" w:color="auto" w:fill="FFFFFF"/>
        </w:rPr>
        <w:t xml:space="preserve">495, quoting </w:t>
      </w:r>
      <w:r w:rsidRPr="00107B81">
        <w:rPr>
          <w:rStyle w:val="normaltextrun"/>
          <w:color w:val="000000"/>
          <w:shd w:val="clear" w:color="auto" w:fill="FFFFFF"/>
        </w:rPr>
        <w:t>§</w:t>
      </w:r>
      <w:r w:rsidRPr="00107B81">
        <w:rPr>
          <w:rStyle w:val="normaltextrun"/>
          <w:color w:val="000000"/>
          <w:shd w:val="clear" w:color="auto" w:fill="FFFFFF"/>
        </w:rPr>
        <w:t> </w:t>
      </w:r>
      <w:r w:rsidRPr="00107B81">
        <w:rPr>
          <w:rStyle w:val="normaltextrun"/>
          <w:color w:val="000000"/>
          <w:shd w:val="clear" w:color="auto" w:fill="FFFFFF"/>
        </w:rPr>
        <w:t>2018.030, subd. (a)</w:t>
      </w:r>
      <w:r w:rsidRPr="00107B81">
        <w:rPr>
          <w:rStyle w:val="normaltextrun"/>
          <w:color w:val="000000"/>
          <w:shd w:val="clear" w:color="auto" w:fill="FFFFFF"/>
        </w:rPr>
        <w:t>.</w:t>
      </w:r>
      <w:r w:rsidRPr="00107B81">
        <w:rPr>
          <w:rStyle w:val="normaltextrun"/>
          <w:color w:val="000000"/>
          <w:shd w:val="clear" w:color="auto" w:fill="FFFFFF"/>
        </w:rPr>
        <w:t>)</w:t>
      </w:r>
      <w:r w:rsidRPr="00107B81">
        <w:rPr>
          <w:rStyle w:val="normaltextrun"/>
          <w:color w:val="000000"/>
          <w:shd w:val="clear" w:color="auto" w:fill="FFFFFF"/>
        </w:rPr>
        <w:t xml:space="preserve">  The court then held</w:t>
      </w:r>
      <w:r w:rsidRPr="00107B81">
        <w:rPr>
          <w:rStyle w:val="normaltextrun"/>
          <w:color w:val="000000"/>
          <w:shd w:val="clear" w:color="auto" w:fill="FFFFFF"/>
        </w:rPr>
        <w:t xml:space="preserve"> that</w:t>
      </w:r>
      <w:r w:rsidRPr="00107B81">
        <w:rPr>
          <w:rStyle w:val="normaltextrun"/>
          <w:color w:val="000000"/>
          <w:shd w:val="clear" w:color="auto" w:fill="FFFFFF"/>
        </w:rPr>
        <w:t xml:space="preserve">, </w:t>
      </w:r>
      <w:r w:rsidRPr="00107B81">
        <w:rPr>
          <w:rStyle w:val="normaltextrun"/>
          <w:color w:val="000000"/>
          <w:shd w:val="clear" w:color="auto" w:fill="FFFFFF"/>
        </w:rPr>
        <w:t>even</w:t>
      </w:r>
      <w:r w:rsidRPr="00107B81">
        <w:rPr>
          <w:rStyle w:val="normaltextrun"/>
          <w:color w:val="000000"/>
          <w:shd w:val="clear" w:color="auto" w:fill="FFFFFF"/>
        </w:rPr>
        <w:t xml:space="preserve"> where absolute protection is </w:t>
      </w:r>
      <w:r w:rsidRPr="00107B81">
        <w:rPr>
          <w:rStyle w:val="normaltextrun"/>
          <w:color w:val="000000"/>
          <w:shd w:val="clear" w:color="auto" w:fill="FFFFFF"/>
        </w:rPr>
        <w:t>inapplicable</w:t>
      </w:r>
      <w:r w:rsidRPr="00107B81">
        <w:rPr>
          <w:rStyle w:val="normaltextrun"/>
          <w:color w:val="000000"/>
          <w:shd w:val="clear" w:color="auto" w:fill="FFFFFF"/>
        </w:rPr>
        <w:t xml:space="preserve">, </w:t>
      </w:r>
      <w:r w:rsidRPr="00107B81">
        <w:rPr>
          <w:rStyle w:val="normaltextrun"/>
          <w:color w:val="000000"/>
          <w:shd w:val="clear" w:color="auto" w:fill="FFFFFF"/>
        </w:rPr>
        <w:t xml:space="preserve">such </w:t>
      </w:r>
      <w:r w:rsidRPr="00107B81">
        <w:rPr>
          <w:rStyle w:val="normaltextrun"/>
          <w:color w:val="000000"/>
          <w:shd w:val="clear" w:color="auto" w:fill="FFFFFF"/>
        </w:rPr>
        <w:t>a</w:t>
      </w:r>
      <w:r w:rsidRPr="00107B81">
        <w:rPr>
          <w:rStyle w:val="normaltextrun"/>
          <w:color w:val="000000"/>
          <w:shd w:val="clear" w:color="auto" w:fill="FFFFFF"/>
        </w:rPr>
        <w:t xml:space="preserve"> </w:t>
      </w:r>
      <w:r w:rsidRPr="00107B81">
        <w:rPr>
          <w:rStyle w:val="normaltextrun"/>
          <w:color w:val="000000"/>
          <w:shd w:val="clear" w:color="auto" w:fill="FFFFFF"/>
        </w:rPr>
        <w:t xml:space="preserve">witness </w:t>
      </w:r>
      <w:r w:rsidRPr="00107B81">
        <w:rPr>
          <w:rStyle w:val="normaltextrun"/>
          <w:color w:val="000000"/>
          <w:shd w:val="clear" w:color="auto" w:fill="FFFFFF"/>
        </w:rPr>
        <w:t xml:space="preserve">statement </w:t>
      </w:r>
      <w:r w:rsidRPr="00107B81">
        <w:rPr>
          <w:rStyle w:val="normaltextrun"/>
          <w:color w:val="000000"/>
          <w:shd w:val="clear" w:color="auto" w:fill="FFFFFF"/>
        </w:rPr>
        <w:t>“</w:t>
      </w:r>
      <w:r w:rsidRPr="00107B81">
        <w:rPr>
          <w:rStyle w:val="normaltextrun"/>
          <w:color w:val="000000"/>
          <w:shd w:val="clear" w:color="auto" w:fill="FFFFFF"/>
        </w:rPr>
        <w:t>is</w:t>
      </w:r>
      <w:r w:rsidRPr="00107B81">
        <w:rPr>
          <w:rStyle w:val="normaltextrun"/>
          <w:color w:val="000000"/>
          <w:shd w:val="clear" w:color="auto" w:fill="FFFFFF"/>
        </w:rPr>
        <w:t xml:space="preserve">, as a matter of law, </w:t>
      </w:r>
      <w:r w:rsidRPr="00107B81">
        <w:rPr>
          <w:rStyle w:val="normaltextrun"/>
          <w:color w:val="000000"/>
          <w:shd w:val="clear" w:color="auto" w:fill="FFFFFF"/>
        </w:rPr>
        <w:t xml:space="preserve">entitled to </w:t>
      </w:r>
      <w:r w:rsidRPr="00107B81">
        <w:rPr>
          <w:rStyle w:val="normaltextrun"/>
          <w:color w:val="000000"/>
          <w:shd w:val="clear" w:color="auto" w:fill="FFFFFF"/>
        </w:rPr>
        <w:t xml:space="preserve">at least </w:t>
      </w:r>
      <w:r w:rsidRPr="00107B81">
        <w:rPr>
          <w:rStyle w:val="normaltextrun"/>
          <w:color w:val="000000"/>
          <w:shd w:val="clear" w:color="auto" w:fill="FFFFFF"/>
        </w:rPr>
        <w:t xml:space="preserve">qualified work product </w:t>
      </w:r>
      <w:r w:rsidRPr="00107B81">
        <w:rPr>
          <w:rStyle w:val="normaltextrun"/>
          <w:color w:val="000000"/>
          <w:shd w:val="clear" w:color="auto" w:fill="FFFFFF"/>
        </w:rPr>
        <w:t>protection</w:t>
      </w:r>
      <w:r w:rsidRPr="00107B81">
        <w:rPr>
          <w:rStyle w:val="normaltextrun"/>
          <w:color w:val="000000"/>
          <w:shd w:val="clear" w:color="auto" w:fill="FFFFFF"/>
        </w:rPr>
        <w:t>.</w:t>
      </w:r>
      <w:r w:rsidRPr="00107B81">
        <w:rPr>
          <w:rStyle w:val="normaltextrun"/>
          <w:color w:val="000000"/>
          <w:shd w:val="clear" w:color="auto" w:fill="FFFFFF"/>
        </w:rPr>
        <w:t>”</w:t>
      </w:r>
      <w:r w:rsidRPr="00107B81">
        <w:rPr>
          <w:rStyle w:val="normaltextrun"/>
          <w:color w:val="000000"/>
          <w:shd w:val="clear" w:color="auto" w:fill="FFFFFF"/>
        </w:rPr>
        <w:t xml:space="preserve"> </w:t>
      </w:r>
      <w:r w:rsidRPr="00107B81">
        <w:rPr>
          <w:rStyle w:val="normaltextrun"/>
          <w:color w:val="000000"/>
          <w:shd w:val="clear" w:color="auto" w:fill="FFFFFF"/>
        </w:rPr>
        <w:t xml:space="preserve"> </w:t>
      </w:r>
      <w:r w:rsidRPr="00107B81">
        <w:rPr>
          <w:rStyle w:val="normaltextrun"/>
          <w:color w:val="000000"/>
          <w:shd w:val="clear" w:color="auto" w:fill="FFFFFF"/>
        </w:rPr>
        <w:t>(</w:t>
      </w:r>
      <w:r w:rsidRPr="00107B81">
        <w:rPr>
          <w:rStyle w:val="normaltextrun"/>
          <w:i/>
          <w:iCs/>
          <w:color w:val="000000"/>
          <w:shd w:val="clear" w:color="auto" w:fill="FFFFFF"/>
        </w:rPr>
        <w:t>Coito</w:t>
      </w:r>
      <w:r w:rsidRPr="00107B81">
        <w:rPr>
          <w:rStyle w:val="normaltextrun"/>
          <w:color w:val="000000"/>
          <w:shd w:val="clear" w:color="auto" w:fill="FFFFFF"/>
        </w:rPr>
        <w:t xml:space="preserve">, </w:t>
      </w:r>
      <w:r w:rsidRPr="00107B81">
        <w:rPr>
          <w:rStyle w:val="normaltextrun"/>
          <w:i/>
          <w:iCs/>
          <w:color w:val="000000"/>
          <w:shd w:val="clear" w:color="auto" w:fill="FFFFFF"/>
        </w:rPr>
        <w:t>supra</w:t>
      </w:r>
      <w:r w:rsidRPr="00107B81">
        <w:rPr>
          <w:rStyle w:val="normaltextrun"/>
          <w:color w:val="000000"/>
          <w:shd w:val="clear" w:color="auto" w:fill="FFFFFF"/>
        </w:rPr>
        <w:t>,</w:t>
      </w:r>
      <w:r w:rsidRPr="00107B81">
        <w:t xml:space="preserve"> at </w:t>
      </w:r>
      <w:r w:rsidRPr="00107B81">
        <w:t xml:space="preserve">p. </w:t>
      </w:r>
      <w:r w:rsidRPr="00107B81">
        <w:t>497.)</w:t>
      </w:r>
      <w:r w:rsidRPr="00107B81">
        <w:rPr>
          <w:rStyle w:val="normaltextrun"/>
          <w:color w:val="000000"/>
          <w:shd w:val="clear" w:color="auto" w:fill="FFFFFF"/>
        </w:rPr>
        <w:t xml:space="preserve"> </w:t>
      </w:r>
      <w:r w:rsidRPr="00107B81">
        <w:rPr>
          <w:rStyle w:val="normaltextrun"/>
          <w:color w:val="000000"/>
          <w:shd w:val="clear" w:color="auto" w:fill="FFFFFF"/>
        </w:rPr>
        <w:t xml:space="preserve"> </w:t>
      </w:r>
      <w:r w:rsidRPr="00107B81">
        <w:rPr>
          <w:rStyle w:val="normaltextrun"/>
          <w:color w:val="000000"/>
          <w:shd w:val="clear" w:color="auto" w:fill="FFFFFF"/>
        </w:rPr>
        <w:t>In reaching this</w:t>
      </w:r>
      <w:r w:rsidRPr="00107B81">
        <w:rPr>
          <w:rStyle w:val="normaltextrun"/>
          <w:color w:val="000000"/>
          <w:shd w:val="clear" w:color="auto" w:fill="FFFFFF"/>
        </w:rPr>
        <w:t xml:space="preserve"> latter</w:t>
      </w:r>
      <w:r w:rsidRPr="00107B81">
        <w:rPr>
          <w:rStyle w:val="normaltextrun"/>
          <w:color w:val="000000"/>
          <w:shd w:val="clear" w:color="auto" w:fill="FFFFFF"/>
        </w:rPr>
        <w:t xml:space="preserve"> conclusion, t</w:t>
      </w:r>
      <w:r w:rsidRPr="00107B81">
        <w:rPr>
          <w:rStyle w:val="normaltextrun"/>
          <w:color w:val="000000"/>
          <w:shd w:val="clear" w:color="auto" w:fill="FFFFFF"/>
        </w:rPr>
        <w:t xml:space="preserve">he court </w:t>
      </w:r>
      <w:r w:rsidRPr="00107B81">
        <w:rPr>
          <w:rStyle w:val="normaltextrun"/>
          <w:color w:val="000000"/>
          <w:shd w:val="clear" w:color="auto" w:fill="FFFFFF"/>
        </w:rPr>
        <w:t>reasoned</w:t>
      </w:r>
      <w:r w:rsidRPr="00107B81">
        <w:rPr>
          <w:rStyle w:val="normaltextrun"/>
          <w:color w:val="000000"/>
          <w:shd w:val="clear" w:color="auto" w:fill="FFFFFF"/>
        </w:rPr>
        <w:t xml:space="preserve"> </w:t>
      </w:r>
      <w:r w:rsidRPr="00107B81">
        <w:rPr>
          <w:rStyle w:val="normaltextrun"/>
          <w:color w:val="000000"/>
          <w:shd w:val="clear" w:color="auto" w:fill="FFFFFF"/>
        </w:rPr>
        <w:t>that</w:t>
      </w:r>
      <w:r w:rsidRPr="00107B81">
        <w:rPr>
          <w:rStyle w:val="normaltextrun"/>
          <w:color w:val="000000"/>
          <w:shd w:val="clear" w:color="auto" w:fill="FFFFFF"/>
        </w:rPr>
        <w:t xml:space="preserve"> </w:t>
      </w:r>
      <w:r w:rsidRPr="00107B81">
        <w:rPr>
          <w:rStyle w:val="normaltextrun"/>
          <w:color w:val="000000"/>
          <w:shd w:val="clear" w:color="auto" w:fill="FFFFFF"/>
        </w:rPr>
        <w:t xml:space="preserve">leaving such documents </w:t>
      </w:r>
      <w:r w:rsidRPr="00107B81">
        <w:rPr>
          <w:rStyle w:val="normaltextrun"/>
          <w:color w:val="000000"/>
          <w:shd w:val="clear" w:color="auto" w:fill="FFFFFF"/>
        </w:rPr>
        <w:lastRenderedPageBreak/>
        <w:t xml:space="preserve">unprotected </w:t>
      </w:r>
      <w:r w:rsidRPr="00107B81">
        <w:rPr>
          <w:rStyle w:val="normaltextrun"/>
          <w:color w:val="000000"/>
          <w:shd w:val="clear" w:color="auto" w:fill="FFFFFF"/>
        </w:rPr>
        <w:t xml:space="preserve">would </w:t>
      </w:r>
      <w:r w:rsidRPr="00107B81">
        <w:rPr>
          <w:rStyle w:val="normaltextrun"/>
          <w:color w:val="000000"/>
          <w:shd w:val="clear" w:color="auto" w:fill="FFFFFF"/>
        </w:rPr>
        <w:t>“</w:t>
      </w:r>
      <w:proofErr w:type="gramStart"/>
      <w:r w:rsidRPr="00107B81">
        <w:rPr>
          <w:rStyle w:val="normaltextrun"/>
          <w:color w:val="000000"/>
          <w:shd w:val="clear" w:color="auto" w:fill="FFFFFF"/>
        </w:rPr>
        <w:t>undermine[</w:t>
      </w:r>
      <w:proofErr w:type="gramEnd"/>
      <w:r w:rsidRPr="00107B81">
        <w:rPr>
          <w:rStyle w:val="normaltextrun"/>
          <w:color w:val="000000"/>
          <w:shd w:val="clear" w:color="auto" w:fill="FFFFFF"/>
        </w:rPr>
        <w:t> </w:t>
      </w:r>
      <w:r w:rsidRPr="00107B81">
        <w:rPr>
          <w:rStyle w:val="normaltextrun"/>
          <w:color w:val="000000"/>
          <w:shd w:val="clear" w:color="auto" w:fill="FFFFFF"/>
        </w:rPr>
        <w:t>] the Legislature’s policy to ‘[p]</w:t>
      </w:r>
      <w:proofErr w:type="spellStart"/>
      <w:r w:rsidRPr="00107B81">
        <w:rPr>
          <w:rStyle w:val="normaltextrun"/>
          <w:color w:val="000000"/>
          <w:shd w:val="clear" w:color="auto" w:fill="FFFFFF"/>
        </w:rPr>
        <w:t>revent</w:t>
      </w:r>
      <w:proofErr w:type="spellEnd"/>
      <w:r w:rsidRPr="00107B81">
        <w:rPr>
          <w:rStyle w:val="normaltextrun"/>
          <w:color w:val="000000"/>
          <w:shd w:val="clear" w:color="auto" w:fill="FFFFFF"/>
        </w:rPr>
        <w:t xml:space="preserve"> attorneys from taking undue advantage of their adversary’s industry and efforts’</w:t>
      </w:r>
      <w:r>
        <w:rPr>
          <w:rStyle w:val="normaltextrun"/>
          <w:color w:val="000000"/>
          <w:shd w:val="clear" w:color="auto" w:fill="FFFFFF"/>
        </w:rPr>
        <w:t xml:space="preserve"> </w:t>
      </w:r>
      <w:r w:rsidRPr="00107B81">
        <w:rPr>
          <w:rStyle w:val="normaltextrun"/>
          <w:color w:val="000000"/>
          <w:shd w:val="clear" w:color="auto" w:fill="FFFFFF"/>
        </w:rPr>
        <w:t>”</w:t>
      </w:r>
      <w:r w:rsidRPr="00107B81">
        <w:rPr>
          <w:rStyle w:val="normaltextrun"/>
          <w:color w:val="000000"/>
          <w:shd w:val="clear" w:color="auto" w:fill="FFFFFF"/>
        </w:rPr>
        <w:t xml:space="preserve"> (</w:t>
      </w:r>
      <w:r w:rsidRPr="00107B81">
        <w:rPr>
          <w:rStyle w:val="normaltextrun"/>
          <w:i/>
          <w:iCs/>
          <w:color w:val="000000"/>
          <w:shd w:val="clear" w:color="auto" w:fill="FFFFFF"/>
        </w:rPr>
        <w:t>i</w:t>
      </w:r>
      <w:r w:rsidRPr="00107B81">
        <w:rPr>
          <w:rStyle w:val="normaltextrun"/>
          <w:i/>
          <w:iCs/>
          <w:color w:val="000000"/>
          <w:shd w:val="clear" w:color="auto" w:fill="FFFFFF"/>
        </w:rPr>
        <w:t>d.</w:t>
      </w:r>
      <w:r w:rsidRPr="00107B81">
        <w:rPr>
          <w:rStyle w:val="normaltextrun"/>
          <w:color w:val="000000"/>
          <w:shd w:val="clear" w:color="auto" w:fill="FFFFFF"/>
        </w:rPr>
        <w:t xml:space="preserve"> at p.</w:t>
      </w:r>
      <w:r>
        <w:rPr>
          <w:rStyle w:val="normaltextrun"/>
          <w:color w:val="000000"/>
          <w:shd w:val="clear" w:color="auto" w:fill="FFFFFF"/>
        </w:rPr>
        <w:t xml:space="preserve"> </w:t>
      </w:r>
      <w:r w:rsidRPr="00107B81">
        <w:rPr>
          <w:rStyle w:val="normaltextrun"/>
          <w:color w:val="000000"/>
          <w:shd w:val="clear" w:color="auto" w:fill="FFFFFF"/>
        </w:rPr>
        <w:t xml:space="preserve">496, </w:t>
      </w:r>
      <w:r w:rsidRPr="00107B81">
        <w:rPr>
          <w:rStyle w:val="normaltextrun"/>
          <w:color w:val="000000"/>
          <w:shd w:val="clear" w:color="auto" w:fill="FFFFFF"/>
        </w:rPr>
        <w:t xml:space="preserve">quoting </w:t>
      </w:r>
      <w:r w:rsidRPr="00107B81">
        <w:rPr>
          <w:rStyle w:val="normaltextrun"/>
          <w:color w:val="000000"/>
          <w:shd w:val="clear" w:color="auto" w:fill="FFFFFF"/>
        </w:rPr>
        <w:t>§</w:t>
      </w:r>
      <w:r w:rsidRPr="00107B81">
        <w:rPr>
          <w:rStyle w:val="normaltextrun"/>
          <w:color w:val="000000"/>
          <w:shd w:val="clear" w:color="auto" w:fill="FFFFFF"/>
        </w:rPr>
        <w:t> </w:t>
      </w:r>
      <w:r w:rsidRPr="00107B81">
        <w:rPr>
          <w:rStyle w:val="normaltextrun"/>
          <w:color w:val="000000"/>
          <w:shd w:val="clear" w:color="auto" w:fill="FFFFFF"/>
        </w:rPr>
        <w:t>2018.020, subd. (b))</w:t>
      </w:r>
      <w:r w:rsidRPr="00107B81">
        <w:rPr>
          <w:rStyle w:val="normaltextrun"/>
          <w:color w:val="000000"/>
          <w:shd w:val="clear" w:color="auto" w:fill="FFFFFF"/>
        </w:rPr>
        <w:t>, and</w:t>
      </w:r>
      <w:r w:rsidRPr="00107B81">
        <w:rPr>
          <w:rStyle w:val="normaltextrun"/>
          <w:color w:val="000000"/>
          <w:shd w:val="clear" w:color="auto" w:fill="FFFFFF"/>
        </w:rPr>
        <w:t xml:space="preserve"> </w:t>
      </w:r>
      <w:r w:rsidRPr="00107B81">
        <w:rPr>
          <w:rStyle w:val="normaltextrun"/>
          <w:color w:val="000000"/>
          <w:shd w:val="clear" w:color="auto" w:fill="FFFFFF"/>
        </w:rPr>
        <w:t>“</w:t>
      </w:r>
      <w:r w:rsidRPr="00107B81">
        <w:rPr>
          <w:rStyle w:val="normaltextrun"/>
          <w:color w:val="000000"/>
          <w:shd w:val="clear" w:color="auto" w:fill="FFFFFF"/>
        </w:rPr>
        <w:t>impede the Legislature’s intent ‘to encourage [attorneys] to prepare their cases thoroughly and to investigate not only the favorable but the unfavorable aspects of those cases</w:t>
      </w:r>
      <w:proofErr w:type="gramStart"/>
      <w:r w:rsidRPr="00107B81">
        <w:rPr>
          <w:rStyle w:val="normaltextrun"/>
          <w:color w:val="000000"/>
          <w:shd w:val="clear" w:color="auto" w:fill="FFFFFF"/>
        </w:rPr>
        <w:t>’</w:t>
      </w:r>
      <w:r>
        <w:rPr>
          <w:rStyle w:val="normaltextrun"/>
          <w:color w:val="000000"/>
          <w:shd w:val="clear" w:color="auto" w:fill="FFFFFF"/>
        </w:rPr>
        <w:t xml:space="preserve"> </w:t>
      </w:r>
      <w:r w:rsidRPr="00107B81">
        <w:rPr>
          <w:rStyle w:val="normaltextrun"/>
          <w:color w:val="000000"/>
          <w:shd w:val="clear" w:color="auto" w:fill="FFFFFF"/>
        </w:rPr>
        <w:t>”</w:t>
      </w:r>
      <w:proofErr w:type="gramEnd"/>
      <w:r w:rsidRPr="00107B81">
        <w:rPr>
          <w:rStyle w:val="normaltextrun"/>
          <w:color w:val="000000"/>
          <w:shd w:val="clear" w:color="auto" w:fill="FFFFFF"/>
        </w:rPr>
        <w:t xml:space="preserve"> (</w:t>
      </w:r>
      <w:r w:rsidRPr="00107B81">
        <w:rPr>
          <w:rStyle w:val="normaltextrun"/>
          <w:i/>
          <w:iCs/>
          <w:color w:val="000000"/>
          <w:shd w:val="clear" w:color="auto" w:fill="FFFFFF"/>
        </w:rPr>
        <w:t>Coito</w:t>
      </w:r>
      <w:r w:rsidRPr="00107B81">
        <w:rPr>
          <w:rStyle w:val="normaltextrun"/>
          <w:color w:val="000000"/>
          <w:shd w:val="clear" w:color="auto" w:fill="FFFFFF"/>
        </w:rPr>
        <w:t xml:space="preserve">, </w:t>
      </w:r>
      <w:r w:rsidRPr="00107B81">
        <w:rPr>
          <w:rStyle w:val="normaltextrun"/>
          <w:i/>
          <w:iCs/>
          <w:color w:val="000000"/>
          <w:shd w:val="clear" w:color="auto" w:fill="FFFFFF"/>
        </w:rPr>
        <w:t>supra</w:t>
      </w:r>
      <w:r w:rsidRPr="00107B81">
        <w:rPr>
          <w:rStyle w:val="normaltextrun"/>
          <w:color w:val="000000"/>
          <w:shd w:val="clear" w:color="auto" w:fill="FFFFFF"/>
        </w:rPr>
        <w:t xml:space="preserve">, </w:t>
      </w:r>
      <w:r w:rsidRPr="00107B81">
        <w:rPr>
          <w:rStyle w:val="normaltextrun"/>
          <w:color w:val="000000"/>
          <w:shd w:val="clear" w:color="auto" w:fill="FFFFFF"/>
        </w:rPr>
        <w:t xml:space="preserve">at p. 496, </w:t>
      </w:r>
      <w:r w:rsidRPr="00107B81">
        <w:rPr>
          <w:rStyle w:val="normaltextrun"/>
          <w:iCs/>
          <w:color w:val="000000"/>
          <w:shd w:val="clear" w:color="auto" w:fill="FFFFFF"/>
        </w:rPr>
        <w:t xml:space="preserve">quoting </w:t>
      </w:r>
      <w:r w:rsidRPr="00107B81">
        <w:rPr>
          <w:rStyle w:val="normaltextrun"/>
          <w:color w:val="000000"/>
          <w:shd w:val="clear" w:color="auto" w:fill="FFFFFF"/>
        </w:rPr>
        <w:t>§ 2018.020, subd. (</w:t>
      </w:r>
      <w:proofErr w:type="gramStart"/>
      <w:r w:rsidRPr="00107B81">
        <w:rPr>
          <w:rStyle w:val="normaltextrun"/>
          <w:color w:val="000000"/>
          <w:shd w:val="clear" w:color="auto" w:fill="FFFFFF"/>
        </w:rPr>
        <w:t>a))</w:t>
      </w:r>
      <w:proofErr w:type="gramEnd"/>
      <w:r w:rsidRPr="00107B81">
        <w:rPr>
          <w:rStyle w:val="normaltextrun"/>
          <w:color w:val="000000"/>
          <w:shd w:val="clear" w:color="auto" w:fill="FFFFFF"/>
        </w:rPr>
        <w:t>.</w:t>
      </w:r>
    </w:p>
    <w:p w14:paraId="019C206C" w14:textId="77777777" w:rsidR="00447998" w:rsidRPr="00107B81" w:rsidRDefault="00447998" w:rsidP="00EE56F8">
      <w:pPr>
        <w:ind w:firstLine="720"/>
      </w:pPr>
      <w:r w:rsidRPr="00107B81">
        <w:rPr>
          <w:rStyle w:val="normaltextrun"/>
          <w:color w:val="000000"/>
          <w:shd w:val="clear" w:color="auto" w:fill="FFFFFF"/>
        </w:rPr>
        <w:t>Here, SCE adduced evidence that its in-house counsel directed Claims employees to obtain information from employees referred to as “</w:t>
      </w:r>
      <w:r w:rsidRPr="00107B81">
        <w:t xml:space="preserve">subject-matter experts” in other departments.  </w:t>
      </w:r>
      <w:r w:rsidRPr="00107B81">
        <w:rPr>
          <w:rStyle w:val="normaltextrun"/>
          <w:color w:val="000000"/>
          <w:shd w:val="clear" w:color="auto" w:fill="FFFFFF"/>
        </w:rPr>
        <w:t xml:space="preserve">Communications from these subject-matter experts to Claims employees would contain information regarding the Creek Fire and/or SCE’s equipment, and thus be witness statements like those at issue in </w:t>
      </w:r>
      <w:r w:rsidRPr="00107B81">
        <w:rPr>
          <w:rStyle w:val="normaltextrun"/>
          <w:i/>
          <w:iCs/>
          <w:color w:val="000000"/>
          <w:shd w:val="clear" w:color="auto" w:fill="FFFFFF"/>
        </w:rPr>
        <w:t>Coito</w:t>
      </w:r>
      <w:r w:rsidRPr="00107B81">
        <w:rPr>
          <w:rStyle w:val="normaltextrun"/>
          <w:color w:val="000000"/>
          <w:shd w:val="clear" w:color="auto" w:fill="FFFFFF"/>
        </w:rPr>
        <w:t>.</w:t>
      </w:r>
      <w:r w:rsidRPr="00107B81">
        <w:rPr>
          <w:rStyle w:val="normaltextrun"/>
          <w:color w:val="000000"/>
          <w:shd w:val="clear" w:color="auto" w:fill="FFFFFF"/>
        </w:rPr>
        <w:t xml:space="preserve">  </w:t>
      </w:r>
      <w:r w:rsidRPr="00107B81">
        <w:rPr>
          <w:rStyle w:val="normaltextrun"/>
          <w:color w:val="000000"/>
          <w:shd w:val="clear" w:color="auto" w:fill="FFFFFF"/>
        </w:rPr>
        <w:t xml:space="preserve">Under </w:t>
      </w:r>
      <w:r w:rsidRPr="00107B81">
        <w:rPr>
          <w:i/>
          <w:iCs/>
        </w:rPr>
        <w:t>Coito</w:t>
      </w:r>
      <w:r w:rsidRPr="00107B81">
        <w:t>, the</w:t>
      </w:r>
      <w:r w:rsidRPr="00107B81">
        <w:t>se</w:t>
      </w:r>
      <w:r w:rsidRPr="00107B81">
        <w:t xml:space="preserve"> </w:t>
      </w:r>
      <w:r w:rsidRPr="00107B81">
        <w:t>communications</w:t>
      </w:r>
      <w:r w:rsidRPr="00107B81">
        <w:t>,</w:t>
      </w:r>
      <w:r w:rsidRPr="00107B81">
        <w:t xml:space="preserve"> as well as other communications and documents relating</w:t>
      </w:r>
      <w:r w:rsidRPr="00107B81">
        <w:t xml:space="preserve"> </w:t>
      </w:r>
      <w:r w:rsidRPr="00107B81">
        <w:t xml:space="preserve">to </w:t>
      </w:r>
      <w:r w:rsidRPr="00107B81">
        <w:t xml:space="preserve">the </w:t>
      </w:r>
      <w:r w:rsidRPr="00107B81">
        <w:t>interview process</w:t>
      </w:r>
      <w:r w:rsidRPr="00107B81">
        <w:t>, are at least entitled to qualified work product protection</w:t>
      </w:r>
      <w:r w:rsidRPr="00107B81">
        <w:t>.</w:t>
      </w:r>
    </w:p>
    <w:p w14:paraId="5D9487BB" w14:textId="77777777" w:rsidR="00447998" w:rsidRPr="00107B81" w:rsidRDefault="00447998" w:rsidP="00EE56F8">
      <w:pPr>
        <w:ind w:firstLine="720"/>
        <w:rPr>
          <w:rStyle w:val="normaltextrun"/>
          <w:color w:val="000000"/>
          <w:shd w:val="clear" w:color="auto" w:fill="FFFFFF"/>
        </w:rPr>
      </w:pPr>
      <w:r w:rsidRPr="00107B81">
        <w:t>W</w:t>
      </w:r>
      <w:r w:rsidRPr="00107B81">
        <w:rPr>
          <w:bCs/>
        </w:rPr>
        <w:t xml:space="preserve">e discern two grounds for the </w:t>
      </w:r>
      <w:r w:rsidRPr="00107B81">
        <w:rPr>
          <w:bCs/>
        </w:rPr>
        <w:t xml:space="preserve">trial </w:t>
      </w:r>
      <w:r w:rsidRPr="00107B81">
        <w:rPr>
          <w:bCs/>
        </w:rPr>
        <w:t>court’s ruling</w:t>
      </w:r>
      <w:r w:rsidRPr="00107B81">
        <w:rPr>
          <w:bCs/>
        </w:rPr>
        <w:t xml:space="preserve"> that the work product doctrine did not apply</w:t>
      </w:r>
      <w:r w:rsidRPr="00107B81">
        <w:rPr>
          <w:bCs/>
        </w:rPr>
        <w:t xml:space="preserve">: </w:t>
      </w:r>
      <w:r w:rsidRPr="00107B81">
        <w:rPr>
          <w:bCs/>
        </w:rPr>
        <w:t>that</w:t>
      </w:r>
      <w:r w:rsidRPr="00107B81">
        <w:rPr>
          <w:bCs/>
        </w:rPr>
        <w:t xml:space="preserve"> </w:t>
      </w:r>
      <w:r w:rsidRPr="00107B81">
        <w:rPr>
          <w:rStyle w:val="normaltextrun"/>
          <w:color w:val="000000"/>
          <w:shd w:val="clear" w:color="auto" w:fill="FFFFFF"/>
        </w:rPr>
        <w:t>SCE failed to establish that its Claims employees were agents of SCE counsel</w:t>
      </w:r>
      <w:r w:rsidRPr="00107B81">
        <w:rPr>
          <w:rStyle w:val="normaltextrun"/>
          <w:color w:val="000000"/>
          <w:shd w:val="clear" w:color="auto" w:fill="FFFFFF"/>
        </w:rPr>
        <w:t xml:space="preserve">, and that </w:t>
      </w:r>
      <w:r w:rsidRPr="00107B81">
        <w:rPr>
          <w:rStyle w:val="normaltextrun"/>
          <w:color w:val="000000"/>
          <w:shd w:val="clear" w:color="auto" w:fill="FFFFFF"/>
        </w:rPr>
        <w:t>the dominant purpose of the investigation was compl</w:t>
      </w:r>
      <w:r w:rsidRPr="00107B81">
        <w:rPr>
          <w:rStyle w:val="normaltextrun"/>
          <w:color w:val="000000"/>
          <w:shd w:val="clear" w:color="auto" w:fill="FFFFFF"/>
        </w:rPr>
        <w:t>iance</w:t>
      </w:r>
      <w:r w:rsidRPr="00107B81">
        <w:rPr>
          <w:rStyle w:val="normaltextrun"/>
          <w:color w:val="000000"/>
          <w:shd w:val="clear" w:color="auto" w:fill="FFFFFF"/>
        </w:rPr>
        <w:t xml:space="preserve"> with </w:t>
      </w:r>
      <w:r w:rsidRPr="00107B81">
        <w:rPr>
          <w:rStyle w:val="normaltextrun"/>
          <w:color w:val="000000"/>
          <w:shd w:val="clear" w:color="auto" w:fill="FFFFFF"/>
        </w:rPr>
        <w:t xml:space="preserve">SCE’s </w:t>
      </w:r>
      <w:r w:rsidRPr="00107B81">
        <w:rPr>
          <w:rStyle w:val="normaltextrun"/>
          <w:color w:val="000000"/>
          <w:shd w:val="clear" w:color="auto" w:fill="FFFFFF"/>
        </w:rPr>
        <w:t xml:space="preserve">legal obligation under </w:t>
      </w:r>
      <w:r w:rsidRPr="00107B81">
        <w:rPr>
          <w:rStyle w:val="normaltextrun"/>
          <w:color w:val="000000"/>
          <w:shd w:val="clear" w:color="auto" w:fill="FFFFFF"/>
        </w:rPr>
        <w:t xml:space="preserve">Public Utilities Code section 315 and </w:t>
      </w:r>
      <w:r w:rsidRPr="00107B81">
        <w:rPr>
          <w:rStyle w:val="normaltextrun"/>
          <w:color w:val="000000"/>
          <w:shd w:val="clear" w:color="auto" w:fill="FFFFFF"/>
        </w:rPr>
        <w:t xml:space="preserve">PUC </w:t>
      </w:r>
      <w:r w:rsidRPr="00107B81">
        <w:rPr>
          <w:rStyle w:val="normaltextrun"/>
          <w:color w:val="000000"/>
          <w:shd w:val="clear" w:color="auto" w:fill="FFFFFF"/>
        </w:rPr>
        <w:t>r</w:t>
      </w:r>
      <w:r w:rsidRPr="00107B81">
        <w:rPr>
          <w:rStyle w:val="normaltextrun"/>
          <w:color w:val="000000"/>
          <w:shd w:val="clear" w:color="auto" w:fill="FFFFFF"/>
        </w:rPr>
        <w:t>ule 17</w:t>
      </w:r>
      <w:r w:rsidRPr="00107B81">
        <w:rPr>
          <w:rStyle w:val="normaltextrun"/>
          <w:color w:val="000000"/>
          <w:shd w:val="clear" w:color="auto" w:fill="FFFFFF"/>
        </w:rPr>
        <w:t xml:space="preserve"> to investigate the fire</w:t>
      </w:r>
      <w:r w:rsidRPr="00107B81">
        <w:rPr>
          <w:rStyle w:val="normaltextrun"/>
          <w:color w:val="000000"/>
          <w:shd w:val="clear" w:color="auto" w:fill="FFFFFF"/>
        </w:rPr>
        <w:t xml:space="preserve"> and report on it to PUC</w:t>
      </w:r>
      <w:r w:rsidRPr="00107B81">
        <w:rPr>
          <w:rStyle w:val="normaltextrun"/>
          <w:color w:val="000000"/>
          <w:shd w:val="clear" w:color="auto" w:fill="FFFFFF"/>
        </w:rPr>
        <w:t xml:space="preserve">.  </w:t>
      </w:r>
      <w:r w:rsidRPr="00107B81">
        <w:rPr>
          <w:rStyle w:val="normaltextrun"/>
          <w:color w:val="000000"/>
          <w:shd w:val="clear" w:color="auto" w:fill="FFFFFF"/>
        </w:rPr>
        <w:t xml:space="preserve">The </w:t>
      </w:r>
      <w:r w:rsidRPr="00107B81">
        <w:rPr>
          <w:rStyle w:val="normaltextrun"/>
          <w:color w:val="000000"/>
          <w:shd w:val="clear" w:color="auto" w:fill="FFFFFF"/>
        </w:rPr>
        <w:t>first finding is not supported by substantial evidence</w:t>
      </w:r>
      <w:r w:rsidRPr="00107B81">
        <w:rPr>
          <w:rStyle w:val="normaltextrun"/>
          <w:color w:val="000000"/>
          <w:shd w:val="clear" w:color="auto" w:fill="FFFFFF"/>
        </w:rPr>
        <w:t xml:space="preserve">, and the </w:t>
      </w:r>
      <w:r w:rsidRPr="00107B81">
        <w:rPr>
          <w:rStyle w:val="normaltextrun"/>
          <w:color w:val="000000"/>
          <w:shd w:val="clear" w:color="auto" w:fill="FFFFFF"/>
        </w:rPr>
        <w:t xml:space="preserve">conclusions </w:t>
      </w:r>
      <w:r w:rsidRPr="00107B81">
        <w:rPr>
          <w:rStyle w:val="normaltextrun"/>
          <w:color w:val="000000"/>
          <w:shd w:val="clear" w:color="auto" w:fill="FFFFFF"/>
        </w:rPr>
        <w:t>the court</w:t>
      </w:r>
      <w:r w:rsidRPr="00107B81">
        <w:rPr>
          <w:rStyle w:val="normaltextrun"/>
          <w:color w:val="000000"/>
          <w:shd w:val="clear" w:color="auto" w:fill="FFFFFF"/>
        </w:rPr>
        <w:t xml:space="preserve"> drew from </w:t>
      </w:r>
      <w:r w:rsidRPr="00107B81">
        <w:rPr>
          <w:rStyle w:val="normaltextrun"/>
          <w:color w:val="000000"/>
          <w:shd w:val="clear" w:color="auto" w:fill="FFFFFF"/>
        </w:rPr>
        <w:t xml:space="preserve">its </w:t>
      </w:r>
      <w:r w:rsidRPr="00107B81">
        <w:rPr>
          <w:rStyle w:val="normaltextrun"/>
          <w:color w:val="000000"/>
          <w:shd w:val="clear" w:color="auto" w:fill="FFFFFF"/>
        </w:rPr>
        <w:t xml:space="preserve">second finding </w:t>
      </w:r>
      <w:r w:rsidRPr="00107B81">
        <w:rPr>
          <w:rStyle w:val="normaltextrun"/>
          <w:color w:val="000000"/>
          <w:shd w:val="clear" w:color="auto" w:fill="FFFFFF"/>
        </w:rPr>
        <w:t>are</w:t>
      </w:r>
      <w:r w:rsidRPr="00107B81">
        <w:rPr>
          <w:rStyle w:val="normaltextrun"/>
          <w:color w:val="000000"/>
          <w:shd w:val="clear" w:color="auto" w:fill="FFFFFF"/>
        </w:rPr>
        <w:t xml:space="preserve"> legally flawed</w:t>
      </w:r>
      <w:r w:rsidRPr="00107B81">
        <w:rPr>
          <w:rStyle w:val="normaltextrun"/>
          <w:color w:val="000000"/>
          <w:shd w:val="clear" w:color="auto" w:fill="FFFFFF"/>
        </w:rPr>
        <w:t>.</w:t>
      </w:r>
    </w:p>
    <w:p w14:paraId="2627E921" w14:textId="77777777" w:rsidR="00447998" w:rsidRPr="00107B81" w:rsidRDefault="00447998" w:rsidP="003E0049">
      <w:pPr>
        <w:keepNext/>
        <w:spacing w:before="60" w:after="60"/>
        <w:ind w:left="1440" w:hanging="720"/>
        <w:rPr>
          <w:rStyle w:val="normaltextrun"/>
          <w:color w:val="000000"/>
          <w:shd w:val="clear" w:color="auto" w:fill="FFFFFF"/>
        </w:rPr>
      </w:pPr>
      <w:r w:rsidRPr="00107B81">
        <w:rPr>
          <w:rStyle w:val="normaltextrun"/>
          <w:color w:val="000000"/>
          <w:shd w:val="clear" w:color="auto" w:fill="FFFFFF"/>
        </w:rPr>
        <w:t>1.</w:t>
      </w:r>
      <w:r w:rsidRPr="00107B81">
        <w:rPr>
          <w:rStyle w:val="normaltextrun"/>
          <w:color w:val="000000"/>
          <w:shd w:val="clear" w:color="auto" w:fill="FFFFFF"/>
        </w:rPr>
        <w:tab/>
      </w:r>
      <w:r w:rsidRPr="00107B81">
        <w:rPr>
          <w:rStyle w:val="normaltextrun"/>
          <w:i/>
          <w:iCs/>
          <w:color w:val="000000"/>
          <w:shd w:val="clear" w:color="auto" w:fill="FFFFFF"/>
        </w:rPr>
        <w:t>Agency</w:t>
      </w:r>
    </w:p>
    <w:p w14:paraId="64274DE9" w14:textId="77777777" w:rsidR="00447998" w:rsidRPr="00107B81" w:rsidRDefault="00447998" w:rsidP="00E03FD7">
      <w:pPr>
        <w:ind w:firstLine="720"/>
        <w:rPr>
          <w:rStyle w:val="normaltextrun"/>
          <w:color w:val="000000"/>
          <w:shd w:val="clear" w:color="auto" w:fill="FFFFFF"/>
        </w:rPr>
      </w:pPr>
      <w:r w:rsidRPr="00107B81">
        <w:rPr>
          <w:szCs w:val="26"/>
        </w:rPr>
        <w:t>It is well-established that the work</w:t>
      </w:r>
      <w:r w:rsidRPr="00107B81">
        <w:rPr>
          <w:szCs w:val="26"/>
        </w:rPr>
        <w:t xml:space="preserve"> </w:t>
      </w:r>
      <w:r w:rsidRPr="00107B81">
        <w:rPr>
          <w:szCs w:val="26"/>
        </w:rPr>
        <w:t xml:space="preserve">product </w:t>
      </w:r>
      <w:r w:rsidRPr="00107B81">
        <w:rPr>
          <w:szCs w:val="26"/>
        </w:rPr>
        <w:t xml:space="preserve">doctrine </w:t>
      </w:r>
      <w:proofErr w:type="gramStart"/>
      <w:r w:rsidRPr="00107B81">
        <w:rPr>
          <w:szCs w:val="26"/>
        </w:rPr>
        <w:t>“</w:t>
      </w:r>
      <w:r w:rsidRPr="00107B81">
        <w:rPr>
          <w:szCs w:val="26"/>
        </w:rPr>
        <w:t> </w:t>
      </w:r>
      <w:r w:rsidRPr="00107B81">
        <w:rPr>
          <w:szCs w:val="26"/>
        </w:rPr>
        <w:t>‘</w:t>
      </w:r>
      <w:proofErr w:type="gramEnd"/>
      <w:r w:rsidRPr="00107B81">
        <w:rPr>
          <w:szCs w:val="26"/>
        </w:rPr>
        <w:t> </w:t>
      </w:r>
      <w:r w:rsidRPr="00107B81">
        <w:rPr>
          <w:szCs w:val="26"/>
        </w:rPr>
        <w:t>“includes .</w:t>
      </w:r>
      <w:r w:rsidRPr="00107B81">
        <w:rPr>
          <w:szCs w:val="26"/>
        </w:rPr>
        <w:t> </w:t>
      </w:r>
      <w:r w:rsidRPr="00107B81">
        <w:rPr>
          <w:szCs w:val="26"/>
        </w:rPr>
        <w:t>.</w:t>
      </w:r>
      <w:r w:rsidRPr="00107B81">
        <w:rPr>
          <w:szCs w:val="26"/>
        </w:rPr>
        <w:t> </w:t>
      </w:r>
      <w:r w:rsidRPr="00107B81">
        <w:rPr>
          <w:szCs w:val="26"/>
        </w:rPr>
        <w:t xml:space="preserve">. </w:t>
      </w:r>
      <w:r w:rsidRPr="00107B81">
        <w:rPr>
          <w:rStyle w:val="normaltextrun"/>
          <w:color w:val="000000"/>
          <w:shd w:val="clear" w:color="auto" w:fill="FFFFFF"/>
        </w:rPr>
        <w:t xml:space="preserve">the work of those employed by [an attorney] or for </w:t>
      </w:r>
      <w:r w:rsidRPr="00107B81">
        <w:rPr>
          <w:rStyle w:val="normaltextrun"/>
          <w:color w:val="000000"/>
          <w:shd w:val="clear" w:color="auto" w:fill="FFFFFF"/>
        </w:rPr>
        <w:lastRenderedPageBreak/>
        <w:t>him by his client, in investigating both the favorable and unfavorable aspects of the case.” ’</w:t>
      </w:r>
      <w:r w:rsidRPr="00107B81">
        <w:rPr>
          <w:rStyle w:val="normaltextrun"/>
          <w:color w:val="000000"/>
          <w:shd w:val="clear" w:color="auto" w:fill="FFFFFF"/>
        </w:rPr>
        <w:t xml:space="preserve"> </w:t>
      </w:r>
      <w:r w:rsidRPr="00107B81">
        <w:rPr>
          <w:rStyle w:val="normaltextrun"/>
          <w:color w:val="000000"/>
          <w:shd w:val="clear" w:color="auto" w:fill="FFFFFF"/>
        </w:rPr>
        <w:t>”  (</w:t>
      </w:r>
      <w:r w:rsidRPr="00107B81">
        <w:rPr>
          <w:rStyle w:val="normaltextrun"/>
          <w:i/>
          <w:iCs/>
          <w:color w:val="000000"/>
          <w:shd w:val="clear" w:color="auto" w:fill="FFFFFF"/>
        </w:rPr>
        <w:t>Meza v. H. Muehlstein &amp; Co., Inc.</w:t>
      </w:r>
      <w:r w:rsidRPr="00107B81">
        <w:rPr>
          <w:rStyle w:val="normaltextrun"/>
          <w:color w:val="000000"/>
          <w:shd w:val="clear" w:color="auto" w:fill="FFFFFF"/>
        </w:rPr>
        <w:t xml:space="preserve">, </w:t>
      </w:r>
      <w:r w:rsidRPr="00107B81">
        <w:rPr>
          <w:rStyle w:val="normaltextrun"/>
          <w:i/>
          <w:iCs/>
          <w:color w:val="000000"/>
          <w:shd w:val="clear" w:color="auto" w:fill="FFFFFF"/>
        </w:rPr>
        <w:t>supra</w:t>
      </w:r>
      <w:r w:rsidRPr="00107B81">
        <w:rPr>
          <w:rStyle w:val="normaltextrun"/>
          <w:color w:val="000000"/>
          <w:shd w:val="clear" w:color="auto" w:fill="FFFFFF"/>
        </w:rPr>
        <w:t>, 176 Cal.App.4</w:t>
      </w:r>
      <w:r w:rsidRPr="00107B81">
        <w:rPr>
          <w:rStyle w:val="normaltextrun"/>
          <w:color w:val="000000"/>
          <w:shd w:val="clear" w:color="auto" w:fill="FFFFFF"/>
        </w:rPr>
        <w:t>th</w:t>
      </w:r>
      <w:r w:rsidRPr="00107B81">
        <w:rPr>
          <w:rStyle w:val="normaltextrun"/>
          <w:color w:val="000000"/>
          <w:shd w:val="clear" w:color="auto" w:fill="FFFFFF"/>
        </w:rPr>
        <w:t xml:space="preserve"> at p. 977.)  </w:t>
      </w:r>
      <w:r w:rsidRPr="00107B81">
        <w:rPr>
          <w:rStyle w:val="normaltextrun"/>
          <w:color w:val="000000"/>
          <w:shd w:val="clear" w:color="auto" w:fill="FFFFFF"/>
        </w:rPr>
        <w:t>SCE</w:t>
      </w:r>
      <w:r w:rsidRPr="00107B81">
        <w:rPr>
          <w:rStyle w:val="normaltextrun"/>
          <w:color w:val="000000"/>
          <w:shd w:val="clear" w:color="auto" w:fill="FFFFFF"/>
        </w:rPr>
        <w:t xml:space="preserve"> </w:t>
      </w:r>
      <w:r w:rsidRPr="00107B81">
        <w:rPr>
          <w:rStyle w:val="normaltextrun"/>
          <w:color w:val="000000"/>
          <w:shd w:val="clear" w:color="auto" w:fill="FFFFFF"/>
        </w:rPr>
        <w:t xml:space="preserve">submitted multiple declarations establishing that </w:t>
      </w:r>
      <w:r w:rsidRPr="00107B81">
        <w:rPr>
          <w:rStyle w:val="normaltextrun"/>
          <w:color w:val="000000"/>
          <w:shd w:val="clear" w:color="auto" w:fill="FFFFFF"/>
        </w:rPr>
        <w:t xml:space="preserve">attorney </w:t>
      </w:r>
      <w:r w:rsidRPr="00107B81">
        <w:rPr>
          <w:rStyle w:val="normaltextrun"/>
          <w:color w:val="000000"/>
          <w:shd w:val="clear" w:color="auto" w:fill="FFFFFF"/>
        </w:rPr>
        <w:t>Cardoza</w:t>
      </w:r>
      <w:r w:rsidRPr="00107B81">
        <w:rPr>
          <w:rStyle w:val="normaltextrun"/>
          <w:color w:val="000000"/>
          <w:shd w:val="clear" w:color="auto" w:fill="FFFFFF"/>
        </w:rPr>
        <w:t xml:space="preserve"> instructed </w:t>
      </w:r>
      <w:r w:rsidRPr="00107B81">
        <w:rPr>
          <w:rStyle w:val="normaltextrun"/>
          <w:color w:val="000000"/>
          <w:shd w:val="clear" w:color="auto" w:fill="FFFFFF"/>
        </w:rPr>
        <w:t xml:space="preserve">the </w:t>
      </w:r>
      <w:r w:rsidRPr="00107B81">
        <w:rPr>
          <w:rStyle w:val="normaltextrun"/>
          <w:color w:val="000000"/>
          <w:shd w:val="clear" w:color="auto" w:fill="FFFFFF"/>
        </w:rPr>
        <w:t>c</w:t>
      </w:r>
      <w:r w:rsidRPr="00107B81">
        <w:rPr>
          <w:rStyle w:val="normaltextrun"/>
          <w:color w:val="000000"/>
          <w:shd w:val="clear" w:color="auto" w:fill="FFFFFF"/>
        </w:rPr>
        <w:t xml:space="preserve">laims </w:t>
      </w:r>
      <w:r w:rsidRPr="00107B81">
        <w:rPr>
          <w:rStyle w:val="normaltextrun"/>
          <w:color w:val="000000"/>
          <w:shd w:val="clear" w:color="auto" w:fill="FFFFFF"/>
        </w:rPr>
        <w:t>d</w:t>
      </w:r>
      <w:r w:rsidRPr="00107B81">
        <w:rPr>
          <w:rStyle w:val="normaltextrun"/>
          <w:color w:val="000000"/>
          <w:shd w:val="clear" w:color="auto" w:fill="FFFFFF"/>
        </w:rPr>
        <w:t xml:space="preserve">epartment to investigate the cause of the Creek Fire </w:t>
      </w:r>
      <w:r w:rsidRPr="00107B81">
        <w:rPr>
          <w:rStyle w:val="normaltextrun"/>
          <w:color w:val="000000"/>
          <w:shd w:val="clear" w:color="auto" w:fill="FFFFFF"/>
        </w:rPr>
        <w:t xml:space="preserve">to assist in providing legal advice to SCE, and that the documents at issue were “part of and in furtherance of” that investigation.  </w:t>
      </w:r>
      <w:r w:rsidRPr="00107B81">
        <w:rPr>
          <w:szCs w:val="26"/>
        </w:rPr>
        <w:t xml:space="preserve">Other documents on which attorneys were copied and as to which plaintiffs did not move to compel corroborated attorney involvement in this investigation.  </w:t>
      </w:r>
      <w:r w:rsidRPr="00107B81">
        <w:rPr>
          <w:rStyle w:val="normaltextrun"/>
          <w:color w:val="000000"/>
          <w:shd w:val="clear" w:color="auto" w:fill="FFFFFF"/>
        </w:rPr>
        <w:t xml:space="preserve">Plaintiffs did not adduce any conflicting evidence, and the </w:t>
      </w:r>
      <w:r w:rsidRPr="00107B81">
        <w:rPr>
          <w:rStyle w:val="normaltextrun"/>
          <w:color w:val="000000"/>
          <w:shd w:val="clear" w:color="auto" w:fill="FFFFFF"/>
        </w:rPr>
        <w:t xml:space="preserve">court’s ruling does not identify </w:t>
      </w:r>
      <w:r w:rsidRPr="00107B81">
        <w:rPr>
          <w:rStyle w:val="normaltextrun"/>
          <w:color w:val="000000"/>
          <w:shd w:val="clear" w:color="auto" w:fill="FFFFFF"/>
        </w:rPr>
        <w:t>any.</w:t>
      </w:r>
    </w:p>
    <w:p w14:paraId="52E4C2F4" w14:textId="77777777" w:rsidR="00447998" w:rsidRPr="00107B81" w:rsidRDefault="00447998" w:rsidP="00E03FD7">
      <w:pPr>
        <w:ind w:firstLine="720"/>
        <w:rPr>
          <w:bCs/>
        </w:rPr>
      </w:pPr>
      <w:r w:rsidRPr="00107B81">
        <w:rPr>
          <w:rStyle w:val="normaltextrun"/>
          <w:color w:val="000000"/>
          <w:shd w:val="clear" w:color="auto" w:fill="FFFFFF"/>
        </w:rPr>
        <w:t>In support of the court’s ruling</w:t>
      </w:r>
      <w:r w:rsidRPr="00107B81">
        <w:rPr>
          <w:rStyle w:val="normaltextrun"/>
          <w:color w:val="000000"/>
          <w:shd w:val="clear" w:color="auto" w:fill="FFFFFF"/>
        </w:rPr>
        <w:t>, p</w:t>
      </w:r>
      <w:r w:rsidRPr="00107B81">
        <w:rPr>
          <w:rStyle w:val="normaltextrun"/>
          <w:color w:val="000000"/>
          <w:shd w:val="clear" w:color="auto" w:fill="FFFFFF"/>
        </w:rPr>
        <w:t xml:space="preserve">laintiffs </w:t>
      </w:r>
      <w:r w:rsidRPr="00107B81">
        <w:rPr>
          <w:rStyle w:val="normaltextrun"/>
          <w:color w:val="000000"/>
          <w:shd w:val="clear" w:color="auto" w:fill="FFFFFF"/>
        </w:rPr>
        <w:t xml:space="preserve">point to </w:t>
      </w:r>
      <w:r w:rsidRPr="00107B81">
        <w:rPr>
          <w:rStyle w:val="normaltextrun"/>
          <w:color w:val="000000"/>
          <w:shd w:val="clear" w:color="auto" w:fill="FFFFFF"/>
        </w:rPr>
        <w:t xml:space="preserve">evidence </w:t>
      </w:r>
      <w:r w:rsidRPr="00107B81">
        <w:rPr>
          <w:rStyle w:val="normaltextrun"/>
          <w:color w:val="000000"/>
          <w:shd w:val="clear" w:color="auto" w:fill="FFFFFF"/>
        </w:rPr>
        <w:t xml:space="preserve">they claim demonstrates </w:t>
      </w:r>
      <w:r w:rsidRPr="00107B81">
        <w:rPr>
          <w:rStyle w:val="normaltextrun"/>
          <w:color w:val="000000"/>
          <w:shd w:val="clear" w:color="auto" w:fill="FFFFFF"/>
        </w:rPr>
        <w:t xml:space="preserve">that “the </w:t>
      </w:r>
      <w:r w:rsidRPr="00107B81">
        <w:rPr>
          <w:rStyle w:val="normaltextrun"/>
          <w:color w:val="000000"/>
          <w:shd w:val="clear" w:color="auto" w:fill="FFFFFF"/>
        </w:rPr>
        <w:t>[c]</w:t>
      </w:r>
      <w:proofErr w:type="spellStart"/>
      <w:r w:rsidRPr="00107B81">
        <w:rPr>
          <w:rStyle w:val="normaltextrun"/>
          <w:color w:val="000000"/>
          <w:shd w:val="clear" w:color="auto" w:fill="FFFFFF"/>
        </w:rPr>
        <w:t>laims</w:t>
      </w:r>
      <w:proofErr w:type="spellEnd"/>
      <w:r w:rsidRPr="00107B81">
        <w:rPr>
          <w:rStyle w:val="normaltextrun"/>
          <w:color w:val="000000"/>
          <w:shd w:val="clear" w:color="auto" w:fill="FFFFFF"/>
        </w:rPr>
        <w:t xml:space="preserve"> </w:t>
      </w:r>
      <w:r w:rsidRPr="00107B81">
        <w:rPr>
          <w:rStyle w:val="normaltextrun"/>
          <w:color w:val="000000"/>
          <w:shd w:val="clear" w:color="auto" w:fill="FFFFFF"/>
        </w:rPr>
        <w:t>[d]</w:t>
      </w:r>
      <w:proofErr w:type="spellStart"/>
      <w:r w:rsidRPr="00107B81">
        <w:rPr>
          <w:rStyle w:val="normaltextrun"/>
          <w:color w:val="000000"/>
          <w:shd w:val="clear" w:color="auto" w:fill="FFFFFF"/>
        </w:rPr>
        <w:t>epartment</w:t>
      </w:r>
      <w:proofErr w:type="spellEnd"/>
      <w:r w:rsidRPr="00107B81">
        <w:rPr>
          <w:rStyle w:val="normaltextrun"/>
          <w:color w:val="000000"/>
          <w:shd w:val="clear" w:color="auto" w:fill="FFFFFF"/>
        </w:rPr>
        <w:t xml:space="preserve"> investigates a wide variety of matters, including customer complaints and job safety claims, where there is no anticipation of litigation.”</w:t>
      </w:r>
      <w:r w:rsidRPr="00107B81">
        <w:rPr>
          <w:bCs/>
        </w:rPr>
        <w:t xml:space="preserve">  </w:t>
      </w:r>
      <w:r w:rsidRPr="00107B81">
        <w:rPr>
          <w:bCs/>
        </w:rPr>
        <w:t>The evidence they cite</w:t>
      </w:r>
      <w:bookmarkStart w:id="1" w:name="_Hlk166569600"/>
      <w:r w:rsidRPr="00107B81">
        <w:rPr>
          <w:bCs/>
        </w:rPr>
        <w:t>—</w:t>
      </w:r>
      <w:bookmarkEnd w:id="1"/>
      <w:r w:rsidRPr="00107B81">
        <w:rPr>
          <w:bCs/>
        </w:rPr>
        <w:t xml:space="preserve">excerpts from </w:t>
      </w:r>
      <w:r w:rsidRPr="00107B81">
        <w:rPr>
          <w:bCs/>
        </w:rPr>
        <w:t xml:space="preserve">a </w:t>
      </w:r>
      <w:r w:rsidRPr="00107B81">
        <w:rPr>
          <w:bCs/>
        </w:rPr>
        <w:t>deposition Ramos provided in 2013 in a different lawsuit</w:t>
      </w:r>
      <w:r w:rsidRPr="00107B81">
        <w:rPr>
          <w:bCs/>
        </w:rPr>
        <w:t>—</w:t>
      </w:r>
      <w:r w:rsidRPr="00107B81">
        <w:rPr>
          <w:bCs/>
        </w:rPr>
        <w:t xml:space="preserve">does not support their assertion.  </w:t>
      </w:r>
      <w:r w:rsidRPr="00107B81">
        <w:rPr>
          <w:bCs/>
        </w:rPr>
        <w:t xml:space="preserve">More importantly, even </w:t>
      </w:r>
      <w:r w:rsidRPr="00107B81">
        <w:rPr>
          <w:bCs/>
        </w:rPr>
        <w:t xml:space="preserve">if </w:t>
      </w:r>
      <w:r w:rsidRPr="00107B81">
        <w:rPr>
          <w:bCs/>
        </w:rPr>
        <w:t xml:space="preserve">Claims employees </w:t>
      </w:r>
      <w:r w:rsidRPr="00107B81">
        <w:rPr>
          <w:bCs/>
        </w:rPr>
        <w:t xml:space="preserve">do </w:t>
      </w:r>
      <w:r w:rsidRPr="00107B81">
        <w:rPr>
          <w:bCs/>
        </w:rPr>
        <w:t xml:space="preserve">typically </w:t>
      </w:r>
      <w:r w:rsidRPr="00107B81">
        <w:rPr>
          <w:bCs/>
        </w:rPr>
        <w:t xml:space="preserve">work on </w:t>
      </w:r>
      <w:r w:rsidRPr="00107B81">
        <w:rPr>
          <w:bCs/>
        </w:rPr>
        <w:t>matters</w:t>
      </w:r>
      <w:r w:rsidRPr="00107B81">
        <w:rPr>
          <w:bCs/>
        </w:rPr>
        <w:t xml:space="preserve"> where litigation is not anticipated</w:t>
      </w:r>
      <w:r w:rsidRPr="00107B81">
        <w:rPr>
          <w:bCs/>
        </w:rPr>
        <w:t>,</w:t>
      </w:r>
      <w:r w:rsidRPr="00107B81">
        <w:rPr>
          <w:bCs/>
        </w:rPr>
        <w:t xml:space="preserve"> </w:t>
      </w:r>
      <w:r w:rsidRPr="00107B81">
        <w:rPr>
          <w:bCs/>
        </w:rPr>
        <w:t>that does not lead to the</w:t>
      </w:r>
      <w:r w:rsidRPr="00107B81">
        <w:rPr>
          <w:bCs/>
        </w:rPr>
        <w:t xml:space="preserve"> reasonable</w:t>
      </w:r>
      <w:r w:rsidRPr="00107B81">
        <w:rPr>
          <w:bCs/>
        </w:rPr>
        <w:t xml:space="preserve"> inference that they </w:t>
      </w:r>
      <w:r w:rsidRPr="00107B81">
        <w:rPr>
          <w:bCs/>
        </w:rPr>
        <w:t>never</w:t>
      </w:r>
      <w:r w:rsidRPr="00107B81">
        <w:rPr>
          <w:bCs/>
        </w:rPr>
        <w:t xml:space="preserve"> handle </w:t>
      </w:r>
      <w:r w:rsidRPr="00107B81">
        <w:rPr>
          <w:bCs/>
        </w:rPr>
        <w:t xml:space="preserve">other </w:t>
      </w:r>
      <w:r w:rsidRPr="00107B81">
        <w:rPr>
          <w:bCs/>
        </w:rPr>
        <w:t xml:space="preserve">assignments where litigation is </w:t>
      </w:r>
      <w:r w:rsidRPr="00107B81">
        <w:rPr>
          <w:bCs/>
        </w:rPr>
        <w:t>anticipated</w:t>
      </w:r>
      <w:r w:rsidRPr="00107B81">
        <w:rPr>
          <w:bCs/>
        </w:rPr>
        <w:t>.</w:t>
      </w:r>
    </w:p>
    <w:p w14:paraId="2D17E648" w14:textId="77777777" w:rsidR="00447998" w:rsidRPr="00107B81" w:rsidRDefault="00447998" w:rsidP="00E03FD7">
      <w:pPr>
        <w:ind w:firstLine="720"/>
        <w:rPr>
          <w:bCs/>
        </w:rPr>
      </w:pPr>
      <w:r w:rsidRPr="00107B81">
        <w:rPr>
          <w:bCs/>
        </w:rPr>
        <w:t xml:space="preserve">Plaintiffs also </w:t>
      </w:r>
      <w:proofErr w:type="gramStart"/>
      <w:r w:rsidRPr="00107B81">
        <w:rPr>
          <w:bCs/>
        </w:rPr>
        <w:t>claim</w:t>
      </w:r>
      <w:proofErr w:type="gramEnd"/>
      <w:r w:rsidRPr="00107B81">
        <w:rPr>
          <w:bCs/>
        </w:rPr>
        <w:t xml:space="preserve"> “SCE’s general counsel does not actively supervise </w:t>
      </w:r>
      <w:r w:rsidRPr="00107B81">
        <w:rPr>
          <w:bCs/>
        </w:rPr>
        <w:t>[c]</w:t>
      </w:r>
      <w:proofErr w:type="spellStart"/>
      <w:r w:rsidRPr="00107B81">
        <w:rPr>
          <w:bCs/>
        </w:rPr>
        <w:t>laims</w:t>
      </w:r>
      <w:proofErr w:type="spellEnd"/>
      <w:r w:rsidRPr="00107B81">
        <w:rPr>
          <w:bCs/>
        </w:rPr>
        <w:t xml:space="preserve"> </w:t>
      </w:r>
      <w:r w:rsidRPr="00107B81">
        <w:rPr>
          <w:bCs/>
        </w:rPr>
        <w:t>[d]</w:t>
      </w:r>
      <w:proofErr w:type="spellStart"/>
      <w:r w:rsidRPr="00107B81">
        <w:rPr>
          <w:bCs/>
        </w:rPr>
        <w:t>epartment</w:t>
      </w:r>
      <w:proofErr w:type="spellEnd"/>
      <w:r w:rsidRPr="00107B81">
        <w:rPr>
          <w:bCs/>
        </w:rPr>
        <w:t xml:space="preserve"> investigations</w:t>
      </w:r>
      <w:r w:rsidRPr="00107B81">
        <w:rPr>
          <w:bCs/>
        </w:rPr>
        <w:t>,</w:t>
      </w:r>
      <w:r w:rsidRPr="00107B81">
        <w:rPr>
          <w:bCs/>
        </w:rPr>
        <w:t>”</w:t>
      </w:r>
      <w:r w:rsidRPr="00107B81">
        <w:rPr>
          <w:bCs/>
        </w:rPr>
        <w:t xml:space="preserve"> cit</w:t>
      </w:r>
      <w:r w:rsidRPr="00107B81">
        <w:rPr>
          <w:bCs/>
        </w:rPr>
        <w:t>ing</w:t>
      </w:r>
      <w:r w:rsidRPr="00107B81">
        <w:rPr>
          <w:bCs/>
        </w:rPr>
        <w:t xml:space="preserve"> </w:t>
      </w:r>
      <w:r w:rsidRPr="00107B81">
        <w:rPr>
          <w:bCs/>
        </w:rPr>
        <w:t>Ramos</w:t>
      </w:r>
      <w:r w:rsidRPr="00107B81">
        <w:rPr>
          <w:bCs/>
        </w:rPr>
        <w:t xml:space="preserve">’s </w:t>
      </w:r>
      <w:r w:rsidRPr="00107B81">
        <w:rPr>
          <w:bCs/>
        </w:rPr>
        <w:t xml:space="preserve">2013 </w:t>
      </w:r>
      <w:r w:rsidRPr="00107B81">
        <w:rPr>
          <w:bCs/>
        </w:rPr>
        <w:t xml:space="preserve">deposition testimony that one </w:t>
      </w:r>
      <w:r w:rsidRPr="00107B81">
        <w:rPr>
          <w:bCs/>
        </w:rPr>
        <w:t>SCE</w:t>
      </w:r>
      <w:r w:rsidRPr="00107B81">
        <w:rPr>
          <w:bCs/>
        </w:rPr>
        <w:t xml:space="preserve"> </w:t>
      </w:r>
      <w:r w:rsidRPr="00107B81">
        <w:rPr>
          <w:bCs/>
        </w:rPr>
        <w:t>attorney</w:t>
      </w:r>
      <w:r w:rsidRPr="00107B81">
        <w:rPr>
          <w:bCs/>
        </w:rPr>
        <w:t xml:space="preserve"> </w:t>
      </w:r>
      <w:r w:rsidRPr="00107B81">
        <w:rPr>
          <w:bCs/>
        </w:rPr>
        <w:t>named Swartz (</w:t>
      </w:r>
      <w:r w:rsidRPr="00107B81">
        <w:rPr>
          <w:bCs/>
        </w:rPr>
        <w:t xml:space="preserve">who was not a declarant in </w:t>
      </w:r>
      <w:r w:rsidRPr="00107B81">
        <w:rPr>
          <w:bCs/>
        </w:rPr>
        <w:t>oppo</w:t>
      </w:r>
      <w:r w:rsidRPr="00107B81">
        <w:rPr>
          <w:bCs/>
        </w:rPr>
        <w:t xml:space="preserve">sition to </w:t>
      </w:r>
      <w:r w:rsidRPr="00107B81">
        <w:rPr>
          <w:bCs/>
        </w:rPr>
        <w:t>the motion to compel</w:t>
      </w:r>
      <w:r w:rsidRPr="00107B81">
        <w:rPr>
          <w:bCs/>
        </w:rPr>
        <w:t>)</w:t>
      </w:r>
      <w:r w:rsidRPr="00107B81">
        <w:rPr>
          <w:bCs/>
        </w:rPr>
        <w:t xml:space="preserve"> </w:t>
      </w:r>
      <w:r w:rsidRPr="00107B81">
        <w:rPr>
          <w:bCs/>
        </w:rPr>
        <w:t xml:space="preserve">did not “actively” supervise </w:t>
      </w:r>
      <w:r w:rsidRPr="00107B81">
        <w:rPr>
          <w:bCs/>
        </w:rPr>
        <w:t xml:space="preserve">such </w:t>
      </w:r>
      <w:r w:rsidRPr="00107B81">
        <w:rPr>
          <w:bCs/>
        </w:rPr>
        <w:t>investigations</w:t>
      </w:r>
      <w:r w:rsidRPr="00107B81">
        <w:rPr>
          <w:bCs/>
        </w:rPr>
        <w:t>.</w:t>
      </w:r>
      <w:r w:rsidRPr="00107B81">
        <w:rPr>
          <w:bCs/>
        </w:rPr>
        <w:t xml:space="preserve"> </w:t>
      </w:r>
      <w:r w:rsidRPr="00107B81">
        <w:rPr>
          <w:bCs/>
        </w:rPr>
        <w:t xml:space="preserve"> </w:t>
      </w:r>
      <w:r w:rsidRPr="00107B81">
        <w:rPr>
          <w:bCs/>
        </w:rPr>
        <w:t xml:space="preserve">This 2013 statement in another case </w:t>
      </w:r>
      <w:r w:rsidRPr="00107B81">
        <w:rPr>
          <w:bCs/>
        </w:rPr>
        <w:t xml:space="preserve">does not </w:t>
      </w:r>
      <w:r w:rsidRPr="00107B81">
        <w:rPr>
          <w:bCs/>
        </w:rPr>
        <w:t xml:space="preserve">create a reasonable inference that four years later an attorney other than Swartz (here, </w:t>
      </w:r>
      <w:r w:rsidRPr="00107B81">
        <w:rPr>
          <w:bCs/>
        </w:rPr>
        <w:t>Cardoza</w:t>
      </w:r>
      <w:r w:rsidRPr="00107B81">
        <w:rPr>
          <w:bCs/>
        </w:rPr>
        <w:t>)</w:t>
      </w:r>
      <w:r w:rsidRPr="00107B81">
        <w:rPr>
          <w:bCs/>
        </w:rPr>
        <w:t xml:space="preserve"> and other SCE attorneys </w:t>
      </w:r>
      <w:r w:rsidRPr="00107B81">
        <w:rPr>
          <w:bCs/>
        </w:rPr>
        <w:t xml:space="preserve">would not </w:t>
      </w:r>
      <w:r w:rsidRPr="00107B81">
        <w:rPr>
          <w:bCs/>
        </w:rPr>
        <w:t xml:space="preserve">have </w:t>
      </w:r>
      <w:r w:rsidRPr="00107B81">
        <w:rPr>
          <w:bCs/>
        </w:rPr>
        <w:lastRenderedPageBreak/>
        <w:t>supervised</w:t>
      </w:r>
      <w:r w:rsidRPr="00107B81">
        <w:rPr>
          <w:bCs/>
        </w:rPr>
        <w:t xml:space="preserve"> </w:t>
      </w:r>
      <w:r w:rsidRPr="00107B81">
        <w:rPr>
          <w:bCs/>
        </w:rPr>
        <w:t xml:space="preserve">Claims employees </w:t>
      </w:r>
      <w:r w:rsidRPr="00107B81">
        <w:rPr>
          <w:bCs/>
        </w:rPr>
        <w:t>in a specific, potentially significant matter</w:t>
      </w:r>
      <w:r w:rsidRPr="00107B81">
        <w:rPr>
          <w:bCs/>
        </w:rPr>
        <w:t xml:space="preserve">.  </w:t>
      </w:r>
      <w:r w:rsidRPr="00107B81">
        <w:rPr>
          <w:bCs/>
        </w:rPr>
        <w:t>Nor do</w:t>
      </w:r>
      <w:r w:rsidRPr="00107B81">
        <w:rPr>
          <w:bCs/>
        </w:rPr>
        <w:t xml:space="preserve"> </w:t>
      </w:r>
      <w:r w:rsidRPr="00107B81">
        <w:rPr>
          <w:bCs/>
        </w:rPr>
        <w:t xml:space="preserve">plaintiffs </w:t>
      </w:r>
      <w:r w:rsidRPr="00107B81">
        <w:rPr>
          <w:bCs/>
        </w:rPr>
        <w:t>explain what they mean by “actively</w:t>
      </w:r>
      <w:r w:rsidRPr="00107B81">
        <w:rPr>
          <w:bCs/>
        </w:rPr>
        <w:t xml:space="preserve">” supervise or </w:t>
      </w:r>
      <w:r w:rsidRPr="00107B81">
        <w:rPr>
          <w:bCs/>
        </w:rPr>
        <w:t xml:space="preserve">identify </w:t>
      </w:r>
      <w:r w:rsidRPr="00107B81">
        <w:rPr>
          <w:bCs/>
        </w:rPr>
        <w:t>any</w:t>
      </w:r>
      <w:r w:rsidRPr="00107B81">
        <w:rPr>
          <w:bCs/>
        </w:rPr>
        <w:t xml:space="preserve"> requirement that an attorney </w:t>
      </w:r>
      <w:r w:rsidRPr="00107B81">
        <w:rPr>
          <w:bCs/>
        </w:rPr>
        <w:t xml:space="preserve">must </w:t>
      </w:r>
      <w:r w:rsidRPr="00107B81">
        <w:rPr>
          <w:bCs/>
        </w:rPr>
        <w:t xml:space="preserve">exercise a particular level of supervision over </w:t>
      </w:r>
      <w:r w:rsidRPr="00107B81">
        <w:rPr>
          <w:bCs/>
        </w:rPr>
        <w:t>an investigation for work</w:t>
      </w:r>
      <w:r w:rsidRPr="00107B81">
        <w:rPr>
          <w:bCs/>
        </w:rPr>
        <w:t xml:space="preserve"> </w:t>
      </w:r>
      <w:r w:rsidRPr="00107B81">
        <w:rPr>
          <w:bCs/>
        </w:rPr>
        <w:t>product protection to apply</w:t>
      </w:r>
      <w:r w:rsidRPr="00107B81">
        <w:rPr>
          <w:bCs/>
        </w:rPr>
        <w:t>.</w:t>
      </w:r>
    </w:p>
    <w:p w14:paraId="08EA1141" w14:textId="77777777" w:rsidR="00447998" w:rsidRPr="00107B81" w:rsidRDefault="00447998" w:rsidP="00E03FD7">
      <w:pPr>
        <w:ind w:firstLine="720"/>
        <w:rPr>
          <w:szCs w:val="26"/>
        </w:rPr>
      </w:pPr>
      <w:r w:rsidRPr="00107B81">
        <w:rPr>
          <w:bCs/>
        </w:rPr>
        <w:t xml:space="preserve">Plaintiffs also </w:t>
      </w:r>
      <w:r w:rsidRPr="00107B81">
        <w:rPr>
          <w:bCs/>
        </w:rPr>
        <w:t>contend they adduced evidence that “</w:t>
      </w:r>
      <w:r w:rsidRPr="00107B81">
        <w:t xml:space="preserve">SCE’s claims personnel are responsible for filing notifications with </w:t>
      </w:r>
      <w:r w:rsidRPr="00107B81">
        <w:t xml:space="preserve">the </w:t>
      </w:r>
      <w:r w:rsidRPr="00107B81">
        <w:t>PUC ‘as a matter of practice’ without involving legal counsel, and generally do not submit PUC filings to counsel for review</w:t>
      </w:r>
      <w:r w:rsidRPr="00107B81">
        <w:t xml:space="preserve">.”  </w:t>
      </w:r>
      <w:r w:rsidRPr="00107B81">
        <w:t>Th</w:t>
      </w:r>
      <w:r w:rsidRPr="00107B81">
        <w:t>e</w:t>
      </w:r>
      <w:r w:rsidRPr="00107B81">
        <w:t>ir</w:t>
      </w:r>
      <w:r w:rsidRPr="00107B81">
        <w:t xml:space="preserve"> support for this claim </w:t>
      </w:r>
      <w:r w:rsidRPr="00107B81">
        <w:t xml:space="preserve">is deposition testimony from </w:t>
      </w:r>
      <w:r w:rsidRPr="00107B81">
        <w:t xml:space="preserve">one </w:t>
      </w:r>
      <w:r w:rsidRPr="00107B81">
        <w:t xml:space="preserve">Claims employee </w:t>
      </w:r>
      <w:r w:rsidRPr="00107B81">
        <w:rPr>
          <w:szCs w:val="26"/>
        </w:rPr>
        <w:t xml:space="preserve">that </w:t>
      </w:r>
      <w:r w:rsidRPr="00107B81">
        <w:rPr>
          <w:szCs w:val="26"/>
        </w:rPr>
        <w:t xml:space="preserve">it was his job to submit </w:t>
      </w:r>
      <w:r w:rsidRPr="00107B81">
        <w:rPr>
          <w:szCs w:val="26"/>
        </w:rPr>
        <w:t>electronic safety incident report</w:t>
      </w:r>
      <w:r w:rsidRPr="00107B81">
        <w:rPr>
          <w:szCs w:val="26"/>
        </w:rPr>
        <w:t>s</w:t>
      </w:r>
      <w:r w:rsidRPr="00107B81">
        <w:rPr>
          <w:szCs w:val="26"/>
        </w:rPr>
        <w:t xml:space="preserve"> (ESIR) </w:t>
      </w:r>
      <w:r w:rsidRPr="00107B81">
        <w:rPr>
          <w:szCs w:val="26"/>
        </w:rPr>
        <w:t xml:space="preserve">to </w:t>
      </w:r>
      <w:r w:rsidRPr="00107B81">
        <w:rPr>
          <w:szCs w:val="26"/>
        </w:rPr>
        <w:t xml:space="preserve">PUC </w:t>
      </w:r>
      <w:r w:rsidRPr="00107B81">
        <w:rPr>
          <w:szCs w:val="26"/>
        </w:rPr>
        <w:t xml:space="preserve">and he did not need </w:t>
      </w:r>
      <w:r w:rsidRPr="00107B81">
        <w:rPr>
          <w:szCs w:val="26"/>
        </w:rPr>
        <w:t xml:space="preserve">approval from an attorney.  However, </w:t>
      </w:r>
      <w:proofErr w:type="gramStart"/>
      <w:r w:rsidRPr="00107B81">
        <w:rPr>
          <w:szCs w:val="26"/>
        </w:rPr>
        <w:t>with regard to</w:t>
      </w:r>
      <w:proofErr w:type="gramEnd"/>
      <w:r w:rsidRPr="00107B81">
        <w:rPr>
          <w:szCs w:val="26"/>
        </w:rPr>
        <w:t xml:space="preserve"> th</w:t>
      </w:r>
      <w:r w:rsidRPr="00107B81">
        <w:rPr>
          <w:szCs w:val="26"/>
        </w:rPr>
        <w:t>e Creek Fire</w:t>
      </w:r>
      <w:r w:rsidRPr="00107B81">
        <w:rPr>
          <w:szCs w:val="26"/>
        </w:rPr>
        <w:t xml:space="preserve">, </w:t>
      </w:r>
      <w:r w:rsidRPr="00107B81">
        <w:rPr>
          <w:szCs w:val="26"/>
        </w:rPr>
        <w:t>that employee</w:t>
      </w:r>
      <w:r w:rsidRPr="00107B81">
        <w:rPr>
          <w:szCs w:val="26"/>
        </w:rPr>
        <w:t xml:space="preserve"> testified that </w:t>
      </w:r>
      <w:r w:rsidRPr="00107B81">
        <w:rPr>
          <w:szCs w:val="26"/>
        </w:rPr>
        <w:t xml:space="preserve">he </w:t>
      </w:r>
      <w:r w:rsidRPr="00107B81">
        <w:rPr>
          <w:i/>
          <w:iCs/>
          <w:szCs w:val="26"/>
        </w:rPr>
        <w:t>did</w:t>
      </w:r>
      <w:r w:rsidRPr="00107B81">
        <w:rPr>
          <w:szCs w:val="26"/>
        </w:rPr>
        <w:t xml:space="preserve"> </w:t>
      </w:r>
      <w:r w:rsidRPr="00107B81">
        <w:rPr>
          <w:szCs w:val="26"/>
        </w:rPr>
        <w:t xml:space="preserve">consult with </w:t>
      </w:r>
      <w:r w:rsidRPr="00107B81">
        <w:rPr>
          <w:szCs w:val="26"/>
        </w:rPr>
        <w:t xml:space="preserve">counsel before submitting </w:t>
      </w:r>
      <w:r w:rsidRPr="00107B81">
        <w:rPr>
          <w:szCs w:val="26"/>
        </w:rPr>
        <w:t xml:space="preserve">an </w:t>
      </w:r>
      <w:r w:rsidRPr="00107B81">
        <w:rPr>
          <w:szCs w:val="26"/>
        </w:rPr>
        <w:t>ESIR.</w:t>
      </w:r>
    </w:p>
    <w:p w14:paraId="16A4ADD4" w14:textId="77777777" w:rsidR="00447998" w:rsidRPr="00107B81" w:rsidRDefault="00447998" w:rsidP="00E03FD7">
      <w:pPr>
        <w:ind w:firstLine="720"/>
        <w:rPr>
          <w:rStyle w:val="normaltextrun"/>
          <w:color w:val="000000"/>
          <w:shd w:val="clear" w:color="auto" w:fill="FFFFFF"/>
        </w:rPr>
      </w:pPr>
      <w:proofErr w:type="gramStart"/>
      <w:r w:rsidRPr="00107B81">
        <w:rPr>
          <w:rStyle w:val="normaltextrun"/>
          <w:color w:val="000000"/>
          <w:shd w:val="clear" w:color="auto" w:fill="FFFFFF"/>
        </w:rPr>
        <w:t>“ ‘</w:t>
      </w:r>
      <w:proofErr w:type="gramEnd"/>
      <w:r w:rsidRPr="00107B81">
        <w:rPr>
          <w:rStyle w:val="normaltextrun"/>
          <w:color w:val="000000"/>
          <w:shd w:val="clear" w:color="auto" w:fill="FFFFFF"/>
        </w:rPr>
        <w:t>Substantial evidence is a deferential standard, but it is not toothless.’</w:t>
      </w:r>
      <w:r w:rsidRPr="00107B81">
        <w:rPr>
          <w:rStyle w:val="normaltextrun"/>
          <w:color w:val="000000"/>
          <w:shd w:val="clear" w:color="auto" w:fill="FFFFFF"/>
        </w:rPr>
        <w:t xml:space="preserve"> </w:t>
      </w:r>
      <w:r w:rsidRPr="00107B81">
        <w:rPr>
          <w:rStyle w:val="normaltextrun"/>
          <w:color w:val="000000"/>
          <w:shd w:val="clear" w:color="auto" w:fill="FFFFFF"/>
        </w:rPr>
        <w:t xml:space="preserve"> [Citation.]  </w:t>
      </w:r>
      <w:proofErr w:type="gramStart"/>
      <w:r w:rsidRPr="00107B81">
        <w:rPr>
          <w:rStyle w:val="normaltextrun"/>
          <w:color w:val="000000"/>
          <w:shd w:val="clear" w:color="auto" w:fill="FFFFFF"/>
        </w:rPr>
        <w:t>‘ “</w:t>
      </w:r>
      <w:proofErr w:type="gramEnd"/>
      <w:r w:rsidRPr="00107B81">
        <w:rPr>
          <w:rStyle w:val="normaltextrun"/>
          <w:color w:val="000000"/>
          <w:shd w:val="clear" w:color="auto" w:fill="FFFFFF"/>
        </w:rPr>
        <w:t xml:space="preserve"> ‘</w:t>
      </w:r>
      <w:r w:rsidRPr="00107B81">
        <w:rPr>
          <w:rStyle w:val="normaltextrun"/>
          <w:color w:val="000000"/>
          <w:shd w:val="clear" w:color="auto" w:fill="FFFFFF"/>
        </w:rPr>
        <w:t xml:space="preserve">We may not uphold a finding based on </w:t>
      </w:r>
      <w:r w:rsidRPr="00107B81">
        <w:rPr>
          <w:rStyle w:val="normaltextrun"/>
          <w:color w:val="000000"/>
          <w:shd w:val="clear" w:color="auto" w:fill="FFFFFF"/>
        </w:rPr>
        <w:t>[</w:t>
      </w:r>
      <w:r w:rsidRPr="00107B81">
        <w:rPr>
          <w:rStyle w:val="normaltextrun"/>
          <w:color w:val="000000"/>
          <w:shd w:val="clear" w:color="auto" w:fill="FFFFFF"/>
        </w:rPr>
        <w:t>no evidence or</w:t>
      </w:r>
      <w:r w:rsidRPr="00107B81">
        <w:rPr>
          <w:rStyle w:val="normaltextrun"/>
          <w:color w:val="000000"/>
          <w:shd w:val="clear" w:color="auto" w:fill="FFFFFF"/>
        </w:rPr>
        <w:t>]</w:t>
      </w:r>
      <w:r w:rsidRPr="00107B81">
        <w:rPr>
          <w:rStyle w:val="normaltextrun"/>
          <w:color w:val="000000"/>
          <w:shd w:val="clear" w:color="auto" w:fill="FFFFFF"/>
        </w:rPr>
        <w:t xml:space="preserve"> inherently improbable evidence</w:t>
      </w:r>
      <w:r w:rsidRPr="00107B81">
        <w:rPr>
          <w:rStyle w:val="normaltextrun"/>
          <w:color w:val="000000"/>
          <w:shd w:val="clear" w:color="auto" w:fill="FFFFFF"/>
        </w:rPr>
        <w:t> . . . </w:t>
      </w:r>
      <w:r w:rsidRPr="00107B81">
        <w:rPr>
          <w:rStyle w:val="normaltextrun"/>
          <w:color w:val="000000"/>
          <w:shd w:val="clear" w:color="auto" w:fill="FFFFFF"/>
        </w:rPr>
        <w:t xml:space="preserve">.’ ” ’ </w:t>
      </w:r>
      <w:r w:rsidRPr="00107B81">
        <w:rPr>
          <w:rStyle w:val="normaltextrun"/>
          <w:color w:val="000000"/>
          <w:shd w:val="clear" w:color="auto" w:fill="FFFFFF"/>
        </w:rPr>
        <w:t xml:space="preserve"> [Citation.]</w:t>
      </w:r>
      <w:r w:rsidRPr="00107B81">
        <w:rPr>
          <w:rStyle w:val="normaltextrun"/>
          <w:color w:val="000000"/>
          <w:shd w:val="clear" w:color="auto" w:fill="FFFFFF"/>
        </w:rPr>
        <w:t>”  (</w:t>
      </w:r>
      <w:r w:rsidRPr="00107B81">
        <w:rPr>
          <w:rStyle w:val="normaltextrun"/>
          <w:i/>
          <w:iCs/>
          <w:color w:val="000000"/>
          <w:shd w:val="clear" w:color="auto" w:fill="FFFFFF"/>
        </w:rPr>
        <w:t>Lee v. Amazon</w:t>
      </w:r>
      <w:r w:rsidRPr="00107B81">
        <w:rPr>
          <w:rStyle w:val="normaltextrun"/>
          <w:i/>
          <w:iCs/>
          <w:color w:val="000000"/>
          <w:shd w:val="clear" w:color="auto" w:fill="FFFFFF"/>
        </w:rPr>
        <w:t>.com</w:t>
      </w:r>
      <w:r w:rsidRPr="00107B81">
        <w:rPr>
          <w:rStyle w:val="normaltextrun"/>
          <w:i/>
          <w:iCs/>
          <w:color w:val="000000"/>
          <w:shd w:val="clear" w:color="auto" w:fill="FFFFFF"/>
        </w:rPr>
        <w:t>, Inc.</w:t>
      </w:r>
      <w:r w:rsidRPr="00107B81">
        <w:rPr>
          <w:rStyle w:val="normaltextrun"/>
          <w:color w:val="000000"/>
          <w:shd w:val="clear" w:color="auto" w:fill="FFFFFF"/>
        </w:rPr>
        <w:t xml:space="preserve"> (2022) 76 Cal.App.5th 200, 222.)  As no substantial evidence supported the court’s finding that counsel did not deputize the </w:t>
      </w:r>
      <w:r w:rsidRPr="00107B81">
        <w:rPr>
          <w:rStyle w:val="normaltextrun"/>
          <w:color w:val="000000"/>
          <w:shd w:val="clear" w:color="auto" w:fill="FFFFFF"/>
        </w:rPr>
        <w:t>c</w:t>
      </w:r>
      <w:r w:rsidRPr="00107B81">
        <w:rPr>
          <w:rStyle w:val="normaltextrun"/>
          <w:color w:val="000000"/>
          <w:shd w:val="clear" w:color="auto" w:fill="FFFFFF"/>
        </w:rPr>
        <w:t xml:space="preserve">laims </w:t>
      </w:r>
      <w:r w:rsidRPr="00107B81">
        <w:rPr>
          <w:rStyle w:val="normaltextrun"/>
          <w:color w:val="000000"/>
          <w:shd w:val="clear" w:color="auto" w:fill="FFFFFF"/>
        </w:rPr>
        <w:t>d</w:t>
      </w:r>
      <w:r w:rsidRPr="00107B81">
        <w:rPr>
          <w:rStyle w:val="normaltextrun"/>
          <w:color w:val="000000"/>
          <w:shd w:val="clear" w:color="auto" w:fill="FFFFFF"/>
        </w:rPr>
        <w:t>epartment to</w:t>
      </w:r>
      <w:r w:rsidRPr="00107B81">
        <w:rPr>
          <w:rStyle w:val="normaltextrun"/>
          <w:color w:val="000000"/>
          <w:shd w:val="clear" w:color="auto" w:fill="FFFFFF"/>
        </w:rPr>
        <w:t xml:space="preserve"> assist in</w:t>
      </w:r>
      <w:r w:rsidRPr="00107B81">
        <w:rPr>
          <w:rStyle w:val="normaltextrun"/>
          <w:color w:val="000000"/>
          <w:shd w:val="clear" w:color="auto" w:fill="FFFFFF"/>
        </w:rPr>
        <w:t xml:space="preserve"> investigat</w:t>
      </w:r>
      <w:r w:rsidRPr="00107B81">
        <w:rPr>
          <w:rStyle w:val="normaltextrun"/>
          <w:color w:val="000000"/>
          <w:shd w:val="clear" w:color="auto" w:fill="FFFFFF"/>
        </w:rPr>
        <w:t>i</w:t>
      </w:r>
      <w:r w:rsidRPr="00107B81">
        <w:rPr>
          <w:rStyle w:val="normaltextrun"/>
          <w:color w:val="000000"/>
          <w:shd w:val="clear" w:color="auto" w:fill="FFFFFF"/>
        </w:rPr>
        <w:t xml:space="preserve">ng the cause of the Creek Fire to </w:t>
      </w:r>
      <w:r w:rsidRPr="00107B81">
        <w:rPr>
          <w:rStyle w:val="normaltextrun"/>
          <w:color w:val="000000"/>
          <w:shd w:val="clear" w:color="auto" w:fill="FFFFFF"/>
        </w:rPr>
        <w:t>f</w:t>
      </w:r>
      <w:r w:rsidRPr="00107B81">
        <w:rPr>
          <w:rStyle w:val="normaltextrun"/>
          <w:color w:val="000000"/>
          <w:shd w:val="clear" w:color="auto" w:fill="FFFFFF"/>
        </w:rPr>
        <w:t>acilitat</w:t>
      </w:r>
      <w:r w:rsidRPr="00107B81">
        <w:rPr>
          <w:rStyle w:val="normaltextrun"/>
          <w:color w:val="000000"/>
          <w:shd w:val="clear" w:color="auto" w:fill="FFFFFF"/>
        </w:rPr>
        <w:t>e</w:t>
      </w:r>
      <w:r w:rsidRPr="00107B81">
        <w:rPr>
          <w:rStyle w:val="normaltextrun"/>
          <w:color w:val="000000"/>
          <w:shd w:val="clear" w:color="auto" w:fill="FFFFFF"/>
        </w:rPr>
        <w:t xml:space="preserve"> </w:t>
      </w:r>
      <w:r w:rsidRPr="00107B81">
        <w:rPr>
          <w:rStyle w:val="normaltextrun"/>
          <w:color w:val="000000"/>
          <w:shd w:val="clear" w:color="auto" w:fill="FFFFFF"/>
        </w:rPr>
        <w:t>counsel</w:t>
      </w:r>
      <w:r w:rsidRPr="00107B81">
        <w:rPr>
          <w:rStyle w:val="normaltextrun"/>
          <w:color w:val="000000"/>
          <w:shd w:val="clear" w:color="auto" w:fill="FFFFFF"/>
        </w:rPr>
        <w:t>’s</w:t>
      </w:r>
      <w:r w:rsidRPr="00107B81">
        <w:rPr>
          <w:rStyle w:val="normaltextrun"/>
          <w:color w:val="000000"/>
          <w:shd w:val="clear" w:color="auto" w:fill="FFFFFF"/>
        </w:rPr>
        <w:t xml:space="preserve"> </w:t>
      </w:r>
      <w:r w:rsidRPr="00107B81">
        <w:rPr>
          <w:rStyle w:val="normaltextrun"/>
          <w:color w:val="000000"/>
          <w:shd w:val="clear" w:color="auto" w:fill="FFFFFF"/>
        </w:rPr>
        <w:t>provi</w:t>
      </w:r>
      <w:r w:rsidRPr="00107B81">
        <w:rPr>
          <w:rStyle w:val="normaltextrun"/>
          <w:color w:val="000000"/>
          <w:shd w:val="clear" w:color="auto" w:fill="FFFFFF"/>
        </w:rPr>
        <w:t>sion</w:t>
      </w:r>
      <w:r w:rsidRPr="00107B81">
        <w:rPr>
          <w:rStyle w:val="normaltextrun"/>
          <w:color w:val="000000"/>
          <w:shd w:val="clear" w:color="auto" w:fill="FFFFFF"/>
        </w:rPr>
        <w:t xml:space="preserve"> </w:t>
      </w:r>
      <w:r w:rsidRPr="00107B81">
        <w:rPr>
          <w:rStyle w:val="normaltextrun"/>
          <w:color w:val="000000"/>
          <w:shd w:val="clear" w:color="auto" w:fill="FFFFFF"/>
        </w:rPr>
        <w:t xml:space="preserve">of </w:t>
      </w:r>
      <w:r w:rsidRPr="00107B81">
        <w:rPr>
          <w:rStyle w:val="normaltextrun"/>
          <w:color w:val="000000"/>
          <w:shd w:val="clear" w:color="auto" w:fill="FFFFFF"/>
        </w:rPr>
        <w:t>legal advice to SCE</w:t>
      </w:r>
      <w:r w:rsidRPr="00107B81">
        <w:rPr>
          <w:rStyle w:val="normaltextrun"/>
          <w:color w:val="000000"/>
          <w:shd w:val="clear" w:color="auto" w:fill="FFFFFF"/>
        </w:rPr>
        <w:t xml:space="preserve">, we </w:t>
      </w:r>
      <w:r w:rsidRPr="00107B81">
        <w:rPr>
          <w:rStyle w:val="normaltextrun"/>
          <w:color w:val="000000"/>
          <w:shd w:val="clear" w:color="auto" w:fill="FFFFFF"/>
        </w:rPr>
        <w:t xml:space="preserve">reject </w:t>
      </w:r>
      <w:r w:rsidRPr="00107B81">
        <w:rPr>
          <w:rStyle w:val="normaltextrun"/>
          <w:color w:val="000000"/>
          <w:shd w:val="clear" w:color="auto" w:fill="FFFFFF"/>
        </w:rPr>
        <w:t xml:space="preserve">the court’s finding that there was no agency relationship for purposes of the work product </w:t>
      </w:r>
      <w:r w:rsidRPr="00107B81">
        <w:rPr>
          <w:rStyle w:val="normaltextrun"/>
          <w:color w:val="000000"/>
          <w:shd w:val="clear" w:color="auto" w:fill="FFFFFF"/>
        </w:rPr>
        <w:t>doctrine.</w:t>
      </w:r>
    </w:p>
    <w:p w14:paraId="46AD4EDE" w14:textId="77777777" w:rsidR="00447998" w:rsidRPr="00107B81" w:rsidRDefault="00447998" w:rsidP="00107B81">
      <w:pPr>
        <w:keepNext/>
        <w:spacing w:before="60" w:after="60"/>
        <w:ind w:left="1440" w:hanging="720"/>
        <w:rPr>
          <w:rStyle w:val="normaltextrun"/>
          <w:shd w:val="clear" w:color="auto" w:fill="FFFFFF"/>
        </w:rPr>
      </w:pPr>
      <w:r w:rsidRPr="00107B81">
        <w:rPr>
          <w:szCs w:val="26"/>
        </w:rPr>
        <w:t>2.</w:t>
      </w:r>
      <w:r w:rsidRPr="00107B81">
        <w:rPr>
          <w:szCs w:val="26"/>
        </w:rPr>
        <w:tab/>
      </w:r>
      <w:r w:rsidRPr="00107B81">
        <w:rPr>
          <w:i/>
          <w:iCs/>
          <w:szCs w:val="26"/>
        </w:rPr>
        <w:t>Dominant Purpose</w:t>
      </w:r>
    </w:p>
    <w:p w14:paraId="01B784FA" w14:textId="77777777" w:rsidR="00447998" w:rsidRPr="00107B81" w:rsidRDefault="00447998" w:rsidP="00E03FD7">
      <w:pPr>
        <w:ind w:firstLine="720"/>
        <w:rPr>
          <w:bCs/>
        </w:rPr>
      </w:pPr>
      <w:r w:rsidRPr="00107B81">
        <w:rPr>
          <w:bCs/>
        </w:rPr>
        <w:t xml:space="preserve">The trial court also </w:t>
      </w:r>
      <w:r w:rsidRPr="00107B81">
        <w:rPr>
          <w:bCs/>
        </w:rPr>
        <w:t xml:space="preserve">held </w:t>
      </w:r>
      <w:r w:rsidRPr="00107B81">
        <w:rPr>
          <w:bCs/>
        </w:rPr>
        <w:t>the attorney work product</w:t>
      </w:r>
      <w:r w:rsidRPr="00107B81">
        <w:rPr>
          <w:bCs/>
        </w:rPr>
        <w:t xml:space="preserve"> </w:t>
      </w:r>
      <w:r w:rsidRPr="00107B81">
        <w:rPr>
          <w:bCs/>
        </w:rPr>
        <w:t xml:space="preserve">doctrine </w:t>
      </w:r>
      <w:r w:rsidRPr="00107B81">
        <w:rPr>
          <w:bCs/>
        </w:rPr>
        <w:t xml:space="preserve">was </w:t>
      </w:r>
      <w:r w:rsidRPr="00107B81">
        <w:rPr>
          <w:bCs/>
        </w:rPr>
        <w:t>inapplicable</w:t>
      </w:r>
      <w:r w:rsidRPr="00107B81">
        <w:rPr>
          <w:bCs/>
        </w:rPr>
        <w:t xml:space="preserve"> because </w:t>
      </w:r>
      <w:r w:rsidRPr="00107B81">
        <w:rPr>
          <w:bCs/>
        </w:rPr>
        <w:t xml:space="preserve">the dominant purpose of </w:t>
      </w:r>
      <w:r w:rsidRPr="00107B81">
        <w:rPr>
          <w:bCs/>
        </w:rPr>
        <w:t xml:space="preserve">SCE’s investigation was </w:t>
      </w:r>
      <w:r w:rsidRPr="00107B81">
        <w:rPr>
          <w:bCs/>
        </w:rPr>
        <w:t xml:space="preserve">to satisfy </w:t>
      </w:r>
      <w:r w:rsidRPr="00107B81">
        <w:rPr>
          <w:bCs/>
        </w:rPr>
        <w:t>SCE’s</w:t>
      </w:r>
      <w:r w:rsidRPr="00107B81">
        <w:rPr>
          <w:bCs/>
        </w:rPr>
        <w:t xml:space="preserve"> obligation under </w:t>
      </w:r>
      <w:r w:rsidRPr="00107B81">
        <w:rPr>
          <w:bCs/>
        </w:rPr>
        <w:t xml:space="preserve">Public Utilities Code section 315 and </w:t>
      </w:r>
      <w:r w:rsidRPr="00107B81">
        <w:rPr>
          <w:bCs/>
        </w:rPr>
        <w:t xml:space="preserve">PUC </w:t>
      </w:r>
      <w:r w:rsidRPr="00107B81">
        <w:rPr>
          <w:bCs/>
        </w:rPr>
        <w:t>r</w:t>
      </w:r>
      <w:r w:rsidRPr="00107B81">
        <w:rPr>
          <w:bCs/>
        </w:rPr>
        <w:t xml:space="preserve">ule 17 to investigate the </w:t>
      </w:r>
      <w:r w:rsidRPr="00107B81">
        <w:rPr>
          <w:bCs/>
        </w:rPr>
        <w:lastRenderedPageBreak/>
        <w:t>cause of the fire</w:t>
      </w:r>
      <w:r w:rsidRPr="00107B81">
        <w:rPr>
          <w:bCs/>
        </w:rPr>
        <w:t xml:space="preserve"> and report to PUC</w:t>
      </w:r>
      <w:r w:rsidRPr="00107B81">
        <w:rPr>
          <w:bCs/>
        </w:rPr>
        <w:t xml:space="preserve">.  </w:t>
      </w:r>
      <w:r w:rsidRPr="00107B81">
        <w:rPr>
          <w:bCs/>
        </w:rPr>
        <w:t xml:space="preserve">The dominant purpose test </w:t>
      </w:r>
      <w:r w:rsidRPr="00107B81">
        <w:rPr>
          <w:bCs/>
        </w:rPr>
        <w:t xml:space="preserve">was </w:t>
      </w:r>
      <w:r w:rsidRPr="00107B81">
        <w:rPr>
          <w:bCs/>
        </w:rPr>
        <w:t>developed in the context of the attorney-client privilege</w:t>
      </w:r>
      <w:r w:rsidRPr="00107B81">
        <w:rPr>
          <w:bCs/>
        </w:rPr>
        <w:t xml:space="preserve"> (see </w:t>
      </w:r>
      <w:r w:rsidRPr="00107B81">
        <w:rPr>
          <w:i/>
          <w:iCs/>
          <w:szCs w:val="26"/>
        </w:rPr>
        <w:t>Costco</w:t>
      </w:r>
      <w:r w:rsidRPr="00107B81">
        <w:rPr>
          <w:szCs w:val="26"/>
        </w:rPr>
        <w:t xml:space="preserve">, </w:t>
      </w:r>
      <w:r w:rsidRPr="00107B81">
        <w:rPr>
          <w:i/>
          <w:iCs/>
          <w:szCs w:val="26"/>
        </w:rPr>
        <w:t>supra</w:t>
      </w:r>
      <w:r w:rsidRPr="00107B81">
        <w:rPr>
          <w:szCs w:val="26"/>
        </w:rPr>
        <w:t>, 47 Cal.4th at p</w:t>
      </w:r>
      <w:r w:rsidRPr="00107B81">
        <w:rPr>
          <w:szCs w:val="26"/>
        </w:rPr>
        <w:t>p</w:t>
      </w:r>
      <w:r w:rsidRPr="00107B81">
        <w:rPr>
          <w:szCs w:val="26"/>
        </w:rPr>
        <w:t xml:space="preserve">. </w:t>
      </w:r>
      <w:r w:rsidRPr="00107B81">
        <w:rPr>
          <w:szCs w:val="26"/>
        </w:rPr>
        <w:t>734-</w:t>
      </w:r>
      <w:r w:rsidRPr="00107B81">
        <w:rPr>
          <w:szCs w:val="26"/>
        </w:rPr>
        <w:t>73</w:t>
      </w:r>
      <w:r w:rsidRPr="00107B81">
        <w:rPr>
          <w:szCs w:val="26"/>
        </w:rPr>
        <w:t>6</w:t>
      </w:r>
      <w:r w:rsidRPr="00107B81">
        <w:rPr>
          <w:szCs w:val="26"/>
        </w:rPr>
        <w:t xml:space="preserve">), and </w:t>
      </w:r>
      <w:r w:rsidRPr="00107B81">
        <w:rPr>
          <w:bCs/>
        </w:rPr>
        <w:t>o</w:t>
      </w:r>
      <w:r w:rsidRPr="00107B81">
        <w:rPr>
          <w:bCs/>
        </w:rPr>
        <w:t xml:space="preserve">ur Supreme Court has </w:t>
      </w:r>
      <w:r w:rsidRPr="00107B81">
        <w:rPr>
          <w:bCs/>
        </w:rPr>
        <w:t xml:space="preserve">not weighed in on whether </w:t>
      </w:r>
      <w:r w:rsidRPr="00107B81">
        <w:rPr>
          <w:bCs/>
        </w:rPr>
        <w:t>it</w:t>
      </w:r>
      <w:r w:rsidRPr="00107B81">
        <w:rPr>
          <w:bCs/>
        </w:rPr>
        <w:t xml:space="preserve"> </w:t>
      </w:r>
      <w:r w:rsidRPr="00107B81">
        <w:rPr>
          <w:bCs/>
        </w:rPr>
        <w:t xml:space="preserve">applies </w:t>
      </w:r>
      <w:r w:rsidRPr="00107B81">
        <w:rPr>
          <w:bCs/>
        </w:rPr>
        <w:t>to work product claims</w:t>
      </w:r>
      <w:r w:rsidRPr="00107B81">
        <w:rPr>
          <w:bCs/>
        </w:rPr>
        <w:t xml:space="preserve">.  </w:t>
      </w:r>
      <w:r w:rsidRPr="00107B81">
        <w:rPr>
          <w:bCs/>
        </w:rPr>
        <w:t>F</w:t>
      </w:r>
      <w:r w:rsidRPr="00107B81">
        <w:rPr>
          <w:bCs/>
        </w:rPr>
        <w:t xml:space="preserve">ellow </w:t>
      </w:r>
      <w:r w:rsidRPr="00107B81">
        <w:rPr>
          <w:bCs/>
        </w:rPr>
        <w:t xml:space="preserve">Courts of Appeal have </w:t>
      </w:r>
      <w:r w:rsidRPr="00107B81">
        <w:rPr>
          <w:bCs/>
        </w:rPr>
        <w:t xml:space="preserve">done so, </w:t>
      </w:r>
      <w:r w:rsidRPr="00107B81">
        <w:rPr>
          <w:bCs/>
        </w:rPr>
        <w:t>albeit</w:t>
      </w:r>
      <w:r w:rsidRPr="00107B81">
        <w:rPr>
          <w:bCs/>
        </w:rPr>
        <w:t xml:space="preserve"> </w:t>
      </w:r>
      <w:r w:rsidRPr="00107B81">
        <w:rPr>
          <w:bCs/>
        </w:rPr>
        <w:t xml:space="preserve">generally </w:t>
      </w:r>
      <w:r w:rsidRPr="00107B81">
        <w:rPr>
          <w:bCs/>
        </w:rPr>
        <w:t xml:space="preserve">without discussion as to </w:t>
      </w:r>
      <w:r w:rsidRPr="00107B81">
        <w:rPr>
          <w:bCs/>
        </w:rPr>
        <w:t xml:space="preserve">the </w:t>
      </w:r>
      <w:proofErr w:type="gramStart"/>
      <w:r w:rsidRPr="00107B81">
        <w:rPr>
          <w:bCs/>
        </w:rPr>
        <w:t>sometimes differing</w:t>
      </w:r>
      <w:proofErr w:type="gramEnd"/>
      <w:r w:rsidRPr="00107B81">
        <w:rPr>
          <w:bCs/>
        </w:rPr>
        <w:t xml:space="preserve"> issues at stake in </w:t>
      </w:r>
      <w:r w:rsidRPr="00107B81">
        <w:rPr>
          <w:bCs/>
        </w:rPr>
        <w:t>the work product context</w:t>
      </w:r>
      <w:r w:rsidRPr="00107B81">
        <w:rPr>
          <w:bCs/>
        </w:rPr>
        <w:t xml:space="preserve">. </w:t>
      </w:r>
      <w:r w:rsidRPr="00107B81">
        <w:t xml:space="preserve"> </w:t>
      </w:r>
      <w:r w:rsidRPr="00107B81">
        <w:rPr>
          <w:bCs/>
        </w:rPr>
        <w:t xml:space="preserve">(E.g., </w:t>
      </w:r>
      <w:r w:rsidRPr="00107B81">
        <w:rPr>
          <w:bCs/>
          <w:i/>
          <w:iCs/>
        </w:rPr>
        <w:t xml:space="preserve">2,022 Ranch v. </w:t>
      </w:r>
      <w:r w:rsidRPr="00107B81">
        <w:rPr>
          <w:bCs/>
          <w:i/>
          <w:iCs/>
        </w:rPr>
        <w:t>Superior Court</w:t>
      </w:r>
      <w:r w:rsidRPr="00107B81">
        <w:rPr>
          <w:bCs/>
        </w:rPr>
        <w:t xml:space="preserve"> (2003) 113 Cal.App.4th 1377, 1390-1395, 1401</w:t>
      </w:r>
      <w:r w:rsidRPr="00107B81">
        <w:rPr>
          <w:bCs/>
        </w:rPr>
        <w:t xml:space="preserve">, disapproved on another ground in </w:t>
      </w:r>
      <w:r w:rsidRPr="00107B81">
        <w:rPr>
          <w:bCs/>
          <w:i/>
          <w:iCs/>
        </w:rPr>
        <w:t>Costco</w:t>
      </w:r>
      <w:r w:rsidRPr="00107B81">
        <w:rPr>
          <w:bCs/>
        </w:rPr>
        <w:t xml:space="preserve">, </w:t>
      </w:r>
      <w:r w:rsidRPr="00107B81">
        <w:rPr>
          <w:bCs/>
          <w:i/>
          <w:iCs/>
        </w:rPr>
        <w:t>supra</w:t>
      </w:r>
      <w:r w:rsidRPr="00107B81">
        <w:rPr>
          <w:bCs/>
        </w:rPr>
        <w:t xml:space="preserve">, </w:t>
      </w:r>
      <w:r w:rsidRPr="00107B81">
        <w:rPr>
          <w:bCs/>
        </w:rPr>
        <w:t>47 Cal.4th at p.</w:t>
      </w:r>
      <w:r>
        <w:rPr>
          <w:bCs/>
        </w:rPr>
        <w:t xml:space="preserve"> </w:t>
      </w:r>
      <w:r w:rsidRPr="00107B81">
        <w:rPr>
          <w:bCs/>
        </w:rPr>
        <w:t>739</w:t>
      </w:r>
      <w:r w:rsidRPr="00107B81">
        <w:rPr>
          <w:bCs/>
        </w:rPr>
        <w:t xml:space="preserve">; </w:t>
      </w:r>
      <w:r w:rsidRPr="00107B81">
        <w:rPr>
          <w:bCs/>
          <w:i/>
          <w:iCs/>
        </w:rPr>
        <w:t>Wellpoint Health Networks, Inc. v. Superior Court</w:t>
      </w:r>
      <w:r w:rsidRPr="00107B81">
        <w:rPr>
          <w:bCs/>
        </w:rPr>
        <w:t xml:space="preserve"> (1997) 59 Cal.App.4th 110</w:t>
      </w:r>
      <w:r w:rsidRPr="00107B81">
        <w:rPr>
          <w:bCs/>
        </w:rPr>
        <w:t>, 112</w:t>
      </w:r>
      <w:r w:rsidRPr="00107B81">
        <w:rPr>
          <w:bCs/>
        </w:rPr>
        <w:t xml:space="preserve">; </w:t>
      </w:r>
      <w:r w:rsidRPr="00107B81">
        <w:rPr>
          <w:bCs/>
          <w:i/>
          <w:iCs/>
        </w:rPr>
        <w:t>Aetna Casualty &amp; Surety Co. v. Superior Court</w:t>
      </w:r>
      <w:r w:rsidRPr="00107B81">
        <w:rPr>
          <w:bCs/>
        </w:rPr>
        <w:t xml:space="preserve">, </w:t>
      </w:r>
      <w:r w:rsidRPr="00107B81">
        <w:rPr>
          <w:bCs/>
          <w:i/>
          <w:iCs/>
        </w:rPr>
        <w:t>supra</w:t>
      </w:r>
      <w:r w:rsidRPr="00107B81">
        <w:rPr>
          <w:bCs/>
        </w:rPr>
        <w:t>,</w:t>
      </w:r>
      <w:r w:rsidRPr="00107B81">
        <w:rPr>
          <w:bCs/>
        </w:rPr>
        <w:t xml:space="preserve"> 153 Cal.App.3d </w:t>
      </w:r>
      <w:r w:rsidRPr="00107B81">
        <w:rPr>
          <w:bCs/>
        </w:rPr>
        <w:t xml:space="preserve">at </w:t>
      </w:r>
      <w:r w:rsidRPr="00107B81">
        <w:rPr>
          <w:bCs/>
        </w:rPr>
        <w:t>p</w:t>
      </w:r>
      <w:r w:rsidRPr="00107B81">
        <w:rPr>
          <w:bCs/>
        </w:rPr>
        <w:t>p.</w:t>
      </w:r>
      <w:r w:rsidRPr="00107B81">
        <w:rPr>
          <w:bCs/>
        </w:rPr>
        <w:t xml:space="preserve"> </w:t>
      </w:r>
      <w:r w:rsidRPr="00107B81">
        <w:rPr>
          <w:bCs/>
        </w:rPr>
        <w:t>475-</w:t>
      </w:r>
      <w:r w:rsidRPr="00107B81">
        <w:rPr>
          <w:bCs/>
        </w:rPr>
        <w:t xml:space="preserve">476; </w:t>
      </w:r>
      <w:r w:rsidRPr="00107B81">
        <w:rPr>
          <w:bCs/>
          <w:i/>
          <w:iCs/>
        </w:rPr>
        <w:t>Watt Industries, Inc. v. Superior Court</w:t>
      </w:r>
      <w:r w:rsidRPr="00107B81">
        <w:rPr>
          <w:bCs/>
        </w:rPr>
        <w:t xml:space="preserve"> (1981) 115 Cal.App.3d 802, 805</w:t>
      </w:r>
      <w:r w:rsidRPr="00107B81">
        <w:rPr>
          <w:bCs/>
        </w:rPr>
        <w:t xml:space="preserve">.)  </w:t>
      </w:r>
      <w:r w:rsidRPr="00107B81">
        <w:rPr>
          <w:bCs/>
        </w:rPr>
        <w:t>Assuming without deciding that the dominant purpose test applies to</w:t>
      </w:r>
      <w:r w:rsidRPr="00107B81">
        <w:rPr>
          <w:bCs/>
        </w:rPr>
        <w:t xml:space="preserve"> whether something </w:t>
      </w:r>
      <w:r w:rsidRPr="00107B81">
        <w:rPr>
          <w:bCs/>
        </w:rPr>
        <w:t>constitutes</w:t>
      </w:r>
      <w:r w:rsidRPr="00107B81">
        <w:rPr>
          <w:bCs/>
        </w:rPr>
        <w:t xml:space="preserve"> work product</w:t>
      </w:r>
      <w:r w:rsidRPr="00107B81">
        <w:rPr>
          <w:bCs/>
        </w:rPr>
        <w:t xml:space="preserve">, </w:t>
      </w:r>
      <w:r w:rsidRPr="00107B81">
        <w:rPr>
          <w:bCs/>
        </w:rPr>
        <w:t xml:space="preserve">the </w:t>
      </w:r>
      <w:r w:rsidRPr="00107B81">
        <w:rPr>
          <w:bCs/>
        </w:rPr>
        <w:t xml:space="preserve">governing </w:t>
      </w:r>
      <w:r w:rsidRPr="00107B81">
        <w:rPr>
          <w:bCs/>
        </w:rPr>
        <w:t>quest</w:t>
      </w:r>
      <w:r w:rsidRPr="00107B81">
        <w:rPr>
          <w:bCs/>
        </w:rPr>
        <w:t xml:space="preserve">ion is what was </w:t>
      </w:r>
      <w:r w:rsidRPr="00107B81">
        <w:rPr>
          <w:bCs/>
        </w:rPr>
        <w:t xml:space="preserve">the </w:t>
      </w:r>
      <w:r w:rsidRPr="00107B81">
        <w:rPr>
          <w:bCs/>
        </w:rPr>
        <w:t xml:space="preserve">dominant purpose </w:t>
      </w:r>
      <w:r w:rsidRPr="00107B81">
        <w:rPr>
          <w:bCs/>
        </w:rPr>
        <w:t xml:space="preserve">for </w:t>
      </w:r>
      <w:r w:rsidRPr="00107B81">
        <w:rPr>
          <w:bCs/>
        </w:rPr>
        <w:t>counsel</w:t>
      </w:r>
      <w:r w:rsidRPr="00107B81">
        <w:rPr>
          <w:bCs/>
        </w:rPr>
        <w:t>’s retention</w:t>
      </w:r>
      <w:r w:rsidRPr="00107B81">
        <w:rPr>
          <w:bCs/>
        </w:rPr>
        <w:t xml:space="preserve">: </w:t>
      </w:r>
      <w:r w:rsidRPr="00107B81">
        <w:rPr>
          <w:bCs/>
        </w:rPr>
        <w:t>legal</w:t>
      </w:r>
      <w:r w:rsidRPr="00107B81">
        <w:rPr>
          <w:bCs/>
        </w:rPr>
        <w:t xml:space="preserve"> advice</w:t>
      </w:r>
      <w:r w:rsidRPr="00107B81">
        <w:rPr>
          <w:bCs/>
        </w:rPr>
        <w:t>,</w:t>
      </w:r>
      <w:r w:rsidRPr="00107B81">
        <w:rPr>
          <w:bCs/>
        </w:rPr>
        <w:t xml:space="preserve"> or a non-legal reason</w:t>
      </w:r>
      <w:r w:rsidRPr="00107B81">
        <w:rPr>
          <w:bCs/>
        </w:rPr>
        <w:t>?</w:t>
      </w:r>
      <w:r w:rsidRPr="00107B81">
        <w:rPr>
          <w:bCs/>
        </w:rPr>
        <w:t xml:space="preserve"> </w:t>
      </w:r>
      <w:r w:rsidRPr="00107B81">
        <w:rPr>
          <w:bCs/>
        </w:rPr>
        <w:t xml:space="preserve"> (</w:t>
      </w:r>
      <w:r w:rsidRPr="00107B81">
        <w:rPr>
          <w:bCs/>
          <w:i/>
          <w:iCs/>
        </w:rPr>
        <w:t>Costco</w:t>
      </w:r>
      <w:r w:rsidRPr="00107B81">
        <w:rPr>
          <w:bCs/>
        </w:rPr>
        <w:t xml:space="preserve">, </w:t>
      </w:r>
      <w:r w:rsidRPr="00107B81">
        <w:rPr>
          <w:bCs/>
          <w:i/>
          <w:iCs/>
        </w:rPr>
        <w:t>supra</w:t>
      </w:r>
      <w:r w:rsidRPr="00107B81">
        <w:rPr>
          <w:bCs/>
        </w:rPr>
        <w:t xml:space="preserve">, 47 Cal.4th </w:t>
      </w:r>
      <w:r w:rsidRPr="00107B81">
        <w:rPr>
          <w:bCs/>
        </w:rPr>
        <w:t>at p</w:t>
      </w:r>
      <w:r w:rsidRPr="00107B81">
        <w:rPr>
          <w:bCs/>
        </w:rPr>
        <w:t>p</w:t>
      </w:r>
      <w:r w:rsidRPr="00107B81">
        <w:rPr>
          <w:bCs/>
        </w:rPr>
        <w:t>.</w:t>
      </w:r>
      <w:r w:rsidRPr="00107B81">
        <w:rPr>
          <w:bCs/>
        </w:rPr>
        <w:t> </w:t>
      </w:r>
      <w:r w:rsidRPr="00107B81">
        <w:rPr>
          <w:bCs/>
        </w:rPr>
        <w:t>735-736.)</w:t>
      </w:r>
    </w:p>
    <w:p w14:paraId="787514A1" w14:textId="77777777" w:rsidR="00447998" w:rsidRPr="00107B81" w:rsidRDefault="00447998" w:rsidP="00E03FD7">
      <w:pPr>
        <w:ind w:firstLine="720"/>
      </w:pPr>
      <w:r w:rsidRPr="00107B81">
        <w:rPr>
          <w:bCs/>
        </w:rPr>
        <w:t>The trial court</w:t>
      </w:r>
      <w:r w:rsidRPr="00107B81">
        <w:rPr>
          <w:bCs/>
        </w:rPr>
        <w:t xml:space="preserve"> </w:t>
      </w:r>
      <w:r w:rsidRPr="00107B81">
        <w:rPr>
          <w:bCs/>
        </w:rPr>
        <w:t xml:space="preserve">found </w:t>
      </w:r>
      <w:r w:rsidRPr="00107B81">
        <w:rPr>
          <w:bCs/>
        </w:rPr>
        <w:t>the</w:t>
      </w:r>
      <w:r w:rsidRPr="00107B81">
        <w:rPr>
          <w:bCs/>
        </w:rPr>
        <w:t xml:space="preserve"> </w:t>
      </w:r>
      <w:r w:rsidRPr="00107B81">
        <w:rPr>
          <w:bCs/>
        </w:rPr>
        <w:t>dominant purpose of the investigation</w:t>
      </w:r>
      <w:r w:rsidRPr="00107B81">
        <w:rPr>
          <w:bCs/>
        </w:rPr>
        <w:t xml:space="preserve"> </w:t>
      </w:r>
      <w:r w:rsidRPr="00107B81">
        <w:rPr>
          <w:bCs/>
        </w:rPr>
        <w:t xml:space="preserve">was to </w:t>
      </w:r>
      <w:r w:rsidRPr="00107B81">
        <w:rPr>
          <w:bCs/>
        </w:rPr>
        <w:t xml:space="preserve">ensure </w:t>
      </w:r>
      <w:r w:rsidRPr="00107B81">
        <w:rPr>
          <w:bCs/>
        </w:rPr>
        <w:t>compl</w:t>
      </w:r>
      <w:r w:rsidRPr="00107B81">
        <w:rPr>
          <w:bCs/>
        </w:rPr>
        <w:t>iance</w:t>
      </w:r>
      <w:r w:rsidRPr="00107B81">
        <w:rPr>
          <w:bCs/>
        </w:rPr>
        <w:t xml:space="preserve"> with SCE’s legal requirements as a </w:t>
      </w:r>
      <w:proofErr w:type="gramStart"/>
      <w:r w:rsidRPr="00107B81">
        <w:rPr>
          <w:bCs/>
        </w:rPr>
        <w:t>highly-regulated</w:t>
      </w:r>
      <w:proofErr w:type="gramEnd"/>
      <w:r w:rsidRPr="00107B81">
        <w:rPr>
          <w:bCs/>
        </w:rPr>
        <w:t xml:space="preserve"> entity.  </w:t>
      </w:r>
      <w:r w:rsidRPr="00107B81">
        <w:rPr>
          <w:bCs/>
        </w:rPr>
        <w:t xml:space="preserve">From that it reasoned counsel </w:t>
      </w:r>
      <w:r w:rsidRPr="00107B81">
        <w:rPr>
          <w:bCs/>
        </w:rPr>
        <w:t>were</w:t>
      </w:r>
      <w:r w:rsidRPr="00107B81">
        <w:rPr>
          <w:bCs/>
        </w:rPr>
        <w:t xml:space="preserve"> </w:t>
      </w:r>
      <w:r w:rsidRPr="00107B81">
        <w:rPr>
          <w:bCs/>
        </w:rPr>
        <w:t xml:space="preserve">thus </w:t>
      </w:r>
      <w:r w:rsidRPr="00107B81">
        <w:rPr>
          <w:bCs/>
        </w:rPr>
        <w:t>involved for a non-legal business purpose</w:t>
      </w:r>
      <w:r w:rsidRPr="00107B81">
        <w:rPr>
          <w:bCs/>
        </w:rPr>
        <w:t>, a conclusion that does not follow</w:t>
      </w:r>
      <w:r w:rsidRPr="00107B81">
        <w:rPr>
          <w:bCs/>
        </w:rPr>
        <w:t xml:space="preserve">.  </w:t>
      </w:r>
      <w:r w:rsidRPr="00107B81">
        <w:rPr>
          <w:bCs/>
        </w:rPr>
        <w:t>C</w:t>
      </w:r>
      <w:r w:rsidRPr="00107B81">
        <w:rPr>
          <w:bCs/>
        </w:rPr>
        <w:t>ounsel</w:t>
      </w:r>
      <w:r w:rsidRPr="00107B81">
        <w:rPr>
          <w:bCs/>
        </w:rPr>
        <w:t>’s involvement</w:t>
      </w:r>
      <w:r w:rsidRPr="00107B81">
        <w:rPr>
          <w:bCs/>
        </w:rPr>
        <w:t xml:space="preserve"> here</w:t>
      </w:r>
      <w:r w:rsidRPr="00107B81">
        <w:rPr>
          <w:bCs/>
        </w:rPr>
        <w:t xml:space="preserve"> </w:t>
      </w:r>
      <w:r w:rsidRPr="00107B81">
        <w:rPr>
          <w:bCs/>
        </w:rPr>
        <w:t xml:space="preserve">to ensure corporate compliance with </w:t>
      </w:r>
      <w:r w:rsidRPr="00107B81">
        <w:rPr>
          <w:bCs/>
        </w:rPr>
        <w:t xml:space="preserve">legal </w:t>
      </w:r>
      <w:r w:rsidRPr="00107B81">
        <w:rPr>
          <w:bCs/>
        </w:rPr>
        <w:t xml:space="preserve">reporting requirements </w:t>
      </w:r>
      <w:r w:rsidRPr="00107B81">
        <w:rPr>
          <w:bCs/>
          <w:i/>
          <w:iCs/>
        </w:rPr>
        <w:t>wa</w:t>
      </w:r>
      <w:r w:rsidRPr="00107B81">
        <w:rPr>
          <w:bCs/>
          <w:i/>
          <w:iCs/>
        </w:rPr>
        <w:t>s</w:t>
      </w:r>
      <w:r w:rsidRPr="00107B81">
        <w:rPr>
          <w:bCs/>
        </w:rPr>
        <w:t xml:space="preserve"> a legal role, not a non-legal one</w:t>
      </w:r>
      <w:r w:rsidRPr="00107B81">
        <w:rPr>
          <w:bCs/>
        </w:rPr>
        <w:t xml:space="preserve">, </w:t>
      </w:r>
      <w:r w:rsidRPr="00107B81">
        <w:rPr>
          <w:bCs/>
        </w:rPr>
        <w:t xml:space="preserve">particularly in the face of </w:t>
      </w:r>
      <w:r w:rsidRPr="00107B81">
        <w:rPr>
          <w:bCs/>
        </w:rPr>
        <w:t xml:space="preserve">the </w:t>
      </w:r>
      <w:r w:rsidRPr="00107B81">
        <w:rPr>
          <w:bCs/>
        </w:rPr>
        <w:t>uncontradicted evidence as to why counsel got involved with the investigation</w:t>
      </w:r>
      <w:r w:rsidRPr="00107B81">
        <w:rPr>
          <w:bCs/>
        </w:rPr>
        <w:t xml:space="preserve">.  </w:t>
      </w:r>
      <w:r w:rsidRPr="00107B81">
        <w:rPr>
          <w:bCs/>
        </w:rPr>
        <w:t xml:space="preserve">Indeed, </w:t>
      </w:r>
      <w:r w:rsidRPr="00107B81">
        <w:rPr>
          <w:bCs/>
        </w:rPr>
        <w:t xml:space="preserve">PUC </w:t>
      </w:r>
      <w:r w:rsidRPr="00107B81">
        <w:rPr>
          <w:bCs/>
        </w:rPr>
        <w:t>r</w:t>
      </w:r>
      <w:r w:rsidRPr="00107B81">
        <w:rPr>
          <w:bCs/>
        </w:rPr>
        <w:t xml:space="preserve">ule 17 expressly acknowledges that a utility may consult with counsel in conducting </w:t>
      </w:r>
      <w:r w:rsidRPr="00107B81">
        <w:rPr>
          <w:bCs/>
        </w:rPr>
        <w:t>the required</w:t>
      </w:r>
      <w:r w:rsidRPr="00107B81">
        <w:rPr>
          <w:bCs/>
        </w:rPr>
        <w:t xml:space="preserve"> investigation, providing, “Nothing in this rule is intended to </w:t>
      </w:r>
      <w:r w:rsidRPr="00107B81">
        <w:rPr>
          <w:bCs/>
        </w:rPr>
        <w:lastRenderedPageBreak/>
        <w:t>extend, waive, or limit any claim of attorney client privilege and/or attorney work product privilege.”  (</w:t>
      </w:r>
      <w:r w:rsidRPr="00107B81">
        <w:t>PU</w:t>
      </w:r>
      <w:r w:rsidRPr="00107B81">
        <w:t>C</w:t>
      </w:r>
      <w:r w:rsidRPr="00107B81">
        <w:t xml:space="preserve"> rule 17.)</w:t>
      </w:r>
    </w:p>
    <w:p w14:paraId="3EA54BF8" w14:textId="77777777" w:rsidR="00447998" w:rsidRPr="00107B81" w:rsidRDefault="00447998" w:rsidP="00E03FD7">
      <w:pPr>
        <w:ind w:firstLine="720"/>
        <w:rPr>
          <w:bCs/>
        </w:rPr>
      </w:pPr>
      <w:r w:rsidRPr="00107B81">
        <w:rPr>
          <w:bCs/>
        </w:rPr>
        <w:t xml:space="preserve">The trial court’s approach suggests that when </w:t>
      </w:r>
      <w:r w:rsidRPr="00107B81">
        <w:rPr>
          <w:bCs/>
        </w:rPr>
        <w:t>attorneys</w:t>
      </w:r>
      <w:r w:rsidRPr="00107B81">
        <w:rPr>
          <w:bCs/>
        </w:rPr>
        <w:t xml:space="preserve"> advise on </w:t>
      </w:r>
      <w:r w:rsidRPr="00107B81">
        <w:rPr>
          <w:bCs/>
        </w:rPr>
        <w:t>legal reporting</w:t>
      </w:r>
      <w:r w:rsidRPr="00107B81">
        <w:rPr>
          <w:bCs/>
        </w:rPr>
        <w:t xml:space="preserve"> obligations</w:t>
      </w:r>
      <w:r>
        <w:rPr>
          <w:bCs/>
        </w:rPr>
        <w:t>,</w:t>
      </w:r>
      <w:r w:rsidRPr="00107B81">
        <w:rPr>
          <w:bCs/>
        </w:rPr>
        <w:t xml:space="preserve"> they do so for a non-legal business purpose</w:t>
      </w:r>
      <w:r w:rsidRPr="00107B81">
        <w:rPr>
          <w:bCs/>
        </w:rPr>
        <w:t>.  We disagree.</w:t>
      </w:r>
      <w:r w:rsidRPr="00107B81">
        <w:rPr>
          <w:bCs/>
        </w:rPr>
        <w:t xml:space="preserve">  </w:t>
      </w:r>
      <w:r w:rsidRPr="00107B81">
        <w:rPr>
          <w:bCs/>
        </w:rPr>
        <w:t xml:space="preserve">California companies are faced with myriad </w:t>
      </w:r>
      <w:r w:rsidRPr="00107B81">
        <w:rPr>
          <w:bCs/>
        </w:rPr>
        <w:t>statutory and regulatory</w:t>
      </w:r>
      <w:r w:rsidRPr="00107B81">
        <w:rPr>
          <w:bCs/>
        </w:rPr>
        <w:t xml:space="preserve"> </w:t>
      </w:r>
      <w:r w:rsidRPr="00107B81">
        <w:rPr>
          <w:bCs/>
        </w:rPr>
        <w:t>reporting and disclosure obligations</w:t>
      </w:r>
      <w:r w:rsidRPr="00107B81">
        <w:rPr>
          <w:bCs/>
        </w:rPr>
        <w:t xml:space="preserve"> under both federal and state law</w:t>
      </w:r>
      <w:r w:rsidRPr="00107B81">
        <w:rPr>
          <w:bCs/>
        </w:rPr>
        <w:t>.</w:t>
      </w:r>
      <w:r w:rsidRPr="00107B81">
        <w:rPr>
          <w:bCs/>
        </w:rPr>
        <w:t xml:space="preserve">  To comply with those obligations and avoid </w:t>
      </w:r>
      <w:r w:rsidRPr="00107B81">
        <w:rPr>
          <w:bCs/>
        </w:rPr>
        <w:t>unnecessary liability</w:t>
      </w:r>
      <w:r w:rsidRPr="00107B81">
        <w:rPr>
          <w:bCs/>
        </w:rPr>
        <w:t xml:space="preserve"> they often seek advice</w:t>
      </w:r>
      <w:r w:rsidRPr="00107B81">
        <w:rPr>
          <w:bCs/>
        </w:rPr>
        <w:t xml:space="preserve"> from attorneys</w:t>
      </w:r>
      <w:r w:rsidRPr="00107B81">
        <w:rPr>
          <w:bCs/>
        </w:rPr>
        <w:t xml:space="preserve">.  That advice can include not only how and what to report, but </w:t>
      </w:r>
      <w:r w:rsidRPr="00107B81">
        <w:rPr>
          <w:bCs/>
        </w:rPr>
        <w:t xml:space="preserve">also </w:t>
      </w:r>
      <w:r w:rsidRPr="00107B81">
        <w:rPr>
          <w:bCs/>
        </w:rPr>
        <w:t xml:space="preserve">whether one has a reporting </w:t>
      </w:r>
      <w:r w:rsidRPr="00107B81">
        <w:rPr>
          <w:bCs/>
        </w:rPr>
        <w:t xml:space="preserve">or disclosure </w:t>
      </w:r>
      <w:r w:rsidRPr="00107B81">
        <w:rPr>
          <w:bCs/>
        </w:rPr>
        <w:t>obligation in the first place.</w:t>
      </w:r>
      <w:r w:rsidRPr="00107B81">
        <w:rPr>
          <w:bCs/>
        </w:rPr>
        <w:t xml:space="preserve">  </w:t>
      </w:r>
      <w:r w:rsidRPr="00107B81">
        <w:rPr>
          <w:bCs/>
        </w:rPr>
        <w:t xml:space="preserve">Sound legal advice requires </w:t>
      </w:r>
      <w:r w:rsidRPr="00107B81">
        <w:rPr>
          <w:bCs/>
        </w:rPr>
        <w:t>knowing the</w:t>
      </w:r>
      <w:r w:rsidRPr="00107B81">
        <w:rPr>
          <w:bCs/>
        </w:rPr>
        <w:t xml:space="preserve"> applicable facts (good and bad) </w:t>
      </w:r>
      <w:r w:rsidRPr="00107B81">
        <w:rPr>
          <w:bCs/>
        </w:rPr>
        <w:t>to determine whether one has a reporting obligation</w:t>
      </w:r>
      <w:r w:rsidRPr="00107B81">
        <w:rPr>
          <w:bCs/>
        </w:rPr>
        <w:t>, and</w:t>
      </w:r>
      <w:r w:rsidRPr="00107B81">
        <w:rPr>
          <w:bCs/>
        </w:rPr>
        <w:t>,</w:t>
      </w:r>
      <w:r w:rsidRPr="00107B81">
        <w:rPr>
          <w:bCs/>
        </w:rPr>
        <w:t xml:space="preserve"> if so</w:t>
      </w:r>
      <w:r w:rsidRPr="00107B81">
        <w:rPr>
          <w:bCs/>
        </w:rPr>
        <w:t>,</w:t>
      </w:r>
      <w:r w:rsidRPr="00107B81">
        <w:rPr>
          <w:bCs/>
        </w:rPr>
        <w:t xml:space="preserve"> </w:t>
      </w:r>
      <w:r w:rsidRPr="00107B81">
        <w:rPr>
          <w:bCs/>
        </w:rPr>
        <w:t>how</w:t>
      </w:r>
      <w:r w:rsidRPr="00107B81">
        <w:rPr>
          <w:bCs/>
        </w:rPr>
        <w:t xml:space="preserve"> best to</w:t>
      </w:r>
      <w:r w:rsidRPr="00107B81">
        <w:rPr>
          <w:bCs/>
        </w:rPr>
        <w:t xml:space="preserve"> comply with it.</w:t>
      </w:r>
      <w:r w:rsidRPr="00107B81">
        <w:rPr>
          <w:bCs/>
        </w:rPr>
        <w:t xml:space="preserve">  </w:t>
      </w:r>
      <w:r w:rsidRPr="00107B81">
        <w:rPr>
          <w:bCs/>
        </w:rPr>
        <w:t>A company’s need to comply with</w:t>
      </w:r>
      <w:r w:rsidRPr="00107B81">
        <w:rPr>
          <w:bCs/>
        </w:rPr>
        <w:t xml:space="preserve"> a public reporting </w:t>
      </w:r>
      <w:r w:rsidRPr="00107B81">
        <w:rPr>
          <w:bCs/>
        </w:rPr>
        <w:t xml:space="preserve">requirement </w:t>
      </w:r>
      <w:r w:rsidRPr="00107B81">
        <w:rPr>
          <w:bCs/>
        </w:rPr>
        <w:t>do</w:t>
      </w:r>
      <w:r w:rsidRPr="00107B81">
        <w:rPr>
          <w:bCs/>
        </w:rPr>
        <w:t>es n</w:t>
      </w:r>
      <w:r w:rsidRPr="00107B81">
        <w:rPr>
          <w:bCs/>
        </w:rPr>
        <w:t>ot</w:t>
      </w:r>
      <w:r w:rsidRPr="00107B81">
        <w:rPr>
          <w:bCs/>
        </w:rPr>
        <w:t xml:space="preserve"> eviscerate work</w:t>
      </w:r>
      <w:r w:rsidRPr="00107B81">
        <w:rPr>
          <w:bCs/>
        </w:rPr>
        <w:t xml:space="preserve"> </w:t>
      </w:r>
      <w:r w:rsidRPr="00107B81">
        <w:rPr>
          <w:bCs/>
        </w:rPr>
        <w:t>product protection</w:t>
      </w:r>
      <w:r w:rsidRPr="00107B81">
        <w:rPr>
          <w:bCs/>
        </w:rPr>
        <w:t xml:space="preserve">; if it did, much of what </w:t>
      </w:r>
      <w:r w:rsidRPr="00107B81">
        <w:rPr>
          <w:bCs/>
        </w:rPr>
        <w:t xml:space="preserve">a </w:t>
      </w:r>
      <w:r w:rsidRPr="00107B81">
        <w:rPr>
          <w:bCs/>
        </w:rPr>
        <w:t>lawyer do</w:t>
      </w:r>
      <w:r w:rsidRPr="00107B81">
        <w:rPr>
          <w:bCs/>
        </w:rPr>
        <w:t>es</w:t>
      </w:r>
      <w:r w:rsidRPr="00107B81">
        <w:rPr>
          <w:bCs/>
        </w:rPr>
        <w:t xml:space="preserve"> </w:t>
      </w:r>
      <w:r w:rsidRPr="00107B81">
        <w:rPr>
          <w:bCs/>
        </w:rPr>
        <w:t xml:space="preserve">as part of advising </w:t>
      </w:r>
      <w:r w:rsidRPr="00107B81">
        <w:rPr>
          <w:bCs/>
        </w:rPr>
        <w:t xml:space="preserve">organizational </w:t>
      </w:r>
      <w:r w:rsidRPr="00107B81">
        <w:rPr>
          <w:bCs/>
        </w:rPr>
        <w:t xml:space="preserve">clients </w:t>
      </w:r>
      <w:r w:rsidRPr="00107B81">
        <w:rPr>
          <w:bCs/>
        </w:rPr>
        <w:t>would lose the work product protection to which it is entitled.</w:t>
      </w:r>
    </w:p>
    <w:p w14:paraId="66602DA7" w14:textId="77777777" w:rsidR="00447998" w:rsidRPr="00107B81" w:rsidRDefault="00447998" w:rsidP="00E03FD7">
      <w:pPr>
        <w:ind w:firstLine="720"/>
        <w:rPr>
          <w:szCs w:val="26"/>
        </w:rPr>
      </w:pPr>
      <w:r w:rsidRPr="00107B81">
        <w:t xml:space="preserve">In this case, there is </w:t>
      </w:r>
      <w:r w:rsidRPr="00107B81">
        <w:t xml:space="preserve">no </w:t>
      </w:r>
      <w:r w:rsidRPr="00107B81">
        <w:t xml:space="preserve">evidence that SCE’s in-house counsel was </w:t>
      </w:r>
      <w:r w:rsidRPr="00107B81">
        <w:t xml:space="preserve">acting in a business, as opposed to legal, capacity.  </w:t>
      </w:r>
      <w:r w:rsidRPr="00107B81">
        <w:rPr>
          <w:bCs/>
        </w:rPr>
        <w:t>SCE’s counsel Cardoza</w:t>
      </w:r>
      <w:r w:rsidRPr="00107B81">
        <w:rPr>
          <w:bCs/>
        </w:rPr>
        <w:t xml:space="preserve"> </w:t>
      </w:r>
      <w:r w:rsidRPr="00107B81">
        <w:rPr>
          <w:bCs/>
        </w:rPr>
        <w:t xml:space="preserve">averred </w:t>
      </w:r>
      <w:r w:rsidRPr="00107B81">
        <w:rPr>
          <w:bCs/>
        </w:rPr>
        <w:t>that</w:t>
      </w:r>
      <w:r w:rsidRPr="00107B81">
        <w:rPr>
          <w:bCs/>
        </w:rPr>
        <w:t xml:space="preserve"> </w:t>
      </w:r>
      <w:r w:rsidRPr="00107B81">
        <w:rPr>
          <w:bCs/>
        </w:rPr>
        <w:t xml:space="preserve">the investigation facilitated </w:t>
      </w:r>
      <w:r w:rsidRPr="00107B81">
        <w:rPr>
          <w:bCs/>
        </w:rPr>
        <w:t>“the provision of legal advice” on five topics: “</w:t>
      </w:r>
      <w:r w:rsidRPr="00107B81">
        <w:t>(1) potential legal risks caused by the fire; (2) potential regulatory action related to the fire; (3) potential legal strategies for mitigating risk; (4)</w:t>
      </w:r>
      <w:r w:rsidRPr="00107B81">
        <w:t> </w:t>
      </w:r>
      <w:r w:rsidRPr="00107B81">
        <w:t>evaluations of potential company risk and monetary liability in litigation or through regulatory action; and (5) consideration of potential measures</w:t>
      </w:r>
      <w:r w:rsidRPr="00107B81">
        <w:t xml:space="preserve"> to be taken to minimize or avoid the risks of future litigation or adverse regulatory action arising from similar incidents.”  </w:t>
      </w:r>
      <w:r w:rsidRPr="00107B81">
        <w:rPr>
          <w:bCs/>
        </w:rPr>
        <w:t xml:space="preserve">All five categories are appropriate topics for </w:t>
      </w:r>
      <w:r w:rsidRPr="00107B81">
        <w:rPr>
          <w:bCs/>
        </w:rPr>
        <w:t xml:space="preserve">legal advice.  </w:t>
      </w:r>
      <w:r w:rsidRPr="00107B81">
        <w:rPr>
          <w:bCs/>
        </w:rPr>
        <w:t xml:space="preserve">Plaintiffs contend </w:t>
      </w:r>
      <w:r w:rsidRPr="00107B81">
        <w:rPr>
          <w:bCs/>
        </w:rPr>
        <w:t xml:space="preserve">that </w:t>
      </w:r>
      <w:r w:rsidRPr="00107B81">
        <w:rPr>
          <w:bCs/>
        </w:rPr>
        <w:t xml:space="preserve">three </w:t>
      </w:r>
      <w:r w:rsidRPr="00107B81">
        <w:rPr>
          <w:bCs/>
        </w:rPr>
        <w:t xml:space="preserve">of these </w:t>
      </w:r>
      <w:r w:rsidRPr="00107B81">
        <w:rPr>
          <w:bCs/>
        </w:rPr>
        <w:t xml:space="preserve">subjects (the </w:t>
      </w:r>
      <w:r w:rsidRPr="00107B81">
        <w:rPr>
          <w:bCs/>
        </w:rPr>
        <w:t>second</w:t>
      </w:r>
      <w:r w:rsidRPr="00107B81">
        <w:rPr>
          <w:bCs/>
        </w:rPr>
        <w:t xml:space="preserve">, third and fifth) </w:t>
      </w:r>
      <w:r w:rsidRPr="00107B81">
        <w:rPr>
          <w:bCs/>
        </w:rPr>
        <w:t xml:space="preserve">related to a </w:t>
      </w:r>
      <w:r w:rsidRPr="00107B81">
        <w:rPr>
          <w:bCs/>
        </w:rPr>
        <w:t>“</w:t>
      </w:r>
      <w:r w:rsidRPr="00107B81">
        <w:rPr>
          <w:bCs/>
        </w:rPr>
        <w:t>business purpose</w:t>
      </w:r>
      <w:r w:rsidRPr="00107B81">
        <w:rPr>
          <w:bCs/>
        </w:rPr>
        <w:t>.</w:t>
      </w:r>
      <w:r w:rsidRPr="00107B81">
        <w:rPr>
          <w:bCs/>
        </w:rPr>
        <w:t>”</w:t>
      </w:r>
      <w:r w:rsidRPr="00107B81">
        <w:rPr>
          <w:bCs/>
        </w:rPr>
        <w:t xml:space="preserve">  </w:t>
      </w:r>
      <w:r w:rsidRPr="00107B81">
        <w:rPr>
          <w:bCs/>
        </w:rPr>
        <w:t xml:space="preserve">As </w:t>
      </w:r>
      <w:r w:rsidRPr="00107B81">
        <w:rPr>
          <w:bCs/>
        </w:rPr>
        <w:lastRenderedPageBreak/>
        <w:t xml:space="preserve">explained above, </w:t>
      </w:r>
      <w:r w:rsidRPr="00107B81">
        <w:rPr>
          <w:bCs/>
        </w:rPr>
        <w:t xml:space="preserve">SCE could </w:t>
      </w:r>
      <w:r w:rsidRPr="00107B81">
        <w:rPr>
          <w:bCs/>
        </w:rPr>
        <w:t xml:space="preserve">properly </w:t>
      </w:r>
      <w:r w:rsidRPr="00107B81">
        <w:rPr>
          <w:bCs/>
        </w:rPr>
        <w:t>seek legal advice in connection with those subjects.</w:t>
      </w:r>
      <w:r w:rsidRPr="00107B81">
        <w:rPr>
          <w:bCs/>
        </w:rPr>
        <w:t xml:space="preserve"> </w:t>
      </w:r>
      <w:r w:rsidRPr="00107B81">
        <w:rPr>
          <w:bCs/>
        </w:rPr>
        <w:t xml:space="preserve"> </w:t>
      </w:r>
      <w:r w:rsidRPr="00107B81">
        <w:rPr>
          <w:bCs/>
        </w:rPr>
        <w:t>Indeed, g</w:t>
      </w:r>
      <w:r w:rsidRPr="00107B81">
        <w:rPr>
          <w:szCs w:val="26"/>
        </w:rPr>
        <w:t xml:space="preserve">iven the significant </w:t>
      </w:r>
      <w:r w:rsidRPr="00107B81">
        <w:rPr>
          <w:szCs w:val="26"/>
        </w:rPr>
        <w:t xml:space="preserve">potential </w:t>
      </w:r>
      <w:r w:rsidRPr="00107B81">
        <w:rPr>
          <w:szCs w:val="26"/>
        </w:rPr>
        <w:t>l</w:t>
      </w:r>
      <w:r w:rsidRPr="00107B81">
        <w:rPr>
          <w:szCs w:val="26"/>
        </w:rPr>
        <w:t xml:space="preserve">egal exposure SCE faced </w:t>
      </w:r>
      <w:r w:rsidRPr="00107B81">
        <w:rPr>
          <w:szCs w:val="26"/>
        </w:rPr>
        <w:t xml:space="preserve">from </w:t>
      </w:r>
      <w:r w:rsidRPr="00107B81">
        <w:rPr>
          <w:szCs w:val="26"/>
        </w:rPr>
        <w:t xml:space="preserve">the Creek Fire </w:t>
      </w:r>
      <w:r w:rsidRPr="00107B81">
        <w:rPr>
          <w:szCs w:val="26"/>
        </w:rPr>
        <w:t xml:space="preserve">in terms of regulatory </w:t>
      </w:r>
      <w:r w:rsidRPr="00107B81">
        <w:rPr>
          <w:szCs w:val="26"/>
        </w:rPr>
        <w:t>action, government</w:t>
      </w:r>
      <w:r w:rsidRPr="00107B81">
        <w:rPr>
          <w:szCs w:val="26"/>
        </w:rPr>
        <w:t xml:space="preserve"> claims,</w:t>
      </w:r>
      <w:r w:rsidRPr="00107B81">
        <w:rPr>
          <w:szCs w:val="26"/>
        </w:rPr>
        <w:t xml:space="preserve"> and </w:t>
      </w:r>
      <w:r w:rsidRPr="00107B81">
        <w:rPr>
          <w:szCs w:val="26"/>
        </w:rPr>
        <w:t>civil</w:t>
      </w:r>
      <w:r w:rsidRPr="00107B81">
        <w:rPr>
          <w:szCs w:val="26"/>
        </w:rPr>
        <w:t xml:space="preserve"> litigation, </w:t>
      </w:r>
      <w:r w:rsidRPr="00107B81">
        <w:rPr>
          <w:szCs w:val="26"/>
        </w:rPr>
        <w:t xml:space="preserve">one would </w:t>
      </w:r>
      <w:r w:rsidRPr="00107B81">
        <w:rPr>
          <w:szCs w:val="26"/>
        </w:rPr>
        <w:t xml:space="preserve">expect </w:t>
      </w:r>
      <w:r w:rsidRPr="00107B81">
        <w:rPr>
          <w:szCs w:val="26"/>
        </w:rPr>
        <w:t>SCE</w:t>
      </w:r>
      <w:r w:rsidRPr="00107B81">
        <w:rPr>
          <w:szCs w:val="26"/>
        </w:rPr>
        <w:t xml:space="preserve"> to</w:t>
      </w:r>
      <w:r w:rsidRPr="00107B81">
        <w:rPr>
          <w:szCs w:val="26"/>
        </w:rPr>
        <w:t xml:space="preserve"> seek legal advice regarding its </w:t>
      </w:r>
      <w:r w:rsidRPr="00107B81">
        <w:rPr>
          <w:szCs w:val="26"/>
        </w:rPr>
        <w:t>role</w:t>
      </w:r>
      <w:r w:rsidRPr="00107B81">
        <w:rPr>
          <w:szCs w:val="26"/>
        </w:rPr>
        <w:t xml:space="preserve"> (if any)</w:t>
      </w:r>
      <w:r w:rsidRPr="00107B81">
        <w:rPr>
          <w:szCs w:val="26"/>
        </w:rPr>
        <w:t xml:space="preserve"> in causing the fire.</w:t>
      </w:r>
    </w:p>
    <w:p w14:paraId="12C4413A" w14:textId="77777777" w:rsidR="00447998" w:rsidRPr="00107B81" w:rsidRDefault="00447998" w:rsidP="0004162C">
      <w:pPr>
        <w:ind w:firstLine="720"/>
        <w:rPr>
          <w:szCs w:val="26"/>
        </w:rPr>
      </w:pPr>
      <w:r w:rsidRPr="00107B81">
        <w:rPr>
          <w:szCs w:val="26"/>
        </w:rPr>
        <w:t>Although work product protection does not require the anticipation of litigation (</w:t>
      </w:r>
      <w:r w:rsidRPr="00107B81">
        <w:rPr>
          <w:i/>
          <w:iCs/>
          <w:szCs w:val="26"/>
        </w:rPr>
        <w:t xml:space="preserve">Aetna </w:t>
      </w:r>
      <w:r w:rsidRPr="00107B81">
        <w:rPr>
          <w:i/>
          <w:iCs/>
          <w:szCs w:val="26"/>
        </w:rPr>
        <w:t>Casualty &amp; Surety Co. v. Superior Court</w:t>
      </w:r>
      <w:r w:rsidRPr="00107B81">
        <w:rPr>
          <w:szCs w:val="26"/>
        </w:rPr>
        <w:t xml:space="preserve">, </w:t>
      </w:r>
      <w:r w:rsidRPr="00107B81">
        <w:rPr>
          <w:i/>
          <w:iCs/>
          <w:szCs w:val="26"/>
        </w:rPr>
        <w:t>supra</w:t>
      </w:r>
      <w:r w:rsidRPr="00107B81">
        <w:rPr>
          <w:szCs w:val="26"/>
        </w:rPr>
        <w:t>, 53 Cal.App.3d at pp. 478-479), we further disagree with the trial court that the timing of the investigation (before any litigation had been filed) created the inference that it could not have been related to anticipated litigation.  Given that the Creek Fire occurred in the vicinity of SCE’s electrical distribution lines, it was reasonable for SCE to believe that litigation was likely.  Indeed, SCE received evidence preservation letters from plaintiffs’ couns</w:t>
      </w:r>
      <w:r w:rsidRPr="00107B81">
        <w:rPr>
          <w:szCs w:val="26"/>
        </w:rPr>
        <w:t>el within a week of the fire.</w:t>
      </w:r>
    </w:p>
    <w:p w14:paraId="0E071495" w14:textId="77777777" w:rsidR="00447998" w:rsidRPr="00107B81" w:rsidRDefault="00447998" w:rsidP="0004162C">
      <w:pPr>
        <w:ind w:firstLine="720"/>
        <w:rPr>
          <w:bCs/>
        </w:rPr>
      </w:pPr>
      <w:r w:rsidRPr="00107B81">
        <w:rPr>
          <w:szCs w:val="26"/>
        </w:rPr>
        <w:t>A</w:t>
      </w:r>
      <w:r w:rsidRPr="00107B81">
        <w:rPr>
          <w:szCs w:val="26"/>
        </w:rPr>
        <w:t xml:space="preserve">pplying </w:t>
      </w:r>
      <w:r w:rsidRPr="00107B81">
        <w:rPr>
          <w:szCs w:val="26"/>
        </w:rPr>
        <w:t>work</w:t>
      </w:r>
      <w:r w:rsidRPr="00107B81">
        <w:rPr>
          <w:szCs w:val="26"/>
        </w:rPr>
        <w:t xml:space="preserve"> </w:t>
      </w:r>
      <w:r w:rsidRPr="00107B81">
        <w:rPr>
          <w:szCs w:val="26"/>
        </w:rPr>
        <w:t xml:space="preserve">product </w:t>
      </w:r>
      <w:r w:rsidRPr="00107B81">
        <w:rPr>
          <w:szCs w:val="26"/>
        </w:rPr>
        <w:t xml:space="preserve">protection to investigations such as </w:t>
      </w:r>
      <w:r w:rsidRPr="00107B81">
        <w:rPr>
          <w:szCs w:val="26"/>
        </w:rPr>
        <w:t xml:space="preserve">the one at issue here </w:t>
      </w:r>
      <w:r w:rsidRPr="00107B81">
        <w:rPr>
          <w:szCs w:val="26"/>
        </w:rPr>
        <w:t xml:space="preserve">advances </w:t>
      </w:r>
      <w:r w:rsidRPr="00107B81">
        <w:rPr>
          <w:szCs w:val="26"/>
        </w:rPr>
        <w:t>an important policy behind the doctrine, namely,</w:t>
      </w:r>
      <w:r w:rsidRPr="00107B81">
        <w:rPr>
          <w:szCs w:val="26"/>
        </w:rPr>
        <w:t xml:space="preserve"> </w:t>
      </w:r>
      <w:r w:rsidRPr="00107B81">
        <w:rPr>
          <w:szCs w:val="26"/>
        </w:rPr>
        <w:t xml:space="preserve">to allow attorneys </w:t>
      </w:r>
      <w:r w:rsidRPr="00107B81">
        <w:rPr>
          <w:szCs w:val="26"/>
        </w:rPr>
        <w:t xml:space="preserve">the freedom </w:t>
      </w:r>
      <w:r w:rsidRPr="00107B81">
        <w:rPr>
          <w:szCs w:val="26"/>
        </w:rPr>
        <w:t>“to</w:t>
      </w:r>
      <w:r w:rsidRPr="00107B81">
        <w:rPr>
          <w:rStyle w:val="normaltextrun"/>
          <w:color w:val="000000"/>
          <w:shd w:val="clear" w:color="auto" w:fill="FFFFFF"/>
        </w:rPr>
        <w:t xml:space="preserve"> investigate not only the favorable but the unfavorable aspects</w:t>
      </w:r>
      <w:r w:rsidRPr="00107B81">
        <w:rPr>
          <w:rStyle w:val="normaltextrun"/>
          <w:color w:val="000000"/>
          <w:shd w:val="clear" w:color="auto" w:fill="FFFFFF"/>
        </w:rPr>
        <w:t>” of</w:t>
      </w:r>
      <w:r w:rsidRPr="00107B81">
        <w:rPr>
          <w:rStyle w:val="normaltextrun"/>
          <w:color w:val="000000"/>
          <w:shd w:val="clear" w:color="auto" w:fill="FFFFFF"/>
        </w:rPr>
        <w:t xml:space="preserve"> </w:t>
      </w:r>
      <w:r w:rsidRPr="00107B81">
        <w:rPr>
          <w:rStyle w:val="normaltextrun"/>
          <w:color w:val="000000"/>
          <w:shd w:val="clear" w:color="auto" w:fill="FFFFFF"/>
        </w:rPr>
        <w:t>a client’s situation</w:t>
      </w:r>
      <w:r w:rsidRPr="00107B81">
        <w:rPr>
          <w:rStyle w:val="normaltextrun"/>
          <w:color w:val="000000"/>
          <w:shd w:val="clear" w:color="auto" w:fill="FFFFFF"/>
        </w:rPr>
        <w:t xml:space="preserve">, and in turn will </w:t>
      </w:r>
      <w:r w:rsidRPr="00107B81">
        <w:rPr>
          <w:rStyle w:val="normaltextrun"/>
          <w:color w:val="000000"/>
          <w:shd w:val="clear" w:color="auto" w:fill="FFFFFF"/>
        </w:rPr>
        <w:t xml:space="preserve">promote more </w:t>
      </w:r>
      <w:r w:rsidRPr="00107B81">
        <w:rPr>
          <w:rStyle w:val="normaltextrun"/>
          <w:color w:val="000000"/>
          <w:shd w:val="clear" w:color="auto" w:fill="FFFFFF"/>
        </w:rPr>
        <w:t xml:space="preserve">accurate and </w:t>
      </w:r>
      <w:r w:rsidRPr="00107B81">
        <w:rPr>
          <w:rStyle w:val="normaltextrun"/>
          <w:color w:val="000000"/>
          <w:shd w:val="clear" w:color="auto" w:fill="FFFFFF"/>
        </w:rPr>
        <w:t>effective investigations</w:t>
      </w:r>
      <w:r w:rsidRPr="00107B81">
        <w:rPr>
          <w:rStyle w:val="normaltextrun"/>
          <w:color w:val="000000"/>
          <w:shd w:val="clear" w:color="auto" w:fill="FFFFFF"/>
        </w:rPr>
        <w:t xml:space="preserve">. </w:t>
      </w:r>
      <w:r w:rsidRPr="00107B81">
        <w:rPr>
          <w:rStyle w:val="normaltextrun"/>
          <w:color w:val="000000"/>
          <w:shd w:val="clear" w:color="auto" w:fill="FFFFFF"/>
        </w:rPr>
        <w:t xml:space="preserve"> (§</w:t>
      </w:r>
      <w:r w:rsidRPr="00107B81">
        <w:rPr>
          <w:rStyle w:val="normaltextrun"/>
          <w:color w:val="000000"/>
          <w:shd w:val="clear" w:color="auto" w:fill="FFFFFF"/>
        </w:rPr>
        <w:t> </w:t>
      </w:r>
      <w:r w:rsidRPr="00107B81">
        <w:rPr>
          <w:rStyle w:val="normaltextrun"/>
          <w:color w:val="000000"/>
          <w:shd w:val="clear" w:color="auto" w:fill="FFFFFF"/>
        </w:rPr>
        <w:t xml:space="preserve">2018.020, subd. (a).) </w:t>
      </w:r>
      <w:r w:rsidRPr="00107B81">
        <w:rPr>
          <w:szCs w:val="26"/>
        </w:rPr>
        <w:t xml:space="preserve"> </w:t>
      </w:r>
      <w:r w:rsidRPr="00107B81">
        <w:rPr>
          <w:szCs w:val="26"/>
        </w:rPr>
        <w:t xml:space="preserve">As the court in </w:t>
      </w:r>
      <w:r w:rsidRPr="00107B81">
        <w:rPr>
          <w:i/>
          <w:iCs/>
          <w:szCs w:val="26"/>
        </w:rPr>
        <w:t>In re Kellogg Brown &amp; Root, Inc.</w:t>
      </w:r>
      <w:r w:rsidRPr="00107B81">
        <w:rPr>
          <w:szCs w:val="26"/>
        </w:rPr>
        <w:t xml:space="preserve"> (</w:t>
      </w:r>
      <w:proofErr w:type="spellStart"/>
      <w:r w:rsidRPr="00107B81">
        <w:rPr>
          <w:szCs w:val="26"/>
        </w:rPr>
        <w:t>D.C.Cir</w:t>
      </w:r>
      <w:proofErr w:type="spellEnd"/>
      <w:r w:rsidRPr="00107B81">
        <w:rPr>
          <w:szCs w:val="26"/>
        </w:rPr>
        <w:t xml:space="preserve">. 2014) 756 F.3d 754 </w:t>
      </w:r>
      <w:r w:rsidRPr="00107B81">
        <w:rPr>
          <w:szCs w:val="26"/>
        </w:rPr>
        <w:t xml:space="preserve">noted, </w:t>
      </w:r>
      <w:r w:rsidRPr="00107B81">
        <w:rPr>
          <w:szCs w:val="26"/>
        </w:rPr>
        <w:t xml:space="preserve">businesses in “a </w:t>
      </w:r>
      <w:r w:rsidRPr="00107B81">
        <w:rPr>
          <w:szCs w:val="26"/>
        </w:rPr>
        <w:t>significant swath of American industry” are now “</w:t>
      </w:r>
      <w:r w:rsidRPr="00107B81">
        <w:rPr>
          <w:szCs w:val="26"/>
        </w:rPr>
        <w:t>required by law to maintain compliance programs,</w:t>
      </w:r>
      <w:r w:rsidRPr="00107B81">
        <w:rPr>
          <w:szCs w:val="26"/>
        </w:rPr>
        <w:t>” and</w:t>
      </w:r>
      <w:r w:rsidRPr="00107B81">
        <w:rPr>
          <w:szCs w:val="26"/>
        </w:rPr>
        <w:t xml:space="preserve">, if investigations </w:t>
      </w:r>
      <w:r w:rsidRPr="00107B81">
        <w:rPr>
          <w:szCs w:val="26"/>
        </w:rPr>
        <w:t xml:space="preserve">conducted under such programs </w:t>
      </w:r>
      <w:r w:rsidRPr="00107B81">
        <w:rPr>
          <w:szCs w:val="26"/>
        </w:rPr>
        <w:t>were subject to disclosure in litigation, “</w:t>
      </w:r>
      <w:r w:rsidRPr="00107B81">
        <w:rPr>
          <w:szCs w:val="26"/>
        </w:rPr>
        <w:t xml:space="preserve">businesses would be less likely to disclose facts to their attorneys and to seek legal advice, which would </w:t>
      </w:r>
      <w:r w:rsidRPr="00107B81">
        <w:rPr>
          <w:szCs w:val="26"/>
        </w:rPr>
        <w:t>‘</w:t>
      </w:r>
      <w:r w:rsidRPr="00107B81">
        <w:rPr>
          <w:szCs w:val="26"/>
        </w:rPr>
        <w:t>limit the valuable efforts of corporate counsel to ensure their client</w:t>
      </w:r>
      <w:r w:rsidRPr="00107B81">
        <w:rPr>
          <w:szCs w:val="26"/>
        </w:rPr>
        <w:t>’</w:t>
      </w:r>
      <w:r w:rsidRPr="00107B81">
        <w:rPr>
          <w:szCs w:val="26"/>
        </w:rPr>
        <w:t>s compliance with the law.</w:t>
      </w:r>
      <w:r w:rsidRPr="00107B81">
        <w:rPr>
          <w:szCs w:val="26"/>
        </w:rPr>
        <w:t xml:space="preserve">’ </w:t>
      </w:r>
      <w:r w:rsidRPr="00107B81">
        <w:rPr>
          <w:szCs w:val="26"/>
        </w:rPr>
        <w:t>”</w:t>
      </w:r>
      <w:r w:rsidRPr="00107B81">
        <w:rPr>
          <w:szCs w:val="26"/>
        </w:rPr>
        <w:t xml:space="preserve">  (</w:t>
      </w:r>
      <w:r w:rsidRPr="00107B81">
        <w:rPr>
          <w:i/>
          <w:iCs/>
          <w:szCs w:val="26"/>
        </w:rPr>
        <w:t>Id.</w:t>
      </w:r>
      <w:r w:rsidRPr="00107B81">
        <w:rPr>
          <w:szCs w:val="26"/>
        </w:rPr>
        <w:t xml:space="preserve"> at p. </w:t>
      </w:r>
      <w:r w:rsidRPr="00107B81">
        <w:rPr>
          <w:szCs w:val="26"/>
        </w:rPr>
        <w:t>759.)</w:t>
      </w:r>
    </w:p>
    <w:p w14:paraId="40AD48AF" w14:textId="77777777" w:rsidR="00447998" w:rsidRPr="00107B81" w:rsidRDefault="00447998" w:rsidP="00FE75B3">
      <w:pPr>
        <w:pStyle w:val="ListParagraph"/>
        <w:keepNext/>
        <w:numPr>
          <w:ilvl w:val="0"/>
          <w:numId w:val="20"/>
        </w:numPr>
        <w:spacing w:before="120"/>
        <w:ind w:left="720"/>
        <w:contextualSpacing w:val="0"/>
        <w:rPr>
          <w:b/>
        </w:rPr>
      </w:pPr>
      <w:r w:rsidRPr="00107B81">
        <w:rPr>
          <w:b/>
        </w:rPr>
        <w:lastRenderedPageBreak/>
        <w:t xml:space="preserve">Plaintiffs </w:t>
      </w:r>
      <w:r w:rsidRPr="00107B81">
        <w:rPr>
          <w:b/>
        </w:rPr>
        <w:t xml:space="preserve">Did Not Demonstrate </w:t>
      </w:r>
      <w:r w:rsidRPr="00107B81">
        <w:rPr>
          <w:b/>
        </w:rPr>
        <w:t>Entitle</w:t>
      </w:r>
      <w:r w:rsidRPr="00107B81">
        <w:rPr>
          <w:b/>
        </w:rPr>
        <w:t>ment</w:t>
      </w:r>
      <w:r w:rsidRPr="00107B81">
        <w:rPr>
          <w:b/>
        </w:rPr>
        <w:t xml:space="preserve"> to Production of</w:t>
      </w:r>
      <w:r w:rsidRPr="00107B81">
        <w:rPr>
          <w:b/>
        </w:rPr>
        <w:t xml:space="preserve"> SCE’s</w:t>
      </w:r>
      <w:r w:rsidRPr="00107B81">
        <w:rPr>
          <w:b/>
        </w:rPr>
        <w:t xml:space="preserve"> </w:t>
      </w:r>
      <w:r w:rsidRPr="00107B81">
        <w:rPr>
          <w:b/>
        </w:rPr>
        <w:t xml:space="preserve">Qualified </w:t>
      </w:r>
      <w:r w:rsidRPr="00107B81">
        <w:rPr>
          <w:b/>
        </w:rPr>
        <w:t>Attorney</w:t>
      </w:r>
      <w:r w:rsidRPr="00107B81">
        <w:rPr>
          <w:b/>
        </w:rPr>
        <w:t xml:space="preserve"> Work Product</w:t>
      </w:r>
    </w:p>
    <w:p w14:paraId="52CA3006" w14:textId="77777777" w:rsidR="00447998" w:rsidRPr="00107B81" w:rsidRDefault="00447998" w:rsidP="00D17423">
      <w:pPr>
        <w:ind w:firstLine="720"/>
        <w:rPr>
          <w:rStyle w:val="normaltextrun"/>
        </w:rPr>
      </w:pPr>
      <w:r w:rsidRPr="00107B81">
        <w:rPr>
          <w:rStyle w:val="normaltextrun"/>
          <w:color w:val="000000"/>
          <w:shd w:val="clear" w:color="auto" w:fill="FFFFFF"/>
        </w:rPr>
        <w:t xml:space="preserve">Having concluded the 108 documents are </w:t>
      </w:r>
      <w:r w:rsidRPr="00107B81">
        <w:rPr>
          <w:rStyle w:val="normaltextrun"/>
          <w:color w:val="000000"/>
          <w:shd w:val="clear" w:color="auto" w:fill="FFFFFF"/>
        </w:rPr>
        <w:t xml:space="preserve">at least qualified </w:t>
      </w:r>
      <w:r w:rsidRPr="00107B81">
        <w:rPr>
          <w:rStyle w:val="normaltextrun"/>
          <w:color w:val="000000"/>
          <w:shd w:val="clear" w:color="auto" w:fill="FFFFFF"/>
        </w:rPr>
        <w:t>work product</w:t>
      </w:r>
      <w:r w:rsidRPr="00107B81">
        <w:rPr>
          <w:rStyle w:val="normaltextrun"/>
          <w:color w:val="000000"/>
          <w:shd w:val="clear" w:color="auto" w:fill="FFFFFF"/>
        </w:rPr>
        <w:t xml:space="preserve">, </w:t>
      </w:r>
      <w:r w:rsidRPr="00107B81">
        <w:rPr>
          <w:rStyle w:val="normaltextrun"/>
          <w:color w:val="000000"/>
          <w:shd w:val="clear" w:color="auto" w:fill="FFFFFF"/>
        </w:rPr>
        <w:t>we now turn to whether plaintiffs were nevertheless entitled to their production.</w:t>
      </w:r>
      <w:r w:rsidRPr="00107B81">
        <w:rPr>
          <w:rStyle w:val="normaltextrun"/>
          <w:color w:val="000000"/>
          <w:shd w:val="clear" w:color="auto" w:fill="FFFFFF"/>
        </w:rPr>
        <w:t xml:space="preserve">  </w:t>
      </w:r>
      <w:r w:rsidRPr="00107B81">
        <w:rPr>
          <w:rStyle w:val="normaltextrun"/>
          <w:color w:val="000000"/>
          <w:shd w:val="clear" w:color="auto" w:fill="FFFFFF"/>
        </w:rPr>
        <w:t>Q</w:t>
      </w:r>
      <w:r w:rsidRPr="00107B81">
        <w:rPr>
          <w:rStyle w:val="normaltextrun"/>
          <w:color w:val="000000"/>
          <w:shd w:val="clear" w:color="auto" w:fill="FFFFFF"/>
        </w:rPr>
        <w:t>ualified work</w:t>
      </w:r>
      <w:r w:rsidRPr="00107B81">
        <w:rPr>
          <w:rStyle w:val="normaltextrun"/>
          <w:color w:val="000000"/>
          <w:shd w:val="clear" w:color="auto" w:fill="FFFFFF"/>
        </w:rPr>
        <w:t xml:space="preserve"> </w:t>
      </w:r>
      <w:r w:rsidRPr="00107B81">
        <w:rPr>
          <w:rStyle w:val="normaltextrun"/>
          <w:color w:val="000000"/>
          <w:shd w:val="clear" w:color="auto" w:fill="FFFFFF"/>
        </w:rPr>
        <w:t xml:space="preserve">product </w:t>
      </w:r>
      <w:r w:rsidRPr="00107B81">
        <w:rPr>
          <w:rStyle w:val="normaltextrun"/>
          <w:color w:val="000000"/>
          <w:shd w:val="clear" w:color="auto" w:fill="FFFFFF"/>
        </w:rPr>
        <w:t>is not subject to disclosure “</w:t>
      </w:r>
      <w:r w:rsidRPr="00107B81">
        <w:rPr>
          <w:rStyle w:val="normaltextrun"/>
          <w:color w:val="000000"/>
          <w:shd w:val="clear" w:color="auto" w:fill="FFFFFF"/>
        </w:rPr>
        <w:t xml:space="preserve">unless the court determines that denial of discovery will unfairly prejudice the party seeking discovery in preparing that party’s claim or defense or will result in an injustice.” </w:t>
      </w:r>
      <w:r w:rsidRPr="00107B81">
        <w:rPr>
          <w:rStyle w:val="normaltextrun"/>
          <w:color w:val="000000"/>
          <w:shd w:val="clear" w:color="auto" w:fill="FFFFFF"/>
        </w:rPr>
        <w:t xml:space="preserve"> </w:t>
      </w:r>
      <w:r w:rsidRPr="00107B81">
        <w:rPr>
          <w:rStyle w:val="normaltextrun"/>
          <w:color w:val="000000"/>
          <w:shd w:val="clear" w:color="auto" w:fill="FFFFFF"/>
        </w:rPr>
        <w:t>(§</w:t>
      </w:r>
      <w:r w:rsidRPr="00107B81">
        <w:rPr>
          <w:rStyle w:val="normaltextrun"/>
          <w:color w:val="000000"/>
          <w:shd w:val="clear" w:color="auto" w:fill="FFFFFF"/>
        </w:rPr>
        <w:t> </w:t>
      </w:r>
      <w:r w:rsidRPr="00107B81">
        <w:rPr>
          <w:rStyle w:val="normaltextrun"/>
          <w:color w:val="000000"/>
          <w:shd w:val="clear" w:color="auto" w:fill="FFFFFF"/>
        </w:rPr>
        <w:t>2018.0</w:t>
      </w:r>
      <w:r w:rsidRPr="00107B81">
        <w:rPr>
          <w:rStyle w:val="normaltextrun"/>
          <w:color w:val="000000"/>
          <w:shd w:val="clear" w:color="auto" w:fill="FFFFFF"/>
        </w:rPr>
        <w:t>3</w:t>
      </w:r>
      <w:r w:rsidRPr="00107B81">
        <w:rPr>
          <w:rStyle w:val="normaltextrun"/>
          <w:color w:val="000000"/>
          <w:shd w:val="clear" w:color="auto" w:fill="FFFFFF"/>
        </w:rPr>
        <w:t>0</w:t>
      </w:r>
      <w:r w:rsidRPr="00107B81">
        <w:rPr>
          <w:rStyle w:val="normaltextrun"/>
          <w:color w:val="000000"/>
          <w:shd w:val="clear" w:color="auto" w:fill="FFFFFF"/>
        </w:rPr>
        <w:t xml:space="preserve">, </w:t>
      </w:r>
      <w:r w:rsidRPr="00107B81">
        <w:rPr>
          <w:rStyle w:val="normaltextrun"/>
          <w:color w:val="000000"/>
          <w:shd w:val="clear" w:color="auto" w:fill="FFFFFF"/>
        </w:rPr>
        <w:t>subd. (b)</w:t>
      </w:r>
      <w:r w:rsidRPr="00107B81">
        <w:rPr>
          <w:rStyle w:val="normaltextrun"/>
          <w:color w:val="000000"/>
          <w:shd w:val="clear" w:color="auto" w:fill="FFFFFF"/>
        </w:rPr>
        <w:t>.)</w:t>
      </w:r>
      <w:r w:rsidRPr="00107B81">
        <w:rPr>
          <w:rStyle w:val="normaltextrun"/>
          <w:color w:val="000000"/>
          <w:shd w:val="clear" w:color="auto" w:fill="FFFFFF"/>
        </w:rPr>
        <w:t xml:space="preserve">  “</w:t>
      </w:r>
      <w:r w:rsidRPr="00107B81">
        <w:rPr>
          <w:rStyle w:val="normaltextrun"/>
          <w:color w:val="000000"/>
          <w:shd w:val="clear" w:color="auto" w:fill="FFFFFF"/>
        </w:rPr>
        <w:t>[A] showing that a witness is no longer available or accessible, or some other showing of unfair prejudice or injustice” is necessary to overcome qualified work</w:t>
      </w:r>
      <w:r w:rsidRPr="00107B81">
        <w:rPr>
          <w:rStyle w:val="normaltextrun"/>
          <w:color w:val="000000"/>
          <w:shd w:val="clear" w:color="auto" w:fill="FFFFFF"/>
        </w:rPr>
        <w:t xml:space="preserve"> </w:t>
      </w:r>
      <w:r w:rsidRPr="00107B81">
        <w:rPr>
          <w:rStyle w:val="normaltextrun"/>
          <w:color w:val="000000"/>
          <w:shd w:val="clear" w:color="auto" w:fill="FFFFFF"/>
        </w:rPr>
        <w:t>product protection.  (</w:t>
      </w:r>
      <w:r w:rsidRPr="00107B81">
        <w:rPr>
          <w:rStyle w:val="normaltextrun"/>
          <w:i/>
          <w:iCs/>
          <w:color w:val="000000"/>
          <w:shd w:val="clear" w:color="auto" w:fill="FFFFFF"/>
        </w:rPr>
        <w:t>Coito</w:t>
      </w:r>
      <w:r w:rsidRPr="00107B81">
        <w:rPr>
          <w:rStyle w:val="normaltextrun"/>
          <w:color w:val="000000"/>
          <w:shd w:val="clear" w:color="auto" w:fill="FFFFFF"/>
        </w:rPr>
        <w:t xml:space="preserve">, </w:t>
      </w:r>
      <w:r w:rsidRPr="00107B81">
        <w:rPr>
          <w:rStyle w:val="normaltextrun"/>
          <w:i/>
          <w:iCs/>
          <w:color w:val="000000"/>
          <w:shd w:val="clear" w:color="auto" w:fill="FFFFFF"/>
        </w:rPr>
        <w:t>supra</w:t>
      </w:r>
      <w:r w:rsidRPr="00107B81">
        <w:rPr>
          <w:rStyle w:val="normaltextrun"/>
          <w:color w:val="000000"/>
          <w:shd w:val="clear" w:color="auto" w:fill="FFFFFF"/>
        </w:rPr>
        <w:t>, 54 Cal.4th at p.</w:t>
      </w:r>
      <w:r>
        <w:rPr>
          <w:rStyle w:val="normaltextrun"/>
          <w:color w:val="000000"/>
          <w:shd w:val="clear" w:color="auto" w:fill="FFFFFF"/>
        </w:rPr>
        <w:t> </w:t>
      </w:r>
      <w:r w:rsidRPr="00107B81">
        <w:rPr>
          <w:rStyle w:val="normaltextrun"/>
          <w:color w:val="000000"/>
          <w:shd w:val="clear" w:color="auto" w:fill="FFFFFF"/>
        </w:rPr>
        <w:t>496.)</w:t>
      </w:r>
    </w:p>
    <w:p w14:paraId="31A136D7" w14:textId="77777777" w:rsidR="00447998" w:rsidRPr="00107B81" w:rsidRDefault="00447998" w:rsidP="00E03FD7">
      <w:pPr>
        <w:ind w:firstLine="720"/>
        <w:rPr>
          <w:szCs w:val="26"/>
        </w:rPr>
      </w:pPr>
      <w:r w:rsidRPr="00107B81">
        <w:rPr>
          <w:szCs w:val="26"/>
        </w:rPr>
        <w:t xml:space="preserve">Here, the trial court </w:t>
      </w:r>
      <w:r w:rsidRPr="00107B81">
        <w:rPr>
          <w:szCs w:val="26"/>
        </w:rPr>
        <w:t xml:space="preserve">accepted plaintiffs’ claims that </w:t>
      </w:r>
      <w:r w:rsidRPr="00107B81">
        <w:rPr>
          <w:szCs w:val="26"/>
        </w:rPr>
        <w:t xml:space="preserve">SCE </w:t>
      </w:r>
      <w:r w:rsidRPr="00107B81">
        <w:rPr>
          <w:szCs w:val="26"/>
        </w:rPr>
        <w:t xml:space="preserve">delayed in notifying PUC that there </w:t>
      </w:r>
      <w:r w:rsidRPr="00107B81">
        <w:rPr>
          <w:szCs w:val="26"/>
        </w:rPr>
        <w:t>were</w:t>
      </w:r>
      <w:r w:rsidRPr="00107B81">
        <w:rPr>
          <w:szCs w:val="26"/>
        </w:rPr>
        <w:t xml:space="preserve"> elevated amperage readings </w:t>
      </w:r>
      <w:r w:rsidRPr="00107B81">
        <w:rPr>
          <w:szCs w:val="26"/>
        </w:rPr>
        <w:t>on its Lopez Circuit on the day of the fire, and failed to provide this data to CalFire</w:t>
      </w:r>
      <w:r w:rsidRPr="00107B81">
        <w:rPr>
          <w:szCs w:val="26"/>
        </w:rPr>
        <w:t xml:space="preserve">, all of which led USFS to come </w:t>
      </w:r>
      <w:r w:rsidRPr="00107B81">
        <w:rPr>
          <w:szCs w:val="26"/>
        </w:rPr>
        <w:t xml:space="preserve">to the incorrect conclusion that LADWP transmission lines had caused the fire.  </w:t>
      </w:r>
      <w:r w:rsidRPr="00107B81">
        <w:rPr>
          <w:szCs w:val="26"/>
        </w:rPr>
        <w:t>It found that the documents regarding “circuit irregularities would no doubt give a clear picture as to the causation of the Creek Fire, the scope of liability, and ultimately, as the sequence of events sugge</w:t>
      </w:r>
      <w:r w:rsidRPr="00107B81">
        <w:rPr>
          <w:szCs w:val="26"/>
        </w:rPr>
        <w:t>st, that SCE made a deliberate decision at various stages of its investigation to sidestep unfavorable evidence and/or allow blame to be placed on the LADWP.”</w:t>
      </w:r>
    </w:p>
    <w:p w14:paraId="10C195B9" w14:textId="77777777" w:rsidR="00447998" w:rsidRPr="00107B81" w:rsidRDefault="00447998" w:rsidP="00E03FD7">
      <w:pPr>
        <w:ind w:firstLine="720"/>
        <w:rPr>
          <w:rStyle w:val="normaltextrun"/>
          <w:color w:val="000000"/>
          <w:shd w:val="clear" w:color="auto" w:fill="FFFFFF"/>
        </w:rPr>
      </w:pPr>
      <w:r w:rsidRPr="00107B81">
        <w:rPr>
          <w:szCs w:val="26"/>
        </w:rPr>
        <w:t xml:space="preserve">These findings are insufficient </w:t>
      </w:r>
      <w:r w:rsidRPr="00107B81">
        <w:rPr>
          <w:szCs w:val="26"/>
        </w:rPr>
        <w:t>to justify disclosure of qualified work</w:t>
      </w:r>
      <w:r w:rsidRPr="00107B81">
        <w:rPr>
          <w:szCs w:val="26"/>
        </w:rPr>
        <w:t xml:space="preserve"> </w:t>
      </w:r>
      <w:r w:rsidRPr="00107B81">
        <w:rPr>
          <w:szCs w:val="26"/>
        </w:rPr>
        <w:t>product.</w:t>
      </w:r>
      <w:r w:rsidRPr="00107B81">
        <w:rPr>
          <w:rStyle w:val="normaltextrun"/>
          <w:color w:val="000000"/>
          <w:shd w:val="clear" w:color="auto" w:fill="FFFFFF"/>
        </w:rPr>
        <w:t xml:space="preserve">  </w:t>
      </w:r>
      <w:r w:rsidRPr="00107B81">
        <w:rPr>
          <w:rStyle w:val="normaltextrun"/>
          <w:color w:val="000000"/>
          <w:shd w:val="clear" w:color="auto" w:fill="FFFFFF"/>
        </w:rPr>
        <w:t>S</w:t>
      </w:r>
      <w:r w:rsidRPr="00107B81">
        <w:rPr>
          <w:rStyle w:val="normaltextrun"/>
          <w:color w:val="000000"/>
          <w:shd w:val="clear" w:color="auto" w:fill="FFFFFF"/>
        </w:rPr>
        <w:t xml:space="preserve">ection </w:t>
      </w:r>
      <w:r w:rsidRPr="00107B81">
        <w:rPr>
          <w:rStyle w:val="normaltextrun"/>
          <w:color w:val="000000"/>
          <w:shd w:val="clear" w:color="auto" w:fill="FFFFFF"/>
        </w:rPr>
        <w:t xml:space="preserve">2018.030, subdivision (b) requires a showing </w:t>
      </w:r>
      <w:r w:rsidRPr="00107B81">
        <w:rPr>
          <w:rStyle w:val="normaltextrun"/>
          <w:color w:val="000000"/>
          <w:shd w:val="clear" w:color="auto" w:fill="FFFFFF"/>
        </w:rPr>
        <w:t xml:space="preserve">not just of relevance, but </w:t>
      </w:r>
      <w:r w:rsidRPr="00107B81">
        <w:rPr>
          <w:rStyle w:val="normaltextrun"/>
          <w:color w:val="000000"/>
          <w:shd w:val="clear" w:color="auto" w:fill="FFFFFF"/>
        </w:rPr>
        <w:t>that plaintiffs</w:t>
      </w:r>
      <w:r w:rsidRPr="00107B81">
        <w:rPr>
          <w:rStyle w:val="normaltextrun"/>
          <w:color w:val="000000"/>
          <w:shd w:val="clear" w:color="auto" w:fill="FFFFFF"/>
        </w:rPr>
        <w:t xml:space="preserve"> would be “unfairly prejudice[d] .</w:t>
      </w:r>
      <w:r w:rsidRPr="00107B81">
        <w:rPr>
          <w:rStyle w:val="normaltextrun"/>
          <w:color w:val="000000"/>
          <w:shd w:val="clear" w:color="auto" w:fill="FFFFFF"/>
        </w:rPr>
        <w:t> </w:t>
      </w:r>
      <w:r w:rsidRPr="00107B81">
        <w:rPr>
          <w:rStyle w:val="normaltextrun"/>
          <w:color w:val="000000"/>
          <w:shd w:val="clear" w:color="auto" w:fill="FFFFFF"/>
        </w:rPr>
        <w:t>.</w:t>
      </w:r>
      <w:r w:rsidRPr="00107B81">
        <w:rPr>
          <w:rStyle w:val="normaltextrun"/>
          <w:color w:val="000000"/>
          <w:shd w:val="clear" w:color="auto" w:fill="FFFFFF"/>
        </w:rPr>
        <w:t> </w:t>
      </w:r>
      <w:r w:rsidRPr="00107B81">
        <w:rPr>
          <w:rStyle w:val="normaltextrun"/>
          <w:color w:val="000000"/>
          <w:shd w:val="clear" w:color="auto" w:fill="FFFFFF"/>
        </w:rPr>
        <w:t>. in preparing</w:t>
      </w:r>
      <w:r w:rsidRPr="00107B81">
        <w:rPr>
          <w:rStyle w:val="normaltextrun"/>
          <w:color w:val="000000"/>
          <w:shd w:val="clear" w:color="auto" w:fill="FFFFFF"/>
        </w:rPr>
        <w:t xml:space="preserve">” their case, or that </w:t>
      </w:r>
      <w:r w:rsidRPr="00107B81">
        <w:rPr>
          <w:rStyle w:val="normaltextrun"/>
          <w:color w:val="000000"/>
          <w:shd w:val="clear" w:color="auto" w:fill="FFFFFF"/>
        </w:rPr>
        <w:lastRenderedPageBreak/>
        <w:t xml:space="preserve">nondisclosure would </w:t>
      </w:r>
      <w:r w:rsidRPr="00107B81">
        <w:rPr>
          <w:rStyle w:val="normaltextrun"/>
          <w:color w:val="000000"/>
          <w:shd w:val="clear" w:color="auto" w:fill="FFFFFF"/>
        </w:rPr>
        <w:t>“</w:t>
      </w:r>
      <w:r w:rsidRPr="00107B81">
        <w:rPr>
          <w:rStyle w:val="normaltextrun"/>
          <w:color w:val="000000"/>
          <w:shd w:val="clear" w:color="auto" w:fill="FFFFFF"/>
        </w:rPr>
        <w:t>result in an injustice</w:t>
      </w:r>
      <w:r w:rsidRPr="00107B81">
        <w:rPr>
          <w:rStyle w:val="normaltextrun"/>
          <w:color w:val="000000"/>
          <w:shd w:val="clear" w:color="auto" w:fill="FFFFFF"/>
        </w:rPr>
        <w:t>.”</w:t>
      </w:r>
      <w:r w:rsidRPr="00107B81">
        <w:rPr>
          <w:rStyle w:val="normaltextrun"/>
          <w:color w:val="000000"/>
          <w:shd w:val="clear" w:color="auto" w:fill="FFFFFF"/>
        </w:rPr>
        <w:t xml:space="preserve">  The court made no </w:t>
      </w:r>
      <w:r w:rsidRPr="00107B81">
        <w:rPr>
          <w:rStyle w:val="normaltextrun"/>
          <w:color w:val="000000"/>
          <w:shd w:val="clear" w:color="auto" w:fill="FFFFFF"/>
        </w:rPr>
        <w:t xml:space="preserve">such </w:t>
      </w:r>
      <w:r w:rsidRPr="00107B81">
        <w:rPr>
          <w:rStyle w:val="normaltextrun"/>
          <w:color w:val="000000"/>
          <w:shd w:val="clear" w:color="auto" w:fill="FFFFFF"/>
        </w:rPr>
        <w:t>finding</w:t>
      </w:r>
      <w:r w:rsidRPr="00107B81">
        <w:rPr>
          <w:rStyle w:val="normaltextrun"/>
          <w:color w:val="000000"/>
          <w:shd w:val="clear" w:color="auto" w:fill="FFFFFF"/>
        </w:rPr>
        <w:t>, n</w:t>
      </w:r>
      <w:r w:rsidRPr="00107B81">
        <w:rPr>
          <w:rStyle w:val="normaltextrun"/>
          <w:color w:val="000000"/>
          <w:shd w:val="clear" w:color="auto" w:fill="FFFFFF"/>
        </w:rPr>
        <w:t xml:space="preserve">or did plaintiffs establish they were unfairly prejudiced or that “an injustice” would result if they were denied access to SCE’s work product.  </w:t>
      </w:r>
      <w:r w:rsidRPr="00107B81">
        <w:rPr>
          <w:rStyle w:val="normaltextrun"/>
          <w:color w:val="000000"/>
          <w:shd w:val="clear" w:color="auto" w:fill="FFFFFF"/>
        </w:rPr>
        <w:t xml:space="preserve">Plaintiffs argue </w:t>
      </w:r>
      <w:r w:rsidRPr="00107B81">
        <w:rPr>
          <w:rStyle w:val="normaltextrun"/>
          <w:color w:val="000000"/>
          <w:shd w:val="clear" w:color="auto" w:fill="FFFFFF"/>
        </w:rPr>
        <w:t xml:space="preserve">they “suffered unfair prejudice in the form of their inability to fully rebut SCE’s defense that LADWP was responsible for the Creek Fire.”  </w:t>
      </w:r>
      <w:r w:rsidRPr="00107B81">
        <w:rPr>
          <w:rStyle w:val="normaltextrun"/>
          <w:color w:val="000000"/>
          <w:shd w:val="clear" w:color="auto" w:fill="FFFFFF"/>
        </w:rPr>
        <w:t>This contention fails because plaintiffs concede they have obtained the information SCE allegedly withheld from CalFire and PUC</w:t>
      </w:r>
      <w:r w:rsidRPr="00107B81">
        <w:rPr>
          <w:rStyle w:val="normaltextrun"/>
          <w:color w:val="000000"/>
          <w:shd w:val="clear" w:color="auto" w:fill="FFFFFF"/>
        </w:rPr>
        <w:t xml:space="preserve">, </w:t>
      </w:r>
      <w:r w:rsidRPr="00107B81">
        <w:rPr>
          <w:rStyle w:val="normaltextrun"/>
          <w:color w:val="000000"/>
          <w:shd w:val="clear" w:color="auto" w:fill="FFFFFF"/>
        </w:rPr>
        <w:t xml:space="preserve">namely, data regarding elevated amperages </w:t>
      </w:r>
      <w:r w:rsidRPr="00107B81">
        <w:rPr>
          <w:rStyle w:val="normaltextrun"/>
          <w:color w:val="000000"/>
          <w:shd w:val="clear" w:color="auto" w:fill="FFFFFF"/>
        </w:rPr>
        <w:t xml:space="preserve">and </w:t>
      </w:r>
      <w:r w:rsidRPr="00107B81">
        <w:rPr>
          <w:rStyle w:val="normaltextrun"/>
          <w:color w:val="000000"/>
          <w:shd w:val="clear" w:color="auto" w:fill="FFFFFF"/>
        </w:rPr>
        <w:t xml:space="preserve">alleged </w:t>
      </w:r>
      <w:r w:rsidRPr="00107B81">
        <w:rPr>
          <w:rStyle w:val="normaltextrun"/>
          <w:color w:val="000000"/>
          <w:shd w:val="clear" w:color="auto" w:fill="FFFFFF"/>
        </w:rPr>
        <w:t xml:space="preserve">faults </w:t>
      </w:r>
      <w:r w:rsidRPr="00107B81">
        <w:rPr>
          <w:rStyle w:val="normaltextrun"/>
          <w:color w:val="000000"/>
          <w:shd w:val="clear" w:color="auto" w:fill="FFFFFF"/>
        </w:rPr>
        <w:t>on the Lopez Circuit</w:t>
      </w:r>
      <w:r w:rsidRPr="00107B81">
        <w:rPr>
          <w:rStyle w:val="normaltextrun"/>
          <w:color w:val="000000"/>
          <w:shd w:val="clear" w:color="auto" w:fill="FFFFFF"/>
        </w:rPr>
        <w:t>,</w:t>
      </w:r>
      <w:r>
        <w:rPr>
          <w:rStyle w:val="FootnoteReference"/>
          <w:b/>
          <w:position w:val="8"/>
          <w:sz w:val="20"/>
          <w:shd w:val="clear" w:color="auto" w:fill="FFFFFF"/>
          <w:vertAlign w:val="baseline"/>
        </w:rPr>
        <w:footnoteReference w:id="5"/>
      </w:r>
      <w:r w:rsidRPr="00107B81">
        <w:rPr>
          <w:rStyle w:val="normaltextrun"/>
          <w:color w:val="000000"/>
          <w:shd w:val="clear" w:color="auto" w:fill="FFFFFF"/>
        </w:rPr>
        <w:t xml:space="preserve"> and have not demonstrated any inability to </w:t>
      </w:r>
      <w:r w:rsidRPr="00107B81">
        <w:rPr>
          <w:rStyle w:val="normaltextrun"/>
          <w:color w:val="000000"/>
          <w:shd w:val="clear" w:color="auto" w:fill="FFFFFF"/>
        </w:rPr>
        <w:t>take discovery of fact witnesses on which SCE bases its defense</w:t>
      </w:r>
      <w:r w:rsidRPr="00107B81">
        <w:rPr>
          <w:rStyle w:val="normaltextrun"/>
          <w:color w:val="000000"/>
          <w:shd w:val="clear" w:color="auto" w:fill="FFFFFF"/>
        </w:rPr>
        <w:t xml:space="preserve"> to the subrogation claims.</w:t>
      </w:r>
    </w:p>
    <w:p w14:paraId="6D9995D9" w14:textId="77777777" w:rsidR="00447998" w:rsidRPr="00107B81" w:rsidRDefault="00447998" w:rsidP="00E03FD7">
      <w:pPr>
        <w:ind w:firstLine="720"/>
        <w:rPr>
          <w:color w:val="000000"/>
          <w:shd w:val="clear" w:color="auto" w:fill="FFFFFF"/>
        </w:rPr>
      </w:pPr>
      <w:r w:rsidRPr="00107B81">
        <w:rPr>
          <w:rStyle w:val="normaltextrun"/>
          <w:color w:val="000000"/>
          <w:shd w:val="clear" w:color="auto" w:fill="FFFFFF"/>
        </w:rPr>
        <w:t>We also note t</w:t>
      </w:r>
      <w:r w:rsidRPr="00107B81">
        <w:rPr>
          <w:rStyle w:val="normaltextrun"/>
          <w:color w:val="000000"/>
          <w:shd w:val="clear" w:color="auto" w:fill="FFFFFF"/>
        </w:rPr>
        <w:t xml:space="preserve">he April 18, </w:t>
      </w:r>
      <w:proofErr w:type="gramStart"/>
      <w:r w:rsidRPr="00107B81">
        <w:rPr>
          <w:rStyle w:val="normaltextrun"/>
          <w:color w:val="000000"/>
          <w:shd w:val="clear" w:color="auto" w:fill="FFFFFF"/>
        </w:rPr>
        <w:t>2022</w:t>
      </w:r>
      <w:proofErr w:type="gramEnd"/>
      <w:r w:rsidRPr="00107B81">
        <w:rPr>
          <w:rStyle w:val="normaltextrun"/>
          <w:color w:val="000000"/>
          <w:shd w:val="clear" w:color="auto" w:fill="FFFFFF"/>
        </w:rPr>
        <w:t xml:space="preserve"> </w:t>
      </w:r>
      <w:r w:rsidRPr="00107B81">
        <w:rPr>
          <w:rStyle w:val="normaltextrun"/>
          <w:color w:val="000000"/>
          <w:shd w:val="clear" w:color="auto" w:fill="FFFFFF"/>
        </w:rPr>
        <w:t>m</w:t>
      </w:r>
      <w:r w:rsidRPr="00107B81">
        <w:rPr>
          <w:rStyle w:val="normaltextrun"/>
          <w:color w:val="000000"/>
          <w:shd w:val="clear" w:color="auto" w:fill="FFFFFF"/>
        </w:rPr>
        <w:t xml:space="preserve">aster </w:t>
      </w:r>
      <w:r w:rsidRPr="00107B81">
        <w:rPr>
          <w:rStyle w:val="normaltextrun"/>
          <w:color w:val="000000"/>
          <w:shd w:val="clear" w:color="auto" w:fill="FFFFFF"/>
        </w:rPr>
        <w:t>c</w:t>
      </w:r>
      <w:r w:rsidRPr="00107B81">
        <w:rPr>
          <w:rStyle w:val="normaltextrun"/>
          <w:color w:val="000000"/>
          <w:shd w:val="clear" w:color="auto" w:fill="FFFFFF"/>
        </w:rPr>
        <w:t>omplaint, which plaintiffs joined, alleges that SCE’s failure to disclose the elevated amperages</w:t>
      </w:r>
      <w:r w:rsidRPr="00107B81">
        <w:rPr>
          <w:rStyle w:val="normaltextrun"/>
          <w:color w:val="000000"/>
          <w:shd w:val="clear" w:color="auto" w:fill="FFFFFF"/>
        </w:rPr>
        <w:t xml:space="preserve"> and faults</w:t>
      </w:r>
      <w:r w:rsidRPr="00107B81">
        <w:rPr>
          <w:rStyle w:val="normaltextrun"/>
          <w:color w:val="000000"/>
          <w:shd w:val="clear" w:color="auto" w:fill="FFFFFF"/>
        </w:rPr>
        <w:t xml:space="preserve"> on the Lopez</w:t>
      </w:r>
      <w:r w:rsidRPr="00107B81">
        <w:rPr>
          <w:rStyle w:val="normaltextrun"/>
          <w:color w:val="000000"/>
          <w:shd w:val="clear" w:color="auto" w:fill="FFFFFF"/>
        </w:rPr>
        <w:t xml:space="preserve"> Circuit “</w:t>
      </w:r>
      <w:r w:rsidRPr="00107B81">
        <w:rPr>
          <w:bCs/>
        </w:rPr>
        <w:t xml:space="preserve">likely resulted in fire investigators failing to </w:t>
      </w:r>
      <w:r w:rsidRPr="00107B81">
        <w:rPr>
          <w:bCs/>
        </w:rPr>
        <w:t>search for, document, secure,</w:t>
      </w:r>
      <w:r w:rsidRPr="00107B81">
        <w:rPr>
          <w:bCs/>
        </w:rPr>
        <w:t xml:space="preserve"> </w:t>
      </w:r>
      <w:r w:rsidRPr="00107B81">
        <w:rPr>
          <w:bCs/>
        </w:rPr>
        <w:t>and/or otherwise preserve crucial physical evidence that the Creek Fire was caused by SCE</w:t>
      </w:r>
      <w:r w:rsidRPr="00107B81">
        <w:rPr>
          <w:bCs/>
        </w:rPr>
        <w:t xml:space="preserve"> </w:t>
      </w:r>
      <w:r w:rsidRPr="00107B81">
        <w:rPr>
          <w:bCs/>
        </w:rPr>
        <w:t>infrastructure.</w:t>
      </w:r>
      <w:r w:rsidRPr="00107B81">
        <w:rPr>
          <w:bCs/>
        </w:rPr>
        <w:t>”</w:t>
      </w:r>
      <w:r w:rsidRPr="00107B81">
        <w:rPr>
          <w:bCs/>
        </w:rPr>
        <w:t xml:space="preserve">  </w:t>
      </w:r>
      <w:r w:rsidRPr="00107B81">
        <w:rPr>
          <w:bCs/>
        </w:rPr>
        <w:t>S</w:t>
      </w:r>
      <w:r w:rsidRPr="00107B81">
        <w:rPr>
          <w:bCs/>
        </w:rPr>
        <w:t xml:space="preserve">peculation </w:t>
      </w:r>
      <w:r w:rsidRPr="00107B81">
        <w:rPr>
          <w:bCs/>
        </w:rPr>
        <w:t xml:space="preserve">about </w:t>
      </w:r>
      <w:r w:rsidRPr="00107B81">
        <w:rPr>
          <w:bCs/>
        </w:rPr>
        <w:t xml:space="preserve">why third parties did or did not take certain actions does </w:t>
      </w:r>
      <w:r w:rsidRPr="00107B81">
        <w:rPr>
          <w:bCs/>
        </w:rPr>
        <w:lastRenderedPageBreak/>
        <w:t xml:space="preserve">not </w:t>
      </w:r>
      <w:r w:rsidRPr="00107B81">
        <w:rPr>
          <w:bCs/>
        </w:rPr>
        <w:t xml:space="preserve">establish </w:t>
      </w:r>
      <w:r w:rsidRPr="00107B81">
        <w:rPr>
          <w:bCs/>
        </w:rPr>
        <w:t xml:space="preserve">actual </w:t>
      </w:r>
      <w:r w:rsidRPr="00107B81">
        <w:rPr>
          <w:bCs/>
        </w:rPr>
        <w:t>prejudice</w:t>
      </w:r>
      <w:r w:rsidRPr="00107B81">
        <w:rPr>
          <w:bCs/>
        </w:rPr>
        <w:t xml:space="preserve"> </w:t>
      </w:r>
      <w:r w:rsidRPr="00107B81">
        <w:rPr>
          <w:bCs/>
        </w:rPr>
        <w:t xml:space="preserve">or unfairness </w:t>
      </w:r>
      <w:r w:rsidRPr="00107B81">
        <w:rPr>
          <w:bCs/>
        </w:rPr>
        <w:t xml:space="preserve">compelling production of </w:t>
      </w:r>
      <w:r w:rsidRPr="00107B81">
        <w:rPr>
          <w:bCs/>
        </w:rPr>
        <w:t xml:space="preserve">SCE’s </w:t>
      </w:r>
      <w:r w:rsidRPr="00107B81">
        <w:rPr>
          <w:bCs/>
        </w:rPr>
        <w:t>attorney work product</w:t>
      </w:r>
      <w:r w:rsidRPr="00107B81">
        <w:rPr>
          <w:bCs/>
        </w:rPr>
        <w:t>.</w:t>
      </w:r>
    </w:p>
    <w:p w14:paraId="38169626" w14:textId="77777777" w:rsidR="00447998" w:rsidRPr="00107B81" w:rsidRDefault="00447998" w:rsidP="00E03FD7">
      <w:pPr>
        <w:ind w:firstLine="720"/>
        <w:rPr>
          <w:bCs/>
        </w:rPr>
      </w:pPr>
      <w:r w:rsidRPr="00107B81">
        <w:rPr>
          <w:bCs/>
        </w:rPr>
        <w:t>Finally</w:t>
      </w:r>
      <w:r w:rsidRPr="00107B81">
        <w:rPr>
          <w:bCs/>
        </w:rPr>
        <w:t xml:space="preserve">, </w:t>
      </w:r>
      <w:r w:rsidRPr="00107B81">
        <w:rPr>
          <w:bCs/>
        </w:rPr>
        <w:t xml:space="preserve">plaintiffs argue that SCE’s withholding of </w:t>
      </w:r>
      <w:r w:rsidRPr="00107B81">
        <w:rPr>
          <w:bCs/>
        </w:rPr>
        <w:t xml:space="preserve">the 108 </w:t>
      </w:r>
      <w:r w:rsidRPr="00107B81">
        <w:rPr>
          <w:bCs/>
        </w:rPr>
        <w:t xml:space="preserve">documents </w:t>
      </w:r>
      <w:r w:rsidRPr="00107B81">
        <w:rPr>
          <w:bCs/>
        </w:rPr>
        <w:t>has “adversely impacted</w:t>
      </w:r>
      <w:r w:rsidRPr="00107B81">
        <w:rPr>
          <w:bCs/>
        </w:rPr>
        <w:t xml:space="preserve"> [p]</w:t>
      </w:r>
      <w:proofErr w:type="spellStart"/>
      <w:r w:rsidRPr="00107B81">
        <w:rPr>
          <w:bCs/>
        </w:rPr>
        <w:t>laintiffs</w:t>
      </w:r>
      <w:proofErr w:type="spellEnd"/>
      <w:r w:rsidRPr="00107B81">
        <w:rPr>
          <w:bCs/>
        </w:rPr>
        <w:t>’ discovery into SCE’s failure to meet statutory requirements to timely and accurately respond to official investigations of the origin and cause of the Creek Fire</w:t>
      </w:r>
      <w:r w:rsidRPr="00107B81">
        <w:rPr>
          <w:bCs/>
        </w:rPr>
        <w:t>.</w:t>
      </w:r>
      <w:r w:rsidRPr="00107B81">
        <w:rPr>
          <w:bCs/>
        </w:rPr>
        <w:t xml:space="preserve">” </w:t>
      </w:r>
      <w:r w:rsidRPr="00107B81">
        <w:rPr>
          <w:bCs/>
        </w:rPr>
        <w:t xml:space="preserve"> </w:t>
      </w:r>
      <w:proofErr w:type="gramStart"/>
      <w:r w:rsidRPr="00107B81">
        <w:rPr>
          <w:bCs/>
        </w:rPr>
        <w:t>By definition the</w:t>
      </w:r>
      <w:proofErr w:type="gramEnd"/>
      <w:r w:rsidRPr="00107B81">
        <w:rPr>
          <w:bCs/>
        </w:rPr>
        <w:t xml:space="preserve"> non-production of documents </w:t>
      </w:r>
      <w:r w:rsidRPr="00107B81">
        <w:rPr>
          <w:bCs/>
        </w:rPr>
        <w:t xml:space="preserve">on </w:t>
      </w:r>
      <w:r w:rsidRPr="00107B81">
        <w:rPr>
          <w:bCs/>
        </w:rPr>
        <w:t>work</w:t>
      </w:r>
      <w:r w:rsidRPr="00107B81">
        <w:rPr>
          <w:bCs/>
        </w:rPr>
        <w:t xml:space="preserve"> </w:t>
      </w:r>
      <w:r w:rsidRPr="00107B81">
        <w:rPr>
          <w:bCs/>
        </w:rPr>
        <w:t>product</w:t>
      </w:r>
      <w:r w:rsidRPr="00107B81">
        <w:rPr>
          <w:bCs/>
        </w:rPr>
        <w:t xml:space="preserve"> grounds </w:t>
      </w:r>
      <w:r w:rsidRPr="00107B81">
        <w:rPr>
          <w:bCs/>
        </w:rPr>
        <w:t xml:space="preserve">has some </w:t>
      </w:r>
      <w:r w:rsidRPr="00107B81">
        <w:rPr>
          <w:bCs/>
        </w:rPr>
        <w:t>adverse impact</w:t>
      </w:r>
      <w:r w:rsidRPr="00107B81">
        <w:rPr>
          <w:bCs/>
        </w:rPr>
        <w:t xml:space="preserve"> </w:t>
      </w:r>
      <w:r w:rsidRPr="00107B81">
        <w:rPr>
          <w:bCs/>
        </w:rPr>
        <w:t>on</w:t>
      </w:r>
      <w:r w:rsidRPr="00107B81">
        <w:rPr>
          <w:bCs/>
        </w:rPr>
        <w:t xml:space="preserve"> discovery</w:t>
      </w:r>
      <w:r w:rsidRPr="00107B81">
        <w:rPr>
          <w:bCs/>
        </w:rPr>
        <w:t>; after all, it means the documents are not discoverable</w:t>
      </w:r>
      <w:r w:rsidRPr="00107B81">
        <w:rPr>
          <w:bCs/>
        </w:rPr>
        <w:t xml:space="preserve">. </w:t>
      </w:r>
      <w:r w:rsidRPr="00107B81">
        <w:rPr>
          <w:bCs/>
        </w:rPr>
        <w:t xml:space="preserve"> </w:t>
      </w:r>
      <w:r w:rsidRPr="00107B81">
        <w:rPr>
          <w:bCs/>
        </w:rPr>
        <w:t>(</w:t>
      </w:r>
      <w:r w:rsidRPr="00107B81">
        <w:rPr>
          <w:bCs/>
        </w:rPr>
        <w:t xml:space="preserve">See </w:t>
      </w:r>
      <w:r w:rsidRPr="00107B81">
        <w:rPr>
          <w:bCs/>
          <w:i/>
          <w:iCs/>
        </w:rPr>
        <w:t>Costco</w:t>
      </w:r>
      <w:r w:rsidRPr="00107B81">
        <w:rPr>
          <w:bCs/>
        </w:rPr>
        <w:t xml:space="preserve">, </w:t>
      </w:r>
      <w:r w:rsidRPr="00107B81">
        <w:rPr>
          <w:bCs/>
          <w:i/>
          <w:iCs/>
        </w:rPr>
        <w:t>supra</w:t>
      </w:r>
      <w:r w:rsidRPr="00107B81">
        <w:rPr>
          <w:bCs/>
        </w:rPr>
        <w:t>, 47 Cal.4th at p. 732</w:t>
      </w:r>
      <w:r w:rsidRPr="00107B81">
        <w:rPr>
          <w:bCs/>
        </w:rPr>
        <w:t xml:space="preserve"> [the </w:t>
      </w:r>
      <w:r w:rsidRPr="00107B81">
        <w:rPr>
          <w:bCs/>
        </w:rPr>
        <w:t xml:space="preserve">exercise of privilege </w:t>
      </w:r>
      <w:proofErr w:type="gramStart"/>
      <w:r w:rsidRPr="00107B81">
        <w:rPr>
          <w:bCs/>
        </w:rPr>
        <w:t>“</w:t>
      </w:r>
      <w:r>
        <w:rPr>
          <w:bCs/>
        </w:rPr>
        <w:t> </w:t>
      </w:r>
      <w:r w:rsidRPr="00107B81">
        <w:rPr>
          <w:bCs/>
        </w:rPr>
        <w:t>‘</w:t>
      </w:r>
      <w:proofErr w:type="gramEnd"/>
      <w:r w:rsidRPr="00107B81">
        <w:rPr>
          <w:bCs/>
        </w:rPr>
        <w:t>may occasionally result in the suppression of relevant evidence</w:t>
      </w:r>
      <w:r w:rsidRPr="00107B81">
        <w:rPr>
          <w:bCs/>
        </w:rPr>
        <w:t>’</w:t>
      </w:r>
      <w:r>
        <w:rPr>
          <w:bCs/>
        </w:rPr>
        <w:t> </w:t>
      </w:r>
      <w:r w:rsidRPr="00107B81">
        <w:rPr>
          <w:bCs/>
        </w:rPr>
        <w:t>”]</w:t>
      </w:r>
      <w:r w:rsidRPr="00107B81">
        <w:rPr>
          <w:bCs/>
        </w:rPr>
        <w:t>.</w:t>
      </w:r>
      <w:r w:rsidRPr="00107B81">
        <w:rPr>
          <w:bCs/>
        </w:rPr>
        <w:t>)</w:t>
      </w:r>
      <w:r w:rsidRPr="00107B81">
        <w:rPr>
          <w:bCs/>
        </w:rPr>
        <w:t xml:space="preserve">  </w:t>
      </w:r>
      <w:r w:rsidRPr="00107B81">
        <w:rPr>
          <w:bCs/>
        </w:rPr>
        <w:t>Without more, s</w:t>
      </w:r>
      <w:r w:rsidRPr="00107B81">
        <w:rPr>
          <w:bCs/>
        </w:rPr>
        <w:t>uch an adv</w:t>
      </w:r>
      <w:r w:rsidRPr="00107B81">
        <w:rPr>
          <w:bCs/>
        </w:rPr>
        <w:t xml:space="preserve">erse impact </w:t>
      </w:r>
      <w:r w:rsidRPr="00107B81">
        <w:rPr>
          <w:bCs/>
        </w:rPr>
        <w:t xml:space="preserve">therefore </w:t>
      </w:r>
      <w:r w:rsidRPr="00107B81">
        <w:rPr>
          <w:bCs/>
        </w:rPr>
        <w:t>cannot suffice to show prejudice</w:t>
      </w:r>
      <w:r w:rsidRPr="00107B81">
        <w:rPr>
          <w:bCs/>
        </w:rPr>
        <w:t xml:space="preserve"> or unfairness</w:t>
      </w:r>
      <w:r w:rsidRPr="00107B81">
        <w:rPr>
          <w:bCs/>
        </w:rPr>
        <w:t>, as it occurs whenever privilege applies</w:t>
      </w:r>
      <w:r w:rsidRPr="00107B81">
        <w:rPr>
          <w:bCs/>
        </w:rPr>
        <w:t>.</w:t>
      </w:r>
    </w:p>
    <w:p w14:paraId="558B146F" w14:textId="77777777" w:rsidR="00447998" w:rsidRPr="00107B81" w:rsidRDefault="00447998" w:rsidP="007571EF">
      <w:pPr>
        <w:ind w:firstLine="720"/>
        <w:rPr>
          <w:bCs/>
        </w:rPr>
      </w:pPr>
      <w:r w:rsidRPr="00107B81">
        <w:rPr>
          <w:bCs/>
        </w:rPr>
        <w:t xml:space="preserve">As we </w:t>
      </w:r>
      <w:r w:rsidRPr="00107B81">
        <w:rPr>
          <w:bCs/>
        </w:rPr>
        <w:t xml:space="preserve">conclude the trial court abused its discretion in failing to apply at least </w:t>
      </w:r>
      <w:r w:rsidRPr="00107B81">
        <w:rPr>
          <w:bCs/>
        </w:rPr>
        <w:t>qualified work product protection</w:t>
      </w:r>
      <w:r w:rsidRPr="00107B81">
        <w:rPr>
          <w:bCs/>
        </w:rPr>
        <w:t xml:space="preserve"> to the documents at issue and </w:t>
      </w:r>
      <w:r w:rsidRPr="00107B81">
        <w:rPr>
          <w:bCs/>
        </w:rPr>
        <w:t>ordering the documents to be disclosed</w:t>
      </w:r>
      <w:r w:rsidRPr="00107B81">
        <w:rPr>
          <w:bCs/>
        </w:rPr>
        <w:t xml:space="preserve">, </w:t>
      </w:r>
      <w:r w:rsidRPr="00107B81">
        <w:rPr>
          <w:bCs/>
        </w:rPr>
        <w:t>we do not address</w:t>
      </w:r>
      <w:r w:rsidRPr="00107B81">
        <w:rPr>
          <w:bCs/>
        </w:rPr>
        <w:t xml:space="preserve"> (</w:t>
      </w:r>
      <w:r w:rsidRPr="00107B81">
        <w:rPr>
          <w:bCs/>
        </w:rPr>
        <w:t xml:space="preserve">and express </w:t>
      </w:r>
      <w:r w:rsidRPr="00107B81">
        <w:rPr>
          <w:bCs/>
        </w:rPr>
        <w:t>no opinion on</w:t>
      </w:r>
      <w:r w:rsidRPr="00107B81">
        <w:rPr>
          <w:bCs/>
        </w:rPr>
        <w:t>)</w:t>
      </w:r>
      <w:r w:rsidRPr="00107B81">
        <w:rPr>
          <w:bCs/>
        </w:rPr>
        <w:t xml:space="preserve"> whether the court </w:t>
      </w:r>
      <w:r w:rsidRPr="00107B81">
        <w:rPr>
          <w:bCs/>
        </w:rPr>
        <w:t>erred</w:t>
      </w:r>
      <w:r w:rsidRPr="00107B81">
        <w:rPr>
          <w:bCs/>
        </w:rPr>
        <w:t xml:space="preserve"> in finding the documents were not absolute work product.  In addition, as noted above, we do not express any opinion on whether the court </w:t>
      </w:r>
      <w:r w:rsidRPr="00107B81">
        <w:rPr>
          <w:bCs/>
        </w:rPr>
        <w:t xml:space="preserve">abused its discretion in finding the documents were not protected by the </w:t>
      </w:r>
      <w:r w:rsidRPr="00107B81">
        <w:rPr>
          <w:bCs/>
        </w:rPr>
        <w:t>attorney-client privilege.</w:t>
      </w:r>
    </w:p>
    <w:p w14:paraId="539BBDFD" w14:textId="77777777" w:rsidR="00447998" w:rsidRPr="00107B81" w:rsidRDefault="00447998" w:rsidP="006329A2">
      <w:pPr>
        <w:spacing w:before="120" w:after="120"/>
        <w:jc w:val="center"/>
        <w:rPr>
          <w:b/>
          <w:bCs/>
        </w:rPr>
      </w:pPr>
      <w:r w:rsidRPr="00107B81">
        <w:rPr>
          <w:b/>
          <w:bCs/>
        </w:rPr>
        <w:t>DISPOSITION</w:t>
      </w:r>
    </w:p>
    <w:p w14:paraId="18D480AF" w14:textId="77777777" w:rsidR="00447998" w:rsidRPr="00107B81" w:rsidRDefault="00447998" w:rsidP="00FD2666">
      <w:pPr>
        <w:autoSpaceDE w:val="0"/>
        <w:autoSpaceDN w:val="0"/>
        <w:adjustRightInd w:val="0"/>
        <w:ind w:firstLine="720"/>
      </w:pPr>
      <w:r w:rsidRPr="00107B81">
        <w:t xml:space="preserve">The order to show cause is discharged, and the petition is granted.  </w:t>
      </w:r>
      <w:r w:rsidRPr="00107B81">
        <w:t>Let a</w:t>
      </w:r>
      <w:r w:rsidRPr="00107B81">
        <w:t xml:space="preserve"> preemptory writ of mandate issue</w:t>
      </w:r>
      <w:r w:rsidRPr="00107B81">
        <w:t xml:space="preserve"> directing t</w:t>
      </w:r>
      <w:r w:rsidRPr="00107B81">
        <w:t>he trial court</w:t>
      </w:r>
      <w:r w:rsidRPr="00107B81">
        <w:t xml:space="preserve"> </w:t>
      </w:r>
      <w:r w:rsidRPr="00107B81">
        <w:rPr>
          <w:szCs w:val="26"/>
        </w:rPr>
        <w:t xml:space="preserve">to </w:t>
      </w:r>
      <w:r w:rsidRPr="00107B81">
        <w:rPr>
          <w:rFonts w:cs="CenturySchoolbook"/>
          <w:szCs w:val="26"/>
        </w:rPr>
        <w:t xml:space="preserve">vacate the November 17, </w:t>
      </w:r>
      <w:proofErr w:type="gramStart"/>
      <w:r w:rsidRPr="00107B81">
        <w:rPr>
          <w:rFonts w:cs="CenturySchoolbook"/>
          <w:szCs w:val="26"/>
        </w:rPr>
        <w:t>2023</w:t>
      </w:r>
      <w:proofErr w:type="gramEnd"/>
      <w:r w:rsidRPr="00107B81">
        <w:rPr>
          <w:rFonts w:cs="CenturySchoolbook"/>
          <w:szCs w:val="26"/>
        </w:rPr>
        <w:t xml:space="preserve"> order directing </w:t>
      </w:r>
      <w:r w:rsidRPr="00107B81">
        <w:rPr>
          <w:rFonts w:cs="CenturySchoolbook"/>
          <w:szCs w:val="26"/>
        </w:rPr>
        <w:t xml:space="preserve">SCE </w:t>
      </w:r>
      <w:r w:rsidRPr="00107B81">
        <w:rPr>
          <w:rFonts w:cs="CenturySchoolbook"/>
          <w:szCs w:val="26"/>
        </w:rPr>
        <w:t>to produce records in Los Angeles Superior Court case No.</w:t>
      </w:r>
      <w:r w:rsidRPr="00107B81">
        <w:rPr>
          <w:rFonts w:cs="CenturySchoolbook"/>
          <w:szCs w:val="26"/>
        </w:rPr>
        <w:t> </w:t>
      </w:r>
      <w:r w:rsidRPr="00107B81">
        <w:rPr>
          <w:rFonts w:cs="CenturySchoolbook"/>
          <w:szCs w:val="26"/>
        </w:rPr>
        <w:t xml:space="preserve">21STCV18308, entitled </w:t>
      </w:r>
      <w:r w:rsidRPr="00107B81">
        <w:rPr>
          <w:rFonts w:cs="CenturySchoolbook-Italic"/>
          <w:i/>
          <w:iCs/>
          <w:szCs w:val="26"/>
        </w:rPr>
        <w:t>21st Century Insurance Company et al. v. Southern California Edison Company</w:t>
      </w:r>
      <w:r w:rsidRPr="00107B81">
        <w:rPr>
          <w:rFonts w:cs="CenturySchoolbook"/>
          <w:szCs w:val="26"/>
        </w:rPr>
        <w:t>, and to issue a new and different order denying the request to produce records</w:t>
      </w:r>
      <w:r w:rsidRPr="00107B81">
        <w:rPr>
          <w:rFonts w:cs="CenturySchoolbook"/>
          <w:szCs w:val="26"/>
        </w:rPr>
        <w:t xml:space="preserve"> on the </w:t>
      </w:r>
      <w:r w:rsidRPr="00107B81">
        <w:rPr>
          <w:rFonts w:cs="CenturySchoolbook"/>
          <w:szCs w:val="26"/>
        </w:rPr>
        <w:lastRenderedPageBreak/>
        <w:t>grounds the records are protected attorney work</w:t>
      </w:r>
      <w:r w:rsidRPr="00107B81">
        <w:rPr>
          <w:rFonts w:cs="CenturySchoolbook"/>
          <w:szCs w:val="26"/>
        </w:rPr>
        <w:t xml:space="preserve"> </w:t>
      </w:r>
      <w:r w:rsidRPr="00107B81">
        <w:rPr>
          <w:rFonts w:cs="CenturySchoolbook"/>
          <w:szCs w:val="26"/>
        </w:rPr>
        <w:t>product</w:t>
      </w:r>
      <w:r w:rsidRPr="00107B81">
        <w:rPr>
          <w:rStyle w:val="normaltextrun"/>
          <w:color w:val="000000"/>
          <w:shd w:val="clear" w:color="auto" w:fill="FFFFFF"/>
        </w:rPr>
        <w:t>.</w:t>
      </w:r>
      <w:r w:rsidRPr="00107B81">
        <w:rPr>
          <w:rStyle w:val="normaltextrun"/>
          <w:color w:val="000000"/>
          <w:shd w:val="clear" w:color="auto" w:fill="FFFFFF"/>
        </w:rPr>
        <w:t xml:space="preserve">  SCE is awarded its costs</w:t>
      </w:r>
      <w:r w:rsidRPr="00107B81">
        <w:rPr>
          <w:rStyle w:val="normaltextrun"/>
          <w:color w:val="000000"/>
          <w:shd w:val="clear" w:color="auto" w:fill="FFFFFF"/>
        </w:rPr>
        <w:t xml:space="preserve"> incurred in this writ proceeding.</w:t>
      </w:r>
    </w:p>
    <w:p w14:paraId="2B597106" w14:textId="77777777" w:rsidR="00447998" w:rsidRPr="00107B81" w:rsidRDefault="00447998" w:rsidP="00A420BA">
      <w:pPr>
        <w:spacing w:before="120" w:line="240" w:lineRule="auto"/>
      </w:pPr>
      <w:r w:rsidRPr="00107B81">
        <w:tab/>
        <w:t>CERTIF</w:t>
      </w:r>
      <w:r w:rsidRPr="00107B81">
        <w:t>IED FOR PUBLICATION</w:t>
      </w:r>
    </w:p>
    <w:p w14:paraId="2151B68B" w14:textId="77777777" w:rsidR="00447998" w:rsidRPr="00107B81" w:rsidRDefault="00447998" w:rsidP="000149A5">
      <w:pPr>
        <w:spacing w:line="240" w:lineRule="auto"/>
      </w:pPr>
    </w:p>
    <w:p w14:paraId="56D4B149" w14:textId="77777777" w:rsidR="00447998" w:rsidRPr="00107B81" w:rsidRDefault="00447998" w:rsidP="00351325">
      <w:pPr>
        <w:spacing w:line="240" w:lineRule="auto"/>
      </w:pPr>
    </w:p>
    <w:p w14:paraId="38A21F9A" w14:textId="77777777" w:rsidR="00447998" w:rsidRPr="00107B81" w:rsidRDefault="00447998" w:rsidP="00351325">
      <w:pPr>
        <w:spacing w:line="240" w:lineRule="auto"/>
      </w:pPr>
    </w:p>
    <w:p w14:paraId="3EA327DE" w14:textId="77777777" w:rsidR="00447998" w:rsidRPr="00107B81" w:rsidRDefault="00447998" w:rsidP="00351325">
      <w:pPr>
        <w:spacing w:line="240" w:lineRule="auto"/>
      </w:pPr>
      <w:r w:rsidRPr="00107B81">
        <w:tab/>
      </w:r>
      <w:r w:rsidRPr="00107B81">
        <w:tab/>
      </w:r>
      <w:r w:rsidRPr="00107B81">
        <w:tab/>
      </w:r>
      <w:r w:rsidRPr="00107B81">
        <w:tab/>
      </w:r>
      <w:r w:rsidRPr="00107B81">
        <w:tab/>
      </w:r>
      <w:r w:rsidRPr="00107B81">
        <w:tab/>
      </w:r>
      <w:r w:rsidRPr="00107B81">
        <w:tab/>
      </w:r>
      <w:r w:rsidRPr="00107B81">
        <w:t>WEINGART</w:t>
      </w:r>
      <w:r w:rsidRPr="00107B81">
        <w:t>, J.</w:t>
      </w:r>
    </w:p>
    <w:p w14:paraId="143D5016" w14:textId="77777777" w:rsidR="00447998" w:rsidRPr="00107B81" w:rsidRDefault="00447998" w:rsidP="00351325">
      <w:pPr>
        <w:spacing w:line="240" w:lineRule="auto"/>
      </w:pPr>
    </w:p>
    <w:p w14:paraId="0F3606B4" w14:textId="77777777" w:rsidR="00447998" w:rsidRPr="00107B81" w:rsidRDefault="00447998" w:rsidP="00351325">
      <w:pPr>
        <w:spacing w:line="240" w:lineRule="auto"/>
      </w:pPr>
    </w:p>
    <w:p w14:paraId="26ABEF66" w14:textId="77777777" w:rsidR="00447998" w:rsidRPr="00107B81" w:rsidRDefault="00447998" w:rsidP="00351325">
      <w:pPr>
        <w:spacing w:line="240" w:lineRule="auto"/>
      </w:pPr>
      <w:r w:rsidRPr="00107B81">
        <w:t>We concur:</w:t>
      </w:r>
    </w:p>
    <w:p w14:paraId="2D0BE4E3" w14:textId="77777777" w:rsidR="00447998" w:rsidRPr="00107B81" w:rsidRDefault="00447998" w:rsidP="00351325">
      <w:pPr>
        <w:spacing w:line="240" w:lineRule="auto"/>
      </w:pPr>
    </w:p>
    <w:p w14:paraId="3C58A139" w14:textId="77777777" w:rsidR="00447998" w:rsidRPr="00107B81" w:rsidRDefault="00447998" w:rsidP="00351325">
      <w:pPr>
        <w:pStyle w:val="Header"/>
        <w:tabs>
          <w:tab w:val="clear" w:pos="4680"/>
          <w:tab w:val="clear" w:pos="9360"/>
        </w:tabs>
        <w:spacing w:line="240" w:lineRule="auto"/>
      </w:pPr>
    </w:p>
    <w:p w14:paraId="2F2DC97F" w14:textId="77777777" w:rsidR="00447998" w:rsidRPr="00107B81" w:rsidRDefault="00447998" w:rsidP="00351325">
      <w:pPr>
        <w:spacing w:line="240" w:lineRule="auto"/>
      </w:pPr>
    </w:p>
    <w:p w14:paraId="0A97D30C" w14:textId="77777777" w:rsidR="00447998" w:rsidRPr="00107B81" w:rsidRDefault="00447998" w:rsidP="00351325">
      <w:pPr>
        <w:spacing w:line="240" w:lineRule="auto"/>
      </w:pPr>
    </w:p>
    <w:p w14:paraId="7D8838E4" w14:textId="77777777" w:rsidR="00447998" w:rsidRPr="00107B81" w:rsidRDefault="00447998" w:rsidP="00351325">
      <w:pPr>
        <w:spacing w:line="240" w:lineRule="auto"/>
      </w:pPr>
      <w:r w:rsidRPr="00107B81">
        <w:tab/>
      </w:r>
      <w:r w:rsidRPr="00107B81">
        <w:tab/>
      </w:r>
      <w:r w:rsidRPr="00107B81">
        <w:t>CHANEY</w:t>
      </w:r>
      <w:r w:rsidRPr="00107B81">
        <w:t>, J.</w:t>
      </w:r>
    </w:p>
    <w:p w14:paraId="6DFB723E" w14:textId="77777777" w:rsidR="00447998" w:rsidRPr="00107B81" w:rsidRDefault="00447998" w:rsidP="00351325">
      <w:pPr>
        <w:spacing w:line="240" w:lineRule="auto"/>
      </w:pPr>
    </w:p>
    <w:p w14:paraId="625AB89F" w14:textId="77777777" w:rsidR="00447998" w:rsidRPr="00107B81" w:rsidRDefault="00447998" w:rsidP="00351325">
      <w:pPr>
        <w:spacing w:line="240" w:lineRule="auto"/>
      </w:pPr>
    </w:p>
    <w:p w14:paraId="4D698E97" w14:textId="77777777" w:rsidR="00447998" w:rsidRPr="00107B81" w:rsidRDefault="00447998" w:rsidP="00351325">
      <w:pPr>
        <w:spacing w:line="240" w:lineRule="auto"/>
      </w:pPr>
    </w:p>
    <w:p w14:paraId="65902719" w14:textId="77777777" w:rsidR="00447998" w:rsidRPr="00107B81" w:rsidRDefault="00447998" w:rsidP="00351325">
      <w:pPr>
        <w:spacing w:line="240" w:lineRule="auto"/>
      </w:pPr>
    </w:p>
    <w:p w14:paraId="6638C7AA" w14:textId="77777777" w:rsidR="00447998" w:rsidRDefault="00447998" w:rsidP="00351325">
      <w:pPr>
        <w:spacing w:line="240" w:lineRule="auto"/>
      </w:pPr>
      <w:r w:rsidRPr="00107B81">
        <w:tab/>
      </w:r>
      <w:r w:rsidRPr="00107B81">
        <w:tab/>
      </w:r>
      <w:r w:rsidRPr="00107B81">
        <w:t>BENDIX</w:t>
      </w:r>
      <w:r w:rsidRPr="00107B81">
        <w:t xml:space="preserve">, </w:t>
      </w:r>
      <w:r w:rsidRPr="00107B81">
        <w:t>Acting P.</w:t>
      </w:r>
      <w:r w:rsidRPr="00107B81">
        <w:t xml:space="preserve"> </w:t>
      </w:r>
      <w:r w:rsidRPr="00107B81">
        <w:t>J.</w:t>
      </w:r>
    </w:p>
    <w:sectPr w:rsidR="000303D0" w:rsidSect="000A198D">
      <w:headerReference w:type="default" r:id="rId7"/>
      <w:footerReference w:type="even" r:id="rId8"/>
      <w:footerReference w:type="default" r:id="rId9"/>
      <w:headerReference w:type="first" r:id="rId10"/>
      <w:footerReference w:type="first" r:id="rId11"/>
      <w:pgSz w:w="12240" w:h="15840" w:code="1"/>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C0CF0" w14:textId="77777777" w:rsidR="00447998" w:rsidRDefault="00447998">
      <w:pPr>
        <w:spacing w:line="240" w:lineRule="auto"/>
      </w:pPr>
      <w:r>
        <w:separator/>
      </w:r>
    </w:p>
  </w:endnote>
  <w:endnote w:type="continuationSeparator" w:id="0">
    <w:p w14:paraId="5D8524A6" w14:textId="77777777" w:rsidR="00447998" w:rsidRDefault="00447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enturySchoolbook">
    <w:altName w:val="Cambria"/>
    <w:panose1 w:val="00000000000000000000"/>
    <w:charset w:val="00"/>
    <w:family w:val="swiss"/>
    <w:notTrueType/>
    <w:pitch w:val="default"/>
    <w:sig w:usb0="00000003" w:usb1="00000000" w:usb2="00000000" w:usb3="00000000" w:csb0="00000001" w:csb1="00000000"/>
  </w:font>
  <w:font w:name="CenturySchoolbook-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DF8E7" w14:textId="77777777" w:rsidR="00447998" w:rsidRDefault="00447998" w:rsidP="00906E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6B729A52" w14:textId="77777777" w:rsidR="00447998" w:rsidRDefault="00447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FF8DB" w14:textId="77777777" w:rsidR="00447998" w:rsidRDefault="00447998" w:rsidP="00186EA4">
    <w:pPr>
      <w:pStyle w:val="Footer"/>
      <w:framePr w:wrap="around" w:vAnchor="text" w:hAnchor="margin" w:xAlign="center" w:y="1"/>
      <w:spacing w:line="240" w:lineRule="auto"/>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55AAA6D9" w14:textId="77777777" w:rsidR="00447998" w:rsidRDefault="00447998" w:rsidP="00186EA4">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B5763" w14:textId="77777777" w:rsidR="00447998" w:rsidRDefault="00447998" w:rsidP="00186EA4">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A46D2" w14:textId="77777777" w:rsidR="00447998" w:rsidRDefault="00447998" w:rsidP="00D32D11">
      <w:r>
        <w:separator/>
      </w:r>
    </w:p>
  </w:footnote>
  <w:footnote w:type="continuationSeparator" w:id="0">
    <w:p w14:paraId="2A377204" w14:textId="77777777" w:rsidR="00447998" w:rsidRDefault="00447998" w:rsidP="00D32D11">
      <w:r>
        <w:continuationSeparator/>
      </w:r>
    </w:p>
  </w:footnote>
  <w:footnote w:type="continuationNotice" w:id="1">
    <w:p w14:paraId="103DFDBE" w14:textId="77777777" w:rsidR="00447998" w:rsidRDefault="00447998">
      <w:pPr>
        <w:spacing w:line="240" w:lineRule="auto"/>
      </w:pPr>
    </w:p>
  </w:footnote>
  <w:footnote w:id="2">
    <w:p w14:paraId="65EA5312" w14:textId="77777777" w:rsidR="00447998" w:rsidRPr="009A299C" w:rsidRDefault="00447998" w:rsidP="00F73152">
      <w:pPr>
        <w:pStyle w:val="FootnoteText"/>
        <w:spacing w:after="120" w:line="240" w:lineRule="auto"/>
        <w:ind w:firstLine="720"/>
        <w:rPr>
          <w:sz w:val="26"/>
          <w:szCs w:val="26"/>
        </w:rPr>
      </w:pPr>
      <w:r w:rsidRPr="00F73152">
        <w:rPr>
          <w:rStyle w:val="FootnoteReference"/>
          <w:b/>
          <w:position w:val="8"/>
          <w:szCs w:val="26"/>
          <w:vertAlign w:val="baseline"/>
        </w:rPr>
        <w:footnoteRef/>
      </w:r>
      <w:r w:rsidRPr="009A299C">
        <w:rPr>
          <w:sz w:val="26"/>
          <w:szCs w:val="26"/>
        </w:rPr>
        <w:t xml:space="preserve"> </w:t>
      </w:r>
      <w:r>
        <w:rPr>
          <w:sz w:val="26"/>
          <w:szCs w:val="26"/>
        </w:rPr>
        <w:t xml:space="preserve">According to plaintiffs, this </w:t>
      </w:r>
      <w:r w:rsidRPr="009A299C">
        <w:rPr>
          <w:sz w:val="26"/>
          <w:szCs w:val="26"/>
        </w:rPr>
        <w:t>report was</w:t>
      </w:r>
      <w:r>
        <w:rPr>
          <w:sz w:val="26"/>
          <w:szCs w:val="26"/>
        </w:rPr>
        <w:t xml:space="preserve"> not made public until April 2020</w:t>
      </w:r>
      <w:r w:rsidRPr="009A299C">
        <w:rPr>
          <w:sz w:val="26"/>
          <w:szCs w:val="26"/>
        </w:rPr>
        <w:t>.</w:t>
      </w:r>
      <w:r>
        <w:rPr>
          <w:sz w:val="26"/>
          <w:szCs w:val="26"/>
        </w:rPr>
        <w:t xml:space="preserve">  </w:t>
      </w:r>
      <w:r>
        <w:rPr>
          <w:sz w:val="26"/>
          <w:szCs w:val="26"/>
        </w:rPr>
        <w:t xml:space="preserve">The United States </w:t>
      </w:r>
      <w:r>
        <w:rPr>
          <w:sz w:val="26"/>
          <w:szCs w:val="26"/>
        </w:rPr>
        <w:t>later sued SCE in 2023</w:t>
      </w:r>
      <w:r>
        <w:rPr>
          <w:sz w:val="26"/>
          <w:szCs w:val="26"/>
        </w:rPr>
        <w:t xml:space="preserve"> </w:t>
      </w:r>
      <w:r>
        <w:rPr>
          <w:sz w:val="26"/>
          <w:szCs w:val="26"/>
        </w:rPr>
        <w:t xml:space="preserve">for damage to </w:t>
      </w:r>
      <w:r>
        <w:rPr>
          <w:sz w:val="26"/>
          <w:szCs w:val="26"/>
        </w:rPr>
        <w:t xml:space="preserve">national forest lands, fire suppression costs, and other damages, alleging </w:t>
      </w:r>
      <w:r>
        <w:rPr>
          <w:sz w:val="26"/>
          <w:szCs w:val="26"/>
        </w:rPr>
        <w:t xml:space="preserve">that SCE’s </w:t>
      </w:r>
      <w:r>
        <w:rPr>
          <w:sz w:val="26"/>
          <w:szCs w:val="26"/>
        </w:rPr>
        <w:t>negligence caused the Creek Fire.</w:t>
      </w:r>
    </w:p>
  </w:footnote>
  <w:footnote w:id="3">
    <w:p w14:paraId="6981B699" w14:textId="77777777" w:rsidR="00447998" w:rsidRPr="00614E57" w:rsidRDefault="00447998" w:rsidP="00055F75">
      <w:pPr>
        <w:pStyle w:val="FootnoteText"/>
        <w:spacing w:after="120" w:line="240" w:lineRule="auto"/>
        <w:ind w:firstLine="720"/>
        <w:rPr>
          <w:sz w:val="26"/>
          <w:szCs w:val="26"/>
        </w:rPr>
      </w:pPr>
      <w:r w:rsidRPr="00055F75">
        <w:rPr>
          <w:rStyle w:val="FootnoteReference"/>
          <w:b/>
          <w:position w:val="8"/>
          <w:szCs w:val="26"/>
          <w:vertAlign w:val="baseline"/>
        </w:rPr>
        <w:footnoteRef/>
      </w:r>
      <w:r w:rsidRPr="00614E57">
        <w:rPr>
          <w:sz w:val="26"/>
          <w:szCs w:val="26"/>
        </w:rPr>
        <w:t xml:space="preserve"> Plaintiffs did not verify their response</w:t>
      </w:r>
      <w:r>
        <w:rPr>
          <w:sz w:val="26"/>
          <w:szCs w:val="26"/>
        </w:rPr>
        <w:t xml:space="preserve"> to the writ petition</w:t>
      </w:r>
      <w:r>
        <w:rPr>
          <w:sz w:val="26"/>
          <w:szCs w:val="26"/>
        </w:rPr>
        <w:t xml:space="preserve">, and </w:t>
      </w:r>
      <w:r w:rsidRPr="00344D14">
        <w:rPr>
          <w:sz w:val="26"/>
          <w:szCs w:val="26"/>
        </w:rPr>
        <w:t xml:space="preserve">SCE contends that </w:t>
      </w:r>
      <w:r>
        <w:rPr>
          <w:sz w:val="26"/>
          <w:szCs w:val="26"/>
        </w:rPr>
        <w:t xml:space="preserve">we should therefore strike </w:t>
      </w:r>
      <w:r w:rsidRPr="00344D14">
        <w:rPr>
          <w:sz w:val="26"/>
          <w:szCs w:val="26"/>
        </w:rPr>
        <w:t xml:space="preserve">plaintiffs’ return.  </w:t>
      </w:r>
      <w:r>
        <w:rPr>
          <w:sz w:val="26"/>
          <w:szCs w:val="26"/>
        </w:rPr>
        <w:t xml:space="preserve">Because plaintiffs’ response is not verified, </w:t>
      </w:r>
      <w:r w:rsidRPr="00344D14">
        <w:rPr>
          <w:sz w:val="26"/>
          <w:szCs w:val="26"/>
        </w:rPr>
        <w:t xml:space="preserve">“all well-pleaded and verified allegations of the writ petition are </w:t>
      </w:r>
      <w:r w:rsidRPr="00344D14">
        <w:rPr>
          <w:sz w:val="26"/>
          <w:szCs w:val="26"/>
        </w:rPr>
        <w:t>accepted as true.</w:t>
      </w:r>
      <w:r>
        <w:rPr>
          <w:sz w:val="26"/>
          <w:szCs w:val="26"/>
        </w:rPr>
        <w:t xml:space="preserve"> </w:t>
      </w:r>
      <w:r w:rsidRPr="00344D14">
        <w:rPr>
          <w:sz w:val="26"/>
          <w:szCs w:val="26"/>
        </w:rPr>
        <w:t xml:space="preserve"> [Citations.]”  (</w:t>
      </w:r>
      <w:r w:rsidRPr="00F17BB9">
        <w:rPr>
          <w:i/>
          <w:iCs/>
          <w:sz w:val="26"/>
          <w:szCs w:val="26"/>
        </w:rPr>
        <w:t>Bank of America, N.A. v. Superior Court</w:t>
      </w:r>
      <w:r w:rsidRPr="00344D14">
        <w:rPr>
          <w:sz w:val="26"/>
          <w:szCs w:val="26"/>
        </w:rPr>
        <w:t xml:space="preserve"> (2013) 212 Cal.App.4th 1076, 1084.)  </w:t>
      </w:r>
      <w:r>
        <w:rPr>
          <w:sz w:val="26"/>
          <w:szCs w:val="26"/>
        </w:rPr>
        <w:t xml:space="preserve">However, </w:t>
      </w:r>
      <w:r>
        <w:rPr>
          <w:sz w:val="26"/>
          <w:szCs w:val="26"/>
        </w:rPr>
        <w:t xml:space="preserve">we decline to strike plaintiffs’ response and will address the merits of SCE’s petition.  </w:t>
      </w:r>
      <w:r w:rsidRPr="00344D14">
        <w:rPr>
          <w:sz w:val="26"/>
          <w:szCs w:val="26"/>
        </w:rPr>
        <w:t xml:space="preserve">(See </w:t>
      </w:r>
      <w:r>
        <w:rPr>
          <w:i/>
          <w:iCs/>
          <w:sz w:val="26"/>
          <w:szCs w:val="26"/>
        </w:rPr>
        <w:t xml:space="preserve">County of </w:t>
      </w:r>
      <w:r w:rsidRPr="00741D2C">
        <w:rPr>
          <w:i/>
          <w:iCs/>
          <w:sz w:val="26"/>
          <w:szCs w:val="26"/>
        </w:rPr>
        <w:t>San Bernardino v. Superior Court</w:t>
      </w:r>
      <w:r w:rsidRPr="00344D14">
        <w:rPr>
          <w:sz w:val="26"/>
          <w:szCs w:val="26"/>
        </w:rPr>
        <w:t xml:space="preserve"> (1994) 30 Cal.App.4th 378, 382, fn. 6 [</w:t>
      </w:r>
      <w:r>
        <w:rPr>
          <w:sz w:val="26"/>
          <w:szCs w:val="26"/>
        </w:rPr>
        <w:t>addressing the merits of a writ petition despite the</w:t>
      </w:r>
      <w:r>
        <w:rPr>
          <w:sz w:val="26"/>
          <w:szCs w:val="26"/>
        </w:rPr>
        <w:t xml:space="preserve"> </w:t>
      </w:r>
      <w:proofErr w:type="gramStart"/>
      <w:r w:rsidRPr="00344D14">
        <w:rPr>
          <w:sz w:val="26"/>
          <w:szCs w:val="26"/>
        </w:rPr>
        <w:t>“</w:t>
      </w:r>
      <w:r>
        <w:rPr>
          <w:sz w:val="26"/>
          <w:szCs w:val="26"/>
        </w:rPr>
        <w:t xml:space="preserve"> ‘</w:t>
      </w:r>
      <w:proofErr w:type="gramEnd"/>
      <w:r w:rsidRPr="00344D14">
        <w:rPr>
          <w:sz w:val="26"/>
          <w:szCs w:val="26"/>
        </w:rPr>
        <w:t>responsive brief</w:t>
      </w:r>
      <w:r>
        <w:rPr>
          <w:sz w:val="26"/>
          <w:szCs w:val="26"/>
        </w:rPr>
        <w:t xml:space="preserve">’ </w:t>
      </w:r>
      <w:r w:rsidRPr="00344D14">
        <w:rPr>
          <w:sz w:val="26"/>
          <w:szCs w:val="26"/>
        </w:rPr>
        <w:t>”</w:t>
      </w:r>
      <w:r>
        <w:rPr>
          <w:sz w:val="26"/>
          <w:szCs w:val="26"/>
        </w:rPr>
        <w:t xml:space="preserve"> not </w:t>
      </w:r>
      <w:r>
        <w:rPr>
          <w:sz w:val="26"/>
          <w:szCs w:val="26"/>
        </w:rPr>
        <w:t xml:space="preserve">being </w:t>
      </w:r>
      <w:r>
        <w:rPr>
          <w:sz w:val="26"/>
          <w:szCs w:val="26"/>
        </w:rPr>
        <w:t xml:space="preserve">a </w:t>
      </w:r>
      <w:r>
        <w:rPr>
          <w:sz w:val="26"/>
          <w:szCs w:val="26"/>
        </w:rPr>
        <w:t>proper return</w:t>
      </w:r>
      <w:r>
        <w:rPr>
          <w:sz w:val="26"/>
          <w:szCs w:val="26"/>
        </w:rPr>
        <w:t xml:space="preserve"> to the court’s order to show cause</w:t>
      </w:r>
      <w:r w:rsidRPr="00344D14">
        <w:rPr>
          <w:sz w:val="26"/>
          <w:szCs w:val="26"/>
        </w:rPr>
        <w:t>].)</w:t>
      </w:r>
    </w:p>
  </w:footnote>
  <w:footnote w:id="4">
    <w:p w14:paraId="3046FC5A" w14:textId="77777777" w:rsidR="00447998" w:rsidRPr="00152B45" w:rsidRDefault="00447998" w:rsidP="0089069F">
      <w:pPr>
        <w:pStyle w:val="FootnoteText"/>
        <w:spacing w:after="120" w:line="240" w:lineRule="auto"/>
        <w:ind w:firstLine="720"/>
        <w:rPr>
          <w:sz w:val="26"/>
          <w:szCs w:val="26"/>
        </w:rPr>
      </w:pPr>
      <w:r w:rsidRPr="00107B81">
        <w:rPr>
          <w:rStyle w:val="FootnoteReference"/>
          <w:b/>
          <w:position w:val="8"/>
          <w:szCs w:val="26"/>
          <w:vertAlign w:val="baseline"/>
        </w:rPr>
        <w:footnoteRef/>
      </w:r>
      <w:r w:rsidRPr="00107B81">
        <w:rPr>
          <w:sz w:val="26"/>
          <w:szCs w:val="26"/>
        </w:rPr>
        <w:t xml:space="preserve"> All unspecified statutory references are to the Code of Civil Procedure.</w:t>
      </w:r>
    </w:p>
  </w:footnote>
  <w:footnote w:id="5">
    <w:p w14:paraId="2E4BCA55" w14:textId="77777777" w:rsidR="00447998" w:rsidRPr="00303CD4" w:rsidRDefault="00447998" w:rsidP="00E03FD7">
      <w:pPr>
        <w:pStyle w:val="FootnoteText"/>
        <w:spacing w:after="120" w:line="240" w:lineRule="auto"/>
        <w:ind w:firstLine="720"/>
        <w:rPr>
          <w:sz w:val="26"/>
          <w:szCs w:val="26"/>
        </w:rPr>
      </w:pPr>
      <w:r w:rsidRPr="00E03FD7">
        <w:rPr>
          <w:rStyle w:val="FootnoteReference"/>
          <w:b/>
          <w:position w:val="8"/>
          <w:szCs w:val="26"/>
          <w:vertAlign w:val="baseline"/>
        </w:rPr>
        <w:footnoteRef/>
      </w:r>
      <w:r w:rsidRPr="00303CD4">
        <w:rPr>
          <w:sz w:val="26"/>
          <w:szCs w:val="26"/>
        </w:rPr>
        <w:t xml:space="preserve"> </w:t>
      </w:r>
      <w:r w:rsidRPr="00303CD4">
        <w:rPr>
          <w:bCs/>
          <w:sz w:val="26"/>
          <w:szCs w:val="26"/>
        </w:rPr>
        <w:t xml:space="preserve">The </w:t>
      </w:r>
      <w:r>
        <w:rPr>
          <w:bCs/>
          <w:sz w:val="26"/>
          <w:szCs w:val="26"/>
        </w:rPr>
        <w:t xml:space="preserve">April 18, 2022 </w:t>
      </w:r>
      <w:r>
        <w:rPr>
          <w:bCs/>
          <w:sz w:val="26"/>
          <w:szCs w:val="26"/>
        </w:rPr>
        <w:t>m</w:t>
      </w:r>
      <w:r w:rsidRPr="00303CD4">
        <w:rPr>
          <w:bCs/>
          <w:sz w:val="26"/>
          <w:szCs w:val="26"/>
        </w:rPr>
        <w:t xml:space="preserve">aster </w:t>
      </w:r>
      <w:r>
        <w:rPr>
          <w:bCs/>
          <w:sz w:val="26"/>
          <w:szCs w:val="26"/>
        </w:rPr>
        <w:t>c</w:t>
      </w:r>
      <w:r w:rsidRPr="00303CD4">
        <w:rPr>
          <w:bCs/>
          <w:sz w:val="26"/>
          <w:szCs w:val="26"/>
        </w:rPr>
        <w:t>omplaint</w:t>
      </w:r>
      <w:r>
        <w:rPr>
          <w:bCs/>
          <w:sz w:val="26"/>
          <w:szCs w:val="26"/>
        </w:rPr>
        <w:t>, which plaintiffs adopted,</w:t>
      </w:r>
      <w:r w:rsidRPr="00303CD4">
        <w:rPr>
          <w:bCs/>
          <w:sz w:val="26"/>
          <w:szCs w:val="26"/>
        </w:rPr>
        <w:t xml:space="preserve"> alleges</w:t>
      </w:r>
      <w:r>
        <w:rPr>
          <w:bCs/>
          <w:sz w:val="26"/>
          <w:szCs w:val="26"/>
        </w:rPr>
        <w:t xml:space="preserve"> “</w:t>
      </w:r>
      <w:r w:rsidRPr="00B06C74">
        <w:rPr>
          <w:bCs/>
          <w:sz w:val="26"/>
          <w:szCs w:val="26"/>
        </w:rPr>
        <w:t xml:space="preserve">SCE failed to disclose [to public fire investigators] the data showing that its infrastructure in the vicinity of the origin of the Creek Fire suffered multiple elevated </w:t>
      </w:r>
      <w:r w:rsidRPr="00B06C74">
        <w:rPr>
          <w:bCs/>
          <w:sz w:val="26"/>
          <w:szCs w:val="26"/>
        </w:rPr>
        <w:t>amperage/fault events which caused operation of fuse(s),” and that “</w:t>
      </w:r>
      <w:r>
        <w:rPr>
          <w:bCs/>
          <w:sz w:val="26"/>
          <w:szCs w:val="26"/>
        </w:rPr>
        <w:t>[m]</w:t>
      </w:r>
      <w:r w:rsidRPr="00B06C74">
        <w:rPr>
          <w:bCs/>
          <w:sz w:val="26"/>
          <w:szCs w:val="26"/>
        </w:rPr>
        <w:t xml:space="preserve">ore complete data was subsequently produced to </w:t>
      </w:r>
      <w:r>
        <w:rPr>
          <w:bCs/>
          <w:sz w:val="26"/>
          <w:szCs w:val="26"/>
        </w:rPr>
        <w:t>[s]</w:t>
      </w:r>
      <w:proofErr w:type="spellStart"/>
      <w:r w:rsidRPr="00B06C74">
        <w:rPr>
          <w:bCs/>
          <w:sz w:val="26"/>
          <w:szCs w:val="26"/>
        </w:rPr>
        <w:t>ubrogation</w:t>
      </w:r>
      <w:proofErr w:type="spellEnd"/>
      <w:r w:rsidRPr="00B06C74">
        <w:rPr>
          <w:bCs/>
          <w:sz w:val="26"/>
          <w:szCs w:val="26"/>
        </w:rPr>
        <w:t xml:space="preserve"> </w:t>
      </w:r>
      <w:r>
        <w:rPr>
          <w:bCs/>
          <w:sz w:val="26"/>
          <w:szCs w:val="26"/>
        </w:rPr>
        <w:t>[p]</w:t>
      </w:r>
      <w:proofErr w:type="spellStart"/>
      <w:r w:rsidRPr="00B06C74">
        <w:rPr>
          <w:bCs/>
          <w:sz w:val="26"/>
          <w:szCs w:val="26"/>
        </w:rPr>
        <w:t>laintiffs</w:t>
      </w:r>
      <w:proofErr w:type="spellEnd"/>
      <w:r w:rsidRPr="00B06C74">
        <w:rPr>
          <w:bCs/>
          <w:sz w:val="26"/>
          <w:szCs w:val="26"/>
        </w:rPr>
        <w:t xml:space="preserve"> as part of this litigation</w:t>
      </w:r>
      <w:r>
        <w:rPr>
          <w:bCs/>
          <w:sz w:val="26"/>
          <w:szCs w:val="26"/>
        </w:rPr>
        <w:t> </w:t>
      </w:r>
      <w:r w:rsidRPr="00B06C74">
        <w:rPr>
          <w:bCs/>
          <w:sz w:val="26"/>
          <w:szCs w:val="26"/>
        </w:rPr>
        <w:t>.</w:t>
      </w:r>
      <w:r>
        <w:rPr>
          <w:bCs/>
          <w:sz w:val="26"/>
          <w:szCs w:val="26"/>
        </w:rPr>
        <w:t> </w:t>
      </w:r>
      <w:r w:rsidRPr="00B06C74">
        <w:rPr>
          <w:bCs/>
          <w:sz w:val="26"/>
          <w:szCs w:val="26"/>
        </w:rPr>
        <w:t>.</w:t>
      </w:r>
      <w:r>
        <w:rPr>
          <w:bCs/>
          <w:sz w:val="26"/>
          <w:szCs w:val="26"/>
        </w:rPr>
        <w:t> </w:t>
      </w:r>
      <w:r w:rsidRPr="00B06C74">
        <w:rPr>
          <w:bCs/>
          <w:sz w:val="26"/>
          <w:szCs w:val="26"/>
        </w:rPr>
        <w:t>.</w:t>
      </w:r>
      <w:r>
        <w:rPr>
          <w:bCs/>
          <w:sz w:val="26"/>
          <w:szCs w:val="26"/>
        </w:rPr>
        <w:t> </w:t>
      </w:r>
      <w:r w:rsidRPr="00B06C74">
        <w:rPr>
          <w:bCs/>
          <w:sz w:val="26"/>
          <w:szCs w:val="26"/>
        </w:rPr>
        <w:t xml:space="preserve">.”  </w:t>
      </w:r>
      <w:r>
        <w:rPr>
          <w:bCs/>
          <w:sz w:val="26"/>
          <w:szCs w:val="26"/>
        </w:rPr>
        <w:t>In addition, plaintiffs asserted in their motion to compel that they “</w:t>
      </w:r>
      <w:r w:rsidRPr="00BC58DB">
        <w:rPr>
          <w:sz w:val="26"/>
          <w:szCs w:val="26"/>
        </w:rPr>
        <w:t>forced SCE to produce the fault records that clearly demonstrate SCE</w:t>
      </w:r>
      <w:r>
        <w:rPr>
          <w:sz w:val="26"/>
          <w:szCs w:val="26"/>
        </w:rPr>
        <w:t xml:space="preserve"> </w:t>
      </w:r>
      <w:r w:rsidRPr="00BC58DB">
        <w:rPr>
          <w:sz w:val="26"/>
          <w:szCs w:val="26"/>
        </w:rPr>
        <w:t>equipment started the Creek Fire</w:t>
      </w:r>
      <w:r>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C1405" w14:textId="77777777" w:rsidR="00447998" w:rsidRDefault="00447998" w:rsidP="00186EA4">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8AD9E" w14:textId="77777777" w:rsidR="00447998" w:rsidRDefault="00447998" w:rsidP="00186EA4">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F62B3"/>
    <w:multiLevelType w:val="hybridMultilevel"/>
    <w:tmpl w:val="760418A4"/>
    <w:lvl w:ilvl="0" w:tplc="3D64AAD8">
      <w:start w:val="1"/>
      <w:numFmt w:val="upperLetter"/>
      <w:lvlText w:val="%1."/>
      <w:lvlJc w:val="left"/>
      <w:pPr>
        <w:ind w:left="360" w:hanging="360"/>
      </w:pPr>
      <w:rPr>
        <w:rFonts w:hint="default"/>
      </w:rPr>
    </w:lvl>
    <w:lvl w:ilvl="1" w:tplc="AFE695E0" w:tentative="1">
      <w:start w:val="1"/>
      <w:numFmt w:val="lowerLetter"/>
      <w:lvlText w:val="%2."/>
      <w:lvlJc w:val="left"/>
      <w:pPr>
        <w:ind w:left="2340" w:hanging="360"/>
      </w:pPr>
    </w:lvl>
    <w:lvl w:ilvl="2" w:tplc="5EA42CE2" w:tentative="1">
      <w:start w:val="1"/>
      <w:numFmt w:val="lowerRoman"/>
      <w:lvlText w:val="%3."/>
      <w:lvlJc w:val="right"/>
      <w:pPr>
        <w:ind w:left="3060" w:hanging="180"/>
      </w:pPr>
    </w:lvl>
    <w:lvl w:ilvl="3" w:tplc="1E2848CA" w:tentative="1">
      <w:start w:val="1"/>
      <w:numFmt w:val="decimal"/>
      <w:lvlText w:val="%4."/>
      <w:lvlJc w:val="left"/>
      <w:pPr>
        <w:ind w:left="3780" w:hanging="360"/>
      </w:pPr>
    </w:lvl>
    <w:lvl w:ilvl="4" w:tplc="BC2C83BA" w:tentative="1">
      <w:start w:val="1"/>
      <w:numFmt w:val="lowerLetter"/>
      <w:lvlText w:val="%5."/>
      <w:lvlJc w:val="left"/>
      <w:pPr>
        <w:ind w:left="4500" w:hanging="360"/>
      </w:pPr>
    </w:lvl>
    <w:lvl w:ilvl="5" w:tplc="09F8E6D0" w:tentative="1">
      <w:start w:val="1"/>
      <w:numFmt w:val="lowerRoman"/>
      <w:lvlText w:val="%6."/>
      <w:lvlJc w:val="right"/>
      <w:pPr>
        <w:ind w:left="5220" w:hanging="180"/>
      </w:pPr>
    </w:lvl>
    <w:lvl w:ilvl="6" w:tplc="49DAAF20" w:tentative="1">
      <w:start w:val="1"/>
      <w:numFmt w:val="decimal"/>
      <w:lvlText w:val="%7."/>
      <w:lvlJc w:val="left"/>
      <w:pPr>
        <w:ind w:left="5940" w:hanging="360"/>
      </w:pPr>
    </w:lvl>
    <w:lvl w:ilvl="7" w:tplc="CB3418E8" w:tentative="1">
      <w:start w:val="1"/>
      <w:numFmt w:val="lowerLetter"/>
      <w:lvlText w:val="%8."/>
      <w:lvlJc w:val="left"/>
      <w:pPr>
        <w:ind w:left="6660" w:hanging="360"/>
      </w:pPr>
    </w:lvl>
    <w:lvl w:ilvl="8" w:tplc="CEF0833A" w:tentative="1">
      <w:start w:val="1"/>
      <w:numFmt w:val="lowerRoman"/>
      <w:lvlText w:val="%9."/>
      <w:lvlJc w:val="right"/>
      <w:pPr>
        <w:ind w:left="7380" w:hanging="180"/>
      </w:pPr>
    </w:lvl>
  </w:abstractNum>
  <w:abstractNum w:abstractNumId="1" w15:restartNumberingAfterBreak="0">
    <w:nsid w:val="0F8462F7"/>
    <w:multiLevelType w:val="hybridMultilevel"/>
    <w:tmpl w:val="D91A423A"/>
    <w:lvl w:ilvl="0" w:tplc="C6B462A6">
      <w:start w:val="1"/>
      <w:numFmt w:val="decimal"/>
      <w:lvlText w:val="%1."/>
      <w:lvlJc w:val="left"/>
      <w:pPr>
        <w:ind w:left="1080" w:hanging="360"/>
      </w:pPr>
      <w:rPr>
        <w:rFonts w:hint="default"/>
      </w:rPr>
    </w:lvl>
    <w:lvl w:ilvl="1" w:tplc="FF96CC1E" w:tentative="1">
      <w:start w:val="1"/>
      <w:numFmt w:val="lowerLetter"/>
      <w:lvlText w:val="%2."/>
      <w:lvlJc w:val="left"/>
      <w:pPr>
        <w:ind w:left="1800" w:hanging="360"/>
      </w:pPr>
    </w:lvl>
    <w:lvl w:ilvl="2" w:tplc="0F74209A" w:tentative="1">
      <w:start w:val="1"/>
      <w:numFmt w:val="lowerRoman"/>
      <w:lvlText w:val="%3."/>
      <w:lvlJc w:val="right"/>
      <w:pPr>
        <w:ind w:left="2520" w:hanging="180"/>
      </w:pPr>
    </w:lvl>
    <w:lvl w:ilvl="3" w:tplc="38BC0E84" w:tentative="1">
      <w:start w:val="1"/>
      <w:numFmt w:val="decimal"/>
      <w:lvlText w:val="%4."/>
      <w:lvlJc w:val="left"/>
      <w:pPr>
        <w:ind w:left="3240" w:hanging="360"/>
      </w:pPr>
    </w:lvl>
    <w:lvl w:ilvl="4" w:tplc="4D447F32" w:tentative="1">
      <w:start w:val="1"/>
      <w:numFmt w:val="lowerLetter"/>
      <w:lvlText w:val="%5."/>
      <w:lvlJc w:val="left"/>
      <w:pPr>
        <w:ind w:left="3960" w:hanging="360"/>
      </w:pPr>
    </w:lvl>
    <w:lvl w:ilvl="5" w:tplc="45F65A0E" w:tentative="1">
      <w:start w:val="1"/>
      <w:numFmt w:val="lowerRoman"/>
      <w:lvlText w:val="%6."/>
      <w:lvlJc w:val="right"/>
      <w:pPr>
        <w:ind w:left="4680" w:hanging="180"/>
      </w:pPr>
    </w:lvl>
    <w:lvl w:ilvl="6" w:tplc="29D4044E" w:tentative="1">
      <w:start w:val="1"/>
      <w:numFmt w:val="decimal"/>
      <w:lvlText w:val="%7."/>
      <w:lvlJc w:val="left"/>
      <w:pPr>
        <w:ind w:left="5400" w:hanging="360"/>
      </w:pPr>
    </w:lvl>
    <w:lvl w:ilvl="7" w:tplc="8DEC07DC" w:tentative="1">
      <w:start w:val="1"/>
      <w:numFmt w:val="lowerLetter"/>
      <w:lvlText w:val="%8."/>
      <w:lvlJc w:val="left"/>
      <w:pPr>
        <w:ind w:left="6120" w:hanging="360"/>
      </w:pPr>
    </w:lvl>
    <w:lvl w:ilvl="8" w:tplc="CA5A7802" w:tentative="1">
      <w:start w:val="1"/>
      <w:numFmt w:val="lowerRoman"/>
      <w:lvlText w:val="%9."/>
      <w:lvlJc w:val="right"/>
      <w:pPr>
        <w:ind w:left="6840" w:hanging="180"/>
      </w:pPr>
    </w:lvl>
  </w:abstractNum>
  <w:abstractNum w:abstractNumId="2" w15:restartNumberingAfterBreak="0">
    <w:nsid w:val="111C01E1"/>
    <w:multiLevelType w:val="hybridMultilevel"/>
    <w:tmpl w:val="23E0B56E"/>
    <w:lvl w:ilvl="0" w:tplc="2522DE12">
      <w:start w:val="1"/>
      <w:numFmt w:val="decimal"/>
      <w:pStyle w:val="Heading3"/>
      <w:lvlText w:val="%1."/>
      <w:lvlJc w:val="left"/>
      <w:pPr>
        <w:ind w:left="1440" w:hanging="720"/>
      </w:pPr>
      <w:rPr>
        <w:i w:val="0"/>
        <w:iCs w:val="0"/>
      </w:rPr>
    </w:lvl>
    <w:lvl w:ilvl="1" w:tplc="DF28B45C" w:tentative="1">
      <w:start w:val="1"/>
      <w:numFmt w:val="lowerLetter"/>
      <w:lvlText w:val="%2."/>
      <w:lvlJc w:val="left"/>
      <w:pPr>
        <w:ind w:left="1800" w:hanging="360"/>
      </w:pPr>
    </w:lvl>
    <w:lvl w:ilvl="2" w:tplc="C9289E40" w:tentative="1">
      <w:start w:val="1"/>
      <w:numFmt w:val="lowerRoman"/>
      <w:lvlText w:val="%3."/>
      <w:lvlJc w:val="right"/>
      <w:pPr>
        <w:ind w:left="2520" w:hanging="180"/>
      </w:pPr>
    </w:lvl>
    <w:lvl w:ilvl="3" w:tplc="76947256" w:tentative="1">
      <w:start w:val="1"/>
      <w:numFmt w:val="decimal"/>
      <w:lvlText w:val="%4."/>
      <w:lvlJc w:val="left"/>
      <w:pPr>
        <w:ind w:left="3240" w:hanging="360"/>
      </w:pPr>
    </w:lvl>
    <w:lvl w:ilvl="4" w:tplc="D668D9FE" w:tentative="1">
      <w:start w:val="1"/>
      <w:numFmt w:val="lowerLetter"/>
      <w:lvlText w:val="%5."/>
      <w:lvlJc w:val="left"/>
      <w:pPr>
        <w:ind w:left="3960" w:hanging="360"/>
      </w:pPr>
    </w:lvl>
    <w:lvl w:ilvl="5" w:tplc="90A20614" w:tentative="1">
      <w:start w:val="1"/>
      <w:numFmt w:val="lowerRoman"/>
      <w:lvlText w:val="%6."/>
      <w:lvlJc w:val="right"/>
      <w:pPr>
        <w:ind w:left="4680" w:hanging="180"/>
      </w:pPr>
    </w:lvl>
    <w:lvl w:ilvl="6" w:tplc="A5AC454E" w:tentative="1">
      <w:start w:val="1"/>
      <w:numFmt w:val="decimal"/>
      <w:lvlText w:val="%7."/>
      <w:lvlJc w:val="left"/>
      <w:pPr>
        <w:ind w:left="5400" w:hanging="360"/>
      </w:pPr>
    </w:lvl>
    <w:lvl w:ilvl="7" w:tplc="56BC06B4" w:tentative="1">
      <w:start w:val="1"/>
      <w:numFmt w:val="lowerLetter"/>
      <w:lvlText w:val="%8."/>
      <w:lvlJc w:val="left"/>
      <w:pPr>
        <w:ind w:left="6120" w:hanging="360"/>
      </w:pPr>
    </w:lvl>
    <w:lvl w:ilvl="8" w:tplc="66BEECC4" w:tentative="1">
      <w:start w:val="1"/>
      <w:numFmt w:val="lowerRoman"/>
      <w:lvlText w:val="%9."/>
      <w:lvlJc w:val="right"/>
      <w:pPr>
        <w:ind w:left="6840" w:hanging="180"/>
      </w:pPr>
    </w:lvl>
  </w:abstractNum>
  <w:abstractNum w:abstractNumId="3" w15:restartNumberingAfterBreak="0">
    <w:nsid w:val="115E04E6"/>
    <w:multiLevelType w:val="hybridMultilevel"/>
    <w:tmpl w:val="38625670"/>
    <w:lvl w:ilvl="0" w:tplc="72408B02">
      <w:start w:val="1"/>
      <w:numFmt w:val="upperLetter"/>
      <w:lvlText w:val="%1."/>
      <w:lvlJc w:val="left"/>
      <w:pPr>
        <w:ind w:left="900" w:hanging="720"/>
      </w:pPr>
      <w:rPr>
        <w:rFonts w:hint="default"/>
      </w:rPr>
    </w:lvl>
    <w:lvl w:ilvl="1" w:tplc="3F68C392">
      <w:start w:val="1"/>
      <w:numFmt w:val="lowerLetter"/>
      <w:lvlText w:val="%2."/>
      <w:lvlJc w:val="left"/>
      <w:pPr>
        <w:ind w:left="1440" w:hanging="360"/>
      </w:pPr>
    </w:lvl>
    <w:lvl w:ilvl="2" w:tplc="5F7A1E66">
      <w:start w:val="1"/>
      <w:numFmt w:val="lowerRoman"/>
      <w:lvlText w:val="%3."/>
      <w:lvlJc w:val="right"/>
      <w:pPr>
        <w:ind w:left="2160" w:hanging="180"/>
      </w:pPr>
    </w:lvl>
    <w:lvl w:ilvl="3" w:tplc="7DDA8AC8" w:tentative="1">
      <w:start w:val="1"/>
      <w:numFmt w:val="decimal"/>
      <w:lvlText w:val="%4."/>
      <w:lvlJc w:val="left"/>
      <w:pPr>
        <w:ind w:left="2880" w:hanging="360"/>
      </w:pPr>
    </w:lvl>
    <w:lvl w:ilvl="4" w:tplc="BD62DF8C" w:tentative="1">
      <w:start w:val="1"/>
      <w:numFmt w:val="lowerLetter"/>
      <w:lvlText w:val="%5."/>
      <w:lvlJc w:val="left"/>
      <w:pPr>
        <w:ind w:left="3600" w:hanging="360"/>
      </w:pPr>
    </w:lvl>
    <w:lvl w:ilvl="5" w:tplc="A1AE3CD8" w:tentative="1">
      <w:start w:val="1"/>
      <w:numFmt w:val="lowerRoman"/>
      <w:lvlText w:val="%6."/>
      <w:lvlJc w:val="right"/>
      <w:pPr>
        <w:ind w:left="4320" w:hanging="180"/>
      </w:pPr>
    </w:lvl>
    <w:lvl w:ilvl="6" w:tplc="95CAF1FE" w:tentative="1">
      <w:start w:val="1"/>
      <w:numFmt w:val="decimal"/>
      <w:lvlText w:val="%7."/>
      <w:lvlJc w:val="left"/>
      <w:pPr>
        <w:ind w:left="5040" w:hanging="360"/>
      </w:pPr>
    </w:lvl>
    <w:lvl w:ilvl="7" w:tplc="39BAF438" w:tentative="1">
      <w:start w:val="1"/>
      <w:numFmt w:val="lowerLetter"/>
      <w:lvlText w:val="%8."/>
      <w:lvlJc w:val="left"/>
      <w:pPr>
        <w:ind w:left="5760" w:hanging="360"/>
      </w:pPr>
    </w:lvl>
    <w:lvl w:ilvl="8" w:tplc="A14A409A" w:tentative="1">
      <w:start w:val="1"/>
      <w:numFmt w:val="lowerRoman"/>
      <w:lvlText w:val="%9."/>
      <w:lvlJc w:val="right"/>
      <w:pPr>
        <w:ind w:left="6480" w:hanging="180"/>
      </w:pPr>
    </w:lvl>
  </w:abstractNum>
  <w:abstractNum w:abstractNumId="4" w15:restartNumberingAfterBreak="0">
    <w:nsid w:val="12D34E20"/>
    <w:multiLevelType w:val="hybridMultilevel"/>
    <w:tmpl w:val="0698749A"/>
    <w:lvl w:ilvl="0" w:tplc="305CC270">
      <w:start w:val="2"/>
      <w:numFmt w:val="lowerLetter"/>
      <w:lvlText w:val="%1."/>
      <w:lvlJc w:val="left"/>
      <w:pPr>
        <w:ind w:left="1080" w:hanging="360"/>
      </w:pPr>
      <w:rPr>
        <w:rFonts w:hint="default"/>
      </w:rPr>
    </w:lvl>
    <w:lvl w:ilvl="1" w:tplc="CCB4BD8C" w:tentative="1">
      <w:start w:val="1"/>
      <w:numFmt w:val="lowerLetter"/>
      <w:lvlText w:val="%2."/>
      <w:lvlJc w:val="left"/>
      <w:pPr>
        <w:ind w:left="1800" w:hanging="360"/>
      </w:pPr>
    </w:lvl>
    <w:lvl w:ilvl="2" w:tplc="4D867A10" w:tentative="1">
      <w:start w:val="1"/>
      <w:numFmt w:val="lowerRoman"/>
      <w:lvlText w:val="%3."/>
      <w:lvlJc w:val="right"/>
      <w:pPr>
        <w:ind w:left="2520" w:hanging="180"/>
      </w:pPr>
    </w:lvl>
    <w:lvl w:ilvl="3" w:tplc="1B7CC9E0" w:tentative="1">
      <w:start w:val="1"/>
      <w:numFmt w:val="decimal"/>
      <w:lvlText w:val="%4."/>
      <w:lvlJc w:val="left"/>
      <w:pPr>
        <w:ind w:left="3240" w:hanging="360"/>
      </w:pPr>
    </w:lvl>
    <w:lvl w:ilvl="4" w:tplc="4DA0576C" w:tentative="1">
      <w:start w:val="1"/>
      <w:numFmt w:val="lowerLetter"/>
      <w:lvlText w:val="%5."/>
      <w:lvlJc w:val="left"/>
      <w:pPr>
        <w:ind w:left="3960" w:hanging="360"/>
      </w:pPr>
    </w:lvl>
    <w:lvl w:ilvl="5" w:tplc="3B6898C2" w:tentative="1">
      <w:start w:val="1"/>
      <w:numFmt w:val="lowerRoman"/>
      <w:lvlText w:val="%6."/>
      <w:lvlJc w:val="right"/>
      <w:pPr>
        <w:ind w:left="4680" w:hanging="180"/>
      </w:pPr>
    </w:lvl>
    <w:lvl w:ilvl="6" w:tplc="B08EDEBE" w:tentative="1">
      <w:start w:val="1"/>
      <w:numFmt w:val="decimal"/>
      <w:lvlText w:val="%7."/>
      <w:lvlJc w:val="left"/>
      <w:pPr>
        <w:ind w:left="5400" w:hanging="360"/>
      </w:pPr>
    </w:lvl>
    <w:lvl w:ilvl="7" w:tplc="E39A4990" w:tentative="1">
      <w:start w:val="1"/>
      <w:numFmt w:val="lowerLetter"/>
      <w:lvlText w:val="%8."/>
      <w:lvlJc w:val="left"/>
      <w:pPr>
        <w:ind w:left="6120" w:hanging="360"/>
      </w:pPr>
    </w:lvl>
    <w:lvl w:ilvl="8" w:tplc="7130B2C4" w:tentative="1">
      <w:start w:val="1"/>
      <w:numFmt w:val="lowerRoman"/>
      <w:lvlText w:val="%9."/>
      <w:lvlJc w:val="right"/>
      <w:pPr>
        <w:ind w:left="6840" w:hanging="180"/>
      </w:pPr>
    </w:lvl>
  </w:abstractNum>
  <w:abstractNum w:abstractNumId="5" w15:restartNumberingAfterBreak="0">
    <w:nsid w:val="14355B7F"/>
    <w:multiLevelType w:val="multilevel"/>
    <w:tmpl w:val="B2B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C18F7"/>
    <w:multiLevelType w:val="hybridMultilevel"/>
    <w:tmpl w:val="BE264550"/>
    <w:lvl w:ilvl="0" w:tplc="40C075C8">
      <w:start w:val="1"/>
      <w:numFmt w:val="decimal"/>
      <w:lvlText w:val="%1."/>
      <w:lvlJc w:val="left"/>
      <w:pPr>
        <w:ind w:left="1080" w:hanging="360"/>
      </w:pPr>
      <w:rPr>
        <w:rFonts w:hint="default"/>
        <w:i w:val="0"/>
        <w:iCs w:val="0"/>
      </w:rPr>
    </w:lvl>
    <w:lvl w:ilvl="1" w:tplc="D4C8948A" w:tentative="1">
      <w:start w:val="1"/>
      <w:numFmt w:val="lowerLetter"/>
      <w:lvlText w:val="%2."/>
      <w:lvlJc w:val="left"/>
      <w:pPr>
        <w:ind w:left="1800" w:hanging="360"/>
      </w:pPr>
    </w:lvl>
    <w:lvl w:ilvl="2" w:tplc="0BB0AD72" w:tentative="1">
      <w:start w:val="1"/>
      <w:numFmt w:val="lowerRoman"/>
      <w:lvlText w:val="%3."/>
      <w:lvlJc w:val="right"/>
      <w:pPr>
        <w:ind w:left="2520" w:hanging="180"/>
      </w:pPr>
    </w:lvl>
    <w:lvl w:ilvl="3" w:tplc="85D2325E" w:tentative="1">
      <w:start w:val="1"/>
      <w:numFmt w:val="decimal"/>
      <w:lvlText w:val="%4."/>
      <w:lvlJc w:val="left"/>
      <w:pPr>
        <w:ind w:left="3240" w:hanging="360"/>
      </w:pPr>
    </w:lvl>
    <w:lvl w:ilvl="4" w:tplc="C84826B0" w:tentative="1">
      <w:start w:val="1"/>
      <w:numFmt w:val="lowerLetter"/>
      <w:lvlText w:val="%5."/>
      <w:lvlJc w:val="left"/>
      <w:pPr>
        <w:ind w:left="3960" w:hanging="360"/>
      </w:pPr>
    </w:lvl>
    <w:lvl w:ilvl="5" w:tplc="8604BC2C" w:tentative="1">
      <w:start w:val="1"/>
      <w:numFmt w:val="lowerRoman"/>
      <w:lvlText w:val="%6."/>
      <w:lvlJc w:val="right"/>
      <w:pPr>
        <w:ind w:left="4680" w:hanging="180"/>
      </w:pPr>
    </w:lvl>
    <w:lvl w:ilvl="6" w:tplc="781A0B6C" w:tentative="1">
      <w:start w:val="1"/>
      <w:numFmt w:val="decimal"/>
      <w:lvlText w:val="%7."/>
      <w:lvlJc w:val="left"/>
      <w:pPr>
        <w:ind w:left="5400" w:hanging="360"/>
      </w:pPr>
    </w:lvl>
    <w:lvl w:ilvl="7" w:tplc="6E923E08" w:tentative="1">
      <w:start w:val="1"/>
      <w:numFmt w:val="lowerLetter"/>
      <w:lvlText w:val="%8."/>
      <w:lvlJc w:val="left"/>
      <w:pPr>
        <w:ind w:left="6120" w:hanging="360"/>
      </w:pPr>
    </w:lvl>
    <w:lvl w:ilvl="8" w:tplc="08A4EBCA" w:tentative="1">
      <w:start w:val="1"/>
      <w:numFmt w:val="lowerRoman"/>
      <w:lvlText w:val="%9."/>
      <w:lvlJc w:val="right"/>
      <w:pPr>
        <w:ind w:left="6840" w:hanging="180"/>
      </w:pPr>
    </w:lvl>
  </w:abstractNum>
  <w:abstractNum w:abstractNumId="7" w15:restartNumberingAfterBreak="0">
    <w:nsid w:val="24EA6C34"/>
    <w:multiLevelType w:val="hybridMultilevel"/>
    <w:tmpl w:val="5B54235E"/>
    <w:lvl w:ilvl="0" w:tplc="677A1492">
      <w:start w:val="1"/>
      <w:numFmt w:val="upperRoman"/>
      <w:lvlText w:val="%1."/>
      <w:lvlJc w:val="left"/>
      <w:pPr>
        <w:ind w:left="1080" w:hanging="720"/>
      </w:pPr>
      <w:rPr>
        <w:rFonts w:hint="default"/>
      </w:rPr>
    </w:lvl>
    <w:lvl w:ilvl="1" w:tplc="720A5D26" w:tentative="1">
      <w:start w:val="1"/>
      <w:numFmt w:val="lowerLetter"/>
      <w:lvlText w:val="%2."/>
      <w:lvlJc w:val="left"/>
      <w:pPr>
        <w:ind w:left="1440" w:hanging="360"/>
      </w:pPr>
    </w:lvl>
    <w:lvl w:ilvl="2" w:tplc="F14452FE" w:tentative="1">
      <w:start w:val="1"/>
      <w:numFmt w:val="lowerRoman"/>
      <w:lvlText w:val="%3."/>
      <w:lvlJc w:val="right"/>
      <w:pPr>
        <w:ind w:left="2160" w:hanging="180"/>
      </w:pPr>
    </w:lvl>
    <w:lvl w:ilvl="3" w:tplc="5AF28E78" w:tentative="1">
      <w:start w:val="1"/>
      <w:numFmt w:val="decimal"/>
      <w:lvlText w:val="%4."/>
      <w:lvlJc w:val="left"/>
      <w:pPr>
        <w:ind w:left="2880" w:hanging="360"/>
      </w:pPr>
    </w:lvl>
    <w:lvl w:ilvl="4" w:tplc="02FAACD4" w:tentative="1">
      <w:start w:val="1"/>
      <w:numFmt w:val="lowerLetter"/>
      <w:lvlText w:val="%5."/>
      <w:lvlJc w:val="left"/>
      <w:pPr>
        <w:ind w:left="3600" w:hanging="360"/>
      </w:pPr>
    </w:lvl>
    <w:lvl w:ilvl="5" w:tplc="BF0E0B72" w:tentative="1">
      <w:start w:val="1"/>
      <w:numFmt w:val="lowerRoman"/>
      <w:lvlText w:val="%6."/>
      <w:lvlJc w:val="right"/>
      <w:pPr>
        <w:ind w:left="4320" w:hanging="180"/>
      </w:pPr>
    </w:lvl>
    <w:lvl w:ilvl="6" w:tplc="58B217F0" w:tentative="1">
      <w:start w:val="1"/>
      <w:numFmt w:val="decimal"/>
      <w:lvlText w:val="%7."/>
      <w:lvlJc w:val="left"/>
      <w:pPr>
        <w:ind w:left="5040" w:hanging="360"/>
      </w:pPr>
    </w:lvl>
    <w:lvl w:ilvl="7" w:tplc="961C5A00" w:tentative="1">
      <w:start w:val="1"/>
      <w:numFmt w:val="lowerLetter"/>
      <w:lvlText w:val="%8."/>
      <w:lvlJc w:val="left"/>
      <w:pPr>
        <w:ind w:left="5760" w:hanging="360"/>
      </w:pPr>
    </w:lvl>
    <w:lvl w:ilvl="8" w:tplc="3C644ED4" w:tentative="1">
      <w:start w:val="1"/>
      <w:numFmt w:val="lowerRoman"/>
      <w:lvlText w:val="%9."/>
      <w:lvlJc w:val="right"/>
      <w:pPr>
        <w:ind w:left="6480" w:hanging="180"/>
      </w:pPr>
    </w:lvl>
  </w:abstractNum>
  <w:abstractNum w:abstractNumId="8" w15:restartNumberingAfterBreak="0">
    <w:nsid w:val="404B386A"/>
    <w:multiLevelType w:val="hybridMultilevel"/>
    <w:tmpl w:val="074064DC"/>
    <w:lvl w:ilvl="0" w:tplc="7FA69146">
      <w:start w:val="1"/>
      <w:numFmt w:val="decimal"/>
      <w:lvlText w:val="%1."/>
      <w:lvlJc w:val="left"/>
      <w:pPr>
        <w:ind w:left="1080" w:hanging="360"/>
      </w:pPr>
      <w:rPr>
        <w:rFonts w:hint="default"/>
      </w:rPr>
    </w:lvl>
    <w:lvl w:ilvl="1" w:tplc="A8488356" w:tentative="1">
      <w:start w:val="1"/>
      <w:numFmt w:val="lowerLetter"/>
      <w:lvlText w:val="%2."/>
      <w:lvlJc w:val="left"/>
      <w:pPr>
        <w:ind w:left="1800" w:hanging="360"/>
      </w:pPr>
    </w:lvl>
    <w:lvl w:ilvl="2" w:tplc="1450A9B2" w:tentative="1">
      <w:start w:val="1"/>
      <w:numFmt w:val="lowerRoman"/>
      <w:lvlText w:val="%3."/>
      <w:lvlJc w:val="right"/>
      <w:pPr>
        <w:ind w:left="2520" w:hanging="180"/>
      </w:pPr>
    </w:lvl>
    <w:lvl w:ilvl="3" w:tplc="B2666A78" w:tentative="1">
      <w:start w:val="1"/>
      <w:numFmt w:val="decimal"/>
      <w:lvlText w:val="%4."/>
      <w:lvlJc w:val="left"/>
      <w:pPr>
        <w:ind w:left="3240" w:hanging="360"/>
      </w:pPr>
    </w:lvl>
    <w:lvl w:ilvl="4" w:tplc="DC9E424C" w:tentative="1">
      <w:start w:val="1"/>
      <w:numFmt w:val="lowerLetter"/>
      <w:lvlText w:val="%5."/>
      <w:lvlJc w:val="left"/>
      <w:pPr>
        <w:ind w:left="3960" w:hanging="360"/>
      </w:pPr>
    </w:lvl>
    <w:lvl w:ilvl="5" w:tplc="BB5E7A32" w:tentative="1">
      <w:start w:val="1"/>
      <w:numFmt w:val="lowerRoman"/>
      <w:lvlText w:val="%6."/>
      <w:lvlJc w:val="right"/>
      <w:pPr>
        <w:ind w:left="4680" w:hanging="180"/>
      </w:pPr>
    </w:lvl>
    <w:lvl w:ilvl="6" w:tplc="566610D8" w:tentative="1">
      <w:start w:val="1"/>
      <w:numFmt w:val="decimal"/>
      <w:lvlText w:val="%7."/>
      <w:lvlJc w:val="left"/>
      <w:pPr>
        <w:ind w:left="5400" w:hanging="360"/>
      </w:pPr>
    </w:lvl>
    <w:lvl w:ilvl="7" w:tplc="AD28802C" w:tentative="1">
      <w:start w:val="1"/>
      <w:numFmt w:val="lowerLetter"/>
      <w:lvlText w:val="%8."/>
      <w:lvlJc w:val="left"/>
      <w:pPr>
        <w:ind w:left="6120" w:hanging="360"/>
      </w:pPr>
    </w:lvl>
    <w:lvl w:ilvl="8" w:tplc="B2DC56E0" w:tentative="1">
      <w:start w:val="1"/>
      <w:numFmt w:val="lowerRoman"/>
      <w:lvlText w:val="%9."/>
      <w:lvlJc w:val="right"/>
      <w:pPr>
        <w:ind w:left="6840" w:hanging="180"/>
      </w:pPr>
    </w:lvl>
  </w:abstractNum>
  <w:abstractNum w:abstractNumId="9" w15:restartNumberingAfterBreak="0">
    <w:nsid w:val="41E06047"/>
    <w:multiLevelType w:val="hybridMultilevel"/>
    <w:tmpl w:val="6EA4EE50"/>
    <w:lvl w:ilvl="0" w:tplc="4B602A06">
      <w:start w:val="1"/>
      <w:numFmt w:val="lowerLetter"/>
      <w:pStyle w:val="Heading4"/>
      <w:lvlText w:val="%1."/>
      <w:lvlJc w:val="left"/>
      <w:pPr>
        <w:ind w:left="2520" w:hanging="360"/>
      </w:pPr>
      <w:rPr>
        <w:rFonts w:hint="default"/>
        <w:i w:val="0"/>
        <w:iCs w:val="0"/>
      </w:rPr>
    </w:lvl>
    <w:lvl w:ilvl="1" w:tplc="6ED8CACE" w:tentative="1">
      <w:start w:val="1"/>
      <w:numFmt w:val="lowerLetter"/>
      <w:lvlText w:val="%2."/>
      <w:lvlJc w:val="left"/>
      <w:pPr>
        <w:ind w:left="3240" w:hanging="360"/>
      </w:pPr>
    </w:lvl>
    <w:lvl w:ilvl="2" w:tplc="F80699F6" w:tentative="1">
      <w:start w:val="1"/>
      <w:numFmt w:val="lowerRoman"/>
      <w:lvlText w:val="%3."/>
      <w:lvlJc w:val="right"/>
      <w:pPr>
        <w:ind w:left="3960" w:hanging="180"/>
      </w:pPr>
    </w:lvl>
    <w:lvl w:ilvl="3" w:tplc="FB4E826A" w:tentative="1">
      <w:start w:val="1"/>
      <w:numFmt w:val="decimal"/>
      <w:lvlText w:val="%4."/>
      <w:lvlJc w:val="left"/>
      <w:pPr>
        <w:ind w:left="4680" w:hanging="360"/>
      </w:pPr>
    </w:lvl>
    <w:lvl w:ilvl="4" w:tplc="C08AE5F6" w:tentative="1">
      <w:start w:val="1"/>
      <w:numFmt w:val="lowerLetter"/>
      <w:lvlText w:val="%5."/>
      <w:lvlJc w:val="left"/>
      <w:pPr>
        <w:ind w:left="5400" w:hanging="360"/>
      </w:pPr>
    </w:lvl>
    <w:lvl w:ilvl="5" w:tplc="9D02D482" w:tentative="1">
      <w:start w:val="1"/>
      <w:numFmt w:val="lowerRoman"/>
      <w:lvlText w:val="%6."/>
      <w:lvlJc w:val="right"/>
      <w:pPr>
        <w:ind w:left="6120" w:hanging="180"/>
      </w:pPr>
    </w:lvl>
    <w:lvl w:ilvl="6" w:tplc="2A2E9A2A" w:tentative="1">
      <w:start w:val="1"/>
      <w:numFmt w:val="decimal"/>
      <w:lvlText w:val="%7."/>
      <w:lvlJc w:val="left"/>
      <w:pPr>
        <w:ind w:left="6840" w:hanging="360"/>
      </w:pPr>
    </w:lvl>
    <w:lvl w:ilvl="7" w:tplc="B812265C" w:tentative="1">
      <w:start w:val="1"/>
      <w:numFmt w:val="lowerLetter"/>
      <w:lvlText w:val="%8."/>
      <w:lvlJc w:val="left"/>
      <w:pPr>
        <w:ind w:left="7560" w:hanging="360"/>
      </w:pPr>
    </w:lvl>
    <w:lvl w:ilvl="8" w:tplc="E6201DAE" w:tentative="1">
      <w:start w:val="1"/>
      <w:numFmt w:val="lowerRoman"/>
      <w:lvlText w:val="%9."/>
      <w:lvlJc w:val="right"/>
      <w:pPr>
        <w:ind w:left="8280" w:hanging="180"/>
      </w:pPr>
    </w:lvl>
  </w:abstractNum>
  <w:abstractNum w:abstractNumId="10" w15:restartNumberingAfterBreak="0">
    <w:nsid w:val="4228470B"/>
    <w:multiLevelType w:val="hybridMultilevel"/>
    <w:tmpl w:val="155E2558"/>
    <w:lvl w:ilvl="0" w:tplc="F1E47E0C">
      <w:start w:val="1"/>
      <w:numFmt w:val="upperLetter"/>
      <w:pStyle w:val="Heading2"/>
      <w:lvlText w:val="%1."/>
      <w:lvlJc w:val="left"/>
      <w:pPr>
        <w:ind w:left="1080" w:hanging="360"/>
      </w:pPr>
      <w:rPr>
        <w:rFonts w:hint="default"/>
      </w:rPr>
    </w:lvl>
    <w:lvl w:ilvl="1" w:tplc="1BF4BFE0" w:tentative="1">
      <w:start w:val="1"/>
      <w:numFmt w:val="lowerLetter"/>
      <w:lvlText w:val="%2."/>
      <w:lvlJc w:val="left"/>
      <w:pPr>
        <w:ind w:left="1800" w:hanging="360"/>
      </w:pPr>
    </w:lvl>
    <w:lvl w:ilvl="2" w:tplc="AD2014BA" w:tentative="1">
      <w:start w:val="1"/>
      <w:numFmt w:val="lowerRoman"/>
      <w:lvlText w:val="%3."/>
      <w:lvlJc w:val="right"/>
      <w:pPr>
        <w:ind w:left="2520" w:hanging="180"/>
      </w:pPr>
    </w:lvl>
    <w:lvl w:ilvl="3" w:tplc="A57E683A" w:tentative="1">
      <w:start w:val="1"/>
      <w:numFmt w:val="decimal"/>
      <w:lvlText w:val="%4."/>
      <w:lvlJc w:val="left"/>
      <w:pPr>
        <w:ind w:left="3240" w:hanging="360"/>
      </w:pPr>
    </w:lvl>
    <w:lvl w:ilvl="4" w:tplc="F6C44808" w:tentative="1">
      <w:start w:val="1"/>
      <w:numFmt w:val="lowerLetter"/>
      <w:lvlText w:val="%5."/>
      <w:lvlJc w:val="left"/>
      <w:pPr>
        <w:ind w:left="3960" w:hanging="360"/>
      </w:pPr>
    </w:lvl>
    <w:lvl w:ilvl="5" w:tplc="C59CA544" w:tentative="1">
      <w:start w:val="1"/>
      <w:numFmt w:val="lowerRoman"/>
      <w:lvlText w:val="%6."/>
      <w:lvlJc w:val="right"/>
      <w:pPr>
        <w:ind w:left="4680" w:hanging="180"/>
      </w:pPr>
    </w:lvl>
    <w:lvl w:ilvl="6" w:tplc="B10CA15A" w:tentative="1">
      <w:start w:val="1"/>
      <w:numFmt w:val="decimal"/>
      <w:lvlText w:val="%7."/>
      <w:lvlJc w:val="left"/>
      <w:pPr>
        <w:ind w:left="5400" w:hanging="360"/>
      </w:pPr>
    </w:lvl>
    <w:lvl w:ilvl="7" w:tplc="7AAEE1EA" w:tentative="1">
      <w:start w:val="1"/>
      <w:numFmt w:val="lowerLetter"/>
      <w:lvlText w:val="%8."/>
      <w:lvlJc w:val="left"/>
      <w:pPr>
        <w:ind w:left="6120" w:hanging="360"/>
      </w:pPr>
    </w:lvl>
    <w:lvl w:ilvl="8" w:tplc="6C660D68" w:tentative="1">
      <w:start w:val="1"/>
      <w:numFmt w:val="lowerRoman"/>
      <w:lvlText w:val="%9."/>
      <w:lvlJc w:val="right"/>
      <w:pPr>
        <w:ind w:left="6840" w:hanging="180"/>
      </w:pPr>
    </w:lvl>
  </w:abstractNum>
  <w:abstractNum w:abstractNumId="11" w15:restartNumberingAfterBreak="0">
    <w:nsid w:val="46032EB2"/>
    <w:multiLevelType w:val="hybridMultilevel"/>
    <w:tmpl w:val="A8FAF602"/>
    <w:lvl w:ilvl="0" w:tplc="0660F7D2">
      <w:start w:val="1"/>
      <w:numFmt w:val="decimal"/>
      <w:lvlText w:val="%1."/>
      <w:lvlJc w:val="left"/>
      <w:pPr>
        <w:ind w:left="1080" w:hanging="360"/>
      </w:pPr>
      <w:rPr>
        <w:rFonts w:hint="default"/>
      </w:rPr>
    </w:lvl>
    <w:lvl w:ilvl="1" w:tplc="CF2A09F0" w:tentative="1">
      <w:start w:val="1"/>
      <w:numFmt w:val="lowerLetter"/>
      <w:lvlText w:val="%2."/>
      <w:lvlJc w:val="left"/>
      <w:pPr>
        <w:ind w:left="1800" w:hanging="360"/>
      </w:pPr>
    </w:lvl>
    <w:lvl w:ilvl="2" w:tplc="8C90171E" w:tentative="1">
      <w:start w:val="1"/>
      <w:numFmt w:val="lowerRoman"/>
      <w:lvlText w:val="%3."/>
      <w:lvlJc w:val="right"/>
      <w:pPr>
        <w:ind w:left="2520" w:hanging="180"/>
      </w:pPr>
    </w:lvl>
    <w:lvl w:ilvl="3" w:tplc="1DD4C4CE" w:tentative="1">
      <w:start w:val="1"/>
      <w:numFmt w:val="decimal"/>
      <w:lvlText w:val="%4."/>
      <w:lvlJc w:val="left"/>
      <w:pPr>
        <w:ind w:left="3240" w:hanging="360"/>
      </w:pPr>
    </w:lvl>
    <w:lvl w:ilvl="4" w:tplc="BD9C9F6E" w:tentative="1">
      <w:start w:val="1"/>
      <w:numFmt w:val="lowerLetter"/>
      <w:lvlText w:val="%5."/>
      <w:lvlJc w:val="left"/>
      <w:pPr>
        <w:ind w:left="3960" w:hanging="360"/>
      </w:pPr>
    </w:lvl>
    <w:lvl w:ilvl="5" w:tplc="EDA680FE" w:tentative="1">
      <w:start w:val="1"/>
      <w:numFmt w:val="lowerRoman"/>
      <w:lvlText w:val="%6."/>
      <w:lvlJc w:val="right"/>
      <w:pPr>
        <w:ind w:left="4680" w:hanging="180"/>
      </w:pPr>
    </w:lvl>
    <w:lvl w:ilvl="6" w:tplc="0C8EFD60" w:tentative="1">
      <w:start w:val="1"/>
      <w:numFmt w:val="decimal"/>
      <w:lvlText w:val="%7."/>
      <w:lvlJc w:val="left"/>
      <w:pPr>
        <w:ind w:left="5400" w:hanging="360"/>
      </w:pPr>
    </w:lvl>
    <w:lvl w:ilvl="7" w:tplc="03F0682A" w:tentative="1">
      <w:start w:val="1"/>
      <w:numFmt w:val="lowerLetter"/>
      <w:lvlText w:val="%8."/>
      <w:lvlJc w:val="left"/>
      <w:pPr>
        <w:ind w:left="6120" w:hanging="360"/>
      </w:pPr>
    </w:lvl>
    <w:lvl w:ilvl="8" w:tplc="9F96A5A8" w:tentative="1">
      <w:start w:val="1"/>
      <w:numFmt w:val="lowerRoman"/>
      <w:lvlText w:val="%9."/>
      <w:lvlJc w:val="right"/>
      <w:pPr>
        <w:ind w:left="6840" w:hanging="180"/>
      </w:pPr>
    </w:lvl>
  </w:abstractNum>
  <w:abstractNum w:abstractNumId="12" w15:restartNumberingAfterBreak="0">
    <w:nsid w:val="469513FB"/>
    <w:multiLevelType w:val="hybridMultilevel"/>
    <w:tmpl w:val="42FAED78"/>
    <w:lvl w:ilvl="0" w:tplc="6F5E0268">
      <w:start w:val="1"/>
      <w:numFmt w:val="upperLetter"/>
      <w:lvlText w:val="%1."/>
      <w:lvlJc w:val="left"/>
      <w:pPr>
        <w:ind w:left="1080" w:hanging="360"/>
      </w:pPr>
      <w:rPr>
        <w:rFonts w:hint="default"/>
      </w:rPr>
    </w:lvl>
    <w:lvl w:ilvl="1" w:tplc="A08EEEA2" w:tentative="1">
      <w:start w:val="1"/>
      <w:numFmt w:val="lowerLetter"/>
      <w:lvlText w:val="%2."/>
      <w:lvlJc w:val="left"/>
      <w:pPr>
        <w:ind w:left="1800" w:hanging="360"/>
      </w:pPr>
    </w:lvl>
    <w:lvl w:ilvl="2" w:tplc="78BC32D6" w:tentative="1">
      <w:start w:val="1"/>
      <w:numFmt w:val="lowerRoman"/>
      <w:lvlText w:val="%3."/>
      <w:lvlJc w:val="right"/>
      <w:pPr>
        <w:ind w:left="2520" w:hanging="180"/>
      </w:pPr>
    </w:lvl>
    <w:lvl w:ilvl="3" w:tplc="9A1EFCA8" w:tentative="1">
      <w:start w:val="1"/>
      <w:numFmt w:val="decimal"/>
      <w:lvlText w:val="%4."/>
      <w:lvlJc w:val="left"/>
      <w:pPr>
        <w:ind w:left="3240" w:hanging="360"/>
      </w:pPr>
    </w:lvl>
    <w:lvl w:ilvl="4" w:tplc="799AAD26" w:tentative="1">
      <w:start w:val="1"/>
      <w:numFmt w:val="lowerLetter"/>
      <w:lvlText w:val="%5."/>
      <w:lvlJc w:val="left"/>
      <w:pPr>
        <w:ind w:left="3960" w:hanging="360"/>
      </w:pPr>
    </w:lvl>
    <w:lvl w:ilvl="5" w:tplc="0B52CA98" w:tentative="1">
      <w:start w:val="1"/>
      <w:numFmt w:val="lowerRoman"/>
      <w:lvlText w:val="%6."/>
      <w:lvlJc w:val="right"/>
      <w:pPr>
        <w:ind w:left="4680" w:hanging="180"/>
      </w:pPr>
    </w:lvl>
    <w:lvl w:ilvl="6" w:tplc="A69E9A2A" w:tentative="1">
      <w:start w:val="1"/>
      <w:numFmt w:val="decimal"/>
      <w:lvlText w:val="%7."/>
      <w:lvlJc w:val="left"/>
      <w:pPr>
        <w:ind w:left="5400" w:hanging="360"/>
      </w:pPr>
    </w:lvl>
    <w:lvl w:ilvl="7" w:tplc="A9106076" w:tentative="1">
      <w:start w:val="1"/>
      <w:numFmt w:val="lowerLetter"/>
      <w:lvlText w:val="%8."/>
      <w:lvlJc w:val="left"/>
      <w:pPr>
        <w:ind w:left="6120" w:hanging="360"/>
      </w:pPr>
    </w:lvl>
    <w:lvl w:ilvl="8" w:tplc="F2BCB89A" w:tentative="1">
      <w:start w:val="1"/>
      <w:numFmt w:val="lowerRoman"/>
      <w:lvlText w:val="%9."/>
      <w:lvlJc w:val="right"/>
      <w:pPr>
        <w:ind w:left="6840" w:hanging="180"/>
      </w:pPr>
    </w:lvl>
  </w:abstractNum>
  <w:abstractNum w:abstractNumId="13" w15:restartNumberingAfterBreak="0">
    <w:nsid w:val="4A876000"/>
    <w:multiLevelType w:val="hybridMultilevel"/>
    <w:tmpl w:val="98E05086"/>
    <w:lvl w:ilvl="0" w:tplc="31BC53D2">
      <w:start w:val="1"/>
      <w:numFmt w:val="decimal"/>
      <w:lvlText w:val="%1."/>
      <w:lvlJc w:val="left"/>
      <w:pPr>
        <w:ind w:left="1080" w:hanging="360"/>
      </w:pPr>
      <w:rPr>
        <w:rFonts w:hint="default"/>
        <w:i w:val="0"/>
        <w:iCs w:val="0"/>
      </w:rPr>
    </w:lvl>
    <w:lvl w:ilvl="1" w:tplc="F3163A9A" w:tentative="1">
      <w:start w:val="1"/>
      <w:numFmt w:val="lowerLetter"/>
      <w:lvlText w:val="%2."/>
      <w:lvlJc w:val="left"/>
      <w:pPr>
        <w:ind w:left="1800" w:hanging="360"/>
      </w:pPr>
    </w:lvl>
    <w:lvl w:ilvl="2" w:tplc="99829C30" w:tentative="1">
      <w:start w:val="1"/>
      <w:numFmt w:val="lowerRoman"/>
      <w:lvlText w:val="%3."/>
      <w:lvlJc w:val="right"/>
      <w:pPr>
        <w:ind w:left="2520" w:hanging="180"/>
      </w:pPr>
    </w:lvl>
    <w:lvl w:ilvl="3" w:tplc="7570E71E" w:tentative="1">
      <w:start w:val="1"/>
      <w:numFmt w:val="decimal"/>
      <w:lvlText w:val="%4."/>
      <w:lvlJc w:val="left"/>
      <w:pPr>
        <w:ind w:left="3240" w:hanging="360"/>
      </w:pPr>
    </w:lvl>
    <w:lvl w:ilvl="4" w:tplc="1A101F66" w:tentative="1">
      <w:start w:val="1"/>
      <w:numFmt w:val="lowerLetter"/>
      <w:lvlText w:val="%5."/>
      <w:lvlJc w:val="left"/>
      <w:pPr>
        <w:ind w:left="3960" w:hanging="360"/>
      </w:pPr>
    </w:lvl>
    <w:lvl w:ilvl="5" w:tplc="FD24F7E4" w:tentative="1">
      <w:start w:val="1"/>
      <w:numFmt w:val="lowerRoman"/>
      <w:lvlText w:val="%6."/>
      <w:lvlJc w:val="right"/>
      <w:pPr>
        <w:ind w:left="4680" w:hanging="180"/>
      </w:pPr>
    </w:lvl>
    <w:lvl w:ilvl="6" w:tplc="850A6914" w:tentative="1">
      <w:start w:val="1"/>
      <w:numFmt w:val="decimal"/>
      <w:lvlText w:val="%7."/>
      <w:lvlJc w:val="left"/>
      <w:pPr>
        <w:ind w:left="5400" w:hanging="360"/>
      </w:pPr>
    </w:lvl>
    <w:lvl w:ilvl="7" w:tplc="AF8073C6" w:tentative="1">
      <w:start w:val="1"/>
      <w:numFmt w:val="lowerLetter"/>
      <w:lvlText w:val="%8."/>
      <w:lvlJc w:val="left"/>
      <w:pPr>
        <w:ind w:left="6120" w:hanging="360"/>
      </w:pPr>
    </w:lvl>
    <w:lvl w:ilvl="8" w:tplc="F78C5598" w:tentative="1">
      <w:start w:val="1"/>
      <w:numFmt w:val="lowerRoman"/>
      <w:lvlText w:val="%9."/>
      <w:lvlJc w:val="right"/>
      <w:pPr>
        <w:ind w:left="6840" w:hanging="180"/>
      </w:pPr>
    </w:lvl>
  </w:abstractNum>
  <w:abstractNum w:abstractNumId="14" w15:restartNumberingAfterBreak="0">
    <w:nsid w:val="4CF51FD9"/>
    <w:multiLevelType w:val="hybridMultilevel"/>
    <w:tmpl w:val="49CCA4EA"/>
    <w:lvl w:ilvl="0" w:tplc="55B0DA08">
      <w:start w:val="1"/>
      <w:numFmt w:val="decimal"/>
      <w:lvlText w:val="(%1)"/>
      <w:lvlJc w:val="left"/>
      <w:pPr>
        <w:ind w:left="1092" w:hanging="372"/>
      </w:pPr>
      <w:rPr>
        <w:rFonts w:hint="default"/>
      </w:rPr>
    </w:lvl>
    <w:lvl w:ilvl="1" w:tplc="0FE2C26C" w:tentative="1">
      <w:start w:val="1"/>
      <w:numFmt w:val="lowerLetter"/>
      <w:lvlText w:val="%2."/>
      <w:lvlJc w:val="left"/>
      <w:pPr>
        <w:ind w:left="1800" w:hanging="360"/>
      </w:pPr>
    </w:lvl>
    <w:lvl w:ilvl="2" w:tplc="4A0C17B2" w:tentative="1">
      <w:start w:val="1"/>
      <w:numFmt w:val="lowerRoman"/>
      <w:lvlText w:val="%3."/>
      <w:lvlJc w:val="right"/>
      <w:pPr>
        <w:ind w:left="2520" w:hanging="180"/>
      </w:pPr>
    </w:lvl>
    <w:lvl w:ilvl="3" w:tplc="4E487604" w:tentative="1">
      <w:start w:val="1"/>
      <w:numFmt w:val="decimal"/>
      <w:lvlText w:val="%4."/>
      <w:lvlJc w:val="left"/>
      <w:pPr>
        <w:ind w:left="3240" w:hanging="360"/>
      </w:pPr>
    </w:lvl>
    <w:lvl w:ilvl="4" w:tplc="FBBE5F3C" w:tentative="1">
      <w:start w:val="1"/>
      <w:numFmt w:val="lowerLetter"/>
      <w:lvlText w:val="%5."/>
      <w:lvlJc w:val="left"/>
      <w:pPr>
        <w:ind w:left="3960" w:hanging="360"/>
      </w:pPr>
    </w:lvl>
    <w:lvl w:ilvl="5" w:tplc="E2CC5B30" w:tentative="1">
      <w:start w:val="1"/>
      <w:numFmt w:val="lowerRoman"/>
      <w:lvlText w:val="%6."/>
      <w:lvlJc w:val="right"/>
      <w:pPr>
        <w:ind w:left="4680" w:hanging="180"/>
      </w:pPr>
    </w:lvl>
    <w:lvl w:ilvl="6" w:tplc="B1E4037C" w:tentative="1">
      <w:start w:val="1"/>
      <w:numFmt w:val="decimal"/>
      <w:lvlText w:val="%7."/>
      <w:lvlJc w:val="left"/>
      <w:pPr>
        <w:ind w:left="5400" w:hanging="360"/>
      </w:pPr>
    </w:lvl>
    <w:lvl w:ilvl="7" w:tplc="F94C75B0" w:tentative="1">
      <w:start w:val="1"/>
      <w:numFmt w:val="lowerLetter"/>
      <w:lvlText w:val="%8."/>
      <w:lvlJc w:val="left"/>
      <w:pPr>
        <w:ind w:left="6120" w:hanging="360"/>
      </w:pPr>
    </w:lvl>
    <w:lvl w:ilvl="8" w:tplc="5DC84F64" w:tentative="1">
      <w:start w:val="1"/>
      <w:numFmt w:val="lowerRoman"/>
      <w:lvlText w:val="%9."/>
      <w:lvlJc w:val="right"/>
      <w:pPr>
        <w:ind w:left="6840" w:hanging="180"/>
      </w:pPr>
    </w:lvl>
  </w:abstractNum>
  <w:abstractNum w:abstractNumId="15" w15:restartNumberingAfterBreak="0">
    <w:nsid w:val="4D5B4F95"/>
    <w:multiLevelType w:val="hybridMultilevel"/>
    <w:tmpl w:val="023C3832"/>
    <w:lvl w:ilvl="0" w:tplc="5504E05E">
      <w:start w:val="1"/>
      <w:numFmt w:val="decimal"/>
      <w:lvlText w:val="%1."/>
      <w:lvlJc w:val="left"/>
      <w:pPr>
        <w:ind w:left="360" w:hanging="360"/>
      </w:pPr>
      <w:rPr>
        <w:rFonts w:hint="default"/>
      </w:rPr>
    </w:lvl>
    <w:lvl w:ilvl="1" w:tplc="37B2F1AC" w:tentative="1">
      <w:start w:val="1"/>
      <w:numFmt w:val="lowerLetter"/>
      <w:lvlText w:val="%2."/>
      <w:lvlJc w:val="left"/>
      <w:pPr>
        <w:ind w:left="1080" w:hanging="360"/>
      </w:pPr>
    </w:lvl>
    <w:lvl w:ilvl="2" w:tplc="196A7D7C" w:tentative="1">
      <w:start w:val="1"/>
      <w:numFmt w:val="lowerRoman"/>
      <w:lvlText w:val="%3."/>
      <w:lvlJc w:val="right"/>
      <w:pPr>
        <w:ind w:left="1800" w:hanging="180"/>
      </w:pPr>
    </w:lvl>
    <w:lvl w:ilvl="3" w:tplc="9D14723E" w:tentative="1">
      <w:start w:val="1"/>
      <w:numFmt w:val="decimal"/>
      <w:lvlText w:val="%4."/>
      <w:lvlJc w:val="left"/>
      <w:pPr>
        <w:ind w:left="2520" w:hanging="360"/>
      </w:pPr>
    </w:lvl>
    <w:lvl w:ilvl="4" w:tplc="48D0BA62" w:tentative="1">
      <w:start w:val="1"/>
      <w:numFmt w:val="lowerLetter"/>
      <w:lvlText w:val="%5."/>
      <w:lvlJc w:val="left"/>
      <w:pPr>
        <w:ind w:left="3240" w:hanging="360"/>
      </w:pPr>
    </w:lvl>
    <w:lvl w:ilvl="5" w:tplc="DAD6F2BC" w:tentative="1">
      <w:start w:val="1"/>
      <w:numFmt w:val="lowerRoman"/>
      <w:lvlText w:val="%6."/>
      <w:lvlJc w:val="right"/>
      <w:pPr>
        <w:ind w:left="3960" w:hanging="180"/>
      </w:pPr>
    </w:lvl>
    <w:lvl w:ilvl="6" w:tplc="DB5E55A4" w:tentative="1">
      <w:start w:val="1"/>
      <w:numFmt w:val="decimal"/>
      <w:lvlText w:val="%7."/>
      <w:lvlJc w:val="left"/>
      <w:pPr>
        <w:ind w:left="4680" w:hanging="360"/>
      </w:pPr>
    </w:lvl>
    <w:lvl w:ilvl="7" w:tplc="EF60FBD2" w:tentative="1">
      <w:start w:val="1"/>
      <w:numFmt w:val="lowerLetter"/>
      <w:lvlText w:val="%8."/>
      <w:lvlJc w:val="left"/>
      <w:pPr>
        <w:ind w:left="5400" w:hanging="360"/>
      </w:pPr>
    </w:lvl>
    <w:lvl w:ilvl="8" w:tplc="4CA488EC" w:tentative="1">
      <w:start w:val="1"/>
      <w:numFmt w:val="lowerRoman"/>
      <w:lvlText w:val="%9."/>
      <w:lvlJc w:val="right"/>
      <w:pPr>
        <w:ind w:left="6120" w:hanging="180"/>
      </w:pPr>
    </w:lvl>
  </w:abstractNum>
  <w:abstractNum w:abstractNumId="16" w15:restartNumberingAfterBreak="0">
    <w:nsid w:val="55B42252"/>
    <w:multiLevelType w:val="hybridMultilevel"/>
    <w:tmpl w:val="9C54E8DC"/>
    <w:lvl w:ilvl="0" w:tplc="394EDB34">
      <w:start w:val="1"/>
      <w:numFmt w:val="bullet"/>
      <w:lvlText w:val=""/>
      <w:lvlJc w:val="left"/>
      <w:pPr>
        <w:ind w:left="1440" w:hanging="360"/>
      </w:pPr>
      <w:rPr>
        <w:rFonts w:ascii="Symbol" w:hAnsi="Symbol" w:hint="default"/>
      </w:rPr>
    </w:lvl>
    <w:lvl w:ilvl="1" w:tplc="0D8AADB6" w:tentative="1">
      <w:start w:val="1"/>
      <w:numFmt w:val="bullet"/>
      <w:lvlText w:val="o"/>
      <w:lvlJc w:val="left"/>
      <w:pPr>
        <w:ind w:left="2160" w:hanging="360"/>
      </w:pPr>
      <w:rPr>
        <w:rFonts w:ascii="Courier New" w:hAnsi="Courier New" w:cs="Courier New" w:hint="default"/>
      </w:rPr>
    </w:lvl>
    <w:lvl w:ilvl="2" w:tplc="AB5EBBDA" w:tentative="1">
      <w:start w:val="1"/>
      <w:numFmt w:val="bullet"/>
      <w:lvlText w:val=""/>
      <w:lvlJc w:val="left"/>
      <w:pPr>
        <w:ind w:left="2880" w:hanging="360"/>
      </w:pPr>
      <w:rPr>
        <w:rFonts w:ascii="Wingdings" w:hAnsi="Wingdings" w:hint="default"/>
      </w:rPr>
    </w:lvl>
    <w:lvl w:ilvl="3" w:tplc="39BAE928" w:tentative="1">
      <w:start w:val="1"/>
      <w:numFmt w:val="bullet"/>
      <w:lvlText w:val=""/>
      <w:lvlJc w:val="left"/>
      <w:pPr>
        <w:ind w:left="3600" w:hanging="360"/>
      </w:pPr>
      <w:rPr>
        <w:rFonts w:ascii="Symbol" w:hAnsi="Symbol" w:hint="default"/>
      </w:rPr>
    </w:lvl>
    <w:lvl w:ilvl="4" w:tplc="4C561150" w:tentative="1">
      <w:start w:val="1"/>
      <w:numFmt w:val="bullet"/>
      <w:lvlText w:val="o"/>
      <w:lvlJc w:val="left"/>
      <w:pPr>
        <w:ind w:left="4320" w:hanging="360"/>
      </w:pPr>
      <w:rPr>
        <w:rFonts w:ascii="Courier New" w:hAnsi="Courier New" w:cs="Courier New" w:hint="default"/>
      </w:rPr>
    </w:lvl>
    <w:lvl w:ilvl="5" w:tplc="68526F34" w:tentative="1">
      <w:start w:val="1"/>
      <w:numFmt w:val="bullet"/>
      <w:lvlText w:val=""/>
      <w:lvlJc w:val="left"/>
      <w:pPr>
        <w:ind w:left="5040" w:hanging="360"/>
      </w:pPr>
      <w:rPr>
        <w:rFonts w:ascii="Wingdings" w:hAnsi="Wingdings" w:hint="default"/>
      </w:rPr>
    </w:lvl>
    <w:lvl w:ilvl="6" w:tplc="9A22930A" w:tentative="1">
      <w:start w:val="1"/>
      <w:numFmt w:val="bullet"/>
      <w:lvlText w:val=""/>
      <w:lvlJc w:val="left"/>
      <w:pPr>
        <w:ind w:left="5760" w:hanging="360"/>
      </w:pPr>
      <w:rPr>
        <w:rFonts w:ascii="Symbol" w:hAnsi="Symbol" w:hint="default"/>
      </w:rPr>
    </w:lvl>
    <w:lvl w:ilvl="7" w:tplc="4E243E46" w:tentative="1">
      <w:start w:val="1"/>
      <w:numFmt w:val="bullet"/>
      <w:lvlText w:val="o"/>
      <w:lvlJc w:val="left"/>
      <w:pPr>
        <w:ind w:left="6480" w:hanging="360"/>
      </w:pPr>
      <w:rPr>
        <w:rFonts w:ascii="Courier New" w:hAnsi="Courier New" w:cs="Courier New" w:hint="default"/>
      </w:rPr>
    </w:lvl>
    <w:lvl w:ilvl="8" w:tplc="514070A0" w:tentative="1">
      <w:start w:val="1"/>
      <w:numFmt w:val="bullet"/>
      <w:lvlText w:val=""/>
      <w:lvlJc w:val="left"/>
      <w:pPr>
        <w:ind w:left="7200" w:hanging="360"/>
      </w:pPr>
      <w:rPr>
        <w:rFonts w:ascii="Wingdings" w:hAnsi="Wingdings" w:hint="default"/>
      </w:rPr>
    </w:lvl>
  </w:abstractNum>
  <w:abstractNum w:abstractNumId="17" w15:restartNumberingAfterBreak="0">
    <w:nsid w:val="60D067C6"/>
    <w:multiLevelType w:val="hybridMultilevel"/>
    <w:tmpl w:val="0B726BF8"/>
    <w:lvl w:ilvl="0" w:tplc="FA7AE370">
      <w:start w:val="1"/>
      <w:numFmt w:val="decimal"/>
      <w:lvlText w:val="%1."/>
      <w:lvlJc w:val="left"/>
      <w:pPr>
        <w:ind w:left="1080" w:hanging="360"/>
      </w:pPr>
      <w:rPr>
        <w:rFonts w:hint="default"/>
        <w:b w:val="0"/>
        <w:bCs/>
        <w:i w:val="0"/>
        <w:iCs w:val="0"/>
      </w:rPr>
    </w:lvl>
    <w:lvl w:ilvl="1" w:tplc="CF800FAC" w:tentative="1">
      <w:start w:val="1"/>
      <w:numFmt w:val="lowerLetter"/>
      <w:lvlText w:val="%2."/>
      <w:lvlJc w:val="left"/>
      <w:pPr>
        <w:ind w:left="1800" w:hanging="360"/>
      </w:pPr>
    </w:lvl>
    <w:lvl w:ilvl="2" w:tplc="9A60040C" w:tentative="1">
      <w:start w:val="1"/>
      <w:numFmt w:val="lowerRoman"/>
      <w:lvlText w:val="%3."/>
      <w:lvlJc w:val="right"/>
      <w:pPr>
        <w:ind w:left="2520" w:hanging="180"/>
      </w:pPr>
    </w:lvl>
    <w:lvl w:ilvl="3" w:tplc="C23E79DE" w:tentative="1">
      <w:start w:val="1"/>
      <w:numFmt w:val="decimal"/>
      <w:lvlText w:val="%4."/>
      <w:lvlJc w:val="left"/>
      <w:pPr>
        <w:ind w:left="3240" w:hanging="360"/>
      </w:pPr>
    </w:lvl>
    <w:lvl w:ilvl="4" w:tplc="A70C1AA0" w:tentative="1">
      <w:start w:val="1"/>
      <w:numFmt w:val="lowerLetter"/>
      <w:lvlText w:val="%5."/>
      <w:lvlJc w:val="left"/>
      <w:pPr>
        <w:ind w:left="3960" w:hanging="360"/>
      </w:pPr>
    </w:lvl>
    <w:lvl w:ilvl="5" w:tplc="F3B63BD4" w:tentative="1">
      <w:start w:val="1"/>
      <w:numFmt w:val="lowerRoman"/>
      <w:lvlText w:val="%6."/>
      <w:lvlJc w:val="right"/>
      <w:pPr>
        <w:ind w:left="4680" w:hanging="180"/>
      </w:pPr>
    </w:lvl>
    <w:lvl w:ilvl="6" w:tplc="B840E3D4" w:tentative="1">
      <w:start w:val="1"/>
      <w:numFmt w:val="decimal"/>
      <w:lvlText w:val="%7."/>
      <w:lvlJc w:val="left"/>
      <w:pPr>
        <w:ind w:left="5400" w:hanging="360"/>
      </w:pPr>
    </w:lvl>
    <w:lvl w:ilvl="7" w:tplc="E758DC64" w:tentative="1">
      <w:start w:val="1"/>
      <w:numFmt w:val="lowerLetter"/>
      <w:lvlText w:val="%8."/>
      <w:lvlJc w:val="left"/>
      <w:pPr>
        <w:ind w:left="6120" w:hanging="360"/>
      </w:pPr>
    </w:lvl>
    <w:lvl w:ilvl="8" w:tplc="9E7C957C" w:tentative="1">
      <w:start w:val="1"/>
      <w:numFmt w:val="lowerRoman"/>
      <w:lvlText w:val="%9."/>
      <w:lvlJc w:val="right"/>
      <w:pPr>
        <w:ind w:left="6840" w:hanging="180"/>
      </w:pPr>
    </w:lvl>
  </w:abstractNum>
  <w:abstractNum w:abstractNumId="18" w15:restartNumberingAfterBreak="0">
    <w:nsid w:val="6CFD07A7"/>
    <w:multiLevelType w:val="hybridMultilevel"/>
    <w:tmpl w:val="F3186D18"/>
    <w:lvl w:ilvl="0" w:tplc="AF085432">
      <w:start w:val="1"/>
      <w:numFmt w:val="upperLetter"/>
      <w:lvlText w:val="%1."/>
      <w:lvlJc w:val="left"/>
      <w:pPr>
        <w:ind w:left="720" w:hanging="360"/>
      </w:pPr>
      <w:rPr>
        <w:rFonts w:hint="default"/>
      </w:rPr>
    </w:lvl>
    <w:lvl w:ilvl="1" w:tplc="89C6067A" w:tentative="1">
      <w:start w:val="1"/>
      <w:numFmt w:val="lowerLetter"/>
      <w:lvlText w:val="%2."/>
      <w:lvlJc w:val="left"/>
      <w:pPr>
        <w:ind w:left="1440" w:hanging="360"/>
      </w:pPr>
    </w:lvl>
    <w:lvl w:ilvl="2" w:tplc="C206DAB6" w:tentative="1">
      <w:start w:val="1"/>
      <w:numFmt w:val="lowerRoman"/>
      <w:lvlText w:val="%3."/>
      <w:lvlJc w:val="right"/>
      <w:pPr>
        <w:ind w:left="2160" w:hanging="180"/>
      </w:pPr>
    </w:lvl>
    <w:lvl w:ilvl="3" w:tplc="26C4AFDC" w:tentative="1">
      <w:start w:val="1"/>
      <w:numFmt w:val="decimal"/>
      <w:lvlText w:val="%4."/>
      <w:lvlJc w:val="left"/>
      <w:pPr>
        <w:ind w:left="2880" w:hanging="360"/>
      </w:pPr>
    </w:lvl>
    <w:lvl w:ilvl="4" w:tplc="104A474C" w:tentative="1">
      <w:start w:val="1"/>
      <w:numFmt w:val="lowerLetter"/>
      <w:lvlText w:val="%5."/>
      <w:lvlJc w:val="left"/>
      <w:pPr>
        <w:ind w:left="3600" w:hanging="360"/>
      </w:pPr>
    </w:lvl>
    <w:lvl w:ilvl="5" w:tplc="B8228600" w:tentative="1">
      <w:start w:val="1"/>
      <w:numFmt w:val="lowerRoman"/>
      <w:lvlText w:val="%6."/>
      <w:lvlJc w:val="right"/>
      <w:pPr>
        <w:ind w:left="4320" w:hanging="180"/>
      </w:pPr>
    </w:lvl>
    <w:lvl w:ilvl="6" w:tplc="504E1D42" w:tentative="1">
      <w:start w:val="1"/>
      <w:numFmt w:val="decimal"/>
      <w:lvlText w:val="%7."/>
      <w:lvlJc w:val="left"/>
      <w:pPr>
        <w:ind w:left="5040" w:hanging="360"/>
      </w:pPr>
    </w:lvl>
    <w:lvl w:ilvl="7" w:tplc="CF86D568" w:tentative="1">
      <w:start w:val="1"/>
      <w:numFmt w:val="lowerLetter"/>
      <w:lvlText w:val="%8."/>
      <w:lvlJc w:val="left"/>
      <w:pPr>
        <w:ind w:left="5760" w:hanging="360"/>
      </w:pPr>
    </w:lvl>
    <w:lvl w:ilvl="8" w:tplc="7FAEA4D4" w:tentative="1">
      <w:start w:val="1"/>
      <w:numFmt w:val="lowerRoman"/>
      <w:lvlText w:val="%9."/>
      <w:lvlJc w:val="right"/>
      <w:pPr>
        <w:ind w:left="6480" w:hanging="180"/>
      </w:pPr>
    </w:lvl>
  </w:abstractNum>
  <w:abstractNum w:abstractNumId="19" w15:restartNumberingAfterBreak="0">
    <w:nsid w:val="72B60602"/>
    <w:multiLevelType w:val="hybridMultilevel"/>
    <w:tmpl w:val="2B5E10F6"/>
    <w:lvl w:ilvl="0" w:tplc="5FE69292">
      <w:start w:val="1"/>
      <w:numFmt w:val="upperLetter"/>
      <w:lvlText w:val="%1."/>
      <w:lvlJc w:val="left"/>
      <w:pPr>
        <w:ind w:left="1800" w:hanging="360"/>
      </w:pPr>
      <w:rPr>
        <w:rFonts w:hint="default"/>
      </w:rPr>
    </w:lvl>
    <w:lvl w:ilvl="1" w:tplc="5E3A60BE" w:tentative="1">
      <w:start w:val="1"/>
      <w:numFmt w:val="lowerLetter"/>
      <w:lvlText w:val="%2."/>
      <w:lvlJc w:val="left"/>
      <w:pPr>
        <w:ind w:left="2520" w:hanging="360"/>
      </w:pPr>
    </w:lvl>
    <w:lvl w:ilvl="2" w:tplc="B95A432A" w:tentative="1">
      <w:start w:val="1"/>
      <w:numFmt w:val="lowerRoman"/>
      <w:lvlText w:val="%3."/>
      <w:lvlJc w:val="right"/>
      <w:pPr>
        <w:ind w:left="3240" w:hanging="180"/>
      </w:pPr>
    </w:lvl>
    <w:lvl w:ilvl="3" w:tplc="0C5C692A" w:tentative="1">
      <w:start w:val="1"/>
      <w:numFmt w:val="decimal"/>
      <w:lvlText w:val="%4."/>
      <w:lvlJc w:val="left"/>
      <w:pPr>
        <w:ind w:left="3960" w:hanging="360"/>
      </w:pPr>
    </w:lvl>
    <w:lvl w:ilvl="4" w:tplc="EFB46BFA" w:tentative="1">
      <w:start w:val="1"/>
      <w:numFmt w:val="lowerLetter"/>
      <w:lvlText w:val="%5."/>
      <w:lvlJc w:val="left"/>
      <w:pPr>
        <w:ind w:left="4680" w:hanging="360"/>
      </w:pPr>
    </w:lvl>
    <w:lvl w:ilvl="5" w:tplc="E9924B6A" w:tentative="1">
      <w:start w:val="1"/>
      <w:numFmt w:val="lowerRoman"/>
      <w:lvlText w:val="%6."/>
      <w:lvlJc w:val="right"/>
      <w:pPr>
        <w:ind w:left="5400" w:hanging="180"/>
      </w:pPr>
    </w:lvl>
    <w:lvl w:ilvl="6" w:tplc="AE98A69E" w:tentative="1">
      <w:start w:val="1"/>
      <w:numFmt w:val="decimal"/>
      <w:lvlText w:val="%7."/>
      <w:lvlJc w:val="left"/>
      <w:pPr>
        <w:ind w:left="6120" w:hanging="360"/>
      </w:pPr>
    </w:lvl>
    <w:lvl w:ilvl="7" w:tplc="6DE677C6" w:tentative="1">
      <w:start w:val="1"/>
      <w:numFmt w:val="lowerLetter"/>
      <w:lvlText w:val="%8."/>
      <w:lvlJc w:val="left"/>
      <w:pPr>
        <w:ind w:left="6840" w:hanging="360"/>
      </w:pPr>
    </w:lvl>
    <w:lvl w:ilvl="8" w:tplc="4A26FB06" w:tentative="1">
      <w:start w:val="1"/>
      <w:numFmt w:val="lowerRoman"/>
      <w:lvlText w:val="%9."/>
      <w:lvlJc w:val="right"/>
      <w:pPr>
        <w:ind w:left="7560" w:hanging="180"/>
      </w:pPr>
    </w:lvl>
  </w:abstractNum>
  <w:abstractNum w:abstractNumId="20" w15:restartNumberingAfterBreak="0">
    <w:nsid w:val="75422432"/>
    <w:multiLevelType w:val="hybridMultilevel"/>
    <w:tmpl w:val="C8DA092E"/>
    <w:lvl w:ilvl="0" w:tplc="901E7916">
      <w:start w:val="1"/>
      <w:numFmt w:val="decimal"/>
      <w:lvlText w:val="%1."/>
      <w:lvlJc w:val="left"/>
      <w:pPr>
        <w:ind w:left="1440" w:hanging="720"/>
      </w:pPr>
      <w:rPr>
        <w:rFonts w:hint="default"/>
      </w:rPr>
    </w:lvl>
    <w:lvl w:ilvl="1" w:tplc="D7EC04C6" w:tentative="1">
      <w:start w:val="1"/>
      <w:numFmt w:val="lowerLetter"/>
      <w:lvlText w:val="%2."/>
      <w:lvlJc w:val="left"/>
      <w:pPr>
        <w:ind w:left="1800" w:hanging="360"/>
      </w:pPr>
    </w:lvl>
    <w:lvl w:ilvl="2" w:tplc="81A8748C" w:tentative="1">
      <w:start w:val="1"/>
      <w:numFmt w:val="lowerRoman"/>
      <w:lvlText w:val="%3."/>
      <w:lvlJc w:val="right"/>
      <w:pPr>
        <w:ind w:left="2520" w:hanging="180"/>
      </w:pPr>
    </w:lvl>
    <w:lvl w:ilvl="3" w:tplc="9FD2DFF0" w:tentative="1">
      <w:start w:val="1"/>
      <w:numFmt w:val="decimal"/>
      <w:lvlText w:val="%4."/>
      <w:lvlJc w:val="left"/>
      <w:pPr>
        <w:ind w:left="3240" w:hanging="360"/>
      </w:pPr>
    </w:lvl>
    <w:lvl w:ilvl="4" w:tplc="A46C52D4" w:tentative="1">
      <w:start w:val="1"/>
      <w:numFmt w:val="lowerLetter"/>
      <w:lvlText w:val="%5."/>
      <w:lvlJc w:val="left"/>
      <w:pPr>
        <w:ind w:left="3960" w:hanging="360"/>
      </w:pPr>
    </w:lvl>
    <w:lvl w:ilvl="5" w:tplc="2938AC4A" w:tentative="1">
      <w:start w:val="1"/>
      <w:numFmt w:val="lowerRoman"/>
      <w:lvlText w:val="%6."/>
      <w:lvlJc w:val="right"/>
      <w:pPr>
        <w:ind w:left="4680" w:hanging="180"/>
      </w:pPr>
    </w:lvl>
    <w:lvl w:ilvl="6" w:tplc="3FF88DD8" w:tentative="1">
      <w:start w:val="1"/>
      <w:numFmt w:val="decimal"/>
      <w:lvlText w:val="%7."/>
      <w:lvlJc w:val="left"/>
      <w:pPr>
        <w:ind w:left="5400" w:hanging="360"/>
      </w:pPr>
    </w:lvl>
    <w:lvl w:ilvl="7" w:tplc="129C2E2A" w:tentative="1">
      <w:start w:val="1"/>
      <w:numFmt w:val="lowerLetter"/>
      <w:lvlText w:val="%8."/>
      <w:lvlJc w:val="left"/>
      <w:pPr>
        <w:ind w:left="6120" w:hanging="360"/>
      </w:pPr>
    </w:lvl>
    <w:lvl w:ilvl="8" w:tplc="4F9A2074" w:tentative="1">
      <w:start w:val="1"/>
      <w:numFmt w:val="lowerRoman"/>
      <w:lvlText w:val="%9."/>
      <w:lvlJc w:val="right"/>
      <w:pPr>
        <w:ind w:left="6840" w:hanging="180"/>
      </w:pPr>
    </w:lvl>
  </w:abstractNum>
  <w:abstractNum w:abstractNumId="21" w15:restartNumberingAfterBreak="0">
    <w:nsid w:val="7BE84461"/>
    <w:multiLevelType w:val="hybridMultilevel"/>
    <w:tmpl w:val="7CAC79D8"/>
    <w:lvl w:ilvl="0" w:tplc="61E02C9A">
      <w:start w:val="1"/>
      <w:numFmt w:val="decimal"/>
      <w:lvlText w:val="%1."/>
      <w:lvlJc w:val="left"/>
      <w:pPr>
        <w:ind w:left="1440" w:hanging="360"/>
      </w:pPr>
      <w:rPr>
        <w:rFonts w:hint="default"/>
      </w:rPr>
    </w:lvl>
    <w:lvl w:ilvl="1" w:tplc="6806284A" w:tentative="1">
      <w:start w:val="1"/>
      <w:numFmt w:val="lowerLetter"/>
      <w:lvlText w:val="%2."/>
      <w:lvlJc w:val="left"/>
      <w:pPr>
        <w:ind w:left="2160" w:hanging="360"/>
      </w:pPr>
    </w:lvl>
    <w:lvl w:ilvl="2" w:tplc="29B4348C" w:tentative="1">
      <w:start w:val="1"/>
      <w:numFmt w:val="lowerRoman"/>
      <w:lvlText w:val="%3."/>
      <w:lvlJc w:val="right"/>
      <w:pPr>
        <w:ind w:left="2880" w:hanging="180"/>
      </w:pPr>
    </w:lvl>
    <w:lvl w:ilvl="3" w:tplc="2DC8B19E" w:tentative="1">
      <w:start w:val="1"/>
      <w:numFmt w:val="decimal"/>
      <w:lvlText w:val="%4."/>
      <w:lvlJc w:val="left"/>
      <w:pPr>
        <w:ind w:left="3600" w:hanging="360"/>
      </w:pPr>
    </w:lvl>
    <w:lvl w:ilvl="4" w:tplc="81BED158" w:tentative="1">
      <w:start w:val="1"/>
      <w:numFmt w:val="lowerLetter"/>
      <w:lvlText w:val="%5."/>
      <w:lvlJc w:val="left"/>
      <w:pPr>
        <w:ind w:left="4320" w:hanging="360"/>
      </w:pPr>
    </w:lvl>
    <w:lvl w:ilvl="5" w:tplc="A4085AD6" w:tentative="1">
      <w:start w:val="1"/>
      <w:numFmt w:val="lowerRoman"/>
      <w:lvlText w:val="%6."/>
      <w:lvlJc w:val="right"/>
      <w:pPr>
        <w:ind w:left="5040" w:hanging="180"/>
      </w:pPr>
    </w:lvl>
    <w:lvl w:ilvl="6" w:tplc="17961E02" w:tentative="1">
      <w:start w:val="1"/>
      <w:numFmt w:val="decimal"/>
      <w:lvlText w:val="%7."/>
      <w:lvlJc w:val="left"/>
      <w:pPr>
        <w:ind w:left="5760" w:hanging="360"/>
      </w:pPr>
    </w:lvl>
    <w:lvl w:ilvl="7" w:tplc="8C12099C" w:tentative="1">
      <w:start w:val="1"/>
      <w:numFmt w:val="lowerLetter"/>
      <w:lvlText w:val="%8."/>
      <w:lvlJc w:val="left"/>
      <w:pPr>
        <w:ind w:left="6480" w:hanging="360"/>
      </w:pPr>
    </w:lvl>
    <w:lvl w:ilvl="8" w:tplc="264CA8E4" w:tentative="1">
      <w:start w:val="1"/>
      <w:numFmt w:val="lowerRoman"/>
      <w:lvlText w:val="%9."/>
      <w:lvlJc w:val="right"/>
      <w:pPr>
        <w:ind w:left="7200" w:hanging="180"/>
      </w:pPr>
    </w:lvl>
  </w:abstractNum>
  <w:num w:numId="1" w16cid:durableId="1263414259">
    <w:abstractNumId w:val="18"/>
  </w:num>
  <w:num w:numId="2" w16cid:durableId="2037581482">
    <w:abstractNumId w:val="10"/>
  </w:num>
  <w:num w:numId="3" w16cid:durableId="65803701">
    <w:abstractNumId w:val="10"/>
  </w:num>
  <w:num w:numId="4" w16cid:durableId="1382359802">
    <w:abstractNumId w:val="10"/>
  </w:num>
  <w:num w:numId="5" w16cid:durableId="199516394">
    <w:abstractNumId w:val="2"/>
  </w:num>
  <w:num w:numId="6" w16cid:durableId="2044667719">
    <w:abstractNumId w:val="2"/>
  </w:num>
  <w:num w:numId="7" w16cid:durableId="1593510339">
    <w:abstractNumId w:val="16"/>
  </w:num>
  <w:num w:numId="8" w16cid:durableId="304940736">
    <w:abstractNumId w:val="5"/>
  </w:num>
  <w:num w:numId="9" w16cid:durableId="82263374">
    <w:abstractNumId w:val="10"/>
    <w:lvlOverride w:ilvl="0">
      <w:startOverride w:val="1"/>
    </w:lvlOverride>
  </w:num>
  <w:num w:numId="10" w16cid:durableId="2026397582">
    <w:abstractNumId w:val="10"/>
  </w:num>
  <w:num w:numId="11" w16cid:durableId="290478265">
    <w:abstractNumId w:val="10"/>
    <w:lvlOverride w:ilvl="0">
      <w:startOverride w:val="1"/>
    </w:lvlOverride>
  </w:num>
  <w:num w:numId="12" w16cid:durableId="1169053925">
    <w:abstractNumId w:val="2"/>
    <w:lvlOverride w:ilvl="0">
      <w:startOverride w:val="1"/>
    </w:lvlOverride>
  </w:num>
  <w:num w:numId="13" w16cid:durableId="1559827680">
    <w:abstractNumId w:val="9"/>
  </w:num>
  <w:num w:numId="14" w16cid:durableId="12464899">
    <w:abstractNumId w:val="9"/>
    <w:lvlOverride w:ilvl="0">
      <w:startOverride w:val="1"/>
    </w:lvlOverride>
  </w:num>
  <w:num w:numId="15" w16cid:durableId="1788698454">
    <w:abstractNumId w:val="9"/>
    <w:lvlOverride w:ilvl="0">
      <w:startOverride w:val="1"/>
    </w:lvlOverride>
  </w:num>
  <w:num w:numId="16" w16cid:durableId="1512452051">
    <w:abstractNumId w:val="9"/>
    <w:lvlOverride w:ilvl="0">
      <w:startOverride w:val="1"/>
    </w:lvlOverride>
  </w:num>
  <w:num w:numId="17" w16cid:durableId="462892069">
    <w:abstractNumId w:val="10"/>
    <w:lvlOverride w:ilvl="0">
      <w:startOverride w:val="1"/>
    </w:lvlOverride>
  </w:num>
  <w:num w:numId="18" w16cid:durableId="1770739262">
    <w:abstractNumId w:val="7"/>
  </w:num>
  <w:num w:numId="19" w16cid:durableId="1653946964">
    <w:abstractNumId w:val="0"/>
  </w:num>
  <w:num w:numId="20" w16cid:durableId="2017920796">
    <w:abstractNumId w:val="3"/>
  </w:num>
  <w:num w:numId="21" w16cid:durableId="1788912">
    <w:abstractNumId w:val="6"/>
  </w:num>
  <w:num w:numId="22" w16cid:durableId="953052192">
    <w:abstractNumId w:val="17"/>
  </w:num>
  <w:num w:numId="23" w16cid:durableId="1207987073">
    <w:abstractNumId w:val="13"/>
  </w:num>
  <w:num w:numId="24" w16cid:durableId="2007516238">
    <w:abstractNumId w:val="11"/>
  </w:num>
  <w:num w:numId="25" w16cid:durableId="1678384966">
    <w:abstractNumId w:val="21"/>
  </w:num>
  <w:num w:numId="26" w16cid:durableId="763379123">
    <w:abstractNumId w:val="15"/>
  </w:num>
  <w:num w:numId="27" w16cid:durableId="1566259768">
    <w:abstractNumId w:val="12"/>
  </w:num>
  <w:num w:numId="28" w16cid:durableId="460076214">
    <w:abstractNumId w:val="19"/>
  </w:num>
  <w:num w:numId="29" w16cid:durableId="701128344">
    <w:abstractNumId w:val="4"/>
  </w:num>
  <w:num w:numId="30" w16cid:durableId="742677517">
    <w:abstractNumId w:val="8"/>
  </w:num>
  <w:num w:numId="31" w16cid:durableId="340593606">
    <w:abstractNumId w:val="1"/>
  </w:num>
  <w:num w:numId="32" w16cid:durableId="413018710">
    <w:abstractNumId w:val="14"/>
  </w:num>
  <w:num w:numId="33" w16cid:durableId="18603858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F9"/>
    <w:rsid w:val="00071A72"/>
    <w:rsid w:val="000A4650"/>
    <w:rsid w:val="00447998"/>
    <w:rsid w:val="00626BF9"/>
    <w:rsid w:val="00F62C2E"/>
    <w:rsid w:val="00F8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A9190D"/>
    <w:pPr>
      <w:keepNext/>
      <w:spacing w:before="240" w:after="60"/>
      <w:jc w:val="center"/>
      <w:outlineLvl w:val="0"/>
    </w:pPr>
    <w:rPr>
      <w:rFonts w:eastAsia="Times New Roman"/>
      <w:b/>
      <w:bCs/>
      <w:kern w:val="32"/>
      <w:szCs w:val="26"/>
    </w:rPr>
  </w:style>
  <w:style w:type="paragraph" w:styleId="Heading2">
    <w:name w:val="heading 2"/>
    <w:basedOn w:val="Normal"/>
    <w:next w:val="Normal"/>
    <w:link w:val="Heading2Char"/>
    <w:uiPriority w:val="9"/>
    <w:unhideWhenUsed/>
    <w:qFormat/>
    <w:rsid w:val="001010C0"/>
    <w:pPr>
      <w:numPr>
        <w:numId w:val="9"/>
      </w:numPr>
      <w:outlineLvl w:val="1"/>
    </w:pPr>
    <w:rPr>
      <w:b/>
      <w:bCs/>
    </w:rPr>
  </w:style>
  <w:style w:type="paragraph" w:styleId="Heading3">
    <w:name w:val="heading 3"/>
    <w:basedOn w:val="Normal"/>
    <w:next w:val="Normal"/>
    <w:link w:val="Heading3Char"/>
    <w:uiPriority w:val="9"/>
    <w:unhideWhenUsed/>
    <w:qFormat/>
    <w:rsid w:val="00E76053"/>
    <w:pPr>
      <w:numPr>
        <w:numId w:val="12"/>
      </w:numPr>
      <w:outlineLvl w:val="2"/>
    </w:pPr>
    <w:rPr>
      <w:b/>
      <w:bCs/>
      <w:i/>
      <w:iCs/>
    </w:rPr>
  </w:style>
  <w:style w:type="paragraph" w:styleId="Heading4">
    <w:name w:val="heading 4"/>
    <w:basedOn w:val="Normal"/>
    <w:next w:val="Normal"/>
    <w:link w:val="Heading4Char"/>
    <w:uiPriority w:val="9"/>
    <w:unhideWhenUsed/>
    <w:qFormat/>
    <w:rsid w:val="00F95859"/>
    <w:pPr>
      <w:keepNext/>
      <w:numPr>
        <w:numId w:val="13"/>
      </w:numPr>
      <w:spacing w:line="240" w:lineRule="auto"/>
      <w:ind w:left="18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190D"/>
    <w:rPr>
      <w:rFonts w:ascii="Century Schoolbook" w:eastAsia="Times New Roman" w:hAnsi="Century Schoolbook" w:cs="Times New Roman"/>
      <w:b/>
      <w:bCs/>
      <w:kern w:val="32"/>
      <w:sz w:val="26"/>
      <w:szCs w:val="26"/>
    </w:rPr>
  </w:style>
  <w:style w:type="paragraph" w:styleId="Header">
    <w:name w:val="header"/>
    <w:basedOn w:val="Normal"/>
    <w:link w:val="HeaderChar"/>
    <w:uiPriority w:val="99"/>
    <w:unhideWhenUsed/>
    <w:rsid w:val="007A17D6"/>
    <w:pPr>
      <w:tabs>
        <w:tab w:val="center" w:pos="4680"/>
        <w:tab w:val="right" w:pos="9360"/>
      </w:tabs>
    </w:pPr>
  </w:style>
  <w:style w:type="character" w:customStyle="1" w:styleId="HeaderChar">
    <w:name w:val="Header Char"/>
    <w:link w:val="Header"/>
    <w:uiPriority w:val="99"/>
    <w:rsid w:val="007A17D6"/>
    <w:rPr>
      <w:rFonts w:ascii="Century Schoolbook" w:hAnsi="Century Schoolbook"/>
      <w:sz w:val="26"/>
      <w:szCs w:val="22"/>
    </w:rPr>
  </w:style>
  <w:style w:type="paragraph" w:styleId="Footer">
    <w:name w:val="footer"/>
    <w:basedOn w:val="Normal"/>
    <w:link w:val="FooterChar"/>
    <w:uiPriority w:val="99"/>
    <w:unhideWhenUsed/>
    <w:rsid w:val="007A17D6"/>
    <w:pPr>
      <w:tabs>
        <w:tab w:val="center" w:pos="4680"/>
        <w:tab w:val="right" w:pos="9360"/>
      </w:tabs>
    </w:pPr>
  </w:style>
  <w:style w:type="character" w:customStyle="1" w:styleId="FooterChar">
    <w:name w:val="Footer Char"/>
    <w:link w:val="Footer"/>
    <w:uiPriority w:val="99"/>
    <w:rsid w:val="007A17D6"/>
    <w:rPr>
      <w:rFonts w:ascii="Century Schoolbook" w:hAnsi="Century Schoolbook"/>
      <w:sz w:val="26"/>
      <w:szCs w:val="22"/>
    </w:rPr>
  </w:style>
  <w:style w:type="character" w:styleId="PageNumber">
    <w:name w:val="page number"/>
    <w:uiPriority w:val="99"/>
    <w:semiHidden/>
    <w:unhideWhenUsed/>
    <w:rsid w:val="007A17D6"/>
  </w:style>
  <w:style w:type="paragraph" w:styleId="FootnoteText">
    <w:name w:val="footnote text"/>
    <w:basedOn w:val="Normal"/>
    <w:link w:val="FootnoteTextChar"/>
    <w:uiPriority w:val="99"/>
    <w:unhideWhenUsed/>
    <w:rsid w:val="00286E67"/>
    <w:rPr>
      <w:sz w:val="20"/>
      <w:szCs w:val="20"/>
    </w:rPr>
  </w:style>
  <w:style w:type="character" w:customStyle="1" w:styleId="FootnoteTextChar">
    <w:name w:val="Footnote Text Char"/>
    <w:link w:val="FootnoteText"/>
    <w:uiPriority w:val="99"/>
    <w:rsid w:val="00286E67"/>
    <w:rPr>
      <w:rFonts w:ascii="Century Schoolbook" w:hAnsi="Century Schoolbook"/>
    </w:rPr>
  </w:style>
  <w:style w:type="character" w:styleId="FootnoteReference">
    <w:name w:val="footnote reference"/>
    <w:uiPriority w:val="99"/>
    <w:semiHidden/>
    <w:unhideWhenUsed/>
    <w:rsid w:val="00286E67"/>
    <w:rPr>
      <w:vertAlign w:val="superscript"/>
    </w:rPr>
  </w:style>
  <w:style w:type="character" w:styleId="Emphasis">
    <w:name w:val="Emphasis"/>
    <w:uiPriority w:val="20"/>
    <w:qFormat/>
    <w:rsid w:val="00152C43"/>
    <w:rPr>
      <w:i/>
      <w:iCs/>
    </w:rPr>
  </w:style>
  <w:style w:type="character" w:customStyle="1" w:styleId="Heading2Char">
    <w:name w:val="Heading 2 Char"/>
    <w:link w:val="Heading2"/>
    <w:uiPriority w:val="9"/>
    <w:rsid w:val="001010C0"/>
    <w:rPr>
      <w:rFonts w:ascii="Century Schoolbook" w:hAnsi="Century Schoolbook"/>
      <w:b/>
      <w:bCs/>
      <w:sz w:val="26"/>
      <w:szCs w:val="22"/>
    </w:rPr>
  </w:style>
  <w:style w:type="paragraph" w:styleId="BalloonText">
    <w:name w:val="Balloon Text"/>
    <w:basedOn w:val="Normal"/>
    <w:link w:val="BalloonTextChar"/>
    <w:uiPriority w:val="99"/>
    <w:semiHidden/>
    <w:unhideWhenUsed/>
    <w:rsid w:val="009F681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F6818"/>
    <w:rPr>
      <w:rFonts w:ascii="Segoe UI" w:hAnsi="Segoe UI" w:cs="Segoe UI"/>
      <w:sz w:val="18"/>
      <w:szCs w:val="18"/>
    </w:rPr>
  </w:style>
  <w:style w:type="character" w:customStyle="1" w:styleId="Heading3Char">
    <w:name w:val="Heading 3 Char"/>
    <w:link w:val="Heading3"/>
    <w:uiPriority w:val="9"/>
    <w:rsid w:val="00E76053"/>
    <w:rPr>
      <w:rFonts w:ascii="Century Schoolbook" w:hAnsi="Century Schoolbook"/>
      <w:b/>
      <w:bCs/>
      <w:i/>
      <w:iCs/>
      <w:sz w:val="26"/>
      <w:szCs w:val="22"/>
    </w:rPr>
  </w:style>
  <w:style w:type="character" w:customStyle="1" w:styleId="coconcept18">
    <w:name w:val="co_concept_1_8"/>
    <w:basedOn w:val="DefaultParagraphFont"/>
    <w:rsid w:val="00E00292"/>
  </w:style>
  <w:style w:type="paragraph" w:customStyle="1" w:styleId="coindentleft">
    <w:name w:val="co_indentleft"/>
    <w:basedOn w:val="Normal"/>
    <w:rsid w:val="00E00292"/>
    <w:pPr>
      <w:spacing w:before="100" w:beforeAutospacing="1" w:after="100" w:afterAutospacing="1" w:line="240" w:lineRule="auto"/>
    </w:pPr>
    <w:rPr>
      <w:rFonts w:ascii="Times New Roman" w:eastAsia="Times New Roman" w:hAnsi="Times New Roman"/>
      <w:sz w:val="24"/>
      <w:szCs w:val="24"/>
    </w:rPr>
  </w:style>
  <w:style w:type="character" w:customStyle="1" w:styleId="coconcept17">
    <w:name w:val="co_concept_1_7"/>
    <w:basedOn w:val="DefaultParagraphFont"/>
    <w:rsid w:val="00C13C15"/>
  </w:style>
  <w:style w:type="character" w:styleId="Hyperlink">
    <w:name w:val="Hyperlink"/>
    <w:uiPriority w:val="99"/>
    <w:unhideWhenUsed/>
    <w:rsid w:val="000B7467"/>
    <w:rPr>
      <w:color w:val="0563C1"/>
      <w:u w:val="single"/>
    </w:rPr>
  </w:style>
  <w:style w:type="character" w:customStyle="1" w:styleId="UnresolvedMention1">
    <w:name w:val="Unresolved Mention1"/>
    <w:uiPriority w:val="99"/>
    <w:semiHidden/>
    <w:unhideWhenUsed/>
    <w:rsid w:val="000B7467"/>
    <w:rPr>
      <w:color w:val="605E5C"/>
      <w:shd w:val="clear" w:color="auto" w:fill="E1DFDD"/>
    </w:rPr>
  </w:style>
  <w:style w:type="paragraph" w:styleId="Revision">
    <w:name w:val="Revision"/>
    <w:hidden/>
    <w:uiPriority w:val="99"/>
    <w:semiHidden/>
    <w:rsid w:val="005F4387"/>
    <w:rPr>
      <w:rFonts w:ascii="Century Schoolbook" w:hAnsi="Century Schoolbook"/>
      <w:sz w:val="26"/>
      <w:szCs w:val="22"/>
    </w:rPr>
  </w:style>
  <w:style w:type="character" w:styleId="CommentReference">
    <w:name w:val="annotation reference"/>
    <w:uiPriority w:val="99"/>
    <w:semiHidden/>
    <w:unhideWhenUsed/>
    <w:rsid w:val="00BE3AEA"/>
    <w:rPr>
      <w:sz w:val="16"/>
      <w:szCs w:val="16"/>
    </w:rPr>
  </w:style>
  <w:style w:type="paragraph" w:styleId="CommentText">
    <w:name w:val="annotation text"/>
    <w:basedOn w:val="Normal"/>
    <w:link w:val="CommentTextChar"/>
    <w:uiPriority w:val="99"/>
    <w:unhideWhenUsed/>
    <w:rsid w:val="00BE3AEA"/>
    <w:rPr>
      <w:sz w:val="20"/>
      <w:szCs w:val="20"/>
    </w:rPr>
  </w:style>
  <w:style w:type="character" w:customStyle="1" w:styleId="CommentTextChar">
    <w:name w:val="Comment Text Char"/>
    <w:link w:val="CommentText"/>
    <w:uiPriority w:val="99"/>
    <w:rsid w:val="00BE3AEA"/>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BE3AEA"/>
    <w:rPr>
      <w:b/>
      <w:bCs/>
    </w:rPr>
  </w:style>
  <w:style w:type="character" w:customStyle="1" w:styleId="CommentSubjectChar">
    <w:name w:val="Comment Subject Char"/>
    <w:link w:val="CommentSubject"/>
    <w:uiPriority w:val="99"/>
    <w:semiHidden/>
    <w:rsid w:val="00BE3AEA"/>
    <w:rPr>
      <w:rFonts w:ascii="Century Schoolbook" w:hAnsi="Century Schoolbook"/>
      <w:b/>
      <w:bCs/>
    </w:rPr>
  </w:style>
  <w:style w:type="paragraph" w:styleId="BodyText">
    <w:name w:val="Body Text"/>
    <w:basedOn w:val="Normal"/>
    <w:link w:val="BodyTextChar"/>
    <w:uiPriority w:val="99"/>
    <w:unhideWhenUsed/>
    <w:rsid w:val="00A426ED"/>
    <w:pPr>
      <w:pBdr>
        <w:top w:val="single" w:sz="4" w:space="1" w:color="auto"/>
        <w:left w:val="single" w:sz="4" w:space="4" w:color="auto"/>
        <w:bottom w:val="single" w:sz="4" w:space="1" w:color="auto"/>
        <w:right w:val="single" w:sz="4" w:space="4" w:color="auto"/>
      </w:pBdr>
      <w:spacing w:line="140" w:lineRule="exact"/>
    </w:pPr>
    <w:rPr>
      <w:rFonts w:ascii="Arial" w:hAnsi="Arial" w:cs="Arial"/>
      <w:b/>
      <w:sz w:val="16"/>
    </w:rPr>
  </w:style>
  <w:style w:type="character" w:customStyle="1" w:styleId="BodyTextChar">
    <w:name w:val="Body Text Char"/>
    <w:link w:val="BodyText"/>
    <w:uiPriority w:val="99"/>
    <w:rsid w:val="00A426ED"/>
    <w:rPr>
      <w:rFonts w:ascii="Arial" w:hAnsi="Arial" w:cs="Arial"/>
      <w:b/>
      <w:sz w:val="16"/>
      <w:szCs w:val="22"/>
    </w:rPr>
  </w:style>
  <w:style w:type="paragraph" w:styleId="BodyTextIndent">
    <w:name w:val="Body Text Indent"/>
    <w:basedOn w:val="Normal"/>
    <w:link w:val="BodyTextIndentChar"/>
    <w:uiPriority w:val="99"/>
    <w:unhideWhenUsed/>
    <w:rsid w:val="00A426ED"/>
    <w:pPr>
      <w:spacing w:before="120" w:after="240"/>
      <w:ind w:firstLine="720"/>
    </w:pPr>
  </w:style>
  <w:style w:type="character" w:customStyle="1" w:styleId="BodyTextIndentChar">
    <w:name w:val="Body Text Indent Char"/>
    <w:link w:val="BodyTextIndent"/>
    <w:uiPriority w:val="99"/>
    <w:rsid w:val="00A426ED"/>
    <w:rPr>
      <w:rFonts w:ascii="Century Schoolbook" w:hAnsi="Century Schoolbook"/>
      <w:sz w:val="26"/>
      <w:szCs w:val="22"/>
    </w:rPr>
  </w:style>
  <w:style w:type="paragraph" w:customStyle="1" w:styleId="Default">
    <w:name w:val="Default"/>
    <w:rsid w:val="00F976EE"/>
    <w:pPr>
      <w:autoSpaceDE w:val="0"/>
      <w:autoSpaceDN w:val="0"/>
      <w:adjustRightInd w:val="0"/>
    </w:pPr>
    <w:rPr>
      <w:rFonts w:ascii="Century Schoolbook" w:hAnsi="Century Schoolbook" w:cs="Century Schoolbook"/>
      <w:color w:val="000000"/>
      <w:sz w:val="24"/>
      <w:szCs w:val="24"/>
    </w:rPr>
  </w:style>
  <w:style w:type="character" w:customStyle="1" w:styleId="mswsearchterm">
    <w:name w:val="mswsearchterm"/>
    <w:basedOn w:val="DefaultParagraphFont"/>
    <w:rsid w:val="00C02FB7"/>
  </w:style>
  <w:style w:type="character" w:customStyle="1" w:styleId="coconcept110">
    <w:name w:val="co_concept_1_10"/>
    <w:basedOn w:val="DefaultParagraphFont"/>
    <w:rsid w:val="00E81A6D"/>
  </w:style>
  <w:style w:type="character" w:customStyle="1" w:styleId="coconcept1523">
    <w:name w:val="co_concept_15_23"/>
    <w:basedOn w:val="DefaultParagraphFont"/>
    <w:rsid w:val="00E81A6D"/>
  </w:style>
  <w:style w:type="character" w:customStyle="1" w:styleId="coconcept2836">
    <w:name w:val="co_concept_28_36"/>
    <w:basedOn w:val="DefaultParagraphFont"/>
    <w:rsid w:val="00E81A6D"/>
  </w:style>
  <w:style w:type="character" w:customStyle="1" w:styleId="coconcept4152">
    <w:name w:val="co_concept_41_52"/>
    <w:basedOn w:val="DefaultParagraphFont"/>
    <w:rsid w:val="00E81A6D"/>
  </w:style>
  <w:style w:type="character" w:customStyle="1" w:styleId="coconcept19">
    <w:name w:val="co_concept_1_9"/>
    <w:basedOn w:val="DefaultParagraphFont"/>
    <w:rsid w:val="004F6174"/>
  </w:style>
  <w:style w:type="character" w:customStyle="1" w:styleId="coconcept1423">
    <w:name w:val="co_concept_14_23"/>
    <w:basedOn w:val="DefaultParagraphFont"/>
    <w:rsid w:val="004F6174"/>
  </w:style>
  <w:style w:type="character" w:customStyle="1" w:styleId="coconcept2838">
    <w:name w:val="co_concept_28_38"/>
    <w:basedOn w:val="DefaultParagraphFont"/>
    <w:rsid w:val="004F6174"/>
  </w:style>
  <w:style w:type="character" w:customStyle="1" w:styleId="Heading4Char">
    <w:name w:val="Heading 4 Char"/>
    <w:basedOn w:val="DefaultParagraphFont"/>
    <w:link w:val="Heading4"/>
    <w:uiPriority w:val="9"/>
    <w:rsid w:val="00F95859"/>
    <w:rPr>
      <w:rFonts w:ascii="Century Schoolbook" w:hAnsi="Century Schoolbook"/>
      <w:b/>
      <w:bCs/>
      <w:sz w:val="26"/>
      <w:szCs w:val="22"/>
    </w:rPr>
  </w:style>
  <w:style w:type="paragraph" w:styleId="Title">
    <w:name w:val="Title"/>
    <w:basedOn w:val="Normal"/>
    <w:next w:val="Normal"/>
    <w:link w:val="TitleChar"/>
    <w:uiPriority w:val="10"/>
    <w:qFormat/>
    <w:rsid w:val="009F1403"/>
    <w:pPr>
      <w:spacing w:line="240" w:lineRule="auto"/>
      <w:jc w:val="center"/>
    </w:pPr>
    <w:rPr>
      <w:b/>
      <w:color w:val="FF0000"/>
      <w:sz w:val="44"/>
      <w:szCs w:val="44"/>
    </w:rPr>
  </w:style>
  <w:style w:type="character" w:customStyle="1" w:styleId="TitleChar">
    <w:name w:val="Title Char"/>
    <w:basedOn w:val="DefaultParagraphFont"/>
    <w:link w:val="Title"/>
    <w:uiPriority w:val="10"/>
    <w:rsid w:val="009F1403"/>
    <w:rPr>
      <w:rFonts w:ascii="Century Schoolbook" w:hAnsi="Century Schoolbook"/>
      <w:b/>
      <w:color w:val="FF0000"/>
      <w:sz w:val="44"/>
      <w:szCs w:val="44"/>
    </w:rPr>
  </w:style>
  <w:style w:type="character" w:customStyle="1" w:styleId="coconcept1522">
    <w:name w:val="co_concept_15_22"/>
    <w:basedOn w:val="DefaultParagraphFont"/>
    <w:rsid w:val="001E063C"/>
  </w:style>
  <w:style w:type="character" w:customStyle="1" w:styleId="coconcept3038">
    <w:name w:val="co_concept_30_38"/>
    <w:basedOn w:val="DefaultParagraphFont"/>
    <w:rsid w:val="00DF5125"/>
  </w:style>
  <w:style w:type="character" w:customStyle="1" w:styleId="coconcept7580">
    <w:name w:val="co_concept_75_80"/>
    <w:basedOn w:val="DefaultParagraphFont"/>
    <w:rsid w:val="00DF5125"/>
  </w:style>
  <w:style w:type="character" w:customStyle="1" w:styleId="coconcept4453">
    <w:name w:val="co_concept_44_53"/>
    <w:basedOn w:val="DefaultParagraphFont"/>
    <w:rsid w:val="00DF5125"/>
  </w:style>
  <w:style w:type="character" w:customStyle="1" w:styleId="coconcept6068">
    <w:name w:val="co_concept_60_68"/>
    <w:basedOn w:val="DefaultParagraphFont"/>
    <w:rsid w:val="00DF5125"/>
  </w:style>
  <w:style w:type="paragraph" w:styleId="ListParagraph">
    <w:name w:val="List Paragraph"/>
    <w:basedOn w:val="Normal"/>
    <w:uiPriority w:val="34"/>
    <w:qFormat/>
    <w:rsid w:val="000F0E5A"/>
    <w:pPr>
      <w:ind w:left="720"/>
      <w:contextualSpacing/>
    </w:pPr>
  </w:style>
  <w:style w:type="character" w:styleId="PlaceholderText">
    <w:name w:val="Placeholder Text"/>
    <w:basedOn w:val="DefaultParagraphFont"/>
    <w:uiPriority w:val="99"/>
    <w:semiHidden/>
    <w:rsid w:val="00276F02"/>
    <w:rPr>
      <w:color w:val="808080"/>
    </w:rPr>
  </w:style>
  <w:style w:type="character" w:customStyle="1" w:styleId="normaltextrun">
    <w:name w:val="normaltextrun"/>
    <w:basedOn w:val="DefaultParagraphFont"/>
    <w:rsid w:val="00A7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6084</Words>
  <Characters>33322</Characters>
  <Application>Microsoft Office Word</Application>
  <DocSecurity>0</DocSecurity>
  <Lines>712</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2024-05-31T20:42:00Z</dcterms:created>
  <dcterms:modified xsi:type="dcterms:W3CDTF">2024-05-31T20:42:00Z</dcterms:modified>
  <cp:category/>
</cp:coreProperties>
</file>