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A878" w14:textId="0EBCD0DA" w:rsidR="00902E0E" w:rsidRPr="004E4E92" w:rsidRDefault="00E14C82" w:rsidP="00182508">
      <w:pPr>
        <w:spacing w:line="240" w:lineRule="auto"/>
        <w:ind w:firstLine="0"/>
        <w:rPr>
          <w:sz w:val="20"/>
          <w:szCs w:val="16"/>
        </w:rPr>
      </w:pPr>
      <w:r>
        <w:rPr>
          <w:sz w:val="20"/>
          <w:szCs w:val="16"/>
        </w:rPr>
        <w:t xml:space="preserve">Filed </w:t>
      </w:r>
      <w:proofErr w:type="gramStart"/>
      <w:r>
        <w:rPr>
          <w:sz w:val="20"/>
          <w:szCs w:val="16"/>
        </w:rPr>
        <w:t>6/5/24</w:t>
      </w:r>
      <w:proofErr w:type="gramEnd"/>
    </w:p>
    <w:p w14:paraId="12911B60" w14:textId="561C7C90" w:rsidR="00902E0E" w:rsidRPr="00902E0E" w:rsidRDefault="00902E0E" w:rsidP="007A461E">
      <w:pPr>
        <w:spacing w:after="120" w:line="240" w:lineRule="auto"/>
        <w:jc w:val="center"/>
        <w:rPr>
          <w:b/>
          <w:bCs/>
        </w:rPr>
      </w:pPr>
      <w:r>
        <w:rPr>
          <w:b/>
          <w:bCs/>
        </w:rPr>
        <w:t>CERTIFIED FOR PUBLICATION</w:t>
      </w:r>
    </w:p>
    <w:p w14:paraId="5368BB7D" w14:textId="7D6E6F90" w:rsidR="00902E0E" w:rsidRPr="00C74EDC" w:rsidRDefault="00902E0E" w:rsidP="00902E0E">
      <w:pPr>
        <w:spacing w:line="240" w:lineRule="auto"/>
        <w:jc w:val="center"/>
        <w:textAlignment w:val="baseline"/>
        <w:rPr>
          <w:rFonts w:ascii="Times New Roman" w:hAnsi="Times New Roman"/>
          <w:caps/>
          <w:szCs w:val="24"/>
        </w:rPr>
      </w:pPr>
      <w:r w:rsidRPr="0077099E">
        <w:rPr>
          <w:rFonts w:ascii="Times New Roman" w:hAnsi="Times New Roman"/>
          <w:caps/>
          <w:szCs w:val="24"/>
        </w:rPr>
        <w:t>IN THE COURT OF APPEAL OF THE STATE OF CALIFORNIA</w:t>
      </w:r>
    </w:p>
    <w:p w14:paraId="789E6C70" w14:textId="4CF5AF17" w:rsidR="00902E0E" w:rsidRPr="00C74EDC" w:rsidRDefault="00902E0E" w:rsidP="00902E0E">
      <w:pPr>
        <w:spacing w:line="240" w:lineRule="auto"/>
        <w:jc w:val="center"/>
        <w:textAlignment w:val="baseline"/>
        <w:rPr>
          <w:rFonts w:ascii="Times New Roman" w:hAnsi="Times New Roman"/>
          <w:sz w:val="24"/>
          <w:szCs w:val="24"/>
        </w:rPr>
      </w:pPr>
      <w:r w:rsidRPr="0077099E">
        <w:rPr>
          <w:rFonts w:ascii="Times New Roman" w:hAnsi="Times New Roman"/>
          <w:caps/>
          <w:szCs w:val="24"/>
        </w:rPr>
        <w:t>SECOND APPELLATE DISTRICT</w:t>
      </w:r>
      <w:r w:rsidRPr="0077099E">
        <w:rPr>
          <w:rFonts w:ascii="Times New Roman" w:hAnsi="Times New Roman"/>
          <w:sz w:val="24"/>
          <w:szCs w:val="24"/>
        </w:rPr>
        <w:t> </w:t>
      </w:r>
    </w:p>
    <w:p w14:paraId="105EC64A" w14:textId="6C4EB9C2" w:rsidR="00285EC4" w:rsidRPr="00902E0E" w:rsidRDefault="00902E0E" w:rsidP="00902E0E">
      <w:pPr>
        <w:spacing w:after="120" w:line="240" w:lineRule="auto"/>
        <w:jc w:val="center"/>
        <w:textAlignment w:val="baseline"/>
        <w:rPr>
          <w:rFonts w:ascii="Times New Roman" w:hAnsi="Times New Roman"/>
          <w:sz w:val="24"/>
          <w:szCs w:val="24"/>
        </w:rPr>
      </w:pPr>
      <w:r w:rsidRPr="0077099E">
        <w:rPr>
          <w:rFonts w:ascii="Times New Roman" w:hAnsi="Times New Roman"/>
          <w:caps/>
          <w:szCs w:val="24"/>
        </w:rPr>
        <w:t>DIVISION FOUR</w:t>
      </w:r>
      <w:r w:rsidRPr="0077099E">
        <w:rPr>
          <w:rFonts w:ascii="Times New Roman" w:hAnsi="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3784"/>
      </w:tblGrid>
      <w:tr w:rsidR="00285EC4" w:rsidRPr="00326518" w14:paraId="3450CAE4" w14:textId="77777777" w:rsidTr="002D7652">
        <w:tc>
          <w:tcPr>
            <w:tcW w:w="2611" w:type="pct"/>
            <w:tcBorders>
              <w:top w:val="nil"/>
              <w:left w:val="nil"/>
            </w:tcBorders>
          </w:tcPr>
          <w:p w14:paraId="1EE9B870" w14:textId="3C29A0EC" w:rsidR="00285EC4" w:rsidRPr="0044376A" w:rsidRDefault="006E69D9" w:rsidP="007A461E">
            <w:pPr>
              <w:spacing w:after="240" w:line="280" w:lineRule="exact"/>
              <w:ind w:firstLine="0"/>
              <w:rPr>
                <w:spacing w:val="4"/>
              </w:rPr>
            </w:pPr>
            <w:r>
              <w:rPr>
                <w:spacing w:val="4"/>
              </w:rPr>
              <w:t>CHARLES COHEN et al.</w:t>
            </w:r>
            <w:r w:rsidR="00285EC4" w:rsidRPr="0044376A">
              <w:rPr>
                <w:spacing w:val="4"/>
              </w:rPr>
              <w:t>,</w:t>
            </w:r>
          </w:p>
          <w:p w14:paraId="075552F8" w14:textId="240F60DE" w:rsidR="00285EC4" w:rsidRPr="00EC018B" w:rsidRDefault="00285EC4" w:rsidP="002D7652">
            <w:pPr>
              <w:spacing w:after="240" w:line="280" w:lineRule="exact"/>
              <w:ind w:firstLine="0"/>
            </w:pPr>
            <w:r w:rsidRPr="00EC018B">
              <w:tab/>
            </w:r>
            <w:proofErr w:type="gramStart"/>
            <w:r w:rsidRPr="00EC018B">
              <w:t>Petitioner</w:t>
            </w:r>
            <w:r w:rsidR="006E69D9">
              <w:t>s</w:t>
            </w:r>
            <w:r w:rsidRPr="00EC018B">
              <w:t>;</w:t>
            </w:r>
            <w:proofErr w:type="gramEnd"/>
          </w:p>
          <w:p w14:paraId="6F5CA2FF" w14:textId="77777777" w:rsidR="00285EC4" w:rsidRPr="00EC018B" w:rsidRDefault="00285EC4" w:rsidP="002D7652">
            <w:pPr>
              <w:spacing w:after="240" w:line="280" w:lineRule="exact"/>
              <w:ind w:firstLine="0"/>
            </w:pPr>
            <w:r w:rsidRPr="00EC018B">
              <w:tab/>
              <w:t>v.</w:t>
            </w:r>
          </w:p>
          <w:p w14:paraId="4FE60599" w14:textId="77777777" w:rsidR="00285EC4" w:rsidRPr="00EC018B" w:rsidRDefault="00285EC4" w:rsidP="002D7652">
            <w:pPr>
              <w:spacing w:after="240" w:line="280" w:lineRule="exact"/>
              <w:ind w:firstLine="0"/>
              <w:rPr>
                <w:rFonts w:eastAsia="Calibri"/>
                <w:noProof/>
                <w:kern w:val="0"/>
              </w:rPr>
            </w:pPr>
            <w:r w:rsidRPr="0044376A">
              <w:rPr>
                <w:rFonts w:eastAsia="Calibri"/>
                <w:noProof/>
                <w:spacing w:val="4"/>
                <w:kern w:val="0"/>
              </w:rPr>
              <w:t>SUPERIOR COURT OF LOS</w:t>
            </w:r>
            <w:r>
              <w:rPr>
                <w:rFonts w:eastAsia="Calibri"/>
                <w:noProof/>
                <w:spacing w:val="4"/>
                <w:kern w:val="0"/>
              </w:rPr>
              <w:t xml:space="preserve"> </w:t>
            </w:r>
            <w:r w:rsidRPr="0044376A">
              <w:rPr>
                <w:rFonts w:eastAsia="Calibri"/>
                <w:noProof/>
                <w:spacing w:val="4"/>
                <w:kern w:val="0"/>
              </w:rPr>
              <w:t>ANGELES</w:t>
            </w:r>
            <w:r>
              <w:rPr>
                <w:rFonts w:eastAsia="Calibri"/>
                <w:noProof/>
                <w:spacing w:val="4"/>
                <w:kern w:val="0"/>
              </w:rPr>
              <w:t xml:space="preserve"> COUNTY</w:t>
            </w:r>
            <w:r w:rsidRPr="00EC018B">
              <w:rPr>
                <w:rFonts w:eastAsia="Calibri"/>
                <w:noProof/>
                <w:kern w:val="0"/>
              </w:rPr>
              <w:t>,</w:t>
            </w:r>
          </w:p>
          <w:p w14:paraId="4671AD40" w14:textId="77777777" w:rsidR="00285EC4" w:rsidRPr="00EC018B" w:rsidRDefault="00285EC4" w:rsidP="002D7652">
            <w:pPr>
              <w:spacing w:after="240" w:line="280" w:lineRule="exact"/>
              <w:ind w:firstLine="0"/>
            </w:pPr>
            <w:r w:rsidRPr="00EC018B">
              <w:tab/>
            </w:r>
            <w:proofErr w:type="gramStart"/>
            <w:r w:rsidRPr="00EC018B">
              <w:t>Respondent;</w:t>
            </w:r>
            <w:proofErr w:type="gramEnd"/>
          </w:p>
          <w:p w14:paraId="121054F5" w14:textId="6941475D" w:rsidR="00285EC4" w:rsidRPr="0044376A" w:rsidRDefault="006E69D9" w:rsidP="002D7652">
            <w:pPr>
              <w:spacing w:after="240" w:line="280" w:lineRule="exact"/>
              <w:ind w:firstLine="0"/>
              <w:rPr>
                <w:spacing w:val="4"/>
              </w:rPr>
            </w:pPr>
            <w:r>
              <w:rPr>
                <w:spacing w:val="4"/>
              </w:rPr>
              <w:t>THOMAS SCHWARTZ, Individually and as Trustee, etc., et al.</w:t>
            </w:r>
            <w:r w:rsidR="00285EC4" w:rsidRPr="0044376A">
              <w:rPr>
                <w:spacing w:val="4"/>
              </w:rPr>
              <w:t>,</w:t>
            </w:r>
          </w:p>
          <w:p w14:paraId="1797F347" w14:textId="61BDF3A0" w:rsidR="00285EC4" w:rsidRPr="00326518" w:rsidRDefault="00285EC4" w:rsidP="007A461E">
            <w:pPr>
              <w:tabs>
                <w:tab w:val="left" w:pos="547"/>
              </w:tabs>
              <w:spacing w:after="120" w:line="320" w:lineRule="exact"/>
              <w:ind w:firstLine="0"/>
            </w:pPr>
            <w:r w:rsidRPr="00EC018B">
              <w:tab/>
              <w:t>Real Part</w:t>
            </w:r>
            <w:r w:rsidR="00E103ED">
              <w:t>ies</w:t>
            </w:r>
            <w:r w:rsidRPr="00EC018B">
              <w:t xml:space="preserve"> in Interest.</w:t>
            </w:r>
          </w:p>
        </w:tc>
        <w:tc>
          <w:tcPr>
            <w:tcW w:w="2389" w:type="pct"/>
            <w:tcBorders>
              <w:top w:val="nil"/>
              <w:bottom w:val="nil"/>
              <w:right w:val="nil"/>
            </w:tcBorders>
          </w:tcPr>
          <w:p w14:paraId="3B5CAE14" w14:textId="52CE249C" w:rsidR="00285EC4" w:rsidRPr="00811B5C" w:rsidRDefault="00285EC4" w:rsidP="007A461E">
            <w:pPr>
              <w:tabs>
                <w:tab w:val="left" w:pos="1962"/>
              </w:tabs>
              <w:spacing w:after="240" w:line="320" w:lineRule="exact"/>
              <w:ind w:left="346" w:firstLine="0"/>
            </w:pPr>
            <w:r w:rsidRPr="00811B5C">
              <w:t>B</w:t>
            </w:r>
            <w:r w:rsidR="006E69D9">
              <w:t>330202</w:t>
            </w:r>
          </w:p>
          <w:p w14:paraId="6D8F1373" w14:textId="77777777" w:rsidR="00285EC4" w:rsidRPr="00811B5C" w:rsidRDefault="00285EC4" w:rsidP="002D7652">
            <w:pPr>
              <w:tabs>
                <w:tab w:val="left" w:pos="1962"/>
              </w:tabs>
              <w:spacing w:line="320" w:lineRule="exact"/>
              <w:ind w:left="342" w:firstLine="0"/>
            </w:pPr>
            <w:r w:rsidRPr="00811B5C">
              <w:t>Los Angeles County</w:t>
            </w:r>
          </w:p>
          <w:p w14:paraId="24EA08FB" w14:textId="0279BA53" w:rsidR="00285EC4" w:rsidRDefault="00285EC4" w:rsidP="002D7652">
            <w:pPr>
              <w:tabs>
                <w:tab w:val="left" w:pos="1962"/>
              </w:tabs>
              <w:spacing w:after="240" w:line="320" w:lineRule="exact"/>
              <w:ind w:left="346" w:firstLine="0"/>
            </w:pPr>
            <w:r w:rsidRPr="00811B5C">
              <w:t>Super. Ct. No.</w:t>
            </w:r>
            <w:r>
              <w:t xml:space="preserve"> </w:t>
            </w:r>
            <w:r w:rsidR="006E69D9">
              <w:t>22SMCV00736</w:t>
            </w:r>
          </w:p>
          <w:p w14:paraId="416755BB" w14:textId="77777777" w:rsidR="00285EC4" w:rsidRPr="00C91A5E" w:rsidRDefault="00285EC4" w:rsidP="002D7652">
            <w:pPr>
              <w:tabs>
                <w:tab w:val="left" w:pos="1962"/>
              </w:tabs>
              <w:spacing w:before="360" w:after="240" w:line="320" w:lineRule="exact"/>
              <w:ind w:left="346" w:firstLine="0"/>
              <w:rPr>
                <w:b/>
              </w:rPr>
            </w:pPr>
          </w:p>
        </w:tc>
      </w:tr>
    </w:tbl>
    <w:p w14:paraId="1A844C25" w14:textId="6B0A3DD5" w:rsidR="00285EC4" w:rsidRPr="00811B5C" w:rsidRDefault="00285EC4" w:rsidP="007A461E">
      <w:pPr>
        <w:spacing w:before="120"/>
      </w:pPr>
      <w:r>
        <w:t>ORIGINAL PROCEEDINGS</w:t>
      </w:r>
      <w:r w:rsidR="00467229">
        <w:t xml:space="preserve"> in </w:t>
      </w:r>
      <w:r w:rsidR="006E69D9">
        <w:t xml:space="preserve">mandate. Lisa </w:t>
      </w:r>
      <w:proofErr w:type="spellStart"/>
      <w:r w:rsidR="006E69D9">
        <w:t>Sepe-Wiesenfeld</w:t>
      </w:r>
      <w:proofErr w:type="spellEnd"/>
      <w:r w:rsidRPr="00811B5C">
        <w:t>, Judge.</w:t>
      </w:r>
      <w:r>
        <w:t xml:space="preserve"> </w:t>
      </w:r>
      <w:r w:rsidR="006E69D9">
        <w:t>Petition granted</w:t>
      </w:r>
      <w:r w:rsidRPr="00811B5C">
        <w:t>.</w:t>
      </w:r>
    </w:p>
    <w:p w14:paraId="6069ED93" w14:textId="18CF1233" w:rsidR="00285EC4" w:rsidRPr="00811B5C" w:rsidRDefault="006E69D9" w:rsidP="00285EC4">
      <w:r>
        <w:t xml:space="preserve">Complex Appellate Litigation Group, Rex S. </w:t>
      </w:r>
      <w:proofErr w:type="spellStart"/>
      <w:r>
        <w:t>Heinke</w:t>
      </w:r>
      <w:proofErr w:type="spellEnd"/>
      <w:r>
        <w:t xml:space="preserve">, Jessica </w:t>
      </w:r>
      <w:proofErr w:type="spellStart"/>
      <w:r>
        <w:t>Weisel</w:t>
      </w:r>
      <w:proofErr w:type="spellEnd"/>
      <w:r>
        <w:t xml:space="preserve">; </w:t>
      </w:r>
      <w:proofErr w:type="spellStart"/>
      <w:r>
        <w:t>Kozberg</w:t>
      </w:r>
      <w:proofErr w:type="spellEnd"/>
      <w:r>
        <w:t xml:space="preserve"> &amp; </w:t>
      </w:r>
      <w:proofErr w:type="spellStart"/>
      <w:r>
        <w:t>Bodell</w:t>
      </w:r>
      <w:proofErr w:type="spellEnd"/>
      <w:r>
        <w:t xml:space="preserve"> and Joel </w:t>
      </w:r>
      <w:proofErr w:type="spellStart"/>
      <w:r>
        <w:t>Kozberg</w:t>
      </w:r>
      <w:proofErr w:type="spellEnd"/>
      <w:r>
        <w:t>,</w:t>
      </w:r>
      <w:r w:rsidR="00285EC4" w:rsidRPr="00811B5C">
        <w:t xml:space="preserve"> for </w:t>
      </w:r>
      <w:r w:rsidR="00285EC4">
        <w:t>Petitioner</w:t>
      </w:r>
      <w:r>
        <w:t>s</w:t>
      </w:r>
      <w:r w:rsidR="00285EC4" w:rsidRPr="00811B5C">
        <w:t>.</w:t>
      </w:r>
    </w:p>
    <w:p w14:paraId="5ACBFAD7" w14:textId="77777777" w:rsidR="00285EC4" w:rsidRDefault="00285EC4" w:rsidP="00285EC4">
      <w:r>
        <w:t xml:space="preserve">No appearance for </w:t>
      </w:r>
      <w:r w:rsidRPr="00811B5C">
        <w:t>Respondent.</w:t>
      </w:r>
    </w:p>
    <w:p w14:paraId="5E62ED29" w14:textId="59F9BBA8" w:rsidR="00285EC4" w:rsidRDefault="006E69D9" w:rsidP="00285EC4">
      <w:r>
        <w:t xml:space="preserve">Turner Law Firm, Keith J. </w:t>
      </w:r>
      <w:proofErr w:type="gramStart"/>
      <w:r>
        <w:t>Turner</w:t>
      </w:r>
      <w:proofErr w:type="gramEnd"/>
      <w:r>
        <w:t xml:space="preserve"> and Justin </w:t>
      </w:r>
      <w:proofErr w:type="spellStart"/>
      <w:r>
        <w:t>Escano</w:t>
      </w:r>
      <w:proofErr w:type="spellEnd"/>
      <w:r>
        <w:t xml:space="preserve"> </w:t>
      </w:r>
      <w:r w:rsidR="00285EC4" w:rsidRPr="00177C77">
        <w:t>for Real Part</w:t>
      </w:r>
      <w:r>
        <w:t>ies</w:t>
      </w:r>
      <w:r w:rsidR="00285EC4" w:rsidRPr="00177C77">
        <w:t xml:space="preserve"> in Interest.</w:t>
      </w:r>
    </w:p>
    <w:p w14:paraId="54408D63" w14:textId="1EC6339F" w:rsidR="008E2DCB" w:rsidRDefault="00D846CC" w:rsidP="00A05543">
      <w:pPr>
        <w:rPr>
          <w:b/>
        </w:rPr>
      </w:pPr>
      <w:proofErr w:type="spellStart"/>
      <w:r>
        <w:t>Hydee</w:t>
      </w:r>
      <w:proofErr w:type="spellEnd"/>
      <w:r>
        <w:t xml:space="preserve"> Feldstein Soto, City Attorney, Denise C. Mills, Chief Deputy City Attorney, Scott Marcus, Chief Assistant City Attorney, Shaun </w:t>
      </w:r>
      <w:proofErr w:type="spellStart"/>
      <w:r>
        <w:t>Dabby</w:t>
      </w:r>
      <w:proofErr w:type="spellEnd"/>
      <w:r>
        <w:t xml:space="preserve"> Jacobs, Supervising Assistant City Attorney, and Michael M. Walsh, Deputy City Attorney, for City of Los Angeles and the League of California Cities as Amici Curiae. </w:t>
      </w:r>
      <w:r w:rsidR="008E2DCB">
        <w:rPr>
          <w:b/>
        </w:rPr>
        <w:br w:type="page"/>
      </w:r>
    </w:p>
    <w:p w14:paraId="5FF1B958" w14:textId="21FBCEFD" w:rsidR="009D4377" w:rsidRPr="00D902EB" w:rsidRDefault="00285EC4" w:rsidP="003F30A2">
      <w:pPr>
        <w:ind w:firstLine="0"/>
        <w:jc w:val="center"/>
      </w:pPr>
      <w:r w:rsidRPr="003F30A2">
        <w:rPr>
          <w:b/>
        </w:rPr>
        <w:lastRenderedPageBreak/>
        <w:t>INTRODUCTION</w:t>
      </w:r>
    </w:p>
    <w:p w14:paraId="42B5643D" w14:textId="206DC9F8" w:rsidR="00CF3D53" w:rsidRDefault="00F46CEC" w:rsidP="00F46CEC">
      <w:pPr>
        <w:ind w:firstLine="0"/>
      </w:pPr>
      <w:r>
        <w:tab/>
        <w:t>Government Code,</w:t>
      </w:r>
      <w:r w:rsidR="00C36280" w:rsidRPr="00037049">
        <w:rPr>
          <w:rStyle w:val="FootnoteReference"/>
          <w:b w:val="0"/>
        </w:rPr>
        <w:footnoteReference w:id="2"/>
      </w:r>
      <w:r>
        <w:t xml:space="preserve"> section 36900, subdivision (a)</w:t>
      </w:r>
      <w:r w:rsidR="00C72143">
        <w:t xml:space="preserve"> </w:t>
      </w:r>
      <w:r w:rsidR="00CF3D53">
        <w:t xml:space="preserve">provides: </w:t>
      </w:r>
    </w:p>
    <w:p w14:paraId="074124B9" w14:textId="372FA851" w:rsidR="00F46CEC" w:rsidRDefault="00C36280" w:rsidP="0082792E">
      <w:pPr>
        <w:ind w:firstLine="0"/>
      </w:pPr>
      <w:r>
        <w:rPr>
          <w:rFonts w:cs="Open Sans"/>
          <w:color w:val="000000"/>
          <w:shd w:val="clear" w:color="auto" w:fill="FFFFFF"/>
        </w:rPr>
        <w:t>“</w:t>
      </w:r>
      <w:r w:rsidR="00CF3D53" w:rsidRPr="00C36280">
        <w:rPr>
          <w:rFonts w:cs="Open Sans"/>
          <w:color w:val="000000"/>
          <w:shd w:val="clear" w:color="auto" w:fill="FFFFFF"/>
        </w:rPr>
        <w:t xml:space="preserve">Violation of a city ordinance is a misdemeanor unless by ordinance it is made an infraction. The violation of a city ordinance may be prosecuted by city authorities in the name of the people of the State of </w:t>
      </w:r>
      <w:proofErr w:type="gramStart"/>
      <w:r w:rsidR="00CF3D53" w:rsidRPr="00C36280">
        <w:rPr>
          <w:rFonts w:cs="Open Sans"/>
          <w:color w:val="000000"/>
          <w:shd w:val="clear" w:color="auto" w:fill="FFFFFF"/>
        </w:rPr>
        <w:t xml:space="preserve">California, </w:t>
      </w:r>
      <w:r w:rsidR="00CF3D53" w:rsidRPr="00C36280">
        <w:rPr>
          <w:rFonts w:cs="Open Sans"/>
          <w:i/>
          <w:iCs/>
          <w:color w:val="000000"/>
          <w:shd w:val="clear" w:color="auto" w:fill="FFFFFF"/>
        </w:rPr>
        <w:t>or</w:t>
      </w:r>
      <w:proofErr w:type="gramEnd"/>
      <w:r w:rsidR="00CF3D53" w:rsidRPr="00C36280">
        <w:rPr>
          <w:rFonts w:cs="Open Sans"/>
          <w:i/>
          <w:iCs/>
          <w:color w:val="000000"/>
          <w:shd w:val="clear" w:color="auto" w:fill="FFFFFF"/>
        </w:rPr>
        <w:t xml:space="preserve"> redressed by civil action</w:t>
      </w:r>
      <w:r w:rsidR="00CF3D53" w:rsidRPr="00C36280">
        <w:rPr>
          <w:rFonts w:cs="Open Sans"/>
          <w:color w:val="000000"/>
          <w:shd w:val="clear" w:color="auto" w:fill="FFFFFF"/>
        </w:rPr>
        <w:t>.</w:t>
      </w:r>
      <w:r>
        <w:rPr>
          <w:rFonts w:cs="Open Sans"/>
          <w:color w:val="000000"/>
          <w:shd w:val="clear" w:color="auto" w:fill="FFFFFF"/>
        </w:rPr>
        <w:t xml:space="preserve">” (Italics added.) </w:t>
      </w:r>
      <w:r w:rsidR="00CF3D53">
        <w:t xml:space="preserve">Is the right to redress violations of municipal ordinances by filing a civil suit </w:t>
      </w:r>
      <w:r w:rsidR="00AE78C7">
        <w:t xml:space="preserve">under section 36900 </w:t>
      </w:r>
      <w:r w:rsidR="00CF3D53">
        <w:t xml:space="preserve">limited to </w:t>
      </w:r>
      <w:r w:rsidR="00027DF2">
        <w:t xml:space="preserve">officials of </w:t>
      </w:r>
      <w:r w:rsidR="00CF3D53">
        <w:t xml:space="preserve">the </w:t>
      </w:r>
      <w:r w:rsidR="00594A7A">
        <w:t>city that enacted those</w:t>
      </w:r>
      <w:r w:rsidR="00AE78C7">
        <w:t xml:space="preserve"> ordinances</w:t>
      </w:r>
      <w:r w:rsidR="00594A7A">
        <w:t>? Or d</w:t>
      </w:r>
      <w:r w:rsidR="00CF3D53">
        <w:t xml:space="preserve">oes the italicized phrase </w:t>
      </w:r>
      <w:r w:rsidR="00761E83">
        <w:t>confer upon</w:t>
      </w:r>
      <w:r w:rsidR="00F05163">
        <w:t xml:space="preserve"> </w:t>
      </w:r>
      <w:r w:rsidR="00CF3D53">
        <w:t xml:space="preserve">anyone and everyone, including </w:t>
      </w:r>
      <w:r w:rsidR="00F05163">
        <w:t xml:space="preserve">all </w:t>
      </w:r>
      <w:r w:rsidR="00B279C2">
        <w:t xml:space="preserve">private </w:t>
      </w:r>
      <w:r w:rsidR="00636745">
        <w:t>citizens</w:t>
      </w:r>
      <w:r w:rsidR="00CF3D53">
        <w:t>,</w:t>
      </w:r>
      <w:r w:rsidR="00761E83">
        <w:t xml:space="preserve"> the right to </w:t>
      </w:r>
      <w:r w:rsidR="00CF3D53">
        <w:t xml:space="preserve">redress violations of </w:t>
      </w:r>
      <w:r w:rsidR="00636745">
        <w:t>municipal</w:t>
      </w:r>
      <w:r w:rsidR="00761E83">
        <w:t xml:space="preserve"> ordinances by </w:t>
      </w:r>
      <w:r w:rsidR="00636745">
        <w:t>filing suit</w:t>
      </w:r>
      <w:r w:rsidR="00F05163">
        <w:t xml:space="preserve"> against</w:t>
      </w:r>
      <w:r w:rsidR="00761E83">
        <w:t xml:space="preserve"> alleged violators?</w:t>
      </w:r>
      <w:r w:rsidR="000D29EA">
        <w:t xml:space="preserve"> </w:t>
      </w:r>
      <w:r w:rsidR="009775B4">
        <w:t xml:space="preserve">Over </w:t>
      </w:r>
      <w:r w:rsidR="007C5D8E">
        <w:t>20</w:t>
      </w:r>
      <w:r w:rsidR="009775B4">
        <w:t xml:space="preserve"> years ago</w:t>
      </w:r>
      <w:r w:rsidR="000D29EA">
        <w:t>,</w:t>
      </w:r>
      <w:r w:rsidR="00701EB5">
        <w:t xml:space="preserve"> </w:t>
      </w:r>
      <w:r w:rsidR="000D29EA">
        <w:t>i</w:t>
      </w:r>
      <w:r w:rsidR="00761E83">
        <w:t xml:space="preserve">n </w:t>
      </w:r>
      <w:r w:rsidR="00761E83">
        <w:rPr>
          <w:i/>
        </w:rPr>
        <w:t xml:space="preserve">Riley v. Hilton Hotels Corp. </w:t>
      </w:r>
      <w:r w:rsidR="00761E83">
        <w:t>(2002) 100 Cal.App.4th 599 (</w:t>
      </w:r>
      <w:r w:rsidR="00761E83">
        <w:rPr>
          <w:i/>
        </w:rPr>
        <w:t>Riley</w:t>
      </w:r>
      <w:r w:rsidR="00761E83">
        <w:t xml:space="preserve">), </w:t>
      </w:r>
      <w:r w:rsidR="00701EB5">
        <w:t>a different panel of this court</w:t>
      </w:r>
      <w:r w:rsidR="009775B4">
        <w:t xml:space="preserve"> briefly considered the question and</w:t>
      </w:r>
      <w:r w:rsidR="00701EB5">
        <w:t xml:space="preserve"> </w:t>
      </w:r>
      <w:r w:rsidR="009775B4">
        <w:t xml:space="preserve">summarily concluded </w:t>
      </w:r>
      <w:r w:rsidR="00594A7A">
        <w:t xml:space="preserve">that anyone can sue to redress violations of municipal ordinances. </w:t>
      </w:r>
      <w:r w:rsidR="009775B4">
        <w:t xml:space="preserve"> </w:t>
      </w:r>
    </w:p>
    <w:p w14:paraId="08DA899E" w14:textId="0838F944" w:rsidR="00636745" w:rsidRDefault="00761E83" w:rsidP="00D669F2">
      <w:pPr>
        <w:ind w:firstLine="0"/>
      </w:pPr>
      <w:r>
        <w:tab/>
        <w:t xml:space="preserve">Arguing </w:t>
      </w:r>
      <w:r>
        <w:rPr>
          <w:i/>
        </w:rPr>
        <w:t xml:space="preserve">Riley </w:t>
      </w:r>
      <w:r>
        <w:t xml:space="preserve">was </w:t>
      </w:r>
      <w:r w:rsidR="008415C5">
        <w:t xml:space="preserve">wrongly </w:t>
      </w:r>
      <w:r>
        <w:t xml:space="preserve">decided, </w:t>
      </w:r>
      <w:r w:rsidR="00D669F2">
        <w:t xml:space="preserve">Charles Cohen and </w:t>
      </w:r>
      <w:proofErr w:type="spellStart"/>
      <w:r w:rsidR="00D669F2">
        <w:t>Katyna</w:t>
      </w:r>
      <w:proofErr w:type="spellEnd"/>
      <w:r w:rsidR="00D669F2">
        <w:t xml:space="preserve"> Cohen (collectively, the Cohens) petition for a writ of mandate directing the trial court to: (1) vacate the portion of its order overruling their demurrer to the second and third causes of action asserted in the complaint filed by</w:t>
      </w:r>
      <w:r w:rsidR="00125183">
        <w:t xml:space="preserve"> the</w:t>
      </w:r>
      <w:r w:rsidR="00C81A6F">
        <w:t xml:space="preserve"> Cohens</w:t>
      </w:r>
      <w:r w:rsidR="0082792E">
        <w:t>’</w:t>
      </w:r>
      <w:r w:rsidR="00125183">
        <w:t xml:space="preserve"> neighbors,</w:t>
      </w:r>
      <w:r w:rsidR="00D669F2">
        <w:t xml:space="preserve"> Thomas Schwartz and Lisa Schwartz (collectively, the </w:t>
      </w:r>
      <w:proofErr w:type="spellStart"/>
      <w:r w:rsidR="00D669F2">
        <w:t>Schwartzes</w:t>
      </w:r>
      <w:proofErr w:type="spellEnd"/>
      <w:r w:rsidR="00D669F2">
        <w:t>); and (2) enter an order sustaining their demurrer</w:t>
      </w:r>
      <w:r w:rsidR="00636745">
        <w:t xml:space="preserve"> </w:t>
      </w:r>
      <w:r w:rsidR="00D669F2">
        <w:t>to th</w:t>
      </w:r>
      <w:r w:rsidR="00AC567A">
        <w:t>e</w:t>
      </w:r>
      <w:r w:rsidR="00D669F2">
        <w:t>se causes of action without leave to amend. By way of th</w:t>
      </w:r>
      <w:r w:rsidR="00636745">
        <w:t>ese</w:t>
      </w:r>
      <w:r w:rsidR="00D669F2">
        <w:t xml:space="preserve"> c</w:t>
      </w:r>
      <w:r w:rsidR="00CF4776">
        <w:t>auses of action</w:t>
      </w:r>
      <w:r w:rsidR="00D669F2">
        <w:t xml:space="preserve">, the </w:t>
      </w:r>
      <w:proofErr w:type="spellStart"/>
      <w:r w:rsidR="00D669F2">
        <w:t>Schwartzes</w:t>
      </w:r>
      <w:proofErr w:type="spellEnd"/>
      <w:r w:rsidR="00D669F2">
        <w:t xml:space="preserve"> </w:t>
      </w:r>
      <w:r w:rsidR="00636745">
        <w:t xml:space="preserve">seek redress for the </w:t>
      </w:r>
      <w:r w:rsidR="00D669F2">
        <w:t>Cohens’ maintenance of landscaping and hedges on their property in</w:t>
      </w:r>
      <w:r w:rsidR="00F40B65">
        <w:t xml:space="preserve"> alleged</w:t>
      </w:r>
      <w:r w:rsidR="00D669F2">
        <w:t xml:space="preserve"> violation of </w:t>
      </w:r>
      <w:r w:rsidR="006C3989">
        <w:t>certain</w:t>
      </w:r>
      <w:r w:rsidR="00636745">
        <w:t xml:space="preserve"> </w:t>
      </w:r>
      <w:r w:rsidR="00D669F2">
        <w:t xml:space="preserve">provisions </w:t>
      </w:r>
      <w:r w:rsidR="00C81A6F">
        <w:t>of</w:t>
      </w:r>
      <w:r w:rsidR="00636745">
        <w:t xml:space="preserve"> </w:t>
      </w:r>
      <w:r w:rsidR="00D669F2">
        <w:t xml:space="preserve">the Los Angeles Municipal Code (LAMC). </w:t>
      </w:r>
    </w:p>
    <w:p w14:paraId="5DD75E65" w14:textId="34E5CA38" w:rsidR="00104B1B" w:rsidRDefault="00636745" w:rsidP="00D669F2">
      <w:pPr>
        <w:ind w:firstLine="0"/>
      </w:pPr>
      <w:r>
        <w:lastRenderedPageBreak/>
        <w:tab/>
      </w:r>
      <w:r w:rsidR="00571DCF">
        <w:t>As discussed below, w</w:t>
      </w:r>
      <w:r>
        <w:t>e</w:t>
      </w:r>
      <w:r w:rsidR="008415C5">
        <w:t xml:space="preserve"> </w:t>
      </w:r>
      <w:r w:rsidR="00093E35">
        <w:t xml:space="preserve">agree with the Cohens that </w:t>
      </w:r>
      <w:r w:rsidR="00093E35">
        <w:rPr>
          <w:i/>
        </w:rPr>
        <w:t>Riley</w:t>
      </w:r>
      <w:r w:rsidR="00093E35">
        <w:t>’s</w:t>
      </w:r>
      <w:r w:rsidR="007861FE">
        <w:t xml:space="preserve"> interpretation </w:t>
      </w:r>
      <w:r w:rsidR="007C06AC">
        <w:t xml:space="preserve">of </w:t>
      </w:r>
      <w:r>
        <w:t>section 36900, subdivision (a)</w:t>
      </w:r>
      <w:r w:rsidR="00F05163">
        <w:t xml:space="preserve"> i</w:t>
      </w:r>
      <w:r>
        <w:t>s incorrect.</w:t>
      </w:r>
      <w:r w:rsidR="007861FE">
        <w:t xml:space="preserve"> H</w:t>
      </w:r>
      <w:r>
        <w:t xml:space="preserve">aving reviewed the statute’s plain language and legislative history, we </w:t>
      </w:r>
      <w:r w:rsidR="00AC567A">
        <w:t xml:space="preserve">conclude </w:t>
      </w:r>
      <w:r>
        <w:t xml:space="preserve">the Legislature </w:t>
      </w:r>
      <w:r w:rsidR="008415C5">
        <w:t xml:space="preserve">only intended </w:t>
      </w:r>
      <w:r w:rsidR="00AE78C7">
        <w:t xml:space="preserve">section 36900 </w:t>
      </w:r>
      <w:r w:rsidR="008415C5">
        <w:t xml:space="preserve">to grant city authorities—not </w:t>
      </w:r>
      <w:r w:rsidR="0039228A">
        <w:t xml:space="preserve">all </w:t>
      </w:r>
      <w:r w:rsidR="00A40911">
        <w:t>private parties</w:t>
      </w:r>
      <w:r w:rsidR="008415C5">
        <w:t xml:space="preserve">—the right to redress violations of </w:t>
      </w:r>
      <w:r w:rsidR="00A40911">
        <w:t>municipal</w:t>
      </w:r>
      <w:r w:rsidR="008415C5">
        <w:t xml:space="preserve"> ordinances </w:t>
      </w:r>
      <w:r w:rsidR="00104B1B">
        <w:t xml:space="preserve">via </w:t>
      </w:r>
      <w:r w:rsidR="001A74D2">
        <w:t xml:space="preserve">either criminal prosecution or </w:t>
      </w:r>
      <w:r w:rsidR="008415C5">
        <w:t>civil action</w:t>
      </w:r>
      <w:r w:rsidR="00F05163">
        <w:t>.</w:t>
      </w:r>
      <w:r w:rsidR="00093E35">
        <w:t xml:space="preserve"> </w:t>
      </w:r>
      <w:r w:rsidR="00AC567A">
        <w:t>We also conclude the doctrine of stare decisis does not prevent us from</w:t>
      </w:r>
      <w:r w:rsidR="00843E1C">
        <w:t xml:space="preserve"> reexamining and disagreeing with </w:t>
      </w:r>
      <w:r w:rsidR="00843E1C" w:rsidRPr="0082792E">
        <w:rPr>
          <w:i/>
          <w:iCs/>
        </w:rPr>
        <w:t>Riley</w:t>
      </w:r>
      <w:r w:rsidR="00843E1C">
        <w:t>.</w:t>
      </w:r>
      <w:r w:rsidR="00AC567A">
        <w:t xml:space="preserve"> </w:t>
      </w:r>
      <w:r w:rsidR="00093E35">
        <w:t>Thus</w:t>
      </w:r>
      <w:r w:rsidR="00090AE9">
        <w:t>,</w:t>
      </w:r>
      <w:r w:rsidR="00F05163">
        <w:t xml:space="preserve"> </w:t>
      </w:r>
      <w:r w:rsidR="00843E1C">
        <w:t xml:space="preserve">we overrule </w:t>
      </w:r>
      <w:r w:rsidR="00F05163">
        <w:rPr>
          <w:i/>
        </w:rPr>
        <w:t>R</w:t>
      </w:r>
      <w:r w:rsidR="007861FE">
        <w:rPr>
          <w:i/>
        </w:rPr>
        <w:t>iley</w:t>
      </w:r>
      <w:r w:rsidR="001D4FA9">
        <w:t xml:space="preserve"> </w:t>
      </w:r>
      <w:r w:rsidR="00843E1C">
        <w:t xml:space="preserve">and disavow its </w:t>
      </w:r>
      <w:r w:rsidR="00090AE9">
        <w:t xml:space="preserve">recognition </w:t>
      </w:r>
      <w:r w:rsidR="007861FE">
        <w:t xml:space="preserve">of a private right of action </w:t>
      </w:r>
      <w:r w:rsidR="00A43E3B">
        <w:t xml:space="preserve">by </w:t>
      </w:r>
      <w:r w:rsidR="00027DF2">
        <w:t xml:space="preserve">members of </w:t>
      </w:r>
      <w:r w:rsidR="00C81A6F">
        <w:t xml:space="preserve">the </w:t>
      </w:r>
      <w:proofErr w:type="gramStart"/>
      <w:r w:rsidR="00C81A6F">
        <w:t>general public</w:t>
      </w:r>
      <w:proofErr w:type="gramEnd"/>
      <w:r w:rsidR="00C81A6F">
        <w:t xml:space="preserve"> </w:t>
      </w:r>
      <w:r w:rsidR="007861FE">
        <w:t>under section 36900, subdivision (a)</w:t>
      </w:r>
      <w:r w:rsidR="00843E1C">
        <w:t>.</w:t>
      </w:r>
      <w:r w:rsidR="007861FE">
        <w:t xml:space="preserve"> </w:t>
      </w:r>
      <w:r w:rsidR="008B06F3">
        <w:t xml:space="preserve">We therefore </w:t>
      </w:r>
      <w:r w:rsidR="009240B9">
        <w:t xml:space="preserve">will </w:t>
      </w:r>
      <w:r w:rsidR="00090AE9">
        <w:t>issue a peremptory writ of mandate as requested</w:t>
      </w:r>
      <w:r w:rsidR="00571DCF">
        <w:t xml:space="preserve"> by the Cohens</w:t>
      </w:r>
      <w:r w:rsidR="00090AE9">
        <w:t xml:space="preserve">. </w:t>
      </w:r>
    </w:p>
    <w:p w14:paraId="724C2C57" w14:textId="369BCF4C" w:rsidR="00636745" w:rsidRPr="007861FE" w:rsidRDefault="00104B1B" w:rsidP="00D669F2">
      <w:pPr>
        <w:ind w:firstLine="0"/>
      </w:pPr>
      <w:r>
        <w:tab/>
      </w:r>
      <w:r w:rsidR="007861FE">
        <w:t xml:space="preserve"> </w:t>
      </w:r>
      <w:r>
        <w:t xml:space="preserve">To be clear, we hold only that section 36900 does not authorize private parties to bring civil suits to enforce local ordinances. We do not disturb caselaw recognizing </w:t>
      </w:r>
      <w:r w:rsidRPr="008E2DCB">
        <w:t>that</w:t>
      </w:r>
      <w:r w:rsidR="001E1811" w:rsidRPr="008E2DCB">
        <w:t>,</w:t>
      </w:r>
      <w:r w:rsidRPr="008E2DCB">
        <w:t xml:space="preserve"> in so</w:t>
      </w:r>
      <w:r>
        <w:t xml:space="preserve">me instances, a defendant’s violation of a local ordinance may be relevant to, or provide an element of, </w:t>
      </w:r>
      <w:r w:rsidR="00071A34">
        <w:t xml:space="preserve">some other cause of action </w:t>
      </w:r>
      <w:r w:rsidR="00A43E3B">
        <w:t xml:space="preserve">by a private party, </w:t>
      </w:r>
      <w:r w:rsidR="001A74D2">
        <w:t>such as nuisance or public nuisance</w:t>
      </w:r>
      <w:r w:rsidR="00A43E3B">
        <w:t>.</w:t>
      </w:r>
      <w:r w:rsidR="00071A34">
        <w:t xml:space="preserve"> </w:t>
      </w:r>
    </w:p>
    <w:p w14:paraId="574FF474" w14:textId="076FCCAB" w:rsidR="008833EB" w:rsidRPr="002B23B8" w:rsidRDefault="002B23B8" w:rsidP="002B23B8">
      <w:pPr>
        <w:spacing w:before="160" w:after="160"/>
        <w:ind w:firstLine="0"/>
        <w:jc w:val="center"/>
        <w:rPr>
          <w:b/>
          <w:bCs/>
        </w:rPr>
      </w:pPr>
      <w:r w:rsidRPr="002B23B8">
        <w:rPr>
          <w:b/>
          <w:bCs/>
        </w:rPr>
        <w:t>BACKGROUND</w:t>
      </w:r>
    </w:p>
    <w:p w14:paraId="2284AC69" w14:textId="6ACFC3BB" w:rsidR="00D146D7" w:rsidRDefault="00ED4FE1" w:rsidP="00FD04DE">
      <w:pPr>
        <w:ind w:firstLine="0"/>
      </w:pPr>
      <w:r>
        <w:tab/>
      </w:r>
      <w:r w:rsidR="00546FC0">
        <w:t xml:space="preserve">The </w:t>
      </w:r>
      <w:proofErr w:type="spellStart"/>
      <w:r w:rsidR="00546FC0">
        <w:t>Schwartzes</w:t>
      </w:r>
      <w:proofErr w:type="spellEnd"/>
      <w:r w:rsidR="00384C2E">
        <w:t xml:space="preserve"> </w:t>
      </w:r>
      <w:r w:rsidR="00725C6A">
        <w:t xml:space="preserve">and the Cohens </w:t>
      </w:r>
      <w:r w:rsidR="00A43E3B">
        <w:t xml:space="preserve">own homes </w:t>
      </w:r>
      <w:r w:rsidR="00AA3612">
        <w:t xml:space="preserve">in Los </w:t>
      </w:r>
      <w:proofErr w:type="gramStart"/>
      <w:r w:rsidR="00AA3612">
        <w:t xml:space="preserve">Angeles,  </w:t>
      </w:r>
      <w:r w:rsidR="00A43E3B">
        <w:t>located</w:t>
      </w:r>
      <w:proofErr w:type="gramEnd"/>
      <w:r w:rsidR="00A43E3B">
        <w:t xml:space="preserve"> directly across the street from each other</w:t>
      </w:r>
      <w:r w:rsidR="00AA3612">
        <w:t>.</w:t>
      </w:r>
      <w:r w:rsidR="00384C2E">
        <w:t xml:space="preserve"> </w:t>
      </w:r>
      <w:r w:rsidR="0061748F">
        <w:t>In their complaint</w:t>
      </w:r>
      <w:r w:rsidR="00A43E3B">
        <w:t>,</w:t>
      </w:r>
      <w:r w:rsidR="0061748F">
        <w:t xml:space="preserve"> the </w:t>
      </w:r>
      <w:proofErr w:type="spellStart"/>
      <w:r w:rsidR="0061748F">
        <w:t>Schwartzes</w:t>
      </w:r>
      <w:proofErr w:type="spellEnd"/>
      <w:r w:rsidR="0061748F">
        <w:t xml:space="preserve"> allege trees</w:t>
      </w:r>
      <w:r w:rsidR="00AA3612">
        <w:t xml:space="preserve"> and plants</w:t>
      </w:r>
      <w:r w:rsidR="0061748F">
        <w:t xml:space="preserve"> in the</w:t>
      </w:r>
      <w:r w:rsidR="00352673">
        <w:t xml:space="preserve"> Cohens’</w:t>
      </w:r>
      <w:r w:rsidR="00E161E1">
        <w:t xml:space="preserve"> </w:t>
      </w:r>
      <w:r w:rsidR="00C63F75">
        <w:t>yard</w:t>
      </w:r>
      <w:r w:rsidR="00A673A1">
        <w:t xml:space="preserve"> </w:t>
      </w:r>
      <w:r w:rsidR="00706014">
        <w:t>exc</w:t>
      </w:r>
      <w:r w:rsidR="00E161E1">
        <w:t>eed</w:t>
      </w:r>
      <w:r w:rsidR="006D7CBA">
        <w:t xml:space="preserve"> </w:t>
      </w:r>
      <w:r w:rsidR="00C63F75">
        <w:t>height limits</w:t>
      </w:r>
      <w:r w:rsidR="00FD04DE">
        <w:t xml:space="preserve"> </w:t>
      </w:r>
      <w:r w:rsidR="00AA3612">
        <w:t>specified</w:t>
      </w:r>
      <w:r w:rsidR="00A673A1">
        <w:t xml:space="preserve"> </w:t>
      </w:r>
      <w:r w:rsidR="00C206F0">
        <w:t>in</w:t>
      </w:r>
      <w:r w:rsidR="00C63F75">
        <w:t xml:space="preserve"> </w:t>
      </w:r>
      <w:r w:rsidR="0082792E">
        <w:t xml:space="preserve">LAMC </w:t>
      </w:r>
      <w:r w:rsidR="00E161E1">
        <w:t>section 12.22, subdivision (C)(20)</w:t>
      </w:r>
      <w:r w:rsidR="00C63F75">
        <w:t xml:space="preserve">. </w:t>
      </w:r>
      <w:r w:rsidR="00150DD3">
        <w:t>Th</w:t>
      </w:r>
      <w:r w:rsidR="00D146D7">
        <w:t>e</w:t>
      </w:r>
      <w:r w:rsidR="00305974">
        <w:t xml:space="preserve"> complaint </w:t>
      </w:r>
      <w:r w:rsidR="00150DD3">
        <w:t>also allege</w:t>
      </w:r>
      <w:r w:rsidR="00A43E3B">
        <w:t>s</w:t>
      </w:r>
      <w:r w:rsidR="00150DD3">
        <w:t xml:space="preserve"> that, without first obtaining the requisite permits, the Cohens removed </w:t>
      </w:r>
      <w:r w:rsidR="00AA3612">
        <w:t xml:space="preserve">trees and plants </w:t>
      </w:r>
      <w:r w:rsidR="00150DD3">
        <w:t xml:space="preserve">from the parkway </w:t>
      </w:r>
      <w:r w:rsidR="00D146D7">
        <w:t>fronting</w:t>
      </w:r>
      <w:r w:rsidR="00150DD3">
        <w:t xml:space="preserve"> their </w:t>
      </w:r>
      <w:r w:rsidR="00A673A1">
        <w:t>property</w:t>
      </w:r>
      <w:r w:rsidR="00150DD3">
        <w:t xml:space="preserve"> and replaced </w:t>
      </w:r>
      <w:r w:rsidR="00027DF2">
        <w:t>them</w:t>
      </w:r>
      <w:r w:rsidR="00150DD3">
        <w:t xml:space="preserve"> with landscaping</w:t>
      </w:r>
      <w:r w:rsidR="00AA3612">
        <w:t xml:space="preserve"> </w:t>
      </w:r>
      <w:r w:rsidR="00D146D7">
        <w:t>non-compliant</w:t>
      </w:r>
      <w:r w:rsidR="00150DD3">
        <w:t xml:space="preserve"> with the Residential Parkway Landscaping Guidelines adopted by the Los Angeles Board of Public Works, in violation of LAMC section 62.129. </w:t>
      </w:r>
      <w:r w:rsidR="00FD04DE">
        <w:t xml:space="preserve">According to the </w:t>
      </w:r>
      <w:proofErr w:type="spellStart"/>
      <w:r w:rsidR="00FD04DE">
        <w:t>Schwartzes</w:t>
      </w:r>
      <w:proofErr w:type="spellEnd"/>
      <w:r w:rsidR="00FD04DE">
        <w:t>, the</w:t>
      </w:r>
      <w:r w:rsidR="00D146D7">
        <w:t xml:space="preserve"> Cohens</w:t>
      </w:r>
      <w:r w:rsidR="0008099A">
        <w:t xml:space="preserve">’ landscaping </w:t>
      </w:r>
      <w:r w:rsidR="00FD04DE">
        <w:lastRenderedPageBreak/>
        <w:t>unreasonably interfere</w:t>
      </w:r>
      <w:r w:rsidR="00AA3612">
        <w:t>s</w:t>
      </w:r>
      <w:r w:rsidR="00FD04DE">
        <w:t xml:space="preserve"> with the</w:t>
      </w:r>
      <w:r w:rsidR="0082792E">
        <w:t xml:space="preserve"> </w:t>
      </w:r>
      <w:proofErr w:type="spellStart"/>
      <w:r w:rsidR="00E34582">
        <w:t>Schwartzes</w:t>
      </w:r>
      <w:proofErr w:type="spellEnd"/>
      <w:r w:rsidR="00E34582">
        <w:t>’</w:t>
      </w:r>
      <w:r w:rsidR="00FD04DE">
        <w:t xml:space="preserve"> use and enjoyment of their property, negatively impact</w:t>
      </w:r>
      <w:r w:rsidR="00AA3612">
        <w:t>s</w:t>
      </w:r>
      <w:r w:rsidR="00FD04DE">
        <w:t xml:space="preserve"> th</w:t>
      </w:r>
      <w:r w:rsidR="00D146D7">
        <w:t>eir property’s value</w:t>
      </w:r>
      <w:r w:rsidR="00FD04DE">
        <w:t>, and cause</w:t>
      </w:r>
      <w:r w:rsidR="00AA3612">
        <w:t>s</w:t>
      </w:r>
      <w:r w:rsidR="00FD04DE">
        <w:t xml:space="preserve"> them to suffer severe annoyance, discomfort, and distress.</w:t>
      </w:r>
    </w:p>
    <w:p w14:paraId="7702A9FF" w14:textId="261F1C30" w:rsidR="009D4681" w:rsidRDefault="00FD04DE" w:rsidP="001D720E">
      <w:r>
        <w:t>Based on th</w:t>
      </w:r>
      <w:r w:rsidR="00D146D7">
        <w:t>e</w:t>
      </w:r>
      <w:r w:rsidR="00093E35">
        <w:t>se</w:t>
      </w:r>
      <w:r>
        <w:t xml:space="preserve"> allegation</w:t>
      </w:r>
      <w:r w:rsidR="00093E35">
        <w:t>s</w:t>
      </w:r>
      <w:r>
        <w:t>, th</w:t>
      </w:r>
      <w:r w:rsidR="00A00260">
        <w:t>e</w:t>
      </w:r>
      <w:r>
        <w:t xml:space="preserve"> </w:t>
      </w:r>
      <w:r w:rsidR="00150DD3">
        <w:t>complaint assert</w:t>
      </w:r>
      <w:r w:rsidR="0075657C">
        <w:t>s</w:t>
      </w:r>
      <w:r w:rsidR="00150DD3">
        <w:t xml:space="preserve"> four causes of action: (1) nuisance; (2) violation of LAMC section 12.22</w:t>
      </w:r>
      <w:r w:rsidR="00E161E1">
        <w:t xml:space="preserve">, subdivision </w:t>
      </w:r>
      <w:r w:rsidR="00706014">
        <w:t>(</w:t>
      </w:r>
      <w:r w:rsidR="00150DD3">
        <w:t>C</w:t>
      </w:r>
      <w:r w:rsidR="00706014">
        <w:t>)</w:t>
      </w:r>
      <w:r w:rsidR="00E161E1">
        <w:t xml:space="preserve">; (3) violation of LAMC section 62.129; and (4) declaratory relief. </w:t>
      </w:r>
      <w:r w:rsidR="00431619">
        <w:t>With respect to the second and third causes of action, the complaint allege</w:t>
      </w:r>
      <w:r w:rsidR="0075657C">
        <w:t>s</w:t>
      </w:r>
      <w:r w:rsidR="00431619">
        <w:t xml:space="preserve">: “Under </w:t>
      </w:r>
      <w:r w:rsidR="00431619" w:rsidRPr="0082792E">
        <w:rPr>
          <w:iCs/>
        </w:rPr>
        <w:t>Government Code</w:t>
      </w:r>
      <w:r w:rsidR="00431619">
        <w:t xml:space="preserve"> section 36900, </w:t>
      </w:r>
      <w:r w:rsidR="008E1CB1">
        <w:t xml:space="preserve">a </w:t>
      </w:r>
      <w:r w:rsidR="00431619">
        <w:t xml:space="preserve">violation of a city ordinance may be redressed by civil </w:t>
      </w:r>
      <w:r w:rsidR="00431619" w:rsidRPr="008E2DCB">
        <w:t>action</w:t>
      </w:r>
      <w:r w:rsidR="000C1F2F" w:rsidRPr="008E2DCB">
        <w:t xml:space="preserve"> [citing </w:t>
      </w:r>
      <w:r w:rsidR="000C1F2F" w:rsidRPr="008E2DCB">
        <w:rPr>
          <w:i/>
          <w:iCs/>
        </w:rPr>
        <w:t>Riley</w:t>
      </w:r>
      <w:r w:rsidR="000C1F2F" w:rsidRPr="008E2DCB">
        <w:t>]</w:t>
      </w:r>
      <w:r w:rsidR="00431619" w:rsidRPr="008E2DCB">
        <w:t>.</w:t>
      </w:r>
      <w:r w:rsidR="00431619">
        <w:t xml:space="preserve"> Plaintiffs are affected private individuals who seek to redress Defendants’ violation with this action.” </w:t>
      </w:r>
      <w:r w:rsidR="000953DB">
        <w:t>(</w:t>
      </w:r>
      <w:r w:rsidR="00467229">
        <w:t>I</w:t>
      </w:r>
      <w:r w:rsidR="0082792E">
        <w:t>talics omitted</w:t>
      </w:r>
      <w:r w:rsidR="000953DB">
        <w:t>.)</w:t>
      </w:r>
      <w:r w:rsidR="00431619">
        <w:t xml:space="preserve"> </w:t>
      </w:r>
      <w:r w:rsidR="001A74D2">
        <w:t>T</w:t>
      </w:r>
      <w:r w:rsidR="0026605B">
        <w:t xml:space="preserve">he </w:t>
      </w:r>
      <w:proofErr w:type="spellStart"/>
      <w:r w:rsidR="0026605B">
        <w:t>Schwartzes</w:t>
      </w:r>
      <w:proofErr w:type="spellEnd"/>
      <w:r w:rsidR="0026605B">
        <w:t xml:space="preserve"> s</w:t>
      </w:r>
      <w:r w:rsidR="0075657C">
        <w:t>eek</w:t>
      </w:r>
      <w:r w:rsidR="0026605B">
        <w:t xml:space="preserve"> compensatory damages, punitive damages, injuncti</w:t>
      </w:r>
      <w:r w:rsidR="00607BE7">
        <w:t>ve</w:t>
      </w:r>
      <w:r w:rsidR="0026605B">
        <w:t xml:space="preserve"> relief, declaratory relief, and attorneys’ fees and costs.</w:t>
      </w:r>
    </w:p>
    <w:p w14:paraId="2E04252E" w14:textId="1483A89F" w:rsidR="001D720E" w:rsidRDefault="004A5557" w:rsidP="001D720E">
      <w:r>
        <w:t>T</w:t>
      </w:r>
      <w:r w:rsidR="008E6488">
        <w:t xml:space="preserve">he Cohens demurred </w:t>
      </w:r>
      <w:r w:rsidR="001565DA">
        <w:t xml:space="preserve">to </w:t>
      </w:r>
      <w:r w:rsidR="00844D86">
        <w:t>each of the c</w:t>
      </w:r>
      <w:r w:rsidR="0075657C">
        <w:t>auses of action</w:t>
      </w:r>
      <w:r w:rsidR="00844D86">
        <w:t xml:space="preserve"> asserted in the complaint, arguing the </w:t>
      </w:r>
      <w:proofErr w:type="spellStart"/>
      <w:r w:rsidR="00844D86">
        <w:t>Schwartzes</w:t>
      </w:r>
      <w:proofErr w:type="spellEnd"/>
      <w:r w:rsidR="008E6488">
        <w:t xml:space="preserve"> failed to state sufficient facts to constitute a cause of action.</w:t>
      </w:r>
      <w:r>
        <w:t xml:space="preserve"> Following </w:t>
      </w:r>
      <w:r w:rsidR="008E6488">
        <w:t>a hearing, the trial court issued a</w:t>
      </w:r>
      <w:r>
        <w:t xml:space="preserve">n </w:t>
      </w:r>
      <w:r w:rsidR="008E6488">
        <w:t xml:space="preserve">order sustaining the demurrer to the first and fourth causes of action with leave to </w:t>
      </w:r>
      <w:proofErr w:type="gramStart"/>
      <w:r w:rsidR="008E6488">
        <w:t>amend, and</w:t>
      </w:r>
      <w:proofErr w:type="gramEnd"/>
      <w:r w:rsidR="008E6488">
        <w:t xml:space="preserve"> overruling the demurrer to the second and third causes of action.</w:t>
      </w:r>
    </w:p>
    <w:p w14:paraId="62412BB0" w14:textId="4EC3DC30" w:rsidR="009E0DDD" w:rsidRDefault="008E6488" w:rsidP="001D720E">
      <w:r>
        <w:t xml:space="preserve">With respect to the first cause of action, the trial court </w:t>
      </w:r>
      <w:r w:rsidR="001C16B7">
        <w:t xml:space="preserve">observed the </w:t>
      </w:r>
      <w:proofErr w:type="spellStart"/>
      <w:r w:rsidR="001C16B7">
        <w:t>Schwartzes</w:t>
      </w:r>
      <w:proofErr w:type="spellEnd"/>
      <w:r w:rsidR="001C16B7">
        <w:t xml:space="preserve"> </w:t>
      </w:r>
      <w:r>
        <w:t>“fail[ed] to allege specific facts describing how [the Cohens’] conduct has compromised [their] ability to use and enjoy their property.”</w:t>
      </w:r>
      <w:r w:rsidR="001C16B7">
        <w:t xml:space="preserve"> </w:t>
      </w:r>
      <w:r w:rsidR="0080408D">
        <w:t>It therefore</w:t>
      </w:r>
      <w:r w:rsidR="001C16B7">
        <w:t xml:space="preserve"> concluded the complaint did not plead sufficient facts to state a cause of action for public or private nuisance.</w:t>
      </w:r>
    </w:p>
    <w:p w14:paraId="6949064D" w14:textId="277C31E1" w:rsidR="008E6488" w:rsidRPr="00B57E15" w:rsidRDefault="008E552A" w:rsidP="001D720E">
      <w:r>
        <w:t>Regarding</w:t>
      </w:r>
      <w:r w:rsidR="009E0DDD">
        <w:t xml:space="preserve"> the second and third causes of action, the trial court </w:t>
      </w:r>
      <w:r w:rsidR="00B57E15">
        <w:t xml:space="preserve">declined the Cohens’ invitation to depart from </w:t>
      </w:r>
      <w:r w:rsidR="00B57E15">
        <w:rPr>
          <w:i/>
        </w:rPr>
        <w:t>Riley</w:t>
      </w:r>
      <w:r w:rsidR="00A05702">
        <w:t>.</w:t>
      </w:r>
      <w:r w:rsidR="00B57E15">
        <w:t xml:space="preserve"> Instead, noting the absence of authority to the contrary, the </w:t>
      </w:r>
      <w:r w:rsidR="00D011AA">
        <w:t>court</w:t>
      </w:r>
      <w:r w:rsidR="00B57E15">
        <w:t xml:space="preserve"> applied </w:t>
      </w:r>
      <w:r w:rsidR="00B57E15">
        <w:rPr>
          <w:i/>
        </w:rPr>
        <w:t xml:space="preserve">Riley </w:t>
      </w:r>
      <w:r w:rsidR="00B57E15">
        <w:t xml:space="preserve">to conclude the </w:t>
      </w:r>
      <w:proofErr w:type="spellStart"/>
      <w:r w:rsidR="00B57E15">
        <w:t>Schwartzes</w:t>
      </w:r>
      <w:proofErr w:type="spellEnd"/>
      <w:r w:rsidR="00B57E15">
        <w:t xml:space="preserve"> “may assert private </w:t>
      </w:r>
      <w:r w:rsidR="00B57E15">
        <w:lastRenderedPageBreak/>
        <w:t>causes of action for violations of the Los Angeles Municipal Code as alleged [in their complaint].”</w:t>
      </w:r>
    </w:p>
    <w:p w14:paraId="182BC95B" w14:textId="1A72EEBF" w:rsidR="009E5B97" w:rsidRDefault="00756EC5" w:rsidP="0080408D">
      <w:pPr>
        <w:ind w:firstLine="0"/>
      </w:pPr>
      <w:r>
        <w:tab/>
        <w:t xml:space="preserve">Finally, the trial court determined the </w:t>
      </w:r>
      <w:proofErr w:type="spellStart"/>
      <w:r>
        <w:t>Schwartzes</w:t>
      </w:r>
      <w:proofErr w:type="spellEnd"/>
      <w:r>
        <w:t>’ claim for declaratory relief was duplicative of their other causes of action</w:t>
      </w:r>
      <w:r w:rsidR="00D011AA">
        <w:t xml:space="preserve"> and, thus,</w:t>
      </w:r>
      <w:r>
        <w:t xml:space="preserve"> was subject to demurrer.</w:t>
      </w:r>
    </w:p>
    <w:p w14:paraId="349D0937" w14:textId="2ED2FE7B" w:rsidR="00F1011F" w:rsidRDefault="00F1011F" w:rsidP="0080408D">
      <w:pPr>
        <w:ind w:firstLine="0"/>
      </w:pPr>
      <w:r>
        <w:tab/>
      </w:r>
      <w:r w:rsidR="00B625F7">
        <w:t xml:space="preserve">The </w:t>
      </w:r>
      <w:proofErr w:type="spellStart"/>
      <w:r w:rsidR="00B625F7">
        <w:t>Schwartzes</w:t>
      </w:r>
      <w:proofErr w:type="spellEnd"/>
      <w:r w:rsidR="00B625F7">
        <w:t xml:space="preserve"> filed </w:t>
      </w:r>
      <w:r w:rsidR="0075657C">
        <w:t xml:space="preserve">a </w:t>
      </w:r>
      <w:r w:rsidR="00B625F7">
        <w:t xml:space="preserve">first amended </w:t>
      </w:r>
      <w:r w:rsidR="00B625F7" w:rsidRPr="008E2DCB">
        <w:t>complaint</w:t>
      </w:r>
      <w:r w:rsidR="00087D2D" w:rsidRPr="008E2DCB">
        <w:t>, which</w:t>
      </w:r>
      <w:r w:rsidR="0075657C" w:rsidRPr="008E2DCB">
        <w:t xml:space="preserve"> </w:t>
      </w:r>
      <w:r w:rsidR="00D011AA" w:rsidRPr="008E2DCB">
        <w:t>do</w:t>
      </w:r>
      <w:r w:rsidR="00093E35" w:rsidRPr="008E2DCB">
        <w:t>es</w:t>
      </w:r>
      <w:r w:rsidR="00D011AA" w:rsidRPr="008E2DCB">
        <w:t xml:space="preserve"> not </w:t>
      </w:r>
      <w:r w:rsidR="00B625F7" w:rsidRPr="008E2DCB">
        <w:t>reassert the</w:t>
      </w:r>
      <w:r w:rsidR="00D011AA" w:rsidRPr="008E2DCB">
        <w:t>ir</w:t>
      </w:r>
      <w:r w:rsidR="00B625F7" w:rsidRPr="008E2DCB">
        <w:t xml:space="preserve"> claims for nuisance or declaratory relief. Instead, </w:t>
      </w:r>
      <w:r w:rsidR="00093E35" w:rsidRPr="008E2DCB">
        <w:t>it</w:t>
      </w:r>
      <w:r w:rsidR="00D011AA" w:rsidRPr="008E2DCB">
        <w:t xml:space="preserve"> </w:t>
      </w:r>
      <w:r w:rsidR="00B625F7" w:rsidRPr="008E2DCB">
        <w:t>only asser</w:t>
      </w:r>
      <w:r w:rsidR="00D011AA" w:rsidRPr="008E2DCB">
        <w:t>t</w:t>
      </w:r>
      <w:r w:rsidR="00093E35" w:rsidRPr="008E2DCB">
        <w:t>s</w:t>
      </w:r>
      <w:r w:rsidR="00F0282E" w:rsidRPr="008E2DCB">
        <w:t xml:space="preserve"> two</w:t>
      </w:r>
      <w:r w:rsidR="00B625F7" w:rsidRPr="008E2DCB">
        <w:t xml:space="preserve"> </w:t>
      </w:r>
      <w:r w:rsidR="0075657C" w:rsidRPr="008E2DCB">
        <w:t>causes of action</w:t>
      </w:r>
      <w:r w:rsidR="00B625F7" w:rsidRPr="008E2DCB">
        <w:t xml:space="preserve">: (1) violation of LAMC section 12.22, subdivision (C)(2); and (2) violation of LAMC section 62.169. </w:t>
      </w:r>
      <w:r w:rsidR="00F0282E" w:rsidRPr="008E2DCB">
        <w:t xml:space="preserve">Again, for both claims, </w:t>
      </w:r>
      <w:r w:rsidR="00D90BD2" w:rsidRPr="008E2DCB">
        <w:t xml:space="preserve">the </w:t>
      </w:r>
      <w:proofErr w:type="spellStart"/>
      <w:r w:rsidR="00D90BD2" w:rsidRPr="008E2DCB">
        <w:t>Schwartzes</w:t>
      </w:r>
      <w:proofErr w:type="spellEnd"/>
      <w:r w:rsidR="00D90BD2" w:rsidRPr="008E2DCB">
        <w:t xml:space="preserve"> </w:t>
      </w:r>
      <w:r w:rsidR="00D011AA" w:rsidRPr="008E2DCB">
        <w:t xml:space="preserve">allege they </w:t>
      </w:r>
      <w:r w:rsidR="00F0282E" w:rsidRPr="008E2DCB">
        <w:t>are entitled to seek redress f</w:t>
      </w:r>
      <w:r w:rsidR="0012456B" w:rsidRPr="008E2DCB">
        <w:t>or</w:t>
      </w:r>
      <w:r w:rsidR="00F0282E" w:rsidRPr="008E2DCB">
        <w:t xml:space="preserve"> the </w:t>
      </w:r>
      <w:r w:rsidR="00D90BD2" w:rsidRPr="008E2DCB">
        <w:t xml:space="preserve">Cohens’ violations of the LAMC based on section 36900 and </w:t>
      </w:r>
      <w:r w:rsidR="00D90BD2" w:rsidRPr="008E2DCB">
        <w:rPr>
          <w:i/>
        </w:rPr>
        <w:t>Riley</w:t>
      </w:r>
      <w:r w:rsidR="00D90BD2" w:rsidRPr="008E2DCB">
        <w:t>.</w:t>
      </w:r>
    </w:p>
    <w:p w14:paraId="0D6B05A6" w14:textId="2E0D1EFA" w:rsidR="00FE0081" w:rsidRDefault="00D90BD2" w:rsidP="00DE3163">
      <w:pPr>
        <w:ind w:firstLine="0"/>
      </w:pPr>
      <w:r>
        <w:tab/>
      </w:r>
      <w:r w:rsidR="002718E8">
        <w:t>T</w:t>
      </w:r>
      <w:r w:rsidR="00DE3163">
        <w:t xml:space="preserve">he Cohens filed </w:t>
      </w:r>
      <w:r w:rsidR="002718E8">
        <w:t>a</w:t>
      </w:r>
      <w:r w:rsidR="00C63D26">
        <w:t xml:space="preserve"> </w:t>
      </w:r>
      <w:r w:rsidR="00DE3163">
        <w:t>petition for writ of mandate</w:t>
      </w:r>
      <w:r w:rsidR="002718E8">
        <w:t xml:space="preserve"> in this court</w:t>
      </w:r>
      <w:r w:rsidR="00DE3163">
        <w:t xml:space="preserve">. In response, the </w:t>
      </w:r>
      <w:proofErr w:type="spellStart"/>
      <w:r w:rsidR="00DE3163">
        <w:t>Schwartzes</w:t>
      </w:r>
      <w:proofErr w:type="spellEnd"/>
      <w:r w:rsidR="00DE3163">
        <w:t xml:space="preserve"> filed a preliminary and supplemental preliminary opposition. The Cohens filed a preliminary reply.</w:t>
      </w:r>
    </w:p>
    <w:p w14:paraId="12B52A2F" w14:textId="3DD4635A" w:rsidR="009F587B" w:rsidRDefault="00FE0081" w:rsidP="0080408D">
      <w:pPr>
        <w:ind w:firstLine="0"/>
      </w:pPr>
      <w:r>
        <w:tab/>
      </w:r>
      <w:r w:rsidR="00E34582">
        <w:t>T</w:t>
      </w:r>
      <w:r w:rsidR="00195262">
        <w:t>his court</w:t>
      </w:r>
      <w:r w:rsidR="00C63D26">
        <w:t xml:space="preserve"> </w:t>
      </w:r>
      <w:r>
        <w:t xml:space="preserve">issued an order directing the trial court to show cause “why a peremptory writ of mandate should not issue directing [it] to vacate </w:t>
      </w:r>
      <w:r w:rsidR="00E34582">
        <w:t>[its]</w:t>
      </w:r>
      <w:r>
        <w:t xml:space="preserve"> order overruling [the Cohens’] demurrer to [the </w:t>
      </w:r>
      <w:proofErr w:type="spellStart"/>
      <w:r>
        <w:t>Schwartzes</w:t>
      </w:r>
      <w:proofErr w:type="spellEnd"/>
      <w:r>
        <w:t xml:space="preserve">’] causes of action to enforce provisions of the Los Angeles Municipal Code and to issue a new order sustaining the demurrer on the ground that, contrary to the holding in </w:t>
      </w:r>
      <w:r w:rsidRPr="008E2DCB">
        <w:rPr>
          <w:i/>
        </w:rPr>
        <w:t>Riley</w:t>
      </w:r>
      <w:r w:rsidR="005F6891" w:rsidRPr="008E2DCB">
        <w:rPr>
          <w:i/>
        </w:rPr>
        <w:t xml:space="preserve"> . . .</w:t>
      </w:r>
      <w:r w:rsidR="00630995" w:rsidRPr="008E2DCB">
        <w:rPr>
          <w:i/>
        </w:rPr>
        <w:t xml:space="preserve"> </w:t>
      </w:r>
      <w:r w:rsidRPr="008E2DCB">
        <w:t>, Government Code section</w:t>
      </w:r>
      <w:r>
        <w:t xml:space="preserve"> 36900, subdivision (a) does not create a private right of action.” Thereafter, the </w:t>
      </w:r>
      <w:proofErr w:type="spellStart"/>
      <w:r>
        <w:t>Schwartzes</w:t>
      </w:r>
      <w:proofErr w:type="spellEnd"/>
      <w:r>
        <w:t xml:space="preserve"> filed a return, to which the Cohens filed a reply.</w:t>
      </w:r>
      <w:r w:rsidR="00262D23" w:rsidRPr="00037049">
        <w:rPr>
          <w:rStyle w:val="FootnoteReference"/>
          <w:b w:val="0"/>
          <w:sz w:val="26"/>
        </w:rPr>
        <w:footnoteReference w:id="3"/>
      </w:r>
    </w:p>
    <w:p w14:paraId="2DB8A2C6" w14:textId="2AA9C997" w:rsidR="001464E4" w:rsidRPr="00B625F7" w:rsidRDefault="00AD31E5" w:rsidP="00DC7098">
      <w:pPr>
        <w:ind w:firstLine="0"/>
      </w:pPr>
      <w:r>
        <w:lastRenderedPageBreak/>
        <w:tab/>
      </w:r>
      <w:r w:rsidR="00E34582">
        <w:t>W</w:t>
      </w:r>
      <w:r w:rsidR="00410C3B">
        <w:t>e</w:t>
      </w:r>
      <w:r>
        <w:t xml:space="preserve"> </w:t>
      </w:r>
      <w:r w:rsidR="00410C3B">
        <w:t>invited</w:t>
      </w:r>
      <w:r>
        <w:t xml:space="preserve"> the City of Los Angeles and the </w:t>
      </w:r>
      <w:r w:rsidRPr="008E2DCB">
        <w:t>League of California Cities</w:t>
      </w:r>
      <w:r w:rsidR="00410C3B" w:rsidRPr="008E2DCB">
        <w:t xml:space="preserve"> (collectively, the City Amici) to file briefs</w:t>
      </w:r>
      <w:r w:rsidR="00087D2D" w:rsidRPr="008E2DCB">
        <w:t xml:space="preserve"> as</w:t>
      </w:r>
      <w:r w:rsidR="00410C3B" w:rsidRPr="008E2DCB">
        <w:t xml:space="preserve"> amici curiae to address the issues presented in this case,</w:t>
      </w:r>
      <w:r w:rsidR="00410C3B">
        <w:t xml:space="preserve"> namely: (1) whether section 36900, subdivision (a) authorizes a private right of action to enforce municipal ordinances; and (2) whether this court should decline to </w:t>
      </w:r>
      <w:r w:rsidR="00442FB3">
        <w:t>revisit</w:t>
      </w:r>
      <w:r w:rsidR="002718E8">
        <w:t xml:space="preserve"> </w:t>
      </w:r>
      <w:r w:rsidR="00410C3B">
        <w:rPr>
          <w:i/>
        </w:rPr>
        <w:t>Riley</w:t>
      </w:r>
      <w:r w:rsidR="0040143B">
        <w:t xml:space="preserve"> </w:t>
      </w:r>
      <w:r w:rsidR="00410C3B">
        <w:t>due to the doctrine of stare decisis</w:t>
      </w:r>
      <w:r>
        <w:t>.</w:t>
      </w:r>
      <w:r w:rsidR="00410C3B">
        <w:t xml:space="preserve"> </w:t>
      </w:r>
      <w:r w:rsidR="001464E4">
        <w:t>Subsequently, the City Amici</w:t>
      </w:r>
      <w:r w:rsidR="001B72F9">
        <w:t xml:space="preserve"> </w:t>
      </w:r>
      <w:r w:rsidR="00612FE7">
        <w:t>filed a joint amicus brief</w:t>
      </w:r>
      <w:r w:rsidR="001464E4">
        <w:t xml:space="preserve"> largely agreeing with the arguments</w:t>
      </w:r>
      <w:r w:rsidR="006148A4">
        <w:t xml:space="preserve"> presented in the Co</w:t>
      </w:r>
      <w:r w:rsidR="001A74D2">
        <w:t>he</w:t>
      </w:r>
      <w:r w:rsidR="006148A4">
        <w:t>n</w:t>
      </w:r>
      <w:r w:rsidR="002718E8">
        <w:t>s</w:t>
      </w:r>
      <w:r w:rsidR="006148A4">
        <w:t>’ briefs</w:t>
      </w:r>
      <w:r w:rsidR="00410C3B">
        <w:t xml:space="preserve">. </w:t>
      </w:r>
      <w:r w:rsidR="00C977EA">
        <w:t>The</w:t>
      </w:r>
      <w:r w:rsidR="00C517B4">
        <w:t xml:space="preserve"> City Amici</w:t>
      </w:r>
      <w:r w:rsidR="00C977EA">
        <w:t xml:space="preserve"> also note they “were completely unaware of </w:t>
      </w:r>
      <w:r w:rsidR="0082792E">
        <w:t xml:space="preserve">the </w:t>
      </w:r>
      <w:r w:rsidR="00C977EA">
        <w:t>case</w:t>
      </w:r>
      <w:r w:rsidR="0082792E">
        <w:t xml:space="preserve"> [pending in this court]</w:t>
      </w:r>
      <w:r w:rsidR="00C977EA">
        <w:t>” until we invited them to submit amicus briefs.</w:t>
      </w:r>
      <w:r w:rsidR="00C517B4" w:rsidRPr="00037049">
        <w:rPr>
          <w:rStyle w:val="FootnoteReference"/>
          <w:b w:val="0"/>
          <w:sz w:val="26"/>
        </w:rPr>
        <w:footnoteReference w:id="4"/>
      </w:r>
      <w:r w:rsidR="00C977EA">
        <w:t xml:space="preserve"> </w:t>
      </w:r>
    </w:p>
    <w:p w14:paraId="4FFE2836" w14:textId="4A6BED65" w:rsidR="00756DE4" w:rsidRPr="002B23B8" w:rsidRDefault="00285EC4" w:rsidP="002B23B8">
      <w:pPr>
        <w:spacing w:before="160" w:after="160"/>
        <w:ind w:firstLine="0"/>
        <w:jc w:val="center"/>
        <w:rPr>
          <w:b/>
          <w:bCs/>
        </w:rPr>
      </w:pPr>
      <w:r w:rsidRPr="002B23B8">
        <w:rPr>
          <w:b/>
          <w:bCs/>
        </w:rPr>
        <w:t>DISCUSSIO</w:t>
      </w:r>
      <w:r w:rsidR="00756DE4" w:rsidRPr="002B23B8">
        <w:rPr>
          <w:b/>
          <w:bCs/>
        </w:rPr>
        <w:t>N</w:t>
      </w:r>
    </w:p>
    <w:p w14:paraId="6F716445" w14:textId="2368A8DD" w:rsidR="00784317" w:rsidRDefault="008833EB" w:rsidP="002B23B8">
      <w:pPr>
        <w:spacing w:after="160"/>
        <w:ind w:firstLine="0"/>
        <w:rPr>
          <w:b/>
        </w:rPr>
      </w:pPr>
      <w:r>
        <w:rPr>
          <w:b/>
        </w:rPr>
        <w:t>I.</w:t>
      </w:r>
      <w:r>
        <w:rPr>
          <w:b/>
        </w:rPr>
        <w:tab/>
      </w:r>
      <w:r w:rsidR="001F1CF0">
        <w:rPr>
          <w:b/>
        </w:rPr>
        <w:t xml:space="preserve">The </w:t>
      </w:r>
      <w:proofErr w:type="spellStart"/>
      <w:r w:rsidR="001F1CF0">
        <w:rPr>
          <w:b/>
        </w:rPr>
        <w:t>Schwartz</w:t>
      </w:r>
      <w:r w:rsidR="00EE4AC1">
        <w:rPr>
          <w:b/>
        </w:rPr>
        <w:t>es</w:t>
      </w:r>
      <w:proofErr w:type="spellEnd"/>
      <w:r w:rsidR="001F1CF0">
        <w:rPr>
          <w:b/>
        </w:rPr>
        <w:t>’ Motion to Dismiss</w:t>
      </w:r>
    </w:p>
    <w:p w14:paraId="5D2ADF22" w14:textId="4B478437" w:rsidR="00F44CA6" w:rsidRPr="002B23B8" w:rsidRDefault="00806181" w:rsidP="002B23B8">
      <w:pPr>
        <w:spacing w:after="160"/>
      </w:pPr>
      <w:r>
        <w:t xml:space="preserve">Preliminarily, we </w:t>
      </w:r>
      <w:r w:rsidR="0004223A">
        <w:t>address</w:t>
      </w:r>
      <w:r>
        <w:t xml:space="preserve"> the </w:t>
      </w:r>
      <w:proofErr w:type="spellStart"/>
      <w:r>
        <w:t>Schwartzes</w:t>
      </w:r>
      <w:proofErr w:type="spellEnd"/>
      <w:r>
        <w:t>’ motion to dismiss the Cohens’ petition</w:t>
      </w:r>
      <w:r w:rsidR="00D546BE">
        <w:t>.</w:t>
      </w:r>
      <w:r>
        <w:t xml:space="preserve"> </w:t>
      </w:r>
      <w:r w:rsidR="00AA249B">
        <w:t>T</w:t>
      </w:r>
      <w:r>
        <w:t xml:space="preserve">he </w:t>
      </w:r>
      <w:proofErr w:type="spellStart"/>
      <w:r>
        <w:t>Schwartzes</w:t>
      </w:r>
      <w:proofErr w:type="spellEnd"/>
      <w:r>
        <w:t xml:space="preserve"> contend dismissal is required because: (1) the present case is moot</w:t>
      </w:r>
      <w:r w:rsidR="00D25D8F">
        <w:t xml:space="preserve">, as </w:t>
      </w:r>
      <w:r>
        <w:t xml:space="preserve">they “wish to dismiss their case [against the Cohens] in the Superior Court”; </w:t>
      </w:r>
      <w:r>
        <w:lastRenderedPageBreak/>
        <w:t xml:space="preserve">and (2) </w:t>
      </w:r>
      <w:r w:rsidR="00AA249B">
        <w:t>this court</w:t>
      </w:r>
      <w:r>
        <w:t xml:space="preserve"> </w:t>
      </w:r>
      <w:r w:rsidR="00AA249B">
        <w:t>lacks</w:t>
      </w:r>
      <w:r>
        <w:t xml:space="preserve"> jurisdiction to grant the writ and issue the Cohens’ requested relief. </w:t>
      </w:r>
      <w:r w:rsidR="00FE3F8E">
        <w:t>We address each</w:t>
      </w:r>
      <w:r w:rsidR="0007428F">
        <w:t xml:space="preserve"> point</w:t>
      </w:r>
      <w:r w:rsidR="00FE3F8E">
        <w:t xml:space="preserve"> in turn. </w:t>
      </w:r>
    </w:p>
    <w:p w14:paraId="4A8FDF04" w14:textId="12459640" w:rsidR="00D846CC" w:rsidRDefault="00D846CC" w:rsidP="008833EB">
      <w:pPr>
        <w:ind w:firstLine="0"/>
        <w:rPr>
          <w:b/>
        </w:rPr>
      </w:pPr>
      <w:r>
        <w:rPr>
          <w:b/>
        </w:rPr>
        <w:tab/>
        <w:t>A.</w:t>
      </w:r>
      <w:r>
        <w:rPr>
          <w:b/>
        </w:rPr>
        <w:tab/>
        <w:t xml:space="preserve">Mootness </w:t>
      </w:r>
    </w:p>
    <w:p w14:paraId="12A1CC8D" w14:textId="7643E9E6" w:rsidR="00D25D8F" w:rsidRDefault="00D25D8F" w:rsidP="008833EB">
      <w:pPr>
        <w:ind w:firstLine="0"/>
      </w:pPr>
      <w:r>
        <w:rPr>
          <w:b/>
        </w:rPr>
        <w:tab/>
      </w:r>
      <w:r>
        <w:t xml:space="preserve">“A case is considered moot when ‘the question addressed was at one time a live issue in the case’ but has been deprived of life ‘because of events occurring after the judicial process was initiated.’ [Citation.] ‘The pivotal question in determining if a case is moot is therefore whether the court can grant the plaintiff any effectual relief.’ [Citation.] However, ‘[w]hen a question of </w:t>
      </w:r>
      <w:proofErr w:type="gramStart"/>
      <w:r>
        <w:t>general public</w:t>
      </w:r>
      <w:proofErr w:type="gramEnd"/>
      <w:r>
        <w:t xml:space="preserve"> concern is involved</w:t>
      </w:r>
      <w:r w:rsidR="00796F41">
        <w:t>,</w:t>
      </w:r>
      <w:r>
        <w:t xml:space="preserve"> . . . a reviewing court may reject mootness as a bar to a decision on the merits of an issue. [Citation.] Thus, a review</w:t>
      </w:r>
      <w:r w:rsidR="001A74D2">
        <w:t>ing</w:t>
      </w:r>
      <w:r>
        <w:t xml:space="preserve"> court has “inherent </w:t>
      </w:r>
      <w:r w:rsidR="00467229">
        <w:t>discretion</w:t>
      </w:r>
      <w:r>
        <w:t>” to resolve an issue of broad public interest that is likely to recur, even though an event occurring during the pendency of the case would normally render the matter moot.’” (</w:t>
      </w:r>
      <w:r>
        <w:rPr>
          <w:i/>
        </w:rPr>
        <w:t xml:space="preserve">Hernandez-Valenzuela v. Superior Court </w:t>
      </w:r>
      <w:r>
        <w:t xml:space="preserve">(2022) 75 Cal.App.5th 1108, </w:t>
      </w:r>
      <w:r w:rsidR="0066653E">
        <w:t>1121-</w:t>
      </w:r>
      <w:r w:rsidR="000A14C2">
        <w:t xml:space="preserve">1122.) </w:t>
      </w:r>
    </w:p>
    <w:p w14:paraId="21F4699B" w14:textId="4689AF1C" w:rsidR="000A14C2" w:rsidRDefault="000A14C2" w:rsidP="008833EB">
      <w:pPr>
        <w:ind w:firstLine="0"/>
      </w:pPr>
      <w:r>
        <w:tab/>
      </w:r>
      <w:r w:rsidR="00D00D8F">
        <w:t xml:space="preserve">As noted above, the </w:t>
      </w:r>
      <w:proofErr w:type="spellStart"/>
      <w:r w:rsidR="00D00D8F">
        <w:t>Schwartzes</w:t>
      </w:r>
      <w:proofErr w:type="spellEnd"/>
      <w:r w:rsidR="00D00D8F">
        <w:t xml:space="preserve"> argue that “this case is moot because [they] wish to dismiss their case in the Superior Court.” This </w:t>
      </w:r>
      <w:r w:rsidR="001A74D2">
        <w:t xml:space="preserve">“wish” is insufficient to moot the case, however, </w:t>
      </w:r>
      <w:r w:rsidR="00D00D8F">
        <w:t>because, while the</w:t>
      </w:r>
      <w:r w:rsidR="00965767">
        <w:t xml:space="preserve"> </w:t>
      </w:r>
      <w:proofErr w:type="spellStart"/>
      <w:r w:rsidR="00965767">
        <w:t>Schwartzes</w:t>
      </w:r>
      <w:proofErr w:type="spellEnd"/>
      <w:r w:rsidR="00D00D8F">
        <w:t xml:space="preserve"> may </w:t>
      </w:r>
      <w:r w:rsidR="001A74D2">
        <w:t xml:space="preserve">want </w:t>
      </w:r>
      <w:r w:rsidR="00D00D8F">
        <w:t xml:space="preserve">to dismiss the underlying action, they have yet to do so. Unless and until the </w:t>
      </w:r>
      <w:proofErr w:type="spellStart"/>
      <w:r w:rsidR="00D00D8F">
        <w:t>Schwartzes</w:t>
      </w:r>
      <w:proofErr w:type="spellEnd"/>
      <w:r w:rsidR="00D00D8F">
        <w:t xml:space="preserve"> act upon their intention, we </w:t>
      </w:r>
      <w:r w:rsidR="00965767">
        <w:t xml:space="preserve">can </w:t>
      </w:r>
      <w:r w:rsidR="000C281D">
        <w:t>“</w:t>
      </w:r>
      <w:r w:rsidR="00467229">
        <w:t>‘</w:t>
      </w:r>
      <w:r w:rsidR="000C281D">
        <w:t>grant [the Cohens]</w:t>
      </w:r>
      <w:r w:rsidR="006C65CE">
        <w:t> </w:t>
      </w:r>
      <w:r w:rsidR="000C281D">
        <w:t>.</w:t>
      </w:r>
      <w:r w:rsidR="0082792E">
        <w:t> </w:t>
      </w:r>
      <w:r w:rsidR="000C281D">
        <w:t>. . effectual relief</w:t>
      </w:r>
      <w:r w:rsidR="00467229">
        <w:t>’</w:t>
      </w:r>
      <w:r w:rsidR="000C281D">
        <w:t xml:space="preserve">” </w:t>
      </w:r>
      <w:r w:rsidR="00D00D8F">
        <w:t>by issuing the</w:t>
      </w:r>
      <w:r w:rsidR="00796F41">
        <w:t xml:space="preserve"> requested</w:t>
      </w:r>
      <w:r w:rsidR="00D00D8F">
        <w:t xml:space="preserve"> writ of mandate. (</w:t>
      </w:r>
      <w:r w:rsidR="00D00D8F">
        <w:rPr>
          <w:i/>
        </w:rPr>
        <w:t>Hernandez-Valenzuela v. Superior Court</w:t>
      </w:r>
      <w:r w:rsidR="00D00D8F">
        <w:t xml:space="preserve">, </w:t>
      </w:r>
      <w:r w:rsidR="00D00D8F">
        <w:rPr>
          <w:i/>
        </w:rPr>
        <w:t>supra</w:t>
      </w:r>
      <w:r w:rsidR="00D00D8F">
        <w:t>, 75 Cal.App.5th at p. 112</w:t>
      </w:r>
      <w:r w:rsidR="004E6C95">
        <w:t>1</w:t>
      </w:r>
      <w:r w:rsidR="00D00D8F">
        <w:t>.)</w:t>
      </w:r>
      <w:r w:rsidR="004546B4">
        <w:t xml:space="preserve"> </w:t>
      </w:r>
      <w:r w:rsidR="00265DA1">
        <w:t>Therefore,</w:t>
      </w:r>
      <w:r w:rsidR="004546B4">
        <w:t xml:space="preserve"> the Cohens’ writ petition is not moot. (See </w:t>
      </w:r>
      <w:r w:rsidR="004546B4">
        <w:rPr>
          <w:i/>
        </w:rPr>
        <w:t>ibid.</w:t>
      </w:r>
      <w:r w:rsidR="004546B4">
        <w:t>)</w:t>
      </w:r>
    </w:p>
    <w:p w14:paraId="31E304C1" w14:textId="524CBF1A" w:rsidR="002B23B8" w:rsidRPr="003F30A2" w:rsidRDefault="004546B4" w:rsidP="006C65CE">
      <w:pPr>
        <w:spacing w:after="160"/>
        <w:ind w:firstLine="0"/>
      </w:pPr>
      <w:r>
        <w:tab/>
      </w:r>
      <w:r w:rsidR="00544AE2">
        <w:t xml:space="preserve">In any event, even if the </w:t>
      </w:r>
      <w:proofErr w:type="spellStart"/>
      <w:r w:rsidR="00544AE2">
        <w:t>Schwartzes</w:t>
      </w:r>
      <w:proofErr w:type="spellEnd"/>
      <w:r w:rsidR="00EE11C5">
        <w:t xml:space="preserve"> </w:t>
      </w:r>
      <w:r w:rsidR="007C60EA">
        <w:t>had</w:t>
      </w:r>
      <w:r w:rsidR="00544AE2">
        <w:t xml:space="preserve"> dismiss</w:t>
      </w:r>
      <w:r w:rsidR="007C60EA">
        <w:t>ed</w:t>
      </w:r>
      <w:r w:rsidR="00544AE2">
        <w:t xml:space="preserve"> the underlying case, we would exercise our discretion to </w:t>
      </w:r>
      <w:r w:rsidR="00F23FC8">
        <w:t>resolve</w:t>
      </w:r>
      <w:r w:rsidR="00544AE2">
        <w:t xml:space="preserve"> the issues presented in this case. The </w:t>
      </w:r>
      <w:r w:rsidR="00EE11C5">
        <w:t xml:space="preserve">key </w:t>
      </w:r>
      <w:r w:rsidR="00544AE2">
        <w:t xml:space="preserve">question </w:t>
      </w:r>
      <w:r w:rsidR="00EE11C5">
        <w:t xml:space="preserve">before us is of significant public interest, as it bears upon whether </w:t>
      </w:r>
      <w:r w:rsidR="00AB0E16">
        <w:t xml:space="preserve">section </w:t>
      </w:r>
      <w:r w:rsidR="00AB0E16">
        <w:lastRenderedPageBreak/>
        <w:t xml:space="preserve">36900, subdivision (a) </w:t>
      </w:r>
      <w:r w:rsidR="00D32A2F">
        <w:t xml:space="preserve">confers upon </w:t>
      </w:r>
      <w:r w:rsidR="00D32A2F" w:rsidRPr="000F4C1F">
        <w:rPr>
          <w:i/>
        </w:rPr>
        <w:t>all</w:t>
      </w:r>
      <w:r w:rsidR="00AB0E16">
        <w:t xml:space="preserve"> private citizens—as opposed to only city authorities—</w:t>
      </w:r>
      <w:r w:rsidR="00D32A2F">
        <w:t xml:space="preserve">the right </w:t>
      </w:r>
      <w:r w:rsidR="00AB0E16">
        <w:t>to enforce municipal ordinances by filing a lawsuit against an alleged violator.</w:t>
      </w:r>
      <w:r w:rsidR="00BF47CF">
        <w:t xml:space="preserve"> </w:t>
      </w:r>
      <w:r w:rsidR="000F4C1F">
        <w:t>T</w:t>
      </w:r>
      <w:r w:rsidR="003222DD">
        <w:t>he Cohens</w:t>
      </w:r>
      <w:r w:rsidR="000F4C1F">
        <w:t xml:space="preserve"> have shown this issue is likely to recur by presenting undisputed evidence demonstrating </w:t>
      </w:r>
      <w:r w:rsidR="002718E8">
        <w:t xml:space="preserve">some </w:t>
      </w:r>
      <w:r w:rsidR="00E12DD3">
        <w:t>citizens</w:t>
      </w:r>
      <w:r w:rsidR="005A36BF">
        <w:t xml:space="preserve"> have relied on section 36900, subdivision (a) to seek redress for alleged violations of municipal ordinances</w:t>
      </w:r>
      <w:r w:rsidR="00E12DD3">
        <w:t xml:space="preserve"> in the past</w:t>
      </w:r>
      <w:r w:rsidR="005A36BF">
        <w:t xml:space="preserve"> </w:t>
      </w:r>
      <w:r w:rsidR="003222DD">
        <w:t>and</w:t>
      </w:r>
      <w:r w:rsidR="001567D2">
        <w:t xml:space="preserve"> therefore</w:t>
      </w:r>
      <w:r w:rsidR="003222DD">
        <w:t xml:space="preserve"> </w:t>
      </w:r>
      <w:r w:rsidR="005A36BF">
        <w:t>may continue to do so in the future.</w:t>
      </w:r>
      <w:r w:rsidR="003222DD">
        <w:t xml:space="preserve"> </w:t>
      </w:r>
      <w:r w:rsidR="001567D2">
        <w:t>Consequently</w:t>
      </w:r>
      <w:r w:rsidR="008129C9">
        <w:t xml:space="preserve">, even if the </w:t>
      </w:r>
      <w:proofErr w:type="spellStart"/>
      <w:r w:rsidR="008129C9">
        <w:t>Schwartzes</w:t>
      </w:r>
      <w:proofErr w:type="spellEnd"/>
      <w:r w:rsidR="008129C9">
        <w:t xml:space="preserve"> had dismissed the</w:t>
      </w:r>
      <w:r w:rsidR="000A259C">
        <w:t xml:space="preserve"> underlying action, </w:t>
      </w:r>
      <w:r w:rsidR="008129C9">
        <w:t>we would decline to dismiss the</w:t>
      </w:r>
      <w:r w:rsidR="00A77ED7">
        <w:t xml:space="preserve"> writ </w:t>
      </w:r>
      <w:r w:rsidR="000A259C">
        <w:t xml:space="preserve">petition as moot. </w:t>
      </w:r>
    </w:p>
    <w:p w14:paraId="5EBDDAA7" w14:textId="69BE37AE" w:rsidR="00D846CC" w:rsidRDefault="00D846CC" w:rsidP="008833EB">
      <w:pPr>
        <w:ind w:firstLine="0"/>
        <w:rPr>
          <w:b/>
        </w:rPr>
      </w:pPr>
      <w:r>
        <w:rPr>
          <w:b/>
        </w:rPr>
        <w:tab/>
        <w:t>B.</w:t>
      </w:r>
      <w:r>
        <w:rPr>
          <w:b/>
        </w:rPr>
        <w:tab/>
        <w:t>Jurisdiction</w:t>
      </w:r>
    </w:p>
    <w:p w14:paraId="69E7BA7E" w14:textId="7B9A1063" w:rsidR="00E12DD3" w:rsidRPr="00D71FD5" w:rsidRDefault="004C7573" w:rsidP="008833EB">
      <w:pPr>
        <w:ind w:firstLine="0"/>
      </w:pPr>
      <w:r>
        <w:rPr>
          <w:b/>
        </w:rPr>
        <w:tab/>
      </w:r>
      <w:r>
        <w:t xml:space="preserve">The </w:t>
      </w:r>
      <w:proofErr w:type="spellStart"/>
      <w:r>
        <w:t>Schwartzes</w:t>
      </w:r>
      <w:proofErr w:type="spellEnd"/>
      <w:r>
        <w:t xml:space="preserve"> contend we lack jurisdiction to issue the requested writ for two reasons. </w:t>
      </w:r>
      <w:r w:rsidR="00BB7242">
        <w:t xml:space="preserve">First, </w:t>
      </w:r>
      <w:r w:rsidR="009E0746">
        <w:t xml:space="preserve">relying on </w:t>
      </w:r>
      <w:r w:rsidR="009E0746">
        <w:rPr>
          <w:i/>
        </w:rPr>
        <w:t xml:space="preserve">San Diego Gas </w:t>
      </w:r>
      <w:r w:rsidR="001F0C4B">
        <w:rPr>
          <w:i/>
        </w:rPr>
        <w:t>&amp;</w:t>
      </w:r>
      <w:r w:rsidR="009E0746">
        <w:rPr>
          <w:i/>
        </w:rPr>
        <w:t xml:space="preserve"> Electric Co. v. Superior Court </w:t>
      </w:r>
      <w:r w:rsidR="009E0746">
        <w:t xml:space="preserve">(1996) 13 Cal.4th 893, </w:t>
      </w:r>
      <w:r w:rsidR="00BB7242">
        <w:t xml:space="preserve">they </w:t>
      </w:r>
      <w:r w:rsidR="00536835">
        <w:t xml:space="preserve">argue that </w:t>
      </w:r>
      <w:r w:rsidR="00BB7242">
        <w:t xml:space="preserve">writ review is inappropriate because an order overruling a demurrer “may be reviewed on </w:t>
      </w:r>
      <w:r w:rsidR="004144F4">
        <w:t xml:space="preserve">an </w:t>
      </w:r>
      <w:r w:rsidR="00BB7242">
        <w:t>appeal from the final judgment [citations], and . . . such an appeal is normally presumed to be an adequate remedy at law, thus barring</w:t>
      </w:r>
      <w:r w:rsidR="009E0746">
        <w:t xml:space="preserve"> immediate review by extraordinary writ.” </w:t>
      </w:r>
    </w:p>
    <w:p w14:paraId="619D4A82" w14:textId="5E6364CA" w:rsidR="00D71FD5" w:rsidRDefault="00E2680B" w:rsidP="008833EB">
      <w:pPr>
        <w:ind w:firstLine="0"/>
      </w:pPr>
      <w:r>
        <w:tab/>
      </w:r>
      <w:r w:rsidR="00673FD8">
        <w:t xml:space="preserve">But </w:t>
      </w:r>
      <w:r>
        <w:t xml:space="preserve">writ review is appropriate here. “Even though a trial court’s order overruling a demurrer is subject to review on appeal from </w:t>
      </w:r>
      <w:r w:rsidR="00311A92">
        <w:t>the</w:t>
      </w:r>
      <w:r>
        <w:t xml:space="preserve"> final judgment, an appellate court has the option to review such an order prior to final judgment through writ of mandate. [Citation.] However, writ review is appropriate only when (1) ‘the remedy by appeal would be inadequate’ [citation</w:t>
      </w:r>
      <w:r w:rsidR="007D4376">
        <w:t>]</w:t>
      </w:r>
      <w:r>
        <w:t xml:space="preserve"> or (2) the writ presents a ‘significant issue of law’ or an issue of ‘widespread’ or ‘public interest’ [citations].” (</w:t>
      </w:r>
      <w:r>
        <w:rPr>
          <w:i/>
        </w:rPr>
        <w:t>California Dep</w:t>
      </w:r>
      <w:r w:rsidR="00F16417">
        <w:rPr>
          <w:i/>
        </w:rPr>
        <w:t>t.</w:t>
      </w:r>
      <w:r>
        <w:rPr>
          <w:i/>
        </w:rPr>
        <w:t xml:space="preserve"> of Tax </w:t>
      </w:r>
      <w:r w:rsidR="00F16417">
        <w:rPr>
          <w:i/>
        </w:rPr>
        <w:t>&amp;</w:t>
      </w:r>
      <w:r>
        <w:rPr>
          <w:i/>
        </w:rPr>
        <w:t xml:space="preserve"> Fee Administration v. Superior Court </w:t>
      </w:r>
      <w:r>
        <w:t xml:space="preserve">(2020) 48 Cal.App.5th 922, 929.) </w:t>
      </w:r>
      <w:r w:rsidR="00413527">
        <w:t xml:space="preserve">Both conditions are satisfied here. </w:t>
      </w:r>
      <w:r w:rsidR="0062509F">
        <w:t xml:space="preserve">As noted above, </w:t>
      </w:r>
      <w:r w:rsidR="00907CF3">
        <w:t>this case “presents a ‘significant issue of law</w:t>
      </w:r>
      <w:r w:rsidR="00321FA3">
        <w:t>.</w:t>
      </w:r>
      <w:r w:rsidR="00907CF3">
        <w:t xml:space="preserve">’” </w:t>
      </w:r>
      <w:r w:rsidR="00907CF3">
        <w:lastRenderedPageBreak/>
        <w:t>(</w:t>
      </w:r>
      <w:r w:rsidR="00907CF3">
        <w:rPr>
          <w:i/>
        </w:rPr>
        <w:t>Ibid.</w:t>
      </w:r>
      <w:r w:rsidR="00907CF3">
        <w:t xml:space="preserve">) </w:t>
      </w:r>
      <w:r w:rsidR="00947835">
        <w:t>And</w:t>
      </w:r>
      <w:r w:rsidR="00907CF3">
        <w:t xml:space="preserve"> </w:t>
      </w:r>
      <w:r w:rsidR="00947835">
        <w:t>this court’s</w:t>
      </w:r>
      <w:r w:rsidR="007D4376">
        <w:t xml:space="preserve"> issuance of an order to show cause in October 2023 “determined, in effect, that [the Cohens’] remedy at law was inadequate</w:t>
      </w:r>
      <w:r w:rsidR="00B90486">
        <w:t>.</w:t>
      </w:r>
      <w:r w:rsidR="00413527">
        <w:t>”</w:t>
      </w:r>
      <w:r w:rsidR="00A40846">
        <w:t xml:space="preserve"> (</w:t>
      </w:r>
      <w:r w:rsidR="00A40846">
        <w:rPr>
          <w:i/>
        </w:rPr>
        <w:t xml:space="preserve">Bounds v. Superior Court </w:t>
      </w:r>
      <w:r w:rsidR="00A40846">
        <w:t xml:space="preserve">(2014) 229 Cal.App.4th 468, 476.) </w:t>
      </w:r>
    </w:p>
    <w:p w14:paraId="670206BE" w14:textId="6073B227" w:rsidR="00E43A0A" w:rsidRDefault="00907CF3" w:rsidP="002B23B8">
      <w:pPr>
        <w:spacing w:after="160"/>
        <w:ind w:firstLine="0"/>
      </w:pPr>
      <w:r>
        <w:rPr>
          <w:i/>
        </w:rPr>
        <w:tab/>
      </w:r>
      <w:r w:rsidR="000260B2">
        <w:t xml:space="preserve">Next, the </w:t>
      </w:r>
      <w:proofErr w:type="spellStart"/>
      <w:r w:rsidR="000260B2">
        <w:t>Schwartzes</w:t>
      </w:r>
      <w:proofErr w:type="spellEnd"/>
      <w:r w:rsidR="000260B2">
        <w:t xml:space="preserve"> </w:t>
      </w:r>
      <w:r w:rsidR="00536835">
        <w:t xml:space="preserve">contend </w:t>
      </w:r>
      <w:r w:rsidR="000260B2">
        <w:t>we “</w:t>
      </w:r>
      <w:proofErr w:type="gramStart"/>
      <w:r w:rsidR="000260B2">
        <w:t>lack[</w:t>
      </w:r>
      <w:proofErr w:type="gramEnd"/>
      <w:r w:rsidR="000260B2">
        <w:t xml:space="preserve"> ] jurisdiction to order the superior court to disregard </w:t>
      </w:r>
      <w:r w:rsidR="000260B2">
        <w:rPr>
          <w:i/>
        </w:rPr>
        <w:t>Riley</w:t>
      </w:r>
      <w:r w:rsidR="00946E39">
        <w:t>.</w:t>
      </w:r>
      <w:r w:rsidR="000260B2">
        <w:t xml:space="preserve">” </w:t>
      </w:r>
      <w:r w:rsidR="0050155A">
        <w:t>W</w:t>
      </w:r>
      <w:r w:rsidR="000260B2">
        <w:t>e reject th</w:t>
      </w:r>
      <w:r w:rsidR="006B0937">
        <w:t>eir</w:t>
      </w:r>
      <w:r w:rsidR="000260B2">
        <w:t xml:space="preserve"> argument as unsupported by the authority on which it relies. The </w:t>
      </w:r>
      <w:r w:rsidR="006B0937">
        <w:t xml:space="preserve">cases </w:t>
      </w:r>
      <w:r w:rsidR="00536835">
        <w:t xml:space="preserve">they </w:t>
      </w:r>
      <w:r w:rsidR="000260B2">
        <w:t xml:space="preserve">cite </w:t>
      </w:r>
      <w:r w:rsidR="00EB5870">
        <w:t>establish</w:t>
      </w:r>
      <w:r w:rsidR="006B0937">
        <w:t>: (1) when faced with conflicting</w:t>
      </w:r>
      <w:r w:rsidR="00536835">
        <w:t xml:space="preserve"> appellate court</w:t>
      </w:r>
      <w:r w:rsidR="006B0937">
        <w:t xml:space="preserve"> opinions,</w:t>
      </w:r>
      <w:r w:rsidR="001E6726">
        <w:t xml:space="preserve"> trial court</w:t>
      </w:r>
      <w:r w:rsidR="00DF1595">
        <w:t>s</w:t>
      </w:r>
      <w:r w:rsidR="001E6726">
        <w:t xml:space="preserve"> </w:t>
      </w:r>
      <w:r w:rsidR="00DF1595">
        <w:t>“must make a choice between the conflicting decisions”</w:t>
      </w:r>
      <w:r w:rsidR="00EB5870">
        <w:t xml:space="preserve"> (</w:t>
      </w:r>
      <w:r w:rsidR="00EB5870">
        <w:rPr>
          <w:i/>
        </w:rPr>
        <w:t xml:space="preserve">Auto Equity Sales, Inc. v. Superior Court </w:t>
      </w:r>
      <w:r w:rsidR="00EB5870">
        <w:t xml:space="preserve">(1962) 57 Cal.2d 450, </w:t>
      </w:r>
      <w:r w:rsidR="004E118B">
        <w:t>456)</w:t>
      </w:r>
      <w:r w:rsidR="001E6726">
        <w:t>; and (2)</w:t>
      </w:r>
      <w:r w:rsidR="0019684D">
        <w:t xml:space="preserve"> </w:t>
      </w:r>
      <w:r w:rsidR="00975F6E">
        <w:t>“</w:t>
      </w:r>
      <w:r w:rsidR="00AF5335">
        <w:t>‘</w:t>
      </w:r>
      <w:r w:rsidR="00975F6E">
        <w:t>[a] decision by a court of appeal is not binding in the courts of appeal[,]</w:t>
      </w:r>
      <w:r w:rsidR="00F87F13">
        <w:t>’</w:t>
      </w:r>
      <w:r w:rsidR="00975F6E">
        <w:t>” and therefore “</w:t>
      </w:r>
      <w:r w:rsidR="00F87F13">
        <w:t>‘</w:t>
      </w:r>
      <w:r w:rsidR="00975F6E">
        <w:t>[o]ne district or division may refuse to follow a prior decision of a different district or division</w:t>
      </w:r>
      <w:r w:rsidR="006867A6">
        <w:t xml:space="preserve"> . . . .</w:t>
      </w:r>
      <w:r w:rsidR="006007AD">
        <w:t>’</w:t>
      </w:r>
      <w:r w:rsidR="00975F6E">
        <w:t>” (</w:t>
      </w:r>
      <w:r w:rsidR="00810D71">
        <w:rPr>
          <w:i/>
        </w:rPr>
        <w:t xml:space="preserve">McCallum v. McCallum </w:t>
      </w:r>
      <w:r w:rsidR="00810D71">
        <w:t xml:space="preserve">(1987) 190 Cal.App.3d 308, </w:t>
      </w:r>
      <w:r w:rsidR="006867A6">
        <w:t xml:space="preserve">315, fn. 4; </w:t>
      </w:r>
      <w:proofErr w:type="spellStart"/>
      <w:r w:rsidR="006867A6">
        <w:rPr>
          <w:i/>
        </w:rPr>
        <w:t>Sarti</w:t>
      </w:r>
      <w:proofErr w:type="spellEnd"/>
      <w:r w:rsidR="006867A6">
        <w:rPr>
          <w:i/>
        </w:rPr>
        <w:t xml:space="preserve"> v. Salt Creek Ltd. </w:t>
      </w:r>
      <w:r w:rsidR="006867A6">
        <w:t>(2008) 167 Cal.App.4th 1187</w:t>
      </w:r>
      <w:r w:rsidR="00B47767">
        <w:t>, 1193</w:t>
      </w:r>
      <w:r w:rsidR="006867A6">
        <w:t xml:space="preserve"> [noting “there is no horizontal stare decisis in the California Court of Appeal”].)</w:t>
      </w:r>
      <w:r w:rsidR="0041653A">
        <w:t xml:space="preserve"> These authorities do not—as the </w:t>
      </w:r>
      <w:proofErr w:type="spellStart"/>
      <w:r w:rsidR="0041653A">
        <w:t>Schwartzes</w:t>
      </w:r>
      <w:proofErr w:type="spellEnd"/>
      <w:r w:rsidR="0041653A">
        <w:t xml:space="preserve"> contend—demonstrate we lack jurisdiction to</w:t>
      </w:r>
      <w:r w:rsidR="00990755">
        <w:t xml:space="preserve"> revisit</w:t>
      </w:r>
      <w:r w:rsidR="0041653A">
        <w:t xml:space="preserve"> and/or disagree with </w:t>
      </w:r>
      <w:r w:rsidR="0041653A">
        <w:rPr>
          <w:i/>
        </w:rPr>
        <w:t>Riley</w:t>
      </w:r>
      <w:r w:rsidR="006F0611">
        <w:t>.</w:t>
      </w:r>
      <w:r w:rsidR="0041653A">
        <w:t xml:space="preserve"> </w:t>
      </w:r>
      <w:r w:rsidR="006840BB">
        <w:t>Courts of Appeal, and divisions thereof, are empowered to reconsider</w:t>
      </w:r>
      <w:r w:rsidR="0082792E">
        <w:t>—</w:t>
      </w:r>
      <w:r w:rsidR="006840BB">
        <w:t>and in the appropriate case disapprove of or overrule</w:t>
      </w:r>
      <w:r w:rsidR="0082792E">
        <w:t>—</w:t>
      </w:r>
      <w:r w:rsidR="006840BB">
        <w:t>prior decisions of those courts. (</w:t>
      </w:r>
      <w:r w:rsidR="006840BB" w:rsidRPr="0091363D">
        <w:t>See, e.g.,</w:t>
      </w:r>
      <w:r w:rsidR="00555E1C">
        <w:t xml:space="preserve"> </w:t>
      </w:r>
      <w:r w:rsidR="00555E1C">
        <w:rPr>
          <w:i/>
        </w:rPr>
        <w:t xml:space="preserve">Estate of Sapp </w:t>
      </w:r>
      <w:r w:rsidR="00555E1C">
        <w:t xml:space="preserve">(2019) 36 Cal.App.5th 86, </w:t>
      </w:r>
      <w:r w:rsidR="005067C8">
        <w:t>109</w:t>
      </w:r>
      <w:r w:rsidR="005B1BC0">
        <w:t>,</w:t>
      </w:r>
      <w:r w:rsidR="005067C8">
        <w:t xml:space="preserve"> </w:t>
      </w:r>
      <w:r w:rsidR="005B1BC0">
        <w:t xml:space="preserve">fn. 9 </w:t>
      </w:r>
      <w:r w:rsidR="005067C8">
        <w:t>[overruling decision by prior panel</w:t>
      </w:r>
      <w:r w:rsidR="00430E0C">
        <w:t xml:space="preserve"> of the same court</w:t>
      </w:r>
      <w:r w:rsidR="005067C8">
        <w:t xml:space="preserve"> after determining the decision</w:t>
      </w:r>
      <w:r w:rsidR="00E43A0A">
        <w:t xml:space="preserve"> “wrongly interpreted the term ‘mismanagement’ [under former Probate Code section 521</w:t>
      </w:r>
      <w:r w:rsidR="005067C8">
        <w:t>]</w:t>
      </w:r>
      <w:r w:rsidR="00E43A0A">
        <w:t xml:space="preserve"> for purposes of removing a personal representative of an estate”]</w:t>
      </w:r>
      <w:r w:rsidR="005067C8">
        <w:t xml:space="preserve">; </w:t>
      </w:r>
      <w:r w:rsidR="005067C8">
        <w:rPr>
          <w:i/>
        </w:rPr>
        <w:t xml:space="preserve">Saucedo v. Mercury Sav. &amp; Loan Assn. </w:t>
      </w:r>
      <w:r w:rsidR="005067C8">
        <w:t>(1980) 111 Cal.App.3d 309, 310-311</w:t>
      </w:r>
      <w:r w:rsidR="00E43A0A">
        <w:t xml:space="preserve"> </w:t>
      </w:r>
      <w:r w:rsidR="005067C8">
        <w:t>[overruling a decision by a prior panel</w:t>
      </w:r>
      <w:r w:rsidR="00430E0C">
        <w:t xml:space="preserve"> of the same court</w:t>
      </w:r>
      <w:r w:rsidR="00E43A0A">
        <w:t xml:space="preserve"> after determining the decision</w:t>
      </w:r>
      <w:r w:rsidR="00430E0C">
        <w:t xml:space="preserve"> was wrongly decided</w:t>
      </w:r>
      <w:r w:rsidR="000F714F">
        <w:t>]</w:t>
      </w:r>
      <w:r w:rsidR="009638DF">
        <w:t>.</w:t>
      </w:r>
      <w:r w:rsidR="006840BB" w:rsidRPr="0091363D">
        <w:t>)</w:t>
      </w:r>
      <w:r w:rsidR="006840BB">
        <w:t xml:space="preserve"> </w:t>
      </w:r>
      <w:r w:rsidR="0041653A">
        <w:t xml:space="preserve"> </w:t>
      </w:r>
    </w:p>
    <w:p w14:paraId="2F69D203" w14:textId="77777777" w:rsidR="007F6B3B" w:rsidRPr="003F30A2" w:rsidRDefault="007F6B3B" w:rsidP="002B23B8">
      <w:pPr>
        <w:spacing w:after="160"/>
        <w:ind w:firstLine="0"/>
      </w:pPr>
    </w:p>
    <w:p w14:paraId="380D3937" w14:textId="4F64DB3E" w:rsidR="00784317" w:rsidRDefault="00784317" w:rsidP="008833EB">
      <w:pPr>
        <w:ind w:firstLine="0"/>
        <w:rPr>
          <w:b/>
        </w:rPr>
      </w:pPr>
      <w:r>
        <w:rPr>
          <w:b/>
        </w:rPr>
        <w:lastRenderedPageBreak/>
        <w:tab/>
        <w:t>C.</w:t>
      </w:r>
      <w:r>
        <w:rPr>
          <w:b/>
        </w:rPr>
        <w:tab/>
        <w:t xml:space="preserve">Conclusion </w:t>
      </w:r>
    </w:p>
    <w:p w14:paraId="0D0E02D9" w14:textId="5117C7A7" w:rsidR="008B7C62" w:rsidRPr="003F30A2" w:rsidRDefault="0099116D" w:rsidP="007F6B3B">
      <w:pPr>
        <w:spacing w:after="160"/>
      </w:pPr>
      <w:r>
        <w:t>For the reasons discussed above</w:t>
      </w:r>
      <w:r w:rsidR="00784317">
        <w:t xml:space="preserve">, </w:t>
      </w:r>
      <w:r w:rsidR="00AF422F">
        <w:t xml:space="preserve">we deny </w:t>
      </w:r>
      <w:r w:rsidR="00784317">
        <w:t xml:space="preserve">the </w:t>
      </w:r>
      <w:proofErr w:type="spellStart"/>
      <w:r w:rsidR="00784317">
        <w:t>Schwartzes</w:t>
      </w:r>
      <w:proofErr w:type="spellEnd"/>
      <w:r w:rsidR="00784317">
        <w:t>’ motion to dismiss</w:t>
      </w:r>
      <w:r w:rsidR="00954324">
        <w:t xml:space="preserve"> the </w:t>
      </w:r>
      <w:r w:rsidR="0080688C">
        <w:t>writ petition</w:t>
      </w:r>
      <w:r w:rsidR="00AF422F">
        <w:t>.</w:t>
      </w:r>
      <w:r w:rsidR="000B0F49" w:rsidRPr="00037049">
        <w:rPr>
          <w:rStyle w:val="FootnoteReference"/>
          <w:b w:val="0"/>
          <w:sz w:val="26"/>
        </w:rPr>
        <w:footnoteReference w:id="5"/>
      </w:r>
      <w:r w:rsidR="00784317">
        <w:t xml:space="preserve"> </w:t>
      </w:r>
      <w:r w:rsidR="00B75A6C">
        <w:t>W</w:t>
      </w:r>
      <w:r>
        <w:t>e</w:t>
      </w:r>
      <w:r w:rsidR="00B75A6C">
        <w:t xml:space="preserve"> now</w:t>
      </w:r>
      <w:r w:rsidR="00784317">
        <w:t xml:space="preserve"> turn our attention to </w:t>
      </w:r>
      <w:r w:rsidR="003D4AFC">
        <w:t xml:space="preserve">the merits of the Cohens’ petition. </w:t>
      </w:r>
    </w:p>
    <w:p w14:paraId="641D9B70" w14:textId="2A6E0286" w:rsidR="00B97F46" w:rsidRDefault="001F1CF0" w:rsidP="002B23B8">
      <w:pPr>
        <w:spacing w:after="160"/>
        <w:ind w:firstLine="0"/>
        <w:rPr>
          <w:b/>
        </w:rPr>
      </w:pPr>
      <w:r>
        <w:rPr>
          <w:b/>
        </w:rPr>
        <w:t>II.</w:t>
      </w:r>
      <w:r>
        <w:rPr>
          <w:b/>
        </w:rPr>
        <w:tab/>
      </w:r>
      <w:r w:rsidR="008833EB">
        <w:rPr>
          <w:b/>
        </w:rPr>
        <w:t xml:space="preserve">Standard of Review </w:t>
      </w:r>
    </w:p>
    <w:p w14:paraId="1FCD9164" w14:textId="22A07F45" w:rsidR="008833EB" w:rsidRPr="002B23B8" w:rsidRDefault="00B97F46" w:rsidP="002B23B8">
      <w:pPr>
        <w:spacing w:after="160"/>
        <w:ind w:firstLine="0"/>
      </w:pPr>
      <w:r>
        <w:tab/>
      </w:r>
      <w:r w:rsidR="005449A7">
        <w:t xml:space="preserve">“‘The standard of review for an order overruling a demurrer is de novo. The reviewing court accepts as true all facts properly pleaded in the complaint </w:t>
      </w:r>
      <w:proofErr w:type="gramStart"/>
      <w:r w:rsidR="005449A7">
        <w:t>in order to</w:t>
      </w:r>
      <w:proofErr w:type="gramEnd"/>
      <w:r w:rsidR="005449A7">
        <w:t xml:space="preserve"> determine whether the demurrer should be overruled. [Citation.]’ [Citations.]</w:t>
      </w:r>
      <w:r w:rsidR="000C70D9">
        <w:t xml:space="preserve"> We liberally construe the pleading with a view to substantial justice between the parties. [Citations.] </w:t>
      </w:r>
      <w:r w:rsidR="005449A7">
        <w:t xml:space="preserve">We do not, however, assume the truth of the legal contentions, </w:t>
      </w:r>
      <w:proofErr w:type="gramStart"/>
      <w:r w:rsidR="005449A7">
        <w:t>deductions</w:t>
      </w:r>
      <w:proofErr w:type="gramEnd"/>
      <w:r w:rsidR="005449A7">
        <w:t xml:space="preserve"> or conclusions; questions of law, such as the interpretation of a statute, are reviewed de novo.” (</w:t>
      </w:r>
      <w:r w:rsidR="005449A7">
        <w:rPr>
          <w:i/>
        </w:rPr>
        <w:t xml:space="preserve">Ralphs Grocery Co. v. Superior Court </w:t>
      </w:r>
      <w:r w:rsidR="005449A7">
        <w:t>(2003) 112 Cal.App.4th 1090, 1096,</w:t>
      </w:r>
      <w:r w:rsidR="00A531AF">
        <w:t xml:space="preserve"> overruled </w:t>
      </w:r>
      <w:r w:rsidR="005A035F">
        <w:t xml:space="preserve">on </w:t>
      </w:r>
      <w:r w:rsidR="005449A7">
        <w:t>other ground</w:t>
      </w:r>
      <w:r w:rsidR="005A035F">
        <w:t>s</w:t>
      </w:r>
      <w:r w:rsidR="005449A7">
        <w:t xml:space="preserve"> </w:t>
      </w:r>
      <w:r w:rsidR="005A035F">
        <w:t>in</w:t>
      </w:r>
      <w:r w:rsidR="005449A7">
        <w:t xml:space="preserve"> </w:t>
      </w:r>
      <w:proofErr w:type="spellStart"/>
      <w:r w:rsidR="005449A7">
        <w:rPr>
          <w:i/>
        </w:rPr>
        <w:t>Prachasaisoradej</w:t>
      </w:r>
      <w:proofErr w:type="spellEnd"/>
      <w:r w:rsidR="005449A7">
        <w:rPr>
          <w:i/>
        </w:rPr>
        <w:t xml:space="preserve"> v. Ralphs Grocery Co., Inc. </w:t>
      </w:r>
      <w:r w:rsidR="005449A7">
        <w:t xml:space="preserve">(2007) 42 Cal.4th 217, 244.) </w:t>
      </w:r>
    </w:p>
    <w:p w14:paraId="45DB520C" w14:textId="78C9EDE7" w:rsidR="00462F0B" w:rsidRDefault="008833EB" w:rsidP="002B23B8">
      <w:pPr>
        <w:spacing w:after="160"/>
        <w:ind w:left="720" w:hanging="720"/>
        <w:rPr>
          <w:b/>
        </w:rPr>
      </w:pPr>
      <w:r>
        <w:rPr>
          <w:b/>
        </w:rPr>
        <w:t>I</w:t>
      </w:r>
      <w:r w:rsidR="00D85A91">
        <w:rPr>
          <w:b/>
        </w:rPr>
        <w:t>I</w:t>
      </w:r>
      <w:r w:rsidR="008F6990">
        <w:rPr>
          <w:b/>
        </w:rPr>
        <w:t>I</w:t>
      </w:r>
      <w:r>
        <w:rPr>
          <w:b/>
        </w:rPr>
        <w:t>.</w:t>
      </w:r>
      <w:r>
        <w:rPr>
          <w:b/>
        </w:rPr>
        <w:tab/>
      </w:r>
      <w:r w:rsidR="00A86462">
        <w:rPr>
          <w:b/>
        </w:rPr>
        <w:t xml:space="preserve">Reasons </w:t>
      </w:r>
      <w:r w:rsidR="00AF422F">
        <w:rPr>
          <w:b/>
        </w:rPr>
        <w:t xml:space="preserve">to </w:t>
      </w:r>
      <w:r w:rsidR="003F6CB2">
        <w:rPr>
          <w:b/>
        </w:rPr>
        <w:t>Reexamin</w:t>
      </w:r>
      <w:r w:rsidR="00AF422F">
        <w:rPr>
          <w:b/>
        </w:rPr>
        <w:t xml:space="preserve">e </w:t>
      </w:r>
      <w:r w:rsidR="00AF422F" w:rsidRPr="0050155A">
        <w:rPr>
          <w:b/>
          <w:i/>
          <w:iCs/>
        </w:rPr>
        <w:t>Riley</w:t>
      </w:r>
    </w:p>
    <w:p w14:paraId="6E96BE3C" w14:textId="293709DE" w:rsidR="005A035F" w:rsidRDefault="00AB45BF" w:rsidP="00012A35">
      <w:r>
        <w:t>W</w:t>
      </w:r>
      <w:r w:rsidR="00D85A91">
        <w:t>ell-settled</w:t>
      </w:r>
      <w:r w:rsidR="00012A35">
        <w:t xml:space="preserve"> principles govern the </w:t>
      </w:r>
      <w:r w:rsidR="00412C35">
        <w:t>respec</w:t>
      </w:r>
      <w:r w:rsidR="00D85A91">
        <w:t>t</w:t>
      </w:r>
      <w:r w:rsidR="00C72143">
        <w:t xml:space="preserve"> accorded</w:t>
      </w:r>
      <w:r w:rsidR="00412C35">
        <w:t xml:space="preserve"> </w:t>
      </w:r>
      <w:r w:rsidR="00B649E2">
        <w:t>prior opinions published by</w:t>
      </w:r>
      <w:r w:rsidR="00D85A91">
        <w:t xml:space="preserve"> this court</w:t>
      </w:r>
      <w:r w:rsidR="00B649E2">
        <w:t>.</w:t>
      </w:r>
      <w:r w:rsidR="00412C35">
        <w:t xml:space="preserve"> “It is, of course, a fundamental jurisprudential policy that prior applicable precedent usually must be followed even though the case, if considered anew, might be decided differently by the current justices. This policy, known as the doctrine of stare decisis, ‘is based on the assumption that certainty, predictability and stability in the law are the major objectives of the legal </w:t>
      </w:r>
      <w:proofErr w:type="gramStart"/>
      <w:r w:rsidR="00412C35">
        <w:t>system;</w:t>
      </w:r>
      <w:proofErr w:type="gramEnd"/>
      <w:r w:rsidR="00412C35">
        <w:t xml:space="preserve"> i.e., that parties should be able to </w:t>
      </w:r>
      <w:r w:rsidR="00412C35">
        <w:lastRenderedPageBreak/>
        <w:t>regulate their conduct and enter into relationships with reasonable assurance of the governing rules of law.’” (</w:t>
      </w:r>
      <w:r w:rsidR="00412C35">
        <w:rPr>
          <w:i/>
        </w:rPr>
        <w:t xml:space="preserve">Moradi-Shalal v. Fireman’s Fund Ins. Companies </w:t>
      </w:r>
      <w:r w:rsidR="00412C35">
        <w:t>(1988) 46 Cal.3d 287, 296 (</w:t>
      </w:r>
      <w:r w:rsidR="00412C35">
        <w:rPr>
          <w:i/>
        </w:rPr>
        <w:t>Moradi-Shalal</w:t>
      </w:r>
      <w:r w:rsidR="00412C35">
        <w:t xml:space="preserve">).) </w:t>
      </w:r>
      <w:r w:rsidR="00843E1C">
        <w:t xml:space="preserve">At least in California, this is especially true </w:t>
      </w:r>
      <w:r w:rsidR="009669C1">
        <w:t xml:space="preserve">of judicial decisions </w:t>
      </w:r>
      <w:r w:rsidR="00843E1C">
        <w:t>establishing important constitutional rights upon which residents rely to protect their interests or those of others.</w:t>
      </w:r>
    </w:p>
    <w:p w14:paraId="58A91694" w14:textId="1A4C01D0" w:rsidR="00C606CA" w:rsidRDefault="00C606CA" w:rsidP="00012A35">
      <w:r>
        <w:t>“It is likewise well established, however, that the foregoing policy is a flexible one which permits this court to reconsider, and ultimately depart from, our own prior precedent in an appropriate case.” (</w:t>
      </w:r>
      <w:r>
        <w:rPr>
          <w:i/>
        </w:rPr>
        <w:t>Moradi-Shalal</w:t>
      </w:r>
      <w:r>
        <w:t xml:space="preserve">, </w:t>
      </w:r>
      <w:r>
        <w:rPr>
          <w:i/>
        </w:rPr>
        <w:t>supra</w:t>
      </w:r>
      <w:r>
        <w:t xml:space="preserve">, 46 Cal.3d at p. 296.) </w:t>
      </w:r>
      <w:r w:rsidR="00A75669">
        <w:t xml:space="preserve">“Although the doctrine [of stare decisis] does indeed serve important values, it nevertheless should not shield </w:t>
      </w:r>
      <w:r w:rsidR="006840BB">
        <w:t xml:space="preserve">[all] </w:t>
      </w:r>
      <w:r w:rsidR="00A75669">
        <w:t xml:space="preserve">court-created error from correction.” </w:t>
      </w:r>
      <w:r w:rsidR="000A4179">
        <w:t>(</w:t>
      </w:r>
      <w:proofErr w:type="spellStart"/>
      <w:r w:rsidR="000A4179">
        <w:rPr>
          <w:i/>
        </w:rPr>
        <w:t>Cianci</w:t>
      </w:r>
      <w:proofErr w:type="spellEnd"/>
      <w:r w:rsidR="000A4179">
        <w:rPr>
          <w:i/>
        </w:rPr>
        <w:t xml:space="preserve"> v. Superior Court </w:t>
      </w:r>
      <w:r w:rsidR="000A4179">
        <w:t>(1985) 40 Cal.3d 903, 924.)</w:t>
      </w:r>
      <w:r w:rsidR="00A756F8">
        <w:t xml:space="preserve"> </w:t>
      </w:r>
      <w:r w:rsidR="001B0363">
        <w:t>Accordingly</w:t>
      </w:r>
      <w:r w:rsidR="00A756F8">
        <w:t xml:space="preserve">, </w:t>
      </w:r>
      <w:r w:rsidR="009E11A1">
        <w:t>“in appropriate and rare cases, appellate court precedent is open for reexamination and critical analysis.” (</w:t>
      </w:r>
      <w:r w:rsidR="009E11A1">
        <w:rPr>
          <w:i/>
        </w:rPr>
        <w:t xml:space="preserve">In re Marriage of Shaban </w:t>
      </w:r>
      <w:r w:rsidR="009E11A1">
        <w:t xml:space="preserve">(2001) 88 Cal.App.4th 398, 409.) </w:t>
      </w:r>
      <w:r w:rsidR="000C0582">
        <w:t>After</w:t>
      </w:r>
      <w:r w:rsidR="004B31B0">
        <w:t xml:space="preserve"> </w:t>
      </w:r>
      <w:r w:rsidR="000C0582">
        <w:t xml:space="preserve">reexamination and </w:t>
      </w:r>
      <w:r w:rsidR="004B31B0">
        <w:t>analysis, a</w:t>
      </w:r>
      <w:r w:rsidR="00F93FA2">
        <w:t xml:space="preserve"> Court of Appeal can disapprove of </w:t>
      </w:r>
      <w:r w:rsidR="00F750EB">
        <w:t>its</w:t>
      </w:r>
      <w:r w:rsidR="00F93FA2">
        <w:t xml:space="preserve"> prior opinion reflecting judicial error. (See </w:t>
      </w:r>
      <w:r w:rsidR="00F93FA2">
        <w:rPr>
          <w:i/>
        </w:rPr>
        <w:t xml:space="preserve">People v. Yeats </w:t>
      </w:r>
      <w:r w:rsidR="00F93FA2">
        <w:t xml:space="preserve">(1977) 66 Cal.App.3d 874, 879 [Court of Appeal admitting error in and disapproving of one of its prior published opinions].) </w:t>
      </w:r>
    </w:p>
    <w:p w14:paraId="2C9DB818" w14:textId="29AFCC03" w:rsidR="00E4367A" w:rsidRPr="00C47226" w:rsidRDefault="000E34AE" w:rsidP="00012A35">
      <w:r>
        <w:t xml:space="preserve">With these principles in mind, we turn to </w:t>
      </w:r>
      <w:r>
        <w:rPr>
          <w:i/>
        </w:rPr>
        <w:t>Riley</w:t>
      </w:r>
      <w:r>
        <w:t xml:space="preserve"> and consider whether</w:t>
      </w:r>
      <w:r w:rsidR="00E4367A">
        <w:t xml:space="preserve"> to </w:t>
      </w:r>
      <w:r>
        <w:t xml:space="preserve">revisit </w:t>
      </w:r>
      <w:r w:rsidR="00763DF5">
        <w:t xml:space="preserve">its </w:t>
      </w:r>
      <w:r>
        <w:t xml:space="preserve">holding relating to section 36900, subdivision (a). In </w:t>
      </w:r>
      <w:r>
        <w:rPr>
          <w:i/>
        </w:rPr>
        <w:t>Riley</w:t>
      </w:r>
      <w:r>
        <w:t xml:space="preserve">, </w:t>
      </w:r>
      <w:r w:rsidR="00E4367A">
        <w:t>the plaintiff alleg</w:t>
      </w:r>
      <w:r w:rsidR="00C72143">
        <w:t>ed</w:t>
      </w:r>
      <w:r w:rsidR="00E4367A">
        <w:t xml:space="preserve"> the defendant</w:t>
      </w:r>
      <w:r w:rsidR="00C72143">
        <w:t>s, who were</w:t>
      </w:r>
      <w:r w:rsidR="00E4367A">
        <w:t xml:space="preserve"> hotel </w:t>
      </w:r>
      <w:r w:rsidR="00E016F5">
        <w:t>operators</w:t>
      </w:r>
      <w:r w:rsidR="00E4367A">
        <w:t xml:space="preserve">, </w:t>
      </w:r>
      <w:r w:rsidR="00E016F5">
        <w:t xml:space="preserve">ran </w:t>
      </w:r>
      <w:r w:rsidR="00E4367A">
        <w:t>a vehicle parking facility within the meaning of Beverly Hills Municipal Code (BHMC) section 4-4.201</w:t>
      </w:r>
      <w:r w:rsidR="00B94E57">
        <w:t>(b)</w:t>
      </w:r>
      <w:r w:rsidR="00D061A4">
        <w:t xml:space="preserve">, </w:t>
      </w:r>
      <w:r w:rsidR="00DF6B92">
        <w:t>and charged a fee for parking, but</w:t>
      </w:r>
      <w:r w:rsidR="00E4367A">
        <w:t xml:space="preserve"> failed to </w:t>
      </w:r>
      <w:r w:rsidR="00DF6B92">
        <w:t xml:space="preserve">display signs </w:t>
      </w:r>
      <w:r w:rsidR="000713D2">
        <w:t>showing</w:t>
      </w:r>
      <w:r w:rsidR="006971B3">
        <w:t xml:space="preserve"> </w:t>
      </w:r>
      <w:r w:rsidR="00780D72">
        <w:t xml:space="preserve">the </w:t>
      </w:r>
      <w:r w:rsidR="006971B3">
        <w:t>rates and</w:t>
      </w:r>
      <w:r w:rsidR="00E4367A">
        <w:t xml:space="preserve"> fees</w:t>
      </w:r>
      <w:r w:rsidR="00D061A4">
        <w:t xml:space="preserve"> to</w:t>
      </w:r>
      <w:r w:rsidR="00E4367A">
        <w:t xml:space="preserve"> be charged </w:t>
      </w:r>
      <w:r w:rsidR="0075223F">
        <w:t>as required by</w:t>
      </w:r>
      <w:r w:rsidR="00E4367A">
        <w:t xml:space="preserve"> BHMC section</w:t>
      </w:r>
      <w:r w:rsidR="00B12F7D">
        <w:t>s</w:t>
      </w:r>
      <w:r w:rsidR="00E4367A">
        <w:t xml:space="preserve"> 4-4.20</w:t>
      </w:r>
      <w:r w:rsidR="00B12F7D">
        <w:t>2 and 4-4.206</w:t>
      </w:r>
      <w:r w:rsidR="00E4367A">
        <w:t>.</w:t>
      </w:r>
      <w:r w:rsidR="00D061A4">
        <w:t xml:space="preserve"> (</w:t>
      </w:r>
      <w:r w:rsidR="00D061A4">
        <w:rPr>
          <w:i/>
        </w:rPr>
        <w:t>Riley</w:t>
      </w:r>
      <w:r w:rsidR="00D061A4">
        <w:t xml:space="preserve">, </w:t>
      </w:r>
      <w:r w:rsidR="00D061A4">
        <w:rPr>
          <w:i/>
        </w:rPr>
        <w:t>supra</w:t>
      </w:r>
      <w:r w:rsidR="00D061A4">
        <w:t xml:space="preserve">, </w:t>
      </w:r>
      <w:r w:rsidR="00C47226">
        <w:t xml:space="preserve">100 Cal.App.4th </w:t>
      </w:r>
      <w:r w:rsidR="009674D7">
        <w:t xml:space="preserve">at p. </w:t>
      </w:r>
      <w:r w:rsidR="00C47226">
        <w:t xml:space="preserve"> </w:t>
      </w:r>
      <w:r w:rsidR="00C47226">
        <w:lastRenderedPageBreak/>
        <w:t xml:space="preserve">602.) </w:t>
      </w:r>
      <w:r w:rsidR="00E4367A">
        <w:t>At the time</w:t>
      </w:r>
      <w:r w:rsidR="003E2346">
        <w:t xml:space="preserve"> the plaintiff filed </w:t>
      </w:r>
      <w:r w:rsidR="00C72143">
        <w:t>her complaint</w:t>
      </w:r>
      <w:r w:rsidR="00E4367A">
        <w:t xml:space="preserve">, </w:t>
      </w:r>
      <w:r w:rsidR="003E2346">
        <w:t xml:space="preserve">BHMC </w:t>
      </w:r>
      <w:r w:rsidR="00E4367A">
        <w:t>section 4-4.201</w:t>
      </w:r>
      <w:r w:rsidR="00B94E57">
        <w:t>(b)</w:t>
      </w:r>
      <w:r w:rsidR="00E4367A">
        <w:t xml:space="preserve"> defined “</w:t>
      </w:r>
      <w:r w:rsidR="00467229">
        <w:t>‘</w:t>
      </w:r>
      <w:r w:rsidR="00E4367A">
        <w:t>vehicle parking facility</w:t>
      </w:r>
      <w:r w:rsidR="00467229">
        <w:t>’</w:t>
      </w:r>
      <w:r w:rsidR="00E4367A">
        <w:t>” as “</w:t>
      </w:r>
      <w:r w:rsidR="003E2346">
        <w:t>‘</w:t>
      </w:r>
      <w:r w:rsidR="00E4367A">
        <w:t>an off-street facility used for the parking of motor vehicles.</w:t>
      </w:r>
      <w:r w:rsidR="003E2346">
        <w:t>’</w:t>
      </w:r>
      <w:r w:rsidR="00E4367A">
        <w:t xml:space="preserve">” </w:t>
      </w:r>
      <w:r w:rsidR="00C47226">
        <w:t>(</w:t>
      </w:r>
      <w:r w:rsidR="00C47226">
        <w:rPr>
          <w:i/>
        </w:rPr>
        <w:t>Ibid.</w:t>
      </w:r>
      <w:r w:rsidR="00C47226">
        <w:t>)</w:t>
      </w:r>
    </w:p>
    <w:p w14:paraId="6902F0FA" w14:textId="0A6824E8" w:rsidR="00B12F7D" w:rsidRPr="00C47226" w:rsidRDefault="00E4367A" w:rsidP="00E4367A">
      <w:r>
        <w:t>While the case was pending,</w:t>
      </w:r>
      <w:r w:rsidR="00B12F7D">
        <w:t xml:space="preserve"> in May 2001,</w:t>
      </w:r>
      <w:r>
        <w:t xml:space="preserve"> the Beverly Hills City Council amended BHMC section 4-4.201</w:t>
      </w:r>
      <w:r w:rsidR="00B94E57">
        <w:t>(b)</w:t>
      </w:r>
      <w:r>
        <w:t xml:space="preserve"> to read: “‘“Vehicle parkin</w:t>
      </w:r>
      <w:r w:rsidR="0075223F">
        <w:t>g</w:t>
      </w:r>
      <w:r>
        <w:t xml:space="preserve"> facility” shall mean an off-street parking facility, where the primary use of the property is to accommodate the parking of motor vehicles by members of the public. A vehicle parking facility does not include an off-street parking facility that accommodates the parking of motor vehicles by the occupants, customers, clientele, and employees of an on-site or adjacent structure where the primary use of that structure is for office, </w:t>
      </w:r>
      <w:proofErr w:type="gramStart"/>
      <w:r>
        <w:t>retail</w:t>
      </w:r>
      <w:proofErr w:type="gramEnd"/>
      <w:r>
        <w:t xml:space="preserve"> or hotel purposes.’”</w:t>
      </w:r>
      <w:r w:rsidR="00C47226">
        <w:t xml:space="preserve"> (</w:t>
      </w:r>
      <w:r w:rsidR="00C47226">
        <w:rPr>
          <w:i/>
        </w:rPr>
        <w:t>Riley</w:t>
      </w:r>
      <w:r w:rsidR="00C47226">
        <w:t xml:space="preserve">, </w:t>
      </w:r>
      <w:r w:rsidR="00C47226">
        <w:rPr>
          <w:i/>
        </w:rPr>
        <w:t>supra</w:t>
      </w:r>
      <w:r w:rsidR="00C47226">
        <w:t>, 100 Cal.App.4th at p. 602.)</w:t>
      </w:r>
      <w:r>
        <w:t xml:space="preserve"> </w:t>
      </w:r>
      <w:r w:rsidR="00B12F7D">
        <w:t>Ultimately, the trial court granted the defendants’ motion for judgment on the pleadings</w:t>
      </w:r>
      <w:r w:rsidR="00C47226">
        <w:t xml:space="preserve"> and entered judgment in their favor</w:t>
      </w:r>
      <w:r w:rsidR="0075223F">
        <w:t>.</w:t>
      </w:r>
      <w:r w:rsidR="00C47226">
        <w:t xml:space="preserve"> (</w:t>
      </w:r>
      <w:r w:rsidR="00C47226">
        <w:rPr>
          <w:i/>
        </w:rPr>
        <w:t xml:space="preserve">Id. </w:t>
      </w:r>
      <w:r w:rsidR="00C47226">
        <w:t>at p. 603.)</w:t>
      </w:r>
      <w:r w:rsidR="0075223F">
        <w:t xml:space="preserve"> </w:t>
      </w:r>
      <w:r w:rsidR="001B33B9">
        <w:t>I</w:t>
      </w:r>
      <w:r w:rsidR="0075223F">
        <w:t>t</w:t>
      </w:r>
      <w:r w:rsidR="004A4D66">
        <w:t xml:space="preserve"> reasoned </w:t>
      </w:r>
      <w:r w:rsidR="0049657C">
        <w:t>as follows</w:t>
      </w:r>
      <w:r w:rsidR="0075223F">
        <w:t xml:space="preserve">: (1) the 2001 </w:t>
      </w:r>
      <w:r w:rsidR="006971B3">
        <w:t xml:space="preserve">version of </w:t>
      </w:r>
      <w:r w:rsidR="0075223F">
        <w:t>BHMC section 4-4.201</w:t>
      </w:r>
      <w:r w:rsidR="007F2811">
        <w:t xml:space="preserve"> </w:t>
      </w:r>
      <w:r w:rsidR="00C47226">
        <w:t xml:space="preserve">effected a </w:t>
      </w:r>
      <w:r w:rsidR="0075223F">
        <w:t xml:space="preserve">change in the law, but was intended by the </w:t>
      </w:r>
      <w:r w:rsidR="00E359E8">
        <w:t xml:space="preserve">City </w:t>
      </w:r>
      <w:r w:rsidR="0075223F">
        <w:t xml:space="preserve">Council to apply retroactively; (2) the operative complaint alleged the defendants were liable solely based on their violations of BHMC section 4-4.202 and 4-4.206; and (3) since defendants did not operate a “vehicle parking facility” </w:t>
      </w:r>
      <w:r w:rsidR="0075223F" w:rsidRPr="007F6B3B">
        <w:t xml:space="preserve">within </w:t>
      </w:r>
      <w:r w:rsidR="001E1811" w:rsidRPr="007F6B3B">
        <w:t xml:space="preserve">the </w:t>
      </w:r>
      <w:r w:rsidR="006971B3" w:rsidRPr="007F6B3B">
        <w:t>amended</w:t>
      </w:r>
      <w:r w:rsidR="0075223F">
        <w:t xml:space="preserve"> version of BHMC section 4-4.201, they owed no duty under sections 4-4.202 and/or 4-4.206. </w:t>
      </w:r>
      <w:r w:rsidR="00C47226">
        <w:t>(</w:t>
      </w:r>
      <w:r w:rsidR="00467229">
        <w:rPr>
          <w:i/>
        </w:rPr>
        <w:t xml:space="preserve">Riley, </w:t>
      </w:r>
      <w:r w:rsidR="00467229">
        <w:rPr>
          <w:iCs/>
        </w:rPr>
        <w:t>at p. 603</w:t>
      </w:r>
      <w:r w:rsidR="00C47226">
        <w:rPr>
          <w:i/>
        </w:rPr>
        <w:t>.</w:t>
      </w:r>
      <w:r w:rsidR="00C47226">
        <w:t xml:space="preserve">) </w:t>
      </w:r>
    </w:p>
    <w:p w14:paraId="02ED6E47" w14:textId="75C0A896" w:rsidR="000E34AE" w:rsidRPr="00101F74" w:rsidRDefault="00986DAD" w:rsidP="00986DAD">
      <w:r>
        <w:t>I</w:t>
      </w:r>
      <w:r w:rsidR="00081FF4">
        <w:t>n reversing the judgment</w:t>
      </w:r>
      <w:r>
        <w:t xml:space="preserve">, </w:t>
      </w:r>
      <w:r w:rsidR="00345DCE">
        <w:t>th</w:t>
      </w:r>
      <w:r w:rsidR="008D321D">
        <w:t>e</w:t>
      </w:r>
      <w:r w:rsidR="001104FF">
        <w:t xml:space="preserve"> </w:t>
      </w:r>
      <w:r w:rsidR="00FD5504">
        <w:rPr>
          <w:i/>
        </w:rPr>
        <w:t xml:space="preserve">Riley </w:t>
      </w:r>
      <w:r w:rsidR="00FD5504">
        <w:t xml:space="preserve">decision </w:t>
      </w:r>
      <w:r w:rsidR="00B94E57">
        <w:t>first</w:t>
      </w:r>
      <w:r w:rsidR="00267510">
        <w:t xml:space="preserve"> analyz</w:t>
      </w:r>
      <w:r w:rsidR="00B94E57">
        <w:t>ed</w:t>
      </w:r>
      <w:r w:rsidR="005F7500">
        <w:t xml:space="preserve"> </w:t>
      </w:r>
      <w:r w:rsidR="00267510">
        <w:t xml:space="preserve">whether the 2001 amendment to </w:t>
      </w:r>
      <w:r w:rsidR="00B94E57">
        <w:t xml:space="preserve">BHMC section 4-4.201(b) was a clarification of existing law or a substantive change in the law. </w:t>
      </w:r>
      <w:r>
        <w:t>(</w:t>
      </w:r>
      <w:r w:rsidR="00081FF4">
        <w:rPr>
          <w:i/>
        </w:rPr>
        <w:t>Riley</w:t>
      </w:r>
      <w:r w:rsidR="00081FF4">
        <w:t xml:space="preserve">, </w:t>
      </w:r>
      <w:r w:rsidR="00081FF4">
        <w:rPr>
          <w:i/>
        </w:rPr>
        <w:t>supra</w:t>
      </w:r>
      <w:r w:rsidR="00081FF4">
        <w:t>, 100 Cal.App.4th at</w:t>
      </w:r>
      <w:r w:rsidR="00101F74">
        <w:t xml:space="preserve"> p. 603.) </w:t>
      </w:r>
      <w:r w:rsidR="00B94E57" w:rsidRPr="00101F74">
        <w:t>After</w:t>
      </w:r>
      <w:r w:rsidR="00B94E57">
        <w:t xml:space="preserve"> considering the </w:t>
      </w:r>
      <w:r w:rsidR="004F6F25">
        <w:t xml:space="preserve">language used in the </w:t>
      </w:r>
      <w:r w:rsidR="009E00FA">
        <w:t>original version of the ordinance enacted in 1962, along with</w:t>
      </w:r>
      <w:r w:rsidR="00541D8B">
        <w:t xml:space="preserve"> its</w:t>
      </w:r>
      <w:r w:rsidR="009E00FA">
        <w:t xml:space="preserve"> legislative history</w:t>
      </w:r>
      <w:r w:rsidR="00DE2A78">
        <w:t xml:space="preserve"> and relevant caselaw</w:t>
      </w:r>
      <w:r w:rsidR="009E00FA">
        <w:t>,</w:t>
      </w:r>
      <w:r w:rsidR="00B94E57">
        <w:t xml:space="preserve"> the</w:t>
      </w:r>
      <w:r w:rsidR="006971B3">
        <w:t xml:space="preserve"> </w:t>
      </w:r>
      <w:r w:rsidR="002F56B2">
        <w:lastRenderedPageBreak/>
        <w:t>opinion</w:t>
      </w:r>
      <w:r w:rsidR="00B94E57">
        <w:t xml:space="preserve"> </w:t>
      </w:r>
      <w:r w:rsidR="009E00FA">
        <w:t xml:space="preserve">held </w:t>
      </w:r>
      <w:r w:rsidR="00B94E57">
        <w:t xml:space="preserve">the 2001 version of BHMC section 4-4.201(b) amounted to a substantive change in the law. </w:t>
      </w:r>
      <w:r w:rsidR="00101F74">
        <w:t>(</w:t>
      </w:r>
      <w:r w:rsidR="00467229">
        <w:rPr>
          <w:i/>
        </w:rPr>
        <w:t>Riley,</w:t>
      </w:r>
      <w:r w:rsidR="00101F74">
        <w:rPr>
          <w:i/>
        </w:rPr>
        <w:t xml:space="preserve"> </w:t>
      </w:r>
      <w:r w:rsidR="00101F74">
        <w:t xml:space="preserve">at pp. 604-605.) </w:t>
      </w:r>
    </w:p>
    <w:p w14:paraId="7237903D" w14:textId="4090064C" w:rsidR="009E00FA" w:rsidRPr="00101F74" w:rsidRDefault="009E00FA" w:rsidP="00E4367A">
      <w:r>
        <w:t xml:space="preserve">Next, the </w:t>
      </w:r>
      <w:r w:rsidR="00345DCE">
        <w:rPr>
          <w:i/>
        </w:rPr>
        <w:t xml:space="preserve">Riley </w:t>
      </w:r>
      <w:r w:rsidR="00345DCE">
        <w:t>opinion</w:t>
      </w:r>
      <w:r>
        <w:t xml:space="preserve"> addressed whether the </w:t>
      </w:r>
      <w:r w:rsidR="00E359E8">
        <w:t xml:space="preserve">City </w:t>
      </w:r>
      <w:r>
        <w:t>Council intended the 2001 version of BHMC section 4-4.201(b) to apply retroactively.</w:t>
      </w:r>
      <w:r w:rsidR="00101F74">
        <w:t xml:space="preserve"> (</w:t>
      </w:r>
      <w:r w:rsidR="00101F74">
        <w:rPr>
          <w:i/>
        </w:rPr>
        <w:t>Riley</w:t>
      </w:r>
      <w:r w:rsidR="00101F74">
        <w:t xml:space="preserve">, </w:t>
      </w:r>
      <w:r w:rsidR="00101F74">
        <w:rPr>
          <w:i/>
        </w:rPr>
        <w:t>supra</w:t>
      </w:r>
      <w:r w:rsidR="00101F74">
        <w:t>, 100 Cal.App.4th at p. 606.)</w:t>
      </w:r>
      <w:r w:rsidR="0023098D">
        <w:t xml:space="preserve"> </w:t>
      </w:r>
      <w:r w:rsidR="006B3424">
        <w:t>Based on the</w:t>
      </w:r>
      <w:r w:rsidR="0023098D">
        <w:t xml:space="preserve"> language </w:t>
      </w:r>
      <w:r w:rsidR="006B3424">
        <w:t xml:space="preserve">of </w:t>
      </w:r>
      <w:r w:rsidR="0023098D">
        <w:t>the new ordinance</w:t>
      </w:r>
      <w:r w:rsidR="006B3424">
        <w:t xml:space="preserve"> and </w:t>
      </w:r>
      <w:r w:rsidR="0023098D">
        <w:t>its</w:t>
      </w:r>
      <w:r w:rsidR="00FC6177">
        <w:t xml:space="preserve"> history, the</w:t>
      </w:r>
      <w:r w:rsidR="00986DAD">
        <w:t xml:space="preserve"> </w:t>
      </w:r>
      <w:r w:rsidR="00345DCE">
        <w:t>decision</w:t>
      </w:r>
      <w:r w:rsidR="00986DAD">
        <w:t xml:space="preserve"> held that</w:t>
      </w:r>
      <w:r w:rsidR="00FC6177">
        <w:t xml:space="preserve"> the trial court erred by finding the ordinance applied retroactively. </w:t>
      </w:r>
      <w:r w:rsidR="00101F74">
        <w:t>(</w:t>
      </w:r>
      <w:r w:rsidR="00101F74">
        <w:rPr>
          <w:i/>
        </w:rPr>
        <w:t xml:space="preserve">Id. </w:t>
      </w:r>
      <w:r w:rsidR="00101F74">
        <w:t xml:space="preserve">at p. 607.) </w:t>
      </w:r>
    </w:p>
    <w:p w14:paraId="70419865" w14:textId="54978BE2" w:rsidR="004C4B5A" w:rsidRDefault="006971B3" w:rsidP="000C76B4">
      <w:r>
        <w:t>Finally,</w:t>
      </w:r>
      <w:r w:rsidR="009E00FA">
        <w:t xml:space="preserve"> the</w:t>
      </w:r>
      <w:r w:rsidR="005F21F3">
        <w:t xml:space="preserve"> </w:t>
      </w:r>
      <w:r w:rsidR="00345DCE">
        <w:rPr>
          <w:i/>
        </w:rPr>
        <w:t xml:space="preserve">Riley </w:t>
      </w:r>
      <w:r w:rsidR="0080175D">
        <w:t>decision</w:t>
      </w:r>
      <w:r w:rsidR="009E00FA">
        <w:t xml:space="preserve"> considered the defendants’ </w:t>
      </w:r>
      <w:r w:rsidR="00FC6177">
        <w:t>argument</w:t>
      </w:r>
      <w:r w:rsidR="00AA268B">
        <w:t xml:space="preserve"> “that a separate basis for affirmance</w:t>
      </w:r>
      <w:r>
        <w:t xml:space="preserve"> [of the judgment entered in their favor]</w:t>
      </w:r>
      <w:r w:rsidR="00AA268B">
        <w:t xml:space="preserve"> is the absence of a private right of action under the Municipal Code.” </w:t>
      </w:r>
      <w:r w:rsidR="004C4B5A">
        <w:t>(</w:t>
      </w:r>
      <w:r w:rsidR="004C4B5A" w:rsidRPr="004C4B5A">
        <w:rPr>
          <w:i/>
        </w:rPr>
        <w:t>Riley</w:t>
      </w:r>
      <w:r w:rsidR="004C4B5A">
        <w:t xml:space="preserve">, </w:t>
      </w:r>
      <w:r w:rsidR="004C4B5A" w:rsidRPr="004C4B5A">
        <w:rPr>
          <w:i/>
        </w:rPr>
        <w:t>supra</w:t>
      </w:r>
      <w:r w:rsidR="004C4B5A">
        <w:t xml:space="preserve">, 100 Cal.App.4th at p. 607.) </w:t>
      </w:r>
      <w:r w:rsidR="00541D8B">
        <w:t>On this point,</w:t>
      </w:r>
      <w:r w:rsidR="00D85A91">
        <w:t xml:space="preserve"> </w:t>
      </w:r>
      <w:r w:rsidR="00AA268B">
        <w:t>th</w:t>
      </w:r>
      <w:r w:rsidR="00114C8B">
        <w:t>e</w:t>
      </w:r>
      <w:r>
        <w:t xml:space="preserve"> defendants argued</w:t>
      </w:r>
      <w:r w:rsidR="00AA268B">
        <w:t xml:space="preserve"> “[t]he comprehensive regulatory scheme for violations of the Municipal Code . . . indicate</w:t>
      </w:r>
      <w:r w:rsidR="00D85A91">
        <w:t>s</w:t>
      </w:r>
      <w:r w:rsidR="00AA268B">
        <w:t xml:space="preserve"> the Council’s intent to occupy the enforcement field to the exclusion of private lawsuits.”</w:t>
      </w:r>
      <w:r w:rsidR="004C4B5A">
        <w:t xml:space="preserve"> (</w:t>
      </w:r>
      <w:r w:rsidR="004C4B5A">
        <w:rPr>
          <w:i/>
        </w:rPr>
        <w:t>Ibid.</w:t>
      </w:r>
      <w:r w:rsidR="004C4B5A">
        <w:t>)</w:t>
      </w:r>
      <w:r w:rsidR="00FC6177">
        <w:t xml:space="preserve"> </w:t>
      </w:r>
      <w:r>
        <w:t>T</w:t>
      </w:r>
      <w:r w:rsidR="00D061A4">
        <w:t xml:space="preserve">he </w:t>
      </w:r>
      <w:r w:rsidR="0080175D">
        <w:t>opinion</w:t>
      </w:r>
      <w:r w:rsidR="00D061A4">
        <w:t xml:space="preserve"> </w:t>
      </w:r>
      <w:r>
        <w:t>rejected this argument, explaining</w:t>
      </w:r>
      <w:r w:rsidR="008A4157">
        <w:t>, in full</w:t>
      </w:r>
      <w:r>
        <w:t>:</w:t>
      </w:r>
      <w:r w:rsidR="00FC6177">
        <w:t xml:space="preserve"> </w:t>
      </w:r>
      <w:r w:rsidR="00AA268B">
        <w:t xml:space="preserve">“However, Government Code section 36900, subdivision (a), expressly permits violations of city ordinances to be ‘redressed by civil action.’ Both our </w:t>
      </w:r>
      <w:r w:rsidR="00467229">
        <w:t>C</w:t>
      </w:r>
      <w:r w:rsidR="00AA268B">
        <w:t xml:space="preserve">onstitution and the Government </w:t>
      </w:r>
      <w:r w:rsidR="004F6F25">
        <w:t>C</w:t>
      </w:r>
      <w:r w:rsidR="00AA268B">
        <w:t>ode prohibit giving effect to city ordinances in conflict with state law. (Cal. Const., art. XI, § 7; Gov. Code, §</w:t>
      </w:r>
      <w:r w:rsidR="00114C8B">
        <w:t> </w:t>
      </w:r>
      <w:r w:rsidR="00AA268B">
        <w:t xml:space="preserve">37100.) Defendants refer us to no law that allows a city to abrogate the right of redress created in the Government Code. We decline to read into the Municipal Code an intent to create an </w:t>
      </w:r>
      <w:r w:rsidR="00FC6177">
        <w:t xml:space="preserve">impermissible conflict with state law by abrogating the right to a civil action created by the Government Code.” </w:t>
      </w:r>
      <w:r w:rsidR="004C4B5A">
        <w:t>(</w:t>
      </w:r>
      <w:r w:rsidR="00467229">
        <w:rPr>
          <w:i/>
          <w:iCs/>
        </w:rPr>
        <w:t>Riley,</w:t>
      </w:r>
      <w:r w:rsidR="00467229">
        <w:t xml:space="preserve"> at p. 607.</w:t>
      </w:r>
      <w:r w:rsidR="004C4B5A">
        <w:t>)</w:t>
      </w:r>
    </w:p>
    <w:p w14:paraId="47F53128" w14:textId="307EAE9D" w:rsidR="00265717" w:rsidRPr="00C904BD" w:rsidRDefault="0092318A" w:rsidP="00265717">
      <w:r>
        <w:t xml:space="preserve">Having </w:t>
      </w:r>
      <w:r w:rsidR="003336F8">
        <w:t>reviewed</w:t>
      </w:r>
      <w:r>
        <w:t xml:space="preserve"> </w:t>
      </w:r>
      <w:r>
        <w:rPr>
          <w:i/>
        </w:rPr>
        <w:t>Riley</w:t>
      </w:r>
      <w:r>
        <w:t>, w</w:t>
      </w:r>
      <w:r w:rsidR="00541D8B">
        <w:t xml:space="preserve">e agree with the Cohens that its </w:t>
      </w:r>
      <w:r w:rsidR="00E359E8">
        <w:t xml:space="preserve">interpretation of </w:t>
      </w:r>
      <w:r w:rsidR="00D05314">
        <w:t xml:space="preserve">section 36900, subdivision (a) </w:t>
      </w:r>
      <w:r w:rsidR="003336F8">
        <w:t>should be reexamined</w:t>
      </w:r>
      <w:r w:rsidR="00D05314">
        <w:t>. The</w:t>
      </w:r>
      <w:r w:rsidR="00345DCE">
        <w:t xml:space="preserve"> decision</w:t>
      </w:r>
      <w:r w:rsidR="00D05314">
        <w:t>’s</w:t>
      </w:r>
      <w:r w:rsidR="00140803">
        <w:t xml:space="preserve"> perfunctory</w:t>
      </w:r>
      <w:r w:rsidR="00D05314">
        <w:t xml:space="preserve"> </w:t>
      </w:r>
      <w:r w:rsidR="003336F8">
        <w:t>recognition of</w:t>
      </w:r>
      <w:r w:rsidR="00D05314">
        <w:t xml:space="preserve"> a private </w:t>
      </w:r>
      <w:r w:rsidR="00D05314">
        <w:lastRenderedPageBreak/>
        <w:t>right of action under</w:t>
      </w:r>
      <w:r w:rsidR="000F75EF">
        <w:t xml:space="preserve"> the statute </w:t>
      </w:r>
      <w:r w:rsidR="00D05314">
        <w:t xml:space="preserve">is </w:t>
      </w:r>
      <w:r w:rsidR="00AD26F0">
        <w:t>untethered to</w:t>
      </w:r>
      <w:r w:rsidR="00D05314">
        <w:t xml:space="preserve"> reasoned analysis</w:t>
      </w:r>
      <w:r w:rsidR="00265717">
        <w:t xml:space="preserve"> applying</w:t>
      </w:r>
      <w:r w:rsidR="003336F8">
        <w:t xml:space="preserve"> principles</w:t>
      </w:r>
      <w:r w:rsidR="00541D8B">
        <w:t xml:space="preserve"> of statutory construction.</w:t>
      </w:r>
      <w:r w:rsidR="00BA39AB">
        <w:t xml:space="preserve"> </w:t>
      </w:r>
      <w:r w:rsidR="00C904BD">
        <w:t xml:space="preserve">(See </w:t>
      </w:r>
      <w:r w:rsidR="00C904BD">
        <w:rPr>
          <w:i/>
        </w:rPr>
        <w:t>Riley</w:t>
      </w:r>
      <w:r w:rsidR="00C904BD">
        <w:t xml:space="preserve">, </w:t>
      </w:r>
      <w:r w:rsidR="00C904BD">
        <w:rPr>
          <w:i/>
        </w:rPr>
        <w:t>supra</w:t>
      </w:r>
      <w:r w:rsidR="00C904BD">
        <w:t>, 100 Cal.App.4th at p. 607.)</w:t>
      </w:r>
      <w:r w:rsidR="00C904BD">
        <w:rPr>
          <w:i/>
        </w:rPr>
        <w:t xml:space="preserve"> </w:t>
      </w:r>
      <w:r w:rsidR="00BA39AB">
        <w:t xml:space="preserve">Instead, </w:t>
      </w:r>
      <w:r w:rsidR="008E6EE3">
        <w:t xml:space="preserve">without explanation, </w:t>
      </w:r>
      <w:r w:rsidR="00BA39AB">
        <w:t xml:space="preserve">the </w:t>
      </w:r>
      <w:r w:rsidR="00345DCE">
        <w:t>opinion</w:t>
      </w:r>
      <w:r w:rsidR="00265717">
        <w:t xml:space="preserve"> conclude</w:t>
      </w:r>
      <w:r w:rsidR="00E359E8">
        <w:t>s</w:t>
      </w:r>
      <w:r w:rsidR="00265717">
        <w:t xml:space="preserve"> </w:t>
      </w:r>
      <w:r w:rsidR="00D05314">
        <w:t>the phrase “</w:t>
      </w:r>
      <w:r w:rsidR="00467229">
        <w:t>‘</w:t>
      </w:r>
      <w:r w:rsidR="00D05314">
        <w:t>redressed by civil action</w:t>
      </w:r>
      <w:r w:rsidR="00467229">
        <w:t>’</w:t>
      </w:r>
      <w:r w:rsidR="00D05314">
        <w:t xml:space="preserve">” as used in the second clause of the </w:t>
      </w:r>
      <w:r w:rsidR="00541D8B">
        <w:t xml:space="preserve">statute’s </w:t>
      </w:r>
      <w:r w:rsidR="00D05314">
        <w:t xml:space="preserve">second sentence </w:t>
      </w:r>
      <w:r w:rsidR="00265717">
        <w:t>mean</w:t>
      </w:r>
      <w:r w:rsidR="00E359E8">
        <w:t>s</w:t>
      </w:r>
      <w:r w:rsidR="00265717">
        <w:t xml:space="preserve"> th</w:t>
      </w:r>
      <w:r w:rsidR="008072FA">
        <w:t>at all members of the public</w:t>
      </w:r>
      <w:r w:rsidR="00D9275A">
        <w:t xml:space="preserve"> </w:t>
      </w:r>
      <w:r w:rsidR="00A55F89">
        <w:t xml:space="preserve">may </w:t>
      </w:r>
      <w:r w:rsidR="00265717">
        <w:t xml:space="preserve">file suit under the statute. When </w:t>
      </w:r>
      <w:r w:rsidR="00BA39AB">
        <w:t>interpreting that phrase, the</w:t>
      </w:r>
      <w:r w:rsidR="006971B3">
        <w:t xml:space="preserve"> </w:t>
      </w:r>
      <w:r w:rsidR="00345DCE">
        <w:t xml:space="preserve">opinion </w:t>
      </w:r>
      <w:r w:rsidR="00BA39AB">
        <w:t xml:space="preserve">did not </w:t>
      </w:r>
      <w:r w:rsidR="00F731D5">
        <w:t>discuss</w:t>
      </w:r>
      <w:r w:rsidR="00BA39AB">
        <w:t xml:space="preserve"> </w:t>
      </w:r>
      <w:r w:rsidR="003336F8">
        <w:t xml:space="preserve">the context in which </w:t>
      </w:r>
      <w:r w:rsidR="00BA39AB">
        <w:t>it</w:t>
      </w:r>
      <w:r w:rsidR="003336F8">
        <w:t xml:space="preserve"> appears and, </w:t>
      </w:r>
      <w:r w:rsidR="00F731D5">
        <w:t>consequently</w:t>
      </w:r>
      <w:r w:rsidR="003336F8">
        <w:t>,</w:t>
      </w:r>
      <w:r w:rsidR="000F2BEE">
        <w:t xml:space="preserve"> did not </w:t>
      </w:r>
      <w:r w:rsidR="003336F8">
        <w:t>address the ambiguity</w:t>
      </w:r>
      <w:r w:rsidR="00BA39AB">
        <w:t xml:space="preserve"> </w:t>
      </w:r>
      <w:r w:rsidR="000F2BEE">
        <w:t>in the statute</w:t>
      </w:r>
      <w:r w:rsidR="002E7E25">
        <w:t xml:space="preserve"> </w:t>
      </w:r>
      <w:r w:rsidR="000F2BEE">
        <w:t xml:space="preserve">regarding whether the </w:t>
      </w:r>
      <w:r w:rsidR="0050155A">
        <w:t>L</w:t>
      </w:r>
      <w:r w:rsidR="007812C6">
        <w:t xml:space="preserve">egislature assigned a </w:t>
      </w:r>
      <w:r w:rsidR="000F2BEE">
        <w:t xml:space="preserve">right to file </w:t>
      </w:r>
      <w:r w:rsidR="00C904BD">
        <w:t xml:space="preserve">suit </w:t>
      </w:r>
      <w:r w:rsidR="004153F0">
        <w:t>only to</w:t>
      </w:r>
      <w:r w:rsidR="000F2BEE">
        <w:t xml:space="preserve"> city authorities, or afforded </w:t>
      </w:r>
      <w:r w:rsidR="007812C6">
        <w:t xml:space="preserve">that right </w:t>
      </w:r>
      <w:r w:rsidR="000F2BEE">
        <w:t xml:space="preserve">to all private litigants seeking redress for </w:t>
      </w:r>
      <w:r w:rsidR="006971B3">
        <w:t xml:space="preserve">another’s </w:t>
      </w:r>
      <w:r w:rsidR="000F2BEE">
        <w:t xml:space="preserve">violation of </w:t>
      </w:r>
      <w:r w:rsidR="00265717">
        <w:t>a</w:t>
      </w:r>
      <w:r w:rsidR="002E7E25">
        <w:t>n</w:t>
      </w:r>
      <w:r w:rsidR="000F2BEE">
        <w:t xml:space="preserve"> ordinance.</w:t>
      </w:r>
      <w:r w:rsidR="00265717" w:rsidRPr="00037049">
        <w:rPr>
          <w:rStyle w:val="FootnoteReference"/>
          <w:b w:val="0"/>
          <w:sz w:val="26"/>
        </w:rPr>
        <w:footnoteReference w:id="6"/>
      </w:r>
      <w:r w:rsidR="00265717">
        <w:t xml:space="preserve"> </w:t>
      </w:r>
      <w:r w:rsidR="00C904BD">
        <w:t xml:space="preserve">(See </w:t>
      </w:r>
      <w:r w:rsidR="00C904BD">
        <w:rPr>
          <w:i/>
        </w:rPr>
        <w:t>ibid.</w:t>
      </w:r>
      <w:r w:rsidR="00C904BD">
        <w:t>)</w:t>
      </w:r>
    </w:p>
    <w:p w14:paraId="4AE38378" w14:textId="649C3C76" w:rsidR="00442FB3" w:rsidRDefault="00265717" w:rsidP="00265717">
      <w:pPr>
        <w:rPr>
          <w:i/>
          <w:iCs/>
        </w:rPr>
      </w:pPr>
      <w:r>
        <w:t xml:space="preserve">In addition, it is unclear to what extent, if any, the parties </w:t>
      </w:r>
      <w:r w:rsidR="00567E66">
        <w:t xml:space="preserve">in </w:t>
      </w:r>
      <w:r w:rsidR="00567E66">
        <w:rPr>
          <w:i/>
        </w:rPr>
        <w:t xml:space="preserve">Riley </w:t>
      </w:r>
      <w:r>
        <w:t>briefed or otherwise addressed the existence of a private right of action under section 36900, subdivision (a).</w:t>
      </w:r>
      <w:r w:rsidR="00321C70">
        <w:t xml:space="preserve"> (See </w:t>
      </w:r>
      <w:r w:rsidR="00321C70">
        <w:rPr>
          <w:i/>
        </w:rPr>
        <w:t>Riley</w:t>
      </w:r>
      <w:r w:rsidR="00321C70">
        <w:t xml:space="preserve">, </w:t>
      </w:r>
      <w:r w:rsidR="00321C70">
        <w:rPr>
          <w:i/>
        </w:rPr>
        <w:t>supra</w:t>
      </w:r>
      <w:r w:rsidR="00321C70">
        <w:t>, 100 Cal.App.4th at p. 607.)</w:t>
      </w:r>
      <w:r>
        <w:t xml:space="preserve"> So far as we can tell, </w:t>
      </w:r>
      <w:r w:rsidR="00112FBA">
        <w:t>the defendants</w:t>
      </w:r>
      <w:r w:rsidR="004153F0">
        <w:t xml:space="preserve"> did</w:t>
      </w:r>
      <w:r w:rsidR="00C904BD">
        <w:t xml:space="preserve"> not discuss </w:t>
      </w:r>
      <w:r>
        <w:t>section 36900, subdivision (a)</w:t>
      </w:r>
      <w:r w:rsidR="004153F0">
        <w:t xml:space="preserve"> at all</w:t>
      </w:r>
      <w:r w:rsidR="006971B3">
        <w:t xml:space="preserve"> when </w:t>
      </w:r>
      <w:r w:rsidR="001C4824">
        <w:t>asserting “the absence of a private right of action under</w:t>
      </w:r>
      <w:r w:rsidR="006971B3">
        <w:t xml:space="preserve"> the Municipal Code</w:t>
      </w:r>
      <w:r w:rsidR="00112FBA">
        <w:t>.</w:t>
      </w:r>
      <w:r w:rsidR="0020642E">
        <w:t>”</w:t>
      </w:r>
      <w:r w:rsidR="00112FBA">
        <w:t xml:space="preserve"> </w:t>
      </w:r>
      <w:r w:rsidR="00321C70">
        <w:t>(</w:t>
      </w:r>
      <w:r w:rsidR="006971B3">
        <w:t xml:space="preserve">See </w:t>
      </w:r>
      <w:r w:rsidR="00467229">
        <w:rPr>
          <w:i/>
          <w:iCs/>
        </w:rPr>
        <w:t>Riley,</w:t>
      </w:r>
      <w:r w:rsidR="00467229">
        <w:t xml:space="preserve"> at p. 607</w:t>
      </w:r>
      <w:r w:rsidR="00321C70">
        <w:rPr>
          <w:i/>
        </w:rPr>
        <w:t>.</w:t>
      </w:r>
      <w:r w:rsidR="00321C70">
        <w:t xml:space="preserve">) </w:t>
      </w:r>
      <w:r w:rsidR="00AC567A">
        <w:t xml:space="preserve">Nor is there any indication the </w:t>
      </w:r>
      <w:r w:rsidR="00AC567A" w:rsidRPr="00EA23E5">
        <w:rPr>
          <w:i/>
          <w:iCs/>
        </w:rPr>
        <w:t>Riley</w:t>
      </w:r>
      <w:r w:rsidR="00AC567A">
        <w:rPr>
          <w:i/>
          <w:iCs/>
        </w:rPr>
        <w:t xml:space="preserve"> </w:t>
      </w:r>
      <w:r w:rsidR="00AC567A" w:rsidRPr="00EA23E5">
        <w:t>court</w:t>
      </w:r>
      <w:r w:rsidR="00AC567A">
        <w:rPr>
          <w:i/>
          <w:iCs/>
        </w:rPr>
        <w:t xml:space="preserve"> </w:t>
      </w:r>
      <w:r w:rsidR="00AC567A">
        <w:t>considered legislative history, including legislative history wholly inconsistent with the court’s holding.</w:t>
      </w:r>
      <w:r w:rsidR="00AC567A">
        <w:rPr>
          <w:i/>
          <w:iCs/>
        </w:rPr>
        <w:t xml:space="preserve"> </w:t>
      </w:r>
    </w:p>
    <w:p w14:paraId="34CAB82F" w14:textId="492927AA" w:rsidR="00B63B19" w:rsidRPr="004240A9" w:rsidRDefault="00483B72" w:rsidP="00265717">
      <w:r>
        <w:t>Further, w</w:t>
      </w:r>
      <w:r w:rsidR="00BB6DD3">
        <w:t>e acknowledge that, when deciding whether to revisit an opinion</w:t>
      </w:r>
      <w:r w:rsidR="004240A9">
        <w:t xml:space="preserve"> </w:t>
      </w:r>
      <w:r>
        <w:t>construing a statute</w:t>
      </w:r>
      <w:r w:rsidR="00BB6DD3">
        <w:t>, “questions of reliance are often crucial.”</w:t>
      </w:r>
      <w:r w:rsidR="004240A9">
        <w:t xml:space="preserve"> (</w:t>
      </w:r>
      <w:r w:rsidR="004240A9">
        <w:rPr>
          <w:i/>
        </w:rPr>
        <w:t xml:space="preserve">People v. Latimer </w:t>
      </w:r>
      <w:r w:rsidR="004240A9">
        <w:t xml:space="preserve">(1993) 5 Cal.4th 1203, 1213.) </w:t>
      </w:r>
      <w:r w:rsidR="00BB6DD3">
        <w:t>This is because “[p]</w:t>
      </w:r>
      <w:proofErr w:type="spellStart"/>
      <w:r w:rsidR="00BB6DD3">
        <w:t>arties</w:t>
      </w:r>
      <w:proofErr w:type="spellEnd"/>
      <w:r w:rsidR="00BB6DD3">
        <w:t xml:space="preserve">, society, and legislative bodies may act in reliance on a particular statutory interpretation” and, therefore, “overruling that interpretation might have undesirable consequences not present at the time of the original decision.” </w:t>
      </w:r>
      <w:r w:rsidR="004240A9">
        <w:lastRenderedPageBreak/>
        <w:t>(</w:t>
      </w:r>
      <w:r w:rsidR="004240A9">
        <w:rPr>
          <w:i/>
        </w:rPr>
        <w:t>Ibid.</w:t>
      </w:r>
      <w:r w:rsidR="004240A9">
        <w:t xml:space="preserve">) </w:t>
      </w:r>
      <w:r w:rsidR="000F2F26">
        <w:t>Accordingly,</w:t>
      </w:r>
      <w:r w:rsidR="004240A9">
        <w:t xml:space="preserve"> </w:t>
      </w:r>
      <w:r w:rsidR="00BB6DD3">
        <w:t>“‘[s]</w:t>
      </w:r>
      <w:proofErr w:type="spellStart"/>
      <w:r w:rsidR="00BB6DD3">
        <w:t>tare</w:t>
      </w:r>
      <w:proofErr w:type="spellEnd"/>
      <w:r w:rsidR="00BB6DD3">
        <w:t xml:space="preserve"> decisis has added force when the [L]</w:t>
      </w:r>
      <w:proofErr w:type="spellStart"/>
      <w:r w:rsidR="00BB6DD3">
        <w:t>egislature</w:t>
      </w:r>
      <w:proofErr w:type="spellEnd"/>
      <w:r w:rsidR="00BB6DD3">
        <w:t xml:space="preserve">, in the public sphere, and citizens, in the private realm, have acted in reliance on a previous decision, for in this instance overruling the decision would dislodge settled rights and expectations or require an extensive legislative response.’” </w:t>
      </w:r>
      <w:r w:rsidR="004240A9">
        <w:t>(</w:t>
      </w:r>
      <w:r w:rsidR="004240A9">
        <w:rPr>
          <w:i/>
        </w:rPr>
        <w:t xml:space="preserve">Id. </w:t>
      </w:r>
      <w:r w:rsidR="004240A9">
        <w:t xml:space="preserve">at pp. 1213-1214 (italics omitted).) </w:t>
      </w:r>
    </w:p>
    <w:p w14:paraId="2EA5BEAC" w14:textId="58C87047" w:rsidR="0050155A" w:rsidRDefault="00DF3B20" w:rsidP="0082792E">
      <w:r>
        <w:t>These principle</w:t>
      </w:r>
      <w:r w:rsidR="008276E0">
        <w:t>s</w:t>
      </w:r>
      <w:r w:rsidR="008D508E">
        <w:t xml:space="preserve"> do not justify adherence to stare decisis in this case, </w:t>
      </w:r>
      <w:r w:rsidR="00142DE8">
        <w:t xml:space="preserve">however, </w:t>
      </w:r>
      <w:r w:rsidR="008D508E">
        <w:t xml:space="preserve">as </w:t>
      </w:r>
      <w:r w:rsidR="008D508E">
        <w:rPr>
          <w:i/>
        </w:rPr>
        <w:t>Riley</w:t>
      </w:r>
      <w:r w:rsidR="008D508E">
        <w:t xml:space="preserve"> has not </w:t>
      </w:r>
      <w:r w:rsidR="00FA46A5">
        <w:t>been widely relied upon since its publication</w:t>
      </w:r>
      <w:r w:rsidR="008D508E">
        <w:t xml:space="preserve"> 22 years</w:t>
      </w:r>
      <w:r w:rsidR="00FA46A5">
        <w:t xml:space="preserve"> ago</w:t>
      </w:r>
      <w:r w:rsidR="008D508E">
        <w:t>.</w:t>
      </w:r>
      <w:r w:rsidR="00B826C4">
        <w:t xml:space="preserve"> </w:t>
      </w:r>
      <w:r w:rsidR="008276E0">
        <w:t>So far as we can tell, b</w:t>
      </w:r>
      <w:r w:rsidR="00556523">
        <w:t>etween</w:t>
      </w:r>
      <w:r w:rsidR="00FF4D35">
        <w:t xml:space="preserve"> all</w:t>
      </w:r>
      <w:r w:rsidR="00556523">
        <w:t xml:space="preserve"> federal and state courts, </w:t>
      </w:r>
      <w:r w:rsidR="00556523">
        <w:rPr>
          <w:i/>
        </w:rPr>
        <w:t xml:space="preserve">Riley </w:t>
      </w:r>
      <w:r w:rsidR="00556523">
        <w:t>has only been cited</w:t>
      </w:r>
      <w:r w:rsidR="003927E9">
        <w:t xml:space="preserve"> in</w:t>
      </w:r>
      <w:r w:rsidR="00FF4D35">
        <w:t xml:space="preserve"> 20 decisions</w:t>
      </w:r>
      <w:r w:rsidR="00556523">
        <w:t xml:space="preserve">. </w:t>
      </w:r>
      <w:r w:rsidR="008276E0">
        <w:t xml:space="preserve">Of those decisions, </w:t>
      </w:r>
      <w:r w:rsidR="00142DE8">
        <w:t xml:space="preserve">only </w:t>
      </w:r>
      <w:r w:rsidR="008276E0">
        <w:t xml:space="preserve">two </w:t>
      </w:r>
      <w:r w:rsidR="007812C6">
        <w:t xml:space="preserve">are </w:t>
      </w:r>
      <w:r w:rsidR="008276E0">
        <w:t xml:space="preserve">published California appellate court opinions adopting </w:t>
      </w:r>
      <w:r w:rsidR="0014371F">
        <w:rPr>
          <w:i/>
        </w:rPr>
        <w:t>Riley</w:t>
      </w:r>
      <w:r w:rsidR="0014371F">
        <w:t xml:space="preserve">’s interpretation of section 36900, subdivision (a). </w:t>
      </w:r>
      <w:r w:rsidR="003644A6">
        <w:t xml:space="preserve">(See </w:t>
      </w:r>
      <w:r w:rsidR="003644A6">
        <w:rPr>
          <w:i/>
        </w:rPr>
        <w:t>Amaral v. Cintas Corp. No. 2</w:t>
      </w:r>
      <w:r w:rsidR="003644A6">
        <w:t xml:space="preserve"> (2008) 163 Cal.App.4th 1157, 1181, fn. 1</w:t>
      </w:r>
      <w:r w:rsidR="00467229">
        <w:t>0</w:t>
      </w:r>
      <w:r w:rsidR="003644A6">
        <w:t>;</w:t>
      </w:r>
      <w:r w:rsidR="00556523">
        <w:t xml:space="preserve"> see also</w:t>
      </w:r>
      <w:r w:rsidR="003644A6">
        <w:t xml:space="preserve"> </w:t>
      </w:r>
      <w:r w:rsidR="003644A6">
        <w:rPr>
          <w:i/>
        </w:rPr>
        <w:t>Huntingdon Life Sciences Inc. v. Stop Huntingdon Animal Cruelty USA, Inc.</w:t>
      </w:r>
      <w:r w:rsidR="003644A6">
        <w:t xml:space="preserve"> (2005) 129 Cal.App.4th 1228, 1263-1264.)</w:t>
      </w:r>
      <w:r w:rsidR="002B5521">
        <w:t xml:space="preserve"> Both opinions accept </w:t>
      </w:r>
      <w:r w:rsidR="002B5521">
        <w:rPr>
          <w:i/>
        </w:rPr>
        <w:t>Riley</w:t>
      </w:r>
      <w:r w:rsidR="002B5521">
        <w:t>’s recognition of a private right of action without question, and do not comment upon the holding’s supporting analysis (or lack thereof). (</w:t>
      </w:r>
      <w:r w:rsidR="00C4181D">
        <w:rPr>
          <w:i/>
        </w:rPr>
        <w:t>I</w:t>
      </w:r>
      <w:r w:rsidR="002B5521">
        <w:rPr>
          <w:i/>
        </w:rPr>
        <w:t>bid.</w:t>
      </w:r>
      <w:r w:rsidR="002B5521">
        <w:t xml:space="preserve">) </w:t>
      </w:r>
      <w:r w:rsidR="00F74229">
        <w:t xml:space="preserve">And </w:t>
      </w:r>
      <w:r w:rsidR="007940E4">
        <w:t>the parties d</w:t>
      </w:r>
      <w:r w:rsidR="00AE3FB3">
        <w:t xml:space="preserve">o </w:t>
      </w:r>
      <w:r w:rsidR="007940E4">
        <w:t>not cite, nor could we locate, any evidence or authorit</w:t>
      </w:r>
      <w:r w:rsidR="00B6711B">
        <w:t>y demonstrating</w:t>
      </w:r>
      <w:r w:rsidR="002B5521">
        <w:t xml:space="preserve"> </w:t>
      </w:r>
      <w:r w:rsidR="007940E4">
        <w:t xml:space="preserve">the Legislature has </w:t>
      </w:r>
      <w:r w:rsidR="007812C6">
        <w:t>considered, let alone relied upon</w:t>
      </w:r>
      <w:r w:rsidR="001D18F1">
        <w:t>,</w:t>
      </w:r>
      <w:r w:rsidR="007812C6">
        <w:t xml:space="preserve"> </w:t>
      </w:r>
      <w:r w:rsidR="007940E4">
        <w:rPr>
          <w:i/>
        </w:rPr>
        <w:t>Riley</w:t>
      </w:r>
      <w:r w:rsidR="007940E4">
        <w:t>’s</w:t>
      </w:r>
      <w:r w:rsidR="00077976">
        <w:t xml:space="preserve"> </w:t>
      </w:r>
      <w:r w:rsidR="00874CE4">
        <w:t xml:space="preserve">interpretation of the statute. </w:t>
      </w:r>
    </w:p>
    <w:p w14:paraId="3E0915E1" w14:textId="1495D79B" w:rsidR="0050155A" w:rsidRPr="00CB6805" w:rsidRDefault="0050155A" w:rsidP="0050155A">
      <w:pPr>
        <w:ind w:firstLine="0"/>
      </w:pPr>
      <w:r>
        <w:tab/>
        <w:t xml:space="preserve">“Stare decisis plays a vitally important role in our work as a common law court; the policy of adherence to precedent ensures the certainty, stability, and predictability on which the rule of law depends. But stare decisis concerns have no real place here. The doctrine ‘does not “‘shield court-created error from correction’”’ but ‘permits us “to reconsider and ultimately depart from, our own prior precedent in an appropriate case.”’ [Citation.] Here, none of the factors . . . identified as relevant to the question </w:t>
      </w:r>
      <w:r>
        <w:lastRenderedPageBreak/>
        <w:t>of adherence to precedent—including ‘the age of the precedent, the nature and extent of public and private reliance on it, and its consistency or inconsistency with other related rules of law’ [citation]—suggests we are bound to preserve an [erroneous or unworkable precedent.]” (</w:t>
      </w:r>
      <w:r w:rsidR="00CB6805">
        <w:rPr>
          <w:i/>
        </w:rPr>
        <w:t xml:space="preserve">People v. Hardin </w:t>
      </w:r>
      <w:r w:rsidR="00CB6805">
        <w:t xml:space="preserve">(2024) 15 Cal.5th 834, 850.) </w:t>
      </w:r>
    </w:p>
    <w:p w14:paraId="0AAFA3E9" w14:textId="44FC0DE7" w:rsidR="00D26584" w:rsidRPr="00AB45BF" w:rsidRDefault="0077657F" w:rsidP="004153F0">
      <w:r>
        <w:t>Accordingly</w:t>
      </w:r>
      <w:r w:rsidR="00DA44EC">
        <w:t xml:space="preserve">, </w:t>
      </w:r>
      <w:r w:rsidR="00C904BD">
        <w:t xml:space="preserve">we </w:t>
      </w:r>
      <w:r w:rsidR="00F74229">
        <w:t xml:space="preserve">conclude </w:t>
      </w:r>
      <w:r w:rsidR="000C0582">
        <w:t xml:space="preserve">this is an </w:t>
      </w:r>
      <w:r w:rsidR="00F74229">
        <w:t xml:space="preserve">“appropriate and rare </w:t>
      </w:r>
      <w:proofErr w:type="gramStart"/>
      <w:r w:rsidR="00F74229">
        <w:t>case[</w:t>
      </w:r>
      <w:proofErr w:type="gramEnd"/>
      <w:r w:rsidR="00F74229">
        <w:t xml:space="preserve"> ]”</w:t>
      </w:r>
      <w:r w:rsidR="004153F0">
        <w:t xml:space="preserve"> to</w:t>
      </w:r>
      <w:r w:rsidR="00F74229">
        <w:t xml:space="preserve"> subject a prior opinion to “reexamination and critical analysis” (</w:t>
      </w:r>
      <w:r w:rsidR="00F74229">
        <w:rPr>
          <w:i/>
        </w:rPr>
        <w:t>In re Marriage of Shaban</w:t>
      </w:r>
      <w:r w:rsidR="00F74229">
        <w:t xml:space="preserve">, </w:t>
      </w:r>
      <w:r w:rsidR="00303177">
        <w:rPr>
          <w:i/>
        </w:rPr>
        <w:t>supra</w:t>
      </w:r>
      <w:r w:rsidR="00303177">
        <w:t>,</w:t>
      </w:r>
      <w:r w:rsidR="00F74229">
        <w:t xml:space="preserve"> 88 Cal.App.4th at p. 409)</w:t>
      </w:r>
      <w:r w:rsidR="00B6711B">
        <w:t>,</w:t>
      </w:r>
      <w:r w:rsidR="00F74229">
        <w:t xml:space="preserve"> and</w:t>
      </w:r>
      <w:r w:rsidR="004153F0">
        <w:t xml:space="preserve"> </w:t>
      </w:r>
      <w:r w:rsidR="00E663EC">
        <w:t xml:space="preserve">thereby </w:t>
      </w:r>
      <w:r w:rsidR="004153F0">
        <w:t>revisit</w:t>
      </w:r>
      <w:r w:rsidR="00AA2454">
        <w:t xml:space="preserve"> </w:t>
      </w:r>
      <w:r w:rsidR="00321C70">
        <w:t>w</w:t>
      </w:r>
      <w:r w:rsidR="00C904BD">
        <w:t xml:space="preserve">hether </w:t>
      </w:r>
      <w:r w:rsidR="00AA2454">
        <w:t>a private right of action exists under</w:t>
      </w:r>
      <w:r w:rsidR="00C904BD">
        <w:t xml:space="preserve"> section 36900, subdivision (a)</w:t>
      </w:r>
      <w:r w:rsidR="00AA2454">
        <w:t xml:space="preserve">. </w:t>
      </w:r>
    </w:p>
    <w:p w14:paraId="5934A473" w14:textId="0CC10BBD" w:rsidR="00A86462" w:rsidRDefault="008833EB" w:rsidP="002B23B8">
      <w:pPr>
        <w:spacing w:before="160" w:after="160"/>
        <w:ind w:left="720" w:hanging="720"/>
        <w:rPr>
          <w:b/>
        </w:rPr>
      </w:pPr>
      <w:r w:rsidRPr="0091363D">
        <w:rPr>
          <w:b/>
        </w:rPr>
        <w:t>I</w:t>
      </w:r>
      <w:r w:rsidR="008F6990" w:rsidRPr="0091363D">
        <w:rPr>
          <w:b/>
        </w:rPr>
        <w:t>V</w:t>
      </w:r>
      <w:r w:rsidRPr="0091363D">
        <w:rPr>
          <w:b/>
        </w:rPr>
        <w:t>.</w:t>
      </w:r>
      <w:r>
        <w:rPr>
          <w:b/>
        </w:rPr>
        <w:tab/>
      </w:r>
      <w:r w:rsidR="00A86462">
        <w:rPr>
          <w:b/>
        </w:rPr>
        <w:t>Section 36900</w:t>
      </w:r>
      <w:r w:rsidR="001E54C7">
        <w:rPr>
          <w:b/>
        </w:rPr>
        <w:t>, Subdivision (a)</w:t>
      </w:r>
      <w:r w:rsidR="00A86462">
        <w:rPr>
          <w:b/>
        </w:rPr>
        <w:t xml:space="preserve"> </w:t>
      </w:r>
      <w:r w:rsidR="00A55F89">
        <w:rPr>
          <w:b/>
        </w:rPr>
        <w:t xml:space="preserve">Does Not </w:t>
      </w:r>
      <w:r w:rsidR="00A60753">
        <w:rPr>
          <w:b/>
        </w:rPr>
        <w:t xml:space="preserve">Create </w:t>
      </w:r>
      <w:r w:rsidR="00A86462">
        <w:rPr>
          <w:b/>
        </w:rPr>
        <w:t xml:space="preserve">a Private Right </w:t>
      </w:r>
      <w:r w:rsidR="00983751">
        <w:rPr>
          <w:b/>
        </w:rPr>
        <w:t>of Action to Enforce</w:t>
      </w:r>
      <w:r w:rsidR="001E54C7">
        <w:rPr>
          <w:b/>
        </w:rPr>
        <w:t xml:space="preserve"> City</w:t>
      </w:r>
      <w:r w:rsidR="00983751">
        <w:rPr>
          <w:b/>
        </w:rPr>
        <w:t xml:space="preserve"> Ordinances</w:t>
      </w:r>
    </w:p>
    <w:p w14:paraId="34308F2D" w14:textId="53F97FB7" w:rsidR="00A86462" w:rsidRDefault="00A86462" w:rsidP="008833EB">
      <w:pPr>
        <w:ind w:left="720" w:hanging="720"/>
        <w:rPr>
          <w:b/>
        </w:rPr>
      </w:pPr>
      <w:r>
        <w:rPr>
          <w:b/>
        </w:rPr>
        <w:tab/>
        <w:t>A.</w:t>
      </w:r>
      <w:r>
        <w:rPr>
          <w:b/>
        </w:rPr>
        <w:tab/>
        <w:t xml:space="preserve">General Principles and Analytical Framework </w:t>
      </w:r>
    </w:p>
    <w:p w14:paraId="25A57948" w14:textId="3192EB95" w:rsidR="009E4651" w:rsidRDefault="00CD18F7" w:rsidP="00CD18F7">
      <w:r>
        <w:t xml:space="preserve">In </w:t>
      </w:r>
      <w:r>
        <w:rPr>
          <w:i/>
        </w:rPr>
        <w:t xml:space="preserve">Lu v. Hawaiian Gardens Casino, Inc. </w:t>
      </w:r>
      <w:r>
        <w:t>(2010) 50 Cal.4th 592 (</w:t>
      </w:r>
      <w:r w:rsidRPr="00CD18F7">
        <w:rPr>
          <w:i/>
        </w:rPr>
        <w:t>Lu</w:t>
      </w:r>
      <w:r>
        <w:t xml:space="preserve">), </w:t>
      </w:r>
      <w:r w:rsidRPr="00CD18F7">
        <w:t>our</w:t>
      </w:r>
      <w:r>
        <w:t xml:space="preserve"> Supreme Court </w:t>
      </w:r>
      <w:r w:rsidR="001719D3">
        <w:t>summarized</w:t>
      </w:r>
      <w:r w:rsidR="00B7458B">
        <w:t xml:space="preserve"> the</w:t>
      </w:r>
      <w:r w:rsidR="00F362D2">
        <w:t xml:space="preserve"> two-part</w:t>
      </w:r>
      <w:r>
        <w:t xml:space="preserve"> analytical framework governing</w:t>
      </w:r>
      <w:r w:rsidR="001719D3">
        <w:t xml:space="preserve"> </w:t>
      </w:r>
      <w:r w:rsidR="00003864">
        <w:t xml:space="preserve">the question whether a private right of action </w:t>
      </w:r>
      <w:r w:rsidR="001719D3">
        <w:t>exists under a statute.</w:t>
      </w:r>
      <w:r>
        <w:t xml:space="preserve"> Relying </w:t>
      </w:r>
      <w:r w:rsidR="00003864">
        <w:t>heavily</w:t>
      </w:r>
      <w:r>
        <w:t xml:space="preserve"> on its prior decision in </w:t>
      </w:r>
      <w:r>
        <w:rPr>
          <w:i/>
        </w:rPr>
        <w:t>Moradi-Shalal</w:t>
      </w:r>
      <w:r>
        <w:t>,</w:t>
      </w:r>
      <w:r>
        <w:rPr>
          <w:i/>
        </w:rPr>
        <w:t xml:space="preserve"> supra</w:t>
      </w:r>
      <w:r>
        <w:t xml:space="preserve">, 46 Cal.3d 287, the </w:t>
      </w:r>
      <w:r>
        <w:rPr>
          <w:i/>
        </w:rPr>
        <w:t xml:space="preserve">Lu </w:t>
      </w:r>
      <w:r>
        <w:t>court stated: “[W]</w:t>
      </w:r>
      <w:proofErr w:type="spellStart"/>
      <w:r>
        <w:t>hether</w:t>
      </w:r>
      <w:proofErr w:type="spellEnd"/>
      <w:r>
        <w:t xml:space="preserve"> a p</w:t>
      </w:r>
      <w:r w:rsidR="00932767">
        <w:t>arty</w:t>
      </w:r>
      <w:r>
        <w:t xml:space="preserve"> has a right to sue depends on whether the Legislature has ‘manifested an intent to create </w:t>
      </w:r>
      <w:r w:rsidR="000748E8">
        <w:t xml:space="preserve">such </w:t>
      </w:r>
      <w:r>
        <w:t xml:space="preserve">a private cause of action’ under the statute. [Citations.] Such legislative intent, if any, is revealed through the language of the statute and its legislative history.” </w:t>
      </w:r>
      <w:r w:rsidR="00B7458B">
        <w:t>(</w:t>
      </w:r>
      <w:r w:rsidR="00B7458B">
        <w:rPr>
          <w:i/>
        </w:rPr>
        <w:t>Lu</w:t>
      </w:r>
      <w:r w:rsidR="00B7458B">
        <w:t>,</w:t>
      </w:r>
      <w:r w:rsidR="0094324F">
        <w:t xml:space="preserve"> </w:t>
      </w:r>
      <w:r w:rsidR="0094324F">
        <w:rPr>
          <w:i/>
        </w:rPr>
        <w:t>supra</w:t>
      </w:r>
      <w:r w:rsidR="0094324F">
        <w:t>,</w:t>
      </w:r>
      <w:r w:rsidR="00B7458B">
        <w:t xml:space="preserve"> at p. 596.) </w:t>
      </w:r>
    </w:p>
    <w:p w14:paraId="5716BD92" w14:textId="57A3CA20" w:rsidR="00B7458B" w:rsidRDefault="001719D3" w:rsidP="00415FD2">
      <w:r>
        <w:t>In</w:t>
      </w:r>
      <w:r w:rsidR="00415FD2">
        <w:t xml:space="preserve"> </w:t>
      </w:r>
      <w:r w:rsidR="00153D6A">
        <w:t>discernin</w:t>
      </w:r>
      <w:r w:rsidR="000F5118">
        <w:t>g the Legislature’s intent</w:t>
      </w:r>
      <w:r w:rsidR="00415FD2">
        <w:t>, courts</w:t>
      </w:r>
      <w:r w:rsidR="009D1917">
        <w:t xml:space="preserve"> </w:t>
      </w:r>
      <w:r w:rsidR="00B26C13">
        <w:t xml:space="preserve">first examine </w:t>
      </w:r>
      <w:r w:rsidR="00415FD2">
        <w:t>the statut</w:t>
      </w:r>
      <w:r w:rsidR="000F5118">
        <w:t>ory</w:t>
      </w:r>
      <w:r w:rsidR="00415FD2">
        <w:t xml:space="preserve"> language to determine whether it “</w:t>
      </w:r>
      <w:r w:rsidR="00B7458B">
        <w:t>contain</w:t>
      </w:r>
      <w:r w:rsidR="00415FD2">
        <w:t xml:space="preserve">[s] </w:t>
      </w:r>
      <w:r w:rsidR="00B7458B">
        <w:t>‘“clear, understandable, unmistakable terms,”’ which strongly and directly indicate that the Legislature intended to create a private cause of action.</w:t>
      </w:r>
      <w:r w:rsidR="00415FD2">
        <w:t>” (</w:t>
      </w:r>
      <w:r w:rsidR="00415FD2">
        <w:rPr>
          <w:i/>
        </w:rPr>
        <w:t>Lu</w:t>
      </w:r>
      <w:r w:rsidR="00415FD2">
        <w:t>,</w:t>
      </w:r>
      <w:r w:rsidR="00415FD2">
        <w:rPr>
          <w:i/>
        </w:rPr>
        <w:t xml:space="preserve"> supra</w:t>
      </w:r>
      <w:r w:rsidR="00415FD2">
        <w:t>, 50 Cal.4th at p. 597.) On this point, the Supreme Court explained: “</w:t>
      </w:r>
      <w:r w:rsidR="00B7458B">
        <w:t xml:space="preserve">For instance, the statute may </w:t>
      </w:r>
      <w:r w:rsidR="00B7458B">
        <w:lastRenderedPageBreak/>
        <w:t>expressly state that a person has or is liable for a cause of action for a particular violation. [Citations.] Or, more commonly, a statute may refer to a remedy or means of enforcing its substantive provisions, i.e., by way of an action.</w:t>
      </w:r>
      <w:r w:rsidR="00415FD2">
        <w:t>” (</w:t>
      </w:r>
      <w:r w:rsidR="00415FD2">
        <w:rPr>
          <w:i/>
        </w:rPr>
        <w:t>Ibid</w:t>
      </w:r>
      <w:r w:rsidR="000F5118">
        <w:t>, fn. omitted</w:t>
      </w:r>
      <w:r w:rsidR="00415FD2">
        <w:rPr>
          <w:i/>
        </w:rPr>
        <w:t>.</w:t>
      </w:r>
      <w:r w:rsidR="00415FD2">
        <w:t>)</w:t>
      </w:r>
      <w:r w:rsidR="003D2CDD">
        <w:t xml:space="preserve"> If </w:t>
      </w:r>
      <w:r w:rsidR="00415FD2">
        <w:t xml:space="preserve">the statute </w:t>
      </w:r>
      <w:r>
        <w:t xml:space="preserve">is ambiguous and </w:t>
      </w:r>
      <w:r w:rsidR="00415FD2">
        <w:t xml:space="preserve">“does not include explicit language regarding a private </w:t>
      </w:r>
      <w:r w:rsidR="003459B4">
        <w:t>cause</w:t>
      </w:r>
      <w:r w:rsidR="00415FD2">
        <w:t xml:space="preserve"> of action</w:t>
      </w:r>
      <w:r>
        <w:t>,</w:t>
      </w:r>
      <w:r w:rsidR="00415FD2">
        <w:t>”</w:t>
      </w:r>
      <w:r>
        <w:t xml:space="preserve"> courts then “look to [its] legislative history for greater insight.” (</w:t>
      </w:r>
      <w:r>
        <w:rPr>
          <w:i/>
        </w:rPr>
        <w:t xml:space="preserve">Id. </w:t>
      </w:r>
      <w:r>
        <w:t xml:space="preserve">at p. 598.) </w:t>
      </w:r>
    </w:p>
    <w:p w14:paraId="6501D42B" w14:textId="2441ADA5" w:rsidR="00EA49A7" w:rsidRPr="002B23B8" w:rsidRDefault="00FC3E08" w:rsidP="00F22B76">
      <w:pPr>
        <w:spacing w:after="160"/>
      </w:pPr>
      <w:r>
        <w:t>Preliminarily, t</w:t>
      </w:r>
      <w:r w:rsidR="003D2CDD">
        <w:t>he</w:t>
      </w:r>
      <w:r w:rsidR="00B42C5A">
        <w:t xml:space="preserve"> </w:t>
      </w:r>
      <w:proofErr w:type="spellStart"/>
      <w:r w:rsidR="00B42C5A">
        <w:t>Schwartzes</w:t>
      </w:r>
      <w:proofErr w:type="spellEnd"/>
      <w:r w:rsidR="00B42C5A">
        <w:t xml:space="preserve"> contend </w:t>
      </w:r>
      <w:r w:rsidR="00B42C5A">
        <w:rPr>
          <w:i/>
        </w:rPr>
        <w:t xml:space="preserve">Lu </w:t>
      </w:r>
      <w:r w:rsidR="00B42C5A">
        <w:t xml:space="preserve">and </w:t>
      </w:r>
      <w:r w:rsidR="00B42C5A">
        <w:rPr>
          <w:i/>
        </w:rPr>
        <w:t xml:space="preserve">Moradi-Shalal </w:t>
      </w:r>
      <w:r w:rsidR="00BB1E70">
        <w:t xml:space="preserve">do </w:t>
      </w:r>
      <w:r w:rsidR="00B42C5A">
        <w:t>not apply</w:t>
      </w:r>
      <w:r w:rsidR="00D600DF">
        <w:t xml:space="preserve"> her</w:t>
      </w:r>
      <w:r w:rsidR="00273975">
        <w:t>e</w:t>
      </w:r>
      <w:r w:rsidR="003D2CDD">
        <w:t xml:space="preserve"> because </w:t>
      </w:r>
      <w:r w:rsidR="00B42C5A">
        <w:t>those case</w:t>
      </w:r>
      <w:r w:rsidR="00860BD3">
        <w:t xml:space="preserve">s </w:t>
      </w:r>
      <w:r w:rsidR="00BB1E70">
        <w:t>addressed the existence of a private right of action</w:t>
      </w:r>
      <w:r w:rsidR="00631C3C">
        <w:t xml:space="preserve"> to enforce a statut</w:t>
      </w:r>
      <w:r w:rsidR="00C027B9">
        <w:t>e</w:t>
      </w:r>
      <w:r w:rsidR="00860BD3">
        <w:t>, whereas the</w:t>
      </w:r>
      <w:r w:rsidR="00631C3C">
        <w:t>y</w:t>
      </w:r>
      <w:r w:rsidR="00860BD3">
        <w:t xml:space="preserve"> </w:t>
      </w:r>
      <w:r w:rsidR="003D2CDD">
        <w:t xml:space="preserve">seek </w:t>
      </w:r>
      <w:r w:rsidR="00C027B9">
        <w:t xml:space="preserve">to enforce </w:t>
      </w:r>
      <w:r w:rsidR="00631C3C">
        <w:t xml:space="preserve">city ordinances. </w:t>
      </w:r>
      <w:r w:rsidR="00273975">
        <w:t xml:space="preserve">We reject this contention because it </w:t>
      </w:r>
      <w:r w:rsidR="00C96B2C">
        <w:t>merely</w:t>
      </w:r>
      <w:r w:rsidR="00273975">
        <w:t xml:space="preserve"> </w:t>
      </w:r>
      <w:r w:rsidR="00860BD3">
        <w:t>point</w:t>
      </w:r>
      <w:r w:rsidR="00273975">
        <w:t>s</w:t>
      </w:r>
      <w:r w:rsidR="00860BD3">
        <w:t xml:space="preserve"> out a distinction without a difference.</w:t>
      </w:r>
      <w:r w:rsidR="0055246F">
        <w:t xml:space="preserve"> As noted above,</w:t>
      </w:r>
      <w:r w:rsidR="004437ED">
        <w:t xml:space="preserve"> t</w:t>
      </w:r>
      <w:r w:rsidR="00645270">
        <w:t xml:space="preserve">he </w:t>
      </w:r>
      <w:proofErr w:type="spellStart"/>
      <w:r w:rsidR="00645270">
        <w:t>Schwartzes</w:t>
      </w:r>
      <w:proofErr w:type="spellEnd"/>
      <w:r w:rsidR="00EA49A7">
        <w:t>’ complaint relies</w:t>
      </w:r>
      <w:r w:rsidR="00AC6108">
        <w:t xml:space="preserve"> on section 36900, subdivision (a)</w:t>
      </w:r>
      <w:r w:rsidR="003D2CDD">
        <w:t xml:space="preserve">, along with </w:t>
      </w:r>
      <w:r w:rsidR="003D2CDD">
        <w:rPr>
          <w:i/>
        </w:rPr>
        <w:t>Riley</w:t>
      </w:r>
      <w:r w:rsidR="00DF4A92">
        <w:t>’s interpretation of the statute</w:t>
      </w:r>
      <w:r w:rsidR="003D2CDD">
        <w:t xml:space="preserve">, </w:t>
      </w:r>
      <w:r w:rsidR="00EA49A7">
        <w:t>to seek redress</w:t>
      </w:r>
      <w:r w:rsidR="00AC6108">
        <w:t xml:space="preserve"> for the Cohens’ maintenance of their hedges and </w:t>
      </w:r>
      <w:r w:rsidR="0055246F">
        <w:t>landscaping</w:t>
      </w:r>
      <w:r w:rsidR="00AC6108">
        <w:t xml:space="preserve"> in </w:t>
      </w:r>
      <w:r w:rsidR="00C92684">
        <w:t xml:space="preserve">alleged </w:t>
      </w:r>
      <w:r w:rsidR="00AC6108">
        <w:t>violation of the LAMC.</w:t>
      </w:r>
      <w:r w:rsidR="00EA49A7" w:rsidRPr="00037049">
        <w:rPr>
          <w:rStyle w:val="FootnoteReference"/>
          <w:b w:val="0"/>
          <w:sz w:val="26"/>
        </w:rPr>
        <w:footnoteReference w:id="7"/>
      </w:r>
      <w:r w:rsidR="00645270">
        <w:t xml:space="preserve"> </w:t>
      </w:r>
      <w:r w:rsidR="00C027B9">
        <w:t xml:space="preserve">Thus, </w:t>
      </w:r>
      <w:r w:rsidR="004437ED">
        <w:t>t</w:t>
      </w:r>
      <w:r w:rsidR="008F01A4">
        <w:t xml:space="preserve">he </w:t>
      </w:r>
      <w:r w:rsidR="00D600DF">
        <w:t>ultimate</w:t>
      </w:r>
      <w:r w:rsidR="008F01A4">
        <w:t xml:space="preserve"> </w:t>
      </w:r>
      <w:r w:rsidR="00645270">
        <w:t>question</w:t>
      </w:r>
      <w:r w:rsidR="004437ED">
        <w:t xml:space="preserve"> </w:t>
      </w:r>
      <w:r w:rsidR="00EA49A7">
        <w:t xml:space="preserve">in this case </w:t>
      </w:r>
      <w:r w:rsidR="00645270">
        <w:t xml:space="preserve">is whether </w:t>
      </w:r>
      <w:r w:rsidR="00102765">
        <w:t>section 36900, subdivision (a</w:t>
      </w:r>
      <w:r w:rsidR="00EA49A7">
        <w:t>)—</w:t>
      </w:r>
      <w:r w:rsidR="00102765">
        <w:t xml:space="preserve">i.e., a </w:t>
      </w:r>
      <w:r w:rsidR="00102765" w:rsidRPr="007349B6">
        <w:t>statute</w:t>
      </w:r>
      <w:r w:rsidR="00EA49A7">
        <w:t>—</w:t>
      </w:r>
      <w:r w:rsidR="00C027B9">
        <w:t>permits</w:t>
      </w:r>
      <w:r w:rsidR="00645270">
        <w:t xml:space="preserve"> the</w:t>
      </w:r>
      <w:r w:rsidR="004437ED">
        <w:t xml:space="preserve"> </w:t>
      </w:r>
      <w:proofErr w:type="spellStart"/>
      <w:r w:rsidR="004437ED">
        <w:t>Schwartzes</w:t>
      </w:r>
      <w:proofErr w:type="spellEnd"/>
      <w:r w:rsidR="00645270">
        <w:t xml:space="preserve"> to </w:t>
      </w:r>
      <w:r w:rsidR="00EA49A7">
        <w:t>pursue</w:t>
      </w:r>
      <w:r w:rsidR="00C027B9">
        <w:t xml:space="preserve"> their</w:t>
      </w:r>
      <w:r w:rsidR="00EA49A7">
        <w:t xml:space="preserve"> </w:t>
      </w:r>
      <w:r w:rsidR="00102765">
        <w:t>claim</w:t>
      </w:r>
      <w:r w:rsidR="00645270">
        <w:t>s for</w:t>
      </w:r>
      <w:r w:rsidR="001964DC">
        <w:t xml:space="preserve"> </w:t>
      </w:r>
      <w:r w:rsidR="00645270">
        <w:t xml:space="preserve">damages and injunctive relief </w:t>
      </w:r>
      <w:r w:rsidR="00EA49A7">
        <w:t>in court</w:t>
      </w:r>
      <w:r w:rsidR="00645270">
        <w:t xml:space="preserve">. </w:t>
      </w:r>
      <w:r w:rsidR="00E6153F">
        <w:t xml:space="preserve">Our Supreme Court addressed questions of </w:t>
      </w:r>
      <w:r w:rsidR="003D2CDD">
        <w:t xml:space="preserve">precisely that </w:t>
      </w:r>
      <w:r w:rsidR="00E6153F">
        <w:t xml:space="preserve">nature in </w:t>
      </w:r>
      <w:r w:rsidR="00E6153F">
        <w:rPr>
          <w:i/>
        </w:rPr>
        <w:t xml:space="preserve">Lu </w:t>
      </w:r>
      <w:r w:rsidR="00E6153F">
        <w:t xml:space="preserve">and </w:t>
      </w:r>
      <w:r w:rsidR="004437ED">
        <w:rPr>
          <w:i/>
        </w:rPr>
        <w:t>Moradi-Shalal</w:t>
      </w:r>
      <w:r w:rsidR="00E6153F">
        <w:t>. (</w:t>
      </w:r>
      <w:r w:rsidR="00E6153F" w:rsidRPr="00E6153F">
        <w:rPr>
          <w:i/>
        </w:rPr>
        <w:t>Lu</w:t>
      </w:r>
      <w:r w:rsidR="00E6153F">
        <w:t xml:space="preserve">, </w:t>
      </w:r>
      <w:r w:rsidR="00E6153F">
        <w:rPr>
          <w:i/>
        </w:rPr>
        <w:t>supra</w:t>
      </w:r>
      <w:r w:rsidR="00E6153F">
        <w:t>, 50 Cal.4th at p. 596 [</w:t>
      </w:r>
      <w:r w:rsidR="00CB4312">
        <w:t xml:space="preserve">addressing </w:t>
      </w:r>
      <w:r w:rsidR="00E6153F">
        <w:t>“whether [Labor Code] section 351 gives employees a private right of action”</w:t>
      </w:r>
      <w:r w:rsidR="00EA049C">
        <w:t xml:space="preserve"> (fn. omitted)</w:t>
      </w:r>
      <w:r w:rsidR="00E6153F">
        <w:t xml:space="preserve">]; </w:t>
      </w:r>
      <w:r w:rsidR="00E6153F">
        <w:rPr>
          <w:i/>
        </w:rPr>
        <w:t>Moradi-Shalal</w:t>
      </w:r>
      <w:r w:rsidR="00E6153F">
        <w:t xml:space="preserve">, </w:t>
      </w:r>
      <w:r w:rsidR="00E6153F">
        <w:rPr>
          <w:i/>
        </w:rPr>
        <w:t>supra</w:t>
      </w:r>
      <w:r w:rsidR="00E6153F">
        <w:t xml:space="preserve">, 46 Cal.3d at p. 292 </w:t>
      </w:r>
      <w:r w:rsidR="00E6153F">
        <w:lastRenderedPageBreak/>
        <w:t>[</w:t>
      </w:r>
      <w:r w:rsidR="007349B6">
        <w:t xml:space="preserve">reexamining whether Insurance Code section 790.03, subdivision (h) created a private right of action against </w:t>
      </w:r>
      <w:r w:rsidR="0017212A">
        <w:t>insurers</w:t>
      </w:r>
      <w:r w:rsidR="007349B6">
        <w:t>].)</w:t>
      </w:r>
      <w:r w:rsidR="00E6153F">
        <w:t xml:space="preserve"> </w:t>
      </w:r>
      <w:r w:rsidR="00DF4A92">
        <w:t>Accordingly</w:t>
      </w:r>
      <w:r w:rsidR="005D2D49">
        <w:t>, the</w:t>
      </w:r>
      <w:r w:rsidR="005351B3">
        <w:t xml:space="preserve"> </w:t>
      </w:r>
      <w:r w:rsidR="003861E0">
        <w:t xml:space="preserve">analytical framework employed in </w:t>
      </w:r>
      <w:r w:rsidR="00D26584">
        <w:t>th</w:t>
      </w:r>
      <w:r w:rsidR="003D2CDD">
        <w:t>ose cases</w:t>
      </w:r>
      <w:r w:rsidR="00D26584">
        <w:t xml:space="preserve"> </w:t>
      </w:r>
      <w:r w:rsidR="005D2D49">
        <w:t>appl</w:t>
      </w:r>
      <w:r w:rsidR="003861E0">
        <w:t>ies</w:t>
      </w:r>
      <w:r w:rsidR="005D2D49">
        <w:t xml:space="preserve"> </w:t>
      </w:r>
      <w:r w:rsidR="005351B3">
        <w:t xml:space="preserve">here. </w:t>
      </w:r>
    </w:p>
    <w:p w14:paraId="443C058E" w14:textId="09518FD4" w:rsidR="00A86462" w:rsidRDefault="00A86462" w:rsidP="002B23B8">
      <w:pPr>
        <w:spacing w:after="160"/>
        <w:ind w:left="720" w:hanging="720"/>
        <w:rPr>
          <w:b/>
        </w:rPr>
      </w:pPr>
      <w:r>
        <w:rPr>
          <w:b/>
        </w:rPr>
        <w:tab/>
        <w:t>B.</w:t>
      </w:r>
      <w:r>
        <w:rPr>
          <w:b/>
        </w:rPr>
        <w:tab/>
        <w:t xml:space="preserve">Analysis </w:t>
      </w:r>
    </w:p>
    <w:p w14:paraId="5CB43C73" w14:textId="24DFA1D4" w:rsidR="00A86462" w:rsidRDefault="00A86462" w:rsidP="00A86462">
      <w:pPr>
        <w:ind w:left="720" w:hanging="720"/>
        <w:rPr>
          <w:b/>
        </w:rPr>
      </w:pPr>
      <w:r>
        <w:rPr>
          <w:b/>
        </w:rPr>
        <w:tab/>
      </w:r>
      <w:r>
        <w:rPr>
          <w:b/>
        </w:rPr>
        <w:tab/>
        <w:t>1.</w:t>
      </w:r>
      <w:r w:rsidR="00755E7C">
        <w:rPr>
          <w:b/>
        </w:rPr>
        <w:tab/>
      </w:r>
      <w:r w:rsidR="00017302">
        <w:rPr>
          <w:b/>
        </w:rPr>
        <w:t xml:space="preserve">Plain Language </w:t>
      </w:r>
    </w:p>
    <w:p w14:paraId="1469A733" w14:textId="236A4F9F" w:rsidR="00631C3C" w:rsidRDefault="00B94891" w:rsidP="00631C3C">
      <w:r>
        <w:t>We begin our analysis</w:t>
      </w:r>
      <w:r w:rsidR="00631C3C">
        <w:t xml:space="preserve"> with the</w:t>
      </w:r>
      <w:r w:rsidR="007A590C">
        <w:t xml:space="preserve"> relevant</w:t>
      </w:r>
      <w:r w:rsidR="00631C3C">
        <w:t xml:space="preserve"> statutory language. Section 36900, subdivision (a) states, in full: </w:t>
      </w:r>
      <w:r w:rsidR="00273975">
        <w:t xml:space="preserve">“Violation of a city ordinance is a misdemeanor unless by ordinance it is made an infraction. The violation of a city ordinance may be prosecuted by city authorities in the name of the people of the State of </w:t>
      </w:r>
      <w:proofErr w:type="gramStart"/>
      <w:r w:rsidR="00273975">
        <w:t xml:space="preserve">California, </w:t>
      </w:r>
      <w:r w:rsidR="00273975">
        <w:rPr>
          <w:i/>
        </w:rPr>
        <w:t>or</w:t>
      </w:r>
      <w:proofErr w:type="gramEnd"/>
      <w:r w:rsidR="00273975">
        <w:rPr>
          <w:i/>
        </w:rPr>
        <w:t xml:space="preserve"> redressed by civil action.</w:t>
      </w:r>
      <w:r w:rsidR="00273975">
        <w:t>” (Italics added.)</w:t>
      </w:r>
      <w:r w:rsidR="000B484F">
        <w:t xml:space="preserve"> </w:t>
      </w:r>
    </w:p>
    <w:p w14:paraId="7BDC65EF" w14:textId="117460F5" w:rsidR="00273975" w:rsidRDefault="00B94891" w:rsidP="00B94891">
      <w:r>
        <w:t xml:space="preserve">The </w:t>
      </w:r>
      <w:proofErr w:type="spellStart"/>
      <w:r w:rsidR="00924EF4">
        <w:t>Schwartzes</w:t>
      </w:r>
      <w:proofErr w:type="spellEnd"/>
      <w:r w:rsidR="00924EF4">
        <w:t xml:space="preserve"> </w:t>
      </w:r>
      <w:r>
        <w:t>contend section 36900, subdivision (a) unambiguously reflects the Legislature</w:t>
      </w:r>
      <w:r w:rsidR="007155F5">
        <w:t xml:space="preserve"> intended to authorize a private right of action</w:t>
      </w:r>
      <w:r w:rsidR="002B63D4">
        <w:t xml:space="preserve"> by members of the public</w:t>
      </w:r>
      <w:r w:rsidR="007155F5">
        <w:t>.</w:t>
      </w:r>
      <w:r w:rsidR="000A6B9F">
        <w:t xml:space="preserve"> </w:t>
      </w:r>
      <w:r w:rsidR="007155F5">
        <w:t>In support of their position, the</w:t>
      </w:r>
      <w:r w:rsidR="007A590C">
        <w:t>y</w:t>
      </w:r>
      <w:r w:rsidR="007155F5">
        <w:t xml:space="preserve"> </w:t>
      </w:r>
      <w:r w:rsidR="00156D36">
        <w:t xml:space="preserve">repeatedly emphasize </w:t>
      </w:r>
      <w:r w:rsidR="007155F5">
        <w:t xml:space="preserve">that </w:t>
      </w:r>
      <w:r w:rsidR="00156D36">
        <w:t xml:space="preserve">while </w:t>
      </w:r>
      <w:r w:rsidR="007155F5">
        <w:t>the first clause of the</w:t>
      </w:r>
      <w:r w:rsidR="00156D36">
        <w:t xml:space="preserve"> statute’s</w:t>
      </w:r>
      <w:r w:rsidR="007155F5">
        <w:t xml:space="preserve"> second sentence expressly </w:t>
      </w:r>
      <w:proofErr w:type="gramStart"/>
      <w:r w:rsidR="00996250">
        <w:t>states</w:t>
      </w:r>
      <w:proofErr w:type="gramEnd"/>
      <w:r w:rsidR="007155F5">
        <w:t xml:space="preserve"> “city authorities” may prosecute violations of ordinances, the second clause does not likewise mention “city authorities” when specifying </w:t>
      </w:r>
      <w:r w:rsidR="002051A9">
        <w:t xml:space="preserve">those violations </w:t>
      </w:r>
      <w:r w:rsidR="007155F5">
        <w:t>may</w:t>
      </w:r>
      <w:r w:rsidR="002051A9">
        <w:t xml:space="preserve"> also</w:t>
      </w:r>
      <w:r w:rsidR="007155F5">
        <w:t xml:space="preserve"> be “redressed by civil action.”</w:t>
      </w:r>
      <w:r w:rsidR="000A6B9F">
        <w:t xml:space="preserve"> </w:t>
      </w:r>
      <w:r w:rsidR="00FF7706">
        <w:t xml:space="preserve">According to the </w:t>
      </w:r>
      <w:proofErr w:type="spellStart"/>
      <w:r w:rsidR="00FF7706">
        <w:t>Schwartzes</w:t>
      </w:r>
      <w:proofErr w:type="spellEnd"/>
      <w:r w:rsidR="00FF7706">
        <w:t>,</w:t>
      </w:r>
      <w:r w:rsidR="007155F5">
        <w:t xml:space="preserve"> the Legislature’s omission of any reference to “city authorities” in the second clause </w:t>
      </w:r>
      <w:r w:rsidR="002051A9">
        <w:t>unequivocally</w:t>
      </w:r>
      <w:r w:rsidR="000A6B9F">
        <w:t xml:space="preserve"> </w:t>
      </w:r>
      <w:r w:rsidR="0025662B">
        <w:t>demonstrates</w:t>
      </w:r>
      <w:r w:rsidR="007155F5">
        <w:t xml:space="preserve"> it did not intend to restrict the right to sue under the statute to those authorities.</w:t>
      </w:r>
      <w:r w:rsidR="000A6B9F">
        <w:t xml:space="preserve"> </w:t>
      </w:r>
      <w:r w:rsidR="00FF7706">
        <w:t xml:space="preserve">(See </w:t>
      </w:r>
      <w:r w:rsidR="00FF7706">
        <w:rPr>
          <w:i/>
        </w:rPr>
        <w:t xml:space="preserve">Briggs v. Eden Council for Hope &amp; Opportunity </w:t>
      </w:r>
      <w:r w:rsidR="00FF7706">
        <w:t xml:space="preserve">(1999) 19 Cal.4th 1106, 1117 [“Where different words or phrases are used in the same connection in </w:t>
      </w:r>
      <w:r w:rsidR="00FF7706">
        <w:lastRenderedPageBreak/>
        <w:t>different parts of a statute, it is presumed the Legislature intended a different meaning”].)</w:t>
      </w:r>
      <w:r w:rsidR="00126CFD" w:rsidRPr="00037049">
        <w:rPr>
          <w:rStyle w:val="FootnoteReference"/>
          <w:b w:val="0"/>
          <w:sz w:val="26"/>
        </w:rPr>
        <w:footnoteReference w:id="8"/>
      </w:r>
      <w:r w:rsidR="00FF7706">
        <w:t xml:space="preserve"> </w:t>
      </w:r>
    </w:p>
    <w:p w14:paraId="3521CB69" w14:textId="38B851D3" w:rsidR="00E407AC" w:rsidRDefault="0064457E" w:rsidP="00B94891">
      <w:r>
        <w:t xml:space="preserve">Even assuming, </w:t>
      </w:r>
      <w:r>
        <w:rPr>
          <w:i/>
        </w:rPr>
        <w:t>arguendo</w:t>
      </w:r>
      <w:r>
        <w:t xml:space="preserve">, the </w:t>
      </w:r>
      <w:proofErr w:type="spellStart"/>
      <w:r>
        <w:t>Schwartzes</w:t>
      </w:r>
      <w:proofErr w:type="spellEnd"/>
      <w:r>
        <w:t>’ interpretation</w:t>
      </w:r>
      <w:r w:rsidR="00B474E7">
        <w:t xml:space="preserve"> of the stat</w:t>
      </w:r>
      <w:r w:rsidR="007C2488">
        <w:t>ut</w:t>
      </w:r>
      <w:r w:rsidR="00B474E7">
        <w:t>e</w:t>
      </w:r>
      <w:r>
        <w:t xml:space="preserve"> is reasonable, it does not </w:t>
      </w:r>
      <w:r w:rsidR="00B474E7">
        <w:t xml:space="preserve">render unreasonable or otherwise foreclose </w:t>
      </w:r>
      <w:r w:rsidR="00E0291E">
        <w:t>the</w:t>
      </w:r>
      <w:r w:rsidR="008A4559">
        <w:t xml:space="preserve"> Cohens’ proffered</w:t>
      </w:r>
      <w:r w:rsidR="00D02355">
        <w:t xml:space="preserve"> </w:t>
      </w:r>
      <w:r>
        <w:t>interpretation</w:t>
      </w:r>
      <w:r w:rsidR="008A4559">
        <w:t xml:space="preserve">. </w:t>
      </w:r>
      <w:r w:rsidR="009D1D0F">
        <w:t xml:space="preserve">On this point, </w:t>
      </w:r>
      <w:r w:rsidR="008E3C74">
        <w:t>t</w:t>
      </w:r>
      <w:r w:rsidR="00901DF5">
        <w:t>he Cohens argue—and we agree—that when read in context</w:t>
      </w:r>
      <w:r w:rsidR="008E3C74">
        <w:t xml:space="preserve"> with</w:t>
      </w:r>
      <w:r w:rsidR="00901DF5">
        <w:t xml:space="preserve"> the statute’s first sentence and the first clause of the second sentence, </w:t>
      </w:r>
      <w:r w:rsidR="00B474E7">
        <w:t>which collectively grant</w:t>
      </w:r>
      <w:r w:rsidR="00901DF5">
        <w:t xml:space="preserve"> </w:t>
      </w:r>
      <w:r w:rsidR="00B474E7">
        <w:t>“</w:t>
      </w:r>
      <w:r w:rsidR="00901DF5">
        <w:t xml:space="preserve">city authorities” </w:t>
      </w:r>
      <w:r w:rsidR="00303177">
        <w:t xml:space="preserve">the right </w:t>
      </w:r>
      <w:r w:rsidR="00901DF5">
        <w:t xml:space="preserve">to prosecute </w:t>
      </w:r>
      <w:r w:rsidR="0025662B">
        <w:t xml:space="preserve">the </w:t>
      </w:r>
      <w:r w:rsidR="00901DF5">
        <w:t xml:space="preserve">violation of an ordinance as a misdemeanor, the second clause of the second sentence could reasonably </w:t>
      </w:r>
      <w:r w:rsidR="008E3C74">
        <w:t xml:space="preserve">be </w:t>
      </w:r>
      <w:r w:rsidR="00901DF5">
        <w:t xml:space="preserve">interpreted as affording </w:t>
      </w:r>
      <w:r w:rsidR="00D013A2">
        <w:t xml:space="preserve">only </w:t>
      </w:r>
      <w:r w:rsidR="00901DF5">
        <w:t xml:space="preserve">those same authorities </w:t>
      </w:r>
      <w:r w:rsidR="00D02355">
        <w:t>the right to utilize civil lawsuits as an alternative enforcement</w:t>
      </w:r>
      <w:r w:rsidR="0025662B">
        <w:t xml:space="preserve"> mechanism</w:t>
      </w:r>
      <w:r w:rsidR="00901DF5">
        <w:t>.</w:t>
      </w:r>
      <w:r w:rsidR="00B474E7">
        <w:t xml:space="preserve"> (See § 36900, subd. (a).)</w:t>
      </w:r>
      <w:r w:rsidR="00901DF5">
        <w:t xml:space="preserve"> </w:t>
      </w:r>
    </w:p>
    <w:p w14:paraId="20775B66" w14:textId="3892A4BE" w:rsidR="0064457E" w:rsidRPr="00F211D1" w:rsidRDefault="008E3C74" w:rsidP="00E407AC">
      <w:r>
        <w:lastRenderedPageBreak/>
        <w:t>Th</w:t>
      </w:r>
      <w:r w:rsidR="00E0082D">
        <w:t xml:space="preserve">e Cohens’ </w:t>
      </w:r>
      <w:r>
        <w:t>interpretation</w:t>
      </w:r>
      <w:r w:rsidR="00E0082D">
        <w:t xml:space="preserve"> of the statute</w:t>
      </w:r>
      <w:r>
        <w:t xml:space="preserve"> is supported by principles </w:t>
      </w:r>
      <w:r w:rsidR="00E0082D">
        <w:t xml:space="preserve">of interpretation </w:t>
      </w:r>
      <w:r w:rsidR="001D4FA9">
        <w:t>governing</w:t>
      </w:r>
      <w:r>
        <w:t xml:space="preserve"> </w:t>
      </w:r>
      <w:r w:rsidR="009D1D0F">
        <w:t xml:space="preserve">clauses “written in the </w:t>
      </w:r>
      <w:r w:rsidR="00467229">
        <w:t>‘</w:t>
      </w:r>
      <w:r w:rsidR="009D1D0F">
        <w:t>passive voice</w:t>
      </w:r>
      <w:r w:rsidR="00375BCB">
        <w:t>.</w:t>
      </w:r>
      <w:proofErr w:type="gramStart"/>
      <w:r w:rsidR="00375BCB">
        <w:t>’</w:t>
      </w:r>
      <w:r w:rsidR="009D1D0F">
        <w:t>”</w:t>
      </w:r>
      <w:r w:rsidR="00375BCB">
        <w:t>(</w:t>
      </w:r>
      <w:proofErr w:type="spellStart"/>
      <w:proofErr w:type="gramEnd"/>
      <w:r w:rsidR="00375BCB">
        <w:rPr>
          <w:i/>
        </w:rPr>
        <w:t>Coso</w:t>
      </w:r>
      <w:proofErr w:type="spellEnd"/>
      <w:r w:rsidR="00375BCB">
        <w:rPr>
          <w:i/>
        </w:rPr>
        <w:t xml:space="preserve"> Energy Developers v. County of Inyo </w:t>
      </w:r>
      <w:r w:rsidR="00375BCB">
        <w:t xml:space="preserve">(2004) 122 Cal.App.4th 1512, </w:t>
      </w:r>
      <w:r w:rsidR="00F211D1">
        <w:t>1524 (</w:t>
      </w:r>
      <w:proofErr w:type="spellStart"/>
      <w:r w:rsidR="00F211D1">
        <w:rPr>
          <w:i/>
        </w:rPr>
        <w:t>Coso</w:t>
      </w:r>
      <w:proofErr w:type="spellEnd"/>
      <w:r w:rsidR="00F211D1">
        <w:t xml:space="preserve">).) </w:t>
      </w:r>
      <w:r w:rsidR="00AC4739">
        <w:t>Specifically, w</w:t>
      </w:r>
      <w:r w:rsidR="009D1D0F">
        <w:t>here, as here,</w:t>
      </w:r>
      <w:r w:rsidR="00E407AC">
        <w:t xml:space="preserve"> the </w:t>
      </w:r>
      <w:r w:rsidR="00375BCB">
        <w:t>drafter of a sentence</w:t>
      </w:r>
      <w:r w:rsidR="00E407AC">
        <w:t xml:space="preserve"> identifies the </w:t>
      </w:r>
      <w:r w:rsidR="009D1D0F">
        <w:t xml:space="preserve">actor in the first clause, but </w:t>
      </w:r>
      <w:r w:rsidR="00F211D1">
        <w:t xml:space="preserve">uses </w:t>
      </w:r>
      <w:r w:rsidR="009D1D0F">
        <w:t xml:space="preserve">the passive voice in the </w:t>
      </w:r>
      <w:r w:rsidR="00375BCB">
        <w:t>next</w:t>
      </w:r>
      <w:r w:rsidR="009D1D0F">
        <w:t xml:space="preserve"> clause</w:t>
      </w:r>
      <w:r w:rsidR="00E0082D">
        <w:t xml:space="preserve">, and </w:t>
      </w:r>
      <w:r w:rsidR="0025662B">
        <w:t>therefore</w:t>
      </w:r>
      <w:r w:rsidR="00E407AC">
        <w:t xml:space="preserve"> does not identify the actor to whom </w:t>
      </w:r>
      <w:r w:rsidR="001D4FA9">
        <w:t xml:space="preserve">that clause </w:t>
      </w:r>
      <w:r w:rsidR="00E407AC">
        <w:t>applies</w:t>
      </w:r>
      <w:r w:rsidR="009D1D0F">
        <w:t xml:space="preserve">, </w:t>
      </w:r>
      <w:r w:rsidR="00E407AC">
        <w:t>“[</w:t>
      </w:r>
      <w:proofErr w:type="spellStart"/>
      <w:r w:rsidR="00E407AC">
        <w:t>i</w:t>
      </w:r>
      <w:proofErr w:type="spellEnd"/>
      <w:r w:rsidR="00E407AC">
        <w:t xml:space="preserve">]t is reasonable to infer that the undisclosed actor in the second clause is the same actor specified in the first; the lack of disclosure in the second instance can be attributed to the desire to avoid redundancy.” </w:t>
      </w:r>
      <w:r w:rsidR="00F211D1">
        <w:t>(</w:t>
      </w:r>
      <w:r w:rsidR="00F211D1">
        <w:rPr>
          <w:i/>
        </w:rPr>
        <w:t xml:space="preserve">Id. </w:t>
      </w:r>
      <w:r w:rsidR="00F211D1">
        <w:t xml:space="preserve">at p. 1525.) </w:t>
      </w:r>
      <w:r w:rsidR="004552D2">
        <w:t>Applying</w:t>
      </w:r>
      <w:r w:rsidR="00E407AC">
        <w:t xml:space="preserve"> this principle to </w:t>
      </w:r>
      <w:r w:rsidR="004552D2">
        <w:t xml:space="preserve">the second sentence of </w:t>
      </w:r>
      <w:r w:rsidR="00E407AC">
        <w:t>section 36900, subdivision (a), it is reasonable to infer the “city authoritie</w:t>
      </w:r>
      <w:r w:rsidR="004552D2">
        <w:t>s</w:t>
      </w:r>
      <w:r w:rsidR="0025662B">
        <w:t>”—</w:t>
      </w:r>
      <w:r w:rsidR="00375BCB">
        <w:t>i.e., the sole actors referenced in the sentence’s first clause</w:t>
      </w:r>
      <w:r w:rsidR="0025662B">
        <w:t>—</w:t>
      </w:r>
      <w:r w:rsidR="00E407AC">
        <w:t>are the same</w:t>
      </w:r>
      <w:r w:rsidR="001D4FA9">
        <w:t xml:space="preserve"> individuals entitled to </w:t>
      </w:r>
      <w:r w:rsidR="00E407AC">
        <w:t>“</w:t>
      </w:r>
      <w:proofErr w:type="gramStart"/>
      <w:r w:rsidR="00E407AC">
        <w:t>redress[</w:t>
      </w:r>
      <w:proofErr w:type="gramEnd"/>
      <w:r w:rsidR="00E407AC">
        <w:t> ] [the violation of a city ordinance] by civil action”</w:t>
      </w:r>
      <w:r w:rsidR="00375BCB">
        <w:t xml:space="preserve"> by way of the second clause.</w:t>
      </w:r>
      <w:r w:rsidR="00F211D1">
        <w:t xml:space="preserve"> </w:t>
      </w:r>
      <w:r w:rsidR="004552D2">
        <w:t>Further, it is reasonable to infer that, havi</w:t>
      </w:r>
      <w:r w:rsidR="00AC4739">
        <w:t>ng specified</w:t>
      </w:r>
      <w:r w:rsidR="004552D2">
        <w:t xml:space="preserve"> “city authorities” as the actors in the first clause</w:t>
      </w:r>
      <w:r w:rsidR="00375BCB">
        <w:t>,</w:t>
      </w:r>
      <w:r w:rsidR="004552D2">
        <w:t xml:space="preserve"> the Legislature did not </w:t>
      </w:r>
      <w:r w:rsidR="00375BCB">
        <w:t>re-identify</w:t>
      </w:r>
      <w:r w:rsidR="004552D2">
        <w:t xml:space="preserve"> th</w:t>
      </w:r>
      <w:r w:rsidR="00C01C39">
        <w:t>ose</w:t>
      </w:r>
      <w:r w:rsidR="004552D2">
        <w:t xml:space="preserve"> same actors in the next clause to</w:t>
      </w:r>
      <w:r w:rsidR="001D4FA9">
        <w:t xml:space="preserve"> </w:t>
      </w:r>
      <w:r w:rsidR="004552D2">
        <w:t>avoid being “unnecessarily repetitive</w:t>
      </w:r>
      <w:r w:rsidR="000B484F">
        <w:t>” (</w:t>
      </w:r>
      <w:proofErr w:type="spellStart"/>
      <w:r w:rsidR="00E0082D">
        <w:rPr>
          <w:i/>
        </w:rPr>
        <w:t>Coso</w:t>
      </w:r>
      <w:proofErr w:type="spellEnd"/>
      <w:r w:rsidR="00E0082D">
        <w:t>, at p. 1525</w:t>
      </w:r>
      <w:r w:rsidR="000B484F">
        <w:t xml:space="preserve">), </w:t>
      </w:r>
      <w:r w:rsidR="001D4FA9">
        <w:t>and did not intend</w:t>
      </w:r>
      <w:r w:rsidR="00E0082D">
        <w:t xml:space="preserve"> to grant all</w:t>
      </w:r>
      <w:r w:rsidR="00375BCB">
        <w:t xml:space="preserve"> citizens the right to file suit. </w:t>
      </w:r>
    </w:p>
    <w:p w14:paraId="1B907032" w14:textId="173C9691" w:rsidR="008B7C62" w:rsidRPr="002B23B8" w:rsidRDefault="007F17D2" w:rsidP="00F22B76">
      <w:pPr>
        <w:ind w:firstLine="0"/>
      </w:pPr>
      <w:r>
        <w:tab/>
      </w:r>
      <w:r w:rsidR="00AC4739">
        <w:t>F</w:t>
      </w:r>
      <w:r w:rsidR="000B484F">
        <w:t xml:space="preserve">or the reasons discussed above, we conclude section 36900, subdivision (a) </w:t>
      </w:r>
      <w:r w:rsidR="002941CD">
        <w:t>does not “contain ‘“clear, understandable, unmistakable terms,”’ which strongly and directly indicate that the Legislature intended to create a private cause of action.”</w:t>
      </w:r>
      <w:r w:rsidR="007A1A89">
        <w:t xml:space="preserve"> (</w:t>
      </w:r>
      <w:r w:rsidR="007A1A89">
        <w:rPr>
          <w:i/>
        </w:rPr>
        <w:t>Lu</w:t>
      </w:r>
      <w:r w:rsidR="007A1A89">
        <w:t xml:space="preserve">, </w:t>
      </w:r>
      <w:r w:rsidR="002D25AA">
        <w:rPr>
          <w:i/>
        </w:rPr>
        <w:t>supra</w:t>
      </w:r>
      <w:r w:rsidR="002D25AA">
        <w:t>, 50 Cal.4th at p. 597.)</w:t>
      </w:r>
      <w:r w:rsidR="002941CD">
        <w:t xml:space="preserve"> Instead, the statutory language is ambiguous, as it is </w:t>
      </w:r>
      <w:r w:rsidR="005D18B9">
        <w:t>“‘</w:t>
      </w:r>
      <w:r w:rsidR="002941CD">
        <w:t>susceptible to more than one reasonable interpretation.</w:t>
      </w:r>
      <w:r w:rsidR="005D18B9">
        <w:t>’” (</w:t>
      </w:r>
      <w:r w:rsidR="005D18B9">
        <w:rPr>
          <w:i/>
        </w:rPr>
        <w:t xml:space="preserve">Coburn v. Sievert </w:t>
      </w:r>
      <w:r w:rsidR="005D18B9">
        <w:t>(2005) 133 Cal.App.4th 1483, 1495.)</w:t>
      </w:r>
      <w:r w:rsidR="002D25AA">
        <w:t xml:space="preserve"> W</w:t>
      </w:r>
      <w:r w:rsidR="005D18B9">
        <w:t>e</w:t>
      </w:r>
      <w:r w:rsidR="002D25AA">
        <w:t xml:space="preserve"> therefore</w:t>
      </w:r>
      <w:r w:rsidR="00E0082D">
        <w:t xml:space="preserve"> </w:t>
      </w:r>
      <w:r w:rsidR="005D18B9">
        <w:t>turn to section 36900’s legislative history “for greater insight.” (</w:t>
      </w:r>
      <w:r w:rsidR="005D18B9">
        <w:rPr>
          <w:i/>
        </w:rPr>
        <w:t>Lu</w:t>
      </w:r>
      <w:r w:rsidR="005D18B9">
        <w:t xml:space="preserve">, at p. 598.) </w:t>
      </w:r>
      <w:r w:rsidR="002941CD">
        <w:t xml:space="preserve"> </w:t>
      </w:r>
    </w:p>
    <w:p w14:paraId="1E4EEC3C" w14:textId="77C71441" w:rsidR="00017302" w:rsidRDefault="00017302" w:rsidP="00A86462">
      <w:pPr>
        <w:ind w:left="720" w:hanging="720"/>
        <w:rPr>
          <w:b/>
        </w:rPr>
      </w:pPr>
      <w:r>
        <w:rPr>
          <w:b/>
        </w:rPr>
        <w:lastRenderedPageBreak/>
        <w:tab/>
      </w:r>
      <w:r>
        <w:rPr>
          <w:b/>
        </w:rPr>
        <w:tab/>
        <w:t>2.</w:t>
      </w:r>
      <w:r>
        <w:rPr>
          <w:b/>
        </w:rPr>
        <w:tab/>
        <w:t>Legislative History</w:t>
      </w:r>
      <w:r w:rsidR="007640D6" w:rsidRPr="00037049">
        <w:rPr>
          <w:rStyle w:val="FootnoteReference"/>
          <w:sz w:val="26"/>
        </w:rPr>
        <w:footnoteReference w:id="9"/>
      </w:r>
      <w:r>
        <w:rPr>
          <w:b/>
        </w:rPr>
        <w:t xml:space="preserve"> </w:t>
      </w:r>
    </w:p>
    <w:p w14:paraId="1E46398D" w14:textId="4820E575" w:rsidR="00C55742" w:rsidRDefault="00BB0807" w:rsidP="003F1EB1">
      <w:pPr>
        <w:ind w:firstLine="0"/>
      </w:pPr>
      <w:r>
        <w:rPr>
          <w:b/>
        </w:rPr>
        <w:tab/>
      </w:r>
      <w:r w:rsidR="00010833">
        <w:t>Section 36900,</w:t>
      </w:r>
      <w:r w:rsidR="005E693F">
        <w:t xml:space="preserve"> </w:t>
      </w:r>
      <w:r w:rsidR="005E693F" w:rsidRPr="00733678">
        <w:t>subdivision (</w:t>
      </w:r>
      <w:r w:rsidR="00541F7A" w:rsidRPr="00733678">
        <w:t xml:space="preserve">a) </w:t>
      </w:r>
      <w:r w:rsidR="00880906" w:rsidRPr="00733678">
        <w:t>derives</w:t>
      </w:r>
      <w:r w:rsidR="00010833" w:rsidRPr="00733678">
        <w:t xml:space="preserve"> from</w:t>
      </w:r>
      <w:r w:rsidR="0085078C">
        <w:t xml:space="preserve"> sections</w:t>
      </w:r>
      <w:r w:rsidR="00AA10C7">
        <w:t xml:space="preserve"> 769 and 867</w:t>
      </w:r>
      <w:r w:rsidR="0085078C">
        <w:t xml:space="preserve"> of </w:t>
      </w:r>
      <w:r w:rsidR="00010833">
        <w:t>the Municipal Incorporation Act of 1883.</w:t>
      </w:r>
      <w:r w:rsidR="008E04EE" w:rsidRPr="00037049">
        <w:rPr>
          <w:rStyle w:val="FootnoteReference"/>
          <w:b w:val="0"/>
          <w:sz w:val="26"/>
        </w:rPr>
        <w:footnoteReference w:id="10"/>
      </w:r>
      <w:r w:rsidR="00D93429">
        <w:t xml:space="preserve"> (</w:t>
      </w:r>
      <w:r w:rsidR="00C55742">
        <w:t xml:space="preserve">60 </w:t>
      </w:r>
      <w:proofErr w:type="spellStart"/>
      <w:r w:rsidR="00C55742">
        <w:t>Ops.Cal.Atty.Gen</w:t>
      </w:r>
      <w:proofErr w:type="spellEnd"/>
      <w:r w:rsidR="00C55742">
        <w:t>. 83, at *4 (1977)</w:t>
      </w:r>
      <w:r w:rsidR="005B2C57">
        <w:t>.</w:t>
      </w:r>
      <w:r w:rsidR="00C55742">
        <w:t xml:space="preserve">) </w:t>
      </w:r>
      <w:r w:rsidR="005E693F">
        <w:t>S</w:t>
      </w:r>
      <w:r w:rsidR="00892EE9">
        <w:t xml:space="preserve">ection </w:t>
      </w:r>
      <w:r w:rsidR="00AA10C7">
        <w:t xml:space="preserve">769 stated, in relevant part: “The violation of any ordinance of such city shall be deemed a </w:t>
      </w:r>
      <w:proofErr w:type="gramStart"/>
      <w:r w:rsidR="00AA10C7">
        <w:t>misdemeanor, and</w:t>
      </w:r>
      <w:proofErr w:type="gramEnd"/>
      <w:r w:rsidR="00AA10C7">
        <w:t xml:space="preserve"> may be prosecuted by the authorities of such city in the name of the people of the State of California, or may be redressed by civil action, </w:t>
      </w:r>
      <w:r w:rsidR="00AA10C7" w:rsidRPr="00AA10C7">
        <w:rPr>
          <w:i/>
        </w:rPr>
        <w:t>at the option of said authorities</w:t>
      </w:r>
      <w:r w:rsidR="00AA10C7">
        <w:t xml:space="preserve">.” </w:t>
      </w:r>
      <w:r w:rsidR="005E693F">
        <w:t xml:space="preserve">(Stats. 1883, </w:t>
      </w:r>
      <w:proofErr w:type="spellStart"/>
      <w:r w:rsidR="005E693F">
        <w:t>ch.</w:t>
      </w:r>
      <w:proofErr w:type="spellEnd"/>
      <w:r w:rsidR="005E693F">
        <w:t xml:space="preserve"> 49, §</w:t>
      </w:r>
      <w:r w:rsidR="00EA0818">
        <w:t> </w:t>
      </w:r>
      <w:r w:rsidR="005E693F">
        <w:t>769,</w:t>
      </w:r>
      <w:r w:rsidR="009E72CF">
        <w:t xml:space="preserve"> p. </w:t>
      </w:r>
      <w:r w:rsidR="003F1EB1">
        <w:t>256,</w:t>
      </w:r>
      <w:r w:rsidR="005E693F">
        <w:t xml:space="preserve"> italics added.)</w:t>
      </w:r>
      <w:r w:rsidR="00AA10C7">
        <w:t xml:space="preserve"> </w:t>
      </w:r>
      <w:r w:rsidR="005E693F">
        <w:t>Section</w:t>
      </w:r>
      <w:r w:rsidR="00AA10C7">
        <w:t xml:space="preserve"> 86</w:t>
      </w:r>
      <w:r w:rsidR="008E00F0">
        <w:t>7</w:t>
      </w:r>
      <w:r w:rsidR="00AA10C7">
        <w:t xml:space="preserve"> </w:t>
      </w:r>
      <w:r w:rsidR="008E00F0">
        <w:t xml:space="preserve">likewise provided, in </w:t>
      </w:r>
      <w:r w:rsidR="00F95A9E">
        <w:t xml:space="preserve">pertinent </w:t>
      </w:r>
      <w:r w:rsidR="008E00F0">
        <w:t xml:space="preserve">part: “The violation of any ordinance of such city or town shall be deemed a </w:t>
      </w:r>
      <w:proofErr w:type="gramStart"/>
      <w:r w:rsidR="008E00F0">
        <w:t>misdemeanor, and</w:t>
      </w:r>
      <w:proofErr w:type="gramEnd"/>
      <w:r w:rsidR="008E00F0">
        <w:t xml:space="preserve"> may be prosecuted by the authorities of such city or </w:t>
      </w:r>
      <w:r w:rsidR="005E693F">
        <w:t>t</w:t>
      </w:r>
      <w:r w:rsidR="008E00F0">
        <w:t xml:space="preserve">own in the name of the people of the State of California, or may be redressed by civil action, </w:t>
      </w:r>
      <w:r w:rsidR="008E00F0">
        <w:rPr>
          <w:i/>
        </w:rPr>
        <w:t>at the option of said authorities.</w:t>
      </w:r>
      <w:r w:rsidR="008E00F0">
        <w:t>”</w:t>
      </w:r>
      <w:r w:rsidR="00892EE9">
        <w:t xml:space="preserve"> </w:t>
      </w:r>
      <w:r w:rsidR="005E693F">
        <w:t xml:space="preserve">(Stats. 1883, </w:t>
      </w:r>
      <w:proofErr w:type="spellStart"/>
      <w:r w:rsidR="005E693F">
        <w:t>ch.</w:t>
      </w:r>
      <w:proofErr w:type="spellEnd"/>
      <w:r w:rsidR="005E693F">
        <w:t xml:space="preserve"> 49, §</w:t>
      </w:r>
      <w:r w:rsidR="00F95A9E">
        <w:t> </w:t>
      </w:r>
      <w:r w:rsidR="005E693F">
        <w:t>867,</w:t>
      </w:r>
      <w:r w:rsidR="003F1EB1">
        <w:t xml:space="preserve"> p. 272,</w:t>
      </w:r>
      <w:r w:rsidR="005E693F">
        <w:t xml:space="preserve"> italics added</w:t>
      </w:r>
      <w:r w:rsidR="00420DC0">
        <w:t>.</w:t>
      </w:r>
      <w:r w:rsidR="005E693F">
        <w:t>)</w:t>
      </w:r>
      <w:r w:rsidR="00541F7A">
        <w:t xml:space="preserve"> </w:t>
      </w:r>
    </w:p>
    <w:p w14:paraId="22074389" w14:textId="441F27BF" w:rsidR="003F1EB1" w:rsidRDefault="00F95A9E" w:rsidP="00C55742">
      <w:r>
        <w:t>In other words, s</w:t>
      </w:r>
      <w:r w:rsidR="00B7266C">
        <w:t>ection 36900’s predecessor stat</w:t>
      </w:r>
      <w:r w:rsidR="00651655">
        <w:t>ut</w:t>
      </w:r>
      <w:r w:rsidR="00B7266C">
        <w:t xml:space="preserve">es </w:t>
      </w:r>
      <w:r w:rsidR="00D013A2">
        <w:t xml:space="preserve">explicitly </w:t>
      </w:r>
      <w:r w:rsidR="005D3ACD">
        <w:t>grante</w:t>
      </w:r>
      <w:r w:rsidR="008377D7">
        <w:t xml:space="preserve">d </w:t>
      </w:r>
      <w:r w:rsidR="00D013A2">
        <w:t xml:space="preserve">only </w:t>
      </w:r>
      <w:r w:rsidR="008377D7">
        <w:t>city</w:t>
      </w:r>
      <w:r w:rsidR="00B7266C">
        <w:t xml:space="preserve"> authorities—</w:t>
      </w:r>
      <w:r w:rsidR="000E35EE">
        <w:t>rather than all members of the</w:t>
      </w:r>
      <w:r w:rsidR="00B7266C">
        <w:t xml:space="preserve"> public—the right to enforce violations of</w:t>
      </w:r>
      <w:r w:rsidR="008377D7">
        <w:t xml:space="preserve"> local</w:t>
      </w:r>
      <w:r w:rsidR="00B7266C">
        <w:t xml:space="preserve"> ordinances by filing suit.</w:t>
      </w:r>
      <w:r w:rsidR="004A0660">
        <w:t xml:space="preserve"> T</w:t>
      </w:r>
      <w:r w:rsidR="009A3D2D">
        <w:t xml:space="preserve">hese predecessor statutes </w:t>
      </w:r>
      <w:r w:rsidR="009E72CF">
        <w:t xml:space="preserve">contained the same language verbatim </w:t>
      </w:r>
      <w:r w:rsidR="009A3D2D">
        <w:t>when S</w:t>
      </w:r>
      <w:r w:rsidR="00541F7A">
        <w:t>enate Bill</w:t>
      </w:r>
      <w:r w:rsidR="009A3D2D">
        <w:t xml:space="preserve"> </w:t>
      </w:r>
      <w:r w:rsidR="00467229">
        <w:t xml:space="preserve">No. </w:t>
      </w:r>
      <w:r w:rsidR="009A3D2D">
        <w:t>750</w:t>
      </w:r>
      <w:r w:rsidR="00B7266C">
        <w:t xml:space="preserve"> (SB 750)</w:t>
      </w:r>
      <w:r w:rsidR="00541F7A">
        <w:t>, the bill</w:t>
      </w:r>
      <w:r w:rsidR="000E35EE">
        <w:t xml:space="preserve"> add</w:t>
      </w:r>
      <w:r>
        <w:t>ing</w:t>
      </w:r>
      <w:r w:rsidR="000E35EE">
        <w:t xml:space="preserve"> </w:t>
      </w:r>
      <w:r w:rsidR="00541F7A">
        <w:t>section 36900</w:t>
      </w:r>
      <w:r w:rsidR="000E35EE">
        <w:t xml:space="preserve"> to the Government Code</w:t>
      </w:r>
      <w:r w:rsidR="00541F7A">
        <w:t xml:space="preserve">, </w:t>
      </w:r>
      <w:r w:rsidR="009A3D2D">
        <w:t>was introduced in January 1945. (</w:t>
      </w:r>
      <w:r w:rsidR="0086673B">
        <w:t xml:space="preserve">See </w:t>
      </w:r>
      <w:r w:rsidR="009A3D2D">
        <w:t xml:space="preserve">Stats. 1905, </w:t>
      </w:r>
      <w:proofErr w:type="spellStart"/>
      <w:r w:rsidR="009A3D2D">
        <w:t>ch.</w:t>
      </w:r>
      <w:proofErr w:type="spellEnd"/>
      <w:r w:rsidR="009A3D2D">
        <w:t xml:space="preserve"> 74, § 1</w:t>
      </w:r>
      <w:r w:rsidR="009E72CF">
        <w:t>, p. 72;</w:t>
      </w:r>
      <w:r w:rsidR="009A3D2D">
        <w:t xml:space="preserve"> see also Stats. 1933, </w:t>
      </w:r>
      <w:proofErr w:type="spellStart"/>
      <w:r w:rsidR="009A3D2D">
        <w:t>ch.</w:t>
      </w:r>
      <w:proofErr w:type="spellEnd"/>
      <w:r w:rsidR="009A3D2D">
        <w:t xml:space="preserve"> 516, § 20, p. 1332.)</w:t>
      </w:r>
    </w:p>
    <w:p w14:paraId="50A6AD6B" w14:textId="1AB6EC6C" w:rsidR="005E693F" w:rsidRDefault="000E35EE" w:rsidP="00892EE9">
      <w:pPr>
        <w:ind w:firstLine="0"/>
      </w:pPr>
      <w:r>
        <w:lastRenderedPageBreak/>
        <w:tab/>
      </w:r>
      <w:r w:rsidR="000F441C">
        <w:t>S</w:t>
      </w:r>
      <w:r w:rsidR="00E412DE">
        <w:t>B</w:t>
      </w:r>
      <w:r w:rsidR="000F441C">
        <w:t xml:space="preserve"> 750 was drafted by the California Code Commission</w:t>
      </w:r>
      <w:r w:rsidR="006A2424" w:rsidRPr="00037049">
        <w:rPr>
          <w:rStyle w:val="FootnoteReference"/>
          <w:b w:val="0"/>
          <w:sz w:val="26"/>
        </w:rPr>
        <w:footnoteReference w:id="11"/>
      </w:r>
      <w:r w:rsidR="000F441C">
        <w:t xml:space="preserve"> </w:t>
      </w:r>
      <w:r w:rsidR="006A2424">
        <w:t xml:space="preserve">(the Commission) </w:t>
      </w:r>
      <w:r w:rsidR="000F441C">
        <w:t>at the Legislature’s direction</w:t>
      </w:r>
      <w:r w:rsidR="006A2424">
        <w:t>.</w:t>
      </w:r>
      <w:r w:rsidR="000F441C">
        <w:t xml:space="preserve"> </w:t>
      </w:r>
      <w:r>
        <w:t>Among other provisions, SB 750 add</w:t>
      </w:r>
      <w:r w:rsidR="00CA26F2">
        <w:t>ed</w:t>
      </w:r>
      <w:r>
        <w:t xml:space="preserve"> section 36900 </w:t>
      </w:r>
      <w:r w:rsidR="00093697">
        <w:t xml:space="preserve">as part of Title 4 </w:t>
      </w:r>
      <w:r>
        <w:t xml:space="preserve">to the Government Code “to consolidate and revise the law relating to the organization, operation, and maintenance of a system of state and local government </w:t>
      </w:r>
      <w:proofErr w:type="gramStart"/>
      <w:r>
        <w:t>. . . .</w:t>
      </w:r>
      <w:proofErr w:type="gramEnd"/>
      <w:r>
        <w:t>”</w:t>
      </w:r>
      <w:r w:rsidR="00EC3AE8">
        <w:t xml:space="preserve"> </w:t>
      </w:r>
      <w:r w:rsidR="000C019A">
        <w:t>In so doing</w:t>
      </w:r>
      <w:r w:rsidR="006A2424">
        <w:t>, SB 750</w:t>
      </w:r>
      <w:r w:rsidR="00CA26F2">
        <w:t xml:space="preserve"> consolidate</w:t>
      </w:r>
      <w:r w:rsidR="004964AE">
        <w:t>d</w:t>
      </w:r>
      <w:r w:rsidR="00CA26F2">
        <w:t xml:space="preserve"> section 867</w:t>
      </w:r>
      <w:r w:rsidR="004964AE">
        <w:t xml:space="preserve"> with </w:t>
      </w:r>
      <w:r w:rsidR="00CA26F2">
        <w:t>section 769 and revised the</w:t>
      </w:r>
      <w:r w:rsidR="00993979">
        <w:t xml:space="preserve"> relevant</w:t>
      </w:r>
      <w:r w:rsidR="00CA26F2">
        <w:t xml:space="preserve"> language to read as follows: “Violation of a city ordinance is a misdemeanor. Such violation may be prosecuted by city authorities in the name of the people of the State of </w:t>
      </w:r>
      <w:proofErr w:type="gramStart"/>
      <w:r w:rsidR="00CA26F2">
        <w:t>California, or</w:t>
      </w:r>
      <w:proofErr w:type="gramEnd"/>
      <w:r w:rsidR="00CA26F2">
        <w:t xml:space="preserve"> may be redressed by civil action.” </w:t>
      </w:r>
      <w:r w:rsidR="009850AA">
        <w:t>In other words</w:t>
      </w:r>
      <w:r w:rsidR="00F51F7B">
        <w:t>,</w:t>
      </w:r>
      <w:r w:rsidR="002F389B">
        <w:t xml:space="preserve"> by way of SB 750,</w:t>
      </w:r>
      <w:r w:rsidR="00CA26F2">
        <w:t xml:space="preserve"> the </w:t>
      </w:r>
      <w:r w:rsidR="009850AA">
        <w:t xml:space="preserve">Legislature (per the Commission’s recommendation) </w:t>
      </w:r>
      <w:r w:rsidR="007970EF">
        <w:t>deleted</w:t>
      </w:r>
      <w:r w:rsidR="00CA26F2">
        <w:t xml:space="preserve"> the phrase “at the option of said authorities” </w:t>
      </w:r>
      <w:r w:rsidR="004964AE">
        <w:t xml:space="preserve">from the clause </w:t>
      </w:r>
      <w:r w:rsidR="00CA26F2">
        <w:t xml:space="preserve">specifying violations of ordinances may be “redressed by civil action.” </w:t>
      </w:r>
    </w:p>
    <w:p w14:paraId="570CF717" w14:textId="51734601" w:rsidR="00427099" w:rsidRDefault="004964AE" w:rsidP="00892EE9">
      <w:pPr>
        <w:ind w:firstLine="0"/>
      </w:pPr>
      <w:r>
        <w:tab/>
      </w:r>
      <w:r w:rsidR="003411C4">
        <w:t>From</w:t>
      </w:r>
      <w:r w:rsidR="00093697">
        <w:t xml:space="preserve"> the time it was drafted</w:t>
      </w:r>
      <w:r w:rsidR="00E412DE">
        <w:t xml:space="preserve"> to its enactment</w:t>
      </w:r>
      <w:r w:rsidR="00E05654">
        <w:t>,</w:t>
      </w:r>
      <w:r w:rsidR="00190B70">
        <w:t xml:space="preserve"> </w:t>
      </w:r>
      <w:r w:rsidR="007F4CE7">
        <w:t>the Commission and other</w:t>
      </w:r>
      <w:r w:rsidR="00E05654">
        <w:t xml:space="preserve"> officials</w:t>
      </w:r>
      <w:r w:rsidR="007F4CE7">
        <w:t xml:space="preserve"> </w:t>
      </w:r>
      <w:r w:rsidR="003411C4">
        <w:t xml:space="preserve">involved in the process </w:t>
      </w:r>
      <w:r w:rsidR="00700A58">
        <w:t>consistently</w:t>
      </w:r>
      <w:r w:rsidR="003411C4">
        <w:t xml:space="preserve">, and repeatedly, </w:t>
      </w:r>
      <w:r w:rsidR="002B63D4">
        <w:t>avowed</w:t>
      </w:r>
      <w:r w:rsidR="00847F45">
        <w:t xml:space="preserve"> SB 750 was not intended to </w:t>
      </w:r>
      <w:r w:rsidR="007F4CE7">
        <w:t xml:space="preserve">make </w:t>
      </w:r>
      <w:r w:rsidR="00847F45">
        <w:t>any substantive changes to existing law.</w:t>
      </w:r>
      <w:r w:rsidR="003411C4">
        <w:t xml:space="preserve"> At the outset, </w:t>
      </w:r>
      <w:r w:rsidR="00190B70">
        <w:t>i</w:t>
      </w:r>
      <w:r w:rsidR="00093697">
        <w:t xml:space="preserve">n </w:t>
      </w:r>
      <w:r w:rsidR="003411C4">
        <w:t>its</w:t>
      </w:r>
      <w:r w:rsidR="00093697">
        <w:t xml:space="preserve"> report </w:t>
      </w:r>
      <w:r w:rsidR="00A82C01">
        <w:t>to the Governor and the Legislature</w:t>
      </w:r>
      <w:r w:rsidR="00016B62">
        <w:t xml:space="preserve"> transmitted on January 1, 1949,</w:t>
      </w:r>
      <w:r w:rsidR="00A82C01">
        <w:t xml:space="preserve"> the Commission </w:t>
      </w:r>
      <w:r w:rsidR="003411C4">
        <w:t xml:space="preserve">noted </w:t>
      </w:r>
      <w:r w:rsidR="007E6A37">
        <w:t>it prepared Title 4 of the Government Code for enactment in 1949 to “</w:t>
      </w:r>
      <w:proofErr w:type="spellStart"/>
      <w:r w:rsidR="007E6A37">
        <w:t>codif</w:t>
      </w:r>
      <w:proofErr w:type="spellEnd"/>
      <w:r w:rsidR="007E6A37">
        <w:t xml:space="preserve">[y] the laws relating to municipal corporations,” </w:t>
      </w:r>
      <w:r w:rsidR="003411C4">
        <w:t xml:space="preserve">and that </w:t>
      </w:r>
      <w:r w:rsidR="007E6A37">
        <w:t xml:space="preserve">it has suggested substantive changes to existing law </w:t>
      </w:r>
      <w:r w:rsidR="003411C4">
        <w:t xml:space="preserve">more than once </w:t>
      </w:r>
      <w:r w:rsidR="007E6A37">
        <w:t>in the past.</w:t>
      </w:r>
      <w:r w:rsidR="00016B62">
        <w:t xml:space="preserve"> </w:t>
      </w:r>
      <w:r w:rsidR="003411C4">
        <w:t xml:space="preserve">For </w:t>
      </w:r>
      <w:r w:rsidR="007E6A37">
        <w:t xml:space="preserve">the 1949 legislative session, </w:t>
      </w:r>
      <w:r w:rsidR="003411C4">
        <w:t xml:space="preserve">however, the Commission </w:t>
      </w:r>
      <w:r w:rsidR="007E6A37">
        <w:t xml:space="preserve">stated: </w:t>
      </w:r>
      <w:r w:rsidR="00016B62">
        <w:lastRenderedPageBreak/>
        <w:t>“</w:t>
      </w:r>
      <w:r w:rsidR="00993979">
        <w:rPr>
          <w:i/>
        </w:rPr>
        <w:t>[N]</w:t>
      </w:r>
      <w:r w:rsidR="007E6A37" w:rsidRPr="007E6A37">
        <w:rPr>
          <w:i/>
        </w:rPr>
        <w:t>o</w:t>
      </w:r>
      <w:r w:rsidR="00016B62" w:rsidRPr="003743A7">
        <w:rPr>
          <w:i/>
        </w:rPr>
        <w:t xml:space="preserve"> comprehensive substantive revision has been attempted</w:t>
      </w:r>
      <w:r w:rsidR="00016B62">
        <w:t xml:space="preserve">, due to the priority which the </w:t>
      </w:r>
      <w:r w:rsidR="00F51F7B">
        <w:t>com</w:t>
      </w:r>
      <w:r w:rsidR="00016B62">
        <w:t xml:space="preserve">mission has given to the codification program. The </w:t>
      </w:r>
      <w:r w:rsidR="00F51F7B">
        <w:t>c</w:t>
      </w:r>
      <w:r w:rsidR="00016B62">
        <w:t>o</w:t>
      </w:r>
      <w:r w:rsidR="00993979">
        <w:t>m</w:t>
      </w:r>
      <w:r w:rsidR="00016B62">
        <w:t xml:space="preserve">mission believes that </w:t>
      </w:r>
      <w:r w:rsidR="00016B62" w:rsidRPr="003743A7">
        <w:rPr>
          <w:i/>
        </w:rPr>
        <w:t xml:space="preserve">a restatement of existing law in clearer form </w:t>
      </w:r>
      <w:r w:rsidR="00016B62">
        <w:t xml:space="preserve">will serve to call attention to many inequities and irregularities of a substantive nature, and result in their correction by other interested parties.” </w:t>
      </w:r>
      <w:r w:rsidR="003743A7">
        <w:t xml:space="preserve">(Italics added.) </w:t>
      </w:r>
    </w:p>
    <w:p w14:paraId="36718199" w14:textId="239EE258" w:rsidR="00EA347E" w:rsidRDefault="006B48D8" w:rsidP="00892EE9">
      <w:pPr>
        <w:ind w:firstLine="0"/>
      </w:pPr>
      <w:r>
        <w:tab/>
      </w:r>
      <w:r w:rsidR="00EA347E">
        <w:t>Similarly</w:t>
      </w:r>
      <w:r w:rsidR="004C28EA">
        <w:t>, i</w:t>
      </w:r>
      <w:r w:rsidR="00DD5DDC">
        <w:t xml:space="preserve">n a report dated April 14, 1949, the Office of the Legislative Counsel noted </w:t>
      </w:r>
      <w:r w:rsidR="00CA76B9">
        <w:t>SB 750</w:t>
      </w:r>
      <w:r w:rsidR="00DD5DDC">
        <w:t xml:space="preserve"> “[a]</w:t>
      </w:r>
      <w:proofErr w:type="spellStart"/>
      <w:r w:rsidR="00DD5DDC">
        <w:t>dds</w:t>
      </w:r>
      <w:proofErr w:type="spellEnd"/>
      <w:r w:rsidR="00DD5DDC">
        <w:t xml:space="preserve"> Title 4 and Sections 500041 to 500045, inclusive, to the Government Code, relating to the organization, operation, and maintenance of a system of city government.”</w:t>
      </w:r>
      <w:r w:rsidR="003A7AEF">
        <w:t xml:space="preserve"> </w:t>
      </w:r>
      <w:r w:rsidR="00CA76B9">
        <w:t>F</w:t>
      </w:r>
      <w:r w:rsidR="00D660E4">
        <w:t xml:space="preserve">ollowing its approval of </w:t>
      </w:r>
      <w:r w:rsidR="00F646A3">
        <w:t>the bill’s</w:t>
      </w:r>
      <w:r w:rsidR="00D660E4">
        <w:t xml:space="preserve"> form, title, and constitutionality, </w:t>
      </w:r>
      <w:r w:rsidR="00700A58">
        <w:t>the report</w:t>
      </w:r>
      <w:r w:rsidR="00D660E4">
        <w:t xml:space="preserve"> analyzed </w:t>
      </w:r>
      <w:r w:rsidR="00F646A3">
        <w:t>SB 750</w:t>
      </w:r>
      <w:r w:rsidR="00D660E4">
        <w:t xml:space="preserve"> as follows: </w:t>
      </w:r>
      <w:r w:rsidR="00DD5DDC">
        <w:t>“This bill, prepared by the California Code Commission, assembles, codifies, and consolidates the law relating to cit</w:t>
      </w:r>
      <w:r w:rsidR="00F51F7B">
        <w:t>i</w:t>
      </w:r>
      <w:r w:rsidR="00DD5DDC">
        <w:t xml:space="preserve">es and, if approved, will constitute Title 4 of the Government Code. [¶] </w:t>
      </w:r>
      <w:r w:rsidR="00DD5DDC">
        <w:rPr>
          <w:i/>
        </w:rPr>
        <w:t xml:space="preserve">It makes no substantive changes in existing </w:t>
      </w:r>
      <w:proofErr w:type="gramStart"/>
      <w:r w:rsidR="00DD5DDC">
        <w:rPr>
          <w:i/>
        </w:rPr>
        <w:t>law, but</w:t>
      </w:r>
      <w:proofErr w:type="gramEnd"/>
      <w:r w:rsidR="00DD5DDC">
        <w:rPr>
          <w:i/>
        </w:rPr>
        <w:t xml:space="preserve"> rearranges and restates in simplified language the substance of existing laws,</w:t>
      </w:r>
      <w:r w:rsidR="00DD5DDC">
        <w:t xml:space="preserve"> and repeals obsolete and superseded statutes.” </w:t>
      </w:r>
      <w:r w:rsidR="00EA347E">
        <w:t xml:space="preserve">(Italics added.) </w:t>
      </w:r>
    </w:p>
    <w:p w14:paraId="0AE72024" w14:textId="215E010B" w:rsidR="00D660E4" w:rsidRDefault="00D660E4" w:rsidP="00700A58">
      <w:r>
        <w:t>Consistent</w:t>
      </w:r>
      <w:r w:rsidR="00AA14B1">
        <w:t xml:space="preserve"> with</w:t>
      </w:r>
      <w:r>
        <w:t xml:space="preserve"> the</w:t>
      </w:r>
      <w:r w:rsidR="002B63D4">
        <w:t>se</w:t>
      </w:r>
      <w:r>
        <w:t xml:space="preserve"> reports</w:t>
      </w:r>
      <w:r w:rsidR="004C28EA">
        <w:t xml:space="preserve">, </w:t>
      </w:r>
      <w:r w:rsidR="00F51F7B">
        <w:t>the Attorney General stated</w:t>
      </w:r>
      <w:r w:rsidR="00EA0818">
        <w:t xml:space="preserve"> </w:t>
      </w:r>
      <w:r w:rsidR="00AA14B1">
        <w:t xml:space="preserve">in a memorandum to the Governor dated April 14, 1949: </w:t>
      </w:r>
      <w:r w:rsidR="00EA347E">
        <w:t xml:space="preserve">“Senate Bill No. </w:t>
      </w:r>
      <w:r>
        <w:t xml:space="preserve">750 adds Title 4 to the Government Code, codifying the law relating to the government of cities. We have not compared each provision of Senate Bill No. 750 with the repealed acts specified therein in detail, </w:t>
      </w:r>
      <w:r w:rsidRPr="00CA76B9">
        <w:rPr>
          <w:i/>
        </w:rPr>
        <w:t>but</w:t>
      </w:r>
      <w:r>
        <w:t xml:space="preserve"> </w:t>
      </w:r>
      <w:r>
        <w:rPr>
          <w:i/>
        </w:rPr>
        <w:t xml:space="preserve">a careful sampling indicates that there are no substantive changes in the </w:t>
      </w:r>
      <w:r w:rsidR="00F51F7B">
        <w:rPr>
          <w:i/>
        </w:rPr>
        <w:t>l</w:t>
      </w:r>
      <w:r>
        <w:rPr>
          <w:i/>
        </w:rPr>
        <w:t xml:space="preserve">aw. Senate </w:t>
      </w:r>
      <w:r w:rsidR="00F51F7B">
        <w:rPr>
          <w:i/>
        </w:rPr>
        <w:t>B</w:t>
      </w:r>
      <w:r>
        <w:rPr>
          <w:i/>
        </w:rPr>
        <w:t>ill No. 750 was prepared by the California Code Commission, which has informed us that to the best of their knowledge no substantive changes were made</w:t>
      </w:r>
      <w:r>
        <w:t xml:space="preserve">.” (Italics added.) </w:t>
      </w:r>
    </w:p>
    <w:p w14:paraId="23AE8BA8" w14:textId="0471787C" w:rsidR="00CE618F" w:rsidRPr="00700A58" w:rsidRDefault="00CA76B9" w:rsidP="00EE7BD0">
      <w:r>
        <w:t>I</w:t>
      </w:r>
      <w:r w:rsidR="00AA14B1">
        <w:t>n a letter to the Governor dated April 18, 1949, the</w:t>
      </w:r>
      <w:r w:rsidR="00700A58">
        <w:t xml:space="preserve"> Secretary of the Commission </w:t>
      </w:r>
      <w:r w:rsidR="00AA14B1">
        <w:t xml:space="preserve">addressed </w:t>
      </w:r>
      <w:r>
        <w:t>the</w:t>
      </w:r>
      <w:r w:rsidR="00AA14B1">
        <w:t xml:space="preserve"> </w:t>
      </w:r>
      <w:r w:rsidR="00700A58">
        <w:t xml:space="preserve">proposed revisions to </w:t>
      </w:r>
      <w:r w:rsidR="00700A58">
        <w:lastRenderedPageBreak/>
        <w:t xml:space="preserve">the Government Code. With respect to SB 750, the Secretary stated: “Senate Bill 750 is a codification and consolidation of the laws relating to the government of cities, placing the various provisions of law relating to these matters in Title 4 of the Government Code.” </w:t>
      </w:r>
      <w:r>
        <w:t>Then, a</w:t>
      </w:r>
      <w:r w:rsidR="00700A58">
        <w:t xml:space="preserve">fter briefly describing the other bills </w:t>
      </w:r>
      <w:r w:rsidR="001E00D5">
        <w:t xml:space="preserve">before the Governor, </w:t>
      </w:r>
      <w:r w:rsidR="00700A58">
        <w:t>the Secretary stated: “It is the belief of the California Code Commission that these codifications will render numerous acts more readily accessible than they now are in the various scattered acts. While Titles 4 and 5</w:t>
      </w:r>
      <w:r w:rsidR="001D1F87">
        <w:t xml:space="preserve"> </w:t>
      </w:r>
      <w:r w:rsidR="00700A58">
        <w:t xml:space="preserve">are </w:t>
      </w:r>
      <w:r w:rsidR="00700A58">
        <w:rPr>
          <w:i/>
        </w:rPr>
        <w:t xml:space="preserve">mainly restatements of the laws </w:t>
      </w:r>
      <w:r w:rsidR="00700A58" w:rsidRPr="00700A58">
        <w:rPr>
          <w:i/>
        </w:rPr>
        <w:t>relating to cities and local agencies</w:t>
      </w:r>
      <w:r w:rsidR="00700A58">
        <w:t xml:space="preserve">, many obsolete and superseded acts are repealed. </w:t>
      </w:r>
      <w:r w:rsidR="00700A58">
        <w:rPr>
          <w:i/>
        </w:rPr>
        <w:t>No substantive change in the existing law is made in any of these bills.</w:t>
      </w:r>
      <w:r w:rsidR="00700A58">
        <w:t xml:space="preserve">” (Italics added.) </w:t>
      </w:r>
    </w:p>
    <w:p w14:paraId="22C6AB7C" w14:textId="640B6FCA" w:rsidR="00EE7BD0" w:rsidRDefault="002759D2" w:rsidP="002759D2">
      <w:r>
        <w:t xml:space="preserve">Subsequently, </w:t>
      </w:r>
      <w:r w:rsidR="001E00D5">
        <w:t xml:space="preserve">in </w:t>
      </w:r>
      <w:r w:rsidR="00F51F7B">
        <w:t xml:space="preserve">a </w:t>
      </w:r>
      <w:r w:rsidR="00EE7BD0">
        <w:t>legislative memorandum</w:t>
      </w:r>
      <w:r w:rsidR="0082651F">
        <w:t xml:space="preserve"> dated April 22, 1949</w:t>
      </w:r>
      <w:r w:rsidR="008456F1">
        <w:t>,</w:t>
      </w:r>
      <w:r w:rsidR="0082651F">
        <w:t xml:space="preserve"> </w:t>
      </w:r>
      <w:r w:rsidR="001E00D5">
        <w:t xml:space="preserve">Legislative Secretary Beach Vasey </w:t>
      </w:r>
      <w:r w:rsidR="00EE7BD0">
        <w:t xml:space="preserve">described SB 750 </w:t>
      </w:r>
      <w:r w:rsidR="001E00D5">
        <w:t xml:space="preserve">to the Governor </w:t>
      </w:r>
      <w:r w:rsidR="00EE7BD0">
        <w:t xml:space="preserve">as follows: “Adds new title to the Government Code relating to the organization, operation, and maintenance of city governments. Codification bill prepared by the California Code Commission and </w:t>
      </w:r>
      <w:r w:rsidR="00EE7BD0">
        <w:rPr>
          <w:i/>
        </w:rPr>
        <w:t>making no substantive changes in existing law.</w:t>
      </w:r>
      <w:r w:rsidR="00EE7BD0">
        <w:t xml:space="preserve">” (Italics added.) </w:t>
      </w:r>
      <w:r>
        <w:t>A</w:t>
      </w:r>
      <w:r w:rsidR="00EE7BD0">
        <w:t>fter briefly summarizing the reports by the Office of the Legislative</w:t>
      </w:r>
      <w:r w:rsidR="001E00D5">
        <w:t xml:space="preserve"> Counsel</w:t>
      </w:r>
      <w:r w:rsidR="00EE7BD0">
        <w:t xml:space="preserve"> and Attorney General</w:t>
      </w:r>
      <w:r w:rsidR="001E00D5">
        <w:t xml:space="preserve"> discussed</w:t>
      </w:r>
      <w:r w:rsidR="00EE7BD0">
        <w:t xml:space="preserve"> above, </w:t>
      </w:r>
      <w:r w:rsidR="001E00D5">
        <w:t>the memorandum</w:t>
      </w:r>
      <w:r w:rsidR="00EE7BD0">
        <w:t xml:space="preserve"> recommended SB 750</w:t>
      </w:r>
      <w:r w:rsidR="001E00D5">
        <w:t>’s approval</w:t>
      </w:r>
      <w:r w:rsidR="00EE7BD0">
        <w:t xml:space="preserve"> “as a further step in the long process of codification of State statutes, </w:t>
      </w:r>
      <w:r w:rsidR="00EE7BD0">
        <w:rPr>
          <w:i/>
        </w:rPr>
        <w:t>making no substantive changes in existing law.</w:t>
      </w:r>
      <w:r w:rsidR="00EE7BD0">
        <w:t xml:space="preserve">” (Italics added.) </w:t>
      </w:r>
    </w:p>
    <w:p w14:paraId="1A65A55E" w14:textId="25CC9211" w:rsidR="00807495" w:rsidRDefault="005D3ACD" w:rsidP="00727911">
      <w:pPr>
        <w:ind w:firstLine="0"/>
      </w:pPr>
      <w:r>
        <w:tab/>
      </w:r>
      <w:r w:rsidR="002759D2">
        <w:t>Finally, a</w:t>
      </w:r>
      <w:r w:rsidR="001673F9">
        <w:t xml:space="preserve">fter SB 750 was enacted, the Legislature confirmed the bill did not make any substantive changes to </w:t>
      </w:r>
      <w:r w:rsidR="0082651F">
        <w:t xml:space="preserve">existing </w:t>
      </w:r>
      <w:r w:rsidR="001673F9">
        <w:t xml:space="preserve">law. </w:t>
      </w:r>
      <w:r w:rsidR="00310394">
        <w:t>The Legislative Counsel’s</w:t>
      </w:r>
      <w:r w:rsidR="001673F9">
        <w:t xml:space="preserve"> Digest of Statutes Enacted in the 1949 Regular Sessio</w:t>
      </w:r>
      <w:r w:rsidR="0082651F">
        <w:t>n</w:t>
      </w:r>
      <w:r w:rsidR="001673F9">
        <w:t xml:space="preserve"> described SB 750 as follows: </w:t>
      </w:r>
      <w:r w:rsidR="007D7D23">
        <w:t xml:space="preserve">“Assembles, codifies, and consolidates law relating to city government </w:t>
      </w:r>
      <w:r w:rsidR="007D7D23">
        <w:rPr>
          <w:i/>
        </w:rPr>
        <w:t xml:space="preserve">without change in legal </w:t>
      </w:r>
      <w:r w:rsidR="0091363D">
        <w:rPr>
          <w:i/>
        </w:rPr>
        <w:t>e</w:t>
      </w:r>
      <w:r w:rsidR="007D7D23">
        <w:rPr>
          <w:i/>
        </w:rPr>
        <w:t>ffect</w:t>
      </w:r>
      <w:r w:rsidR="007D7D23" w:rsidRPr="0091363D">
        <w:t xml:space="preserve">.” </w:t>
      </w:r>
      <w:r w:rsidR="007D7D23">
        <w:t xml:space="preserve">(Italics added.) </w:t>
      </w:r>
      <w:r w:rsidR="006F61DA">
        <w:t>T</w:t>
      </w:r>
      <w:r w:rsidR="00A745CE">
        <w:t>hat</w:t>
      </w:r>
      <w:r w:rsidR="00ED3331">
        <w:t xml:space="preserve"> </w:t>
      </w:r>
      <w:r w:rsidR="00A745CE">
        <w:t>the</w:t>
      </w:r>
      <w:r w:rsidR="00931200">
        <w:t xml:space="preserve"> Summary Digest</w:t>
      </w:r>
      <w:r w:rsidR="00A745CE">
        <w:t xml:space="preserve"> does not state or otherwise suggest the </w:t>
      </w:r>
      <w:r w:rsidR="00931200">
        <w:lastRenderedPageBreak/>
        <w:t>statutes</w:t>
      </w:r>
      <w:r w:rsidR="00A745CE">
        <w:t xml:space="preserve"> enacted by SB 750</w:t>
      </w:r>
      <w:r w:rsidR="00931200">
        <w:t>, including section 36900, created a private right of action “is a strong indication the Legislature never intended to create such a right of action.” (</w:t>
      </w:r>
      <w:r w:rsidR="00931200">
        <w:rPr>
          <w:i/>
        </w:rPr>
        <w:t>Moradi-Shalal</w:t>
      </w:r>
      <w:r w:rsidR="00931200">
        <w:t xml:space="preserve">, </w:t>
      </w:r>
      <w:r w:rsidR="00931200">
        <w:rPr>
          <w:i/>
        </w:rPr>
        <w:t>supra</w:t>
      </w:r>
      <w:r w:rsidR="00931200">
        <w:t xml:space="preserve">, 46 Cal.3d at p. 300.) </w:t>
      </w:r>
      <w:r w:rsidR="00C66130">
        <w:t xml:space="preserve"> </w:t>
      </w:r>
    </w:p>
    <w:p w14:paraId="35758438" w14:textId="5C1B1C28" w:rsidR="00A745CE" w:rsidRPr="007D7D23" w:rsidRDefault="00A745CE" w:rsidP="00727911">
      <w:pPr>
        <w:ind w:firstLine="0"/>
      </w:pPr>
      <w:r>
        <w:tab/>
      </w:r>
      <w:r w:rsidR="00B02781">
        <w:t xml:space="preserve">The City Amici observe—and the </w:t>
      </w:r>
      <w:proofErr w:type="spellStart"/>
      <w:r w:rsidR="00B02781">
        <w:t>Schwartzes</w:t>
      </w:r>
      <w:proofErr w:type="spellEnd"/>
      <w:r w:rsidR="00B02781">
        <w:t xml:space="preserve"> do not </w:t>
      </w:r>
      <w:r w:rsidR="00E663EC">
        <w:t xml:space="preserve">appear to </w:t>
      </w:r>
      <w:r w:rsidR="00B02781">
        <w:t>dispute—</w:t>
      </w:r>
      <w:r w:rsidR="008F67B0">
        <w:t xml:space="preserve">the </w:t>
      </w:r>
      <w:r w:rsidR="008A6020">
        <w:t>widespread invocation</w:t>
      </w:r>
      <w:r w:rsidR="008F67B0">
        <w:t xml:space="preserve"> </w:t>
      </w:r>
      <w:r w:rsidR="00B02781">
        <w:t>of a private right of action under section 36900</w:t>
      </w:r>
      <w:r w:rsidR="00C161D2">
        <w:t>, subdivision (a)</w:t>
      </w:r>
      <w:r w:rsidR="008F67B0">
        <w:t xml:space="preserve"> </w:t>
      </w:r>
      <w:r w:rsidR="008A6020">
        <w:t>c</w:t>
      </w:r>
      <w:r w:rsidR="00B02781">
        <w:t>ould</w:t>
      </w:r>
      <w:r w:rsidR="008F67B0">
        <w:t xml:space="preserve"> profound</w:t>
      </w:r>
      <w:r w:rsidR="00E40466">
        <w:t>ly affect</w:t>
      </w:r>
      <w:r w:rsidR="008F67B0">
        <w:t xml:space="preserve"> cities in</w:t>
      </w:r>
      <w:r w:rsidR="00B02781">
        <w:t xml:space="preserve"> this state. The</w:t>
      </w:r>
      <w:r w:rsidR="006F61DA">
        <w:t xml:space="preserve"> Amici </w:t>
      </w:r>
      <w:proofErr w:type="gramStart"/>
      <w:r w:rsidR="00B02781">
        <w:t>explain</w:t>
      </w:r>
      <w:proofErr w:type="gramEnd"/>
      <w:r w:rsidR="00F60A77">
        <w:t>:</w:t>
      </w:r>
      <w:r w:rsidR="00B02781">
        <w:t xml:space="preserve"> “</w:t>
      </w:r>
      <w:r w:rsidR="00F60A77">
        <w:t>[C]</w:t>
      </w:r>
      <w:proofErr w:type="spellStart"/>
      <w:r w:rsidR="00B02781">
        <w:t>ities</w:t>
      </w:r>
      <w:proofErr w:type="spellEnd"/>
      <w:r w:rsidR="00B02781">
        <w:t xml:space="preserve"> would lose their ability to monitor and influence courts’ interpretation of their ordinances once enacted. Self-interested</w:t>
      </w:r>
      <w:r w:rsidR="00861374">
        <w:t xml:space="preserve"> private</w:t>
      </w:r>
      <w:r w:rsidR="00B02781">
        <w:t xml:space="preserve"> parties could seek to enforce ordinances in whatever fashion suited [to] their purposes in that litigation. Outside a city’s knowledge or participation, unskilled or underrepresented defendants lacking legislative history or context could default or even lose cases (including facial challenges to ordinances), thus potentially creating legal precedent binding on the city in all cases involving that local law. Courts </w:t>
      </w:r>
      <w:r w:rsidR="008F67B0">
        <w:t xml:space="preserve">could rule on arguments about ordinances without input from the city that enacted them. This result would also eliminate prosecutorial discretion, as any private party could choose to proceed with the civil enforcement of any ordinance.” </w:t>
      </w:r>
    </w:p>
    <w:p w14:paraId="2E07344C" w14:textId="171424E4" w:rsidR="00F44CA6" w:rsidRDefault="0066568F" w:rsidP="002B23B8">
      <w:pPr>
        <w:spacing w:after="160"/>
      </w:pPr>
      <w:r>
        <w:t xml:space="preserve">In sum, </w:t>
      </w:r>
      <w:r w:rsidR="005A773E">
        <w:t>t</w:t>
      </w:r>
      <w:r w:rsidR="001673F9">
        <w:t>he</w:t>
      </w:r>
      <w:r w:rsidR="00E0495B">
        <w:t xml:space="preserve"> </w:t>
      </w:r>
      <w:r w:rsidR="006E2C2D">
        <w:t xml:space="preserve">relevant </w:t>
      </w:r>
      <w:r w:rsidR="00E0495B">
        <w:t>legislative history</w:t>
      </w:r>
      <w:r w:rsidR="00F12F3A">
        <w:t xml:space="preserve"> </w:t>
      </w:r>
      <w:r w:rsidR="00E0495B">
        <w:t xml:space="preserve">shows </w:t>
      </w:r>
      <w:r w:rsidR="005D3ACD">
        <w:t>section 36900, subdivision (a)</w:t>
      </w:r>
      <w:r w:rsidR="00E0495B">
        <w:t>’s</w:t>
      </w:r>
      <w:r w:rsidR="005D3ACD">
        <w:t xml:space="preserve"> predecessor statutes </w:t>
      </w:r>
      <w:r w:rsidR="005A773E">
        <w:t xml:space="preserve">afforded </w:t>
      </w:r>
      <w:r w:rsidR="008A6020">
        <w:t xml:space="preserve">only </w:t>
      </w:r>
      <w:r w:rsidR="005D3ACD">
        <w:t>city authorities</w:t>
      </w:r>
      <w:r w:rsidR="005A773E">
        <w:t xml:space="preserve"> the right</w:t>
      </w:r>
      <w:r w:rsidR="00E0495B">
        <w:t xml:space="preserve"> </w:t>
      </w:r>
      <w:r w:rsidR="005D3ACD">
        <w:t>to redress violations of</w:t>
      </w:r>
      <w:r w:rsidR="006E2C2D">
        <w:t xml:space="preserve"> </w:t>
      </w:r>
      <w:r w:rsidR="005D3ACD">
        <w:t>ordinances</w:t>
      </w:r>
      <w:r w:rsidR="005A773E">
        <w:t xml:space="preserve"> by way of civil action</w:t>
      </w:r>
      <w:r w:rsidR="005D3ACD">
        <w:t xml:space="preserve">. </w:t>
      </w:r>
      <w:r w:rsidR="00F51F7B">
        <w:t xml:space="preserve">Through </w:t>
      </w:r>
      <w:r w:rsidR="00E0495B">
        <w:t xml:space="preserve">SB 750, the Legislature </w:t>
      </w:r>
      <w:r w:rsidR="00552FDB">
        <w:t xml:space="preserve">consolidated those statutes and </w:t>
      </w:r>
      <w:r w:rsidR="00F51F7B">
        <w:t>revised</w:t>
      </w:r>
      <w:r w:rsidR="00552FDB">
        <w:t xml:space="preserve"> the</w:t>
      </w:r>
      <w:r w:rsidR="00F51F7B">
        <w:t>ir</w:t>
      </w:r>
      <w:r w:rsidR="00552FDB">
        <w:t xml:space="preserve"> language. In so doing, </w:t>
      </w:r>
      <w:r w:rsidR="006E2C2D">
        <w:t xml:space="preserve">it </w:t>
      </w:r>
      <w:r w:rsidR="00552FDB">
        <w:t>removed the phrase</w:t>
      </w:r>
      <w:r>
        <w:t xml:space="preserve"> specifying </w:t>
      </w:r>
      <w:r w:rsidR="00552FDB">
        <w:t>violations of</w:t>
      </w:r>
      <w:r w:rsidR="00F51F7B">
        <w:t xml:space="preserve"> </w:t>
      </w:r>
      <w:r w:rsidR="00552FDB">
        <w:t xml:space="preserve">ordinances could be redressed by civil action </w:t>
      </w:r>
      <w:r w:rsidR="00F51F7B">
        <w:t>“</w:t>
      </w:r>
      <w:r w:rsidR="00552FDB">
        <w:t xml:space="preserve">at the option of [city] authorities.” </w:t>
      </w:r>
      <w:r w:rsidR="00F51F7B">
        <w:t>By making these</w:t>
      </w:r>
      <w:r w:rsidR="00E0495B">
        <w:t xml:space="preserve"> revisions,</w:t>
      </w:r>
      <w:r w:rsidR="001673F9">
        <w:t xml:space="preserve"> however,</w:t>
      </w:r>
      <w:r w:rsidR="00E0495B">
        <w:t xml:space="preserve"> the Legislature</w:t>
      </w:r>
      <w:r w:rsidR="001673F9">
        <w:t xml:space="preserve"> only sought to </w:t>
      </w:r>
      <w:r w:rsidR="005A773E">
        <w:t>consolidate</w:t>
      </w:r>
      <w:r w:rsidR="006E2C2D">
        <w:t xml:space="preserve">, </w:t>
      </w:r>
      <w:r w:rsidR="005A773E">
        <w:t>codify</w:t>
      </w:r>
      <w:r w:rsidR="006E2C2D">
        <w:t>, and restate</w:t>
      </w:r>
      <w:r w:rsidR="001673F9">
        <w:t xml:space="preserve"> existing law</w:t>
      </w:r>
      <w:r w:rsidR="006E2C2D">
        <w:t>. It</w:t>
      </w:r>
      <w:r w:rsidR="00E0495B">
        <w:t xml:space="preserve"> </w:t>
      </w:r>
      <w:r w:rsidR="00CB6805">
        <w:t xml:space="preserve">did not intend to </w:t>
      </w:r>
      <w:r w:rsidR="00C44A9B">
        <w:t>make any substantive changes</w:t>
      </w:r>
      <w:r w:rsidR="005A773E">
        <w:t xml:space="preserve"> </w:t>
      </w:r>
      <w:r w:rsidR="00ED6B82">
        <w:t xml:space="preserve">to </w:t>
      </w:r>
      <w:r w:rsidR="005A773E">
        <w:t>law</w:t>
      </w:r>
      <w:r w:rsidR="00F51F7B">
        <w:t>s</w:t>
      </w:r>
      <w:r w:rsidR="005A773E">
        <w:t xml:space="preserve"> </w:t>
      </w:r>
      <w:r>
        <w:t xml:space="preserve">then </w:t>
      </w:r>
      <w:r w:rsidR="005A773E">
        <w:t>in effect</w:t>
      </w:r>
      <w:r w:rsidR="00F12F3A">
        <w:t>.</w:t>
      </w:r>
      <w:r w:rsidR="006E2C2D">
        <w:t xml:space="preserve"> </w:t>
      </w:r>
      <w:r w:rsidR="008C49A6">
        <w:t xml:space="preserve">For </w:t>
      </w:r>
      <w:r w:rsidR="006E2C2D">
        <w:t>these</w:t>
      </w:r>
      <w:r w:rsidR="00CB6805">
        <w:t xml:space="preserve"> </w:t>
      </w:r>
      <w:r w:rsidR="008C49A6">
        <w:t>reasons</w:t>
      </w:r>
      <w:r w:rsidR="006E2C2D">
        <w:t xml:space="preserve">, </w:t>
      </w:r>
      <w:r w:rsidR="00B41B98">
        <w:t xml:space="preserve">we </w:t>
      </w:r>
      <w:r w:rsidR="00B41B98">
        <w:lastRenderedPageBreak/>
        <w:t>reject the contention that</w:t>
      </w:r>
      <w:r w:rsidR="005314BD">
        <w:t>, by</w:t>
      </w:r>
      <w:r w:rsidR="00E0495B">
        <w:t xml:space="preserve"> enacting section 36900, subdivision (a), the Legislature </w:t>
      </w:r>
      <w:r w:rsidR="005A773E">
        <w:t>intend</w:t>
      </w:r>
      <w:r w:rsidR="005314BD">
        <w:t>ed</w:t>
      </w:r>
      <w:r w:rsidR="005A773E">
        <w:t xml:space="preserve"> to </w:t>
      </w:r>
      <w:r w:rsidR="00B41B98">
        <w:t>recognize</w:t>
      </w:r>
      <w:r w:rsidR="005A773E">
        <w:t xml:space="preserve"> a private right of action as a new, alternative means of enforcing city ordinances.</w:t>
      </w:r>
      <w:r w:rsidR="00552FDB">
        <w:t xml:space="preserve"> </w:t>
      </w:r>
      <w:r w:rsidR="00E0495B">
        <w:t>Instead,</w:t>
      </w:r>
      <w:r w:rsidR="00F51F7B">
        <w:t xml:space="preserve"> </w:t>
      </w:r>
      <w:r w:rsidR="005314BD">
        <w:t xml:space="preserve">we </w:t>
      </w:r>
      <w:r w:rsidR="00B41B98">
        <w:t xml:space="preserve">conclude </w:t>
      </w:r>
      <w:r w:rsidR="005314BD">
        <w:t>the Legislature</w:t>
      </w:r>
      <w:r w:rsidR="00E0495B">
        <w:t xml:space="preserve"> remov</w:t>
      </w:r>
      <w:r w:rsidR="005314BD">
        <w:t>ed</w:t>
      </w:r>
      <w:r w:rsidR="00E0495B">
        <w:t xml:space="preserve"> </w:t>
      </w:r>
      <w:r w:rsidR="00F12F3A">
        <w:t>the phrase “at the option of said authorities” from the clause stating violations of</w:t>
      </w:r>
      <w:r>
        <w:t xml:space="preserve"> </w:t>
      </w:r>
      <w:r w:rsidR="00F12F3A">
        <w:t xml:space="preserve">ordinances may be “redressed by civil action” to </w:t>
      </w:r>
      <w:r w:rsidR="00F51F7B">
        <w:t xml:space="preserve">simplify the statutory language and </w:t>
      </w:r>
      <w:r w:rsidR="00F12F3A">
        <w:t xml:space="preserve">avoid </w:t>
      </w:r>
      <w:r>
        <w:t xml:space="preserve">unnecessary repetition. (See </w:t>
      </w:r>
      <w:proofErr w:type="spellStart"/>
      <w:r>
        <w:rPr>
          <w:i/>
        </w:rPr>
        <w:t>Coso</w:t>
      </w:r>
      <w:proofErr w:type="spellEnd"/>
      <w:r>
        <w:t xml:space="preserve">, </w:t>
      </w:r>
      <w:r>
        <w:rPr>
          <w:i/>
        </w:rPr>
        <w:t>supra</w:t>
      </w:r>
      <w:r>
        <w:t xml:space="preserve">, 122 Cal.App.4th at p. 1525.) </w:t>
      </w:r>
      <w:r w:rsidR="006F61DA">
        <w:t>It intended no change in meaning.</w:t>
      </w:r>
    </w:p>
    <w:p w14:paraId="472B6502" w14:textId="79550015" w:rsidR="00FB673F" w:rsidRDefault="00FB673F" w:rsidP="00FB673F">
      <w:pPr>
        <w:ind w:left="2160" w:hanging="720"/>
        <w:rPr>
          <w:b/>
        </w:rPr>
      </w:pPr>
      <w:r>
        <w:rPr>
          <w:b/>
        </w:rPr>
        <w:t xml:space="preserve">3. </w:t>
      </w:r>
      <w:r>
        <w:rPr>
          <w:b/>
        </w:rPr>
        <w:tab/>
        <w:t xml:space="preserve">Public Policy </w:t>
      </w:r>
    </w:p>
    <w:p w14:paraId="442E2163" w14:textId="12A88189" w:rsidR="00FB673F" w:rsidRDefault="001B0363" w:rsidP="00FB673F">
      <w:r>
        <w:t>We acknowledge that, i</w:t>
      </w:r>
      <w:r w:rsidR="0063551A">
        <w:t xml:space="preserve">n </w:t>
      </w:r>
      <w:r w:rsidR="00FB673F">
        <w:t xml:space="preserve">addition to their arguments based on </w:t>
      </w:r>
      <w:r w:rsidR="0063551A">
        <w:t>statutory</w:t>
      </w:r>
      <w:r w:rsidR="00FB673F">
        <w:t xml:space="preserve"> language and legislative history, the </w:t>
      </w:r>
      <w:proofErr w:type="spellStart"/>
      <w:r w:rsidR="00FB673F">
        <w:t>Schwartzes</w:t>
      </w:r>
      <w:proofErr w:type="spellEnd"/>
      <w:r w:rsidR="003F3928">
        <w:t xml:space="preserve"> assert</w:t>
      </w:r>
      <w:r w:rsidR="00FB673F">
        <w:t xml:space="preserve"> their proffered interpretation of section 36900, subdivision (a) should be adopted because it is supported by public policy. </w:t>
      </w:r>
      <w:r w:rsidR="003F3928">
        <w:t>Specifically,</w:t>
      </w:r>
      <w:r w:rsidR="00FB673F">
        <w:t xml:space="preserve"> they </w:t>
      </w:r>
      <w:r w:rsidR="003F3928">
        <w:t xml:space="preserve">contend </w:t>
      </w:r>
      <w:r w:rsidR="00FB673F">
        <w:t xml:space="preserve">private parties should be allowed </w:t>
      </w:r>
      <w:r w:rsidR="00F249CA">
        <w:t>to file suit</w:t>
      </w:r>
      <w:r w:rsidR="00FB673F">
        <w:t xml:space="preserve"> </w:t>
      </w:r>
      <w:r>
        <w:t xml:space="preserve">under </w:t>
      </w:r>
      <w:r w:rsidR="00F249CA">
        <w:t xml:space="preserve">the statute </w:t>
      </w:r>
      <w:r w:rsidR="00FB673F">
        <w:t xml:space="preserve">because city authorities cannot </w:t>
      </w:r>
      <w:r w:rsidR="003F3928">
        <w:t>be relied upon</w:t>
      </w:r>
      <w:r w:rsidR="00FB673F">
        <w:t xml:space="preserve"> to enforce violations of ordinances due to the</w:t>
      </w:r>
      <w:r w:rsidR="00F249CA">
        <w:t>ir</w:t>
      </w:r>
      <w:r w:rsidR="00FB673F">
        <w:t xml:space="preserve"> limited resources</w:t>
      </w:r>
      <w:r w:rsidR="00F249CA">
        <w:t xml:space="preserve"> </w:t>
      </w:r>
      <w:r w:rsidR="00FB673F">
        <w:t>and the potential for abuse of prosecutorial discretion.</w:t>
      </w:r>
      <w:r w:rsidR="00523BB9">
        <w:t xml:space="preserve"> </w:t>
      </w:r>
      <w:r w:rsidR="00FB673F">
        <w:t>The</w:t>
      </w:r>
      <w:r w:rsidR="003F3928">
        <w:t>y also assert that</w:t>
      </w:r>
      <w:r>
        <w:t xml:space="preserve"> allowing citizens </w:t>
      </w:r>
      <w:r w:rsidR="00F249CA">
        <w:t>to file suit</w:t>
      </w:r>
      <w:r w:rsidR="003F3928">
        <w:t xml:space="preserve"> will </w:t>
      </w:r>
      <w:r w:rsidR="00FB673F">
        <w:t>“encourage compliance with the law” and</w:t>
      </w:r>
      <w:r w:rsidR="003F3928">
        <w:t xml:space="preserve"> more efficiently </w:t>
      </w:r>
      <w:r w:rsidR="00F249CA">
        <w:t>re</w:t>
      </w:r>
      <w:r w:rsidR="008C49A6">
        <w:t>dress</w:t>
      </w:r>
      <w:r w:rsidR="003F3928">
        <w:t xml:space="preserve"> violations of ordinances</w:t>
      </w:r>
      <w:r w:rsidR="00F77582">
        <w:t xml:space="preserve"> when they occur</w:t>
      </w:r>
      <w:r w:rsidR="00FB673F">
        <w:t xml:space="preserve">. </w:t>
      </w:r>
    </w:p>
    <w:p w14:paraId="26184918" w14:textId="3E31F468" w:rsidR="000C0582" w:rsidRPr="00FB673F" w:rsidRDefault="00FB673F" w:rsidP="002B23B8">
      <w:pPr>
        <w:spacing w:after="160"/>
        <w:rPr>
          <w:b/>
        </w:rPr>
      </w:pPr>
      <w:r>
        <w:t xml:space="preserve">These arguments are unavailing for two reasons. </w:t>
      </w:r>
      <w:r w:rsidR="00424746">
        <w:t>First</w:t>
      </w:r>
      <w:r>
        <w:t>, the</w:t>
      </w:r>
      <w:r w:rsidR="00424746">
        <w:t>y</w:t>
      </w:r>
      <w:r w:rsidR="005C162F">
        <w:t xml:space="preserve"> have been forfeited because they are</w:t>
      </w:r>
      <w:r w:rsidR="00424746">
        <w:t xml:space="preserve"> </w:t>
      </w:r>
      <w:r>
        <w:t xml:space="preserve">unsupported by </w:t>
      </w:r>
      <w:r w:rsidR="00424746">
        <w:t>citations to evidence or legal authority</w:t>
      </w:r>
      <w:r>
        <w:t>.</w:t>
      </w:r>
      <w:r w:rsidR="00424746">
        <w:t xml:space="preserve"> (</w:t>
      </w:r>
      <w:r w:rsidR="005C162F">
        <w:t xml:space="preserve">See </w:t>
      </w:r>
      <w:r w:rsidR="005C162F">
        <w:rPr>
          <w:i/>
        </w:rPr>
        <w:t xml:space="preserve">L.O. v. </w:t>
      </w:r>
      <w:proofErr w:type="spellStart"/>
      <w:r w:rsidR="005C162F">
        <w:rPr>
          <w:i/>
        </w:rPr>
        <w:t>Kilrain</w:t>
      </w:r>
      <w:proofErr w:type="spellEnd"/>
      <w:r w:rsidR="005C162F">
        <w:rPr>
          <w:i/>
        </w:rPr>
        <w:t xml:space="preserve"> </w:t>
      </w:r>
      <w:r w:rsidR="005C162F">
        <w:t xml:space="preserve">(2023) 96 Cal.App.5th </w:t>
      </w:r>
      <w:r w:rsidR="00467229">
        <w:t>616</w:t>
      </w:r>
      <w:r w:rsidR="005C162F">
        <w:t xml:space="preserve">, </w:t>
      </w:r>
      <w:r w:rsidR="00467229">
        <w:t>629</w:t>
      </w:r>
      <w:r w:rsidR="005C162F">
        <w:t xml:space="preserve">.) </w:t>
      </w:r>
      <w:r w:rsidR="00424746">
        <w:t>Second, and more important</w:t>
      </w:r>
      <w:r w:rsidR="00A15735">
        <w:t xml:space="preserve">, </w:t>
      </w:r>
      <w:r w:rsidR="00F249CA">
        <w:t xml:space="preserve">the </w:t>
      </w:r>
      <w:proofErr w:type="spellStart"/>
      <w:r w:rsidR="00F249CA">
        <w:t>Schwartzes</w:t>
      </w:r>
      <w:proofErr w:type="spellEnd"/>
      <w:r w:rsidR="00A15735">
        <w:t xml:space="preserve"> misunderstand our role </w:t>
      </w:r>
      <w:r w:rsidR="00F249CA">
        <w:t>as a reviewing court</w:t>
      </w:r>
      <w:r w:rsidR="00A15735">
        <w:t xml:space="preserve">. “Our role here is to interpret the statute </w:t>
      </w:r>
      <w:r w:rsidR="00467229">
        <w:t>[</w:t>
      </w:r>
      <w:r w:rsidR="00A15735">
        <w:t>as written], not to establish policy. The latter role is for the Legislature.” (</w:t>
      </w:r>
      <w:proofErr w:type="spellStart"/>
      <w:r w:rsidR="00A15735">
        <w:rPr>
          <w:i/>
        </w:rPr>
        <w:t>Carrisales</w:t>
      </w:r>
      <w:proofErr w:type="spellEnd"/>
      <w:r w:rsidR="00A15735">
        <w:rPr>
          <w:i/>
        </w:rPr>
        <w:t xml:space="preserve"> v. Department of Corrections </w:t>
      </w:r>
      <w:r w:rsidR="00A15735">
        <w:t xml:space="preserve">(1999) 21 Cal.4th 1132, 1140.) Thus, </w:t>
      </w:r>
      <w:r w:rsidR="00424746">
        <w:t>the</w:t>
      </w:r>
      <w:r w:rsidR="00F249CA">
        <w:t>ir</w:t>
      </w:r>
      <w:r w:rsidR="00424746">
        <w:t xml:space="preserve"> policy arguments are</w:t>
      </w:r>
      <w:r w:rsidR="006F61DA">
        <w:t xml:space="preserve"> “</w:t>
      </w:r>
      <w:r w:rsidR="00424746">
        <w:t xml:space="preserve">best directed to the Legislature, </w:t>
      </w:r>
      <w:r w:rsidR="00424746">
        <w:lastRenderedPageBreak/>
        <w:t xml:space="preserve">which can study the various policy and factual questions and decide what rules are best for society.” </w:t>
      </w:r>
      <w:r w:rsidR="00A15735">
        <w:t>(</w:t>
      </w:r>
      <w:r w:rsidR="00A15735">
        <w:rPr>
          <w:i/>
        </w:rPr>
        <w:t>Ibid.</w:t>
      </w:r>
      <w:r w:rsidR="00A15735">
        <w:t xml:space="preserve">) </w:t>
      </w:r>
    </w:p>
    <w:p w14:paraId="18268D41" w14:textId="07ACF4C0" w:rsidR="00017302" w:rsidRDefault="00017302" w:rsidP="00A86462">
      <w:pPr>
        <w:ind w:left="720" w:hanging="720"/>
        <w:rPr>
          <w:b/>
        </w:rPr>
      </w:pPr>
      <w:r>
        <w:rPr>
          <w:b/>
        </w:rPr>
        <w:tab/>
      </w:r>
      <w:r>
        <w:rPr>
          <w:b/>
        </w:rPr>
        <w:tab/>
      </w:r>
      <w:r w:rsidR="00FB673F">
        <w:rPr>
          <w:b/>
        </w:rPr>
        <w:t>4</w:t>
      </w:r>
      <w:r>
        <w:rPr>
          <w:b/>
        </w:rPr>
        <w:t>.</w:t>
      </w:r>
      <w:r>
        <w:rPr>
          <w:b/>
        </w:rPr>
        <w:tab/>
        <w:t xml:space="preserve">Conclusion </w:t>
      </w:r>
    </w:p>
    <w:p w14:paraId="495BB1B8" w14:textId="67DF9517" w:rsidR="00F12F3A" w:rsidRDefault="00727911" w:rsidP="008415C5">
      <w:pPr>
        <w:ind w:firstLine="0"/>
      </w:pPr>
      <w:r>
        <w:rPr>
          <w:b/>
        </w:rPr>
        <w:tab/>
      </w:r>
      <w:r w:rsidR="006E2C2D">
        <w:t>The language of s</w:t>
      </w:r>
      <w:r w:rsidR="00E0495B">
        <w:t>ection 36900, subdivision (a)</w:t>
      </w:r>
      <w:r w:rsidR="006E2C2D">
        <w:t xml:space="preserve"> is</w:t>
      </w:r>
      <w:r w:rsidR="00E0495B">
        <w:t xml:space="preserve"> </w:t>
      </w:r>
      <w:r>
        <w:t>ambiguous</w:t>
      </w:r>
      <w:r w:rsidR="00E0495B">
        <w:t xml:space="preserve"> with respect </w:t>
      </w:r>
      <w:r w:rsidR="00C06028">
        <w:t xml:space="preserve">to who </w:t>
      </w:r>
      <w:r w:rsidR="00E0495B">
        <w:t>may redress violations of</w:t>
      </w:r>
      <w:r w:rsidR="006E2C2D">
        <w:t xml:space="preserve"> city</w:t>
      </w:r>
      <w:r w:rsidR="00E0495B">
        <w:t xml:space="preserve"> ordinances</w:t>
      </w:r>
      <w:r w:rsidR="00552FDB">
        <w:t xml:space="preserve"> “by civil action</w:t>
      </w:r>
      <w:r w:rsidR="00E0495B">
        <w:t>.</w:t>
      </w:r>
      <w:r w:rsidR="00552FDB">
        <w:t>”</w:t>
      </w:r>
      <w:r w:rsidR="00E0495B">
        <w:t xml:space="preserve"> </w:t>
      </w:r>
      <w:r w:rsidR="00552FDB">
        <w:t>Having reviewed the pertinent legislative history</w:t>
      </w:r>
      <w:r w:rsidR="00C06028">
        <w:t>,</w:t>
      </w:r>
      <w:r w:rsidR="001E00D5">
        <w:t xml:space="preserve"> however,</w:t>
      </w:r>
      <w:r w:rsidR="00C06028">
        <w:t xml:space="preserve"> </w:t>
      </w:r>
      <w:r w:rsidR="00F12F3A" w:rsidRPr="00C06028">
        <w:t>we</w:t>
      </w:r>
      <w:r w:rsidR="00F12F3A">
        <w:t xml:space="preserve"> conclude the </w:t>
      </w:r>
      <w:r>
        <w:t xml:space="preserve">Legislature </w:t>
      </w:r>
      <w:r w:rsidR="00F12F3A">
        <w:t>did not intend to</w:t>
      </w:r>
      <w:r w:rsidR="006E2C2D">
        <w:t xml:space="preserve"> afford members of the public the right to </w:t>
      </w:r>
      <w:r w:rsidR="008C49A6">
        <w:t>bring suit to redress violations of local ordinances.</w:t>
      </w:r>
      <w:r w:rsidR="00CC4C1A">
        <w:t xml:space="preserve"> R</w:t>
      </w:r>
      <w:r w:rsidR="008C49A6">
        <w:t>ather</w:t>
      </w:r>
      <w:r w:rsidR="00F12F3A">
        <w:t xml:space="preserve">, the legislative history reveals that, </w:t>
      </w:r>
      <w:r w:rsidR="00552FDB">
        <w:t xml:space="preserve">when enacting </w:t>
      </w:r>
      <w:r w:rsidR="00C06028">
        <w:t>section 36900, subdivision (a)</w:t>
      </w:r>
      <w:r w:rsidR="00552FDB">
        <w:t xml:space="preserve">, </w:t>
      </w:r>
      <w:r w:rsidR="00F12F3A">
        <w:t xml:space="preserve">the Legislature </w:t>
      </w:r>
      <w:r w:rsidR="00552FDB">
        <w:t>sought</w:t>
      </w:r>
      <w:r w:rsidR="00F12F3A">
        <w:t xml:space="preserve"> to</w:t>
      </w:r>
      <w:r>
        <w:t xml:space="preserve"> </w:t>
      </w:r>
      <w:r w:rsidR="00C06028">
        <w:t>restate and simplify</w:t>
      </w:r>
      <w:r w:rsidR="00552FDB">
        <w:t xml:space="preserve"> </w:t>
      </w:r>
      <w:r w:rsidR="00F12F3A">
        <w:t>existing law</w:t>
      </w:r>
      <w:r w:rsidR="00552FDB">
        <w:t xml:space="preserve"> granting only</w:t>
      </w:r>
      <w:r w:rsidR="00F12F3A">
        <w:t xml:space="preserve"> </w:t>
      </w:r>
      <w:r>
        <w:t>city authorities</w:t>
      </w:r>
      <w:r w:rsidR="006E2C2D">
        <w:t xml:space="preserve"> </w:t>
      </w:r>
      <w:r>
        <w:t>the right to redress violations of</w:t>
      </w:r>
      <w:r w:rsidR="00F12F3A">
        <w:t xml:space="preserve"> </w:t>
      </w:r>
      <w:r>
        <w:t>ordinances</w:t>
      </w:r>
      <w:r w:rsidR="008C49A6">
        <w:t>, either through criminal prosecutions or</w:t>
      </w:r>
      <w:r>
        <w:t xml:space="preserve"> by </w:t>
      </w:r>
      <w:r w:rsidR="00552FDB">
        <w:t xml:space="preserve">filing </w:t>
      </w:r>
      <w:r w:rsidR="008C49A6">
        <w:t>civil suits.</w:t>
      </w:r>
      <w:r w:rsidR="00C06028">
        <w:t xml:space="preserve"> </w:t>
      </w:r>
    </w:p>
    <w:p w14:paraId="252CCF94" w14:textId="33D7D55A" w:rsidR="004A73B1" w:rsidRPr="00140CBA" w:rsidRDefault="00422CF9" w:rsidP="002B23B8">
      <w:pPr>
        <w:spacing w:after="160"/>
      </w:pPr>
      <w:r>
        <w:t>For these reasons,</w:t>
      </w:r>
      <w:r w:rsidR="00C06028">
        <w:t xml:space="preserve"> </w:t>
      </w:r>
      <w:r w:rsidR="00F12F3A">
        <w:t xml:space="preserve">we hold section 36900, subdivision (a) does not authorize a private right of action. </w:t>
      </w:r>
      <w:r w:rsidR="00727911">
        <w:t xml:space="preserve">To the extent </w:t>
      </w:r>
      <w:r w:rsidR="00727911">
        <w:rPr>
          <w:i/>
        </w:rPr>
        <w:t xml:space="preserve">Riley </w:t>
      </w:r>
      <w:r w:rsidR="00727911">
        <w:t>held to the contrary, it is overruled.</w:t>
      </w:r>
      <w:r w:rsidR="00B41B98" w:rsidRPr="00037049">
        <w:rPr>
          <w:rStyle w:val="FootnoteReference"/>
          <w:b w:val="0"/>
          <w:sz w:val="26"/>
        </w:rPr>
        <w:footnoteReference w:id="12"/>
      </w:r>
    </w:p>
    <w:p w14:paraId="1DD4B31D" w14:textId="7AD32778" w:rsidR="008415C5" w:rsidRDefault="008415C5" w:rsidP="0091363D">
      <w:pPr>
        <w:ind w:left="720" w:hanging="720"/>
      </w:pPr>
      <w:r>
        <w:rPr>
          <w:b/>
        </w:rPr>
        <w:t>V.</w:t>
      </w:r>
      <w:r>
        <w:rPr>
          <w:b/>
        </w:rPr>
        <w:tab/>
      </w:r>
      <w:r w:rsidR="00423FA0">
        <w:rPr>
          <w:b/>
        </w:rPr>
        <w:t xml:space="preserve">The </w:t>
      </w:r>
      <w:proofErr w:type="spellStart"/>
      <w:r w:rsidR="00423FA0">
        <w:rPr>
          <w:b/>
        </w:rPr>
        <w:t>Schwartzes</w:t>
      </w:r>
      <w:proofErr w:type="spellEnd"/>
      <w:r w:rsidR="00423FA0">
        <w:rPr>
          <w:b/>
        </w:rPr>
        <w:t xml:space="preserve">’ </w:t>
      </w:r>
      <w:r>
        <w:rPr>
          <w:b/>
        </w:rPr>
        <w:t>Argumen</w:t>
      </w:r>
      <w:r w:rsidR="00B04C8C">
        <w:rPr>
          <w:b/>
        </w:rPr>
        <w:t>t on</w:t>
      </w:r>
      <w:r>
        <w:rPr>
          <w:b/>
        </w:rPr>
        <w:t xml:space="preserve"> Caselaw </w:t>
      </w:r>
      <w:r w:rsidR="00B04C8C">
        <w:rPr>
          <w:b/>
        </w:rPr>
        <w:t xml:space="preserve">Recognizing </w:t>
      </w:r>
      <w:r>
        <w:rPr>
          <w:b/>
        </w:rPr>
        <w:t xml:space="preserve">a Private Right of Action </w:t>
      </w:r>
    </w:p>
    <w:p w14:paraId="3A1AACEB" w14:textId="657E1745" w:rsidR="00066DF7" w:rsidRDefault="00890A05" w:rsidP="006E631D">
      <w:pPr>
        <w:ind w:firstLine="0"/>
      </w:pPr>
      <w:r>
        <w:tab/>
      </w:r>
      <w:r w:rsidR="00CB6805">
        <w:t>Finally</w:t>
      </w:r>
      <w:r>
        <w:t xml:space="preserve">, the </w:t>
      </w:r>
      <w:proofErr w:type="spellStart"/>
      <w:r>
        <w:t>Schwartzes</w:t>
      </w:r>
      <w:proofErr w:type="spellEnd"/>
      <w:r>
        <w:t xml:space="preserve"> argue that, </w:t>
      </w:r>
      <w:r w:rsidR="00CD4A25">
        <w:t>even if</w:t>
      </w:r>
      <w:r>
        <w:t xml:space="preserve"> section 36900, subdivision (a) </w:t>
      </w:r>
      <w:r w:rsidR="00CD4A25">
        <w:t xml:space="preserve">does not </w:t>
      </w:r>
      <w:r w:rsidR="00B04C8C">
        <w:t>create</w:t>
      </w:r>
      <w:r w:rsidR="00293768">
        <w:t xml:space="preserve"> a</w:t>
      </w:r>
      <w:r>
        <w:t xml:space="preserve"> private right of action, they </w:t>
      </w:r>
      <w:r w:rsidR="00CD4A25">
        <w:t>can still</w:t>
      </w:r>
      <w:r>
        <w:t xml:space="preserve"> pursue their claims based on the Cohens’ alleged violations of the LAMC because “California decisional law has repeatedly held that a private citizen can seek to enforce violations of local ordinances under certain circumstances.” </w:t>
      </w:r>
    </w:p>
    <w:p w14:paraId="21CDD389" w14:textId="28B95DEC" w:rsidR="00CB6805" w:rsidRPr="00F44CA6" w:rsidRDefault="00CB2372" w:rsidP="00AE10BA">
      <w:pPr>
        <w:ind w:firstLine="0"/>
        <w:rPr>
          <w:i/>
        </w:rPr>
      </w:pPr>
      <w:r>
        <w:lastRenderedPageBreak/>
        <w:tab/>
      </w:r>
      <w:r w:rsidR="001432B6">
        <w:t>T</w:t>
      </w:r>
      <w:r w:rsidR="00AE10BA">
        <w:t>h</w:t>
      </w:r>
      <w:r w:rsidR="00D33561">
        <w:t>e</w:t>
      </w:r>
      <w:r w:rsidR="00AE10BA">
        <w:t xml:space="preserve"> authorities</w:t>
      </w:r>
      <w:r w:rsidR="005849B6">
        <w:t xml:space="preserve"> </w:t>
      </w:r>
      <w:r w:rsidR="00CB6805">
        <w:t xml:space="preserve">cited by </w:t>
      </w:r>
      <w:r w:rsidR="00CB6805" w:rsidRPr="00A05543">
        <w:t xml:space="preserve">the </w:t>
      </w:r>
      <w:proofErr w:type="spellStart"/>
      <w:r w:rsidR="00735674" w:rsidRPr="00A05543">
        <w:t>Schwartzes</w:t>
      </w:r>
      <w:proofErr w:type="spellEnd"/>
      <w:r w:rsidR="00CB6805" w:rsidRPr="00A05543">
        <w:t xml:space="preserve"> </w:t>
      </w:r>
      <w:r w:rsidR="005849B6" w:rsidRPr="00A05543">
        <w:t>establish</w:t>
      </w:r>
      <w:r w:rsidR="00D3163A" w:rsidRPr="00A05543">
        <w:t xml:space="preserve"> that</w:t>
      </w:r>
      <w:r w:rsidR="005849B6" w:rsidRPr="00A05543">
        <w:t xml:space="preserve"> </w:t>
      </w:r>
      <w:r w:rsidR="00F132D3" w:rsidRPr="00A05543">
        <w:t>an</w:t>
      </w:r>
      <w:r w:rsidR="00F132D3">
        <w:t xml:space="preserve"> </w:t>
      </w:r>
      <w:r w:rsidR="00DE6911">
        <w:t>individual</w:t>
      </w:r>
      <w:r w:rsidR="00D3163A">
        <w:t xml:space="preserve"> may</w:t>
      </w:r>
      <w:r w:rsidR="0016443F">
        <w:t xml:space="preserve"> </w:t>
      </w:r>
      <w:r w:rsidR="00C300DB">
        <w:t xml:space="preserve">file suit based on another’s </w:t>
      </w:r>
      <w:r w:rsidR="00F132D3">
        <w:t>violation of a</w:t>
      </w:r>
      <w:r w:rsidR="00C300DB">
        <w:t xml:space="preserve">n </w:t>
      </w:r>
      <w:r w:rsidR="00F132D3">
        <w:t>ordinance when</w:t>
      </w:r>
      <w:r w:rsidR="00C300DB">
        <w:t xml:space="preserve"> he or she</w:t>
      </w:r>
      <w:r w:rsidR="00F132D3">
        <w:t>: (1)</w:t>
      </w:r>
      <w:r w:rsidR="00F41AB4">
        <w:t xml:space="preserve"> </w:t>
      </w:r>
      <w:r w:rsidR="00DE6911">
        <w:t>“suffers a ‘special injury to himself in person or property of a character different in kind from that suffered by the general public’”</w:t>
      </w:r>
      <w:r w:rsidR="00AE10BA">
        <w:t>;</w:t>
      </w:r>
      <w:r w:rsidR="00DE6911">
        <w:t xml:space="preserve"> or (2) “is a ‘member of the community for whose particular welfare the ordinance was enacted.</w:t>
      </w:r>
      <w:r w:rsidR="00731126">
        <w:t>’</w:t>
      </w:r>
      <w:r w:rsidR="00DE6911">
        <w:t>” (</w:t>
      </w:r>
      <w:r w:rsidR="00DE6911">
        <w:rPr>
          <w:i/>
        </w:rPr>
        <w:t>Pacific</w:t>
      </w:r>
      <w:r w:rsidR="00467229">
        <w:rPr>
          <w:i/>
        </w:rPr>
        <w:t>a</w:t>
      </w:r>
      <w:r w:rsidR="00DE6911">
        <w:rPr>
          <w:i/>
        </w:rPr>
        <w:t xml:space="preserve"> Homeowners’ Assn</w:t>
      </w:r>
      <w:r w:rsidR="00467229">
        <w:rPr>
          <w:i/>
        </w:rPr>
        <w:t>.</w:t>
      </w:r>
      <w:r w:rsidR="00DE6911">
        <w:rPr>
          <w:i/>
        </w:rPr>
        <w:t xml:space="preserve"> v. </w:t>
      </w:r>
      <w:r w:rsidR="001367D9">
        <w:rPr>
          <w:i/>
        </w:rPr>
        <w:t xml:space="preserve">Wesley Palms Retirement Community </w:t>
      </w:r>
      <w:r w:rsidR="001367D9">
        <w:t>(1986) 178 Cal.App.3d 1147, 1152-1153</w:t>
      </w:r>
      <w:r w:rsidR="00EF3314">
        <w:t>.)</w:t>
      </w:r>
      <w:r w:rsidR="00EE7314">
        <w:t xml:space="preserve"> </w:t>
      </w:r>
      <w:r w:rsidR="00F44CA6">
        <w:t>In other words, where either of</w:t>
      </w:r>
      <w:r w:rsidR="00144FBC">
        <w:t xml:space="preserve"> these criteri</w:t>
      </w:r>
      <w:r w:rsidR="009D72B6">
        <w:t>a</w:t>
      </w:r>
      <w:r w:rsidR="00144FBC">
        <w:t xml:space="preserve"> are met, </w:t>
      </w:r>
      <w:r w:rsidR="00CB6805">
        <w:t xml:space="preserve">the violation of a local ordinance may be relevant to, and may even satisfy </w:t>
      </w:r>
      <w:r w:rsidR="009D72B6">
        <w:t xml:space="preserve">an </w:t>
      </w:r>
      <w:r w:rsidR="00CB6805">
        <w:t>element of</w:t>
      </w:r>
      <w:r w:rsidR="00D33561">
        <w:t xml:space="preserve">, </w:t>
      </w:r>
      <w:r w:rsidR="00CB6805">
        <w:t>a</w:t>
      </w:r>
      <w:r w:rsidR="00F44CA6">
        <w:t xml:space="preserve"> claim</w:t>
      </w:r>
      <w:r w:rsidR="00CB6805">
        <w:t xml:space="preserve"> other than one based on section 36900, subdivision (a)</w:t>
      </w:r>
      <w:r w:rsidR="00F44CA6">
        <w:t>, such as a public nuisance claim.</w:t>
      </w:r>
      <w:r w:rsidR="00CB6805">
        <w:t xml:space="preserve"> </w:t>
      </w:r>
      <w:r w:rsidR="00144FBC">
        <w:t xml:space="preserve">(See, e.g., </w:t>
      </w:r>
      <w:proofErr w:type="spellStart"/>
      <w:r w:rsidR="00F44CA6" w:rsidRPr="00CB6805">
        <w:rPr>
          <w:i/>
        </w:rPr>
        <w:t>Sapiro</w:t>
      </w:r>
      <w:proofErr w:type="spellEnd"/>
      <w:r w:rsidR="00F44CA6" w:rsidRPr="00CB6805">
        <w:rPr>
          <w:i/>
        </w:rPr>
        <w:t xml:space="preserve"> v. </w:t>
      </w:r>
      <w:proofErr w:type="spellStart"/>
      <w:r w:rsidR="00F44CA6" w:rsidRPr="00CB6805">
        <w:rPr>
          <w:i/>
        </w:rPr>
        <w:t>Frisbie</w:t>
      </w:r>
      <w:proofErr w:type="spellEnd"/>
      <w:r w:rsidR="00F44CA6" w:rsidRPr="00CB6805">
        <w:rPr>
          <w:i/>
        </w:rPr>
        <w:t xml:space="preserve"> </w:t>
      </w:r>
      <w:r w:rsidR="00F44CA6" w:rsidRPr="00CB6805">
        <w:t xml:space="preserve">(1928) 93 </w:t>
      </w:r>
      <w:proofErr w:type="spellStart"/>
      <w:r w:rsidR="00F44CA6" w:rsidRPr="00CB6805">
        <w:t>Cal.App</w:t>
      </w:r>
      <w:proofErr w:type="spellEnd"/>
      <w:r w:rsidR="00F44CA6" w:rsidRPr="00CB6805">
        <w:t xml:space="preserve">. 299, 305-306 [“where a right is given by . . . municipal ordinance to a particular class of persons for their special protection, and not merely for the protection of the public at large, a liability is thereby created in favor of any such particular class against any person who violates such right and as a result injures the person or property of the former, which liability may be enforced by means of civil action”]; </w:t>
      </w:r>
      <w:r w:rsidR="00F44CA6" w:rsidRPr="00CB6805">
        <w:rPr>
          <w:i/>
        </w:rPr>
        <w:t xml:space="preserve">Nestle v. City of Santa Monica </w:t>
      </w:r>
      <w:r w:rsidR="00F44CA6" w:rsidRPr="00CB6805">
        <w:t xml:space="preserve">(1972) 6 Cal.3d 920, 939-940 [“a private person who suffers identifiable harm by reason of a violation of a municipal zoning law may sue the violator for compensatory damages and may also seek injunctive relief when applicable”]; </w:t>
      </w:r>
      <w:r w:rsidR="00F44CA6" w:rsidRPr="00CB6805">
        <w:rPr>
          <w:i/>
        </w:rPr>
        <w:t xml:space="preserve">Castillo v. Friedman </w:t>
      </w:r>
      <w:r w:rsidR="00F44CA6" w:rsidRPr="00CB6805">
        <w:t xml:space="preserve">(1987) </w:t>
      </w:r>
      <w:r w:rsidR="00467229">
        <w:t xml:space="preserve">197 </w:t>
      </w:r>
      <w:r w:rsidR="00F44CA6" w:rsidRPr="00CB6805">
        <w:t>Cal.App.3d Supp.6 14 [violations of city ordinances are actionable by “</w:t>
      </w:r>
      <w:r w:rsidR="00467229">
        <w:t>‘</w:t>
      </w:r>
      <w:r w:rsidR="00F44CA6" w:rsidRPr="00CB6805">
        <w:t>any injured member of the public for whose benefit the [ordinance] was enacted</w:t>
      </w:r>
      <w:r w:rsidR="00467229">
        <w:t>’</w:t>
      </w:r>
      <w:r w:rsidR="00F44CA6" w:rsidRPr="00CB6805">
        <w:t xml:space="preserve">”]; </w:t>
      </w:r>
      <w:r w:rsidR="00F44CA6" w:rsidRPr="00CB6805">
        <w:rPr>
          <w:i/>
        </w:rPr>
        <w:t xml:space="preserve">Major v. </w:t>
      </w:r>
      <w:proofErr w:type="spellStart"/>
      <w:r w:rsidR="00F44CA6" w:rsidRPr="00CB6805">
        <w:rPr>
          <w:i/>
        </w:rPr>
        <w:t>Silna</w:t>
      </w:r>
      <w:proofErr w:type="spellEnd"/>
      <w:r w:rsidR="00F44CA6" w:rsidRPr="00CB6805">
        <w:rPr>
          <w:i/>
        </w:rPr>
        <w:t xml:space="preserve"> </w:t>
      </w:r>
      <w:r w:rsidR="00F44CA6" w:rsidRPr="00CB6805">
        <w:t xml:space="preserve">(2005) 134 Cal.App.4th 1485, 1498-1499 [“courts have generally permitted a citizen to enjoin violations of local ordinances only when the violations work a special injury on the citizen”]; </w:t>
      </w:r>
      <w:r w:rsidR="00F44CA6" w:rsidRPr="00CB6805">
        <w:rPr>
          <w:i/>
        </w:rPr>
        <w:t xml:space="preserve">McIvor v. Mercer-Fraser Co. </w:t>
      </w:r>
      <w:r w:rsidR="00F44CA6" w:rsidRPr="00CB6805">
        <w:t xml:space="preserve">(1946) </w:t>
      </w:r>
      <w:r w:rsidR="00F44CA6" w:rsidRPr="00CB6805">
        <w:lastRenderedPageBreak/>
        <w:t>76 Cal.App.2d 247, 250, 254 [affirming judgment in favor of plaintiffs who adequately alleged defendants’ excavation of their property in violation of a city zoning ordinance caused several identifiable injuries to plaintiffs and their property].</w:t>
      </w:r>
      <w:r w:rsidR="00F44CA6">
        <w:t>)</w:t>
      </w:r>
    </w:p>
    <w:p w14:paraId="283EA63C" w14:textId="19A1DA33" w:rsidR="00AE10BA" w:rsidRDefault="00C20CE4" w:rsidP="00CB6805">
      <w:r>
        <w:t>T</w:t>
      </w:r>
      <w:r w:rsidR="006A4F8B">
        <w:t>he</w:t>
      </w:r>
      <w:r w:rsidR="008874C4">
        <w:t xml:space="preserve"> </w:t>
      </w:r>
      <w:r>
        <w:t>complaint</w:t>
      </w:r>
      <w:r w:rsidR="00EF3314">
        <w:t>, however,</w:t>
      </w:r>
      <w:r>
        <w:t xml:space="preserve"> does not</w:t>
      </w:r>
      <w:r w:rsidR="006A4F8B">
        <w:t xml:space="preserve"> </w:t>
      </w:r>
      <w:r w:rsidR="00500E56">
        <w:t>allege</w:t>
      </w:r>
      <w:r w:rsidR="006A4F8B">
        <w:t xml:space="preserve"> any facts </w:t>
      </w:r>
      <w:r w:rsidR="00500E56">
        <w:t>showing</w:t>
      </w:r>
      <w:r w:rsidR="00404323">
        <w:t xml:space="preserve"> </w:t>
      </w:r>
      <w:r w:rsidR="006A4F8B">
        <w:t>the</w:t>
      </w:r>
      <w:r w:rsidR="006D50D3">
        <w:t xml:space="preserve"> </w:t>
      </w:r>
      <w:proofErr w:type="spellStart"/>
      <w:r w:rsidR="006D50D3">
        <w:t>Schwartzes</w:t>
      </w:r>
      <w:proofErr w:type="spellEnd"/>
      <w:r w:rsidR="006A4F8B">
        <w:t xml:space="preserve"> </w:t>
      </w:r>
      <w:r w:rsidR="00AC3E44">
        <w:t>satisfy</w:t>
      </w:r>
      <w:r w:rsidR="00021454">
        <w:t xml:space="preserve"> either </w:t>
      </w:r>
      <w:r w:rsidR="00F44CA6">
        <w:t xml:space="preserve">of the requisite </w:t>
      </w:r>
      <w:r w:rsidR="00021454">
        <w:t>criteri</w:t>
      </w:r>
      <w:r w:rsidR="006D50D3">
        <w:t>on</w:t>
      </w:r>
      <w:r w:rsidR="006A4F8B">
        <w:t>.</w:t>
      </w:r>
      <w:r w:rsidR="00716F5E">
        <w:t xml:space="preserve"> </w:t>
      </w:r>
      <w:r w:rsidR="006A4F8B">
        <w:t>Indeed, in sustaining</w:t>
      </w:r>
      <w:r w:rsidR="00404323">
        <w:t xml:space="preserve"> the Cohens’ demurrer to </w:t>
      </w:r>
      <w:r w:rsidR="00EF3314">
        <w:t>the</w:t>
      </w:r>
      <w:r>
        <w:t xml:space="preserve"> first cause of action</w:t>
      </w:r>
      <w:r w:rsidR="00404323">
        <w:t>,</w:t>
      </w:r>
      <w:r w:rsidR="006A4F8B">
        <w:t xml:space="preserve"> the trial court </w:t>
      </w:r>
      <w:r w:rsidR="00716F5E">
        <w:t>effectively</w:t>
      </w:r>
      <w:r w:rsidR="006A4F8B">
        <w:t xml:space="preserve"> found the </w:t>
      </w:r>
      <w:proofErr w:type="spellStart"/>
      <w:r w:rsidR="00021454">
        <w:t>Schwartzes</w:t>
      </w:r>
      <w:proofErr w:type="spellEnd"/>
      <w:r w:rsidR="00021454">
        <w:t xml:space="preserve"> did not</w:t>
      </w:r>
      <w:r w:rsidR="006A4F8B">
        <w:t xml:space="preserve"> </w:t>
      </w:r>
      <w:r w:rsidR="00021454">
        <w:t>satisfy the first criter</w:t>
      </w:r>
      <w:r w:rsidR="008874C4">
        <w:t xml:space="preserve">ion, as they </w:t>
      </w:r>
      <w:r w:rsidR="00021454">
        <w:t xml:space="preserve">“fail[ed] to allege specific facts </w:t>
      </w:r>
      <w:r w:rsidR="00021454" w:rsidRPr="00A05543">
        <w:t>describing how [the Cohens’] conduct has compromised [their] ability to use their property</w:t>
      </w:r>
      <w:r w:rsidR="00890A05" w:rsidRPr="00A05543">
        <w:t>.</w:t>
      </w:r>
      <w:r w:rsidR="00021454" w:rsidRPr="00A05543">
        <w:t xml:space="preserve">” </w:t>
      </w:r>
      <w:r w:rsidR="004A6786" w:rsidRPr="00A05543">
        <w:t xml:space="preserve">And, </w:t>
      </w:r>
      <w:r w:rsidR="00716F5E" w:rsidRPr="00A05543">
        <w:t>while</w:t>
      </w:r>
      <w:r w:rsidR="004A6786" w:rsidRPr="00A05543">
        <w:t xml:space="preserve"> the</w:t>
      </w:r>
      <w:r w:rsidR="00AB3BCC" w:rsidRPr="00A05543">
        <w:t>y</w:t>
      </w:r>
      <w:r w:rsidR="004A6786" w:rsidRPr="00A05543">
        <w:t xml:space="preserve"> were </w:t>
      </w:r>
      <w:r w:rsidR="008874C4" w:rsidRPr="00A05543">
        <w:t>given</w:t>
      </w:r>
      <w:r w:rsidR="004A6786" w:rsidRPr="00A05543">
        <w:t xml:space="preserve"> leave to amend </w:t>
      </w:r>
      <w:r w:rsidR="00FA2226" w:rsidRPr="00A05543">
        <w:t xml:space="preserve">to cure this defect in </w:t>
      </w:r>
      <w:r w:rsidR="004A6786" w:rsidRPr="00A05543">
        <w:t>their nuisance clai</w:t>
      </w:r>
      <w:r w:rsidR="00FA2226" w:rsidRPr="00A05543">
        <w:t>m</w:t>
      </w:r>
      <w:r w:rsidR="004A6786" w:rsidRPr="00A05543">
        <w:t>, the</w:t>
      </w:r>
      <w:r w:rsidR="00AB3BCC" w:rsidRPr="00A05543">
        <w:t>y</w:t>
      </w:r>
      <w:r w:rsidR="004A6786" w:rsidRPr="00A05543">
        <w:t xml:space="preserve"> chose not to reassert it in their </w:t>
      </w:r>
      <w:r w:rsidR="001E1811" w:rsidRPr="00A05543">
        <w:t>first amended complaint</w:t>
      </w:r>
      <w:r w:rsidR="00FA2226" w:rsidRPr="00A05543">
        <w:t>.</w:t>
      </w:r>
      <w:r w:rsidR="00862DF2" w:rsidRPr="00A05543">
        <w:t xml:space="preserve"> </w:t>
      </w:r>
      <w:r w:rsidR="00AE10BA" w:rsidRPr="00A05543">
        <w:t>Further,</w:t>
      </w:r>
      <w:r w:rsidR="003365E8" w:rsidRPr="00A05543">
        <w:t xml:space="preserve"> </w:t>
      </w:r>
      <w:r w:rsidR="005914F0" w:rsidRPr="00A05543">
        <w:t xml:space="preserve">nowhere in their </w:t>
      </w:r>
      <w:r w:rsidR="003365E8" w:rsidRPr="00A05543">
        <w:t>three briefs</w:t>
      </w:r>
      <w:r w:rsidR="008874C4" w:rsidRPr="00A05543">
        <w:t xml:space="preserve"> filed</w:t>
      </w:r>
      <w:r w:rsidR="003365E8" w:rsidRPr="00A05543">
        <w:t xml:space="preserve"> </w:t>
      </w:r>
      <w:r w:rsidR="005914F0" w:rsidRPr="00A05543">
        <w:t xml:space="preserve">in opposition to the Cohens’ petition have the </w:t>
      </w:r>
      <w:proofErr w:type="spellStart"/>
      <w:r w:rsidR="005914F0" w:rsidRPr="00A05543">
        <w:t>Schwartzes</w:t>
      </w:r>
      <w:proofErr w:type="spellEnd"/>
      <w:r w:rsidR="005914F0">
        <w:t xml:space="preserve"> </w:t>
      </w:r>
      <w:r w:rsidR="00D8469F">
        <w:t>specified</w:t>
      </w:r>
      <w:r w:rsidR="00716F5E">
        <w:t xml:space="preserve"> </w:t>
      </w:r>
      <w:r w:rsidR="00FA2226">
        <w:t xml:space="preserve">what facts, if any, they could allege to </w:t>
      </w:r>
      <w:r w:rsidR="005914F0">
        <w:t xml:space="preserve">establish </w:t>
      </w:r>
      <w:r w:rsidR="00FA2226">
        <w:t>they</w:t>
      </w:r>
      <w:r w:rsidR="000C62C1">
        <w:t xml:space="preserve"> </w:t>
      </w:r>
      <w:r w:rsidR="00AC3E44">
        <w:t>meet</w:t>
      </w:r>
      <w:r w:rsidR="009262FE">
        <w:t xml:space="preserve"> </w:t>
      </w:r>
      <w:r w:rsidR="008874C4">
        <w:t>either of the requisite conditions</w:t>
      </w:r>
      <w:r w:rsidR="00953260">
        <w:t xml:space="preserve"> to</w:t>
      </w:r>
      <w:r w:rsidR="009262FE">
        <w:t xml:space="preserve"> </w:t>
      </w:r>
      <w:r w:rsidR="000C62C1">
        <w:t xml:space="preserve">fall within the purview of the </w:t>
      </w:r>
      <w:r w:rsidR="005914F0">
        <w:t>cases they have cited</w:t>
      </w:r>
      <w:r w:rsidR="000C62C1">
        <w:t>.</w:t>
      </w:r>
      <w:r w:rsidR="000C62C1" w:rsidRPr="006D09F3">
        <w:rPr>
          <w:rStyle w:val="FootnoteReference"/>
          <w:b w:val="0"/>
          <w:sz w:val="26"/>
        </w:rPr>
        <w:footnoteReference w:id="13"/>
      </w:r>
      <w:r w:rsidR="00B437EE">
        <w:t xml:space="preserve"> </w:t>
      </w:r>
    </w:p>
    <w:p w14:paraId="71573BAB" w14:textId="59BEDC2D" w:rsidR="00F44CA6" w:rsidRPr="00F132D3" w:rsidRDefault="00862DF2" w:rsidP="00AE10BA">
      <w:pPr>
        <w:ind w:firstLine="0"/>
      </w:pPr>
      <w:r>
        <w:tab/>
      </w:r>
      <w:r w:rsidR="00422CF9">
        <w:t xml:space="preserve">In sum, </w:t>
      </w:r>
      <w:r w:rsidR="002C212B">
        <w:t>we conclude</w:t>
      </w:r>
      <w:r w:rsidR="0051628E">
        <w:t xml:space="preserve"> the </w:t>
      </w:r>
      <w:proofErr w:type="spellStart"/>
      <w:r w:rsidR="001D0768">
        <w:t>Schwartzes</w:t>
      </w:r>
      <w:proofErr w:type="spellEnd"/>
      <w:r w:rsidR="001D0768">
        <w:t xml:space="preserve"> </w:t>
      </w:r>
      <w:r w:rsidR="0051628E">
        <w:t>have not shown</w:t>
      </w:r>
      <w:r w:rsidR="00422CF9">
        <w:t xml:space="preserve"> they</w:t>
      </w:r>
      <w:r w:rsidR="0051628E">
        <w:t xml:space="preserve"> </w:t>
      </w:r>
      <w:r w:rsidR="00422CF9">
        <w:t>have been</w:t>
      </w:r>
      <w:r w:rsidR="0051628E">
        <w:t xml:space="preserve"> authorized by </w:t>
      </w:r>
      <w:r w:rsidR="009262FE">
        <w:t>caselaw</w:t>
      </w:r>
      <w:r w:rsidR="0051628E">
        <w:t xml:space="preserve"> </w:t>
      </w:r>
      <w:r w:rsidR="00CD4A25">
        <w:t xml:space="preserve">or by statute </w:t>
      </w:r>
      <w:r w:rsidR="0051628E">
        <w:t xml:space="preserve">to pursue </w:t>
      </w:r>
      <w:r>
        <w:t xml:space="preserve">their claims based on the Cohens’ </w:t>
      </w:r>
      <w:r w:rsidR="0051628E">
        <w:t xml:space="preserve">alleged </w:t>
      </w:r>
      <w:r w:rsidR="0051628E" w:rsidRPr="00A05543">
        <w:t>violations of the LAMC.</w:t>
      </w:r>
      <w:r w:rsidR="00CD4A25" w:rsidRPr="00A05543">
        <w:t xml:space="preserve"> Th</w:t>
      </w:r>
      <w:r w:rsidR="001D0768" w:rsidRPr="00A05543">
        <w:t>us, the</w:t>
      </w:r>
      <w:r w:rsidR="00CD4A25" w:rsidRPr="00A05543">
        <w:t xml:space="preserve"> trial court erred by overruling the demurrer</w:t>
      </w:r>
      <w:r w:rsidR="00CD4A25">
        <w:t xml:space="preserve"> to the second and third causes of action</w:t>
      </w:r>
      <w:r w:rsidR="001D0768">
        <w:t xml:space="preserve"> asserted</w:t>
      </w:r>
      <w:r w:rsidR="00CD4A25">
        <w:t xml:space="preserve"> in the complaint. </w:t>
      </w:r>
    </w:p>
    <w:p w14:paraId="3B9C2E6C" w14:textId="77777777" w:rsidR="00A05543" w:rsidRDefault="00A05543" w:rsidP="00A05543">
      <w:pPr>
        <w:spacing w:after="160"/>
        <w:ind w:firstLine="0"/>
        <w:jc w:val="center"/>
        <w:rPr>
          <w:b/>
          <w:bCs/>
        </w:rPr>
      </w:pPr>
      <w:r>
        <w:rPr>
          <w:b/>
          <w:bCs/>
        </w:rPr>
        <w:br w:type="page"/>
      </w:r>
    </w:p>
    <w:p w14:paraId="3D580C3F" w14:textId="358B49D5" w:rsidR="00A374FF" w:rsidRPr="00A05543" w:rsidRDefault="00285EC4" w:rsidP="00A05543">
      <w:pPr>
        <w:spacing w:after="160"/>
        <w:ind w:firstLine="0"/>
        <w:jc w:val="center"/>
        <w:rPr>
          <w:b/>
          <w:bCs/>
        </w:rPr>
      </w:pPr>
      <w:r w:rsidRPr="00A05543">
        <w:rPr>
          <w:b/>
          <w:bCs/>
        </w:rPr>
        <w:lastRenderedPageBreak/>
        <w:t>DISPOSITION</w:t>
      </w:r>
    </w:p>
    <w:p w14:paraId="5EFBD227" w14:textId="27C0BADB" w:rsidR="002D7652" w:rsidRDefault="00A374FF" w:rsidP="00F44CA6">
      <w:r>
        <w:t xml:space="preserve">Let a </w:t>
      </w:r>
      <w:r w:rsidRPr="00A05543">
        <w:t>peremptory writ of mandate issue</w:t>
      </w:r>
      <w:r w:rsidR="001E1811" w:rsidRPr="00A05543">
        <w:t xml:space="preserve"> lifting the stay in the</w:t>
      </w:r>
      <w:r w:rsidRPr="00A05543">
        <w:t xml:space="preserve"> respondent court</w:t>
      </w:r>
      <w:r w:rsidR="001E1811" w:rsidRPr="00A05543">
        <w:t xml:space="preserve"> and ordering that court</w:t>
      </w:r>
      <w:r w:rsidRPr="00A05543">
        <w:t xml:space="preserve"> to</w:t>
      </w:r>
      <w:r w:rsidR="008833EB" w:rsidRPr="00A05543">
        <w:t>: (1)</w:t>
      </w:r>
      <w:r w:rsidRPr="00A05543">
        <w:t xml:space="preserve"> vacate </w:t>
      </w:r>
      <w:r w:rsidR="009E4651" w:rsidRPr="00A05543">
        <w:t xml:space="preserve">the portion of </w:t>
      </w:r>
      <w:r w:rsidRPr="00A05543">
        <w:t xml:space="preserve">its </w:t>
      </w:r>
      <w:r w:rsidR="008833EB" w:rsidRPr="00A05543">
        <w:t xml:space="preserve">June 1, </w:t>
      </w:r>
      <w:proofErr w:type="gramStart"/>
      <w:r w:rsidR="008833EB" w:rsidRPr="00A05543">
        <w:t>2023</w:t>
      </w:r>
      <w:proofErr w:type="gramEnd"/>
      <w:r w:rsidR="008833EB" w:rsidRPr="00A05543">
        <w:t xml:space="preserve"> order overruling petitioners’ demurrer to the second and third causes of action asserted in respondents’ original complaint filed May 19, 2022; and (2) enter a</w:t>
      </w:r>
      <w:r w:rsidR="009E4651" w:rsidRPr="00A05543">
        <w:t xml:space="preserve">n </w:t>
      </w:r>
      <w:r w:rsidR="008833EB" w:rsidRPr="00A05543">
        <w:t xml:space="preserve">order sustaining petitioners’ demurrer </w:t>
      </w:r>
      <w:r w:rsidR="008C49A6" w:rsidRPr="00A05543">
        <w:t xml:space="preserve">to </w:t>
      </w:r>
      <w:r w:rsidR="003A2C44" w:rsidRPr="00A05543">
        <w:t>the second and third causes of action</w:t>
      </w:r>
      <w:r w:rsidR="008833EB" w:rsidRPr="00A05543">
        <w:t xml:space="preserve"> without leave to amend. Petitioners</w:t>
      </w:r>
      <w:r w:rsidR="008833EB">
        <w:t xml:space="preserve"> are awarded their costs for this original proceeding. (Cal. Rules of Court, rule 8.493(a)(1)(A).) </w:t>
      </w:r>
    </w:p>
    <w:p w14:paraId="7CAEA528" w14:textId="77777777" w:rsidR="00BD20EB" w:rsidRPr="00A036B0" w:rsidRDefault="00BD20EB" w:rsidP="00BD20EB">
      <w:pPr>
        <w:spacing w:before="160"/>
        <w:jc w:val="center"/>
        <w:rPr>
          <w:b/>
          <w:bCs/>
        </w:rPr>
      </w:pPr>
      <w:r w:rsidRPr="00A036B0">
        <w:rPr>
          <w:b/>
          <w:bCs/>
        </w:rPr>
        <w:t>CERTIFIED FOR PUBLICATION</w:t>
      </w:r>
    </w:p>
    <w:p w14:paraId="5302DDC0" w14:textId="77777777" w:rsidR="00BD20EB" w:rsidRDefault="00BD20EB" w:rsidP="00BD20EB">
      <w:pPr>
        <w:ind w:firstLine="0"/>
      </w:pPr>
    </w:p>
    <w:p w14:paraId="3001F015" w14:textId="77777777" w:rsidR="00BD20EB" w:rsidRDefault="00BD20EB" w:rsidP="00BD20EB">
      <w:pPr>
        <w:jc w:val="right"/>
      </w:pPr>
    </w:p>
    <w:p w14:paraId="6306C563" w14:textId="77777777" w:rsidR="00BD20EB" w:rsidRDefault="00BD20EB" w:rsidP="00BD20EB">
      <w:pPr>
        <w:jc w:val="right"/>
      </w:pPr>
    </w:p>
    <w:p w14:paraId="55642D98" w14:textId="77777777" w:rsidR="00BD20EB" w:rsidRDefault="00BD20EB" w:rsidP="00BD20EB">
      <w:pPr>
        <w:jc w:val="right"/>
      </w:pPr>
    </w:p>
    <w:p w14:paraId="7F36037F" w14:textId="77777777" w:rsidR="00BD20EB" w:rsidRDefault="00BD20EB" w:rsidP="00BD20EB">
      <w:pPr>
        <w:jc w:val="right"/>
      </w:pPr>
      <w:r>
        <w:t>CURREY, P. J.</w:t>
      </w:r>
    </w:p>
    <w:p w14:paraId="563112D3" w14:textId="77777777" w:rsidR="00BD20EB" w:rsidRDefault="00BD20EB" w:rsidP="00BD20EB">
      <w:r>
        <w:t xml:space="preserve">We concur:   </w:t>
      </w:r>
    </w:p>
    <w:p w14:paraId="33AC13E0" w14:textId="77777777" w:rsidR="00BD20EB" w:rsidRDefault="00BD20EB" w:rsidP="00BD20EB"/>
    <w:p w14:paraId="6B834F70" w14:textId="77777777" w:rsidR="00BD20EB" w:rsidRDefault="00BD20EB" w:rsidP="00BD20EB"/>
    <w:p w14:paraId="278B7E70" w14:textId="77777777" w:rsidR="00BD20EB" w:rsidRDefault="00BD20EB" w:rsidP="00BD20EB"/>
    <w:p w14:paraId="2D7E672E" w14:textId="09FEC1F4" w:rsidR="00BD20EB" w:rsidRDefault="00B00445" w:rsidP="00BD20EB">
      <w:r>
        <w:t>COLLINS</w:t>
      </w:r>
      <w:r w:rsidR="00BD20EB">
        <w:t>, J.</w:t>
      </w:r>
    </w:p>
    <w:p w14:paraId="6549170A" w14:textId="77777777" w:rsidR="00BD20EB" w:rsidRDefault="00BD20EB" w:rsidP="00BD20EB"/>
    <w:p w14:paraId="4005D7D7" w14:textId="77777777" w:rsidR="00BD20EB" w:rsidRDefault="00BD20EB" w:rsidP="00BD20EB"/>
    <w:p w14:paraId="3B361A96" w14:textId="77777777" w:rsidR="00BD20EB" w:rsidRDefault="00BD20EB" w:rsidP="00BD20EB"/>
    <w:p w14:paraId="25A6D146" w14:textId="77777777" w:rsidR="00BD20EB" w:rsidRPr="00AE271B" w:rsidRDefault="00BD20EB" w:rsidP="00BD20EB">
      <w:r>
        <w:t>ZUKIN</w:t>
      </w:r>
      <w:r w:rsidRPr="002949D6">
        <w:t>, J.</w:t>
      </w:r>
    </w:p>
    <w:p w14:paraId="618611D9" w14:textId="77777777" w:rsidR="00CD7E5F" w:rsidRDefault="00CD7E5F" w:rsidP="00BD20EB">
      <w:pPr>
        <w:ind w:firstLine="0"/>
      </w:pPr>
    </w:p>
    <w:sectPr w:rsidR="00CD7E5F" w:rsidSect="00A67FE4">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DC3B" w14:textId="77777777" w:rsidR="004138FC" w:rsidRDefault="004138FC" w:rsidP="00285EC4">
      <w:pPr>
        <w:spacing w:line="240" w:lineRule="auto"/>
      </w:pPr>
      <w:r>
        <w:separator/>
      </w:r>
    </w:p>
  </w:endnote>
  <w:endnote w:type="continuationSeparator" w:id="0">
    <w:p w14:paraId="257ECA31" w14:textId="77777777" w:rsidR="004138FC" w:rsidRDefault="004138FC" w:rsidP="00285EC4">
      <w:pPr>
        <w:spacing w:line="240" w:lineRule="auto"/>
      </w:pPr>
      <w:r>
        <w:continuationSeparator/>
      </w:r>
    </w:p>
  </w:endnote>
  <w:endnote w:type="continuationNotice" w:id="1">
    <w:p w14:paraId="319B15D2" w14:textId="77777777" w:rsidR="004138FC" w:rsidRDefault="004138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FF4" w14:textId="77777777" w:rsidR="003A0E36" w:rsidRDefault="003A0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10"/>
      <w:docPartObj>
        <w:docPartGallery w:val="Page Numbers (Bottom of Page)"/>
        <w:docPartUnique/>
      </w:docPartObj>
    </w:sdtPr>
    <w:sdtEndPr/>
    <w:sdtContent>
      <w:p w14:paraId="1B7B3CE8" w14:textId="77777777" w:rsidR="009573B1" w:rsidRDefault="009573B1" w:rsidP="002D7652">
        <w:pPr>
          <w:pStyle w:val="Noindent"/>
          <w:jc w:val="center"/>
        </w:pPr>
        <w:r>
          <w:fldChar w:fldCharType="begin"/>
        </w:r>
        <w:r>
          <w:instrText xml:space="preserve"> PAGE   \* MERGEFORMAT </w:instrText>
        </w:r>
        <w:r>
          <w:fldChar w:fldCharType="separate"/>
        </w:r>
        <w:r>
          <w:rPr>
            <w:noProof/>
          </w:rPr>
          <w:t>4</w:t>
        </w:r>
        <w:r>
          <w:rPr>
            <w:noProof/>
          </w:rPr>
          <w:fldChar w:fldCharType="end"/>
        </w:r>
      </w:p>
    </w:sdtContent>
  </w:sdt>
  <w:p w14:paraId="61DC512B" w14:textId="77777777" w:rsidR="009573B1" w:rsidRDefault="009573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F808" w14:textId="77777777" w:rsidR="003A0E36" w:rsidRDefault="003A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6BFA" w14:textId="77777777" w:rsidR="004138FC" w:rsidRDefault="004138FC" w:rsidP="00285EC4">
      <w:pPr>
        <w:spacing w:line="240" w:lineRule="auto"/>
      </w:pPr>
      <w:r>
        <w:separator/>
      </w:r>
    </w:p>
  </w:footnote>
  <w:footnote w:type="continuationSeparator" w:id="0">
    <w:p w14:paraId="335B9EAA" w14:textId="77777777" w:rsidR="004138FC" w:rsidRDefault="004138FC" w:rsidP="00285EC4">
      <w:pPr>
        <w:spacing w:line="240" w:lineRule="auto"/>
      </w:pPr>
      <w:r>
        <w:continuationSeparator/>
      </w:r>
    </w:p>
  </w:footnote>
  <w:footnote w:type="continuationNotice" w:id="1">
    <w:p w14:paraId="7DE6378E" w14:textId="77777777" w:rsidR="004138FC" w:rsidRDefault="004138FC">
      <w:pPr>
        <w:spacing w:line="240" w:lineRule="auto"/>
      </w:pPr>
    </w:p>
  </w:footnote>
  <w:footnote w:id="2">
    <w:p w14:paraId="2A5B6857" w14:textId="5B1BF0D2" w:rsidR="00C36280" w:rsidRPr="00F44CA6" w:rsidRDefault="00C36280" w:rsidP="002B23B8">
      <w:pPr>
        <w:pStyle w:val="FootnoteText"/>
        <w:spacing w:after="0"/>
        <w:rPr>
          <w:sz w:val="26"/>
        </w:rPr>
      </w:pPr>
      <w:r w:rsidRPr="00037049">
        <w:rPr>
          <w:rStyle w:val="FootnoteReference"/>
          <w:b w:val="0"/>
          <w:sz w:val="26"/>
          <w:vertAlign w:val="baseline"/>
        </w:rPr>
        <w:footnoteRef/>
      </w:r>
      <w:r w:rsidRPr="00037049">
        <w:t xml:space="preserve"> </w:t>
      </w:r>
      <w:r>
        <w:tab/>
      </w:r>
      <w:r w:rsidRPr="00F44CA6">
        <w:rPr>
          <w:sz w:val="26"/>
        </w:rPr>
        <w:t>Unless otherwise indicated, all statutory references are to the Government Code.</w:t>
      </w:r>
    </w:p>
  </w:footnote>
  <w:footnote w:id="3">
    <w:p w14:paraId="55C30794" w14:textId="07F222D6" w:rsidR="009573B1" w:rsidRPr="009F1E1C" w:rsidRDefault="009573B1" w:rsidP="006C65CE">
      <w:pPr>
        <w:pStyle w:val="FootnoteText"/>
      </w:pPr>
      <w:r w:rsidRPr="00037049">
        <w:rPr>
          <w:rStyle w:val="FootnoteReference"/>
          <w:b w:val="0"/>
          <w:sz w:val="26"/>
          <w:vertAlign w:val="baseline"/>
        </w:rPr>
        <w:footnoteRef/>
      </w:r>
      <w:r w:rsidRPr="00037049">
        <w:t xml:space="preserve"> </w:t>
      </w:r>
      <w:r>
        <w:tab/>
      </w:r>
      <w:r>
        <w:rPr>
          <w:sz w:val="26"/>
        </w:rPr>
        <w:t xml:space="preserve">Because the return does not contain a demurrer or a verified answer, as required by California Rules of Court, rule 8.487(b)(1) and Code of Civil Procedure section 1089, the Cohens assert it should be stricken. (See Cal. Rules of Court, rule 8.487(b)(1) [where an order to show cause is issued, “any real party in interest . . . may serve and file a return by demurrer, verified answer, or both”]; see also Code Civ. Proc., § 1089 [“the party upon whom the writ or notice has been served may make a return by demurrer, verified answer or both”].) While we decline to strike the return, we will </w:t>
      </w:r>
      <w:r w:rsidR="00071A34">
        <w:rPr>
          <w:sz w:val="26"/>
        </w:rPr>
        <w:t xml:space="preserve">deem </w:t>
      </w:r>
      <w:r>
        <w:rPr>
          <w:sz w:val="26"/>
        </w:rPr>
        <w:t xml:space="preserve">the factual allegations in the Cohens’ petition true </w:t>
      </w:r>
      <w:r w:rsidR="00071A34">
        <w:rPr>
          <w:sz w:val="26"/>
        </w:rPr>
        <w:t>because</w:t>
      </w:r>
      <w:r>
        <w:rPr>
          <w:sz w:val="26"/>
        </w:rPr>
        <w:t xml:space="preserve"> the </w:t>
      </w:r>
      <w:proofErr w:type="spellStart"/>
      <w:r>
        <w:rPr>
          <w:sz w:val="26"/>
        </w:rPr>
        <w:t>Schwartzes</w:t>
      </w:r>
      <w:proofErr w:type="spellEnd"/>
      <w:r w:rsidR="00071A34">
        <w:rPr>
          <w:sz w:val="26"/>
        </w:rPr>
        <w:t xml:space="preserve"> </w:t>
      </w:r>
      <w:r>
        <w:rPr>
          <w:sz w:val="26"/>
        </w:rPr>
        <w:t>fail</w:t>
      </w:r>
      <w:r w:rsidR="00071A34">
        <w:rPr>
          <w:sz w:val="26"/>
        </w:rPr>
        <w:t>ed</w:t>
      </w:r>
      <w:r>
        <w:rPr>
          <w:sz w:val="26"/>
        </w:rPr>
        <w:t xml:space="preserve"> to answer or </w:t>
      </w:r>
      <w:r w:rsidR="00733848">
        <w:rPr>
          <w:sz w:val="26"/>
        </w:rPr>
        <w:t>file a</w:t>
      </w:r>
      <w:r w:rsidR="00071A34">
        <w:rPr>
          <w:sz w:val="26"/>
        </w:rPr>
        <w:t xml:space="preserve"> </w:t>
      </w:r>
      <w:r>
        <w:rPr>
          <w:sz w:val="26"/>
        </w:rPr>
        <w:t>demurrer</w:t>
      </w:r>
      <w:r w:rsidR="00071A34">
        <w:rPr>
          <w:sz w:val="26"/>
        </w:rPr>
        <w:t xml:space="preserve"> to the petition</w:t>
      </w:r>
      <w:r>
        <w:rPr>
          <w:sz w:val="26"/>
        </w:rPr>
        <w:t>. (</w:t>
      </w:r>
      <w:r>
        <w:rPr>
          <w:i/>
          <w:sz w:val="26"/>
        </w:rPr>
        <w:t xml:space="preserve">Dorsey v. Superior Court </w:t>
      </w:r>
      <w:r>
        <w:rPr>
          <w:sz w:val="26"/>
        </w:rPr>
        <w:t xml:space="preserve">(2015) 241 Cal.App.4th 583, 589.) </w:t>
      </w:r>
    </w:p>
  </w:footnote>
  <w:footnote w:id="4">
    <w:p w14:paraId="6F9BEBDA" w14:textId="2044AB02" w:rsidR="009573B1" w:rsidRPr="003F30A2" w:rsidRDefault="009573B1" w:rsidP="002B23B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sidR="001E1811" w:rsidRPr="008E2DCB">
        <w:rPr>
          <w:sz w:val="26"/>
        </w:rPr>
        <w:t xml:space="preserve">We grant </w:t>
      </w:r>
      <w:r w:rsidR="00402F5B" w:rsidRPr="008E2DCB">
        <w:rPr>
          <w:sz w:val="26"/>
        </w:rPr>
        <w:t>t</w:t>
      </w:r>
      <w:r w:rsidRPr="008E2DCB">
        <w:rPr>
          <w:sz w:val="26"/>
        </w:rPr>
        <w:t xml:space="preserve">he City Amici’s request for judicial notice. </w:t>
      </w:r>
      <w:r w:rsidR="001E1811" w:rsidRPr="008E2DCB">
        <w:rPr>
          <w:sz w:val="26"/>
        </w:rPr>
        <w:t xml:space="preserve">We deny </w:t>
      </w:r>
      <w:r w:rsidRPr="008E2DCB">
        <w:rPr>
          <w:sz w:val="26"/>
        </w:rPr>
        <w:t>Fay Arfa’s</w:t>
      </w:r>
      <w:r>
        <w:rPr>
          <w:sz w:val="26"/>
        </w:rPr>
        <w:t xml:space="preserve"> application to file an amicus brief.</w:t>
      </w:r>
    </w:p>
  </w:footnote>
  <w:footnote w:id="5">
    <w:p w14:paraId="4EEE5933" w14:textId="725C0392" w:rsidR="009573B1" w:rsidRPr="003F30A2" w:rsidRDefault="009573B1" w:rsidP="002B23B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proofErr w:type="gramStart"/>
      <w:r>
        <w:rPr>
          <w:sz w:val="26"/>
        </w:rPr>
        <w:t>In light of</w:t>
      </w:r>
      <w:proofErr w:type="gramEnd"/>
      <w:r>
        <w:rPr>
          <w:sz w:val="26"/>
        </w:rPr>
        <w:t xml:space="preserve"> this</w:t>
      </w:r>
      <w:r w:rsidR="00C36280">
        <w:rPr>
          <w:sz w:val="26"/>
        </w:rPr>
        <w:t xml:space="preserve"> </w:t>
      </w:r>
      <w:r w:rsidR="00AF422F" w:rsidRPr="007F6B3B">
        <w:rPr>
          <w:sz w:val="26"/>
        </w:rPr>
        <w:t>ruling</w:t>
      </w:r>
      <w:r w:rsidRPr="007F6B3B">
        <w:rPr>
          <w:sz w:val="26"/>
        </w:rPr>
        <w:t xml:space="preserve">, </w:t>
      </w:r>
      <w:r w:rsidR="00087D2D" w:rsidRPr="007F6B3B">
        <w:rPr>
          <w:sz w:val="26"/>
        </w:rPr>
        <w:t xml:space="preserve">we deny as moot the </w:t>
      </w:r>
      <w:r w:rsidRPr="007F6B3B">
        <w:rPr>
          <w:sz w:val="26"/>
        </w:rPr>
        <w:t>City Amici’s motion for leave to file opposition to the motion to</w:t>
      </w:r>
      <w:r>
        <w:rPr>
          <w:sz w:val="26"/>
        </w:rPr>
        <w:t xml:space="preserve"> dismiss.</w:t>
      </w:r>
    </w:p>
  </w:footnote>
  <w:footnote w:id="6">
    <w:p w14:paraId="45E381AC" w14:textId="7BC87F43" w:rsidR="009573B1" w:rsidRPr="00265717" w:rsidRDefault="009573B1" w:rsidP="002B23B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sidRPr="00265717">
        <w:rPr>
          <w:sz w:val="26"/>
        </w:rPr>
        <w:t>We</w:t>
      </w:r>
      <w:r>
        <w:rPr>
          <w:sz w:val="26"/>
        </w:rPr>
        <w:t xml:space="preserve"> explain </w:t>
      </w:r>
      <w:r w:rsidRPr="00265717">
        <w:rPr>
          <w:sz w:val="26"/>
        </w:rPr>
        <w:t>the ambiguity in the statute’s plain language in section I</w:t>
      </w:r>
      <w:r>
        <w:rPr>
          <w:sz w:val="26"/>
        </w:rPr>
        <w:t>V</w:t>
      </w:r>
      <w:r w:rsidRPr="00265717">
        <w:rPr>
          <w:sz w:val="26"/>
        </w:rPr>
        <w:t>.B.1</w:t>
      </w:r>
      <w:r>
        <w:rPr>
          <w:sz w:val="26"/>
        </w:rPr>
        <w:t xml:space="preserve"> below</w:t>
      </w:r>
      <w:r w:rsidRPr="00265717">
        <w:rPr>
          <w:sz w:val="26"/>
        </w:rPr>
        <w:t>.</w:t>
      </w:r>
    </w:p>
  </w:footnote>
  <w:footnote w:id="7">
    <w:p w14:paraId="3A2CCC53" w14:textId="06AF61B2" w:rsidR="009573B1" w:rsidRPr="00631C3C" w:rsidRDefault="009573B1" w:rsidP="002B23B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Pr>
          <w:sz w:val="26"/>
        </w:rPr>
        <w:t xml:space="preserve">For the first time in the original proceedings in this court, the </w:t>
      </w:r>
      <w:proofErr w:type="spellStart"/>
      <w:r>
        <w:rPr>
          <w:sz w:val="26"/>
        </w:rPr>
        <w:t>Schwartzes</w:t>
      </w:r>
      <w:proofErr w:type="spellEnd"/>
      <w:r>
        <w:rPr>
          <w:sz w:val="26"/>
        </w:rPr>
        <w:t xml:space="preserve"> contend they need not rely on section 36900 to assert their claims based on the Cohens’ alleged violations of the LAMC. Specifically, they assert “California law has long held a private person who suffers identifiable harm by reason of a violation of a municipal zoning law may sue the violator, including seeking injunctive relief.” We address their arguments on this point in section V below. </w:t>
      </w:r>
    </w:p>
  </w:footnote>
  <w:footnote w:id="8">
    <w:p w14:paraId="7A69420E" w14:textId="52F6E64E" w:rsidR="009573B1" w:rsidRPr="0010081E" w:rsidRDefault="009573B1" w:rsidP="002B23B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sidRPr="00733678">
        <w:rPr>
          <w:sz w:val="26"/>
        </w:rPr>
        <w:t xml:space="preserve">The </w:t>
      </w:r>
      <w:proofErr w:type="spellStart"/>
      <w:r w:rsidR="00735674" w:rsidRPr="00733678">
        <w:rPr>
          <w:sz w:val="26"/>
        </w:rPr>
        <w:t>Schwartzes</w:t>
      </w:r>
      <w:proofErr w:type="spellEnd"/>
      <w:r w:rsidRPr="00733678">
        <w:rPr>
          <w:sz w:val="26"/>
        </w:rPr>
        <w:t xml:space="preserve"> also rely on two other principle</w:t>
      </w:r>
      <w:r w:rsidR="00202981" w:rsidRPr="00733678">
        <w:rPr>
          <w:sz w:val="26"/>
        </w:rPr>
        <w:t>s</w:t>
      </w:r>
      <w:r w:rsidRPr="00733678">
        <w:rPr>
          <w:sz w:val="26"/>
        </w:rPr>
        <w:t xml:space="preserve"> of statutory</w:t>
      </w:r>
      <w:r>
        <w:rPr>
          <w:sz w:val="26"/>
        </w:rPr>
        <w:t xml:space="preserve"> construction to contend section 36900, subdivision (a) creates a private right of action. Under the first principle, known as the last antecedent rule, “‘qualifying words, phrases and clauses are to be applied to the words or phrases immediately preceding and are not to be construed as extending to or including others more remote.’” (</w:t>
      </w:r>
      <w:r>
        <w:rPr>
          <w:i/>
          <w:sz w:val="26"/>
        </w:rPr>
        <w:t xml:space="preserve">White v. County of Sacramento </w:t>
      </w:r>
      <w:r>
        <w:rPr>
          <w:sz w:val="26"/>
        </w:rPr>
        <w:t xml:space="preserve">(1982) 31 Cal.3d 676, 680.) The second principle, known as </w:t>
      </w:r>
      <w:proofErr w:type="spellStart"/>
      <w:r>
        <w:rPr>
          <w:i/>
          <w:sz w:val="26"/>
        </w:rPr>
        <w:t>expressio</w:t>
      </w:r>
      <w:proofErr w:type="spellEnd"/>
      <w:r>
        <w:rPr>
          <w:i/>
          <w:sz w:val="26"/>
        </w:rPr>
        <w:t xml:space="preserve"> </w:t>
      </w:r>
      <w:proofErr w:type="spellStart"/>
      <w:r>
        <w:rPr>
          <w:i/>
          <w:sz w:val="26"/>
        </w:rPr>
        <w:t>unius</w:t>
      </w:r>
      <w:proofErr w:type="spellEnd"/>
      <w:r>
        <w:rPr>
          <w:i/>
          <w:sz w:val="26"/>
        </w:rPr>
        <w:t xml:space="preserve"> </w:t>
      </w:r>
      <w:proofErr w:type="spellStart"/>
      <w:r>
        <w:rPr>
          <w:i/>
          <w:sz w:val="26"/>
        </w:rPr>
        <w:t>est</w:t>
      </w:r>
      <w:proofErr w:type="spellEnd"/>
      <w:r>
        <w:rPr>
          <w:i/>
          <w:sz w:val="26"/>
        </w:rPr>
        <w:t xml:space="preserve"> </w:t>
      </w:r>
      <w:proofErr w:type="spellStart"/>
      <w:r>
        <w:rPr>
          <w:i/>
          <w:sz w:val="26"/>
        </w:rPr>
        <w:t>exclusio</w:t>
      </w:r>
      <w:proofErr w:type="spellEnd"/>
      <w:r>
        <w:rPr>
          <w:i/>
          <w:sz w:val="26"/>
        </w:rPr>
        <w:t xml:space="preserve"> </w:t>
      </w:r>
      <w:proofErr w:type="spellStart"/>
      <w:r w:rsidRPr="00BE2898">
        <w:rPr>
          <w:i/>
          <w:sz w:val="26"/>
        </w:rPr>
        <w:t>alterius</w:t>
      </w:r>
      <w:proofErr w:type="spellEnd"/>
      <w:r>
        <w:rPr>
          <w:sz w:val="26"/>
        </w:rPr>
        <w:t xml:space="preserve">, “means that ‘the expression of certain things in a statute necessarily involves exclusion of other things not expressed </w:t>
      </w:r>
      <w:proofErr w:type="gramStart"/>
      <w:r>
        <w:rPr>
          <w:sz w:val="26"/>
        </w:rPr>
        <w:t>. . . .</w:t>
      </w:r>
      <w:proofErr w:type="gramEnd"/>
      <w:r>
        <w:rPr>
          <w:sz w:val="26"/>
        </w:rPr>
        <w:t>’” (</w:t>
      </w:r>
      <w:r>
        <w:rPr>
          <w:i/>
          <w:sz w:val="26"/>
        </w:rPr>
        <w:t xml:space="preserve">Center for Community Action &amp; Environmental Justice v. City of Moreno Valley </w:t>
      </w:r>
      <w:r>
        <w:rPr>
          <w:sz w:val="26"/>
        </w:rPr>
        <w:t xml:space="preserve">(2018) 26 Cal.App.5th 689, 699.) Neither of these principles apply here. </w:t>
      </w:r>
      <w:r w:rsidRPr="00BE2898">
        <w:rPr>
          <w:sz w:val="26"/>
        </w:rPr>
        <w:t>In</w:t>
      </w:r>
      <w:r>
        <w:rPr>
          <w:sz w:val="26"/>
        </w:rPr>
        <w:t xml:space="preserve"> interpreting section 36900, subdivision (a), we are not determining the application of any qualifying words to certain preceding phrases. And, nowhere in the statute did the Legislature expressly identify the individuals to whom it granted the right to seek redress by civil action, and thereby exclude all others not mentioned. </w:t>
      </w:r>
    </w:p>
  </w:footnote>
  <w:footnote w:id="9">
    <w:p w14:paraId="14BDAC8D" w14:textId="13962267" w:rsidR="009573B1" w:rsidRPr="007640D6" w:rsidRDefault="009573B1">
      <w:pPr>
        <w:pStyle w:val="FootnoteText"/>
        <w:rPr>
          <w:sz w:val="26"/>
        </w:rPr>
      </w:pPr>
      <w:r w:rsidRPr="00037049">
        <w:rPr>
          <w:rStyle w:val="FootnoteReference"/>
          <w:b w:val="0"/>
          <w:sz w:val="26"/>
          <w:vertAlign w:val="baseline"/>
        </w:rPr>
        <w:footnoteRef/>
      </w:r>
      <w:r w:rsidRPr="00037049">
        <w:rPr>
          <w:b/>
          <w:sz w:val="26"/>
        </w:rPr>
        <w:t xml:space="preserve"> </w:t>
      </w:r>
      <w:r>
        <w:rPr>
          <w:b/>
          <w:sz w:val="26"/>
        </w:rPr>
        <w:tab/>
      </w:r>
      <w:r w:rsidR="002B63D4" w:rsidRPr="00CB6805">
        <w:rPr>
          <w:sz w:val="26"/>
        </w:rPr>
        <w:t>We grant</w:t>
      </w:r>
      <w:r w:rsidR="002B63D4">
        <w:rPr>
          <w:b/>
          <w:sz w:val="26"/>
        </w:rPr>
        <w:t xml:space="preserve"> </w:t>
      </w:r>
      <w:r w:rsidR="002B63D4">
        <w:rPr>
          <w:sz w:val="26"/>
        </w:rPr>
        <w:t>t</w:t>
      </w:r>
      <w:r>
        <w:rPr>
          <w:sz w:val="26"/>
        </w:rPr>
        <w:t xml:space="preserve">he </w:t>
      </w:r>
      <w:r w:rsidRPr="00733678">
        <w:rPr>
          <w:sz w:val="26"/>
        </w:rPr>
        <w:t xml:space="preserve">Cohens’ </w:t>
      </w:r>
      <w:r w:rsidR="001E1811" w:rsidRPr="00733678">
        <w:rPr>
          <w:sz w:val="26"/>
        </w:rPr>
        <w:t xml:space="preserve">first </w:t>
      </w:r>
      <w:r w:rsidRPr="00733678">
        <w:rPr>
          <w:sz w:val="26"/>
        </w:rPr>
        <w:t>request for judicial notice and their supplemental request for judicial notice</w:t>
      </w:r>
      <w:r w:rsidR="002B63D4" w:rsidRPr="00733678">
        <w:rPr>
          <w:sz w:val="26"/>
        </w:rPr>
        <w:t>.</w:t>
      </w:r>
      <w:r w:rsidRPr="00733678">
        <w:rPr>
          <w:sz w:val="26"/>
        </w:rPr>
        <w:t xml:space="preserve"> Likewise,</w:t>
      </w:r>
      <w:r w:rsidR="002B63D4" w:rsidRPr="00733678">
        <w:rPr>
          <w:sz w:val="26"/>
        </w:rPr>
        <w:t xml:space="preserve"> we grant</w:t>
      </w:r>
      <w:r w:rsidRPr="00733678">
        <w:rPr>
          <w:sz w:val="26"/>
        </w:rPr>
        <w:t xml:space="preserve"> the </w:t>
      </w:r>
      <w:proofErr w:type="spellStart"/>
      <w:r w:rsidRPr="00733678">
        <w:rPr>
          <w:sz w:val="26"/>
        </w:rPr>
        <w:t>Schwartzes</w:t>
      </w:r>
      <w:proofErr w:type="spellEnd"/>
      <w:r w:rsidRPr="00733678">
        <w:rPr>
          <w:sz w:val="26"/>
        </w:rPr>
        <w:t xml:space="preserve">’ amended request for judicial notice. However, </w:t>
      </w:r>
      <w:r w:rsidR="002B63D4" w:rsidRPr="00733678">
        <w:rPr>
          <w:sz w:val="26"/>
        </w:rPr>
        <w:t xml:space="preserve">we deny </w:t>
      </w:r>
      <w:r w:rsidRPr="00733678">
        <w:rPr>
          <w:sz w:val="26"/>
        </w:rPr>
        <w:t xml:space="preserve">the Cohens’ </w:t>
      </w:r>
      <w:r w:rsidR="001E1811" w:rsidRPr="00733678">
        <w:rPr>
          <w:sz w:val="26"/>
        </w:rPr>
        <w:t xml:space="preserve">final </w:t>
      </w:r>
      <w:r w:rsidRPr="00733678">
        <w:rPr>
          <w:sz w:val="26"/>
        </w:rPr>
        <w:t>motion for judicial notice</w:t>
      </w:r>
      <w:r w:rsidR="001E1811" w:rsidRPr="00733678">
        <w:rPr>
          <w:sz w:val="26"/>
        </w:rPr>
        <w:t xml:space="preserve"> </w:t>
      </w:r>
      <w:r w:rsidR="009850AA" w:rsidRPr="00733678">
        <w:rPr>
          <w:sz w:val="26"/>
        </w:rPr>
        <w:t>for failure to demonstrate relevance</w:t>
      </w:r>
      <w:r w:rsidR="00CB6805" w:rsidRPr="00733678">
        <w:rPr>
          <w:sz w:val="26"/>
        </w:rPr>
        <w:t>.</w:t>
      </w:r>
      <w:r w:rsidR="002B63D4" w:rsidRPr="00733678">
        <w:rPr>
          <w:sz w:val="26"/>
        </w:rPr>
        <w:t xml:space="preserve"> </w:t>
      </w:r>
    </w:p>
  </w:footnote>
  <w:footnote w:id="10">
    <w:p w14:paraId="1DAEAB28" w14:textId="334AD10F" w:rsidR="009573B1" w:rsidRPr="008E04EE" w:rsidRDefault="009573B1" w:rsidP="002B23B8">
      <w:pPr>
        <w:pStyle w:val="FootnoteText"/>
        <w:spacing w:after="0"/>
        <w:rPr>
          <w:sz w:val="26"/>
        </w:rPr>
      </w:pPr>
      <w:r w:rsidRPr="00037049">
        <w:rPr>
          <w:rStyle w:val="FootnoteReference"/>
          <w:b w:val="0"/>
          <w:sz w:val="26"/>
          <w:vertAlign w:val="baseline"/>
        </w:rPr>
        <w:footnoteRef/>
      </w:r>
      <w:r w:rsidRPr="00037049">
        <w:rPr>
          <w:b/>
          <w:sz w:val="26"/>
        </w:rPr>
        <w:t xml:space="preserve"> </w:t>
      </w:r>
      <w:r>
        <w:rPr>
          <w:b/>
          <w:sz w:val="26"/>
        </w:rPr>
        <w:tab/>
      </w:r>
      <w:r>
        <w:rPr>
          <w:sz w:val="26"/>
        </w:rPr>
        <w:t xml:space="preserve">We refer to these predecessor statutes as section 769 and section 867, respectively. </w:t>
      </w:r>
    </w:p>
  </w:footnote>
  <w:footnote w:id="11">
    <w:p w14:paraId="0B7A0AB0" w14:textId="612E8A0F" w:rsidR="009573B1" w:rsidRPr="006A2424" w:rsidRDefault="009573B1" w:rsidP="002B23B8">
      <w:pPr>
        <w:pStyle w:val="FootnoteText"/>
        <w:spacing w:after="0"/>
        <w:rPr>
          <w:sz w:val="26"/>
        </w:rPr>
      </w:pPr>
      <w:r w:rsidRPr="00037049">
        <w:rPr>
          <w:rStyle w:val="FootnoteReference"/>
          <w:b w:val="0"/>
          <w:sz w:val="26"/>
          <w:vertAlign w:val="baseline"/>
        </w:rPr>
        <w:footnoteRef/>
      </w:r>
      <w:r w:rsidRPr="00037049">
        <w:rPr>
          <w:b/>
          <w:sz w:val="26"/>
          <w:vertAlign w:val="superscript"/>
        </w:rPr>
        <w:t xml:space="preserve"> </w:t>
      </w:r>
      <w:r>
        <w:rPr>
          <w:b/>
          <w:sz w:val="26"/>
        </w:rPr>
        <w:tab/>
      </w:r>
      <w:r w:rsidRPr="00ED1180">
        <w:rPr>
          <w:sz w:val="26"/>
        </w:rPr>
        <w:t>Created in 1929,</w:t>
      </w:r>
      <w:r>
        <w:rPr>
          <w:b/>
          <w:sz w:val="26"/>
        </w:rPr>
        <w:t xml:space="preserve"> </w:t>
      </w:r>
      <w:r>
        <w:rPr>
          <w:sz w:val="26"/>
        </w:rPr>
        <w:t xml:space="preserve">the Commission was directed by the Legislature to “revise all the laws of the State.” Among other duties, it was tasked with “[t]he codification, consolidation, compilation, or revision of all statutes in force” and “[t]he suggestion of . . . substantive changes in the existing law as may be deemed proper.” </w:t>
      </w:r>
    </w:p>
  </w:footnote>
  <w:footnote w:id="12">
    <w:p w14:paraId="5021610E" w14:textId="739C674B" w:rsidR="009573B1" w:rsidRPr="0099672E" w:rsidRDefault="009573B1" w:rsidP="002B23B8">
      <w:pPr>
        <w:pStyle w:val="FootnoteText"/>
        <w:spacing w:after="0"/>
        <w:rPr>
          <w:sz w:val="26"/>
        </w:rPr>
      </w:pPr>
      <w:r w:rsidRPr="006D09F3">
        <w:rPr>
          <w:rStyle w:val="FootnoteReference"/>
          <w:b w:val="0"/>
          <w:sz w:val="26"/>
          <w:vertAlign w:val="baseline"/>
        </w:rPr>
        <w:footnoteRef/>
      </w:r>
      <w:r w:rsidRPr="006D09F3">
        <w:rPr>
          <w:b/>
          <w:sz w:val="26"/>
        </w:rPr>
        <w:t xml:space="preserve"> </w:t>
      </w:r>
      <w:r>
        <w:rPr>
          <w:b/>
          <w:sz w:val="26"/>
        </w:rPr>
        <w:tab/>
      </w:r>
      <w:r>
        <w:rPr>
          <w:sz w:val="26"/>
        </w:rPr>
        <w:t>In</w:t>
      </w:r>
      <w:r w:rsidRPr="00B41B98">
        <w:rPr>
          <w:b/>
          <w:sz w:val="26"/>
        </w:rPr>
        <w:t xml:space="preserve"> </w:t>
      </w:r>
      <w:r>
        <w:rPr>
          <w:sz w:val="26"/>
        </w:rPr>
        <w:t xml:space="preserve">addition, to the extent they relied on </w:t>
      </w:r>
      <w:r>
        <w:rPr>
          <w:i/>
          <w:sz w:val="26"/>
        </w:rPr>
        <w:t xml:space="preserve">Riley </w:t>
      </w:r>
      <w:r>
        <w:rPr>
          <w:sz w:val="26"/>
        </w:rPr>
        <w:t xml:space="preserve">to recognize a private right of action under section 36900, subdivision (a), we disapprove of and decline to follow </w:t>
      </w:r>
      <w:r>
        <w:rPr>
          <w:i/>
          <w:sz w:val="26"/>
        </w:rPr>
        <w:t>Amaral v. Cintas Corp. No. 2</w:t>
      </w:r>
      <w:r>
        <w:rPr>
          <w:sz w:val="26"/>
        </w:rPr>
        <w:t xml:space="preserve">, </w:t>
      </w:r>
      <w:r>
        <w:rPr>
          <w:i/>
          <w:sz w:val="26"/>
        </w:rPr>
        <w:t>supra</w:t>
      </w:r>
      <w:r>
        <w:rPr>
          <w:sz w:val="26"/>
        </w:rPr>
        <w:t>, 163 Cal.App.4th at p. 1</w:t>
      </w:r>
      <w:r w:rsidRPr="00A05543">
        <w:rPr>
          <w:sz w:val="26"/>
        </w:rPr>
        <w:t>181, fn. 1</w:t>
      </w:r>
      <w:r w:rsidR="00467229" w:rsidRPr="00A05543">
        <w:rPr>
          <w:sz w:val="26"/>
        </w:rPr>
        <w:t>0</w:t>
      </w:r>
      <w:r w:rsidR="001E3949" w:rsidRPr="00A05543">
        <w:rPr>
          <w:sz w:val="26"/>
        </w:rPr>
        <w:t>,</w:t>
      </w:r>
      <w:r w:rsidR="003B292C" w:rsidRPr="00A05543">
        <w:rPr>
          <w:sz w:val="26"/>
        </w:rPr>
        <w:t xml:space="preserve"> and</w:t>
      </w:r>
      <w:r w:rsidRPr="00A05543">
        <w:rPr>
          <w:sz w:val="26"/>
        </w:rPr>
        <w:t xml:space="preserve"> </w:t>
      </w:r>
      <w:r w:rsidRPr="00A05543">
        <w:rPr>
          <w:i/>
          <w:sz w:val="26"/>
        </w:rPr>
        <w:t>Huntingdon Life Sciences Inc. v. Stop Huntingdon Animal Cruelty</w:t>
      </w:r>
      <w:r>
        <w:rPr>
          <w:i/>
          <w:sz w:val="26"/>
        </w:rPr>
        <w:t xml:space="preserve"> USA, Inc.</w:t>
      </w:r>
      <w:r>
        <w:rPr>
          <w:sz w:val="26"/>
        </w:rPr>
        <w:t xml:space="preserve">, </w:t>
      </w:r>
      <w:r>
        <w:rPr>
          <w:i/>
          <w:sz w:val="26"/>
        </w:rPr>
        <w:t>supra</w:t>
      </w:r>
      <w:r>
        <w:rPr>
          <w:sz w:val="26"/>
        </w:rPr>
        <w:t>, 129 Cal.App.4th at pp. 1263-1264</w:t>
      </w:r>
      <w:r w:rsidR="003B292C">
        <w:rPr>
          <w:sz w:val="26"/>
        </w:rPr>
        <w:t>.</w:t>
      </w:r>
      <w:r w:rsidR="000065B7" w:rsidRPr="0006240A">
        <w:rPr>
          <w:sz w:val="26"/>
        </w:rPr>
        <w:t xml:space="preserve"> </w:t>
      </w:r>
    </w:p>
  </w:footnote>
  <w:footnote w:id="13">
    <w:p w14:paraId="37A3795C" w14:textId="3987458C" w:rsidR="009573B1" w:rsidRPr="000C62C1" w:rsidRDefault="009573B1" w:rsidP="002B23B8">
      <w:pPr>
        <w:pStyle w:val="FootnoteText"/>
        <w:spacing w:after="0"/>
        <w:rPr>
          <w:sz w:val="26"/>
        </w:rPr>
      </w:pPr>
      <w:r w:rsidRPr="006D09F3">
        <w:rPr>
          <w:rStyle w:val="FootnoteReference"/>
          <w:b w:val="0"/>
          <w:sz w:val="26"/>
          <w:vertAlign w:val="baseline"/>
        </w:rPr>
        <w:footnoteRef/>
      </w:r>
      <w:r w:rsidRPr="006D09F3">
        <w:rPr>
          <w:b/>
          <w:sz w:val="26"/>
        </w:rPr>
        <w:t xml:space="preserve"> </w:t>
      </w:r>
      <w:r>
        <w:rPr>
          <w:b/>
          <w:sz w:val="26"/>
        </w:rPr>
        <w:tab/>
      </w:r>
      <w:r>
        <w:rPr>
          <w:sz w:val="26"/>
        </w:rPr>
        <w:t xml:space="preserve">For this reason, we conclude the </w:t>
      </w:r>
      <w:proofErr w:type="spellStart"/>
      <w:r>
        <w:rPr>
          <w:sz w:val="26"/>
        </w:rPr>
        <w:t>Schwartzes</w:t>
      </w:r>
      <w:proofErr w:type="spellEnd"/>
      <w:r>
        <w:rPr>
          <w:sz w:val="26"/>
        </w:rPr>
        <w:t xml:space="preserve"> have already had the opportunity to “bolster their allegations of ‘special injury’ or ‘particular welfare’” sought in their return and deny their request for leave to “amend their complaint in light of this [c]</w:t>
      </w:r>
      <w:proofErr w:type="spellStart"/>
      <w:r>
        <w:rPr>
          <w:sz w:val="26"/>
        </w:rPr>
        <w:t>ourt’s</w:t>
      </w:r>
      <w:proofErr w:type="spellEnd"/>
      <w:r>
        <w:rPr>
          <w:sz w:val="26"/>
        </w:rPr>
        <w:t xml:space="preserve"> decision” to overrule </w:t>
      </w:r>
      <w:r>
        <w:rPr>
          <w:i/>
          <w:sz w:val="26"/>
        </w:rPr>
        <w:t>Riley</w:t>
      </w:r>
      <w:r>
        <w:rPr>
          <w:sz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C99" w14:textId="77777777" w:rsidR="003A0E36" w:rsidRDefault="003A0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75D6" w14:textId="77777777" w:rsidR="003A0E36" w:rsidRDefault="003A0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FE7E" w14:textId="77777777" w:rsidR="003A0E36" w:rsidRDefault="003A0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606B"/>
    <w:multiLevelType w:val="multilevel"/>
    <w:tmpl w:val="CE1EE9EA"/>
    <w:lvl w:ilvl="0">
      <w:start w:val="1"/>
      <w:numFmt w:val="decimal"/>
      <w:pStyle w:val="Heading2"/>
      <w:lvlText w:val="%1."/>
      <w:lvlJc w:val="left"/>
      <w:pPr>
        <w:ind w:left="720" w:hanging="720"/>
      </w:pPr>
      <w:rPr>
        <w:rFonts w:ascii="Century Schoolbook" w:hAnsi="Century Schoolbook" w:hint="default"/>
        <w:b/>
        <w:i w:val="0"/>
        <w:sz w:val="26"/>
      </w:rPr>
    </w:lvl>
    <w:lvl w:ilvl="1">
      <w:start w:val="1"/>
      <w:numFmt w:val="decimal"/>
      <w:pStyle w:val="Heading3"/>
      <w:lvlText w:val="%1.%2."/>
      <w:lvlJc w:val="left"/>
      <w:pPr>
        <w:tabs>
          <w:tab w:val="num" w:pos="1440"/>
        </w:tabs>
        <w:ind w:left="1440" w:hanging="720"/>
      </w:pPr>
      <w:rPr>
        <w:rFonts w:ascii="Century Schoolbook" w:hAnsi="Century Schoolbook" w:hint="default"/>
        <w:b/>
        <w:i w:val="0"/>
        <w:kern w:val="20"/>
        <w:sz w:val="26"/>
      </w:rPr>
    </w:lvl>
    <w:lvl w:ilvl="2">
      <w:start w:val="1"/>
      <w:numFmt w:val="decimal"/>
      <w:pStyle w:val="Heading4"/>
      <w:lvlText w:val="%1.%2.%3."/>
      <w:lvlJc w:val="left"/>
      <w:pPr>
        <w:tabs>
          <w:tab w:val="num" w:pos="1627"/>
        </w:tabs>
        <w:ind w:left="1627" w:hanging="907"/>
      </w:pPr>
      <w:rPr>
        <w:rFonts w:ascii="Century Schoolbook" w:hAnsi="Century Schoolbook"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A4E646F"/>
    <w:multiLevelType w:val="hybridMultilevel"/>
    <w:tmpl w:val="3948EF64"/>
    <w:lvl w:ilvl="0" w:tplc="5BD43366">
      <w:start w:val="1"/>
      <w:numFmt w:val="bullet"/>
      <w:pStyle w:val="ListParagrap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1189760">
    <w:abstractNumId w:val="0"/>
  </w:num>
  <w:num w:numId="2" w16cid:durableId="1257178729">
    <w:abstractNumId w:val="1"/>
  </w:num>
  <w:num w:numId="3" w16cid:durableId="2016036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C4"/>
    <w:rsid w:val="0000326C"/>
    <w:rsid w:val="00003864"/>
    <w:rsid w:val="000065B7"/>
    <w:rsid w:val="00010833"/>
    <w:rsid w:val="00010CAA"/>
    <w:rsid w:val="00012306"/>
    <w:rsid w:val="00012A35"/>
    <w:rsid w:val="00012C4A"/>
    <w:rsid w:val="00016B62"/>
    <w:rsid w:val="00017302"/>
    <w:rsid w:val="00021454"/>
    <w:rsid w:val="00021BD4"/>
    <w:rsid w:val="000260B2"/>
    <w:rsid w:val="00027DF2"/>
    <w:rsid w:val="000347D0"/>
    <w:rsid w:val="000367DB"/>
    <w:rsid w:val="00037049"/>
    <w:rsid w:val="00041666"/>
    <w:rsid w:val="0004223A"/>
    <w:rsid w:val="00052699"/>
    <w:rsid w:val="00053012"/>
    <w:rsid w:val="000547D4"/>
    <w:rsid w:val="00054820"/>
    <w:rsid w:val="0005691A"/>
    <w:rsid w:val="000569A1"/>
    <w:rsid w:val="0006240A"/>
    <w:rsid w:val="00064783"/>
    <w:rsid w:val="00065F8D"/>
    <w:rsid w:val="00066DF7"/>
    <w:rsid w:val="0007004F"/>
    <w:rsid w:val="000713D2"/>
    <w:rsid w:val="00071A34"/>
    <w:rsid w:val="0007428F"/>
    <w:rsid w:val="00074807"/>
    <w:rsid w:val="000748E8"/>
    <w:rsid w:val="0007601D"/>
    <w:rsid w:val="00077976"/>
    <w:rsid w:val="00077B34"/>
    <w:rsid w:val="000805C6"/>
    <w:rsid w:val="0008099A"/>
    <w:rsid w:val="00081FF4"/>
    <w:rsid w:val="00085B8F"/>
    <w:rsid w:val="00087297"/>
    <w:rsid w:val="00087D2D"/>
    <w:rsid w:val="0009098C"/>
    <w:rsid w:val="00090AE9"/>
    <w:rsid w:val="00093697"/>
    <w:rsid w:val="00093E35"/>
    <w:rsid w:val="000953DB"/>
    <w:rsid w:val="00097B53"/>
    <w:rsid w:val="000A14C2"/>
    <w:rsid w:val="000A259C"/>
    <w:rsid w:val="000A4179"/>
    <w:rsid w:val="000A6B9F"/>
    <w:rsid w:val="000B0F49"/>
    <w:rsid w:val="000B0F58"/>
    <w:rsid w:val="000B484F"/>
    <w:rsid w:val="000C019A"/>
    <w:rsid w:val="000C0582"/>
    <w:rsid w:val="000C15C0"/>
    <w:rsid w:val="000C1F2F"/>
    <w:rsid w:val="000C281D"/>
    <w:rsid w:val="000C4F82"/>
    <w:rsid w:val="000C62C1"/>
    <w:rsid w:val="000C70D9"/>
    <w:rsid w:val="000C76B4"/>
    <w:rsid w:val="000D29EA"/>
    <w:rsid w:val="000E34AE"/>
    <w:rsid w:val="000E35EE"/>
    <w:rsid w:val="000F2BEE"/>
    <w:rsid w:val="000F2F26"/>
    <w:rsid w:val="000F441C"/>
    <w:rsid w:val="000F4C1F"/>
    <w:rsid w:val="000F5118"/>
    <w:rsid w:val="000F714F"/>
    <w:rsid w:val="000F75EF"/>
    <w:rsid w:val="0010081E"/>
    <w:rsid w:val="00101F74"/>
    <w:rsid w:val="00102765"/>
    <w:rsid w:val="00104B1B"/>
    <w:rsid w:val="00105E48"/>
    <w:rsid w:val="001074E6"/>
    <w:rsid w:val="001104FF"/>
    <w:rsid w:val="0011260C"/>
    <w:rsid w:val="00112FBA"/>
    <w:rsid w:val="00114C8B"/>
    <w:rsid w:val="001163DD"/>
    <w:rsid w:val="00116ABE"/>
    <w:rsid w:val="0012456B"/>
    <w:rsid w:val="00124CDC"/>
    <w:rsid w:val="00125183"/>
    <w:rsid w:val="00126CFD"/>
    <w:rsid w:val="001367D9"/>
    <w:rsid w:val="00140803"/>
    <w:rsid w:val="00140CBA"/>
    <w:rsid w:val="00142DE8"/>
    <w:rsid w:val="001432B6"/>
    <w:rsid w:val="0014371F"/>
    <w:rsid w:val="00144FBC"/>
    <w:rsid w:val="001464E4"/>
    <w:rsid w:val="00150DD3"/>
    <w:rsid w:val="00153D6A"/>
    <w:rsid w:val="001565DA"/>
    <w:rsid w:val="001567D2"/>
    <w:rsid w:val="00156D36"/>
    <w:rsid w:val="0016128B"/>
    <w:rsid w:val="00162C5F"/>
    <w:rsid w:val="0016443F"/>
    <w:rsid w:val="001673F9"/>
    <w:rsid w:val="001719D3"/>
    <w:rsid w:val="0017212A"/>
    <w:rsid w:val="0018150E"/>
    <w:rsid w:val="00182508"/>
    <w:rsid w:val="0018576C"/>
    <w:rsid w:val="00190B70"/>
    <w:rsid w:val="001913DA"/>
    <w:rsid w:val="00195262"/>
    <w:rsid w:val="001961FE"/>
    <w:rsid w:val="001964DC"/>
    <w:rsid w:val="0019684D"/>
    <w:rsid w:val="001A3B1A"/>
    <w:rsid w:val="001A74D2"/>
    <w:rsid w:val="001B0363"/>
    <w:rsid w:val="001B33B9"/>
    <w:rsid w:val="001B72F9"/>
    <w:rsid w:val="001C16B7"/>
    <w:rsid w:val="001C4824"/>
    <w:rsid w:val="001D0768"/>
    <w:rsid w:val="001D18F1"/>
    <w:rsid w:val="001D1F87"/>
    <w:rsid w:val="001D4FA9"/>
    <w:rsid w:val="001D69B7"/>
    <w:rsid w:val="001D720E"/>
    <w:rsid w:val="001D7247"/>
    <w:rsid w:val="001D788E"/>
    <w:rsid w:val="001E00A7"/>
    <w:rsid w:val="001E00D5"/>
    <w:rsid w:val="001E1811"/>
    <w:rsid w:val="001E3949"/>
    <w:rsid w:val="001E54C7"/>
    <w:rsid w:val="001E6726"/>
    <w:rsid w:val="001F0C4B"/>
    <w:rsid w:val="001F1CF0"/>
    <w:rsid w:val="001F2EE3"/>
    <w:rsid w:val="001F63ED"/>
    <w:rsid w:val="002022CC"/>
    <w:rsid w:val="00202981"/>
    <w:rsid w:val="002051A9"/>
    <w:rsid w:val="0020642E"/>
    <w:rsid w:val="00210587"/>
    <w:rsid w:val="00213966"/>
    <w:rsid w:val="00214663"/>
    <w:rsid w:val="00215697"/>
    <w:rsid w:val="00220682"/>
    <w:rsid w:val="00222846"/>
    <w:rsid w:val="00226EDB"/>
    <w:rsid w:val="0023098D"/>
    <w:rsid w:val="00232787"/>
    <w:rsid w:val="00233ED9"/>
    <w:rsid w:val="0023461F"/>
    <w:rsid w:val="00234B0C"/>
    <w:rsid w:val="00237B08"/>
    <w:rsid w:val="00243DF1"/>
    <w:rsid w:val="00245AF5"/>
    <w:rsid w:val="002465C6"/>
    <w:rsid w:val="00250F4D"/>
    <w:rsid w:val="0025662B"/>
    <w:rsid w:val="00262D23"/>
    <w:rsid w:val="00265717"/>
    <w:rsid w:val="00265DA1"/>
    <w:rsid w:val="0026605B"/>
    <w:rsid w:val="00266858"/>
    <w:rsid w:val="00267281"/>
    <w:rsid w:val="00267510"/>
    <w:rsid w:val="002718E8"/>
    <w:rsid w:val="002728B0"/>
    <w:rsid w:val="00273975"/>
    <w:rsid w:val="002759D2"/>
    <w:rsid w:val="00280174"/>
    <w:rsid w:val="00280B65"/>
    <w:rsid w:val="002826C1"/>
    <w:rsid w:val="00285EC4"/>
    <w:rsid w:val="00293768"/>
    <w:rsid w:val="002941CD"/>
    <w:rsid w:val="002B23B8"/>
    <w:rsid w:val="002B5521"/>
    <w:rsid w:val="002B63D4"/>
    <w:rsid w:val="002C212B"/>
    <w:rsid w:val="002C7B5E"/>
    <w:rsid w:val="002D25AA"/>
    <w:rsid w:val="002D7652"/>
    <w:rsid w:val="002E116D"/>
    <w:rsid w:val="002E1A52"/>
    <w:rsid w:val="002E7E25"/>
    <w:rsid w:val="002E7E69"/>
    <w:rsid w:val="002F389B"/>
    <w:rsid w:val="002F56B2"/>
    <w:rsid w:val="00303177"/>
    <w:rsid w:val="00305974"/>
    <w:rsid w:val="00310394"/>
    <w:rsid w:val="00310E86"/>
    <w:rsid w:val="00311A92"/>
    <w:rsid w:val="00312B71"/>
    <w:rsid w:val="00321B20"/>
    <w:rsid w:val="00321C70"/>
    <w:rsid w:val="00321FA3"/>
    <w:rsid w:val="003222DD"/>
    <w:rsid w:val="003319E6"/>
    <w:rsid w:val="003336F8"/>
    <w:rsid w:val="0033403A"/>
    <w:rsid w:val="0033528C"/>
    <w:rsid w:val="003365E8"/>
    <w:rsid w:val="003411C4"/>
    <w:rsid w:val="003459B4"/>
    <w:rsid w:val="00345DCE"/>
    <w:rsid w:val="003518A4"/>
    <w:rsid w:val="00352673"/>
    <w:rsid w:val="003644A6"/>
    <w:rsid w:val="003743A7"/>
    <w:rsid w:val="003759C1"/>
    <w:rsid w:val="00375BCB"/>
    <w:rsid w:val="00380718"/>
    <w:rsid w:val="00382BA9"/>
    <w:rsid w:val="00383BE8"/>
    <w:rsid w:val="00384C2E"/>
    <w:rsid w:val="003861E0"/>
    <w:rsid w:val="00390D50"/>
    <w:rsid w:val="0039228A"/>
    <w:rsid w:val="003927E9"/>
    <w:rsid w:val="00393C33"/>
    <w:rsid w:val="00396AD3"/>
    <w:rsid w:val="003A0E36"/>
    <w:rsid w:val="003A2A2C"/>
    <w:rsid w:val="003A2C44"/>
    <w:rsid w:val="003A43EE"/>
    <w:rsid w:val="003A6EBF"/>
    <w:rsid w:val="003A7AEF"/>
    <w:rsid w:val="003B292C"/>
    <w:rsid w:val="003C4116"/>
    <w:rsid w:val="003D2204"/>
    <w:rsid w:val="003D2CDD"/>
    <w:rsid w:val="003D32C5"/>
    <w:rsid w:val="003D492D"/>
    <w:rsid w:val="003D4AFC"/>
    <w:rsid w:val="003D5269"/>
    <w:rsid w:val="003E136F"/>
    <w:rsid w:val="003E2346"/>
    <w:rsid w:val="003E2765"/>
    <w:rsid w:val="003F1EB1"/>
    <w:rsid w:val="003F30A2"/>
    <w:rsid w:val="003F3928"/>
    <w:rsid w:val="003F4698"/>
    <w:rsid w:val="003F6CB2"/>
    <w:rsid w:val="0040143B"/>
    <w:rsid w:val="00402F5B"/>
    <w:rsid w:val="00404323"/>
    <w:rsid w:val="00410C3B"/>
    <w:rsid w:val="00412C35"/>
    <w:rsid w:val="00413527"/>
    <w:rsid w:val="004138FC"/>
    <w:rsid w:val="004141CE"/>
    <w:rsid w:val="004144F4"/>
    <w:rsid w:val="0041468E"/>
    <w:rsid w:val="004153F0"/>
    <w:rsid w:val="00415FD2"/>
    <w:rsid w:val="0041653A"/>
    <w:rsid w:val="00420DC0"/>
    <w:rsid w:val="00422CF9"/>
    <w:rsid w:val="00423FA0"/>
    <w:rsid w:val="004240A9"/>
    <w:rsid w:val="00424746"/>
    <w:rsid w:val="00427099"/>
    <w:rsid w:val="00430E0C"/>
    <w:rsid w:val="00431619"/>
    <w:rsid w:val="0044162F"/>
    <w:rsid w:val="00442FB3"/>
    <w:rsid w:val="004437ED"/>
    <w:rsid w:val="00444563"/>
    <w:rsid w:val="004468FF"/>
    <w:rsid w:val="004476AB"/>
    <w:rsid w:val="004546B4"/>
    <w:rsid w:val="004552D2"/>
    <w:rsid w:val="004579BA"/>
    <w:rsid w:val="00462F0B"/>
    <w:rsid w:val="00464928"/>
    <w:rsid w:val="00467229"/>
    <w:rsid w:val="00472419"/>
    <w:rsid w:val="0047402E"/>
    <w:rsid w:val="00475BEF"/>
    <w:rsid w:val="00480321"/>
    <w:rsid w:val="0048079F"/>
    <w:rsid w:val="00483B72"/>
    <w:rsid w:val="00490C78"/>
    <w:rsid w:val="004929F0"/>
    <w:rsid w:val="00493BB1"/>
    <w:rsid w:val="004959A3"/>
    <w:rsid w:val="004964AE"/>
    <w:rsid w:val="0049657C"/>
    <w:rsid w:val="00496C71"/>
    <w:rsid w:val="004A0660"/>
    <w:rsid w:val="004A391A"/>
    <w:rsid w:val="004A4D66"/>
    <w:rsid w:val="004A5557"/>
    <w:rsid w:val="004A6786"/>
    <w:rsid w:val="004A73B1"/>
    <w:rsid w:val="004B31B0"/>
    <w:rsid w:val="004B504D"/>
    <w:rsid w:val="004C197A"/>
    <w:rsid w:val="004C28EA"/>
    <w:rsid w:val="004C4B5A"/>
    <w:rsid w:val="004C57A1"/>
    <w:rsid w:val="004C7573"/>
    <w:rsid w:val="004D08C7"/>
    <w:rsid w:val="004D1AFB"/>
    <w:rsid w:val="004D385A"/>
    <w:rsid w:val="004E118B"/>
    <w:rsid w:val="004E6C95"/>
    <w:rsid w:val="004F6F25"/>
    <w:rsid w:val="004F7191"/>
    <w:rsid w:val="00500E56"/>
    <w:rsid w:val="0050155A"/>
    <w:rsid w:val="00502B7E"/>
    <w:rsid w:val="005067C8"/>
    <w:rsid w:val="0051628E"/>
    <w:rsid w:val="005207A4"/>
    <w:rsid w:val="00523BB9"/>
    <w:rsid w:val="0053011F"/>
    <w:rsid w:val="005314BD"/>
    <w:rsid w:val="005347CA"/>
    <w:rsid w:val="005351B3"/>
    <w:rsid w:val="00536835"/>
    <w:rsid w:val="00541D8B"/>
    <w:rsid w:val="00541F7A"/>
    <w:rsid w:val="005449A7"/>
    <w:rsid w:val="00544AE2"/>
    <w:rsid w:val="00546649"/>
    <w:rsid w:val="00546FC0"/>
    <w:rsid w:val="0055246F"/>
    <w:rsid w:val="00552FDB"/>
    <w:rsid w:val="00555E1C"/>
    <w:rsid w:val="00556523"/>
    <w:rsid w:val="00567E66"/>
    <w:rsid w:val="0057006A"/>
    <w:rsid w:val="00571DCF"/>
    <w:rsid w:val="005758D8"/>
    <w:rsid w:val="00576DEC"/>
    <w:rsid w:val="00577CB7"/>
    <w:rsid w:val="00580504"/>
    <w:rsid w:val="005849B6"/>
    <w:rsid w:val="00586581"/>
    <w:rsid w:val="005914F0"/>
    <w:rsid w:val="00592042"/>
    <w:rsid w:val="00594A7A"/>
    <w:rsid w:val="005A035F"/>
    <w:rsid w:val="005A25D1"/>
    <w:rsid w:val="005A2CFB"/>
    <w:rsid w:val="005A36BF"/>
    <w:rsid w:val="005A5086"/>
    <w:rsid w:val="005A773E"/>
    <w:rsid w:val="005B1BC0"/>
    <w:rsid w:val="005B2C57"/>
    <w:rsid w:val="005C162F"/>
    <w:rsid w:val="005C5646"/>
    <w:rsid w:val="005D18B9"/>
    <w:rsid w:val="005D2D49"/>
    <w:rsid w:val="005D3ACD"/>
    <w:rsid w:val="005E4FC8"/>
    <w:rsid w:val="005E693F"/>
    <w:rsid w:val="005F21F3"/>
    <w:rsid w:val="005F2F2C"/>
    <w:rsid w:val="005F47C4"/>
    <w:rsid w:val="005F52C4"/>
    <w:rsid w:val="005F6891"/>
    <w:rsid w:val="005F7500"/>
    <w:rsid w:val="006007AD"/>
    <w:rsid w:val="006017F6"/>
    <w:rsid w:val="00605856"/>
    <w:rsid w:val="00607BE7"/>
    <w:rsid w:val="00612847"/>
    <w:rsid w:val="00612FE7"/>
    <w:rsid w:val="006148A4"/>
    <w:rsid w:val="0061748F"/>
    <w:rsid w:val="006205B0"/>
    <w:rsid w:val="006211AC"/>
    <w:rsid w:val="0062208E"/>
    <w:rsid w:val="006229C4"/>
    <w:rsid w:val="0062509F"/>
    <w:rsid w:val="00630995"/>
    <w:rsid w:val="00631C3C"/>
    <w:rsid w:val="0063551A"/>
    <w:rsid w:val="00636745"/>
    <w:rsid w:val="00636B0E"/>
    <w:rsid w:val="0064457E"/>
    <w:rsid w:val="00645270"/>
    <w:rsid w:val="00646515"/>
    <w:rsid w:val="00651655"/>
    <w:rsid w:val="00662C32"/>
    <w:rsid w:val="0066568F"/>
    <w:rsid w:val="0066653E"/>
    <w:rsid w:val="00673FD8"/>
    <w:rsid w:val="0067507E"/>
    <w:rsid w:val="00676116"/>
    <w:rsid w:val="00682214"/>
    <w:rsid w:val="006824E7"/>
    <w:rsid w:val="006840BB"/>
    <w:rsid w:val="006867A6"/>
    <w:rsid w:val="00686861"/>
    <w:rsid w:val="006870F9"/>
    <w:rsid w:val="006873E1"/>
    <w:rsid w:val="00694DC2"/>
    <w:rsid w:val="006971B3"/>
    <w:rsid w:val="006A0C8B"/>
    <w:rsid w:val="006A2424"/>
    <w:rsid w:val="006A4F8B"/>
    <w:rsid w:val="006B0937"/>
    <w:rsid w:val="006B2D8C"/>
    <w:rsid w:val="006B3424"/>
    <w:rsid w:val="006B48D8"/>
    <w:rsid w:val="006C07D9"/>
    <w:rsid w:val="006C3824"/>
    <w:rsid w:val="006C3989"/>
    <w:rsid w:val="006C5772"/>
    <w:rsid w:val="006C65CE"/>
    <w:rsid w:val="006C67D7"/>
    <w:rsid w:val="006D03E7"/>
    <w:rsid w:val="006D09F3"/>
    <w:rsid w:val="006D2CF7"/>
    <w:rsid w:val="006D50D3"/>
    <w:rsid w:val="006D7CBA"/>
    <w:rsid w:val="006E2C2D"/>
    <w:rsid w:val="006E3B93"/>
    <w:rsid w:val="006E515A"/>
    <w:rsid w:val="006E631D"/>
    <w:rsid w:val="006E69D9"/>
    <w:rsid w:val="006F0611"/>
    <w:rsid w:val="006F4961"/>
    <w:rsid w:val="006F61DA"/>
    <w:rsid w:val="00700652"/>
    <w:rsid w:val="00700A58"/>
    <w:rsid w:val="00701EB5"/>
    <w:rsid w:val="00706014"/>
    <w:rsid w:val="007072D2"/>
    <w:rsid w:val="007155F5"/>
    <w:rsid w:val="00716346"/>
    <w:rsid w:val="00716F5E"/>
    <w:rsid w:val="00725C6A"/>
    <w:rsid w:val="00727911"/>
    <w:rsid w:val="00730EF5"/>
    <w:rsid w:val="00731126"/>
    <w:rsid w:val="00732350"/>
    <w:rsid w:val="00733678"/>
    <w:rsid w:val="00733848"/>
    <w:rsid w:val="007349B6"/>
    <w:rsid w:val="00735674"/>
    <w:rsid w:val="0075223F"/>
    <w:rsid w:val="00752404"/>
    <w:rsid w:val="00755E7C"/>
    <w:rsid w:val="0075657C"/>
    <w:rsid w:val="00756B93"/>
    <w:rsid w:val="00756DE4"/>
    <w:rsid w:val="00756EC5"/>
    <w:rsid w:val="00761839"/>
    <w:rsid w:val="00761E83"/>
    <w:rsid w:val="00763DF5"/>
    <w:rsid w:val="007640D6"/>
    <w:rsid w:val="00765E62"/>
    <w:rsid w:val="00773C8B"/>
    <w:rsid w:val="0077657F"/>
    <w:rsid w:val="0078067F"/>
    <w:rsid w:val="00780D72"/>
    <w:rsid w:val="007812C6"/>
    <w:rsid w:val="00784317"/>
    <w:rsid w:val="007861FE"/>
    <w:rsid w:val="00786FD9"/>
    <w:rsid w:val="007877D7"/>
    <w:rsid w:val="00793E5D"/>
    <w:rsid w:val="007940E4"/>
    <w:rsid w:val="00796F41"/>
    <w:rsid w:val="007970EF"/>
    <w:rsid w:val="007979DB"/>
    <w:rsid w:val="007A07D6"/>
    <w:rsid w:val="007A1A89"/>
    <w:rsid w:val="007A461E"/>
    <w:rsid w:val="007A590C"/>
    <w:rsid w:val="007A66B8"/>
    <w:rsid w:val="007A743D"/>
    <w:rsid w:val="007B0EEE"/>
    <w:rsid w:val="007B7670"/>
    <w:rsid w:val="007C06AC"/>
    <w:rsid w:val="007C2488"/>
    <w:rsid w:val="007C5D8E"/>
    <w:rsid w:val="007C60EA"/>
    <w:rsid w:val="007D4376"/>
    <w:rsid w:val="007D7D23"/>
    <w:rsid w:val="007E110C"/>
    <w:rsid w:val="007E3A71"/>
    <w:rsid w:val="007E6A37"/>
    <w:rsid w:val="007F17D2"/>
    <w:rsid w:val="007F2811"/>
    <w:rsid w:val="007F3C58"/>
    <w:rsid w:val="007F430B"/>
    <w:rsid w:val="007F4CE7"/>
    <w:rsid w:val="007F4D05"/>
    <w:rsid w:val="007F6B3B"/>
    <w:rsid w:val="0080175D"/>
    <w:rsid w:val="00801BEE"/>
    <w:rsid w:val="0080408D"/>
    <w:rsid w:val="00805C28"/>
    <w:rsid w:val="0080613A"/>
    <w:rsid w:val="00806181"/>
    <w:rsid w:val="00806445"/>
    <w:rsid w:val="0080688C"/>
    <w:rsid w:val="008072FA"/>
    <w:rsid w:val="00807495"/>
    <w:rsid w:val="00810D71"/>
    <w:rsid w:val="008129C9"/>
    <w:rsid w:val="00823C8B"/>
    <w:rsid w:val="0082651F"/>
    <w:rsid w:val="008276E0"/>
    <w:rsid w:val="0082792E"/>
    <w:rsid w:val="00836A13"/>
    <w:rsid w:val="008377D7"/>
    <w:rsid w:val="00840111"/>
    <w:rsid w:val="008415C5"/>
    <w:rsid w:val="008427AE"/>
    <w:rsid w:val="00843E1C"/>
    <w:rsid w:val="0084446E"/>
    <w:rsid w:val="00844D86"/>
    <w:rsid w:val="008456F1"/>
    <w:rsid w:val="008468FA"/>
    <w:rsid w:val="00847F45"/>
    <w:rsid w:val="0085078C"/>
    <w:rsid w:val="00860BD3"/>
    <w:rsid w:val="00861374"/>
    <w:rsid w:val="00862DF2"/>
    <w:rsid w:val="008641ED"/>
    <w:rsid w:val="0086673B"/>
    <w:rsid w:val="008674CF"/>
    <w:rsid w:val="00874CE4"/>
    <w:rsid w:val="00880906"/>
    <w:rsid w:val="008833EB"/>
    <w:rsid w:val="008835CB"/>
    <w:rsid w:val="008857C7"/>
    <w:rsid w:val="008874C4"/>
    <w:rsid w:val="00890355"/>
    <w:rsid w:val="00890A05"/>
    <w:rsid w:val="00892EE9"/>
    <w:rsid w:val="008944ED"/>
    <w:rsid w:val="008A3729"/>
    <w:rsid w:val="008A4157"/>
    <w:rsid w:val="008A4559"/>
    <w:rsid w:val="008A6020"/>
    <w:rsid w:val="008A71BD"/>
    <w:rsid w:val="008B06F3"/>
    <w:rsid w:val="008B6E1B"/>
    <w:rsid w:val="008B7C62"/>
    <w:rsid w:val="008B7DD4"/>
    <w:rsid w:val="008C49A6"/>
    <w:rsid w:val="008D321D"/>
    <w:rsid w:val="008D508E"/>
    <w:rsid w:val="008D6588"/>
    <w:rsid w:val="008E00F0"/>
    <w:rsid w:val="008E04EE"/>
    <w:rsid w:val="008E1CB1"/>
    <w:rsid w:val="008E2DCB"/>
    <w:rsid w:val="008E33DA"/>
    <w:rsid w:val="008E3C74"/>
    <w:rsid w:val="008E552A"/>
    <w:rsid w:val="008E6488"/>
    <w:rsid w:val="008E676F"/>
    <w:rsid w:val="008E6EE3"/>
    <w:rsid w:val="008F01A4"/>
    <w:rsid w:val="008F3D2A"/>
    <w:rsid w:val="008F67B0"/>
    <w:rsid w:val="008F6990"/>
    <w:rsid w:val="00900A6C"/>
    <w:rsid w:val="00901DF5"/>
    <w:rsid w:val="00902D4A"/>
    <w:rsid w:val="00902E0E"/>
    <w:rsid w:val="00907CF3"/>
    <w:rsid w:val="0091363D"/>
    <w:rsid w:val="00917CC9"/>
    <w:rsid w:val="0092164F"/>
    <w:rsid w:val="00921ED9"/>
    <w:rsid w:val="0092241D"/>
    <w:rsid w:val="0092318A"/>
    <w:rsid w:val="009240B9"/>
    <w:rsid w:val="00924EF4"/>
    <w:rsid w:val="009262FE"/>
    <w:rsid w:val="00926371"/>
    <w:rsid w:val="00930671"/>
    <w:rsid w:val="00931200"/>
    <w:rsid w:val="00932767"/>
    <w:rsid w:val="0093614E"/>
    <w:rsid w:val="00937B85"/>
    <w:rsid w:val="00940E92"/>
    <w:rsid w:val="0094324F"/>
    <w:rsid w:val="00943AAA"/>
    <w:rsid w:val="00946E39"/>
    <w:rsid w:val="00947835"/>
    <w:rsid w:val="00952BEC"/>
    <w:rsid w:val="00953260"/>
    <w:rsid w:val="00954324"/>
    <w:rsid w:val="009573B1"/>
    <w:rsid w:val="00961B0F"/>
    <w:rsid w:val="009638DF"/>
    <w:rsid w:val="00963B94"/>
    <w:rsid w:val="00965767"/>
    <w:rsid w:val="009669C1"/>
    <w:rsid w:val="009674D7"/>
    <w:rsid w:val="00975F6E"/>
    <w:rsid w:val="009775B4"/>
    <w:rsid w:val="009800AD"/>
    <w:rsid w:val="00983751"/>
    <w:rsid w:val="009850AA"/>
    <w:rsid w:val="00986DAD"/>
    <w:rsid w:val="00990755"/>
    <w:rsid w:val="0099116D"/>
    <w:rsid w:val="00992FB2"/>
    <w:rsid w:val="009935AB"/>
    <w:rsid w:val="00993979"/>
    <w:rsid w:val="00996250"/>
    <w:rsid w:val="0099672E"/>
    <w:rsid w:val="009A3D2D"/>
    <w:rsid w:val="009C471D"/>
    <w:rsid w:val="009D033C"/>
    <w:rsid w:val="009D0814"/>
    <w:rsid w:val="009D1917"/>
    <w:rsid w:val="009D1D0F"/>
    <w:rsid w:val="009D4377"/>
    <w:rsid w:val="009D4681"/>
    <w:rsid w:val="009D57C6"/>
    <w:rsid w:val="009D72B6"/>
    <w:rsid w:val="009E00FA"/>
    <w:rsid w:val="009E0746"/>
    <w:rsid w:val="009E0DDD"/>
    <w:rsid w:val="009E11A1"/>
    <w:rsid w:val="009E3F2D"/>
    <w:rsid w:val="009E4651"/>
    <w:rsid w:val="009E5B97"/>
    <w:rsid w:val="009E72CF"/>
    <w:rsid w:val="009F1E1C"/>
    <w:rsid w:val="009F50EF"/>
    <w:rsid w:val="009F587B"/>
    <w:rsid w:val="00A00260"/>
    <w:rsid w:val="00A0129E"/>
    <w:rsid w:val="00A05543"/>
    <w:rsid w:val="00A05702"/>
    <w:rsid w:val="00A15735"/>
    <w:rsid w:val="00A20DA8"/>
    <w:rsid w:val="00A27756"/>
    <w:rsid w:val="00A316DE"/>
    <w:rsid w:val="00A374FF"/>
    <w:rsid w:val="00A40846"/>
    <w:rsid w:val="00A40911"/>
    <w:rsid w:val="00A43654"/>
    <w:rsid w:val="00A43E3B"/>
    <w:rsid w:val="00A44923"/>
    <w:rsid w:val="00A452F9"/>
    <w:rsid w:val="00A531AF"/>
    <w:rsid w:val="00A55F89"/>
    <w:rsid w:val="00A60753"/>
    <w:rsid w:val="00A6627C"/>
    <w:rsid w:val="00A673A1"/>
    <w:rsid w:val="00A67FE4"/>
    <w:rsid w:val="00A722F8"/>
    <w:rsid w:val="00A745CE"/>
    <w:rsid w:val="00A75669"/>
    <w:rsid w:val="00A756F8"/>
    <w:rsid w:val="00A76953"/>
    <w:rsid w:val="00A77ED7"/>
    <w:rsid w:val="00A82C01"/>
    <w:rsid w:val="00A86462"/>
    <w:rsid w:val="00A87547"/>
    <w:rsid w:val="00AA10C7"/>
    <w:rsid w:val="00AA14B1"/>
    <w:rsid w:val="00AA1D8A"/>
    <w:rsid w:val="00AA2454"/>
    <w:rsid w:val="00AA249B"/>
    <w:rsid w:val="00AA268B"/>
    <w:rsid w:val="00AA3612"/>
    <w:rsid w:val="00AA4660"/>
    <w:rsid w:val="00AB0E16"/>
    <w:rsid w:val="00AB1FA7"/>
    <w:rsid w:val="00AB3BCC"/>
    <w:rsid w:val="00AB45BF"/>
    <w:rsid w:val="00AC3E44"/>
    <w:rsid w:val="00AC4739"/>
    <w:rsid w:val="00AC567A"/>
    <w:rsid w:val="00AC56EE"/>
    <w:rsid w:val="00AC6108"/>
    <w:rsid w:val="00AD26F0"/>
    <w:rsid w:val="00AD31E5"/>
    <w:rsid w:val="00AD4452"/>
    <w:rsid w:val="00AE10BA"/>
    <w:rsid w:val="00AE1335"/>
    <w:rsid w:val="00AE3FB3"/>
    <w:rsid w:val="00AE78C7"/>
    <w:rsid w:val="00AF422F"/>
    <w:rsid w:val="00AF4D2E"/>
    <w:rsid w:val="00AF5335"/>
    <w:rsid w:val="00AF6F62"/>
    <w:rsid w:val="00B00445"/>
    <w:rsid w:val="00B02781"/>
    <w:rsid w:val="00B04C8C"/>
    <w:rsid w:val="00B07DFF"/>
    <w:rsid w:val="00B1000B"/>
    <w:rsid w:val="00B12F7D"/>
    <w:rsid w:val="00B25E0D"/>
    <w:rsid w:val="00B26055"/>
    <w:rsid w:val="00B26C13"/>
    <w:rsid w:val="00B279C2"/>
    <w:rsid w:val="00B33889"/>
    <w:rsid w:val="00B40DE8"/>
    <w:rsid w:val="00B40ED0"/>
    <w:rsid w:val="00B41A2E"/>
    <w:rsid w:val="00B41B98"/>
    <w:rsid w:val="00B41E99"/>
    <w:rsid w:val="00B42C5A"/>
    <w:rsid w:val="00B437EE"/>
    <w:rsid w:val="00B474E7"/>
    <w:rsid w:val="00B47767"/>
    <w:rsid w:val="00B51DC5"/>
    <w:rsid w:val="00B57E15"/>
    <w:rsid w:val="00B610FA"/>
    <w:rsid w:val="00B625F7"/>
    <w:rsid w:val="00B63B19"/>
    <w:rsid w:val="00B649E2"/>
    <w:rsid w:val="00B6711B"/>
    <w:rsid w:val="00B72017"/>
    <w:rsid w:val="00B7266C"/>
    <w:rsid w:val="00B7458B"/>
    <w:rsid w:val="00B75A6C"/>
    <w:rsid w:val="00B826C4"/>
    <w:rsid w:val="00B8398B"/>
    <w:rsid w:val="00B84DEE"/>
    <w:rsid w:val="00B90486"/>
    <w:rsid w:val="00B94891"/>
    <w:rsid w:val="00B94E57"/>
    <w:rsid w:val="00B97F46"/>
    <w:rsid w:val="00BA39AB"/>
    <w:rsid w:val="00BA72C1"/>
    <w:rsid w:val="00BA79EE"/>
    <w:rsid w:val="00BB0807"/>
    <w:rsid w:val="00BB1E70"/>
    <w:rsid w:val="00BB6DD3"/>
    <w:rsid w:val="00BB7242"/>
    <w:rsid w:val="00BD20EB"/>
    <w:rsid w:val="00BD2909"/>
    <w:rsid w:val="00BE2143"/>
    <w:rsid w:val="00BE2898"/>
    <w:rsid w:val="00BE6C49"/>
    <w:rsid w:val="00BF47CF"/>
    <w:rsid w:val="00BF5295"/>
    <w:rsid w:val="00BF67C8"/>
    <w:rsid w:val="00C01951"/>
    <w:rsid w:val="00C01C39"/>
    <w:rsid w:val="00C027B9"/>
    <w:rsid w:val="00C05259"/>
    <w:rsid w:val="00C056C6"/>
    <w:rsid w:val="00C06028"/>
    <w:rsid w:val="00C11953"/>
    <w:rsid w:val="00C161D2"/>
    <w:rsid w:val="00C206F0"/>
    <w:rsid w:val="00C20CE4"/>
    <w:rsid w:val="00C22C06"/>
    <w:rsid w:val="00C22D19"/>
    <w:rsid w:val="00C248D6"/>
    <w:rsid w:val="00C249AC"/>
    <w:rsid w:val="00C300DB"/>
    <w:rsid w:val="00C35B51"/>
    <w:rsid w:val="00C36280"/>
    <w:rsid w:val="00C374AE"/>
    <w:rsid w:val="00C40938"/>
    <w:rsid w:val="00C41580"/>
    <w:rsid w:val="00C4181D"/>
    <w:rsid w:val="00C42383"/>
    <w:rsid w:val="00C439F5"/>
    <w:rsid w:val="00C44A9B"/>
    <w:rsid w:val="00C47226"/>
    <w:rsid w:val="00C517B4"/>
    <w:rsid w:val="00C51D55"/>
    <w:rsid w:val="00C5362A"/>
    <w:rsid w:val="00C53B83"/>
    <w:rsid w:val="00C55742"/>
    <w:rsid w:val="00C606CA"/>
    <w:rsid w:val="00C609A5"/>
    <w:rsid w:val="00C637E3"/>
    <w:rsid w:val="00C63D26"/>
    <w:rsid w:val="00C63F75"/>
    <w:rsid w:val="00C65288"/>
    <w:rsid w:val="00C65EEC"/>
    <w:rsid w:val="00C66130"/>
    <w:rsid w:val="00C71F3C"/>
    <w:rsid w:val="00C72143"/>
    <w:rsid w:val="00C80117"/>
    <w:rsid w:val="00C81A6F"/>
    <w:rsid w:val="00C87057"/>
    <w:rsid w:val="00C904BD"/>
    <w:rsid w:val="00C92684"/>
    <w:rsid w:val="00C96B2C"/>
    <w:rsid w:val="00C977EA"/>
    <w:rsid w:val="00CA04F3"/>
    <w:rsid w:val="00CA26F2"/>
    <w:rsid w:val="00CA76B9"/>
    <w:rsid w:val="00CB2372"/>
    <w:rsid w:val="00CB4312"/>
    <w:rsid w:val="00CB5494"/>
    <w:rsid w:val="00CB6805"/>
    <w:rsid w:val="00CC4C1A"/>
    <w:rsid w:val="00CD18F7"/>
    <w:rsid w:val="00CD4A25"/>
    <w:rsid w:val="00CD7E5F"/>
    <w:rsid w:val="00CE618F"/>
    <w:rsid w:val="00CF3D53"/>
    <w:rsid w:val="00CF4776"/>
    <w:rsid w:val="00D00D8F"/>
    <w:rsid w:val="00D01041"/>
    <w:rsid w:val="00D011AA"/>
    <w:rsid w:val="00D013A2"/>
    <w:rsid w:val="00D02355"/>
    <w:rsid w:val="00D05314"/>
    <w:rsid w:val="00D061A4"/>
    <w:rsid w:val="00D070D5"/>
    <w:rsid w:val="00D146D7"/>
    <w:rsid w:val="00D203E7"/>
    <w:rsid w:val="00D22C1C"/>
    <w:rsid w:val="00D25D8F"/>
    <w:rsid w:val="00D26584"/>
    <w:rsid w:val="00D2696D"/>
    <w:rsid w:val="00D3163A"/>
    <w:rsid w:val="00D32A2F"/>
    <w:rsid w:val="00D33561"/>
    <w:rsid w:val="00D419E5"/>
    <w:rsid w:val="00D546BE"/>
    <w:rsid w:val="00D5493B"/>
    <w:rsid w:val="00D576E7"/>
    <w:rsid w:val="00D5798D"/>
    <w:rsid w:val="00D600DF"/>
    <w:rsid w:val="00D64891"/>
    <w:rsid w:val="00D660E4"/>
    <w:rsid w:val="00D669F2"/>
    <w:rsid w:val="00D70ABC"/>
    <w:rsid w:val="00D71FD5"/>
    <w:rsid w:val="00D8469F"/>
    <w:rsid w:val="00D846CC"/>
    <w:rsid w:val="00D85A91"/>
    <w:rsid w:val="00D902EB"/>
    <w:rsid w:val="00D90BD2"/>
    <w:rsid w:val="00D9275A"/>
    <w:rsid w:val="00D933A4"/>
    <w:rsid w:val="00D93429"/>
    <w:rsid w:val="00DA44EC"/>
    <w:rsid w:val="00DA5F62"/>
    <w:rsid w:val="00DC224E"/>
    <w:rsid w:val="00DC58F3"/>
    <w:rsid w:val="00DC7098"/>
    <w:rsid w:val="00DC7D6C"/>
    <w:rsid w:val="00DC7DC4"/>
    <w:rsid w:val="00DD316A"/>
    <w:rsid w:val="00DD44F7"/>
    <w:rsid w:val="00DD5DDC"/>
    <w:rsid w:val="00DE2A78"/>
    <w:rsid w:val="00DE3163"/>
    <w:rsid w:val="00DE6911"/>
    <w:rsid w:val="00DF1595"/>
    <w:rsid w:val="00DF3B20"/>
    <w:rsid w:val="00DF4A92"/>
    <w:rsid w:val="00DF6B92"/>
    <w:rsid w:val="00E0082D"/>
    <w:rsid w:val="00E016F5"/>
    <w:rsid w:val="00E0291E"/>
    <w:rsid w:val="00E0495B"/>
    <w:rsid w:val="00E05654"/>
    <w:rsid w:val="00E103ED"/>
    <w:rsid w:val="00E12DD3"/>
    <w:rsid w:val="00E14C82"/>
    <w:rsid w:val="00E161E1"/>
    <w:rsid w:val="00E177CD"/>
    <w:rsid w:val="00E2680B"/>
    <w:rsid w:val="00E2776E"/>
    <w:rsid w:val="00E34582"/>
    <w:rsid w:val="00E359E8"/>
    <w:rsid w:val="00E40466"/>
    <w:rsid w:val="00E407AC"/>
    <w:rsid w:val="00E412DE"/>
    <w:rsid w:val="00E413A5"/>
    <w:rsid w:val="00E4253D"/>
    <w:rsid w:val="00E4367A"/>
    <w:rsid w:val="00E43A0A"/>
    <w:rsid w:val="00E455AD"/>
    <w:rsid w:val="00E53CF7"/>
    <w:rsid w:val="00E6153F"/>
    <w:rsid w:val="00E632D1"/>
    <w:rsid w:val="00E6391F"/>
    <w:rsid w:val="00E663EC"/>
    <w:rsid w:val="00E71286"/>
    <w:rsid w:val="00E80634"/>
    <w:rsid w:val="00E9016F"/>
    <w:rsid w:val="00EA049C"/>
    <w:rsid w:val="00EA0818"/>
    <w:rsid w:val="00EA1A1E"/>
    <w:rsid w:val="00EA347E"/>
    <w:rsid w:val="00EA44BD"/>
    <w:rsid w:val="00EA4963"/>
    <w:rsid w:val="00EA49A7"/>
    <w:rsid w:val="00EB3B85"/>
    <w:rsid w:val="00EB4D44"/>
    <w:rsid w:val="00EB5870"/>
    <w:rsid w:val="00EC0BC3"/>
    <w:rsid w:val="00EC1CD8"/>
    <w:rsid w:val="00EC1ED7"/>
    <w:rsid w:val="00EC3AE8"/>
    <w:rsid w:val="00EC6E39"/>
    <w:rsid w:val="00EC7D72"/>
    <w:rsid w:val="00ED1180"/>
    <w:rsid w:val="00ED3331"/>
    <w:rsid w:val="00ED4B89"/>
    <w:rsid w:val="00ED4FE1"/>
    <w:rsid w:val="00ED6B82"/>
    <w:rsid w:val="00EE0B4B"/>
    <w:rsid w:val="00EE11C5"/>
    <w:rsid w:val="00EE4AC1"/>
    <w:rsid w:val="00EE7314"/>
    <w:rsid w:val="00EE7BD0"/>
    <w:rsid w:val="00EF10A6"/>
    <w:rsid w:val="00EF3314"/>
    <w:rsid w:val="00F00AEE"/>
    <w:rsid w:val="00F0282E"/>
    <w:rsid w:val="00F05163"/>
    <w:rsid w:val="00F06429"/>
    <w:rsid w:val="00F1011F"/>
    <w:rsid w:val="00F12F3A"/>
    <w:rsid w:val="00F132D3"/>
    <w:rsid w:val="00F16417"/>
    <w:rsid w:val="00F20311"/>
    <w:rsid w:val="00F2053A"/>
    <w:rsid w:val="00F211D1"/>
    <w:rsid w:val="00F22B76"/>
    <w:rsid w:val="00F23FC8"/>
    <w:rsid w:val="00F244E2"/>
    <w:rsid w:val="00F249CA"/>
    <w:rsid w:val="00F269EF"/>
    <w:rsid w:val="00F302C2"/>
    <w:rsid w:val="00F30B28"/>
    <w:rsid w:val="00F362D2"/>
    <w:rsid w:val="00F40B65"/>
    <w:rsid w:val="00F41AB4"/>
    <w:rsid w:val="00F4318D"/>
    <w:rsid w:val="00F44CA6"/>
    <w:rsid w:val="00F44CE7"/>
    <w:rsid w:val="00F46CEC"/>
    <w:rsid w:val="00F51F7B"/>
    <w:rsid w:val="00F5679B"/>
    <w:rsid w:val="00F60A77"/>
    <w:rsid w:val="00F646A3"/>
    <w:rsid w:val="00F67940"/>
    <w:rsid w:val="00F731D5"/>
    <w:rsid w:val="00F74229"/>
    <w:rsid w:val="00F74E75"/>
    <w:rsid w:val="00F750EB"/>
    <w:rsid w:val="00F77582"/>
    <w:rsid w:val="00F83D5F"/>
    <w:rsid w:val="00F87F13"/>
    <w:rsid w:val="00F93FA2"/>
    <w:rsid w:val="00F95A9E"/>
    <w:rsid w:val="00FA04C0"/>
    <w:rsid w:val="00FA2226"/>
    <w:rsid w:val="00FA46A5"/>
    <w:rsid w:val="00FA629A"/>
    <w:rsid w:val="00FB5BE9"/>
    <w:rsid w:val="00FB6530"/>
    <w:rsid w:val="00FB673F"/>
    <w:rsid w:val="00FC3E08"/>
    <w:rsid w:val="00FC6177"/>
    <w:rsid w:val="00FD04DE"/>
    <w:rsid w:val="00FD5504"/>
    <w:rsid w:val="00FE0081"/>
    <w:rsid w:val="00FE3F8E"/>
    <w:rsid w:val="00FF4D35"/>
    <w:rsid w:val="00FF5E36"/>
    <w:rsid w:val="00FF7706"/>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CCF8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5EC4"/>
    <w:pPr>
      <w:spacing w:line="288" w:lineRule="auto"/>
      <w:ind w:firstLine="720"/>
    </w:pPr>
    <w:rPr>
      <w:rFonts w:ascii="Century Schoolbook" w:eastAsia="Times New Roman" w:hAnsi="Century Schoolbook" w:cs="Times New Roman"/>
      <w:kern w:val="2"/>
      <w:sz w:val="26"/>
      <w:szCs w:val="26"/>
    </w:rPr>
  </w:style>
  <w:style w:type="paragraph" w:styleId="Heading1">
    <w:name w:val="heading 1"/>
    <w:basedOn w:val="Normal"/>
    <w:next w:val="Normal"/>
    <w:link w:val="Heading1Char"/>
    <w:qFormat/>
    <w:rsid w:val="00285EC4"/>
    <w:pPr>
      <w:keepNext/>
      <w:keepLines/>
      <w:tabs>
        <w:tab w:val="center" w:pos="4680"/>
      </w:tabs>
      <w:spacing w:before="160" w:after="160"/>
      <w:ind w:firstLine="0"/>
      <w:jc w:val="center"/>
      <w:outlineLvl w:val="0"/>
    </w:pPr>
    <w:rPr>
      <w:rFonts w:cstheme="minorBidi"/>
      <w:b/>
      <w:caps/>
      <w:spacing w:val="4"/>
      <w:kern w:val="18"/>
    </w:rPr>
  </w:style>
  <w:style w:type="paragraph" w:styleId="Heading2">
    <w:name w:val="heading 2"/>
    <w:basedOn w:val="Heading1"/>
    <w:next w:val="Normal"/>
    <w:link w:val="Heading2Char"/>
    <w:uiPriority w:val="9"/>
    <w:unhideWhenUsed/>
    <w:qFormat/>
    <w:rsid w:val="00285EC4"/>
    <w:pPr>
      <w:numPr>
        <w:numId w:val="1"/>
      </w:numPr>
      <w:tabs>
        <w:tab w:val="clear" w:pos="4680"/>
        <w:tab w:val="left" w:pos="720"/>
      </w:tabs>
      <w:suppressAutoHyphens/>
      <w:spacing w:before="120" w:after="120"/>
      <w:jc w:val="left"/>
      <w:outlineLvl w:val="1"/>
    </w:pPr>
    <w:rPr>
      <w:rFonts w:eastAsiaTheme="minorHAnsi"/>
      <w:caps w:val="0"/>
      <w:spacing w:val="0"/>
      <w:kern w:val="16"/>
      <w:sz w:val="25"/>
    </w:rPr>
  </w:style>
  <w:style w:type="paragraph" w:styleId="Heading3">
    <w:name w:val="heading 3"/>
    <w:basedOn w:val="Heading2"/>
    <w:next w:val="Normal"/>
    <w:link w:val="Heading3Char"/>
    <w:uiPriority w:val="9"/>
    <w:unhideWhenUsed/>
    <w:qFormat/>
    <w:rsid w:val="00285EC4"/>
    <w:pPr>
      <w:numPr>
        <w:ilvl w:val="1"/>
      </w:numPr>
      <w:outlineLvl w:val="2"/>
    </w:pPr>
    <w:rPr>
      <w:kern w:val="2"/>
    </w:rPr>
  </w:style>
  <w:style w:type="paragraph" w:styleId="Heading4">
    <w:name w:val="heading 4"/>
    <w:basedOn w:val="Heading3"/>
    <w:next w:val="Normal"/>
    <w:link w:val="Heading4Char"/>
    <w:uiPriority w:val="9"/>
    <w:unhideWhenUsed/>
    <w:qFormat/>
    <w:rsid w:val="00285EC4"/>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EC4"/>
    <w:rPr>
      <w:rFonts w:ascii="Century Schoolbook" w:eastAsia="Times New Roman" w:hAnsi="Century Schoolbook"/>
      <w:b/>
      <w:caps/>
      <w:spacing w:val="4"/>
      <w:kern w:val="18"/>
      <w:sz w:val="26"/>
      <w:szCs w:val="26"/>
    </w:rPr>
  </w:style>
  <w:style w:type="character" w:customStyle="1" w:styleId="Heading2Char">
    <w:name w:val="Heading 2 Char"/>
    <w:basedOn w:val="DefaultParagraphFont"/>
    <w:link w:val="Heading2"/>
    <w:uiPriority w:val="9"/>
    <w:rsid w:val="00285EC4"/>
    <w:rPr>
      <w:rFonts w:ascii="Century Schoolbook" w:hAnsi="Century Schoolbook"/>
      <w:b/>
      <w:kern w:val="16"/>
      <w:sz w:val="25"/>
      <w:szCs w:val="26"/>
    </w:rPr>
  </w:style>
  <w:style w:type="character" w:customStyle="1" w:styleId="Heading3Char">
    <w:name w:val="Heading 3 Char"/>
    <w:basedOn w:val="DefaultParagraphFont"/>
    <w:link w:val="Heading3"/>
    <w:uiPriority w:val="9"/>
    <w:rsid w:val="00285EC4"/>
    <w:rPr>
      <w:rFonts w:ascii="Century Schoolbook" w:hAnsi="Century Schoolbook"/>
      <w:b/>
      <w:kern w:val="2"/>
      <w:sz w:val="25"/>
      <w:szCs w:val="26"/>
    </w:rPr>
  </w:style>
  <w:style w:type="character" w:customStyle="1" w:styleId="Heading4Char">
    <w:name w:val="Heading 4 Char"/>
    <w:basedOn w:val="DefaultParagraphFont"/>
    <w:link w:val="Heading4"/>
    <w:uiPriority w:val="9"/>
    <w:rsid w:val="00285EC4"/>
    <w:rPr>
      <w:rFonts w:ascii="Century Schoolbook" w:hAnsi="Century Schoolbook"/>
      <w:b/>
      <w:bCs/>
      <w:kern w:val="2"/>
      <w:sz w:val="25"/>
      <w:szCs w:val="26"/>
    </w:rPr>
  </w:style>
  <w:style w:type="paragraph" w:customStyle="1" w:styleId="Court">
    <w:name w:val="Court"/>
    <w:next w:val="Normal"/>
    <w:link w:val="CourtChar"/>
    <w:rsid w:val="00285EC4"/>
    <w:pPr>
      <w:spacing w:after="240" w:line="280" w:lineRule="exact"/>
      <w:jc w:val="center"/>
    </w:pPr>
    <w:rPr>
      <w:rFonts w:ascii="Century Schoolbook" w:eastAsia="Times New Roman" w:hAnsi="Century Schoolbook"/>
      <w:caps/>
      <w:kern w:val="24"/>
      <w:sz w:val="26"/>
      <w:szCs w:val="22"/>
    </w:rPr>
  </w:style>
  <w:style w:type="character" w:customStyle="1" w:styleId="CourtChar">
    <w:name w:val="Court Char"/>
    <w:basedOn w:val="DefaultParagraphFont"/>
    <w:link w:val="Court"/>
    <w:rsid w:val="00285EC4"/>
    <w:rPr>
      <w:rFonts w:ascii="Century Schoolbook" w:eastAsia="Times New Roman" w:hAnsi="Century Schoolbook"/>
      <w:caps/>
      <w:kern w:val="24"/>
      <w:sz w:val="26"/>
      <w:szCs w:val="22"/>
    </w:rPr>
  </w:style>
  <w:style w:type="character" w:styleId="FootnoteReference">
    <w:name w:val="footnote reference"/>
    <w:basedOn w:val="DefaultParagraphFont"/>
    <w:unhideWhenUsed/>
    <w:qFormat/>
    <w:rsid w:val="00285EC4"/>
    <w:rPr>
      <w:rFonts w:ascii="Century Schoolbook" w:hAnsi="Century Schoolbook"/>
      <w:b/>
      <w:sz w:val="24"/>
      <w:vertAlign w:val="superscript"/>
    </w:rPr>
  </w:style>
  <w:style w:type="paragraph" w:styleId="ListParagraph">
    <w:name w:val="List Paragraph"/>
    <w:basedOn w:val="Normal"/>
    <w:uiPriority w:val="34"/>
    <w:qFormat/>
    <w:rsid w:val="00285EC4"/>
    <w:pPr>
      <w:numPr>
        <w:numId w:val="2"/>
      </w:numPr>
      <w:tabs>
        <w:tab w:val="left" w:pos="1170"/>
        <w:tab w:val="left" w:pos="1710"/>
      </w:tabs>
      <w:spacing w:before="120" w:after="120"/>
      <w:ind w:left="1166" w:right="720" w:hanging="446"/>
    </w:pPr>
    <w:rPr>
      <w:rFonts w:eastAsiaTheme="minorHAnsi"/>
      <w:kern w:val="18"/>
      <w:szCs w:val="22"/>
    </w:rPr>
  </w:style>
  <w:style w:type="paragraph" w:styleId="FootnoteText">
    <w:name w:val="footnote text"/>
    <w:basedOn w:val="Normal"/>
    <w:link w:val="FootnoteTextChar"/>
    <w:unhideWhenUsed/>
    <w:qFormat/>
    <w:rsid w:val="00285EC4"/>
    <w:pPr>
      <w:spacing w:after="160" w:line="240" w:lineRule="auto"/>
      <w:ind w:firstLine="0"/>
    </w:pPr>
    <w:rPr>
      <w:rFonts w:cstheme="minorBidi"/>
      <w:sz w:val="24"/>
    </w:rPr>
  </w:style>
  <w:style w:type="character" w:customStyle="1" w:styleId="FootnoteTextChar">
    <w:name w:val="Footnote Text Char"/>
    <w:basedOn w:val="DefaultParagraphFont"/>
    <w:link w:val="FootnoteText"/>
    <w:rsid w:val="00285EC4"/>
    <w:rPr>
      <w:rFonts w:ascii="Century Schoolbook" w:eastAsia="Times New Roman" w:hAnsi="Century Schoolbook"/>
      <w:kern w:val="2"/>
      <w:szCs w:val="26"/>
    </w:rPr>
  </w:style>
  <w:style w:type="paragraph" w:customStyle="1" w:styleId="Noindent">
    <w:name w:val="No indent"/>
    <w:basedOn w:val="Normal"/>
    <w:qFormat/>
    <w:rsid w:val="00285EC4"/>
    <w:pPr>
      <w:ind w:firstLine="0"/>
    </w:pPr>
  </w:style>
  <w:style w:type="table" w:styleId="TableGrid">
    <w:name w:val="Table Grid"/>
    <w:basedOn w:val="TableNormal"/>
    <w:uiPriority w:val="59"/>
    <w:rsid w:val="00285EC4"/>
    <w:rPr>
      <w:rFonts w:eastAsia="Times New Roman"/>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List">
    <w:name w:val="Bullet List"/>
    <w:basedOn w:val="ListParagraph"/>
    <w:qFormat/>
    <w:rsid w:val="00285EC4"/>
  </w:style>
  <w:style w:type="paragraph" w:styleId="Header">
    <w:name w:val="header"/>
    <w:basedOn w:val="Normal"/>
    <w:link w:val="HeaderChar"/>
    <w:uiPriority w:val="99"/>
    <w:unhideWhenUsed/>
    <w:rsid w:val="00312B71"/>
    <w:pPr>
      <w:tabs>
        <w:tab w:val="center" w:pos="4680"/>
        <w:tab w:val="right" w:pos="9360"/>
      </w:tabs>
      <w:spacing w:line="240" w:lineRule="auto"/>
    </w:pPr>
  </w:style>
  <w:style w:type="character" w:customStyle="1" w:styleId="HeaderChar">
    <w:name w:val="Header Char"/>
    <w:basedOn w:val="DefaultParagraphFont"/>
    <w:link w:val="Header"/>
    <w:uiPriority w:val="99"/>
    <w:rsid w:val="00312B71"/>
    <w:rPr>
      <w:rFonts w:ascii="Century Schoolbook" w:eastAsia="Times New Roman" w:hAnsi="Century Schoolbook" w:cs="Times New Roman"/>
      <w:kern w:val="2"/>
      <w:sz w:val="26"/>
      <w:szCs w:val="26"/>
    </w:rPr>
  </w:style>
  <w:style w:type="paragraph" w:styleId="Footer">
    <w:name w:val="footer"/>
    <w:basedOn w:val="Normal"/>
    <w:link w:val="FooterChar"/>
    <w:uiPriority w:val="99"/>
    <w:unhideWhenUsed/>
    <w:rsid w:val="00312B71"/>
    <w:pPr>
      <w:tabs>
        <w:tab w:val="center" w:pos="4680"/>
        <w:tab w:val="right" w:pos="9360"/>
      </w:tabs>
      <w:spacing w:line="240" w:lineRule="auto"/>
    </w:pPr>
  </w:style>
  <w:style w:type="character" w:customStyle="1" w:styleId="FooterChar">
    <w:name w:val="Footer Char"/>
    <w:basedOn w:val="DefaultParagraphFont"/>
    <w:link w:val="Footer"/>
    <w:uiPriority w:val="99"/>
    <w:rsid w:val="00312B71"/>
    <w:rPr>
      <w:rFonts w:ascii="Century Schoolbook" w:eastAsia="Times New Roman" w:hAnsi="Century Schoolbook" w:cs="Times New Roman"/>
      <w:kern w:val="2"/>
      <w:sz w:val="26"/>
      <w:szCs w:val="26"/>
    </w:rPr>
  </w:style>
  <w:style w:type="paragraph" w:styleId="BalloonText">
    <w:name w:val="Balloon Text"/>
    <w:basedOn w:val="Normal"/>
    <w:link w:val="BalloonTextChar"/>
    <w:uiPriority w:val="99"/>
    <w:semiHidden/>
    <w:unhideWhenUsed/>
    <w:rsid w:val="00AD26F0"/>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26F0"/>
    <w:rPr>
      <w:rFonts w:ascii="Times New Roman" w:eastAsia="Times New Roman" w:hAnsi="Times New Roman" w:cs="Times New Roman"/>
      <w:kern w:val="2"/>
      <w:sz w:val="18"/>
      <w:szCs w:val="18"/>
    </w:rPr>
  </w:style>
  <w:style w:type="paragraph" w:styleId="Revision">
    <w:name w:val="Revision"/>
    <w:hidden/>
    <w:uiPriority w:val="99"/>
    <w:semiHidden/>
    <w:rsid w:val="00B63B19"/>
    <w:rPr>
      <w:rFonts w:ascii="Century Schoolbook" w:eastAsia="Times New Roman" w:hAnsi="Century Schoolbook" w:cs="Times New Roman"/>
      <w:kern w:val="2"/>
      <w:sz w:val="26"/>
      <w:szCs w:val="26"/>
    </w:rPr>
  </w:style>
  <w:style w:type="character" w:styleId="Hyperlink">
    <w:name w:val="Hyperlink"/>
    <w:basedOn w:val="DefaultParagraphFont"/>
    <w:uiPriority w:val="99"/>
    <w:semiHidden/>
    <w:unhideWhenUsed/>
    <w:rsid w:val="00C92684"/>
    <w:rPr>
      <w:color w:val="0000FF"/>
      <w:u w:val="single"/>
    </w:rPr>
  </w:style>
  <w:style w:type="paragraph" w:customStyle="1" w:styleId="xmsonormal">
    <w:name w:val="x_msonormal"/>
    <w:basedOn w:val="Normal"/>
    <w:rsid w:val="00C92684"/>
    <w:pPr>
      <w:spacing w:line="240" w:lineRule="auto"/>
      <w:ind w:firstLine="0"/>
    </w:pPr>
    <w:rPr>
      <w:rFonts w:ascii="Calibri" w:eastAsiaTheme="minorHAnsi" w:hAnsi="Calibri" w:cs="Calibri"/>
      <w:kern w:val="0"/>
      <w:sz w:val="22"/>
      <w:szCs w:val="22"/>
    </w:rPr>
  </w:style>
  <w:style w:type="character" w:customStyle="1" w:styleId="xssit">
    <w:name w:val="x_ssit"/>
    <w:basedOn w:val="DefaultParagraphFont"/>
    <w:rsid w:val="00C92684"/>
  </w:style>
  <w:style w:type="character" w:customStyle="1" w:styleId="xsssh">
    <w:name w:val="x_sssh"/>
    <w:basedOn w:val="DefaultParagraphFont"/>
    <w:rsid w:val="00C92684"/>
  </w:style>
  <w:style w:type="character" w:customStyle="1" w:styleId="xssrfcsection">
    <w:name w:val="x_ssrfcsection"/>
    <w:basedOn w:val="DefaultParagraphFont"/>
    <w:rsid w:val="00C92684"/>
  </w:style>
  <w:style w:type="character" w:customStyle="1" w:styleId="xssheadnotelink">
    <w:name w:val="x_ssheadnotelink"/>
    <w:basedOn w:val="DefaultParagraphFont"/>
    <w:rsid w:val="00C92684"/>
  </w:style>
  <w:style w:type="character" w:styleId="CommentReference">
    <w:name w:val="annotation reference"/>
    <w:basedOn w:val="DefaultParagraphFont"/>
    <w:uiPriority w:val="99"/>
    <w:semiHidden/>
    <w:unhideWhenUsed/>
    <w:rsid w:val="00C92684"/>
    <w:rPr>
      <w:sz w:val="16"/>
      <w:szCs w:val="16"/>
    </w:rPr>
  </w:style>
  <w:style w:type="paragraph" w:styleId="CommentText">
    <w:name w:val="annotation text"/>
    <w:basedOn w:val="Normal"/>
    <w:link w:val="CommentTextChar"/>
    <w:uiPriority w:val="99"/>
    <w:unhideWhenUsed/>
    <w:rsid w:val="00C92684"/>
    <w:pPr>
      <w:spacing w:line="240" w:lineRule="auto"/>
    </w:pPr>
    <w:rPr>
      <w:sz w:val="20"/>
      <w:szCs w:val="20"/>
    </w:rPr>
  </w:style>
  <w:style w:type="character" w:customStyle="1" w:styleId="CommentTextChar">
    <w:name w:val="Comment Text Char"/>
    <w:basedOn w:val="DefaultParagraphFont"/>
    <w:link w:val="CommentText"/>
    <w:uiPriority w:val="99"/>
    <w:rsid w:val="00C92684"/>
    <w:rPr>
      <w:rFonts w:ascii="Century Schoolbook" w:eastAsia="Times New Roman" w:hAnsi="Century Schoolbook" w:cs="Times New Roman"/>
      <w:kern w:val="2"/>
      <w:sz w:val="20"/>
      <w:szCs w:val="20"/>
    </w:rPr>
  </w:style>
  <w:style w:type="paragraph" w:styleId="CommentSubject">
    <w:name w:val="annotation subject"/>
    <w:basedOn w:val="CommentText"/>
    <w:next w:val="CommentText"/>
    <w:link w:val="CommentSubjectChar"/>
    <w:uiPriority w:val="99"/>
    <w:semiHidden/>
    <w:unhideWhenUsed/>
    <w:rsid w:val="00C92684"/>
    <w:rPr>
      <w:b/>
      <w:bCs/>
    </w:rPr>
  </w:style>
  <w:style w:type="character" w:customStyle="1" w:styleId="CommentSubjectChar">
    <w:name w:val="Comment Subject Char"/>
    <w:basedOn w:val="CommentTextChar"/>
    <w:link w:val="CommentSubject"/>
    <w:uiPriority w:val="99"/>
    <w:semiHidden/>
    <w:rsid w:val="00C92684"/>
    <w:rPr>
      <w:rFonts w:ascii="Century Schoolbook" w:eastAsia="Times New Roman" w:hAnsi="Century Schoolbook"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534">
      <w:bodyDiv w:val="1"/>
      <w:marLeft w:val="0"/>
      <w:marRight w:val="0"/>
      <w:marTop w:val="0"/>
      <w:marBottom w:val="0"/>
      <w:divBdr>
        <w:top w:val="none" w:sz="0" w:space="0" w:color="auto"/>
        <w:left w:val="none" w:sz="0" w:space="0" w:color="auto"/>
        <w:bottom w:val="none" w:sz="0" w:space="0" w:color="auto"/>
        <w:right w:val="none" w:sz="0" w:space="0" w:color="auto"/>
      </w:divBdr>
    </w:div>
    <w:div w:id="4238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2350-8C0E-7047-A6F3-C605B574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7459</Words>
  <Characters>39931</Characters>
  <Application>Microsoft Office Word</Application>
  <DocSecurity>0</DocSecurity>
  <Lines>818</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2024-06-05T21:37:00Z</cp:lastPrinted>
  <dcterms:created xsi:type="dcterms:W3CDTF">2024-06-05T21:55:00Z</dcterms:created>
  <dcterms:modified xsi:type="dcterms:W3CDTF">2024-06-05T21:55:00Z</dcterms:modified>
  <cp:category/>
</cp:coreProperties>
</file>