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FD1075" w:rsidRPr="00FD1075" w:rsidP="00FD1075" w14:paraId="3CFC045A" w14:textId="5CB03F5E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Filed 6/17/24</w:t>
      </w:r>
    </w:p>
    <w:p w:rsidR="006B51AE" w:rsidP="006B51AE" w14:paraId="465EF1E6" w14:textId="2CFA02E5">
      <w:pPr>
        <w:spacing w:line="240" w:lineRule="auto"/>
        <w:jc w:val="center"/>
        <w:rPr>
          <w:b/>
        </w:rPr>
      </w:pPr>
      <w:r>
        <w:rPr>
          <w:b/>
        </w:rPr>
        <w:t>CERTIFIED FOR PUBLICATION</w:t>
      </w:r>
    </w:p>
    <w:p w:rsidR="0060106F" w:rsidP="0060106F" w14:paraId="75771B38" w14:textId="77777777">
      <w:pPr>
        <w:spacing w:line="240" w:lineRule="auto"/>
        <w:jc w:val="center"/>
      </w:pPr>
    </w:p>
    <w:p w:rsidR="0060106F" w:rsidP="0060106F" w14:paraId="755C35DE" w14:textId="77777777">
      <w:pPr>
        <w:spacing w:line="240" w:lineRule="auto"/>
        <w:jc w:val="center"/>
      </w:pPr>
      <w:r>
        <w:t>IN THE COURT OF APPEAL OF THE STATE OF CALIFORNIA</w:t>
      </w:r>
    </w:p>
    <w:p w:rsidR="0060106F" w:rsidP="0060106F" w14:paraId="6D8B6FAB" w14:textId="77777777">
      <w:pPr>
        <w:spacing w:line="240" w:lineRule="auto"/>
        <w:jc w:val="center"/>
      </w:pPr>
    </w:p>
    <w:p w:rsidR="0060106F" w:rsidP="0060106F" w14:paraId="1947F43A" w14:textId="77777777">
      <w:pPr>
        <w:spacing w:line="240" w:lineRule="auto"/>
        <w:jc w:val="center"/>
      </w:pPr>
      <w:r>
        <w:t>SECOND APPELLATE DISTRICT</w:t>
      </w:r>
    </w:p>
    <w:p w:rsidR="0060106F" w:rsidP="0060106F" w14:paraId="78710758" w14:textId="77777777">
      <w:pPr>
        <w:spacing w:line="240" w:lineRule="auto"/>
        <w:jc w:val="center"/>
      </w:pPr>
    </w:p>
    <w:p w:rsidR="006C7D8D" w:rsidP="0060106F" w14:paraId="2333B69A" w14:textId="77777777">
      <w:pPr>
        <w:spacing w:line="240" w:lineRule="auto"/>
        <w:jc w:val="center"/>
      </w:pPr>
      <w:r>
        <w:t>DIVISION SIX</w:t>
      </w:r>
    </w:p>
    <w:p w:rsidR="006C7D8D" w:rsidP="006C7D8D" w14:paraId="11F100B3" w14:textId="77777777">
      <w:pPr>
        <w:spacing w:line="240" w:lineRule="auto"/>
        <w:jc w:val="center"/>
      </w:pPr>
    </w:p>
    <w:p w:rsidR="006C7D8D" w:rsidP="006C7D8D" w14:paraId="65B482D4" w14:textId="77777777">
      <w:pPr>
        <w:spacing w:line="240" w:lineRule="auto"/>
        <w:jc w:val="center"/>
      </w:pPr>
    </w:p>
    <w:tbl>
      <w:tblPr>
        <w:tblW w:w="8136" w:type="dxa"/>
        <w:tblLayout w:type="fixed"/>
        <w:tblLook w:val="0000"/>
      </w:tblPr>
      <w:tblGrid>
        <w:gridCol w:w="4140"/>
        <w:gridCol w:w="3996"/>
      </w:tblGrid>
      <w:tr w14:paraId="14301914" w14:textId="77777777" w:rsidTr="005836A9">
        <w:tblPrEx>
          <w:tblW w:w="8136" w:type="dxa"/>
          <w:tblLayout w:type="fixed"/>
          <w:tblLook w:val="0000"/>
        </w:tblPrEx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12" w:rsidP="00493F12" w14:paraId="4F70C405" w14:textId="77777777">
            <w:pPr>
              <w:spacing w:line="240" w:lineRule="auto"/>
            </w:pPr>
            <w:r>
              <w:t>MARIA CHAVEZ,</w:t>
            </w:r>
          </w:p>
          <w:p w:rsidR="00493F12" w:rsidP="00493F12" w14:paraId="341CC0EB" w14:textId="77777777">
            <w:pPr>
              <w:spacing w:line="240" w:lineRule="auto"/>
            </w:pPr>
          </w:p>
          <w:p w:rsidR="00493F12" w:rsidP="00493F12" w14:paraId="4E21CDB0" w14:textId="77777777">
            <w:pPr>
              <w:spacing w:line="240" w:lineRule="auto"/>
              <w:ind w:left="360"/>
            </w:pPr>
            <w:r>
              <w:t>Plaintiff and Appellant,</w:t>
            </w:r>
          </w:p>
          <w:p w:rsidR="00493F12" w:rsidP="00493F12" w14:paraId="01DCBC5F" w14:textId="77777777">
            <w:pPr>
              <w:spacing w:line="240" w:lineRule="auto"/>
            </w:pPr>
          </w:p>
          <w:p w:rsidR="00493F12" w:rsidP="00493F12" w14:paraId="0C333D6A" w14:textId="77777777">
            <w:pPr>
              <w:spacing w:line="240" w:lineRule="auto"/>
            </w:pPr>
            <w:r>
              <w:t>v.</w:t>
            </w:r>
          </w:p>
          <w:p w:rsidR="00493F12" w:rsidP="00493F12" w14:paraId="24C7C821" w14:textId="77777777">
            <w:pPr>
              <w:spacing w:line="240" w:lineRule="auto"/>
            </w:pPr>
          </w:p>
          <w:p w:rsidR="00493F12" w:rsidP="00493F12" w14:paraId="1F556270" w14:textId="76F09B1E">
            <w:pPr>
              <w:spacing w:line="240" w:lineRule="auto"/>
            </w:pPr>
            <w:r>
              <w:t>ALCO HARVESTING</w:t>
            </w:r>
            <w:r w:rsidR="00F94763">
              <w:t>,</w:t>
            </w:r>
            <w:r>
              <w:t xml:space="preserve"> LLC, et</w:t>
            </w:r>
            <w:r w:rsidR="00AC2E8B">
              <w:t> </w:t>
            </w:r>
            <w:r>
              <w:t>al.,</w:t>
            </w:r>
          </w:p>
          <w:p w:rsidR="00493F12" w:rsidP="00493F12" w14:paraId="29AE1FB8" w14:textId="77777777">
            <w:pPr>
              <w:spacing w:line="240" w:lineRule="auto"/>
            </w:pPr>
          </w:p>
          <w:p w:rsidR="006C7D8D" w:rsidP="00493F12" w14:paraId="4159D118" w14:textId="40E45E38">
            <w:pPr>
              <w:spacing w:line="240" w:lineRule="auto"/>
            </w:pPr>
            <w:r>
              <w:t xml:space="preserve">    </w:t>
            </w:r>
            <w:r w:rsidR="00493F12">
              <w:t>Defendants and Respondents</w:t>
            </w:r>
            <w:r w:rsidR="005836A9">
              <w:t>.</w:t>
            </w:r>
            <w:r w:rsidR="00493F12">
              <w:t xml:space="preserve"> </w:t>
            </w:r>
          </w:p>
          <w:p w:rsidR="00493F12" w:rsidP="00493F12" w14:paraId="02249F44" w14:textId="5D48B2E9">
            <w:pPr>
              <w:spacing w:line="240" w:lineRule="auto"/>
            </w:pP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493F12" w:rsidP="00493F12" w14:paraId="2F79CE31" w14:textId="77777777">
            <w:pPr>
              <w:spacing w:line="240" w:lineRule="auto"/>
              <w:jc w:val="center"/>
            </w:pPr>
            <w:r>
              <w:t>2d Civ. No. B329282</w:t>
            </w:r>
          </w:p>
          <w:p w:rsidR="00493F12" w:rsidP="00493F12" w14:paraId="6EE7F7FA" w14:textId="77777777">
            <w:pPr>
              <w:spacing w:line="240" w:lineRule="auto"/>
              <w:jc w:val="center"/>
            </w:pPr>
            <w:r>
              <w:t>(Super. Ct. No. 22CV00331)</w:t>
            </w:r>
          </w:p>
          <w:p w:rsidR="00493F12" w:rsidP="00493F12" w14:paraId="54212B47" w14:textId="77777777">
            <w:pPr>
              <w:spacing w:line="240" w:lineRule="auto"/>
              <w:jc w:val="center"/>
            </w:pPr>
            <w:r>
              <w:t>(Santa Barbara County)</w:t>
            </w:r>
          </w:p>
          <w:p w:rsidR="006C7D8D" w:rsidP="006C7D8D" w14:paraId="263EFEBB" w14:textId="3994FE59">
            <w:pPr>
              <w:spacing w:line="240" w:lineRule="auto"/>
              <w:jc w:val="center"/>
            </w:pPr>
          </w:p>
          <w:p w:rsidR="006C7D8D" w:rsidP="006C7D8D" w14:paraId="59BF1FB4" w14:textId="77777777">
            <w:pPr>
              <w:spacing w:line="240" w:lineRule="auto"/>
              <w:jc w:val="center"/>
            </w:pPr>
          </w:p>
        </w:tc>
      </w:tr>
    </w:tbl>
    <w:p w:rsidR="006C7D8D" w:rsidP="00D84A27" w14:paraId="143EE232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</w:p>
    <w:p w:rsidR="006C7D8D" w:rsidP="00A85815" w14:paraId="4B78480B" w14:textId="6BD7B63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 w:rsidRPr="00493F12">
        <w:t>Plaintiff Maria Chavez appeals after the trial court sustained</w:t>
      </w:r>
      <w:r w:rsidR="00855497">
        <w:t xml:space="preserve"> without leave to amend</w:t>
      </w:r>
      <w:r w:rsidRPr="00493F12">
        <w:t xml:space="preserve"> the demurrer of Defendant Alco Harvesting, LLC (Alco).</w:t>
      </w:r>
      <w:r w:rsidR="00B22904">
        <w:t xml:space="preserve">  </w:t>
      </w:r>
      <w:r w:rsidRPr="00493F12">
        <w:t xml:space="preserve">Plaintiff </w:t>
      </w:r>
      <w:r w:rsidR="00A85815">
        <w:t>alleged her husband died of COVID-19 complications after contracting the disease while working for Alco.</w:t>
      </w:r>
      <w:r w:rsidR="00B22904">
        <w:t xml:space="preserve">  </w:t>
      </w:r>
      <w:r w:rsidRPr="00493F12">
        <w:t xml:space="preserve">Plaintiff contends the court erred in finding </w:t>
      </w:r>
      <w:r w:rsidR="00C13F99">
        <w:t>her</w:t>
      </w:r>
      <w:r w:rsidR="00D064E8">
        <w:t xml:space="preserve"> second amended complaint failed </w:t>
      </w:r>
      <w:r w:rsidR="00C13F99">
        <w:t xml:space="preserve">to </w:t>
      </w:r>
      <w:r w:rsidR="00D064E8">
        <w:t>plead sufficient facts</w:t>
      </w:r>
      <w:r w:rsidRPr="00493F12">
        <w:t xml:space="preserve"> </w:t>
      </w:r>
      <w:r w:rsidR="00612A9E">
        <w:t>under the</w:t>
      </w:r>
      <w:r w:rsidRPr="00493F12">
        <w:t xml:space="preserve"> fraudulent concealment exception to the worker</w:t>
      </w:r>
      <w:r w:rsidR="006F1EDC">
        <w:t>s’</w:t>
      </w:r>
      <w:r w:rsidRPr="00493F12">
        <w:t xml:space="preserve"> compensation exclusivity rule.</w:t>
      </w:r>
      <w:r w:rsidR="00B22904">
        <w:t xml:space="preserve">  </w:t>
      </w:r>
      <w:r w:rsidRPr="00493F12">
        <w:t>We agree</w:t>
      </w:r>
      <w:r w:rsidR="00CE61E3">
        <w:t>.  Construing the order sustaining the demurrer without leave to amend as a final judgment,</w:t>
      </w:r>
      <w:r w:rsidRPr="00493F12">
        <w:t xml:space="preserve"> </w:t>
      </w:r>
      <w:r w:rsidR="00CE61E3">
        <w:t xml:space="preserve">we </w:t>
      </w:r>
      <w:r w:rsidRPr="00493F12">
        <w:t>will reverse</w:t>
      </w:r>
      <w:r w:rsidR="00CE61E3">
        <w:t xml:space="preserve"> </w:t>
      </w:r>
      <w:r w:rsidR="00031815">
        <w:t xml:space="preserve">and remand with instructions to (1) vacate </w:t>
      </w:r>
      <w:r w:rsidR="000C2E4B">
        <w:t xml:space="preserve">the </w:t>
      </w:r>
      <w:r w:rsidR="00031815">
        <w:t>order granting Alco’s demurrer and (2) enter a new order overruling that demurrer</w:t>
      </w:r>
      <w:r w:rsidR="00A56CEE">
        <w:t>.</w:t>
      </w:r>
    </w:p>
    <w:p w:rsidR="0000191B" w:rsidRPr="00C50E21" w:rsidP="00C50E21" w14:paraId="7B1DA044" w14:textId="3A12CFD5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FACTUAL AND PROCEDURAL BACKGROUND</w:t>
      </w:r>
    </w:p>
    <w:p w:rsidR="00B22904" w:rsidP="00B22904" w14:paraId="78678B3D" w14:textId="77777777">
      <w:pPr>
        <w:pStyle w:val="FootnoteText"/>
        <w:ind w:firstLine="720"/>
        <w:rPr>
          <w:sz w:val="26"/>
          <w:szCs w:val="26"/>
        </w:rPr>
      </w:pPr>
      <w:r w:rsidRPr="003010A1">
        <w:rPr>
          <w:sz w:val="26"/>
          <w:szCs w:val="26"/>
        </w:rPr>
        <w:t xml:space="preserve">As we explain </w:t>
      </w:r>
      <w:r>
        <w:rPr>
          <w:sz w:val="26"/>
          <w:szCs w:val="26"/>
        </w:rPr>
        <w:t xml:space="preserve">in the discussion section </w:t>
      </w:r>
      <w:r w:rsidRPr="003010A1">
        <w:rPr>
          <w:sz w:val="26"/>
          <w:szCs w:val="26"/>
        </w:rPr>
        <w:t xml:space="preserve">below, our review is de novo, and we </w:t>
      </w:r>
      <w:r w:rsidRPr="00DD2ADC">
        <w:rPr>
          <w:sz w:val="26"/>
          <w:szCs w:val="26"/>
        </w:rPr>
        <w:t>treat the demurrer as admitting all material facts properly pleaded</w:t>
      </w:r>
      <w:r>
        <w:rPr>
          <w:sz w:val="26"/>
          <w:szCs w:val="26"/>
        </w:rPr>
        <w:t xml:space="preserve">.  </w:t>
      </w:r>
      <w:r w:rsidRPr="003010A1">
        <w:rPr>
          <w:sz w:val="26"/>
          <w:szCs w:val="26"/>
        </w:rPr>
        <w:t xml:space="preserve">Accordingly, we draw our factual summary from </w:t>
      </w:r>
      <w:r>
        <w:rPr>
          <w:sz w:val="26"/>
          <w:szCs w:val="26"/>
        </w:rPr>
        <w:t>plaintiff’s second amended complaint.</w:t>
      </w:r>
    </w:p>
    <w:p w:rsidR="00493F12" w:rsidRPr="00B22904" w:rsidP="00B22904" w14:paraId="33ABA6C6" w14:textId="7E8F3280">
      <w:pPr>
        <w:pStyle w:val="FootnoteText"/>
        <w:ind w:firstLine="720"/>
        <w:rPr>
          <w:sz w:val="26"/>
          <w:szCs w:val="26"/>
        </w:rPr>
      </w:pPr>
      <w:r w:rsidRPr="00B22904">
        <w:rPr>
          <w:sz w:val="26"/>
          <w:szCs w:val="26"/>
        </w:rPr>
        <w:t>Plaintiff</w:t>
      </w:r>
      <w:r w:rsidRPr="00B22904" w:rsidR="000445F6">
        <w:rPr>
          <w:sz w:val="26"/>
          <w:szCs w:val="26"/>
        </w:rPr>
        <w:t xml:space="preserve"> is the widow of </w:t>
      </w:r>
      <w:r w:rsidRPr="00B22904">
        <w:rPr>
          <w:sz w:val="26"/>
          <w:szCs w:val="26"/>
        </w:rPr>
        <w:t xml:space="preserve">Leodegario Chavez Alvarado (decedent), </w:t>
      </w:r>
      <w:r w:rsidRPr="00B22904" w:rsidR="00B84A1A">
        <w:rPr>
          <w:sz w:val="26"/>
          <w:szCs w:val="26"/>
        </w:rPr>
        <w:t xml:space="preserve">who </w:t>
      </w:r>
      <w:r w:rsidRPr="00B22904">
        <w:rPr>
          <w:sz w:val="26"/>
          <w:szCs w:val="26"/>
        </w:rPr>
        <w:t xml:space="preserve">worked for Alco as a foreman and bus driver. </w:t>
      </w:r>
      <w:r w:rsidRPr="00B22904" w:rsidR="00B22904">
        <w:rPr>
          <w:sz w:val="26"/>
          <w:szCs w:val="26"/>
        </w:rPr>
        <w:t xml:space="preserve"> </w:t>
      </w:r>
      <w:r w:rsidRPr="00B22904">
        <w:rPr>
          <w:sz w:val="26"/>
          <w:szCs w:val="26"/>
        </w:rPr>
        <w:t xml:space="preserve">Alco provided </w:t>
      </w:r>
      <w:r w:rsidRPr="00B22904" w:rsidR="002137F8">
        <w:rPr>
          <w:sz w:val="26"/>
          <w:szCs w:val="26"/>
        </w:rPr>
        <w:t xml:space="preserve">decedent </w:t>
      </w:r>
      <w:r w:rsidRPr="00B22904">
        <w:rPr>
          <w:sz w:val="26"/>
          <w:szCs w:val="26"/>
        </w:rPr>
        <w:t xml:space="preserve">and other Alco workers housing at </w:t>
      </w:r>
      <w:r w:rsidRPr="00B22904" w:rsidR="00612F0B">
        <w:rPr>
          <w:sz w:val="26"/>
          <w:szCs w:val="26"/>
        </w:rPr>
        <w:t xml:space="preserve">the </w:t>
      </w:r>
      <w:r w:rsidRPr="00B22904">
        <w:rPr>
          <w:sz w:val="26"/>
          <w:szCs w:val="26"/>
        </w:rPr>
        <w:t xml:space="preserve">Hotel Santa Maria. </w:t>
      </w:r>
      <w:r w:rsidRPr="00B22904" w:rsidR="00E51176">
        <w:rPr>
          <w:sz w:val="26"/>
          <w:szCs w:val="26"/>
        </w:rPr>
        <w:t xml:space="preserve"> </w:t>
      </w:r>
      <w:r w:rsidRPr="00B22904">
        <w:rPr>
          <w:sz w:val="26"/>
          <w:szCs w:val="26"/>
        </w:rPr>
        <w:t>210 Nicholson, LLC (210 Nicholson)</w:t>
      </w:r>
      <w:r>
        <w:rPr>
          <w:rStyle w:val="FootnoteReference"/>
          <w:sz w:val="26"/>
          <w:szCs w:val="26"/>
        </w:rPr>
        <w:footnoteReference w:customMarkFollows="1" w:id="2"/>
        <w:t xml:space="preserve">1</w:t>
      </w:r>
      <w:r w:rsidRPr="00B22904">
        <w:rPr>
          <w:sz w:val="26"/>
          <w:szCs w:val="26"/>
        </w:rPr>
        <w:t xml:space="preserve"> operated the hotel. </w:t>
      </w:r>
      <w:r w:rsidRPr="00B22904" w:rsidR="00B22904">
        <w:rPr>
          <w:sz w:val="26"/>
          <w:szCs w:val="26"/>
        </w:rPr>
        <w:t xml:space="preserve"> </w:t>
      </w:r>
      <w:r w:rsidRPr="00B22904">
        <w:rPr>
          <w:sz w:val="26"/>
          <w:szCs w:val="26"/>
        </w:rPr>
        <w:t xml:space="preserve">Some Alco employees were placed in close living quarters that precluded social distancing.  Alco was aware </w:t>
      </w:r>
      <w:r w:rsidRPr="00B22904" w:rsidR="009B080A">
        <w:rPr>
          <w:sz w:val="26"/>
          <w:szCs w:val="26"/>
        </w:rPr>
        <w:t xml:space="preserve">such </w:t>
      </w:r>
      <w:r w:rsidRPr="00B22904">
        <w:rPr>
          <w:sz w:val="26"/>
          <w:szCs w:val="26"/>
        </w:rPr>
        <w:t>placement facilitated the transmission of COVID-19.</w:t>
      </w:r>
      <w:r w:rsidR="00B22904">
        <w:rPr>
          <w:sz w:val="26"/>
          <w:szCs w:val="26"/>
        </w:rPr>
        <w:t xml:space="preserve"> </w:t>
      </w:r>
    </w:p>
    <w:p w:rsidR="00493F12" w:rsidRPr="008C1773" w:rsidP="00493F12" w14:paraId="5B29B7C6" w14:textId="565A8654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“It was no surprise that a COVID-19 outbreak soon began at the Hotel Santa Maria.” </w:t>
      </w:r>
      <w:r w:rsidR="00B22904">
        <w:t xml:space="preserve"> </w:t>
      </w:r>
      <w:r>
        <w:t xml:space="preserve">Alco and 210 Nicholson became aware of </w:t>
      </w:r>
      <w:r w:rsidR="0002360E">
        <w:t xml:space="preserve">a COVID-19 outbreak at the </w:t>
      </w:r>
      <w:r w:rsidR="00620AF2">
        <w:t>hotel</w:t>
      </w:r>
      <w:r w:rsidR="00882D5A">
        <w:t xml:space="preserve"> well before decedent’s</w:t>
      </w:r>
      <w:r w:rsidR="00577AC5">
        <w:t xml:space="preserve"> viral</w:t>
      </w:r>
      <w:r w:rsidR="00882D5A">
        <w:t xml:space="preserve"> </w:t>
      </w:r>
      <w:r w:rsidR="00D64AFD">
        <w:t>exposure</w:t>
      </w:r>
      <w:r w:rsidR="00244223">
        <w:t>.</w:t>
      </w:r>
      <w:r>
        <w:t xml:space="preserve"> </w:t>
      </w:r>
      <w:r w:rsidR="00B22904">
        <w:t xml:space="preserve"> </w:t>
      </w:r>
      <w:r w:rsidR="007E5C14">
        <w:t xml:space="preserve">The outbreak was </w:t>
      </w:r>
      <w:r w:rsidR="00577AC5">
        <w:t>unknown to decedent.</w:t>
      </w:r>
      <w:r w:rsidR="007E5C14">
        <w:t xml:space="preserve"> </w:t>
      </w:r>
      <w:r w:rsidR="00B22904">
        <w:t xml:space="preserve"> </w:t>
      </w:r>
      <w:r>
        <w:t xml:space="preserve">Alco failed to report </w:t>
      </w:r>
      <w:r w:rsidR="00244223">
        <w:t>the outbreak</w:t>
      </w:r>
      <w:r>
        <w:t xml:space="preserve"> to the health department, notify its employees, or </w:t>
      </w:r>
      <w:r w:rsidR="00825F13">
        <w:t>“</w:t>
      </w:r>
      <w:r>
        <w:t xml:space="preserve">implement </w:t>
      </w:r>
      <w:r w:rsidR="008B0CB8">
        <w:t xml:space="preserve">adequate safety </w:t>
      </w:r>
      <w:r>
        <w:t>measures</w:t>
      </w:r>
      <w:r w:rsidR="008B0CB8">
        <w:t xml:space="preserve"> or measures </w:t>
      </w:r>
      <w:r>
        <w:t>to prevent or curb the outbreak.</w:t>
      </w:r>
      <w:r w:rsidR="00825F13">
        <w:t>”</w:t>
      </w:r>
      <w:r w:rsidR="00B22904">
        <w:t xml:space="preserve"> </w:t>
      </w:r>
    </w:p>
    <w:p w:rsidR="00493F12" w:rsidP="00493F12" w14:paraId="6A7C0291" w14:textId="26E47EB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Decedent began feeling ill on </w:t>
      </w:r>
      <w:r w:rsidR="00544AA7">
        <w:t xml:space="preserve">or about </w:t>
      </w:r>
      <w:r>
        <w:t>June 26, 2020</w:t>
      </w:r>
      <w:r w:rsidR="000848A2">
        <w:t>, and his symptoms “were those associated with a COVID-19 infection</w:t>
      </w:r>
      <w:r>
        <w:t>.</w:t>
      </w:r>
      <w:r w:rsidR="000848A2">
        <w:t xml:space="preserve">” </w:t>
      </w:r>
      <w:r w:rsidR="00B22904">
        <w:t xml:space="preserve"> </w:t>
      </w:r>
      <w:r>
        <w:t xml:space="preserve">Decedent immediately reported feeling unwell to his supervisors. </w:t>
      </w:r>
      <w:r w:rsidR="00B22904">
        <w:t xml:space="preserve"> </w:t>
      </w:r>
      <w:r>
        <w:t xml:space="preserve">Plaintiff alleged that by virtue of </w:t>
      </w:r>
      <w:r w:rsidR="00270265">
        <w:t xml:space="preserve">their </w:t>
      </w:r>
      <w:r>
        <w:t xml:space="preserve">superior knowledge regarding the outbreak, “Defendants knew, even before </w:t>
      </w:r>
      <w:r w:rsidR="00386CD1">
        <w:t>[d]</w:t>
      </w:r>
      <w:r>
        <w:t>ecedent, that he had contracted the virus.”</w:t>
      </w:r>
      <w:r w:rsidR="00B22904">
        <w:t xml:space="preserve">  </w:t>
      </w:r>
      <w:r>
        <w:t xml:space="preserve">Plaintiff further alleged decedent “was unaware that he had contracted COVID-19.  However, upon notifying them of his symptoms, Alco and 210 Nicholson had actual knowledge of </w:t>
      </w:r>
      <w:r w:rsidR="00386CD1">
        <w:t>[d]</w:t>
      </w:r>
      <w:r>
        <w:t>ecedent’s illness . . . .”</w:t>
      </w:r>
      <w:r w:rsidR="00B22904">
        <w:t xml:space="preserve">  </w:t>
      </w:r>
      <w:r>
        <w:t xml:space="preserve">Alco </w:t>
      </w:r>
      <w:r w:rsidR="009C738F">
        <w:t xml:space="preserve">nonetheless </w:t>
      </w:r>
      <w:r>
        <w:t>failed to inform decedent of the outbreak or that his symptoms “were that of COVID-19.”</w:t>
      </w:r>
      <w:r w:rsidR="00B22904">
        <w:t xml:space="preserve"> </w:t>
      </w:r>
    </w:p>
    <w:p w:rsidR="00493F12" w:rsidP="008C6517" w14:paraId="327B5423" w14:textId="78D6E2B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Decedent tested positive for COVID-19 on July 2, 2020, a week after he had reported his symptoms to Alco. </w:t>
      </w:r>
      <w:r w:rsidR="00B22904">
        <w:t xml:space="preserve"> </w:t>
      </w:r>
      <w:r>
        <w:t>On that date, decedent was placed at a Motel 6.  Decedent waited for medication to arrive, but none did.</w:t>
      </w:r>
      <w:r w:rsidR="00B22904">
        <w:t xml:space="preserve">  </w:t>
      </w:r>
      <w:r>
        <w:t xml:space="preserve">On July 7, 2020, </w:t>
      </w:r>
      <w:r w:rsidR="002D0DC4">
        <w:t xml:space="preserve">he </w:t>
      </w:r>
      <w:r w:rsidR="007956E1">
        <w:t xml:space="preserve">died </w:t>
      </w:r>
      <w:r w:rsidR="005C1CEF">
        <w:t>of</w:t>
      </w:r>
      <w:r w:rsidR="008C6517">
        <w:t xml:space="preserve"> COVID-19 complications.</w:t>
      </w:r>
      <w:r w:rsidR="00B22904">
        <w:t xml:space="preserve">  </w:t>
      </w:r>
      <w:r>
        <w:t xml:space="preserve">Plaintiff alleged that because of the outbreak, decedent “was exposed to COVID-19 and fell ill.  Alco’s deliberate concealment of the outbreak and the nature of </w:t>
      </w:r>
      <w:r w:rsidR="005B2834">
        <w:t>d</w:t>
      </w:r>
      <w:r>
        <w:t>ecedent’s illness resulted in the aggravation of his illness to the point that he was unable to recover and succumbed to the disease.”</w:t>
      </w:r>
      <w:r w:rsidR="00B22904">
        <w:t xml:space="preserve"> </w:t>
      </w:r>
    </w:p>
    <w:p w:rsidR="001C13E6" w:rsidP="00493F12" w14:paraId="40E72CE4" w14:textId="4695459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The trial court sustained Alco’s demurrer to the second amended complaint </w:t>
      </w:r>
      <w:r w:rsidR="00956331">
        <w:t xml:space="preserve">(SAC) </w:t>
      </w:r>
      <w:r>
        <w:t>without leave to amend.  Plaintiff</w:t>
      </w:r>
      <w:r w:rsidR="003A756C">
        <w:t xml:space="preserve"> </w:t>
      </w:r>
      <w:r>
        <w:t>appeal</w:t>
      </w:r>
      <w:r w:rsidR="00892E0B">
        <w:t>s</w:t>
      </w:r>
      <w:r>
        <w:t>.</w:t>
      </w:r>
      <w:r w:rsidR="00B22904">
        <w:t xml:space="preserve"> </w:t>
      </w:r>
    </w:p>
    <w:p w:rsidR="0000191B" w:rsidP="004F3D39" w14:paraId="7FB20C5A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DISCUSSION</w:t>
      </w:r>
    </w:p>
    <w:p w:rsidR="00493F12" w:rsidRPr="00493F12" w:rsidP="00493F12" w14:paraId="0EBC8EBD" w14:textId="33B46F1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  <w:rPr>
          <w:i/>
          <w:iCs/>
        </w:rPr>
      </w:pPr>
      <w:r w:rsidRPr="00493F12">
        <w:rPr>
          <w:i/>
          <w:iCs/>
        </w:rPr>
        <w:t>Appealability</w:t>
      </w:r>
    </w:p>
    <w:p w:rsidR="00493F12" w:rsidP="00493F12" w14:paraId="72BC9FA8" w14:textId="12421455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While plaintiff’s notice of appeal references a judgment of dismissal, the record contains none.  Thus, plaintiff appears to appeal the order sustaining Alco’s demurrer.  (</w:t>
      </w:r>
      <w:r w:rsidRPr="008E2E26">
        <w:t xml:space="preserve">See </w:t>
      </w:r>
      <w:r w:rsidRPr="00493F12">
        <w:rPr>
          <w:i/>
          <w:iCs/>
        </w:rPr>
        <w:t>Zipperer v. County of Santa Clara</w:t>
      </w:r>
      <w:r>
        <w:t xml:space="preserve"> (2005) 133 Cal.App.4th 1013, 1019.)  “Orders sustaining demurrers are not appealable.”  (</w:t>
      </w:r>
      <w:r w:rsidRPr="00493F12">
        <w:rPr>
          <w:i/>
          <w:iCs/>
        </w:rPr>
        <w:t>Hill v. City of Long Beach</w:t>
      </w:r>
      <w:r>
        <w:t xml:space="preserve"> (1995) 33 Cal.App.4th 1684, 1695.)  “Nevertheless, in the interest of judicial economy, we may construe the order sustaining the demurrer without leave to amend as a final appealable judgment.”  (</w:t>
      </w:r>
      <w:r w:rsidRPr="00493F12">
        <w:rPr>
          <w:i/>
          <w:iCs/>
        </w:rPr>
        <w:t>Cardenas v. Horizon Senior Living, Inc.</w:t>
      </w:r>
      <w:r>
        <w:t xml:space="preserve"> (2022) 78 Cal.App.5th 1065, 1069</w:t>
      </w:r>
      <w:r w:rsidR="00FD249D">
        <w:t xml:space="preserve">.)  </w:t>
      </w:r>
      <w:r>
        <w:t>We do so here.</w:t>
      </w:r>
    </w:p>
    <w:p w:rsidR="00493F12" w:rsidRPr="00493F12" w:rsidP="00493F12" w14:paraId="4945D64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  <w:rPr>
          <w:i/>
          <w:iCs/>
        </w:rPr>
      </w:pPr>
      <w:r w:rsidRPr="00493F12">
        <w:rPr>
          <w:i/>
          <w:iCs/>
        </w:rPr>
        <w:t>Standard of Review</w:t>
      </w:r>
    </w:p>
    <w:p w:rsidR="00493F12" w:rsidP="00493F12" w14:paraId="173B6C4B" w14:textId="1C6CB13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“In reviewing an order sustaining a demurrer, we examine the operative complaint de novo to determine whether it alleges facts sufficient to state a cause of action under any legal theory.”  (</w:t>
      </w:r>
      <w:r w:rsidRPr="00493F12">
        <w:rPr>
          <w:i/>
          <w:iCs/>
        </w:rPr>
        <w:t>T.H. v. Novartis Pharmaceuticals Corp.</w:t>
      </w:r>
      <w:r>
        <w:t xml:space="preserve"> (2017) 4 Cal.5th 145, 162.)  “</w:t>
      </w:r>
      <w:r w:rsidR="00960E74">
        <w:t>‘</w:t>
      </w:r>
      <w:r>
        <w:t xml:space="preserve">We treat the demurrer as admitting all material facts properly pleaded, but not contentions, deductions or conclusions of fact or law. </w:t>
      </w:r>
      <w:r w:rsidR="003B474D">
        <w:t xml:space="preserve"> </w:t>
      </w:r>
      <w:r>
        <w:t>[Citation.]  We also consider matters which may be judicially noticed.</w:t>
      </w:r>
      <w:r w:rsidR="00AC2E8B">
        <w:t>’</w:t>
      </w:r>
      <w:r>
        <w:t xml:space="preserve"> </w:t>
      </w:r>
      <w:r w:rsidR="003B474D">
        <w:t xml:space="preserve"> </w:t>
      </w:r>
      <w:r>
        <w:t>[Citation.]  Further, we give the complaint a reasonable interpretation, reading it as a whole and its parts in their context.”  (</w:t>
      </w:r>
      <w:r w:rsidRPr="00493F12">
        <w:rPr>
          <w:i/>
          <w:iCs/>
        </w:rPr>
        <w:t>Blank v. Kirwan</w:t>
      </w:r>
      <w:r>
        <w:t xml:space="preserve"> (1985) 39 Cal.3d 311, 318.)  </w:t>
      </w:r>
    </w:p>
    <w:p w:rsidR="00493F12" w:rsidRPr="00493F12" w:rsidP="00493F12" w14:paraId="5DB639A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  <w:rPr>
          <w:i/>
          <w:iCs/>
        </w:rPr>
      </w:pPr>
      <w:r w:rsidRPr="00493F12">
        <w:rPr>
          <w:i/>
          <w:iCs/>
        </w:rPr>
        <w:t>Analysis</w:t>
      </w:r>
    </w:p>
    <w:p w:rsidR="00493F12" w:rsidP="00493F12" w14:paraId="32CFD082" w14:textId="792325F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Plaintiff argues her </w:t>
      </w:r>
      <w:r w:rsidR="000A36F9">
        <w:t xml:space="preserve">SAC </w:t>
      </w:r>
      <w:r w:rsidR="0022510D">
        <w:t>sufficiently ple</w:t>
      </w:r>
      <w:r w:rsidR="008E3084">
        <w:t>aded</w:t>
      </w:r>
      <w:r w:rsidR="0022510D">
        <w:t xml:space="preserve"> all elements of the fraudulent</w:t>
      </w:r>
      <w:r>
        <w:t xml:space="preserve"> concealment exception to the workers’ compensation exclusivity rule. </w:t>
      </w:r>
      <w:r w:rsidR="002D3439">
        <w:t xml:space="preserve"> </w:t>
      </w:r>
      <w:r>
        <w:t>We agree.</w:t>
      </w:r>
    </w:p>
    <w:p w:rsidR="004321B3" w:rsidP="00FC0038" w14:paraId="3B182674" w14:textId="54F6DA1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“As a general rule, an employee injured in the course of employment is limited to the remedies available under the Workers’ Compensation Act.”  (</w:t>
      </w:r>
      <w:r w:rsidRPr="00493F12">
        <w:rPr>
          <w:i/>
          <w:iCs/>
        </w:rPr>
        <w:t>Davis v. Lockheed Corp.</w:t>
      </w:r>
      <w:r>
        <w:t xml:space="preserve"> (1993) 13 Cal.App.4th 519, 521.)</w:t>
      </w:r>
      <w:r w:rsidR="00C63399">
        <w:t xml:space="preserve">  An exception exists “[w]here </w:t>
      </w:r>
      <w:r w:rsidRPr="00C63399" w:rsidR="00C63399">
        <w:t>the employee</w:t>
      </w:r>
      <w:r w:rsidR="00C63399">
        <w:t>’</w:t>
      </w:r>
      <w:r w:rsidRPr="00C63399" w:rsidR="00C63399">
        <w:t>s injury is aggravated by the employer</w:t>
      </w:r>
      <w:r w:rsidR="00CE21CF">
        <w:t>’</w:t>
      </w:r>
      <w:r w:rsidRPr="00C63399" w:rsidR="00C63399">
        <w:t>s fraudulent concealment of the existence of the injury and its connection with the employment</w:t>
      </w:r>
      <w:r w:rsidR="00C63399">
        <w:t xml:space="preserve"> . . . .”  (Lab. Code, § 3602</w:t>
      </w:r>
      <w:r w:rsidR="009A5E64">
        <w:t>, subd. (b)(2)</w:t>
      </w:r>
      <w:r w:rsidR="00C63399">
        <w:t>.)</w:t>
      </w:r>
      <w:r>
        <w:rPr>
          <w:rStyle w:val="FootnoteReference"/>
        </w:rPr>
        <w:footnoteReference w:customMarkFollows="1" w:id="3"/>
        <w:t xml:space="preserve">2</w:t>
      </w:r>
      <w:r w:rsidR="00905307">
        <w:t xml:space="preserve"> </w:t>
      </w:r>
      <w:r w:rsidR="00365D0E">
        <w:t xml:space="preserve"> Thus, three elements comprise this exception:  “</w:t>
      </w:r>
      <w:r w:rsidRPr="00365D0E" w:rsidR="00365D0E">
        <w:t>(1) the employer knew that the plaintiff had suffered a work-related injury; (2) the employer concealed that knowledge from the plaintiff; and (3) the injury was aggravated as a result of such concealment.</w:t>
      </w:r>
      <w:r w:rsidR="00365D0E">
        <w:t>”  (</w:t>
      </w:r>
      <w:r w:rsidR="00365D0E">
        <w:rPr>
          <w:i/>
          <w:iCs/>
        </w:rPr>
        <w:t xml:space="preserve">Palestini v. General Dynamics Corp. </w:t>
      </w:r>
      <w:r w:rsidR="00365D0E">
        <w:t>(2002) 99 Cal.App.4th 80, 90</w:t>
      </w:r>
      <w:r w:rsidR="00BB0939">
        <w:t xml:space="preserve"> (</w:t>
      </w:r>
      <w:r w:rsidR="00BB0939">
        <w:rPr>
          <w:i/>
          <w:iCs/>
        </w:rPr>
        <w:t>Palestini</w:t>
      </w:r>
      <w:r w:rsidR="00BB0939">
        <w:t>)</w:t>
      </w:r>
      <w:r w:rsidR="00C44804">
        <w:t xml:space="preserve">; see also </w:t>
      </w:r>
      <w:r w:rsidR="00C44804">
        <w:rPr>
          <w:i/>
          <w:iCs/>
        </w:rPr>
        <w:t xml:space="preserve">Jimenez v. Mrs. Gooch’s Natural Food Markets, Inc. </w:t>
      </w:r>
      <w:r w:rsidR="00C44804">
        <w:t>(2023) 95 Cal.App.5th 645, 658</w:t>
      </w:r>
      <w:r w:rsidR="00365D0E">
        <w:t>.)</w:t>
      </w:r>
      <w:r>
        <w:t xml:space="preserve">  The employer must have actual knowledge</w:t>
      </w:r>
      <w:r w:rsidR="002905C2">
        <w:t xml:space="preserve"> of the injury</w:t>
      </w:r>
      <w:r>
        <w:t>; const</w:t>
      </w:r>
      <w:r w:rsidR="00A06281">
        <w:t>r</w:t>
      </w:r>
      <w:r>
        <w:t xml:space="preserve">uctive or imputed knowledge is insufficient.  </w:t>
      </w:r>
      <w:r w:rsidR="00D45C52">
        <w:t>(</w:t>
      </w:r>
      <w:r w:rsidR="00D45C52">
        <w:rPr>
          <w:i/>
          <w:iCs/>
        </w:rPr>
        <w:t xml:space="preserve">Hughes Aircraft Co. v. Superior Court </w:t>
      </w:r>
      <w:r w:rsidR="00D45C52">
        <w:t>(1996) 44 Cal.App.4th 1790, 1796.)</w:t>
      </w:r>
    </w:p>
    <w:p w:rsidR="004321B3" w:rsidRPr="000962C2" w:rsidP="00493F12" w14:paraId="65CC2CD7" w14:textId="0427FB3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In </w:t>
      </w:r>
      <w:r>
        <w:rPr>
          <w:i/>
          <w:iCs/>
        </w:rPr>
        <w:t>Foster v. Xerox Corp.</w:t>
      </w:r>
      <w:r w:rsidR="00FC0038">
        <w:t xml:space="preserve"> (1985) 40 Cal.3d 306 (</w:t>
      </w:r>
      <w:r w:rsidR="00FC0038">
        <w:rPr>
          <w:i/>
          <w:iCs/>
        </w:rPr>
        <w:t>Foster</w:t>
      </w:r>
      <w:r w:rsidR="00FC0038">
        <w:t>),</w:t>
      </w:r>
      <w:r>
        <w:t xml:space="preserve"> the California Supreme Court analyzed the </w:t>
      </w:r>
      <w:r w:rsidR="00FF5348">
        <w:t>pleading requirements</w:t>
      </w:r>
      <w:r w:rsidR="009D7E96">
        <w:t xml:space="preserve"> </w:t>
      </w:r>
      <w:r w:rsidR="00211AA3">
        <w:t xml:space="preserve">for </w:t>
      </w:r>
      <w:r w:rsidR="009D7E96">
        <w:t>the</w:t>
      </w:r>
      <w:r w:rsidR="00AE435B">
        <w:t xml:space="preserve"> fraudulent concealment exception. </w:t>
      </w:r>
      <w:r w:rsidR="00DC1E33">
        <w:t xml:space="preserve"> There, the plaintiff claimed </w:t>
      </w:r>
      <w:r w:rsidR="009E6CCF">
        <w:t>he contracted arsenic poisoning from operating his employer’s machinery.  (</w:t>
      </w:r>
      <w:r w:rsidR="009E6CCF">
        <w:rPr>
          <w:i/>
          <w:iCs/>
        </w:rPr>
        <w:t>Id</w:t>
      </w:r>
      <w:r w:rsidR="005567CA">
        <w:rPr>
          <w:i/>
          <w:iCs/>
        </w:rPr>
        <w:t>.</w:t>
      </w:r>
      <w:r w:rsidR="009E6CCF">
        <w:t xml:space="preserve"> at p. 309.)  </w:t>
      </w:r>
      <w:r w:rsidR="00AC4D1C">
        <w:t>The defendant asserted the complaint failed to allege the</w:t>
      </w:r>
      <w:r w:rsidR="0060631C">
        <w:t xml:space="preserve"> employer knew the plaintiff had contracted arsenic poisoning.  </w:t>
      </w:r>
      <w:r w:rsidR="000962C2">
        <w:t>(</w:t>
      </w:r>
      <w:r w:rsidR="000962C2">
        <w:rPr>
          <w:i/>
          <w:iCs/>
        </w:rPr>
        <w:t>Id</w:t>
      </w:r>
      <w:r w:rsidR="005567CA">
        <w:rPr>
          <w:i/>
          <w:iCs/>
        </w:rPr>
        <w:t>.</w:t>
      </w:r>
      <w:r w:rsidR="000962C2">
        <w:rPr>
          <w:i/>
          <w:iCs/>
        </w:rPr>
        <w:t xml:space="preserve"> </w:t>
      </w:r>
      <w:r w:rsidR="000962C2">
        <w:t>at p. 312.)</w:t>
      </w:r>
      <w:r w:rsidR="007F63C4">
        <w:t xml:space="preserve">  </w:t>
      </w:r>
    </w:p>
    <w:p w:rsidR="004E06AD" w:rsidP="00493F12" w14:paraId="32C41065" w14:textId="7B0CDED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The Court disagreed</w:t>
      </w:r>
      <w:r w:rsidR="00C7657C">
        <w:t>,</w:t>
      </w:r>
      <w:r>
        <w:t xml:space="preserve"> observing “</w:t>
      </w:r>
      <w:r w:rsidRPr="004E06AD">
        <w:t>the complaint does allege in general terms that defendant knew that plaintiff</w:t>
      </w:r>
      <w:r w:rsidR="005567CA">
        <w:t>’</w:t>
      </w:r>
      <w:r w:rsidRPr="004E06AD">
        <w:t xml:space="preserve">s physical problems were caused by the arsenic and that his injuries </w:t>
      </w:r>
      <w:r>
        <w:t>‘</w:t>
      </w:r>
      <w:r w:rsidRPr="004E06AD">
        <w:t>as reported to the company and well known to them</w:t>
      </w:r>
      <w:r>
        <w:t>’</w:t>
      </w:r>
      <w:r w:rsidRPr="004E06AD">
        <w:t xml:space="preserve"> were aggravated by continued exposure to arsenic in the drums.</w:t>
      </w:r>
      <w:r>
        <w:t>”</w:t>
      </w:r>
      <w:r w:rsidR="00480484">
        <w:t xml:space="preserve">  (</w:t>
      </w:r>
      <w:r w:rsidR="00AC2E8B">
        <w:rPr>
          <w:i/>
          <w:iCs/>
        </w:rPr>
        <w:t>Foster</w:t>
      </w:r>
      <w:r w:rsidR="00AC2E8B">
        <w:t xml:space="preserve">, </w:t>
      </w:r>
      <w:r w:rsidR="00AC2E8B">
        <w:rPr>
          <w:i/>
          <w:iCs/>
        </w:rPr>
        <w:t>supra</w:t>
      </w:r>
      <w:r w:rsidR="00AC2E8B">
        <w:t>, 40 Cal.3d at p. 312</w:t>
      </w:r>
      <w:r w:rsidR="00480484">
        <w:t xml:space="preserve">.) </w:t>
      </w:r>
      <w:r w:rsidR="00E5464A">
        <w:t xml:space="preserve"> The Court recognized the statutory injunction to “liberally construe pleadings with a view to achieving substantial justice between the parties.”  (</w:t>
      </w:r>
      <w:r w:rsidR="00E5464A">
        <w:rPr>
          <w:i/>
          <w:iCs/>
        </w:rPr>
        <w:t>Ibid</w:t>
      </w:r>
      <w:r w:rsidR="008B1E1B">
        <w:rPr>
          <w:i/>
          <w:iCs/>
        </w:rPr>
        <w:t>.</w:t>
      </w:r>
      <w:r w:rsidR="00E5464A">
        <w:t xml:space="preserve">; Code Civ. Proc., § 452.)  </w:t>
      </w:r>
      <w:r w:rsidR="00155EC9">
        <w:t>The Court concluded the complaint fairly apprised the defendant of the action’s basis.  “</w:t>
      </w:r>
      <w:r w:rsidRPr="00155EC9" w:rsidR="00155EC9">
        <w:t xml:space="preserve">Since the complaint alleges that defendant knew plaintiff had contracted arsenic poisoning from his employment and concealed that knowledge from him, thereby aggravating his illness, it is sufficient to state a cause of action under </w:t>
      </w:r>
      <w:r w:rsidR="002B34EA">
        <w:t xml:space="preserve">[Labor Code section 3602,] </w:t>
      </w:r>
      <w:r w:rsidRPr="00155EC9" w:rsidR="00155EC9">
        <w:t>subdivision (b)(2).</w:t>
      </w:r>
      <w:r w:rsidR="00155EC9">
        <w:t>”  (</w:t>
      </w:r>
      <w:r w:rsidR="00AC2E8B">
        <w:rPr>
          <w:i/>
          <w:iCs/>
        </w:rPr>
        <w:t>Foster</w:t>
      </w:r>
      <w:r w:rsidR="00AC2E8B">
        <w:t>, at p. 312</w:t>
      </w:r>
      <w:r w:rsidR="009A12DB">
        <w:t>, footnote omitted.</w:t>
      </w:r>
      <w:r w:rsidR="00155EC9">
        <w:t>)</w:t>
      </w:r>
    </w:p>
    <w:p w:rsidR="003A6DA7" w:rsidP="00493F12" w14:paraId="2FA7E4DF" w14:textId="6CEC7326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Construing the pleadings liberally as </w:t>
      </w:r>
      <w:r>
        <w:rPr>
          <w:i/>
          <w:iCs/>
        </w:rPr>
        <w:t xml:space="preserve">Foster </w:t>
      </w:r>
      <w:r>
        <w:t xml:space="preserve">did, </w:t>
      </w:r>
      <w:r w:rsidR="000E5208">
        <w:t xml:space="preserve">plaintiff’s </w:t>
      </w:r>
      <w:r w:rsidR="00E4362C">
        <w:t xml:space="preserve">SAC </w:t>
      </w:r>
      <w:r w:rsidR="00DC5B60">
        <w:t xml:space="preserve">fairly apprised Alco of the action’s basis—namely, that Alco knew </w:t>
      </w:r>
      <w:r w:rsidR="007C4898">
        <w:t xml:space="preserve">decedent </w:t>
      </w:r>
      <w:r w:rsidR="009E3275">
        <w:t>had contracted COVID-19 from his employment and concealed that knowledge</w:t>
      </w:r>
      <w:r w:rsidR="00AA34C6">
        <w:t xml:space="preserve"> from him</w:t>
      </w:r>
      <w:r w:rsidR="009E3275">
        <w:t xml:space="preserve">, thereby aggravating his illness.  </w:t>
      </w:r>
    </w:p>
    <w:p w:rsidR="00194973" w:rsidP="007853E2" w14:paraId="0506E0F8" w14:textId="4B161A9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As to </w:t>
      </w:r>
      <w:r w:rsidR="0076663A">
        <w:t>the knowledge prong</w:t>
      </w:r>
      <w:r>
        <w:t xml:space="preserve">, </w:t>
      </w:r>
      <w:r w:rsidR="00480D03">
        <w:t>plaintiff allege</w:t>
      </w:r>
      <w:r w:rsidR="00E10E2E">
        <w:t>d</w:t>
      </w:r>
      <w:r w:rsidR="00552DAE">
        <w:t xml:space="preserve"> </w:t>
      </w:r>
      <w:r w:rsidR="00FB704E">
        <w:t xml:space="preserve">decedent contracted COVID-19 because of the outbreak at </w:t>
      </w:r>
      <w:r w:rsidR="00CD29E5">
        <w:t xml:space="preserve">the </w:t>
      </w:r>
      <w:r w:rsidR="00FB704E">
        <w:t>Hotel Santa Maria</w:t>
      </w:r>
      <w:r w:rsidR="00F90BD2">
        <w:t>.</w:t>
      </w:r>
      <w:r w:rsidR="00FB704E">
        <w:t xml:space="preserve"> </w:t>
      </w:r>
      <w:r w:rsidR="002D3439">
        <w:t xml:space="preserve"> </w:t>
      </w:r>
      <w:r w:rsidR="00152B0C">
        <w:t xml:space="preserve">The SAC alleged </w:t>
      </w:r>
      <w:r w:rsidR="00552DAE">
        <w:t>Alco knew</w:t>
      </w:r>
      <w:r w:rsidR="00BF24C1">
        <w:t xml:space="preserve">, “even before </w:t>
      </w:r>
      <w:r w:rsidR="0045155B">
        <w:t>[</w:t>
      </w:r>
      <w:r w:rsidR="00BF24C1">
        <w:t>d</w:t>
      </w:r>
      <w:r w:rsidR="0045155B">
        <w:t>]</w:t>
      </w:r>
      <w:r w:rsidR="00BF24C1">
        <w:t>ecedent,” that</w:t>
      </w:r>
      <w:r w:rsidR="00552DAE">
        <w:t xml:space="preserve"> decedent had contracted COVID-19</w:t>
      </w:r>
      <w:r w:rsidR="006D5CB6">
        <w:t xml:space="preserve"> </w:t>
      </w:r>
      <w:r w:rsidR="00552DAE">
        <w:t xml:space="preserve">by virtue of Alco’s </w:t>
      </w:r>
      <w:r w:rsidR="00B06955">
        <w:t>awareness of</w:t>
      </w:r>
      <w:r w:rsidR="00552DAE">
        <w:t xml:space="preserve"> the outbreak. </w:t>
      </w:r>
      <w:r w:rsidR="002D3439">
        <w:t xml:space="preserve"> </w:t>
      </w:r>
      <w:r w:rsidR="00072D4E">
        <w:t>These allegations</w:t>
      </w:r>
      <w:r w:rsidR="000379B9">
        <w:t xml:space="preserve"> indicate</w:t>
      </w:r>
      <w:r w:rsidR="00072D4E">
        <w:t xml:space="preserve"> Alco “</w:t>
      </w:r>
      <w:r w:rsidRPr="00072D4E" w:rsidR="00072D4E">
        <w:t>knew that</w:t>
      </w:r>
      <w:r w:rsidR="00B23D50">
        <w:t xml:space="preserve"> </w:t>
      </w:r>
      <w:r w:rsidR="00701532">
        <w:t>[</w:t>
      </w:r>
      <w:r w:rsidR="00072D4E">
        <w:t>decedent</w:t>
      </w:r>
      <w:r w:rsidR="00701532">
        <w:t>]</w:t>
      </w:r>
      <w:r w:rsidRPr="00072D4E" w:rsidR="00072D4E">
        <w:t xml:space="preserve"> had suffered a work-related injury</w:t>
      </w:r>
      <w:r w:rsidR="00BB0939">
        <w:t>.”</w:t>
      </w:r>
      <w:r w:rsidR="00072D4E">
        <w:t xml:space="preserve"> </w:t>
      </w:r>
      <w:r w:rsidR="0091647C">
        <w:t xml:space="preserve"> </w:t>
      </w:r>
      <w:r w:rsidR="007461D7">
        <w:t>(</w:t>
      </w:r>
      <w:r w:rsidR="007461D7">
        <w:rPr>
          <w:i/>
          <w:iCs/>
        </w:rPr>
        <w:t>Palestini</w:t>
      </w:r>
      <w:r w:rsidR="007461D7">
        <w:t xml:space="preserve">, </w:t>
      </w:r>
      <w:r w:rsidR="007461D7">
        <w:rPr>
          <w:i/>
          <w:iCs/>
        </w:rPr>
        <w:t>supra</w:t>
      </w:r>
      <w:r w:rsidR="007461D7">
        <w:t xml:space="preserve">, </w:t>
      </w:r>
      <w:r w:rsidR="00E73681">
        <w:t>99 Cal.App.4th at p. 90.)</w:t>
      </w:r>
      <w:r w:rsidR="009E4A4E">
        <w:rPr>
          <w:i/>
          <w:iCs/>
        </w:rPr>
        <w:t xml:space="preserve">  </w:t>
      </w:r>
      <w:r w:rsidR="00C257B3">
        <w:t xml:space="preserve">Like the defendant in </w:t>
      </w:r>
      <w:r w:rsidR="00C257B3">
        <w:rPr>
          <w:i/>
          <w:iCs/>
        </w:rPr>
        <w:t>Foster</w:t>
      </w:r>
      <w:r w:rsidR="00C257B3">
        <w:t xml:space="preserve">, </w:t>
      </w:r>
      <w:r w:rsidR="00A82439">
        <w:t>Alco argues the SAC failed to allege actual knowledge.</w:t>
      </w:r>
      <w:r w:rsidR="00C21CF8">
        <w:t xml:space="preserve"> </w:t>
      </w:r>
      <w:r w:rsidR="00ED0A65">
        <w:t xml:space="preserve"> Under </w:t>
      </w:r>
      <w:r w:rsidR="00ED0A65">
        <w:rPr>
          <w:i/>
          <w:iCs/>
        </w:rPr>
        <w:t>Foster</w:t>
      </w:r>
      <w:r w:rsidR="00ED0A65">
        <w:t xml:space="preserve">, however, plaintiff may plead </w:t>
      </w:r>
      <w:r w:rsidR="008A2EA7">
        <w:t>Alco’s knowledge in “general terms</w:t>
      </w:r>
      <w:r w:rsidR="00E02E86">
        <w:t>.”  (</w:t>
      </w:r>
      <w:r w:rsidR="00E02E86">
        <w:rPr>
          <w:i/>
          <w:iCs/>
        </w:rPr>
        <w:t>Foster</w:t>
      </w:r>
      <w:r w:rsidR="00E02E86">
        <w:t xml:space="preserve">, </w:t>
      </w:r>
      <w:r w:rsidR="00E02E86">
        <w:rPr>
          <w:i/>
          <w:iCs/>
        </w:rPr>
        <w:t>supra</w:t>
      </w:r>
      <w:r w:rsidR="00E02E86">
        <w:t xml:space="preserve">, </w:t>
      </w:r>
      <w:r w:rsidR="00FF25B5">
        <w:t xml:space="preserve">40 Cal.3d at p. 312.)  </w:t>
      </w:r>
      <w:r w:rsidR="00007DE2">
        <w:t xml:space="preserve">Plaintiff did </w:t>
      </w:r>
      <w:r w:rsidR="00BF24C1">
        <w:t>so multiple</w:t>
      </w:r>
      <w:r w:rsidR="00007DE2">
        <w:t xml:space="preserve"> times in the SAC.  </w:t>
      </w:r>
    </w:p>
    <w:p w:rsidR="009A5070" w:rsidP="004B73E4" w14:paraId="6E4B01ED" w14:textId="1EA0C6E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Alco asserts </w:t>
      </w:r>
      <w:r w:rsidR="001A736F">
        <w:t xml:space="preserve">the SAC is contradictory </w:t>
      </w:r>
      <w:r w:rsidR="00CF69D0">
        <w:t xml:space="preserve">as to knowledge </w:t>
      </w:r>
      <w:r w:rsidR="003A5277">
        <w:t xml:space="preserve">because </w:t>
      </w:r>
      <w:r w:rsidR="001A736F">
        <w:t>it “alleges</w:t>
      </w:r>
      <w:r w:rsidR="004B73E4">
        <w:t xml:space="preserve"> that </w:t>
      </w:r>
      <w:r w:rsidR="0091647C">
        <w:t>[d]</w:t>
      </w:r>
      <w:r w:rsidR="004B73E4">
        <w:t xml:space="preserve">ecedent was aware of his illness before </w:t>
      </w:r>
      <w:r w:rsidR="00DB7242">
        <w:t>[Alco]</w:t>
      </w:r>
      <w:r w:rsidR="004B73E4">
        <w:t>.”</w:t>
      </w:r>
      <w:r w:rsidR="003B3CB1">
        <w:t xml:space="preserve"> </w:t>
      </w:r>
      <w:r w:rsidR="002D3439">
        <w:t xml:space="preserve"> </w:t>
      </w:r>
      <w:r w:rsidR="00013CDC">
        <w:t>Alco notes the</w:t>
      </w:r>
      <w:r w:rsidR="00D96BD8">
        <w:t xml:space="preserve"> SAC allege</w:t>
      </w:r>
      <w:r w:rsidR="00BD501A">
        <w:t>d</w:t>
      </w:r>
      <w:r w:rsidR="00D96BD8">
        <w:t xml:space="preserve"> </w:t>
      </w:r>
      <w:r w:rsidR="0085719C">
        <w:t xml:space="preserve">decedent </w:t>
      </w:r>
      <w:r w:rsidR="00D96BD8">
        <w:t>fell ill, and his symptoms “were those associated with</w:t>
      </w:r>
      <w:r w:rsidR="00AC2E8B">
        <w:t xml:space="preserve"> a</w:t>
      </w:r>
      <w:r w:rsidR="00D96BD8">
        <w:t xml:space="preserve"> COVID-19 infection.” </w:t>
      </w:r>
      <w:r w:rsidR="002D3439">
        <w:t xml:space="preserve"> </w:t>
      </w:r>
      <w:r w:rsidR="00131B7A">
        <w:t xml:space="preserve">However, awareness of symptoms does not entail knowledge of their cause. </w:t>
      </w:r>
      <w:r w:rsidR="00A646D7">
        <w:t xml:space="preserve"> </w:t>
      </w:r>
      <w:r w:rsidR="0069620A">
        <w:t>(Cf.</w:t>
      </w:r>
      <w:r w:rsidR="0069620A">
        <w:rPr>
          <w:i/>
          <w:iCs/>
        </w:rPr>
        <w:t xml:space="preserve"> Foster</w:t>
      </w:r>
      <w:r w:rsidR="0069620A">
        <w:t xml:space="preserve">, </w:t>
      </w:r>
      <w:r w:rsidR="0069620A">
        <w:rPr>
          <w:i/>
          <w:iCs/>
        </w:rPr>
        <w:t>supra</w:t>
      </w:r>
      <w:r w:rsidR="0069620A">
        <w:t>, 40 Cal.3d at p.</w:t>
      </w:r>
      <w:r w:rsidR="00A646D7">
        <w:t xml:space="preserve"> </w:t>
      </w:r>
      <w:r w:rsidR="0069620A">
        <w:t xml:space="preserve">312 [complaint sufficient </w:t>
      </w:r>
      <w:r w:rsidR="00392F9E">
        <w:t>even though</w:t>
      </w:r>
      <w:r w:rsidR="0069620A">
        <w:t xml:space="preserve"> plaintiff reported symptoms to his supervisor].)</w:t>
      </w:r>
      <w:r w:rsidR="0069620A">
        <w:rPr>
          <w:i/>
          <w:iCs/>
        </w:rPr>
        <w:t xml:space="preserve"> </w:t>
      </w:r>
      <w:r w:rsidR="00131B7A">
        <w:t xml:space="preserve"> The </w:t>
      </w:r>
      <w:r w:rsidR="00E32FA0">
        <w:t xml:space="preserve">SAC </w:t>
      </w:r>
      <w:r w:rsidR="00F75905">
        <w:t>did not</w:t>
      </w:r>
      <w:r w:rsidR="00E32FA0">
        <w:t xml:space="preserve"> allege </w:t>
      </w:r>
      <w:r w:rsidR="009F3319">
        <w:t xml:space="preserve">decedent </w:t>
      </w:r>
      <w:r w:rsidR="00E32FA0">
        <w:t>knew</w:t>
      </w:r>
      <w:r w:rsidR="00F075CB">
        <w:t xml:space="preserve"> </w:t>
      </w:r>
      <w:r w:rsidR="000D1F13">
        <w:t xml:space="preserve">he was suffering from COVID-19 </w:t>
      </w:r>
      <w:r w:rsidR="008C13A4">
        <w:t xml:space="preserve">at </w:t>
      </w:r>
      <w:r w:rsidR="004B73E4">
        <w:t>that time</w:t>
      </w:r>
      <w:r w:rsidR="00F13732">
        <w:t xml:space="preserve">. </w:t>
      </w:r>
      <w:r w:rsidR="00A744C6">
        <w:t xml:space="preserve"> </w:t>
      </w:r>
      <w:r w:rsidR="002A7EDC">
        <w:t>It d</w:t>
      </w:r>
      <w:r w:rsidR="0085253C">
        <w:t>id</w:t>
      </w:r>
      <w:r w:rsidR="002A7EDC">
        <w:t xml:space="preserve"> allege that </w:t>
      </w:r>
      <w:r w:rsidR="00E637A4">
        <w:t>Alco</w:t>
      </w:r>
      <w:r w:rsidR="00D3098D">
        <w:t xml:space="preserve"> was </w:t>
      </w:r>
      <w:r w:rsidR="002A7EDC">
        <w:t>aware of the COVID-19 outbreak among its employees living at the hotel</w:t>
      </w:r>
      <w:r w:rsidR="00340945">
        <w:t>; t</w:t>
      </w:r>
      <w:r w:rsidR="002A7EDC">
        <w:t>hus</w:t>
      </w:r>
      <w:r w:rsidR="007A1E97">
        <w:t>,</w:t>
      </w:r>
      <w:r w:rsidR="002A7EDC">
        <w:t xml:space="preserve"> when </w:t>
      </w:r>
      <w:r w:rsidR="00685FEF">
        <w:t>d</w:t>
      </w:r>
      <w:r w:rsidR="002A7EDC">
        <w:t>ecedent reported feeling unwell to his supervisors</w:t>
      </w:r>
      <w:r w:rsidR="007A1E97">
        <w:t>,</w:t>
      </w:r>
      <w:r w:rsidR="002A7EDC">
        <w:t xml:space="preserve"> Alco knew, “even before </w:t>
      </w:r>
      <w:r w:rsidR="005B4167">
        <w:t>[</w:t>
      </w:r>
      <w:r w:rsidR="00685FEF">
        <w:t>d</w:t>
      </w:r>
      <w:r w:rsidR="005B4167">
        <w:t>]</w:t>
      </w:r>
      <w:r w:rsidR="002A7EDC">
        <w:t xml:space="preserve">ecedent, that he had contracted the virus.” </w:t>
      </w:r>
    </w:p>
    <w:p w:rsidR="00493F12" w:rsidRPr="003A01A6" w:rsidP="007853E2" w14:paraId="0BF8CF6D" w14:textId="62947CB6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Alco also faults the SAC for failing to specify </w:t>
      </w:r>
      <w:r w:rsidR="006341E6">
        <w:t xml:space="preserve">information like decedent’s close contact or proximity to the outbreak. </w:t>
      </w:r>
      <w:r w:rsidR="002D3439">
        <w:t xml:space="preserve"> </w:t>
      </w:r>
      <w:r w:rsidR="00AF3752">
        <w:t xml:space="preserve">However, such specific details are </w:t>
      </w:r>
      <w:r w:rsidR="004075F5">
        <w:t>not required</w:t>
      </w:r>
      <w:r w:rsidR="00AF3752">
        <w:t xml:space="preserve"> </w:t>
      </w:r>
      <w:r w:rsidR="00701532">
        <w:t>given the allegations may be ple</w:t>
      </w:r>
      <w:r w:rsidR="00C8425F">
        <w:t>a</w:t>
      </w:r>
      <w:r w:rsidR="00701532">
        <w:t>d</w:t>
      </w:r>
      <w:r w:rsidR="00C8425F">
        <w:t>ed</w:t>
      </w:r>
      <w:r w:rsidR="00701532">
        <w:t xml:space="preserve"> in general terms</w:t>
      </w:r>
      <w:r w:rsidR="00A17F06">
        <w:t xml:space="preserve"> under </w:t>
      </w:r>
      <w:r w:rsidR="00A17F06">
        <w:rPr>
          <w:i/>
          <w:iCs/>
        </w:rPr>
        <w:t>Foster</w:t>
      </w:r>
      <w:r w:rsidR="00701532">
        <w:t>.</w:t>
      </w:r>
      <w:r w:rsidR="003A01A6">
        <w:t xml:space="preserve">  (See </w:t>
      </w:r>
      <w:r w:rsidR="003A01A6">
        <w:rPr>
          <w:i/>
          <w:iCs/>
        </w:rPr>
        <w:t>Palestini</w:t>
      </w:r>
      <w:r w:rsidR="003A01A6">
        <w:t xml:space="preserve">, </w:t>
      </w:r>
      <w:r w:rsidR="003A01A6">
        <w:rPr>
          <w:i/>
          <w:iCs/>
        </w:rPr>
        <w:t>supra</w:t>
      </w:r>
      <w:r w:rsidR="003A01A6">
        <w:t>, 99 Cal.App.4th at p. 92 [</w:t>
      </w:r>
      <w:r w:rsidR="00C908D5">
        <w:t>P</w:t>
      </w:r>
      <w:r w:rsidR="003A01A6">
        <w:t xml:space="preserve">laintiffs </w:t>
      </w:r>
      <w:r w:rsidR="00E25F46">
        <w:t>were</w:t>
      </w:r>
      <w:r w:rsidR="003A01A6">
        <w:t xml:space="preserve"> </w:t>
      </w:r>
      <w:r w:rsidR="00E25F46">
        <w:t>“</w:t>
      </w:r>
      <w:r w:rsidR="003A01A6">
        <w:t>required to plead only ultimate facts, not evidentiary facts</w:t>
      </w:r>
      <w:r w:rsidR="00466ABA">
        <w:t xml:space="preserve"> . . .</w:t>
      </w:r>
      <w:r w:rsidR="003A01A6">
        <w:t>”].)</w:t>
      </w:r>
    </w:p>
    <w:p w:rsidR="00B55BBB" w:rsidP="007853E2" w14:paraId="2608DD41" w14:textId="4CCFBAD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The SAC’s allegations satisfy the </w:t>
      </w:r>
      <w:r w:rsidR="00D31BE4">
        <w:t>second prong of concealment</w:t>
      </w:r>
      <w:r>
        <w:t xml:space="preserve">.  </w:t>
      </w:r>
      <w:r w:rsidR="00634186">
        <w:t xml:space="preserve">The pleading alleged Alco failed to report the </w:t>
      </w:r>
      <w:r w:rsidR="000E1146">
        <w:t xml:space="preserve">COVID-19 </w:t>
      </w:r>
      <w:r w:rsidR="00634186">
        <w:t xml:space="preserve">outbreak to the health department, notify its employees, or implement measures to prevent or curb the outbreak. </w:t>
      </w:r>
      <w:r w:rsidR="007D53E9">
        <w:t xml:space="preserve"> </w:t>
      </w:r>
      <w:r w:rsidR="00F53CAE">
        <w:t>The failure to notify decedent of the outbreak</w:t>
      </w:r>
      <w:r w:rsidR="0085253C">
        <w:t>,</w:t>
      </w:r>
      <w:r w:rsidR="00F53CAE">
        <w:t xml:space="preserve"> </w:t>
      </w:r>
      <w:r w:rsidR="006261E4">
        <w:t xml:space="preserve">and that his reported symptoms were </w:t>
      </w:r>
      <w:r w:rsidR="009D2207">
        <w:t xml:space="preserve">that of </w:t>
      </w:r>
      <w:r w:rsidR="006261E4">
        <w:t xml:space="preserve">COVID-19, </w:t>
      </w:r>
      <w:r w:rsidR="00F53CAE">
        <w:t>concealed the nature of his illness.</w:t>
      </w:r>
      <w:r w:rsidR="00A646D7">
        <w:t xml:space="preserve">  </w:t>
      </w:r>
      <w:r w:rsidR="00FB4E4B">
        <w:t xml:space="preserve">Alco </w:t>
      </w:r>
      <w:r w:rsidR="009078D2">
        <w:t>contends failure to notify does not satisfy the</w:t>
      </w:r>
      <w:r w:rsidR="009412D9">
        <w:t xml:space="preserve"> </w:t>
      </w:r>
      <w:r w:rsidR="009078D2">
        <w:t xml:space="preserve">exception. </w:t>
      </w:r>
      <w:r w:rsidR="002D3439">
        <w:t xml:space="preserve"> </w:t>
      </w:r>
      <w:r w:rsidR="00803AFE">
        <w:rPr>
          <w:i/>
          <w:iCs/>
        </w:rPr>
        <w:t>Foster</w:t>
      </w:r>
      <w:r w:rsidR="00946B31">
        <w:rPr>
          <w:i/>
          <w:iCs/>
        </w:rPr>
        <w:t xml:space="preserve"> </w:t>
      </w:r>
      <w:r w:rsidR="00946B31">
        <w:t>refutes</w:t>
      </w:r>
      <w:r w:rsidR="00803AFE">
        <w:t xml:space="preserve"> this contention:  “[T]</w:t>
      </w:r>
      <w:r w:rsidRPr="00803AFE" w:rsidR="00803AFE">
        <w:t>he failure to disclose facts may constitute fraud if the party with knowledge has a duty to make disclosure</w:t>
      </w:r>
      <w:r w:rsidR="00803AFE">
        <w:t xml:space="preserve">. . . .  </w:t>
      </w:r>
      <w:r w:rsidRPr="009D0657" w:rsidR="009D0657">
        <w:t xml:space="preserve">It is unassailable that an employer who knows that an employee has contracted a disease in the course of his employment has a duty to advise the employee of that fact. </w:t>
      </w:r>
      <w:r w:rsidR="009D0657">
        <w:t xml:space="preserve"> </w:t>
      </w:r>
      <w:r w:rsidR="005F3745">
        <w:t>[S</w:t>
      </w:r>
      <w:r w:rsidR="009D0657">
        <w:t>ection 3602, subdivision (b)(2)]</w:t>
      </w:r>
      <w:r w:rsidRPr="009D0657" w:rsidR="009D0657">
        <w:t xml:space="preserve"> provides for an action at law for aggravation of a disease resulting from such concealment.</w:t>
      </w:r>
      <w:r w:rsidR="007F790F">
        <w:t>”</w:t>
      </w:r>
      <w:r w:rsidR="00A55216">
        <w:t xml:space="preserve">  (</w:t>
      </w:r>
      <w:r w:rsidR="00A55216">
        <w:rPr>
          <w:i/>
          <w:iCs/>
        </w:rPr>
        <w:t>Foster</w:t>
      </w:r>
      <w:r w:rsidR="00A55216">
        <w:t xml:space="preserve">, </w:t>
      </w:r>
      <w:r w:rsidR="00A55216">
        <w:rPr>
          <w:i/>
          <w:iCs/>
        </w:rPr>
        <w:t>supra</w:t>
      </w:r>
      <w:r w:rsidR="00A55216">
        <w:t xml:space="preserve">, 40 Cal.3d at </w:t>
      </w:r>
      <w:r w:rsidR="0085059F">
        <w:t xml:space="preserve">pp. </w:t>
      </w:r>
      <w:r w:rsidR="00A55216">
        <w:t xml:space="preserve">309-310.)  </w:t>
      </w:r>
    </w:p>
    <w:p w:rsidR="00C32F6F" w:rsidP="007853E2" w14:paraId="02A40407" w14:textId="204C5D9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Alco </w:t>
      </w:r>
      <w:r w:rsidR="00E710EA">
        <w:t xml:space="preserve">also </w:t>
      </w:r>
      <w:r>
        <w:t xml:space="preserve">argues plaintiff does not allege it “fraudulently concealed the </w:t>
      </w:r>
      <w:r w:rsidR="00D31BE4">
        <w:t xml:space="preserve">alleged </w:t>
      </w:r>
      <w:r>
        <w:t xml:space="preserve">massive outbreak with the intent to induce </w:t>
      </w:r>
      <w:r w:rsidR="0091647C">
        <w:t>[d]</w:t>
      </w:r>
      <w:r>
        <w:t xml:space="preserve">ecedent to continue working for any benefit.” </w:t>
      </w:r>
      <w:r w:rsidR="002D3439">
        <w:t xml:space="preserve"> </w:t>
      </w:r>
      <w:r>
        <w:t>T</w:t>
      </w:r>
      <w:r w:rsidR="004B0BAA">
        <w:t xml:space="preserve">his argument fails because the </w:t>
      </w:r>
      <w:r>
        <w:t>intent to extract more labor is</w:t>
      </w:r>
      <w:r w:rsidR="004B0BAA">
        <w:t xml:space="preserve"> simply</w:t>
      </w:r>
      <w:r>
        <w:t xml:space="preserve"> not a requirement of </w:t>
      </w:r>
      <w:r w:rsidR="00881001">
        <w:t xml:space="preserve">the </w:t>
      </w:r>
      <w:r>
        <w:t xml:space="preserve">fraudulent concealment exception.  </w:t>
      </w:r>
    </w:p>
    <w:p w:rsidR="00D57CBF" w:rsidP="007853E2" w14:paraId="6B057B12" w14:textId="6784C9C8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The SAC sufficiently </w:t>
      </w:r>
      <w:r w:rsidR="00B22F10">
        <w:t>pleaded</w:t>
      </w:r>
      <w:r>
        <w:t xml:space="preserve"> the final </w:t>
      </w:r>
      <w:r w:rsidR="00D31BE4">
        <w:t xml:space="preserve">prong </w:t>
      </w:r>
      <w:r>
        <w:t xml:space="preserve">of aggravation.  </w:t>
      </w:r>
      <w:r w:rsidR="00D15B2B">
        <w:t xml:space="preserve">The SAC alleged a week elapsed between decedent reporting his symptoms to Alco and a positive </w:t>
      </w:r>
      <w:r w:rsidR="00272338">
        <w:t xml:space="preserve">COVID-19 </w:t>
      </w:r>
      <w:r w:rsidR="00D15B2B">
        <w:t xml:space="preserve">test.  </w:t>
      </w:r>
      <w:r w:rsidR="00402F43">
        <w:t>He</w:t>
      </w:r>
      <w:r w:rsidR="007F6FD8">
        <w:t xml:space="preserve"> </w:t>
      </w:r>
      <w:r w:rsidR="00433B15">
        <w:t xml:space="preserve">died </w:t>
      </w:r>
      <w:r w:rsidR="00A644CD">
        <w:t>five</w:t>
      </w:r>
      <w:r w:rsidR="00CE5EB2">
        <w:t xml:space="preserve"> days</w:t>
      </w:r>
      <w:r w:rsidR="007F6FD8">
        <w:t xml:space="preserve"> after that positive test. </w:t>
      </w:r>
      <w:r w:rsidR="00B40C87">
        <w:t xml:space="preserve"> The SAC alleged “Alco’s deliberate concealment of the outbreak and the nature of </w:t>
      </w:r>
      <w:r w:rsidR="0091647C">
        <w:t>[d]</w:t>
      </w:r>
      <w:r w:rsidR="00B40C87">
        <w:t xml:space="preserve">ecedent’s illness </w:t>
      </w:r>
      <w:r w:rsidR="00175B8D">
        <w:t xml:space="preserve">resulted in the aggravation of his illness to the point that he was unable to recover and succumbed to the disease.” </w:t>
      </w:r>
      <w:r w:rsidR="002D3439">
        <w:t xml:space="preserve"> </w:t>
      </w:r>
      <w:r w:rsidR="00FB31A6">
        <w:t xml:space="preserve">Alco faults the SAC’s references to aggravation as conclusory.  </w:t>
      </w:r>
      <w:r w:rsidR="00C60FA4">
        <w:t xml:space="preserve">This critique </w:t>
      </w:r>
      <w:r w:rsidR="00EF02D9">
        <w:t xml:space="preserve">ignores </w:t>
      </w:r>
      <w:r w:rsidR="00637F32">
        <w:rPr>
          <w:i/>
          <w:iCs/>
        </w:rPr>
        <w:t>Foster</w:t>
      </w:r>
      <w:r w:rsidR="00637F32">
        <w:t xml:space="preserve">’s guidance that we should liberally construe the SAC, which may </w:t>
      </w:r>
      <w:r w:rsidR="00E04670">
        <w:t xml:space="preserve">be </w:t>
      </w:r>
      <w:r w:rsidR="00637F32">
        <w:t>plead</w:t>
      </w:r>
      <w:r w:rsidR="006E2CFE">
        <w:t>ed</w:t>
      </w:r>
      <w:r w:rsidR="00637F32">
        <w:t xml:space="preserve"> in general terms. </w:t>
      </w:r>
      <w:r w:rsidR="00C42D5D">
        <w:t xml:space="preserve"> </w:t>
      </w:r>
      <w:r w:rsidR="00C54794">
        <w:t>(Cf.</w:t>
      </w:r>
      <w:r w:rsidR="00C42D5D">
        <w:t xml:space="preserve"> </w:t>
      </w:r>
      <w:r w:rsidR="00C42D5D">
        <w:rPr>
          <w:i/>
          <w:iCs/>
        </w:rPr>
        <w:t>Palestini</w:t>
      </w:r>
      <w:r w:rsidR="00C42D5D">
        <w:t xml:space="preserve">, </w:t>
      </w:r>
      <w:r w:rsidR="00C42D5D">
        <w:rPr>
          <w:i/>
          <w:iCs/>
        </w:rPr>
        <w:t>supra</w:t>
      </w:r>
      <w:r w:rsidR="00C42D5D">
        <w:t>, 99 Cal.App.4th at p</w:t>
      </w:r>
      <w:r w:rsidR="008F7FC8">
        <w:t>p</w:t>
      </w:r>
      <w:r w:rsidR="00C42D5D">
        <w:t>. 89</w:t>
      </w:r>
      <w:r w:rsidR="008F7FC8">
        <w:t>-90</w:t>
      </w:r>
      <w:r w:rsidR="00C42D5D">
        <w:t xml:space="preserve">.) </w:t>
      </w:r>
      <w:r w:rsidR="008F7FC8">
        <w:t xml:space="preserve"> </w:t>
      </w:r>
      <w:r w:rsidR="001D63C4">
        <w:t>In sum, t</w:t>
      </w:r>
      <w:r w:rsidR="00C847C8">
        <w:t xml:space="preserve">he SAC </w:t>
      </w:r>
      <w:r w:rsidR="008034F0">
        <w:t xml:space="preserve">survives Alco’s demurrer because it </w:t>
      </w:r>
      <w:r w:rsidR="00C847C8">
        <w:t>states a cause of action</w:t>
      </w:r>
      <w:r w:rsidR="00E92CE9">
        <w:t xml:space="preserve"> under section 3602, subdivision (b)(2).</w:t>
      </w:r>
      <w:r>
        <w:rPr>
          <w:rStyle w:val="FootnoteReference"/>
        </w:rPr>
        <w:footnoteReference w:customMarkFollows="1" w:id="4"/>
        <w:t xml:space="preserve">3</w:t>
      </w:r>
    </w:p>
    <w:p w:rsidR="0000191B" w:rsidP="004F3D39" w14:paraId="13ABC9D3" w14:textId="62EE4F8E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DISPOSITION</w:t>
      </w:r>
    </w:p>
    <w:p w:rsidR="00654D3C" w:rsidP="0091647C" w14:paraId="04BA83B1" w14:textId="583ED3A5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Construing the order sustaining the demurrer without leave to amend as a final judgment, we reverse that judgment</w:t>
      </w:r>
      <w:r w:rsidR="00DB2C95">
        <w:t xml:space="preserve">.  </w:t>
      </w:r>
      <w:r w:rsidR="008F597A">
        <w:t>Upon remand, the</w:t>
      </w:r>
      <w:r w:rsidR="00187AE0">
        <w:t xml:space="preserve"> trial court is directed to (1) vacate its order granting Alco’s demurrer and (2) enter a new order overruling that demurrer. </w:t>
      </w:r>
      <w:r w:rsidR="00A12DB4">
        <w:t xml:space="preserve"> </w:t>
      </w:r>
      <w:r w:rsidR="00DB2C95">
        <w:t xml:space="preserve">Plaintiff shall recover </w:t>
      </w:r>
      <w:r w:rsidR="008232AF">
        <w:t>her</w:t>
      </w:r>
      <w:r w:rsidR="00DB2C95">
        <w:t xml:space="preserve"> costs on appeal.</w:t>
      </w:r>
    </w:p>
    <w:p w:rsidR="005164CA" w:rsidRPr="00C7074A" w:rsidP="00D84A27" w14:paraId="0745476F" w14:textId="60AE2B1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  <w:rPr>
          <w:u w:val="single"/>
        </w:rPr>
      </w:pPr>
      <w:r>
        <w:rPr>
          <w:u w:val="single"/>
        </w:rPr>
        <w:t>CERTIFIED FOR PUBLICATION</w:t>
      </w:r>
      <w:r w:rsidR="00B34D64">
        <w:rPr>
          <w:u w:val="single"/>
        </w:rPr>
        <w:t>.</w:t>
      </w:r>
    </w:p>
    <w:p w:rsidR="0091647C" w:rsidP="0091647C" w14:paraId="5A96C385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A646D7" w:rsidP="0091647C" w14:paraId="22BE07D7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91647C" w:rsidP="0091647C" w14:paraId="67D3AE98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91647C" w:rsidP="0091647C" w14:paraId="61C6FA61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B34D64" w:rsidP="00D84A27" w14:paraId="07D21903" w14:textId="3AD6E975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  <w:r>
        <w:t>CODY, J.</w:t>
      </w:r>
    </w:p>
    <w:p w:rsidR="00B34D64" w:rsidP="0091647C" w14:paraId="22163799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left="4320"/>
      </w:pPr>
    </w:p>
    <w:p w:rsidR="00B34D64" w:rsidP="00D84A27" w14:paraId="495FA234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</w:pPr>
      <w:r>
        <w:t>We concur:</w:t>
      </w:r>
    </w:p>
    <w:p w:rsidR="00B34D64" w:rsidP="0091647C" w14:paraId="74DE7283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91647C" w:rsidP="00D84A27" w14:paraId="61A70EA6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  <w:ind w:firstLine="720"/>
      </w:pPr>
    </w:p>
    <w:p w:rsidR="005164CA" w:rsidP="00D84A27" w14:paraId="14DC12B0" w14:textId="77777777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</w:pPr>
    </w:p>
    <w:p w:rsidR="00A646D7" w:rsidP="00D84A27" w14:paraId="73DF9F54" w14:textId="77777777">
      <w:pPr>
        <w:tabs>
          <w:tab w:val="left" w:pos="720"/>
          <w:tab w:val="left" w:pos="2880"/>
          <w:tab w:val="left" w:pos="4320"/>
          <w:tab w:val="left" w:pos="5760"/>
          <w:tab w:val="left" w:pos="7200"/>
        </w:tabs>
        <w:spacing w:line="240" w:lineRule="auto"/>
      </w:pPr>
      <w:r>
        <w:tab/>
      </w:r>
      <w:r w:rsidR="00B34D64">
        <w:t>GILBERT, P. J.</w:t>
      </w:r>
      <w:r w:rsidR="009A3A0D">
        <w:tab/>
      </w:r>
      <w:r w:rsidR="009A3A0D">
        <w:tab/>
      </w:r>
    </w:p>
    <w:p w:rsidR="00A646D7" w:rsidP="00D84A27" w14:paraId="71EE4DC3" w14:textId="77777777">
      <w:pPr>
        <w:tabs>
          <w:tab w:val="left" w:pos="720"/>
          <w:tab w:val="left" w:pos="2880"/>
          <w:tab w:val="left" w:pos="4320"/>
          <w:tab w:val="left" w:pos="5760"/>
          <w:tab w:val="left" w:pos="7200"/>
        </w:tabs>
        <w:spacing w:line="240" w:lineRule="auto"/>
      </w:pPr>
    </w:p>
    <w:p w:rsidR="00A646D7" w:rsidP="00D84A27" w14:paraId="1364469B" w14:textId="77777777">
      <w:pPr>
        <w:tabs>
          <w:tab w:val="left" w:pos="720"/>
          <w:tab w:val="left" w:pos="2880"/>
          <w:tab w:val="left" w:pos="4320"/>
          <w:tab w:val="left" w:pos="5760"/>
          <w:tab w:val="left" w:pos="7200"/>
        </w:tabs>
        <w:spacing w:line="240" w:lineRule="auto"/>
      </w:pPr>
    </w:p>
    <w:p w:rsidR="00A646D7" w:rsidP="00D84A27" w14:paraId="49AF0A18" w14:textId="77777777">
      <w:pPr>
        <w:tabs>
          <w:tab w:val="left" w:pos="720"/>
          <w:tab w:val="left" w:pos="2880"/>
          <w:tab w:val="left" w:pos="4320"/>
          <w:tab w:val="left" w:pos="5760"/>
          <w:tab w:val="left" w:pos="7200"/>
        </w:tabs>
        <w:spacing w:line="240" w:lineRule="auto"/>
      </w:pPr>
    </w:p>
    <w:p w:rsidR="00BB14F5" w:rsidP="00D84A27" w14:paraId="7CB25293" w14:textId="5B23166E">
      <w:pPr>
        <w:tabs>
          <w:tab w:val="left" w:pos="720"/>
          <w:tab w:val="left" w:pos="2880"/>
          <w:tab w:val="left" w:pos="4320"/>
          <w:tab w:val="left" w:pos="5760"/>
          <w:tab w:val="left" w:pos="7200"/>
        </w:tabs>
        <w:spacing w:line="240" w:lineRule="auto"/>
      </w:pPr>
      <w:r>
        <w:tab/>
      </w:r>
      <w:r w:rsidR="00C50E21">
        <w:t>BALT</w:t>
      </w:r>
      <w:r w:rsidR="0091647C">
        <w:t>O</w:t>
      </w:r>
      <w:r w:rsidR="00C50E21">
        <w:t>DANO, J.</w:t>
      </w:r>
    </w:p>
    <w:p w:rsidR="0064322B" w:rsidP="00973EE6" w14:paraId="01682E96" w14:textId="68CF96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br w:type="page"/>
      </w:r>
      <w:r w:rsidR="00654D3C">
        <w:t>Timothy J. Staffel</w:t>
      </w:r>
      <w:r>
        <w:t>, Judge</w:t>
      </w:r>
    </w:p>
    <w:p w:rsidR="0064322B" w:rsidP="00AC2E8B" w14:paraId="0607B72B" w14:textId="11DAF952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 xml:space="preserve">Superior Court County of </w:t>
      </w:r>
      <w:r w:rsidR="00654D3C">
        <w:t>Santa Barbara</w:t>
      </w:r>
    </w:p>
    <w:p w:rsidR="00AC2E8B" w:rsidP="00D84A27" w14:paraId="6847431D" w14:textId="6E22B732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r>
        <w:t>_________________________________</w:t>
      </w:r>
    </w:p>
    <w:p w:rsidR="0064322B" w:rsidP="00112B4A" w14:paraId="710A9DCF" w14:textId="7777777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  <w:jc w:val="center"/>
      </w:pPr>
    </w:p>
    <w:p w:rsidR="0064322B" w:rsidP="00112B4A" w14:paraId="3F5504B3" w14:textId="55C5AD1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>Blair &amp; Ramirez, Oscar Ramirez, Matthew P. Blair, David Osorio,</w:t>
      </w:r>
      <w:r w:rsidR="001A1836">
        <w:t xml:space="preserve"> and Kirill Levinsky</w:t>
      </w:r>
      <w:r>
        <w:t xml:space="preserve"> for Plaintiff and Appellant.</w:t>
      </w:r>
    </w:p>
    <w:p w:rsidR="00654D3C" w:rsidP="00112B4A" w14:paraId="13EFF876" w14:textId="09BB750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  <w:r>
        <w:t xml:space="preserve">Fisher &amp; Phillips, Alden J. Parker, Rebecca Hause-Schultz, Ryan M. Harrison, and Heather M. Domingo, for Defendant and Respondent, Alco Harvesting, LLC.  </w:t>
      </w:r>
    </w:p>
    <w:p w:rsidR="00FE0588" w:rsidRPr="006C7D8D" w:rsidP="00A06A26" w14:paraId="678C0DC1" w14:textId="6DF8A36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720"/>
      </w:pPr>
    </w:p>
    <w:sectPr w:rsidSect="006C7D8D">
      <w:footerReference w:type="default" r:id="rId6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7D8D" w:rsidP="006C7D8D" w14:paraId="4523BA98" w14:textId="7777777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747A" w:rsidP="006C7D8D" w14:paraId="34168EB4" w14:textId="77777777">
      <w:pPr>
        <w:spacing w:line="240" w:lineRule="auto"/>
      </w:pPr>
      <w:r>
        <w:separator/>
      </w:r>
    </w:p>
  </w:footnote>
  <w:footnote w:type="continuationSeparator" w:id="1">
    <w:p w:rsidR="00D8747A" w:rsidP="006C7D8D" w14:paraId="613F8489" w14:textId="77777777">
      <w:pPr>
        <w:spacing w:line="240" w:lineRule="auto"/>
      </w:pPr>
      <w:r>
        <w:continuationSeparator/>
      </w:r>
    </w:p>
  </w:footnote>
  <w:footnote w:id="2">
    <w:p w:rsidR="007C2825" w:rsidRPr="00C87F99" w:rsidP="00C87F99" w14:paraId="3B4177D8" w14:textId="0F678F61">
      <w:pPr>
        <w:pStyle w:val="FootnoteText"/>
        <w:spacing w:line="240" w:lineRule="auto"/>
        <w:ind w:firstLine="720"/>
        <w:rPr>
          <w:sz w:val="26"/>
          <w:szCs w:val="26"/>
        </w:rPr>
      </w:pPr>
      <w:r w:rsidRPr="005F7C4D">
        <w:rPr>
          <w:rStyle w:val="FootnoteReference"/>
          <w:sz w:val="26"/>
          <w:szCs w:val="26"/>
        </w:rPr>
        <w:t>1</w:t>
      </w:r>
      <w:r w:rsidRPr="00C87F99">
        <w:rPr>
          <w:sz w:val="26"/>
          <w:szCs w:val="26"/>
        </w:rPr>
        <w:t xml:space="preserve"> Plaintiff also named 210 Nicholson as a defendant, but this appeal does not directly relate to that entity.</w:t>
      </w:r>
    </w:p>
  </w:footnote>
  <w:footnote w:id="3">
    <w:p w:rsidR="007C2825" w:rsidRPr="00D36DBB" w:rsidP="00AC2E8B" w14:paraId="5BB8A09F" w14:textId="25633025">
      <w:pPr>
        <w:pStyle w:val="FootnoteText"/>
        <w:spacing w:line="240" w:lineRule="auto"/>
        <w:ind w:firstLine="720"/>
        <w:rPr>
          <w:sz w:val="26"/>
          <w:szCs w:val="26"/>
        </w:rPr>
      </w:pPr>
      <w:r>
        <w:rPr>
          <w:rStyle w:val="FootnoteReference"/>
          <w:sz w:val="26"/>
          <w:szCs w:val="26"/>
        </w:rPr>
        <w:t>2</w:t>
      </w:r>
      <w:r w:rsidRPr="00D36DBB">
        <w:rPr>
          <w:sz w:val="26"/>
          <w:szCs w:val="26"/>
        </w:rPr>
        <w:t xml:space="preserve"> All statutory references are to the Labor Code unless otherwise noted.</w:t>
      </w:r>
    </w:p>
  </w:footnote>
  <w:footnote w:id="4">
    <w:p w:rsidR="007C2825" w:rsidRPr="003600EE" w:rsidP="00FD1075" w14:paraId="587338D1" w14:textId="4E564475">
      <w:pPr>
        <w:pStyle w:val="FootnoteText"/>
        <w:spacing w:line="240" w:lineRule="auto"/>
        <w:ind w:firstLine="720"/>
        <w:rPr>
          <w:sz w:val="26"/>
          <w:szCs w:val="26"/>
        </w:rPr>
      </w:pPr>
      <w:r>
        <w:rPr>
          <w:rStyle w:val="FootnoteReference"/>
          <w:sz w:val="26"/>
          <w:szCs w:val="26"/>
        </w:rPr>
        <w:t>3</w:t>
      </w:r>
      <w:r w:rsidRPr="003600EE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3600EE">
        <w:rPr>
          <w:sz w:val="26"/>
          <w:szCs w:val="26"/>
        </w:rPr>
        <w:t xml:space="preserve">e </w:t>
      </w:r>
      <w:r>
        <w:rPr>
          <w:sz w:val="26"/>
          <w:szCs w:val="26"/>
        </w:rPr>
        <w:t>refuse</w:t>
      </w:r>
      <w:r w:rsidRPr="003600EE">
        <w:rPr>
          <w:sz w:val="26"/>
          <w:szCs w:val="26"/>
        </w:rPr>
        <w:t xml:space="preserve"> Alco’s invitation to dismiss the appeal due to the late filing of plaintiff’s opening brief. </w:t>
      </w:r>
      <w:r w:rsidR="002D3439">
        <w:rPr>
          <w:sz w:val="26"/>
          <w:szCs w:val="26"/>
        </w:rPr>
        <w:t xml:space="preserve"> </w:t>
      </w:r>
      <w:r>
        <w:rPr>
          <w:sz w:val="26"/>
          <w:szCs w:val="26"/>
        </w:rPr>
        <w:t>While</w:t>
      </w:r>
      <w:r w:rsidRPr="003600EE">
        <w:rPr>
          <w:sz w:val="26"/>
          <w:szCs w:val="26"/>
        </w:rPr>
        <w:t xml:space="preserve"> plaintiff missed </w:t>
      </w:r>
      <w:r>
        <w:rPr>
          <w:sz w:val="26"/>
          <w:szCs w:val="26"/>
        </w:rPr>
        <w:t xml:space="preserve">a </w:t>
      </w:r>
      <w:r w:rsidRPr="003600EE">
        <w:rPr>
          <w:sz w:val="26"/>
          <w:szCs w:val="26"/>
        </w:rPr>
        <w:t xml:space="preserve">deadline, </w:t>
      </w:r>
      <w:r>
        <w:rPr>
          <w:sz w:val="26"/>
          <w:szCs w:val="26"/>
        </w:rPr>
        <w:t>her</w:t>
      </w:r>
      <w:r w:rsidRPr="003600EE">
        <w:rPr>
          <w:sz w:val="26"/>
          <w:szCs w:val="26"/>
        </w:rPr>
        <w:t xml:space="preserve"> filing complied with </w:t>
      </w:r>
      <w:r>
        <w:rPr>
          <w:sz w:val="26"/>
          <w:szCs w:val="26"/>
        </w:rPr>
        <w:t>this court’s</w:t>
      </w:r>
      <w:r w:rsidRPr="003600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subsequent </w:t>
      </w:r>
      <w:r w:rsidRPr="003600EE">
        <w:rPr>
          <w:sz w:val="26"/>
          <w:szCs w:val="26"/>
        </w:rPr>
        <w:t>notice of default.</w:t>
      </w:r>
      <w:r>
        <w:rPr>
          <w:sz w:val="26"/>
          <w:szCs w:val="26"/>
        </w:rPr>
        <w:t xml:space="preserve">  (See Cal. Rules of Ct., rule 8.220.)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D"/>
    <w:rsid w:val="0000191B"/>
    <w:rsid w:val="00003F6C"/>
    <w:rsid w:val="0000573D"/>
    <w:rsid w:val="00007DE2"/>
    <w:rsid w:val="00011876"/>
    <w:rsid w:val="00012FAC"/>
    <w:rsid w:val="00013A3B"/>
    <w:rsid w:val="00013CDC"/>
    <w:rsid w:val="000157BE"/>
    <w:rsid w:val="00017549"/>
    <w:rsid w:val="00021AFE"/>
    <w:rsid w:val="0002360E"/>
    <w:rsid w:val="00023818"/>
    <w:rsid w:val="000241AE"/>
    <w:rsid w:val="00027BDC"/>
    <w:rsid w:val="0003042A"/>
    <w:rsid w:val="00031815"/>
    <w:rsid w:val="000347C1"/>
    <w:rsid w:val="000357B9"/>
    <w:rsid w:val="00036E6A"/>
    <w:rsid w:val="00036EE3"/>
    <w:rsid w:val="000379B9"/>
    <w:rsid w:val="000445F6"/>
    <w:rsid w:val="00046938"/>
    <w:rsid w:val="00050F8B"/>
    <w:rsid w:val="00061729"/>
    <w:rsid w:val="00064AFF"/>
    <w:rsid w:val="00065A4F"/>
    <w:rsid w:val="000671CF"/>
    <w:rsid w:val="00067B16"/>
    <w:rsid w:val="0007138F"/>
    <w:rsid w:val="00071EE8"/>
    <w:rsid w:val="00072D4E"/>
    <w:rsid w:val="00073251"/>
    <w:rsid w:val="00083C4D"/>
    <w:rsid w:val="000848A2"/>
    <w:rsid w:val="0008743B"/>
    <w:rsid w:val="00090DCF"/>
    <w:rsid w:val="00091880"/>
    <w:rsid w:val="00091A0D"/>
    <w:rsid w:val="00091D30"/>
    <w:rsid w:val="00092356"/>
    <w:rsid w:val="000927A7"/>
    <w:rsid w:val="00094C5E"/>
    <w:rsid w:val="00095B6A"/>
    <w:rsid w:val="000962C2"/>
    <w:rsid w:val="000975E4"/>
    <w:rsid w:val="000A0E77"/>
    <w:rsid w:val="000A36F9"/>
    <w:rsid w:val="000A3BD6"/>
    <w:rsid w:val="000A4D52"/>
    <w:rsid w:val="000A4DF1"/>
    <w:rsid w:val="000A5676"/>
    <w:rsid w:val="000A71AB"/>
    <w:rsid w:val="000A79E5"/>
    <w:rsid w:val="000B0A9A"/>
    <w:rsid w:val="000B15E6"/>
    <w:rsid w:val="000B2D70"/>
    <w:rsid w:val="000B4478"/>
    <w:rsid w:val="000B4AF5"/>
    <w:rsid w:val="000B4FB7"/>
    <w:rsid w:val="000B5AE6"/>
    <w:rsid w:val="000C0488"/>
    <w:rsid w:val="000C2E4B"/>
    <w:rsid w:val="000C5583"/>
    <w:rsid w:val="000C6652"/>
    <w:rsid w:val="000D1F13"/>
    <w:rsid w:val="000D45AF"/>
    <w:rsid w:val="000D7611"/>
    <w:rsid w:val="000D799D"/>
    <w:rsid w:val="000E1146"/>
    <w:rsid w:val="000E19AB"/>
    <w:rsid w:val="000E1B8E"/>
    <w:rsid w:val="000E36D5"/>
    <w:rsid w:val="000E3A10"/>
    <w:rsid w:val="000E3A6B"/>
    <w:rsid w:val="000E5208"/>
    <w:rsid w:val="000E7906"/>
    <w:rsid w:val="000E7B87"/>
    <w:rsid w:val="000F05BF"/>
    <w:rsid w:val="000F5FAE"/>
    <w:rsid w:val="000F649B"/>
    <w:rsid w:val="000F72D5"/>
    <w:rsid w:val="0010249D"/>
    <w:rsid w:val="00105C73"/>
    <w:rsid w:val="0010657F"/>
    <w:rsid w:val="0011000A"/>
    <w:rsid w:val="00112B4A"/>
    <w:rsid w:val="00113CDD"/>
    <w:rsid w:val="001153FB"/>
    <w:rsid w:val="001209F5"/>
    <w:rsid w:val="00120A6C"/>
    <w:rsid w:val="001210E6"/>
    <w:rsid w:val="00124C25"/>
    <w:rsid w:val="00130BD8"/>
    <w:rsid w:val="00130E71"/>
    <w:rsid w:val="00131B7A"/>
    <w:rsid w:val="001335E0"/>
    <w:rsid w:val="0013433B"/>
    <w:rsid w:val="00135CCC"/>
    <w:rsid w:val="00137CED"/>
    <w:rsid w:val="00140491"/>
    <w:rsid w:val="00140C3A"/>
    <w:rsid w:val="00141625"/>
    <w:rsid w:val="00143A12"/>
    <w:rsid w:val="00147618"/>
    <w:rsid w:val="001509CA"/>
    <w:rsid w:val="00151368"/>
    <w:rsid w:val="00152B0C"/>
    <w:rsid w:val="00153444"/>
    <w:rsid w:val="00154FFF"/>
    <w:rsid w:val="00155EC9"/>
    <w:rsid w:val="0015639D"/>
    <w:rsid w:val="00157F4E"/>
    <w:rsid w:val="001624AB"/>
    <w:rsid w:val="001650C7"/>
    <w:rsid w:val="00165488"/>
    <w:rsid w:val="001665DC"/>
    <w:rsid w:val="00170B6D"/>
    <w:rsid w:val="00172F78"/>
    <w:rsid w:val="00175143"/>
    <w:rsid w:val="0017552A"/>
    <w:rsid w:val="00175B8D"/>
    <w:rsid w:val="00180147"/>
    <w:rsid w:val="001809E8"/>
    <w:rsid w:val="00180D60"/>
    <w:rsid w:val="001825A6"/>
    <w:rsid w:val="00184ED2"/>
    <w:rsid w:val="00187AE0"/>
    <w:rsid w:val="001910E8"/>
    <w:rsid w:val="001937B4"/>
    <w:rsid w:val="00194973"/>
    <w:rsid w:val="00194CA4"/>
    <w:rsid w:val="001A16E5"/>
    <w:rsid w:val="001A1836"/>
    <w:rsid w:val="001A23CD"/>
    <w:rsid w:val="001A24A7"/>
    <w:rsid w:val="001A6A57"/>
    <w:rsid w:val="001A736F"/>
    <w:rsid w:val="001B00B7"/>
    <w:rsid w:val="001B0EEE"/>
    <w:rsid w:val="001B157A"/>
    <w:rsid w:val="001B42CB"/>
    <w:rsid w:val="001B4783"/>
    <w:rsid w:val="001B64FE"/>
    <w:rsid w:val="001C13E6"/>
    <w:rsid w:val="001C1E99"/>
    <w:rsid w:val="001C6315"/>
    <w:rsid w:val="001D63C4"/>
    <w:rsid w:val="001D63E2"/>
    <w:rsid w:val="001D6D5E"/>
    <w:rsid w:val="001D70D3"/>
    <w:rsid w:val="001D7401"/>
    <w:rsid w:val="001E160A"/>
    <w:rsid w:val="001E2F12"/>
    <w:rsid w:val="00205C34"/>
    <w:rsid w:val="002113A8"/>
    <w:rsid w:val="00211AA3"/>
    <w:rsid w:val="002137F8"/>
    <w:rsid w:val="00214383"/>
    <w:rsid w:val="00221600"/>
    <w:rsid w:val="0022510D"/>
    <w:rsid w:val="00227A84"/>
    <w:rsid w:val="00233E3A"/>
    <w:rsid w:val="00237881"/>
    <w:rsid w:val="002405A1"/>
    <w:rsid w:val="00244223"/>
    <w:rsid w:val="0025199C"/>
    <w:rsid w:val="00253B65"/>
    <w:rsid w:val="00265125"/>
    <w:rsid w:val="00266389"/>
    <w:rsid w:val="00270265"/>
    <w:rsid w:val="0027209D"/>
    <w:rsid w:val="00272338"/>
    <w:rsid w:val="00274F85"/>
    <w:rsid w:val="00275A66"/>
    <w:rsid w:val="0027667E"/>
    <w:rsid w:val="002767C4"/>
    <w:rsid w:val="00277CD6"/>
    <w:rsid w:val="00281E5E"/>
    <w:rsid w:val="00285410"/>
    <w:rsid w:val="00287150"/>
    <w:rsid w:val="002905C2"/>
    <w:rsid w:val="002916A1"/>
    <w:rsid w:val="002A0B44"/>
    <w:rsid w:val="002A0EFC"/>
    <w:rsid w:val="002A331A"/>
    <w:rsid w:val="002A3B42"/>
    <w:rsid w:val="002A6C3B"/>
    <w:rsid w:val="002A7437"/>
    <w:rsid w:val="002A7A4F"/>
    <w:rsid w:val="002A7EDC"/>
    <w:rsid w:val="002B02FF"/>
    <w:rsid w:val="002B324B"/>
    <w:rsid w:val="002B34EA"/>
    <w:rsid w:val="002B3AD2"/>
    <w:rsid w:val="002C1539"/>
    <w:rsid w:val="002C2893"/>
    <w:rsid w:val="002D0A4D"/>
    <w:rsid w:val="002D0DC4"/>
    <w:rsid w:val="002D2DDB"/>
    <w:rsid w:val="002D3439"/>
    <w:rsid w:val="002D480A"/>
    <w:rsid w:val="002D5CFD"/>
    <w:rsid w:val="002D77F7"/>
    <w:rsid w:val="002D7D8B"/>
    <w:rsid w:val="002E1F58"/>
    <w:rsid w:val="002E459A"/>
    <w:rsid w:val="002E5BF9"/>
    <w:rsid w:val="002E6E0C"/>
    <w:rsid w:val="002F0297"/>
    <w:rsid w:val="002F364D"/>
    <w:rsid w:val="002F72CE"/>
    <w:rsid w:val="003010A1"/>
    <w:rsid w:val="0030447F"/>
    <w:rsid w:val="00305DAC"/>
    <w:rsid w:val="003072BB"/>
    <w:rsid w:val="003109AA"/>
    <w:rsid w:val="0031392C"/>
    <w:rsid w:val="003164D2"/>
    <w:rsid w:val="00317A97"/>
    <w:rsid w:val="00322501"/>
    <w:rsid w:val="00335B9F"/>
    <w:rsid w:val="00337494"/>
    <w:rsid w:val="00337637"/>
    <w:rsid w:val="00340945"/>
    <w:rsid w:val="003409FF"/>
    <w:rsid w:val="00341F42"/>
    <w:rsid w:val="0034699C"/>
    <w:rsid w:val="00350375"/>
    <w:rsid w:val="00351CDE"/>
    <w:rsid w:val="0035605B"/>
    <w:rsid w:val="00356071"/>
    <w:rsid w:val="00356B80"/>
    <w:rsid w:val="003600EE"/>
    <w:rsid w:val="003602FB"/>
    <w:rsid w:val="00365D0E"/>
    <w:rsid w:val="00372FC8"/>
    <w:rsid w:val="003733FA"/>
    <w:rsid w:val="00374F5B"/>
    <w:rsid w:val="0037618A"/>
    <w:rsid w:val="0038525A"/>
    <w:rsid w:val="00386CD1"/>
    <w:rsid w:val="00387047"/>
    <w:rsid w:val="0039078A"/>
    <w:rsid w:val="00392F9E"/>
    <w:rsid w:val="0039573E"/>
    <w:rsid w:val="003A01A6"/>
    <w:rsid w:val="003A41C3"/>
    <w:rsid w:val="003A5277"/>
    <w:rsid w:val="003A5E39"/>
    <w:rsid w:val="003A6DA7"/>
    <w:rsid w:val="003A756C"/>
    <w:rsid w:val="003B0647"/>
    <w:rsid w:val="003B2F44"/>
    <w:rsid w:val="003B3CB1"/>
    <w:rsid w:val="003B433A"/>
    <w:rsid w:val="003B474D"/>
    <w:rsid w:val="003C2EE1"/>
    <w:rsid w:val="003C3487"/>
    <w:rsid w:val="003C34DF"/>
    <w:rsid w:val="003D168F"/>
    <w:rsid w:val="003D4FBD"/>
    <w:rsid w:val="003D6D7F"/>
    <w:rsid w:val="003E21A0"/>
    <w:rsid w:val="003E6B59"/>
    <w:rsid w:val="003E7AD8"/>
    <w:rsid w:val="003F6DB2"/>
    <w:rsid w:val="00402ECB"/>
    <w:rsid w:val="00402F43"/>
    <w:rsid w:val="004046D5"/>
    <w:rsid w:val="004065D0"/>
    <w:rsid w:val="0040667A"/>
    <w:rsid w:val="004075F5"/>
    <w:rsid w:val="0041073F"/>
    <w:rsid w:val="00413B90"/>
    <w:rsid w:val="00420296"/>
    <w:rsid w:val="00425E3F"/>
    <w:rsid w:val="00431AEC"/>
    <w:rsid w:val="004321B3"/>
    <w:rsid w:val="00433B15"/>
    <w:rsid w:val="004342FD"/>
    <w:rsid w:val="00442C23"/>
    <w:rsid w:val="004464DC"/>
    <w:rsid w:val="00450165"/>
    <w:rsid w:val="0045155B"/>
    <w:rsid w:val="0045197A"/>
    <w:rsid w:val="00452F97"/>
    <w:rsid w:val="00455CC1"/>
    <w:rsid w:val="00460292"/>
    <w:rsid w:val="00460888"/>
    <w:rsid w:val="00462C05"/>
    <w:rsid w:val="00463834"/>
    <w:rsid w:val="00464221"/>
    <w:rsid w:val="00465313"/>
    <w:rsid w:val="00466ABA"/>
    <w:rsid w:val="00473891"/>
    <w:rsid w:val="00474A0E"/>
    <w:rsid w:val="00475A20"/>
    <w:rsid w:val="0047670F"/>
    <w:rsid w:val="00480484"/>
    <w:rsid w:val="00480D03"/>
    <w:rsid w:val="004833D1"/>
    <w:rsid w:val="004861FC"/>
    <w:rsid w:val="00490B20"/>
    <w:rsid w:val="00493F12"/>
    <w:rsid w:val="004943C1"/>
    <w:rsid w:val="004949FE"/>
    <w:rsid w:val="00495724"/>
    <w:rsid w:val="004A2D20"/>
    <w:rsid w:val="004A35C3"/>
    <w:rsid w:val="004A4093"/>
    <w:rsid w:val="004A534B"/>
    <w:rsid w:val="004B0BAA"/>
    <w:rsid w:val="004B31B6"/>
    <w:rsid w:val="004B4A12"/>
    <w:rsid w:val="004B73E4"/>
    <w:rsid w:val="004C1FA1"/>
    <w:rsid w:val="004C240F"/>
    <w:rsid w:val="004C5A05"/>
    <w:rsid w:val="004D0CDC"/>
    <w:rsid w:val="004D2485"/>
    <w:rsid w:val="004D36F6"/>
    <w:rsid w:val="004D3BC1"/>
    <w:rsid w:val="004D6456"/>
    <w:rsid w:val="004E0669"/>
    <w:rsid w:val="004E06AD"/>
    <w:rsid w:val="004E1AFB"/>
    <w:rsid w:val="004E235D"/>
    <w:rsid w:val="004E3360"/>
    <w:rsid w:val="004E7C2E"/>
    <w:rsid w:val="004F157F"/>
    <w:rsid w:val="004F2CF7"/>
    <w:rsid w:val="004F3BC7"/>
    <w:rsid w:val="004F3D39"/>
    <w:rsid w:val="004F44C4"/>
    <w:rsid w:val="00500FAF"/>
    <w:rsid w:val="00503C0A"/>
    <w:rsid w:val="00503C4D"/>
    <w:rsid w:val="005076FB"/>
    <w:rsid w:val="00507E58"/>
    <w:rsid w:val="005135F4"/>
    <w:rsid w:val="00515B96"/>
    <w:rsid w:val="005164CA"/>
    <w:rsid w:val="0051726F"/>
    <w:rsid w:val="00517D5E"/>
    <w:rsid w:val="00517FC5"/>
    <w:rsid w:val="00522186"/>
    <w:rsid w:val="005254FD"/>
    <w:rsid w:val="005266F9"/>
    <w:rsid w:val="005318AE"/>
    <w:rsid w:val="00531EA3"/>
    <w:rsid w:val="00533CD5"/>
    <w:rsid w:val="00535E5A"/>
    <w:rsid w:val="00537240"/>
    <w:rsid w:val="005372AC"/>
    <w:rsid w:val="005379F3"/>
    <w:rsid w:val="005435DE"/>
    <w:rsid w:val="0054364F"/>
    <w:rsid w:val="00544AA7"/>
    <w:rsid w:val="0054609E"/>
    <w:rsid w:val="00547DC3"/>
    <w:rsid w:val="00552DAE"/>
    <w:rsid w:val="00554E95"/>
    <w:rsid w:val="0055525B"/>
    <w:rsid w:val="005567CA"/>
    <w:rsid w:val="00556D27"/>
    <w:rsid w:val="005613EC"/>
    <w:rsid w:val="00562A50"/>
    <w:rsid w:val="00563649"/>
    <w:rsid w:val="00564E12"/>
    <w:rsid w:val="0056534B"/>
    <w:rsid w:val="00567616"/>
    <w:rsid w:val="005740A8"/>
    <w:rsid w:val="00576145"/>
    <w:rsid w:val="00577AC5"/>
    <w:rsid w:val="00580B7E"/>
    <w:rsid w:val="00582DF6"/>
    <w:rsid w:val="005836A9"/>
    <w:rsid w:val="005856E3"/>
    <w:rsid w:val="00593AAF"/>
    <w:rsid w:val="00597BB3"/>
    <w:rsid w:val="005A5F92"/>
    <w:rsid w:val="005B02C4"/>
    <w:rsid w:val="005B22FD"/>
    <w:rsid w:val="005B2834"/>
    <w:rsid w:val="005B4167"/>
    <w:rsid w:val="005B7BF4"/>
    <w:rsid w:val="005C0AC0"/>
    <w:rsid w:val="005C1CEF"/>
    <w:rsid w:val="005C4506"/>
    <w:rsid w:val="005C4705"/>
    <w:rsid w:val="005C6695"/>
    <w:rsid w:val="005D0DBD"/>
    <w:rsid w:val="005D51F4"/>
    <w:rsid w:val="005D5AD6"/>
    <w:rsid w:val="005D6B78"/>
    <w:rsid w:val="005E3D8C"/>
    <w:rsid w:val="005E57AB"/>
    <w:rsid w:val="005E7396"/>
    <w:rsid w:val="005F0FDA"/>
    <w:rsid w:val="005F3745"/>
    <w:rsid w:val="005F66BD"/>
    <w:rsid w:val="005F6C0D"/>
    <w:rsid w:val="005F717B"/>
    <w:rsid w:val="005F79B3"/>
    <w:rsid w:val="005F7C4D"/>
    <w:rsid w:val="0060106F"/>
    <w:rsid w:val="00601E24"/>
    <w:rsid w:val="006038D1"/>
    <w:rsid w:val="00604BD9"/>
    <w:rsid w:val="0060631C"/>
    <w:rsid w:val="006122CC"/>
    <w:rsid w:val="00612378"/>
    <w:rsid w:val="00612A9E"/>
    <w:rsid w:val="00612F0B"/>
    <w:rsid w:val="0061587C"/>
    <w:rsid w:val="00615E0C"/>
    <w:rsid w:val="00620AF2"/>
    <w:rsid w:val="0062539F"/>
    <w:rsid w:val="006261E4"/>
    <w:rsid w:val="006279B0"/>
    <w:rsid w:val="00627DA3"/>
    <w:rsid w:val="00627E29"/>
    <w:rsid w:val="00627E2E"/>
    <w:rsid w:val="00630C67"/>
    <w:rsid w:val="00630CA3"/>
    <w:rsid w:val="00634186"/>
    <w:rsid w:val="006341E6"/>
    <w:rsid w:val="00637606"/>
    <w:rsid w:val="00637F32"/>
    <w:rsid w:val="006426C8"/>
    <w:rsid w:val="0064322B"/>
    <w:rsid w:val="00643400"/>
    <w:rsid w:val="00651184"/>
    <w:rsid w:val="006515FA"/>
    <w:rsid w:val="00651F3A"/>
    <w:rsid w:val="00654D3C"/>
    <w:rsid w:val="0066145D"/>
    <w:rsid w:val="0066152C"/>
    <w:rsid w:val="00667181"/>
    <w:rsid w:val="00667BE6"/>
    <w:rsid w:val="00674EBF"/>
    <w:rsid w:val="00676BE1"/>
    <w:rsid w:val="006808F0"/>
    <w:rsid w:val="00681671"/>
    <w:rsid w:val="00682961"/>
    <w:rsid w:val="00684544"/>
    <w:rsid w:val="006847D2"/>
    <w:rsid w:val="00685FEF"/>
    <w:rsid w:val="0068644C"/>
    <w:rsid w:val="00693018"/>
    <w:rsid w:val="00693E70"/>
    <w:rsid w:val="006942CC"/>
    <w:rsid w:val="0069620A"/>
    <w:rsid w:val="0069655B"/>
    <w:rsid w:val="006A15C6"/>
    <w:rsid w:val="006B3842"/>
    <w:rsid w:val="006B51AE"/>
    <w:rsid w:val="006B6816"/>
    <w:rsid w:val="006C34FB"/>
    <w:rsid w:val="006C44CA"/>
    <w:rsid w:val="006C665E"/>
    <w:rsid w:val="006C7D8D"/>
    <w:rsid w:val="006D2F25"/>
    <w:rsid w:val="006D5CB6"/>
    <w:rsid w:val="006D694C"/>
    <w:rsid w:val="006E1F1E"/>
    <w:rsid w:val="006E2CFE"/>
    <w:rsid w:val="006E4B6A"/>
    <w:rsid w:val="006F025A"/>
    <w:rsid w:val="006F1EDC"/>
    <w:rsid w:val="006F383B"/>
    <w:rsid w:val="006F4339"/>
    <w:rsid w:val="006F4D10"/>
    <w:rsid w:val="006F51C3"/>
    <w:rsid w:val="00701532"/>
    <w:rsid w:val="007023C8"/>
    <w:rsid w:val="00703940"/>
    <w:rsid w:val="007045D6"/>
    <w:rsid w:val="007071C7"/>
    <w:rsid w:val="00710FE2"/>
    <w:rsid w:val="007122C6"/>
    <w:rsid w:val="00712B6F"/>
    <w:rsid w:val="00720699"/>
    <w:rsid w:val="00724C61"/>
    <w:rsid w:val="00724F98"/>
    <w:rsid w:val="007264FF"/>
    <w:rsid w:val="00730369"/>
    <w:rsid w:val="00732142"/>
    <w:rsid w:val="007356AB"/>
    <w:rsid w:val="00741589"/>
    <w:rsid w:val="00744CCE"/>
    <w:rsid w:val="007461D7"/>
    <w:rsid w:val="00750069"/>
    <w:rsid w:val="00751412"/>
    <w:rsid w:val="007547FA"/>
    <w:rsid w:val="00755FA5"/>
    <w:rsid w:val="0076045F"/>
    <w:rsid w:val="007620D6"/>
    <w:rsid w:val="00762E6F"/>
    <w:rsid w:val="00763B2B"/>
    <w:rsid w:val="00764B03"/>
    <w:rsid w:val="00765D95"/>
    <w:rsid w:val="0076663A"/>
    <w:rsid w:val="00770AC9"/>
    <w:rsid w:val="00770FD6"/>
    <w:rsid w:val="00772265"/>
    <w:rsid w:val="0077266D"/>
    <w:rsid w:val="007853E2"/>
    <w:rsid w:val="007858AA"/>
    <w:rsid w:val="00786089"/>
    <w:rsid w:val="00793813"/>
    <w:rsid w:val="00794071"/>
    <w:rsid w:val="007946A2"/>
    <w:rsid w:val="007956E1"/>
    <w:rsid w:val="007977D5"/>
    <w:rsid w:val="007A1E97"/>
    <w:rsid w:val="007A2ED8"/>
    <w:rsid w:val="007A2F24"/>
    <w:rsid w:val="007A3DDD"/>
    <w:rsid w:val="007A76DB"/>
    <w:rsid w:val="007B0346"/>
    <w:rsid w:val="007B27DD"/>
    <w:rsid w:val="007B3AC1"/>
    <w:rsid w:val="007B6500"/>
    <w:rsid w:val="007B6635"/>
    <w:rsid w:val="007B69EF"/>
    <w:rsid w:val="007B6AA6"/>
    <w:rsid w:val="007B72F0"/>
    <w:rsid w:val="007C2825"/>
    <w:rsid w:val="007C2D63"/>
    <w:rsid w:val="007C433A"/>
    <w:rsid w:val="007C4898"/>
    <w:rsid w:val="007C6234"/>
    <w:rsid w:val="007D1533"/>
    <w:rsid w:val="007D3795"/>
    <w:rsid w:val="007D53E9"/>
    <w:rsid w:val="007D5A8A"/>
    <w:rsid w:val="007D6506"/>
    <w:rsid w:val="007D71B1"/>
    <w:rsid w:val="007D746F"/>
    <w:rsid w:val="007D7E99"/>
    <w:rsid w:val="007E14BF"/>
    <w:rsid w:val="007E5C14"/>
    <w:rsid w:val="007E73A3"/>
    <w:rsid w:val="007F02A5"/>
    <w:rsid w:val="007F08BF"/>
    <w:rsid w:val="007F2BB7"/>
    <w:rsid w:val="007F63C4"/>
    <w:rsid w:val="007F6FD8"/>
    <w:rsid w:val="007F771E"/>
    <w:rsid w:val="007F790F"/>
    <w:rsid w:val="00800D3E"/>
    <w:rsid w:val="008021EB"/>
    <w:rsid w:val="008034F0"/>
    <w:rsid w:val="0080371B"/>
    <w:rsid w:val="00803AFE"/>
    <w:rsid w:val="008117DE"/>
    <w:rsid w:val="00812549"/>
    <w:rsid w:val="008142ED"/>
    <w:rsid w:val="00815C91"/>
    <w:rsid w:val="00821151"/>
    <w:rsid w:val="00822693"/>
    <w:rsid w:val="00823286"/>
    <w:rsid w:val="008232AF"/>
    <w:rsid w:val="00825F13"/>
    <w:rsid w:val="00826309"/>
    <w:rsid w:val="00833BE8"/>
    <w:rsid w:val="00840E8D"/>
    <w:rsid w:val="0084267D"/>
    <w:rsid w:val="0084535F"/>
    <w:rsid w:val="0085059F"/>
    <w:rsid w:val="00850F25"/>
    <w:rsid w:val="0085253C"/>
    <w:rsid w:val="00855497"/>
    <w:rsid w:val="0085719C"/>
    <w:rsid w:val="008602C2"/>
    <w:rsid w:val="008638F5"/>
    <w:rsid w:val="00867DF0"/>
    <w:rsid w:val="00870998"/>
    <w:rsid w:val="008764D7"/>
    <w:rsid w:val="00877181"/>
    <w:rsid w:val="008806E7"/>
    <w:rsid w:val="00881001"/>
    <w:rsid w:val="00881714"/>
    <w:rsid w:val="00882D5A"/>
    <w:rsid w:val="00884819"/>
    <w:rsid w:val="0088729E"/>
    <w:rsid w:val="00892E0B"/>
    <w:rsid w:val="00893F6C"/>
    <w:rsid w:val="00895235"/>
    <w:rsid w:val="008A26B3"/>
    <w:rsid w:val="008A2EA7"/>
    <w:rsid w:val="008A494E"/>
    <w:rsid w:val="008B0757"/>
    <w:rsid w:val="008B0CB8"/>
    <w:rsid w:val="008B1A6E"/>
    <w:rsid w:val="008B1E1B"/>
    <w:rsid w:val="008B2317"/>
    <w:rsid w:val="008B232D"/>
    <w:rsid w:val="008B3C63"/>
    <w:rsid w:val="008B43AD"/>
    <w:rsid w:val="008B690E"/>
    <w:rsid w:val="008C13A4"/>
    <w:rsid w:val="008C1773"/>
    <w:rsid w:val="008C4136"/>
    <w:rsid w:val="008C58E1"/>
    <w:rsid w:val="008C6517"/>
    <w:rsid w:val="008D0171"/>
    <w:rsid w:val="008D0D66"/>
    <w:rsid w:val="008D1770"/>
    <w:rsid w:val="008D2902"/>
    <w:rsid w:val="008E10A0"/>
    <w:rsid w:val="008E1451"/>
    <w:rsid w:val="008E2E22"/>
    <w:rsid w:val="008E2E26"/>
    <w:rsid w:val="008E3079"/>
    <w:rsid w:val="008E3084"/>
    <w:rsid w:val="008E3565"/>
    <w:rsid w:val="008E6A9D"/>
    <w:rsid w:val="008F005D"/>
    <w:rsid w:val="008F289C"/>
    <w:rsid w:val="008F34BF"/>
    <w:rsid w:val="008F597A"/>
    <w:rsid w:val="008F76CE"/>
    <w:rsid w:val="008F7FC8"/>
    <w:rsid w:val="00900B3F"/>
    <w:rsid w:val="00901237"/>
    <w:rsid w:val="00901696"/>
    <w:rsid w:val="00905307"/>
    <w:rsid w:val="009078D2"/>
    <w:rsid w:val="00907A17"/>
    <w:rsid w:val="00907DBC"/>
    <w:rsid w:val="00911065"/>
    <w:rsid w:val="00911E02"/>
    <w:rsid w:val="009134B3"/>
    <w:rsid w:val="0091647C"/>
    <w:rsid w:val="00922956"/>
    <w:rsid w:val="009237BD"/>
    <w:rsid w:val="00924C8A"/>
    <w:rsid w:val="00924E85"/>
    <w:rsid w:val="00926522"/>
    <w:rsid w:val="009267F6"/>
    <w:rsid w:val="00926D3B"/>
    <w:rsid w:val="00931241"/>
    <w:rsid w:val="00931F56"/>
    <w:rsid w:val="0093227C"/>
    <w:rsid w:val="00934898"/>
    <w:rsid w:val="0093707F"/>
    <w:rsid w:val="009412D9"/>
    <w:rsid w:val="00941CFA"/>
    <w:rsid w:val="00941E48"/>
    <w:rsid w:val="00942411"/>
    <w:rsid w:val="009429BB"/>
    <w:rsid w:val="00943517"/>
    <w:rsid w:val="00944526"/>
    <w:rsid w:val="00945B6B"/>
    <w:rsid w:val="00946B31"/>
    <w:rsid w:val="00947B75"/>
    <w:rsid w:val="00947BA6"/>
    <w:rsid w:val="00950BA8"/>
    <w:rsid w:val="00952EF3"/>
    <w:rsid w:val="00955D94"/>
    <w:rsid w:val="00956331"/>
    <w:rsid w:val="00956FDC"/>
    <w:rsid w:val="009601B6"/>
    <w:rsid w:val="00960E74"/>
    <w:rsid w:val="00962F77"/>
    <w:rsid w:val="00963ACB"/>
    <w:rsid w:val="00963AEE"/>
    <w:rsid w:val="00966A9F"/>
    <w:rsid w:val="00970568"/>
    <w:rsid w:val="00970F07"/>
    <w:rsid w:val="00973EE6"/>
    <w:rsid w:val="00976AAC"/>
    <w:rsid w:val="009812E7"/>
    <w:rsid w:val="00983D7F"/>
    <w:rsid w:val="0098536C"/>
    <w:rsid w:val="00994B62"/>
    <w:rsid w:val="009951B1"/>
    <w:rsid w:val="009A0B7A"/>
    <w:rsid w:val="009A12DB"/>
    <w:rsid w:val="009A3A0D"/>
    <w:rsid w:val="009A4EAD"/>
    <w:rsid w:val="009A5070"/>
    <w:rsid w:val="009A5639"/>
    <w:rsid w:val="009A5A53"/>
    <w:rsid w:val="009A5E64"/>
    <w:rsid w:val="009A685D"/>
    <w:rsid w:val="009A6D8B"/>
    <w:rsid w:val="009A7C49"/>
    <w:rsid w:val="009B080A"/>
    <w:rsid w:val="009B4044"/>
    <w:rsid w:val="009B6CE6"/>
    <w:rsid w:val="009B78F9"/>
    <w:rsid w:val="009C2F03"/>
    <w:rsid w:val="009C406D"/>
    <w:rsid w:val="009C4787"/>
    <w:rsid w:val="009C702C"/>
    <w:rsid w:val="009C738F"/>
    <w:rsid w:val="009C7D62"/>
    <w:rsid w:val="009D0657"/>
    <w:rsid w:val="009D1998"/>
    <w:rsid w:val="009D2207"/>
    <w:rsid w:val="009D30D2"/>
    <w:rsid w:val="009D3262"/>
    <w:rsid w:val="009D560E"/>
    <w:rsid w:val="009D5F3F"/>
    <w:rsid w:val="009D63D8"/>
    <w:rsid w:val="009D7045"/>
    <w:rsid w:val="009D7E96"/>
    <w:rsid w:val="009E0C4A"/>
    <w:rsid w:val="009E2DB8"/>
    <w:rsid w:val="009E3275"/>
    <w:rsid w:val="009E489A"/>
    <w:rsid w:val="009E4A4E"/>
    <w:rsid w:val="009E6BB0"/>
    <w:rsid w:val="009E6CCF"/>
    <w:rsid w:val="009E7C34"/>
    <w:rsid w:val="009F0B1A"/>
    <w:rsid w:val="009F105C"/>
    <w:rsid w:val="009F2B55"/>
    <w:rsid w:val="009F3319"/>
    <w:rsid w:val="009F39A4"/>
    <w:rsid w:val="009F618F"/>
    <w:rsid w:val="00A04EDF"/>
    <w:rsid w:val="00A053BE"/>
    <w:rsid w:val="00A06281"/>
    <w:rsid w:val="00A06A26"/>
    <w:rsid w:val="00A12DB4"/>
    <w:rsid w:val="00A150F9"/>
    <w:rsid w:val="00A1693E"/>
    <w:rsid w:val="00A17F06"/>
    <w:rsid w:val="00A20BAA"/>
    <w:rsid w:val="00A23F78"/>
    <w:rsid w:val="00A26E2A"/>
    <w:rsid w:val="00A311A7"/>
    <w:rsid w:val="00A316AA"/>
    <w:rsid w:val="00A319FB"/>
    <w:rsid w:val="00A31D97"/>
    <w:rsid w:val="00A325B0"/>
    <w:rsid w:val="00A40282"/>
    <w:rsid w:val="00A4184B"/>
    <w:rsid w:val="00A4239F"/>
    <w:rsid w:val="00A43657"/>
    <w:rsid w:val="00A43B48"/>
    <w:rsid w:val="00A5130C"/>
    <w:rsid w:val="00A5196B"/>
    <w:rsid w:val="00A55216"/>
    <w:rsid w:val="00A56CEE"/>
    <w:rsid w:val="00A62833"/>
    <w:rsid w:val="00A63A18"/>
    <w:rsid w:val="00A644CD"/>
    <w:rsid w:val="00A646D7"/>
    <w:rsid w:val="00A66673"/>
    <w:rsid w:val="00A66917"/>
    <w:rsid w:val="00A744C6"/>
    <w:rsid w:val="00A7560B"/>
    <w:rsid w:val="00A76D1C"/>
    <w:rsid w:val="00A77AD8"/>
    <w:rsid w:val="00A82439"/>
    <w:rsid w:val="00A8251C"/>
    <w:rsid w:val="00A84EB1"/>
    <w:rsid w:val="00A85815"/>
    <w:rsid w:val="00A86866"/>
    <w:rsid w:val="00A86A06"/>
    <w:rsid w:val="00A87247"/>
    <w:rsid w:val="00A87642"/>
    <w:rsid w:val="00A914DF"/>
    <w:rsid w:val="00A91BD7"/>
    <w:rsid w:val="00A93302"/>
    <w:rsid w:val="00A93D34"/>
    <w:rsid w:val="00A95054"/>
    <w:rsid w:val="00A95C89"/>
    <w:rsid w:val="00A96C5E"/>
    <w:rsid w:val="00A97927"/>
    <w:rsid w:val="00AA1AB4"/>
    <w:rsid w:val="00AA34C6"/>
    <w:rsid w:val="00AA687A"/>
    <w:rsid w:val="00AA780C"/>
    <w:rsid w:val="00AB1E53"/>
    <w:rsid w:val="00AB3C41"/>
    <w:rsid w:val="00AB4E62"/>
    <w:rsid w:val="00AB58D9"/>
    <w:rsid w:val="00AC1538"/>
    <w:rsid w:val="00AC15AB"/>
    <w:rsid w:val="00AC2E8B"/>
    <w:rsid w:val="00AC4D1C"/>
    <w:rsid w:val="00AC7BC9"/>
    <w:rsid w:val="00AD2EC0"/>
    <w:rsid w:val="00AD5D87"/>
    <w:rsid w:val="00AE1F6D"/>
    <w:rsid w:val="00AE224C"/>
    <w:rsid w:val="00AE3002"/>
    <w:rsid w:val="00AE435B"/>
    <w:rsid w:val="00AF0E89"/>
    <w:rsid w:val="00AF31A3"/>
    <w:rsid w:val="00AF3752"/>
    <w:rsid w:val="00AF5E73"/>
    <w:rsid w:val="00B01C2B"/>
    <w:rsid w:val="00B03258"/>
    <w:rsid w:val="00B06955"/>
    <w:rsid w:val="00B10A57"/>
    <w:rsid w:val="00B11706"/>
    <w:rsid w:val="00B11A80"/>
    <w:rsid w:val="00B13502"/>
    <w:rsid w:val="00B1655E"/>
    <w:rsid w:val="00B16912"/>
    <w:rsid w:val="00B1754E"/>
    <w:rsid w:val="00B2034C"/>
    <w:rsid w:val="00B22466"/>
    <w:rsid w:val="00B22904"/>
    <w:rsid w:val="00B22F10"/>
    <w:rsid w:val="00B23202"/>
    <w:rsid w:val="00B23D50"/>
    <w:rsid w:val="00B23E72"/>
    <w:rsid w:val="00B25C78"/>
    <w:rsid w:val="00B30AB9"/>
    <w:rsid w:val="00B34523"/>
    <w:rsid w:val="00B34A74"/>
    <w:rsid w:val="00B34C11"/>
    <w:rsid w:val="00B34D64"/>
    <w:rsid w:val="00B35558"/>
    <w:rsid w:val="00B40C87"/>
    <w:rsid w:val="00B466C9"/>
    <w:rsid w:val="00B501E9"/>
    <w:rsid w:val="00B54E1C"/>
    <w:rsid w:val="00B55BBB"/>
    <w:rsid w:val="00B567F8"/>
    <w:rsid w:val="00B65730"/>
    <w:rsid w:val="00B7458D"/>
    <w:rsid w:val="00B75B48"/>
    <w:rsid w:val="00B75EA5"/>
    <w:rsid w:val="00B762FB"/>
    <w:rsid w:val="00B77979"/>
    <w:rsid w:val="00B81F61"/>
    <w:rsid w:val="00B84414"/>
    <w:rsid w:val="00B847DC"/>
    <w:rsid w:val="00B84A1A"/>
    <w:rsid w:val="00B84B63"/>
    <w:rsid w:val="00B85B16"/>
    <w:rsid w:val="00B93D02"/>
    <w:rsid w:val="00BA27B7"/>
    <w:rsid w:val="00BA2C04"/>
    <w:rsid w:val="00BA3934"/>
    <w:rsid w:val="00BA49C5"/>
    <w:rsid w:val="00BA6DFB"/>
    <w:rsid w:val="00BB0939"/>
    <w:rsid w:val="00BB14F5"/>
    <w:rsid w:val="00BB159B"/>
    <w:rsid w:val="00BB1B23"/>
    <w:rsid w:val="00BB3E23"/>
    <w:rsid w:val="00BB6AF4"/>
    <w:rsid w:val="00BC277A"/>
    <w:rsid w:val="00BD501A"/>
    <w:rsid w:val="00BD5E88"/>
    <w:rsid w:val="00BE5F6F"/>
    <w:rsid w:val="00BF24C1"/>
    <w:rsid w:val="00BF42B7"/>
    <w:rsid w:val="00BF51A5"/>
    <w:rsid w:val="00BF52BA"/>
    <w:rsid w:val="00BF53DD"/>
    <w:rsid w:val="00C02B55"/>
    <w:rsid w:val="00C038DC"/>
    <w:rsid w:val="00C11687"/>
    <w:rsid w:val="00C12A3D"/>
    <w:rsid w:val="00C13F99"/>
    <w:rsid w:val="00C14EBF"/>
    <w:rsid w:val="00C20B0B"/>
    <w:rsid w:val="00C21044"/>
    <w:rsid w:val="00C21CF8"/>
    <w:rsid w:val="00C2380A"/>
    <w:rsid w:val="00C256EC"/>
    <w:rsid w:val="00C257B3"/>
    <w:rsid w:val="00C260C7"/>
    <w:rsid w:val="00C26553"/>
    <w:rsid w:val="00C27007"/>
    <w:rsid w:val="00C3008E"/>
    <w:rsid w:val="00C3223C"/>
    <w:rsid w:val="00C32F6F"/>
    <w:rsid w:val="00C42D5D"/>
    <w:rsid w:val="00C44804"/>
    <w:rsid w:val="00C45889"/>
    <w:rsid w:val="00C45A62"/>
    <w:rsid w:val="00C4679E"/>
    <w:rsid w:val="00C46940"/>
    <w:rsid w:val="00C50E21"/>
    <w:rsid w:val="00C52F7C"/>
    <w:rsid w:val="00C54794"/>
    <w:rsid w:val="00C555D3"/>
    <w:rsid w:val="00C56030"/>
    <w:rsid w:val="00C5675F"/>
    <w:rsid w:val="00C56F1A"/>
    <w:rsid w:val="00C60FA4"/>
    <w:rsid w:val="00C619D7"/>
    <w:rsid w:val="00C61B7C"/>
    <w:rsid w:val="00C63399"/>
    <w:rsid w:val="00C6341C"/>
    <w:rsid w:val="00C64580"/>
    <w:rsid w:val="00C6524D"/>
    <w:rsid w:val="00C7074A"/>
    <w:rsid w:val="00C708CB"/>
    <w:rsid w:val="00C7279C"/>
    <w:rsid w:val="00C741AA"/>
    <w:rsid w:val="00C7657C"/>
    <w:rsid w:val="00C77383"/>
    <w:rsid w:val="00C8190E"/>
    <w:rsid w:val="00C824CF"/>
    <w:rsid w:val="00C840F1"/>
    <w:rsid w:val="00C8425F"/>
    <w:rsid w:val="00C847C8"/>
    <w:rsid w:val="00C86D9E"/>
    <w:rsid w:val="00C87F99"/>
    <w:rsid w:val="00C908D5"/>
    <w:rsid w:val="00C9579A"/>
    <w:rsid w:val="00C97444"/>
    <w:rsid w:val="00CA3195"/>
    <w:rsid w:val="00CA3A81"/>
    <w:rsid w:val="00CA3ED5"/>
    <w:rsid w:val="00CA6F3F"/>
    <w:rsid w:val="00CB0029"/>
    <w:rsid w:val="00CB1785"/>
    <w:rsid w:val="00CB3CC6"/>
    <w:rsid w:val="00CC29D4"/>
    <w:rsid w:val="00CC3380"/>
    <w:rsid w:val="00CC3E6C"/>
    <w:rsid w:val="00CC45BB"/>
    <w:rsid w:val="00CC5923"/>
    <w:rsid w:val="00CC61F4"/>
    <w:rsid w:val="00CC6EDA"/>
    <w:rsid w:val="00CD0432"/>
    <w:rsid w:val="00CD2062"/>
    <w:rsid w:val="00CD29E5"/>
    <w:rsid w:val="00CD65AF"/>
    <w:rsid w:val="00CE1B80"/>
    <w:rsid w:val="00CE21CF"/>
    <w:rsid w:val="00CE4C4F"/>
    <w:rsid w:val="00CE5DD5"/>
    <w:rsid w:val="00CE5EB2"/>
    <w:rsid w:val="00CE61E3"/>
    <w:rsid w:val="00CE6A94"/>
    <w:rsid w:val="00CF69D0"/>
    <w:rsid w:val="00D0170A"/>
    <w:rsid w:val="00D023BC"/>
    <w:rsid w:val="00D03AE4"/>
    <w:rsid w:val="00D064E8"/>
    <w:rsid w:val="00D075AA"/>
    <w:rsid w:val="00D079AD"/>
    <w:rsid w:val="00D10822"/>
    <w:rsid w:val="00D1195C"/>
    <w:rsid w:val="00D12AA2"/>
    <w:rsid w:val="00D1317D"/>
    <w:rsid w:val="00D1398D"/>
    <w:rsid w:val="00D14280"/>
    <w:rsid w:val="00D15B2B"/>
    <w:rsid w:val="00D168AB"/>
    <w:rsid w:val="00D16FF1"/>
    <w:rsid w:val="00D1756A"/>
    <w:rsid w:val="00D21B3B"/>
    <w:rsid w:val="00D21D4A"/>
    <w:rsid w:val="00D26175"/>
    <w:rsid w:val="00D2636A"/>
    <w:rsid w:val="00D278D6"/>
    <w:rsid w:val="00D30205"/>
    <w:rsid w:val="00D3098D"/>
    <w:rsid w:val="00D3191C"/>
    <w:rsid w:val="00D31BE4"/>
    <w:rsid w:val="00D34C5A"/>
    <w:rsid w:val="00D35118"/>
    <w:rsid w:val="00D35CBD"/>
    <w:rsid w:val="00D36DBB"/>
    <w:rsid w:val="00D43996"/>
    <w:rsid w:val="00D43DAC"/>
    <w:rsid w:val="00D444E8"/>
    <w:rsid w:val="00D44919"/>
    <w:rsid w:val="00D45C52"/>
    <w:rsid w:val="00D469FA"/>
    <w:rsid w:val="00D5014F"/>
    <w:rsid w:val="00D51660"/>
    <w:rsid w:val="00D53A03"/>
    <w:rsid w:val="00D54EE3"/>
    <w:rsid w:val="00D553BE"/>
    <w:rsid w:val="00D57CBF"/>
    <w:rsid w:val="00D63CC3"/>
    <w:rsid w:val="00D64AFD"/>
    <w:rsid w:val="00D66A92"/>
    <w:rsid w:val="00D66CA3"/>
    <w:rsid w:val="00D70A66"/>
    <w:rsid w:val="00D737B7"/>
    <w:rsid w:val="00D76F34"/>
    <w:rsid w:val="00D80077"/>
    <w:rsid w:val="00D81410"/>
    <w:rsid w:val="00D8287F"/>
    <w:rsid w:val="00D82990"/>
    <w:rsid w:val="00D82D02"/>
    <w:rsid w:val="00D845E4"/>
    <w:rsid w:val="00D84A27"/>
    <w:rsid w:val="00D85E58"/>
    <w:rsid w:val="00D86EB1"/>
    <w:rsid w:val="00D8747A"/>
    <w:rsid w:val="00D90325"/>
    <w:rsid w:val="00D923B5"/>
    <w:rsid w:val="00D93482"/>
    <w:rsid w:val="00D96BD8"/>
    <w:rsid w:val="00DA2825"/>
    <w:rsid w:val="00DA6332"/>
    <w:rsid w:val="00DA6C9D"/>
    <w:rsid w:val="00DA728C"/>
    <w:rsid w:val="00DB0646"/>
    <w:rsid w:val="00DB22E7"/>
    <w:rsid w:val="00DB2C95"/>
    <w:rsid w:val="00DB7242"/>
    <w:rsid w:val="00DC1E33"/>
    <w:rsid w:val="00DC384B"/>
    <w:rsid w:val="00DC3B9E"/>
    <w:rsid w:val="00DC5B60"/>
    <w:rsid w:val="00DC7720"/>
    <w:rsid w:val="00DD2989"/>
    <w:rsid w:val="00DD2ADC"/>
    <w:rsid w:val="00DD3706"/>
    <w:rsid w:val="00DD4F3A"/>
    <w:rsid w:val="00DD6E37"/>
    <w:rsid w:val="00DE2054"/>
    <w:rsid w:val="00DF0759"/>
    <w:rsid w:val="00DF31A5"/>
    <w:rsid w:val="00DF655F"/>
    <w:rsid w:val="00E02616"/>
    <w:rsid w:val="00E02E86"/>
    <w:rsid w:val="00E0368B"/>
    <w:rsid w:val="00E04670"/>
    <w:rsid w:val="00E04C4F"/>
    <w:rsid w:val="00E05CC8"/>
    <w:rsid w:val="00E07390"/>
    <w:rsid w:val="00E10D18"/>
    <w:rsid w:val="00E10E2E"/>
    <w:rsid w:val="00E115EB"/>
    <w:rsid w:val="00E12151"/>
    <w:rsid w:val="00E14B46"/>
    <w:rsid w:val="00E225EC"/>
    <w:rsid w:val="00E25F46"/>
    <w:rsid w:val="00E3002E"/>
    <w:rsid w:val="00E30DE2"/>
    <w:rsid w:val="00E318FA"/>
    <w:rsid w:val="00E32BC8"/>
    <w:rsid w:val="00E32EF5"/>
    <w:rsid w:val="00E32FA0"/>
    <w:rsid w:val="00E3530B"/>
    <w:rsid w:val="00E36965"/>
    <w:rsid w:val="00E4037F"/>
    <w:rsid w:val="00E43618"/>
    <w:rsid w:val="00E4362C"/>
    <w:rsid w:val="00E4556E"/>
    <w:rsid w:val="00E45C2B"/>
    <w:rsid w:val="00E51176"/>
    <w:rsid w:val="00E5464A"/>
    <w:rsid w:val="00E616FF"/>
    <w:rsid w:val="00E6206B"/>
    <w:rsid w:val="00E62074"/>
    <w:rsid w:val="00E637A4"/>
    <w:rsid w:val="00E63D54"/>
    <w:rsid w:val="00E63FB2"/>
    <w:rsid w:val="00E64406"/>
    <w:rsid w:val="00E667B8"/>
    <w:rsid w:val="00E67D09"/>
    <w:rsid w:val="00E710EA"/>
    <w:rsid w:val="00E73681"/>
    <w:rsid w:val="00E82A6F"/>
    <w:rsid w:val="00E837F4"/>
    <w:rsid w:val="00E85C98"/>
    <w:rsid w:val="00E863CE"/>
    <w:rsid w:val="00E87FFD"/>
    <w:rsid w:val="00E92CE9"/>
    <w:rsid w:val="00E94BBB"/>
    <w:rsid w:val="00EA6103"/>
    <w:rsid w:val="00EB095C"/>
    <w:rsid w:val="00EB16FF"/>
    <w:rsid w:val="00EB25C4"/>
    <w:rsid w:val="00EB2F50"/>
    <w:rsid w:val="00EB3287"/>
    <w:rsid w:val="00EB3E63"/>
    <w:rsid w:val="00EB3F72"/>
    <w:rsid w:val="00EB50D0"/>
    <w:rsid w:val="00EB6F5C"/>
    <w:rsid w:val="00ED0A65"/>
    <w:rsid w:val="00ED507E"/>
    <w:rsid w:val="00ED61A0"/>
    <w:rsid w:val="00EE08DA"/>
    <w:rsid w:val="00EE3F13"/>
    <w:rsid w:val="00EE5479"/>
    <w:rsid w:val="00EE7C77"/>
    <w:rsid w:val="00EF02D9"/>
    <w:rsid w:val="00F0143A"/>
    <w:rsid w:val="00F02E39"/>
    <w:rsid w:val="00F06C24"/>
    <w:rsid w:val="00F075CB"/>
    <w:rsid w:val="00F103EF"/>
    <w:rsid w:val="00F11E83"/>
    <w:rsid w:val="00F13320"/>
    <w:rsid w:val="00F13732"/>
    <w:rsid w:val="00F16E6D"/>
    <w:rsid w:val="00F200C1"/>
    <w:rsid w:val="00F20492"/>
    <w:rsid w:val="00F207C8"/>
    <w:rsid w:val="00F2080D"/>
    <w:rsid w:val="00F23D04"/>
    <w:rsid w:val="00F25734"/>
    <w:rsid w:val="00F25813"/>
    <w:rsid w:val="00F26FCE"/>
    <w:rsid w:val="00F32E42"/>
    <w:rsid w:val="00F344F3"/>
    <w:rsid w:val="00F34DAC"/>
    <w:rsid w:val="00F36299"/>
    <w:rsid w:val="00F436A6"/>
    <w:rsid w:val="00F447FC"/>
    <w:rsid w:val="00F458E4"/>
    <w:rsid w:val="00F467EB"/>
    <w:rsid w:val="00F46BFF"/>
    <w:rsid w:val="00F501B3"/>
    <w:rsid w:val="00F51A86"/>
    <w:rsid w:val="00F52D3A"/>
    <w:rsid w:val="00F531CF"/>
    <w:rsid w:val="00F53CAE"/>
    <w:rsid w:val="00F5485B"/>
    <w:rsid w:val="00F61223"/>
    <w:rsid w:val="00F6165D"/>
    <w:rsid w:val="00F61E26"/>
    <w:rsid w:val="00F6201A"/>
    <w:rsid w:val="00F64884"/>
    <w:rsid w:val="00F675BB"/>
    <w:rsid w:val="00F7333F"/>
    <w:rsid w:val="00F752EF"/>
    <w:rsid w:val="00F75905"/>
    <w:rsid w:val="00F8030C"/>
    <w:rsid w:val="00F8062B"/>
    <w:rsid w:val="00F90583"/>
    <w:rsid w:val="00F90BD2"/>
    <w:rsid w:val="00F94763"/>
    <w:rsid w:val="00F97562"/>
    <w:rsid w:val="00FA0678"/>
    <w:rsid w:val="00FA08BB"/>
    <w:rsid w:val="00FA1989"/>
    <w:rsid w:val="00FA6E8C"/>
    <w:rsid w:val="00FB0E2A"/>
    <w:rsid w:val="00FB1965"/>
    <w:rsid w:val="00FB2FEF"/>
    <w:rsid w:val="00FB31A6"/>
    <w:rsid w:val="00FB387F"/>
    <w:rsid w:val="00FB3C71"/>
    <w:rsid w:val="00FB4E4B"/>
    <w:rsid w:val="00FB704E"/>
    <w:rsid w:val="00FC0038"/>
    <w:rsid w:val="00FC102F"/>
    <w:rsid w:val="00FC30E4"/>
    <w:rsid w:val="00FC36F5"/>
    <w:rsid w:val="00FC5499"/>
    <w:rsid w:val="00FD1075"/>
    <w:rsid w:val="00FD13CA"/>
    <w:rsid w:val="00FD249D"/>
    <w:rsid w:val="00FD2F5C"/>
    <w:rsid w:val="00FD352F"/>
    <w:rsid w:val="00FD4CFD"/>
    <w:rsid w:val="00FD50FF"/>
    <w:rsid w:val="00FD5A02"/>
    <w:rsid w:val="00FE0588"/>
    <w:rsid w:val="00FE0AE9"/>
    <w:rsid w:val="00FE3FC1"/>
    <w:rsid w:val="00FE4791"/>
    <w:rsid w:val="00FE634A"/>
    <w:rsid w:val="00FF1C66"/>
    <w:rsid w:val="00FF25B5"/>
    <w:rsid w:val="00FF5348"/>
    <w:rsid w:val="00FF6428"/>
    <w:rsid w:val="00FF70E4"/>
    <w:rsid w:val="00FF7F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Century Schoolbook" w:hAnsi="Century Schoolbook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D8D"/>
    <w:rPr>
      <w:rFonts w:ascii="Century Schoolbook" w:hAnsi="Century Schoolbook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D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D8D"/>
    <w:rPr>
      <w:rFonts w:ascii="Century Schoolbook" w:hAnsi="Century Schoolbook"/>
      <w:sz w:val="26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560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56030"/>
    <w:rPr>
      <w:rFonts w:ascii="Century Schoolbook" w:hAnsi="Century Schoolbook"/>
    </w:rPr>
  </w:style>
  <w:style w:type="character" w:styleId="FootnoteReference">
    <w:name w:val="footnote reference"/>
    <w:uiPriority w:val="99"/>
    <w:semiHidden/>
    <w:unhideWhenUsed/>
    <w:rsid w:val="00C56030"/>
    <w:rPr>
      <w:vertAlign w:val="superscript"/>
    </w:rPr>
  </w:style>
  <w:style w:type="paragraph" w:styleId="Revision">
    <w:name w:val="Revision"/>
    <w:hidden/>
    <w:uiPriority w:val="99"/>
    <w:semiHidden/>
    <w:rsid w:val="00AC2E8B"/>
    <w:rPr>
      <w:rFonts w:ascii="Century Schoolbook" w:hAnsi="Century Schoolbook"/>
      <w:sz w:val="26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82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825"/>
    <w:rPr>
      <w:rFonts w:ascii="Century Schoolbook" w:hAnsi="Century Schoolbook"/>
    </w:rPr>
  </w:style>
  <w:style w:type="character" w:styleId="EndnoteReference">
    <w:name w:val="endnote reference"/>
    <w:basedOn w:val="DefaultParagraphFont"/>
    <w:uiPriority w:val="99"/>
    <w:semiHidden/>
    <w:unhideWhenUsed/>
    <w:rsid w:val="007C2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2E6-3538-4B1C-B70B-75C8CC9E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2024-06-17T18:33:55Z</dcterms:created>
  <dcterms:modified xsi:type="dcterms:W3CDTF">2024-06-17T18:33:55Z</dcterms:modified>
</cp:coreProperties>
</file>