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3439B6" w:rsidRPr="003439B6" w:rsidP="003439B6" w14:paraId="7417D5CC" w14:textId="0B81138D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Filed 7</w:t>
      </w:r>
      <w:r w:rsidR="00B66B58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1</w:t>
      </w:r>
      <w:r w:rsidR="00B66B58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24</w:t>
      </w:r>
    </w:p>
    <w:p w:rsidR="006B51AE" w:rsidP="006B51AE" w14:paraId="465EF1E6" w14:textId="0D0CD20F">
      <w:pPr>
        <w:spacing w:line="240" w:lineRule="auto"/>
        <w:jc w:val="center"/>
        <w:rPr>
          <w:b/>
        </w:rPr>
      </w:pPr>
      <w:r>
        <w:rPr>
          <w:b/>
        </w:rPr>
        <w:t>CERTIFIED FOR PUBLICATION</w:t>
      </w:r>
    </w:p>
    <w:p w:rsidR="0060106F" w:rsidP="0060106F" w14:paraId="75771B38" w14:textId="77777777">
      <w:pPr>
        <w:spacing w:line="240" w:lineRule="auto"/>
        <w:jc w:val="center"/>
      </w:pPr>
    </w:p>
    <w:p w:rsidR="0060106F" w:rsidP="0060106F" w14:paraId="755C35DE" w14:textId="77777777">
      <w:pPr>
        <w:spacing w:line="240" w:lineRule="auto"/>
        <w:jc w:val="center"/>
      </w:pPr>
      <w:r>
        <w:t>IN THE COURT OF APPEAL OF THE STATE OF CALIFORNIA</w:t>
      </w:r>
    </w:p>
    <w:p w:rsidR="0060106F" w:rsidP="0060106F" w14:paraId="6D8B6FAB" w14:textId="77777777">
      <w:pPr>
        <w:spacing w:line="240" w:lineRule="auto"/>
        <w:jc w:val="center"/>
      </w:pPr>
    </w:p>
    <w:p w:rsidR="0060106F" w:rsidP="0060106F" w14:paraId="1947F43A" w14:textId="77777777">
      <w:pPr>
        <w:spacing w:line="240" w:lineRule="auto"/>
        <w:jc w:val="center"/>
      </w:pPr>
      <w:r>
        <w:t>SECOND APPELLATE DISTRICT</w:t>
      </w:r>
    </w:p>
    <w:p w:rsidR="0060106F" w:rsidP="0060106F" w14:paraId="78710758" w14:textId="77777777">
      <w:pPr>
        <w:spacing w:line="240" w:lineRule="auto"/>
        <w:jc w:val="center"/>
      </w:pPr>
    </w:p>
    <w:p w:rsidR="006C7D8D" w:rsidP="0060106F" w14:paraId="2333B69A" w14:textId="77777777">
      <w:pPr>
        <w:spacing w:line="240" w:lineRule="auto"/>
        <w:jc w:val="center"/>
      </w:pPr>
      <w:r>
        <w:t>DIVISION SIX</w:t>
      </w:r>
    </w:p>
    <w:p w:rsidR="006C7D8D" w:rsidP="006C7D8D" w14:paraId="11F100B3" w14:textId="77777777">
      <w:pPr>
        <w:spacing w:line="240" w:lineRule="auto"/>
        <w:jc w:val="center"/>
      </w:pPr>
    </w:p>
    <w:p w:rsidR="006C7D8D" w:rsidP="006C7D8D" w14:paraId="65B482D4" w14:textId="77777777">
      <w:pPr>
        <w:spacing w:line="240" w:lineRule="auto"/>
        <w:jc w:val="center"/>
      </w:pPr>
    </w:p>
    <w:tbl>
      <w:tblPr>
        <w:tblW w:w="0" w:type="auto"/>
        <w:tblLayout w:type="fixed"/>
        <w:tblLook w:val="0000"/>
      </w:tblPr>
      <w:tblGrid>
        <w:gridCol w:w="4068"/>
        <w:gridCol w:w="4068"/>
      </w:tblGrid>
      <w:tr w14:paraId="14301914" w14:textId="77777777" w:rsidTr="006C7D8D">
        <w:tblPrEx>
          <w:tblW w:w="0" w:type="auto"/>
          <w:tblLayout w:type="fixed"/>
          <w:tblLook w:val="0000"/>
        </w:tblPrEx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8D" w:rsidP="006C7D8D" w14:paraId="590BFADF" w14:textId="76C954F4">
            <w:pPr>
              <w:spacing w:line="240" w:lineRule="auto"/>
            </w:pPr>
            <w:r>
              <w:t>THE PEOPLE,</w:t>
            </w:r>
          </w:p>
          <w:p w:rsidR="006C7D8D" w:rsidP="006C7D8D" w14:paraId="3BA42084" w14:textId="77777777">
            <w:pPr>
              <w:spacing w:line="240" w:lineRule="auto"/>
            </w:pPr>
          </w:p>
          <w:p w:rsidR="006C7D8D" w:rsidP="00F436A6" w14:paraId="22804A30" w14:textId="52DD1D06">
            <w:pPr>
              <w:spacing w:line="240" w:lineRule="auto"/>
              <w:ind w:left="360"/>
            </w:pPr>
            <w:r>
              <w:t xml:space="preserve">Plaintiff and </w:t>
            </w:r>
            <w:r w:rsidR="002605E0">
              <w:t>Respondent</w:t>
            </w:r>
            <w:r>
              <w:t>,</w:t>
            </w:r>
          </w:p>
          <w:p w:rsidR="006C7D8D" w:rsidP="006C7D8D" w14:paraId="2EAACBEF" w14:textId="77777777">
            <w:pPr>
              <w:spacing w:line="240" w:lineRule="auto"/>
            </w:pPr>
          </w:p>
          <w:p w:rsidR="006C7D8D" w:rsidP="006C7D8D" w14:paraId="695E6803" w14:textId="77777777">
            <w:pPr>
              <w:spacing w:line="240" w:lineRule="auto"/>
            </w:pPr>
            <w:r>
              <w:t>v.</w:t>
            </w:r>
          </w:p>
          <w:p w:rsidR="006C7D8D" w:rsidP="006C7D8D" w14:paraId="65C93346" w14:textId="77777777">
            <w:pPr>
              <w:spacing w:line="240" w:lineRule="auto"/>
            </w:pPr>
          </w:p>
          <w:p w:rsidR="006C7D8D" w:rsidP="006C7D8D" w14:paraId="72C0EBC1" w14:textId="0AC90B6C">
            <w:pPr>
              <w:spacing w:line="240" w:lineRule="auto"/>
            </w:pPr>
            <w:r>
              <w:t>RICHARD ANTHONY RODRIGUEZ,</w:t>
            </w:r>
          </w:p>
          <w:p w:rsidR="006C7D8D" w:rsidP="006C7D8D" w14:paraId="6E213775" w14:textId="77777777">
            <w:pPr>
              <w:spacing w:line="240" w:lineRule="auto"/>
            </w:pPr>
          </w:p>
          <w:p w:rsidR="006C7D8D" w:rsidP="00F436A6" w14:paraId="0B597686" w14:textId="734FC66B">
            <w:pPr>
              <w:spacing w:line="240" w:lineRule="auto"/>
              <w:ind w:left="360"/>
            </w:pPr>
            <w:r>
              <w:t xml:space="preserve">Defendant and </w:t>
            </w:r>
            <w:r w:rsidR="002605E0">
              <w:t>Appellant</w:t>
            </w:r>
            <w:r>
              <w:t>.</w:t>
            </w:r>
          </w:p>
          <w:p w:rsidR="006C7D8D" w:rsidP="006C7D8D" w14:paraId="02249F44" w14:textId="77777777">
            <w:pPr>
              <w:spacing w:line="240" w:lineRule="auto"/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</w:tcPr>
          <w:p w:rsidR="006C7D8D" w:rsidP="006C7D8D" w14:paraId="51FEAA1A" w14:textId="4DC987A8">
            <w:pPr>
              <w:spacing w:line="240" w:lineRule="auto"/>
              <w:jc w:val="center"/>
            </w:pPr>
            <w:r>
              <w:t>2d Crim. No. B328179</w:t>
            </w:r>
          </w:p>
          <w:p w:rsidR="006C7D8D" w:rsidP="006C7D8D" w14:paraId="31D07C58" w14:textId="14D09947">
            <w:pPr>
              <w:spacing w:line="240" w:lineRule="auto"/>
              <w:jc w:val="center"/>
            </w:pPr>
            <w:r>
              <w:t xml:space="preserve">(Super. Ct. No. </w:t>
            </w:r>
            <w:r w:rsidR="002605E0">
              <w:t>16F-01984</w:t>
            </w:r>
          </w:p>
          <w:p w:rsidR="006C7D8D" w:rsidP="006C7D8D" w14:paraId="263EFEBB" w14:textId="5C7BC08B">
            <w:pPr>
              <w:spacing w:line="240" w:lineRule="auto"/>
              <w:jc w:val="center"/>
            </w:pPr>
            <w:r>
              <w:t>(San Luis Obispo County)</w:t>
            </w:r>
          </w:p>
          <w:p w:rsidR="006C7D8D" w:rsidP="006C7D8D" w14:paraId="59BF1FB4" w14:textId="77777777">
            <w:pPr>
              <w:spacing w:line="240" w:lineRule="auto"/>
              <w:jc w:val="center"/>
            </w:pPr>
          </w:p>
        </w:tc>
      </w:tr>
    </w:tbl>
    <w:p w:rsidR="006C7D8D" w:rsidP="00ED2B78" w14:paraId="143EE232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</w:pPr>
    </w:p>
    <w:p w:rsidR="00C2180C" w:rsidRPr="000E610D" w:rsidP="004F3D39" w14:paraId="3C286C18" w14:textId="37E250C4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In 2016, Richard Anthony Rodriguez </w:t>
      </w:r>
      <w:r w:rsidR="001E38FA">
        <w:t>pleaded</w:t>
      </w:r>
      <w:r>
        <w:t xml:space="preserve"> guilty to attempted murder (Pen. Code, §§ 664, 187, subd., (a)</w:t>
      </w:r>
      <w:r>
        <w:rPr>
          <w:rStyle w:val="FootnoteReference"/>
        </w:rPr>
        <w:footnoteReference w:id="2"/>
      </w:r>
      <w:r>
        <w:t>) and admitted a prior strike for assault with a deadly weapon with great bodily injury</w:t>
      </w:r>
      <w:r w:rsidR="00ED2B78">
        <w:t xml:space="preserve"> </w:t>
      </w:r>
      <w:r>
        <w:t>(§ 245, subd. (a)(1))</w:t>
      </w:r>
      <w:r w:rsidR="00ED2B78">
        <w:t>.</w:t>
      </w:r>
      <w:r>
        <w:t xml:space="preserve">  </w:t>
      </w:r>
      <w:r w:rsidR="00E071C2">
        <w:t>In 2021, h</w:t>
      </w:r>
      <w:r w:rsidR="006969E3">
        <w:t>e</w:t>
      </w:r>
      <w:r w:rsidR="006A4AEC">
        <w:t xml:space="preserve"> petition</w:t>
      </w:r>
      <w:r w:rsidR="006969E3">
        <w:t>ed</w:t>
      </w:r>
      <w:r w:rsidR="006A4AEC">
        <w:t xml:space="preserve"> for resentencing </w:t>
      </w:r>
      <w:r w:rsidR="006969E3">
        <w:t xml:space="preserve">(§ </w:t>
      </w:r>
      <w:r w:rsidR="006A4AEC">
        <w:t>1172.6</w:t>
      </w:r>
      <w:r>
        <w:rPr>
          <w:rStyle w:val="FootnoteReference"/>
        </w:rPr>
        <w:footnoteReference w:id="3"/>
      </w:r>
      <w:r w:rsidR="006969E3">
        <w:t>)</w:t>
      </w:r>
      <w:r w:rsidR="00E071C2">
        <w:t>.</w:t>
      </w:r>
      <w:r w:rsidR="006A4AEC">
        <w:t xml:space="preserve"> </w:t>
      </w:r>
      <w:r w:rsidR="00ED2B78">
        <w:t xml:space="preserve"> </w:t>
      </w:r>
      <w:r w:rsidR="000E610D">
        <w:t>His petition was denied after an evidentiary hearing</w:t>
      </w:r>
      <w:r w:rsidR="00F15954">
        <w:t>.</w:t>
      </w:r>
      <w:r w:rsidR="009667BF">
        <w:t xml:space="preserve"> </w:t>
      </w:r>
      <w:r w:rsidR="00ED2B78">
        <w:t xml:space="preserve"> </w:t>
      </w:r>
    </w:p>
    <w:p w:rsidR="009B2751" w:rsidP="004F3D39" w14:paraId="1F2083B0" w14:textId="58ACFD32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Appellant </w:t>
      </w:r>
      <w:r w:rsidR="00E071C2">
        <w:t>conten</w:t>
      </w:r>
      <w:r w:rsidR="00DF4700">
        <w:t>d</w:t>
      </w:r>
      <w:r w:rsidR="00E071C2">
        <w:t>s</w:t>
      </w:r>
      <w:r w:rsidR="00A16A49">
        <w:t xml:space="preserve"> the </w:t>
      </w:r>
      <w:r w:rsidR="00E071C2">
        <w:t xml:space="preserve">trial </w:t>
      </w:r>
      <w:r w:rsidR="00A16A49">
        <w:t>court</w:t>
      </w:r>
      <w:r>
        <w:t>:</w:t>
      </w:r>
      <w:r w:rsidR="00465BD5">
        <w:t xml:space="preserve"> </w:t>
      </w:r>
      <w:r>
        <w:t xml:space="preserve"> (1) failed to act as an independent fact finder, (2) applied the wrong burden of proof, and (3) </w:t>
      </w:r>
      <w:r w:rsidR="00E145C0">
        <w:t>these</w:t>
      </w:r>
      <w:r>
        <w:t xml:space="preserve"> prejudicial error</w:t>
      </w:r>
      <w:r w:rsidR="00E145C0">
        <w:t>s</w:t>
      </w:r>
      <w:r>
        <w:t xml:space="preserve"> violated his federal constitutional due process rights.</w:t>
      </w:r>
      <w:r w:rsidR="009667BF">
        <w:t xml:space="preserve"> </w:t>
      </w:r>
      <w:r w:rsidR="00465BD5">
        <w:t xml:space="preserve"> </w:t>
      </w:r>
      <w:r w:rsidR="00297044">
        <w:t xml:space="preserve">He </w:t>
      </w:r>
      <w:r w:rsidR="00232876">
        <w:t xml:space="preserve">asserts </w:t>
      </w:r>
      <w:r w:rsidR="00913240">
        <w:t xml:space="preserve">if the </w:t>
      </w:r>
      <w:r w:rsidR="00BE6E2E">
        <w:t xml:space="preserve">trial </w:t>
      </w:r>
      <w:r w:rsidR="00913240">
        <w:t xml:space="preserve">court had properly weighed the evidence and held the prosecution to the correct standard of proof there is a reasonable probability </w:t>
      </w:r>
      <w:r w:rsidR="00061444">
        <w:t>he would be found not guilty of attempted murder because he</w:t>
      </w:r>
      <w:r w:rsidR="00913240">
        <w:t xml:space="preserve"> </w:t>
      </w:r>
      <w:r w:rsidR="00061444">
        <w:t>lacked specific intent to kill</w:t>
      </w:r>
      <w:r w:rsidR="001D1171">
        <w:t xml:space="preserve">.  </w:t>
      </w:r>
      <w:r w:rsidR="004E58FC">
        <w:t xml:space="preserve">We disagree. </w:t>
      </w:r>
      <w:r w:rsidR="00F15954">
        <w:t xml:space="preserve"> </w:t>
      </w:r>
    </w:p>
    <w:p w:rsidR="006C7D8D" w:rsidP="00266AFC" w14:paraId="4B78480B" w14:textId="2C7F4200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Appellant’s guilty plea admitted every element of attempted murder.  </w:t>
      </w:r>
      <w:r w:rsidR="00BB72CA">
        <w:t>“</w:t>
      </w:r>
      <w:r w:rsidR="00266AFC">
        <w:t>Indeed, it serves as a stipulation that the People need introduce no proof whatever to support the accusation.</w:t>
      </w:r>
      <w:r w:rsidR="00BB72CA">
        <w:t>”</w:t>
      </w:r>
      <w:r w:rsidR="00266AFC">
        <w:t xml:space="preserve"> </w:t>
      </w:r>
      <w:r w:rsidR="00BB72CA">
        <w:t xml:space="preserve"> </w:t>
      </w:r>
      <w:r w:rsidR="00266AFC">
        <w:t>(</w:t>
      </w:r>
      <w:r w:rsidRPr="00D81839" w:rsidR="00266AFC">
        <w:rPr>
          <w:i/>
          <w:iCs/>
        </w:rPr>
        <w:t>People v. Chadd</w:t>
      </w:r>
      <w:r w:rsidR="00266AFC">
        <w:t xml:space="preserve"> (1981) 28 Cal.3d 739, 748.) </w:t>
      </w:r>
      <w:r>
        <w:t>Evidence contradicting his admission was</w:t>
      </w:r>
      <w:r w:rsidR="00266AFC">
        <w:t xml:space="preserve">, </w:t>
      </w:r>
      <w:r w:rsidR="00BB72CA">
        <w:t>therefore, irrelevant</w:t>
      </w:r>
      <w:r>
        <w:t xml:space="preserve">.  </w:t>
      </w:r>
      <w:r w:rsidR="0030656B">
        <w:t xml:space="preserve">The only issue </w:t>
      </w:r>
      <w:r w:rsidR="00BF218F">
        <w:t xml:space="preserve">that remained to be determined </w:t>
      </w:r>
      <w:r w:rsidR="0030656B">
        <w:t xml:space="preserve">at the evidentiary hearing was whether </w:t>
      </w:r>
      <w:r w:rsidR="009B2751">
        <w:t>intent was imputed to him because</w:t>
      </w:r>
      <w:r w:rsidR="00FB48BC">
        <w:t xml:space="preserve"> he</w:t>
      </w:r>
      <w:r w:rsidR="009B2751">
        <w:t xml:space="preserve"> </w:t>
      </w:r>
      <w:r w:rsidR="00FB48BC">
        <w:t xml:space="preserve">aided and abetted </w:t>
      </w:r>
      <w:r w:rsidR="004B43ED">
        <w:t>an accomplice</w:t>
      </w:r>
      <w:r w:rsidR="00FB48BC">
        <w:t xml:space="preserve"> in the perpetration of</w:t>
      </w:r>
      <w:r w:rsidR="009B2751">
        <w:t xml:space="preserve"> a different crime, or</w:t>
      </w:r>
      <w:r w:rsidR="0030656B">
        <w:t xml:space="preserve"> whether</w:t>
      </w:r>
      <w:r w:rsidR="009B2751">
        <w:t xml:space="preserve"> </w:t>
      </w:r>
      <w:r>
        <w:t xml:space="preserve">he was </w:t>
      </w:r>
      <w:r w:rsidR="004B43ED">
        <w:t xml:space="preserve">the </w:t>
      </w:r>
      <w:r>
        <w:t>sole perpetrator whose intent was personal</w:t>
      </w:r>
      <w:r w:rsidR="004B43ED">
        <w:t xml:space="preserve"> to him</w:t>
      </w:r>
      <w:r>
        <w:t xml:space="preserve">. </w:t>
      </w:r>
      <w:r w:rsidR="009B2751">
        <w:t xml:space="preserve"> </w:t>
      </w:r>
      <w:r>
        <w:t xml:space="preserve">Once it was shown appellant was </w:t>
      </w:r>
      <w:r w:rsidR="004E58FC">
        <w:t xml:space="preserve">the undisputed </w:t>
      </w:r>
      <w:r w:rsidR="009667BF">
        <w:t>sole perpetrator</w:t>
      </w:r>
      <w:r w:rsidR="00E071C2">
        <w:t>,</w:t>
      </w:r>
      <w:r w:rsidR="009B2751">
        <w:t xml:space="preserve"> the trial court correctly found his intent to kill was personal </w:t>
      </w:r>
      <w:r w:rsidR="0030656B">
        <w:t>(</w:t>
      </w:r>
      <w:r w:rsidR="0030656B">
        <w:rPr>
          <w:i/>
          <w:iCs/>
        </w:rPr>
        <w:t xml:space="preserve">People v. </w:t>
      </w:r>
      <w:r w:rsidRPr="009076A0" w:rsidR="0030656B">
        <w:rPr>
          <w:i/>
          <w:iCs/>
        </w:rPr>
        <w:t>Hurtado</w:t>
      </w:r>
      <w:r w:rsidR="0030656B">
        <w:t xml:space="preserve"> (2023) 89 Cal.App.5</w:t>
      </w:r>
      <w:r w:rsidRPr="009076A0" w:rsidR="0030656B">
        <w:t>th</w:t>
      </w:r>
      <w:r w:rsidR="0030656B">
        <w:t xml:space="preserve"> 887 (</w:t>
      </w:r>
      <w:r w:rsidRPr="00465BD5" w:rsidR="0030656B">
        <w:rPr>
          <w:i/>
          <w:iCs/>
        </w:rPr>
        <w:t>Hurtado</w:t>
      </w:r>
      <w:r w:rsidR="0030656B">
        <w:t>))</w:t>
      </w:r>
      <w:r w:rsidR="004B43ED">
        <w:t xml:space="preserve"> and denied relief.</w:t>
      </w:r>
      <w:r w:rsidR="0030656B">
        <w:t xml:space="preserve">  </w:t>
      </w:r>
      <w:r w:rsidR="00913240">
        <w:t>W</w:t>
      </w:r>
      <w:r w:rsidR="004C7864">
        <w:t>e will affirm.</w:t>
      </w:r>
    </w:p>
    <w:p w:rsidR="0000191B" w:rsidRPr="00C50E21" w:rsidP="00C50E21" w14:paraId="7B1DA044" w14:textId="3A4F7FA4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</w:pPr>
      <w:r>
        <w:t>FACTUAL AND PROCEDURAL BACKGROUND</w:t>
      </w:r>
    </w:p>
    <w:p w:rsidR="001C13E6" w:rsidRPr="002C3017" w:rsidP="00877181" w14:paraId="40E72CE4" w14:textId="700CB5BC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About a month after </w:t>
      </w:r>
      <w:r w:rsidR="00EF1220">
        <w:t>breaking up</w:t>
      </w:r>
      <w:r>
        <w:t xml:space="preserve"> with his girlfriend, appellant </w:t>
      </w:r>
      <w:r w:rsidR="00F26AB5">
        <w:t>saw her</w:t>
      </w:r>
      <w:r w:rsidR="00CA2D24">
        <w:t xml:space="preserve"> in the passenger seat of</w:t>
      </w:r>
      <w:r w:rsidR="00FB520C">
        <w:t xml:space="preserve"> </w:t>
      </w:r>
      <w:r w:rsidR="00CA2D24">
        <w:t xml:space="preserve">a </w:t>
      </w:r>
      <w:r w:rsidR="006969E3">
        <w:t xml:space="preserve">car </w:t>
      </w:r>
      <w:r w:rsidR="008F708E">
        <w:t>stopped at a red light</w:t>
      </w:r>
      <w:r w:rsidR="00F26AB5">
        <w:t xml:space="preserve">. </w:t>
      </w:r>
      <w:r w:rsidR="00ED2B78">
        <w:t xml:space="preserve"> </w:t>
      </w:r>
      <w:r w:rsidR="00D76D7B">
        <w:t>He</w:t>
      </w:r>
      <w:r w:rsidR="00F26AB5">
        <w:t xml:space="preserve"> pulled alongside </w:t>
      </w:r>
      <w:r w:rsidR="00AB1988">
        <w:t>the car</w:t>
      </w:r>
      <w:r w:rsidR="00F26AB5">
        <w:t xml:space="preserve">, </w:t>
      </w:r>
      <w:r w:rsidR="003B0E6C">
        <w:t xml:space="preserve">leaned over, pointed a gun towards </w:t>
      </w:r>
      <w:r w:rsidR="00CA2D24">
        <w:t>the car’s</w:t>
      </w:r>
      <w:r w:rsidR="003B0E6C">
        <w:t xml:space="preserve"> driver</w:t>
      </w:r>
      <w:r w:rsidR="00E61409">
        <w:t>’</w:t>
      </w:r>
      <w:r w:rsidR="003B0E6C">
        <w:t>s side window</w:t>
      </w:r>
      <w:r w:rsidR="00F26AB5">
        <w:t xml:space="preserve">, and fired one shot. </w:t>
      </w:r>
      <w:r w:rsidR="00ED2B78">
        <w:t xml:space="preserve"> </w:t>
      </w:r>
      <w:r w:rsidR="00F26AB5">
        <w:t>He immediately drove away.</w:t>
      </w:r>
      <w:r w:rsidR="002C3017">
        <w:t xml:space="preserve"> </w:t>
      </w:r>
      <w:r w:rsidR="00ED2B78">
        <w:t xml:space="preserve"> </w:t>
      </w:r>
      <w:r w:rsidR="00772BE1">
        <w:t xml:space="preserve">There was no damage to either car and </w:t>
      </w:r>
      <w:r w:rsidR="00CA2D24">
        <w:t>no one was</w:t>
      </w:r>
      <w:r w:rsidR="006969E3">
        <w:t xml:space="preserve"> injured</w:t>
      </w:r>
      <w:r w:rsidR="002C3017">
        <w:t xml:space="preserve">. </w:t>
      </w:r>
      <w:r w:rsidR="00ED2B78">
        <w:t xml:space="preserve"> </w:t>
      </w:r>
    </w:p>
    <w:p w:rsidR="002C3017" w:rsidRPr="002C3017" w:rsidP="002C3017" w14:paraId="3D74333E" w14:textId="2913B352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Appellant was charged with four counts:  (1) attempted murder </w:t>
      </w:r>
      <w:r w:rsidR="00520A1B">
        <w:t xml:space="preserve">of two individuals with malice aforethought </w:t>
      </w:r>
      <w:r>
        <w:t>(§§ 664/187</w:t>
      </w:r>
      <w:r w:rsidR="00465BD5">
        <w:t xml:space="preserve">, subd. </w:t>
      </w:r>
      <w:r>
        <w:t>(a)), (2) stalking (§ 646.9, subd. (a)), (3) assault with a firearm (§ 245, subd. (a)(2)), and (4) felony criminal threats (§</w:t>
      </w:r>
      <w:r w:rsidR="00FB6800">
        <w:t> </w:t>
      </w:r>
      <w:r>
        <w:t xml:space="preserve">422, subd. (a)).  As to count 1, </w:t>
      </w:r>
      <w:r w:rsidR="006969E3">
        <w:t>the complaint</w:t>
      </w:r>
      <w:r>
        <w:t xml:space="preserve"> alleged a principal personally used (§ 12022.53, subds. (b), (e)(1)) and discharged (</w:t>
      </w:r>
      <w:r w:rsidRPr="00465BD5" w:rsidR="00E61409">
        <w:rPr>
          <w:i/>
          <w:iCs/>
        </w:rPr>
        <w:t>id</w:t>
      </w:r>
      <w:r w:rsidR="00E61409">
        <w:t>.</w:t>
      </w:r>
      <w:r>
        <w:t>, subds. (c), (e)(1)) a firearm</w:t>
      </w:r>
      <w:r w:rsidR="006969E3">
        <w:t>.</w:t>
      </w:r>
      <w:r>
        <w:t xml:space="preserve"> </w:t>
      </w:r>
      <w:r w:rsidR="006969E3">
        <w:t xml:space="preserve"> A</w:t>
      </w:r>
      <w:r>
        <w:t xml:space="preserve">s to count 2, it alleged appellant personally used a firearm (§§ 1203.06, subd. (a)(1); 12022.5, subd. (a)).  The complaint further </w:t>
      </w:r>
      <w:r w:rsidR="0029638F">
        <w:t>alleged</w:t>
      </w:r>
      <w:r>
        <w:t xml:space="preserve"> </w:t>
      </w:r>
      <w:r w:rsidR="006969E3">
        <w:t>he</w:t>
      </w:r>
      <w:r>
        <w:t xml:space="preserve"> </w:t>
      </w:r>
      <w:r w:rsidR="0029638F">
        <w:t>had</w:t>
      </w:r>
      <w:r>
        <w:t xml:space="preserve"> suffered a prior serious </w:t>
      </w:r>
      <w:r w:rsidR="0029638F">
        <w:t>or</w:t>
      </w:r>
      <w:r>
        <w:t xml:space="preserve"> violent felony </w:t>
      </w:r>
      <w:r w:rsidR="0029638F">
        <w:t>conviction (§§ 667, subds. (a), (d), (e), 667.5, subd. (b), 1170.12, subds. (b), (c))</w:t>
      </w:r>
      <w:r>
        <w:t xml:space="preserve">. </w:t>
      </w:r>
      <w:r w:rsidR="00ED2B78">
        <w:t xml:space="preserve"> </w:t>
      </w:r>
    </w:p>
    <w:p w:rsidR="00F26AB5" w:rsidP="0029638F" w14:paraId="34681904" w14:textId="274C3428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>A</w:t>
      </w:r>
      <w:r w:rsidR="0029638F">
        <w:t>ppellant waived a preliminary hearing</w:t>
      </w:r>
      <w:r w:rsidR="00F238CC">
        <w:t xml:space="preserve"> and accepted a plea deal.  He pleaded</w:t>
      </w:r>
      <w:r w:rsidR="0029638F">
        <w:t xml:space="preserve"> guilty to </w:t>
      </w:r>
      <w:r w:rsidR="004E58FC">
        <w:t xml:space="preserve">attempted </w:t>
      </w:r>
      <w:r w:rsidR="00F238CC">
        <w:t>second</w:t>
      </w:r>
      <w:r w:rsidR="00FB520C">
        <w:t xml:space="preserve"> </w:t>
      </w:r>
      <w:r w:rsidR="00F238CC">
        <w:t xml:space="preserve">degree </w:t>
      </w:r>
      <w:r w:rsidR="004E58FC">
        <w:t>murder (</w:t>
      </w:r>
      <w:r w:rsidR="0029638F">
        <w:t>count one</w:t>
      </w:r>
      <w:r w:rsidR="00823BCD">
        <w:t xml:space="preserve">) and </w:t>
      </w:r>
      <w:r w:rsidR="0029638F">
        <w:t>admitted the strike prior</w:t>
      </w:r>
      <w:r w:rsidR="00823BCD">
        <w:t xml:space="preserve">. </w:t>
      </w:r>
      <w:r w:rsidR="00FB520C">
        <w:t xml:space="preserve"> </w:t>
      </w:r>
      <w:r>
        <w:t>The trial court</w:t>
      </w:r>
      <w:r w:rsidR="0029638F">
        <w:t xml:space="preserve"> sentenced </w:t>
      </w:r>
      <w:r>
        <w:t xml:space="preserve">him </w:t>
      </w:r>
      <w:r w:rsidR="0029638F">
        <w:t>to the middle term of seven years doubled for the strike prior, for a total of 14 years.</w:t>
      </w:r>
      <w:r>
        <w:rPr>
          <w:rStyle w:val="FootnoteReference"/>
        </w:rPr>
        <w:footnoteReference w:id="4"/>
      </w:r>
      <w:r w:rsidR="0029638F">
        <w:t xml:space="preserve"> </w:t>
      </w:r>
      <w:r w:rsidR="00ED2B78">
        <w:t xml:space="preserve"> </w:t>
      </w:r>
    </w:p>
    <w:p w:rsidR="0059613E" w:rsidP="00116B08" w14:paraId="41A37D76" w14:textId="53F75975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7200"/>
        </w:tabs>
      </w:pPr>
      <w:r>
        <w:tab/>
      </w:r>
      <w:r w:rsidR="006969E3">
        <w:t>A</w:t>
      </w:r>
      <w:r w:rsidR="00E071C2">
        <w:t>fter a</w:t>
      </w:r>
      <w:r w:rsidR="0029638F">
        <w:t xml:space="preserve">ppellant petitioned for resentencing </w:t>
      </w:r>
      <w:r w:rsidR="007F2DDD">
        <w:t>under section 1172.6</w:t>
      </w:r>
      <w:r w:rsidR="00E071C2">
        <w:t>,</w:t>
      </w:r>
      <w:r w:rsidR="0029638F">
        <w:t xml:space="preserve"> </w:t>
      </w:r>
      <w:r w:rsidR="00E071C2">
        <w:t xml:space="preserve">the trial </w:t>
      </w:r>
      <w:r w:rsidR="004B2A63">
        <w:t>court appointed counsel</w:t>
      </w:r>
      <w:r w:rsidR="002A4BD5">
        <w:t>.</w:t>
      </w:r>
      <w:r w:rsidR="004B2A63">
        <w:t xml:space="preserve"> </w:t>
      </w:r>
      <w:r w:rsidR="000802E6">
        <w:t xml:space="preserve"> </w:t>
      </w:r>
      <w:r w:rsidR="002A4BD5">
        <w:t>The prosecution conceded appellant</w:t>
      </w:r>
      <w:r w:rsidR="00E61409">
        <w:t>’</w:t>
      </w:r>
      <w:r w:rsidR="002A4BD5">
        <w:t xml:space="preserve">s petition set forth a prima facie case </w:t>
      </w:r>
      <w:r w:rsidR="003B0E6C">
        <w:t xml:space="preserve">because the plea occurred early in the proceedings </w:t>
      </w:r>
      <w:r w:rsidR="00261C69">
        <w:t>and</w:t>
      </w:r>
      <w:r w:rsidR="003B0E6C">
        <w:t xml:space="preserve"> the record of conviction was limited. </w:t>
      </w:r>
      <w:r w:rsidR="00ED2B78">
        <w:t xml:space="preserve"> </w:t>
      </w:r>
      <w:r w:rsidR="006969E3">
        <w:t>The</w:t>
      </w:r>
      <w:r w:rsidR="00E071C2">
        <w:t xml:space="preserve"> trial</w:t>
      </w:r>
      <w:r w:rsidR="006969E3">
        <w:t xml:space="preserve"> court </w:t>
      </w:r>
      <w:r w:rsidR="00E071C2">
        <w:t xml:space="preserve">conducted </w:t>
      </w:r>
      <w:r w:rsidR="00261C69">
        <w:t xml:space="preserve">an </w:t>
      </w:r>
      <w:r w:rsidR="004B2A63">
        <w:t>evidentiary hearing</w:t>
      </w:r>
      <w:r w:rsidR="00E071C2">
        <w:t xml:space="preserve">. </w:t>
      </w:r>
      <w:r w:rsidR="00ED2B78">
        <w:t xml:space="preserve"> </w:t>
      </w:r>
      <w:r w:rsidR="00A7670E">
        <w:t>E</w:t>
      </w:r>
      <w:r w:rsidR="00BF7A69">
        <w:t>ight witnesses</w:t>
      </w:r>
      <w:r w:rsidRPr="00DC1D65" w:rsidR="00DC1D65">
        <w:t xml:space="preserve"> </w:t>
      </w:r>
      <w:r w:rsidR="00DC1D65">
        <w:t>testified</w:t>
      </w:r>
      <w:r w:rsidR="00BF7A69">
        <w:t>, including appellant</w:t>
      </w:r>
      <w:r w:rsidR="00087946">
        <w:t xml:space="preserve"> who testified </w:t>
      </w:r>
      <w:r w:rsidR="00FB48BC">
        <w:t xml:space="preserve">he was alone when </w:t>
      </w:r>
      <w:r w:rsidR="00087946">
        <w:t xml:space="preserve">he fired a gun </w:t>
      </w:r>
      <w:r w:rsidR="00824CA9">
        <w:t xml:space="preserve">into the air over the roof of </w:t>
      </w:r>
      <w:r w:rsidR="00BE6E2E">
        <w:t xml:space="preserve">the </w:t>
      </w:r>
      <w:r w:rsidR="00824CA9">
        <w:t xml:space="preserve">car </w:t>
      </w:r>
      <w:r w:rsidR="00087946">
        <w:t>but did not aim at anyone</w:t>
      </w:r>
      <w:r w:rsidR="00BF7A69">
        <w:t xml:space="preserve">. </w:t>
      </w:r>
    </w:p>
    <w:p w:rsidR="00347F07" w:rsidP="00116B08" w14:paraId="502582AC" w14:textId="37E55EE0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7200"/>
        </w:tabs>
      </w:pPr>
      <w:r>
        <w:tab/>
      </w:r>
      <w:r w:rsidR="00F15954">
        <w:t>The</w:t>
      </w:r>
      <w:r w:rsidR="00E071C2">
        <w:t xml:space="preserve"> trial</w:t>
      </w:r>
      <w:r w:rsidR="00F15954">
        <w:t xml:space="preserve"> court received</w:t>
      </w:r>
      <w:r w:rsidR="00087946">
        <w:t xml:space="preserve"> </w:t>
      </w:r>
      <w:r w:rsidR="00823BCD">
        <w:t xml:space="preserve">post-hearing </w:t>
      </w:r>
      <w:r w:rsidR="00087946">
        <w:t xml:space="preserve">briefing </w:t>
      </w:r>
      <w:r w:rsidR="00147B80">
        <w:t>and</w:t>
      </w:r>
      <w:r w:rsidR="00F15954">
        <w:t xml:space="preserve"> heard additional</w:t>
      </w:r>
      <w:r w:rsidR="00147B80">
        <w:t xml:space="preserve"> argument</w:t>
      </w:r>
      <w:r w:rsidR="00F15954">
        <w:t>s</w:t>
      </w:r>
      <w:r w:rsidR="00F238CC">
        <w:t xml:space="preserve">, including </w:t>
      </w:r>
      <w:r>
        <w:t xml:space="preserve">defense counsel’s </w:t>
      </w:r>
      <w:r w:rsidR="00147B80">
        <w:t xml:space="preserve">contention </w:t>
      </w:r>
      <w:r w:rsidR="00823BCD">
        <w:t xml:space="preserve">that </w:t>
      </w:r>
      <w:r w:rsidR="0092616A">
        <w:t>a section</w:t>
      </w:r>
      <w:r w:rsidRPr="00147B80" w:rsidR="0092616A">
        <w:t xml:space="preserve"> </w:t>
      </w:r>
      <w:r w:rsidRPr="00147B80" w:rsidR="00147B80">
        <w:t>1172.6 evidentiary hearing is “basically a trial de novo where the People have to prove intent to kill</w:t>
      </w:r>
      <w:r w:rsidR="007F2DDD">
        <w:t>.</w:t>
      </w:r>
      <w:r w:rsidR="001670F1">
        <w:t xml:space="preserve">” </w:t>
      </w:r>
    </w:p>
    <w:p w:rsidR="00656617" w:rsidP="00116B08" w14:paraId="569B0BF2" w14:textId="66E81EDC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7200"/>
        </w:tabs>
      </w:pPr>
      <w:r>
        <w:tab/>
      </w:r>
      <w:r w:rsidR="00E071C2">
        <w:t>T</w:t>
      </w:r>
      <w:r w:rsidRPr="00147B80" w:rsidR="00147B80">
        <w:t xml:space="preserve">he </w:t>
      </w:r>
      <w:r w:rsidR="00E071C2">
        <w:t xml:space="preserve">trial </w:t>
      </w:r>
      <w:r w:rsidRPr="00147B80" w:rsidR="00147B80">
        <w:t xml:space="preserve">court </w:t>
      </w:r>
      <w:r w:rsidR="00824CA9">
        <w:t xml:space="preserve">denied </w:t>
      </w:r>
      <w:r w:rsidRPr="00147B80" w:rsidR="00147B80">
        <w:t>the petition</w:t>
      </w:r>
      <w:r w:rsidR="00824CA9">
        <w:t xml:space="preserve">. </w:t>
      </w:r>
      <w:r w:rsidR="001670F1">
        <w:t xml:space="preserve"> </w:t>
      </w:r>
      <w:r w:rsidR="00824CA9">
        <w:t>It explained</w:t>
      </w:r>
      <w:r w:rsidR="001670F1">
        <w:t>,</w:t>
      </w:r>
      <w:r w:rsidR="00824CA9">
        <w:t xml:space="preserve"> </w:t>
      </w:r>
      <w:r w:rsidRPr="00824CA9" w:rsidR="00824CA9">
        <w:t xml:space="preserve">“I just don’t think that I can retry what [appellant] want[s] me to retry, which is what [appellant] actually did that day. </w:t>
      </w:r>
      <w:r w:rsidR="001670F1">
        <w:t xml:space="preserve"> </w:t>
      </w:r>
      <w:r w:rsidRPr="00824CA9" w:rsidR="00824CA9">
        <w:t xml:space="preserve">I think the question is whether [appellant] could have been convicted, natural and probable consequences; that was not what this case was about.  It never was.” </w:t>
      </w:r>
      <w:r w:rsidR="00ED2B78">
        <w:t xml:space="preserve"> </w:t>
      </w:r>
      <w:r w:rsidR="00824CA9">
        <w:t xml:space="preserve">It found appellant was “the sole perpetrator of the events that led to his conviction, which was by his plea to a plea bargain, </w:t>
      </w:r>
      <w:r w:rsidR="00BB796E">
        <w:t xml:space="preserve">[and] </w:t>
      </w:r>
      <w:r w:rsidR="00824CA9">
        <w:t xml:space="preserve">that precludes </w:t>
      </w:r>
      <w:r w:rsidR="00BB796E">
        <w:t xml:space="preserve">[the trial court] </w:t>
      </w:r>
      <w:r w:rsidR="00824CA9">
        <w:t>from making findings regarding what he actually did that day in terms of [firing the gun</w:t>
      </w:r>
      <w:r w:rsidR="001670F1">
        <w:t>]</w:t>
      </w:r>
      <w:r w:rsidR="00824CA9">
        <w:t xml:space="preserve"> over the [vehicle] roof or not.” </w:t>
      </w:r>
      <w:r w:rsidR="00ED2B78">
        <w:t xml:space="preserve"> </w:t>
      </w:r>
    </w:p>
    <w:p w:rsidR="0000191B" w:rsidP="001C0563" w14:paraId="7FB20C5A" w14:textId="430558A8">
      <w:pPr>
        <w:keepNext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</w:pPr>
      <w:r>
        <w:t>DISCUSSION</w:t>
      </w:r>
    </w:p>
    <w:p w:rsidR="000D5A0E" w:rsidP="00C34C74" w14:paraId="70AF9B12" w14:textId="07A1789A">
      <w:pPr>
        <w:ind w:firstLine="720"/>
      </w:pPr>
      <w:r>
        <w:t xml:space="preserve">Appellant </w:t>
      </w:r>
      <w:r w:rsidR="00E27D31">
        <w:t xml:space="preserve">contends “because </w:t>
      </w:r>
      <w:r w:rsidR="00823BCD">
        <w:t xml:space="preserve">[he] </w:t>
      </w:r>
      <w:r w:rsidR="00E27D31">
        <w:t xml:space="preserve">made no admissions at the time of his plea other than pleading guilty, the prosecution needed to prove </w:t>
      </w:r>
      <w:r w:rsidR="00823BCD">
        <w:t xml:space="preserve">[he] </w:t>
      </w:r>
      <w:r w:rsidR="00E27D31">
        <w:t>personally harbored malice, which it did not do</w:t>
      </w:r>
      <w:r w:rsidR="00823BCD">
        <w:t xml:space="preserve">.” </w:t>
      </w:r>
      <w:r w:rsidR="00E27D31">
        <w:t xml:space="preserve"> </w:t>
      </w:r>
      <w:r w:rsidR="00823BCD">
        <w:t>He asserts</w:t>
      </w:r>
      <w:r w:rsidR="00E27D31">
        <w:t xml:space="preserve"> </w:t>
      </w:r>
      <w:r w:rsidR="00FC75BB">
        <w:t xml:space="preserve">the denial of his petition must be reversed because </w:t>
      </w:r>
      <w:r w:rsidR="00E27D31">
        <w:t>the trial court</w:t>
      </w:r>
      <w:r w:rsidR="00FC75BB">
        <w:t xml:space="preserve"> failed</w:t>
      </w:r>
      <w:r w:rsidR="00E27D31">
        <w:t xml:space="preserve"> </w:t>
      </w:r>
      <w:r w:rsidR="00BD0F22">
        <w:t xml:space="preserve">to </w:t>
      </w:r>
      <w:r w:rsidR="00C16334">
        <w:t xml:space="preserve">retry the facts of the case to </w:t>
      </w:r>
      <w:r w:rsidRPr="00BD0F22" w:rsidR="00BD0F22">
        <w:t xml:space="preserve">determine whether the prosecution proved </w:t>
      </w:r>
      <w:r w:rsidR="00C16334">
        <w:t xml:space="preserve">every element of attempted murder </w:t>
      </w:r>
      <w:r w:rsidRPr="00BD0F22" w:rsidR="00BD0F22">
        <w:t>beyond a reasonable doubt</w:t>
      </w:r>
      <w:r w:rsidR="00BD0F22">
        <w:t>.</w:t>
      </w:r>
      <w:r w:rsidRPr="00BD0F22" w:rsidR="00BD0F22">
        <w:t xml:space="preserve"> </w:t>
      </w:r>
      <w:r w:rsidR="00AB24CA">
        <w:t xml:space="preserve"> </w:t>
      </w:r>
      <w:r w:rsidR="00BB796E">
        <w:t xml:space="preserve">The </w:t>
      </w:r>
      <w:r w:rsidR="009076A0">
        <w:t xml:space="preserve">Attorney General </w:t>
      </w:r>
      <w:r w:rsidR="00BB796E">
        <w:t xml:space="preserve">contends </w:t>
      </w:r>
      <w:r w:rsidR="001023D3">
        <w:t xml:space="preserve">the judgment should be affirmed because </w:t>
      </w:r>
      <w:r w:rsidR="001D1171">
        <w:t xml:space="preserve">appellant admitted he was the sole perpetrator and </w:t>
      </w:r>
      <w:r w:rsidR="00942FF8">
        <w:t xml:space="preserve">any misstatement by the </w:t>
      </w:r>
      <w:r w:rsidR="00BB796E">
        <w:t xml:space="preserve">trial </w:t>
      </w:r>
      <w:r w:rsidR="00942FF8">
        <w:t>court in describing its ruling was necessarily harmless</w:t>
      </w:r>
      <w:r w:rsidR="001023D3">
        <w:t xml:space="preserve">.  </w:t>
      </w:r>
      <w:r>
        <w:t>We conclude the Attorney General is correct.</w:t>
      </w:r>
    </w:p>
    <w:p w:rsidR="00F238CC" w:rsidP="00C34C74" w14:paraId="24C5863C" w14:textId="3853F38B">
      <w:pPr>
        <w:ind w:firstLine="720"/>
      </w:pPr>
      <w:r>
        <w:t>Attempted murder is defined as a “</w:t>
      </w:r>
      <w:r w:rsidR="007E0DC4">
        <w:t>‘</w:t>
      </w:r>
      <w:r>
        <w:t>specific intent to kill and the commission of a direct but ineffectual act toward accomplishing the intended killing.</w:t>
      </w:r>
      <w:r w:rsidR="007E0DC4">
        <w:t>’</w:t>
      </w:r>
      <w:r>
        <w:t>”  (</w:t>
      </w:r>
      <w:r w:rsidRPr="002B0C71">
        <w:rPr>
          <w:i/>
          <w:iCs/>
        </w:rPr>
        <w:t>People v. Falaniko</w:t>
      </w:r>
      <w:r>
        <w:t xml:space="preserve"> (2016) 1</w:t>
      </w:r>
      <w:r w:rsidR="00FB520C">
        <w:t> </w:t>
      </w:r>
      <w:r>
        <w:t>Cal.App.5</w:t>
      </w:r>
      <w:r w:rsidRPr="00061444">
        <w:t>th</w:t>
      </w:r>
      <w:r>
        <w:t xml:space="preserve"> 1234, 1242-1243.)  </w:t>
      </w:r>
      <w:r w:rsidR="00AF44BC">
        <w:t xml:space="preserve">A specific intent to kill requires express malice.  </w:t>
      </w:r>
      <w:r w:rsidRPr="00730AFF" w:rsidR="00AF44BC">
        <w:rPr>
          <w:rFonts w:eastAsia="Times New Roman"/>
          <w:color w:val="000000"/>
        </w:rPr>
        <w:t>(</w:t>
      </w:r>
      <w:r w:rsidRPr="00730AFF" w:rsidR="00AF44BC">
        <w:rPr>
          <w:rFonts w:eastAsia="Times New Roman"/>
          <w:i/>
          <w:iCs/>
          <w:color w:val="000000"/>
        </w:rPr>
        <w:t>Zemek v. Superior Court</w:t>
      </w:r>
      <w:r w:rsidRPr="00730AFF" w:rsidR="00AF44BC">
        <w:rPr>
          <w:rFonts w:eastAsia="Times New Roman"/>
          <w:color w:val="000000"/>
        </w:rPr>
        <w:t xml:space="preserve"> (2020) 44 Cal.App.5th 535, 548.)</w:t>
      </w:r>
      <w:r w:rsidR="00AF44BC">
        <w:rPr>
          <w:rFonts w:eastAsia="Times New Roman"/>
          <w:color w:val="000000"/>
        </w:rPr>
        <w:t xml:space="preserve">  </w:t>
      </w:r>
      <w:r w:rsidRPr="00090084">
        <w:t xml:space="preserve">Implied malice cannot support a conviction of attempted murder. </w:t>
      </w:r>
      <w:r>
        <w:t xml:space="preserve"> </w:t>
      </w:r>
      <w:r w:rsidRPr="00090084">
        <w:t>(</w:t>
      </w:r>
      <w:r w:rsidRPr="00090084">
        <w:rPr>
          <w:i/>
          <w:iCs/>
        </w:rPr>
        <w:t>People v. Bland</w:t>
      </w:r>
      <w:r w:rsidRPr="00090084">
        <w:t xml:space="preserve"> (2002) 28 Cal.4th 313, 327.)</w:t>
      </w:r>
      <w:r>
        <w:t xml:space="preserve">  Prior to the enactment of Senate Bills</w:t>
      </w:r>
      <w:r w:rsidR="00A544C0">
        <w:t xml:space="preserve"> Nos.</w:t>
      </w:r>
      <w:r>
        <w:t xml:space="preserve"> 1437 </w:t>
      </w:r>
      <w:r w:rsidRPr="007F2DDD" w:rsidR="007F2DDD">
        <w:t xml:space="preserve">(2017-2018 Reg. Sess.) (Stats. 2018, ch. 1015) </w:t>
      </w:r>
      <w:r>
        <w:t>and 775</w:t>
      </w:r>
      <w:r w:rsidR="007F2DDD">
        <w:t xml:space="preserve"> </w:t>
      </w:r>
      <w:r w:rsidRPr="007F2DDD" w:rsidR="007F2DDD">
        <w:t>(2021-2022 Reg. Sess.) (Stats. 2021, ch. 551, § 2)</w:t>
      </w:r>
      <w:r>
        <w:t xml:space="preserve">, the natural and probable consequences doctrine provided an avenue for finding an </w:t>
      </w:r>
      <w:r w:rsidR="004B3081">
        <w:t xml:space="preserve">aider and abettor </w:t>
      </w:r>
      <w:r>
        <w:t>acted with malice.  (</w:t>
      </w:r>
      <w:r w:rsidRPr="00A82752">
        <w:rPr>
          <w:i/>
          <w:iCs/>
        </w:rPr>
        <w:t>People v. Clements</w:t>
      </w:r>
      <w:r>
        <w:t xml:space="preserve"> (2022) 75 Cal.App.5th 276, 290</w:t>
      </w:r>
      <w:r w:rsidR="006756B1">
        <w:t xml:space="preserve"> (</w:t>
      </w:r>
      <w:r w:rsidRPr="00283E3C" w:rsidR="006756B1">
        <w:rPr>
          <w:i/>
          <w:iCs/>
        </w:rPr>
        <w:t>Clements</w:t>
      </w:r>
      <w:r w:rsidR="006756B1">
        <w:t>)</w:t>
      </w:r>
      <w:r>
        <w:t xml:space="preserve">.)  Under this doctrine, an aider and abettor who lacked a specific intent to kill could be found guilty of attempted murder solely due to their participation in a different </w:t>
      </w:r>
      <w:r w:rsidR="00452399">
        <w:t xml:space="preserve">target </w:t>
      </w:r>
      <w:r>
        <w:t xml:space="preserve">crime, if attempted murder was the natural and probable consequence of </w:t>
      </w:r>
      <w:r w:rsidR="00BE6E2E">
        <w:t xml:space="preserve">the target </w:t>
      </w:r>
      <w:r>
        <w:t>crime.  (</w:t>
      </w:r>
      <w:r w:rsidRPr="001620C8">
        <w:rPr>
          <w:i/>
          <w:iCs/>
        </w:rPr>
        <w:t>People v. Gentile</w:t>
      </w:r>
      <w:r>
        <w:t xml:space="preserve"> (2020) 10 Cal.5th 830, 844.)</w:t>
      </w:r>
    </w:p>
    <w:p w:rsidR="004A39DE" w:rsidP="00F238CC" w14:paraId="71665DFD" w14:textId="782BDF63">
      <w:pPr>
        <w:ind w:firstLine="720"/>
      </w:pPr>
      <w:r>
        <w:t>Senate Bill No. 1437 eliminated “natural and probable consequences liability for murder as it applies to aiding and abetting.”  (</w:t>
      </w:r>
      <w:r w:rsidRPr="002134CE">
        <w:rPr>
          <w:i/>
          <w:iCs/>
        </w:rPr>
        <w:t>People v. Lewis</w:t>
      </w:r>
      <w:r>
        <w:t xml:space="preserve"> (2021) 11 Cal.5th 952, 957.)  The bill also </w:t>
      </w:r>
      <w:r w:rsidRPr="00507506">
        <w:t>created</w:t>
      </w:r>
      <w:r>
        <w:t xml:space="preserve"> a procedural mechanism for defendants </w:t>
      </w:r>
      <w:r w:rsidR="00452399">
        <w:t xml:space="preserve">who could not be </w:t>
      </w:r>
      <w:r>
        <w:t xml:space="preserve">convicted of murder under </w:t>
      </w:r>
      <w:r w:rsidR="00452399">
        <w:t>the</w:t>
      </w:r>
      <w:r w:rsidR="00AB24CA">
        <w:t xml:space="preserve"> amended</w:t>
      </w:r>
      <w:r w:rsidR="00452399">
        <w:t xml:space="preserve"> law</w:t>
      </w:r>
      <w:r w:rsidR="00AB24CA">
        <w:t>s</w:t>
      </w:r>
      <w:r w:rsidR="00452399">
        <w:t xml:space="preserve"> </w:t>
      </w:r>
      <w:r>
        <w:t xml:space="preserve">to seek retroactive relief.  </w:t>
      </w:r>
      <w:r w:rsidRPr="00507506">
        <w:t>(</w:t>
      </w:r>
      <w:r>
        <w:t xml:space="preserve">§ 1172.6, subd. (a)(1)-(3); </w:t>
      </w:r>
      <w:r w:rsidR="00452399">
        <w:rPr>
          <w:i/>
          <w:iCs/>
        </w:rPr>
        <w:t>Lewis,</w:t>
      </w:r>
      <w:r w:rsidRPr="00071C8A" w:rsidR="00452399">
        <w:t xml:space="preserve"> </w:t>
      </w:r>
      <w:r w:rsidR="00AB24CA">
        <w:t xml:space="preserve">at </w:t>
      </w:r>
      <w:r w:rsidRPr="00071C8A" w:rsidR="00452399">
        <w:t>p</w:t>
      </w:r>
      <w:r w:rsidR="00A9357D">
        <w:t>.</w:t>
      </w:r>
      <w:r w:rsidRPr="00071C8A" w:rsidR="00AB24CA">
        <w:t xml:space="preserve"> </w:t>
      </w:r>
      <w:r w:rsidRPr="00071C8A" w:rsidR="00452399">
        <w:t>957</w:t>
      </w:r>
      <w:r w:rsidR="00452399">
        <w:rPr>
          <w:i/>
          <w:iCs/>
        </w:rPr>
        <w:t>.</w:t>
      </w:r>
      <w:r w:rsidR="00AB24CA">
        <w:rPr>
          <w:i/>
          <w:iCs/>
        </w:rPr>
        <w:t>)</w:t>
      </w:r>
      <w:r w:rsidRPr="005C680E">
        <w:t xml:space="preserve"> </w:t>
      </w:r>
      <w:r>
        <w:t xml:space="preserve"> Senate Bill No. 775 expanded the class of defendants </w:t>
      </w:r>
      <w:r w:rsidR="00615256">
        <w:t xml:space="preserve">entitled to relief </w:t>
      </w:r>
      <w:r>
        <w:t xml:space="preserve">to those convicted of attempted murder under the natural and probable consequences doctrine.  (§ 1172.6, subd. (a)(1); see </w:t>
      </w:r>
      <w:r w:rsidRPr="00C7381C">
        <w:rPr>
          <w:i/>
          <w:iCs/>
        </w:rPr>
        <w:t>People v. Delgadillo</w:t>
      </w:r>
      <w:r>
        <w:t xml:space="preserve">, </w:t>
      </w:r>
      <w:r>
        <w:rPr>
          <w:i/>
          <w:iCs/>
        </w:rPr>
        <w:t>supra</w:t>
      </w:r>
      <w:r>
        <w:t>, 14 Cal.5th at p. 223, fn. 3, [identifying changes in Sen. Bill</w:t>
      </w:r>
      <w:r w:rsidR="00484A1A">
        <w:t xml:space="preserve"> No.</w:t>
      </w:r>
      <w:r>
        <w:t xml:space="preserve"> 775].) </w:t>
      </w:r>
    </w:p>
    <w:p w:rsidR="005F6EA3" w:rsidP="00F238CC" w14:paraId="1005CD40" w14:textId="07B2F57D">
      <w:pPr>
        <w:ind w:firstLine="720"/>
      </w:pPr>
      <w:r>
        <w:t>S</w:t>
      </w:r>
      <w:r w:rsidRPr="004A39DE" w:rsidR="004A39DE">
        <w:t xml:space="preserve">ection </w:t>
      </w:r>
      <w:r w:rsidR="002412AA">
        <w:t>1172.6</w:t>
      </w:r>
      <w:r>
        <w:t xml:space="preserve"> permits</w:t>
      </w:r>
      <w:r w:rsidRPr="004A39DE" w:rsidR="004A39DE">
        <w:t xml:space="preserve"> a defendant convicted</w:t>
      </w:r>
      <w:r w:rsidR="004A39DE">
        <w:t xml:space="preserve"> of attempted murder under the natural and probable consequences doctrine </w:t>
      </w:r>
      <w:r>
        <w:t xml:space="preserve">to </w:t>
      </w:r>
      <w:r w:rsidR="004A39DE">
        <w:t>petition for resentencing</w:t>
      </w:r>
      <w:r>
        <w:t xml:space="preserve">. </w:t>
      </w:r>
      <w:r w:rsidR="00BE6E2E">
        <w:t xml:space="preserve"> </w:t>
      </w:r>
      <w:r>
        <w:t>If</w:t>
      </w:r>
      <w:r w:rsidR="004B3081">
        <w:t xml:space="preserve"> the</w:t>
      </w:r>
      <w:r>
        <w:t xml:space="preserve"> petitioner makes a prima facie case for relief, the </w:t>
      </w:r>
      <w:r w:rsidR="004B3081">
        <w:t xml:space="preserve">trial </w:t>
      </w:r>
      <w:r>
        <w:t>court issues an order to show cause and holds an evidentiary hearing where the prosecutor and petitioner may offer new or additional evidence</w:t>
      </w:r>
      <w:r w:rsidR="00294D39">
        <w:t>.</w:t>
      </w:r>
      <w:r>
        <w:t xml:space="preserve"> </w:t>
      </w:r>
      <w:r w:rsidR="00294D39">
        <w:t xml:space="preserve"> T</w:t>
      </w:r>
      <w:r>
        <w:t xml:space="preserve">he </w:t>
      </w:r>
      <w:r w:rsidR="00294D39">
        <w:t xml:space="preserve">trial </w:t>
      </w:r>
      <w:r>
        <w:t>court may consider evidence previously admitted “</w:t>
      </w:r>
      <w:r w:rsidRPr="005F6EA3">
        <w:t xml:space="preserve">including </w:t>
      </w:r>
      <w:r w:rsidR="00FB520C">
        <w:t xml:space="preserve">. . . </w:t>
      </w:r>
      <w:r w:rsidRPr="005F6EA3">
        <w:t>, stipulated evidence, and matters judicially noticed.</w:t>
      </w:r>
      <w:r>
        <w:t xml:space="preserve">”  (§ 1172.6, subd. (d)(3).) </w:t>
      </w:r>
      <w:r w:rsidR="00915548">
        <w:t xml:space="preserve"> The prosecution has the burden </w:t>
      </w:r>
      <w:r w:rsidR="00A641A2">
        <w:t>of proving</w:t>
      </w:r>
      <w:r w:rsidR="00915548">
        <w:t xml:space="preserve"> beyond a reasonable doubt the petitioner is guilty of attempted murder under the amended law.</w:t>
      </w:r>
      <w:r>
        <w:t xml:space="preserve"> </w:t>
      </w:r>
      <w:r w:rsidR="00915548">
        <w:t xml:space="preserve"> </w:t>
      </w:r>
      <w:r w:rsidRPr="00915548" w:rsidR="00915548">
        <w:t>(</w:t>
      </w:r>
      <w:r w:rsidRPr="00071C8A">
        <w:rPr>
          <w:i/>
          <w:iCs/>
        </w:rPr>
        <w:t>Ibid</w:t>
      </w:r>
      <w:r>
        <w:t xml:space="preserve">.; see also </w:t>
      </w:r>
      <w:r w:rsidRPr="00915548" w:rsidR="00915548">
        <w:rPr>
          <w:i/>
          <w:iCs/>
        </w:rPr>
        <w:t>People v. Hill</w:t>
      </w:r>
      <w:r w:rsidRPr="00915548" w:rsidR="00915548">
        <w:t xml:space="preserve"> (2024) 100 Cal.App.5th 1055, 1065</w:t>
      </w:r>
      <w:r w:rsidR="00F33A4E">
        <w:t>-</w:t>
      </w:r>
      <w:r w:rsidRPr="00915548" w:rsidR="00915548">
        <w:t xml:space="preserve">1066.) </w:t>
      </w:r>
      <w:r w:rsidR="00915548">
        <w:t xml:space="preserve"> </w:t>
      </w:r>
      <w:r w:rsidR="008210F6">
        <w:t>The trial court</w:t>
      </w:r>
      <w:r w:rsidR="00294D39">
        <w:t xml:space="preserve"> </w:t>
      </w:r>
      <w:r w:rsidR="00106106">
        <w:t>acts</w:t>
      </w:r>
      <w:r w:rsidR="008210F6">
        <w:t xml:space="preserve"> as an independent fact finder to determine </w:t>
      </w:r>
      <w:r w:rsidR="00915548">
        <w:t xml:space="preserve">whether </w:t>
      </w:r>
      <w:r w:rsidR="008210F6">
        <w:t>the prosecution has met its burden</w:t>
      </w:r>
      <w:r w:rsidR="00915548">
        <w:t xml:space="preserve"> </w:t>
      </w:r>
      <w:r w:rsidR="008210F6">
        <w:t>(</w:t>
      </w:r>
      <w:r w:rsidR="00106106">
        <w:rPr>
          <w:i/>
          <w:iCs/>
        </w:rPr>
        <w:t>i</w:t>
      </w:r>
      <w:r w:rsidR="008210F6">
        <w:rPr>
          <w:i/>
          <w:iCs/>
        </w:rPr>
        <w:t>d.</w:t>
      </w:r>
      <w:r w:rsidRPr="00F33A4E" w:rsidR="008210F6">
        <w:t>,</w:t>
      </w:r>
      <w:r w:rsidR="008210F6">
        <w:t xml:space="preserve"> at p. 1066)</w:t>
      </w:r>
      <w:r w:rsidR="004B3081">
        <w:t xml:space="preserve"> but the trial court’s factual determinations</w:t>
      </w:r>
      <w:r w:rsidR="003B7847">
        <w:t xml:space="preserve"> are limited to “issues made relevant by the changes to the law effected by [the amendments].”</w:t>
      </w:r>
      <w:r w:rsidR="004B3081">
        <w:t xml:space="preserve"> </w:t>
      </w:r>
      <w:r w:rsidR="003B7847">
        <w:t xml:space="preserve"> (</w:t>
      </w:r>
      <w:r w:rsidRPr="001E2245" w:rsidR="003B7847">
        <w:rPr>
          <w:i/>
          <w:iCs/>
        </w:rPr>
        <w:t>Gomez v. Superior Court</w:t>
      </w:r>
      <w:r w:rsidR="003B7847">
        <w:t xml:space="preserve"> (2024) 100 Cal.App.5th 778, 787 (</w:t>
      </w:r>
      <w:r w:rsidRPr="00071C8A" w:rsidR="003B7847">
        <w:rPr>
          <w:i/>
          <w:iCs/>
        </w:rPr>
        <w:t>Gomez</w:t>
      </w:r>
      <w:r w:rsidR="003B7847">
        <w:t>).)</w:t>
      </w:r>
    </w:p>
    <w:p w:rsidR="00F406E2" w:rsidP="004F2FCD" w14:paraId="61ED7D0C" w14:textId="162E7F2E">
      <w:pPr>
        <w:ind w:firstLine="720"/>
      </w:pPr>
      <w:r>
        <w:t xml:space="preserve">A section </w:t>
      </w:r>
      <w:r w:rsidR="008210F6">
        <w:t>1172.6</w:t>
      </w:r>
      <w:r w:rsidR="00F238CC">
        <w:t xml:space="preserve"> petition for resentencing is a continuation of the petitioner’s underlying criminal proceeding (</w:t>
      </w:r>
      <w:r w:rsidRPr="001E2245" w:rsidR="00F238CC">
        <w:rPr>
          <w:i/>
          <w:iCs/>
        </w:rPr>
        <w:t>Gomez</w:t>
      </w:r>
      <w:r w:rsidRPr="00F33A4E" w:rsidR="003B7847">
        <w:t>,</w:t>
      </w:r>
      <w:r w:rsidR="003B7847">
        <w:rPr>
          <w:i/>
          <w:iCs/>
        </w:rPr>
        <w:t xml:space="preserve"> supra</w:t>
      </w:r>
      <w:r w:rsidRPr="00F33A4E" w:rsidR="003B7847">
        <w:t>,</w:t>
      </w:r>
      <w:r w:rsidR="003B7847">
        <w:rPr>
          <w:i/>
          <w:iCs/>
        </w:rPr>
        <w:t xml:space="preserve"> </w:t>
      </w:r>
      <w:r w:rsidR="00F238CC">
        <w:t xml:space="preserve">100 Cal.App.5th </w:t>
      </w:r>
      <w:r w:rsidR="003B7847">
        <w:t>at p.</w:t>
      </w:r>
      <w:r w:rsidR="00F238CC">
        <w:t xml:space="preserve"> 787) and applies “only to attempted murders based on the natural and probable consequences doctrine.”  (</w:t>
      </w:r>
      <w:r w:rsidRPr="002B0C71" w:rsidR="00F238CC">
        <w:rPr>
          <w:i/>
          <w:iCs/>
        </w:rPr>
        <w:t>People v. Coley</w:t>
      </w:r>
      <w:r w:rsidR="00F238CC">
        <w:t xml:space="preserve"> (2022) 77 Cal.App.5th 539, 548.)  </w:t>
      </w:r>
      <w:r w:rsidR="004F2FCD">
        <w:t xml:space="preserve">It does not </w:t>
      </w:r>
      <w:r w:rsidR="00B00F9F">
        <w:t xml:space="preserve">permit </w:t>
      </w:r>
      <w:r w:rsidR="004F2FCD">
        <w:t>“‘litigat[ing] anew’ any trial issues or allowing ‘a petitioner to challenge any aspect of the factfinding from the original trial that [they] wish</w:t>
      </w:r>
      <w:r w:rsidR="00D81839">
        <w:t>[</w:t>
      </w:r>
      <w:r w:rsidR="004F2FCD">
        <w:t>] to revisit.’</w:t>
      </w:r>
      <w:r w:rsidR="00B95424">
        <w:t>”</w:t>
      </w:r>
      <w:r w:rsidR="004F2FCD">
        <w:t xml:space="preserve">  (</w:t>
      </w:r>
      <w:r w:rsidRPr="00D81839" w:rsidR="004F2FCD">
        <w:rPr>
          <w:i/>
          <w:iCs/>
        </w:rPr>
        <w:t>People v. Curiel</w:t>
      </w:r>
      <w:r w:rsidR="004F2FCD">
        <w:t xml:space="preserve"> (2023) 15 Cal.5th 433, 470</w:t>
      </w:r>
      <w:r w:rsidR="00B95424">
        <w:t>.)  It is not a “‘trial de novo on all the original charges.’ . . .  [I]t is a postconviction . . . “act of lenity” . . . allowing for the retroactive application of the new law governing accomplice liability . . . .’”</w:t>
      </w:r>
      <w:r w:rsidR="004F2FCD">
        <w:t xml:space="preserve"> </w:t>
      </w:r>
      <w:r w:rsidR="00B95424">
        <w:t>(</w:t>
      </w:r>
      <w:r w:rsidR="004F2FCD">
        <w:rPr>
          <w:i/>
          <w:iCs/>
        </w:rPr>
        <w:t>People v. Williams</w:t>
      </w:r>
      <w:r w:rsidR="004F2FCD">
        <w:t xml:space="preserve"> </w:t>
      </w:r>
      <w:r w:rsidRPr="00E902C6" w:rsidR="00B00F9F">
        <w:t>(2020) 57 Cal.App.5th 652, 661</w:t>
      </w:r>
      <w:r w:rsidR="00B00F9F">
        <w:t>.</w:t>
      </w:r>
      <w:r w:rsidR="00283E3C">
        <w:t xml:space="preserve">) </w:t>
      </w:r>
      <w:r w:rsidR="004F2FCD">
        <w:t xml:space="preserve"> </w:t>
      </w:r>
    </w:p>
    <w:p w:rsidR="00915548" w:rsidRPr="00915548" w:rsidP="00915548" w14:paraId="5EB392F7" w14:textId="60F67E54">
      <w:pPr>
        <w:ind w:firstLine="720"/>
      </w:pPr>
      <w:r w:rsidRPr="00915548">
        <w:t>To determine “whether a trial court correctly denied a section 1172.6 petition following an evidentiary hearing, ‘</w:t>
      </w:r>
      <w:r w:rsidR="00F33A4E">
        <w:t>“‘</w:t>
      </w:r>
      <w:r w:rsidRPr="00915548">
        <w:t>we review the factual findings for substantial evidence and the application of those facts to the statute de novo.’”</w:t>
      </w:r>
      <w:r w:rsidR="00F33A4E">
        <w:t>’”</w:t>
      </w:r>
      <w:r w:rsidRPr="00915548">
        <w:t xml:space="preserve">  (</w:t>
      </w:r>
      <w:r w:rsidRPr="00915548">
        <w:rPr>
          <w:i/>
          <w:iCs/>
        </w:rPr>
        <w:t>People v. Arnold</w:t>
      </w:r>
      <w:r w:rsidRPr="00915548">
        <w:t xml:space="preserve"> (2023) 93 Cal.App.5th 376, 383</w:t>
      </w:r>
    </w:p>
    <w:p w:rsidR="00D44E23" w:rsidP="00D44E23" w14:paraId="633AA6DD" w14:textId="619A0ABC">
      <w:pPr>
        <w:ind w:firstLine="720"/>
      </w:pPr>
      <w:r>
        <w:t>Appellant argues the trial court</w:t>
      </w:r>
      <w:r w:rsidR="00751E0D">
        <w:t xml:space="preserve"> improperly declined to make credibility determinations or factual findings</w:t>
      </w:r>
      <w:r w:rsidR="00A5370C">
        <w:t xml:space="preserve"> </w:t>
      </w:r>
      <w:r w:rsidR="00B92C81">
        <w:t>regarding</w:t>
      </w:r>
      <w:r>
        <w:t xml:space="preserve"> whether he shot over the roof of the car or at his victim</w:t>
      </w:r>
      <w:r w:rsidR="006060F5">
        <w:t>s</w:t>
      </w:r>
      <w:r>
        <w:t>, and whether this shows he had a specific intent to kill when he fired the gun.  But appellant pleaded guilty to attempted murder</w:t>
      </w:r>
      <w:r w:rsidR="00EA77C8">
        <w:t>.</w:t>
      </w:r>
    </w:p>
    <w:p w:rsidR="004A2055" w:rsidRPr="004A2055" w:rsidP="00672BFD" w14:paraId="0BF24797" w14:textId="1AD674D8">
      <w:pPr>
        <w:ind w:firstLine="720"/>
      </w:pPr>
      <w:r>
        <w:t xml:space="preserve">A guilty plea is a </w:t>
      </w:r>
      <w:r w:rsidR="00D12714">
        <w:t>judicial admission.  (</w:t>
      </w:r>
      <w:r w:rsidRPr="00D81839" w:rsidR="00D12714">
        <w:rPr>
          <w:i/>
          <w:iCs/>
        </w:rPr>
        <w:t>People v. Chadd, supra</w:t>
      </w:r>
      <w:r w:rsidR="00D12714">
        <w:t xml:space="preserve">, 28 Cal.3d </w:t>
      </w:r>
      <w:r w:rsidR="00D81839">
        <w:t>at p.</w:t>
      </w:r>
      <w:r w:rsidR="00D12714">
        <w:t xml:space="preserve"> 748</w:t>
      </w:r>
      <w:r w:rsidR="003A6AB2">
        <w:t>.</w:t>
      </w:r>
      <w:r w:rsidR="00D12714">
        <w:t>)</w:t>
      </w:r>
      <w:r>
        <w:t xml:space="preserve"> </w:t>
      </w:r>
      <w:r w:rsidR="003A6AB2">
        <w:t xml:space="preserve"> It</w:t>
      </w:r>
      <w:r>
        <w:t xml:space="preserve"> </w:t>
      </w:r>
      <w:r w:rsidR="003A6AB2">
        <w:t>“</w:t>
      </w:r>
      <w:r w:rsidR="00EC7C6D">
        <w:t>amounts to an admission of every element of the crime and is the equivalent of a conviction.</w:t>
      </w:r>
      <w:r w:rsidR="003A6AB2">
        <w:t>”</w:t>
      </w:r>
      <w:r w:rsidR="008A5BB6">
        <w:t xml:space="preserve"> </w:t>
      </w:r>
      <w:r w:rsidR="00EC7C6D">
        <w:t xml:space="preserve"> (</w:t>
      </w:r>
      <w:r w:rsidRPr="00283E3C" w:rsidR="00EC7C6D">
        <w:rPr>
          <w:i/>
          <w:iCs/>
        </w:rPr>
        <w:t>People v. Ward</w:t>
      </w:r>
      <w:r w:rsidR="00EC7C6D">
        <w:t xml:space="preserve"> (1967) 66 Cal.2d 571, 574.) </w:t>
      </w:r>
      <w:r w:rsidR="008A5BB6">
        <w:t xml:space="preserve"> </w:t>
      </w:r>
      <w:r w:rsidR="003A6AB2">
        <w:t xml:space="preserve">A guilty plea </w:t>
      </w:r>
      <w:r w:rsidR="00F238CC">
        <w:t>“</w:t>
      </w:r>
      <w:r w:rsidR="00FE697E">
        <w:t>‘</w:t>
      </w:r>
      <w:r w:rsidRPr="00D33848" w:rsidR="00F238CC">
        <w:t xml:space="preserve">concedes </w:t>
      </w:r>
      <w:r w:rsidR="00FE697E">
        <w:t>. . .</w:t>
      </w:r>
      <w:r w:rsidRPr="00D33848" w:rsidR="00F238CC">
        <w:t xml:space="preserve"> the prosecution possesses legally admissible evidence sufficient to prove defendan</w:t>
      </w:r>
      <w:r w:rsidR="00FE697E">
        <w:t>t’</w:t>
      </w:r>
      <w:r w:rsidRPr="00D33848" w:rsidR="00F238CC">
        <w:t>s guilt beyond a reasonable doubt.  Accordingly, a plea of guilty waives any right to raise questions regarding the evidence</w:t>
      </w:r>
      <w:r w:rsidR="00FE697E">
        <w:t xml:space="preserve"> . </w:t>
      </w:r>
      <w:r w:rsidR="00F238CC">
        <w:t>. . .</w:t>
      </w:r>
      <w:r w:rsidR="00FE697E">
        <w:t>’</w:t>
      </w:r>
      <w:r w:rsidR="00F238CC">
        <w:t>”  (</w:t>
      </w:r>
      <w:r w:rsidRPr="007F74E7" w:rsidR="00F238CC">
        <w:rPr>
          <w:i/>
          <w:iCs/>
        </w:rPr>
        <w:t>People v. Gonzalez</w:t>
      </w:r>
      <w:r w:rsidR="00F238CC">
        <w:t xml:space="preserve"> (1993) 13 Cal.App.4th 707, 713</w:t>
      </w:r>
      <w:r w:rsidR="00BD0F22">
        <w:t xml:space="preserve">; see also </w:t>
      </w:r>
      <w:r w:rsidRPr="00071C8A" w:rsidR="00EC7C6D">
        <w:rPr>
          <w:i/>
          <w:iCs/>
        </w:rPr>
        <w:t>People v. Allison</w:t>
      </w:r>
      <w:r w:rsidRPr="00EC7C6D" w:rsidR="00EC7C6D">
        <w:t xml:space="preserve"> (2020) 55 Cal.App.5th 449, 45</w:t>
      </w:r>
      <w:r w:rsidR="00FE697E">
        <w:t>8</w:t>
      </w:r>
      <w:r w:rsidRPr="00EC7C6D" w:rsidR="00EC7C6D">
        <w:t>,</w:t>
      </w:r>
      <w:r w:rsidR="00EC7C6D">
        <w:t xml:space="preserve"> fn.7</w:t>
      </w:r>
      <w:r w:rsidR="00562DE9">
        <w:t xml:space="preserve">, </w:t>
      </w:r>
      <w:r w:rsidRPr="00EC7C6D" w:rsidR="00EC7C6D">
        <w:t xml:space="preserve">disapproved of </w:t>
      </w:r>
      <w:r w:rsidR="00EC7C6D">
        <w:t xml:space="preserve">on other grounds </w:t>
      </w:r>
      <w:r w:rsidRPr="00EC7C6D" w:rsidR="00EC7C6D">
        <w:t xml:space="preserve">by </w:t>
      </w:r>
      <w:r w:rsidRPr="00283E3C" w:rsidR="00EC7C6D">
        <w:rPr>
          <w:i/>
          <w:iCs/>
        </w:rPr>
        <w:t>People v. Strong</w:t>
      </w:r>
      <w:r w:rsidRPr="00EC7C6D" w:rsidR="00EC7C6D">
        <w:t xml:space="preserve"> (2022) 13 Cal.5th 698</w:t>
      </w:r>
      <w:r w:rsidR="00EC7C6D">
        <w:t xml:space="preserve"> [a guilty plea is equivalent to and has the same effect as a jury finding].)</w:t>
      </w:r>
      <w:r w:rsidRPr="004A2055">
        <w:t xml:space="preserve">  </w:t>
      </w:r>
      <w:r w:rsidR="00D12714">
        <w:t xml:space="preserve">The implied admission of the guilty plea obviates “the </w:t>
      </w:r>
      <w:r w:rsidR="00672BFD">
        <w:t xml:space="preserve">need for the People to come forward with </w:t>
      </w:r>
      <w:r w:rsidR="00BF218F">
        <w:t>a</w:t>
      </w:r>
      <w:r w:rsidR="00672BFD">
        <w:t>ny evidence.”  (</w:t>
      </w:r>
      <w:r w:rsidRPr="00D81839" w:rsidR="00672BFD">
        <w:rPr>
          <w:i/>
          <w:iCs/>
        </w:rPr>
        <w:t>People v. Martin</w:t>
      </w:r>
      <w:r w:rsidR="00672BFD">
        <w:t xml:space="preserve"> (1973) 9 Cal.3d 687, 694</w:t>
      </w:r>
      <w:r w:rsidR="00D81839">
        <w:t>, italics omitted</w:t>
      </w:r>
      <w:r w:rsidR="00672BFD">
        <w:t xml:space="preserve">; see also </w:t>
      </w:r>
      <w:r w:rsidRPr="004A2055" w:rsidR="00672BFD">
        <w:rPr>
          <w:i/>
          <w:iCs/>
        </w:rPr>
        <w:t>People v. Jones</w:t>
      </w:r>
      <w:r w:rsidRPr="004A2055" w:rsidR="00672BFD">
        <w:t xml:space="preserve"> (1959) 52 Cal.2d 636, 651 </w:t>
      </w:r>
      <w:r w:rsidRPr="004A2055">
        <w:t>[</w:t>
      </w:r>
      <w:r w:rsidR="00247E92">
        <w:t>“</w:t>
      </w:r>
      <w:r w:rsidRPr="004A2055">
        <w:t xml:space="preserve">Thus after a plea of guilty properly received the prosecution is under no duty to prove that defendants committed the crime. </w:t>
      </w:r>
      <w:r w:rsidR="00BB72CA">
        <w:t xml:space="preserve"> </w:t>
      </w:r>
      <w:r w:rsidRPr="004A2055">
        <w:t>That issue was resolved by the defendants</w:t>
      </w:r>
      <w:r w:rsidR="00247E92">
        <w:t>’</w:t>
      </w:r>
      <w:r w:rsidRPr="004A2055">
        <w:t xml:space="preserve"> plea.</w:t>
      </w:r>
      <w:r w:rsidR="00247E92">
        <w:t>”</w:t>
      </w:r>
      <w:r w:rsidRPr="004A2055">
        <w:t xml:space="preserve">].) </w:t>
      </w:r>
    </w:p>
    <w:p w:rsidR="00273094" w:rsidRPr="00273094" w:rsidP="00273094" w14:paraId="0B6323DC" w14:textId="5D28C284">
      <w:pPr>
        <w:ind w:firstLine="720"/>
      </w:pPr>
      <w:r>
        <w:t>A</w:t>
      </w:r>
      <w:r w:rsidR="00F238CC">
        <w:t xml:space="preserve">ppellant’s </w:t>
      </w:r>
      <w:r w:rsidR="009A4427">
        <w:t xml:space="preserve">guilty </w:t>
      </w:r>
      <w:r w:rsidR="00F238CC">
        <w:t xml:space="preserve">plea admitted </w:t>
      </w:r>
      <w:r w:rsidR="007E3FD5">
        <w:t xml:space="preserve">and established </w:t>
      </w:r>
      <w:r w:rsidR="00B56D14">
        <w:t xml:space="preserve">generally the existence of </w:t>
      </w:r>
      <w:r w:rsidR="00F238CC">
        <w:t>“intent to kill</w:t>
      </w:r>
      <w:r>
        <w:t>.</w:t>
      </w:r>
      <w:r w:rsidR="00F238CC">
        <w:t xml:space="preserve">” </w:t>
      </w:r>
      <w:r w:rsidR="008A5BB6">
        <w:t xml:space="preserve"> </w:t>
      </w:r>
      <w:r w:rsidR="009A4427">
        <w:t xml:space="preserve">However, it </w:t>
      </w:r>
      <w:r w:rsidR="00F238CC">
        <w:t>did not admit</w:t>
      </w:r>
      <w:r w:rsidR="00EC7C6D">
        <w:t xml:space="preserve"> </w:t>
      </w:r>
      <w:r w:rsidR="00F238CC">
        <w:t>whether the intent was personal to him or imputed to him.  (</w:t>
      </w:r>
      <w:r w:rsidRPr="001670F1" w:rsidR="00F238CC">
        <w:rPr>
          <w:i/>
          <w:iCs/>
        </w:rPr>
        <w:t>People v. Estrada</w:t>
      </w:r>
      <w:r w:rsidR="00F238CC">
        <w:t xml:space="preserve"> (2024) 101 Cal.App.5th 328, 338.)  </w:t>
      </w:r>
      <w:r w:rsidR="00E67C55">
        <w:t xml:space="preserve">Based on the record of the guilty plea, it was </w:t>
      </w:r>
      <w:r w:rsidR="00F238CC">
        <w:t xml:space="preserve">theoretically possible an accomplice intended to kill and the accomplice’s intent was imputed to appellant under the natural and probable consequences doctrine.  </w:t>
      </w:r>
      <w:r w:rsidR="00E67C55">
        <w:t xml:space="preserve">But once </w:t>
      </w:r>
      <w:r w:rsidR="00F000BB">
        <w:t xml:space="preserve">the theoretical possibility he aided and abetted an accomplice was eliminated by evidence received at the hearing, his guilty plea was an admission of his personal intent to kill.  </w:t>
      </w:r>
      <w:r w:rsidR="00F238CC">
        <w:t>Any</w:t>
      </w:r>
      <w:r w:rsidR="00F000BB">
        <w:t xml:space="preserve"> other</w:t>
      </w:r>
      <w:r w:rsidR="00F238CC">
        <w:t xml:space="preserve"> evidence contradicting </w:t>
      </w:r>
      <w:r w:rsidR="00F000BB">
        <w:t xml:space="preserve">his </w:t>
      </w:r>
      <w:r w:rsidR="00F238CC">
        <w:t>admission</w:t>
      </w:r>
      <w:r w:rsidR="00F000BB">
        <w:t xml:space="preserve"> by plea</w:t>
      </w:r>
      <w:r w:rsidR="00F238CC">
        <w:t xml:space="preserve"> was irrelevant.</w:t>
      </w:r>
      <w:r w:rsidR="008A5BB6">
        <w:t xml:space="preserve"> </w:t>
      </w:r>
      <w:r w:rsidRPr="00D652EA" w:rsidR="00F238CC">
        <w:t xml:space="preserve"> </w:t>
      </w:r>
    </w:p>
    <w:p w:rsidR="00F238CC" w:rsidP="003A6AB2" w14:paraId="5B1534E1" w14:textId="729DAE02">
      <w:pPr>
        <w:ind w:firstLine="720"/>
      </w:pPr>
      <w:r>
        <w:t>A</w:t>
      </w:r>
      <w:r w:rsidR="007E3FD5">
        <w:t xml:space="preserve">ppellant cannot </w:t>
      </w:r>
      <w:r w:rsidR="003C4D91">
        <w:t xml:space="preserve">use </w:t>
      </w:r>
      <w:r w:rsidR="007E3FD5">
        <w:t xml:space="preserve">a </w:t>
      </w:r>
      <w:r w:rsidR="00241815">
        <w:t xml:space="preserve">section </w:t>
      </w:r>
      <w:r w:rsidR="007E3FD5">
        <w:t>1172.6 resentencing hearing</w:t>
      </w:r>
      <w:r w:rsidR="003C4D91">
        <w:t xml:space="preserve"> to</w:t>
      </w:r>
      <w:r w:rsidR="007E3FD5">
        <w:t xml:space="preserve"> </w:t>
      </w:r>
      <w:r w:rsidR="00A90C35">
        <w:t>relitigate facts already determined, whether by plea, admission, or verdict.</w:t>
      </w:r>
      <w:r w:rsidR="008A5BB6">
        <w:t xml:space="preserve"> </w:t>
      </w:r>
      <w:r w:rsidR="00A90C35">
        <w:t xml:space="preserve"> </w:t>
      </w:r>
      <w:r w:rsidRPr="00B56D14" w:rsidR="00B56D14">
        <w:t>(</w:t>
      </w:r>
      <w:r w:rsidRPr="00FB6800" w:rsidR="005F779E">
        <w:t xml:space="preserve">See </w:t>
      </w:r>
      <w:r w:rsidRPr="00283E3C" w:rsidR="00B56D14">
        <w:rPr>
          <w:i/>
          <w:iCs/>
        </w:rPr>
        <w:t>People v. Farfan</w:t>
      </w:r>
      <w:r w:rsidR="001C1D45">
        <w:t xml:space="preserve"> (2021) </w:t>
      </w:r>
      <w:r w:rsidRPr="00B56D14" w:rsidR="00B56D14">
        <w:t xml:space="preserve">71 Cal.App.5th </w:t>
      </w:r>
      <w:r w:rsidR="001C1D45">
        <w:t xml:space="preserve">942, </w:t>
      </w:r>
      <w:r w:rsidRPr="00B56D14" w:rsidR="00B56D14">
        <w:t>947</w:t>
      </w:r>
      <w:r w:rsidR="00B56D14">
        <w:t xml:space="preserve"> [</w:t>
      </w:r>
      <w:r w:rsidR="001C1D45">
        <w:t>“</w:t>
      </w:r>
      <w:r w:rsidRPr="00273094" w:rsidR="008A5BB6">
        <w:t>‘</w:t>
      </w:r>
      <w:r w:rsidRPr="00B56D14" w:rsidR="00B56D14">
        <w:t>The purpose of section [1172.6] is to give defendants the benefit of amended sections 188 and 189 with respect to issues not previously determined, not to provide a do-over on factual disputes that have already been resolved’”</w:t>
      </w:r>
      <w:r w:rsidR="00843BB7">
        <w:t>].</w:t>
      </w:r>
      <w:r w:rsidRPr="00B56D14" w:rsidR="00B56D14">
        <w:t>)</w:t>
      </w:r>
      <w:r w:rsidR="007E3FD5">
        <w:t xml:space="preserve"> </w:t>
      </w:r>
      <w:r w:rsidR="00106106">
        <w:t xml:space="preserve"> </w:t>
      </w:r>
      <w:r w:rsidRPr="007E3FD5" w:rsidR="007E3FD5">
        <w:t>Parties at a</w:t>
      </w:r>
      <w:r w:rsidR="00241815">
        <w:t xml:space="preserve"> section</w:t>
      </w:r>
      <w:r w:rsidRPr="007E3FD5" w:rsidR="007E3FD5">
        <w:t xml:space="preserve"> 1172.6 evidentiary hearing must focus on “evidence made relevant by the amendments to the substantive definition of murder.”  (</w:t>
      </w:r>
      <w:r w:rsidRPr="007E3FD5" w:rsidR="007E3FD5">
        <w:rPr>
          <w:i/>
          <w:iCs/>
        </w:rPr>
        <w:t>Clements</w:t>
      </w:r>
      <w:r w:rsidRPr="00843BB7" w:rsidR="007E3FD5">
        <w:t>,</w:t>
      </w:r>
      <w:r w:rsidRPr="007E3FD5" w:rsidR="007E3FD5">
        <w:rPr>
          <w:i/>
          <w:iCs/>
        </w:rPr>
        <w:t xml:space="preserve"> supra</w:t>
      </w:r>
      <w:r w:rsidRPr="00843BB7" w:rsidR="007E3FD5">
        <w:t>,</w:t>
      </w:r>
      <w:r w:rsidRPr="007E3FD5" w:rsidR="007E3FD5">
        <w:t xml:space="preserve"> 75 Cal.App.5th at p.</w:t>
      </w:r>
      <w:r w:rsidR="00FB6800">
        <w:t> </w:t>
      </w:r>
      <w:r w:rsidRPr="007E3FD5" w:rsidR="007E3FD5">
        <w:t xml:space="preserve">298.)  </w:t>
      </w:r>
      <w:r w:rsidR="00DD3AB0">
        <w:t xml:space="preserve">The amendments to sections 188 and 189 did not change the requirement of intent to kill for attempted murder.  </w:t>
      </w:r>
      <w:r w:rsidRPr="007E3FD5" w:rsidR="007E3FD5">
        <w:t>Indiscriminate relitigation of findings supporting murder convictions are not permitted.  (</w:t>
      </w:r>
      <w:r w:rsidRPr="007E3FD5" w:rsidR="007E3FD5">
        <w:rPr>
          <w:i/>
          <w:iCs/>
        </w:rPr>
        <w:t>People v. Strong</w:t>
      </w:r>
      <w:r w:rsidRPr="007E3FD5" w:rsidR="007E3FD5">
        <w:t>,</w:t>
      </w:r>
      <w:r w:rsidRPr="007E3FD5" w:rsidR="007E3FD5">
        <w:rPr>
          <w:i/>
          <w:iCs/>
        </w:rPr>
        <w:t xml:space="preserve"> supra</w:t>
      </w:r>
      <w:r w:rsidRPr="007E3FD5" w:rsidR="007E3FD5">
        <w:t>, 13 Cal.5th at p. 715.)</w:t>
      </w:r>
      <w:r w:rsidR="00B95424">
        <w:t xml:space="preserve">  “[F]actual findings should be given preclusive effect.  The point </w:t>
      </w:r>
      <w:r w:rsidR="00D81839">
        <w:t>. . .</w:t>
      </w:r>
      <w:r w:rsidR="00B95424">
        <w:t xml:space="preserve"> is to identify what those factual findings are and how they relate to the elements of [attempted] murder under a valid theory.”  (</w:t>
      </w:r>
      <w:r w:rsidRPr="00E1762E" w:rsidR="00B95424">
        <w:rPr>
          <w:i/>
          <w:iCs/>
        </w:rPr>
        <w:t>People v. Curiel</w:t>
      </w:r>
      <w:r w:rsidRPr="00D81839" w:rsidR="00B95424">
        <w:t>,</w:t>
      </w:r>
      <w:r w:rsidR="00B95424">
        <w:rPr>
          <w:i/>
          <w:iCs/>
        </w:rPr>
        <w:t xml:space="preserve"> supra</w:t>
      </w:r>
      <w:r w:rsidRPr="00D81839" w:rsidR="00B95424">
        <w:t>,</w:t>
      </w:r>
      <w:r w:rsidR="00B95424">
        <w:t xml:space="preserve"> 15 Cal.5th at p. 470.)  </w:t>
      </w:r>
    </w:p>
    <w:p w:rsidR="00D22D25" w:rsidP="00F238CC" w14:paraId="5C4DCF19" w14:textId="08ED0A51">
      <w:pPr>
        <w:ind w:firstLine="720"/>
      </w:pPr>
      <w:r>
        <w:t xml:space="preserve">In light of appellant’s admission by plea of an intent to kill, the sole issue at the evidentiary hearing was whether </w:t>
      </w:r>
      <w:r w:rsidR="00177B43">
        <w:t xml:space="preserve">he </w:t>
      </w:r>
      <w:r>
        <w:t xml:space="preserve">acted alone. </w:t>
      </w:r>
      <w:r w:rsidR="008A5BB6">
        <w:t xml:space="preserve"> </w:t>
      </w:r>
      <w:r w:rsidR="00293A1A">
        <w:t xml:space="preserve">His guilty plea precluded the trial court from making factual findings regarding his conduct or credibility determinations regarding his intent.  </w:t>
      </w:r>
      <w:r>
        <w:t xml:space="preserve">The </w:t>
      </w:r>
      <w:r w:rsidR="00177B43">
        <w:t xml:space="preserve">trial </w:t>
      </w:r>
      <w:r>
        <w:t xml:space="preserve">court found </w:t>
      </w:r>
      <w:r w:rsidR="009A4427">
        <w:t>he was</w:t>
      </w:r>
      <w:r>
        <w:t xml:space="preserve"> the sole perpetrator albeit without expressly stating it had been proved “beyond a reasonable doubt.” </w:t>
      </w:r>
      <w:r w:rsidR="008A5BB6">
        <w:t xml:space="preserve"> </w:t>
      </w:r>
      <w:r w:rsidR="009F3692">
        <w:t xml:space="preserve">Yet, </w:t>
      </w:r>
      <w:r>
        <w:t>it was</w:t>
      </w:r>
      <w:r w:rsidR="009A4427">
        <w:t xml:space="preserve"> an</w:t>
      </w:r>
      <w:r>
        <w:t xml:space="preserve"> undisputed </w:t>
      </w:r>
      <w:r w:rsidR="009A4427">
        <w:t xml:space="preserve">fact. </w:t>
      </w:r>
      <w:r w:rsidR="008A5BB6">
        <w:t xml:space="preserve"> Even if the trial court erred</w:t>
      </w:r>
      <w:r w:rsidR="00001F5C">
        <w:t xml:space="preserve"> in </w:t>
      </w:r>
      <w:r w:rsidRPr="00001F5C" w:rsidR="00001F5C">
        <w:t>describ</w:t>
      </w:r>
      <w:r w:rsidR="00001F5C">
        <w:t>ing</w:t>
      </w:r>
      <w:r w:rsidRPr="00001F5C" w:rsidR="00001F5C">
        <w:t xml:space="preserve"> its role or </w:t>
      </w:r>
      <w:r w:rsidR="00516BC4">
        <w:t xml:space="preserve">applying </w:t>
      </w:r>
      <w:r w:rsidRPr="00001F5C" w:rsidR="00001F5C">
        <w:t>the burden of proof</w:t>
      </w:r>
      <w:r w:rsidR="008A5BB6">
        <w:t>, the error</w:t>
      </w:r>
      <w:r w:rsidR="00001F5C">
        <w:t xml:space="preserve"> </w:t>
      </w:r>
      <w:r>
        <w:t>was harmless</w:t>
      </w:r>
      <w:r w:rsidR="00001F5C">
        <w:t xml:space="preserve"> because it is not reasonably probable that absent the error </w:t>
      </w:r>
      <w:r w:rsidR="00177B43">
        <w:t xml:space="preserve">appellant </w:t>
      </w:r>
      <w:r w:rsidR="00001F5C">
        <w:t xml:space="preserve">would have achieved a more favorable result. </w:t>
      </w:r>
      <w:r w:rsidR="00177B43">
        <w:t xml:space="preserve"> </w:t>
      </w:r>
      <w:r w:rsidRPr="009F3692" w:rsidR="009F3692">
        <w:t>(</w:t>
      </w:r>
      <w:r w:rsidRPr="009F3692" w:rsidR="009F3692">
        <w:rPr>
          <w:i/>
          <w:iCs/>
        </w:rPr>
        <w:t>People v. Vance</w:t>
      </w:r>
      <w:r w:rsidRPr="009F3692" w:rsidR="009F3692">
        <w:t xml:space="preserve"> (2023) 94 Cal.App.5th 706, 716; </w:t>
      </w:r>
      <w:r w:rsidRPr="009F3692" w:rsidR="009F3692">
        <w:rPr>
          <w:i/>
          <w:iCs/>
        </w:rPr>
        <w:t>People v. Watson</w:t>
      </w:r>
      <w:r w:rsidRPr="009F3692" w:rsidR="009F3692">
        <w:t xml:space="preserve"> (1956) 46 Cal.2d 818, 836; see also </w:t>
      </w:r>
      <w:r w:rsidRPr="009F3692" w:rsidR="009F3692">
        <w:rPr>
          <w:i/>
          <w:iCs/>
        </w:rPr>
        <w:t>Hurtado</w:t>
      </w:r>
      <w:r w:rsidRPr="009F3692" w:rsidR="009F3692">
        <w:t>,</w:t>
      </w:r>
      <w:r w:rsidRPr="009F3692" w:rsidR="009F3692">
        <w:rPr>
          <w:i/>
          <w:iCs/>
        </w:rPr>
        <w:t xml:space="preserve"> supra</w:t>
      </w:r>
      <w:r w:rsidRPr="009F3692" w:rsidR="009F3692">
        <w:t>, 89 Cal.App.5th at p.</w:t>
      </w:r>
      <w:r w:rsidR="00D81839">
        <w:t> </w:t>
      </w:r>
      <w:r w:rsidRPr="009F3692" w:rsidR="009F3692">
        <w:t xml:space="preserve">892 [when an error is purely one of state law, the </w:t>
      </w:r>
      <w:r w:rsidRPr="009F3692" w:rsidR="009F3692">
        <w:rPr>
          <w:i/>
          <w:iCs/>
        </w:rPr>
        <w:t>Watson</w:t>
      </w:r>
      <w:r w:rsidRPr="009F3692" w:rsidR="009F3692">
        <w:t xml:space="preserve"> harmless error test applies].)</w:t>
      </w:r>
    </w:p>
    <w:p w:rsidR="0000191B" w:rsidP="00251463" w14:paraId="13ABC9D3" w14:textId="62EE4F8E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</w:pPr>
      <w:r>
        <w:t>DISPOSITION</w:t>
      </w:r>
    </w:p>
    <w:p w:rsidR="000F72D5" w:rsidP="00251463" w14:paraId="406A5149" w14:textId="0F936D1A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Judgment is affirmed. </w:t>
      </w:r>
      <w:r w:rsidR="005135F4">
        <w:t xml:space="preserve"> </w:t>
      </w:r>
    </w:p>
    <w:p w:rsidR="00B34D64" w:rsidRPr="00B34D64" w:rsidP="00251463" w14:paraId="49BD28BF" w14:textId="19AFDEDA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  <w:rPr>
          <w:u w:val="single"/>
        </w:rPr>
      </w:pPr>
      <w:r>
        <w:rPr>
          <w:u w:val="single"/>
        </w:rPr>
        <w:t>CERTIFIED FOR PUBLICATION.</w:t>
      </w:r>
    </w:p>
    <w:p w:rsidR="0064322B" w:rsidP="00251463" w14:paraId="78D10F4F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</w:pPr>
    </w:p>
    <w:p w:rsidR="009E5752" w:rsidP="00251463" w14:paraId="78991F64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</w:pPr>
    </w:p>
    <w:p w:rsidR="00251463" w:rsidP="00251463" w14:paraId="60049B6D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</w:pPr>
    </w:p>
    <w:p w:rsidR="005164CA" w:rsidP="00251463" w14:paraId="0745476F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left="4320"/>
      </w:pPr>
    </w:p>
    <w:p w:rsidR="00B34D64" w:rsidP="00251463" w14:paraId="07D21903" w14:textId="1D239A80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left="4320"/>
      </w:pPr>
      <w:r>
        <w:t>CODY, J.</w:t>
      </w:r>
    </w:p>
    <w:p w:rsidR="00B34D64" w:rsidP="00251463" w14:paraId="22163799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left="4320"/>
      </w:pPr>
    </w:p>
    <w:p w:rsidR="00FB6800" w:rsidP="00251463" w14:paraId="5FC2D369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left="4320"/>
      </w:pPr>
    </w:p>
    <w:p w:rsidR="00B34D64" w:rsidP="00251463" w14:paraId="495FA234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</w:pPr>
      <w:r>
        <w:t>We concur:</w:t>
      </w:r>
    </w:p>
    <w:p w:rsidR="00B34D64" w:rsidP="00251463" w14:paraId="74DE7283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</w:pPr>
    </w:p>
    <w:p w:rsidR="005164CA" w:rsidP="00251463" w14:paraId="14DC12B0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</w:pPr>
    </w:p>
    <w:p w:rsidR="00251463" w:rsidP="00251463" w14:paraId="146F7B7F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</w:pPr>
    </w:p>
    <w:p w:rsidR="00FB6800" w:rsidP="003D13DC" w14:paraId="611F3315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</w:pPr>
      <w:r>
        <w:t>YEGAN, Acting P.J.</w:t>
      </w:r>
      <w:r w:rsidR="00D81839">
        <w:tab/>
      </w:r>
    </w:p>
    <w:p w:rsidR="00FB6800" w:rsidP="003D13DC" w14:paraId="28F3E3FD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</w:pPr>
    </w:p>
    <w:p w:rsidR="00FB6800" w:rsidP="003D13DC" w14:paraId="16A10072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</w:pPr>
    </w:p>
    <w:p w:rsidR="00FB6800" w:rsidP="003D13DC" w14:paraId="02BA9D43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</w:pPr>
    </w:p>
    <w:p w:rsidR="005164CA" w:rsidP="003D13DC" w14:paraId="2FD7B5DA" w14:textId="399ACD16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</w:pPr>
      <w:r>
        <w:t>BALTODANO, J.</w:t>
      </w:r>
      <w:r w:rsidR="003D13DC">
        <w:t xml:space="preserve"> </w:t>
      </w:r>
    </w:p>
    <w:p w:rsidR="0064322B" w:rsidP="00640A51" w14:paraId="01682E96" w14:textId="32E5CAB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</w:pPr>
      <w:r>
        <w:br w:type="page"/>
      </w:r>
      <w:r w:rsidR="002605E0">
        <w:t xml:space="preserve"> Barry T. LaBarbera,</w:t>
      </w:r>
      <w:r>
        <w:t xml:space="preserve"> Judge</w:t>
      </w:r>
      <w:r w:rsidR="002605E0">
        <w:t xml:space="preserve"> Presiding</w:t>
      </w:r>
    </w:p>
    <w:p w:rsidR="0064322B" w:rsidP="00640A51" w14:paraId="14CFE16C" w14:textId="61CBF2C4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</w:pPr>
      <w:r>
        <w:t xml:space="preserve">Superior Court County of </w:t>
      </w:r>
      <w:r w:rsidR="002605E0">
        <w:t>San Luis Obispo</w:t>
      </w:r>
    </w:p>
    <w:p w:rsidR="0064322B" w:rsidP="00640A51" w14:paraId="0607B72B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</w:pPr>
      <w:r>
        <w:t>______________________________</w:t>
      </w:r>
    </w:p>
    <w:p w:rsidR="0064322B" w:rsidP="00112B4A" w14:paraId="710A9DCF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  <w:jc w:val="center"/>
      </w:pPr>
    </w:p>
    <w:p w:rsidR="00A06A26" w:rsidRPr="00A06A26" w:rsidP="00A06A26" w14:paraId="4A4581A9" w14:textId="736563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>Olivia Meme,</w:t>
      </w:r>
      <w:r w:rsidRPr="00A06A26">
        <w:t xml:space="preserve"> under appointment by the Court of Appeal, for Defendant and Appellant.</w:t>
      </w:r>
    </w:p>
    <w:p w:rsidR="00FE0588" w:rsidRPr="006C7D8D" w:rsidP="00A06A26" w14:paraId="678C0DC1" w14:textId="04F73FDF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>Rob Bonta</w:t>
      </w:r>
      <w:r w:rsidRPr="00A06A26" w:rsidR="00A06A26">
        <w:t xml:space="preserve">, Attorney General, Lance E. Winters, Chief Assistant Attorney General, Susan Sullivan Pithey, Senior Assistant Attorney General, </w:t>
      </w:r>
      <w:r w:rsidR="002605E0">
        <w:t>Idan Ivri,</w:t>
      </w:r>
      <w:r w:rsidRPr="00A06A26" w:rsidR="00A06A26">
        <w:t xml:space="preserve"> Deputy Attorney General, and </w:t>
      </w:r>
      <w:r w:rsidR="002605E0">
        <w:t>Blythe J. Leszkay,</w:t>
      </w:r>
      <w:r w:rsidRPr="00A06A26" w:rsidR="00A06A26">
        <w:t xml:space="preserve"> Deputy Attorney General, for Plaintiff and Respondent.</w:t>
      </w:r>
    </w:p>
    <w:sectPr w:rsidSect="00FB6800">
      <w:footerReference w:type="default" r:id="rId6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7D8D" w:rsidP="006C7D8D" w14:paraId="4523BA98" w14:textId="4AB00C6E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6E755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326C3" w:rsidP="006C7D8D" w14:paraId="45F4099D" w14:textId="77777777">
      <w:pPr>
        <w:spacing w:line="240" w:lineRule="auto"/>
      </w:pPr>
      <w:r>
        <w:separator/>
      </w:r>
    </w:p>
  </w:footnote>
  <w:footnote w:type="continuationSeparator" w:id="1">
    <w:p w:rsidR="008326C3" w:rsidP="006C7D8D" w14:paraId="2C556F01" w14:textId="77777777">
      <w:pPr>
        <w:spacing w:line="240" w:lineRule="auto"/>
      </w:pPr>
      <w:r>
        <w:continuationSeparator/>
      </w:r>
    </w:p>
  </w:footnote>
  <w:footnote w:id="2">
    <w:p w:rsidR="00C2180C" w:rsidP="006969E3" w14:paraId="4685F41F" w14:textId="0B04FF6E">
      <w:pPr>
        <w:pStyle w:val="FootnoteText"/>
        <w:spacing w:line="240" w:lineRule="auto"/>
        <w:ind w:firstLine="720"/>
        <w:rPr>
          <w:sz w:val="26"/>
          <w:szCs w:val="26"/>
        </w:rPr>
      </w:pPr>
      <w:r w:rsidRPr="00C2180C">
        <w:rPr>
          <w:rStyle w:val="FootnoteReference"/>
          <w:sz w:val="26"/>
          <w:szCs w:val="26"/>
        </w:rPr>
        <w:footnoteRef/>
      </w:r>
      <w:r w:rsidRPr="00C2180C">
        <w:rPr>
          <w:sz w:val="26"/>
          <w:szCs w:val="26"/>
        </w:rPr>
        <w:t xml:space="preserve"> </w:t>
      </w:r>
      <w:r w:rsidRPr="00E350A5">
        <w:rPr>
          <w:sz w:val="26"/>
          <w:szCs w:val="26"/>
        </w:rPr>
        <w:t>Further statutory references are to the Penal Code.</w:t>
      </w:r>
    </w:p>
    <w:p w:rsidR="006969E3" w:rsidP="006969E3" w14:paraId="091D73D8" w14:textId="77777777">
      <w:pPr>
        <w:pStyle w:val="FootnoteText"/>
        <w:spacing w:line="240" w:lineRule="auto"/>
        <w:ind w:firstLine="720"/>
      </w:pPr>
    </w:p>
  </w:footnote>
  <w:footnote w:id="3">
    <w:p w:rsidR="00377552" w:rsidRPr="0029638F" w:rsidP="006969E3" w14:paraId="1DE23056" w14:textId="262988C6">
      <w:pPr>
        <w:pStyle w:val="FootnoteText"/>
        <w:spacing w:line="240" w:lineRule="auto"/>
        <w:ind w:firstLine="720"/>
        <w:rPr>
          <w:sz w:val="26"/>
          <w:szCs w:val="26"/>
        </w:rPr>
      </w:pPr>
      <w:r w:rsidRPr="0029638F">
        <w:rPr>
          <w:rStyle w:val="FootnoteReference"/>
          <w:sz w:val="26"/>
          <w:szCs w:val="26"/>
        </w:rPr>
        <w:footnoteRef/>
      </w:r>
      <w:r w:rsidRPr="0029638F">
        <w:rPr>
          <w:sz w:val="26"/>
          <w:szCs w:val="26"/>
        </w:rPr>
        <w:t xml:space="preserve"> </w:t>
      </w:r>
      <w:r w:rsidR="00E071C2">
        <w:rPr>
          <w:sz w:val="26"/>
          <w:szCs w:val="26"/>
        </w:rPr>
        <w:t>S</w:t>
      </w:r>
      <w:r>
        <w:rPr>
          <w:sz w:val="26"/>
          <w:szCs w:val="26"/>
        </w:rPr>
        <w:t>ection 1170.</w:t>
      </w:r>
      <w:r w:rsidR="006969E3">
        <w:rPr>
          <w:sz w:val="26"/>
          <w:szCs w:val="26"/>
        </w:rPr>
        <w:t>95</w:t>
      </w:r>
      <w:r>
        <w:rPr>
          <w:sz w:val="26"/>
          <w:szCs w:val="26"/>
        </w:rPr>
        <w:t xml:space="preserve"> </w:t>
      </w:r>
      <w:r w:rsidR="00E071C2">
        <w:rPr>
          <w:sz w:val="26"/>
          <w:szCs w:val="26"/>
        </w:rPr>
        <w:t xml:space="preserve">was recast as </w:t>
      </w:r>
      <w:r w:rsidRPr="0029638F">
        <w:rPr>
          <w:sz w:val="26"/>
          <w:szCs w:val="26"/>
        </w:rPr>
        <w:t>section 1172.6 without substantive changes.  (</w:t>
      </w:r>
      <w:r w:rsidRPr="0029638F">
        <w:rPr>
          <w:i/>
          <w:iCs/>
          <w:sz w:val="26"/>
          <w:szCs w:val="26"/>
        </w:rPr>
        <w:t>People v. Delgadillo</w:t>
      </w:r>
      <w:r w:rsidRPr="0029638F">
        <w:rPr>
          <w:sz w:val="26"/>
          <w:szCs w:val="26"/>
        </w:rPr>
        <w:t xml:space="preserve"> (2022) 14 Cal.5th 216, 223, fn. 3.)</w:t>
      </w:r>
    </w:p>
  </w:footnote>
  <w:footnote w:id="4">
    <w:p w:rsidR="002C44B9" w:rsidRPr="00FB6800" w:rsidP="00FB6800" w14:paraId="4B507BAA" w14:textId="41F9E0C9">
      <w:pPr>
        <w:pStyle w:val="FootnoteText"/>
        <w:spacing w:line="240" w:lineRule="auto"/>
        <w:ind w:firstLine="720"/>
        <w:rPr>
          <w:sz w:val="26"/>
          <w:szCs w:val="26"/>
        </w:rPr>
      </w:pPr>
      <w:r w:rsidRPr="00FB6800">
        <w:rPr>
          <w:rStyle w:val="FootnoteReference"/>
          <w:sz w:val="26"/>
          <w:szCs w:val="26"/>
        </w:rPr>
        <w:footnoteRef/>
      </w:r>
      <w:r w:rsidRPr="00FB6800">
        <w:rPr>
          <w:sz w:val="26"/>
          <w:szCs w:val="26"/>
        </w:rPr>
        <w:t xml:space="preserve"> Although the abstract </w:t>
      </w:r>
      <w:r w:rsidR="00B76557">
        <w:rPr>
          <w:sz w:val="26"/>
          <w:szCs w:val="26"/>
        </w:rPr>
        <w:t xml:space="preserve">of judgment </w:t>
      </w:r>
      <w:r w:rsidRPr="00FB6800">
        <w:rPr>
          <w:sz w:val="26"/>
          <w:szCs w:val="26"/>
        </w:rPr>
        <w:t>and reporter’s transcript show a guilty plea to attempted second degree murder, attempted murder is not divided into degrees.</w:t>
      </w:r>
      <w:r w:rsidRPr="00FB6800" w:rsidR="00F62A7E">
        <w:rPr>
          <w:sz w:val="26"/>
          <w:szCs w:val="26"/>
        </w:rPr>
        <w:t xml:space="preserve">  (</w:t>
      </w:r>
      <w:r w:rsidRPr="00FB6800" w:rsidR="00F62A7E">
        <w:rPr>
          <w:i/>
          <w:iCs/>
          <w:sz w:val="26"/>
          <w:szCs w:val="26"/>
        </w:rPr>
        <w:t>People v. Favor</w:t>
      </w:r>
      <w:r w:rsidRPr="00FB6800" w:rsidR="00F62A7E">
        <w:rPr>
          <w:sz w:val="26"/>
          <w:szCs w:val="26"/>
        </w:rPr>
        <w:t xml:space="preserve"> (2012) 54 Cal.4th 868, 876-877.)  Instead, because </w:t>
      </w:r>
      <w:r w:rsidR="00B76557">
        <w:rPr>
          <w:sz w:val="26"/>
          <w:szCs w:val="26"/>
        </w:rPr>
        <w:t>appellant</w:t>
      </w:r>
      <w:r w:rsidRPr="00FB6800" w:rsidR="00F62A7E">
        <w:rPr>
          <w:sz w:val="26"/>
          <w:szCs w:val="26"/>
        </w:rPr>
        <w:t xml:space="preserve"> did not admit</w:t>
      </w:r>
      <w:r w:rsidRPr="00FB6800" w:rsidR="00485CA6">
        <w:rPr>
          <w:sz w:val="26"/>
          <w:szCs w:val="26"/>
        </w:rPr>
        <w:t xml:space="preserve"> the attempted murder was willful, deliberate, or premeditated, the sentencing triad was </w:t>
      </w:r>
      <w:r w:rsidRPr="00FB6800" w:rsidR="00FC4EEB">
        <w:rPr>
          <w:sz w:val="26"/>
          <w:szCs w:val="26"/>
        </w:rPr>
        <w:t xml:space="preserve">5, 7, or 9 years rather than </w:t>
      </w:r>
      <w:r w:rsidRPr="00FB6800" w:rsidR="00512E59">
        <w:rPr>
          <w:sz w:val="26"/>
          <w:szCs w:val="26"/>
        </w:rPr>
        <w:t>lif</w:t>
      </w:r>
      <w:r w:rsidRPr="00FB6800" w:rsidR="00485CA6">
        <w:rPr>
          <w:rFonts w:eastAsia="Times New Roman" w:cs="Calibri"/>
          <w:color w:val="000000"/>
          <w:sz w:val="26"/>
          <w:szCs w:val="26"/>
        </w:rPr>
        <w:t>e with the possibility of parole</w:t>
      </w:r>
      <w:r w:rsidRPr="00FB6800" w:rsidR="00512E59">
        <w:rPr>
          <w:rFonts w:eastAsia="Times New Roman" w:cs="Calibri"/>
          <w:color w:val="000000"/>
          <w:sz w:val="26"/>
          <w:szCs w:val="26"/>
        </w:rPr>
        <w:t>.  (</w:t>
      </w:r>
      <w:r w:rsidRPr="00FB6800" w:rsidR="008A3B95">
        <w:rPr>
          <w:rFonts w:eastAsia="Times New Roman" w:cs="Calibri"/>
          <w:i/>
          <w:iCs/>
          <w:color w:val="000000"/>
          <w:sz w:val="26"/>
          <w:szCs w:val="26"/>
        </w:rPr>
        <w:t>Ibid</w:t>
      </w:r>
      <w:r w:rsidRPr="00FB6800" w:rsidR="008A3B95">
        <w:rPr>
          <w:rFonts w:eastAsia="Times New Roman" w:cs="Calibri"/>
          <w:color w:val="000000"/>
          <w:sz w:val="26"/>
          <w:szCs w:val="26"/>
        </w:rPr>
        <w:t xml:space="preserve">.; </w:t>
      </w:r>
      <w:r w:rsidRPr="00FB6800" w:rsidR="00512E59">
        <w:rPr>
          <w:rFonts w:eastAsia="Times New Roman" w:cs="Calibri"/>
          <w:color w:val="000000"/>
          <w:sz w:val="26"/>
          <w:szCs w:val="26"/>
        </w:rPr>
        <w:t>§ 664, subd. (a).)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4A41AE"/>
    <w:multiLevelType w:val="hybridMultilevel"/>
    <w:tmpl w:val="F216E7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8127EB"/>
    <w:multiLevelType w:val="hybridMultilevel"/>
    <w:tmpl w:val="438EF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23C7D"/>
    <w:multiLevelType w:val="hybridMultilevel"/>
    <w:tmpl w:val="93C69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4F43"/>
    <w:multiLevelType w:val="hybridMultilevel"/>
    <w:tmpl w:val="109EEB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8D"/>
    <w:rsid w:val="0000191B"/>
    <w:rsid w:val="00001F5C"/>
    <w:rsid w:val="0000573D"/>
    <w:rsid w:val="00011876"/>
    <w:rsid w:val="00012FAC"/>
    <w:rsid w:val="00013A3B"/>
    <w:rsid w:val="000150D1"/>
    <w:rsid w:val="00017549"/>
    <w:rsid w:val="00021233"/>
    <w:rsid w:val="00021AFE"/>
    <w:rsid w:val="00023818"/>
    <w:rsid w:val="000241AE"/>
    <w:rsid w:val="00025E5A"/>
    <w:rsid w:val="00027BDC"/>
    <w:rsid w:val="00030414"/>
    <w:rsid w:val="0003042A"/>
    <w:rsid w:val="000347C1"/>
    <w:rsid w:val="000357B9"/>
    <w:rsid w:val="000367FE"/>
    <w:rsid w:val="00036E6A"/>
    <w:rsid w:val="000457DE"/>
    <w:rsid w:val="00046938"/>
    <w:rsid w:val="00050F8B"/>
    <w:rsid w:val="00056E30"/>
    <w:rsid w:val="00061444"/>
    <w:rsid w:val="00064AFF"/>
    <w:rsid w:val="000671CF"/>
    <w:rsid w:val="0007138F"/>
    <w:rsid w:val="00071C8A"/>
    <w:rsid w:val="00071EE8"/>
    <w:rsid w:val="00073251"/>
    <w:rsid w:val="00073B28"/>
    <w:rsid w:val="00074EFF"/>
    <w:rsid w:val="00074FF9"/>
    <w:rsid w:val="000802E6"/>
    <w:rsid w:val="00085BA0"/>
    <w:rsid w:val="000864D0"/>
    <w:rsid w:val="0008743B"/>
    <w:rsid w:val="00087946"/>
    <w:rsid w:val="00090084"/>
    <w:rsid w:val="00091880"/>
    <w:rsid w:val="00091A0D"/>
    <w:rsid w:val="00092356"/>
    <w:rsid w:val="000927A7"/>
    <w:rsid w:val="00094C5E"/>
    <w:rsid w:val="00095B6A"/>
    <w:rsid w:val="000975E4"/>
    <w:rsid w:val="000A4D52"/>
    <w:rsid w:val="000A4DF1"/>
    <w:rsid w:val="000A5676"/>
    <w:rsid w:val="000A71AB"/>
    <w:rsid w:val="000A79E5"/>
    <w:rsid w:val="000B0A9A"/>
    <w:rsid w:val="000B15E6"/>
    <w:rsid w:val="000B2515"/>
    <w:rsid w:val="000B2D70"/>
    <w:rsid w:val="000B4478"/>
    <w:rsid w:val="000B4AF5"/>
    <w:rsid w:val="000B4FB7"/>
    <w:rsid w:val="000B5AE6"/>
    <w:rsid w:val="000C1B87"/>
    <w:rsid w:val="000C4019"/>
    <w:rsid w:val="000C6652"/>
    <w:rsid w:val="000D102F"/>
    <w:rsid w:val="000D2126"/>
    <w:rsid w:val="000D334C"/>
    <w:rsid w:val="000D5A0E"/>
    <w:rsid w:val="000D7611"/>
    <w:rsid w:val="000D799D"/>
    <w:rsid w:val="000E02FB"/>
    <w:rsid w:val="000E0CF3"/>
    <w:rsid w:val="000E19AB"/>
    <w:rsid w:val="000E36D5"/>
    <w:rsid w:val="000E3A6B"/>
    <w:rsid w:val="000E610D"/>
    <w:rsid w:val="000E7906"/>
    <w:rsid w:val="000E7B87"/>
    <w:rsid w:val="000E7EA0"/>
    <w:rsid w:val="000F05BF"/>
    <w:rsid w:val="000F2456"/>
    <w:rsid w:val="000F271B"/>
    <w:rsid w:val="000F5FAE"/>
    <w:rsid w:val="000F649B"/>
    <w:rsid w:val="000F72D5"/>
    <w:rsid w:val="00102267"/>
    <w:rsid w:val="001023D3"/>
    <w:rsid w:val="0010249D"/>
    <w:rsid w:val="00105B91"/>
    <w:rsid w:val="00105C73"/>
    <w:rsid w:val="00106106"/>
    <w:rsid w:val="0010657F"/>
    <w:rsid w:val="0011000A"/>
    <w:rsid w:val="00112B4A"/>
    <w:rsid w:val="001130DA"/>
    <w:rsid w:val="00113CDD"/>
    <w:rsid w:val="001153FB"/>
    <w:rsid w:val="00116B08"/>
    <w:rsid w:val="001209F5"/>
    <w:rsid w:val="00120A6C"/>
    <w:rsid w:val="00124C25"/>
    <w:rsid w:val="00130E71"/>
    <w:rsid w:val="001335E0"/>
    <w:rsid w:val="001341B3"/>
    <w:rsid w:val="0013433B"/>
    <w:rsid w:val="00135CCC"/>
    <w:rsid w:val="00137CED"/>
    <w:rsid w:val="00140351"/>
    <w:rsid w:val="00140491"/>
    <w:rsid w:val="00140C3A"/>
    <w:rsid w:val="00141625"/>
    <w:rsid w:val="00147B80"/>
    <w:rsid w:val="00151368"/>
    <w:rsid w:val="00153444"/>
    <w:rsid w:val="00154FFF"/>
    <w:rsid w:val="0015639D"/>
    <w:rsid w:val="00156CEB"/>
    <w:rsid w:val="00160677"/>
    <w:rsid w:val="001620C8"/>
    <w:rsid w:val="001624AB"/>
    <w:rsid w:val="0016486E"/>
    <w:rsid w:val="001650C7"/>
    <w:rsid w:val="00165488"/>
    <w:rsid w:val="001670F1"/>
    <w:rsid w:val="00170B6D"/>
    <w:rsid w:val="00172F78"/>
    <w:rsid w:val="00174C93"/>
    <w:rsid w:val="00176450"/>
    <w:rsid w:val="00177B43"/>
    <w:rsid w:val="001809E8"/>
    <w:rsid w:val="001825A6"/>
    <w:rsid w:val="00184ED2"/>
    <w:rsid w:val="001910E8"/>
    <w:rsid w:val="00194CA4"/>
    <w:rsid w:val="001A1DB7"/>
    <w:rsid w:val="001A23CD"/>
    <w:rsid w:val="001A33B1"/>
    <w:rsid w:val="001A39C4"/>
    <w:rsid w:val="001A6A57"/>
    <w:rsid w:val="001B00B7"/>
    <w:rsid w:val="001B0EEE"/>
    <w:rsid w:val="001B157A"/>
    <w:rsid w:val="001B42CB"/>
    <w:rsid w:val="001B4783"/>
    <w:rsid w:val="001B64FE"/>
    <w:rsid w:val="001C0563"/>
    <w:rsid w:val="001C13E6"/>
    <w:rsid w:val="001C17EB"/>
    <w:rsid w:val="001C18A5"/>
    <w:rsid w:val="001C1D45"/>
    <w:rsid w:val="001C1E99"/>
    <w:rsid w:val="001C4AD9"/>
    <w:rsid w:val="001C6315"/>
    <w:rsid w:val="001D1171"/>
    <w:rsid w:val="001D2CA5"/>
    <w:rsid w:val="001D35B3"/>
    <w:rsid w:val="001D63E2"/>
    <w:rsid w:val="001D70D3"/>
    <w:rsid w:val="001D7401"/>
    <w:rsid w:val="001E0D8A"/>
    <w:rsid w:val="001E160A"/>
    <w:rsid w:val="001E2245"/>
    <w:rsid w:val="001E38FA"/>
    <w:rsid w:val="001E7141"/>
    <w:rsid w:val="001F2BAA"/>
    <w:rsid w:val="0020307A"/>
    <w:rsid w:val="002113A8"/>
    <w:rsid w:val="002134CE"/>
    <w:rsid w:val="00214383"/>
    <w:rsid w:val="0022463B"/>
    <w:rsid w:val="00227A84"/>
    <w:rsid w:val="00230F2A"/>
    <w:rsid w:val="00232876"/>
    <w:rsid w:val="00233A93"/>
    <w:rsid w:val="00237881"/>
    <w:rsid w:val="002405A1"/>
    <w:rsid w:val="002412AA"/>
    <w:rsid w:val="00241815"/>
    <w:rsid w:val="002456A6"/>
    <w:rsid w:val="00247E92"/>
    <w:rsid w:val="00250F3C"/>
    <w:rsid w:val="00251463"/>
    <w:rsid w:val="0025199C"/>
    <w:rsid w:val="00253B65"/>
    <w:rsid w:val="002605E0"/>
    <w:rsid w:val="00261C69"/>
    <w:rsid w:val="00263C64"/>
    <w:rsid w:val="00265125"/>
    <w:rsid w:val="00266389"/>
    <w:rsid w:val="00266789"/>
    <w:rsid w:val="00266AFC"/>
    <w:rsid w:val="0027209D"/>
    <w:rsid w:val="00273094"/>
    <w:rsid w:val="00275A66"/>
    <w:rsid w:val="002767C4"/>
    <w:rsid w:val="00277CD6"/>
    <w:rsid w:val="00280467"/>
    <w:rsid w:val="00283D08"/>
    <w:rsid w:val="00283E3C"/>
    <w:rsid w:val="00287150"/>
    <w:rsid w:val="00293A1A"/>
    <w:rsid w:val="00294D39"/>
    <w:rsid w:val="0029638F"/>
    <w:rsid w:val="00297044"/>
    <w:rsid w:val="002A0B44"/>
    <w:rsid w:val="002A0EFC"/>
    <w:rsid w:val="002A386F"/>
    <w:rsid w:val="002A3B42"/>
    <w:rsid w:val="002A4BD5"/>
    <w:rsid w:val="002A6C3B"/>
    <w:rsid w:val="002A7437"/>
    <w:rsid w:val="002A7A4F"/>
    <w:rsid w:val="002B02FF"/>
    <w:rsid w:val="002B0C71"/>
    <w:rsid w:val="002B3AD2"/>
    <w:rsid w:val="002B69D0"/>
    <w:rsid w:val="002C1539"/>
    <w:rsid w:val="002C1EBD"/>
    <w:rsid w:val="002C2893"/>
    <w:rsid w:val="002C3017"/>
    <w:rsid w:val="002C44B9"/>
    <w:rsid w:val="002C7B9C"/>
    <w:rsid w:val="002D0A4D"/>
    <w:rsid w:val="002D480A"/>
    <w:rsid w:val="002D4E86"/>
    <w:rsid w:val="002D5CFD"/>
    <w:rsid w:val="002D77F7"/>
    <w:rsid w:val="002D7D8B"/>
    <w:rsid w:val="002E1F58"/>
    <w:rsid w:val="002E459A"/>
    <w:rsid w:val="002E5BF9"/>
    <w:rsid w:val="002E6E0C"/>
    <w:rsid w:val="002F3629"/>
    <w:rsid w:val="002F364D"/>
    <w:rsid w:val="002F72CE"/>
    <w:rsid w:val="003020C4"/>
    <w:rsid w:val="0030447F"/>
    <w:rsid w:val="00305DAC"/>
    <w:rsid w:val="00305EBD"/>
    <w:rsid w:val="0030656B"/>
    <w:rsid w:val="003072BB"/>
    <w:rsid w:val="003105A9"/>
    <w:rsid w:val="0031392C"/>
    <w:rsid w:val="003164D2"/>
    <w:rsid w:val="00317036"/>
    <w:rsid w:val="00317A1B"/>
    <w:rsid w:val="00317A97"/>
    <w:rsid w:val="00332C08"/>
    <w:rsid w:val="00334C10"/>
    <w:rsid w:val="00335B9F"/>
    <w:rsid w:val="00337637"/>
    <w:rsid w:val="003409FF"/>
    <w:rsid w:val="003416B6"/>
    <w:rsid w:val="00341F42"/>
    <w:rsid w:val="003439B6"/>
    <w:rsid w:val="0034699C"/>
    <w:rsid w:val="003469E9"/>
    <w:rsid w:val="00347F07"/>
    <w:rsid w:val="00350375"/>
    <w:rsid w:val="00351CDE"/>
    <w:rsid w:val="003548DC"/>
    <w:rsid w:val="00356071"/>
    <w:rsid w:val="00372FC8"/>
    <w:rsid w:val="0037332C"/>
    <w:rsid w:val="003733FA"/>
    <w:rsid w:val="00374F5B"/>
    <w:rsid w:val="00377552"/>
    <w:rsid w:val="0038525A"/>
    <w:rsid w:val="00387047"/>
    <w:rsid w:val="0039078A"/>
    <w:rsid w:val="0039573E"/>
    <w:rsid w:val="003A41C3"/>
    <w:rsid w:val="003A5E39"/>
    <w:rsid w:val="003A6AB2"/>
    <w:rsid w:val="003A6EA6"/>
    <w:rsid w:val="003B001F"/>
    <w:rsid w:val="003B0647"/>
    <w:rsid w:val="003B0E6C"/>
    <w:rsid w:val="003B2F44"/>
    <w:rsid w:val="003B433A"/>
    <w:rsid w:val="003B743C"/>
    <w:rsid w:val="003B7847"/>
    <w:rsid w:val="003C2EE1"/>
    <w:rsid w:val="003C33E6"/>
    <w:rsid w:val="003C3487"/>
    <w:rsid w:val="003C34DF"/>
    <w:rsid w:val="003C42A8"/>
    <w:rsid w:val="003C4D91"/>
    <w:rsid w:val="003C6C49"/>
    <w:rsid w:val="003D13DC"/>
    <w:rsid w:val="003D168F"/>
    <w:rsid w:val="003D4FBD"/>
    <w:rsid w:val="003D6D7F"/>
    <w:rsid w:val="003E21A0"/>
    <w:rsid w:val="003E6B59"/>
    <w:rsid w:val="003E7AD8"/>
    <w:rsid w:val="003F5E4D"/>
    <w:rsid w:val="003F78FC"/>
    <w:rsid w:val="00402ECB"/>
    <w:rsid w:val="00404045"/>
    <w:rsid w:val="004046D5"/>
    <w:rsid w:val="0040641C"/>
    <w:rsid w:val="004065D0"/>
    <w:rsid w:val="0040667A"/>
    <w:rsid w:val="00406E63"/>
    <w:rsid w:val="0041073F"/>
    <w:rsid w:val="00413B90"/>
    <w:rsid w:val="00420296"/>
    <w:rsid w:val="00425E3F"/>
    <w:rsid w:val="00431AEC"/>
    <w:rsid w:val="00431E24"/>
    <w:rsid w:val="004342FD"/>
    <w:rsid w:val="00440AC5"/>
    <w:rsid w:val="00442C23"/>
    <w:rsid w:val="00443F0D"/>
    <w:rsid w:val="004464DC"/>
    <w:rsid w:val="00450165"/>
    <w:rsid w:val="0045197A"/>
    <w:rsid w:val="00452399"/>
    <w:rsid w:val="00452F97"/>
    <w:rsid w:val="0045349C"/>
    <w:rsid w:val="00454337"/>
    <w:rsid w:val="00455CC1"/>
    <w:rsid w:val="00460292"/>
    <w:rsid w:val="00460888"/>
    <w:rsid w:val="004632F5"/>
    <w:rsid w:val="00463834"/>
    <w:rsid w:val="00464221"/>
    <w:rsid w:val="00465BD5"/>
    <w:rsid w:val="00467224"/>
    <w:rsid w:val="00473891"/>
    <w:rsid w:val="0047670F"/>
    <w:rsid w:val="00476B4C"/>
    <w:rsid w:val="00477DE2"/>
    <w:rsid w:val="004833D1"/>
    <w:rsid w:val="00484A1A"/>
    <w:rsid w:val="00485CA6"/>
    <w:rsid w:val="00487713"/>
    <w:rsid w:val="004909AA"/>
    <w:rsid w:val="00490B20"/>
    <w:rsid w:val="004910BE"/>
    <w:rsid w:val="004939E4"/>
    <w:rsid w:val="004A0F9D"/>
    <w:rsid w:val="004A2055"/>
    <w:rsid w:val="004A35C3"/>
    <w:rsid w:val="004A39DE"/>
    <w:rsid w:val="004A534B"/>
    <w:rsid w:val="004A545F"/>
    <w:rsid w:val="004B2A63"/>
    <w:rsid w:val="004B3081"/>
    <w:rsid w:val="004B31B6"/>
    <w:rsid w:val="004B43ED"/>
    <w:rsid w:val="004B4A12"/>
    <w:rsid w:val="004C128A"/>
    <w:rsid w:val="004C1FA1"/>
    <w:rsid w:val="004C240F"/>
    <w:rsid w:val="004C4658"/>
    <w:rsid w:val="004C5A05"/>
    <w:rsid w:val="004C7864"/>
    <w:rsid w:val="004D0CDC"/>
    <w:rsid w:val="004D1723"/>
    <w:rsid w:val="004D2485"/>
    <w:rsid w:val="004D36F6"/>
    <w:rsid w:val="004D3BC1"/>
    <w:rsid w:val="004D6456"/>
    <w:rsid w:val="004D7316"/>
    <w:rsid w:val="004E0669"/>
    <w:rsid w:val="004E1AFB"/>
    <w:rsid w:val="004E235D"/>
    <w:rsid w:val="004E3360"/>
    <w:rsid w:val="004E3E8F"/>
    <w:rsid w:val="004E58FC"/>
    <w:rsid w:val="004F2CF7"/>
    <w:rsid w:val="004F2FCD"/>
    <w:rsid w:val="004F3BC7"/>
    <w:rsid w:val="004F3D39"/>
    <w:rsid w:val="004F44C4"/>
    <w:rsid w:val="004F4C90"/>
    <w:rsid w:val="00503C0A"/>
    <w:rsid w:val="00503C4D"/>
    <w:rsid w:val="00506D6B"/>
    <w:rsid w:val="00507506"/>
    <w:rsid w:val="00507E58"/>
    <w:rsid w:val="00512E59"/>
    <w:rsid w:val="005135F4"/>
    <w:rsid w:val="00514386"/>
    <w:rsid w:val="00515B96"/>
    <w:rsid w:val="005164CA"/>
    <w:rsid w:val="00516BC4"/>
    <w:rsid w:val="0051726F"/>
    <w:rsid w:val="00517D5E"/>
    <w:rsid w:val="00520A1B"/>
    <w:rsid w:val="00522186"/>
    <w:rsid w:val="005266F9"/>
    <w:rsid w:val="00527B57"/>
    <w:rsid w:val="005318AE"/>
    <w:rsid w:val="00531C7A"/>
    <w:rsid w:val="00531EA3"/>
    <w:rsid w:val="00533CD5"/>
    <w:rsid w:val="00537240"/>
    <w:rsid w:val="005379F3"/>
    <w:rsid w:val="005435DE"/>
    <w:rsid w:val="0054364F"/>
    <w:rsid w:val="00554E95"/>
    <w:rsid w:val="0055525B"/>
    <w:rsid w:val="005613EC"/>
    <w:rsid w:val="00562DE9"/>
    <w:rsid w:val="00564E12"/>
    <w:rsid w:val="0056534B"/>
    <w:rsid w:val="00567616"/>
    <w:rsid w:val="005725C8"/>
    <w:rsid w:val="005740A8"/>
    <w:rsid w:val="00576145"/>
    <w:rsid w:val="00580B7E"/>
    <w:rsid w:val="00580F9C"/>
    <w:rsid w:val="00582DF6"/>
    <w:rsid w:val="00583809"/>
    <w:rsid w:val="005903D6"/>
    <w:rsid w:val="00593AAF"/>
    <w:rsid w:val="0059613E"/>
    <w:rsid w:val="005A23B6"/>
    <w:rsid w:val="005A4E80"/>
    <w:rsid w:val="005A5F92"/>
    <w:rsid w:val="005B02C4"/>
    <w:rsid w:val="005B0D42"/>
    <w:rsid w:val="005B1E2B"/>
    <w:rsid w:val="005B22FD"/>
    <w:rsid w:val="005B533D"/>
    <w:rsid w:val="005B6783"/>
    <w:rsid w:val="005B7BF4"/>
    <w:rsid w:val="005C0AC0"/>
    <w:rsid w:val="005C4506"/>
    <w:rsid w:val="005C4705"/>
    <w:rsid w:val="005C576B"/>
    <w:rsid w:val="005C6695"/>
    <w:rsid w:val="005C680E"/>
    <w:rsid w:val="005D03AE"/>
    <w:rsid w:val="005D0DBD"/>
    <w:rsid w:val="005D5AD6"/>
    <w:rsid w:val="005D6B78"/>
    <w:rsid w:val="005D6CDB"/>
    <w:rsid w:val="005E3D8C"/>
    <w:rsid w:val="005E4E8A"/>
    <w:rsid w:val="005E57AB"/>
    <w:rsid w:val="005E7396"/>
    <w:rsid w:val="005F0FDA"/>
    <w:rsid w:val="005F66BD"/>
    <w:rsid w:val="005F6C0D"/>
    <w:rsid w:val="005F6EA3"/>
    <w:rsid w:val="005F717B"/>
    <w:rsid w:val="005F779E"/>
    <w:rsid w:val="005F79B3"/>
    <w:rsid w:val="0060106F"/>
    <w:rsid w:val="00601E24"/>
    <w:rsid w:val="006038D1"/>
    <w:rsid w:val="00604BD9"/>
    <w:rsid w:val="006057BB"/>
    <w:rsid w:val="006060F5"/>
    <w:rsid w:val="00610E7C"/>
    <w:rsid w:val="006122CC"/>
    <w:rsid w:val="00612378"/>
    <w:rsid w:val="00615256"/>
    <w:rsid w:val="0061587C"/>
    <w:rsid w:val="006176DE"/>
    <w:rsid w:val="0062095D"/>
    <w:rsid w:val="0062539F"/>
    <w:rsid w:val="00627DA3"/>
    <w:rsid w:val="00627E29"/>
    <w:rsid w:val="00627E2E"/>
    <w:rsid w:val="00630CA3"/>
    <w:rsid w:val="00631A42"/>
    <w:rsid w:val="0063215E"/>
    <w:rsid w:val="00632872"/>
    <w:rsid w:val="00635EF9"/>
    <w:rsid w:val="00637606"/>
    <w:rsid w:val="00640952"/>
    <w:rsid w:val="00640A51"/>
    <w:rsid w:val="00640DEF"/>
    <w:rsid w:val="006426C8"/>
    <w:rsid w:val="0064322B"/>
    <w:rsid w:val="00643400"/>
    <w:rsid w:val="00646B64"/>
    <w:rsid w:val="00651184"/>
    <w:rsid w:val="00651F3A"/>
    <w:rsid w:val="00655B0C"/>
    <w:rsid w:val="00656399"/>
    <w:rsid w:val="00656617"/>
    <w:rsid w:val="00657C23"/>
    <w:rsid w:val="00665E81"/>
    <w:rsid w:val="00666F20"/>
    <w:rsid w:val="00667181"/>
    <w:rsid w:val="00667BE6"/>
    <w:rsid w:val="00671436"/>
    <w:rsid w:val="00672BFD"/>
    <w:rsid w:val="00674EBF"/>
    <w:rsid w:val="006756B1"/>
    <w:rsid w:val="00675E83"/>
    <w:rsid w:val="00677FD1"/>
    <w:rsid w:val="006808F0"/>
    <w:rsid w:val="00681671"/>
    <w:rsid w:val="00681BE9"/>
    <w:rsid w:val="00682961"/>
    <w:rsid w:val="006836EA"/>
    <w:rsid w:val="00684544"/>
    <w:rsid w:val="006847D2"/>
    <w:rsid w:val="0068644C"/>
    <w:rsid w:val="00693018"/>
    <w:rsid w:val="00693E70"/>
    <w:rsid w:val="00694197"/>
    <w:rsid w:val="0069655B"/>
    <w:rsid w:val="006969E3"/>
    <w:rsid w:val="006A2142"/>
    <w:rsid w:val="006A4AEC"/>
    <w:rsid w:val="006B0018"/>
    <w:rsid w:val="006B1E60"/>
    <w:rsid w:val="006B3842"/>
    <w:rsid w:val="006B51AE"/>
    <w:rsid w:val="006B6816"/>
    <w:rsid w:val="006C2591"/>
    <w:rsid w:val="006C2909"/>
    <w:rsid w:val="006C2A6B"/>
    <w:rsid w:val="006C34FB"/>
    <w:rsid w:val="006C60AC"/>
    <w:rsid w:val="006C7D8D"/>
    <w:rsid w:val="006D2F25"/>
    <w:rsid w:val="006D694C"/>
    <w:rsid w:val="006E1F1E"/>
    <w:rsid w:val="006E2251"/>
    <w:rsid w:val="006E4B6A"/>
    <w:rsid w:val="006E7555"/>
    <w:rsid w:val="006F025A"/>
    <w:rsid w:val="006F383B"/>
    <w:rsid w:val="006F4D10"/>
    <w:rsid w:val="006F4D33"/>
    <w:rsid w:val="006F51C3"/>
    <w:rsid w:val="00702394"/>
    <w:rsid w:val="007023C8"/>
    <w:rsid w:val="00703940"/>
    <w:rsid w:val="007045D6"/>
    <w:rsid w:val="007075B5"/>
    <w:rsid w:val="00710FE2"/>
    <w:rsid w:val="00712B6F"/>
    <w:rsid w:val="0071346B"/>
    <w:rsid w:val="007153B5"/>
    <w:rsid w:val="00724C61"/>
    <w:rsid w:val="00724F98"/>
    <w:rsid w:val="00730369"/>
    <w:rsid w:val="00730AFF"/>
    <w:rsid w:val="00731172"/>
    <w:rsid w:val="00731612"/>
    <w:rsid w:val="00732142"/>
    <w:rsid w:val="007356AB"/>
    <w:rsid w:val="00741589"/>
    <w:rsid w:val="00745291"/>
    <w:rsid w:val="00750069"/>
    <w:rsid w:val="00751901"/>
    <w:rsid w:val="00751E0D"/>
    <w:rsid w:val="00755FA5"/>
    <w:rsid w:val="007620D6"/>
    <w:rsid w:val="00763B2B"/>
    <w:rsid w:val="00764B03"/>
    <w:rsid w:val="007664A0"/>
    <w:rsid w:val="00767DFD"/>
    <w:rsid w:val="00770AC9"/>
    <w:rsid w:val="00770FD6"/>
    <w:rsid w:val="00772265"/>
    <w:rsid w:val="0077266D"/>
    <w:rsid w:val="00772BE1"/>
    <w:rsid w:val="00774D36"/>
    <w:rsid w:val="007838C3"/>
    <w:rsid w:val="00786089"/>
    <w:rsid w:val="00793813"/>
    <w:rsid w:val="00794071"/>
    <w:rsid w:val="007946A2"/>
    <w:rsid w:val="007977D5"/>
    <w:rsid w:val="007A0247"/>
    <w:rsid w:val="007A2F24"/>
    <w:rsid w:val="007A76DB"/>
    <w:rsid w:val="007B0346"/>
    <w:rsid w:val="007B120D"/>
    <w:rsid w:val="007B27DD"/>
    <w:rsid w:val="007B3C40"/>
    <w:rsid w:val="007B6500"/>
    <w:rsid w:val="007B6635"/>
    <w:rsid w:val="007B69EF"/>
    <w:rsid w:val="007B72F0"/>
    <w:rsid w:val="007C2D63"/>
    <w:rsid w:val="007C433A"/>
    <w:rsid w:val="007D1533"/>
    <w:rsid w:val="007D3795"/>
    <w:rsid w:val="007D5A8A"/>
    <w:rsid w:val="007D6506"/>
    <w:rsid w:val="007D71B1"/>
    <w:rsid w:val="007D7E99"/>
    <w:rsid w:val="007E0DC4"/>
    <w:rsid w:val="007E14BF"/>
    <w:rsid w:val="007E1D7F"/>
    <w:rsid w:val="007E3FD5"/>
    <w:rsid w:val="007E73A3"/>
    <w:rsid w:val="007E7E24"/>
    <w:rsid w:val="007F02A5"/>
    <w:rsid w:val="007F08BF"/>
    <w:rsid w:val="007F2DDD"/>
    <w:rsid w:val="007F33CD"/>
    <w:rsid w:val="007F74E7"/>
    <w:rsid w:val="007F771E"/>
    <w:rsid w:val="00800D3E"/>
    <w:rsid w:val="008021EB"/>
    <w:rsid w:val="00802281"/>
    <w:rsid w:val="0080371B"/>
    <w:rsid w:val="008038A9"/>
    <w:rsid w:val="00812549"/>
    <w:rsid w:val="00812F85"/>
    <w:rsid w:val="008142ED"/>
    <w:rsid w:val="00815C91"/>
    <w:rsid w:val="008210F6"/>
    <w:rsid w:val="00822693"/>
    <w:rsid w:val="00823286"/>
    <w:rsid w:val="00823BCD"/>
    <w:rsid w:val="00824CA9"/>
    <w:rsid w:val="008326C3"/>
    <w:rsid w:val="00840E8D"/>
    <w:rsid w:val="00841582"/>
    <w:rsid w:val="00843BB7"/>
    <w:rsid w:val="0084535F"/>
    <w:rsid w:val="00846C90"/>
    <w:rsid w:val="00850F25"/>
    <w:rsid w:val="0085350D"/>
    <w:rsid w:val="008602C2"/>
    <w:rsid w:val="008638F5"/>
    <w:rsid w:val="0086798B"/>
    <w:rsid w:val="00870998"/>
    <w:rsid w:val="00871BFD"/>
    <w:rsid w:val="00872B92"/>
    <w:rsid w:val="008751D6"/>
    <w:rsid w:val="00877181"/>
    <w:rsid w:val="008806E7"/>
    <w:rsid w:val="00881714"/>
    <w:rsid w:val="00884819"/>
    <w:rsid w:val="0088729E"/>
    <w:rsid w:val="00893F6C"/>
    <w:rsid w:val="008A26B3"/>
    <w:rsid w:val="008A3B95"/>
    <w:rsid w:val="008A3BC5"/>
    <w:rsid w:val="008A494E"/>
    <w:rsid w:val="008A5BB6"/>
    <w:rsid w:val="008A760B"/>
    <w:rsid w:val="008B0757"/>
    <w:rsid w:val="008B1A6E"/>
    <w:rsid w:val="008B2317"/>
    <w:rsid w:val="008B232D"/>
    <w:rsid w:val="008B238F"/>
    <w:rsid w:val="008B3C63"/>
    <w:rsid w:val="008B43AD"/>
    <w:rsid w:val="008B690E"/>
    <w:rsid w:val="008C0715"/>
    <w:rsid w:val="008C4136"/>
    <w:rsid w:val="008C5876"/>
    <w:rsid w:val="008C58E1"/>
    <w:rsid w:val="008C728E"/>
    <w:rsid w:val="008D0171"/>
    <w:rsid w:val="008D1770"/>
    <w:rsid w:val="008D428C"/>
    <w:rsid w:val="008E10A0"/>
    <w:rsid w:val="008E1451"/>
    <w:rsid w:val="008E3079"/>
    <w:rsid w:val="008E3565"/>
    <w:rsid w:val="008E77D3"/>
    <w:rsid w:val="008F005D"/>
    <w:rsid w:val="008F34BF"/>
    <w:rsid w:val="008F708E"/>
    <w:rsid w:val="008F76CE"/>
    <w:rsid w:val="00900B3F"/>
    <w:rsid w:val="00901237"/>
    <w:rsid w:val="00901696"/>
    <w:rsid w:val="00904391"/>
    <w:rsid w:val="009076A0"/>
    <w:rsid w:val="00907A17"/>
    <w:rsid w:val="00911A30"/>
    <w:rsid w:val="00913240"/>
    <w:rsid w:val="009134B3"/>
    <w:rsid w:val="00914C93"/>
    <w:rsid w:val="00915548"/>
    <w:rsid w:val="009208EA"/>
    <w:rsid w:val="00922956"/>
    <w:rsid w:val="00924C8A"/>
    <w:rsid w:val="00924E85"/>
    <w:rsid w:val="0092616A"/>
    <w:rsid w:val="00926522"/>
    <w:rsid w:val="009267F6"/>
    <w:rsid w:val="00926D3B"/>
    <w:rsid w:val="00931241"/>
    <w:rsid w:val="00931F56"/>
    <w:rsid w:val="0093227C"/>
    <w:rsid w:val="009327E4"/>
    <w:rsid w:val="00934898"/>
    <w:rsid w:val="0093707F"/>
    <w:rsid w:val="00937D63"/>
    <w:rsid w:val="00941CFA"/>
    <w:rsid w:val="00941E48"/>
    <w:rsid w:val="00942411"/>
    <w:rsid w:val="009429BB"/>
    <w:rsid w:val="00942FF8"/>
    <w:rsid w:val="00943517"/>
    <w:rsid w:val="00944526"/>
    <w:rsid w:val="00945B6B"/>
    <w:rsid w:val="00947B75"/>
    <w:rsid w:val="00947BA6"/>
    <w:rsid w:val="00950149"/>
    <w:rsid w:val="00950BA8"/>
    <w:rsid w:val="00952EF3"/>
    <w:rsid w:val="00955D94"/>
    <w:rsid w:val="00956FDC"/>
    <w:rsid w:val="009601B6"/>
    <w:rsid w:val="00962F77"/>
    <w:rsid w:val="00963ACB"/>
    <w:rsid w:val="00963AEE"/>
    <w:rsid w:val="009661BC"/>
    <w:rsid w:val="009667BF"/>
    <w:rsid w:val="00966A9F"/>
    <w:rsid w:val="00970568"/>
    <w:rsid w:val="00970F07"/>
    <w:rsid w:val="00976AAC"/>
    <w:rsid w:val="00981D15"/>
    <w:rsid w:val="00983D7F"/>
    <w:rsid w:val="0098536C"/>
    <w:rsid w:val="009903D6"/>
    <w:rsid w:val="00994B62"/>
    <w:rsid w:val="009951B1"/>
    <w:rsid w:val="009A0A27"/>
    <w:rsid w:val="009A0B7A"/>
    <w:rsid w:val="009A4427"/>
    <w:rsid w:val="009A4EAD"/>
    <w:rsid w:val="009A5639"/>
    <w:rsid w:val="009A5A53"/>
    <w:rsid w:val="009A6D8B"/>
    <w:rsid w:val="009A7C49"/>
    <w:rsid w:val="009B1483"/>
    <w:rsid w:val="009B2751"/>
    <w:rsid w:val="009B6CE6"/>
    <w:rsid w:val="009B78F9"/>
    <w:rsid w:val="009C5EA5"/>
    <w:rsid w:val="009C702C"/>
    <w:rsid w:val="009C7D62"/>
    <w:rsid w:val="009D1998"/>
    <w:rsid w:val="009D3262"/>
    <w:rsid w:val="009D47FF"/>
    <w:rsid w:val="009D560E"/>
    <w:rsid w:val="009D5F3F"/>
    <w:rsid w:val="009D63D8"/>
    <w:rsid w:val="009D7045"/>
    <w:rsid w:val="009E0C4A"/>
    <w:rsid w:val="009E2DB8"/>
    <w:rsid w:val="009E489A"/>
    <w:rsid w:val="009E5752"/>
    <w:rsid w:val="009E6BB0"/>
    <w:rsid w:val="009E7C34"/>
    <w:rsid w:val="009F0B1A"/>
    <w:rsid w:val="009F105C"/>
    <w:rsid w:val="009F2B55"/>
    <w:rsid w:val="009F3692"/>
    <w:rsid w:val="009F39A4"/>
    <w:rsid w:val="009F618F"/>
    <w:rsid w:val="00A0209E"/>
    <w:rsid w:val="00A03595"/>
    <w:rsid w:val="00A04EDF"/>
    <w:rsid w:val="00A053BE"/>
    <w:rsid w:val="00A06A26"/>
    <w:rsid w:val="00A14A45"/>
    <w:rsid w:val="00A1693E"/>
    <w:rsid w:val="00A16A49"/>
    <w:rsid w:val="00A23F78"/>
    <w:rsid w:val="00A26E2A"/>
    <w:rsid w:val="00A311A7"/>
    <w:rsid w:val="00A319FB"/>
    <w:rsid w:val="00A31D97"/>
    <w:rsid w:val="00A325B0"/>
    <w:rsid w:val="00A32834"/>
    <w:rsid w:val="00A37A7F"/>
    <w:rsid w:val="00A40282"/>
    <w:rsid w:val="00A4184B"/>
    <w:rsid w:val="00A4239F"/>
    <w:rsid w:val="00A42D6B"/>
    <w:rsid w:val="00A43657"/>
    <w:rsid w:val="00A43B48"/>
    <w:rsid w:val="00A5130C"/>
    <w:rsid w:val="00A5196B"/>
    <w:rsid w:val="00A5370C"/>
    <w:rsid w:val="00A544C0"/>
    <w:rsid w:val="00A62833"/>
    <w:rsid w:val="00A641A2"/>
    <w:rsid w:val="00A65B2A"/>
    <w:rsid w:val="00A66673"/>
    <w:rsid w:val="00A66917"/>
    <w:rsid w:val="00A745DD"/>
    <w:rsid w:val="00A7560B"/>
    <w:rsid w:val="00A75FC4"/>
    <w:rsid w:val="00A7670E"/>
    <w:rsid w:val="00A77A59"/>
    <w:rsid w:val="00A77AD8"/>
    <w:rsid w:val="00A8251C"/>
    <w:rsid w:val="00A82752"/>
    <w:rsid w:val="00A84EB1"/>
    <w:rsid w:val="00A86A06"/>
    <w:rsid w:val="00A87247"/>
    <w:rsid w:val="00A87642"/>
    <w:rsid w:val="00A90C35"/>
    <w:rsid w:val="00A91BD7"/>
    <w:rsid w:val="00A93302"/>
    <w:rsid w:val="00A9357D"/>
    <w:rsid w:val="00A93D34"/>
    <w:rsid w:val="00A95054"/>
    <w:rsid w:val="00A95C89"/>
    <w:rsid w:val="00A96C5E"/>
    <w:rsid w:val="00A97927"/>
    <w:rsid w:val="00AA1AB4"/>
    <w:rsid w:val="00AA2873"/>
    <w:rsid w:val="00AA2C45"/>
    <w:rsid w:val="00AA687A"/>
    <w:rsid w:val="00AB1988"/>
    <w:rsid w:val="00AB24CA"/>
    <w:rsid w:val="00AB3C41"/>
    <w:rsid w:val="00AB41D9"/>
    <w:rsid w:val="00AB4E62"/>
    <w:rsid w:val="00AB58D9"/>
    <w:rsid w:val="00AC1246"/>
    <w:rsid w:val="00AC1538"/>
    <w:rsid w:val="00AC15AB"/>
    <w:rsid w:val="00AC7BC9"/>
    <w:rsid w:val="00AD2EC0"/>
    <w:rsid w:val="00AD5D87"/>
    <w:rsid w:val="00AE1F6D"/>
    <w:rsid w:val="00AE224C"/>
    <w:rsid w:val="00AE3002"/>
    <w:rsid w:val="00AF0E89"/>
    <w:rsid w:val="00AF31A3"/>
    <w:rsid w:val="00AF44BC"/>
    <w:rsid w:val="00AF5E73"/>
    <w:rsid w:val="00AF7924"/>
    <w:rsid w:val="00B00F9F"/>
    <w:rsid w:val="00B0170A"/>
    <w:rsid w:val="00B03258"/>
    <w:rsid w:val="00B0488F"/>
    <w:rsid w:val="00B10A57"/>
    <w:rsid w:val="00B11706"/>
    <w:rsid w:val="00B11A80"/>
    <w:rsid w:val="00B13502"/>
    <w:rsid w:val="00B13577"/>
    <w:rsid w:val="00B141B8"/>
    <w:rsid w:val="00B142A7"/>
    <w:rsid w:val="00B2034C"/>
    <w:rsid w:val="00B22466"/>
    <w:rsid w:val="00B23202"/>
    <w:rsid w:val="00B23E72"/>
    <w:rsid w:val="00B25C78"/>
    <w:rsid w:val="00B30AB9"/>
    <w:rsid w:val="00B34523"/>
    <w:rsid w:val="00B34A74"/>
    <w:rsid w:val="00B34C11"/>
    <w:rsid w:val="00B34D64"/>
    <w:rsid w:val="00B35558"/>
    <w:rsid w:val="00B463A0"/>
    <w:rsid w:val="00B466C9"/>
    <w:rsid w:val="00B501E9"/>
    <w:rsid w:val="00B567F8"/>
    <w:rsid w:val="00B56D14"/>
    <w:rsid w:val="00B56E16"/>
    <w:rsid w:val="00B60CCC"/>
    <w:rsid w:val="00B65730"/>
    <w:rsid w:val="00B66B58"/>
    <w:rsid w:val="00B70103"/>
    <w:rsid w:val="00B7458D"/>
    <w:rsid w:val="00B75B48"/>
    <w:rsid w:val="00B75EA5"/>
    <w:rsid w:val="00B762FB"/>
    <w:rsid w:val="00B76557"/>
    <w:rsid w:val="00B77979"/>
    <w:rsid w:val="00B805BC"/>
    <w:rsid w:val="00B84414"/>
    <w:rsid w:val="00B847DC"/>
    <w:rsid w:val="00B84B63"/>
    <w:rsid w:val="00B85B16"/>
    <w:rsid w:val="00B90D65"/>
    <w:rsid w:val="00B92C81"/>
    <w:rsid w:val="00B932B4"/>
    <w:rsid w:val="00B93D02"/>
    <w:rsid w:val="00B95424"/>
    <w:rsid w:val="00B95C07"/>
    <w:rsid w:val="00BA27B7"/>
    <w:rsid w:val="00BA282F"/>
    <w:rsid w:val="00BA2C04"/>
    <w:rsid w:val="00BA49C5"/>
    <w:rsid w:val="00BA6543"/>
    <w:rsid w:val="00BA6DFB"/>
    <w:rsid w:val="00BB14F5"/>
    <w:rsid w:val="00BB1B23"/>
    <w:rsid w:val="00BB3E23"/>
    <w:rsid w:val="00BB6AF4"/>
    <w:rsid w:val="00BB72CA"/>
    <w:rsid w:val="00BB796E"/>
    <w:rsid w:val="00BC1DAF"/>
    <w:rsid w:val="00BC277A"/>
    <w:rsid w:val="00BC74A9"/>
    <w:rsid w:val="00BD0F22"/>
    <w:rsid w:val="00BD5E88"/>
    <w:rsid w:val="00BE1CBC"/>
    <w:rsid w:val="00BE4B6B"/>
    <w:rsid w:val="00BE5F6F"/>
    <w:rsid w:val="00BE6E2E"/>
    <w:rsid w:val="00BF1B7D"/>
    <w:rsid w:val="00BF218F"/>
    <w:rsid w:val="00BF42B7"/>
    <w:rsid w:val="00BF51A5"/>
    <w:rsid w:val="00BF52BA"/>
    <w:rsid w:val="00BF6A96"/>
    <w:rsid w:val="00BF7A69"/>
    <w:rsid w:val="00C02B55"/>
    <w:rsid w:val="00C03319"/>
    <w:rsid w:val="00C038DC"/>
    <w:rsid w:val="00C11687"/>
    <w:rsid w:val="00C1276D"/>
    <w:rsid w:val="00C14EBF"/>
    <w:rsid w:val="00C1569F"/>
    <w:rsid w:val="00C16334"/>
    <w:rsid w:val="00C20B0B"/>
    <w:rsid w:val="00C21044"/>
    <w:rsid w:val="00C2180C"/>
    <w:rsid w:val="00C2380A"/>
    <w:rsid w:val="00C23DF7"/>
    <w:rsid w:val="00C256EC"/>
    <w:rsid w:val="00C260C7"/>
    <w:rsid w:val="00C26553"/>
    <w:rsid w:val="00C3008E"/>
    <w:rsid w:val="00C3223C"/>
    <w:rsid w:val="00C32F62"/>
    <w:rsid w:val="00C3420E"/>
    <w:rsid w:val="00C34C74"/>
    <w:rsid w:val="00C35CDF"/>
    <w:rsid w:val="00C37202"/>
    <w:rsid w:val="00C45009"/>
    <w:rsid w:val="00C45889"/>
    <w:rsid w:val="00C45A62"/>
    <w:rsid w:val="00C4679E"/>
    <w:rsid w:val="00C46940"/>
    <w:rsid w:val="00C50E21"/>
    <w:rsid w:val="00C52F7C"/>
    <w:rsid w:val="00C56030"/>
    <w:rsid w:val="00C5675F"/>
    <w:rsid w:val="00C56F1A"/>
    <w:rsid w:val="00C61B7C"/>
    <w:rsid w:val="00C64580"/>
    <w:rsid w:val="00C66F70"/>
    <w:rsid w:val="00C71359"/>
    <w:rsid w:val="00C71AB1"/>
    <w:rsid w:val="00C7279C"/>
    <w:rsid w:val="00C7381C"/>
    <w:rsid w:val="00C741AA"/>
    <w:rsid w:val="00C77383"/>
    <w:rsid w:val="00C8190E"/>
    <w:rsid w:val="00C82009"/>
    <w:rsid w:val="00C824CF"/>
    <w:rsid w:val="00C840F1"/>
    <w:rsid w:val="00C86D9E"/>
    <w:rsid w:val="00C874F7"/>
    <w:rsid w:val="00C901B2"/>
    <w:rsid w:val="00C93360"/>
    <w:rsid w:val="00C9579A"/>
    <w:rsid w:val="00CA2D24"/>
    <w:rsid w:val="00CA3195"/>
    <w:rsid w:val="00CA37F5"/>
    <w:rsid w:val="00CA3A81"/>
    <w:rsid w:val="00CA3ED5"/>
    <w:rsid w:val="00CA4025"/>
    <w:rsid w:val="00CB0029"/>
    <w:rsid w:val="00CB1A98"/>
    <w:rsid w:val="00CB24E1"/>
    <w:rsid w:val="00CB3CC6"/>
    <w:rsid w:val="00CB41C3"/>
    <w:rsid w:val="00CB6471"/>
    <w:rsid w:val="00CC29D4"/>
    <w:rsid w:val="00CC3380"/>
    <w:rsid w:val="00CC3E6C"/>
    <w:rsid w:val="00CC45BB"/>
    <w:rsid w:val="00CC5923"/>
    <w:rsid w:val="00CC61F4"/>
    <w:rsid w:val="00CD00A6"/>
    <w:rsid w:val="00CD0432"/>
    <w:rsid w:val="00CD06B3"/>
    <w:rsid w:val="00CD2062"/>
    <w:rsid w:val="00CD2BE2"/>
    <w:rsid w:val="00CD3677"/>
    <w:rsid w:val="00CE1B80"/>
    <w:rsid w:val="00CE4C4F"/>
    <w:rsid w:val="00CE5DD5"/>
    <w:rsid w:val="00CE6A94"/>
    <w:rsid w:val="00CF1BEE"/>
    <w:rsid w:val="00CF457F"/>
    <w:rsid w:val="00D0170A"/>
    <w:rsid w:val="00D03AE4"/>
    <w:rsid w:val="00D075AA"/>
    <w:rsid w:val="00D10822"/>
    <w:rsid w:val="00D11310"/>
    <w:rsid w:val="00D1195C"/>
    <w:rsid w:val="00D126BE"/>
    <w:rsid w:val="00D12714"/>
    <w:rsid w:val="00D12AA2"/>
    <w:rsid w:val="00D1317D"/>
    <w:rsid w:val="00D1346B"/>
    <w:rsid w:val="00D135CD"/>
    <w:rsid w:val="00D1398D"/>
    <w:rsid w:val="00D14280"/>
    <w:rsid w:val="00D168AB"/>
    <w:rsid w:val="00D16FF1"/>
    <w:rsid w:val="00D1756A"/>
    <w:rsid w:val="00D17D02"/>
    <w:rsid w:val="00D20783"/>
    <w:rsid w:val="00D21B3B"/>
    <w:rsid w:val="00D21D4A"/>
    <w:rsid w:val="00D22D25"/>
    <w:rsid w:val="00D27075"/>
    <w:rsid w:val="00D3237F"/>
    <w:rsid w:val="00D33848"/>
    <w:rsid w:val="00D35118"/>
    <w:rsid w:val="00D35CBD"/>
    <w:rsid w:val="00D41297"/>
    <w:rsid w:val="00D4254B"/>
    <w:rsid w:val="00D42922"/>
    <w:rsid w:val="00D43996"/>
    <w:rsid w:val="00D43DAC"/>
    <w:rsid w:val="00D4426F"/>
    <w:rsid w:val="00D444E8"/>
    <w:rsid w:val="00D44919"/>
    <w:rsid w:val="00D44E23"/>
    <w:rsid w:val="00D5014F"/>
    <w:rsid w:val="00D53A03"/>
    <w:rsid w:val="00D54EE3"/>
    <w:rsid w:val="00D553BE"/>
    <w:rsid w:val="00D57D71"/>
    <w:rsid w:val="00D63834"/>
    <w:rsid w:val="00D63CC3"/>
    <w:rsid w:val="00D652EA"/>
    <w:rsid w:val="00D66A92"/>
    <w:rsid w:val="00D66CA3"/>
    <w:rsid w:val="00D70A66"/>
    <w:rsid w:val="00D73082"/>
    <w:rsid w:val="00D76D7B"/>
    <w:rsid w:val="00D80077"/>
    <w:rsid w:val="00D81410"/>
    <w:rsid w:val="00D81839"/>
    <w:rsid w:val="00D8287F"/>
    <w:rsid w:val="00D82D02"/>
    <w:rsid w:val="00D837A7"/>
    <w:rsid w:val="00D838F9"/>
    <w:rsid w:val="00D845E4"/>
    <w:rsid w:val="00D85E58"/>
    <w:rsid w:val="00D86EB1"/>
    <w:rsid w:val="00D90325"/>
    <w:rsid w:val="00D91456"/>
    <w:rsid w:val="00D91AFE"/>
    <w:rsid w:val="00D923B5"/>
    <w:rsid w:val="00D95D51"/>
    <w:rsid w:val="00DA2825"/>
    <w:rsid w:val="00DA2CCC"/>
    <w:rsid w:val="00DA4143"/>
    <w:rsid w:val="00DA5238"/>
    <w:rsid w:val="00DA728C"/>
    <w:rsid w:val="00DB0646"/>
    <w:rsid w:val="00DB22E7"/>
    <w:rsid w:val="00DB51C9"/>
    <w:rsid w:val="00DB5C80"/>
    <w:rsid w:val="00DC1D65"/>
    <w:rsid w:val="00DC384B"/>
    <w:rsid w:val="00DC7720"/>
    <w:rsid w:val="00DD07C0"/>
    <w:rsid w:val="00DD0D30"/>
    <w:rsid w:val="00DD2989"/>
    <w:rsid w:val="00DD3706"/>
    <w:rsid w:val="00DD3849"/>
    <w:rsid w:val="00DD3AB0"/>
    <w:rsid w:val="00DD45E4"/>
    <w:rsid w:val="00DD4BCC"/>
    <w:rsid w:val="00DD4F3A"/>
    <w:rsid w:val="00DE33CE"/>
    <w:rsid w:val="00DE75F7"/>
    <w:rsid w:val="00DF31A5"/>
    <w:rsid w:val="00DF4700"/>
    <w:rsid w:val="00DF655F"/>
    <w:rsid w:val="00E0368B"/>
    <w:rsid w:val="00E05CC8"/>
    <w:rsid w:val="00E07186"/>
    <w:rsid w:val="00E071C2"/>
    <w:rsid w:val="00E07390"/>
    <w:rsid w:val="00E10D18"/>
    <w:rsid w:val="00E115EB"/>
    <w:rsid w:val="00E12151"/>
    <w:rsid w:val="00E145C0"/>
    <w:rsid w:val="00E14B46"/>
    <w:rsid w:val="00E1762E"/>
    <w:rsid w:val="00E225EC"/>
    <w:rsid w:val="00E27D31"/>
    <w:rsid w:val="00E3002E"/>
    <w:rsid w:val="00E30DE2"/>
    <w:rsid w:val="00E318FA"/>
    <w:rsid w:val="00E32BC8"/>
    <w:rsid w:val="00E32EF5"/>
    <w:rsid w:val="00E350A5"/>
    <w:rsid w:val="00E3530B"/>
    <w:rsid w:val="00E3644C"/>
    <w:rsid w:val="00E36965"/>
    <w:rsid w:val="00E4037F"/>
    <w:rsid w:val="00E4254B"/>
    <w:rsid w:val="00E43618"/>
    <w:rsid w:val="00E4556E"/>
    <w:rsid w:val="00E45C2B"/>
    <w:rsid w:val="00E47EBD"/>
    <w:rsid w:val="00E61409"/>
    <w:rsid w:val="00E616FF"/>
    <w:rsid w:val="00E6206B"/>
    <w:rsid w:val="00E62074"/>
    <w:rsid w:val="00E63D54"/>
    <w:rsid w:val="00E63FB2"/>
    <w:rsid w:val="00E64406"/>
    <w:rsid w:val="00E663E1"/>
    <w:rsid w:val="00E67C55"/>
    <w:rsid w:val="00E67D09"/>
    <w:rsid w:val="00E80254"/>
    <w:rsid w:val="00E810EC"/>
    <w:rsid w:val="00E825B3"/>
    <w:rsid w:val="00E82A6F"/>
    <w:rsid w:val="00E837F4"/>
    <w:rsid w:val="00E861CA"/>
    <w:rsid w:val="00E863CE"/>
    <w:rsid w:val="00E902C6"/>
    <w:rsid w:val="00E93357"/>
    <w:rsid w:val="00E94BBB"/>
    <w:rsid w:val="00E9677B"/>
    <w:rsid w:val="00E97CBF"/>
    <w:rsid w:val="00EA0C49"/>
    <w:rsid w:val="00EA3867"/>
    <w:rsid w:val="00EA39E8"/>
    <w:rsid w:val="00EA6103"/>
    <w:rsid w:val="00EA6267"/>
    <w:rsid w:val="00EA77C8"/>
    <w:rsid w:val="00EB095C"/>
    <w:rsid w:val="00EB25C4"/>
    <w:rsid w:val="00EB2F50"/>
    <w:rsid w:val="00EB3287"/>
    <w:rsid w:val="00EB3E63"/>
    <w:rsid w:val="00EB3F72"/>
    <w:rsid w:val="00EB50D0"/>
    <w:rsid w:val="00EB6F5C"/>
    <w:rsid w:val="00EC1812"/>
    <w:rsid w:val="00EC1D12"/>
    <w:rsid w:val="00EC37EA"/>
    <w:rsid w:val="00EC534F"/>
    <w:rsid w:val="00EC647D"/>
    <w:rsid w:val="00EC7B3A"/>
    <w:rsid w:val="00EC7C6D"/>
    <w:rsid w:val="00ED0CF6"/>
    <w:rsid w:val="00ED2B78"/>
    <w:rsid w:val="00ED507E"/>
    <w:rsid w:val="00ED61A0"/>
    <w:rsid w:val="00ED701D"/>
    <w:rsid w:val="00EE08DA"/>
    <w:rsid w:val="00EE3F13"/>
    <w:rsid w:val="00EF1220"/>
    <w:rsid w:val="00F000BB"/>
    <w:rsid w:val="00F0143A"/>
    <w:rsid w:val="00F02E39"/>
    <w:rsid w:val="00F06C24"/>
    <w:rsid w:val="00F11E83"/>
    <w:rsid w:val="00F13320"/>
    <w:rsid w:val="00F15954"/>
    <w:rsid w:val="00F16E08"/>
    <w:rsid w:val="00F16E6D"/>
    <w:rsid w:val="00F174EA"/>
    <w:rsid w:val="00F17D3E"/>
    <w:rsid w:val="00F20492"/>
    <w:rsid w:val="00F207C8"/>
    <w:rsid w:val="00F2080D"/>
    <w:rsid w:val="00F20BA5"/>
    <w:rsid w:val="00F21831"/>
    <w:rsid w:val="00F238CC"/>
    <w:rsid w:val="00F25734"/>
    <w:rsid w:val="00F25813"/>
    <w:rsid w:val="00F26AB5"/>
    <w:rsid w:val="00F26FCE"/>
    <w:rsid w:val="00F30F6A"/>
    <w:rsid w:val="00F32E42"/>
    <w:rsid w:val="00F33A4E"/>
    <w:rsid w:val="00F33A8A"/>
    <w:rsid w:val="00F344F3"/>
    <w:rsid w:val="00F34DAC"/>
    <w:rsid w:val="00F35A6E"/>
    <w:rsid w:val="00F40674"/>
    <w:rsid w:val="00F406E2"/>
    <w:rsid w:val="00F4133B"/>
    <w:rsid w:val="00F436A6"/>
    <w:rsid w:val="00F447FC"/>
    <w:rsid w:val="00F45200"/>
    <w:rsid w:val="00F45765"/>
    <w:rsid w:val="00F458E4"/>
    <w:rsid w:val="00F501B3"/>
    <w:rsid w:val="00F50695"/>
    <w:rsid w:val="00F51A86"/>
    <w:rsid w:val="00F52D3A"/>
    <w:rsid w:val="00F531CF"/>
    <w:rsid w:val="00F5485B"/>
    <w:rsid w:val="00F6165D"/>
    <w:rsid w:val="00F61E26"/>
    <w:rsid w:val="00F6201A"/>
    <w:rsid w:val="00F62A7E"/>
    <w:rsid w:val="00F64884"/>
    <w:rsid w:val="00F675BB"/>
    <w:rsid w:val="00F7333F"/>
    <w:rsid w:val="00F752EF"/>
    <w:rsid w:val="00F77A1D"/>
    <w:rsid w:val="00F8030C"/>
    <w:rsid w:val="00F8062B"/>
    <w:rsid w:val="00F8350A"/>
    <w:rsid w:val="00F83CCA"/>
    <w:rsid w:val="00F90583"/>
    <w:rsid w:val="00FA1989"/>
    <w:rsid w:val="00FA1A44"/>
    <w:rsid w:val="00FA6060"/>
    <w:rsid w:val="00FB1965"/>
    <w:rsid w:val="00FB2FEF"/>
    <w:rsid w:val="00FB387F"/>
    <w:rsid w:val="00FB3C71"/>
    <w:rsid w:val="00FB4744"/>
    <w:rsid w:val="00FB48BC"/>
    <w:rsid w:val="00FB520C"/>
    <w:rsid w:val="00FB6800"/>
    <w:rsid w:val="00FB786F"/>
    <w:rsid w:val="00FC102F"/>
    <w:rsid w:val="00FC19E3"/>
    <w:rsid w:val="00FC36F5"/>
    <w:rsid w:val="00FC4EEB"/>
    <w:rsid w:val="00FC5E3D"/>
    <w:rsid w:val="00FC75BB"/>
    <w:rsid w:val="00FD13CA"/>
    <w:rsid w:val="00FD259F"/>
    <w:rsid w:val="00FD2F5C"/>
    <w:rsid w:val="00FD352F"/>
    <w:rsid w:val="00FD4CFD"/>
    <w:rsid w:val="00FD50FF"/>
    <w:rsid w:val="00FD5A02"/>
    <w:rsid w:val="00FE0588"/>
    <w:rsid w:val="00FE3D1C"/>
    <w:rsid w:val="00FE3FC1"/>
    <w:rsid w:val="00FE634A"/>
    <w:rsid w:val="00FE697E"/>
    <w:rsid w:val="00FE7E8A"/>
    <w:rsid w:val="00FF3F1C"/>
    <w:rsid w:val="00FF4655"/>
    <w:rsid w:val="00FF6428"/>
    <w:rsid w:val="00FF70E4"/>
    <w:rsid w:val="00FF7FF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  <w:rPr>
      <w:rFonts w:ascii="Century Schoolbook" w:hAnsi="Century Schoolbook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D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7D8D"/>
    <w:rPr>
      <w:rFonts w:ascii="Century Schoolbook" w:hAnsi="Century Schoolbook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6C7D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7D8D"/>
    <w:rPr>
      <w:rFonts w:ascii="Century Schoolbook" w:hAnsi="Century Schoolbook"/>
      <w:sz w:val="26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5603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56030"/>
    <w:rPr>
      <w:rFonts w:ascii="Century Schoolbook" w:hAnsi="Century Schoolbook"/>
    </w:rPr>
  </w:style>
  <w:style w:type="character" w:styleId="FootnoteReference">
    <w:name w:val="footnote reference"/>
    <w:uiPriority w:val="99"/>
    <w:semiHidden/>
    <w:unhideWhenUsed/>
    <w:rsid w:val="00C56030"/>
    <w:rPr>
      <w:vertAlign w:val="superscript"/>
    </w:rPr>
  </w:style>
  <w:style w:type="paragraph" w:styleId="Revision">
    <w:name w:val="Revision"/>
    <w:hidden/>
    <w:uiPriority w:val="99"/>
    <w:semiHidden/>
    <w:rsid w:val="00E61409"/>
    <w:rPr>
      <w:rFonts w:ascii="Century Schoolbook" w:hAnsi="Century Schoolbook"/>
      <w:sz w:val="2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7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847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847"/>
    <w:rPr>
      <w:rFonts w:ascii="Century Schoolbook" w:hAnsi="Century School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3E0D-5AE9-4C68-AA87-63461982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2024-07-01T19:22:18Z</dcterms:created>
  <dcterms:modified xsi:type="dcterms:W3CDTF">2024-07-01T19:22:18Z</dcterms:modified>
</cp:coreProperties>
</file>