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E19AC" w14:textId="1E970456" w:rsidR="00B21D78" w:rsidRPr="00184E93" w:rsidRDefault="00B21D78" w:rsidP="0029322B">
      <w:pPr>
        <w:spacing w:line="240" w:lineRule="auto"/>
        <w:rPr>
          <w:sz w:val="20"/>
        </w:rPr>
      </w:pPr>
      <w:r w:rsidRPr="00184E93">
        <w:rPr>
          <w:sz w:val="20"/>
        </w:rPr>
        <w:t>Filed 6/6/24</w:t>
      </w:r>
      <w:r w:rsidR="00184E93">
        <w:rPr>
          <w:sz w:val="20"/>
        </w:rPr>
        <w:t xml:space="preserve"> Certified for Publication 6/28/24 (order attached)</w:t>
      </w:r>
    </w:p>
    <w:p w14:paraId="5AA75881" w14:textId="76B1A673" w:rsidR="00B21D78" w:rsidRDefault="00184E93" w:rsidP="0029322B">
      <w:pPr>
        <w:spacing w:line="240" w:lineRule="auto"/>
        <w:jc w:val="center"/>
        <w:rPr>
          <w:b/>
        </w:rPr>
      </w:pPr>
      <w:r>
        <w:rPr>
          <w:b/>
        </w:rPr>
        <w:t xml:space="preserve"> </w:t>
      </w:r>
    </w:p>
    <w:p w14:paraId="24F37431" w14:textId="77777777" w:rsidR="00184E93" w:rsidRDefault="00184E93" w:rsidP="0029322B">
      <w:pPr>
        <w:spacing w:line="240" w:lineRule="auto"/>
        <w:jc w:val="center"/>
      </w:pPr>
    </w:p>
    <w:p w14:paraId="60FB41D3" w14:textId="77777777" w:rsidR="00B21D78" w:rsidRDefault="00B21D78" w:rsidP="0029322B">
      <w:pPr>
        <w:spacing w:line="240" w:lineRule="auto"/>
        <w:jc w:val="center"/>
      </w:pPr>
      <w:r>
        <w:t>IN THE COURT OF APPEAL OF THE STATE OF CALIFORNIA</w:t>
      </w:r>
    </w:p>
    <w:p w14:paraId="22192A40" w14:textId="77777777" w:rsidR="00B21D78" w:rsidRDefault="00B21D78" w:rsidP="0029322B">
      <w:pPr>
        <w:spacing w:line="240" w:lineRule="auto"/>
        <w:jc w:val="center"/>
      </w:pPr>
    </w:p>
    <w:p w14:paraId="3A76909F" w14:textId="77777777" w:rsidR="00B21D78" w:rsidRDefault="00B21D78" w:rsidP="0029322B">
      <w:pPr>
        <w:spacing w:line="240" w:lineRule="auto"/>
        <w:jc w:val="center"/>
      </w:pPr>
      <w:r>
        <w:t>SECOND APPELLATE DISTRICT</w:t>
      </w:r>
    </w:p>
    <w:p w14:paraId="71970684" w14:textId="77777777" w:rsidR="00B21D78" w:rsidRDefault="00B21D78" w:rsidP="0029322B">
      <w:pPr>
        <w:spacing w:line="240" w:lineRule="auto"/>
        <w:jc w:val="center"/>
      </w:pPr>
    </w:p>
    <w:p w14:paraId="49E1DF3A" w14:textId="77777777" w:rsidR="00B21D78" w:rsidRDefault="00B21D78" w:rsidP="0029322B">
      <w:pPr>
        <w:spacing w:line="240" w:lineRule="auto"/>
        <w:jc w:val="center"/>
      </w:pPr>
      <w:r>
        <w:t>DIVISION THREE</w:t>
      </w:r>
    </w:p>
    <w:p w14:paraId="793D95D9" w14:textId="77777777" w:rsidR="00B21D78" w:rsidRDefault="00B21D78" w:rsidP="0029322B">
      <w:pPr>
        <w:spacing w:line="240" w:lineRule="auto"/>
        <w:jc w:val="center"/>
      </w:pPr>
    </w:p>
    <w:tbl>
      <w:tblPr>
        <w:tblW w:w="8640" w:type="dxa"/>
        <w:tblLayout w:type="fixed"/>
        <w:tblCellMar>
          <w:left w:w="144" w:type="dxa"/>
          <w:right w:w="144" w:type="dxa"/>
        </w:tblCellMar>
        <w:tblLook w:val="0000" w:firstRow="0" w:lastRow="0" w:firstColumn="0" w:lastColumn="0" w:noHBand="0" w:noVBand="0"/>
      </w:tblPr>
      <w:tblGrid>
        <w:gridCol w:w="4140"/>
        <w:gridCol w:w="4500"/>
      </w:tblGrid>
      <w:tr w:rsidR="00165C78" w14:paraId="24C5525F" w14:textId="77777777" w:rsidTr="00E00E96">
        <w:trPr>
          <w:trHeight w:val="20"/>
        </w:trPr>
        <w:tc>
          <w:tcPr>
            <w:tcW w:w="4140" w:type="dxa"/>
            <w:tcBorders>
              <w:bottom w:val="single" w:sz="4" w:space="0" w:color="auto"/>
              <w:right w:val="single" w:sz="4" w:space="0" w:color="auto"/>
            </w:tcBorders>
            <w:shd w:val="clear" w:color="auto" w:fill="auto"/>
            <w:vAlign w:val="center"/>
          </w:tcPr>
          <w:p w14:paraId="4AAAA79C" w14:textId="2ABD3E0A" w:rsidR="00B21D78" w:rsidRDefault="00B21D78" w:rsidP="0029322B">
            <w:pPr>
              <w:spacing w:line="240" w:lineRule="auto"/>
            </w:pPr>
            <w:r>
              <w:t xml:space="preserve">In re </w:t>
            </w:r>
            <w:r>
              <w:t>B.D.</w:t>
            </w:r>
            <w:r>
              <w:t xml:space="preserve"> et al</w:t>
            </w:r>
            <w:r>
              <w:t>., Person</w:t>
            </w:r>
            <w:r>
              <w:t>s</w:t>
            </w:r>
            <w:r>
              <w:t xml:space="preserve"> Coming Under the Juvenile Court Law.</w:t>
            </w:r>
          </w:p>
        </w:tc>
        <w:tc>
          <w:tcPr>
            <w:tcW w:w="4500" w:type="dxa"/>
            <w:tcBorders>
              <w:left w:val="single" w:sz="4" w:space="0" w:color="auto"/>
            </w:tcBorders>
            <w:shd w:val="clear" w:color="auto" w:fill="auto"/>
          </w:tcPr>
          <w:p w14:paraId="0FECD63B" w14:textId="77777777" w:rsidR="00B21D78" w:rsidRDefault="00B21D78" w:rsidP="00A8659A">
            <w:pPr>
              <w:spacing w:line="240" w:lineRule="auto"/>
              <w:ind w:left="288" w:right="-288"/>
            </w:pPr>
            <w:r>
              <w:t>B32</w:t>
            </w:r>
            <w:r>
              <w:t>7625</w:t>
            </w:r>
          </w:p>
          <w:p w14:paraId="0BE33EA6" w14:textId="77777777" w:rsidR="00B21D78" w:rsidRDefault="00B21D78" w:rsidP="00A8659A">
            <w:pPr>
              <w:spacing w:line="240" w:lineRule="auto"/>
              <w:ind w:left="288" w:right="-288"/>
            </w:pPr>
          </w:p>
          <w:p w14:paraId="27E71609" w14:textId="77777777" w:rsidR="00B21D78" w:rsidRDefault="00B21D78" w:rsidP="00A8659A">
            <w:pPr>
              <w:spacing w:line="240" w:lineRule="auto"/>
              <w:ind w:left="288" w:right="-288"/>
            </w:pPr>
            <w:r>
              <w:t>(Los Angeles County</w:t>
            </w:r>
          </w:p>
          <w:p w14:paraId="674525CB" w14:textId="77777777" w:rsidR="00B21D78" w:rsidRDefault="00B21D78" w:rsidP="00A8659A">
            <w:pPr>
              <w:spacing w:line="240" w:lineRule="auto"/>
              <w:ind w:left="288" w:right="-288"/>
            </w:pPr>
            <w:r>
              <w:t>Super. Ct. No.</w:t>
            </w:r>
            <w:r>
              <w:t> </w:t>
            </w:r>
            <w:r>
              <w:rPr>
                <w:rStyle w:val="right"/>
              </w:rPr>
              <w:t>22LJJP00221</w:t>
            </w:r>
            <w:r>
              <w:rPr>
                <w:rStyle w:val="right"/>
              </w:rPr>
              <w:t>A</w:t>
            </w:r>
            <w:r>
              <w:rPr>
                <w:rStyle w:val="right"/>
              </w:rPr>
              <w:t>–</w:t>
            </w:r>
            <w:r>
              <w:rPr>
                <w:rStyle w:val="right"/>
              </w:rPr>
              <w:t>B</w:t>
            </w:r>
            <w:r>
              <w:t>)</w:t>
            </w:r>
          </w:p>
          <w:p w14:paraId="62C7C45F" w14:textId="77777777" w:rsidR="00B21D78" w:rsidRDefault="00B21D78" w:rsidP="0029322B">
            <w:pPr>
              <w:spacing w:line="240" w:lineRule="auto"/>
            </w:pPr>
          </w:p>
        </w:tc>
      </w:tr>
      <w:tr w:rsidR="00165C78" w14:paraId="1F290D90" w14:textId="77777777" w:rsidTr="00E00E96">
        <w:tc>
          <w:tcPr>
            <w:tcW w:w="4140" w:type="dxa"/>
            <w:tcBorders>
              <w:top w:val="single" w:sz="4" w:space="0" w:color="auto"/>
              <w:bottom w:val="single" w:sz="4" w:space="0" w:color="auto"/>
              <w:right w:val="single" w:sz="4" w:space="0" w:color="auto"/>
            </w:tcBorders>
            <w:shd w:val="clear" w:color="auto" w:fill="auto"/>
          </w:tcPr>
          <w:p w14:paraId="40F5C288" w14:textId="77777777" w:rsidR="00B21D78" w:rsidRDefault="00B21D78" w:rsidP="0029322B">
            <w:pPr>
              <w:spacing w:line="240" w:lineRule="auto"/>
            </w:pPr>
          </w:p>
          <w:p w14:paraId="2F34A1D7" w14:textId="77777777" w:rsidR="00B21D78" w:rsidRDefault="00B21D78" w:rsidP="0029322B">
            <w:pPr>
              <w:spacing w:line="240" w:lineRule="auto"/>
            </w:pPr>
            <w:r>
              <w:t>LOS ANGELES COUNTY DEPARTMENT OF CHILDREN AND FAMILY SERVICES,</w:t>
            </w:r>
          </w:p>
          <w:p w14:paraId="1131850F" w14:textId="77777777" w:rsidR="00B21D78" w:rsidRDefault="00B21D78" w:rsidP="0029322B">
            <w:pPr>
              <w:spacing w:line="240" w:lineRule="auto"/>
            </w:pPr>
          </w:p>
          <w:p w14:paraId="33CA3CA8" w14:textId="77777777" w:rsidR="00B21D78" w:rsidRDefault="00B21D78" w:rsidP="0029322B">
            <w:pPr>
              <w:spacing w:line="240" w:lineRule="auto"/>
            </w:pPr>
            <w:r>
              <w:tab/>
              <w:t>Plaintiff and Respondent,</w:t>
            </w:r>
          </w:p>
          <w:p w14:paraId="7085D950" w14:textId="77777777" w:rsidR="00B21D78" w:rsidRDefault="00B21D78" w:rsidP="0029322B">
            <w:pPr>
              <w:spacing w:line="240" w:lineRule="auto"/>
            </w:pPr>
          </w:p>
          <w:p w14:paraId="59EEBB8F" w14:textId="77777777" w:rsidR="00B21D78" w:rsidRDefault="00B21D78" w:rsidP="0029322B">
            <w:pPr>
              <w:spacing w:line="240" w:lineRule="auto"/>
            </w:pPr>
            <w:r>
              <w:tab/>
              <w:t>v.</w:t>
            </w:r>
          </w:p>
          <w:p w14:paraId="369E5390" w14:textId="77777777" w:rsidR="00B21D78" w:rsidRDefault="00B21D78" w:rsidP="0029322B">
            <w:pPr>
              <w:spacing w:line="240" w:lineRule="auto"/>
            </w:pPr>
          </w:p>
          <w:p w14:paraId="72F88364" w14:textId="77777777" w:rsidR="00B21D78" w:rsidRDefault="00B21D78" w:rsidP="0029322B">
            <w:pPr>
              <w:spacing w:line="240" w:lineRule="auto"/>
            </w:pPr>
            <w:r>
              <w:t>B</w:t>
            </w:r>
            <w:r>
              <w:t xml:space="preserve">rittany </w:t>
            </w:r>
            <w:r>
              <w:t>B.,</w:t>
            </w:r>
          </w:p>
          <w:p w14:paraId="42D5897D" w14:textId="77777777" w:rsidR="00B21D78" w:rsidRDefault="00B21D78" w:rsidP="0029322B">
            <w:pPr>
              <w:spacing w:line="240" w:lineRule="auto"/>
            </w:pPr>
          </w:p>
          <w:p w14:paraId="15086B7C" w14:textId="77777777" w:rsidR="00B21D78" w:rsidRDefault="00B21D78" w:rsidP="0029322B">
            <w:pPr>
              <w:spacing w:line="240" w:lineRule="auto"/>
            </w:pPr>
            <w:r>
              <w:tab/>
              <w:t>Defendant and Appellant.</w:t>
            </w:r>
          </w:p>
          <w:p w14:paraId="7F103D2C" w14:textId="77777777" w:rsidR="00B21D78" w:rsidRDefault="00B21D78" w:rsidP="0029322B">
            <w:pPr>
              <w:spacing w:line="240" w:lineRule="auto"/>
            </w:pPr>
          </w:p>
        </w:tc>
        <w:tc>
          <w:tcPr>
            <w:tcW w:w="4500" w:type="dxa"/>
            <w:tcBorders>
              <w:left w:val="single" w:sz="4" w:space="0" w:color="auto"/>
            </w:tcBorders>
            <w:shd w:val="clear" w:color="auto" w:fill="auto"/>
          </w:tcPr>
          <w:p w14:paraId="2D07CBFA" w14:textId="77777777" w:rsidR="00B21D78" w:rsidRDefault="00B21D78" w:rsidP="0029322B">
            <w:pPr>
              <w:spacing w:line="240" w:lineRule="auto"/>
            </w:pPr>
          </w:p>
        </w:tc>
      </w:tr>
    </w:tbl>
    <w:p w14:paraId="04FA1BB1" w14:textId="77777777" w:rsidR="00B21D78" w:rsidRPr="00712178" w:rsidRDefault="00B21D78" w:rsidP="00032B4F">
      <w:pPr>
        <w:spacing w:line="360" w:lineRule="auto"/>
      </w:pPr>
    </w:p>
    <w:p w14:paraId="0A0508A1" w14:textId="77777777" w:rsidR="00B21D78" w:rsidRDefault="00B21D78" w:rsidP="00032B4F">
      <w:r w:rsidRPr="00712178">
        <w:tab/>
      </w:r>
      <w:r w:rsidRPr="00712178">
        <w:t xml:space="preserve">APPEAL from </w:t>
      </w:r>
      <w:r>
        <w:t xml:space="preserve">orders </w:t>
      </w:r>
      <w:r w:rsidRPr="00712178">
        <w:t>of the Superior Court of Los</w:t>
      </w:r>
      <w:r>
        <w:t> </w:t>
      </w:r>
      <w:r w:rsidRPr="00712178">
        <w:t xml:space="preserve">Angeles County, </w:t>
      </w:r>
      <w:r>
        <w:t>Donald Buddle</w:t>
      </w:r>
      <w:r w:rsidRPr="00712178">
        <w:t xml:space="preserve">, Judge.  </w:t>
      </w:r>
      <w:r>
        <w:t>Reversed</w:t>
      </w:r>
      <w:r w:rsidRPr="008239C1">
        <w:t>.</w:t>
      </w:r>
    </w:p>
    <w:p w14:paraId="7E28CC38" w14:textId="77777777" w:rsidR="00B21D78" w:rsidRPr="00712178" w:rsidRDefault="00B21D78" w:rsidP="00485DEE">
      <w:pPr>
        <w:ind w:firstLine="720"/>
      </w:pPr>
      <w:r>
        <w:t xml:space="preserve">Paul </w:t>
      </w:r>
      <w:proofErr w:type="spellStart"/>
      <w:r>
        <w:t>Couenhoven</w:t>
      </w:r>
      <w:proofErr w:type="spellEnd"/>
      <w:r>
        <w:t>,</w:t>
      </w:r>
      <w:r>
        <w:t xml:space="preserve"> </w:t>
      </w:r>
      <w:r>
        <w:t xml:space="preserve">under appointment by the Court of Appeal, </w:t>
      </w:r>
      <w:r>
        <w:t xml:space="preserve">for </w:t>
      </w:r>
      <w:r>
        <w:t>Defendant</w:t>
      </w:r>
      <w:r>
        <w:t xml:space="preserve"> and Appellant</w:t>
      </w:r>
      <w:r>
        <w:t>.</w:t>
      </w:r>
    </w:p>
    <w:p w14:paraId="7E2F8856" w14:textId="77777777" w:rsidR="00B21D78" w:rsidRDefault="00B21D78" w:rsidP="00032B4F">
      <w:r w:rsidRPr="00712178">
        <w:lastRenderedPageBreak/>
        <w:tab/>
      </w:r>
      <w:r>
        <w:t xml:space="preserve">Dawyn R. Harrison, County Counsel, Kim Nemoy, Assistant County Counsel, </w:t>
      </w:r>
      <w:r>
        <w:t xml:space="preserve">and </w:t>
      </w:r>
      <w:r>
        <w:t>Stephen Watson</w:t>
      </w:r>
      <w:r>
        <w:t xml:space="preserve">, Deputy County Counsel, </w:t>
      </w:r>
      <w:r w:rsidRPr="00712178">
        <w:t xml:space="preserve">for </w:t>
      </w:r>
      <w:r>
        <w:t>Plaintiff and Respondent</w:t>
      </w:r>
      <w:r w:rsidRPr="00712178">
        <w:t>.</w:t>
      </w:r>
    </w:p>
    <w:p w14:paraId="008E3F29" w14:textId="77777777" w:rsidR="00B21D78" w:rsidRPr="00E94151" w:rsidRDefault="00B21D78" w:rsidP="002F0852">
      <w:pPr>
        <w:jc w:val="center"/>
        <w:rPr>
          <w:bCs/>
          <w:szCs w:val="26"/>
        </w:rPr>
      </w:pPr>
      <w:r w:rsidRPr="00E94151">
        <w:rPr>
          <w:bCs/>
          <w:szCs w:val="26"/>
        </w:rPr>
        <w:t>‗‗‗‗‗‗‗‗‗‗‗‗‗‗‗‗‗‗‗‗‗‗‗‗‗‗‗‗</w:t>
      </w:r>
    </w:p>
    <w:p w14:paraId="6C19BB5E" w14:textId="77777777" w:rsidR="00B21D78" w:rsidRDefault="00B21D78" w:rsidP="007F308E">
      <w:r>
        <w:tab/>
      </w:r>
    </w:p>
    <w:p w14:paraId="3235FD30" w14:textId="77777777" w:rsidR="00B21D78" w:rsidRPr="00712178" w:rsidRDefault="00B21D78" w:rsidP="00CC6A6D">
      <w:pPr>
        <w:ind w:firstLine="720"/>
        <w:contextualSpacing/>
      </w:pPr>
      <w:r>
        <w:t xml:space="preserve">Brittany B. (mother) appeals from </w:t>
      </w:r>
      <w:r>
        <w:t>juvenile court order</w:t>
      </w:r>
      <w:r>
        <w:t>s</w:t>
      </w:r>
      <w:r>
        <w:t xml:space="preserve"> finding her two children, B</w:t>
      </w:r>
      <w:r>
        <w:t xml:space="preserve">.D. and C.D., are persons described by Welfare and </w:t>
      </w:r>
      <w:r>
        <w:t>Institutions Code section 300, subdivision (b)</w:t>
      </w:r>
      <w:r>
        <w:t>, and placing them under the supervision of the Los Angeles County Department of Children and Family Services (DCFS)</w:t>
      </w:r>
      <w:r>
        <w:t>.</w:t>
      </w:r>
      <w:r>
        <w:rPr>
          <w:rStyle w:val="FootnoteReference"/>
        </w:rPr>
        <w:footnoteReference w:id="2"/>
      </w:r>
      <w:r>
        <w:t xml:space="preserve">  </w:t>
      </w:r>
      <w:r>
        <w:t>The juvenile court sustained a petition based on allegations that</w:t>
      </w:r>
      <w:r>
        <w:t xml:space="preserve"> C.D. was born </w:t>
      </w:r>
      <w:r>
        <w:t>with a positive toxicology screen for opiates, and that mother</w:t>
      </w:r>
      <w:r>
        <w:t>’</w:t>
      </w:r>
      <w:r>
        <w:t xml:space="preserve">s substance abuse placed both children at substantial risk of </w:t>
      </w:r>
      <w:r>
        <w:t>serious physical harm.</w:t>
      </w:r>
      <w:r>
        <w:t xml:space="preserve">  On appeal, mother contends </w:t>
      </w:r>
      <w:r>
        <w:t>the evidence was insufficient to support the court</w:t>
      </w:r>
      <w:r>
        <w:t>’</w:t>
      </w:r>
      <w:r>
        <w:t xml:space="preserve">s jurisdictional </w:t>
      </w:r>
      <w:r>
        <w:t>findings</w:t>
      </w:r>
      <w:r>
        <w:t xml:space="preserve">.  We agree </w:t>
      </w:r>
      <w:r>
        <w:t>and reverse.</w:t>
      </w:r>
    </w:p>
    <w:p w14:paraId="5C3ED900" w14:textId="77777777" w:rsidR="00B21D78" w:rsidRPr="00340B4C" w:rsidRDefault="00B21D78" w:rsidP="007F308E">
      <w:pPr>
        <w:pStyle w:val="Heading1"/>
        <w:spacing w:before="0" w:after="0"/>
        <w:contextualSpacing/>
      </w:pPr>
      <w:r w:rsidRPr="00340B4C">
        <w:t>FACTUAL AND PROCEDURAL BACKGROUND</w:t>
      </w:r>
    </w:p>
    <w:p w14:paraId="7217C889" w14:textId="77777777" w:rsidR="00B21D78" w:rsidRDefault="00B21D78" w:rsidP="002C3394">
      <w:pPr>
        <w:pStyle w:val="Heading2"/>
        <w:spacing w:before="0" w:after="0"/>
        <w:ind w:left="0" w:firstLine="720"/>
        <w:contextualSpacing/>
        <w:rPr>
          <w:b w:val="0"/>
          <w:bCs/>
        </w:rPr>
      </w:pPr>
      <w:r>
        <w:rPr>
          <w:b w:val="0"/>
          <w:bCs/>
        </w:rPr>
        <w:t xml:space="preserve">On April 26, 2022, </w:t>
      </w:r>
      <w:r>
        <w:rPr>
          <w:b w:val="0"/>
          <w:bCs/>
        </w:rPr>
        <w:t xml:space="preserve">DCFS received a referral </w:t>
      </w:r>
      <w:r>
        <w:rPr>
          <w:b w:val="0"/>
          <w:bCs/>
        </w:rPr>
        <w:t>reporting that</w:t>
      </w:r>
      <w:r>
        <w:rPr>
          <w:b w:val="0"/>
          <w:bCs/>
        </w:rPr>
        <w:t xml:space="preserve"> </w:t>
      </w:r>
      <w:proofErr w:type="gramStart"/>
      <w:r>
        <w:rPr>
          <w:b w:val="0"/>
          <w:bCs/>
        </w:rPr>
        <w:t>m</w:t>
      </w:r>
      <w:r>
        <w:rPr>
          <w:b w:val="0"/>
          <w:bCs/>
        </w:rPr>
        <w:t>other</w:t>
      </w:r>
      <w:proofErr w:type="gramEnd"/>
      <w:r>
        <w:rPr>
          <w:b w:val="0"/>
          <w:bCs/>
        </w:rPr>
        <w:t xml:space="preserve"> </w:t>
      </w:r>
      <w:r>
        <w:rPr>
          <w:b w:val="0"/>
          <w:bCs/>
        </w:rPr>
        <w:t xml:space="preserve">had </w:t>
      </w:r>
      <w:r>
        <w:rPr>
          <w:b w:val="0"/>
          <w:bCs/>
        </w:rPr>
        <w:t xml:space="preserve">tested positive for </w:t>
      </w:r>
      <w:r>
        <w:rPr>
          <w:b w:val="0"/>
          <w:bCs/>
        </w:rPr>
        <w:t xml:space="preserve">opiates.  </w:t>
      </w:r>
      <w:r>
        <w:rPr>
          <w:b w:val="0"/>
          <w:bCs/>
        </w:rPr>
        <w:t xml:space="preserve">She had also tested positive for marijuana and hydrocodone </w:t>
      </w:r>
      <w:r>
        <w:rPr>
          <w:b w:val="0"/>
          <w:bCs/>
        </w:rPr>
        <w:t xml:space="preserve">six months earlier, at her first prenatal care </w:t>
      </w:r>
      <w:r>
        <w:rPr>
          <w:b w:val="0"/>
          <w:bCs/>
        </w:rPr>
        <w:t>visit</w:t>
      </w:r>
      <w:r>
        <w:rPr>
          <w:b w:val="0"/>
          <w:bCs/>
        </w:rPr>
        <w:t>,</w:t>
      </w:r>
      <w:r>
        <w:rPr>
          <w:b w:val="0"/>
          <w:bCs/>
        </w:rPr>
        <w:t xml:space="preserve"> in October 2021.</w:t>
      </w:r>
      <w:r>
        <w:rPr>
          <w:b w:val="0"/>
          <w:bCs/>
        </w:rPr>
        <w:t xml:space="preserve">  </w:t>
      </w:r>
      <w:r>
        <w:rPr>
          <w:b w:val="0"/>
          <w:bCs/>
        </w:rPr>
        <w:t>On April 27</w:t>
      </w:r>
      <w:r>
        <w:rPr>
          <w:b w:val="0"/>
          <w:bCs/>
        </w:rPr>
        <w:t xml:space="preserve">, a </w:t>
      </w:r>
      <w:r>
        <w:rPr>
          <w:b w:val="0"/>
          <w:bCs/>
        </w:rPr>
        <w:t xml:space="preserve">DCFS </w:t>
      </w:r>
      <w:r>
        <w:rPr>
          <w:b w:val="0"/>
          <w:bCs/>
        </w:rPr>
        <w:t>social worker interviewed mother in the hospital.  Mother sai</w:t>
      </w:r>
      <w:r>
        <w:rPr>
          <w:b w:val="0"/>
          <w:bCs/>
        </w:rPr>
        <w:t xml:space="preserve">d the week before </w:t>
      </w:r>
      <w:r>
        <w:rPr>
          <w:b w:val="0"/>
          <w:bCs/>
        </w:rPr>
        <w:t xml:space="preserve">giving birth </w:t>
      </w:r>
      <w:r>
        <w:rPr>
          <w:b w:val="0"/>
          <w:bCs/>
        </w:rPr>
        <w:t>she was experiencing back pain related to her sciatic nerve</w:t>
      </w:r>
      <w:r>
        <w:rPr>
          <w:b w:val="0"/>
          <w:bCs/>
        </w:rPr>
        <w:t>.  She explained that</w:t>
      </w:r>
      <w:r>
        <w:rPr>
          <w:b w:val="0"/>
          <w:bCs/>
        </w:rPr>
        <w:t xml:space="preserve"> her aunt gave her </w:t>
      </w:r>
      <w:r>
        <w:rPr>
          <w:b w:val="0"/>
          <w:bCs/>
        </w:rPr>
        <w:lastRenderedPageBreak/>
        <w:t xml:space="preserve">a </w:t>
      </w:r>
      <w:r>
        <w:rPr>
          <w:b w:val="0"/>
          <w:bCs/>
        </w:rPr>
        <w:t>Norco pill.</w:t>
      </w:r>
      <w:r>
        <w:rPr>
          <w:rStyle w:val="FootnoteReference"/>
          <w:b/>
          <w:bCs/>
        </w:rPr>
        <w:footnoteReference w:id="3"/>
      </w:r>
      <w:r>
        <w:rPr>
          <w:b w:val="0"/>
          <w:bCs/>
        </w:rPr>
        <w:t xml:space="preserve">  Mother claimed this was the only time she took the medication during her pregnancy.</w:t>
      </w:r>
    </w:p>
    <w:p w14:paraId="1575336C" w14:textId="77777777" w:rsidR="00B21D78" w:rsidRDefault="00B21D78" w:rsidP="002C3394">
      <w:pPr>
        <w:pStyle w:val="Heading2"/>
        <w:spacing w:before="0" w:after="0"/>
        <w:ind w:left="0" w:firstLine="720"/>
        <w:contextualSpacing/>
        <w:rPr>
          <w:b w:val="0"/>
          <w:bCs/>
        </w:rPr>
      </w:pPr>
      <w:r>
        <w:rPr>
          <w:b w:val="0"/>
          <w:bCs/>
        </w:rPr>
        <w:t xml:space="preserve">Mother informed the social worker that she had received prenatal care while pregnant with </w:t>
      </w:r>
      <w:r>
        <w:rPr>
          <w:b w:val="0"/>
          <w:bCs/>
        </w:rPr>
        <w:t>C</w:t>
      </w:r>
      <w:r>
        <w:rPr>
          <w:b w:val="0"/>
          <w:bCs/>
        </w:rPr>
        <w:t>.D.</w:t>
      </w:r>
      <w:r>
        <w:rPr>
          <w:b w:val="0"/>
          <w:bCs/>
        </w:rPr>
        <w:t xml:space="preserve"> </w:t>
      </w:r>
      <w:r>
        <w:rPr>
          <w:b w:val="0"/>
          <w:bCs/>
        </w:rPr>
        <w:t xml:space="preserve"> </w:t>
      </w:r>
      <w:r>
        <w:rPr>
          <w:b w:val="0"/>
          <w:bCs/>
        </w:rPr>
        <w:t>She admitted</w:t>
      </w:r>
      <w:r>
        <w:rPr>
          <w:b w:val="0"/>
          <w:bCs/>
        </w:rPr>
        <w:t xml:space="preserve"> test</w:t>
      </w:r>
      <w:r>
        <w:rPr>
          <w:b w:val="0"/>
          <w:bCs/>
        </w:rPr>
        <w:t>ing</w:t>
      </w:r>
      <w:r>
        <w:rPr>
          <w:b w:val="0"/>
          <w:bCs/>
        </w:rPr>
        <w:t xml:space="preserve"> positive for marijuana and opiates at her first prenatal </w:t>
      </w:r>
      <w:r>
        <w:rPr>
          <w:b w:val="0"/>
          <w:bCs/>
        </w:rPr>
        <w:t xml:space="preserve">care </w:t>
      </w:r>
      <w:r>
        <w:rPr>
          <w:b w:val="0"/>
          <w:bCs/>
        </w:rPr>
        <w:t xml:space="preserve">visit.  </w:t>
      </w:r>
      <w:r>
        <w:rPr>
          <w:b w:val="0"/>
          <w:bCs/>
        </w:rPr>
        <w:t>Mother</w:t>
      </w:r>
      <w:r>
        <w:rPr>
          <w:b w:val="0"/>
          <w:bCs/>
        </w:rPr>
        <w:t xml:space="preserve"> </w:t>
      </w:r>
      <w:r>
        <w:rPr>
          <w:b w:val="0"/>
          <w:bCs/>
        </w:rPr>
        <w:t xml:space="preserve">said she was unaware that she was pregnant when she used </w:t>
      </w:r>
      <w:proofErr w:type="gramStart"/>
      <w:r>
        <w:rPr>
          <w:b w:val="0"/>
          <w:bCs/>
        </w:rPr>
        <w:t>the marijuana</w:t>
      </w:r>
      <w:proofErr w:type="gramEnd"/>
      <w:r>
        <w:rPr>
          <w:b w:val="0"/>
          <w:bCs/>
        </w:rPr>
        <w:t xml:space="preserve"> and, at the time, she had taken Norco to alleviate her back pain.  The Norco was prescribed to her after </w:t>
      </w:r>
      <w:proofErr w:type="gramStart"/>
      <w:r>
        <w:rPr>
          <w:b w:val="0"/>
          <w:bCs/>
        </w:rPr>
        <w:t>an oral</w:t>
      </w:r>
      <w:proofErr w:type="gramEnd"/>
      <w:r>
        <w:rPr>
          <w:b w:val="0"/>
          <w:bCs/>
        </w:rPr>
        <w:t xml:space="preserve"> surgery.</w:t>
      </w:r>
      <w:r>
        <w:rPr>
          <w:b w:val="0"/>
          <w:bCs/>
        </w:rPr>
        <w:t xml:space="preserve">  According to mother, the doctor providing her prenatal care did not express concern about the positive </w:t>
      </w:r>
      <w:r>
        <w:rPr>
          <w:b w:val="0"/>
          <w:bCs/>
        </w:rPr>
        <w:t xml:space="preserve">drug </w:t>
      </w:r>
      <w:r>
        <w:rPr>
          <w:b w:val="0"/>
          <w:bCs/>
        </w:rPr>
        <w:t>test.</w:t>
      </w:r>
      <w:r>
        <w:rPr>
          <w:b w:val="0"/>
          <w:bCs/>
        </w:rPr>
        <w:t xml:space="preserve">  </w:t>
      </w:r>
      <w:r>
        <w:rPr>
          <w:b w:val="0"/>
          <w:bCs/>
        </w:rPr>
        <w:t>Mother</w:t>
      </w:r>
      <w:r>
        <w:rPr>
          <w:b w:val="0"/>
          <w:bCs/>
        </w:rPr>
        <w:t xml:space="preserve"> stopped using marijuana when she found out she was pregnant</w:t>
      </w:r>
      <w:r>
        <w:rPr>
          <w:b w:val="0"/>
          <w:bCs/>
        </w:rPr>
        <w:t xml:space="preserve"> and </w:t>
      </w:r>
      <w:r>
        <w:rPr>
          <w:b w:val="0"/>
          <w:bCs/>
        </w:rPr>
        <w:t>di</w:t>
      </w:r>
      <w:r>
        <w:rPr>
          <w:b w:val="0"/>
          <w:bCs/>
        </w:rPr>
        <w:t xml:space="preserve">d not use Norco again until the week before giving birth.  </w:t>
      </w:r>
      <w:r>
        <w:rPr>
          <w:b w:val="0"/>
          <w:bCs/>
        </w:rPr>
        <w:t xml:space="preserve">When asked if she would be willing to drug test for DCFS, mother </w:t>
      </w:r>
      <w:r>
        <w:rPr>
          <w:b w:val="0"/>
          <w:bCs/>
        </w:rPr>
        <w:t xml:space="preserve">said she </w:t>
      </w:r>
      <w:r>
        <w:rPr>
          <w:b w:val="0"/>
          <w:bCs/>
        </w:rPr>
        <w:t xml:space="preserve">did not understand why she would be asked to test and </w:t>
      </w:r>
      <w:r>
        <w:rPr>
          <w:b w:val="0"/>
          <w:bCs/>
        </w:rPr>
        <w:t xml:space="preserve">would only do so if it was </w:t>
      </w:r>
      <w:r>
        <w:rPr>
          <w:b w:val="0"/>
          <w:bCs/>
        </w:rPr>
        <w:t>“</w:t>
      </w:r>
      <w:r>
        <w:rPr>
          <w:b w:val="0"/>
          <w:bCs/>
        </w:rPr>
        <w:t>a requirement.</w:t>
      </w:r>
      <w:r>
        <w:rPr>
          <w:b w:val="0"/>
          <w:bCs/>
        </w:rPr>
        <w:t>”</w:t>
      </w:r>
    </w:p>
    <w:p w14:paraId="4C426F41" w14:textId="77777777" w:rsidR="00B21D78" w:rsidRDefault="00B21D78" w:rsidP="002C3394">
      <w:pPr>
        <w:pStyle w:val="Heading2"/>
        <w:spacing w:before="0" w:after="0"/>
        <w:ind w:left="0" w:firstLine="720"/>
        <w:contextualSpacing/>
        <w:rPr>
          <w:b w:val="0"/>
          <w:bCs/>
        </w:rPr>
      </w:pPr>
      <w:r>
        <w:rPr>
          <w:b w:val="0"/>
          <w:bCs/>
        </w:rPr>
        <w:t>The social worker also asked mother about her older child, B.D.</w:t>
      </w:r>
      <w:r>
        <w:rPr>
          <w:b w:val="0"/>
          <w:bCs/>
        </w:rPr>
        <w:t xml:space="preserve">  </w:t>
      </w:r>
      <w:r>
        <w:rPr>
          <w:b w:val="0"/>
          <w:bCs/>
        </w:rPr>
        <w:t xml:space="preserve">Mother said </w:t>
      </w:r>
      <w:r>
        <w:rPr>
          <w:b w:val="0"/>
          <w:bCs/>
        </w:rPr>
        <w:t>B.D.</w:t>
      </w:r>
      <w:r>
        <w:rPr>
          <w:b w:val="0"/>
          <w:bCs/>
        </w:rPr>
        <w:t>, then three years old,</w:t>
      </w:r>
      <w:r>
        <w:rPr>
          <w:b w:val="0"/>
          <w:bCs/>
        </w:rPr>
        <w:t xml:space="preserve"> was up to date with immunizations and physicals</w:t>
      </w:r>
      <w:r>
        <w:rPr>
          <w:b w:val="0"/>
          <w:bCs/>
        </w:rPr>
        <w:t xml:space="preserve">.  </w:t>
      </w:r>
      <w:r>
        <w:rPr>
          <w:b w:val="0"/>
          <w:bCs/>
        </w:rPr>
        <w:t>B.D. received</w:t>
      </w:r>
      <w:r>
        <w:rPr>
          <w:b w:val="0"/>
          <w:bCs/>
        </w:rPr>
        <w:t xml:space="preserve"> regular medical and dental care.</w:t>
      </w:r>
    </w:p>
    <w:p w14:paraId="2BB2F338" w14:textId="77777777" w:rsidR="00B21D78" w:rsidRDefault="00B21D78" w:rsidP="002C3394">
      <w:pPr>
        <w:pStyle w:val="Heading2"/>
        <w:spacing w:before="0" w:after="0"/>
        <w:ind w:left="0" w:firstLine="720"/>
        <w:contextualSpacing/>
        <w:rPr>
          <w:b w:val="0"/>
          <w:bCs/>
        </w:rPr>
      </w:pPr>
      <w:r>
        <w:rPr>
          <w:b w:val="0"/>
          <w:bCs/>
        </w:rPr>
        <w:t xml:space="preserve">Mother was attentive to C.D. and </w:t>
      </w:r>
      <w:proofErr w:type="gramStart"/>
      <w:r>
        <w:rPr>
          <w:b w:val="0"/>
          <w:bCs/>
        </w:rPr>
        <w:t xml:space="preserve">was </w:t>
      </w:r>
      <w:r>
        <w:rPr>
          <w:b w:val="0"/>
          <w:bCs/>
        </w:rPr>
        <w:t>bonding</w:t>
      </w:r>
      <w:proofErr w:type="gramEnd"/>
      <w:r>
        <w:rPr>
          <w:b w:val="0"/>
          <w:bCs/>
        </w:rPr>
        <w:t xml:space="preserve"> well with him.</w:t>
      </w:r>
      <w:r>
        <w:rPr>
          <w:b w:val="0"/>
          <w:bCs/>
        </w:rPr>
        <w:t xml:space="preserve">  </w:t>
      </w:r>
      <w:r>
        <w:rPr>
          <w:b w:val="0"/>
          <w:bCs/>
        </w:rPr>
        <w:t xml:space="preserve">She fed and soothed him.  </w:t>
      </w:r>
      <w:r>
        <w:rPr>
          <w:b w:val="0"/>
          <w:bCs/>
        </w:rPr>
        <w:t xml:space="preserve">A nurse told the </w:t>
      </w:r>
      <w:r>
        <w:rPr>
          <w:b w:val="0"/>
          <w:bCs/>
        </w:rPr>
        <w:t xml:space="preserve">DCFS </w:t>
      </w:r>
      <w:r>
        <w:rPr>
          <w:b w:val="0"/>
          <w:bCs/>
        </w:rPr>
        <w:t xml:space="preserve">social worker that the drug screening </w:t>
      </w:r>
      <w:r>
        <w:rPr>
          <w:b w:val="0"/>
          <w:bCs/>
        </w:rPr>
        <w:t>completed at the hospital did not provide the levels of drugs in mother</w:t>
      </w:r>
      <w:r>
        <w:rPr>
          <w:b w:val="0"/>
          <w:bCs/>
        </w:rPr>
        <w:t>’</w:t>
      </w:r>
      <w:r>
        <w:rPr>
          <w:b w:val="0"/>
          <w:bCs/>
        </w:rPr>
        <w:t>s system.  C.D.</w:t>
      </w:r>
      <w:r>
        <w:rPr>
          <w:b w:val="0"/>
          <w:bCs/>
        </w:rPr>
        <w:t>’</w:t>
      </w:r>
      <w:r>
        <w:rPr>
          <w:b w:val="0"/>
          <w:bCs/>
        </w:rPr>
        <w:t>s urine sample was negative for substances.  C.D. was born by cesarean section and mother had been prescribed Percocet for pain.</w:t>
      </w:r>
      <w:r>
        <w:rPr>
          <w:b w:val="0"/>
          <w:bCs/>
        </w:rPr>
        <w:t xml:space="preserve">  According to the nurse, </w:t>
      </w:r>
      <w:proofErr w:type="gramStart"/>
      <w:r>
        <w:rPr>
          <w:b w:val="0"/>
          <w:bCs/>
        </w:rPr>
        <w:t>C.</w:t>
      </w:r>
      <w:proofErr w:type="gramEnd"/>
      <w:r>
        <w:rPr>
          <w:b w:val="0"/>
          <w:bCs/>
        </w:rPr>
        <w:t>D. had not displayed any symptoms of withdrawal</w:t>
      </w:r>
      <w:r>
        <w:rPr>
          <w:b w:val="0"/>
          <w:bCs/>
        </w:rPr>
        <w:t>.</w:t>
      </w:r>
      <w:r>
        <w:rPr>
          <w:b w:val="0"/>
          <w:bCs/>
        </w:rPr>
        <w:t xml:space="preserve">  A hospital social worker </w:t>
      </w:r>
      <w:r>
        <w:rPr>
          <w:b w:val="0"/>
          <w:bCs/>
        </w:rPr>
        <w:t xml:space="preserve">reported that mother </w:t>
      </w:r>
      <w:r>
        <w:rPr>
          <w:b w:val="0"/>
          <w:bCs/>
        </w:rPr>
        <w:t>was</w:t>
      </w:r>
      <w:r>
        <w:rPr>
          <w:b w:val="0"/>
          <w:bCs/>
        </w:rPr>
        <w:t xml:space="preserve"> </w:t>
      </w:r>
      <w:r>
        <w:rPr>
          <w:b w:val="0"/>
          <w:bCs/>
        </w:rPr>
        <w:t>“</w:t>
      </w:r>
      <w:r>
        <w:rPr>
          <w:b w:val="0"/>
          <w:bCs/>
        </w:rPr>
        <w:t>open and forthcoming</w:t>
      </w:r>
      <w:r>
        <w:rPr>
          <w:b w:val="0"/>
          <w:bCs/>
        </w:rPr>
        <w:t>”</w:t>
      </w:r>
      <w:r>
        <w:rPr>
          <w:b w:val="0"/>
          <w:bCs/>
        </w:rPr>
        <w:t xml:space="preserve"> with the information that she had taken </w:t>
      </w:r>
      <w:r>
        <w:rPr>
          <w:b w:val="0"/>
          <w:bCs/>
        </w:rPr>
        <w:lastRenderedPageBreak/>
        <w:t>“something”</w:t>
      </w:r>
      <w:r>
        <w:rPr>
          <w:b w:val="0"/>
          <w:bCs/>
        </w:rPr>
        <w:t xml:space="preserve"> for back pain prior to C.D.</w:t>
      </w:r>
      <w:r>
        <w:rPr>
          <w:b w:val="0"/>
          <w:bCs/>
        </w:rPr>
        <w:t>’</w:t>
      </w:r>
      <w:r>
        <w:rPr>
          <w:b w:val="0"/>
          <w:bCs/>
        </w:rPr>
        <w:t xml:space="preserve">s birth.  </w:t>
      </w:r>
      <w:r>
        <w:rPr>
          <w:b w:val="0"/>
          <w:bCs/>
        </w:rPr>
        <w:t xml:space="preserve">The hospital social worker also indicated mother had tested positive for </w:t>
      </w:r>
      <w:r>
        <w:rPr>
          <w:b w:val="0"/>
          <w:bCs/>
        </w:rPr>
        <w:t xml:space="preserve">marijuana </w:t>
      </w:r>
      <w:r>
        <w:rPr>
          <w:b w:val="0"/>
          <w:bCs/>
        </w:rPr>
        <w:t>and</w:t>
      </w:r>
      <w:r w:rsidRPr="00615F20">
        <w:rPr>
          <w:b w:val="0"/>
          <w:bCs/>
        </w:rPr>
        <w:t xml:space="preserve"> </w:t>
      </w:r>
      <w:r>
        <w:rPr>
          <w:b w:val="0"/>
          <w:bCs/>
        </w:rPr>
        <w:t xml:space="preserve">hydrocodone </w:t>
      </w:r>
      <w:r>
        <w:rPr>
          <w:b w:val="0"/>
          <w:bCs/>
        </w:rPr>
        <w:t xml:space="preserve">at </w:t>
      </w:r>
      <w:r>
        <w:rPr>
          <w:b w:val="0"/>
          <w:bCs/>
        </w:rPr>
        <w:t>her</w:t>
      </w:r>
      <w:r>
        <w:rPr>
          <w:b w:val="0"/>
          <w:bCs/>
        </w:rPr>
        <w:t xml:space="preserve"> first prenatal </w:t>
      </w:r>
      <w:r>
        <w:rPr>
          <w:b w:val="0"/>
          <w:bCs/>
        </w:rPr>
        <w:t xml:space="preserve">care </w:t>
      </w:r>
      <w:r>
        <w:rPr>
          <w:b w:val="0"/>
          <w:bCs/>
        </w:rPr>
        <w:t xml:space="preserve">visit.  Mother had denied having a prescription for hydrocodone and said she </w:t>
      </w:r>
      <w:r>
        <w:rPr>
          <w:b w:val="0"/>
          <w:bCs/>
        </w:rPr>
        <w:t xml:space="preserve">got it from a friend.  </w:t>
      </w:r>
      <w:r>
        <w:rPr>
          <w:b w:val="0"/>
          <w:bCs/>
        </w:rPr>
        <w:t>She</w:t>
      </w:r>
      <w:r>
        <w:rPr>
          <w:b w:val="0"/>
          <w:bCs/>
        </w:rPr>
        <w:t xml:space="preserve"> told the hospital social worker that she </w:t>
      </w:r>
      <w:r>
        <w:rPr>
          <w:b w:val="0"/>
          <w:bCs/>
        </w:rPr>
        <w:t xml:space="preserve">used </w:t>
      </w:r>
      <w:r>
        <w:rPr>
          <w:b w:val="0"/>
          <w:bCs/>
        </w:rPr>
        <w:t>“</w:t>
      </w:r>
      <w:r>
        <w:rPr>
          <w:b w:val="0"/>
          <w:bCs/>
        </w:rPr>
        <w:t>the drugs</w:t>
      </w:r>
      <w:r>
        <w:rPr>
          <w:b w:val="0"/>
          <w:bCs/>
        </w:rPr>
        <w:t>”</w:t>
      </w:r>
      <w:r>
        <w:rPr>
          <w:b w:val="0"/>
          <w:bCs/>
        </w:rPr>
        <w:t xml:space="preserve"> recreationally prior to discovering that she was pregnant.</w:t>
      </w:r>
    </w:p>
    <w:p w14:paraId="0B2986AF" w14:textId="77777777" w:rsidR="00B21D78" w:rsidRDefault="00B21D78" w:rsidP="002C3394">
      <w:pPr>
        <w:pStyle w:val="Heading2"/>
        <w:spacing w:before="0" w:after="0"/>
        <w:ind w:left="0" w:firstLine="720"/>
        <w:contextualSpacing/>
        <w:rPr>
          <w:b w:val="0"/>
          <w:bCs/>
        </w:rPr>
      </w:pPr>
      <w:r>
        <w:rPr>
          <w:b w:val="0"/>
          <w:bCs/>
        </w:rPr>
        <w:t>On May 2, the social worker visited mother and the children at</w:t>
      </w:r>
      <w:r>
        <w:rPr>
          <w:b w:val="0"/>
          <w:bCs/>
        </w:rPr>
        <w:t xml:space="preserve"> </w:t>
      </w:r>
      <w:r>
        <w:rPr>
          <w:b w:val="0"/>
          <w:bCs/>
        </w:rPr>
        <w:t>home.  The</w:t>
      </w:r>
      <w:r>
        <w:rPr>
          <w:b w:val="0"/>
          <w:bCs/>
        </w:rPr>
        <w:t>ir</w:t>
      </w:r>
      <w:r>
        <w:rPr>
          <w:b w:val="0"/>
          <w:bCs/>
        </w:rPr>
        <w:t xml:space="preserve"> </w:t>
      </w:r>
      <w:r>
        <w:rPr>
          <w:b w:val="0"/>
          <w:bCs/>
        </w:rPr>
        <w:t>apartment</w:t>
      </w:r>
      <w:r>
        <w:rPr>
          <w:b w:val="0"/>
          <w:bCs/>
        </w:rPr>
        <w:t xml:space="preserve"> was clean, </w:t>
      </w:r>
      <w:r>
        <w:rPr>
          <w:b w:val="0"/>
          <w:bCs/>
        </w:rPr>
        <w:t>well-organized</w:t>
      </w:r>
      <w:r>
        <w:rPr>
          <w:b w:val="0"/>
          <w:bCs/>
        </w:rPr>
        <w:t xml:space="preserve">, and </w:t>
      </w:r>
      <w:r>
        <w:rPr>
          <w:b w:val="0"/>
          <w:bCs/>
        </w:rPr>
        <w:t>“</w:t>
      </w:r>
      <w:r>
        <w:rPr>
          <w:b w:val="0"/>
          <w:bCs/>
        </w:rPr>
        <w:t>in good condition.</w:t>
      </w:r>
      <w:r>
        <w:rPr>
          <w:b w:val="0"/>
          <w:bCs/>
        </w:rPr>
        <w:t>”</w:t>
      </w:r>
      <w:r>
        <w:rPr>
          <w:b w:val="0"/>
          <w:bCs/>
        </w:rPr>
        <w:t xml:space="preserve">  </w:t>
      </w:r>
      <w:r>
        <w:rPr>
          <w:b w:val="0"/>
          <w:bCs/>
        </w:rPr>
        <w:t xml:space="preserve">There was </w:t>
      </w:r>
      <w:r>
        <w:rPr>
          <w:b w:val="0"/>
          <w:bCs/>
        </w:rPr>
        <w:t>“</w:t>
      </w:r>
      <w:r>
        <w:rPr>
          <w:b w:val="0"/>
          <w:bCs/>
        </w:rPr>
        <w:t>plenty [of] clothing and shoes for the children in the closet,</w:t>
      </w:r>
      <w:r>
        <w:rPr>
          <w:b w:val="0"/>
          <w:bCs/>
        </w:rPr>
        <w:t>”</w:t>
      </w:r>
      <w:r>
        <w:rPr>
          <w:b w:val="0"/>
          <w:bCs/>
        </w:rPr>
        <w:t xml:space="preserve"> </w:t>
      </w:r>
      <w:r>
        <w:rPr>
          <w:b w:val="0"/>
          <w:bCs/>
        </w:rPr>
        <w:t>“</w:t>
      </w:r>
      <w:r>
        <w:rPr>
          <w:b w:val="0"/>
          <w:bCs/>
        </w:rPr>
        <w:t>plenty of infant essentials</w:t>
      </w:r>
      <w:r>
        <w:rPr>
          <w:b w:val="0"/>
          <w:bCs/>
        </w:rPr>
        <w:t>,</w:t>
      </w:r>
      <w:r>
        <w:rPr>
          <w:b w:val="0"/>
          <w:bCs/>
        </w:rPr>
        <w:t>”</w:t>
      </w:r>
      <w:r>
        <w:rPr>
          <w:b w:val="0"/>
          <w:bCs/>
        </w:rPr>
        <w:t xml:space="preserve"> and ample food in the refrigerator, freezer, and cabinets.  There were no visible safety hazards in the home.</w:t>
      </w:r>
    </w:p>
    <w:p w14:paraId="5320AB29" w14:textId="77777777" w:rsidR="00B21D78" w:rsidRDefault="00B21D78" w:rsidP="002C3394">
      <w:pPr>
        <w:pStyle w:val="Heading2"/>
        <w:spacing w:before="0" w:after="0"/>
        <w:ind w:left="0" w:firstLine="720"/>
        <w:contextualSpacing/>
        <w:rPr>
          <w:b w:val="0"/>
          <w:bCs/>
        </w:rPr>
      </w:pPr>
      <w:r>
        <w:rPr>
          <w:b w:val="0"/>
          <w:bCs/>
        </w:rPr>
        <w:t xml:space="preserve">Mother and the social worker again discussed </w:t>
      </w:r>
      <w:r>
        <w:rPr>
          <w:b w:val="0"/>
          <w:bCs/>
        </w:rPr>
        <w:t>mother</w:t>
      </w:r>
      <w:r>
        <w:rPr>
          <w:b w:val="0"/>
          <w:bCs/>
        </w:rPr>
        <w:t>’</w:t>
      </w:r>
      <w:r>
        <w:rPr>
          <w:b w:val="0"/>
          <w:bCs/>
        </w:rPr>
        <w:t>s positive</w:t>
      </w:r>
      <w:r>
        <w:rPr>
          <w:b w:val="0"/>
          <w:bCs/>
        </w:rPr>
        <w:t xml:space="preserve"> dru</w:t>
      </w:r>
      <w:r>
        <w:rPr>
          <w:b w:val="0"/>
          <w:bCs/>
        </w:rPr>
        <w:t>g</w:t>
      </w:r>
      <w:r>
        <w:rPr>
          <w:b w:val="0"/>
          <w:bCs/>
        </w:rPr>
        <w:t xml:space="preserve"> tests at C.D.</w:t>
      </w:r>
      <w:r>
        <w:rPr>
          <w:b w:val="0"/>
          <w:bCs/>
        </w:rPr>
        <w:t>’</w:t>
      </w:r>
      <w:r>
        <w:rPr>
          <w:b w:val="0"/>
          <w:bCs/>
        </w:rPr>
        <w:t xml:space="preserve">s birth and at her first prenatal </w:t>
      </w:r>
      <w:r>
        <w:rPr>
          <w:b w:val="0"/>
          <w:bCs/>
        </w:rPr>
        <w:t xml:space="preserve">care </w:t>
      </w:r>
      <w:r>
        <w:rPr>
          <w:b w:val="0"/>
          <w:bCs/>
        </w:rPr>
        <w:t xml:space="preserve">visit.  Mother again </w:t>
      </w:r>
      <w:r>
        <w:rPr>
          <w:b w:val="0"/>
          <w:bCs/>
        </w:rPr>
        <w:t xml:space="preserve">said she took pain medication for her back pain and, had she known it would trigger a DCFS investigation, she would not have taken it.  Mother </w:t>
      </w:r>
      <w:r>
        <w:rPr>
          <w:b w:val="0"/>
          <w:bCs/>
        </w:rPr>
        <w:t>“</w:t>
      </w:r>
      <w:r>
        <w:rPr>
          <w:b w:val="0"/>
          <w:bCs/>
        </w:rPr>
        <w:t>expressed that she felt like she was accused of being a drug addict and expressed distrust of the department.</w:t>
      </w:r>
      <w:r>
        <w:rPr>
          <w:b w:val="0"/>
          <w:bCs/>
        </w:rPr>
        <w:t>”</w:t>
      </w:r>
      <w:r>
        <w:rPr>
          <w:b w:val="0"/>
          <w:bCs/>
        </w:rPr>
        <w:t xml:space="preserve">  She </w:t>
      </w:r>
      <w:r>
        <w:rPr>
          <w:b w:val="0"/>
          <w:bCs/>
        </w:rPr>
        <w:t xml:space="preserve">again indicated she would </w:t>
      </w:r>
      <w:proofErr w:type="gramStart"/>
      <w:r>
        <w:rPr>
          <w:b w:val="0"/>
          <w:bCs/>
        </w:rPr>
        <w:t>only</w:t>
      </w:r>
      <w:proofErr w:type="gramEnd"/>
      <w:r>
        <w:rPr>
          <w:b w:val="0"/>
          <w:bCs/>
        </w:rPr>
        <w:t xml:space="preserve"> drug test if it was required of her.</w:t>
      </w:r>
    </w:p>
    <w:p w14:paraId="27531797" w14:textId="77777777" w:rsidR="00B21D78" w:rsidRDefault="00B21D78" w:rsidP="00B47945">
      <w:pPr>
        <w:pStyle w:val="Heading2"/>
        <w:spacing w:before="0" w:after="0"/>
        <w:ind w:left="0" w:firstLine="720"/>
        <w:contextualSpacing/>
        <w:rPr>
          <w:b w:val="0"/>
          <w:bCs/>
        </w:rPr>
      </w:pPr>
      <w:r>
        <w:rPr>
          <w:b w:val="0"/>
          <w:bCs/>
        </w:rPr>
        <w:t>On May 4, DCFS received the results of drug testing performed on C.D.</w:t>
      </w:r>
      <w:r>
        <w:rPr>
          <w:b w:val="0"/>
          <w:bCs/>
        </w:rPr>
        <w:t>’</w:t>
      </w:r>
      <w:r>
        <w:rPr>
          <w:b w:val="0"/>
          <w:bCs/>
        </w:rPr>
        <w:t xml:space="preserve">s meconium.  The test </w:t>
      </w:r>
      <w:r>
        <w:rPr>
          <w:b w:val="0"/>
          <w:bCs/>
        </w:rPr>
        <w:t xml:space="preserve">was positive for hydromorphone and hydrocodone.  A </w:t>
      </w:r>
      <w:r>
        <w:rPr>
          <w:b w:val="0"/>
          <w:bCs/>
        </w:rPr>
        <w:t>“</w:t>
      </w:r>
      <w:r>
        <w:rPr>
          <w:b w:val="0"/>
          <w:bCs/>
        </w:rPr>
        <w:t>client services</w:t>
      </w:r>
      <w:r>
        <w:rPr>
          <w:b w:val="0"/>
          <w:bCs/>
        </w:rPr>
        <w:t>”</w:t>
      </w:r>
      <w:r>
        <w:rPr>
          <w:b w:val="0"/>
          <w:bCs/>
        </w:rPr>
        <w:t xml:space="preserve"> contact from United States Drug Testing Laboratories told the social worker </w:t>
      </w:r>
      <w:r>
        <w:rPr>
          <w:b w:val="0"/>
          <w:bCs/>
        </w:rPr>
        <w:t xml:space="preserve">the test results did not allow him to provide information regarding the time of use of the drugs, dosage, </w:t>
      </w:r>
      <w:r>
        <w:rPr>
          <w:b w:val="0"/>
          <w:bCs/>
        </w:rPr>
        <w:t xml:space="preserve">or </w:t>
      </w:r>
      <w:r>
        <w:rPr>
          <w:b w:val="0"/>
          <w:bCs/>
        </w:rPr>
        <w:t xml:space="preserve">frequency of use.  He also could </w:t>
      </w:r>
      <w:r>
        <w:rPr>
          <w:b w:val="0"/>
          <w:bCs/>
        </w:rPr>
        <w:t>not confirm if the results were consistent with the use of Norco.</w:t>
      </w:r>
    </w:p>
    <w:p w14:paraId="39BCD193" w14:textId="77777777" w:rsidR="00B21D78" w:rsidRDefault="00B21D78" w:rsidP="002C3394">
      <w:pPr>
        <w:pStyle w:val="Heading2"/>
        <w:spacing w:before="0" w:after="0"/>
        <w:ind w:left="0" w:firstLine="720"/>
        <w:contextualSpacing/>
        <w:rPr>
          <w:b w:val="0"/>
          <w:bCs/>
        </w:rPr>
      </w:pPr>
      <w:r>
        <w:rPr>
          <w:b w:val="0"/>
          <w:bCs/>
        </w:rPr>
        <w:lastRenderedPageBreak/>
        <w:t xml:space="preserve">On May 19, the social worker informed mother that </w:t>
      </w:r>
      <w:r>
        <w:rPr>
          <w:b w:val="0"/>
          <w:bCs/>
        </w:rPr>
        <w:t xml:space="preserve">DCFS intended to open a case and seek court supervision.  Mother denied being a drug user.  She said there </w:t>
      </w:r>
      <w:r>
        <w:rPr>
          <w:b w:val="0"/>
          <w:bCs/>
        </w:rPr>
        <w:t>had been</w:t>
      </w:r>
      <w:r>
        <w:rPr>
          <w:b w:val="0"/>
          <w:bCs/>
        </w:rPr>
        <w:t xml:space="preserve"> no concerns about C.D. at the hospital and he was </w:t>
      </w:r>
      <w:r>
        <w:rPr>
          <w:b w:val="0"/>
          <w:bCs/>
        </w:rPr>
        <w:t>“</w:t>
      </w:r>
      <w:r>
        <w:rPr>
          <w:b w:val="0"/>
          <w:bCs/>
        </w:rPr>
        <w:t>perfectly fine.</w:t>
      </w:r>
      <w:r>
        <w:rPr>
          <w:b w:val="0"/>
          <w:bCs/>
        </w:rPr>
        <w:t>”</w:t>
      </w:r>
      <w:r>
        <w:rPr>
          <w:b w:val="0"/>
          <w:bCs/>
        </w:rPr>
        <w:t xml:space="preserve">  The social worker again asked if mother would be willing to drug test for DCFS.  Mother </w:t>
      </w:r>
      <w:r>
        <w:rPr>
          <w:b w:val="0"/>
          <w:bCs/>
        </w:rPr>
        <w:t>said she would need to speak to an advisor first.</w:t>
      </w:r>
    </w:p>
    <w:p w14:paraId="1BC0C674" w14:textId="77777777" w:rsidR="00B21D78" w:rsidRDefault="00B21D78" w:rsidP="002C3394">
      <w:pPr>
        <w:pStyle w:val="Heading2"/>
        <w:spacing w:before="0" w:after="0"/>
        <w:ind w:left="0" w:firstLine="720"/>
        <w:contextualSpacing/>
        <w:rPr>
          <w:b w:val="0"/>
          <w:bCs/>
        </w:rPr>
      </w:pPr>
      <w:r>
        <w:rPr>
          <w:b w:val="0"/>
          <w:bCs/>
        </w:rPr>
        <w:t xml:space="preserve">A few days later, the social worker </w:t>
      </w:r>
      <w:r>
        <w:rPr>
          <w:b w:val="0"/>
          <w:bCs/>
        </w:rPr>
        <w:t>interviewed</w:t>
      </w:r>
      <w:r>
        <w:rPr>
          <w:b w:val="0"/>
          <w:bCs/>
        </w:rPr>
        <w:t xml:space="preserve"> the maternal grandmother.  The maternal grandmother </w:t>
      </w:r>
      <w:r>
        <w:rPr>
          <w:b w:val="0"/>
          <w:bCs/>
        </w:rPr>
        <w:t>saw mother and the children three to four times a week</w:t>
      </w:r>
      <w:r>
        <w:rPr>
          <w:b w:val="0"/>
          <w:bCs/>
        </w:rPr>
        <w:t>.  S</w:t>
      </w:r>
      <w:r>
        <w:rPr>
          <w:b w:val="0"/>
          <w:bCs/>
        </w:rPr>
        <w:t>he had no concerns about mother</w:t>
      </w:r>
      <w:r>
        <w:rPr>
          <w:b w:val="0"/>
          <w:bCs/>
        </w:rPr>
        <w:t>’</w:t>
      </w:r>
      <w:r>
        <w:rPr>
          <w:b w:val="0"/>
          <w:bCs/>
        </w:rPr>
        <w:t>s care of the children.  M</w:t>
      </w:r>
      <w:r>
        <w:rPr>
          <w:b w:val="0"/>
          <w:bCs/>
        </w:rPr>
        <w:t xml:space="preserve">aternal grandmother was not aware of mother using drugs or alcohol.  She </w:t>
      </w:r>
      <w:r>
        <w:rPr>
          <w:b w:val="0"/>
          <w:bCs/>
        </w:rPr>
        <w:t xml:space="preserve">indicated she gave mother </w:t>
      </w:r>
      <w:r>
        <w:rPr>
          <w:b w:val="0"/>
          <w:bCs/>
        </w:rPr>
        <w:t>“</w:t>
      </w:r>
      <w:r>
        <w:rPr>
          <w:b w:val="0"/>
          <w:bCs/>
        </w:rPr>
        <w:t>half of her pain medication</w:t>
      </w:r>
      <w:r>
        <w:rPr>
          <w:b w:val="0"/>
          <w:bCs/>
        </w:rPr>
        <w:t>”</w:t>
      </w:r>
      <w:r>
        <w:rPr>
          <w:b w:val="0"/>
          <w:bCs/>
        </w:rPr>
        <w:t xml:space="preserve"> a week before C.D. was born because mother was having </w:t>
      </w:r>
      <w:r>
        <w:rPr>
          <w:b w:val="0"/>
          <w:bCs/>
        </w:rPr>
        <w:t xml:space="preserve">bad back problems.  Maternal grandmother did not believe mother abused any drugs or medications.  </w:t>
      </w:r>
      <w:r>
        <w:rPr>
          <w:b w:val="0"/>
          <w:bCs/>
        </w:rPr>
        <w:t>According to maternal grandmother, mother</w:t>
      </w:r>
      <w:r>
        <w:rPr>
          <w:b w:val="0"/>
          <w:bCs/>
        </w:rPr>
        <w:t xml:space="preserve"> used to smoke mariju</w:t>
      </w:r>
      <w:r>
        <w:rPr>
          <w:b w:val="0"/>
          <w:bCs/>
        </w:rPr>
        <w:t xml:space="preserve">ana, </w:t>
      </w:r>
      <w:r>
        <w:rPr>
          <w:b w:val="0"/>
          <w:bCs/>
        </w:rPr>
        <w:t xml:space="preserve">but </w:t>
      </w:r>
      <w:r>
        <w:rPr>
          <w:b w:val="0"/>
          <w:bCs/>
        </w:rPr>
        <w:t>she stopped when she found out she was pregnant.</w:t>
      </w:r>
    </w:p>
    <w:p w14:paraId="4D89FFA5" w14:textId="77777777" w:rsidR="00B21D78" w:rsidRDefault="00B21D78" w:rsidP="00D73355">
      <w:pPr>
        <w:pStyle w:val="Heading2"/>
        <w:spacing w:before="0" w:after="0"/>
        <w:ind w:left="0" w:firstLine="720"/>
        <w:contextualSpacing/>
        <w:rPr>
          <w:b w:val="0"/>
          <w:bCs/>
        </w:rPr>
      </w:pPr>
      <w:r>
        <w:rPr>
          <w:b w:val="0"/>
          <w:bCs/>
        </w:rPr>
        <w:t>On May 27, the social worker made another scheduled visit to mother</w:t>
      </w:r>
      <w:r>
        <w:rPr>
          <w:b w:val="0"/>
          <w:bCs/>
        </w:rPr>
        <w:t>’</w:t>
      </w:r>
      <w:r>
        <w:rPr>
          <w:b w:val="0"/>
          <w:bCs/>
        </w:rPr>
        <w:t xml:space="preserve">s home.  B.D. appeared comfortable </w:t>
      </w:r>
      <w:r>
        <w:rPr>
          <w:b w:val="0"/>
          <w:bCs/>
        </w:rPr>
        <w:t xml:space="preserve">in the home.  She was dressed in clean clothing and was </w:t>
      </w:r>
      <w:r>
        <w:rPr>
          <w:b w:val="0"/>
          <w:bCs/>
        </w:rPr>
        <w:t>“</w:t>
      </w:r>
      <w:r>
        <w:rPr>
          <w:b w:val="0"/>
          <w:bCs/>
        </w:rPr>
        <w:t>well groomed.</w:t>
      </w:r>
      <w:r>
        <w:rPr>
          <w:b w:val="0"/>
          <w:bCs/>
        </w:rPr>
        <w:t>”</w:t>
      </w:r>
      <w:r>
        <w:rPr>
          <w:b w:val="0"/>
          <w:bCs/>
        </w:rPr>
        <w:t xml:space="preserve">  Mother was very attentive to C.D</w:t>
      </w:r>
      <w:r>
        <w:rPr>
          <w:b w:val="0"/>
          <w:bCs/>
        </w:rPr>
        <w:t xml:space="preserve">.  The home was clean and organized. </w:t>
      </w:r>
      <w:r>
        <w:rPr>
          <w:b w:val="0"/>
          <w:bCs/>
        </w:rPr>
        <w:t xml:space="preserve"> Mother expressed disbelief that taking pain</w:t>
      </w:r>
      <w:r>
        <w:rPr>
          <w:b w:val="0"/>
          <w:bCs/>
        </w:rPr>
        <w:t xml:space="preserve"> medication could result in DCFS opening a case.  She regretted that she had taken Norco for her back pain and said it was a mistake. </w:t>
      </w:r>
      <w:r>
        <w:rPr>
          <w:b w:val="0"/>
          <w:bCs/>
        </w:rPr>
        <w:t xml:space="preserve"> </w:t>
      </w:r>
      <w:r>
        <w:rPr>
          <w:b w:val="0"/>
          <w:bCs/>
        </w:rPr>
        <w:t xml:space="preserve">She insisted that her use of the drug was limited to the time before she learned she was pregnant and once in the week before C.D. was born. </w:t>
      </w:r>
      <w:r>
        <w:rPr>
          <w:b w:val="0"/>
          <w:bCs/>
        </w:rPr>
        <w:t xml:space="preserve"> She denied us</w:t>
      </w:r>
      <w:r>
        <w:rPr>
          <w:b w:val="0"/>
          <w:bCs/>
        </w:rPr>
        <w:t>ing Norco or any other substances during her pregnancy.</w:t>
      </w:r>
      <w:r>
        <w:rPr>
          <w:b w:val="0"/>
          <w:bCs/>
        </w:rPr>
        <w:t xml:space="preserve">  The social worker once again asked if mother was willing to submit to drug testing.  Mother said she would </w:t>
      </w:r>
      <w:proofErr w:type="gramStart"/>
      <w:r>
        <w:rPr>
          <w:b w:val="0"/>
          <w:bCs/>
        </w:rPr>
        <w:t>test</w:t>
      </w:r>
      <w:proofErr w:type="gramEnd"/>
      <w:r>
        <w:rPr>
          <w:b w:val="0"/>
          <w:bCs/>
        </w:rPr>
        <w:t xml:space="preserve"> if it </w:t>
      </w:r>
      <w:r>
        <w:rPr>
          <w:b w:val="0"/>
          <w:bCs/>
        </w:rPr>
        <w:t xml:space="preserve">were </w:t>
      </w:r>
      <w:r>
        <w:rPr>
          <w:b w:val="0"/>
          <w:bCs/>
        </w:rPr>
        <w:t>court-ordered.</w:t>
      </w:r>
    </w:p>
    <w:p w14:paraId="42213CED" w14:textId="77777777" w:rsidR="00B21D78" w:rsidRDefault="00B21D78" w:rsidP="00D73355">
      <w:pPr>
        <w:pStyle w:val="Heading2"/>
        <w:spacing w:before="0" w:after="0"/>
        <w:ind w:left="0" w:firstLine="720"/>
        <w:contextualSpacing/>
        <w:rPr>
          <w:b w:val="0"/>
          <w:bCs/>
        </w:rPr>
      </w:pPr>
      <w:r>
        <w:rPr>
          <w:b w:val="0"/>
          <w:bCs/>
        </w:rPr>
        <w:lastRenderedPageBreak/>
        <w:t xml:space="preserve">On June 2, </w:t>
      </w:r>
      <w:r>
        <w:rPr>
          <w:b w:val="0"/>
          <w:bCs/>
        </w:rPr>
        <w:t xml:space="preserve">a </w:t>
      </w:r>
      <w:proofErr w:type="spellStart"/>
      <w:r>
        <w:rPr>
          <w:b w:val="0"/>
          <w:bCs/>
        </w:rPr>
        <w:t>Pharmatech</w:t>
      </w:r>
      <w:proofErr w:type="spellEnd"/>
      <w:r>
        <w:rPr>
          <w:b w:val="0"/>
          <w:bCs/>
        </w:rPr>
        <w:t xml:space="preserve"> lab technician informed </w:t>
      </w:r>
      <w:r>
        <w:rPr>
          <w:b w:val="0"/>
          <w:bCs/>
        </w:rPr>
        <w:t>the social worker</w:t>
      </w:r>
      <w:r>
        <w:rPr>
          <w:b w:val="0"/>
          <w:bCs/>
        </w:rPr>
        <w:t xml:space="preserve"> that Norco will show up on a drug test between 20</w:t>
      </w:r>
      <w:r>
        <w:rPr>
          <w:b w:val="0"/>
          <w:bCs/>
        </w:rPr>
        <w:t xml:space="preserve"> to </w:t>
      </w:r>
      <w:r>
        <w:rPr>
          <w:b w:val="0"/>
          <w:bCs/>
        </w:rPr>
        <w:t xml:space="preserve">24 hours in the blood and for up to three days in urine samples after the last use. </w:t>
      </w:r>
      <w:r>
        <w:rPr>
          <w:b w:val="0"/>
          <w:bCs/>
        </w:rPr>
        <w:t xml:space="preserve"> The lab technician opined that </w:t>
      </w:r>
      <w:proofErr w:type="gramStart"/>
      <w:r>
        <w:rPr>
          <w:b w:val="0"/>
          <w:bCs/>
        </w:rPr>
        <w:t>“</w:t>
      </w:r>
      <w:r>
        <w:rPr>
          <w:b w:val="0"/>
          <w:bCs/>
        </w:rPr>
        <w:t> </w:t>
      </w:r>
      <w:r>
        <w:rPr>
          <w:b w:val="0"/>
          <w:bCs/>
        </w:rPr>
        <w:t>‘</w:t>
      </w:r>
      <w:proofErr w:type="gramEnd"/>
      <w:r>
        <w:rPr>
          <w:b w:val="0"/>
          <w:bCs/>
        </w:rPr>
        <w:t>based on the low levels</w:t>
      </w:r>
      <w:r>
        <w:rPr>
          <w:b w:val="0"/>
          <w:bCs/>
        </w:rPr>
        <w:t>’</w:t>
      </w:r>
      <w:r>
        <w:rPr>
          <w:b w:val="0"/>
          <w:bCs/>
        </w:rPr>
        <w:t xml:space="preserve"> ”</w:t>
      </w:r>
      <w:r>
        <w:rPr>
          <w:b w:val="0"/>
          <w:bCs/>
        </w:rPr>
        <w:t xml:space="preserve"> of </w:t>
      </w:r>
      <w:r>
        <w:rPr>
          <w:b w:val="0"/>
          <w:bCs/>
        </w:rPr>
        <w:t>hydromorphone and hydrocodone from C.D.</w:t>
      </w:r>
      <w:r>
        <w:rPr>
          <w:b w:val="0"/>
          <w:bCs/>
        </w:rPr>
        <w:t>’</w:t>
      </w:r>
      <w:r>
        <w:rPr>
          <w:b w:val="0"/>
          <w:bCs/>
        </w:rPr>
        <w:t xml:space="preserve">s meconium test, </w:t>
      </w:r>
      <w:r>
        <w:rPr>
          <w:b w:val="0"/>
          <w:bCs/>
        </w:rPr>
        <w:t>“</w:t>
      </w:r>
      <w:r>
        <w:rPr>
          <w:b w:val="0"/>
          <w:bCs/>
        </w:rPr>
        <w:t xml:space="preserve">it could have been </w:t>
      </w:r>
      <w:r>
        <w:rPr>
          <w:b w:val="0"/>
          <w:bCs/>
        </w:rPr>
        <w:t xml:space="preserve">a </w:t>
      </w:r>
      <w:r>
        <w:rPr>
          <w:b w:val="0"/>
          <w:bCs/>
        </w:rPr>
        <w:t>result of a onetime use by the mother near the time of the child</w:t>
      </w:r>
      <w:r>
        <w:rPr>
          <w:b w:val="0"/>
          <w:bCs/>
        </w:rPr>
        <w:t>’</w:t>
      </w:r>
      <w:r>
        <w:rPr>
          <w:b w:val="0"/>
          <w:bCs/>
        </w:rPr>
        <w:t>s birth.</w:t>
      </w:r>
      <w:r>
        <w:rPr>
          <w:b w:val="0"/>
          <w:bCs/>
        </w:rPr>
        <w:t>”</w:t>
      </w:r>
    </w:p>
    <w:p w14:paraId="102B1DBA" w14:textId="77777777" w:rsidR="00B21D78" w:rsidRDefault="00B21D78" w:rsidP="00D73355">
      <w:pPr>
        <w:pStyle w:val="Heading2"/>
        <w:spacing w:before="0" w:after="0"/>
        <w:ind w:left="0" w:firstLine="720"/>
        <w:contextualSpacing/>
        <w:rPr>
          <w:b w:val="0"/>
          <w:bCs/>
        </w:rPr>
      </w:pPr>
      <w:r>
        <w:rPr>
          <w:b w:val="0"/>
          <w:bCs/>
        </w:rPr>
        <w:t>On June 6, DCFS filed a petition alleging the children were persons described by section 300, subdivision (b)</w:t>
      </w:r>
      <w:r>
        <w:rPr>
          <w:b w:val="0"/>
          <w:bCs/>
        </w:rPr>
        <w:t xml:space="preserve">, </w:t>
      </w:r>
      <w:proofErr w:type="gramStart"/>
      <w:r>
        <w:rPr>
          <w:b w:val="0"/>
          <w:bCs/>
        </w:rPr>
        <w:t>as a result of</w:t>
      </w:r>
      <w:proofErr w:type="gramEnd"/>
      <w:r>
        <w:rPr>
          <w:b w:val="0"/>
          <w:bCs/>
        </w:rPr>
        <w:t xml:space="preserve"> </w:t>
      </w:r>
      <w:r>
        <w:rPr>
          <w:b w:val="0"/>
          <w:bCs/>
        </w:rPr>
        <w:t>mother</w:t>
      </w:r>
      <w:r>
        <w:rPr>
          <w:b w:val="0"/>
          <w:bCs/>
        </w:rPr>
        <w:t>’</w:t>
      </w:r>
      <w:r>
        <w:rPr>
          <w:b w:val="0"/>
          <w:bCs/>
        </w:rPr>
        <w:t>s failure or inability to adequately supervise or protect them, and due to mother</w:t>
      </w:r>
      <w:r>
        <w:rPr>
          <w:b w:val="0"/>
          <w:bCs/>
        </w:rPr>
        <w:t>’</w:t>
      </w:r>
      <w:r>
        <w:rPr>
          <w:b w:val="0"/>
          <w:bCs/>
        </w:rPr>
        <w:t xml:space="preserve">s inability to provide regular care due to </w:t>
      </w:r>
      <w:r>
        <w:rPr>
          <w:b w:val="0"/>
          <w:bCs/>
        </w:rPr>
        <w:t xml:space="preserve">her substance abuse.  The petition alleged mother had a history of substance abuse and was a current abuser of opiates, hydromorphone, hydrocodone, Norco, and marijuana. </w:t>
      </w:r>
      <w:r>
        <w:rPr>
          <w:b w:val="0"/>
          <w:bCs/>
        </w:rPr>
        <w:t xml:space="preserve"> DCFS did not seek to detain the children.</w:t>
      </w:r>
      <w:r>
        <w:rPr>
          <w:b w:val="0"/>
          <w:bCs/>
        </w:rPr>
        <w:t xml:space="preserve">  At the initial hearing</w:t>
      </w:r>
      <w:r>
        <w:rPr>
          <w:b w:val="0"/>
          <w:bCs/>
        </w:rPr>
        <w:t xml:space="preserve"> on </w:t>
      </w:r>
      <w:r w:rsidRPr="00F92B07">
        <w:rPr>
          <w:b w:val="0"/>
          <w:bCs/>
        </w:rPr>
        <w:t>June 20</w:t>
      </w:r>
      <w:r w:rsidRPr="00F92B07">
        <w:rPr>
          <w:b w:val="0"/>
          <w:bCs/>
        </w:rPr>
        <w:t>, t</w:t>
      </w:r>
      <w:r>
        <w:rPr>
          <w:b w:val="0"/>
          <w:bCs/>
        </w:rPr>
        <w:t>he court authorized DCFS to provide mother with a drug testing referral.</w:t>
      </w:r>
    </w:p>
    <w:p w14:paraId="612022F0" w14:textId="77777777" w:rsidR="00B21D78" w:rsidRDefault="00B21D78" w:rsidP="00E36252">
      <w:pPr>
        <w:pStyle w:val="Heading2"/>
        <w:spacing w:before="0" w:after="0"/>
        <w:ind w:left="0" w:firstLine="720"/>
        <w:contextualSpacing/>
        <w:rPr>
          <w:b w:val="0"/>
          <w:bCs/>
        </w:rPr>
      </w:pPr>
      <w:r>
        <w:rPr>
          <w:b w:val="0"/>
          <w:bCs/>
        </w:rPr>
        <w:t xml:space="preserve">On July 7, </w:t>
      </w:r>
      <w:r>
        <w:rPr>
          <w:b w:val="0"/>
          <w:bCs/>
        </w:rPr>
        <w:t xml:space="preserve">mother </w:t>
      </w:r>
      <w:r>
        <w:rPr>
          <w:b w:val="0"/>
          <w:bCs/>
        </w:rPr>
        <w:t>tested positive for hydrocodone</w:t>
      </w:r>
      <w:r>
        <w:rPr>
          <w:b w:val="0"/>
          <w:bCs/>
        </w:rPr>
        <w:t xml:space="preserve"> and </w:t>
      </w:r>
      <w:r>
        <w:rPr>
          <w:b w:val="0"/>
          <w:bCs/>
        </w:rPr>
        <w:t xml:space="preserve">hydromorphone. </w:t>
      </w:r>
      <w:r>
        <w:rPr>
          <w:b w:val="0"/>
          <w:bCs/>
        </w:rPr>
        <w:t xml:space="preserve"> </w:t>
      </w:r>
      <w:r>
        <w:rPr>
          <w:b w:val="0"/>
          <w:bCs/>
        </w:rPr>
        <w:t xml:space="preserve">She did not </w:t>
      </w:r>
      <w:r>
        <w:rPr>
          <w:b w:val="0"/>
          <w:bCs/>
        </w:rPr>
        <w:t>submit to</w:t>
      </w:r>
      <w:r>
        <w:rPr>
          <w:b w:val="0"/>
          <w:bCs/>
        </w:rPr>
        <w:t xml:space="preserve"> any further drug testing.</w:t>
      </w:r>
    </w:p>
    <w:p w14:paraId="28E93E23" w14:textId="77777777" w:rsidR="00B21D78" w:rsidRDefault="00B21D78" w:rsidP="00D73355">
      <w:pPr>
        <w:pStyle w:val="Heading2"/>
        <w:spacing w:before="0" w:after="0"/>
        <w:ind w:left="0" w:firstLine="720"/>
        <w:contextualSpacing/>
        <w:rPr>
          <w:b w:val="0"/>
          <w:bCs/>
        </w:rPr>
      </w:pPr>
      <w:r>
        <w:rPr>
          <w:b w:val="0"/>
          <w:bCs/>
        </w:rPr>
        <w:t xml:space="preserve">A report prepared for an August 2022 jurisdiction and disposition hearing </w:t>
      </w:r>
      <w:r>
        <w:rPr>
          <w:b w:val="0"/>
          <w:bCs/>
        </w:rPr>
        <w:t>indicated that a dependency investigator visited the family on July 14.  B.D. was friendly and talk</w:t>
      </w:r>
      <w:r>
        <w:rPr>
          <w:b w:val="0"/>
          <w:bCs/>
        </w:rPr>
        <w:t>ative.  She did not have any visible marks or bruises.  C.D. was alert and comfortable with mother.  He also had no visible marks</w:t>
      </w:r>
      <w:r>
        <w:rPr>
          <w:b w:val="0"/>
          <w:bCs/>
        </w:rPr>
        <w:t xml:space="preserve">, bruises, or rash. </w:t>
      </w:r>
      <w:r>
        <w:rPr>
          <w:b w:val="0"/>
          <w:bCs/>
        </w:rPr>
        <w:t xml:space="preserve"> Mother told the investigator that C.D. had not spent time in the NICU or an incubator</w:t>
      </w:r>
      <w:r>
        <w:rPr>
          <w:b w:val="0"/>
          <w:bCs/>
        </w:rPr>
        <w:t xml:space="preserve"> when he was born.  Instead,</w:t>
      </w:r>
      <w:r>
        <w:rPr>
          <w:b w:val="0"/>
          <w:bCs/>
        </w:rPr>
        <w:t xml:space="preserve"> </w:t>
      </w:r>
      <w:r>
        <w:rPr>
          <w:b w:val="0"/>
          <w:bCs/>
        </w:rPr>
        <w:t>“</w:t>
      </w:r>
      <w:r>
        <w:rPr>
          <w:b w:val="0"/>
          <w:bCs/>
        </w:rPr>
        <w:t>everything was completely normal with him.</w:t>
      </w:r>
      <w:r>
        <w:rPr>
          <w:b w:val="0"/>
          <w:bCs/>
        </w:rPr>
        <w:t>”</w:t>
      </w:r>
      <w:r>
        <w:rPr>
          <w:b w:val="0"/>
          <w:bCs/>
        </w:rPr>
        <w:t xml:space="preserve"> </w:t>
      </w:r>
      <w:r>
        <w:rPr>
          <w:b w:val="0"/>
          <w:bCs/>
        </w:rPr>
        <w:t xml:space="preserve"> She indicated </w:t>
      </w:r>
      <w:r>
        <w:rPr>
          <w:b w:val="0"/>
          <w:bCs/>
        </w:rPr>
        <w:t>C.D. experienced no signs of withdrawal</w:t>
      </w:r>
      <w:r>
        <w:rPr>
          <w:b w:val="0"/>
          <w:bCs/>
        </w:rPr>
        <w:t xml:space="preserve"> at birth, or in the three days they spent in the </w:t>
      </w:r>
      <w:r>
        <w:rPr>
          <w:b w:val="0"/>
          <w:bCs/>
        </w:rPr>
        <w:t>hospital after he was born</w:t>
      </w:r>
      <w:r>
        <w:rPr>
          <w:b w:val="0"/>
          <w:bCs/>
        </w:rPr>
        <w:t>.</w:t>
      </w:r>
    </w:p>
    <w:p w14:paraId="17017C3D" w14:textId="77777777" w:rsidR="00B21D78" w:rsidRDefault="00B21D78" w:rsidP="00D73355">
      <w:pPr>
        <w:pStyle w:val="Heading2"/>
        <w:spacing w:before="0" w:after="0"/>
        <w:ind w:left="0" w:firstLine="720"/>
        <w:contextualSpacing/>
        <w:rPr>
          <w:b w:val="0"/>
          <w:bCs/>
        </w:rPr>
      </w:pPr>
      <w:r>
        <w:rPr>
          <w:b w:val="0"/>
          <w:bCs/>
        </w:rPr>
        <w:lastRenderedPageBreak/>
        <w:t>Mother admitted she had taken op</w:t>
      </w:r>
      <w:r>
        <w:rPr>
          <w:b w:val="0"/>
          <w:bCs/>
        </w:rPr>
        <w:t xml:space="preserve">iates a few days before her </w:t>
      </w:r>
      <w:r>
        <w:rPr>
          <w:b w:val="0"/>
          <w:bCs/>
        </w:rPr>
        <w:t>cesarean</w:t>
      </w:r>
      <w:r>
        <w:rPr>
          <w:b w:val="0"/>
          <w:bCs/>
        </w:rPr>
        <w:t xml:space="preserve"> </w:t>
      </w:r>
      <w:r>
        <w:rPr>
          <w:b w:val="0"/>
          <w:bCs/>
        </w:rPr>
        <w:t>section and that the</w:t>
      </w:r>
      <w:r>
        <w:rPr>
          <w:b w:val="0"/>
          <w:bCs/>
        </w:rPr>
        <w:t xml:space="preserve"> drugs</w:t>
      </w:r>
      <w:r>
        <w:rPr>
          <w:b w:val="0"/>
          <w:bCs/>
        </w:rPr>
        <w:t xml:space="preserve"> were not prescribed to her.  She said she got the medication from the maternal grandmother</w:t>
      </w:r>
      <w:r>
        <w:rPr>
          <w:b w:val="0"/>
          <w:bCs/>
        </w:rPr>
        <w:t>.  S</w:t>
      </w:r>
      <w:r>
        <w:rPr>
          <w:b w:val="0"/>
          <w:bCs/>
        </w:rPr>
        <w:t>he took it for sciatica nerve pain</w:t>
      </w:r>
      <w:r>
        <w:rPr>
          <w:b w:val="0"/>
          <w:bCs/>
        </w:rPr>
        <w:t xml:space="preserve">. </w:t>
      </w:r>
      <w:r>
        <w:rPr>
          <w:b w:val="0"/>
          <w:bCs/>
        </w:rPr>
        <w:t xml:space="preserve"> </w:t>
      </w:r>
      <w:r>
        <w:rPr>
          <w:b w:val="0"/>
          <w:bCs/>
        </w:rPr>
        <w:t>Mother</w:t>
      </w:r>
      <w:r>
        <w:rPr>
          <w:b w:val="0"/>
          <w:bCs/>
        </w:rPr>
        <w:t xml:space="preserve"> denied having a substance abuse problem, indicating she had never gone to a drug rehab</w:t>
      </w:r>
      <w:r>
        <w:rPr>
          <w:b w:val="0"/>
          <w:bCs/>
        </w:rPr>
        <w:t xml:space="preserve">ilitation </w:t>
      </w:r>
      <w:r>
        <w:rPr>
          <w:b w:val="0"/>
          <w:bCs/>
        </w:rPr>
        <w:t>program,</w:t>
      </w:r>
      <w:r>
        <w:rPr>
          <w:b w:val="0"/>
          <w:bCs/>
        </w:rPr>
        <w:t xml:space="preserve"> </w:t>
      </w:r>
      <w:r>
        <w:rPr>
          <w:b w:val="0"/>
          <w:bCs/>
        </w:rPr>
        <w:t xml:space="preserve">or </w:t>
      </w:r>
      <w:r>
        <w:rPr>
          <w:b w:val="0"/>
          <w:bCs/>
        </w:rPr>
        <w:t xml:space="preserve">been arrested for substance use </w:t>
      </w:r>
      <w:r>
        <w:rPr>
          <w:b w:val="0"/>
          <w:bCs/>
        </w:rPr>
        <w:t>issues.</w:t>
      </w:r>
      <w:r>
        <w:rPr>
          <w:b w:val="0"/>
          <w:bCs/>
        </w:rPr>
        <w:t xml:space="preserve">  She repeated that the positive test for marijuana and opiates at her first prenatal </w:t>
      </w:r>
      <w:r>
        <w:rPr>
          <w:b w:val="0"/>
          <w:bCs/>
        </w:rPr>
        <w:t xml:space="preserve">care </w:t>
      </w:r>
      <w:r>
        <w:rPr>
          <w:b w:val="0"/>
          <w:bCs/>
        </w:rPr>
        <w:t xml:space="preserve">visit </w:t>
      </w:r>
      <w:r>
        <w:rPr>
          <w:b w:val="0"/>
          <w:bCs/>
        </w:rPr>
        <w:t>resulted from her use of those drugs</w:t>
      </w:r>
      <w:r>
        <w:rPr>
          <w:b w:val="0"/>
          <w:bCs/>
        </w:rPr>
        <w:t xml:space="preserve"> before she knew she was pregnant</w:t>
      </w:r>
      <w:r>
        <w:rPr>
          <w:b w:val="0"/>
          <w:bCs/>
        </w:rPr>
        <w:t xml:space="preserve">, including </w:t>
      </w:r>
      <w:r>
        <w:rPr>
          <w:b w:val="0"/>
          <w:bCs/>
        </w:rPr>
        <w:t>Norco she was pres</w:t>
      </w:r>
      <w:r>
        <w:rPr>
          <w:b w:val="0"/>
          <w:bCs/>
        </w:rPr>
        <w:t xml:space="preserve">cribed </w:t>
      </w:r>
      <w:r>
        <w:rPr>
          <w:b w:val="0"/>
          <w:bCs/>
        </w:rPr>
        <w:t>after having</w:t>
      </w:r>
      <w:r>
        <w:rPr>
          <w:b w:val="0"/>
          <w:bCs/>
        </w:rPr>
        <w:t xml:space="preserve"> dental work </w:t>
      </w:r>
      <w:r>
        <w:rPr>
          <w:b w:val="0"/>
          <w:bCs/>
        </w:rPr>
        <w:t xml:space="preserve">done </w:t>
      </w:r>
      <w:r>
        <w:rPr>
          <w:b w:val="0"/>
          <w:bCs/>
        </w:rPr>
        <w:t xml:space="preserve">earlier in 2021.  Mother admitted she used marijuana before she </w:t>
      </w:r>
      <w:r>
        <w:rPr>
          <w:b w:val="0"/>
          <w:bCs/>
        </w:rPr>
        <w:t xml:space="preserve">got pregnant but denied she had ever been impaired.  She denied taking any </w:t>
      </w:r>
      <w:proofErr w:type="gramStart"/>
      <w:r>
        <w:rPr>
          <w:b w:val="0"/>
          <w:bCs/>
        </w:rPr>
        <w:t>“</w:t>
      </w:r>
      <w:r>
        <w:rPr>
          <w:b w:val="0"/>
          <w:bCs/>
        </w:rPr>
        <w:t> </w:t>
      </w:r>
      <w:r>
        <w:rPr>
          <w:b w:val="0"/>
          <w:bCs/>
        </w:rPr>
        <w:t>‘</w:t>
      </w:r>
      <w:proofErr w:type="gramEnd"/>
      <w:r>
        <w:rPr>
          <w:b w:val="0"/>
          <w:bCs/>
        </w:rPr>
        <w:t>street drugs.</w:t>
      </w:r>
      <w:r>
        <w:rPr>
          <w:b w:val="0"/>
          <w:bCs/>
        </w:rPr>
        <w:t>’ </w:t>
      </w:r>
      <w:r>
        <w:rPr>
          <w:b w:val="0"/>
          <w:bCs/>
        </w:rPr>
        <w:t>”</w:t>
      </w:r>
    </w:p>
    <w:p w14:paraId="2F07FA7E" w14:textId="77777777" w:rsidR="00B21D78" w:rsidRDefault="00B21D78" w:rsidP="00D73355">
      <w:pPr>
        <w:pStyle w:val="Heading2"/>
        <w:spacing w:before="0" w:after="0"/>
        <w:ind w:left="0" w:firstLine="720"/>
        <w:contextualSpacing/>
        <w:rPr>
          <w:b w:val="0"/>
          <w:bCs/>
        </w:rPr>
      </w:pPr>
      <w:r>
        <w:rPr>
          <w:b w:val="0"/>
          <w:bCs/>
        </w:rPr>
        <w:t xml:space="preserve">As to the positive July </w:t>
      </w:r>
      <w:r>
        <w:rPr>
          <w:b w:val="0"/>
          <w:bCs/>
        </w:rPr>
        <w:t xml:space="preserve">7 test, mother said she took some of the </w:t>
      </w:r>
      <w:r>
        <w:rPr>
          <w:b w:val="0"/>
          <w:bCs/>
        </w:rPr>
        <w:t>pain</w:t>
      </w:r>
      <w:r>
        <w:rPr>
          <w:b w:val="0"/>
          <w:bCs/>
        </w:rPr>
        <w:t xml:space="preserve"> medication she was </w:t>
      </w:r>
      <w:r>
        <w:rPr>
          <w:b w:val="0"/>
          <w:bCs/>
        </w:rPr>
        <w:t>“</w:t>
      </w:r>
      <w:r>
        <w:rPr>
          <w:b w:val="0"/>
          <w:bCs/>
        </w:rPr>
        <w:t>released with.</w:t>
      </w:r>
      <w:r>
        <w:rPr>
          <w:b w:val="0"/>
          <w:bCs/>
        </w:rPr>
        <w:t>”</w:t>
      </w:r>
      <w:r>
        <w:rPr>
          <w:b w:val="0"/>
          <w:bCs/>
        </w:rPr>
        <w:t xml:space="preserve">  She explained: </w:t>
      </w:r>
      <w:proofErr w:type="gramStart"/>
      <w:r>
        <w:rPr>
          <w:b w:val="0"/>
          <w:bCs/>
        </w:rPr>
        <w:t>“</w:t>
      </w:r>
      <w:r>
        <w:rPr>
          <w:b w:val="0"/>
          <w:bCs/>
        </w:rPr>
        <w:t> </w:t>
      </w:r>
      <w:r>
        <w:rPr>
          <w:b w:val="0"/>
          <w:bCs/>
        </w:rPr>
        <w:t>‘</w:t>
      </w:r>
      <w:proofErr w:type="gramEnd"/>
      <w:r>
        <w:rPr>
          <w:b w:val="0"/>
          <w:bCs/>
        </w:rPr>
        <w:t>I was going through a miscarriage and it relieved my pain.</w:t>
      </w:r>
      <w:r>
        <w:rPr>
          <w:b w:val="0"/>
          <w:bCs/>
        </w:rPr>
        <w:t>’</w:t>
      </w:r>
      <w:r>
        <w:rPr>
          <w:b w:val="0"/>
          <w:bCs/>
        </w:rPr>
        <w:t> </w:t>
      </w:r>
      <w:r>
        <w:rPr>
          <w:b w:val="0"/>
          <w:bCs/>
        </w:rPr>
        <w:t>”</w:t>
      </w:r>
      <w:r>
        <w:rPr>
          <w:b w:val="0"/>
          <w:bCs/>
        </w:rPr>
        <w:t xml:space="preserve">  The report offered no further details</w:t>
      </w:r>
      <w:r>
        <w:rPr>
          <w:b w:val="0"/>
          <w:bCs/>
        </w:rPr>
        <w:t>.</w:t>
      </w:r>
    </w:p>
    <w:p w14:paraId="60216E71" w14:textId="77777777" w:rsidR="00B21D78" w:rsidRDefault="00B21D78" w:rsidP="00D73355">
      <w:pPr>
        <w:pStyle w:val="Heading2"/>
        <w:spacing w:before="0" w:after="0"/>
        <w:ind w:left="0" w:firstLine="720"/>
        <w:contextualSpacing/>
        <w:rPr>
          <w:b w:val="0"/>
          <w:bCs/>
        </w:rPr>
      </w:pPr>
      <w:r>
        <w:rPr>
          <w:b w:val="0"/>
          <w:bCs/>
        </w:rPr>
        <w:t xml:space="preserve">The report </w:t>
      </w:r>
      <w:r>
        <w:rPr>
          <w:b w:val="0"/>
          <w:bCs/>
        </w:rPr>
        <w:t>incorporated</w:t>
      </w:r>
      <w:r>
        <w:rPr>
          <w:b w:val="0"/>
          <w:bCs/>
        </w:rPr>
        <w:t xml:space="preserve"> the</w:t>
      </w:r>
      <w:r>
        <w:rPr>
          <w:b w:val="0"/>
          <w:bCs/>
        </w:rPr>
        <w:t xml:space="preserve"> detention report </w:t>
      </w:r>
      <w:r>
        <w:rPr>
          <w:b w:val="0"/>
          <w:bCs/>
        </w:rPr>
        <w:t>interviews with the maternal grandmother</w:t>
      </w:r>
      <w:r>
        <w:rPr>
          <w:b w:val="0"/>
          <w:bCs/>
        </w:rPr>
        <w:t xml:space="preserve">, </w:t>
      </w:r>
      <w:r>
        <w:rPr>
          <w:b w:val="0"/>
          <w:bCs/>
        </w:rPr>
        <w:t>the hospital nurse</w:t>
      </w:r>
      <w:r>
        <w:rPr>
          <w:b w:val="0"/>
          <w:bCs/>
        </w:rPr>
        <w:t>,</w:t>
      </w:r>
      <w:r>
        <w:rPr>
          <w:b w:val="0"/>
          <w:bCs/>
        </w:rPr>
        <w:t xml:space="preserve"> and </w:t>
      </w:r>
      <w:r>
        <w:rPr>
          <w:b w:val="0"/>
          <w:bCs/>
        </w:rPr>
        <w:t xml:space="preserve">the hospital </w:t>
      </w:r>
      <w:r>
        <w:rPr>
          <w:b w:val="0"/>
          <w:bCs/>
        </w:rPr>
        <w:t xml:space="preserve">social worker.  </w:t>
      </w:r>
      <w:r>
        <w:rPr>
          <w:b w:val="0"/>
          <w:bCs/>
        </w:rPr>
        <w:t>There were no</w:t>
      </w:r>
      <w:r>
        <w:rPr>
          <w:b w:val="0"/>
          <w:bCs/>
        </w:rPr>
        <w:t xml:space="preserve"> </w:t>
      </w:r>
      <w:r>
        <w:rPr>
          <w:b w:val="0"/>
          <w:bCs/>
        </w:rPr>
        <w:t>updated or additional</w:t>
      </w:r>
      <w:r>
        <w:rPr>
          <w:b w:val="0"/>
          <w:bCs/>
        </w:rPr>
        <w:t xml:space="preserve"> </w:t>
      </w:r>
      <w:r>
        <w:rPr>
          <w:b w:val="0"/>
          <w:bCs/>
        </w:rPr>
        <w:t>interviews with anyone other than mother</w:t>
      </w:r>
      <w:r>
        <w:rPr>
          <w:b w:val="0"/>
          <w:bCs/>
        </w:rPr>
        <w:t>.</w:t>
      </w:r>
      <w:r>
        <w:rPr>
          <w:b w:val="0"/>
          <w:bCs/>
        </w:rPr>
        <w:t xml:space="preserve">  </w:t>
      </w:r>
      <w:r>
        <w:rPr>
          <w:b w:val="0"/>
          <w:bCs/>
        </w:rPr>
        <w:t>Two pages of a three-page</w:t>
      </w:r>
      <w:r>
        <w:rPr>
          <w:b w:val="0"/>
          <w:bCs/>
        </w:rPr>
        <w:t xml:space="preserve"> </w:t>
      </w:r>
      <w:r>
        <w:rPr>
          <w:b w:val="0"/>
          <w:bCs/>
        </w:rPr>
        <w:t>“</w:t>
      </w:r>
      <w:r>
        <w:rPr>
          <w:b w:val="0"/>
          <w:bCs/>
        </w:rPr>
        <w:t>patient history report</w:t>
      </w:r>
      <w:r>
        <w:rPr>
          <w:b w:val="0"/>
          <w:bCs/>
        </w:rPr>
        <w:t>”</w:t>
      </w:r>
      <w:r>
        <w:rPr>
          <w:b w:val="0"/>
          <w:bCs/>
        </w:rPr>
        <w:t xml:space="preserve"> from Rite Aid w</w:t>
      </w:r>
      <w:r>
        <w:rPr>
          <w:b w:val="0"/>
          <w:bCs/>
        </w:rPr>
        <w:t>ere</w:t>
      </w:r>
      <w:r>
        <w:rPr>
          <w:b w:val="0"/>
          <w:bCs/>
        </w:rPr>
        <w:t xml:space="preserve"> attached to the report, </w:t>
      </w:r>
      <w:r>
        <w:rPr>
          <w:b w:val="0"/>
          <w:bCs/>
        </w:rPr>
        <w:t xml:space="preserve">appearing to reflect that </w:t>
      </w:r>
      <w:r>
        <w:rPr>
          <w:b w:val="0"/>
          <w:bCs/>
        </w:rPr>
        <w:t xml:space="preserve">mother was prescribed </w:t>
      </w:r>
      <w:r>
        <w:rPr>
          <w:b w:val="0"/>
          <w:bCs/>
        </w:rPr>
        <w:t>a three-day supply of hydrocodone</w:t>
      </w:r>
      <w:r>
        <w:rPr>
          <w:b w:val="0"/>
          <w:bCs/>
        </w:rPr>
        <w:t xml:space="preserve"> </w:t>
      </w:r>
      <w:r>
        <w:rPr>
          <w:b w:val="0"/>
          <w:bCs/>
        </w:rPr>
        <w:t>acetaminophen</w:t>
      </w:r>
      <w:r>
        <w:rPr>
          <w:b w:val="0"/>
          <w:bCs/>
        </w:rPr>
        <w:t xml:space="preserve"> in January 2021, and </w:t>
      </w:r>
      <w:r>
        <w:rPr>
          <w:b w:val="0"/>
          <w:bCs/>
        </w:rPr>
        <w:t>a two-day supply of oxycodone</w:t>
      </w:r>
      <w:r>
        <w:rPr>
          <w:b w:val="0"/>
          <w:bCs/>
        </w:rPr>
        <w:t xml:space="preserve"> </w:t>
      </w:r>
      <w:r>
        <w:rPr>
          <w:b w:val="0"/>
          <w:bCs/>
        </w:rPr>
        <w:t>acetaminophen in late April 2022</w:t>
      </w:r>
      <w:r>
        <w:rPr>
          <w:b w:val="0"/>
          <w:bCs/>
        </w:rPr>
        <w:t>, a few days after C.D. was born</w:t>
      </w:r>
      <w:r>
        <w:rPr>
          <w:b w:val="0"/>
          <w:bCs/>
        </w:rPr>
        <w:t>.</w:t>
      </w:r>
    </w:p>
    <w:p w14:paraId="7D96C781" w14:textId="77777777" w:rsidR="00B21D78" w:rsidRDefault="00B21D78" w:rsidP="00D73355">
      <w:pPr>
        <w:pStyle w:val="Heading2"/>
        <w:spacing w:before="0" w:after="0"/>
        <w:ind w:left="0" w:firstLine="720"/>
        <w:contextualSpacing/>
        <w:rPr>
          <w:b w:val="0"/>
          <w:bCs/>
        </w:rPr>
      </w:pPr>
      <w:r>
        <w:rPr>
          <w:b w:val="0"/>
          <w:bCs/>
        </w:rPr>
        <w:t>In assessing the children</w:t>
      </w:r>
      <w:r>
        <w:rPr>
          <w:b w:val="0"/>
          <w:bCs/>
        </w:rPr>
        <w:t>’</w:t>
      </w:r>
      <w:r>
        <w:rPr>
          <w:b w:val="0"/>
          <w:bCs/>
        </w:rPr>
        <w:t>s safety in the home, the repor</w:t>
      </w:r>
      <w:r>
        <w:rPr>
          <w:b w:val="0"/>
          <w:bCs/>
        </w:rPr>
        <w:t xml:space="preserve">t </w:t>
      </w:r>
      <w:r>
        <w:rPr>
          <w:b w:val="0"/>
          <w:bCs/>
        </w:rPr>
        <w:t xml:space="preserve">referenced </w:t>
      </w:r>
      <w:proofErr w:type="gramStart"/>
      <w:r>
        <w:rPr>
          <w:b w:val="0"/>
          <w:bCs/>
        </w:rPr>
        <w:t>mother</w:t>
      </w:r>
      <w:r>
        <w:rPr>
          <w:b w:val="0"/>
          <w:bCs/>
        </w:rPr>
        <w:t>’</w:t>
      </w:r>
      <w:r>
        <w:rPr>
          <w:b w:val="0"/>
          <w:bCs/>
        </w:rPr>
        <w:t>s</w:t>
      </w:r>
      <w:proofErr w:type="gramEnd"/>
      <w:r>
        <w:rPr>
          <w:b w:val="0"/>
          <w:bCs/>
        </w:rPr>
        <w:t xml:space="preserve"> positive drug tests during pregnancy </w:t>
      </w:r>
      <w:r>
        <w:rPr>
          <w:b w:val="0"/>
          <w:bCs/>
        </w:rPr>
        <w:t>and at C.D.</w:t>
      </w:r>
      <w:r>
        <w:rPr>
          <w:b w:val="0"/>
          <w:bCs/>
        </w:rPr>
        <w:t>’</w:t>
      </w:r>
      <w:r>
        <w:rPr>
          <w:b w:val="0"/>
          <w:bCs/>
        </w:rPr>
        <w:t>s birth, as well as C.D.</w:t>
      </w:r>
      <w:r>
        <w:rPr>
          <w:b w:val="0"/>
          <w:bCs/>
        </w:rPr>
        <w:t>’</w:t>
      </w:r>
      <w:r>
        <w:rPr>
          <w:b w:val="0"/>
          <w:bCs/>
        </w:rPr>
        <w:t xml:space="preserve">s positive toxicology at birth as reflected in the meconium test.  The report further </w:t>
      </w:r>
      <w:r>
        <w:rPr>
          <w:b w:val="0"/>
          <w:bCs/>
        </w:rPr>
        <w:t xml:space="preserve">noted that </w:t>
      </w:r>
      <w:r>
        <w:rPr>
          <w:b w:val="0"/>
          <w:bCs/>
        </w:rPr>
        <w:lastRenderedPageBreak/>
        <w:t xml:space="preserve">although mother reported she used pain medication </w:t>
      </w:r>
      <w:r>
        <w:rPr>
          <w:b w:val="0"/>
          <w:bCs/>
        </w:rPr>
        <w:t>one</w:t>
      </w:r>
      <w:r>
        <w:rPr>
          <w:b w:val="0"/>
          <w:bCs/>
        </w:rPr>
        <w:t xml:space="preserve"> week before giving birth to C.D., the lab technician </w:t>
      </w:r>
      <w:r>
        <w:rPr>
          <w:b w:val="0"/>
          <w:bCs/>
        </w:rPr>
        <w:t xml:space="preserve">had </w:t>
      </w:r>
      <w:r>
        <w:rPr>
          <w:b w:val="0"/>
          <w:bCs/>
        </w:rPr>
        <w:t>indicated</w:t>
      </w:r>
      <w:r>
        <w:rPr>
          <w:b w:val="0"/>
          <w:bCs/>
        </w:rPr>
        <w:t xml:space="preserve"> the medication would show positive in a urine sample </w:t>
      </w:r>
      <w:r>
        <w:rPr>
          <w:b w:val="0"/>
          <w:bCs/>
        </w:rPr>
        <w:t>“</w:t>
      </w:r>
      <w:r>
        <w:rPr>
          <w:b w:val="0"/>
          <w:bCs/>
        </w:rPr>
        <w:t>up to 3 days from last use.</w:t>
      </w:r>
      <w:r>
        <w:rPr>
          <w:b w:val="0"/>
          <w:bCs/>
        </w:rPr>
        <w:t>”</w:t>
      </w:r>
      <w:r>
        <w:rPr>
          <w:b w:val="0"/>
          <w:bCs/>
        </w:rPr>
        <w:t xml:space="preserve">  The report </w:t>
      </w:r>
      <w:r>
        <w:rPr>
          <w:b w:val="0"/>
          <w:bCs/>
        </w:rPr>
        <w:t>additionally indicated</w:t>
      </w:r>
      <w:r>
        <w:rPr>
          <w:b w:val="0"/>
          <w:bCs/>
        </w:rPr>
        <w:t xml:space="preserve"> that while mother initially said her aunt gave her the </w:t>
      </w:r>
      <w:proofErr w:type="gramStart"/>
      <w:r>
        <w:rPr>
          <w:b w:val="0"/>
          <w:bCs/>
        </w:rPr>
        <w:t>medication</w:t>
      </w:r>
      <w:proofErr w:type="gramEnd"/>
      <w:r>
        <w:rPr>
          <w:b w:val="0"/>
          <w:bCs/>
        </w:rPr>
        <w:t xml:space="preserve"> she took the week before she gave </w:t>
      </w:r>
      <w:r>
        <w:rPr>
          <w:b w:val="0"/>
          <w:bCs/>
        </w:rPr>
        <w:t>birth</w:t>
      </w:r>
      <w:r>
        <w:rPr>
          <w:b w:val="0"/>
          <w:bCs/>
        </w:rPr>
        <w:t xml:space="preserve">, the maternal grandmother </w:t>
      </w:r>
      <w:r>
        <w:rPr>
          <w:b w:val="0"/>
          <w:bCs/>
        </w:rPr>
        <w:t>said</w:t>
      </w:r>
      <w:r>
        <w:rPr>
          <w:b w:val="0"/>
          <w:bCs/>
        </w:rPr>
        <w:t xml:space="preserve"> </w:t>
      </w:r>
      <w:r w:rsidRPr="00611731">
        <w:rPr>
          <w:b w:val="0"/>
          <w:bCs/>
          <w:i/>
          <w:iCs/>
        </w:rPr>
        <w:t>she</w:t>
      </w:r>
      <w:r>
        <w:rPr>
          <w:b w:val="0"/>
          <w:bCs/>
        </w:rPr>
        <w:t xml:space="preserve"> had given it to mother.</w:t>
      </w:r>
    </w:p>
    <w:p w14:paraId="1C7093A1" w14:textId="77777777" w:rsidR="00B21D78" w:rsidRDefault="00B21D78" w:rsidP="00D73355">
      <w:pPr>
        <w:pStyle w:val="Heading2"/>
        <w:spacing w:before="0" w:after="0"/>
        <w:ind w:left="0" w:firstLine="720"/>
        <w:contextualSpacing/>
        <w:rPr>
          <w:b w:val="0"/>
          <w:bCs/>
        </w:rPr>
      </w:pPr>
      <w:r>
        <w:rPr>
          <w:b w:val="0"/>
          <w:bCs/>
        </w:rPr>
        <w:t xml:space="preserve">A November 2022 last minute </w:t>
      </w:r>
      <w:r>
        <w:rPr>
          <w:b w:val="0"/>
          <w:bCs/>
        </w:rPr>
        <w:t xml:space="preserve">information </w:t>
      </w:r>
      <w:r>
        <w:rPr>
          <w:b w:val="0"/>
          <w:bCs/>
        </w:rPr>
        <w:t xml:space="preserve">report indicated mother continued to refuse to drug test.  According to the report, mother stated </w:t>
      </w:r>
      <w:r>
        <w:rPr>
          <w:b w:val="0"/>
          <w:bCs/>
        </w:rPr>
        <w:t>“</w:t>
      </w:r>
      <w:r>
        <w:rPr>
          <w:b w:val="0"/>
          <w:bCs/>
        </w:rPr>
        <w:t>her attorney informed her she does not have to drug test; therefore</w:t>
      </w:r>
      <w:r>
        <w:rPr>
          <w:b w:val="0"/>
          <w:bCs/>
        </w:rPr>
        <w:t>,</w:t>
      </w:r>
      <w:r>
        <w:rPr>
          <w:b w:val="0"/>
          <w:bCs/>
        </w:rPr>
        <w:t xml:space="preserve"> it cannot be determin</w:t>
      </w:r>
      <w:r>
        <w:rPr>
          <w:b w:val="0"/>
          <w:bCs/>
        </w:rPr>
        <w:t xml:space="preserve">ed </w:t>
      </w:r>
      <w:r>
        <w:rPr>
          <w:b w:val="0"/>
          <w:bCs/>
        </w:rPr>
        <w:t>whether mother continues to abuse substances.</w:t>
      </w:r>
      <w:r>
        <w:rPr>
          <w:b w:val="0"/>
          <w:bCs/>
        </w:rPr>
        <w:t>”</w:t>
      </w:r>
      <w:r>
        <w:rPr>
          <w:b w:val="0"/>
          <w:bCs/>
        </w:rPr>
        <w:t xml:space="preserve">  Mother also declined family preservation services.  </w:t>
      </w:r>
      <w:r>
        <w:rPr>
          <w:b w:val="0"/>
          <w:bCs/>
        </w:rPr>
        <w:t xml:space="preserve">A December 2022 last minute information </w:t>
      </w:r>
      <w:r>
        <w:rPr>
          <w:b w:val="0"/>
          <w:bCs/>
        </w:rPr>
        <w:t>reported DCFS</w:t>
      </w:r>
      <w:r>
        <w:rPr>
          <w:b w:val="0"/>
          <w:bCs/>
        </w:rPr>
        <w:t>’</w:t>
      </w:r>
      <w:r>
        <w:rPr>
          <w:b w:val="0"/>
          <w:bCs/>
        </w:rPr>
        <w:t xml:space="preserve">s concerns that mother </w:t>
      </w:r>
      <w:r>
        <w:rPr>
          <w:b w:val="0"/>
          <w:bCs/>
        </w:rPr>
        <w:t>still</w:t>
      </w:r>
      <w:r>
        <w:rPr>
          <w:b w:val="0"/>
          <w:bCs/>
        </w:rPr>
        <w:t xml:space="preserve"> refuse</w:t>
      </w:r>
      <w:r>
        <w:rPr>
          <w:b w:val="0"/>
          <w:bCs/>
        </w:rPr>
        <w:t>d</w:t>
      </w:r>
      <w:r>
        <w:rPr>
          <w:b w:val="0"/>
          <w:bCs/>
        </w:rPr>
        <w:t xml:space="preserve"> to drug test; she </w:t>
      </w:r>
      <w:r>
        <w:rPr>
          <w:b w:val="0"/>
          <w:bCs/>
        </w:rPr>
        <w:t>“</w:t>
      </w:r>
      <w:r>
        <w:rPr>
          <w:b w:val="0"/>
          <w:bCs/>
        </w:rPr>
        <w:t>minimize[d] concerns with her use of prescription medication</w:t>
      </w:r>
      <w:r>
        <w:rPr>
          <w:b w:val="0"/>
          <w:bCs/>
        </w:rPr>
        <w:t>”</w:t>
      </w:r>
      <w:r>
        <w:rPr>
          <w:b w:val="0"/>
          <w:bCs/>
        </w:rPr>
        <w:t>; maternal grandmother also minimized</w:t>
      </w:r>
      <w:r>
        <w:rPr>
          <w:b w:val="0"/>
          <w:bCs/>
        </w:rPr>
        <w:t xml:space="preserve"> mother</w:t>
      </w:r>
      <w:r>
        <w:rPr>
          <w:b w:val="0"/>
          <w:bCs/>
        </w:rPr>
        <w:t>’</w:t>
      </w:r>
      <w:r>
        <w:rPr>
          <w:b w:val="0"/>
          <w:bCs/>
        </w:rPr>
        <w:t xml:space="preserve">s use of prescription medication; and mother had rejected </w:t>
      </w:r>
      <w:proofErr w:type="gramStart"/>
      <w:r>
        <w:rPr>
          <w:b w:val="0"/>
          <w:bCs/>
        </w:rPr>
        <w:t>all of</w:t>
      </w:r>
      <w:proofErr w:type="gramEnd"/>
      <w:r>
        <w:rPr>
          <w:b w:val="0"/>
          <w:bCs/>
        </w:rPr>
        <w:t xml:space="preserve"> the services DCFS had recommended</w:t>
      </w:r>
      <w:r>
        <w:rPr>
          <w:b w:val="0"/>
          <w:bCs/>
        </w:rPr>
        <w:t>, including parenting</w:t>
      </w:r>
      <w:r>
        <w:rPr>
          <w:b w:val="0"/>
          <w:bCs/>
        </w:rPr>
        <w:t xml:space="preserve"> services, </w:t>
      </w:r>
      <w:r>
        <w:rPr>
          <w:b w:val="0"/>
          <w:bCs/>
        </w:rPr>
        <w:t>“</w:t>
      </w:r>
      <w:r>
        <w:rPr>
          <w:b w:val="0"/>
          <w:bCs/>
        </w:rPr>
        <w:t xml:space="preserve">Parents in </w:t>
      </w:r>
      <w:r>
        <w:rPr>
          <w:b w:val="0"/>
          <w:bCs/>
        </w:rPr>
        <w:t>Partnership,</w:t>
      </w:r>
      <w:r>
        <w:rPr>
          <w:b w:val="0"/>
          <w:bCs/>
        </w:rPr>
        <w:t>”</w:t>
      </w:r>
      <w:r>
        <w:rPr>
          <w:b w:val="0"/>
          <w:bCs/>
        </w:rPr>
        <w:t xml:space="preserve"> and connection to a DCFS cultural broker.</w:t>
      </w:r>
    </w:p>
    <w:p w14:paraId="25DC5364" w14:textId="77777777" w:rsidR="00B21D78" w:rsidRDefault="00B21D78" w:rsidP="00D73355">
      <w:pPr>
        <w:pStyle w:val="Heading2"/>
        <w:spacing w:before="0" w:after="0"/>
        <w:ind w:left="0" w:firstLine="720"/>
        <w:contextualSpacing/>
        <w:rPr>
          <w:b w:val="0"/>
          <w:bCs/>
        </w:rPr>
      </w:pPr>
      <w:r>
        <w:rPr>
          <w:b w:val="0"/>
          <w:bCs/>
        </w:rPr>
        <w:t xml:space="preserve">The </w:t>
      </w:r>
      <w:r>
        <w:rPr>
          <w:b w:val="0"/>
          <w:bCs/>
        </w:rPr>
        <w:t>jurisdiction</w:t>
      </w:r>
      <w:r>
        <w:rPr>
          <w:b w:val="0"/>
          <w:bCs/>
        </w:rPr>
        <w:t xml:space="preserve"> and disposition hearing took place in January 2023.</w:t>
      </w:r>
      <w:r>
        <w:rPr>
          <w:b w:val="0"/>
          <w:bCs/>
        </w:rPr>
        <w:t xml:space="preserve">  The dependency investigator testified he had visited mother </w:t>
      </w:r>
      <w:r>
        <w:rPr>
          <w:b w:val="0"/>
          <w:bCs/>
        </w:rPr>
        <w:t xml:space="preserve">once, </w:t>
      </w:r>
      <w:r>
        <w:rPr>
          <w:b w:val="0"/>
          <w:bCs/>
        </w:rPr>
        <w:t>in July 2022</w:t>
      </w:r>
      <w:r>
        <w:rPr>
          <w:b w:val="0"/>
          <w:bCs/>
        </w:rPr>
        <w:t xml:space="preserve">. </w:t>
      </w:r>
      <w:r>
        <w:rPr>
          <w:b w:val="0"/>
          <w:bCs/>
        </w:rPr>
        <w:t xml:space="preserve"> </w:t>
      </w:r>
      <w:r>
        <w:rPr>
          <w:b w:val="0"/>
          <w:bCs/>
        </w:rPr>
        <w:t>T</w:t>
      </w:r>
      <w:r>
        <w:rPr>
          <w:b w:val="0"/>
          <w:bCs/>
        </w:rPr>
        <w:t>he continuing social worker should have visited mother</w:t>
      </w:r>
      <w:r>
        <w:rPr>
          <w:b w:val="0"/>
          <w:bCs/>
        </w:rPr>
        <w:t xml:space="preserve"> monthly, consistent with DCFS</w:t>
      </w:r>
      <w:r>
        <w:rPr>
          <w:b w:val="0"/>
          <w:bCs/>
        </w:rPr>
        <w:t>’</w:t>
      </w:r>
      <w:r>
        <w:rPr>
          <w:b w:val="0"/>
          <w:bCs/>
        </w:rPr>
        <w:t xml:space="preserve">s standard practice, but </w:t>
      </w:r>
      <w:r>
        <w:rPr>
          <w:b w:val="0"/>
          <w:bCs/>
        </w:rPr>
        <w:t>the investigator</w:t>
      </w:r>
      <w:r>
        <w:rPr>
          <w:b w:val="0"/>
          <w:bCs/>
        </w:rPr>
        <w:t xml:space="preserve"> had not confirmed if that had happened. </w:t>
      </w:r>
      <w:r>
        <w:rPr>
          <w:b w:val="0"/>
          <w:bCs/>
        </w:rPr>
        <w:t xml:space="preserve"> During his July 2022 visit, the investigator had no concerns with the condition of </w:t>
      </w:r>
      <w:proofErr w:type="gramStart"/>
      <w:r>
        <w:rPr>
          <w:b w:val="0"/>
          <w:bCs/>
        </w:rPr>
        <w:t>mother</w:t>
      </w:r>
      <w:r>
        <w:rPr>
          <w:b w:val="0"/>
          <w:bCs/>
        </w:rPr>
        <w:t>’</w:t>
      </w:r>
      <w:r>
        <w:rPr>
          <w:b w:val="0"/>
          <w:bCs/>
        </w:rPr>
        <w:t>s</w:t>
      </w:r>
      <w:proofErr w:type="gramEnd"/>
      <w:r>
        <w:rPr>
          <w:b w:val="0"/>
          <w:bCs/>
        </w:rPr>
        <w:t xml:space="preserve"> home or with her care of the children on that date. </w:t>
      </w:r>
      <w:r>
        <w:rPr>
          <w:b w:val="0"/>
          <w:bCs/>
        </w:rPr>
        <w:t xml:space="preserve"> It was his understanding that mother cooperated wit</w:t>
      </w:r>
      <w:r>
        <w:rPr>
          <w:b w:val="0"/>
          <w:bCs/>
        </w:rPr>
        <w:t xml:space="preserve">h monthly home visits.  In conversations with </w:t>
      </w:r>
      <w:r>
        <w:rPr>
          <w:b w:val="0"/>
          <w:bCs/>
        </w:rPr>
        <w:t>the supervisor on the case</w:t>
      </w:r>
      <w:r>
        <w:rPr>
          <w:b w:val="0"/>
          <w:bCs/>
        </w:rPr>
        <w:t>,</w:t>
      </w:r>
      <w:r>
        <w:rPr>
          <w:b w:val="0"/>
          <w:bCs/>
        </w:rPr>
        <w:t xml:space="preserve"> </w:t>
      </w:r>
      <w:r>
        <w:rPr>
          <w:b w:val="0"/>
          <w:bCs/>
        </w:rPr>
        <w:t>the investigator</w:t>
      </w:r>
      <w:r>
        <w:rPr>
          <w:b w:val="0"/>
          <w:bCs/>
        </w:rPr>
        <w:t xml:space="preserve"> was informed of </w:t>
      </w:r>
      <w:r>
        <w:rPr>
          <w:b w:val="0"/>
          <w:bCs/>
        </w:rPr>
        <w:lastRenderedPageBreak/>
        <w:t xml:space="preserve">concerns that mother had not participated in programs DCFS offered and had </w:t>
      </w:r>
      <w:r>
        <w:rPr>
          <w:b w:val="0"/>
          <w:bCs/>
        </w:rPr>
        <w:t xml:space="preserve">not </w:t>
      </w:r>
      <w:r>
        <w:rPr>
          <w:b w:val="0"/>
          <w:bCs/>
        </w:rPr>
        <w:t>submitted to drug testing</w:t>
      </w:r>
      <w:r>
        <w:rPr>
          <w:b w:val="0"/>
          <w:bCs/>
        </w:rPr>
        <w:t>.  Outside of those issues, he had not been informed of any safety concerns related to mother</w:t>
      </w:r>
      <w:r>
        <w:rPr>
          <w:b w:val="0"/>
          <w:bCs/>
        </w:rPr>
        <w:t>’</w:t>
      </w:r>
      <w:r>
        <w:rPr>
          <w:b w:val="0"/>
          <w:bCs/>
        </w:rPr>
        <w:t xml:space="preserve">s care of the children. </w:t>
      </w:r>
      <w:r>
        <w:rPr>
          <w:b w:val="0"/>
          <w:bCs/>
        </w:rPr>
        <w:t xml:space="preserve"> In recommending family maintenance services, the investigator considered </w:t>
      </w:r>
      <w:r>
        <w:rPr>
          <w:b w:val="0"/>
          <w:bCs/>
        </w:rPr>
        <w:t xml:space="preserve">the </w:t>
      </w:r>
      <w:r>
        <w:rPr>
          <w:b w:val="0"/>
          <w:bCs/>
        </w:rPr>
        <w:t>“</w:t>
      </w:r>
      <w:r>
        <w:rPr>
          <w:b w:val="0"/>
          <w:bCs/>
        </w:rPr>
        <w:t>positive test</w:t>
      </w:r>
      <w:r>
        <w:rPr>
          <w:b w:val="0"/>
          <w:bCs/>
        </w:rPr>
        <w:t>”</w:t>
      </w:r>
      <w:r>
        <w:rPr>
          <w:b w:val="0"/>
          <w:bCs/>
        </w:rPr>
        <w:t>;</w:t>
      </w:r>
      <w:r>
        <w:rPr>
          <w:b w:val="0"/>
          <w:bCs/>
        </w:rPr>
        <w:t xml:space="preserve"> that DCFS was not getting any other drug test</w:t>
      </w:r>
      <w:r>
        <w:rPr>
          <w:b w:val="0"/>
          <w:bCs/>
        </w:rPr>
        <w:t xml:space="preserve"> results from mother</w:t>
      </w:r>
      <w:r>
        <w:rPr>
          <w:b w:val="0"/>
          <w:bCs/>
        </w:rPr>
        <w:t>;</w:t>
      </w:r>
      <w:r>
        <w:rPr>
          <w:b w:val="0"/>
          <w:bCs/>
        </w:rPr>
        <w:t xml:space="preserve"> and </w:t>
      </w:r>
      <w:r>
        <w:rPr>
          <w:b w:val="0"/>
          <w:bCs/>
        </w:rPr>
        <w:t>“</w:t>
      </w:r>
      <w:r>
        <w:rPr>
          <w:b w:val="0"/>
          <w:bCs/>
        </w:rPr>
        <w:t xml:space="preserve">there was </w:t>
      </w:r>
      <w:r>
        <w:rPr>
          <w:b w:val="0"/>
          <w:bCs/>
        </w:rPr>
        <w:t>[</w:t>
      </w:r>
      <w:r>
        <w:rPr>
          <w:b w:val="0"/>
          <w:bCs/>
        </w:rPr>
        <w:t>an</w:t>
      </w:r>
      <w:r>
        <w:rPr>
          <w:b w:val="0"/>
          <w:bCs/>
        </w:rPr>
        <w:t>]</w:t>
      </w:r>
      <w:r>
        <w:rPr>
          <w:b w:val="0"/>
          <w:bCs/>
        </w:rPr>
        <w:t xml:space="preserve"> a</w:t>
      </w:r>
      <w:r>
        <w:rPr>
          <w:b w:val="0"/>
          <w:bCs/>
        </w:rPr>
        <w:t>dmitted history of abusing prescription pain medication.</w:t>
      </w:r>
      <w:r>
        <w:rPr>
          <w:b w:val="0"/>
          <w:bCs/>
        </w:rPr>
        <w:t>”</w:t>
      </w:r>
      <w:r>
        <w:rPr>
          <w:b w:val="0"/>
          <w:bCs/>
        </w:rPr>
        <w:t xml:space="preserve"> </w:t>
      </w:r>
      <w:r>
        <w:rPr>
          <w:b w:val="0"/>
          <w:bCs/>
        </w:rPr>
        <w:t xml:space="preserve"> The investigator testified that he asked mother if she felt her use of prescription opiates was an issue, and she said it was not.</w:t>
      </w:r>
    </w:p>
    <w:p w14:paraId="1077FD3F" w14:textId="77777777" w:rsidR="00B21D78" w:rsidRDefault="00B21D78" w:rsidP="00D73355">
      <w:pPr>
        <w:pStyle w:val="Heading2"/>
        <w:spacing w:before="0" w:after="0"/>
        <w:ind w:left="0" w:firstLine="720"/>
        <w:contextualSpacing/>
        <w:rPr>
          <w:b w:val="0"/>
          <w:bCs/>
        </w:rPr>
      </w:pPr>
      <w:r>
        <w:rPr>
          <w:b w:val="0"/>
          <w:bCs/>
        </w:rPr>
        <w:t xml:space="preserve">Mother also testified.  She denied ever admitting that she had abused opiates or any other drugs. </w:t>
      </w:r>
      <w:r>
        <w:rPr>
          <w:b w:val="0"/>
          <w:bCs/>
        </w:rPr>
        <w:t xml:space="preserve"> Neither child had significant medical needs.  Mother had </w:t>
      </w:r>
      <w:r>
        <w:rPr>
          <w:b w:val="0"/>
          <w:bCs/>
        </w:rPr>
        <w:t>support from her mother, her two grandparents, her sister, her aunt, and the children</w:t>
      </w:r>
      <w:r>
        <w:rPr>
          <w:b w:val="0"/>
          <w:bCs/>
        </w:rPr>
        <w:t>’</w:t>
      </w:r>
      <w:r>
        <w:rPr>
          <w:b w:val="0"/>
          <w:bCs/>
        </w:rPr>
        <w:t xml:space="preserve">s father. </w:t>
      </w:r>
      <w:r>
        <w:rPr>
          <w:b w:val="0"/>
          <w:bCs/>
        </w:rPr>
        <w:t xml:space="preserve"> According to mother, a DCFS social worker visited her home twice a month</w:t>
      </w:r>
      <w:r>
        <w:rPr>
          <w:b w:val="0"/>
          <w:bCs/>
        </w:rPr>
        <w:t>.</w:t>
      </w:r>
      <w:r>
        <w:rPr>
          <w:b w:val="0"/>
          <w:bCs/>
        </w:rPr>
        <w:t xml:space="preserve">  </w:t>
      </w:r>
      <w:r>
        <w:rPr>
          <w:b w:val="0"/>
          <w:bCs/>
        </w:rPr>
        <w:t>S</w:t>
      </w:r>
      <w:r>
        <w:rPr>
          <w:b w:val="0"/>
          <w:bCs/>
        </w:rPr>
        <w:t>he made the home and the children available during those visits</w:t>
      </w:r>
      <w:r>
        <w:rPr>
          <w:b w:val="0"/>
          <w:bCs/>
        </w:rPr>
        <w:t xml:space="preserve">. </w:t>
      </w:r>
      <w:r>
        <w:rPr>
          <w:b w:val="0"/>
          <w:bCs/>
        </w:rPr>
        <w:t xml:space="preserve"> She had provided the children</w:t>
      </w:r>
      <w:r>
        <w:rPr>
          <w:b w:val="0"/>
          <w:bCs/>
        </w:rPr>
        <w:t>’</w:t>
      </w:r>
      <w:r>
        <w:rPr>
          <w:b w:val="0"/>
          <w:bCs/>
        </w:rPr>
        <w:t>s medical information to the social worker.</w:t>
      </w:r>
      <w:r>
        <w:rPr>
          <w:b w:val="0"/>
          <w:bCs/>
        </w:rPr>
        <w:t xml:space="preserve">  She testified that C.D. had eczema, and she was working with his</w:t>
      </w:r>
      <w:r>
        <w:rPr>
          <w:b w:val="0"/>
          <w:bCs/>
        </w:rPr>
        <w:t xml:space="preserve"> doctor to treat it.  B.D. </w:t>
      </w:r>
      <w:proofErr w:type="gramStart"/>
      <w:r>
        <w:rPr>
          <w:b w:val="0"/>
          <w:bCs/>
        </w:rPr>
        <w:t>was</w:t>
      </w:r>
      <w:r w:rsidRPr="00A241EB">
        <w:rPr>
          <w:b w:val="0"/>
          <w:bCs/>
        </w:rPr>
        <w:t xml:space="preserve"> </w:t>
      </w:r>
      <w:r>
        <w:rPr>
          <w:b w:val="0"/>
          <w:bCs/>
        </w:rPr>
        <w:t>excelling</w:t>
      </w:r>
      <w:proofErr w:type="gramEnd"/>
      <w:r>
        <w:rPr>
          <w:b w:val="0"/>
          <w:bCs/>
        </w:rPr>
        <w:t xml:space="preserve"> in school.</w:t>
      </w:r>
    </w:p>
    <w:p w14:paraId="663B0C29" w14:textId="77777777" w:rsidR="00B21D78" w:rsidRDefault="00B21D78" w:rsidP="00D73355">
      <w:pPr>
        <w:pStyle w:val="Heading2"/>
        <w:spacing w:before="0" w:after="0"/>
        <w:ind w:left="0" w:firstLine="720"/>
        <w:contextualSpacing/>
        <w:rPr>
          <w:b w:val="0"/>
          <w:bCs/>
        </w:rPr>
      </w:pPr>
      <w:r>
        <w:rPr>
          <w:b w:val="0"/>
          <w:bCs/>
        </w:rPr>
        <w:t xml:space="preserve">Mother testified that she last used marijuana before she was pregnant with C.D. </w:t>
      </w:r>
      <w:r>
        <w:rPr>
          <w:b w:val="0"/>
          <w:bCs/>
        </w:rPr>
        <w:t xml:space="preserve"> She would smoke it, but never in the daytime, and she was never inebriated. </w:t>
      </w:r>
      <w:r>
        <w:rPr>
          <w:b w:val="0"/>
          <w:bCs/>
        </w:rPr>
        <w:t xml:space="preserve"> At the time</w:t>
      </w:r>
      <w:r>
        <w:rPr>
          <w:b w:val="0"/>
          <w:bCs/>
        </w:rPr>
        <w:t>,</w:t>
      </w:r>
      <w:r>
        <w:rPr>
          <w:b w:val="0"/>
          <w:bCs/>
        </w:rPr>
        <w:t xml:space="preserve"> she was living with the maternal grandmother, who was home when mother smoked.  Mother denied </w:t>
      </w:r>
      <w:r>
        <w:rPr>
          <w:b w:val="0"/>
          <w:bCs/>
        </w:rPr>
        <w:t xml:space="preserve">any current use of illegal substances or non-prescribed or prescribed medications. </w:t>
      </w:r>
      <w:r>
        <w:rPr>
          <w:b w:val="0"/>
          <w:bCs/>
        </w:rPr>
        <w:t xml:space="preserve"> She admitted using a non-prescribed opiate during the week or a week before C.D.</w:t>
      </w:r>
      <w:r>
        <w:rPr>
          <w:b w:val="0"/>
          <w:bCs/>
        </w:rPr>
        <w:t>’</w:t>
      </w:r>
      <w:r>
        <w:rPr>
          <w:b w:val="0"/>
          <w:bCs/>
        </w:rPr>
        <w:t>s due date.  She</w:t>
      </w:r>
      <w:r>
        <w:rPr>
          <w:b w:val="0"/>
          <w:bCs/>
        </w:rPr>
        <w:t xml:space="preserve"> was having sciatic nerve </w:t>
      </w:r>
      <w:r>
        <w:rPr>
          <w:b w:val="0"/>
          <w:bCs/>
        </w:rPr>
        <w:t>problems</w:t>
      </w:r>
      <w:r>
        <w:rPr>
          <w:b w:val="0"/>
          <w:bCs/>
        </w:rPr>
        <w:t xml:space="preserve"> at the time, was in a lot of pain, and thought </w:t>
      </w:r>
      <w:r>
        <w:rPr>
          <w:b w:val="0"/>
          <w:bCs/>
        </w:rPr>
        <w:t>takin</w:t>
      </w:r>
      <w:r>
        <w:rPr>
          <w:b w:val="0"/>
          <w:bCs/>
        </w:rPr>
        <w:t>g</w:t>
      </w:r>
      <w:r>
        <w:rPr>
          <w:b w:val="0"/>
          <w:bCs/>
        </w:rPr>
        <w:t xml:space="preserve"> the medication</w:t>
      </w:r>
      <w:r>
        <w:rPr>
          <w:b w:val="0"/>
          <w:bCs/>
        </w:rPr>
        <w:t xml:space="preserve"> would be </w:t>
      </w:r>
      <w:r>
        <w:rPr>
          <w:b w:val="0"/>
          <w:bCs/>
        </w:rPr>
        <w:t>“</w:t>
      </w:r>
      <w:r>
        <w:rPr>
          <w:b w:val="0"/>
          <w:bCs/>
        </w:rPr>
        <w:t>unharmful.</w:t>
      </w:r>
      <w:r>
        <w:rPr>
          <w:b w:val="0"/>
          <w:bCs/>
        </w:rPr>
        <w:t>”</w:t>
      </w:r>
      <w:r>
        <w:rPr>
          <w:b w:val="0"/>
          <w:bCs/>
        </w:rPr>
        <w:t xml:space="preserve">  She got the Norco from the </w:t>
      </w:r>
      <w:r>
        <w:rPr>
          <w:b w:val="0"/>
          <w:bCs/>
        </w:rPr>
        <w:lastRenderedPageBreak/>
        <w:t xml:space="preserve">maternal grandmother. </w:t>
      </w:r>
      <w:r>
        <w:rPr>
          <w:b w:val="0"/>
          <w:bCs/>
        </w:rPr>
        <w:t xml:space="preserve"> Mother testified that taking the medication </w:t>
      </w:r>
      <w:r>
        <w:rPr>
          <w:b w:val="0"/>
          <w:bCs/>
        </w:rPr>
        <w:t>“</w:t>
      </w:r>
      <w:r>
        <w:rPr>
          <w:b w:val="0"/>
          <w:bCs/>
        </w:rPr>
        <w:t>wasn</w:t>
      </w:r>
      <w:r>
        <w:rPr>
          <w:b w:val="0"/>
          <w:bCs/>
        </w:rPr>
        <w:t>’</w:t>
      </w:r>
      <w:r>
        <w:rPr>
          <w:b w:val="0"/>
          <w:bCs/>
        </w:rPr>
        <w:t>t wise,</w:t>
      </w:r>
      <w:r>
        <w:rPr>
          <w:b w:val="0"/>
          <w:bCs/>
        </w:rPr>
        <w:t>”</w:t>
      </w:r>
      <w:r>
        <w:rPr>
          <w:b w:val="0"/>
          <w:bCs/>
        </w:rPr>
        <w:t xml:space="preserve"> she wished she had</w:t>
      </w:r>
      <w:r>
        <w:rPr>
          <w:b w:val="0"/>
          <w:bCs/>
        </w:rPr>
        <w:t xml:space="preserve"> </w:t>
      </w:r>
      <w:r>
        <w:rPr>
          <w:b w:val="0"/>
          <w:bCs/>
        </w:rPr>
        <w:t>n</w:t>
      </w:r>
      <w:r>
        <w:rPr>
          <w:b w:val="0"/>
          <w:bCs/>
        </w:rPr>
        <w:t>o</w:t>
      </w:r>
      <w:r>
        <w:rPr>
          <w:b w:val="0"/>
          <w:bCs/>
        </w:rPr>
        <w:t xml:space="preserve">t done it, </w:t>
      </w:r>
      <w:r>
        <w:rPr>
          <w:b w:val="0"/>
          <w:bCs/>
        </w:rPr>
        <w:t xml:space="preserve">she had not taken any medication when pregnant with B.D., </w:t>
      </w:r>
      <w:r>
        <w:rPr>
          <w:b w:val="0"/>
          <w:bCs/>
        </w:rPr>
        <w:t xml:space="preserve">and she would not </w:t>
      </w:r>
      <w:r>
        <w:rPr>
          <w:b w:val="0"/>
          <w:bCs/>
        </w:rPr>
        <w:t>take such medication</w:t>
      </w:r>
      <w:r>
        <w:rPr>
          <w:b w:val="0"/>
          <w:bCs/>
        </w:rPr>
        <w:t xml:space="preserve"> again</w:t>
      </w:r>
      <w:r>
        <w:rPr>
          <w:b w:val="0"/>
          <w:bCs/>
        </w:rPr>
        <w:t xml:space="preserve"> if </w:t>
      </w:r>
      <w:r>
        <w:rPr>
          <w:b w:val="0"/>
          <w:bCs/>
        </w:rPr>
        <w:t xml:space="preserve">she was </w:t>
      </w:r>
      <w:r>
        <w:rPr>
          <w:b w:val="0"/>
          <w:bCs/>
        </w:rPr>
        <w:t>pregnant.</w:t>
      </w:r>
    </w:p>
    <w:p w14:paraId="024E7C88" w14:textId="77777777" w:rsidR="00B21D78" w:rsidRDefault="00B21D78" w:rsidP="00D73355">
      <w:pPr>
        <w:pStyle w:val="Heading2"/>
        <w:spacing w:before="0" w:after="0"/>
        <w:ind w:left="0" w:firstLine="720"/>
        <w:contextualSpacing/>
        <w:rPr>
          <w:b w:val="0"/>
          <w:bCs/>
        </w:rPr>
      </w:pPr>
      <w:r>
        <w:rPr>
          <w:b w:val="0"/>
          <w:bCs/>
        </w:rPr>
        <w:t xml:space="preserve">On cross-examination, mother denied ever receiving pain medication from her aunt or </w:t>
      </w:r>
      <w:r>
        <w:rPr>
          <w:b w:val="0"/>
          <w:bCs/>
        </w:rPr>
        <w:t xml:space="preserve">her friends.  </w:t>
      </w:r>
      <w:r>
        <w:rPr>
          <w:b w:val="0"/>
          <w:bCs/>
        </w:rPr>
        <w:t>She</w:t>
      </w:r>
      <w:r>
        <w:rPr>
          <w:b w:val="0"/>
          <w:bCs/>
        </w:rPr>
        <w:t xml:space="preserve"> testified that her dentist prescribed her hydrocodone</w:t>
      </w:r>
      <w:r>
        <w:rPr>
          <w:b w:val="0"/>
          <w:bCs/>
        </w:rPr>
        <w:t xml:space="preserve"> acetaminophen</w:t>
      </w:r>
      <w:r>
        <w:rPr>
          <w:b w:val="0"/>
          <w:bCs/>
        </w:rPr>
        <w:t>, or Norco,</w:t>
      </w:r>
      <w:r>
        <w:rPr>
          <w:b w:val="0"/>
          <w:bCs/>
        </w:rPr>
        <w:t xml:space="preserve"> in January 2021.  She also testified that she was prescribed oxycodone acetam</w:t>
      </w:r>
      <w:r>
        <w:rPr>
          <w:b w:val="0"/>
          <w:bCs/>
        </w:rPr>
        <w:t>inophen</w:t>
      </w:r>
      <w:r>
        <w:rPr>
          <w:b w:val="0"/>
          <w:bCs/>
        </w:rPr>
        <w:t>, or Percocet,</w:t>
      </w:r>
      <w:r>
        <w:rPr>
          <w:b w:val="0"/>
          <w:bCs/>
        </w:rPr>
        <w:t xml:space="preserve"> a few days after C.D. was born. </w:t>
      </w:r>
      <w:r>
        <w:rPr>
          <w:b w:val="0"/>
          <w:bCs/>
        </w:rPr>
        <w:t xml:space="preserve"> </w:t>
      </w:r>
      <w:r w:rsidRPr="00425959">
        <w:rPr>
          <w:b w:val="0"/>
          <w:bCs/>
        </w:rPr>
        <w:t>In closing arguments, DCFS’s counsel argued this testimony demonstrated mother’s dishonesty about the source of the pain medication she had taken</w:t>
      </w:r>
      <w:r>
        <w:rPr>
          <w:b w:val="0"/>
          <w:bCs/>
        </w:rPr>
        <w:t>.</w:t>
      </w:r>
      <w:r w:rsidRPr="00425959">
        <w:rPr>
          <w:b w:val="0"/>
          <w:bCs/>
        </w:rPr>
        <w:t xml:space="preserve"> </w:t>
      </w:r>
      <w:r>
        <w:rPr>
          <w:b w:val="0"/>
          <w:bCs/>
        </w:rPr>
        <w:t xml:space="preserve"> T</w:t>
      </w:r>
      <w:r w:rsidRPr="00425959">
        <w:rPr>
          <w:b w:val="0"/>
          <w:bCs/>
        </w:rPr>
        <w:t xml:space="preserve">he meconium test </w:t>
      </w:r>
      <w:proofErr w:type="gramStart"/>
      <w:r w:rsidRPr="00425959">
        <w:rPr>
          <w:b w:val="0"/>
          <w:bCs/>
        </w:rPr>
        <w:t>results</w:t>
      </w:r>
      <w:proofErr w:type="gramEnd"/>
      <w:r w:rsidRPr="00425959">
        <w:rPr>
          <w:b w:val="0"/>
          <w:bCs/>
        </w:rPr>
        <w:t xml:space="preserve"> and mother’s July drug test were positive for hydromorphone, which, counsel represented, is not an ingredient</w:t>
      </w:r>
      <w:r w:rsidRPr="00425959">
        <w:rPr>
          <w:b w:val="0"/>
          <w:bCs/>
        </w:rPr>
        <w:t xml:space="preserve"> in Norco or Percocet.  Counsel asserted this discrepancy </w:t>
      </w:r>
      <w:r w:rsidRPr="00425959">
        <w:rPr>
          <w:b w:val="0"/>
          <w:bCs/>
        </w:rPr>
        <w:t xml:space="preserve">“raises concern that either mother is not being honest about what she is </w:t>
      </w:r>
      <w:proofErr w:type="gramStart"/>
      <w:r w:rsidRPr="00425959">
        <w:rPr>
          <w:b w:val="0"/>
          <w:bCs/>
        </w:rPr>
        <w:t>taking</w:t>
      </w:r>
      <w:proofErr w:type="gramEnd"/>
      <w:r w:rsidRPr="00425959">
        <w:rPr>
          <w:b w:val="0"/>
          <w:bCs/>
        </w:rPr>
        <w:t xml:space="preserve"> or she is not aware of which medication that she is taking at what point or where those medications came from.”</w:t>
      </w:r>
    </w:p>
    <w:p w14:paraId="180C15A5" w14:textId="77777777" w:rsidR="00B21D78" w:rsidRPr="00CD06E2" w:rsidRDefault="00B21D78" w:rsidP="00D73355">
      <w:pPr>
        <w:pStyle w:val="Heading2"/>
        <w:spacing w:before="0" w:after="0"/>
        <w:ind w:left="0" w:firstLine="720"/>
        <w:contextualSpacing/>
        <w:rPr>
          <w:b w:val="0"/>
          <w:bCs/>
        </w:rPr>
      </w:pPr>
      <w:r>
        <w:rPr>
          <w:b w:val="0"/>
          <w:bCs/>
        </w:rPr>
        <w:t xml:space="preserve">The juvenile court </w:t>
      </w:r>
      <w:r>
        <w:rPr>
          <w:b w:val="0"/>
          <w:bCs/>
        </w:rPr>
        <w:t xml:space="preserve">amended the petition to conform to proof, adding an allegation that mother tested positive for hydrocodone and hydromorphone on July 7, 2022.  </w:t>
      </w:r>
      <w:r>
        <w:rPr>
          <w:b w:val="0"/>
          <w:bCs/>
        </w:rPr>
        <w:t xml:space="preserve">The court then sustained the petition.  The court </w:t>
      </w:r>
      <w:r>
        <w:rPr>
          <w:b w:val="0"/>
          <w:bCs/>
        </w:rPr>
        <w:t xml:space="preserve">declared the children to be dependents of the juvenile court and ordered that they remain in the home of </w:t>
      </w:r>
      <w:r>
        <w:rPr>
          <w:b w:val="0"/>
          <w:bCs/>
        </w:rPr>
        <w:t>the parents</w:t>
      </w:r>
      <w:r>
        <w:rPr>
          <w:b w:val="0"/>
          <w:bCs/>
        </w:rPr>
        <w:t>, under DCFS supervision.</w:t>
      </w:r>
      <w:r>
        <w:rPr>
          <w:rStyle w:val="FootnoteReference"/>
          <w:b/>
          <w:bCs/>
        </w:rPr>
        <w:footnoteReference w:id="4"/>
      </w:r>
      <w:r>
        <w:rPr>
          <w:b w:val="0"/>
          <w:bCs/>
        </w:rPr>
        <w:t xml:space="preserve"> </w:t>
      </w:r>
      <w:r>
        <w:rPr>
          <w:b w:val="0"/>
          <w:bCs/>
        </w:rPr>
        <w:t xml:space="preserve"> The court ordered DCFS to provide mother family maintenance services</w:t>
      </w:r>
      <w:r>
        <w:rPr>
          <w:b w:val="0"/>
          <w:bCs/>
        </w:rPr>
        <w:t xml:space="preserve">, </w:t>
      </w:r>
      <w:r>
        <w:rPr>
          <w:b w:val="0"/>
          <w:bCs/>
        </w:rPr>
        <w:lastRenderedPageBreak/>
        <w:t xml:space="preserve">including </w:t>
      </w:r>
      <w:r>
        <w:rPr>
          <w:b w:val="0"/>
          <w:bCs/>
        </w:rPr>
        <w:t>weekly drug testing</w:t>
      </w:r>
      <w:r>
        <w:rPr>
          <w:b w:val="0"/>
          <w:bCs/>
        </w:rPr>
        <w:t xml:space="preserve"> that would </w:t>
      </w:r>
      <w:r>
        <w:rPr>
          <w:b w:val="0"/>
          <w:bCs/>
        </w:rPr>
        <w:t>switch</w:t>
      </w:r>
      <w:r>
        <w:rPr>
          <w:b w:val="0"/>
          <w:bCs/>
        </w:rPr>
        <w:t xml:space="preserve"> to </w:t>
      </w:r>
      <w:r>
        <w:rPr>
          <w:b w:val="0"/>
          <w:bCs/>
        </w:rPr>
        <w:t xml:space="preserve">biweekly testing once </w:t>
      </w:r>
      <w:r>
        <w:rPr>
          <w:b w:val="0"/>
          <w:bCs/>
        </w:rPr>
        <w:t>mother</w:t>
      </w:r>
      <w:r>
        <w:rPr>
          <w:b w:val="0"/>
          <w:bCs/>
        </w:rPr>
        <w:t xml:space="preserve"> submitted four consecutive negative drug tests. </w:t>
      </w:r>
      <w:r>
        <w:rPr>
          <w:b w:val="0"/>
          <w:bCs/>
        </w:rPr>
        <w:t xml:space="preserve"> Mother timely appealed.</w:t>
      </w:r>
    </w:p>
    <w:p w14:paraId="22A7232D" w14:textId="77777777" w:rsidR="00B21D78" w:rsidRPr="00CC6A6D" w:rsidRDefault="00B21D78" w:rsidP="00D56A27">
      <w:pPr>
        <w:pStyle w:val="Heading1"/>
        <w:keepNext/>
        <w:keepLines/>
        <w:widowControl w:val="0"/>
        <w:spacing w:before="0" w:after="0"/>
        <w:contextualSpacing/>
      </w:pPr>
      <w:r>
        <w:t>DISCUSSION</w:t>
      </w:r>
    </w:p>
    <w:p w14:paraId="00FD43BA" w14:textId="77777777" w:rsidR="00B21D78" w:rsidRDefault="00B21D78" w:rsidP="00D56A27">
      <w:pPr>
        <w:pStyle w:val="Heading2"/>
        <w:keepNext/>
        <w:keepLines/>
        <w:widowControl w:val="0"/>
        <w:numPr>
          <w:ilvl w:val="0"/>
          <w:numId w:val="15"/>
        </w:numPr>
        <w:spacing w:before="0" w:after="0"/>
        <w:ind w:left="720"/>
        <w:contextualSpacing/>
      </w:pPr>
      <w:r>
        <w:t>Applicable Legal Principles and Standard of Review</w:t>
      </w:r>
    </w:p>
    <w:p w14:paraId="0F1BE9E6" w14:textId="77777777" w:rsidR="00B21D78" w:rsidRPr="00023EF1" w:rsidRDefault="00B21D78" w:rsidP="00CC6A6D">
      <w:pPr>
        <w:pStyle w:val="Heading2"/>
        <w:ind w:left="0" w:firstLine="720"/>
        <w:contextualSpacing/>
        <w:rPr>
          <w:b w:val="0"/>
          <w:bCs/>
        </w:rPr>
      </w:pPr>
      <w:proofErr w:type="gramStart"/>
      <w:r>
        <w:rPr>
          <w:b w:val="0"/>
          <w:bCs/>
        </w:rPr>
        <w:t>“</w:t>
      </w:r>
      <w:r w:rsidRPr="008A09D7">
        <w:rPr>
          <w:b w:val="0"/>
          <w:bCs/>
        </w:rPr>
        <w:t xml:space="preserve"> </w:t>
      </w:r>
      <w:r>
        <w:rPr>
          <w:b w:val="0"/>
          <w:bCs/>
        </w:rPr>
        <w:t>‘</w:t>
      </w:r>
      <w:proofErr w:type="gramEnd"/>
      <w:r>
        <w:rPr>
          <w:b w:val="0"/>
          <w:bCs/>
        </w:rPr>
        <w:t xml:space="preserve"> “</w:t>
      </w:r>
      <w:r w:rsidRPr="008A09D7">
        <w:rPr>
          <w:b w:val="0"/>
          <w:bCs/>
        </w:rPr>
        <w:t>We review the juvenile court</w:t>
      </w:r>
      <w:r>
        <w:rPr>
          <w:b w:val="0"/>
          <w:bCs/>
        </w:rPr>
        <w:t>’</w:t>
      </w:r>
      <w:r w:rsidRPr="008A09D7">
        <w:rPr>
          <w:b w:val="0"/>
          <w:bCs/>
        </w:rPr>
        <w:t xml:space="preserve">s jurisdictional findings for sufficiency of the evidence. </w:t>
      </w:r>
      <w:r>
        <w:rPr>
          <w:b w:val="0"/>
          <w:bCs/>
        </w:rPr>
        <w:t xml:space="preserve"> </w:t>
      </w:r>
      <w:r w:rsidRPr="008A09D7">
        <w:rPr>
          <w:b w:val="0"/>
          <w:bCs/>
        </w:rPr>
        <w:t xml:space="preserve">[Citations.] </w:t>
      </w:r>
      <w:r>
        <w:rPr>
          <w:b w:val="0"/>
          <w:bCs/>
        </w:rPr>
        <w:t xml:space="preserve"> </w:t>
      </w:r>
      <w:r w:rsidRPr="008A09D7">
        <w:rPr>
          <w:b w:val="0"/>
          <w:bCs/>
        </w:rPr>
        <w:t>We review the record to determine whether there is any substantial evidence to support the juvenile court</w:t>
      </w:r>
      <w:r>
        <w:rPr>
          <w:b w:val="0"/>
          <w:bCs/>
        </w:rPr>
        <w:t>’</w:t>
      </w:r>
      <w:r w:rsidRPr="008A09D7">
        <w:rPr>
          <w:b w:val="0"/>
          <w:bCs/>
        </w:rPr>
        <w:t>s conclusions, and we resolve all conflicts and make all reasonable inferences from the evidence to uphold the court</w:t>
      </w:r>
      <w:r>
        <w:rPr>
          <w:b w:val="0"/>
          <w:bCs/>
        </w:rPr>
        <w:t>’</w:t>
      </w:r>
      <w:r w:rsidRPr="008A09D7">
        <w:rPr>
          <w:b w:val="0"/>
          <w:bCs/>
        </w:rPr>
        <w:t xml:space="preserve">s orders, if possible. </w:t>
      </w:r>
      <w:r>
        <w:rPr>
          <w:b w:val="0"/>
          <w:bCs/>
        </w:rPr>
        <w:t xml:space="preserve"> </w:t>
      </w:r>
      <w:r w:rsidRPr="008A09D7">
        <w:rPr>
          <w:b w:val="0"/>
          <w:bCs/>
        </w:rPr>
        <w:t xml:space="preserve">[Citation.] </w:t>
      </w:r>
      <w:r>
        <w:rPr>
          <w:b w:val="0"/>
          <w:bCs/>
        </w:rPr>
        <w:t xml:space="preserve"> </w:t>
      </w:r>
      <w:r>
        <w:rPr>
          <w:b w:val="0"/>
          <w:bCs/>
        </w:rPr>
        <w:t>‘</w:t>
      </w:r>
      <w:r w:rsidRPr="008A09D7">
        <w:rPr>
          <w:b w:val="0"/>
          <w:bCs/>
        </w:rPr>
        <w:t>However, substantial evidence is not synonymous with any evidence.</w:t>
      </w:r>
      <w:r>
        <w:rPr>
          <w:b w:val="0"/>
          <w:bCs/>
        </w:rPr>
        <w:t xml:space="preserve"> </w:t>
      </w:r>
      <w:r w:rsidRPr="008A09D7">
        <w:rPr>
          <w:b w:val="0"/>
          <w:bCs/>
        </w:rPr>
        <w:t xml:space="preserve"> [Citations.]</w:t>
      </w:r>
      <w:r>
        <w:rPr>
          <w:b w:val="0"/>
          <w:bCs/>
        </w:rPr>
        <w:t xml:space="preserve"> </w:t>
      </w:r>
      <w:r w:rsidRPr="008A09D7">
        <w:rPr>
          <w:b w:val="0"/>
          <w:bCs/>
        </w:rPr>
        <w:t xml:space="preserve"> A decision supported by a mere scintilla of evidence need not be affirmed on appeal.</w:t>
      </w:r>
      <w:r>
        <w:rPr>
          <w:b w:val="0"/>
          <w:bCs/>
        </w:rPr>
        <w:t xml:space="preserve"> </w:t>
      </w:r>
      <w:r w:rsidRPr="008A09D7">
        <w:rPr>
          <w:b w:val="0"/>
          <w:bCs/>
        </w:rPr>
        <w:t xml:space="preserve"> [Citation.] </w:t>
      </w:r>
      <w:r>
        <w:rPr>
          <w:b w:val="0"/>
          <w:bCs/>
        </w:rPr>
        <w:t xml:space="preserve"> </w:t>
      </w:r>
      <w:r w:rsidRPr="008A09D7">
        <w:rPr>
          <w:b w:val="0"/>
          <w:bCs/>
        </w:rPr>
        <w:t xml:space="preserve">Furthermore, </w:t>
      </w:r>
      <w:r>
        <w:rPr>
          <w:b w:val="0"/>
          <w:bCs/>
        </w:rPr>
        <w:t>“</w:t>
      </w:r>
      <w:r w:rsidRPr="008A09D7">
        <w:rPr>
          <w:b w:val="0"/>
          <w:bCs/>
        </w:rPr>
        <w:t>[w]</w:t>
      </w:r>
      <w:proofErr w:type="spellStart"/>
      <w:r w:rsidRPr="008A09D7">
        <w:rPr>
          <w:b w:val="0"/>
          <w:bCs/>
        </w:rPr>
        <w:t>hile</w:t>
      </w:r>
      <w:proofErr w:type="spellEnd"/>
      <w:r w:rsidRPr="008A09D7">
        <w:rPr>
          <w:b w:val="0"/>
          <w:bCs/>
        </w:rPr>
        <w:t xml:space="preserve"> substantial evidence may consist of inferences, such inferences must be </w:t>
      </w:r>
      <w:r>
        <w:rPr>
          <w:b w:val="0"/>
          <w:bCs/>
        </w:rPr>
        <w:t>‘</w:t>
      </w:r>
      <w:r w:rsidRPr="008A09D7">
        <w:rPr>
          <w:b w:val="0"/>
          <w:bCs/>
        </w:rPr>
        <w:t>a product of logic and reason</w:t>
      </w:r>
      <w:r>
        <w:rPr>
          <w:b w:val="0"/>
          <w:bCs/>
        </w:rPr>
        <w:t>’</w:t>
      </w:r>
      <w:r w:rsidRPr="008A09D7">
        <w:rPr>
          <w:b w:val="0"/>
          <w:bCs/>
        </w:rPr>
        <w:t xml:space="preserve"> and </w:t>
      </w:r>
      <w:r>
        <w:rPr>
          <w:b w:val="0"/>
          <w:bCs/>
        </w:rPr>
        <w:t>‘</w:t>
      </w:r>
      <w:r w:rsidRPr="008A09D7">
        <w:rPr>
          <w:b w:val="0"/>
          <w:bCs/>
        </w:rPr>
        <w:t>must rest on the evidence</w:t>
      </w:r>
      <w:r>
        <w:rPr>
          <w:b w:val="0"/>
          <w:bCs/>
        </w:rPr>
        <w:t>’</w:t>
      </w:r>
      <w:r w:rsidRPr="008A09D7">
        <w:rPr>
          <w:b w:val="0"/>
          <w:bCs/>
        </w:rPr>
        <w:t xml:space="preserve"> [citation]; </w:t>
      </w:r>
      <w:r w:rsidRPr="009F5F21">
        <w:rPr>
          <w:b w:val="0"/>
          <w:bCs/>
          <w:i/>
          <w:iCs/>
        </w:rPr>
        <w:t>inferences that are the result of mere speculation or conjecture cannot support a finding</w:t>
      </w:r>
      <w:r w:rsidRPr="008A09D7">
        <w:rPr>
          <w:b w:val="0"/>
          <w:bCs/>
        </w:rPr>
        <w:t xml:space="preserve"> [citations].</w:t>
      </w:r>
      <w:r>
        <w:rPr>
          <w:b w:val="0"/>
          <w:bCs/>
        </w:rPr>
        <w:t>”</w:t>
      </w:r>
      <w:r>
        <w:rPr>
          <w:b w:val="0"/>
          <w:bCs/>
        </w:rPr>
        <w:t xml:space="preserve"> </w:t>
      </w:r>
      <w:r w:rsidRPr="008A09D7">
        <w:rPr>
          <w:b w:val="0"/>
          <w:bCs/>
        </w:rPr>
        <w:t xml:space="preserve"> [Citation.] </w:t>
      </w:r>
      <w:r>
        <w:rPr>
          <w:b w:val="0"/>
          <w:bCs/>
        </w:rPr>
        <w:t xml:space="preserve"> </w:t>
      </w:r>
      <w:r>
        <w:rPr>
          <w:b w:val="0"/>
          <w:bCs/>
        </w:rPr>
        <w:t>“</w:t>
      </w:r>
      <w:r w:rsidRPr="008A09D7">
        <w:rPr>
          <w:b w:val="0"/>
          <w:bCs/>
        </w:rPr>
        <w:t xml:space="preserve">The ultimate test is whether it is reasonable for a trier of fact to make the ruling in question in light of </w:t>
      </w:r>
      <w:r w:rsidRPr="008A09D7">
        <w:rPr>
          <w:b w:val="0"/>
          <w:bCs/>
        </w:rPr>
        <w:t>the whole record.</w:t>
      </w:r>
      <w:r>
        <w:rPr>
          <w:b w:val="0"/>
          <w:bCs/>
        </w:rPr>
        <w:t>”</w:t>
      </w:r>
      <w:r w:rsidRPr="008A09D7">
        <w:rPr>
          <w:b w:val="0"/>
          <w:bCs/>
        </w:rPr>
        <w:t xml:space="preserve"> </w:t>
      </w:r>
      <w:r>
        <w:rPr>
          <w:b w:val="0"/>
          <w:bCs/>
        </w:rPr>
        <w:t xml:space="preserve"> </w:t>
      </w:r>
      <w:r w:rsidRPr="008A09D7">
        <w:rPr>
          <w:b w:val="0"/>
          <w:bCs/>
        </w:rPr>
        <w:t>[Citation.]</w:t>
      </w:r>
      <w:r>
        <w:rPr>
          <w:b w:val="0"/>
          <w:bCs/>
        </w:rPr>
        <w:t>’</w:t>
      </w:r>
      <w:r w:rsidRPr="008A09D7">
        <w:rPr>
          <w:b w:val="0"/>
          <w:bCs/>
        </w:rPr>
        <w:t xml:space="preserve"> </w:t>
      </w:r>
      <w:r>
        <w:rPr>
          <w:b w:val="0"/>
          <w:bCs/>
        </w:rPr>
        <w:t xml:space="preserve"> </w:t>
      </w:r>
      <w:r w:rsidRPr="008A09D7">
        <w:rPr>
          <w:b w:val="0"/>
          <w:bCs/>
        </w:rPr>
        <w:t>[Citation.]</w:t>
      </w:r>
      <w:proofErr w:type="gramStart"/>
      <w:r>
        <w:rPr>
          <w:b w:val="0"/>
          <w:bCs/>
        </w:rPr>
        <w:t>”</w:t>
      </w:r>
      <w:r>
        <w:rPr>
          <w:b w:val="0"/>
          <w:bCs/>
        </w:rPr>
        <w:t xml:space="preserve"> ’</w:t>
      </w:r>
      <w:proofErr w:type="gramEnd"/>
      <w:r>
        <w:rPr>
          <w:b w:val="0"/>
          <w:bCs/>
        </w:rPr>
        <w:t xml:space="preserve"> </w:t>
      </w:r>
      <w:r>
        <w:rPr>
          <w:b w:val="0"/>
          <w:bCs/>
        </w:rPr>
        <w:t xml:space="preserve"> [Citation.]”  (</w:t>
      </w:r>
      <w:r w:rsidRPr="00023EF1">
        <w:rPr>
          <w:b w:val="0"/>
          <w:bCs/>
          <w:i/>
          <w:iCs/>
        </w:rPr>
        <w:t xml:space="preserve">In re J.A. </w:t>
      </w:r>
      <w:r w:rsidRPr="008A09D7">
        <w:rPr>
          <w:b w:val="0"/>
          <w:bCs/>
        </w:rPr>
        <w:t>(2020) 47 Cal.App.5</w:t>
      </w:r>
      <w:r w:rsidRPr="00EE4BA1">
        <w:rPr>
          <w:b w:val="0"/>
          <w:bCs/>
        </w:rPr>
        <w:t>th</w:t>
      </w:r>
      <w:r w:rsidRPr="008A09D7">
        <w:rPr>
          <w:b w:val="0"/>
          <w:bCs/>
        </w:rPr>
        <w:t xml:space="preserve"> 1036, 1046</w:t>
      </w:r>
      <w:r>
        <w:rPr>
          <w:b w:val="0"/>
          <w:bCs/>
        </w:rPr>
        <w:t xml:space="preserve"> (</w:t>
      </w:r>
      <w:r>
        <w:rPr>
          <w:b w:val="0"/>
          <w:bCs/>
          <w:i/>
          <w:iCs/>
        </w:rPr>
        <w:t>J.A.</w:t>
      </w:r>
      <w:r>
        <w:rPr>
          <w:b w:val="0"/>
          <w:bCs/>
        </w:rPr>
        <w:t>).)</w:t>
      </w:r>
    </w:p>
    <w:p w14:paraId="3CE8E04B" w14:textId="77777777" w:rsidR="00B21D78" w:rsidRPr="00803AC5" w:rsidRDefault="00B21D78" w:rsidP="00CC6A6D">
      <w:pPr>
        <w:pStyle w:val="Heading2"/>
        <w:spacing w:before="0" w:after="0"/>
        <w:ind w:left="0" w:firstLine="720"/>
        <w:contextualSpacing/>
        <w:rPr>
          <w:b w:val="0"/>
          <w:bCs/>
        </w:rPr>
      </w:pPr>
      <w:r>
        <w:rPr>
          <w:b w:val="0"/>
          <w:bCs/>
        </w:rPr>
        <w:t>As relevant here, u</w:t>
      </w:r>
      <w:r>
        <w:rPr>
          <w:b w:val="0"/>
          <w:bCs/>
        </w:rPr>
        <w:t xml:space="preserve">nder section 300, subdivision (b), </w:t>
      </w:r>
      <w:r>
        <w:rPr>
          <w:b w:val="0"/>
          <w:bCs/>
        </w:rPr>
        <w:t xml:space="preserve">a child may be </w:t>
      </w:r>
      <w:r>
        <w:rPr>
          <w:b w:val="0"/>
          <w:bCs/>
        </w:rPr>
        <w:t>subject to dependency jurisdiction if the child has suffered, or there is a substantial risk the child will suffer</w:t>
      </w:r>
      <w:r>
        <w:rPr>
          <w:b w:val="0"/>
          <w:bCs/>
        </w:rPr>
        <w:t xml:space="preserve">, serious physical harm or illness as a result of </w:t>
      </w:r>
      <w:r>
        <w:rPr>
          <w:b w:val="0"/>
          <w:bCs/>
        </w:rPr>
        <w:t>a parent</w:t>
      </w:r>
      <w:r>
        <w:rPr>
          <w:b w:val="0"/>
          <w:bCs/>
        </w:rPr>
        <w:t>’</w:t>
      </w:r>
      <w:r>
        <w:rPr>
          <w:b w:val="0"/>
          <w:bCs/>
        </w:rPr>
        <w:t>s failure or inability to adequately supervise the child</w:t>
      </w:r>
      <w:r>
        <w:rPr>
          <w:b w:val="0"/>
          <w:bCs/>
        </w:rPr>
        <w:t xml:space="preserve">, or </w:t>
      </w:r>
      <w:r>
        <w:rPr>
          <w:b w:val="0"/>
          <w:bCs/>
        </w:rPr>
        <w:t xml:space="preserve">as a result of </w:t>
      </w:r>
      <w:r>
        <w:rPr>
          <w:b w:val="0"/>
          <w:bCs/>
        </w:rPr>
        <w:t>a parent</w:t>
      </w:r>
      <w:r>
        <w:rPr>
          <w:b w:val="0"/>
          <w:bCs/>
        </w:rPr>
        <w:t>’</w:t>
      </w:r>
      <w:r>
        <w:rPr>
          <w:b w:val="0"/>
          <w:bCs/>
        </w:rPr>
        <w:t xml:space="preserve">s inability to provide regular care for the child due to the </w:t>
      </w:r>
      <w:r>
        <w:rPr>
          <w:b w:val="0"/>
          <w:bCs/>
        </w:rPr>
        <w:t>pare</w:t>
      </w:r>
      <w:r>
        <w:rPr>
          <w:b w:val="0"/>
          <w:bCs/>
        </w:rPr>
        <w:t>nt</w:t>
      </w:r>
      <w:r>
        <w:rPr>
          <w:b w:val="0"/>
          <w:bCs/>
        </w:rPr>
        <w:t>’</w:t>
      </w:r>
      <w:r>
        <w:rPr>
          <w:b w:val="0"/>
          <w:bCs/>
        </w:rPr>
        <w:t>s substance abuse.</w:t>
      </w:r>
      <w:r>
        <w:rPr>
          <w:b w:val="0"/>
          <w:bCs/>
        </w:rPr>
        <w:t xml:space="preserve">  (</w:t>
      </w:r>
      <w:r w:rsidRPr="000412E8">
        <w:rPr>
          <w:b w:val="0"/>
          <w:bCs/>
        </w:rPr>
        <w:t xml:space="preserve">§ </w:t>
      </w:r>
      <w:r>
        <w:rPr>
          <w:b w:val="0"/>
          <w:bCs/>
        </w:rPr>
        <w:t>300, subd. (b)(1)(A) &amp; (D).)</w:t>
      </w:r>
    </w:p>
    <w:p w14:paraId="4CF16404" w14:textId="77777777" w:rsidR="00B21D78" w:rsidRDefault="00B21D78" w:rsidP="00CC6A6D">
      <w:pPr>
        <w:pStyle w:val="Heading2"/>
        <w:numPr>
          <w:ilvl w:val="0"/>
          <w:numId w:val="15"/>
        </w:numPr>
        <w:spacing w:before="0" w:after="0"/>
        <w:ind w:left="720"/>
        <w:contextualSpacing/>
      </w:pPr>
      <w:r>
        <w:lastRenderedPageBreak/>
        <w:t>Substantial Evidence Did Not Support the Jurisdictional Findings</w:t>
      </w:r>
    </w:p>
    <w:p w14:paraId="6396C99D" w14:textId="77777777" w:rsidR="00B21D78" w:rsidRDefault="00B21D78" w:rsidP="00CC6A6D">
      <w:pPr>
        <w:pStyle w:val="Heading2"/>
        <w:spacing w:before="0" w:after="0"/>
        <w:ind w:left="0" w:firstLine="720"/>
        <w:contextualSpacing/>
        <w:rPr>
          <w:b w:val="0"/>
          <w:bCs/>
        </w:rPr>
      </w:pPr>
      <w:r>
        <w:rPr>
          <w:b w:val="0"/>
          <w:bCs/>
        </w:rPr>
        <w:t xml:space="preserve">Mother </w:t>
      </w:r>
      <w:r>
        <w:rPr>
          <w:b w:val="0"/>
          <w:bCs/>
        </w:rPr>
        <w:t xml:space="preserve">first </w:t>
      </w:r>
      <w:r>
        <w:rPr>
          <w:b w:val="0"/>
          <w:bCs/>
        </w:rPr>
        <w:t>argues the evidence did not support the juvenile court’s finding that she engaged in substance abuse.</w:t>
      </w:r>
      <w:r>
        <w:rPr>
          <w:b w:val="0"/>
          <w:bCs/>
        </w:rPr>
        <w:t xml:space="preserve">  </w:t>
      </w:r>
      <w:r>
        <w:rPr>
          <w:b w:val="0"/>
          <w:bCs/>
        </w:rPr>
        <w:t xml:space="preserve">Although the evidence was far from overwhelming, </w:t>
      </w:r>
      <w:r>
        <w:rPr>
          <w:b w:val="0"/>
          <w:bCs/>
        </w:rPr>
        <w:t>it does not wholly support mother’s argument</w:t>
      </w:r>
      <w:r>
        <w:rPr>
          <w:b w:val="0"/>
          <w:bCs/>
        </w:rPr>
        <w:t xml:space="preserve">.  </w:t>
      </w:r>
      <w:r>
        <w:rPr>
          <w:b w:val="0"/>
          <w:bCs/>
        </w:rPr>
        <w:t xml:space="preserve">Mother tested positive for </w:t>
      </w:r>
      <w:r>
        <w:rPr>
          <w:b w:val="0"/>
          <w:bCs/>
        </w:rPr>
        <w:t xml:space="preserve">hydrocodone at her first prenatal visit in October 2021. </w:t>
      </w:r>
      <w:r>
        <w:rPr>
          <w:b w:val="0"/>
          <w:bCs/>
        </w:rPr>
        <w:t xml:space="preserve"> Shortly before she gave birth to C.D., </w:t>
      </w:r>
      <w:r>
        <w:rPr>
          <w:b w:val="0"/>
          <w:bCs/>
        </w:rPr>
        <w:t>mother</w:t>
      </w:r>
      <w:r>
        <w:rPr>
          <w:b w:val="0"/>
          <w:bCs/>
        </w:rPr>
        <w:t xml:space="preserve"> used a prescription drug that was not prescribed for her</w:t>
      </w:r>
      <w:r>
        <w:rPr>
          <w:b w:val="0"/>
          <w:bCs/>
        </w:rPr>
        <w:t>,</w:t>
      </w:r>
      <w:r>
        <w:rPr>
          <w:b w:val="0"/>
          <w:bCs/>
        </w:rPr>
        <w:t xml:space="preserve"> </w:t>
      </w:r>
      <w:r>
        <w:rPr>
          <w:b w:val="0"/>
          <w:bCs/>
        </w:rPr>
        <w:t xml:space="preserve">leading to her and C.D. testing positive </w:t>
      </w:r>
      <w:r>
        <w:rPr>
          <w:b w:val="0"/>
          <w:bCs/>
        </w:rPr>
        <w:t xml:space="preserve">for opiates </w:t>
      </w:r>
      <w:r>
        <w:rPr>
          <w:b w:val="0"/>
          <w:bCs/>
        </w:rPr>
        <w:t xml:space="preserve">when he </w:t>
      </w:r>
      <w:r>
        <w:rPr>
          <w:b w:val="0"/>
          <w:bCs/>
        </w:rPr>
        <w:t>was born</w:t>
      </w:r>
      <w:r>
        <w:rPr>
          <w:b w:val="0"/>
          <w:bCs/>
        </w:rPr>
        <w:t>.  Mother</w:t>
      </w:r>
      <w:r>
        <w:rPr>
          <w:b w:val="0"/>
          <w:bCs/>
        </w:rPr>
        <w:t>’s explanation of her use of pain medica</w:t>
      </w:r>
      <w:r>
        <w:rPr>
          <w:b w:val="0"/>
          <w:bCs/>
        </w:rPr>
        <w:t xml:space="preserve">tion at that time was undermined by </w:t>
      </w:r>
      <w:r>
        <w:rPr>
          <w:b w:val="0"/>
          <w:bCs/>
        </w:rPr>
        <w:t>t</w:t>
      </w:r>
      <w:r w:rsidRPr="007E1088">
        <w:rPr>
          <w:b w:val="0"/>
          <w:bCs/>
        </w:rPr>
        <w:t>he</w:t>
      </w:r>
      <w:r>
        <w:rPr>
          <w:b w:val="0"/>
          <w:bCs/>
        </w:rPr>
        <w:t xml:space="preserve"> drug </w:t>
      </w:r>
      <w:r>
        <w:rPr>
          <w:b w:val="0"/>
          <w:bCs/>
        </w:rPr>
        <w:t xml:space="preserve">test results showing the presence of </w:t>
      </w:r>
      <w:r>
        <w:rPr>
          <w:b w:val="0"/>
          <w:bCs/>
        </w:rPr>
        <w:t xml:space="preserve">a substance—hydromorphone—which did not appear to correspond with the medication she said she received from </w:t>
      </w:r>
      <w:r>
        <w:rPr>
          <w:b w:val="0"/>
          <w:bCs/>
        </w:rPr>
        <w:t>the maternal grandmother</w:t>
      </w:r>
      <w:r>
        <w:rPr>
          <w:b w:val="0"/>
          <w:bCs/>
        </w:rPr>
        <w:t>.</w:t>
      </w:r>
    </w:p>
    <w:p w14:paraId="2AC175E9" w14:textId="77777777" w:rsidR="00B21D78" w:rsidRPr="00AE1EA9" w:rsidRDefault="00B21D78" w:rsidP="00CC6A6D">
      <w:pPr>
        <w:pStyle w:val="Heading2"/>
        <w:spacing w:before="0" w:after="0"/>
        <w:ind w:left="0" w:firstLine="720"/>
        <w:contextualSpacing/>
        <w:rPr>
          <w:b w:val="0"/>
          <w:bCs/>
        </w:rPr>
      </w:pPr>
      <w:r>
        <w:rPr>
          <w:b w:val="0"/>
          <w:bCs/>
        </w:rPr>
        <w:t>Despite insisting that she did not abuse prescription medication, m</w:t>
      </w:r>
      <w:r>
        <w:rPr>
          <w:b w:val="0"/>
          <w:bCs/>
        </w:rPr>
        <w:t>other declined to drug test voluntarily</w:t>
      </w:r>
      <w:r>
        <w:rPr>
          <w:b w:val="0"/>
          <w:bCs/>
        </w:rPr>
        <w:t>.</w:t>
      </w:r>
      <w:r>
        <w:rPr>
          <w:rStyle w:val="FootnoteReference"/>
          <w:b/>
          <w:bCs/>
        </w:rPr>
        <w:footnoteReference w:id="5"/>
      </w:r>
      <w:r>
        <w:rPr>
          <w:b w:val="0"/>
          <w:bCs/>
        </w:rPr>
        <w:t xml:space="preserve">  I</w:t>
      </w:r>
      <w:r>
        <w:rPr>
          <w:b w:val="0"/>
          <w:bCs/>
        </w:rPr>
        <w:t>n the one drug test she did take</w:t>
      </w:r>
      <w:r>
        <w:rPr>
          <w:b w:val="0"/>
          <w:bCs/>
        </w:rPr>
        <w:t>,</w:t>
      </w:r>
      <w:r>
        <w:rPr>
          <w:b w:val="0"/>
          <w:bCs/>
        </w:rPr>
        <w:t xml:space="preserve"> </w:t>
      </w:r>
      <w:r>
        <w:rPr>
          <w:b w:val="0"/>
          <w:bCs/>
        </w:rPr>
        <w:t xml:space="preserve">three </w:t>
      </w:r>
      <w:r>
        <w:rPr>
          <w:b w:val="0"/>
          <w:bCs/>
        </w:rPr>
        <w:t xml:space="preserve">months after C.D.’s birth, </w:t>
      </w:r>
      <w:r>
        <w:rPr>
          <w:b w:val="0"/>
          <w:bCs/>
        </w:rPr>
        <w:t xml:space="preserve">she again tested positive for opiates.  </w:t>
      </w:r>
      <w:r>
        <w:rPr>
          <w:b w:val="0"/>
          <w:bCs/>
        </w:rPr>
        <w:t xml:space="preserve">Although mother had received a prescription for </w:t>
      </w:r>
      <w:r>
        <w:rPr>
          <w:b w:val="0"/>
          <w:bCs/>
        </w:rPr>
        <w:t>oxycodone</w:t>
      </w:r>
      <w:r>
        <w:rPr>
          <w:b w:val="0"/>
          <w:bCs/>
        </w:rPr>
        <w:t xml:space="preserve"> </w:t>
      </w:r>
      <w:r>
        <w:rPr>
          <w:b w:val="0"/>
          <w:bCs/>
        </w:rPr>
        <w:t xml:space="preserve">acetaminophen months earlier, she </w:t>
      </w:r>
      <w:r>
        <w:rPr>
          <w:b w:val="0"/>
          <w:bCs/>
        </w:rPr>
        <w:lastRenderedPageBreak/>
        <w:t xml:space="preserve">tested positive for </w:t>
      </w:r>
      <w:r>
        <w:rPr>
          <w:b w:val="0"/>
          <w:bCs/>
        </w:rPr>
        <w:t xml:space="preserve">hydrocodone and hydromorphone, </w:t>
      </w:r>
      <w:r>
        <w:rPr>
          <w:b w:val="0"/>
          <w:bCs/>
        </w:rPr>
        <w:t xml:space="preserve">suggesting she had again taken medication that was not prescribed for her.  Further, that mother had done so, while knowing </w:t>
      </w:r>
      <w:r>
        <w:rPr>
          <w:b w:val="0"/>
          <w:bCs/>
        </w:rPr>
        <w:t>that DCFS was investigating her family because of her use of prescription drugs,</w:t>
      </w:r>
      <w:r>
        <w:rPr>
          <w:b w:val="0"/>
          <w:bCs/>
        </w:rPr>
        <w:t xml:space="preserve"> opened the door to an</w:t>
      </w:r>
      <w:r>
        <w:rPr>
          <w:b w:val="0"/>
          <w:bCs/>
        </w:rPr>
        <w:t xml:space="preserve"> inference </w:t>
      </w:r>
      <w:r>
        <w:rPr>
          <w:b w:val="0"/>
          <w:bCs/>
        </w:rPr>
        <w:t xml:space="preserve">that she was unable </w:t>
      </w:r>
      <w:r>
        <w:rPr>
          <w:b w:val="0"/>
          <w:bCs/>
        </w:rPr>
        <w:t>to</w:t>
      </w:r>
      <w:r>
        <w:rPr>
          <w:b w:val="0"/>
          <w:bCs/>
        </w:rPr>
        <w:t xml:space="preserve"> abstain from </w:t>
      </w:r>
      <w:r>
        <w:rPr>
          <w:b w:val="0"/>
          <w:bCs/>
        </w:rPr>
        <w:t>us</w:t>
      </w:r>
      <w:r>
        <w:rPr>
          <w:b w:val="0"/>
          <w:bCs/>
        </w:rPr>
        <w:t>ing</w:t>
      </w:r>
      <w:r>
        <w:rPr>
          <w:b w:val="0"/>
          <w:bCs/>
        </w:rPr>
        <w:t xml:space="preserve"> the drugs.</w:t>
      </w:r>
      <w:r>
        <w:rPr>
          <w:b w:val="0"/>
          <w:bCs/>
        </w:rPr>
        <w:t xml:space="preserve">  (</w:t>
      </w:r>
      <w:r>
        <w:rPr>
          <w:b w:val="0"/>
          <w:bCs/>
          <w:i/>
          <w:iCs/>
        </w:rPr>
        <w:t>E.E.</w:t>
      </w:r>
      <w:r w:rsidRPr="00A4012C">
        <w:rPr>
          <w:b w:val="0"/>
          <w:bCs/>
        </w:rPr>
        <w:t>,</w:t>
      </w:r>
      <w:r>
        <w:rPr>
          <w:b w:val="0"/>
          <w:bCs/>
          <w:i/>
          <w:iCs/>
        </w:rPr>
        <w:t xml:space="preserve"> supra</w:t>
      </w:r>
      <w:r w:rsidRPr="00A4012C">
        <w:rPr>
          <w:b w:val="0"/>
          <w:bCs/>
        </w:rPr>
        <w:t>,</w:t>
      </w:r>
      <w:r>
        <w:rPr>
          <w:b w:val="0"/>
          <w:bCs/>
          <w:i/>
          <w:iCs/>
        </w:rPr>
        <w:t xml:space="preserve"> </w:t>
      </w:r>
      <w:r>
        <w:rPr>
          <w:b w:val="0"/>
          <w:bCs/>
        </w:rPr>
        <w:t xml:space="preserve">49 </w:t>
      </w:r>
      <w:r w:rsidRPr="00A82B2D">
        <w:rPr>
          <w:b w:val="0"/>
          <w:bCs/>
        </w:rPr>
        <w:t>Cal.App.5</w:t>
      </w:r>
      <w:r w:rsidRPr="00C008E0">
        <w:rPr>
          <w:b w:val="0"/>
          <w:bCs/>
        </w:rPr>
        <w:t xml:space="preserve">th </w:t>
      </w:r>
      <w:r>
        <w:rPr>
          <w:b w:val="0"/>
          <w:bCs/>
        </w:rPr>
        <w:t>at p.</w:t>
      </w:r>
      <w:r>
        <w:rPr>
          <w:b w:val="0"/>
          <w:bCs/>
        </w:rPr>
        <w:t xml:space="preserve"> </w:t>
      </w:r>
      <w:r>
        <w:rPr>
          <w:b w:val="0"/>
          <w:bCs/>
        </w:rPr>
        <w:t>2</w:t>
      </w:r>
      <w:r>
        <w:rPr>
          <w:b w:val="0"/>
          <w:bCs/>
        </w:rPr>
        <w:t xml:space="preserve">14 [juvenile court could reasonably disbelieve mother’s claim that she was no longer using drugs given her implausible denial of the extent of drug use while pregnant, evasive behavior, and </w:t>
      </w:r>
      <w:r>
        <w:rPr>
          <w:b w:val="0"/>
          <w:bCs/>
        </w:rPr>
        <w:t>resistance to monitoring and services].)</w:t>
      </w:r>
    </w:p>
    <w:p w14:paraId="5AD5385F" w14:textId="77777777" w:rsidR="00B21D78" w:rsidRPr="00202A5B" w:rsidRDefault="00B21D78" w:rsidP="00CC6A6D">
      <w:pPr>
        <w:pStyle w:val="Heading2"/>
        <w:spacing w:before="0" w:after="0"/>
        <w:ind w:left="0" w:firstLine="720"/>
        <w:contextualSpacing/>
        <w:rPr>
          <w:b w:val="0"/>
          <w:bCs/>
        </w:rPr>
      </w:pPr>
      <w:r>
        <w:rPr>
          <w:b w:val="0"/>
          <w:bCs/>
        </w:rPr>
        <w:t xml:space="preserve">However, even assuming </w:t>
      </w:r>
      <w:r>
        <w:rPr>
          <w:b w:val="0"/>
          <w:bCs/>
        </w:rPr>
        <w:t xml:space="preserve">the above evidence was sufficient to support the conclusion that mother </w:t>
      </w:r>
      <w:r>
        <w:rPr>
          <w:b w:val="0"/>
          <w:bCs/>
        </w:rPr>
        <w:t>was abusing</w:t>
      </w:r>
      <w:r>
        <w:rPr>
          <w:b w:val="0"/>
          <w:bCs/>
        </w:rPr>
        <w:t xml:space="preserve"> prescription drugs, that did not end the </w:t>
      </w:r>
      <w:r>
        <w:rPr>
          <w:b w:val="0"/>
          <w:bCs/>
        </w:rPr>
        <w:t xml:space="preserve">jurisdictional </w:t>
      </w:r>
      <w:r>
        <w:rPr>
          <w:b w:val="0"/>
          <w:bCs/>
        </w:rPr>
        <w:t>analysis.</w:t>
      </w:r>
      <w:r>
        <w:rPr>
          <w:b w:val="0"/>
          <w:bCs/>
        </w:rPr>
        <w:t xml:space="preserve">  </w:t>
      </w:r>
      <w:r>
        <w:rPr>
          <w:b w:val="0"/>
          <w:bCs/>
        </w:rPr>
        <w:t>“Even with sufficient proof of substance abuse, the government also bears the burden of proving by a preponderance of the evidence . . . that this abuse makes the parent . . . unable to provide regular care for a child, and that this inability has caused a child to suffer serious physical harm or illness or places the child at substantial risk of serious phys</w:t>
      </w:r>
      <w:r>
        <w:rPr>
          <w:b w:val="0"/>
          <w:bCs/>
        </w:rPr>
        <w:t>ical harm or illness.”</w:t>
      </w:r>
      <w:r>
        <w:rPr>
          <w:b w:val="0"/>
          <w:bCs/>
        </w:rPr>
        <w:t xml:space="preserve">  (</w:t>
      </w:r>
      <w:r>
        <w:rPr>
          <w:b w:val="0"/>
          <w:bCs/>
          <w:i/>
          <w:iCs/>
        </w:rPr>
        <w:t>In re N.R.</w:t>
      </w:r>
      <w:r>
        <w:rPr>
          <w:b w:val="0"/>
          <w:bCs/>
        </w:rPr>
        <w:t xml:space="preserve"> (2023) 15 </w:t>
      </w:r>
      <w:r w:rsidRPr="00202A5B">
        <w:rPr>
          <w:b w:val="0"/>
          <w:bCs/>
        </w:rPr>
        <w:t>Cal.</w:t>
      </w:r>
      <w:r>
        <w:rPr>
          <w:b w:val="0"/>
          <w:bCs/>
        </w:rPr>
        <w:t>5</w:t>
      </w:r>
      <w:r w:rsidRPr="002F1ADC">
        <w:rPr>
          <w:b w:val="0"/>
          <w:bCs/>
        </w:rPr>
        <w:t>th</w:t>
      </w:r>
      <w:r>
        <w:rPr>
          <w:b w:val="0"/>
          <w:bCs/>
        </w:rPr>
        <w:t xml:space="preserve"> 520, 550</w:t>
      </w:r>
      <w:r>
        <w:rPr>
          <w:b w:val="0"/>
          <w:bCs/>
        </w:rPr>
        <w:t xml:space="preserve"> (</w:t>
      </w:r>
      <w:r>
        <w:rPr>
          <w:b w:val="0"/>
          <w:bCs/>
          <w:i/>
          <w:iCs/>
        </w:rPr>
        <w:t>N.R.</w:t>
      </w:r>
      <w:r w:rsidRPr="00F9607B">
        <w:rPr>
          <w:b w:val="0"/>
          <w:bCs/>
        </w:rPr>
        <w:t>)</w:t>
      </w:r>
      <w:r>
        <w:rPr>
          <w:b w:val="0"/>
          <w:bCs/>
        </w:rPr>
        <w:t>.)</w:t>
      </w:r>
      <w:r>
        <w:rPr>
          <w:b w:val="0"/>
          <w:bCs/>
        </w:rPr>
        <w:t xml:space="preserve">  We need not determine whether the record before </w:t>
      </w:r>
      <w:r>
        <w:rPr>
          <w:b w:val="0"/>
          <w:bCs/>
        </w:rPr>
        <w:t>the juvenile court</w:t>
      </w:r>
      <w:r>
        <w:rPr>
          <w:b w:val="0"/>
          <w:bCs/>
        </w:rPr>
        <w:t xml:space="preserve"> was sufficient to support a finding of substance abuse because, even if it was, the</w:t>
      </w:r>
      <w:r>
        <w:rPr>
          <w:b w:val="0"/>
          <w:bCs/>
        </w:rPr>
        <w:t xml:space="preserve"> evidence was insufficient to support a finding of </w:t>
      </w:r>
      <w:r>
        <w:rPr>
          <w:b w:val="0"/>
          <w:bCs/>
        </w:rPr>
        <w:t xml:space="preserve">serious physical </w:t>
      </w:r>
      <w:r>
        <w:rPr>
          <w:b w:val="0"/>
          <w:bCs/>
        </w:rPr>
        <w:t>harm</w:t>
      </w:r>
      <w:r>
        <w:rPr>
          <w:b w:val="0"/>
          <w:bCs/>
        </w:rPr>
        <w:t>,</w:t>
      </w:r>
      <w:r>
        <w:rPr>
          <w:b w:val="0"/>
          <w:bCs/>
        </w:rPr>
        <w:t xml:space="preserve"> or </w:t>
      </w:r>
      <w:r>
        <w:rPr>
          <w:b w:val="0"/>
          <w:bCs/>
        </w:rPr>
        <w:t>a sub</w:t>
      </w:r>
      <w:r w:rsidRPr="004C67F9">
        <w:rPr>
          <w:b w:val="0"/>
          <w:bCs/>
        </w:rPr>
        <w:t>st</w:t>
      </w:r>
      <w:r>
        <w:rPr>
          <w:b w:val="0"/>
          <w:bCs/>
        </w:rPr>
        <w:t xml:space="preserve">antial </w:t>
      </w:r>
      <w:r>
        <w:rPr>
          <w:b w:val="0"/>
          <w:bCs/>
        </w:rPr>
        <w:t xml:space="preserve">risk of </w:t>
      </w:r>
      <w:r>
        <w:rPr>
          <w:b w:val="0"/>
          <w:bCs/>
        </w:rPr>
        <w:t xml:space="preserve">serious physical </w:t>
      </w:r>
      <w:r>
        <w:rPr>
          <w:b w:val="0"/>
          <w:bCs/>
        </w:rPr>
        <w:t>harm to the children.</w:t>
      </w:r>
    </w:p>
    <w:p w14:paraId="40E06E5A" w14:textId="77777777" w:rsidR="00B21D78" w:rsidRDefault="00B21D78" w:rsidP="00CC6A6D">
      <w:pPr>
        <w:pStyle w:val="Heading2"/>
        <w:spacing w:before="0" w:after="0"/>
        <w:ind w:left="1440"/>
        <w:contextualSpacing/>
      </w:pPr>
      <w:r>
        <w:t>A.</w:t>
      </w:r>
      <w:r>
        <w:tab/>
      </w:r>
      <w:r>
        <w:t xml:space="preserve">There was no substantial evidence </w:t>
      </w:r>
      <w:r>
        <w:t>that C.D.</w:t>
      </w:r>
      <w:r>
        <w:t xml:space="preserve"> </w:t>
      </w:r>
      <w:r>
        <w:t>s</w:t>
      </w:r>
      <w:r>
        <w:t xml:space="preserve">uffered </w:t>
      </w:r>
      <w:r>
        <w:t>s</w:t>
      </w:r>
      <w:r>
        <w:t xml:space="preserve">erious </w:t>
      </w:r>
      <w:r>
        <w:t>p</w:t>
      </w:r>
      <w:r>
        <w:t xml:space="preserve">hysical </w:t>
      </w:r>
      <w:r>
        <w:t>h</w:t>
      </w:r>
      <w:r>
        <w:t xml:space="preserve">arm or </w:t>
      </w:r>
      <w:r>
        <w:t>i</w:t>
      </w:r>
      <w:r>
        <w:t>llness</w:t>
      </w:r>
    </w:p>
    <w:p w14:paraId="7CF6445D" w14:textId="77777777" w:rsidR="00B21D78" w:rsidRDefault="00B21D78" w:rsidP="00CC6A6D">
      <w:pPr>
        <w:pStyle w:val="Heading2"/>
        <w:spacing w:before="0" w:after="0"/>
        <w:ind w:left="0" w:firstLine="720"/>
        <w:contextualSpacing/>
        <w:rPr>
          <w:b w:val="0"/>
          <w:bCs/>
        </w:rPr>
      </w:pPr>
      <w:r>
        <w:rPr>
          <w:b w:val="0"/>
          <w:bCs/>
        </w:rPr>
        <w:t xml:space="preserve">The juvenile court sustained an allegation that C.D. </w:t>
      </w:r>
      <w:r>
        <w:rPr>
          <w:b w:val="0"/>
          <w:bCs/>
        </w:rPr>
        <w:t>“was born suffering from a detrimental condition consisting of a positive to</w:t>
      </w:r>
      <w:r>
        <w:rPr>
          <w:b w:val="0"/>
          <w:bCs/>
        </w:rPr>
        <w:t>xicology screen for opiates</w:t>
      </w:r>
      <w:r>
        <w:rPr>
          <w:b w:val="0"/>
          <w:bCs/>
        </w:rPr>
        <w:t xml:space="preserve"> </w:t>
      </w:r>
      <w:proofErr w:type="gramStart"/>
      <w:r>
        <w:rPr>
          <w:b w:val="0"/>
          <w:bCs/>
        </w:rPr>
        <w:t>. . . .</w:t>
      </w:r>
      <w:proofErr w:type="gramEnd"/>
      <w:r>
        <w:rPr>
          <w:b w:val="0"/>
          <w:bCs/>
        </w:rPr>
        <w:t xml:space="preserve">  </w:t>
      </w:r>
      <w:r>
        <w:rPr>
          <w:b w:val="0"/>
          <w:bCs/>
        </w:rPr>
        <w:t xml:space="preserve">Such </w:t>
      </w:r>
      <w:proofErr w:type="gramStart"/>
      <w:r>
        <w:rPr>
          <w:b w:val="0"/>
          <w:bCs/>
        </w:rPr>
        <w:t>condition</w:t>
      </w:r>
      <w:proofErr w:type="gramEnd"/>
      <w:r>
        <w:rPr>
          <w:b w:val="0"/>
          <w:bCs/>
        </w:rPr>
        <w:t xml:space="preserve"> would not exist except as the result of unreasonable acts by [mother], </w:t>
      </w:r>
      <w:r>
        <w:rPr>
          <w:b w:val="0"/>
          <w:bCs/>
        </w:rPr>
        <w:lastRenderedPageBreak/>
        <w:t>placing the chi</w:t>
      </w:r>
      <w:r>
        <w:rPr>
          <w:b w:val="0"/>
          <w:bCs/>
        </w:rPr>
        <w:t>l</w:t>
      </w:r>
      <w:r>
        <w:rPr>
          <w:b w:val="0"/>
          <w:bCs/>
        </w:rPr>
        <w:t xml:space="preserve">d at risk of physical harm and damage.  </w:t>
      </w:r>
      <w:r>
        <w:rPr>
          <w:b w:val="0"/>
          <w:bCs/>
        </w:rPr>
        <w:t>The mother’s substance abuse endangers the child’s physical health and safety and places the child at risk of serious physical harm, damage, and danger.”</w:t>
      </w:r>
    </w:p>
    <w:p w14:paraId="0EA9A38B" w14:textId="77777777" w:rsidR="00B21D78" w:rsidRDefault="00B21D78" w:rsidP="006E75AE">
      <w:pPr>
        <w:ind w:firstLine="720"/>
      </w:pPr>
      <w:r>
        <w:t>As DCFS asserts on appeal, several</w:t>
      </w:r>
      <w:r w:rsidRPr="00391C1A">
        <w:t xml:space="preserve"> courts have concluded that a newborn’s positive toxicology for drugs is evidence that supports a jurisdictional finding.  (See e.g., </w:t>
      </w:r>
      <w:r w:rsidRPr="00391C1A">
        <w:rPr>
          <w:i/>
          <w:iCs/>
        </w:rPr>
        <w:t>In re Christopher R.</w:t>
      </w:r>
      <w:r w:rsidRPr="00391C1A">
        <w:t xml:space="preserve"> (2014) 225 Cal.App.4</w:t>
      </w:r>
      <w:r w:rsidRPr="002F1ADC">
        <w:t>th</w:t>
      </w:r>
      <w:r w:rsidRPr="00391C1A">
        <w:t xml:space="preserve"> 1210, 1217</w:t>
      </w:r>
      <w:r>
        <w:t xml:space="preserve"> (</w:t>
      </w:r>
      <w:r>
        <w:rPr>
          <w:i/>
          <w:iCs/>
        </w:rPr>
        <w:t>Christopher R.</w:t>
      </w:r>
      <w:r>
        <w:t>)</w:t>
      </w:r>
      <w:r w:rsidRPr="00391C1A">
        <w:t xml:space="preserve">, </w:t>
      </w:r>
      <w:r w:rsidRPr="000C0490">
        <w:t>disapproved</w:t>
      </w:r>
      <w:r w:rsidRPr="00391C1A">
        <w:t xml:space="preserve"> of on another ground </w:t>
      </w:r>
      <w:r>
        <w:t>in</w:t>
      </w:r>
      <w:r w:rsidRPr="00391C1A">
        <w:t xml:space="preserve"> </w:t>
      </w:r>
      <w:r>
        <w:rPr>
          <w:i/>
          <w:iCs/>
        </w:rPr>
        <w:t xml:space="preserve">In re </w:t>
      </w:r>
      <w:r w:rsidRPr="00391C1A">
        <w:rPr>
          <w:i/>
          <w:iCs/>
        </w:rPr>
        <w:t>N.R.</w:t>
      </w:r>
      <w:r w:rsidRPr="00F65C9B">
        <w:t>,</w:t>
      </w:r>
      <w:r w:rsidRPr="00391C1A">
        <w:rPr>
          <w:i/>
          <w:iCs/>
        </w:rPr>
        <w:t xml:space="preserve"> supra</w:t>
      </w:r>
      <w:r w:rsidRPr="00F65C9B">
        <w:t>,</w:t>
      </w:r>
      <w:r w:rsidRPr="00391C1A">
        <w:t xml:space="preserve"> 15 Cal.5</w:t>
      </w:r>
      <w:r w:rsidRPr="00A32646">
        <w:t>th</w:t>
      </w:r>
      <w:r w:rsidRPr="00391C1A">
        <w:t xml:space="preserve"> at p.</w:t>
      </w:r>
      <w:r>
        <w:t> </w:t>
      </w:r>
      <w:r w:rsidRPr="00391C1A">
        <w:t>560, fn.</w:t>
      </w:r>
      <w:r>
        <w:t> </w:t>
      </w:r>
      <w:r w:rsidRPr="00391C1A">
        <w:t>18 [mother’s drug use while pregnant “unquestionably” endangered health and safety of unborn child; mother’s drug use during pregnancy combined with history of drug use and failure to treat problem justified dependency jurisdiction]</w:t>
      </w:r>
      <w:r>
        <w:t xml:space="preserve">; </w:t>
      </w:r>
      <w:r w:rsidRPr="00391C1A">
        <w:rPr>
          <w:i/>
          <w:iCs/>
        </w:rPr>
        <w:t>In re Mon</w:t>
      </w:r>
      <w:r>
        <w:rPr>
          <w:i/>
          <w:iCs/>
        </w:rPr>
        <w:t>iq</w:t>
      </w:r>
      <w:r w:rsidRPr="00391C1A">
        <w:rPr>
          <w:i/>
          <w:iCs/>
        </w:rPr>
        <w:t>ue T.</w:t>
      </w:r>
      <w:r w:rsidRPr="00391C1A">
        <w:t xml:space="preserve"> (1992) 2 Cal.App.4</w:t>
      </w:r>
      <w:r w:rsidRPr="00A32646">
        <w:t>th</w:t>
      </w:r>
      <w:r w:rsidRPr="00391C1A">
        <w:t xml:space="preserve"> 1372</w:t>
      </w:r>
      <w:r>
        <w:t xml:space="preserve"> (</w:t>
      </w:r>
      <w:r>
        <w:rPr>
          <w:i/>
          <w:iCs/>
        </w:rPr>
        <w:t>Monique T.</w:t>
      </w:r>
      <w:r>
        <w:t>)</w:t>
      </w:r>
      <w:r>
        <w:t xml:space="preserve">; </w:t>
      </w:r>
      <w:r w:rsidRPr="00391C1A">
        <w:rPr>
          <w:i/>
          <w:iCs/>
        </w:rPr>
        <w:t>In re Stephen W.</w:t>
      </w:r>
      <w:r w:rsidRPr="00391C1A">
        <w:t xml:space="preserve"> (1990) 221 Cal.App.3d 629</w:t>
      </w:r>
      <w:r>
        <w:t xml:space="preserve"> (</w:t>
      </w:r>
      <w:r>
        <w:rPr>
          <w:i/>
          <w:iCs/>
        </w:rPr>
        <w:t>Stephen W.</w:t>
      </w:r>
      <w:r>
        <w:t>)</w:t>
      </w:r>
      <w:r>
        <w:t xml:space="preserve">; </w:t>
      </w:r>
      <w:r w:rsidRPr="00391C1A">
        <w:rPr>
          <w:i/>
          <w:iCs/>
        </w:rPr>
        <w:t>In re Troy D.</w:t>
      </w:r>
      <w:r w:rsidRPr="00391C1A">
        <w:t xml:space="preserve"> (1989) 215 Cal.App.3d 889</w:t>
      </w:r>
      <w:r>
        <w:t xml:space="preserve"> (</w:t>
      </w:r>
      <w:r>
        <w:rPr>
          <w:i/>
          <w:iCs/>
        </w:rPr>
        <w:t>Troy D.</w:t>
      </w:r>
      <w:r>
        <w:t>)</w:t>
      </w:r>
      <w:r>
        <w:t>.)</w:t>
      </w:r>
      <w:r>
        <w:rPr>
          <w:rStyle w:val="FootnoteReference"/>
        </w:rPr>
        <w:footnoteReference w:id="6"/>
      </w:r>
    </w:p>
    <w:p w14:paraId="1CF3B36F" w14:textId="77777777" w:rsidR="00B21D78" w:rsidRPr="001517B4" w:rsidRDefault="00B21D78" w:rsidP="006E75AE">
      <w:pPr>
        <w:ind w:firstLine="720"/>
      </w:pPr>
      <w:r w:rsidRPr="00391C1A">
        <w:t>Indeed, some courts, relying on section 355.1, subdivision</w:t>
      </w:r>
      <w:r>
        <w:t> </w:t>
      </w:r>
      <w:r w:rsidRPr="00391C1A">
        <w:t xml:space="preserve">(a), have concluded a newborn’s positive toxicology screen at birth creates a legal presumption that the child is a </w:t>
      </w:r>
      <w:r w:rsidRPr="00391C1A">
        <w:lastRenderedPageBreak/>
        <w:t>person described by section 300, subdivision (b).</w:t>
      </w:r>
      <w:r>
        <w:t xml:space="preserve">  (</w:t>
      </w:r>
      <w:r w:rsidRPr="00391C1A">
        <w:rPr>
          <w:i/>
          <w:iCs/>
        </w:rPr>
        <w:t>Mon</w:t>
      </w:r>
      <w:r>
        <w:rPr>
          <w:i/>
          <w:iCs/>
        </w:rPr>
        <w:t>iq</w:t>
      </w:r>
      <w:r w:rsidRPr="00391C1A">
        <w:rPr>
          <w:i/>
          <w:iCs/>
        </w:rPr>
        <w:t>ue T.</w:t>
      </w:r>
      <w:r w:rsidRPr="00E33024">
        <w:t>,</w:t>
      </w:r>
      <w:r>
        <w:rPr>
          <w:i/>
          <w:iCs/>
        </w:rPr>
        <w:t xml:space="preserve"> supra</w:t>
      </w:r>
      <w:r w:rsidRPr="00E33024">
        <w:t>,</w:t>
      </w:r>
      <w:r w:rsidRPr="00391C1A">
        <w:t xml:space="preserve"> 2 Cal.App.4</w:t>
      </w:r>
      <w:r w:rsidRPr="00C06B3E">
        <w:t xml:space="preserve">th </w:t>
      </w:r>
      <w:r>
        <w:t xml:space="preserve">at p. 1378; </w:t>
      </w:r>
      <w:r w:rsidRPr="00391C1A">
        <w:rPr>
          <w:i/>
          <w:iCs/>
        </w:rPr>
        <w:t>Stephen W.</w:t>
      </w:r>
      <w:r w:rsidRPr="00E33024">
        <w:t>,</w:t>
      </w:r>
      <w:r>
        <w:rPr>
          <w:i/>
          <w:iCs/>
        </w:rPr>
        <w:t xml:space="preserve"> supra</w:t>
      </w:r>
      <w:r w:rsidRPr="00E33024">
        <w:t>,</w:t>
      </w:r>
      <w:r w:rsidRPr="00391C1A">
        <w:t xml:space="preserve"> 221 Cal.App.3d</w:t>
      </w:r>
      <w:r>
        <w:t xml:space="preserve"> at pp. 638</w:t>
      </w:r>
      <w:r>
        <w:t>–</w:t>
      </w:r>
      <w:r>
        <w:t>639;</w:t>
      </w:r>
      <w:r>
        <w:rPr>
          <w:i/>
          <w:iCs/>
        </w:rPr>
        <w:t xml:space="preserve"> Troy D.</w:t>
      </w:r>
      <w:r w:rsidRPr="00E33024">
        <w:t>,</w:t>
      </w:r>
      <w:r>
        <w:rPr>
          <w:i/>
          <w:iCs/>
        </w:rPr>
        <w:t xml:space="preserve"> supra</w:t>
      </w:r>
      <w:r w:rsidRPr="00E33024">
        <w:t>,</w:t>
      </w:r>
      <w:r>
        <w:t xml:space="preserve"> 215 Cal.App.3d at p.</w:t>
      </w:r>
      <w:r>
        <w:t> </w:t>
      </w:r>
      <w:r>
        <w:t>897.)  While DCFS has not expressly invoked section</w:t>
      </w:r>
      <w:r>
        <w:t> </w:t>
      </w:r>
      <w:r>
        <w:t>355.1</w:t>
      </w:r>
      <w:r>
        <w:t>, subdivision (a)</w:t>
      </w:r>
      <w:r>
        <w:t xml:space="preserve"> in this case, the petition’s allegation as to C.D. </w:t>
      </w:r>
      <w:r>
        <w:t>incorporate</w:t>
      </w:r>
      <w:r>
        <w:t>s</w:t>
      </w:r>
      <w:r>
        <w:t xml:space="preserve"> portions of </w:t>
      </w:r>
      <w:r>
        <w:t xml:space="preserve">the provision’s language: “Where the </w:t>
      </w:r>
      <w:r w:rsidRPr="00391C1A">
        <w:t>court finds, based upon competent professional evidence, that an injury, injuries, or detrimental condition sustained by a minor is of a nature as would ordinarily not be sustained except as the result of the unreasonable or neglectful acts or omissions o</w:t>
      </w:r>
      <w:r w:rsidRPr="00391C1A">
        <w:t>f either parent</w:t>
      </w:r>
      <w:r>
        <w:t>,</w:t>
      </w:r>
      <w:r>
        <w:t xml:space="preserve"> . . .</w:t>
      </w:r>
      <w:r w:rsidRPr="00391C1A">
        <w:t xml:space="preserve"> that finding shall be prima facie evidence that the minor is a person described by subdivision (a), (b), or (d) of Section 300.</w:t>
      </w:r>
      <w:r>
        <w:t>”</w:t>
      </w:r>
      <w:r>
        <w:t xml:space="preserve">  (</w:t>
      </w:r>
      <w:r>
        <w:t xml:space="preserve">See </w:t>
      </w:r>
      <w:r>
        <w:rPr>
          <w:i/>
          <w:iCs/>
        </w:rPr>
        <w:t>In re D.P.</w:t>
      </w:r>
      <w:r>
        <w:t xml:space="preserve"> </w:t>
      </w:r>
      <w:r>
        <w:t>(2014) 225 Cal.App.4</w:t>
      </w:r>
      <w:r w:rsidRPr="00167C0D">
        <w:t xml:space="preserve">th </w:t>
      </w:r>
      <w:r>
        <w:t>898, 904 [agency provides adequate notice that it will rely on section</w:t>
      </w:r>
      <w:r>
        <w:t> </w:t>
      </w:r>
      <w:r>
        <w:t>355.1 presumption by borrowing its language in the petition].)</w:t>
      </w:r>
    </w:p>
    <w:p w14:paraId="4C377C0B" w14:textId="77777777" w:rsidR="00B21D78" w:rsidRDefault="00B21D78" w:rsidP="00C87581">
      <w:pPr>
        <w:ind w:firstLine="720"/>
      </w:pPr>
      <w:r>
        <w:t xml:space="preserve">We conclude, however, that </w:t>
      </w:r>
      <w:r>
        <w:t xml:space="preserve">the evidence </w:t>
      </w:r>
      <w:r>
        <w:t xml:space="preserve">was insufficient for </w:t>
      </w:r>
      <w:r>
        <w:t xml:space="preserve">DCFS to </w:t>
      </w:r>
      <w:r>
        <w:t>rely on</w:t>
      </w:r>
      <w:r>
        <w:t xml:space="preserve"> the </w:t>
      </w:r>
      <w:r>
        <w:t>section 355.1, subdivision</w:t>
      </w:r>
      <w:r>
        <w:t> </w:t>
      </w:r>
      <w:r>
        <w:t xml:space="preserve">(a) </w:t>
      </w:r>
      <w:r>
        <w:t>presumption</w:t>
      </w:r>
      <w:r>
        <w:t xml:space="preserve"> in this case</w:t>
      </w:r>
      <w:r>
        <w:t>.</w:t>
      </w:r>
      <w:r>
        <w:t xml:space="preserve">  </w:t>
      </w:r>
      <w:r>
        <w:t xml:space="preserve">It </w:t>
      </w:r>
      <w:r>
        <w:t>was undisputed that</w:t>
      </w:r>
      <w:r>
        <w:t>, despite</w:t>
      </w:r>
      <w:r>
        <w:t xml:space="preserve"> </w:t>
      </w:r>
      <w:r>
        <w:t>the positive toxicology from C.D.’s meconium</w:t>
      </w:r>
      <w:r>
        <w:t>, C.D.</w:t>
      </w:r>
      <w:r>
        <w:t xml:space="preserve"> </w:t>
      </w:r>
      <w:r>
        <w:t>did not suffer</w:t>
      </w:r>
      <w:r>
        <w:t xml:space="preserve"> any </w:t>
      </w:r>
      <w:r>
        <w:t xml:space="preserve">apparent adverse </w:t>
      </w:r>
      <w:r>
        <w:t xml:space="preserve">physical </w:t>
      </w:r>
      <w:r>
        <w:t>symptoms of prenatal drug exposure</w:t>
      </w:r>
      <w:r>
        <w:t xml:space="preserve">.  </w:t>
      </w:r>
      <w:r>
        <w:t>H</w:t>
      </w:r>
      <w:r>
        <w:t xml:space="preserve">e </w:t>
      </w:r>
      <w:r>
        <w:t xml:space="preserve">did not </w:t>
      </w:r>
      <w:r>
        <w:t xml:space="preserve">experience symptoms of </w:t>
      </w:r>
      <w:r>
        <w:t xml:space="preserve">drug </w:t>
      </w:r>
      <w:r>
        <w:t xml:space="preserve">withdrawal.  There was no evidence that he was premature, underweight, </w:t>
      </w:r>
      <w:r>
        <w:t xml:space="preserve">or unhealthy in any way.  Although the evidence indicated mother had taken a drug that was not prescribed for her, it was </w:t>
      </w:r>
      <w:r>
        <w:t xml:space="preserve">also </w:t>
      </w:r>
      <w:r>
        <w:t xml:space="preserve">undisputed that </w:t>
      </w:r>
      <w:r>
        <w:t>the drugs in her system</w:t>
      </w:r>
      <w:r>
        <w:t>,</w:t>
      </w:r>
      <w:r>
        <w:t xml:space="preserve"> and that showed up in C.D.’s meconium</w:t>
      </w:r>
      <w:r>
        <w:t>,</w:t>
      </w:r>
      <w:r>
        <w:t xml:space="preserve"> were prescription drugs, not categorically illegal narcotics.</w:t>
      </w:r>
      <w:r>
        <w:t xml:space="preserve">  The lab technician who provided the only </w:t>
      </w:r>
      <w:r>
        <w:t>“professional” evidence</w:t>
      </w:r>
      <w:r>
        <w:t>,</w:t>
      </w:r>
      <w:r>
        <w:t xml:space="preserve"> indicated the levels of the drugs in C.D.’s meconium </w:t>
      </w:r>
      <w:proofErr w:type="gramStart"/>
      <w:r>
        <w:t>were</w:t>
      </w:r>
      <w:proofErr w:type="gramEnd"/>
      <w:r>
        <w:t xml:space="preserve"> “low”</w:t>
      </w:r>
      <w:r>
        <w:t xml:space="preserve"> and consistent with </w:t>
      </w:r>
      <w:r>
        <w:t>mother’s</w:t>
      </w:r>
      <w:r>
        <w:t xml:space="preserve"> one-time use</w:t>
      </w:r>
      <w:r>
        <w:t xml:space="preserve"> of pain medication.</w:t>
      </w:r>
      <w:r>
        <w:t xml:space="preserve">  There was no </w:t>
      </w:r>
      <w:r>
        <w:t>“</w:t>
      </w:r>
      <w:r>
        <w:t>competent professional evidence</w:t>
      </w:r>
      <w:r>
        <w:t>”</w:t>
      </w:r>
      <w:r>
        <w:t xml:space="preserve"> that mother </w:t>
      </w:r>
      <w:r>
        <w:lastRenderedPageBreak/>
        <w:t xml:space="preserve">taking </w:t>
      </w:r>
      <w:r>
        <w:t>prescription pain</w:t>
      </w:r>
      <w:r>
        <w:t xml:space="preserve"> medicine during pregnancy</w:t>
      </w:r>
      <w:r>
        <w:t xml:space="preserve"> was </w:t>
      </w:r>
      <w:r>
        <w:t xml:space="preserve">unreasonable, or that C.D.’s birth with </w:t>
      </w:r>
      <w:r>
        <w:t>those drugs in his meconium</w:t>
      </w:r>
      <w:r>
        <w:t xml:space="preserve"> was in fact a detrimental condition.</w:t>
      </w:r>
    </w:p>
    <w:p w14:paraId="079EA038" w14:textId="77777777" w:rsidR="00B21D78" w:rsidRDefault="00B21D78" w:rsidP="00C87581">
      <w:pPr>
        <w:ind w:firstLine="720"/>
      </w:pPr>
      <w:r>
        <w:t>Moreover, e</w:t>
      </w:r>
      <w:r>
        <w:t>ven if</w:t>
      </w:r>
      <w:r>
        <w:t xml:space="preserve"> the juvenile court </w:t>
      </w:r>
      <w:r>
        <w:t xml:space="preserve">did not rely </w:t>
      </w:r>
      <w:r>
        <w:t>on the presumption</w:t>
      </w:r>
      <w:r>
        <w:t xml:space="preserve"> and </w:t>
      </w:r>
      <w:r>
        <w:t>instead considered the totality of the evidence,</w:t>
      </w:r>
      <w:r>
        <w:t xml:space="preserve"> substantial evidence did not support a finding that C.D.</w:t>
      </w:r>
      <w:r>
        <w:t xml:space="preserve">’s positive toxicology screen at birth </w:t>
      </w:r>
      <w:r>
        <w:t>alone established he</w:t>
      </w:r>
      <w:r>
        <w:t xml:space="preserve"> had suffered </w:t>
      </w:r>
      <w:r>
        <w:t xml:space="preserve">serious physical harm or illness </w:t>
      </w:r>
      <w:proofErr w:type="gramStart"/>
      <w:r>
        <w:t>as a result of</w:t>
      </w:r>
      <w:proofErr w:type="gramEnd"/>
      <w:r>
        <w:t xml:space="preserve"> </w:t>
      </w:r>
      <w:r>
        <w:t>mother’s substance abuse.</w:t>
      </w:r>
      <w:r>
        <w:t xml:space="preserve">  There was no evidence that </w:t>
      </w:r>
      <w:r>
        <w:t xml:space="preserve">the presence of </w:t>
      </w:r>
      <w:r>
        <w:t xml:space="preserve">a low level of </w:t>
      </w:r>
      <w:r>
        <w:t xml:space="preserve">an opioid substance </w:t>
      </w:r>
      <w:r>
        <w:t>consistent with a one-time use of prescription pain medication by mother</w:t>
      </w:r>
      <w:r>
        <w:t xml:space="preserve"> constituted serious physical harm or illness.  Aside from the positive toxicology screen, there was no evidence </w:t>
      </w:r>
      <w:r>
        <w:t>that C.D. experienced any medical problems or concerns at birth or after.</w:t>
      </w:r>
    </w:p>
    <w:p w14:paraId="6B753F3C" w14:textId="77777777" w:rsidR="00B21D78" w:rsidRDefault="00B21D78" w:rsidP="00C87581">
      <w:pPr>
        <w:ind w:firstLine="720"/>
      </w:pPr>
      <w:r>
        <w:t xml:space="preserve">On appeal, DCFS </w:t>
      </w:r>
      <w:r>
        <w:t xml:space="preserve">attempts to rely on </w:t>
      </w:r>
      <w:r>
        <w:rPr>
          <w:i/>
          <w:iCs/>
        </w:rPr>
        <w:t>Troy D.</w:t>
      </w:r>
      <w:r>
        <w:t xml:space="preserve"> and </w:t>
      </w:r>
      <w:r>
        <w:rPr>
          <w:i/>
          <w:iCs/>
        </w:rPr>
        <w:t>Stephen W.</w:t>
      </w:r>
      <w:r>
        <w:t xml:space="preserve"> </w:t>
      </w:r>
      <w:r>
        <w:t xml:space="preserve">by asserting that neither case held that evidence </w:t>
      </w:r>
      <w:r>
        <w:t xml:space="preserve">of addiction and withdrawal symptoms </w:t>
      </w:r>
      <w:r>
        <w:t>i</w:t>
      </w:r>
      <w:r>
        <w:t xml:space="preserve">s </w:t>
      </w:r>
      <w:r w:rsidRPr="00675A9F">
        <w:rPr>
          <w:i/>
          <w:iCs/>
        </w:rPr>
        <w:t>necessary</w:t>
      </w:r>
      <w:r>
        <w:t xml:space="preserve"> to support a finding of jurisdiction based on a newborn’s </w:t>
      </w:r>
      <w:r>
        <w:t xml:space="preserve">positive </w:t>
      </w:r>
      <w:r>
        <w:t>toxicology screen.</w:t>
      </w:r>
      <w:r>
        <w:t xml:space="preserve">  </w:t>
      </w:r>
      <w:r>
        <w:t xml:space="preserve">DCFS thus suggests a positive toxicology screen at birth alone may be enough to support </w:t>
      </w:r>
      <w:r>
        <w:t>a jurisdictional finding.  Neither case supports DCFS’s argument.</w:t>
      </w:r>
    </w:p>
    <w:p w14:paraId="0C07D829" w14:textId="77777777" w:rsidR="00B21D78" w:rsidRPr="00972B7E" w:rsidRDefault="00B21D78" w:rsidP="009A7889">
      <w:pPr>
        <w:ind w:firstLine="720"/>
      </w:pPr>
      <w:r>
        <w:t>In both</w:t>
      </w:r>
      <w:r>
        <w:rPr>
          <w:i/>
          <w:iCs/>
        </w:rPr>
        <w:t xml:space="preserve"> Troy D.</w:t>
      </w:r>
      <w:r>
        <w:t xml:space="preserve"> and </w:t>
      </w:r>
      <w:r>
        <w:rPr>
          <w:i/>
          <w:iCs/>
        </w:rPr>
        <w:t>Stephen W.</w:t>
      </w:r>
      <w:r>
        <w:t xml:space="preserve">, </w:t>
      </w:r>
      <w:r>
        <w:t xml:space="preserve">the children were born </w:t>
      </w:r>
      <w:r>
        <w:t>testing</w:t>
      </w:r>
      <w:r>
        <w:t xml:space="preserve"> positive for “dangerous,” </w:t>
      </w:r>
      <w:r>
        <w:t xml:space="preserve">illegal drugs.  </w:t>
      </w:r>
      <w:r>
        <w:t>(</w:t>
      </w:r>
      <w:r>
        <w:rPr>
          <w:i/>
          <w:iCs/>
        </w:rPr>
        <w:t>Stephen W.</w:t>
      </w:r>
      <w:r w:rsidRPr="009727F4">
        <w:t>,</w:t>
      </w:r>
      <w:r>
        <w:rPr>
          <w:i/>
          <w:iCs/>
        </w:rPr>
        <w:t xml:space="preserve"> supra</w:t>
      </w:r>
      <w:r w:rsidRPr="009727F4">
        <w:t xml:space="preserve">, </w:t>
      </w:r>
      <w:r>
        <w:t xml:space="preserve">221 Cal.App.3d at p. </w:t>
      </w:r>
      <w:r>
        <w:t>634 [minor positive for opiates and mother admitted heroin use</w:t>
      </w:r>
      <w:r>
        <w:t xml:space="preserve"> prior to the birth];</w:t>
      </w:r>
      <w:r>
        <w:t xml:space="preserve"> </w:t>
      </w:r>
      <w:r>
        <w:rPr>
          <w:i/>
          <w:iCs/>
        </w:rPr>
        <w:t>Troy D.</w:t>
      </w:r>
      <w:r w:rsidRPr="009727F4">
        <w:t>,</w:t>
      </w:r>
      <w:r>
        <w:rPr>
          <w:i/>
          <w:iCs/>
        </w:rPr>
        <w:t xml:space="preserve"> supra</w:t>
      </w:r>
      <w:r w:rsidRPr="009727F4">
        <w:t>,</w:t>
      </w:r>
      <w:r w:rsidRPr="009727F4">
        <w:t xml:space="preserve"> </w:t>
      </w:r>
      <w:r>
        <w:t xml:space="preserve">215 Cal.App.3d </w:t>
      </w:r>
      <w:r>
        <w:t>at p. 895 [minor born positive for amphetamines and opiates]</w:t>
      </w:r>
      <w:r>
        <w:t>.)</w:t>
      </w:r>
      <w:r>
        <w:rPr>
          <w:i/>
          <w:iCs/>
        </w:rPr>
        <w:t xml:space="preserve"> </w:t>
      </w:r>
      <w:r>
        <w:rPr>
          <w:i/>
          <w:iCs/>
        </w:rPr>
        <w:t xml:space="preserve"> </w:t>
      </w:r>
      <w:r>
        <w:t xml:space="preserve">In both cases, the record included testimony from doctors about the effects of </w:t>
      </w:r>
      <w:r>
        <w:t>prenatal drug use, both in general and on the children in question.</w:t>
      </w:r>
      <w:r>
        <w:t xml:space="preserve">  (</w:t>
      </w:r>
      <w:r>
        <w:rPr>
          <w:i/>
          <w:iCs/>
        </w:rPr>
        <w:t>Stephen W.</w:t>
      </w:r>
      <w:r w:rsidRPr="009727F4">
        <w:t>,</w:t>
      </w:r>
      <w:r>
        <w:rPr>
          <w:i/>
          <w:iCs/>
        </w:rPr>
        <w:t xml:space="preserve"> </w:t>
      </w:r>
      <w:r>
        <w:t>at pp. 642</w:t>
      </w:r>
      <w:r>
        <w:t>–</w:t>
      </w:r>
      <w:r>
        <w:t xml:space="preserve">643; </w:t>
      </w:r>
      <w:r>
        <w:rPr>
          <w:i/>
          <w:iCs/>
        </w:rPr>
        <w:t>Troy D.</w:t>
      </w:r>
      <w:r w:rsidRPr="009727F4">
        <w:t>,</w:t>
      </w:r>
      <w:r>
        <w:t xml:space="preserve"> at p. </w:t>
      </w:r>
      <w:r>
        <w:t>904.)</w:t>
      </w:r>
      <w:r>
        <w:t xml:space="preserve"> </w:t>
      </w:r>
      <w:r>
        <w:t xml:space="preserve"> And, in both cases, </w:t>
      </w:r>
      <w:r>
        <w:t xml:space="preserve">the children were suffering </w:t>
      </w:r>
      <w:r>
        <w:lastRenderedPageBreak/>
        <w:t xml:space="preserve">demonstrable negative </w:t>
      </w:r>
      <w:r>
        <w:t xml:space="preserve">physical </w:t>
      </w:r>
      <w:r>
        <w:t>effects</w:t>
      </w:r>
      <w:r>
        <w:t xml:space="preserve"> connected to </w:t>
      </w:r>
      <w:r>
        <w:t>the</w:t>
      </w:r>
      <w:r>
        <w:t>ir</w:t>
      </w:r>
      <w:r>
        <w:t xml:space="preserve"> mothers</w:t>
      </w:r>
      <w:r>
        <w:t>’</w:t>
      </w:r>
      <w:r>
        <w:t xml:space="preserve"> prenatal drug use.</w:t>
      </w:r>
      <w:r>
        <w:t xml:space="preserve"> </w:t>
      </w:r>
      <w:r>
        <w:t xml:space="preserve"> </w:t>
      </w:r>
      <w:r>
        <w:t>(</w:t>
      </w:r>
      <w:r>
        <w:rPr>
          <w:i/>
          <w:iCs/>
        </w:rPr>
        <w:t>Stephen W.</w:t>
      </w:r>
      <w:r w:rsidRPr="009727F4">
        <w:t>,</w:t>
      </w:r>
      <w:r>
        <w:t xml:space="preserve"> at p. </w:t>
      </w:r>
      <w:r>
        <w:t>642</w:t>
      </w:r>
      <w:r>
        <w:t xml:space="preserve">; </w:t>
      </w:r>
      <w:r>
        <w:rPr>
          <w:i/>
          <w:iCs/>
        </w:rPr>
        <w:t>Troy D.</w:t>
      </w:r>
      <w:r w:rsidRPr="009727F4">
        <w:t>,</w:t>
      </w:r>
      <w:r>
        <w:t xml:space="preserve"> at p.</w:t>
      </w:r>
      <w:r>
        <w:t> </w:t>
      </w:r>
      <w:r>
        <w:t>904.)</w:t>
      </w:r>
      <w:r>
        <w:t xml:space="preserve"> </w:t>
      </w:r>
      <w:r>
        <w:t xml:space="preserve"> </w:t>
      </w:r>
      <w:r>
        <w:t>Neither court had occasion to decide whether the</w:t>
      </w:r>
      <w:r>
        <w:t xml:space="preserve"> section </w:t>
      </w:r>
      <w:r>
        <w:t>355.1, subdivision (a) presumption would apply</w:t>
      </w:r>
      <w:r>
        <w:t xml:space="preserve">, or whether there would be </w:t>
      </w:r>
      <w:r>
        <w:t>substantial evidence to support jurisdiction,</w:t>
      </w:r>
      <w:r>
        <w:t xml:space="preserve"> in the absence of competent professional </w:t>
      </w:r>
      <w:r>
        <w:t>evidence</w:t>
      </w:r>
      <w:r>
        <w:t xml:space="preserve"> about the dangerousness of the drugs or the effects of those drugs on the </w:t>
      </w:r>
      <w:r>
        <w:t>child, or in the absence of evidence of physical harm.</w:t>
      </w:r>
      <w:r>
        <w:t xml:space="preserve">  (</w:t>
      </w:r>
      <w:r>
        <w:rPr>
          <w:i/>
          <w:iCs/>
        </w:rPr>
        <w:t>People v. Ault</w:t>
      </w:r>
      <w:r>
        <w:t xml:space="preserve"> (2004) 33 Cal.4th </w:t>
      </w:r>
      <w:r>
        <w:t>1250, 1268, fn. 10 [cases are not authority for propositions not considered].)</w:t>
      </w:r>
    </w:p>
    <w:p w14:paraId="23FC5E02" w14:textId="77777777" w:rsidR="00B21D78" w:rsidRDefault="00B21D78" w:rsidP="00C87581">
      <w:pPr>
        <w:ind w:firstLine="720"/>
      </w:pPr>
      <w:r>
        <w:t xml:space="preserve">Similarly, in </w:t>
      </w:r>
      <w:r>
        <w:rPr>
          <w:i/>
          <w:iCs/>
        </w:rPr>
        <w:t>Christopher R.</w:t>
      </w:r>
      <w:r>
        <w:t>,</w:t>
      </w:r>
      <w:r>
        <w:t xml:space="preserve"> </w:t>
      </w:r>
      <w:r>
        <w:t xml:space="preserve">the court indicated </w:t>
      </w:r>
      <w:r>
        <w:t xml:space="preserve">the mother’s use of “cocaine (and, based on the positive toxicology screen for [the youngest minor] </w:t>
      </w:r>
      <w:r>
        <w:t>at birth, amphetamine and methamphetamine) while she was pregnant, unquestionably endanger</w:t>
      </w:r>
      <w:r>
        <w:t>[ed]</w:t>
      </w:r>
      <w:r>
        <w:t xml:space="preserve"> the health and safety of her unborn child.</w:t>
      </w:r>
      <w:r>
        <w:t xml:space="preserve">”  </w:t>
      </w:r>
      <w:r w:rsidRPr="004D0AC6">
        <w:t>(</w:t>
      </w:r>
      <w:r>
        <w:rPr>
          <w:i/>
          <w:iCs/>
        </w:rPr>
        <w:t>Christopher R</w:t>
      </w:r>
      <w:r w:rsidRPr="00983455">
        <w:rPr>
          <w:i/>
          <w:iCs/>
        </w:rPr>
        <w:t>.</w:t>
      </w:r>
      <w:r w:rsidRPr="009F2E79">
        <w:t>,</w:t>
      </w:r>
      <w:r>
        <w:t xml:space="preserve"> </w:t>
      </w:r>
      <w:r w:rsidRPr="009F2E79">
        <w:rPr>
          <w:i/>
          <w:iCs/>
        </w:rPr>
        <w:t>supra</w:t>
      </w:r>
      <w:r>
        <w:t xml:space="preserve">, </w:t>
      </w:r>
      <w:r>
        <w:t>225 Cal.App.4</w:t>
      </w:r>
      <w:r w:rsidRPr="009F2E79">
        <w:t>th</w:t>
      </w:r>
      <w:r>
        <w:t xml:space="preserve"> at p. 1217.)  However, the mother conceded dependency jurisdiction was proper as to the child who was born with a positive toxicology screen for cocaine and “other illicit drugs.”  She contested t</w:t>
      </w:r>
      <w:r>
        <w:t>he court’s jurisdictional findings only as to her older children.  (</w:t>
      </w:r>
      <w:r>
        <w:rPr>
          <w:i/>
          <w:iCs/>
        </w:rPr>
        <w:t>Id</w:t>
      </w:r>
      <w:r w:rsidRPr="00950853">
        <w:t>.</w:t>
      </w:r>
      <w:r>
        <w:t xml:space="preserve"> at p. 121</w:t>
      </w:r>
      <w:r>
        <w:t>5</w:t>
      </w:r>
      <w:r>
        <w:t>.)</w:t>
      </w:r>
      <w:r>
        <w:t xml:space="preserve">  T</w:t>
      </w:r>
      <w:r>
        <w:t xml:space="preserve">he court </w:t>
      </w:r>
      <w:r>
        <w:t xml:space="preserve">therefore </w:t>
      </w:r>
      <w:r>
        <w:t xml:space="preserve">did not consider </w:t>
      </w:r>
      <w:r>
        <w:t xml:space="preserve">the circumstances under which </w:t>
      </w:r>
      <w:r>
        <w:t>the section</w:t>
      </w:r>
      <w:r>
        <w:t> </w:t>
      </w:r>
      <w:r>
        <w:t>355.1, subdivision (a) presumption would apply</w:t>
      </w:r>
      <w:r>
        <w:t xml:space="preserve">, or whether </w:t>
      </w:r>
      <w:r>
        <w:t>evidence of positive toxicology</w:t>
      </w:r>
      <w:r>
        <w:t xml:space="preserve"> at birth</w:t>
      </w:r>
      <w:r>
        <w:t xml:space="preserve"> alone is sufficient to support a jurisdictional finding.</w:t>
      </w:r>
      <w:r>
        <w:rPr>
          <w:rStyle w:val="FootnoteReference"/>
        </w:rPr>
        <w:footnoteReference w:id="7"/>
      </w:r>
      <w:r>
        <w:t xml:space="preserve">  </w:t>
      </w:r>
      <w:r>
        <w:rPr>
          <w:i/>
          <w:iCs/>
        </w:rPr>
        <w:t>Christopher R.</w:t>
      </w:r>
      <w:r>
        <w:t xml:space="preserve"> does not assist DCFS’s argument.</w:t>
      </w:r>
    </w:p>
    <w:p w14:paraId="23AF46A6" w14:textId="77777777" w:rsidR="00B21D78" w:rsidRPr="0079395F" w:rsidRDefault="00B21D78" w:rsidP="009A7889">
      <w:pPr>
        <w:ind w:firstLine="720"/>
      </w:pPr>
      <w:r>
        <w:lastRenderedPageBreak/>
        <w:t xml:space="preserve">In contrast, we find </w:t>
      </w:r>
      <w:r>
        <w:rPr>
          <w:i/>
          <w:iCs/>
        </w:rPr>
        <w:t>J.A.</w:t>
      </w:r>
      <w:r>
        <w:t xml:space="preserve">, </w:t>
      </w:r>
      <w:r w:rsidRPr="00E26E77">
        <w:rPr>
          <w:i/>
          <w:iCs/>
        </w:rPr>
        <w:t>supra</w:t>
      </w:r>
      <w:r>
        <w:t>,</w:t>
      </w:r>
      <w:r>
        <w:t xml:space="preserve"> 47 Cal.App.5th </w:t>
      </w:r>
      <w:r>
        <w:t xml:space="preserve">1036 instructive.  </w:t>
      </w:r>
      <w:r w:rsidRPr="00910734">
        <w:t>J.A.’</w:t>
      </w:r>
      <w:r>
        <w:t>s younger sibling was born wit</w:t>
      </w:r>
      <w:r>
        <w:t>h a positive toxicology screen for marijuana.  The mother also tested positive</w:t>
      </w:r>
      <w:r>
        <w:t xml:space="preserve"> and admitted she had used medical marijuana throughout her pregnancy, without informing her doctor.  (</w:t>
      </w:r>
      <w:r>
        <w:rPr>
          <w:i/>
          <w:iCs/>
        </w:rPr>
        <w:t>Id</w:t>
      </w:r>
      <w:r w:rsidRPr="00950853">
        <w:t>.</w:t>
      </w:r>
      <w:r>
        <w:t xml:space="preserve"> at p. 1038.)</w:t>
      </w:r>
      <w:r>
        <w:t xml:space="preserve">  The </w:t>
      </w:r>
      <w:r>
        <w:t xml:space="preserve">infant </w:t>
      </w:r>
      <w:r>
        <w:t xml:space="preserve">did not appear to have any developmental concerns.  A nurse explained </w:t>
      </w:r>
      <w:r>
        <w:t xml:space="preserve">that </w:t>
      </w:r>
      <w:r>
        <w:t xml:space="preserve">delays due to </w:t>
      </w:r>
      <w:proofErr w:type="gramStart"/>
      <w:r>
        <w:t>the prenatal</w:t>
      </w:r>
      <w:proofErr w:type="gramEnd"/>
      <w:r>
        <w:t xml:space="preserve"> marijuana exposure</w:t>
      </w:r>
      <w:r>
        <w:t xml:space="preserve"> could become apparent when the child was older</w:t>
      </w:r>
      <w:r>
        <w:t>.</w:t>
      </w:r>
      <w:r>
        <w:t xml:space="preserve">  </w:t>
      </w:r>
      <w:r>
        <w:t xml:space="preserve">There was no other evidence </w:t>
      </w:r>
      <w:r>
        <w:t>of actual or anticipat</w:t>
      </w:r>
      <w:r>
        <w:t xml:space="preserve">ed harm.  </w:t>
      </w:r>
      <w:r>
        <w:t xml:space="preserve">The appellate court concluded there was no evidence that </w:t>
      </w:r>
      <w:r>
        <w:t xml:space="preserve">the </w:t>
      </w:r>
      <w:r>
        <w:t xml:space="preserve">mother’s substance abuse placed </w:t>
      </w:r>
      <w:r>
        <w:t>her</w:t>
      </w:r>
      <w:r>
        <w:t xml:space="preserve"> children at substantial risk of harm</w:t>
      </w:r>
      <w:r>
        <w:t xml:space="preserve">.  As a result, </w:t>
      </w:r>
      <w:r>
        <w:t xml:space="preserve">the </w:t>
      </w:r>
      <w:r>
        <w:t xml:space="preserve">only </w:t>
      </w:r>
      <w:r>
        <w:t xml:space="preserve">possible basis for jurisdiction </w:t>
      </w:r>
      <w:r>
        <w:t xml:space="preserve">was </w:t>
      </w:r>
      <w:r>
        <w:t xml:space="preserve">the fact that the </w:t>
      </w:r>
      <w:r>
        <w:t>infant</w:t>
      </w:r>
      <w:r>
        <w:t xml:space="preserve"> tested positive for marijuana at birth.  DCFS relied on </w:t>
      </w:r>
      <w:r>
        <w:t>the section</w:t>
      </w:r>
      <w:r>
        <w:t> </w:t>
      </w:r>
      <w:r>
        <w:t xml:space="preserve">355.1 presumption, as reflected in cases such as </w:t>
      </w:r>
      <w:r>
        <w:rPr>
          <w:i/>
          <w:iCs/>
        </w:rPr>
        <w:t>Troy D.</w:t>
      </w:r>
      <w:r>
        <w:t xml:space="preserve">, to assert that </w:t>
      </w:r>
      <w:r>
        <w:t xml:space="preserve">the </w:t>
      </w:r>
      <w:r>
        <w:t xml:space="preserve">infant’s </w:t>
      </w:r>
      <w:r>
        <w:t xml:space="preserve">positive toxicology screen </w:t>
      </w:r>
      <w:r>
        <w:t xml:space="preserve">alone </w:t>
      </w:r>
      <w:r>
        <w:t>create</w:t>
      </w:r>
      <w:r>
        <w:t>d</w:t>
      </w:r>
      <w:r>
        <w:t xml:space="preserve"> a presumption that dependency jurisdiction was warranted.</w:t>
      </w:r>
    </w:p>
    <w:p w14:paraId="16361291" w14:textId="77777777" w:rsidR="00B21D78" w:rsidRDefault="00B21D78" w:rsidP="00CC6A6D">
      <w:pPr>
        <w:ind w:firstLine="720"/>
      </w:pPr>
      <w:r>
        <w:t xml:space="preserve">The </w:t>
      </w:r>
      <w:r>
        <w:rPr>
          <w:i/>
          <w:iCs/>
        </w:rPr>
        <w:t>J.A.</w:t>
      </w:r>
      <w:r>
        <w:t xml:space="preserve"> court </w:t>
      </w:r>
      <w:r>
        <w:t xml:space="preserve">concluded the presumption did not apply.  </w:t>
      </w:r>
      <w:r>
        <w:t xml:space="preserve">Referring to </w:t>
      </w:r>
      <w:r>
        <w:rPr>
          <w:i/>
          <w:iCs/>
        </w:rPr>
        <w:t>Troy D.</w:t>
      </w:r>
      <w:r>
        <w:t>, t</w:t>
      </w:r>
      <w:r>
        <w:t>he court reasoned that application of the presumption “when a child is ‘diagnosed as being born under the influence of a dangerous drug,’ such as morphine and meth</w:t>
      </w:r>
      <w:r>
        <w:t>amphetamine</w:t>
      </w:r>
      <w:r>
        <w:t>,</w:t>
      </w:r>
      <w:r>
        <w:t xml:space="preserve"> is clear</w:t>
      </w:r>
      <w:proofErr w:type="gramStart"/>
      <w:r w:rsidRPr="007A6D64">
        <w:t>. .</w:t>
      </w:r>
      <w:r>
        <w:t xml:space="preserve"> . .</w:t>
      </w:r>
      <w:proofErr w:type="gramEnd"/>
      <w:r>
        <w:t xml:space="preserve"> </w:t>
      </w:r>
      <w:r>
        <w:t xml:space="preserve"> </w:t>
      </w:r>
      <w:r>
        <w:t>Being born ‘under the influence of a dangerous drug’ is obviously a ‘detrimental condition’ within the meaning of the statutory presumption</w:t>
      </w:r>
      <w:r>
        <w:t xml:space="preserve">.”  </w:t>
      </w:r>
      <w:r>
        <w:t>(</w:t>
      </w:r>
      <w:r>
        <w:rPr>
          <w:i/>
          <w:iCs/>
        </w:rPr>
        <w:t>J.A.</w:t>
      </w:r>
      <w:r w:rsidRPr="00950853">
        <w:t>,</w:t>
      </w:r>
      <w:r>
        <w:rPr>
          <w:i/>
          <w:iCs/>
        </w:rPr>
        <w:t xml:space="preserve"> supra</w:t>
      </w:r>
      <w:r w:rsidRPr="00950853">
        <w:t>,</w:t>
      </w:r>
      <w:r>
        <w:rPr>
          <w:i/>
          <w:iCs/>
        </w:rPr>
        <w:t xml:space="preserve"> </w:t>
      </w:r>
      <w:r>
        <w:t xml:space="preserve">47 Cal.App.5th at p. </w:t>
      </w:r>
      <w:r>
        <w:t>1049.)</w:t>
      </w:r>
      <w:r>
        <w:t xml:space="preserve"> </w:t>
      </w:r>
      <w:r>
        <w:t xml:space="preserve"> </w:t>
      </w:r>
      <w:r>
        <w:t>T</w:t>
      </w:r>
      <w:r>
        <w:t xml:space="preserve">he court further explained that </w:t>
      </w:r>
      <w:r>
        <w:t xml:space="preserve">the </w:t>
      </w:r>
      <w:r>
        <w:lastRenderedPageBreak/>
        <w:t>circumstances of the</w:t>
      </w:r>
      <w:r>
        <w:t xml:space="preserve"> child</w:t>
      </w:r>
      <w:r>
        <w:t>ren</w:t>
      </w:r>
      <w:r>
        <w:t>’s birth</w:t>
      </w:r>
      <w:r>
        <w:t>s</w:t>
      </w:r>
      <w:r>
        <w:t xml:space="preserve"> in </w:t>
      </w:r>
      <w:r>
        <w:rPr>
          <w:i/>
          <w:iCs/>
        </w:rPr>
        <w:t>Monique T.</w:t>
      </w:r>
      <w:r>
        <w:rPr>
          <w:i/>
          <w:iCs/>
        </w:rPr>
        <w:t xml:space="preserve"> </w:t>
      </w:r>
      <w:r>
        <w:t>a</w:t>
      </w:r>
      <w:r>
        <w:t xml:space="preserve">nd </w:t>
      </w:r>
      <w:r>
        <w:rPr>
          <w:i/>
          <w:iCs/>
        </w:rPr>
        <w:t>Christopher R</w:t>
      </w:r>
      <w:r>
        <w:rPr>
          <w:i/>
          <w:iCs/>
        </w:rPr>
        <w:t xml:space="preserve">. </w:t>
      </w:r>
      <w:r>
        <w:t>clearly r</w:t>
      </w:r>
      <w:r>
        <w:t>eflected detrimental conditions.</w:t>
      </w:r>
      <w:r>
        <w:t xml:space="preserve">  (</w:t>
      </w:r>
      <w:r>
        <w:rPr>
          <w:i/>
          <w:iCs/>
        </w:rPr>
        <w:t>I</w:t>
      </w:r>
      <w:r>
        <w:rPr>
          <w:i/>
          <w:iCs/>
        </w:rPr>
        <w:t>bi</w:t>
      </w:r>
      <w:r>
        <w:rPr>
          <w:i/>
          <w:iCs/>
        </w:rPr>
        <w:t>d</w:t>
      </w:r>
      <w:r w:rsidRPr="00950853">
        <w:t>.)</w:t>
      </w:r>
      <w:r>
        <w:t xml:space="preserve">  In </w:t>
      </w:r>
      <w:r>
        <w:rPr>
          <w:i/>
          <w:iCs/>
        </w:rPr>
        <w:t>Monique T.</w:t>
      </w:r>
      <w:r>
        <w:t>, the infant tested positive for cocaine at birth and suffered severe medical problems</w:t>
      </w:r>
      <w:r>
        <w:t>.  A</w:t>
      </w:r>
      <w:r>
        <w:t xml:space="preserve">s noted above, the infant in </w:t>
      </w:r>
      <w:r>
        <w:rPr>
          <w:i/>
          <w:iCs/>
        </w:rPr>
        <w:t>Christopher R.</w:t>
      </w:r>
      <w:r>
        <w:t xml:space="preserve"> tested positive at birth for cocaine, amphetamine, and methamphetamine.</w:t>
      </w:r>
      <w:r>
        <w:t xml:space="preserve">  (</w:t>
      </w:r>
      <w:r>
        <w:rPr>
          <w:i/>
          <w:iCs/>
        </w:rPr>
        <w:t>Ibid</w:t>
      </w:r>
      <w:r w:rsidRPr="00950853">
        <w:t>.</w:t>
      </w:r>
      <w:r>
        <w:t>)</w:t>
      </w:r>
    </w:p>
    <w:p w14:paraId="33730A5C" w14:textId="77777777" w:rsidR="00B21D78" w:rsidRPr="0003476B" w:rsidRDefault="00B21D78" w:rsidP="00CC6A6D">
      <w:pPr>
        <w:ind w:firstLine="720"/>
      </w:pPr>
      <w:r>
        <w:t xml:space="preserve">However, the record before the </w:t>
      </w:r>
      <w:r>
        <w:rPr>
          <w:i/>
          <w:iCs/>
        </w:rPr>
        <w:t xml:space="preserve">J.A. </w:t>
      </w:r>
      <w:r>
        <w:t xml:space="preserve">court included no competent professional </w:t>
      </w:r>
      <w:r>
        <w:t>evidence of an injury or detrimental condition</w:t>
      </w:r>
      <w:r>
        <w:t>.  T</w:t>
      </w:r>
      <w:r>
        <w:t>he evidence showed only that the child tested positive for cannabinoids</w:t>
      </w:r>
      <w:r>
        <w:t xml:space="preserve">.  He </w:t>
      </w:r>
      <w:r>
        <w:t>did not appear to be developmentally delayed.</w:t>
      </w:r>
      <w:r>
        <w:t xml:space="preserve">  The court thus concluded: “Although understandably neither DCFS nor the trial court condones edible marijuana use while pregnant, DCFS acknowledges there is no injury, and the medical condition of prenatal exposure carries only some unexplained degree of possible future detriment.  This is i</w:t>
      </w:r>
      <w:r>
        <w:t>nsufficient to trigger the presumption such that there is a substantial risk of harm to Baby from mother’s admitted prenatal consumption of marijuana edibles.”  (</w:t>
      </w:r>
      <w:r>
        <w:rPr>
          <w:i/>
          <w:iCs/>
        </w:rPr>
        <w:t>J.A.</w:t>
      </w:r>
      <w:r w:rsidRPr="00950853">
        <w:t>,</w:t>
      </w:r>
      <w:r>
        <w:rPr>
          <w:i/>
          <w:iCs/>
        </w:rPr>
        <w:t xml:space="preserve"> supra</w:t>
      </w:r>
      <w:r w:rsidRPr="00950853">
        <w:t>,</w:t>
      </w:r>
      <w:r>
        <w:rPr>
          <w:i/>
          <w:iCs/>
        </w:rPr>
        <w:t xml:space="preserve"> </w:t>
      </w:r>
      <w:r>
        <w:t>47 Cal.App.5th at p. 1049</w:t>
      </w:r>
      <w:r w:rsidRPr="00950853">
        <w:t>.</w:t>
      </w:r>
      <w:r>
        <w:t>)</w:t>
      </w:r>
    </w:p>
    <w:p w14:paraId="5F614269" w14:textId="77777777" w:rsidR="00B21D78" w:rsidRPr="007A6415" w:rsidRDefault="00B21D78" w:rsidP="00CC6A6D">
      <w:pPr>
        <w:pStyle w:val="Heading2"/>
        <w:spacing w:before="0" w:after="0"/>
        <w:ind w:left="0" w:firstLine="720"/>
        <w:contextualSpacing/>
        <w:rPr>
          <w:b w:val="0"/>
          <w:bCs/>
        </w:rPr>
      </w:pPr>
      <w:r>
        <w:rPr>
          <w:b w:val="0"/>
          <w:bCs/>
        </w:rPr>
        <w:t>Likewise, here, the</w:t>
      </w:r>
      <w:r>
        <w:rPr>
          <w:b w:val="0"/>
          <w:bCs/>
        </w:rPr>
        <w:t xml:space="preserve"> evidence of prenatal exposure to </w:t>
      </w:r>
      <w:r>
        <w:rPr>
          <w:b w:val="0"/>
          <w:bCs/>
        </w:rPr>
        <w:t xml:space="preserve">prescription </w:t>
      </w:r>
      <w:r>
        <w:rPr>
          <w:b w:val="0"/>
          <w:bCs/>
        </w:rPr>
        <w:t>pain medication</w:t>
      </w:r>
      <w:r>
        <w:rPr>
          <w:b w:val="0"/>
          <w:bCs/>
        </w:rPr>
        <w:t xml:space="preserve"> </w:t>
      </w:r>
      <w:r>
        <w:rPr>
          <w:b w:val="0"/>
          <w:bCs/>
        </w:rPr>
        <w:t xml:space="preserve">alone </w:t>
      </w:r>
      <w:r>
        <w:rPr>
          <w:b w:val="0"/>
          <w:bCs/>
        </w:rPr>
        <w:t xml:space="preserve">was insufficient to </w:t>
      </w:r>
      <w:r>
        <w:rPr>
          <w:b w:val="0"/>
          <w:bCs/>
        </w:rPr>
        <w:t>trigger the</w:t>
      </w:r>
      <w:r>
        <w:rPr>
          <w:b w:val="0"/>
          <w:bCs/>
        </w:rPr>
        <w:t xml:space="preserve"> section</w:t>
      </w:r>
      <w:r>
        <w:rPr>
          <w:b w:val="0"/>
          <w:bCs/>
        </w:rPr>
        <w:t> </w:t>
      </w:r>
      <w:r>
        <w:rPr>
          <w:b w:val="0"/>
          <w:bCs/>
        </w:rPr>
        <w:t>355.1</w:t>
      </w:r>
      <w:r>
        <w:rPr>
          <w:b w:val="0"/>
          <w:bCs/>
        </w:rPr>
        <w:t xml:space="preserve"> presumption</w:t>
      </w:r>
      <w:r>
        <w:rPr>
          <w:b w:val="0"/>
          <w:bCs/>
        </w:rPr>
        <w:t>.  It further did not</w:t>
      </w:r>
      <w:r>
        <w:rPr>
          <w:b w:val="0"/>
          <w:bCs/>
        </w:rPr>
        <w:t>, by itself,</w:t>
      </w:r>
      <w:r>
        <w:rPr>
          <w:b w:val="0"/>
          <w:bCs/>
        </w:rPr>
        <w:t xml:space="preserve"> constitute substantial evidence that C.D. suffered serious physical harm or illness </w:t>
      </w:r>
      <w:proofErr w:type="gramStart"/>
      <w:r>
        <w:rPr>
          <w:b w:val="0"/>
          <w:bCs/>
        </w:rPr>
        <w:t>as a result of</w:t>
      </w:r>
      <w:proofErr w:type="gramEnd"/>
      <w:r>
        <w:rPr>
          <w:b w:val="0"/>
          <w:bCs/>
        </w:rPr>
        <w:t xml:space="preserve"> mother’s substance abuse.</w:t>
      </w:r>
      <w:r>
        <w:rPr>
          <w:b w:val="0"/>
          <w:bCs/>
        </w:rPr>
        <w:t xml:space="preserve">  While it is not difficult to imagine that the use of </w:t>
      </w:r>
      <w:r>
        <w:rPr>
          <w:b w:val="0"/>
          <w:bCs/>
        </w:rPr>
        <w:t>prescription opi</w:t>
      </w:r>
      <w:r>
        <w:rPr>
          <w:b w:val="0"/>
          <w:bCs/>
        </w:rPr>
        <w:t>oids</w:t>
      </w:r>
      <w:r>
        <w:rPr>
          <w:b w:val="0"/>
          <w:bCs/>
        </w:rPr>
        <w:t xml:space="preserve"> during pregnancy </w:t>
      </w:r>
      <w:r>
        <w:rPr>
          <w:b w:val="0"/>
          <w:bCs/>
          <w:i/>
          <w:iCs/>
        </w:rPr>
        <w:t>could</w:t>
      </w:r>
      <w:r>
        <w:rPr>
          <w:b w:val="0"/>
          <w:bCs/>
        </w:rPr>
        <w:t xml:space="preserve"> </w:t>
      </w:r>
      <w:r>
        <w:rPr>
          <w:b w:val="0"/>
          <w:bCs/>
        </w:rPr>
        <w:t>result in a child being born with injuries or suffering from a detrimental condition</w:t>
      </w:r>
      <w:r>
        <w:rPr>
          <w:b w:val="0"/>
          <w:bCs/>
        </w:rPr>
        <w:t xml:space="preserve"> or physical harm</w:t>
      </w:r>
      <w:r>
        <w:rPr>
          <w:b w:val="0"/>
          <w:bCs/>
        </w:rPr>
        <w:t xml:space="preserve">, </w:t>
      </w:r>
      <w:r>
        <w:rPr>
          <w:b w:val="0"/>
          <w:bCs/>
        </w:rPr>
        <w:t xml:space="preserve">substantial evidence requires more than </w:t>
      </w:r>
      <w:r>
        <w:rPr>
          <w:b w:val="0"/>
          <w:bCs/>
        </w:rPr>
        <w:t>speculation or conjecture.  Inferences must rest on evidence.</w:t>
      </w:r>
      <w:r>
        <w:rPr>
          <w:b w:val="0"/>
          <w:bCs/>
        </w:rPr>
        <w:t xml:space="preserve">  No such evidence was adduced in this </w:t>
      </w:r>
      <w:r>
        <w:rPr>
          <w:b w:val="0"/>
          <w:bCs/>
        </w:rPr>
        <w:t>case.</w:t>
      </w:r>
    </w:p>
    <w:p w14:paraId="313DB1ED" w14:textId="77777777" w:rsidR="00B21D78" w:rsidRDefault="00B21D78" w:rsidP="00956C72">
      <w:pPr>
        <w:pStyle w:val="Heading2"/>
        <w:keepNext/>
        <w:keepLines/>
        <w:widowControl w:val="0"/>
        <w:numPr>
          <w:ilvl w:val="0"/>
          <w:numId w:val="15"/>
        </w:numPr>
        <w:spacing w:before="0" w:after="0"/>
        <w:ind w:left="720"/>
        <w:contextualSpacing/>
      </w:pPr>
      <w:r>
        <w:lastRenderedPageBreak/>
        <w:t xml:space="preserve">Substantial Evidence Did Not Support a Finding </w:t>
      </w:r>
      <w:r>
        <w:t>of</w:t>
      </w:r>
      <w:r>
        <w:t xml:space="preserve"> a Substantial Risk the Children Will Suffer Serious Physical Harm or Illness</w:t>
      </w:r>
    </w:p>
    <w:p w14:paraId="26DFADA3" w14:textId="77777777" w:rsidR="00B21D78" w:rsidRDefault="00B21D78" w:rsidP="00956C72">
      <w:pPr>
        <w:pStyle w:val="Heading2"/>
        <w:keepNext/>
        <w:keepLines/>
        <w:widowControl w:val="0"/>
        <w:spacing w:before="0" w:after="0"/>
        <w:ind w:left="0" w:firstLine="720"/>
        <w:contextualSpacing/>
        <w:rPr>
          <w:b w:val="0"/>
          <w:bCs/>
        </w:rPr>
      </w:pPr>
      <w:r>
        <w:rPr>
          <w:b w:val="0"/>
          <w:bCs/>
        </w:rPr>
        <w:t>Dependency jurisdiction is also appropriate under section</w:t>
      </w:r>
      <w:r>
        <w:rPr>
          <w:b w:val="0"/>
          <w:bCs/>
        </w:rPr>
        <w:t> </w:t>
      </w:r>
      <w:r>
        <w:rPr>
          <w:b w:val="0"/>
          <w:bCs/>
        </w:rPr>
        <w:t xml:space="preserve">300, subdivision (b), when </w:t>
      </w:r>
      <w:r>
        <w:rPr>
          <w:b w:val="0"/>
          <w:bCs/>
        </w:rPr>
        <w:t xml:space="preserve">there is a substantial risk that a child will suffer </w:t>
      </w:r>
      <w:r>
        <w:rPr>
          <w:b w:val="0"/>
          <w:bCs/>
        </w:rPr>
        <w:t xml:space="preserve">serious physical harm or illness </w:t>
      </w:r>
      <w:proofErr w:type="gramStart"/>
      <w:r>
        <w:rPr>
          <w:b w:val="0"/>
          <w:bCs/>
        </w:rPr>
        <w:t>as a result of</w:t>
      </w:r>
      <w:proofErr w:type="gramEnd"/>
      <w:r>
        <w:rPr>
          <w:b w:val="0"/>
          <w:bCs/>
        </w:rPr>
        <w:t xml:space="preserve"> a parent’s inability to adequately supervise the child, or </w:t>
      </w:r>
      <w:r>
        <w:rPr>
          <w:b w:val="0"/>
          <w:bCs/>
        </w:rPr>
        <w:t>t</w:t>
      </w:r>
      <w:r>
        <w:rPr>
          <w:b w:val="0"/>
          <w:bCs/>
        </w:rPr>
        <w:t xml:space="preserve">he parent’s inability </w:t>
      </w:r>
      <w:r>
        <w:rPr>
          <w:b w:val="0"/>
          <w:bCs/>
        </w:rPr>
        <w:t>to provide regular care for the child</w:t>
      </w:r>
      <w:r>
        <w:rPr>
          <w:b w:val="0"/>
          <w:bCs/>
        </w:rPr>
        <w:t xml:space="preserve">, because of the </w:t>
      </w:r>
      <w:r>
        <w:rPr>
          <w:b w:val="0"/>
          <w:bCs/>
        </w:rPr>
        <w:t>parent’s substance abuse.</w:t>
      </w:r>
      <w:r>
        <w:rPr>
          <w:b w:val="0"/>
          <w:bCs/>
        </w:rPr>
        <w:t xml:space="preserve">  Indeed, </w:t>
      </w:r>
      <w:r>
        <w:rPr>
          <w:b w:val="0"/>
          <w:bCs/>
        </w:rPr>
        <w:t>the court need not wait until a child is injur</w:t>
      </w:r>
      <w:r>
        <w:rPr>
          <w:b w:val="0"/>
          <w:bCs/>
        </w:rPr>
        <w:t>ed to assume jurisdiction and take steps to protect a child.  (</w:t>
      </w:r>
      <w:r>
        <w:rPr>
          <w:b w:val="0"/>
          <w:bCs/>
          <w:i/>
          <w:iCs/>
        </w:rPr>
        <w:t>In re I.J.</w:t>
      </w:r>
      <w:r>
        <w:rPr>
          <w:b w:val="0"/>
          <w:bCs/>
        </w:rPr>
        <w:t xml:space="preserve"> (2013) 56 </w:t>
      </w:r>
      <w:r w:rsidRPr="00DE7E5C">
        <w:rPr>
          <w:b w:val="0"/>
          <w:bCs/>
        </w:rPr>
        <w:t xml:space="preserve">Cal.4th </w:t>
      </w:r>
      <w:r>
        <w:rPr>
          <w:b w:val="0"/>
          <w:bCs/>
        </w:rPr>
        <w:t>766, 773.)</w:t>
      </w:r>
    </w:p>
    <w:p w14:paraId="6E150633" w14:textId="77777777" w:rsidR="00B21D78" w:rsidRDefault="00B21D78" w:rsidP="00CC6A6D">
      <w:pPr>
        <w:pStyle w:val="Heading2"/>
        <w:spacing w:before="0" w:after="0"/>
        <w:ind w:left="0" w:firstLine="720"/>
        <w:contextualSpacing/>
        <w:rPr>
          <w:b w:val="0"/>
          <w:bCs/>
        </w:rPr>
      </w:pPr>
      <w:r>
        <w:rPr>
          <w:b w:val="0"/>
          <w:bCs/>
        </w:rPr>
        <w:t xml:space="preserve">At the same time, </w:t>
      </w:r>
      <w:r>
        <w:rPr>
          <w:b w:val="0"/>
          <w:bCs/>
        </w:rPr>
        <w:t xml:space="preserve">as the California Supreme Court recently clarified in </w:t>
      </w:r>
      <w:r>
        <w:rPr>
          <w:b w:val="0"/>
          <w:bCs/>
          <w:i/>
          <w:iCs/>
        </w:rPr>
        <w:t>N.R.</w:t>
      </w:r>
      <w:r>
        <w:rPr>
          <w:b w:val="0"/>
          <w:bCs/>
        </w:rPr>
        <w:t xml:space="preserve">, </w:t>
      </w:r>
      <w:r>
        <w:rPr>
          <w:b w:val="0"/>
          <w:bCs/>
        </w:rPr>
        <w:t xml:space="preserve">even </w:t>
      </w:r>
      <w:r>
        <w:rPr>
          <w:b w:val="0"/>
          <w:bCs/>
        </w:rPr>
        <w:t>when children are very young, “it is inappropriate to regard a parent’s . . . excessive use of alcohol or an addictive drug as always being sufficient, by itself, to show that the parent . . . is unable to provide regular care for a young child and that the child is therefore at substantial risk of serious physical harm</w:t>
      </w:r>
      <w:r>
        <w:rPr>
          <w:b w:val="0"/>
          <w:bCs/>
        </w:rPr>
        <w:t>.”  (</w:t>
      </w:r>
      <w:r w:rsidRPr="00054156">
        <w:rPr>
          <w:b w:val="0"/>
          <w:bCs/>
          <w:i/>
          <w:iCs/>
        </w:rPr>
        <w:t>N.R.</w:t>
      </w:r>
      <w:r w:rsidRPr="00054156">
        <w:rPr>
          <w:b w:val="0"/>
          <w:bCs/>
        </w:rPr>
        <w:t>,</w:t>
      </w:r>
      <w:r w:rsidRPr="00054156">
        <w:rPr>
          <w:b w:val="0"/>
          <w:bCs/>
          <w:i/>
          <w:iCs/>
        </w:rPr>
        <w:t xml:space="preserve"> supra</w:t>
      </w:r>
      <w:r w:rsidRPr="00054156">
        <w:rPr>
          <w:b w:val="0"/>
          <w:bCs/>
        </w:rPr>
        <w:t>,</w:t>
      </w:r>
      <w:r w:rsidRPr="00054156">
        <w:rPr>
          <w:b w:val="0"/>
          <w:bCs/>
          <w:i/>
          <w:iCs/>
        </w:rPr>
        <w:t xml:space="preserve"> </w:t>
      </w:r>
      <w:r w:rsidRPr="00054156">
        <w:rPr>
          <w:b w:val="0"/>
          <w:bCs/>
        </w:rPr>
        <w:t xml:space="preserve">15 Cal.5th </w:t>
      </w:r>
      <w:r>
        <w:rPr>
          <w:b w:val="0"/>
          <w:bCs/>
        </w:rPr>
        <w:t>at pp. 558</w:t>
      </w:r>
      <w:r>
        <w:t>–</w:t>
      </w:r>
      <w:r>
        <w:rPr>
          <w:b w:val="0"/>
          <w:bCs/>
        </w:rPr>
        <w:t>559.)  Instead, “an inability to provide regular care and a substantial risk of seriou</w:t>
      </w:r>
      <w:r>
        <w:rPr>
          <w:b w:val="0"/>
          <w:bCs/>
        </w:rPr>
        <w:t xml:space="preserve">s physical harm or illness must be established on the facts of each case </w:t>
      </w:r>
      <w:proofErr w:type="gramStart"/>
      <w:r>
        <w:rPr>
          <w:b w:val="0"/>
          <w:bCs/>
        </w:rPr>
        <w:t>. . . .</w:t>
      </w:r>
      <w:proofErr w:type="gramEnd"/>
      <w:r>
        <w:rPr>
          <w:b w:val="0"/>
          <w:bCs/>
        </w:rPr>
        <w:t>”  (</w:t>
      </w:r>
      <w:r>
        <w:rPr>
          <w:b w:val="0"/>
          <w:bCs/>
          <w:i/>
          <w:iCs/>
        </w:rPr>
        <w:t>Id</w:t>
      </w:r>
      <w:r w:rsidRPr="00950853">
        <w:rPr>
          <w:b w:val="0"/>
          <w:bCs/>
        </w:rPr>
        <w:t>.</w:t>
      </w:r>
      <w:r>
        <w:rPr>
          <w:b w:val="0"/>
          <w:bCs/>
        </w:rPr>
        <w:t xml:space="preserve"> at p. 559.)</w:t>
      </w:r>
      <w:r>
        <w:rPr>
          <w:rStyle w:val="FootnoteReference"/>
          <w:b/>
          <w:bCs/>
        </w:rPr>
        <w:footnoteReference w:id="8"/>
      </w:r>
    </w:p>
    <w:p w14:paraId="379BD760" w14:textId="77777777" w:rsidR="00B21D78" w:rsidRDefault="00B21D78" w:rsidP="00CC6A6D">
      <w:pPr>
        <w:pStyle w:val="Heading2"/>
        <w:spacing w:before="0" w:after="0"/>
        <w:ind w:left="0" w:firstLine="720"/>
        <w:contextualSpacing/>
        <w:rPr>
          <w:b w:val="0"/>
          <w:bCs/>
        </w:rPr>
      </w:pPr>
      <w:r>
        <w:rPr>
          <w:b w:val="0"/>
          <w:bCs/>
        </w:rPr>
        <w:lastRenderedPageBreak/>
        <w:t xml:space="preserve">Here, </w:t>
      </w:r>
      <w:r>
        <w:rPr>
          <w:b w:val="0"/>
          <w:bCs/>
        </w:rPr>
        <w:t xml:space="preserve">again </w:t>
      </w:r>
      <w:r>
        <w:rPr>
          <w:b w:val="0"/>
          <w:bCs/>
        </w:rPr>
        <w:t xml:space="preserve">assuming the evidence was sufficient to establish that mother abused prescription drugs, </w:t>
      </w:r>
      <w:r>
        <w:rPr>
          <w:b w:val="0"/>
          <w:bCs/>
        </w:rPr>
        <w:t xml:space="preserve">the record still </w:t>
      </w:r>
      <w:r>
        <w:rPr>
          <w:b w:val="0"/>
          <w:bCs/>
        </w:rPr>
        <w:t>lacks</w:t>
      </w:r>
      <w:r>
        <w:rPr>
          <w:b w:val="0"/>
          <w:bCs/>
        </w:rPr>
        <w:t xml:space="preserve"> substantial evidence that mother’s substance abuse </w:t>
      </w:r>
      <w:r>
        <w:rPr>
          <w:b w:val="0"/>
          <w:bCs/>
        </w:rPr>
        <w:t xml:space="preserve">rendered her unable to adequately supervise the </w:t>
      </w:r>
      <w:r>
        <w:rPr>
          <w:b w:val="0"/>
          <w:bCs/>
        </w:rPr>
        <w:t>children or to provide regular care for them, and that the inability placed the children at substantial risk of suffering serious physical harm or illness.</w:t>
      </w:r>
    </w:p>
    <w:p w14:paraId="70A259A9" w14:textId="77777777" w:rsidR="00B21D78" w:rsidRDefault="00B21D78" w:rsidP="00CC6A6D">
      <w:pPr>
        <w:pStyle w:val="Heading2"/>
        <w:spacing w:before="0" w:after="0"/>
        <w:ind w:left="0" w:firstLine="720"/>
        <w:contextualSpacing/>
        <w:rPr>
          <w:b w:val="0"/>
          <w:bCs/>
        </w:rPr>
      </w:pPr>
      <w:r>
        <w:rPr>
          <w:b w:val="0"/>
          <w:bCs/>
        </w:rPr>
        <w:t>There was no evidence that mother</w:t>
      </w:r>
      <w:r>
        <w:rPr>
          <w:b w:val="0"/>
          <w:bCs/>
        </w:rPr>
        <w:t xml:space="preserve">’s </w:t>
      </w:r>
      <w:r>
        <w:rPr>
          <w:b w:val="0"/>
          <w:bCs/>
        </w:rPr>
        <w:t xml:space="preserve">substance </w:t>
      </w:r>
      <w:proofErr w:type="gramStart"/>
      <w:r>
        <w:rPr>
          <w:b w:val="0"/>
          <w:bCs/>
        </w:rPr>
        <w:t>use</w:t>
      </w:r>
      <w:proofErr w:type="gramEnd"/>
      <w:r>
        <w:rPr>
          <w:b w:val="0"/>
          <w:bCs/>
        </w:rPr>
        <w:t xml:space="preserve"> or abuse endangered the children prior to </w:t>
      </w:r>
      <w:r>
        <w:rPr>
          <w:b w:val="0"/>
          <w:bCs/>
        </w:rPr>
        <w:t xml:space="preserve">the instant case.  Although DCFS located a prior referral </w:t>
      </w:r>
      <w:r>
        <w:rPr>
          <w:b w:val="0"/>
          <w:bCs/>
        </w:rPr>
        <w:t xml:space="preserve">from April 2021 </w:t>
      </w:r>
      <w:r>
        <w:rPr>
          <w:b w:val="0"/>
          <w:bCs/>
        </w:rPr>
        <w:t xml:space="preserve">about the family, it concerned </w:t>
      </w:r>
      <w:r>
        <w:rPr>
          <w:b w:val="0"/>
          <w:bCs/>
        </w:rPr>
        <w:t xml:space="preserve">only </w:t>
      </w:r>
      <w:r>
        <w:rPr>
          <w:b w:val="0"/>
          <w:bCs/>
        </w:rPr>
        <w:t>potential domestic violence with father</w:t>
      </w:r>
      <w:r>
        <w:rPr>
          <w:b w:val="0"/>
          <w:bCs/>
        </w:rPr>
        <w:t xml:space="preserve">.  The referral was closed with the </w:t>
      </w:r>
      <w:r>
        <w:rPr>
          <w:b w:val="0"/>
          <w:bCs/>
        </w:rPr>
        <w:t>assessment that the risk of neglect was low.</w:t>
      </w:r>
      <w:r>
        <w:rPr>
          <w:b w:val="0"/>
          <w:bCs/>
        </w:rPr>
        <w:t xml:space="preserve">  </w:t>
      </w:r>
      <w:r>
        <w:rPr>
          <w:b w:val="0"/>
          <w:bCs/>
        </w:rPr>
        <w:t>DCFS reported at the time that the family had no prior DCFS history and mother had “shown resilience and strength in her parenting.”  Mother h</w:t>
      </w:r>
      <w:r>
        <w:rPr>
          <w:b w:val="0"/>
          <w:bCs/>
        </w:rPr>
        <w:t xml:space="preserve">ad a prior arrest </w:t>
      </w:r>
      <w:proofErr w:type="gramStart"/>
      <w:r>
        <w:rPr>
          <w:b w:val="0"/>
          <w:bCs/>
        </w:rPr>
        <w:t>from</w:t>
      </w:r>
      <w:proofErr w:type="gramEnd"/>
      <w:r>
        <w:rPr>
          <w:b w:val="0"/>
          <w:bCs/>
        </w:rPr>
        <w:t xml:space="preserve"> 2015 for corporal injury to </w:t>
      </w:r>
      <w:r>
        <w:rPr>
          <w:b w:val="0"/>
          <w:bCs/>
        </w:rPr>
        <w:t xml:space="preserve">a </w:t>
      </w:r>
      <w:r>
        <w:rPr>
          <w:b w:val="0"/>
          <w:bCs/>
        </w:rPr>
        <w:t xml:space="preserve">spouse, but no other criminal </w:t>
      </w:r>
      <w:r>
        <w:rPr>
          <w:b w:val="0"/>
          <w:bCs/>
        </w:rPr>
        <w:t>history.</w:t>
      </w:r>
      <w:r>
        <w:rPr>
          <w:b w:val="0"/>
          <w:bCs/>
        </w:rPr>
        <w:t xml:space="preserve">  There was no evidence of abuse or neglect in the household and mother had “proven her ability to adequately care for [B.D.’s] needs</w:t>
      </w:r>
      <w:r>
        <w:rPr>
          <w:b w:val="0"/>
          <w:bCs/>
        </w:rPr>
        <w:t xml:space="preserve"> </w:t>
      </w:r>
      <w:proofErr w:type="gramStart"/>
      <w:r>
        <w:rPr>
          <w:b w:val="0"/>
          <w:bCs/>
        </w:rPr>
        <w:t>. . . .</w:t>
      </w:r>
      <w:proofErr w:type="gramEnd"/>
      <w:r>
        <w:rPr>
          <w:b w:val="0"/>
          <w:bCs/>
        </w:rPr>
        <w:t>”</w:t>
      </w:r>
    </w:p>
    <w:p w14:paraId="1F5695CB" w14:textId="77777777" w:rsidR="00B21D78" w:rsidRDefault="00B21D78" w:rsidP="00CC6A6D">
      <w:pPr>
        <w:pStyle w:val="Heading2"/>
        <w:spacing w:before="0" w:after="0"/>
        <w:ind w:left="0" w:firstLine="720"/>
        <w:contextualSpacing/>
        <w:rPr>
          <w:b w:val="0"/>
          <w:bCs/>
        </w:rPr>
      </w:pPr>
      <w:r>
        <w:rPr>
          <w:b w:val="0"/>
          <w:bCs/>
        </w:rPr>
        <w:t>At the hospital</w:t>
      </w:r>
      <w:r>
        <w:rPr>
          <w:b w:val="0"/>
          <w:bCs/>
        </w:rPr>
        <w:t xml:space="preserve"> when C.D. was born</w:t>
      </w:r>
      <w:r>
        <w:rPr>
          <w:b w:val="0"/>
          <w:bCs/>
        </w:rPr>
        <w:t xml:space="preserve">, the </w:t>
      </w:r>
      <w:r>
        <w:rPr>
          <w:b w:val="0"/>
          <w:bCs/>
        </w:rPr>
        <w:t xml:space="preserve">DCFS </w:t>
      </w:r>
      <w:r>
        <w:rPr>
          <w:b w:val="0"/>
          <w:bCs/>
        </w:rPr>
        <w:t xml:space="preserve">social worker noted mother was attentive to C.D. and </w:t>
      </w:r>
      <w:r>
        <w:rPr>
          <w:b w:val="0"/>
          <w:bCs/>
        </w:rPr>
        <w:t xml:space="preserve">was </w:t>
      </w:r>
      <w:r>
        <w:rPr>
          <w:b w:val="0"/>
          <w:bCs/>
        </w:rPr>
        <w:t xml:space="preserve">caring for him appropriately.  </w:t>
      </w:r>
      <w:r>
        <w:rPr>
          <w:b w:val="0"/>
          <w:bCs/>
        </w:rPr>
        <w:t xml:space="preserve">Neither the nurse nor the hospital social worker expressed any concerns about mother’s </w:t>
      </w:r>
      <w:r>
        <w:rPr>
          <w:b w:val="0"/>
          <w:bCs/>
        </w:rPr>
        <w:t xml:space="preserve">ability to care for C.D.  </w:t>
      </w:r>
      <w:r>
        <w:rPr>
          <w:b w:val="0"/>
          <w:bCs/>
        </w:rPr>
        <w:t xml:space="preserve">In each documented </w:t>
      </w:r>
      <w:r>
        <w:rPr>
          <w:b w:val="0"/>
          <w:bCs/>
        </w:rPr>
        <w:t xml:space="preserve">visit to </w:t>
      </w:r>
      <w:proofErr w:type="gramStart"/>
      <w:r>
        <w:rPr>
          <w:b w:val="0"/>
          <w:bCs/>
        </w:rPr>
        <w:t>mother’s</w:t>
      </w:r>
      <w:proofErr w:type="gramEnd"/>
      <w:r>
        <w:rPr>
          <w:b w:val="0"/>
          <w:bCs/>
        </w:rPr>
        <w:t xml:space="preserve"> home, social workers found no concerns with the state of the home or mother’s care of the children.  </w:t>
      </w:r>
      <w:proofErr w:type="gramStart"/>
      <w:r>
        <w:rPr>
          <w:b w:val="0"/>
          <w:bCs/>
        </w:rPr>
        <w:t>DCFS</w:t>
      </w:r>
      <w:proofErr w:type="gramEnd"/>
      <w:r>
        <w:rPr>
          <w:b w:val="0"/>
          <w:bCs/>
        </w:rPr>
        <w:t xml:space="preserve"> also</w:t>
      </w:r>
      <w:r>
        <w:rPr>
          <w:b w:val="0"/>
          <w:bCs/>
        </w:rPr>
        <w:t xml:space="preserve"> did not dispute mother’s testimony that a social worker had come to her home twice a month while the case was pending</w:t>
      </w:r>
      <w:r>
        <w:rPr>
          <w:b w:val="0"/>
          <w:bCs/>
        </w:rPr>
        <w:t>.  The dependency investigator was not aware of any concerns with mother’s actual care of the child</w:t>
      </w:r>
      <w:r>
        <w:rPr>
          <w:b w:val="0"/>
          <w:bCs/>
        </w:rPr>
        <w:t>ren</w:t>
      </w:r>
      <w:r>
        <w:rPr>
          <w:b w:val="0"/>
          <w:bCs/>
        </w:rPr>
        <w:t xml:space="preserve">.  DCFS interviewed only one family member, the maternal grandmother, </w:t>
      </w:r>
      <w:r>
        <w:rPr>
          <w:b w:val="0"/>
          <w:bCs/>
        </w:rPr>
        <w:lastRenderedPageBreak/>
        <w:t xml:space="preserve">who expressed no concerns </w:t>
      </w:r>
      <w:r>
        <w:rPr>
          <w:b w:val="0"/>
          <w:bCs/>
        </w:rPr>
        <w:t xml:space="preserve">about </w:t>
      </w:r>
      <w:r>
        <w:rPr>
          <w:b w:val="0"/>
          <w:bCs/>
        </w:rPr>
        <w:t xml:space="preserve">mother’s care </w:t>
      </w:r>
      <w:r>
        <w:rPr>
          <w:b w:val="0"/>
          <w:bCs/>
        </w:rPr>
        <w:t>of</w:t>
      </w:r>
      <w:r>
        <w:rPr>
          <w:b w:val="0"/>
          <w:bCs/>
        </w:rPr>
        <w:t xml:space="preserve"> the children.</w:t>
      </w:r>
      <w:r>
        <w:rPr>
          <w:b w:val="0"/>
          <w:bCs/>
        </w:rPr>
        <w:t xml:space="preserve">  At the jurisdiction hearing, mother testified that B.D. was in school and was </w:t>
      </w:r>
      <w:r>
        <w:rPr>
          <w:b w:val="0"/>
          <w:bCs/>
        </w:rPr>
        <w:t>excelling.  DCFS did not dispute that testimony.</w:t>
      </w:r>
      <w:r>
        <w:rPr>
          <w:rStyle w:val="FootnoteReference"/>
          <w:b/>
          <w:bCs/>
        </w:rPr>
        <w:footnoteReference w:id="9"/>
      </w:r>
      <w:r>
        <w:rPr>
          <w:b w:val="0"/>
          <w:bCs/>
        </w:rPr>
        <w:t xml:space="preserve">  Mother testified that both children received regular medical care and B.D. </w:t>
      </w:r>
      <w:r>
        <w:rPr>
          <w:b w:val="0"/>
          <w:bCs/>
        </w:rPr>
        <w:t>had regular dental care.  DCFS did not dispute that testimony either.</w:t>
      </w:r>
    </w:p>
    <w:p w14:paraId="57BD47B7" w14:textId="77777777" w:rsidR="00B21D78" w:rsidRDefault="00B21D78" w:rsidP="00CC6A6D">
      <w:pPr>
        <w:pStyle w:val="Heading2"/>
        <w:spacing w:before="0" w:after="0"/>
        <w:ind w:left="0" w:firstLine="720"/>
        <w:contextualSpacing/>
        <w:rPr>
          <w:b w:val="0"/>
          <w:bCs/>
        </w:rPr>
      </w:pPr>
      <w:r>
        <w:rPr>
          <w:b w:val="0"/>
          <w:bCs/>
        </w:rPr>
        <w:t xml:space="preserve">There was no evidence that </w:t>
      </w:r>
      <w:proofErr w:type="gramStart"/>
      <w:r>
        <w:rPr>
          <w:b w:val="0"/>
          <w:bCs/>
        </w:rPr>
        <w:t>mother</w:t>
      </w:r>
      <w:proofErr w:type="gramEnd"/>
      <w:r>
        <w:rPr>
          <w:b w:val="0"/>
          <w:bCs/>
        </w:rPr>
        <w:t xml:space="preserve"> engaged in drug-related behavior that </w:t>
      </w:r>
      <w:r>
        <w:rPr>
          <w:b w:val="0"/>
          <w:bCs/>
        </w:rPr>
        <w:t>might put the children at risk of harm.</w:t>
      </w:r>
      <w:r>
        <w:rPr>
          <w:b w:val="0"/>
          <w:bCs/>
        </w:rPr>
        <w:t xml:space="preserve">  (</w:t>
      </w:r>
      <w:r>
        <w:rPr>
          <w:b w:val="0"/>
          <w:bCs/>
        </w:rPr>
        <w:t xml:space="preserve">See e.g., </w:t>
      </w:r>
      <w:r>
        <w:rPr>
          <w:b w:val="0"/>
          <w:bCs/>
          <w:i/>
          <w:iCs/>
        </w:rPr>
        <w:t>In re L.W.</w:t>
      </w:r>
      <w:r w:rsidRPr="0063488C">
        <w:rPr>
          <w:b w:val="0"/>
          <w:bCs/>
        </w:rPr>
        <w:t xml:space="preserve"> </w:t>
      </w:r>
      <w:r>
        <w:rPr>
          <w:b w:val="0"/>
          <w:bCs/>
        </w:rPr>
        <w:t xml:space="preserve">(2019) 32 </w:t>
      </w:r>
      <w:r w:rsidRPr="006223E6">
        <w:rPr>
          <w:b w:val="0"/>
          <w:bCs/>
        </w:rPr>
        <w:t xml:space="preserve">Cal.App.5th </w:t>
      </w:r>
      <w:r>
        <w:rPr>
          <w:b w:val="0"/>
          <w:bCs/>
        </w:rPr>
        <w:t xml:space="preserve">840, </w:t>
      </w:r>
      <w:r>
        <w:rPr>
          <w:b w:val="0"/>
          <w:bCs/>
        </w:rPr>
        <w:t xml:space="preserve">850 [that mother was arrested twice for driving under the influence </w:t>
      </w:r>
      <w:r>
        <w:rPr>
          <w:b w:val="0"/>
          <w:bCs/>
        </w:rPr>
        <w:t xml:space="preserve">was evidence of substance abuse spilling into areas that would pose substantial risk of physical harm to </w:t>
      </w:r>
      <w:r>
        <w:rPr>
          <w:b w:val="0"/>
          <w:bCs/>
        </w:rPr>
        <w:t>13-year-old].)</w:t>
      </w:r>
      <w:r>
        <w:rPr>
          <w:b w:val="0"/>
          <w:bCs/>
        </w:rPr>
        <w:t xml:space="preserve"> </w:t>
      </w:r>
      <w:r>
        <w:rPr>
          <w:b w:val="0"/>
          <w:bCs/>
        </w:rPr>
        <w:t xml:space="preserve"> There was no evidence </w:t>
      </w:r>
      <w:r>
        <w:rPr>
          <w:b w:val="0"/>
          <w:bCs/>
        </w:rPr>
        <w:t>that mother was impaired when caring for the children.  (</w:t>
      </w:r>
      <w:r>
        <w:rPr>
          <w:b w:val="0"/>
          <w:bCs/>
          <w:i/>
          <w:iCs/>
        </w:rPr>
        <w:t>In re Kadence P.</w:t>
      </w:r>
      <w:r>
        <w:rPr>
          <w:b w:val="0"/>
          <w:bCs/>
        </w:rPr>
        <w:t xml:space="preserve"> (2015) 241 </w:t>
      </w:r>
      <w:r w:rsidRPr="0016036E">
        <w:rPr>
          <w:b w:val="0"/>
          <w:bCs/>
        </w:rPr>
        <w:t xml:space="preserve">Cal.App.4th </w:t>
      </w:r>
      <w:r>
        <w:rPr>
          <w:b w:val="0"/>
          <w:bCs/>
        </w:rPr>
        <w:t xml:space="preserve">1376, </w:t>
      </w:r>
      <w:r>
        <w:rPr>
          <w:b w:val="0"/>
          <w:bCs/>
        </w:rPr>
        <w:t>1380</w:t>
      </w:r>
      <w:r>
        <w:rPr>
          <w:b w:val="0"/>
          <w:bCs/>
        </w:rPr>
        <w:t xml:space="preserve">, disapproved of on another ground in </w:t>
      </w:r>
      <w:proofErr w:type="gramStart"/>
      <w:r>
        <w:rPr>
          <w:b w:val="0"/>
          <w:bCs/>
          <w:i/>
          <w:iCs/>
        </w:rPr>
        <w:t>In</w:t>
      </w:r>
      <w:proofErr w:type="gramEnd"/>
      <w:r>
        <w:rPr>
          <w:b w:val="0"/>
          <w:bCs/>
          <w:i/>
          <w:iCs/>
        </w:rPr>
        <w:t xml:space="preserve"> re N.R.</w:t>
      </w:r>
      <w:r w:rsidRPr="00F27BCB">
        <w:rPr>
          <w:b w:val="0"/>
          <w:bCs/>
        </w:rPr>
        <w:t>,</w:t>
      </w:r>
      <w:r>
        <w:rPr>
          <w:b w:val="0"/>
          <w:bCs/>
          <w:i/>
          <w:iCs/>
        </w:rPr>
        <w:t xml:space="preserve"> supra</w:t>
      </w:r>
      <w:r w:rsidRPr="00F27BCB">
        <w:rPr>
          <w:b w:val="0"/>
          <w:bCs/>
        </w:rPr>
        <w:t>,</w:t>
      </w:r>
      <w:r>
        <w:rPr>
          <w:b w:val="0"/>
          <w:bCs/>
        </w:rPr>
        <w:t xml:space="preserve"> </w:t>
      </w:r>
      <w:r>
        <w:rPr>
          <w:b w:val="0"/>
          <w:bCs/>
        </w:rPr>
        <w:t>15 Cal.5th at p.</w:t>
      </w:r>
      <w:r>
        <w:rPr>
          <w:b w:val="0"/>
          <w:bCs/>
        </w:rPr>
        <w:t> </w:t>
      </w:r>
      <w:r>
        <w:rPr>
          <w:b w:val="0"/>
          <w:bCs/>
        </w:rPr>
        <w:t>560, fn.</w:t>
      </w:r>
      <w:r>
        <w:rPr>
          <w:b w:val="0"/>
          <w:bCs/>
        </w:rPr>
        <w:t> </w:t>
      </w:r>
      <w:r>
        <w:rPr>
          <w:b w:val="0"/>
          <w:bCs/>
        </w:rPr>
        <w:t>18</w:t>
      </w:r>
      <w:r>
        <w:rPr>
          <w:b w:val="0"/>
          <w:bCs/>
        </w:rPr>
        <w:t xml:space="preserve"> [mother </w:t>
      </w:r>
      <w:r>
        <w:rPr>
          <w:b w:val="0"/>
          <w:bCs/>
        </w:rPr>
        <w:t xml:space="preserve">was </w:t>
      </w:r>
      <w:r>
        <w:rPr>
          <w:b w:val="0"/>
          <w:bCs/>
        </w:rPr>
        <w:t xml:space="preserve">visibly </w:t>
      </w:r>
      <w:r>
        <w:rPr>
          <w:b w:val="0"/>
          <w:bCs/>
        </w:rPr>
        <w:t xml:space="preserve">under the influence of illicit drugs during visits, refused to </w:t>
      </w:r>
      <w:r>
        <w:rPr>
          <w:b w:val="0"/>
          <w:bCs/>
        </w:rPr>
        <w:t xml:space="preserve">drug </w:t>
      </w:r>
      <w:r>
        <w:rPr>
          <w:b w:val="0"/>
          <w:bCs/>
        </w:rPr>
        <w:t>test or tried to cheat test].)</w:t>
      </w:r>
      <w:r>
        <w:rPr>
          <w:b w:val="0"/>
          <w:bCs/>
        </w:rPr>
        <w:t xml:space="preserve">  There was no evidence that mother had a prior child welfare history related to substance abuse or inadequate care of the children.  (</w:t>
      </w:r>
      <w:r>
        <w:rPr>
          <w:b w:val="0"/>
          <w:bCs/>
          <w:i/>
          <w:iCs/>
        </w:rPr>
        <w:t>Id</w:t>
      </w:r>
      <w:r w:rsidRPr="00DE4365">
        <w:rPr>
          <w:b w:val="0"/>
          <w:bCs/>
        </w:rPr>
        <w:t>.</w:t>
      </w:r>
      <w:r>
        <w:rPr>
          <w:b w:val="0"/>
          <w:bCs/>
        </w:rPr>
        <w:t xml:space="preserve"> at pp.</w:t>
      </w:r>
      <w:r>
        <w:rPr>
          <w:b w:val="0"/>
          <w:bCs/>
        </w:rPr>
        <w:t> </w:t>
      </w:r>
      <w:r>
        <w:rPr>
          <w:b w:val="0"/>
          <w:bCs/>
        </w:rPr>
        <w:t>1384</w:t>
      </w:r>
      <w:r>
        <w:t>–</w:t>
      </w:r>
      <w:r>
        <w:rPr>
          <w:b w:val="0"/>
          <w:bCs/>
        </w:rPr>
        <w:t xml:space="preserve">1385 </w:t>
      </w:r>
      <w:r>
        <w:rPr>
          <w:b w:val="0"/>
          <w:bCs/>
        </w:rPr>
        <w:t>[mother’s continuous illicit drug use led to removal of older children</w:t>
      </w:r>
      <w:r>
        <w:rPr>
          <w:b w:val="0"/>
          <w:bCs/>
        </w:rPr>
        <w:t>;</w:t>
      </w:r>
      <w:r>
        <w:rPr>
          <w:b w:val="0"/>
          <w:bCs/>
        </w:rPr>
        <w:t xml:space="preserve"> infant </w:t>
      </w:r>
      <w:r>
        <w:rPr>
          <w:b w:val="0"/>
          <w:bCs/>
        </w:rPr>
        <w:t xml:space="preserve">was </w:t>
      </w:r>
      <w:r>
        <w:rPr>
          <w:b w:val="0"/>
          <w:bCs/>
        </w:rPr>
        <w:t>at substantial risk of harm].)</w:t>
      </w:r>
      <w:r>
        <w:rPr>
          <w:b w:val="0"/>
          <w:bCs/>
        </w:rPr>
        <w:t xml:space="preserve"> </w:t>
      </w:r>
      <w:r>
        <w:rPr>
          <w:b w:val="0"/>
          <w:bCs/>
        </w:rPr>
        <w:t xml:space="preserve"> </w:t>
      </w:r>
      <w:r>
        <w:rPr>
          <w:b w:val="0"/>
          <w:bCs/>
        </w:rPr>
        <w:t xml:space="preserve">DCFS offered no evidence </w:t>
      </w:r>
      <w:r>
        <w:rPr>
          <w:b w:val="0"/>
          <w:bCs/>
        </w:rPr>
        <w:t xml:space="preserve">about the effects </w:t>
      </w:r>
      <w:r>
        <w:rPr>
          <w:b w:val="0"/>
          <w:bCs/>
        </w:rPr>
        <w:t xml:space="preserve">or characteristics </w:t>
      </w:r>
      <w:r>
        <w:rPr>
          <w:b w:val="0"/>
          <w:bCs/>
        </w:rPr>
        <w:t>of prescription drug abuse generally</w:t>
      </w:r>
      <w:r>
        <w:rPr>
          <w:b w:val="0"/>
          <w:bCs/>
        </w:rPr>
        <w:t xml:space="preserve">.  </w:t>
      </w:r>
      <w:r>
        <w:rPr>
          <w:b w:val="0"/>
          <w:bCs/>
        </w:rPr>
        <w:t>(</w:t>
      </w:r>
      <w:r>
        <w:rPr>
          <w:b w:val="0"/>
          <w:bCs/>
          <w:i/>
          <w:iCs/>
        </w:rPr>
        <w:t>Stephen W.</w:t>
      </w:r>
      <w:r w:rsidRPr="00950853">
        <w:rPr>
          <w:b w:val="0"/>
          <w:bCs/>
        </w:rPr>
        <w:t>,</w:t>
      </w:r>
      <w:r>
        <w:rPr>
          <w:b w:val="0"/>
          <w:bCs/>
          <w:i/>
          <w:iCs/>
        </w:rPr>
        <w:t xml:space="preserve"> supra</w:t>
      </w:r>
      <w:r w:rsidRPr="00950853">
        <w:rPr>
          <w:b w:val="0"/>
          <w:bCs/>
        </w:rPr>
        <w:t>,</w:t>
      </w:r>
      <w:r>
        <w:rPr>
          <w:b w:val="0"/>
          <w:bCs/>
          <w:i/>
          <w:iCs/>
        </w:rPr>
        <w:t xml:space="preserve"> </w:t>
      </w:r>
      <w:r>
        <w:rPr>
          <w:b w:val="0"/>
          <w:bCs/>
        </w:rPr>
        <w:t xml:space="preserve">221 </w:t>
      </w:r>
      <w:r w:rsidRPr="000F74DE">
        <w:rPr>
          <w:b w:val="0"/>
          <w:bCs/>
        </w:rPr>
        <w:t xml:space="preserve">Cal.App.3d </w:t>
      </w:r>
      <w:r>
        <w:rPr>
          <w:b w:val="0"/>
          <w:bCs/>
        </w:rPr>
        <w:t>at pp.</w:t>
      </w:r>
      <w:r>
        <w:rPr>
          <w:b w:val="0"/>
          <w:bCs/>
        </w:rPr>
        <w:t> </w:t>
      </w:r>
      <w:r>
        <w:rPr>
          <w:b w:val="0"/>
          <w:bCs/>
        </w:rPr>
        <w:t>642</w:t>
      </w:r>
      <w:r>
        <w:t>–</w:t>
      </w:r>
      <w:r>
        <w:rPr>
          <w:b w:val="0"/>
          <w:bCs/>
        </w:rPr>
        <w:t>643 [expert testified that</w:t>
      </w:r>
      <w:r>
        <w:rPr>
          <w:b w:val="0"/>
          <w:bCs/>
        </w:rPr>
        <w:t>:</w:t>
      </w:r>
      <w:r>
        <w:rPr>
          <w:b w:val="0"/>
          <w:bCs/>
        </w:rPr>
        <w:t xml:space="preserve"> heroin addicts </w:t>
      </w:r>
      <w:r>
        <w:rPr>
          <w:b w:val="0"/>
          <w:bCs/>
        </w:rPr>
        <w:t>nod off and could not attend to a newborn</w:t>
      </w:r>
      <w:r>
        <w:rPr>
          <w:b w:val="0"/>
          <w:bCs/>
        </w:rPr>
        <w:t xml:space="preserve">; couples who are addicts often use at the same time; </w:t>
      </w:r>
      <w:r>
        <w:rPr>
          <w:b w:val="0"/>
          <w:bCs/>
        </w:rPr>
        <w:t xml:space="preserve">there is </w:t>
      </w:r>
      <w:r>
        <w:rPr>
          <w:b w:val="0"/>
          <w:bCs/>
        </w:rPr>
        <w:t xml:space="preserve">risk of overdose from </w:t>
      </w:r>
      <w:r>
        <w:rPr>
          <w:b w:val="0"/>
          <w:bCs/>
        </w:rPr>
        <w:lastRenderedPageBreak/>
        <w:t>drug being cut with other substances</w:t>
      </w:r>
      <w:r>
        <w:rPr>
          <w:b w:val="0"/>
          <w:bCs/>
        </w:rPr>
        <w:t xml:space="preserve">; </w:t>
      </w:r>
      <w:r>
        <w:rPr>
          <w:b w:val="0"/>
          <w:bCs/>
        </w:rPr>
        <w:t xml:space="preserve">an </w:t>
      </w:r>
      <w:r>
        <w:rPr>
          <w:b w:val="0"/>
          <w:bCs/>
        </w:rPr>
        <w:t>unstable lifestyle goes along with the a</w:t>
      </w:r>
      <w:r>
        <w:rPr>
          <w:b w:val="0"/>
          <w:bCs/>
        </w:rPr>
        <w:t>ddiction</w:t>
      </w:r>
      <w:r>
        <w:rPr>
          <w:b w:val="0"/>
          <w:bCs/>
        </w:rPr>
        <w:t>].)</w:t>
      </w:r>
      <w:r>
        <w:rPr>
          <w:b w:val="0"/>
          <w:bCs/>
        </w:rPr>
        <w:t xml:space="preserve"> </w:t>
      </w:r>
      <w:r>
        <w:rPr>
          <w:b w:val="0"/>
          <w:bCs/>
        </w:rPr>
        <w:t xml:space="preserve"> </w:t>
      </w:r>
      <w:r>
        <w:rPr>
          <w:b w:val="0"/>
          <w:bCs/>
        </w:rPr>
        <w:t>Further, DCFS</w:t>
      </w:r>
      <w:r>
        <w:rPr>
          <w:b w:val="0"/>
          <w:bCs/>
        </w:rPr>
        <w:t xml:space="preserve"> offered no evidence </w:t>
      </w:r>
      <w:r>
        <w:rPr>
          <w:b w:val="0"/>
          <w:bCs/>
        </w:rPr>
        <w:t xml:space="preserve">to explain </w:t>
      </w:r>
      <w:r>
        <w:rPr>
          <w:b w:val="0"/>
          <w:bCs/>
        </w:rPr>
        <w:t xml:space="preserve">mother’s </w:t>
      </w:r>
      <w:r>
        <w:rPr>
          <w:b w:val="0"/>
          <w:bCs/>
        </w:rPr>
        <w:t>positive July</w:t>
      </w:r>
      <w:r>
        <w:rPr>
          <w:b w:val="0"/>
          <w:bCs/>
        </w:rPr>
        <w:t xml:space="preserve"> 2022 drug</w:t>
      </w:r>
      <w:r>
        <w:rPr>
          <w:b w:val="0"/>
          <w:bCs/>
        </w:rPr>
        <w:t xml:space="preserve"> test</w:t>
      </w:r>
      <w:r>
        <w:rPr>
          <w:b w:val="0"/>
          <w:bCs/>
        </w:rPr>
        <w:t xml:space="preserve">, such that </w:t>
      </w:r>
      <w:r>
        <w:rPr>
          <w:b w:val="0"/>
          <w:bCs/>
        </w:rPr>
        <w:t>the court could have drawn inferences about mother’s ability or inability to safely care for the children</w:t>
      </w:r>
      <w:r>
        <w:rPr>
          <w:b w:val="0"/>
          <w:bCs/>
        </w:rPr>
        <w:t xml:space="preserve"> based on the test results alone</w:t>
      </w:r>
      <w:r>
        <w:rPr>
          <w:b w:val="0"/>
          <w:bCs/>
        </w:rPr>
        <w:t>.</w:t>
      </w:r>
      <w:r>
        <w:rPr>
          <w:b w:val="0"/>
          <w:bCs/>
        </w:rPr>
        <w:t xml:space="preserve">  </w:t>
      </w:r>
      <w:r>
        <w:rPr>
          <w:b w:val="0"/>
          <w:bCs/>
        </w:rPr>
        <w:t>W</w:t>
      </w:r>
      <w:r>
        <w:rPr>
          <w:b w:val="0"/>
          <w:bCs/>
        </w:rPr>
        <w:t>hile mother declined DCFS services</w:t>
      </w:r>
      <w:r>
        <w:rPr>
          <w:b w:val="0"/>
          <w:bCs/>
        </w:rPr>
        <w:t xml:space="preserve"> and drug testing, </w:t>
      </w:r>
      <w:r>
        <w:rPr>
          <w:b w:val="0"/>
          <w:bCs/>
        </w:rPr>
        <w:t xml:space="preserve">there was no evidence that </w:t>
      </w:r>
      <w:r>
        <w:rPr>
          <w:b w:val="0"/>
          <w:bCs/>
        </w:rPr>
        <w:t xml:space="preserve">she </w:t>
      </w:r>
      <w:r>
        <w:rPr>
          <w:b w:val="0"/>
          <w:bCs/>
        </w:rPr>
        <w:t xml:space="preserve">was otherwise secretive, tried to keep DCFS from </w:t>
      </w:r>
      <w:r>
        <w:rPr>
          <w:b w:val="0"/>
          <w:bCs/>
        </w:rPr>
        <w:t>having access to the</w:t>
      </w:r>
      <w:r>
        <w:rPr>
          <w:b w:val="0"/>
          <w:bCs/>
        </w:rPr>
        <w:t xml:space="preserve"> children</w:t>
      </w:r>
      <w:r>
        <w:rPr>
          <w:b w:val="0"/>
          <w:bCs/>
        </w:rPr>
        <w:t>, or obstructed DCFS’s investigation</w:t>
      </w:r>
      <w:r>
        <w:rPr>
          <w:b w:val="0"/>
          <w:bCs/>
        </w:rPr>
        <w:t>.</w:t>
      </w:r>
      <w:r>
        <w:rPr>
          <w:b w:val="0"/>
          <w:bCs/>
        </w:rPr>
        <w:t xml:space="preserve">  (</w:t>
      </w:r>
      <w:r>
        <w:rPr>
          <w:b w:val="0"/>
          <w:bCs/>
          <w:i/>
          <w:iCs/>
        </w:rPr>
        <w:t>E.E.</w:t>
      </w:r>
      <w:r w:rsidRPr="00DE4365">
        <w:rPr>
          <w:b w:val="0"/>
          <w:bCs/>
        </w:rPr>
        <w:t xml:space="preserve">, </w:t>
      </w:r>
      <w:r>
        <w:rPr>
          <w:b w:val="0"/>
          <w:bCs/>
          <w:i/>
          <w:iCs/>
        </w:rPr>
        <w:t>supra</w:t>
      </w:r>
      <w:r w:rsidRPr="00DE4365">
        <w:rPr>
          <w:b w:val="0"/>
          <w:bCs/>
        </w:rPr>
        <w:t>,</w:t>
      </w:r>
      <w:r>
        <w:rPr>
          <w:b w:val="0"/>
          <w:bCs/>
        </w:rPr>
        <w:t xml:space="preserve"> 49 </w:t>
      </w:r>
      <w:r w:rsidRPr="00F51FB2">
        <w:rPr>
          <w:b w:val="0"/>
          <w:bCs/>
        </w:rPr>
        <w:t xml:space="preserve">Cal.App.5th </w:t>
      </w:r>
      <w:r>
        <w:rPr>
          <w:b w:val="0"/>
          <w:bCs/>
        </w:rPr>
        <w:t>at pp.</w:t>
      </w:r>
      <w:r>
        <w:rPr>
          <w:b w:val="0"/>
          <w:bCs/>
        </w:rPr>
        <w:t> </w:t>
      </w:r>
      <w:r>
        <w:rPr>
          <w:b w:val="0"/>
          <w:bCs/>
        </w:rPr>
        <w:t>213</w:t>
      </w:r>
      <w:r>
        <w:t>–</w:t>
      </w:r>
      <w:r>
        <w:rPr>
          <w:b w:val="0"/>
          <w:bCs/>
        </w:rPr>
        <w:t xml:space="preserve">214 [mother </w:t>
      </w:r>
      <w:r>
        <w:rPr>
          <w:b w:val="0"/>
          <w:bCs/>
        </w:rPr>
        <w:t xml:space="preserve">was dishonest about drug use during pregnancy, </w:t>
      </w:r>
      <w:r>
        <w:rPr>
          <w:b w:val="0"/>
          <w:bCs/>
        </w:rPr>
        <w:t xml:space="preserve">was evasive, tried to set up a </w:t>
      </w:r>
      <w:r>
        <w:rPr>
          <w:b w:val="0"/>
          <w:bCs/>
        </w:rPr>
        <w:t xml:space="preserve">guardianship to keep children </w:t>
      </w:r>
      <w:r>
        <w:rPr>
          <w:b w:val="0"/>
          <w:bCs/>
        </w:rPr>
        <w:t>from being detained</w:t>
      </w:r>
      <w:r>
        <w:rPr>
          <w:b w:val="0"/>
          <w:bCs/>
        </w:rPr>
        <w:t>]</w:t>
      </w:r>
      <w:r>
        <w:rPr>
          <w:b w:val="0"/>
          <w:bCs/>
        </w:rPr>
        <w:t>.)</w:t>
      </w:r>
    </w:p>
    <w:p w14:paraId="13750F73" w14:textId="77777777" w:rsidR="00B21D78" w:rsidRDefault="00B21D78" w:rsidP="00CC6A6D">
      <w:pPr>
        <w:pStyle w:val="Heading2"/>
        <w:spacing w:before="0" w:after="0"/>
        <w:ind w:left="0" w:firstLine="720"/>
        <w:contextualSpacing/>
        <w:rPr>
          <w:b w:val="0"/>
          <w:bCs/>
        </w:rPr>
      </w:pPr>
      <w:r>
        <w:rPr>
          <w:b w:val="0"/>
          <w:bCs/>
        </w:rPr>
        <w:t xml:space="preserve">On appeal, DCFS argues mother has conceded jurisdiction was proper based on her use of </w:t>
      </w:r>
      <w:r>
        <w:rPr>
          <w:b w:val="0"/>
          <w:bCs/>
        </w:rPr>
        <w:t>marijuana</w:t>
      </w:r>
      <w:r>
        <w:rPr>
          <w:b w:val="0"/>
          <w:bCs/>
        </w:rPr>
        <w:t>,</w:t>
      </w:r>
      <w:r>
        <w:rPr>
          <w:b w:val="0"/>
          <w:bCs/>
        </w:rPr>
        <w:t xml:space="preserve"> since she failed to mention that allegation in her opening brief.</w:t>
      </w:r>
      <w:r>
        <w:rPr>
          <w:b w:val="0"/>
          <w:bCs/>
        </w:rPr>
        <w:t xml:space="preserve"> </w:t>
      </w:r>
      <w:r>
        <w:rPr>
          <w:b w:val="0"/>
          <w:bCs/>
        </w:rPr>
        <w:t xml:space="preserve"> We disagree.  </w:t>
      </w:r>
      <w:r>
        <w:rPr>
          <w:b w:val="0"/>
          <w:bCs/>
        </w:rPr>
        <w:t xml:space="preserve">Mother’s opening brief </w:t>
      </w:r>
      <w:r>
        <w:rPr>
          <w:b w:val="0"/>
          <w:bCs/>
        </w:rPr>
        <w:t xml:space="preserve">adequately challenged the entirety of the juvenile court’s jurisdictional </w:t>
      </w:r>
      <w:r>
        <w:rPr>
          <w:b w:val="0"/>
          <w:bCs/>
        </w:rPr>
        <w:t>findings,</w:t>
      </w:r>
      <w:r>
        <w:rPr>
          <w:b w:val="0"/>
          <w:bCs/>
        </w:rPr>
        <w:t xml:space="preserve"> and we agree </w:t>
      </w:r>
      <w:r>
        <w:rPr>
          <w:b w:val="0"/>
          <w:bCs/>
        </w:rPr>
        <w:t xml:space="preserve">with mother </w:t>
      </w:r>
      <w:r>
        <w:rPr>
          <w:b w:val="0"/>
          <w:bCs/>
        </w:rPr>
        <w:t xml:space="preserve">that </w:t>
      </w:r>
      <w:r>
        <w:rPr>
          <w:b w:val="0"/>
          <w:bCs/>
        </w:rPr>
        <w:t>there was no</w:t>
      </w:r>
      <w:r>
        <w:rPr>
          <w:b w:val="0"/>
          <w:bCs/>
        </w:rPr>
        <w:t xml:space="preserve"> evidence that </w:t>
      </w:r>
      <w:r>
        <w:rPr>
          <w:b w:val="0"/>
          <w:bCs/>
        </w:rPr>
        <w:t xml:space="preserve">she </w:t>
      </w:r>
      <w:r>
        <w:rPr>
          <w:b w:val="0"/>
          <w:bCs/>
        </w:rPr>
        <w:t xml:space="preserve">abused marijuana.  The only reported positive test mother had for marijuana was at an October 2021 prenatal visit, months before </w:t>
      </w:r>
      <w:r>
        <w:rPr>
          <w:b w:val="0"/>
          <w:bCs/>
        </w:rPr>
        <w:t>DCFS became involved</w:t>
      </w:r>
      <w:r>
        <w:rPr>
          <w:b w:val="0"/>
          <w:bCs/>
        </w:rPr>
        <w:t xml:space="preserve"> with the family</w:t>
      </w:r>
      <w:r>
        <w:rPr>
          <w:b w:val="0"/>
          <w:bCs/>
        </w:rPr>
        <w:t>.  Mother did not test positive for marijuana at C.D.’s birth or in July 2022.</w:t>
      </w:r>
      <w:r>
        <w:rPr>
          <w:b w:val="0"/>
          <w:bCs/>
        </w:rPr>
        <w:t xml:space="preserve">  There w</w:t>
      </w:r>
      <w:r>
        <w:rPr>
          <w:b w:val="0"/>
          <w:bCs/>
        </w:rPr>
        <w:t xml:space="preserve">as no evidence that </w:t>
      </w:r>
      <w:proofErr w:type="gramStart"/>
      <w:r>
        <w:rPr>
          <w:b w:val="0"/>
          <w:bCs/>
        </w:rPr>
        <w:t>mother’s</w:t>
      </w:r>
      <w:proofErr w:type="gramEnd"/>
      <w:r>
        <w:rPr>
          <w:b w:val="0"/>
          <w:bCs/>
        </w:rPr>
        <w:t xml:space="preserve"> use of marijuana was ongoing, </w:t>
      </w:r>
      <w:r>
        <w:rPr>
          <w:b w:val="0"/>
          <w:bCs/>
        </w:rPr>
        <w:t xml:space="preserve">much less that it rose to the level of substance abuse.  </w:t>
      </w:r>
      <w:r>
        <w:rPr>
          <w:b w:val="0"/>
          <w:bCs/>
        </w:rPr>
        <w:t>There was similarly no evidence that mother smoked marijuana in the presence of the children</w:t>
      </w:r>
      <w:r>
        <w:rPr>
          <w:b w:val="0"/>
          <w:bCs/>
        </w:rPr>
        <w:t>, potentially subjecting them to second-hand marijuana smoke, as DCFS asserts on appeal.</w:t>
      </w:r>
    </w:p>
    <w:p w14:paraId="0CDE6BB3" w14:textId="77777777" w:rsidR="00B21D78" w:rsidRPr="00D56A27" w:rsidRDefault="00B21D78" w:rsidP="00D56A27">
      <w:pPr>
        <w:pStyle w:val="Heading2"/>
        <w:spacing w:before="0" w:after="0"/>
        <w:ind w:left="0" w:firstLine="720"/>
        <w:contextualSpacing/>
        <w:rPr>
          <w:b w:val="0"/>
          <w:bCs/>
        </w:rPr>
      </w:pPr>
      <w:r>
        <w:rPr>
          <w:b w:val="0"/>
          <w:bCs/>
        </w:rPr>
        <w:t xml:space="preserve">DCFS’s remaining arguments concern mother’s </w:t>
      </w:r>
      <w:r>
        <w:rPr>
          <w:b w:val="0"/>
          <w:bCs/>
        </w:rPr>
        <w:t xml:space="preserve">actual and presumed use of </w:t>
      </w:r>
      <w:r>
        <w:rPr>
          <w:b w:val="0"/>
          <w:bCs/>
        </w:rPr>
        <w:t xml:space="preserve">unprescribed opiates.  Yet, as explained above, </w:t>
      </w:r>
      <w:r>
        <w:rPr>
          <w:b w:val="0"/>
          <w:bCs/>
        </w:rPr>
        <w:t xml:space="preserve">substance abuse </w:t>
      </w:r>
      <w:r>
        <w:rPr>
          <w:b w:val="0"/>
          <w:bCs/>
        </w:rPr>
        <w:t xml:space="preserve">is not by itself sufficient to show a parent cannot </w:t>
      </w:r>
      <w:r>
        <w:rPr>
          <w:b w:val="0"/>
          <w:bCs/>
        </w:rPr>
        <w:lastRenderedPageBreak/>
        <w:t>provide regular care for a child and that t</w:t>
      </w:r>
      <w:r>
        <w:rPr>
          <w:b w:val="0"/>
          <w:bCs/>
        </w:rPr>
        <w:t>he child is therefore at risk of serious physical harm.  (</w:t>
      </w:r>
      <w:r>
        <w:rPr>
          <w:b w:val="0"/>
          <w:bCs/>
          <w:i/>
          <w:iCs/>
        </w:rPr>
        <w:t>N.R.</w:t>
      </w:r>
      <w:r w:rsidRPr="00950853">
        <w:rPr>
          <w:b w:val="0"/>
          <w:bCs/>
        </w:rPr>
        <w:t>,</w:t>
      </w:r>
      <w:r>
        <w:rPr>
          <w:b w:val="0"/>
          <w:bCs/>
          <w:i/>
          <w:iCs/>
        </w:rPr>
        <w:t xml:space="preserve"> supra</w:t>
      </w:r>
      <w:r w:rsidRPr="00950853">
        <w:rPr>
          <w:b w:val="0"/>
          <w:bCs/>
        </w:rPr>
        <w:t>,</w:t>
      </w:r>
      <w:r>
        <w:rPr>
          <w:b w:val="0"/>
          <w:bCs/>
        </w:rPr>
        <w:t xml:space="preserve"> 15 Cal.5th at pp.</w:t>
      </w:r>
      <w:r>
        <w:rPr>
          <w:b w:val="0"/>
          <w:bCs/>
        </w:rPr>
        <w:t> </w:t>
      </w:r>
      <w:r>
        <w:rPr>
          <w:b w:val="0"/>
          <w:bCs/>
        </w:rPr>
        <w:t>558</w:t>
      </w:r>
      <w:r>
        <w:t>–</w:t>
      </w:r>
      <w:r>
        <w:rPr>
          <w:b w:val="0"/>
          <w:bCs/>
        </w:rPr>
        <w:t xml:space="preserve">559.)  </w:t>
      </w:r>
      <w:r>
        <w:rPr>
          <w:b w:val="0"/>
          <w:bCs/>
        </w:rPr>
        <w:t xml:space="preserve">DCFS was required to “present evidence of a specific, nonspeculative and substantial risk . . . of serious physical harm” to the </w:t>
      </w:r>
      <w:r>
        <w:rPr>
          <w:b w:val="0"/>
          <w:bCs/>
        </w:rPr>
        <w:t>children.  (</w:t>
      </w:r>
      <w:r>
        <w:rPr>
          <w:b w:val="0"/>
          <w:bCs/>
          <w:i/>
          <w:iCs/>
        </w:rPr>
        <w:t>In re Destiny S.</w:t>
      </w:r>
      <w:r>
        <w:rPr>
          <w:b w:val="0"/>
          <w:bCs/>
        </w:rPr>
        <w:t xml:space="preserve"> (2012) 210 </w:t>
      </w:r>
      <w:r w:rsidRPr="00356A4E">
        <w:rPr>
          <w:b w:val="0"/>
          <w:bCs/>
        </w:rPr>
        <w:t xml:space="preserve">Cal.App.4th </w:t>
      </w:r>
      <w:r>
        <w:rPr>
          <w:b w:val="0"/>
          <w:bCs/>
        </w:rPr>
        <w:t>999, 1003.)</w:t>
      </w:r>
      <w:r>
        <w:rPr>
          <w:b w:val="0"/>
          <w:bCs/>
        </w:rPr>
        <w:t xml:space="preserve">  It failed to do so.</w:t>
      </w:r>
    </w:p>
    <w:p w14:paraId="4BD658FD" w14:textId="77777777" w:rsidR="00B21D78" w:rsidRDefault="00B21D78" w:rsidP="00CC6A6D">
      <w:pPr>
        <w:pStyle w:val="Heading2"/>
        <w:spacing w:before="0" w:after="0"/>
        <w:ind w:left="0" w:firstLine="720"/>
        <w:contextualSpacing/>
        <w:rPr>
          <w:b w:val="0"/>
          <w:bCs/>
        </w:rPr>
      </w:pPr>
      <w:r>
        <w:rPr>
          <w:b w:val="0"/>
          <w:bCs/>
        </w:rPr>
        <w:t>On the record before us</w:t>
      </w:r>
      <w:r>
        <w:rPr>
          <w:b w:val="0"/>
          <w:bCs/>
        </w:rPr>
        <w:t>,</w:t>
      </w:r>
      <w:r>
        <w:rPr>
          <w:b w:val="0"/>
          <w:bCs/>
        </w:rPr>
        <w:t xml:space="preserve"> the jurisdiction findings under section 300, subdivision (b) must be reversed, and the disposition </w:t>
      </w:r>
      <w:r>
        <w:rPr>
          <w:b w:val="0"/>
          <w:bCs/>
        </w:rPr>
        <w:t xml:space="preserve">and all subsequent orders </w:t>
      </w:r>
      <w:r>
        <w:rPr>
          <w:b w:val="0"/>
          <w:bCs/>
        </w:rPr>
        <w:t>vacated</w:t>
      </w:r>
      <w:r>
        <w:rPr>
          <w:b w:val="0"/>
          <w:bCs/>
        </w:rPr>
        <w:t>.</w:t>
      </w:r>
      <w:r>
        <w:rPr>
          <w:rStyle w:val="FootnoteReference"/>
          <w:b/>
          <w:bCs/>
        </w:rPr>
        <w:footnoteReference w:id="10"/>
      </w:r>
    </w:p>
    <w:p w14:paraId="7920CD21" w14:textId="77777777" w:rsidR="00B21D78" w:rsidRDefault="00B21D78" w:rsidP="00FE1BAC">
      <w:pPr>
        <w:pStyle w:val="Heading1"/>
        <w:keepNext/>
        <w:keepLines/>
        <w:widowControl w:val="0"/>
        <w:spacing w:before="0" w:after="0"/>
      </w:pPr>
      <w:r w:rsidRPr="00996A1B">
        <w:lastRenderedPageBreak/>
        <w:t>DISPOSITION</w:t>
      </w:r>
    </w:p>
    <w:p w14:paraId="7A6A686A" w14:textId="77777777" w:rsidR="00B21D78" w:rsidRPr="00293138" w:rsidRDefault="00B21D78" w:rsidP="00FE1BAC">
      <w:pPr>
        <w:pStyle w:val="Heading1"/>
        <w:keepNext/>
        <w:keepLines/>
        <w:widowControl w:val="0"/>
        <w:spacing w:before="0" w:after="0"/>
        <w:jc w:val="left"/>
        <w:rPr>
          <w:b w:val="0"/>
          <w:bCs/>
        </w:rPr>
      </w:pPr>
      <w:r>
        <w:rPr>
          <w:b w:val="0"/>
          <w:bCs/>
        </w:rPr>
        <w:tab/>
        <w:t>The orders of the juvenile court are reversed.</w:t>
      </w:r>
    </w:p>
    <w:p w14:paraId="5F34AD68" w14:textId="6BC9C4FF" w:rsidR="00B21D78" w:rsidRPr="00712178" w:rsidRDefault="00B21D78" w:rsidP="00FE1BAC">
      <w:pPr>
        <w:keepNext/>
        <w:keepLines/>
        <w:widowControl w:val="0"/>
        <w:rPr>
          <w:b/>
          <w:bCs/>
          <w:szCs w:val="26"/>
        </w:rPr>
      </w:pPr>
      <w:r>
        <w:tab/>
      </w:r>
      <w:r w:rsidR="00184E93">
        <w:rPr>
          <w:b/>
          <w:bCs/>
          <w:szCs w:val="26"/>
        </w:rPr>
        <w:t xml:space="preserve"> </w:t>
      </w:r>
    </w:p>
    <w:p w14:paraId="02ED5536" w14:textId="77777777" w:rsidR="00B21D78" w:rsidRPr="00681B69" w:rsidRDefault="00B21D78" w:rsidP="00FE1BAC">
      <w:pPr>
        <w:keepNext/>
        <w:keepLines/>
        <w:widowControl w:val="0"/>
        <w:rPr>
          <w:szCs w:val="26"/>
        </w:rPr>
      </w:pPr>
    </w:p>
    <w:p w14:paraId="65EAB7B4" w14:textId="77777777" w:rsidR="00B21D78" w:rsidRPr="00681B69" w:rsidRDefault="00B21D78" w:rsidP="00FE1BAC">
      <w:pPr>
        <w:keepNext/>
        <w:keepLines/>
        <w:widowControl w:val="0"/>
        <w:rPr>
          <w:szCs w:val="26"/>
        </w:rPr>
      </w:pPr>
    </w:p>
    <w:p w14:paraId="78967258" w14:textId="77777777" w:rsidR="00B21D78" w:rsidRDefault="00B21D78" w:rsidP="00FE1BAC">
      <w:pPr>
        <w:keepNext/>
        <w:keepLines/>
        <w:widowControl w:val="0"/>
        <w:rPr>
          <w:szCs w:val="26"/>
        </w:rPr>
      </w:pPr>
    </w:p>
    <w:p w14:paraId="3EAD97C6" w14:textId="77777777" w:rsidR="00B21D78" w:rsidRPr="00681B69" w:rsidRDefault="00B21D78" w:rsidP="00FE1BAC">
      <w:pPr>
        <w:keepNext/>
        <w:keepLines/>
        <w:widowControl w:val="0"/>
        <w:rPr>
          <w:szCs w:val="26"/>
        </w:rPr>
      </w:pPr>
    </w:p>
    <w:p w14:paraId="24A45FDF" w14:textId="77777777" w:rsidR="00B21D78" w:rsidRPr="00712178" w:rsidRDefault="00B21D78" w:rsidP="00FE1BAC">
      <w:pPr>
        <w:keepNext/>
        <w:keepLines/>
        <w:widowControl w:val="0"/>
      </w:pPr>
      <w:r w:rsidRPr="00681B69">
        <w:rPr>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t>ADAMS</w:t>
      </w:r>
      <w:r w:rsidRPr="00712178">
        <w:t>, J.</w:t>
      </w:r>
    </w:p>
    <w:p w14:paraId="50FEB8CA" w14:textId="77777777" w:rsidR="00B21D78" w:rsidRPr="00712178" w:rsidRDefault="00B21D78" w:rsidP="00FE1BAC">
      <w:pPr>
        <w:keepNext/>
        <w:keepLines/>
        <w:widowControl w:val="0"/>
        <w:rPr>
          <w:bCs/>
          <w:szCs w:val="26"/>
        </w:rPr>
      </w:pPr>
    </w:p>
    <w:p w14:paraId="570401DC" w14:textId="77777777" w:rsidR="00B21D78" w:rsidRPr="00712178" w:rsidRDefault="00B21D78" w:rsidP="00FE1BAC">
      <w:pPr>
        <w:keepNext/>
        <w:keepLines/>
        <w:widowControl w:val="0"/>
        <w:rPr>
          <w:bCs/>
          <w:szCs w:val="26"/>
        </w:rPr>
      </w:pPr>
      <w:r w:rsidRPr="00712178">
        <w:rPr>
          <w:bCs/>
          <w:szCs w:val="26"/>
        </w:rPr>
        <w:t>We concur:</w:t>
      </w:r>
    </w:p>
    <w:p w14:paraId="4FC84504" w14:textId="77777777" w:rsidR="00B21D78" w:rsidRPr="00712178" w:rsidRDefault="00B21D78" w:rsidP="00FE1BAC">
      <w:pPr>
        <w:keepNext/>
        <w:keepLines/>
        <w:widowControl w:val="0"/>
        <w:rPr>
          <w:bCs/>
          <w:szCs w:val="26"/>
        </w:rPr>
      </w:pPr>
    </w:p>
    <w:p w14:paraId="510C7A1A" w14:textId="77777777" w:rsidR="00B21D78" w:rsidRPr="00712178" w:rsidRDefault="00B21D78" w:rsidP="00FE1BAC">
      <w:pPr>
        <w:keepNext/>
        <w:keepLines/>
        <w:widowControl w:val="0"/>
        <w:rPr>
          <w:bCs/>
          <w:szCs w:val="26"/>
        </w:rPr>
      </w:pPr>
    </w:p>
    <w:p w14:paraId="66B51481" w14:textId="77777777" w:rsidR="00B21D78" w:rsidRDefault="00B21D78" w:rsidP="00FE1BAC">
      <w:pPr>
        <w:keepNext/>
        <w:keepLines/>
        <w:widowControl w:val="0"/>
        <w:rPr>
          <w:bCs/>
          <w:szCs w:val="26"/>
        </w:rPr>
      </w:pPr>
    </w:p>
    <w:p w14:paraId="4BE089A1" w14:textId="77777777" w:rsidR="00B21D78" w:rsidRPr="00712178" w:rsidRDefault="00B21D78" w:rsidP="00FE1BAC">
      <w:pPr>
        <w:keepNext/>
        <w:keepLines/>
        <w:widowControl w:val="0"/>
        <w:rPr>
          <w:bCs/>
          <w:szCs w:val="26"/>
        </w:rPr>
      </w:pPr>
    </w:p>
    <w:p w14:paraId="000CCD7E" w14:textId="77777777" w:rsidR="00B21D78" w:rsidRPr="00712178" w:rsidRDefault="00B21D78" w:rsidP="00FE1BAC">
      <w:pPr>
        <w:keepNext/>
        <w:keepLines/>
        <w:widowControl w:val="0"/>
      </w:pPr>
      <w:r w:rsidRPr="00712178">
        <w:rPr>
          <w:bCs/>
          <w:szCs w:val="26"/>
        </w:rPr>
        <w:tab/>
      </w:r>
      <w:r w:rsidRPr="00712178">
        <w:rPr>
          <w:bCs/>
          <w:szCs w:val="26"/>
        </w:rPr>
        <w:tab/>
      </w:r>
      <w:r w:rsidRPr="00712178">
        <w:rPr>
          <w:bCs/>
          <w:szCs w:val="26"/>
        </w:rPr>
        <w:tab/>
      </w:r>
      <w:r>
        <w:rPr>
          <w:bCs/>
          <w:szCs w:val="26"/>
        </w:rPr>
        <w:t>LAVIN</w:t>
      </w:r>
      <w:r w:rsidRPr="00712178">
        <w:t>,</w:t>
      </w:r>
      <w:r>
        <w:t xml:space="preserve"> </w:t>
      </w:r>
      <w:r>
        <w:t xml:space="preserve">Acting </w:t>
      </w:r>
      <w:r>
        <w:t>P.</w:t>
      </w:r>
      <w:r w:rsidRPr="00712178">
        <w:t xml:space="preserve"> J.</w:t>
      </w:r>
    </w:p>
    <w:p w14:paraId="063412C0" w14:textId="77777777" w:rsidR="00B21D78" w:rsidRPr="00712178" w:rsidRDefault="00B21D78" w:rsidP="00FE1BAC">
      <w:pPr>
        <w:keepNext/>
        <w:keepLines/>
        <w:widowControl w:val="0"/>
      </w:pPr>
    </w:p>
    <w:p w14:paraId="16BFF72B" w14:textId="77777777" w:rsidR="00B21D78" w:rsidRPr="00712178" w:rsidRDefault="00B21D78" w:rsidP="00FE1BAC">
      <w:pPr>
        <w:keepNext/>
        <w:keepLines/>
        <w:widowControl w:val="0"/>
      </w:pPr>
    </w:p>
    <w:p w14:paraId="5D79DC38" w14:textId="77777777" w:rsidR="00B21D78" w:rsidRDefault="00B21D78" w:rsidP="00FE1BAC">
      <w:pPr>
        <w:keepNext/>
        <w:keepLines/>
        <w:widowControl w:val="0"/>
      </w:pPr>
    </w:p>
    <w:p w14:paraId="27022F73" w14:textId="77777777" w:rsidR="00B21D78" w:rsidRPr="00712178" w:rsidRDefault="00B21D78" w:rsidP="00FE1BAC">
      <w:pPr>
        <w:keepNext/>
        <w:keepLines/>
        <w:widowControl w:val="0"/>
      </w:pPr>
    </w:p>
    <w:p w14:paraId="182C6DB4" w14:textId="77777777" w:rsidR="00184E93" w:rsidRDefault="00B21D78" w:rsidP="00FE1BAC">
      <w:pPr>
        <w:keepNext/>
        <w:keepLines/>
        <w:widowControl w:val="0"/>
        <w:sectPr w:rsidR="00184E93" w:rsidSect="004C743E">
          <w:footerReference w:type="default" r:id="rId7"/>
          <w:footerReference w:type="first" r:id="rId8"/>
          <w:pgSz w:w="12240" w:h="15840"/>
          <w:pgMar w:top="2160" w:right="2160" w:bottom="2160" w:left="2160" w:header="720" w:footer="720" w:gutter="0"/>
          <w:pgNumType w:start="1"/>
          <w:cols w:space="720"/>
          <w:titlePg/>
          <w:docGrid w:linePitch="360"/>
        </w:sectPr>
      </w:pPr>
      <w:r w:rsidRPr="00712178">
        <w:tab/>
      </w:r>
      <w:r w:rsidRPr="00712178">
        <w:tab/>
      </w:r>
      <w:r w:rsidRPr="00712178">
        <w:tab/>
      </w:r>
      <w:r>
        <w:t>EGERTON</w:t>
      </w:r>
      <w:r>
        <w:t>,</w:t>
      </w:r>
      <w:r>
        <w:t xml:space="preserve"> </w:t>
      </w:r>
      <w:r w:rsidRPr="00712178">
        <w:t>J</w:t>
      </w:r>
      <w:r>
        <w:t>.</w:t>
      </w:r>
    </w:p>
    <w:p w14:paraId="7B79499C" w14:textId="77777777" w:rsidR="00184E93" w:rsidRPr="00B00DF0" w:rsidRDefault="00184E93" w:rsidP="00184E93">
      <w:pPr>
        <w:rPr>
          <w:bCs/>
          <w:sz w:val="20"/>
        </w:rPr>
      </w:pPr>
      <w:r w:rsidRPr="00B00DF0">
        <w:rPr>
          <w:bCs/>
          <w:sz w:val="20"/>
        </w:rPr>
        <w:lastRenderedPageBreak/>
        <w:t>Filed 6/28/24</w:t>
      </w:r>
    </w:p>
    <w:p w14:paraId="7709E0DA" w14:textId="77777777" w:rsidR="00184E93" w:rsidRDefault="00184E93" w:rsidP="00184E93">
      <w:pPr>
        <w:jc w:val="center"/>
        <w:rPr>
          <w:b/>
        </w:rPr>
      </w:pPr>
      <w:r>
        <w:rPr>
          <w:b/>
        </w:rPr>
        <w:t>CERTIFIED FOR PUBLICATION</w:t>
      </w:r>
    </w:p>
    <w:p w14:paraId="5103FCB6" w14:textId="77777777" w:rsidR="00184E93" w:rsidRDefault="00184E93" w:rsidP="00184E93">
      <w:pPr>
        <w:jc w:val="center"/>
        <w:rPr>
          <w:b/>
        </w:rPr>
      </w:pPr>
    </w:p>
    <w:p w14:paraId="2102B327" w14:textId="77777777" w:rsidR="00184E93" w:rsidRDefault="00184E93" w:rsidP="00184E93">
      <w:pPr>
        <w:spacing w:line="240" w:lineRule="auto"/>
        <w:jc w:val="center"/>
      </w:pPr>
      <w:r>
        <w:t>IN THE COURT OF APPEAL OF THE STATE OF CALIFORNIA</w:t>
      </w:r>
    </w:p>
    <w:p w14:paraId="7F9F9B42" w14:textId="77777777" w:rsidR="00184E93" w:rsidRDefault="00184E93" w:rsidP="00184E93">
      <w:pPr>
        <w:spacing w:line="240" w:lineRule="auto"/>
        <w:jc w:val="center"/>
      </w:pPr>
    </w:p>
    <w:p w14:paraId="291426BE" w14:textId="77777777" w:rsidR="00184E93" w:rsidRDefault="00184E93" w:rsidP="00184E93">
      <w:pPr>
        <w:spacing w:line="240" w:lineRule="auto"/>
        <w:jc w:val="center"/>
      </w:pPr>
      <w:r>
        <w:t>SECOND APPELLATE DISTRICT</w:t>
      </w:r>
    </w:p>
    <w:p w14:paraId="051F12EE" w14:textId="77777777" w:rsidR="00184E93" w:rsidRDefault="00184E93" w:rsidP="00184E93">
      <w:pPr>
        <w:spacing w:line="240" w:lineRule="auto"/>
        <w:jc w:val="center"/>
      </w:pPr>
    </w:p>
    <w:p w14:paraId="1425E804" w14:textId="77777777" w:rsidR="00184E93" w:rsidRDefault="00184E93" w:rsidP="00184E93">
      <w:pPr>
        <w:spacing w:line="240" w:lineRule="auto"/>
        <w:jc w:val="center"/>
      </w:pPr>
      <w:r>
        <w:t>DIVISION THREE</w:t>
      </w:r>
    </w:p>
    <w:p w14:paraId="0D4293BC" w14:textId="77777777" w:rsidR="00184E93" w:rsidRDefault="00184E93" w:rsidP="00184E93">
      <w:pPr>
        <w:spacing w:line="240" w:lineRule="auto"/>
        <w:jc w:val="center"/>
      </w:pPr>
    </w:p>
    <w:p w14:paraId="4E2A4234" w14:textId="77777777" w:rsidR="00184E93" w:rsidRDefault="00184E93" w:rsidP="00184E93">
      <w:pPr>
        <w:spacing w:line="240" w:lineRule="auto"/>
        <w:jc w:val="center"/>
      </w:pPr>
    </w:p>
    <w:tbl>
      <w:tblPr>
        <w:tblW w:w="0" w:type="auto"/>
        <w:tblLayout w:type="fixed"/>
        <w:tblLook w:val="0000" w:firstRow="0" w:lastRow="0" w:firstColumn="0" w:lastColumn="0" w:noHBand="0" w:noVBand="0"/>
      </w:tblPr>
      <w:tblGrid>
        <w:gridCol w:w="4680"/>
        <w:gridCol w:w="4680"/>
      </w:tblGrid>
      <w:tr w:rsidR="00184E93" w14:paraId="2ABE6ED7" w14:textId="77777777" w:rsidTr="00F11FC1">
        <w:tc>
          <w:tcPr>
            <w:tcW w:w="4680" w:type="dxa"/>
            <w:tcBorders>
              <w:bottom w:val="single" w:sz="4" w:space="0" w:color="auto"/>
              <w:right w:val="single" w:sz="4" w:space="0" w:color="auto"/>
            </w:tcBorders>
            <w:shd w:val="clear" w:color="auto" w:fill="auto"/>
          </w:tcPr>
          <w:p w14:paraId="463A937E" w14:textId="77777777" w:rsidR="00184E93" w:rsidRDefault="00184E93" w:rsidP="00F11FC1">
            <w:pPr>
              <w:spacing w:line="240" w:lineRule="auto"/>
            </w:pPr>
            <w:r>
              <w:rPr>
                <w:rFonts w:cstheme="minorBidi"/>
                <w:kern w:val="2"/>
                <w:szCs w:val="22"/>
                <w14:ligatures w14:val="standardContextual"/>
              </w:rPr>
              <w:t>In re B.D. et al., Persons Coming Under the Juvenile Court Law.</w:t>
            </w:r>
          </w:p>
          <w:p w14:paraId="50391101" w14:textId="77777777" w:rsidR="00184E93" w:rsidRDefault="00184E93" w:rsidP="00F11FC1">
            <w:pPr>
              <w:spacing w:line="240" w:lineRule="auto"/>
            </w:pPr>
          </w:p>
        </w:tc>
        <w:tc>
          <w:tcPr>
            <w:tcW w:w="4680" w:type="dxa"/>
            <w:tcBorders>
              <w:left w:val="single" w:sz="4" w:space="0" w:color="auto"/>
            </w:tcBorders>
            <w:shd w:val="clear" w:color="auto" w:fill="auto"/>
          </w:tcPr>
          <w:p w14:paraId="384E3119" w14:textId="77777777" w:rsidR="00184E93" w:rsidRDefault="00184E93" w:rsidP="00F11FC1">
            <w:pPr>
              <w:spacing w:line="240" w:lineRule="auto"/>
            </w:pPr>
          </w:p>
        </w:tc>
      </w:tr>
      <w:tr w:rsidR="00184E93" w14:paraId="19B6646E" w14:textId="77777777" w:rsidTr="00F11FC1">
        <w:tc>
          <w:tcPr>
            <w:tcW w:w="4680" w:type="dxa"/>
            <w:tcBorders>
              <w:top w:val="single" w:sz="4" w:space="0" w:color="auto"/>
              <w:bottom w:val="single" w:sz="4" w:space="0" w:color="auto"/>
              <w:right w:val="single" w:sz="4" w:space="0" w:color="auto"/>
            </w:tcBorders>
            <w:shd w:val="clear" w:color="auto" w:fill="auto"/>
          </w:tcPr>
          <w:p w14:paraId="66AEF104" w14:textId="77777777" w:rsidR="00184E93" w:rsidRDefault="00184E93" w:rsidP="00F11FC1">
            <w:pPr>
              <w:spacing w:line="240" w:lineRule="auto"/>
            </w:pPr>
            <w:r>
              <w:rPr>
                <w:rFonts w:cstheme="minorBidi"/>
                <w:kern w:val="2"/>
                <w:szCs w:val="22"/>
                <w14:ligatures w14:val="standardContextual"/>
              </w:rPr>
              <w:t>LOS ANGELES COUNTY DEPARTMENT OF CHILDREN AND FAMILY SERVICES,</w:t>
            </w:r>
          </w:p>
          <w:p w14:paraId="60610828" w14:textId="77777777" w:rsidR="00184E93" w:rsidRDefault="00184E93" w:rsidP="00F11FC1">
            <w:pPr>
              <w:spacing w:line="240" w:lineRule="auto"/>
            </w:pPr>
          </w:p>
          <w:p w14:paraId="0582E158" w14:textId="77777777" w:rsidR="00184E93" w:rsidRDefault="00184E93" w:rsidP="00F11FC1">
            <w:pPr>
              <w:spacing w:line="240" w:lineRule="auto"/>
              <w:ind w:left="720" w:hanging="720"/>
            </w:pPr>
            <w:r>
              <w:rPr>
                <w:rFonts w:cstheme="minorBidi"/>
                <w:kern w:val="2"/>
                <w:szCs w:val="22"/>
                <w14:ligatures w14:val="standardContextual"/>
              </w:rPr>
              <w:tab/>
              <w:t>Plaintiff and Respondent,</w:t>
            </w:r>
          </w:p>
          <w:p w14:paraId="090B9549" w14:textId="77777777" w:rsidR="00184E93" w:rsidRDefault="00184E93" w:rsidP="00F11FC1">
            <w:pPr>
              <w:spacing w:line="240" w:lineRule="auto"/>
              <w:ind w:left="720" w:hanging="720"/>
            </w:pPr>
          </w:p>
          <w:p w14:paraId="1C6ABA5C" w14:textId="77777777" w:rsidR="00184E93" w:rsidRDefault="00184E93" w:rsidP="00F11FC1">
            <w:pPr>
              <w:spacing w:line="240" w:lineRule="auto"/>
              <w:ind w:left="720" w:hanging="720"/>
            </w:pPr>
            <w:r>
              <w:rPr>
                <w:rFonts w:cstheme="minorBidi"/>
                <w:kern w:val="2"/>
                <w:szCs w:val="22"/>
                <w14:ligatures w14:val="standardContextual"/>
              </w:rPr>
              <w:tab/>
              <w:t>v.</w:t>
            </w:r>
          </w:p>
          <w:p w14:paraId="457C0EAC" w14:textId="77777777" w:rsidR="00184E93" w:rsidRDefault="00184E93" w:rsidP="00F11FC1">
            <w:pPr>
              <w:spacing w:line="240" w:lineRule="auto"/>
              <w:ind w:left="720" w:hanging="720"/>
            </w:pPr>
          </w:p>
          <w:p w14:paraId="434BBF9D" w14:textId="77777777" w:rsidR="00184E93" w:rsidRDefault="00184E93" w:rsidP="00F11FC1">
            <w:pPr>
              <w:spacing w:line="240" w:lineRule="auto"/>
              <w:ind w:left="720" w:hanging="720"/>
            </w:pPr>
            <w:r>
              <w:rPr>
                <w:rFonts w:cstheme="minorBidi"/>
                <w:kern w:val="2"/>
                <w:szCs w:val="22"/>
                <w14:ligatures w14:val="standardContextual"/>
              </w:rPr>
              <w:t>Brittany B.,</w:t>
            </w:r>
          </w:p>
          <w:p w14:paraId="4C02CFCA" w14:textId="77777777" w:rsidR="00184E93" w:rsidRDefault="00184E93" w:rsidP="00F11FC1">
            <w:pPr>
              <w:spacing w:line="240" w:lineRule="auto"/>
              <w:ind w:left="720" w:hanging="720"/>
            </w:pPr>
          </w:p>
          <w:p w14:paraId="22EA457C" w14:textId="77777777" w:rsidR="00184E93" w:rsidRDefault="00184E93" w:rsidP="00F11FC1">
            <w:pPr>
              <w:spacing w:line="240" w:lineRule="auto"/>
              <w:ind w:left="720" w:hanging="720"/>
            </w:pPr>
            <w:r>
              <w:rPr>
                <w:rFonts w:cstheme="minorBidi"/>
                <w:kern w:val="2"/>
                <w:szCs w:val="22"/>
                <w14:ligatures w14:val="standardContextual"/>
              </w:rPr>
              <w:tab/>
              <w:t>Defendant and Appellant.</w:t>
            </w:r>
          </w:p>
          <w:p w14:paraId="10787C5E" w14:textId="77777777" w:rsidR="00184E93" w:rsidRDefault="00184E93" w:rsidP="00F11FC1">
            <w:pPr>
              <w:spacing w:line="240" w:lineRule="auto"/>
              <w:ind w:left="720" w:hanging="720"/>
            </w:pPr>
          </w:p>
        </w:tc>
        <w:tc>
          <w:tcPr>
            <w:tcW w:w="4680" w:type="dxa"/>
            <w:tcBorders>
              <w:left w:val="single" w:sz="4" w:space="0" w:color="auto"/>
            </w:tcBorders>
            <w:shd w:val="clear" w:color="auto" w:fill="auto"/>
          </w:tcPr>
          <w:p w14:paraId="7947DF36" w14:textId="77777777" w:rsidR="00184E93" w:rsidRDefault="00184E93" w:rsidP="00F11FC1">
            <w:pPr>
              <w:spacing w:line="240" w:lineRule="auto"/>
              <w:ind w:left="288" w:right="-288"/>
            </w:pPr>
            <w:r>
              <w:rPr>
                <w:rFonts w:cstheme="minorBidi"/>
                <w:kern w:val="2"/>
                <w:szCs w:val="22"/>
                <w14:ligatures w14:val="standardContextual"/>
              </w:rPr>
              <w:t>No. B327625</w:t>
            </w:r>
          </w:p>
          <w:p w14:paraId="554B1C3E" w14:textId="77777777" w:rsidR="00184E93" w:rsidRDefault="00184E93" w:rsidP="00F11FC1">
            <w:pPr>
              <w:spacing w:line="240" w:lineRule="auto"/>
              <w:ind w:left="288" w:right="-288"/>
            </w:pPr>
          </w:p>
          <w:p w14:paraId="3D8759A7" w14:textId="77777777" w:rsidR="00184E93" w:rsidRDefault="00184E93" w:rsidP="00F11FC1">
            <w:pPr>
              <w:spacing w:line="240" w:lineRule="auto"/>
              <w:ind w:left="288" w:right="-288"/>
            </w:pPr>
            <w:r>
              <w:rPr>
                <w:rFonts w:cstheme="minorBidi"/>
                <w:kern w:val="2"/>
                <w:szCs w:val="22"/>
                <w14:ligatures w14:val="standardContextual"/>
              </w:rPr>
              <w:t xml:space="preserve">(Los Angeles County </w:t>
            </w:r>
          </w:p>
          <w:p w14:paraId="0C87416D" w14:textId="77777777" w:rsidR="00184E93" w:rsidRDefault="00184E93" w:rsidP="00F11FC1">
            <w:pPr>
              <w:spacing w:line="240" w:lineRule="auto"/>
              <w:ind w:left="288" w:right="-288"/>
            </w:pPr>
            <w:r>
              <w:rPr>
                <w:rFonts w:cstheme="minorBidi"/>
                <w:kern w:val="2"/>
                <w:szCs w:val="22"/>
                <w14:ligatures w14:val="standardContextual"/>
              </w:rPr>
              <w:t>Super. Ct. No. 22LJJP00221A–B)</w:t>
            </w:r>
          </w:p>
          <w:p w14:paraId="3BE59956" w14:textId="77777777" w:rsidR="00184E93" w:rsidRDefault="00184E93" w:rsidP="00F11FC1">
            <w:pPr>
              <w:spacing w:line="240" w:lineRule="auto"/>
              <w:ind w:left="288" w:right="-288"/>
              <w:jc w:val="center"/>
            </w:pPr>
          </w:p>
          <w:p w14:paraId="72384E8F" w14:textId="77777777" w:rsidR="00184E93" w:rsidRDefault="00184E93" w:rsidP="00F11FC1">
            <w:pPr>
              <w:spacing w:line="240" w:lineRule="auto"/>
              <w:ind w:left="288" w:right="-288"/>
              <w:jc w:val="center"/>
            </w:pPr>
          </w:p>
          <w:p w14:paraId="752AA760" w14:textId="77777777" w:rsidR="00184E93" w:rsidRDefault="00184E93" w:rsidP="00F11FC1">
            <w:pPr>
              <w:spacing w:line="240" w:lineRule="auto"/>
              <w:ind w:left="288" w:right="-288"/>
              <w:jc w:val="center"/>
            </w:pPr>
          </w:p>
          <w:p w14:paraId="00640F95" w14:textId="77777777" w:rsidR="00184E93" w:rsidRDefault="00184E93" w:rsidP="00F11FC1">
            <w:pPr>
              <w:spacing w:line="240" w:lineRule="auto"/>
              <w:ind w:left="288" w:right="-288"/>
              <w:jc w:val="center"/>
            </w:pPr>
            <w:r>
              <w:rPr>
                <w:rFonts w:cstheme="minorBidi"/>
                <w:kern w:val="2"/>
                <w:szCs w:val="22"/>
                <w14:ligatures w14:val="standardContextual"/>
              </w:rPr>
              <w:t>ORDER CERTIFYING OPINION FOR PUBLICATION</w:t>
            </w:r>
          </w:p>
        </w:tc>
      </w:tr>
    </w:tbl>
    <w:p w14:paraId="05378444" w14:textId="77777777" w:rsidR="00184E93" w:rsidRDefault="00184E93" w:rsidP="00184E93">
      <w:pPr>
        <w:spacing w:line="360" w:lineRule="auto"/>
      </w:pPr>
    </w:p>
    <w:p w14:paraId="3DD9DE4E" w14:textId="77777777" w:rsidR="00184E93" w:rsidRDefault="00184E93" w:rsidP="00184E93">
      <w:pPr>
        <w:spacing w:line="360" w:lineRule="auto"/>
      </w:pPr>
      <w:r>
        <w:t>THE COURT:</w:t>
      </w:r>
    </w:p>
    <w:p w14:paraId="6A322BCF" w14:textId="77777777" w:rsidR="00184E93" w:rsidRDefault="00184E93" w:rsidP="00184E93">
      <w:pPr>
        <w:spacing w:line="360" w:lineRule="auto"/>
      </w:pPr>
      <w:r>
        <w:tab/>
        <w:t>The opinion in the above-entitled matter filed on June 6, 2024, was not certified for publication in the Official Reports.  Upon request by appellant and a non-party to this action, and good cause appearing, it is ordered that the opinion shall be published in the Official Reports.</w:t>
      </w:r>
    </w:p>
    <w:p w14:paraId="21C78F93" w14:textId="77777777" w:rsidR="00184E93" w:rsidRDefault="00184E93" w:rsidP="00184E93">
      <w:pPr>
        <w:spacing w:line="360" w:lineRule="auto"/>
      </w:pPr>
      <w:r>
        <w:lastRenderedPageBreak/>
        <w:tab/>
        <w:t>Pursuant to California Rules of Court, rule 8.1105(b), this opinion is certified for publication.</w:t>
      </w:r>
    </w:p>
    <w:p w14:paraId="7FDBB90A" w14:textId="77777777" w:rsidR="00184E93" w:rsidRPr="0059631B" w:rsidRDefault="00184E93" w:rsidP="00184E93">
      <w:pPr>
        <w:pStyle w:val="BodyText"/>
        <w:tabs>
          <w:tab w:val="left" w:pos="1368"/>
        </w:tabs>
        <w:rPr>
          <w:szCs w:val="26"/>
        </w:rPr>
      </w:pPr>
    </w:p>
    <w:p w14:paraId="2B56AF24" w14:textId="77777777" w:rsidR="00184E93" w:rsidRPr="0059631B" w:rsidRDefault="00184E93" w:rsidP="00184E93">
      <w:pPr>
        <w:pStyle w:val="BodyText"/>
        <w:rPr>
          <w:szCs w:val="26"/>
        </w:rPr>
      </w:pPr>
    </w:p>
    <w:p w14:paraId="3789D152" w14:textId="77777777" w:rsidR="00184E93" w:rsidRPr="0059631B" w:rsidRDefault="00184E93" w:rsidP="00184E93">
      <w:pPr>
        <w:pStyle w:val="BodyText"/>
        <w:rPr>
          <w:szCs w:val="26"/>
        </w:rPr>
      </w:pPr>
    </w:p>
    <w:p w14:paraId="3D2FF714" w14:textId="77777777" w:rsidR="00184E93" w:rsidRDefault="00184E93" w:rsidP="00184E93">
      <w:pPr>
        <w:pStyle w:val="BodyText"/>
        <w:spacing w:before="71"/>
        <w:rPr>
          <w:sz w:val="20"/>
        </w:rPr>
      </w:pPr>
      <w:r>
        <w:rPr>
          <w:noProof/>
        </w:rPr>
        <mc:AlternateContent>
          <mc:Choice Requires="wps">
            <w:drawing>
              <wp:anchor distT="0" distB="0" distL="0" distR="0" simplePos="0" relativeHeight="251659264" behindDoc="1" locked="0" layoutInCell="1" allowOverlap="1" wp14:anchorId="062C6B92" wp14:editId="71278199">
                <wp:simplePos x="0" y="0"/>
                <wp:positionH relativeFrom="page">
                  <wp:posOffset>914704</wp:posOffset>
                </wp:positionH>
                <wp:positionV relativeFrom="paragraph">
                  <wp:posOffset>213186</wp:posOffset>
                </wp:positionV>
                <wp:extent cx="5659755" cy="1270"/>
                <wp:effectExtent l="0" t="0" r="0" b="0"/>
                <wp:wrapTopAndBottom/>
                <wp:docPr id="5" name="Graphic 5"/>
                <wp:cNvGraphicFramePr/>
                <a:graphic xmlns:a="http://schemas.openxmlformats.org/drawingml/2006/main">
                  <a:graphicData uri="http://schemas.microsoft.com/office/word/2010/wordprocessingShape">
                    <wps:wsp>
                      <wps:cNvSpPr/>
                      <wps:spPr>
                        <a:xfrm>
                          <a:off x="0" y="0"/>
                          <a:ext cx="5659755" cy="1270"/>
                        </a:xfrm>
                        <a:custGeom>
                          <a:avLst/>
                          <a:gdLst/>
                          <a:ahLst/>
                          <a:cxnLst/>
                          <a:rect l="l" t="t" r="r" b="b"/>
                          <a:pathLst>
                            <a:path w="5659755">
                              <a:moveTo>
                                <a:pt x="0" y="0"/>
                              </a:moveTo>
                              <a:lnTo>
                                <a:pt x="5659141" y="0"/>
                              </a:lnTo>
                            </a:path>
                          </a:pathLst>
                        </a:custGeom>
                        <a:ln w="7010">
                          <a:solidFill>
                            <a:srgbClr val="000000"/>
                          </a:solidFill>
                        </a:ln>
                      </wps:spPr>
                      <wps:bodyPr wrap="square" lIns="0" tIns="0" rIns="0" bIns="0" rtlCol="0">
                        <a:prstTxWarp prst="textNoShape">
                          <a:avLst/>
                        </a:prstTxWarp>
                      </wps:bodyPr>
                    </wps:wsp>
                  </a:graphicData>
                </a:graphic>
              </wp:anchor>
            </w:drawing>
          </mc:Choice>
          <mc:Fallback>
            <w:pict>
              <v:shape w14:anchorId="112087C6" id="Graphic 5" o:spid="_x0000_s1026" style="position:absolute;margin-left:1in;margin-top:16.8pt;width:445.6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659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" path="m,l5659141,e" filled="f" strokeweight=".19472mm">
                <v:path arrowok="t"/>
                <w10:wrap type="topAndBottom" anchorx="page"/>
              </v:shape>
            </w:pict>
          </mc:Fallback>
        </mc:AlternateContent>
      </w:r>
    </w:p>
    <w:p w14:paraId="74268E42" w14:textId="77777777" w:rsidR="00184E93" w:rsidRPr="0059631B" w:rsidRDefault="00184E93" w:rsidP="00184E93">
      <w:pPr>
        <w:pStyle w:val="BodyText"/>
        <w:tabs>
          <w:tab w:val="left" w:pos="4320"/>
          <w:tab w:val="left" w:pos="7200"/>
        </w:tabs>
        <w:spacing w:before="19"/>
      </w:pPr>
      <w:r>
        <w:t>LAVIN, Acting</w:t>
      </w:r>
      <w:r>
        <w:rPr>
          <w:spacing w:val="-6"/>
        </w:rPr>
        <w:t xml:space="preserve"> </w:t>
      </w:r>
      <w:r>
        <w:rPr>
          <w:spacing w:val="-4"/>
        </w:rPr>
        <w:t xml:space="preserve">P. J.                    </w:t>
      </w:r>
      <w:r>
        <w:t>EGERTON,</w:t>
      </w:r>
      <w:r>
        <w:rPr>
          <w:spacing w:val="-8"/>
        </w:rPr>
        <w:t xml:space="preserve"> </w:t>
      </w:r>
      <w:r>
        <w:rPr>
          <w:spacing w:val="-5"/>
        </w:rPr>
        <w:t>J.</w:t>
      </w:r>
      <w:r>
        <w:t xml:space="preserve">                       ADAMS,</w:t>
      </w:r>
      <w:r>
        <w:rPr>
          <w:spacing w:val="-3"/>
        </w:rPr>
        <w:t xml:space="preserve"> </w:t>
      </w:r>
      <w:r>
        <w:rPr>
          <w:spacing w:val="-5"/>
        </w:rPr>
        <w:t>J.</w:t>
      </w:r>
    </w:p>
    <w:p w14:paraId="19E30DA5" w14:textId="77777777" w:rsidR="00B21D78" w:rsidRDefault="00B21D78" w:rsidP="00FE1BAC">
      <w:pPr>
        <w:keepNext/>
        <w:keepLines/>
        <w:widowControl w:val="0"/>
      </w:pPr>
    </w:p>
    <w:sectPr w:rsidR="0029322B" w:rsidSect="00184E93">
      <w:footerReference w:type="default" r:id="rId9"/>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7C36F" w14:textId="77777777" w:rsidR="00B21D78" w:rsidRDefault="00B21D78">
      <w:pPr>
        <w:spacing w:line="240" w:lineRule="auto"/>
      </w:pPr>
      <w:r>
        <w:separator/>
      </w:r>
    </w:p>
  </w:endnote>
  <w:endnote w:type="continuationSeparator" w:id="0">
    <w:p w14:paraId="0BB6DD39" w14:textId="77777777" w:rsidR="00B21D78" w:rsidRDefault="00B2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930086"/>
      <w:docPartObj>
        <w:docPartGallery w:val="Page Numbers (Bottom of Page)"/>
        <w:docPartUnique/>
      </w:docPartObj>
    </w:sdtPr>
    <w:sdtEndPr>
      <w:rPr>
        <w:noProof/>
      </w:rPr>
    </w:sdtEndPr>
    <w:sdtContent>
      <w:p w14:paraId="330BED19" w14:textId="77777777" w:rsidR="00B21D78" w:rsidRDefault="00B21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78D0E" w14:textId="77777777" w:rsidR="00B21D78" w:rsidRDefault="00B21D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439027"/>
      <w:docPartObj>
        <w:docPartGallery w:val="Page Numbers (Bottom of Page)"/>
        <w:docPartUnique/>
      </w:docPartObj>
    </w:sdtPr>
    <w:sdtEndPr>
      <w:rPr>
        <w:noProof/>
      </w:rPr>
    </w:sdtEndPr>
    <w:sdtContent>
      <w:p w14:paraId="13A3C851" w14:textId="77777777" w:rsidR="00B21D78" w:rsidRDefault="00B21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12CDB" w14:textId="77777777" w:rsidR="00B21D78" w:rsidRDefault="00B21D78" w:rsidP="00032B4F">
      <w:pPr>
        <w:spacing w:line="240" w:lineRule="auto"/>
      </w:pPr>
      <w:r>
        <w:separator/>
      </w:r>
    </w:p>
  </w:footnote>
  <w:footnote w:type="continuationSeparator" w:id="0">
    <w:p w14:paraId="30EA2812" w14:textId="77777777" w:rsidR="00B21D78" w:rsidRDefault="00B21D78" w:rsidP="00032B4F">
      <w:pPr>
        <w:spacing w:line="240" w:lineRule="auto"/>
      </w:pPr>
      <w:r>
        <w:continuationSeparator/>
      </w:r>
    </w:p>
  </w:footnote>
  <w:footnote w:type="continuationNotice" w:id="1">
    <w:p w14:paraId="5E777892" w14:textId="77777777" w:rsidR="00B21D78" w:rsidRDefault="00B21D78">
      <w:pPr>
        <w:spacing w:line="240" w:lineRule="auto"/>
      </w:pPr>
    </w:p>
  </w:footnote>
  <w:footnote w:id="2">
    <w:p w14:paraId="0F13E273" w14:textId="77777777" w:rsidR="00B21D78" w:rsidRDefault="00B21D78" w:rsidP="00E05986">
      <w:pPr>
        <w:pStyle w:val="FootnoteText"/>
      </w:pPr>
      <w:r>
        <w:rPr>
          <w:rStyle w:val="FootnoteReference"/>
        </w:rPr>
        <w:footnoteRef/>
      </w:r>
      <w:r>
        <w:t xml:space="preserve"> </w:t>
      </w:r>
      <w:r>
        <w:tab/>
      </w:r>
      <w:r>
        <w:t xml:space="preserve">All </w:t>
      </w:r>
      <w:r>
        <w:t>further undesignated statutory references are to the Welfare and Institutions Code.</w:t>
      </w:r>
    </w:p>
    <w:p w14:paraId="08E304D6" w14:textId="77777777" w:rsidR="00B21D78" w:rsidRDefault="00B21D78" w:rsidP="00E05986">
      <w:pPr>
        <w:pStyle w:val="FootnoteText"/>
      </w:pPr>
    </w:p>
  </w:footnote>
  <w:footnote w:id="3">
    <w:p w14:paraId="083D3BEB" w14:textId="77777777" w:rsidR="00B21D78" w:rsidRDefault="00B21D78" w:rsidP="00E05986">
      <w:pPr>
        <w:pStyle w:val="FootnoteText"/>
      </w:pPr>
      <w:r>
        <w:rPr>
          <w:rStyle w:val="FootnoteReference"/>
        </w:rPr>
        <w:footnoteRef/>
      </w:r>
      <w:r>
        <w:t xml:space="preserve"> </w:t>
      </w:r>
      <w:r>
        <w:tab/>
      </w:r>
      <w:r>
        <w:t xml:space="preserve">At the jurisdiction hearing, mother </w:t>
      </w:r>
      <w:r>
        <w:t xml:space="preserve">agreed with </w:t>
      </w:r>
      <w:r>
        <w:t>DCFS</w:t>
      </w:r>
      <w:r>
        <w:t>’s</w:t>
      </w:r>
      <w:r>
        <w:t xml:space="preserve"> counsel</w:t>
      </w:r>
      <w:r>
        <w:t xml:space="preserve"> </w:t>
      </w:r>
      <w:r>
        <w:t xml:space="preserve">that Norco is a brand name for </w:t>
      </w:r>
      <w:r w:rsidRPr="00A645F0">
        <w:t>hydrocodone</w:t>
      </w:r>
      <w:r>
        <w:t>.</w:t>
      </w:r>
    </w:p>
  </w:footnote>
  <w:footnote w:id="4">
    <w:p w14:paraId="3030665C" w14:textId="77777777" w:rsidR="00B21D78" w:rsidRDefault="00B21D78" w:rsidP="00E05986">
      <w:pPr>
        <w:pStyle w:val="FootnoteText"/>
      </w:pPr>
      <w:r>
        <w:rPr>
          <w:rStyle w:val="FootnoteReference"/>
        </w:rPr>
        <w:footnoteRef/>
      </w:r>
      <w:r>
        <w:t xml:space="preserve"> </w:t>
      </w:r>
      <w:r>
        <w:tab/>
      </w:r>
      <w:r>
        <w:t xml:space="preserve">Although the court ordered the children “home of parents,” the record indicates father did not live with mother and the children.  Father </w:t>
      </w:r>
      <w:r>
        <w:t xml:space="preserve">was not named in the petition, </w:t>
      </w:r>
      <w:r>
        <w:t>declined to participate in the proceedings</w:t>
      </w:r>
      <w:r>
        <w:t xml:space="preserve"> below,</w:t>
      </w:r>
      <w:r>
        <w:t xml:space="preserve"> and is not a party to this appeal.</w:t>
      </w:r>
    </w:p>
  </w:footnote>
  <w:footnote w:id="5">
    <w:p w14:paraId="4BD3B5E8" w14:textId="77777777" w:rsidR="00B21D78" w:rsidRPr="00682D35" w:rsidRDefault="00B21D78" w:rsidP="00E05986">
      <w:pPr>
        <w:pStyle w:val="FootnoteText"/>
      </w:pPr>
      <w:r>
        <w:rPr>
          <w:rStyle w:val="FootnoteReference"/>
        </w:rPr>
        <w:footnoteRef/>
      </w:r>
      <w:r>
        <w:t xml:space="preserve"> </w:t>
      </w:r>
      <w:r>
        <w:tab/>
      </w:r>
      <w:r>
        <w:t xml:space="preserve">As the court explained in </w:t>
      </w:r>
      <w:proofErr w:type="gramStart"/>
      <w:r>
        <w:rPr>
          <w:i/>
          <w:iCs/>
        </w:rPr>
        <w:t>In</w:t>
      </w:r>
      <w:proofErr w:type="gramEnd"/>
      <w:r>
        <w:rPr>
          <w:i/>
          <w:iCs/>
        </w:rPr>
        <w:t xml:space="preserve"> re E.E.</w:t>
      </w:r>
      <w:r>
        <w:t xml:space="preserve"> (2020) </w:t>
      </w:r>
      <w:r>
        <w:t>49 Cal.App.5th 195, 202</w:t>
      </w:r>
      <w:r>
        <w:t xml:space="preserve"> (</w:t>
      </w:r>
      <w:r>
        <w:rPr>
          <w:i/>
          <w:iCs/>
        </w:rPr>
        <w:t>E.E.</w:t>
      </w:r>
      <w:r w:rsidRPr="00E05986">
        <w:t>)</w:t>
      </w:r>
      <w:r w:rsidRPr="009A3972">
        <w:t>,</w:t>
      </w:r>
      <w:r>
        <w:t xml:space="preserve"> before the court asserts dependency jurisdiction over a child, it cannot order parents to submit to drug testing.</w:t>
      </w:r>
      <w:r>
        <w:t xml:space="preserve">  A parent’s participation in services at this stage of the proceedings </w:t>
      </w:r>
      <w:r>
        <w:t>is voluntary.  (</w:t>
      </w:r>
      <w:r>
        <w:rPr>
          <w:i/>
          <w:iCs/>
        </w:rPr>
        <w:t>Id</w:t>
      </w:r>
      <w:r w:rsidRPr="001F6808">
        <w:t>.</w:t>
      </w:r>
      <w:r>
        <w:t xml:space="preserve"> at p. 209.)</w:t>
      </w:r>
      <w:r>
        <w:t xml:space="preserve">  </w:t>
      </w:r>
      <w:r>
        <w:t xml:space="preserve">Nonetheless, one reasonable inference from a parent’s </w:t>
      </w:r>
      <w:r>
        <w:t>refusal to submit to drug testing</w:t>
      </w:r>
      <w:r>
        <w:t xml:space="preserve"> at the agency’s request, </w:t>
      </w:r>
      <w:r>
        <w:t>knowing that the agency is attempting to confirm or rule out substance abuse,</w:t>
      </w:r>
      <w:r>
        <w:t xml:space="preserve"> is that the parent fears</w:t>
      </w:r>
      <w:r>
        <w:t xml:space="preserve"> such tests would be positive.</w:t>
      </w:r>
      <w:r>
        <w:t xml:space="preserve">  (</w:t>
      </w:r>
      <w:r>
        <w:rPr>
          <w:i/>
          <w:iCs/>
        </w:rPr>
        <w:t>In re Natalie A.</w:t>
      </w:r>
      <w:r>
        <w:t xml:space="preserve"> (2015) 243 Cal.App.4th </w:t>
      </w:r>
      <w:r>
        <w:t>178, 186 [father’s failure to drug test created reasonable inference that his marijuana use was more frequent than he a</w:t>
      </w:r>
      <w:r>
        <w:t>dmitted].)</w:t>
      </w:r>
    </w:p>
  </w:footnote>
  <w:footnote w:id="6">
    <w:p w14:paraId="13F660FF" w14:textId="77777777" w:rsidR="00B21D78" w:rsidRPr="00C1349E" w:rsidRDefault="00B21D78" w:rsidP="00E05986">
      <w:pPr>
        <w:pStyle w:val="FootnoteText"/>
      </w:pPr>
      <w:r>
        <w:rPr>
          <w:rStyle w:val="FootnoteReference"/>
        </w:rPr>
        <w:footnoteRef/>
      </w:r>
      <w:r>
        <w:t xml:space="preserve"> </w:t>
      </w:r>
      <w:r>
        <w:tab/>
      </w:r>
      <w:r>
        <w:rPr>
          <w:i/>
          <w:iCs/>
        </w:rPr>
        <w:t>Troy D.</w:t>
      </w:r>
      <w:r>
        <w:t xml:space="preserve"> also included a discussion of </w:t>
      </w:r>
      <w:r>
        <w:t xml:space="preserve">former </w:t>
      </w:r>
      <w:r>
        <w:t>Penal Code section 11166</w:t>
      </w:r>
      <w:r>
        <w:t>,</w:t>
      </w:r>
      <w:r>
        <w:t xml:space="preserve"> which</w:t>
      </w:r>
      <w:r>
        <w:t xml:space="preserve"> th</w:t>
      </w:r>
      <w:r>
        <w:t xml:space="preserve">e court held would require </w:t>
      </w:r>
      <w:r>
        <w:t xml:space="preserve">a hospital social worker to make </w:t>
      </w:r>
      <w:r>
        <w:t xml:space="preserve">a report to a child protective agency if </w:t>
      </w:r>
      <w:r>
        <w:t xml:space="preserve">the worker </w:t>
      </w:r>
      <w:r>
        <w:t>conclude</w:t>
      </w:r>
      <w:r>
        <w:t>d</w:t>
      </w:r>
      <w:r>
        <w:t xml:space="preserve"> a newborn’s positive toxicology test results raised a reasonable suspicion of child abuse.</w:t>
      </w:r>
      <w:r>
        <w:t xml:space="preserve">  We note that under current law, Penal Code section </w:t>
      </w:r>
      <w:r>
        <w:t xml:space="preserve">11165.13 </w:t>
      </w:r>
      <w:r>
        <w:t xml:space="preserve">provides that </w:t>
      </w:r>
      <w:r>
        <w:t>for purposes of mandated child abuse and neglect reporting, “a positive toxicology screen at the time of the delivery of an infant is not in an</w:t>
      </w:r>
      <w:r>
        <w:t>d of itself a sufficient basis for reporting child abuse or neglect.”</w:t>
      </w:r>
      <w:r>
        <w:t xml:space="preserve">  Instead, a report is to be made “[</w:t>
      </w:r>
      <w:proofErr w:type="spellStart"/>
      <w:r>
        <w:t>i</w:t>
      </w:r>
      <w:proofErr w:type="spellEnd"/>
      <w:r>
        <w:t>]f other factors are present that indicate risk to a child</w:t>
      </w:r>
      <w:r>
        <w:t xml:space="preserve"> </w:t>
      </w:r>
      <w:proofErr w:type="gramStart"/>
      <w:r>
        <w:t>.</w:t>
      </w:r>
      <w:r>
        <w:t xml:space="preserve"> . . .</w:t>
      </w:r>
      <w:proofErr w:type="gramEnd"/>
      <w:r>
        <w:t>”</w:t>
      </w:r>
      <w:r>
        <w:t xml:space="preserve">  (</w:t>
      </w:r>
      <w:r>
        <w:t>Pen</w:t>
      </w:r>
      <w:r>
        <w:t>.</w:t>
      </w:r>
      <w:r>
        <w:t xml:space="preserve"> Code, </w:t>
      </w:r>
      <w:r>
        <w:t>§ 11165.13.)</w:t>
      </w:r>
    </w:p>
  </w:footnote>
  <w:footnote w:id="7">
    <w:p w14:paraId="6DF3D6B3" w14:textId="77777777" w:rsidR="00B21D78" w:rsidRPr="00F52773" w:rsidRDefault="00B21D78" w:rsidP="00E05986">
      <w:pPr>
        <w:pStyle w:val="FootnoteText"/>
      </w:pPr>
      <w:r>
        <w:rPr>
          <w:rStyle w:val="FootnoteReference"/>
        </w:rPr>
        <w:footnoteRef/>
      </w:r>
      <w:r>
        <w:t xml:space="preserve"> </w:t>
      </w:r>
      <w:r>
        <w:tab/>
      </w:r>
      <w:r>
        <w:t>A</w:t>
      </w:r>
      <w:r>
        <w:t xml:space="preserve">lthough the drug-exposed infant in </w:t>
      </w:r>
      <w:r>
        <w:rPr>
          <w:i/>
          <w:iCs/>
        </w:rPr>
        <w:t>Christopher R.</w:t>
      </w:r>
      <w:r>
        <w:t xml:space="preserve"> did not have withdrawal symptoms or ongoing health problems, </w:t>
      </w:r>
      <w:r>
        <w:t xml:space="preserve">the court noted </w:t>
      </w:r>
      <w:r>
        <w:t xml:space="preserve">she was born with </w:t>
      </w:r>
      <w:r>
        <w:t>low birth weight and respiratory issues</w:t>
      </w:r>
      <w:r>
        <w:t xml:space="preserve"> that required her to receive oxygen and be fed intravenously.</w:t>
      </w:r>
      <w:r>
        <w:t xml:space="preserve">  </w:t>
      </w:r>
      <w:r>
        <w:t xml:space="preserve">She remained in the hospital for 25 days after birth.  </w:t>
      </w:r>
      <w:r>
        <w:t>(</w:t>
      </w:r>
      <w:r>
        <w:rPr>
          <w:i/>
          <w:iCs/>
        </w:rPr>
        <w:t>Christopher R</w:t>
      </w:r>
      <w:r w:rsidRPr="00983455">
        <w:rPr>
          <w:i/>
          <w:iCs/>
        </w:rPr>
        <w:t>.</w:t>
      </w:r>
      <w:r w:rsidRPr="009F2E79">
        <w:t>,</w:t>
      </w:r>
      <w:r>
        <w:t xml:space="preserve"> </w:t>
      </w:r>
      <w:r w:rsidRPr="009F2E79">
        <w:rPr>
          <w:i/>
          <w:iCs/>
        </w:rPr>
        <w:t>supra</w:t>
      </w:r>
      <w:r>
        <w:t>, 225 Cal.App.4</w:t>
      </w:r>
      <w:r w:rsidRPr="001E2862">
        <w:t>th</w:t>
      </w:r>
      <w:r>
        <w:t xml:space="preserve"> </w:t>
      </w:r>
      <w:r>
        <w:t xml:space="preserve">at p. </w:t>
      </w:r>
      <w:r>
        <w:t>1213.)</w:t>
      </w:r>
      <w:r>
        <w:t xml:space="preserve">  Thus, it is not clear that </w:t>
      </w:r>
      <w:r>
        <w:t>the</w:t>
      </w:r>
      <w:r>
        <w:t xml:space="preserve"> court was presented with a situation in which the</w:t>
      </w:r>
      <w:r>
        <w:t xml:space="preserve"> infant suffered no discernable negative effects from </w:t>
      </w:r>
      <w:r>
        <w:t xml:space="preserve">the </w:t>
      </w:r>
      <w:r>
        <w:t>mother’s prenatal</w:t>
      </w:r>
      <w:r>
        <w:t xml:space="preserve"> drug use</w:t>
      </w:r>
      <w:r>
        <w:t>.</w:t>
      </w:r>
    </w:p>
  </w:footnote>
  <w:footnote w:id="8">
    <w:p w14:paraId="3E80767B" w14:textId="77777777" w:rsidR="00B21D78" w:rsidRPr="00AE707B" w:rsidRDefault="00B21D78" w:rsidP="00E05986">
      <w:pPr>
        <w:pStyle w:val="FootnoteText"/>
      </w:pPr>
      <w:r>
        <w:rPr>
          <w:rStyle w:val="FootnoteReference"/>
        </w:rPr>
        <w:footnoteRef/>
      </w:r>
      <w:r>
        <w:t xml:space="preserve"> </w:t>
      </w:r>
      <w:r>
        <w:tab/>
      </w:r>
      <w:r>
        <w:t xml:space="preserve">The </w:t>
      </w:r>
      <w:r>
        <w:rPr>
          <w:i/>
          <w:iCs/>
        </w:rPr>
        <w:t xml:space="preserve">N.R. </w:t>
      </w:r>
      <w:r>
        <w:t xml:space="preserve">court </w:t>
      </w:r>
      <w:r>
        <w:t xml:space="preserve">rejected </w:t>
      </w:r>
      <w:r>
        <w:t xml:space="preserve">the “tender years presumption,” namely “the position that a ‘finding of substance abuse is prima facie evidence of the inability of a parent or guardian to provide regular care resulting in a substantial risk of </w:t>
      </w:r>
      <w:r>
        <w:t xml:space="preserve">physical harm’ to a child of </w:t>
      </w:r>
      <w:proofErr w:type="gramStart"/>
      <w:r>
        <w:t>‘ “</w:t>
      </w:r>
      <w:proofErr w:type="gramEnd"/>
      <w:r>
        <w:t>tender years</w:t>
      </w:r>
      <w:r>
        <w:t>.</w:t>
      </w:r>
      <w:r>
        <w:t>” ’</w:t>
      </w:r>
      <w:r>
        <w:t xml:space="preserve"> </w:t>
      </w:r>
      <w:r>
        <w:t xml:space="preserve"> [Citation.]”  (</w:t>
      </w:r>
      <w:r>
        <w:rPr>
          <w:i/>
          <w:iCs/>
        </w:rPr>
        <w:t>N.R.</w:t>
      </w:r>
      <w:r w:rsidRPr="00950853">
        <w:t>,</w:t>
      </w:r>
      <w:r>
        <w:rPr>
          <w:i/>
          <w:iCs/>
        </w:rPr>
        <w:t xml:space="preserve"> supra</w:t>
      </w:r>
      <w:r w:rsidRPr="00950853">
        <w:t>,</w:t>
      </w:r>
      <w:r>
        <w:rPr>
          <w:i/>
          <w:iCs/>
        </w:rPr>
        <w:t xml:space="preserve"> </w:t>
      </w:r>
      <w:r>
        <w:t>15 Cal.5th at pp.</w:t>
      </w:r>
      <w:r>
        <w:t> </w:t>
      </w:r>
      <w:r>
        <w:t>556</w:t>
      </w:r>
      <w:r>
        <w:t>–</w:t>
      </w:r>
      <w:r>
        <w:t xml:space="preserve">557.)  Although minors’ counsel and counsel for DCFS referred to “tender years” in their arguments to the juvenile court below, </w:t>
      </w:r>
      <w:r>
        <w:t>the record does not clearly indicate</w:t>
      </w:r>
      <w:r>
        <w:t xml:space="preserve"> that the court relied on the </w:t>
      </w:r>
      <w:r>
        <w:t xml:space="preserve">tender years </w:t>
      </w:r>
      <w:r>
        <w:t xml:space="preserve">presumption in </w:t>
      </w:r>
      <w:r>
        <w:t>making its jurisdictional findings.</w:t>
      </w:r>
    </w:p>
  </w:footnote>
  <w:footnote w:id="9">
    <w:p w14:paraId="614E246C" w14:textId="77777777" w:rsidR="00B21D78" w:rsidRDefault="00B21D78" w:rsidP="00E05986">
      <w:pPr>
        <w:pStyle w:val="FootnoteText"/>
      </w:pPr>
      <w:r>
        <w:rPr>
          <w:rStyle w:val="FootnoteReference"/>
        </w:rPr>
        <w:footnoteRef/>
      </w:r>
      <w:r>
        <w:t xml:space="preserve"> </w:t>
      </w:r>
      <w:r>
        <w:tab/>
      </w:r>
      <w:r>
        <w:t xml:space="preserve">Presumably the social workers visiting mother’s home twice a month between </w:t>
      </w:r>
      <w:r>
        <w:t xml:space="preserve">June 2022 and January 2023 learned that B.D. </w:t>
      </w:r>
      <w:r>
        <w:t>had</w:t>
      </w:r>
      <w:r>
        <w:t xml:space="preserve"> apparently </w:t>
      </w:r>
      <w:r>
        <w:t>started</w:t>
      </w:r>
      <w:r>
        <w:t xml:space="preserve"> preschool.  </w:t>
      </w:r>
      <w:r>
        <w:t>T</w:t>
      </w:r>
      <w:r>
        <w:t>here is no indication that DCFS attempted to interview anyone from the school.</w:t>
      </w:r>
    </w:p>
  </w:footnote>
  <w:footnote w:id="10">
    <w:p w14:paraId="0DD837FA" w14:textId="77777777" w:rsidR="00B21D78" w:rsidRDefault="00B21D78" w:rsidP="00E05986">
      <w:pPr>
        <w:pStyle w:val="FootnoteText"/>
      </w:pPr>
      <w:r>
        <w:rPr>
          <w:rStyle w:val="FootnoteReference"/>
        </w:rPr>
        <w:footnoteRef/>
      </w:r>
      <w:r>
        <w:t xml:space="preserve"> </w:t>
      </w:r>
      <w:r>
        <w:tab/>
      </w:r>
      <w:r>
        <w:t xml:space="preserve">We recognize that over a year has passed since the juvenile court entered the orders that we now </w:t>
      </w:r>
      <w:r>
        <w:t>review,</w:t>
      </w:r>
      <w:r>
        <w:t xml:space="preserve"> and circumstances may have changed.  </w:t>
      </w:r>
      <w:r w:rsidRPr="006F6C34">
        <w:t xml:space="preserve">“Our conclusion that the sustained allegations of the petition do not support jurisdiction does not mean </w:t>
      </w:r>
      <w:r>
        <w:t xml:space="preserve">[that] </w:t>
      </w:r>
      <w:r w:rsidRPr="006F6C34">
        <w:t>DCFS cannot try again</w:t>
      </w:r>
      <w:proofErr w:type="gramStart"/>
      <w:r w:rsidRPr="006F6C34">
        <w:t>.</w:t>
      </w:r>
      <w:r>
        <w:t xml:space="preserve"> . . .</w:t>
      </w:r>
      <w:proofErr w:type="gramEnd"/>
      <w:r>
        <w:t xml:space="preserve">  </w:t>
      </w:r>
      <w:r>
        <w:t>[I]</w:t>
      </w:r>
      <w:r w:rsidRPr="006F6C34">
        <w:t>t is entirely possible valid grounds exist for the state to assume jurisdiction over these children</w:t>
      </w:r>
      <w:r w:rsidRPr="002B564B">
        <w:t xml:space="preserve"> </w:t>
      </w:r>
      <w:proofErr w:type="gramStart"/>
      <w:r w:rsidRPr="002B564B">
        <w:t>. . . .</w:t>
      </w:r>
      <w:proofErr w:type="gramEnd"/>
      <w:r w:rsidRPr="002B564B">
        <w:t>”</w:t>
      </w:r>
      <w:r>
        <w:t xml:space="preserve"> </w:t>
      </w:r>
      <w:r w:rsidRPr="006F6C34">
        <w:t xml:space="preserve"> (</w:t>
      </w:r>
      <w:r w:rsidRPr="006F6C34">
        <w:rPr>
          <w:i/>
          <w:iCs/>
        </w:rPr>
        <w:t>In re Janet T.</w:t>
      </w:r>
      <w:r w:rsidRPr="006F6C34">
        <w:t xml:space="preserve"> (2001) 93 Cal.App.4th 377, 392.)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0267C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8AE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7C04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A83D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8ADB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2D5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2C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9AA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58D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72D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2914"/>
    <w:multiLevelType w:val="hybridMultilevel"/>
    <w:tmpl w:val="9C1AF7A4"/>
    <w:lvl w:ilvl="0" w:tplc="4AC61AD6">
      <w:start w:val="1"/>
      <w:numFmt w:val="upperRoman"/>
      <w:lvlText w:val="%1."/>
      <w:lvlJc w:val="left"/>
      <w:pPr>
        <w:ind w:left="1080" w:hanging="720"/>
      </w:pPr>
      <w:rPr>
        <w:rFonts w:hint="default"/>
      </w:rPr>
    </w:lvl>
    <w:lvl w:ilvl="1" w:tplc="FF8C2182" w:tentative="1">
      <w:start w:val="1"/>
      <w:numFmt w:val="lowerLetter"/>
      <w:lvlText w:val="%2."/>
      <w:lvlJc w:val="left"/>
      <w:pPr>
        <w:ind w:left="1440" w:hanging="360"/>
      </w:pPr>
    </w:lvl>
    <w:lvl w:ilvl="2" w:tplc="E132E382" w:tentative="1">
      <w:start w:val="1"/>
      <w:numFmt w:val="lowerRoman"/>
      <w:lvlText w:val="%3."/>
      <w:lvlJc w:val="right"/>
      <w:pPr>
        <w:ind w:left="2160" w:hanging="180"/>
      </w:pPr>
    </w:lvl>
    <w:lvl w:ilvl="3" w:tplc="B546EE52" w:tentative="1">
      <w:start w:val="1"/>
      <w:numFmt w:val="decimal"/>
      <w:lvlText w:val="%4."/>
      <w:lvlJc w:val="left"/>
      <w:pPr>
        <w:ind w:left="2880" w:hanging="360"/>
      </w:pPr>
    </w:lvl>
    <w:lvl w:ilvl="4" w:tplc="77AEDCB2" w:tentative="1">
      <w:start w:val="1"/>
      <w:numFmt w:val="lowerLetter"/>
      <w:lvlText w:val="%5."/>
      <w:lvlJc w:val="left"/>
      <w:pPr>
        <w:ind w:left="3600" w:hanging="360"/>
      </w:pPr>
    </w:lvl>
    <w:lvl w:ilvl="5" w:tplc="31BA1880" w:tentative="1">
      <w:start w:val="1"/>
      <w:numFmt w:val="lowerRoman"/>
      <w:lvlText w:val="%6."/>
      <w:lvlJc w:val="right"/>
      <w:pPr>
        <w:ind w:left="4320" w:hanging="180"/>
      </w:pPr>
    </w:lvl>
    <w:lvl w:ilvl="6" w:tplc="370E8FFE" w:tentative="1">
      <w:start w:val="1"/>
      <w:numFmt w:val="decimal"/>
      <w:lvlText w:val="%7."/>
      <w:lvlJc w:val="left"/>
      <w:pPr>
        <w:ind w:left="5040" w:hanging="360"/>
      </w:pPr>
    </w:lvl>
    <w:lvl w:ilvl="7" w:tplc="A868280A" w:tentative="1">
      <w:start w:val="1"/>
      <w:numFmt w:val="lowerLetter"/>
      <w:lvlText w:val="%8."/>
      <w:lvlJc w:val="left"/>
      <w:pPr>
        <w:ind w:left="5760" w:hanging="360"/>
      </w:pPr>
    </w:lvl>
    <w:lvl w:ilvl="8" w:tplc="50DA520C" w:tentative="1">
      <w:start w:val="1"/>
      <w:numFmt w:val="lowerRoman"/>
      <w:lvlText w:val="%9."/>
      <w:lvlJc w:val="right"/>
      <w:pPr>
        <w:ind w:left="6480" w:hanging="180"/>
      </w:pPr>
    </w:lvl>
  </w:abstractNum>
  <w:abstractNum w:abstractNumId="11" w15:restartNumberingAfterBreak="0">
    <w:nsid w:val="11A06AFB"/>
    <w:multiLevelType w:val="hybridMultilevel"/>
    <w:tmpl w:val="43D4A630"/>
    <w:lvl w:ilvl="0" w:tplc="17821742">
      <w:start w:val="1"/>
      <w:numFmt w:val="upperRoman"/>
      <w:lvlText w:val="%1."/>
      <w:lvlJc w:val="left"/>
      <w:pPr>
        <w:ind w:left="1080" w:hanging="720"/>
      </w:pPr>
      <w:rPr>
        <w:rFonts w:hint="default"/>
      </w:rPr>
    </w:lvl>
    <w:lvl w:ilvl="1" w:tplc="88386378" w:tentative="1">
      <w:start w:val="1"/>
      <w:numFmt w:val="lowerLetter"/>
      <w:lvlText w:val="%2."/>
      <w:lvlJc w:val="left"/>
      <w:pPr>
        <w:ind w:left="1440" w:hanging="360"/>
      </w:pPr>
    </w:lvl>
    <w:lvl w:ilvl="2" w:tplc="7E5C1612" w:tentative="1">
      <w:start w:val="1"/>
      <w:numFmt w:val="lowerRoman"/>
      <w:lvlText w:val="%3."/>
      <w:lvlJc w:val="right"/>
      <w:pPr>
        <w:ind w:left="2160" w:hanging="180"/>
      </w:pPr>
    </w:lvl>
    <w:lvl w:ilvl="3" w:tplc="045A34D2" w:tentative="1">
      <w:start w:val="1"/>
      <w:numFmt w:val="decimal"/>
      <w:lvlText w:val="%4."/>
      <w:lvlJc w:val="left"/>
      <w:pPr>
        <w:ind w:left="2880" w:hanging="360"/>
      </w:pPr>
    </w:lvl>
    <w:lvl w:ilvl="4" w:tplc="A2AADD1A" w:tentative="1">
      <w:start w:val="1"/>
      <w:numFmt w:val="lowerLetter"/>
      <w:lvlText w:val="%5."/>
      <w:lvlJc w:val="left"/>
      <w:pPr>
        <w:ind w:left="3600" w:hanging="360"/>
      </w:pPr>
    </w:lvl>
    <w:lvl w:ilvl="5" w:tplc="C1208C0E" w:tentative="1">
      <w:start w:val="1"/>
      <w:numFmt w:val="lowerRoman"/>
      <w:lvlText w:val="%6."/>
      <w:lvlJc w:val="right"/>
      <w:pPr>
        <w:ind w:left="4320" w:hanging="180"/>
      </w:pPr>
    </w:lvl>
    <w:lvl w:ilvl="6" w:tplc="59EC3440" w:tentative="1">
      <w:start w:val="1"/>
      <w:numFmt w:val="decimal"/>
      <w:lvlText w:val="%7."/>
      <w:lvlJc w:val="left"/>
      <w:pPr>
        <w:ind w:left="5040" w:hanging="360"/>
      </w:pPr>
    </w:lvl>
    <w:lvl w:ilvl="7" w:tplc="E23EF8FE" w:tentative="1">
      <w:start w:val="1"/>
      <w:numFmt w:val="lowerLetter"/>
      <w:lvlText w:val="%8."/>
      <w:lvlJc w:val="left"/>
      <w:pPr>
        <w:ind w:left="5760" w:hanging="360"/>
      </w:pPr>
    </w:lvl>
    <w:lvl w:ilvl="8" w:tplc="D81066A2" w:tentative="1">
      <w:start w:val="1"/>
      <w:numFmt w:val="lowerRoman"/>
      <w:lvlText w:val="%9."/>
      <w:lvlJc w:val="right"/>
      <w:pPr>
        <w:ind w:left="6480" w:hanging="180"/>
      </w:pPr>
    </w:lvl>
  </w:abstractNum>
  <w:abstractNum w:abstractNumId="12" w15:restartNumberingAfterBreak="0">
    <w:nsid w:val="204E0820"/>
    <w:multiLevelType w:val="hybridMultilevel"/>
    <w:tmpl w:val="CDC23A7E"/>
    <w:lvl w:ilvl="0" w:tplc="1C4E53C6">
      <w:start w:val="1"/>
      <w:numFmt w:val="upperLetter"/>
      <w:lvlText w:val="%1."/>
      <w:lvlJc w:val="left"/>
      <w:pPr>
        <w:ind w:left="720" w:hanging="360"/>
      </w:pPr>
      <w:rPr>
        <w:rFonts w:hint="default"/>
      </w:rPr>
    </w:lvl>
    <w:lvl w:ilvl="1" w:tplc="283E283A" w:tentative="1">
      <w:start w:val="1"/>
      <w:numFmt w:val="lowerLetter"/>
      <w:lvlText w:val="%2."/>
      <w:lvlJc w:val="left"/>
      <w:pPr>
        <w:ind w:left="1440" w:hanging="360"/>
      </w:pPr>
    </w:lvl>
    <w:lvl w:ilvl="2" w:tplc="7CA441C0" w:tentative="1">
      <w:start w:val="1"/>
      <w:numFmt w:val="lowerRoman"/>
      <w:lvlText w:val="%3."/>
      <w:lvlJc w:val="right"/>
      <w:pPr>
        <w:ind w:left="2160" w:hanging="180"/>
      </w:pPr>
    </w:lvl>
    <w:lvl w:ilvl="3" w:tplc="E104165A" w:tentative="1">
      <w:start w:val="1"/>
      <w:numFmt w:val="decimal"/>
      <w:lvlText w:val="%4."/>
      <w:lvlJc w:val="left"/>
      <w:pPr>
        <w:ind w:left="2880" w:hanging="360"/>
      </w:pPr>
    </w:lvl>
    <w:lvl w:ilvl="4" w:tplc="E04C7B4A" w:tentative="1">
      <w:start w:val="1"/>
      <w:numFmt w:val="lowerLetter"/>
      <w:lvlText w:val="%5."/>
      <w:lvlJc w:val="left"/>
      <w:pPr>
        <w:ind w:left="3600" w:hanging="360"/>
      </w:pPr>
    </w:lvl>
    <w:lvl w:ilvl="5" w:tplc="671AE41E" w:tentative="1">
      <w:start w:val="1"/>
      <w:numFmt w:val="lowerRoman"/>
      <w:lvlText w:val="%6."/>
      <w:lvlJc w:val="right"/>
      <w:pPr>
        <w:ind w:left="4320" w:hanging="180"/>
      </w:pPr>
    </w:lvl>
    <w:lvl w:ilvl="6" w:tplc="19B209F2" w:tentative="1">
      <w:start w:val="1"/>
      <w:numFmt w:val="decimal"/>
      <w:lvlText w:val="%7."/>
      <w:lvlJc w:val="left"/>
      <w:pPr>
        <w:ind w:left="5040" w:hanging="360"/>
      </w:pPr>
    </w:lvl>
    <w:lvl w:ilvl="7" w:tplc="D5A24E2E" w:tentative="1">
      <w:start w:val="1"/>
      <w:numFmt w:val="lowerLetter"/>
      <w:lvlText w:val="%8."/>
      <w:lvlJc w:val="left"/>
      <w:pPr>
        <w:ind w:left="5760" w:hanging="360"/>
      </w:pPr>
    </w:lvl>
    <w:lvl w:ilvl="8" w:tplc="A7085E7A" w:tentative="1">
      <w:start w:val="1"/>
      <w:numFmt w:val="lowerRoman"/>
      <w:lvlText w:val="%9."/>
      <w:lvlJc w:val="right"/>
      <w:pPr>
        <w:ind w:left="6480" w:hanging="180"/>
      </w:pPr>
    </w:lvl>
  </w:abstractNum>
  <w:abstractNum w:abstractNumId="13" w15:restartNumberingAfterBreak="0">
    <w:nsid w:val="33893F3F"/>
    <w:multiLevelType w:val="hybridMultilevel"/>
    <w:tmpl w:val="CF6AD62C"/>
    <w:lvl w:ilvl="0" w:tplc="6C1C1080">
      <w:start w:val="1"/>
      <w:numFmt w:val="upperLetter"/>
      <w:lvlText w:val="%1."/>
      <w:lvlJc w:val="left"/>
      <w:pPr>
        <w:ind w:left="1080" w:hanging="720"/>
      </w:pPr>
      <w:rPr>
        <w:rFonts w:hint="default"/>
      </w:rPr>
    </w:lvl>
    <w:lvl w:ilvl="1" w:tplc="7990F6E8" w:tentative="1">
      <w:start w:val="1"/>
      <w:numFmt w:val="lowerLetter"/>
      <w:lvlText w:val="%2."/>
      <w:lvlJc w:val="left"/>
      <w:pPr>
        <w:ind w:left="1440" w:hanging="360"/>
      </w:pPr>
    </w:lvl>
    <w:lvl w:ilvl="2" w:tplc="A5645DCA" w:tentative="1">
      <w:start w:val="1"/>
      <w:numFmt w:val="lowerRoman"/>
      <w:lvlText w:val="%3."/>
      <w:lvlJc w:val="right"/>
      <w:pPr>
        <w:ind w:left="2160" w:hanging="180"/>
      </w:pPr>
    </w:lvl>
    <w:lvl w:ilvl="3" w:tplc="8AA2F350" w:tentative="1">
      <w:start w:val="1"/>
      <w:numFmt w:val="decimal"/>
      <w:lvlText w:val="%4."/>
      <w:lvlJc w:val="left"/>
      <w:pPr>
        <w:ind w:left="2880" w:hanging="360"/>
      </w:pPr>
    </w:lvl>
    <w:lvl w:ilvl="4" w:tplc="0A40750A" w:tentative="1">
      <w:start w:val="1"/>
      <w:numFmt w:val="lowerLetter"/>
      <w:lvlText w:val="%5."/>
      <w:lvlJc w:val="left"/>
      <w:pPr>
        <w:ind w:left="3600" w:hanging="360"/>
      </w:pPr>
    </w:lvl>
    <w:lvl w:ilvl="5" w:tplc="6324BF62" w:tentative="1">
      <w:start w:val="1"/>
      <w:numFmt w:val="lowerRoman"/>
      <w:lvlText w:val="%6."/>
      <w:lvlJc w:val="right"/>
      <w:pPr>
        <w:ind w:left="4320" w:hanging="180"/>
      </w:pPr>
    </w:lvl>
    <w:lvl w:ilvl="6" w:tplc="A1F6F00C" w:tentative="1">
      <w:start w:val="1"/>
      <w:numFmt w:val="decimal"/>
      <w:lvlText w:val="%7."/>
      <w:lvlJc w:val="left"/>
      <w:pPr>
        <w:ind w:left="5040" w:hanging="360"/>
      </w:pPr>
    </w:lvl>
    <w:lvl w:ilvl="7" w:tplc="BFB40DEA" w:tentative="1">
      <w:start w:val="1"/>
      <w:numFmt w:val="lowerLetter"/>
      <w:lvlText w:val="%8."/>
      <w:lvlJc w:val="left"/>
      <w:pPr>
        <w:ind w:left="5760" w:hanging="360"/>
      </w:pPr>
    </w:lvl>
    <w:lvl w:ilvl="8" w:tplc="0EE49DC4" w:tentative="1">
      <w:start w:val="1"/>
      <w:numFmt w:val="lowerRoman"/>
      <w:lvlText w:val="%9."/>
      <w:lvlJc w:val="right"/>
      <w:pPr>
        <w:ind w:left="6480" w:hanging="180"/>
      </w:pPr>
    </w:lvl>
  </w:abstractNum>
  <w:abstractNum w:abstractNumId="14" w15:restartNumberingAfterBreak="0">
    <w:nsid w:val="735543CC"/>
    <w:multiLevelType w:val="hybridMultilevel"/>
    <w:tmpl w:val="49800C5C"/>
    <w:lvl w:ilvl="0" w:tplc="3A3692AA">
      <w:start w:val="1"/>
      <w:numFmt w:val="upperRoman"/>
      <w:lvlText w:val="%1."/>
      <w:lvlJc w:val="right"/>
      <w:pPr>
        <w:ind w:left="720" w:hanging="360"/>
      </w:pPr>
    </w:lvl>
    <w:lvl w:ilvl="1" w:tplc="0C384696" w:tentative="1">
      <w:start w:val="1"/>
      <w:numFmt w:val="lowerLetter"/>
      <w:lvlText w:val="%2."/>
      <w:lvlJc w:val="left"/>
      <w:pPr>
        <w:ind w:left="1440" w:hanging="360"/>
      </w:pPr>
    </w:lvl>
    <w:lvl w:ilvl="2" w:tplc="445E3A06" w:tentative="1">
      <w:start w:val="1"/>
      <w:numFmt w:val="lowerRoman"/>
      <w:lvlText w:val="%3."/>
      <w:lvlJc w:val="right"/>
      <w:pPr>
        <w:ind w:left="2160" w:hanging="180"/>
      </w:pPr>
    </w:lvl>
    <w:lvl w:ilvl="3" w:tplc="7B0E5670" w:tentative="1">
      <w:start w:val="1"/>
      <w:numFmt w:val="decimal"/>
      <w:lvlText w:val="%4."/>
      <w:lvlJc w:val="left"/>
      <w:pPr>
        <w:ind w:left="2880" w:hanging="360"/>
      </w:pPr>
    </w:lvl>
    <w:lvl w:ilvl="4" w:tplc="81923EBE" w:tentative="1">
      <w:start w:val="1"/>
      <w:numFmt w:val="lowerLetter"/>
      <w:lvlText w:val="%5."/>
      <w:lvlJc w:val="left"/>
      <w:pPr>
        <w:ind w:left="3600" w:hanging="360"/>
      </w:pPr>
    </w:lvl>
    <w:lvl w:ilvl="5" w:tplc="66C02DB2" w:tentative="1">
      <w:start w:val="1"/>
      <w:numFmt w:val="lowerRoman"/>
      <w:lvlText w:val="%6."/>
      <w:lvlJc w:val="right"/>
      <w:pPr>
        <w:ind w:left="4320" w:hanging="180"/>
      </w:pPr>
    </w:lvl>
    <w:lvl w:ilvl="6" w:tplc="5B28A69A" w:tentative="1">
      <w:start w:val="1"/>
      <w:numFmt w:val="decimal"/>
      <w:lvlText w:val="%7."/>
      <w:lvlJc w:val="left"/>
      <w:pPr>
        <w:ind w:left="5040" w:hanging="360"/>
      </w:pPr>
    </w:lvl>
    <w:lvl w:ilvl="7" w:tplc="F50A326A" w:tentative="1">
      <w:start w:val="1"/>
      <w:numFmt w:val="lowerLetter"/>
      <w:lvlText w:val="%8."/>
      <w:lvlJc w:val="left"/>
      <w:pPr>
        <w:ind w:left="5760" w:hanging="360"/>
      </w:pPr>
    </w:lvl>
    <w:lvl w:ilvl="8" w:tplc="8A3497A6" w:tentative="1">
      <w:start w:val="1"/>
      <w:numFmt w:val="lowerRoman"/>
      <w:lvlText w:val="%9."/>
      <w:lvlJc w:val="right"/>
      <w:pPr>
        <w:ind w:left="6480" w:hanging="180"/>
      </w:pPr>
    </w:lvl>
  </w:abstractNum>
  <w:num w:numId="1" w16cid:durableId="77484404">
    <w:abstractNumId w:val="9"/>
  </w:num>
  <w:num w:numId="2" w16cid:durableId="818306645">
    <w:abstractNumId w:val="7"/>
  </w:num>
  <w:num w:numId="3" w16cid:durableId="944845956">
    <w:abstractNumId w:val="6"/>
  </w:num>
  <w:num w:numId="4" w16cid:durableId="1424186510">
    <w:abstractNumId w:val="5"/>
  </w:num>
  <w:num w:numId="5" w16cid:durableId="181014101">
    <w:abstractNumId w:val="4"/>
  </w:num>
  <w:num w:numId="6" w16cid:durableId="1481264671">
    <w:abstractNumId w:val="8"/>
  </w:num>
  <w:num w:numId="7" w16cid:durableId="140999909">
    <w:abstractNumId w:val="3"/>
  </w:num>
  <w:num w:numId="8" w16cid:durableId="748890555">
    <w:abstractNumId w:val="2"/>
  </w:num>
  <w:num w:numId="9" w16cid:durableId="129983716">
    <w:abstractNumId w:val="1"/>
  </w:num>
  <w:num w:numId="10" w16cid:durableId="1985235430">
    <w:abstractNumId w:val="0"/>
  </w:num>
  <w:num w:numId="11" w16cid:durableId="601493404">
    <w:abstractNumId w:val="14"/>
  </w:num>
  <w:num w:numId="12" w16cid:durableId="819033428">
    <w:abstractNumId w:val="13"/>
  </w:num>
  <w:num w:numId="13" w16cid:durableId="806165329">
    <w:abstractNumId w:val="10"/>
  </w:num>
  <w:num w:numId="14" w16cid:durableId="1092360328">
    <w:abstractNumId w:val="12"/>
  </w:num>
  <w:num w:numId="15" w16cid:durableId="1916163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78"/>
    <w:rsid w:val="00165C78"/>
    <w:rsid w:val="00184E93"/>
    <w:rsid w:val="005E7EBC"/>
    <w:rsid w:val="005F2061"/>
    <w:rsid w:val="0076020B"/>
    <w:rsid w:val="00B2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B4F"/>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qFormat/>
    <w:rsid w:val="00E05986"/>
    <w:pPr>
      <w:spacing w:line="240" w:lineRule="auto"/>
    </w:pPr>
    <w:rPr>
      <w:rFonts w:eastAsia="Times New Roman" w:cstheme="minorBidi"/>
      <w:bCs/>
    </w:rPr>
  </w:style>
  <w:style w:type="character" w:customStyle="1" w:styleId="FootnoteTextChar">
    <w:name w:val="Footnote Text Char"/>
    <w:basedOn w:val="DefaultParagraphFont"/>
    <w:link w:val="FootnoteText"/>
    <w:rsid w:val="00E05986"/>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paragraph" w:customStyle="1" w:styleId="Heading1">
    <w:name w:val="Heading1"/>
    <w:basedOn w:val="Style1"/>
    <w:link w:val="Heading1Char"/>
    <w:qFormat/>
    <w:rsid w:val="00122908"/>
    <w:pPr>
      <w:spacing w:before="120" w:after="120"/>
      <w:jc w:val="center"/>
    </w:pPr>
    <w:rPr>
      <w:b/>
      <w:bCs w:val="0"/>
    </w:rPr>
  </w:style>
  <w:style w:type="paragraph" w:customStyle="1" w:styleId="Heading2">
    <w:name w:val="Heading2"/>
    <w:basedOn w:val="Normal"/>
    <w:link w:val="Heading2Char"/>
    <w:qFormat/>
    <w:rsid w:val="008B2DD1"/>
    <w:pPr>
      <w:spacing w:before="120" w:after="120"/>
      <w:ind w:left="720" w:hanging="720"/>
    </w:pPr>
    <w:rPr>
      <w:b/>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Heading1Char">
    <w:name w:val="Heading1 Char"/>
    <w:basedOn w:val="Style1Char"/>
    <w:link w:val="Heading1"/>
    <w:rsid w:val="00122908"/>
    <w:rPr>
      <w:rFonts w:ascii="Century Schoolbook" w:hAnsi="Century Schoolbook"/>
      <w:b/>
      <w:bCs w:val="0"/>
      <w:sz w:val="26"/>
      <w:szCs w:val="26"/>
    </w:rPr>
  </w:style>
  <w:style w:type="character" w:customStyle="1" w:styleId="Heading2Char">
    <w:name w:val="Heading2 Char"/>
    <w:basedOn w:val="DefaultParagraphFont"/>
    <w:link w:val="Heading2"/>
    <w:rsid w:val="008B2DD1"/>
    <w:rPr>
      <w:rFonts w:ascii="Century Schoolbook" w:hAnsi="Century Schoolbook"/>
      <w:b/>
      <w:sz w:val="26"/>
      <w:szCs w:val="26"/>
    </w:rPr>
  </w:style>
  <w:style w:type="paragraph" w:customStyle="1" w:styleId="Heading3">
    <w:name w:val="Heading3"/>
    <w:basedOn w:val="Normal"/>
    <w:link w:val="Heading3Char"/>
    <w:qFormat/>
    <w:rsid w:val="006F1201"/>
    <w:pPr>
      <w:spacing w:before="120" w:after="120"/>
      <w:ind w:left="1440" w:hanging="720"/>
    </w:pPr>
    <w:rPr>
      <w:b/>
      <w:szCs w:val="26"/>
    </w:rPr>
  </w:style>
  <w:style w:type="paragraph" w:customStyle="1" w:styleId="Heading4">
    <w:name w:val="Heading4"/>
    <w:basedOn w:val="Normal"/>
    <w:link w:val="Heading4Char"/>
    <w:qFormat/>
    <w:rsid w:val="00855A93"/>
    <w:pPr>
      <w:spacing w:before="120" w:after="120"/>
      <w:ind w:left="2160" w:hanging="720"/>
    </w:pPr>
    <w:rPr>
      <w:b/>
      <w:szCs w:val="26"/>
    </w:rPr>
  </w:style>
  <w:style w:type="character" w:customStyle="1" w:styleId="Heading3Char">
    <w:name w:val="Heading3 Char"/>
    <w:basedOn w:val="DefaultParagraphFont"/>
    <w:link w:val="Heading3"/>
    <w:rsid w:val="006F1201"/>
    <w:rPr>
      <w:rFonts w:ascii="Century Schoolbook" w:hAnsi="Century Schoolbook"/>
      <w:b/>
      <w:sz w:val="26"/>
      <w:szCs w:val="26"/>
    </w:rPr>
  </w:style>
  <w:style w:type="character" w:customStyle="1" w:styleId="Heading4Char">
    <w:name w:val="Heading4 Char"/>
    <w:basedOn w:val="DefaultParagraphFont"/>
    <w:link w:val="Heading4"/>
    <w:rsid w:val="00855A93"/>
    <w:rPr>
      <w:rFonts w:ascii="Century Schoolbook" w:hAnsi="Century Schoolbook"/>
      <w:b/>
      <w:sz w:val="26"/>
      <w:szCs w:val="26"/>
    </w:rPr>
  </w:style>
  <w:style w:type="character" w:customStyle="1" w:styleId="right">
    <w:name w:val="right"/>
    <w:basedOn w:val="DefaultParagraphFont"/>
    <w:rsid w:val="005557FB"/>
  </w:style>
  <w:style w:type="character" w:styleId="PageNumber">
    <w:name w:val="page number"/>
    <w:basedOn w:val="DefaultParagraphFont"/>
    <w:uiPriority w:val="99"/>
    <w:semiHidden/>
    <w:unhideWhenUsed/>
    <w:rsid w:val="0029322B"/>
  </w:style>
  <w:style w:type="paragraph" w:styleId="EndnoteText">
    <w:name w:val="endnote text"/>
    <w:basedOn w:val="Normal"/>
    <w:link w:val="EndnoteTextChar"/>
    <w:uiPriority w:val="99"/>
    <w:semiHidden/>
    <w:unhideWhenUsed/>
    <w:rsid w:val="001F2FE3"/>
    <w:pPr>
      <w:spacing w:line="240" w:lineRule="auto"/>
    </w:pPr>
    <w:rPr>
      <w:sz w:val="20"/>
    </w:rPr>
  </w:style>
  <w:style w:type="character" w:customStyle="1" w:styleId="EndnoteTextChar">
    <w:name w:val="Endnote Text Char"/>
    <w:basedOn w:val="DefaultParagraphFont"/>
    <w:link w:val="EndnoteText"/>
    <w:uiPriority w:val="99"/>
    <w:semiHidden/>
    <w:rsid w:val="001F2FE3"/>
    <w:rPr>
      <w:rFonts w:ascii="Century Schoolbook" w:hAnsi="Century Schoolbook"/>
    </w:rPr>
  </w:style>
  <w:style w:type="character" w:styleId="EndnoteReference">
    <w:name w:val="endnote reference"/>
    <w:basedOn w:val="DefaultParagraphFont"/>
    <w:uiPriority w:val="99"/>
    <w:semiHidden/>
    <w:unhideWhenUsed/>
    <w:rsid w:val="001F2FE3"/>
    <w:rPr>
      <w:vertAlign w:val="superscript"/>
    </w:rPr>
  </w:style>
  <w:style w:type="character" w:styleId="CommentReference">
    <w:name w:val="annotation reference"/>
    <w:basedOn w:val="DefaultParagraphFont"/>
    <w:uiPriority w:val="99"/>
    <w:semiHidden/>
    <w:unhideWhenUsed/>
    <w:rsid w:val="00950853"/>
    <w:rPr>
      <w:sz w:val="16"/>
      <w:szCs w:val="16"/>
    </w:rPr>
  </w:style>
  <w:style w:type="paragraph" w:styleId="CommentText">
    <w:name w:val="annotation text"/>
    <w:basedOn w:val="Normal"/>
    <w:link w:val="CommentTextChar"/>
    <w:uiPriority w:val="99"/>
    <w:unhideWhenUsed/>
    <w:rsid w:val="00950853"/>
    <w:pPr>
      <w:spacing w:line="240" w:lineRule="auto"/>
    </w:pPr>
    <w:rPr>
      <w:sz w:val="20"/>
    </w:rPr>
  </w:style>
  <w:style w:type="character" w:customStyle="1" w:styleId="CommentTextChar">
    <w:name w:val="Comment Text Char"/>
    <w:basedOn w:val="DefaultParagraphFont"/>
    <w:link w:val="CommentText"/>
    <w:uiPriority w:val="99"/>
    <w:rsid w:val="00950853"/>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50853"/>
    <w:rPr>
      <w:b/>
      <w:bCs/>
    </w:rPr>
  </w:style>
  <w:style w:type="character" w:customStyle="1" w:styleId="CommentSubjectChar">
    <w:name w:val="Comment Subject Char"/>
    <w:basedOn w:val="CommentTextChar"/>
    <w:link w:val="CommentSubject"/>
    <w:uiPriority w:val="99"/>
    <w:semiHidden/>
    <w:rsid w:val="00950853"/>
    <w:rPr>
      <w:rFonts w:ascii="Century Schoolbook" w:hAnsi="Century Schoolbook"/>
      <w:b/>
      <w:bCs/>
    </w:rPr>
  </w:style>
  <w:style w:type="paragraph" w:styleId="Revision">
    <w:name w:val="Revision"/>
    <w:hidden/>
    <w:uiPriority w:val="99"/>
    <w:semiHidden/>
    <w:rsid w:val="009C24CC"/>
    <w:pPr>
      <w:spacing w:after="0"/>
    </w:pPr>
    <w:rPr>
      <w:rFonts w:ascii="Century Schoolbook" w:hAnsi="Century Schoolbook"/>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6068</Words>
  <Characters>31447</Characters>
  <Application>Microsoft Office Word</Application>
  <DocSecurity>0</DocSecurity>
  <Lines>716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2024-06-28T22:39:00Z</dcterms:created>
  <dcterms:modified xsi:type="dcterms:W3CDTF">2024-06-28T22:39:00Z</dcterms:modified>
  <cp:category/>
</cp:coreProperties>
</file>