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40492" w:rsidRPr="00840492" w:rsidP="00840492" w14:paraId="69DEEDCA" w14:textId="1A80C7CB">
      <w:pPr>
        <w:rPr>
          <w:bCs/>
          <w:sz w:val="20"/>
          <w:szCs w:val="20"/>
        </w:rPr>
      </w:pPr>
      <w:r>
        <w:rPr>
          <w:bCs/>
          <w:sz w:val="20"/>
          <w:szCs w:val="20"/>
        </w:rPr>
        <w:t>Filed 6/24/24</w:t>
      </w:r>
    </w:p>
    <w:p w:rsidR="00CA089E" w:rsidP="00CA089E" w14:paraId="10150D35" w14:textId="5D8F9F4B">
      <w:pPr>
        <w:jc w:val="center"/>
        <w:rPr>
          <w:b/>
        </w:rPr>
      </w:pPr>
      <w:r>
        <w:rPr>
          <w:b/>
        </w:rPr>
        <w:t>CERTIFIED FOR PUBLICATION</w:t>
      </w:r>
    </w:p>
    <w:p w:rsidR="00CA089E" w:rsidP="00CA089E" w14:paraId="12A86560" w14:textId="77777777">
      <w:pPr>
        <w:jc w:val="center"/>
      </w:pPr>
    </w:p>
    <w:p w:rsidR="00CA089E" w:rsidRPr="00DC76F6" w:rsidP="00CA089E" w14:paraId="6145D36A" w14:textId="77777777">
      <w:pPr>
        <w:jc w:val="center"/>
        <w:rPr>
          <w:bCs/>
          <w:szCs w:val="26"/>
        </w:rPr>
      </w:pPr>
      <w:r w:rsidRPr="00DC76F6">
        <w:rPr>
          <w:bCs/>
          <w:szCs w:val="26"/>
        </w:rPr>
        <w:t>IN THE COURT OF APPEAL OF THE STATE OF CALIFORNIA</w:t>
      </w:r>
    </w:p>
    <w:p w:rsidR="00CA089E" w:rsidRPr="00DC76F6" w:rsidP="00CA089E" w14:paraId="4ECC648C" w14:textId="77777777">
      <w:pPr>
        <w:jc w:val="center"/>
        <w:rPr>
          <w:bCs/>
          <w:szCs w:val="26"/>
        </w:rPr>
      </w:pPr>
    </w:p>
    <w:p w:rsidR="00CA089E" w:rsidRPr="00DC76F6" w:rsidP="00CA089E" w14:paraId="123A1CF0" w14:textId="77777777">
      <w:pPr>
        <w:jc w:val="center"/>
        <w:rPr>
          <w:bCs/>
          <w:szCs w:val="26"/>
        </w:rPr>
      </w:pPr>
      <w:r w:rsidRPr="00DC76F6">
        <w:rPr>
          <w:bCs/>
          <w:szCs w:val="26"/>
        </w:rPr>
        <w:t>SECOND APPELLATE DISTRICT</w:t>
      </w:r>
    </w:p>
    <w:p w:rsidR="00CA089E" w:rsidRPr="00DC76F6" w:rsidP="00CA089E" w14:paraId="5A74E101" w14:textId="77777777">
      <w:pPr>
        <w:jc w:val="center"/>
        <w:rPr>
          <w:bCs/>
          <w:szCs w:val="26"/>
        </w:rPr>
      </w:pPr>
    </w:p>
    <w:p w:rsidR="00CA089E" w:rsidRPr="00DC76F6" w:rsidP="00CA089E" w14:paraId="50E8B795" w14:textId="77777777">
      <w:pPr>
        <w:jc w:val="center"/>
        <w:rPr>
          <w:bCs/>
          <w:szCs w:val="26"/>
        </w:rPr>
      </w:pPr>
      <w:r w:rsidRPr="00DC76F6">
        <w:rPr>
          <w:bCs/>
          <w:szCs w:val="26"/>
        </w:rPr>
        <w:t>DIVISION SEVEN</w:t>
      </w:r>
    </w:p>
    <w:p w:rsidR="00CA089E" w:rsidP="00CD587E" w14:paraId="0A703EE4" w14:textId="36225AC7">
      <w:pPr>
        <w:spacing w:line="276" w:lineRule="auto"/>
        <w:jc w:val="center"/>
        <w:rPr>
          <w:b/>
          <w:szCs w:val="26"/>
        </w:rPr>
      </w:pPr>
    </w:p>
    <w:p w:rsidR="00A7467F" w:rsidRPr="00DE5A47" w:rsidP="000B358B" w14:paraId="02F87242" w14:textId="77777777">
      <w:pPr>
        <w:spacing w:line="276" w:lineRule="auto"/>
        <w:jc w:val="center"/>
        <w:rPr>
          <w:szCs w:val="26"/>
        </w:rPr>
      </w:pPr>
    </w:p>
    <w:tbl>
      <w:tblPr>
        <w:tblW w:w="8136" w:type="dxa"/>
        <w:tblLayout w:type="fixed"/>
        <w:tblLook w:val="0000"/>
      </w:tblPr>
      <w:tblGrid>
        <w:gridCol w:w="4590"/>
        <w:gridCol w:w="3546"/>
      </w:tblGrid>
      <w:tr w14:paraId="69C2B7D9" w14:textId="77777777" w:rsidTr="001760AF">
        <w:tblPrEx>
          <w:tblW w:w="8136" w:type="dxa"/>
          <w:tblLayout w:type="fixed"/>
          <w:tblLook w:val="0000"/>
        </w:tblPrEx>
        <w:tc>
          <w:tcPr>
            <w:tcW w:w="4590" w:type="dxa"/>
            <w:tcBorders>
              <w:bottom w:val="single" w:sz="4" w:space="0" w:color="auto"/>
              <w:right w:val="single" w:sz="4" w:space="0" w:color="auto"/>
            </w:tcBorders>
            <w:shd w:val="clear" w:color="auto" w:fill="auto"/>
          </w:tcPr>
          <w:p w:rsidR="00A7467F" w:rsidRPr="00DE5A47" w:rsidP="000B358B" w14:paraId="10440CB2" w14:textId="66A95309">
            <w:pPr>
              <w:spacing w:line="276" w:lineRule="auto"/>
              <w:rPr>
                <w:szCs w:val="26"/>
              </w:rPr>
            </w:pPr>
            <w:r>
              <w:rPr>
                <w:szCs w:val="26"/>
              </w:rPr>
              <w:t>LOS ANGELES COUNTY EMPLOYEES RETIREMENT ASSOCIATION</w:t>
            </w:r>
            <w:r w:rsidRPr="00DE5A47">
              <w:rPr>
                <w:szCs w:val="26"/>
              </w:rPr>
              <w:t>,</w:t>
            </w:r>
          </w:p>
          <w:p w:rsidR="00A7467F" w:rsidRPr="00DE5A47" w:rsidP="000B358B" w14:paraId="1DA7BD6B" w14:textId="77777777">
            <w:pPr>
              <w:spacing w:line="276" w:lineRule="auto"/>
              <w:rPr>
                <w:szCs w:val="26"/>
              </w:rPr>
            </w:pPr>
          </w:p>
          <w:p w:rsidR="00A7467F" w:rsidRPr="00DE5A47" w:rsidP="000B358B" w14:paraId="471A778E" w14:textId="18BF0AE9">
            <w:pPr>
              <w:spacing w:line="276" w:lineRule="auto"/>
              <w:rPr>
                <w:szCs w:val="26"/>
              </w:rPr>
            </w:pPr>
            <w:r w:rsidRPr="00DE5A47">
              <w:rPr>
                <w:szCs w:val="26"/>
              </w:rPr>
              <w:tab/>
            </w:r>
            <w:r w:rsidR="001760AF">
              <w:rPr>
                <w:szCs w:val="26"/>
              </w:rPr>
              <w:t>Plaintiff</w:t>
            </w:r>
            <w:r w:rsidRPr="00DE5A47">
              <w:rPr>
                <w:szCs w:val="26"/>
              </w:rPr>
              <w:t xml:space="preserve"> and </w:t>
            </w:r>
            <w:r w:rsidR="00A561D2">
              <w:rPr>
                <w:szCs w:val="26"/>
              </w:rPr>
              <w:t>Appellant</w:t>
            </w:r>
            <w:r w:rsidRPr="00DE5A47">
              <w:rPr>
                <w:szCs w:val="26"/>
              </w:rPr>
              <w:t>,</w:t>
            </w:r>
          </w:p>
          <w:p w:rsidR="00A7467F" w:rsidRPr="00DE5A47" w:rsidP="000B358B" w14:paraId="5D695994" w14:textId="77777777">
            <w:pPr>
              <w:spacing w:line="276" w:lineRule="auto"/>
              <w:rPr>
                <w:szCs w:val="26"/>
              </w:rPr>
            </w:pPr>
          </w:p>
          <w:p w:rsidR="00A7467F" w:rsidRPr="00DE5A47" w:rsidP="000B358B" w14:paraId="2D9E582F" w14:textId="77777777">
            <w:pPr>
              <w:spacing w:line="276" w:lineRule="auto"/>
              <w:rPr>
                <w:szCs w:val="26"/>
              </w:rPr>
            </w:pPr>
            <w:r w:rsidRPr="00DE5A47">
              <w:rPr>
                <w:szCs w:val="26"/>
              </w:rPr>
              <w:tab/>
              <w:t>v.</w:t>
            </w:r>
          </w:p>
          <w:p w:rsidR="00A7467F" w:rsidRPr="00DE5A47" w:rsidP="000B358B" w14:paraId="2EA9DF9D" w14:textId="77777777">
            <w:pPr>
              <w:spacing w:line="276" w:lineRule="auto"/>
              <w:rPr>
                <w:szCs w:val="26"/>
              </w:rPr>
            </w:pPr>
          </w:p>
          <w:p w:rsidR="00A7467F" w:rsidRPr="00DE5A47" w:rsidP="000B358B" w14:paraId="45F44A06" w14:textId="2D73C839">
            <w:pPr>
              <w:spacing w:line="276" w:lineRule="auto"/>
              <w:rPr>
                <w:szCs w:val="26"/>
              </w:rPr>
            </w:pPr>
            <w:r>
              <w:rPr>
                <w:szCs w:val="26"/>
              </w:rPr>
              <w:t>COUNTY OF LOS ANGELES et al.,</w:t>
            </w:r>
          </w:p>
          <w:p w:rsidR="00A7467F" w:rsidRPr="00DE5A47" w:rsidP="000B358B" w14:paraId="47C8A6AA" w14:textId="77777777">
            <w:pPr>
              <w:spacing w:line="276" w:lineRule="auto"/>
              <w:rPr>
                <w:szCs w:val="26"/>
              </w:rPr>
            </w:pPr>
          </w:p>
          <w:p w:rsidR="00A7467F" w:rsidRPr="00DE5A47" w:rsidP="000B358B" w14:paraId="77AEA378" w14:textId="06EE0497">
            <w:pPr>
              <w:spacing w:line="276" w:lineRule="auto"/>
              <w:rPr>
                <w:szCs w:val="26"/>
              </w:rPr>
            </w:pPr>
            <w:r w:rsidRPr="00DE5A47">
              <w:rPr>
                <w:szCs w:val="26"/>
              </w:rPr>
              <w:tab/>
            </w:r>
            <w:r w:rsidR="001760AF">
              <w:rPr>
                <w:szCs w:val="26"/>
              </w:rPr>
              <w:t>Defendant</w:t>
            </w:r>
            <w:r w:rsidR="000718F1">
              <w:rPr>
                <w:szCs w:val="26"/>
              </w:rPr>
              <w:t>s</w:t>
            </w:r>
            <w:r w:rsidRPr="00DE5A47">
              <w:rPr>
                <w:szCs w:val="26"/>
              </w:rPr>
              <w:t xml:space="preserve"> and </w:t>
            </w:r>
            <w:r w:rsidR="00A561D2">
              <w:rPr>
                <w:szCs w:val="26"/>
              </w:rPr>
              <w:t>Respondent</w:t>
            </w:r>
            <w:r w:rsidR="000718F1">
              <w:rPr>
                <w:szCs w:val="26"/>
              </w:rPr>
              <w:t>s</w:t>
            </w:r>
            <w:r w:rsidRPr="00DE5A47">
              <w:rPr>
                <w:szCs w:val="26"/>
              </w:rPr>
              <w:t>.</w:t>
            </w:r>
          </w:p>
          <w:p w:rsidR="00A7467F" w:rsidRPr="00DE5A47" w:rsidP="000B358B" w14:paraId="01C21906" w14:textId="77777777">
            <w:pPr>
              <w:spacing w:line="276" w:lineRule="auto"/>
              <w:rPr>
                <w:szCs w:val="26"/>
              </w:rPr>
            </w:pPr>
          </w:p>
        </w:tc>
        <w:tc>
          <w:tcPr>
            <w:tcW w:w="3546" w:type="dxa"/>
            <w:tcBorders>
              <w:left w:val="single" w:sz="4" w:space="0" w:color="auto"/>
            </w:tcBorders>
            <w:shd w:val="clear" w:color="auto" w:fill="auto"/>
          </w:tcPr>
          <w:p w:rsidR="00A7467F" w:rsidRPr="00DE5A47" w:rsidP="00A561D2" w14:paraId="0E46BA59" w14:textId="67F62E9B">
            <w:pPr>
              <w:spacing w:line="276" w:lineRule="auto"/>
              <w:ind w:left="161"/>
              <w:rPr>
                <w:szCs w:val="26"/>
              </w:rPr>
            </w:pPr>
            <w:r w:rsidRPr="00DE5A47">
              <w:rPr>
                <w:szCs w:val="26"/>
              </w:rPr>
              <w:t>B</w:t>
            </w:r>
            <w:r w:rsidR="005D1625">
              <w:rPr>
                <w:szCs w:val="26"/>
              </w:rPr>
              <w:t>3</w:t>
            </w:r>
            <w:r w:rsidR="000718F1">
              <w:rPr>
                <w:szCs w:val="26"/>
              </w:rPr>
              <w:t>26977</w:t>
            </w:r>
          </w:p>
          <w:p w:rsidR="00A7467F" w:rsidRPr="00DE5A47" w:rsidP="00A561D2" w14:paraId="4A67A088" w14:textId="77777777">
            <w:pPr>
              <w:spacing w:line="276" w:lineRule="auto"/>
              <w:ind w:left="161"/>
              <w:rPr>
                <w:szCs w:val="26"/>
              </w:rPr>
            </w:pPr>
          </w:p>
          <w:p w:rsidR="00A7467F" w:rsidRPr="00DE5A47" w:rsidP="00A561D2" w14:paraId="048654BB" w14:textId="498C16F5">
            <w:pPr>
              <w:spacing w:line="276" w:lineRule="auto"/>
              <w:ind w:left="161"/>
              <w:rPr>
                <w:szCs w:val="26"/>
              </w:rPr>
            </w:pPr>
            <w:r w:rsidRPr="00DE5A47">
              <w:rPr>
                <w:szCs w:val="26"/>
              </w:rPr>
              <w:t>(Los Angeles County</w:t>
            </w:r>
          </w:p>
          <w:p w:rsidR="00A7467F" w:rsidRPr="00DE5A47" w:rsidP="00A561D2" w14:paraId="306D3CD0" w14:textId="58E7A0F4">
            <w:pPr>
              <w:spacing w:line="276" w:lineRule="auto"/>
              <w:ind w:left="161"/>
              <w:rPr>
                <w:szCs w:val="26"/>
              </w:rPr>
            </w:pPr>
            <w:r w:rsidRPr="00DE5A47">
              <w:rPr>
                <w:szCs w:val="26"/>
              </w:rPr>
              <w:t>Super. Ct. N</w:t>
            </w:r>
            <w:r w:rsidR="00961FAF">
              <w:rPr>
                <w:szCs w:val="26"/>
              </w:rPr>
              <w:t>o. </w:t>
            </w:r>
            <w:r w:rsidR="000718F1">
              <w:rPr>
                <w:szCs w:val="26"/>
              </w:rPr>
              <w:t>21STCP03475</w:t>
            </w:r>
            <w:r w:rsidRPr="00DE5A47">
              <w:rPr>
                <w:szCs w:val="26"/>
              </w:rPr>
              <w:t>)</w:t>
            </w:r>
          </w:p>
        </w:tc>
      </w:tr>
    </w:tbl>
    <w:p w:rsidR="00A7467F" w:rsidRPr="00DE5A47" w:rsidP="000B358B" w14:paraId="6E13FA30" w14:textId="77777777">
      <w:pPr>
        <w:spacing w:line="276" w:lineRule="auto"/>
        <w:rPr>
          <w:szCs w:val="26"/>
        </w:rPr>
      </w:pPr>
    </w:p>
    <w:p w:rsidR="00A7467F" w:rsidRPr="00DE5A47" w:rsidP="000B358B" w14:paraId="0F71F508" w14:textId="1E3F2949">
      <w:pPr>
        <w:spacing w:line="276" w:lineRule="auto"/>
        <w:rPr>
          <w:szCs w:val="26"/>
        </w:rPr>
      </w:pPr>
      <w:r w:rsidRPr="00DE5A47">
        <w:rPr>
          <w:szCs w:val="26"/>
        </w:rPr>
        <w:tab/>
        <w:t>APPEAL from a</w:t>
      </w:r>
      <w:r w:rsidR="00A561D2">
        <w:rPr>
          <w:szCs w:val="26"/>
        </w:rPr>
        <w:t xml:space="preserve"> judgment </w:t>
      </w:r>
      <w:r w:rsidRPr="00DE5A47">
        <w:rPr>
          <w:szCs w:val="26"/>
        </w:rPr>
        <w:t>of the Superior Court of Los</w:t>
      </w:r>
      <w:r w:rsidR="00D97B6C">
        <w:rPr>
          <w:szCs w:val="26"/>
        </w:rPr>
        <w:t> </w:t>
      </w:r>
      <w:r w:rsidRPr="00DE5A47">
        <w:rPr>
          <w:szCs w:val="26"/>
        </w:rPr>
        <w:t xml:space="preserve">Angeles County, </w:t>
      </w:r>
      <w:r w:rsidR="000718F1">
        <w:rPr>
          <w:szCs w:val="26"/>
        </w:rPr>
        <w:t>James C. Chalfant</w:t>
      </w:r>
      <w:r w:rsidRPr="00DE5A47">
        <w:rPr>
          <w:szCs w:val="26"/>
        </w:rPr>
        <w:t xml:space="preserve">, Judge.  </w:t>
      </w:r>
      <w:r w:rsidR="000718F1">
        <w:rPr>
          <w:szCs w:val="26"/>
        </w:rPr>
        <w:t>Reversed</w:t>
      </w:r>
      <w:r w:rsidR="009166BF">
        <w:rPr>
          <w:szCs w:val="26"/>
        </w:rPr>
        <w:t>.</w:t>
      </w:r>
    </w:p>
    <w:p w:rsidR="00A7467F" w:rsidP="000B358B" w14:paraId="21D1F578" w14:textId="5C5EB83A">
      <w:pPr>
        <w:spacing w:line="276" w:lineRule="auto"/>
        <w:rPr>
          <w:szCs w:val="26"/>
        </w:rPr>
      </w:pPr>
      <w:r w:rsidRPr="00DE5A47">
        <w:rPr>
          <w:szCs w:val="26"/>
        </w:rPr>
        <w:tab/>
      </w:r>
      <w:r w:rsidRPr="00886780" w:rsidR="000718F1">
        <w:rPr>
          <w:szCs w:val="26"/>
        </w:rPr>
        <w:t>Latham &amp; Watkins</w:t>
      </w:r>
      <w:r w:rsidR="000718F1">
        <w:rPr>
          <w:szCs w:val="26"/>
        </w:rPr>
        <w:t>, Manuel A. Abascal, Nicholas Rosellini, and Roman Martinez</w:t>
      </w:r>
      <w:r w:rsidRPr="00DE5A47">
        <w:rPr>
          <w:szCs w:val="26"/>
        </w:rPr>
        <w:t xml:space="preserve"> </w:t>
      </w:r>
      <w:r w:rsidR="000718F1">
        <w:rPr>
          <w:szCs w:val="26"/>
        </w:rPr>
        <w:t xml:space="preserve">for </w:t>
      </w:r>
      <w:r w:rsidR="001760AF">
        <w:rPr>
          <w:szCs w:val="26"/>
        </w:rPr>
        <w:t>Plaintiff</w:t>
      </w:r>
      <w:r w:rsidRPr="00DE5A47">
        <w:rPr>
          <w:szCs w:val="26"/>
        </w:rPr>
        <w:t xml:space="preserve"> and Appellant</w:t>
      </w:r>
      <w:r w:rsidR="003C0D94">
        <w:rPr>
          <w:szCs w:val="26"/>
        </w:rPr>
        <w:t>.</w:t>
      </w:r>
    </w:p>
    <w:p w:rsidR="000718F1" w:rsidP="000B358B" w14:paraId="0D6C6AAF" w14:textId="477E092F">
      <w:pPr>
        <w:spacing w:line="276" w:lineRule="auto"/>
        <w:rPr>
          <w:szCs w:val="26"/>
        </w:rPr>
      </w:pPr>
      <w:r>
        <w:rPr>
          <w:szCs w:val="26"/>
        </w:rPr>
        <w:tab/>
      </w:r>
      <w:r w:rsidR="00F50333">
        <w:rPr>
          <w:szCs w:val="26"/>
        </w:rPr>
        <w:t>Hanson Bridgett, Raymond F. Lynch, Judith W. Boyette, and Matthew J. Peck for Board of Retirement of the San</w:t>
      </w:r>
      <w:r w:rsidR="00895C36">
        <w:rPr>
          <w:szCs w:val="26"/>
        </w:rPr>
        <w:t> </w:t>
      </w:r>
      <w:r w:rsidR="00F50333">
        <w:rPr>
          <w:szCs w:val="26"/>
        </w:rPr>
        <w:t>Bernardino County Employees’ Retirement Association as Amicus Curiae on behalf of Plaintiff and Appellant.</w:t>
      </w:r>
    </w:p>
    <w:p w:rsidR="00F50333" w:rsidP="000B358B" w14:paraId="6A0A8D1F" w14:textId="7767BEC8">
      <w:pPr>
        <w:spacing w:line="276" w:lineRule="auto"/>
        <w:rPr>
          <w:szCs w:val="26"/>
        </w:rPr>
      </w:pPr>
      <w:r>
        <w:rPr>
          <w:szCs w:val="26"/>
        </w:rPr>
        <w:tab/>
      </w:r>
      <w:r w:rsidRPr="00886780">
        <w:rPr>
          <w:szCs w:val="26"/>
        </w:rPr>
        <w:t>Bened</w:t>
      </w:r>
      <w:r>
        <w:rPr>
          <w:szCs w:val="26"/>
        </w:rPr>
        <w:t>on &amp; Serlin, Judith E. Posner and W</w:t>
      </w:r>
      <w:r w:rsidR="00342904">
        <w:rPr>
          <w:szCs w:val="26"/>
        </w:rPr>
        <w:t>e</w:t>
      </w:r>
      <w:r>
        <w:rPr>
          <w:szCs w:val="26"/>
        </w:rPr>
        <w:t>ndy S. Albers for Coalition of County Unions as Amicus Curiae on behalf of Plaintiff and Appellant</w:t>
      </w:r>
      <w:r w:rsidR="00EE501F">
        <w:rPr>
          <w:szCs w:val="26"/>
        </w:rPr>
        <w:t>.</w:t>
      </w:r>
    </w:p>
    <w:p w:rsidR="00F50333" w:rsidP="000B358B" w14:paraId="6F4491EE" w14:textId="2D86FEE2">
      <w:pPr>
        <w:spacing w:line="276" w:lineRule="auto"/>
        <w:rPr>
          <w:szCs w:val="26"/>
        </w:rPr>
      </w:pPr>
      <w:r>
        <w:rPr>
          <w:szCs w:val="26"/>
        </w:rPr>
        <w:tab/>
      </w:r>
      <w:r w:rsidRPr="00886780">
        <w:rPr>
          <w:szCs w:val="26"/>
        </w:rPr>
        <w:t>Law Office</w:t>
      </w:r>
      <w:r>
        <w:rPr>
          <w:szCs w:val="26"/>
        </w:rPr>
        <w:t xml:space="preserve"> of Michael A. Conger and Michael A. Conger for Retired Employees of Los Angeles County as Amicus Curiae on behalf of Plaintiff and Appellant.</w:t>
      </w:r>
    </w:p>
    <w:p w:rsidR="00F50333" w:rsidRPr="00DE5A47" w:rsidP="000B358B" w14:paraId="1C6682A1" w14:textId="2A21414A">
      <w:pPr>
        <w:spacing w:line="276" w:lineRule="auto"/>
        <w:rPr>
          <w:szCs w:val="26"/>
        </w:rPr>
      </w:pPr>
      <w:r>
        <w:rPr>
          <w:szCs w:val="26"/>
        </w:rPr>
        <w:tab/>
      </w:r>
      <w:r w:rsidRPr="00886780">
        <w:rPr>
          <w:szCs w:val="26"/>
        </w:rPr>
        <w:t>Jeff Ri</w:t>
      </w:r>
      <w:r w:rsidRPr="00886780" w:rsidR="00B25E09">
        <w:rPr>
          <w:szCs w:val="26"/>
        </w:rPr>
        <w:t>e</w:t>
      </w:r>
      <w:r w:rsidRPr="00886780">
        <w:rPr>
          <w:szCs w:val="26"/>
        </w:rPr>
        <w:t>ger</w:t>
      </w:r>
      <w:r>
        <w:rPr>
          <w:szCs w:val="26"/>
        </w:rPr>
        <w:t xml:space="preserve"> for Board of Retirement </w:t>
      </w:r>
      <w:r w:rsidR="00B25E09">
        <w:rPr>
          <w:szCs w:val="26"/>
        </w:rPr>
        <w:t xml:space="preserve">of the Alameda County Employees Retirement Association </w:t>
      </w:r>
      <w:r>
        <w:rPr>
          <w:szCs w:val="26"/>
        </w:rPr>
        <w:t>as Amicus Curiae on behalf of Plaintiff and Appellant.</w:t>
      </w:r>
    </w:p>
    <w:p w:rsidR="00C357BA" w:rsidP="000B358B" w14:paraId="0E40144E" w14:textId="7EC1DC92">
      <w:pPr>
        <w:spacing w:line="276" w:lineRule="auto"/>
        <w:rPr>
          <w:szCs w:val="26"/>
        </w:rPr>
      </w:pPr>
      <w:r w:rsidRPr="00DE5A47">
        <w:rPr>
          <w:szCs w:val="26"/>
        </w:rPr>
        <w:tab/>
      </w:r>
      <w:r w:rsidRPr="00886780" w:rsidR="000718F1">
        <w:rPr>
          <w:szCs w:val="26"/>
        </w:rPr>
        <w:t>Renne Public</w:t>
      </w:r>
      <w:r w:rsidR="000718F1">
        <w:rPr>
          <w:szCs w:val="26"/>
        </w:rPr>
        <w:t xml:space="preserve"> Law Group, Linda M. Ross, Steve Cikes, and Ryan </w:t>
      </w:r>
      <w:r w:rsidR="00A62935">
        <w:rPr>
          <w:szCs w:val="26"/>
        </w:rPr>
        <w:t>P. </w:t>
      </w:r>
      <w:r w:rsidR="000718F1">
        <w:rPr>
          <w:szCs w:val="26"/>
        </w:rPr>
        <w:t xml:space="preserve">McGinley-Stempel </w:t>
      </w:r>
      <w:r w:rsidRPr="00DE5A47">
        <w:rPr>
          <w:szCs w:val="26"/>
        </w:rPr>
        <w:t xml:space="preserve">for </w:t>
      </w:r>
      <w:r w:rsidR="001760AF">
        <w:rPr>
          <w:szCs w:val="26"/>
        </w:rPr>
        <w:t>Defendant</w:t>
      </w:r>
      <w:r w:rsidR="000718F1">
        <w:rPr>
          <w:szCs w:val="26"/>
        </w:rPr>
        <w:t>s</w:t>
      </w:r>
      <w:r w:rsidRPr="00DE5A47">
        <w:rPr>
          <w:szCs w:val="26"/>
        </w:rPr>
        <w:t xml:space="preserve"> and Respondent</w:t>
      </w:r>
      <w:r w:rsidR="000718F1">
        <w:rPr>
          <w:szCs w:val="26"/>
        </w:rPr>
        <w:t>s</w:t>
      </w:r>
      <w:r w:rsidR="009126F0">
        <w:rPr>
          <w:szCs w:val="26"/>
        </w:rPr>
        <w:t>.</w:t>
      </w:r>
    </w:p>
    <w:p w:rsidR="00310A93" w:rsidP="000B358B" w14:paraId="376BC00D" w14:textId="5879365F">
      <w:pPr>
        <w:spacing w:line="276" w:lineRule="auto"/>
        <w:rPr>
          <w:szCs w:val="26"/>
        </w:rPr>
      </w:pPr>
      <w:r>
        <w:rPr>
          <w:szCs w:val="26"/>
        </w:rPr>
        <w:tab/>
      </w:r>
      <w:r w:rsidRPr="00886780">
        <w:rPr>
          <w:szCs w:val="26"/>
        </w:rPr>
        <w:t>Jennifer Bacon</w:t>
      </w:r>
      <w:r>
        <w:rPr>
          <w:szCs w:val="26"/>
        </w:rPr>
        <w:t xml:space="preserve"> Henning for California State Association of Counties as Amicus Curiae on behalf of Defendant</w:t>
      </w:r>
      <w:r w:rsidR="008274B2">
        <w:rPr>
          <w:szCs w:val="26"/>
        </w:rPr>
        <w:t>s</w:t>
      </w:r>
      <w:r>
        <w:rPr>
          <w:szCs w:val="26"/>
        </w:rPr>
        <w:t xml:space="preserve"> and Respondent</w:t>
      </w:r>
      <w:r w:rsidR="008274B2">
        <w:rPr>
          <w:szCs w:val="26"/>
        </w:rPr>
        <w:t>s</w:t>
      </w:r>
      <w:r>
        <w:rPr>
          <w:szCs w:val="26"/>
        </w:rPr>
        <w:t>.</w:t>
      </w:r>
    </w:p>
    <w:p w:rsidR="001760AF" w:rsidRPr="00DE5A47" w:rsidP="000B358B" w14:paraId="237E7017" w14:textId="77777777">
      <w:pPr>
        <w:spacing w:line="276" w:lineRule="auto"/>
        <w:rPr>
          <w:szCs w:val="26"/>
        </w:rPr>
      </w:pPr>
    </w:p>
    <w:p w:rsidR="00A96CF8" w:rsidRPr="00DE5A47" w:rsidP="00DE5A47" w14:paraId="297C54D8" w14:textId="40300BC3">
      <w:pPr>
        <w:pStyle w:val="CaCoA-Heading1"/>
        <w:keepNext/>
      </w:pPr>
      <w:r w:rsidRPr="00DE5A47">
        <w:t>INTRODUCTION</w:t>
      </w:r>
    </w:p>
    <w:p w:rsidR="00757E5E" w:rsidP="00DE5A47" w14:paraId="16658611" w14:textId="56B5DE08">
      <w:pPr>
        <w:keepNext/>
        <w:ind w:firstLine="720"/>
        <w:rPr>
          <w:szCs w:val="26"/>
        </w:rPr>
      </w:pPr>
    </w:p>
    <w:p w:rsidR="00815CEE" w:rsidP="00815CEE" w14:paraId="597BFA63" w14:textId="7621EBC7">
      <w:pPr>
        <w:spacing w:line="288" w:lineRule="auto"/>
        <w:ind w:firstLine="720"/>
        <w:rPr>
          <w:szCs w:val="26"/>
        </w:rPr>
      </w:pPr>
      <w:r>
        <w:rPr>
          <w:szCs w:val="26"/>
        </w:rPr>
        <w:t xml:space="preserve">This </w:t>
      </w:r>
      <w:r w:rsidR="00673853">
        <w:rPr>
          <w:szCs w:val="26"/>
        </w:rPr>
        <w:t>appeal</w:t>
      </w:r>
      <w:r>
        <w:rPr>
          <w:szCs w:val="26"/>
        </w:rPr>
        <w:t xml:space="preserve"> </w:t>
      </w:r>
      <w:r w:rsidR="00673853">
        <w:rPr>
          <w:szCs w:val="26"/>
        </w:rPr>
        <w:t xml:space="preserve">presents two questions:  First, does </w:t>
      </w:r>
      <w:r>
        <w:rPr>
          <w:szCs w:val="26"/>
        </w:rPr>
        <w:t xml:space="preserve">the fiduciary board of a county public employee retirement system </w:t>
      </w:r>
      <w:r w:rsidR="00FD171D">
        <w:rPr>
          <w:szCs w:val="26"/>
        </w:rPr>
        <w:t xml:space="preserve">established under the </w:t>
      </w:r>
      <w:r w:rsidRPr="007A35DA" w:rsidR="00FD171D">
        <w:t>County Employees Retirement Law of 1937 (Gov.</w:t>
      </w:r>
      <w:r w:rsidR="00FD171D">
        <w:t xml:space="preserve"> </w:t>
      </w:r>
      <w:r w:rsidRPr="007A35DA" w:rsidR="00FD171D">
        <w:t xml:space="preserve">Code, </w:t>
      </w:r>
      <w:r w:rsidR="00FD171D">
        <w:t>§ </w:t>
      </w:r>
      <w:r w:rsidRPr="007A35DA" w:rsidR="00FD171D">
        <w:t>31450 et seq.</w:t>
      </w:r>
      <w:r w:rsidR="00FD171D">
        <w:t xml:space="preserve"> (CERL))</w:t>
      </w:r>
      <w:r>
        <w:rPr>
          <w:rStyle w:val="FootnoteReference"/>
        </w:rPr>
        <w:footnoteReference w:id="3"/>
      </w:r>
      <w:r w:rsidR="00FD171D">
        <w:t xml:space="preserve"> </w:t>
      </w:r>
      <w:r>
        <w:rPr>
          <w:szCs w:val="26"/>
        </w:rPr>
        <w:t>ha</w:t>
      </w:r>
      <w:r w:rsidR="00673853">
        <w:rPr>
          <w:szCs w:val="26"/>
        </w:rPr>
        <w:t>ve</w:t>
      </w:r>
      <w:r>
        <w:rPr>
          <w:szCs w:val="26"/>
        </w:rPr>
        <w:t xml:space="preserve"> authority under the California Constitution and relevant statutes to </w:t>
      </w:r>
      <w:r w:rsidR="00323CBD">
        <w:rPr>
          <w:szCs w:val="26"/>
        </w:rPr>
        <w:t>create</w:t>
      </w:r>
      <w:r>
        <w:rPr>
          <w:szCs w:val="26"/>
        </w:rPr>
        <w:t xml:space="preserve"> employment </w:t>
      </w:r>
      <w:r w:rsidR="006546D3">
        <w:t>classifications</w:t>
      </w:r>
      <w:r w:rsidR="006546D3">
        <w:rPr>
          <w:szCs w:val="26"/>
        </w:rPr>
        <w:t xml:space="preserve"> </w:t>
      </w:r>
      <w:r>
        <w:rPr>
          <w:szCs w:val="26"/>
        </w:rPr>
        <w:t>and set salaries for employees of the retirement system</w:t>
      </w:r>
      <w:r w:rsidR="00673853">
        <w:rPr>
          <w:szCs w:val="26"/>
        </w:rPr>
        <w:t>?</w:t>
      </w:r>
      <w:r>
        <w:rPr>
          <w:szCs w:val="26"/>
        </w:rPr>
        <w:t xml:space="preserve">  </w:t>
      </w:r>
      <w:r w:rsidR="00673853">
        <w:rPr>
          <w:szCs w:val="26"/>
        </w:rPr>
        <w:t xml:space="preserve">Second, does </w:t>
      </w:r>
      <w:r>
        <w:t>section 31522.1</w:t>
      </w:r>
      <w:r w:rsidRPr="007A35DA">
        <w:t xml:space="preserve"> </w:t>
      </w:r>
      <w:r w:rsidR="00AB696A">
        <w:t>impose</w:t>
      </w:r>
      <w:r>
        <w:t xml:space="preserve"> a </w:t>
      </w:r>
      <w:r w:rsidR="00FD171D">
        <w:t>ministerial</w:t>
      </w:r>
      <w:r>
        <w:t xml:space="preserve"> duty on a county board of supervisors to include in the county’s employment classifications and salary ordinance the classifications and salaries adopted by</w:t>
      </w:r>
      <w:r w:rsidRPr="007A35DA">
        <w:t xml:space="preserve"> </w:t>
      </w:r>
      <w:r w:rsidR="00FD171D">
        <w:rPr>
          <w:szCs w:val="26"/>
        </w:rPr>
        <w:t>the</w:t>
      </w:r>
      <w:r>
        <w:rPr>
          <w:szCs w:val="26"/>
        </w:rPr>
        <w:t xml:space="preserve"> board of a county public employee retirement system for employees of that system</w:t>
      </w:r>
      <w:r w:rsidR="00673853">
        <w:rPr>
          <w:szCs w:val="26"/>
        </w:rPr>
        <w:t>?</w:t>
      </w:r>
      <w:r>
        <w:rPr>
          <w:szCs w:val="26"/>
        </w:rPr>
        <w:t xml:space="preserve">  </w:t>
      </w:r>
      <w:r w:rsidR="00895C36">
        <w:rPr>
          <w:szCs w:val="26"/>
        </w:rPr>
        <w:t xml:space="preserve">It </w:t>
      </w:r>
      <w:r w:rsidR="00B36D20">
        <w:rPr>
          <w:szCs w:val="26"/>
        </w:rPr>
        <w:t>will</w:t>
      </w:r>
      <w:r w:rsidR="00895C36">
        <w:rPr>
          <w:szCs w:val="26"/>
        </w:rPr>
        <w:t xml:space="preserve"> take some time </w:t>
      </w:r>
      <w:r w:rsidR="00673853">
        <w:rPr>
          <w:szCs w:val="26"/>
        </w:rPr>
        <w:t xml:space="preserve">and space </w:t>
      </w:r>
      <w:r w:rsidR="00895C36">
        <w:rPr>
          <w:szCs w:val="26"/>
        </w:rPr>
        <w:t xml:space="preserve">to </w:t>
      </w:r>
      <w:r w:rsidR="00673853">
        <w:rPr>
          <w:szCs w:val="26"/>
        </w:rPr>
        <w:t xml:space="preserve">explain our </w:t>
      </w:r>
      <w:r w:rsidR="00895C36">
        <w:rPr>
          <w:szCs w:val="26"/>
        </w:rPr>
        <w:t>answer</w:t>
      </w:r>
      <w:r w:rsidR="00673853">
        <w:rPr>
          <w:szCs w:val="26"/>
        </w:rPr>
        <w:t>s</w:t>
      </w:r>
      <w:r w:rsidR="00195844">
        <w:rPr>
          <w:szCs w:val="26"/>
        </w:rPr>
        <w:t xml:space="preserve"> to</w:t>
      </w:r>
      <w:r w:rsidR="00895C36">
        <w:rPr>
          <w:szCs w:val="26"/>
        </w:rPr>
        <w:t xml:space="preserve"> these questions</w:t>
      </w:r>
      <w:r w:rsidR="00673853">
        <w:rPr>
          <w:szCs w:val="26"/>
        </w:rPr>
        <w:t>.  I</w:t>
      </w:r>
      <w:r w:rsidR="00B36D20">
        <w:rPr>
          <w:szCs w:val="26"/>
        </w:rPr>
        <w:t xml:space="preserve">n the meantime, </w:t>
      </w:r>
      <w:r w:rsidR="00895C36">
        <w:rPr>
          <w:szCs w:val="26"/>
        </w:rPr>
        <w:t xml:space="preserve">here’s the </w:t>
      </w:r>
      <w:r w:rsidR="008D7B66">
        <w:rPr>
          <w:szCs w:val="26"/>
        </w:rPr>
        <w:t>short version</w:t>
      </w:r>
      <w:r w:rsidR="00895C36">
        <w:rPr>
          <w:szCs w:val="26"/>
        </w:rPr>
        <w:t>:</w:t>
      </w:r>
      <w:r w:rsidR="00673853">
        <w:rPr>
          <w:szCs w:val="26"/>
        </w:rPr>
        <w:t xml:space="preserve">  Yes and yes.</w:t>
      </w:r>
    </w:p>
    <w:p w:rsidR="00131BF0" w:rsidRPr="00131BF0" w:rsidP="00131BF0" w14:paraId="14EE2DA8" w14:textId="4E4CA33F">
      <w:pPr>
        <w:spacing w:line="288" w:lineRule="auto"/>
        <w:ind w:firstLine="720"/>
        <w:rPr>
          <w:szCs w:val="26"/>
        </w:rPr>
      </w:pPr>
      <w:r>
        <w:rPr>
          <w:szCs w:val="26"/>
        </w:rPr>
        <w:t xml:space="preserve">In 1992 the voters gave governing boards of public employee retirement systems “plenary authority </w:t>
      </w:r>
      <w:r w:rsidRPr="00DD77B4">
        <w:t>and fiduciary responsibility for investment of moneys and administration of the system</w:t>
      </w:r>
      <w:r>
        <w:t xml:space="preserve">.”  (Cal. Const., art. XVI, </w:t>
      </w:r>
      <w:r w:rsidR="00A62935">
        <w:t>§ </w:t>
      </w:r>
      <w:r>
        <w:t>17, added by initiative, Gen.</w:t>
      </w:r>
      <w:r w:rsidR="00895C36">
        <w:t> </w:t>
      </w:r>
      <w:r>
        <w:t xml:space="preserve">Elec. (Nov. 3, 1992), </w:t>
      </w:r>
      <w:r w:rsidR="0024643F">
        <w:rPr>
          <w:szCs w:val="26"/>
        </w:rPr>
        <w:t>t</w:t>
      </w:r>
      <w:r w:rsidRPr="00131BF0" w:rsidR="0024643F">
        <w:rPr>
          <w:szCs w:val="26"/>
        </w:rPr>
        <w:t>he California Pension Protection Act of 1992</w:t>
      </w:r>
      <w:r w:rsidR="00EC755B">
        <w:rPr>
          <w:szCs w:val="26"/>
        </w:rPr>
        <w:t xml:space="preserve">, </w:t>
      </w:r>
      <w:r w:rsidR="00EC755B">
        <w:t>known as Proposition 162</w:t>
      </w:r>
      <w:r w:rsidR="0024643F">
        <w:rPr>
          <w:szCs w:val="26"/>
        </w:rPr>
        <w:t xml:space="preserve"> </w:t>
      </w:r>
      <w:r>
        <w:t xml:space="preserve">(Proposition 162).)  </w:t>
      </w:r>
      <w:r w:rsidR="00CA794A">
        <w:t>The</w:t>
      </w:r>
      <w:r w:rsidR="0024643F">
        <w:t xml:space="preserve"> voters</w:t>
      </w:r>
      <w:r w:rsidR="00CA794A">
        <w:t xml:space="preserve"> also </w:t>
      </w:r>
      <w:r w:rsidR="00CA794A">
        <w:rPr>
          <w:szCs w:val="26"/>
        </w:rPr>
        <w:t>required the governing boards of retirement systems “</w:t>
      </w:r>
      <w:r w:rsidRPr="0001690D" w:rsidR="00CA794A">
        <w:t>to maximize the rate of return</w:t>
      </w:r>
      <w:r w:rsidR="00CA794A">
        <w:t>” while “</w:t>
      </w:r>
      <w:r w:rsidRPr="00131BF0" w:rsidR="00CA794A">
        <w:t>defraying reasonable expenses of administering the system.</w:t>
      </w:r>
      <w:r w:rsidR="00CA794A">
        <w:t>”  (</w:t>
      </w:r>
      <w:r w:rsidR="00CA794A">
        <w:rPr>
          <w:i/>
          <w:iCs/>
        </w:rPr>
        <w:t>Id.</w:t>
      </w:r>
      <w:r w:rsidR="00CA794A">
        <w:t xml:space="preserve">, subds. (b), (d).)  </w:t>
      </w:r>
      <w:r w:rsidR="0024643F">
        <w:t>In</w:t>
      </w:r>
      <w:r w:rsidR="001B01D6">
        <w:t> </w:t>
      </w:r>
      <w:r w:rsidR="0024643F">
        <w:t>enacting Proposition 162 t</w:t>
      </w:r>
      <w:r w:rsidR="00BA236F">
        <w:t>he voters declared that,</w:t>
      </w:r>
      <w:r>
        <w:t xml:space="preserve"> to “protect pension systems, retirement board trustees </w:t>
      </w:r>
      <w:r w:rsidRPr="006A0562" w:rsidR="00BA236F">
        <w:t xml:space="preserve">must be free </w:t>
      </w:r>
      <w:r>
        <w:t>from political meddling and intimidation</w:t>
      </w:r>
      <w:r w:rsidR="00BA236F">
        <w:t>.</w:t>
      </w:r>
      <w:r>
        <w:t>”</w:t>
      </w:r>
      <w:r w:rsidR="00BA236F">
        <w:t xml:space="preserve">  (Ballot Pamp., Gen. Elec. (Nov. 3, 1992) text of Prop. 162, p. 70, § 2, subd. (f)</w:t>
      </w:r>
      <w:r w:rsidR="007B06FE">
        <w:t xml:space="preserve"> (1992 Ballot Pamp.)</w:t>
      </w:r>
      <w:r w:rsidR="00BA236F">
        <w:t xml:space="preserve">.)  </w:t>
      </w:r>
      <w:r w:rsidR="00E82425">
        <w:t>The voters</w:t>
      </w:r>
      <w:r w:rsidR="00BA236F">
        <w:t xml:space="preserve"> intended Proposition 162 to</w:t>
      </w:r>
      <w:r>
        <w:t xml:space="preserve"> “give the sole and exclusive power over the management and investment of public pension funds to the retirement boards,” </w:t>
      </w:r>
      <w:r w:rsidR="00895C36">
        <w:t xml:space="preserve">to </w:t>
      </w:r>
      <w:r w:rsidR="00CA794A">
        <w:t>“</w:t>
      </w:r>
      <w:r>
        <w:t xml:space="preserve">strictly limit the Legislature’s power over such funds,” and </w:t>
      </w:r>
      <w:r w:rsidR="00895C36">
        <w:t xml:space="preserve">to </w:t>
      </w:r>
      <w:r>
        <w:t>“prohibit the Governor or any executive or legislative body of any political subdivision of this state from tampering with public pension funds.”  (</w:t>
      </w:r>
      <w:r w:rsidR="00BA236F">
        <w:rPr>
          <w:i/>
          <w:iCs/>
        </w:rPr>
        <w:t>Id.</w:t>
      </w:r>
      <w:r>
        <w:t xml:space="preserve">, </w:t>
      </w:r>
      <w:r w:rsidR="00D0362C">
        <w:t xml:space="preserve">p. 70, </w:t>
      </w:r>
      <w:r w:rsidR="00A62935">
        <w:t>§ </w:t>
      </w:r>
      <w:r>
        <w:t>3, sub</w:t>
      </w:r>
      <w:r w:rsidR="00A62935">
        <w:t>d. </w:t>
      </w:r>
      <w:r>
        <w:t xml:space="preserve">(e).)  </w:t>
      </w:r>
    </w:p>
    <w:p w:rsidR="00323CBD" w:rsidP="001E4E4D" w14:paraId="32697BB8" w14:textId="7DB6504A">
      <w:pPr>
        <w:spacing w:line="288" w:lineRule="auto"/>
        <w:ind w:firstLine="720"/>
        <w:rPr>
          <w:szCs w:val="26"/>
        </w:rPr>
      </w:pPr>
      <w:r>
        <w:rPr>
          <w:szCs w:val="26"/>
        </w:rPr>
        <w:t xml:space="preserve">Proposition 162 expanded the authority granted to governing boards of county retirement systems under </w:t>
      </w:r>
      <w:r w:rsidR="00FD171D">
        <w:rPr>
          <w:szCs w:val="26"/>
        </w:rPr>
        <w:t xml:space="preserve">CERL </w:t>
      </w:r>
      <w:r>
        <w:rPr>
          <w:szCs w:val="26"/>
        </w:rPr>
        <w:t xml:space="preserve">to manage their systems and, for boards that agreed to pay administrative costs out of retirement system funds, to establish annual budgets and </w:t>
      </w:r>
      <w:r w:rsidR="00782239">
        <w:rPr>
          <w:szCs w:val="26"/>
        </w:rPr>
        <w:t xml:space="preserve">to </w:t>
      </w:r>
      <w:r>
        <w:rPr>
          <w:szCs w:val="26"/>
        </w:rPr>
        <w:t xml:space="preserve">appoint their </w:t>
      </w:r>
      <w:r w:rsidR="00782239">
        <w:rPr>
          <w:szCs w:val="26"/>
        </w:rPr>
        <w:t xml:space="preserve">own </w:t>
      </w:r>
      <w:r>
        <w:rPr>
          <w:szCs w:val="26"/>
        </w:rPr>
        <w:t>staff.  (See §</w:t>
      </w:r>
      <w:r w:rsidR="00A62935">
        <w:rPr>
          <w:szCs w:val="26"/>
        </w:rPr>
        <w:t>§ </w:t>
      </w:r>
      <w:r>
        <w:rPr>
          <w:szCs w:val="26"/>
        </w:rPr>
        <w:t>31522.1, 31580.)  Thus, the management of pension fund assets for such boards includes expenditures for salaries and benefits for retirement system employees.  Following Proposition 162, retirement boards that appoint their own staff may incur only “</w:t>
      </w:r>
      <w:r w:rsidRPr="00B67182">
        <w:t>reasonable expenses</w:t>
      </w:r>
      <w:r>
        <w:t>” in fulfilling their “</w:t>
      </w:r>
      <w:r w:rsidRPr="00323CBD">
        <w:t xml:space="preserve">sole and exclusive fiduciary responsibility over </w:t>
      </w:r>
      <w:r>
        <w:t>[system]</w:t>
      </w:r>
      <w:r w:rsidRPr="00323CBD">
        <w:t xml:space="preserve"> assets</w:t>
      </w:r>
      <w:r>
        <w:t xml:space="preserve">” and </w:t>
      </w:r>
      <w:r w:rsidR="00943D88">
        <w:t xml:space="preserve">their </w:t>
      </w:r>
      <w:r>
        <w:rPr>
          <w:szCs w:val="26"/>
        </w:rPr>
        <w:t>duties “to</w:t>
      </w:r>
      <w:r w:rsidR="001B01D6">
        <w:rPr>
          <w:szCs w:val="26"/>
        </w:rPr>
        <w:t> </w:t>
      </w:r>
      <w:r w:rsidRPr="0001690D">
        <w:t>minimize the risk of loss and to maximize the rate of return</w:t>
      </w:r>
      <w:r>
        <w:rPr>
          <w:szCs w:val="26"/>
        </w:rPr>
        <w:t>.”  (</w:t>
      </w:r>
      <w:r>
        <w:t xml:space="preserve">Cal. Const., art. XVI, </w:t>
      </w:r>
      <w:r w:rsidR="00A62935">
        <w:t>§ </w:t>
      </w:r>
      <w:r>
        <w:t>17, subds. (a), (d).)</w:t>
      </w:r>
    </w:p>
    <w:p w:rsidR="001E4E4D" w:rsidP="001E4E4D" w14:paraId="3086848E" w14:textId="68924F4C">
      <w:pPr>
        <w:spacing w:line="288" w:lineRule="auto"/>
        <w:ind w:firstLine="720"/>
      </w:pPr>
      <w:r>
        <w:rPr>
          <w:szCs w:val="26"/>
        </w:rPr>
        <w:t>Under CERL</w:t>
      </w:r>
      <w:r w:rsidR="00A50E8F">
        <w:rPr>
          <w:szCs w:val="26"/>
        </w:rPr>
        <w:t xml:space="preserve"> t</w:t>
      </w:r>
      <w:r w:rsidR="00131BF0">
        <w:rPr>
          <w:szCs w:val="26"/>
        </w:rPr>
        <w:t xml:space="preserve">he governing boards of the Los Angeles County Employees Retirement Association (LACERA) </w:t>
      </w:r>
      <w:r w:rsidR="00323CBD">
        <w:rPr>
          <w:szCs w:val="26"/>
        </w:rPr>
        <w:t>budget and pay for LACERA’s staff out of system assets.  In</w:t>
      </w:r>
      <w:r w:rsidR="00131BF0">
        <w:rPr>
          <w:szCs w:val="26"/>
        </w:rPr>
        <w:t xml:space="preserve"> 1996 Los</w:t>
      </w:r>
      <w:r w:rsidR="000F0F14">
        <w:rPr>
          <w:szCs w:val="26"/>
        </w:rPr>
        <w:t> </w:t>
      </w:r>
      <w:r w:rsidR="00131BF0">
        <w:rPr>
          <w:szCs w:val="26"/>
        </w:rPr>
        <w:t xml:space="preserve">Angeles County </w:t>
      </w:r>
      <w:r>
        <w:rPr>
          <w:szCs w:val="26"/>
        </w:rPr>
        <w:t xml:space="preserve">and its </w:t>
      </w:r>
      <w:r w:rsidR="00131BF0">
        <w:rPr>
          <w:szCs w:val="26"/>
        </w:rPr>
        <w:t xml:space="preserve">Board of Supervisors agreed with LACERA that Proposition 162 gave LACERA authority to </w:t>
      </w:r>
      <w:r w:rsidR="00323CBD">
        <w:rPr>
          <w:szCs w:val="26"/>
        </w:rPr>
        <w:t>create</w:t>
      </w:r>
      <w:r w:rsidR="00131BF0">
        <w:rPr>
          <w:szCs w:val="26"/>
        </w:rPr>
        <w:t xml:space="preserve"> employment </w:t>
      </w:r>
      <w:r w:rsidR="006546D3">
        <w:t>classifications</w:t>
      </w:r>
      <w:r w:rsidR="006546D3">
        <w:rPr>
          <w:szCs w:val="26"/>
        </w:rPr>
        <w:t xml:space="preserve"> </w:t>
      </w:r>
      <w:r w:rsidR="00131BF0">
        <w:rPr>
          <w:szCs w:val="26"/>
        </w:rPr>
        <w:t xml:space="preserve">and set salaries for </w:t>
      </w:r>
      <w:r w:rsidR="00323CBD">
        <w:rPr>
          <w:szCs w:val="26"/>
        </w:rPr>
        <w:t>LACERA</w:t>
      </w:r>
      <w:r w:rsidR="00131BF0">
        <w:rPr>
          <w:szCs w:val="26"/>
        </w:rPr>
        <w:t xml:space="preserve"> employees.  </w:t>
      </w:r>
      <w:r>
        <w:rPr>
          <w:szCs w:val="26"/>
        </w:rPr>
        <w:t xml:space="preserve">The County also agreed </w:t>
      </w:r>
      <w:r>
        <w:t>“the Board of Supervisors has a ministerial duty</w:t>
      </w:r>
      <w:r w:rsidR="00BA236F">
        <w:t xml:space="preserve"> [under section 31522.1]</w:t>
      </w:r>
      <w:r>
        <w:t xml:space="preserve"> to adopt an ordinance implementing classification and compensation changes adopted by LACERA for its employees.” </w:t>
      </w:r>
      <w:r w:rsidR="005A18DB">
        <w:t xml:space="preserve"> </w:t>
      </w:r>
      <w:r w:rsidR="00131BF0">
        <w:rPr>
          <w:szCs w:val="26"/>
        </w:rPr>
        <w:t xml:space="preserve">For two decades LACERA’s </w:t>
      </w:r>
      <w:r w:rsidR="00815CEE">
        <w:rPr>
          <w:szCs w:val="26"/>
        </w:rPr>
        <w:t>B</w:t>
      </w:r>
      <w:r w:rsidR="00131BF0">
        <w:rPr>
          <w:szCs w:val="26"/>
        </w:rPr>
        <w:t xml:space="preserve">oard of </w:t>
      </w:r>
      <w:r w:rsidR="00815CEE">
        <w:rPr>
          <w:szCs w:val="26"/>
        </w:rPr>
        <w:t>R</w:t>
      </w:r>
      <w:r w:rsidR="00131BF0">
        <w:rPr>
          <w:szCs w:val="26"/>
        </w:rPr>
        <w:t xml:space="preserve">etirement and </w:t>
      </w:r>
      <w:r w:rsidR="00060A38">
        <w:rPr>
          <w:szCs w:val="26"/>
        </w:rPr>
        <w:t xml:space="preserve">its </w:t>
      </w:r>
      <w:r w:rsidR="00815CEE">
        <w:rPr>
          <w:szCs w:val="26"/>
        </w:rPr>
        <w:t>Board of I</w:t>
      </w:r>
      <w:r w:rsidR="00131BF0">
        <w:rPr>
          <w:szCs w:val="26"/>
        </w:rPr>
        <w:t>nvestment</w:t>
      </w:r>
      <w:r w:rsidR="00815CEE">
        <w:rPr>
          <w:szCs w:val="26"/>
        </w:rPr>
        <w:t>s</w:t>
      </w:r>
      <w:r w:rsidR="00131BF0">
        <w:rPr>
          <w:szCs w:val="26"/>
        </w:rPr>
        <w:t xml:space="preserve"> (collectively, the LACERA Boards) </w:t>
      </w:r>
      <w:r w:rsidR="00E82425">
        <w:rPr>
          <w:szCs w:val="26"/>
        </w:rPr>
        <w:t>determined</w:t>
      </w:r>
      <w:r w:rsidR="00131BF0">
        <w:rPr>
          <w:szCs w:val="26"/>
        </w:rPr>
        <w:t xml:space="preserve"> which positions were necessary to </w:t>
      </w:r>
      <w:r>
        <w:rPr>
          <w:szCs w:val="26"/>
        </w:rPr>
        <w:t>satisfy</w:t>
      </w:r>
      <w:r w:rsidR="00131BF0">
        <w:rPr>
          <w:szCs w:val="26"/>
        </w:rPr>
        <w:t xml:space="preserve"> their </w:t>
      </w:r>
      <w:r w:rsidRPr="00DD77B4" w:rsidR="00131BF0">
        <w:t>fiduciary responsibilit</w:t>
      </w:r>
      <w:r w:rsidR="00131BF0">
        <w:t>ies</w:t>
      </w:r>
      <w:r>
        <w:t xml:space="preserve"> under Proposition 162</w:t>
      </w:r>
      <w:r w:rsidR="00131BF0">
        <w:t xml:space="preserve">, created employment </w:t>
      </w:r>
      <w:r w:rsidR="006546D3">
        <w:t xml:space="preserve">classifications </w:t>
      </w:r>
      <w:r w:rsidR="00131BF0">
        <w:t>to reflect the requisite qualifications and responsibilities for such positions, and set salary ranges to recruit and retain persons to fill those positions</w:t>
      </w:r>
      <w:r w:rsidR="001A59DE">
        <w:t xml:space="preserve">, </w:t>
      </w:r>
      <w:r w:rsidR="00093C13">
        <w:t xml:space="preserve">while </w:t>
      </w:r>
      <w:r w:rsidR="001A59DE">
        <w:t xml:space="preserve">the Board of Supervisors implemented </w:t>
      </w:r>
      <w:r w:rsidR="00281293">
        <w:t>the LACERA Boards’ decisions</w:t>
      </w:r>
      <w:r w:rsidR="00131BF0">
        <w:t>.</w:t>
      </w:r>
    </w:p>
    <w:p w:rsidR="00CA794A" w:rsidRPr="001E4E4D" w:rsidP="001E4E4D" w14:paraId="6AFC42C6" w14:textId="3D59A74A">
      <w:pPr>
        <w:spacing w:line="288" w:lineRule="auto"/>
        <w:ind w:firstLine="720"/>
        <w:rPr>
          <w:szCs w:val="26"/>
        </w:rPr>
      </w:pPr>
      <w:r>
        <w:t>In 2018</w:t>
      </w:r>
      <w:r w:rsidR="00204302">
        <w:t xml:space="preserve">, however, something happened.  </w:t>
      </w:r>
      <w:r>
        <w:t>T</w:t>
      </w:r>
      <w:r w:rsidR="00131BF0">
        <w:t xml:space="preserve">he Board of Supervisors began rejecting certain employment </w:t>
      </w:r>
      <w:r w:rsidR="00161F2D">
        <w:t xml:space="preserve">classifications </w:t>
      </w:r>
      <w:r w:rsidR="00131BF0">
        <w:t xml:space="preserve">and salaries the LACERA Boards </w:t>
      </w:r>
      <w:r w:rsidR="00204302">
        <w:t xml:space="preserve">had </w:t>
      </w:r>
      <w:r w:rsidR="00131BF0">
        <w:t xml:space="preserve">adopted for LACERA employees.  The Board of Supervisors cited a </w:t>
      </w:r>
      <w:r w:rsidR="00BE160C">
        <w:t>15-year-old</w:t>
      </w:r>
      <w:r w:rsidR="00131BF0">
        <w:t xml:space="preserve"> decision</w:t>
      </w:r>
      <w:r w:rsidR="00E72E37">
        <w:t xml:space="preserve">, </w:t>
      </w:r>
      <w:r w:rsidRPr="00995402" w:rsidR="00131BF0">
        <w:rPr>
          <w:i/>
          <w:iCs/>
        </w:rPr>
        <w:t>Westly v. B</w:t>
      </w:r>
      <w:r w:rsidR="002D1B08">
        <w:rPr>
          <w:i/>
          <w:iCs/>
        </w:rPr>
        <w:t>oar</w:t>
      </w:r>
      <w:r w:rsidR="00A62935">
        <w:rPr>
          <w:i/>
          <w:iCs/>
        </w:rPr>
        <w:t>d </w:t>
      </w:r>
      <w:r w:rsidRPr="00995402" w:rsidR="00131BF0">
        <w:rPr>
          <w:i/>
          <w:iCs/>
        </w:rPr>
        <w:t>of Administration</w:t>
      </w:r>
      <w:r w:rsidRPr="00995402" w:rsidR="00131BF0">
        <w:t xml:space="preserve"> (2003) 105</w:t>
      </w:r>
      <w:r w:rsidR="00323CBD">
        <w:t> </w:t>
      </w:r>
      <w:r w:rsidRPr="00995402" w:rsidR="00131BF0">
        <w:t>Cal.App.4th 1095</w:t>
      </w:r>
      <w:r w:rsidR="00131BF0">
        <w:t xml:space="preserve"> (</w:t>
      </w:r>
      <w:r w:rsidR="00131BF0">
        <w:rPr>
          <w:i/>
          <w:iCs/>
        </w:rPr>
        <w:t>Westly</w:t>
      </w:r>
      <w:r w:rsidR="00131BF0">
        <w:t>)</w:t>
      </w:r>
      <w:r w:rsidR="00E72E37">
        <w:t xml:space="preserve">, </w:t>
      </w:r>
      <w:r w:rsidR="00131BF0">
        <w:t xml:space="preserve">which held the broad authority </w:t>
      </w:r>
      <w:r w:rsidR="00E72E37">
        <w:t xml:space="preserve">Proposition 162 </w:t>
      </w:r>
      <w:r w:rsidR="00131BF0">
        <w:t xml:space="preserve">granted to retirement boards was not broad enough to </w:t>
      </w:r>
      <w:r w:rsidR="001E4E4D">
        <w:t>give</w:t>
      </w:r>
      <w:r w:rsidR="00131BF0">
        <w:t xml:space="preserve"> the governing board of the state public employees retirement system</w:t>
      </w:r>
      <w:r w:rsidR="001E4E4D">
        <w:t xml:space="preserve"> </w:t>
      </w:r>
      <w:r w:rsidR="00131BF0">
        <w:t xml:space="preserve">the power to establish employment </w:t>
      </w:r>
      <w:r w:rsidR="007C153B">
        <w:t xml:space="preserve">classifications </w:t>
      </w:r>
      <w:r w:rsidR="00131BF0">
        <w:t>and set salaries for its employees</w:t>
      </w:r>
      <w:r w:rsidR="00BA236F">
        <w:t>.</w:t>
      </w:r>
      <w:r w:rsidR="00131BF0">
        <w:t xml:space="preserve">  </w:t>
      </w:r>
      <w:r w:rsidR="004E0A6A">
        <w:t>T</w:t>
      </w:r>
      <w:r>
        <w:t>he Board of Supervisors also cited the need</w:t>
      </w:r>
      <w:r w:rsidR="001E4E4D">
        <w:t xml:space="preserve"> “for alignment with the existing LACERA and County organizational structure.” </w:t>
      </w:r>
    </w:p>
    <w:p w:rsidR="000A2197" w:rsidP="00323CBD" w14:paraId="2255469F" w14:textId="4A502AE5">
      <w:pPr>
        <w:spacing w:line="288" w:lineRule="auto"/>
        <w:ind w:firstLine="720"/>
      </w:pPr>
      <w:r>
        <w:t xml:space="preserve">The standoff between the Board of Supervisors and the LACERA Boards </w:t>
      </w:r>
      <w:r w:rsidR="00CA794A">
        <w:t xml:space="preserve">prevented LACERA from hiring and compensating certain employees the LACERA Boards </w:t>
      </w:r>
      <w:r w:rsidR="00022306">
        <w:t xml:space="preserve">deemed necessary </w:t>
      </w:r>
      <w:r w:rsidR="00CA794A">
        <w:t xml:space="preserve">to fulfill their fiduciary duties </w:t>
      </w:r>
      <w:r w:rsidR="00BA236F">
        <w:t>under Proposition</w:t>
      </w:r>
      <w:r w:rsidR="00B27A77">
        <w:t> </w:t>
      </w:r>
      <w:r w:rsidR="00BA236F">
        <w:t xml:space="preserve">162 </w:t>
      </w:r>
      <w:r w:rsidR="00CA794A">
        <w:t xml:space="preserve">and </w:t>
      </w:r>
      <w:r w:rsidR="00022306">
        <w:t xml:space="preserve">ultimately caused LACERA to file </w:t>
      </w:r>
      <w:r>
        <w:t>this action</w:t>
      </w:r>
      <w:r w:rsidR="00BA236F">
        <w:t xml:space="preserve"> for declaratory relief and a writ of mandate</w:t>
      </w:r>
      <w:r>
        <w:t xml:space="preserve">.  Following </w:t>
      </w:r>
      <w:r>
        <w:rPr>
          <w:i/>
          <w:iCs/>
        </w:rPr>
        <w:t>Westly</w:t>
      </w:r>
      <w:r>
        <w:t xml:space="preserve">, the trial court </w:t>
      </w:r>
      <w:r w:rsidR="00BA236F">
        <w:t xml:space="preserve">denied </w:t>
      </w:r>
      <w:r w:rsidR="00B27A77">
        <w:t xml:space="preserve">LACERA’s request for </w:t>
      </w:r>
      <w:r w:rsidR="00BA236F">
        <w:t xml:space="preserve">declaratory relief and </w:t>
      </w:r>
      <w:r w:rsidR="00B27A77">
        <w:t>its</w:t>
      </w:r>
      <w:r w:rsidR="00022306">
        <w:t xml:space="preserve"> petition for </w:t>
      </w:r>
      <w:r w:rsidR="00E82425">
        <w:t xml:space="preserve">a </w:t>
      </w:r>
      <w:r>
        <w:t xml:space="preserve">writ of mandate </w:t>
      </w:r>
      <w:r w:rsidR="00B27A77">
        <w:t>to require</w:t>
      </w:r>
      <w:r w:rsidR="00BA236F">
        <w:t xml:space="preserve"> the Board of Supervisors to adopt the LACERA Boards’ employment classifications and salaries for LACERA employees.</w:t>
      </w:r>
    </w:p>
    <w:p w:rsidR="00131BF0" w:rsidP="00323CBD" w14:paraId="51BA943E" w14:textId="6F104832">
      <w:pPr>
        <w:spacing w:line="288" w:lineRule="auto"/>
        <w:ind w:firstLine="720"/>
      </w:pPr>
      <w:r>
        <w:t>Unlike the trial court, we are not bound by</w:t>
      </w:r>
      <w:r w:rsidR="00323CBD">
        <w:t xml:space="preserve"> the </w:t>
      </w:r>
      <w:r w:rsidR="000A2197">
        <w:t xml:space="preserve">court’s </w:t>
      </w:r>
      <w:r w:rsidR="00323CBD">
        <w:t>decision in</w:t>
      </w:r>
      <w:r>
        <w:t xml:space="preserve"> </w:t>
      </w:r>
      <w:r>
        <w:rPr>
          <w:i/>
          <w:iCs/>
        </w:rPr>
        <w:t>Westly</w:t>
      </w:r>
      <w:r w:rsidR="000A2197">
        <w:t xml:space="preserve">.  Which is a good thing, because we conclude that decision </w:t>
      </w:r>
      <w:r>
        <w:t xml:space="preserve">is inconsistent with the language, purpose, and intent of Proposition 162. </w:t>
      </w:r>
      <w:r w:rsidR="00CA794A">
        <w:t xml:space="preserve"> </w:t>
      </w:r>
      <w:r w:rsidR="00BA236F">
        <w:t>W</w:t>
      </w:r>
      <w:r w:rsidR="00323CBD">
        <w:rPr>
          <w:szCs w:val="26"/>
        </w:rPr>
        <w:t>e also</w:t>
      </w:r>
      <w:r>
        <w:rPr>
          <w:szCs w:val="26"/>
        </w:rPr>
        <w:t xml:space="preserve"> conclude </w:t>
      </w:r>
      <w:r w:rsidR="00BA236F">
        <w:rPr>
          <w:szCs w:val="26"/>
        </w:rPr>
        <w:t>section 31522.1</w:t>
      </w:r>
      <w:r w:rsidR="00CA794A">
        <w:rPr>
          <w:szCs w:val="26"/>
        </w:rPr>
        <w:t xml:space="preserve"> </w:t>
      </w:r>
      <w:r w:rsidR="000A2197">
        <w:rPr>
          <w:szCs w:val="26"/>
        </w:rPr>
        <w:t xml:space="preserve">imposes </w:t>
      </w:r>
      <w:r w:rsidR="000A2197">
        <w:t xml:space="preserve">on a county board of supervisors </w:t>
      </w:r>
      <w:r w:rsidR="00CA794A">
        <w:t xml:space="preserve">a </w:t>
      </w:r>
      <w:r w:rsidR="00FD171D">
        <w:t>ministerial</w:t>
      </w:r>
      <w:r w:rsidR="00CA794A">
        <w:t xml:space="preserve"> duty to include in “</w:t>
      </w:r>
      <w:r w:rsidRPr="00CA794A" w:rsidR="00CA794A">
        <w:t>eligible lists created in accordance with the civil service or merit system rules of the county in which the retirement system governed by the boards is situated</w:t>
      </w:r>
      <w:r w:rsidR="00CA794A">
        <w:t xml:space="preserve">” the employment </w:t>
      </w:r>
      <w:r w:rsidR="00282C65">
        <w:t xml:space="preserve">classifications </w:t>
      </w:r>
      <w:r w:rsidR="00CA794A">
        <w:t xml:space="preserve">adopted by a </w:t>
      </w:r>
      <w:r w:rsidRPr="00490390" w:rsidR="00CA794A">
        <w:t xml:space="preserve">board of retirement </w:t>
      </w:r>
      <w:r w:rsidR="00CA794A">
        <w:t>or</w:t>
      </w:r>
      <w:r w:rsidRPr="00490390" w:rsidR="00CA794A">
        <w:t xml:space="preserve"> board of investment</w:t>
      </w:r>
      <w:r w:rsidR="00CA794A">
        <w:t xml:space="preserve"> and to include in the county salary ordinance or resolution the salaries adopted by a </w:t>
      </w:r>
      <w:r w:rsidRPr="00490390" w:rsidR="00CA794A">
        <w:t xml:space="preserve">board of retirement </w:t>
      </w:r>
      <w:r w:rsidR="00CA794A">
        <w:t>or</w:t>
      </w:r>
      <w:r w:rsidRPr="00490390" w:rsidR="00CA794A">
        <w:t xml:space="preserve"> board of investment</w:t>
      </w:r>
      <w:r w:rsidR="00CA794A">
        <w:t xml:space="preserve">.  Without that mandate, </w:t>
      </w:r>
      <w:r w:rsidR="00BE160C">
        <w:t xml:space="preserve">a </w:t>
      </w:r>
      <w:r w:rsidR="00CA794A">
        <w:t xml:space="preserve">political subdivision such as </w:t>
      </w:r>
      <w:r w:rsidR="00BE160C">
        <w:t xml:space="preserve">a </w:t>
      </w:r>
      <w:r w:rsidR="00CA794A">
        <w:t>count</w:t>
      </w:r>
      <w:r w:rsidR="00BE160C">
        <w:t>y</w:t>
      </w:r>
      <w:r w:rsidR="00CA794A">
        <w:t xml:space="preserve"> can </w:t>
      </w:r>
      <w:r w:rsidR="00323CBD">
        <w:t xml:space="preserve">elevate </w:t>
      </w:r>
      <w:r w:rsidR="00BE160C">
        <w:t>its</w:t>
      </w:r>
      <w:r w:rsidR="00323CBD">
        <w:t xml:space="preserve"> political priorities over the fiduciary </w:t>
      </w:r>
      <w:r w:rsidR="00941574">
        <w:t xml:space="preserve">duty </w:t>
      </w:r>
      <w:r w:rsidR="00815CEE">
        <w:t xml:space="preserve">of </w:t>
      </w:r>
      <w:r w:rsidR="00323CBD">
        <w:t xml:space="preserve">a retirement board to </w:t>
      </w:r>
      <w:r w:rsidRPr="00323CBD" w:rsidR="00323CBD">
        <w:t xml:space="preserve">administer </w:t>
      </w:r>
      <w:r w:rsidR="00323CBD">
        <w:t>its</w:t>
      </w:r>
      <w:r w:rsidRPr="00323CBD" w:rsidR="00323CBD">
        <w:t xml:space="preserve"> system </w:t>
      </w:r>
      <w:r w:rsidR="00BA236F">
        <w:t>for the “exclusive purposes of providing benefits to participants . . .</w:t>
      </w:r>
      <w:r w:rsidRPr="00B67182" w:rsidR="00815CEE">
        <w:t xml:space="preserve"> and their beneficiaries</w:t>
      </w:r>
      <w:r w:rsidR="00BA236F">
        <w:t xml:space="preserve"> and defraying reasonable expenses of administering the system</w:t>
      </w:r>
      <w:r w:rsidR="00323CBD">
        <w:t>.</w:t>
      </w:r>
      <w:r w:rsidR="00BA236F">
        <w:t>”</w:t>
      </w:r>
      <w:r w:rsidR="00323CBD">
        <w:t xml:space="preserve">  (</w:t>
      </w:r>
      <w:r w:rsidR="00815CEE">
        <w:t xml:space="preserve">See </w:t>
      </w:r>
      <w:r w:rsidR="00323CBD">
        <w:t>Cal. Const., art.</w:t>
      </w:r>
      <w:r w:rsidR="001B01D6">
        <w:t> </w:t>
      </w:r>
      <w:r w:rsidR="00323CBD">
        <w:t>XVI,</w:t>
      </w:r>
      <w:r w:rsidR="001B01D6">
        <w:t xml:space="preserve"> </w:t>
      </w:r>
      <w:r w:rsidR="00A62935">
        <w:t>§ </w:t>
      </w:r>
      <w:r w:rsidR="00323CBD">
        <w:t>17, sub</w:t>
      </w:r>
      <w:r w:rsidR="00A62935">
        <w:t>d. </w:t>
      </w:r>
      <w:r w:rsidR="00323CBD">
        <w:t>(</w:t>
      </w:r>
      <w:r w:rsidR="00815CEE">
        <w:t>b</w:t>
      </w:r>
      <w:r w:rsidR="00323CBD">
        <w:t xml:space="preserve">).)  </w:t>
      </w:r>
      <w:r w:rsidR="00B27A77">
        <w:t xml:space="preserve">Because Proposition 162 does not allow that, </w:t>
      </w:r>
      <w:r w:rsidR="00CA794A">
        <w:t>we reverse the judgment.</w:t>
      </w:r>
    </w:p>
    <w:p w:rsidR="000A6E80" w:rsidP="000215DA" w14:paraId="54399588" w14:textId="77777777">
      <w:pPr>
        <w:spacing w:line="288" w:lineRule="auto"/>
        <w:ind w:firstLine="720"/>
        <w:rPr>
          <w:szCs w:val="26"/>
        </w:rPr>
      </w:pPr>
    </w:p>
    <w:p w:rsidR="00220E4D" w:rsidRPr="00DE5A47" w:rsidP="003D2D87" w14:paraId="0E8EF702" w14:textId="4F09623D">
      <w:pPr>
        <w:keepNext/>
        <w:spacing w:line="276" w:lineRule="auto"/>
        <w:jc w:val="center"/>
        <w:rPr>
          <w:b/>
          <w:bCs/>
          <w:szCs w:val="26"/>
        </w:rPr>
      </w:pPr>
      <w:r w:rsidRPr="00DE5A47">
        <w:rPr>
          <w:b/>
          <w:bCs/>
          <w:szCs w:val="26"/>
        </w:rPr>
        <w:t xml:space="preserve">FACTUAL AND PROCEDURAL </w:t>
      </w:r>
      <w:r w:rsidRPr="00DE5A47" w:rsidR="00103C70">
        <w:rPr>
          <w:b/>
          <w:bCs/>
          <w:szCs w:val="26"/>
        </w:rPr>
        <w:t>BACKGROUND</w:t>
      </w:r>
    </w:p>
    <w:p w:rsidR="001D2B2E" w:rsidRPr="00DE5A47" w:rsidP="00E12E81" w14:paraId="73B9342C" w14:textId="77777777">
      <w:pPr>
        <w:keepNext/>
        <w:spacing w:line="288" w:lineRule="auto"/>
        <w:rPr>
          <w:szCs w:val="26"/>
        </w:rPr>
      </w:pPr>
    </w:p>
    <w:p w:rsidR="00975C59" w:rsidRPr="00B36E2D" w:rsidP="00E12E81" w14:paraId="47F44FEB" w14:textId="3CCD3ECD">
      <w:pPr>
        <w:keepNext/>
        <w:spacing w:line="288" w:lineRule="auto"/>
        <w:ind w:left="1440" w:hanging="720"/>
        <w:rPr>
          <w:i/>
          <w:iCs/>
          <w:szCs w:val="26"/>
        </w:rPr>
      </w:pPr>
      <w:r w:rsidRPr="00DE5A47">
        <w:rPr>
          <w:szCs w:val="26"/>
        </w:rPr>
        <w:t>A.</w:t>
      </w:r>
      <w:r w:rsidRPr="00DE5A47">
        <w:rPr>
          <w:szCs w:val="26"/>
        </w:rPr>
        <w:tab/>
      </w:r>
      <w:r w:rsidR="00BF1309">
        <w:rPr>
          <w:i/>
          <w:iCs/>
          <w:szCs w:val="26"/>
        </w:rPr>
        <w:t>The</w:t>
      </w:r>
      <w:r w:rsidR="00B36E2D">
        <w:rPr>
          <w:i/>
          <w:iCs/>
          <w:szCs w:val="26"/>
        </w:rPr>
        <w:t xml:space="preserve"> </w:t>
      </w:r>
      <w:r w:rsidR="00B913C4">
        <w:rPr>
          <w:i/>
          <w:iCs/>
          <w:szCs w:val="26"/>
        </w:rPr>
        <w:t xml:space="preserve">Constitution Authorizes </w:t>
      </w:r>
      <w:r w:rsidR="005C5DBB">
        <w:rPr>
          <w:i/>
          <w:iCs/>
          <w:szCs w:val="26"/>
        </w:rPr>
        <w:t>the</w:t>
      </w:r>
      <w:r w:rsidR="00B913C4">
        <w:rPr>
          <w:i/>
          <w:iCs/>
          <w:szCs w:val="26"/>
        </w:rPr>
        <w:t xml:space="preserve"> Board of Supervisors To Govern </w:t>
      </w:r>
      <w:r w:rsidR="005C5DBB">
        <w:rPr>
          <w:i/>
          <w:iCs/>
          <w:szCs w:val="26"/>
        </w:rPr>
        <w:t>the County</w:t>
      </w:r>
      <w:r w:rsidR="00B913C4">
        <w:rPr>
          <w:i/>
          <w:iCs/>
          <w:szCs w:val="26"/>
        </w:rPr>
        <w:t xml:space="preserve"> Under a County Charter</w:t>
      </w:r>
    </w:p>
    <w:p w:rsidR="00B36E2D" w:rsidP="00B36E2D" w14:paraId="4A8F5F4F" w14:textId="12A85DEC">
      <w:pPr>
        <w:spacing w:line="288" w:lineRule="auto"/>
        <w:ind w:firstLine="720"/>
      </w:pPr>
      <w:r>
        <w:rPr>
          <w:szCs w:val="26"/>
        </w:rPr>
        <w:t xml:space="preserve">Let’s start at the beginning.  The California Constitution </w:t>
      </w:r>
      <w:r w:rsidRPr="00171069">
        <w:t>divides the state into counties</w:t>
      </w:r>
      <w:r>
        <w:t xml:space="preserve"> and allows the governing bodies of those counties to adopt a charter </w:t>
      </w:r>
      <w:r w:rsidRPr="00DE3C97">
        <w:t>for their governance</w:t>
      </w:r>
      <w:r>
        <w:t>.  (Cal. Const., art. XI, §</w:t>
      </w:r>
      <w:r w:rsidR="00A62935">
        <w:t>§ </w:t>
      </w:r>
      <w:r>
        <w:t xml:space="preserve">1, 3; see </w:t>
      </w:r>
      <w:r w:rsidRPr="00171069">
        <w:rPr>
          <w:i/>
          <w:iCs/>
        </w:rPr>
        <w:t>Dibb v. County of San Diego</w:t>
      </w:r>
      <w:r>
        <w:t xml:space="preserve"> (1994) 8 </w:t>
      </w:r>
      <w:r w:rsidRPr="00171069">
        <w:t>Cal.4th 1200, 1206</w:t>
      </w:r>
      <w:r>
        <w:t>.)  Los Angeles County is a “charter county” (</w:t>
      </w:r>
      <w:r w:rsidRPr="00673A39">
        <w:rPr>
          <w:i/>
          <w:iCs/>
        </w:rPr>
        <w:t>Dimon v. County of Los Angeles</w:t>
      </w:r>
      <w:r w:rsidRPr="00673A39">
        <w:t xml:space="preserve"> (2008) 166 Cal.App.4th 1276, 1281</w:t>
      </w:r>
      <w:r>
        <w:t xml:space="preserve"> &amp; fn. 7) governed by the </w:t>
      </w:r>
      <w:r w:rsidR="00BF1309">
        <w:t xml:space="preserve">Los Angeles </w:t>
      </w:r>
      <w:r>
        <w:t>County Board of Supervisors (</w:t>
      </w:r>
      <w:r w:rsidRPr="00351A00">
        <w:t xml:space="preserve">L.A. County Charter, </w:t>
      </w:r>
      <w:r>
        <w:t xml:space="preserve">art. I, </w:t>
      </w:r>
      <w:r w:rsidR="00A62935">
        <w:t>§ </w:t>
      </w:r>
      <w:r>
        <w:t xml:space="preserve">2; </w:t>
      </w:r>
      <w:r w:rsidR="001D0549">
        <w:rPr>
          <w:i/>
          <w:iCs/>
        </w:rPr>
        <w:t>id.</w:t>
      </w:r>
      <w:r w:rsidR="001D0549">
        <w:t>,</w:t>
      </w:r>
      <w:r w:rsidR="001D0549">
        <w:rPr>
          <w:i/>
          <w:iCs/>
        </w:rPr>
        <w:t xml:space="preserve"> </w:t>
      </w:r>
      <w:r>
        <w:t xml:space="preserve">art. </w:t>
      </w:r>
      <w:r w:rsidR="00F64181">
        <w:t>II</w:t>
      </w:r>
      <w:r>
        <w:t xml:space="preserve">, </w:t>
      </w:r>
      <w:r w:rsidR="00A62935">
        <w:t>§ </w:t>
      </w:r>
      <w:r>
        <w:t>4).</w:t>
      </w:r>
      <w:r w:rsidR="00BF1309">
        <w:t xml:space="preserve"> </w:t>
      </w:r>
    </w:p>
    <w:p w:rsidR="00BF1309" w:rsidP="00BF1309" w14:paraId="03FC2297" w14:textId="669B30A6">
      <w:pPr>
        <w:spacing w:line="288" w:lineRule="auto"/>
        <w:ind w:firstLine="720"/>
      </w:pPr>
      <w:r w:rsidRPr="00B36E2D">
        <w:t>Article XI, section 4</w:t>
      </w:r>
      <w:r>
        <w:t xml:space="preserve"> of the California Constitution </w:t>
      </w:r>
      <w:r w:rsidRPr="00B36E2D">
        <w:t xml:space="preserve">addresses the structure and operation of </w:t>
      </w:r>
      <w:r>
        <w:t xml:space="preserve">charter </w:t>
      </w:r>
      <w:r w:rsidRPr="00B36E2D">
        <w:t>count</w:t>
      </w:r>
      <w:r>
        <w:t xml:space="preserve">ies and </w:t>
      </w:r>
      <w:r w:rsidRPr="00171069">
        <w:t>grant</w:t>
      </w:r>
      <w:r>
        <w:t>s</w:t>
      </w:r>
      <w:r w:rsidRPr="00171069">
        <w:t xml:space="preserve"> </w:t>
      </w:r>
      <w:r>
        <w:t>charter counties a degree</w:t>
      </w:r>
      <w:r w:rsidRPr="00171069">
        <w:t xml:space="preserve"> of “</w:t>
      </w:r>
      <w:r>
        <w:t>‘</w:t>
      </w:r>
      <w:r w:rsidRPr="00171069">
        <w:t>home rule</w:t>
      </w:r>
      <w:r>
        <w:t>,’</w:t>
      </w:r>
      <w:r w:rsidRPr="00171069">
        <w:t xml:space="preserve"> i.e., the authority of the people to create and operate their own local government and define the powers of that government, within the limits set out by the Constitution.</w:t>
      </w:r>
      <w:r>
        <w:t>”  (</w:t>
      </w:r>
      <w:r w:rsidRPr="00171069">
        <w:rPr>
          <w:i/>
          <w:iCs/>
        </w:rPr>
        <w:t>Dibb v. County of San Diego</w:t>
      </w:r>
      <w:r>
        <w:t xml:space="preserve">, </w:t>
      </w:r>
      <w:r>
        <w:rPr>
          <w:i/>
          <w:iCs/>
        </w:rPr>
        <w:t>supra</w:t>
      </w:r>
      <w:r>
        <w:t>,</w:t>
      </w:r>
      <w:r>
        <w:rPr>
          <w:i/>
          <w:iCs/>
        </w:rPr>
        <w:t xml:space="preserve"> </w:t>
      </w:r>
      <w:r w:rsidRPr="00171069">
        <w:t>8</w:t>
      </w:r>
      <w:r>
        <w:t> </w:t>
      </w:r>
      <w:r w:rsidRPr="00171069">
        <w:t>Cal.4th</w:t>
      </w:r>
      <w:r>
        <w:t xml:space="preserve"> at </w:t>
      </w:r>
      <w:r w:rsidR="00A62935">
        <w:t>p. </w:t>
      </w:r>
      <w:r w:rsidR="004B2B61">
        <w:t>1206</w:t>
      </w:r>
      <w:r>
        <w:t>.)  “</w:t>
      </w:r>
      <w:r w:rsidRPr="00DE3C97">
        <w:t xml:space="preserve">Consequently, </w:t>
      </w:r>
      <w:r>
        <w:t>‘</w:t>
      </w:r>
      <w:r w:rsidRPr="00DE3C97">
        <w:t xml:space="preserve">[w]hen a California County [such as Los Angeles County] adopts a charter, its provisions </w:t>
      </w:r>
      <w:r>
        <w:t>“</w:t>
      </w:r>
      <w:r w:rsidRPr="00DE3C97">
        <w:t>are the law of the State and have the force and effect of legislative enactments.</w:t>
      </w:r>
      <w:r>
        <w:t>”</w:t>
      </w:r>
      <w:r w:rsidRPr="00DE3C97">
        <w:t>’</w:t>
      </w:r>
      <w:r>
        <w:t>”</w:t>
      </w:r>
      <w:r w:rsidRPr="00DE3C97">
        <w:t xml:space="preserve"> </w:t>
      </w:r>
      <w:r>
        <w:t xml:space="preserve"> </w:t>
      </w:r>
      <w:r w:rsidRPr="00DE3C97">
        <w:t>(</w:t>
      </w:r>
      <w:r w:rsidRPr="00673A39">
        <w:rPr>
          <w:i/>
          <w:iCs/>
        </w:rPr>
        <w:t>Dimon v. County of Los Angeles</w:t>
      </w:r>
      <w:r>
        <w:t xml:space="preserve">, </w:t>
      </w:r>
      <w:r>
        <w:rPr>
          <w:i/>
          <w:iCs/>
        </w:rPr>
        <w:t>supra</w:t>
      </w:r>
      <w:r>
        <w:t>,</w:t>
      </w:r>
      <w:r>
        <w:rPr>
          <w:i/>
          <w:iCs/>
        </w:rPr>
        <w:t xml:space="preserve"> </w:t>
      </w:r>
      <w:r w:rsidRPr="00673A39">
        <w:t>166</w:t>
      </w:r>
      <w:r>
        <w:t> </w:t>
      </w:r>
      <w:r w:rsidRPr="00673A39">
        <w:t xml:space="preserve">Cal.App.4th </w:t>
      </w:r>
      <w:r>
        <w:t xml:space="preserve">at </w:t>
      </w:r>
      <w:r w:rsidR="00A62935">
        <w:t>p. </w:t>
      </w:r>
      <w:r w:rsidR="002719CB">
        <w:t>1281-</w:t>
      </w:r>
      <w:r>
        <w:t>1282;</w:t>
      </w:r>
      <w:r w:rsidR="000A2197">
        <w:t xml:space="preserve"> accord,</w:t>
      </w:r>
      <w:r>
        <w:rPr>
          <w:i/>
          <w:iCs/>
        </w:rPr>
        <w:t xml:space="preserve"> </w:t>
      </w:r>
      <w:r w:rsidRPr="00351A00">
        <w:rPr>
          <w:i/>
          <w:iCs/>
        </w:rPr>
        <w:t>Holmgren v. County of Los</w:t>
      </w:r>
      <w:r w:rsidR="00E82425">
        <w:rPr>
          <w:i/>
          <w:iCs/>
        </w:rPr>
        <w:t> </w:t>
      </w:r>
      <w:r w:rsidRPr="00351A00">
        <w:rPr>
          <w:i/>
          <w:iCs/>
        </w:rPr>
        <w:t>Angeles</w:t>
      </w:r>
      <w:r w:rsidRPr="00351A00">
        <w:t xml:space="preserve"> (2008) 159</w:t>
      </w:r>
      <w:r>
        <w:t> </w:t>
      </w:r>
      <w:r w:rsidRPr="00351A00">
        <w:t xml:space="preserve">Cal.App.4th 593, </w:t>
      </w:r>
      <w:r w:rsidRPr="00DE3C97">
        <w:t>601</w:t>
      </w:r>
      <w:r>
        <w:t xml:space="preserve">; see </w:t>
      </w:r>
      <w:r w:rsidRPr="00351A00">
        <w:rPr>
          <w:i/>
          <w:iCs/>
        </w:rPr>
        <w:t>County of Riverside v. Superior Court</w:t>
      </w:r>
      <w:r w:rsidRPr="00351A00">
        <w:t xml:space="preserve"> (2003) 30</w:t>
      </w:r>
      <w:r>
        <w:t> </w:t>
      </w:r>
      <w:r w:rsidRPr="00351A00">
        <w:t>Cal.4th 278, 285</w:t>
      </w:r>
      <w:r>
        <w:t>.)</w:t>
      </w:r>
    </w:p>
    <w:p w:rsidR="00954D40" w:rsidP="00954D40" w14:paraId="0E5CE393" w14:textId="6B379B32">
      <w:pPr>
        <w:spacing w:line="288" w:lineRule="auto"/>
        <w:ind w:firstLine="720"/>
      </w:pPr>
      <w:r w:rsidRPr="00B36E2D">
        <w:t>Article XI, section 4</w:t>
      </w:r>
      <w:r>
        <w:t xml:space="preserve"> </w:t>
      </w:r>
      <w:r w:rsidRPr="00171069">
        <w:t>states</w:t>
      </w:r>
      <w:r>
        <w:t xml:space="preserve"> c</w:t>
      </w:r>
      <w:r w:rsidRPr="00171069">
        <w:t xml:space="preserve">ounty charters </w:t>
      </w:r>
      <w:r>
        <w:t>“</w:t>
      </w:r>
      <w:r w:rsidRPr="00171069">
        <w:t>shall provide for</w:t>
      </w:r>
      <w:r>
        <w:t xml:space="preserve">,” among other things, </w:t>
      </w:r>
      <w:r w:rsidR="00E951EB">
        <w:t>t</w:t>
      </w:r>
      <w:r w:rsidRPr="00D754D1">
        <w:t xml:space="preserve">he </w:t>
      </w:r>
      <w:r w:rsidR="00E951EB">
        <w:t>“</w:t>
      </w:r>
      <w:r w:rsidRPr="00D754D1">
        <w:t xml:space="preserve">fixing and regulation </w:t>
      </w:r>
      <w:r w:rsidRPr="00B36E2D">
        <w:rPr>
          <w:color w:val="000000" w:themeColor="text1"/>
        </w:rPr>
        <w:t>by governing bodies, by ordinance, of the appointment and number of assistants, deputies, clerks, attachés, and other persons to be employed, and for the prescribing and regulating by such bodies of the powers, duties, qualifications, and compensation of such persons, the times at which, and terms for which they shall be appointed, and the manner of their appointment and removal.</w:t>
      </w:r>
      <w:r>
        <w:rPr>
          <w:color w:val="000000" w:themeColor="text1"/>
        </w:rPr>
        <w:t>”  (</w:t>
      </w:r>
      <w:r>
        <w:t xml:space="preserve">Cal. Const., </w:t>
      </w:r>
      <w:r>
        <w:rPr>
          <w:color w:val="000000" w:themeColor="text1"/>
        </w:rPr>
        <w:t xml:space="preserve">art. XI, </w:t>
      </w:r>
      <w:r w:rsidR="00A62935">
        <w:rPr>
          <w:color w:val="000000" w:themeColor="text1"/>
        </w:rPr>
        <w:t>§ </w:t>
      </w:r>
      <w:r>
        <w:rPr>
          <w:color w:val="000000" w:themeColor="text1"/>
        </w:rPr>
        <w:t>4, sub</w:t>
      </w:r>
      <w:r w:rsidR="00A62935">
        <w:rPr>
          <w:color w:val="000000" w:themeColor="text1"/>
        </w:rPr>
        <w:t>d. </w:t>
      </w:r>
      <w:r>
        <w:rPr>
          <w:color w:val="000000" w:themeColor="text1"/>
        </w:rPr>
        <w:t xml:space="preserve">(f).)  </w:t>
      </w:r>
      <w:r w:rsidRPr="00351A00">
        <w:t xml:space="preserve">Under the home rule doctrine, </w:t>
      </w:r>
      <w:r>
        <w:t>“</w:t>
      </w:r>
      <w:r w:rsidRPr="00351A00">
        <w:t xml:space="preserve">county charter provisions </w:t>
      </w:r>
      <w:r w:rsidRPr="004861BE">
        <w:rPr>
          <w:i/>
          <w:iCs/>
        </w:rPr>
        <w:t>concerning the operation of the county</w:t>
      </w:r>
      <w:r w:rsidRPr="00351A00">
        <w:rPr>
          <w:i/>
          <w:iCs/>
        </w:rPr>
        <w:t>,</w:t>
      </w:r>
      <w:r w:rsidRPr="00351A00">
        <w:t xml:space="preserve"> and specifically including the County</w:t>
      </w:r>
      <w:r>
        <w:t>’</w:t>
      </w:r>
      <w:r w:rsidRPr="00351A00">
        <w:t xml:space="preserve">s right to provide </w:t>
      </w:r>
      <w:r>
        <w:t>‘</w:t>
      </w:r>
      <w:r w:rsidRPr="00351A00">
        <w:t>for the number, compensation, tenure, and appointment of employees</w:t>
      </w:r>
      <w:r>
        <w:t>’</w:t>
      </w:r>
      <w:r w:rsidRPr="00351A00">
        <w:t xml:space="preserve"> (that is, </w:t>
      </w:r>
      <w:r w:rsidRPr="004861BE">
        <w:t>a county</w:t>
      </w:r>
      <w:r>
        <w:t>’</w:t>
      </w:r>
      <w:r w:rsidRPr="004861BE">
        <w:t>s core operations</w:t>
      </w:r>
      <w:r w:rsidRPr="00351A00">
        <w:t>) trump conflicting state laws.</w:t>
      </w:r>
      <w:r>
        <w:t>”</w:t>
      </w:r>
      <w:r w:rsidRPr="00351A00">
        <w:t xml:space="preserve"> </w:t>
      </w:r>
      <w:r>
        <w:t xml:space="preserve"> </w:t>
      </w:r>
      <w:r w:rsidRPr="00351A00">
        <w:t>(</w:t>
      </w:r>
      <w:r w:rsidRPr="00351A00">
        <w:rPr>
          <w:i/>
          <w:iCs/>
        </w:rPr>
        <w:t>Holmgren v. County of Los Angeles</w:t>
      </w:r>
      <w:r>
        <w:t xml:space="preserve">, </w:t>
      </w:r>
      <w:r>
        <w:rPr>
          <w:i/>
          <w:iCs/>
        </w:rPr>
        <w:t>supra</w:t>
      </w:r>
      <w:r>
        <w:t>,</w:t>
      </w:r>
      <w:r>
        <w:rPr>
          <w:i/>
          <w:iCs/>
        </w:rPr>
        <w:t xml:space="preserve"> </w:t>
      </w:r>
      <w:r w:rsidRPr="00351A00">
        <w:t>159</w:t>
      </w:r>
      <w:r>
        <w:t> </w:t>
      </w:r>
      <w:r w:rsidRPr="00351A00">
        <w:t xml:space="preserve">Cal.App.4th </w:t>
      </w:r>
      <w:r>
        <w:t xml:space="preserve">at </w:t>
      </w:r>
      <w:r w:rsidR="00A62935">
        <w:t>p. </w:t>
      </w:r>
      <w:r w:rsidRPr="00351A00">
        <w:t>601</w:t>
      </w:r>
      <w:r>
        <w:t xml:space="preserve">; </w:t>
      </w:r>
      <w:r w:rsidR="000A2197">
        <w:t xml:space="preserve">see </w:t>
      </w:r>
      <w:r w:rsidRPr="00673A39">
        <w:rPr>
          <w:i/>
          <w:iCs/>
        </w:rPr>
        <w:t>Dimon v. County of Los Angeles</w:t>
      </w:r>
      <w:r>
        <w:t xml:space="preserve">, </w:t>
      </w:r>
      <w:r>
        <w:rPr>
          <w:i/>
          <w:iCs/>
        </w:rPr>
        <w:t>supra</w:t>
      </w:r>
      <w:r>
        <w:t>,</w:t>
      </w:r>
      <w:r w:rsidRPr="00673A39">
        <w:t xml:space="preserve"> 166</w:t>
      </w:r>
      <w:r>
        <w:t> </w:t>
      </w:r>
      <w:r w:rsidRPr="00673A39">
        <w:t>Cal.App.4th</w:t>
      </w:r>
      <w:r>
        <w:t xml:space="preserve"> at </w:t>
      </w:r>
      <w:r w:rsidR="00A62935">
        <w:t>p. </w:t>
      </w:r>
      <w:r>
        <w:t xml:space="preserve">1281.)  </w:t>
      </w:r>
    </w:p>
    <w:p w:rsidR="00933C8B" w:rsidP="00933C8B" w14:paraId="476C8EC8" w14:textId="74684328">
      <w:pPr>
        <w:spacing w:line="288" w:lineRule="auto"/>
        <w:ind w:firstLine="720"/>
        <w:rPr>
          <w:color w:val="000000" w:themeColor="text1"/>
        </w:rPr>
      </w:pPr>
      <w:r>
        <w:t>Similarly, u</w:t>
      </w:r>
      <w:r w:rsidR="005C5DBB">
        <w:t>nder the Charter</w:t>
      </w:r>
      <w:r>
        <w:t xml:space="preserve"> of the County of Los Angeles</w:t>
      </w:r>
      <w:r w:rsidR="005C5DBB">
        <w:t xml:space="preserve">, the Board of Supervisors </w:t>
      </w:r>
      <w:r>
        <w:t>has authority to “</w:t>
      </w:r>
      <w:r w:rsidRPr="00933C8B">
        <w:rPr>
          <w:color w:val="000000" w:themeColor="text1"/>
        </w:rPr>
        <w:t xml:space="preserve">appoint </w:t>
      </w:r>
      <w:r w:rsidRPr="001F113F">
        <w:t>all County officers other than elective officers, and all officers, assistants, deputies, clerks, attaches</w:t>
      </w:r>
      <w:r>
        <w:t xml:space="preserve"> </w:t>
      </w:r>
      <w:r w:rsidRPr="001F113F">
        <w:t>and employees whose appointment is not provided for by this Charter</w:t>
      </w:r>
      <w:r w:rsidR="00A62935">
        <w:t>. . . </w:t>
      </w:r>
      <w:r w:rsidR="000A68A4">
        <w:t xml:space="preserve">. </w:t>
      </w:r>
      <w:r w:rsidR="00342904">
        <w:t xml:space="preserve"> </w:t>
      </w:r>
      <w:r w:rsidRPr="001F113F" w:rsidR="000A68A4">
        <w:t>The Board shall provide, by ordinance,</w:t>
      </w:r>
      <w:r w:rsidR="000A68A4">
        <w:rPr>
          <w:vertAlign w:val="superscript"/>
        </w:rPr>
        <w:t xml:space="preserve"> </w:t>
      </w:r>
      <w:r w:rsidRPr="000A68A4" w:rsidR="000A68A4">
        <w:rPr>
          <w:color w:val="000000" w:themeColor="text1"/>
        </w:rPr>
        <w:t>for the compensation</w:t>
      </w:r>
      <w:r w:rsidR="000A68A4">
        <w:rPr>
          <w:color w:val="000000" w:themeColor="text1"/>
          <w:vertAlign w:val="superscript"/>
        </w:rPr>
        <w:t xml:space="preserve"> </w:t>
      </w:r>
      <w:r w:rsidRPr="000A68A4" w:rsidR="000A68A4">
        <w:rPr>
          <w:color w:val="000000" w:themeColor="text1"/>
        </w:rPr>
        <w:t>of elective officers and of its appointees,</w:t>
      </w:r>
      <w:r w:rsidR="000A68A4">
        <w:rPr>
          <w:color w:val="000000" w:themeColor="text1"/>
          <w:vertAlign w:val="superscript"/>
        </w:rPr>
        <w:t xml:space="preserve"> </w:t>
      </w:r>
      <w:r w:rsidRPr="000A68A4" w:rsidR="000A68A4">
        <w:rPr>
          <w:color w:val="000000" w:themeColor="text1"/>
        </w:rPr>
        <w:t>unless such compensation is otherwise fi</w:t>
      </w:r>
      <w:r w:rsidRPr="001F113F" w:rsidR="000A68A4">
        <w:t>xed by this Charter.</w:t>
      </w:r>
      <w:r>
        <w:t xml:space="preserve">”  (L.A. County Charter, art. III, </w:t>
      </w:r>
      <w:r w:rsidR="00A62935">
        <w:t>§ </w:t>
      </w:r>
      <w:r>
        <w:t>11(1)</w:t>
      </w:r>
      <w:r w:rsidR="005E1F8E">
        <w:t xml:space="preserve">; see </w:t>
      </w:r>
      <w:r w:rsidR="00A62935">
        <w:t>§ </w:t>
      </w:r>
      <w:r w:rsidR="005E1F8E">
        <w:t>25300.</w:t>
      </w:r>
      <w:r>
        <w:t>)</w:t>
      </w:r>
      <w:r w:rsidR="000A68A4">
        <w:t xml:space="preserve">  The Charter further provides the Board of Supervisors has the duty to “</w:t>
      </w:r>
      <w:r w:rsidRPr="001F113F" w:rsidR="000A68A4">
        <w:t>provide, by ordinance,</w:t>
      </w:r>
      <w:r w:rsidR="000A68A4">
        <w:rPr>
          <w:vertAlign w:val="superscript"/>
        </w:rPr>
        <w:t xml:space="preserve"> </w:t>
      </w:r>
      <w:r w:rsidRPr="001F113F" w:rsidR="000A68A4">
        <w:t>for the number of assistants, deputies, clerks,</w:t>
      </w:r>
      <w:r w:rsidR="000A68A4">
        <w:rPr>
          <w:vertAlign w:val="superscript"/>
        </w:rPr>
        <w:t xml:space="preserve"> </w:t>
      </w:r>
      <w:r w:rsidRPr="001F113F" w:rsidR="000A68A4">
        <w:t>attaches</w:t>
      </w:r>
      <w:r w:rsidR="000A68A4">
        <w:rPr>
          <w:vertAlign w:val="superscript"/>
        </w:rPr>
        <w:t xml:space="preserve"> </w:t>
      </w:r>
      <w:r w:rsidRPr="001F113F" w:rsidR="000A68A4">
        <w:t xml:space="preserve">and other persons to be employed from time to </w:t>
      </w:r>
      <w:r w:rsidRPr="000A68A4" w:rsidR="000A68A4">
        <w:rPr>
          <w:color w:val="000000" w:themeColor="text1"/>
        </w:rPr>
        <w:t>time in the several offices and institutions of the County, and for their compensation and the times at which they shall be appointed.</w:t>
      </w:r>
      <w:r w:rsidR="000A68A4">
        <w:rPr>
          <w:color w:val="000000" w:themeColor="text1"/>
        </w:rPr>
        <w:t>”  (</w:t>
      </w:r>
      <w:r w:rsidR="005E1F8E">
        <w:t xml:space="preserve">L.A. County Charter, art. III, </w:t>
      </w:r>
      <w:r w:rsidR="00A62935">
        <w:rPr>
          <w:color w:val="000000" w:themeColor="text1"/>
        </w:rPr>
        <w:t>§ </w:t>
      </w:r>
      <w:r w:rsidR="000A68A4">
        <w:rPr>
          <w:color w:val="000000" w:themeColor="text1"/>
        </w:rPr>
        <w:t>11(3).)</w:t>
      </w:r>
    </w:p>
    <w:p w:rsidR="00933C8B" w:rsidP="00D754EB" w14:paraId="7FDA6295" w14:textId="31A2833D">
      <w:pPr>
        <w:spacing w:line="288" w:lineRule="auto"/>
        <w:ind w:firstLine="720"/>
        <w:rPr>
          <w:color w:val="000000" w:themeColor="text1"/>
        </w:rPr>
      </w:pPr>
      <w:r>
        <w:rPr>
          <w:color w:val="000000" w:themeColor="text1"/>
        </w:rPr>
        <w:t>Under the County Charter, the Board of Supervisors established the Civil Service Rules</w:t>
      </w:r>
      <w:r w:rsidR="00D76C1F">
        <w:rPr>
          <w:color w:val="000000" w:themeColor="text1"/>
        </w:rPr>
        <w:t xml:space="preserve">, which </w:t>
      </w:r>
      <w:r>
        <w:rPr>
          <w:color w:val="000000" w:themeColor="text1"/>
        </w:rPr>
        <w:t xml:space="preserve">include a classification plan </w:t>
      </w:r>
      <w:r w:rsidR="00DC17EA">
        <w:rPr>
          <w:color w:val="000000" w:themeColor="text1"/>
        </w:rPr>
        <w:t xml:space="preserve">and a mechanism for setting salaries </w:t>
      </w:r>
      <w:r>
        <w:rPr>
          <w:color w:val="000000" w:themeColor="text1"/>
        </w:rPr>
        <w:t xml:space="preserve">for County employees.  </w:t>
      </w:r>
      <w:r w:rsidR="00D76C1F">
        <w:rPr>
          <w:color w:val="000000" w:themeColor="text1"/>
        </w:rPr>
        <w:t>(</w:t>
      </w:r>
      <w:r w:rsidR="00D76C1F">
        <w:t xml:space="preserve">L.A. County Charter, art. IX, </w:t>
      </w:r>
      <w:r w:rsidR="00A62935">
        <w:t>§ </w:t>
      </w:r>
      <w:r w:rsidR="00D76C1F">
        <w:t>35</w:t>
      </w:r>
      <w:r w:rsidR="00DC17EA">
        <w:t xml:space="preserve">; </w:t>
      </w:r>
      <w:r w:rsidRPr="00E71CA3" w:rsidR="00D5150E">
        <w:t>L.A. County Civ. Service Rules, L.A. County Code, tit. 5, appen. 1</w:t>
      </w:r>
      <w:r w:rsidR="00D5150E">
        <w:rPr>
          <w:color w:val="000000" w:themeColor="text1"/>
        </w:rPr>
        <w:t xml:space="preserve">, </w:t>
      </w:r>
      <w:r w:rsidR="00D5150E">
        <w:t xml:space="preserve">rules </w:t>
      </w:r>
      <w:r w:rsidR="00DC17EA">
        <w:t>5.01(A), 5.03(D)</w:t>
      </w:r>
      <w:r w:rsidR="00D76C1F">
        <w:t>.)</w:t>
      </w:r>
      <w:r>
        <w:rPr>
          <w:rStyle w:val="FootnoteReference"/>
        </w:rPr>
        <w:footnoteReference w:id="4"/>
      </w:r>
      <w:r w:rsidR="00D76C1F">
        <w:rPr>
          <w:color w:val="000000" w:themeColor="text1"/>
        </w:rPr>
        <w:t xml:space="preserve">  </w:t>
      </w:r>
      <w:r w:rsidR="005E1F8E">
        <w:rPr>
          <w:color w:val="000000" w:themeColor="text1"/>
        </w:rPr>
        <w:t xml:space="preserve">According to the County, a “classification” is “‘a set of individual positions, suitable for similar treatment with respect to pay, examination procedures, and work assignments that are clustered or grouped by virtue of the similarity of the nature of work performed, the level of job complexity and responsibility required, the knowledge, skill and ability requirements, and the working conditions.’” </w:t>
      </w:r>
      <w:r w:rsidR="00606285">
        <w:rPr>
          <w:color w:val="000000" w:themeColor="text1"/>
        </w:rPr>
        <w:t xml:space="preserve"> </w:t>
      </w:r>
      <w:r w:rsidR="00DC17EA">
        <w:rPr>
          <w:color w:val="000000" w:themeColor="text1"/>
        </w:rPr>
        <w:t xml:space="preserve">The County’s </w:t>
      </w:r>
      <w:r w:rsidR="00E951EB">
        <w:rPr>
          <w:color w:val="000000" w:themeColor="text1"/>
        </w:rPr>
        <w:t>c</w:t>
      </w:r>
      <w:r w:rsidR="00DC17EA">
        <w:rPr>
          <w:color w:val="000000" w:themeColor="text1"/>
        </w:rPr>
        <w:t xml:space="preserve">hief </w:t>
      </w:r>
      <w:r w:rsidR="00E951EB">
        <w:rPr>
          <w:color w:val="000000" w:themeColor="text1"/>
        </w:rPr>
        <w:t>e</w:t>
      </w:r>
      <w:r w:rsidR="00DC17EA">
        <w:rPr>
          <w:color w:val="000000" w:themeColor="text1"/>
        </w:rPr>
        <w:t xml:space="preserve">xecutive </w:t>
      </w:r>
      <w:r w:rsidR="00E951EB">
        <w:rPr>
          <w:color w:val="000000" w:themeColor="text1"/>
        </w:rPr>
        <w:t>o</w:t>
      </w:r>
      <w:r w:rsidR="00DC17EA">
        <w:rPr>
          <w:color w:val="000000" w:themeColor="text1"/>
        </w:rPr>
        <w:t xml:space="preserve">fficer, who is responsible for classifying all positions in the County, has issued policies regarding classification and compensation that, according to the County, “emphasiz[e] the civil service principle of ‘equal pay for equal work.’” </w:t>
      </w:r>
      <w:r w:rsidR="00606285">
        <w:rPr>
          <w:color w:val="000000" w:themeColor="text1"/>
        </w:rPr>
        <w:t xml:space="preserve"> </w:t>
      </w:r>
      <w:r w:rsidR="0020548A">
        <w:rPr>
          <w:color w:val="000000" w:themeColor="text1"/>
        </w:rPr>
        <w:t>Regarding compensation, the County</w:t>
      </w:r>
      <w:r w:rsidR="00E82425">
        <w:rPr>
          <w:color w:val="000000" w:themeColor="text1"/>
        </w:rPr>
        <w:t>’s</w:t>
      </w:r>
      <w:r w:rsidR="0020548A">
        <w:rPr>
          <w:color w:val="000000" w:themeColor="text1"/>
        </w:rPr>
        <w:t xml:space="preserve"> </w:t>
      </w:r>
      <w:r w:rsidR="008D54D5">
        <w:rPr>
          <w:color w:val="000000" w:themeColor="text1"/>
        </w:rPr>
        <w:t>chief executive officer</w:t>
      </w:r>
      <w:r w:rsidR="0020548A">
        <w:rPr>
          <w:color w:val="000000" w:themeColor="text1"/>
        </w:rPr>
        <w:t xml:space="preserve"> submits any proposed changes to the Board of Supervisors to approve and include in its salary ordinance. </w:t>
      </w:r>
      <w:r w:rsidR="00BE160C">
        <w:rPr>
          <w:color w:val="000000" w:themeColor="text1"/>
        </w:rPr>
        <w:t xml:space="preserve"> (</w:t>
      </w:r>
      <w:r w:rsidR="00D5150E">
        <w:t>R</w:t>
      </w:r>
      <w:r w:rsidR="00BE160C">
        <w:t>ule</w:t>
      </w:r>
      <w:r w:rsidR="003F184B">
        <w:t> </w:t>
      </w:r>
      <w:r w:rsidR="00BE160C">
        <w:t>5.03(D).)</w:t>
      </w:r>
      <w:r w:rsidR="00BE160C">
        <w:rPr>
          <w:color w:val="000000" w:themeColor="text1"/>
        </w:rPr>
        <w:t xml:space="preserve"> </w:t>
      </w:r>
      <w:r w:rsidR="0020548A">
        <w:rPr>
          <w:color w:val="000000" w:themeColor="text1"/>
        </w:rPr>
        <w:t xml:space="preserve"> “</w:t>
      </w:r>
      <w:r w:rsidRPr="00673A39" w:rsidR="00D76C1F">
        <w:t>In fixing compensation</w:t>
      </w:r>
      <w:r w:rsidR="00D76C1F">
        <w:t xml:space="preserve"> </w:t>
      </w:r>
      <w:r w:rsidRPr="00673A39" w:rsidR="00D76C1F">
        <w:t>to be paid to persons under the classified civil service, the Board of Supervisors shall be governed by applicable State statutes and County ordinances.</w:t>
      </w:r>
      <w:r w:rsidR="00D76C1F">
        <w:rPr>
          <w:color w:val="000000" w:themeColor="text1"/>
        </w:rPr>
        <w:t>”</w:t>
      </w:r>
      <w:r w:rsidR="00756811">
        <w:rPr>
          <w:color w:val="000000" w:themeColor="text1"/>
        </w:rPr>
        <w:t xml:space="preserve">  (</w:t>
      </w:r>
      <w:r w:rsidR="00CF4BC7">
        <w:t>L.A. </w:t>
      </w:r>
      <w:r w:rsidR="006E2058">
        <w:t xml:space="preserve">County Charter, </w:t>
      </w:r>
      <w:r w:rsidR="00756811">
        <w:rPr>
          <w:color w:val="000000" w:themeColor="text1"/>
        </w:rPr>
        <w:t xml:space="preserve">art. X, </w:t>
      </w:r>
      <w:r w:rsidR="00A62935">
        <w:rPr>
          <w:color w:val="000000" w:themeColor="text1"/>
        </w:rPr>
        <w:t>§ </w:t>
      </w:r>
      <w:r w:rsidR="00756811">
        <w:rPr>
          <w:color w:val="000000" w:themeColor="text1"/>
        </w:rPr>
        <w:t>47.)</w:t>
      </w:r>
    </w:p>
    <w:p w:rsidR="001A37EF" w:rsidRPr="00756811" w:rsidP="00D754EB" w14:paraId="728B183A" w14:textId="77777777">
      <w:pPr>
        <w:spacing w:line="288" w:lineRule="auto"/>
        <w:ind w:firstLine="720"/>
        <w:rPr>
          <w:color w:val="000000" w:themeColor="text1"/>
        </w:rPr>
      </w:pPr>
    </w:p>
    <w:p w:rsidR="00D361FE" w:rsidRPr="00D361FE" w:rsidP="00DC17EA" w14:paraId="5202211A" w14:textId="4AFE8060">
      <w:pPr>
        <w:keepNext/>
        <w:spacing w:line="288" w:lineRule="auto"/>
        <w:ind w:left="1440" w:hanging="720"/>
        <w:rPr>
          <w:i/>
          <w:iCs/>
        </w:rPr>
      </w:pPr>
      <w:r>
        <w:t>B.</w:t>
      </w:r>
      <w:r>
        <w:tab/>
      </w:r>
      <w:r>
        <w:rPr>
          <w:i/>
          <w:iCs/>
        </w:rPr>
        <w:t xml:space="preserve">The </w:t>
      </w:r>
      <w:r w:rsidR="00FF197A">
        <w:rPr>
          <w:i/>
          <w:iCs/>
        </w:rPr>
        <w:t xml:space="preserve">Board of Supervisors Creates the </w:t>
      </w:r>
      <w:r>
        <w:rPr>
          <w:i/>
          <w:iCs/>
        </w:rPr>
        <w:t>Los Angeles County Retirement System</w:t>
      </w:r>
    </w:p>
    <w:p w:rsidR="00D361FE" w:rsidP="00BF1309" w14:paraId="2658A61E" w14:textId="06365EF5">
      <w:pPr>
        <w:spacing w:line="288" w:lineRule="auto"/>
        <w:ind w:firstLine="720"/>
      </w:pPr>
      <w:r w:rsidRPr="007A35DA">
        <w:t>CERL</w:t>
      </w:r>
      <w:r>
        <w:t xml:space="preserve"> </w:t>
      </w:r>
      <w:r w:rsidRPr="00995402">
        <w:t>establishe</w:t>
      </w:r>
      <w:r w:rsidR="00FF197A">
        <w:t>d</w:t>
      </w:r>
      <w:r w:rsidRPr="00995402">
        <w:t xml:space="preserve"> </w:t>
      </w:r>
      <w:r>
        <w:t>“</w:t>
      </w:r>
      <w:r w:rsidRPr="00995402">
        <w:t>an optional employee pension system for county adoption.</w:t>
      </w:r>
      <w:r>
        <w:t>”  (</w:t>
      </w:r>
      <w:r w:rsidRPr="00995402">
        <w:rPr>
          <w:i/>
          <w:iCs/>
        </w:rPr>
        <w:t>Alameda County Deputy Sheriff</w:t>
      </w:r>
      <w:r>
        <w:rPr>
          <w:i/>
          <w:iCs/>
        </w:rPr>
        <w:t>’</w:t>
      </w:r>
      <w:r w:rsidRPr="00995402">
        <w:rPr>
          <w:i/>
          <w:iCs/>
        </w:rPr>
        <w:t>s Ass</w:t>
      </w:r>
      <w:r w:rsidR="00BA06A3">
        <w:rPr>
          <w:i/>
          <w:iCs/>
        </w:rPr>
        <w:t>n.</w:t>
      </w:r>
      <w:r w:rsidRPr="00995402">
        <w:rPr>
          <w:i/>
          <w:iCs/>
        </w:rPr>
        <w:t xml:space="preserve"> v. Alameda County Employees</w:t>
      </w:r>
      <w:r>
        <w:rPr>
          <w:i/>
          <w:iCs/>
        </w:rPr>
        <w:t>’</w:t>
      </w:r>
      <w:r w:rsidRPr="00995402">
        <w:rPr>
          <w:i/>
          <w:iCs/>
        </w:rPr>
        <w:t xml:space="preserve"> Retirement Ass</w:t>
      </w:r>
      <w:r w:rsidR="00BA06A3">
        <w:rPr>
          <w:i/>
          <w:iCs/>
        </w:rPr>
        <w:t>n.</w:t>
      </w:r>
      <w:r w:rsidRPr="00995402">
        <w:t xml:space="preserve"> (2020) 9 Cal.5th 1032, 1055</w:t>
      </w:r>
      <w:r>
        <w:t xml:space="preserve">; see </w:t>
      </w:r>
      <w:r w:rsidR="00A62935">
        <w:t>§ </w:t>
      </w:r>
      <w:r>
        <w:t>31500 [a board of supervisors may establish a retirement system under CERL by a four-fifths vote].)</w:t>
      </w:r>
      <w:r w:rsidRPr="00995402">
        <w:t xml:space="preserve"> </w:t>
      </w:r>
      <w:r>
        <w:t xml:space="preserve"> T</w:t>
      </w:r>
      <w:r w:rsidR="00BF1309">
        <w:t xml:space="preserve">he Board of Supervisors adopted </w:t>
      </w:r>
      <w:r w:rsidR="001137F9">
        <w:t xml:space="preserve">the provisions of </w:t>
      </w:r>
      <w:r>
        <w:t>CERL shortly after it became law</w:t>
      </w:r>
      <w:r w:rsidR="00BF1309">
        <w:t>.</w:t>
      </w:r>
      <w:r>
        <w:rPr>
          <w:rStyle w:val="FootnoteReference"/>
        </w:rPr>
        <w:footnoteReference w:id="5"/>
      </w:r>
      <w:r w:rsidR="00BF1309">
        <w:t xml:space="preserve"> </w:t>
      </w:r>
      <w:r>
        <w:t xml:space="preserve"> (</w:t>
      </w:r>
      <w:r w:rsidR="00BF1309">
        <w:t>L.A.</w:t>
      </w:r>
      <w:r w:rsidR="00E82425">
        <w:t> </w:t>
      </w:r>
      <w:r w:rsidR="00BF1309">
        <w:t xml:space="preserve">County Code, </w:t>
      </w:r>
      <w:r w:rsidR="00A62935">
        <w:t>§ </w:t>
      </w:r>
      <w:r w:rsidR="00BF1309">
        <w:t xml:space="preserve">5.20.010.)  </w:t>
      </w:r>
      <w:r w:rsidR="00716F14">
        <w:t>Los </w:t>
      </w:r>
      <w:r w:rsidRPr="007A35DA" w:rsidR="00BF1309">
        <w:t xml:space="preserve">Angeles County established LACERA in 1947. </w:t>
      </w:r>
      <w:r w:rsidR="00BF1309">
        <w:t xml:space="preserve"> (</w:t>
      </w:r>
      <w:r w:rsidRPr="007A35DA" w:rsidR="00BF1309">
        <w:rPr>
          <w:i/>
          <w:iCs/>
        </w:rPr>
        <w:t>Howard Jarvis Taxpayers</w:t>
      </w:r>
      <w:r w:rsidR="00BF1309">
        <w:rPr>
          <w:i/>
          <w:iCs/>
        </w:rPr>
        <w:t>’</w:t>
      </w:r>
      <w:r w:rsidRPr="007A35DA" w:rsidR="00BF1309">
        <w:rPr>
          <w:i/>
          <w:iCs/>
        </w:rPr>
        <w:t xml:space="preserve"> Assn. v. Board of Supervisors</w:t>
      </w:r>
      <w:r w:rsidRPr="007A35DA" w:rsidR="00BF1309">
        <w:t xml:space="preserve"> (1996) 41</w:t>
      </w:r>
      <w:r w:rsidR="006E2058">
        <w:t> </w:t>
      </w:r>
      <w:r w:rsidRPr="007A35DA" w:rsidR="00BF1309">
        <w:t>Cal.App.4th 1363, 1373</w:t>
      </w:r>
      <w:r w:rsidR="00BF1309">
        <w:t xml:space="preserve">.)  </w:t>
      </w:r>
    </w:p>
    <w:p w:rsidR="000538A9" w:rsidP="000538A9" w14:paraId="55B434C4" w14:textId="22D2C4EF">
      <w:pPr>
        <w:spacing w:line="288" w:lineRule="auto"/>
        <w:ind w:firstLine="720"/>
      </w:pPr>
      <w:r>
        <w:t>CERL</w:t>
      </w:r>
      <w:r w:rsidRPr="007A35DA">
        <w:t xml:space="preserve"> </w:t>
      </w:r>
      <w:r w:rsidR="006030EA">
        <w:t xml:space="preserve">vests </w:t>
      </w:r>
      <w:r w:rsidRPr="007A35DA">
        <w:t xml:space="preserve">the management of a county employee retirement system </w:t>
      </w:r>
      <w:r>
        <w:t>in</w:t>
      </w:r>
      <w:r w:rsidRPr="007A35DA">
        <w:t xml:space="preserve"> </w:t>
      </w:r>
      <w:r>
        <w:t>a</w:t>
      </w:r>
      <w:r w:rsidRPr="007A35DA">
        <w:t xml:space="preserve"> board of retirement</w:t>
      </w:r>
      <w:r>
        <w:t xml:space="preserve">.  </w:t>
      </w:r>
      <w:r w:rsidRPr="007A35DA">
        <w:t>(</w:t>
      </w:r>
      <w:r w:rsidR="00A62935">
        <w:t>§ </w:t>
      </w:r>
      <w:r w:rsidRPr="007A35DA">
        <w:t>31520</w:t>
      </w:r>
      <w:r>
        <w:t xml:space="preserve">; </w:t>
      </w:r>
      <w:r w:rsidRPr="0019732B">
        <w:rPr>
          <w:i/>
          <w:iCs/>
        </w:rPr>
        <w:t>Alameda County Deputy Sheriff</w:t>
      </w:r>
      <w:r>
        <w:rPr>
          <w:i/>
          <w:iCs/>
        </w:rPr>
        <w:t>’</w:t>
      </w:r>
      <w:r w:rsidRPr="0019732B">
        <w:rPr>
          <w:i/>
          <w:iCs/>
        </w:rPr>
        <w:t>s Assn</w:t>
      </w:r>
      <w:r w:rsidR="00C360BC">
        <w:rPr>
          <w:i/>
          <w:iCs/>
        </w:rPr>
        <w:t>.</w:t>
      </w:r>
      <w:r w:rsidRPr="0019732B">
        <w:rPr>
          <w:i/>
          <w:iCs/>
        </w:rPr>
        <w:t xml:space="preserve"> v. Alameda County Employees</w:t>
      </w:r>
      <w:r>
        <w:rPr>
          <w:i/>
          <w:iCs/>
        </w:rPr>
        <w:t>’</w:t>
      </w:r>
      <w:r w:rsidRPr="0019732B">
        <w:rPr>
          <w:i/>
          <w:iCs/>
        </w:rPr>
        <w:t xml:space="preserve"> Retirement Assn</w:t>
      </w:r>
      <w:r w:rsidR="00C360BC">
        <w:rPr>
          <w:i/>
          <w:iCs/>
        </w:rPr>
        <w:t>.</w:t>
      </w:r>
      <w:r w:rsidR="006E2058">
        <w:t xml:space="preserve">, </w:t>
      </w:r>
      <w:r w:rsidR="006E2058">
        <w:rPr>
          <w:i/>
          <w:iCs/>
        </w:rPr>
        <w:t>supra</w:t>
      </w:r>
      <w:r w:rsidR="006E2058">
        <w:t>,</w:t>
      </w:r>
      <w:r w:rsidRPr="0019732B">
        <w:t xml:space="preserve"> 9</w:t>
      </w:r>
      <w:r w:rsidR="006E2058">
        <w:t> </w:t>
      </w:r>
      <w:r w:rsidRPr="0019732B">
        <w:t xml:space="preserve">Cal.5th </w:t>
      </w:r>
      <w:r w:rsidR="006E2058">
        <w:t xml:space="preserve">at </w:t>
      </w:r>
      <w:r w:rsidR="00A62935">
        <w:t>p. </w:t>
      </w:r>
      <w:r w:rsidRPr="0019732B">
        <w:t>1066</w:t>
      </w:r>
      <w:r>
        <w:t>.)  The county treasurer is one of five members of the board of retirement, the county board of supervisors selects two more members, and the remaining two are elected by the retirement association.  (</w:t>
      </w:r>
      <w:r w:rsidR="00E82425">
        <w:t>See § 31530</w:t>
      </w:r>
      <w:r>
        <w:rPr>
          <w:i/>
          <w:iCs/>
        </w:rPr>
        <w:t>.</w:t>
      </w:r>
      <w:r>
        <w:t xml:space="preserve">)  In </w:t>
      </w:r>
      <w:r w:rsidRPr="00BF1309">
        <w:t>count</w:t>
      </w:r>
      <w:r>
        <w:t>ies</w:t>
      </w:r>
      <w:r w:rsidRPr="00BF1309">
        <w:t xml:space="preserve"> </w:t>
      </w:r>
      <w:r>
        <w:t>with retirement system</w:t>
      </w:r>
      <w:r w:rsidRPr="00BF1309">
        <w:t xml:space="preserve"> assets </w:t>
      </w:r>
      <w:r>
        <w:t>that exceed</w:t>
      </w:r>
      <w:r w:rsidRPr="00BF1309">
        <w:t xml:space="preserve"> $800,000,000, </w:t>
      </w:r>
      <w:r>
        <w:t xml:space="preserve">like Los Angeles County, </w:t>
      </w:r>
      <w:r w:rsidRPr="00BF1309">
        <w:t>the board of supervisors may establish a board of investments</w:t>
      </w:r>
      <w:r>
        <w:t xml:space="preserve"> to manage investments of the retirement system.  (See </w:t>
      </w:r>
      <w:r w:rsidR="00A62935">
        <w:t>§ </w:t>
      </w:r>
      <w:r>
        <w:t>31520.2.)</w:t>
      </w:r>
      <w:r w:rsidR="0026316A">
        <w:t xml:space="preserve"> </w:t>
      </w:r>
      <w:r w:rsidR="006E2058">
        <w:t xml:space="preserve"> </w:t>
      </w:r>
      <w:r w:rsidR="00C54E9C">
        <w:t xml:space="preserve">According to LACERA, </w:t>
      </w:r>
      <w:r w:rsidR="006E2058">
        <w:t>its</w:t>
      </w:r>
      <w:r w:rsidR="00C54E9C">
        <w:t xml:space="preserve"> Board of Retirement generally administers and manages the retirement system, while </w:t>
      </w:r>
      <w:r w:rsidR="003F184B">
        <w:t>its</w:t>
      </w:r>
      <w:r w:rsidR="00C54E9C">
        <w:t xml:space="preserve"> Board of Investments </w:t>
      </w:r>
      <w:r w:rsidR="003F4341">
        <w:t>develop</w:t>
      </w:r>
      <w:r w:rsidR="009734C9">
        <w:t>s</w:t>
      </w:r>
      <w:r w:rsidR="003F4341">
        <w:t xml:space="preserve"> and implement</w:t>
      </w:r>
      <w:r w:rsidR="009734C9">
        <w:t>s</w:t>
      </w:r>
      <w:r w:rsidR="003F4341">
        <w:t xml:space="preserve"> LACERA’s investment and actuarial policies and objectives.  Together the </w:t>
      </w:r>
      <w:r w:rsidR="006E2058">
        <w:t xml:space="preserve">LACERA </w:t>
      </w:r>
      <w:r w:rsidR="003F4341">
        <w:t xml:space="preserve">Boards </w:t>
      </w:r>
      <w:r w:rsidR="00E2670B">
        <w:t xml:space="preserve">develop and approve LACERA’s budget, including the classification and salaries of its employees. </w:t>
      </w:r>
    </w:p>
    <w:p w:rsidR="00B913C4" w:rsidP="00B913C4" w14:paraId="21C83193" w14:textId="1BA5BC39">
      <w:pPr>
        <w:spacing w:line="288" w:lineRule="auto"/>
        <w:ind w:firstLine="720"/>
      </w:pPr>
      <w:r>
        <w:t>“</w:t>
      </w:r>
      <w:r w:rsidRPr="00F32F6C">
        <w:t>A county retirement board</w:t>
      </w:r>
      <w:r>
        <w:t xml:space="preserve"> </w:t>
      </w:r>
      <w:r w:rsidR="00A62935">
        <w:t>. . . </w:t>
      </w:r>
      <w:r w:rsidRPr="00F32F6C">
        <w:t>does not act as agent for the county, but as administrator of the county retirement system, an independent entity</w:t>
      </w:r>
      <w:r>
        <w:t>.”  (</w:t>
      </w:r>
      <w:r w:rsidRPr="00F32F6C">
        <w:rPr>
          <w:i/>
          <w:iCs/>
        </w:rPr>
        <w:t>Traub v. Board of Retirement</w:t>
      </w:r>
      <w:r w:rsidRPr="00F32F6C">
        <w:t xml:space="preserve"> (1983) 34</w:t>
      </w:r>
      <w:r>
        <w:t> </w:t>
      </w:r>
      <w:r w:rsidRPr="00F32F6C">
        <w:t>Cal.3d 793, 798</w:t>
      </w:r>
      <w:r>
        <w:t xml:space="preserve">; see </w:t>
      </w:r>
      <w:r w:rsidRPr="00F32F6C">
        <w:rPr>
          <w:i/>
          <w:iCs/>
        </w:rPr>
        <w:t>Hudson v. County of Los Angeles</w:t>
      </w:r>
      <w:r w:rsidRPr="00F32F6C">
        <w:t xml:space="preserve"> (2014) 232</w:t>
      </w:r>
      <w:r>
        <w:t> </w:t>
      </w:r>
      <w:r w:rsidRPr="00F32F6C">
        <w:t>Cal.App.4th 392, 396</w:t>
      </w:r>
      <w:r>
        <w:t>, fn. 2 [“</w:t>
      </w:r>
      <w:r w:rsidRPr="00F32F6C">
        <w:t>LACERA is a public retirement system independent from the County of Los Angeles</w:t>
      </w:r>
      <w:r>
        <w:t xml:space="preserve">”]; </w:t>
      </w:r>
      <w:r w:rsidRPr="007A35DA">
        <w:rPr>
          <w:i/>
          <w:iCs/>
        </w:rPr>
        <w:t>Howard Jarvis Taxpayers</w:t>
      </w:r>
      <w:r>
        <w:rPr>
          <w:i/>
          <w:iCs/>
        </w:rPr>
        <w:t>’</w:t>
      </w:r>
      <w:r w:rsidRPr="007A35DA">
        <w:rPr>
          <w:i/>
          <w:iCs/>
        </w:rPr>
        <w:t xml:space="preserve"> Assn. v. Board of Supervisors</w:t>
      </w:r>
      <w:r>
        <w:t xml:space="preserve">, </w:t>
      </w:r>
      <w:r>
        <w:rPr>
          <w:i/>
          <w:iCs/>
        </w:rPr>
        <w:t>supra</w:t>
      </w:r>
      <w:r>
        <w:t>,</w:t>
      </w:r>
      <w:r w:rsidRPr="007A35DA">
        <w:t xml:space="preserve"> 41</w:t>
      </w:r>
      <w:r>
        <w:t> </w:t>
      </w:r>
      <w:r w:rsidRPr="007A35DA">
        <w:t xml:space="preserve">Cal.App.4th </w:t>
      </w:r>
      <w:r>
        <w:t xml:space="preserve">at </w:t>
      </w:r>
      <w:r w:rsidR="00A62935">
        <w:t>p. </w:t>
      </w:r>
      <w:r w:rsidRPr="007A35DA">
        <w:t xml:space="preserve">1373 </w:t>
      </w:r>
      <w:r>
        <w:t>[a</w:t>
      </w:r>
      <w:r w:rsidRPr="007A35DA">
        <w:t xml:space="preserve"> </w:t>
      </w:r>
      <w:r w:rsidR="00CC6D2D">
        <w:t>“</w:t>
      </w:r>
      <w:r w:rsidRPr="007A35DA">
        <w:t>county Board of Retirement does not act as an agent for the county, but as an independent entity established pursuant to CERL</w:t>
      </w:r>
      <w:r>
        <w:t xml:space="preserve">”]; </w:t>
      </w:r>
      <w:r w:rsidRPr="007A35DA">
        <w:rPr>
          <w:i/>
          <w:iCs/>
        </w:rPr>
        <w:t>Santa Barbara County Taxpayers Assn. v. County of Santa Barbara</w:t>
      </w:r>
      <w:r w:rsidRPr="007A35DA">
        <w:t xml:space="preserve"> (1987) 194</w:t>
      </w:r>
      <w:r>
        <w:t> </w:t>
      </w:r>
      <w:r w:rsidRPr="007A35DA">
        <w:t>Cal.App.3d</w:t>
      </w:r>
      <w:r w:rsidR="001B01D6">
        <w:t xml:space="preserve"> </w:t>
      </w:r>
      <w:r w:rsidRPr="007A35DA">
        <w:t>674, 682</w:t>
      </w:r>
      <w:r>
        <w:t xml:space="preserve"> [“</w:t>
      </w:r>
      <w:r w:rsidRPr="007A35DA">
        <w:t>retirement boards</w:t>
      </w:r>
      <w:r>
        <w:t xml:space="preserve"> </w:t>
      </w:r>
      <w:r w:rsidR="00A62935">
        <w:t>. . . </w:t>
      </w:r>
      <w:r w:rsidRPr="007A35DA">
        <w:t>are independent from counties</w:t>
      </w:r>
      <w:r>
        <w:t>”].</w:t>
      </w:r>
      <w:r w:rsidRPr="00F32F6C">
        <w:t>)</w:t>
      </w:r>
      <w:r>
        <w:t xml:space="preserve">  “</w:t>
      </w:r>
      <w:r w:rsidRPr="0019732B">
        <w:t>The task of a county retirement board is not to design the county</w:t>
      </w:r>
      <w:r>
        <w:t>’</w:t>
      </w:r>
      <w:r w:rsidRPr="0019732B">
        <w:t>s pension plan but to implement the design enacted by the Legislature through CERL</w:t>
      </w:r>
      <w:r w:rsidR="00A62935">
        <w:t>. . . </w:t>
      </w:r>
      <w:r>
        <w:t>.</w:t>
      </w:r>
      <w:r w:rsidRPr="0019732B">
        <w:t xml:space="preserve"> </w:t>
      </w:r>
      <w:r w:rsidR="00FD6E4F">
        <w:t xml:space="preserve"> </w:t>
      </w:r>
      <w:r w:rsidRPr="0019732B">
        <w:t>Although CERL grants to retirement boards the power to make regulations, those regulations must be consistent with the provisions of CERL.</w:t>
      </w:r>
      <w:r>
        <w:t xml:space="preserve">” </w:t>
      </w:r>
      <w:r w:rsidRPr="0019732B">
        <w:t xml:space="preserve"> (</w:t>
      </w:r>
      <w:r w:rsidRPr="00995402">
        <w:rPr>
          <w:i/>
          <w:iCs/>
          <w:szCs w:val="26"/>
        </w:rPr>
        <w:t>Alameda County Deputy Sheriff</w:t>
      </w:r>
      <w:r w:rsidRPr="00D361FE">
        <w:rPr>
          <w:i/>
          <w:iCs/>
          <w:szCs w:val="26"/>
        </w:rPr>
        <w:t>’</w:t>
      </w:r>
      <w:r w:rsidRPr="00995402">
        <w:rPr>
          <w:i/>
          <w:iCs/>
          <w:szCs w:val="26"/>
        </w:rPr>
        <w:t>s Assn</w:t>
      </w:r>
      <w:r w:rsidR="00C360BC">
        <w:rPr>
          <w:i/>
          <w:iCs/>
          <w:szCs w:val="26"/>
        </w:rPr>
        <w:t>.</w:t>
      </w:r>
      <w:r w:rsidRPr="00995402">
        <w:rPr>
          <w:i/>
          <w:iCs/>
          <w:szCs w:val="26"/>
        </w:rPr>
        <w:t xml:space="preserve"> v. Alameda County Employees</w:t>
      </w:r>
      <w:r w:rsidRPr="00D361FE">
        <w:rPr>
          <w:i/>
          <w:iCs/>
          <w:szCs w:val="26"/>
        </w:rPr>
        <w:t>’</w:t>
      </w:r>
      <w:r w:rsidRPr="00995402">
        <w:rPr>
          <w:i/>
          <w:iCs/>
          <w:szCs w:val="26"/>
        </w:rPr>
        <w:t xml:space="preserve"> Retirement Assn</w:t>
      </w:r>
      <w:r w:rsidR="00C360BC">
        <w:rPr>
          <w:i/>
          <w:iCs/>
          <w:szCs w:val="26"/>
        </w:rPr>
        <w:t>.</w:t>
      </w:r>
      <w:r>
        <w:rPr>
          <w:szCs w:val="26"/>
        </w:rPr>
        <w:t xml:space="preserve">, </w:t>
      </w:r>
      <w:r>
        <w:rPr>
          <w:i/>
          <w:iCs/>
          <w:szCs w:val="26"/>
        </w:rPr>
        <w:t>supra</w:t>
      </w:r>
      <w:r>
        <w:rPr>
          <w:szCs w:val="26"/>
        </w:rPr>
        <w:t>,</w:t>
      </w:r>
      <w:r>
        <w:rPr>
          <w:i/>
          <w:iCs/>
          <w:szCs w:val="26"/>
        </w:rPr>
        <w:t xml:space="preserve"> </w:t>
      </w:r>
      <w:r w:rsidRPr="00995402">
        <w:rPr>
          <w:szCs w:val="26"/>
        </w:rPr>
        <w:t xml:space="preserve">9 Cal.5th </w:t>
      </w:r>
      <w:r>
        <w:rPr>
          <w:szCs w:val="26"/>
        </w:rPr>
        <w:t>at p</w:t>
      </w:r>
      <w:r w:rsidR="00A62935">
        <w:rPr>
          <w:szCs w:val="26"/>
        </w:rPr>
        <w:t>p. </w:t>
      </w:r>
      <w:r w:rsidRPr="00995402">
        <w:rPr>
          <w:szCs w:val="26"/>
        </w:rPr>
        <w:t>10</w:t>
      </w:r>
      <w:r>
        <w:rPr>
          <w:szCs w:val="26"/>
        </w:rPr>
        <w:t>66-1067;</w:t>
      </w:r>
      <w:r w:rsidR="006030EA">
        <w:rPr>
          <w:szCs w:val="26"/>
        </w:rPr>
        <w:t xml:space="preserve"> </w:t>
      </w:r>
      <w:r w:rsidR="00CC6D2D">
        <w:rPr>
          <w:szCs w:val="26"/>
        </w:rPr>
        <w:t>see</w:t>
      </w:r>
      <w:r w:rsidR="006030EA">
        <w:rPr>
          <w:szCs w:val="26"/>
        </w:rPr>
        <w:t xml:space="preserve"> </w:t>
      </w:r>
      <w:r w:rsidR="00A62935">
        <w:t>§ </w:t>
      </w:r>
      <w:r w:rsidRPr="0019732B">
        <w:t>31525 [“</w:t>
      </w:r>
      <w:r>
        <w:t>[t]</w:t>
      </w:r>
      <w:r w:rsidRPr="0019732B">
        <w:t>he board may make regulations not inconsistent with this chapter”].)</w:t>
      </w:r>
    </w:p>
    <w:p w:rsidR="00BF1309" w:rsidP="00BF1309" w14:paraId="6B097255" w14:textId="77777777">
      <w:pPr>
        <w:spacing w:line="288" w:lineRule="auto"/>
        <w:ind w:firstLine="720"/>
      </w:pPr>
    </w:p>
    <w:p w:rsidR="00FF197A" w:rsidRPr="00D361FE" w:rsidP="00DC17EA" w14:paraId="6EA9D969" w14:textId="21C7B9A0">
      <w:pPr>
        <w:keepNext/>
        <w:spacing w:line="288" w:lineRule="auto"/>
        <w:ind w:left="1440" w:hanging="720"/>
        <w:rPr>
          <w:i/>
          <w:iCs/>
        </w:rPr>
      </w:pPr>
      <w:r>
        <w:t>C.</w:t>
      </w:r>
      <w:r>
        <w:tab/>
      </w:r>
      <w:r>
        <w:rPr>
          <w:i/>
          <w:iCs/>
        </w:rPr>
        <w:t xml:space="preserve">The Statutory </w:t>
      </w:r>
      <w:r w:rsidR="000538A9">
        <w:rPr>
          <w:i/>
          <w:iCs/>
        </w:rPr>
        <w:t xml:space="preserve">and Constitutional </w:t>
      </w:r>
      <w:r>
        <w:rPr>
          <w:i/>
          <w:iCs/>
        </w:rPr>
        <w:t xml:space="preserve">Framework </w:t>
      </w:r>
      <w:r w:rsidR="00342904">
        <w:rPr>
          <w:i/>
          <w:iCs/>
        </w:rPr>
        <w:t xml:space="preserve">for the </w:t>
      </w:r>
      <w:r>
        <w:rPr>
          <w:i/>
          <w:iCs/>
        </w:rPr>
        <w:t>Retirement System</w:t>
      </w:r>
      <w:r w:rsidR="00342904">
        <w:rPr>
          <w:i/>
          <w:iCs/>
        </w:rPr>
        <w:t>’s Management</w:t>
      </w:r>
    </w:p>
    <w:p w:rsidR="000538A9" w:rsidP="00DC17EA" w14:paraId="11A25756" w14:textId="77777777">
      <w:pPr>
        <w:keepNext/>
        <w:spacing w:line="288" w:lineRule="auto"/>
        <w:ind w:firstLine="720"/>
      </w:pPr>
    </w:p>
    <w:p w:rsidR="000538A9" w:rsidRPr="000538A9" w:rsidP="00DC17EA" w14:paraId="5CB0E2C5" w14:textId="5108A154">
      <w:pPr>
        <w:keepNext/>
        <w:spacing w:line="288" w:lineRule="auto"/>
        <w:ind w:left="2160" w:hanging="720"/>
        <w:rPr>
          <w:i/>
          <w:iCs/>
        </w:rPr>
      </w:pPr>
      <w:r>
        <w:t>1.</w:t>
      </w:r>
      <w:r>
        <w:tab/>
      </w:r>
      <w:r>
        <w:rPr>
          <w:i/>
          <w:iCs/>
        </w:rPr>
        <w:t>CERL Gives Retirement Boards Responsibility for Managing County Retirement Systems</w:t>
      </w:r>
    </w:p>
    <w:p w:rsidR="000538A9" w:rsidP="000538A9" w14:paraId="74114D4A" w14:textId="71C85874">
      <w:pPr>
        <w:spacing w:line="288" w:lineRule="auto"/>
        <w:ind w:firstLine="720"/>
      </w:pPr>
      <w:r>
        <w:t>C</w:t>
      </w:r>
      <w:r w:rsidR="00EE0851">
        <w:t>ounty retirement associations like LACERA</w:t>
      </w:r>
      <w:r>
        <w:t xml:space="preserve"> </w:t>
      </w:r>
      <w:r w:rsidR="00EE0851">
        <w:t>“</w:t>
      </w:r>
      <w:r w:rsidRPr="00995402" w:rsidR="00EE0851">
        <w:t xml:space="preserve">hold and invest the pensions and administer the benefits to the employees of the County </w:t>
      </w:r>
      <w:r w:rsidR="00A62935">
        <w:t>. . . </w:t>
      </w:r>
      <w:r w:rsidRPr="00995402" w:rsidR="00EE0851">
        <w:t>who are its members</w:t>
      </w:r>
      <w:r w:rsidR="00EE0851">
        <w:t>,” and the</w:t>
      </w:r>
      <w:r>
        <w:t>ir</w:t>
      </w:r>
      <w:r w:rsidR="00EE0851">
        <w:t xml:space="preserve"> retirement boards are “</w:t>
      </w:r>
      <w:r w:rsidRPr="00995402" w:rsidR="00EE0851">
        <w:t>charged with the responsibility of ascertaining the eligibility for and paying pension benefits to eligible employees</w:t>
      </w:r>
      <w:r w:rsidR="00A9703F">
        <w:t xml:space="preserve"> under CERL</w:t>
      </w:r>
      <w:r w:rsidR="00EE0851">
        <w:t>.”  (</w:t>
      </w:r>
      <w:r w:rsidRPr="00995402" w:rsidR="00EE0851">
        <w:rPr>
          <w:i/>
          <w:iCs/>
        </w:rPr>
        <w:t xml:space="preserve">Weber v. Board of Retirement </w:t>
      </w:r>
      <w:r w:rsidRPr="00995402" w:rsidR="00EE0851">
        <w:t>(1998) 62</w:t>
      </w:r>
      <w:r w:rsidR="00EE0851">
        <w:t> </w:t>
      </w:r>
      <w:r w:rsidRPr="00995402" w:rsidR="00EE0851">
        <w:t>Cal.App.4th 1440, 1442</w:t>
      </w:r>
      <w:r w:rsidR="00EE0851">
        <w:t xml:space="preserve">; see </w:t>
      </w:r>
      <w:r w:rsidRPr="0019732B" w:rsidR="00EE0851">
        <w:rPr>
          <w:i/>
          <w:iCs/>
        </w:rPr>
        <w:t>Alameda County Deputy Sheriff</w:t>
      </w:r>
      <w:r w:rsidR="00EE0851">
        <w:rPr>
          <w:i/>
          <w:iCs/>
        </w:rPr>
        <w:t>’</w:t>
      </w:r>
      <w:r w:rsidRPr="0019732B" w:rsidR="00EE0851">
        <w:rPr>
          <w:i/>
          <w:iCs/>
        </w:rPr>
        <w:t>s Assn</w:t>
      </w:r>
      <w:r w:rsidR="00C360BC">
        <w:rPr>
          <w:i/>
          <w:iCs/>
        </w:rPr>
        <w:t>.</w:t>
      </w:r>
      <w:r w:rsidRPr="0019732B" w:rsidR="00EE0851">
        <w:rPr>
          <w:i/>
          <w:iCs/>
        </w:rPr>
        <w:t xml:space="preserve"> v. Alameda County Employees</w:t>
      </w:r>
      <w:r w:rsidR="00EE0851">
        <w:rPr>
          <w:i/>
          <w:iCs/>
        </w:rPr>
        <w:t>’</w:t>
      </w:r>
      <w:r w:rsidRPr="0019732B" w:rsidR="00EE0851">
        <w:rPr>
          <w:i/>
          <w:iCs/>
        </w:rPr>
        <w:t xml:space="preserve"> Retirement Assn</w:t>
      </w:r>
      <w:r w:rsidR="00C360BC">
        <w:rPr>
          <w:i/>
          <w:iCs/>
        </w:rPr>
        <w:t>.</w:t>
      </w:r>
      <w:r w:rsidR="00EE0851">
        <w:t xml:space="preserve">, </w:t>
      </w:r>
      <w:r w:rsidR="00EE0851">
        <w:rPr>
          <w:i/>
          <w:iCs/>
        </w:rPr>
        <w:t>supra</w:t>
      </w:r>
      <w:r w:rsidR="00EE0851">
        <w:t>,</w:t>
      </w:r>
      <w:r w:rsidR="00EE0851">
        <w:rPr>
          <w:i/>
          <w:iCs/>
        </w:rPr>
        <w:t xml:space="preserve"> </w:t>
      </w:r>
      <w:r w:rsidRPr="0019732B" w:rsidR="00EE0851">
        <w:t>9</w:t>
      </w:r>
      <w:r w:rsidR="00D5150E">
        <w:t> </w:t>
      </w:r>
      <w:r w:rsidRPr="0019732B" w:rsidR="00EE0851">
        <w:t xml:space="preserve">Cal.5th </w:t>
      </w:r>
      <w:r w:rsidR="00EE0851">
        <w:t xml:space="preserve">at </w:t>
      </w:r>
      <w:r w:rsidR="00A62935">
        <w:t>p. </w:t>
      </w:r>
      <w:r w:rsidRPr="0019732B" w:rsidR="00EE0851">
        <w:t>1066</w:t>
      </w:r>
      <w:r w:rsidR="00EE0851">
        <w:t xml:space="preserve"> [“[a]</w:t>
      </w:r>
      <w:r w:rsidRPr="00DD77B4" w:rsidR="00EE0851">
        <w:t>s a practical matter</w:t>
      </w:r>
      <w:r w:rsidRPr="0019732B" w:rsidR="00EE0851">
        <w:t>, the retirement boards</w:t>
      </w:r>
      <w:r w:rsidR="00EE0851">
        <w:t>’</w:t>
      </w:r>
      <w:r w:rsidRPr="0019732B" w:rsidR="00EE0851">
        <w:t xml:space="preserve"> responsibilities generally involve management of the system</w:t>
      </w:r>
      <w:r w:rsidR="0083475E">
        <w:t>’</w:t>
      </w:r>
      <w:r w:rsidRPr="0019732B" w:rsidR="00EE0851">
        <w:t xml:space="preserve">s financial assets </w:t>
      </w:r>
      <w:r w:rsidR="00EE0851">
        <w:t>[citation]</w:t>
      </w:r>
      <w:r w:rsidRPr="0019732B" w:rsidR="00EE0851">
        <w:t xml:space="preserve"> and the processing and payment of claims for benefits under the plan</w:t>
      </w:r>
      <w:r w:rsidR="00EE0851">
        <w:t>”].)</w:t>
      </w:r>
      <w:r w:rsidR="0083475E">
        <w:t xml:space="preserve">  “</w:t>
      </w:r>
      <w:r w:rsidRPr="00DD77B4" w:rsidR="0083475E">
        <w:t xml:space="preserve">Accordingly </w:t>
      </w:r>
      <w:r w:rsidR="0083475E">
        <w:t>[CERL]</w:t>
      </w:r>
      <w:r w:rsidRPr="00DD77B4" w:rsidR="0083475E">
        <w:t xml:space="preserve"> makes the retirement board the body responsible for managing the retirement system</w:t>
      </w:r>
      <w:r w:rsidR="0083475E">
        <w:t>.”</w:t>
      </w:r>
      <w:r w:rsidRPr="00DD77B4" w:rsidR="0083475E">
        <w:t xml:space="preserve"> </w:t>
      </w:r>
      <w:r w:rsidR="0083475E">
        <w:t xml:space="preserve"> </w:t>
      </w:r>
      <w:r w:rsidRPr="00DD77B4" w:rsidR="0083475E">
        <w:t>(</w:t>
      </w:r>
      <w:r w:rsidRPr="008832D9" w:rsidR="0083475E">
        <w:rPr>
          <w:i/>
          <w:iCs/>
        </w:rPr>
        <w:t>Corcoran v. Contra Costa County Employees Retirement B</w:t>
      </w:r>
      <w:r w:rsidR="00A62935">
        <w:rPr>
          <w:i/>
          <w:iCs/>
        </w:rPr>
        <w:t>d. </w:t>
      </w:r>
      <w:r w:rsidRPr="008832D9" w:rsidR="0083475E">
        <w:t>(1997) 60</w:t>
      </w:r>
      <w:r>
        <w:t> </w:t>
      </w:r>
      <w:r w:rsidRPr="008832D9" w:rsidR="0083475E">
        <w:t>Cal.App.4th 89, 94</w:t>
      </w:r>
      <w:r>
        <w:t xml:space="preserve"> (</w:t>
      </w:r>
      <w:r w:rsidRPr="008832D9">
        <w:rPr>
          <w:i/>
          <w:iCs/>
        </w:rPr>
        <w:t>Corcoran</w:t>
      </w:r>
      <w:r>
        <w:t>)</w:t>
      </w:r>
      <w:r w:rsidR="0083475E">
        <w:t xml:space="preserve">; </w:t>
      </w:r>
      <w:r w:rsidR="00E82425">
        <w:t xml:space="preserve">see </w:t>
      </w:r>
      <w:r w:rsidR="00A62935">
        <w:t>§ </w:t>
      </w:r>
      <w:r w:rsidRPr="00DD77B4" w:rsidR="0083475E">
        <w:t>31520).</w:t>
      </w:r>
    </w:p>
    <w:p w:rsidR="00B93698" w:rsidP="000538A9" w14:paraId="4D3AD819" w14:textId="3DCD3BE9">
      <w:pPr>
        <w:spacing w:line="288" w:lineRule="auto"/>
        <w:ind w:firstLine="720"/>
        <w:rPr>
          <w:color w:val="000000" w:themeColor="text1"/>
        </w:rPr>
      </w:pPr>
      <w:r>
        <w:t>Before 1973</w:t>
      </w:r>
      <w:r w:rsidR="0083475E">
        <w:t xml:space="preserve"> county boards of supervisors and county treasurers supervised retirement board staff, and boards of supervisors appropriated county funds “to offset the administrative cost of the county’s retirement system.”  (Assem. Retirement Com., Analysis of Assem. Bill No. 470 (1973-1974 Reg. Sess.)</w:t>
      </w:r>
      <w:r w:rsidR="00E84958">
        <w:t>,</w:t>
      </w:r>
      <w:r w:rsidR="00617C8D">
        <w:t xml:space="preserve"> as introduced</w:t>
      </w:r>
      <w:r w:rsidR="0083475E">
        <w:t xml:space="preserve">.) </w:t>
      </w:r>
      <w:r w:rsidR="009F220E">
        <w:t xml:space="preserve"> </w:t>
      </w:r>
      <w:r w:rsidR="00E84958">
        <w:t xml:space="preserve">In 1973 the Legislature enacted </w:t>
      </w:r>
      <w:r w:rsidR="0083475E">
        <w:t>Assembly Bill No. 470 (AB 470)</w:t>
      </w:r>
      <w:r w:rsidR="00E84958">
        <w:t xml:space="preserve">, which </w:t>
      </w:r>
      <w:r w:rsidR="0083475E">
        <w:t>added two provisions to CERL</w:t>
      </w:r>
      <w:r w:rsidR="00F21A16">
        <w:t xml:space="preserve"> </w:t>
      </w:r>
      <w:r w:rsidR="0083475E">
        <w:t>“to permit the retirement board and the board of investment to appoint its own administrative, tec</w:t>
      </w:r>
      <w:r>
        <w:t>hnical and clerical staff” and</w:t>
      </w:r>
      <w:r w:rsidR="00E84958">
        <w:t>,</w:t>
      </w:r>
      <w:r w:rsidR="0083475E">
        <w:t xml:space="preserve"> in turn, </w:t>
      </w:r>
      <w:r w:rsidR="00081BFA">
        <w:t xml:space="preserve">to charge </w:t>
      </w:r>
      <w:r w:rsidR="0083475E">
        <w:t xml:space="preserve">“the administrative cost of the retirement system </w:t>
      </w:r>
      <w:r w:rsidR="00A62935">
        <w:t>. . . </w:t>
      </w:r>
      <w:r w:rsidR="0083475E">
        <w:t xml:space="preserve">against </w:t>
      </w:r>
      <w:r w:rsidR="00081BFA">
        <w:t>the</w:t>
      </w:r>
      <w:r w:rsidR="0083475E">
        <w:t xml:space="preserve"> earnings of the retirement fund.”  (</w:t>
      </w:r>
      <w:r w:rsidR="008A75EC">
        <w:t>Assem. Retirement Com., Analysis of Assem. Bill No</w:t>
      </w:r>
      <w:r w:rsidR="007B06FE">
        <w:t>. </w:t>
      </w:r>
      <w:r w:rsidR="008A75EC">
        <w:t>470</w:t>
      </w:r>
      <w:r w:rsidR="0083475E">
        <w:t xml:space="preserve">.)  </w:t>
      </w:r>
      <w:r w:rsidR="00E84958">
        <w:t xml:space="preserve">One of those 1973 provisions, </w:t>
      </w:r>
      <w:r w:rsidR="0083475E">
        <w:t>section</w:t>
      </w:r>
      <w:r w:rsidR="00E84958">
        <w:t> </w:t>
      </w:r>
      <w:r w:rsidR="0083475E">
        <w:t>31522.1</w:t>
      </w:r>
      <w:r>
        <w:t>, along with Proposition 162</w:t>
      </w:r>
      <w:r w:rsidR="00E84958">
        <w:t>,</w:t>
      </w:r>
      <w:r>
        <w:t xml:space="preserve"> is at the heart of this action.  Section</w:t>
      </w:r>
      <w:r w:rsidR="00C8304F">
        <w:t> </w:t>
      </w:r>
      <w:r>
        <w:t xml:space="preserve">31522.1 states:  </w:t>
      </w:r>
      <w:r w:rsidR="00CD5E97">
        <w:t>“</w:t>
      </w:r>
      <w:r w:rsidRPr="00CD5E97" w:rsidR="00CD5E97">
        <w:rPr>
          <w:color w:val="000000" w:themeColor="text1"/>
        </w:rPr>
        <w:t xml:space="preserve">The board of retirement and both the board of retirement and the board of investment may appoint such administrative, technical, and clerical staff personnel as are required to accomplish the necessary work of the boards. </w:t>
      </w:r>
      <w:r w:rsidR="00CD5E97">
        <w:rPr>
          <w:color w:val="000000" w:themeColor="text1"/>
        </w:rPr>
        <w:t xml:space="preserve"> </w:t>
      </w:r>
      <w:r w:rsidRPr="00CD5E97" w:rsidR="00CD5E97">
        <w:rPr>
          <w:color w:val="000000" w:themeColor="text1"/>
        </w:rPr>
        <w:t>The appointments shall be made from eligible lists created in accordance with the civil service or merit system rules of the county in which the retirement system governed by the boards is situate</w:t>
      </w:r>
      <w:r w:rsidR="00A62935">
        <w:rPr>
          <w:color w:val="000000" w:themeColor="text1"/>
        </w:rPr>
        <w:t>d. </w:t>
      </w:r>
      <w:r w:rsidR="00CD5E97">
        <w:rPr>
          <w:color w:val="000000" w:themeColor="text1"/>
        </w:rPr>
        <w:t xml:space="preserve"> </w:t>
      </w:r>
      <w:r w:rsidRPr="00CD5E97" w:rsidR="00CD5E97">
        <w:rPr>
          <w:color w:val="000000" w:themeColor="text1"/>
        </w:rPr>
        <w:t>The personnel shall be county employees</w:t>
      </w:r>
      <w:r w:rsidRPr="00815CEE" w:rsidR="00815CEE">
        <w:rPr>
          <w:color w:val="000000" w:themeColor="text1"/>
          <w:vertAlign w:val="superscript"/>
        </w:rPr>
        <w:t>[</w:t>
      </w:r>
      <w:r>
        <w:rPr>
          <w:rStyle w:val="FootnoteReference"/>
          <w:color w:val="000000" w:themeColor="text1"/>
        </w:rPr>
        <w:footnoteReference w:id="6"/>
      </w:r>
      <w:r w:rsidRPr="00815CEE" w:rsidR="00815CEE">
        <w:rPr>
          <w:color w:val="000000" w:themeColor="text1"/>
          <w:vertAlign w:val="superscript"/>
        </w:rPr>
        <w:t>]</w:t>
      </w:r>
      <w:r w:rsidRPr="00CD5E97" w:rsidR="00CD5E97">
        <w:rPr>
          <w:color w:val="000000" w:themeColor="text1"/>
        </w:rPr>
        <w:t xml:space="preserve"> and shall be subject to the county civil service or merit system rules and shall be included in the salary ordinance or resolution adopted by the board of supervisors for the compensation of county officers and employees.</w:t>
      </w:r>
      <w:r w:rsidR="00CD5E97">
        <w:rPr>
          <w:color w:val="000000" w:themeColor="text1"/>
        </w:rPr>
        <w:t>”</w:t>
      </w:r>
      <w:r>
        <w:rPr>
          <w:color w:val="000000" w:themeColor="text1"/>
        </w:rPr>
        <w:t xml:space="preserve">  </w:t>
      </w:r>
    </w:p>
    <w:p w:rsidR="0083475E" w:rsidP="000538A9" w14:paraId="7FCF95A6" w14:textId="7680B9A4">
      <w:pPr>
        <w:spacing w:line="288" w:lineRule="auto"/>
        <w:ind w:firstLine="720"/>
      </w:pPr>
      <w:r>
        <w:rPr>
          <w:color w:val="000000" w:themeColor="text1"/>
        </w:rPr>
        <w:t>The corollary to section 31522.1, section 31580.2, provides</w:t>
      </w:r>
      <w:r w:rsidR="00F21A16">
        <w:rPr>
          <w:color w:val="000000" w:themeColor="text1"/>
        </w:rPr>
        <w:t>, as amended</w:t>
      </w:r>
      <w:r>
        <w:rPr>
          <w:color w:val="000000" w:themeColor="text1"/>
        </w:rPr>
        <w:t>:  “</w:t>
      </w:r>
      <w:r w:rsidRPr="00B93698">
        <w:t>In counties in which the board of retirement, or the board of retirement and the board of investment, have appointed personnel pursuant to Section 31522.1</w:t>
      </w:r>
      <w:r>
        <w:t xml:space="preserve"> [and other sections </w:t>
      </w:r>
      <w:r w:rsidR="00815CEE">
        <w:t>applying to specific counties that were enacted after 1973</w:t>
      </w:r>
      <w:r>
        <w:t xml:space="preserve">], </w:t>
      </w:r>
      <w:r w:rsidRPr="00B93698">
        <w:t>the respective board or boards shall annually adopt a budget covering the entire expense of administration of the retirement system, which expense shall be charged against the earnings of the retirement fund.</w:t>
      </w:r>
      <w:r w:rsidR="00081BFA">
        <w:t>”  (</w:t>
      </w:r>
      <w:r w:rsidR="00A62935">
        <w:t>§ </w:t>
      </w:r>
      <w:r w:rsidR="00081BFA">
        <w:t>31580.2, sub</w:t>
      </w:r>
      <w:r w:rsidR="00A62935">
        <w:t>d. </w:t>
      </w:r>
      <w:r w:rsidR="00081BFA">
        <w:t>(a).)  Section 31580.2 limits LACERA’s annual expenses to .021 </w:t>
      </w:r>
      <w:r w:rsidRPr="00DD77B4" w:rsidR="00081BFA">
        <w:t>percent of the accrued actuarial liability of the retirement system</w:t>
      </w:r>
      <w:r w:rsidR="00081BFA">
        <w:t>.  (</w:t>
      </w:r>
      <w:r w:rsidR="00A62935">
        <w:t>§ </w:t>
      </w:r>
      <w:r w:rsidR="00081BFA">
        <w:t>31580.2, sub</w:t>
      </w:r>
      <w:r w:rsidR="00A62935">
        <w:t>d. </w:t>
      </w:r>
      <w:r w:rsidR="00081BFA">
        <w:t>(a)(1).)</w:t>
      </w:r>
      <w:r>
        <w:rPr>
          <w:rStyle w:val="FootnoteReference"/>
        </w:rPr>
        <w:footnoteReference w:id="7"/>
      </w:r>
    </w:p>
    <w:p w:rsidR="00615F18" w:rsidP="000538A9" w14:paraId="4A22AC3F" w14:textId="236F5341">
      <w:pPr>
        <w:spacing w:line="288" w:lineRule="auto"/>
        <w:ind w:firstLine="720"/>
      </w:pPr>
      <w:r>
        <w:t xml:space="preserve">LACERA creates its budget and </w:t>
      </w:r>
      <w:r w:rsidR="00816E87">
        <w:t>“</w:t>
      </w:r>
      <w:r>
        <w:t>covers</w:t>
      </w:r>
      <w:r w:rsidR="00263585">
        <w:t>”</w:t>
      </w:r>
      <w:r>
        <w:t xml:space="preserve"> </w:t>
      </w:r>
      <w:r w:rsidR="00342904">
        <w:t xml:space="preserve">the </w:t>
      </w:r>
      <w:r w:rsidR="001A16B8">
        <w:t xml:space="preserve">administrative </w:t>
      </w:r>
      <w:r>
        <w:t xml:space="preserve">costs from </w:t>
      </w:r>
      <w:r w:rsidR="00460E76">
        <w:t xml:space="preserve">revenues on </w:t>
      </w:r>
      <w:r>
        <w:t>the assets it manages</w:t>
      </w:r>
      <w:r w:rsidR="00D3498A">
        <w:t xml:space="preserve"> (see </w:t>
      </w:r>
      <w:r w:rsidR="009A3A2F">
        <w:t>§ 31580.2)</w:t>
      </w:r>
      <w:r>
        <w:t xml:space="preserve">, </w:t>
      </w:r>
      <w:r w:rsidR="00342904">
        <w:t xml:space="preserve">but </w:t>
      </w:r>
      <w:r>
        <w:t>LACERA</w:t>
      </w:r>
      <w:r w:rsidRPr="008832D9">
        <w:t xml:space="preserve"> </w:t>
      </w:r>
      <w:r>
        <w:t>“</w:t>
      </w:r>
      <w:r w:rsidRPr="008832D9">
        <w:t>does not maintain a bank account independent of the county treasurer</w:t>
      </w:r>
      <w:r>
        <w:t>’</w:t>
      </w:r>
      <w:r w:rsidRPr="008832D9">
        <w:t>s office.</w:t>
      </w:r>
      <w:r>
        <w:t>”  (</w:t>
      </w:r>
      <w:r w:rsidRPr="008832D9">
        <w:rPr>
          <w:i/>
          <w:iCs/>
        </w:rPr>
        <w:t>Corcoran</w:t>
      </w:r>
      <w:r w:rsidR="00815CEE">
        <w:t xml:space="preserve">, </w:t>
      </w:r>
      <w:r w:rsidR="00815CEE">
        <w:rPr>
          <w:i/>
          <w:iCs/>
        </w:rPr>
        <w:t>supra</w:t>
      </w:r>
      <w:r w:rsidR="00815CEE">
        <w:t>,</w:t>
      </w:r>
      <w:r w:rsidR="00815CEE">
        <w:rPr>
          <w:i/>
          <w:iCs/>
        </w:rPr>
        <w:t xml:space="preserve"> </w:t>
      </w:r>
      <w:r w:rsidRPr="008832D9">
        <w:t xml:space="preserve">60 Cal.App.4th </w:t>
      </w:r>
      <w:r w:rsidR="00815CEE">
        <w:t xml:space="preserve">at </w:t>
      </w:r>
      <w:r w:rsidR="00A62935">
        <w:t>p. </w:t>
      </w:r>
      <w:r w:rsidRPr="008832D9">
        <w:t>94</w:t>
      </w:r>
      <w:r>
        <w:t>.)  Instead, “[c]</w:t>
      </w:r>
      <w:r w:rsidRPr="008832D9">
        <w:t>hecks drawn on the retirement system require the signature of the county auditor or his</w:t>
      </w:r>
      <w:r w:rsidR="00460E76">
        <w:t xml:space="preserve"> [or her]</w:t>
      </w:r>
      <w:r w:rsidRPr="008832D9">
        <w:t xml:space="preserve"> designee.</w:t>
      </w:r>
      <w:r>
        <w:t xml:space="preserve">” </w:t>
      </w:r>
      <w:r w:rsidRPr="008832D9">
        <w:t xml:space="preserve"> (</w:t>
      </w:r>
      <w:r>
        <w:rPr>
          <w:i/>
          <w:iCs/>
        </w:rPr>
        <w:t>Ibid.</w:t>
      </w:r>
      <w:r w:rsidRPr="00915EFB">
        <w:t>;</w:t>
      </w:r>
      <w:r w:rsidR="005168CE">
        <w:t xml:space="preserve"> see</w:t>
      </w:r>
      <w:r>
        <w:rPr>
          <w:i/>
          <w:iCs/>
        </w:rPr>
        <w:t xml:space="preserve"> </w:t>
      </w:r>
      <w:r w:rsidR="00A62935">
        <w:t>§ </w:t>
      </w:r>
      <w:r w:rsidRPr="008832D9">
        <w:t>31590.)</w:t>
      </w:r>
      <w:r w:rsidR="00052861">
        <w:t xml:space="preserve">  </w:t>
      </w:r>
    </w:p>
    <w:p w:rsidR="00081BFA" w:rsidP="000538A9" w14:paraId="54A0EB88" w14:textId="65F4DAA8">
      <w:pPr>
        <w:spacing w:line="288" w:lineRule="auto"/>
        <w:ind w:firstLine="720"/>
      </w:pPr>
      <w:r w:rsidRPr="00832734">
        <w:t>“Funding for the system comes both from the governmental employers and from the employees on an actuarial basis, so that any adjudication of a claim for benefits may have economic impact upon the membership of the association as well as upon the treasury of the county and participating political entities.”  (</w:t>
      </w:r>
      <w:r w:rsidRPr="00832734">
        <w:rPr>
          <w:i/>
          <w:iCs/>
        </w:rPr>
        <w:t>Traub</w:t>
      </w:r>
      <w:r w:rsidR="00E82425">
        <w:rPr>
          <w:i/>
          <w:iCs/>
        </w:rPr>
        <w:t xml:space="preserve"> v. Board of Retirement</w:t>
      </w:r>
      <w:r w:rsidRPr="00832734">
        <w:t>,</w:t>
      </w:r>
      <w:r w:rsidR="00E82425">
        <w:t xml:space="preserve"> </w:t>
      </w:r>
      <w:r w:rsidRPr="00E82425" w:rsidR="00E82425">
        <w:rPr>
          <w:i/>
          <w:iCs/>
        </w:rPr>
        <w:t>supra</w:t>
      </w:r>
      <w:r w:rsidR="00E82425">
        <w:t>, 34 Cal.3d</w:t>
      </w:r>
      <w:r w:rsidRPr="00832734">
        <w:t xml:space="preserve"> at p. 798; see </w:t>
      </w:r>
      <w:r w:rsidRPr="00832734">
        <w:rPr>
          <w:i/>
          <w:iCs/>
        </w:rPr>
        <w:t>Alameda County Deputy Sheriff’s Assn. v. Alameda County Employees’ Retirement Assn.</w:t>
      </w:r>
      <w:r w:rsidRPr="00832734">
        <w:t xml:space="preserve">, </w:t>
      </w:r>
      <w:r w:rsidRPr="00832734">
        <w:rPr>
          <w:i/>
          <w:iCs/>
        </w:rPr>
        <w:t>supra</w:t>
      </w:r>
      <w:r w:rsidRPr="00832734">
        <w:t>,</w:t>
      </w:r>
      <w:r w:rsidRPr="00832734">
        <w:rPr>
          <w:i/>
          <w:iCs/>
        </w:rPr>
        <w:t xml:space="preserve"> </w:t>
      </w:r>
      <w:r w:rsidRPr="00832734">
        <w:t>9 Cal.5th at pp. 1055-1056 [“Both the county and its employees must make regular contributions to their plan’s pension fund in amounts determined by the county board of supervisors, upon recommendation of the retirement board.”]; see also §§ 31453-31454.6.)</w:t>
      </w:r>
      <w:r w:rsidR="00615F18">
        <w:rPr>
          <w:color w:val="000000" w:themeColor="text1"/>
        </w:rPr>
        <w:t xml:space="preserve">  </w:t>
      </w:r>
      <w:r w:rsidR="0097556E">
        <w:rPr>
          <w:color w:val="000000" w:themeColor="text1"/>
        </w:rPr>
        <w:t xml:space="preserve">Section 31595, enacted in 1984, provides that the </w:t>
      </w:r>
      <w:r w:rsidR="0097556E">
        <w:t>a</w:t>
      </w:r>
      <w:r w:rsidRPr="00445B75" w:rsidR="0097556E">
        <w:t xml:space="preserve">ssets of a public </w:t>
      </w:r>
      <w:r w:rsidR="0097556E">
        <w:t xml:space="preserve">pension or </w:t>
      </w:r>
      <w:r w:rsidRPr="00445B75" w:rsidR="0097556E">
        <w:t xml:space="preserve">retirement system are </w:t>
      </w:r>
      <w:r w:rsidR="0097556E">
        <w:t>“</w:t>
      </w:r>
      <w:r w:rsidRPr="0097556E" w:rsidR="0097556E">
        <w:t>trust funds</w:t>
      </w:r>
      <w:r w:rsidR="0097556E">
        <w:t>”</w:t>
      </w:r>
      <w:r w:rsidRPr="00445B75" w:rsidR="0097556E">
        <w:t xml:space="preserve"> held </w:t>
      </w:r>
      <w:r w:rsidR="0097556E">
        <w:t>“</w:t>
      </w:r>
      <w:r w:rsidRPr="00445B75" w:rsidR="0097556E">
        <w:t xml:space="preserve">for the exclusive purposes of providing benefits to participants in the pension or retirement system and their beneficiaries </w:t>
      </w:r>
      <w:r w:rsidRPr="0097556E" w:rsidR="0097556E">
        <w:t>and defraying reasonable expenses of administering the system</w:t>
      </w:r>
      <w:r w:rsidRPr="00445B75" w:rsidR="0097556E">
        <w:t>.</w:t>
      </w:r>
      <w:r w:rsidR="0097556E">
        <w:t>”  Section 31595 further requires boards of retirement and their officers and employees to discharge their duties to the retirement system “[s]</w:t>
      </w:r>
      <w:r w:rsidRPr="00445B75" w:rsidR="0097556E">
        <w:t xml:space="preserve">olely in the interest of, and for the exclusive purposes of providing benefits to, participants and their beneficiaries, minimizing employer contributions thereto, </w:t>
      </w:r>
      <w:r w:rsidRPr="0097556E" w:rsidR="0097556E">
        <w:t>and defraying reasonable expenses of administering the system</w:t>
      </w:r>
      <w:r w:rsidR="0097556E">
        <w:t>,” and “[w]</w:t>
      </w:r>
      <w:r w:rsidRPr="00445B75" w:rsidR="0097556E">
        <w:t>ith the care, skill, prudence, and diligence under the circumstances then prevailing that a prudent person acting in a like capacity and familiar with these matters would use in the conduct of an enterprise of a like character and with like aims</w:t>
      </w:r>
      <w:r w:rsidR="0097556E">
        <w:t>.”  (</w:t>
      </w:r>
      <w:r w:rsidR="00A62935">
        <w:t>§ </w:t>
      </w:r>
      <w:r w:rsidR="0097556E">
        <w:t xml:space="preserve">31595, subds. (a)-(b).) </w:t>
      </w:r>
    </w:p>
    <w:p w:rsidR="000538A9" w:rsidP="0097556E" w14:paraId="01E3187F" w14:textId="77777777">
      <w:pPr>
        <w:spacing w:line="288" w:lineRule="auto"/>
      </w:pPr>
    </w:p>
    <w:p w:rsidR="000538A9" w:rsidRPr="000538A9" w:rsidP="00DC17EA" w14:paraId="34C13EC0" w14:textId="55CB2471">
      <w:pPr>
        <w:keepNext/>
        <w:spacing w:line="288" w:lineRule="auto"/>
        <w:ind w:left="2160" w:hanging="720"/>
        <w:rPr>
          <w:i/>
          <w:iCs/>
        </w:rPr>
      </w:pPr>
      <w:r>
        <w:t>2.</w:t>
      </w:r>
      <w:r>
        <w:tab/>
      </w:r>
      <w:r>
        <w:rPr>
          <w:i/>
          <w:iCs/>
        </w:rPr>
        <w:t>Proposition 162 Gives Retirement Boards “Plenary Authority” over</w:t>
      </w:r>
      <w:r w:rsidR="00815CEE">
        <w:rPr>
          <w:i/>
          <w:iCs/>
        </w:rPr>
        <w:t xml:space="preserve"> the</w:t>
      </w:r>
      <w:r>
        <w:rPr>
          <w:i/>
          <w:iCs/>
        </w:rPr>
        <w:t xml:space="preserve"> “Administration of the System”</w:t>
      </w:r>
    </w:p>
    <w:p w:rsidR="00632911" w:rsidP="00632911" w14:paraId="67FCBCC2" w14:textId="760CFA56">
      <w:pPr>
        <w:spacing w:line="288" w:lineRule="auto"/>
        <w:ind w:firstLine="720"/>
      </w:pPr>
      <w:r>
        <w:t xml:space="preserve">In response to state budget shortfalls in the early 1990’s, the Legislature enacted </w:t>
      </w:r>
      <w:r w:rsidR="005168CE">
        <w:t>several measures to delay state-</w:t>
      </w:r>
      <w:r>
        <w:t xml:space="preserve">paid employer contributions to the </w:t>
      </w:r>
      <w:r w:rsidRPr="00B913C4">
        <w:t>California Public Employees</w:t>
      </w:r>
      <w:r>
        <w:t>’</w:t>
      </w:r>
      <w:r w:rsidRPr="00B913C4">
        <w:t xml:space="preserve"> Retirement System</w:t>
      </w:r>
      <w:r>
        <w:t xml:space="preserve"> (</w:t>
      </w:r>
      <w:r w:rsidR="0071641F">
        <w:t>Cal</w:t>
      </w:r>
      <w:r>
        <w:t>PERS</w:t>
      </w:r>
      <w:r w:rsidR="00D5150E">
        <w:t xml:space="preserve"> or PERS</w:t>
      </w:r>
      <w:r>
        <w:t>)</w:t>
      </w:r>
      <w:r w:rsidR="00815CEE">
        <w:t xml:space="preserve"> </w:t>
      </w:r>
      <w:r>
        <w:t xml:space="preserve">for state employees.  (See </w:t>
      </w:r>
      <w:r w:rsidRPr="00995402">
        <w:rPr>
          <w:i/>
          <w:iCs/>
        </w:rPr>
        <w:t>Board of Administration v. Wilson</w:t>
      </w:r>
      <w:r w:rsidRPr="00995402">
        <w:t xml:space="preserve"> (1997) 52 Cal.App.4th 1109, 1119</w:t>
      </w:r>
      <w:r>
        <w:t>-</w:t>
      </w:r>
      <w:r w:rsidRPr="00995402">
        <w:t>1120</w:t>
      </w:r>
      <w:r>
        <w:t xml:space="preserve">; </w:t>
      </w:r>
      <w:r w:rsidRPr="00995402">
        <w:rPr>
          <w:i/>
          <w:iCs/>
        </w:rPr>
        <w:t>Westly</w:t>
      </w:r>
      <w:r w:rsidR="00815CEE">
        <w:t xml:space="preserve">, </w:t>
      </w:r>
      <w:r w:rsidR="00815CEE">
        <w:rPr>
          <w:i/>
          <w:iCs/>
        </w:rPr>
        <w:t>supra</w:t>
      </w:r>
      <w:r w:rsidR="00815CEE">
        <w:t>,</w:t>
      </w:r>
      <w:r w:rsidR="00815CEE">
        <w:rPr>
          <w:i/>
          <w:iCs/>
        </w:rPr>
        <w:t xml:space="preserve"> </w:t>
      </w:r>
      <w:r w:rsidRPr="00995402">
        <w:t xml:space="preserve">105 Cal.App.4th </w:t>
      </w:r>
      <w:r w:rsidR="00815CEE">
        <w:t xml:space="preserve">at </w:t>
      </w:r>
      <w:r w:rsidR="00A62935">
        <w:t>p. </w:t>
      </w:r>
      <w:r w:rsidRPr="00995402">
        <w:t>1100</w:t>
      </w:r>
      <w:r>
        <w:t xml:space="preserve">.) </w:t>
      </w:r>
      <w:r w:rsidR="00AD026E">
        <w:t xml:space="preserve"> As </w:t>
      </w:r>
      <w:r w:rsidR="00342904">
        <w:t xml:space="preserve">the court in </w:t>
      </w:r>
      <w:r w:rsidR="00AD026E">
        <w:rPr>
          <w:i/>
          <w:iCs/>
        </w:rPr>
        <w:t>Westly</w:t>
      </w:r>
      <w:r w:rsidR="00AD026E">
        <w:t xml:space="preserve"> summarized:</w:t>
      </w:r>
      <w:r w:rsidR="00815CEE">
        <w:t xml:space="preserve"> </w:t>
      </w:r>
      <w:r w:rsidR="00AD026E">
        <w:t xml:space="preserve"> “</w:t>
      </w:r>
      <w:r w:rsidRPr="00995402" w:rsidR="00AD026E">
        <w:t xml:space="preserve">Until 1990, the state paid employer contributions on a monthly basis. </w:t>
      </w:r>
      <w:r w:rsidR="00AD026E">
        <w:t xml:space="preserve"> [Citation.] </w:t>
      </w:r>
      <w:r w:rsidRPr="00995402" w:rsidR="00AD026E">
        <w:t xml:space="preserve"> In 1990, the Legislature changed the payment schedule from monthly to quarterly. </w:t>
      </w:r>
      <w:r w:rsidR="00AD026E">
        <w:t xml:space="preserve"> </w:t>
      </w:r>
      <w:r w:rsidRPr="00995402" w:rsidR="00AD026E">
        <w:t xml:space="preserve">In 1991, the Legislature temporarily changed the payment schedule from quarterly to semiannually. </w:t>
      </w:r>
      <w:r w:rsidR="00AD026E">
        <w:t xml:space="preserve"> </w:t>
      </w:r>
      <w:r w:rsidRPr="00995402" w:rsidR="00AD026E">
        <w:t xml:space="preserve">In 1992 legislation </w:t>
      </w:r>
      <w:r w:rsidR="00AD026E">
        <w:t>‘</w:t>
      </w:r>
      <w:r w:rsidRPr="00995402" w:rsidR="00AD026E">
        <w:t xml:space="preserve">changed the schedule to </w:t>
      </w:r>
      <w:r w:rsidR="00AD026E">
        <w:t>“</w:t>
      </w:r>
      <w:r w:rsidRPr="00995402" w:rsidR="00AD026E">
        <w:t>semiannually, six months in arrears.</w:t>
      </w:r>
      <w:r w:rsidR="00AD026E">
        <w:t>”</w:t>
      </w:r>
      <w:r w:rsidRPr="00995402" w:rsidR="00AD026E">
        <w:t xml:space="preserve"> </w:t>
      </w:r>
      <w:r w:rsidR="00AD026E">
        <w:t xml:space="preserve"> </w:t>
      </w:r>
      <w:r w:rsidRPr="00995402" w:rsidR="00AD026E">
        <w:t xml:space="preserve">Legislation in 1993 changed the schedule to </w:t>
      </w:r>
      <w:r w:rsidR="00AD026E">
        <w:t>“</w:t>
      </w:r>
      <w:r w:rsidRPr="00995402" w:rsidR="00AD026E">
        <w:t>annually, 12 months in arrears.</w:t>
      </w:r>
      <w:r w:rsidR="00AD026E">
        <w:t>”</w:t>
      </w:r>
      <w:r w:rsidRPr="00995402" w:rsidR="00AD026E">
        <w:t>’</w:t>
      </w:r>
      <w:r w:rsidR="00AD026E">
        <w:t xml:space="preserve"> </w:t>
      </w:r>
      <w:r w:rsidRPr="00995402" w:rsidR="00AD026E">
        <w:t xml:space="preserve"> </w:t>
      </w:r>
      <w:r w:rsidR="00AD026E">
        <w:t xml:space="preserve">[Citation.] </w:t>
      </w:r>
      <w:r w:rsidRPr="00995402" w:rsidR="00AD026E">
        <w:t xml:space="preserve"> In 1991, legislation was passed to repeal statutes providing for cost of living benefits to retirees, and to use these funds to meet the state</w:t>
      </w:r>
      <w:r w:rsidR="00AD026E">
        <w:t>’</w:t>
      </w:r>
      <w:r w:rsidRPr="00995402" w:rsidR="00AD026E">
        <w:t xml:space="preserve">s employer contribution requirement. </w:t>
      </w:r>
      <w:r w:rsidR="00AD026E">
        <w:rPr>
          <w:b/>
          <w:bCs/>
        </w:rPr>
        <w:t xml:space="preserve"> </w:t>
      </w:r>
      <w:r w:rsidRPr="00AD026E" w:rsidR="00AD026E">
        <w:t xml:space="preserve">[Citation.]  </w:t>
      </w:r>
      <w:r w:rsidRPr="00995402" w:rsidR="00AD026E">
        <w:t>Also in 1991, legislation was passed transferring the actuarial function to the Governor.</w:t>
      </w:r>
      <w:r w:rsidR="00AD026E">
        <w:t>”</w:t>
      </w:r>
      <w:r w:rsidRPr="00995402" w:rsidR="00AD026E">
        <w:t xml:space="preserve"> </w:t>
      </w:r>
      <w:r w:rsidR="00AD026E">
        <w:t xml:space="preserve"> (</w:t>
      </w:r>
      <w:r w:rsidR="00AD026E">
        <w:rPr>
          <w:i/>
          <w:iCs/>
        </w:rPr>
        <w:t>Westly</w:t>
      </w:r>
      <w:r w:rsidR="00AD026E">
        <w:t xml:space="preserve">, at </w:t>
      </w:r>
      <w:r w:rsidR="00A62935">
        <w:t>p. </w:t>
      </w:r>
      <w:r w:rsidR="00AD026E">
        <w:t xml:space="preserve">1100; see </w:t>
      </w:r>
      <w:r w:rsidR="00AD026E">
        <w:rPr>
          <w:i/>
          <w:iCs/>
        </w:rPr>
        <w:t>Wilson</w:t>
      </w:r>
      <w:r w:rsidR="00AD026E">
        <w:t>, at p</w:t>
      </w:r>
      <w:r w:rsidR="00A62935">
        <w:t>p. </w:t>
      </w:r>
      <w:r w:rsidR="00AD026E">
        <w:t>1117-1119.)</w:t>
      </w:r>
      <w:r>
        <w:t xml:space="preserve">  </w:t>
      </w:r>
      <w:r w:rsidR="00AD026E">
        <w:t>Against this backdrop, the voters enacted Proposition 162 to amend Article</w:t>
      </w:r>
      <w:r w:rsidR="00E82425">
        <w:t> </w:t>
      </w:r>
      <w:r w:rsidR="00AD026E">
        <w:t xml:space="preserve">XVI, section 17 of the California Constitution, </w:t>
      </w:r>
      <w:r w:rsidR="0070388B">
        <w:t xml:space="preserve">which </w:t>
      </w:r>
      <w:r>
        <w:t>concerns</w:t>
      </w:r>
      <w:r w:rsidR="00AD026E">
        <w:t xml:space="preserve"> public pension funds.  </w:t>
      </w:r>
      <w:r w:rsidR="0083475E">
        <w:t xml:space="preserve">(See </w:t>
      </w:r>
      <w:r w:rsidRPr="00B37C07" w:rsidR="0083475E">
        <w:rPr>
          <w:i/>
          <w:iCs/>
        </w:rPr>
        <w:t>Mijares v. Orange County Employees Retirement System</w:t>
      </w:r>
      <w:r w:rsidRPr="00B37C07" w:rsidR="0083475E">
        <w:t xml:space="preserve"> (2019) 32</w:t>
      </w:r>
      <w:r w:rsidR="009E5B46">
        <w:t> </w:t>
      </w:r>
      <w:r w:rsidRPr="00B37C07" w:rsidR="0083475E">
        <w:t>Cal.App.5th 316, 331</w:t>
      </w:r>
      <w:r w:rsidR="0083475E">
        <w:t xml:space="preserve"> [</w:t>
      </w:r>
      <w:r w:rsidR="005168CE">
        <w:t>the</w:t>
      </w:r>
      <w:r w:rsidR="001B01D6">
        <w:t> </w:t>
      </w:r>
      <w:r w:rsidR="005168CE">
        <w:t xml:space="preserve">voters enacted </w:t>
      </w:r>
      <w:r w:rsidR="0083475E">
        <w:t>Proposition 162 “</w:t>
      </w:r>
      <w:r w:rsidRPr="00B37C07" w:rsidR="0083475E">
        <w:t>after the Legislature and Governor raided the county</w:t>
      </w:r>
      <w:r w:rsidR="0083475E">
        <w:t>’</w:t>
      </w:r>
      <w:r w:rsidRPr="00B37C07" w:rsidR="0083475E">
        <w:t>s retirement funds for other budget shortfalls</w:t>
      </w:r>
      <w:r w:rsidR="0083475E">
        <w:t xml:space="preserve">”]; </w:t>
      </w:r>
      <w:r w:rsidRPr="00B37C07" w:rsidR="0083475E">
        <w:rPr>
          <w:i/>
          <w:iCs/>
        </w:rPr>
        <w:t>City of San Diego v. San Diego City Employees’ Retirement System</w:t>
      </w:r>
      <w:r w:rsidRPr="00B37C07" w:rsidR="0083475E">
        <w:t xml:space="preserve"> (2010) 186</w:t>
      </w:r>
      <w:r w:rsidR="009E5B46">
        <w:t> </w:t>
      </w:r>
      <w:r w:rsidRPr="00B37C07" w:rsidR="0083475E">
        <w:t xml:space="preserve">Cal.App.4th 69, 79 </w:t>
      </w:r>
      <w:r w:rsidR="0083475E">
        <w:t>[Proposition</w:t>
      </w:r>
      <w:r w:rsidR="00E95469">
        <w:t> </w:t>
      </w:r>
      <w:r w:rsidR="0083475E">
        <w:t>162</w:t>
      </w:r>
      <w:r w:rsidRPr="00B37C07" w:rsidR="0083475E">
        <w:t xml:space="preserve"> </w:t>
      </w:r>
      <w:r w:rsidR="0083475E">
        <w:t>“</w:t>
      </w:r>
      <w:r w:rsidRPr="00B37C07" w:rsidR="0083475E">
        <w:t xml:space="preserve">was intended to protect </w:t>
      </w:r>
      <w:r w:rsidR="0083475E">
        <w:t>[retirement]</w:t>
      </w:r>
      <w:r w:rsidRPr="00B37C07" w:rsidR="0083475E">
        <w:t xml:space="preserve"> boards from ‘political meddling and intimidation’ and to ‘strictly limit the Legislature</w:t>
      </w:r>
      <w:r w:rsidR="0083475E">
        <w:t>’</w:t>
      </w:r>
      <w:r w:rsidRPr="00B37C07" w:rsidR="0083475E">
        <w:t>s power over such funds’”]</w:t>
      </w:r>
      <w:r w:rsidR="0083475E">
        <w:t xml:space="preserve">.)  </w:t>
      </w:r>
    </w:p>
    <w:p w:rsidR="003B58AB" w:rsidP="003B58AB" w14:paraId="0B3DBC7C" w14:textId="43128887">
      <w:pPr>
        <w:spacing w:line="288" w:lineRule="auto"/>
        <w:ind w:firstLine="720"/>
      </w:pPr>
      <w:r>
        <w:t>Article XVI, section </w:t>
      </w:r>
      <w:r w:rsidRPr="004C5EC5" w:rsidR="000F3B21">
        <w:t>17</w:t>
      </w:r>
      <w:r w:rsidR="00632911">
        <w:t>,</w:t>
      </w:r>
      <w:r w:rsidRPr="004C5EC5" w:rsidR="000F3B21">
        <w:t xml:space="preserve"> </w:t>
      </w:r>
      <w:r w:rsidR="000F3B21">
        <w:t>“</w:t>
      </w:r>
      <w:r w:rsidRPr="004C5EC5" w:rsidR="000F3B21">
        <w:t xml:space="preserve">reached </w:t>
      </w:r>
      <w:r w:rsidR="00CC43A1">
        <w:t xml:space="preserve">[its] </w:t>
      </w:r>
      <w:r w:rsidRPr="004C5EC5" w:rsidR="000F3B21">
        <w:t xml:space="preserve">current form through two ballot initiatives. </w:t>
      </w:r>
      <w:r w:rsidR="00CC43A1">
        <w:t xml:space="preserve"> </w:t>
      </w:r>
      <w:r w:rsidRPr="004C5EC5" w:rsidR="000F3B21">
        <w:t>The first, Proposition 21, passed in 1984 in an apparent response to the emerging financial markets of the 1980</w:t>
      </w:r>
      <w:r w:rsidR="00CC43A1">
        <w:t>’</w:t>
      </w:r>
      <w:r w:rsidRPr="004C5EC5" w:rsidR="000F3B21">
        <w:t>s.</w:t>
      </w:r>
      <w:r w:rsidR="00CC43A1">
        <w:t>”  (</w:t>
      </w:r>
      <w:r w:rsidRPr="004C5EC5" w:rsidR="00796FF0">
        <w:rPr>
          <w:i/>
          <w:iCs/>
        </w:rPr>
        <w:t>O</w:t>
      </w:r>
      <w:r w:rsidR="00796FF0">
        <w:rPr>
          <w:i/>
          <w:iCs/>
        </w:rPr>
        <w:t>’</w:t>
      </w:r>
      <w:r w:rsidRPr="004C5EC5" w:rsidR="00796FF0">
        <w:rPr>
          <w:i/>
          <w:iCs/>
        </w:rPr>
        <w:t>Neal v. Stanislaus County Employees</w:t>
      </w:r>
      <w:r w:rsidR="00796FF0">
        <w:rPr>
          <w:i/>
          <w:iCs/>
        </w:rPr>
        <w:t>’</w:t>
      </w:r>
      <w:r w:rsidRPr="004C5EC5" w:rsidR="00796FF0">
        <w:rPr>
          <w:i/>
          <w:iCs/>
        </w:rPr>
        <w:t xml:space="preserve"> Retirement Assn.</w:t>
      </w:r>
      <w:r w:rsidRPr="004C5EC5" w:rsidR="00796FF0">
        <w:t xml:space="preserve"> (2017) 8 Cal.App.5th 1184, 1202</w:t>
      </w:r>
      <w:r w:rsidR="00796FF0">
        <w:t xml:space="preserve"> (</w:t>
      </w:r>
      <w:r w:rsidR="00796FF0">
        <w:rPr>
          <w:i/>
          <w:iCs/>
        </w:rPr>
        <w:t>O’Neal</w:t>
      </w:r>
      <w:r w:rsidR="00796FF0">
        <w:t xml:space="preserve">).)  </w:t>
      </w:r>
      <w:r w:rsidR="00845AE2">
        <w:t>“</w:t>
      </w:r>
      <w:r w:rsidRPr="004C5EC5" w:rsidR="00845AE2">
        <w:t xml:space="preserve">Proposition 21 introduced the principle that </w:t>
      </w:r>
      <w:r w:rsidR="00845AE2">
        <w:t>‘</w:t>
      </w:r>
      <w:r w:rsidRPr="004C5EC5" w:rsidR="00845AE2">
        <w:t>assets of a public pension or retirement system are trust funds</w:t>
      </w:r>
      <w:r w:rsidR="00845AE2">
        <w:t>’</w:t>
      </w:r>
      <w:r w:rsidRPr="004C5EC5" w:rsidR="00845AE2">
        <w:t xml:space="preserve"> that </w:t>
      </w:r>
      <w:r w:rsidR="00845AE2">
        <w:t>‘</w:t>
      </w:r>
      <w:r w:rsidRPr="004C5EC5" w:rsidR="00845AE2">
        <w:t>shall be held for the exclusive purposes of providing benefits to participants in the pension or retirement system and their beneficiaries and defraying reasonable expenses of administering the system.</w:t>
      </w:r>
      <w:r w:rsidR="00505A52">
        <w:t>’</w:t>
      </w:r>
      <w:r w:rsidR="00845AE2">
        <w:t xml:space="preserve"> </w:t>
      </w:r>
      <w:r w:rsidR="00505A52">
        <w:t xml:space="preserve"> </w:t>
      </w:r>
      <w:r w:rsidRPr="004C5EC5" w:rsidR="00845AE2">
        <w:t xml:space="preserve">In addition, it identified several ways in which the fiduciary of those trust funds must act. </w:t>
      </w:r>
      <w:r w:rsidR="00505A52">
        <w:t xml:space="preserve"> </w:t>
      </w:r>
      <w:r w:rsidRPr="004C5EC5" w:rsidR="00845AE2">
        <w:t xml:space="preserve">These included that the fiduciary shall discharge his or her duties with respect to the system </w:t>
      </w:r>
      <w:r w:rsidR="00505A52">
        <w:t>‘</w:t>
      </w:r>
      <w:r w:rsidRPr="004C5EC5" w:rsidR="00845AE2">
        <w:t>solely in the interest of, and for the exclusive purposes of providing benefits to, participants and their beneficiaries, minimizing employer contributions thereto, and defraying reasonable expenses of administering the system,</w:t>
      </w:r>
      <w:r w:rsidR="00505A52">
        <w:t>’</w:t>
      </w:r>
      <w:r w:rsidRPr="004C5EC5" w:rsidR="00845AE2">
        <w:t xml:space="preserve"> and </w:t>
      </w:r>
      <w:r w:rsidR="00505A52">
        <w:t>‘</w:t>
      </w:r>
      <w:r w:rsidRPr="004C5EC5" w:rsidR="00845AE2">
        <w:t>with the care, skill, prudence, and diligence under the circumstances then prevailing that a prudent person acting in a like capacity and familiar with these matters would use in the conduct of an enterprise of a like character and with like aims.</w:t>
      </w:r>
      <w:r>
        <w:t>’</w:t>
      </w:r>
      <w:r w:rsidRPr="004C5EC5" w:rsidR="00845AE2">
        <w:t xml:space="preserve">” </w:t>
      </w:r>
      <w:r w:rsidR="00E82425">
        <w:t xml:space="preserve"> </w:t>
      </w:r>
      <w:r>
        <w:t>(</w:t>
      </w:r>
      <w:r>
        <w:rPr>
          <w:i/>
          <w:iCs/>
        </w:rPr>
        <w:t>O’Neal</w:t>
      </w:r>
      <w:r>
        <w:t xml:space="preserve">, at </w:t>
      </w:r>
      <w:r w:rsidR="00A62935">
        <w:t>p. </w:t>
      </w:r>
      <w:r>
        <w:t>1202;</w:t>
      </w:r>
      <w:r>
        <w:rPr>
          <w:i/>
          <w:iCs/>
        </w:rPr>
        <w:t xml:space="preserve"> </w:t>
      </w:r>
      <w:r w:rsidR="00E82425">
        <w:t xml:space="preserve">see </w:t>
      </w:r>
      <w:r w:rsidRPr="004C5EC5">
        <w:t>Ballot Pamp., Primary Elec. (June 5, 1984) text of Pro</w:t>
      </w:r>
      <w:r w:rsidR="00A62935">
        <w:t>p. </w:t>
      </w:r>
      <w:r w:rsidRPr="004C5EC5">
        <w:t xml:space="preserve">21, </w:t>
      </w:r>
      <w:r w:rsidR="00A62935">
        <w:t>p. </w:t>
      </w:r>
      <w:r w:rsidRPr="004C5EC5">
        <w:t xml:space="preserve">25.) </w:t>
      </w:r>
      <w:r>
        <w:t xml:space="preserve">  </w:t>
      </w:r>
    </w:p>
    <w:p w:rsidR="00C86E81" w:rsidP="0097556E" w14:paraId="69DBAB19" w14:textId="59E63C31">
      <w:pPr>
        <w:spacing w:line="288" w:lineRule="auto"/>
        <w:ind w:firstLine="720"/>
      </w:pPr>
      <w:r>
        <w:t xml:space="preserve">The second, </w:t>
      </w:r>
      <w:r w:rsidR="00AD026E">
        <w:t xml:space="preserve">Proposition 162 </w:t>
      </w:r>
      <w:r>
        <w:t xml:space="preserve">(enacted in 1992) </w:t>
      </w:r>
      <w:r w:rsidR="002600BB">
        <w:t xml:space="preserve">expanded </w:t>
      </w:r>
      <w:r w:rsidR="00D375AA">
        <w:t xml:space="preserve">the </w:t>
      </w:r>
      <w:r w:rsidR="002600BB">
        <w:t xml:space="preserve">constitutional </w:t>
      </w:r>
      <w:r w:rsidR="00D375AA">
        <w:t xml:space="preserve">authority of retirement boards </w:t>
      </w:r>
      <w:r w:rsidR="002600BB">
        <w:t xml:space="preserve">by granting them </w:t>
      </w:r>
      <w:r w:rsidRPr="00B37C07" w:rsidR="0070388B">
        <w:t>“plenary authority and fiduciary responsibility for investment of moneys and administration of the system</w:t>
      </w:r>
      <w:r w:rsidR="00D375AA">
        <w:t>.</w:t>
      </w:r>
      <w:r w:rsidRPr="00B37C07" w:rsidR="0070388B">
        <w:t>”</w:t>
      </w:r>
      <w:r w:rsidR="005A2760">
        <w:t xml:space="preserve"> </w:t>
      </w:r>
      <w:r w:rsidR="00D375AA">
        <w:t xml:space="preserve"> </w:t>
      </w:r>
      <w:r w:rsidR="00FB1069">
        <w:t xml:space="preserve">Proposition 162 </w:t>
      </w:r>
      <w:r w:rsidR="005A2760">
        <w:t>ma</w:t>
      </w:r>
      <w:r w:rsidR="00725A7B">
        <w:t>de</w:t>
      </w:r>
      <w:r w:rsidR="005A2760">
        <w:t xml:space="preserve"> </w:t>
      </w:r>
      <w:r w:rsidR="003618A4">
        <w:t xml:space="preserve">that authority “subject to” conditions </w:t>
      </w:r>
      <w:r w:rsidR="00153114">
        <w:t xml:space="preserve">listed in </w:t>
      </w:r>
      <w:r w:rsidR="003618A4">
        <w:t>subdivisions</w:t>
      </w:r>
      <w:r w:rsidR="00153114">
        <w:t xml:space="preserve"> (a) through </w:t>
      </w:r>
      <w:r w:rsidR="00F662AA">
        <w:t>(h)</w:t>
      </w:r>
      <w:r w:rsidR="00E82425">
        <w:t xml:space="preserve"> of that initiative</w:t>
      </w:r>
      <w:r w:rsidR="00E874DC">
        <w:t xml:space="preserve">, which incorporated </w:t>
      </w:r>
      <w:r w:rsidR="00F662AA">
        <w:t xml:space="preserve">and added to </w:t>
      </w:r>
      <w:r w:rsidR="00E20FAE">
        <w:t xml:space="preserve">the </w:t>
      </w:r>
      <w:r w:rsidR="00F662AA">
        <w:t xml:space="preserve">duties and responsibilities of </w:t>
      </w:r>
      <w:r w:rsidR="00B51332">
        <w:t xml:space="preserve">retirement boards set forth in </w:t>
      </w:r>
      <w:r w:rsidR="00E20FAE">
        <w:t xml:space="preserve">Proposition 21.  </w:t>
      </w:r>
      <w:r w:rsidR="00815CEE">
        <w:t>For example</w:t>
      </w:r>
      <w:r w:rsidR="00A201E8">
        <w:t xml:space="preserve">, </w:t>
      </w:r>
      <w:r w:rsidR="00B51332">
        <w:t xml:space="preserve">Proposition </w:t>
      </w:r>
      <w:r w:rsidR="00C75DCF">
        <w:t xml:space="preserve">162, </w:t>
      </w:r>
      <w:r w:rsidR="003236F6">
        <w:t>s</w:t>
      </w:r>
      <w:r w:rsidR="00C3076A">
        <w:t>ubdivision (a)</w:t>
      </w:r>
      <w:r w:rsidR="003236F6">
        <w:t xml:space="preserve">, </w:t>
      </w:r>
      <w:r w:rsidR="00E2109A">
        <w:t xml:space="preserve">in addition to retaining the language from Proposition 21 that the </w:t>
      </w:r>
      <w:r w:rsidRPr="00B67182" w:rsidR="00E2109A">
        <w:t xml:space="preserve">assets of a retirement system are </w:t>
      </w:r>
      <w:r w:rsidR="00E2109A">
        <w:t>“</w:t>
      </w:r>
      <w:r w:rsidRPr="00B67182" w:rsidR="00E2109A">
        <w:t>trust funds</w:t>
      </w:r>
      <w:r w:rsidR="00E2109A">
        <w:t xml:space="preserve">” </w:t>
      </w:r>
      <w:r w:rsidRPr="00B67182" w:rsidR="00E2109A">
        <w:t xml:space="preserve">held </w:t>
      </w:r>
      <w:r w:rsidR="00E2109A">
        <w:t>“</w:t>
      </w:r>
      <w:r w:rsidRPr="00B67182" w:rsidR="00E2109A">
        <w:t xml:space="preserve">for the exclusive purposes of providing benefits to participants </w:t>
      </w:r>
      <w:r w:rsidR="00A62935">
        <w:t>. . . </w:t>
      </w:r>
      <w:r w:rsidRPr="00B67182" w:rsidR="00E2109A">
        <w:t>and their beneficiaries and defraying reasonable expenses of administering the system</w:t>
      </w:r>
      <w:r w:rsidR="00E94084">
        <w:t>,</w:t>
      </w:r>
      <w:r w:rsidR="00E2109A">
        <w:t xml:space="preserve">” </w:t>
      </w:r>
      <w:r w:rsidR="00E94084">
        <w:t xml:space="preserve">added that </w:t>
      </w:r>
      <w:r w:rsidR="00010F0F">
        <w:t>retirement boards “</w:t>
      </w:r>
      <w:r w:rsidRPr="00B67182" w:rsidR="00010F0F">
        <w:t xml:space="preserve">shall have </w:t>
      </w:r>
      <w:r w:rsidRPr="00010F0F" w:rsidR="00010F0F">
        <w:t>the sole and exclusive fiduciary responsibility over the assets</w:t>
      </w:r>
      <w:r w:rsidR="00010F0F">
        <w:t>”</w:t>
      </w:r>
      <w:r w:rsidRPr="00010F0F" w:rsidR="00010F0F">
        <w:t xml:space="preserve"> of the retirement system</w:t>
      </w:r>
      <w:r w:rsidR="00010F0F">
        <w:t xml:space="preserve"> and </w:t>
      </w:r>
      <w:r w:rsidR="00F81143">
        <w:t xml:space="preserve">the </w:t>
      </w:r>
      <w:r w:rsidR="00010F0F">
        <w:t>“</w:t>
      </w:r>
      <w:r w:rsidRPr="00010F0F" w:rsidR="00010F0F">
        <w:t>sole and exclusive responsibility to administer the system in a manner that will assure prompt delivery of benefits and related services to the participants and their beneficiaries</w:t>
      </w:r>
      <w:r w:rsidR="00010F0F">
        <w:t xml:space="preserve">.”  </w:t>
      </w:r>
      <w:r w:rsidR="00905C4A">
        <w:t>(</w:t>
      </w:r>
      <w:r w:rsidRPr="00B37C07" w:rsidR="00905C4A">
        <w:t xml:space="preserve">Cal. Const., art. XVI, </w:t>
      </w:r>
      <w:r w:rsidR="00A62935">
        <w:t>§ </w:t>
      </w:r>
      <w:r w:rsidRPr="00B37C07" w:rsidR="00905C4A">
        <w:t>17</w:t>
      </w:r>
      <w:r w:rsidR="00905C4A">
        <w:t>, sub</w:t>
      </w:r>
      <w:r w:rsidR="00A62935">
        <w:t>d. </w:t>
      </w:r>
      <w:r w:rsidR="00905C4A">
        <w:t xml:space="preserve">(a); </w:t>
      </w:r>
      <w:r w:rsidR="00905C4A">
        <w:rPr>
          <w:i/>
          <w:iCs/>
        </w:rPr>
        <w:t>id.</w:t>
      </w:r>
      <w:r w:rsidR="00905C4A">
        <w:t xml:space="preserve">, former art. XVI, </w:t>
      </w:r>
      <w:r w:rsidR="00A62935">
        <w:t>§ </w:t>
      </w:r>
      <w:r w:rsidR="00905C4A">
        <w:t>17</w:t>
      </w:r>
      <w:r w:rsidRPr="00B37C07" w:rsidR="00905C4A">
        <w:t>.</w:t>
      </w:r>
      <w:r w:rsidR="00905C4A">
        <w:t xml:space="preserve">)  </w:t>
      </w:r>
    </w:p>
    <w:p w:rsidR="00C86E81" w:rsidP="0097556E" w14:paraId="4BF78B6D" w14:textId="409DA851">
      <w:pPr>
        <w:spacing w:line="288" w:lineRule="auto"/>
        <w:ind w:firstLine="720"/>
      </w:pPr>
      <w:r w:rsidRPr="008D7030">
        <w:t xml:space="preserve">Like </w:t>
      </w:r>
      <w:r w:rsidRPr="008D7030" w:rsidR="00262C63">
        <w:t>Proposition 21</w:t>
      </w:r>
      <w:r w:rsidRPr="008D7030">
        <w:t>, s</w:t>
      </w:r>
      <w:r w:rsidRPr="008D7030" w:rsidR="00C84C42">
        <w:t xml:space="preserve">ubdivision (b) </w:t>
      </w:r>
      <w:r w:rsidRPr="008D7030" w:rsidR="00262C63">
        <w:t>of Proposition 162</w:t>
      </w:r>
      <w:r w:rsidR="00262C63">
        <w:t xml:space="preserve"> </w:t>
      </w:r>
      <w:r w:rsidR="00C84C42">
        <w:t xml:space="preserve">provides </w:t>
      </w:r>
      <w:r w:rsidR="0097556E">
        <w:t>that m</w:t>
      </w:r>
      <w:r w:rsidRPr="00B67182" w:rsidR="00010F0F">
        <w:t xml:space="preserve">embers of </w:t>
      </w:r>
      <w:r w:rsidR="00010F0F">
        <w:t>a</w:t>
      </w:r>
      <w:r w:rsidRPr="00B67182" w:rsidR="00010F0F">
        <w:t xml:space="preserve"> retirement board </w:t>
      </w:r>
      <w:r w:rsidR="00010F0F">
        <w:t>must</w:t>
      </w:r>
      <w:r w:rsidRPr="00B67182" w:rsidR="00010F0F">
        <w:t xml:space="preserve"> discharge their duties </w:t>
      </w:r>
      <w:r w:rsidR="00010F0F">
        <w:t>“</w:t>
      </w:r>
      <w:r w:rsidRPr="00B67182" w:rsidR="00010F0F">
        <w:t xml:space="preserve">solely in the interest of, and for the exclusive purposes of providing benefits to, participants and their beneficiaries, minimizing employer contributions thereto, </w:t>
      </w:r>
      <w:r w:rsidRPr="00010F0F" w:rsidR="00010F0F">
        <w:t>and defraying reasonable expenses of administering the system</w:t>
      </w:r>
      <w:r w:rsidR="0097556E">
        <w:t>.</w:t>
      </w:r>
      <w:r w:rsidR="00010F0F">
        <w:t>”</w:t>
      </w:r>
      <w:r w:rsidR="0097556E">
        <w:t xml:space="preserve">  (</w:t>
      </w:r>
      <w:r w:rsidRPr="00B37C07" w:rsidR="0097556E">
        <w:t xml:space="preserve">Cal. Const., art. XVI, </w:t>
      </w:r>
      <w:r w:rsidR="00A62935">
        <w:t>§ </w:t>
      </w:r>
      <w:r w:rsidRPr="00B37C07" w:rsidR="0097556E">
        <w:t>17</w:t>
      </w:r>
      <w:r w:rsidR="0097556E">
        <w:t>, sub</w:t>
      </w:r>
      <w:r w:rsidR="00A62935">
        <w:t>d. </w:t>
      </w:r>
      <w:r w:rsidR="0097556E">
        <w:t>(b)</w:t>
      </w:r>
      <w:r w:rsidRPr="00B37C07" w:rsidR="0097556E">
        <w:t>.)</w:t>
      </w:r>
      <w:r w:rsidR="0097556E">
        <w:t xml:space="preserve">  </w:t>
      </w:r>
      <w:r>
        <w:t xml:space="preserve">But </w:t>
      </w:r>
      <w:r w:rsidR="0097556E">
        <w:t xml:space="preserve">Proposition 162 </w:t>
      </w:r>
      <w:r w:rsidR="00911B12">
        <w:t xml:space="preserve">added </w:t>
      </w:r>
      <w:r w:rsidR="006D2200">
        <w:t xml:space="preserve">a </w:t>
      </w:r>
      <w:r w:rsidR="00911B12">
        <w:t xml:space="preserve">requirement that a </w:t>
      </w:r>
      <w:r w:rsidR="0097556E">
        <w:t xml:space="preserve">board’s </w:t>
      </w:r>
      <w:r w:rsidRPr="00B67182" w:rsidR="00010F0F">
        <w:t xml:space="preserve">duty to participants and their beneficiaries </w:t>
      </w:r>
      <w:r w:rsidR="00010F0F">
        <w:t>“</w:t>
      </w:r>
      <w:r w:rsidRPr="00B67182" w:rsidR="00010F0F">
        <w:t>shall take precedence over any other duty.</w:t>
      </w:r>
      <w:r w:rsidR="00010F0F">
        <w:t>”  (</w:t>
      </w:r>
      <w:r w:rsidR="00A60F30">
        <w:rPr>
          <w:i/>
          <w:iCs/>
        </w:rPr>
        <w:t>Ibid</w:t>
      </w:r>
      <w:r w:rsidRPr="00B37C07" w:rsidR="00010F0F">
        <w:t>.)</w:t>
      </w:r>
      <w:r w:rsidR="00010F0F">
        <w:t xml:space="preserve">  </w:t>
      </w:r>
      <w:r w:rsidR="000E76D2">
        <w:t xml:space="preserve">Also like </w:t>
      </w:r>
      <w:r w:rsidR="002701F1">
        <w:t>Proposition 21,</w:t>
      </w:r>
      <w:r w:rsidR="000E76D2">
        <w:t xml:space="preserve"> </w:t>
      </w:r>
      <w:r w:rsidR="00640AB4">
        <w:t>Proposition 162 requires re</w:t>
      </w:r>
      <w:r w:rsidR="00856662">
        <w:t xml:space="preserve">tirement board members exercising a board’s </w:t>
      </w:r>
      <w:r w:rsidR="00A60F30">
        <w:t xml:space="preserve">plenary authority </w:t>
      </w:r>
      <w:r w:rsidR="00640AB4">
        <w:t>to</w:t>
      </w:r>
      <w:r w:rsidR="00856662">
        <w:t xml:space="preserve"> </w:t>
      </w:r>
      <w:r w:rsidRPr="00B67182" w:rsidR="00010F0F">
        <w:t xml:space="preserve">discharge their duties </w:t>
      </w:r>
      <w:r w:rsidR="00010F0F">
        <w:t>“</w:t>
      </w:r>
      <w:r w:rsidRPr="00B67182" w:rsidR="00010F0F">
        <w:t>with the care, skill, prudence, and diligence under the circumstances then prevailing that a prudent person acting in a like capacity and familiar with these matters would use in the conduct of an enterprise of a like character and with like aims.</w:t>
      </w:r>
      <w:r w:rsidR="00010F0F">
        <w:t>”  (</w:t>
      </w:r>
      <w:r w:rsidR="00CA0B58">
        <w:rPr>
          <w:i/>
          <w:iCs/>
        </w:rPr>
        <w:t>Id.</w:t>
      </w:r>
      <w:r w:rsidR="00010F0F">
        <w:t>, sub</w:t>
      </w:r>
      <w:r w:rsidR="00A62935">
        <w:t>d. </w:t>
      </w:r>
      <w:r w:rsidR="00010F0F">
        <w:t>(c)</w:t>
      </w:r>
      <w:r w:rsidRPr="00B37C07" w:rsidR="00010F0F">
        <w:t>.)</w:t>
      </w:r>
      <w:r w:rsidR="00010F0F">
        <w:t xml:space="preserve"> </w:t>
      </w:r>
      <w:r w:rsidR="00A73EDF">
        <w:t xml:space="preserve"> </w:t>
      </w:r>
      <w:r>
        <w:t xml:space="preserve">And </w:t>
      </w:r>
      <w:r w:rsidR="00A32AE0">
        <w:t xml:space="preserve">under Proposition 162 </w:t>
      </w:r>
      <w:r>
        <w:t xml:space="preserve">members of a retirement board </w:t>
      </w:r>
      <w:r w:rsidR="00640AB4">
        <w:t>must still</w:t>
      </w:r>
      <w:r>
        <w:t xml:space="preserve"> “diversi</w:t>
      </w:r>
      <w:r w:rsidR="00CA0B58">
        <w:t>f</w:t>
      </w:r>
      <w:r>
        <w:t>y the investments of the system so as to minimize the risk of loss and to maximize the rate of return, unless under the circumstances it is clearly not prudent to do so.”  (</w:t>
      </w:r>
      <w:r>
        <w:rPr>
          <w:i/>
          <w:iCs/>
        </w:rPr>
        <w:t>Id.</w:t>
      </w:r>
      <w:r>
        <w:t>, sub</w:t>
      </w:r>
      <w:r w:rsidR="00A62935">
        <w:t>d. </w:t>
      </w:r>
      <w:r>
        <w:t>(d).)</w:t>
      </w:r>
    </w:p>
    <w:p w:rsidR="0070388B" w:rsidRPr="00DA597E" w:rsidP="0097556E" w14:paraId="115E19F6" w14:textId="2B8771A6">
      <w:pPr>
        <w:spacing w:line="288" w:lineRule="auto"/>
        <w:ind w:firstLine="720"/>
      </w:pPr>
      <w:r>
        <w:t>Proposition 162 added o</w:t>
      </w:r>
      <w:r w:rsidR="00A73EDF">
        <w:t>ther new conditions</w:t>
      </w:r>
      <w:r w:rsidR="008973B2">
        <w:t xml:space="preserve">.  Those conditions included </w:t>
      </w:r>
      <w:r>
        <w:t xml:space="preserve">that </w:t>
      </w:r>
      <w:r w:rsidR="003606C2">
        <w:t>retirem</w:t>
      </w:r>
      <w:r>
        <w:t>ent boards, “consistent with the</w:t>
      </w:r>
      <w:r w:rsidR="003606C2">
        <w:t xml:space="preserve"> exclusive fiduciary responsibilities vested in [them], shall have the sole and exclusive power to provide for actuarial services in order to assure the competency of the assets of the public pension or retirement system</w:t>
      </w:r>
      <w:r w:rsidR="00803816">
        <w:t>” (</w:t>
      </w:r>
      <w:r w:rsidRPr="00B37C07" w:rsidR="00803816">
        <w:t xml:space="preserve">Cal. Const., art. XVI, </w:t>
      </w:r>
      <w:r w:rsidR="00A62935">
        <w:t>§ </w:t>
      </w:r>
      <w:r w:rsidRPr="00B37C07" w:rsidR="00803816">
        <w:t>17</w:t>
      </w:r>
      <w:r w:rsidR="00803816">
        <w:t>, sub</w:t>
      </w:r>
      <w:r w:rsidR="00A62935">
        <w:t>d. </w:t>
      </w:r>
      <w:r w:rsidR="00803816">
        <w:t xml:space="preserve">(e)); </w:t>
      </w:r>
      <w:r>
        <w:t xml:space="preserve">that </w:t>
      </w:r>
      <w:r w:rsidR="00B4428C">
        <w:t>“</w:t>
      </w:r>
      <w:r w:rsidRPr="0001690D" w:rsidR="00B4428C">
        <w:t>the number, terms, and method of selection or removal of members</w:t>
      </w:r>
      <w:r w:rsidR="00C8304F">
        <w:t xml:space="preserve"> </w:t>
      </w:r>
      <w:r w:rsidRPr="0001690D" w:rsidR="00B4428C">
        <w:t xml:space="preserve">of the retirement board </w:t>
      </w:r>
      <w:r w:rsidR="00A62935">
        <w:t>. . . </w:t>
      </w:r>
      <w:r w:rsidRPr="0001690D" w:rsidR="00B4428C">
        <w:t>shall not be changed, amended, or modified by the Legislature</w:t>
      </w:r>
      <w:r w:rsidR="00B4428C">
        <w:t>” except in certain circumstances (</w:t>
      </w:r>
      <w:r w:rsidR="00B4428C">
        <w:rPr>
          <w:i/>
          <w:iCs/>
        </w:rPr>
        <w:t>id.</w:t>
      </w:r>
      <w:r w:rsidR="00B4428C">
        <w:t>, sub</w:t>
      </w:r>
      <w:r w:rsidR="00A62935">
        <w:t>d. </w:t>
      </w:r>
      <w:r w:rsidR="00B4428C">
        <w:t xml:space="preserve">(f)); </w:t>
      </w:r>
      <w:r>
        <w:t xml:space="preserve">that the </w:t>
      </w:r>
      <w:r w:rsidR="00680716">
        <w:t>“</w:t>
      </w:r>
      <w:r w:rsidRPr="0001690D" w:rsidR="00680716">
        <w:t>Legislature may by statute continue to prohibit certain investments by a retirement board where it is in the public interest to do so, and provided that the prohibition satisfies the standards of fiduciary care and loyalty required of a retirement board pursuant to this section</w:t>
      </w:r>
      <w:r w:rsidR="00680716">
        <w:t>” (</w:t>
      </w:r>
      <w:r w:rsidR="00680716">
        <w:rPr>
          <w:i/>
          <w:iCs/>
        </w:rPr>
        <w:t>id.</w:t>
      </w:r>
      <w:r w:rsidR="00680716">
        <w:t>, sub</w:t>
      </w:r>
      <w:r w:rsidR="00A62935">
        <w:t>d. </w:t>
      </w:r>
      <w:r w:rsidR="00680716">
        <w:t xml:space="preserve">(g)); and </w:t>
      </w:r>
      <w:r>
        <w:t xml:space="preserve">that </w:t>
      </w:r>
      <w:r w:rsidR="00DA597E">
        <w:t>“</w:t>
      </w:r>
      <w:r w:rsidRPr="00D3467B" w:rsidR="00DA597E">
        <w:t xml:space="preserve">the term </w:t>
      </w:r>
      <w:r w:rsidR="00976A22">
        <w:t>‘</w:t>
      </w:r>
      <w:r w:rsidRPr="00D3467B" w:rsidR="00DA597E">
        <w:t>retirement board</w:t>
      </w:r>
      <w:r w:rsidR="00976A22">
        <w:t>’</w:t>
      </w:r>
      <w:r w:rsidRPr="00D3467B" w:rsidR="00DA597E">
        <w:t xml:space="preserve"> shall mean the board of administration, board of trustees, board of directors, or other governing body or board of a public employees</w:t>
      </w:r>
      <w:r w:rsidR="00DA597E">
        <w:t>’</w:t>
      </w:r>
      <w:r w:rsidRPr="00D3467B" w:rsidR="00DA597E">
        <w:t xml:space="preserve"> pension or retirement system; provided, however, that the term </w:t>
      </w:r>
      <w:r w:rsidR="00976A22">
        <w:t>‘</w:t>
      </w:r>
      <w:r w:rsidRPr="001C71B6" w:rsidR="00DA597E">
        <w:t>retirement board</w:t>
      </w:r>
      <w:r w:rsidR="00976A22">
        <w:t>’</w:t>
      </w:r>
      <w:r w:rsidRPr="001C71B6" w:rsidR="00DA597E">
        <w:t xml:space="preserve"> shall not be interpreted to mean or include</w:t>
      </w:r>
      <w:r w:rsidRPr="00D3467B" w:rsidR="00DA597E">
        <w:t xml:space="preserve"> a governing body or board created after July 1, 1991 which does not administer pension or retirement benefits, </w:t>
      </w:r>
      <w:r w:rsidRPr="001C71B6" w:rsidR="00DA597E">
        <w:t>or the elected legislative body of a jurisdiction which employs participants in a public employees</w:t>
      </w:r>
      <w:r w:rsidR="00DA597E">
        <w:t>’</w:t>
      </w:r>
      <w:r w:rsidRPr="001C71B6" w:rsidR="00DA597E">
        <w:t xml:space="preserve"> pension or retirement system</w:t>
      </w:r>
      <w:r w:rsidR="00DA597E">
        <w:t>” (</w:t>
      </w:r>
      <w:r w:rsidR="00DA597E">
        <w:rPr>
          <w:i/>
          <w:iCs/>
        </w:rPr>
        <w:t>id.</w:t>
      </w:r>
      <w:r w:rsidR="00DA597E">
        <w:t>, sub</w:t>
      </w:r>
      <w:r w:rsidR="00A62935">
        <w:t>d. </w:t>
      </w:r>
      <w:r w:rsidR="00DA597E">
        <w:t xml:space="preserve">(h)). </w:t>
      </w:r>
    </w:p>
    <w:p w:rsidR="00D361FE" w:rsidP="00BF1309" w14:paraId="56D2546F" w14:textId="052F05DA">
      <w:pPr>
        <w:spacing w:line="288" w:lineRule="auto"/>
        <w:ind w:firstLine="720"/>
      </w:pPr>
    </w:p>
    <w:p w:rsidR="00F21A16" w:rsidRPr="00F21A16" w:rsidP="00342904" w14:paraId="130D9559" w14:textId="58C889AC">
      <w:pPr>
        <w:keepNext/>
        <w:keepLines/>
        <w:spacing w:line="288" w:lineRule="auto"/>
        <w:ind w:left="1440" w:hanging="720"/>
        <w:rPr>
          <w:i/>
          <w:iCs/>
        </w:rPr>
      </w:pPr>
      <w:r>
        <w:t>D.</w:t>
      </w:r>
      <w:r>
        <w:tab/>
      </w:r>
      <w:r w:rsidR="00815CEE">
        <w:rPr>
          <w:i/>
          <w:iCs/>
        </w:rPr>
        <w:t xml:space="preserve">The </w:t>
      </w:r>
      <w:r>
        <w:rPr>
          <w:i/>
          <w:iCs/>
        </w:rPr>
        <w:t>LACERA Board</w:t>
      </w:r>
      <w:r w:rsidR="00815CEE">
        <w:rPr>
          <w:i/>
          <w:iCs/>
        </w:rPr>
        <w:t>s</w:t>
      </w:r>
      <w:r>
        <w:rPr>
          <w:i/>
          <w:iCs/>
        </w:rPr>
        <w:t xml:space="preserve"> and the Board of Supervisors Agree Proposition 162 </w:t>
      </w:r>
      <w:r w:rsidR="00DA2B75">
        <w:rPr>
          <w:i/>
          <w:iCs/>
        </w:rPr>
        <w:t xml:space="preserve">and CERL </w:t>
      </w:r>
      <w:r>
        <w:rPr>
          <w:i/>
          <w:iCs/>
        </w:rPr>
        <w:t xml:space="preserve">Give the </w:t>
      </w:r>
      <w:r w:rsidR="00815CEE">
        <w:rPr>
          <w:i/>
          <w:iCs/>
        </w:rPr>
        <w:t>LACERA</w:t>
      </w:r>
      <w:r>
        <w:rPr>
          <w:i/>
          <w:iCs/>
        </w:rPr>
        <w:t xml:space="preserve"> Board</w:t>
      </w:r>
      <w:r w:rsidR="00815CEE">
        <w:rPr>
          <w:i/>
          <w:iCs/>
        </w:rPr>
        <w:t>s</w:t>
      </w:r>
      <w:r>
        <w:rPr>
          <w:i/>
          <w:iCs/>
        </w:rPr>
        <w:t xml:space="preserve"> Authority </w:t>
      </w:r>
      <w:r w:rsidR="00815CEE">
        <w:rPr>
          <w:i/>
          <w:iCs/>
        </w:rPr>
        <w:t>T</w:t>
      </w:r>
      <w:r>
        <w:rPr>
          <w:i/>
          <w:iCs/>
        </w:rPr>
        <w:t xml:space="preserve">o </w:t>
      </w:r>
      <w:r w:rsidR="00815CEE">
        <w:rPr>
          <w:i/>
          <w:iCs/>
        </w:rPr>
        <w:t>Establish Employment Class</w:t>
      </w:r>
      <w:r w:rsidR="006125F2">
        <w:rPr>
          <w:i/>
          <w:iCs/>
        </w:rPr>
        <w:t>ifications</w:t>
      </w:r>
      <w:r w:rsidR="00815CEE">
        <w:rPr>
          <w:i/>
          <w:iCs/>
        </w:rPr>
        <w:t xml:space="preserve"> and</w:t>
      </w:r>
      <w:r>
        <w:rPr>
          <w:i/>
          <w:iCs/>
        </w:rPr>
        <w:t xml:space="preserve"> Salaries for </w:t>
      </w:r>
      <w:r w:rsidR="00815CEE">
        <w:rPr>
          <w:i/>
          <w:iCs/>
        </w:rPr>
        <w:t>LACERA</w:t>
      </w:r>
      <w:r>
        <w:rPr>
          <w:i/>
          <w:iCs/>
        </w:rPr>
        <w:t xml:space="preserve"> </w:t>
      </w:r>
      <w:r w:rsidR="00D5150E">
        <w:rPr>
          <w:i/>
          <w:iCs/>
        </w:rPr>
        <w:t>Employees</w:t>
      </w:r>
    </w:p>
    <w:p w:rsidR="00F21A16" w:rsidP="00BF1309" w14:paraId="7796C4E5" w14:textId="5B360782">
      <w:pPr>
        <w:spacing w:line="288" w:lineRule="auto"/>
        <w:ind w:firstLine="720"/>
      </w:pPr>
      <w:r>
        <w:t>The LACERA Board</w:t>
      </w:r>
      <w:r w:rsidR="00DC063B">
        <w:t>s</w:t>
      </w:r>
      <w:r>
        <w:t xml:space="preserve"> began appointing their own staff and </w:t>
      </w:r>
      <w:r w:rsidR="0036775F">
        <w:t xml:space="preserve">preparing and </w:t>
      </w:r>
      <w:r>
        <w:t xml:space="preserve">adopting LACERA’s budget under sections 31522.1 and 31580.2 in 1978. </w:t>
      </w:r>
      <w:r w:rsidR="009F220E">
        <w:t xml:space="preserve"> </w:t>
      </w:r>
      <w:r w:rsidR="00DC063B">
        <w:t>It is unclear from the record whether the Board</w:t>
      </w:r>
      <w:r w:rsidR="00AF39E9">
        <w:t>s</w:t>
      </w:r>
      <w:r w:rsidR="00DC063B">
        <w:t xml:space="preserve"> </w:t>
      </w:r>
      <w:r>
        <w:t xml:space="preserve">established employment </w:t>
      </w:r>
      <w:r w:rsidR="00B261EC">
        <w:t xml:space="preserve">classifications </w:t>
      </w:r>
      <w:r>
        <w:t>and</w:t>
      </w:r>
      <w:r w:rsidR="00DC063B">
        <w:t xml:space="preserve"> salaries for </w:t>
      </w:r>
      <w:r>
        <w:t>LACERA</w:t>
      </w:r>
      <w:r w:rsidR="00DC063B">
        <w:t xml:space="preserve"> </w:t>
      </w:r>
      <w:r>
        <w:t>employees</w:t>
      </w:r>
      <w:r w:rsidR="00DC063B">
        <w:t xml:space="preserve"> at that time. </w:t>
      </w:r>
    </w:p>
    <w:p w:rsidR="00DC063B" w:rsidP="000F1ED5" w14:paraId="199654E3" w14:textId="0ABD7869">
      <w:pPr>
        <w:spacing w:line="288" w:lineRule="auto"/>
        <w:ind w:firstLine="720"/>
      </w:pPr>
      <w:r>
        <w:t xml:space="preserve">In 1996 LACERA’s Board of Investments requested a legal opinion from </w:t>
      </w:r>
      <w:r w:rsidR="009327E5">
        <w:t>a law firm</w:t>
      </w:r>
      <w:r>
        <w:t xml:space="preserve"> on the issu</w:t>
      </w:r>
      <w:r w:rsidR="009327E5">
        <w:t>e the parties in this case are now, almost 30 </w:t>
      </w:r>
      <w:r>
        <w:t>years later</w:t>
      </w:r>
      <w:r w:rsidR="009327E5">
        <w:t>, litigating: whether section 31522.1 imposed a mandate on</w:t>
      </w:r>
      <w:r>
        <w:t xml:space="preserve"> the Board of Supervisors to </w:t>
      </w:r>
      <w:r w:rsidR="00815CEE">
        <w:t>incorporate</w:t>
      </w:r>
      <w:r>
        <w:t xml:space="preserve"> </w:t>
      </w:r>
      <w:r w:rsidR="00815CEE">
        <w:t xml:space="preserve">into </w:t>
      </w:r>
      <w:r>
        <w:t xml:space="preserve">the County </w:t>
      </w:r>
      <w:r w:rsidR="00815CEE">
        <w:t xml:space="preserve">eligibility list and </w:t>
      </w:r>
      <w:r>
        <w:t xml:space="preserve">salary ordinance the </w:t>
      </w:r>
      <w:r w:rsidR="00815CEE">
        <w:t xml:space="preserve">employment </w:t>
      </w:r>
      <w:r w:rsidR="00D071BF">
        <w:t xml:space="preserve">classifications </w:t>
      </w:r>
      <w:r w:rsidR="00815CEE">
        <w:t>and salaries adopted</w:t>
      </w:r>
      <w:r>
        <w:t xml:space="preserve"> by </w:t>
      </w:r>
      <w:r w:rsidR="00815CEE">
        <w:t xml:space="preserve">the </w:t>
      </w:r>
      <w:r>
        <w:t xml:space="preserve">LACERA Boards. </w:t>
      </w:r>
      <w:r w:rsidR="009F220E">
        <w:t xml:space="preserve"> </w:t>
      </w:r>
      <w:r w:rsidR="009327E5">
        <w:t>The law firm</w:t>
      </w:r>
      <w:r>
        <w:t xml:space="preserve"> concluded section 31522.1 create</w:t>
      </w:r>
      <w:r w:rsidR="00815CEE">
        <w:t>d</w:t>
      </w:r>
      <w:r>
        <w:t xml:space="preserve"> that mandate, which Proposition 162 “re-emphasized”</w:t>
      </w:r>
      <w:r w:rsidR="00AF39E9">
        <w:t xml:space="preserve"> </w:t>
      </w:r>
      <w:r w:rsidR="009327E5">
        <w:t xml:space="preserve">in 1992 </w:t>
      </w:r>
      <w:r w:rsidR="00AF39E9">
        <w:t xml:space="preserve">by granting the Boards plenary authority over the administration of the retirement system. </w:t>
      </w:r>
      <w:r w:rsidR="009F220E">
        <w:t xml:space="preserve"> </w:t>
      </w:r>
      <w:r w:rsidR="00120DB2">
        <w:t>The law firm</w:t>
      </w:r>
      <w:r w:rsidR="009E2296">
        <w:t xml:space="preserve"> based its conclusion on the </w:t>
      </w:r>
      <w:r w:rsidR="00120DB2">
        <w:t>language</w:t>
      </w:r>
      <w:r w:rsidR="009E2296">
        <w:t xml:space="preserve"> of section</w:t>
      </w:r>
      <w:r w:rsidR="00676BE3">
        <w:t>s</w:t>
      </w:r>
      <w:r w:rsidR="009E2296">
        <w:t xml:space="preserve"> 31522.1</w:t>
      </w:r>
      <w:r w:rsidR="00676BE3">
        <w:t xml:space="preserve"> and </w:t>
      </w:r>
      <w:r w:rsidR="000F1ED5">
        <w:t>31580.2,</w:t>
      </w:r>
      <w:r w:rsidR="009E2296">
        <w:t xml:space="preserve"> the legislative history of AB 470</w:t>
      </w:r>
      <w:r w:rsidR="000F1ED5">
        <w:t>, and LACERA’s independence from the County</w:t>
      </w:r>
      <w:r w:rsidR="009E2296">
        <w:t xml:space="preserve">.  Regarding the </w:t>
      </w:r>
      <w:r w:rsidR="00D5150E">
        <w:t xml:space="preserve">statutory </w:t>
      </w:r>
      <w:r w:rsidR="009E2296">
        <w:t xml:space="preserve">text, </w:t>
      </w:r>
      <w:r w:rsidR="00120DB2">
        <w:t>the law firm observed that</w:t>
      </w:r>
      <w:r w:rsidR="000F1ED5">
        <w:t xml:space="preserve"> “the independent budgetary authority given to the retirement boards under [section 31580.2] would have little meaning if the boards could not control the compensation levels for its appointees.” </w:t>
      </w:r>
      <w:r w:rsidR="009F220E">
        <w:t xml:space="preserve"> </w:t>
      </w:r>
      <w:r w:rsidR="009E2296">
        <w:t xml:space="preserve">Regarding the legislative history of AB 470, </w:t>
      </w:r>
      <w:r w:rsidR="00120DB2">
        <w:t>the law firm concluded the committee reports showed</w:t>
      </w:r>
      <w:r w:rsidR="009E2296">
        <w:t xml:space="preserve"> the purpose of AB 470 was “to allow the retirement boards to hire their own staff, rather than continue to have to rely on staff responsible to the County Treasure</w:t>
      </w:r>
      <w:r w:rsidR="00D5150E">
        <w:t>r</w:t>
      </w:r>
      <w:r w:rsidR="009E2296">
        <w:t xml:space="preserve"> and the County Board of Supervisors.” </w:t>
      </w:r>
      <w:r w:rsidR="009F220E">
        <w:t xml:space="preserve"> </w:t>
      </w:r>
      <w:r w:rsidR="00120DB2">
        <w:t>The law firm also cited</w:t>
      </w:r>
      <w:r w:rsidR="00343213">
        <w:t xml:space="preserve"> the</w:t>
      </w:r>
      <w:r w:rsidR="00120DB2">
        <w:t xml:space="preserve"> </w:t>
      </w:r>
      <w:r w:rsidR="00E42478">
        <w:t>County’</w:t>
      </w:r>
      <w:r w:rsidR="00E82425">
        <w:t>s</w:t>
      </w:r>
      <w:r w:rsidR="00120DB2">
        <w:t xml:space="preserve"> </w:t>
      </w:r>
      <w:r w:rsidR="009E2296">
        <w:t>opposition to AB 470, which argued AB</w:t>
      </w:r>
      <w:r w:rsidR="00C8304F">
        <w:t> </w:t>
      </w:r>
      <w:r w:rsidR="009E2296">
        <w:t>470 “‘would create two new units of county government [the Board of Retirement and the Board of Investments] with no cost controls as we now know them in county operations.</w:t>
      </w:r>
      <w:r w:rsidR="000F1ED5">
        <w:t>’</w:t>
      </w:r>
      <w:r w:rsidR="009E2296">
        <w:t xml:space="preserve">” </w:t>
      </w:r>
      <w:r w:rsidR="009F220E">
        <w:t xml:space="preserve"> </w:t>
      </w:r>
      <w:r w:rsidR="00120DB2">
        <w:t>The law firm</w:t>
      </w:r>
      <w:r w:rsidR="00815CEE">
        <w:t xml:space="preserve"> explained </w:t>
      </w:r>
      <w:r w:rsidR="00120DB2">
        <w:t xml:space="preserve">the Legislature later amended </w:t>
      </w:r>
      <w:r w:rsidR="00815CEE">
        <w:t xml:space="preserve">section 31522.1 to specify that employees appointed by the Boards are “county employees” for the limited purpose of protecting retirement system employees under the </w:t>
      </w:r>
      <w:r w:rsidR="00271289">
        <w:t>C</w:t>
      </w:r>
      <w:r w:rsidR="00815CEE">
        <w:t xml:space="preserve">ivil </w:t>
      </w:r>
      <w:r w:rsidR="00271289">
        <w:t>S</w:t>
      </w:r>
      <w:r w:rsidR="00815CEE">
        <w:t xml:space="preserve">ervice </w:t>
      </w:r>
      <w:r w:rsidR="00271289">
        <w:t>Rules</w:t>
      </w:r>
      <w:r w:rsidR="00815CEE">
        <w:t>.</w:t>
      </w:r>
    </w:p>
    <w:p w:rsidR="00AF39E9" w:rsidP="00BF1309" w14:paraId="32A869C0" w14:textId="5CA35C0A">
      <w:pPr>
        <w:spacing w:line="288" w:lineRule="auto"/>
        <w:ind w:firstLine="720"/>
      </w:pPr>
      <w:r>
        <w:t xml:space="preserve">The Board of Supervisors </w:t>
      </w:r>
      <w:r w:rsidR="00DC063B">
        <w:t>agreed</w:t>
      </w:r>
      <w:r>
        <w:t xml:space="preserve"> with </w:t>
      </w:r>
      <w:r w:rsidR="00395FF8">
        <w:t xml:space="preserve">the </w:t>
      </w:r>
      <w:r w:rsidR="00120DB2">
        <w:t>law firm’s</w:t>
      </w:r>
      <w:r>
        <w:t xml:space="preserve"> assessment.  </w:t>
      </w:r>
      <w:r w:rsidR="00815CEE">
        <w:t xml:space="preserve">In a letter </w:t>
      </w:r>
      <w:r w:rsidR="00120DB2">
        <w:t>to the County’s c</w:t>
      </w:r>
      <w:r>
        <w:t xml:space="preserve">hief </w:t>
      </w:r>
      <w:r w:rsidR="00120DB2">
        <w:t>a</w:t>
      </w:r>
      <w:r>
        <w:t xml:space="preserve">dministrative </w:t>
      </w:r>
      <w:r w:rsidR="00120DB2">
        <w:t>o</w:t>
      </w:r>
      <w:r>
        <w:t>fficer</w:t>
      </w:r>
      <w:r w:rsidR="00120DB2">
        <w:t>,</w:t>
      </w:r>
      <w:r w:rsidR="00815CEE">
        <w:t xml:space="preserve"> </w:t>
      </w:r>
      <w:r w:rsidR="00120DB2">
        <w:t xml:space="preserve">County </w:t>
      </w:r>
      <w:r w:rsidR="00430304">
        <w:t xml:space="preserve">counsel </w:t>
      </w:r>
      <w:r w:rsidR="00815CEE">
        <w:t>stated</w:t>
      </w:r>
      <w:r w:rsidR="00120DB2">
        <w:t xml:space="preserve"> </w:t>
      </w:r>
      <w:r>
        <w:t xml:space="preserve">“the Board of Supervisors has a ministerial duty to adopt an ordinance implementing classification and compensation changes adopted by LACERA for its employees.” </w:t>
      </w:r>
      <w:r w:rsidR="009F220E">
        <w:t xml:space="preserve"> </w:t>
      </w:r>
      <w:r w:rsidR="00120DB2">
        <w:t>County counsel</w:t>
      </w:r>
      <w:r w:rsidR="00B7159A">
        <w:t xml:space="preserve"> explained:  “LACERA employees are subject to the civil service provisions of the County Charter and to the County’s Civil Service Rules.  They are not subject to the classification system maintained by the County for its employees, nor are classification actions affecting LACERA employees subject to the approval of the </w:t>
      </w:r>
      <w:r w:rsidR="004B34E5">
        <w:t xml:space="preserve">[County] </w:t>
      </w:r>
      <w:r w:rsidR="00B7159A">
        <w:t xml:space="preserve">Director of Personnel.” </w:t>
      </w:r>
      <w:r w:rsidR="009F220E">
        <w:t xml:space="preserve"> </w:t>
      </w:r>
      <w:r w:rsidR="00247D24">
        <w:t>County c</w:t>
      </w:r>
      <w:r w:rsidR="00B7159A">
        <w:t xml:space="preserve">ounsel stated </w:t>
      </w:r>
      <w:r w:rsidR="00247D24">
        <w:t xml:space="preserve">that </w:t>
      </w:r>
      <w:r w:rsidR="00B7159A">
        <w:t xml:space="preserve">the Board of Supervisors had no “direct control” over the classification or pay rates for retirement system employees, but </w:t>
      </w:r>
      <w:r w:rsidR="00247D24">
        <w:t xml:space="preserve">that </w:t>
      </w:r>
      <w:r w:rsidR="00B7159A">
        <w:t xml:space="preserve">the Board of Supervisors could seek judicial review if it believed the LACERA Boards </w:t>
      </w:r>
      <w:r w:rsidR="00247D24">
        <w:t xml:space="preserve">had </w:t>
      </w:r>
      <w:r w:rsidR="00B7159A">
        <w:t xml:space="preserve">abused their discretion. </w:t>
      </w:r>
      <w:r w:rsidR="009F220E">
        <w:t xml:space="preserve"> </w:t>
      </w:r>
      <w:r w:rsidR="009E7B29">
        <w:t>Coun</w:t>
      </w:r>
      <w:r w:rsidR="00247D24">
        <w:t>ty counsel agreed with the law firm’s conclusion</w:t>
      </w:r>
      <w:r w:rsidR="009E7B29">
        <w:t xml:space="preserve"> section 31522.1 designated retirement system employees as “county employees” to protect them under the </w:t>
      </w:r>
      <w:r w:rsidR="00271289">
        <w:t xml:space="preserve">Civil Service Rules </w:t>
      </w:r>
      <w:r w:rsidR="009E7B29">
        <w:t xml:space="preserve">and to allow them to participate in the retirement system and receive “County fringe benefits.” </w:t>
      </w:r>
    </w:p>
    <w:p w:rsidR="00AF39E9" w:rsidP="00BF1309" w14:paraId="180938A3" w14:textId="5BD09840">
      <w:pPr>
        <w:spacing w:line="288" w:lineRule="auto"/>
        <w:ind w:firstLine="720"/>
      </w:pPr>
      <w:r>
        <w:t xml:space="preserve">After 1996 </w:t>
      </w:r>
      <w:r w:rsidR="00170900">
        <w:t xml:space="preserve">the </w:t>
      </w:r>
      <w:r>
        <w:t xml:space="preserve">LACERA Boards </w:t>
      </w:r>
      <w:r w:rsidR="009749D2">
        <w:t xml:space="preserve">approved </w:t>
      </w:r>
      <w:r w:rsidR="00815CEE">
        <w:t xml:space="preserve">employment </w:t>
      </w:r>
      <w:r w:rsidR="004B59FD">
        <w:t xml:space="preserve">classifications </w:t>
      </w:r>
      <w:r w:rsidR="009749D2">
        <w:t xml:space="preserve">and </w:t>
      </w:r>
      <w:r w:rsidR="00815CEE">
        <w:t>salaries</w:t>
      </w:r>
      <w:r w:rsidR="009749D2">
        <w:t xml:space="preserve"> for LACERA employees</w:t>
      </w:r>
      <w:r w:rsidR="004F3A7A">
        <w:t xml:space="preserve"> and </w:t>
      </w:r>
      <w:r w:rsidR="009749D2">
        <w:t>provided them to the Board of Supervisors</w:t>
      </w:r>
      <w:r w:rsidR="007B06FE">
        <w:t>, which</w:t>
      </w:r>
      <w:r w:rsidR="007F32F7">
        <w:t>, in turn,</w:t>
      </w:r>
      <w:r w:rsidR="004F3A7A">
        <w:t xml:space="preserve"> </w:t>
      </w:r>
      <w:r w:rsidR="009749D2">
        <w:t xml:space="preserve">included the </w:t>
      </w:r>
      <w:r w:rsidR="004B59FD">
        <w:t xml:space="preserve">classifications </w:t>
      </w:r>
      <w:r w:rsidR="009749D2">
        <w:t xml:space="preserve">and </w:t>
      </w:r>
      <w:r w:rsidR="00815CEE">
        <w:t>salaries</w:t>
      </w:r>
      <w:r w:rsidR="009749D2">
        <w:t xml:space="preserve"> in the County’s </w:t>
      </w:r>
      <w:r w:rsidR="00815CEE">
        <w:t xml:space="preserve">eligibility list and </w:t>
      </w:r>
      <w:r w:rsidR="009749D2">
        <w:t xml:space="preserve">salary ordinance. </w:t>
      </w:r>
      <w:r w:rsidR="005A18DB">
        <w:t xml:space="preserve"> </w:t>
      </w:r>
      <w:r w:rsidR="00FE19C8">
        <w:t>It appears</w:t>
      </w:r>
      <w:r w:rsidR="009749D2">
        <w:t xml:space="preserve"> the </w:t>
      </w:r>
      <w:r w:rsidR="00815CEE">
        <w:t xml:space="preserve">LACERA </w:t>
      </w:r>
      <w:r w:rsidR="009749D2">
        <w:t xml:space="preserve">Boards and the Board of Supervisors </w:t>
      </w:r>
      <w:r w:rsidR="00FE19C8">
        <w:t xml:space="preserve">generally </w:t>
      </w:r>
      <w:r w:rsidR="009749D2">
        <w:t xml:space="preserve">collaborated </w:t>
      </w:r>
      <w:r w:rsidR="00441BA1">
        <w:t xml:space="preserve">in these efforts </w:t>
      </w:r>
      <w:r w:rsidR="009749D2">
        <w:t xml:space="preserve">to ensure </w:t>
      </w:r>
      <w:r w:rsidR="00A158C0">
        <w:t>LACERA</w:t>
      </w:r>
      <w:r w:rsidR="00FE19C8">
        <w:t>’s positions</w:t>
      </w:r>
      <w:r w:rsidR="00A158C0">
        <w:t xml:space="preserve"> complied with civil service and other applicable rules. </w:t>
      </w:r>
      <w:r w:rsidR="009F220E">
        <w:t xml:space="preserve"> </w:t>
      </w:r>
      <w:r w:rsidR="00FE19C8">
        <w:t>For example, correspondence from LACERA to the Board of Supervisors</w:t>
      </w:r>
      <w:r w:rsidR="00D86CFC">
        <w:t xml:space="preserve"> in 2001</w:t>
      </w:r>
      <w:r w:rsidR="00441BA1">
        <w:t xml:space="preserve"> </w:t>
      </w:r>
      <w:r w:rsidR="00D86CFC">
        <w:t xml:space="preserve">“requested” </w:t>
      </w:r>
      <w:r w:rsidR="00DB1483">
        <w:t xml:space="preserve">that </w:t>
      </w:r>
      <w:r w:rsidR="00D86CFC">
        <w:t xml:space="preserve">the Board of Supervisors amend the County Code to include revised salary ranges for certain positions. </w:t>
      </w:r>
      <w:r w:rsidR="009F220E">
        <w:t xml:space="preserve"> </w:t>
      </w:r>
      <w:r w:rsidR="004243DC">
        <w:t xml:space="preserve">In 1999 the County </w:t>
      </w:r>
      <w:r w:rsidR="00C1730E">
        <w:t>removed</w:t>
      </w:r>
      <w:r w:rsidR="004243DC">
        <w:t xml:space="preserve"> retirement system employees from County bargaining units, recognizing “the LACERA Board of Retirement has sole authority to appoint and set salaries for </w:t>
      </w:r>
      <w:r w:rsidR="00815CEE">
        <w:t>[its]</w:t>
      </w:r>
      <w:r w:rsidR="004243DC">
        <w:t xml:space="preserve"> employees.” </w:t>
      </w:r>
      <w:r w:rsidR="009F220E">
        <w:t xml:space="preserve"> </w:t>
      </w:r>
      <w:r w:rsidR="00F22130">
        <w:t xml:space="preserve">Following that action, LACERA formed new bargaining units and </w:t>
      </w:r>
      <w:r w:rsidR="00815CEE">
        <w:t xml:space="preserve">now </w:t>
      </w:r>
      <w:r w:rsidR="00F22130">
        <w:t xml:space="preserve">bargains directly with its employees. </w:t>
      </w:r>
      <w:r w:rsidR="009F220E">
        <w:t xml:space="preserve"> </w:t>
      </w:r>
      <w:r w:rsidR="00815CEE">
        <w:t xml:space="preserve">Employment </w:t>
      </w:r>
      <w:r w:rsidR="005608C6">
        <w:t xml:space="preserve">classifications </w:t>
      </w:r>
      <w:r w:rsidR="00C052A7">
        <w:t xml:space="preserve">for LACERA employees in the Civil Service Rules are also separate from </w:t>
      </w:r>
      <w:r w:rsidR="00D5150E">
        <w:t xml:space="preserve">the </w:t>
      </w:r>
      <w:r w:rsidR="00C052A7">
        <w:t>classifications for County employees.  (</w:t>
      </w:r>
      <w:r w:rsidR="004B34E5">
        <w:t>L.A. County Code, ch.</w:t>
      </w:r>
      <w:r w:rsidR="00BC08C9">
        <w:t> </w:t>
      </w:r>
      <w:r w:rsidRPr="00EA7B33" w:rsidR="004B34E5">
        <w:t>6.127</w:t>
      </w:r>
      <w:r w:rsidR="00430304">
        <w:t>.</w:t>
      </w:r>
      <w:r w:rsidR="00C052A7">
        <w:t xml:space="preserve">) </w:t>
      </w:r>
    </w:p>
    <w:p w:rsidR="00430304" w:rsidP="00430304" w14:paraId="2F642795" w14:textId="77777777">
      <w:pPr>
        <w:spacing w:line="288" w:lineRule="auto"/>
        <w:ind w:firstLine="720"/>
      </w:pPr>
      <w:r>
        <w:t>But, after two decades of cooperation, something changed.</w:t>
      </w:r>
    </w:p>
    <w:p w:rsidR="00B7159A" w:rsidP="00BF1309" w14:paraId="2C58868F" w14:textId="77777777">
      <w:pPr>
        <w:spacing w:line="288" w:lineRule="auto"/>
        <w:ind w:firstLine="720"/>
      </w:pPr>
    </w:p>
    <w:p w:rsidR="00D754EB" w:rsidRPr="00F21A16" w:rsidP="00D754EB" w14:paraId="61C9D9FA" w14:textId="00DA8465">
      <w:pPr>
        <w:keepNext/>
        <w:spacing w:line="288" w:lineRule="auto"/>
        <w:ind w:left="1440" w:hanging="720"/>
        <w:rPr>
          <w:i/>
          <w:iCs/>
        </w:rPr>
      </w:pPr>
      <w:r>
        <w:t>E.</w:t>
      </w:r>
      <w:r>
        <w:tab/>
      </w:r>
      <w:r>
        <w:rPr>
          <w:i/>
          <w:iCs/>
        </w:rPr>
        <w:t>The Board of Supervisors Reverses Course in 2018</w:t>
      </w:r>
    </w:p>
    <w:p w:rsidR="00342904" w:rsidP="00C0262E" w14:paraId="303E5D2A" w14:textId="06302687">
      <w:pPr>
        <w:spacing w:line="288" w:lineRule="auto"/>
        <w:ind w:firstLine="720"/>
      </w:pPr>
      <w:r>
        <w:t>As early as 2001 LACERA informed the Board of Supervisors that it faced a challenging recruiting environment for personnel who were qualified to oversee sophisticated investments and maximize returns for members and their beneficiaries.  A l</w:t>
      </w:r>
      <w:r w:rsidR="0078213D">
        <w:t>etter from the assistant c</w:t>
      </w:r>
      <w:r>
        <w:t xml:space="preserve">hief </w:t>
      </w:r>
      <w:r w:rsidR="0078213D">
        <w:t>executive o</w:t>
      </w:r>
      <w:r>
        <w:t xml:space="preserve">fficer of LACERA to a member of the Board of Supervisors </w:t>
      </w:r>
      <w:r w:rsidR="00815CEE">
        <w:t>explained</w:t>
      </w:r>
      <w:r w:rsidR="00AF6348">
        <w:t xml:space="preserve"> </w:t>
      </w:r>
      <w:r w:rsidR="00815CEE">
        <w:t xml:space="preserve">that </w:t>
      </w:r>
      <w:r>
        <w:t xml:space="preserve">LACERA intended to increase salaries for certain investment and management positions </w:t>
      </w:r>
      <w:r w:rsidR="00815CEE">
        <w:t xml:space="preserve">that were </w:t>
      </w:r>
      <w:r>
        <w:t>not comparable to any County positions and that LACERA compete</w:t>
      </w:r>
      <w:r w:rsidR="00815CEE">
        <w:t>d</w:t>
      </w:r>
      <w:r>
        <w:t xml:space="preserve"> </w:t>
      </w:r>
      <w:r w:rsidR="004F3A7A">
        <w:t>to fill</w:t>
      </w:r>
      <w:r>
        <w:t xml:space="preserve"> these positions with other public pension funds and private sector investment and law firms. </w:t>
      </w:r>
    </w:p>
    <w:p w:rsidR="00C520AB" w:rsidP="00C05407" w14:paraId="386E00C7" w14:textId="57BA3CEC">
      <w:pPr>
        <w:spacing w:line="288" w:lineRule="auto"/>
        <w:ind w:firstLine="720"/>
      </w:pPr>
      <w:r>
        <w:t xml:space="preserve">In 2016 and 2017 LACERA </w:t>
      </w:r>
      <w:r w:rsidR="00693140">
        <w:t>conducted a personnel review and concluded several new positions and salary adjustments were necessary to achieve LACERA’s strategic priorities</w:t>
      </w:r>
      <w:r w:rsidR="00274717">
        <w:t xml:space="preserve"> and fulfill its fiduciary duties to its members and beneficiaries.</w:t>
      </w:r>
      <w:r w:rsidR="00693140">
        <w:t xml:space="preserve"> </w:t>
      </w:r>
      <w:r w:rsidR="00C05407">
        <w:t xml:space="preserve"> </w:t>
      </w:r>
      <w:r w:rsidR="00274717">
        <w:t>Since the early 2000’s, the assets LACERA managed had increased by 57 percent to $48 billion, and its staff had increased by 35 percent</w:t>
      </w:r>
      <w:r w:rsidR="00133CFA">
        <w:t xml:space="preserve"> to almost 400 positions</w:t>
      </w:r>
      <w:r w:rsidR="00274717">
        <w:t>.</w:t>
      </w:r>
      <w:r>
        <w:rPr>
          <w:rStyle w:val="FootnoteReference"/>
        </w:rPr>
        <w:footnoteReference w:id="8"/>
      </w:r>
      <w:r w:rsidR="00274717">
        <w:t xml:space="preserve"> </w:t>
      </w:r>
      <w:r w:rsidR="005A18DB">
        <w:t xml:space="preserve"> </w:t>
      </w:r>
      <w:r w:rsidR="00693140">
        <w:t xml:space="preserve">Among the new positions </w:t>
      </w:r>
      <w:r w:rsidR="00274717">
        <w:t>proposed</w:t>
      </w:r>
      <w:r w:rsidR="00C0262E">
        <w:t xml:space="preserve"> in 2017 </w:t>
      </w:r>
      <w:r w:rsidR="00693140">
        <w:t>were five new management classifications</w:t>
      </w:r>
      <w:r w:rsidR="00C0262E">
        <w:t>,</w:t>
      </w:r>
      <w:r w:rsidR="005A58C1">
        <w:t xml:space="preserve"> including a d</w:t>
      </w:r>
      <w:r w:rsidR="00693140">
        <w:t xml:space="preserve">eputy </w:t>
      </w:r>
      <w:r w:rsidR="005A58C1">
        <w:t>chief investment officer</w:t>
      </w:r>
      <w:r w:rsidR="00C31EB3">
        <w:t xml:space="preserve">; </w:t>
      </w:r>
      <w:r w:rsidR="00430304">
        <w:t xml:space="preserve">a </w:t>
      </w:r>
      <w:r w:rsidR="005A58C1">
        <w:t>p</w:t>
      </w:r>
      <w:r w:rsidR="00693140">
        <w:t xml:space="preserve">rincipal </w:t>
      </w:r>
      <w:r w:rsidR="005A58C1">
        <w:t>s</w:t>
      </w:r>
      <w:r w:rsidR="00693140">
        <w:t xml:space="preserve">taff </w:t>
      </w:r>
      <w:r w:rsidR="005A58C1">
        <w:t>c</w:t>
      </w:r>
      <w:r w:rsidR="00693140">
        <w:t>ounsel</w:t>
      </w:r>
      <w:r w:rsidR="00C31EB3">
        <w:t xml:space="preserve">; </w:t>
      </w:r>
      <w:r w:rsidR="00693140">
        <w:t xml:space="preserve">and six new information technology classifications. </w:t>
      </w:r>
      <w:r w:rsidR="004E2B23">
        <w:t xml:space="preserve"> </w:t>
      </w:r>
      <w:r w:rsidR="00693140">
        <w:t xml:space="preserve">LACERA </w:t>
      </w:r>
      <w:r w:rsidR="005A58C1">
        <w:t>advised</w:t>
      </w:r>
      <w:r w:rsidR="00274717">
        <w:t xml:space="preserve"> the Board of Supervisors </w:t>
      </w:r>
      <w:r w:rsidR="00693140">
        <w:t xml:space="preserve">the new classifications </w:t>
      </w:r>
      <w:r w:rsidR="00274717">
        <w:t>would</w:t>
      </w:r>
      <w:r w:rsidR="00693140">
        <w:t xml:space="preserve"> “provide the leadership necessary</w:t>
      </w:r>
      <w:r w:rsidR="00274717">
        <w:t xml:space="preserve"> to support the </w:t>
      </w:r>
      <w:r w:rsidR="00693140">
        <w:t>develop</w:t>
      </w:r>
      <w:r w:rsidR="00274717">
        <w:t>ment</w:t>
      </w:r>
      <w:r w:rsidR="00693140">
        <w:t>, implement</w:t>
      </w:r>
      <w:r w:rsidR="00274717">
        <w:t>ation</w:t>
      </w:r>
      <w:r w:rsidR="00693140">
        <w:t>, and manage</w:t>
      </w:r>
      <w:r w:rsidR="00274717">
        <w:t>ment of the organization’s business processes and future requirements.”</w:t>
      </w:r>
      <w:r w:rsidR="00693140">
        <w:t xml:space="preserve"> </w:t>
      </w:r>
      <w:r w:rsidR="007205DB">
        <w:t xml:space="preserve"> </w:t>
      </w:r>
      <w:r w:rsidR="00AF6348">
        <w:t>Based on its prior practice</w:t>
      </w:r>
      <w:r w:rsidR="00FA1ECD">
        <w:t xml:space="preserve"> and expectation the Board of Supervisors would implement LACERA’s personnel decisions</w:t>
      </w:r>
      <w:r w:rsidR="00274717">
        <w:t xml:space="preserve">, LACERA </w:t>
      </w:r>
      <w:r w:rsidR="005A58C1">
        <w:t>asked</w:t>
      </w:r>
      <w:r w:rsidR="00274717">
        <w:t xml:space="preserve"> the Board of Supervisors</w:t>
      </w:r>
      <w:r w:rsidR="005A58C1">
        <w:t xml:space="preserve"> to</w:t>
      </w:r>
      <w:r w:rsidR="00274717">
        <w:t xml:space="preserve"> amend the salary ordinance to include the new positions and salary ranges. </w:t>
      </w:r>
    </w:p>
    <w:p w:rsidR="00C520AB" w:rsidP="00C520AB" w14:paraId="6F20AF93" w14:textId="05801EBB">
      <w:pPr>
        <w:spacing w:line="288" w:lineRule="auto"/>
        <w:ind w:firstLine="720"/>
      </w:pPr>
      <w:r>
        <w:t>But this time the Board of Supervisors refused to adopt the requested amendments to the salary ordinance.  In April 2018 County counsel sent a letter to LACERA stating the California Constitution, relevant statutes, and the County Charter gave the Board of Supervisors, not LACERA, authority to establish salaries for LACERA’s staff as “county employees.”  D</w:t>
      </w:r>
      <w:r w:rsidRPr="003F2D69">
        <w:t>espite</w:t>
      </w:r>
      <w:r>
        <w:t xml:space="preserve"> 15 years of history to the contrary, County counsel </w:t>
      </w:r>
      <w:r w:rsidRPr="00F95EBF">
        <w:t xml:space="preserve">informed </w:t>
      </w:r>
      <w:r w:rsidRPr="00F95EBF" w:rsidR="001D05B9">
        <w:t>LACERA</w:t>
      </w:r>
      <w:r w:rsidRPr="00DF52BB" w:rsidR="001D05B9">
        <w:t xml:space="preserve"> </w:t>
      </w:r>
      <w:r>
        <w:t xml:space="preserve">Proposition 162 never took “salary-setting authority . . . from the [Board of Supervisors] in the first instance.” </w:t>
      </w:r>
    </w:p>
    <w:p w:rsidR="00C520AB" w:rsidP="00C520AB" w14:paraId="53FCA013" w14:textId="1F27B18B">
      <w:pPr>
        <w:spacing w:line="288" w:lineRule="auto"/>
        <w:ind w:firstLine="720"/>
      </w:pPr>
      <w:r>
        <w:t xml:space="preserve">The County’s change of position was based on </w:t>
      </w:r>
      <w:r w:rsidRPr="00EC1208">
        <w:rPr>
          <w:i/>
          <w:iCs/>
        </w:rPr>
        <w:t>Westly</w:t>
      </w:r>
      <w:r>
        <w:t xml:space="preserve">, </w:t>
      </w:r>
      <w:r>
        <w:rPr>
          <w:i/>
          <w:iCs/>
        </w:rPr>
        <w:t>supra</w:t>
      </w:r>
      <w:r>
        <w:t>,</w:t>
      </w:r>
      <w:r w:rsidRPr="00995402">
        <w:t xml:space="preserve"> 105</w:t>
      </w:r>
      <w:r>
        <w:t> </w:t>
      </w:r>
      <w:r w:rsidRPr="00995402">
        <w:t xml:space="preserve">Cal.App.4th 1095, </w:t>
      </w:r>
      <w:r>
        <w:t xml:space="preserve">which held in 2003 the “plenary authority” granted to retirement boards by Proposition 162 did not give the governing board of </w:t>
      </w:r>
      <w:r w:rsidRPr="00F46C8D">
        <w:t xml:space="preserve">CalPERS </w:t>
      </w:r>
      <w:r>
        <w:t>authority to create classifications and establish salaries for its staff that violated certain relevant statutes.  (</w:t>
      </w:r>
      <w:r>
        <w:rPr>
          <w:i/>
          <w:iCs/>
        </w:rPr>
        <w:t>Westly</w:t>
      </w:r>
      <w:r w:rsidRPr="003F0A82">
        <w:t>,</w:t>
      </w:r>
      <w:r>
        <w:rPr>
          <w:i/>
          <w:iCs/>
        </w:rPr>
        <w:t> </w:t>
      </w:r>
      <w:r>
        <w:t xml:space="preserve">at p. 1112.)  </w:t>
      </w:r>
      <w:r w:rsidRPr="007E2C26">
        <w:t xml:space="preserve">The dispute </w:t>
      </w:r>
      <w:r>
        <w:t>in</w:t>
      </w:r>
      <w:r w:rsidRPr="007E2C26">
        <w:t xml:space="preserve"> </w:t>
      </w:r>
      <w:r w:rsidRPr="007E2C26">
        <w:rPr>
          <w:i/>
        </w:rPr>
        <w:t xml:space="preserve">Westly </w:t>
      </w:r>
      <w:r w:rsidRPr="007E2C26">
        <w:rPr>
          <w:iCs/>
        </w:rPr>
        <w:t xml:space="preserve">arose when </w:t>
      </w:r>
      <w:r w:rsidRPr="007E2C26">
        <w:t>the CalPERS board</w:t>
      </w:r>
      <w:r>
        <w:t>, among other actions,</w:t>
      </w:r>
      <w:r w:rsidRPr="007E2C26">
        <w:t xml:space="preserve"> sought to exempt portfolio managers from the state civil service system</w:t>
      </w:r>
      <w:r>
        <w:t xml:space="preserve">, </w:t>
      </w:r>
      <w:r w:rsidRPr="007E2C26">
        <w:t>despite statutes prohibiting those actions.  (</w:t>
      </w:r>
      <w:r w:rsidRPr="007E2C26">
        <w:rPr>
          <w:i/>
          <w:iCs/>
        </w:rPr>
        <w:t>Id.</w:t>
      </w:r>
      <w:r w:rsidRPr="007E2C26">
        <w:t xml:space="preserve"> at p.</w:t>
      </w:r>
      <w:r w:rsidR="001B1027">
        <w:t> </w:t>
      </w:r>
      <w:r w:rsidRPr="007E2C26">
        <w:t xml:space="preserve">1103.)  </w:t>
      </w:r>
      <w:r>
        <w:t xml:space="preserve">Similar to the situation here, where from </w:t>
      </w:r>
      <w:r w:rsidRPr="00326B1B">
        <w:rPr>
          <w:szCs w:val="26"/>
        </w:rPr>
        <w:t>1</w:t>
      </w:r>
      <w:r w:rsidRPr="00F95EBF">
        <w:rPr>
          <w:szCs w:val="26"/>
        </w:rPr>
        <w:t>996 to 2018 the LACERA Boards and the Board of Supervisors agre</w:t>
      </w:r>
      <w:r>
        <w:rPr>
          <w:szCs w:val="26"/>
        </w:rPr>
        <w:t xml:space="preserve">ed that </w:t>
      </w:r>
      <w:r w:rsidRPr="00F95EBF">
        <w:rPr>
          <w:szCs w:val="26"/>
        </w:rPr>
        <w:t xml:space="preserve">the LACERA Boards had authority to establish employment classifications and compensation for LACERA employees, in </w:t>
      </w:r>
      <w:r w:rsidRPr="00F95EBF">
        <w:rPr>
          <w:i/>
          <w:iCs/>
          <w:szCs w:val="26"/>
        </w:rPr>
        <w:t>Wes</w:t>
      </w:r>
      <w:r w:rsidR="002E153A">
        <w:rPr>
          <w:i/>
          <w:iCs/>
          <w:szCs w:val="26"/>
        </w:rPr>
        <w:t>t</w:t>
      </w:r>
      <w:r w:rsidRPr="00F95EBF">
        <w:rPr>
          <w:i/>
          <w:iCs/>
          <w:szCs w:val="26"/>
        </w:rPr>
        <w:t>ly</w:t>
      </w:r>
      <w:r w:rsidRPr="00F95EBF">
        <w:rPr>
          <w:szCs w:val="26"/>
        </w:rPr>
        <w:t xml:space="preserve"> </w:t>
      </w:r>
      <w:r>
        <w:rPr>
          <w:szCs w:val="26"/>
        </w:rPr>
        <w:t xml:space="preserve">the CalPERS board and the Department of Personnel Administration agreed from 1992 (when Proposition 162 was enacted) </w:t>
      </w:r>
      <w:r w:rsidRPr="00F95EBF">
        <w:rPr>
          <w:szCs w:val="26"/>
        </w:rPr>
        <w:t>to 2000</w:t>
      </w:r>
      <w:r>
        <w:rPr>
          <w:szCs w:val="26"/>
        </w:rPr>
        <w:t xml:space="preserve"> </w:t>
      </w:r>
      <w:r w:rsidRPr="00F95EBF">
        <w:rPr>
          <w:szCs w:val="26"/>
        </w:rPr>
        <w:t xml:space="preserve">the CalPERS board </w:t>
      </w:r>
      <w:r>
        <w:rPr>
          <w:szCs w:val="26"/>
        </w:rPr>
        <w:t>had plenary authority under Proposition 162 “</w:t>
      </w:r>
      <w:r w:rsidRPr="00F95EBF">
        <w:rPr>
          <w:szCs w:val="26"/>
        </w:rPr>
        <w:t xml:space="preserve">to appoint . . . exempt employees.”  (Assem. Com. on Public Employees and Retirement, 3d reading analysis of Sen. Bill No. 269 (2003-2004 Reg. Sess.) Sept. 9, 2003.) </w:t>
      </w:r>
      <w:r w:rsidR="007205DB">
        <w:rPr>
          <w:szCs w:val="26"/>
        </w:rPr>
        <w:t xml:space="preserve"> </w:t>
      </w:r>
      <w:r w:rsidRPr="00F95EBF">
        <w:rPr>
          <w:szCs w:val="26"/>
        </w:rPr>
        <w:t xml:space="preserve">In 2000, however, the Department of Personnel Administration denied the CalPERS board’s request to increase compensation for certain portfolio managers.  (See </w:t>
      </w:r>
      <w:r w:rsidRPr="00F95EBF">
        <w:rPr>
          <w:i/>
          <w:iCs/>
          <w:szCs w:val="26"/>
        </w:rPr>
        <w:t>ibid.</w:t>
      </w:r>
      <w:r w:rsidRPr="00F95EBF">
        <w:rPr>
          <w:szCs w:val="26"/>
        </w:rPr>
        <w:t xml:space="preserve">) </w:t>
      </w:r>
      <w:r w:rsidR="005A18DB">
        <w:rPr>
          <w:szCs w:val="26"/>
        </w:rPr>
        <w:t xml:space="preserve"> </w:t>
      </w:r>
      <w:r w:rsidRPr="00F95EBF">
        <w:rPr>
          <w:szCs w:val="26"/>
        </w:rPr>
        <w:t xml:space="preserve">The court in </w:t>
      </w:r>
      <w:r w:rsidRPr="00F95EBF">
        <w:rPr>
          <w:i/>
          <w:iCs/>
          <w:szCs w:val="26"/>
        </w:rPr>
        <w:t>Westly</w:t>
      </w:r>
      <w:r w:rsidRPr="00F95EBF">
        <w:rPr>
          <w:szCs w:val="26"/>
        </w:rPr>
        <w:t xml:space="preserve"> </w:t>
      </w:r>
      <w:r>
        <w:rPr>
          <w:szCs w:val="26"/>
        </w:rPr>
        <w:t>held</w:t>
      </w:r>
      <w:r w:rsidRPr="00F95EBF">
        <w:rPr>
          <w:szCs w:val="26"/>
        </w:rPr>
        <w:t xml:space="preserve"> </w:t>
      </w:r>
      <w:r>
        <w:rPr>
          <w:szCs w:val="26"/>
        </w:rPr>
        <w:t xml:space="preserve">that </w:t>
      </w:r>
      <w:r w:rsidRPr="00F95EBF">
        <w:rPr>
          <w:szCs w:val="26"/>
        </w:rPr>
        <w:t>the CalPERS board’s authority under Proposition 162 did not include “the administration of personnel matters</w:t>
      </w:r>
      <w:r>
        <w:rPr>
          <w:szCs w:val="26"/>
        </w:rPr>
        <w:t>,</w:t>
      </w:r>
      <w:r w:rsidRPr="00F95EBF">
        <w:rPr>
          <w:szCs w:val="26"/>
        </w:rPr>
        <w:t>” such as compensation for CalPERS’ employees</w:t>
      </w:r>
      <w:r w:rsidR="008B78BB">
        <w:rPr>
          <w:szCs w:val="26"/>
        </w:rPr>
        <w:t>,</w:t>
      </w:r>
      <w:r>
        <w:rPr>
          <w:szCs w:val="26"/>
        </w:rPr>
        <w:t xml:space="preserve"> and that </w:t>
      </w:r>
      <w:r>
        <w:t xml:space="preserve">the authority Proposition 162 gave retirement boards </w:t>
      </w:r>
      <w:r w:rsidRPr="004878F3">
        <w:t>was “limited to actuarial services and to the protection and delivery of the assets, benefits, and services for which the Board has a fiduciary responsibility.”</w:t>
      </w:r>
      <w:r>
        <w:t xml:space="preserve"> </w:t>
      </w:r>
      <w:r w:rsidRPr="004878F3">
        <w:t xml:space="preserve"> (</w:t>
      </w:r>
      <w:r>
        <w:rPr>
          <w:i/>
          <w:iCs/>
        </w:rPr>
        <w:t>Westly</w:t>
      </w:r>
      <w:r>
        <w:t xml:space="preserve">, </w:t>
      </w:r>
      <w:r w:rsidRPr="004878F3">
        <w:t xml:space="preserve">at </w:t>
      </w:r>
      <w:r>
        <w:t>pp. </w:t>
      </w:r>
      <w:r w:rsidRPr="004878F3">
        <w:t>1110</w:t>
      </w:r>
      <w:r>
        <w:t xml:space="preserve">, 1112.) </w:t>
      </w:r>
    </w:p>
    <w:p w:rsidR="00B7159A" w:rsidP="009A51EA" w14:paraId="3256268A" w14:textId="05C711E5">
      <w:pPr>
        <w:spacing w:line="288" w:lineRule="auto"/>
        <w:ind w:firstLine="720"/>
      </w:pPr>
      <w:r>
        <w:t xml:space="preserve">Following </w:t>
      </w:r>
      <w:r w:rsidR="0063304D">
        <w:t xml:space="preserve">the </w:t>
      </w:r>
      <w:r>
        <w:t>County c</w:t>
      </w:r>
      <w:r w:rsidR="006148C0">
        <w:t xml:space="preserve">ounsel’s position, the </w:t>
      </w:r>
      <w:r w:rsidR="00335346">
        <w:t xml:space="preserve">County </w:t>
      </w:r>
      <w:r>
        <w:t>chief executive o</w:t>
      </w:r>
      <w:r w:rsidR="00D5150E">
        <w:t>fficer</w:t>
      </w:r>
      <w:r w:rsidR="00274717">
        <w:t xml:space="preserve"> stated</w:t>
      </w:r>
      <w:r w:rsidR="00133CFA">
        <w:t xml:space="preserve"> </w:t>
      </w:r>
      <w:r w:rsidR="006148C0">
        <w:t xml:space="preserve">in a May 2018 letter to the Board of Supervisors that she </w:t>
      </w:r>
      <w:r>
        <w:t xml:space="preserve">had </w:t>
      </w:r>
      <w:r w:rsidR="00133CFA">
        <w:t xml:space="preserve">evaluated the </w:t>
      </w:r>
      <w:r w:rsidR="006148C0">
        <w:t xml:space="preserve">new </w:t>
      </w:r>
      <w:r w:rsidR="00133CFA">
        <w:t xml:space="preserve">positions </w:t>
      </w:r>
      <w:r w:rsidR="006148C0">
        <w:t xml:space="preserve">proposed by LACERA </w:t>
      </w:r>
      <w:r w:rsidR="00133CFA">
        <w:t>“for alignment with the existing LACERA and County organizational structure</w:t>
      </w:r>
      <w:r w:rsidR="006148C0">
        <w:t>.</w:t>
      </w:r>
      <w:r w:rsidR="00133CFA">
        <w:t xml:space="preserve">” </w:t>
      </w:r>
      <w:r w:rsidR="007205DB">
        <w:t xml:space="preserve"> </w:t>
      </w:r>
      <w:r w:rsidR="006148C0">
        <w:t xml:space="preserve">Based on that review, the County </w:t>
      </w:r>
      <w:r>
        <w:t xml:space="preserve">chief executive officer </w:t>
      </w:r>
      <w:r w:rsidR="00133CFA">
        <w:t xml:space="preserve">determined </w:t>
      </w:r>
      <w:r>
        <w:t xml:space="preserve">that </w:t>
      </w:r>
      <w:r w:rsidR="00133CFA">
        <w:t>numerous proposed</w:t>
      </w:r>
      <w:r>
        <w:t xml:space="preserve"> positions were “not necessary”</w:t>
      </w:r>
      <w:r w:rsidR="00133CFA">
        <w:t xml:space="preserve"> and</w:t>
      </w:r>
      <w:r>
        <w:t xml:space="preserve"> that </w:t>
      </w:r>
      <w:r w:rsidR="00133CFA">
        <w:t xml:space="preserve">others </w:t>
      </w:r>
      <w:r w:rsidR="006148C0">
        <w:t>merited</w:t>
      </w:r>
      <w:r w:rsidR="00133CFA">
        <w:t xml:space="preserve"> lower salaries than those adopted by LACERA. </w:t>
      </w:r>
      <w:r w:rsidR="007205DB">
        <w:t xml:space="preserve"> </w:t>
      </w:r>
      <w:r w:rsidR="0071107C">
        <w:t xml:space="preserve">In June 2018 the County drafted and adopted </w:t>
      </w:r>
      <w:r>
        <w:t>a</w:t>
      </w:r>
      <w:r w:rsidR="0071107C">
        <w:t xml:space="preserve"> salary ordinance for LACERA employees. </w:t>
      </w:r>
    </w:p>
    <w:p w:rsidR="007341C6" w:rsidP="009A51EA" w14:paraId="365ABC0F" w14:textId="77777777">
      <w:pPr>
        <w:spacing w:line="288" w:lineRule="auto"/>
        <w:ind w:firstLine="720"/>
      </w:pPr>
    </w:p>
    <w:p w:rsidR="00BC5B52" w:rsidRPr="00F21A16" w:rsidP="00BC5B52" w14:paraId="4A34912A" w14:textId="6C4A047B">
      <w:pPr>
        <w:keepNext/>
        <w:spacing w:line="288" w:lineRule="auto"/>
        <w:ind w:left="1440" w:hanging="720"/>
        <w:rPr>
          <w:i/>
          <w:iCs/>
        </w:rPr>
      </w:pPr>
      <w:r>
        <w:t>F.</w:t>
      </w:r>
      <w:r>
        <w:tab/>
      </w:r>
      <w:r>
        <w:rPr>
          <w:i/>
          <w:iCs/>
        </w:rPr>
        <w:t xml:space="preserve">LACERA </w:t>
      </w:r>
      <w:r w:rsidR="004F3A7A">
        <w:rPr>
          <w:i/>
          <w:iCs/>
        </w:rPr>
        <w:t>Sues</w:t>
      </w:r>
      <w:r>
        <w:rPr>
          <w:i/>
          <w:iCs/>
        </w:rPr>
        <w:t xml:space="preserve"> the County and Board of Supervisors</w:t>
      </w:r>
    </w:p>
    <w:p w:rsidR="00A327AE" w:rsidP="00BF1309" w14:paraId="6DEE296B" w14:textId="076BB5E8">
      <w:pPr>
        <w:spacing w:line="288" w:lineRule="auto"/>
        <w:ind w:firstLine="720"/>
      </w:pPr>
      <w:r>
        <w:t xml:space="preserve">For several years </w:t>
      </w:r>
      <w:r w:rsidR="00BC5B52">
        <w:t>LACERA attempted to negotiate</w:t>
      </w:r>
      <w:r w:rsidR="00172BF6">
        <w:t xml:space="preserve"> </w:t>
      </w:r>
      <w:r w:rsidR="00BC5B52">
        <w:t xml:space="preserve">with the County over the positions </w:t>
      </w:r>
      <w:r w:rsidR="00FA1ECD">
        <w:t xml:space="preserve">the </w:t>
      </w:r>
      <w:r w:rsidR="00BC5B52">
        <w:t xml:space="preserve">LACERA </w:t>
      </w:r>
      <w:r w:rsidR="002E5B01">
        <w:t xml:space="preserve">Boards </w:t>
      </w:r>
      <w:r w:rsidR="00FA1ECD">
        <w:t xml:space="preserve">approved </w:t>
      </w:r>
      <w:r w:rsidR="001A125F">
        <w:t>in 2017 but could not fund</w:t>
      </w:r>
      <w:r w:rsidR="00BC5B52">
        <w:t xml:space="preserve"> </w:t>
      </w:r>
      <w:r w:rsidR="001A125F">
        <w:t xml:space="preserve">without the Board of Supervisors amending the County’s salary ordinance. </w:t>
      </w:r>
      <w:r w:rsidR="00561D52">
        <w:t xml:space="preserve"> </w:t>
      </w:r>
      <w:r w:rsidR="00FA1ECD">
        <w:t>In</w:t>
      </w:r>
      <w:r w:rsidR="000D6AD1">
        <w:t> </w:t>
      </w:r>
      <w:r>
        <w:t xml:space="preserve">2020 </w:t>
      </w:r>
      <w:r w:rsidR="00FA1ECD">
        <w:t xml:space="preserve">LACERA’s </w:t>
      </w:r>
      <w:r>
        <w:t>chief executive o</w:t>
      </w:r>
      <w:r w:rsidR="00D5150E">
        <w:t>fficer</w:t>
      </w:r>
      <w:r w:rsidR="00FA1ECD">
        <w:t xml:space="preserve"> sent </w:t>
      </w:r>
      <w:r w:rsidR="00B40F9A">
        <w:t xml:space="preserve">a report to the County </w:t>
      </w:r>
      <w:r>
        <w:t>chief executive o</w:t>
      </w:r>
      <w:r w:rsidR="00D5150E">
        <w:t xml:space="preserve">fficer </w:t>
      </w:r>
      <w:r w:rsidR="00B40F9A">
        <w:t xml:space="preserve">detailing LACERA’s need for certain organizational and management changes to address strategic priorities, including accelerating LACERA’s performance, enhancing efficiency and productivity, and improving member services. </w:t>
      </w:r>
      <w:r w:rsidR="00561D52">
        <w:t xml:space="preserve"> </w:t>
      </w:r>
      <w:r w:rsidR="00B40F9A">
        <w:t xml:space="preserve">The report again recommended </w:t>
      </w:r>
      <w:r>
        <w:t xml:space="preserve">many of the personnel changes adopted by the LACERA </w:t>
      </w:r>
      <w:r w:rsidR="00FC1AA0">
        <w:t>B</w:t>
      </w:r>
      <w:r>
        <w:t xml:space="preserve">oards in 2017 but rejected by the Board of Supervisors. </w:t>
      </w:r>
    </w:p>
    <w:p w:rsidR="009139C1" w:rsidP="00BF1309" w14:paraId="73E8BC7E" w14:textId="53699F86">
      <w:pPr>
        <w:spacing w:line="288" w:lineRule="auto"/>
        <w:ind w:firstLine="720"/>
      </w:pPr>
      <w:r>
        <w:t xml:space="preserve">Based on the 2020 report, </w:t>
      </w:r>
      <w:r w:rsidR="00815CEE">
        <w:t xml:space="preserve">the </w:t>
      </w:r>
      <w:r>
        <w:t>LACERA</w:t>
      </w:r>
      <w:r w:rsidR="00815CEE">
        <w:t xml:space="preserve"> B</w:t>
      </w:r>
      <w:r>
        <w:t xml:space="preserve">oards approved and submitted to the </w:t>
      </w:r>
      <w:r w:rsidR="002C7C81">
        <w:t xml:space="preserve">Board of Supervisors to include in the </w:t>
      </w:r>
      <w:r w:rsidR="0087381F">
        <w:t xml:space="preserve">2021 </w:t>
      </w:r>
      <w:r w:rsidR="002C7C81">
        <w:t>County salary ordinance</w:t>
      </w:r>
      <w:r>
        <w:t xml:space="preserve"> 11 classifications and salaries</w:t>
      </w:r>
      <w:r w:rsidR="00D436E1">
        <w:t>,</w:t>
      </w:r>
      <w:r w:rsidR="008425BC">
        <w:t xml:space="preserve"> including several originally deemed necessary in 2017.</w:t>
      </w:r>
      <w:r>
        <w:t xml:space="preserve"> </w:t>
      </w:r>
      <w:r w:rsidR="00561D52">
        <w:t xml:space="preserve"> </w:t>
      </w:r>
      <w:r>
        <w:t xml:space="preserve">LACERA based the salary ranges on </w:t>
      </w:r>
      <w:r w:rsidR="00960647">
        <w:t>industry data</w:t>
      </w:r>
      <w:r w:rsidR="00D436E1">
        <w:t>,</w:t>
      </w:r>
      <w:r w:rsidR="00960647">
        <w:t xml:space="preserve"> including salary comparisons with comparable positions for County employees, CalPERS, and other retirement systems in Southern California. </w:t>
      </w:r>
      <w:r w:rsidR="00561D52">
        <w:t xml:space="preserve"> </w:t>
      </w:r>
      <w:r w:rsidR="002C7C81">
        <w:t xml:space="preserve">The County </w:t>
      </w:r>
      <w:r w:rsidR="00D436E1">
        <w:t>chief executive o</w:t>
      </w:r>
      <w:r w:rsidR="00D5150E">
        <w:t xml:space="preserve">fficer </w:t>
      </w:r>
      <w:r w:rsidR="00D436E1">
        <w:t>approved the position for a deputy chief investment o</w:t>
      </w:r>
      <w:r w:rsidR="002C7C81">
        <w:t xml:space="preserve">fficer, but she </w:t>
      </w:r>
      <w:r w:rsidR="00960647">
        <w:t xml:space="preserve">recommended the Board of Supervisors reject </w:t>
      </w:r>
      <w:r w:rsidR="002C7C81">
        <w:t xml:space="preserve">most of the other positions, again citing the need to “maintain[ ] alignment and consistency with the County’s compensation and classification plan.” </w:t>
      </w:r>
      <w:r w:rsidR="00561D52">
        <w:t xml:space="preserve"> </w:t>
      </w:r>
      <w:r w:rsidR="004B4577">
        <w:t xml:space="preserve">The Board of Supervisors followed the County </w:t>
      </w:r>
      <w:r w:rsidR="00D436E1">
        <w:t>chief executive officer’s</w:t>
      </w:r>
      <w:r w:rsidR="004B4577">
        <w:t xml:space="preserve"> recommendations, rejected eight of the 11 proposed positions, and lower</w:t>
      </w:r>
      <w:r>
        <w:t>ed</w:t>
      </w:r>
      <w:r w:rsidR="004B4577">
        <w:t xml:space="preserve"> </w:t>
      </w:r>
      <w:r>
        <w:t xml:space="preserve">the </w:t>
      </w:r>
      <w:r w:rsidR="004B4577">
        <w:t xml:space="preserve">salaries for two of the three </w:t>
      </w:r>
      <w:r w:rsidR="00510B07">
        <w:t>approved</w:t>
      </w:r>
      <w:r w:rsidR="004B4577">
        <w:t xml:space="preserve"> positions. </w:t>
      </w:r>
    </w:p>
    <w:p w:rsidR="000E3F54" w:rsidP="00BF1309" w14:paraId="193E1CEB" w14:textId="38E0AE63">
      <w:pPr>
        <w:spacing w:line="288" w:lineRule="auto"/>
        <w:ind w:firstLine="720"/>
      </w:pPr>
      <w:r>
        <w:t xml:space="preserve">LACERA filed this action in October 2021 </w:t>
      </w:r>
      <w:r w:rsidR="00954D40">
        <w:t>against the County and the Board of Supervisors</w:t>
      </w:r>
      <w:r w:rsidR="00D436E1">
        <w:t>,</w:t>
      </w:r>
      <w:r w:rsidR="00954D40">
        <w:t xml:space="preserve"> </w:t>
      </w:r>
      <w:r>
        <w:t xml:space="preserve">seeking a writ of mandate directing the Board of Supervisors to </w:t>
      </w:r>
      <w:r w:rsidR="00783D4D">
        <w:t>comply with section 31522.1 by adopting the salary ordinance proposed by LACERA</w:t>
      </w:r>
      <w:r>
        <w:t xml:space="preserve">. </w:t>
      </w:r>
      <w:r w:rsidR="000F3F73">
        <w:t xml:space="preserve"> </w:t>
      </w:r>
      <w:r>
        <w:t xml:space="preserve">LACERA also sought a declaration that </w:t>
      </w:r>
      <w:r w:rsidR="00815CEE">
        <w:t xml:space="preserve">the </w:t>
      </w:r>
      <w:r>
        <w:t>LACERA</w:t>
      </w:r>
      <w:r w:rsidR="000D6AD1">
        <w:t> </w:t>
      </w:r>
      <w:r w:rsidR="00815CEE">
        <w:t>B</w:t>
      </w:r>
      <w:r>
        <w:t xml:space="preserve">oards “have authority </w:t>
      </w:r>
      <w:r w:rsidR="00A6038E">
        <w:t xml:space="preserve">over </w:t>
      </w:r>
      <w:r w:rsidR="00B44A46">
        <w:t xml:space="preserve">LACERA’s management and administration, which includes the authority to appoint and set classifications, titles, and salaries for the personnel LACERA needs to administer the retirement system, and that the County is obligated, and has a ministerial duty, to implement such personnel and salary decisions by including them in County salary ordinances.” </w:t>
      </w:r>
    </w:p>
    <w:p w:rsidR="00A05115" w:rsidP="00815CEE" w14:paraId="20AFD4C2" w14:textId="60EBA403">
      <w:pPr>
        <w:spacing w:line="288" w:lineRule="auto"/>
        <w:ind w:firstLine="720"/>
      </w:pPr>
      <w:r>
        <w:t>LACERA alleged</w:t>
      </w:r>
      <w:r w:rsidR="000E3F54">
        <w:t xml:space="preserve"> the </w:t>
      </w:r>
      <w:r w:rsidR="00DD31D2">
        <w:t xml:space="preserve">“power to ‘manage’ the retirement system and </w:t>
      </w:r>
      <w:r w:rsidR="00962A41">
        <w:t xml:space="preserve">to ‘appoint’ the personnel ‘required to accomplish the necessary work’” granted </w:t>
      </w:r>
      <w:r w:rsidR="001B45C2">
        <w:t>by Proposition 162 and</w:t>
      </w:r>
      <w:r w:rsidR="00962A41">
        <w:t xml:space="preserve"> </w:t>
      </w:r>
      <w:r w:rsidR="00B841E3">
        <w:t xml:space="preserve">CERL “inherently </w:t>
      </w:r>
      <w:r w:rsidR="00B21EAE">
        <w:t>includes the power to determine which employee classifications will be created</w:t>
      </w:r>
      <w:r w:rsidR="00815CEE">
        <w:t xml:space="preserve"> including</w:t>
      </w:r>
      <w:r w:rsidR="00B21EAE">
        <w:t xml:space="preserve"> the</w:t>
      </w:r>
      <w:r w:rsidR="00815CEE">
        <w:t xml:space="preserve"> qualifications and </w:t>
      </w:r>
      <w:r w:rsidR="00B21EAE">
        <w:t>duties</w:t>
      </w:r>
      <w:r w:rsidR="00815CEE">
        <w:t xml:space="preserve"> of the persons employed in those classes</w:t>
      </w:r>
      <w:r w:rsidR="00B21EAE">
        <w:t xml:space="preserve">, which employees report to whom, the salaries for those employees, and other terms and conditions of employment; otherwise, the power to appoint and to manage would be meaningless.” </w:t>
      </w:r>
      <w:r w:rsidR="000170E7">
        <w:t xml:space="preserve"> </w:t>
      </w:r>
      <w:r w:rsidR="0088298A">
        <w:t xml:space="preserve">LACERA alleged </w:t>
      </w:r>
      <w:r w:rsidR="000A092F">
        <w:t xml:space="preserve">“deciding which staff are needed, how those staff should be organized, and what salaries are necessary to recruit and incentivize those staff are all inherent to the power to manage and appoint personnel.” </w:t>
      </w:r>
      <w:r w:rsidR="000F3F73">
        <w:t xml:space="preserve"> </w:t>
      </w:r>
      <w:r w:rsidR="00471F42">
        <w:t xml:space="preserve">LACERA further alleged </w:t>
      </w:r>
      <w:r w:rsidR="000170E7">
        <w:t xml:space="preserve">“[e]stablishing classifications and setting salaries is inherent to LACERA’s ability to recruit, hire, and manage the staff necessary to administer the system.” </w:t>
      </w:r>
      <w:r w:rsidR="000F3F73">
        <w:t xml:space="preserve"> </w:t>
      </w:r>
      <w:r>
        <w:t>LACERA</w:t>
      </w:r>
      <w:r w:rsidR="00BF5214">
        <w:t>’s petition</w:t>
      </w:r>
      <w:r w:rsidR="00BE6720">
        <w:t xml:space="preserve"> and complaint</w:t>
      </w:r>
      <w:r>
        <w:t xml:space="preserve"> excerpted a letter </w:t>
      </w:r>
      <w:r w:rsidR="000E7F00">
        <w:t xml:space="preserve">from </w:t>
      </w:r>
      <w:r w:rsidR="00815CEE">
        <w:t>LACERA’s</w:t>
      </w:r>
      <w:r>
        <w:t xml:space="preserve"> </w:t>
      </w:r>
      <w:r w:rsidR="000E7F00">
        <w:t>chief executive o</w:t>
      </w:r>
      <w:r w:rsidR="00D5150E">
        <w:t xml:space="preserve">fficer </w:t>
      </w:r>
      <w:r>
        <w:t xml:space="preserve">to </w:t>
      </w:r>
      <w:r w:rsidR="00961AE9">
        <w:t xml:space="preserve">the Board of Supervisors stating </w:t>
      </w:r>
      <w:r w:rsidR="00BE6720">
        <w:t xml:space="preserve">the Board of Supervisors’ </w:t>
      </w:r>
      <w:r w:rsidR="00961AE9">
        <w:t>refusal to amend the County salary ordinance as requested by the LACERA Boards “</w:t>
      </w:r>
      <w:r w:rsidR="0096565C">
        <w:t>adversely affected the administration of the LACERA retirement system” by “limiting LACERA’s ability to strate</w:t>
      </w:r>
      <w:r w:rsidR="00D03250">
        <w:t>g</w:t>
      </w:r>
      <w:r w:rsidR="0096565C">
        <w:t>ize, monit</w:t>
      </w:r>
      <w:r w:rsidR="00D03250">
        <w:t>or</w:t>
      </w:r>
      <w:r w:rsidR="0096565C">
        <w:t xml:space="preserve"> and manage its investment portfolio, impairing LACERA’s</w:t>
      </w:r>
      <w:r w:rsidR="00D03250">
        <w:t xml:space="preserve"> ability to support and provide services across all divisions of the fund, harming staff retention and morale, and making it difficult for LACERA to hire permanent staff who could assist with improving and ensuring information system security.” </w:t>
      </w:r>
    </w:p>
    <w:p w:rsidR="00646C17" w:rsidP="00BF1309" w14:paraId="36F7DE4F" w14:textId="0F180CFC">
      <w:pPr>
        <w:spacing w:line="288" w:lineRule="auto"/>
        <w:ind w:firstLine="720"/>
      </w:pPr>
      <w:r>
        <w:t xml:space="preserve">LACERA also alleged </w:t>
      </w:r>
      <w:r w:rsidR="000E7F00">
        <w:t xml:space="preserve">that the cost of </w:t>
      </w:r>
      <w:r>
        <w:t xml:space="preserve">salaries </w:t>
      </w:r>
      <w:r w:rsidR="004425EA">
        <w:t xml:space="preserve">for LACERA </w:t>
      </w:r>
      <w:r>
        <w:t xml:space="preserve">employees </w:t>
      </w:r>
      <w:r w:rsidR="004425EA">
        <w:t xml:space="preserve">is </w:t>
      </w:r>
      <w:r w:rsidR="00D5150E">
        <w:t xml:space="preserve">one of LACERA’s </w:t>
      </w:r>
      <w:r>
        <w:t xml:space="preserve">largest </w:t>
      </w:r>
      <w:r w:rsidR="00D5150E">
        <w:t xml:space="preserve">budget items </w:t>
      </w:r>
      <w:r w:rsidR="004425EA">
        <w:t>and</w:t>
      </w:r>
      <w:r w:rsidR="000E7F00">
        <w:t xml:space="preserve"> that</w:t>
      </w:r>
      <w:r w:rsidR="004425EA">
        <w:t xml:space="preserve"> </w:t>
      </w:r>
      <w:r w:rsidR="002E15D1">
        <w:t>the County was “usurping the budget-making authority</w:t>
      </w:r>
      <w:r w:rsidR="00293CA1">
        <w:t>” section</w:t>
      </w:r>
      <w:r w:rsidR="00180B95">
        <w:t> </w:t>
      </w:r>
      <w:r w:rsidR="00293CA1">
        <w:t xml:space="preserve">31580.2 </w:t>
      </w:r>
      <w:r w:rsidR="00180B95">
        <w:t xml:space="preserve">granted </w:t>
      </w:r>
      <w:r w:rsidR="00293CA1">
        <w:t>to the LACERA Boards</w:t>
      </w:r>
      <w:r w:rsidR="00D5150E">
        <w:t xml:space="preserve"> by exerting control over the salaries of LACERA personnel</w:t>
      </w:r>
      <w:r w:rsidR="00293CA1">
        <w:t xml:space="preserve">. </w:t>
      </w:r>
      <w:r w:rsidR="000F3F73">
        <w:t xml:space="preserve"> </w:t>
      </w:r>
      <w:r w:rsidR="00C54915">
        <w:t xml:space="preserve">LACERA further alleged such interference </w:t>
      </w:r>
      <w:r w:rsidR="009E4FD3">
        <w:t xml:space="preserve">“forces” </w:t>
      </w:r>
      <w:r w:rsidR="00815CEE">
        <w:t xml:space="preserve">the </w:t>
      </w:r>
      <w:r w:rsidR="009E4FD3">
        <w:t>LACERA</w:t>
      </w:r>
      <w:r w:rsidR="00180B95">
        <w:t> </w:t>
      </w:r>
      <w:r w:rsidR="009E4FD3">
        <w:t>Boards “to seek permission, and to take instruction, from the county before making any classification and salary decisions</w:t>
      </w:r>
      <w:r w:rsidR="00AB5280">
        <w:t>,” which conflict</w:t>
      </w:r>
      <w:r w:rsidR="00180B95">
        <w:t>ed</w:t>
      </w:r>
      <w:r w:rsidR="00AB5280">
        <w:t xml:space="preserve"> with LACERA’s fiduciary duty under Proposition 162 to </w:t>
      </w:r>
      <w:r w:rsidR="00F872E3">
        <w:t xml:space="preserve">administer the retirement system solely in the interests of participants and their beneficiaries. </w:t>
      </w:r>
      <w:r w:rsidR="000F3F73">
        <w:t xml:space="preserve"> </w:t>
      </w:r>
      <w:r w:rsidR="00987B57">
        <w:t>As alleged by LACERA,</w:t>
      </w:r>
      <w:r w:rsidR="00CD22CD">
        <w:t xml:space="preserve"> its</w:t>
      </w:r>
      <w:r w:rsidR="00987B57">
        <w:t xml:space="preserve"> “Boards cannot simultaneously owe an exclusive duty solely to participants and beneficiaries while being subordinate to County executives, who have dut</w:t>
      </w:r>
      <w:r w:rsidR="00815CEE">
        <w:t>i</w:t>
      </w:r>
      <w:r w:rsidR="00987B57">
        <w:t>es to the general population and elected officials.</w:t>
      </w:r>
      <w:r w:rsidR="00272309">
        <w:t xml:space="preserve">” </w:t>
      </w:r>
    </w:p>
    <w:p w:rsidR="00646C17" w:rsidP="00BF1309" w14:paraId="1EEDDBCB" w14:textId="77777777">
      <w:pPr>
        <w:spacing w:line="288" w:lineRule="auto"/>
        <w:ind w:firstLine="720"/>
      </w:pPr>
    </w:p>
    <w:p w:rsidR="00646C17" w:rsidRPr="00646C17" w:rsidP="00646C17" w14:paraId="2615C620" w14:textId="0143BCC9">
      <w:pPr>
        <w:keepNext/>
        <w:spacing w:line="288" w:lineRule="auto"/>
        <w:ind w:left="1440" w:hanging="720"/>
        <w:rPr>
          <w:i/>
          <w:iCs/>
        </w:rPr>
      </w:pPr>
      <w:r>
        <w:t>G.</w:t>
      </w:r>
      <w:r>
        <w:tab/>
      </w:r>
      <w:r>
        <w:rPr>
          <w:i/>
          <w:iCs/>
        </w:rPr>
        <w:t xml:space="preserve">Following </w:t>
      </w:r>
      <w:r w:rsidR="00B66D7F">
        <w:rPr>
          <w:i/>
          <w:iCs/>
        </w:rPr>
        <w:t xml:space="preserve">(and Bound by) </w:t>
      </w:r>
      <w:r>
        <w:t>Westly</w:t>
      </w:r>
      <w:r>
        <w:rPr>
          <w:i/>
          <w:iCs/>
        </w:rPr>
        <w:t>, the Trial Court Enters Judgment for the County and the Board of Supervisors</w:t>
      </w:r>
    </w:p>
    <w:p w:rsidR="00587455" w:rsidP="00BF1309" w14:paraId="5C72EB5D" w14:textId="3C76B879">
      <w:pPr>
        <w:spacing w:line="288" w:lineRule="auto"/>
        <w:ind w:firstLine="720"/>
      </w:pPr>
      <w:r>
        <w:t xml:space="preserve">The trial court </w:t>
      </w:r>
      <w:r w:rsidR="007322B5">
        <w:t>ruled against</w:t>
      </w:r>
      <w:r>
        <w:t xml:space="preserve"> LACERA.  </w:t>
      </w:r>
      <w:r w:rsidR="009D3FC9">
        <w:t xml:space="preserve">Citing </w:t>
      </w:r>
      <w:r w:rsidR="00B73C5A">
        <w:rPr>
          <w:i/>
          <w:iCs/>
        </w:rPr>
        <w:t>Westly</w:t>
      </w:r>
      <w:r w:rsidR="009D3FC9">
        <w:t xml:space="preserve">, the court ruled </w:t>
      </w:r>
      <w:r w:rsidR="00F62452">
        <w:t xml:space="preserve">the </w:t>
      </w:r>
      <w:r w:rsidR="00B73C5A">
        <w:t xml:space="preserve">plenary authority </w:t>
      </w:r>
      <w:r w:rsidR="00F62452">
        <w:t xml:space="preserve">of LACERA’s Boards </w:t>
      </w:r>
      <w:r w:rsidR="00D5150E">
        <w:t xml:space="preserve">is limited </w:t>
      </w:r>
      <w:r w:rsidR="00B73C5A">
        <w:t xml:space="preserve">to </w:t>
      </w:r>
      <w:r w:rsidR="00954D40">
        <w:t>managing</w:t>
      </w:r>
      <w:r w:rsidR="00B73C5A">
        <w:t xml:space="preserve"> the retirement system’s “</w:t>
      </w:r>
      <w:r w:rsidRPr="00954D40" w:rsidR="00B73C5A">
        <w:t>assets</w:t>
      </w:r>
      <w:r w:rsidR="00B73C5A">
        <w:t xml:space="preserve"> and </w:t>
      </w:r>
      <w:r w:rsidR="00954D40">
        <w:t>their delivery to members and beneficiaries</w:t>
      </w:r>
      <w:r w:rsidR="00B73C5A">
        <w:t xml:space="preserve">.” </w:t>
      </w:r>
      <w:r w:rsidR="000F3F73">
        <w:t xml:space="preserve"> </w:t>
      </w:r>
      <w:r w:rsidR="009D5E72">
        <w:t xml:space="preserve">As a result, </w:t>
      </w:r>
      <w:r w:rsidR="00E701C2">
        <w:t xml:space="preserve">the court </w:t>
      </w:r>
      <w:r>
        <w:t>concluded</w:t>
      </w:r>
      <w:r w:rsidR="00B66D7F">
        <w:t>,</w:t>
      </w:r>
      <w:r>
        <w:t xml:space="preserve"> </w:t>
      </w:r>
      <w:r w:rsidR="009D5E72">
        <w:t>the LACERA</w:t>
      </w:r>
      <w:r w:rsidR="007322B5">
        <w:t xml:space="preserve"> </w:t>
      </w:r>
      <w:r w:rsidR="00E701C2">
        <w:t>B</w:t>
      </w:r>
      <w:r w:rsidR="009D5E72">
        <w:t xml:space="preserve">oards did not have authority under Proposition 162 to “classify its employees and set their salaries.” </w:t>
      </w:r>
    </w:p>
    <w:p w:rsidR="00BC5B52" w:rsidP="00BF1309" w14:paraId="2DB39AD0" w14:textId="3F618EE1">
      <w:pPr>
        <w:spacing w:line="288" w:lineRule="auto"/>
        <w:ind w:firstLine="720"/>
      </w:pPr>
      <w:r>
        <w:t xml:space="preserve">The </w:t>
      </w:r>
      <w:r w:rsidR="00587455">
        <w:t xml:space="preserve">trial </w:t>
      </w:r>
      <w:r>
        <w:t xml:space="preserve">court also </w:t>
      </w:r>
      <w:r w:rsidR="00852888">
        <w:t>ruled</w:t>
      </w:r>
      <w:r>
        <w:t xml:space="preserve"> the Board of Supervisors “has constitutional, statutory, and Charter authority to set salaries for County employees.” </w:t>
      </w:r>
      <w:r w:rsidR="000F3F73">
        <w:t xml:space="preserve"> </w:t>
      </w:r>
      <w:r w:rsidR="00852888">
        <w:t>The court found section </w:t>
      </w:r>
      <w:r>
        <w:t>31522.1 was ambiguous regarding which body</w:t>
      </w:r>
      <w:r w:rsidR="00954D40">
        <w:t>—</w:t>
      </w:r>
      <w:r>
        <w:t>the retirement board or the board of supervisors</w:t>
      </w:r>
      <w:r w:rsidR="00954D40">
        <w:t>—</w:t>
      </w:r>
      <w:r>
        <w:t>“decides the job classification and compensation of [retirement system] personnel</w:t>
      </w:r>
      <w:r w:rsidR="00852888">
        <w:t>.</w:t>
      </w:r>
      <w:r>
        <w:t xml:space="preserve">” </w:t>
      </w:r>
      <w:r w:rsidR="00852888">
        <w:t xml:space="preserve"> The court </w:t>
      </w:r>
      <w:r>
        <w:t>interpreted that ambiguity consistent with th</w:t>
      </w:r>
      <w:r w:rsidR="00852888">
        <w:t xml:space="preserve">e </w:t>
      </w:r>
      <w:r w:rsidR="007322B5">
        <w:t xml:space="preserve">court’s </w:t>
      </w:r>
      <w:r w:rsidR="00852888">
        <w:t>interpretation of Proposition </w:t>
      </w:r>
      <w:r>
        <w:t xml:space="preserve">162 </w:t>
      </w:r>
      <w:r w:rsidR="007322B5">
        <w:t>in</w:t>
      </w:r>
      <w:r>
        <w:t xml:space="preserve"> </w:t>
      </w:r>
      <w:r>
        <w:rPr>
          <w:i/>
          <w:iCs/>
        </w:rPr>
        <w:t>Westly</w:t>
      </w:r>
      <w:r w:rsidR="00954D40">
        <w:t xml:space="preserve"> and with the </w:t>
      </w:r>
      <w:r w:rsidR="00AE1596">
        <w:t xml:space="preserve">scope of </w:t>
      </w:r>
      <w:r w:rsidR="00954D40">
        <w:t xml:space="preserve">authority </w:t>
      </w:r>
      <w:r w:rsidR="00AE1596">
        <w:t xml:space="preserve">the Board of Supervisors argued it had </w:t>
      </w:r>
      <w:r w:rsidR="00954D40">
        <w:t>under the California Constitution and the County Charter</w:t>
      </w:r>
      <w:r>
        <w:t xml:space="preserve">. </w:t>
      </w:r>
      <w:r w:rsidR="00954D40">
        <w:t xml:space="preserve"> Thus, the </w:t>
      </w:r>
      <w:r w:rsidR="003F184B">
        <w:t xml:space="preserve">trial </w:t>
      </w:r>
      <w:r w:rsidR="00954D40">
        <w:t>court concluded, “the proper construction of section 31522.1 permits LACERA to make recommendations to the Board of Supervisor</w:t>
      </w:r>
      <w:r w:rsidR="001A0B46">
        <w:t>s</w:t>
      </w:r>
      <w:r w:rsidR="00954D40">
        <w:t xml:space="preserve"> for job classification and employee compensation, but the Board of Supervisors does not have a ministerial duty to rubber stamp those requests in a salary ordinance.” </w:t>
      </w:r>
      <w:r w:rsidR="000F3F73">
        <w:t xml:space="preserve"> </w:t>
      </w:r>
      <w:r w:rsidR="00954D40">
        <w:t xml:space="preserve">Instead, the court ruled, “LACERA’s appointment power remains subject to the Board of Supervisors’ constitutional and statutory authority to establish classifications and to fix compensation.” </w:t>
      </w:r>
    </w:p>
    <w:p w:rsidR="00EA3EFB" w:rsidP="00770435" w14:paraId="1A4D3450" w14:textId="72D62E01">
      <w:pPr>
        <w:spacing w:line="288" w:lineRule="auto"/>
        <w:ind w:firstLine="720"/>
      </w:pPr>
      <w:r>
        <w:t>The trial court denied LACERA’s petition for writ of mandate on December</w:t>
      </w:r>
      <w:r w:rsidR="008464AA">
        <w:t> </w:t>
      </w:r>
      <w:r>
        <w:t>22, 2022 and entered judgment for the County and the Board of Supervisors</w:t>
      </w:r>
      <w:r w:rsidR="009259E2">
        <w:t xml:space="preserve"> on </w:t>
      </w:r>
      <w:r w:rsidR="00770435">
        <w:t>January 23, 2023</w:t>
      </w:r>
      <w:r w:rsidR="009259E2">
        <w:t xml:space="preserve">. </w:t>
      </w:r>
      <w:r w:rsidR="000F3F73">
        <w:t xml:space="preserve"> </w:t>
      </w:r>
      <w:r w:rsidR="003F184B">
        <w:t xml:space="preserve">As we discuss, </w:t>
      </w:r>
      <w:r w:rsidR="009259E2">
        <w:t xml:space="preserve">LACERA timely appealed. </w:t>
      </w:r>
    </w:p>
    <w:p w:rsidR="00A34F76" w:rsidP="00770435" w14:paraId="3B826311" w14:textId="77777777">
      <w:pPr>
        <w:spacing w:line="288" w:lineRule="auto"/>
        <w:ind w:firstLine="720"/>
      </w:pPr>
    </w:p>
    <w:p w:rsidR="00E2495C" w:rsidP="006E7B06" w14:paraId="24970D45" w14:textId="71CA137D">
      <w:pPr>
        <w:keepNext/>
        <w:spacing w:line="276" w:lineRule="auto"/>
        <w:jc w:val="center"/>
        <w:rPr>
          <w:b/>
          <w:bCs/>
          <w:szCs w:val="26"/>
        </w:rPr>
      </w:pPr>
      <w:r w:rsidRPr="00DE5A47">
        <w:rPr>
          <w:b/>
          <w:bCs/>
          <w:szCs w:val="26"/>
        </w:rPr>
        <w:t>DISCUSSION</w:t>
      </w:r>
    </w:p>
    <w:p w:rsidR="006E7B06" w:rsidP="006E7B06" w14:paraId="5E31A8D2" w14:textId="77777777">
      <w:pPr>
        <w:keepNext/>
        <w:spacing w:line="276" w:lineRule="auto"/>
        <w:jc w:val="center"/>
        <w:rPr>
          <w:b/>
          <w:bCs/>
          <w:szCs w:val="26"/>
        </w:rPr>
      </w:pPr>
    </w:p>
    <w:p w:rsidR="00A34F76" w:rsidRPr="002701F1" w:rsidP="002701F1" w14:paraId="4E091DDD" w14:textId="41935C29">
      <w:pPr>
        <w:keepNext/>
        <w:spacing w:line="276" w:lineRule="auto"/>
        <w:ind w:left="720"/>
        <w:rPr>
          <w:i/>
          <w:iCs/>
          <w:szCs w:val="26"/>
        </w:rPr>
      </w:pPr>
      <w:r w:rsidRPr="002701F1">
        <w:rPr>
          <w:szCs w:val="26"/>
        </w:rPr>
        <w:t>A.</w:t>
      </w:r>
      <w:r w:rsidRPr="002701F1">
        <w:rPr>
          <w:szCs w:val="26"/>
        </w:rPr>
        <w:tab/>
      </w:r>
      <w:r>
        <w:rPr>
          <w:i/>
          <w:iCs/>
          <w:szCs w:val="26"/>
        </w:rPr>
        <w:t xml:space="preserve">LACERA’s </w:t>
      </w:r>
      <w:r w:rsidR="00F57D3F">
        <w:rPr>
          <w:i/>
          <w:iCs/>
          <w:szCs w:val="26"/>
        </w:rPr>
        <w:t xml:space="preserve">Notice of </w:t>
      </w:r>
      <w:r>
        <w:rPr>
          <w:i/>
          <w:iCs/>
          <w:szCs w:val="26"/>
        </w:rPr>
        <w:t xml:space="preserve">Appeal </w:t>
      </w:r>
      <w:r w:rsidR="00F57D3F">
        <w:rPr>
          <w:i/>
          <w:iCs/>
          <w:szCs w:val="26"/>
        </w:rPr>
        <w:t xml:space="preserve">Was </w:t>
      </w:r>
      <w:r>
        <w:rPr>
          <w:i/>
          <w:iCs/>
          <w:szCs w:val="26"/>
        </w:rPr>
        <w:t>Timely</w:t>
      </w:r>
    </w:p>
    <w:p w:rsidR="001B5943" w:rsidP="000D5CE9" w14:paraId="4D219A5D" w14:textId="060001A4">
      <w:pPr>
        <w:spacing w:line="288" w:lineRule="auto"/>
        <w:ind w:firstLine="720"/>
      </w:pPr>
      <w:r>
        <w:rPr>
          <w:szCs w:val="26"/>
        </w:rPr>
        <w:t xml:space="preserve">The County and Board of Supervisors </w:t>
      </w:r>
      <w:r w:rsidR="006A1FAE">
        <w:rPr>
          <w:szCs w:val="26"/>
        </w:rPr>
        <w:t>state</w:t>
      </w:r>
      <w:r w:rsidR="00AE7594">
        <w:rPr>
          <w:szCs w:val="26"/>
        </w:rPr>
        <w:t xml:space="preserve"> that they feel “obligated to raise one wrinkle regarding appealability” and that LA</w:t>
      </w:r>
      <w:r>
        <w:rPr>
          <w:szCs w:val="26"/>
        </w:rPr>
        <w:t xml:space="preserve">CERA’s appeal </w:t>
      </w:r>
      <w:r w:rsidR="00AE7594">
        <w:rPr>
          <w:szCs w:val="26"/>
        </w:rPr>
        <w:t>may be</w:t>
      </w:r>
      <w:r>
        <w:rPr>
          <w:szCs w:val="26"/>
        </w:rPr>
        <w:t xml:space="preserve"> untimely because LACERA’s notice of appeal identified only the judgment and not the order denying the petition for writ of mandate</w:t>
      </w:r>
      <w:r w:rsidR="00AE7594">
        <w:rPr>
          <w:szCs w:val="26"/>
        </w:rPr>
        <w:t>.</w:t>
      </w:r>
      <w:r w:rsidR="009D28F1">
        <w:rPr>
          <w:szCs w:val="26"/>
        </w:rPr>
        <w:t xml:space="preserve">  </w:t>
      </w:r>
      <w:r>
        <w:rPr>
          <w:szCs w:val="26"/>
        </w:rPr>
        <w:t>(</w:t>
      </w:r>
      <w:r w:rsidR="009D28F1">
        <w:rPr>
          <w:szCs w:val="26"/>
        </w:rPr>
        <w:t xml:space="preserve">See </w:t>
      </w:r>
      <w:r>
        <w:rPr>
          <w:i/>
          <w:iCs/>
          <w:szCs w:val="26"/>
        </w:rPr>
        <w:t>Meinhardt v. City of Sunnyvale</w:t>
      </w:r>
      <w:r>
        <w:rPr>
          <w:szCs w:val="26"/>
        </w:rPr>
        <w:t xml:space="preserve"> (2022) 76 Cal.App.</w:t>
      </w:r>
      <w:r w:rsidRPr="00943650">
        <w:rPr>
          <w:szCs w:val="26"/>
        </w:rPr>
        <w:t>5th</w:t>
      </w:r>
      <w:r>
        <w:rPr>
          <w:szCs w:val="26"/>
        </w:rPr>
        <w:t xml:space="preserve"> 43</w:t>
      </w:r>
      <w:r w:rsidR="00C9563B">
        <w:rPr>
          <w:szCs w:val="26"/>
        </w:rPr>
        <w:t>,</w:t>
      </w:r>
      <w:r>
        <w:rPr>
          <w:szCs w:val="26"/>
        </w:rPr>
        <w:t xml:space="preserve"> review granted June 15, 2022, S274147.) </w:t>
      </w:r>
      <w:r w:rsidR="00390DA5">
        <w:rPr>
          <w:szCs w:val="26"/>
        </w:rPr>
        <w:t xml:space="preserve"> </w:t>
      </w:r>
      <w:r>
        <w:rPr>
          <w:szCs w:val="26"/>
        </w:rPr>
        <w:t xml:space="preserve">The trial court’s order denying the petition for writ of mandate, however, directed the County to prepare the proposed judgment, serve it on counsel for LACERA, meet and confer over any objections, and submit the proposed judgment to the court with a declaration stating </w:t>
      </w:r>
      <w:r w:rsidR="00371561">
        <w:rPr>
          <w:szCs w:val="26"/>
        </w:rPr>
        <w:t xml:space="preserve">whether there were </w:t>
      </w:r>
      <w:r>
        <w:rPr>
          <w:szCs w:val="26"/>
        </w:rPr>
        <w:t xml:space="preserve">any unresolved objections. </w:t>
      </w:r>
      <w:r w:rsidR="00390DA5">
        <w:rPr>
          <w:szCs w:val="26"/>
        </w:rPr>
        <w:t xml:space="preserve"> </w:t>
      </w:r>
      <w:r>
        <w:rPr>
          <w:szCs w:val="26"/>
        </w:rPr>
        <w:t xml:space="preserve">The court in </w:t>
      </w:r>
      <w:r>
        <w:rPr>
          <w:i/>
          <w:iCs/>
          <w:szCs w:val="26"/>
        </w:rPr>
        <w:t xml:space="preserve">Meinhardt </w:t>
      </w:r>
      <w:r>
        <w:rPr>
          <w:szCs w:val="26"/>
        </w:rPr>
        <w:t>acknowledged an order denying a petition for writ of mandate conclusively resolves an action and becomes appealable only where “such order contemplates the taking of no further action in the case.”  (</w:t>
      </w:r>
      <w:r>
        <w:rPr>
          <w:i/>
          <w:iCs/>
          <w:szCs w:val="26"/>
        </w:rPr>
        <w:t>Id. </w:t>
      </w:r>
      <w:r>
        <w:rPr>
          <w:szCs w:val="26"/>
        </w:rPr>
        <w:t>at p. 66.)  Because the order in this case contemplated further action, it did not resolve all issues between the parties and was not appealable.  (</w:t>
      </w:r>
      <w:r w:rsidRPr="00BE7282">
        <w:rPr>
          <w:i/>
          <w:iCs/>
          <w:szCs w:val="26"/>
        </w:rPr>
        <w:t>I</w:t>
      </w:r>
      <w:r>
        <w:rPr>
          <w:i/>
          <w:iCs/>
          <w:szCs w:val="26"/>
        </w:rPr>
        <w:t>bid.</w:t>
      </w:r>
      <w:r>
        <w:rPr>
          <w:szCs w:val="26"/>
        </w:rPr>
        <w:t xml:space="preserve">; see </w:t>
      </w:r>
      <w:r>
        <w:rPr>
          <w:i/>
          <w:iCs/>
          <w:szCs w:val="26"/>
        </w:rPr>
        <w:t>Dhillon v. John Muir Health</w:t>
      </w:r>
      <w:r>
        <w:rPr>
          <w:szCs w:val="26"/>
        </w:rPr>
        <w:t xml:space="preserve"> (2017) 2 Cal.5th 1109, 1115 [order denying a petition for writ of mandate is interlocutory </w:t>
      </w:r>
      <w:r w:rsidRPr="003F794B">
        <w:rPr>
          <w:szCs w:val="26"/>
        </w:rPr>
        <w:t xml:space="preserve">where </w:t>
      </w:r>
      <w:r>
        <w:rPr>
          <w:szCs w:val="26"/>
        </w:rPr>
        <w:t xml:space="preserve">additional </w:t>
      </w:r>
      <w:r w:rsidRPr="003F794B">
        <w:rPr>
          <w:szCs w:val="26"/>
        </w:rPr>
        <w:t xml:space="preserve">judicial action is </w:t>
      </w:r>
      <w:r>
        <w:rPr>
          <w:szCs w:val="26"/>
        </w:rPr>
        <w:t xml:space="preserve">required for </w:t>
      </w:r>
      <w:r w:rsidRPr="003F794B">
        <w:rPr>
          <w:szCs w:val="26"/>
        </w:rPr>
        <w:t>a final determination of the rights of the parties</w:t>
      </w:r>
      <w:r>
        <w:rPr>
          <w:szCs w:val="26"/>
        </w:rPr>
        <w:t xml:space="preserve">]; </w:t>
      </w:r>
      <w:r w:rsidRPr="009435D5">
        <w:rPr>
          <w:i/>
          <w:iCs/>
        </w:rPr>
        <w:t>Laraway v. Pasadena Unified School Dist.</w:t>
      </w:r>
      <w:r w:rsidRPr="009435D5">
        <w:t xml:space="preserve"> (2002) 98 Cal.App.4th 579, 583</w:t>
      </w:r>
      <w:r>
        <w:t xml:space="preserve"> [an </w:t>
      </w:r>
      <w:r w:rsidRPr="009435D5">
        <w:t>order</w:t>
      </w:r>
      <w:r>
        <w:t xml:space="preserve"> denying a petition for writ of mandate is not appealable if </w:t>
      </w:r>
      <w:r w:rsidRPr="009435D5">
        <w:t>it contemplated further action</w:t>
      </w:r>
      <w:r w:rsidR="00451481">
        <w:t>,</w:t>
      </w:r>
      <w:r w:rsidRPr="009435D5">
        <w:t xml:space="preserve"> </w:t>
      </w:r>
      <w:r>
        <w:t>“</w:t>
      </w:r>
      <w:r w:rsidRPr="009435D5">
        <w:t>such as the preparation of another order or judgment</w:t>
      </w:r>
      <w:r>
        <w:t xml:space="preserve">”].)  </w:t>
      </w:r>
    </w:p>
    <w:p w:rsidR="000D5CE9" w:rsidRPr="00770435" w:rsidP="000D5CE9" w14:paraId="03DFE6D7" w14:textId="5E5BB618">
      <w:pPr>
        <w:spacing w:line="288" w:lineRule="auto"/>
        <w:ind w:firstLine="720"/>
      </w:pPr>
      <w:r>
        <w:t xml:space="preserve">Moreover, even if the order denying the petition for writ of mandate were appealable, </w:t>
      </w:r>
      <w:r w:rsidR="0076414A">
        <w:t>we</w:t>
      </w:r>
      <w:r w:rsidR="00E8438C">
        <w:t xml:space="preserve"> would</w:t>
      </w:r>
      <w:r>
        <w:t xml:space="preserve"> liberally construe the notice of appeal to include the order denying the petition for writ of mandate “‘</w:t>
      </w:r>
      <w:r w:rsidRPr="00FE53B4">
        <w:t>to protect the right of appeal if it is reasonably clear what appellant was trying to appeal from, and where the respondent could not possibly have been misled or prejudiced</w:t>
      </w:r>
      <w:r>
        <w:t>.’”</w:t>
      </w:r>
      <w:r w:rsidRPr="00671CD8">
        <w:t xml:space="preserve"> </w:t>
      </w:r>
      <w:r>
        <w:t xml:space="preserve"> </w:t>
      </w:r>
      <w:r w:rsidRPr="00671CD8">
        <w:t>(</w:t>
      </w:r>
      <w:r w:rsidRPr="00FE53B4">
        <w:rPr>
          <w:i/>
          <w:iCs/>
        </w:rPr>
        <w:t xml:space="preserve">Verceles v. Los Angeles Unified School </w:t>
      </w:r>
      <w:r w:rsidRPr="00FE53B4" w:rsidR="00943650">
        <w:rPr>
          <w:i/>
          <w:iCs/>
        </w:rPr>
        <w:t>Dist</w:t>
      </w:r>
      <w:r w:rsidR="00943650">
        <w:rPr>
          <w:i/>
          <w:iCs/>
        </w:rPr>
        <w:t>.</w:t>
      </w:r>
      <w:r w:rsidRPr="00FE53B4" w:rsidR="00943650">
        <w:t xml:space="preserve"> </w:t>
      </w:r>
      <w:r w:rsidRPr="00FE53B4">
        <w:t>(2021) 63</w:t>
      </w:r>
      <w:r>
        <w:t> </w:t>
      </w:r>
      <w:r w:rsidRPr="00FE53B4">
        <w:t>Cal.App.5th 776, 783</w:t>
      </w:r>
      <w:r>
        <w:t xml:space="preserve">; see </w:t>
      </w:r>
      <w:r w:rsidRPr="005E1566">
        <w:rPr>
          <w:i/>
          <w:iCs/>
        </w:rPr>
        <w:t>Brown v. Municipal Court</w:t>
      </w:r>
      <w:r w:rsidRPr="005E1566">
        <w:t xml:space="preserve"> (1978) 86</w:t>
      </w:r>
      <w:r w:rsidR="002D08D0">
        <w:t> </w:t>
      </w:r>
      <w:r w:rsidRPr="005E1566">
        <w:t>Cal.App.3d 357, 360</w:t>
      </w:r>
      <w:r>
        <w:t xml:space="preserve">, fn. 1 [liberally construing a notice of appeal to include a judgment following a minute order denying petition for writ of mandate but “authorizing a subsequent judgment”].)  The County and Board of Supervisors do not </w:t>
      </w:r>
      <w:r w:rsidR="00451481">
        <w:t>claim</w:t>
      </w:r>
      <w:r>
        <w:t xml:space="preserve"> they were misled or suffered prejudice from LACERA’s arguably incomplete notice of appeal.</w:t>
      </w:r>
    </w:p>
    <w:p w:rsidR="000D5CE9" w:rsidRPr="00D51A48" w:rsidP="000D5CE9" w14:paraId="3FA76D5E" w14:textId="77777777">
      <w:pPr>
        <w:spacing w:line="288" w:lineRule="auto"/>
        <w:ind w:firstLine="720"/>
        <w:rPr>
          <w:b/>
          <w:szCs w:val="26"/>
        </w:rPr>
      </w:pPr>
    </w:p>
    <w:p w:rsidR="005B2FE6" w:rsidRPr="005B2FE6" w:rsidP="005B2FE6" w14:paraId="38CDE5D9" w14:textId="5233890D">
      <w:pPr>
        <w:pStyle w:val="CaCoA-BodyText"/>
        <w:keepNext/>
        <w:spacing w:line="288" w:lineRule="auto"/>
        <w:ind w:left="1440" w:hanging="720"/>
        <w:rPr>
          <w:i/>
          <w:iCs/>
          <w:szCs w:val="26"/>
        </w:rPr>
      </w:pPr>
      <w:r>
        <w:rPr>
          <w:szCs w:val="26"/>
        </w:rPr>
        <w:t>B</w:t>
      </w:r>
      <w:r w:rsidRPr="00DE5A47" w:rsidR="000965DE">
        <w:rPr>
          <w:szCs w:val="26"/>
        </w:rPr>
        <w:t>.</w:t>
      </w:r>
      <w:r w:rsidRPr="00DE5A47" w:rsidR="000965DE">
        <w:rPr>
          <w:szCs w:val="26"/>
        </w:rPr>
        <w:tab/>
      </w:r>
      <w:r w:rsidRPr="009D63A5" w:rsidR="009D63A5">
        <w:rPr>
          <w:i/>
          <w:iCs/>
        </w:rPr>
        <w:t>Applicable Law and Standard of Review</w:t>
      </w:r>
    </w:p>
    <w:p w:rsidR="00910301" w:rsidRPr="00877DF4" w:rsidP="00AB4B09" w14:paraId="7CCE7FB9" w14:textId="153010B0">
      <w:pPr>
        <w:pStyle w:val="CaCoA-BodyText"/>
        <w:spacing w:line="288" w:lineRule="auto"/>
      </w:pPr>
      <w:r>
        <w:t>“</w:t>
      </w:r>
      <w:r w:rsidRPr="00DE3C97">
        <w:t>A writ of mandate under Code of Civil Procedure section</w:t>
      </w:r>
      <w:r w:rsidR="00D46195">
        <w:t> </w:t>
      </w:r>
      <w:r w:rsidRPr="00DE3C97">
        <w:t>1085 is a legal tool to compel a public agency to perform a legal, typically ministerial, duty.</w:t>
      </w:r>
      <w:r>
        <w:t>”  (</w:t>
      </w:r>
      <w:r w:rsidRPr="00DE3C97">
        <w:rPr>
          <w:i/>
          <w:iCs/>
        </w:rPr>
        <w:t xml:space="preserve">California Privacy Protection Agency v. Superior Court </w:t>
      </w:r>
      <w:r w:rsidR="00815CEE">
        <w:t>(2024)</w:t>
      </w:r>
      <w:r w:rsidRPr="00DE3C97">
        <w:t xml:space="preserve"> </w:t>
      </w:r>
      <w:r w:rsidR="00815CEE">
        <w:t>99 </w:t>
      </w:r>
      <w:r w:rsidR="003B74E6">
        <w:t>Cal.App.5th</w:t>
      </w:r>
      <w:r w:rsidR="00815CEE">
        <w:t xml:space="preserve"> 705</w:t>
      </w:r>
      <w:r w:rsidR="003B74E6">
        <w:t>,</w:t>
      </w:r>
      <w:r w:rsidR="00815CEE">
        <w:t xml:space="preserve"> 721</w:t>
      </w:r>
      <w:r>
        <w:t>, fn.</w:t>
      </w:r>
      <w:r w:rsidR="005C7E9C">
        <w:t> </w:t>
      </w:r>
      <w:r>
        <w:t>omitted; see</w:t>
      </w:r>
      <w:r w:rsidR="00AB4B09">
        <w:t xml:space="preserve"> </w:t>
      </w:r>
      <w:r w:rsidRPr="00AB4B09" w:rsidR="00AB4B09">
        <w:rPr>
          <w:i/>
          <w:iCs/>
        </w:rPr>
        <w:t>Alameda Health System v. Alameda County Employees</w:t>
      </w:r>
      <w:r w:rsidR="00AB4B09">
        <w:rPr>
          <w:i/>
          <w:iCs/>
        </w:rPr>
        <w:t>’</w:t>
      </w:r>
      <w:r w:rsidRPr="00AB4B09" w:rsidR="00AB4B09">
        <w:rPr>
          <w:i/>
          <w:iCs/>
        </w:rPr>
        <w:t xml:space="preserve"> Retirement Ass</w:t>
      </w:r>
      <w:r w:rsidR="0083349C">
        <w:rPr>
          <w:i/>
          <w:iCs/>
        </w:rPr>
        <w:t>n.</w:t>
      </w:r>
      <w:r w:rsidR="00AB4B09">
        <w:t xml:space="preserve"> (2024) </w:t>
      </w:r>
      <w:r w:rsidR="0091285D">
        <w:t>100</w:t>
      </w:r>
      <w:r w:rsidR="002D08D0">
        <w:t> </w:t>
      </w:r>
      <w:r w:rsidR="00AB4B09">
        <w:t xml:space="preserve">Cal.App.5th </w:t>
      </w:r>
      <w:r w:rsidRPr="00003744" w:rsidR="0091285D">
        <w:t>1159,</w:t>
      </w:r>
      <w:r w:rsidR="00AB4B09">
        <w:t xml:space="preserve"> </w:t>
      </w:r>
      <w:r w:rsidR="00CA6A20">
        <w:t>1176-1177</w:t>
      </w:r>
      <w:r w:rsidR="00AB4B09">
        <w:t>;</w:t>
      </w:r>
      <w:r>
        <w:t xml:space="preserve"> </w:t>
      </w:r>
      <w:r w:rsidRPr="001D40DD">
        <w:rPr>
          <w:i/>
          <w:iCs/>
        </w:rPr>
        <w:t>Los Angeles Waterkeeper v. State Water Resources Control B</w:t>
      </w:r>
      <w:r w:rsidR="00A62935">
        <w:rPr>
          <w:i/>
          <w:iCs/>
        </w:rPr>
        <w:t>d. </w:t>
      </w:r>
      <w:r w:rsidRPr="001D40DD">
        <w:t>(2023) 92</w:t>
      </w:r>
      <w:r>
        <w:t> </w:t>
      </w:r>
      <w:r w:rsidRPr="001D40DD">
        <w:t>Cal.App.5th 230, 265</w:t>
      </w:r>
      <w:r>
        <w:t>.)  “</w:t>
      </w:r>
      <w:r w:rsidRPr="00DE3C97">
        <w:t xml:space="preserve">A ministerial duty is an act that a public agency is required to perform in a prescribed manner under the mandate of legal authority without the exercise of judgment or opinion concerning the propriety of the act. </w:t>
      </w:r>
      <w:r>
        <w:t xml:space="preserve"> [Citation.]  </w:t>
      </w:r>
      <w:r w:rsidRPr="00DE3C97">
        <w:t>Put another way, a ministerial act is one [w]here a statute or ordinance clearly defines the specific duties or course of conduct that a governing body must take, thus eliminat[ing] any element of discretion.</w:t>
      </w:r>
      <w:r>
        <w:t xml:space="preserve">” </w:t>
      </w:r>
      <w:r w:rsidRPr="00DE3C97">
        <w:t xml:space="preserve"> (</w:t>
      </w:r>
      <w:r w:rsidRPr="00DE3C97">
        <w:rPr>
          <w:i/>
          <w:iCs/>
        </w:rPr>
        <w:t>California Privacy Protection Agency</w:t>
      </w:r>
      <w:r>
        <w:t xml:space="preserve">, at </w:t>
      </w:r>
      <w:r w:rsidR="00A62935">
        <w:t>p. </w:t>
      </w:r>
      <w:r w:rsidR="00815CEE">
        <w:t>721,</w:t>
      </w:r>
      <w:r w:rsidR="00F05BDC">
        <w:t xml:space="preserve"> </w:t>
      </w:r>
      <w:r>
        <w:t>internal quotation</w:t>
      </w:r>
      <w:r w:rsidR="00D46195">
        <w:t xml:space="preserve"> mark</w:t>
      </w:r>
      <w:r>
        <w:t>s omitted;</w:t>
      </w:r>
      <w:r w:rsidR="00451481">
        <w:t xml:space="preserve"> see</w:t>
      </w:r>
      <w:r w:rsidR="00AB4B09">
        <w:t xml:space="preserve"> </w:t>
      </w:r>
      <w:r w:rsidR="00AB4B09">
        <w:rPr>
          <w:i/>
          <w:iCs/>
        </w:rPr>
        <w:t>Alameda Health System</w:t>
      </w:r>
      <w:r w:rsidR="00AB4B09">
        <w:t xml:space="preserve">, at p. </w:t>
      </w:r>
      <w:r w:rsidR="00CA6A20">
        <w:t>1177</w:t>
      </w:r>
      <w:r w:rsidR="00AB4B09">
        <w:t>;</w:t>
      </w:r>
      <w:r>
        <w:t xml:space="preserve"> </w:t>
      </w:r>
      <w:r w:rsidRPr="001D40DD">
        <w:rPr>
          <w:i/>
          <w:iCs/>
        </w:rPr>
        <w:t>Los Angeles Waterkeeper</w:t>
      </w:r>
      <w:r>
        <w:t>, at p</w:t>
      </w:r>
      <w:r w:rsidR="00A62935">
        <w:t>p. </w:t>
      </w:r>
      <w:r>
        <w:t>265-266.</w:t>
      </w:r>
      <w:r w:rsidRPr="00DE3C97">
        <w:t>)</w:t>
      </w:r>
      <w:r w:rsidR="00877DF4">
        <w:t xml:space="preserve">  </w:t>
      </w:r>
      <w:r>
        <w:t>“</w:t>
      </w:r>
      <w:r w:rsidRPr="001D40DD">
        <w:t>The writ will issue against a county, city, or other public body, or against a public officer.</w:t>
      </w:r>
      <w:r>
        <w:t>”  (</w:t>
      </w:r>
      <w:r w:rsidRPr="001D40DD">
        <w:rPr>
          <w:i/>
          <w:iCs/>
        </w:rPr>
        <w:t>Ochoa v. Anaheim City School Dist.</w:t>
      </w:r>
      <w:r w:rsidRPr="001D40DD">
        <w:t xml:space="preserve"> (2017) 11</w:t>
      </w:r>
      <w:r>
        <w:t> </w:t>
      </w:r>
      <w:r w:rsidRPr="001D40DD">
        <w:t>Cal.App.5th 209, 223</w:t>
      </w:r>
      <w:r>
        <w:t>.)</w:t>
      </w:r>
    </w:p>
    <w:p w:rsidR="00F3203A" w:rsidRPr="0071641F" w:rsidP="0071641F" w14:paraId="238AC01E" w14:textId="16C4917A">
      <w:pPr>
        <w:pStyle w:val="CaCoA-BodyText"/>
        <w:spacing w:line="288" w:lineRule="auto"/>
      </w:pPr>
      <w:r>
        <w:t>“</w:t>
      </w:r>
      <w:r w:rsidRPr="00DE3C97">
        <w:t>To obtain a writ of mandate, ‘</w:t>
      </w:r>
      <w:r>
        <w:t>“</w:t>
      </w:r>
      <w:r w:rsidRPr="00DE3C97">
        <w:t>the petitioner must show there is no other plain, speedy, and adequate remedy; the respondent has a clear, present, and ministerial duty to act in a particular way; and the petitioner has a clear, present and beneficial right to performance of that duty.</w:t>
      </w:r>
      <w:r>
        <w:t>”’</w:t>
      </w:r>
      <w:r w:rsidRPr="00DE3C97">
        <w:t xml:space="preserve">” </w:t>
      </w:r>
      <w:r>
        <w:t xml:space="preserve"> </w:t>
      </w:r>
      <w:r w:rsidRPr="00DE3C97">
        <w:t>(</w:t>
      </w:r>
      <w:r w:rsidRPr="00DE3C97">
        <w:rPr>
          <w:i/>
          <w:iCs/>
        </w:rPr>
        <w:t>California Privacy Protection Agency v. Superior Court</w:t>
      </w:r>
      <w:r w:rsidR="004D5717">
        <w:t xml:space="preserve">, </w:t>
      </w:r>
      <w:r w:rsidR="004D5717">
        <w:rPr>
          <w:i/>
          <w:iCs/>
        </w:rPr>
        <w:t>supra</w:t>
      </w:r>
      <w:r w:rsidR="004D5717">
        <w:t>,</w:t>
      </w:r>
      <w:r w:rsidR="00815CEE">
        <w:t xml:space="preserve"> 99 </w:t>
      </w:r>
      <w:r w:rsidR="00A47240">
        <w:t xml:space="preserve">Cal.App.5th at </w:t>
      </w:r>
      <w:r w:rsidR="00A62935">
        <w:t>p. </w:t>
      </w:r>
      <w:r w:rsidR="00815CEE">
        <w:t>721</w:t>
      </w:r>
      <w:r>
        <w:t xml:space="preserve">; see </w:t>
      </w:r>
      <w:r w:rsidRPr="001D40DD">
        <w:rPr>
          <w:i/>
          <w:iCs/>
        </w:rPr>
        <w:t>Ochoa v. Anaheim City School Dist.</w:t>
      </w:r>
      <w:r>
        <w:t xml:space="preserve">, </w:t>
      </w:r>
      <w:r>
        <w:rPr>
          <w:i/>
          <w:iCs/>
        </w:rPr>
        <w:t>supra</w:t>
      </w:r>
      <w:r>
        <w:t>,</w:t>
      </w:r>
      <w:r>
        <w:rPr>
          <w:i/>
          <w:iCs/>
        </w:rPr>
        <w:t xml:space="preserve"> </w:t>
      </w:r>
      <w:r w:rsidRPr="001D40DD">
        <w:t>11</w:t>
      </w:r>
      <w:r>
        <w:t> </w:t>
      </w:r>
      <w:r w:rsidRPr="001D40DD">
        <w:t xml:space="preserve">Cal.App.5th </w:t>
      </w:r>
      <w:r>
        <w:t xml:space="preserve">at </w:t>
      </w:r>
      <w:r w:rsidR="00A62935">
        <w:t>p. </w:t>
      </w:r>
      <w:r w:rsidRPr="001D40DD">
        <w:t>223</w:t>
      </w:r>
      <w:r>
        <w:t>.</w:t>
      </w:r>
      <w:r w:rsidRPr="00DE3C97">
        <w:t xml:space="preserve">) </w:t>
      </w:r>
      <w:r>
        <w:t xml:space="preserve"> </w:t>
      </w:r>
      <w:r w:rsidR="0071641F">
        <w:t xml:space="preserve">The County </w:t>
      </w:r>
      <w:r w:rsidR="00FE2C85">
        <w:t xml:space="preserve">and the Board of Supervisors </w:t>
      </w:r>
      <w:r w:rsidR="0071641F">
        <w:t xml:space="preserve">did not argue </w:t>
      </w:r>
      <w:r w:rsidR="000504A0">
        <w:t>in the trial cour</w:t>
      </w:r>
      <w:r w:rsidR="00645527">
        <w:t>t</w:t>
      </w:r>
      <w:r w:rsidR="000504A0">
        <w:t xml:space="preserve"> </w:t>
      </w:r>
      <w:r w:rsidR="00645527">
        <w:t xml:space="preserve">and do not argue </w:t>
      </w:r>
      <w:r w:rsidR="000504A0">
        <w:t>on appeal that</w:t>
      </w:r>
      <w:r w:rsidR="00BD592A">
        <w:t xml:space="preserve">, even if the court adopted LACERA’s interpretation of Proposition 162 and section 31522.1, </w:t>
      </w:r>
      <w:r w:rsidR="0090005B">
        <w:t xml:space="preserve">LACERA </w:t>
      </w:r>
      <w:r w:rsidR="00B81AE9">
        <w:t>failed to make the requisite showing to meet this standard</w:t>
      </w:r>
      <w:r w:rsidR="0071641F">
        <w:t xml:space="preserve">.  </w:t>
      </w:r>
      <w:r w:rsidR="00D5150E">
        <w:t xml:space="preserve">(See </w:t>
      </w:r>
      <w:r w:rsidRPr="00E85A51" w:rsidR="00D5150E">
        <w:rPr>
          <w:i/>
          <w:iCs/>
        </w:rPr>
        <w:t>Schecter v. Los</w:t>
      </w:r>
      <w:r w:rsidR="0061270D">
        <w:rPr>
          <w:i/>
          <w:iCs/>
        </w:rPr>
        <w:t> </w:t>
      </w:r>
      <w:r w:rsidRPr="00E85A51" w:rsidR="00D5150E">
        <w:rPr>
          <w:i/>
          <w:iCs/>
        </w:rPr>
        <w:t>Angeles County</w:t>
      </w:r>
      <w:r w:rsidRPr="00E85A51" w:rsidR="00D5150E">
        <w:t xml:space="preserve"> (1968) 258 Cal.App.2d 391, 393</w:t>
      </w:r>
      <w:r w:rsidR="00D5150E">
        <w:t xml:space="preserve"> [affirming</w:t>
      </w:r>
      <w:r w:rsidRPr="00E85A51" w:rsidR="00D5150E">
        <w:t xml:space="preserve"> </w:t>
      </w:r>
      <w:r w:rsidR="00D46195">
        <w:t xml:space="preserve">a judgment granting a </w:t>
      </w:r>
      <w:r w:rsidRPr="00D5150E" w:rsidR="00D5150E">
        <w:t xml:space="preserve">writ of mandate ordering the Board </w:t>
      </w:r>
      <w:r w:rsidR="00D5150E">
        <w:t xml:space="preserve">of Supervisors </w:t>
      </w:r>
      <w:r w:rsidRPr="00D5150E" w:rsidR="00D5150E">
        <w:t xml:space="preserve">to amend </w:t>
      </w:r>
      <w:r w:rsidR="00D5150E">
        <w:t>a</w:t>
      </w:r>
      <w:r w:rsidRPr="00D5150E" w:rsidR="00D5150E">
        <w:t xml:space="preserve"> </w:t>
      </w:r>
      <w:r w:rsidR="00D5150E">
        <w:t>s</w:t>
      </w:r>
      <w:r w:rsidRPr="00D5150E" w:rsidR="00D5150E">
        <w:t xml:space="preserve">alary </w:t>
      </w:r>
      <w:r w:rsidR="00D5150E">
        <w:t>o</w:t>
      </w:r>
      <w:r w:rsidRPr="00D5150E" w:rsidR="00D5150E">
        <w:t xml:space="preserve">rdinance to implement </w:t>
      </w:r>
      <w:r w:rsidR="00D5150E">
        <w:t>an employment</w:t>
      </w:r>
      <w:r w:rsidRPr="00D5150E" w:rsidR="00D5150E">
        <w:t xml:space="preserve"> reclassification</w:t>
      </w:r>
      <w:r w:rsidR="00D5150E">
        <w:t>].)</w:t>
      </w:r>
    </w:p>
    <w:p w:rsidR="00877DF4" w:rsidP="00877DF4" w14:paraId="5E579F5F" w14:textId="225A13A1">
      <w:pPr>
        <w:pStyle w:val="CaCoA-BodyText"/>
        <w:spacing w:line="288" w:lineRule="auto"/>
      </w:pPr>
      <w:r w:rsidRPr="00DE3C97">
        <w:t>“‘</w:t>
      </w:r>
      <w:r>
        <w:t>“</w:t>
      </w:r>
      <w:r w:rsidRPr="00DE3C97">
        <w:t>In reviewing a judgment granting a writ of mandate, we apply the substantial evidence standard of review to the court</w:t>
      </w:r>
      <w:r>
        <w:t>’</w:t>
      </w:r>
      <w:r w:rsidRPr="00DE3C97">
        <w:t>s factual findings, but independently review its findings on legal issues. [Citation.]</w:t>
      </w:r>
      <w:r>
        <w:t xml:space="preserve">” </w:t>
      </w:r>
      <w:r w:rsidRPr="00DE3C97">
        <w:t xml:space="preserve"> [Citation.]</w:t>
      </w:r>
      <w:r>
        <w:t xml:space="preserve"> </w:t>
      </w:r>
      <w:r w:rsidRPr="00DE3C97">
        <w:t xml:space="preserve"> </w:t>
      </w:r>
      <w:r>
        <w:t>“</w:t>
      </w:r>
      <w:r w:rsidRPr="00DE3C97">
        <w:t>Where, as here, the facts are undisputed and the issue involves statutory interpretation, we exercise our independent judgment and review the matter de</w:t>
      </w:r>
      <w:r w:rsidR="00E8438C">
        <w:t> </w:t>
      </w:r>
      <w:r w:rsidRPr="00DE3C97">
        <w:t>novo.</w:t>
      </w:r>
      <w:r>
        <w:t>”</w:t>
      </w:r>
      <w:r w:rsidRPr="00DE3C97">
        <w:t>’”</w:t>
      </w:r>
      <w:r>
        <w:t xml:space="preserve">  (</w:t>
      </w:r>
      <w:r w:rsidRPr="00DE3C97">
        <w:rPr>
          <w:i/>
          <w:iCs/>
        </w:rPr>
        <w:t>California Privacy Protection Agency v. Superior Court</w:t>
      </w:r>
      <w:r w:rsidR="00933A4C">
        <w:t xml:space="preserve">, </w:t>
      </w:r>
      <w:r w:rsidR="00933A4C">
        <w:rPr>
          <w:i/>
          <w:iCs/>
        </w:rPr>
        <w:t>supra</w:t>
      </w:r>
      <w:r w:rsidR="00933A4C">
        <w:t>,</w:t>
      </w:r>
      <w:r w:rsidR="00815CEE">
        <w:t xml:space="preserve"> 99 </w:t>
      </w:r>
      <w:r w:rsidR="00933A4C">
        <w:t xml:space="preserve">Cal.App.5th at </w:t>
      </w:r>
      <w:r w:rsidR="00815CEE">
        <w:t>p</w:t>
      </w:r>
      <w:r w:rsidR="00A62935">
        <w:t>p. </w:t>
      </w:r>
      <w:r w:rsidR="00815CEE">
        <w:t>721-722</w:t>
      </w:r>
      <w:r>
        <w:t xml:space="preserve">; </w:t>
      </w:r>
      <w:r w:rsidR="00396405">
        <w:t xml:space="preserve">see </w:t>
      </w:r>
      <w:r w:rsidRPr="001D40DD">
        <w:rPr>
          <w:i/>
          <w:iCs/>
        </w:rPr>
        <w:t>Ochoa v. Anaheim City School Dist.</w:t>
      </w:r>
      <w:r>
        <w:t xml:space="preserve">, </w:t>
      </w:r>
      <w:r>
        <w:rPr>
          <w:i/>
          <w:iCs/>
        </w:rPr>
        <w:t>supra</w:t>
      </w:r>
      <w:r>
        <w:t>,</w:t>
      </w:r>
      <w:r w:rsidRPr="001D40DD">
        <w:t xml:space="preserve"> 11</w:t>
      </w:r>
      <w:r>
        <w:t> </w:t>
      </w:r>
      <w:r w:rsidRPr="001D40DD">
        <w:t xml:space="preserve">Cal.App.5th </w:t>
      </w:r>
      <w:r>
        <w:t>at p</w:t>
      </w:r>
      <w:r w:rsidR="00A62935">
        <w:t>p. </w:t>
      </w:r>
      <w:r w:rsidRPr="001D40DD">
        <w:t>223</w:t>
      </w:r>
      <w:r>
        <w:t>-</w:t>
      </w:r>
      <w:r w:rsidRPr="001D40DD">
        <w:t>224</w:t>
      </w:r>
      <w:r w:rsidR="00396405">
        <w:t xml:space="preserve">; see also </w:t>
      </w:r>
      <w:r w:rsidRPr="00C544E2" w:rsidR="00396405">
        <w:rPr>
          <w:i/>
          <w:iCs/>
        </w:rPr>
        <w:t>Greene v. Marin County Flood Control &amp; Water Conservation Dist.</w:t>
      </w:r>
      <w:r w:rsidRPr="00C544E2" w:rsidR="00396405">
        <w:t xml:space="preserve"> (2010) 49</w:t>
      </w:r>
      <w:r w:rsidR="00396405">
        <w:t> </w:t>
      </w:r>
      <w:r w:rsidRPr="00C544E2" w:rsidR="00396405">
        <w:t>Cal.4th 277, 287</w:t>
      </w:r>
      <w:r w:rsidR="00396405">
        <w:t xml:space="preserve"> [</w:t>
      </w:r>
      <w:r w:rsidR="0071641F">
        <w:t xml:space="preserve">interpretation of a </w:t>
      </w:r>
      <w:r w:rsidR="00396405">
        <w:t xml:space="preserve">ballot </w:t>
      </w:r>
      <w:r w:rsidR="007538BC">
        <w:t>initiative</w:t>
      </w:r>
      <w:r w:rsidRPr="00C544E2" w:rsidR="00396405">
        <w:t xml:space="preserve"> </w:t>
      </w:r>
      <w:r w:rsidR="0071641F">
        <w:t>is</w:t>
      </w:r>
      <w:r w:rsidR="00396405">
        <w:t xml:space="preserve"> reviewed </w:t>
      </w:r>
      <w:r w:rsidRPr="00C544E2" w:rsidR="00396405">
        <w:t>de novo</w:t>
      </w:r>
      <w:r w:rsidR="00396405">
        <w:t xml:space="preserve">]; </w:t>
      </w:r>
      <w:r w:rsidRPr="00302D11" w:rsidR="00396405">
        <w:rPr>
          <w:i/>
          <w:iCs/>
        </w:rPr>
        <w:t>City of San Diego v. San</w:t>
      </w:r>
      <w:r w:rsidR="00E14C0F">
        <w:rPr>
          <w:i/>
          <w:iCs/>
        </w:rPr>
        <w:t> </w:t>
      </w:r>
      <w:r w:rsidRPr="00302D11" w:rsidR="00396405">
        <w:rPr>
          <w:i/>
          <w:iCs/>
        </w:rPr>
        <w:t>Diego City Employees</w:t>
      </w:r>
      <w:r w:rsidR="0014699E">
        <w:rPr>
          <w:i/>
          <w:iCs/>
        </w:rPr>
        <w:t>’</w:t>
      </w:r>
      <w:r w:rsidRPr="00302D11" w:rsidR="00396405">
        <w:rPr>
          <w:i/>
          <w:iCs/>
        </w:rPr>
        <w:t xml:space="preserve"> Retirement System</w:t>
      </w:r>
      <w:r w:rsidR="000A1C7E">
        <w:t xml:space="preserve">, </w:t>
      </w:r>
      <w:r w:rsidRPr="000A1C7E" w:rsidR="000A1C7E">
        <w:rPr>
          <w:i/>
          <w:iCs/>
        </w:rPr>
        <w:t>supra</w:t>
      </w:r>
      <w:r w:rsidR="000A1C7E">
        <w:t xml:space="preserve">, </w:t>
      </w:r>
      <w:r w:rsidRPr="00302D11" w:rsidR="00EA276A">
        <w:t>186</w:t>
      </w:r>
      <w:r w:rsidR="00EA276A">
        <w:t> </w:t>
      </w:r>
      <w:r w:rsidRPr="00302D11" w:rsidR="00396405">
        <w:t xml:space="preserve">Cal.App.4th </w:t>
      </w:r>
      <w:r w:rsidR="000A1C7E">
        <w:t>at p</w:t>
      </w:r>
      <w:r w:rsidR="000504A0">
        <w:t>. </w:t>
      </w:r>
      <w:r w:rsidRPr="00302D11" w:rsidR="00396405">
        <w:t>78</w:t>
      </w:r>
      <w:r w:rsidR="00396405">
        <w:t xml:space="preserve"> [“</w:t>
      </w:r>
      <w:r w:rsidR="0014699E">
        <w:t>[i]</w:t>
      </w:r>
      <w:r w:rsidRPr="00302D11" w:rsidR="00396405">
        <w:t>nterpretation of statutes, including local ordinances and municipal codes, is subject to de novo review</w:t>
      </w:r>
      <w:r w:rsidR="00396405">
        <w:t>”]</w:t>
      </w:r>
      <w:r>
        <w:t xml:space="preserve">.) </w:t>
      </w:r>
    </w:p>
    <w:p w:rsidR="009159EA" w:rsidP="00A667DE" w14:paraId="0305D1DD" w14:textId="77777777">
      <w:pPr>
        <w:spacing w:line="288" w:lineRule="auto"/>
        <w:ind w:firstLine="720"/>
        <w:rPr>
          <w:bCs/>
          <w:szCs w:val="26"/>
        </w:rPr>
      </w:pPr>
    </w:p>
    <w:p w:rsidR="00E14129" w:rsidRPr="00371FE8" w:rsidP="00D5150E" w14:paraId="77E27D91" w14:textId="74E25B9A">
      <w:pPr>
        <w:pStyle w:val="CaCoA-BodyText"/>
        <w:keepNext/>
        <w:keepLines/>
        <w:spacing w:line="288" w:lineRule="auto"/>
        <w:ind w:left="1440" w:hanging="720"/>
        <w:rPr>
          <w:i/>
          <w:iCs/>
          <w:szCs w:val="26"/>
        </w:rPr>
      </w:pPr>
      <w:r>
        <w:rPr>
          <w:szCs w:val="26"/>
        </w:rPr>
        <w:t>C</w:t>
      </w:r>
      <w:r w:rsidRPr="00DE5A47">
        <w:rPr>
          <w:szCs w:val="26"/>
        </w:rPr>
        <w:t>.</w:t>
      </w:r>
      <w:r w:rsidRPr="00DE5A47">
        <w:rPr>
          <w:szCs w:val="26"/>
        </w:rPr>
        <w:tab/>
      </w:r>
      <w:r w:rsidR="00396405">
        <w:rPr>
          <w:i/>
          <w:iCs/>
          <w:szCs w:val="26"/>
        </w:rPr>
        <w:t>Proposition 162’s Grant of Plenary Authority</w:t>
      </w:r>
      <w:r w:rsidR="00915D9D">
        <w:rPr>
          <w:i/>
          <w:iCs/>
          <w:szCs w:val="26"/>
        </w:rPr>
        <w:t xml:space="preserve"> </w:t>
      </w:r>
      <w:r w:rsidR="002D6C69">
        <w:rPr>
          <w:i/>
          <w:iCs/>
          <w:szCs w:val="26"/>
        </w:rPr>
        <w:t xml:space="preserve">Includes the Authority </w:t>
      </w:r>
      <w:r w:rsidR="00F10E2D">
        <w:rPr>
          <w:i/>
          <w:iCs/>
          <w:szCs w:val="26"/>
        </w:rPr>
        <w:t xml:space="preserve">for Retirement Boards </w:t>
      </w:r>
      <w:r w:rsidR="00503B19">
        <w:rPr>
          <w:bCs/>
          <w:i/>
          <w:iCs/>
          <w:szCs w:val="26"/>
        </w:rPr>
        <w:t xml:space="preserve">To </w:t>
      </w:r>
      <w:r w:rsidR="00F10E2D">
        <w:rPr>
          <w:bCs/>
          <w:i/>
          <w:iCs/>
          <w:szCs w:val="26"/>
        </w:rPr>
        <w:t>Adopt</w:t>
      </w:r>
      <w:r w:rsidR="00503B19">
        <w:rPr>
          <w:bCs/>
          <w:i/>
          <w:iCs/>
          <w:szCs w:val="26"/>
        </w:rPr>
        <w:t xml:space="preserve"> Employment Class</w:t>
      </w:r>
      <w:r w:rsidR="00756256">
        <w:rPr>
          <w:bCs/>
          <w:i/>
          <w:iCs/>
          <w:szCs w:val="26"/>
        </w:rPr>
        <w:t>ifications</w:t>
      </w:r>
      <w:r w:rsidR="00503B19">
        <w:rPr>
          <w:bCs/>
          <w:i/>
          <w:iCs/>
          <w:szCs w:val="26"/>
        </w:rPr>
        <w:t xml:space="preserve"> and </w:t>
      </w:r>
      <w:r w:rsidR="007538BC">
        <w:rPr>
          <w:bCs/>
          <w:i/>
          <w:iCs/>
          <w:szCs w:val="26"/>
        </w:rPr>
        <w:t xml:space="preserve">Employee </w:t>
      </w:r>
      <w:r w:rsidR="00503B19">
        <w:rPr>
          <w:bCs/>
          <w:i/>
          <w:iCs/>
          <w:szCs w:val="26"/>
        </w:rPr>
        <w:t xml:space="preserve">Salaries </w:t>
      </w:r>
    </w:p>
    <w:p w:rsidR="00EE2212" w:rsidP="00D5150E" w14:paraId="71E8E723" w14:textId="77777777">
      <w:pPr>
        <w:keepNext/>
        <w:keepLines/>
        <w:spacing w:line="288" w:lineRule="auto"/>
        <w:ind w:firstLine="720"/>
        <w:rPr>
          <w:bCs/>
          <w:szCs w:val="26"/>
        </w:rPr>
      </w:pPr>
    </w:p>
    <w:p w:rsidR="00EE2212" w:rsidRPr="00EE2212" w:rsidP="00D5150E" w14:paraId="5FC0A176" w14:textId="2D3E56F2">
      <w:pPr>
        <w:keepNext/>
        <w:keepLines/>
        <w:spacing w:line="288" w:lineRule="auto"/>
        <w:ind w:left="2160" w:hanging="720"/>
        <w:rPr>
          <w:bCs/>
          <w:i/>
          <w:iCs/>
          <w:szCs w:val="26"/>
        </w:rPr>
      </w:pPr>
      <w:r>
        <w:rPr>
          <w:bCs/>
          <w:szCs w:val="26"/>
        </w:rPr>
        <w:t>1.</w:t>
      </w:r>
      <w:r>
        <w:rPr>
          <w:bCs/>
          <w:szCs w:val="26"/>
        </w:rPr>
        <w:tab/>
      </w:r>
      <w:r w:rsidR="00C0536C">
        <w:rPr>
          <w:bCs/>
          <w:i/>
          <w:iCs/>
          <w:szCs w:val="26"/>
        </w:rPr>
        <w:t>The Language</w:t>
      </w:r>
      <w:r w:rsidR="009E636F">
        <w:rPr>
          <w:bCs/>
          <w:i/>
          <w:iCs/>
          <w:szCs w:val="26"/>
        </w:rPr>
        <w:t>, Purpose</w:t>
      </w:r>
      <w:r w:rsidR="0063024F">
        <w:rPr>
          <w:bCs/>
          <w:i/>
          <w:iCs/>
          <w:szCs w:val="26"/>
        </w:rPr>
        <w:t>s</w:t>
      </w:r>
      <w:r w:rsidR="009E636F">
        <w:rPr>
          <w:bCs/>
          <w:i/>
          <w:iCs/>
          <w:szCs w:val="26"/>
        </w:rPr>
        <w:t>,</w:t>
      </w:r>
      <w:r w:rsidR="005E56B9">
        <w:rPr>
          <w:bCs/>
          <w:i/>
          <w:iCs/>
          <w:szCs w:val="26"/>
        </w:rPr>
        <w:t xml:space="preserve"> and Intent of Proposition 162 </w:t>
      </w:r>
      <w:r w:rsidR="00BD592A">
        <w:rPr>
          <w:bCs/>
          <w:i/>
          <w:iCs/>
          <w:szCs w:val="26"/>
        </w:rPr>
        <w:t>All Show</w:t>
      </w:r>
      <w:r w:rsidR="00941D76">
        <w:rPr>
          <w:bCs/>
          <w:i/>
          <w:iCs/>
          <w:szCs w:val="26"/>
        </w:rPr>
        <w:t xml:space="preserve"> Retirement Boards </w:t>
      </w:r>
      <w:r w:rsidR="00BD592A">
        <w:rPr>
          <w:bCs/>
          <w:i/>
          <w:iCs/>
          <w:szCs w:val="26"/>
        </w:rPr>
        <w:t xml:space="preserve">Have </w:t>
      </w:r>
      <w:r w:rsidR="00941D76">
        <w:rPr>
          <w:bCs/>
          <w:i/>
          <w:iCs/>
          <w:szCs w:val="26"/>
        </w:rPr>
        <w:t xml:space="preserve">Authority To </w:t>
      </w:r>
      <w:r w:rsidR="00B85BD7">
        <w:rPr>
          <w:bCs/>
          <w:i/>
          <w:iCs/>
          <w:szCs w:val="26"/>
        </w:rPr>
        <w:t xml:space="preserve">Adopt </w:t>
      </w:r>
      <w:r w:rsidR="00BB2869">
        <w:rPr>
          <w:bCs/>
          <w:i/>
          <w:iCs/>
          <w:szCs w:val="26"/>
        </w:rPr>
        <w:t xml:space="preserve">Employment </w:t>
      </w:r>
      <w:r w:rsidR="00756256">
        <w:rPr>
          <w:bCs/>
          <w:i/>
          <w:iCs/>
          <w:szCs w:val="26"/>
        </w:rPr>
        <w:t xml:space="preserve">Classifications </w:t>
      </w:r>
      <w:r w:rsidR="00BB2869">
        <w:rPr>
          <w:bCs/>
          <w:i/>
          <w:iCs/>
          <w:szCs w:val="26"/>
        </w:rPr>
        <w:t xml:space="preserve">and </w:t>
      </w:r>
      <w:r w:rsidR="00941D76">
        <w:rPr>
          <w:bCs/>
          <w:i/>
          <w:iCs/>
          <w:szCs w:val="26"/>
        </w:rPr>
        <w:t>Salaries for Their Employees</w:t>
      </w:r>
    </w:p>
    <w:p w:rsidR="00CE460A" w:rsidP="00CD6368" w14:paraId="302532E6" w14:textId="271959C0">
      <w:pPr>
        <w:spacing w:line="288" w:lineRule="auto"/>
        <w:ind w:firstLine="720"/>
        <w:rPr>
          <w:bCs/>
          <w:szCs w:val="26"/>
        </w:rPr>
      </w:pPr>
      <w:r>
        <w:rPr>
          <w:bCs/>
          <w:szCs w:val="26"/>
        </w:rPr>
        <w:t xml:space="preserve">While the trial court was bound by the </w:t>
      </w:r>
      <w:r w:rsidR="007538BC">
        <w:rPr>
          <w:bCs/>
          <w:szCs w:val="26"/>
        </w:rPr>
        <w:t xml:space="preserve">court’s </w:t>
      </w:r>
      <w:r>
        <w:rPr>
          <w:bCs/>
          <w:szCs w:val="26"/>
        </w:rPr>
        <w:t xml:space="preserve">holding </w:t>
      </w:r>
      <w:r w:rsidR="007538BC">
        <w:rPr>
          <w:bCs/>
          <w:szCs w:val="26"/>
        </w:rPr>
        <w:t>in</w:t>
      </w:r>
      <w:r>
        <w:rPr>
          <w:bCs/>
          <w:szCs w:val="26"/>
        </w:rPr>
        <w:t xml:space="preserve"> </w:t>
      </w:r>
      <w:r>
        <w:rPr>
          <w:bCs/>
          <w:i/>
          <w:iCs/>
          <w:szCs w:val="26"/>
        </w:rPr>
        <w:t>Westly</w:t>
      </w:r>
      <w:r>
        <w:rPr>
          <w:bCs/>
          <w:szCs w:val="26"/>
        </w:rPr>
        <w:t>, we are not.  (</w:t>
      </w:r>
      <w:r w:rsidRPr="001F3EB5" w:rsidR="007D502E">
        <w:rPr>
          <w:bCs/>
          <w:i/>
          <w:iCs/>
          <w:szCs w:val="26"/>
        </w:rPr>
        <w:t>Copenbarger v. Morris Cerullo World Evangelism, Inc.</w:t>
      </w:r>
      <w:r w:rsidRPr="007D502E" w:rsidR="007D502E">
        <w:rPr>
          <w:bCs/>
          <w:szCs w:val="26"/>
        </w:rPr>
        <w:t xml:space="preserve"> (2018) 29 Cal.App.5th 1, 11</w:t>
      </w:r>
      <w:r w:rsidR="00580F06">
        <w:rPr>
          <w:bCs/>
          <w:szCs w:val="26"/>
        </w:rPr>
        <w:t xml:space="preserve">; see </w:t>
      </w:r>
      <w:r w:rsidRPr="00CA59CF" w:rsidR="00FB34B6">
        <w:rPr>
          <w:i/>
          <w:iCs/>
        </w:rPr>
        <w:t>Sarti v. Salt Creek Lt</w:t>
      </w:r>
      <w:r w:rsidR="00A62935">
        <w:rPr>
          <w:i/>
          <w:iCs/>
        </w:rPr>
        <w:t>d. </w:t>
      </w:r>
      <w:r w:rsidRPr="00CA59CF" w:rsidR="00FB34B6">
        <w:t>(2008)</w:t>
      </w:r>
      <w:r w:rsidR="00815CEE">
        <w:t> </w:t>
      </w:r>
      <w:r w:rsidRPr="00CA59CF" w:rsidR="00C27106">
        <w:t>167</w:t>
      </w:r>
      <w:r w:rsidR="00C27106">
        <w:t> </w:t>
      </w:r>
      <w:r w:rsidRPr="00CA59CF" w:rsidR="00FB34B6">
        <w:t>Cal.App.4th 1187, 1193</w:t>
      </w:r>
      <w:r w:rsidR="00FB34B6">
        <w:t>-</w:t>
      </w:r>
      <w:r w:rsidRPr="00CA59CF" w:rsidR="00FB34B6">
        <w:t>1194</w:t>
      </w:r>
      <w:r w:rsidR="007538BC">
        <w:t xml:space="preserve"> [</w:t>
      </w:r>
      <w:r w:rsidR="00DA4D8A">
        <w:t>“</w:t>
      </w:r>
      <w:r w:rsidRPr="00DA4D8A" w:rsidR="00DA4D8A">
        <w:t>there is no horizontal stare decisis in the California Court of Appeal</w:t>
      </w:r>
      <w:r w:rsidR="00DA4D8A">
        <w:t>”</w:t>
      </w:r>
      <w:r w:rsidR="007538BC">
        <w:t>]</w:t>
      </w:r>
      <w:r w:rsidR="00D57537">
        <w:t>.</w:t>
      </w:r>
      <w:r>
        <w:rPr>
          <w:bCs/>
          <w:szCs w:val="26"/>
        </w:rPr>
        <w:t xml:space="preserve">)  </w:t>
      </w:r>
      <w:r w:rsidR="00F46240">
        <w:rPr>
          <w:bCs/>
          <w:szCs w:val="26"/>
        </w:rPr>
        <w:t xml:space="preserve">Contrary to the </w:t>
      </w:r>
      <w:r w:rsidR="007538BC">
        <w:rPr>
          <w:bCs/>
          <w:szCs w:val="26"/>
        </w:rPr>
        <w:t xml:space="preserve">court’s </w:t>
      </w:r>
      <w:r w:rsidR="00F46240">
        <w:rPr>
          <w:bCs/>
          <w:szCs w:val="26"/>
        </w:rPr>
        <w:t xml:space="preserve">decision in </w:t>
      </w:r>
      <w:r w:rsidR="00F46240">
        <w:rPr>
          <w:bCs/>
          <w:i/>
          <w:iCs/>
          <w:szCs w:val="26"/>
        </w:rPr>
        <w:t>Westly</w:t>
      </w:r>
      <w:r w:rsidR="00F46240">
        <w:rPr>
          <w:bCs/>
          <w:szCs w:val="26"/>
        </w:rPr>
        <w:t>,</w:t>
      </w:r>
      <w:r w:rsidR="00F46240">
        <w:rPr>
          <w:bCs/>
          <w:i/>
          <w:iCs/>
          <w:szCs w:val="26"/>
        </w:rPr>
        <w:t xml:space="preserve"> </w:t>
      </w:r>
      <w:r w:rsidRPr="00F46240" w:rsidR="00F46240">
        <w:rPr>
          <w:bCs/>
          <w:szCs w:val="26"/>
        </w:rPr>
        <w:t xml:space="preserve">we </w:t>
      </w:r>
      <w:r>
        <w:rPr>
          <w:bCs/>
          <w:szCs w:val="26"/>
        </w:rPr>
        <w:t xml:space="preserve">conclude </w:t>
      </w:r>
      <w:r w:rsidR="00F46240">
        <w:rPr>
          <w:bCs/>
          <w:szCs w:val="26"/>
        </w:rPr>
        <w:t xml:space="preserve">the </w:t>
      </w:r>
      <w:r>
        <w:rPr>
          <w:bCs/>
          <w:szCs w:val="26"/>
        </w:rPr>
        <w:t>plain language, purpose</w:t>
      </w:r>
      <w:r w:rsidR="000B5D04">
        <w:rPr>
          <w:bCs/>
          <w:szCs w:val="26"/>
        </w:rPr>
        <w:t>s</w:t>
      </w:r>
      <w:r>
        <w:rPr>
          <w:bCs/>
          <w:szCs w:val="26"/>
        </w:rPr>
        <w:t>, and intent</w:t>
      </w:r>
      <w:r w:rsidR="00C52C5B">
        <w:rPr>
          <w:bCs/>
          <w:szCs w:val="26"/>
        </w:rPr>
        <w:t xml:space="preserve"> </w:t>
      </w:r>
      <w:r w:rsidR="00F46240">
        <w:rPr>
          <w:bCs/>
          <w:szCs w:val="26"/>
        </w:rPr>
        <w:t xml:space="preserve">of Proposition 162 </w:t>
      </w:r>
      <w:r w:rsidR="004C346C">
        <w:rPr>
          <w:bCs/>
          <w:szCs w:val="26"/>
        </w:rPr>
        <w:t xml:space="preserve">make clear a retirement board must have authority to </w:t>
      </w:r>
      <w:r w:rsidR="009C58A7">
        <w:rPr>
          <w:bCs/>
          <w:szCs w:val="26"/>
        </w:rPr>
        <w:t>hire</w:t>
      </w:r>
      <w:r w:rsidR="00CA6A20">
        <w:rPr>
          <w:bCs/>
          <w:szCs w:val="26"/>
        </w:rPr>
        <w:t xml:space="preserve"> the</w:t>
      </w:r>
      <w:r w:rsidR="009C58A7">
        <w:rPr>
          <w:bCs/>
          <w:szCs w:val="26"/>
        </w:rPr>
        <w:t xml:space="preserve"> personnel</w:t>
      </w:r>
      <w:r w:rsidR="00CD6368">
        <w:rPr>
          <w:bCs/>
          <w:szCs w:val="26"/>
        </w:rPr>
        <w:t xml:space="preserve"> </w:t>
      </w:r>
      <w:r w:rsidR="00CA6A20">
        <w:rPr>
          <w:bCs/>
          <w:szCs w:val="26"/>
        </w:rPr>
        <w:t xml:space="preserve">the board deems </w:t>
      </w:r>
      <w:r w:rsidR="007B2DE7">
        <w:rPr>
          <w:bCs/>
          <w:szCs w:val="26"/>
        </w:rPr>
        <w:t xml:space="preserve">necessary </w:t>
      </w:r>
      <w:r w:rsidR="00DE55EC">
        <w:rPr>
          <w:bCs/>
          <w:szCs w:val="26"/>
        </w:rPr>
        <w:t xml:space="preserve">or appropriate </w:t>
      </w:r>
      <w:r w:rsidR="00F72356">
        <w:rPr>
          <w:bCs/>
          <w:szCs w:val="26"/>
        </w:rPr>
        <w:t xml:space="preserve">to </w:t>
      </w:r>
      <w:r w:rsidR="00D5150E">
        <w:rPr>
          <w:bCs/>
          <w:szCs w:val="26"/>
        </w:rPr>
        <w:t xml:space="preserve">fulfill </w:t>
      </w:r>
      <w:r w:rsidR="00955CAF">
        <w:rPr>
          <w:bCs/>
          <w:szCs w:val="26"/>
        </w:rPr>
        <w:t xml:space="preserve">the board’s </w:t>
      </w:r>
      <w:r w:rsidR="00D5150E">
        <w:rPr>
          <w:bCs/>
          <w:szCs w:val="26"/>
        </w:rPr>
        <w:t>“</w:t>
      </w:r>
      <w:r w:rsidRPr="00DD77B4" w:rsidR="00D5150E">
        <w:t>fiduciary responsibility for investment of moneys and administration of the system</w:t>
      </w:r>
      <w:r>
        <w:rPr>
          <w:bCs/>
          <w:szCs w:val="26"/>
        </w:rPr>
        <w:t>.</w:t>
      </w:r>
      <w:r w:rsidR="00D5150E">
        <w:rPr>
          <w:bCs/>
          <w:szCs w:val="26"/>
        </w:rPr>
        <w:t>”</w:t>
      </w:r>
      <w:r>
        <w:rPr>
          <w:bCs/>
          <w:szCs w:val="26"/>
        </w:rPr>
        <w:t xml:space="preserve"> </w:t>
      </w:r>
      <w:r w:rsidR="00D5150E">
        <w:rPr>
          <w:bCs/>
          <w:szCs w:val="26"/>
        </w:rPr>
        <w:t xml:space="preserve"> </w:t>
      </w:r>
      <w:r w:rsidR="00D5150E">
        <w:t>(</w:t>
      </w:r>
      <w:r w:rsidRPr="00B37C07" w:rsidR="00D5150E">
        <w:t xml:space="preserve">Cal. Const., art. XVI, </w:t>
      </w:r>
      <w:r w:rsidR="00D5150E">
        <w:t>§ </w:t>
      </w:r>
      <w:r w:rsidRPr="00B37C07" w:rsidR="00D5150E">
        <w:t>17.)</w:t>
      </w:r>
      <w:r w:rsidR="00D5150E">
        <w:t xml:space="preserve"> </w:t>
      </w:r>
      <w:r>
        <w:rPr>
          <w:bCs/>
          <w:szCs w:val="26"/>
        </w:rPr>
        <w:t xml:space="preserve"> </w:t>
      </w:r>
      <w:r w:rsidR="00DE55EC">
        <w:rPr>
          <w:bCs/>
          <w:szCs w:val="26"/>
        </w:rPr>
        <w:t xml:space="preserve">That authority includes </w:t>
      </w:r>
      <w:r w:rsidR="0080702B">
        <w:rPr>
          <w:bCs/>
          <w:szCs w:val="26"/>
        </w:rPr>
        <w:t>determining the number</w:t>
      </w:r>
      <w:r w:rsidR="00815CEE">
        <w:rPr>
          <w:bCs/>
          <w:szCs w:val="26"/>
        </w:rPr>
        <w:t xml:space="preserve"> and</w:t>
      </w:r>
      <w:r w:rsidR="0080702B">
        <w:rPr>
          <w:bCs/>
          <w:szCs w:val="26"/>
        </w:rPr>
        <w:t xml:space="preserve"> type</w:t>
      </w:r>
      <w:r w:rsidR="00815CEE">
        <w:rPr>
          <w:bCs/>
          <w:szCs w:val="26"/>
        </w:rPr>
        <w:t xml:space="preserve"> of personnel </w:t>
      </w:r>
      <w:r w:rsidR="007538BC">
        <w:rPr>
          <w:bCs/>
          <w:szCs w:val="26"/>
        </w:rPr>
        <w:t>required to do the job</w:t>
      </w:r>
      <w:r w:rsidR="00D5150E">
        <w:rPr>
          <w:bCs/>
          <w:szCs w:val="26"/>
        </w:rPr>
        <w:t xml:space="preserve">, </w:t>
      </w:r>
      <w:r w:rsidR="00815CEE">
        <w:rPr>
          <w:bCs/>
          <w:szCs w:val="26"/>
        </w:rPr>
        <w:t>as well as their</w:t>
      </w:r>
      <w:r w:rsidR="0080702B">
        <w:rPr>
          <w:bCs/>
          <w:szCs w:val="26"/>
        </w:rPr>
        <w:t xml:space="preserve"> compensation</w:t>
      </w:r>
      <w:r w:rsidR="00535389">
        <w:rPr>
          <w:bCs/>
          <w:szCs w:val="26"/>
        </w:rPr>
        <w:t xml:space="preserve">, which according to LACERA comprises </w:t>
      </w:r>
      <w:r w:rsidR="00E03818">
        <w:rPr>
          <w:bCs/>
          <w:szCs w:val="26"/>
        </w:rPr>
        <w:t xml:space="preserve">more than </w:t>
      </w:r>
      <w:r w:rsidR="00535389">
        <w:rPr>
          <w:bCs/>
          <w:szCs w:val="26"/>
        </w:rPr>
        <w:t>70 percent of its annual operating budget.</w:t>
      </w:r>
      <w:r>
        <w:rPr>
          <w:rStyle w:val="FootnoteReference"/>
          <w:bCs/>
          <w:szCs w:val="26"/>
        </w:rPr>
        <w:footnoteReference w:id="9"/>
      </w:r>
      <w:r w:rsidR="00535389">
        <w:rPr>
          <w:bCs/>
          <w:szCs w:val="26"/>
        </w:rPr>
        <w:t xml:space="preserve"> </w:t>
      </w:r>
    </w:p>
    <w:p w:rsidR="009D171B" w:rsidP="00CD6368" w14:paraId="5DEBCF59" w14:textId="77777777">
      <w:pPr>
        <w:spacing w:line="288" w:lineRule="auto"/>
        <w:ind w:firstLine="720"/>
        <w:rPr>
          <w:bCs/>
          <w:szCs w:val="26"/>
        </w:rPr>
      </w:pPr>
    </w:p>
    <w:p w:rsidR="002C2CB5" w:rsidRPr="00EE2212" w:rsidP="002076FE" w14:paraId="75AA4233" w14:textId="36CB15D2">
      <w:pPr>
        <w:keepNext/>
        <w:spacing w:line="288" w:lineRule="auto"/>
        <w:ind w:left="2880" w:hanging="720"/>
        <w:rPr>
          <w:bCs/>
          <w:i/>
          <w:iCs/>
          <w:szCs w:val="26"/>
        </w:rPr>
      </w:pPr>
      <w:r>
        <w:rPr>
          <w:bCs/>
          <w:szCs w:val="26"/>
        </w:rPr>
        <w:t>a.</w:t>
      </w:r>
      <w:r>
        <w:rPr>
          <w:bCs/>
          <w:szCs w:val="26"/>
        </w:rPr>
        <w:tab/>
      </w:r>
      <w:r>
        <w:rPr>
          <w:bCs/>
          <w:i/>
          <w:iCs/>
          <w:szCs w:val="26"/>
        </w:rPr>
        <w:t>The Plain Language of Proposition 162</w:t>
      </w:r>
    </w:p>
    <w:p w:rsidR="00B17425" w:rsidP="005B6D17" w14:paraId="78172EEC" w14:textId="07BC6FAC">
      <w:pPr>
        <w:spacing w:line="288" w:lineRule="auto"/>
        <w:ind w:firstLine="720"/>
      </w:pPr>
      <w:r>
        <w:rPr>
          <w:bCs/>
          <w:szCs w:val="26"/>
        </w:rPr>
        <w:t>We begin with the text</w:t>
      </w:r>
      <w:r w:rsidR="00E43045">
        <w:rPr>
          <w:bCs/>
          <w:szCs w:val="26"/>
        </w:rPr>
        <w:t xml:space="preserve"> of Proposition 162</w:t>
      </w:r>
      <w:r>
        <w:rPr>
          <w:bCs/>
          <w:szCs w:val="26"/>
        </w:rPr>
        <w:t>, which</w:t>
      </w:r>
      <w:r w:rsidR="00885ADA">
        <w:rPr>
          <w:bCs/>
          <w:szCs w:val="26"/>
        </w:rPr>
        <w:t xml:space="preserve"> </w:t>
      </w:r>
      <w:r w:rsidR="00815CEE">
        <w:rPr>
          <w:bCs/>
          <w:szCs w:val="26"/>
        </w:rPr>
        <w:t>states</w:t>
      </w:r>
      <w:r>
        <w:rPr>
          <w:bCs/>
          <w:szCs w:val="26"/>
        </w:rPr>
        <w:t>: “</w:t>
      </w:r>
      <w:r w:rsidRPr="00554322">
        <w:t xml:space="preserve">Notwithstanding any other provisions of law or this Constitution to the contrary, the retirement board of a public pension or retirement </w:t>
      </w:r>
      <w:r w:rsidRPr="004B5434">
        <w:t>system</w:t>
      </w:r>
      <w:r w:rsidRPr="00554322">
        <w:t xml:space="preserve"> shall have </w:t>
      </w:r>
      <w:r w:rsidRPr="0071641F">
        <w:t>plenary authority and fiduciary responsibility for investment of moneys and administration of the system, subject to</w:t>
      </w:r>
      <w:r w:rsidRPr="00554322">
        <w:t xml:space="preserve"> all of the following</w:t>
      </w:r>
      <w:r>
        <w:t xml:space="preserve"> </w:t>
      </w:r>
      <w:r w:rsidR="00A62935">
        <w:t>. . . </w:t>
      </w:r>
      <w:r>
        <w:t>.”  (</w:t>
      </w:r>
      <w:r w:rsidRPr="00B37C07" w:rsidR="00D270D9">
        <w:t xml:space="preserve">Cal. Const., art. XVI, </w:t>
      </w:r>
      <w:r w:rsidR="00A62935">
        <w:t>§ </w:t>
      </w:r>
      <w:r w:rsidRPr="00B37C07" w:rsidR="00D270D9">
        <w:t>17.)</w:t>
      </w:r>
      <w:r w:rsidR="00D270D9">
        <w:t xml:space="preserve">  </w:t>
      </w:r>
      <w:r w:rsidRPr="00C544E2" w:rsidR="00DE42DD">
        <w:t xml:space="preserve">In interpreting </w:t>
      </w:r>
      <w:r w:rsidR="00A25C99">
        <w:t xml:space="preserve">a </w:t>
      </w:r>
      <w:r w:rsidR="00F014C7">
        <w:t>constitutional provision</w:t>
      </w:r>
      <w:r w:rsidRPr="00C544E2" w:rsidR="00DE42DD">
        <w:t xml:space="preserve">, </w:t>
      </w:r>
      <w:r w:rsidR="00DE42DD">
        <w:t>“‘“</w:t>
      </w:r>
      <w:r w:rsidRPr="00C544E2" w:rsidR="00DE42DD">
        <w:t xml:space="preserve">our paramount task is to ascertain the intent of those who enacted it. </w:t>
      </w:r>
      <w:r w:rsidR="00DE42DD">
        <w:t xml:space="preserve"> </w:t>
      </w:r>
      <w:r w:rsidRPr="00C544E2" w:rsidR="00DE42DD">
        <w:t xml:space="preserve">[Citation.] </w:t>
      </w:r>
      <w:r w:rsidR="00DE42DD">
        <w:t xml:space="preserve"> </w:t>
      </w:r>
      <w:r w:rsidRPr="00C544E2" w:rsidR="00DE42DD">
        <w:t xml:space="preserve">To determine that intent, we </w:t>
      </w:r>
      <w:r w:rsidR="00DE42DD">
        <w:t>‘</w:t>
      </w:r>
      <w:r w:rsidRPr="00C544E2" w:rsidR="00DE42DD">
        <w:t>look first to the language of the constitutional text, giving the words their ordinary meaning.</w:t>
      </w:r>
      <w:r w:rsidR="00DE42DD">
        <w:t xml:space="preserve">’ </w:t>
      </w:r>
      <w:r w:rsidRPr="00C544E2" w:rsidR="00DE42DD">
        <w:t xml:space="preserve"> [Citation.]</w:t>
      </w:r>
      <w:r w:rsidR="00DE42DD">
        <w:t xml:space="preserve"> </w:t>
      </w:r>
      <w:r w:rsidRPr="00C544E2" w:rsidR="00DE42DD">
        <w:t xml:space="preserve"> If the language is clear, there is no need for construction.</w:t>
      </w:r>
      <w:r w:rsidR="00DE42DD">
        <w:t xml:space="preserve"> </w:t>
      </w:r>
      <w:r w:rsidRPr="00C544E2" w:rsidR="00DE42DD">
        <w:t xml:space="preserve"> [Citation.] </w:t>
      </w:r>
      <w:r w:rsidR="00DE42DD">
        <w:t xml:space="preserve"> </w:t>
      </w:r>
      <w:r w:rsidRPr="00C544E2" w:rsidR="00DE42DD">
        <w:t>If the language is ambiguous, however, we consider extrinsic evidence of the enacting body</w:t>
      </w:r>
      <w:r w:rsidR="00DE42DD">
        <w:t>’</w:t>
      </w:r>
      <w:r w:rsidRPr="00C544E2" w:rsidR="00DE42DD">
        <w:t>s intent.</w:t>
      </w:r>
      <w:r w:rsidR="00DE42DD">
        <w:t>”</w:t>
      </w:r>
      <w:r w:rsidRPr="00C544E2" w:rsidR="00DE42DD">
        <w:t xml:space="preserve">’” </w:t>
      </w:r>
      <w:r w:rsidR="00A25C99">
        <w:t xml:space="preserve"> </w:t>
      </w:r>
      <w:r w:rsidRPr="00C544E2" w:rsidR="00DE42DD">
        <w:t>(</w:t>
      </w:r>
      <w:r w:rsidRPr="00C544E2" w:rsidR="00DE42DD">
        <w:rPr>
          <w:i/>
          <w:iCs/>
        </w:rPr>
        <w:t>Greene v. Marin County Flood Control &amp; Water Conservation Dist.</w:t>
      </w:r>
      <w:r w:rsidR="00DE42DD">
        <w:t xml:space="preserve">, </w:t>
      </w:r>
      <w:r w:rsidR="00DE42DD">
        <w:rPr>
          <w:i/>
          <w:iCs/>
        </w:rPr>
        <w:t>supra</w:t>
      </w:r>
      <w:r w:rsidR="00DE42DD">
        <w:t>,</w:t>
      </w:r>
      <w:r w:rsidR="00DE42DD">
        <w:rPr>
          <w:i/>
          <w:iCs/>
        </w:rPr>
        <w:t xml:space="preserve"> </w:t>
      </w:r>
      <w:r w:rsidRPr="00C544E2" w:rsidR="00DE42DD">
        <w:t>49</w:t>
      </w:r>
      <w:r w:rsidR="00DE42DD">
        <w:t> </w:t>
      </w:r>
      <w:r w:rsidRPr="00C544E2" w:rsidR="00DE42DD">
        <w:t xml:space="preserve">Cal.4th </w:t>
      </w:r>
      <w:r w:rsidR="00DE42DD">
        <w:t xml:space="preserve">at </w:t>
      </w:r>
      <w:r w:rsidR="00A62935">
        <w:t>p. </w:t>
      </w:r>
      <w:r w:rsidRPr="00C544E2" w:rsidR="00DE42DD">
        <w:t>290</w:t>
      </w:r>
      <w:r w:rsidR="00DE42DD">
        <w:t>;</w:t>
      </w:r>
      <w:r w:rsidRPr="00C544E2" w:rsidR="00DE42DD">
        <w:t xml:space="preserve"> </w:t>
      </w:r>
      <w:r w:rsidR="00F014C7">
        <w:t xml:space="preserve">accord, </w:t>
      </w:r>
      <w:r w:rsidRPr="00C544E2" w:rsidR="00DE42DD">
        <w:rPr>
          <w:i/>
          <w:iCs/>
        </w:rPr>
        <w:t>Professional Engineers in California Government v. Kempton</w:t>
      </w:r>
      <w:r w:rsidRPr="00C544E2" w:rsidR="00DE42DD">
        <w:t xml:space="preserve"> (2007) 40</w:t>
      </w:r>
      <w:r w:rsidR="00D5150E">
        <w:t> </w:t>
      </w:r>
      <w:r w:rsidRPr="00C544E2" w:rsidR="00DE42DD">
        <w:t>Cal.4th 1016, 1037</w:t>
      </w:r>
      <w:r w:rsidR="005B6D17">
        <w:t xml:space="preserve">; </w:t>
      </w:r>
      <w:r w:rsidRPr="00171174" w:rsidR="0092389B">
        <w:rPr>
          <w:i/>
          <w:iCs/>
        </w:rPr>
        <w:t>Tos v. State</w:t>
      </w:r>
      <w:r w:rsidRPr="00171174" w:rsidR="0092389B">
        <w:t xml:space="preserve"> (2021) 72</w:t>
      </w:r>
      <w:r w:rsidR="00D5150E">
        <w:t> </w:t>
      </w:r>
      <w:r w:rsidRPr="00171174" w:rsidR="0092389B">
        <w:t>Cal.App.5th 184</w:t>
      </w:r>
      <w:r w:rsidR="00815CEE">
        <w:t>, 196</w:t>
      </w:r>
      <w:r w:rsidR="0092389B">
        <w:t xml:space="preserve">; see </w:t>
      </w:r>
      <w:r w:rsidRPr="00B527B7" w:rsidR="0092389B">
        <w:rPr>
          <w:i/>
          <w:iCs/>
        </w:rPr>
        <w:t>California Privacy Protection Agency v. Superior</w:t>
      </w:r>
      <w:r w:rsidR="00A25C99">
        <w:rPr>
          <w:i/>
          <w:iCs/>
        </w:rPr>
        <w:t> </w:t>
      </w:r>
      <w:r w:rsidRPr="00B527B7" w:rsidR="0092389B">
        <w:rPr>
          <w:i/>
          <w:iCs/>
        </w:rPr>
        <w:t>Court</w:t>
      </w:r>
      <w:r w:rsidR="005C5E24">
        <w:t xml:space="preserve">, </w:t>
      </w:r>
      <w:r w:rsidR="005C5E24">
        <w:rPr>
          <w:i/>
          <w:iCs/>
        </w:rPr>
        <w:t>supra</w:t>
      </w:r>
      <w:r w:rsidR="005C5E24">
        <w:t>,</w:t>
      </w:r>
      <w:r w:rsidR="00815CEE">
        <w:t xml:space="preserve"> 99 </w:t>
      </w:r>
      <w:r w:rsidR="005C5E24">
        <w:t>Cal.App.5th at p</w:t>
      </w:r>
      <w:r w:rsidR="00A62935">
        <w:t>p. </w:t>
      </w:r>
      <w:r w:rsidR="00815CEE">
        <w:t xml:space="preserve">722-723 </w:t>
      </w:r>
      <w:r w:rsidR="0092389B">
        <w:t>[interpreting a statute enacted by ballot proposition]</w:t>
      </w:r>
      <w:r w:rsidR="00DE42DD">
        <w:t>.)</w:t>
      </w:r>
      <w:r w:rsidR="005B6D17">
        <w:t xml:space="preserve">  </w:t>
      </w:r>
      <w:r w:rsidR="005523D3">
        <w:t>“</w:t>
      </w:r>
      <w:r w:rsidRPr="00B527B7" w:rsidR="005523D3">
        <w:t>To</w:t>
      </w:r>
      <w:r w:rsidR="00E14C0F">
        <w:t> </w:t>
      </w:r>
      <w:r w:rsidRPr="00B527B7" w:rsidR="005523D3">
        <w:t xml:space="preserve">determine the scope and purpose of the provision we are interpreting, we look to the entire substance of the voter-enacted </w:t>
      </w:r>
      <w:r w:rsidR="000C4F23">
        <w:t>[measure]</w:t>
      </w:r>
      <w:r w:rsidRPr="00B527B7" w:rsidR="005523D3">
        <w:t xml:space="preserve">, that is, we construe the words in question in context, keeping in mind the nature and purpose of the statute. </w:t>
      </w:r>
      <w:r w:rsidR="00A62935">
        <w:t>. . .</w:t>
      </w:r>
      <w:r w:rsidR="000E16EF">
        <w:t xml:space="preserve"> </w:t>
      </w:r>
      <w:r w:rsidR="00A62935">
        <w:t> </w:t>
      </w:r>
      <w:r w:rsidRPr="00B527B7" w:rsidR="005523D3">
        <w:t xml:space="preserve">The statements of purpose and intent in </w:t>
      </w:r>
      <w:r w:rsidR="00F1169D">
        <w:t xml:space="preserve">. . . </w:t>
      </w:r>
      <w:r w:rsidRPr="00B527B7" w:rsidR="005523D3">
        <w:t>an initiative measure may properly be utilized as an aid in construing the measure, but they do not confer power, determine rights, or enlarge the scope of the measure.</w:t>
      </w:r>
      <w:r w:rsidR="005151B8">
        <w:t>”</w:t>
      </w:r>
      <w:r w:rsidRPr="00B527B7" w:rsidR="005523D3">
        <w:t xml:space="preserve"> </w:t>
      </w:r>
      <w:r w:rsidR="005151B8">
        <w:t xml:space="preserve"> </w:t>
      </w:r>
      <w:r w:rsidRPr="00B527B7" w:rsidR="005523D3">
        <w:t>(</w:t>
      </w:r>
      <w:r w:rsidRPr="00B527B7" w:rsidR="005151B8">
        <w:rPr>
          <w:i/>
          <w:iCs/>
        </w:rPr>
        <w:t>California Privacy Protection Agency</w:t>
      </w:r>
      <w:r w:rsidR="005151B8">
        <w:t xml:space="preserve">, at </w:t>
      </w:r>
      <w:r w:rsidR="00A62935">
        <w:t>p. </w:t>
      </w:r>
      <w:r w:rsidR="00815CEE">
        <w:t>723</w:t>
      </w:r>
      <w:r w:rsidR="00F27A93">
        <w:t>;</w:t>
      </w:r>
      <w:r w:rsidR="005151B8">
        <w:rPr>
          <w:i/>
          <w:iCs/>
        </w:rPr>
        <w:t xml:space="preserve"> </w:t>
      </w:r>
      <w:r w:rsidR="00F27A93">
        <w:t>see</w:t>
      </w:r>
      <w:r w:rsidR="00CB2E52">
        <w:t xml:space="preserve"> </w:t>
      </w:r>
      <w:r w:rsidRPr="007068C1" w:rsidR="00D074CF">
        <w:rPr>
          <w:i/>
          <w:iCs/>
        </w:rPr>
        <w:t>Jacks v. City of Santa Barbara</w:t>
      </w:r>
      <w:r w:rsidRPr="007068C1" w:rsidR="00D074CF">
        <w:t xml:space="preserve"> (2017) 3</w:t>
      </w:r>
      <w:r w:rsidR="00FC3BAF">
        <w:t> </w:t>
      </w:r>
      <w:r w:rsidRPr="007068C1" w:rsidR="00D074CF">
        <w:t>Cal.5th 248, 261</w:t>
      </w:r>
      <w:r w:rsidR="00D074CF">
        <w:t>-</w:t>
      </w:r>
      <w:r w:rsidRPr="007068C1" w:rsidR="00D074CF">
        <w:t>262</w:t>
      </w:r>
      <w:r w:rsidR="00D074CF">
        <w:t xml:space="preserve"> [</w:t>
      </w:r>
      <w:r w:rsidR="00CE5C87">
        <w:t xml:space="preserve">citing </w:t>
      </w:r>
      <w:r w:rsidR="003F184B">
        <w:t xml:space="preserve">as an interpretive aid </w:t>
      </w:r>
      <w:r w:rsidR="00CE5C87">
        <w:t xml:space="preserve">the </w:t>
      </w:r>
      <w:r w:rsidR="00FC3BAF">
        <w:t>“</w:t>
      </w:r>
      <w:r w:rsidR="00CE5C87">
        <w:t>findings and declarations</w:t>
      </w:r>
      <w:r w:rsidR="00FC3BAF">
        <w:t>”</w:t>
      </w:r>
      <w:r w:rsidR="00CE5C87">
        <w:t xml:space="preserve"> of an initiative that amended the California Constitution</w:t>
      </w:r>
      <w:r w:rsidR="004A392F">
        <w:t>]</w:t>
      </w:r>
      <w:r w:rsidR="00F27A93">
        <w:t>.)</w:t>
      </w:r>
    </w:p>
    <w:p w:rsidR="00DE42DD" w:rsidP="005B6D17" w14:paraId="07ABF3C0" w14:textId="7AE78C91">
      <w:pPr>
        <w:spacing w:line="288" w:lineRule="auto"/>
        <w:ind w:firstLine="720"/>
      </w:pPr>
      <w:r w:rsidRPr="00C103C2">
        <w:t xml:space="preserve">If the language </w:t>
      </w:r>
      <w:r w:rsidR="0038447D">
        <w:t xml:space="preserve">of a voter initiative </w:t>
      </w:r>
      <w:r w:rsidRPr="00C103C2">
        <w:t xml:space="preserve">is susceptible </w:t>
      </w:r>
      <w:r w:rsidR="00007626">
        <w:t>of</w:t>
      </w:r>
      <w:r w:rsidR="0038447D">
        <w:t xml:space="preserve"> </w:t>
      </w:r>
      <w:r w:rsidRPr="00C103C2">
        <w:t xml:space="preserve">more than one reasonable meaning, </w:t>
      </w:r>
      <w:r w:rsidR="00EE58BF">
        <w:t>“‘</w:t>
      </w:r>
      <w:r w:rsidRPr="00C103C2">
        <w:t>we may consider the ballot summaries and arguments to determine how the voters understood the ballot measure and what they intended in enacting it.</w:t>
      </w:r>
      <w:r w:rsidR="009E374A">
        <w:t>’</w:t>
      </w:r>
      <w:r w:rsidRPr="00C103C2">
        <w:t xml:space="preserve">” </w:t>
      </w:r>
      <w:r w:rsidR="009F0DA9">
        <w:t xml:space="preserve"> </w:t>
      </w:r>
      <w:r w:rsidR="00C202E5">
        <w:t>(</w:t>
      </w:r>
      <w:r w:rsidRPr="00C103C2" w:rsidR="00C202E5">
        <w:rPr>
          <w:i/>
          <w:iCs/>
        </w:rPr>
        <w:t>People v. Gonzales</w:t>
      </w:r>
      <w:r w:rsidRPr="00C103C2" w:rsidR="00C202E5">
        <w:t xml:space="preserve"> (2017) 2</w:t>
      </w:r>
      <w:r w:rsidR="00815CEE">
        <w:t> </w:t>
      </w:r>
      <w:r w:rsidRPr="00C103C2" w:rsidR="00C202E5">
        <w:t>Cal.5th 858, 868</w:t>
      </w:r>
      <w:r w:rsidR="00C202E5">
        <w:t xml:space="preserve">; </w:t>
      </w:r>
      <w:r w:rsidR="00540901">
        <w:t xml:space="preserve">see </w:t>
      </w:r>
      <w:r w:rsidRPr="00004F19" w:rsidR="00C202E5">
        <w:rPr>
          <w:i/>
          <w:iCs/>
        </w:rPr>
        <w:t>City and County of San Francisco v. County of San Mateo</w:t>
      </w:r>
      <w:r w:rsidRPr="00004F19" w:rsidR="00C202E5">
        <w:t xml:space="preserve"> (1995) 10</w:t>
      </w:r>
      <w:r w:rsidR="00390BD5">
        <w:t> </w:t>
      </w:r>
      <w:r w:rsidRPr="00004F19" w:rsidR="00C202E5">
        <w:t>Cal.4th 554, 563</w:t>
      </w:r>
      <w:r w:rsidR="00B95775">
        <w:t>.</w:t>
      </w:r>
      <w:r w:rsidR="00390BD5">
        <w:t>)</w:t>
      </w:r>
      <w:r w:rsidR="00C202E5">
        <w:t xml:space="preserve">  “</w:t>
      </w:r>
      <w:r w:rsidRPr="00004F19" w:rsidR="005B6D17">
        <w:t>In cases of ambiguity we also may consult any contemporaneous constructions of the constitutional provision made by the Legislature or by administrative agencies.</w:t>
      </w:r>
      <w:r w:rsidR="005B6D17">
        <w:t>”  (</w:t>
      </w:r>
      <w:r w:rsidRPr="00004F19" w:rsidR="005B6D17">
        <w:rPr>
          <w:i/>
          <w:iCs/>
        </w:rPr>
        <w:t>City and County of San Francisco</w:t>
      </w:r>
      <w:r w:rsidR="004E3946">
        <w:t xml:space="preserve">, at </w:t>
      </w:r>
      <w:r w:rsidR="00A62935">
        <w:t>p. </w:t>
      </w:r>
      <w:r w:rsidRPr="00004F19" w:rsidR="005B6D17">
        <w:t>563</w:t>
      </w:r>
      <w:r w:rsidR="005B6D17">
        <w:t xml:space="preserve">; see </w:t>
      </w:r>
      <w:r w:rsidRPr="00C544E2" w:rsidR="00A4232A">
        <w:rPr>
          <w:i/>
          <w:iCs/>
        </w:rPr>
        <w:t>Greene v. Marin County Flood Control &amp; Water Conservation Dist.</w:t>
      </w:r>
      <w:r w:rsidR="00A4232A">
        <w:t xml:space="preserve">, </w:t>
      </w:r>
      <w:r w:rsidR="00A4232A">
        <w:rPr>
          <w:i/>
          <w:iCs/>
        </w:rPr>
        <w:t>supra</w:t>
      </w:r>
      <w:r w:rsidR="00A4232A">
        <w:t>,</w:t>
      </w:r>
      <w:r w:rsidR="00A4232A">
        <w:rPr>
          <w:i/>
          <w:iCs/>
        </w:rPr>
        <w:t xml:space="preserve"> </w:t>
      </w:r>
      <w:r w:rsidRPr="00C544E2" w:rsidR="00A4232A">
        <w:t>49</w:t>
      </w:r>
      <w:r w:rsidR="00A4232A">
        <w:t> </w:t>
      </w:r>
      <w:r w:rsidRPr="00C544E2" w:rsidR="00A4232A">
        <w:t xml:space="preserve">Cal.4th </w:t>
      </w:r>
      <w:r w:rsidR="00A4232A">
        <w:t xml:space="preserve">at </w:t>
      </w:r>
      <w:r w:rsidR="00A62935">
        <w:t>p. </w:t>
      </w:r>
      <w:r w:rsidR="005B6D17">
        <w:t>290</w:t>
      </w:r>
      <w:r w:rsidRPr="00175785" w:rsidR="005B6D17">
        <w:t>.</w:t>
      </w:r>
      <w:r w:rsidR="005B6D17">
        <w:t xml:space="preserve">) </w:t>
      </w:r>
      <w:r w:rsidR="006B0A39">
        <w:t xml:space="preserve"> </w:t>
      </w:r>
      <w:r w:rsidRPr="00C103C2" w:rsidR="00C37472">
        <w:t xml:space="preserve">In construing constitutional provisions enacted by initiative, </w:t>
      </w:r>
      <w:r w:rsidR="003B716B">
        <w:t xml:space="preserve">the voters’ </w:t>
      </w:r>
      <w:r w:rsidRPr="00C103C2" w:rsidR="00C37472">
        <w:t xml:space="preserve">intent </w:t>
      </w:r>
      <w:r w:rsidR="003B716B">
        <w:t>“‘</w:t>
      </w:r>
      <w:r w:rsidRPr="00C103C2" w:rsidR="00C37472">
        <w:t>is the paramount consideration.</w:t>
      </w:r>
      <w:r w:rsidR="00596485">
        <w:t>’</w:t>
      </w:r>
      <w:r w:rsidRPr="00C103C2" w:rsidR="00C37472">
        <w:t>”</w:t>
      </w:r>
      <w:r w:rsidR="00596485">
        <w:t xml:space="preserve">  (</w:t>
      </w:r>
      <w:r w:rsidR="00596485">
        <w:rPr>
          <w:i/>
          <w:iCs/>
        </w:rPr>
        <w:t>Gonzales</w:t>
      </w:r>
      <w:r w:rsidR="00596485">
        <w:t xml:space="preserve">, at </w:t>
      </w:r>
      <w:r w:rsidR="00A62935">
        <w:t>p. </w:t>
      </w:r>
      <w:r w:rsidR="00E44EF9">
        <w:t>868;</w:t>
      </w:r>
      <w:r w:rsidR="000E16EF">
        <w:t xml:space="preserve"> see</w:t>
      </w:r>
      <w:r w:rsidR="00596485">
        <w:rPr>
          <w:i/>
          <w:iCs/>
        </w:rPr>
        <w:t xml:space="preserve"> </w:t>
      </w:r>
      <w:r w:rsidRPr="00175785" w:rsidR="00596485">
        <w:rPr>
          <w:i/>
          <w:iCs/>
        </w:rPr>
        <w:t>Hill v. National Collegiate Athletic Assn.</w:t>
      </w:r>
      <w:r w:rsidRPr="00175785" w:rsidR="00596485">
        <w:t xml:space="preserve"> (1994) 7</w:t>
      </w:r>
      <w:r w:rsidR="00815CEE">
        <w:t> </w:t>
      </w:r>
      <w:r w:rsidRPr="00175785" w:rsidR="00596485">
        <w:t>Cal.4th 1, 16</w:t>
      </w:r>
      <w:r w:rsidR="00596485">
        <w:t>-</w:t>
      </w:r>
      <w:r w:rsidRPr="00175785" w:rsidR="00596485">
        <w:t>18</w:t>
      </w:r>
      <w:r w:rsidRPr="00004F19" w:rsidR="00596485">
        <w:t xml:space="preserve"> </w:t>
      </w:r>
      <w:r w:rsidR="00596485">
        <w:t>[</w:t>
      </w:r>
      <w:r w:rsidRPr="00175785" w:rsidR="00596485">
        <w:t>the voters</w:t>
      </w:r>
      <w:r w:rsidR="00596485">
        <w:t>’</w:t>
      </w:r>
      <w:r w:rsidRPr="00175785" w:rsidR="00596485">
        <w:t xml:space="preserve"> intent</w:t>
      </w:r>
      <w:r w:rsidR="00596485">
        <w:t xml:space="preserve"> </w:t>
      </w:r>
      <w:r w:rsidRPr="00175785" w:rsidR="00596485">
        <w:t>is entitled to great weight</w:t>
      </w:r>
      <w:r w:rsidR="00596485">
        <w:t>]</w:t>
      </w:r>
      <w:r w:rsidR="00DD7609">
        <w:t>.)</w:t>
      </w:r>
    </w:p>
    <w:p w:rsidR="000455CF" w:rsidP="00396405" w14:paraId="4BE9FC4A" w14:textId="3C4EE24B">
      <w:pPr>
        <w:spacing w:line="288" w:lineRule="auto"/>
        <w:ind w:firstLine="720"/>
      </w:pPr>
      <w:r>
        <w:t xml:space="preserve">The </w:t>
      </w:r>
      <w:r w:rsidR="004D7137">
        <w:t>phrases</w:t>
      </w:r>
      <w:r>
        <w:t xml:space="preserve"> “plenary authority,” “administration of the system,” and “subject to” </w:t>
      </w:r>
      <w:r w:rsidR="00866B1F">
        <w:t xml:space="preserve">in </w:t>
      </w:r>
      <w:r w:rsidR="00D05BD8">
        <w:t xml:space="preserve">the first paragraph of </w:t>
      </w:r>
      <w:r w:rsidR="00866B1F">
        <w:t>Proposition</w:t>
      </w:r>
      <w:r w:rsidR="00D05BD8">
        <w:t> </w:t>
      </w:r>
      <w:r w:rsidR="00866B1F">
        <w:t xml:space="preserve">162 </w:t>
      </w:r>
      <w:r w:rsidR="00007626">
        <w:t>describe</w:t>
      </w:r>
      <w:r>
        <w:t xml:space="preserve"> the scope of the power granted to retirement boards. </w:t>
      </w:r>
      <w:r w:rsidR="002B6F48">
        <w:t xml:space="preserve"> </w:t>
      </w:r>
      <w:r w:rsidR="008223B1">
        <w:t xml:space="preserve">The </w:t>
      </w:r>
      <w:r w:rsidR="00773B18">
        <w:t>“</w:t>
      </w:r>
      <w:r w:rsidR="00762861">
        <w:t>fiduciary responsibility</w:t>
      </w:r>
      <w:r w:rsidR="00773B18">
        <w:t>”</w:t>
      </w:r>
      <w:r w:rsidR="00762861">
        <w:t xml:space="preserve"> </w:t>
      </w:r>
      <w:r w:rsidR="008223B1">
        <w:t xml:space="preserve">retirement boards </w:t>
      </w:r>
      <w:r w:rsidR="00773B18">
        <w:t xml:space="preserve">have </w:t>
      </w:r>
      <w:r w:rsidR="004A20B8">
        <w:t>“</w:t>
      </w:r>
      <w:r w:rsidRPr="00DD77B4" w:rsidR="004A20B8">
        <w:t xml:space="preserve">for </w:t>
      </w:r>
      <w:r w:rsidR="00A62935">
        <w:t>. . .</w:t>
      </w:r>
      <w:r w:rsidR="0083349C">
        <w:t xml:space="preserve"> </w:t>
      </w:r>
      <w:r w:rsidRPr="00DD77B4" w:rsidR="004A20B8">
        <w:t>administration of the system</w:t>
      </w:r>
      <w:r w:rsidR="004A20B8">
        <w:t>” also inform</w:t>
      </w:r>
      <w:r w:rsidR="0063024F">
        <w:t>s</w:t>
      </w:r>
      <w:r>
        <w:t xml:space="preserve"> </w:t>
      </w:r>
      <w:r w:rsidR="00D05BD8">
        <w:t>the</w:t>
      </w:r>
      <w:r>
        <w:t xml:space="preserve"> interpretation of Proposition 162.</w:t>
      </w:r>
    </w:p>
    <w:p w:rsidR="00DE42DD" w:rsidP="00396405" w14:paraId="70502181" w14:textId="27D0528D">
      <w:pPr>
        <w:spacing w:line="288" w:lineRule="auto"/>
        <w:ind w:firstLine="720"/>
      </w:pPr>
      <w:r>
        <w:t xml:space="preserve">First, “plenary” </w:t>
      </w:r>
      <w:r w:rsidR="004F32D1">
        <w:t xml:space="preserve">in Proposition 162 </w:t>
      </w:r>
      <w:r w:rsidR="004B5CC5">
        <w:t>means</w:t>
      </w:r>
      <w:r w:rsidR="009A31F8">
        <w:t xml:space="preserve"> </w:t>
      </w:r>
      <w:r w:rsidRPr="00022492" w:rsidR="009A31F8">
        <w:t>“</w:t>
      </w:r>
      <w:r w:rsidR="009A31F8">
        <w:t>‘[f]</w:t>
      </w:r>
      <w:r w:rsidRPr="00022492" w:rsidR="009A31F8">
        <w:t>ull, entire, complete, absolute, perfect, unqualified</w:t>
      </w:r>
      <w:r w:rsidR="00CD5ECC">
        <w:t>.’</w:t>
      </w:r>
      <w:r w:rsidRPr="00022492" w:rsidR="009A31F8">
        <w:t>”</w:t>
      </w:r>
      <w:r w:rsidR="00CD5ECC">
        <w:t xml:space="preserve">  (</w:t>
      </w:r>
      <w:r w:rsidRPr="00022492" w:rsidR="000E135D">
        <w:rPr>
          <w:i/>
          <w:iCs/>
        </w:rPr>
        <w:t>Singh v. Board of Retirement</w:t>
      </w:r>
      <w:r w:rsidRPr="00022492" w:rsidR="000E135D">
        <w:t xml:space="preserve"> (1996) 41</w:t>
      </w:r>
      <w:r w:rsidR="000E135D">
        <w:t> </w:t>
      </w:r>
      <w:r w:rsidRPr="00022492" w:rsidR="000E135D">
        <w:t>Cal.App.4th 1180, 1190</w:t>
      </w:r>
      <w:r w:rsidR="000E135D">
        <w:t>, fn. 9</w:t>
      </w:r>
      <w:r w:rsidR="001A76CE">
        <w:t xml:space="preserve">; see </w:t>
      </w:r>
      <w:r w:rsidR="00125AC7">
        <w:t xml:space="preserve">Webster’s 3d </w:t>
      </w:r>
      <w:r w:rsidR="00175F57">
        <w:t>N</w:t>
      </w:r>
      <w:r w:rsidR="00125AC7">
        <w:t>ew Internat. Dict. (2002)</w:t>
      </w:r>
      <w:r w:rsidR="00175F57">
        <w:t xml:space="preserve"> </w:t>
      </w:r>
      <w:r w:rsidR="00A62935">
        <w:t>p. </w:t>
      </w:r>
      <w:r w:rsidR="00175F57">
        <w:t>1739 [</w:t>
      </w:r>
      <w:r w:rsidR="002D0BFC">
        <w:t>“plenary” means “complete in every respect: absolute, perfect, unqualified”]</w:t>
      </w:r>
      <w:r w:rsidR="00ED0AC8">
        <w:t xml:space="preserve">; see also </w:t>
      </w:r>
      <w:r w:rsidRPr="00ED0AC8" w:rsidR="00ED0AC8">
        <w:rPr>
          <w:i/>
          <w:iCs/>
        </w:rPr>
        <w:t>Haaland v. Brackeen</w:t>
      </w:r>
      <w:r w:rsidR="00ED0AC8">
        <w:t xml:space="preserve"> (2023) 599 U.S. 255, 374 (dis. opn. of Alito, J.) [“The term ‘plenary</w:t>
      </w:r>
      <w:r w:rsidR="007C7642">
        <w:t>’</w:t>
      </w:r>
      <w:r w:rsidR="00ED0AC8">
        <w:t xml:space="preserve"> is defined in one dictionary after another as ‘absolute.’”].)</w:t>
      </w:r>
      <w:r w:rsidR="000E135D">
        <w:t xml:space="preserve"> </w:t>
      </w:r>
      <w:r w:rsidRPr="00022492" w:rsidR="009A31F8">
        <w:t xml:space="preserve"> </w:t>
      </w:r>
      <w:r w:rsidR="00DF4B08">
        <w:t>C</w:t>
      </w:r>
      <w:r w:rsidR="00CD5ECC">
        <w:t xml:space="preserve">ourts have interpreted “plenary authority” and “plenary power” </w:t>
      </w:r>
      <w:r w:rsidR="004B5CC5">
        <w:t xml:space="preserve">to </w:t>
      </w:r>
      <w:r w:rsidR="000105F2">
        <w:t>confer “</w:t>
      </w:r>
      <w:r w:rsidRPr="00C128FC" w:rsidR="000105F2">
        <w:t>complete, absolute, and unqualified power</w:t>
      </w:r>
      <w:r w:rsidR="009B109C">
        <w:t>.”  (</w:t>
      </w:r>
      <w:r w:rsidRPr="00C128FC" w:rsidR="00133E2E">
        <w:rPr>
          <w:i/>
          <w:iCs/>
        </w:rPr>
        <w:t>Velasquez v. Workers</w:t>
      </w:r>
      <w:r w:rsidR="008C1B75">
        <w:rPr>
          <w:i/>
          <w:iCs/>
        </w:rPr>
        <w:t>’</w:t>
      </w:r>
      <w:r w:rsidRPr="00C128FC" w:rsidR="00133E2E">
        <w:rPr>
          <w:i/>
          <w:iCs/>
        </w:rPr>
        <w:t xml:space="preserve"> Comp</w:t>
      </w:r>
      <w:r w:rsidR="005B495B">
        <w:rPr>
          <w:i/>
          <w:iCs/>
        </w:rPr>
        <w:t>.</w:t>
      </w:r>
      <w:r w:rsidRPr="00C128FC" w:rsidR="00133E2E">
        <w:rPr>
          <w:i/>
          <w:iCs/>
        </w:rPr>
        <w:t xml:space="preserve"> Appeals Bd</w:t>
      </w:r>
      <w:r w:rsidR="005B495B">
        <w:rPr>
          <w:i/>
          <w:iCs/>
        </w:rPr>
        <w:t>.</w:t>
      </w:r>
      <w:r w:rsidRPr="00C128FC" w:rsidR="00133E2E">
        <w:t xml:space="preserve"> (2023) 97</w:t>
      </w:r>
      <w:r w:rsidR="001B3D19">
        <w:t> </w:t>
      </w:r>
      <w:r w:rsidRPr="00C128FC" w:rsidR="00133E2E">
        <w:t>Cal.App.5th 844, 855</w:t>
      </w:r>
      <w:r w:rsidR="00ED0AC8">
        <w:t xml:space="preserve">; see </w:t>
      </w:r>
      <w:r w:rsidRPr="00175785" w:rsidR="001B3D19">
        <w:rPr>
          <w:i/>
          <w:iCs/>
        </w:rPr>
        <w:t>Stevens v. Workers</w:t>
      </w:r>
      <w:r w:rsidR="001B3D19">
        <w:rPr>
          <w:i/>
          <w:iCs/>
        </w:rPr>
        <w:t xml:space="preserve">’ </w:t>
      </w:r>
      <w:r w:rsidRPr="00175785" w:rsidR="001B3D19">
        <w:rPr>
          <w:i/>
          <w:iCs/>
        </w:rPr>
        <w:t>Com</w:t>
      </w:r>
      <w:r w:rsidR="00A62935">
        <w:rPr>
          <w:i/>
          <w:iCs/>
        </w:rPr>
        <w:t>p. </w:t>
      </w:r>
      <w:r w:rsidRPr="00175785" w:rsidR="001B3D19">
        <w:rPr>
          <w:i/>
          <w:iCs/>
        </w:rPr>
        <w:t>Appeals B</w:t>
      </w:r>
      <w:r w:rsidR="00A62935">
        <w:rPr>
          <w:i/>
          <w:iCs/>
        </w:rPr>
        <w:t>d. </w:t>
      </w:r>
      <w:r w:rsidRPr="00175785" w:rsidR="001B3D19">
        <w:t>(2015) 241</w:t>
      </w:r>
      <w:r w:rsidR="00815CEE">
        <w:t> </w:t>
      </w:r>
      <w:r w:rsidRPr="00175785" w:rsidR="001B3D19">
        <w:t>Cal.App.4th 1074, 1094</w:t>
      </w:r>
      <w:r w:rsidR="001B3D19">
        <w:t>-</w:t>
      </w:r>
      <w:r w:rsidRPr="00175785" w:rsidR="001B3D19">
        <w:t>1095</w:t>
      </w:r>
      <w:r w:rsidR="00E01C48">
        <w:t>;</w:t>
      </w:r>
      <w:r w:rsidRPr="00175785" w:rsidR="001B3D19">
        <w:t xml:space="preserve"> </w:t>
      </w:r>
      <w:r w:rsidRPr="00175785" w:rsidR="00E31117">
        <w:rPr>
          <w:i/>
          <w:iCs/>
        </w:rPr>
        <w:t>Bautista v. State of California</w:t>
      </w:r>
      <w:r w:rsidRPr="00175785" w:rsidR="00E31117">
        <w:t xml:space="preserve"> (2011) 201</w:t>
      </w:r>
      <w:r w:rsidR="00815CEE">
        <w:t> </w:t>
      </w:r>
      <w:r w:rsidRPr="00175785" w:rsidR="00E31117">
        <w:t>Cal.App.4th 716, 725</w:t>
      </w:r>
      <w:r w:rsidR="00E31117">
        <w:t xml:space="preserve">; </w:t>
      </w:r>
      <w:r w:rsidR="0038570F">
        <w:t>see also</w:t>
      </w:r>
      <w:r w:rsidR="00D7632B">
        <w:t xml:space="preserve"> </w:t>
      </w:r>
      <w:r w:rsidRPr="004135AE" w:rsidR="00D7632B">
        <w:rPr>
          <w:i/>
          <w:iCs/>
        </w:rPr>
        <w:t>City of Redondo Beach v. Padilla</w:t>
      </w:r>
      <w:r w:rsidRPr="004135AE" w:rsidR="00D7632B">
        <w:t xml:space="preserve"> (2020) 46</w:t>
      </w:r>
      <w:r w:rsidR="00815CEE">
        <w:t> </w:t>
      </w:r>
      <w:r w:rsidRPr="004135AE" w:rsidR="00D7632B">
        <w:t>Cal.App.5th 902, 918</w:t>
      </w:r>
      <w:r w:rsidR="00D7632B">
        <w:t xml:space="preserve"> [constitutional provision granting </w:t>
      </w:r>
      <w:r w:rsidR="00BA433E">
        <w:t>charter cities “</w:t>
      </w:r>
      <w:r w:rsidRPr="00C128FC" w:rsidR="00D7632B">
        <w:t xml:space="preserve">plenary </w:t>
      </w:r>
      <w:r w:rsidR="00BA433E">
        <w:t xml:space="preserve">authority” </w:t>
      </w:r>
      <w:r w:rsidRPr="00612C25" w:rsidR="00612C25">
        <w:t>to set the timing of their elections</w:t>
      </w:r>
      <w:r w:rsidR="00612C25">
        <w:t xml:space="preserve"> may not be contravened without </w:t>
      </w:r>
      <w:r w:rsidR="0063024F">
        <w:t>“</w:t>
      </w:r>
      <w:r w:rsidR="00612C25">
        <w:t>explicit guidance from the Legislature</w:t>
      </w:r>
      <w:r w:rsidR="0063024F">
        <w:t>”</w:t>
      </w:r>
      <w:r w:rsidR="00612C25">
        <w:t>]</w:t>
      </w:r>
      <w:r w:rsidR="00AE3CDB">
        <w:t xml:space="preserve">.) </w:t>
      </w:r>
      <w:r w:rsidR="001C1AEE">
        <w:t xml:space="preserve"> Thus, the plenary authority Proposition 162 </w:t>
      </w:r>
      <w:r w:rsidR="00E01C48">
        <w:t xml:space="preserve">grants </w:t>
      </w:r>
      <w:r w:rsidR="009F1765">
        <w:t>to retirement boards for “</w:t>
      </w:r>
      <w:r w:rsidRPr="0071641F" w:rsidR="009F1765">
        <w:t>administration of the system</w:t>
      </w:r>
      <w:r w:rsidR="009F1765">
        <w:t>” is complete</w:t>
      </w:r>
      <w:r w:rsidR="00CE7DA2">
        <w:t xml:space="preserve"> and absolute, subject only to the terms of Proposition</w:t>
      </w:r>
      <w:r w:rsidR="00E01C48">
        <w:t> </w:t>
      </w:r>
      <w:r w:rsidR="00CE7DA2">
        <w:t>162</w:t>
      </w:r>
      <w:r w:rsidR="00D5150E">
        <w:t xml:space="preserve"> </w:t>
      </w:r>
      <w:r w:rsidR="003468AB">
        <w:t>and judicial review</w:t>
      </w:r>
      <w:r w:rsidR="009F1765">
        <w:t>.</w:t>
      </w:r>
      <w:r w:rsidR="006B28CC">
        <w:t xml:space="preserve">  (See </w:t>
      </w:r>
      <w:r w:rsidRPr="00706B69" w:rsidR="0042129B">
        <w:rPr>
          <w:i/>
          <w:iCs/>
        </w:rPr>
        <w:t>Board of Retirement v. Santa Barbara County Grand Jury</w:t>
      </w:r>
      <w:r w:rsidRPr="00706B69" w:rsidR="0042129B">
        <w:t xml:space="preserve"> (1997) 58</w:t>
      </w:r>
      <w:r w:rsidR="00EB58BC">
        <w:t> </w:t>
      </w:r>
      <w:r w:rsidRPr="00706B69" w:rsidR="0042129B">
        <w:t>Cal.App.4th 1185, 1193</w:t>
      </w:r>
      <w:r w:rsidR="0042129B">
        <w:t xml:space="preserve"> [</w:t>
      </w:r>
      <w:r w:rsidR="00392382">
        <w:t>“[p]</w:t>
      </w:r>
      <w:r w:rsidRPr="00706B69" w:rsidR="00392382">
        <w:t>lenary power does not mean unreviewable power</w:t>
      </w:r>
      <w:r w:rsidR="00392382">
        <w:t xml:space="preserve">”]; </w:t>
      </w:r>
      <w:r w:rsidR="00D3428E">
        <w:rPr>
          <w:i/>
          <w:iCs/>
        </w:rPr>
        <w:t>Singh</w:t>
      </w:r>
      <w:r w:rsidR="00D3428E">
        <w:t>, at p</w:t>
      </w:r>
      <w:r w:rsidR="00A62935">
        <w:t>p. </w:t>
      </w:r>
      <w:r w:rsidR="00D3428E">
        <w:t>1190, fn. 9, 1191 [same]</w:t>
      </w:r>
      <w:r w:rsidR="00E229CD">
        <w:t xml:space="preserve">; see also </w:t>
      </w:r>
      <w:r w:rsidR="00E229CD">
        <w:rPr>
          <w:i/>
          <w:iCs/>
        </w:rPr>
        <w:t>Singh</w:t>
      </w:r>
      <w:r w:rsidR="00E229CD">
        <w:t xml:space="preserve">, at </w:t>
      </w:r>
      <w:r w:rsidR="00A62935">
        <w:t>p. </w:t>
      </w:r>
      <w:r w:rsidR="00D5747D">
        <w:t>1192 [</w:t>
      </w:r>
      <w:r w:rsidR="005524D1">
        <w:t>“</w:t>
      </w:r>
      <w:r w:rsidRPr="00E93FAF" w:rsidR="005524D1">
        <w:t xml:space="preserve">the word </w:t>
      </w:r>
      <w:r w:rsidR="005524D1">
        <w:t>‘</w:t>
      </w:r>
      <w:r w:rsidRPr="00E93FAF" w:rsidR="005524D1">
        <w:t>plenary</w:t>
      </w:r>
      <w:r w:rsidR="005524D1">
        <w:t>’</w:t>
      </w:r>
      <w:r w:rsidRPr="00E93FAF" w:rsidR="005524D1">
        <w:t xml:space="preserve"> was intended to mean that retirement boards would have </w:t>
      </w:r>
      <w:r w:rsidRPr="005524D1" w:rsidR="005524D1">
        <w:t>the sole and complete power to invest their funds and to administer their systems, as opposed to being subject to direction from state and local legislative and executive bodies in these matters</w:t>
      </w:r>
      <w:r w:rsidR="005524D1">
        <w:t>”].</w:t>
      </w:r>
      <w:r w:rsidR="00E46703">
        <w:t>)</w:t>
      </w:r>
      <w:r w:rsidR="009F1765">
        <w:t xml:space="preserve"> </w:t>
      </w:r>
      <w:r w:rsidR="00D5150E">
        <w:t xml:space="preserve"> In</w:t>
      </w:r>
      <w:r w:rsidR="00E14C0F">
        <w:t> </w:t>
      </w:r>
      <w:r w:rsidR="00D5150E">
        <w:t xml:space="preserve">addition, </w:t>
      </w:r>
      <w:r w:rsidRPr="00706B69" w:rsidR="00D5150E">
        <w:t xml:space="preserve">a county retirement board </w:t>
      </w:r>
      <w:r w:rsidR="00D5150E">
        <w:t>must</w:t>
      </w:r>
      <w:r w:rsidRPr="00706B69" w:rsidR="00D5150E">
        <w:t xml:space="preserve"> </w:t>
      </w:r>
      <w:r w:rsidR="00D5150E">
        <w:t>“</w:t>
      </w:r>
      <w:r w:rsidRPr="00706B69" w:rsidR="00D5150E">
        <w:t>administer CERL as enacted by the Legislature; the boards have no authority to act inconsistently with CERL</w:t>
      </w:r>
      <w:r w:rsidR="00D5150E">
        <w:t>.”  (</w:t>
      </w:r>
      <w:r w:rsidRPr="00706B69" w:rsidR="00D5150E">
        <w:rPr>
          <w:i/>
          <w:iCs/>
        </w:rPr>
        <w:t>Alameda County Deputy Sheriff</w:t>
      </w:r>
      <w:r w:rsidR="00D5150E">
        <w:rPr>
          <w:i/>
          <w:iCs/>
        </w:rPr>
        <w:t>’</w:t>
      </w:r>
      <w:r w:rsidRPr="00706B69" w:rsidR="00D5150E">
        <w:rPr>
          <w:i/>
          <w:iCs/>
        </w:rPr>
        <w:t>s Assn</w:t>
      </w:r>
      <w:r w:rsidR="00C360BC">
        <w:rPr>
          <w:i/>
          <w:iCs/>
        </w:rPr>
        <w:t>.</w:t>
      </w:r>
      <w:r w:rsidRPr="00706B69" w:rsidR="00D5150E">
        <w:rPr>
          <w:i/>
          <w:iCs/>
        </w:rPr>
        <w:t xml:space="preserve"> v. Alameda County Employees</w:t>
      </w:r>
      <w:r w:rsidR="00D5150E">
        <w:rPr>
          <w:i/>
          <w:iCs/>
        </w:rPr>
        <w:t>’</w:t>
      </w:r>
      <w:r w:rsidRPr="00706B69" w:rsidR="00D5150E">
        <w:rPr>
          <w:i/>
          <w:iCs/>
        </w:rPr>
        <w:t xml:space="preserve"> Retirement Assn</w:t>
      </w:r>
      <w:r w:rsidR="00C360BC">
        <w:rPr>
          <w:i/>
          <w:iCs/>
        </w:rPr>
        <w:t>.</w:t>
      </w:r>
      <w:r w:rsidR="00D5150E">
        <w:t xml:space="preserve">, </w:t>
      </w:r>
      <w:r w:rsidR="00D5150E">
        <w:rPr>
          <w:i/>
          <w:iCs/>
        </w:rPr>
        <w:t>supra</w:t>
      </w:r>
      <w:r w:rsidR="00D5150E">
        <w:t>,</w:t>
      </w:r>
      <w:r w:rsidR="00D5150E">
        <w:rPr>
          <w:i/>
          <w:iCs/>
        </w:rPr>
        <w:t xml:space="preserve"> </w:t>
      </w:r>
      <w:r w:rsidRPr="00706B69" w:rsidR="00D5150E">
        <w:t>9</w:t>
      </w:r>
      <w:r w:rsidR="00D5150E">
        <w:t> </w:t>
      </w:r>
      <w:r w:rsidRPr="00706B69" w:rsidR="00D5150E">
        <w:t xml:space="preserve">Cal.5th </w:t>
      </w:r>
      <w:r w:rsidR="00D5150E">
        <w:t>at p. </w:t>
      </w:r>
      <w:r w:rsidRPr="00706B69" w:rsidR="00D5150E">
        <w:t>1069</w:t>
      </w:r>
      <w:r w:rsidR="00D5150E">
        <w:t>.)</w:t>
      </w:r>
    </w:p>
    <w:p w:rsidR="00D3198A" w:rsidP="004076C6" w14:paraId="5A143E42" w14:textId="610E55DE">
      <w:pPr>
        <w:spacing w:line="288" w:lineRule="auto"/>
        <w:ind w:firstLine="720"/>
      </w:pPr>
      <w:r>
        <w:t>Second</w:t>
      </w:r>
      <w:r w:rsidR="00177E4E">
        <w:t xml:space="preserve">, we construe “administration of the system” </w:t>
      </w:r>
      <w:r w:rsidR="00C1531D">
        <w:t xml:space="preserve">within the context of Proposition 162 and </w:t>
      </w:r>
      <w:r w:rsidR="00177E4E">
        <w:t>consistent</w:t>
      </w:r>
      <w:r w:rsidR="00214C0A">
        <w:t xml:space="preserve">ly </w:t>
      </w:r>
      <w:r w:rsidR="00177E4E">
        <w:t>with the same or similar phrase</w:t>
      </w:r>
      <w:r w:rsidR="009F290F">
        <w:t>s</w:t>
      </w:r>
      <w:r w:rsidR="00177E4E">
        <w:t xml:space="preserve"> </w:t>
      </w:r>
      <w:r w:rsidR="00EE0EB0">
        <w:t xml:space="preserve">in </w:t>
      </w:r>
      <w:r w:rsidR="00177E4E">
        <w:t xml:space="preserve">CERL. </w:t>
      </w:r>
      <w:r w:rsidR="00167DAF">
        <w:t xml:space="preserve"> (See</w:t>
      </w:r>
      <w:r w:rsidR="003453EE">
        <w:t xml:space="preserve"> </w:t>
      </w:r>
      <w:r w:rsidRPr="009A6C21" w:rsidR="003453EE">
        <w:rPr>
          <w:i/>
          <w:iCs/>
        </w:rPr>
        <w:t>People v. Tran</w:t>
      </w:r>
      <w:r w:rsidRPr="009A6C21" w:rsidR="003453EE">
        <w:t xml:space="preserve"> (2015) 61</w:t>
      </w:r>
      <w:r w:rsidR="00EE0EB0">
        <w:t> </w:t>
      </w:r>
      <w:r w:rsidRPr="009A6C21" w:rsidR="003453EE">
        <w:t>Cal.4th 1160, 1168</w:t>
      </w:r>
      <w:r w:rsidR="003453EE">
        <w:t xml:space="preserve"> [</w:t>
      </w:r>
      <w:r w:rsidR="005C5CE8">
        <w:t xml:space="preserve">courts should construe </w:t>
      </w:r>
      <w:r w:rsidRPr="009A6C21" w:rsidR="003408A5">
        <w:t>similar statutes in light of one another</w:t>
      </w:r>
      <w:r w:rsidR="003408A5">
        <w:t>,</w:t>
      </w:r>
      <w:r w:rsidRPr="009A6C21" w:rsidR="003408A5">
        <w:t xml:space="preserve"> and when statutes are </w:t>
      </w:r>
      <w:r w:rsidRPr="00D16AFF" w:rsidR="003408A5">
        <w:t>in pari materia</w:t>
      </w:r>
      <w:r>
        <w:rPr>
          <w:rStyle w:val="FootnoteReference"/>
        </w:rPr>
        <w:footnoteReference w:id="10"/>
      </w:r>
      <w:r w:rsidRPr="009A6C21" w:rsidR="003408A5">
        <w:t xml:space="preserve"> similar phrases appearing in each should be given like meanings</w:t>
      </w:r>
      <w:r w:rsidR="003408A5">
        <w:t xml:space="preserve">]; </w:t>
      </w:r>
      <w:r w:rsidRPr="00C51E77" w:rsidR="00F22D2B">
        <w:rPr>
          <w:i/>
          <w:iCs/>
        </w:rPr>
        <w:t>GRFCO, Inc. v. Superior Court</w:t>
      </w:r>
      <w:r w:rsidRPr="00C51E77" w:rsidR="00F22D2B">
        <w:t xml:space="preserve"> (2023) 89</w:t>
      </w:r>
      <w:r w:rsidR="00815CEE">
        <w:t> </w:t>
      </w:r>
      <w:r w:rsidRPr="00C51E77" w:rsidR="00F22D2B">
        <w:t xml:space="preserve">Cal.App.5th 1295, 1310 </w:t>
      </w:r>
      <w:r w:rsidR="00F22D2B">
        <w:t xml:space="preserve">[same]; see also </w:t>
      </w:r>
      <w:r w:rsidRPr="00693A1D" w:rsidR="00655154">
        <w:rPr>
          <w:i/>
          <w:iCs/>
        </w:rPr>
        <w:t>Lungren v. Deukmejian</w:t>
      </w:r>
      <w:r w:rsidRPr="00693A1D" w:rsidR="00655154">
        <w:t xml:space="preserve"> (1988) 45</w:t>
      </w:r>
      <w:r w:rsidR="00815CEE">
        <w:t> </w:t>
      </w:r>
      <w:r w:rsidRPr="00693A1D" w:rsidR="00655154">
        <w:t xml:space="preserve">Cal.3d 727, 735 </w:t>
      </w:r>
      <w:r w:rsidR="00655154">
        <w:t>[</w:t>
      </w:r>
      <w:r w:rsidR="00AE44AD">
        <w:t>“</w:t>
      </w:r>
      <w:r w:rsidRPr="00693A1D" w:rsidR="00AE44AD">
        <w:t>words must be construed in context, and provisions relating to the same subject matter must be harmonized to the extent possible</w:t>
      </w:r>
      <w:r w:rsidR="00AE44AD">
        <w:t>”</w:t>
      </w:r>
      <w:r w:rsidR="00655154">
        <w:t>]</w:t>
      </w:r>
      <w:r w:rsidR="004648A1">
        <w:t>.</w:t>
      </w:r>
      <w:r w:rsidR="002655C8">
        <w:t>)</w:t>
      </w:r>
      <w:r w:rsidR="00167DAF">
        <w:t xml:space="preserve"> </w:t>
      </w:r>
      <w:r w:rsidR="005F5687">
        <w:t xml:space="preserve"> </w:t>
      </w:r>
      <w:r w:rsidR="00167DAF">
        <w:t>Subdivision</w:t>
      </w:r>
      <w:r w:rsidR="00DB0A73">
        <w:t>s (a) and</w:t>
      </w:r>
      <w:r w:rsidR="00167DAF">
        <w:t xml:space="preserve"> (b) of Proposition 162 </w:t>
      </w:r>
      <w:r w:rsidR="00AB5020">
        <w:t xml:space="preserve">both refer to the </w:t>
      </w:r>
      <w:r w:rsidR="001D7953">
        <w:t xml:space="preserve">duty of retirement boards to use the assets of a retirement system </w:t>
      </w:r>
      <w:r w:rsidR="00E47DDF">
        <w:t>to “</w:t>
      </w:r>
      <w:r w:rsidRPr="001270C1" w:rsidR="004739CB">
        <w:t>defray</w:t>
      </w:r>
      <w:r w:rsidR="00E47DDF">
        <w:t>[ ]</w:t>
      </w:r>
      <w:r w:rsidRPr="001270C1" w:rsidR="004739CB">
        <w:t xml:space="preserve"> reasonable expenses of </w:t>
      </w:r>
      <w:r w:rsidRPr="001270C1" w:rsidR="004739CB">
        <w:rPr>
          <w:i/>
          <w:iCs/>
        </w:rPr>
        <w:t>administering the system</w:t>
      </w:r>
      <w:r w:rsidRPr="001270C1" w:rsidR="004739CB">
        <w:t>.</w:t>
      </w:r>
      <w:r w:rsidR="001270C1">
        <w:t xml:space="preserve">”  </w:t>
      </w:r>
      <w:bookmarkStart w:id="1" w:name="_Hlk160028084"/>
      <w:r w:rsidRPr="00B37C07" w:rsidR="00D35402">
        <w:t xml:space="preserve">(Cal. Const., art. XVI, </w:t>
      </w:r>
      <w:r w:rsidR="00A62935">
        <w:t>§ </w:t>
      </w:r>
      <w:r w:rsidRPr="00B37C07" w:rsidR="00D35402">
        <w:t>17</w:t>
      </w:r>
      <w:r w:rsidR="00D35402">
        <w:t xml:space="preserve">, </w:t>
      </w:r>
      <w:r w:rsidR="00C31195">
        <w:t>subd</w:t>
      </w:r>
      <w:r w:rsidR="00E47DDF">
        <w:t>s</w:t>
      </w:r>
      <w:r w:rsidR="00C31195">
        <w:t xml:space="preserve">. </w:t>
      </w:r>
      <w:r w:rsidR="00E47DDF">
        <w:t xml:space="preserve">(a), </w:t>
      </w:r>
      <w:r w:rsidR="00C31195">
        <w:t>(b)</w:t>
      </w:r>
      <w:r w:rsidR="00C94006">
        <w:t xml:space="preserve">, </w:t>
      </w:r>
      <w:bookmarkEnd w:id="1"/>
      <w:r w:rsidR="00C94006">
        <w:t>italics added</w:t>
      </w:r>
      <w:r w:rsidRPr="00B37C07" w:rsidR="00D35402">
        <w:t>.)</w:t>
      </w:r>
      <w:r w:rsidR="00D35402">
        <w:t xml:space="preserve">  </w:t>
      </w:r>
      <w:r w:rsidR="000A0101">
        <w:t xml:space="preserve">This phrase </w:t>
      </w:r>
      <w:r w:rsidR="0089199F">
        <w:t xml:space="preserve">also </w:t>
      </w:r>
      <w:r w:rsidR="007E228E">
        <w:t xml:space="preserve">appears in </w:t>
      </w:r>
      <w:r w:rsidR="0089199F">
        <w:t xml:space="preserve">section </w:t>
      </w:r>
      <w:r w:rsidR="00342DA8">
        <w:t>31595</w:t>
      </w:r>
      <w:r w:rsidR="0089199F">
        <w:t xml:space="preserve">, which </w:t>
      </w:r>
      <w:r w:rsidR="00D50F3D">
        <w:t xml:space="preserve">states the assets of a retirement fund </w:t>
      </w:r>
      <w:r w:rsidR="005C5CE8">
        <w:t>must</w:t>
      </w:r>
      <w:r w:rsidR="00D50F3D">
        <w:t xml:space="preserve"> be held for the exclusive purposes of </w:t>
      </w:r>
      <w:r w:rsidR="00854915">
        <w:t>providing benefits and “defraying reasonable expenses of administering the system.”  (</w:t>
      </w:r>
      <w:r w:rsidR="00A62935">
        <w:t>§ </w:t>
      </w:r>
      <w:r w:rsidR="002F4A37">
        <w:t>31595, sub</w:t>
      </w:r>
      <w:r w:rsidR="00A62935">
        <w:t>d. </w:t>
      </w:r>
      <w:r w:rsidR="002F4A37">
        <w:t>(a).)</w:t>
      </w:r>
      <w:r w:rsidR="00854915">
        <w:t xml:space="preserve">  Similarly, section 31580.2 </w:t>
      </w:r>
      <w:r w:rsidR="00AA4325">
        <w:t>requires retirement board</w:t>
      </w:r>
      <w:r w:rsidR="00460942">
        <w:t>s</w:t>
      </w:r>
      <w:r w:rsidR="00AA4325">
        <w:t xml:space="preserve"> that appoint </w:t>
      </w:r>
      <w:r w:rsidR="00460942">
        <w:t xml:space="preserve">their </w:t>
      </w:r>
      <w:r w:rsidR="00AA4325">
        <w:t>own personnel to adopt a</w:t>
      </w:r>
      <w:r w:rsidR="00653063">
        <w:t>nnual</w:t>
      </w:r>
      <w:r w:rsidR="00AA4325">
        <w:t xml:space="preserve"> budget</w:t>
      </w:r>
      <w:r w:rsidR="00653063">
        <w:t>s</w:t>
      </w:r>
      <w:r w:rsidR="00AA4325">
        <w:t xml:space="preserve"> “covering the entire expense of administration of the retirement system.” </w:t>
      </w:r>
      <w:r w:rsidR="005F0EF5">
        <w:t xml:space="preserve"> (</w:t>
      </w:r>
      <w:r w:rsidR="00A62935">
        <w:t>§ </w:t>
      </w:r>
      <w:r w:rsidR="005F0EF5">
        <w:t>31580.2, sub</w:t>
      </w:r>
      <w:r w:rsidR="00A62935">
        <w:t>d. </w:t>
      </w:r>
      <w:r w:rsidR="005F0EF5">
        <w:t xml:space="preserve">(a).)  </w:t>
      </w:r>
      <w:r w:rsidR="00014469">
        <w:t xml:space="preserve">The Legislature enacted these statutory provisions before the voters enacted Proposition 162, and </w:t>
      </w:r>
      <w:r w:rsidR="00346FB5">
        <w:t xml:space="preserve">we presume the </w:t>
      </w:r>
      <w:r w:rsidR="00014469">
        <w:t xml:space="preserve">voters </w:t>
      </w:r>
      <w:r w:rsidR="00346FB5">
        <w:t xml:space="preserve">were </w:t>
      </w:r>
      <w:r w:rsidR="00014469">
        <w:t>aware of them.  (</w:t>
      </w:r>
      <w:r w:rsidR="00BB44E0">
        <w:t>See</w:t>
      </w:r>
      <w:r w:rsidR="0024211D">
        <w:t xml:space="preserve"> </w:t>
      </w:r>
      <w:r w:rsidRPr="008636AB" w:rsidR="0024211D">
        <w:rPr>
          <w:i/>
          <w:iCs/>
        </w:rPr>
        <w:t>Ruelas v. County of Alameda</w:t>
      </w:r>
      <w:r w:rsidRPr="008636AB" w:rsidR="0024211D">
        <w:t xml:space="preserve"> (2024</w:t>
      </w:r>
      <w:r w:rsidRPr="008636AB" w:rsidR="00B17AC0">
        <w:t xml:space="preserve">) </w:t>
      </w:r>
      <w:r w:rsidRPr="00C6211A" w:rsidR="00B17AC0">
        <w:rPr>
          <w:rFonts w:eastAsia="SimSun" w:hint="eastAsia"/>
          <w:lang w:eastAsia="zh-CN"/>
        </w:rPr>
        <w:t>15</w:t>
      </w:r>
      <w:r w:rsidR="00B17AC0">
        <w:t> </w:t>
      </w:r>
      <w:r w:rsidR="0024211D">
        <w:t>Cal.</w:t>
      </w:r>
      <w:r w:rsidR="00B17AC0">
        <w:t xml:space="preserve">5th </w:t>
      </w:r>
      <w:r w:rsidRPr="00E27653" w:rsidR="00B17AC0">
        <w:rPr>
          <w:rFonts w:eastAsia="SimSun" w:hint="eastAsia"/>
          <w:lang w:eastAsia="zh-CN"/>
        </w:rPr>
        <w:t>968</w:t>
      </w:r>
      <w:r w:rsidR="00B17AC0">
        <w:t xml:space="preserve">, </w:t>
      </w:r>
      <w:r w:rsidRPr="00E27653" w:rsidR="00B17AC0">
        <w:rPr>
          <w:rFonts w:eastAsia="SimSun" w:hint="eastAsia"/>
          <w:lang w:eastAsia="zh-CN"/>
        </w:rPr>
        <w:t>979</w:t>
      </w:r>
      <w:r w:rsidR="0024211D">
        <w:t xml:space="preserve"> [</w:t>
      </w:r>
      <w:r w:rsidR="00906F23">
        <w:t xml:space="preserve">the voters are </w:t>
      </w:r>
      <w:r w:rsidR="0024211D">
        <w:t>“</w:t>
      </w:r>
      <w:r w:rsidRPr="00A05FD8" w:rsidR="0024211D">
        <w:t>presumed to be aware of existing laws</w:t>
      </w:r>
      <w:r w:rsidR="0024211D">
        <w:t xml:space="preserve">” when they </w:t>
      </w:r>
      <w:r w:rsidRPr="00A05FD8" w:rsidR="0024211D">
        <w:t>enact</w:t>
      </w:r>
      <w:r w:rsidR="0024211D">
        <w:t xml:space="preserve"> an initiative];</w:t>
      </w:r>
      <w:r w:rsidR="00BB44E0">
        <w:t xml:space="preserve"> </w:t>
      </w:r>
      <w:r w:rsidRPr="00C67C3C" w:rsidR="00030AC6">
        <w:rPr>
          <w:i/>
          <w:iCs/>
        </w:rPr>
        <w:t>People v. Perez</w:t>
      </w:r>
      <w:r w:rsidRPr="00C67C3C" w:rsidR="00030AC6">
        <w:t xml:space="preserve"> (2018) 4</w:t>
      </w:r>
      <w:r w:rsidR="00033CDD">
        <w:t> </w:t>
      </w:r>
      <w:r w:rsidRPr="00C67C3C" w:rsidR="00030AC6">
        <w:t>Cal.5th 1055, 1067</w:t>
      </w:r>
      <w:r w:rsidR="00030AC6">
        <w:t>-</w:t>
      </w:r>
      <w:r w:rsidRPr="00C67C3C" w:rsidR="00030AC6">
        <w:t xml:space="preserve">1068 </w:t>
      </w:r>
      <w:r w:rsidR="00030AC6">
        <w:t>[</w:t>
      </w:r>
      <w:r w:rsidR="00F95D35">
        <w:t>“[w]</w:t>
      </w:r>
      <w:r w:rsidRPr="00C67C3C" w:rsidR="00F95D35">
        <w:t>e presume the electorate, when it enacts an initiative, is ‘</w:t>
      </w:r>
      <w:r w:rsidR="00F95D35">
        <w:t>“</w:t>
      </w:r>
      <w:r w:rsidRPr="00C67C3C" w:rsidR="00F95D35">
        <w:t>aware of existing laws</w:t>
      </w:r>
      <w:r w:rsidR="00F95D35">
        <w:t xml:space="preserve">”’”]; </w:t>
      </w:r>
      <w:r w:rsidRPr="004076C6" w:rsidR="004076C6">
        <w:rPr>
          <w:i/>
          <w:iCs/>
        </w:rPr>
        <w:t>Professional Engineers in California Government v. Kempton</w:t>
      </w:r>
      <w:r w:rsidR="00C27106">
        <w:t xml:space="preserve">, </w:t>
      </w:r>
      <w:r w:rsidR="00C27106">
        <w:rPr>
          <w:i/>
          <w:iCs/>
        </w:rPr>
        <w:t>supra</w:t>
      </w:r>
      <w:r w:rsidR="00C27106">
        <w:t>,</w:t>
      </w:r>
      <w:r w:rsidR="004076C6">
        <w:t xml:space="preserve"> 40 Cal.4th </w:t>
      </w:r>
      <w:r w:rsidR="00C27106">
        <w:t>at p. </w:t>
      </w:r>
      <w:r w:rsidR="004076C6">
        <w:t xml:space="preserve">1048 [“voters are presumed to have been aware of existing laws at the time the initiative was enacted”]; </w:t>
      </w:r>
      <w:r w:rsidRPr="004076C6" w:rsidR="004076C6">
        <w:rPr>
          <w:i/>
          <w:iCs/>
        </w:rPr>
        <w:t xml:space="preserve">Brookside Investments, Ltd. </w:t>
      </w:r>
      <w:r w:rsidR="00B17AC0">
        <w:rPr>
          <w:i/>
          <w:iCs/>
        </w:rPr>
        <w:t>v</w:t>
      </w:r>
      <w:r w:rsidRPr="004076C6" w:rsidR="004076C6">
        <w:rPr>
          <w:i/>
          <w:iCs/>
        </w:rPr>
        <w:t>. City of El Monte</w:t>
      </w:r>
      <w:r w:rsidR="004076C6">
        <w:t xml:space="preserve"> (2016) </w:t>
      </w:r>
      <w:r w:rsidR="009A60B1">
        <w:t>5 </w:t>
      </w:r>
      <w:r w:rsidR="004076C6">
        <w:t>Cal.App.5th 540, 555 [voters who enact “constitutional amendments are presumed to have been aware” of existing statutes].)</w:t>
      </w:r>
    </w:p>
    <w:p w:rsidR="00B222A0" w:rsidP="00396405" w14:paraId="0FE49906" w14:textId="694DB910">
      <w:pPr>
        <w:spacing w:line="288" w:lineRule="auto"/>
        <w:ind w:firstLine="720"/>
      </w:pPr>
      <w:r>
        <w:t>T</w:t>
      </w:r>
      <w:r w:rsidR="000D313D">
        <w:t>he costs of “administering</w:t>
      </w:r>
      <w:r w:rsidR="00951BEA">
        <w:t xml:space="preserve"> the [retirement] system” </w:t>
      </w:r>
      <w:r w:rsidR="00670184">
        <w:t xml:space="preserve">under CERL </w:t>
      </w:r>
      <w:r w:rsidR="00951BEA">
        <w:t xml:space="preserve">include the costs of </w:t>
      </w:r>
      <w:r w:rsidR="00E411E5">
        <w:t>compensating</w:t>
      </w:r>
      <w:r w:rsidR="00951BEA">
        <w:t xml:space="preserve"> retirement system </w:t>
      </w:r>
      <w:r>
        <w:t>personnel</w:t>
      </w:r>
      <w:r w:rsidR="005443E7">
        <w:t xml:space="preserve">. </w:t>
      </w:r>
      <w:r w:rsidR="001E7D38">
        <w:t xml:space="preserve"> </w:t>
      </w:r>
      <w:r w:rsidR="002D71BC">
        <w:t>(</w:t>
      </w:r>
      <w:r w:rsidR="00872BF4">
        <w:t xml:space="preserve">See </w:t>
      </w:r>
      <w:r w:rsidR="00A62935">
        <w:t>§ </w:t>
      </w:r>
      <w:r w:rsidR="00FD0475">
        <w:t>31522.5</w:t>
      </w:r>
      <w:r w:rsidR="00A03F3A">
        <w:t>, sub</w:t>
      </w:r>
      <w:r w:rsidR="00A62935">
        <w:t>d. </w:t>
      </w:r>
      <w:r w:rsidR="00921637">
        <w:t>(c)</w:t>
      </w:r>
      <w:r w:rsidR="00FD0475">
        <w:t xml:space="preserve"> [“the compensation of personnel appointed pursuant to this section [governing </w:t>
      </w:r>
      <w:r w:rsidR="00DF35E9">
        <w:t xml:space="preserve">the retirement system of San Bernardino County] </w:t>
      </w:r>
      <w:r w:rsidR="00687180">
        <w:t>shall be an expense of administration of the retirement system”]</w:t>
      </w:r>
      <w:r w:rsidR="009751CC">
        <w:t xml:space="preserve">; </w:t>
      </w:r>
      <w:r w:rsidR="00A62935">
        <w:t>§ </w:t>
      </w:r>
      <w:r w:rsidR="00A03F3A">
        <w:t>31522.9, sub</w:t>
      </w:r>
      <w:r w:rsidR="00A62935">
        <w:t>d. </w:t>
      </w:r>
      <w:r w:rsidR="00A03F3A">
        <w:t>(d) [same for Contra Costa County]</w:t>
      </w:r>
      <w:r w:rsidR="005443E7">
        <w:t xml:space="preserve">; </w:t>
      </w:r>
      <w:r w:rsidR="00A62935">
        <w:t>§ </w:t>
      </w:r>
      <w:r w:rsidR="005443E7">
        <w:t>31522.10, sub</w:t>
      </w:r>
      <w:r w:rsidR="00A62935">
        <w:t>d. </w:t>
      </w:r>
      <w:r w:rsidR="005443E7">
        <w:t>(c) [same for Ventura County]</w:t>
      </w:r>
      <w:r w:rsidR="00D22A97">
        <w:t xml:space="preserve">; </w:t>
      </w:r>
      <w:r w:rsidR="00A62935">
        <w:t>§ </w:t>
      </w:r>
      <w:r w:rsidR="00D22A97">
        <w:t>31522.11, sub</w:t>
      </w:r>
      <w:r w:rsidR="00A62935">
        <w:t>d. </w:t>
      </w:r>
      <w:r w:rsidR="00D22A97">
        <w:t>(c) [same for Orange County]</w:t>
      </w:r>
      <w:r w:rsidR="00E411E5">
        <w:t xml:space="preserve">; </w:t>
      </w:r>
      <w:r w:rsidRPr="008832D9" w:rsidR="00E411E5">
        <w:rPr>
          <w:i/>
          <w:iCs/>
        </w:rPr>
        <w:t>Corcoran</w:t>
      </w:r>
      <w:r w:rsidR="00E411E5">
        <w:t xml:space="preserve">, </w:t>
      </w:r>
      <w:r w:rsidR="00E411E5">
        <w:rPr>
          <w:i/>
          <w:iCs/>
        </w:rPr>
        <w:t>supra</w:t>
      </w:r>
      <w:r w:rsidR="00E411E5">
        <w:t>,</w:t>
      </w:r>
      <w:r w:rsidRPr="008832D9" w:rsidR="00E411E5">
        <w:rPr>
          <w:i/>
          <w:iCs/>
        </w:rPr>
        <w:t xml:space="preserve"> </w:t>
      </w:r>
      <w:r w:rsidRPr="008832D9" w:rsidR="00E411E5">
        <w:t>60</w:t>
      </w:r>
      <w:r w:rsidR="00E411E5">
        <w:t> </w:t>
      </w:r>
      <w:r w:rsidRPr="008832D9" w:rsidR="00E411E5">
        <w:t xml:space="preserve">Cal.App.4th </w:t>
      </w:r>
      <w:r w:rsidR="00E411E5">
        <w:t>at p. </w:t>
      </w:r>
      <w:r w:rsidRPr="008832D9" w:rsidR="00E411E5">
        <w:t>94</w:t>
      </w:r>
      <w:r w:rsidR="00E411E5">
        <w:t xml:space="preserve"> [“[s]</w:t>
      </w:r>
      <w:r w:rsidRPr="004E4BF9" w:rsidR="00E411E5">
        <w:t>alaries of the officers and employees appointed by the Retirement Board are costs of administering the Contra Costa retirement system which the system itself bears”]</w:t>
      </w:r>
      <w:r w:rsidR="00687180">
        <w:t>.</w:t>
      </w:r>
      <w:r w:rsidRPr="004E4BF9" w:rsidR="004E4BF9">
        <w:t>)</w:t>
      </w:r>
      <w:r w:rsidR="00D51DA5">
        <w:t xml:space="preserve"> </w:t>
      </w:r>
      <w:r w:rsidR="00D22A97">
        <w:t xml:space="preserve"> </w:t>
      </w:r>
      <w:r w:rsidR="005443E7">
        <w:t>A</w:t>
      </w:r>
      <w:r w:rsidR="00D51DA5">
        <w:t>nd</w:t>
      </w:r>
      <w:r w:rsidR="00CA51D5">
        <w:t xml:space="preserve"> the LACERA Boards include this expense in </w:t>
      </w:r>
      <w:r w:rsidR="00416ED3">
        <w:t xml:space="preserve">LACERA’s </w:t>
      </w:r>
      <w:r w:rsidR="00CA51D5">
        <w:t xml:space="preserve">annual budget </w:t>
      </w:r>
      <w:r w:rsidR="00E75AFF">
        <w:t>“covering the entire expense of administration of the retirement system” (</w:t>
      </w:r>
      <w:r w:rsidR="00A62935">
        <w:t>§ </w:t>
      </w:r>
      <w:r w:rsidR="00E75AFF">
        <w:t>31580.2, sub</w:t>
      </w:r>
      <w:r w:rsidR="00A62935">
        <w:t>d. </w:t>
      </w:r>
      <w:r w:rsidR="00E75AFF">
        <w:t>(a)).</w:t>
      </w:r>
      <w:r w:rsidR="002A705E">
        <w:t xml:space="preserve"> </w:t>
      </w:r>
      <w:r w:rsidR="00523B13">
        <w:t xml:space="preserve"> </w:t>
      </w:r>
      <w:r w:rsidR="001E23F6">
        <w:t xml:space="preserve">Indeed, the County and Board of Supervisors acknowledge </w:t>
      </w:r>
      <w:r w:rsidR="00FA3241">
        <w:t xml:space="preserve">CERL requires LACERA to budget and pay for </w:t>
      </w:r>
      <w:r w:rsidR="00D61023">
        <w:t xml:space="preserve">its employees’ compensation. </w:t>
      </w:r>
      <w:r w:rsidR="00771942">
        <w:t xml:space="preserve"> </w:t>
      </w:r>
      <w:r>
        <w:t xml:space="preserve">Because the phrase “expenses of administering the system” </w:t>
      </w:r>
      <w:r w:rsidR="00357B55">
        <w:t>in Proposition 162 include</w:t>
      </w:r>
      <w:r w:rsidR="00334286">
        <w:t>s</w:t>
      </w:r>
      <w:r w:rsidR="00357B55">
        <w:t xml:space="preserve"> expenses for compensat</w:t>
      </w:r>
      <w:r w:rsidR="008D4C4B">
        <w:t>ion</w:t>
      </w:r>
      <w:r w:rsidR="0076213E">
        <w:t xml:space="preserve">, the phrase “administration of the system” must </w:t>
      </w:r>
      <w:r w:rsidR="002D0646">
        <w:t xml:space="preserve">also </w:t>
      </w:r>
      <w:r w:rsidR="00DD7334">
        <w:t xml:space="preserve">include </w:t>
      </w:r>
      <w:r w:rsidR="009C1520">
        <w:t xml:space="preserve">the management of </w:t>
      </w:r>
      <w:r w:rsidR="00CE2D5B">
        <w:t>compensation</w:t>
      </w:r>
      <w:r w:rsidR="0010513D">
        <w:t>-related matters</w:t>
      </w:r>
      <w:r w:rsidR="007D6227">
        <w:t xml:space="preserve">, such as </w:t>
      </w:r>
      <w:r w:rsidR="009838A4">
        <w:t xml:space="preserve">fixing </w:t>
      </w:r>
      <w:r w:rsidR="007D6227">
        <w:t>compensation</w:t>
      </w:r>
      <w:r w:rsidR="009838A4">
        <w:t xml:space="preserve"> for system employees</w:t>
      </w:r>
      <w:r w:rsidR="00334286">
        <w:t xml:space="preserve">.  (See </w:t>
      </w:r>
      <w:r w:rsidRPr="006237D2" w:rsidR="00E265D4">
        <w:rPr>
          <w:i/>
          <w:iCs/>
        </w:rPr>
        <w:t>Gilb v. Chiang</w:t>
      </w:r>
      <w:r w:rsidRPr="006237D2" w:rsidR="00E265D4">
        <w:t xml:space="preserve"> (2010) 186</w:t>
      </w:r>
      <w:r w:rsidR="00815CEE">
        <w:t> </w:t>
      </w:r>
      <w:r w:rsidRPr="006237D2" w:rsidR="00E265D4">
        <w:t xml:space="preserve">Cal.App.4th 444, </w:t>
      </w:r>
      <w:r w:rsidR="003C6174">
        <w:t>46</w:t>
      </w:r>
      <w:r w:rsidR="00497427">
        <w:t>5</w:t>
      </w:r>
      <w:r w:rsidR="003C6174">
        <w:t xml:space="preserve">, </w:t>
      </w:r>
      <w:r w:rsidRPr="006237D2" w:rsidR="00E265D4">
        <w:t xml:space="preserve">467 </w:t>
      </w:r>
      <w:r w:rsidR="00E265D4">
        <w:t>[statut</w:t>
      </w:r>
      <w:r w:rsidR="00815CEE">
        <w:t>e</w:t>
      </w:r>
      <w:r w:rsidR="00E265D4">
        <w:t xml:space="preserve"> grant</w:t>
      </w:r>
      <w:r w:rsidR="00815CEE">
        <w:t>ing</w:t>
      </w:r>
      <w:r w:rsidR="00E265D4">
        <w:t xml:space="preserve"> authority to</w:t>
      </w:r>
      <w:r w:rsidR="003E34F4">
        <w:t xml:space="preserve"> </w:t>
      </w:r>
      <w:r w:rsidR="004670A3">
        <w:t xml:space="preserve">an </w:t>
      </w:r>
      <w:r w:rsidR="003E34F4">
        <w:t>agency to</w:t>
      </w:r>
      <w:r w:rsidR="00E265D4">
        <w:t xml:space="preserve"> </w:t>
      </w:r>
      <w:r w:rsidR="00B33740">
        <w:t xml:space="preserve">“administ[er]” </w:t>
      </w:r>
      <w:r w:rsidR="0064709D">
        <w:t xml:space="preserve">state employees’ </w:t>
      </w:r>
      <w:r w:rsidR="00B33740">
        <w:t xml:space="preserve">salaries </w:t>
      </w:r>
      <w:r w:rsidR="0089625E">
        <w:t xml:space="preserve">delegated </w:t>
      </w:r>
      <w:r w:rsidR="009412A0">
        <w:t xml:space="preserve">authority </w:t>
      </w:r>
      <w:r w:rsidR="0064709D">
        <w:t xml:space="preserve">to that agency </w:t>
      </w:r>
      <w:r w:rsidRPr="006237D2" w:rsidR="009F1052">
        <w:t>“</w:t>
      </w:r>
      <w:r w:rsidR="009F1052">
        <w:t>‘</w:t>
      </w:r>
      <w:r w:rsidRPr="006237D2" w:rsidR="009F1052">
        <w:t>to manage or supervise the execution, use, or conduct</w:t>
      </w:r>
      <w:r w:rsidR="009F1052">
        <w:t>’</w:t>
      </w:r>
      <w:r w:rsidRPr="006237D2" w:rsidR="009F1052">
        <w:t>”</w:t>
      </w:r>
      <w:r w:rsidR="009F1052">
        <w:t xml:space="preserve"> of</w:t>
      </w:r>
      <w:r w:rsidR="0089625E">
        <w:t xml:space="preserve"> </w:t>
      </w:r>
      <w:r w:rsidR="0064709D">
        <w:t>“‘</w:t>
      </w:r>
      <w:r w:rsidR="0089625E">
        <w:t xml:space="preserve">the state’s financial relationship with </w:t>
      </w:r>
      <w:r w:rsidR="00AD1F3A">
        <w:t>its employees’”];</w:t>
      </w:r>
      <w:r w:rsidR="009F1052">
        <w:t xml:space="preserve"> </w:t>
      </w:r>
      <w:r w:rsidR="00506F7A">
        <w:t xml:space="preserve">Webster’s 3d New Internat. Dict., </w:t>
      </w:r>
      <w:r w:rsidR="00506F7A">
        <w:rPr>
          <w:i/>
          <w:iCs/>
        </w:rPr>
        <w:t>supra</w:t>
      </w:r>
      <w:r w:rsidR="00506F7A">
        <w:t xml:space="preserve">, at </w:t>
      </w:r>
      <w:r w:rsidR="00A62935">
        <w:t>p. </w:t>
      </w:r>
      <w:r w:rsidR="00110603">
        <w:t>27 [“administer” means “to manage the affairs of”</w:t>
      </w:r>
      <w:r w:rsidR="00A12E82">
        <w:t xml:space="preserve">]; </w:t>
      </w:r>
      <w:r w:rsidR="00A12E82">
        <w:rPr>
          <w:i/>
          <w:iCs/>
        </w:rPr>
        <w:t>id</w:t>
      </w:r>
      <w:r w:rsidR="0083349C">
        <w:rPr>
          <w:i/>
          <w:iCs/>
        </w:rPr>
        <w:t>.</w:t>
      </w:r>
      <w:r w:rsidR="00A12E82">
        <w:t xml:space="preserve"> at </w:t>
      </w:r>
      <w:r w:rsidR="00A62935">
        <w:t>p. </w:t>
      </w:r>
      <w:r w:rsidR="00A12E82">
        <w:t xml:space="preserve">28 [“administration” means “performance of executive </w:t>
      </w:r>
      <w:r w:rsidR="009C1520">
        <w:t>duties: management”].)</w:t>
      </w:r>
      <w:r w:rsidR="00506F7A">
        <w:t xml:space="preserve"> </w:t>
      </w:r>
      <w:r w:rsidR="00681D04">
        <w:t xml:space="preserve"> </w:t>
      </w:r>
      <w:r w:rsidR="00200DDF">
        <w:t>Otherwise</w:t>
      </w:r>
      <w:r w:rsidR="004670A3">
        <w:t>,</w:t>
      </w:r>
      <w:r w:rsidR="00200DDF">
        <w:t xml:space="preserve"> “administering” the system would mean something different under Proposition 162 and CERL</w:t>
      </w:r>
      <w:r w:rsidR="000A0822">
        <w:t>.</w:t>
      </w:r>
      <w:r w:rsidR="00CA6A20">
        <w:t xml:space="preserve">  (See </w:t>
      </w:r>
      <w:r w:rsidRPr="008636AB" w:rsidR="00CA6A20">
        <w:rPr>
          <w:i/>
          <w:iCs/>
        </w:rPr>
        <w:t>Ruelas v. County of Alameda</w:t>
      </w:r>
      <w:r w:rsidR="0024211D">
        <w:t xml:space="preserve">, </w:t>
      </w:r>
      <w:r w:rsidR="0024211D">
        <w:rPr>
          <w:i/>
          <w:iCs/>
        </w:rPr>
        <w:t>supra</w:t>
      </w:r>
      <w:r w:rsidR="00B17AC0">
        <w:t>,</w:t>
      </w:r>
      <w:r w:rsidRPr="008636AB" w:rsidR="00B17AC0">
        <w:t xml:space="preserve"> </w:t>
      </w:r>
      <w:r w:rsidRPr="00C6211A" w:rsidR="00B17AC0">
        <w:rPr>
          <w:rFonts w:eastAsia="SimSun" w:hint="eastAsia"/>
          <w:lang w:eastAsia="zh-CN"/>
        </w:rPr>
        <w:t>15</w:t>
      </w:r>
      <w:r w:rsidR="00B17AC0">
        <w:t> </w:t>
      </w:r>
      <w:r w:rsidR="007C58A1">
        <w:t>Cal.5th</w:t>
      </w:r>
      <w:r w:rsidR="0024211D">
        <w:t xml:space="preserve"> at p. </w:t>
      </w:r>
      <w:r w:rsidR="00B17AC0">
        <w:rPr>
          <w:rFonts w:eastAsia="SimSun" w:hint="eastAsia"/>
          <w:lang w:eastAsia="zh-CN"/>
        </w:rPr>
        <w:t>979</w:t>
      </w:r>
      <w:r w:rsidR="00CA6A20">
        <w:t xml:space="preserve"> [“</w:t>
      </w:r>
      <w:r w:rsidRPr="008636AB" w:rsidR="00CA6A20">
        <w:t xml:space="preserve">we must </w:t>
      </w:r>
      <w:r w:rsidR="00CA6A20">
        <w:t>‘</w:t>
      </w:r>
      <w:r w:rsidRPr="008636AB" w:rsidR="00CA6A20">
        <w:t>try to harmonize constitutional language with that of existing statutes if possible</w:t>
      </w:r>
      <w:r w:rsidR="00CA6A20">
        <w:t>’</w:t>
      </w:r>
      <w:r w:rsidRPr="008636AB" w:rsidR="00CA6A20">
        <w:t>”</w:t>
      </w:r>
      <w:r w:rsidR="00CA6A20">
        <w:t>].)</w:t>
      </w:r>
    </w:p>
    <w:p w:rsidR="00D5150E" w:rsidP="00D5150E" w14:paraId="22670914" w14:textId="7338C96E">
      <w:pPr>
        <w:spacing w:line="288" w:lineRule="auto"/>
        <w:ind w:firstLine="720"/>
      </w:pPr>
      <w:r>
        <w:rPr>
          <w:bCs/>
          <w:szCs w:val="26"/>
        </w:rPr>
        <w:t>Finally</w:t>
      </w:r>
      <w:r w:rsidR="0053780D">
        <w:rPr>
          <w:bCs/>
          <w:szCs w:val="26"/>
        </w:rPr>
        <w:t>, we interpret the phrase “subject to</w:t>
      </w:r>
      <w:r w:rsidR="009160F4">
        <w:rPr>
          <w:bCs/>
          <w:szCs w:val="26"/>
        </w:rPr>
        <w:t xml:space="preserve"> all of the following</w:t>
      </w:r>
      <w:r w:rsidR="0053780D">
        <w:rPr>
          <w:bCs/>
          <w:szCs w:val="26"/>
        </w:rPr>
        <w:t>”</w:t>
      </w:r>
      <w:r w:rsidR="009160F4">
        <w:rPr>
          <w:bCs/>
          <w:szCs w:val="26"/>
        </w:rPr>
        <w:t xml:space="preserve"> </w:t>
      </w:r>
      <w:r w:rsidR="00815CEE">
        <w:rPr>
          <w:bCs/>
          <w:szCs w:val="26"/>
        </w:rPr>
        <w:t>as it applies</w:t>
      </w:r>
      <w:r w:rsidR="001D162E">
        <w:rPr>
          <w:bCs/>
          <w:szCs w:val="26"/>
        </w:rPr>
        <w:t xml:space="preserve"> to </w:t>
      </w:r>
      <w:r w:rsidR="009160F4">
        <w:rPr>
          <w:bCs/>
          <w:szCs w:val="26"/>
        </w:rPr>
        <w:t>Proposition 162</w:t>
      </w:r>
      <w:r w:rsidR="001D162E">
        <w:rPr>
          <w:bCs/>
          <w:szCs w:val="26"/>
        </w:rPr>
        <w:t>’s subdivisions</w:t>
      </w:r>
      <w:r w:rsidR="009160F4">
        <w:rPr>
          <w:bCs/>
          <w:szCs w:val="26"/>
        </w:rPr>
        <w:t>,</w:t>
      </w:r>
      <w:r w:rsidR="0053780D">
        <w:rPr>
          <w:bCs/>
          <w:szCs w:val="26"/>
        </w:rPr>
        <w:t xml:space="preserve"> which </w:t>
      </w:r>
      <w:r w:rsidR="009713B8">
        <w:rPr>
          <w:bCs/>
          <w:szCs w:val="26"/>
        </w:rPr>
        <w:t>qualif</w:t>
      </w:r>
      <w:r w:rsidR="001D162E">
        <w:rPr>
          <w:bCs/>
          <w:szCs w:val="26"/>
        </w:rPr>
        <w:t>y</w:t>
      </w:r>
      <w:r w:rsidR="009713B8">
        <w:rPr>
          <w:bCs/>
          <w:szCs w:val="26"/>
        </w:rPr>
        <w:t xml:space="preserve"> the scope of </w:t>
      </w:r>
      <w:r w:rsidR="00E31E3B">
        <w:rPr>
          <w:bCs/>
          <w:szCs w:val="26"/>
        </w:rPr>
        <w:t xml:space="preserve">a retirement board’s plenary authority.  </w:t>
      </w:r>
      <w:r w:rsidR="003B3C56">
        <w:t>“</w:t>
      </w:r>
      <w:r w:rsidR="00815CEE">
        <w:t>T</w:t>
      </w:r>
      <w:r w:rsidRPr="00E34DE7" w:rsidR="003B3C56">
        <w:t xml:space="preserve">he phrase </w:t>
      </w:r>
      <w:r w:rsidR="0070704C">
        <w:t>‘</w:t>
      </w:r>
      <w:r w:rsidRPr="00E34DE7" w:rsidR="003B3C56">
        <w:t>subject to</w:t>
      </w:r>
      <w:r w:rsidR="0070704C">
        <w:t>’</w:t>
      </w:r>
      <w:r w:rsidRPr="00E34DE7" w:rsidR="003B3C56">
        <w:t xml:space="preserve"> is not synonymous with </w:t>
      </w:r>
      <w:r w:rsidR="0070704C">
        <w:t>‘</w:t>
      </w:r>
      <w:r w:rsidRPr="00E34DE7" w:rsidR="003B3C56">
        <w:t>according to</w:t>
      </w:r>
      <w:r w:rsidR="0070704C">
        <w:t>’</w:t>
      </w:r>
      <w:r w:rsidRPr="00E34DE7" w:rsidR="003B3C56">
        <w:t xml:space="preserve"> or </w:t>
      </w:r>
      <w:r w:rsidR="0070704C">
        <w:t>‘</w:t>
      </w:r>
      <w:r w:rsidRPr="00E34DE7" w:rsidR="003B3C56">
        <w:t>consistent with</w:t>
      </w:r>
      <w:r w:rsidR="0070704C">
        <w:t>’</w:t>
      </w:r>
      <w:r w:rsidRPr="00E34DE7" w:rsidR="003B3C56">
        <w:t>; it means conditioned upon, limited by, or subordinate to</w:t>
      </w:r>
      <w:r w:rsidR="00815CEE">
        <w:t>.</w:t>
      </w:r>
      <w:r w:rsidR="0070704C">
        <w:t>”</w:t>
      </w:r>
      <w:r w:rsidR="00815CEE">
        <w:t xml:space="preserve">  (</w:t>
      </w:r>
      <w:r w:rsidRPr="00C20BBC" w:rsidR="00815CEE">
        <w:rPr>
          <w:i/>
          <w:iCs/>
        </w:rPr>
        <w:t xml:space="preserve">Swan Magnetics, Inc. v. Superior Court </w:t>
      </w:r>
      <w:r w:rsidRPr="00C20BBC" w:rsidR="00815CEE">
        <w:t>(1997) 56</w:t>
      </w:r>
      <w:r w:rsidR="00815CEE">
        <w:t> </w:t>
      </w:r>
      <w:r w:rsidRPr="00C20BBC" w:rsidR="00815CEE">
        <w:t>Cal.App.4th 1504, 1510</w:t>
      </w:r>
      <w:r w:rsidR="00815CEE">
        <w:t xml:space="preserve">; </w:t>
      </w:r>
      <w:r w:rsidR="005F7541">
        <w:t>see</w:t>
      </w:r>
      <w:r w:rsidR="00815CEE">
        <w:t xml:space="preserve"> </w:t>
      </w:r>
      <w:r w:rsidRPr="00C20BBC" w:rsidR="00815CEE">
        <w:rPr>
          <w:i/>
          <w:iCs/>
        </w:rPr>
        <w:t>Erickson v. Aetna Health Plans of California, Inc.</w:t>
      </w:r>
      <w:r w:rsidRPr="00C20BBC" w:rsidR="00815CEE">
        <w:t xml:space="preserve"> (1999) 71</w:t>
      </w:r>
      <w:r w:rsidR="00815CEE">
        <w:t> </w:t>
      </w:r>
      <w:r w:rsidRPr="00C20BBC" w:rsidR="00815CEE">
        <w:t>Cal.App.4th 646, 657</w:t>
      </w:r>
      <w:r w:rsidR="000E26AF">
        <w:t xml:space="preserve">.)  </w:t>
      </w:r>
      <w:r w:rsidR="00BF1E14">
        <w:t xml:space="preserve">Thus, </w:t>
      </w:r>
      <w:r w:rsidR="00086165">
        <w:t xml:space="preserve">the subdivisions of </w:t>
      </w:r>
      <w:r w:rsidR="00F636DE">
        <w:t>Proposition 162</w:t>
      </w:r>
      <w:r w:rsidR="005F7541">
        <w:t xml:space="preserve"> do</w:t>
      </w:r>
      <w:r w:rsidR="006E38D6">
        <w:t xml:space="preserve"> </w:t>
      </w:r>
      <w:r w:rsidR="005F7541">
        <w:t>“</w:t>
      </w:r>
      <w:r w:rsidR="006E38D6">
        <w:t>not necessarily denote a clas</w:t>
      </w:r>
      <w:r w:rsidR="00A87073">
        <w:t>h</w:t>
      </w:r>
      <w:r w:rsidR="006E38D6">
        <w:t xml:space="preserve"> of provisions,” </w:t>
      </w:r>
      <w:r w:rsidR="004C3F4E">
        <w:t>and instead “merely show[ ] which provision prevails in the event of a clash.”  (</w:t>
      </w:r>
      <w:r w:rsidRPr="00FA58E9" w:rsidR="00042D96">
        <w:t xml:space="preserve">Scalia </w:t>
      </w:r>
      <w:r w:rsidR="00A27247">
        <w:t xml:space="preserve">and </w:t>
      </w:r>
      <w:r w:rsidRPr="00FA58E9" w:rsidR="00042D96">
        <w:t xml:space="preserve">Garner, </w:t>
      </w:r>
      <w:r w:rsidRPr="00042D96" w:rsidR="00042D96">
        <w:t>Reading Law: The Interpretation of Legal Texts</w:t>
      </w:r>
      <w:r w:rsidRPr="00FA58E9" w:rsidR="00042D96">
        <w:t xml:space="preserve"> (2012)</w:t>
      </w:r>
      <w:r w:rsidR="00194441">
        <w:t xml:space="preserve"> </w:t>
      </w:r>
      <w:r w:rsidR="00A62935">
        <w:t>p. </w:t>
      </w:r>
      <w:r w:rsidRPr="00FA58E9" w:rsidR="00194441">
        <w:t>126</w:t>
      </w:r>
      <w:r w:rsidR="003A7DD0">
        <w:t>;</w:t>
      </w:r>
      <w:r w:rsidR="00194441">
        <w:t xml:space="preserve"> see</w:t>
      </w:r>
      <w:r w:rsidR="00E9654B">
        <w:t xml:space="preserve"> </w:t>
      </w:r>
      <w:r w:rsidRPr="008F5CC5" w:rsidR="008F2178">
        <w:t>Garner</w:t>
      </w:r>
      <w:r w:rsidR="00B37856">
        <w:t xml:space="preserve">, </w:t>
      </w:r>
      <w:r w:rsidRPr="008F5CC5" w:rsidR="008F2178">
        <w:t>Dict</w:t>
      </w:r>
      <w:r w:rsidR="00B37856">
        <w:t>.</w:t>
      </w:r>
      <w:r w:rsidRPr="008F5CC5" w:rsidR="008F2178">
        <w:t xml:space="preserve"> of Legal Usage (3rd e</w:t>
      </w:r>
      <w:r w:rsidR="00A62935">
        <w:t>d. </w:t>
      </w:r>
      <w:r w:rsidR="00B37856">
        <w:t>2011</w:t>
      </w:r>
      <w:r w:rsidRPr="008F5CC5" w:rsidR="008F2178">
        <w:t xml:space="preserve">) </w:t>
      </w:r>
      <w:r w:rsidR="00A62935">
        <w:t>p. </w:t>
      </w:r>
      <w:r w:rsidRPr="008F5CC5" w:rsidR="008F2178">
        <w:t>616</w:t>
      </w:r>
      <w:r w:rsidR="00D57672">
        <w:t xml:space="preserve"> [“subject to” introduces a “subordinate provision”</w:t>
      </w:r>
      <w:r w:rsidR="00F31BA1">
        <w:t>]</w:t>
      </w:r>
      <w:r w:rsidR="00F26159">
        <w:t>.)</w:t>
      </w:r>
      <w:r w:rsidR="002B2425">
        <w:t xml:space="preserve"> </w:t>
      </w:r>
      <w:r w:rsidR="00DA2CF1">
        <w:t xml:space="preserve"> </w:t>
      </w:r>
      <w:r w:rsidR="00AF6D91">
        <w:t xml:space="preserve">A </w:t>
      </w:r>
      <w:r w:rsidR="002B2425">
        <w:t xml:space="preserve">retirement board’s plenary authority is “subject to” </w:t>
      </w:r>
      <w:r w:rsidR="003A4AF0">
        <w:t xml:space="preserve">the </w:t>
      </w:r>
      <w:r w:rsidR="002B2425">
        <w:t>conditions</w:t>
      </w:r>
      <w:r w:rsidR="003A4AF0">
        <w:t xml:space="preserve"> enumerated in Proposition</w:t>
      </w:r>
      <w:r w:rsidR="00086165">
        <w:t> </w:t>
      </w:r>
      <w:r w:rsidR="003A4AF0">
        <w:t>162’s</w:t>
      </w:r>
      <w:r w:rsidR="00444708">
        <w:t xml:space="preserve"> </w:t>
      </w:r>
      <w:r w:rsidR="003A4AF0">
        <w:t>subdivisions</w:t>
      </w:r>
      <w:r w:rsidR="00AF6D91">
        <w:t xml:space="preserve"> in that such </w:t>
      </w:r>
      <w:r w:rsidR="00BB5B87">
        <w:t xml:space="preserve">authority </w:t>
      </w:r>
      <w:r w:rsidR="007C2D67">
        <w:t xml:space="preserve">is </w:t>
      </w:r>
      <w:r w:rsidR="00BB5B87">
        <w:t>limited by those conditions</w:t>
      </w:r>
      <w:r w:rsidR="00086165">
        <w:t>,</w:t>
      </w:r>
      <w:r w:rsidR="007C2D67">
        <w:t xml:space="preserve"> but not (as the court in </w:t>
      </w:r>
      <w:r w:rsidR="007C2D67">
        <w:rPr>
          <w:i/>
          <w:iCs/>
        </w:rPr>
        <w:t xml:space="preserve">Westly </w:t>
      </w:r>
      <w:r w:rsidR="00F72452">
        <w:t>stated</w:t>
      </w:r>
      <w:r w:rsidR="007C2D67">
        <w:t>)</w:t>
      </w:r>
      <w:r w:rsidR="00086165">
        <w:t xml:space="preserve"> define</w:t>
      </w:r>
      <w:r w:rsidR="00452F3D">
        <w:t>d</w:t>
      </w:r>
      <w:r w:rsidR="00086165">
        <w:t xml:space="preserve"> by them</w:t>
      </w:r>
      <w:r w:rsidR="00BB5B87">
        <w:t xml:space="preserve">.  </w:t>
      </w:r>
      <w:r w:rsidR="00BB5B87">
        <w:rPr>
          <w:bCs/>
          <w:szCs w:val="26"/>
        </w:rPr>
        <w:t xml:space="preserve">(See </w:t>
      </w:r>
      <w:r w:rsidR="00BB5B87">
        <w:rPr>
          <w:bCs/>
          <w:i/>
          <w:iCs/>
          <w:szCs w:val="26"/>
        </w:rPr>
        <w:t>Westly</w:t>
      </w:r>
      <w:r w:rsidR="00BB5B87">
        <w:rPr>
          <w:bCs/>
          <w:szCs w:val="26"/>
        </w:rPr>
        <w:t xml:space="preserve">, </w:t>
      </w:r>
      <w:r w:rsidR="00BB5B87">
        <w:rPr>
          <w:bCs/>
          <w:i/>
          <w:iCs/>
          <w:szCs w:val="26"/>
        </w:rPr>
        <w:t>supra</w:t>
      </w:r>
      <w:r w:rsidR="00BB5B87">
        <w:rPr>
          <w:bCs/>
          <w:iCs/>
          <w:szCs w:val="26"/>
        </w:rPr>
        <w:t xml:space="preserve">, </w:t>
      </w:r>
      <w:r w:rsidR="003A4AF0">
        <w:rPr>
          <w:bCs/>
          <w:iCs/>
          <w:szCs w:val="26"/>
        </w:rPr>
        <w:t>105</w:t>
      </w:r>
      <w:r w:rsidR="007C2D67">
        <w:rPr>
          <w:bCs/>
          <w:iCs/>
          <w:szCs w:val="26"/>
        </w:rPr>
        <w:t> </w:t>
      </w:r>
      <w:r w:rsidR="003A4AF0">
        <w:rPr>
          <w:bCs/>
          <w:iCs/>
          <w:szCs w:val="26"/>
        </w:rPr>
        <w:t xml:space="preserve">Cal.App.4th at </w:t>
      </w:r>
      <w:r w:rsidR="00A62935">
        <w:rPr>
          <w:bCs/>
          <w:iCs/>
          <w:szCs w:val="26"/>
        </w:rPr>
        <w:t>p. </w:t>
      </w:r>
      <w:r w:rsidR="003A4AF0">
        <w:rPr>
          <w:bCs/>
          <w:iCs/>
          <w:szCs w:val="26"/>
        </w:rPr>
        <w:t xml:space="preserve">1109.) </w:t>
      </w:r>
      <w:r w:rsidR="00B82768">
        <w:rPr>
          <w:bCs/>
          <w:iCs/>
          <w:szCs w:val="26"/>
        </w:rPr>
        <w:t xml:space="preserve"> For example,</w:t>
      </w:r>
      <w:r w:rsidR="00815CEE">
        <w:rPr>
          <w:bCs/>
          <w:iCs/>
          <w:szCs w:val="26"/>
        </w:rPr>
        <w:t xml:space="preserve"> subdivision (e) of Proposition 162 states in part</w:t>
      </w:r>
      <w:r w:rsidR="00086165">
        <w:rPr>
          <w:bCs/>
          <w:iCs/>
          <w:szCs w:val="26"/>
        </w:rPr>
        <w:t xml:space="preserve"> the</w:t>
      </w:r>
      <w:r w:rsidR="00815CEE">
        <w:rPr>
          <w:bCs/>
          <w:iCs/>
          <w:szCs w:val="26"/>
        </w:rPr>
        <w:t xml:space="preserve"> </w:t>
      </w:r>
      <w:r w:rsidR="00815CEE">
        <w:t>“</w:t>
      </w:r>
      <w:r w:rsidRPr="0001690D" w:rsidR="00815CEE">
        <w:t xml:space="preserve">retirement board of a public pension or retirement system, </w:t>
      </w:r>
      <w:r w:rsidR="00A62935">
        <w:t>. . . </w:t>
      </w:r>
      <w:r w:rsidRPr="0001690D" w:rsidR="00815CEE">
        <w:t>shall have the sole and exclusive power to provide for actuarial services in order to assure the competency of the assets of the public pension or retirement system</w:t>
      </w:r>
      <w:r w:rsidR="00815CEE">
        <w:t>.”  (</w:t>
      </w:r>
      <w:r w:rsidRPr="00B37C07" w:rsidR="00815CEE">
        <w:t xml:space="preserve">Cal. Const., art. XVI, </w:t>
      </w:r>
      <w:r w:rsidR="00A62935">
        <w:t>§ </w:t>
      </w:r>
      <w:r w:rsidRPr="00B37C07" w:rsidR="00815CEE">
        <w:t>17</w:t>
      </w:r>
      <w:r w:rsidR="00815CEE">
        <w:t>, sub</w:t>
      </w:r>
      <w:r w:rsidR="00A62935">
        <w:t>d. </w:t>
      </w:r>
      <w:r w:rsidR="00815CEE">
        <w:t>(e).)</w:t>
      </w:r>
      <w:r w:rsidR="00815CEE">
        <w:rPr>
          <w:bCs/>
          <w:iCs/>
          <w:szCs w:val="26"/>
        </w:rPr>
        <w:t xml:space="preserve"> </w:t>
      </w:r>
      <w:r w:rsidR="00B82768">
        <w:rPr>
          <w:bCs/>
          <w:iCs/>
          <w:szCs w:val="26"/>
        </w:rPr>
        <w:t xml:space="preserve"> </w:t>
      </w:r>
      <w:r w:rsidR="00A83F87">
        <w:t>Th</w:t>
      </w:r>
      <w:r w:rsidR="00122A47">
        <w:t xml:space="preserve">is provision does not </w:t>
      </w:r>
      <w:r w:rsidR="005C39BA">
        <w:t>limit</w:t>
      </w:r>
      <w:r w:rsidR="00122A47">
        <w:t xml:space="preserve"> the retirement board’s </w:t>
      </w:r>
      <w:r w:rsidR="008F1D39">
        <w:t xml:space="preserve">plenary </w:t>
      </w:r>
      <w:r w:rsidR="00122A47">
        <w:t xml:space="preserve">authority </w:t>
      </w:r>
      <w:r w:rsidR="00815CEE">
        <w:t xml:space="preserve">to </w:t>
      </w:r>
      <w:r w:rsidR="00CB2982">
        <w:t xml:space="preserve">provide </w:t>
      </w:r>
      <w:r w:rsidR="00815CEE">
        <w:t>actuarial services</w:t>
      </w:r>
      <w:r w:rsidR="003C4C10">
        <w:t>,</w:t>
      </w:r>
      <w:r w:rsidR="00815CEE">
        <w:t xml:space="preserve"> </w:t>
      </w:r>
      <w:r w:rsidR="00122A47">
        <w:t xml:space="preserve">but </w:t>
      </w:r>
      <w:r w:rsidR="003C4C10">
        <w:t>instead</w:t>
      </w:r>
      <w:r w:rsidR="00122A47">
        <w:t xml:space="preserve"> </w:t>
      </w:r>
      <w:r w:rsidR="008F1D39">
        <w:t xml:space="preserve">requires a board exercising that authority to </w:t>
      </w:r>
      <w:r w:rsidR="00815CEE">
        <w:t>assure the competency of system assets</w:t>
      </w:r>
      <w:r w:rsidR="006C387B">
        <w:t xml:space="preserve">. </w:t>
      </w:r>
      <w:r w:rsidR="00D20D75">
        <w:t xml:space="preserve"> </w:t>
      </w:r>
      <w:r w:rsidR="004E7B4C">
        <w:t xml:space="preserve">(See </w:t>
      </w:r>
      <w:r w:rsidRPr="008832D9" w:rsidR="00DB6A10">
        <w:rPr>
          <w:i/>
          <w:iCs/>
        </w:rPr>
        <w:t>O</w:t>
      </w:r>
      <w:r w:rsidR="00DB6A10">
        <w:rPr>
          <w:i/>
          <w:iCs/>
        </w:rPr>
        <w:t>’</w:t>
      </w:r>
      <w:r w:rsidRPr="008832D9" w:rsidR="00DB6A10">
        <w:rPr>
          <w:i/>
          <w:iCs/>
        </w:rPr>
        <w:t>Neal</w:t>
      </w:r>
      <w:r w:rsidR="00DB6A10">
        <w:t xml:space="preserve">, </w:t>
      </w:r>
      <w:r w:rsidR="00DB6A10">
        <w:rPr>
          <w:i/>
          <w:iCs/>
        </w:rPr>
        <w:t>supra</w:t>
      </w:r>
      <w:r w:rsidR="00DB6A10">
        <w:t>,</w:t>
      </w:r>
      <w:r w:rsidRPr="008832D9" w:rsidR="00DB6A10">
        <w:t xml:space="preserve"> 8</w:t>
      </w:r>
      <w:r w:rsidR="00DB6A10">
        <w:t> </w:t>
      </w:r>
      <w:r w:rsidRPr="008832D9" w:rsidR="00DB6A10">
        <w:t>Cal.App.5th</w:t>
      </w:r>
      <w:r w:rsidR="00DB6A10">
        <w:t xml:space="preserve"> at </w:t>
      </w:r>
      <w:r w:rsidR="00A62935">
        <w:t>p. </w:t>
      </w:r>
      <w:r w:rsidR="00DB6A10">
        <w:t xml:space="preserve">1213 </w:t>
      </w:r>
      <w:r w:rsidR="003C4C10">
        <w:t>[</w:t>
      </w:r>
      <w:r w:rsidR="00AF610B">
        <w:t xml:space="preserve">retirement </w:t>
      </w:r>
      <w:r w:rsidR="00DB6A10">
        <w:t xml:space="preserve">board </w:t>
      </w:r>
      <w:r w:rsidR="003C4C10">
        <w:t>“</w:t>
      </w:r>
      <w:r w:rsidR="00DB6A10">
        <w:t xml:space="preserve">has been granted plenary authority over </w:t>
      </w:r>
      <w:r w:rsidR="008B00BC">
        <w:t xml:space="preserve">administration and investment decisions concerning the retirement system, </w:t>
      </w:r>
      <w:r w:rsidRPr="003B773A" w:rsidR="008B00BC">
        <w:t xml:space="preserve">subject to </w:t>
      </w:r>
      <w:r w:rsidR="008B00BC">
        <w:t>its fiduciary duties”].)</w:t>
      </w:r>
      <w:r>
        <w:t xml:space="preserve"> </w:t>
      </w:r>
      <w:r w:rsidR="0022599A">
        <w:t xml:space="preserve"> </w:t>
      </w:r>
      <w:r w:rsidRPr="007E1893" w:rsidR="007E1893">
        <w:t xml:space="preserve">Read together, these phrases (a retirement board’s “plenary authority” for “administration of the system” that is “subject to” the conditions enumerated </w:t>
      </w:r>
      <w:r w:rsidR="00936194">
        <w:t xml:space="preserve">in </w:t>
      </w:r>
      <w:r w:rsidRPr="007E1893" w:rsidR="007E1893">
        <w:t>Proposition 162’s subdivisions) mean a retirement board’s authority to manage the retirement system includes establishing employment classifications and compensation, so long as that authority does not contradict the enumerated conditions.</w:t>
      </w:r>
    </w:p>
    <w:p w:rsidR="00D5150E" w:rsidP="00D5150E" w14:paraId="73C8D692" w14:textId="6444284A">
      <w:pPr>
        <w:spacing w:line="288" w:lineRule="auto"/>
        <w:ind w:firstLine="720"/>
      </w:pPr>
      <w:r>
        <w:t xml:space="preserve">This interpretation is further supported by the fiduciary responsibility Proposition 162 </w:t>
      </w:r>
      <w:r w:rsidR="00815CEE">
        <w:t>places on</w:t>
      </w:r>
      <w:r>
        <w:t xml:space="preserve"> retirement boards to administer </w:t>
      </w:r>
      <w:r w:rsidR="00815CEE">
        <w:t>their</w:t>
      </w:r>
      <w:r>
        <w:t xml:space="preserve"> systems.  </w:t>
      </w:r>
      <w:r w:rsidR="0074580E">
        <w:t xml:space="preserve">Before Proposition 162, article </w:t>
      </w:r>
      <w:r w:rsidR="003A7319">
        <w:t xml:space="preserve">XVI, section 17 of the California Constitution provided </w:t>
      </w:r>
      <w:r w:rsidR="00E96E9D">
        <w:t xml:space="preserve">only that the “assets” of a retirement system were </w:t>
      </w:r>
      <w:r w:rsidR="004D36CD">
        <w:t xml:space="preserve">“trust funds” and that the “fiduciary of the </w:t>
      </w:r>
      <w:r w:rsidR="009D0903">
        <w:t xml:space="preserve">public pension or retirement system” (in other words, trustees of the retirement boards) </w:t>
      </w:r>
      <w:r w:rsidR="00810E7D">
        <w:t xml:space="preserve">had </w:t>
      </w:r>
      <w:r w:rsidR="008C0335">
        <w:t xml:space="preserve">certain duties to participants and their beneficiaries and </w:t>
      </w:r>
      <w:r w:rsidR="009B1CFC">
        <w:t xml:space="preserve">had </w:t>
      </w:r>
      <w:r w:rsidR="008C0335">
        <w:t xml:space="preserve">to discharge those duties </w:t>
      </w:r>
      <w:r w:rsidR="002153F1">
        <w:t>prudently.  (</w:t>
      </w:r>
      <w:r w:rsidR="00C472FC">
        <w:t xml:space="preserve">Cal. Const., </w:t>
      </w:r>
      <w:r w:rsidR="00DC1F9E">
        <w:t xml:space="preserve">former </w:t>
      </w:r>
      <w:r w:rsidR="00C472FC">
        <w:t>art. XVI</w:t>
      </w:r>
      <w:r w:rsidR="00DC1F9E">
        <w:t xml:space="preserve">, </w:t>
      </w:r>
      <w:r w:rsidR="00A62935">
        <w:t>§ </w:t>
      </w:r>
      <w:r w:rsidR="00DC1F9E">
        <w:t>17, subds.</w:t>
      </w:r>
      <w:r w:rsidR="009B1CFC">
        <w:t> </w:t>
      </w:r>
      <w:r w:rsidR="00C92C74">
        <w:t>(a)</w:t>
      </w:r>
      <w:r w:rsidR="009B1CFC">
        <w:noBreakHyphen/>
      </w:r>
      <w:r w:rsidR="00C92C74">
        <w:t>(d).)</w:t>
      </w:r>
      <w:r w:rsidR="00C472FC">
        <w:t xml:space="preserve"> </w:t>
      </w:r>
      <w:r w:rsidR="002153F1">
        <w:t xml:space="preserve"> </w:t>
      </w:r>
      <w:r>
        <w:t>Based on the law of trusts</w:t>
      </w:r>
      <w:r w:rsidR="002153E9">
        <w:t xml:space="preserve">, </w:t>
      </w:r>
      <w:r w:rsidR="00A5366D">
        <w:t xml:space="preserve">the court in </w:t>
      </w:r>
      <w:r w:rsidRPr="00CD575D" w:rsidR="00A5366D">
        <w:rPr>
          <w:i/>
          <w:iCs/>
        </w:rPr>
        <w:t>City of Sacramento</w:t>
      </w:r>
      <w:r w:rsidR="00A5366D">
        <w:rPr>
          <w:i/>
          <w:iCs/>
        </w:rPr>
        <w:t xml:space="preserve"> v. Public Employees Retirement System </w:t>
      </w:r>
      <w:r w:rsidR="00A5366D">
        <w:t xml:space="preserve">(1991) </w:t>
      </w:r>
      <w:r w:rsidRPr="00CD575D" w:rsidR="00A5366D">
        <w:t>229</w:t>
      </w:r>
      <w:r w:rsidR="009B1CFC">
        <w:t> </w:t>
      </w:r>
      <w:r w:rsidRPr="00CD575D" w:rsidR="00A5366D">
        <w:t>Cal.App.3d</w:t>
      </w:r>
      <w:r w:rsidR="00A5366D">
        <w:t xml:space="preserve"> 1470</w:t>
      </w:r>
      <w:r w:rsidR="00C50982">
        <w:t xml:space="preserve"> </w:t>
      </w:r>
      <w:r w:rsidR="006D3483">
        <w:t>held</w:t>
      </w:r>
      <w:r w:rsidR="00E33896">
        <w:t xml:space="preserve"> </w:t>
      </w:r>
      <w:r w:rsidR="002153E9">
        <w:t xml:space="preserve">a retirement board’s fiduciary duty </w:t>
      </w:r>
      <w:r w:rsidR="0058251C">
        <w:t xml:space="preserve">under Proposition 21 </w:t>
      </w:r>
      <w:r w:rsidR="001226D4">
        <w:t>include</w:t>
      </w:r>
      <w:r w:rsidR="006D3483">
        <w:t>d</w:t>
      </w:r>
      <w:r w:rsidR="001226D4">
        <w:t xml:space="preserve"> a</w:t>
      </w:r>
      <w:r w:rsidR="00F80C5E">
        <w:t>n</w:t>
      </w:r>
      <w:r w:rsidR="001226D4">
        <w:t xml:space="preserve"> </w:t>
      </w:r>
      <w:r w:rsidR="00F80C5E">
        <w:t>“</w:t>
      </w:r>
      <w:r w:rsidR="000135F2">
        <w:t xml:space="preserve">‘unwavering’” </w:t>
      </w:r>
      <w:r w:rsidR="001226D4">
        <w:t xml:space="preserve">duty of loyalty </w:t>
      </w:r>
      <w:r w:rsidR="00597CDF">
        <w:t xml:space="preserve">to the beneficiaries of the assets held in trust that </w:t>
      </w:r>
      <w:r w:rsidR="003B773A">
        <w:t xml:space="preserve">the retirement board must exercise </w:t>
      </w:r>
      <w:r w:rsidR="00974B45">
        <w:t>“‘to the exclusion of the interest of all other parties.’”  (</w:t>
      </w:r>
      <w:r w:rsidRPr="00CD575D" w:rsidR="00A46F19">
        <w:rPr>
          <w:i/>
          <w:iCs/>
        </w:rPr>
        <w:t>City of Sacramento</w:t>
      </w:r>
      <w:r w:rsidR="0058251C">
        <w:t xml:space="preserve">, </w:t>
      </w:r>
      <w:r w:rsidR="00C50982">
        <w:t xml:space="preserve">at </w:t>
      </w:r>
      <w:r w:rsidR="00A62935">
        <w:t>p. </w:t>
      </w:r>
      <w:r w:rsidR="0058251C">
        <w:t xml:space="preserve">1494.)  </w:t>
      </w:r>
      <w:r w:rsidR="004F7F44">
        <w:t xml:space="preserve">That duty outweighed other duties </w:t>
      </w:r>
      <w:r w:rsidR="00EC54DD">
        <w:t xml:space="preserve">of </w:t>
      </w:r>
      <w:r w:rsidR="004E3115">
        <w:t>retirement boards</w:t>
      </w:r>
      <w:r w:rsidR="00EC54DD">
        <w:t xml:space="preserve">, </w:t>
      </w:r>
      <w:r w:rsidR="009B1CFC">
        <w:t>such as</w:t>
      </w:r>
      <w:r w:rsidR="00EC54DD">
        <w:t xml:space="preserve"> the duty</w:t>
      </w:r>
      <w:r w:rsidR="004E3115">
        <w:t xml:space="preserve"> to minimize </w:t>
      </w:r>
      <w:r w:rsidR="004F7F44">
        <w:t xml:space="preserve">employer contributions to </w:t>
      </w:r>
      <w:r w:rsidR="00EC54DD">
        <w:t>the retirement system.  (</w:t>
      </w:r>
      <w:r w:rsidR="00EC54DD">
        <w:rPr>
          <w:i/>
          <w:iCs/>
        </w:rPr>
        <w:t>I</w:t>
      </w:r>
      <w:r w:rsidR="00AC4206">
        <w:rPr>
          <w:i/>
          <w:iCs/>
        </w:rPr>
        <w:t>bi</w:t>
      </w:r>
      <w:r w:rsidR="00EC54DD">
        <w:rPr>
          <w:i/>
          <w:iCs/>
        </w:rPr>
        <w:t>d.</w:t>
      </w:r>
      <w:r w:rsidR="00AC4206">
        <w:t xml:space="preserve">; see Cal. Const., art. XVI, </w:t>
      </w:r>
      <w:r w:rsidR="00A62935">
        <w:t>§ </w:t>
      </w:r>
      <w:r w:rsidR="00AC4206">
        <w:t>17, sub</w:t>
      </w:r>
      <w:r w:rsidR="00A62935">
        <w:t>d. </w:t>
      </w:r>
      <w:r w:rsidR="00AC4206">
        <w:t>(</w:t>
      </w:r>
      <w:r w:rsidR="002C33A7">
        <w:t>b)</w:t>
      </w:r>
      <w:r w:rsidR="00AC4206">
        <w:t>.</w:t>
      </w:r>
      <w:r w:rsidR="009E21A5">
        <w:t>)</w:t>
      </w:r>
      <w:r w:rsidR="00A5366D">
        <w:t xml:space="preserve">  </w:t>
      </w:r>
      <w:r w:rsidR="00C50982">
        <w:t>The court stated</w:t>
      </w:r>
      <w:r w:rsidR="00F931DC">
        <w:t xml:space="preserve"> th</w:t>
      </w:r>
      <w:r w:rsidR="009B1CFC">
        <w:t xml:space="preserve">is </w:t>
      </w:r>
      <w:r w:rsidR="00F931DC">
        <w:t xml:space="preserve">inferior duty </w:t>
      </w:r>
      <w:r w:rsidR="006E1968">
        <w:t>“</w:t>
      </w:r>
      <w:r w:rsidRPr="002267F9" w:rsidR="006E1968">
        <w:t xml:space="preserve">cannot be construed to require </w:t>
      </w:r>
      <w:r w:rsidR="00815CEE">
        <w:t>[the retirement board]</w:t>
      </w:r>
      <w:r w:rsidRPr="002267F9" w:rsidR="006E1968">
        <w:t xml:space="preserve"> to manage the retirement system in a way which would favor an employer over the beneficiaries to whom it owes a fiduciary duty.</w:t>
      </w:r>
      <w:r w:rsidR="00895A8D">
        <w:t>”  (</w:t>
      </w:r>
      <w:r w:rsidR="00895A8D">
        <w:rPr>
          <w:i/>
          <w:iCs/>
        </w:rPr>
        <w:t>City of Sacramento</w:t>
      </w:r>
      <w:r w:rsidR="00895A8D">
        <w:t xml:space="preserve">, at </w:t>
      </w:r>
      <w:r w:rsidR="00A62935">
        <w:t>p. </w:t>
      </w:r>
      <w:r w:rsidR="00895A8D">
        <w:t xml:space="preserve">1493.)  </w:t>
      </w:r>
    </w:p>
    <w:p w:rsidR="00445C92" w:rsidRPr="00C46DED" w:rsidP="00D5150E" w14:paraId="7F6DA5AB" w14:textId="08CBE76A">
      <w:pPr>
        <w:spacing w:line="288" w:lineRule="auto"/>
        <w:ind w:firstLine="720"/>
      </w:pPr>
      <w:r>
        <w:t xml:space="preserve">The amendments to article XVI, section 17 enacted by Proposition 162 made explicit the retirement board’s “fiduciary responsibility” for </w:t>
      </w:r>
      <w:r>
        <w:rPr>
          <w:i/>
          <w:iCs/>
        </w:rPr>
        <w:t>both</w:t>
      </w:r>
      <w:r>
        <w:t xml:space="preserve"> the “investment of moneys” and </w:t>
      </w:r>
      <w:r w:rsidR="006D3483">
        <w:t xml:space="preserve">the </w:t>
      </w:r>
      <w:r>
        <w:t>“administration of the system.”  (Cal. Const., art. XVI, § 17.)  Subdivision (a) of Proposition 162 more fully describes an aspect of that responsibility as the “sole and exclusive responsibility to administer the system in a manner that will assure prompt delivery of benefits and related services to the participants and their beneficiaries.”  (</w:t>
      </w:r>
      <w:r>
        <w:rPr>
          <w:i/>
          <w:iCs/>
        </w:rPr>
        <w:t>Id</w:t>
      </w:r>
      <w:r>
        <w:t>., § 17, subd. (a).)  T</w:t>
      </w:r>
      <w:r w:rsidR="00895A8D">
        <w:t xml:space="preserve">he court in </w:t>
      </w:r>
      <w:r w:rsidR="006F46CC">
        <w:rPr>
          <w:i/>
          <w:iCs/>
        </w:rPr>
        <w:t xml:space="preserve">O’Neal </w:t>
      </w:r>
      <w:r w:rsidR="00C46DED">
        <w:t>stated</w:t>
      </w:r>
      <w:r w:rsidR="004E371F">
        <w:t xml:space="preserve"> </w:t>
      </w:r>
      <w:r w:rsidR="00CC165B">
        <w:t>the dut</w:t>
      </w:r>
      <w:r w:rsidR="00414788">
        <w:t>ies</w:t>
      </w:r>
      <w:r w:rsidR="00CC165B">
        <w:t xml:space="preserve"> of loyalty</w:t>
      </w:r>
      <w:r w:rsidR="00414788">
        <w:t xml:space="preserve"> and prudence</w:t>
      </w:r>
      <w:r w:rsidR="00CC165B">
        <w:t xml:space="preserve"> </w:t>
      </w:r>
      <w:r w:rsidR="00380CEA">
        <w:t xml:space="preserve">under the law of trusts </w:t>
      </w:r>
      <w:r w:rsidR="00217AEB">
        <w:t>“strongly parallel</w:t>
      </w:r>
      <w:r w:rsidR="00414788">
        <w:t>[ ]</w:t>
      </w:r>
      <w:r w:rsidR="00217AEB">
        <w:t xml:space="preserve">” provisions </w:t>
      </w:r>
      <w:r w:rsidR="005A6393">
        <w:t xml:space="preserve">enacted through Propositions 21 and 162 and </w:t>
      </w:r>
      <w:r w:rsidR="00974B49">
        <w:t>“protect against improper influence generally</w:t>
      </w:r>
      <w:r w:rsidR="005A6393">
        <w:t>.</w:t>
      </w:r>
      <w:r w:rsidR="00974B49">
        <w:t xml:space="preserve">” </w:t>
      </w:r>
      <w:r w:rsidR="005A6393">
        <w:t xml:space="preserve"> (</w:t>
      </w:r>
      <w:r w:rsidR="005A6393">
        <w:rPr>
          <w:i/>
          <w:iCs/>
        </w:rPr>
        <w:t>O’</w:t>
      </w:r>
      <w:r w:rsidR="009A63F5">
        <w:rPr>
          <w:i/>
          <w:iCs/>
        </w:rPr>
        <w:t>Neal</w:t>
      </w:r>
      <w:r w:rsidR="009A63F5">
        <w:t xml:space="preserve">, </w:t>
      </w:r>
      <w:r w:rsidR="009A63F5">
        <w:rPr>
          <w:i/>
          <w:iCs/>
        </w:rPr>
        <w:t>supra</w:t>
      </w:r>
      <w:r w:rsidR="009A63F5">
        <w:t xml:space="preserve">, 8 Cal.App.5th at </w:t>
      </w:r>
      <w:r w:rsidR="00A62935">
        <w:t>p. </w:t>
      </w:r>
      <w:r w:rsidR="00974B49">
        <w:t>1209</w:t>
      </w:r>
      <w:r w:rsidR="00AA549F">
        <w:t>; see</w:t>
      </w:r>
      <w:r w:rsidR="0082737E">
        <w:t xml:space="preserve"> </w:t>
      </w:r>
      <w:r w:rsidRPr="00CD575D" w:rsidR="006D3483">
        <w:rPr>
          <w:i/>
          <w:iCs/>
        </w:rPr>
        <w:t>City of Sacramento</w:t>
      </w:r>
      <w:r w:rsidR="006D3483">
        <w:rPr>
          <w:i/>
          <w:iCs/>
        </w:rPr>
        <w:t xml:space="preserve"> v. Public Employees Retirement System</w:t>
      </w:r>
      <w:r w:rsidR="006D3483">
        <w:t xml:space="preserve">, </w:t>
      </w:r>
      <w:r w:rsidRPr="006D3483" w:rsidR="006D3483">
        <w:rPr>
          <w:i/>
          <w:iCs/>
        </w:rPr>
        <w:t>supra</w:t>
      </w:r>
      <w:r w:rsidR="006D3483">
        <w:t xml:space="preserve">, </w:t>
      </w:r>
      <w:r w:rsidRPr="00CD575D" w:rsidR="006D3483">
        <w:t>229</w:t>
      </w:r>
      <w:r w:rsidR="006D3483">
        <w:t> </w:t>
      </w:r>
      <w:r w:rsidRPr="00CD575D" w:rsidR="006D3483">
        <w:t>Cal.App.3d</w:t>
      </w:r>
      <w:r w:rsidR="006D3483">
        <w:t xml:space="preserve"> </w:t>
      </w:r>
      <w:r w:rsidR="0082737E">
        <w:t xml:space="preserve">at </w:t>
      </w:r>
      <w:r w:rsidR="00A62935">
        <w:t>p. </w:t>
      </w:r>
      <w:r w:rsidR="0082737E">
        <w:t>1494</w:t>
      </w:r>
      <w:r w:rsidR="0003006F">
        <w:t xml:space="preserve"> [</w:t>
      </w:r>
      <w:r w:rsidRPr="00D70A4F" w:rsidR="0003006F">
        <w:t>“</w:t>
      </w:r>
      <w:r w:rsidR="0003006F">
        <w:t>‘</w:t>
      </w:r>
      <w:r w:rsidRPr="00D70A4F" w:rsidR="0003006F">
        <w:t>The trustee is under a duty to the beneficiary to administer the trust solely in the interest of the beneficiary.</w:t>
      </w:r>
      <w:r w:rsidR="000D61DA">
        <w:t>’</w:t>
      </w:r>
      <w:r w:rsidRPr="00D70A4F" w:rsidR="0003006F">
        <w:t>”</w:t>
      </w:r>
      <w:r w:rsidR="000D61DA">
        <w:t>].</w:t>
      </w:r>
      <w:r w:rsidR="009A63F5">
        <w:t>)</w:t>
      </w:r>
      <w:r>
        <w:t xml:space="preserve">  This protection ensures a retirement board places the interests of the system’s members and beneficiaries above all others, including the interests of the relevant executive branch and the employers who contribute to the system.</w:t>
      </w:r>
      <w:r w:rsidR="00955CAF">
        <w:t xml:space="preserve">  (See Cal. Const., art.</w:t>
      </w:r>
      <w:r w:rsidR="00B338D3">
        <w:t> </w:t>
      </w:r>
      <w:r w:rsidR="00955CAF">
        <w:t xml:space="preserve">XVI, § 17, subd. (b).)  </w:t>
      </w:r>
    </w:p>
    <w:p w:rsidR="00D5150E" w:rsidP="00D5150E" w14:paraId="187AE7FF" w14:textId="0466554B">
      <w:pPr>
        <w:spacing w:line="288" w:lineRule="auto"/>
        <w:ind w:firstLine="720"/>
      </w:pPr>
      <w:r>
        <w:t xml:space="preserve">Although Proposition 162 did not expressly grant retirement boards authority </w:t>
      </w:r>
      <w:r w:rsidR="000942B7">
        <w:t xml:space="preserve">to establish employment </w:t>
      </w:r>
      <w:r w:rsidR="008B2C08">
        <w:t xml:space="preserve">classifications </w:t>
      </w:r>
      <w:r w:rsidR="00260BDA">
        <w:t xml:space="preserve">and </w:t>
      </w:r>
      <w:r>
        <w:t xml:space="preserve">compensation for </w:t>
      </w:r>
      <w:r w:rsidR="00F2151D">
        <w:t>retirement system</w:t>
      </w:r>
      <w:r>
        <w:t xml:space="preserve"> employees, </w:t>
      </w:r>
      <w:r w:rsidR="00DE3FEF">
        <w:t xml:space="preserve">section </w:t>
      </w:r>
      <w:r w:rsidR="008F5FD9">
        <w:t xml:space="preserve">5 of Proposition 162 states </w:t>
      </w:r>
      <w:r w:rsidR="00F45E0F">
        <w:t xml:space="preserve">that the </w:t>
      </w:r>
      <w:r w:rsidR="008F5FD9">
        <w:t xml:space="preserve">“provisions of this act shall be </w:t>
      </w:r>
      <w:r w:rsidR="00222FDF">
        <w:t>liberally interpreted to effect their purposes.”  (</w:t>
      </w:r>
      <w:r w:rsidR="007B06FE">
        <w:t xml:space="preserve">1992 </w:t>
      </w:r>
      <w:r w:rsidR="008A04C5">
        <w:t>Ballot Pamp.,</w:t>
      </w:r>
      <w:r w:rsidR="00F4283D">
        <w:t xml:space="preserve"> </w:t>
      </w:r>
      <w:r w:rsidR="00F4283D">
        <w:rPr>
          <w:i/>
          <w:iCs/>
        </w:rPr>
        <w:t>supra</w:t>
      </w:r>
      <w:r w:rsidR="00F4283D">
        <w:t>,</w:t>
      </w:r>
      <w:r w:rsidR="008A04C5">
        <w:t xml:space="preserve"> text of Prop. 162, p. 7</w:t>
      </w:r>
      <w:r w:rsidR="00097190">
        <w:t>1</w:t>
      </w:r>
      <w:r w:rsidR="008A04C5">
        <w:t xml:space="preserve">, § 5.)  </w:t>
      </w:r>
      <w:r w:rsidR="00222FDF">
        <w:t>And</w:t>
      </w:r>
      <w:r w:rsidR="008F5FD9">
        <w:t xml:space="preserve"> </w:t>
      </w:r>
      <w:r>
        <w:t>it</w:t>
      </w:r>
      <w:r w:rsidR="00F44B45">
        <w:t xml:space="preserve"> is hard to see how </w:t>
      </w:r>
      <w:r w:rsidR="00F25D40">
        <w:t xml:space="preserve">a </w:t>
      </w:r>
      <w:r w:rsidR="00F44B45">
        <w:t xml:space="preserve">retirement board can fulfill </w:t>
      </w:r>
      <w:r w:rsidR="00F25D40">
        <w:t xml:space="preserve">its </w:t>
      </w:r>
      <w:r w:rsidR="002D09E5">
        <w:t xml:space="preserve">fiduciary </w:t>
      </w:r>
      <w:r w:rsidR="00826CDC">
        <w:t>responsibilit</w:t>
      </w:r>
      <w:r w:rsidR="00D8339C">
        <w:t>ies</w:t>
      </w:r>
      <w:r w:rsidR="00826CDC">
        <w:t xml:space="preserve"> </w:t>
      </w:r>
      <w:r w:rsidR="00BA44E9">
        <w:t xml:space="preserve">to “administer the system” </w:t>
      </w:r>
      <w:r w:rsidR="00815CEE">
        <w:t>and “</w:t>
      </w:r>
      <w:r w:rsidRPr="00815CEE" w:rsidR="00815CEE">
        <w:t xml:space="preserve">over the assets of the </w:t>
      </w:r>
      <w:r w:rsidR="00A62935">
        <w:t>. . . </w:t>
      </w:r>
      <w:r w:rsidRPr="00815CEE" w:rsidR="00815CEE">
        <w:t>system</w:t>
      </w:r>
      <w:r w:rsidR="00815CEE">
        <w:t xml:space="preserve">” (Cal. Const., art. XVI, </w:t>
      </w:r>
      <w:r w:rsidR="00A62935">
        <w:t>§ </w:t>
      </w:r>
      <w:r w:rsidR="00815CEE">
        <w:t>17</w:t>
      </w:r>
      <w:r w:rsidR="00C20169">
        <w:t>,</w:t>
      </w:r>
      <w:r w:rsidR="00815CEE">
        <w:t xml:space="preserve"> </w:t>
      </w:r>
      <w:r w:rsidRPr="00C20169" w:rsidR="00815CEE">
        <w:t>sub</w:t>
      </w:r>
      <w:r w:rsidRPr="00C20169" w:rsidR="00A62935">
        <w:t>d. </w:t>
      </w:r>
      <w:r w:rsidRPr="00C20169" w:rsidR="00815CEE">
        <w:t>(a</w:t>
      </w:r>
      <w:r w:rsidR="00815CEE">
        <w:t xml:space="preserve">)) </w:t>
      </w:r>
      <w:r w:rsidR="00F44B45">
        <w:t xml:space="preserve">without having </w:t>
      </w:r>
      <w:r w:rsidR="00577203">
        <w:t xml:space="preserve">authority to determine </w:t>
      </w:r>
      <w:r>
        <w:t xml:space="preserve">how those assets are used, including by determining </w:t>
      </w:r>
      <w:r w:rsidR="00577203">
        <w:t>the number</w:t>
      </w:r>
      <w:r w:rsidR="00DD6236">
        <w:t xml:space="preserve"> and </w:t>
      </w:r>
      <w:r w:rsidR="004D4DF8">
        <w:t>type</w:t>
      </w:r>
      <w:r w:rsidR="004F4ACD">
        <w:t>s</w:t>
      </w:r>
      <w:r w:rsidR="004D4DF8">
        <w:t xml:space="preserve"> </w:t>
      </w:r>
      <w:r w:rsidR="00577203">
        <w:t xml:space="preserve">of </w:t>
      </w:r>
      <w:r w:rsidR="000771BE">
        <w:t>employees</w:t>
      </w:r>
      <w:r w:rsidR="00DD6236">
        <w:t xml:space="preserve"> and the compensation</w:t>
      </w:r>
      <w:r w:rsidR="004D4DF8">
        <w:t xml:space="preserve"> </w:t>
      </w:r>
      <w:r>
        <w:t>required</w:t>
      </w:r>
      <w:r w:rsidR="00985537">
        <w:t xml:space="preserve">.  </w:t>
      </w:r>
      <w:r w:rsidR="00F25D40">
        <w:t xml:space="preserve">(See </w:t>
      </w:r>
      <w:r w:rsidRPr="00025386" w:rsidR="006C7A2A">
        <w:rPr>
          <w:i/>
          <w:iCs/>
        </w:rPr>
        <w:t>Gilb v. Chiang</w:t>
      </w:r>
      <w:r w:rsidR="006C7A2A">
        <w:t xml:space="preserve">, </w:t>
      </w:r>
      <w:r w:rsidR="006C7A2A">
        <w:rPr>
          <w:i/>
          <w:iCs/>
        </w:rPr>
        <w:t>supra</w:t>
      </w:r>
      <w:r w:rsidR="006C7A2A">
        <w:t>,</w:t>
      </w:r>
      <w:r w:rsidRPr="00025386" w:rsidR="006C7A2A">
        <w:t xml:space="preserve"> 186</w:t>
      </w:r>
      <w:r>
        <w:t> </w:t>
      </w:r>
      <w:r w:rsidRPr="00025386" w:rsidR="006C7A2A">
        <w:t xml:space="preserve">Cal.App.4th </w:t>
      </w:r>
      <w:r w:rsidR="006C7A2A">
        <w:t xml:space="preserve">at </w:t>
      </w:r>
      <w:r w:rsidR="00A62935">
        <w:t>p. </w:t>
      </w:r>
      <w:r w:rsidRPr="00025386" w:rsidR="006C7A2A">
        <w:t xml:space="preserve">463 </w:t>
      </w:r>
      <w:r w:rsidR="006C7A2A">
        <w:t>[</w:t>
      </w:r>
      <w:r w:rsidR="00BA1569">
        <w:t>“</w:t>
      </w:r>
      <w:r w:rsidRPr="00025386" w:rsidR="00BA1569">
        <w:t>‘</w:t>
      </w:r>
      <w:r w:rsidR="00BA1569">
        <w:t>“</w:t>
      </w:r>
      <w:r w:rsidRPr="00025386" w:rsidR="00BA1569">
        <w:t>[p]ublic agencies possess not only expressly granted powers but also such implied powers as are necessary or reasonably appropriate to the accomplishment of their express powers</w:t>
      </w:r>
      <w:r w:rsidR="00BA1569">
        <w:t>”</w:t>
      </w:r>
      <w:r w:rsidRPr="00025386" w:rsidR="00BA1569">
        <w:t>’”</w:t>
      </w:r>
      <w:r w:rsidR="00BA1569">
        <w:t xml:space="preserve">]; </w:t>
      </w:r>
      <w:r w:rsidRPr="00BF3381" w:rsidR="0008480B">
        <w:rPr>
          <w:i/>
          <w:iCs/>
        </w:rPr>
        <w:t xml:space="preserve">Cox v. Kern County Civil </w:t>
      </w:r>
      <w:r w:rsidRPr="00BF3381" w:rsidR="00AF4D24">
        <w:rPr>
          <w:i/>
          <w:iCs/>
        </w:rPr>
        <w:t>Service</w:t>
      </w:r>
      <w:r w:rsidRPr="00BF3381" w:rsidR="0008480B">
        <w:rPr>
          <w:i/>
          <w:iCs/>
        </w:rPr>
        <w:t xml:space="preserve"> Com.</w:t>
      </w:r>
      <w:r w:rsidRPr="00BF3381" w:rsidR="0008480B">
        <w:t xml:space="preserve"> (1984) 156</w:t>
      </w:r>
      <w:r w:rsidR="005363CA">
        <w:t> </w:t>
      </w:r>
      <w:r w:rsidRPr="00BF3381" w:rsidR="0008480B">
        <w:t>Cal.App.3d 867, 873</w:t>
      </w:r>
      <w:r w:rsidR="000771BE">
        <w:t xml:space="preserve"> [same]</w:t>
      </w:r>
      <w:r w:rsidR="000869F0">
        <w:t xml:space="preserve">; see also </w:t>
      </w:r>
      <w:r w:rsidRPr="00B37C07" w:rsidR="00D96517">
        <w:rPr>
          <w:i/>
          <w:iCs/>
        </w:rPr>
        <w:t>Mijares v. Orange County Employees Retirement System</w:t>
      </w:r>
      <w:r w:rsidR="00D96517">
        <w:t xml:space="preserve">, </w:t>
      </w:r>
      <w:r w:rsidR="00D96517">
        <w:rPr>
          <w:i/>
          <w:iCs/>
        </w:rPr>
        <w:t>supra</w:t>
      </w:r>
      <w:r w:rsidR="00D96517">
        <w:t>,</w:t>
      </w:r>
      <w:r w:rsidR="00D96517">
        <w:rPr>
          <w:i/>
          <w:iCs/>
        </w:rPr>
        <w:t xml:space="preserve"> </w:t>
      </w:r>
      <w:r w:rsidRPr="00B37C07" w:rsidR="00D96517">
        <w:t>32</w:t>
      </w:r>
      <w:r w:rsidR="00D96517">
        <w:t> </w:t>
      </w:r>
      <w:r w:rsidRPr="00B37C07" w:rsidR="00D96517">
        <w:t xml:space="preserve">Cal.App.5th </w:t>
      </w:r>
      <w:r w:rsidR="00D96517">
        <w:t xml:space="preserve">at </w:t>
      </w:r>
      <w:r w:rsidR="00A62935">
        <w:t>p. </w:t>
      </w:r>
      <w:r w:rsidRPr="00B37C07" w:rsidR="00D96517">
        <w:t>331</w:t>
      </w:r>
      <w:r w:rsidR="00D96517">
        <w:t xml:space="preserve"> [</w:t>
      </w:r>
      <w:r w:rsidR="009974B4">
        <w:t xml:space="preserve">interpreting Proposition 162 broadly </w:t>
      </w:r>
      <w:r w:rsidR="00005ADD">
        <w:t xml:space="preserve">to </w:t>
      </w:r>
      <w:r w:rsidR="00EE3C42">
        <w:t>give</w:t>
      </w:r>
      <w:r w:rsidR="00005ADD">
        <w:t xml:space="preserve"> a retirement board </w:t>
      </w:r>
      <w:r w:rsidR="00EE3C42">
        <w:t>authority “</w:t>
      </w:r>
      <w:r w:rsidRPr="00EE3C42" w:rsidR="00EE3C42">
        <w:t>to take whatever measures needed</w:t>
      </w:r>
      <w:r w:rsidR="00EE3C42">
        <w:t xml:space="preserve">” to </w:t>
      </w:r>
      <w:r w:rsidR="00BB3558">
        <w:t xml:space="preserve">comply with </w:t>
      </w:r>
      <w:r w:rsidR="00520F7A">
        <w:t>its</w:t>
      </w:r>
      <w:r w:rsidR="00735514">
        <w:t xml:space="preserve"> </w:t>
      </w:r>
      <w:r w:rsidR="00FD6BE4">
        <w:t>dut</w:t>
      </w:r>
      <w:r w:rsidR="00735514">
        <w:t>y</w:t>
      </w:r>
      <w:r w:rsidR="005672CE">
        <w:t>]</w:t>
      </w:r>
      <w:r w:rsidR="0008480B">
        <w:t>.)</w:t>
      </w:r>
      <w:r w:rsidRPr="00025386" w:rsidR="00BA1569">
        <w:t xml:space="preserve"> </w:t>
      </w:r>
      <w:r w:rsidR="006C7A2A">
        <w:t xml:space="preserve"> </w:t>
      </w:r>
      <w:r w:rsidR="00815CEE">
        <w:t>For example</w:t>
      </w:r>
      <w:r w:rsidR="00066644">
        <w:t>, subdivision (</w:t>
      </w:r>
      <w:r w:rsidR="00E132A3">
        <w:t>d</w:t>
      </w:r>
      <w:r w:rsidR="00066644">
        <w:t xml:space="preserve">) </w:t>
      </w:r>
      <w:r w:rsidR="00326E44">
        <w:t xml:space="preserve">of Proposition 162 requires </w:t>
      </w:r>
      <w:r w:rsidR="008D196E">
        <w:t>the members of a retirement board to “diversi</w:t>
      </w:r>
      <w:r w:rsidR="009A6F1D">
        <w:t>f</w:t>
      </w:r>
      <w:r w:rsidR="008D196E">
        <w:t>y the investments of the system so as to minimize the risk of loss and to maximize the rate of return</w:t>
      </w:r>
      <w:r w:rsidR="00E42C79">
        <w:t xml:space="preserve">.”  (Cal. Const., art. XVI, </w:t>
      </w:r>
      <w:r w:rsidR="00A62935">
        <w:t>§ </w:t>
      </w:r>
      <w:r w:rsidR="00E42C79">
        <w:t>17, sub</w:t>
      </w:r>
      <w:r w:rsidR="00A62935">
        <w:t>d. </w:t>
      </w:r>
      <w:r w:rsidR="00E42C79">
        <w:t>(d)</w:t>
      </w:r>
      <w:r w:rsidR="00330300">
        <w:t xml:space="preserve">; see </w:t>
      </w:r>
      <w:r w:rsidRPr="00995402" w:rsidR="00990AE8">
        <w:rPr>
          <w:i/>
          <w:iCs/>
        </w:rPr>
        <w:t>Flethez v. San Bernardino County Employees Retirement Assn.</w:t>
      </w:r>
      <w:r w:rsidRPr="00995402" w:rsidR="00990AE8">
        <w:t xml:space="preserve"> (2017) 2</w:t>
      </w:r>
      <w:r w:rsidR="00CF28AD">
        <w:t> </w:t>
      </w:r>
      <w:r w:rsidRPr="00995402" w:rsidR="00990AE8">
        <w:t>Cal.5th 630, 636</w:t>
      </w:r>
      <w:r w:rsidR="00990AE8">
        <w:t xml:space="preserve"> [</w:t>
      </w:r>
      <w:r w:rsidR="00CF28AD">
        <w:t>“</w:t>
      </w:r>
      <w:r w:rsidRPr="00995402" w:rsidR="00CF28AD">
        <w:t xml:space="preserve">a county retirement board is </w:t>
      </w:r>
      <w:r w:rsidR="00CF28AD">
        <w:t>‘</w:t>
      </w:r>
      <w:r w:rsidRPr="00995402" w:rsidR="00CF28AD">
        <w:t xml:space="preserve">required to administer the retirement system </w:t>
      </w:r>
      <w:r w:rsidR="00CF28AD">
        <w:t>“</w:t>
      </w:r>
      <w:r w:rsidRPr="00995402" w:rsidR="00CF28AD">
        <w:t>in a manner to best provide benefits to the participants of the plan</w:t>
      </w:r>
      <w:r w:rsidR="00CF28AD">
        <w:t>”</w:t>
      </w:r>
      <w:r w:rsidRPr="00995402" w:rsidR="00CF28AD">
        <w:t>’”</w:t>
      </w:r>
      <w:r w:rsidR="00CF28AD">
        <w:t>]</w:t>
      </w:r>
      <w:r w:rsidR="00E42C79">
        <w:t xml:space="preserve">.)  </w:t>
      </w:r>
      <w:r w:rsidR="00843F4C">
        <w:t xml:space="preserve">To fulfill this </w:t>
      </w:r>
      <w:r w:rsidR="00815CEE">
        <w:t>duty</w:t>
      </w:r>
      <w:r w:rsidR="00843F4C">
        <w:t>, m</w:t>
      </w:r>
      <w:r w:rsidR="00E42C79">
        <w:t xml:space="preserve">embers of retirement boards </w:t>
      </w:r>
      <w:r w:rsidR="009A6F1D">
        <w:t xml:space="preserve">must have </w:t>
      </w:r>
      <w:r w:rsidR="00E42C79">
        <w:t>authority to recruit</w:t>
      </w:r>
      <w:r>
        <w:t xml:space="preserve">, </w:t>
      </w:r>
      <w:r w:rsidR="0020605C">
        <w:t>hire</w:t>
      </w:r>
      <w:r>
        <w:t>, incentivize, and reward</w:t>
      </w:r>
      <w:r w:rsidR="0020605C">
        <w:t xml:space="preserve"> </w:t>
      </w:r>
      <w:r w:rsidR="003D767B">
        <w:t xml:space="preserve">employees with the requisite </w:t>
      </w:r>
      <w:r w:rsidR="00B0247A">
        <w:t xml:space="preserve">investment </w:t>
      </w:r>
      <w:r w:rsidR="003D767B">
        <w:t>knowledge and experience to maximize returns for the participants and their beneficiaries</w:t>
      </w:r>
      <w:r w:rsidR="007A508A">
        <w:t xml:space="preserve"> and to create </w:t>
      </w:r>
      <w:r w:rsidR="00937BAF">
        <w:t xml:space="preserve">management structures to </w:t>
      </w:r>
      <w:r w:rsidR="009F7580">
        <w:t>“</w:t>
      </w:r>
      <w:r w:rsidRPr="006A0562" w:rsidR="009F7580">
        <w:t>efficiently and promptly provi</w:t>
      </w:r>
      <w:r w:rsidR="009F7580">
        <w:t>d[e]</w:t>
      </w:r>
      <w:r w:rsidRPr="006A0562" w:rsidR="009F7580">
        <w:t xml:space="preserve"> benefits and services to participants</w:t>
      </w:r>
      <w:r w:rsidR="00B3288A">
        <w:t>.</w:t>
      </w:r>
      <w:r w:rsidR="009F7580">
        <w:t>”</w:t>
      </w:r>
      <w:r w:rsidR="00B3288A">
        <w:t xml:space="preserve">  </w:t>
      </w:r>
      <w:r w:rsidR="00937BAF">
        <w:t>(</w:t>
      </w:r>
      <w:r w:rsidR="007B06FE">
        <w:t xml:space="preserve">1992 </w:t>
      </w:r>
      <w:r w:rsidR="0092404B">
        <w:t xml:space="preserve">Ballot Pamp., </w:t>
      </w:r>
      <w:r w:rsidRPr="00F4283D" w:rsidR="00F4283D">
        <w:rPr>
          <w:i/>
          <w:iCs/>
        </w:rPr>
        <w:t>supra</w:t>
      </w:r>
      <w:r w:rsidR="00F4283D">
        <w:t>,</w:t>
      </w:r>
      <w:r w:rsidR="00F4283D">
        <w:rPr>
          <w:i/>
          <w:iCs/>
        </w:rPr>
        <w:t xml:space="preserve"> </w:t>
      </w:r>
      <w:r w:rsidR="0092404B">
        <w:t>text of Pro</w:t>
      </w:r>
      <w:r w:rsidR="00A62935">
        <w:t>p. </w:t>
      </w:r>
      <w:r w:rsidR="0092404B">
        <w:t xml:space="preserve">162, </w:t>
      </w:r>
      <w:r w:rsidR="00A62935">
        <w:t>p. </w:t>
      </w:r>
      <w:r w:rsidR="0092404B">
        <w:t xml:space="preserve">70, </w:t>
      </w:r>
      <w:r w:rsidR="00A62935">
        <w:t>§ </w:t>
      </w:r>
      <w:r w:rsidR="005F69BE">
        <w:t>3</w:t>
      </w:r>
      <w:r w:rsidR="0092404B">
        <w:t>, sub</w:t>
      </w:r>
      <w:r w:rsidR="00A62935">
        <w:t>d. </w:t>
      </w:r>
      <w:r w:rsidR="0092404B">
        <w:t>(</w:t>
      </w:r>
      <w:r w:rsidR="005F69BE">
        <w:t>d</w:t>
      </w:r>
      <w:r w:rsidR="0092404B">
        <w:t>)</w:t>
      </w:r>
      <w:r w:rsidR="00C27883">
        <w:t xml:space="preserve">.) </w:t>
      </w:r>
      <w:r w:rsidR="00937BAF">
        <w:t xml:space="preserve"> </w:t>
      </w:r>
      <w:r>
        <w:t>Proposition</w:t>
      </w:r>
      <w:r w:rsidR="002149B2">
        <w:t> </w:t>
      </w:r>
      <w:r>
        <w:t xml:space="preserve">162 also requires a retirement board to use system assets and </w:t>
      </w:r>
      <w:r w:rsidR="000771BE">
        <w:t xml:space="preserve">to </w:t>
      </w:r>
      <w:r>
        <w:t>discharge its duties for limited purposes, including “</w:t>
      </w:r>
      <w:r w:rsidRPr="00B67182">
        <w:t>defraying reasonable expenses of administering the system</w:t>
      </w:r>
      <w:r>
        <w:t>.”  (Cal. Const., art. XVI, § 17, subds. (a), (b).)  Again, it is difficult to see how a retirement board can fulfill those duties without having control over all the expenses of administering the system, including the number and type</w:t>
      </w:r>
      <w:r w:rsidR="00B0247A">
        <w:t>s</w:t>
      </w:r>
      <w:r>
        <w:t xml:space="preserve"> of employees</w:t>
      </w:r>
      <w:r w:rsidR="000771BE">
        <w:t>,</w:t>
      </w:r>
      <w:r>
        <w:t xml:space="preserve"> as well as their compensation.</w:t>
      </w:r>
      <w:r>
        <w:rPr>
          <w:rStyle w:val="FootnoteReference"/>
        </w:rPr>
        <w:footnoteReference w:id="11"/>
      </w:r>
    </w:p>
    <w:p w:rsidR="00DE7273" w:rsidRPr="00462AD4" w:rsidP="00D5150E" w14:paraId="61971F9E" w14:textId="1A08E2C0">
      <w:pPr>
        <w:spacing w:line="288" w:lineRule="auto"/>
        <w:ind w:firstLine="720"/>
      </w:pPr>
      <w:r>
        <w:t>Allowing a board of supervisors with very different responsibilities</w:t>
      </w:r>
      <w:r w:rsidR="001819DB">
        <w:t>,</w:t>
      </w:r>
      <w:r w:rsidR="00040899">
        <w:t xml:space="preserve"> priorities</w:t>
      </w:r>
      <w:r w:rsidR="001819DB">
        <w:t>, and agendas</w:t>
      </w:r>
      <w:r w:rsidR="00040899">
        <w:t xml:space="preserve"> </w:t>
      </w:r>
      <w:r w:rsidR="00CF47E9">
        <w:t xml:space="preserve">to veto the </w:t>
      </w:r>
      <w:r w:rsidR="00D5150E">
        <w:t xml:space="preserve">employment </w:t>
      </w:r>
      <w:r w:rsidR="00804CC1">
        <w:t xml:space="preserve">classifications </w:t>
      </w:r>
      <w:r w:rsidR="00633BF3">
        <w:t xml:space="preserve">and compensation </w:t>
      </w:r>
      <w:r w:rsidR="00CF47E9">
        <w:t xml:space="preserve">adopted by a retirement board </w:t>
      </w:r>
      <w:r w:rsidR="00496831">
        <w:t xml:space="preserve">frustrates </w:t>
      </w:r>
      <w:r w:rsidR="00BE1DDF">
        <w:t>the</w:t>
      </w:r>
      <w:r w:rsidR="00496831">
        <w:t xml:space="preserve"> board’s ability to fulfill </w:t>
      </w:r>
      <w:r w:rsidR="00D5150E">
        <w:t xml:space="preserve">its </w:t>
      </w:r>
      <w:r w:rsidR="00496831">
        <w:t xml:space="preserve">duties </w:t>
      </w:r>
      <w:r w:rsidR="00D5150E">
        <w:t>under Proposition</w:t>
      </w:r>
      <w:r w:rsidR="001819DB">
        <w:t> </w:t>
      </w:r>
      <w:r w:rsidR="00D5150E">
        <w:t xml:space="preserve">162 </w:t>
      </w:r>
      <w:r w:rsidR="00496831">
        <w:t xml:space="preserve">and </w:t>
      </w:r>
      <w:r w:rsidR="00B13E5F">
        <w:t>undermine</w:t>
      </w:r>
      <w:r w:rsidR="00CF47E9">
        <w:t>s</w:t>
      </w:r>
      <w:r w:rsidR="00B13E5F">
        <w:t xml:space="preserve"> the fiduciary relationship between </w:t>
      </w:r>
      <w:r w:rsidR="00BE1DDF">
        <w:t>the</w:t>
      </w:r>
      <w:r w:rsidR="00B13E5F">
        <w:t xml:space="preserve"> retirement board and </w:t>
      </w:r>
      <w:r w:rsidR="00BE1DDF">
        <w:t>the</w:t>
      </w:r>
      <w:r w:rsidR="00B13E5F">
        <w:t xml:space="preserve"> system’s participants and their beneficiaries. </w:t>
      </w:r>
      <w:r w:rsidR="00D5150E">
        <w:t xml:space="preserve"> </w:t>
      </w:r>
      <w:r w:rsidR="00D81C9A">
        <w:t xml:space="preserve">The Legislature acknowledged as much in </w:t>
      </w:r>
      <w:r w:rsidR="00462AD4">
        <w:t>amending section 20098</w:t>
      </w:r>
      <w:r w:rsidR="001819DB">
        <w:t>, which governs</w:t>
      </w:r>
      <w:r w:rsidR="0052156B">
        <w:t xml:space="preserve"> CalPERS</w:t>
      </w:r>
      <w:r w:rsidR="00462AD4">
        <w:t xml:space="preserve"> </w:t>
      </w:r>
      <w:r w:rsidR="00C17B5A">
        <w:t xml:space="preserve">and </w:t>
      </w:r>
      <w:r w:rsidR="00386C83">
        <w:t>the State Teachers’ Retirement S</w:t>
      </w:r>
      <w:r w:rsidR="0052156B">
        <w:t xml:space="preserve">ystem </w:t>
      </w:r>
      <w:r w:rsidR="00386C83">
        <w:t>(STRS)</w:t>
      </w:r>
      <w:r w:rsidR="001819DB">
        <w:t>,</w:t>
      </w:r>
      <w:r w:rsidR="00386C83">
        <w:t xml:space="preserve"> </w:t>
      </w:r>
      <w:r w:rsidR="00BE1DDF">
        <w:t>after</w:t>
      </w:r>
      <w:r w:rsidR="00815CEE">
        <w:t xml:space="preserve"> the </w:t>
      </w:r>
      <w:r w:rsidR="00BE1DDF">
        <w:t xml:space="preserve">court’s </w:t>
      </w:r>
      <w:r w:rsidR="00815CEE">
        <w:t>decision in</w:t>
      </w:r>
      <w:r w:rsidR="00462AD4">
        <w:t xml:space="preserve"> </w:t>
      </w:r>
      <w:r w:rsidR="00462AD4">
        <w:rPr>
          <w:i/>
          <w:iCs/>
        </w:rPr>
        <w:t>Westly</w:t>
      </w:r>
      <w:r w:rsidR="00462AD4">
        <w:t xml:space="preserve">.  </w:t>
      </w:r>
      <w:r w:rsidR="0052156B">
        <w:t xml:space="preserve">Less than three weeks after that decision, </w:t>
      </w:r>
      <w:r w:rsidR="00F45E0F">
        <w:t>a member of the Legislature</w:t>
      </w:r>
      <w:r w:rsidR="0052156B">
        <w:t xml:space="preserve"> introduced Senate Bill No. 269</w:t>
      </w:r>
      <w:r w:rsidR="00C17B5A">
        <w:t xml:space="preserve"> to authorize the boards of </w:t>
      </w:r>
      <w:r w:rsidR="00815CEE">
        <w:t>Cal</w:t>
      </w:r>
      <w:r w:rsidR="00C17B5A">
        <w:t xml:space="preserve">PERS and </w:t>
      </w:r>
      <w:r w:rsidR="00386C83">
        <w:t xml:space="preserve">STRS </w:t>
      </w:r>
      <w:r w:rsidR="00952729">
        <w:t>“to appoint and fix the compensation”</w:t>
      </w:r>
      <w:r w:rsidR="0083349C">
        <w:t xml:space="preserve"> </w:t>
      </w:r>
      <w:r w:rsidR="0046530D">
        <w:t>for</w:t>
      </w:r>
      <w:r w:rsidR="00952729">
        <w:t xml:space="preserve"> management-level employees.  (</w:t>
      </w:r>
      <w:r w:rsidR="002225A3">
        <w:t>Legis. Counsel</w:t>
      </w:r>
      <w:r w:rsidR="00FD61BD">
        <w:t xml:space="preserve">’s Dig., Sen. Bill No. 269 </w:t>
      </w:r>
      <w:r w:rsidR="004A12B5">
        <w:t>(2003-2004 Reg. Sess.)</w:t>
      </w:r>
      <w:r w:rsidR="007A75D2">
        <w:t xml:space="preserve"> </w:t>
      </w:r>
      <w:r w:rsidR="002F5CAD">
        <w:t>4 </w:t>
      </w:r>
      <w:r w:rsidR="004A4617">
        <w:t>Stats</w:t>
      </w:r>
      <w:r w:rsidR="002F5CAD">
        <w:t>. </w:t>
      </w:r>
      <w:r w:rsidR="004A4617">
        <w:t xml:space="preserve">2003, </w:t>
      </w:r>
      <w:r w:rsidR="007A75D2">
        <w:t>Summary Dig.</w:t>
      </w:r>
      <w:r w:rsidR="00D5157D">
        <w:t>,</w:t>
      </w:r>
      <w:r w:rsidR="007A75D2">
        <w:t xml:space="preserve"> p. </w:t>
      </w:r>
      <w:r w:rsidR="00956C9B">
        <w:t>434</w:t>
      </w:r>
      <w:r w:rsidR="001B01D6">
        <w:t>.)</w:t>
      </w:r>
      <w:r w:rsidR="004A12B5">
        <w:t xml:space="preserve"> </w:t>
      </w:r>
      <w:r w:rsidR="00FD61BD">
        <w:t xml:space="preserve"> </w:t>
      </w:r>
      <w:r w:rsidR="006C4C09">
        <w:t>In enacting Senate Bill No</w:t>
      </w:r>
      <w:r w:rsidR="002F5CAD">
        <w:t>. </w:t>
      </w:r>
      <w:r w:rsidR="006C4C09">
        <w:t>269, the Legislature found and declared</w:t>
      </w:r>
      <w:r>
        <w:t xml:space="preserve"> the ability of the boards governing CalPERS and STRS “</w:t>
      </w:r>
      <w:r w:rsidRPr="00DE7273">
        <w:t xml:space="preserve">to meet their fiduciary obligation </w:t>
      </w:r>
      <w:r w:rsidR="00B24ABB">
        <w:t xml:space="preserve">[under Proposition 162] </w:t>
      </w:r>
      <w:r w:rsidRPr="00DE7273">
        <w:t>to their members requires that they be able to attract and retain employees in key senior executive and investment management positions with compensation that is consistent with the compensation paid to employees in other public retirement and financial service organizations.</w:t>
      </w:r>
      <w:r w:rsidR="00B24ABB">
        <w:t xml:space="preserve">”  (Stats. </w:t>
      </w:r>
      <w:r w:rsidR="00866A35">
        <w:t xml:space="preserve">2003, ch. 856, </w:t>
      </w:r>
      <w:r w:rsidR="00A62935">
        <w:t>§ </w:t>
      </w:r>
      <w:r w:rsidR="00866A35">
        <w:t>1, sub</w:t>
      </w:r>
      <w:r w:rsidR="00A62935">
        <w:t>d. </w:t>
      </w:r>
      <w:r w:rsidR="00866A35">
        <w:t xml:space="preserve">(d).)  </w:t>
      </w:r>
      <w:r w:rsidR="00FD0A4D">
        <w:t>The Legislature also found and declared</w:t>
      </w:r>
      <w:r w:rsidR="006C1B81">
        <w:t>:</w:t>
      </w:r>
      <w:r w:rsidR="00FD0A4D">
        <w:t xml:space="preserve"> </w:t>
      </w:r>
      <w:r w:rsidR="006C1B81">
        <w:t xml:space="preserve"> </w:t>
      </w:r>
      <w:r w:rsidR="00FD0A4D">
        <w:t>“</w:t>
      </w:r>
      <w:r w:rsidRPr="002D4AEE" w:rsidR="002D4AEE">
        <w:t>The express purpose of this act is to enable the Board</w:t>
      </w:r>
      <w:r w:rsidR="002D4AEE">
        <w:t>[s]</w:t>
      </w:r>
      <w:r w:rsidRPr="002D4AEE" w:rsidR="002D4AEE">
        <w:t xml:space="preserve"> of </w:t>
      </w:r>
      <w:r w:rsidR="002D4AEE">
        <w:t xml:space="preserve">[CalPERS and STRS] </w:t>
      </w:r>
      <w:r w:rsidRPr="002D4AEE" w:rsidR="002D4AEE">
        <w:t xml:space="preserve">to attract and retain key personnel by empowering those boards to establish both appropriate classifications within the civil service for its senior executive and investment management employees and the compensation paid to those employees, competitive with the compensation paid to employees in other retirement and financial service entities, consistent with the holding of </w:t>
      </w:r>
      <w:r w:rsidRPr="00214A42" w:rsidR="002D4AEE">
        <w:t>Westly v. Board of Administration</w:t>
      </w:r>
      <w:r w:rsidRPr="002D4AEE" w:rsidR="002D4AEE">
        <w:t xml:space="preserve">, and notwithstanding the provisions of the Government Code that provide the State Personnel Board and the Department </w:t>
      </w:r>
      <w:bookmarkStart w:id="2" w:name="_Hlk161222404"/>
      <w:r w:rsidRPr="002D4AEE" w:rsidR="002D4AEE">
        <w:t xml:space="preserve">of Personnel Administration </w:t>
      </w:r>
      <w:bookmarkEnd w:id="2"/>
      <w:r w:rsidRPr="002D4AEE" w:rsidR="002D4AEE">
        <w:t>that authority.</w:t>
      </w:r>
      <w:r w:rsidR="009A0656">
        <w:t xml:space="preserve">”  </w:t>
      </w:r>
      <w:r w:rsidR="00187E93">
        <w:t>(</w:t>
      </w:r>
      <w:r w:rsidR="00815CEE">
        <w:t xml:space="preserve">Stats. 2003, ch. 856, </w:t>
      </w:r>
      <w:r w:rsidR="00A62935">
        <w:t>§ </w:t>
      </w:r>
      <w:r w:rsidR="00815CEE">
        <w:t>1, sub</w:t>
      </w:r>
      <w:r w:rsidR="00A62935">
        <w:t>d. </w:t>
      </w:r>
      <w:r w:rsidR="00187E93">
        <w:t>(e).)</w:t>
      </w:r>
    </w:p>
    <w:p w:rsidR="00D4198D" w:rsidP="00C4497F" w14:paraId="01972A22" w14:textId="2708B126">
      <w:pPr>
        <w:spacing w:line="288" w:lineRule="auto"/>
        <w:ind w:firstLine="720"/>
      </w:pPr>
      <w:r>
        <w:t xml:space="preserve">The court in </w:t>
      </w:r>
      <w:r w:rsidRPr="008832D9" w:rsidR="001F3CD5">
        <w:rPr>
          <w:i/>
          <w:iCs/>
        </w:rPr>
        <w:t>Corcoran</w:t>
      </w:r>
      <w:r w:rsidR="001F3CD5">
        <w:t xml:space="preserve">, </w:t>
      </w:r>
      <w:r w:rsidR="001F3CD5">
        <w:rPr>
          <w:i/>
          <w:iCs/>
        </w:rPr>
        <w:t>supra</w:t>
      </w:r>
      <w:r w:rsidR="001F3CD5">
        <w:t>,</w:t>
      </w:r>
      <w:r w:rsidR="001F3CD5">
        <w:rPr>
          <w:i/>
          <w:iCs/>
        </w:rPr>
        <w:t xml:space="preserve"> </w:t>
      </w:r>
      <w:r w:rsidRPr="008832D9" w:rsidR="001F3CD5">
        <w:t>60</w:t>
      </w:r>
      <w:r w:rsidR="001F3CD5">
        <w:t> </w:t>
      </w:r>
      <w:r w:rsidRPr="008832D9" w:rsidR="001F3CD5">
        <w:t xml:space="preserve">Cal.App.4th </w:t>
      </w:r>
      <w:r w:rsidR="0066240A">
        <w:t xml:space="preserve">89 </w:t>
      </w:r>
      <w:r w:rsidR="007474D2">
        <w:t>applied the same reasoning in concluding a retirement board</w:t>
      </w:r>
      <w:r w:rsidR="007C2A9B">
        <w:t xml:space="preserve"> (and not </w:t>
      </w:r>
      <w:r w:rsidR="00BB7FC9">
        <w:t>the board of supervisors)</w:t>
      </w:r>
      <w:r w:rsidR="007474D2">
        <w:t xml:space="preserve"> was the “governing body” for </w:t>
      </w:r>
      <w:r w:rsidRPr="00EA6E05" w:rsidR="007474D2">
        <w:t xml:space="preserve">the employees </w:t>
      </w:r>
      <w:r w:rsidR="00A1689C">
        <w:t>the</w:t>
      </w:r>
      <w:r w:rsidR="003C028C">
        <w:t xml:space="preserve"> retirement</w:t>
      </w:r>
      <w:r w:rsidR="00A1689C">
        <w:t xml:space="preserve"> board</w:t>
      </w:r>
      <w:r w:rsidRPr="00EA6E05" w:rsidR="007474D2">
        <w:t xml:space="preserve"> appoint</w:t>
      </w:r>
      <w:r w:rsidR="00732E9A">
        <w:t xml:space="preserve">ed under section 31522.1 for purposes of </w:t>
      </w:r>
      <w:r w:rsidR="00020E1A">
        <w:t xml:space="preserve">determining the level of retirement benefits </w:t>
      </w:r>
      <w:r w:rsidR="000C3BCD">
        <w:t xml:space="preserve">for </w:t>
      </w:r>
      <w:r w:rsidR="00020E1A">
        <w:t>those employees.  (</w:t>
      </w:r>
      <w:r w:rsidR="002D2535">
        <w:rPr>
          <w:i/>
          <w:iCs/>
        </w:rPr>
        <w:t>Corcoran</w:t>
      </w:r>
      <w:r w:rsidR="002D2535">
        <w:t>,</w:t>
      </w:r>
      <w:r w:rsidR="00A62935">
        <w:rPr>
          <w:i/>
          <w:iCs/>
        </w:rPr>
        <w:t> </w:t>
      </w:r>
      <w:r w:rsidR="00020E1A">
        <w:t>at p</w:t>
      </w:r>
      <w:r w:rsidR="00A62935">
        <w:t>p. </w:t>
      </w:r>
      <w:r w:rsidR="007C2A9B">
        <w:t xml:space="preserve">91-95.)  </w:t>
      </w:r>
      <w:r w:rsidR="000C3BCD">
        <w:t>The court stated</w:t>
      </w:r>
      <w:r w:rsidR="00895632">
        <w:t>:</w:t>
      </w:r>
      <w:r w:rsidR="000C3BCD">
        <w:t xml:space="preserve"> </w:t>
      </w:r>
      <w:r w:rsidR="00A1689C">
        <w:t xml:space="preserve"> </w:t>
      </w:r>
      <w:r w:rsidR="000C3BCD">
        <w:t>“</w:t>
      </w:r>
      <w:r w:rsidRPr="008832D9" w:rsidR="00916F98">
        <w:t xml:space="preserve">Unless the </w:t>
      </w:r>
      <w:r w:rsidR="00115021">
        <w:t>[r]</w:t>
      </w:r>
      <w:r w:rsidRPr="008832D9" w:rsidR="00916F98">
        <w:t xml:space="preserve">etirement </w:t>
      </w:r>
      <w:r w:rsidR="00115021">
        <w:t>[b]</w:t>
      </w:r>
      <w:r w:rsidRPr="008832D9" w:rsidR="00916F98">
        <w:t>oard is the governing body as to its officers and employees it cannot ensure that it defrays only reasonable expenses of administration</w:t>
      </w:r>
      <w:r w:rsidR="00115021">
        <w:t xml:space="preserve"> [as required by article XVI, </w:t>
      </w:r>
      <w:r w:rsidR="00EB51F0">
        <w:t>section </w:t>
      </w:r>
      <w:r w:rsidR="00115021">
        <w:t>17]</w:t>
      </w:r>
      <w:r w:rsidR="00A62935">
        <w:t>. . . </w:t>
      </w:r>
      <w:r w:rsidR="00115021">
        <w:t xml:space="preserve">. </w:t>
      </w:r>
      <w:r w:rsidR="00A1689C">
        <w:t xml:space="preserve"> </w:t>
      </w:r>
      <w:r w:rsidRPr="000C3BCD" w:rsidR="00EA6E05">
        <w:t>The</w:t>
      </w:r>
      <w:r w:rsidRPr="00EA6E05" w:rsidR="00EA6E05">
        <w:t xml:space="preserve"> </w:t>
      </w:r>
      <w:r w:rsidR="000C3BCD">
        <w:t>[r]</w:t>
      </w:r>
      <w:r w:rsidRPr="00EA6E05" w:rsidR="00EA6E05">
        <w:t xml:space="preserve">etirement </w:t>
      </w:r>
      <w:r w:rsidR="000C3BCD">
        <w:t>[b]</w:t>
      </w:r>
      <w:r w:rsidRPr="00EA6E05" w:rsidR="00EA6E05">
        <w:t>oard is the governing body as to the officers and employees that it appoints, otherwise it would have abdicated its obligation to make administrative cost decisions consistent with its primary duty to the fund</w:t>
      </w:r>
      <w:r w:rsidR="00895632">
        <w:t>’</w:t>
      </w:r>
      <w:r w:rsidRPr="00EA6E05" w:rsidR="00EA6E05">
        <w:t>s participants and to their beneficiaries.</w:t>
      </w:r>
      <w:r w:rsidR="00FE45A5">
        <w:t>”  (</w:t>
      </w:r>
      <w:r w:rsidR="00FE45A5">
        <w:rPr>
          <w:i/>
          <w:iCs/>
        </w:rPr>
        <w:t>Corcoran</w:t>
      </w:r>
      <w:r w:rsidR="00FE45A5">
        <w:t xml:space="preserve">, </w:t>
      </w:r>
      <w:r w:rsidR="00845A0A">
        <w:t xml:space="preserve">at </w:t>
      </w:r>
      <w:r w:rsidR="00FE45A5">
        <w:t>p</w:t>
      </w:r>
      <w:r w:rsidR="00A62935">
        <w:t>p. </w:t>
      </w:r>
      <w:r w:rsidR="00FE45A5">
        <w:t>94-95.)</w:t>
      </w:r>
      <w:r w:rsidR="008F3D0C">
        <w:t xml:space="preserve"> </w:t>
      </w:r>
      <w:r w:rsidR="00D50CC0">
        <w:t xml:space="preserve"> </w:t>
      </w:r>
    </w:p>
    <w:p w:rsidR="00BA76D4" w:rsidRPr="00C4497F" w:rsidP="00A1689C" w14:paraId="454C9CDD" w14:textId="1691F79A">
      <w:pPr>
        <w:spacing w:line="288" w:lineRule="auto"/>
        <w:ind w:firstLine="720"/>
        <w:rPr>
          <w:i/>
          <w:iCs/>
        </w:rPr>
      </w:pPr>
      <w:r>
        <w:t>The County and Board of Supervisors suggest that interpreting Proposition 162 as LACERA proposes (</w:t>
      </w:r>
      <w:r w:rsidR="0041105B">
        <w:t>an interpretation</w:t>
      </w:r>
      <w:r w:rsidR="007602A7">
        <w:t xml:space="preserve"> we adopt</w:t>
      </w:r>
      <w:r>
        <w:t xml:space="preserve">) will allow a </w:t>
      </w:r>
      <w:r w:rsidR="001A139E">
        <w:t xml:space="preserve">board to </w:t>
      </w:r>
      <w:r w:rsidR="005B08B9">
        <w:t>administer a retirement system “in any way it likes, free from the constraints of other laws</w:t>
      </w:r>
      <w:r>
        <w:t>.</w:t>
      </w:r>
      <w:r w:rsidR="005B08B9">
        <w:t>”</w:t>
      </w:r>
      <w:r w:rsidR="00523B13">
        <w:t xml:space="preserve"> </w:t>
      </w:r>
      <w:r w:rsidR="005B08B9">
        <w:t xml:space="preserve"> </w:t>
      </w:r>
      <w:r>
        <w:t>Such a concern is unwarranted.  A</w:t>
      </w:r>
      <w:r w:rsidR="00286522">
        <w:t> </w:t>
      </w:r>
      <w:r w:rsidR="00AD4D26">
        <w:t>retirement</w:t>
      </w:r>
      <w:r w:rsidR="00444708">
        <w:t xml:space="preserve"> </w:t>
      </w:r>
      <w:r w:rsidR="00D50CC0">
        <w:t>board’</w:t>
      </w:r>
      <w:r w:rsidR="00AD4D26">
        <w:t>s</w:t>
      </w:r>
      <w:r w:rsidR="00D50CC0">
        <w:t xml:space="preserve"> </w:t>
      </w:r>
      <w:r w:rsidR="006167DC">
        <w:t>dut</w:t>
      </w:r>
      <w:r w:rsidR="00790077">
        <w:t>ies</w:t>
      </w:r>
      <w:r w:rsidR="006167DC">
        <w:t xml:space="preserve"> to maximize the rate of return and </w:t>
      </w:r>
      <w:r w:rsidR="00D50CC0">
        <w:t xml:space="preserve">to </w:t>
      </w:r>
      <w:r w:rsidR="0054552E">
        <w:t>incur only “reasonable” expenses</w:t>
      </w:r>
      <w:r>
        <w:t>,</w:t>
      </w:r>
      <w:r w:rsidR="0054552E">
        <w:t xml:space="preserve"> </w:t>
      </w:r>
      <w:r w:rsidR="00F7456A">
        <w:t>along with judicial review of</w:t>
      </w:r>
      <w:r w:rsidR="00574480">
        <w:t xml:space="preserve"> its actions</w:t>
      </w:r>
      <w:r>
        <w:t>,</w:t>
      </w:r>
      <w:r w:rsidR="00574480">
        <w:t xml:space="preserve"> </w:t>
      </w:r>
      <w:r w:rsidR="0054552E">
        <w:t xml:space="preserve">ensure </w:t>
      </w:r>
      <w:r w:rsidR="00F33ED2">
        <w:t xml:space="preserve">that boards will not over-compensate </w:t>
      </w:r>
      <w:r w:rsidR="005B08B9">
        <w:t xml:space="preserve">their </w:t>
      </w:r>
      <w:r w:rsidR="00F33ED2">
        <w:t>employees</w:t>
      </w:r>
      <w:r w:rsidR="006167DC">
        <w:t xml:space="preserve">.  </w:t>
      </w:r>
      <w:r w:rsidR="00790077">
        <w:t>(</w:t>
      </w:r>
      <w:r w:rsidR="00D632FC">
        <w:t>Cal. Const.</w:t>
      </w:r>
      <w:r w:rsidR="00790077">
        <w:t>,</w:t>
      </w:r>
      <w:r w:rsidR="00D632FC">
        <w:t xml:space="preserve"> art. VXI, § 17,</w:t>
      </w:r>
      <w:r w:rsidR="00790077">
        <w:t xml:space="preserve"> subds. </w:t>
      </w:r>
      <w:r w:rsidR="000B2A08">
        <w:t>(a), (d)</w:t>
      </w:r>
      <w:r w:rsidR="00574480">
        <w:t>; see</w:t>
      </w:r>
      <w:r w:rsidR="009D4CC3">
        <w:t xml:space="preserve"> </w:t>
      </w:r>
      <w:r w:rsidRPr="00706B69" w:rsidR="00C25AC6">
        <w:rPr>
          <w:i/>
          <w:iCs/>
        </w:rPr>
        <w:t>Board of Retirement v. Santa Barbara County Grand Jury</w:t>
      </w:r>
      <w:r w:rsidR="00C25AC6">
        <w:t xml:space="preserve">, </w:t>
      </w:r>
      <w:r w:rsidR="00C25AC6">
        <w:rPr>
          <w:i/>
          <w:iCs/>
        </w:rPr>
        <w:t>supra</w:t>
      </w:r>
      <w:r w:rsidR="00C25AC6">
        <w:t>,</w:t>
      </w:r>
      <w:r w:rsidRPr="00706B69" w:rsidR="00C25AC6">
        <w:t xml:space="preserve"> 58</w:t>
      </w:r>
      <w:r w:rsidR="00286522">
        <w:t> </w:t>
      </w:r>
      <w:r w:rsidRPr="00706B69" w:rsidR="00C25AC6">
        <w:t xml:space="preserve">Cal.App.4th </w:t>
      </w:r>
      <w:r w:rsidR="00C25AC6">
        <w:t xml:space="preserve">at </w:t>
      </w:r>
      <w:r w:rsidR="00A62935">
        <w:t>p. </w:t>
      </w:r>
      <w:r w:rsidRPr="00706B69" w:rsidR="00C25AC6">
        <w:t>1193</w:t>
      </w:r>
      <w:r w:rsidR="00C25AC6">
        <w:t xml:space="preserve"> [</w:t>
      </w:r>
      <w:r w:rsidR="007B44E7">
        <w:t>“</w:t>
      </w:r>
      <w:r w:rsidRPr="00706B69" w:rsidR="007B44E7">
        <w:t>Proposition 162 did not insulate pension boards from judicial oversight.</w:t>
      </w:r>
      <w:r w:rsidR="007B44E7">
        <w:t xml:space="preserve">”]; </w:t>
      </w:r>
      <w:r>
        <w:t xml:space="preserve">see also </w:t>
      </w:r>
      <w:r w:rsidRPr="004878F3" w:rsidR="00325D4A">
        <w:rPr>
          <w:i/>
          <w:iCs/>
        </w:rPr>
        <w:t>City of San</w:t>
      </w:r>
      <w:r w:rsidR="00605B2D">
        <w:rPr>
          <w:i/>
          <w:iCs/>
        </w:rPr>
        <w:t> </w:t>
      </w:r>
      <w:r w:rsidRPr="004878F3" w:rsidR="00325D4A">
        <w:rPr>
          <w:i/>
          <w:iCs/>
        </w:rPr>
        <w:t>Diego v. San</w:t>
      </w:r>
      <w:r w:rsidR="00286522">
        <w:rPr>
          <w:i/>
          <w:iCs/>
        </w:rPr>
        <w:t> </w:t>
      </w:r>
      <w:r w:rsidRPr="004878F3" w:rsidR="00325D4A">
        <w:rPr>
          <w:i/>
          <w:iCs/>
        </w:rPr>
        <w:t>Diego City Employees</w:t>
      </w:r>
      <w:r w:rsidR="00C4497F">
        <w:rPr>
          <w:i/>
          <w:iCs/>
        </w:rPr>
        <w:t>’</w:t>
      </w:r>
      <w:r w:rsidRPr="004878F3" w:rsidR="00325D4A">
        <w:rPr>
          <w:i/>
          <w:iCs/>
        </w:rPr>
        <w:t xml:space="preserve"> Retirement System</w:t>
      </w:r>
      <w:r w:rsidR="000A1C7E">
        <w:t xml:space="preserve">, </w:t>
      </w:r>
      <w:r w:rsidRPr="00286522" w:rsidR="000A1C7E">
        <w:rPr>
          <w:i/>
          <w:iCs/>
        </w:rPr>
        <w:t>supra</w:t>
      </w:r>
      <w:r w:rsidR="000A1C7E">
        <w:t>,</w:t>
      </w:r>
      <w:r w:rsidRPr="004878F3" w:rsidR="00325D4A">
        <w:t xml:space="preserve"> 186</w:t>
      </w:r>
      <w:r w:rsidR="00286522">
        <w:t> </w:t>
      </w:r>
      <w:r w:rsidRPr="004878F3" w:rsidR="00325D4A">
        <w:t xml:space="preserve">Cal.App.4th </w:t>
      </w:r>
      <w:r w:rsidR="000A1C7E">
        <w:t>at p. </w:t>
      </w:r>
      <w:r w:rsidRPr="004878F3" w:rsidR="00325D4A">
        <w:t>7</w:t>
      </w:r>
      <w:r w:rsidR="00325D4A">
        <w:t xml:space="preserve">9; </w:t>
      </w:r>
      <w:r w:rsidRPr="00706B69" w:rsidR="00EE369A">
        <w:rPr>
          <w:i/>
          <w:iCs/>
        </w:rPr>
        <w:t>Singh v. Board of Retirement</w:t>
      </w:r>
      <w:r w:rsidRPr="00286522" w:rsidR="00EE369A">
        <w:t>,</w:t>
      </w:r>
      <w:r w:rsidRPr="00706B69" w:rsidR="00EE369A">
        <w:rPr>
          <w:i/>
          <w:iCs/>
        </w:rPr>
        <w:t xml:space="preserve"> supra,</w:t>
      </w:r>
      <w:r w:rsidRPr="00706B69" w:rsidR="00EE369A">
        <w:t xml:space="preserve"> 41</w:t>
      </w:r>
      <w:r w:rsidR="00286522">
        <w:t> </w:t>
      </w:r>
      <w:r w:rsidRPr="00706B69" w:rsidR="00EE369A">
        <w:t xml:space="preserve">Cal.App.4th at </w:t>
      </w:r>
      <w:r w:rsidR="00A62935">
        <w:t>p. </w:t>
      </w:r>
      <w:r w:rsidRPr="00706B69" w:rsidR="00EE369A">
        <w:t>1191</w:t>
      </w:r>
      <w:r w:rsidR="000B2A08">
        <w:t xml:space="preserve">.) </w:t>
      </w:r>
      <w:r w:rsidR="00947FEF">
        <w:t xml:space="preserve"> </w:t>
      </w:r>
      <w:r w:rsidRPr="00D617FB" w:rsidR="00947FEF">
        <w:t xml:space="preserve">Moreover, retirement boards that appoint </w:t>
      </w:r>
      <w:r w:rsidR="00381A21">
        <w:t xml:space="preserve">classified </w:t>
      </w:r>
      <w:r w:rsidRPr="00D617FB" w:rsidR="00947FEF">
        <w:t xml:space="preserve">personnel under section 31522.1 remain bound by the county’s civil service </w:t>
      </w:r>
      <w:r w:rsidR="0045059C">
        <w:t>or</w:t>
      </w:r>
      <w:r w:rsidRPr="00D617FB" w:rsidR="00947FEF">
        <w:t xml:space="preserve"> merit system rules</w:t>
      </w:r>
      <w:r w:rsidR="00947FEF">
        <w:t>.  (See</w:t>
      </w:r>
      <w:r w:rsidR="0083349C">
        <w:t xml:space="preserve"> </w:t>
      </w:r>
      <w:r w:rsidR="00947FEF">
        <w:t>§</w:t>
      </w:r>
      <w:r w:rsidR="00286522">
        <w:t> </w:t>
      </w:r>
      <w:r w:rsidR="00947FEF">
        <w:t>31522.1.)</w:t>
      </w:r>
    </w:p>
    <w:p w:rsidR="00AF6CF7" w:rsidP="00396405" w14:paraId="59963AD3" w14:textId="77777777">
      <w:pPr>
        <w:spacing w:line="288" w:lineRule="auto"/>
        <w:ind w:firstLine="720"/>
      </w:pPr>
    </w:p>
    <w:p w:rsidR="00AF6CF7" w:rsidRPr="00EE2212" w:rsidP="00AF6CF7" w14:paraId="4F71C307" w14:textId="7B7F3BEA">
      <w:pPr>
        <w:keepNext/>
        <w:spacing w:line="288" w:lineRule="auto"/>
        <w:ind w:left="2880" w:hanging="720"/>
        <w:rPr>
          <w:bCs/>
          <w:i/>
          <w:iCs/>
          <w:szCs w:val="26"/>
        </w:rPr>
      </w:pPr>
      <w:r>
        <w:rPr>
          <w:bCs/>
          <w:szCs w:val="26"/>
        </w:rPr>
        <w:t>b.</w:t>
      </w:r>
      <w:r>
        <w:rPr>
          <w:bCs/>
          <w:szCs w:val="26"/>
        </w:rPr>
        <w:tab/>
      </w:r>
      <w:r>
        <w:rPr>
          <w:bCs/>
          <w:i/>
          <w:iCs/>
          <w:szCs w:val="26"/>
        </w:rPr>
        <w:t xml:space="preserve">The </w:t>
      </w:r>
      <w:r w:rsidR="00FE3284">
        <w:rPr>
          <w:bCs/>
          <w:i/>
          <w:iCs/>
          <w:szCs w:val="26"/>
        </w:rPr>
        <w:t xml:space="preserve">Voters’ Intent and </w:t>
      </w:r>
      <w:r w:rsidR="007538BC">
        <w:rPr>
          <w:bCs/>
          <w:i/>
          <w:iCs/>
          <w:szCs w:val="26"/>
        </w:rPr>
        <w:t xml:space="preserve">the </w:t>
      </w:r>
      <w:r w:rsidR="00FE3284">
        <w:rPr>
          <w:bCs/>
          <w:i/>
          <w:iCs/>
          <w:szCs w:val="26"/>
        </w:rPr>
        <w:t>Purpose</w:t>
      </w:r>
      <w:r w:rsidR="00A1689C">
        <w:rPr>
          <w:bCs/>
          <w:i/>
          <w:iCs/>
          <w:szCs w:val="26"/>
        </w:rPr>
        <w:t>s</w:t>
      </w:r>
      <w:r w:rsidR="00FE3284">
        <w:rPr>
          <w:bCs/>
          <w:i/>
          <w:iCs/>
          <w:szCs w:val="26"/>
        </w:rPr>
        <w:t xml:space="preserve"> of Proposition 162</w:t>
      </w:r>
    </w:p>
    <w:p w:rsidR="001318E8" w:rsidP="00396405" w14:paraId="0D1610A8" w14:textId="4C787CC8">
      <w:pPr>
        <w:spacing w:line="288" w:lineRule="auto"/>
        <w:ind w:firstLine="720"/>
      </w:pPr>
      <w:r>
        <w:t xml:space="preserve">Our </w:t>
      </w:r>
      <w:r w:rsidR="00522AEA">
        <w:t xml:space="preserve">interpretation </w:t>
      </w:r>
      <w:r w:rsidR="00414845">
        <w:t>of Proposition 162</w:t>
      </w:r>
      <w:r w:rsidR="00A1689C">
        <w:t xml:space="preserve"> </w:t>
      </w:r>
      <w:r w:rsidR="00522AEA">
        <w:t xml:space="preserve">is </w:t>
      </w:r>
      <w:r w:rsidR="00FD26A4">
        <w:t xml:space="preserve">also </w:t>
      </w:r>
      <w:r w:rsidR="00522AEA">
        <w:t xml:space="preserve">consistent with </w:t>
      </w:r>
      <w:r w:rsidR="007F109B">
        <w:t xml:space="preserve">the </w:t>
      </w:r>
      <w:r w:rsidR="00414845">
        <w:t xml:space="preserve">voters’ </w:t>
      </w:r>
      <w:r w:rsidR="007F109B">
        <w:t>intent</w:t>
      </w:r>
      <w:r w:rsidR="00750AE0">
        <w:t xml:space="preserve"> and the stated purpose</w:t>
      </w:r>
      <w:r w:rsidRPr="006939DB" w:rsidR="00750AE0">
        <w:t>s</w:t>
      </w:r>
      <w:r w:rsidR="00750AE0">
        <w:t xml:space="preserve"> of Proposition</w:t>
      </w:r>
      <w:r w:rsidR="00A1689C">
        <w:t> </w:t>
      </w:r>
      <w:r w:rsidR="00750AE0">
        <w:t xml:space="preserve">162. </w:t>
      </w:r>
      <w:r w:rsidR="00D9279A">
        <w:t xml:space="preserve"> </w:t>
      </w:r>
      <w:r w:rsidR="00A25A97">
        <w:t>One reason the</w:t>
      </w:r>
      <w:r w:rsidR="00D9279A">
        <w:t xml:space="preserve"> voters </w:t>
      </w:r>
      <w:r w:rsidR="00B93BA1">
        <w:t xml:space="preserve">enacted Proposition 162 </w:t>
      </w:r>
      <w:r w:rsidR="00A25A97">
        <w:t>was “</w:t>
      </w:r>
      <w:r w:rsidRPr="00706B69" w:rsidR="00A25A97">
        <w:t xml:space="preserve">to preclude the legislative and executive branches from </w:t>
      </w:r>
      <w:r w:rsidR="00A25A97">
        <w:t>‘</w:t>
      </w:r>
      <w:r w:rsidRPr="00706B69" w:rsidR="00A25A97">
        <w:t>raiding</w:t>
      </w:r>
      <w:r w:rsidR="00A25A97">
        <w:t>’</w:t>
      </w:r>
      <w:r w:rsidRPr="00706B69" w:rsidR="00A25A97">
        <w:t xml:space="preserve"> pension funds to balance the state budget</w:t>
      </w:r>
      <w:r w:rsidR="00A25A97">
        <w:t>.”  (</w:t>
      </w:r>
      <w:r w:rsidRPr="00706B69" w:rsidR="00A60DD3">
        <w:rPr>
          <w:i/>
          <w:iCs/>
        </w:rPr>
        <w:t>Board of Retirement v. Santa Barbara County Grand Jury</w:t>
      </w:r>
      <w:r w:rsidR="00815CEE">
        <w:t xml:space="preserve">, </w:t>
      </w:r>
      <w:r w:rsidR="00815CEE">
        <w:rPr>
          <w:i/>
          <w:iCs/>
        </w:rPr>
        <w:t>supra</w:t>
      </w:r>
      <w:r w:rsidR="00815CEE">
        <w:t>,</w:t>
      </w:r>
      <w:r w:rsidRPr="00706B69" w:rsidR="00A60DD3">
        <w:t xml:space="preserve"> 58</w:t>
      </w:r>
      <w:r w:rsidR="00DF61D6">
        <w:t> </w:t>
      </w:r>
      <w:r w:rsidRPr="00706B69" w:rsidR="00A60DD3">
        <w:t xml:space="preserve">Cal.App.4th </w:t>
      </w:r>
      <w:r w:rsidR="00815CEE">
        <w:t xml:space="preserve">at </w:t>
      </w:r>
      <w:r w:rsidR="00A62935">
        <w:t>p. </w:t>
      </w:r>
      <w:r w:rsidRPr="00706B69" w:rsidR="00A60DD3">
        <w:t>1193</w:t>
      </w:r>
      <w:r w:rsidR="00DF61D6">
        <w:t xml:space="preserve">; see </w:t>
      </w:r>
      <w:r w:rsidRPr="004878F3" w:rsidR="00DC49A2">
        <w:rPr>
          <w:i/>
          <w:iCs/>
        </w:rPr>
        <w:t>Singh v. Board of Retirement</w:t>
      </w:r>
      <w:r w:rsidR="00DC49A2">
        <w:t xml:space="preserve">, </w:t>
      </w:r>
      <w:r w:rsidR="00DC49A2">
        <w:rPr>
          <w:i/>
          <w:iCs/>
        </w:rPr>
        <w:t>supra</w:t>
      </w:r>
      <w:r w:rsidR="00DC49A2">
        <w:t>,</w:t>
      </w:r>
      <w:r w:rsidRPr="004878F3" w:rsidR="00DC49A2">
        <w:t xml:space="preserve"> 41</w:t>
      </w:r>
      <w:r w:rsidR="00DC49A2">
        <w:t> </w:t>
      </w:r>
      <w:r w:rsidRPr="004878F3" w:rsidR="00DC49A2">
        <w:t xml:space="preserve">Cal.App.4th </w:t>
      </w:r>
      <w:r w:rsidR="00DC49A2">
        <w:t xml:space="preserve">at </w:t>
      </w:r>
      <w:r w:rsidR="00A62935">
        <w:t>p. </w:t>
      </w:r>
      <w:r w:rsidRPr="004878F3" w:rsidR="00DC49A2">
        <w:t>1192</w:t>
      </w:r>
      <w:r w:rsidR="00A60DD3">
        <w:t xml:space="preserve">.)  But voters more broadly intended </w:t>
      </w:r>
      <w:r w:rsidR="005F4BC5">
        <w:t>Proposition 162 “</w:t>
      </w:r>
      <w:r w:rsidRPr="007A2BEC">
        <w:t xml:space="preserve">to </w:t>
      </w:r>
      <w:r w:rsidR="006E6B88">
        <w:t>‘</w:t>
      </w:r>
      <w:r w:rsidRPr="007A2BEC">
        <w:t>insulate the administration of retirement systems from oversight and control by legislative and executive authorities.</w:t>
      </w:r>
      <w:r w:rsidR="006E6B88">
        <w:t>’</w:t>
      </w:r>
      <w:r w:rsidRPr="007A2BEC">
        <w:t>”</w:t>
      </w:r>
      <w:r w:rsidR="007A2BEC">
        <w:t xml:space="preserve"> </w:t>
      </w:r>
      <w:r w:rsidRPr="00667B1B">
        <w:t xml:space="preserve"> </w:t>
      </w:r>
      <w:r w:rsidRPr="004878F3">
        <w:t>(</w:t>
      </w:r>
      <w:r w:rsidRPr="004878F3" w:rsidR="006E6B88">
        <w:rPr>
          <w:i/>
          <w:iCs/>
        </w:rPr>
        <w:t>City of San Diego v. San Diego City Employees</w:t>
      </w:r>
      <w:r w:rsidR="006E6B88">
        <w:rPr>
          <w:i/>
          <w:iCs/>
        </w:rPr>
        <w:t>’</w:t>
      </w:r>
      <w:r w:rsidRPr="004878F3" w:rsidR="006E6B88">
        <w:rPr>
          <w:i/>
          <w:iCs/>
        </w:rPr>
        <w:t xml:space="preserve"> Retirement System</w:t>
      </w:r>
      <w:r w:rsidR="00815CEE">
        <w:t xml:space="preserve">, </w:t>
      </w:r>
      <w:r w:rsidR="00815CEE">
        <w:rPr>
          <w:i/>
          <w:iCs/>
        </w:rPr>
        <w:t>supra</w:t>
      </w:r>
      <w:r w:rsidR="00815CEE">
        <w:t>,</w:t>
      </w:r>
      <w:r w:rsidR="00815CEE">
        <w:rPr>
          <w:i/>
          <w:iCs/>
        </w:rPr>
        <w:t xml:space="preserve"> </w:t>
      </w:r>
      <w:r w:rsidRPr="004878F3" w:rsidR="006E6B88">
        <w:t>186</w:t>
      </w:r>
      <w:r w:rsidR="006E6B88">
        <w:t> </w:t>
      </w:r>
      <w:r w:rsidRPr="004878F3" w:rsidR="006E6B88">
        <w:t xml:space="preserve">Cal.App.4th </w:t>
      </w:r>
      <w:r w:rsidR="00815CEE">
        <w:t xml:space="preserve">at </w:t>
      </w:r>
      <w:r w:rsidR="00A62935">
        <w:t>p. </w:t>
      </w:r>
      <w:r w:rsidRPr="004878F3" w:rsidR="006E6B88">
        <w:t>7</w:t>
      </w:r>
      <w:r w:rsidR="006E6B88">
        <w:t xml:space="preserve">9; </w:t>
      </w:r>
      <w:r w:rsidR="00A1689C">
        <w:t xml:space="preserve">see </w:t>
      </w:r>
      <w:r w:rsidRPr="004878F3">
        <w:rPr>
          <w:i/>
          <w:iCs/>
        </w:rPr>
        <w:t>Singh</w:t>
      </w:r>
      <w:r w:rsidR="00DC49A2">
        <w:t>,</w:t>
      </w:r>
      <w:r w:rsidRPr="004878F3">
        <w:rPr>
          <w:i/>
          <w:iCs/>
        </w:rPr>
        <w:t xml:space="preserve"> </w:t>
      </w:r>
      <w:r w:rsidR="006E6B88">
        <w:t xml:space="preserve">at </w:t>
      </w:r>
      <w:r w:rsidR="00A62935">
        <w:t>p. </w:t>
      </w:r>
      <w:r w:rsidRPr="004878F3">
        <w:t>1192.)</w:t>
      </w:r>
      <w:r w:rsidR="00667B1B">
        <w:t xml:space="preserve">  </w:t>
      </w:r>
      <w:r w:rsidR="00912C2C">
        <w:t xml:space="preserve">For example, </w:t>
      </w:r>
      <w:r w:rsidR="00CD6E96">
        <w:t xml:space="preserve">one of </w:t>
      </w:r>
      <w:r w:rsidR="005E60EB">
        <w:t>P</w:t>
      </w:r>
      <w:r w:rsidR="0032075A">
        <w:t>roposition</w:t>
      </w:r>
      <w:r w:rsidR="00255153">
        <w:t xml:space="preserve"> 162</w:t>
      </w:r>
      <w:r w:rsidR="0032075A">
        <w:t xml:space="preserve">’s </w:t>
      </w:r>
      <w:r w:rsidR="001009F5">
        <w:t xml:space="preserve">“Findings and Declarations” </w:t>
      </w:r>
      <w:r w:rsidR="00150DBB">
        <w:t>was</w:t>
      </w:r>
      <w:r w:rsidR="00BA500B">
        <w:t xml:space="preserve"> </w:t>
      </w:r>
      <w:r w:rsidR="006C7094">
        <w:t xml:space="preserve">that, </w:t>
      </w:r>
      <w:r w:rsidR="005678B2">
        <w:t>“</w:t>
      </w:r>
      <w:r w:rsidR="00A1689C">
        <w:t>[t]</w:t>
      </w:r>
      <w:r w:rsidR="00BA500B">
        <w:t xml:space="preserve">o </w:t>
      </w:r>
      <w:r w:rsidR="005678B2">
        <w:t>protect pension systems</w:t>
      </w:r>
      <w:r w:rsidR="00BA500B">
        <w:t>, retirement board trustees must be free from political meddling and intimidation.”  (</w:t>
      </w:r>
      <w:r w:rsidR="007B06FE">
        <w:t xml:space="preserve">1992 </w:t>
      </w:r>
      <w:r w:rsidR="008973AC">
        <w:t xml:space="preserve">Ballot Pamp., </w:t>
      </w:r>
      <w:r w:rsidRPr="00F4283D" w:rsidR="00F4283D">
        <w:rPr>
          <w:i/>
          <w:iCs/>
        </w:rPr>
        <w:t>supra</w:t>
      </w:r>
      <w:r w:rsidR="00F4283D">
        <w:t>,</w:t>
      </w:r>
      <w:r w:rsidR="00F4283D">
        <w:rPr>
          <w:i/>
          <w:iCs/>
        </w:rPr>
        <w:t xml:space="preserve"> </w:t>
      </w:r>
      <w:r w:rsidR="00185212">
        <w:t>text of Pro</w:t>
      </w:r>
      <w:r w:rsidR="00A62935">
        <w:t>p. </w:t>
      </w:r>
      <w:r w:rsidR="00185212">
        <w:t xml:space="preserve">162, </w:t>
      </w:r>
      <w:r w:rsidR="00A62935">
        <w:t>p. </w:t>
      </w:r>
      <w:r w:rsidR="00A81338">
        <w:t xml:space="preserve">70, </w:t>
      </w:r>
      <w:r w:rsidR="00A62935">
        <w:t>§ </w:t>
      </w:r>
      <w:r w:rsidR="00C17F31">
        <w:t>2, sub</w:t>
      </w:r>
      <w:r w:rsidR="00A62935">
        <w:t>d. </w:t>
      </w:r>
      <w:r w:rsidR="00C17F31">
        <w:t>(f)</w:t>
      </w:r>
      <w:r w:rsidR="00A81338">
        <w:t>.)</w:t>
      </w:r>
      <w:r w:rsidR="00C17F31">
        <w:t xml:space="preserve"> </w:t>
      </w:r>
      <w:r w:rsidR="00771942">
        <w:t xml:space="preserve"> </w:t>
      </w:r>
      <w:r w:rsidR="006C4E72">
        <w:t xml:space="preserve">And the “Purpose and Intent” of the </w:t>
      </w:r>
      <w:r w:rsidR="00150DBB">
        <w:t>initiative</w:t>
      </w:r>
      <w:r w:rsidR="006C4E72">
        <w:t xml:space="preserve"> included </w:t>
      </w:r>
      <w:r w:rsidR="00A1689C">
        <w:t xml:space="preserve">giving </w:t>
      </w:r>
      <w:r w:rsidR="002336DC">
        <w:t xml:space="preserve">“the sole and exclusive power over the management </w:t>
      </w:r>
      <w:r w:rsidR="00A62935">
        <w:t>. . . </w:t>
      </w:r>
      <w:r w:rsidR="002336DC">
        <w:t>of public pension funds to the retirement boards</w:t>
      </w:r>
      <w:r w:rsidR="00333D2F">
        <w:t>.</w:t>
      </w:r>
      <w:r w:rsidR="002336DC">
        <w:t xml:space="preserve">” </w:t>
      </w:r>
      <w:r w:rsidR="00333D2F">
        <w:t xml:space="preserve"> </w:t>
      </w:r>
      <w:r w:rsidR="00353B6E">
        <w:t>(</w:t>
      </w:r>
      <w:r w:rsidR="00353B6E">
        <w:rPr>
          <w:i/>
          <w:iCs/>
        </w:rPr>
        <w:t>Id.</w:t>
      </w:r>
      <w:r w:rsidR="00353B6E">
        <w:t xml:space="preserve">, </w:t>
      </w:r>
      <w:r w:rsidR="00A62935">
        <w:t>§ </w:t>
      </w:r>
      <w:r w:rsidR="00353B6E">
        <w:t>3, sub</w:t>
      </w:r>
      <w:r w:rsidR="00A62935">
        <w:t>d. </w:t>
      </w:r>
      <w:r w:rsidR="00353B6E">
        <w:t xml:space="preserve">(e).) </w:t>
      </w:r>
      <w:r w:rsidR="00771942">
        <w:t xml:space="preserve"> </w:t>
      </w:r>
      <w:r w:rsidR="00333D2F">
        <w:t xml:space="preserve">Because </w:t>
      </w:r>
      <w:r w:rsidR="00B963F4">
        <w:t>retirement boards like</w:t>
      </w:r>
      <w:r w:rsidR="00815CEE">
        <w:t xml:space="preserve"> the</w:t>
      </w:r>
      <w:r w:rsidR="00B963F4">
        <w:t xml:space="preserve"> LACERA </w:t>
      </w:r>
      <w:r w:rsidR="00815CEE">
        <w:t xml:space="preserve">Boards </w:t>
      </w:r>
      <w:r w:rsidR="00B963F4">
        <w:t xml:space="preserve">already budgeted and paid for the salaries of </w:t>
      </w:r>
      <w:r w:rsidR="004E757C">
        <w:t>their</w:t>
      </w:r>
      <w:r w:rsidR="00B963F4">
        <w:t xml:space="preserve"> employees from those funds under section</w:t>
      </w:r>
      <w:r w:rsidR="006C7094">
        <w:t> </w:t>
      </w:r>
      <w:r w:rsidR="00B963F4">
        <w:t xml:space="preserve">31580.2, </w:t>
      </w:r>
      <w:r w:rsidR="00C66C0D">
        <w:t xml:space="preserve">the voters intended </w:t>
      </w:r>
      <w:r w:rsidR="00B73EAC">
        <w:t xml:space="preserve">Proposition 162 </w:t>
      </w:r>
      <w:r w:rsidR="00610F13">
        <w:t xml:space="preserve">to give retirement boards </w:t>
      </w:r>
      <w:r w:rsidR="00B73EAC">
        <w:t xml:space="preserve">“sole and exclusive power” over the amount paid to retirement system employees from </w:t>
      </w:r>
      <w:r w:rsidR="00610F13">
        <w:t xml:space="preserve">public </w:t>
      </w:r>
      <w:r w:rsidR="00B73EAC">
        <w:t>pension funds</w:t>
      </w:r>
      <w:r w:rsidR="00B963F4">
        <w:t xml:space="preserve">.  </w:t>
      </w:r>
      <w:r w:rsidR="0012586B">
        <w:t xml:space="preserve">Allowing a board of supervisors to encroach on </w:t>
      </w:r>
      <w:r w:rsidR="003C4AB0">
        <w:t xml:space="preserve">that </w:t>
      </w:r>
      <w:r w:rsidR="0012586B">
        <w:t xml:space="preserve">power </w:t>
      </w:r>
      <w:r w:rsidR="00C33A61">
        <w:t xml:space="preserve">by </w:t>
      </w:r>
      <w:r w:rsidR="007207DC">
        <w:t xml:space="preserve">directing </w:t>
      </w:r>
      <w:r w:rsidR="00D5150E">
        <w:t xml:space="preserve">how many, what kind of, and </w:t>
      </w:r>
      <w:r w:rsidR="007207DC">
        <w:t xml:space="preserve">how much a retirement board can compensate </w:t>
      </w:r>
      <w:r w:rsidR="004777DE">
        <w:t>system</w:t>
      </w:r>
      <w:r w:rsidR="007207DC">
        <w:t xml:space="preserve"> employees </w:t>
      </w:r>
      <w:r w:rsidR="007C3C56">
        <w:t xml:space="preserve">could lead to precisely the type of “meddling” </w:t>
      </w:r>
      <w:r w:rsidR="007055B0">
        <w:t xml:space="preserve">Proposition 162 sought to prevent.  </w:t>
      </w:r>
      <w:r w:rsidR="003D2BF9">
        <w:t xml:space="preserve">(See </w:t>
      </w:r>
      <w:r w:rsidRPr="00E64A3D" w:rsidR="002C6751">
        <w:rPr>
          <w:i/>
          <w:iCs/>
        </w:rPr>
        <w:t xml:space="preserve">State </w:t>
      </w:r>
      <w:r w:rsidR="006C7094">
        <w:rPr>
          <w:i/>
          <w:iCs/>
        </w:rPr>
        <w:t>Board</w:t>
      </w:r>
      <w:r w:rsidR="00A62935">
        <w:rPr>
          <w:i/>
          <w:iCs/>
        </w:rPr>
        <w:t> </w:t>
      </w:r>
      <w:r w:rsidRPr="00E64A3D" w:rsidR="002C6751">
        <w:rPr>
          <w:i/>
          <w:iCs/>
        </w:rPr>
        <w:t>of E</w:t>
      </w:r>
      <w:r w:rsidR="006C7094">
        <w:rPr>
          <w:i/>
          <w:iCs/>
        </w:rPr>
        <w:t>ducation</w:t>
      </w:r>
      <w:r w:rsidR="00A62935">
        <w:rPr>
          <w:i/>
          <w:iCs/>
        </w:rPr>
        <w:t> </w:t>
      </w:r>
      <w:r w:rsidRPr="00E64A3D" w:rsidR="002C6751">
        <w:rPr>
          <w:i/>
          <w:iCs/>
        </w:rPr>
        <w:t>v. Levit</w:t>
      </w:r>
      <w:r w:rsidRPr="00E64A3D" w:rsidR="002C6751">
        <w:t xml:space="preserve"> (1959) 52</w:t>
      </w:r>
      <w:r w:rsidR="00815CEE">
        <w:t> </w:t>
      </w:r>
      <w:r w:rsidRPr="00E64A3D" w:rsidR="002C6751">
        <w:t>Cal.2d 441, 4</w:t>
      </w:r>
      <w:r w:rsidR="00445582">
        <w:t>62-463</w:t>
      </w:r>
      <w:r w:rsidR="002C6751">
        <w:t xml:space="preserve"> [</w:t>
      </w:r>
      <w:r w:rsidR="009B36C4">
        <w:t>the Legislature improperly usurped the</w:t>
      </w:r>
      <w:r w:rsidR="00F462B0">
        <w:t xml:space="preserve"> constitutional</w:t>
      </w:r>
      <w:r w:rsidR="009B36C4">
        <w:t xml:space="preserve"> authority of the </w:t>
      </w:r>
      <w:r w:rsidR="00916D39">
        <w:t xml:space="preserve">State Board of Education to select textbooks </w:t>
      </w:r>
      <w:r w:rsidR="00956D92">
        <w:t xml:space="preserve">by </w:t>
      </w:r>
      <w:r w:rsidR="00BA7D5B">
        <w:t xml:space="preserve">imposing </w:t>
      </w:r>
      <w:r w:rsidRPr="00395BDC" w:rsidR="00BA7D5B">
        <w:t>budget restriction</w:t>
      </w:r>
      <w:r w:rsidR="00815CEE">
        <w:t>s</w:t>
      </w:r>
      <w:r w:rsidRPr="00395BDC" w:rsidR="00BA7D5B">
        <w:t xml:space="preserve"> on the </w:t>
      </w:r>
      <w:r w:rsidR="00C33A61">
        <w:t xml:space="preserve">use </w:t>
      </w:r>
      <w:r w:rsidRPr="00395BDC" w:rsidR="00BA7D5B">
        <w:t xml:space="preserve">of funds </w:t>
      </w:r>
      <w:r w:rsidR="00C33A61">
        <w:t xml:space="preserve">to purchase </w:t>
      </w:r>
      <w:r w:rsidR="008B5375">
        <w:t xml:space="preserve">two </w:t>
      </w:r>
      <w:r w:rsidR="00C33A61">
        <w:t xml:space="preserve">selected </w:t>
      </w:r>
      <w:r w:rsidRPr="00395BDC" w:rsidR="00BA7D5B">
        <w:t>textbooks</w:t>
      </w:r>
      <w:r w:rsidR="00C33A61">
        <w:t xml:space="preserve">].) </w:t>
      </w:r>
      <w:r w:rsidR="00A64D5F">
        <w:t xml:space="preserve"> </w:t>
      </w:r>
    </w:p>
    <w:p w:rsidR="00A87A99" w:rsidRPr="00DD02FC" w:rsidP="00396405" w14:paraId="215C17C6" w14:textId="77777777">
      <w:pPr>
        <w:spacing w:line="288" w:lineRule="auto"/>
        <w:ind w:firstLine="720"/>
      </w:pPr>
    </w:p>
    <w:p w:rsidR="00C0536C" w:rsidRPr="00150F1F" w:rsidP="00150F1F" w14:paraId="06204D65" w14:textId="247C2C8C">
      <w:pPr>
        <w:keepNext/>
        <w:spacing w:line="288" w:lineRule="auto"/>
        <w:ind w:left="2160" w:hanging="720"/>
        <w:rPr>
          <w:i/>
          <w:iCs/>
        </w:rPr>
      </w:pPr>
      <w:r>
        <w:t>2.</w:t>
      </w:r>
      <w:r>
        <w:tab/>
      </w:r>
      <w:r w:rsidR="00503B19">
        <w:rPr>
          <w:i/>
          <w:iCs/>
        </w:rPr>
        <w:t>The County and</w:t>
      </w:r>
      <w:r w:rsidR="00F42079">
        <w:rPr>
          <w:i/>
          <w:iCs/>
        </w:rPr>
        <w:t xml:space="preserve"> </w:t>
      </w:r>
      <w:r w:rsidR="00503B19">
        <w:rPr>
          <w:i/>
          <w:iCs/>
        </w:rPr>
        <w:t>Board of Supervisors</w:t>
      </w:r>
      <w:r w:rsidR="006C14C6">
        <w:rPr>
          <w:i/>
          <w:iCs/>
        </w:rPr>
        <w:t>’ Arguments</w:t>
      </w:r>
      <w:r w:rsidR="00F42079">
        <w:rPr>
          <w:i/>
          <w:iCs/>
        </w:rPr>
        <w:t>, Which</w:t>
      </w:r>
      <w:r w:rsidR="00503B19">
        <w:rPr>
          <w:i/>
          <w:iCs/>
        </w:rPr>
        <w:t xml:space="preserve"> </w:t>
      </w:r>
      <w:r w:rsidR="00150F1F">
        <w:rPr>
          <w:i/>
          <w:iCs/>
        </w:rPr>
        <w:t xml:space="preserve">Rely Primarily on </w:t>
      </w:r>
      <w:r w:rsidR="00150F1F">
        <w:t>Westly</w:t>
      </w:r>
      <w:r w:rsidRPr="00F42079" w:rsidR="00F42079">
        <w:rPr>
          <w:i/>
          <w:iCs/>
        </w:rPr>
        <w:t>,</w:t>
      </w:r>
      <w:r w:rsidR="00150F1F">
        <w:rPr>
          <w:i/>
          <w:iCs/>
        </w:rPr>
        <w:t xml:space="preserve"> Are Not Persuasive</w:t>
      </w:r>
    </w:p>
    <w:p w:rsidR="00EA3CB1" w:rsidP="00396405" w14:paraId="1B5BC3A4" w14:textId="772B819C">
      <w:pPr>
        <w:spacing w:line="288" w:lineRule="auto"/>
        <w:ind w:firstLine="720"/>
      </w:pPr>
      <w:r>
        <w:t xml:space="preserve">Relying on </w:t>
      </w:r>
      <w:r>
        <w:rPr>
          <w:i/>
          <w:iCs/>
        </w:rPr>
        <w:t>Westly</w:t>
      </w:r>
      <w:r>
        <w:t xml:space="preserve">, a selective reading of Proposition 162’s legislative history, and several </w:t>
      </w:r>
      <w:r w:rsidR="00F9463A">
        <w:t>distinguishable</w:t>
      </w:r>
      <w:r>
        <w:t xml:space="preserve"> cases, t</w:t>
      </w:r>
      <w:r w:rsidR="004066C5">
        <w:t>he County and Board of Supervisors argue</w:t>
      </w:r>
      <w:r w:rsidR="00815CEE">
        <w:t xml:space="preserve"> Proposition</w:t>
      </w:r>
      <w:r>
        <w:t> </w:t>
      </w:r>
      <w:r w:rsidR="00815CEE">
        <w:t xml:space="preserve">162 granted </w:t>
      </w:r>
      <w:r>
        <w:t xml:space="preserve">retirement boards </w:t>
      </w:r>
      <w:r w:rsidR="00815CEE">
        <w:t>plenary authority over only “investment and actuarial services</w:t>
      </w:r>
      <w:r w:rsidR="00F9463A">
        <w:t>,</w:t>
      </w:r>
      <w:r w:rsidR="00815CEE">
        <w:t>”</w:t>
      </w:r>
      <w:r w:rsidR="009806A5">
        <w:t xml:space="preserve"> </w:t>
      </w:r>
      <w:r w:rsidR="00F9463A">
        <w:t xml:space="preserve">which is what the court in </w:t>
      </w:r>
      <w:r w:rsidRPr="00F9463A" w:rsidR="00F9463A">
        <w:rPr>
          <w:i/>
          <w:iCs/>
        </w:rPr>
        <w:t>Westly</w:t>
      </w:r>
      <w:r w:rsidR="00F9463A">
        <w:t xml:space="preserve"> held.  (See </w:t>
      </w:r>
      <w:r w:rsidRPr="00F9463A" w:rsidR="00F9463A">
        <w:rPr>
          <w:i/>
          <w:iCs/>
        </w:rPr>
        <w:t>Westly</w:t>
      </w:r>
      <w:r w:rsidR="00F9463A">
        <w:t xml:space="preserve">, </w:t>
      </w:r>
      <w:r w:rsidRPr="00F9463A" w:rsidR="00F9463A">
        <w:rPr>
          <w:i/>
          <w:iCs/>
        </w:rPr>
        <w:t>supra</w:t>
      </w:r>
      <w:r w:rsidR="00F9463A">
        <w:t xml:space="preserve">, 105 Cal.App.4th at pp. 1109, 1110.)  </w:t>
      </w:r>
      <w:r>
        <w:t xml:space="preserve">The </w:t>
      </w:r>
      <w:r w:rsidRPr="00022131" w:rsidR="00022131">
        <w:rPr>
          <w:i/>
          <w:iCs/>
        </w:rPr>
        <w:t>Westly</w:t>
      </w:r>
      <w:r w:rsidR="00022131">
        <w:t xml:space="preserve"> </w:t>
      </w:r>
      <w:r>
        <w:t xml:space="preserve">court’s </w:t>
      </w:r>
      <w:r w:rsidR="00022131">
        <w:t>interpretation</w:t>
      </w:r>
      <w:r>
        <w:t xml:space="preserve"> </w:t>
      </w:r>
      <w:r w:rsidR="00022131">
        <w:t>of Proposition 162</w:t>
      </w:r>
      <w:r>
        <w:t xml:space="preserve">, however, was flawed, </w:t>
      </w:r>
      <w:r w:rsidR="00757486">
        <w:t xml:space="preserve">and </w:t>
      </w:r>
      <w:r w:rsidR="00F9463A">
        <w:t xml:space="preserve">as </w:t>
      </w:r>
      <w:r>
        <w:t>the</w:t>
      </w:r>
      <w:r w:rsidR="00757486">
        <w:t xml:space="preserve"> </w:t>
      </w:r>
      <w:r w:rsidR="00F9463A">
        <w:t xml:space="preserve">ballot </w:t>
      </w:r>
      <w:r w:rsidR="00757486">
        <w:t xml:space="preserve">pamphlet </w:t>
      </w:r>
      <w:r>
        <w:t xml:space="preserve">for Proposition 162 </w:t>
      </w:r>
      <w:r w:rsidR="00F9463A">
        <w:t>shows,</w:t>
      </w:r>
      <w:r w:rsidR="00E55404">
        <w:t xml:space="preserve"> the voters intended </w:t>
      </w:r>
      <w:r w:rsidR="00CD34F2">
        <w:t xml:space="preserve">to give </w:t>
      </w:r>
      <w:r w:rsidR="00E55404">
        <w:t xml:space="preserve">retirement boards </w:t>
      </w:r>
      <w:r w:rsidR="00CD34F2">
        <w:t xml:space="preserve">authority over how to spend </w:t>
      </w:r>
      <w:r w:rsidR="00F9463A">
        <w:t xml:space="preserve">all </w:t>
      </w:r>
      <w:r w:rsidR="00CD34F2">
        <w:t xml:space="preserve">system assets, including on </w:t>
      </w:r>
      <w:r w:rsidR="004105E1">
        <w:t>employee</w:t>
      </w:r>
      <w:r w:rsidR="00CD34F2">
        <w:t xml:space="preserve"> compensation</w:t>
      </w:r>
      <w:r w:rsidR="004105E1">
        <w:t xml:space="preserve">. </w:t>
      </w:r>
      <w:r w:rsidR="00F9463A">
        <w:t xml:space="preserve"> There are several reasons why this is so.</w:t>
      </w:r>
    </w:p>
    <w:p w:rsidR="004105E1" w:rsidP="00396405" w14:paraId="0B3C60D9" w14:textId="72B69C4B">
      <w:pPr>
        <w:spacing w:line="288" w:lineRule="auto"/>
        <w:ind w:firstLine="720"/>
      </w:pPr>
      <w:r>
        <w:t xml:space="preserve">First, </w:t>
      </w:r>
      <w:r w:rsidR="00F9463A">
        <w:t xml:space="preserve">the court in </w:t>
      </w:r>
      <w:r w:rsidRPr="00F9463A" w:rsidR="00F9463A">
        <w:rPr>
          <w:i/>
          <w:iCs/>
        </w:rPr>
        <w:t>Westly</w:t>
      </w:r>
      <w:r w:rsidR="00F9463A">
        <w:t xml:space="preserve"> erred in interpreting the phrase “subject to all of the following” in the introductory paragraph of Proposition 162, an error </w:t>
      </w:r>
      <w:r w:rsidR="0057476A">
        <w:t xml:space="preserve">the County and Board of Supervisors </w:t>
      </w:r>
      <w:r w:rsidR="00C22AA2">
        <w:t>repeat</w:t>
      </w:r>
      <w:r w:rsidR="00627C1F">
        <w:t xml:space="preserve">.  As </w:t>
      </w:r>
      <w:r w:rsidR="00F42079">
        <w:t>discussed</w:t>
      </w:r>
      <w:r w:rsidR="00627C1F">
        <w:t xml:space="preserve">, that </w:t>
      </w:r>
      <w:r w:rsidR="00815CEE">
        <w:t>phrase</w:t>
      </w:r>
      <w:r w:rsidR="00627C1F">
        <w:t xml:space="preserve"> indicates that, where </w:t>
      </w:r>
      <w:r w:rsidR="00403E00">
        <w:t xml:space="preserve">a retirement board’s plenary authority </w:t>
      </w:r>
      <w:r w:rsidR="00DD7FAB">
        <w:t>conflicts</w:t>
      </w:r>
      <w:r w:rsidR="004A21BC">
        <w:t xml:space="preserve"> with </w:t>
      </w:r>
      <w:r w:rsidR="00CD7D0B">
        <w:t xml:space="preserve">a condition listed in </w:t>
      </w:r>
      <w:r w:rsidR="00F42079">
        <w:t xml:space="preserve">one of </w:t>
      </w:r>
      <w:r w:rsidR="00CD7D0B">
        <w:t>Proposition 162’s subdivisions, th</w:t>
      </w:r>
      <w:r w:rsidR="00815CEE">
        <w:t>e subdivision</w:t>
      </w:r>
      <w:r w:rsidR="00CD7D0B">
        <w:t xml:space="preserve"> </w:t>
      </w:r>
      <w:r w:rsidR="008A359A">
        <w:t xml:space="preserve">controls.  (See </w:t>
      </w:r>
      <w:r w:rsidR="00BE221E">
        <w:t>Scalia and Garner,</w:t>
      </w:r>
      <w:r w:rsidR="00097A77">
        <w:t xml:space="preserve"> </w:t>
      </w:r>
      <w:r w:rsidRPr="00042D96" w:rsidR="00097A77">
        <w:t>Reading Law: The Interpretation of Legal Texts</w:t>
      </w:r>
      <w:r w:rsidR="00097A77">
        <w:t xml:space="preserve">, </w:t>
      </w:r>
      <w:r w:rsidR="00097A77">
        <w:rPr>
          <w:i/>
          <w:iCs/>
        </w:rPr>
        <w:t>supra</w:t>
      </w:r>
      <w:r w:rsidR="00097A77">
        <w:t xml:space="preserve">, </w:t>
      </w:r>
      <w:r w:rsidR="00A62935">
        <w:t>p. </w:t>
      </w:r>
      <w:r w:rsidRPr="00FA58E9" w:rsidR="00097A77">
        <w:t>126</w:t>
      </w:r>
      <w:r w:rsidR="00097A77">
        <w:t xml:space="preserve"> [</w:t>
      </w:r>
      <w:r w:rsidR="00320FFC">
        <w:t>“</w:t>
      </w:r>
      <w:r w:rsidR="00320FFC">
        <w:rPr>
          <w:i/>
          <w:iCs/>
        </w:rPr>
        <w:t>subject to</w:t>
      </w:r>
      <w:r w:rsidR="00C14C73">
        <w:rPr>
          <w:i/>
          <w:iCs/>
        </w:rPr>
        <w:t xml:space="preserve"> </w:t>
      </w:r>
      <w:r w:rsidR="00C14C73">
        <w:t>often introduces a provision that contradicts some applications of what it modifies</w:t>
      </w:r>
      <w:r w:rsidR="00E42368">
        <w:t xml:space="preserve">”].) </w:t>
      </w:r>
      <w:r w:rsidR="00320FFC">
        <w:t xml:space="preserve"> </w:t>
      </w:r>
      <w:r w:rsidR="00DD7FAB">
        <w:t xml:space="preserve">But the court in </w:t>
      </w:r>
      <w:r w:rsidR="00DD7FAB">
        <w:rPr>
          <w:i/>
          <w:iCs/>
        </w:rPr>
        <w:t>Westly</w:t>
      </w:r>
      <w:r w:rsidR="00DD7FAB">
        <w:t xml:space="preserve"> stated</w:t>
      </w:r>
      <w:r w:rsidR="00F24CE1">
        <w:t xml:space="preserve">, contrary to the meaning of “subject to,” that </w:t>
      </w:r>
      <w:r w:rsidR="007D5560">
        <w:t xml:space="preserve">“[t]he subdivisions serve to limit </w:t>
      </w:r>
      <w:r w:rsidR="007D5560">
        <w:rPr>
          <w:i/>
          <w:iCs/>
        </w:rPr>
        <w:t>and define</w:t>
      </w:r>
      <w:r w:rsidR="007D5560">
        <w:t xml:space="preserve"> the authority and responsibility granted in the initial paragraph” of Proposition 162.  (</w:t>
      </w:r>
      <w:r w:rsidR="007D5560">
        <w:rPr>
          <w:i/>
          <w:iCs/>
        </w:rPr>
        <w:t>Westly</w:t>
      </w:r>
      <w:r w:rsidR="007D5560">
        <w:t xml:space="preserve">, </w:t>
      </w:r>
      <w:r w:rsidR="00F61E1A">
        <w:rPr>
          <w:i/>
          <w:iCs/>
        </w:rPr>
        <w:t>supra</w:t>
      </w:r>
      <w:r w:rsidR="00F61E1A">
        <w:t>,</w:t>
      </w:r>
      <w:r w:rsidR="00F61E1A">
        <w:rPr>
          <w:i/>
          <w:iCs/>
        </w:rPr>
        <w:t xml:space="preserve"> </w:t>
      </w:r>
      <w:r w:rsidR="00F61E1A">
        <w:t xml:space="preserve">105 Cal.App.4th </w:t>
      </w:r>
      <w:r w:rsidR="007D5560">
        <w:t xml:space="preserve">at </w:t>
      </w:r>
      <w:r w:rsidR="00A62935">
        <w:t>p. </w:t>
      </w:r>
      <w:r w:rsidR="007D5560">
        <w:t>1109</w:t>
      </w:r>
      <w:r w:rsidR="008A1DCB">
        <w:t>, italics added</w:t>
      </w:r>
      <w:r w:rsidR="007D5560">
        <w:t xml:space="preserve">.) </w:t>
      </w:r>
      <w:r w:rsidR="008A1DCB">
        <w:t xml:space="preserve"> That reading makes the </w:t>
      </w:r>
      <w:r w:rsidR="006778CF">
        <w:t xml:space="preserve">introductory </w:t>
      </w:r>
      <w:r w:rsidR="00815CEE">
        <w:t>paragraph’s</w:t>
      </w:r>
      <w:r w:rsidR="006778CF">
        <w:t xml:space="preserve"> reference to “plenary authority” superfluous.  There would be no need </w:t>
      </w:r>
      <w:r w:rsidR="006964C2">
        <w:t xml:space="preserve">for Proposition 162 </w:t>
      </w:r>
      <w:r w:rsidR="006778CF">
        <w:t xml:space="preserve">to give retirement boards plenary authority over anything if </w:t>
      </w:r>
      <w:r w:rsidR="006964C2">
        <w:t xml:space="preserve">the </w:t>
      </w:r>
      <w:r w:rsidR="006778CF">
        <w:t xml:space="preserve">subdivisions defined the </w:t>
      </w:r>
      <w:r w:rsidR="002C0E45">
        <w:t xml:space="preserve">full scope of </w:t>
      </w:r>
      <w:r w:rsidR="006F49AD">
        <w:t>the</w:t>
      </w:r>
      <w:r w:rsidR="002C0E45">
        <w:t xml:space="preserve"> retirement boards’ authority.  </w:t>
      </w:r>
      <w:r w:rsidR="0092709A">
        <w:t xml:space="preserve">Because we must </w:t>
      </w:r>
      <w:r w:rsidR="002A6147">
        <w:t>“</w:t>
      </w:r>
      <w:r w:rsidRPr="003767B5" w:rsidR="002A6147">
        <w:t xml:space="preserve">strive to give meaning to every word in a statute </w:t>
      </w:r>
      <w:r w:rsidR="00125D01">
        <w:t xml:space="preserve">[or initiative] </w:t>
      </w:r>
      <w:r w:rsidRPr="003767B5" w:rsidR="002A6147">
        <w:t>and to avoid constructions that render words, phrases, or clauses superfluous</w:t>
      </w:r>
      <w:r w:rsidR="00125D01">
        <w:t xml:space="preserve">” </w:t>
      </w:r>
      <w:r w:rsidR="00F42079">
        <w:t>(</w:t>
      </w:r>
      <w:r w:rsidRPr="003767B5" w:rsidR="00F42079">
        <w:rPr>
          <w:i/>
          <w:iCs/>
        </w:rPr>
        <w:t>Klein v. United States of America</w:t>
      </w:r>
      <w:r w:rsidRPr="003767B5" w:rsidR="00F42079">
        <w:t xml:space="preserve"> (2010) 50</w:t>
      </w:r>
      <w:r w:rsidR="00F42079">
        <w:t> </w:t>
      </w:r>
      <w:r w:rsidRPr="003767B5" w:rsidR="00F42079">
        <w:t>Cal.4th 68, 80</w:t>
      </w:r>
      <w:r w:rsidR="00F42079">
        <w:t xml:space="preserve">; see </w:t>
      </w:r>
      <w:r w:rsidRPr="00D564F9" w:rsidR="00F42079">
        <w:rPr>
          <w:i/>
          <w:iCs/>
        </w:rPr>
        <w:t>T</w:t>
      </w:r>
      <w:r w:rsidR="00AB4E83">
        <w:rPr>
          <w:i/>
          <w:iCs/>
        </w:rPr>
        <w:noBreakHyphen/>
      </w:r>
      <w:r w:rsidRPr="00D564F9" w:rsidR="00F42079">
        <w:rPr>
          <w:i/>
          <w:iCs/>
        </w:rPr>
        <w:t>Mobile West LLC v. City and County of San Francisco</w:t>
      </w:r>
      <w:r w:rsidRPr="00D564F9" w:rsidR="00F42079">
        <w:t xml:space="preserve"> (2016) 3</w:t>
      </w:r>
      <w:r w:rsidR="00F42079">
        <w:t> </w:t>
      </w:r>
      <w:r w:rsidRPr="00D564F9" w:rsidR="00F42079">
        <w:t>Cal.App.5th 334, 35</w:t>
      </w:r>
      <w:r w:rsidR="00F42079">
        <w:t xml:space="preserve">1), </w:t>
      </w:r>
      <w:r w:rsidR="008F1CB6">
        <w:t xml:space="preserve">the </w:t>
      </w:r>
      <w:r w:rsidRPr="00EF6907" w:rsidR="008F1CB6">
        <w:rPr>
          <w:i/>
          <w:iCs/>
        </w:rPr>
        <w:t>Wesley</w:t>
      </w:r>
      <w:r w:rsidR="008F1CB6">
        <w:t xml:space="preserve"> court’s</w:t>
      </w:r>
      <w:r w:rsidR="00004F2D">
        <w:t xml:space="preserve"> </w:t>
      </w:r>
      <w:r w:rsidR="008F1CB6">
        <w:t xml:space="preserve">(and the County and Board of Supervisors’) </w:t>
      </w:r>
      <w:r w:rsidR="00004F2D">
        <w:t>interpretation of “subject to”</w:t>
      </w:r>
      <w:r w:rsidR="00F42079">
        <w:t xml:space="preserve"> cannot be correct.</w:t>
      </w:r>
      <w:r w:rsidR="00004F2D">
        <w:t xml:space="preserve"> </w:t>
      </w:r>
      <w:r w:rsidR="00773EDD">
        <w:t xml:space="preserve"> </w:t>
      </w:r>
    </w:p>
    <w:p w:rsidR="00041DE0" w:rsidP="00396405" w14:paraId="001117F2" w14:textId="6937ED5B">
      <w:pPr>
        <w:spacing w:line="288" w:lineRule="auto"/>
        <w:ind w:firstLine="720"/>
      </w:pPr>
      <w:r>
        <w:t>C</w:t>
      </w:r>
      <w:r w:rsidR="00C93561">
        <w:t xml:space="preserve">onstruing a retirement board’s authority to extend only to “investment and actuarial services” </w:t>
      </w:r>
      <w:r w:rsidR="003703AA">
        <w:t xml:space="preserve">also renders </w:t>
      </w:r>
      <w:r w:rsidR="001630AC">
        <w:t>superfluous the language in Proposition 162</w:t>
      </w:r>
      <w:r w:rsidR="00505FDB">
        <w:t xml:space="preserve"> </w:t>
      </w:r>
      <w:r w:rsidR="00022131">
        <w:t>that gives</w:t>
      </w:r>
      <w:r w:rsidR="00505FDB">
        <w:t xml:space="preserve"> boards </w:t>
      </w:r>
      <w:r w:rsidR="00825060">
        <w:t xml:space="preserve">fiduciary responsibility for </w:t>
      </w:r>
      <w:r w:rsidR="00505FDB">
        <w:t>“administration of the system”</w:t>
      </w:r>
      <w:r w:rsidR="00D55D31">
        <w:t xml:space="preserve"> and “</w:t>
      </w:r>
      <w:r w:rsidR="00CD08C0">
        <w:t xml:space="preserve">exclusive responsibility </w:t>
      </w:r>
      <w:r w:rsidR="00D55D31">
        <w:t>to administer the system</w:t>
      </w:r>
      <w:r w:rsidR="00831FCE">
        <w:t>.</w:t>
      </w:r>
      <w:r w:rsidR="00D55D31">
        <w:t>”</w:t>
      </w:r>
      <w:r w:rsidR="00505FDB">
        <w:t xml:space="preserve">  (</w:t>
      </w:r>
      <w:r w:rsidR="00BA112A">
        <w:t xml:space="preserve">Cal. Const., art. XVI, </w:t>
      </w:r>
      <w:r w:rsidR="00A62935">
        <w:t>§ </w:t>
      </w:r>
      <w:r w:rsidR="00BA112A">
        <w:t>17</w:t>
      </w:r>
      <w:r w:rsidR="00815CEE">
        <w:t>,</w:t>
      </w:r>
      <w:r w:rsidR="00831FCE">
        <w:t xml:space="preserve"> sub</w:t>
      </w:r>
      <w:r w:rsidR="00A62935">
        <w:t>d. </w:t>
      </w:r>
      <w:r w:rsidR="00831FCE">
        <w:t>(a)</w:t>
      </w:r>
      <w:r w:rsidR="00BA112A">
        <w:t xml:space="preserve">.)  </w:t>
      </w:r>
      <w:r w:rsidR="00531052">
        <w:t xml:space="preserve">As </w:t>
      </w:r>
      <w:r w:rsidR="00022131">
        <w:t>stated</w:t>
      </w:r>
      <w:r w:rsidR="00531052">
        <w:t xml:space="preserve">, </w:t>
      </w:r>
      <w:r w:rsidR="00BC325B">
        <w:t xml:space="preserve">“administration of the system” </w:t>
      </w:r>
      <w:r w:rsidR="001D5970">
        <w:t>encompass</w:t>
      </w:r>
      <w:r w:rsidR="00EF6907">
        <w:t>es</w:t>
      </w:r>
      <w:r w:rsidR="001D5970">
        <w:t xml:space="preserve"> </w:t>
      </w:r>
      <w:r w:rsidR="00EF6907">
        <w:t>paying</w:t>
      </w:r>
      <w:r w:rsidR="001D5970">
        <w:t xml:space="preserve"> </w:t>
      </w:r>
      <w:r w:rsidR="00EF5D4D">
        <w:t xml:space="preserve">salaries to employees of the retirement system; if </w:t>
      </w:r>
      <w:r w:rsidR="00815CEE">
        <w:t>it</w:t>
      </w:r>
      <w:r w:rsidR="00EF5D4D">
        <w:t xml:space="preserve"> did not, </w:t>
      </w:r>
      <w:r w:rsidR="00F3558D">
        <w:t xml:space="preserve">retirement system </w:t>
      </w:r>
      <w:r w:rsidR="00EF5D4D">
        <w:t xml:space="preserve">salaries would </w:t>
      </w:r>
      <w:r w:rsidR="00140710">
        <w:t>be excluded from “</w:t>
      </w:r>
      <w:r w:rsidRPr="003E0055" w:rsidR="00140710">
        <w:t>the entire expense of administration of the retirement system</w:t>
      </w:r>
      <w:r w:rsidR="00140710">
        <w:t xml:space="preserve">” </w:t>
      </w:r>
      <w:r w:rsidR="00990E77">
        <w:t xml:space="preserve">under </w:t>
      </w:r>
      <w:r w:rsidR="006263CC">
        <w:t>section 31580.2</w:t>
      </w:r>
      <w:r w:rsidR="00BC325B">
        <w:t xml:space="preserve">, and counties </w:t>
      </w:r>
      <w:r w:rsidR="00EF6907">
        <w:t>where</w:t>
      </w:r>
      <w:r w:rsidR="00BC325B">
        <w:t xml:space="preserve"> retirement systems appointed their </w:t>
      </w:r>
      <w:r w:rsidR="00286522">
        <w:t xml:space="preserve">own </w:t>
      </w:r>
      <w:r w:rsidR="00BC325B">
        <w:t xml:space="preserve">staff would </w:t>
      </w:r>
      <w:r w:rsidR="00022131">
        <w:t>have</w:t>
      </w:r>
      <w:r w:rsidR="00BC325B">
        <w:t xml:space="preserve"> to pay salaries</w:t>
      </w:r>
      <w:r w:rsidR="00815CEE">
        <w:t xml:space="preserve"> of retirement system employees</w:t>
      </w:r>
      <w:r w:rsidR="00BC325B">
        <w:t xml:space="preserve"> out of their general funds</w:t>
      </w:r>
      <w:r w:rsidR="006263CC">
        <w:t xml:space="preserve">.  </w:t>
      </w:r>
      <w:r w:rsidR="00935FE3">
        <w:t>Moreover, Proposition 162 refers separately to “</w:t>
      </w:r>
      <w:r w:rsidR="00801C33">
        <w:t xml:space="preserve">investment of monies,” “actuarial services,” </w:t>
      </w:r>
      <w:r w:rsidR="0088682F">
        <w:t xml:space="preserve">and </w:t>
      </w:r>
      <w:r w:rsidR="00801C33">
        <w:t>“</w:t>
      </w:r>
      <w:r w:rsidR="00EF0203">
        <w:t>administration of the system”</w:t>
      </w:r>
      <w:r w:rsidR="00A7481E">
        <w:t xml:space="preserve"> in several provisions</w:t>
      </w:r>
      <w:r w:rsidR="0088682F">
        <w:t xml:space="preserve"> (Cal. Const. art. XVI, </w:t>
      </w:r>
      <w:r w:rsidR="00A62935">
        <w:t>§ </w:t>
      </w:r>
      <w:r w:rsidR="0088682F">
        <w:t>17</w:t>
      </w:r>
      <w:r w:rsidR="00CB0E18">
        <w:t>,</w:t>
      </w:r>
      <w:r w:rsidR="00943516">
        <w:t xml:space="preserve"> subds. (a)</w:t>
      </w:r>
      <w:r w:rsidR="009814CF">
        <w:t>, (d), (e)</w:t>
      </w:r>
      <w:r w:rsidR="007A0713">
        <w:t>, (g)</w:t>
      </w:r>
      <w:r w:rsidR="002943F9">
        <w:t>)</w:t>
      </w:r>
      <w:r w:rsidR="00022131">
        <w:t xml:space="preserve">, and </w:t>
      </w:r>
      <w:r w:rsidR="00A7481E">
        <w:t xml:space="preserve">those phrases </w:t>
      </w:r>
      <w:r w:rsidR="00E8559E">
        <w:t>“‘</w:t>
      </w:r>
      <w:r w:rsidRPr="0003337A" w:rsidR="00E8559E">
        <w:t>are presumed to have different meanings.</w:t>
      </w:r>
      <w:r w:rsidR="00E8559E">
        <w:t>’</w:t>
      </w:r>
      <w:r w:rsidRPr="0003337A" w:rsidR="00E8559E">
        <w:t>”</w:t>
      </w:r>
      <w:r w:rsidR="00E8559E">
        <w:t xml:space="preserve">  (</w:t>
      </w:r>
      <w:r w:rsidRPr="00EF6907" w:rsidR="00EF6907">
        <w:rPr>
          <w:i/>
          <w:iCs/>
        </w:rPr>
        <w:t xml:space="preserve">City of Palo Alto v. Public Employment Relations Bd. </w:t>
      </w:r>
      <w:r w:rsidRPr="00EF6907" w:rsidR="00EF6907">
        <w:t>(2016) 5 Cal.App.5th 1271, 1294</w:t>
      </w:r>
      <w:r w:rsidR="003A4F57">
        <w:t>; see</w:t>
      </w:r>
      <w:r w:rsidR="00047DE0">
        <w:t xml:space="preserve"> </w:t>
      </w:r>
      <w:r w:rsidRPr="00EF6907" w:rsidR="00EF6907">
        <w:rPr>
          <w:i/>
          <w:iCs/>
        </w:rPr>
        <w:t>Walt Disney Parks &amp; Resorts U.S., Inc. v. Superior Court</w:t>
      </w:r>
      <w:r w:rsidR="00EF6907">
        <w:t xml:space="preserve"> (2018) 21</w:t>
      </w:r>
      <w:r w:rsidR="00692B74">
        <w:t> </w:t>
      </w:r>
      <w:r w:rsidR="00EF6907">
        <w:t xml:space="preserve">Cal.App.5th 872, 879 [“it is our obligation to interpret different terms used by the Legislature in the same statutory scheme to have different meanings”]; </w:t>
      </w:r>
      <w:r w:rsidRPr="0003337A" w:rsidR="00047DE0">
        <w:rPr>
          <w:i/>
          <w:iCs/>
        </w:rPr>
        <w:t>Campbell</w:t>
      </w:r>
      <w:r w:rsidR="003A4F57">
        <w:t xml:space="preserve"> </w:t>
      </w:r>
      <w:r w:rsidRPr="00292DA9" w:rsidR="00EC0D6B">
        <w:rPr>
          <w:i/>
          <w:iCs/>
        </w:rPr>
        <w:t>v. Zolin</w:t>
      </w:r>
      <w:r w:rsidRPr="00292DA9" w:rsidR="00EC0D6B">
        <w:t xml:space="preserve"> (1995) 33</w:t>
      </w:r>
      <w:r w:rsidR="00047DE0">
        <w:t> </w:t>
      </w:r>
      <w:r w:rsidRPr="00292DA9" w:rsidR="00EC0D6B">
        <w:t>Cal.App.4th</w:t>
      </w:r>
      <w:r w:rsidR="0083349C">
        <w:t xml:space="preserve"> </w:t>
      </w:r>
      <w:r w:rsidRPr="00292DA9" w:rsidR="00EC0D6B">
        <w:t>489, 497</w:t>
      </w:r>
      <w:r w:rsidR="00EC0D6B">
        <w:t xml:space="preserve"> [</w:t>
      </w:r>
      <w:r w:rsidRPr="00292DA9" w:rsidR="00805139">
        <w:t>“where the Legislature uses a different word or phrase in one part of a statute than it does in other sections or in a similar statute concerning a related subject, it must be presumed that the Legislature intended a different meaning”</w:t>
      </w:r>
      <w:r w:rsidR="00805139">
        <w:t>].)</w:t>
      </w:r>
      <w:r>
        <w:rPr>
          <w:rStyle w:val="FootnoteReference"/>
        </w:rPr>
        <w:footnoteReference w:id="12"/>
      </w:r>
      <w:r w:rsidR="00245AC1">
        <w:t xml:space="preserve">  </w:t>
      </w:r>
    </w:p>
    <w:p w:rsidR="005B297A" w:rsidP="00396405" w14:paraId="0C71054F" w14:textId="615F3762">
      <w:pPr>
        <w:spacing w:line="288" w:lineRule="auto"/>
        <w:ind w:firstLine="720"/>
      </w:pPr>
      <w:r>
        <w:t>Second,</w:t>
      </w:r>
      <w:r w:rsidR="0078375E">
        <w:t xml:space="preserve"> t</w:t>
      </w:r>
      <w:r w:rsidR="00635EF1">
        <w:t xml:space="preserve">he County and Board of Supervisors argue </w:t>
      </w:r>
      <w:r w:rsidR="00EF6907">
        <w:t>their</w:t>
      </w:r>
      <w:r w:rsidR="00FD6F6A">
        <w:t xml:space="preserve"> interpretation of Proposition 162 is consistent with </w:t>
      </w:r>
      <w:r w:rsidR="001357D7">
        <w:t xml:space="preserve">the history of Proposition 162. </w:t>
      </w:r>
      <w:r w:rsidR="00771942">
        <w:t xml:space="preserve"> </w:t>
      </w:r>
      <w:r w:rsidR="005E4F64">
        <w:t xml:space="preserve">The County and Board of Supervisors again cite </w:t>
      </w:r>
      <w:r w:rsidR="005E4F64">
        <w:rPr>
          <w:i/>
          <w:iCs/>
        </w:rPr>
        <w:t>Westly</w:t>
      </w:r>
      <w:r w:rsidR="005E4F64">
        <w:t xml:space="preserve">, </w:t>
      </w:r>
      <w:r w:rsidR="00022131">
        <w:t xml:space="preserve">where the court stated that </w:t>
      </w:r>
      <w:r w:rsidR="005E4F64">
        <w:t>“</w:t>
      </w:r>
      <w:r w:rsidR="00907613">
        <w:t>the voter intent, evidenced by the published ballot materials, is that [Proposition</w:t>
      </w:r>
      <w:r w:rsidR="00286522">
        <w:t> </w:t>
      </w:r>
      <w:r w:rsidR="00907613">
        <w:t xml:space="preserve">162] would give the [retirement boards] the authority to administer the investments, payments, and other services of CalPERS, but not the </w:t>
      </w:r>
      <w:r w:rsidR="00DD027D">
        <w:t>compensation</w:t>
      </w:r>
      <w:r w:rsidR="00907613">
        <w:t xml:space="preserve"> of </w:t>
      </w:r>
      <w:r w:rsidR="00DD027D">
        <w:t>[its]</w:t>
      </w:r>
      <w:r w:rsidR="00E013B6">
        <w:t xml:space="preserve"> </w:t>
      </w:r>
      <w:r w:rsidR="00DD027D">
        <w:t>employees.”  (</w:t>
      </w:r>
      <w:r w:rsidR="00DD027D">
        <w:rPr>
          <w:i/>
          <w:iCs/>
        </w:rPr>
        <w:t>Westly</w:t>
      </w:r>
      <w:r w:rsidR="00DD027D">
        <w:t xml:space="preserve">, </w:t>
      </w:r>
      <w:r w:rsidR="00DD027D">
        <w:rPr>
          <w:i/>
          <w:iCs/>
        </w:rPr>
        <w:t>supra</w:t>
      </w:r>
      <w:r w:rsidR="00DD027D">
        <w:t xml:space="preserve">, </w:t>
      </w:r>
      <w:r w:rsidR="00BE1272">
        <w:t>105 </w:t>
      </w:r>
      <w:r w:rsidR="00DD027D">
        <w:t xml:space="preserve">Cal.App.4th at </w:t>
      </w:r>
      <w:r w:rsidR="00A62935">
        <w:t>p. </w:t>
      </w:r>
      <w:r w:rsidR="00DD027D">
        <w:t>1</w:t>
      </w:r>
      <w:r w:rsidR="001176DB">
        <w:t>112</w:t>
      </w:r>
      <w:r w:rsidR="00DD027D">
        <w:t xml:space="preserve">.)  </w:t>
      </w:r>
      <w:r w:rsidR="003E6BB9">
        <w:t xml:space="preserve">But </w:t>
      </w:r>
      <w:r w:rsidR="00E013B6">
        <w:t xml:space="preserve">that’s </w:t>
      </w:r>
      <w:r w:rsidR="00785F48">
        <w:t xml:space="preserve">not </w:t>
      </w:r>
      <w:r w:rsidR="00E013B6">
        <w:t xml:space="preserve">correct. </w:t>
      </w:r>
      <w:r w:rsidR="00C641EE">
        <w:t xml:space="preserve"> </w:t>
      </w:r>
      <w:r w:rsidR="00D456FA">
        <w:t>T</w:t>
      </w:r>
      <w:r w:rsidR="003E6BB9">
        <w:t xml:space="preserve">he </w:t>
      </w:r>
      <w:r w:rsidR="00542338">
        <w:t xml:space="preserve">argument against Proposition 162 in the </w:t>
      </w:r>
      <w:r w:rsidR="003E6BB9">
        <w:t xml:space="preserve">ballot pamphlet </w:t>
      </w:r>
      <w:r w:rsidR="00022131">
        <w:t xml:space="preserve">stated:  </w:t>
      </w:r>
      <w:r w:rsidR="003A7EEB">
        <w:t>“</w:t>
      </w:r>
      <w:r w:rsidR="00AF4435">
        <w:t xml:space="preserve">PROPOSITION 162 ENDS TAXPAYER OVERSIGHT OF STATE RETIREMENT BOARDS.  Last year, in the middle of a recession and a budget crisis, the PERS </w:t>
      </w:r>
      <w:r w:rsidR="00C4453D">
        <w:t xml:space="preserve">board voted to pay its top bureaucrat $110,000 a year.  The State controller blocked this pay increase, but would have no authority to stop other outrageous salary hikes if Proposition 162 becomes law.”  </w:t>
      </w:r>
      <w:r w:rsidRPr="00706B69" w:rsidR="006E4E96">
        <w:t>(</w:t>
      </w:r>
      <w:r w:rsidR="007B06FE">
        <w:t>1992 </w:t>
      </w:r>
      <w:r w:rsidRPr="00706B69" w:rsidR="006E4E96">
        <w:t xml:space="preserve">Ballot Pamp., </w:t>
      </w:r>
      <w:r w:rsidRPr="00706B69" w:rsidR="006E4E96">
        <w:rPr>
          <w:i/>
          <w:iCs/>
        </w:rPr>
        <w:t>supra</w:t>
      </w:r>
      <w:r w:rsidRPr="00706B69" w:rsidR="006E4E96">
        <w:t xml:space="preserve">, </w:t>
      </w:r>
      <w:r w:rsidR="001718E8">
        <w:t>a</w:t>
      </w:r>
      <w:r w:rsidR="006E4E96">
        <w:t xml:space="preserve">rgument </w:t>
      </w:r>
      <w:r w:rsidR="001718E8">
        <w:t>a</w:t>
      </w:r>
      <w:r w:rsidR="006E4E96">
        <w:t xml:space="preserve">gainst </w:t>
      </w:r>
      <w:r w:rsidR="001718E8">
        <w:t>Pro</w:t>
      </w:r>
      <w:r w:rsidR="00A62935">
        <w:t>p. </w:t>
      </w:r>
      <w:r w:rsidR="001718E8">
        <w:t>162</w:t>
      </w:r>
      <w:r w:rsidRPr="00706B69" w:rsidR="006E4E96">
        <w:t xml:space="preserve">, </w:t>
      </w:r>
      <w:r w:rsidR="00A62935">
        <w:t>p. </w:t>
      </w:r>
      <w:r w:rsidRPr="00706B69" w:rsidR="006E4E96">
        <w:t>3</w:t>
      </w:r>
      <w:r w:rsidR="001718E8">
        <w:t>9</w:t>
      </w:r>
      <w:r w:rsidRPr="00706B69" w:rsidR="006E4E96">
        <w:t>.)</w:t>
      </w:r>
      <w:r w:rsidR="001718E8">
        <w:t xml:space="preserve"> </w:t>
      </w:r>
      <w:r w:rsidR="00523B13">
        <w:t xml:space="preserve"> </w:t>
      </w:r>
      <w:r w:rsidR="00815CEE">
        <w:t>The majority of v</w:t>
      </w:r>
      <w:r w:rsidR="00F60087">
        <w:t xml:space="preserve">oters </w:t>
      </w:r>
      <w:r w:rsidR="001053BD">
        <w:t xml:space="preserve">who cast their ballots </w:t>
      </w:r>
      <w:r w:rsidR="000868FE">
        <w:t xml:space="preserve">for </w:t>
      </w:r>
      <w:r w:rsidR="00F60087">
        <w:t xml:space="preserve">Proposition 162 </w:t>
      </w:r>
      <w:r w:rsidR="000868FE">
        <w:t xml:space="preserve">in spite of this argument </w:t>
      </w:r>
      <w:r w:rsidR="005922CE">
        <w:t xml:space="preserve">must have </w:t>
      </w:r>
      <w:r w:rsidR="000868FE">
        <w:t xml:space="preserve">believed the initiative </w:t>
      </w:r>
      <w:r w:rsidR="00F60087">
        <w:t xml:space="preserve">gave retirement boards authority to </w:t>
      </w:r>
      <w:r w:rsidR="00A007C0">
        <w:t xml:space="preserve">establish the salaries of retirement system employees. </w:t>
      </w:r>
      <w:r w:rsidR="006F681E">
        <w:t xml:space="preserve"> (See </w:t>
      </w:r>
      <w:r w:rsidRPr="00441BD3" w:rsidR="00472190">
        <w:rPr>
          <w:i/>
          <w:iCs/>
        </w:rPr>
        <w:t>People v. Galambos</w:t>
      </w:r>
      <w:r w:rsidRPr="00441BD3" w:rsidR="00472190">
        <w:t xml:space="preserve"> (2002) 104</w:t>
      </w:r>
      <w:r w:rsidR="00926563">
        <w:t> </w:t>
      </w:r>
      <w:r w:rsidRPr="00441BD3" w:rsidR="00472190">
        <w:t>Cal.App.4th 1147, 1162</w:t>
      </w:r>
      <w:r w:rsidR="00472190">
        <w:t xml:space="preserve"> [</w:t>
      </w:r>
      <w:r w:rsidR="00D3134E">
        <w:t xml:space="preserve">ballot arguments indicate the </w:t>
      </w:r>
      <w:r w:rsidR="00514C90">
        <w:t xml:space="preserve">voters’ beliefs and understandings </w:t>
      </w:r>
      <w:r w:rsidR="00A81352">
        <w:t xml:space="preserve">about an </w:t>
      </w:r>
      <w:r w:rsidR="00514C90">
        <w:t>initiative measure</w:t>
      </w:r>
      <w:r w:rsidR="00D3134E">
        <w:t xml:space="preserve">]; </w:t>
      </w:r>
      <w:r w:rsidRPr="00D52081" w:rsidR="00072AD0">
        <w:rPr>
          <w:i/>
          <w:iCs/>
        </w:rPr>
        <w:t>McLaughlin v. State Bd. of Educ</w:t>
      </w:r>
      <w:r w:rsidR="00DD7024">
        <w:rPr>
          <w:i/>
          <w:iCs/>
        </w:rPr>
        <w:t>ation</w:t>
      </w:r>
      <w:r w:rsidRPr="00D52081" w:rsidR="00072AD0">
        <w:t xml:space="preserve"> (1999) 75</w:t>
      </w:r>
      <w:r w:rsidR="00926563">
        <w:t> </w:t>
      </w:r>
      <w:r w:rsidRPr="00D52081" w:rsidR="00072AD0">
        <w:t>Cal.App.4th 196, 218</w:t>
      </w:r>
      <w:r w:rsidR="00233A21">
        <w:t xml:space="preserve"> [“</w:t>
      </w:r>
      <w:r w:rsidRPr="00D52081" w:rsidR="00233A21">
        <w:t>the substance of the ballot arguments leads unwaveringly to the conclusion that voters believed</w:t>
      </w:r>
      <w:r w:rsidR="00233A21">
        <w:t>”</w:t>
      </w:r>
      <w:r w:rsidRPr="00D52081" w:rsidR="00233A21">
        <w:t xml:space="preserve"> </w:t>
      </w:r>
      <w:r w:rsidR="00233A21">
        <w:t xml:space="preserve">an initiative measure would have </w:t>
      </w:r>
      <w:r w:rsidR="00926563">
        <w:t>the described effects]</w:t>
      </w:r>
      <w:r w:rsidR="00072AD0">
        <w:t xml:space="preserve">; </w:t>
      </w:r>
      <w:r w:rsidR="00D16BA8">
        <w:t xml:space="preserve">see also </w:t>
      </w:r>
      <w:r w:rsidRPr="00831770" w:rsidR="00B90A4F">
        <w:rPr>
          <w:i/>
          <w:iCs/>
        </w:rPr>
        <w:t>California Medical Assn. v. Aetna Health of California Inc.</w:t>
      </w:r>
      <w:r w:rsidRPr="00831770" w:rsidR="00B90A4F">
        <w:t xml:space="preserve"> (2023) 14 Cal.5th 1075, 1087 </w:t>
      </w:r>
      <w:r w:rsidR="00123387">
        <w:t>[</w:t>
      </w:r>
      <w:r w:rsidR="00CE0961">
        <w:t>“[t]</w:t>
      </w:r>
      <w:r w:rsidRPr="00831770" w:rsidR="00CE0961">
        <w:t xml:space="preserve">o the extent there are ambiguities in </w:t>
      </w:r>
      <w:r w:rsidR="00CE0961">
        <w:t xml:space="preserve">[an] </w:t>
      </w:r>
      <w:r w:rsidRPr="00831770" w:rsidR="00CE0961">
        <w:t>initiative</w:t>
      </w:r>
      <w:r w:rsidR="00CE0961">
        <w:t>’</w:t>
      </w:r>
      <w:r w:rsidRPr="00831770" w:rsidR="00CE0961">
        <w:t xml:space="preserve">s language affecting its application to the case, we turn to </w:t>
      </w:r>
      <w:r w:rsidR="00CE0961">
        <w:t>‘</w:t>
      </w:r>
      <w:r w:rsidRPr="00831770" w:rsidR="00CE0961">
        <w:t>extrinsic sources such as ballot summaries and arguments for insight into the voters</w:t>
      </w:r>
      <w:r w:rsidR="003E3E42">
        <w:t>’</w:t>
      </w:r>
      <w:r w:rsidRPr="00831770" w:rsidR="00CE0961">
        <w:t xml:space="preserve"> intent</w:t>
      </w:r>
      <w:r w:rsidR="003E3E42">
        <w:t>’</w:t>
      </w:r>
      <w:r w:rsidRPr="00831770" w:rsidR="00CE0961">
        <w:t>”</w:t>
      </w:r>
      <w:r w:rsidR="003E3E42">
        <w:t>];</w:t>
      </w:r>
      <w:r w:rsidRPr="00831770" w:rsidR="00CE0961">
        <w:t xml:space="preserve"> </w:t>
      </w:r>
      <w:r w:rsidRPr="00C66D9C" w:rsidR="00D16BA8">
        <w:rPr>
          <w:i/>
          <w:iCs/>
        </w:rPr>
        <w:t>Hi-Voltage Wire Works, Inc. v. City of San Jose</w:t>
      </w:r>
      <w:r w:rsidRPr="00C66D9C" w:rsidR="00D16BA8">
        <w:t xml:space="preserve"> (2000) 24</w:t>
      </w:r>
      <w:r w:rsidR="003E3E42">
        <w:t> </w:t>
      </w:r>
      <w:r w:rsidRPr="00C66D9C" w:rsidR="00D16BA8">
        <w:t>Cal.4th 537, 596</w:t>
      </w:r>
      <w:r w:rsidR="003E3E42">
        <w:t xml:space="preserve"> </w:t>
      </w:r>
      <w:r w:rsidR="0017667E">
        <w:t>(</w:t>
      </w:r>
      <w:r w:rsidR="003E3E42">
        <w:t>conc. opn. of George, C.</w:t>
      </w:r>
      <w:r w:rsidR="008351B8">
        <w:t xml:space="preserve"> </w:t>
      </w:r>
      <w:r w:rsidR="003E3E42">
        <w:t>J.</w:t>
      </w:r>
      <w:r w:rsidR="0017667E">
        <w:t>)</w:t>
      </w:r>
      <w:r w:rsidR="00D16BA8">
        <w:t xml:space="preserve"> [ballot pamphlet analysis of </w:t>
      </w:r>
      <w:r w:rsidR="001C4211">
        <w:t xml:space="preserve">an </w:t>
      </w:r>
      <w:r w:rsidR="00D16BA8">
        <w:t xml:space="preserve">initiative measure </w:t>
      </w:r>
      <w:r w:rsidR="00FE205E">
        <w:t xml:space="preserve">indicated what </w:t>
      </w:r>
      <w:r w:rsidR="0082626B">
        <w:t>“</w:t>
      </w:r>
      <w:r w:rsidRPr="00C66D9C" w:rsidR="00E34D81">
        <w:t>the voters reasonably would have believed</w:t>
      </w:r>
      <w:r w:rsidR="00E34D81">
        <w:t xml:space="preserve">” </w:t>
      </w:r>
      <w:r w:rsidR="00FE205E">
        <w:t xml:space="preserve">about </w:t>
      </w:r>
      <w:r w:rsidR="002A3FDC">
        <w:t>the initiative]</w:t>
      </w:r>
      <w:r w:rsidR="00A81352">
        <w:t>.)</w:t>
      </w:r>
      <w:r w:rsidR="002A3FDC">
        <w:t xml:space="preserve"> </w:t>
      </w:r>
    </w:p>
    <w:p w:rsidR="00A007C0" w:rsidP="00396405" w14:paraId="5FF3B887" w14:textId="0629BE83">
      <w:pPr>
        <w:spacing w:line="288" w:lineRule="auto"/>
        <w:ind w:firstLine="720"/>
      </w:pPr>
      <w:r>
        <w:t xml:space="preserve">The court in </w:t>
      </w:r>
      <w:r>
        <w:rPr>
          <w:i/>
          <w:iCs/>
        </w:rPr>
        <w:t xml:space="preserve">Westly </w:t>
      </w:r>
      <w:r w:rsidR="00A8071D">
        <w:t xml:space="preserve">acknowledged </w:t>
      </w:r>
      <w:r>
        <w:t>the argument against Proposition 162</w:t>
      </w:r>
      <w:r w:rsidR="00A8071D">
        <w:t>,</w:t>
      </w:r>
      <w:r>
        <w:t xml:space="preserve"> stating </w:t>
      </w:r>
      <w:r w:rsidR="00A20E93">
        <w:t>the argument</w:t>
      </w:r>
      <w:r w:rsidR="00EB458F">
        <w:t xml:space="preserve"> </w:t>
      </w:r>
      <w:r w:rsidR="00C2369D">
        <w:t>“claims the Controller has blocked the pay increase of a ‘bureaucrat</w:t>
      </w:r>
      <w:r w:rsidR="00EB458F">
        <w:t xml:space="preserve">,’ but would not have the authority to ‘stop other outrageous </w:t>
      </w:r>
      <w:r w:rsidR="0000139D">
        <w:t>salary hikes if Proposition 162 [became] law</w:t>
      </w:r>
      <w:r w:rsidR="00B54813">
        <w:t>.</w:t>
      </w:r>
      <w:r w:rsidR="0000139D">
        <w:t xml:space="preserve">’” </w:t>
      </w:r>
      <w:r w:rsidR="00B54813">
        <w:t xml:space="preserve"> (</w:t>
      </w:r>
      <w:r w:rsidR="00B54813">
        <w:rPr>
          <w:i/>
          <w:iCs/>
        </w:rPr>
        <w:t>Westly</w:t>
      </w:r>
      <w:r w:rsidR="00B54813">
        <w:t xml:space="preserve">, </w:t>
      </w:r>
      <w:r w:rsidR="00B54813">
        <w:rPr>
          <w:i/>
          <w:iCs/>
        </w:rPr>
        <w:t>supra</w:t>
      </w:r>
      <w:r w:rsidR="00B54813">
        <w:t xml:space="preserve">, 105 Cal.App.4th at </w:t>
      </w:r>
      <w:r w:rsidR="00A62935">
        <w:t>p. </w:t>
      </w:r>
      <w:r w:rsidR="00B54813">
        <w:t xml:space="preserve">1111.)  </w:t>
      </w:r>
      <w:r w:rsidR="0005110D">
        <w:t xml:space="preserve">The </w:t>
      </w:r>
      <w:r w:rsidR="0000139D">
        <w:t>court</w:t>
      </w:r>
      <w:r w:rsidR="0005110D">
        <w:t>, however,</w:t>
      </w:r>
      <w:r w:rsidR="0000139D">
        <w:t xml:space="preserve"> </w:t>
      </w:r>
      <w:r w:rsidR="00A20E93">
        <w:t xml:space="preserve">gave no weight to the </w:t>
      </w:r>
      <w:r w:rsidR="00381A21">
        <w:t xml:space="preserve">effect of that argument on the </w:t>
      </w:r>
      <w:r w:rsidR="00A20E93">
        <w:t xml:space="preserve">voters’ </w:t>
      </w:r>
      <w:r w:rsidR="00381A21">
        <w:t xml:space="preserve">understanding of Proposition 162 </w:t>
      </w:r>
      <w:r w:rsidR="00494C09">
        <w:t xml:space="preserve">and </w:t>
      </w:r>
      <w:r w:rsidR="005E5822">
        <w:t>pointed to</w:t>
      </w:r>
      <w:r w:rsidR="00494C09">
        <w:t xml:space="preserve"> </w:t>
      </w:r>
      <w:r w:rsidR="00F410AE">
        <w:t xml:space="preserve">the </w:t>
      </w:r>
      <w:r w:rsidR="00CC73C2">
        <w:t xml:space="preserve">rebuttal </w:t>
      </w:r>
      <w:r w:rsidR="00F410AE">
        <w:t xml:space="preserve">argument in favor of Proposition 162 </w:t>
      </w:r>
      <w:r w:rsidR="005E5822">
        <w:t>stating</w:t>
      </w:r>
      <w:r w:rsidR="00F410AE">
        <w:t xml:space="preserve"> “the proposition’s opponents</w:t>
      </w:r>
      <w:r w:rsidR="00CC73C2">
        <w:t xml:space="preserve"> [were] ‘trying to mislead the voters.’”  </w:t>
      </w:r>
      <w:r w:rsidR="00B54813">
        <w:t>(</w:t>
      </w:r>
      <w:r w:rsidR="00B54813">
        <w:rPr>
          <w:i/>
          <w:iCs/>
        </w:rPr>
        <w:t>Ibid.</w:t>
      </w:r>
      <w:r w:rsidR="00B54813">
        <w:t>)</w:t>
      </w:r>
      <w:r w:rsidR="00B54813">
        <w:rPr>
          <w:i/>
          <w:iCs/>
        </w:rPr>
        <w:t xml:space="preserve">  </w:t>
      </w:r>
      <w:r w:rsidR="00CC73C2">
        <w:t xml:space="preserve">But </w:t>
      </w:r>
      <w:r w:rsidR="00252FC5">
        <w:t xml:space="preserve">this statement appeared at the </w:t>
      </w:r>
      <w:r w:rsidR="00F55597">
        <w:t xml:space="preserve">beginning </w:t>
      </w:r>
      <w:r w:rsidR="00B8684D">
        <w:t xml:space="preserve">of the rebuttal and </w:t>
      </w:r>
      <w:r w:rsidR="005922CE">
        <w:t>said</w:t>
      </w:r>
      <w:r w:rsidR="00B8684D">
        <w:t xml:space="preserve"> </w:t>
      </w:r>
      <w:r w:rsidRPr="005C224F" w:rsidR="00522651">
        <w:rPr>
          <w:i/>
          <w:iCs/>
        </w:rPr>
        <w:t>everything</w:t>
      </w:r>
      <w:r w:rsidR="00522651">
        <w:t xml:space="preserve"> </w:t>
      </w:r>
      <w:r w:rsidR="00494C09">
        <w:t xml:space="preserve">the </w:t>
      </w:r>
      <w:r w:rsidR="00522651">
        <w:t xml:space="preserve">opponents argued </w:t>
      </w:r>
      <w:r w:rsidR="005922CE">
        <w:t>w</w:t>
      </w:r>
      <w:r w:rsidR="00B8684D">
        <w:t xml:space="preserve">as </w:t>
      </w:r>
      <w:r w:rsidR="003B0F91">
        <w:t>“mislead[ing]”</w:t>
      </w:r>
      <w:r w:rsidR="00B8684D">
        <w:t>; the rebuttal</w:t>
      </w:r>
      <w:r w:rsidR="002D2C76">
        <w:t xml:space="preserve"> never </w:t>
      </w:r>
      <w:r w:rsidR="00926818">
        <w:t xml:space="preserve">responded </w:t>
      </w:r>
      <w:r w:rsidR="00815CEE">
        <w:t xml:space="preserve">directly </w:t>
      </w:r>
      <w:r w:rsidR="00926818">
        <w:t xml:space="preserve">to </w:t>
      </w:r>
      <w:r w:rsidR="002D2C76">
        <w:t xml:space="preserve">the </w:t>
      </w:r>
      <w:r w:rsidR="00926818">
        <w:t xml:space="preserve">opponents’ </w:t>
      </w:r>
      <w:r w:rsidR="00BD6026">
        <w:t xml:space="preserve">argument </w:t>
      </w:r>
      <w:r w:rsidR="002D2C76">
        <w:t>Proposition</w:t>
      </w:r>
      <w:r w:rsidR="00494C09">
        <w:t> </w:t>
      </w:r>
      <w:r w:rsidR="002D2C76">
        <w:t xml:space="preserve">162 would remove the Controller’s </w:t>
      </w:r>
      <w:r w:rsidR="00BD6026">
        <w:t xml:space="preserve">authority to stop “outrageous salary hikes.” </w:t>
      </w:r>
      <w:r w:rsidR="003B0F91">
        <w:t xml:space="preserve"> </w:t>
      </w:r>
      <w:r w:rsidRPr="00706B69" w:rsidR="00EE6DFD">
        <w:t>(</w:t>
      </w:r>
      <w:r w:rsidR="00D61D58">
        <w:t xml:space="preserve">See </w:t>
      </w:r>
      <w:r w:rsidR="007B06FE">
        <w:t xml:space="preserve">1992 </w:t>
      </w:r>
      <w:r w:rsidRPr="00706B69" w:rsidR="00EE6DFD">
        <w:t xml:space="preserve">Ballot Pamp., </w:t>
      </w:r>
      <w:r w:rsidRPr="00706B69" w:rsidR="00EE6DFD">
        <w:rPr>
          <w:i/>
          <w:iCs/>
        </w:rPr>
        <w:t>supra</w:t>
      </w:r>
      <w:r w:rsidRPr="00706B69" w:rsidR="00EE6DFD">
        <w:t xml:space="preserve">, </w:t>
      </w:r>
      <w:r w:rsidR="00EE6DFD">
        <w:t>rebuttal to argument against Pro</w:t>
      </w:r>
      <w:r w:rsidR="00A62935">
        <w:t>p. </w:t>
      </w:r>
      <w:r w:rsidR="00EE6DFD">
        <w:t>162</w:t>
      </w:r>
      <w:r w:rsidRPr="00706B69" w:rsidR="00EE6DFD">
        <w:t xml:space="preserve">, </w:t>
      </w:r>
      <w:r w:rsidR="00A62935">
        <w:t>p. </w:t>
      </w:r>
      <w:r w:rsidRPr="00706B69" w:rsidR="00EE6DFD">
        <w:t>3</w:t>
      </w:r>
      <w:r w:rsidR="00EE6DFD">
        <w:t>9</w:t>
      </w:r>
      <w:r w:rsidRPr="00706B69" w:rsidR="00EE6DFD">
        <w:t>.)</w:t>
      </w:r>
      <w:r w:rsidR="00EE6DFD">
        <w:t xml:space="preserve"> </w:t>
      </w:r>
      <w:r w:rsidR="00771942">
        <w:t xml:space="preserve"> </w:t>
      </w:r>
      <w:r w:rsidR="00EE6F7D">
        <w:t>T</w:t>
      </w:r>
      <w:r w:rsidR="006E378D">
        <w:t>h</w:t>
      </w:r>
      <w:r w:rsidR="00A32D2F">
        <w:t>e</w:t>
      </w:r>
      <w:r w:rsidR="006E378D">
        <w:t xml:space="preserve"> </w:t>
      </w:r>
      <w:r w:rsidR="00A32D2F">
        <w:t xml:space="preserve">rebuttal to the argument against Proposition 162 </w:t>
      </w:r>
      <w:r w:rsidR="00EE6F7D">
        <w:t xml:space="preserve">does </w:t>
      </w:r>
      <w:r w:rsidR="00CE044B">
        <w:t xml:space="preserve">nothing to </w:t>
      </w:r>
      <w:r w:rsidR="00EE6F7D">
        <w:t xml:space="preserve">negate </w:t>
      </w:r>
      <w:r w:rsidR="00CE044B">
        <w:t xml:space="preserve">the </w:t>
      </w:r>
      <w:r w:rsidR="00A86B58">
        <w:t>voters</w:t>
      </w:r>
      <w:r w:rsidR="00CE044B">
        <w:t>’</w:t>
      </w:r>
      <w:r w:rsidR="00A86B58">
        <w:t xml:space="preserve"> </w:t>
      </w:r>
      <w:r w:rsidR="00815CEE">
        <w:t>belief</w:t>
      </w:r>
      <w:r w:rsidR="00A86B58">
        <w:t xml:space="preserve"> </w:t>
      </w:r>
      <w:r w:rsidR="006E378D">
        <w:t xml:space="preserve">Proposition 162 </w:t>
      </w:r>
      <w:r w:rsidR="00A86B58">
        <w:t xml:space="preserve">gave </w:t>
      </w:r>
      <w:r w:rsidR="006E378D">
        <w:t xml:space="preserve">retirement boards authority to set salaries for retirement system employees. </w:t>
      </w:r>
      <w:r w:rsidR="004618CB">
        <w:t xml:space="preserve"> </w:t>
      </w:r>
    </w:p>
    <w:p w:rsidR="00D763D3" w:rsidP="00396405" w14:paraId="0BD8D16E" w14:textId="2EA18F8E">
      <w:pPr>
        <w:spacing w:line="288" w:lineRule="auto"/>
        <w:ind w:firstLine="720"/>
      </w:pPr>
      <w:r>
        <w:t>The ana</w:t>
      </w:r>
      <w:r w:rsidR="008727FA">
        <w:t xml:space="preserve">lysis of Proposition 162 by the </w:t>
      </w:r>
      <w:r w:rsidR="00A96519">
        <w:t>L</w:t>
      </w:r>
      <w:r w:rsidR="008727FA">
        <w:t xml:space="preserve">egislative </w:t>
      </w:r>
      <w:r w:rsidR="00A96519">
        <w:t>A</w:t>
      </w:r>
      <w:r w:rsidR="008727FA">
        <w:t>nalys</w:t>
      </w:r>
      <w:r w:rsidR="00A96519">
        <w:t>t</w:t>
      </w:r>
      <w:r w:rsidR="008727FA">
        <w:t xml:space="preserve"> in the ballot pamphlet </w:t>
      </w:r>
      <w:r w:rsidR="00181958">
        <w:t xml:space="preserve">confirms the voters intended to give retirement boards authority to determine how to spend system assets, including on employee compensation.  The </w:t>
      </w:r>
      <w:r w:rsidR="008909C9">
        <w:t xml:space="preserve">Legislative Analyst </w:t>
      </w:r>
      <w:r w:rsidR="008727FA">
        <w:t xml:space="preserve">stated </w:t>
      </w:r>
      <w:r w:rsidR="008A0FF9">
        <w:t>Proposition</w:t>
      </w:r>
      <w:r w:rsidR="00815CEE">
        <w:t xml:space="preserve"> 162</w:t>
      </w:r>
      <w:r w:rsidR="008A0FF9">
        <w:t xml:space="preserve"> would continue </w:t>
      </w:r>
      <w:r w:rsidR="008727FA">
        <w:t xml:space="preserve">the </w:t>
      </w:r>
      <w:r w:rsidR="008A1927">
        <w:t>retirement boards</w:t>
      </w:r>
      <w:r w:rsidR="008A0FF9">
        <w:t xml:space="preserve">’ existing obligation </w:t>
      </w:r>
      <w:r w:rsidR="008A1927">
        <w:t xml:space="preserve">to “pay reasonable administrative costs” </w:t>
      </w:r>
      <w:r w:rsidR="00BE70AC">
        <w:t xml:space="preserve">of </w:t>
      </w:r>
      <w:r w:rsidR="008A1927">
        <w:t>the retirement system</w:t>
      </w:r>
      <w:r w:rsidR="008909C9">
        <w:t xml:space="preserve"> and </w:t>
      </w:r>
      <w:r w:rsidR="00A20FC8">
        <w:t xml:space="preserve">explained </w:t>
      </w:r>
      <w:r w:rsidR="008A1927">
        <w:t xml:space="preserve">Proposition 162 would </w:t>
      </w:r>
      <w:r w:rsidR="00AF7881">
        <w:t xml:space="preserve">give </w:t>
      </w:r>
      <w:r w:rsidR="00BE70AC">
        <w:t xml:space="preserve">the </w:t>
      </w:r>
      <w:r w:rsidR="00AC2A80">
        <w:t>boards “complete authority for administration of the system’s assets and for the actuarial function</w:t>
      </w:r>
      <w:r w:rsidR="008A0FF9">
        <w:t>.</w:t>
      </w:r>
      <w:r w:rsidR="00AC2A80">
        <w:t xml:space="preserve">” </w:t>
      </w:r>
      <w:r w:rsidR="008A0FF9">
        <w:t xml:space="preserve"> </w:t>
      </w:r>
      <w:r w:rsidRPr="00706B69" w:rsidR="00BE70AC">
        <w:t>(</w:t>
      </w:r>
      <w:r w:rsidR="007B06FE">
        <w:t xml:space="preserve">1992 </w:t>
      </w:r>
      <w:r w:rsidRPr="00706B69" w:rsidR="00BE70AC">
        <w:t xml:space="preserve">Ballot Pamp., </w:t>
      </w:r>
      <w:r w:rsidRPr="00706B69" w:rsidR="00BE70AC">
        <w:rPr>
          <w:i/>
          <w:iCs/>
        </w:rPr>
        <w:t>supra</w:t>
      </w:r>
      <w:r w:rsidRPr="00706B69" w:rsidR="00BE70AC">
        <w:t xml:space="preserve">, </w:t>
      </w:r>
      <w:r w:rsidR="00BE70AC">
        <w:t>analysis of Pro</w:t>
      </w:r>
      <w:r w:rsidR="00A62935">
        <w:t>p. </w:t>
      </w:r>
      <w:r w:rsidR="00BE70AC">
        <w:t>162 by the legislative analyst</w:t>
      </w:r>
      <w:r w:rsidRPr="00706B69" w:rsidR="00BE70AC">
        <w:t xml:space="preserve">, </w:t>
      </w:r>
      <w:r w:rsidR="00A62935">
        <w:t>p. </w:t>
      </w:r>
      <w:r w:rsidRPr="00706B69" w:rsidR="00BE70AC">
        <w:t>3</w:t>
      </w:r>
      <w:r w:rsidR="00BE70AC">
        <w:t>7.</w:t>
      </w:r>
      <w:r w:rsidRPr="00706B69" w:rsidR="00BE70AC">
        <w:t>)</w:t>
      </w:r>
      <w:r w:rsidR="00BE70AC">
        <w:t xml:space="preserve">  </w:t>
      </w:r>
      <w:r w:rsidR="00DC560B">
        <w:t>The Legislative Analyst further stated</w:t>
      </w:r>
      <w:r w:rsidR="00494C09">
        <w:t xml:space="preserve"> </w:t>
      </w:r>
      <w:r w:rsidR="006F24E0">
        <w:t xml:space="preserve">“[g]iving complete authority for administration of public retirement system assets to the governing boards </w:t>
      </w:r>
      <w:r w:rsidR="000718C0">
        <w:t>could reduce oversight of these activities by state or local government.”  (</w:t>
      </w:r>
      <w:r w:rsidR="000718C0">
        <w:rPr>
          <w:i/>
          <w:iCs/>
        </w:rPr>
        <w:t>Ibid.</w:t>
      </w:r>
      <w:r w:rsidR="000718C0">
        <w:t xml:space="preserve">) </w:t>
      </w:r>
      <w:r w:rsidR="00181196">
        <w:t xml:space="preserve"> As </w:t>
      </w:r>
      <w:r w:rsidR="00AF7881">
        <w:t>discussed</w:t>
      </w:r>
      <w:r w:rsidR="00181196">
        <w:t>, we presume the voters were aware</w:t>
      </w:r>
      <w:r w:rsidR="008351B8">
        <w:t xml:space="preserve"> </w:t>
      </w:r>
      <w:r w:rsidR="00181196">
        <w:t>section</w:t>
      </w:r>
      <w:r w:rsidR="00494C09">
        <w:t> </w:t>
      </w:r>
      <w:r w:rsidR="00181196">
        <w:t>31580.2 required retirement boards that appoint</w:t>
      </w:r>
      <w:r w:rsidR="003B46F5">
        <w:t>ed</w:t>
      </w:r>
      <w:r w:rsidR="00181196">
        <w:t xml:space="preserve"> their own personnel to budget and pay for </w:t>
      </w:r>
      <w:r w:rsidR="000D776F">
        <w:t xml:space="preserve">those salaries from system assets.  (See </w:t>
      </w:r>
      <w:r w:rsidRPr="004E712A" w:rsidR="0093637B">
        <w:rPr>
          <w:i/>
          <w:iCs/>
        </w:rPr>
        <w:t>People v. Gonzales</w:t>
      </w:r>
      <w:r w:rsidR="0093637B">
        <w:t xml:space="preserve">, </w:t>
      </w:r>
      <w:r w:rsidR="0093637B">
        <w:rPr>
          <w:i/>
          <w:iCs/>
        </w:rPr>
        <w:t>supra</w:t>
      </w:r>
      <w:r w:rsidR="0093637B">
        <w:t>,</w:t>
      </w:r>
      <w:r w:rsidRPr="004E712A" w:rsidR="0093637B">
        <w:t xml:space="preserve"> 2</w:t>
      </w:r>
      <w:r w:rsidR="000461AB">
        <w:t> </w:t>
      </w:r>
      <w:r w:rsidRPr="004E712A" w:rsidR="0093637B">
        <w:t xml:space="preserve">Cal.5th </w:t>
      </w:r>
      <w:r w:rsidR="0093637B">
        <w:t xml:space="preserve">at </w:t>
      </w:r>
      <w:r w:rsidR="00A62935">
        <w:t>p. </w:t>
      </w:r>
      <w:r w:rsidRPr="004E712A" w:rsidR="0093637B">
        <w:t>869</w:t>
      </w:r>
      <w:r w:rsidR="0093637B">
        <w:t xml:space="preserve">.)  Thus, giving </w:t>
      </w:r>
      <w:r w:rsidR="00FC6585">
        <w:t xml:space="preserve">complete authority over </w:t>
      </w:r>
      <w:r w:rsidR="00C84353">
        <w:t xml:space="preserve">such </w:t>
      </w:r>
      <w:r w:rsidR="00FC6585">
        <w:t>assets to retirement boards</w:t>
      </w:r>
      <w:r w:rsidR="00CD7628">
        <w:t xml:space="preserve"> </w:t>
      </w:r>
      <w:r w:rsidR="00C84353">
        <w:t xml:space="preserve">also </w:t>
      </w:r>
      <w:r w:rsidR="00B9777E">
        <w:t xml:space="preserve">gave </w:t>
      </w:r>
      <w:r w:rsidR="00C84353">
        <w:t xml:space="preserve">retirement boards authority to </w:t>
      </w:r>
      <w:r w:rsidR="00B2630F">
        <w:t xml:space="preserve">determine how to spend system assets, including for </w:t>
      </w:r>
      <w:r w:rsidR="00C84353">
        <w:t>salaries</w:t>
      </w:r>
      <w:r w:rsidR="007454D0">
        <w:t xml:space="preserve"> and other “reasonable administrative costs</w:t>
      </w:r>
      <w:r w:rsidR="00C84353">
        <w:t>.</w:t>
      </w:r>
      <w:r w:rsidR="007454D0">
        <w:t>”  (See</w:t>
      </w:r>
      <w:r w:rsidR="007B06FE">
        <w:t xml:space="preserve"> 1992</w:t>
      </w:r>
      <w:r w:rsidR="007454D0">
        <w:t xml:space="preserve"> </w:t>
      </w:r>
      <w:r w:rsidRPr="00706B69" w:rsidR="007454D0">
        <w:t xml:space="preserve">Ballot Pamp., </w:t>
      </w:r>
      <w:r w:rsidR="00815CEE">
        <w:rPr>
          <w:i/>
          <w:iCs/>
        </w:rPr>
        <w:t>supra</w:t>
      </w:r>
      <w:r w:rsidR="00815CEE">
        <w:t>,</w:t>
      </w:r>
      <w:r w:rsidR="00815CEE">
        <w:rPr>
          <w:i/>
          <w:iCs/>
        </w:rPr>
        <w:t xml:space="preserve"> </w:t>
      </w:r>
      <w:r w:rsidR="00F4283D">
        <w:t xml:space="preserve">analysis of Prop. 162 by the legislative analyst, </w:t>
      </w:r>
      <w:r w:rsidR="00A62935">
        <w:t>p. </w:t>
      </w:r>
      <w:r w:rsidRPr="00706B69" w:rsidR="007454D0">
        <w:t>3</w:t>
      </w:r>
      <w:r w:rsidR="007454D0">
        <w:t>7</w:t>
      </w:r>
      <w:r w:rsidRPr="00706B69" w:rsidR="007454D0">
        <w:t>.)</w:t>
      </w:r>
      <w:r w:rsidR="007454D0">
        <w:t xml:space="preserve">  </w:t>
      </w:r>
    </w:p>
    <w:p w:rsidR="00CA1ECA" w:rsidP="00396405" w14:paraId="17463812" w14:textId="75955052">
      <w:pPr>
        <w:spacing w:line="288" w:lineRule="auto"/>
        <w:ind w:firstLine="720"/>
      </w:pPr>
      <w:r>
        <w:t>Finally, the County and Board of Supervisors cite several cases they contend</w:t>
      </w:r>
      <w:r w:rsidR="005D4C7B">
        <w:t xml:space="preserve"> support their constrained interpretation of Proposition 162.</w:t>
      </w:r>
      <w:r w:rsidR="00771942">
        <w:t xml:space="preserve"> </w:t>
      </w:r>
      <w:r w:rsidR="005D4C7B">
        <w:t xml:space="preserve"> </w:t>
      </w:r>
      <w:r w:rsidR="007A35E6">
        <w:t xml:space="preserve">These include </w:t>
      </w:r>
      <w:r w:rsidRPr="00706B69" w:rsidR="007A35E6">
        <w:rPr>
          <w:i/>
          <w:iCs/>
        </w:rPr>
        <w:t>Board of Retirement v. Santa Barbara County Grand Jury</w:t>
      </w:r>
      <w:r w:rsidR="00815CEE">
        <w:t xml:space="preserve">, </w:t>
      </w:r>
      <w:r w:rsidR="00815CEE">
        <w:rPr>
          <w:i/>
          <w:iCs/>
        </w:rPr>
        <w:t>supra</w:t>
      </w:r>
      <w:r w:rsidR="00815CEE">
        <w:t>,</w:t>
      </w:r>
      <w:r w:rsidR="00815CEE">
        <w:rPr>
          <w:i/>
          <w:iCs/>
        </w:rPr>
        <w:t xml:space="preserve"> </w:t>
      </w:r>
      <w:r w:rsidRPr="00706B69" w:rsidR="007A35E6">
        <w:t>58 Cal.App.4th 1185</w:t>
      </w:r>
      <w:r w:rsidR="00475D34">
        <w:t xml:space="preserve">, </w:t>
      </w:r>
      <w:r w:rsidR="007A35E6">
        <w:t xml:space="preserve">which considered whether </w:t>
      </w:r>
      <w:r w:rsidR="00B65C8E">
        <w:t xml:space="preserve">a retirement board’s </w:t>
      </w:r>
      <w:r w:rsidR="007A35E6">
        <w:t xml:space="preserve">“plenary authority” enabled </w:t>
      </w:r>
      <w:r w:rsidR="00B65C8E">
        <w:t xml:space="preserve">it </w:t>
      </w:r>
      <w:r w:rsidR="007A35E6">
        <w:t xml:space="preserve">to evade </w:t>
      </w:r>
      <w:r w:rsidR="008A563B">
        <w:t xml:space="preserve">a </w:t>
      </w:r>
      <w:r w:rsidR="007A35E6">
        <w:t>grand jury investigation</w:t>
      </w:r>
      <w:r w:rsidR="00475D34">
        <w:t xml:space="preserve"> (</w:t>
      </w:r>
      <w:r w:rsidR="00475D34">
        <w:rPr>
          <w:i/>
          <w:iCs/>
        </w:rPr>
        <w:t>i</w:t>
      </w:r>
      <w:r w:rsidR="00A62935">
        <w:rPr>
          <w:i/>
          <w:iCs/>
        </w:rPr>
        <w:t>d. </w:t>
      </w:r>
      <w:r w:rsidR="00475D34">
        <w:t xml:space="preserve">at </w:t>
      </w:r>
      <w:r w:rsidR="00A62935">
        <w:t>p. </w:t>
      </w:r>
      <w:r w:rsidRPr="00706B69" w:rsidR="00475D34">
        <w:t>1193</w:t>
      </w:r>
      <w:r w:rsidR="00475D34">
        <w:t>)</w:t>
      </w:r>
      <w:r w:rsidR="00494C09">
        <w:t>,</w:t>
      </w:r>
      <w:r w:rsidR="00B65C8E">
        <w:t xml:space="preserve"> </w:t>
      </w:r>
      <w:r w:rsidR="004552E0">
        <w:t xml:space="preserve">and </w:t>
      </w:r>
      <w:r w:rsidRPr="008832D9" w:rsidR="00475D34">
        <w:rPr>
          <w:i/>
          <w:iCs/>
        </w:rPr>
        <w:t>O</w:t>
      </w:r>
      <w:r w:rsidR="00475D34">
        <w:rPr>
          <w:i/>
          <w:iCs/>
        </w:rPr>
        <w:t>’</w:t>
      </w:r>
      <w:r w:rsidRPr="008832D9" w:rsidR="00475D34">
        <w:rPr>
          <w:i/>
          <w:iCs/>
        </w:rPr>
        <w:t>Neal</w:t>
      </w:r>
      <w:r w:rsidR="00815CEE">
        <w:t xml:space="preserve">, </w:t>
      </w:r>
      <w:r w:rsidR="00815CEE">
        <w:rPr>
          <w:i/>
          <w:iCs/>
        </w:rPr>
        <w:t>supra</w:t>
      </w:r>
      <w:r w:rsidR="00815CEE">
        <w:t>,</w:t>
      </w:r>
      <w:r w:rsidR="00815CEE">
        <w:rPr>
          <w:i/>
          <w:iCs/>
        </w:rPr>
        <w:t xml:space="preserve"> </w:t>
      </w:r>
      <w:r w:rsidRPr="008832D9" w:rsidR="00475D34">
        <w:t>8 Cal.App.5th 1184</w:t>
      </w:r>
      <w:r w:rsidR="00475D34">
        <w:t>, which addressed whether “</w:t>
      </w:r>
      <w:r w:rsidRPr="008832D9" w:rsidR="00475D34">
        <w:t>the adoption of an amortization rate for unfunded liabilities which included a period of negative amortization violated state law and constitutional mandates</w:t>
      </w:r>
      <w:r w:rsidR="00475D34">
        <w:t>”</w:t>
      </w:r>
      <w:r w:rsidR="003A5064">
        <w:t xml:space="preserve"> (</w:t>
      </w:r>
      <w:r w:rsidR="003A5064">
        <w:rPr>
          <w:i/>
          <w:iCs/>
        </w:rPr>
        <w:t>i</w:t>
      </w:r>
      <w:r w:rsidR="00A62935">
        <w:rPr>
          <w:i/>
          <w:iCs/>
        </w:rPr>
        <w:t>d. </w:t>
      </w:r>
      <w:r w:rsidR="003A5064">
        <w:t xml:space="preserve">at </w:t>
      </w:r>
      <w:r w:rsidR="00A62935">
        <w:t>p. </w:t>
      </w:r>
      <w:r w:rsidR="003A5064">
        <w:t>1192)</w:t>
      </w:r>
      <w:r w:rsidR="00EF5F42">
        <w:t>.</w:t>
      </w:r>
      <w:r w:rsidR="003A5064">
        <w:t xml:space="preserve"> </w:t>
      </w:r>
      <w:r w:rsidR="003D3131">
        <w:t xml:space="preserve"> Neither of these cases </w:t>
      </w:r>
      <w:r w:rsidR="00F04C92">
        <w:t xml:space="preserve">cited </w:t>
      </w:r>
      <w:r w:rsidR="00F04C92">
        <w:rPr>
          <w:i/>
          <w:iCs/>
        </w:rPr>
        <w:t xml:space="preserve">Westly </w:t>
      </w:r>
      <w:r w:rsidR="00F04C92">
        <w:t xml:space="preserve">or addressed the scope of Proposition 162 </w:t>
      </w:r>
      <w:r w:rsidR="00912A40">
        <w:t xml:space="preserve">in the context of a retirement board’s authority to establish employment </w:t>
      </w:r>
      <w:r w:rsidR="0070597D">
        <w:t xml:space="preserve">classifications </w:t>
      </w:r>
      <w:r w:rsidR="00912A40">
        <w:t xml:space="preserve">or allocate system assets </w:t>
      </w:r>
      <w:r w:rsidR="008C1232">
        <w:t xml:space="preserve">for </w:t>
      </w:r>
      <w:r w:rsidR="00357706">
        <w:t xml:space="preserve">employee </w:t>
      </w:r>
      <w:r w:rsidR="00912A40">
        <w:t xml:space="preserve">compensation. </w:t>
      </w:r>
      <w:r w:rsidR="00184EE0">
        <w:t xml:space="preserve"> </w:t>
      </w:r>
    </w:p>
    <w:p w:rsidR="0078375E" w:rsidRPr="00F8633F" w:rsidP="00396405" w14:paraId="2EEA6B55" w14:textId="6ECD9E45">
      <w:pPr>
        <w:spacing w:line="288" w:lineRule="auto"/>
        <w:ind w:firstLine="720"/>
      </w:pPr>
      <w:r>
        <w:t xml:space="preserve">The County and Board of Supervisors also </w:t>
      </w:r>
      <w:r w:rsidR="00DD4C39">
        <w:t>claim</w:t>
      </w:r>
      <w:r>
        <w:t xml:space="preserve"> </w:t>
      </w:r>
      <w:r w:rsidRPr="004878F3" w:rsidR="0022162F">
        <w:rPr>
          <w:i/>
          <w:iCs/>
        </w:rPr>
        <w:t>City of San Diego v. San Diego City Employees</w:t>
      </w:r>
      <w:r w:rsidR="0022162F">
        <w:rPr>
          <w:i/>
          <w:iCs/>
        </w:rPr>
        <w:t>’</w:t>
      </w:r>
      <w:r w:rsidRPr="004878F3" w:rsidR="0022162F">
        <w:rPr>
          <w:i/>
          <w:iCs/>
        </w:rPr>
        <w:t xml:space="preserve"> Retirement System</w:t>
      </w:r>
      <w:r w:rsidR="00815CEE">
        <w:t xml:space="preserve">, </w:t>
      </w:r>
      <w:r w:rsidR="00815CEE">
        <w:rPr>
          <w:i/>
          <w:iCs/>
        </w:rPr>
        <w:t>supra</w:t>
      </w:r>
      <w:r w:rsidR="00815CEE">
        <w:t>,</w:t>
      </w:r>
      <w:r w:rsidRPr="004878F3" w:rsidR="0022162F">
        <w:t xml:space="preserve"> 186</w:t>
      </w:r>
      <w:r w:rsidR="00CA1ECA">
        <w:t> </w:t>
      </w:r>
      <w:r w:rsidRPr="004878F3" w:rsidR="0022162F">
        <w:t>Cal.App.4th 69</w:t>
      </w:r>
      <w:r w:rsidR="0022162F">
        <w:t xml:space="preserve"> </w:t>
      </w:r>
      <w:r w:rsidR="00DD4C39">
        <w:t>i</w:t>
      </w:r>
      <w:r w:rsidR="00E1639F">
        <w:t xml:space="preserve">s “in accord” with </w:t>
      </w:r>
      <w:r w:rsidR="00E1639F">
        <w:rPr>
          <w:i/>
          <w:iCs/>
        </w:rPr>
        <w:t>Westly</w:t>
      </w:r>
      <w:r w:rsidR="00E1639F">
        <w:t xml:space="preserve">. </w:t>
      </w:r>
      <w:r w:rsidR="00523B13">
        <w:t xml:space="preserve"> </w:t>
      </w:r>
      <w:r w:rsidR="005922CE">
        <w:t>It</w:t>
      </w:r>
      <w:r w:rsidR="000461AB">
        <w:t> </w:t>
      </w:r>
      <w:r w:rsidR="005922CE">
        <w:t>isn’t.  T</w:t>
      </w:r>
      <w:r w:rsidR="00DD4C39">
        <w:t xml:space="preserve">he court in </w:t>
      </w:r>
      <w:r w:rsidRPr="004878F3" w:rsidR="00685663">
        <w:rPr>
          <w:i/>
          <w:iCs/>
        </w:rPr>
        <w:t>City of San Diego</w:t>
      </w:r>
      <w:r w:rsidR="00685663">
        <w:t xml:space="preserve"> </w:t>
      </w:r>
      <w:r w:rsidR="00E1639F">
        <w:t xml:space="preserve">considered only whether </w:t>
      </w:r>
      <w:r w:rsidR="0008398D">
        <w:t>the San</w:t>
      </w:r>
      <w:r w:rsidR="00DD4C39">
        <w:t> </w:t>
      </w:r>
      <w:r w:rsidR="0008398D">
        <w:t xml:space="preserve">Diego </w:t>
      </w:r>
      <w:r w:rsidR="00013E20">
        <w:t xml:space="preserve">City Employees’ Retirement System </w:t>
      </w:r>
      <w:r w:rsidR="00E1639F">
        <w:t>could</w:t>
      </w:r>
      <w:r w:rsidRPr="00302D11" w:rsidR="00E1639F">
        <w:t xml:space="preserve"> charge the </w:t>
      </w:r>
      <w:r w:rsidR="002149B2">
        <w:t>c</w:t>
      </w:r>
      <w:r w:rsidRPr="00302D11" w:rsidR="00E1639F">
        <w:t xml:space="preserve">ity for </w:t>
      </w:r>
      <w:r w:rsidR="00013E20">
        <w:t xml:space="preserve">the </w:t>
      </w:r>
      <w:r w:rsidR="0058351E">
        <w:t xml:space="preserve">cost of </w:t>
      </w:r>
      <w:r w:rsidRPr="00302D11" w:rsidR="00E1639F">
        <w:t>pension service credits</w:t>
      </w:r>
      <w:r w:rsidR="00494C09">
        <w:t>,</w:t>
      </w:r>
      <w:r w:rsidRPr="00302D11" w:rsidR="00E1639F">
        <w:t xml:space="preserve"> </w:t>
      </w:r>
      <w:r w:rsidR="0058351E">
        <w:t xml:space="preserve">even though </w:t>
      </w:r>
      <w:r w:rsidR="00882FA9">
        <w:t xml:space="preserve">the </w:t>
      </w:r>
      <w:r w:rsidR="00DD4C39">
        <w:t>municipal</w:t>
      </w:r>
      <w:r w:rsidR="00882FA9">
        <w:t xml:space="preserve"> ordinance</w:t>
      </w:r>
      <w:r w:rsidR="00685663">
        <w:t xml:space="preserve"> that</w:t>
      </w:r>
      <w:r w:rsidR="00882FA9">
        <w:t xml:space="preserve"> creat</w:t>
      </w:r>
      <w:r w:rsidR="00685663">
        <w:t>ed</w:t>
      </w:r>
      <w:r w:rsidR="00882FA9">
        <w:t xml:space="preserve"> the</w:t>
      </w:r>
      <w:r w:rsidR="002F6672">
        <w:t xml:space="preserve"> “purchase of service credit program” required </w:t>
      </w:r>
      <w:r w:rsidRPr="00302D11" w:rsidR="00E1639F">
        <w:t xml:space="preserve">employees to pay the full cost of </w:t>
      </w:r>
      <w:r w:rsidR="002F6672">
        <w:t xml:space="preserve">any </w:t>
      </w:r>
      <w:r w:rsidRPr="00302D11" w:rsidR="00E1639F">
        <w:t xml:space="preserve">service credits </w:t>
      </w:r>
      <w:r w:rsidR="002F6672">
        <w:t xml:space="preserve">they </w:t>
      </w:r>
      <w:r w:rsidRPr="00302D11" w:rsidR="00E1639F">
        <w:t>purchase</w:t>
      </w:r>
      <w:r w:rsidR="00A62935">
        <w:t>d. </w:t>
      </w:r>
      <w:r w:rsidR="002F6672">
        <w:t xml:space="preserve"> </w:t>
      </w:r>
      <w:r w:rsidR="00E1639F">
        <w:t>(</w:t>
      </w:r>
      <w:r w:rsidR="00E1639F">
        <w:rPr>
          <w:i/>
          <w:iCs/>
        </w:rPr>
        <w:t>I</w:t>
      </w:r>
      <w:r w:rsidR="00A62935">
        <w:rPr>
          <w:i/>
          <w:iCs/>
        </w:rPr>
        <w:t>d. </w:t>
      </w:r>
      <w:r w:rsidR="00E1639F">
        <w:t xml:space="preserve">at </w:t>
      </w:r>
      <w:r w:rsidR="00A62935">
        <w:t>p. </w:t>
      </w:r>
      <w:r w:rsidR="00E1639F">
        <w:t>7</w:t>
      </w:r>
      <w:r w:rsidR="00E61F28">
        <w:t>3</w:t>
      </w:r>
      <w:r w:rsidR="00E1639F">
        <w:t>.)</w:t>
      </w:r>
      <w:r w:rsidR="001D1371">
        <w:t xml:space="preserve">  The court </w:t>
      </w:r>
      <w:r w:rsidR="00EB17F1">
        <w:t xml:space="preserve">cited </w:t>
      </w:r>
      <w:r w:rsidR="00EB17F1">
        <w:rPr>
          <w:i/>
          <w:iCs/>
        </w:rPr>
        <w:t xml:space="preserve">Westly </w:t>
      </w:r>
      <w:r w:rsidR="00EB17F1">
        <w:t xml:space="preserve">for the proposition </w:t>
      </w:r>
      <w:r w:rsidR="004774A9">
        <w:t>retirement board</w:t>
      </w:r>
      <w:r w:rsidR="00EB17F1">
        <w:t>s</w:t>
      </w:r>
      <w:r w:rsidR="004774A9">
        <w:t xml:space="preserve"> </w:t>
      </w:r>
      <w:r w:rsidR="00EB17F1">
        <w:t xml:space="preserve">do </w:t>
      </w:r>
      <w:r w:rsidR="004774A9">
        <w:t>not have authority “</w:t>
      </w:r>
      <w:r w:rsidR="00003BBC">
        <w:t>‘</w:t>
      </w:r>
      <w:r w:rsidR="004774A9">
        <w:t>to evade the law</w:t>
      </w:r>
      <w:r w:rsidR="00003BBC">
        <w:t>’</w:t>
      </w:r>
      <w:r w:rsidR="004774A9">
        <w:t>”</w:t>
      </w:r>
      <w:r w:rsidR="00AB703F">
        <w:t xml:space="preserve"> or </w:t>
      </w:r>
      <w:r w:rsidR="00313FDF">
        <w:t xml:space="preserve">over “matters within the purview of other branches of government,” such as the </w:t>
      </w:r>
      <w:r w:rsidR="00F8633F">
        <w:t>“grant</w:t>
      </w:r>
      <w:r w:rsidR="00313FDF">
        <w:t>ing of</w:t>
      </w:r>
      <w:r w:rsidR="00F8633F">
        <w:t xml:space="preserve"> retirement benefit</w:t>
      </w:r>
      <w:r w:rsidR="00313FDF">
        <w:t>s,</w:t>
      </w:r>
      <w:r w:rsidR="00F8633F">
        <w:t>”</w:t>
      </w:r>
      <w:r w:rsidR="00B83BA1">
        <w:t xml:space="preserve"> which was the “exclusive jurisdiction of the City.”</w:t>
      </w:r>
      <w:r w:rsidR="00F8633F">
        <w:t xml:space="preserve">  (</w:t>
      </w:r>
      <w:r w:rsidR="00E70827">
        <w:rPr>
          <w:i/>
          <w:iCs/>
        </w:rPr>
        <w:t xml:space="preserve">City of San </w:t>
      </w:r>
      <w:r w:rsidRPr="00E70827" w:rsidR="00E70827">
        <w:rPr>
          <w:i/>
          <w:iCs/>
        </w:rPr>
        <w:t>Diego</w:t>
      </w:r>
      <w:r w:rsidR="00E70827">
        <w:t xml:space="preserve">, </w:t>
      </w:r>
      <w:r w:rsidRPr="00E70827" w:rsidR="00F8633F">
        <w:t>at</w:t>
      </w:r>
      <w:r w:rsidR="00F8633F">
        <w:t xml:space="preserve"> </w:t>
      </w:r>
      <w:r w:rsidR="00A62935">
        <w:t>p. </w:t>
      </w:r>
      <w:r w:rsidR="00F8633F">
        <w:t xml:space="preserve">79.)  </w:t>
      </w:r>
      <w:r w:rsidR="00B83BA1">
        <w:t>Although</w:t>
      </w:r>
      <w:r w:rsidR="005922CE">
        <w:t xml:space="preserve"> the court in</w:t>
      </w:r>
      <w:r w:rsidR="00B83BA1">
        <w:t xml:space="preserve"> </w:t>
      </w:r>
      <w:r w:rsidR="00F8633F">
        <w:rPr>
          <w:i/>
          <w:iCs/>
        </w:rPr>
        <w:t>City of San Diego</w:t>
      </w:r>
      <w:r w:rsidR="00F8633F">
        <w:t xml:space="preserve"> </w:t>
      </w:r>
      <w:r w:rsidR="00B83BA1">
        <w:t xml:space="preserve">restated </w:t>
      </w:r>
      <w:r w:rsidR="00FF2A69">
        <w:rPr>
          <w:i/>
          <w:iCs/>
        </w:rPr>
        <w:t>Westly</w:t>
      </w:r>
      <w:r w:rsidRPr="00DD4C39" w:rsidR="00FF2A69">
        <w:t>’s</w:t>
      </w:r>
      <w:r w:rsidR="00FF2A69">
        <w:t xml:space="preserve"> holding </w:t>
      </w:r>
      <w:r w:rsidR="00B910BF">
        <w:t>“</w:t>
      </w:r>
      <w:r w:rsidRPr="00FD378E" w:rsidR="00B910BF">
        <w:t>the board</w:t>
      </w:r>
      <w:r w:rsidR="00B910BF">
        <w:t>’</w:t>
      </w:r>
      <w:r w:rsidRPr="00FD378E" w:rsidR="00B910BF">
        <w:t xml:space="preserve">s plenary authority to administer the pension system was </w:t>
      </w:r>
      <w:r w:rsidR="00B910BF">
        <w:t>‘</w:t>
      </w:r>
      <w:r w:rsidRPr="00FD378E" w:rsidR="00B910BF">
        <w:t>limited to actuarial services and to the protection and delivery of the assets, benefits, and services for which the Board has a fiduciary responsibility</w:t>
      </w:r>
      <w:r w:rsidR="00B910BF">
        <w:t>’</w:t>
      </w:r>
      <w:r w:rsidRPr="00FD378E" w:rsidR="00B910BF">
        <w:t>”</w:t>
      </w:r>
      <w:r w:rsidR="00B83BA1">
        <w:t xml:space="preserve"> </w:t>
      </w:r>
      <w:r w:rsidR="0081472A">
        <w:t>(</w:t>
      </w:r>
      <w:r w:rsidR="0081472A">
        <w:rPr>
          <w:i/>
          <w:iCs/>
        </w:rPr>
        <w:t>City of San Diego</w:t>
      </w:r>
      <w:r w:rsidR="0081472A">
        <w:t>,</w:t>
      </w:r>
      <w:r w:rsidR="0081472A">
        <w:rPr>
          <w:i/>
          <w:iCs/>
        </w:rPr>
        <w:t xml:space="preserve"> </w:t>
      </w:r>
      <w:r w:rsidR="007E7A75">
        <w:t xml:space="preserve">at p. 79), </w:t>
      </w:r>
      <w:r w:rsidR="00B910BF">
        <w:t xml:space="preserve">that </w:t>
      </w:r>
      <w:r w:rsidR="00494C09">
        <w:t>restatement</w:t>
      </w:r>
      <w:r w:rsidR="00EB4730">
        <w:t xml:space="preserve"> was not necessary to the </w:t>
      </w:r>
      <w:r w:rsidR="005922CE">
        <w:t xml:space="preserve">court’s </w:t>
      </w:r>
      <w:r w:rsidR="00EB4730">
        <w:t>holding</w:t>
      </w:r>
      <w:r w:rsidR="00494C09">
        <w:t>.</w:t>
      </w:r>
    </w:p>
    <w:p w:rsidR="0002345E" w:rsidRPr="00452227" w:rsidP="00396405" w14:paraId="692458E4" w14:textId="60622C2F">
      <w:pPr>
        <w:spacing w:line="288" w:lineRule="auto"/>
        <w:ind w:firstLine="720"/>
      </w:pPr>
    </w:p>
    <w:p w:rsidR="00960414" w:rsidRPr="00150F1F" w:rsidP="00960414" w14:paraId="23433615" w14:textId="7CB727D0">
      <w:pPr>
        <w:keepNext/>
        <w:spacing w:line="288" w:lineRule="auto"/>
        <w:ind w:left="2160" w:hanging="720"/>
        <w:rPr>
          <w:i/>
          <w:iCs/>
        </w:rPr>
      </w:pPr>
      <w:r>
        <w:t>3.</w:t>
      </w:r>
      <w:r>
        <w:tab/>
      </w:r>
      <w:r>
        <w:rPr>
          <w:i/>
          <w:iCs/>
        </w:rPr>
        <w:t xml:space="preserve">Proposition 162 </w:t>
      </w:r>
      <w:r w:rsidR="009A7E7B">
        <w:rPr>
          <w:i/>
          <w:iCs/>
        </w:rPr>
        <w:t xml:space="preserve">Does Not </w:t>
      </w:r>
      <w:r>
        <w:rPr>
          <w:i/>
          <w:iCs/>
        </w:rPr>
        <w:t xml:space="preserve">Conflict with </w:t>
      </w:r>
      <w:r w:rsidR="001C1079">
        <w:rPr>
          <w:i/>
          <w:iCs/>
        </w:rPr>
        <w:t>the County’s Home Rule Authority</w:t>
      </w:r>
    </w:p>
    <w:p w:rsidR="0091266A" w:rsidP="0091266A" w14:paraId="6BF63D91" w14:textId="4B92F3C5">
      <w:pPr>
        <w:spacing w:line="288" w:lineRule="auto"/>
        <w:ind w:firstLine="720"/>
      </w:pPr>
      <w:r>
        <w:t xml:space="preserve">The County and Board of Supervisors argue </w:t>
      </w:r>
      <w:r w:rsidR="00510E06">
        <w:t xml:space="preserve">that </w:t>
      </w:r>
      <w:r w:rsidR="0093576E">
        <w:t xml:space="preserve">the County </w:t>
      </w:r>
      <w:r w:rsidR="00A40FC4">
        <w:t xml:space="preserve">has exclusive </w:t>
      </w:r>
      <w:r w:rsidR="0093576E">
        <w:t>authority under article XI of the California Constitution to</w:t>
      </w:r>
      <w:r w:rsidR="00FA465D">
        <w:t xml:space="preserve"> establish</w:t>
      </w:r>
      <w:r w:rsidR="0093576E">
        <w:t xml:space="preserve"> </w:t>
      </w:r>
      <w:r w:rsidR="00BC46E5">
        <w:t xml:space="preserve">classifications and fix </w:t>
      </w:r>
      <w:r w:rsidR="000C463A">
        <w:t>compensat</w:t>
      </w:r>
      <w:r w:rsidR="00FA465D">
        <w:t>ion</w:t>
      </w:r>
      <w:r w:rsidR="000C463A">
        <w:t xml:space="preserve"> </w:t>
      </w:r>
      <w:r w:rsidR="00BC46E5">
        <w:t xml:space="preserve">for </w:t>
      </w:r>
      <w:r w:rsidR="000C463A">
        <w:t>county employees</w:t>
      </w:r>
      <w:r w:rsidR="004E4E55">
        <w:t xml:space="preserve"> and that interpreting Proposition 162 to give retirement boards </w:t>
      </w:r>
      <w:r w:rsidR="00E32725">
        <w:t xml:space="preserve">that </w:t>
      </w:r>
      <w:r w:rsidR="004E4E55">
        <w:t xml:space="preserve">authority for retirement system </w:t>
      </w:r>
      <w:r w:rsidR="007B0FEB">
        <w:t xml:space="preserve">employees </w:t>
      </w:r>
      <w:r w:rsidR="004E4E55">
        <w:t xml:space="preserve">conflicts with </w:t>
      </w:r>
      <w:r w:rsidR="007B0FEB">
        <w:t xml:space="preserve">the County’s </w:t>
      </w:r>
      <w:r w:rsidR="004E4E55">
        <w:t>authority</w:t>
      </w:r>
      <w:r w:rsidR="000C463A">
        <w:t xml:space="preserve">. </w:t>
      </w:r>
      <w:r w:rsidR="006E2C5F">
        <w:t xml:space="preserve"> </w:t>
      </w:r>
      <w:r>
        <w:t>As stated way back in Section A of the Factual and Procedural Background, article XI, section 4 of the California Constitution provides c</w:t>
      </w:r>
      <w:r w:rsidRPr="00171069">
        <w:t xml:space="preserve">ounty charters </w:t>
      </w:r>
      <w:r>
        <w:t>“</w:t>
      </w:r>
      <w:r w:rsidRPr="00171069">
        <w:t>shall provide for</w:t>
      </w:r>
      <w:r>
        <w:t xml:space="preserve"> . . . [t]</w:t>
      </w:r>
      <w:r w:rsidRPr="00D754D1">
        <w:t xml:space="preserve">he fixing and regulation </w:t>
      </w:r>
      <w:r w:rsidRPr="00B36E2D">
        <w:rPr>
          <w:color w:val="000000" w:themeColor="text1"/>
        </w:rPr>
        <w:t>by governing bodies, by ordinance, of the appointment and number of assistants, deputies, clerks, attachés, and other persons to be employed, and for the prescribing and regulating by such bodies of the powers, duties, qualifications, and compensation of such persons, the times at which, and terms for which they shall be appointed, and the manner of their appointment and removal.</w:t>
      </w:r>
      <w:r>
        <w:rPr>
          <w:color w:val="000000" w:themeColor="text1"/>
        </w:rPr>
        <w:t>”  (Cal. Const., art. XI, § 4, subd. (f).)  Similarly, article XI, section</w:t>
      </w:r>
      <w:r w:rsidR="003A7F05">
        <w:rPr>
          <w:color w:val="000000" w:themeColor="text1"/>
        </w:rPr>
        <w:t> </w:t>
      </w:r>
      <w:r>
        <w:rPr>
          <w:color w:val="000000" w:themeColor="text1"/>
        </w:rPr>
        <w:t>1, which applies to general law counties,</w:t>
      </w:r>
      <w:r>
        <w:rPr>
          <w:rStyle w:val="FootnoteReference"/>
          <w:color w:val="000000" w:themeColor="text1"/>
        </w:rPr>
        <w:footnoteReference w:id="13"/>
      </w:r>
      <w:r>
        <w:rPr>
          <w:color w:val="000000" w:themeColor="text1"/>
        </w:rPr>
        <w:t xml:space="preserve"> states that “</w:t>
      </w:r>
      <w:r w:rsidRPr="004F23C8">
        <w:t>an elected governing body in each county</w:t>
      </w:r>
      <w:r>
        <w:t xml:space="preserve"> . . . </w:t>
      </w:r>
      <w:r w:rsidRPr="007E565F">
        <w:t>shall provide for the number, compensation, tenure, and appointment of employees.”</w:t>
      </w:r>
      <w:r>
        <w:t xml:space="preserve">  (</w:t>
      </w:r>
      <w:r>
        <w:rPr>
          <w:i/>
          <w:iCs/>
        </w:rPr>
        <w:t>Id.</w:t>
      </w:r>
      <w:r>
        <w:t xml:space="preserve">, § 1, subd. (b).)  </w:t>
      </w:r>
      <w:r w:rsidR="00C56873">
        <w:t xml:space="preserve">As also </w:t>
      </w:r>
      <w:r w:rsidR="00323940">
        <w:t>stated</w:t>
      </w:r>
      <w:r w:rsidR="00C56873">
        <w:t xml:space="preserve">, section 31522.1 </w:t>
      </w:r>
      <w:r w:rsidR="00323940">
        <w:t xml:space="preserve">provides </w:t>
      </w:r>
      <w:r w:rsidR="00C56873">
        <w:t xml:space="preserve">that staff appointed by a retirement board under that </w:t>
      </w:r>
      <w:r w:rsidR="00323940">
        <w:t xml:space="preserve">statute </w:t>
      </w:r>
      <w:r w:rsidR="00C56873">
        <w:t>are “county employees.”  Thus, t</w:t>
      </w:r>
      <w:r>
        <w:t>he County and Board of Supervisors contend</w:t>
      </w:r>
      <w:r w:rsidR="004F241F">
        <w:t>,</w:t>
      </w:r>
      <w:r>
        <w:t xml:space="preserve"> LACERA’s (and now our) interpretation of Proposition</w:t>
      </w:r>
      <w:r w:rsidR="004F241F">
        <w:t> </w:t>
      </w:r>
      <w:r>
        <w:t xml:space="preserve">162 “would amount to an implied repeal” </w:t>
      </w:r>
      <w:r w:rsidR="00C56873">
        <w:t>of the</w:t>
      </w:r>
      <w:r w:rsidR="003A7F05">
        <w:t>se</w:t>
      </w:r>
      <w:r w:rsidR="00C56873">
        <w:t xml:space="preserve"> sections of article XI </w:t>
      </w:r>
      <w:r>
        <w:t xml:space="preserve">and that such </w:t>
      </w:r>
      <w:r w:rsidR="003A7F05">
        <w:t xml:space="preserve">implied </w:t>
      </w:r>
      <w:r>
        <w:t>repeals are disfavored.</w:t>
      </w:r>
      <w:r w:rsidR="00E40619">
        <w:t xml:space="preserve"> </w:t>
      </w:r>
      <w:r>
        <w:t xml:space="preserve"> (See </w:t>
      </w:r>
      <w:r w:rsidRPr="00D236BC">
        <w:rPr>
          <w:i/>
          <w:iCs/>
        </w:rPr>
        <w:t>Tuolumne Jobs &amp; Small Business Alliance v. Superior Court</w:t>
      </w:r>
      <w:r w:rsidRPr="00D236BC">
        <w:t xml:space="preserve"> (2014) 59</w:t>
      </w:r>
      <w:r>
        <w:t> </w:t>
      </w:r>
      <w:r w:rsidRPr="00D236BC">
        <w:t>Cal.4th 1029, 1039</w:t>
      </w:r>
      <w:r>
        <w:t xml:space="preserve">.) </w:t>
      </w:r>
    </w:p>
    <w:p w:rsidR="002F551A" w:rsidRPr="002F551A" w:rsidP="0091266A" w14:paraId="6F3BE24A" w14:textId="6955A0CE">
      <w:pPr>
        <w:spacing w:line="288" w:lineRule="auto"/>
        <w:ind w:firstLine="720"/>
      </w:pPr>
      <w:r>
        <w:t xml:space="preserve">But </w:t>
      </w:r>
      <w:r w:rsidR="00424D59">
        <w:t xml:space="preserve">the voters who enacted </w:t>
      </w:r>
      <w:r>
        <w:t xml:space="preserve">Proposition 162 anticipated potential conflicts with other constitutional provisions, and the voters intended Proposition 162 to prevail.  Proposition 162 begins with the words, “[n]otwithstanding </w:t>
      </w:r>
      <w:r w:rsidRPr="00DD77B4">
        <w:t xml:space="preserve">any other provisions of law </w:t>
      </w:r>
      <w:r w:rsidRPr="003A7F05">
        <w:t>or this Constitution to the contrary</w:t>
      </w:r>
      <w:r>
        <w:rPr>
          <w:i/>
          <w:iCs/>
        </w:rPr>
        <w:t>.</w:t>
      </w:r>
      <w:r>
        <w:t xml:space="preserve">”  (Cal. Const., art. XVI, § 17.)  </w:t>
      </w:r>
      <w:r w:rsidRPr="00BF6A0C">
        <w:t xml:space="preserve">By </w:t>
      </w:r>
      <w:r>
        <w:t xml:space="preserve">using this phrase, </w:t>
      </w:r>
      <w:r w:rsidRPr="00BF6A0C">
        <w:t xml:space="preserve">the </w:t>
      </w:r>
      <w:r>
        <w:t xml:space="preserve">voters </w:t>
      </w:r>
      <w:r w:rsidRPr="00BF6A0C">
        <w:t>expresse</w:t>
      </w:r>
      <w:r>
        <w:t>d</w:t>
      </w:r>
      <w:r w:rsidRPr="00BF6A0C">
        <w:t xml:space="preserve"> </w:t>
      </w:r>
      <w:r>
        <w:t xml:space="preserve">their </w:t>
      </w:r>
      <w:r w:rsidRPr="00BF6A0C">
        <w:t xml:space="preserve">intent </w:t>
      </w:r>
      <w:r>
        <w:t>to have Proposition 162 “‘“</w:t>
      </w:r>
      <w:r w:rsidRPr="00BF6A0C">
        <w:t>control despite the existence of other law which might otherwise govern.</w:t>
      </w:r>
      <w:r>
        <w:t>”’”  (</w:t>
      </w:r>
      <w:r w:rsidRPr="00BF6A0C">
        <w:rPr>
          <w:i/>
          <w:iCs/>
        </w:rPr>
        <w:t>Klajic v. Castaic Lake Water Agency</w:t>
      </w:r>
      <w:r w:rsidRPr="00BF6A0C">
        <w:t xml:space="preserve"> (2004) 121</w:t>
      </w:r>
      <w:r>
        <w:t> </w:t>
      </w:r>
      <w:r w:rsidRPr="00BF6A0C">
        <w:t>Cal.App.4th 5, 13</w:t>
      </w:r>
      <w:r>
        <w:t xml:space="preserve">; see </w:t>
      </w:r>
      <w:r w:rsidRPr="00C831ED">
        <w:rPr>
          <w:i/>
          <w:iCs/>
        </w:rPr>
        <w:t>Arias v. Superior Court</w:t>
      </w:r>
      <w:r w:rsidRPr="00C831ED">
        <w:t xml:space="preserve"> (2009) 46</w:t>
      </w:r>
      <w:r>
        <w:t> </w:t>
      </w:r>
      <w:r w:rsidRPr="00C831ED">
        <w:t xml:space="preserve">Cal.4th 969, 983 </w:t>
      </w:r>
      <w:r>
        <w:t>[“‘</w:t>
      </w:r>
      <w:r w:rsidRPr="00C831ED">
        <w:t xml:space="preserve">The statutory phrase </w:t>
      </w:r>
      <w:r>
        <w:t>“</w:t>
      </w:r>
      <w:r w:rsidRPr="00C831ED">
        <w:t>notwithstanding any other provision of law</w:t>
      </w:r>
      <w:r>
        <w:t>”</w:t>
      </w:r>
      <w:r w:rsidRPr="00C831ED">
        <w:t xml:space="preserve"> has been called a “</w:t>
      </w:r>
      <w:r>
        <w:t>‘</w:t>
      </w:r>
      <w:r w:rsidRPr="00C831ED">
        <w:t>term of art</w:t>
      </w:r>
      <w:r>
        <w:t>’</w:t>
      </w:r>
      <w:r w:rsidRPr="00C831ED">
        <w:t xml:space="preserve">” [citation] that declares the legislative intent to override all </w:t>
      </w:r>
      <w:r w:rsidRPr="00C831ED">
        <w:rPr>
          <w:i/>
          <w:iCs/>
        </w:rPr>
        <w:t>contrary</w:t>
      </w:r>
      <w:r w:rsidRPr="00C831ED">
        <w:t xml:space="preserve"> law.</w:t>
      </w:r>
      <w:r>
        <w:t>’</w:t>
      </w:r>
      <w:r w:rsidRPr="00C831ED">
        <w:t>”</w:t>
      </w:r>
      <w:r>
        <w:t xml:space="preserve">]; </w:t>
      </w:r>
      <w:r w:rsidRPr="009E34D2">
        <w:rPr>
          <w:i/>
          <w:iCs/>
        </w:rPr>
        <w:t>Golden Door Properties, LLC v. Superior Court</w:t>
      </w:r>
      <w:r w:rsidRPr="009E34D2">
        <w:t xml:space="preserve"> (2020) 53</w:t>
      </w:r>
      <w:r>
        <w:t> </w:t>
      </w:r>
      <w:r w:rsidRPr="009E34D2">
        <w:t>Cal.App.5th 733, 762</w:t>
      </w:r>
      <w:r>
        <w:t xml:space="preserve"> [same]; Scalia and Garner, </w:t>
      </w:r>
      <w:r w:rsidRPr="00042D96">
        <w:t>Reading Law: The Interpretation of Legal Texts</w:t>
      </w:r>
      <w:r>
        <w:t xml:space="preserve">, </w:t>
      </w:r>
      <w:r>
        <w:rPr>
          <w:i/>
          <w:iCs/>
        </w:rPr>
        <w:t>supra</w:t>
      </w:r>
      <w:r>
        <w:t xml:space="preserve">, p. 127 [the provision to which a “notwithstanding phrase[ ]” accords priority prevails], italics omitted.)  Thus, to the extent article XI, sections 1 and 4, might have encompassed employees appointed by a retirement board before the voters approved Proposition 162, the authority and independence the voters gave retirement boards in that initiative to establish employment classifications and salaries for their employees prevails.  </w:t>
      </w:r>
    </w:p>
    <w:p w:rsidR="009A780F" w:rsidP="00D5150E" w14:paraId="77C86D68" w14:textId="77777777">
      <w:pPr>
        <w:spacing w:line="288" w:lineRule="auto"/>
        <w:ind w:firstLine="720"/>
      </w:pPr>
      <w:r>
        <w:t>Ordinary principles of</w:t>
      </w:r>
      <w:r w:rsidR="005032CC">
        <w:t xml:space="preserve"> constitutional</w:t>
      </w:r>
      <w:r>
        <w:t xml:space="preserve"> interpretation support this conclusion.  </w:t>
      </w:r>
      <w:r w:rsidRPr="00C544E2" w:rsidR="002E51AD">
        <w:t>“</w:t>
      </w:r>
      <w:r w:rsidR="008C5F22">
        <w:t>‘</w:t>
      </w:r>
      <w:r w:rsidR="002F551A">
        <w:t>[W]</w:t>
      </w:r>
      <w:r w:rsidRPr="00C544E2" w:rsidR="002E51AD">
        <w:t>hen constitutional provisions can reasonably be construed so as to avoid conflict, such a construction should be adopte</w:t>
      </w:r>
      <w:r w:rsidR="00A62935">
        <w:t>d.</w:t>
      </w:r>
      <w:r w:rsidR="008F4F1C">
        <w:t xml:space="preserve">  </w:t>
      </w:r>
      <w:r w:rsidR="00052AFF">
        <w:t>[Citations.]</w:t>
      </w:r>
      <w:r w:rsidR="008F4F1C">
        <w:t xml:space="preserve">  </w:t>
      </w:r>
      <w:r w:rsidRPr="00C544E2" w:rsidR="002E51AD">
        <w:t>As a means of avoiding conflict, a recent, specific provision is deemed to carve out an exception to and thereby limit an older, general provision.</w:t>
      </w:r>
      <w:r w:rsidR="008C5F22">
        <w:t>’”</w:t>
      </w:r>
      <w:r w:rsidRPr="00C544E2" w:rsidR="002E51AD">
        <w:t xml:space="preserve"> </w:t>
      </w:r>
      <w:r w:rsidR="008C5F22">
        <w:t xml:space="preserve"> (</w:t>
      </w:r>
      <w:r w:rsidRPr="00C544E2" w:rsidR="00052116">
        <w:rPr>
          <w:i/>
          <w:iCs/>
        </w:rPr>
        <w:t>Greene v. Marin County Flood Control &amp; Water Conservation Dist.</w:t>
      </w:r>
      <w:r w:rsidR="00052116">
        <w:t xml:space="preserve">, </w:t>
      </w:r>
      <w:r w:rsidR="00052116">
        <w:rPr>
          <w:i/>
          <w:iCs/>
        </w:rPr>
        <w:t>supra</w:t>
      </w:r>
      <w:r w:rsidR="00052116">
        <w:t>,</w:t>
      </w:r>
      <w:r w:rsidRPr="00C544E2" w:rsidR="00052116">
        <w:t xml:space="preserve"> 49</w:t>
      </w:r>
      <w:r w:rsidR="00052116">
        <w:t> </w:t>
      </w:r>
      <w:r w:rsidRPr="00C544E2" w:rsidR="00052116">
        <w:t xml:space="preserve">Cal.4th </w:t>
      </w:r>
      <w:r w:rsidR="00052116">
        <w:t xml:space="preserve">at </w:t>
      </w:r>
      <w:r w:rsidR="00A62935">
        <w:t>p. </w:t>
      </w:r>
      <w:r w:rsidRPr="00C544E2" w:rsidR="00052116">
        <w:t>290</w:t>
      </w:r>
      <w:r w:rsidR="00ED51DB">
        <w:t xml:space="preserve">; see </w:t>
      </w:r>
      <w:r w:rsidRPr="00C83897" w:rsidR="00ED51DB">
        <w:rPr>
          <w:i/>
          <w:iCs/>
        </w:rPr>
        <w:t>Miller v. Superior Court</w:t>
      </w:r>
      <w:r w:rsidRPr="00C83897" w:rsidR="00ED51DB">
        <w:t xml:space="preserve"> (1999) 21</w:t>
      </w:r>
      <w:r w:rsidR="00815CEE">
        <w:t> </w:t>
      </w:r>
      <w:r w:rsidRPr="00C83897" w:rsidR="00ED51DB">
        <w:t>Cal.4th 883, 892</w:t>
      </w:r>
      <w:r w:rsidR="00ED51DB">
        <w:t xml:space="preserve"> [</w:t>
      </w:r>
      <w:r w:rsidR="00343B7B">
        <w:t>constitutional provisions “</w:t>
      </w:r>
      <w:r w:rsidRPr="00C83897" w:rsidR="00343B7B">
        <w:t>must be harmonized if possible</w:t>
      </w:r>
      <w:r w:rsidR="00343B7B">
        <w:t>”]</w:t>
      </w:r>
      <w:r w:rsidR="00A66B23">
        <w:t xml:space="preserve">; </w:t>
      </w:r>
      <w:r w:rsidRPr="00C83897" w:rsidR="00A66B23">
        <w:rPr>
          <w:i/>
          <w:iCs/>
        </w:rPr>
        <w:t>San Francisco Taxpayers Assn. v. Board of Supervisors</w:t>
      </w:r>
      <w:r w:rsidRPr="00DA3557" w:rsidR="00A66B23">
        <w:t xml:space="preserve"> (1992) 2</w:t>
      </w:r>
      <w:r w:rsidR="00A66B23">
        <w:t> </w:t>
      </w:r>
      <w:r w:rsidRPr="00DA3557" w:rsidR="00A66B23">
        <w:t>Cal.4th 571, 577</w:t>
      </w:r>
      <w:r w:rsidR="00A66B23">
        <w:t xml:space="preserve"> [</w:t>
      </w:r>
      <w:r w:rsidRPr="00C83897" w:rsidR="00EB3BD8">
        <w:t>“‘a general provision is controlled by one that is special, the latter being treated as an exception to the former</w:t>
      </w:r>
      <w:r w:rsidR="00A66B23">
        <w:t>’”].)</w:t>
      </w:r>
    </w:p>
    <w:p w:rsidR="00255AE8" w:rsidP="00D5150E" w14:paraId="529864BA" w14:textId="2B4CCBA4">
      <w:pPr>
        <w:spacing w:line="288" w:lineRule="auto"/>
        <w:ind w:firstLine="720"/>
      </w:pPr>
      <w:r>
        <w:t xml:space="preserve">The simplest </w:t>
      </w:r>
      <w:r w:rsidR="00BD15E9">
        <w:t xml:space="preserve">way to harmonize Proposition 162 </w:t>
      </w:r>
      <w:r w:rsidR="00DC6CEC">
        <w:t>(i.e., article</w:t>
      </w:r>
      <w:r w:rsidR="00444708">
        <w:t> </w:t>
      </w:r>
      <w:r w:rsidR="00DC6CEC">
        <w:t xml:space="preserve">XVI, section 17) </w:t>
      </w:r>
      <w:r w:rsidR="002A468D">
        <w:t>and</w:t>
      </w:r>
      <w:r w:rsidR="00BD15E9">
        <w:t xml:space="preserve"> article</w:t>
      </w:r>
      <w:r w:rsidR="00510E06">
        <w:t> </w:t>
      </w:r>
      <w:r w:rsidR="00BD15E9">
        <w:t xml:space="preserve">XI, </w:t>
      </w:r>
      <w:r w:rsidR="0008229A">
        <w:t>sections 1 and 4</w:t>
      </w:r>
      <w:r>
        <w:t xml:space="preserve">, </w:t>
      </w:r>
      <w:r w:rsidR="006529AB">
        <w:t>is to construe</w:t>
      </w:r>
      <w:r w:rsidR="00AE52FA">
        <w:t xml:space="preserve"> Proposition 162 to “carve out an exception</w:t>
      </w:r>
      <w:r w:rsidR="00A66B23">
        <w:t>”</w:t>
      </w:r>
      <w:r w:rsidR="00AE52FA">
        <w:t xml:space="preserve"> </w:t>
      </w:r>
      <w:r w:rsidR="00A66B23">
        <w:t xml:space="preserve">to </w:t>
      </w:r>
      <w:r w:rsidR="000115F3">
        <w:t>article</w:t>
      </w:r>
      <w:r w:rsidR="00510E06">
        <w:t> </w:t>
      </w:r>
      <w:r w:rsidR="000115F3">
        <w:t>XI, section</w:t>
      </w:r>
      <w:r w:rsidR="00AE52FA">
        <w:t>s</w:t>
      </w:r>
      <w:r w:rsidR="000115F3">
        <w:t xml:space="preserve"> 1</w:t>
      </w:r>
      <w:r w:rsidR="00AE52FA">
        <w:t xml:space="preserve"> and 4</w:t>
      </w:r>
      <w:r w:rsidR="00CB2982">
        <w:t>,</w:t>
      </w:r>
      <w:r w:rsidR="00E40587">
        <w:t xml:space="preserve"> </w:t>
      </w:r>
      <w:r w:rsidRPr="008431E1" w:rsidR="00505A6B">
        <w:t>for</w:t>
      </w:r>
      <w:r w:rsidRPr="008431E1" w:rsidR="00E40587">
        <w:t xml:space="preserve"> the administration of retirement systems</w:t>
      </w:r>
      <w:r w:rsidR="00A62935">
        <w:t>. </w:t>
      </w:r>
      <w:r w:rsidR="000115F3">
        <w:t xml:space="preserve"> </w:t>
      </w:r>
      <w:r w:rsidR="005032CC">
        <w:t>(</w:t>
      </w:r>
      <w:r w:rsidRPr="00C544E2" w:rsidR="00472D17">
        <w:rPr>
          <w:i/>
          <w:iCs/>
        </w:rPr>
        <w:t>Greene v. Marin County Flood Control &amp; Water Conservation Dist.</w:t>
      </w:r>
      <w:r w:rsidR="00472D17">
        <w:t xml:space="preserve">, </w:t>
      </w:r>
      <w:r w:rsidR="00472D17">
        <w:rPr>
          <w:i/>
          <w:iCs/>
        </w:rPr>
        <w:t>supra</w:t>
      </w:r>
      <w:r w:rsidR="00472D17">
        <w:t>,</w:t>
      </w:r>
      <w:r w:rsidRPr="00C544E2" w:rsidR="00472D17">
        <w:t xml:space="preserve"> 49</w:t>
      </w:r>
      <w:r w:rsidR="00472D17">
        <w:t> </w:t>
      </w:r>
      <w:r w:rsidRPr="00C544E2" w:rsidR="00472D17">
        <w:t>Cal.4th</w:t>
      </w:r>
      <w:r w:rsidR="00472D17">
        <w:t xml:space="preserve"> at p. </w:t>
      </w:r>
      <w:r w:rsidR="005032CC">
        <w:t xml:space="preserve">290.)  </w:t>
      </w:r>
      <w:r w:rsidR="00152B3F">
        <w:t>Proposition 162</w:t>
      </w:r>
      <w:r w:rsidR="00AE52FA">
        <w:t xml:space="preserve"> </w:t>
      </w:r>
      <w:r w:rsidR="00152B3F">
        <w:t>specifically addresses the administration of retirement systems</w:t>
      </w:r>
      <w:r w:rsidR="00AE52FA">
        <w:t xml:space="preserve"> and postdates </w:t>
      </w:r>
      <w:r>
        <w:t>Article XI, sections 1 and 4, by decades</w:t>
      </w:r>
      <w:r w:rsidR="006F62F7">
        <w:t xml:space="preserve">.  The last sentence of article XI, section 1, </w:t>
      </w:r>
      <w:r w:rsidR="00DC6CEC">
        <w:t>which states</w:t>
      </w:r>
      <w:r w:rsidR="006F62F7">
        <w:t xml:space="preserve"> a county governing body “</w:t>
      </w:r>
      <w:r w:rsidRPr="007E565F" w:rsidR="006F62F7">
        <w:t>shall provide for the number, compensation, tenure, and appointment of employees</w:t>
      </w:r>
      <w:r w:rsidR="00DC6CEC">
        <w:t>,</w:t>
      </w:r>
      <w:r w:rsidRPr="007E565F" w:rsidR="006F62F7">
        <w:t>”</w:t>
      </w:r>
      <w:r w:rsidR="006F62F7">
        <w:t xml:space="preserve"> originated in 19</w:t>
      </w:r>
      <w:r w:rsidR="00D2425B">
        <w:t>33</w:t>
      </w:r>
      <w:r w:rsidR="00A66B23">
        <w:t>, before the</w:t>
      </w:r>
      <w:r w:rsidR="00700168">
        <w:t xml:space="preserve"> Legislature enacted</w:t>
      </w:r>
      <w:r w:rsidR="00A66B23">
        <w:t xml:space="preserve"> CERL</w:t>
      </w:r>
      <w:r w:rsidR="006F62F7">
        <w:t>.  (</w:t>
      </w:r>
      <w:r w:rsidRPr="00BF7D12" w:rsidR="00BF7D12">
        <w:t xml:space="preserve">Cal. Const., former art. XI, </w:t>
      </w:r>
      <w:r w:rsidR="00A62935">
        <w:t>§ </w:t>
      </w:r>
      <w:r w:rsidRPr="00BF7D12" w:rsidR="00BF7D12">
        <w:t xml:space="preserve">5, </w:t>
      </w:r>
      <w:r w:rsidR="001B01D6">
        <w:t xml:space="preserve">added by initiative, Spec. Elec. (June 27, 1933), </w:t>
      </w:r>
      <w:r w:rsidRPr="00BF7D12" w:rsidR="00BF7D12">
        <w:t>commonly known as Pro</w:t>
      </w:r>
      <w:r w:rsidR="00A62935">
        <w:t>p. </w:t>
      </w:r>
      <w:r w:rsidRPr="00BF7D12" w:rsidR="00BF7D12">
        <w:t>8.</w:t>
      </w:r>
      <w:r w:rsidR="006F62F7">
        <w:t xml:space="preserve">)  </w:t>
      </w:r>
      <w:r w:rsidR="00A66B23">
        <w:t xml:space="preserve">Similarly, </w:t>
      </w:r>
      <w:r w:rsidR="006F62F7">
        <w:t>t</w:t>
      </w:r>
      <w:r>
        <w:t>he substance of article XI, section 4, dates from a 1911 amendment that “</w:t>
      </w:r>
      <w:r w:rsidRPr="006942C5">
        <w:t>authorized for the first time the framing of freeholders</w:t>
      </w:r>
      <w:r>
        <w:t>’</w:t>
      </w:r>
      <w:r w:rsidRPr="006942C5">
        <w:t xml:space="preserve"> charters for counties</w:t>
      </w:r>
      <w:r>
        <w:t>.”  (</w:t>
      </w:r>
      <w:r w:rsidRPr="006942C5">
        <w:rPr>
          <w:i/>
          <w:iCs/>
        </w:rPr>
        <w:t>Anderson v. Lewis</w:t>
      </w:r>
      <w:r w:rsidRPr="006942C5">
        <w:t xml:space="preserve"> (1915) 29</w:t>
      </w:r>
      <w:r>
        <w:t> </w:t>
      </w:r>
      <w:r w:rsidRPr="006942C5">
        <w:t>Cal.Ap</w:t>
      </w:r>
      <w:r w:rsidR="00A62935">
        <w:t>p. </w:t>
      </w:r>
      <w:r w:rsidRPr="006942C5">
        <w:t>24, 27</w:t>
      </w:r>
      <w:r>
        <w:t xml:space="preserve">; </w:t>
      </w:r>
      <w:r w:rsidR="00510E06">
        <w:t>see</w:t>
      </w:r>
      <w:r w:rsidR="008E3023">
        <w:t xml:space="preserve"> </w:t>
      </w:r>
      <w:r w:rsidR="00F458A2">
        <w:t>Cal. Const., former art. XI, § 7 1/2, subd. (5), now art. XI, § 4, subd. (f)</w:t>
      </w:r>
      <w:r w:rsidR="00D457E2">
        <w:t xml:space="preserve">; </w:t>
      </w:r>
      <w:r w:rsidRPr="008F4313" w:rsidR="008E3023">
        <w:rPr>
          <w:i/>
          <w:iCs/>
        </w:rPr>
        <w:t>Dibb v. County of San Diego</w:t>
      </w:r>
      <w:r w:rsidR="008E3023">
        <w:t xml:space="preserve">, </w:t>
      </w:r>
      <w:r w:rsidR="008E3023">
        <w:rPr>
          <w:i/>
          <w:iCs/>
        </w:rPr>
        <w:t>supra</w:t>
      </w:r>
      <w:r w:rsidR="008E3023">
        <w:t>,</w:t>
      </w:r>
      <w:r w:rsidR="008E3023">
        <w:rPr>
          <w:i/>
          <w:iCs/>
        </w:rPr>
        <w:t xml:space="preserve"> </w:t>
      </w:r>
      <w:r w:rsidRPr="008F4313" w:rsidR="008E3023">
        <w:t>8</w:t>
      </w:r>
      <w:r w:rsidR="008E3023">
        <w:t> </w:t>
      </w:r>
      <w:r w:rsidRPr="008F4313" w:rsidR="008E3023">
        <w:t xml:space="preserve">Cal.4th </w:t>
      </w:r>
      <w:r w:rsidR="008E3023">
        <w:t>at p. 1207, fn. 3</w:t>
      </w:r>
      <w:r>
        <w:t xml:space="preserve">.)  </w:t>
      </w:r>
      <w:r w:rsidR="006F62F7">
        <w:t xml:space="preserve">Thus, </w:t>
      </w:r>
      <w:r w:rsidR="00510E06">
        <w:t>the</w:t>
      </w:r>
      <w:r>
        <w:t xml:space="preserve"> much later and more specific </w:t>
      </w:r>
      <w:r w:rsidR="00C91807">
        <w:t xml:space="preserve">constitutional </w:t>
      </w:r>
      <w:r>
        <w:t xml:space="preserve">provisions </w:t>
      </w:r>
      <w:r w:rsidR="00510E06">
        <w:t xml:space="preserve">of Proposition 162 </w:t>
      </w:r>
      <w:r>
        <w:t>regarding the plenary authority and fiduciary responsibility of retirement boards over the administration of a retirement system limit the application of article XI, section</w:t>
      </w:r>
      <w:r w:rsidR="006F62F7">
        <w:t>s 1 and</w:t>
      </w:r>
      <w:r>
        <w:t xml:space="preserve"> 4</w:t>
      </w:r>
      <w:r w:rsidR="006F62F7">
        <w:t>,</w:t>
      </w:r>
      <w:r>
        <w:t xml:space="preserve"> to </w:t>
      </w:r>
      <w:r w:rsidR="006F62F7">
        <w:t>employees</w:t>
      </w:r>
      <w:r>
        <w:t xml:space="preserve"> appointed by a county </w:t>
      </w:r>
      <w:r w:rsidR="006F62F7">
        <w:t xml:space="preserve">board of supervisors </w:t>
      </w:r>
      <w:r>
        <w:t>and not by a retirement boar</w:t>
      </w:r>
      <w:r w:rsidR="00A62935">
        <w:t>d. </w:t>
      </w:r>
      <w:r>
        <w:t xml:space="preserve"> (See </w:t>
      </w:r>
      <w:r w:rsidRPr="00D54FDF">
        <w:rPr>
          <w:i/>
          <w:iCs/>
        </w:rPr>
        <w:t>San</w:t>
      </w:r>
      <w:r w:rsidR="004D78DD">
        <w:rPr>
          <w:i/>
          <w:iCs/>
        </w:rPr>
        <w:t> </w:t>
      </w:r>
      <w:r w:rsidRPr="00D54FDF">
        <w:rPr>
          <w:i/>
          <w:iCs/>
        </w:rPr>
        <w:t>Francisco Taxpayers Assn. v. Board of Supervisors</w:t>
      </w:r>
      <w:r>
        <w:t xml:space="preserve">, </w:t>
      </w:r>
      <w:r>
        <w:rPr>
          <w:i/>
          <w:iCs/>
        </w:rPr>
        <w:t>supra</w:t>
      </w:r>
      <w:r>
        <w:t>,</w:t>
      </w:r>
      <w:r w:rsidRPr="00D54FDF">
        <w:t xml:space="preserve"> 2</w:t>
      </w:r>
      <w:r>
        <w:t> </w:t>
      </w:r>
      <w:r w:rsidRPr="00D54FDF">
        <w:t xml:space="preserve">Cal.4th </w:t>
      </w:r>
      <w:r>
        <w:t>at p</w:t>
      </w:r>
      <w:r w:rsidR="00A62935">
        <w:t>p. </w:t>
      </w:r>
      <w:r w:rsidRPr="00D54FDF">
        <w:t>576</w:t>
      </w:r>
      <w:r>
        <w:t>-</w:t>
      </w:r>
      <w:r w:rsidRPr="00D54FDF">
        <w:t>577</w:t>
      </w:r>
      <w:r>
        <w:t xml:space="preserve"> [more specific constitutional provision regarding limits on contributions to “‘retirement’ funds” took precedence over </w:t>
      </w:r>
      <w:r w:rsidR="00E71858">
        <w:t xml:space="preserve">a </w:t>
      </w:r>
      <w:r>
        <w:t>more general provision regarding limits on “‘debt service</w:t>
      </w:r>
      <w:r w:rsidR="00510E06">
        <w:t>,</w:t>
      </w:r>
      <w:r>
        <w:t>’” even though “‘</w:t>
      </w:r>
      <w:r w:rsidRPr="00D54FDF">
        <w:t>the latter, standing alone, would be broad enough to include the subject to</w:t>
      </w:r>
      <w:r>
        <w:t xml:space="preserve"> </w:t>
      </w:r>
      <w:r w:rsidRPr="00D54FDF">
        <w:t>which the more particular provision relates</w:t>
      </w:r>
      <w:r>
        <w:t xml:space="preserve">’”]; </w:t>
      </w:r>
      <w:r w:rsidRPr="00212FA6">
        <w:rPr>
          <w:i/>
          <w:iCs/>
        </w:rPr>
        <w:t>Izazaga v. Superior Court</w:t>
      </w:r>
      <w:r w:rsidRPr="00212FA6">
        <w:t xml:space="preserve"> (1991) 54</w:t>
      </w:r>
      <w:r>
        <w:t> </w:t>
      </w:r>
      <w:r w:rsidRPr="00212FA6">
        <w:t>Cal.3d 356, 372</w:t>
      </w:r>
      <w:r>
        <w:t xml:space="preserve"> [voter</w:t>
      </w:r>
      <w:r w:rsidR="00510E06">
        <w:t>-</w:t>
      </w:r>
      <w:r>
        <w:t xml:space="preserve">initiated amendment abrogated </w:t>
      </w:r>
      <w:r w:rsidR="006F62F7">
        <w:t>prior</w:t>
      </w:r>
      <w:r>
        <w:t xml:space="preserve"> interpretation</w:t>
      </w:r>
      <w:r w:rsidR="006F62F7">
        <w:t>s</w:t>
      </w:r>
      <w:r>
        <w:t xml:space="preserve"> of the constitutional right against self-incrimination].)  “</w:t>
      </w:r>
      <w:r w:rsidRPr="00212FA6">
        <w:t>Such an interpretation gives effect to the intent of the voters in passing</w:t>
      </w:r>
      <w:r w:rsidR="004D78DD">
        <w:t xml:space="preserve">” the initiative.  </w:t>
      </w:r>
      <w:r>
        <w:t>(</w:t>
      </w:r>
      <w:bookmarkStart w:id="4" w:name="_Hlk161051613"/>
      <w:r w:rsidRPr="00212FA6">
        <w:rPr>
          <w:i/>
          <w:iCs/>
        </w:rPr>
        <w:t>Izazaga</w:t>
      </w:r>
      <w:r w:rsidRPr="00212FA6">
        <w:t xml:space="preserve">, </w:t>
      </w:r>
      <w:r>
        <w:t xml:space="preserve">at </w:t>
      </w:r>
      <w:r w:rsidR="00A62935">
        <w:t>p. </w:t>
      </w:r>
      <w:r w:rsidRPr="00212FA6">
        <w:t>372</w:t>
      </w:r>
      <w:bookmarkEnd w:id="4"/>
      <w:r>
        <w:t xml:space="preserve">.)  </w:t>
      </w:r>
    </w:p>
    <w:p w:rsidR="00B24E89" w:rsidP="00C56873" w14:paraId="14D3E8EA" w14:textId="5AA5ECE8">
      <w:pPr>
        <w:spacing w:line="288" w:lineRule="auto"/>
        <w:ind w:firstLine="720"/>
      </w:pPr>
      <w:r>
        <w:t>Proposition 162’s</w:t>
      </w:r>
      <w:r w:rsidR="00A66B23">
        <w:t xml:space="preserve"> exception </w:t>
      </w:r>
      <w:r w:rsidR="00730C98">
        <w:t>or carve</w:t>
      </w:r>
      <w:r w:rsidR="00410C18">
        <w:t>-</w:t>
      </w:r>
      <w:r w:rsidR="00730C98">
        <w:t xml:space="preserve">out </w:t>
      </w:r>
      <w:r w:rsidR="00A66B23">
        <w:t xml:space="preserve">to article XI, sections 1 and 4, </w:t>
      </w:r>
      <w:r w:rsidR="00845EA8">
        <w:t xml:space="preserve">is consistent </w:t>
      </w:r>
      <w:r w:rsidR="00A66B23">
        <w:t xml:space="preserve">with the scope of a </w:t>
      </w:r>
      <w:r w:rsidR="00C56873">
        <w:t xml:space="preserve">charter </w:t>
      </w:r>
      <w:r w:rsidR="00A66B23">
        <w:t>county’s home rule authority</w:t>
      </w:r>
      <w:r w:rsidR="00545A3F">
        <w:t xml:space="preserve">.  </w:t>
      </w:r>
      <w:r w:rsidR="00751052">
        <w:t xml:space="preserve">Article XI, section 4, gives </w:t>
      </w:r>
      <w:r w:rsidRPr="00171069" w:rsidR="00751052">
        <w:t xml:space="preserve">the people </w:t>
      </w:r>
      <w:r w:rsidR="00C56873">
        <w:t xml:space="preserve">in such counties </w:t>
      </w:r>
      <w:r w:rsidR="00751052">
        <w:t>authority “</w:t>
      </w:r>
      <w:r w:rsidRPr="00171069" w:rsidR="00751052">
        <w:t xml:space="preserve">to create and operate their own local government and define the powers of that government, </w:t>
      </w:r>
      <w:r w:rsidRPr="00D43D87" w:rsidR="00751052">
        <w:rPr>
          <w:i/>
          <w:iCs/>
        </w:rPr>
        <w:t>within the limits set out by the Constitution</w:t>
      </w:r>
      <w:r w:rsidRPr="00171069" w:rsidR="00751052">
        <w:t>.</w:t>
      </w:r>
      <w:r w:rsidR="00751052">
        <w:t>”  (</w:t>
      </w:r>
      <w:r w:rsidRPr="00171069" w:rsidR="00751052">
        <w:rPr>
          <w:i/>
          <w:iCs/>
        </w:rPr>
        <w:t>Dibb v. County of San Diego</w:t>
      </w:r>
      <w:r w:rsidR="00751052">
        <w:t xml:space="preserve">, </w:t>
      </w:r>
      <w:r w:rsidR="00751052">
        <w:rPr>
          <w:i/>
          <w:iCs/>
        </w:rPr>
        <w:t>supra</w:t>
      </w:r>
      <w:r w:rsidR="00751052">
        <w:t>,</w:t>
      </w:r>
      <w:r w:rsidRPr="00171069" w:rsidR="00751052">
        <w:t xml:space="preserve"> 8</w:t>
      </w:r>
      <w:r w:rsidR="00F57A1F">
        <w:t> </w:t>
      </w:r>
      <w:r w:rsidRPr="00171069" w:rsidR="00751052">
        <w:t xml:space="preserve">Cal.4th </w:t>
      </w:r>
      <w:r w:rsidR="00751052">
        <w:t xml:space="preserve">at p. </w:t>
      </w:r>
      <w:r w:rsidRPr="00171069" w:rsidR="00751052">
        <w:t>1206</w:t>
      </w:r>
      <w:r w:rsidR="00D43D87">
        <w:t>, italics added</w:t>
      </w:r>
      <w:r w:rsidR="00F57A1F">
        <w:t xml:space="preserve">; accord, </w:t>
      </w:r>
      <w:r w:rsidRPr="003E2953" w:rsidR="00F57A1F">
        <w:rPr>
          <w:i/>
          <w:iCs/>
        </w:rPr>
        <w:t>San Bernardino County Board of Supervisors v. Monell</w:t>
      </w:r>
      <w:r w:rsidRPr="003E2953" w:rsidR="00F57A1F">
        <w:t xml:space="preserve"> (2023) 91</w:t>
      </w:r>
      <w:r w:rsidR="002F551A">
        <w:t> </w:t>
      </w:r>
      <w:r w:rsidRPr="003E2953" w:rsidR="00F57A1F">
        <w:t>Cal.App.5th 1248, 1275</w:t>
      </w:r>
      <w:r w:rsidR="00577A54">
        <w:t xml:space="preserve">.)  </w:t>
      </w:r>
      <w:r w:rsidR="00A05E23">
        <w:t xml:space="preserve">Our </w:t>
      </w:r>
      <w:r w:rsidR="00577A54">
        <w:t>interpret</w:t>
      </w:r>
      <w:r w:rsidR="00A05E23">
        <w:t xml:space="preserve">ation </w:t>
      </w:r>
      <w:r w:rsidR="00DA489E">
        <w:t>applies the limits set out in Proposition 162 to t</w:t>
      </w:r>
      <w:r w:rsidR="00577A54">
        <w:t xml:space="preserve">he authority of </w:t>
      </w:r>
      <w:r w:rsidR="00C56873">
        <w:t xml:space="preserve">charter </w:t>
      </w:r>
      <w:r w:rsidR="00577A54">
        <w:t>counties to establish classifications and salaries for employees appointed by a retirement board.</w:t>
      </w:r>
      <w:r w:rsidR="00A05E23">
        <w:t xml:space="preserve">  </w:t>
      </w:r>
    </w:p>
    <w:p w:rsidR="00606B1C" w:rsidRPr="00BF1309" w:rsidP="000B7F88" w14:paraId="4C4DDC8D" w14:textId="0F2DBEA9">
      <w:pPr>
        <w:spacing w:line="288" w:lineRule="auto"/>
        <w:ind w:firstLine="720"/>
      </w:pPr>
      <w:r>
        <w:t xml:space="preserve">Moreover, </w:t>
      </w:r>
      <w:r w:rsidR="00A05E23">
        <w:t>“</w:t>
      </w:r>
      <w:r>
        <w:t>c</w:t>
      </w:r>
      <w:r w:rsidRPr="002D6AED" w:rsidR="00A05E23">
        <w:t xml:space="preserve">harter county </w:t>
      </w:r>
      <w:r w:rsidR="00A05E23">
        <w:t>‘</w:t>
      </w:r>
      <w:r w:rsidRPr="00171069" w:rsidR="00A05E23">
        <w:t>home rule</w:t>
      </w:r>
      <w:r w:rsidR="00A05E23">
        <w:t>’</w:t>
      </w:r>
      <w:r w:rsidRPr="00171069" w:rsidR="00A05E23">
        <w:t xml:space="preserve"> authority is limited to matters concerning the structure and operation of local government</w:t>
      </w:r>
      <w:r w:rsidR="00A05E23">
        <w:t>.”  (</w:t>
      </w:r>
      <w:r w:rsidRPr="00171069" w:rsidR="00A05E23">
        <w:rPr>
          <w:i/>
          <w:iCs/>
        </w:rPr>
        <w:t>Dibb v. County of San Diego</w:t>
      </w:r>
      <w:r w:rsidR="00A05E23">
        <w:t>,</w:t>
      </w:r>
      <w:r w:rsidR="00A05E23">
        <w:rPr>
          <w:i/>
          <w:iCs/>
        </w:rPr>
        <w:t xml:space="preserve"> supra</w:t>
      </w:r>
      <w:r w:rsidR="00A05E23">
        <w:t>,</w:t>
      </w:r>
      <w:r w:rsidR="00A05E23">
        <w:rPr>
          <w:i/>
          <w:iCs/>
        </w:rPr>
        <w:t xml:space="preserve"> </w:t>
      </w:r>
      <w:r w:rsidRPr="00171069" w:rsidR="00A05E23">
        <w:t>8</w:t>
      </w:r>
      <w:r w:rsidR="00A05E23">
        <w:t> </w:t>
      </w:r>
      <w:r w:rsidRPr="00171069" w:rsidR="00A05E23">
        <w:t xml:space="preserve">Cal.4th </w:t>
      </w:r>
      <w:r w:rsidR="00A05E23">
        <w:t>at p. </w:t>
      </w:r>
      <w:r w:rsidRPr="00171069" w:rsidR="00A05E23">
        <w:t>1207</w:t>
      </w:r>
      <w:r w:rsidR="00FF0507">
        <w:t xml:space="preserve">; see </w:t>
      </w:r>
      <w:r w:rsidRPr="007679A5" w:rsidR="00FF0507">
        <w:rPr>
          <w:i/>
          <w:iCs/>
        </w:rPr>
        <w:t xml:space="preserve">Coalition of County Unions v. Los Angeles County Bd. </w:t>
      </w:r>
      <w:r w:rsidRPr="007679A5" w:rsidR="007B06FE">
        <w:rPr>
          <w:i/>
          <w:iCs/>
        </w:rPr>
        <w:t>O</w:t>
      </w:r>
      <w:r w:rsidRPr="007679A5" w:rsidR="00FF0507">
        <w:rPr>
          <w:i/>
          <w:iCs/>
        </w:rPr>
        <w:t>f Supervisors</w:t>
      </w:r>
      <w:r w:rsidRPr="007679A5" w:rsidR="00FF0507">
        <w:t xml:space="preserve"> (2023) 93 Cal.App.5th 1367, 1388</w:t>
      </w:r>
      <w:r w:rsidR="00FF0507">
        <w:t xml:space="preserve"> [“</w:t>
      </w:r>
      <w:r w:rsidRPr="007679A5" w:rsidR="00FF0507">
        <w:t xml:space="preserve">the exercise of self-governance must be </w:t>
      </w:r>
      <w:r w:rsidR="00FF0507">
        <w:t>‘</w:t>
      </w:r>
      <w:r w:rsidRPr="00544968" w:rsidR="00FF0507">
        <w:t>properly grounded on the county</w:t>
      </w:r>
      <w:r w:rsidR="00FF0507">
        <w:t>’</w:t>
      </w:r>
      <w:r w:rsidRPr="00544968" w:rsidR="00FF0507">
        <w:t xml:space="preserve">s authority to provide for the </w:t>
      </w:r>
      <w:r w:rsidR="00FF0507">
        <w:t>“</w:t>
      </w:r>
      <w:r w:rsidRPr="00544968" w:rsidR="00FF0507">
        <w:t>powers and duties</w:t>
      </w:r>
      <w:r w:rsidR="00FF0507">
        <w:t>”</w:t>
      </w:r>
      <w:r w:rsidRPr="00544968" w:rsidR="00FF0507">
        <w:t xml:space="preserve"> of its local officers and the operation of local government</w:t>
      </w:r>
      <w:r w:rsidR="00FF0507">
        <w:t>’</w:t>
      </w:r>
      <w:r w:rsidRPr="00544968" w:rsidR="00FF0507">
        <w:t>”]</w:t>
      </w:r>
      <w:r w:rsidR="00A05E23">
        <w:t>.)  Although a county may create a retirement system by a vote of its board of supervisors</w:t>
      </w:r>
      <w:r w:rsidR="00C56873">
        <w:t xml:space="preserve"> (§ 31500)</w:t>
      </w:r>
      <w:r w:rsidR="00A05E23">
        <w:t xml:space="preserve">, retirement systems are not county operations; they are independent entities established by state legislation and managed and administered by their boards, not by county boards of supervisors or any other county entity. </w:t>
      </w:r>
      <w:r w:rsidR="00222421">
        <w:t xml:space="preserve"> </w:t>
      </w:r>
      <w:r w:rsidR="000B7F88">
        <w:t>I</w:t>
      </w:r>
      <w:r>
        <w:t>ndeed</w:t>
      </w:r>
      <w:r w:rsidRPr="00832734" w:rsidR="00A05E23">
        <w:t xml:space="preserve">, </w:t>
      </w:r>
      <w:r w:rsidR="00A05E23">
        <w:t>a</w:t>
      </w:r>
      <w:r w:rsidRPr="00832734" w:rsidR="00A05E23">
        <w:t xml:space="preserve"> retirement board’s constituency “is not limited to county employees, but may include employees of various political subdivisions and districts within the county.”  (</w:t>
      </w:r>
      <w:r w:rsidRPr="00832734" w:rsidR="00A05E23">
        <w:rPr>
          <w:i/>
          <w:iCs/>
        </w:rPr>
        <w:t>Traub v. Board of Retirement</w:t>
      </w:r>
      <w:r w:rsidRPr="00832734" w:rsidR="00A05E23">
        <w:t xml:space="preserve">, </w:t>
      </w:r>
      <w:r w:rsidRPr="00832734" w:rsidR="00A05E23">
        <w:rPr>
          <w:i/>
          <w:iCs/>
        </w:rPr>
        <w:t>supra</w:t>
      </w:r>
      <w:r w:rsidRPr="00832734" w:rsidR="00A05E23">
        <w:t>,</w:t>
      </w:r>
      <w:r w:rsidRPr="00832734" w:rsidR="00A05E23">
        <w:rPr>
          <w:i/>
          <w:iCs/>
        </w:rPr>
        <w:t xml:space="preserve"> </w:t>
      </w:r>
      <w:r w:rsidRPr="00832734" w:rsidR="00A05E23">
        <w:t xml:space="preserve">34 Cal.3d at p. 798; see § 31469 [defining “employee” for purposes of CERL].)  </w:t>
      </w:r>
      <w:r w:rsidR="00A05E23">
        <w:t xml:space="preserve">For example, </w:t>
      </w:r>
      <w:r w:rsidRPr="00832734" w:rsidR="00A05E23">
        <w:t>LACERA administers benefits and manages retirement funds for employees of the South Coast Air Quality Management District</w:t>
      </w:r>
      <w:r w:rsidR="00A05E23">
        <w:t>, whose jurisdiction covers multiple counties</w:t>
      </w:r>
      <w:r w:rsidRPr="00832734" w:rsidR="00A05E23">
        <w:t>.</w:t>
      </w:r>
      <w:r w:rsidR="00A05E23">
        <w:t xml:space="preserve">  (See </w:t>
      </w:r>
      <w:r w:rsidRPr="00DA0673" w:rsidR="00A05E23">
        <w:rPr>
          <w:i/>
          <w:iCs/>
        </w:rPr>
        <w:t>Rialto Citizens for Responsible Growth v. City of Rialto</w:t>
      </w:r>
      <w:r w:rsidRPr="00DA0673" w:rsidR="00A05E23">
        <w:t xml:space="preserve"> (2012) 208 Cal.App.4th 899, 933</w:t>
      </w:r>
      <w:r w:rsidR="00A05E23">
        <w:t>, fn. 15.)</w:t>
      </w:r>
      <w:r w:rsidRPr="00832734" w:rsidR="00A05E23">
        <w:t xml:space="preserve"> </w:t>
      </w:r>
      <w:r w:rsidR="00222421">
        <w:t xml:space="preserve"> </w:t>
      </w:r>
      <w:r w:rsidR="00A05E23">
        <w:t xml:space="preserve">Thus, LACERA’s operations exceed the </w:t>
      </w:r>
      <w:r w:rsidRPr="002C41E5" w:rsidR="00A05E23">
        <w:t xml:space="preserve">operation of the </w:t>
      </w:r>
      <w:r w:rsidR="00A05E23">
        <w:t>C</w:t>
      </w:r>
      <w:r w:rsidRPr="002C41E5" w:rsidR="00A05E23">
        <w:t>ounty</w:t>
      </w:r>
      <w:r w:rsidR="00A05E23">
        <w:t xml:space="preserve">.  (See </w:t>
      </w:r>
      <w:r w:rsidRPr="00DE3C97" w:rsidR="00A05E23">
        <w:rPr>
          <w:i/>
          <w:iCs/>
        </w:rPr>
        <w:t>Dimon v. County of Los Angeles</w:t>
      </w:r>
      <w:r w:rsidR="00A05E23">
        <w:t xml:space="preserve">, </w:t>
      </w:r>
      <w:r w:rsidR="00A05E23">
        <w:rPr>
          <w:i/>
          <w:iCs/>
        </w:rPr>
        <w:t>supra</w:t>
      </w:r>
      <w:r w:rsidR="00A05E23">
        <w:t>,</w:t>
      </w:r>
      <w:r w:rsidRPr="00DE3C97" w:rsidR="00A05E23">
        <w:t xml:space="preserve"> 166</w:t>
      </w:r>
      <w:r w:rsidR="00A05E23">
        <w:t> </w:t>
      </w:r>
      <w:r w:rsidRPr="00DE3C97" w:rsidR="00A05E23">
        <w:t xml:space="preserve">Cal.App.4th </w:t>
      </w:r>
      <w:r w:rsidR="00A05E23">
        <w:t>at p. </w:t>
      </w:r>
      <w:r w:rsidRPr="00DE3C97" w:rsidR="00A05E23">
        <w:t>128</w:t>
      </w:r>
      <w:r w:rsidR="0092275A">
        <w:t>2</w:t>
      </w:r>
      <w:r w:rsidR="00A05E23">
        <w:t xml:space="preserve"> [under </w:t>
      </w:r>
      <w:r w:rsidRPr="00DE3C97" w:rsidR="00A05E23">
        <w:t xml:space="preserve">the </w:t>
      </w:r>
      <w:r w:rsidR="00A05E23">
        <w:t>“</w:t>
      </w:r>
      <w:r w:rsidRPr="00DE3C97" w:rsidR="00A05E23">
        <w:t>home rule</w:t>
      </w:r>
      <w:r w:rsidR="00A05E23">
        <w:t>”</w:t>
      </w:r>
      <w:r w:rsidRPr="00DE3C97" w:rsidR="00A05E23">
        <w:t xml:space="preserve"> doctrine</w:t>
      </w:r>
      <w:r w:rsidR="00A05E23">
        <w:t xml:space="preserve">, </w:t>
      </w:r>
      <w:r w:rsidRPr="00DE3C97" w:rsidR="00A05E23">
        <w:t xml:space="preserve">county charter provisions </w:t>
      </w:r>
      <w:r w:rsidR="00A05E23">
        <w:t>“</w:t>
      </w:r>
      <w:r w:rsidR="001674B9">
        <w:t>‘</w:t>
      </w:r>
      <w:r w:rsidRPr="0092275A" w:rsidR="00A05E23">
        <w:rPr>
          <w:i/>
          <w:iCs/>
        </w:rPr>
        <w:t>concerning the operation of the county</w:t>
      </w:r>
      <w:r w:rsidR="001674B9">
        <w:t>’</w:t>
      </w:r>
      <w:r w:rsidRPr="00BE1FEB" w:rsidR="00A05E23">
        <w:t>”</w:t>
      </w:r>
      <w:r w:rsidRPr="00DE3C97" w:rsidR="00A05E23">
        <w:t xml:space="preserve"> </w:t>
      </w:r>
      <w:r w:rsidR="00A05E23">
        <w:t xml:space="preserve">prevail over </w:t>
      </w:r>
      <w:r w:rsidRPr="00DE3C97" w:rsidR="00A05E23">
        <w:t>conflicting state laws</w:t>
      </w:r>
      <w:r w:rsidR="00A05E23">
        <w:t xml:space="preserve">]; </w:t>
      </w:r>
      <w:r w:rsidRPr="00351A00" w:rsidR="00A05E23">
        <w:rPr>
          <w:i/>
          <w:iCs/>
        </w:rPr>
        <w:t>Holmgren v. County of Los</w:t>
      </w:r>
      <w:r w:rsidR="00A05E23">
        <w:rPr>
          <w:i/>
          <w:iCs/>
        </w:rPr>
        <w:t> </w:t>
      </w:r>
      <w:r w:rsidRPr="00351A00" w:rsidR="00A05E23">
        <w:rPr>
          <w:i/>
          <w:iCs/>
        </w:rPr>
        <w:t>Angeles</w:t>
      </w:r>
      <w:r w:rsidR="00A05E23">
        <w:t xml:space="preserve">, </w:t>
      </w:r>
      <w:r w:rsidR="00A05E23">
        <w:rPr>
          <w:i/>
          <w:iCs/>
        </w:rPr>
        <w:t>supra</w:t>
      </w:r>
      <w:r w:rsidR="00A05E23">
        <w:t>,</w:t>
      </w:r>
      <w:r w:rsidRPr="00351A00" w:rsidR="00A05E23">
        <w:t xml:space="preserve"> 159</w:t>
      </w:r>
      <w:r w:rsidR="000B7F88">
        <w:t> </w:t>
      </w:r>
      <w:r w:rsidRPr="00351A00" w:rsidR="00A05E23">
        <w:t xml:space="preserve">Cal.App.4th </w:t>
      </w:r>
      <w:r w:rsidR="00A05E23">
        <w:t>at p. </w:t>
      </w:r>
      <w:r w:rsidRPr="00351A00" w:rsidR="00A05E23">
        <w:t>601</w:t>
      </w:r>
      <w:r w:rsidR="00A05E23">
        <w:t xml:space="preserve"> [same].)</w:t>
      </w:r>
      <w:r>
        <w:t xml:space="preserve">  </w:t>
      </w:r>
      <w:r w:rsidR="00A05E23">
        <w:t>Cases cited by the County and Board of Supervisors for the proposition that “</w:t>
      </w:r>
      <w:r w:rsidRPr="001F4208" w:rsidR="00A05E23">
        <w:t xml:space="preserve">the </w:t>
      </w:r>
      <w:r w:rsidRPr="001F4208" w:rsidR="00A05E23">
        <w:rPr>
          <w:i/>
          <w:iCs/>
        </w:rPr>
        <w:t>county,</w:t>
      </w:r>
      <w:r w:rsidRPr="001F4208" w:rsidR="00A05E23">
        <w:t xml:space="preserve"> not the state, not someone else, shall provide for the compensation of its employees</w:t>
      </w:r>
      <w:r w:rsidR="00A05E23">
        <w:t>” (</w:t>
      </w:r>
      <w:r w:rsidR="00A05E23">
        <w:rPr>
          <w:i/>
          <w:iCs/>
        </w:rPr>
        <w:t>C</w:t>
      </w:r>
      <w:r w:rsidRPr="001F4208" w:rsidR="00A05E23">
        <w:rPr>
          <w:i/>
          <w:iCs/>
        </w:rPr>
        <w:t>ounty of Riverside v. Superior Court</w:t>
      </w:r>
      <w:r w:rsidR="00A05E23">
        <w:t xml:space="preserve">, </w:t>
      </w:r>
      <w:r w:rsidR="00A05E23">
        <w:rPr>
          <w:i/>
          <w:iCs/>
        </w:rPr>
        <w:t>supra</w:t>
      </w:r>
      <w:r w:rsidR="00A05E23">
        <w:t>,</w:t>
      </w:r>
      <w:r w:rsidR="00A05E23">
        <w:rPr>
          <w:i/>
          <w:iCs/>
        </w:rPr>
        <w:t xml:space="preserve"> </w:t>
      </w:r>
      <w:r w:rsidRPr="001F4208" w:rsidR="00A05E23">
        <w:t>30</w:t>
      </w:r>
      <w:r w:rsidR="00A05E23">
        <w:t> </w:t>
      </w:r>
      <w:r w:rsidRPr="001F4208" w:rsidR="00A05E23">
        <w:t xml:space="preserve">Cal.4th </w:t>
      </w:r>
      <w:r w:rsidR="00A05E23">
        <w:t>at p. </w:t>
      </w:r>
      <w:r w:rsidRPr="001F4208" w:rsidR="00A05E23">
        <w:t>285</w:t>
      </w:r>
      <w:r w:rsidR="00A05E23">
        <w:t>) are inapplicable because they do not involve employees appointed by a retirement board.  (See</w:t>
      </w:r>
      <w:r w:rsidR="00C93E8A">
        <w:t>, e.g.,</w:t>
      </w:r>
      <w:r w:rsidR="00A05E23">
        <w:t xml:space="preserve"> </w:t>
      </w:r>
      <w:r w:rsidR="00A05E23">
        <w:rPr>
          <w:i/>
          <w:iCs/>
        </w:rPr>
        <w:t>ibid.</w:t>
      </w:r>
      <w:r w:rsidR="00A05E23">
        <w:t xml:space="preserve"> [county probation department employees]; </w:t>
      </w:r>
      <w:r w:rsidR="00A05E23">
        <w:rPr>
          <w:i/>
          <w:iCs/>
        </w:rPr>
        <w:t>Dimon</w:t>
      </w:r>
      <w:r w:rsidR="00A05E23">
        <w:t xml:space="preserve">, at p. 1281 [same].) </w:t>
      </w:r>
      <w:r>
        <w:t xml:space="preserve"> </w:t>
      </w:r>
    </w:p>
    <w:p w:rsidR="009D40DA" w:rsidP="009D40DA" w14:paraId="61DFEE8F" w14:textId="062ADE71">
      <w:pPr>
        <w:spacing w:line="288" w:lineRule="auto"/>
        <w:ind w:firstLine="720"/>
        <w:rPr>
          <w:color w:val="000000" w:themeColor="text1"/>
        </w:rPr>
      </w:pPr>
      <w:r>
        <w:t>If, as the County and Board of Supervisors argue, article</w:t>
      </w:r>
      <w:r w:rsidR="00B1571D">
        <w:t> </w:t>
      </w:r>
      <w:r>
        <w:t xml:space="preserve">XI, sections 1 and 4, gave counties exclusive authority to establish </w:t>
      </w:r>
      <w:r w:rsidR="003351EE">
        <w:t xml:space="preserve">the </w:t>
      </w:r>
      <w:r>
        <w:t>terms and conditions of employment for employees of retirement systems, several provisions of CERL would be constitutionally suspect</w:t>
      </w:r>
      <w:r w:rsidR="00D5150E">
        <w:t xml:space="preserve"> because </w:t>
      </w:r>
      <w:r w:rsidR="00341E59">
        <w:t xml:space="preserve">an </w:t>
      </w:r>
      <w:r w:rsidR="00D5150E">
        <w:t>“</w:t>
      </w:r>
      <w:r w:rsidRPr="00774F05" w:rsidR="00D5150E">
        <w:t>express grant of authority to the county necessarily implies the Legislature does not have that authority.</w:t>
      </w:r>
      <w:r w:rsidR="00D5150E">
        <w:t>”</w:t>
      </w:r>
      <w:r>
        <w:t xml:space="preserve">  </w:t>
      </w:r>
      <w:r>
        <w:rPr>
          <w:color w:val="000000" w:themeColor="text1"/>
        </w:rPr>
        <w:t>(</w:t>
      </w:r>
      <w:r w:rsidRPr="001F4208">
        <w:rPr>
          <w:i/>
          <w:iCs/>
        </w:rPr>
        <w:t>County of Riverside v. Superior Court</w:t>
      </w:r>
      <w:r>
        <w:t xml:space="preserve">, </w:t>
      </w:r>
      <w:r>
        <w:rPr>
          <w:i/>
          <w:iCs/>
        </w:rPr>
        <w:t>supra</w:t>
      </w:r>
      <w:r>
        <w:t>,</w:t>
      </w:r>
      <w:r>
        <w:rPr>
          <w:i/>
          <w:iCs/>
        </w:rPr>
        <w:t xml:space="preserve"> </w:t>
      </w:r>
      <w:r w:rsidRPr="001F4208">
        <w:t>30</w:t>
      </w:r>
      <w:r>
        <w:t> </w:t>
      </w:r>
      <w:r w:rsidRPr="001F4208">
        <w:t xml:space="preserve">Cal.4th </w:t>
      </w:r>
      <w:r>
        <w:t xml:space="preserve">at </w:t>
      </w:r>
      <w:r w:rsidR="00A62935">
        <w:t>p. </w:t>
      </w:r>
      <w:r w:rsidRPr="001F4208">
        <w:t>285</w:t>
      </w:r>
      <w:r>
        <w:t xml:space="preserve">; </w:t>
      </w:r>
      <w:r w:rsidR="00D5150E">
        <w:t xml:space="preserve">see </w:t>
      </w:r>
      <w:r w:rsidRPr="00673A39">
        <w:rPr>
          <w:i/>
          <w:iCs/>
        </w:rPr>
        <w:t xml:space="preserve">Dimon v. County of Los </w:t>
      </w:r>
      <w:r w:rsidRPr="00307993">
        <w:rPr>
          <w:i/>
          <w:iCs/>
        </w:rPr>
        <w:t>Angeles</w:t>
      </w:r>
      <w:r>
        <w:t xml:space="preserve">, </w:t>
      </w:r>
      <w:r>
        <w:rPr>
          <w:i/>
          <w:iCs/>
        </w:rPr>
        <w:t>supra</w:t>
      </w:r>
      <w:r>
        <w:t xml:space="preserve">, </w:t>
      </w:r>
      <w:r w:rsidRPr="00307993">
        <w:t>166</w:t>
      </w:r>
      <w:r>
        <w:t> </w:t>
      </w:r>
      <w:r w:rsidRPr="00673A39">
        <w:t xml:space="preserve">Cal.App.4th </w:t>
      </w:r>
      <w:r>
        <w:t xml:space="preserve">at </w:t>
      </w:r>
      <w:r w:rsidR="00A62935">
        <w:t>p. </w:t>
      </w:r>
      <w:r w:rsidRPr="00673A39">
        <w:t>1281</w:t>
      </w:r>
      <w:r>
        <w:t xml:space="preserve"> [“</w:t>
      </w:r>
      <w:r w:rsidRPr="00300D2D">
        <w:t>The state constitution</w:t>
      </w:r>
      <w:r>
        <w:t>’</w:t>
      </w:r>
      <w:r w:rsidRPr="00300D2D">
        <w:t>s express grant of authority to charter counties necessarily implies that the Legislature lacks the authority to provide for compensation of the County employees.</w:t>
      </w:r>
      <w:r w:rsidRPr="008E2D0E">
        <w:t>”</w:t>
      </w:r>
      <w:r>
        <w:t xml:space="preserve">].) </w:t>
      </w:r>
      <w:r w:rsidR="007738B9">
        <w:t xml:space="preserve"> </w:t>
      </w:r>
      <w:r w:rsidR="007109F5">
        <w:t>Article XI, sections 1 and 4, give county governing bodies authority to provide for the “appointment,” “number,” and “compensation”</w:t>
      </w:r>
      <w:r w:rsidR="0005775A">
        <w:t xml:space="preserve"> </w:t>
      </w:r>
      <w:r w:rsidR="00521AB0">
        <w:t>of</w:t>
      </w:r>
      <w:r w:rsidR="007109F5">
        <w:t xml:space="preserve"> county employees.  </w:t>
      </w:r>
      <w:r w:rsidR="007109F5">
        <w:rPr>
          <w:color w:val="000000" w:themeColor="text1"/>
        </w:rPr>
        <w:t xml:space="preserve">(Cal. Const., art. XI, § 1, subd. (b); </w:t>
      </w:r>
      <w:r w:rsidR="007109F5">
        <w:rPr>
          <w:i/>
          <w:iCs/>
          <w:color w:val="000000" w:themeColor="text1"/>
        </w:rPr>
        <w:t>id.</w:t>
      </w:r>
      <w:r w:rsidR="007109F5">
        <w:rPr>
          <w:color w:val="000000" w:themeColor="text1"/>
        </w:rPr>
        <w:t xml:space="preserve">, § 4, subd. (f).)  </w:t>
      </w:r>
      <w:r w:rsidR="007109F5">
        <w:t>Article XI, section 1, also requires governing bodies to provide for the “tenure” of such employees, and article XI, section 4, requires governing bodies to provide for their “powers, duties, qualifications,” “times at which, and terms for which they shall be appointed,” and “the manner of their appointment and removal.”  (</w:t>
      </w:r>
      <w:r w:rsidR="007109F5">
        <w:rPr>
          <w:i/>
          <w:iCs/>
          <w:color w:val="000000" w:themeColor="text1"/>
        </w:rPr>
        <w:t>Id.</w:t>
      </w:r>
      <w:r w:rsidR="007109F5">
        <w:rPr>
          <w:color w:val="000000" w:themeColor="text1"/>
        </w:rPr>
        <w:t xml:space="preserve">, § 1, subd. (b); </w:t>
      </w:r>
      <w:r w:rsidR="007109F5">
        <w:rPr>
          <w:i/>
          <w:iCs/>
          <w:color w:val="000000" w:themeColor="text1"/>
        </w:rPr>
        <w:t>id.</w:t>
      </w:r>
      <w:r w:rsidR="007109F5">
        <w:rPr>
          <w:color w:val="000000" w:themeColor="text1"/>
        </w:rPr>
        <w:t>, § 4, subd. (f).)</w:t>
      </w:r>
    </w:p>
    <w:p w:rsidR="007109F5" w:rsidP="00815CEE" w14:paraId="7A555D1E" w14:textId="477822A4">
      <w:pPr>
        <w:spacing w:line="288" w:lineRule="auto"/>
        <w:ind w:firstLine="720"/>
      </w:pPr>
      <w:r>
        <w:rPr>
          <w:color w:val="000000" w:themeColor="text1"/>
        </w:rPr>
        <w:t>Adopting the County and Board of Supervisors’ interpretation would create conflict</w:t>
      </w:r>
      <w:r w:rsidR="00097E4F">
        <w:rPr>
          <w:color w:val="000000" w:themeColor="text1"/>
        </w:rPr>
        <w:t>s</w:t>
      </w:r>
      <w:r>
        <w:rPr>
          <w:color w:val="000000" w:themeColor="text1"/>
        </w:rPr>
        <w:t xml:space="preserve"> with various legislative grants of authority to retirement boards.  Such </w:t>
      </w:r>
      <w:r w:rsidR="00097E4F">
        <w:rPr>
          <w:color w:val="000000" w:themeColor="text1"/>
        </w:rPr>
        <w:t>statutory</w:t>
      </w:r>
      <w:r>
        <w:rPr>
          <w:color w:val="000000" w:themeColor="text1"/>
        </w:rPr>
        <w:t xml:space="preserve"> conflicts would include (1) section 31522.1, which expressly gives retirement boards authority to “appoint” staff </w:t>
      </w:r>
      <w:r w:rsidR="00BB4BE0">
        <w:rPr>
          <w:color w:val="000000" w:themeColor="text1"/>
        </w:rPr>
        <w:t>“as are required to accomplish the necessary work of the boards</w:t>
      </w:r>
      <w:r w:rsidR="00CA053A">
        <w:rPr>
          <w:color w:val="000000" w:themeColor="text1"/>
        </w:rPr>
        <w:t>,</w:t>
      </w:r>
      <w:r w:rsidR="00BB4BE0">
        <w:rPr>
          <w:color w:val="000000" w:themeColor="text1"/>
        </w:rPr>
        <w:t xml:space="preserve">” </w:t>
      </w:r>
      <w:r>
        <w:rPr>
          <w:color w:val="000000" w:themeColor="text1"/>
        </w:rPr>
        <w:t xml:space="preserve">and </w:t>
      </w:r>
      <w:r w:rsidR="009719D1">
        <w:rPr>
          <w:color w:val="000000" w:themeColor="text1"/>
        </w:rPr>
        <w:t xml:space="preserve">therefore </w:t>
      </w:r>
      <w:r>
        <w:rPr>
          <w:color w:val="000000" w:themeColor="text1"/>
        </w:rPr>
        <w:t>impliedly gives them authority to determine the “number,” “powers,” “duties,” and “qualifications” of their staff; (2) section</w:t>
      </w:r>
      <w:r w:rsidR="002149B2">
        <w:rPr>
          <w:color w:val="000000" w:themeColor="text1"/>
        </w:rPr>
        <w:t> </w:t>
      </w:r>
      <w:r>
        <w:rPr>
          <w:color w:val="000000" w:themeColor="text1"/>
        </w:rPr>
        <w:t>31522.3, which gives retirement boards in certain counties authority to “appoint” an assistant administrator and chief investment officer and to determine their “tenure” and “manner of . . . removal” by stating those employees “shall serve at the pleasure of, and may be dismissed at the will of, the appointing board or boards”; (3) section 31522.4, which gives LACERA authority to “appoint” certain staff members and to exempt them from “</w:t>
      </w:r>
      <w:r w:rsidRPr="00905346">
        <w:t>county charter, civil service, or merit system rules</w:t>
      </w:r>
      <w:r>
        <w:t>,” thus affecting their “tenure,” “terms for which they shall be appointed,” and “the manner of their appointment and removal”; and (4) section 31580.2, which acknowledges retirement boards have authority to appoint their personnel under section</w:t>
      </w:r>
      <w:r w:rsidR="002149B2">
        <w:t> </w:t>
      </w:r>
      <w:r>
        <w:t>31522.1.</w:t>
      </w:r>
      <w:r>
        <w:rPr>
          <w:rStyle w:val="FootnoteReference"/>
        </w:rPr>
        <w:footnoteReference w:id="14"/>
      </w:r>
      <w:r>
        <w:t xml:space="preserve">  And regarding conflict (4), if retirement boards do not have authority to “appoint” staff under section</w:t>
      </w:r>
      <w:r w:rsidR="00EE724F">
        <w:t> </w:t>
      </w:r>
      <w:r>
        <w:t>31522.1, the legislative bargain struck in AB 470 to give retirement boards this option in exchange for funding the administration of retirement systems from system assets would be nullified.</w:t>
      </w:r>
      <w:r>
        <w:rPr>
          <w:rStyle w:val="FootnoteReference"/>
        </w:rPr>
        <w:footnoteReference w:id="15"/>
      </w:r>
    </w:p>
    <w:p w:rsidR="00CA4639" w:rsidP="00323940" w14:paraId="1C9761A2" w14:textId="75547D0C">
      <w:pPr>
        <w:spacing w:line="288" w:lineRule="auto"/>
        <w:ind w:firstLine="720"/>
      </w:pPr>
      <w:r>
        <w:t>The County and Board of Supervisors</w:t>
      </w:r>
      <w:r w:rsidR="00323940">
        <w:t>’ reliance on</w:t>
      </w:r>
      <w:r>
        <w:t xml:space="preserve"> </w:t>
      </w:r>
      <w:r w:rsidR="00244A12">
        <w:t>section</w:t>
      </w:r>
      <w:r w:rsidR="00DF550C">
        <w:t> </w:t>
      </w:r>
      <w:r w:rsidR="00D5150E">
        <w:t>31522.1</w:t>
      </w:r>
      <w:r w:rsidR="00DF550C">
        <w:t xml:space="preserve">, which states </w:t>
      </w:r>
      <w:r w:rsidR="00D5150E">
        <w:t xml:space="preserve">retirement board appointees </w:t>
      </w:r>
      <w:r w:rsidR="00DF550C">
        <w:t xml:space="preserve">shall be </w:t>
      </w:r>
      <w:r w:rsidR="00D5150E">
        <w:t>“county employees</w:t>
      </w:r>
      <w:r w:rsidR="007853D9">
        <w:t>,</w:t>
      </w:r>
      <w:r w:rsidR="00D5150E">
        <w:t>”</w:t>
      </w:r>
      <w:r>
        <w:t xml:space="preserve"> </w:t>
      </w:r>
      <w:r w:rsidR="00323940">
        <w:t xml:space="preserve">is </w:t>
      </w:r>
      <w:r w:rsidR="001B0972">
        <w:t xml:space="preserve">misplaced.  </w:t>
      </w:r>
      <w:r w:rsidR="00481647">
        <w:t>S</w:t>
      </w:r>
      <w:r w:rsidR="00323940">
        <w:t xml:space="preserve">everal </w:t>
      </w:r>
      <w:r w:rsidR="00BF25D6">
        <w:t xml:space="preserve">provisions of CERL make clear </w:t>
      </w:r>
      <w:r w:rsidR="005032CC">
        <w:t>retirement system appointees are not “county employees” for all purposes</w:t>
      </w:r>
      <w:r w:rsidR="00BF25D6">
        <w:t xml:space="preserve">. </w:t>
      </w:r>
      <w:r w:rsidR="006E2C5F">
        <w:t xml:space="preserve"> </w:t>
      </w:r>
      <w:r w:rsidR="00323940">
        <w:t xml:space="preserve">Instead, CERL gives retirement systems authority over their employees in a variety of employment contexts.  Moreover, </w:t>
      </w:r>
      <w:r w:rsidR="00D5150E">
        <w:t xml:space="preserve">courts have found “county employees” who worked for a retirement system were also employees of that system.  </w:t>
      </w:r>
      <w:r w:rsidR="008A6592">
        <w:t>For example, a</w:t>
      </w:r>
      <w:r w:rsidR="00D5150E">
        <w:t xml:space="preserve">s </w:t>
      </w:r>
      <w:r>
        <w:t>discussed</w:t>
      </w:r>
      <w:r w:rsidR="00D5150E">
        <w:t xml:space="preserve">, the court in </w:t>
      </w:r>
      <w:r w:rsidR="00D5150E">
        <w:rPr>
          <w:i/>
          <w:iCs/>
        </w:rPr>
        <w:t>Corcoran</w:t>
      </w:r>
      <w:r w:rsidR="00D5150E">
        <w:t xml:space="preserve">, </w:t>
      </w:r>
      <w:r w:rsidR="00D5150E">
        <w:rPr>
          <w:i/>
          <w:iCs/>
        </w:rPr>
        <w:t>supra</w:t>
      </w:r>
      <w:r w:rsidR="00D5150E">
        <w:t>,</w:t>
      </w:r>
      <w:r w:rsidR="00D5150E">
        <w:rPr>
          <w:i/>
          <w:iCs/>
        </w:rPr>
        <w:t xml:space="preserve"> </w:t>
      </w:r>
      <w:r w:rsidRPr="008832D9" w:rsidR="00D5150E">
        <w:t>60</w:t>
      </w:r>
      <w:r w:rsidR="00D5150E">
        <w:t> </w:t>
      </w:r>
      <w:r w:rsidRPr="008832D9" w:rsidR="00D5150E">
        <w:t xml:space="preserve">Cal.App.4th </w:t>
      </w:r>
      <w:r w:rsidR="00D5150E">
        <w:t xml:space="preserve">89 held a retirement board was the “governing body” for </w:t>
      </w:r>
      <w:r w:rsidRPr="00EA6E05" w:rsidR="00D5150E">
        <w:t>the employees it appoint</w:t>
      </w:r>
      <w:r w:rsidR="00D5150E">
        <w:t>ed for purposes of determining the level of retirement benefits for those employees.  (</w:t>
      </w:r>
      <w:r w:rsidR="00D5150E">
        <w:rPr>
          <w:i/>
          <w:iCs/>
        </w:rPr>
        <w:t>Id. </w:t>
      </w:r>
      <w:r w:rsidR="00D5150E">
        <w:t xml:space="preserve">at p. 95.)  Like LACERA, the retirement board in </w:t>
      </w:r>
      <w:r w:rsidR="00D5150E">
        <w:rPr>
          <w:i/>
          <w:iCs/>
        </w:rPr>
        <w:t>Corcoran</w:t>
      </w:r>
      <w:r w:rsidR="00D5150E">
        <w:t xml:space="preserve"> appointed, promoted, and discharged its employees.  (</w:t>
      </w:r>
      <w:r w:rsidR="00D5150E">
        <w:rPr>
          <w:i/>
          <w:iCs/>
        </w:rPr>
        <w:t>Id. </w:t>
      </w:r>
      <w:r w:rsidR="00D5150E">
        <w:t xml:space="preserve">at pp. 94-95.)  As a result, the court in </w:t>
      </w:r>
      <w:r w:rsidR="00D5150E">
        <w:rPr>
          <w:i/>
          <w:iCs/>
        </w:rPr>
        <w:t>Corcoran</w:t>
      </w:r>
      <w:r w:rsidR="00D5150E">
        <w:t xml:space="preserve"> held</w:t>
      </w:r>
      <w:r w:rsidR="00F671F5">
        <w:t>,</w:t>
      </w:r>
      <w:r w:rsidR="00D5150E">
        <w:t xml:space="preserve"> </w:t>
      </w:r>
      <w:r w:rsidR="00F671F5">
        <w:t xml:space="preserve">that </w:t>
      </w:r>
      <w:r>
        <w:t>“</w:t>
      </w:r>
      <w:r w:rsidR="00D5150E">
        <w:t>those employees are members of the county civil service and paid according to county salary schedules with paychecks issued by the county is immaterial.”  (</w:t>
      </w:r>
      <w:r w:rsidR="00D5150E">
        <w:rPr>
          <w:i/>
          <w:iCs/>
        </w:rPr>
        <w:t>Id. </w:t>
      </w:r>
      <w:r w:rsidR="00D5150E">
        <w:t>at p. 95.)</w:t>
      </w:r>
    </w:p>
    <w:p w:rsidR="00D5150E" w:rsidP="00D5150E" w14:paraId="70DAB7B0" w14:textId="31840EBA">
      <w:pPr>
        <w:spacing w:line="288" w:lineRule="auto"/>
        <w:ind w:firstLine="720"/>
      </w:pPr>
      <w:r>
        <w:t xml:space="preserve">For different reasons, the court in </w:t>
      </w:r>
      <w:r w:rsidRPr="00F32F6C">
        <w:rPr>
          <w:i/>
          <w:iCs/>
        </w:rPr>
        <w:t>Kern County Employees</w:t>
      </w:r>
      <w:r>
        <w:rPr>
          <w:i/>
          <w:iCs/>
        </w:rPr>
        <w:t>’</w:t>
      </w:r>
      <w:r w:rsidRPr="00F32F6C">
        <w:rPr>
          <w:i/>
          <w:iCs/>
        </w:rPr>
        <w:t xml:space="preserve"> Retirement Assn. v. Bellino</w:t>
      </w:r>
      <w:r w:rsidRPr="00F32F6C">
        <w:t xml:space="preserve"> (2005) 126</w:t>
      </w:r>
      <w:r>
        <w:t> </w:t>
      </w:r>
      <w:r w:rsidRPr="00F32F6C">
        <w:t>Cal.App.4th 781</w:t>
      </w:r>
      <w:r>
        <w:t xml:space="preserve"> (</w:t>
      </w:r>
      <w:r>
        <w:rPr>
          <w:i/>
          <w:iCs/>
        </w:rPr>
        <w:t>Kern County</w:t>
      </w:r>
      <w:r>
        <w:t>)</w:t>
      </w:r>
      <w:r>
        <w:rPr>
          <w:i/>
          <w:iCs/>
        </w:rPr>
        <w:t xml:space="preserve"> </w:t>
      </w:r>
      <w:r>
        <w:t xml:space="preserve">held an employee was employed by both the Kern County Employees’ Retirement Association and its governing board, on one hand, and Kern County (by virtue of section 31522.1), on the other.  (See </w:t>
      </w:r>
      <w:r>
        <w:rPr>
          <w:i/>
          <w:iCs/>
        </w:rPr>
        <w:t>Kern County</w:t>
      </w:r>
      <w:r>
        <w:t xml:space="preserve">, at pp. 787-790.)  In that case a retirement association employee was elected to the board of the retirement association, but a statute precluded such employees from becoming board members without first resigning their position with the retirement association.  (See </w:t>
      </w:r>
      <w:r>
        <w:rPr>
          <w:i/>
          <w:iCs/>
        </w:rPr>
        <w:t>id. </w:t>
      </w:r>
      <w:r>
        <w:t>at p. 786; § 53227, subd. (a).)  The employee challenged application of that law to him, arguing that under section 31522.1 he was a “County employee” and not an employee of the retirement association.  (</w:t>
      </w:r>
      <w:r>
        <w:rPr>
          <w:i/>
          <w:iCs/>
        </w:rPr>
        <w:t>Kern County</w:t>
      </w:r>
      <w:r>
        <w:t>, at p. 785.)  The court disagreed and held under the common law test for employment—“[t]he right to control and direct the activities of the alleged employee or the manner and method in which the work is performed”—the employee was also employed by the retirement association.  (</w:t>
      </w:r>
      <w:r>
        <w:rPr>
          <w:i/>
          <w:iCs/>
        </w:rPr>
        <w:t>Id. </w:t>
      </w:r>
      <w:r>
        <w:t>at p. 790.)  “Such a conclusion,” the court stated, “would in no way undermine the role of counties as employers of retirement association personnel under section 31522.1.”  (</w:t>
      </w:r>
      <w:r>
        <w:rPr>
          <w:i/>
          <w:iCs/>
        </w:rPr>
        <w:t>Id. </w:t>
      </w:r>
      <w:r>
        <w:t>at p. 790; see</w:t>
      </w:r>
      <w:r w:rsidR="00341E59">
        <w:t xml:space="preserve"> also</w:t>
      </w:r>
      <w:r>
        <w:t xml:space="preserve"> </w:t>
      </w:r>
      <w:r w:rsidRPr="00F32F6C">
        <w:rPr>
          <w:i/>
          <w:iCs/>
        </w:rPr>
        <w:t xml:space="preserve">Metropolitan Water Dist. </w:t>
      </w:r>
      <w:r w:rsidR="002149B2">
        <w:rPr>
          <w:i/>
          <w:iCs/>
        </w:rPr>
        <w:t>v</w:t>
      </w:r>
      <w:r w:rsidRPr="00F32F6C">
        <w:rPr>
          <w:i/>
          <w:iCs/>
        </w:rPr>
        <w:t>. Superior Court</w:t>
      </w:r>
      <w:r w:rsidRPr="00F32F6C">
        <w:t xml:space="preserve"> (2004) 32</w:t>
      </w:r>
      <w:r>
        <w:t> </w:t>
      </w:r>
      <w:r w:rsidRPr="00F32F6C">
        <w:t>Cal.4th 491, 500</w:t>
      </w:r>
      <w:r>
        <w:t xml:space="preserve"> [employees on a private contractor’s payroll were also water district employees for purposes of enrolling in CalPERS].)  Thus, that CERL defines employees of a retirement system as “county employees” </w:t>
      </w:r>
      <w:r w:rsidR="00D04176">
        <w:t xml:space="preserve">for limited purposes </w:t>
      </w:r>
      <w:r>
        <w:t xml:space="preserve">does not mean they are employees of the </w:t>
      </w:r>
      <w:r w:rsidR="00D04176">
        <w:t>county</w:t>
      </w:r>
      <w:r>
        <w:t xml:space="preserve"> for purposes of article XI.</w:t>
      </w:r>
    </w:p>
    <w:p w:rsidR="00C7433D" w:rsidP="00396405" w14:paraId="069654A8" w14:textId="77777777">
      <w:pPr>
        <w:spacing w:line="288" w:lineRule="auto"/>
        <w:ind w:firstLine="720"/>
      </w:pPr>
    </w:p>
    <w:p w:rsidR="00E97103" w:rsidRPr="00371FE8" w:rsidP="00FF702A" w14:paraId="771D3603" w14:textId="1E073E87">
      <w:pPr>
        <w:pStyle w:val="CaCoA-BodyText"/>
        <w:keepNext/>
        <w:keepLines/>
        <w:spacing w:line="288" w:lineRule="auto"/>
        <w:ind w:left="1440" w:hanging="720"/>
        <w:rPr>
          <w:i/>
          <w:iCs/>
          <w:szCs w:val="26"/>
        </w:rPr>
      </w:pPr>
      <w:r>
        <w:rPr>
          <w:szCs w:val="26"/>
        </w:rPr>
        <w:t>D</w:t>
      </w:r>
      <w:r w:rsidRPr="00DE5A47">
        <w:rPr>
          <w:szCs w:val="26"/>
        </w:rPr>
        <w:t>.</w:t>
      </w:r>
      <w:r w:rsidRPr="00DE5A47">
        <w:rPr>
          <w:szCs w:val="26"/>
        </w:rPr>
        <w:tab/>
      </w:r>
      <w:r>
        <w:rPr>
          <w:i/>
          <w:iCs/>
          <w:szCs w:val="26"/>
        </w:rPr>
        <w:t xml:space="preserve">CERL </w:t>
      </w:r>
      <w:r w:rsidR="00784A64">
        <w:rPr>
          <w:i/>
          <w:iCs/>
          <w:szCs w:val="26"/>
        </w:rPr>
        <w:t xml:space="preserve">Requires the Board of Supervisors To Include the LACERA Boards’ Employment Classifications and Salaries in the County’s </w:t>
      </w:r>
      <w:r w:rsidR="00815CEE">
        <w:rPr>
          <w:i/>
          <w:iCs/>
          <w:szCs w:val="26"/>
        </w:rPr>
        <w:t xml:space="preserve">Eligibility List and </w:t>
      </w:r>
      <w:r w:rsidR="00784A64">
        <w:rPr>
          <w:i/>
          <w:iCs/>
          <w:szCs w:val="26"/>
        </w:rPr>
        <w:t>Salary Ordinance</w:t>
      </w:r>
    </w:p>
    <w:p w:rsidR="00E97103" w:rsidP="00396405" w14:paraId="24891A4F" w14:textId="173D4980">
      <w:pPr>
        <w:spacing w:line="288" w:lineRule="auto"/>
        <w:ind w:firstLine="720"/>
      </w:pPr>
      <w:r>
        <w:t xml:space="preserve">Consistent with its plenary authority </w:t>
      </w:r>
      <w:r w:rsidR="00D96C63">
        <w:t>over the administration</w:t>
      </w:r>
      <w:r w:rsidR="00444708">
        <w:t xml:space="preserve"> </w:t>
      </w:r>
      <w:r w:rsidR="00D96C63">
        <w:t xml:space="preserve">of the retirement system, </w:t>
      </w:r>
      <w:r w:rsidR="00D870C3">
        <w:t xml:space="preserve">LACERA </w:t>
      </w:r>
      <w:r w:rsidR="003161F5">
        <w:t>argues</w:t>
      </w:r>
      <w:r w:rsidR="00D870C3">
        <w:t xml:space="preserve"> section</w:t>
      </w:r>
      <w:r w:rsidR="003161F5">
        <w:t> </w:t>
      </w:r>
      <w:r w:rsidR="00D870C3">
        <w:t xml:space="preserve">31522.1 </w:t>
      </w:r>
      <w:r w:rsidR="004871DC">
        <w:t xml:space="preserve">requires </w:t>
      </w:r>
      <w:r w:rsidR="00A634D3">
        <w:t xml:space="preserve">the Board of Supervisors to include in </w:t>
      </w:r>
      <w:r w:rsidR="00815CEE">
        <w:t>the County eligibility list and</w:t>
      </w:r>
      <w:r w:rsidR="00A634D3">
        <w:t xml:space="preserve"> salary ordinance the </w:t>
      </w:r>
      <w:r w:rsidR="00F262B8">
        <w:t xml:space="preserve">employment classifications and salaries adopted by the LACERA Boards, just as the Board of Supervisors did from 1996 </w:t>
      </w:r>
      <w:r w:rsidR="003161F5">
        <w:t>to</w:t>
      </w:r>
      <w:r w:rsidR="00F262B8">
        <w:t xml:space="preserve"> 2018.  We agree</w:t>
      </w:r>
      <w:r w:rsidR="00841D4F">
        <w:t xml:space="preserve"> with LACERA’s interpretation of section 31522.1 and that </w:t>
      </w:r>
      <w:r w:rsidR="003D3E01">
        <w:t xml:space="preserve">this </w:t>
      </w:r>
      <w:r w:rsidR="005C1188">
        <w:t>mandate is necessary to fulfill the purpose and intent of Proposition 162</w:t>
      </w:r>
      <w:r w:rsidR="00F262B8">
        <w:t xml:space="preserve">. </w:t>
      </w:r>
    </w:p>
    <w:p w:rsidR="00841D4F" w:rsidP="00396405" w14:paraId="3A52D89F" w14:textId="3A6DB7CA">
      <w:pPr>
        <w:spacing w:line="288" w:lineRule="auto"/>
        <w:ind w:firstLine="720"/>
      </w:pPr>
    </w:p>
    <w:p w:rsidR="005C1188" w:rsidRPr="00E213A3" w:rsidP="00E213A3" w14:paraId="7A4AAF2C" w14:textId="7D9C6042">
      <w:pPr>
        <w:keepNext/>
        <w:keepLines/>
        <w:spacing w:line="288" w:lineRule="auto"/>
        <w:ind w:left="2160" w:hanging="720"/>
      </w:pPr>
      <w:r>
        <w:t>1.</w:t>
      </w:r>
      <w:r>
        <w:tab/>
      </w:r>
      <w:r w:rsidRPr="00E213A3" w:rsidR="00804A7D">
        <w:rPr>
          <w:i/>
          <w:iCs/>
        </w:rPr>
        <w:t xml:space="preserve">Sections 31522.1 and 31580.2 Give Retirement Boards Authority To </w:t>
      </w:r>
      <w:r w:rsidRPr="00E213A3" w:rsidR="00A056A2">
        <w:rPr>
          <w:i/>
          <w:iCs/>
        </w:rPr>
        <w:t xml:space="preserve">Establish </w:t>
      </w:r>
      <w:r w:rsidRPr="00E213A3" w:rsidR="00E41D98">
        <w:rPr>
          <w:i/>
          <w:iCs/>
        </w:rPr>
        <w:t xml:space="preserve">Employment Classifications and </w:t>
      </w:r>
      <w:r w:rsidRPr="00E213A3" w:rsidR="00A056A2">
        <w:rPr>
          <w:i/>
          <w:iCs/>
        </w:rPr>
        <w:t>Salaries for System Employees</w:t>
      </w:r>
      <w:r w:rsidRPr="00E213A3" w:rsidR="00D15822">
        <w:rPr>
          <w:i/>
          <w:iCs/>
        </w:rPr>
        <w:t xml:space="preserve"> and Require Boards of Supervisors To Approve Them</w:t>
      </w:r>
    </w:p>
    <w:p w:rsidR="000308F9" w:rsidP="000308F9" w14:paraId="324755D5" w14:textId="6B2F5C39">
      <w:pPr>
        <w:spacing w:line="288" w:lineRule="auto"/>
        <w:ind w:firstLine="720"/>
      </w:pPr>
      <w:r>
        <w:t xml:space="preserve">As with </w:t>
      </w:r>
      <w:r w:rsidR="003161F5">
        <w:t xml:space="preserve">an </w:t>
      </w:r>
      <w:r>
        <w:t>initiative</w:t>
      </w:r>
      <w:r w:rsidR="003161F5">
        <w:t xml:space="preserve"> approved by the voters</w:t>
      </w:r>
      <w:r>
        <w:t xml:space="preserve">, </w:t>
      </w:r>
      <w:r>
        <w:rPr>
          <w:szCs w:val="26"/>
        </w:rPr>
        <w:t>o</w:t>
      </w:r>
      <w:r w:rsidRPr="00557E7D">
        <w:rPr>
          <w:szCs w:val="26"/>
        </w:rPr>
        <w:t xml:space="preserve">ur </w:t>
      </w:r>
      <w:r w:rsidR="00423E9D">
        <w:t>goal</w:t>
      </w:r>
      <w:r w:rsidRPr="00D572FD">
        <w:t xml:space="preserve"> </w:t>
      </w:r>
      <w:r w:rsidR="00B6761E">
        <w:t xml:space="preserve">in interpreting a statute </w:t>
      </w:r>
      <w:r w:rsidRPr="00D572FD">
        <w:t xml:space="preserve">is to adopt </w:t>
      </w:r>
      <w:r w:rsidR="00CB347A">
        <w:t xml:space="preserve">a </w:t>
      </w:r>
      <w:r w:rsidRPr="00D572FD">
        <w:t xml:space="preserve">construction that </w:t>
      </w:r>
      <w:r w:rsidR="00CB347A">
        <w:t>“‘</w:t>
      </w:r>
      <w:r w:rsidRPr="00D572FD">
        <w:t>best gives effect to the Legislature</w:t>
      </w:r>
      <w:r>
        <w:t>’</w:t>
      </w:r>
      <w:r w:rsidRPr="00D572FD">
        <w:t>s intended purpose.</w:t>
      </w:r>
      <w:r>
        <w:t xml:space="preserve">’ </w:t>
      </w:r>
      <w:r w:rsidRPr="00D572FD">
        <w:t xml:space="preserve"> </w:t>
      </w:r>
      <w:r>
        <w:t xml:space="preserve">[Citation.] </w:t>
      </w:r>
      <w:r w:rsidRPr="00D572FD">
        <w:t xml:space="preserve"> In determining that intended purpose, we </w:t>
      </w:r>
      <w:r w:rsidR="00A62935">
        <w:t>. . . </w:t>
      </w:r>
      <w:r w:rsidR="008C41DA">
        <w:t>‘</w:t>
      </w:r>
      <w:r w:rsidRPr="00D572FD">
        <w:t>consider first the words of a statute, as the most reliable indicator of legislative intent.</w:t>
      </w:r>
      <w:r>
        <w:t>’</w:t>
      </w:r>
      <w:r w:rsidRPr="00D572FD">
        <w:t xml:space="preserve"> </w:t>
      </w:r>
      <w:r>
        <w:t xml:space="preserve"> [Citation.]  </w:t>
      </w:r>
      <w:r w:rsidRPr="00D572FD">
        <w:t xml:space="preserve">In doing so, we give the words </w:t>
      </w:r>
      <w:r>
        <w:t>‘</w:t>
      </w:r>
      <w:r w:rsidRPr="00D572FD">
        <w:t>their usual and ordinary meaning,</w:t>
      </w:r>
      <w:r>
        <w:t>’</w:t>
      </w:r>
      <w:r w:rsidRPr="00D572FD">
        <w:t xml:space="preserve"> viewed in the context of the statute as a whole.</w:t>
      </w:r>
      <w:r>
        <w:t>”  (</w:t>
      </w:r>
      <w:r w:rsidRPr="00D572FD">
        <w:rPr>
          <w:i/>
          <w:iCs/>
        </w:rPr>
        <w:t>Union of Medical Marijuana Patients, Inc. v. City of San</w:t>
      </w:r>
      <w:r w:rsidR="00341E59">
        <w:rPr>
          <w:i/>
          <w:iCs/>
        </w:rPr>
        <w:t> </w:t>
      </w:r>
      <w:r w:rsidRPr="00D572FD">
        <w:rPr>
          <w:i/>
          <w:iCs/>
        </w:rPr>
        <w:t>Diego</w:t>
      </w:r>
      <w:r w:rsidRPr="00D572FD">
        <w:t xml:space="preserve"> (2019) 7</w:t>
      </w:r>
      <w:r>
        <w:t> </w:t>
      </w:r>
      <w:r w:rsidRPr="00D572FD">
        <w:t>Cal.5th 1171, 1183</w:t>
      </w:r>
      <w:r>
        <w:t>-</w:t>
      </w:r>
      <w:r w:rsidRPr="00D572FD">
        <w:t>1184</w:t>
      </w:r>
      <w:r>
        <w:t xml:space="preserve">; see </w:t>
      </w:r>
      <w:r w:rsidRPr="00AD7E1F" w:rsidR="00241289">
        <w:rPr>
          <w:i/>
          <w:iCs/>
        </w:rPr>
        <w:t>Kim v. Reins Internat</w:t>
      </w:r>
      <w:r w:rsidR="003161F5">
        <w:rPr>
          <w:i/>
          <w:iCs/>
        </w:rPr>
        <w:t>.</w:t>
      </w:r>
      <w:r w:rsidRPr="00AD7E1F" w:rsidR="00241289">
        <w:rPr>
          <w:i/>
          <w:iCs/>
        </w:rPr>
        <w:t xml:space="preserve"> California, Inc.</w:t>
      </w:r>
      <w:r w:rsidR="00530C93">
        <w:t xml:space="preserve"> </w:t>
      </w:r>
      <w:r w:rsidRPr="00AD7E1F" w:rsidR="00241289">
        <w:t>(2020) 9</w:t>
      </w:r>
      <w:r w:rsidR="00530C93">
        <w:t> </w:t>
      </w:r>
      <w:r w:rsidRPr="00AD7E1F" w:rsidR="00241289">
        <w:t>Cal.5th 73, 83</w:t>
      </w:r>
      <w:r w:rsidR="00241289">
        <w:t xml:space="preserve">; </w:t>
      </w:r>
      <w:r w:rsidRPr="004E4F43">
        <w:rPr>
          <w:i/>
          <w:iCs/>
        </w:rPr>
        <w:t>Myasnyankin v. Nationwide Mut</w:t>
      </w:r>
      <w:r w:rsidR="003161F5">
        <w:rPr>
          <w:i/>
          <w:iCs/>
        </w:rPr>
        <w:t>.</w:t>
      </w:r>
      <w:r w:rsidRPr="004E4F43">
        <w:rPr>
          <w:i/>
          <w:iCs/>
        </w:rPr>
        <w:t xml:space="preserve"> Ins</w:t>
      </w:r>
      <w:r w:rsidR="003161F5">
        <w:rPr>
          <w:i/>
          <w:iCs/>
        </w:rPr>
        <w:t>.</w:t>
      </w:r>
      <w:r w:rsidRPr="004E4F43">
        <w:rPr>
          <w:i/>
          <w:iCs/>
        </w:rPr>
        <w:t xml:space="preserve"> Co</w:t>
      </w:r>
      <w:r w:rsidR="003161F5">
        <w:rPr>
          <w:i/>
          <w:iCs/>
        </w:rPr>
        <w:t>.</w:t>
      </w:r>
      <w:r w:rsidRPr="004E4F43">
        <w:t xml:space="preserve"> (2024) 99</w:t>
      </w:r>
      <w:r>
        <w:t> </w:t>
      </w:r>
      <w:r w:rsidRPr="004E4F43">
        <w:t>Cal.App.5th 283</w:t>
      </w:r>
      <w:r>
        <w:t>, 290.)  “‘</w:t>
      </w:r>
      <w:r w:rsidRPr="004E4F43">
        <w:t>We</w:t>
      </w:r>
      <w:r w:rsidR="00023552">
        <w:t> </w:t>
      </w:r>
      <w:r w:rsidRPr="004E4F43">
        <w:t>must harmonize the statute</w:t>
      </w:r>
      <w:r>
        <w:t>’</w:t>
      </w:r>
      <w:r w:rsidRPr="004E4F43">
        <w:t xml:space="preserve">s various parts by considering it in the context of the statutory framework as a whole. </w:t>
      </w:r>
      <w:r>
        <w:t xml:space="preserve"> </w:t>
      </w:r>
      <w:r w:rsidRPr="004E4F43">
        <w:t xml:space="preserve">[Citation.] </w:t>
      </w:r>
      <w:r>
        <w:t xml:space="preserve"> </w:t>
      </w:r>
      <w:r w:rsidRPr="004E4F43">
        <w:t xml:space="preserve">If the statutory language is unambiguous, then its plain meaning controls. </w:t>
      </w:r>
      <w:r>
        <w:t xml:space="preserve"> </w:t>
      </w:r>
      <w:r w:rsidRPr="004E4F43">
        <w:t>If, however, the language supports more than one reasonable construction, then we may look to extrinsic aids, including the ostensible objects to be achieved and the legislative history.</w:t>
      </w:r>
      <w:r w:rsidR="00B72797">
        <w:t>’</w:t>
      </w:r>
      <w:r w:rsidRPr="004E4F43">
        <w:t xml:space="preserve">” </w:t>
      </w:r>
      <w:r>
        <w:t xml:space="preserve"> </w:t>
      </w:r>
      <w:r w:rsidRPr="004E4F43">
        <w:t>(</w:t>
      </w:r>
      <w:r w:rsidRPr="004E4F43">
        <w:rPr>
          <w:i/>
          <w:iCs/>
        </w:rPr>
        <w:t>Myasnyankin</w:t>
      </w:r>
      <w:r>
        <w:t xml:space="preserve">, at </w:t>
      </w:r>
      <w:r w:rsidR="00A62935">
        <w:t>p. </w:t>
      </w:r>
      <w:r>
        <w:t xml:space="preserve">290; see </w:t>
      </w:r>
      <w:r w:rsidRPr="00AD7E1F">
        <w:rPr>
          <w:i/>
          <w:iCs/>
        </w:rPr>
        <w:t>Kim</w:t>
      </w:r>
      <w:r w:rsidRPr="00AD7E1F">
        <w:t xml:space="preserve">, </w:t>
      </w:r>
      <w:r w:rsidR="009C1B00">
        <w:t xml:space="preserve">at </w:t>
      </w:r>
      <w:r w:rsidR="00A62935">
        <w:t>p. </w:t>
      </w:r>
      <w:r w:rsidRPr="00AD7E1F">
        <w:t>83</w:t>
      </w:r>
      <w:r>
        <w:t>.)</w:t>
      </w:r>
    </w:p>
    <w:p w:rsidR="00E14EDF" w:rsidP="00C74B13" w14:paraId="17170778" w14:textId="3D25E2AB">
      <w:pPr>
        <w:spacing w:line="288" w:lineRule="auto"/>
        <w:ind w:firstLine="720"/>
      </w:pPr>
      <w:r>
        <w:t xml:space="preserve">As </w:t>
      </w:r>
      <w:r w:rsidR="00423E9D">
        <w:t>stated</w:t>
      </w:r>
      <w:r>
        <w:t xml:space="preserve">, section 31522.1 provides that </w:t>
      </w:r>
      <w:r w:rsidRPr="00490390">
        <w:t>retirement board</w:t>
      </w:r>
      <w:r>
        <w:t>s</w:t>
      </w:r>
      <w:r w:rsidRPr="00490390">
        <w:t xml:space="preserve"> </w:t>
      </w:r>
      <w:r>
        <w:t>“</w:t>
      </w:r>
      <w:r w:rsidRPr="00F91E1D">
        <w:t xml:space="preserve">may appoint such administrative, technical, and clerical staff personnel as are required to accomplish the necessary work of the boards. </w:t>
      </w:r>
      <w:r>
        <w:t xml:space="preserve"> </w:t>
      </w:r>
      <w:r w:rsidRPr="00F91E1D">
        <w:t xml:space="preserve">The appointments </w:t>
      </w:r>
      <w:r w:rsidRPr="005B4546">
        <w:rPr>
          <w:i/>
          <w:iCs/>
        </w:rPr>
        <w:t>shall be made from eligible lists</w:t>
      </w:r>
      <w:r w:rsidRPr="00F91E1D">
        <w:t xml:space="preserve"> created in accordance with the civil service or merit system rules of the county in which the retirement system governed by the boards is situate</w:t>
      </w:r>
      <w:r w:rsidR="00A62935">
        <w:t>d. </w:t>
      </w:r>
      <w:r w:rsidR="007F1942">
        <w:t xml:space="preserve"> </w:t>
      </w:r>
      <w:r w:rsidRPr="00F91E1D">
        <w:t xml:space="preserve">The personnel shall be county employees and shall be subject to the county civil service or merit system rules and </w:t>
      </w:r>
      <w:r w:rsidRPr="005B4546">
        <w:rPr>
          <w:i/>
          <w:iCs/>
        </w:rPr>
        <w:t>shall be included in the salary ordinance or resolution adopted by the board of supervisors</w:t>
      </w:r>
      <w:r w:rsidRPr="00F91E1D">
        <w:t xml:space="preserve"> for the compensation of county officers and employees.</w:t>
      </w:r>
      <w:r w:rsidR="007F1942">
        <w:t>”</w:t>
      </w:r>
      <w:r w:rsidR="002625DA">
        <w:t xml:space="preserve">  (</w:t>
      </w:r>
      <w:r w:rsidR="00A62935">
        <w:t>§ </w:t>
      </w:r>
      <w:r w:rsidR="002625DA">
        <w:t>31522.1, italics added.)</w:t>
      </w:r>
      <w:r w:rsidR="007F1942">
        <w:t xml:space="preserve">  </w:t>
      </w:r>
      <w:r w:rsidR="00622C52">
        <w:t xml:space="preserve">LACERA </w:t>
      </w:r>
      <w:r w:rsidR="00423E9D">
        <w:t>argues</w:t>
      </w:r>
      <w:r w:rsidR="00622C52">
        <w:t xml:space="preserve"> </w:t>
      </w:r>
      <w:r w:rsidR="002625DA">
        <w:t xml:space="preserve">the italicized language </w:t>
      </w:r>
      <w:r w:rsidR="00D5150E">
        <w:t>creates a ministerial duty on</w:t>
      </w:r>
      <w:r w:rsidR="002625DA">
        <w:t xml:space="preserve"> </w:t>
      </w:r>
      <w:r w:rsidR="00D5150E">
        <w:t>b</w:t>
      </w:r>
      <w:r w:rsidR="002625DA">
        <w:t>oard</w:t>
      </w:r>
      <w:r w:rsidR="00D5150E">
        <w:t>s</w:t>
      </w:r>
      <w:r w:rsidR="002625DA">
        <w:t xml:space="preserve"> of </w:t>
      </w:r>
      <w:r w:rsidR="00D5150E">
        <w:t>s</w:t>
      </w:r>
      <w:r w:rsidR="002625DA">
        <w:t xml:space="preserve">upervisors to include in </w:t>
      </w:r>
      <w:r w:rsidR="00D5150E">
        <w:t>c</w:t>
      </w:r>
      <w:r w:rsidR="002625DA">
        <w:t>ounty employment classifications</w:t>
      </w:r>
      <w:r w:rsidR="00AD3B6B">
        <w:t xml:space="preserve"> and </w:t>
      </w:r>
      <w:r w:rsidR="003161F5">
        <w:t xml:space="preserve">the </w:t>
      </w:r>
      <w:r w:rsidR="00AD3B6B">
        <w:t>salary ordinance</w:t>
      </w:r>
      <w:r w:rsidR="002625DA">
        <w:t xml:space="preserve"> the </w:t>
      </w:r>
      <w:r w:rsidR="00127514">
        <w:t xml:space="preserve">classifications </w:t>
      </w:r>
      <w:r w:rsidR="00AD3B6B">
        <w:t xml:space="preserve">and salaries adopted by </w:t>
      </w:r>
      <w:r w:rsidR="00D5150E">
        <w:t>retirement</w:t>
      </w:r>
      <w:r w:rsidR="00AD3B6B">
        <w:t xml:space="preserve"> </w:t>
      </w:r>
      <w:r w:rsidR="00D5150E">
        <w:t>b</w:t>
      </w:r>
      <w:r w:rsidR="00AD3B6B">
        <w:t xml:space="preserve">oards.  </w:t>
      </w:r>
      <w:r w:rsidR="00183516">
        <w:t xml:space="preserve">We agree with the trial court’s assessment </w:t>
      </w:r>
      <w:r w:rsidR="00815CEE">
        <w:t>this language</w:t>
      </w:r>
      <w:r w:rsidR="00183516">
        <w:t xml:space="preserve"> is </w:t>
      </w:r>
      <w:r w:rsidR="0067639A">
        <w:t xml:space="preserve">ambiguous regarding who creates the “eligible lists” from which a </w:t>
      </w:r>
      <w:r w:rsidR="00C51AA4">
        <w:t>retirement board may appoint personnel</w:t>
      </w:r>
      <w:r w:rsidR="00CA053A">
        <w:t xml:space="preserve"> </w:t>
      </w:r>
      <w:r w:rsidR="000704EA">
        <w:t xml:space="preserve">and </w:t>
      </w:r>
      <w:r w:rsidR="00CA053A">
        <w:t>regarding</w:t>
      </w:r>
      <w:r w:rsidR="000704EA">
        <w:t xml:space="preserve"> </w:t>
      </w:r>
      <w:r w:rsidR="0041000D">
        <w:t xml:space="preserve">whether </w:t>
      </w:r>
      <w:r w:rsidR="00062EB0">
        <w:t xml:space="preserve">“personnel </w:t>
      </w:r>
      <w:r w:rsidR="00A62935">
        <w:t>. . . </w:t>
      </w:r>
      <w:r w:rsidR="009B74D3">
        <w:t xml:space="preserve">shall be included in </w:t>
      </w:r>
      <w:r w:rsidR="00F03F1F">
        <w:t>the salary ordinance</w:t>
      </w:r>
      <w:r w:rsidR="009B74D3">
        <w:t>”</w:t>
      </w:r>
      <w:r w:rsidR="0041000D">
        <w:t xml:space="preserve"> creates a </w:t>
      </w:r>
      <w:r w:rsidR="00E05E2C">
        <w:t xml:space="preserve">ministerial </w:t>
      </w:r>
      <w:r w:rsidR="0041000D">
        <w:t>duty.</w:t>
      </w:r>
      <w:r w:rsidR="009B74D3">
        <w:t xml:space="preserve"> </w:t>
      </w:r>
      <w:r w:rsidR="007B0A48">
        <w:t xml:space="preserve"> </w:t>
      </w:r>
      <w:r w:rsidR="003161F5">
        <w:t>And t</w:t>
      </w:r>
      <w:r w:rsidR="00B77C54">
        <w:t>he l</w:t>
      </w:r>
      <w:r w:rsidR="00022084">
        <w:t xml:space="preserve">anguage stating </w:t>
      </w:r>
      <w:r w:rsidR="00B77C54">
        <w:t>“</w:t>
      </w:r>
      <w:r w:rsidRPr="00F91E1D" w:rsidR="00B77C54">
        <w:t>personnel shall be county employees</w:t>
      </w:r>
      <w:r w:rsidR="00B77C54">
        <w:t xml:space="preserve">” </w:t>
      </w:r>
      <w:r w:rsidR="0062288A">
        <w:t>further</w:t>
      </w:r>
      <w:r w:rsidR="006546E0">
        <w:t xml:space="preserve"> </w:t>
      </w:r>
      <w:r w:rsidR="00B77C54">
        <w:t>complicates the meaning of section 31522.1.</w:t>
      </w:r>
    </w:p>
    <w:p w:rsidR="00A62935" w:rsidP="00A62935" w14:paraId="7830F7F6" w14:textId="30A51933">
      <w:pPr>
        <w:spacing w:line="288" w:lineRule="auto"/>
        <w:ind w:firstLine="720"/>
      </w:pPr>
      <w:r>
        <w:t xml:space="preserve">Reading </w:t>
      </w:r>
      <w:r w:rsidR="00815CEE">
        <w:t>the contested</w:t>
      </w:r>
      <w:r>
        <w:t xml:space="preserve"> language in </w:t>
      </w:r>
      <w:r w:rsidR="003161F5">
        <w:t xml:space="preserve">its </w:t>
      </w:r>
      <w:r>
        <w:t>context</w:t>
      </w:r>
      <w:r w:rsidR="00C30CF3">
        <w:t>,</w:t>
      </w:r>
      <w:r w:rsidR="00982ABA">
        <w:t xml:space="preserve"> in the context of </w:t>
      </w:r>
      <w:r w:rsidR="00D309C9">
        <w:t>CERL</w:t>
      </w:r>
      <w:r w:rsidR="00982ABA">
        <w:t xml:space="preserve"> </w:t>
      </w:r>
      <w:r w:rsidR="00EC1527">
        <w:t xml:space="preserve">as </w:t>
      </w:r>
      <w:r w:rsidR="00982ABA">
        <w:t>a whole</w:t>
      </w:r>
      <w:r w:rsidR="00D309C9">
        <w:t xml:space="preserve">, and </w:t>
      </w:r>
      <w:r w:rsidR="00423E9D">
        <w:t>in light of the</w:t>
      </w:r>
      <w:r w:rsidR="00C30CF3">
        <w:t xml:space="preserve"> </w:t>
      </w:r>
      <w:r w:rsidR="00402104">
        <w:t>relevant</w:t>
      </w:r>
      <w:r w:rsidR="00C30CF3">
        <w:t xml:space="preserve"> </w:t>
      </w:r>
      <w:r w:rsidR="00D309C9">
        <w:t xml:space="preserve">legislative history, </w:t>
      </w:r>
      <w:r w:rsidR="00C30CF3">
        <w:t xml:space="preserve">we conclude section 31522.1 </w:t>
      </w:r>
      <w:r w:rsidR="00A752FF">
        <w:t>requires the Board of Supervisors to include in County classifications and the salary ordinance the</w:t>
      </w:r>
      <w:r w:rsidR="00145DE7">
        <w:t xml:space="preserve"> employment</w:t>
      </w:r>
      <w:r w:rsidR="00A752FF">
        <w:t xml:space="preserve"> classes and compensation adopted by the LACERA Boards.  First, </w:t>
      </w:r>
      <w:r w:rsidR="0091163A">
        <w:t xml:space="preserve">section 31522.1 </w:t>
      </w:r>
      <w:r w:rsidR="00A752FF">
        <w:t>gives LACERA Boards authority</w:t>
      </w:r>
      <w:r w:rsidR="00442CAE">
        <w:t xml:space="preserve"> to</w:t>
      </w:r>
      <w:r w:rsidR="00A752FF">
        <w:t xml:space="preserve"> </w:t>
      </w:r>
      <w:r w:rsidR="00442CAE">
        <w:t>“</w:t>
      </w:r>
      <w:r w:rsidR="00A752FF">
        <w:t xml:space="preserve">appoint” </w:t>
      </w:r>
      <w:r w:rsidR="00402104">
        <w:t xml:space="preserve">staff </w:t>
      </w:r>
      <w:r w:rsidR="00815CEE">
        <w:t>who are</w:t>
      </w:r>
      <w:r w:rsidR="00402104">
        <w:t xml:space="preserve"> </w:t>
      </w:r>
      <w:r w:rsidR="002C508E">
        <w:t>“required to accomplish the necessary work of the boards.”</w:t>
      </w:r>
      <w:r>
        <w:rPr>
          <w:rStyle w:val="FootnoteReference"/>
        </w:rPr>
        <w:footnoteReference w:id="16"/>
      </w:r>
      <w:r w:rsidR="002C508E">
        <w:t xml:space="preserve">  </w:t>
      </w:r>
      <w:r>
        <w:t>Because retirement boards manage their retirement systems (§ 31520), they must have authority to</w:t>
      </w:r>
      <w:r w:rsidR="00815CEE">
        <w:t xml:space="preserve"> determine what work </w:t>
      </w:r>
      <w:r>
        <w:t>is</w:t>
      </w:r>
      <w:r w:rsidR="00815CEE">
        <w:t xml:space="preserve"> “necessary.”  Appointing staff to accomplish the necessary work must include</w:t>
      </w:r>
      <w:r>
        <w:t>, at a minimum,</w:t>
      </w:r>
      <w:r w:rsidR="00815CEE">
        <w:t xml:space="preserve"> authority to </w:t>
      </w:r>
      <w:r w:rsidR="009E71C2">
        <w:t xml:space="preserve">determine </w:t>
      </w:r>
      <w:r w:rsidR="000063AB">
        <w:t>job responsibilities</w:t>
      </w:r>
      <w:r>
        <w:t xml:space="preserve"> and</w:t>
      </w:r>
      <w:r w:rsidR="000063AB">
        <w:t xml:space="preserve"> reporting </w:t>
      </w:r>
      <w:r w:rsidR="00126250">
        <w:t>relationships</w:t>
      </w:r>
      <w:r>
        <w:t xml:space="preserve"> of the appointed employees</w:t>
      </w:r>
      <w:r w:rsidR="00C109CE">
        <w:t>.</w:t>
      </w:r>
      <w:r w:rsidR="00DC4FAF">
        <w:t xml:space="preserve">  </w:t>
      </w:r>
      <w:r>
        <w:t>It follows that the language in section 31522.1 stating “[t]</w:t>
      </w:r>
      <w:r w:rsidRPr="00F91E1D">
        <w:t xml:space="preserve">he appointments </w:t>
      </w:r>
      <w:r w:rsidRPr="00A62935">
        <w:t>shall be made from eligible lists</w:t>
      </w:r>
      <w:r>
        <w:t xml:space="preserve">” must mean lists made by the retirement boards because boards of supervisors have no knowledge </w:t>
      </w:r>
      <w:r w:rsidR="00611413">
        <w:t xml:space="preserve">of </w:t>
      </w:r>
      <w:r>
        <w:t xml:space="preserve">or supervisory authority over the necessary work of retirement boards.  Moreover, </w:t>
      </w:r>
      <w:r w:rsidR="00D618BD">
        <w:t xml:space="preserve">if </w:t>
      </w:r>
      <w:r>
        <w:t xml:space="preserve">the Legislature </w:t>
      </w:r>
      <w:r w:rsidR="00D618BD">
        <w:t xml:space="preserve">had intended </w:t>
      </w:r>
      <w:r w:rsidR="000F4111">
        <w:t xml:space="preserve">retirement boards to make </w:t>
      </w:r>
      <w:r w:rsidR="008768BE">
        <w:t>appointments from eligib</w:t>
      </w:r>
      <w:r w:rsidR="00164314">
        <w:t>le</w:t>
      </w:r>
      <w:r w:rsidR="008768BE">
        <w:t xml:space="preserve"> lists created by boards of supervisors</w:t>
      </w:r>
      <w:r w:rsidR="000F4B2B">
        <w:t xml:space="preserve"> for county employees</w:t>
      </w:r>
      <w:r w:rsidR="008768BE">
        <w:t xml:space="preserve">, </w:t>
      </w:r>
      <w:r w:rsidR="00A54FA2">
        <w:t xml:space="preserve">the Legislature </w:t>
      </w:r>
      <w:r w:rsidR="00437972">
        <w:t xml:space="preserve">could have </w:t>
      </w:r>
      <w:r w:rsidR="004772FB">
        <w:t>omitted the reference to such lists in section 31522.1</w:t>
      </w:r>
      <w:r w:rsidR="00A54FA2">
        <w:t xml:space="preserve">. </w:t>
      </w:r>
      <w:r>
        <w:t xml:space="preserve"> (See </w:t>
      </w:r>
      <w:r>
        <w:rPr>
          <w:i/>
          <w:iCs/>
        </w:rPr>
        <w:t>S</w:t>
      </w:r>
      <w:r w:rsidRPr="00C74ACE">
        <w:rPr>
          <w:i/>
          <w:iCs/>
        </w:rPr>
        <w:t>an Diego Police Officers Assn. v. City of San Diego Civil Service Com.</w:t>
      </w:r>
      <w:r w:rsidRPr="00C74ACE">
        <w:t xml:space="preserve"> (2002) 104</w:t>
      </w:r>
      <w:r>
        <w:t> </w:t>
      </w:r>
      <w:r w:rsidRPr="00C74ACE">
        <w:t>Cal.App.4th 275, 284</w:t>
      </w:r>
      <w:r>
        <w:t xml:space="preserve"> [rejecting </w:t>
      </w:r>
      <w:r w:rsidR="003161F5">
        <w:t xml:space="preserve">the </w:t>
      </w:r>
      <w:r>
        <w:t xml:space="preserve">construction of a statute “merely to restate” the status quo].)  </w:t>
      </w:r>
    </w:p>
    <w:p w:rsidR="00FC0B45" w:rsidP="00A62935" w14:paraId="7F367855" w14:textId="5C0E3BFF">
      <w:pPr>
        <w:spacing w:line="288" w:lineRule="auto"/>
        <w:ind w:firstLine="720"/>
      </w:pPr>
      <w:r w:rsidRPr="003161F5">
        <w:t>Similarly</w:t>
      </w:r>
      <w:r>
        <w:t>, the language of s</w:t>
      </w:r>
      <w:r w:rsidR="003E5310">
        <w:t>ection 31522.1</w:t>
      </w:r>
      <w:r w:rsidR="000A1C7E">
        <w:t>,</w:t>
      </w:r>
      <w:r w:rsidR="003E5310">
        <w:t xml:space="preserve"> </w:t>
      </w:r>
      <w:r w:rsidR="008407C7">
        <w:t>th</w:t>
      </w:r>
      <w:r w:rsidR="000A1C7E">
        <w:t>at</w:t>
      </w:r>
      <w:r w:rsidR="008407C7">
        <w:t xml:space="preserve"> personnel appointed by a retirement </w:t>
      </w:r>
      <w:r w:rsidR="00E25ED7">
        <w:t xml:space="preserve">board </w:t>
      </w:r>
      <w:r w:rsidR="008407C7">
        <w:t xml:space="preserve">“shall be included in the salary ordinance or resolution adopted by the board of supervisors </w:t>
      </w:r>
      <w:r w:rsidR="003B12F9">
        <w:t>for the compensation of county officers and employees</w:t>
      </w:r>
      <w:r w:rsidR="000A1C7E">
        <w:t>,</w:t>
      </w:r>
      <w:r w:rsidR="003B12F9">
        <w:t xml:space="preserve">” </w:t>
      </w:r>
      <w:r w:rsidR="006F127B">
        <w:t>create</w:t>
      </w:r>
      <w:r w:rsidR="003161F5">
        <w:t>s</w:t>
      </w:r>
      <w:r w:rsidR="006F127B">
        <w:t xml:space="preserve"> a mandatory duty </w:t>
      </w:r>
      <w:r>
        <w:t>for</w:t>
      </w:r>
      <w:r w:rsidR="006F127B">
        <w:t xml:space="preserve"> board</w:t>
      </w:r>
      <w:r>
        <w:t>s</w:t>
      </w:r>
      <w:r w:rsidR="006F127B">
        <w:t xml:space="preserve"> of supervisors to include in the relevant county’s salary ordinance the salaries adopted by a retirement board for its appointees.  </w:t>
      </w:r>
      <w:r w:rsidR="00E25ED7">
        <w:t xml:space="preserve">The </w:t>
      </w:r>
      <w:r w:rsidR="006F127B">
        <w:t xml:space="preserve">alternative interpretation proposed by the </w:t>
      </w:r>
      <w:r w:rsidR="000E71B7">
        <w:t>County and Board of Supervisors</w:t>
      </w:r>
      <w:r w:rsidR="000A1C7E">
        <w:t>,</w:t>
      </w:r>
      <w:r w:rsidR="000E71B7">
        <w:t xml:space="preserve"> </w:t>
      </w:r>
      <w:r w:rsidR="006F127B">
        <w:t>that</w:t>
      </w:r>
      <w:r w:rsidR="000E71B7">
        <w:t xml:space="preserve"> t</w:t>
      </w:r>
      <w:r w:rsidR="005F2918">
        <w:t xml:space="preserve">his language </w:t>
      </w:r>
      <w:r w:rsidR="000E71B7">
        <w:t>merely reflect</w:t>
      </w:r>
      <w:r w:rsidR="006F127B">
        <w:t>ed</w:t>
      </w:r>
      <w:r w:rsidR="000E71B7">
        <w:t xml:space="preserve"> the status quo </w:t>
      </w:r>
      <w:r w:rsidR="00B11A13">
        <w:t xml:space="preserve">for every </w:t>
      </w:r>
      <w:r w:rsidR="000E71B7">
        <w:t>county employee</w:t>
      </w:r>
      <w:r w:rsidR="00B11A13">
        <w:t xml:space="preserve"> at the time the Legislature enacted section</w:t>
      </w:r>
      <w:r w:rsidR="00253746">
        <w:t> </w:t>
      </w:r>
      <w:r w:rsidR="00B11A13">
        <w:t>31522.1</w:t>
      </w:r>
      <w:r w:rsidR="000A1C7E">
        <w:t>,</w:t>
      </w:r>
      <w:r w:rsidR="00B11A13">
        <w:t xml:space="preserve"> </w:t>
      </w:r>
      <w:r>
        <w:t>would render that language meaningless</w:t>
      </w:r>
      <w:r w:rsidR="000E71B7">
        <w:t>.</w:t>
      </w:r>
      <w:r w:rsidR="00A0366A">
        <w:t xml:space="preserve"> </w:t>
      </w:r>
      <w:r w:rsidR="007B0A48">
        <w:t xml:space="preserve"> </w:t>
      </w:r>
      <w:r w:rsidR="00C541C9">
        <w:t>(</w:t>
      </w:r>
      <w:r>
        <w:t xml:space="preserve">See </w:t>
      </w:r>
      <w:r w:rsidRPr="00353919" w:rsidR="00C541C9">
        <w:rPr>
          <w:i/>
          <w:iCs/>
        </w:rPr>
        <w:t>Kemp v. Superior Court</w:t>
      </w:r>
      <w:r w:rsidRPr="00353919" w:rsidR="00C541C9">
        <w:t xml:space="preserve"> (2022) 86</w:t>
      </w:r>
      <w:r w:rsidR="00C541C9">
        <w:t> </w:t>
      </w:r>
      <w:r w:rsidRPr="00353919" w:rsidR="00C541C9">
        <w:t>Cal.App.5th 981, 994</w:t>
      </w:r>
      <w:r w:rsidR="00C541C9">
        <w:t>-</w:t>
      </w:r>
      <w:r w:rsidRPr="00353919" w:rsidR="00C541C9">
        <w:t>995</w:t>
      </w:r>
      <w:r>
        <w:t xml:space="preserve"> [“‘</w:t>
      </w:r>
      <w:r w:rsidRPr="00353919">
        <w:t>In</w:t>
      </w:r>
      <w:r w:rsidR="00023552">
        <w:t> </w:t>
      </w:r>
      <w:r w:rsidRPr="00353919">
        <w:t>construing a statute we are required to give independent meaning and significance to each word, phrase, and sentence in a statute and to avoid an interpretation that makes any part of a statute meaningless.</w:t>
      </w:r>
      <w:r>
        <w:t>’</w:t>
      </w:r>
      <w:r w:rsidRPr="00353919">
        <w:t>”</w:t>
      </w:r>
      <w:r>
        <w:t xml:space="preserve">]; </w:t>
      </w:r>
      <w:r>
        <w:rPr>
          <w:i/>
          <w:iCs/>
        </w:rPr>
        <w:t>S</w:t>
      </w:r>
      <w:r w:rsidRPr="00C74ACE">
        <w:rPr>
          <w:i/>
          <w:iCs/>
        </w:rPr>
        <w:t>an Diego Police Officers Assn. v. City of San Diego Civil Service Com.</w:t>
      </w:r>
      <w:r>
        <w:t xml:space="preserve">, </w:t>
      </w:r>
      <w:r>
        <w:rPr>
          <w:i/>
          <w:iCs/>
        </w:rPr>
        <w:t>supra</w:t>
      </w:r>
      <w:r>
        <w:t>,</w:t>
      </w:r>
      <w:r w:rsidRPr="00C74ACE">
        <w:t xml:space="preserve"> 104</w:t>
      </w:r>
      <w:r>
        <w:t> </w:t>
      </w:r>
      <w:r w:rsidRPr="00C74ACE">
        <w:t xml:space="preserve">Cal.App.4th </w:t>
      </w:r>
      <w:r>
        <w:t xml:space="preserve">at p. </w:t>
      </w:r>
      <w:r w:rsidRPr="00C74ACE">
        <w:t>284</w:t>
      </w:r>
      <w:r w:rsidR="00B86A9A">
        <w:t xml:space="preserve"> [same]</w:t>
      </w:r>
      <w:r w:rsidR="00C541C9">
        <w:t>.)</w:t>
      </w:r>
      <w:r w:rsidR="00041D09">
        <w:t xml:space="preserve"> </w:t>
      </w:r>
      <w:r>
        <w:t xml:space="preserve"> </w:t>
      </w:r>
    </w:p>
    <w:p w:rsidR="003E5310" w:rsidP="0019175B" w14:paraId="41F7ADC6" w14:textId="30ED6350">
      <w:pPr>
        <w:spacing w:line="288" w:lineRule="auto"/>
        <w:ind w:firstLine="720"/>
      </w:pPr>
      <w:r>
        <w:t xml:space="preserve">The County and Board of Supervisors </w:t>
      </w:r>
      <w:r w:rsidR="006F127B">
        <w:t xml:space="preserve">also argue </w:t>
      </w:r>
      <w:r w:rsidR="00512C3C">
        <w:t xml:space="preserve">the </w:t>
      </w:r>
      <w:r w:rsidR="00937DDA">
        <w:t xml:space="preserve">use of </w:t>
      </w:r>
      <w:r>
        <w:t>“shall” in section 31522.1 is permissive and not mandatory</w:t>
      </w:r>
      <w:r w:rsidR="001E4FE1">
        <w:t xml:space="preserve"> because </w:t>
      </w:r>
      <w:r w:rsidR="0012492D">
        <w:t>“</w:t>
      </w:r>
      <w:r w:rsidR="00215BBA">
        <w:t xml:space="preserve">the </w:t>
      </w:r>
      <w:r w:rsidR="004772FB">
        <w:t xml:space="preserve">duty is </w:t>
      </w:r>
      <w:r w:rsidR="00215BBA">
        <w:t xml:space="preserve">discretionary </w:t>
      </w:r>
      <w:r w:rsidR="0012492D">
        <w:t xml:space="preserve">if </w:t>
      </w:r>
      <w:r w:rsidR="00215BBA">
        <w:t>the entity must exercise significant discretion to perform the duty.</w:t>
      </w:r>
      <w:r w:rsidR="0012492D">
        <w:t>”</w:t>
      </w:r>
      <w:r w:rsidR="00215BBA">
        <w:t xml:space="preserve"> </w:t>
      </w:r>
      <w:r w:rsidR="007B0A48">
        <w:t xml:space="preserve"> </w:t>
      </w:r>
      <w:r w:rsidR="003D4C71">
        <w:t>B</w:t>
      </w:r>
      <w:r w:rsidR="000200C1">
        <w:t xml:space="preserve">ut the duty LACERA </w:t>
      </w:r>
      <w:r w:rsidR="005B0438">
        <w:t>identifies</w:t>
      </w:r>
      <w:r w:rsidR="00782CBE">
        <w:t xml:space="preserve"> does not involve any discretion.  Indeed, the whole point of LACERA’s argument is the Board of Supervisors </w:t>
      </w:r>
      <w:r w:rsidR="00611E2E">
        <w:t>does not have</w:t>
      </w:r>
      <w:r w:rsidR="00782CBE">
        <w:t xml:space="preserve"> discretion to </w:t>
      </w:r>
      <w:r w:rsidR="0044451A">
        <w:t xml:space="preserve">fix the compensation for LACERA employees and must include </w:t>
      </w:r>
      <w:r w:rsidR="004E0237">
        <w:t xml:space="preserve">in the </w:t>
      </w:r>
      <w:r w:rsidR="000239B0">
        <w:t xml:space="preserve">eligible list and </w:t>
      </w:r>
      <w:r w:rsidR="004E0237">
        <w:t xml:space="preserve">salary ordinance the </w:t>
      </w:r>
      <w:r w:rsidR="000239B0">
        <w:t xml:space="preserve">classifications and </w:t>
      </w:r>
      <w:r w:rsidR="004E0237">
        <w:t xml:space="preserve">salaries adopted by </w:t>
      </w:r>
      <w:r w:rsidR="002571FF">
        <w:t xml:space="preserve">the </w:t>
      </w:r>
      <w:r w:rsidR="004E0237">
        <w:t>LACERA Boards for their employees.</w:t>
      </w:r>
      <w:r w:rsidR="00D17B88">
        <w:t xml:space="preserve">  (See </w:t>
      </w:r>
      <w:r w:rsidRPr="00E85A51" w:rsidR="0049601A">
        <w:rPr>
          <w:i/>
          <w:iCs/>
        </w:rPr>
        <w:t>Schecter v. Los</w:t>
      </w:r>
      <w:r w:rsidR="00314184">
        <w:rPr>
          <w:i/>
          <w:iCs/>
        </w:rPr>
        <w:t> </w:t>
      </w:r>
      <w:r w:rsidRPr="00E85A51" w:rsidR="0049601A">
        <w:rPr>
          <w:i/>
          <w:iCs/>
        </w:rPr>
        <w:t>Angeles County</w:t>
      </w:r>
      <w:r w:rsidR="0049601A">
        <w:t xml:space="preserve">, </w:t>
      </w:r>
      <w:r w:rsidR="0049601A">
        <w:rPr>
          <w:i/>
          <w:iCs/>
        </w:rPr>
        <w:t>supra</w:t>
      </w:r>
      <w:r w:rsidR="0049601A">
        <w:t>,</w:t>
      </w:r>
      <w:r w:rsidRPr="00E85A51" w:rsidR="0049601A">
        <w:t xml:space="preserve"> 258</w:t>
      </w:r>
      <w:r w:rsidR="0049601A">
        <w:t> </w:t>
      </w:r>
      <w:r w:rsidRPr="00E85A51" w:rsidR="0049601A">
        <w:t xml:space="preserve">Cal.App.2d </w:t>
      </w:r>
      <w:r w:rsidR="0049601A">
        <w:t>at p</w:t>
      </w:r>
      <w:r w:rsidR="0012492D">
        <w:t>. </w:t>
      </w:r>
      <w:r w:rsidRPr="00E85A51" w:rsidR="0049601A">
        <w:t>393</w:t>
      </w:r>
      <w:r w:rsidR="0049601A">
        <w:t xml:space="preserve"> [</w:t>
      </w:r>
      <w:r w:rsidR="00727639">
        <w:t xml:space="preserve">affirming </w:t>
      </w:r>
      <w:r w:rsidR="0024002B">
        <w:t xml:space="preserve">an order granting a petition for </w:t>
      </w:r>
      <w:r w:rsidR="00727639">
        <w:t>writ of mandate ordering the Board of Supervisors to amend its salary ordinance to implement classification</w:t>
      </w:r>
      <w:r w:rsidR="004F07F3">
        <w:t>s</w:t>
      </w:r>
      <w:r w:rsidR="00727639">
        <w:t xml:space="preserve"> adopted by </w:t>
      </w:r>
      <w:r w:rsidR="00440D5D">
        <w:t>the Civil Service Commission].)</w:t>
      </w:r>
      <w:r w:rsidR="004E0237">
        <w:t xml:space="preserve"> </w:t>
      </w:r>
      <w:r w:rsidR="00150763">
        <w:t xml:space="preserve"> </w:t>
      </w:r>
      <w:r w:rsidR="005F57C0">
        <w:t xml:space="preserve">The County and Board of Supervisors’ argument rests on the </w:t>
      </w:r>
      <w:r w:rsidR="0024002B">
        <w:t xml:space="preserve">incorrect </w:t>
      </w:r>
      <w:r w:rsidR="005F57C0">
        <w:t>premise that the Board of Supervisors retains some authority to establish</w:t>
      </w:r>
      <w:r w:rsidR="003D0970">
        <w:t xml:space="preserve"> or reject</w:t>
      </w:r>
      <w:r w:rsidR="005F57C0">
        <w:t xml:space="preserve"> these </w:t>
      </w:r>
      <w:r w:rsidR="000F5BFD">
        <w:t>terms of employment.</w:t>
      </w:r>
    </w:p>
    <w:p w:rsidR="00846427" w:rsidP="00C74B13" w14:paraId="697D0B71" w14:textId="7DA0DCAB">
      <w:pPr>
        <w:spacing w:line="288" w:lineRule="auto"/>
        <w:ind w:firstLine="720"/>
      </w:pPr>
      <w:r>
        <w:t xml:space="preserve">Second, reading section 31522.1 to require </w:t>
      </w:r>
      <w:r w:rsidR="009A3DFF">
        <w:t>b</w:t>
      </w:r>
      <w:r>
        <w:t>oard</w:t>
      </w:r>
      <w:r w:rsidR="009A3DFF">
        <w:t>s</w:t>
      </w:r>
      <w:r>
        <w:t xml:space="preserve"> of </w:t>
      </w:r>
      <w:r w:rsidR="009A3DFF">
        <w:t>s</w:t>
      </w:r>
      <w:r>
        <w:t xml:space="preserve">upervisors to </w:t>
      </w:r>
      <w:r w:rsidR="00A36282">
        <w:t xml:space="preserve">adopt the classifications and salaries adopted by </w:t>
      </w:r>
      <w:r w:rsidR="009A3DFF">
        <w:t xml:space="preserve">retirement boards </w:t>
      </w:r>
      <w:r w:rsidR="00711887">
        <w:t>makes sense in light of section 31</w:t>
      </w:r>
      <w:r w:rsidR="000301E0">
        <w:t xml:space="preserve">580.2, which gives </w:t>
      </w:r>
      <w:r w:rsidR="001A35FD">
        <w:t xml:space="preserve">retirement boards </w:t>
      </w:r>
      <w:r w:rsidR="000301E0">
        <w:t xml:space="preserve">authority to create </w:t>
      </w:r>
      <w:r w:rsidR="001A35FD">
        <w:t xml:space="preserve">their </w:t>
      </w:r>
      <w:r w:rsidR="000301E0">
        <w:t>own budget</w:t>
      </w:r>
      <w:r w:rsidR="001A35FD">
        <w:t>s</w:t>
      </w:r>
      <w:r w:rsidR="000301E0">
        <w:t xml:space="preserve"> </w:t>
      </w:r>
      <w:r w:rsidR="00136BF5">
        <w:t xml:space="preserve">and </w:t>
      </w:r>
      <w:r w:rsidR="00253746">
        <w:t xml:space="preserve">to </w:t>
      </w:r>
      <w:r w:rsidR="00136BF5">
        <w:t xml:space="preserve">charge </w:t>
      </w:r>
      <w:r w:rsidR="001A35FD">
        <w:t xml:space="preserve">administrative </w:t>
      </w:r>
      <w:r w:rsidR="00136BF5">
        <w:t xml:space="preserve">expenses, including compensation, against </w:t>
      </w:r>
      <w:r w:rsidR="001A35FD">
        <w:t xml:space="preserve">their </w:t>
      </w:r>
      <w:r w:rsidR="00136BF5">
        <w:t xml:space="preserve">earnings. </w:t>
      </w:r>
      <w:r w:rsidR="00E16898">
        <w:t xml:space="preserve"> LACERA cannot create a</w:t>
      </w:r>
      <w:r w:rsidR="004965C0">
        <w:t xml:space="preserve">n accurate budget without </w:t>
      </w:r>
      <w:r w:rsidR="00AC711A">
        <w:t xml:space="preserve">knowing what it can </w:t>
      </w:r>
      <w:r w:rsidR="00DA7136">
        <w:t xml:space="preserve">and will </w:t>
      </w:r>
      <w:r w:rsidR="00AC711A">
        <w:t>pay the staff it appoint</w:t>
      </w:r>
      <w:r w:rsidR="00DA7136">
        <w:t>s</w:t>
      </w:r>
      <w:r w:rsidR="00907E4A">
        <w:t xml:space="preserve">.  </w:t>
      </w:r>
      <w:r w:rsidR="00530AEB">
        <w:t>(</w:t>
      </w:r>
      <w:r w:rsidR="00B169BA">
        <w:t>Cf.</w:t>
      </w:r>
      <w:r w:rsidR="00530AEB">
        <w:t xml:space="preserve"> </w:t>
      </w:r>
      <w:r w:rsidRPr="00395BDC" w:rsidR="00530AEB">
        <w:rPr>
          <w:i/>
          <w:iCs/>
        </w:rPr>
        <w:t>Hicks v. Board of Supervisors</w:t>
      </w:r>
      <w:r w:rsidRPr="00395BDC" w:rsidR="00530AEB">
        <w:t xml:space="preserve"> (1977) 69</w:t>
      </w:r>
      <w:r w:rsidR="00530AEB">
        <w:t> </w:t>
      </w:r>
      <w:r w:rsidRPr="00395BDC" w:rsidR="00530AEB">
        <w:t>Cal.App.3d 228, 235</w:t>
      </w:r>
      <w:r w:rsidR="00530AEB">
        <w:t xml:space="preserve"> [“[t]</w:t>
      </w:r>
      <w:r w:rsidRPr="005E457C" w:rsidR="00530AEB">
        <w:t>he fixing of the number of employees, the salaries and employee benefits is an integral part of the statutory procedure for the adoption of the county budget</w:t>
      </w:r>
      <w:r w:rsidR="00530AEB">
        <w:t xml:space="preserve">”].)  </w:t>
      </w:r>
    </w:p>
    <w:p w:rsidR="00125263" w:rsidRPr="000F6FC1" w:rsidP="00C74B13" w14:paraId="6CF082CB" w14:textId="6E20D6BC">
      <w:pPr>
        <w:spacing w:line="288" w:lineRule="auto"/>
        <w:ind w:firstLine="720"/>
      </w:pPr>
      <w:r>
        <w:t>Moreover, because the funds to pay LACERA’s staff come from retirement system assets and not County funds</w:t>
      </w:r>
      <w:r w:rsidR="00C94859">
        <w:t xml:space="preserve"> (and because the LACERA Boards and not the Board of Supervisors </w:t>
      </w:r>
      <w:r w:rsidR="00352A46">
        <w:t>have</w:t>
      </w:r>
      <w:r w:rsidR="00C94859">
        <w:t xml:space="preserve"> </w:t>
      </w:r>
      <w:r w:rsidR="0005526A">
        <w:t xml:space="preserve">fiduciary </w:t>
      </w:r>
      <w:r w:rsidR="00C94859">
        <w:t>dut</w:t>
      </w:r>
      <w:r w:rsidR="00352A46">
        <w:t>ies</w:t>
      </w:r>
      <w:r w:rsidR="00C94859">
        <w:t xml:space="preserve"> to </w:t>
      </w:r>
      <w:r w:rsidR="00352A46">
        <w:t xml:space="preserve">LACERA </w:t>
      </w:r>
      <w:r w:rsidR="00381981">
        <w:t>members and their beneficiaries</w:t>
      </w:r>
      <w:r w:rsidR="00B1539F">
        <w:t>)</w:t>
      </w:r>
      <w:r>
        <w:t xml:space="preserve">, </w:t>
      </w:r>
      <w:r w:rsidR="00A40B3A">
        <w:t>LACERA</w:t>
      </w:r>
      <w:r w:rsidR="00295D63">
        <w:t xml:space="preserve"> Boards</w:t>
      </w:r>
      <w:r w:rsidR="00A40B3A">
        <w:t xml:space="preserve"> </w:t>
      </w:r>
      <w:r w:rsidR="00253746">
        <w:t xml:space="preserve">must </w:t>
      </w:r>
      <w:r w:rsidR="00295D63">
        <w:t xml:space="preserve">have </w:t>
      </w:r>
      <w:r w:rsidR="00A40B3A">
        <w:t xml:space="preserve">control over </w:t>
      </w:r>
      <w:r w:rsidR="00295D63">
        <w:t xml:space="preserve">LACERA’s </w:t>
      </w:r>
      <w:r w:rsidR="00B1539F">
        <w:t xml:space="preserve">budget, including compensation.  </w:t>
      </w:r>
      <w:r w:rsidR="00056D3C">
        <w:t xml:space="preserve">(See </w:t>
      </w:r>
      <w:r w:rsidRPr="008832D9" w:rsidR="00056D3C">
        <w:rPr>
          <w:i/>
          <w:iCs/>
        </w:rPr>
        <w:t>Corcoran</w:t>
      </w:r>
      <w:r w:rsidR="00056D3C">
        <w:t xml:space="preserve">, </w:t>
      </w:r>
      <w:r w:rsidR="00056D3C">
        <w:rPr>
          <w:i/>
          <w:iCs/>
        </w:rPr>
        <w:t>supra</w:t>
      </w:r>
      <w:r w:rsidR="00056D3C">
        <w:t>,</w:t>
      </w:r>
      <w:r w:rsidRPr="008832D9" w:rsidR="00056D3C">
        <w:t xml:space="preserve"> 60</w:t>
      </w:r>
      <w:r w:rsidR="00253746">
        <w:t> </w:t>
      </w:r>
      <w:r w:rsidRPr="008832D9" w:rsidR="00056D3C">
        <w:t xml:space="preserve">Cal.App.4th </w:t>
      </w:r>
      <w:r w:rsidR="00056D3C">
        <w:t xml:space="preserve">at </w:t>
      </w:r>
      <w:r w:rsidR="00A62935">
        <w:t>p. </w:t>
      </w:r>
      <w:r w:rsidRPr="008832D9" w:rsidR="00056D3C">
        <w:t>9</w:t>
      </w:r>
      <w:r w:rsidR="00056D3C">
        <w:t>5 [a retirement board is the “governing body” for its employees, “</w:t>
      </w:r>
      <w:r w:rsidRPr="008672DD" w:rsidR="00056D3C">
        <w:t>otherwise it would have abdicated its obligation to make administrative cost decisions consistent with its primary duty to the fund</w:t>
      </w:r>
      <w:r w:rsidR="00530AEB">
        <w:t>’</w:t>
      </w:r>
      <w:r w:rsidRPr="008672DD" w:rsidR="00056D3C">
        <w:t>s participants and to their beneficiaries</w:t>
      </w:r>
      <w:r w:rsidR="00056D3C">
        <w:t>”]</w:t>
      </w:r>
      <w:r w:rsidR="0089576C">
        <w:t>.</w:t>
      </w:r>
      <w:r w:rsidR="00056D3C">
        <w:t>)</w:t>
      </w:r>
      <w:r>
        <w:rPr>
          <w:rStyle w:val="FootnoteReference"/>
        </w:rPr>
        <w:footnoteReference w:id="17"/>
      </w:r>
      <w:r w:rsidR="008D3086">
        <w:t xml:space="preserve">  </w:t>
      </w:r>
      <w:r w:rsidR="0066561B">
        <w:t>The County</w:t>
      </w:r>
      <w:r w:rsidR="0012492D">
        <w:t xml:space="preserve"> and Board of Supervisor</w:t>
      </w:r>
      <w:r w:rsidR="00611E2E">
        <w:t xml:space="preserve">s’ </w:t>
      </w:r>
      <w:r w:rsidR="0066561B">
        <w:t xml:space="preserve">position </w:t>
      </w:r>
      <w:r w:rsidR="00180656">
        <w:t xml:space="preserve">that </w:t>
      </w:r>
      <w:r w:rsidR="008D3086">
        <w:t xml:space="preserve">the Legislature gave retirement boards </w:t>
      </w:r>
      <w:r w:rsidR="008C796A">
        <w:t xml:space="preserve">authority to </w:t>
      </w:r>
      <w:r w:rsidR="00D24359">
        <w:t xml:space="preserve">set their own budgets and hire their own employees so long as they paid those </w:t>
      </w:r>
      <w:r w:rsidR="008C796A">
        <w:t xml:space="preserve">employees </w:t>
      </w:r>
      <w:r w:rsidR="00D24359">
        <w:t xml:space="preserve">from </w:t>
      </w:r>
      <w:r w:rsidR="008C796A">
        <w:t>system assets</w:t>
      </w:r>
      <w:r w:rsidR="00C46A41">
        <w:t>, yet</w:t>
      </w:r>
      <w:r w:rsidR="008C796A">
        <w:t xml:space="preserve"> </w:t>
      </w:r>
      <w:r w:rsidR="008350EC">
        <w:t xml:space="preserve">silently </w:t>
      </w:r>
      <w:r w:rsidR="000655A6">
        <w:t xml:space="preserve">reserved </w:t>
      </w:r>
      <w:r w:rsidR="00914A01">
        <w:t xml:space="preserve">for </w:t>
      </w:r>
      <w:r w:rsidR="00DB370D">
        <w:t xml:space="preserve">county administrators </w:t>
      </w:r>
      <w:r w:rsidR="00C46A41">
        <w:t xml:space="preserve">the right to veto </w:t>
      </w:r>
      <w:r w:rsidR="00DB370D">
        <w:t xml:space="preserve">the vast majority of </w:t>
      </w:r>
      <w:r w:rsidR="00914A01">
        <w:t>that spending</w:t>
      </w:r>
      <w:r w:rsidR="0030548E">
        <w:t>,</w:t>
      </w:r>
      <w:r w:rsidR="003D2A67">
        <w:t xml:space="preserve"> is </w:t>
      </w:r>
      <w:r w:rsidR="00AF2168">
        <w:t>in</w:t>
      </w:r>
      <w:r w:rsidR="003D2A67">
        <w:t xml:space="preserve">consistent with retirement boards having the ability to create, fund, and control their own budgets.  </w:t>
      </w:r>
      <w:r w:rsidR="003B3E3A">
        <w:t xml:space="preserve">(See </w:t>
      </w:r>
      <w:r w:rsidRPr="00D00324" w:rsidR="003B3E3A">
        <w:rPr>
          <w:i/>
          <w:iCs/>
          <w:szCs w:val="26"/>
        </w:rPr>
        <w:t>Jackpot Harvesting Co., Inc. v. Superior Court</w:t>
      </w:r>
      <w:r w:rsidR="003B3E3A">
        <w:rPr>
          <w:szCs w:val="26"/>
        </w:rPr>
        <w:t xml:space="preserve"> (2018) </w:t>
      </w:r>
      <w:r w:rsidRPr="00D00324" w:rsidR="003B3E3A">
        <w:rPr>
          <w:szCs w:val="26"/>
        </w:rPr>
        <w:t>26</w:t>
      </w:r>
      <w:r w:rsidR="003B3E3A">
        <w:rPr>
          <w:szCs w:val="26"/>
        </w:rPr>
        <w:t> </w:t>
      </w:r>
      <w:r w:rsidRPr="00D00324" w:rsidR="003B3E3A">
        <w:rPr>
          <w:szCs w:val="26"/>
        </w:rPr>
        <w:t xml:space="preserve">Cal.App.5th </w:t>
      </w:r>
      <w:r w:rsidR="003B3E3A">
        <w:rPr>
          <w:szCs w:val="26"/>
        </w:rPr>
        <w:t>125, 141</w:t>
      </w:r>
      <w:r w:rsidR="006520E1">
        <w:rPr>
          <w:szCs w:val="26"/>
        </w:rPr>
        <w:t xml:space="preserve"> [“</w:t>
      </w:r>
      <w:r w:rsidRPr="00D00324" w:rsidR="006520E1">
        <w:rPr>
          <w:szCs w:val="26"/>
        </w:rPr>
        <w:t xml:space="preserve">we </w:t>
      </w:r>
      <w:r w:rsidR="006520E1">
        <w:rPr>
          <w:szCs w:val="26"/>
        </w:rPr>
        <w:t>‘</w:t>
      </w:r>
      <w:r w:rsidRPr="00D00324" w:rsidR="006520E1">
        <w:rPr>
          <w:szCs w:val="26"/>
        </w:rPr>
        <w:t>select the construction that comports most closely with the apparent intent of the Legislature</w:t>
      </w:r>
      <w:r w:rsidR="006520E1">
        <w:rPr>
          <w:szCs w:val="26"/>
        </w:rPr>
        <w:t xml:space="preserve"> [or the voters]</w:t>
      </w:r>
      <w:r w:rsidRPr="00D00324" w:rsidR="006520E1">
        <w:rPr>
          <w:szCs w:val="26"/>
        </w:rPr>
        <w:t>, with a view to promoting rather than defeating the general purpose of the statute, and avoid an interpretation that would lead to absurd consequences</w:t>
      </w:r>
      <w:r w:rsidR="006520E1">
        <w:rPr>
          <w:szCs w:val="26"/>
        </w:rPr>
        <w:t>’</w:t>
      </w:r>
      <w:r w:rsidRPr="00D00324" w:rsidR="006520E1">
        <w:rPr>
          <w:szCs w:val="26"/>
        </w:rPr>
        <w:t>”</w:t>
      </w:r>
      <w:r w:rsidR="00A33EC4">
        <w:rPr>
          <w:szCs w:val="26"/>
        </w:rPr>
        <w:t>];</w:t>
      </w:r>
      <w:r w:rsidR="006520E1">
        <w:rPr>
          <w:szCs w:val="26"/>
        </w:rPr>
        <w:t xml:space="preserve"> </w:t>
      </w:r>
      <w:r w:rsidR="003B3E3A">
        <w:rPr>
          <w:szCs w:val="26"/>
        </w:rPr>
        <w:t xml:space="preserve">see </w:t>
      </w:r>
      <w:r w:rsidR="00A33EC4">
        <w:rPr>
          <w:szCs w:val="26"/>
        </w:rPr>
        <w:t xml:space="preserve">also </w:t>
      </w:r>
      <w:r w:rsidRPr="000C68EF" w:rsidR="00801AE7">
        <w:rPr>
          <w:i/>
          <w:iCs/>
        </w:rPr>
        <w:t>Wasatch Property Management v. Degrate</w:t>
      </w:r>
      <w:r w:rsidRPr="000C68EF" w:rsidR="00801AE7">
        <w:t xml:space="preserve"> (2005) 35 Cal.4th 1111, 1122</w:t>
      </w:r>
      <w:r w:rsidR="00801AE7">
        <w:t xml:space="preserve"> [</w:t>
      </w:r>
      <w:r w:rsidR="00CC2798">
        <w:t>“[t]</w:t>
      </w:r>
      <w:r w:rsidRPr="000C68EF" w:rsidR="00CC2798">
        <w:t>he court will apply common sense to the language at hand and interpret the statute to make it workable and reasonable</w:t>
      </w:r>
      <w:r w:rsidR="00CC2798">
        <w:t>”].)</w:t>
      </w:r>
      <w:r>
        <w:rPr>
          <w:rStyle w:val="FootnoteReference"/>
        </w:rPr>
        <w:footnoteReference w:id="18"/>
      </w:r>
    </w:p>
    <w:p w:rsidR="00192A02" w:rsidP="006F127B" w14:paraId="30E4C91D" w14:textId="10719C50">
      <w:pPr>
        <w:spacing w:line="288" w:lineRule="auto"/>
        <w:ind w:firstLine="720"/>
      </w:pPr>
      <w:r>
        <w:t>T</w:t>
      </w:r>
      <w:r w:rsidR="009D4463">
        <w:t>h</w:t>
      </w:r>
      <w:r w:rsidR="006F127B">
        <w:t>ird, th</w:t>
      </w:r>
      <w:r w:rsidR="009D4463">
        <w:t xml:space="preserve">e legislative history </w:t>
      </w:r>
      <w:r w:rsidR="006F127B">
        <w:t xml:space="preserve">of </w:t>
      </w:r>
      <w:r w:rsidR="00A20354">
        <w:t xml:space="preserve">AB </w:t>
      </w:r>
      <w:r w:rsidR="009D4463">
        <w:t>470</w:t>
      </w:r>
      <w:r w:rsidR="004A6775">
        <w:t>,</w:t>
      </w:r>
      <w:r w:rsidR="006F127B">
        <w:t xml:space="preserve"> </w:t>
      </w:r>
      <w:r w:rsidR="0092081A">
        <w:t>though</w:t>
      </w:r>
      <w:r w:rsidR="006F127B">
        <w:t xml:space="preserve"> somewhat thin </w:t>
      </w:r>
      <w:r w:rsidR="00E02EEC">
        <w:t>on</w:t>
      </w:r>
      <w:r w:rsidR="006F127B">
        <w:t xml:space="preserve"> which body fixe</w:t>
      </w:r>
      <w:r w:rsidR="003D080E">
        <w:t>s</w:t>
      </w:r>
      <w:r w:rsidR="006F127B">
        <w:t xml:space="preserve"> compensation for retirement system employees, generally</w:t>
      </w:r>
      <w:r w:rsidR="00A20354">
        <w:t xml:space="preserve"> confirms </w:t>
      </w:r>
      <w:r w:rsidR="00AA0163">
        <w:t>our</w:t>
      </w:r>
      <w:r w:rsidR="00EB4C3E">
        <w:t xml:space="preserve"> interpretation.  As </w:t>
      </w:r>
      <w:r w:rsidR="00E02EEC">
        <w:t>discussed</w:t>
      </w:r>
      <w:r w:rsidR="00EB4C3E">
        <w:t>, AB</w:t>
      </w:r>
      <w:r w:rsidR="00E02EEC">
        <w:t> </w:t>
      </w:r>
      <w:r w:rsidR="00EB4C3E">
        <w:t>470</w:t>
      </w:r>
      <w:r w:rsidR="004A6775">
        <w:t xml:space="preserve">, which enacted section 31522.1, </w:t>
      </w:r>
      <w:r w:rsidR="00EB4398">
        <w:t xml:space="preserve">represented a tradeoff </w:t>
      </w:r>
      <w:r w:rsidR="003D080E">
        <w:t xml:space="preserve">that allowed </w:t>
      </w:r>
      <w:r w:rsidR="00EB4398">
        <w:t xml:space="preserve">retirement boards </w:t>
      </w:r>
      <w:r w:rsidR="005C6A77">
        <w:t xml:space="preserve">to </w:t>
      </w:r>
      <w:r w:rsidR="00925DA9">
        <w:t>appoint</w:t>
      </w:r>
      <w:r w:rsidR="00785B0C">
        <w:t xml:space="preserve"> their own staff</w:t>
      </w:r>
      <w:r w:rsidR="00E02EEC">
        <w:t>,</w:t>
      </w:r>
      <w:r w:rsidR="00925DA9">
        <w:t xml:space="preserve"> so long as they paid </w:t>
      </w:r>
      <w:r w:rsidR="003D080E">
        <w:t xml:space="preserve">staff </w:t>
      </w:r>
      <w:r w:rsidR="00925DA9">
        <w:t xml:space="preserve">expenses, including salaries, from </w:t>
      </w:r>
      <w:r w:rsidR="00E2577F">
        <w:t xml:space="preserve">system assets.  The Legislative Counsel’s Digest describes the bill as permitting </w:t>
      </w:r>
      <w:r w:rsidR="00785B0C">
        <w:t xml:space="preserve">“personnel appointments by the board of retirement and board of investment and provides that the expense of administration of the retirement system up to a specified amount shall be charged against the earnings of the retirement fund if such appointments are made.”  </w:t>
      </w:r>
      <w:r w:rsidR="009475FD">
        <w:t xml:space="preserve">(Legis. Counsel’s Dig., </w:t>
      </w:r>
      <w:r w:rsidR="008351F0">
        <w:t>Assem. Bill No. 470 (1973-1974 Reg. Sess.</w:t>
      </w:r>
      <w:r w:rsidR="00465D35">
        <w:t>)</w:t>
      </w:r>
      <w:r w:rsidR="00586F2E">
        <w:t xml:space="preserve"> </w:t>
      </w:r>
      <w:r w:rsidR="004E6F9A">
        <w:t xml:space="preserve">1 Stats. 1973, </w:t>
      </w:r>
      <w:r w:rsidR="005E50C9">
        <w:t>Summary Dig., p. </w:t>
      </w:r>
      <w:r w:rsidR="00586F2E">
        <w:t>39</w:t>
      </w:r>
      <w:r w:rsidR="00465D35">
        <w:t>.)</w:t>
      </w:r>
      <w:r w:rsidR="00020CA2">
        <w:t xml:space="preserve"> </w:t>
      </w:r>
      <w:r w:rsidR="00A56A62">
        <w:t xml:space="preserve"> </w:t>
      </w:r>
      <w:r w:rsidR="00914ACF">
        <w:t xml:space="preserve">The </w:t>
      </w:r>
      <w:r w:rsidR="007A4237">
        <w:t xml:space="preserve">Assembly Retirement Committee’s bill analysis </w:t>
      </w:r>
      <w:r w:rsidR="0026451F">
        <w:t>observed that</w:t>
      </w:r>
      <w:r w:rsidR="007A4237">
        <w:t xml:space="preserve"> the Treasurer and Tax Collector of Los Angeles County opposed AB 470.  </w:t>
      </w:r>
      <w:r w:rsidR="00822D29">
        <w:t xml:space="preserve">(Assem. </w:t>
      </w:r>
      <w:r w:rsidR="00E16C19">
        <w:t>Retirement Com.</w:t>
      </w:r>
      <w:r w:rsidR="008823B0">
        <w:t xml:space="preserve">, </w:t>
      </w:r>
      <w:r w:rsidR="002B3502">
        <w:t>A</w:t>
      </w:r>
      <w:r w:rsidR="008823B0">
        <w:t>nalysis o</w:t>
      </w:r>
      <w:r w:rsidR="00293994">
        <w:t>f Assem. Bill No. 470 (1973-1974 Reg. Sess.)</w:t>
      </w:r>
      <w:r w:rsidR="002B3502">
        <w:t xml:space="preserve">.) </w:t>
      </w:r>
      <w:r w:rsidR="007738B9">
        <w:t xml:space="preserve"> </w:t>
      </w:r>
      <w:r w:rsidR="002B3502">
        <w:t xml:space="preserve">Indeed, the </w:t>
      </w:r>
      <w:r w:rsidR="00260F5E">
        <w:t>Treasurer and Tax</w:t>
      </w:r>
      <w:r w:rsidR="00341E59">
        <w:t> </w:t>
      </w:r>
      <w:r w:rsidR="00260F5E">
        <w:t xml:space="preserve">Collector </w:t>
      </w:r>
      <w:r w:rsidR="00FA2D50">
        <w:t xml:space="preserve">sent a letter to </w:t>
      </w:r>
      <w:r w:rsidR="00CC5589">
        <w:t xml:space="preserve">the Assembly Retirement Committee stating </w:t>
      </w:r>
      <w:r w:rsidR="00C33456">
        <w:t xml:space="preserve">the State Association of Retirement Systems Administrators </w:t>
      </w:r>
      <w:r w:rsidR="00E02EEC">
        <w:t>opposed</w:t>
      </w:r>
      <w:r w:rsidR="00C33456">
        <w:t xml:space="preserve"> AB</w:t>
      </w:r>
      <w:r w:rsidR="00E02EEC">
        <w:t> </w:t>
      </w:r>
      <w:r w:rsidR="00C33456">
        <w:t xml:space="preserve">470 because </w:t>
      </w:r>
      <w:r w:rsidR="0046315C">
        <w:t>it</w:t>
      </w:r>
      <w:r w:rsidR="00C33456">
        <w:t xml:space="preserve"> would </w:t>
      </w:r>
      <w:r w:rsidR="00DD7D91">
        <w:t xml:space="preserve">“remove[ ] budgetary responsibilities from the </w:t>
      </w:r>
      <w:r w:rsidR="00F75A5D">
        <w:t>c</w:t>
      </w:r>
      <w:r w:rsidR="00DD7D91">
        <w:t xml:space="preserve">hief </w:t>
      </w:r>
      <w:r w:rsidR="00F75A5D">
        <w:t>a</w:t>
      </w:r>
      <w:r w:rsidR="00DD7D91">
        <w:t xml:space="preserve">dministrative </w:t>
      </w:r>
      <w:r w:rsidR="00F75A5D">
        <w:t>o</w:t>
      </w:r>
      <w:r w:rsidR="00DD7D91">
        <w:t>fficer and the Board of Supervisors</w:t>
      </w:r>
      <w:r w:rsidR="00F75A5D">
        <w:t>”</w:t>
      </w:r>
      <w:r w:rsidR="00DD7D91">
        <w:t xml:space="preserve"> and </w:t>
      </w:r>
      <w:r w:rsidR="00C33456">
        <w:t xml:space="preserve">create </w:t>
      </w:r>
      <w:r w:rsidR="00F25368">
        <w:t>new units of county government (boards of retirement and investment) “with no cost controls as we now know them in county operations</w:t>
      </w:r>
      <w:r w:rsidR="00EC519C">
        <w:t>.”  (</w:t>
      </w:r>
      <w:r w:rsidR="00304D8E">
        <w:t xml:space="preserve">Treasurer and Tax Collector </w:t>
      </w:r>
      <w:r w:rsidR="005E61CD">
        <w:t>Harold J. Ostly, letter to Assemblyman Bob</w:t>
      </w:r>
      <w:r w:rsidR="00341E59">
        <w:t> </w:t>
      </w:r>
      <w:r w:rsidR="005E61CD">
        <w:t xml:space="preserve">Wilson, Apr. 17, 1973.) </w:t>
      </w:r>
      <w:r w:rsidR="00A56A62">
        <w:t xml:space="preserve"> </w:t>
      </w:r>
      <w:r w:rsidR="00AF6B11">
        <w:t>The “cost controls</w:t>
      </w:r>
      <w:r w:rsidR="007A7808">
        <w:t xml:space="preserve"> as we now know them</w:t>
      </w:r>
      <w:r w:rsidR="00AF6B11">
        <w:t xml:space="preserve">” </w:t>
      </w:r>
      <w:r w:rsidR="007A7808">
        <w:t xml:space="preserve">apparently referred to </w:t>
      </w:r>
      <w:r w:rsidR="00987844">
        <w:t>the Board of Supervisors’ control over LACERA’s budget</w:t>
      </w:r>
      <w:r w:rsidR="007A7808">
        <w:t xml:space="preserve"> before the Legislature enacted AB 470.</w:t>
      </w:r>
      <w:r w:rsidR="00987844">
        <w:t xml:space="preserve"> </w:t>
      </w:r>
      <w:r w:rsidR="00D44A8F">
        <w:t xml:space="preserve"> And the loss of that control </w:t>
      </w:r>
      <w:r w:rsidR="00194F85">
        <w:t xml:space="preserve">was why </w:t>
      </w:r>
      <w:r w:rsidR="004D6C2C">
        <w:t>the Treasurer and Tax Collector</w:t>
      </w:r>
      <w:r w:rsidR="00194F85">
        <w:t xml:space="preserve"> opposed </w:t>
      </w:r>
      <w:r w:rsidR="004D6C2C">
        <w:t>the measure, which the Legislature enacted anyway.</w:t>
      </w:r>
      <w:r w:rsidR="00D44A8F">
        <w:t xml:space="preserve"> </w:t>
      </w:r>
    </w:p>
    <w:p w:rsidR="00995DCB" w:rsidP="00995DCB" w14:paraId="2C3A852C" w14:textId="2D6A1D78">
      <w:pPr>
        <w:spacing w:line="288" w:lineRule="auto"/>
        <w:ind w:firstLine="720"/>
      </w:pPr>
      <w:r>
        <w:t>The County and Board of Supervisors poi</w:t>
      </w:r>
      <w:r w:rsidR="008D6DBF">
        <w:t>n</w:t>
      </w:r>
      <w:r>
        <w:t xml:space="preserve">t to other </w:t>
      </w:r>
      <w:r w:rsidR="0041466B">
        <w:t xml:space="preserve">excerpts of AB 470’s </w:t>
      </w:r>
      <w:r>
        <w:t xml:space="preserve">legislative history to support </w:t>
      </w:r>
      <w:r w:rsidR="000D573B">
        <w:t xml:space="preserve">their </w:t>
      </w:r>
      <w:r>
        <w:t xml:space="preserve">position section 31522.1 merely </w:t>
      </w:r>
      <w:r w:rsidR="003917CC">
        <w:t>acknowledged the status quo for all county employees, i.e., that appointments must be made from existing</w:t>
      </w:r>
      <w:r w:rsidR="00B450BA">
        <w:t xml:space="preserve"> eligibility</w:t>
      </w:r>
      <w:r w:rsidR="003917CC">
        <w:t xml:space="preserve"> lists </w:t>
      </w:r>
      <w:r w:rsidR="00B450BA">
        <w:t xml:space="preserve">and </w:t>
      </w:r>
      <w:r w:rsidR="000D573B">
        <w:t>the County’s salary ordinance</w:t>
      </w:r>
      <w:r w:rsidR="00197184">
        <w:t>.  In</w:t>
      </w:r>
      <w:r w:rsidR="00023552">
        <w:t> </w:t>
      </w:r>
      <w:r w:rsidR="00197184">
        <w:t xml:space="preserve">particular, they point to </w:t>
      </w:r>
      <w:r w:rsidR="007A6FC0">
        <w:t>the enrolled bill report</w:t>
      </w:r>
      <w:r w:rsidR="00276843">
        <w:t xml:space="preserve"> </w:t>
      </w:r>
      <w:r w:rsidR="00D07920">
        <w:t xml:space="preserve">prepared by </w:t>
      </w:r>
      <w:r w:rsidR="00F71B8B">
        <w:t xml:space="preserve">an executive agency </w:t>
      </w:r>
      <w:r w:rsidR="00AC3018">
        <w:t xml:space="preserve">for the Governor before </w:t>
      </w:r>
      <w:r w:rsidR="00341E59">
        <w:t>he</w:t>
      </w:r>
      <w:r w:rsidR="00AC3018">
        <w:t xml:space="preserve"> decided whether to sign the bill. </w:t>
      </w:r>
      <w:r w:rsidR="007268C3">
        <w:t xml:space="preserve"> The enrolled bill report </w:t>
      </w:r>
      <w:r w:rsidR="00AD4889">
        <w:t xml:space="preserve">stated </w:t>
      </w:r>
      <w:r w:rsidR="00284DD6">
        <w:t xml:space="preserve">AB 470 would vest authority to appoint </w:t>
      </w:r>
      <w:r w:rsidR="007B163C">
        <w:t xml:space="preserve">employees for the retirement system in </w:t>
      </w:r>
      <w:r w:rsidR="007268C3">
        <w:t xml:space="preserve">retirement and investment </w:t>
      </w:r>
      <w:r w:rsidR="007B163C">
        <w:t>boards</w:t>
      </w:r>
      <w:r w:rsidR="001D4471">
        <w:t>,</w:t>
      </w:r>
      <w:r w:rsidR="007B163C">
        <w:t xml:space="preserve"> “subject however, to county civil service and salary fixing authority.”  (</w:t>
      </w:r>
      <w:r w:rsidR="003719E8">
        <w:t>Agriculture and Services Agency</w:t>
      </w:r>
      <w:r w:rsidRPr="00B160DD" w:rsidR="00B160DD">
        <w:t>, Enrolled Bill Re</w:t>
      </w:r>
      <w:r w:rsidR="00A62935">
        <w:t>p.</w:t>
      </w:r>
      <w:r w:rsidR="00314184">
        <w:t xml:space="preserve"> </w:t>
      </w:r>
      <w:r w:rsidRPr="00B160DD" w:rsidR="00B160DD">
        <w:t xml:space="preserve">on </w:t>
      </w:r>
      <w:r w:rsidR="00740FFE">
        <w:t>Assem</w:t>
      </w:r>
      <w:r w:rsidRPr="00B160DD" w:rsidR="00B160DD">
        <w:t xml:space="preserve">. Bill No. </w:t>
      </w:r>
      <w:r w:rsidR="00740FFE">
        <w:t>470</w:t>
      </w:r>
      <w:r w:rsidRPr="00B160DD" w:rsidR="00B160DD">
        <w:t xml:space="preserve"> (197</w:t>
      </w:r>
      <w:r w:rsidR="00740FFE">
        <w:t>3-1974</w:t>
      </w:r>
      <w:r w:rsidRPr="00B160DD" w:rsidR="00B160DD">
        <w:t xml:space="preserve"> Reg. Sess.) prepared for Governor </w:t>
      </w:r>
      <w:r w:rsidR="00740FFE">
        <w:t xml:space="preserve">Reagan </w:t>
      </w:r>
      <w:r w:rsidRPr="00B160DD" w:rsidR="00B160DD">
        <w:t xml:space="preserve">(July </w:t>
      </w:r>
      <w:r w:rsidR="00276843">
        <w:t>5</w:t>
      </w:r>
      <w:r w:rsidRPr="00B160DD" w:rsidR="00B160DD">
        <w:t>, 19</w:t>
      </w:r>
      <w:r w:rsidR="00276843">
        <w:t>73</w:t>
      </w:r>
      <w:r w:rsidRPr="00B160DD" w:rsidR="00B160DD">
        <w:t>).)</w:t>
      </w:r>
      <w:r w:rsidR="00276843">
        <w:t xml:space="preserve"> </w:t>
      </w:r>
      <w:r w:rsidR="00A56A62">
        <w:t xml:space="preserve"> </w:t>
      </w:r>
      <w:r w:rsidR="00BA4DF8">
        <w:t xml:space="preserve">Enrolled bill reports, however, </w:t>
      </w:r>
      <w:r w:rsidR="00982684">
        <w:t xml:space="preserve">are not </w:t>
      </w:r>
      <w:r w:rsidR="001D4471">
        <w:t>particularly</w:t>
      </w:r>
      <w:r w:rsidR="007039AE">
        <w:t xml:space="preserve"> probative</w:t>
      </w:r>
      <w:r w:rsidR="00982684">
        <w:t xml:space="preserve"> of legislative intent because they are drafted after the Assembly and Senate </w:t>
      </w:r>
      <w:r w:rsidR="00C83669">
        <w:t>have passed the legislation.  (</w:t>
      </w:r>
      <w:r w:rsidRPr="00186C28" w:rsidR="008253BC">
        <w:rPr>
          <w:i/>
          <w:iCs/>
        </w:rPr>
        <w:t>In re Lucas</w:t>
      </w:r>
      <w:r w:rsidRPr="00186C28" w:rsidR="008253BC">
        <w:t xml:space="preserve"> (2012) 53</w:t>
      </w:r>
      <w:r w:rsidR="006249E5">
        <w:t> </w:t>
      </w:r>
      <w:r w:rsidRPr="00186C28" w:rsidR="008253BC">
        <w:t>Cal.4th 839, 856</w:t>
      </w:r>
      <w:r w:rsidR="008253BC">
        <w:t>;</w:t>
      </w:r>
      <w:r w:rsidR="00C83669">
        <w:t xml:space="preserve"> </w:t>
      </w:r>
      <w:r w:rsidRPr="00A53AFC" w:rsidR="007039AE">
        <w:rPr>
          <w:i/>
          <w:iCs/>
        </w:rPr>
        <w:t>Kaufman &amp; Broad Communities, Inc. v. Performance Plastering, Inc.</w:t>
      </w:r>
      <w:r w:rsidRPr="00A53AFC" w:rsidR="007039AE">
        <w:t xml:space="preserve"> (2005) 133</w:t>
      </w:r>
      <w:r w:rsidR="006249E5">
        <w:t> </w:t>
      </w:r>
      <w:r w:rsidRPr="00A53AFC" w:rsidR="007039AE">
        <w:t>Cal.App.4th 26, 40</w:t>
      </w:r>
      <w:r w:rsidR="007039AE">
        <w:t>-</w:t>
      </w:r>
      <w:r w:rsidRPr="00A53AFC" w:rsidR="007039AE">
        <w:t>41</w:t>
      </w:r>
      <w:r w:rsidR="007039AE">
        <w:t xml:space="preserve">.)  </w:t>
      </w:r>
      <w:r w:rsidR="0019053E">
        <w:t xml:space="preserve">As a result, </w:t>
      </w:r>
      <w:r w:rsidR="00B1236C">
        <w:t xml:space="preserve">enrolled bill reports may </w:t>
      </w:r>
      <w:r w:rsidR="00FB798E">
        <w:t xml:space="preserve">be “instructive,” but </w:t>
      </w:r>
      <w:r w:rsidR="00237EFF">
        <w:t xml:space="preserve">they </w:t>
      </w:r>
      <w:r w:rsidR="00FB798E">
        <w:t>are not entitled to “great weight.”  (</w:t>
      </w:r>
      <w:r w:rsidRPr="004A164D" w:rsidR="0019053E">
        <w:rPr>
          <w:i/>
          <w:iCs/>
        </w:rPr>
        <w:t>Elsner v. Uveges</w:t>
      </w:r>
      <w:r w:rsidRPr="004A164D" w:rsidR="0019053E">
        <w:t xml:space="preserve"> (2004) 34</w:t>
      </w:r>
      <w:r w:rsidR="00FD1B3F">
        <w:t> </w:t>
      </w:r>
      <w:r w:rsidRPr="004A164D" w:rsidR="0019053E">
        <w:t>Cal.4th 915, 934</w:t>
      </w:r>
      <w:r w:rsidR="00F6660B">
        <w:t>, fn. 19</w:t>
      </w:r>
      <w:r w:rsidR="009631B7">
        <w:t xml:space="preserve">; see </w:t>
      </w:r>
      <w:r w:rsidRPr="00953265" w:rsidR="007358AE">
        <w:rPr>
          <w:i/>
          <w:iCs/>
        </w:rPr>
        <w:t>Conservatorship of Whitley</w:t>
      </w:r>
      <w:r w:rsidRPr="00953265" w:rsidR="007358AE">
        <w:t xml:space="preserve"> (2010) 50</w:t>
      </w:r>
      <w:r w:rsidR="00FD1B3F">
        <w:t> </w:t>
      </w:r>
      <w:r w:rsidRPr="00953265" w:rsidR="007358AE">
        <w:t>Cal.4th 1206</w:t>
      </w:r>
      <w:r w:rsidR="009631B7">
        <w:t xml:space="preserve">, </w:t>
      </w:r>
      <w:r w:rsidR="00B6667F">
        <w:t xml:space="preserve">1218, fn. </w:t>
      </w:r>
      <w:r w:rsidR="00D601FD">
        <w:t>3</w:t>
      </w:r>
      <w:r w:rsidR="0069737B">
        <w:t xml:space="preserve">.)  </w:t>
      </w:r>
      <w:r w:rsidR="00377747">
        <w:t xml:space="preserve">In any </w:t>
      </w:r>
      <w:r w:rsidR="008A073A">
        <w:t>event</w:t>
      </w:r>
      <w:r w:rsidR="00377747">
        <w:t xml:space="preserve">, as the trial court </w:t>
      </w:r>
      <w:r w:rsidR="008A073A">
        <w:t>observed</w:t>
      </w:r>
      <w:r w:rsidR="00B60F2F">
        <w:t xml:space="preserve">, the enrolled bill report </w:t>
      </w:r>
      <w:r w:rsidR="00AD5B33">
        <w:t xml:space="preserve">is “weak evidence of legislative intent” because it </w:t>
      </w:r>
      <w:r w:rsidR="00B60F2F">
        <w:t xml:space="preserve">did not provide any analysis </w:t>
      </w:r>
      <w:r w:rsidR="002E0033">
        <w:t xml:space="preserve">to support </w:t>
      </w:r>
      <w:r w:rsidR="00B60F2F">
        <w:t xml:space="preserve">its </w:t>
      </w:r>
      <w:r w:rsidR="008A073A">
        <w:t>reading</w:t>
      </w:r>
      <w:r w:rsidR="00B60F2F">
        <w:t xml:space="preserve"> of AB</w:t>
      </w:r>
      <w:r w:rsidR="002E0033">
        <w:t> </w:t>
      </w:r>
      <w:r w:rsidR="00B60F2F">
        <w:t>470</w:t>
      </w:r>
      <w:r>
        <w:t xml:space="preserve">. </w:t>
      </w:r>
      <w:r w:rsidR="00A56A62">
        <w:t xml:space="preserve"> </w:t>
      </w:r>
      <w:r w:rsidR="004530FA">
        <w:t xml:space="preserve">Moreover, </w:t>
      </w:r>
      <w:r>
        <w:t xml:space="preserve">at the time, the Board of Supervisors made clear in its letter </w:t>
      </w:r>
      <w:r w:rsidR="00B548A9">
        <w:t xml:space="preserve">urging </w:t>
      </w:r>
      <w:r w:rsidR="008A073A">
        <w:t xml:space="preserve">the </w:t>
      </w:r>
      <w:r w:rsidR="00412142">
        <w:t>G</w:t>
      </w:r>
      <w:r w:rsidR="008A073A">
        <w:t>overnor</w:t>
      </w:r>
      <w:r>
        <w:t xml:space="preserve"> </w:t>
      </w:r>
      <w:r w:rsidR="00B548A9">
        <w:t xml:space="preserve">to veto AB 470 </w:t>
      </w:r>
      <w:r w:rsidR="008A073A">
        <w:t>the Board</w:t>
      </w:r>
      <w:r w:rsidR="007B2D0C">
        <w:t xml:space="preserve"> believed </w:t>
      </w:r>
      <w:r w:rsidR="00B548A9">
        <w:t xml:space="preserve">the bill would </w:t>
      </w:r>
      <w:r w:rsidR="00E212B7">
        <w:t xml:space="preserve">remove </w:t>
      </w:r>
      <w:r w:rsidR="00ED5977">
        <w:t xml:space="preserve">the </w:t>
      </w:r>
      <w:r w:rsidR="00E212B7">
        <w:t xml:space="preserve">“cost controls” </w:t>
      </w:r>
      <w:r w:rsidR="003326A4">
        <w:t>boards of supervisors had over</w:t>
      </w:r>
      <w:r w:rsidR="00B548A9">
        <w:t xml:space="preserve"> </w:t>
      </w:r>
      <w:r w:rsidR="00032BE2">
        <w:t>retirement boards</w:t>
      </w:r>
      <w:r>
        <w:t>.  (L.A. County B</w:t>
      </w:r>
      <w:r w:rsidR="00A62935">
        <w:t>d. </w:t>
      </w:r>
      <w:r w:rsidR="001E7CBF">
        <w:t>o</w:t>
      </w:r>
      <w:r>
        <w:t>f Supervisors, letter to Governor Reagan re</w:t>
      </w:r>
      <w:r w:rsidR="0092081A">
        <w:t>garding</w:t>
      </w:r>
      <w:r>
        <w:t xml:space="preserve"> Assem. Bill </w:t>
      </w:r>
      <w:r w:rsidR="00E81261">
        <w:t>No</w:t>
      </w:r>
      <w:r>
        <w:t xml:space="preserve">. 470 (1973-1974 Reg. Sess.) July 10, 1973.) </w:t>
      </w:r>
      <w:r w:rsidR="00A56A62">
        <w:t xml:space="preserve"> </w:t>
      </w:r>
      <w:r w:rsidR="0001522C">
        <w:t xml:space="preserve">Thus, </w:t>
      </w:r>
      <w:r w:rsidR="00B16148">
        <w:t xml:space="preserve">contemporaneous </w:t>
      </w:r>
      <w:r w:rsidR="007A00DC">
        <w:t>administrative</w:t>
      </w:r>
      <w:r w:rsidR="00B16148">
        <w:t xml:space="preserve"> analyses of AB</w:t>
      </w:r>
      <w:r w:rsidR="008A073A">
        <w:t> </w:t>
      </w:r>
      <w:r w:rsidR="00B16148">
        <w:t xml:space="preserve">470 are essentially a wash and do not shed much light on the </w:t>
      </w:r>
      <w:r w:rsidR="008A073A">
        <w:t>Legislature’s</w:t>
      </w:r>
      <w:r w:rsidR="00B16148">
        <w:t xml:space="preserve"> intent.  (See</w:t>
      </w:r>
      <w:r w:rsidR="00982D2B">
        <w:t xml:space="preserve"> </w:t>
      </w:r>
      <w:r w:rsidRPr="00902731" w:rsidR="00FC794B">
        <w:rPr>
          <w:i/>
          <w:iCs/>
        </w:rPr>
        <w:t>Nolan v. City of Anaheim</w:t>
      </w:r>
      <w:r w:rsidRPr="00902731" w:rsidR="00FC794B">
        <w:t xml:space="preserve"> (2004) 33</w:t>
      </w:r>
      <w:r w:rsidR="00FC794B">
        <w:t> </w:t>
      </w:r>
      <w:r w:rsidRPr="00902731" w:rsidR="00FC794B">
        <w:t>Cal.4th 335, 340</w:t>
      </w:r>
      <w:r w:rsidR="00160B3E">
        <w:t xml:space="preserve"> [extrinsic aids for interpreting an ambiguous statute include </w:t>
      </w:r>
      <w:r w:rsidRPr="00795B09" w:rsidR="00160B3E">
        <w:t>contemporaneous administrative construction</w:t>
      </w:r>
      <w:r w:rsidR="00160B3E">
        <w:t>s]</w:t>
      </w:r>
      <w:r w:rsidR="00FC794B">
        <w:t>;</w:t>
      </w:r>
      <w:r w:rsidR="00B16148">
        <w:t xml:space="preserve"> </w:t>
      </w:r>
      <w:r w:rsidRPr="00902731" w:rsidR="00982D2B">
        <w:rPr>
          <w:i/>
          <w:iCs/>
        </w:rPr>
        <w:t xml:space="preserve">Los Angeles Unified School Dist. </w:t>
      </w:r>
      <w:r w:rsidR="00CE01DC">
        <w:rPr>
          <w:i/>
          <w:iCs/>
        </w:rPr>
        <w:t>v</w:t>
      </w:r>
      <w:r w:rsidRPr="00902731" w:rsidR="00982D2B">
        <w:rPr>
          <w:i/>
          <w:iCs/>
        </w:rPr>
        <w:t>. Office of Administrative Hearings</w:t>
      </w:r>
      <w:r w:rsidRPr="00902731" w:rsidR="00982D2B">
        <w:t xml:space="preserve"> (2023) 91</w:t>
      </w:r>
      <w:r w:rsidR="00982D2B">
        <w:t> </w:t>
      </w:r>
      <w:r w:rsidRPr="00902731" w:rsidR="00982D2B">
        <w:t>Cal.App.5th 208, 214</w:t>
      </w:r>
      <w:r w:rsidR="00982D2B">
        <w:t>-</w:t>
      </w:r>
      <w:r w:rsidRPr="00902731" w:rsidR="00982D2B">
        <w:t>215</w:t>
      </w:r>
      <w:r w:rsidR="008A073A">
        <w:t xml:space="preserve"> [same]</w:t>
      </w:r>
      <w:r w:rsidR="000461AB">
        <w:t>.</w:t>
      </w:r>
      <w:r w:rsidR="00FC794B">
        <w:t>)</w:t>
      </w:r>
    </w:p>
    <w:p w:rsidR="000D6A00" w:rsidP="00995DCB" w14:paraId="03B3398F" w14:textId="3835F9D1">
      <w:pPr>
        <w:spacing w:line="288" w:lineRule="auto"/>
        <w:ind w:firstLine="720"/>
      </w:pPr>
      <w:r>
        <w:t>Finally,</w:t>
      </w:r>
      <w:r w:rsidR="00617C8D">
        <w:t xml:space="preserve"> and contrary to the County and Board of Supervisors’ argument,</w:t>
      </w:r>
      <w:r>
        <w:t xml:space="preserve"> the </w:t>
      </w:r>
      <w:r w:rsidR="0072113F">
        <w:t>language of section 31522</w:t>
      </w:r>
      <w:r w:rsidR="004B28EC">
        <w:t xml:space="preserve">.1 stating retirement board appointments </w:t>
      </w:r>
      <w:r w:rsidR="00BD70DB">
        <w:t xml:space="preserve">“shall be county employees” </w:t>
      </w:r>
      <w:r w:rsidR="005C7500">
        <w:t xml:space="preserve">does not </w:t>
      </w:r>
      <w:r w:rsidR="0052157A">
        <w:t xml:space="preserve">determine </w:t>
      </w:r>
      <w:r w:rsidR="009C405A">
        <w:t xml:space="preserve">whether retirement boards or boards of supervisors </w:t>
      </w:r>
      <w:r w:rsidR="00AE433D">
        <w:t>have</w:t>
      </w:r>
      <w:r w:rsidR="009C405A">
        <w:t xml:space="preserve"> authority </w:t>
      </w:r>
      <w:r w:rsidR="0052157A">
        <w:t xml:space="preserve">to classify </w:t>
      </w:r>
      <w:r w:rsidR="00025DF1">
        <w:t xml:space="preserve">and establish salaries for retirement system employees.  </w:t>
      </w:r>
      <w:r w:rsidR="0093335B">
        <w:t>T</w:t>
      </w:r>
      <w:r w:rsidR="0093335B">
        <w:rPr>
          <w:szCs w:val="26"/>
        </w:rPr>
        <w:t xml:space="preserve">he Legislature added </w:t>
      </w:r>
      <w:r w:rsidR="00610264">
        <w:rPr>
          <w:szCs w:val="26"/>
        </w:rPr>
        <w:t>this language to section 31522.1 in 1979</w:t>
      </w:r>
      <w:r w:rsidR="00154679">
        <w:rPr>
          <w:szCs w:val="26"/>
        </w:rPr>
        <w:t>,</w:t>
      </w:r>
      <w:r w:rsidR="00610264">
        <w:rPr>
          <w:szCs w:val="26"/>
        </w:rPr>
        <w:t xml:space="preserve"> </w:t>
      </w:r>
      <w:r w:rsidR="00267D5A">
        <w:rPr>
          <w:szCs w:val="26"/>
        </w:rPr>
        <w:t xml:space="preserve">along with </w:t>
      </w:r>
      <w:r w:rsidR="006134F6">
        <w:rPr>
          <w:szCs w:val="26"/>
        </w:rPr>
        <w:t xml:space="preserve">an </w:t>
      </w:r>
      <w:r w:rsidR="0093335B">
        <w:rPr>
          <w:szCs w:val="26"/>
        </w:rPr>
        <w:t xml:space="preserve">amendment </w:t>
      </w:r>
      <w:r w:rsidR="007B7539">
        <w:rPr>
          <w:szCs w:val="26"/>
        </w:rPr>
        <w:t xml:space="preserve">that </w:t>
      </w:r>
      <w:r w:rsidR="006134F6">
        <w:rPr>
          <w:szCs w:val="26"/>
        </w:rPr>
        <w:t>increase</w:t>
      </w:r>
      <w:r w:rsidR="007B7539">
        <w:rPr>
          <w:szCs w:val="26"/>
        </w:rPr>
        <w:t>d</w:t>
      </w:r>
      <w:r w:rsidR="006134F6">
        <w:rPr>
          <w:szCs w:val="26"/>
        </w:rPr>
        <w:t xml:space="preserve"> the statutory limit on expenses for </w:t>
      </w:r>
      <w:r w:rsidR="0016353B">
        <w:rPr>
          <w:szCs w:val="26"/>
        </w:rPr>
        <w:t xml:space="preserve">administration of the retirement system.  </w:t>
      </w:r>
      <w:r w:rsidR="00EF2009">
        <w:rPr>
          <w:szCs w:val="26"/>
        </w:rPr>
        <w:t xml:space="preserve">(See Stats. 1979, ch. 55, </w:t>
      </w:r>
      <w:r w:rsidR="00A62935">
        <w:rPr>
          <w:szCs w:val="26"/>
        </w:rPr>
        <w:t>§ </w:t>
      </w:r>
      <w:r w:rsidR="00EF2009">
        <w:rPr>
          <w:szCs w:val="26"/>
        </w:rPr>
        <w:t xml:space="preserve">1.)  </w:t>
      </w:r>
      <w:r w:rsidR="0016353B">
        <w:rPr>
          <w:szCs w:val="26"/>
        </w:rPr>
        <w:t xml:space="preserve">The latter amendment received most of the attention in the </w:t>
      </w:r>
      <w:r w:rsidR="00154679">
        <w:rPr>
          <w:szCs w:val="26"/>
        </w:rPr>
        <w:t>Legislature</w:t>
      </w:r>
      <w:r w:rsidR="000B4CE7">
        <w:rPr>
          <w:szCs w:val="26"/>
        </w:rPr>
        <w:t xml:space="preserve">. </w:t>
      </w:r>
      <w:r w:rsidR="00A764FF">
        <w:rPr>
          <w:szCs w:val="26"/>
        </w:rPr>
        <w:t xml:space="preserve"> </w:t>
      </w:r>
      <w:r w:rsidR="000B4CE7">
        <w:rPr>
          <w:szCs w:val="26"/>
        </w:rPr>
        <w:t xml:space="preserve">Indeed, </w:t>
      </w:r>
      <w:r w:rsidR="00A764FF">
        <w:rPr>
          <w:szCs w:val="26"/>
        </w:rPr>
        <w:t xml:space="preserve">the </w:t>
      </w:r>
      <w:r w:rsidR="009F100C">
        <w:rPr>
          <w:szCs w:val="26"/>
        </w:rPr>
        <w:t xml:space="preserve">Senate </w:t>
      </w:r>
      <w:r w:rsidR="00870147">
        <w:rPr>
          <w:szCs w:val="26"/>
        </w:rPr>
        <w:t>Public Employ</w:t>
      </w:r>
      <w:r w:rsidR="000B001D">
        <w:rPr>
          <w:szCs w:val="26"/>
        </w:rPr>
        <w:t>ment</w:t>
      </w:r>
      <w:r w:rsidR="009F100C">
        <w:rPr>
          <w:szCs w:val="26"/>
        </w:rPr>
        <w:t xml:space="preserve"> and Retirement Committee </w:t>
      </w:r>
      <w:r w:rsidR="00144F79">
        <w:rPr>
          <w:szCs w:val="26"/>
        </w:rPr>
        <w:t xml:space="preserve">report </w:t>
      </w:r>
      <w:r w:rsidR="000B4CE7">
        <w:rPr>
          <w:szCs w:val="26"/>
        </w:rPr>
        <w:t xml:space="preserve">on </w:t>
      </w:r>
      <w:r w:rsidR="00677713">
        <w:rPr>
          <w:szCs w:val="26"/>
        </w:rPr>
        <w:t>Assembly Bill No. 132</w:t>
      </w:r>
      <w:r w:rsidR="009D1E3B">
        <w:rPr>
          <w:szCs w:val="26"/>
        </w:rPr>
        <w:t xml:space="preserve">, which </w:t>
      </w:r>
      <w:r w:rsidR="00471D83">
        <w:rPr>
          <w:szCs w:val="26"/>
        </w:rPr>
        <w:t>enacted the 1979 amendments,</w:t>
      </w:r>
      <w:r w:rsidR="00677713">
        <w:rPr>
          <w:szCs w:val="26"/>
        </w:rPr>
        <w:t xml:space="preserve"> </w:t>
      </w:r>
      <w:r w:rsidR="00144F79">
        <w:rPr>
          <w:szCs w:val="26"/>
        </w:rPr>
        <w:t>refer</w:t>
      </w:r>
      <w:r w:rsidR="00440485">
        <w:rPr>
          <w:szCs w:val="26"/>
        </w:rPr>
        <w:t>s</w:t>
      </w:r>
      <w:r w:rsidR="00144F79">
        <w:rPr>
          <w:szCs w:val="26"/>
        </w:rPr>
        <w:t xml:space="preserve"> to the addition of </w:t>
      </w:r>
      <w:r w:rsidR="000E66DE">
        <w:t xml:space="preserve">“shall be county employees” </w:t>
      </w:r>
      <w:r w:rsidR="008D7E9A">
        <w:t>to</w:t>
      </w:r>
      <w:r w:rsidR="00B946A4">
        <w:t xml:space="preserve"> section</w:t>
      </w:r>
      <w:r w:rsidR="008D7E9A">
        <w:t> </w:t>
      </w:r>
      <w:r w:rsidR="00B946A4">
        <w:t xml:space="preserve">31522.1 </w:t>
      </w:r>
      <w:r w:rsidR="000E66DE">
        <w:t>as a “technical, clarifying amendment[ ]</w:t>
      </w:r>
      <w:r w:rsidR="00B946A4">
        <w:t>.</w:t>
      </w:r>
      <w:r w:rsidR="000E66DE">
        <w:t xml:space="preserve">” </w:t>
      </w:r>
      <w:r w:rsidR="00144F79">
        <w:rPr>
          <w:szCs w:val="26"/>
        </w:rPr>
        <w:t xml:space="preserve"> </w:t>
      </w:r>
      <w:r w:rsidR="00794726">
        <w:rPr>
          <w:szCs w:val="26"/>
        </w:rPr>
        <w:t>(</w:t>
      </w:r>
      <w:r w:rsidR="00FB6BA8">
        <w:rPr>
          <w:szCs w:val="26"/>
        </w:rPr>
        <w:t xml:space="preserve">Sen. </w:t>
      </w:r>
      <w:r w:rsidR="00C436DE">
        <w:rPr>
          <w:szCs w:val="26"/>
        </w:rPr>
        <w:t xml:space="preserve">Com. </w:t>
      </w:r>
      <w:r w:rsidR="000018AA">
        <w:rPr>
          <w:szCs w:val="26"/>
        </w:rPr>
        <w:t>o</w:t>
      </w:r>
      <w:r w:rsidR="00C436DE">
        <w:rPr>
          <w:szCs w:val="26"/>
        </w:rPr>
        <w:t xml:space="preserve">n </w:t>
      </w:r>
      <w:r w:rsidR="00870147">
        <w:rPr>
          <w:szCs w:val="26"/>
        </w:rPr>
        <w:t>Public Employ</w:t>
      </w:r>
      <w:r w:rsidR="000B001D">
        <w:rPr>
          <w:szCs w:val="26"/>
        </w:rPr>
        <w:t>ment</w:t>
      </w:r>
      <w:r w:rsidR="00C436DE">
        <w:rPr>
          <w:szCs w:val="26"/>
        </w:rPr>
        <w:t xml:space="preserve"> and Retirement</w:t>
      </w:r>
      <w:r w:rsidR="00222577">
        <w:rPr>
          <w:szCs w:val="26"/>
        </w:rPr>
        <w:t>, Re</w:t>
      </w:r>
      <w:r w:rsidR="00A62935">
        <w:rPr>
          <w:szCs w:val="26"/>
        </w:rPr>
        <w:t>p. </w:t>
      </w:r>
      <w:r w:rsidR="00222577">
        <w:rPr>
          <w:szCs w:val="26"/>
        </w:rPr>
        <w:t>on Assem. Bill No. 132</w:t>
      </w:r>
      <w:r w:rsidR="00870147">
        <w:rPr>
          <w:szCs w:val="26"/>
        </w:rPr>
        <w:t xml:space="preserve"> (</w:t>
      </w:r>
      <w:r w:rsidR="00D67576">
        <w:rPr>
          <w:szCs w:val="26"/>
        </w:rPr>
        <w:t xml:space="preserve">1979-1980 Reg. Sess.) </w:t>
      </w:r>
      <w:r w:rsidR="000B4CE7">
        <w:rPr>
          <w:szCs w:val="26"/>
        </w:rPr>
        <w:t>Mar.</w:t>
      </w:r>
      <w:r w:rsidR="000B001D">
        <w:rPr>
          <w:szCs w:val="26"/>
        </w:rPr>
        <w:t> </w:t>
      </w:r>
      <w:r w:rsidR="000B4CE7">
        <w:rPr>
          <w:szCs w:val="26"/>
        </w:rPr>
        <w:t xml:space="preserve">19, 1979, </w:t>
      </w:r>
      <w:r w:rsidR="00A62935">
        <w:rPr>
          <w:szCs w:val="26"/>
        </w:rPr>
        <w:t>p. </w:t>
      </w:r>
      <w:r w:rsidR="000B4CE7">
        <w:rPr>
          <w:szCs w:val="26"/>
        </w:rPr>
        <w:t>2</w:t>
      </w:r>
      <w:r w:rsidR="0016353B">
        <w:rPr>
          <w:szCs w:val="26"/>
        </w:rPr>
        <w:t>.</w:t>
      </w:r>
      <w:r w:rsidR="000B4CE7">
        <w:rPr>
          <w:szCs w:val="26"/>
        </w:rPr>
        <w:t>)</w:t>
      </w:r>
      <w:r w:rsidR="000B001D">
        <w:rPr>
          <w:szCs w:val="26"/>
        </w:rPr>
        <w:t xml:space="preserve"> </w:t>
      </w:r>
      <w:r w:rsidR="007738B9">
        <w:rPr>
          <w:iCs/>
          <w:szCs w:val="26"/>
        </w:rPr>
        <w:t xml:space="preserve"> </w:t>
      </w:r>
      <w:r w:rsidR="00D74947">
        <w:rPr>
          <w:szCs w:val="26"/>
        </w:rPr>
        <w:t xml:space="preserve">This is consistent with a letter </w:t>
      </w:r>
      <w:r w:rsidR="001E0C8B">
        <w:rPr>
          <w:szCs w:val="26"/>
        </w:rPr>
        <w:t xml:space="preserve">from Contra Costa County (which </w:t>
      </w:r>
      <w:r w:rsidR="000B001D">
        <w:rPr>
          <w:szCs w:val="26"/>
        </w:rPr>
        <w:t>sponsored</w:t>
      </w:r>
      <w:r w:rsidR="001E0C8B">
        <w:rPr>
          <w:szCs w:val="26"/>
        </w:rPr>
        <w:t xml:space="preserve"> the bill)</w:t>
      </w:r>
      <w:r>
        <w:rPr>
          <w:rStyle w:val="FootnoteReference"/>
          <w:szCs w:val="26"/>
        </w:rPr>
        <w:footnoteReference w:id="19"/>
      </w:r>
      <w:r w:rsidR="001E0C8B">
        <w:rPr>
          <w:szCs w:val="26"/>
        </w:rPr>
        <w:t xml:space="preserve"> </w:t>
      </w:r>
      <w:r w:rsidR="00FA7098">
        <w:rPr>
          <w:szCs w:val="26"/>
        </w:rPr>
        <w:t xml:space="preserve">stating </w:t>
      </w:r>
      <w:r w:rsidR="00DA142E">
        <w:rPr>
          <w:szCs w:val="26"/>
        </w:rPr>
        <w:t>the addition of “[c]ounty employees</w:t>
      </w:r>
      <w:r w:rsidR="00E52FC6">
        <w:rPr>
          <w:szCs w:val="26"/>
        </w:rPr>
        <w:t>” “</w:t>
      </w:r>
      <w:r w:rsidR="00DA142E">
        <w:rPr>
          <w:szCs w:val="26"/>
        </w:rPr>
        <w:t xml:space="preserve">makes </w:t>
      </w:r>
      <w:r w:rsidR="00E52FC6">
        <w:rPr>
          <w:szCs w:val="26"/>
        </w:rPr>
        <w:t xml:space="preserve">it clear that the staff of [retirement systems] </w:t>
      </w:r>
      <w:r w:rsidRPr="00E52FC6" w:rsidR="00E52FC6">
        <w:rPr>
          <w:i/>
          <w:szCs w:val="26"/>
        </w:rPr>
        <w:t>continues</w:t>
      </w:r>
      <w:r w:rsidR="00E52FC6">
        <w:rPr>
          <w:iCs/>
          <w:szCs w:val="26"/>
        </w:rPr>
        <w:t xml:space="preserve"> to be county employees.”</w:t>
      </w:r>
      <w:r w:rsidR="00F05AFA">
        <w:rPr>
          <w:iCs/>
          <w:szCs w:val="26"/>
        </w:rPr>
        <w:t xml:space="preserve">  (</w:t>
      </w:r>
      <w:r w:rsidR="007A59D6">
        <w:rPr>
          <w:iCs/>
          <w:szCs w:val="26"/>
        </w:rPr>
        <w:t xml:space="preserve">Contra Costa County Treasurer Alfred </w:t>
      </w:r>
      <w:r w:rsidR="00A62935">
        <w:rPr>
          <w:iCs/>
          <w:szCs w:val="26"/>
        </w:rPr>
        <w:t>P. </w:t>
      </w:r>
      <w:r w:rsidR="007A59D6">
        <w:rPr>
          <w:iCs/>
          <w:szCs w:val="26"/>
        </w:rPr>
        <w:t>Lomeli</w:t>
      </w:r>
      <w:r w:rsidR="00430F25">
        <w:rPr>
          <w:iCs/>
          <w:szCs w:val="26"/>
        </w:rPr>
        <w:t>, letter to Assemblyman Daniel E. Boatwright, Mar. 12, 1979</w:t>
      </w:r>
      <w:r w:rsidR="0084595D">
        <w:rPr>
          <w:iCs/>
          <w:szCs w:val="26"/>
        </w:rPr>
        <w:t>, italics added</w:t>
      </w:r>
      <w:r w:rsidR="00430F25">
        <w:rPr>
          <w:iCs/>
          <w:szCs w:val="26"/>
        </w:rPr>
        <w:t>.</w:t>
      </w:r>
      <w:r w:rsidR="00F05AFA">
        <w:rPr>
          <w:iCs/>
          <w:szCs w:val="26"/>
        </w:rPr>
        <w:t>)</w:t>
      </w:r>
      <w:r w:rsidR="000B001D">
        <w:rPr>
          <w:iCs/>
          <w:szCs w:val="26"/>
        </w:rPr>
        <w:t xml:space="preserve"> </w:t>
      </w:r>
      <w:r w:rsidR="00217BCF">
        <w:rPr>
          <w:iCs/>
          <w:szCs w:val="26"/>
        </w:rPr>
        <w:t xml:space="preserve"> </w:t>
      </w:r>
      <w:r w:rsidR="00F13B62">
        <w:rPr>
          <w:szCs w:val="26"/>
        </w:rPr>
        <w:t>An enrolled bill report</w:t>
      </w:r>
      <w:r w:rsidR="000B4DD1">
        <w:rPr>
          <w:szCs w:val="26"/>
        </w:rPr>
        <w:t xml:space="preserve">, which </w:t>
      </w:r>
      <w:r w:rsidR="00D23051">
        <w:rPr>
          <w:szCs w:val="26"/>
        </w:rPr>
        <w:t>“</w:t>
      </w:r>
      <w:r w:rsidR="000B4DD1">
        <w:rPr>
          <w:szCs w:val="26"/>
        </w:rPr>
        <w:t>reflect[ed] the same understanding” (</w:t>
      </w:r>
      <w:r w:rsidRPr="004A164D" w:rsidR="000B4DD1">
        <w:rPr>
          <w:i/>
          <w:iCs/>
        </w:rPr>
        <w:t>Elsner v. Uveges</w:t>
      </w:r>
      <w:r w:rsidR="00EC31C7">
        <w:t xml:space="preserve">, </w:t>
      </w:r>
      <w:r w:rsidR="00EC31C7">
        <w:rPr>
          <w:i/>
          <w:iCs/>
        </w:rPr>
        <w:t>supra</w:t>
      </w:r>
      <w:r w:rsidR="00EC31C7">
        <w:t>,</w:t>
      </w:r>
      <w:r w:rsidR="00EC31C7">
        <w:rPr>
          <w:i/>
          <w:iCs/>
        </w:rPr>
        <w:t xml:space="preserve"> </w:t>
      </w:r>
      <w:r w:rsidRPr="004A164D" w:rsidR="000B4DD1">
        <w:t xml:space="preserve">34 Cal.4th </w:t>
      </w:r>
      <w:r w:rsidR="00EC31C7">
        <w:t>at p.</w:t>
      </w:r>
      <w:r w:rsidR="00BB747B">
        <w:t> </w:t>
      </w:r>
      <w:r w:rsidRPr="004A164D" w:rsidR="000B4DD1">
        <w:t>934</w:t>
      </w:r>
      <w:r w:rsidR="000B4DD1">
        <w:t>),</w:t>
      </w:r>
      <w:r w:rsidR="000B4DD1">
        <w:rPr>
          <w:szCs w:val="26"/>
        </w:rPr>
        <w:t xml:space="preserve"> </w:t>
      </w:r>
      <w:r w:rsidR="00F13B62">
        <w:rPr>
          <w:szCs w:val="26"/>
        </w:rPr>
        <w:t xml:space="preserve">similarly </w:t>
      </w:r>
      <w:r w:rsidR="00121430">
        <w:rPr>
          <w:szCs w:val="26"/>
        </w:rPr>
        <w:t>stated</w:t>
      </w:r>
      <w:r w:rsidR="00F13B62">
        <w:rPr>
          <w:szCs w:val="26"/>
        </w:rPr>
        <w:t xml:space="preserve"> </w:t>
      </w:r>
      <w:r w:rsidR="000E0977">
        <w:rPr>
          <w:szCs w:val="26"/>
        </w:rPr>
        <w:t>“[</w:t>
      </w:r>
      <w:r w:rsidR="00F13B62">
        <w:rPr>
          <w:szCs w:val="26"/>
        </w:rPr>
        <w:t>t</w:t>
      </w:r>
      <w:r w:rsidR="000E0977">
        <w:rPr>
          <w:szCs w:val="26"/>
        </w:rPr>
        <w:t>]</w:t>
      </w:r>
      <w:r w:rsidR="00F13B62">
        <w:rPr>
          <w:szCs w:val="26"/>
        </w:rPr>
        <w:t xml:space="preserve">he </w:t>
      </w:r>
      <w:r w:rsidR="0093335B">
        <w:rPr>
          <w:szCs w:val="26"/>
        </w:rPr>
        <w:t xml:space="preserve">language </w:t>
      </w:r>
      <w:r w:rsidR="000E0977">
        <w:rPr>
          <w:szCs w:val="26"/>
        </w:rPr>
        <w:t xml:space="preserve">regarding retirement board employees is </w:t>
      </w:r>
      <w:r w:rsidR="0093335B">
        <w:rPr>
          <w:szCs w:val="26"/>
        </w:rPr>
        <w:t>nonsubstantive</w:t>
      </w:r>
      <w:r w:rsidR="000E0977">
        <w:rPr>
          <w:szCs w:val="26"/>
        </w:rPr>
        <w:t xml:space="preserve"> and is only intended to clarify their status.”</w:t>
      </w:r>
      <w:r w:rsidR="000B001D">
        <w:rPr>
          <w:szCs w:val="26"/>
        </w:rPr>
        <w:t xml:space="preserve">  (Off.</w:t>
      </w:r>
      <w:r w:rsidR="00444708">
        <w:rPr>
          <w:szCs w:val="26"/>
        </w:rPr>
        <w:t> </w:t>
      </w:r>
      <w:r w:rsidR="000018AA">
        <w:rPr>
          <w:szCs w:val="26"/>
        </w:rPr>
        <w:t>o</w:t>
      </w:r>
      <w:r w:rsidR="000B001D">
        <w:rPr>
          <w:szCs w:val="26"/>
        </w:rPr>
        <w:t>f Employee Relations, Enrolled Bill Re</w:t>
      </w:r>
      <w:r w:rsidR="00A62935">
        <w:rPr>
          <w:szCs w:val="26"/>
        </w:rPr>
        <w:t>p. </w:t>
      </w:r>
      <w:r w:rsidR="000B001D">
        <w:rPr>
          <w:szCs w:val="26"/>
        </w:rPr>
        <w:t>on Assem. Bill No.</w:t>
      </w:r>
      <w:r w:rsidR="00023552">
        <w:rPr>
          <w:szCs w:val="26"/>
        </w:rPr>
        <w:t> </w:t>
      </w:r>
      <w:r w:rsidR="000B001D">
        <w:rPr>
          <w:szCs w:val="26"/>
        </w:rPr>
        <w:t>132 (1979-1980 Reg. Sess.) prepared for Gov</w:t>
      </w:r>
      <w:r w:rsidR="002625BC">
        <w:rPr>
          <w:szCs w:val="26"/>
        </w:rPr>
        <w:t xml:space="preserve">ernor </w:t>
      </w:r>
      <w:r w:rsidR="000B001D">
        <w:rPr>
          <w:szCs w:val="26"/>
        </w:rPr>
        <w:t xml:space="preserve">Brown (May 8, 1979) </w:t>
      </w:r>
      <w:r w:rsidR="00A62935">
        <w:rPr>
          <w:szCs w:val="26"/>
        </w:rPr>
        <w:t>p. </w:t>
      </w:r>
      <w:r w:rsidR="000B001D">
        <w:rPr>
          <w:szCs w:val="26"/>
        </w:rPr>
        <w:t>1.)</w:t>
      </w:r>
      <w:r>
        <w:rPr>
          <w:rStyle w:val="FootnoteReference"/>
          <w:szCs w:val="26"/>
        </w:rPr>
        <w:footnoteReference w:id="20"/>
      </w:r>
      <w:r w:rsidR="003326A4">
        <w:rPr>
          <w:szCs w:val="26"/>
        </w:rPr>
        <w:t xml:space="preserve"> </w:t>
      </w:r>
    </w:p>
    <w:p w:rsidR="001471C2" w:rsidRPr="00F562FE" w:rsidP="00AB6804" w14:paraId="056A9503" w14:textId="5BA74B49">
      <w:pPr>
        <w:spacing w:line="288" w:lineRule="auto"/>
        <w:ind w:firstLine="720"/>
      </w:pPr>
      <w:r>
        <w:t xml:space="preserve">Designating retirement system employees as </w:t>
      </w:r>
      <w:r w:rsidR="009179A5">
        <w:t xml:space="preserve">county </w:t>
      </w:r>
      <w:r>
        <w:t xml:space="preserve">employees </w:t>
      </w:r>
      <w:r w:rsidR="009179A5">
        <w:t>e</w:t>
      </w:r>
      <w:r w:rsidR="00D751CA">
        <w:t>n</w:t>
      </w:r>
      <w:r w:rsidR="009179A5">
        <w:t xml:space="preserve">sured such employees </w:t>
      </w:r>
      <w:r w:rsidR="00D751CA">
        <w:t>received the protections of the civil service</w:t>
      </w:r>
      <w:r w:rsidR="00823A14">
        <w:t xml:space="preserve"> and could participate in the retirement system</w:t>
      </w:r>
      <w:r w:rsidR="00D751CA">
        <w:t xml:space="preserve">.  </w:t>
      </w:r>
      <w:r w:rsidR="004C76D4">
        <w:t xml:space="preserve">As the </w:t>
      </w:r>
      <w:r>
        <w:t xml:space="preserve">County </w:t>
      </w:r>
      <w:r w:rsidR="00121430">
        <w:t>c</w:t>
      </w:r>
      <w:r>
        <w:t xml:space="preserve">ounsel explained to the </w:t>
      </w:r>
      <w:r w:rsidR="004C76D4">
        <w:t xml:space="preserve">County </w:t>
      </w:r>
      <w:r w:rsidR="00121430">
        <w:t>c</w:t>
      </w:r>
      <w:r w:rsidR="004C76D4">
        <w:t xml:space="preserve">hief </w:t>
      </w:r>
      <w:r w:rsidR="00121430">
        <w:t>a</w:t>
      </w:r>
      <w:r w:rsidR="004C76D4">
        <w:t xml:space="preserve">dministrative </w:t>
      </w:r>
      <w:r w:rsidR="00121430">
        <w:t>o</w:t>
      </w:r>
      <w:r w:rsidR="004C76D4">
        <w:t>fficer in 1996, “</w:t>
      </w:r>
      <w:r w:rsidR="00721D7B">
        <w:t xml:space="preserve">LACERA employees are made County employees by statute for rather limited purposes primarily relating to the manner of their appointment and their tenue.  Being County employees also allows them to participate in the retirement system and to receive county fringe benefits unless other benefits are established by the LACERA boards.” </w:t>
      </w:r>
      <w:r w:rsidR="005A18DB">
        <w:t xml:space="preserve"> </w:t>
      </w:r>
      <w:r w:rsidR="003058F5">
        <w:t>(</w:t>
      </w:r>
      <w:r w:rsidR="00121430">
        <w:t xml:space="preserve">See </w:t>
      </w:r>
      <w:r w:rsidRPr="00DF27ED" w:rsidR="00236B37">
        <w:rPr>
          <w:i/>
          <w:iCs/>
        </w:rPr>
        <w:t>Holmgren v. County of Los Angeles</w:t>
      </w:r>
      <w:r w:rsidR="00A562BA">
        <w:t xml:space="preserve">, </w:t>
      </w:r>
      <w:r w:rsidR="00A562BA">
        <w:rPr>
          <w:i/>
          <w:iCs/>
        </w:rPr>
        <w:t>supra</w:t>
      </w:r>
      <w:r w:rsidR="00A562BA">
        <w:t>,</w:t>
      </w:r>
      <w:r w:rsidR="00A562BA">
        <w:rPr>
          <w:i/>
          <w:iCs/>
        </w:rPr>
        <w:t xml:space="preserve"> </w:t>
      </w:r>
      <w:r w:rsidRPr="00DF27ED" w:rsidR="00236B37">
        <w:t>159</w:t>
      </w:r>
      <w:r w:rsidR="00A562BA">
        <w:t> </w:t>
      </w:r>
      <w:r w:rsidRPr="00DF27ED" w:rsidR="00236B37">
        <w:t xml:space="preserve">Cal.App.4th </w:t>
      </w:r>
      <w:r w:rsidR="00A562BA">
        <w:t xml:space="preserve">at </w:t>
      </w:r>
      <w:r w:rsidR="00A62935">
        <w:t>p. </w:t>
      </w:r>
      <w:r w:rsidRPr="00DF27ED" w:rsidR="00236B37">
        <w:t xml:space="preserve">603 </w:t>
      </w:r>
      <w:r w:rsidR="00D61860">
        <w:t>[s</w:t>
      </w:r>
      <w:r w:rsidRPr="00DF27ED" w:rsidR="00D61860">
        <w:t>ubject to a few exceptions</w:t>
      </w:r>
      <w:r w:rsidR="00D61860">
        <w:t>, “</w:t>
      </w:r>
      <w:r w:rsidRPr="00DF27ED" w:rsidR="00D61860">
        <w:t>all classified County employees are automatically enrolled</w:t>
      </w:r>
      <w:r w:rsidR="00D61860">
        <w:t>”</w:t>
      </w:r>
      <w:r w:rsidRPr="00DF27ED" w:rsidR="00D61860">
        <w:t xml:space="preserve"> in LACERA</w:t>
      </w:r>
      <w:r w:rsidR="00FC0CC9">
        <w:t>].</w:t>
      </w:r>
      <w:r w:rsidRPr="00DF27ED" w:rsidR="00D61860">
        <w:t>)</w:t>
      </w:r>
      <w:r>
        <w:rPr>
          <w:rStyle w:val="FootnoteReference"/>
        </w:rPr>
        <w:footnoteReference w:id="21"/>
      </w:r>
      <w:r w:rsidR="003058F5">
        <w:t xml:space="preserve"> </w:t>
      </w:r>
      <w:r w:rsidR="00341E59">
        <w:t xml:space="preserve"> </w:t>
      </w:r>
      <w:r w:rsidR="00207250">
        <w:t xml:space="preserve">And as discussed, it is not unusual for </w:t>
      </w:r>
      <w:r w:rsidR="00AB6804">
        <w:t xml:space="preserve">a </w:t>
      </w:r>
      <w:r w:rsidR="00207250">
        <w:t xml:space="preserve">county employee to </w:t>
      </w:r>
      <w:r w:rsidR="00AB6804">
        <w:t xml:space="preserve">have two employers for different purposes.  (See </w:t>
      </w:r>
      <w:r w:rsidRPr="00F32F6C" w:rsidR="0004219F">
        <w:rPr>
          <w:i/>
          <w:iCs/>
        </w:rPr>
        <w:t>Kern County</w:t>
      </w:r>
      <w:r w:rsidR="00AB6804">
        <w:t xml:space="preserve">, </w:t>
      </w:r>
      <w:r w:rsidR="00AB6804">
        <w:rPr>
          <w:i/>
          <w:iCs/>
        </w:rPr>
        <w:t>supra</w:t>
      </w:r>
      <w:r w:rsidR="00AB6804">
        <w:t>,</w:t>
      </w:r>
      <w:r w:rsidRPr="00F32F6C" w:rsidR="0004219F">
        <w:rPr>
          <w:i/>
          <w:iCs/>
        </w:rPr>
        <w:t xml:space="preserve"> </w:t>
      </w:r>
      <w:r w:rsidRPr="00F32F6C" w:rsidR="0004219F">
        <w:t>126</w:t>
      </w:r>
      <w:r w:rsidR="00006455">
        <w:t> </w:t>
      </w:r>
      <w:r w:rsidRPr="00F32F6C" w:rsidR="0004219F">
        <w:t xml:space="preserve">Cal.App.4th </w:t>
      </w:r>
      <w:r w:rsidR="00AB6804">
        <w:t xml:space="preserve">at </w:t>
      </w:r>
      <w:r w:rsidR="00B001CA">
        <w:t>p</w:t>
      </w:r>
      <w:r w:rsidR="00A62935">
        <w:t>p. </w:t>
      </w:r>
      <w:r w:rsidR="00DC61A5">
        <w:t>787-7</w:t>
      </w:r>
      <w:r w:rsidR="00D93AC0">
        <w:t>90</w:t>
      </w:r>
      <w:r w:rsidR="00AB6804">
        <w:t xml:space="preserve">; </w:t>
      </w:r>
      <w:r w:rsidR="00AB6804">
        <w:rPr>
          <w:i/>
        </w:rPr>
        <w:t>Corcoran</w:t>
      </w:r>
      <w:r w:rsidR="00AB6804">
        <w:rPr>
          <w:iCs/>
        </w:rPr>
        <w:t xml:space="preserve">, </w:t>
      </w:r>
      <w:r w:rsidR="00AB6804">
        <w:rPr>
          <w:i/>
        </w:rPr>
        <w:t>supra</w:t>
      </w:r>
      <w:r w:rsidR="00AB6804">
        <w:rPr>
          <w:iCs/>
        </w:rPr>
        <w:t xml:space="preserve">, </w:t>
      </w:r>
      <w:r w:rsidR="00843273">
        <w:rPr>
          <w:iCs/>
        </w:rPr>
        <w:t xml:space="preserve">60 Cal.App.4th at </w:t>
      </w:r>
      <w:r w:rsidR="00A62935">
        <w:rPr>
          <w:iCs/>
        </w:rPr>
        <w:t>p. </w:t>
      </w:r>
      <w:r w:rsidR="00843273">
        <w:rPr>
          <w:iCs/>
        </w:rPr>
        <w:t>95</w:t>
      </w:r>
      <w:r w:rsidR="00341E59">
        <w:rPr>
          <w:iCs/>
        </w:rPr>
        <w:t>.)</w:t>
      </w:r>
    </w:p>
    <w:p w:rsidR="0021674D" w:rsidP="00B160DD" w14:paraId="0F78A136" w14:textId="77777777">
      <w:pPr>
        <w:spacing w:line="288" w:lineRule="auto"/>
        <w:ind w:firstLine="720"/>
      </w:pPr>
    </w:p>
    <w:p w:rsidR="00E26DA1" w:rsidRPr="003B5693" w:rsidP="00E26DA1" w14:paraId="793ED265" w14:textId="725189CE">
      <w:pPr>
        <w:keepNext/>
        <w:keepLines/>
        <w:spacing w:line="288" w:lineRule="auto"/>
        <w:ind w:left="2160" w:hanging="720"/>
        <w:rPr>
          <w:i/>
          <w:iCs/>
        </w:rPr>
      </w:pPr>
      <w:r>
        <w:t>2.</w:t>
      </w:r>
      <w:r>
        <w:tab/>
      </w:r>
      <w:r w:rsidR="003B5693">
        <w:rPr>
          <w:i/>
          <w:iCs/>
        </w:rPr>
        <w:t xml:space="preserve">County-specific Legislation Stating Retirement System Employees Are Not County Employees Does Not </w:t>
      </w:r>
      <w:r w:rsidR="00DE440C">
        <w:rPr>
          <w:i/>
          <w:iCs/>
        </w:rPr>
        <w:t xml:space="preserve">Undermine </w:t>
      </w:r>
      <w:r w:rsidR="00EC31C7">
        <w:rPr>
          <w:i/>
          <w:iCs/>
        </w:rPr>
        <w:t>T</w:t>
      </w:r>
      <w:r w:rsidR="00DE440C">
        <w:rPr>
          <w:i/>
          <w:iCs/>
        </w:rPr>
        <w:t>his Result</w:t>
      </w:r>
    </w:p>
    <w:p w:rsidR="003032AB" w:rsidP="00190110" w14:paraId="41A7B401" w14:textId="6A7F088E">
      <w:pPr>
        <w:spacing w:line="288" w:lineRule="auto"/>
        <w:ind w:firstLine="720"/>
      </w:pPr>
      <w:r>
        <w:t xml:space="preserve">The County and Board of Supervisors argue </w:t>
      </w:r>
      <w:r w:rsidR="00D2425B">
        <w:t>legislation enacted between 200</w:t>
      </w:r>
      <w:r w:rsidR="00DB1B62">
        <w:t>2</w:t>
      </w:r>
      <w:r w:rsidR="00D2425B">
        <w:t xml:space="preserve"> and 2</w:t>
      </w:r>
      <w:r w:rsidR="00796493">
        <w:t>021</w:t>
      </w:r>
      <w:r w:rsidR="00D2425B">
        <w:t xml:space="preserve"> providing that </w:t>
      </w:r>
      <w:r w:rsidR="00837F05">
        <w:t xml:space="preserve">certain or all </w:t>
      </w:r>
      <w:r w:rsidR="00D2425B">
        <w:t>employees of the retirement systems in Orange, San Bernardino, Contra Costa, and Ventura Counties are employees of the</w:t>
      </w:r>
      <w:r w:rsidR="001B6BA8">
        <w:t>ir respective</w:t>
      </w:r>
      <w:r w:rsidR="00D2425B">
        <w:t xml:space="preserve"> retirement systems show</w:t>
      </w:r>
      <w:r w:rsidR="007A6C44">
        <w:t>s</w:t>
      </w:r>
      <w:r w:rsidR="00D2425B">
        <w:t xml:space="preserve"> the Legislature intended employees of retirement systems in other counties to be treated as “county employees” for all purposes. </w:t>
      </w:r>
      <w:r w:rsidR="005A18DB">
        <w:t xml:space="preserve"> </w:t>
      </w:r>
      <w:r>
        <w:t>This argument fails.</w:t>
      </w:r>
    </w:p>
    <w:p w:rsidR="00FE4761" w:rsidP="00190110" w14:paraId="318E24E5" w14:textId="50DF2F30">
      <w:pPr>
        <w:spacing w:line="288" w:lineRule="auto"/>
        <w:ind w:firstLine="720"/>
      </w:pPr>
      <w:r>
        <w:t>First, t</w:t>
      </w:r>
      <w:r w:rsidR="00837F05">
        <w:t xml:space="preserve">he </w:t>
      </w:r>
      <w:r w:rsidR="003032AB">
        <w:t xml:space="preserve">Legislature enacted these </w:t>
      </w:r>
      <w:r w:rsidR="00BB7A9A">
        <w:t xml:space="preserve">statutes </w:t>
      </w:r>
      <w:r w:rsidR="001B6BA8">
        <w:t xml:space="preserve">in response to </w:t>
      </w:r>
      <w:r>
        <w:t xml:space="preserve">or following the decision in </w:t>
      </w:r>
      <w:r w:rsidR="001B6BA8">
        <w:rPr>
          <w:i/>
          <w:iCs/>
        </w:rPr>
        <w:t>Westly</w:t>
      </w:r>
      <w:r w:rsidR="001B6BA8">
        <w:t xml:space="preserve"> </w:t>
      </w:r>
      <w:r w:rsidR="00120F60">
        <w:t xml:space="preserve">that wrongly interpreted Proposition 162 and left retirement boards unable to </w:t>
      </w:r>
      <w:r w:rsidR="00C45573">
        <w:t>independently</w:t>
      </w:r>
      <w:r w:rsidR="00381F12">
        <w:t xml:space="preserve"> manage their retirement systems.</w:t>
      </w:r>
      <w:r w:rsidR="00120F60">
        <w:t xml:space="preserve">  </w:t>
      </w:r>
      <w:r w:rsidR="00381F12">
        <w:t>The l</w:t>
      </w:r>
      <w:r w:rsidR="00120F60">
        <w:t xml:space="preserve">egislative history </w:t>
      </w:r>
      <w:r w:rsidR="00381F12">
        <w:t xml:space="preserve">of these statutes </w:t>
      </w:r>
      <w:r w:rsidR="00120F60">
        <w:t>show</w:t>
      </w:r>
      <w:r w:rsidR="00D5150E">
        <w:t>s</w:t>
      </w:r>
      <w:r w:rsidR="00120F60">
        <w:t xml:space="preserve"> that </w:t>
      </w:r>
      <w:r w:rsidR="00381F12">
        <w:t xml:space="preserve">problems recruiting and retaining retirement board staff led </w:t>
      </w:r>
      <w:r w:rsidR="00120F60">
        <w:t xml:space="preserve">the retirement systems to seek </w:t>
      </w:r>
      <w:r w:rsidR="003032AB">
        <w:t>this</w:t>
      </w:r>
      <w:r w:rsidR="00120F60">
        <w:t xml:space="preserve"> legislation.  </w:t>
      </w:r>
      <w:r w:rsidR="00190110">
        <w:t xml:space="preserve">Second, </w:t>
      </w:r>
      <w:r w:rsidR="00C45573">
        <w:t xml:space="preserve">that </w:t>
      </w:r>
      <w:r w:rsidR="00190110">
        <w:t>the</w:t>
      </w:r>
      <w:r w:rsidR="00C45573">
        <w:t xml:space="preserve"> </w:t>
      </w:r>
      <w:r w:rsidR="00190110">
        <w:t xml:space="preserve">Legislature enacted statutes </w:t>
      </w:r>
      <w:r w:rsidR="00120F60">
        <w:t>re</w:t>
      </w:r>
      <w:r w:rsidR="00190110">
        <w:t>designat</w:t>
      </w:r>
      <w:r w:rsidR="00C45573">
        <w:t>ing</w:t>
      </w:r>
      <w:r w:rsidR="00120F60">
        <w:t xml:space="preserve"> certain</w:t>
      </w:r>
      <w:r w:rsidR="00190110">
        <w:t xml:space="preserve"> </w:t>
      </w:r>
      <w:r w:rsidR="00120F60">
        <w:t>“county</w:t>
      </w:r>
      <w:r w:rsidR="00190110">
        <w:t xml:space="preserve"> employees</w:t>
      </w:r>
      <w:r w:rsidR="00120F60">
        <w:t>” as employees</w:t>
      </w:r>
      <w:r w:rsidR="00190110">
        <w:t xml:space="preserve"> of </w:t>
      </w:r>
      <w:r w:rsidR="00120F60">
        <w:t xml:space="preserve">a </w:t>
      </w:r>
      <w:r w:rsidR="00190110">
        <w:t xml:space="preserve">retirement system indicates the Legislature never believed they were “county employees” </w:t>
      </w:r>
      <w:r w:rsidR="00C45573">
        <w:t xml:space="preserve">under article XI of the California Constitution </w:t>
      </w:r>
      <w:r w:rsidR="00190110">
        <w:t xml:space="preserve">for all purposes in the first </w:t>
      </w:r>
      <w:r w:rsidR="00C45573">
        <w:t>place</w:t>
      </w:r>
      <w:r w:rsidR="00190110">
        <w:t xml:space="preserve">.  As </w:t>
      </w:r>
      <w:r w:rsidR="003032AB">
        <w:t>discussed</w:t>
      </w:r>
      <w:r w:rsidR="00190110">
        <w:t xml:space="preserve">, the County and Board of Supervisors argue </w:t>
      </w:r>
      <w:r w:rsidR="003032AB">
        <w:t xml:space="preserve">that </w:t>
      </w:r>
      <w:r w:rsidR="00190110">
        <w:t xml:space="preserve">article XI gives them exclusive authority over the terms and conditions of employment for county employees and that </w:t>
      </w:r>
      <w:r w:rsidR="004D1725">
        <w:t xml:space="preserve">the </w:t>
      </w:r>
      <w:r w:rsidR="003032AB">
        <w:t xml:space="preserve">Legislature cannot encroach on or delegate this </w:t>
      </w:r>
      <w:r w:rsidR="00190110">
        <w:t xml:space="preserve">authority. </w:t>
      </w:r>
      <w:r w:rsidR="00217BCF">
        <w:t xml:space="preserve"> </w:t>
      </w:r>
      <w:r w:rsidR="00190110">
        <w:t>That the Legislature</w:t>
      </w:r>
      <w:r w:rsidR="00120F60">
        <w:t xml:space="preserve"> </w:t>
      </w:r>
      <w:r w:rsidR="00C45573">
        <w:t>enacted legislation making</w:t>
      </w:r>
      <w:r w:rsidR="00190110">
        <w:t xml:space="preserve"> retirement systems the employers for </w:t>
      </w:r>
      <w:r w:rsidR="00120F60">
        <w:t xml:space="preserve">certain </w:t>
      </w:r>
      <w:r w:rsidR="00190110">
        <w:t xml:space="preserve">employees appointed under section 31522.1 </w:t>
      </w:r>
      <w:r w:rsidR="00C45573">
        <w:t>suggests</w:t>
      </w:r>
      <w:r w:rsidR="00190110">
        <w:t xml:space="preserve"> such persons were never “county employees” for all purposes under article XI.  (See </w:t>
      </w:r>
      <w:r w:rsidRPr="001F4208" w:rsidR="00C45573">
        <w:rPr>
          <w:i/>
          <w:iCs/>
        </w:rPr>
        <w:t>County of Riverside v. Superior Court</w:t>
      </w:r>
      <w:r w:rsidR="00C45573">
        <w:t xml:space="preserve">, </w:t>
      </w:r>
      <w:r w:rsidR="00C45573">
        <w:rPr>
          <w:i/>
          <w:iCs/>
        </w:rPr>
        <w:t>supra</w:t>
      </w:r>
      <w:r w:rsidR="00C45573">
        <w:t>,</w:t>
      </w:r>
      <w:r w:rsidR="00C45573">
        <w:rPr>
          <w:i/>
          <w:iCs/>
        </w:rPr>
        <w:t xml:space="preserve"> </w:t>
      </w:r>
      <w:r w:rsidRPr="001F4208" w:rsidR="00C45573">
        <w:t>30</w:t>
      </w:r>
      <w:r w:rsidR="00C45573">
        <w:t> </w:t>
      </w:r>
      <w:r w:rsidRPr="001F4208" w:rsidR="00C45573">
        <w:t xml:space="preserve">Cal.4th </w:t>
      </w:r>
      <w:r w:rsidR="00C45573">
        <w:t xml:space="preserve">at </w:t>
      </w:r>
      <w:r w:rsidR="00A62935">
        <w:t>p. </w:t>
      </w:r>
      <w:r w:rsidRPr="001F4208" w:rsidR="00C45573">
        <w:t>285</w:t>
      </w:r>
      <w:r w:rsidR="00C45573">
        <w:t xml:space="preserve">; </w:t>
      </w:r>
      <w:r w:rsidRPr="00673A39" w:rsidR="00C45573">
        <w:rPr>
          <w:i/>
          <w:iCs/>
        </w:rPr>
        <w:t xml:space="preserve">Dimon v. County of Los </w:t>
      </w:r>
      <w:r w:rsidRPr="00307993" w:rsidR="00C45573">
        <w:rPr>
          <w:i/>
          <w:iCs/>
        </w:rPr>
        <w:t>Angeles</w:t>
      </w:r>
      <w:r w:rsidR="00C45573">
        <w:t xml:space="preserve">, </w:t>
      </w:r>
      <w:r w:rsidR="00C45573">
        <w:rPr>
          <w:i/>
          <w:iCs/>
        </w:rPr>
        <w:t>supra</w:t>
      </w:r>
      <w:r w:rsidR="00C45573">
        <w:t xml:space="preserve">, </w:t>
      </w:r>
      <w:r w:rsidRPr="00307993" w:rsidR="00C45573">
        <w:t>166</w:t>
      </w:r>
      <w:r w:rsidR="00C45573">
        <w:t> </w:t>
      </w:r>
      <w:r w:rsidRPr="00673A39" w:rsidR="00C45573">
        <w:t xml:space="preserve">Cal.App.4th </w:t>
      </w:r>
      <w:r w:rsidR="00C45573">
        <w:t xml:space="preserve">at </w:t>
      </w:r>
      <w:r w:rsidR="00A62935">
        <w:t>p. </w:t>
      </w:r>
      <w:r w:rsidRPr="00673A39" w:rsidR="00C45573">
        <w:t>1281</w:t>
      </w:r>
      <w:r w:rsidR="00190110">
        <w:t>.)</w:t>
      </w:r>
    </w:p>
    <w:p w:rsidR="00B44C4F" w:rsidRPr="00D87556" w:rsidP="00C74B13" w14:paraId="217936F9" w14:textId="345F7937">
      <w:pPr>
        <w:spacing w:line="288" w:lineRule="auto"/>
        <w:ind w:firstLine="720"/>
      </w:pPr>
      <w:r w:rsidRPr="00C45573">
        <w:t xml:space="preserve">The relevant legislative landscape begins </w:t>
      </w:r>
      <w:r w:rsidR="008924AE">
        <w:t>i</w:t>
      </w:r>
      <w:r w:rsidRPr="00C45573">
        <w:t xml:space="preserve">n 2001, when the Legislature </w:t>
      </w:r>
      <w:r w:rsidRPr="00C45573" w:rsidR="00FC5738">
        <w:t xml:space="preserve">enacted section </w:t>
      </w:r>
      <w:r w:rsidRPr="00C45573" w:rsidR="00401B08">
        <w:t xml:space="preserve">31522.4, which applies only to LACERA. </w:t>
      </w:r>
      <w:r w:rsidRPr="00C45573" w:rsidR="00D054FC">
        <w:t xml:space="preserve"> That statute allowed LACERA boards to </w:t>
      </w:r>
      <w:r w:rsidRPr="00C45573" w:rsidR="00733E29">
        <w:t>hire senior managers as at-will employees who are not “subject to county charter, civil service, or merit system rules.”  (</w:t>
      </w:r>
      <w:r w:rsidR="00A62935">
        <w:t>§ </w:t>
      </w:r>
      <w:r w:rsidRPr="00C45573" w:rsidR="00733E29">
        <w:t>31522.4, sub</w:t>
      </w:r>
      <w:r w:rsidR="00A62935">
        <w:t>d. </w:t>
      </w:r>
      <w:r w:rsidRPr="00C45573" w:rsidR="00733E29">
        <w:t xml:space="preserve">(a).)  </w:t>
      </w:r>
      <w:r w:rsidRPr="00C45573" w:rsidR="00790307">
        <w:t xml:space="preserve">Such persons are still “county employees” whose positions “shall be included in the salary ordinance or salary resolution </w:t>
      </w:r>
      <w:r w:rsidRPr="00C45573" w:rsidR="00D87556">
        <w:t>adopted by the board of supervisors for the compensation of county officers and employees.”  (</w:t>
      </w:r>
      <w:r w:rsidRPr="00C45573" w:rsidR="00D87556">
        <w:rPr>
          <w:i/>
          <w:iCs/>
        </w:rPr>
        <w:t>Ibid.</w:t>
      </w:r>
      <w:r w:rsidRPr="00C45573" w:rsidR="00D87556">
        <w:t xml:space="preserve">)  According to the legislative history, </w:t>
      </w:r>
      <w:r w:rsidRPr="00C45573" w:rsidR="00837120">
        <w:t xml:space="preserve">the Legislature enacted section 31522.4 after </w:t>
      </w:r>
      <w:r w:rsidRPr="00C45573" w:rsidR="00F07A8B">
        <w:t>the voters</w:t>
      </w:r>
      <w:r w:rsidRPr="00C45573" w:rsidR="00837120">
        <w:t xml:space="preserve"> of Los Angeles County</w:t>
      </w:r>
      <w:r w:rsidRPr="00C45573" w:rsidR="00F07A8B">
        <w:t xml:space="preserve"> amend</w:t>
      </w:r>
      <w:r w:rsidRPr="00C45573" w:rsidR="00837120">
        <w:t>ed</w:t>
      </w:r>
      <w:r w:rsidRPr="00C45573" w:rsidR="00F07A8B">
        <w:t xml:space="preserve"> the County Charter </w:t>
      </w:r>
      <w:r w:rsidRPr="00C45573" w:rsidR="00837120">
        <w:t xml:space="preserve">to exempt </w:t>
      </w:r>
      <w:r w:rsidRPr="00C45573" w:rsidR="00FE0F3F">
        <w:t xml:space="preserve">“the top two layers of management of all county departments from the </w:t>
      </w:r>
      <w:r w:rsidRPr="00C45573" w:rsidR="00B33912">
        <w:t>county civil service system.”</w:t>
      </w:r>
      <w:r w:rsidRPr="00C45573" w:rsidR="00EA00AE">
        <w:t xml:space="preserve">  (</w:t>
      </w:r>
      <w:r w:rsidRPr="00C45573" w:rsidR="00FB2B75">
        <w:t xml:space="preserve">Sen. </w:t>
      </w:r>
      <w:r w:rsidRPr="00C45573" w:rsidR="008B3C91">
        <w:t>Public Employment and Retirement Com., Analysis of Sen.</w:t>
      </w:r>
      <w:r w:rsidR="00023552">
        <w:t> </w:t>
      </w:r>
      <w:r w:rsidRPr="00C45573" w:rsidR="008B3C91">
        <w:t xml:space="preserve">Bill No. </w:t>
      </w:r>
      <w:r w:rsidRPr="00C45573" w:rsidR="002F3A71">
        <w:t>1132 (</w:t>
      </w:r>
      <w:r w:rsidRPr="00C45573" w:rsidR="00112763">
        <w:t xml:space="preserve">2001-2002 Reg. Sess.) </w:t>
      </w:r>
      <w:r w:rsidRPr="00C45573" w:rsidR="00D81986">
        <w:t>as amended Apr. 18, 2001</w:t>
      </w:r>
      <w:r w:rsidRPr="00C45573" w:rsidR="00112763">
        <w:t>.)</w:t>
      </w:r>
      <w:r w:rsidRPr="00C45573" w:rsidR="00B33912">
        <w:t xml:space="preserve">  Because “LACERA is an independent governmental agency separate from the county,” it </w:t>
      </w:r>
      <w:r w:rsidRPr="00C45573" w:rsidR="006549C8">
        <w:t xml:space="preserve">was not “included” in the scope of the Charter amendment.  </w:t>
      </w:r>
      <w:r w:rsidRPr="00C45573" w:rsidR="00D81986">
        <w:t>(</w:t>
      </w:r>
      <w:r w:rsidRPr="00C45573" w:rsidR="00D81986">
        <w:rPr>
          <w:i/>
          <w:iCs/>
        </w:rPr>
        <w:t>Ibid</w:t>
      </w:r>
      <w:r w:rsidRPr="00C45573" w:rsidR="00D81986">
        <w:t>.)</w:t>
      </w:r>
      <w:r w:rsidRPr="00C45573" w:rsidR="00D81986">
        <w:rPr>
          <w:i/>
          <w:iCs/>
        </w:rPr>
        <w:t xml:space="preserve">  </w:t>
      </w:r>
      <w:r w:rsidRPr="00C45573" w:rsidR="000108DD">
        <w:t>At the time, LACERA, which sponsored the legislation</w:t>
      </w:r>
      <w:r w:rsidRPr="00C45573" w:rsidR="00D81986">
        <w:t xml:space="preserve"> (see </w:t>
      </w:r>
      <w:r w:rsidRPr="00C45573" w:rsidR="00D81986">
        <w:rPr>
          <w:i/>
          <w:iCs/>
        </w:rPr>
        <w:t>ibid</w:t>
      </w:r>
      <w:r w:rsidRPr="003B44E9" w:rsidR="00D81986">
        <w:rPr>
          <w:i/>
          <w:iCs/>
        </w:rPr>
        <w:t>.</w:t>
      </w:r>
      <w:r w:rsidRPr="00C45573" w:rsidR="00D81986">
        <w:t>)</w:t>
      </w:r>
      <w:r w:rsidRPr="00C45573" w:rsidR="000108DD">
        <w:t xml:space="preserve">, had no need to </w:t>
      </w:r>
      <w:r w:rsidR="003B44E9">
        <w:t>ask</w:t>
      </w:r>
      <w:r w:rsidRPr="00C45573" w:rsidR="000108DD">
        <w:t xml:space="preserve"> the Legislature </w:t>
      </w:r>
      <w:r w:rsidR="003B44E9">
        <w:t xml:space="preserve">to </w:t>
      </w:r>
      <w:r w:rsidRPr="00C45573" w:rsidR="00336298">
        <w:t xml:space="preserve">state </w:t>
      </w:r>
      <w:r w:rsidRPr="00C45573" w:rsidR="003B44E9">
        <w:t xml:space="preserve">explicitly </w:t>
      </w:r>
      <w:r w:rsidRPr="00C45573" w:rsidR="00336298">
        <w:t xml:space="preserve">that employees appointed by LACERA </w:t>
      </w:r>
      <w:r w:rsidR="00B0478D">
        <w:t>B</w:t>
      </w:r>
      <w:r w:rsidRPr="00C45573" w:rsidR="00B0478D">
        <w:t xml:space="preserve">oards </w:t>
      </w:r>
      <w:r w:rsidRPr="00C45573" w:rsidR="00336298">
        <w:t xml:space="preserve">were employees of LACERA or that the LACERA </w:t>
      </w:r>
      <w:r w:rsidR="00B0478D">
        <w:t>B</w:t>
      </w:r>
      <w:r w:rsidRPr="00C45573" w:rsidR="00B0478D">
        <w:t xml:space="preserve">oards </w:t>
      </w:r>
      <w:r w:rsidRPr="00C45573" w:rsidR="00336298">
        <w:t xml:space="preserve">could establish their employment classifications and salaries because LACERA and the County </w:t>
      </w:r>
      <w:r w:rsidRPr="00C45573" w:rsidR="00D81986">
        <w:t xml:space="preserve">agreed </w:t>
      </w:r>
      <w:r w:rsidRPr="00C45573" w:rsidR="00EA00AE">
        <w:t>Proposition 162</w:t>
      </w:r>
      <w:r w:rsidRPr="00C45573" w:rsidR="006C1BD9">
        <w:t xml:space="preserve"> gave LACERA that authority</w:t>
      </w:r>
      <w:r w:rsidRPr="00C45573" w:rsidR="00EA00AE">
        <w:t>.</w:t>
      </w:r>
      <w:r w:rsidR="00EA00AE">
        <w:t xml:space="preserve"> </w:t>
      </w:r>
    </w:p>
    <w:p w:rsidR="000060AB" w:rsidP="004F1432" w14:paraId="513CE1BA" w14:textId="225A3553">
      <w:pPr>
        <w:spacing w:line="288" w:lineRule="auto"/>
        <w:ind w:firstLine="720"/>
      </w:pPr>
      <w:r>
        <w:t xml:space="preserve">In 2002 the Legislature </w:t>
      </w:r>
      <w:r w:rsidR="004B49CE">
        <w:t xml:space="preserve">added </w:t>
      </w:r>
      <w:r>
        <w:t xml:space="preserve">section </w:t>
      </w:r>
      <w:r w:rsidR="004B49CE">
        <w:t xml:space="preserve">31522.5, which </w:t>
      </w:r>
      <w:r w:rsidR="00522CCC">
        <w:t xml:space="preserve">made </w:t>
      </w:r>
      <w:r w:rsidR="00425AB4">
        <w:t xml:space="preserve">certain senior management employees </w:t>
      </w:r>
      <w:r w:rsidR="00522CCC">
        <w:t xml:space="preserve">of the Orange County retirement system </w:t>
      </w:r>
      <w:r w:rsidR="00C907C7">
        <w:t xml:space="preserve">at-will </w:t>
      </w:r>
      <w:r w:rsidR="009F7303">
        <w:t>employees subject to “terms and conditions</w:t>
      </w:r>
      <w:r w:rsidR="00981716">
        <w:t xml:space="preserve"> of employment established by the board of retirement.”</w:t>
      </w:r>
      <w:r w:rsidR="00203E32">
        <w:t xml:space="preserve">  (</w:t>
      </w:r>
      <w:r w:rsidR="00082464">
        <w:t xml:space="preserve">Former </w:t>
      </w:r>
      <w:r w:rsidR="00A62935">
        <w:t>§ </w:t>
      </w:r>
      <w:r w:rsidR="00082464">
        <w:t>31522.5, sub</w:t>
      </w:r>
      <w:r w:rsidR="00A62935">
        <w:t>d. </w:t>
      </w:r>
      <w:r w:rsidR="00082464">
        <w:t>(b).)</w:t>
      </w:r>
      <w:r>
        <w:rPr>
          <w:rStyle w:val="FootnoteReference"/>
        </w:rPr>
        <w:footnoteReference w:id="22"/>
      </w:r>
      <w:r w:rsidR="00981716">
        <w:t xml:space="preserve">  </w:t>
      </w:r>
      <w:r w:rsidR="004F302F">
        <w:t xml:space="preserve">Although </w:t>
      </w:r>
      <w:r w:rsidR="003B44E9">
        <w:t xml:space="preserve">the </w:t>
      </w:r>
      <w:r w:rsidR="004F302F">
        <w:t xml:space="preserve">legislative history does not </w:t>
      </w:r>
      <w:r w:rsidR="00866FE4">
        <w:t>state what prompted</w:t>
      </w:r>
      <w:r w:rsidR="003B44E9">
        <w:t xml:space="preserve"> </w:t>
      </w:r>
      <w:r w:rsidR="004F302F">
        <w:t xml:space="preserve">section 31522.5 at that time, </w:t>
      </w:r>
      <w:r w:rsidR="004F1432">
        <w:t xml:space="preserve">the Orange County Employees Retirement System (OCERS) sponsored the legislation to ensure “the flexibility needed to recruit and retain specially trained pension professionals to assist them in carrying out their fiduciary responsibility of managing employee retirement funds.”  (See Assembly Com. </w:t>
      </w:r>
      <w:r w:rsidR="00F132F3">
        <w:t xml:space="preserve">on </w:t>
      </w:r>
      <w:r w:rsidR="004F1432">
        <w:t xml:space="preserve">Public Employees, Retirement and Social Security, Analysis of Assem. Bill No. 1992 (2001-2002 Reg. Sess.) as amended Apr. 22, 2002, </w:t>
      </w:r>
      <w:r w:rsidR="00A62935">
        <w:t>p. </w:t>
      </w:r>
      <w:r w:rsidR="004F1432">
        <w:t xml:space="preserve">1.)  Indeed, a letter from the OCERS chief executive officer </w:t>
      </w:r>
      <w:r w:rsidR="00866FE4">
        <w:t xml:space="preserve">explained </w:t>
      </w:r>
      <w:r w:rsidR="00542529">
        <w:t xml:space="preserve">OCERS </w:t>
      </w:r>
      <w:r w:rsidR="004F1432">
        <w:t>had “</w:t>
      </w:r>
      <w:r w:rsidR="00542529">
        <w:t xml:space="preserve">recently lost its chief investment officer to a larger system when it was unable to create a flexible incentive program in a timely manner.”  (Chief Executive Officer of OCERS Keith Bozarth, letter to Assembly Member Lou Correa, </w:t>
      </w:r>
      <w:r w:rsidR="004F1432">
        <w:t>Apr. 23, 2002; see also Chief Executive Officer of OCERS Keith Bozarth, letter to Senate Member Nell Soto, June 3, 2002</w:t>
      </w:r>
      <w:r w:rsidR="00542529">
        <w:t>.)</w:t>
      </w:r>
      <w:r w:rsidR="004F1432">
        <w:t xml:space="preserve"> </w:t>
      </w:r>
      <w:r w:rsidR="00217BCF">
        <w:t xml:space="preserve"> </w:t>
      </w:r>
      <w:r w:rsidR="004F1432">
        <w:t xml:space="preserve">Moreover, </w:t>
      </w:r>
      <w:r w:rsidR="004F302F">
        <w:t xml:space="preserve">the trial court in </w:t>
      </w:r>
      <w:r w:rsidR="004F302F">
        <w:rPr>
          <w:i/>
          <w:iCs/>
        </w:rPr>
        <w:t xml:space="preserve">Westly </w:t>
      </w:r>
      <w:r w:rsidR="004F302F">
        <w:t>issued its decision</w:t>
      </w:r>
      <w:r w:rsidR="00BB50D3">
        <w:t xml:space="preserve"> against CalPERS</w:t>
      </w:r>
      <w:r w:rsidR="004F302F">
        <w:t xml:space="preserve"> in October 2001, </w:t>
      </w:r>
      <w:r w:rsidR="003A0208">
        <w:t xml:space="preserve">and </w:t>
      </w:r>
      <w:r w:rsidR="007D1BDA">
        <w:t xml:space="preserve">the bill </w:t>
      </w:r>
      <w:r w:rsidR="004F1432">
        <w:t>that became section</w:t>
      </w:r>
      <w:r w:rsidR="0092081A">
        <w:t> </w:t>
      </w:r>
      <w:r w:rsidR="004F1432">
        <w:t xml:space="preserve">31522.5 </w:t>
      </w:r>
      <w:r w:rsidR="007D1BDA">
        <w:t xml:space="preserve">was introduced in the Assembly </w:t>
      </w:r>
      <w:r w:rsidR="004F302F">
        <w:t>in February 2002.</w:t>
      </w:r>
      <w:r w:rsidR="00BB50D3">
        <w:t xml:space="preserve">  (Cf. </w:t>
      </w:r>
      <w:r w:rsidRPr="00A7721D" w:rsidR="00BB50D3">
        <w:rPr>
          <w:i/>
          <w:iCs/>
        </w:rPr>
        <w:t>Scott v. City of San Diego</w:t>
      </w:r>
      <w:r w:rsidRPr="00A7721D" w:rsidR="00BB50D3">
        <w:t xml:space="preserve"> (2019) 38</w:t>
      </w:r>
      <w:r w:rsidR="00BB50D3">
        <w:t> </w:t>
      </w:r>
      <w:r w:rsidRPr="00A7721D" w:rsidR="00BB50D3">
        <w:t>Cal.App.5th 228, 240</w:t>
      </w:r>
      <w:r w:rsidR="00BB50D3">
        <w:t>-</w:t>
      </w:r>
      <w:r w:rsidRPr="00A7721D" w:rsidR="00BB50D3">
        <w:t xml:space="preserve">241 </w:t>
      </w:r>
      <w:r w:rsidR="00BB50D3">
        <w:t xml:space="preserve">[appellate court decisions preceding a statutory amendment were relevant in determining the Legislature’s intent].) </w:t>
      </w:r>
      <w:r w:rsidR="007D1BDA">
        <w:t xml:space="preserve"> </w:t>
      </w:r>
      <w:r w:rsidR="00BB50D3">
        <w:t>(</w:t>
      </w:r>
      <w:r w:rsidR="00190110">
        <w:t xml:space="preserve">As </w:t>
      </w:r>
      <w:r w:rsidR="003B44E9">
        <w:t>stated</w:t>
      </w:r>
      <w:r w:rsidR="00190110">
        <w:t>, in 2002 LACERA and the County agreed LACERA had the authority it needed to recruit and retain its staff</w:t>
      </w:r>
      <w:r w:rsidR="004F1432">
        <w:t xml:space="preserve"> by establishing employment </w:t>
      </w:r>
      <w:r w:rsidR="00F341C2">
        <w:t xml:space="preserve">classifications </w:t>
      </w:r>
      <w:r w:rsidR="004F1432">
        <w:t>and salaries</w:t>
      </w:r>
      <w:r w:rsidR="00190110">
        <w:t>.</w:t>
      </w:r>
      <w:r w:rsidR="00BB50D3">
        <w:t>)</w:t>
      </w:r>
    </w:p>
    <w:p w:rsidR="00B44C4F" w:rsidRPr="003B367C" w:rsidP="00C74B13" w14:paraId="7A5262E9" w14:textId="03995018">
      <w:pPr>
        <w:spacing w:line="288" w:lineRule="auto"/>
        <w:ind w:firstLine="720"/>
      </w:pPr>
      <w:r>
        <w:t xml:space="preserve">In 2006 the Legislature </w:t>
      </w:r>
      <w:r w:rsidR="000060AB">
        <w:t xml:space="preserve">applied </w:t>
      </w:r>
      <w:r>
        <w:t>section 31522.5 to the retirement system of San Berna</w:t>
      </w:r>
      <w:r w:rsidR="00132B0F">
        <w:t>r</w:t>
      </w:r>
      <w:r>
        <w:t xml:space="preserve">dino County as part of </w:t>
      </w:r>
      <w:r w:rsidR="00322C6D">
        <w:t xml:space="preserve">“an omnibus </w:t>
      </w:r>
      <w:r>
        <w:t>technical</w:t>
      </w:r>
      <w:r w:rsidR="00322C6D">
        <w:t xml:space="preserve"> bill</w:t>
      </w:r>
      <w:r w:rsidR="003B44E9">
        <w:t>,</w:t>
      </w:r>
      <w:r>
        <w:t xml:space="preserve">” </w:t>
      </w:r>
      <w:r w:rsidR="00322C6D">
        <w:t xml:space="preserve">without much comment about </w:t>
      </w:r>
      <w:r w:rsidR="00BC5802">
        <w:t xml:space="preserve">that particular amendment.  (See Sen. Rules Com., </w:t>
      </w:r>
      <w:r w:rsidR="00C5607F">
        <w:t>Analysis of Sen.</w:t>
      </w:r>
      <w:r w:rsidR="00C518D9">
        <w:t> </w:t>
      </w:r>
      <w:r w:rsidR="00C5607F">
        <w:t xml:space="preserve">Bill No. 777 (2005-2006 Reg. Sess.) as amended </w:t>
      </w:r>
      <w:r w:rsidR="002E100B">
        <w:t>June 15, 2006</w:t>
      </w:r>
      <w:r w:rsidR="00981F96">
        <w:t xml:space="preserve">, </w:t>
      </w:r>
      <w:r w:rsidR="00A62935">
        <w:t>p. </w:t>
      </w:r>
      <w:r w:rsidR="00981F96">
        <w:t>3.)</w:t>
      </w:r>
      <w:r w:rsidR="004F1432">
        <w:t xml:space="preserve">  An </w:t>
      </w:r>
      <w:r w:rsidR="000B6088">
        <w:t>e</w:t>
      </w:r>
      <w:r w:rsidR="004F1432">
        <w:t xml:space="preserve">nrolled </w:t>
      </w:r>
      <w:r w:rsidR="000B6088">
        <w:t>bill r</w:t>
      </w:r>
      <w:r w:rsidR="004F1432">
        <w:t>eport, however, stated</w:t>
      </w:r>
      <w:r w:rsidR="00D24304">
        <w:t xml:space="preserve"> the county was having “difficulty retaining and recruiting upper-level managers for the county retirement board because board employees are subject to civil-service salary restrictions.  Many managers leave the county once they obtain higher education or certification because the private sector often offers more lucrative salaries.”  (Off. </w:t>
      </w:r>
      <w:r w:rsidR="001F6A47">
        <w:t>o</w:t>
      </w:r>
      <w:r w:rsidR="00D24304">
        <w:t>f Planning and Research, Enrolled Bill Re</w:t>
      </w:r>
      <w:r w:rsidR="00A62935">
        <w:t>p. </w:t>
      </w:r>
      <w:r w:rsidR="00D24304">
        <w:t>on Sen. Bill No. 777 (2005-2006 Reg. Sess.) prepared for Gov</w:t>
      </w:r>
      <w:r w:rsidR="002625BC">
        <w:t>ernor</w:t>
      </w:r>
      <w:r w:rsidR="004A6FD6">
        <w:t xml:space="preserve"> Schwarzenegger</w:t>
      </w:r>
      <w:r w:rsidR="00D24304">
        <w:t xml:space="preserve"> (Aug. 23, 2006) </w:t>
      </w:r>
      <w:r w:rsidR="00A62935">
        <w:t>p. </w:t>
      </w:r>
      <w:r w:rsidR="00D24304">
        <w:t xml:space="preserve">1; see </w:t>
      </w:r>
      <w:r w:rsidR="00D24304">
        <w:rPr>
          <w:i/>
          <w:iCs/>
        </w:rPr>
        <w:t>i</w:t>
      </w:r>
      <w:r w:rsidR="00A62935">
        <w:rPr>
          <w:i/>
          <w:iCs/>
        </w:rPr>
        <w:t>d. </w:t>
      </w:r>
      <w:r w:rsidR="00D24304">
        <w:t xml:space="preserve">at </w:t>
      </w:r>
      <w:r w:rsidR="00A62935">
        <w:t>p. </w:t>
      </w:r>
      <w:r w:rsidR="00D24304">
        <w:t xml:space="preserve">2 [explaining the need for retirement systems “to offer competitive salaries to the employees that manage these crucial public retirement investments”].) </w:t>
      </w:r>
      <w:r w:rsidR="00981F96">
        <w:t xml:space="preserve"> </w:t>
      </w:r>
      <w:r w:rsidR="00D24304">
        <w:t xml:space="preserve">This concern was echoed in the legislative history </w:t>
      </w:r>
      <w:r w:rsidR="004767BF">
        <w:t>of</w:t>
      </w:r>
      <w:r w:rsidR="00D24304">
        <w:t xml:space="preserve"> a </w:t>
      </w:r>
      <w:r w:rsidR="00265EE7">
        <w:t>2009</w:t>
      </w:r>
      <w:r w:rsidR="00D24304">
        <w:t xml:space="preserve"> statute that</w:t>
      </w:r>
      <w:r w:rsidR="00265EE7">
        <w:t xml:space="preserve"> expanded the authority of the retirement system of San Bernardino County to additional categories of employees </w:t>
      </w:r>
      <w:r w:rsidR="00662604">
        <w:t xml:space="preserve">in section 31522.7.  (See </w:t>
      </w:r>
      <w:r w:rsidR="00A62935">
        <w:t>§ </w:t>
      </w:r>
      <w:r w:rsidR="00662604">
        <w:t>31522.7</w:t>
      </w:r>
      <w:r w:rsidR="00FD02EF">
        <w:t>, subds.</w:t>
      </w:r>
      <w:r w:rsidR="00297642">
        <w:t> </w:t>
      </w:r>
      <w:r w:rsidR="00FD02EF">
        <w:t>(a)-(b</w:t>
      </w:r>
      <w:r w:rsidR="00AD3938">
        <w:t>)</w:t>
      </w:r>
      <w:r w:rsidR="00662604">
        <w:t xml:space="preserve"> [giving the board of retirement of San Bernardino County authority to appoint </w:t>
      </w:r>
      <w:r w:rsidR="00FD02EF">
        <w:t xml:space="preserve">a variety of employees who “shall be employees </w:t>
      </w:r>
      <w:r w:rsidR="00AD3938">
        <w:t xml:space="preserve">of the retirement system”].)  </w:t>
      </w:r>
      <w:r w:rsidR="004A6FD6">
        <w:t>A Senate Rules Committee analysis stated employees of the</w:t>
      </w:r>
      <w:r w:rsidR="00D24304">
        <w:t xml:space="preserve"> San Bernardino County Employees’ Retirement Association (SBCERA) </w:t>
      </w:r>
      <w:r w:rsidR="004A6FD6">
        <w:t>were</w:t>
      </w:r>
      <w:r w:rsidR="0086196A">
        <w:t xml:space="preserve"> “obtain[ing] training and expertise at the expense of the Board of Retirement and then leav[ing] to take a better paying position with the counties.”  (</w:t>
      </w:r>
      <w:r w:rsidR="00DF59B4">
        <w:t xml:space="preserve">Sen. Rules Com., </w:t>
      </w:r>
      <w:r w:rsidR="004B736F">
        <w:t xml:space="preserve">Off. </w:t>
      </w:r>
      <w:r w:rsidR="00C00BD4">
        <w:t xml:space="preserve">of </w:t>
      </w:r>
      <w:r w:rsidR="004B736F">
        <w:t xml:space="preserve">Sen. Floor Analyses, 3d reading </w:t>
      </w:r>
      <w:r w:rsidR="00597D0C">
        <w:t>analysis of Assem. Bill No. 1406 (2009-2010</w:t>
      </w:r>
      <w:r w:rsidR="00570A42">
        <w:t xml:space="preserve"> Reg. Sess.) as amended May 21, 2009.) </w:t>
      </w:r>
      <w:r w:rsidR="00727D8F">
        <w:t xml:space="preserve"> </w:t>
      </w:r>
      <w:r w:rsidR="004A6FD6">
        <w:t>The analysis said g</w:t>
      </w:r>
      <w:r w:rsidR="00727D8F">
        <w:t xml:space="preserve">iving SBCERA authority to hire employees outside the county civil service </w:t>
      </w:r>
      <w:r w:rsidR="00184932">
        <w:t xml:space="preserve">system and classifying them as at-will employees </w:t>
      </w:r>
      <w:r w:rsidR="00993C2E">
        <w:t xml:space="preserve">would allow SBCERA “to better recruit qualified employees for these positions in a timelier manner.” </w:t>
      </w:r>
      <w:r w:rsidR="003B367C">
        <w:t xml:space="preserve"> (</w:t>
      </w:r>
      <w:r w:rsidR="003B367C">
        <w:rPr>
          <w:i/>
          <w:iCs/>
        </w:rPr>
        <w:t>Ibid.</w:t>
      </w:r>
      <w:r w:rsidR="003B367C">
        <w:t>)</w:t>
      </w:r>
      <w:r w:rsidR="00F05DFE">
        <w:t xml:space="preserve">  </w:t>
      </w:r>
    </w:p>
    <w:p w:rsidR="00E37197" w:rsidRPr="004A6FD6" w:rsidP="00C74B13" w14:paraId="6A300D1F" w14:textId="4C591903">
      <w:pPr>
        <w:spacing w:line="288" w:lineRule="auto"/>
        <w:ind w:firstLine="720"/>
      </w:pPr>
      <w:r>
        <w:t>In 2014 the Legislature enacted section 31522.9</w:t>
      </w:r>
      <w:r w:rsidR="000A6F2F">
        <w:t>, which applies to Contra Costa County.  (</w:t>
      </w:r>
      <w:r w:rsidR="00A62935">
        <w:t>§ </w:t>
      </w:r>
      <w:r w:rsidR="000A6F2F">
        <w:t>31522.9, sub</w:t>
      </w:r>
      <w:r w:rsidR="00A62935">
        <w:t>d. </w:t>
      </w:r>
      <w:r w:rsidR="000A6F2F">
        <w:t>(</w:t>
      </w:r>
      <w:r w:rsidR="00A434ED">
        <w:t xml:space="preserve">h).)  </w:t>
      </w:r>
      <w:r w:rsidR="00FC5A56">
        <w:t xml:space="preserve">Unlike the other county-specific legislation, section 31522.9 applies to all employees of the Contra Costa County </w:t>
      </w:r>
      <w:r w:rsidR="000E202F">
        <w:t>Employees Retirement Association (CCCERA) “as are required to accomplish the necessary work of the board.”  (</w:t>
      </w:r>
      <w:r w:rsidR="002E43D1">
        <w:rPr>
          <w:i/>
          <w:iCs/>
        </w:rPr>
        <w:t>Id.</w:t>
      </w:r>
      <w:r w:rsidRPr="00104C5A" w:rsidR="002E43D1">
        <w:t>,</w:t>
      </w:r>
      <w:r w:rsidR="002E43D1">
        <w:t xml:space="preserve"> sub</w:t>
      </w:r>
      <w:r w:rsidR="00A62935">
        <w:t>d. </w:t>
      </w:r>
      <w:r w:rsidR="002E43D1">
        <w:t xml:space="preserve">(a).)  </w:t>
      </w:r>
      <w:r w:rsidR="00A3546C">
        <w:t xml:space="preserve">Section 31522.9 followed a settlement agreement between CCCERA and Contra Costa County </w:t>
      </w:r>
      <w:r w:rsidR="00636090">
        <w:t>resolv</w:t>
      </w:r>
      <w:r w:rsidR="00355847">
        <w:t>ing</w:t>
      </w:r>
      <w:r w:rsidR="00636090">
        <w:t xml:space="preserve"> a dispute that arose after </w:t>
      </w:r>
      <w:r w:rsidR="00F05044">
        <w:t xml:space="preserve">the controller of Contra Costa County refused to </w:t>
      </w:r>
      <w:r w:rsidR="00363DDB">
        <w:t xml:space="preserve">follow the </w:t>
      </w:r>
      <w:r w:rsidR="00990FB3">
        <w:t>CC</w:t>
      </w:r>
      <w:r w:rsidR="00095A2B">
        <w:t>C</w:t>
      </w:r>
      <w:r w:rsidR="00990FB3">
        <w:t>ERA Board’s direction</w:t>
      </w:r>
      <w:r w:rsidR="00FD4243">
        <w:t xml:space="preserve"> </w:t>
      </w:r>
      <w:r w:rsidR="008924AE">
        <w:t xml:space="preserve">to </w:t>
      </w:r>
      <w:r w:rsidR="00F05044">
        <w:t>pay CCCERA employees</w:t>
      </w:r>
      <w:r w:rsidR="00363DDB">
        <w:t>,</w:t>
      </w:r>
      <w:r w:rsidR="00EB6715">
        <w:t xml:space="preserve"> </w:t>
      </w:r>
      <w:r w:rsidR="00D21978">
        <w:t xml:space="preserve">as </w:t>
      </w:r>
      <w:r w:rsidR="008924AE">
        <w:t xml:space="preserve">the controller </w:t>
      </w:r>
      <w:r w:rsidR="00D21978">
        <w:t>had in the past.</w:t>
      </w:r>
      <w:r w:rsidR="00355847">
        <w:t xml:space="preserve">  (</w:t>
      </w:r>
      <w:r w:rsidR="00331C52">
        <w:t xml:space="preserve">Sen. Public Employment and Retirement Com., </w:t>
      </w:r>
      <w:r w:rsidR="00DD299E">
        <w:t xml:space="preserve">Analysis of Sen. Bill No. 673 (2013-2014 Reg. Sess.) as amended </w:t>
      </w:r>
      <w:r w:rsidR="004523DA">
        <w:t xml:space="preserve">Jan. 6, 2014, </w:t>
      </w:r>
      <w:r w:rsidR="00A62935">
        <w:t>p. </w:t>
      </w:r>
      <w:r w:rsidR="004523DA">
        <w:t xml:space="preserve">3.) </w:t>
      </w:r>
      <w:r w:rsidR="00331C52">
        <w:t xml:space="preserve"> </w:t>
      </w:r>
      <w:r w:rsidR="00731833">
        <w:t>Before</w:t>
      </w:r>
      <w:r w:rsidR="007F5BB5">
        <w:t xml:space="preserve"> the dispute, CCCERA and Contra Costa County appear to have agreed, as LACERA and the County</w:t>
      </w:r>
      <w:r w:rsidR="002C6B22">
        <w:t xml:space="preserve"> </w:t>
      </w:r>
      <w:r w:rsidR="007E7457">
        <w:t xml:space="preserve">had </w:t>
      </w:r>
      <w:r w:rsidR="00104C5A">
        <w:t>agreed</w:t>
      </w:r>
      <w:r w:rsidR="002C6B22">
        <w:t xml:space="preserve"> </w:t>
      </w:r>
      <w:r w:rsidR="007E7457">
        <w:t xml:space="preserve">at </w:t>
      </w:r>
      <w:r w:rsidR="002C6B22">
        <w:t>one time</w:t>
      </w:r>
      <w:r w:rsidR="007F5BB5">
        <w:t xml:space="preserve">, section 31522.1 gave </w:t>
      </w:r>
      <w:r w:rsidR="003C2EAE">
        <w:t xml:space="preserve">retirement boards authority to set salaries for their employees.  </w:t>
      </w:r>
      <w:r w:rsidR="00355847">
        <w:t xml:space="preserve">The legislative history </w:t>
      </w:r>
      <w:r w:rsidR="004A6FD6">
        <w:t>of section</w:t>
      </w:r>
      <w:r w:rsidR="0092081A">
        <w:t> </w:t>
      </w:r>
      <w:r w:rsidR="004A6FD6">
        <w:t xml:space="preserve">31522.9 </w:t>
      </w:r>
      <w:r w:rsidR="00355847">
        <w:t>states</w:t>
      </w:r>
      <w:r w:rsidR="00104C5A">
        <w:t xml:space="preserve">:  </w:t>
      </w:r>
      <w:r w:rsidR="00355847">
        <w:t>“</w:t>
      </w:r>
      <w:r w:rsidR="004523DA">
        <w:t>Under existing law, the CCCERA</w:t>
      </w:r>
      <w:r w:rsidR="003C2EAE">
        <w:t xml:space="preserve"> Board </w:t>
      </w:r>
      <w:r w:rsidR="00C91AA1">
        <w:t xml:space="preserve">has authority to establish compensation for retirement system employees, the Board of Supervisors has responsibility to establish civil service rules and enter MOUs for all county employees, and the </w:t>
      </w:r>
      <w:r w:rsidR="00491832">
        <w:t>Auditor</w:t>
      </w:r>
      <w:r w:rsidR="00C91AA1">
        <w:t>-Controller provides payroll and oversight services.”  (</w:t>
      </w:r>
      <w:r w:rsidR="00075346">
        <w:t xml:space="preserve">Sen. Public Employment and Retirement Com., Analysis of Sen. Bill No. 673, </w:t>
      </w:r>
      <w:r w:rsidR="00075346">
        <w:rPr>
          <w:i/>
          <w:iCs/>
        </w:rPr>
        <w:t>supra</w:t>
      </w:r>
      <w:r w:rsidR="00075346">
        <w:t>, p. 3</w:t>
      </w:r>
      <w:r w:rsidR="008924AE">
        <w:t>.</w:t>
      </w:r>
      <w:r w:rsidR="00C91AA1">
        <w:t>)</w:t>
      </w:r>
      <w:r w:rsidR="007F5BB5">
        <w:t xml:space="preserve"> </w:t>
      </w:r>
      <w:r w:rsidR="00355847">
        <w:t xml:space="preserve"> </w:t>
      </w:r>
      <w:r w:rsidR="00491832">
        <w:t xml:space="preserve">But </w:t>
      </w:r>
      <w:r w:rsidR="00EB6715">
        <w:t xml:space="preserve">after </w:t>
      </w:r>
      <w:r w:rsidR="004A6FD6">
        <w:t>Contra Costa</w:t>
      </w:r>
      <w:r w:rsidR="00EB6715">
        <w:t xml:space="preserve"> </w:t>
      </w:r>
      <w:r w:rsidR="006D5CC3">
        <w:t xml:space="preserve">County’s board of supervisors reduced </w:t>
      </w:r>
      <w:r w:rsidR="000B28F7">
        <w:t xml:space="preserve">the </w:t>
      </w:r>
      <w:r w:rsidR="006D5CC3">
        <w:t xml:space="preserve">pay for county employees </w:t>
      </w:r>
      <w:r w:rsidR="00491832">
        <w:t>to reflect furloughs</w:t>
      </w:r>
      <w:r w:rsidR="000B28F7">
        <w:t xml:space="preserve"> imposed on them, the </w:t>
      </w:r>
      <w:r w:rsidR="00AC616B">
        <w:t xml:space="preserve">controller “indicated </w:t>
      </w:r>
      <w:r w:rsidR="006F245A">
        <w:t>that issuing full pay warrants to the CCCERA employees</w:t>
      </w:r>
      <w:r w:rsidR="00F11395">
        <w:t xml:space="preserve">”—as </w:t>
      </w:r>
      <w:r w:rsidR="00906408">
        <w:t>the CCCERA Board</w:t>
      </w:r>
      <w:r w:rsidR="008C39DE">
        <w:t xml:space="preserve"> directed</w:t>
      </w:r>
      <w:r w:rsidR="00906408">
        <w:t>—“</w:t>
      </w:r>
      <w:r w:rsidR="006F245A">
        <w:t xml:space="preserve">would cause Contra Costa County to violate MOUs that prohibited disparate treatment </w:t>
      </w:r>
      <w:r w:rsidR="0029483E">
        <w:t>among employees in the same class.”  (</w:t>
      </w:r>
      <w:r w:rsidR="0029483E">
        <w:rPr>
          <w:i/>
          <w:iCs/>
        </w:rPr>
        <w:t>Ibid</w:t>
      </w:r>
      <w:r w:rsidR="0029483E">
        <w:t xml:space="preserve">.)  </w:t>
      </w:r>
      <w:r w:rsidR="004A6FD6">
        <w:t>(</w:t>
      </w:r>
      <w:r w:rsidR="00731833">
        <w:t xml:space="preserve">As </w:t>
      </w:r>
      <w:r w:rsidR="00104C5A">
        <w:t>stated</w:t>
      </w:r>
      <w:r w:rsidR="00731833">
        <w:t xml:space="preserve">, </w:t>
      </w:r>
      <w:r w:rsidR="0029483E">
        <w:t>LACERA</w:t>
      </w:r>
      <w:r w:rsidR="00731833">
        <w:t xml:space="preserve">’s </w:t>
      </w:r>
      <w:r w:rsidR="0029483E">
        <w:t>employees</w:t>
      </w:r>
      <w:r w:rsidR="00731833">
        <w:t xml:space="preserve"> are classified separately from County employees</w:t>
      </w:r>
      <w:r w:rsidR="00B57C29">
        <w:t>.</w:t>
      </w:r>
      <w:r w:rsidR="004A6FD6">
        <w:t>)</w:t>
      </w:r>
      <w:r w:rsidR="00AA04A2">
        <w:t xml:space="preserve">  CCCERA and Contra Costa County resolved th</w:t>
      </w:r>
      <w:r w:rsidR="00341E59">
        <w:t>eir</w:t>
      </w:r>
      <w:r w:rsidR="00AA04A2">
        <w:t xml:space="preserve"> </w:t>
      </w:r>
      <w:r w:rsidR="00104C5A">
        <w:t>dispute</w:t>
      </w:r>
      <w:r w:rsidR="00AA04A2">
        <w:t xml:space="preserve"> </w:t>
      </w:r>
      <w:r w:rsidR="000D6C58">
        <w:t xml:space="preserve">through litigation and subsequent legislation that makes clear CCCERA employees are employees of the retirement system. </w:t>
      </w:r>
      <w:r w:rsidR="004A6FD6">
        <w:t xml:space="preserve"> </w:t>
      </w:r>
    </w:p>
    <w:p w:rsidR="00133FDF" w:rsidRPr="00604FD1" w:rsidP="00C74B13" w14:paraId="44236A2F" w14:textId="4F986967">
      <w:pPr>
        <w:spacing w:line="288" w:lineRule="auto"/>
        <w:ind w:firstLine="720"/>
      </w:pPr>
      <w:r>
        <w:t>Finally</w:t>
      </w:r>
      <w:r w:rsidR="004A6FD6">
        <w:t>,</w:t>
      </w:r>
      <w:r>
        <w:t xml:space="preserve"> in </w:t>
      </w:r>
      <w:r w:rsidR="00C67774">
        <w:t xml:space="preserve">2015 the Legislature enacted section 31522.10, which gives the retirement system of Ventura County authority to </w:t>
      </w:r>
      <w:r w:rsidR="00FE5C0D">
        <w:t xml:space="preserve">appoint certain senior level managers </w:t>
      </w:r>
      <w:r w:rsidR="004A5160">
        <w:t xml:space="preserve">as employees of the retirement system who are not subject to </w:t>
      </w:r>
      <w:r w:rsidR="00271289">
        <w:t>Civil Service Rules</w:t>
      </w:r>
      <w:r w:rsidR="004A5160">
        <w:t>.  (</w:t>
      </w:r>
      <w:r w:rsidR="00A62935">
        <w:t>§ </w:t>
      </w:r>
      <w:r w:rsidR="004A5160">
        <w:t>31522.10</w:t>
      </w:r>
      <w:r w:rsidR="000933D9">
        <w:t xml:space="preserve">, subds. (a)-(b)(1).) </w:t>
      </w:r>
      <w:r w:rsidR="00E1370C">
        <w:t xml:space="preserve"> </w:t>
      </w:r>
      <w:r w:rsidR="00E26052">
        <w:t xml:space="preserve">It appears from the legislative history </w:t>
      </w:r>
      <w:r w:rsidR="00396B96">
        <w:t xml:space="preserve">the Ventura County Employees’ Retirement Association </w:t>
      </w:r>
      <w:r w:rsidR="005D034C">
        <w:t xml:space="preserve">(VCERA) </w:t>
      </w:r>
      <w:r w:rsidR="00396B96">
        <w:t xml:space="preserve">was concerned about its ability to comply with its fiduciary duties under </w:t>
      </w:r>
      <w:r w:rsidR="00082271">
        <w:t>Proposition 162 following 2013</w:t>
      </w:r>
      <w:r w:rsidR="00341E59">
        <w:t> </w:t>
      </w:r>
      <w:r w:rsidR="00082271">
        <w:t xml:space="preserve">legislation that imposed new </w:t>
      </w:r>
      <w:r w:rsidR="008D1D3B">
        <w:t xml:space="preserve">obligations on pension systems.  (See </w:t>
      </w:r>
      <w:r w:rsidR="00D5427F">
        <w:t>Sen.</w:t>
      </w:r>
      <w:r w:rsidR="00C518D9">
        <w:t> </w:t>
      </w:r>
      <w:r w:rsidR="00D5427F">
        <w:t xml:space="preserve">Com. </w:t>
      </w:r>
      <w:r w:rsidR="00646098">
        <w:t xml:space="preserve">on </w:t>
      </w:r>
      <w:r w:rsidR="00D5427F">
        <w:t xml:space="preserve">Public Employment and Retirement, </w:t>
      </w:r>
      <w:r w:rsidR="00641983">
        <w:t xml:space="preserve">analysis of Assem. Bill No. 1291 (2015-2016 Reg. Sess.) as amended </w:t>
      </w:r>
      <w:r w:rsidR="005D034C">
        <w:t>May</w:t>
      </w:r>
      <w:r w:rsidR="00731833">
        <w:t> </w:t>
      </w:r>
      <w:r w:rsidR="005D034C">
        <w:t xml:space="preserve">27, 2015, </w:t>
      </w:r>
      <w:r w:rsidR="00A62935">
        <w:t>p. </w:t>
      </w:r>
      <w:r w:rsidR="005D034C">
        <w:t xml:space="preserve">2.) </w:t>
      </w:r>
      <w:r w:rsidR="00217BCF">
        <w:t xml:space="preserve"> </w:t>
      </w:r>
      <w:r w:rsidR="005D034C">
        <w:t>Thus, VCERA sponsored legislation</w:t>
      </w:r>
      <w:r w:rsidR="00D27742">
        <w:t xml:space="preserve"> to, among other things, “better equip[ ]</w:t>
      </w:r>
      <w:r w:rsidR="00E37EE7">
        <w:t xml:space="preserve">” the VCERA boards “to carry out their fiduciary responsibility of managing employee retirement funds” by </w:t>
      </w:r>
      <w:r w:rsidR="00E90723">
        <w:t>improving their “ability to recruit and retain specially trained staff with compensation that’s competitive with the private sector.”  (</w:t>
      </w:r>
      <w:r w:rsidR="00E90723">
        <w:rPr>
          <w:i/>
          <w:iCs/>
        </w:rPr>
        <w:t>I</w:t>
      </w:r>
      <w:r w:rsidR="00A62935">
        <w:rPr>
          <w:i/>
          <w:iCs/>
        </w:rPr>
        <w:t>d. </w:t>
      </w:r>
      <w:r w:rsidR="00E90723">
        <w:t xml:space="preserve">at </w:t>
      </w:r>
      <w:r w:rsidR="00A62935">
        <w:t>p. </w:t>
      </w:r>
      <w:r w:rsidR="00E90723">
        <w:t xml:space="preserve">4.)  </w:t>
      </w:r>
      <w:r w:rsidR="00711B33">
        <w:t xml:space="preserve">The </w:t>
      </w:r>
      <w:r w:rsidR="00BB6822">
        <w:t xml:space="preserve">legislative history also includes a statement in support from the State Association of County Retirement Systems </w:t>
      </w:r>
      <w:r w:rsidR="0042448E">
        <w:t xml:space="preserve">that </w:t>
      </w:r>
      <w:r w:rsidR="00DB79F9">
        <w:t xml:space="preserve">the bill will </w:t>
      </w:r>
      <w:r w:rsidR="00CF4DEA">
        <w:t>create “a line of separation from the county administrative staff” to “</w:t>
      </w:r>
      <w:r w:rsidR="00DB79F9">
        <w:t>ensure that the retirement system will have the unfettered ability to enforce [the new legislation</w:t>
      </w:r>
      <w:r w:rsidR="00CF4DEA">
        <w:t xml:space="preserve">].”  </w:t>
      </w:r>
      <w:r w:rsidR="00604FD1">
        <w:t>(</w:t>
      </w:r>
      <w:r w:rsidR="00604FD1">
        <w:rPr>
          <w:i/>
          <w:iCs/>
        </w:rPr>
        <w:t>I</w:t>
      </w:r>
      <w:r w:rsidR="00A62935">
        <w:rPr>
          <w:i/>
          <w:iCs/>
        </w:rPr>
        <w:t>d. </w:t>
      </w:r>
      <w:r w:rsidR="00604FD1">
        <w:t xml:space="preserve">at </w:t>
      </w:r>
      <w:r w:rsidR="00A62935">
        <w:t>p. </w:t>
      </w:r>
      <w:r w:rsidR="00604FD1">
        <w:t xml:space="preserve">5.) </w:t>
      </w:r>
    </w:p>
    <w:p w:rsidR="00341E59" w:rsidP="00162EAD" w14:paraId="56AA22B6" w14:textId="709F07C6">
      <w:pPr>
        <w:spacing w:line="288" w:lineRule="auto"/>
        <w:ind w:firstLine="720"/>
      </w:pPr>
      <w:r>
        <w:t xml:space="preserve">Each of these county-specific statutes </w:t>
      </w:r>
      <w:r w:rsidR="004A6FD6">
        <w:t xml:space="preserve">followed or likely </w:t>
      </w:r>
      <w:r w:rsidR="00E7516E">
        <w:t xml:space="preserve">was </w:t>
      </w:r>
      <w:r w:rsidR="004A6FD6">
        <w:t xml:space="preserve">precipitated by the litigation in </w:t>
      </w:r>
      <w:r w:rsidR="004A6FD6">
        <w:rPr>
          <w:i/>
          <w:iCs/>
        </w:rPr>
        <w:t>Westly</w:t>
      </w:r>
      <w:r w:rsidR="004A6FD6">
        <w:t xml:space="preserve">.  If </w:t>
      </w:r>
      <w:r w:rsidR="00BF58A8">
        <w:t xml:space="preserve">the court </w:t>
      </w:r>
      <w:r w:rsidR="007E7457">
        <w:t xml:space="preserve">in that case </w:t>
      </w:r>
      <w:r w:rsidR="00BF58A8">
        <w:t xml:space="preserve">had decided </w:t>
      </w:r>
      <w:r w:rsidR="004A6FD6">
        <w:t xml:space="preserve">that case differently, the county-specific legislation would </w:t>
      </w:r>
      <w:r w:rsidR="00BF58A8">
        <w:t xml:space="preserve">not have been </w:t>
      </w:r>
      <w:r w:rsidR="004A6FD6">
        <w:t xml:space="preserve">necessary </w:t>
      </w:r>
      <w:r w:rsidR="00112796">
        <w:t>because</w:t>
      </w:r>
      <w:r w:rsidR="004A6FD6">
        <w:t xml:space="preserve"> the </w:t>
      </w:r>
      <w:r w:rsidR="007121BF">
        <w:t>“</w:t>
      </w:r>
      <w:r w:rsidR="002D219C">
        <w:t>‘</w:t>
      </w:r>
      <w:r w:rsidR="007121BF">
        <w:t xml:space="preserve">administrative </w:t>
      </w:r>
      <w:r>
        <w:t xml:space="preserve">issues </w:t>
      </w:r>
      <w:r w:rsidR="002D219C">
        <w:t>[</w:t>
      </w:r>
      <w:r>
        <w:t>that</w:t>
      </w:r>
      <w:r w:rsidR="002D219C">
        <w:t>] continued to arise concerning terms and conditions of employment</w:t>
      </w:r>
      <w:r w:rsidR="00112796">
        <w:t>’</w:t>
      </w:r>
      <w:r w:rsidR="002D219C">
        <w:t xml:space="preserve">” </w:t>
      </w:r>
      <w:r w:rsidR="00381F12">
        <w:t xml:space="preserve">for retirement system employees </w:t>
      </w:r>
      <w:r w:rsidR="004A6FD6">
        <w:t xml:space="preserve">would </w:t>
      </w:r>
      <w:r w:rsidR="00112796">
        <w:t>not have arisen</w:t>
      </w:r>
      <w:r w:rsidR="002D219C">
        <w:t xml:space="preserve">.  (See </w:t>
      </w:r>
      <w:r w:rsidR="001E7B6A">
        <w:t xml:space="preserve">Sen. Rules Com., Off. </w:t>
      </w:r>
      <w:r w:rsidR="003A2CAC">
        <w:t xml:space="preserve">of </w:t>
      </w:r>
      <w:r w:rsidR="00D6015F">
        <w:t xml:space="preserve">Sen. Floor Analyses, </w:t>
      </w:r>
      <w:r w:rsidR="00AF56E7">
        <w:t>3d </w:t>
      </w:r>
      <w:r w:rsidR="00D6015F">
        <w:t>reading analysis of Sen. Bill No. 673 (</w:t>
      </w:r>
      <w:r w:rsidR="00D73782">
        <w:t>2013-2014 Reg. Sess.)</w:t>
      </w:r>
      <w:r w:rsidR="001C75FD">
        <w:t xml:space="preserve"> as amended Jan. 6, 2014, </w:t>
      </w:r>
      <w:r w:rsidR="00A62935">
        <w:t>p. </w:t>
      </w:r>
      <w:r w:rsidR="001C75FD">
        <w:t xml:space="preserve">4.) </w:t>
      </w:r>
      <w:r w:rsidR="00217BCF">
        <w:t xml:space="preserve"> </w:t>
      </w:r>
      <w:r w:rsidR="00112796">
        <w:t>Indeed, s</w:t>
      </w:r>
      <w:r w:rsidR="008449D4">
        <w:t xml:space="preserve">uch issues </w:t>
      </w:r>
      <w:r w:rsidR="00BE657D">
        <w:t xml:space="preserve">did not </w:t>
      </w:r>
      <w:r w:rsidR="008449D4">
        <w:t>aris</w:t>
      </w:r>
      <w:r w:rsidR="00BE657D">
        <w:t>e</w:t>
      </w:r>
      <w:r w:rsidR="008449D4">
        <w:t xml:space="preserve"> between LACERA and the County until 2018</w:t>
      </w:r>
      <w:r w:rsidR="00BF58A8">
        <w:t xml:space="preserve">, so that until </w:t>
      </w:r>
      <w:r>
        <w:t>then</w:t>
      </w:r>
      <w:r w:rsidR="00980077">
        <w:t xml:space="preserve"> LACERA had no need </w:t>
      </w:r>
      <w:r w:rsidR="00FE4761">
        <w:t>for</w:t>
      </w:r>
      <w:r w:rsidR="00980077">
        <w:t xml:space="preserve"> specific legislation to resolve any such issues</w:t>
      </w:r>
      <w:r w:rsidR="00594D8C">
        <w:t xml:space="preserve">. </w:t>
      </w:r>
    </w:p>
    <w:p w:rsidR="00764D95" w:rsidP="00162EAD" w14:paraId="7F33F70F" w14:textId="1AA8000E">
      <w:pPr>
        <w:spacing w:line="288" w:lineRule="auto"/>
        <w:ind w:firstLine="720"/>
      </w:pPr>
      <w:r>
        <w:t xml:space="preserve">Since </w:t>
      </w:r>
      <w:r w:rsidR="00980077">
        <w:t>2018</w:t>
      </w:r>
      <w:r>
        <w:t xml:space="preserve">, the only </w:t>
      </w:r>
      <w:r w:rsidR="00074C8E">
        <w:t xml:space="preserve">new </w:t>
      </w:r>
      <w:r>
        <w:t xml:space="preserve">county-specific legislation </w:t>
      </w:r>
      <w:r w:rsidR="005F3B40">
        <w:t xml:space="preserve">is section 31522.11, which </w:t>
      </w:r>
      <w:r w:rsidR="00B42A74">
        <w:t xml:space="preserve">the Legislature enacted in 2021 to expand the </w:t>
      </w:r>
      <w:r w:rsidR="00074C8E">
        <w:t xml:space="preserve">categories </w:t>
      </w:r>
      <w:r w:rsidR="00B42A74">
        <w:t xml:space="preserve">of personnel </w:t>
      </w:r>
      <w:r w:rsidR="00141563">
        <w:t>OCERS</w:t>
      </w:r>
      <w:r w:rsidR="00B42A74">
        <w:t xml:space="preserve"> can appoint </w:t>
      </w:r>
      <w:r w:rsidR="00074C8E">
        <w:t xml:space="preserve">as retirement system employees </w:t>
      </w:r>
      <w:r w:rsidR="00B42A74">
        <w:t xml:space="preserve">outside the civil service system.  (See </w:t>
      </w:r>
      <w:r w:rsidR="00A62935">
        <w:t>§ </w:t>
      </w:r>
      <w:r w:rsidR="00B42A74">
        <w:t>31522.11, sub</w:t>
      </w:r>
      <w:r w:rsidR="00A62935">
        <w:t>d. </w:t>
      </w:r>
      <w:r w:rsidR="000C002B">
        <w:t xml:space="preserve">(a).)  </w:t>
      </w:r>
      <w:r w:rsidR="00A461A6">
        <w:t>The legislative history of section</w:t>
      </w:r>
      <w:r w:rsidR="00EE1D61">
        <w:t> </w:t>
      </w:r>
      <w:r w:rsidR="00A461A6">
        <w:t xml:space="preserve">31522.11 </w:t>
      </w:r>
      <w:r w:rsidR="00381F12">
        <w:t xml:space="preserve">demonstrates how </w:t>
      </w:r>
      <w:r w:rsidR="00381F12">
        <w:rPr>
          <w:i/>
          <w:iCs/>
        </w:rPr>
        <w:t xml:space="preserve">Westly </w:t>
      </w:r>
      <w:r w:rsidR="00381F12">
        <w:t xml:space="preserve">has led to legislative micromanagement of retirement systems, precisely what the voters intended to prevent by adopting Proposition 162.  </w:t>
      </w:r>
      <w:r w:rsidR="000A65F7">
        <w:t>T</w:t>
      </w:r>
      <w:r w:rsidR="004D32B6">
        <w:t xml:space="preserve">he </w:t>
      </w:r>
      <w:r w:rsidR="00500D9F">
        <w:t xml:space="preserve">Senate Committee </w:t>
      </w:r>
      <w:r w:rsidR="00167DE1">
        <w:t xml:space="preserve">on Labor, Public Employment and Retirement </w:t>
      </w:r>
      <w:r w:rsidR="00500D9F">
        <w:t xml:space="preserve">analysis of </w:t>
      </w:r>
      <w:r w:rsidR="00167DE1">
        <w:t xml:space="preserve">Assembly Bill No. </w:t>
      </w:r>
      <w:r w:rsidR="00DF5032">
        <w:t>761 (</w:t>
      </w:r>
      <w:r w:rsidR="00F224CA">
        <w:t>which</w:t>
      </w:r>
      <w:r w:rsidR="00500D9F">
        <w:t xml:space="preserve"> became section</w:t>
      </w:r>
      <w:r w:rsidR="00F224CA">
        <w:t> </w:t>
      </w:r>
      <w:r w:rsidR="00500D9F">
        <w:t>31522.11</w:t>
      </w:r>
      <w:r w:rsidR="00DF5032">
        <w:t>)</w:t>
      </w:r>
      <w:r w:rsidR="005E3612">
        <w:t xml:space="preserve"> </w:t>
      </w:r>
      <w:r w:rsidR="00CC5058">
        <w:t>explained that existing law (then section</w:t>
      </w:r>
      <w:r w:rsidR="00F224CA">
        <w:t> </w:t>
      </w:r>
      <w:r w:rsidR="00CC5058">
        <w:t>31522.5)</w:t>
      </w:r>
      <w:r w:rsidR="005E3612">
        <w:t xml:space="preserve"> </w:t>
      </w:r>
      <w:r w:rsidR="00C87F58">
        <w:t>limited OCERS to appoint</w:t>
      </w:r>
      <w:r w:rsidR="00F224CA">
        <w:t>ing</w:t>
      </w:r>
      <w:r w:rsidR="00C87F58">
        <w:t xml:space="preserve"> </w:t>
      </w:r>
      <w:r w:rsidR="008F2ECB">
        <w:t xml:space="preserve">as non-civil service employees “only one assistant administrator </w:t>
      </w:r>
      <w:r w:rsidR="00A12F34">
        <w:t>and require[d] all personnel of the OCERS investment Division to report directly to the OCERS Chief Investment Officer.”  (Sen</w:t>
      </w:r>
      <w:r w:rsidR="0056521D">
        <w:t>.</w:t>
      </w:r>
      <w:r w:rsidR="00A12F34">
        <w:t xml:space="preserve"> Com</w:t>
      </w:r>
      <w:r w:rsidR="0056521D">
        <w:t>.</w:t>
      </w:r>
      <w:r w:rsidR="00A12F34">
        <w:t xml:space="preserve"> </w:t>
      </w:r>
      <w:r w:rsidR="001B7BEA">
        <w:t xml:space="preserve">on </w:t>
      </w:r>
      <w:r w:rsidR="00A12F34">
        <w:t>Labor, Public Employment and Retirement</w:t>
      </w:r>
      <w:r w:rsidR="0056521D">
        <w:t xml:space="preserve">, </w:t>
      </w:r>
      <w:r w:rsidR="000B761D">
        <w:t>A</w:t>
      </w:r>
      <w:r w:rsidR="00A12F34">
        <w:t>nalysis of Assem</w:t>
      </w:r>
      <w:r w:rsidR="000B761D">
        <w:t>.</w:t>
      </w:r>
      <w:r w:rsidR="00A12F34">
        <w:t xml:space="preserve"> Bill No.</w:t>
      </w:r>
      <w:r w:rsidR="00444708">
        <w:t> </w:t>
      </w:r>
      <w:r w:rsidR="00A12F34">
        <w:t>761</w:t>
      </w:r>
      <w:r w:rsidR="000B761D">
        <w:t xml:space="preserve"> (2021-2022 Reg. Sess.) as amended Mar. 18, 2021, </w:t>
      </w:r>
      <w:r w:rsidR="00A62935">
        <w:t>p. </w:t>
      </w:r>
      <w:r w:rsidR="00F0473C">
        <w:t xml:space="preserve">2.)  The analysis explained that OCERS </w:t>
      </w:r>
      <w:r w:rsidR="0095796C">
        <w:t>believed that</w:t>
      </w:r>
      <w:r w:rsidR="0063304D">
        <w:t xml:space="preserve"> the</w:t>
      </w:r>
      <w:r w:rsidR="0095796C">
        <w:t xml:space="preserve"> scope of authority no longer met its “organizational needs” and </w:t>
      </w:r>
      <w:r w:rsidR="00162EAD">
        <w:t xml:space="preserve">that </w:t>
      </w:r>
      <w:r w:rsidR="00AC24A2">
        <w:t>the</w:t>
      </w:r>
      <w:r w:rsidR="00381F12">
        <w:t xml:space="preserve"> </w:t>
      </w:r>
      <w:r w:rsidR="00AC24A2">
        <w:t>bill “would ‘allow for more efficient use of existing personnel’ by allowing the OCERS board to appoint ‘two assistant administrators</w:t>
      </w:r>
      <w:r w:rsidR="00444708">
        <w:t xml:space="preserve"> </w:t>
      </w:r>
      <w:r w:rsidR="00A62935">
        <w:t>. . . </w:t>
      </w:r>
      <w:r w:rsidR="002D37E8">
        <w:t>and to appoint a level of management personnel between the OCERS Chief Investment Officer and the other personnel in the OCERS Investment Division.</w:t>
      </w:r>
      <w:r w:rsidR="00FB44DB">
        <w:t>’</w:t>
      </w:r>
      <w:r w:rsidR="002D37E8">
        <w:t>”  (</w:t>
      </w:r>
      <w:r w:rsidR="002D37E8">
        <w:rPr>
          <w:i/>
          <w:iCs/>
        </w:rPr>
        <w:t>Ibid.</w:t>
      </w:r>
      <w:r w:rsidR="002D37E8">
        <w:t>)</w:t>
      </w:r>
    </w:p>
    <w:p w:rsidR="001C7CFB" w:rsidP="00162EAD" w14:paraId="3AA63705" w14:textId="3123D965">
      <w:pPr>
        <w:spacing w:line="288" w:lineRule="auto"/>
        <w:ind w:firstLine="720"/>
      </w:pPr>
      <w:r>
        <w:t>Th</w:t>
      </w:r>
      <w:r w:rsidR="00764D95">
        <w:t>is</w:t>
      </w:r>
      <w:r>
        <w:t xml:space="preserve"> admittedly long and detailed detour into several rounds of legislative history shows </w:t>
      </w:r>
      <w:r w:rsidR="00F27D96">
        <w:t xml:space="preserve">how </w:t>
      </w:r>
      <w:r w:rsidR="00F27D96">
        <w:rPr>
          <w:i/>
          <w:iCs/>
        </w:rPr>
        <w:t>Westly</w:t>
      </w:r>
      <w:r w:rsidR="00F27D96">
        <w:t xml:space="preserve"> has eroded the “plenary authority” of retirement boards to administer and manage their retirement systems.  </w:t>
      </w:r>
      <w:r w:rsidR="00323DA7">
        <w:t xml:space="preserve">That OCERS </w:t>
      </w:r>
      <w:r>
        <w:t>had to</w:t>
      </w:r>
      <w:r w:rsidR="006165A1">
        <w:t xml:space="preserve"> </w:t>
      </w:r>
      <w:r w:rsidR="00731833">
        <w:t>seek</w:t>
      </w:r>
      <w:r w:rsidR="00323DA7">
        <w:t xml:space="preserve"> a legislative </w:t>
      </w:r>
      <w:r w:rsidR="00731833">
        <w:t>amendment</w:t>
      </w:r>
      <w:r w:rsidR="00323DA7">
        <w:t xml:space="preserve"> </w:t>
      </w:r>
      <w:r w:rsidR="00480170">
        <w:t xml:space="preserve">before it </w:t>
      </w:r>
      <w:r>
        <w:t>could</w:t>
      </w:r>
      <w:r w:rsidR="00480170">
        <w:t xml:space="preserve"> </w:t>
      </w:r>
      <w:r w:rsidR="006165A1">
        <w:t>restructure its management</w:t>
      </w:r>
      <w:r w:rsidR="00444708">
        <w:t xml:space="preserve"> </w:t>
      </w:r>
      <w:r w:rsidR="006165A1">
        <w:t xml:space="preserve">to be more efficient </w:t>
      </w:r>
      <w:r w:rsidR="00764D95">
        <w:t>is contrary to</w:t>
      </w:r>
      <w:r w:rsidR="006165A1">
        <w:t xml:space="preserve"> the voters’ intent to free </w:t>
      </w:r>
      <w:r w:rsidR="00480170">
        <w:t xml:space="preserve">the administration of </w:t>
      </w:r>
      <w:r w:rsidR="006165A1">
        <w:t xml:space="preserve">retirement systems from legislative and executive oversight.  (See </w:t>
      </w:r>
      <w:r w:rsidR="007B06FE">
        <w:t xml:space="preserve">1992 </w:t>
      </w:r>
      <w:r w:rsidR="00731833">
        <w:t xml:space="preserve">Ballot Pamp., </w:t>
      </w:r>
      <w:r w:rsidR="00241358">
        <w:rPr>
          <w:i/>
          <w:iCs/>
        </w:rPr>
        <w:t>supra</w:t>
      </w:r>
      <w:r w:rsidR="00241358">
        <w:t>,</w:t>
      </w:r>
      <w:r w:rsidR="00241358">
        <w:rPr>
          <w:i/>
          <w:iCs/>
        </w:rPr>
        <w:t xml:space="preserve"> </w:t>
      </w:r>
      <w:r w:rsidR="00731833">
        <w:t>text of Pro</w:t>
      </w:r>
      <w:r w:rsidR="00A62935">
        <w:t>p. </w:t>
      </w:r>
      <w:r w:rsidR="00731833">
        <w:t xml:space="preserve">162, </w:t>
      </w:r>
      <w:r w:rsidR="00A62935">
        <w:t>p. </w:t>
      </w:r>
      <w:r w:rsidR="00731833">
        <w:t xml:space="preserve">70, </w:t>
      </w:r>
      <w:r w:rsidR="00A62935">
        <w:t>§ </w:t>
      </w:r>
      <w:r w:rsidR="00731833">
        <w:t>3, sub</w:t>
      </w:r>
      <w:r w:rsidR="00A62935">
        <w:t>d. </w:t>
      </w:r>
      <w:r w:rsidR="00731833">
        <w:t>(e).)</w:t>
      </w:r>
    </w:p>
    <w:p w:rsidR="007848FC" w:rsidP="00731833" w14:paraId="3A44DF31" w14:textId="38CC61F8">
      <w:pPr>
        <w:spacing w:line="288" w:lineRule="auto"/>
        <w:ind w:firstLine="720"/>
      </w:pPr>
      <w:r>
        <w:t xml:space="preserve">In light of the </w:t>
      </w:r>
      <w:r w:rsidR="00162EAD">
        <w:t xml:space="preserve">court’s </w:t>
      </w:r>
      <w:r>
        <w:t xml:space="preserve">holding in </w:t>
      </w:r>
      <w:r>
        <w:rPr>
          <w:i/>
          <w:iCs/>
        </w:rPr>
        <w:t xml:space="preserve">Westly </w:t>
      </w:r>
      <w:r>
        <w:t xml:space="preserve">and the difficulties retirement boards have had in recruiting and retaining staff under the constraints of county employment </w:t>
      </w:r>
      <w:r w:rsidR="00F341C2">
        <w:t xml:space="preserve">classifications </w:t>
      </w:r>
      <w:r>
        <w:t xml:space="preserve">and salary ordinances, that some retirement systems sought legislation to give them </w:t>
      </w:r>
      <w:r w:rsidR="00731833">
        <w:t xml:space="preserve">greater authority </w:t>
      </w:r>
      <w:r w:rsidR="00BA236F">
        <w:t xml:space="preserve">and flexibility </w:t>
      </w:r>
      <w:r>
        <w:t xml:space="preserve">is not indicative of the original intent of section 31522.1 or of its interpretation in light of Proposition 162.  The </w:t>
      </w:r>
      <w:r w:rsidR="00731833">
        <w:t>bureaucratic delays</w:t>
      </w:r>
      <w:r>
        <w:t xml:space="preserve"> </w:t>
      </w:r>
      <w:r w:rsidR="00D149F0">
        <w:t xml:space="preserve">and disputes </w:t>
      </w:r>
      <w:r>
        <w:t>OCERS and other retirement system</w:t>
      </w:r>
      <w:r w:rsidR="00731833">
        <w:t xml:space="preserve">s </w:t>
      </w:r>
      <w:r w:rsidR="00C169FB">
        <w:t>experienced</w:t>
      </w:r>
      <w:r>
        <w:t xml:space="preserve"> in attempting to manage their systems for the benefit of their members and beneficiaries are what led to this litigation.  Proposition 162 </w:t>
      </w:r>
      <w:r w:rsidR="00FA5C1F">
        <w:t>g</w:t>
      </w:r>
      <w:r w:rsidR="006E76E6">
        <w:t>a</w:t>
      </w:r>
      <w:r w:rsidR="00FA5C1F">
        <w:t xml:space="preserve">ve </w:t>
      </w:r>
      <w:r>
        <w:t xml:space="preserve">retirement boards </w:t>
      </w:r>
      <w:r w:rsidR="00FA5C1F">
        <w:t xml:space="preserve">authority and discretion </w:t>
      </w:r>
      <w:r>
        <w:t xml:space="preserve">to </w:t>
      </w:r>
      <w:r w:rsidR="00731833">
        <w:t xml:space="preserve">fulfill their </w:t>
      </w:r>
      <w:r w:rsidR="00FA5C1F">
        <w:t xml:space="preserve">fiduciary </w:t>
      </w:r>
      <w:r w:rsidR="00731833">
        <w:t xml:space="preserve">duties to </w:t>
      </w:r>
      <w:r>
        <w:t xml:space="preserve">maximize </w:t>
      </w:r>
      <w:r w:rsidR="00731833">
        <w:t>system assets</w:t>
      </w:r>
      <w:r>
        <w:t xml:space="preserve"> and to charge against those assets reasonable administrative costs.  </w:t>
      </w:r>
      <w:r w:rsidR="000C069F">
        <w:t xml:space="preserve">We must </w:t>
      </w:r>
      <w:r w:rsidRPr="003858F8" w:rsidR="006B75A4">
        <w:t xml:space="preserve">reconcile the language of </w:t>
      </w:r>
      <w:r w:rsidR="00BA236F">
        <w:t>section</w:t>
      </w:r>
      <w:r w:rsidR="00EE1D61">
        <w:t> </w:t>
      </w:r>
      <w:r w:rsidR="00BA236F">
        <w:t xml:space="preserve">31522.1 with </w:t>
      </w:r>
      <w:r w:rsidRPr="003858F8" w:rsidR="006B75A4">
        <w:t xml:space="preserve">Proposition </w:t>
      </w:r>
      <w:r w:rsidR="006B75A4">
        <w:t>162, if possible (</w:t>
      </w:r>
      <w:r w:rsidRPr="003858F8" w:rsidR="006B75A4">
        <w:rPr>
          <w:i/>
          <w:iCs/>
        </w:rPr>
        <w:t>Citizens Assn. of Sunset Beach v. Orange County Local Agency Formation Com.</w:t>
      </w:r>
      <w:r w:rsidRPr="003858F8" w:rsidR="006B75A4">
        <w:t xml:space="preserve"> (2012) 209</w:t>
      </w:r>
      <w:r w:rsidR="00731833">
        <w:t> </w:t>
      </w:r>
      <w:r w:rsidRPr="003858F8" w:rsidR="006B75A4">
        <w:t>Cal.App.4th 1182, 1192</w:t>
      </w:r>
      <w:r w:rsidR="006B75A4">
        <w:t>), while acknowledging that</w:t>
      </w:r>
      <w:r w:rsidR="00162EAD">
        <w:t>,</w:t>
      </w:r>
      <w:r w:rsidR="006B75A4">
        <w:t xml:space="preserve"> “</w:t>
      </w:r>
      <w:r w:rsidRPr="006B75A4" w:rsidR="006B75A4">
        <w:t>if there is a conflict between the California Constitution and a law adopted by the Legislature, the California Constitution prevails</w:t>
      </w:r>
      <w:r w:rsidR="006B75A4">
        <w:t>” (</w:t>
      </w:r>
      <w:r w:rsidRPr="00A621DF" w:rsidR="006B75A4">
        <w:rPr>
          <w:i/>
          <w:iCs/>
        </w:rPr>
        <w:t>City and County of San Francisco v. Regents of University of California</w:t>
      </w:r>
      <w:r w:rsidRPr="00A621DF" w:rsidR="006B75A4">
        <w:t xml:space="preserve"> (2019) 7</w:t>
      </w:r>
      <w:r w:rsidR="00731833">
        <w:t> </w:t>
      </w:r>
      <w:r w:rsidRPr="00A621DF" w:rsidR="006B75A4">
        <w:t>Cal.5th 536, 558</w:t>
      </w:r>
      <w:r w:rsidR="006B75A4">
        <w:t xml:space="preserve">).  </w:t>
      </w:r>
      <w:r w:rsidR="002B52B8">
        <w:t xml:space="preserve">The language and intent of </w:t>
      </w:r>
      <w:r w:rsidR="00BA236F">
        <w:t xml:space="preserve">section 31522.1 and </w:t>
      </w:r>
      <w:r w:rsidR="002B52B8">
        <w:t xml:space="preserve">Proposition 162 </w:t>
      </w:r>
      <w:r w:rsidR="00731833">
        <w:t>are</w:t>
      </w:r>
      <w:r w:rsidR="002B52B8">
        <w:t xml:space="preserve"> reconciled by interpreting </w:t>
      </w:r>
      <w:r w:rsidR="00731833">
        <w:t xml:space="preserve">section 31522.1 </w:t>
      </w:r>
      <w:r w:rsidR="002B52B8">
        <w:t xml:space="preserve">to </w:t>
      </w:r>
      <w:r w:rsidR="00D149F0">
        <w:t>create a ministerial duty on</w:t>
      </w:r>
      <w:r w:rsidR="002B52B8">
        <w:t xml:space="preserve"> the Board of Supervisors to include in the civil service classifications the </w:t>
      </w:r>
      <w:r w:rsidR="00475988">
        <w:t xml:space="preserve">positions </w:t>
      </w:r>
      <w:r w:rsidR="002B52B8">
        <w:t xml:space="preserve">adopted by the LACERA Boards and to include in </w:t>
      </w:r>
      <w:r w:rsidR="00BA236F">
        <w:t>the County</w:t>
      </w:r>
      <w:r w:rsidR="002B52B8">
        <w:t xml:space="preserve"> salary ordinance or resolution the salaries for retirement system employees adopted by the LACERA Boards.  </w:t>
      </w:r>
    </w:p>
    <w:p w:rsidR="00D715CC" w:rsidP="00731833" w14:paraId="36E5C216" w14:textId="77777777">
      <w:pPr>
        <w:spacing w:line="288" w:lineRule="auto"/>
        <w:ind w:firstLine="720"/>
      </w:pPr>
    </w:p>
    <w:p w:rsidR="00D715CC" w:rsidP="00D715CC" w14:paraId="5D86724F" w14:textId="77777777">
      <w:pPr>
        <w:pStyle w:val="CaCoA-Heading1"/>
        <w:keepNext/>
        <w:keepLines/>
        <w:spacing w:line="288" w:lineRule="auto"/>
      </w:pPr>
      <w:r w:rsidRPr="00DE5A47">
        <w:t>DISPOSITION</w:t>
      </w:r>
    </w:p>
    <w:p w:rsidR="00D715CC" w:rsidRPr="00DE5A47" w:rsidP="00D715CC" w14:paraId="4F4736EF" w14:textId="77777777">
      <w:pPr>
        <w:pStyle w:val="CaCoA-Heading1"/>
        <w:keepNext/>
        <w:keepLines/>
        <w:spacing w:line="288" w:lineRule="auto"/>
      </w:pPr>
    </w:p>
    <w:p w:rsidR="00D715CC" w:rsidRPr="00DE5A47" w:rsidP="00D715CC" w14:paraId="1923FAFC" w14:textId="77777777">
      <w:pPr>
        <w:keepNext/>
        <w:keepLines/>
        <w:spacing w:line="288" w:lineRule="auto"/>
        <w:ind w:firstLine="720"/>
        <w:rPr>
          <w:szCs w:val="26"/>
        </w:rPr>
      </w:pPr>
      <w:r>
        <w:rPr>
          <w:szCs w:val="26"/>
        </w:rPr>
        <w:t>The judgment is reversed.  The request for judicial notice is denied as unnecessary.  LACERA is to recover its costs on appeal.</w:t>
      </w:r>
    </w:p>
    <w:p w:rsidR="00D715CC" w:rsidP="00D715CC" w14:paraId="1A38D435" w14:textId="77777777">
      <w:pPr>
        <w:keepNext/>
        <w:keepLines/>
        <w:spacing w:line="288" w:lineRule="auto"/>
        <w:contextualSpacing/>
        <w:outlineLvl w:val="0"/>
        <w:rPr>
          <w:szCs w:val="26"/>
        </w:rPr>
      </w:pPr>
    </w:p>
    <w:p w:rsidR="00D715CC" w:rsidP="00D715CC" w14:paraId="3D72ADF2" w14:textId="77777777">
      <w:pPr>
        <w:keepNext/>
        <w:keepLines/>
        <w:spacing w:line="288" w:lineRule="auto"/>
        <w:contextualSpacing/>
        <w:outlineLvl w:val="0"/>
        <w:rPr>
          <w:szCs w:val="26"/>
        </w:rPr>
      </w:pPr>
    </w:p>
    <w:p w:rsidR="00D715CC" w:rsidP="00D715CC" w14:paraId="7BEBA8E6" w14:textId="77777777">
      <w:pPr>
        <w:keepNext/>
        <w:keepLines/>
        <w:spacing w:line="288" w:lineRule="auto"/>
        <w:contextualSpacing/>
        <w:outlineLvl w:val="0"/>
        <w:rPr>
          <w:szCs w:val="26"/>
        </w:rPr>
      </w:pPr>
    </w:p>
    <w:p w:rsidR="00D715CC" w:rsidRPr="00DE5A47" w:rsidP="00D715CC" w14:paraId="5D4A2BDD" w14:textId="1131C581">
      <w:pPr>
        <w:keepNext/>
        <w:keepLines/>
        <w:spacing w:line="288" w:lineRule="auto"/>
        <w:ind w:left="4320" w:firstLine="720"/>
        <w:contextualSpacing/>
        <w:outlineLvl w:val="0"/>
        <w:rPr>
          <w:szCs w:val="26"/>
        </w:rPr>
      </w:pPr>
      <w:r w:rsidRPr="00DE5A47">
        <w:rPr>
          <w:szCs w:val="26"/>
        </w:rPr>
        <w:t>SEGAL,</w:t>
      </w:r>
      <w:r>
        <w:rPr>
          <w:szCs w:val="26"/>
        </w:rPr>
        <w:t> </w:t>
      </w:r>
      <w:r w:rsidRPr="00DE5A47">
        <w:rPr>
          <w:szCs w:val="26"/>
        </w:rPr>
        <w:t xml:space="preserve">J. </w:t>
      </w:r>
    </w:p>
    <w:p w:rsidR="00D715CC" w:rsidRPr="00DE5A47" w:rsidP="00D715CC" w14:paraId="0181B686" w14:textId="77777777">
      <w:pPr>
        <w:keepNext/>
        <w:keepLines/>
        <w:spacing w:line="288" w:lineRule="auto"/>
        <w:contextualSpacing/>
        <w:outlineLvl w:val="0"/>
        <w:rPr>
          <w:szCs w:val="26"/>
        </w:rPr>
      </w:pPr>
    </w:p>
    <w:p w:rsidR="00D715CC" w:rsidRPr="00DE5A47" w:rsidP="00D715CC" w14:paraId="6843E21B" w14:textId="77777777">
      <w:pPr>
        <w:keepNext/>
        <w:keepLines/>
        <w:spacing w:line="288" w:lineRule="auto"/>
        <w:contextualSpacing/>
        <w:outlineLvl w:val="0"/>
        <w:rPr>
          <w:szCs w:val="26"/>
        </w:rPr>
      </w:pPr>
    </w:p>
    <w:p w:rsidR="00D715CC" w:rsidRPr="00DE5A47" w:rsidP="00D715CC" w14:paraId="0F462531" w14:textId="77777777">
      <w:pPr>
        <w:keepNext/>
        <w:keepLines/>
        <w:spacing w:line="288" w:lineRule="auto"/>
        <w:contextualSpacing/>
        <w:rPr>
          <w:szCs w:val="26"/>
        </w:rPr>
      </w:pPr>
      <w:r w:rsidRPr="00DE5A47">
        <w:rPr>
          <w:szCs w:val="26"/>
        </w:rPr>
        <w:t>We concur:</w:t>
      </w:r>
    </w:p>
    <w:p w:rsidR="00D715CC" w:rsidP="00D715CC" w14:paraId="110D7FA7" w14:textId="77777777">
      <w:pPr>
        <w:keepNext/>
        <w:keepLines/>
        <w:spacing w:line="288" w:lineRule="auto"/>
        <w:contextualSpacing/>
        <w:rPr>
          <w:szCs w:val="26"/>
        </w:rPr>
      </w:pPr>
    </w:p>
    <w:p w:rsidR="00D715CC" w:rsidP="00D715CC" w14:paraId="4DE6DBA5" w14:textId="77777777">
      <w:pPr>
        <w:keepNext/>
        <w:keepLines/>
        <w:spacing w:line="288" w:lineRule="auto"/>
        <w:contextualSpacing/>
        <w:rPr>
          <w:szCs w:val="26"/>
        </w:rPr>
      </w:pPr>
    </w:p>
    <w:p w:rsidR="00D715CC" w:rsidP="00D715CC" w14:paraId="2C8528B4" w14:textId="77777777">
      <w:pPr>
        <w:keepNext/>
        <w:keepLines/>
        <w:spacing w:line="288" w:lineRule="auto"/>
        <w:contextualSpacing/>
        <w:rPr>
          <w:szCs w:val="26"/>
        </w:rPr>
      </w:pPr>
    </w:p>
    <w:p w:rsidR="00D715CC" w:rsidRPr="00DE5A47" w:rsidP="00D715CC" w14:paraId="0B773A1D" w14:textId="2BCDA446">
      <w:pPr>
        <w:keepNext/>
        <w:keepLines/>
        <w:spacing w:line="288" w:lineRule="auto"/>
        <w:contextualSpacing/>
        <w:rPr>
          <w:szCs w:val="26"/>
        </w:rPr>
      </w:pPr>
      <w:r>
        <w:rPr>
          <w:szCs w:val="26"/>
        </w:rPr>
        <w:tab/>
      </w:r>
      <w:r>
        <w:rPr>
          <w:szCs w:val="26"/>
        </w:rPr>
        <w:tab/>
      </w:r>
      <w:r>
        <w:rPr>
          <w:szCs w:val="26"/>
        </w:rPr>
        <w:tab/>
        <w:t>MARTINEZ, P. J.</w:t>
      </w:r>
    </w:p>
    <w:p w:rsidR="00D715CC" w:rsidP="00D715CC" w14:paraId="77FD3144" w14:textId="77777777">
      <w:pPr>
        <w:keepNext/>
        <w:keepLines/>
        <w:spacing w:line="288" w:lineRule="auto"/>
        <w:contextualSpacing/>
        <w:rPr>
          <w:szCs w:val="26"/>
        </w:rPr>
      </w:pPr>
    </w:p>
    <w:p w:rsidR="00D715CC" w:rsidP="00D715CC" w14:paraId="4757E986" w14:textId="77777777">
      <w:pPr>
        <w:keepNext/>
        <w:keepLines/>
        <w:spacing w:line="288" w:lineRule="auto"/>
        <w:contextualSpacing/>
        <w:rPr>
          <w:szCs w:val="26"/>
        </w:rPr>
      </w:pPr>
    </w:p>
    <w:p w:rsidR="00D715CC" w:rsidRPr="00DE5A47" w:rsidP="00D715CC" w14:paraId="12A6A235" w14:textId="77777777">
      <w:pPr>
        <w:keepNext/>
        <w:keepLines/>
        <w:spacing w:line="288" w:lineRule="auto"/>
        <w:contextualSpacing/>
        <w:rPr>
          <w:szCs w:val="26"/>
        </w:rPr>
      </w:pPr>
    </w:p>
    <w:p w:rsidR="00D715CC" w:rsidP="00D715CC" w14:paraId="2314517A" w14:textId="1DA98DA5">
      <w:pPr>
        <w:spacing w:line="288" w:lineRule="auto"/>
        <w:ind w:firstLine="720"/>
      </w:pPr>
      <w:r w:rsidRPr="00DE5A47">
        <w:rPr>
          <w:szCs w:val="26"/>
        </w:rPr>
        <w:tab/>
      </w:r>
      <w:r w:rsidRPr="00DE5A47">
        <w:rPr>
          <w:szCs w:val="26"/>
        </w:rPr>
        <w:tab/>
      </w:r>
      <w:r>
        <w:rPr>
          <w:szCs w:val="26"/>
        </w:rPr>
        <w:t>FEUER</w:t>
      </w:r>
      <w:r w:rsidRPr="00DE5A47">
        <w:rPr>
          <w:szCs w:val="26"/>
        </w:rPr>
        <w:t>, J.</w:t>
      </w:r>
    </w:p>
    <w:p w:rsidR="008D5AFF" w:rsidRPr="008D5AFF" w:rsidP="007558B4" w14:paraId="6013EF21" w14:textId="14E74E9A">
      <w:pPr>
        <w:spacing w:line="288" w:lineRule="auto"/>
        <w:contextualSpacing/>
        <w:rPr>
          <w:iCs/>
          <w:sz w:val="16"/>
          <w:szCs w:val="16"/>
        </w:rPr>
      </w:pPr>
    </w:p>
    <w:sectPr w:rsidSect="00171893">
      <w:footerReference w:type="even" r:id="rId9"/>
      <w:footerReference w:type="default" r:id="rId10"/>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551" w:rsidP="001962AD" w14:paraId="59313984" w14:textId="14327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CF7">
      <w:rPr>
        <w:rStyle w:val="PageNumber"/>
        <w:noProof/>
      </w:rPr>
      <w:t>6</w:t>
    </w:r>
    <w:r>
      <w:rPr>
        <w:rStyle w:val="PageNumber"/>
      </w:rPr>
      <w:fldChar w:fldCharType="end"/>
    </w:r>
  </w:p>
  <w:p w:rsidR="00FE3551" w14:paraId="507859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551" w:rsidRPr="00C34CF7" w:rsidP="001962AD" w14:paraId="5DA6CDC3" w14:textId="3CF9B801">
    <w:pPr>
      <w:pStyle w:val="Footer"/>
      <w:framePr w:wrap="around" w:vAnchor="text" w:hAnchor="margin" w:xAlign="center" w:y="1"/>
      <w:rPr>
        <w:rStyle w:val="PageNumber"/>
        <w:szCs w:val="26"/>
      </w:rPr>
    </w:pPr>
    <w:r w:rsidRPr="00C34CF7">
      <w:rPr>
        <w:rStyle w:val="PageNumber"/>
        <w:szCs w:val="26"/>
      </w:rPr>
      <w:fldChar w:fldCharType="begin"/>
    </w:r>
    <w:r w:rsidRPr="00C34CF7">
      <w:rPr>
        <w:rStyle w:val="PageNumber"/>
        <w:szCs w:val="26"/>
      </w:rPr>
      <w:instrText xml:space="preserve">PAGE  </w:instrText>
    </w:r>
    <w:r w:rsidRPr="00C34CF7">
      <w:rPr>
        <w:rStyle w:val="PageNumber"/>
        <w:szCs w:val="26"/>
      </w:rPr>
      <w:fldChar w:fldCharType="separate"/>
    </w:r>
    <w:r w:rsidR="000D4F62">
      <w:rPr>
        <w:rStyle w:val="PageNumber"/>
        <w:noProof/>
        <w:szCs w:val="26"/>
      </w:rPr>
      <w:t>3</w:t>
    </w:r>
    <w:r w:rsidRPr="00C34CF7">
      <w:rPr>
        <w:rStyle w:val="PageNumber"/>
        <w:szCs w:val="26"/>
      </w:rPr>
      <w:fldChar w:fldCharType="end"/>
    </w:r>
  </w:p>
  <w:p w:rsidR="00FE3551" w14:paraId="63308C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639C" w:rsidP="00C513E7" w14:paraId="1F4A0952" w14:textId="77777777">
      <w:r>
        <w:separator/>
      </w:r>
    </w:p>
  </w:footnote>
  <w:footnote w:type="continuationSeparator" w:id="1">
    <w:p w:rsidR="0071639C" w:rsidP="00C513E7" w14:paraId="1ADDAC9A" w14:textId="77777777">
      <w:r>
        <w:continuationSeparator/>
      </w:r>
    </w:p>
  </w:footnote>
  <w:footnote w:type="continuationNotice" w:id="2">
    <w:p w:rsidR="0071639C" w14:paraId="5A01DFAA" w14:textId="77777777"/>
  </w:footnote>
  <w:footnote w:id="3">
    <w:p w:rsidR="00FD171D" w:rsidRPr="00BF1309" w:rsidP="00FD171D" w14:paraId="6A5B3741" w14:textId="77777777">
      <w:pPr>
        <w:pStyle w:val="FootnoteText"/>
        <w:rPr>
          <w:sz w:val="26"/>
          <w:szCs w:val="26"/>
        </w:rPr>
      </w:pPr>
      <w:r w:rsidRPr="00BF1309">
        <w:rPr>
          <w:rStyle w:val="FootnoteReference"/>
          <w:sz w:val="26"/>
          <w:szCs w:val="26"/>
        </w:rPr>
        <w:footnoteRef/>
      </w:r>
      <w:r w:rsidRPr="00BF1309">
        <w:rPr>
          <w:sz w:val="26"/>
          <w:szCs w:val="26"/>
        </w:rPr>
        <w:t xml:space="preserve"> </w:t>
      </w:r>
      <w:r>
        <w:rPr>
          <w:sz w:val="26"/>
          <w:szCs w:val="26"/>
        </w:rPr>
        <w:tab/>
        <w:t>Undesignated statutory references are to the Government Code.</w:t>
      </w:r>
    </w:p>
  </w:footnote>
  <w:footnote w:id="4">
    <w:p w:rsidR="00D5150E" w:rsidRPr="00D5150E" w14:paraId="474A550D" w14:textId="476CB584">
      <w:pPr>
        <w:pStyle w:val="FootnoteText"/>
        <w:rPr>
          <w:sz w:val="26"/>
          <w:szCs w:val="26"/>
        </w:rPr>
      </w:pPr>
      <w:r w:rsidRPr="00D5150E">
        <w:rPr>
          <w:rStyle w:val="FootnoteReference"/>
          <w:sz w:val="26"/>
          <w:szCs w:val="26"/>
        </w:rPr>
        <w:footnoteRef/>
      </w:r>
      <w:r w:rsidRPr="00D5150E">
        <w:rPr>
          <w:sz w:val="26"/>
          <w:szCs w:val="26"/>
        </w:rPr>
        <w:t xml:space="preserve"> </w:t>
      </w:r>
      <w:r>
        <w:rPr>
          <w:sz w:val="26"/>
          <w:szCs w:val="26"/>
        </w:rPr>
        <w:tab/>
        <w:t>References to rules are to the County Civil Service Rules.</w:t>
      </w:r>
    </w:p>
  </w:footnote>
  <w:footnote w:id="5">
    <w:p w:rsidR="00D361FE" w:rsidRPr="00FF197A" w14:paraId="71B885F4" w14:textId="04B9BBA7">
      <w:pPr>
        <w:pStyle w:val="FootnoteText"/>
        <w:rPr>
          <w:sz w:val="26"/>
          <w:szCs w:val="26"/>
        </w:rPr>
      </w:pPr>
      <w:r w:rsidRPr="00D361FE">
        <w:rPr>
          <w:rStyle w:val="FootnoteReference"/>
          <w:sz w:val="26"/>
          <w:szCs w:val="26"/>
        </w:rPr>
        <w:footnoteRef/>
      </w:r>
      <w:r w:rsidRPr="00D361FE">
        <w:rPr>
          <w:sz w:val="26"/>
          <w:szCs w:val="26"/>
        </w:rPr>
        <w:t xml:space="preserve"> </w:t>
      </w:r>
      <w:r>
        <w:rPr>
          <w:sz w:val="26"/>
          <w:szCs w:val="26"/>
        </w:rPr>
        <w:tab/>
        <w:t xml:space="preserve">As of 2020, </w:t>
      </w:r>
      <w:r w:rsidRPr="00995402">
        <w:rPr>
          <w:sz w:val="26"/>
          <w:szCs w:val="26"/>
        </w:rPr>
        <w:t>20</w:t>
      </w:r>
      <w:r>
        <w:rPr>
          <w:sz w:val="26"/>
          <w:szCs w:val="26"/>
        </w:rPr>
        <w:t xml:space="preserve"> o</w:t>
      </w:r>
      <w:r w:rsidRPr="00995402">
        <w:rPr>
          <w:sz w:val="26"/>
          <w:szCs w:val="26"/>
        </w:rPr>
        <w:t xml:space="preserve">f </w:t>
      </w:r>
      <w:r w:rsidR="00716F14">
        <w:rPr>
          <w:sz w:val="26"/>
          <w:szCs w:val="26"/>
        </w:rPr>
        <w:t>California’s</w:t>
      </w:r>
      <w:r w:rsidR="006E2058">
        <w:rPr>
          <w:sz w:val="26"/>
          <w:szCs w:val="26"/>
        </w:rPr>
        <w:t xml:space="preserve"> </w:t>
      </w:r>
      <w:r w:rsidRPr="00995402">
        <w:rPr>
          <w:sz w:val="26"/>
          <w:szCs w:val="26"/>
        </w:rPr>
        <w:t>58 counties</w:t>
      </w:r>
      <w:r>
        <w:rPr>
          <w:sz w:val="26"/>
          <w:szCs w:val="26"/>
        </w:rPr>
        <w:t xml:space="preserve"> had</w:t>
      </w:r>
      <w:r w:rsidRPr="00995402">
        <w:rPr>
          <w:sz w:val="26"/>
          <w:szCs w:val="26"/>
        </w:rPr>
        <w:t xml:space="preserve"> chosen to implement pension plans under CERL. </w:t>
      </w:r>
      <w:r w:rsidRPr="00D361FE">
        <w:rPr>
          <w:sz w:val="26"/>
          <w:szCs w:val="26"/>
        </w:rPr>
        <w:t xml:space="preserve"> </w:t>
      </w:r>
      <w:r>
        <w:rPr>
          <w:sz w:val="26"/>
          <w:szCs w:val="26"/>
        </w:rPr>
        <w:t>(</w:t>
      </w:r>
      <w:r w:rsidRPr="00995402">
        <w:rPr>
          <w:i/>
          <w:iCs/>
          <w:sz w:val="26"/>
          <w:szCs w:val="26"/>
        </w:rPr>
        <w:t>Alameda County Deputy Sheriff</w:t>
      </w:r>
      <w:r w:rsidRPr="00D361FE">
        <w:rPr>
          <w:i/>
          <w:iCs/>
          <w:sz w:val="26"/>
          <w:szCs w:val="26"/>
        </w:rPr>
        <w:t>’</w:t>
      </w:r>
      <w:r w:rsidRPr="00995402">
        <w:rPr>
          <w:i/>
          <w:iCs/>
          <w:sz w:val="26"/>
          <w:szCs w:val="26"/>
        </w:rPr>
        <w:t>s Assn</w:t>
      </w:r>
      <w:r w:rsidR="00C360BC">
        <w:rPr>
          <w:i/>
          <w:iCs/>
          <w:sz w:val="26"/>
          <w:szCs w:val="26"/>
        </w:rPr>
        <w:t>.</w:t>
      </w:r>
      <w:r w:rsidRPr="00995402">
        <w:rPr>
          <w:i/>
          <w:iCs/>
          <w:sz w:val="26"/>
          <w:szCs w:val="26"/>
        </w:rPr>
        <w:t xml:space="preserve"> v. Alameda County Employees</w:t>
      </w:r>
      <w:r w:rsidRPr="00D361FE">
        <w:rPr>
          <w:i/>
          <w:iCs/>
          <w:sz w:val="26"/>
          <w:szCs w:val="26"/>
        </w:rPr>
        <w:t>’</w:t>
      </w:r>
      <w:r w:rsidRPr="00995402">
        <w:rPr>
          <w:i/>
          <w:iCs/>
          <w:sz w:val="26"/>
          <w:szCs w:val="26"/>
        </w:rPr>
        <w:t xml:space="preserve"> Retirement Assn</w:t>
      </w:r>
      <w:r w:rsidR="00C360BC">
        <w:rPr>
          <w:i/>
          <w:iCs/>
          <w:sz w:val="26"/>
          <w:szCs w:val="26"/>
        </w:rPr>
        <w:t>.</w:t>
      </w:r>
      <w:r>
        <w:rPr>
          <w:sz w:val="26"/>
          <w:szCs w:val="26"/>
        </w:rPr>
        <w:t xml:space="preserve">, </w:t>
      </w:r>
      <w:r>
        <w:rPr>
          <w:i/>
          <w:iCs/>
          <w:sz w:val="26"/>
          <w:szCs w:val="26"/>
        </w:rPr>
        <w:t>supra</w:t>
      </w:r>
      <w:r>
        <w:rPr>
          <w:sz w:val="26"/>
          <w:szCs w:val="26"/>
        </w:rPr>
        <w:t>,</w:t>
      </w:r>
      <w:r>
        <w:rPr>
          <w:i/>
          <w:iCs/>
          <w:sz w:val="26"/>
          <w:szCs w:val="26"/>
        </w:rPr>
        <w:t xml:space="preserve"> </w:t>
      </w:r>
      <w:r w:rsidRPr="00995402">
        <w:rPr>
          <w:sz w:val="26"/>
          <w:szCs w:val="26"/>
        </w:rPr>
        <w:t xml:space="preserve">9 Cal.5th </w:t>
      </w:r>
      <w:r>
        <w:rPr>
          <w:sz w:val="26"/>
          <w:szCs w:val="26"/>
        </w:rPr>
        <w:t xml:space="preserve">at </w:t>
      </w:r>
      <w:r w:rsidR="00A62935">
        <w:rPr>
          <w:sz w:val="26"/>
          <w:szCs w:val="26"/>
        </w:rPr>
        <w:t>p. </w:t>
      </w:r>
      <w:r w:rsidRPr="00995402">
        <w:rPr>
          <w:sz w:val="26"/>
          <w:szCs w:val="26"/>
        </w:rPr>
        <w:t>1055</w:t>
      </w:r>
      <w:r>
        <w:rPr>
          <w:sz w:val="26"/>
          <w:szCs w:val="26"/>
        </w:rPr>
        <w:t>.)</w:t>
      </w:r>
      <w:r w:rsidR="00FF197A">
        <w:rPr>
          <w:sz w:val="26"/>
          <w:szCs w:val="26"/>
        </w:rPr>
        <w:t xml:space="preserve">  “</w:t>
      </w:r>
      <w:r w:rsidRPr="00995402" w:rsidR="00FF197A">
        <w:rPr>
          <w:sz w:val="26"/>
          <w:szCs w:val="26"/>
        </w:rPr>
        <w:t>The remaining counties either operate an independent retirement system or contract with the state</w:t>
      </w:r>
      <w:r w:rsidR="00FF197A">
        <w:rPr>
          <w:sz w:val="26"/>
          <w:szCs w:val="26"/>
        </w:rPr>
        <w:t>’</w:t>
      </w:r>
      <w:r w:rsidRPr="00995402" w:rsidR="00FF197A">
        <w:rPr>
          <w:sz w:val="26"/>
          <w:szCs w:val="26"/>
        </w:rPr>
        <w:t>s pension plan, the Public Employees</w:t>
      </w:r>
      <w:r w:rsidR="00FF197A">
        <w:rPr>
          <w:sz w:val="26"/>
          <w:szCs w:val="26"/>
        </w:rPr>
        <w:t>’</w:t>
      </w:r>
      <w:r w:rsidRPr="00995402" w:rsidR="00FF197A">
        <w:rPr>
          <w:sz w:val="26"/>
          <w:szCs w:val="26"/>
        </w:rPr>
        <w:t xml:space="preserve"> Retirement System</w:t>
      </w:r>
      <w:r w:rsidR="00FF197A">
        <w:rPr>
          <w:sz w:val="26"/>
          <w:szCs w:val="26"/>
        </w:rPr>
        <w:t>.”  (</w:t>
      </w:r>
      <w:r w:rsidR="00FF197A">
        <w:rPr>
          <w:i/>
          <w:iCs/>
          <w:sz w:val="26"/>
          <w:szCs w:val="26"/>
        </w:rPr>
        <w:t>Ibid.</w:t>
      </w:r>
      <w:r w:rsidR="00FF197A">
        <w:rPr>
          <w:sz w:val="26"/>
          <w:szCs w:val="26"/>
        </w:rPr>
        <w:t>)</w:t>
      </w:r>
    </w:p>
  </w:footnote>
  <w:footnote w:id="6">
    <w:p w:rsidR="00081BFA" w14:paraId="635FB5D3" w14:textId="2A67FDE7">
      <w:pPr>
        <w:pStyle w:val="FootnoteText"/>
        <w:rPr>
          <w:sz w:val="26"/>
          <w:szCs w:val="26"/>
        </w:rPr>
      </w:pPr>
      <w:r w:rsidRPr="00CD5E97">
        <w:rPr>
          <w:rStyle w:val="FootnoteReference"/>
          <w:sz w:val="26"/>
          <w:szCs w:val="26"/>
        </w:rPr>
        <w:footnoteRef/>
      </w:r>
      <w:r w:rsidRPr="00CD5E97">
        <w:rPr>
          <w:sz w:val="26"/>
          <w:szCs w:val="26"/>
        </w:rPr>
        <w:t xml:space="preserve"> </w:t>
      </w:r>
      <w:r w:rsidRPr="00CD5E97">
        <w:rPr>
          <w:sz w:val="26"/>
          <w:szCs w:val="26"/>
        </w:rPr>
        <w:tab/>
      </w:r>
      <w:r w:rsidR="003E38CC">
        <w:rPr>
          <w:sz w:val="26"/>
          <w:szCs w:val="26"/>
        </w:rPr>
        <w:t xml:space="preserve">The Legislature added </w:t>
      </w:r>
      <w:r w:rsidR="00E84958">
        <w:rPr>
          <w:sz w:val="26"/>
          <w:szCs w:val="26"/>
        </w:rPr>
        <w:t>the lan</w:t>
      </w:r>
      <w:r>
        <w:rPr>
          <w:sz w:val="26"/>
          <w:szCs w:val="26"/>
        </w:rPr>
        <w:t xml:space="preserve">guage stating board of retirement personnel “shall be county employees” </w:t>
      </w:r>
      <w:r w:rsidR="00E84958">
        <w:rPr>
          <w:sz w:val="26"/>
          <w:szCs w:val="26"/>
        </w:rPr>
        <w:t xml:space="preserve">as a “nonsubstantive amendment” </w:t>
      </w:r>
      <w:r>
        <w:rPr>
          <w:sz w:val="26"/>
          <w:szCs w:val="26"/>
        </w:rPr>
        <w:t>in 1984</w:t>
      </w:r>
      <w:r w:rsidR="00E84958">
        <w:rPr>
          <w:sz w:val="26"/>
          <w:szCs w:val="26"/>
        </w:rPr>
        <w:t xml:space="preserve">. </w:t>
      </w:r>
      <w:r>
        <w:rPr>
          <w:sz w:val="26"/>
          <w:szCs w:val="26"/>
        </w:rPr>
        <w:t xml:space="preserve"> (</w:t>
      </w:r>
      <w:r w:rsidRPr="00815CEE" w:rsidR="00815CEE">
        <w:rPr>
          <w:sz w:val="26"/>
          <w:szCs w:val="26"/>
        </w:rPr>
        <w:t>Off. of Employee Relations, Enrolled Bill Re</w:t>
      </w:r>
      <w:r w:rsidR="00A62935">
        <w:rPr>
          <w:sz w:val="26"/>
          <w:szCs w:val="26"/>
        </w:rPr>
        <w:t>p. </w:t>
      </w:r>
      <w:r w:rsidRPr="00815CEE" w:rsidR="00815CEE">
        <w:rPr>
          <w:sz w:val="26"/>
          <w:szCs w:val="26"/>
        </w:rPr>
        <w:t>on Assem. Bill No. 132 (1979-1980 Reg. Sess.) prepared for Gov</w:t>
      </w:r>
      <w:r w:rsidR="002625BC">
        <w:rPr>
          <w:sz w:val="26"/>
          <w:szCs w:val="26"/>
        </w:rPr>
        <w:t>ernor</w:t>
      </w:r>
      <w:r w:rsidRPr="00815CEE" w:rsidR="00815CEE">
        <w:rPr>
          <w:sz w:val="26"/>
          <w:szCs w:val="26"/>
        </w:rPr>
        <w:t xml:space="preserve"> Brown (May 8, 1979) </w:t>
      </w:r>
      <w:r w:rsidR="00A62935">
        <w:rPr>
          <w:sz w:val="26"/>
          <w:szCs w:val="26"/>
        </w:rPr>
        <w:t>p. </w:t>
      </w:r>
      <w:r w:rsidRPr="00815CEE" w:rsidR="00815CEE">
        <w:rPr>
          <w:sz w:val="26"/>
          <w:szCs w:val="26"/>
        </w:rPr>
        <w:t xml:space="preserve">1.) </w:t>
      </w:r>
    </w:p>
    <w:p w:rsidR="00D5150E" w:rsidRPr="00CD5E97" w14:paraId="710DD469" w14:textId="77777777">
      <w:pPr>
        <w:pStyle w:val="FootnoteText"/>
        <w:rPr>
          <w:sz w:val="26"/>
          <w:szCs w:val="26"/>
        </w:rPr>
      </w:pPr>
    </w:p>
  </w:footnote>
  <w:footnote w:id="7">
    <w:p w:rsidR="00E82425" w:rsidRPr="00081BFA" w:rsidP="00E82425" w14:paraId="52C582ED" w14:textId="070F4064">
      <w:pPr>
        <w:pStyle w:val="FootnoteText"/>
        <w:rPr>
          <w:sz w:val="26"/>
          <w:szCs w:val="26"/>
        </w:rPr>
      </w:pPr>
      <w:r w:rsidRPr="00081BFA">
        <w:rPr>
          <w:rStyle w:val="FootnoteReference"/>
          <w:sz w:val="26"/>
          <w:szCs w:val="26"/>
        </w:rPr>
        <w:footnoteRef/>
      </w:r>
      <w:r w:rsidRPr="00081BFA">
        <w:rPr>
          <w:sz w:val="26"/>
          <w:szCs w:val="26"/>
        </w:rPr>
        <w:t xml:space="preserve"> </w:t>
      </w:r>
      <w:r>
        <w:rPr>
          <w:sz w:val="26"/>
          <w:szCs w:val="26"/>
        </w:rPr>
        <w:tab/>
        <w:t xml:space="preserve">The cap on annual expenses was originally one-tenth of one percent of the total assets of the retirement system.  (Stats. 1973, ch. </w:t>
      </w:r>
      <w:r w:rsidRPr="000D26F2">
        <w:rPr>
          <w:sz w:val="26"/>
          <w:szCs w:val="26"/>
        </w:rPr>
        <w:t xml:space="preserve">269, </w:t>
      </w:r>
      <w:r>
        <w:rPr>
          <w:sz w:val="26"/>
          <w:szCs w:val="26"/>
        </w:rPr>
        <w:t>§ </w:t>
      </w:r>
      <w:r w:rsidRPr="000D26F2">
        <w:rPr>
          <w:sz w:val="26"/>
          <w:szCs w:val="26"/>
        </w:rPr>
        <w:t>2</w:t>
      </w:r>
      <w:r>
        <w:rPr>
          <w:sz w:val="26"/>
          <w:szCs w:val="26"/>
        </w:rPr>
        <w:t xml:space="preserve">.)  The cap is now the greater of </w:t>
      </w:r>
      <w:r w:rsidRPr="00081BFA">
        <w:rPr>
          <w:sz w:val="26"/>
          <w:szCs w:val="26"/>
        </w:rPr>
        <w:t>.021</w:t>
      </w:r>
      <w:r>
        <w:rPr>
          <w:sz w:val="26"/>
          <w:szCs w:val="26"/>
        </w:rPr>
        <w:t> </w:t>
      </w:r>
      <w:r w:rsidRPr="00DD77B4">
        <w:rPr>
          <w:sz w:val="26"/>
          <w:szCs w:val="26"/>
        </w:rPr>
        <w:t>percent of the accrued actuarial liability of the retirement system</w:t>
      </w:r>
      <w:r>
        <w:rPr>
          <w:sz w:val="26"/>
          <w:szCs w:val="26"/>
        </w:rPr>
        <w:t xml:space="preserve"> and </w:t>
      </w:r>
      <w:r w:rsidRPr="00DD77B4">
        <w:rPr>
          <w:sz w:val="26"/>
          <w:szCs w:val="26"/>
        </w:rPr>
        <w:t>$2,000,000</w:t>
      </w:r>
      <w:r>
        <w:rPr>
          <w:sz w:val="26"/>
          <w:szCs w:val="26"/>
        </w:rPr>
        <w:t>,</w:t>
      </w:r>
      <w:r w:rsidRPr="00DD77B4">
        <w:rPr>
          <w:sz w:val="26"/>
          <w:szCs w:val="26"/>
        </w:rPr>
        <w:t xml:space="preserve"> as adjusted by the annual cost-of-living adjustment</w:t>
      </w:r>
      <w:r>
        <w:rPr>
          <w:sz w:val="26"/>
          <w:szCs w:val="26"/>
        </w:rPr>
        <w:t>.</w:t>
      </w:r>
      <w:r w:rsidRPr="00DD77B4">
        <w:rPr>
          <w:sz w:val="26"/>
          <w:szCs w:val="26"/>
        </w:rPr>
        <w:t xml:space="preserve"> </w:t>
      </w:r>
      <w:r>
        <w:rPr>
          <w:sz w:val="26"/>
          <w:szCs w:val="26"/>
        </w:rPr>
        <w:t xml:space="preserve"> (§ 31580.2, subd. (a).)</w:t>
      </w:r>
    </w:p>
  </w:footnote>
  <w:footnote w:id="8">
    <w:p w:rsidR="00D5150E" w:rsidRPr="00D5150E" w14:paraId="2085AB53" w14:textId="70ED721D">
      <w:pPr>
        <w:pStyle w:val="FootnoteText"/>
        <w:rPr>
          <w:sz w:val="26"/>
          <w:szCs w:val="26"/>
        </w:rPr>
      </w:pPr>
      <w:r w:rsidRPr="00D5150E">
        <w:rPr>
          <w:rStyle w:val="FootnoteReference"/>
          <w:sz w:val="26"/>
          <w:szCs w:val="26"/>
        </w:rPr>
        <w:footnoteRef/>
      </w:r>
      <w:r w:rsidRPr="00D5150E">
        <w:rPr>
          <w:sz w:val="26"/>
          <w:szCs w:val="26"/>
        </w:rPr>
        <w:t xml:space="preserve"> </w:t>
      </w:r>
      <w:r>
        <w:rPr>
          <w:sz w:val="26"/>
          <w:szCs w:val="26"/>
        </w:rPr>
        <w:tab/>
        <w:t>According to LACERA, it managed over $72 billion in assets in 2023.</w:t>
      </w:r>
    </w:p>
  </w:footnote>
  <w:footnote w:id="9">
    <w:p w:rsidR="002A6B3A" w:rsidRPr="002A6B3A" w14:paraId="44C8BE1C" w14:textId="4AB683F2">
      <w:pPr>
        <w:pStyle w:val="FootnoteText"/>
        <w:rPr>
          <w:sz w:val="26"/>
          <w:szCs w:val="26"/>
        </w:rPr>
      </w:pPr>
      <w:bookmarkStart w:id="0" w:name="_Hlk165534911"/>
      <w:r w:rsidRPr="002A6B3A">
        <w:rPr>
          <w:rStyle w:val="FootnoteReference"/>
          <w:sz w:val="26"/>
          <w:szCs w:val="26"/>
        </w:rPr>
        <w:footnoteRef/>
      </w:r>
      <w:r w:rsidRPr="002A6B3A">
        <w:rPr>
          <w:sz w:val="26"/>
          <w:szCs w:val="26"/>
        </w:rPr>
        <w:t xml:space="preserve"> </w:t>
      </w:r>
      <w:r>
        <w:rPr>
          <w:sz w:val="26"/>
          <w:szCs w:val="26"/>
        </w:rPr>
        <w:tab/>
      </w:r>
      <w:r w:rsidR="007538BC">
        <w:rPr>
          <w:sz w:val="26"/>
          <w:szCs w:val="26"/>
        </w:rPr>
        <w:t>We</w:t>
      </w:r>
      <w:r w:rsidRPr="002A6B3A">
        <w:rPr>
          <w:sz w:val="26"/>
          <w:szCs w:val="26"/>
        </w:rPr>
        <w:t xml:space="preserve"> </w:t>
      </w:r>
      <w:r w:rsidR="00A25C99">
        <w:rPr>
          <w:sz w:val="26"/>
          <w:szCs w:val="26"/>
        </w:rPr>
        <w:t xml:space="preserve">do </w:t>
      </w:r>
      <w:r w:rsidRPr="002A6B3A">
        <w:rPr>
          <w:sz w:val="26"/>
          <w:szCs w:val="26"/>
        </w:rPr>
        <w:t xml:space="preserve">not address the </w:t>
      </w:r>
      <w:r w:rsidR="00815CEE">
        <w:rPr>
          <w:sz w:val="26"/>
          <w:szCs w:val="26"/>
        </w:rPr>
        <w:t xml:space="preserve">specific </w:t>
      </w:r>
      <w:r w:rsidRPr="002A6B3A">
        <w:rPr>
          <w:sz w:val="26"/>
          <w:szCs w:val="26"/>
        </w:rPr>
        <w:t xml:space="preserve">issue </w:t>
      </w:r>
      <w:r w:rsidR="00815CEE">
        <w:rPr>
          <w:sz w:val="26"/>
          <w:szCs w:val="26"/>
        </w:rPr>
        <w:t>decided by</w:t>
      </w:r>
      <w:r w:rsidRPr="002A6B3A">
        <w:rPr>
          <w:sz w:val="26"/>
          <w:szCs w:val="26"/>
        </w:rPr>
        <w:t xml:space="preserve"> </w:t>
      </w:r>
      <w:r w:rsidR="007538BC">
        <w:rPr>
          <w:sz w:val="26"/>
          <w:szCs w:val="26"/>
        </w:rPr>
        <w:t xml:space="preserve">the court in </w:t>
      </w:r>
      <w:r w:rsidRPr="002A6B3A">
        <w:rPr>
          <w:i/>
          <w:iCs/>
          <w:sz w:val="26"/>
          <w:szCs w:val="26"/>
        </w:rPr>
        <w:t>Westly</w:t>
      </w:r>
      <w:r w:rsidRPr="002A6B3A">
        <w:rPr>
          <w:sz w:val="26"/>
          <w:szCs w:val="26"/>
        </w:rPr>
        <w:t xml:space="preserve">, </w:t>
      </w:r>
      <w:r w:rsidR="007538BC">
        <w:rPr>
          <w:sz w:val="26"/>
          <w:szCs w:val="26"/>
        </w:rPr>
        <w:t>which was</w:t>
      </w:r>
      <w:r w:rsidRPr="002A6B3A">
        <w:rPr>
          <w:sz w:val="26"/>
          <w:szCs w:val="26"/>
        </w:rPr>
        <w:t xml:space="preserve"> whether the Board of Administration of CalPERS had authority to “exempt its employees from civil service, to bypass the Controller’s duty to issue warrants for the pay of employees, and to issue stipends, salaries</w:t>
      </w:r>
      <w:r w:rsidR="00497427">
        <w:rPr>
          <w:sz w:val="26"/>
          <w:szCs w:val="26"/>
        </w:rPr>
        <w:t>,</w:t>
      </w:r>
      <w:r w:rsidRPr="002A6B3A">
        <w:rPr>
          <w:sz w:val="26"/>
          <w:szCs w:val="26"/>
        </w:rPr>
        <w:t xml:space="preserve"> and other payments in excess of the amounts permitted by the Government Code.”  (</w:t>
      </w:r>
      <w:r w:rsidRPr="002A6B3A">
        <w:rPr>
          <w:i/>
          <w:iCs/>
          <w:sz w:val="26"/>
          <w:szCs w:val="26"/>
        </w:rPr>
        <w:t>Westly</w:t>
      </w:r>
      <w:r w:rsidRPr="002A6B3A">
        <w:rPr>
          <w:sz w:val="26"/>
          <w:szCs w:val="26"/>
        </w:rPr>
        <w:t xml:space="preserve">, </w:t>
      </w:r>
      <w:r w:rsidRPr="002A6B3A">
        <w:rPr>
          <w:i/>
          <w:iCs/>
          <w:sz w:val="26"/>
          <w:szCs w:val="26"/>
        </w:rPr>
        <w:t>supra</w:t>
      </w:r>
      <w:r w:rsidRPr="002A6B3A">
        <w:rPr>
          <w:sz w:val="26"/>
          <w:szCs w:val="26"/>
        </w:rPr>
        <w:t xml:space="preserve">, 105 Cal.App.4th at </w:t>
      </w:r>
      <w:r w:rsidR="00A62935">
        <w:rPr>
          <w:sz w:val="26"/>
          <w:szCs w:val="26"/>
        </w:rPr>
        <w:t>p. </w:t>
      </w:r>
      <w:r w:rsidRPr="002A6B3A">
        <w:rPr>
          <w:sz w:val="26"/>
          <w:szCs w:val="26"/>
        </w:rPr>
        <w:t xml:space="preserve">1099.)  The parties in </w:t>
      </w:r>
      <w:r w:rsidRPr="002A6B3A">
        <w:rPr>
          <w:i/>
          <w:iCs/>
          <w:sz w:val="26"/>
          <w:szCs w:val="26"/>
        </w:rPr>
        <w:t>Westly</w:t>
      </w:r>
      <w:r w:rsidRPr="002A6B3A">
        <w:rPr>
          <w:sz w:val="26"/>
          <w:szCs w:val="26"/>
        </w:rPr>
        <w:t xml:space="preserve"> agreed th</w:t>
      </w:r>
      <w:r w:rsidR="002F4008">
        <w:rPr>
          <w:sz w:val="26"/>
          <w:szCs w:val="26"/>
        </w:rPr>
        <w:t>o</w:t>
      </w:r>
      <w:r w:rsidRPr="002A6B3A">
        <w:rPr>
          <w:sz w:val="26"/>
          <w:szCs w:val="26"/>
        </w:rPr>
        <w:t>se act</w:t>
      </w:r>
      <w:r w:rsidR="007C5B26">
        <w:rPr>
          <w:sz w:val="26"/>
          <w:szCs w:val="26"/>
        </w:rPr>
        <w:t>ion</w:t>
      </w:r>
      <w:r w:rsidRPr="002A6B3A">
        <w:rPr>
          <w:sz w:val="26"/>
          <w:szCs w:val="26"/>
        </w:rPr>
        <w:t xml:space="preserve">s violated certain provisions of the California Constitution and Government Code governing CalPERS (see </w:t>
      </w:r>
      <w:r w:rsidRPr="00214A42" w:rsidR="00023455">
        <w:rPr>
          <w:i/>
          <w:iCs/>
          <w:sz w:val="26"/>
          <w:szCs w:val="26"/>
        </w:rPr>
        <w:t>Westly</w:t>
      </w:r>
      <w:r w:rsidR="00705A45">
        <w:rPr>
          <w:sz w:val="26"/>
          <w:szCs w:val="26"/>
        </w:rPr>
        <w:t>,</w:t>
      </w:r>
      <w:r w:rsidR="00A62935">
        <w:rPr>
          <w:i/>
          <w:iCs/>
          <w:sz w:val="26"/>
          <w:szCs w:val="26"/>
        </w:rPr>
        <w:t> </w:t>
      </w:r>
      <w:r w:rsidRPr="002A6B3A">
        <w:rPr>
          <w:sz w:val="26"/>
          <w:szCs w:val="26"/>
        </w:rPr>
        <w:t xml:space="preserve">at </w:t>
      </w:r>
      <w:r w:rsidR="00A62935">
        <w:rPr>
          <w:sz w:val="26"/>
          <w:szCs w:val="26"/>
        </w:rPr>
        <w:t>p. </w:t>
      </w:r>
      <w:r w:rsidRPr="002A6B3A">
        <w:rPr>
          <w:sz w:val="26"/>
          <w:szCs w:val="26"/>
        </w:rPr>
        <w:t xml:space="preserve">1103), and the </w:t>
      </w:r>
      <w:r w:rsidR="007538BC">
        <w:rPr>
          <w:sz w:val="26"/>
          <w:szCs w:val="26"/>
        </w:rPr>
        <w:t xml:space="preserve">court in </w:t>
      </w:r>
      <w:r w:rsidRPr="007538BC" w:rsidR="007538BC">
        <w:rPr>
          <w:i/>
          <w:iCs/>
          <w:sz w:val="26"/>
          <w:szCs w:val="26"/>
        </w:rPr>
        <w:t>Westly</w:t>
      </w:r>
      <w:r w:rsidRPr="002A6B3A">
        <w:rPr>
          <w:sz w:val="26"/>
          <w:szCs w:val="26"/>
        </w:rPr>
        <w:t xml:space="preserve"> considered whether Proposition 162 gave the CalPERS board authority to take </w:t>
      </w:r>
      <w:r w:rsidR="007C5B26">
        <w:rPr>
          <w:sz w:val="26"/>
          <w:szCs w:val="26"/>
        </w:rPr>
        <w:t>those actions</w:t>
      </w:r>
      <w:r w:rsidRPr="002A6B3A">
        <w:rPr>
          <w:sz w:val="26"/>
          <w:szCs w:val="26"/>
        </w:rPr>
        <w:t xml:space="preserve"> anyway (see </w:t>
      </w:r>
      <w:r w:rsidRPr="002A6B3A">
        <w:rPr>
          <w:i/>
          <w:iCs/>
          <w:sz w:val="26"/>
          <w:szCs w:val="26"/>
        </w:rPr>
        <w:t>i</w:t>
      </w:r>
      <w:r w:rsidR="00A62935">
        <w:rPr>
          <w:i/>
          <w:iCs/>
          <w:sz w:val="26"/>
          <w:szCs w:val="26"/>
        </w:rPr>
        <w:t>d. </w:t>
      </w:r>
      <w:r w:rsidRPr="002A6B3A">
        <w:rPr>
          <w:sz w:val="26"/>
          <w:szCs w:val="26"/>
        </w:rPr>
        <w:t xml:space="preserve">at </w:t>
      </w:r>
      <w:r w:rsidR="00A62935">
        <w:rPr>
          <w:sz w:val="26"/>
          <w:szCs w:val="26"/>
        </w:rPr>
        <w:t>p. </w:t>
      </w:r>
      <w:r w:rsidRPr="002A6B3A">
        <w:rPr>
          <w:sz w:val="26"/>
          <w:szCs w:val="26"/>
        </w:rPr>
        <w:t xml:space="preserve">1100).  </w:t>
      </w:r>
      <w:r w:rsidR="00FF2349">
        <w:rPr>
          <w:sz w:val="26"/>
          <w:szCs w:val="26"/>
        </w:rPr>
        <w:t>T</w:t>
      </w:r>
      <w:r w:rsidR="00D5150E">
        <w:rPr>
          <w:sz w:val="26"/>
          <w:szCs w:val="26"/>
        </w:rPr>
        <w:t xml:space="preserve">he County and Board of Supervisors do not </w:t>
      </w:r>
      <w:r w:rsidR="007C5B26">
        <w:rPr>
          <w:sz w:val="26"/>
          <w:szCs w:val="26"/>
        </w:rPr>
        <w:t>argue</w:t>
      </w:r>
      <w:r w:rsidR="00D5150E">
        <w:rPr>
          <w:sz w:val="26"/>
          <w:szCs w:val="26"/>
        </w:rPr>
        <w:t xml:space="preserve"> the LACERA Boards’ proposed salary ordinances the Board of Supervisors rejected would have violated CERL</w:t>
      </w:r>
      <w:r w:rsidR="00346DAD">
        <w:rPr>
          <w:sz w:val="26"/>
          <w:szCs w:val="26"/>
        </w:rPr>
        <w:t xml:space="preserve">. </w:t>
      </w:r>
      <w:bookmarkEnd w:id="0"/>
    </w:p>
  </w:footnote>
  <w:footnote w:id="10">
    <w:p w:rsidR="00D16AFF" w:rsidRPr="00D16AFF" w:rsidP="00D16AFF" w14:paraId="2AAF6132" w14:textId="7163E45F">
      <w:pPr>
        <w:pStyle w:val="FootnoteText"/>
        <w:rPr>
          <w:sz w:val="26"/>
          <w:szCs w:val="26"/>
        </w:rPr>
      </w:pPr>
      <w:r w:rsidRPr="00D16AFF">
        <w:rPr>
          <w:rStyle w:val="FootnoteReference"/>
          <w:sz w:val="26"/>
          <w:szCs w:val="26"/>
        </w:rPr>
        <w:footnoteRef/>
      </w:r>
      <w:r w:rsidRPr="00D16AFF">
        <w:rPr>
          <w:sz w:val="26"/>
          <w:szCs w:val="26"/>
        </w:rPr>
        <w:tab/>
        <w:t>“Statutes are considered to be in pari materia when they relate to the same person or thing, or class of persons or things, or have the same purpose or object.  [Citation.]  Such statutes should ‘be construed together so that all parts of the statutory scheme are given effect.’  [Citation.]  ‘Identical language appearing in separate provisions dealing with the same subject matter should be accorded the same interpretation.’”  (</w:t>
      </w:r>
      <w:r w:rsidRPr="00D16AFF">
        <w:rPr>
          <w:i/>
          <w:iCs/>
          <w:sz w:val="26"/>
          <w:szCs w:val="26"/>
        </w:rPr>
        <w:t>Kaanaana v. Barrett Business Services, Inc.</w:t>
      </w:r>
      <w:r w:rsidRPr="00D16AFF">
        <w:rPr>
          <w:sz w:val="26"/>
          <w:szCs w:val="26"/>
        </w:rPr>
        <w:t xml:space="preserve"> (2021) 11 Cal.5th 158, 175.)</w:t>
      </w:r>
    </w:p>
  </w:footnote>
  <w:footnote w:id="11">
    <w:p w:rsidR="00D5150E" w:rsidRPr="00D5150E" w14:paraId="690032E9" w14:textId="5C833F70">
      <w:pPr>
        <w:pStyle w:val="FootnoteText"/>
        <w:rPr>
          <w:sz w:val="26"/>
          <w:szCs w:val="26"/>
        </w:rPr>
      </w:pPr>
      <w:r w:rsidRPr="00D5150E">
        <w:rPr>
          <w:rStyle w:val="FootnoteReference"/>
          <w:sz w:val="26"/>
          <w:szCs w:val="26"/>
        </w:rPr>
        <w:footnoteRef/>
      </w:r>
      <w:r w:rsidRPr="00D5150E">
        <w:rPr>
          <w:sz w:val="26"/>
          <w:szCs w:val="26"/>
        </w:rPr>
        <w:t xml:space="preserve"> </w:t>
      </w:r>
      <w:r>
        <w:rPr>
          <w:sz w:val="26"/>
          <w:szCs w:val="26"/>
        </w:rPr>
        <w:tab/>
      </w:r>
      <w:r w:rsidR="000771BE">
        <w:rPr>
          <w:sz w:val="26"/>
          <w:szCs w:val="26"/>
        </w:rPr>
        <w:t xml:space="preserve">Citing a 1987 Attorney General opinion, the </w:t>
      </w:r>
      <w:r>
        <w:rPr>
          <w:sz w:val="26"/>
          <w:szCs w:val="26"/>
        </w:rPr>
        <w:t xml:space="preserve">County and Board of Supervisors </w:t>
      </w:r>
      <w:r w:rsidR="000771BE">
        <w:rPr>
          <w:sz w:val="26"/>
          <w:szCs w:val="26"/>
        </w:rPr>
        <w:t xml:space="preserve">argue </w:t>
      </w:r>
      <w:r>
        <w:rPr>
          <w:sz w:val="26"/>
          <w:szCs w:val="26"/>
        </w:rPr>
        <w:t>retirement boards can set a budget “that accounts for costs that are not within their control.”  Th</w:t>
      </w:r>
      <w:r w:rsidR="00B0247A">
        <w:rPr>
          <w:sz w:val="26"/>
          <w:szCs w:val="26"/>
        </w:rPr>
        <w:t xml:space="preserve">at </w:t>
      </w:r>
      <w:r>
        <w:rPr>
          <w:sz w:val="26"/>
          <w:szCs w:val="26"/>
        </w:rPr>
        <w:t xml:space="preserve">opinion, however, concerned the “cost of services provided [to a retirement system] by other county offices and departments for the benefit of the retirement system,” not the salaries of a system’s employees, which, according to LACERA, is one of its largest budget items.  (See 70 Ops.Cal.Atty.Gen. 277 (1987).) </w:t>
      </w:r>
    </w:p>
  </w:footnote>
  <w:footnote w:id="12">
    <w:p w:rsidR="00C52FC9" w:rsidRPr="00EB60A9" w14:paraId="49C009E1" w14:textId="461D07F9">
      <w:pPr>
        <w:pStyle w:val="FootnoteText"/>
        <w:rPr>
          <w:sz w:val="26"/>
          <w:szCs w:val="26"/>
        </w:rPr>
      </w:pPr>
      <w:r w:rsidRPr="00C52FC9">
        <w:rPr>
          <w:rStyle w:val="FootnoteReference"/>
          <w:sz w:val="26"/>
          <w:szCs w:val="26"/>
        </w:rPr>
        <w:footnoteRef/>
      </w:r>
      <w:r w:rsidRPr="00C52FC9">
        <w:rPr>
          <w:sz w:val="26"/>
          <w:szCs w:val="26"/>
        </w:rPr>
        <w:t xml:space="preserve"> </w:t>
      </w:r>
      <w:r>
        <w:rPr>
          <w:sz w:val="26"/>
          <w:szCs w:val="26"/>
        </w:rPr>
        <w:tab/>
      </w:r>
      <w:r w:rsidR="00815CEE">
        <w:rPr>
          <w:sz w:val="26"/>
          <w:szCs w:val="26"/>
        </w:rPr>
        <w:t>T</w:t>
      </w:r>
      <w:r w:rsidRPr="00C52FC9">
        <w:rPr>
          <w:sz w:val="26"/>
          <w:szCs w:val="26"/>
        </w:rPr>
        <w:t xml:space="preserve">he court in </w:t>
      </w:r>
      <w:r w:rsidRPr="00C52FC9">
        <w:rPr>
          <w:i/>
          <w:iCs/>
          <w:sz w:val="26"/>
          <w:szCs w:val="26"/>
        </w:rPr>
        <w:t xml:space="preserve">Westly </w:t>
      </w:r>
      <w:r w:rsidRPr="00C52FC9">
        <w:rPr>
          <w:sz w:val="26"/>
          <w:szCs w:val="26"/>
        </w:rPr>
        <w:t xml:space="preserve">concluded that, “with regard to administration of the system, </w:t>
      </w:r>
      <w:r w:rsidR="00EB60A9">
        <w:rPr>
          <w:sz w:val="26"/>
          <w:szCs w:val="26"/>
        </w:rPr>
        <w:t xml:space="preserve">[a retirement board’s] </w:t>
      </w:r>
      <w:r w:rsidRPr="00C52FC9">
        <w:rPr>
          <w:sz w:val="26"/>
          <w:szCs w:val="26"/>
        </w:rPr>
        <w:t xml:space="preserve">authority is limited to actuarial services and to </w:t>
      </w:r>
      <w:r w:rsidRPr="00C52FC9">
        <w:rPr>
          <w:i/>
          <w:iCs/>
          <w:sz w:val="26"/>
          <w:szCs w:val="26"/>
        </w:rPr>
        <w:t>the protection and delivery of the assets</w:t>
      </w:r>
      <w:r w:rsidRPr="00C52FC9">
        <w:rPr>
          <w:sz w:val="26"/>
          <w:szCs w:val="26"/>
        </w:rPr>
        <w:t>, benefits, and services for which the Board has a fiduciary responsibility.”</w:t>
      </w:r>
      <w:r w:rsidR="00EB60A9">
        <w:rPr>
          <w:sz w:val="26"/>
          <w:szCs w:val="26"/>
        </w:rPr>
        <w:t xml:space="preserve">  (</w:t>
      </w:r>
      <w:r w:rsidR="00EB60A9">
        <w:rPr>
          <w:i/>
          <w:iCs/>
          <w:sz w:val="26"/>
          <w:szCs w:val="26"/>
        </w:rPr>
        <w:t>Westly</w:t>
      </w:r>
      <w:r w:rsidR="00EB60A9">
        <w:rPr>
          <w:sz w:val="26"/>
          <w:szCs w:val="26"/>
        </w:rPr>
        <w:t xml:space="preserve">, </w:t>
      </w:r>
      <w:r w:rsidR="00EB60A9">
        <w:rPr>
          <w:i/>
          <w:iCs/>
          <w:sz w:val="26"/>
          <w:szCs w:val="26"/>
        </w:rPr>
        <w:t>supra</w:t>
      </w:r>
      <w:r w:rsidR="00EB60A9">
        <w:rPr>
          <w:sz w:val="26"/>
          <w:szCs w:val="26"/>
        </w:rPr>
        <w:t xml:space="preserve">, 105 Cal.App.4th at </w:t>
      </w:r>
      <w:r w:rsidR="00A62935">
        <w:rPr>
          <w:sz w:val="26"/>
          <w:szCs w:val="26"/>
        </w:rPr>
        <w:t>p. </w:t>
      </w:r>
      <w:r w:rsidR="00EB60A9">
        <w:rPr>
          <w:sz w:val="26"/>
          <w:szCs w:val="26"/>
        </w:rPr>
        <w:t xml:space="preserve">1110.)  </w:t>
      </w:r>
      <w:r w:rsidR="00815CEE">
        <w:rPr>
          <w:sz w:val="26"/>
          <w:szCs w:val="26"/>
        </w:rPr>
        <w:t xml:space="preserve">Even under this </w:t>
      </w:r>
      <w:r w:rsidR="00022131">
        <w:rPr>
          <w:sz w:val="26"/>
          <w:szCs w:val="26"/>
        </w:rPr>
        <w:t xml:space="preserve">(incorrect) </w:t>
      </w:r>
      <w:r w:rsidR="00815CEE">
        <w:rPr>
          <w:sz w:val="26"/>
          <w:szCs w:val="26"/>
        </w:rPr>
        <w:t xml:space="preserve">interpretation of Proposition 162, </w:t>
      </w:r>
      <w:bookmarkStart w:id="3" w:name="_Hlk165535821"/>
      <w:r w:rsidR="00022131">
        <w:rPr>
          <w:sz w:val="26"/>
          <w:szCs w:val="26"/>
        </w:rPr>
        <w:t>the phrase</w:t>
      </w:r>
      <w:r w:rsidR="0091743F">
        <w:rPr>
          <w:sz w:val="26"/>
          <w:szCs w:val="26"/>
        </w:rPr>
        <w:t xml:space="preserve"> </w:t>
      </w:r>
      <w:r w:rsidR="00C203FD">
        <w:rPr>
          <w:sz w:val="26"/>
          <w:szCs w:val="26"/>
        </w:rPr>
        <w:t>“</w:t>
      </w:r>
      <w:r w:rsidR="00E64EE2">
        <w:rPr>
          <w:sz w:val="26"/>
          <w:szCs w:val="26"/>
        </w:rPr>
        <w:t>p</w:t>
      </w:r>
      <w:r w:rsidR="00C203FD">
        <w:rPr>
          <w:sz w:val="26"/>
          <w:szCs w:val="26"/>
        </w:rPr>
        <w:t xml:space="preserve">rotection </w:t>
      </w:r>
      <w:r w:rsidR="00A62935">
        <w:rPr>
          <w:sz w:val="26"/>
          <w:szCs w:val="26"/>
        </w:rPr>
        <w:t>. . . </w:t>
      </w:r>
      <w:r w:rsidR="00C203FD">
        <w:rPr>
          <w:sz w:val="26"/>
          <w:szCs w:val="26"/>
        </w:rPr>
        <w:t>of the assets</w:t>
      </w:r>
      <w:r w:rsidR="00815CEE">
        <w:rPr>
          <w:sz w:val="26"/>
          <w:szCs w:val="26"/>
        </w:rPr>
        <w:t>,</w:t>
      </w:r>
      <w:r w:rsidR="00C203FD">
        <w:rPr>
          <w:sz w:val="26"/>
          <w:szCs w:val="26"/>
        </w:rPr>
        <w:t xml:space="preserve">” from which salaries for </w:t>
      </w:r>
      <w:r w:rsidR="00E64EE2">
        <w:rPr>
          <w:sz w:val="26"/>
          <w:szCs w:val="26"/>
        </w:rPr>
        <w:t xml:space="preserve">retirement system employees are paid, </w:t>
      </w:r>
      <w:r w:rsidR="00022131">
        <w:rPr>
          <w:sz w:val="26"/>
          <w:szCs w:val="26"/>
        </w:rPr>
        <w:t>would</w:t>
      </w:r>
      <w:r w:rsidR="0091743F">
        <w:rPr>
          <w:sz w:val="26"/>
          <w:szCs w:val="26"/>
        </w:rPr>
        <w:t xml:space="preserve"> </w:t>
      </w:r>
      <w:r w:rsidR="00E64EE2">
        <w:rPr>
          <w:sz w:val="26"/>
          <w:szCs w:val="26"/>
        </w:rPr>
        <w:t xml:space="preserve">readily encompass </w:t>
      </w:r>
      <w:r w:rsidR="00815CEE">
        <w:rPr>
          <w:sz w:val="26"/>
          <w:szCs w:val="26"/>
        </w:rPr>
        <w:t xml:space="preserve">hiring and compensating the staff necessary to </w:t>
      </w:r>
      <w:r w:rsidR="001340D1">
        <w:rPr>
          <w:sz w:val="26"/>
          <w:szCs w:val="26"/>
        </w:rPr>
        <w:t>maximize the rate of return</w:t>
      </w:r>
      <w:r w:rsidR="00815CEE">
        <w:rPr>
          <w:sz w:val="26"/>
          <w:szCs w:val="26"/>
        </w:rPr>
        <w:t xml:space="preserve"> and ensure the prompt delivery of benefits to members and their beneficiaries</w:t>
      </w:r>
      <w:r w:rsidR="001340D1">
        <w:rPr>
          <w:sz w:val="26"/>
          <w:szCs w:val="26"/>
        </w:rPr>
        <w:t>.  (See Cal. Const., art.</w:t>
      </w:r>
      <w:r w:rsidR="00022131">
        <w:rPr>
          <w:sz w:val="26"/>
          <w:szCs w:val="26"/>
        </w:rPr>
        <w:t> </w:t>
      </w:r>
      <w:r w:rsidR="001340D1">
        <w:rPr>
          <w:sz w:val="26"/>
          <w:szCs w:val="26"/>
        </w:rPr>
        <w:t xml:space="preserve">XVI, </w:t>
      </w:r>
      <w:r w:rsidR="00A62935">
        <w:rPr>
          <w:sz w:val="26"/>
          <w:szCs w:val="26"/>
        </w:rPr>
        <w:t>§ </w:t>
      </w:r>
      <w:r w:rsidR="001340D1">
        <w:rPr>
          <w:sz w:val="26"/>
          <w:szCs w:val="26"/>
        </w:rPr>
        <w:t>17</w:t>
      </w:r>
      <w:r w:rsidR="001A399E">
        <w:rPr>
          <w:sz w:val="26"/>
          <w:szCs w:val="26"/>
        </w:rPr>
        <w:t>, sub</w:t>
      </w:r>
      <w:r w:rsidR="00A62935">
        <w:rPr>
          <w:sz w:val="26"/>
          <w:szCs w:val="26"/>
        </w:rPr>
        <w:t>d</w:t>
      </w:r>
      <w:r w:rsidR="00C3492B">
        <w:rPr>
          <w:sz w:val="26"/>
          <w:szCs w:val="26"/>
        </w:rPr>
        <w:t>s</w:t>
      </w:r>
      <w:r w:rsidR="00A62935">
        <w:rPr>
          <w:sz w:val="26"/>
          <w:szCs w:val="26"/>
        </w:rPr>
        <w:t>. </w:t>
      </w:r>
      <w:r w:rsidR="00815CEE">
        <w:rPr>
          <w:sz w:val="26"/>
          <w:szCs w:val="26"/>
        </w:rPr>
        <w:t xml:space="preserve">(a), </w:t>
      </w:r>
      <w:r w:rsidR="001A399E">
        <w:rPr>
          <w:sz w:val="26"/>
          <w:szCs w:val="26"/>
        </w:rPr>
        <w:t>(d).)</w:t>
      </w:r>
      <w:bookmarkEnd w:id="3"/>
      <w:r w:rsidR="001A399E">
        <w:rPr>
          <w:sz w:val="26"/>
          <w:szCs w:val="26"/>
        </w:rPr>
        <w:t xml:space="preserve"> </w:t>
      </w:r>
    </w:p>
  </w:footnote>
  <w:footnote w:id="13">
    <w:p w:rsidR="0091266A" w:rsidRPr="00815CEE" w:rsidP="0091266A" w14:paraId="2CE1A45E" w14:textId="499E2BFF">
      <w:pPr>
        <w:pStyle w:val="FootnoteText"/>
        <w:rPr>
          <w:sz w:val="26"/>
          <w:szCs w:val="26"/>
        </w:rPr>
      </w:pPr>
      <w:r w:rsidRPr="00815CEE">
        <w:rPr>
          <w:rStyle w:val="FootnoteReference"/>
          <w:sz w:val="26"/>
          <w:szCs w:val="26"/>
        </w:rPr>
        <w:footnoteRef/>
      </w:r>
      <w:r w:rsidRPr="00815CEE">
        <w:rPr>
          <w:sz w:val="26"/>
          <w:szCs w:val="26"/>
        </w:rPr>
        <w:t xml:space="preserve"> </w:t>
      </w:r>
      <w:r>
        <w:rPr>
          <w:sz w:val="26"/>
          <w:szCs w:val="26"/>
        </w:rPr>
        <w:tab/>
        <w:t xml:space="preserve">The parties debate whether Article XI, section 1 applies to both general law and charter counties. </w:t>
      </w:r>
      <w:r w:rsidR="006E2C5F">
        <w:rPr>
          <w:sz w:val="26"/>
          <w:szCs w:val="26"/>
        </w:rPr>
        <w:t xml:space="preserve"> </w:t>
      </w:r>
      <w:r>
        <w:rPr>
          <w:sz w:val="26"/>
          <w:szCs w:val="26"/>
        </w:rPr>
        <w:t xml:space="preserve">We need not resolve that issue. </w:t>
      </w:r>
    </w:p>
  </w:footnote>
  <w:footnote w:id="14">
    <w:p w:rsidR="007109F5" w:rsidP="007109F5" w14:paraId="7B793392" w14:textId="77777777">
      <w:pPr>
        <w:pStyle w:val="FootnoteText"/>
        <w:rPr>
          <w:sz w:val="26"/>
          <w:szCs w:val="26"/>
        </w:rPr>
      </w:pPr>
      <w:r w:rsidRPr="009C7F4E">
        <w:rPr>
          <w:rStyle w:val="FootnoteReference"/>
          <w:sz w:val="26"/>
          <w:szCs w:val="26"/>
        </w:rPr>
        <w:footnoteRef/>
      </w:r>
      <w:r w:rsidRPr="009C7F4E">
        <w:rPr>
          <w:sz w:val="26"/>
          <w:szCs w:val="26"/>
        </w:rPr>
        <w:t xml:space="preserve"> </w:t>
      </w:r>
      <w:r w:rsidRPr="009C7F4E">
        <w:rPr>
          <w:sz w:val="26"/>
          <w:szCs w:val="26"/>
        </w:rPr>
        <w:tab/>
      </w:r>
      <w:r>
        <w:rPr>
          <w:sz w:val="26"/>
          <w:szCs w:val="26"/>
        </w:rPr>
        <w:t>If the County and Board of Supervisors’ interpretation of article XI, sections 1 and 4, were correct, section 25300, which mirrors those constitutional provisions, would also conflict with CERL.  (See § 25300 [“</w:t>
      </w:r>
      <w:r w:rsidRPr="00BC4C3E">
        <w:rPr>
          <w:sz w:val="26"/>
          <w:szCs w:val="26"/>
        </w:rPr>
        <w:t xml:space="preserve">The board of supervisors </w:t>
      </w:r>
      <w:r>
        <w:rPr>
          <w:sz w:val="26"/>
          <w:szCs w:val="26"/>
        </w:rPr>
        <w:t>. . . </w:t>
      </w:r>
      <w:r w:rsidRPr="00BC4C3E">
        <w:rPr>
          <w:sz w:val="26"/>
          <w:szCs w:val="26"/>
        </w:rPr>
        <w:t>shall provide for the number, compensation, tenure, appointment</w:t>
      </w:r>
      <w:r w:rsidRPr="008034CF">
        <w:rPr>
          <w:sz w:val="26"/>
          <w:szCs w:val="26"/>
        </w:rPr>
        <w:t>,</w:t>
      </w:r>
      <w:r w:rsidRPr="00BC4C3E">
        <w:rPr>
          <w:sz w:val="26"/>
          <w:szCs w:val="26"/>
        </w:rPr>
        <w:t xml:space="preserve"> and conditions of employment of county employees.</w:t>
      </w:r>
      <w:r>
        <w:rPr>
          <w:sz w:val="26"/>
          <w:szCs w:val="26"/>
        </w:rPr>
        <w:t>”].)</w:t>
      </w:r>
    </w:p>
    <w:p w:rsidR="005032CC" w:rsidRPr="009C7F4E" w:rsidP="007109F5" w14:paraId="7D0797B8" w14:textId="77777777">
      <w:pPr>
        <w:pStyle w:val="FootnoteText"/>
        <w:rPr>
          <w:sz w:val="26"/>
          <w:szCs w:val="26"/>
        </w:rPr>
      </w:pPr>
    </w:p>
  </w:footnote>
  <w:footnote w:id="15">
    <w:p w:rsidR="005032CC" w:rsidP="001B0972" w14:paraId="01F593AB" w14:textId="4FE586E7">
      <w:r>
        <w:rPr>
          <w:rStyle w:val="FootnoteReference"/>
        </w:rPr>
        <w:footnoteRef/>
      </w:r>
      <w:r>
        <w:t xml:space="preserve"> </w:t>
      </w:r>
      <w:r>
        <w:tab/>
      </w:r>
      <w:r w:rsidRPr="005032CC">
        <w:t>For the same reasons, Proposition 162 does not interfere with the County Charter, which states the Board of Supervisors shall “appoint all . . . officers, assistants, deputies, clerks, attaches</w:t>
      </w:r>
      <w:r w:rsidRPr="005032CC">
        <w:rPr>
          <w:vertAlign w:val="superscript"/>
        </w:rPr>
        <w:t xml:space="preserve"> </w:t>
      </w:r>
      <w:r w:rsidRPr="005032CC">
        <w:t>and employees whose appointment is not provided for by this Charter” and shall “provide, by ordinance, for the compensation</w:t>
      </w:r>
      <w:r w:rsidRPr="005032CC">
        <w:rPr>
          <w:vertAlign w:val="superscript"/>
        </w:rPr>
        <w:t xml:space="preserve"> </w:t>
      </w:r>
      <w:r w:rsidRPr="005032CC">
        <w:t xml:space="preserve">of elective officers and of </w:t>
      </w:r>
      <w:r w:rsidRPr="005032CC">
        <w:rPr>
          <w:i/>
          <w:iCs/>
        </w:rPr>
        <w:t>its appointees</w:t>
      </w:r>
      <w:r w:rsidRPr="005032CC">
        <w:t>.”  (L.A.</w:t>
      </w:r>
      <w:r w:rsidR="008E7211">
        <w:t> </w:t>
      </w:r>
      <w:r w:rsidRPr="005032CC">
        <w:t>County Charter, art. III, § 11, subd. (1), italics added.)  The Charter also states the Board of Supervisors shall “provide, by ordinance,</w:t>
      </w:r>
      <w:r w:rsidRPr="005032CC">
        <w:rPr>
          <w:vertAlign w:val="superscript"/>
        </w:rPr>
        <w:t xml:space="preserve"> </w:t>
      </w:r>
      <w:r w:rsidRPr="005032CC">
        <w:t>for the number of assistants, deputies, clerks,</w:t>
      </w:r>
      <w:r w:rsidRPr="005032CC">
        <w:rPr>
          <w:vertAlign w:val="superscript"/>
        </w:rPr>
        <w:t xml:space="preserve"> </w:t>
      </w:r>
      <w:r w:rsidRPr="005032CC">
        <w:t>attaches</w:t>
      </w:r>
      <w:r w:rsidRPr="005032CC">
        <w:rPr>
          <w:vertAlign w:val="superscript"/>
        </w:rPr>
        <w:t xml:space="preserve"> </w:t>
      </w:r>
      <w:r w:rsidRPr="005032CC">
        <w:t xml:space="preserve">and other persons to be employed from time to time </w:t>
      </w:r>
      <w:r w:rsidRPr="002E09F7">
        <w:t>in the several offices and institutions of the County</w:t>
      </w:r>
      <w:r w:rsidRPr="005032CC">
        <w:t>, and for their compensation and the times at which they shall be appointed.”  (</w:t>
      </w:r>
      <w:r w:rsidRPr="005032CC">
        <w:rPr>
          <w:i/>
          <w:iCs/>
        </w:rPr>
        <w:t>Id.</w:t>
      </w:r>
      <w:r w:rsidRPr="005032CC">
        <w:t xml:space="preserve">, § 11, subd. (3).)  Employees appointed by a retirement board are not appointees of the Board of Supervisors, and LACERA is not an “office or institution” of the County.  (See </w:t>
      </w:r>
      <w:r w:rsidRPr="005032CC">
        <w:rPr>
          <w:i/>
          <w:iCs/>
        </w:rPr>
        <w:t>Traub v. Board of Retirement</w:t>
      </w:r>
      <w:r w:rsidRPr="005032CC">
        <w:t xml:space="preserve">, </w:t>
      </w:r>
      <w:r w:rsidRPr="005032CC">
        <w:rPr>
          <w:i/>
          <w:iCs/>
        </w:rPr>
        <w:t>supra</w:t>
      </w:r>
      <w:r w:rsidRPr="005032CC">
        <w:t xml:space="preserve">, 34 Cal.3d at p. 798; </w:t>
      </w:r>
      <w:r w:rsidRPr="005032CC">
        <w:rPr>
          <w:i/>
          <w:iCs/>
        </w:rPr>
        <w:t>Hudson v. County of Los</w:t>
      </w:r>
      <w:r w:rsidR="008E7211">
        <w:rPr>
          <w:i/>
          <w:iCs/>
        </w:rPr>
        <w:t> </w:t>
      </w:r>
      <w:r w:rsidRPr="005032CC">
        <w:rPr>
          <w:i/>
          <w:iCs/>
        </w:rPr>
        <w:t>Angeles</w:t>
      </w:r>
      <w:r w:rsidRPr="005032CC">
        <w:t xml:space="preserve">, </w:t>
      </w:r>
      <w:r w:rsidRPr="005032CC">
        <w:rPr>
          <w:i/>
          <w:iCs/>
        </w:rPr>
        <w:t>supra</w:t>
      </w:r>
      <w:r w:rsidRPr="005032CC">
        <w:t>, 232 Cal.App.4th at p. 396, fn. 2.)</w:t>
      </w:r>
    </w:p>
  </w:footnote>
  <w:footnote w:id="16">
    <w:p w:rsidR="001B030B" w:rsidRPr="00327BF3" w14:paraId="16EBE33D" w14:textId="44FD7326">
      <w:pPr>
        <w:pStyle w:val="FootnoteText"/>
        <w:rPr>
          <w:sz w:val="26"/>
          <w:szCs w:val="26"/>
        </w:rPr>
      </w:pPr>
      <w:r w:rsidRPr="001B030B">
        <w:rPr>
          <w:rStyle w:val="FootnoteReference"/>
          <w:sz w:val="26"/>
          <w:szCs w:val="26"/>
        </w:rPr>
        <w:footnoteRef/>
      </w:r>
      <w:r w:rsidRPr="001B030B">
        <w:rPr>
          <w:sz w:val="26"/>
          <w:szCs w:val="26"/>
        </w:rPr>
        <w:t xml:space="preserve"> </w:t>
      </w:r>
      <w:r>
        <w:rPr>
          <w:sz w:val="26"/>
          <w:szCs w:val="26"/>
        </w:rPr>
        <w:tab/>
      </w:r>
      <w:r w:rsidR="00ED20DC">
        <w:rPr>
          <w:sz w:val="26"/>
          <w:szCs w:val="26"/>
        </w:rPr>
        <w:t xml:space="preserve">CERL does not define the scope of the appointment power.  </w:t>
      </w:r>
    </w:p>
  </w:footnote>
  <w:footnote w:id="17">
    <w:p w:rsidR="00BB747B" w14:paraId="783664D7" w14:textId="5E31C3B7">
      <w:pPr>
        <w:pStyle w:val="FootnoteText"/>
        <w:rPr>
          <w:sz w:val="26"/>
          <w:szCs w:val="26"/>
        </w:rPr>
      </w:pPr>
      <w:r w:rsidRPr="00D60F2F">
        <w:rPr>
          <w:rStyle w:val="FootnoteReference"/>
          <w:sz w:val="26"/>
          <w:szCs w:val="26"/>
        </w:rPr>
        <w:footnoteRef/>
      </w:r>
      <w:r w:rsidRPr="00D60F2F">
        <w:rPr>
          <w:sz w:val="26"/>
          <w:szCs w:val="26"/>
        </w:rPr>
        <w:t xml:space="preserve"> </w:t>
      </w:r>
      <w:r w:rsidRPr="00D60F2F">
        <w:rPr>
          <w:sz w:val="26"/>
          <w:szCs w:val="26"/>
        </w:rPr>
        <w:tab/>
      </w:r>
      <w:r w:rsidR="00341E59">
        <w:rPr>
          <w:sz w:val="26"/>
          <w:szCs w:val="26"/>
        </w:rPr>
        <w:t>Citing</w:t>
      </w:r>
      <w:r>
        <w:rPr>
          <w:sz w:val="26"/>
          <w:szCs w:val="26"/>
        </w:rPr>
        <w:t xml:space="preserve"> a</w:t>
      </w:r>
      <w:r w:rsidR="002D68FC">
        <w:rPr>
          <w:sz w:val="26"/>
          <w:szCs w:val="26"/>
        </w:rPr>
        <w:t xml:space="preserve"> 1987</w:t>
      </w:r>
      <w:r>
        <w:rPr>
          <w:sz w:val="26"/>
          <w:szCs w:val="26"/>
        </w:rPr>
        <w:t xml:space="preserve"> </w:t>
      </w:r>
      <w:r w:rsidR="00253746">
        <w:rPr>
          <w:sz w:val="26"/>
          <w:szCs w:val="26"/>
        </w:rPr>
        <w:t xml:space="preserve">Attorney General </w:t>
      </w:r>
      <w:r>
        <w:rPr>
          <w:sz w:val="26"/>
          <w:szCs w:val="26"/>
        </w:rPr>
        <w:t>opinio</w:t>
      </w:r>
      <w:r w:rsidR="00253746">
        <w:rPr>
          <w:sz w:val="26"/>
          <w:szCs w:val="26"/>
        </w:rPr>
        <w:t>n</w:t>
      </w:r>
      <w:r w:rsidR="00341E59">
        <w:rPr>
          <w:sz w:val="26"/>
          <w:szCs w:val="26"/>
        </w:rPr>
        <w:t xml:space="preserve">, the County and Board of Supervisors argue </w:t>
      </w:r>
      <w:r w:rsidR="00894603">
        <w:rPr>
          <w:sz w:val="26"/>
          <w:szCs w:val="26"/>
        </w:rPr>
        <w:t xml:space="preserve">the budgetary power </w:t>
      </w:r>
      <w:r w:rsidR="00253746">
        <w:rPr>
          <w:sz w:val="26"/>
          <w:szCs w:val="26"/>
        </w:rPr>
        <w:t xml:space="preserve">section 31580.2 confers </w:t>
      </w:r>
      <w:r w:rsidR="00B64133">
        <w:rPr>
          <w:sz w:val="26"/>
          <w:szCs w:val="26"/>
        </w:rPr>
        <w:t xml:space="preserve">does not give retirement boards authority over personnel decisions. </w:t>
      </w:r>
      <w:r w:rsidR="00A56A62">
        <w:rPr>
          <w:sz w:val="26"/>
          <w:szCs w:val="26"/>
        </w:rPr>
        <w:t xml:space="preserve"> </w:t>
      </w:r>
      <w:r w:rsidR="00CD3728">
        <w:rPr>
          <w:sz w:val="26"/>
          <w:szCs w:val="26"/>
        </w:rPr>
        <w:t>The Attorney General’s</w:t>
      </w:r>
      <w:r w:rsidR="0069765A">
        <w:rPr>
          <w:sz w:val="26"/>
          <w:szCs w:val="26"/>
        </w:rPr>
        <w:t xml:space="preserve"> opinion, however, </w:t>
      </w:r>
      <w:r w:rsidR="00754F25">
        <w:rPr>
          <w:sz w:val="26"/>
          <w:szCs w:val="26"/>
        </w:rPr>
        <w:t>was not contemporaneous with the enactment of AB</w:t>
      </w:r>
      <w:r w:rsidR="00FE0AB4">
        <w:rPr>
          <w:sz w:val="26"/>
          <w:szCs w:val="26"/>
        </w:rPr>
        <w:t> </w:t>
      </w:r>
      <w:r w:rsidR="00754F25">
        <w:rPr>
          <w:sz w:val="26"/>
          <w:szCs w:val="26"/>
        </w:rPr>
        <w:t xml:space="preserve">470 and </w:t>
      </w:r>
      <w:r w:rsidR="0069765A">
        <w:rPr>
          <w:sz w:val="26"/>
          <w:szCs w:val="26"/>
        </w:rPr>
        <w:t xml:space="preserve">addressed </w:t>
      </w:r>
      <w:r w:rsidR="00754F25">
        <w:rPr>
          <w:sz w:val="26"/>
          <w:szCs w:val="26"/>
        </w:rPr>
        <w:t xml:space="preserve">whether </w:t>
      </w:r>
      <w:r w:rsidR="00867154">
        <w:rPr>
          <w:sz w:val="26"/>
          <w:szCs w:val="26"/>
        </w:rPr>
        <w:t xml:space="preserve">“the entire expense of administration of the retirement system” </w:t>
      </w:r>
      <w:r w:rsidR="002D681D">
        <w:rPr>
          <w:sz w:val="26"/>
          <w:szCs w:val="26"/>
        </w:rPr>
        <w:t>under section 31580.2 included certain costs (not</w:t>
      </w:r>
      <w:r w:rsidR="00023552">
        <w:rPr>
          <w:sz w:val="26"/>
          <w:szCs w:val="26"/>
        </w:rPr>
        <w:t> </w:t>
      </w:r>
      <w:r w:rsidR="002D681D">
        <w:rPr>
          <w:sz w:val="26"/>
          <w:szCs w:val="26"/>
        </w:rPr>
        <w:t xml:space="preserve">including employee compensation) over which a retirement board has no control.  (See </w:t>
      </w:r>
      <w:r w:rsidR="002B7382">
        <w:rPr>
          <w:sz w:val="26"/>
          <w:szCs w:val="26"/>
        </w:rPr>
        <w:t>70</w:t>
      </w:r>
      <w:r w:rsidR="00AF38D3">
        <w:rPr>
          <w:sz w:val="26"/>
          <w:szCs w:val="26"/>
        </w:rPr>
        <w:t> </w:t>
      </w:r>
      <w:r w:rsidR="002B7382">
        <w:rPr>
          <w:sz w:val="26"/>
          <w:szCs w:val="26"/>
        </w:rPr>
        <w:t xml:space="preserve">Ops.Cal.Atty.Gen. </w:t>
      </w:r>
      <w:r w:rsidR="00316CBE">
        <w:rPr>
          <w:sz w:val="26"/>
          <w:szCs w:val="26"/>
        </w:rPr>
        <w:t>277 (1987).</w:t>
      </w:r>
      <w:r w:rsidR="00AF41D4">
        <w:rPr>
          <w:sz w:val="26"/>
          <w:szCs w:val="26"/>
        </w:rPr>
        <w:t xml:space="preserve">)  </w:t>
      </w:r>
      <w:r w:rsidR="00CD3728">
        <w:rPr>
          <w:sz w:val="26"/>
          <w:szCs w:val="26"/>
        </w:rPr>
        <w:t>T</w:t>
      </w:r>
      <w:r w:rsidR="00AF41D4">
        <w:rPr>
          <w:sz w:val="26"/>
          <w:szCs w:val="26"/>
        </w:rPr>
        <w:t>he opinion did not address</w:t>
      </w:r>
      <w:r w:rsidR="004A0517">
        <w:rPr>
          <w:sz w:val="26"/>
          <w:szCs w:val="26"/>
        </w:rPr>
        <w:t xml:space="preserve"> whether retirement boards have authority </w:t>
      </w:r>
      <w:r w:rsidR="00AF38D3">
        <w:rPr>
          <w:sz w:val="26"/>
          <w:szCs w:val="26"/>
        </w:rPr>
        <w:t xml:space="preserve">over employee </w:t>
      </w:r>
      <w:r w:rsidR="002456FC">
        <w:rPr>
          <w:sz w:val="26"/>
          <w:szCs w:val="26"/>
        </w:rPr>
        <w:t xml:space="preserve">compensation under sections 31522.1 and 31580.2. </w:t>
      </w:r>
    </w:p>
    <w:p w:rsidR="008017AF" w:rsidRPr="00D60F2F" w14:paraId="117F7976" w14:textId="77777777">
      <w:pPr>
        <w:pStyle w:val="FootnoteText"/>
        <w:rPr>
          <w:sz w:val="26"/>
          <w:szCs w:val="26"/>
        </w:rPr>
      </w:pPr>
    </w:p>
  </w:footnote>
  <w:footnote w:id="18">
    <w:p w:rsidR="00BB747B" w:rsidRPr="00BB747B" w:rsidP="00BB747B" w14:paraId="517352C8" w14:textId="5B026F70">
      <w:pPr>
        <w:pStyle w:val="FootnoteText"/>
        <w:rPr>
          <w:sz w:val="26"/>
          <w:szCs w:val="26"/>
        </w:rPr>
      </w:pPr>
      <w:r w:rsidRPr="008017AF">
        <w:rPr>
          <w:rStyle w:val="FootnoteReference"/>
          <w:sz w:val="26"/>
          <w:szCs w:val="26"/>
        </w:rPr>
        <w:footnoteRef/>
      </w:r>
      <w:r w:rsidRPr="008017AF">
        <w:rPr>
          <w:sz w:val="26"/>
          <w:szCs w:val="26"/>
        </w:rPr>
        <w:tab/>
      </w:r>
      <w:r w:rsidRPr="008017AF" w:rsidR="003F2FB3">
        <w:rPr>
          <w:sz w:val="26"/>
          <w:szCs w:val="26"/>
        </w:rPr>
        <w:t>Though we conclude</w:t>
      </w:r>
      <w:r w:rsidRPr="008017AF" w:rsidR="00255612">
        <w:rPr>
          <w:sz w:val="26"/>
          <w:szCs w:val="26"/>
        </w:rPr>
        <w:t xml:space="preserve"> the County has a ministerial duty to approve LACERA salaries, we do not </w:t>
      </w:r>
      <w:r w:rsidRPr="008017AF" w:rsidR="00631628">
        <w:rPr>
          <w:sz w:val="26"/>
          <w:szCs w:val="26"/>
        </w:rPr>
        <w:t xml:space="preserve">decide whether that duty arises from the County’s delegation of its salary-setting authority after it </w:t>
      </w:r>
      <w:r w:rsidRPr="008017AF" w:rsidR="005132CA">
        <w:rPr>
          <w:sz w:val="26"/>
          <w:szCs w:val="26"/>
        </w:rPr>
        <w:t xml:space="preserve">voluntarily opted into CERL or from </w:t>
      </w:r>
      <w:r w:rsidRPr="008017AF" w:rsidR="00A8496C">
        <w:rPr>
          <w:sz w:val="26"/>
          <w:szCs w:val="26"/>
        </w:rPr>
        <w:t xml:space="preserve">the </w:t>
      </w:r>
      <w:r w:rsidRPr="008017AF" w:rsidR="005132CA">
        <w:rPr>
          <w:sz w:val="26"/>
          <w:szCs w:val="26"/>
        </w:rPr>
        <w:t xml:space="preserve">displacement by Proposition 162 of the County’s home rule </w:t>
      </w:r>
      <w:r w:rsidRPr="008017AF" w:rsidR="00A8496C">
        <w:rPr>
          <w:sz w:val="26"/>
          <w:szCs w:val="26"/>
        </w:rPr>
        <w:t>authority</w:t>
      </w:r>
      <w:r w:rsidRPr="008017AF" w:rsidR="005132CA">
        <w:rPr>
          <w:sz w:val="26"/>
          <w:szCs w:val="26"/>
        </w:rPr>
        <w:t>.</w:t>
      </w:r>
    </w:p>
    <w:p w:rsidR="00BB747B" w14:paraId="6F9811A2" w14:textId="503B941A">
      <w:pPr>
        <w:pStyle w:val="FootnoteText"/>
      </w:pPr>
    </w:p>
  </w:footnote>
  <w:footnote w:id="19">
    <w:p w:rsidR="001E0C8B" w14:paraId="571D2573" w14:textId="62E271BD">
      <w:pPr>
        <w:pStyle w:val="FootnoteText"/>
        <w:rPr>
          <w:sz w:val="26"/>
          <w:szCs w:val="26"/>
        </w:rPr>
      </w:pPr>
      <w:r w:rsidRPr="001E0C8B">
        <w:rPr>
          <w:rStyle w:val="FootnoteReference"/>
          <w:sz w:val="26"/>
          <w:szCs w:val="26"/>
        </w:rPr>
        <w:footnoteRef/>
      </w:r>
      <w:r w:rsidRPr="001E0C8B">
        <w:rPr>
          <w:sz w:val="26"/>
          <w:szCs w:val="26"/>
        </w:rPr>
        <w:t xml:space="preserve"> </w:t>
      </w:r>
      <w:r>
        <w:rPr>
          <w:sz w:val="26"/>
          <w:szCs w:val="26"/>
        </w:rPr>
        <w:tab/>
        <w:t xml:space="preserve">See </w:t>
      </w:r>
      <w:r w:rsidR="002D22D5">
        <w:rPr>
          <w:sz w:val="26"/>
          <w:szCs w:val="26"/>
        </w:rPr>
        <w:t>Sen. Com. on Public Employment and Retirement, analysis</w:t>
      </w:r>
      <w:r w:rsidR="00353138">
        <w:rPr>
          <w:sz w:val="26"/>
          <w:szCs w:val="26"/>
        </w:rPr>
        <w:t xml:space="preserve"> of Assem. Bill No. 132 (1979-1980 Reg. Sess.)</w:t>
      </w:r>
      <w:r w:rsidR="00FA7098">
        <w:rPr>
          <w:sz w:val="26"/>
          <w:szCs w:val="26"/>
        </w:rPr>
        <w:t xml:space="preserve"> Mar.</w:t>
      </w:r>
      <w:r w:rsidR="000B001D">
        <w:rPr>
          <w:sz w:val="26"/>
          <w:szCs w:val="26"/>
        </w:rPr>
        <w:t> </w:t>
      </w:r>
      <w:r w:rsidR="00FA7098">
        <w:rPr>
          <w:sz w:val="26"/>
          <w:szCs w:val="26"/>
        </w:rPr>
        <w:t xml:space="preserve">1, 1979, </w:t>
      </w:r>
      <w:r w:rsidR="00A62935">
        <w:rPr>
          <w:sz w:val="26"/>
          <w:szCs w:val="26"/>
        </w:rPr>
        <w:t>p. </w:t>
      </w:r>
      <w:r w:rsidR="00FA7098">
        <w:rPr>
          <w:sz w:val="26"/>
          <w:szCs w:val="26"/>
        </w:rPr>
        <w:t>1.</w:t>
      </w:r>
    </w:p>
    <w:p w:rsidR="00D5150E" w:rsidRPr="001E0C8B" w14:paraId="76107B43" w14:textId="77777777">
      <w:pPr>
        <w:pStyle w:val="FootnoteText"/>
        <w:rPr>
          <w:sz w:val="26"/>
          <w:szCs w:val="26"/>
        </w:rPr>
      </w:pPr>
    </w:p>
  </w:footnote>
  <w:footnote w:id="20">
    <w:p w:rsidR="00731833" w14:paraId="5E64E037" w14:textId="3CCA0824">
      <w:pPr>
        <w:pStyle w:val="FootnoteText"/>
        <w:rPr>
          <w:sz w:val="26"/>
          <w:szCs w:val="26"/>
        </w:rPr>
      </w:pPr>
      <w:r w:rsidRPr="00617C8D">
        <w:rPr>
          <w:rStyle w:val="FootnoteReference"/>
          <w:sz w:val="26"/>
          <w:szCs w:val="26"/>
        </w:rPr>
        <w:footnoteRef/>
      </w:r>
      <w:r w:rsidRPr="00617C8D">
        <w:rPr>
          <w:sz w:val="26"/>
          <w:szCs w:val="26"/>
        </w:rPr>
        <w:t xml:space="preserve"> </w:t>
      </w:r>
      <w:r>
        <w:rPr>
          <w:sz w:val="26"/>
          <w:szCs w:val="26"/>
        </w:rPr>
        <w:tab/>
        <w:t xml:space="preserve">The County and Board of Supervisors also cite </w:t>
      </w:r>
      <w:r w:rsidRPr="00617C8D">
        <w:rPr>
          <w:i/>
          <w:iCs/>
          <w:sz w:val="26"/>
          <w:szCs w:val="26"/>
        </w:rPr>
        <w:t>Board of Retirement v. Santa Barbara County Grand Jury</w:t>
      </w:r>
      <w:r w:rsidR="00815CEE">
        <w:rPr>
          <w:sz w:val="26"/>
          <w:szCs w:val="26"/>
        </w:rPr>
        <w:t xml:space="preserve">, </w:t>
      </w:r>
      <w:r w:rsidR="00815CEE">
        <w:rPr>
          <w:i/>
          <w:iCs/>
          <w:sz w:val="26"/>
          <w:szCs w:val="26"/>
        </w:rPr>
        <w:t>supra</w:t>
      </w:r>
      <w:r w:rsidR="00815CEE">
        <w:rPr>
          <w:sz w:val="26"/>
          <w:szCs w:val="26"/>
        </w:rPr>
        <w:t>,</w:t>
      </w:r>
      <w:r w:rsidRPr="00617C8D">
        <w:rPr>
          <w:sz w:val="26"/>
          <w:szCs w:val="26"/>
        </w:rPr>
        <w:t xml:space="preserve"> 58</w:t>
      </w:r>
      <w:r>
        <w:rPr>
          <w:sz w:val="26"/>
          <w:szCs w:val="26"/>
        </w:rPr>
        <w:t> </w:t>
      </w:r>
      <w:r w:rsidRPr="00617C8D">
        <w:rPr>
          <w:sz w:val="26"/>
          <w:szCs w:val="26"/>
        </w:rPr>
        <w:t>Cal.App.4th 1185</w:t>
      </w:r>
      <w:r>
        <w:rPr>
          <w:sz w:val="26"/>
          <w:szCs w:val="26"/>
        </w:rPr>
        <w:t xml:space="preserve"> for the proposition retirement system employees are “county employees</w:t>
      </w:r>
      <w:r w:rsidR="00341E59">
        <w:rPr>
          <w:sz w:val="26"/>
          <w:szCs w:val="26"/>
        </w:rPr>
        <w:t>.</w:t>
      </w:r>
      <w:r>
        <w:rPr>
          <w:sz w:val="26"/>
          <w:szCs w:val="26"/>
        </w:rPr>
        <w:t>”</w:t>
      </w:r>
      <w:r w:rsidR="00341E59">
        <w:rPr>
          <w:sz w:val="26"/>
          <w:szCs w:val="26"/>
        </w:rPr>
        <w:t xml:space="preserve">  T</w:t>
      </w:r>
      <w:r>
        <w:rPr>
          <w:sz w:val="26"/>
          <w:szCs w:val="26"/>
        </w:rPr>
        <w:t>he status of retirement system employees</w:t>
      </w:r>
      <w:r w:rsidR="00341E59">
        <w:rPr>
          <w:sz w:val="26"/>
          <w:szCs w:val="26"/>
        </w:rPr>
        <w:t xml:space="preserve">, however, </w:t>
      </w:r>
      <w:r>
        <w:rPr>
          <w:sz w:val="26"/>
          <w:szCs w:val="26"/>
        </w:rPr>
        <w:t xml:space="preserve">was not at issue in that case, and the court merely </w:t>
      </w:r>
      <w:r w:rsidR="004F790C">
        <w:rPr>
          <w:sz w:val="26"/>
          <w:szCs w:val="26"/>
        </w:rPr>
        <w:t>paraphrased sections 31522.1 and 31580 in stating, “</w:t>
      </w:r>
      <w:r w:rsidRPr="00494DF8" w:rsidR="004F790C">
        <w:rPr>
          <w:sz w:val="26"/>
          <w:szCs w:val="26"/>
        </w:rPr>
        <w:t xml:space="preserve">The </w:t>
      </w:r>
      <w:r w:rsidR="004F790C">
        <w:rPr>
          <w:sz w:val="26"/>
          <w:szCs w:val="26"/>
        </w:rPr>
        <w:t xml:space="preserve">[retirement] </w:t>
      </w:r>
      <w:r w:rsidRPr="00494DF8" w:rsidR="004F790C">
        <w:rPr>
          <w:sz w:val="26"/>
          <w:szCs w:val="26"/>
        </w:rPr>
        <w:t>Board</w:t>
      </w:r>
      <w:r w:rsidR="004F790C">
        <w:rPr>
          <w:sz w:val="26"/>
          <w:szCs w:val="26"/>
        </w:rPr>
        <w:t>’</w:t>
      </w:r>
      <w:r w:rsidRPr="00494DF8" w:rsidR="004F790C">
        <w:rPr>
          <w:sz w:val="26"/>
          <w:szCs w:val="26"/>
        </w:rPr>
        <w:t>s staff are county employees, although management of the system is vested in the Board.</w:t>
      </w:r>
      <w:r w:rsidR="004F790C">
        <w:rPr>
          <w:sz w:val="26"/>
          <w:szCs w:val="26"/>
        </w:rPr>
        <w:t>”  (</w:t>
      </w:r>
      <w:r w:rsidRPr="00617C8D" w:rsidR="004F790C">
        <w:rPr>
          <w:i/>
          <w:iCs/>
          <w:sz w:val="26"/>
          <w:szCs w:val="26"/>
        </w:rPr>
        <w:t>Board of Retirement</w:t>
      </w:r>
      <w:r w:rsidR="004F790C">
        <w:rPr>
          <w:sz w:val="26"/>
          <w:szCs w:val="26"/>
        </w:rPr>
        <w:t xml:space="preserve">, at </w:t>
      </w:r>
      <w:r w:rsidR="00A62935">
        <w:rPr>
          <w:sz w:val="26"/>
          <w:szCs w:val="26"/>
        </w:rPr>
        <w:t>p. </w:t>
      </w:r>
      <w:r w:rsidR="004F790C">
        <w:rPr>
          <w:sz w:val="26"/>
          <w:szCs w:val="26"/>
        </w:rPr>
        <w:t>1191.)</w:t>
      </w:r>
    </w:p>
    <w:p w:rsidR="00341E59" w:rsidRPr="004F790C" w14:paraId="7987B979" w14:textId="77777777">
      <w:pPr>
        <w:pStyle w:val="FootnoteText"/>
        <w:rPr>
          <w:sz w:val="26"/>
          <w:szCs w:val="26"/>
        </w:rPr>
      </w:pPr>
    </w:p>
  </w:footnote>
  <w:footnote w:id="21">
    <w:p w:rsidR="00731833" w14:paraId="453BD418" w14:textId="28DDE7A0">
      <w:pPr>
        <w:pStyle w:val="FootnoteText"/>
      </w:pPr>
      <w:r w:rsidRPr="00731833">
        <w:rPr>
          <w:rStyle w:val="FootnoteReference"/>
          <w:sz w:val="26"/>
          <w:szCs w:val="26"/>
        </w:rPr>
        <w:footnoteRef/>
      </w:r>
      <w:r w:rsidRPr="00731833">
        <w:rPr>
          <w:sz w:val="26"/>
          <w:szCs w:val="26"/>
        </w:rPr>
        <w:t xml:space="preserve"> </w:t>
      </w:r>
      <w:r w:rsidRPr="00731833">
        <w:rPr>
          <w:sz w:val="26"/>
          <w:szCs w:val="26"/>
        </w:rPr>
        <w:tab/>
      </w:r>
      <w:r>
        <w:rPr>
          <w:sz w:val="26"/>
          <w:szCs w:val="26"/>
        </w:rPr>
        <w:t>See also §</w:t>
      </w:r>
      <w:r w:rsidR="00A62935">
        <w:rPr>
          <w:sz w:val="26"/>
          <w:szCs w:val="26"/>
        </w:rPr>
        <w:t>§ </w:t>
      </w:r>
      <w:r w:rsidRPr="00731833">
        <w:rPr>
          <w:sz w:val="26"/>
          <w:szCs w:val="26"/>
        </w:rPr>
        <w:t>31468, sub</w:t>
      </w:r>
      <w:r w:rsidR="00A62935">
        <w:rPr>
          <w:sz w:val="26"/>
          <w:szCs w:val="26"/>
        </w:rPr>
        <w:t>d. </w:t>
      </w:r>
      <w:r w:rsidRPr="00731833">
        <w:rPr>
          <w:sz w:val="26"/>
          <w:szCs w:val="26"/>
        </w:rPr>
        <w:t>(</w:t>
      </w:r>
      <w:r w:rsidRPr="00731833">
        <w:rPr>
          <w:i/>
          <w:iCs/>
          <w:sz w:val="26"/>
          <w:szCs w:val="26"/>
        </w:rPr>
        <w:t>l</w:t>
      </w:r>
      <w:r w:rsidRPr="00731833">
        <w:rPr>
          <w:sz w:val="26"/>
          <w:szCs w:val="26"/>
        </w:rPr>
        <w:t>)</w:t>
      </w:r>
      <w:r>
        <w:rPr>
          <w:sz w:val="26"/>
          <w:szCs w:val="26"/>
        </w:rPr>
        <w:t xml:space="preserve">, 31522.5, 31522.7, 31522.9, 31522.11 </w:t>
      </w:r>
      <w:r w:rsidR="0026324F">
        <w:rPr>
          <w:sz w:val="26"/>
          <w:szCs w:val="26"/>
        </w:rPr>
        <w:t>(</w:t>
      </w:r>
      <w:r w:rsidR="00444708">
        <w:rPr>
          <w:sz w:val="26"/>
          <w:szCs w:val="26"/>
        </w:rPr>
        <w:t>d</w:t>
      </w:r>
      <w:r>
        <w:rPr>
          <w:sz w:val="26"/>
          <w:szCs w:val="26"/>
        </w:rPr>
        <w:t>esignating</w:t>
      </w:r>
      <w:r w:rsidRPr="00731833">
        <w:rPr>
          <w:sz w:val="26"/>
          <w:szCs w:val="26"/>
        </w:rPr>
        <w:t xml:space="preserve"> certain retirement systems “districts” under CERL for purposes of making their employees eligible to participate in the retirement association</w:t>
      </w:r>
      <w:r w:rsidR="00341E59">
        <w:rPr>
          <w:sz w:val="26"/>
          <w:szCs w:val="26"/>
        </w:rPr>
        <w:t>).</w:t>
      </w:r>
      <w:r w:rsidRPr="00731833">
        <w:rPr>
          <w:sz w:val="26"/>
          <w:szCs w:val="26"/>
        </w:rPr>
        <w:t xml:space="preserve"> </w:t>
      </w:r>
    </w:p>
  </w:footnote>
  <w:footnote w:id="22">
    <w:p w:rsidR="00082464" w:rsidRPr="00082464" w14:paraId="2971C285" w14:textId="1488EA0A">
      <w:pPr>
        <w:pStyle w:val="FootnoteText"/>
        <w:rPr>
          <w:sz w:val="26"/>
          <w:szCs w:val="26"/>
        </w:rPr>
      </w:pPr>
      <w:r w:rsidRPr="00082464">
        <w:rPr>
          <w:rStyle w:val="FootnoteReference"/>
          <w:sz w:val="26"/>
          <w:szCs w:val="26"/>
        </w:rPr>
        <w:footnoteRef/>
      </w:r>
      <w:r w:rsidRPr="00082464">
        <w:rPr>
          <w:sz w:val="26"/>
          <w:szCs w:val="26"/>
        </w:rPr>
        <w:t xml:space="preserve"> </w:t>
      </w:r>
      <w:r w:rsidRPr="00082464">
        <w:rPr>
          <w:sz w:val="26"/>
          <w:szCs w:val="26"/>
        </w:rPr>
        <w:tab/>
      </w:r>
      <w:r w:rsidR="00BC3FA7">
        <w:rPr>
          <w:sz w:val="26"/>
          <w:szCs w:val="26"/>
        </w:rPr>
        <w:t xml:space="preserve">Since 2002 the Legislature has amended section 31522.5 several times, including to add </w:t>
      </w:r>
      <w:r w:rsidR="00FD013F">
        <w:rPr>
          <w:sz w:val="26"/>
          <w:szCs w:val="26"/>
        </w:rPr>
        <w:t xml:space="preserve">the retirement system of </w:t>
      </w:r>
      <w:r w:rsidR="00BC3FA7">
        <w:rPr>
          <w:sz w:val="26"/>
          <w:szCs w:val="26"/>
        </w:rPr>
        <w:t>San</w:t>
      </w:r>
      <w:r w:rsidR="003B44E9">
        <w:rPr>
          <w:sz w:val="26"/>
          <w:szCs w:val="26"/>
        </w:rPr>
        <w:t> </w:t>
      </w:r>
      <w:r w:rsidR="00BC3FA7">
        <w:rPr>
          <w:sz w:val="26"/>
          <w:szCs w:val="26"/>
        </w:rPr>
        <w:t>Bernardino County</w:t>
      </w:r>
      <w:r w:rsidR="003B44E9">
        <w:rPr>
          <w:sz w:val="26"/>
          <w:szCs w:val="26"/>
        </w:rPr>
        <w:t xml:space="preserve"> and </w:t>
      </w:r>
      <w:r w:rsidR="00BC3FA7">
        <w:rPr>
          <w:sz w:val="26"/>
          <w:szCs w:val="26"/>
        </w:rPr>
        <w:t xml:space="preserve">to remove </w:t>
      </w:r>
      <w:r w:rsidR="00FD013F">
        <w:rPr>
          <w:sz w:val="26"/>
          <w:szCs w:val="26"/>
        </w:rPr>
        <w:t xml:space="preserve">the retirement system </w:t>
      </w:r>
      <w:r w:rsidR="006F3FAC">
        <w:rPr>
          <w:sz w:val="26"/>
          <w:szCs w:val="26"/>
        </w:rPr>
        <w:t xml:space="preserve">of </w:t>
      </w:r>
      <w:r w:rsidR="00FD013F">
        <w:rPr>
          <w:sz w:val="26"/>
          <w:szCs w:val="26"/>
        </w:rPr>
        <w:t xml:space="preserve">Orange County.  </w:t>
      </w:r>
      <w:r w:rsidR="007153C9">
        <w:rPr>
          <w:sz w:val="26"/>
          <w:szCs w:val="26"/>
        </w:rPr>
        <w:t xml:space="preserve">(See </w:t>
      </w:r>
      <w:r w:rsidR="00B625CB">
        <w:rPr>
          <w:sz w:val="26"/>
          <w:szCs w:val="26"/>
        </w:rPr>
        <w:t>Stats. 2006</w:t>
      </w:r>
      <w:r w:rsidR="00FE178A">
        <w:rPr>
          <w:sz w:val="26"/>
          <w:szCs w:val="26"/>
        </w:rPr>
        <w:t xml:space="preserve">, ch. </w:t>
      </w:r>
      <w:r w:rsidR="0083599B">
        <w:rPr>
          <w:sz w:val="26"/>
          <w:szCs w:val="26"/>
        </w:rPr>
        <w:t xml:space="preserve">369, </w:t>
      </w:r>
      <w:r w:rsidR="00A62935">
        <w:rPr>
          <w:sz w:val="26"/>
          <w:szCs w:val="26"/>
        </w:rPr>
        <w:t>§ </w:t>
      </w:r>
      <w:r w:rsidR="0083599B">
        <w:rPr>
          <w:sz w:val="26"/>
          <w:szCs w:val="26"/>
        </w:rPr>
        <w:t xml:space="preserve">5; Stats. 2021, ch. 26, </w:t>
      </w:r>
      <w:r w:rsidR="00A62935">
        <w:rPr>
          <w:sz w:val="26"/>
          <w:szCs w:val="26"/>
        </w:rPr>
        <w:t>§ </w:t>
      </w:r>
      <w:r w:rsidR="0083599B">
        <w:rPr>
          <w:sz w:val="26"/>
          <w:szCs w:val="26"/>
        </w:rPr>
        <w:t>1.)</w:t>
      </w:r>
      <w:r w:rsidR="00B625CB">
        <w:rPr>
          <w:sz w:val="26"/>
          <w:szCs w:val="26"/>
        </w:rPr>
        <w:t xml:space="preserve"> </w:t>
      </w:r>
      <w:r w:rsidR="0083599B">
        <w:rPr>
          <w:sz w:val="26"/>
          <w:szCs w:val="26"/>
        </w:rPr>
        <w:t xml:space="preserve"> </w:t>
      </w:r>
      <w:r w:rsidR="00FD013F">
        <w:rPr>
          <w:sz w:val="26"/>
          <w:szCs w:val="26"/>
        </w:rPr>
        <w:t>Section 31522.11 now applies to the retirement system of Orange County</w:t>
      </w:r>
      <w:r w:rsidR="007153C9">
        <w:rPr>
          <w:sz w:val="26"/>
          <w:szCs w:val="2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862DFD"/>
    <w:multiLevelType w:val="hybridMultilevel"/>
    <w:tmpl w:val="67D27C6E"/>
    <w:lvl w:ilvl="0">
      <w:start w:val="2"/>
      <w:numFmt w:val="bullet"/>
      <w:lvlText w:val=""/>
      <w:lvlJc w:val="left"/>
      <w:pPr>
        <w:ind w:left="720" w:hanging="360"/>
      </w:pPr>
      <w:rPr>
        <w:rFonts w:ascii="Symbol" w:hAnsi="Symbol"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510425"/>
    <w:multiLevelType w:val="hybridMultilevel"/>
    <w:tmpl w:val="4C90A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2C80DF3"/>
    <w:multiLevelType w:val="hybridMultilevel"/>
    <w:tmpl w:val="237CB8C0"/>
    <w:lvl w:ilvl="0">
      <w:start w:val="1"/>
      <w:numFmt w:val="upperLetter"/>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4CD0BB2"/>
    <w:multiLevelType w:val="hybridMultilevel"/>
    <w:tmpl w:val="258CF53E"/>
    <w:lvl w:ilvl="0">
      <w:start w:val="1"/>
      <w:numFmt w:val="decimal"/>
      <w:lvlText w:val="%1."/>
      <w:lvlJc w:val="left"/>
      <w:pPr>
        <w:ind w:left="1440" w:hanging="720"/>
      </w:pPr>
      <w:rPr>
        <w:rFonts w:hint="default"/>
      </w:rPr>
    </w:lvl>
    <w:lvl w:ilvl="1">
      <w:start w:val="1"/>
      <w:numFmt w:val="lowerLetter"/>
      <w:lvlText w:val="%2."/>
      <w:lvlJc w:val="left"/>
      <w:pPr>
        <w:ind w:left="1800" w:hanging="360"/>
      </w:pPr>
      <w:rPr>
        <w:i w:val="0"/>
        <w:iCs w:val="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A187825"/>
    <w:multiLevelType w:val="hybridMultilevel"/>
    <w:tmpl w:val="AC3AA5B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42BB2F5F"/>
    <w:multiLevelType w:val="hybridMultilevel"/>
    <w:tmpl w:val="53E258D0"/>
    <w:lvl w:ilvl="0">
      <w:start w:val="2"/>
      <w:numFmt w:val="decimal"/>
      <w:lvlText w:val="%1."/>
      <w:lvlJc w:val="left"/>
      <w:pPr>
        <w:ind w:left="2160" w:hanging="72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4AF8456E"/>
    <w:multiLevelType w:val="hybridMultilevel"/>
    <w:tmpl w:val="8CF049E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28047DA"/>
    <w:multiLevelType w:val="hybridMultilevel"/>
    <w:tmpl w:val="35E4E642"/>
    <w:lvl w:ilvl="0">
      <w:start w:val="4"/>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61409F0"/>
    <w:multiLevelType w:val="hybridMultilevel"/>
    <w:tmpl w:val="28B610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8A737BE"/>
    <w:multiLevelType w:val="hybridMultilevel"/>
    <w:tmpl w:val="BDD66C88"/>
    <w:lvl w:ilvl="0">
      <w:start w:val="1"/>
      <w:numFmt w:val="upperLetter"/>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7FE4548"/>
    <w:multiLevelType w:val="hybridMultilevel"/>
    <w:tmpl w:val="8D46285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Century Schoolbook" w:hAnsi="Century Schoolbook" w:eastAsiaTheme="minorHAnsi" w:cs="Times New Roman"/>
      </w:r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6B351B05"/>
    <w:multiLevelType w:val="hybridMultilevel"/>
    <w:tmpl w:val="AD3A12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CAD7452"/>
    <w:multiLevelType w:val="hybridMultilevel"/>
    <w:tmpl w:val="9E0E25BA"/>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6F776CF2"/>
    <w:multiLevelType w:val="hybridMultilevel"/>
    <w:tmpl w:val="C130D44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357172E"/>
    <w:multiLevelType w:val="hybridMultilevel"/>
    <w:tmpl w:val="F0965CD2"/>
    <w:lvl w:ilvl="0">
      <w:start w:val="1"/>
      <w:numFmt w:val="lowerLetter"/>
      <w:lvlText w:val="%1."/>
      <w:lvlJc w:val="left"/>
      <w:pPr>
        <w:ind w:left="180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6805B41"/>
    <w:multiLevelType w:val="hybridMultilevel"/>
    <w:tmpl w:val="3002329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7DD34876"/>
    <w:multiLevelType w:val="hybridMultilevel"/>
    <w:tmpl w:val="D610BEB2"/>
    <w:lvl w:ilvl="0">
      <w:start w:val="4"/>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E931BEE"/>
    <w:multiLevelType w:val="hybridMultilevel"/>
    <w:tmpl w:val="51E4048E"/>
    <w:lvl w:ilvl="0">
      <w:start w:val="1"/>
      <w:numFmt w:val="upperLetter"/>
      <w:lvlText w:val="%1."/>
      <w:lvlJc w:val="left"/>
      <w:pPr>
        <w:ind w:left="1356" w:hanging="45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12"/>
  </w:num>
  <w:num w:numId="3">
    <w:abstractNumId w:val="0"/>
  </w:num>
  <w:num w:numId="4">
    <w:abstractNumId w:val="6"/>
  </w:num>
  <w:num w:numId="5">
    <w:abstractNumId w:val="9"/>
  </w:num>
  <w:num w:numId="6">
    <w:abstractNumId w:val="8"/>
  </w:num>
  <w:num w:numId="7">
    <w:abstractNumId w:val="3"/>
  </w:num>
  <w:num w:numId="8">
    <w:abstractNumId w:val="14"/>
  </w:num>
  <w:num w:numId="9">
    <w:abstractNumId w:val="13"/>
  </w:num>
  <w:num w:numId="10">
    <w:abstractNumId w:val="13"/>
    <w:lvlOverride w:ilvl="0">
      <w:startOverride w:val="1"/>
    </w:lvlOverride>
  </w:num>
  <w:num w:numId="11">
    <w:abstractNumId w:val="13"/>
  </w:num>
  <w:num w:numId="12">
    <w:abstractNumId w:val="13"/>
    <w:lvlOverride w:ilvl="0">
      <w:startOverride w:val="1"/>
    </w:lvlOverride>
  </w:num>
  <w:num w:numId="13">
    <w:abstractNumId w:val="13"/>
  </w:num>
  <w:num w:numId="14">
    <w:abstractNumId w:val="13"/>
  </w:num>
  <w:num w:numId="15">
    <w:abstractNumId w:val="13"/>
  </w:num>
  <w:num w:numId="16">
    <w:abstractNumId w:val="13"/>
    <w:lvlOverride w:ilvl="0">
      <w:startOverride w:val="1"/>
    </w:lvlOverride>
  </w:num>
  <w:num w:numId="17">
    <w:abstractNumId w:val="10"/>
  </w:num>
  <w:num w:numId="18">
    <w:abstractNumId w:val="10"/>
    <w:lvlOverride w:ilvl="0">
      <w:startOverride w:val="1"/>
    </w:lvlOverride>
  </w:num>
  <w:num w:numId="19">
    <w:abstractNumId w:val="10"/>
    <w:lvlOverride w:ilvl="0">
      <w:startOverride w:val="1"/>
    </w:lvlOverride>
  </w:num>
  <w:num w:numId="20">
    <w:abstractNumId w:val="10"/>
  </w:num>
  <w:num w:numId="21">
    <w:abstractNumId w:val="10"/>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7"/>
  </w:num>
  <w:num w:numId="27">
    <w:abstractNumId w:val="17"/>
    <w:lvlOverride w:ilvl="0">
      <w:startOverride w:val="1"/>
    </w:lvlOverride>
  </w:num>
  <w:num w:numId="28">
    <w:abstractNumId w:val="17"/>
    <w:lvlOverride w:ilvl="0">
      <w:startOverride w:val="1"/>
    </w:lvlOverride>
  </w:num>
  <w:num w:numId="29">
    <w:abstractNumId w:val="2"/>
  </w:num>
  <w:num w:numId="30">
    <w:abstractNumId w:val="2"/>
    <w:lvlOverride w:ilvl="0">
      <w:startOverride w:val="1"/>
    </w:lvlOverride>
  </w:num>
  <w:num w:numId="31">
    <w:abstractNumId w:val="1"/>
  </w:num>
  <w:num w:numId="32">
    <w:abstractNumId w:val="16"/>
  </w:num>
  <w:num w:numId="33">
    <w:abstractNumId w:val="7"/>
  </w:num>
  <w:num w:numId="34">
    <w:abstractNumId w:val="15"/>
  </w:num>
  <w:num w:numId="35">
    <w:abstractNumId w:val="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0"/>
  <w:removePersonalInformation/>
  <w:removeDateAndTime/>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3E7"/>
    <w:rsid w:val="000001C0"/>
    <w:rsid w:val="000005FC"/>
    <w:rsid w:val="00000617"/>
    <w:rsid w:val="000007D7"/>
    <w:rsid w:val="0000099A"/>
    <w:rsid w:val="00000B8D"/>
    <w:rsid w:val="00000D66"/>
    <w:rsid w:val="00000DD4"/>
    <w:rsid w:val="00000F15"/>
    <w:rsid w:val="0000100A"/>
    <w:rsid w:val="000010FD"/>
    <w:rsid w:val="00001222"/>
    <w:rsid w:val="0000139D"/>
    <w:rsid w:val="000014C8"/>
    <w:rsid w:val="000014E7"/>
    <w:rsid w:val="00001590"/>
    <w:rsid w:val="000017DA"/>
    <w:rsid w:val="000018AA"/>
    <w:rsid w:val="00001AE4"/>
    <w:rsid w:val="00001E7B"/>
    <w:rsid w:val="00002750"/>
    <w:rsid w:val="00002A13"/>
    <w:rsid w:val="00002AD3"/>
    <w:rsid w:val="00002FBF"/>
    <w:rsid w:val="0000314E"/>
    <w:rsid w:val="00003261"/>
    <w:rsid w:val="000033EB"/>
    <w:rsid w:val="00003744"/>
    <w:rsid w:val="000037E9"/>
    <w:rsid w:val="00003932"/>
    <w:rsid w:val="00003BBC"/>
    <w:rsid w:val="00003BEB"/>
    <w:rsid w:val="0000414A"/>
    <w:rsid w:val="00004776"/>
    <w:rsid w:val="00004904"/>
    <w:rsid w:val="00004B64"/>
    <w:rsid w:val="00004D02"/>
    <w:rsid w:val="00004D07"/>
    <w:rsid w:val="00004F19"/>
    <w:rsid w:val="00004F2D"/>
    <w:rsid w:val="000050E9"/>
    <w:rsid w:val="0000542E"/>
    <w:rsid w:val="00005636"/>
    <w:rsid w:val="00005ADD"/>
    <w:rsid w:val="00005D0B"/>
    <w:rsid w:val="000060AB"/>
    <w:rsid w:val="000061A1"/>
    <w:rsid w:val="000062EC"/>
    <w:rsid w:val="000063AB"/>
    <w:rsid w:val="00006455"/>
    <w:rsid w:val="0000663B"/>
    <w:rsid w:val="00006C19"/>
    <w:rsid w:val="00006C81"/>
    <w:rsid w:val="00006E10"/>
    <w:rsid w:val="00006EBD"/>
    <w:rsid w:val="00006EED"/>
    <w:rsid w:val="00006F15"/>
    <w:rsid w:val="00007244"/>
    <w:rsid w:val="00007626"/>
    <w:rsid w:val="0000786F"/>
    <w:rsid w:val="00007957"/>
    <w:rsid w:val="00007A4D"/>
    <w:rsid w:val="00007C87"/>
    <w:rsid w:val="00007D1E"/>
    <w:rsid w:val="00007DBE"/>
    <w:rsid w:val="00010012"/>
    <w:rsid w:val="000105F2"/>
    <w:rsid w:val="0001063F"/>
    <w:rsid w:val="000108A0"/>
    <w:rsid w:val="000108DD"/>
    <w:rsid w:val="00010D52"/>
    <w:rsid w:val="00010E5B"/>
    <w:rsid w:val="00010E63"/>
    <w:rsid w:val="00010F0F"/>
    <w:rsid w:val="0001125C"/>
    <w:rsid w:val="000115F3"/>
    <w:rsid w:val="00011840"/>
    <w:rsid w:val="000118AD"/>
    <w:rsid w:val="00011C7D"/>
    <w:rsid w:val="00011C82"/>
    <w:rsid w:val="00012207"/>
    <w:rsid w:val="00012300"/>
    <w:rsid w:val="00012424"/>
    <w:rsid w:val="0001247F"/>
    <w:rsid w:val="000125DD"/>
    <w:rsid w:val="00012E8D"/>
    <w:rsid w:val="00012F4F"/>
    <w:rsid w:val="00012FAC"/>
    <w:rsid w:val="000133C6"/>
    <w:rsid w:val="000134F9"/>
    <w:rsid w:val="000135F2"/>
    <w:rsid w:val="000137D1"/>
    <w:rsid w:val="00013B75"/>
    <w:rsid w:val="00013D9F"/>
    <w:rsid w:val="00013E20"/>
    <w:rsid w:val="000142D4"/>
    <w:rsid w:val="00014469"/>
    <w:rsid w:val="00014754"/>
    <w:rsid w:val="0001490A"/>
    <w:rsid w:val="00014B77"/>
    <w:rsid w:val="00014B88"/>
    <w:rsid w:val="00014C2E"/>
    <w:rsid w:val="0001503B"/>
    <w:rsid w:val="0001522C"/>
    <w:rsid w:val="000152A4"/>
    <w:rsid w:val="000154A6"/>
    <w:rsid w:val="00015775"/>
    <w:rsid w:val="00015BE3"/>
    <w:rsid w:val="000166B4"/>
    <w:rsid w:val="000168C9"/>
    <w:rsid w:val="0001690D"/>
    <w:rsid w:val="000169FA"/>
    <w:rsid w:val="000170E7"/>
    <w:rsid w:val="0001731C"/>
    <w:rsid w:val="00017FE5"/>
    <w:rsid w:val="00020066"/>
    <w:rsid w:val="000200C1"/>
    <w:rsid w:val="000203C1"/>
    <w:rsid w:val="0002079D"/>
    <w:rsid w:val="00020AB7"/>
    <w:rsid w:val="00020CA2"/>
    <w:rsid w:val="00020E1A"/>
    <w:rsid w:val="00020E4F"/>
    <w:rsid w:val="00021035"/>
    <w:rsid w:val="0002144A"/>
    <w:rsid w:val="000215A2"/>
    <w:rsid w:val="000215DA"/>
    <w:rsid w:val="00021959"/>
    <w:rsid w:val="00021A97"/>
    <w:rsid w:val="00021C85"/>
    <w:rsid w:val="00021D24"/>
    <w:rsid w:val="00021DD5"/>
    <w:rsid w:val="00021DF9"/>
    <w:rsid w:val="00021EC1"/>
    <w:rsid w:val="00022084"/>
    <w:rsid w:val="00022131"/>
    <w:rsid w:val="000221C4"/>
    <w:rsid w:val="00022306"/>
    <w:rsid w:val="00022391"/>
    <w:rsid w:val="0002244B"/>
    <w:rsid w:val="00022492"/>
    <w:rsid w:val="0002268F"/>
    <w:rsid w:val="000226D3"/>
    <w:rsid w:val="0002271A"/>
    <w:rsid w:val="00022B1A"/>
    <w:rsid w:val="00023455"/>
    <w:rsid w:val="0002345E"/>
    <w:rsid w:val="000234EA"/>
    <w:rsid w:val="00023552"/>
    <w:rsid w:val="0002361E"/>
    <w:rsid w:val="000239B0"/>
    <w:rsid w:val="00023AEB"/>
    <w:rsid w:val="0002415D"/>
    <w:rsid w:val="000242B5"/>
    <w:rsid w:val="000249BF"/>
    <w:rsid w:val="000249CD"/>
    <w:rsid w:val="00024B23"/>
    <w:rsid w:val="00024F34"/>
    <w:rsid w:val="00025226"/>
    <w:rsid w:val="00025386"/>
    <w:rsid w:val="000254C0"/>
    <w:rsid w:val="000254C8"/>
    <w:rsid w:val="0002560A"/>
    <w:rsid w:val="00025836"/>
    <w:rsid w:val="0002585F"/>
    <w:rsid w:val="0002588E"/>
    <w:rsid w:val="00025AAA"/>
    <w:rsid w:val="00025AD3"/>
    <w:rsid w:val="00025DF1"/>
    <w:rsid w:val="000262A3"/>
    <w:rsid w:val="0002634A"/>
    <w:rsid w:val="00026458"/>
    <w:rsid w:val="00026513"/>
    <w:rsid w:val="00026613"/>
    <w:rsid w:val="000267A6"/>
    <w:rsid w:val="00026EFF"/>
    <w:rsid w:val="000271E1"/>
    <w:rsid w:val="0002749B"/>
    <w:rsid w:val="00027881"/>
    <w:rsid w:val="00027BE5"/>
    <w:rsid w:val="00027E4F"/>
    <w:rsid w:val="00027ED6"/>
    <w:rsid w:val="00030067"/>
    <w:rsid w:val="0003006F"/>
    <w:rsid w:val="000300E5"/>
    <w:rsid w:val="00030181"/>
    <w:rsid w:val="000301E0"/>
    <w:rsid w:val="00030279"/>
    <w:rsid w:val="000305A5"/>
    <w:rsid w:val="000308F9"/>
    <w:rsid w:val="0003091D"/>
    <w:rsid w:val="00030AC6"/>
    <w:rsid w:val="00030DB8"/>
    <w:rsid w:val="00031053"/>
    <w:rsid w:val="000312AE"/>
    <w:rsid w:val="00031365"/>
    <w:rsid w:val="00031959"/>
    <w:rsid w:val="00031B60"/>
    <w:rsid w:val="00031BFE"/>
    <w:rsid w:val="00031C92"/>
    <w:rsid w:val="000325B9"/>
    <w:rsid w:val="000329FC"/>
    <w:rsid w:val="00032A89"/>
    <w:rsid w:val="00032B6C"/>
    <w:rsid w:val="00032BE2"/>
    <w:rsid w:val="00032CF4"/>
    <w:rsid w:val="00032DD4"/>
    <w:rsid w:val="00032EAF"/>
    <w:rsid w:val="00032FE7"/>
    <w:rsid w:val="000330C6"/>
    <w:rsid w:val="00033109"/>
    <w:rsid w:val="0003315F"/>
    <w:rsid w:val="000331E3"/>
    <w:rsid w:val="0003337A"/>
    <w:rsid w:val="00033414"/>
    <w:rsid w:val="000338D2"/>
    <w:rsid w:val="00033CDD"/>
    <w:rsid w:val="00034009"/>
    <w:rsid w:val="00034411"/>
    <w:rsid w:val="00034C4A"/>
    <w:rsid w:val="00035211"/>
    <w:rsid w:val="00035618"/>
    <w:rsid w:val="000358F7"/>
    <w:rsid w:val="00035E1D"/>
    <w:rsid w:val="0003614F"/>
    <w:rsid w:val="0003616F"/>
    <w:rsid w:val="000361E5"/>
    <w:rsid w:val="000363D0"/>
    <w:rsid w:val="00036591"/>
    <w:rsid w:val="000368C4"/>
    <w:rsid w:val="000369BE"/>
    <w:rsid w:val="00036E6E"/>
    <w:rsid w:val="00036FEA"/>
    <w:rsid w:val="00037210"/>
    <w:rsid w:val="000372BA"/>
    <w:rsid w:val="000373DC"/>
    <w:rsid w:val="00037407"/>
    <w:rsid w:val="000374D3"/>
    <w:rsid w:val="0003790D"/>
    <w:rsid w:val="00037A3D"/>
    <w:rsid w:val="00040098"/>
    <w:rsid w:val="000401DC"/>
    <w:rsid w:val="0004042D"/>
    <w:rsid w:val="00040899"/>
    <w:rsid w:val="000409DE"/>
    <w:rsid w:val="00040F05"/>
    <w:rsid w:val="000414EB"/>
    <w:rsid w:val="00041596"/>
    <w:rsid w:val="000419AE"/>
    <w:rsid w:val="00041B45"/>
    <w:rsid w:val="00041C82"/>
    <w:rsid w:val="00041C9A"/>
    <w:rsid w:val="00041D09"/>
    <w:rsid w:val="00041DE0"/>
    <w:rsid w:val="0004204A"/>
    <w:rsid w:val="0004213C"/>
    <w:rsid w:val="0004219F"/>
    <w:rsid w:val="00042546"/>
    <w:rsid w:val="00042700"/>
    <w:rsid w:val="00042AEE"/>
    <w:rsid w:val="00042D09"/>
    <w:rsid w:val="00042D96"/>
    <w:rsid w:val="00042E9D"/>
    <w:rsid w:val="00042EB3"/>
    <w:rsid w:val="00043033"/>
    <w:rsid w:val="000436B2"/>
    <w:rsid w:val="00043774"/>
    <w:rsid w:val="00043C0B"/>
    <w:rsid w:val="00043DF9"/>
    <w:rsid w:val="0004406C"/>
    <w:rsid w:val="000444DB"/>
    <w:rsid w:val="0004497F"/>
    <w:rsid w:val="00044A42"/>
    <w:rsid w:val="00044A85"/>
    <w:rsid w:val="00044BDD"/>
    <w:rsid w:val="00044FDF"/>
    <w:rsid w:val="000451E9"/>
    <w:rsid w:val="0004527D"/>
    <w:rsid w:val="000453F5"/>
    <w:rsid w:val="00045425"/>
    <w:rsid w:val="000455CF"/>
    <w:rsid w:val="000458D8"/>
    <w:rsid w:val="00045BA5"/>
    <w:rsid w:val="00045C76"/>
    <w:rsid w:val="00045E88"/>
    <w:rsid w:val="00046149"/>
    <w:rsid w:val="000461AB"/>
    <w:rsid w:val="00046368"/>
    <w:rsid w:val="00046838"/>
    <w:rsid w:val="00046AFF"/>
    <w:rsid w:val="00046B88"/>
    <w:rsid w:val="00046D01"/>
    <w:rsid w:val="00046E3C"/>
    <w:rsid w:val="00046F32"/>
    <w:rsid w:val="00046FC5"/>
    <w:rsid w:val="00047165"/>
    <w:rsid w:val="000471C2"/>
    <w:rsid w:val="00047418"/>
    <w:rsid w:val="00047424"/>
    <w:rsid w:val="0004752A"/>
    <w:rsid w:val="00047A77"/>
    <w:rsid w:val="00047AD6"/>
    <w:rsid w:val="00047AEC"/>
    <w:rsid w:val="00047DE0"/>
    <w:rsid w:val="00047F19"/>
    <w:rsid w:val="00047F24"/>
    <w:rsid w:val="0005026C"/>
    <w:rsid w:val="000503FD"/>
    <w:rsid w:val="000504A0"/>
    <w:rsid w:val="00050ECB"/>
    <w:rsid w:val="000510D6"/>
    <w:rsid w:val="0005110D"/>
    <w:rsid w:val="00051601"/>
    <w:rsid w:val="000519DC"/>
    <w:rsid w:val="00051D27"/>
    <w:rsid w:val="00052116"/>
    <w:rsid w:val="00052123"/>
    <w:rsid w:val="00052148"/>
    <w:rsid w:val="000521EB"/>
    <w:rsid w:val="00052412"/>
    <w:rsid w:val="000525FC"/>
    <w:rsid w:val="00052861"/>
    <w:rsid w:val="00052AFF"/>
    <w:rsid w:val="00052B1D"/>
    <w:rsid w:val="00052B55"/>
    <w:rsid w:val="0005304E"/>
    <w:rsid w:val="00053289"/>
    <w:rsid w:val="0005336B"/>
    <w:rsid w:val="0005337F"/>
    <w:rsid w:val="00053515"/>
    <w:rsid w:val="0005358D"/>
    <w:rsid w:val="0005365B"/>
    <w:rsid w:val="000538A8"/>
    <w:rsid w:val="000538A9"/>
    <w:rsid w:val="00053C37"/>
    <w:rsid w:val="00053D65"/>
    <w:rsid w:val="00053FAE"/>
    <w:rsid w:val="00054148"/>
    <w:rsid w:val="0005423B"/>
    <w:rsid w:val="00054275"/>
    <w:rsid w:val="00054561"/>
    <w:rsid w:val="00054887"/>
    <w:rsid w:val="00054A1A"/>
    <w:rsid w:val="00054B25"/>
    <w:rsid w:val="00054F40"/>
    <w:rsid w:val="00054F77"/>
    <w:rsid w:val="000550E7"/>
    <w:rsid w:val="0005526A"/>
    <w:rsid w:val="00055327"/>
    <w:rsid w:val="00055398"/>
    <w:rsid w:val="000553DB"/>
    <w:rsid w:val="00055805"/>
    <w:rsid w:val="00055923"/>
    <w:rsid w:val="00055963"/>
    <w:rsid w:val="000559E2"/>
    <w:rsid w:val="00055A57"/>
    <w:rsid w:val="00055E63"/>
    <w:rsid w:val="000560CE"/>
    <w:rsid w:val="0005658C"/>
    <w:rsid w:val="00056D12"/>
    <w:rsid w:val="00056D3C"/>
    <w:rsid w:val="00056E9D"/>
    <w:rsid w:val="000571C0"/>
    <w:rsid w:val="0005732B"/>
    <w:rsid w:val="0005775A"/>
    <w:rsid w:val="00057835"/>
    <w:rsid w:val="00057CC2"/>
    <w:rsid w:val="0006022C"/>
    <w:rsid w:val="000602D5"/>
    <w:rsid w:val="000604C4"/>
    <w:rsid w:val="000607CC"/>
    <w:rsid w:val="00060858"/>
    <w:rsid w:val="00060A38"/>
    <w:rsid w:val="00060F4D"/>
    <w:rsid w:val="00061487"/>
    <w:rsid w:val="00061A54"/>
    <w:rsid w:val="00061B13"/>
    <w:rsid w:val="00062299"/>
    <w:rsid w:val="000627AD"/>
    <w:rsid w:val="00062986"/>
    <w:rsid w:val="00062A01"/>
    <w:rsid w:val="00062EB0"/>
    <w:rsid w:val="00062F91"/>
    <w:rsid w:val="00062FD3"/>
    <w:rsid w:val="00063066"/>
    <w:rsid w:val="0006332B"/>
    <w:rsid w:val="00063464"/>
    <w:rsid w:val="0006346B"/>
    <w:rsid w:val="0006368F"/>
    <w:rsid w:val="000636BC"/>
    <w:rsid w:val="00063A4E"/>
    <w:rsid w:val="00063E14"/>
    <w:rsid w:val="00063FAE"/>
    <w:rsid w:val="000641DB"/>
    <w:rsid w:val="000642E6"/>
    <w:rsid w:val="000643BF"/>
    <w:rsid w:val="0006462F"/>
    <w:rsid w:val="0006472C"/>
    <w:rsid w:val="0006485B"/>
    <w:rsid w:val="00064A68"/>
    <w:rsid w:val="000653B7"/>
    <w:rsid w:val="00065563"/>
    <w:rsid w:val="00065566"/>
    <w:rsid w:val="000655A6"/>
    <w:rsid w:val="00065D70"/>
    <w:rsid w:val="00066644"/>
    <w:rsid w:val="00066A63"/>
    <w:rsid w:val="00066E70"/>
    <w:rsid w:val="0006711F"/>
    <w:rsid w:val="00067493"/>
    <w:rsid w:val="00067911"/>
    <w:rsid w:val="00067CA5"/>
    <w:rsid w:val="00070053"/>
    <w:rsid w:val="00070304"/>
    <w:rsid w:val="000704EA"/>
    <w:rsid w:val="00070988"/>
    <w:rsid w:val="00070A32"/>
    <w:rsid w:val="00070AC3"/>
    <w:rsid w:val="00070B7D"/>
    <w:rsid w:val="00070D2C"/>
    <w:rsid w:val="00070D4F"/>
    <w:rsid w:val="00070E80"/>
    <w:rsid w:val="00070F10"/>
    <w:rsid w:val="000718C0"/>
    <w:rsid w:val="000718F1"/>
    <w:rsid w:val="000719C7"/>
    <w:rsid w:val="00071A89"/>
    <w:rsid w:val="00071BE9"/>
    <w:rsid w:val="00072150"/>
    <w:rsid w:val="000721D8"/>
    <w:rsid w:val="000724EE"/>
    <w:rsid w:val="0007252F"/>
    <w:rsid w:val="000725DA"/>
    <w:rsid w:val="000725E5"/>
    <w:rsid w:val="00072780"/>
    <w:rsid w:val="0007279C"/>
    <w:rsid w:val="00072AD0"/>
    <w:rsid w:val="00072C9F"/>
    <w:rsid w:val="00073804"/>
    <w:rsid w:val="00073A40"/>
    <w:rsid w:val="00074314"/>
    <w:rsid w:val="0007432A"/>
    <w:rsid w:val="000746C7"/>
    <w:rsid w:val="0007493C"/>
    <w:rsid w:val="00074A27"/>
    <w:rsid w:val="00074AC1"/>
    <w:rsid w:val="00074C7D"/>
    <w:rsid w:val="00074C8E"/>
    <w:rsid w:val="00075022"/>
    <w:rsid w:val="00075346"/>
    <w:rsid w:val="000754E3"/>
    <w:rsid w:val="00075D4A"/>
    <w:rsid w:val="00075DF5"/>
    <w:rsid w:val="00076099"/>
    <w:rsid w:val="000762EE"/>
    <w:rsid w:val="000764C9"/>
    <w:rsid w:val="00076A6D"/>
    <w:rsid w:val="00076B26"/>
    <w:rsid w:val="000771BE"/>
    <w:rsid w:val="00077265"/>
    <w:rsid w:val="00077695"/>
    <w:rsid w:val="00077944"/>
    <w:rsid w:val="00077C2A"/>
    <w:rsid w:val="00077C4E"/>
    <w:rsid w:val="00077F4E"/>
    <w:rsid w:val="00080293"/>
    <w:rsid w:val="000803B6"/>
    <w:rsid w:val="00080402"/>
    <w:rsid w:val="00080669"/>
    <w:rsid w:val="000806F9"/>
    <w:rsid w:val="000807E6"/>
    <w:rsid w:val="0008087B"/>
    <w:rsid w:val="00080C3F"/>
    <w:rsid w:val="00081029"/>
    <w:rsid w:val="00081174"/>
    <w:rsid w:val="0008146D"/>
    <w:rsid w:val="0008166B"/>
    <w:rsid w:val="0008169A"/>
    <w:rsid w:val="000819C9"/>
    <w:rsid w:val="00081BFA"/>
    <w:rsid w:val="00081DD5"/>
    <w:rsid w:val="00082021"/>
    <w:rsid w:val="00082271"/>
    <w:rsid w:val="0008229A"/>
    <w:rsid w:val="00082464"/>
    <w:rsid w:val="0008248A"/>
    <w:rsid w:val="000826E2"/>
    <w:rsid w:val="0008288E"/>
    <w:rsid w:val="000829AF"/>
    <w:rsid w:val="000829FB"/>
    <w:rsid w:val="00082ADF"/>
    <w:rsid w:val="00082D3F"/>
    <w:rsid w:val="00082E04"/>
    <w:rsid w:val="00082EE0"/>
    <w:rsid w:val="00083277"/>
    <w:rsid w:val="000832C5"/>
    <w:rsid w:val="000835B9"/>
    <w:rsid w:val="000836C7"/>
    <w:rsid w:val="000837B9"/>
    <w:rsid w:val="0008398D"/>
    <w:rsid w:val="00083B86"/>
    <w:rsid w:val="00083D60"/>
    <w:rsid w:val="00083FD2"/>
    <w:rsid w:val="00084155"/>
    <w:rsid w:val="000841FA"/>
    <w:rsid w:val="0008480B"/>
    <w:rsid w:val="00084B94"/>
    <w:rsid w:val="00084BDC"/>
    <w:rsid w:val="00084ED6"/>
    <w:rsid w:val="00084F05"/>
    <w:rsid w:val="000853D0"/>
    <w:rsid w:val="000854B9"/>
    <w:rsid w:val="00085A96"/>
    <w:rsid w:val="00085DE9"/>
    <w:rsid w:val="00085F41"/>
    <w:rsid w:val="00086165"/>
    <w:rsid w:val="000863DA"/>
    <w:rsid w:val="000868FE"/>
    <w:rsid w:val="000869F0"/>
    <w:rsid w:val="00086D3E"/>
    <w:rsid w:val="00086FAC"/>
    <w:rsid w:val="00087A8B"/>
    <w:rsid w:val="00087EB7"/>
    <w:rsid w:val="00090244"/>
    <w:rsid w:val="00090AA9"/>
    <w:rsid w:val="00091169"/>
    <w:rsid w:val="00091354"/>
    <w:rsid w:val="00091568"/>
    <w:rsid w:val="00091A50"/>
    <w:rsid w:val="00091AFE"/>
    <w:rsid w:val="00091C19"/>
    <w:rsid w:val="00091C1D"/>
    <w:rsid w:val="00091E1F"/>
    <w:rsid w:val="00091FAA"/>
    <w:rsid w:val="0009210E"/>
    <w:rsid w:val="00092176"/>
    <w:rsid w:val="00092928"/>
    <w:rsid w:val="000929C8"/>
    <w:rsid w:val="00092A02"/>
    <w:rsid w:val="00092E27"/>
    <w:rsid w:val="000933D9"/>
    <w:rsid w:val="0009376D"/>
    <w:rsid w:val="00093917"/>
    <w:rsid w:val="00093C13"/>
    <w:rsid w:val="00093E74"/>
    <w:rsid w:val="00093F7C"/>
    <w:rsid w:val="00093FE0"/>
    <w:rsid w:val="000942A4"/>
    <w:rsid w:val="000942B7"/>
    <w:rsid w:val="00094320"/>
    <w:rsid w:val="000944D4"/>
    <w:rsid w:val="000945A3"/>
    <w:rsid w:val="000946E2"/>
    <w:rsid w:val="00094890"/>
    <w:rsid w:val="00094B42"/>
    <w:rsid w:val="00094B51"/>
    <w:rsid w:val="00094CEE"/>
    <w:rsid w:val="00094EA9"/>
    <w:rsid w:val="00094FC6"/>
    <w:rsid w:val="000951C8"/>
    <w:rsid w:val="0009529D"/>
    <w:rsid w:val="000954BA"/>
    <w:rsid w:val="000959DB"/>
    <w:rsid w:val="00095A2B"/>
    <w:rsid w:val="0009621D"/>
    <w:rsid w:val="00096310"/>
    <w:rsid w:val="0009643E"/>
    <w:rsid w:val="00096564"/>
    <w:rsid w:val="000965DE"/>
    <w:rsid w:val="00096772"/>
    <w:rsid w:val="0009677D"/>
    <w:rsid w:val="00096B23"/>
    <w:rsid w:val="00096F8E"/>
    <w:rsid w:val="00096FD7"/>
    <w:rsid w:val="00097190"/>
    <w:rsid w:val="00097278"/>
    <w:rsid w:val="00097440"/>
    <w:rsid w:val="00097660"/>
    <w:rsid w:val="00097809"/>
    <w:rsid w:val="00097950"/>
    <w:rsid w:val="00097A77"/>
    <w:rsid w:val="00097BDE"/>
    <w:rsid w:val="00097D94"/>
    <w:rsid w:val="00097E4F"/>
    <w:rsid w:val="000A0101"/>
    <w:rsid w:val="000A0319"/>
    <w:rsid w:val="000A0822"/>
    <w:rsid w:val="000A092F"/>
    <w:rsid w:val="000A0A45"/>
    <w:rsid w:val="000A143F"/>
    <w:rsid w:val="000A15D7"/>
    <w:rsid w:val="000A18F6"/>
    <w:rsid w:val="000A1C62"/>
    <w:rsid w:val="000A1C7E"/>
    <w:rsid w:val="000A2197"/>
    <w:rsid w:val="000A21D6"/>
    <w:rsid w:val="000A245A"/>
    <w:rsid w:val="000A25F2"/>
    <w:rsid w:val="000A27B7"/>
    <w:rsid w:val="000A2C27"/>
    <w:rsid w:val="000A2E9D"/>
    <w:rsid w:val="000A3032"/>
    <w:rsid w:val="000A323E"/>
    <w:rsid w:val="000A3357"/>
    <w:rsid w:val="000A347D"/>
    <w:rsid w:val="000A35A4"/>
    <w:rsid w:val="000A387F"/>
    <w:rsid w:val="000A3CC6"/>
    <w:rsid w:val="000A40FA"/>
    <w:rsid w:val="000A499B"/>
    <w:rsid w:val="000A4EB1"/>
    <w:rsid w:val="000A5374"/>
    <w:rsid w:val="000A5491"/>
    <w:rsid w:val="000A5611"/>
    <w:rsid w:val="000A5622"/>
    <w:rsid w:val="000A56AE"/>
    <w:rsid w:val="000A5B0F"/>
    <w:rsid w:val="000A5D2C"/>
    <w:rsid w:val="000A5D96"/>
    <w:rsid w:val="000A5EF2"/>
    <w:rsid w:val="000A5FD1"/>
    <w:rsid w:val="000A63B8"/>
    <w:rsid w:val="000A65F7"/>
    <w:rsid w:val="000A679B"/>
    <w:rsid w:val="000A68A4"/>
    <w:rsid w:val="000A697B"/>
    <w:rsid w:val="000A6C0F"/>
    <w:rsid w:val="000A6E80"/>
    <w:rsid w:val="000A6F2F"/>
    <w:rsid w:val="000A6F90"/>
    <w:rsid w:val="000A763F"/>
    <w:rsid w:val="000A7809"/>
    <w:rsid w:val="000A795D"/>
    <w:rsid w:val="000A7A16"/>
    <w:rsid w:val="000A7A59"/>
    <w:rsid w:val="000A7A8F"/>
    <w:rsid w:val="000A7A96"/>
    <w:rsid w:val="000A7BB9"/>
    <w:rsid w:val="000B001D"/>
    <w:rsid w:val="000B0055"/>
    <w:rsid w:val="000B0479"/>
    <w:rsid w:val="000B04AE"/>
    <w:rsid w:val="000B08F1"/>
    <w:rsid w:val="000B092F"/>
    <w:rsid w:val="000B0AC8"/>
    <w:rsid w:val="000B0C3D"/>
    <w:rsid w:val="000B10EA"/>
    <w:rsid w:val="000B148B"/>
    <w:rsid w:val="000B14CF"/>
    <w:rsid w:val="000B1663"/>
    <w:rsid w:val="000B17D4"/>
    <w:rsid w:val="000B1C0F"/>
    <w:rsid w:val="000B2213"/>
    <w:rsid w:val="000B2596"/>
    <w:rsid w:val="000B28F7"/>
    <w:rsid w:val="000B2A08"/>
    <w:rsid w:val="000B2A0E"/>
    <w:rsid w:val="000B3216"/>
    <w:rsid w:val="000B358B"/>
    <w:rsid w:val="000B3AB9"/>
    <w:rsid w:val="000B3B44"/>
    <w:rsid w:val="000B46D4"/>
    <w:rsid w:val="000B4B97"/>
    <w:rsid w:val="000B4BBE"/>
    <w:rsid w:val="000B4CCD"/>
    <w:rsid w:val="000B4CE7"/>
    <w:rsid w:val="000B4DD1"/>
    <w:rsid w:val="000B4EFA"/>
    <w:rsid w:val="000B5144"/>
    <w:rsid w:val="000B5316"/>
    <w:rsid w:val="000B54FE"/>
    <w:rsid w:val="000B58BD"/>
    <w:rsid w:val="000B5D04"/>
    <w:rsid w:val="000B6088"/>
    <w:rsid w:val="000B6094"/>
    <w:rsid w:val="000B616B"/>
    <w:rsid w:val="000B66FF"/>
    <w:rsid w:val="000B672A"/>
    <w:rsid w:val="000B6920"/>
    <w:rsid w:val="000B6F45"/>
    <w:rsid w:val="000B7109"/>
    <w:rsid w:val="000B73BC"/>
    <w:rsid w:val="000B761D"/>
    <w:rsid w:val="000B7863"/>
    <w:rsid w:val="000B794E"/>
    <w:rsid w:val="000B79DE"/>
    <w:rsid w:val="000B7C23"/>
    <w:rsid w:val="000B7F88"/>
    <w:rsid w:val="000C002B"/>
    <w:rsid w:val="000C01AC"/>
    <w:rsid w:val="000C0310"/>
    <w:rsid w:val="000C0559"/>
    <w:rsid w:val="000C069F"/>
    <w:rsid w:val="000C0882"/>
    <w:rsid w:val="000C0950"/>
    <w:rsid w:val="000C09B5"/>
    <w:rsid w:val="000C0C34"/>
    <w:rsid w:val="000C1449"/>
    <w:rsid w:val="000C1646"/>
    <w:rsid w:val="000C19B4"/>
    <w:rsid w:val="000C1BC0"/>
    <w:rsid w:val="000C1CDD"/>
    <w:rsid w:val="000C1F92"/>
    <w:rsid w:val="000C246F"/>
    <w:rsid w:val="000C2473"/>
    <w:rsid w:val="000C27FC"/>
    <w:rsid w:val="000C2A4D"/>
    <w:rsid w:val="000C2D0C"/>
    <w:rsid w:val="000C2DE0"/>
    <w:rsid w:val="000C2FBC"/>
    <w:rsid w:val="000C30B9"/>
    <w:rsid w:val="000C31AF"/>
    <w:rsid w:val="000C33BC"/>
    <w:rsid w:val="000C33CE"/>
    <w:rsid w:val="000C3635"/>
    <w:rsid w:val="000C383C"/>
    <w:rsid w:val="000C3968"/>
    <w:rsid w:val="000C3BCD"/>
    <w:rsid w:val="000C3EFA"/>
    <w:rsid w:val="000C418D"/>
    <w:rsid w:val="000C4247"/>
    <w:rsid w:val="000C43B8"/>
    <w:rsid w:val="000C463A"/>
    <w:rsid w:val="000C473A"/>
    <w:rsid w:val="000C4776"/>
    <w:rsid w:val="000C4926"/>
    <w:rsid w:val="000C4F23"/>
    <w:rsid w:val="000C5220"/>
    <w:rsid w:val="000C5393"/>
    <w:rsid w:val="000C5A37"/>
    <w:rsid w:val="000C5FC0"/>
    <w:rsid w:val="000C66A5"/>
    <w:rsid w:val="000C68EF"/>
    <w:rsid w:val="000C6A16"/>
    <w:rsid w:val="000C6ADF"/>
    <w:rsid w:val="000C7085"/>
    <w:rsid w:val="000C70DD"/>
    <w:rsid w:val="000C787F"/>
    <w:rsid w:val="000C7E54"/>
    <w:rsid w:val="000D02BD"/>
    <w:rsid w:val="000D037D"/>
    <w:rsid w:val="000D102B"/>
    <w:rsid w:val="000D1663"/>
    <w:rsid w:val="000D19E4"/>
    <w:rsid w:val="000D1A2F"/>
    <w:rsid w:val="000D26BB"/>
    <w:rsid w:val="000D26F2"/>
    <w:rsid w:val="000D2B80"/>
    <w:rsid w:val="000D2FA7"/>
    <w:rsid w:val="000D301F"/>
    <w:rsid w:val="000D3049"/>
    <w:rsid w:val="000D313D"/>
    <w:rsid w:val="000D31EF"/>
    <w:rsid w:val="000D3A0E"/>
    <w:rsid w:val="000D411C"/>
    <w:rsid w:val="000D411D"/>
    <w:rsid w:val="000D4405"/>
    <w:rsid w:val="000D4852"/>
    <w:rsid w:val="000D4D49"/>
    <w:rsid w:val="000D4D8D"/>
    <w:rsid w:val="000D4F62"/>
    <w:rsid w:val="000D503F"/>
    <w:rsid w:val="000D522F"/>
    <w:rsid w:val="000D52B6"/>
    <w:rsid w:val="000D563A"/>
    <w:rsid w:val="000D573B"/>
    <w:rsid w:val="000D58DB"/>
    <w:rsid w:val="000D5B4F"/>
    <w:rsid w:val="000D5B63"/>
    <w:rsid w:val="000D5CA0"/>
    <w:rsid w:val="000D5CE9"/>
    <w:rsid w:val="000D5E57"/>
    <w:rsid w:val="000D60F5"/>
    <w:rsid w:val="000D61DA"/>
    <w:rsid w:val="000D674F"/>
    <w:rsid w:val="000D6906"/>
    <w:rsid w:val="000D69CB"/>
    <w:rsid w:val="000D6A00"/>
    <w:rsid w:val="000D6AD1"/>
    <w:rsid w:val="000D6C58"/>
    <w:rsid w:val="000D6C60"/>
    <w:rsid w:val="000D6CA0"/>
    <w:rsid w:val="000D749B"/>
    <w:rsid w:val="000D776F"/>
    <w:rsid w:val="000D78ED"/>
    <w:rsid w:val="000D7B91"/>
    <w:rsid w:val="000D7D2B"/>
    <w:rsid w:val="000D7D4E"/>
    <w:rsid w:val="000D7F24"/>
    <w:rsid w:val="000E006D"/>
    <w:rsid w:val="000E0624"/>
    <w:rsid w:val="000E0977"/>
    <w:rsid w:val="000E0FF9"/>
    <w:rsid w:val="000E113A"/>
    <w:rsid w:val="000E1340"/>
    <w:rsid w:val="000E135D"/>
    <w:rsid w:val="000E16EF"/>
    <w:rsid w:val="000E1ED1"/>
    <w:rsid w:val="000E202F"/>
    <w:rsid w:val="000E23E9"/>
    <w:rsid w:val="000E2528"/>
    <w:rsid w:val="000E25B8"/>
    <w:rsid w:val="000E26AF"/>
    <w:rsid w:val="000E2998"/>
    <w:rsid w:val="000E29DF"/>
    <w:rsid w:val="000E2AB8"/>
    <w:rsid w:val="000E2B33"/>
    <w:rsid w:val="000E2BA0"/>
    <w:rsid w:val="000E2D3A"/>
    <w:rsid w:val="000E2DB3"/>
    <w:rsid w:val="000E2E74"/>
    <w:rsid w:val="000E2EF5"/>
    <w:rsid w:val="000E3216"/>
    <w:rsid w:val="000E37A1"/>
    <w:rsid w:val="000E385D"/>
    <w:rsid w:val="000E3F54"/>
    <w:rsid w:val="000E40E1"/>
    <w:rsid w:val="000E44E4"/>
    <w:rsid w:val="000E4506"/>
    <w:rsid w:val="000E46F8"/>
    <w:rsid w:val="000E480A"/>
    <w:rsid w:val="000E4B11"/>
    <w:rsid w:val="000E4D7E"/>
    <w:rsid w:val="000E4E47"/>
    <w:rsid w:val="000E52BF"/>
    <w:rsid w:val="000E5450"/>
    <w:rsid w:val="000E5B8D"/>
    <w:rsid w:val="000E5BCA"/>
    <w:rsid w:val="000E5BE2"/>
    <w:rsid w:val="000E5E45"/>
    <w:rsid w:val="000E5F68"/>
    <w:rsid w:val="000E641F"/>
    <w:rsid w:val="000E64F9"/>
    <w:rsid w:val="000E66DE"/>
    <w:rsid w:val="000E6CC4"/>
    <w:rsid w:val="000E6EFF"/>
    <w:rsid w:val="000E6FD9"/>
    <w:rsid w:val="000E71B7"/>
    <w:rsid w:val="000E71D3"/>
    <w:rsid w:val="000E7559"/>
    <w:rsid w:val="000E75BD"/>
    <w:rsid w:val="000E75C7"/>
    <w:rsid w:val="000E76D2"/>
    <w:rsid w:val="000E782F"/>
    <w:rsid w:val="000E7C63"/>
    <w:rsid w:val="000E7F00"/>
    <w:rsid w:val="000F03D4"/>
    <w:rsid w:val="000F04DA"/>
    <w:rsid w:val="000F0549"/>
    <w:rsid w:val="000F0654"/>
    <w:rsid w:val="000F0B8A"/>
    <w:rsid w:val="000F0CA6"/>
    <w:rsid w:val="000F0F14"/>
    <w:rsid w:val="000F105C"/>
    <w:rsid w:val="000F127B"/>
    <w:rsid w:val="000F13C3"/>
    <w:rsid w:val="000F1A2E"/>
    <w:rsid w:val="000F1C2E"/>
    <w:rsid w:val="000F1C5D"/>
    <w:rsid w:val="000F1CE9"/>
    <w:rsid w:val="000F1D7D"/>
    <w:rsid w:val="000F1ED5"/>
    <w:rsid w:val="000F21C8"/>
    <w:rsid w:val="000F262E"/>
    <w:rsid w:val="000F26E6"/>
    <w:rsid w:val="000F29B6"/>
    <w:rsid w:val="000F2B0D"/>
    <w:rsid w:val="000F2F66"/>
    <w:rsid w:val="000F3231"/>
    <w:rsid w:val="000F32EC"/>
    <w:rsid w:val="000F3A51"/>
    <w:rsid w:val="000F3B21"/>
    <w:rsid w:val="000F3B76"/>
    <w:rsid w:val="000F3E56"/>
    <w:rsid w:val="000F3F73"/>
    <w:rsid w:val="000F4111"/>
    <w:rsid w:val="000F4141"/>
    <w:rsid w:val="000F425A"/>
    <w:rsid w:val="000F46D3"/>
    <w:rsid w:val="000F498A"/>
    <w:rsid w:val="000F4B2B"/>
    <w:rsid w:val="000F4E9D"/>
    <w:rsid w:val="000F51DA"/>
    <w:rsid w:val="000F5847"/>
    <w:rsid w:val="000F5BFD"/>
    <w:rsid w:val="000F5ED1"/>
    <w:rsid w:val="000F6171"/>
    <w:rsid w:val="000F646E"/>
    <w:rsid w:val="000F669B"/>
    <w:rsid w:val="000F6759"/>
    <w:rsid w:val="000F6831"/>
    <w:rsid w:val="000F6FAB"/>
    <w:rsid w:val="000F6FC1"/>
    <w:rsid w:val="000F711C"/>
    <w:rsid w:val="000F7534"/>
    <w:rsid w:val="000F760E"/>
    <w:rsid w:val="000F767C"/>
    <w:rsid w:val="000F79E3"/>
    <w:rsid w:val="000F7A4C"/>
    <w:rsid w:val="000F7C76"/>
    <w:rsid w:val="0010006C"/>
    <w:rsid w:val="00100441"/>
    <w:rsid w:val="00100546"/>
    <w:rsid w:val="00100815"/>
    <w:rsid w:val="001009F5"/>
    <w:rsid w:val="00100A09"/>
    <w:rsid w:val="00100CB0"/>
    <w:rsid w:val="00100D3B"/>
    <w:rsid w:val="00100E5F"/>
    <w:rsid w:val="0010158E"/>
    <w:rsid w:val="00101682"/>
    <w:rsid w:val="0010260E"/>
    <w:rsid w:val="00102619"/>
    <w:rsid w:val="00102A90"/>
    <w:rsid w:val="00102AB2"/>
    <w:rsid w:val="00102BB7"/>
    <w:rsid w:val="00103002"/>
    <w:rsid w:val="00103236"/>
    <w:rsid w:val="001038F4"/>
    <w:rsid w:val="00103B2B"/>
    <w:rsid w:val="00103C70"/>
    <w:rsid w:val="00103EAB"/>
    <w:rsid w:val="001047B0"/>
    <w:rsid w:val="00104C2D"/>
    <w:rsid w:val="00104C5A"/>
    <w:rsid w:val="00104F48"/>
    <w:rsid w:val="0010513D"/>
    <w:rsid w:val="00105203"/>
    <w:rsid w:val="00105206"/>
    <w:rsid w:val="001053BD"/>
    <w:rsid w:val="001054A7"/>
    <w:rsid w:val="0010577B"/>
    <w:rsid w:val="00105785"/>
    <w:rsid w:val="001058B4"/>
    <w:rsid w:val="00105A43"/>
    <w:rsid w:val="00105EFB"/>
    <w:rsid w:val="00105FB6"/>
    <w:rsid w:val="001062CC"/>
    <w:rsid w:val="00106C41"/>
    <w:rsid w:val="00106CE9"/>
    <w:rsid w:val="0010702B"/>
    <w:rsid w:val="00107084"/>
    <w:rsid w:val="00107233"/>
    <w:rsid w:val="00107369"/>
    <w:rsid w:val="0010749B"/>
    <w:rsid w:val="001075B5"/>
    <w:rsid w:val="00107D27"/>
    <w:rsid w:val="00107DAD"/>
    <w:rsid w:val="00107E88"/>
    <w:rsid w:val="00110115"/>
    <w:rsid w:val="00110390"/>
    <w:rsid w:val="00110547"/>
    <w:rsid w:val="00110603"/>
    <w:rsid w:val="001108B6"/>
    <w:rsid w:val="00110A68"/>
    <w:rsid w:val="00110C75"/>
    <w:rsid w:val="00110CA9"/>
    <w:rsid w:val="00110DD1"/>
    <w:rsid w:val="00110EF8"/>
    <w:rsid w:val="0011123D"/>
    <w:rsid w:val="001112FA"/>
    <w:rsid w:val="0011137C"/>
    <w:rsid w:val="001116CF"/>
    <w:rsid w:val="001116E1"/>
    <w:rsid w:val="001117A0"/>
    <w:rsid w:val="00111FC1"/>
    <w:rsid w:val="001123E8"/>
    <w:rsid w:val="0011252E"/>
    <w:rsid w:val="00112763"/>
    <w:rsid w:val="00112796"/>
    <w:rsid w:val="001128BE"/>
    <w:rsid w:val="001129F3"/>
    <w:rsid w:val="00112D90"/>
    <w:rsid w:val="00112E54"/>
    <w:rsid w:val="001130F5"/>
    <w:rsid w:val="0011326F"/>
    <w:rsid w:val="00113648"/>
    <w:rsid w:val="001136B6"/>
    <w:rsid w:val="00113745"/>
    <w:rsid w:val="001137F9"/>
    <w:rsid w:val="001141EE"/>
    <w:rsid w:val="00114290"/>
    <w:rsid w:val="001143AA"/>
    <w:rsid w:val="0011440C"/>
    <w:rsid w:val="0011473D"/>
    <w:rsid w:val="001149A4"/>
    <w:rsid w:val="00114AAF"/>
    <w:rsid w:val="00115021"/>
    <w:rsid w:val="00115094"/>
    <w:rsid w:val="0011564E"/>
    <w:rsid w:val="00115653"/>
    <w:rsid w:val="0011572A"/>
    <w:rsid w:val="00115D5C"/>
    <w:rsid w:val="0011665C"/>
    <w:rsid w:val="00116803"/>
    <w:rsid w:val="001168F8"/>
    <w:rsid w:val="00116A85"/>
    <w:rsid w:val="001174F6"/>
    <w:rsid w:val="001176DB"/>
    <w:rsid w:val="00117963"/>
    <w:rsid w:val="001179F6"/>
    <w:rsid w:val="00117B90"/>
    <w:rsid w:val="00117BC5"/>
    <w:rsid w:val="001200C3"/>
    <w:rsid w:val="0012011D"/>
    <w:rsid w:val="00120243"/>
    <w:rsid w:val="00120755"/>
    <w:rsid w:val="0012093B"/>
    <w:rsid w:val="00120A90"/>
    <w:rsid w:val="00120C1D"/>
    <w:rsid w:val="00120C37"/>
    <w:rsid w:val="00120C9A"/>
    <w:rsid w:val="00120DB2"/>
    <w:rsid w:val="00120F60"/>
    <w:rsid w:val="00120FF3"/>
    <w:rsid w:val="00121430"/>
    <w:rsid w:val="00121466"/>
    <w:rsid w:val="00121520"/>
    <w:rsid w:val="001218AF"/>
    <w:rsid w:val="00121B06"/>
    <w:rsid w:val="00121BA4"/>
    <w:rsid w:val="00121CD3"/>
    <w:rsid w:val="001220B7"/>
    <w:rsid w:val="001221E1"/>
    <w:rsid w:val="00122397"/>
    <w:rsid w:val="001226D4"/>
    <w:rsid w:val="0012277D"/>
    <w:rsid w:val="00122896"/>
    <w:rsid w:val="00122A47"/>
    <w:rsid w:val="00122AC8"/>
    <w:rsid w:val="00122D52"/>
    <w:rsid w:val="00122DEF"/>
    <w:rsid w:val="00122EA8"/>
    <w:rsid w:val="00123087"/>
    <w:rsid w:val="001231A0"/>
    <w:rsid w:val="00123387"/>
    <w:rsid w:val="00123452"/>
    <w:rsid w:val="00123486"/>
    <w:rsid w:val="0012351B"/>
    <w:rsid w:val="001235EE"/>
    <w:rsid w:val="00123E47"/>
    <w:rsid w:val="00123FB7"/>
    <w:rsid w:val="00124196"/>
    <w:rsid w:val="0012420E"/>
    <w:rsid w:val="0012492D"/>
    <w:rsid w:val="001249FF"/>
    <w:rsid w:val="00124B36"/>
    <w:rsid w:val="00124C77"/>
    <w:rsid w:val="00124E8D"/>
    <w:rsid w:val="00124FF8"/>
    <w:rsid w:val="00124FFD"/>
    <w:rsid w:val="00125263"/>
    <w:rsid w:val="001254FE"/>
    <w:rsid w:val="001255A0"/>
    <w:rsid w:val="001257AB"/>
    <w:rsid w:val="0012582E"/>
    <w:rsid w:val="0012586B"/>
    <w:rsid w:val="00125AC7"/>
    <w:rsid w:val="00125AF7"/>
    <w:rsid w:val="00125B8E"/>
    <w:rsid w:val="00125B91"/>
    <w:rsid w:val="00125C83"/>
    <w:rsid w:val="00125D01"/>
    <w:rsid w:val="00125D84"/>
    <w:rsid w:val="00125E91"/>
    <w:rsid w:val="001261BB"/>
    <w:rsid w:val="00126250"/>
    <w:rsid w:val="0012634D"/>
    <w:rsid w:val="001264F4"/>
    <w:rsid w:val="001266F8"/>
    <w:rsid w:val="00126DEE"/>
    <w:rsid w:val="00126FEF"/>
    <w:rsid w:val="00127071"/>
    <w:rsid w:val="001270C1"/>
    <w:rsid w:val="0012716A"/>
    <w:rsid w:val="0012725B"/>
    <w:rsid w:val="00127514"/>
    <w:rsid w:val="001277A7"/>
    <w:rsid w:val="0013013E"/>
    <w:rsid w:val="00130439"/>
    <w:rsid w:val="00130521"/>
    <w:rsid w:val="0013075C"/>
    <w:rsid w:val="00130A40"/>
    <w:rsid w:val="00130B43"/>
    <w:rsid w:val="00130C08"/>
    <w:rsid w:val="00130CE3"/>
    <w:rsid w:val="00130EF7"/>
    <w:rsid w:val="001318E8"/>
    <w:rsid w:val="00131BF0"/>
    <w:rsid w:val="00131C0E"/>
    <w:rsid w:val="00132B0F"/>
    <w:rsid w:val="00133521"/>
    <w:rsid w:val="00133665"/>
    <w:rsid w:val="00133909"/>
    <w:rsid w:val="00133985"/>
    <w:rsid w:val="00133AF4"/>
    <w:rsid w:val="00133CFA"/>
    <w:rsid w:val="00133E2E"/>
    <w:rsid w:val="00133FB3"/>
    <w:rsid w:val="00133FDF"/>
    <w:rsid w:val="001340D1"/>
    <w:rsid w:val="00134111"/>
    <w:rsid w:val="001344F9"/>
    <w:rsid w:val="001345BC"/>
    <w:rsid w:val="00134646"/>
    <w:rsid w:val="001346A0"/>
    <w:rsid w:val="00134A55"/>
    <w:rsid w:val="00134D13"/>
    <w:rsid w:val="0013544C"/>
    <w:rsid w:val="00135697"/>
    <w:rsid w:val="001357D7"/>
    <w:rsid w:val="00135868"/>
    <w:rsid w:val="001359D2"/>
    <w:rsid w:val="001360B1"/>
    <w:rsid w:val="00136228"/>
    <w:rsid w:val="00136685"/>
    <w:rsid w:val="00136831"/>
    <w:rsid w:val="00136AC8"/>
    <w:rsid w:val="00136BF5"/>
    <w:rsid w:val="00136CAF"/>
    <w:rsid w:val="00136FAB"/>
    <w:rsid w:val="001376AF"/>
    <w:rsid w:val="00137750"/>
    <w:rsid w:val="001377BD"/>
    <w:rsid w:val="00137931"/>
    <w:rsid w:val="00137B81"/>
    <w:rsid w:val="00137E02"/>
    <w:rsid w:val="00137F04"/>
    <w:rsid w:val="00140090"/>
    <w:rsid w:val="0014043F"/>
    <w:rsid w:val="001405DA"/>
    <w:rsid w:val="00140710"/>
    <w:rsid w:val="00140724"/>
    <w:rsid w:val="001408E5"/>
    <w:rsid w:val="0014090F"/>
    <w:rsid w:val="00140A3C"/>
    <w:rsid w:val="00140CA0"/>
    <w:rsid w:val="00140DBA"/>
    <w:rsid w:val="001410AE"/>
    <w:rsid w:val="00141247"/>
    <w:rsid w:val="001413DC"/>
    <w:rsid w:val="00141563"/>
    <w:rsid w:val="001418CD"/>
    <w:rsid w:val="00141CCA"/>
    <w:rsid w:val="00141CE9"/>
    <w:rsid w:val="0014202E"/>
    <w:rsid w:val="00142481"/>
    <w:rsid w:val="00142A0B"/>
    <w:rsid w:val="00142A66"/>
    <w:rsid w:val="00142C0C"/>
    <w:rsid w:val="00142FAA"/>
    <w:rsid w:val="00142FB0"/>
    <w:rsid w:val="0014330A"/>
    <w:rsid w:val="001433E9"/>
    <w:rsid w:val="001433FE"/>
    <w:rsid w:val="00143447"/>
    <w:rsid w:val="00143906"/>
    <w:rsid w:val="00143FD4"/>
    <w:rsid w:val="00144E36"/>
    <w:rsid w:val="00144F79"/>
    <w:rsid w:val="001453A1"/>
    <w:rsid w:val="001453BC"/>
    <w:rsid w:val="001457C2"/>
    <w:rsid w:val="001457E0"/>
    <w:rsid w:val="00145DE7"/>
    <w:rsid w:val="0014699E"/>
    <w:rsid w:val="00146BDF"/>
    <w:rsid w:val="00146C64"/>
    <w:rsid w:val="00146F09"/>
    <w:rsid w:val="001470C5"/>
    <w:rsid w:val="001471C2"/>
    <w:rsid w:val="001473B1"/>
    <w:rsid w:val="0014758C"/>
    <w:rsid w:val="001475CB"/>
    <w:rsid w:val="0014760D"/>
    <w:rsid w:val="00147B1F"/>
    <w:rsid w:val="00147E26"/>
    <w:rsid w:val="00150619"/>
    <w:rsid w:val="0015064D"/>
    <w:rsid w:val="00150763"/>
    <w:rsid w:val="00150860"/>
    <w:rsid w:val="001508AD"/>
    <w:rsid w:val="00150C4D"/>
    <w:rsid w:val="00150D1B"/>
    <w:rsid w:val="00150DBB"/>
    <w:rsid w:val="00150DCD"/>
    <w:rsid w:val="00150DD8"/>
    <w:rsid w:val="00150ECF"/>
    <w:rsid w:val="00150F1F"/>
    <w:rsid w:val="00150F3E"/>
    <w:rsid w:val="001511D9"/>
    <w:rsid w:val="0015140B"/>
    <w:rsid w:val="00151CC4"/>
    <w:rsid w:val="00152024"/>
    <w:rsid w:val="0015274C"/>
    <w:rsid w:val="0015277E"/>
    <w:rsid w:val="001528E1"/>
    <w:rsid w:val="001529C5"/>
    <w:rsid w:val="00152B3F"/>
    <w:rsid w:val="00152DFB"/>
    <w:rsid w:val="00152EC5"/>
    <w:rsid w:val="00152F3F"/>
    <w:rsid w:val="00153114"/>
    <w:rsid w:val="001537D3"/>
    <w:rsid w:val="00153C9F"/>
    <w:rsid w:val="00153DDB"/>
    <w:rsid w:val="00153DEA"/>
    <w:rsid w:val="00153E99"/>
    <w:rsid w:val="00154389"/>
    <w:rsid w:val="00154679"/>
    <w:rsid w:val="001546CD"/>
    <w:rsid w:val="001548D9"/>
    <w:rsid w:val="00155121"/>
    <w:rsid w:val="0015601D"/>
    <w:rsid w:val="0015611F"/>
    <w:rsid w:val="00156134"/>
    <w:rsid w:val="00156361"/>
    <w:rsid w:val="001565FC"/>
    <w:rsid w:val="001569B1"/>
    <w:rsid w:val="00156DB0"/>
    <w:rsid w:val="00157265"/>
    <w:rsid w:val="0015794D"/>
    <w:rsid w:val="001579A7"/>
    <w:rsid w:val="00157A95"/>
    <w:rsid w:val="00157E21"/>
    <w:rsid w:val="00157F72"/>
    <w:rsid w:val="001602C0"/>
    <w:rsid w:val="00160826"/>
    <w:rsid w:val="0016096D"/>
    <w:rsid w:val="00160B3E"/>
    <w:rsid w:val="00160B7B"/>
    <w:rsid w:val="00161186"/>
    <w:rsid w:val="0016165E"/>
    <w:rsid w:val="00161983"/>
    <w:rsid w:val="00161F2D"/>
    <w:rsid w:val="0016222A"/>
    <w:rsid w:val="0016233B"/>
    <w:rsid w:val="001627D7"/>
    <w:rsid w:val="00162931"/>
    <w:rsid w:val="00162EAD"/>
    <w:rsid w:val="001630AC"/>
    <w:rsid w:val="00163263"/>
    <w:rsid w:val="00163304"/>
    <w:rsid w:val="0016353B"/>
    <w:rsid w:val="00163A57"/>
    <w:rsid w:val="00163FD5"/>
    <w:rsid w:val="00164314"/>
    <w:rsid w:val="00164602"/>
    <w:rsid w:val="0016494D"/>
    <w:rsid w:val="00164D3A"/>
    <w:rsid w:val="0016500F"/>
    <w:rsid w:val="001652E8"/>
    <w:rsid w:val="00165631"/>
    <w:rsid w:val="001657E9"/>
    <w:rsid w:val="00165B32"/>
    <w:rsid w:val="00165C92"/>
    <w:rsid w:val="00165E9C"/>
    <w:rsid w:val="00166985"/>
    <w:rsid w:val="001671F3"/>
    <w:rsid w:val="00167460"/>
    <w:rsid w:val="001674B9"/>
    <w:rsid w:val="00167524"/>
    <w:rsid w:val="0016766A"/>
    <w:rsid w:val="001678EE"/>
    <w:rsid w:val="00167DAF"/>
    <w:rsid w:val="00167DE1"/>
    <w:rsid w:val="00167E97"/>
    <w:rsid w:val="00167F2D"/>
    <w:rsid w:val="00170007"/>
    <w:rsid w:val="00170133"/>
    <w:rsid w:val="00170302"/>
    <w:rsid w:val="00170900"/>
    <w:rsid w:val="00170C71"/>
    <w:rsid w:val="00170F44"/>
    <w:rsid w:val="00171069"/>
    <w:rsid w:val="00171174"/>
    <w:rsid w:val="00171893"/>
    <w:rsid w:val="001718BC"/>
    <w:rsid w:val="001718E8"/>
    <w:rsid w:val="001719CD"/>
    <w:rsid w:val="00171A48"/>
    <w:rsid w:val="00171B39"/>
    <w:rsid w:val="00171BD9"/>
    <w:rsid w:val="00171DA5"/>
    <w:rsid w:val="00171EFF"/>
    <w:rsid w:val="00172005"/>
    <w:rsid w:val="00172291"/>
    <w:rsid w:val="00172405"/>
    <w:rsid w:val="001727C7"/>
    <w:rsid w:val="00172AF6"/>
    <w:rsid w:val="00172BF6"/>
    <w:rsid w:val="00172C0C"/>
    <w:rsid w:val="00172F29"/>
    <w:rsid w:val="001730B4"/>
    <w:rsid w:val="0017321F"/>
    <w:rsid w:val="00173340"/>
    <w:rsid w:val="00173C7D"/>
    <w:rsid w:val="0017452A"/>
    <w:rsid w:val="001745CA"/>
    <w:rsid w:val="001747C5"/>
    <w:rsid w:val="00174C9E"/>
    <w:rsid w:val="001751A1"/>
    <w:rsid w:val="00175308"/>
    <w:rsid w:val="00175604"/>
    <w:rsid w:val="0017563F"/>
    <w:rsid w:val="00175785"/>
    <w:rsid w:val="0017578B"/>
    <w:rsid w:val="001758C4"/>
    <w:rsid w:val="00175F57"/>
    <w:rsid w:val="001760AF"/>
    <w:rsid w:val="00176216"/>
    <w:rsid w:val="0017626E"/>
    <w:rsid w:val="001765B2"/>
    <w:rsid w:val="0017664D"/>
    <w:rsid w:val="0017667E"/>
    <w:rsid w:val="00176B64"/>
    <w:rsid w:val="00176DFC"/>
    <w:rsid w:val="00176F4B"/>
    <w:rsid w:val="00177433"/>
    <w:rsid w:val="0017795C"/>
    <w:rsid w:val="001779C0"/>
    <w:rsid w:val="00177AC5"/>
    <w:rsid w:val="00177B5F"/>
    <w:rsid w:val="00177C34"/>
    <w:rsid w:val="00177E4E"/>
    <w:rsid w:val="001804A3"/>
    <w:rsid w:val="0018056F"/>
    <w:rsid w:val="00180656"/>
    <w:rsid w:val="001808CD"/>
    <w:rsid w:val="00180B95"/>
    <w:rsid w:val="00180D10"/>
    <w:rsid w:val="00180EDC"/>
    <w:rsid w:val="00181029"/>
    <w:rsid w:val="0018107F"/>
    <w:rsid w:val="001810CE"/>
    <w:rsid w:val="001810E3"/>
    <w:rsid w:val="00181196"/>
    <w:rsid w:val="001814FC"/>
    <w:rsid w:val="0018150C"/>
    <w:rsid w:val="0018193A"/>
    <w:rsid w:val="00181958"/>
    <w:rsid w:val="001819DB"/>
    <w:rsid w:val="00181B91"/>
    <w:rsid w:val="00182C6E"/>
    <w:rsid w:val="00182C8A"/>
    <w:rsid w:val="001833E6"/>
    <w:rsid w:val="00183506"/>
    <w:rsid w:val="00183516"/>
    <w:rsid w:val="00183613"/>
    <w:rsid w:val="0018366E"/>
    <w:rsid w:val="00183BB5"/>
    <w:rsid w:val="00184018"/>
    <w:rsid w:val="00184222"/>
    <w:rsid w:val="00184323"/>
    <w:rsid w:val="0018463C"/>
    <w:rsid w:val="001846BF"/>
    <w:rsid w:val="00184932"/>
    <w:rsid w:val="00184A5B"/>
    <w:rsid w:val="00184AFF"/>
    <w:rsid w:val="00184B3E"/>
    <w:rsid w:val="00184E79"/>
    <w:rsid w:val="00184EE0"/>
    <w:rsid w:val="00185212"/>
    <w:rsid w:val="00185249"/>
    <w:rsid w:val="0018560C"/>
    <w:rsid w:val="00185660"/>
    <w:rsid w:val="00185732"/>
    <w:rsid w:val="00185752"/>
    <w:rsid w:val="001859A8"/>
    <w:rsid w:val="00185D56"/>
    <w:rsid w:val="00185DED"/>
    <w:rsid w:val="00185E34"/>
    <w:rsid w:val="001860AE"/>
    <w:rsid w:val="001862F6"/>
    <w:rsid w:val="00186C28"/>
    <w:rsid w:val="00187207"/>
    <w:rsid w:val="00187685"/>
    <w:rsid w:val="00187CE6"/>
    <w:rsid w:val="00187E93"/>
    <w:rsid w:val="0019000A"/>
    <w:rsid w:val="00190110"/>
    <w:rsid w:val="00190224"/>
    <w:rsid w:val="0019053E"/>
    <w:rsid w:val="001909D4"/>
    <w:rsid w:val="00190A4B"/>
    <w:rsid w:val="00190D99"/>
    <w:rsid w:val="0019175B"/>
    <w:rsid w:val="00191A17"/>
    <w:rsid w:val="00191B84"/>
    <w:rsid w:val="00191C04"/>
    <w:rsid w:val="00191E78"/>
    <w:rsid w:val="00191EE2"/>
    <w:rsid w:val="00191F67"/>
    <w:rsid w:val="001924F1"/>
    <w:rsid w:val="001925C0"/>
    <w:rsid w:val="001925FB"/>
    <w:rsid w:val="00192A02"/>
    <w:rsid w:val="00192B72"/>
    <w:rsid w:val="00193001"/>
    <w:rsid w:val="00193063"/>
    <w:rsid w:val="00193952"/>
    <w:rsid w:val="00193D6D"/>
    <w:rsid w:val="00193E6B"/>
    <w:rsid w:val="001942F3"/>
    <w:rsid w:val="0019433F"/>
    <w:rsid w:val="00194381"/>
    <w:rsid w:val="00194441"/>
    <w:rsid w:val="00194BFF"/>
    <w:rsid w:val="00194F2F"/>
    <w:rsid w:val="00194F55"/>
    <w:rsid w:val="00194F85"/>
    <w:rsid w:val="00194FB2"/>
    <w:rsid w:val="0019516C"/>
    <w:rsid w:val="00195687"/>
    <w:rsid w:val="001957C9"/>
    <w:rsid w:val="00195844"/>
    <w:rsid w:val="00195C29"/>
    <w:rsid w:val="00195EFD"/>
    <w:rsid w:val="001960F6"/>
    <w:rsid w:val="001962AD"/>
    <w:rsid w:val="001969DC"/>
    <w:rsid w:val="001969ED"/>
    <w:rsid w:val="00196A6E"/>
    <w:rsid w:val="00196E6B"/>
    <w:rsid w:val="00196F6D"/>
    <w:rsid w:val="00197016"/>
    <w:rsid w:val="0019707B"/>
    <w:rsid w:val="0019708A"/>
    <w:rsid w:val="00197184"/>
    <w:rsid w:val="001972AE"/>
    <w:rsid w:val="0019732B"/>
    <w:rsid w:val="0019739C"/>
    <w:rsid w:val="001975C1"/>
    <w:rsid w:val="001975CB"/>
    <w:rsid w:val="00197616"/>
    <w:rsid w:val="00197814"/>
    <w:rsid w:val="00197966"/>
    <w:rsid w:val="00197E14"/>
    <w:rsid w:val="00197F3E"/>
    <w:rsid w:val="00197FB1"/>
    <w:rsid w:val="001A0445"/>
    <w:rsid w:val="001A0689"/>
    <w:rsid w:val="001A07B2"/>
    <w:rsid w:val="001A0924"/>
    <w:rsid w:val="001A0B46"/>
    <w:rsid w:val="001A0FB7"/>
    <w:rsid w:val="001A125F"/>
    <w:rsid w:val="001A12F5"/>
    <w:rsid w:val="001A139E"/>
    <w:rsid w:val="001A156D"/>
    <w:rsid w:val="001A16B8"/>
    <w:rsid w:val="001A1751"/>
    <w:rsid w:val="001A1DE3"/>
    <w:rsid w:val="001A1FD2"/>
    <w:rsid w:val="001A21E0"/>
    <w:rsid w:val="001A2268"/>
    <w:rsid w:val="001A27C0"/>
    <w:rsid w:val="001A294B"/>
    <w:rsid w:val="001A2CE9"/>
    <w:rsid w:val="001A2E06"/>
    <w:rsid w:val="001A33B1"/>
    <w:rsid w:val="001A33C2"/>
    <w:rsid w:val="001A35F7"/>
    <w:rsid w:val="001A35FD"/>
    <w:rsid w:val="001A37EF"/>
    <w:rsid w:val="001A3938"/>
    <w:rsid w:val="001A399E"/>
    <w:rsid w:val="001A40BB"/>
    <w:rsid w:val="001A4169"/>
    <w:rsid w:val="001A4A13"/>
    <w:rsid w:val="001A4E63"/>
    <w:rsid w:val="001A5141"/>
    <w:rsid w:val="001A5169"/>
    <w:rsid w:val="001A556E"/>
    <w:rsid w:val="001A55A6"/>
    <w:rsid w:val="001A57E7"/>
    <w:rsid w:val="001A57E9"/>
    <w:rsid w:val="001A59DE"/>
    <w:rsid w:val="001A5C54"/>
    <w:rsid w:val="001A5D02"/>
    <w:rsid w:val="001A6259"/>
    <w:rsid w:val="001A6646"/>
    <w:rsid w:val="001A6697"/>
    <w:rsid w:val="001A671D"/>
    <w:rsid w:val="001A6A4C"/>
    <w:rsid w:val="001A6A7B"/>
    <w:rsid w:val="001A6AD2"/>
    <w:rsid w:val="001A7004"/>
    <w:rsid w:val="001A7159"/>
    <w:rsid w:val="001A760D"/>
    <w:rsid w:val="001A76C8"/>
    <w:rsid w:val="001A76CE"/>
    <w:rsid w:val="001A7865"/>
    <w:rsid w:val="001A7949"/>
    <w:rsid w:val="001A7986"/>
    <w:rsid w:val="001A79BA"/>
    <w:rsid w:val="001A7A1E"/>
    <w:rsid w:val="001A7E54"/>
    <w:rsid w:val="001B0042"/>
    <w:rsid w:val="001B01D6"/>
    <w:rsid w:val="001B02E8"/>
    <w:rsid w:val="001B030B"/>
    <w:rsid w:val="001B08AB"/>
    <w:rsid w:val="001B0972"/>
    <w:rsid w:val="001B0AF8"/>
    <w:rsid w:val="001B0C2D"/>
    <w:rsid w:val="001B0DE9"/>
    <w:rsid w:val="001B1027"/>
    <w:rsid w:val="001B10FD"/>
    <w:rsid w:val="001B1147"/>
    <w:rsid w:val="001B1167"/>
    <w:rsid w:val="001B11FF"/>
    <w:rsid w:val="001B17E5"/>
    <w:rsid w:val="001B1BC7"/>
    <w:rsid w:val="001B1C23"/>
    <w:rsid w:val="001B1C80"/>
    <w:rsid w:val="001B1D1E"/>
    <w:rsid w:val="001B2194"/>
    <w:rsid w:val="001B23F3"/>
    <w:rsid w:val="001B24F7"/>
    <w:rsid w:val="001B25CE"/>
    <w:rsid w:val="001B3192"/>
    <w:rsid w:val="001B31A5"/>
    <w:rsid w:val="001B32A9"/>
    <w:rsid w:val="001B333C"/>
    <w:rsid w:val="001B38DB"/>
    <w:rsid w:val="001B3B6F"/>
    <w:rsid w:val="001B3D19"/>
    <w:rsid w:val="001B3DD2"/>
    <w:rsid w:val="001B3E6A"/>
    <w:rsid w:val="001B3FEA"/>
    <w:rsid w:val="001B45C2"/>
    <w:rsid w:val="001B4A28"/>
    <w:rsid w:val="001B4EC8"/>
    <w:rsid w:val="001B4FA2"/>
    <w:rsid w:val="001B4FB1"/>
    <w:rsid w:val="001B5140"/>
    <w:rsid w:val="001B51AA"/>
    <w:rsid w:val="001B51F6"/>
    <w:rsid w:val="001B5206"/>
    <w:rsid w:val="001B5420"/>
    <w:rsid w:val="001B5479"/>
    <w:rsid w:val="001B5559"/>
    <w:rsid w:val="001B5943"/>
    <w:rsid w:val="001B5C17"/>
    <w:rsid w:val="001B5C23"/>
    <w:rsid w:val="001B5E77"/>
    <w:rsid w:val="001B64AA"/>
    <w:rsid w:val="001B64B4"/>
    <w:rsid w:val="001B6713"/>
    <w:rsid w:val="001B675F"/>
    <w:rsid w:val="001B6814"/>
    <w:rsid w:val="001B6B13"/>
    <w:rsid w:val="001B6BA8"/>
    <w:rsid w:val="001B6C82"/>
    <w:rsid w:val="001B6CF2"/>
    <w:rsid w:val="001B6E34"/>
    <w:rsid w:val="001B6E9C"/>
    <w:rsid w:val="001B71F4"/>
    <w:rsid w:val="001B7299"/>
    <w:rsid w:val="001B7370"/>
    <w:rsid w:val="001B74EB"/>
    <w:rsid w:val="001B76A9"/>
    <w:rsid w:val="001B7825"/>
    <w:rsid w:val="001B7BEA"/>
    <w:rsid w:val="001B7E02"/>
    <w:rsid w:val="001C0671"/>
    <w:rsid w:val="001C0A61"/>
    <w:rsid w:val="001C0C1E"/>
    <w:rsid w:val="001C0D17"/>
    <w:rsid w:val="001C0EB7"/>
    <w:rsid w:val="001C1079"/>
    <w:rsid w:val="001C12E7"/>
    <w:rsid w:val="001C159F"/>
    <w:rsid w:val="001C19C9"/>
    <w:rsid w:val="001C1AEE"/>
    <w:rsid w:val="001C1CF0"/>
    <w:rsid w:val="001C1FE4"/>
    <w:rsid w:val="001C249A"/>
    <w:rsid w:val="001C2A1F"/>
    <w:rsid w:val="001C3146"/>
    <w:rsid w:val="001C326F"/>
    <w:rsid w:val="001C3BFF"/>
    <w:rsid w:val="001C4211"/>
    <w:rsid w:val="001C447E"/>
    <w:rsid w:val="001C4567"/>
    <w:rsid w:val="001C48E4"/>
    <w:rsid w:val="001C49A1"/>
    <w:rsid w:val="001C4A1B"/>
    <w:rsid w:val="001C4F26"/>
    <w:rsid w:val="001C5742"/>
    <w:rsid w:val="001C582F"/>
    <w:rsid w:val="001C59D1"/>
    <w:rsid w:val="001C5AD6"/>
    <w:rsid w:val="001C5B9A"/>
    <w:rsid w:val="001C5DC1"/>
    <w:rsid w:val="001C6245"/>
    <w:rsid w:val="001C6467"/>
    <w:rsid w:val="001C6599"/>
    <w:rsid w:val="001C663A"/>
    <w:rsid w:val="001C67BF"/>
    <w:rsid w:val="001C6D5D"/>
    <w:rsid w:val="001C6F0E"/>
    <w:rsid w:val="001C71B6"/>
    <w:rsid w:val="001C7486"/>
    <w:rsid w:val="001C74B1"/>
    <w:rsid w:val="001C75FD"/>
    <w:rsid w:val="001C7ACA"/>
    <w:rsid w:val="001C7B9F"/>
    <w:rsid w:val="001C7CFB"/>
    <w:rsid w:val="001D020A"/>
    <w:rsid w:val="001D03D1"/>
    <w:rsid w:val="001D03E1"/>
    <w:rsid w:val="001D0549"/>
    <w:rsid w:val="001D05B9"/>
    <w:rsid w:val="001D0C26"/>
    <w:rsid w:val="001D0F86"/>
    <w:rsid w:val="001D116E"/>
    <w:rsid w:val="001D1371"/>
    <w:rsid w:val="001D162E"/>
    <w:rsid w:val="001D1BA5"/>
    <w:rsid w:val="001D21B2"/>
    <w:rsid w:val="001D21D5"/>
    <w:rsid w:val="001D228D"/>
    <w:rsid w:val="001D22AC"/>
    <w:rsid w:val="001D28F4"/>
    <w:rsid w:val="001D2A35"/>
    <w:rsid w:val="001D2B2E"/>
    <w:rsid w:val="001D2CFA"/>
    <w:rsid w:val="001D2F49"/>
    <w:rsid w:val="001D31AB"/>
    <w:rsid w:val="001D335B"/>
    <w:rsid w:val="001D371F"/>
    <w:rsid w:val="001D386A"/>
    <w:rsid w:val="001D3992"/>
    <w:rsid w:val="001D39FF"/>
    <w:rsid w:val="001D3B70"/>
    <w:rsid w:val="001D3BC8"/>
    <w:rsid w:val="001D3C1A"/>
    <w:rsid w:val="001D3FAF"/>
    <w:rsid w:val="001D40DD"/>
    <w:rsid w:val="001D416D"/>
    <w:rsid w:val="001D4210"/>
    <w:rsid w:val="001D4471"/>
    <w:rsid w:val="001D47DF"/>
    <w:rsid w:val="001D4B6D"/>
    <w:rsid w:val="001D4C6A"/>
    <w:rsid w:val="001D4EAC"/>
    <w:rsid w:val="001D4EE0"/>
    <w:rsid w:val="001D5089"/>
    <w:rsid w:val="001D5350"/>
    <w:rsid w:val="001D54F8"/>
    <w:rsid w:val="001D5681"/>
    <w:rsid w:val="001D57AE"/>
    <w:rsid w:val="001D58A0"/>
    <w:rsid w:val="001D5970"/>
    <w:rsid w:val="001D5DD8"/>
    <w:rsid w:val="001D5E4D"/>
    <w:rsid w:val="001D69D7"/>
    <w:rsid w:val="001D75CD"/>
    <w:rsid w:val="001D7953"/>
    <w:rsid w:val="001E010A"/>
    <w:rsid w:val="001E05A5"/>
    <w:rsid w:val="001E063E"/>
    <w:rsid w:val="001E0844"/>
    <w:rsid w:val="001E0A5E"/>
    <w:rsid w:val="001E0C8B"/>
    <w:rsid w:val="001E12FC"/>
    <w:rsid w:val="001E138C"/>
    <w:rsid w:val="001E18CD"/>
    <w:rsid w:val="001E2268"/>
    <w:rsid w:val="001E237C"/>
    <w:rsid w:val="001E23F6"/>
    <w:rsid w:val="001E24E8"/>
    <w:rsid w:val="001E25B5"/>
    <w:rsid w:val="001E2940"/>
    <w:rsid w:val="001E2A79"/>
    <w:rsid w:val="001E2AEE"/>
    <w:rsid w:val="001E2C90"/>
    <w:rsid w:val="001E2EE2"/>
    <w:rsid w:val="001E2F99"/>
    <w:rsid w:val="001E3054"/>
    <w:rsid w:val="001E3178"/>
    <w:rsid w:val="001E3370"/>
    <w:rsid w:val="001E3C06"/>
    <w:rsid w:val="001E4176"/>
    <w:rsid w:val="001E4AA5"/>
    <w:rsid w:val="001E4E4D"/>
    <w:rsid w:val="001E4E8D"/>
    <w:rsid w:val="001E4F3C"/>
    <w:rsid w:val="001E4FB4"/>
    <w:rsid w:val="001E4FE1"/>
    <w:rsid w:val="001E5056"/>
    <w:rsid w:val="001E5076"/>
    <w:rsid w:val="001E50B9"/>
    <w:rsid w:val="001E535D"/>
    <w:rsid w:val="001E5474"/>
    <w:rsid w:val="001E553C"/>
    <w:rsid w:val="001E5771"/>
    <w:rsid w:val="001E5B54"/>
    <w:rsid w:val="001E5BF7"/>
    <w:rsid w:val="001E5D4C"/>
    <w:rsid w:val="001E5F95"/>
    <w:rsid w:val="001E6442"/>
    <w:rsid w:val="001E665A"/>
    <w:rsid w:val="001E66D7"/>
    <w:rsid w:val="001E6943"/>
    <w:rsid w:val="001E6C03"/>
    <w:rsid w:val="001E6F3E"/>
    <w:rsid w:val="001E6FD1"/>
    <w:rsid w:val="001E7725"/>
    <w:rsid w:val="001E7B6A"/>
    <w:rsid w:val="001E7B9C"/>
    <w:rsid w:val="001E7CBF"/>
    <w:rsid w:val="001E7D38"/>
    <w:rsid w:val="001E7F70"/>
    <w:rsid w:val="001F018F"/>
    <w:rsid w:val="001F094B"/>
    <w:rsid w:val="001F0A6A"/>
    <w:rsid w:val="001F0B1C"/>
    <w:rsid w:val="001F0D4D"/>
    <w:rsid w:val="001F113F"/>
    <w:rsid w:val="001F1208"/>
    <w:rsid w:val="001F120B"/>
    <w:rsid w:val="001F1537"/>
    <w:rsid w:val="001F155A"/>
    <w:rsid w:val="001F16FD"/>
    <w:rsid w:val="001F19AF"/>
    <w:rsid w:val="001F1BA1"/>
    <w:rsid w:val="001F1BDC"/>
    <w:rsid w:val="001F1F4B"/>
    <w:rsid w:val="001F2103"/>
    <w:rsid w:val="001F21F3"/>
    <w:rsid w:val="001F2442"/>
    <w:rsid w:val="001F2486"/>
    <w:rsid w:val="001F2AF3"/>
    <w:rsid w:val="001F2DA6"/>
    <w:rsid w:val="001F2F87"/>
    <w:rsid w:val="001F3578"/>
    <w:rsid w:val="001F381E"/>
    <w:rsid w:val="001F3A4C"/>
    <w:rsid w:val="001F3AF6"/>
    <w:rsid w:val="001F3CD5"/>
    <w:rsid w:val="001F3D3C"/>
    <w:rsid w:val="001F3EB5"/>
    <w:rsid w:val="001F3EF1"/>
    <w:rsid w:val="001F4202"/>
    <w:rsid w:val="001F4208"/>
    <w:rsid w:val="001F4319"/>
    <w:rsid w:val="001F478C"/>
    <w:rsid w:val="001F49F6"/>
    <w:rsid w:val="001F4DDA"/>
    <w:rsid w:val="001F4EE0"/>
    <w:rsid w:val="001F5230"/>
    <w:rsid w:val="001F5296"/>
    <w:rsid w:val="001F52DD"/>
    <w:rsid w:val="001F5546"/>
    <w:rsid w:val="001F5647"/>
    <w:rsid w:val="001F5649"/>
    <w:rsid w:val="001F56EF"/>
    <w:rsid w:val="001F58C7"/>
    <w:rsid w:val="001F58FA"/>
    <w:rsid w:val="001F5CF4"/>
    <w:rsid w:val="001F5D1F"/>
    <w:rsid w:val="001F5D78"/>
    <w:rsid w:val="001F6346"/>
    <w:rsid w:val="001F64BD"/>
    <w:rsid w:val="001F6A47"/>
    <w:rsid w:val="001F6C29"/>
    <w:rsid w:val="001F6CF3"/>
    <w:rsid w:val="001F703B"/>
    <w:rsid w:val="001F75C9"/>
    <w:rsid w:val="001F78A0"/>
    <w:rsid w:val="001F7ABA"/>
    <w:rsid w:val="001F7B1D"/>
    <w:rsid w:val="001F7DBE"/>
    <w:rsid w:val="001F7FA7"/>
    <w:rsid w:val="00200360"/>
    <w:rsid w:val="002005DF"/>
    <w:rsid w:val="00200624"/>
    <w:rsid w:val="00200640"/>
    <w:rsid w:val="002006EF"/>
    <w:rsid w:val="0020099E"/>
    <w:rsid w:val="00200DDF"/>
    <w:rsid w:val="002011F0"/>
    <w:rsid w:val="002013D6"/>
    <w:rsid w:val="0020150D"/>
    <w:rsid w:val="0020169B"/>
    <w:rsid w:val="00201749"/>
    <w:rsid w:val="002019D9"/>
    <w:rsid w:val="002019E0"/>
    <w:rsid w:val="00201BD8"/>
    <w:rsid w:val="002021C6"/>
    <w:rsid w:val="00202571"/>
    <w:rsid w:val="00202575"/>
    <w:rsid w:val="0020268B"/>
    <w:rsid w:val="00202750"/>
    <w:rsid w:val="00202776"/>
    <w:rsid w:val="0020285A"/>
    <w:rsid w:val="00202F96"/>
    <w:rsid w:val="00203097"/>
    <w:rsid w:val="002031D1"/>
    <w:rsid w:val="002032E4"/>
    <w:rsid w:val="00203BF2"/>
    <w:rsid w:val="00203E32"/>
    <w:rsid w:val="0020402F"/>
    <w:rsid w:val="002042AB"/>
    <w:rsid w:val="00204302"/>
    <w:rsid w:val="002044DF"/>
    <w:rsid w:val="00204B75"/>
    <w:rsid w:val="00204D96"/>
    <w:rsid w:val="00204FCA"/>
    <w:rsid w:val="002050FC"/>
    <w:rsid w:val="00205448"/>
    <w:rsid w:val="0020548A"/>
    <w:rsid w:val="00205837"/>
    <w:rsid w:val="002059FE"/>
    <w:rsid w:val="00205B64"/>
    <w:rsid w:val="00205BA9"/>
    <w:rsid w:val="0020605C"/>
    <w:rsid w:val="002061B4"/>
    <w:rsid w:val="0020625E"/>
    <w:rsid w:val="00206511"/>
    <w:rsid w:val="002065D0"/>
    <w:rsid w:val="0020680F"/>
    <w:rsid w:val="00206917"/>
    <w:rsid w:val="002069C9"/>
    <w:rsid w:val="0020701C"/>
    <w:rsid w:val="00207250"/>
    <w:rsid w:val="002074E7"/>
    <w:rsid w:val="002076FE"/>
    <w:rsid w:val="00207934"/>
    <w:rsid w:val="00207B4D"/>
    <w:rsid w:val="002102EC"/>
    <w:rsid w:val="00210614"/>
    <w:rsid w:val="00210B19"/>
    <w:rsid w:val="00210C98"/>
    <w:rsid w:val="00211139"/>
    <w:rsid w:val="002113FE"/>
    <w:rsid w:val="00211817"/>
    <w:rsid w:val="00211C42"/>
    <w:rsid w:val="00212000"/>
    <w:rsid w:val="0021220D"/>
    <w:rsid w:val="00212242"/>
    <w:rsid w:val="00212625"/>
    <w:rsid w:val="002128D8"/>
    <w:rsid w:val="00212960"/>
    <w:rsid w:val="00212BBD"/>
    <w:rsid w:val="00212C31"/>
    <w:rsid w:val="00212FA6"/>
    <w:rsid w:val="0021319B"/>
    <w:rsid w:val="0021337D"/>
    <w:rsid w:val="0021348B"/>
    <w:rsid w:val="0021376D"/>
    <w:rsid w:val="002138AB"/>
    <w:rsid w:val="00213C05"/>
    <w:rsid w:val="00214644"/>
    <w:rsid w:val="00214704"/>
    <w:rsid w:val="00214798"/>
    <w:rsid w:val="002149B2"/>
    <w:rsid w:val="00214A42"/>
    <w:rsid w:val="00214C0A"/>
    <w:rsid w:val="00214C97"/>
    <w:rsid w:val="00214D4F"/>
    <w:rsid w:val="00214F59"/>
    <w:rsid w:val="002153E9"/>
    <w:rsid w:val="002153F1"/>
    <w:rsid w:val="0021580C"/>
    <w:rsid w:val="00215B3A"/>
    <w:rsid w:val="00215BBA"/>
    <w:rsid w:val="00215CC4"/>
    <w:rsid w:val="0021674D"/>
    <w:rsid w:val="00216A06"/>
    <w:rsid w:val="00216A4E"/>
    <w:rsid w:val="00216C44"/>
    <w:rsid w:val="00216D45"/>
    <w:rsid w:val="00216EEE"/>
    <w:rsid w:val="00216F1B"/>
    <w:rsid w:val="002171FA"/>
    <w:rsid w:val="0021768C"/>
    <w:rsid w:val="00217884"/>
    <w:rsid w:val="00217AEB"/>
    <w:rsid w:val="00217BC7"/>
    <w:rsid w:val="00217BCF"/>
    <w:rsid w:val="00217F42"/>
    <w:rsid w:val="00220002"/>
    <w:rsid w:val="002201BE"/>
    <w:rsid w:val="002201D4"/>
    <w:rsid w:val="002202B1"/>
    <w:rsid w:val="002202C0"/>
    <w:rsid w:val="0022064E"/>
    <w:rsid w:val="00220AEA"/>
    <w:rsid w:val="00220E4D"/>
    <w:rsid w:val="00220E6B"/>
    <w:rsid w:val="00220FDE"/>
    <w:rsid w:val="0022162F"/>
    <w:rsid w:val="00221CF0"/>
    <w:rsid w:val="00221DA9"/>
    <w:rsid w:val="00221DE0"/>
    <w:rsid w:val="002221C3"/>
    <w:rsid w:val="0022227F"/>
    <w:rsid w:val="00222421"/>
    <w:rsid w:val="00222499"/>
    <w:rsid w:val="00222577"/>
    <w:rsid w:val="002225A3"/>
    <w:rsid w:val="00222832"/>
    <w:rsid w:val="00222E99"/>
    <w:rsid w:val="00222FDF"/>
    <w:rsid w:val="0022367B"/>
    <w:rsid w:val="00223926"/>
    <w:rsid w:val="00223BB7"/>
    <w:rsid w:val="00223CC5"/>
    <w:rsid w:val="00223F44"/>
    <w:rsid w:val="00224948"/>
    <w:rsid w:val="002249B6"/>
    <w:rsid w:val="00224FFE"/>
    <w:rsid w:val="0022540A"/>
    <w:rsid w:val="0022552A"/>
    <w:rsid w:val="0022553D"/>
    <w:rsid w:val="0022599A"/>
    <w:rsid w:val="00225A1D"/>
    <w:rsid w:val="00225C28"/>
    <w:rsid w:val="00226090"/>
    <w:rsid w:val="0022611B"/>
    <w:rsid w:val="002267F9"/>
    <w:rsid w:val="00226D42"/>
    <w:rsid w:val="00226E1D"/>
    <w:rsid w:val="00226F4D"/>
    <w:rsid w:val="00226FE7"/>
    <w:rsid w:val="00227087"/>
    <w:rsid w:val="002273B3"/>
    <w:rsid w:val="0022742A"/>
    <w:rsid w:val="00227498"/>
    <w:rsid w:val="002274F5"/>
    <w:rsid w:val="00227C92"/>
    <w:rsid w:val="00227CFC"/>
    <w:rsid w:val="00227E25"/>
    <w:rsid w:val="00230002"/>
    <w:rsid w:val="00230466"/>
    <w:rsid w:val="00230B8F"/>
    <w:rsid w:val="00230BE8"/>
    <w:rsid w:val="00230E5B"/>
    <w:rsid w:val="00231123"/>
    <w:rsid w:val="00231385"/>
    <w:rsid w:val="00231A35"/>
    <w:rsid w:val="00231A38"/>
    <w:rsid w:val="00231AA6"/>
    <w:rsid w:val="00231BBF"/>
    <w:rsid w:val="00231E60"/>
    <w:rsid w:val="00231E85"/>
    <w:rsid w:val="00232123"/>
    <w:rsid w:val="0023239A"/>
    <w:rsid w:val="0023250D"/>
    <w:rsid w:val="00232A33"/>
    <w:rsid w:val="00232A3A"/>
    <w:rsid w:val="0023330D"/>
    <w:rsid w:val="00233461"/>
    <w:rsid w:val="0023366C"/>
    <w:rsid w:val="002336DC"/>
    <w:rsid w:val="00233704"/>
    <w:rsid w:val="0023373B"/>
    <w:rsid w:val="00233A21"/>
    <w:rsid w:val="00233BA8"/>
    <w:rsid w:val="00233C79"/>
    <w:rsid w:val="00234210"/>
    <w:rsid w:val="00234289"/>
    <w:rsid w:val="0023433D"/>
    <w:rsid w:val="002346A0"/>
    <w:rsid w:val="002349AE"/>
    <w:rsid w:val="00234C2B"/>
    <w:rsid w:val="00234CE8"/>
    <w:rsid w:val="00234CFF"/>
    <w:rsid w:val="00234D05"/>
    <w:rsid w:val="00234E89"/>
    <w:rsid w:val="00235526"/>
    <w:rsid w:val="00235A14"/>
    <w:rsid w:val="00235AA9"/>
    <w:rsid w:val="00235B14"/>
    <w:rsid w:val="00235CB9"/>
    <w:rsid w:val="002363AE"/>
    <w:rsid w:val="00236845"/>
    <w:rsid w:val="00236A17"/>
    <w:rsid w:val="00236B37"/>
    <w:rsid w:val="00236B7B"/>
    <w:rsid w:val="00236E27"/>
    <w:rsid w:val="00236EBA"/>
    <w:rsid w:val="0023723D"/>
    <w:rsid w:val="002375D9"/>
    <w:rsid w:val="00237971"/>
    <w:rsid w:val="00237EFF"/>
    <w:rsid w:val="00237F03"/>
    <w:rsid w:val="00237F2F"/>
    <w:rsid w:val="0024002B"/>
    <w:rsid w:val="00240737"/>
    <w:rsid w:val="00240846"/>
    <w:rsid w:val="00240EC2"/>
    <w:rsid w:val="00241190"/>
    <w:rsid w:val="00241289"/>
    <w:rsid w:val="00241358"/>
    <w:rsid w:val="0024137B"/>
    <w:rsid w:val="0024191D"/>
    <w:rsid w:val="00241AE0"/>
    <w:rsid w:val="00241D62"/>
    <w:rsid w:val="0024211D"/>
    <w:rsid w:val="002423C3"/>
    <w:rsid w:val="002427C5"/>
    <w:rsid w:val="002429D0"/>
    <w:rsid w:val="00242C90"/>
    <w:rsid w:val="00242F72"/>
    <w:rsid w:val="002431B3"/>
    <w:rsid w:val="002431F1"/>
    <w:rsid w:val="0024325F"/>
    <w:rsid w:val="0024327C"/>
    <w:rsid w:val="00243360"/>
    <w:rsid w:val="002433C5"/>
    <w:rsid w:val="00243649"/>
    <w:rsid w:val="00243988"/>
    <w:rsid w:val="00244090"/>
    <w:rsid w:val="00244397"/>
    <w:rsid w:val="0024462B"/>
    <w:rsid w:val="002449EA"/>
    <w:rsid w:val="00244A12"/>
    <w:rsid w:val="00244E33"/>
    <w:rsid w:val="00244F94"/>
    <w:rsid w:val="00245103"/>
    <w:rsid w:val="0024553B"/>
    <w:rsid w:val="002456FC"/>
    <w:rsid w:val="00245927"/>
    <w:rsid w:val="00245AC1"/>
    <w:rsid w:val="00245BEE"/>
    <w:rsid w:val="00245FCF"/>
    <w:rsid w:val="0024643F"/>
    <w:rsid w:val="0024654B"/>
    <w:rsid w:val="002465DA"/>
    <w:rsid w:val="00246848"/>
    <w:rsid w:val="00246AD6"/>
    <w:rsid w:val="00246B4D"/>
    <w:rsid w:val="00246BC7"/>
    <w:rsid w:val="00246FBB"/>
    <w:rsid w:val="00247AA2"/>
    <w:rsid w:val="00247D24"/>
    <w:rsid w:val="00250012"/>
    <w:rsid w:val="00250398"/>
    <w:rsid w:val="00250609"/>
    <w:rsid w:val="00250691"/>
    <w:rsid w:val="00250AE3"/>
    <w:rsid w:val="00250C6A"/>
    <w:rsid w:val="00250C95"/>
    <w:rsid w:val="002515A0"/>
    <w:rsid w:val="00251775"/>
    <w:rsid w:val="0025189B"/>
    <w:rsid w:val="00251A4D"/>
    <w:rsid w:val="00251B06"/>
    <w:rsid w:val="002527D7"/>
    <w:rsid w:val="00252FC5"/>
    <w:rsid w:val="00253081"/>
    <w:rsid w:val="00253746"/>
    <w:rsid w:val="0025375B"/>
    <w:rsid w:val="0025376E"/>
    <w:rsid w:val="002537A8"/>
    <w:rsid w:val="0025398A"/>
    <w:rsid w:val="002539D8"/>
    <w:rsid w:val="00253A13"/>
    <w:rsid w:val="00253A34"/>
    <w:rsid w:val="00253B54"/>
    <w:rsid w:val="00253D44"/>
    <w:rsid w:val="00253EDA"/>
    <w:rsid w:val="00254683"/>
    <w:rsid w:val="00254ABC"/>
    <w:rsid w:val="00254EDD"/>
    <w:rsid w:val="00255153"/>
    <w:rsid w:val="0025528D"/>
    <w:rsid w:val="00255612"/>
    <w:rsid w:val="00255619"/>
    <w:rsid w:val="00255623"/>
    <w:rsid w:val="00255975"/>
    <w:rsid w:val="002559E1"/>
    <w:rsid w:val="00255AE8"/>
    <w:rsid w:val="00255D66"/>
    <w:rsid w:val="00255EE5"/>
    <w:rsid w:val="00256427"/>
    <w:rsid w:val="002567F6"/>
    <w:rsid w:val="002569BF"/>
    <w:rsid w:val="00256CF8"/>
    <w:rsid w:val="00256EAC"/>
    <w:rsid w:val="00256F2E"/>
    <w:rsid w:val="002571FF"/>
    <w:rsid w:val="0025741E"/>
    <w:rsid w:val="00257423"/>
    <w:rsid w:val="002575C7"/>
    <w:rsid w:val="002575DB"/>
    <w:rsid w:val="00257710"/>
    <w:rsid w:val="00257824"/>
    <w:rsid w:val="002578F6"/>
    <w:rsid w:val="00257DF1"/>
    <w:rsid w:val="00257EDA"/>
    <w:rsid w:val="002600BB"/>
    <w:rsid w:val="00260868"/>
    <w:rsid w:val="00260B5A"/>
    <w:rsid w:val="00260BDA"/>
    <w:rsid w:val="00260EB6"/>
    <w:rsid w:val="00260F5E"/>
    <w:rsid w:val="00261240"/>
    <w:rsid w:val="002617AE"/>
    <w:rsid w:val="00261AA0"/>
    <w:rsid w:val="00261AD1"/>
    <w:rsid w:val="002625BC"/>
    <w:rsid w:val="002625DA"/>
    <w:rsid w:val="002626F0"/>
    <w:rsid w:val="002626FE"/>
    <w:rsid w:val="00262B7F"/>
    <w:rsid w:val="00262C63"/>
    <w:rsid w:val="00262F0D"/>
    <w:rsid w:val="00263157"/>
    <w:rsid w:val="0026316A"/>
    <w:rsid w:val="00263242"/>
    <w:rsid w:val="0026324F"/>
    <w:rsid w:val="00263585"/>
    <w:rsid w:val="00263970"/>
    <w:rsid w:val="00263A48"/>
    <w:rsid w:val="00263B3A"/>
    <w:rsid w:val="00263B9A"/>
    <w:rsid w:val="002641C6"/>
    <w:rsid w:val="00264252"/>
    <w:rsid w:val="0026451F"/>
    <w:rsid w:val="00264827"/>
    <w:rsid w:val="002648B8"/>
    <w:rsid w:val="00264BB6"/>
    <w:rsid w:val="00264E89"/>
    <w:rsid w:val="0026505E"/>
    <w:rsid w:val="002654D6"/>
    <w:rsid w:val="002655C8"/>
    <w:rsid w:val="002656E1"/>
    <w:rsid w:val="0026570E"/>
    <w:rsid w:val="0026592B"/>
    <w:rsid w:val="00265EE7"/>
    <w:rsid w:val="00266193"/>
    <w:rsid w:val="002668C2"/>
    <w:rsid w:val="002669B1"/>
    <w:rsid w:val="00266AB7"/>
    <w:rsid w:val="00266B76"/>
    <w:rsid w:val="00266D24"/>
    <w:rsid w:val="00267181"/>
    <w:rsid w:val="002675B2"/>
    <w:rsid w:val="002678C5"/>
    <w:rsid w:val="00267D5A"/>
    <w:rsid w:val="002701F1"/>
    <w:rsid w:val="002711D3"/>
    <w:rsid w:val="00271289"/>
    <w:rsid w:val="0027155E"/>
    <w:rsid w:val="002715EC"/>
    <w:rsid w:val="002719CB"/>
    <w:rsid w:val="00271B1F"/>
    <w:rsid w:val="00271C48"/>
    <w:rsid w:val="00271CFC"/>
    <w:rsid w:val="00271D66"/>
    <w:rsid w:val="00271E6F"/>
    <w:rsid w:val="00271E95"/>
    <w:rsid w:val="00272309"/>
    <w:rsid w:val="002724CD"/>
    <w:rsid w:val="002725CE"/>
    <w:rsid w:val="0027262A"/>
    <w:rsid w:val="0027296C"/>
    <w:rsid w:val="00272E40"/>
    <w:rsid w:val="002731F8"/>
    <w:rsid w:val="002735B0"/>
    <w:rsid w:val="002736C0"/>
    <w:rsid w:val="00273A2D"/>
    <w:rsid w:val="00273B86"/>
    <w:rsid w:val="0027410C"/>
    <w:rsid w:val="0027412E"/>
    <w:rsid w:val="002741E8"/>
    <w:rsid w:val="00274717"/>
    <w:rsid w:val="00274739"/>
    <w:rsid w:val="00274E5A"/>
    <w:rsid w:val="00275686"/>
    <w:rsid w:val="002756BA"/>
    <w:rsid w:val="002756CD"/>
    <w:rsid w:val="00275808"/>
    <w:rsid w:val="00275974"/>
    <w:rsid w:val="00275A98"/>
    <w:rsid w:val="00275DD7"/>
    <w:rsid w:val="002761FD"/>
    <w:rsid w:val="00276509"/>
    <w:rsid w:val="00276843"/>
    <w:rsid w:val="002769A3"/>
    <w:rsid w:val="00276B7B"/>
    <w:rsid w:val="00276C3C"/>
    <w:rsid w:val="00276D71"/>
    <w:rsid w:val="00276DD9"/>
    <w:rsid w:val="00277614"/>
    <w:rsid w:val="0027798A"/>
    <w:rsid w:val="0027798B"/>
    <w:rsid w:val="002779C8"/>
    <w:rsid w:val="00277A1A"/>
    <w:rsid w:val="00277D31"/>
    <w:rsid w:val="00280232"/>
    <w:rsid w:val="0028044D"/>
    <w:rsid w:val="0028061C"/>
    <w:rsid w:val="002806FB"/>
    <w:rsid w:val="00280B69"/>
    <w:rsid w:val="0028100C"/>
    <w:rsid w:val="00281145"/>
    <w:rsid w:val="00281293"/>
    <w:rsid w:val="00281378"/>
    <w:rsid w:val="00281407"/>
    <w:rsid w:val="002815BC"/>
    <w:rsid w:val="00281DC9"/>
    <w:rsid w:val="00281F88"/>
    <w:rsid w:val="00281FC8"/>
    <w:rsid w:val="00282706"/>
    <w:rsid w:val="0028273A"/>
    <w:rsid w:val="00282B46"/>
    <w:rsid w:val="00282C65"/>
    <w:rsid w:val="00283025"/>
    <w:rsid w:val="00283046"/>
    <w:rsid w:val="00283086"/>
    <w:rsid w:val="0028357D"/>
    <w:rsid w:val="0028377F"/>
    <w:rsid w:val="00283949"/>
    <w:rsid w:val="002839E9"/>
    <w:rsid w:val="00283B0A"/>
    <w:rsid w:val="00283F7F"/>
    <w:rsid w:val="002844A2"/>
    <w:rsid w:val="00284695"/>
    <w:rsid w:val="002846C5"/>
    <w:rsid w:val="00284783"/>
    <w:rsid w:val="002847A4"/>
    <w:rsid w:val="0028482A"/>
    <w:rsid w:val="0028499D"/>
    <w:rsid w:val="002849C6"/>
    <w:rsid w:val="00284C31"/>
    <w:rsid w:val="00284DD6"/>
    <w:rsid w:val="00284F05"/>
    <w:rsid w:val="00284F0F"/>
    <w:rsid w:val="00284F3F"/>
    <w:rsid w:val="00285080"/>
    <w:rsid w:val="002855AB"/>
    <w:rsid w:val="002855BF"/>
    <w:rsid w:val="00285642"/>
    <w:rsid w:val="002857AB"/>
    <w:rsid w:val="00285A8A"/>
    <w:rsid w:val="00285C72"/>
    <w:rsid w:val="00285C96"/>
    <w:rsid w:val="00285C99"/>
    <w:rsid w:val="00285EAB"/>
    <w:rsid w:val="002860DD"/>
    <w:rsid w:val="002861D6"/>
    <w:rsid w:val="00286522"/>
    <w:rsid w:val="00286AA2"/>
    <w:rsid w:val="00286B8E"/>
    <w:rsid w:val="00286C3F"/>
    <w:rsid w:val="00286C46"/>
    <w:rsid w:val="00287129"/>
    <w:rsid w:val="00287731"/>
    <w:rsid w:val="00287D89"/>
    <w:rsid w:val="00287E2A"/>
    <w:rsid w:val="00287ED3"/>
    <w:rsid w:val="00287EFA"/>
    <w:rsid w:val="002903BC"/>
    <w:rsid w:val="00290466"/>
    <w:rsid w:val="00290504"/>
    <w:rsid w:val="00290862"/>
    <w:rsid w:val="00290907"/>
    <w:rsid w:val="00291206"/>
    <w:rsid w:val="00291A3E"/>
    <w:rsid w:val="00291D88"/>
    <w:rsid w:val="00292155"/>
    <w:rsid w:val="00292408"/>
    <w:rsid w:val="00292483"/>
    <w:rsid w:val="00292BB1"/>
    <w:rsid w:val="00292DA9"/>
    <w:rsid w:val="00292E55"/>
    <w:rsid w:val="00292F98"/>
    <w:rsid w:val="00293599"/>
    <w:rsid w:val="002935A0"/>
    <w:rsid w:val="00293613"/>
    <w:rsid w:val="002936AD"/>
    <w:rsid w:val="00293994"/>
    <w:rsid w:val="00293A9E"/>
    <w:rsid w:val="00293CA1"/>
    <w:rsid w:val="00293D30"/>
    <w:rsid w:val="00294004"/>
    <w:rsid w:val="0029410F"/>
    <w:rsid w:val="00294374"/>
    <w:rsid w:val="002943AE"/>
    <w:rsid w:val="002943D7"/>
    <w:rsid w:val="002943F9"/>
    <w:rsid w:val="00294617"/>
    <w:rsid w:val="002947DF"/>
    <w:rsid w:val="0029483E"/>
    <w:rsid w:val="00294C86"/>
    <w:rsid w:val="00294D31"/>
    <w:rsid w:val="00294DBE"/>
    <w:rsid w:val="00294F74"/>
    <w:rsid w:val="002952F9"/>
    <w:rsid w:val="002953FA"/>
    <w:rsid w:val="00295743"/>
    <w:rsid w:val="002958A5"/>
    <w:rsid w:val="002958B8"/>
    <w:rsid w:val="00295B1A"/>
    <w:rsid w:val="00295B1B"/>
    <w:rsid w:val="00295B46"/>
    <w:rsid w:val="00295D15"/>
    <w:rsid w:val="00295D63"/>
    <w:rsid w:val="00295DBB"/>
    <w:rsid w:val="00296099"/>
    <w:rsid w:val="002962FF"/>
    <w:rsid w:val="00296790"/>
    <w:rsid w:val="002967A0"/>
    <w:rsid w:val="00296CEB"/>
    <w:rsid w:val="00297642"/>
    <w:rsid w:val="00297700"/>
    <w:rsid w:val="00297876"/>
    <w:rsid w:val="00297D28"/>
    <w:rsid w:val="00297E99"/>
    <w:rsid w:val="002A0614"/>
    <w:rsid w:val="002A0897"/>
    <w:rsid w:val="002A08A5"/>
    <w:rsid w:val="002A09C1"/>
    <w:rsid w:val="002A09DE"/>
    <w:rsid w:val="002A13D4"/>
    <w:rsid w:val="002A197D"/>
    <w:rsid w:val="002A1C35"/>
    <w:rsid w:val="002A1E61"/>
    <w:rsid w:val="002A2577"/>
    <w:rsid w:val="002A2CEE"/>
    <w:rsid w:val="002A2D2A"/>
    <w:rsid w:val="002A3107"/>
    <w:rsid w:val="002A3252"/>
    <w:rsid w:val="002A33E2"/>
    <w:rsid w:val="002A342E"/>
    <w:rsid w:val="002A353F"/>
    <w:rsid w:val="002A3805"/>
    <w:rsid w:val="002A39F7"/>
    <w:rsid w:val="002A3FDC"/>
    <w:rsid w:val="002A45D7"/>
    <w:rsid w:val="002A468D"/>
    <w:rsid w:val="002A4696"/>
    <w:rsid w:val="002A487F"/>
    <w:rsid w:val="002A49DF"/>
    <w:rsid w:val="002A4B37"/>
    <w:rsid w:val="002A4BFB"/>
    <w:rsid w:val="002A4D0F"/>
    <w:rsid w:val="002A4ED4"/>
    <w:rsid w:val="002A506C"/>
    <w:rsid w:val="002A5664"/>
    <w:rsid w:val="002A5799"/>
    <w:rsid w:val="002A599B"/>
    <w:rsid w:val="002A5AFE"/>
    <w:rsid w:val="002A5B02"/>
    <w:rsid w:val="002A6147"/>
    <w:rsid w:val="002A61F2"/>
    <w:rsid w:val="002A6B3A"/>
    <w:rsid w:val="002A6D95"/>
    <w:rsid w:val="002A6EAB"/>
    <w:rsid w:val="002A6F24"/>
    <w:rsid w:val="002A6FE3"/>
    <w:rsid w:val="002A705E"/>
    <w:rsid w:val="002A706E"/>
    <w:rsid w:val="002A724F"/>
    <w:rsid w:val="002A7399"/>
    <w:rsid w:val="002A78E5"/>
    <w:rsid w:val="002B084D"/>
    <w:rsid w:val="002B0C64"/>
    <w:rsid w:val="002B0E6B"/>
    <w:rsid w:val="002B0EF0"/>
    <w:rsid w:val="002B13C6"/>
    <w:rsid w:val="002B14FF"/>
    <w:rsid w:val="002B1985"/>
    <w:rsid w:val="002B2425"/>
    <w:rsid w:val="002B26A3"/>
    <w:rsid w:val="002B26B6"/>
    <w:rsid w:val="002B2753"/>
    <w:rsid w:val="002B2A52"/>
    <w:rsid w:val="002B2D86"/>
    <w:rsid w:val="002B2F11"/>
    <w:rsid w:val="002B3502"/>
    <w:rsid w:val="002B36F4"/>
    <w:rsid w:val="002B38FC"/>
    <w:rsid w:val="002B390D"/>
    <w:rsid w:val="002B3A2C"/>
    <w:rsid w:val="002B3BF9"/>
    <w:rsid w:val="002B44A5"/>
    <w:rsid w:val="002B4751"/>
    <w:rsid w:val="002B47A0"/>
    <w:rsid w:val="002B519B"/>
    <w:rsid w:val="002B52B8"/>
    <w:rsid w:val="002B577C"/>
    <w:rsid w:val="002B5BBC"/>
    <w:rsid w:val="002B5DD0"/>
    <w:rsid w:val="002B5DD2"/>
    <w:rsid w:val="002B61CB"/>
    <w:rsid w:val="002B63A8"/>
    <w:rsid w:val="002B6854"/>
    <w:rsid w:val="002B6B66"/>
    <w:rsid w:val="002B6E91"/>
    <w:rsid w:val="002B6F48"/>
    <w:rsid w:val="002B6FAB"/>
    <w:rsid w:val="002B71EC"/>
    <w:rsid w:val="002B7382"/>
    <w:rsid w:val="002B7512"/>
    <w:rsid w:val="002B7A25"/>
    <w:rsid w:val="002B7CCB"/>
    <w:rsid w:val="002B7E30"/>
    <w:rsid w:val="002C017D"/>
    <w:rsid w:val="002C0318"/>
    <w:rsid w:val="002C084B"/>
    <w:rsid w:val="002C08C4"/>
    <w:rsid w:val="002C0A99"/>
    <w:rsid w:val="002C0AB7"/>
    <w:rsid w:val="002C0B69"/>
    <w:rsid w:val="002C0CB5"/>
    <w:rsid w:val="002C0E45"/>
    <w:rsid w:val="002C0FAD"/>
    <w:rsid w:val="002C1049"/>
    <w:rsid w:val="002C13A7"/>
    <w:rsid w:val="002C1969"/>
    <w:rsid w:val="002C1C9C"/>
    <w:rsid w:val="002C1DBE"/>
    <w:rsid w:val="002C1F78"/>
    <w:rsid w:val="002C23C9"/>
    <w:rsid w:val="002C2756"/>
    <w:rsid w:val="002C2CB5"/>
    <w:rsid w:val="002C2E8A"/>
    <w:rsid w:val="002C320D"/>
    <w:rsid w:val="002C33A7"/>
    <w:rsid w:val="002C3562"/>
    <w:rsid w:val="002C4050"/>
    <w:rsid w:val="002C41E5"/>
    <w:rsid w:val="002C4363"/>
    <w:rsid w:val="002C45D4"/>
    <w:rsid w:val="002C45EC"/>
    <w:rsid w:val="002C4846"/>
    <w:rsid w:val="002C4B86"/>
    <w:rsid w:val="002C4BAF"/>
    <w:rsid w:val="002C4C9E"/>
    <w:rsid w:val="002C4EBB"/>
    <w:rsid w:val="002C4FE3"/>
    <w:rsid w:val="002C508E"/>
    <w:rsid w:val="002C57CC"/>
    <w:rsid w:val="002C59F2"/>
    <w:rsid w:val="002C5AEB"/>
    <w:rsid w:val="002C5AF4"/>
    <w:rsid w:val="002C5B0A"/>
    <w:rsid w:val="002C63B6"/>
    <w:rsid w:val="002C669F"/>
    <w:rsid w:val="002C6751"/>
    <w:rsid w:val="002C69AC"/>
    <w:rsid w:val="002C6B22"/>
    <w:rsid w:val="002C7220"/>
    <w:rsid w:val="002C72DD"/>
    <w:rsid w:val="002C730A"/>
    <w:rsid w:val="002C74BF"/>
    <w:rsid w:val="002C7535"/>
    <w:rsid w:val="002C785E"/>
    <w:rsid w:val="002C7892"/>
    <w:rsid w:val="002C78D9"/>
    <w:rsid w:val="002C7C23"/>
    <w:rsid w:val="002C7C81"/>
    <w:rsid w:val="002D032A"/>
    <w:rsid w:val="002D04C1"/>
    <w:rsid w:val="002D05B0"/>
    <w:rsid w:val="002D05F2"/>
    <w:rsid w:val="002D0646"/>
    <w:rsid w:val="002D08D0"/>
    <w:rsid w:val="002D09E5"/>
    <w:rsid w:val="002D0B23"/>
    <w:rsid w:val="002D0B4B"/>
    <w:rsid w:val="002D0B5A"/>
    <w:rsid w:val="002D0BFC"/>
    <w:rsid w:val="002D0C04"/>
    <w:rsid w:val="002D0C19"/>
    <w:rsid w:val="002D18C4"/>
    <w:rsid w:val="002D19BB"/>
    <w:rsid w:val="002D1B08"/>
    <w:rsid w:val="002D1C34"/>
    <w:rsid w:val="002D219C"/>
    <w:rsid w:val="002D21FD"/>
    <w:rsid w:val="002D22D5"/>
    <w:rsid w:val="002D2535"/>
    <w:rsid w:val="002D2706"/>
    <w:rsid w:val="002D28FD"/>
    <w:rsid w:val="002D29F3"/>
    <w:rsid w:val="002D2B16"/>
    <w:rsid w:val="002D2B40"/>
    <w:rsid w:val="002D2C76"/>
    <w:rsid w:val="002D31E7"/>
    <w:rsid w:val="002D3466"/>
    <w:rsid w:val="002D37E8"/>
    <w:rsid w:val="002D393D"/>
    <w:rsid w:val="002D4014"/>
    <w:rsid w:val="002D4069"/>
    <w:rsid w:val="002D453F"/>
    <w:rsid w:val="002D47F4"/>
    <w:rsid w:val="002D4875"/>
    <w:rsid w:val="002D4884"/>
    <w:rsid w:val="002D4AEE"/>
    <w:rsid w:val="002D4C8F"/>
    <w:rsid w:val="002D4D35"/>
    <w:rsid w:val="002D4D66"/>
    <w:rsid w:val="002D4EB1"/>
    <w:rsid w:val="002D5556"/>
    <w:rsid w:val="002D57F8"/>
    <w:rsid w:val="002D58BE"/>
    <w:rsid w:val="002D58DB"/>
    <w:rsid w:val="002D5919"/>
    <w:rsid w:val="002D5A16"/>
    <w:rsid w:val="002D5B3E"/>
    <w:rsid w:val="002D5D3E"/>
    <w:rsid w:val="002D5E8F"/>
    <w:rsid w:val="002D660C"/>
    <w:rsid w:val="002D66BF"/>
    <w:rsid w:val="002D681D"/>
    <w:rsid w:val="002D68FC"/>
    <w:rsid w:val="002D6A22"/>
    <w:rsid w:val="002D6AED"/>
    <w:rsid w:val="002D6C69"/>
    <w:rsid w:val="002D6D98"/>
    <w:rsid w:val="002D6E08"/>
    <w:rsid w:val="002D6EE5"/>
    <w:rsid w:val="002D6F56"/>
    <w:rsid w:val="002D71BC"/>
    <w:rsid w:val="002D71CD"/>
    <w:rsid w:val="002D7287"/>
    <w:rsid w:val="002D7367"/>
    <w:rsid w:val="002D7387"/>
    <w:rsid w:val="002D7955"/>
    <w:rsid w:val="002D7E87"/>
    <w:rsid w:val="002D7F93"/>
    <w:rsid w:val="002E0033"/>
    <w:rsid w:val="002E0603"/>
    <w:rsid w:val="002E06A5"/>
    <w:rsid w:val="002E07DF"/>
    <w:rsid w:val="002E09F7"/>
    <w:rsid w:val="002E0B7D"/>
    <w:rsid w:val="002E0F2F"/>
    <w:rsid w:val="002E100B"/>
    <w:rsid w:val="002E12A4"/>
    <w:rsid w:val="002E135A"/>
    <w:rsid w:val="002E1539"/>
    <w:rsid w:val="002E153A"/>
    <w:rsid w:val="002E15D1"/>
    <w:rsid w:val="002E1693"/>
    <w:rsid w:val="002E1B28"/>
    <w:rsid w:val="002E1ECA"/>
    <w:rsid w:val="002E20CA"/>
    <w:rsid w:val="002E2262"/>
    <w:rsid w:val="002E23C3"/>
    <w:rsid w:val="002E2669"/>
    <w:rsid w:val="002E28C0"/>
    <w:rsid w:val="002E29E1"/>
    <w:rsid w:val="002E2C72"/>
    <w:rsid w:val="002E2CA0"/>
    <w:rsid w:val="002E30C6"/>
    <w:rsid w:val="002E3185"/>
    <w:rsid w:val="002E3371"/>
    <w:rsid w:val="002E38BC"/>
    <w:rsid w:val="002E3E4A"/>
    <w:rsid w:val="002E43D1"/>
    <w:rsid w:val="002E49FC"/>
    <w:rsid w:val="002E4CF4"/>
    <w:rsid w:val="002E51AD"/>
    <w:rsid w:val="002E5729"/>
    <w:rsid w:val="002E5B01"/>
    <w:rsid w:val="002E5D3E"/>
    <w:rsid w:val="002E5E53"/>
    <w:rsid w:val="002E5F6A"/>
    <w:rsid w:val="002E640D"/>
    <w:rsid w:val="002E651D"/>
    <w:rsid w:val="002E661A"/>
    <w:rsid w:val="002E6A5A"/>
    <w:rsid w:val="002E6D9F"/>
    <w:rsid w:val="002E6F16"/>
    <w:rsid w:val="002E70F0"/>
    <w:rsid w:val="002E70FD"/>
    <w:rsid w:val="002E72F9"/>
    <w:rsid w:val="002E735D"/>
    <w:rsid w:val="002E7707"/>
    <w:rsid w:val="002E774F"/>
    <w:rsid w:val="002E79C2"/>
    <w:rsid w:val="002E7D06"/>
    <w:rsid w:val="002F00E3"/>
    <w:rsid w:val="002F01F4"/>
    <w:rsid w:val="002F0604"/>
    <w:rsid w:val="002F0ACE"/>
    <w:rsid w:val="002F0C3E"/>
    <w:rsid w:val="002F0DC2"/>
    <w:rsid w:val="002F1006"/>
    <w:rsid w:val="002F1107"/>
    <w:rsid w:val="002F134F"/>
    <w:rsid w:val="002F13E7"/>
    <w:rsid w:val="002F17FB"/>
    <w:rsid w:val="002F22BF"/>
    <w:rsid w:val="002F24BA"/>
    <w:rsid w:val="002F290D"/>
    <w:rsid w:val="002F2BC7"/>
    <w:rsid w:val="002F2E56"/>
    <w:rsid w:val="002F2E64"/>
    <w:rsid w:val="002F3046"/>
    <w:rsid w:val="002F31E0"/>
    <w:rsid w:val="002F31E3"/>
    <w:rsid w:val="002F3386"/>
    <w:rsid w:val="002F33FC"/>
    <w:rsid w:val="002F3A71"/>
    <w:rsid w:val="002F3F73"/>
    <w:rsid w:val="002F4008"/>
    <w:rsid w:val="002F444C"/>
    <w:rsid w:val="002F4737"/>
    <w:rsid w:val="002F4A37"/>
    <w:rsid w:val="002F4FFC"/>
    <w:rsid w:val="002F5160"/>
    <w:rsid w:val="002F550B"/>
    <w:rsid w:val="002F551A"/>
    <w:rsid w:val="002F5B13"/>
    <w:rsid w:val="002F5B30"/>
    <w:rsid w:val="002F5CAD"/>
    <w:rsid w:val="002F635E"/>
    <w:rsid w:val="002F6409"/>
    <w:rsid w:val="002F6672"/>
    <w:rsid w:val="002F66CA"/>
    <w:rsid w:val="002F6A81"/>
    <w:rsid w:val="002F6B08"/>
    <w:rsid w:val="002F6BC0"/>
    <w:rsid w:val="002F6CCE"/>
    <w:rsid w:val="002F6D58"/>
    <w:rsid w:val="002F705B"/>
    <w:rsid w:val="002F7191"/>
    <w:rsid w:val="002F7234"/>
    <w:rsid w:val="002F7407"/>
    <w:rsid w:val="002F7481"/>
    <w:rsid w:val="002F779F"/>
    <w:rsid w:val="002F7F7C"/>
    <w:rsid w:val="00300046"/>
    <w:rsid w:val="003001DA"/>
    <w:rsid w:val="0030048E"/>
    <w:rsid w:val="003004A5"/>
    <w:rsid w:val="003005E7"/>
    <w:rsid w:val="0030070A"/>
    <w:rsid w:val="00300751"/>
    <w:rsid w:val="003007EC"/>
    <w:rsid w:val="00300D2D"/>
    <w:rsid w:val="003011CD"/>
    <w:rsid w:val="00301214"/>
    <w:rsid w:val="00301275"/>
    <w:rsid w:val="003012ED"/>
    <w:rsid w:val="003014A9"/>
    <w:rsid w:val="003018DB"/>
    <w:rsid w:val="00301E7D"/>
    <w:rsid w:val="00302103"/>
    <w:rsid w:val="003021E4"/>
    <w:rsid w:val="003024C8"/>
    <w:rsid w:val="0030278F"/>
    <w:rsid w:val="00302C2B"/>
    <w:rsid w:val="00302D11"/>
    <w:rsid w:val="00303044"/>
    <w:rsid w:val="00303291"/>
    <w:rsid w:val="003032AB"/>
    <w:rsid w:val="00303405"/>
    <w:rsid w:val="00303584"/>
    <w:rsid w:val="00303709"/>
    <w:rsid w:val="003038EA"/>
    <w:rsid w:val="00303AA8"/>
    <w:rsid w:val="00303D22"/>
    <w:rsid w:val="0030465B"/>
    <w:rsid w:val="00304A10"/>
    <w:rsid w:val="00304D10"/>
    <w:rsid w:val="00304D8E"/>
    <w:rsid w:val="00304DC0"/>
    <w:rsid w:val="00304F2F"/>
    <w:rsid w:val="00304F4C"/>
    <w:rsid w:val="003051F9"/>
    <w:rsid w:val="003053AB"/>
    <w:rsid w:val="0030548E"/>
    <w:rsid w:val="003055B8"/>
    <w:rsid w:val="003058F5"/>
    <w:rsid w:val="00305A8C"/>
    <w:rsid w:val="00305C36"/>
    <w:rsid w:val="00305E3D"/>
    <w:rsid w:val="00306151"/>
    <w:rsid w:val="00306297"/>
    <w:rsid w:val="00306509"/>
    <w:rsid w:val="00306798"/>
    <w:rsid w:val="00306C61"/>
    <w:rsid w:val="00306C95"/>
    <w:rsid w:val="00306E7E"/>
    <w:rsid w:val="00306F68"/>
    <w:rsid w:val="00306FCD"/>
    <w:rsid w:val="0030702D"/>
    <w:rsid w:val="00307144"/>
    <w:rsid w:val="0030725C"/>
    <w:rsid w:val="003074B9"/>
    <w:rsid w:val="003078CD"/>
    <w:rsid w:val="00307993"/>
    <w:rsid w:val="00307A43"/>
    <w:rsid w:val="00307DA6"/>
    <w:rsid w:val="003101A1"/>
    <w:rsid w:val="003101E0"/>
    <w:rsid w:val="0031031E"/>
    <w:rsid w:val="0031041D"/>
    <w:rsid w:val="003104FE"/>
    <w:rsid w:val="003109B9"/>
    <w:rsid w:val="00310A93"/>
    <w:rsid w:val="00310FAF"/>
    <w:rsid w:val="0031107E"/>
    <w:rsid w:val="00311096"/>
    <w:rsid w:val="00311215"/>
    <w:rsid w:val="00311239"/>
    <w:rsid w:val="00311323"/>
    <w:rsid w:val="00311479"/>
    <w:rsid w:val="003118DF"/>
    <w:rsid w:val="00311D3E"/>
    <w:rsid w:val="00311D68"/>
    <w:rsid w:val="003121E3"/>
    <w:rsid w:val="0031241D"/>
    <w:rsid w:val="003125AE"/>
    <w:rsid w:val="0031267A"/>
    <w:rsid w:val="003128B5"/>
    <w:rsid w:val="0031296E"/>
    <w:rsid w:val="00312C49"/>
    <w:rsid w:val="00312FAB"/>
    <w:rsid w:val="003135F5"/>
    <w:rsid w:val="00313765"/>
    <w:rsid w:val="003137D4"/>
    <w:rsid w:val="00313959"/>
    <w:rsid w:val="00313A8F"/>
    <w:rsid w:val="00313D87"/>
    <w:rsid w:val="00313DBE"/>
    <w:rsid w:val="00313FCF"/>
    <w:rsid w:val="00313FDF"/>
    <w:rsid w:val="00314105"/>
    <w:rsid w:val="00314184"/>
    <w:rsid w:val="003141AF"/>
    <w:rsid w:val="003141B4"/>
    <w:rsid w:val="00314315"/>
    <w:rsid w:val="00314565"/>
    <w:rsid w:val="00314BB9"/>
    <w:rsid w:val="00314C64"/>
    <w:rsid w:val="003152C3"/>
    <w:rsid w:val="003152DD"/>
    <w:rsid w:val="003154FC"/>
    <w:rsid w:val="00315565"/>
    <w:rsid w:val="00315BB1"/>
    <w:rsid w:val="00315CC7"/>
    <w:rsid w:val="00315D92"/>
    <w:rsid w:val="00315DDB"/>
    <w:rsid w:val="00316123"/>
    <w:rsid w:val="003161F5"/>
    <w:rsid w:val="003164B6"/>
    <w:rsid w:val="003164F9"/>
    <w:rsid w:val="003165B4"/>
    <w:rsid w:val="003168C5"/>
    <w:rsid w:val="0031693C"/>
    <w:rsid w:val="00316B81"/>
    <w:rsid w:val="00316CBE"/>
    <w:rsid w:val="00316E5E"/>
    <w:rsid w:val="00317136"/>
    <w:rsid w:val="00317A63"/>
    <w:rsid w:val="00317D78"/>
    <w:rsid w:val="00317ED7"/>
    <w:rsid w:val="0032008E"/>
    <w:rsid w:val="003205B5"/>
    <w:rsid w:val="0032075A"/>
    <w:rsid w:val="0032097D"/>
    <w:rsid w:val="00320B4F"/>
    <w:rsid w:val="00320B6B"/>
    <w:rsid w:val="00320B74"/>
    <w:rsid w:val="00320FFC"/>
    <w:rsid w:val="00321551"/>
    <w:rsid w:val="00321A62"/>
    <w:rsid w:val="00321AE0"/>
    <w:rsid w:val="00321C44"/>
    <w:rsid w:val="00321F92"/>
    <w:rsid w:val="00322190"/>
    <w:rsid w:val="00322797"/>
    <w:rsid w:val="003228A0"/>
    <w:rsid w:val="003228B0"/>
    <w:rsid w:val="00322C6D"/>
    <w:rsid w:val="0032324E"/>
    <w:rsid w:val="003236F6"/>
    <w:rsid w:val="00323940"/>
    <w:rsid w:val="00323990"/>
    <w:rsid w:val="00323B44"/>
    <w:rsid w:val="00323B5D"/>
    <w:rsid w:val="00323C67"/>
    <w:rsid w:val="00323CB2"/>
    <w:rsid w:val="00323CBD"/>
    <w:rsid w:val="00323DA7"/>
    <w:rsid w:val="003245F9"/>
    <w:rsid w:val="00324604"/>
    <w:rsid w:val="00324906"/>
    <w:rsid w:val="00324D32"/>
    <w:rsid w:val="00324DF2"/>
    <w:rsid w:val="00324FBB"/>
    <w:rsid w:val="00325029"/>
    <w:rsid w:val="00325D4A"/>
    <w:rsid w:val="00326198"/>
    <w:rsid w:val="0032635D"/>
    <w:rsid w:val="0032676D"/>
    <w:rsid w:val="003268E3"/>
    <w:rsid w:val="00326A0C"/>
    <w:rsid w:val="00326B1B"/>
    <w:rsid w:val="00326B3F"/>
    <w:rsid w:val="00326BE1"/>
    <w:rsid w:val="00326CC1"/>
    <w:rsid w:val="00326DCE"/>
    <w:rsid w:val="00326DF3"/>
    <w:rsid w:val="00326E44"/>
    <w:rsid w:val="003277B5"/>
    <w:rsid w:val="00327A04"/>
    <w:rsid w:val="00327A4D"/>
    <w:rsid w:val="00327BF3"/>
    <w:rsid w:val="00330300"/>
    <w:rsid w:val="00330AC3"/>
    <w:rsid w:val="00330B5C"/>
    <w:rsid w:val="00330B66"/>
    <w:rsid w:val="00330ED7"/>
    <w:rsid w:val="003313DD"/>
    <w:rsid w:val="003319FB"/>
    <w:rsid w:val="00331B99"/>
    <w:rsid w:val="00331C41"/>
    <w:rsid w:val="00331C52"/>
    <w:rsid w:val="00331D14"/>
    <w:rsid w:val="00331FF8"/>
    <w:rsid w:val="00332043"/>
    <w:rsid w:val="00332215"/>
    <w:rsid w:val="003322F7"/>
    <w:rsid w:val="00332508"/>
    <w:rsid w:val="00332594"/>
    <w:rsid w:val="003326A4"/>
    <w:rsid w:val="0033272C"/>
    <w:rsid w:val="003328A5"/>
    <w:rsid w:val="00332A62"/>
    <w:rsid w:val="00332BCB"/>
    <w:rsid w:val="00332C6A"/>
    <w:rsid w:val="003330B3"/>
    <w:rsid w:val="003334AE"/>
    <w:rsid w:val="0033353F"/>
    <w:rsid w:val="00333AC2"/>
    <w:rsid w:val="00333D2F"/>
    <w:rsid w:val="003340D4"/>
    <w:rsid w:val="003340DF"/>
    <w:rsid w:val="00334286"/>
    <w:rsid w:val="003343C4"/>
    <w:rsid w:val="0033449D"/>
    <w:rsid w:val="003345AF"/>
    <w:rsid w:val="003346A2"/>
    <w:rsid w:val="00334A84"/>
    <w:rsid w:val="00334ACB"/>
    <w:rsid w:val="00334CCF"/>
    <w:rsid w:val="00334E6F"/>
    <w:rsid w:val="00334FE3"/>
    <w:rsid w:val="003351EE"/>
    <w:rsid w:val="00335346"/>
    <w:rsid w:val="003357AA"/>
    <w:rsid w:val="00335A97"/>
    <w:rsid w:val="003361DA"/>
    <w:rsid w:val="00336298"/>
    <w:rsid w:val="003362A5"/>
    <w:rsid w:val="00336441"/>
    <w:rsid w:val="0033650E"/>
    <w:rsid w:val="003365AD"/>
    <w:rsid w:val="0033668B"/>
    <w:rsid w:val="003368B1"/>
    <w:rsid w:val="003369AB"/>
    <w:rsid w:val="003369CA"/>
    <w:rsid w:val="00336D69"/>
    <w:rsid w:val="00336E4A"/>
    <w:rsid w:val="00337167"/>
    <w:rsid w:val="00337B43"/>
    <w:rsid w:val="0034015B"/>
    <w:rsid w:val="00340788"/>
    <w:rsid w:val="003407C7"/>
    <w:rsid w:val="003408A5"/>
    <w:rsid w:val="00340A0C"/>
    <w:rsid w:val="00341074"/>
    <w:rsid w:val="00341120"/>
    <w:rsid w:val="00341157"/>
    <w:rsid w:val="00341423"/>
    <w:rsid w:val="003414FD"/>
    <w:rsid w:val="00341856"/>
    <w:rsid w:val="003418E1"/>
    <w:rsid w:val="00341D34"/>
    <w:rsid w:val="00341E59"/>
    <w:rsid w:val="00342021"/>
    <w:rsid w:val="00342161"/>
    <w:rsid w:val="0034228C"/>
    <w:rsid w:val="00342865"/>
    <w:rsid w:val="00342904"/>
    <w:rsid w:val="00342A01"/>
    <w:rsid w:val="00342D89"/>
    <w:rsid w:val="00342DA8"/>
    <w:rsid w:val="00343213"/>
    <w:rsid w:val="0034343D"/>
    <w:rsid w:val="0034356A"/>
    <w:rsid w:val="00343723"/>
    <w:rsid w:val="00343B7B"/>
    <w:rsid w:val="00343CAC"/>
    <w:rsid w:val="00344024"/>
    <w:rsid w:val="0034415B"/>
    <w:rsid w:val="0034439D"/>
    <w:rsid w:val="003443DB"/>
    <w:rsid w:val="003443FD"/>
    <w:rsid w:val="0034466B"/>
    <w:rsid w:val="0034492D"/>
    <w:rsid w:val="003453E4"/>
    <w:rsid w:val="003453EB"/>
    <w:rsid w:val="003453EE"/>
    <w:rsid w:val="003454B4"/>
    <w:rsid w:val="003457F6"/>
    <w:rsid w:val="0034583E"/>
    <w:rsid w:val="003458B5"/>
    <w:rsid w:val="00345A70"/>
    <w:rsid w:val="00345BD0"/>
    <w:rsid w:val="00345DFD"/>
    <w:rsid w:val="00345F16"/>
    <w:rsid w:val="003468AB"/>
    <w:rsid w:val="003469FA"/>
    <w:rsid w:val="00346CF5"/>
    <w:rsid w:val="00346D23"/>
    <w:rsid w:val="00346D5D"/>
    <w:rsid w:val="00346DAD"/>
    <w:rsid w:val="00346E17"/>
    <w:rsid w:val="00346F34"/>
    <w:rsid w:val="00346FB5"/>
    <w:rsid w:val="0034744C"/>
    <w:rsid w:val="003474C0"/>
    <w:rsid w:val="00347543"/>
    <w:rsid w:val="00347623"/>
    <w:rsid w:val="00350711"/>
    <w:rsid w:val="003507ED"/>
    <w:rsid w:val="00350BD0"/>
    <w:rsid w:val="00350E5B"/>
    <w:rsid w:val="003511F4"/>
    <w:rsid w:val="00351469"/>
    <w:rsid w:val="00351998"/>
    <w:rsid w:val="00351A00"/>
    <w:rsid w:val="00351B71"/>
    <w:rsid w:val="0035202A"/>
    <w:rsid w:val="0035204A"/>
    <w:rsid w:val="003520E0"/>
    <w:rsid w:val="00352671"/>
    <w:rsid w:val="003528F8"/>
    <w:rsid w:val="00352A46"/>
    <w:rsid w:val="00352BB1"/>
    <w:rsid w:val="00352BC8"/>
    <w:rsid w:val="00352D11"/>
    <w:rsid w:val="00352E93"/>
    <w:rsid w:val="00352F06"/>
    <w:rsid w:val="00352F09"/>
    <w:rsid w:val="00352F9D"/>
    <w:rsid w:val="003530BD"/>
    <w:rsid w:val="00353138"/>
    <w:rsid w:val="00353213"/>
    <w:rsid w:val="00353919"/>
    <w:rsid w:val="00353B6E"/>
    <w:rsid w:val="00353BDC"/>
    <w:rsid w:val="00353C06"/>
    <w:rsid w:val="00353C08"/>
    <w:rsid w:val="003541EF"/>
    <w:rsid w:val="00354374"/>
    <w:rsid w:val="003543AB"/>
    <w:rsid w:val="00354453"/>
    <w:rsid w:val="0035477E"/>
    <w:rsid w:val="00354B6E"/>
    <w:rsid w:val="00354CB8"/>
    <w:rsid w:val="00354F65"/>
    <w:rsid w:val="00355168"/>
    <w:rsid w:val="003551C2"/>
    <w:rsid w:val="0035562D"/>
    <w:rsid w:val="003556CF"/>
    <w:rsid w:val="00355847"/>
    <w:rsid w:val="00355AFF"/>
    <w:rsid w:val="00355C7B"/>
    <w:rsid w:val="00355CBF"/>
    <w:rsid w:val="00355E1F"/>
    <w:rsid w:val="00355F26"/>
    <w:rsid w:val="00356050"/>
    <w:rsid w:val="00356721"/>
    <w:rsid w:val="003568C5"/>
    <w:rsid w:val="0035708B"/>
    <w:rsid w:val="00357277"/>
    <w:rsid w:val="003576A1"/>
    <w:rsid w:val="003576B1"/>
    <w:rsid w:val="00357706"/>
    <w:rsid w:val="00357B3E"/>
    <w:rsid w:val="00357B55"/>
    <w:rsid w:val="00357D4F"/>
    <w:rsid w:val="00360557"/>
    <w:rsid w:val="003606C2"/>
    <w:rsid w:val="0036097E"/>
    <w:rsid w:val="00360AF5"/>
    <w:rsid w:val="00360D58"/>
    <w:rsid w:val="00360D62"/>
    <w:rsid w:val="00360DCB"/>
    <w:rsid w:val="003616A2"/>
    <w:rsid w:val="00361807"/>
    <w:rsid w:val="003618A4"/>
    <w:rsid w:val="00361A80"/>
    <w:rsid w:val="00361F57"/>
    <w:rsid w:val="00362003"/>
    <w:rsid w:val="00362237"/>
    <w:rsid w:val="00362407"/>
    <w:rsid w:val="00362562"/>
    <w:rsid w:val="00362841"/>
    <w:rsid w:val="003628FA"/>
    <w:rsid w:val="00362F9B"/>
    <w:rsid w:val="00363077"/>
    <w:rsid w:val="00363B51"/>
    <w:rsid w:val="00363C56"/>
    <w:rsid w:val="00363DDB"/>
    <w:rsid w:val="00363F58"/>
    <w:rsid w:val="00364312"/>
    <w:rsid w:val="003649C3"/>
    <w:rsid w:val="00364ADD"/>
    <w:rsid w:val="00364E77"/>
    <w:rsid w:val="00365052"/>
    <w:rsid w:val="00365347"/>
    <w:rsid w:val="0036537E"/>
    <w:rsid w:val="003654D0"/>
    <w:rsid w:val="00365625"/>
    <w:rsid w:val="00365791"/>
    <w:rsid w:val="00365827"/>
    <w:rsid w:val="00365910"/>
    <w:rsid w:val="00365ED9"/>
    <w:rsid w:val="0036613D"/>
    <w:rsid w:val="0036618C"/>
    <w:rsid w:val="00366300"/>
    <w:rsid w:val="003663B8"/>
    <w:rsid w:val="00366629"/>
    <w:rsid w:val="0036696F"/>
    <w:rsid w:val="00366EF6"/>
    <w:rsid w:val="0036711C"/>
    <w:rsid w:val="003674C1"/>
    <w:rsid w:val="00367748"/>
    <w:rsid w:val="0036775F"/>
    <w:rsid w:val="00367A11"/>
    <w:rsid w:val="00367A2D"/>
    <w:rsid w:val="00367F84"/>
    <w:rsid w:val="00367FDA"/>
    <w:rsid w:val="00370352"/>
    <w:rsid w:val="003703AA"/>
    <w:rsid w:val="0037055F"/>
    <w:rsid w:val="00370AC8"/>
    <w:rsid w:val="00370DBE"/>
    <w:rsid w:val="00371012"/>
    <w:rsid w:val="00371145"/>
    <w:rsid w:val="0037150B"/>
    <w:rsid w:val="00371561"/>
    <w:rsid w:val="003719E8"/>
    <w:rsid w:val="00371FE8"/>
    <w:rsid w:val="003723D1"/>
    <w:rsid w:val="0037251D"/>
    <w:rsid w:val="00372CAA"/>
    <w:rsid w:val="00372D56"/>
    <w:rsid w:val="00372E61"/>
    <w:rsid w:val="00373780"/>
    <w:rsid w:val="00373843"/>
    <w:rsid w:val="00373992"/>
    <w:rsid w:val="00373B23"/>
    <w:rsid w:val="00373BC8"/>
    <w:rsid w:val="00373EF4"/>
    <w:rsid w:val="0037453E"/>
    <w:rsid w:val="0037477E"/>
    <w:rsid w:val="003748FF"/>
    <w:rsid w:val="00374BC2"/>
    <w:rsid w:val="00374EAB"/>
    <w:rsid w:val="00374F2A"/>
    <w:rsid w:val="00375164"/>
    <w:rsid w:val="0037516D"/>
    <w:rsid w:val="0037541C"/>
    <w:rsid w:val="00375607"/>
    <w:rsid w:val="00375755"/>
    <w:rsid w:val="003758B3"/>
    <w:rsid w:val="00375ABE"/>
    <w:rsid w:val="00375B34"/>
    <w:rsid w:val="00375D0D"/>
    <w:rsid w:val="003762AA"/>
    <w:rsid w:val="0037649A"/>
    <w:rsid w:val="003765CD"/>
    <w:rsid w:val="0037672E"/>
    <w:rsid w:val="003767B5"/>
    <w:rsid w:val="00376B40"/>
    <w:rsid w:val="00376CEB"/>
    <w:rsid w:val="00376CF0"/>
    <w:rsid w:val="00376DE7"/>
    <w:rsid w:val="00376F24"/>
    <w:rsid w:val="00376F64"/>
    <w:rsid w:val="00377432"/>
    <w:rsid w:val="00377456"/>
    <w:rsid w:val="003774D3"/>
    <w:rsid w:val="00377747"/>
    <w:rsid w:val="003777C3"/>
    <w:rsid w:val="00377CC8"/>
    <w:rsid w:val="00377CEF"/>
    <w:rsid w:val="00377D31"/>
    <w:rsid w:val="00377DFA"/>
    <w:rsid w:val="003801C2"/>
    <w:rsid w:val="00380227"/>
    <w:rsid w:val="0038036A"/>
    <w:rsid w:val="00380712"/>
    <w:rsid w:val="003808B6"/>
    <w:rsid w:val="00380C35"/>
    <w:rsid w:val="00380CEA"/>
    <w:rsid w:val="00380D3B"/>
    <w:rsid w:val="003810A9"/>
    <w:rsid w:val="00381455"/>
    <w:rsid w:val="0038152D"/>
    <w:rsid w:val="003817F2"/>
    <w:rsid w:val="00381981"/>
    <w:rsid w:val="00381A21"/>
    <w:rsid w:val="00381B8A"/>
    <w:rsid w:val="00381F12"/>
    <w:rsid w:val="00381FFD"/>
    <w:rsid w:val="00382099"/>
    <w:rsid w:val="003826AF"/>
    <w:rsid w:val="00382B31"/>
    <w:rsid w:val="00383000"/>
    <w:rsid w:val="00383717"/>
    <w:rsid w:val="003838EB"/>
    <w:rsid w:val="00383C09"/>
    <w:rsid w:val="00383C66"/>
    <w:rsid w:val="00383DCC"/>
    <w:rsid w:val="00383E41"/>
    <w:rsid w:val="00383F0D"/>
    <w:rsid w:val="00384033"/>
    <w:rsid w:val="0038447D"/>
    <w:rsid w:val="00384491"/>
    <w:rsid w:val="00384648"/>
    <w:rsid w:val="003847E2"/>
    <w:rsid w:val="00384B2F"/>
    <w:rsid w:val="00384F55"/>
    <w:rsid w:val="0038570F"/>
    <w:rsid w:val="003857C3"/>
    <w:rsid w:val="003858F8"/>
    <w:rsid w:val="0038592D"/>
    <w:rsid w:val="00385B6B"/>
    <w:rsid w:val="0038629D"/>
    <w:rsid w:val="003862FE"/>
    <w:rsid w:val="0038644F"/>
    <w:rsid w:val="00386C83"/>
    <w:rsid w:val="00386E90"/>
    <w:rsid w:val="0038719E"/>
    <w:rsid w:val="00387612"/>
    <w:rsid w:val="00387755"/>
    <w:rsid w:val="00387759"/>
    <w:rsid w:val="0038783E"/>
    <w:rsid w:val="0038795C"/>
    <w:rsid w:val="00387C91"/>
    <w:rsid w:val="00387D06"/>
    <w:rsid w:val="00387DF1"/>
    <w:rsid w:val="00387E01"/>
    <w:rsid w:val="00390313"/>
    <w:rsid w:val="003906AC"/>
    <w:rsid w:val="00390BD5"/>
    <w:rsid w:val="00390CCA"/>
    <w:rsid w:val="00390CF6"/>
    <w:rsid w:val="00390DA5"/>
    <w:rsid w:val="00391060"/>
    <w:rsid w:val="0039111B"/>
    <w:rsid w:val="00391163"/>
    <w:rsid w:val="003914EC"/>
    <w:rsid w:val="003917CC"/>
    <w:rsid w:val="00391DFD"/>
    <w:rsid w:val="00392382"/>
    <w:rsid w:val="003924C9"/>
    <w:rsid w:val="00392705"/>
    <w:rsid w:val="00392803"/>
    <w:rsid w:val="0039282C"/>
    <w:rsid w:val="00392879"/>
    <w:rsid w:val="00392C2F"/>
    <w:rsid w:val="00392F31"/>
    <w:rsid w:val="003931DE"/>
    <w:rsid w:val="003936AE"/>
    <w:rsid w:val="0039463F"/>
    <w:rsid w:val="0039471A"/>
    <w:rsid w:val="003949BF"/>
    <w:rsid w:val="00394CFF"/>
    <w:rsid w:val="00394D37"/>
    <w:rsid w:val="00394DDF"/>
    <w:rsid w:val="00394E09"/>
    <w:rsid w:val="00394EE9"/>
    <w:rsid w:val="0039515B"/>
    <w:rsid w:val="00395212"/>
    <w:rsid w:val="0039532C"/>
    <w:rsid w:val="00395435"/>
    <w:rsid w:val="00395838"/>
    <w:rsid w:val="00395BDC"/>
    <w:rsid w:val="00395DEE"/>
    <w:rsid w:val="00395FE5"/>
    <w:rsid w:val="00395FF8"/>
    <w:rsid w:val="003963C8"/>
    <w:rsid w:val="00396405"/>
    <w:rsid w:val="003966CA"/>
    <w:rsid w:val="003967BA"/>
    <w:rsid w:val="00396B96"/>
    <w:rsid w:val="00397059"/>
    <w:rsid w:val="003970E7"/>
    <w:rsid w:val="003972CD"/>
    <w:rsid w:val="0039752D"/>
    <w:rsid w:val="00397542"/>
    <w:rsid w:val="0039796E"/>
    <w:rsid w:val="003979EC"/>
    <w:rsid w:val="00397B8F"/>
    <w:rsid w:val="00397C5B"/>
    <w:rsid w:val="003A0208"/>
    <w:rsid w:val="003A024E"/>
    <w:rsid w:val="003A0268"/>
    <w:rsid w:val="003A0387"/>
    <w:rsid w:val="003A05E8"/>
    <w:rsid w:val="003A0700"/>
    <w:rsid w:val="003A0765"/>
    <w:rsid w:val="003A09AA"/>
    <w:rsid w:val="003A0A67"/>
    <w:rsid w:val="003A0E1B"/>
    <w:rsid w:val="003A0ECE"/>
    <w:rsid w:val="003A0F0F"/>
    <w:rsid w:val="003A0F18"/>
    <w:rsid w:val="003A116A"/>
    <w:rsid w:val="003A12B1"/>
    <w:rsid w:val="003A14A5"/>
    <w:rsid w:val="003A152A"/>
    <w:rsid w:val="003A1741"/>
    <w:rsid w:val="003A188B"/>
    <w:rsid w:val="003A1894"/>
    <w:rsid w:val="003A1AB8"/>
    <w:rsid w:val="003A1D33"/>
    <w:rsid w:val="003A212E"/>
    <w:rsid w:val="003A2139"/>
    <w:rsid w:val="003A260A"/>
    <w:rsid w:val="003A2681"/>
    <w:rsid w:val="003A2A3D"/>
    <w:rsid w:val="003A2B4E"/>
    <w:rsid w:val="003A2CAC"/>
    <w:rsid w:val="003A2F2D"/>
    <w:rsid w:val="003A2FE7"/>
    <w:rsid w:val="003A310E"/>
    <w:rsid w:val="003A3211"/>
    <w:rsid w:val="003A32CD"/>
    <w:rsid w:val="003A33C0"/>
    <w:rsid w:val="003A3434"/>
    <w:rsid w:val="003A3499"/>
    <w:rsid w:val="003A373F"/>
    <w:rsid w:val="003A3D15"/>
    <w:rsid w:val="003A3E91"/>
    <w:rsid w:val="003A424F"/>
    <w:rsid w:val="003A4751"/>
    <w:rsid w:val="003A4AF0"/>
    <w:rsid w:val="003A4F25"/>
    <w:rsid w:val="003A4F57"/>
    <w:rsid w:val="003A4F6D"/>
    <w:rsid w:val="003A5064"/>
    <w:rsid w:val="003A5254"/>
    <w:rsid w:val="003A5454"/>
    <w:rsid w:val="003A5AF9"/>
    <w:rsid w:val="003A5BD3"/>
    <w:rsid w:val="003A5C7B"/>
    <w:rsid w:val="003A5D0E"/>
    <w:rsid w:val="003A5E59"/>
    <w:rsid w:val="003A6207"/>
    <w:rsid w:val="003A645A"/>
    <w:rsid w:val="003A65EF"/>
    <w:rsid w:val="003A666C"/>
    <w:rsid w:val="003A691A"/>
    <w:rsid w:val="003A6AFC"/>
    <w:rsid w:val="003A7036"/>
    <w:rsid w:val="003A70F1"/>
    <w:rsid w:val="003A71BA"/>
    <w:rsid w:val="003A7319"/>
    <w:rsid w:val="003A7486"/>
    <w:rsid w:val="003A7504"/>
    <w:rsid w:val="003A766C"/>
    <w:rsid w:val="003A7891"/>
    <w:rsid w:val="003A7927"/>
    <w:rsid w:val="003A7997"/>
    <w:rsid w:val="003A7DD0"/>
    <w:rsid w:val="003A7EEB"/>
    <w:rsid w:val="003A7F05"/>
    <w:rsid w:val="003A7FE6"/>
    <w:rsid w:val="003B00D0"/>
    <w:rsid w:val="003B030F"/>
    <w:rsid w:val="003B0706"/>
    <w:rsid w:val="003B083D"/>
    <w:rsid w:val="003B0B6B"/>
    <w:rsid w:val="003B0B86"/>
    <w:rsid w:val="003B0DB8"/>
    <w:rsid w:val="003B0E86"/>
    <w:rsid w:val="003B0E97"/>
    <w:rsid w:val="003B0F25"/>
    <w:rsid w:val="003B0F91"/>
    <w:rsid w:val="003B12F9"/>
    <w:rsid w:val="003B1501"/>
    <w:rsid w:val="003B17E4"/>
    <w:rsid w:val="003B195A"/>
    <w:rsid w:val="003B1C5F"/>
    <w:rsid w:val="003B1CD6"/>
    <w:rsid w:val="003B2552"/>
    <w:rsid w:val="003B26D0"/>
    <w:rsid w:val="003B2A5C"/>
    <w:rsid w:val="003B30AF"/>
    <w:rsid w:val="003B367C"/>
    <w:rsid w:val="003B3A2E"/>
    <w:rsid w:val="003B3AE6"/>
    <w:rsid w:val="003B3C56"/>
    <w:rsid w:val="003B3E3A"/>
    <w:rsid w:val="003B3F80"/>
    <w:rsid w:val="003B4401"/>
    <w:rsid w:val="003B44B6"/>
    <w:rsid w:val="003B44E6"/>
    <w:rsid w:val="003B44E9"/>
    <w:rsid w:val="003B456F"/>
    <w:rsid w:val="003B45A9"/>
    <w:rsid w:val="003B46F5"/>
    <w:rsid w:val="003B4821"/>
    <w:rsid w:val="003B49E0"/>
    <w:rsid w:val="003B4C81"/>
    <w:rsid w:val="003B4F0F"/>
    <w:rsid w:val="003B5693"/>
    <w:rsid w:val="003B5707"/>
    <w:rsid w:val="003B5729"/>
    <w:rsid w:val="003B58AB"/>
    <w:rsid w:val="003B5925"/>
    <w:rsid w:val="003B5BD2"/>
    <w:rsid w:val="003B5C3D"/>
    <w:rsid w:val="003B5CD3"/>
    <w:rsid w:val="003B607F"/>
    <w:rsid w:val="003B622F"/>
    <w:rsid w:val="003B62D6"/>
    <w:rsid w:val="003B6649"/>
    <w:rsid w:val="003B6910"/>
    <w:rsid w:val="003B70AF"/>
    <w:rsid w:val="003B70BD"/>
    <w:rsid w:val="003B716B"/>
    <w:rsid w:val="003B72D6"/>
    <w:rsid w:val="003B72DB"/>
    <w:rsid w:val="003B7375"/>
    <w:rsid w:val="003B7475"/>
    <w:rsid w:val="003B74E6"/>
    <w:rsid w:val="003B7511"/>
    <w:rsid w:val="003B757B"/>
    <w:rsid w:val="003B773A"/>
    <w:rsid w:val="003B7D95"/>
    <w:rsid w:val="003B7EBA"/>
    <w:rsid w:val="003C0196"/>
    <w:rsid w:val="003C028C"/>
    <w:rsid w:val="003C0ACA"/>
    <w:rsid w:val="003C0D94"/>
    <w:rsid w:val="003C0DED"/>
    <w:rsid w:val="003C11C4"/>
    <w:rsid w:val="003C151F"/>
    <w:rsid w:val="003C173D"/>
    <w:rsid w:val="003C1914"/>
    <w:rsid w:val="003C1A2A"/>
    <w:rsid w:val="003C22E1"/>
    <w:rsid w:val="003C2362"/>
    <w:rsid w:val="003C2634"/>
    <w:rsid w:val="003C2797"/>
    <w:rsid w:val="003C2A81"/>
    <w:rsid w:val="003C2C05"/>
    <w:rsid w:val="003C2C17"/>
    <w:rsid w:val="003C2EAE"/>
    <w:rsid w:val="003C3565"/>
    <w:rsid w:val="003C364F"/>
    <w:rsid w:val="003C3698"/>
    <w:rsid w:val="003C3C51"/>
    <w:rsid w:val="003C3CA2"/>
    <w:rsid w:val="003C3DD6"/>
    <w:rsid w:val="003C3DFF"/>
    <w:rsid w:val="003C405C"/>
    <w:rsid w:val="003C427D"/>
    <w:rsid w:val="003C449C"/>
    <w:rsid w:val="003C4593"/>
    <w:rsid w:val="003C4741"/>
    <w:rsid w:val="003C4AB0"/>
    <w:rsid w:val="003C4BA5"/>
    <w:rsid w:val="003C4C10"/>
    <w:rsid w:val="003C4D41"/>
    <w:rsid w:val="003C4DDE"/>
    <w:rsid w:val="003C4DEE"/>
    <w:rsid w:val="003C4ECE"/>
    <w:rsid w:val="003C5044"/>
    <w:rsid w:val="003C5575"/>
    <w:rsid w:val="003C5A82"/>
    <w:rsid w:val="003C614F"/>
    <w:rsid w:val="003C616B"/>
    <w:rsid w:val="003C6174"/>
    <w:rsid w:val="003C63D3"/>
    <w:rsid w:val="003C6437"/>
    <w:rsid w:val="003C6616"/>
    <w:rsid w:val="003C698B"/>
    <w:rsid w:val="003C6D20"/>
    <w:rsid w:val="003C6E05"/>
    <w:rsid w:val="003C70F5"/>
    <w:rsid w:val="003C77B9"/>
    <w:rsid w:val="003C77E1"/>
    <w:rsid w:val="003C7A46"/>
    <w:rsid w:val="003C7BA0"/>
    <w:rsid w:val="003D033C"/>
    <w:rsid w:val="003D0474"/>
    <w:rsid w:val="003D080E"/>
    <w:rsid w:val="003D0970"/>
    <w:rsid w:val="003D114C"/>
    <w:rsid w:val="003D12B5"/>
    <w:rsid w:val="003D155A"/>
    <w:rsid w:val="003D17D3"/>
    <w:rsid w:val="003D18AD"/>
    <w:rsid w:val="003D18B3"/>
    <w:rsid w:val="003D1B2B"/>
    <w:rsid w:val="003D1DB4"/>
    <w:rsid w:val="003D2267"/>
    <w:rsid w:val="003D22FE"/>
    <w:rsid w:val="003D24BC"/>
    <w:rsid w:val="003D2732"/>
    <w:rsid w:val="003D27FB"/>
    <w:rsid w:val="003D28B1"/>
    <w:rsid w:val="003D2A67"/>
    <w:rsid w:val="003D2BF9"/>
    <w:rsid w:val="003D2D87"/>
    <w:rsid w:val="003D2F51"/>
    <w:rsid w:val="003D2FD9"/>
    <w:rsid w:val="003D3131"/>
    <w:rsid w:val="003D314E"/>
    <w:rsid w:val="003D3457"/>
    <w:rsid w:val="003D34AC"/>
    <w:rsid w:val="003D35C3"/>
    <w:rsid w:val="003D35F9"/>
    <w:rsid w:val="003D3995"/>
    <w:rsid w:val="003D3A5B"/>
    <w:rsid w:val="003D3E01"/>
    <w:rsid w:val="003D3ECD"/>
    <w:rsid w:val="003D4390"/>
    <w:rsid w:val="003D43D4"/>
    <w:rsid w:val="003D4410"/>
    <w:rsid w:val="003D47B9"/>
    <w:rsid w:val="003D4C71"/>
    <w:rsid w:val="003D4E1F"/>
    <w:rsid w:val="003D5077"/>
    <w:rsid w:val="003D5209"/>
    <w:rsid w:val="003D520A"/>
    <w:rsid w:val="003D5B54"/>
    <w:rsid w:val="003D5C52"/>
    <w:rsid w:val="003D5F4E"/>
    <w:rsid w:val="003D6438"/>
    <w:rsid w:val="003D6694"/>
    <w:rsid w:val="003D68A2"/>
    <w:rsid w:val="003D6C02"/>
    <w:rsid w:val="003D6EDB"/>
    <w:rsid w:val="003D7311"/>
    <w:rsid w:val="003D767B"/>
    <w:rsid w:val="003D7911"/>
    <w:rsid w:val="003D7F87"/>
    <w:rsid w:val="003E0055"/>
    <w:rsid w:val="003E0587"/>
    <w:rsid w:val="003E0645"/>
    <w:rsid w:val="003E0764"/>
    <w:rsid w:val="003E0AA7"/>
    <w:rsid w:val="003E0CBC"/>
    <w:rsid w:val="003E0D1C"/>
    <w:rsid w:val="003E0F6F"/>
    <w:rsid w:val="003E0FDA"/>
    <w:rsid w:val="003E11B8"/>
    <w:rsid w:val="003E11BC"/>
    <w:rsid w:val="003E11FD"/>
    <w:rsid w:val="003E135F"/>
    <w:rsid w:val="003E1887"/>
    <w:rsid w:val="003E19F4"/>
    <w:rsid w:val="003E1C2A"/>
    <w:rsid w:val="003E2020"/>
    <w:rsid w:val="003E2124"/>
    <w:rsid w:val="003E246D"/>
    <w:rsid w:val="003E2765"/>
    <w:rsid w:val="003E2801"/>
    <w:rsid w:val="003E2953"/>
    <w:rsid w:val="003E2BCA"/>
    <w:rsid w:val="003E31C2"/>
    <w:rsid w:val="003E3274"/>
    <w:rsid w:val="003E34F4"/>
    <w:rsid w:val="003E3714"/>
    <w:rsid w:val="003E3775"/>
    <w:rsid w:val="003E38CC"/>
    <w:rsid w:val="003E3BE2"/>
    <w:rsid w:val="003E3E42"/>
    <w:rsid w:val="003E3EC0"/>
    <w:rsid w:val="003E3EEB"/>
    <w:rsid w:val="003E417A"/>
    <w:rsid w:val="003E418B"/>
    <w:rsid w:val="003E43CD"/>
    <w:rsid w:val="003E4C2B"/>
    <w:rsid w:val="003E508A"/>
    <w:rsid w:val="003E5310"/>
    <w:rsid w:val="003E56A3"/>
    <w:rsid w:val="003E5D12"/>
    <w:rsid w:val="003E5E7E"/>
    <w:rsid w:val="003E6208"/>
    <w:rsid w:val="003E62AD"/>
    <w:rsid w:val="003E6527"/>
    <w:rsid w:val="003E6BB9"/>
    <w:rsid w:val="003E6CD9"/>
    <w:rsid w:val="003E75F6"/>
    <w:rsid w:val="003E79AB"/>
    <w:rsid w:val="003E7DDC"/>
    <w:rsid w:val="003F0591"/>
    <w:rsid w:val="003F05BF"/>
    <w:rsid w:val="003F084B"/>
    <w:rsid w:val="003F094E"/>
    <w:rsid w:val="003F0A82"/>
    <w:rsid w:val="003F0B79"/>
    <w:rsid w:val="003F1398"/>
    <w:rsid w:val="003F184B"/>
    <w:rsid w:val="003F2583"/>
    <w:rsid w:val="003F25E5"/>
    <w:rsid w:val="003F27BB"/>
    <w:rsid w:val="003F282C"/>
    <w:rsid w:val="003F297F"/>
    <w:rsid w:val="003F2D69"/>
    <w:rsid w:val="003F2FB3"/>
    <w:rsid w:val="003F3422"/>
    <w:rsid w:val="003F3480"/>
    <w:rsid w:val="003F385C"/>
    <w:rsid w:val="003F3964"/>
    <w:rsid w:val="003F3E4D"/>
    <w:rsid w:val="003F411C"/>
    <w:rsid w:val="003F4341"/>
    <w:rsid w:val="003F484D"/>
    <w:rsid w:val="003F48F2"/>
    <w:rsid w:val="003F5009"/>
    <w:rsid w:val="003F5110"/>
    <w:rsid w:val="003F5555"/>
    <w:rsid w:val="003F5862"/>
    <w:rsid w:val="003F5B91"/>
    <w:rsid w:val="003F5BAB"/>
    <w:rsid w:val="003F5C49"/>
    <w:rsid w:val="003F5E8F"/>
    <w:rsid w:val="003F5EAC"/>
    <w:rsid w:val="003F5F73"/>
    <w:rsid w:val="003F6652"/>
    <w:rsid w:val="003F682B"/>
    <w:rsid w:val="003F686F"/>
    <w:rsid w:val="003F6AB8"/>
    <w:rsid w:val="003F70A0"/>
    <w:rsid w:val="003F7209"/>
    <w:rsid w:val="003F7453"/>
    <w:rsid w:val="003F7489"/>
    <w:rsid w:val="003F794B"/>
    <w:rsid w:val="003F7954"/>
    <w:rsid w:val="003F7E5B"/>
    <w:rsid w:val="003F7F43"/>
    <w:rsid w:val="004000C1"/>
    <w:rsid w:val="004008DA"/>
    <w:rsid w:val="00400C38"/>
    <w:rsid w:val="00401137"/>
    <w:rsid w:val="004012F7"/>
    <w:rsid w:val="00401325"/>
    <w:rsid w:val="004013D8"/>
    <w:rsid w:val="004016D1"/>
    <w:rsid w:val="00401702"/>
    <w:rsid w:val="00401B08"/>
    <w:rsid w:val="00401B99"/>
    <w:rsid w:val="00401CB7"/>
    <w:rsid w:val="00401D94"/>
    <w:rsid w:val="00402104"/>
    <w:rsid w:val="004021A8"/>
    <w:rsid w:val="004022FE"/>
    <w:rsid w:val="004027BC"/>
    <w:rsid w:val="004028E0"/>
    <w:rsid w:val="00402AA6"/>
    <w:rsid w:val="00402C80"/>
    <w:rsid w:val="00402D46"/>
    <w:rsid w:val="00403092"/>
    <w:rsid w:val="00403241"/>
    <w:rsid w:val="004035C0"/>
    <w:rsid w:val="00403DF3"/>
    <w:rsid w:val="00403E00"/>
    <w:rsid w:val="00403EFD"/>
    <w:rsid w:val="004046AE"/>
    <w:rsid w:val="0040494B"/>
    <w:rsid w:val="00404F17"/>
    <w:rsid w:val="0040539B"/>
    <w:rsid w:val="004057D3"/>
    <w:rsid w:val="004060D9"/>
    <w:rsid w:val="0040613A"/>
    <w:rsid w:val="004062E2"/>
    <w:rsid w:val="004066C5"/>
    <w:rsid w:val="004066EE"/>
    <w:rsid w:val="0040696F"/>
    <w:rsid w:val="00406CB4"/>
    <w:rsid w:val="00406DC9"/>
    <w:rsid w:val="00407240"/>
    <w:rsid w:val="00407587"/>
    <w:rsid w:val="004076C6"/>
    <w:rsid w:val="00407A00"/>
    <w:rsid w:val="00407AE1"/>
    <w:rsid w:val="00407E20"/>
    <w:rsid w:val="0041000D"/>
    <w:rsid w:val="00410030"/>
    <w:rsid w:val="00410588"/>
    <w:rsid w:val="004105E1"/>
    <w:rsid w:val="0041067B"/>
    <w:rsid w:val="00410C18"/>
    <w:rsid w:val="00410FD9"/>
    <w:rsid w:val="0041105B"/>
    <w:rsid w:val="0041133D"/>
    <w:rsid w:val="004114C2"/>
    <w:rsid w:val="00411BC8"/>
    <w:rsid w:val="00411CAE"/>
    <w:rsid w:val="00412142"/>
    <w:rsid w:val="004122EC"/>
    <w:rsid w:val="0041288A"/>
    <w:rsid w:val="00412A99"/>
    <w:rsid w:val="00412C09"/>
    <w:rsid w:val="00412DF4"/>
    <w:rsid w:val="00413094"/>
    <w:rsid w:val="004133F0"/>
    <w:rsid w:val="004135AE"/>
    <w:rsid w:val="00413EBE"/>
    <w:rsid w:val="0041466B"/>
    <w:rsid w:val="00414753"/>
    <w:rsid w:val="00414788"/>
    <w:rsid w:val="00414845"/>
    <w:rsid w:val="00414904"/>
    <w:rsid w:val="00414A75"/>
    <w:rsid w:val="00414AB2"/>
    <w:rsid w:val="00414AF8"/>
    <w:rsid w:val="00415922"/>
    <w:rsid w:val="00415A90"/>
    <w:rsid w:val="00415DB5"/>
    <w:rsid w:val="00415F21"/>
    <w:rsid w:val="0041643D"/>
    <w:rsid w:val="004167F3"/>
    <w:rsid w:val="00416D8E"/>
    <w:rsid w:val="00416E1C"/>
    <w:rsid w:val="00416ED3"/>
    <w:rsid w:val="00417081"/>
    <w:rsid w:val="004171A4"/>
    <w:rsid w:val="00417A87"/>
    <w:rsid w:val="00417A99"/>
    <w:rsid w:val="0042018D"/>
    <w:rsid w:val="0042075E"/>
    <w:rsid w:val="00420956"/>
    <w:rsid w:val="004209D8"/>
    <w:rsid w:val="00420BE6"/>
    <w:rsid w:val="00420F8C"/>
    <w:rsid w:val="0042118B"/>
    <w:rsid w:val="0042129B"/>
    <w:rsid w:val="004213F2"/>
    <w:rsid w:val="00422325"/>
    <w:rsid w:val="00422433"/>
    <w:rsid w:val="004227FF"/>
    <w:rsid w:val="00422972"/>
    <w:rsid w:val="00422A44"/>
    <w:rsid w:val="00422E8B"/>
    <w:rsid w:val="00422F63"/>
    <w:rsid w:val="00422FEA"/>
    <w:rsid w:val="00423141"/>
    <w:rsid w:val="004234AD"/>
    <w:rsid w:val="004235D3"/>
    <w:rsid w:val="00423650"/>
    <w:rsid w:val="0042393E"/>
    <w:rsid w:val="00423E22"/>
    <w:rsid w:val="00423E9D"/>
    <w:rsid w:val="00423EA7"/>
    <w:rsid w:val="00423EEF"/>
    <w:rsid w:val="00424129"/>
    <w:rsid w:val="00424229"/>
    <w:rsid w:val="00424247"/>
    <w:rsid w:val="004243DC"/>
    <w:rsid w:val="0042448E"/>
    <w:rsid w:val="004246B0"/>
    <w:rsid w:val="00424891"/>
    <w:rsid w:val="00424967"/>
    <w:rsid w:val="00424D59"/>
    <w:rsid w:val="00424ED3"/>
    <w:rsid w:val="00424F1F"/>
    <w:rsid w:val="0042503C"/>
    <w:rsid w:val="00425162"/>
    <w:rsid w:val="00425AB4"/>
    <w:rsid w:val="00425D5B"/>
    <w:rsid w:val="00425E22"/>
    <w:rsid w:val="0042630A"/>
    <w:rsid w:val="004263DA"/>
    <w:rsid w:val="00426827"/>
    <w:rsid w:val="00426D59"/>
    <w:rsid w:val="00426DD2"/>
    <w:rsid w:val="00426EFC"/>
    <w:rsid w:val="00426F37"/>
    <w:rsid w:val="004270F6"/>
    <w:rsid w:val="00427138"/>
    <w:rsid w:val="00427691"/>
    <w:rsid w:val="004279D3"/>
    <w:rsid w:val="004279D4"/>
    <w:rsid w:val="00427E33"/>
    <w:rsid w:val="00430304"/>
    <w:rsid w:val="00430392"/>
    <w:rsid w:val="00430CC2"/>
    <w:rsid w:val="00430F25"/>
    <w:rsid w:val="00431308"/>
    <w:rsid w:val="00431717"/>
    <w:rsid w:val="004319ED"/>
    <w:rsid w:val="00431A6D"/>
    <w:rsid w:val="00432002"/>
    <w:rsid w:val="00432251"/>
    <w:rsid w:val="004322F7"/>
    <w:rsid w:val="004323E5"/>
    <w:rsid w:val="004323FD"/>
    <w:rsid w:val="004324B3"/>
    <w:rsid w:val="0043276D"/>
    <w:rsid w:val="00432964"/>
    <w:rsid w:val="00432C5B"/>
    <w:rsid w:val="00432D42"/>
    <w:rsid w:val="0043300D"/>
    <w:rsid w:val="00433424"/>
    <w:rsid w:val="00433A57"/>
    <w:rsid w:val="00433CEE"/>
    <w:rsid w:val="00433DC2"/>
    <w:rsid w:val="00433F4A"/>
    <w:rsid w:val="00434057"/>
    <w:rsid w:val="0043448A"/>
    <w:rsid w:val="004346C4"/>
    <w:rsid w:val="0043491B"/>
    <w:rsid w:val="00434A62"/>
    <w:rsid w:val="0043511F"/>
    <w:rsid w:val="00435288"/>
    <w:rsid w:val="00435383"/>
    <w:rsid w:val="00435D50"/>
    <w:rsid w:val="0043608E"/>
    <w:rsid w:val="0043668D"/>
    <w:rsid w:val="00436C17"/>
    <w:rsid w:val="00436EA0"/>
    <w:rsid w:val="00437056"/>
    <w:rsid w:val="0043711B"/>
    <w:rsid w:val="004374CD"/>
    <w:rsid w:val="004375BF"/>
    <w:rsid w:val="00437861"/>
    <w:rsid w:val="00437972"/>
    <w:rsid w:val="0044007D"/>
    <w:rsid w:val="0044015A"/>
    <w:rsid w:val="0044029F"/>
    <w:rsid w:val="00440485"/>
    <w:rsid w:val="00440749"/>
    <w:rsid w:val="00440C52"/>
    <w:rsid w:val="00440D5D"/>
    <w:rsid w:val="0044118A"/>
    <w:rsid w:val="00441241"/>
    <w:rsid w:val="00441506"/>
    <w:rsid w:val="004416EC"/>
    <w:rsid w:val="00441ADB"/>
    <w:rsid w:val="00441BA1"/>
    <w:rsid w:val="00441BD3"/>
    <w:rsid w:val="00441E13"/>
    <w:rsid w:val="00441FCF"/>
    <w:rsid w:val="004423B9"/>
    <w:rsid w:val="004423FF"/>
    <w:rsid w:val="004425EA"/>
    <w:rsid w:val="00442A98"/>
    <w:rsid w:val="00442CAE"/>
    <w:rsid w:val="00442E5B"/>
    <w:rsid w:val="00442EDB"/>
    <w:rsid w:val="00442F99"/>
    <w:rsid w:val="004433EC"/>
    <w:rsid w:val="00443507"/>
    <w:rsid w:val="00443592"/>
    <w:rsid w:val="00444149"/>
    <w:rsid w:val="0044415B"/>
    <w:rsid w:val="004443E3"/>
    <w:rsid w:val="0044451A"/>
    <w:rsid w:val="004445AC"/>
    <w:rsid w:val="004446E5"/>
    <w:rsid w:val="00444708"/>
    <w:rsid w:val="004447AD"/>
    <w:rsid w:val="00444B27"/>
    <w:rsid w:val="00444FCE"/>
    <w:rsid w:val="0044553D"/>
    <w:rsid w:val="00445582"/>
    <w:rsid w:val="0044570F"/>
    <w:rsid w:val="00445782"/>
    <w:rsid w:val="004458FB"/>
    <w:rsid w:val="00445B02"/>
    <w:rsid w:val="00445B75"/>
    <w:rsid w:val="00445C91"/>
    <w:rsid w:val="00445C92"/>
    <w:rsid w:val="00445EFB"/>
    <w:rsid w:val="00446253"/>
    <w:rsid w:val="0044665D"/>
    <w:rsid w:val="00446898"/>
    <w:rsid w:val="00446A7B"/>
    <w:rsid w:val="00446C8B"/>
    <w:rsid w:val="00446CC9"/>
    <w:rsid w:val="00446D8B"/>
    <w:rsid w:val="00447080"/>
    <w:rsid w:val="0044710C"/>
    <w:rsid w:val="004471D3"/>
    <w:rsid w:val="004471F5"/>
    <w:rsid w:val="0044799E"/>
    <w:rsid w:val="00447A4B"/>
    <w:rsid w:val="00447AD1"/>
    <w:rsid w:val="00447BF7"/>
    <w:rsid w:val="00447D33"/>
    <w:rsid w:val="00447F1E"/>
    <w:rsid w:val="0045022E"/>
    <w:rsid w:val="00450261"/>
    <w:rsid w:val="00450394"/>
    <w:rsid w:val="004503F2"/>
    <w:rsid w:val="0045059C"/>
    <w:rsid w:val="00450689"/>
    <w:rsid w:val="00450ADD"/>
    <w:rsid w:val="00450B6F"/>
    <w:rsid w:val="00450E71"/>
    <w:rsid w:val="00450F11"/>
    <w:rsid w:val="00450F38"/>
    <w:rsid w:val="004511DD"/>
    <w:rsid w:val="00451452"/>
    <w:rsid w:val="00451481"/>
    <w:rsid w:val="004518D7"/>
    <w:rsid w:val="00451C7F"/>
    <w:rsid w:val="004520C0"/>
    <w:rsid w:val="00452227"/>
    <w:rsid w:val="004522C1"/>
    <w:rsid w:val="004523DA"/>
    <w:rsid w:val="00452712"/>
    <w:rsid w:val="00452820"/>
    <w:rsid w:val="00452A1E"/>
    <w:rsid w:val="00452A9A"/>
    <w:rsid w:val="00452F30"/>
    <w:rsid w:val="00452F3D"/>
    <w:rsid w:val="00452FE2"/>
    <w:rsid w:val="004530FA"/>
    <w:rsid w:val="00453409"/>
    <w:rsid w:val="00453575"/>
    <w:rsid w:val="00453A9C"/>
    <w:rsid w:val="00453C4E"/>
    <w:rsid w:val="004540C0"/>
    <w:rsid w:val="004541C3"/>
    <w:rsid w:val="00454917"/>
    <w:rsid w:val="00455094"/>
    <w:rsid w:val="004552E0"/>
    <w:rsid w:val="00455425"/>
    <w:rsid w:val="00455624"/>
    <w:rsid w:val="004556CE"/>
    <w:rsid w:val="004556DE"/>
    <w:rsid w:val="00455A11"/>
    <w:rsid w:val="00455BC2"/>
    <w:rsid w:val="00455C0C"/>
    <w:rsid w:val="00456062"/>
    <w:rsid w:val="0045624F"/>
    <w:rsid w:val="004562A6"/>
    <w:rsid w:val="00456435"/>
    <w:rsid w:val="00456447"/>
    <w:rsid w:val="00456840"/>
    <w:rsid w:val="00456BFD"/>
    <w:rsid w:val="00456E77"/>
    <w:rsid w:val="0045703F"/>
    <w:rsid w:val="004570C1"/>
    <w:rsid w:val="00457473"/>
    <w:rsid w:val="004575DA"/>
    <w:rsid w:val="004577AC"/>
    <w:rsid w:val="004577CB"/>
    <w:rsid w:val="00457AB8"/>
    <w:rsid w:val="00457CC6"/>
    <w:rsid w:val="004607FC"/>
    <w:rsid w:val="00460942"/>
    <w:rsid w:val="00460A84"/>
    <w:rsid w:val="00460A91"/>
    <w:rsid w:val="00460B96"/>
    <w:rsid w:val="00460E76"/>
    <w:rsid w:val="00460EA0"/>
    <w:rsid w:val="00460ED7"/>
    <w:rsid w:val="0046106E"/>
    <w:rsid w:val="00461683"/>
    <w:rsid w:val="00461875"/>
    <w:rsid w:val="004618CB"/>
    <w:rsid w:val="00461A08"/>
    <w:rsid w:val="00461CB8"/>
    <w:rsid w:val="0046207B"/>
    <w:rsid w:val="00462109"/>
    <w:rsid w:val="00462372"/>
    <w:rsid w:val="00462AD4"/>
    <w:rsid w:val="00462BCA"/>
    <w:rsid w:val="00462C6E"/>
    <w:rsid w:val="00462DDC"/>
    <w:rsid w:val="00462E39"/>
    <w:rsid w:val="0046307D"/>
    <w:rsid w:val="004630D2"/>
    <w:rsid w:val="0046315C"/>
    <w:rsid w:val="00463395"/>
    <w:rsid w:val="0046342D"/>
    <w:rsid w:val="00463CF6"/>
    <w:rsid w:val="00463F21"/>
    <w:rsid w:val="004640F1"/>
    <w:rsid w:val="0046450D"/>
    <w:rsid w:val="00464611"/>
    <w:rsid w:val="00464713"/>
    <w:rsid w:val="00464727"/>
    <w:rsid w:val="004648A1"/>
    <w:rsid w:val="00464A3A"/>
    <w:rsid w:val="00464CD1"/>
    <w:rsid w:val="00464D28"/>
    <w:rsid w:val="00464F69"/>
    <w:rsid w:val="0046530D"/>
    <w:rsid w:val="00465314"/>
    <w:rsid w:val="0046538A"/>
    <w:rsid w:val="004655E6"/>
    <w:rsid w:val="0046576A"/>
    <w:rsid w:val="00465887"/>
    <w:rsid w:val="00465AED"/>
    <w:rsid w:val="00465B86"/>
    <w:rsid w:val="00465D35"/>
    <w:rsid w:val="00465F3C"/>
    <w:rsid w:val="00466288"/>
    <w:rsid w:val="00466E52"/>
    <w:rsid w:val="00466E80"/>
    <w:rsid w:val="004670A3"/>
    <w:rsid w:val="00467575"/>
    <w:rsid w:val="004678E5"/>
    <w:rsid w:val="00467912"/>
    <w:rsid w:val="00467986"/>
    <w:rsid w:val="00467ADF"/>
    <w:rsid w:val="00467CB1"/>
    <w:rsid w:val="00467CEC"/>
    <w:rsid w:val="004705B7"/>
    <w:rsid w:val="00471083"/>
    <w:rsid w:val="00471289"/>
    <w:rsid w:val="00471D83"/>
    <w:rsid w:val="00471EBC"/>
    <w:rsid w:val="00471F42"/>
    <w:rsid w:val="00472127"/>
    <w:rsid w:val="00472190"/>
    <w:rsid w:val="00472473"/>
    <w:rsid w:val="004726CD"/>
    <w:rsid w:val="00472904"/>
    <w:rsid w:val="00472D17"/>
    <w:rsid w:val="00472E92"/>
    <w:rsid w:val="00472EFE"/>
    <w:rsid w:val="00473375"/>
    <w:rsid w:val="004734D5"/>
    <w:rsid w:val="004735C0"/>
    <w:rsid w:val="00473798"/>
    <w:rsid w:val="00473962"/>
    <w:rsid w:val="004739CB"/>
    <w:rsid w:val="00473CDB"/>
    <w:rsid w:val="00473EC1"/>
    <w:rsid w:val="00473F7B"/>
    <w:rsid w:val="004740A5"/>
    <w:rsid w:val="0047471E"/>
    <w:rsid w:val="00474861"/>
    <w:rsid w:val="00474AA0"/>
    <w:rsid w:val="00475684"/>
    <w:rsid w:val="00475988"/>
    <w:rsid w:val="00475B3E"/>
    <w:rsid w:val="00475D34"/>
    <w:rsid w:val="004761EB"/>
    <w:rsid w:val="0047654D"/>
    <w:rsid w:val="004767BF"/>
    <w:rsid w:val="004772FB"/>
    <w:rsid w:val="004773CF"/>
    <w:rsid w:val="004774A9"/>
    <w:rsid w:val="004774B4"/>
    <w:rsid w:val="0047775F"/>
    <w:rsid w:val="004777DE"/>
    <w:rsid w:val="004777EB"/>
    <w:rsid w:val="00477E6D"/>
    <w:rsid w:val="00480170"/>
    <w:rsid w:val="004801A4"/>
    <w:rsid w:val="00480405"/>
    <w:rsid w:val="004808F4"/>
    <w:rsid w:val="00480A5E"/>
    <w:rsid w:val="00481503"/>
    <w:rsid w:val="0048161A"/>
    <w:rsid w:val="00481647"/>
    <w:rsid w:val="00481A9F"/>
    <w:rsid w:val="00481CEF"/>
    <w:rsid w:val="00481CFE"/>
    <w:rsid w:val="004820C3"/>
    <w:rsid w:val="00482204"/>
    <w:rsid w:val="00482299"/>
    <w:rsid w:val="0048258C"/>
    <w:rsid w:val="00482CFB"/>
    <w:rsid w:val="0048333E"/>
    <w:rsid w:val="00483561"/>
    <w:rsid w:val="004835DC"/>
    <w:rsid w:val="004835E8"/>
    <w:rsid w:val="00483687"/>
    <w:rsid w:val="004836A9"/>
    <w:rsid w:val="00483845"/>
    <w:rsid w:val="0048389A"/>
    <w:rsid w:val="00483D70"/>
    <w:rsid w:val="00483DE8"/>
    <w:rsid w:val="0048422D"/>
    <w:rsid w:val="00484253"/>
    <w:rsid w:val="004842F6"/>
    <w:rsid w:val="004844B4"/>
    <w:rsid w:val="004844D8"/>
    <w:rsid w:val="00484569"/>
    <w:rsid w:val="00484BC1"/>
    <w:rsid w:val="00484BE6"/>
    <w:rsid w:val="0048543C"/>
    <w:rsid w:val="00485A00"/>
    <w:rsid w:val="00485F54"/>
    <w:rsid w:val="00485F71"/>
    <w:rsid w:val="00486189"/>
    <w:rsid w:val="004861BE"/>
    <w:rsid w:val="004866BB"/>
    <w:rsid w:val="004867B3"/>
    <w:rsid w:val="00486A06"/>
    <w:rsid w:val="00486AB4"/>
    <w:rsid w:val="00486B93"/>
    <w:rsid w:val="00486BBC"/>
    <w:rsid w:val="00487061"/>
    <w:rsid w:val="00487071"/>
    <w:rsid w:val="004870F4"/>
    <w:rsid w:val="004871DC"/>
    <w:rsid w:val="00487837"/>
    <w:rsid w:val="004878F3"/>
    <w:rsid w:val="00490019"/>
    <w:rsid w:val="00490390"/>
    <w:rsid w:val="0049094C"/>
    <w:rsid w:val="00490C73"/>
    <w:rsid w:val="00490DCD"/>
    <w:rsid w:val="00491363"/>
    <w:rsid w:val="00491384"/>
    <w:rsid w:val="00491403"/>
    <w:rsid w:val="004916F0"/>
    <w:rsid w:val="00491711"/>
    <w:rsid w:val="00491832"/>
    <w:rsid w:val="0049191B"/>
    <w:rsid w:val="00491997"/>
    <w:rsid w:val="00491BA4"/>
    <w:rsid w:val="00492121"/>
    <w:rsid w:val="0049286F"/>
    <w:rsid w:val="00492ABE"/>
    <w:rsid w:val="00492C5B"/>
    <w:rsid w:val="00492FDD"/>
    <w:rsid w:val="00493070"/>
    <w:rsid w:val="0049310E"/>
    <w:rsid w:val="0049343F"/>
    <w:rsid w:val="004935BC"/>
    <w:rsid w:val="004938B2"/>
    <w:rsid w:val="0049395B"/>
    <w:rsid w:val="00493A57"/>
    <w:rsid w:val="00493A61"/>
    <w:rsid w:val="00493C3F"/>
    <w:rsid w:val="00493C82"/>
    <w:rsid w:val="00493CDB"/>
    <w:rsid w:val="004946CE"/>
    <w:rsid w:val="00494C09"/>
    <w:rsid w:val="00494D82"/>
    <w:rsid w:val="00494DF8"/>
    <w:rsid w:val="0049553A"/>
    <w:rsid w:val="0049553B"/>
    <w:rsid w:val="00495740"/>
    <w:rsid w:val="00495C75"/>
    <w:rsid w:val="0049601A"/>
    <w:rsid w:val="004961D9"/>
    <w:rsid w:val="00496354"/>
    <w:rsid w:val="004965C0"/>
    <w:rsid w:val="00496831"/>
    <w:rsid w:val="00496C40"/>
    <w:rsid w:val="00496DF8"/>
    <w:rsid w:val="00497025"/>
    <w:rsid w:val="00497427"/>
    <w:rsid w:val="0049742C"/>
    <w:rsid w:val="00497495"/>
    <w:rsid w:val="004979B6"/>
    <w:rsid w:val="00497D37"/>
    <w:rsid w:val="00497DB6"/>
    <w:rsid w:val="00497E0E"/>
    <w:rsid w:val="004A00BB"/>
    <w:rsid w:val="004A0485"/>
    <w:rsid w:val="004A0517"/>
    <w:rsid w:val="004A0714"/>
    <w:rsid w:val="004A078B"/>
    <w:rsid w:val="004A0803"/>
    <w:rsid w:val="004A0CC3"/>
    <w:rsid w:val="004A0F92"/>
    <w:rsid w:val="004A12B5"/>
    <w:rsid w:val="004A164D"/>
    <w:rsid w:val="004A16B1"/>
    <w:rsid w:val="004A1AA9"/>
    <w:rsid w:val="004A1B59"/>
    <w:rsid w:val="004A1B6E"/>
    <w:rsid w:val="004A1B93"/>
    <w:rsid w:val="004A1BCC"/>
    <w:rsid w:val="004A20B8"/>
    <w:rsid w:val="004A21BC"/>
    <w:rsid w:val="004A253C"/>
    <w:rsid w:val="004A2963"/>
    <w:rsid w:val="004A2A82"/>
    <w:rsid w:val="004A3506"/>
    <w:rsid w:val="004A355B"/>
    <w:rsid w:val="004A3698"/>
    <w:rsid w:val="004A38AD"/>
    <w:rsid w:val="004A392F"/>
    <w:rsid w:val="004A3B41"/>
    <w:rsid w:val="004A3CAA"/>
    <w:rsid w:val="004A3E31"/>
    <w:rsid w:val="004A3F0B"/>
    <w:rsid w:val="004A4447"/>
    <w:rsid w:val="004A4617"/>
    <w:rsid w:val="004A466C"/>
    <w:rsid w:val="004A4B34"/>
    <w:rsid w:val="004A4C73"/>
    <w:rsid w:val="004A4D01"/>
    <w:rsid w:val="004A5135"/>
    <w:rsid w:val="004A5160"/>
    <w:rsid w:val="004A51C4"/>
    <w:rsid w:val="004A51C8"/>
    <w:rsid w:val="004A53F8"/>
    <w:rsid w:val="004A590C"/>
    <w:rsid w:val="004A5AC5"/>
    <w:rsid w:val="004A60BC"/>
    <w:rsid w:val="004A60D5"/>
    <w:rsid w:val="004A631B"/>
    <w:rsid w:val="004A646A"/>
    <w:rsid w:val="004A6775"/>
    <w:rsid w:val="004A6829"/>
    <w:rsid w:val="004A6AB2"/>
    <w:rsid w:val="004A6FD6"/>
    <w:rsid w:val="004A6FF7"/>
    <w:rsid w:val="004A73E4"/>
    <w:rsid w:val="004A7550"/>
    <w:rsid w:val="004A756C"/>
    <w:rsid w:val="004A7771"/>
    <w:rsid w:val="004A79DC"/>
    <w:rsid w:val="004A7A71"/>
    <w:rsid w:val="004A7C33"/>
    <w:rsid w:val="004A7E40"/>
    <w:rsid w:val="004A7E52"/>
    <w:rsid w:val="004A7EAC"/>
    <w:rsid w:val="004A7F20"/>
    <w:rsid w:val="004B0023"/>
    <w:rsid w:val="004B056F"/>
    <w:rsid w:val="004B077D"/>
    <w:rsid w:val="004B0781"/>
    <w:rsid w:val="004B0837"/>
    <w:rsid w:val="004B093F"/>
    <w:rsid w:val="004B0B18"/>
    <w:rsid w:val="004B0D48"/>
    <w:rsid w:val="004B0DA0"/>
    <w:rsid w:val="004B0FFF"/>
    <w:rsid w:val="004B1564"/>
    <w:rsid w:val="004B180E"/>
    <w:rsid w:val="004B19E4"/>
    <w:rsid w:val="004B1A39"/>
    <w:rsid w:val="004B1CC1"/>
    <w:rsid w:val="004B1D56"/>
    <w:rsid w:val="004B1DE4"/>
    <w:rsid w:val="004B1FDD"/>
    <w:rsid w:val="004B230C"/>
    <w:rsid w:val="004B23D1"/>
    <w:rsid w:val="004B24AA"/>
    <w:rsid w:val="004B24E7"/>
    <w:rsid w:val="004B254F"/>
    <w:rsid w:val="004B2635"/>
    <w:rsid w:val="004B28EC"/>
    <w:rsid w:val="004B2B61"/>
    <w:rsid w:val="004B2D65"/>
    <w:rsid w:val="004B2DA1"/>
    <w:rsid w:val="004B2F96"/>
    <w:rsid w:val="004B3017"/>
    <w:rsid w:val="004B334B"/>
    <w:rsid w:val="004B34E5"/>
    <w:rsid w:val="004B35CC"/>
    <w:rsid w:val="004B3626"/>
    <w:rsid w:val="004B369D"/>
    <w:rsid w:val="004B3EA6"/>
    <w:rsid w:val="004B3FDA"/>
    <w:rsid w:val="004B414F"/>
    <w:rsid w:val="004B4577"/>
    <w:rsid w:val="004B49CE"/>
    <w:rsid w:val="004B4C9D"/>
    <w:rsid w:val="004B4D05"/>
    <w:rsid w:val="004B5434"/>
    <w:rsid w:val="004B55EA"/>
    <w:rsid w:val="004B599A"/>
    <w:rsid w:val="004B59AD"/>
    <w:rsid w:val="004B59FD"/>
    <w:rsid w:val="004B5B31"/>
    <w:rsid w:val="004B5CC5"/>
    <w:rsid w:val="004B5D54"/>
    <w:rsid w:val="004B6140"/>
    <w:rsid w:val="004B66F3"/>
    <w:rsid w:val="004B68AF"/>
    <w:rsid w:val="004B694C"/>
    <w:rsid w:val="004B6AE5"/>
    <w:rsid w:val="004B70F8"/>
    <w:rsid w:val="004B710B"/>
    <w:rsid w:val="004B736F"/>
    <w:rsid w:val="004B7448"/>
    <w:rsid w:val="004B774B"/>
    <w:rsid w:val="004B7D3A"/>
    <w:rsid w:val="004B7DDB"/>
    <w:rsid w:val="004C0006"/>
    <w:rsid w:val="004C001D"/>
    <w:rsid w:val="004C050B"/>
    <w:rsid w:val="004C0A8D"/>
    <w:rsid w:val="004C0CC8"/>
    <w:rsid w:val="004C100C"/>
    <w:rsid w:val="004C1066"/>
    <w:rsid w:val="004C1255"/>
    <w:rsid w:val="004C1479"/>
    <w:rsid w:val="004C179B"/>
    <w:rsid w:val="004C1BD4"/>
    <w:rsid w:val="004C1E58"/>
    <w:rsid w:val="004C2415"/>
    <w:rsid w:val="004C242A"/>
    <w:rsid w:val="004C261F"/>
    <w:rsid w:val="004C27DF"/>
    <w:rsid w:val="004C29A9"/>
    <w:rsid w:val="004C2ECC"/>
    <w:rsid w:val="004C2F39"/>
    <w:rsid w:val="004C3180"/>
    <w:rsid w:val="004C3347"/>
    <w:rsid w:val="004C346C"/>
    <w:rsid w:val="004C3851"/>
    <w:rsid w:val="004C399E"/>
    <w:rsid w:val="004C39FD"/>
    <w:rsid w:val="004C3B8C"/>
    <w:rsid w:val="004C3C49"/>
    <w:rsid w:val="004C3F4E"/>
    <w:rsid w:val="004C40F6"/>
    <w:rsid w:val="004C4138"/>
    <w:rsid w:val="004C43D9"/>
    <w:rsid w:val="004C4535"/>
    <w:rsid w:val="004C45FD"/>
    <w:rsid w:val="004C4655"/>
    <w:rsid w:val="004C4A6F"/>
    <w:rsid w:val="004C4B79"/>
    <w:rsid w:val="004C4D17"/>
    <w:rsid w:val="004C54C4"/>
    <w:rsid w:val="004C54D3"/>
    <w:rsid w:val="004C5A78"/>
    <w:rsid w:val="004C5B7A"/>
    <w:rsid w:val="004C5EC5"/>
    <w:rsid w:val="004C62A5"/>
    <w:rsid w:val="004C62BC"/>
    <w:rsid w:val="004C6994"/>
    <w:rsid w:val="004C6A1C"/>
    <w:rsid w:val="004C6FAB"/>
    <w:rsid w:val="004C7333"/>
    <w:rsid w:val="004C76D4"/>
    <w:rsid w:val="004C7710"/>
    <w:rsid w:val="004C7CCC"/>
    <w:rsid w:val="004C7DF2"/>
    <w:rsid w:val="004D0592"/>
    <w:rsid w:val="004D0811"/>
    <w:rsid w:val="004D0C6D"/>
    <w:rsid w:val="004D0D99"/>
    <w:rsid w:val="004D0EAC"/>
    <w:rsid w:val="004D11A0"/>
    <w:rsid w:val="004D138B"/>
    <w:rsid w:val="004D14AC"/>
    <w:rsid w:val="004D160D"/>
    <w:rsid w:val="004D1721"/>
    <w:rsid w:val="004D1725"/>
    <w:rsid w:val="004D1A3E"/>
    <w:rsid w:val="004D1BE0"/>
    <w:rsid w:val="004D1D8F"/>
    <w:rsid w:val="004D1FE7"/>
    <w:rsid w:val="004D20CF"/>
    <w:rsid w:val="004D2660"/>
    <w:rsid w:val="004D2BB7"/>
    <w:rsid w:val="004D2E77"/>
    <w:rsid w:val="004D3292"/>
    <w:rsid w:val="004D32B6"/>
    <w:rsid w:val="004D36CD"/>
    <w:rsid w:val="004D3B19"/>
    <w:rsid w:val="004D3D03"/>
    <w:rsid w:val="004D3D7D"/>
    <w:rsid w:val="004D4066"/>
    <w:rsid w:val="004D412B"/>
    <w:rsid w:val="004D43FB"/>
    <w:rsid w:val="004D49DC"/>
    <w:rsid w:val="004D4DF8"/>
    <w:rsid w:val="004D5560"/>
    <w:rsid w:val="004D5717"/>
    <w:rsid w:val="004D57B6"/>
    <w:rsid w:val="004D58B4"/>
    <w:rsid w:val="004D595C"/>
    <w:rsid w:val="004D5968"/>
    <w:rsid w:val="004D59D5"/>
    <w:rsid w:val="004D5CD8"/>
    <w:rsid w:val="004D5F9C"/>
    <w:rsid w:val="004D60A3"/>
    <w:rsid w:val="004D611F"/>
    <w:rsid w:val="004D63F2"/>
    <w:rsid w:val="004D6660"/>
    <w:rsid w:val="004D6706"/>
    <w:rsid w:val="004D6804"/>
    <w:rsid w:val="004D68BA"/>
    <w:rsid w:val="004D6C2C"/>
    <w:rsid w:val="004D7137"/>
    <w:rsid w:val="004D714A"/>
    <w:rsid w:val="004D72F3"/>
    <w:rsid w:val="004D740F"/>
    <w:rsid w:val="004D78DD"/>
    <w:rsid w:val="004D78E6"/>
    <w:rsid w:val="004E011D"/>
    <w:rsid w:val="004E0167"/>
    <w:rsid w:val="004E0237"/>
    <w:rsid w:val="004E03C1"/>
    <w:rsid w:val="004E04ED"/>
    <w:rsid w:val="004E0529"/>
    <w:rsid w:val="004E0997"/>
    <w:rsid w:val="004E09D4"/>
    <w:rsid w:val="004E0A6A"/>
    <w:rsid w:val="004E0B14"/>
    <w:rsid w:val="004E0CF4"/>
    <w:rsid w:val="004E1580"/>
    <w:rsid w:val="004E17C8"/>
    <w:rsid w:val="004E1B78"/>
    <w:rsid w:val="004E1D48"/>
    <w:rsid w:val="004E1FAA"/>
    <w:rsid w:val="004E22ED"/>
    <w:rsid w:val="004E27CA"/>
    <w:rsid w:val="004E2A96"/>
    <w:rsid w:val="004E2B23"/>
    <w:rsid w:val="004E2D74"/>
    <w:rsid w:val="004E2DEF"/>
    <w:rsid w:val="004E3115"/>
    <w:rsid w:val="004E32A8"/>
    <w:rsid w:val="004E3403"/>
    <w:rsid w:val="004E34FF"/>
    <w:rsid w:val="004E3640"/>
    <w:rsid w:val="004E3688"/>
    <w:rsid w:val="004E371F"/>
    <w:rsid w:val="004E3846"/>
    <w:rsid w:val="004E3946"/>
    <w:rsid w:val="004E3C0E"/>
    <w:rsid w:val="004E3DEE"/>
    <w:rsid w:val="004E4BF9"/>
    <w:rsid w:val="004E4E55"/>
    <w:rsid w:val="004E4E71"/>
    <w:rsid w:val="004E4F43"/>
    <w:rsid w:val="004E5067"/>
    <w:rsid w:val="004E513A"/>
    <w:rsid w:val="004E5357"/>
    <w:rsid w:val="004E54AD"/>
    <w:rsid w:val="004E5AEA"/>
    <w:rsid w:val="004E5B75"/>
    <w:rsid w:val="004E6323"/>
    <w:rsid w:val="004E643F"/>
    <w:rsid w:val="004E655E"/>
    <w:rsid w:val="004E694B"/>
    <w:rsid w:val="004E69F8"/>
    <w:rsid w:val="004E6C91"/>
    <w:rsid w:val="004E6F63"/>
    <w:rsid w:val="004E6F9A"/>
    <w:rsid w:val="004E70D2"/>
    <w:rsid w:val="004E712A"/>
    <w:rsid w:val="004E73D7"/>
    <w:rsid w:val="004E74CD"/>
    <w:rsid w:val="004E757C"/>
    <w:rsid w:val="004E7853"/>
    <w:rsid w:val="004E7981"/>
    <w:rsid w:val="004E79BF"/>
    <w:rsid w:val="004E7B4C"/>
    <w:rsid w:val="004E7D42"/>
    <w:rsid w:val="004F07F3"/>
    <w:rsid w:val="004F086B"/>
    <w:rsid w:val="004F0984"/>
    <w:rsid w:val="004F0E79"/>
    <w:rsid w:val="004F11B0"/>
    <w:rsid w:val="004F127C"/>
    <w:rsid w:val="004F12A0"/>
    <w:rsid w:val="004F130F"/>
    <w:rsid w:val="004F133F"/>
    <w:rsid w:val="004F1432"/>
    <w:rsid w:val="004F1625"/>
    <w:rsid w:val="004F1976"/>
    <w:rsid w:val="004F1C1B"/>
    <w:rsid w:val="004F1F11"/>
    <w:rsid w:val="004F23C8"/>
    <w:rsid w:val="004F241F"/>
    <w:rsid w:val="004F250F"/>
    <w:rsid w:val="004F251C"/>
    <w:rsid w:val="004F2911"/>
    <w:rsid w:val="004F2CA8"/>
    <w:rsid w:val="004F2F02"/>
    <w:rsid w:val="004F302F"/>
    <w:rsid w:val="004F3270"/>
    <w:rsid w:val="004F32D1"/>
    <w:rsid w:val="004F3398"/>
    <w:rsid w:val="004F3A7A"/>
    <w:rsid w:val="004F3B59"/>
    <w:rsid w:val="004F3BD0"/>
    <w:rsid w:val="004F3C64"/>
    <w:rsid w:val="004F45C3"/>
    <w:rsid w:val="004F46AF"/>
    <w:rsid w:val="004F4963"/>
    <w:rsid w:val="004F4A0E"/>
    <w:rsid w:val="004F4ACD"/>
    <w:rsid w:val="004F4B1B"/>
    <w:rsid w:val="004F5046"/>
    <w:rsid w:val="004F54BC"/>
    <w:rsid w:val="004F5877"/>
    <w:rsid w:val="004F5889"/>
    <w:rsid w:val="004F5A84"/>
    <w:rsid w:val="004F5AEA"/>
    <w:rsid w:val="004F5B41"/>
    <w:rsid w:val="004F5DF3"/>
    <w:rsid w:val="004F5E3A"/>
    <w:rsid w:val="004F6292"/>
    <w:rsid w:val="004F6815"/>
    <w:rsid w:val="004F6A6E"/>
    <w:rsid w:val="004F6A75"/>
    <w:rsid w:val="004F6AD5"/>
    <w:rsid w:val="004F6CF7"/>
    <w:rsid w:val="004F6DB6"/>
    <w:rsid w:val="004F6FA8"/>
    <w:rsid w:val="004F7004"/>
    <w:rsid w:val="004F71A0"/>
    <w:rsid w:val="004F73ED"/>
    <w:rsid w:val="004F768C"/>
    <w:rsid w:val="004F77C1"/>
    <w:rsid w:val="004F790C"/>
    <w:rsid w:val="004F7CFD"/>
    <w:rsid w:val="004F7F44"/>
    <w:rsid w:val="00500456"/>
    <w:rsid w:val="00500646"/>
    <w:rsid w:val="00500763"/>
    <w:rsid w:val="00500814"/>
    <w:rsid w:val="00500B1D"/>
    <w:rsid w:val="00500B7F"/>
    <w:rsid w:val="00500D9F"/>
    <w:rsid w:val="0050136E"/>
    <w:rsid w:val="00501AB7"/>
    <w:rsid w:val="00501C61"/>
    <w:rsid w:val="00501E04"/>
    <w:rsid w:val="00501F1A"/>
    <w:rsid w:val="0050287D"/>
    <w:rsid w:val="00502999"/>
    <w:rsid w:val="00502C52"/>
    <w:rsid w:val="00502F5D"/>
    <w:rsid w:val="0050302E"/>
    <w:rsid w:val="0050323E"/>
    <w:rsid w:val="00503240"/>
    <w:rsid w:val="00503244"/>
    <w:rsid w:val="005032CC"/>
    <w:rsid w:val="00503386"/>
    <w:rsid w:val="00503791"/>
    <w:rsid w:val="0050383E"/>
    <w:rsid w:val="00503B19"/>
    <w:rsid w:val="00503B48"/>
    <w:rsid w:val="00503C07"/>
    <w:rsid w:val="00503D0E"/>
    <w:rsid w:val="00504805"/>
    <w:rsid w:val="0050494A"/>
    <w:rsid w:val="00504CC2"/>
    <w:rsid w:val="00505560"/>
    <w:rsid w:val="00505872"/>
    <w:rsid w:val="00505A52"/>
    <w:rsid w:val="00505A6B"/>
    <w:rsid w:val="00505C88"/>
    <w:rsid w:val="00505FCE"/>
    <w:rsid w:val="00505FDB"/>
    <w:rsid w:val="005065DA"/>
    <w:rsid w:val="00506844"/>
    <w:rsid w:val="00506B4C"/>
    <w:rsid w:val="00506F7A"/>
    <w:rsid w:val="0050715F"/>
    <w:rsid w:val="00507669"/>
    <w:rsid w:val="0050767B"/>
    <w:rsid w:val="005077E2"/>
    <w:rsid w:val="00507841"/>
    <w:rsid w:val="00507A33"/>
    <w:rsid w:val="00507B78"/>
    <w:rsid w:val="00507BCD"/>
    <w:rsid w:val="00507CE4"/>
    <w:rsid w:val="00510417"/>
    <w:rsid w:val="0051053C"/>
    <w:rsid w:val="00510970"/>
    <w:rsid w:val="00510B07"/>
    <w:rsid w:val="00510D18"/>
    <w:rsid w:val="00510E06"/>
    <w:rsid w:val="005113C2"/>
    <w:rsid w:val="00511667"/>
    <w:rsid w:val="00511743"/>
    <w:rsid w:val="00511A08"/>
    <w:rsid w:val="0051211C"/>
    <w:rsid w:val="00512879"/>
    <w:rsid w:val="0051298E"/>
    <w:rsid w:val="00512C3C"/>
    <w:rsid w:val="00512CB7"/>
    <w:rsid w:val="00512F41"/>
    <w:rsid w:val="00513157"/>
    <w:rsid w:val="005132CA"/>
    <w:rsid w:val="005134A5"/>
    <w:rsid w:val="00513661"/>
    <w:rsid w:val="005137FB"/>
    <w:rsid w:val="00513EBD"/>
    <w:rsid w:val="00514444"/>
    <w:rsid w:val="005145F2"/>
    <w:rsid w:val="005146FB"/>
    <w:rsid w:val="005149E6"/>
    <w:rsid w:val="00514C90"/>
    <w:rsid w:val="005151B8"/>
    <w:rsid w:val="005156C7"/>
    <w:rsid w:val="00515994"/>
    <w:rsid w:val="00515E01"/>
    <w:rsid w:val="005163E5"/>
    <w:rsid w:val="00516632"/>
    <w:rsid w:val="00516799"/>
    <w:rsid w:val="005168CE"/>
    <w:rsid w:val="00516F11"/>
    <w:rsid w:val="00517224"/>
    <w:rsid w:val="005172FE"/>
    <w:rsid w:val="0051730D"/>
    <w:rsid w:val="00517457"/>
    <w:rsid w:val="0051780B"/>
    <w:rsid w:val="00517896"/>
    <w:rsid w:val="00517A6D"/>
    <w:rsid w:val="00517A76"/>
    <w:rsid w:val="00517AEA"/>
    <w:rsid w:val="00517E55"/>
    <w:rsid w:val="00520DBE"/>
    <w:rsid w:val="00520E92"/>
    <w:rsid w:val="00520F7A"/>
    <w:rsid w:val="005212D3"/>
    <w:rsid w:val="00521410"/>
    <w:rsid w:val="00521532"/>
    <w:rsid w:val="0052156B"/>
    <w:rsid w:val="0052157A"/>
    <w:rsid w:val="00521593"/>
    <w:rsid w:val="005215DF"/>
    <w:rsid w:val="005216BC"/>
    <w:rsid w:val="00521855"/>
    <w:rsid w:val="00521AB0"/>
    <w:rsid w:val="0052224F"/>
    <w:rsid w:val="00522651"/>
    <w:rsid w:val="00522705"/>
    <w:rsid w:val="00522AEA"/>
    <w:rsid w:val="00522CCC"/>
    <w:rsid w:val="00522E74"/>
    <w:rsid w:val="00522F11"/>
    <w:rsid w:val="00522F3D"/>
    <w:rsid w:val="00523093"/>
    <w:rsid w:val="00523732"/>
    <w:rsid w:val="00523936"/>
    <w:rsid w:val="00523B13"/>
    <w:rsid w:val="00523CC4"/>
    <w:rsid w:val="00523D65"/>
    <w:rsid w:val="00523F61"/>
    <w:rsid w:val="0052416B"/>
    <w:rsid w:val="005241E7"/>
    <w:rsid w:val="005242D9"/>
    <w:rsid w:val="0052445C"/>
    <w:rsid w:val="0052453D"/>
    <w:rsid w:val="00524556"/>
    <w:rsid w:val="00524AA9"/>
    <w:rsid w:val="00525023"/>
    <w:rsid w:val="005250B2"/>
    <w:rsid w:val="005251A1"/>
    <w:rsid w:val="0052523D"/>
    <w:rsid w:val="0052524C"/>
    <w:rsid w:val="005253D9"/>
    <w:rsid w:val="005255D6"/>
    <w:rsid w:val="00525700"/>
    <w:rsid w:val="00525D31"/>
    <w:rsid w:val="00526005"/>
    <w:rsid w:val="00526021"/>
    <w:rsid w:val="0052631B"/>
    <w:rsid w:val="005265B7"/>
    <w:rsid w:val="005266B5"/>
    <w:rsid w:val="005269FE"/>
    <w:rsid w:val="00526A67"/>
    <w:rsid w:val="00526EEF"/>
    <w:rsid w:val="00526EF5"/>
    <w:rsid w:val="00526FA4"/>
    <w:rsid w:val="00527057"/>
    <w:rsid w:val="005270FD"/>
    <w:rsid w:val="0052746A"/>
    <w:rsid w:val="0052771E"/>
    <w:rsid w:val="00527A1C"/>
    <w:rsid w:val="0053012D"/>
    <w:rsid w:val="005304E0"/>
    <w:rsid w:val="00530640"/>
    <w:rsid w:val="005307CE"/>
    <w:rsid w:val="00530AEB"/>
    <w:rsid w:val="00530C93"/>
    <w:rsid w:val="00530FB0"/>
    <w:rsid w:val="00531052"/>
    <w:rsid w:val="005313E1"/>
    <w:rsid w:val="0053174A"/>
    <w:rsid w:val="00531751"/>
    <w:rsid w:val="005318C0"/>
    <w:rsid w:val="0053198F"/>
    <w:rsid w:val="00531CF7"/>
    <w:rsid w:val="00532064"/>
    <w:rsid w:val="00532543"/>
    <w:rsid w:val="00532638"/>
    <w:rsid w:val="005327DD"/>
    <w:rsid w:val="005328FD"/>
    <w:rsid w:val="00532B85"/>
    <w:rsid w:val="005334E0"/>
    <w:rsid w:val="005339A8"/>
    <w:rsid w:val="00533AA0"/>
    <w:rsid w:val="00533CB9"/>
    <w:rsid w:val="0053409B"/>
    <w:rsid w:val="0053475B"/>
    <w:rsid w:val="00534A99"/>
    <w:rsid w:val="00534C7C"/>
    <w:rsid w:val="00534ECC"/>
    <w:rsid w:val="00535389"/>
    <w:rsid w:val="005354E7"/>
    <w:rsid w:val="0053576B"/>
    <w:rsid w:val="00535C92"/>
    <w:rsid w:val="00535FE9"/>
    <w:rsid w:val="0053626F"/>
    <w:rsid w:val="005363CA"/>
    <w:rsid w:val="00536546"/>
    <w:rsid w:val="00536A2D"/>
    <w:rsid w:val="00536A2F"/>
    <w:rsid w:val="00536CEF"/>
    <w:rsid w:val="00536FFA"/>
    <w:rsid w:val="005371F7"/>
    <w:rsid w:val="005376F0"/>
    <w:rsid w:val="0053773F"/>
    <w:rsid w:val="0053780D"/>
    <w:rsid w:val="00537982"/>
    <w:rsid w:val="00537A2E"/>
    <w:rsid w:val="00537A3F"/>
    <w:rsid w:val="00537B32"/>
    <w:rsid w:val="00537D89"/>
    <w:rsid w:val="005400E5"/>
    <w:rsid w:val="00540294"/>
    <w:rsid w:val="005405F3"/>
    <w:rsid w:val="00540778"/>
    <w:rsid w:val="0054078C"/>
    <w:rsid w:val="00540901"/>
    <w:rsid w:val="00540A24"/>
    <w:rsid w:val="00540AE7"/>
    <w:rsid w:val="005418CE"/>
    <w:rsid w:val="00541DA8"/>
    <w:rsid w:val="00541F56"/>
    <w:rsid w:val="00541FAA"/>
    <w:rsid w:val="00542338"/>
    <w:rsid w:val="00542376"/>
    <w:rsid w:val="005424A4"/>
    <w:rsid w:val="00542529"/>
    <w:rsid w:val="00543192"/>
    <w:rsid w:val="005435C1"/>
    <w:rsid w:val="005435EA"/>
    <w:rsid w:val="00543659"/>
    <w:rsid w:val="005437CE"/>
    <w:rsid w:val="00543FFE"/>
    <w:rsid w:val="0054409D"/>
    <w:rsid w:val="005440AC"/>
    <w:rsid w:val="0054430D"/>
    <w:rsid w:val="005443E7"/>
    <w:rsid w:val="00544968"/>
    <w:rsid w:val="00544A82"/>
    <w:rsid w:val="00544D91"/>
    <w:rsid w:val="00544F5D"/>
    <w:rsid w:val="005452AD"/>
    <w:rsid w:val="0054552E"/>
    <w:rsid w:val="0054565A"/>
    <w:rsid w:val="0054576D"/>
    <w:rsid w:val="00545A3F"/>
    <w:rsid w:val="005463C3"/>
    <w:rsid w:val="005466C0"/>
    <w:rsid w:val="0054688A"/>
    <w:rsid w:val="005469B5"/>
    <w:rsid w:val="00546A3C"/>
    <w:rsid w:val="00546CA4"/>
    <w:rsid w:val="00546CB7"/>
    <w:rsid w:val="00546F73"/>
    <w:rsid w:val="00546F93"/>
    <w:rsid w:val="005470C3"/>
    <w:rsid w:val="005470D2"/>
    <w:rsid w:val="0054717B"/>
    <w:rsid w:val="0054723B"/>
    <w:rsid w:val="00547306"/>
    <w:rsid w:val="005473F9"/>
    <w:rsid w:val="00547BE9"/>
    <w:rsid w:val="00550CB8"/>
    <w:rsid w:val="00550E27"/>
    <w:rsid w:val="00551254"/>
    <w:rsid w:val="005515B0"/>
    <w:rsid w:val="0055185D"/>
    <w:rsid w:val="00551897"/>
    <w:rsid w:val="005523D3"/>
    <w:rsid w:val="0055248F"/>
    <w:rsid w:val="005524D1"/>
    <w:rsid w:val="0055278C"/>
    <w:rsid w:val="00552A61"/>
    <w:rsid w:val="00552E27"/>
    <w:rsid w:val="00553076"/>
    <w:rsid w:val="005531FE"/>
    <w:rsid w:val="00553519"/>
    <w:rsid w:val="00553779"/>
    <w:rsid w:val="005537B7"/>
    <w:rsid w:val="005538EF"/>
    <w:rsid w:val="00553A34"/>
    <w:rsid w:val="00553BFC"/>
    <w:rsid w:val="00553D7F"/>
    <w:rsid w:val="00554322"/>
    <w:rsid w:val="00554388"/>
    <w:rsid w:val="00554632"/>
    <w:rsid w:val="0055499D"/>
    <w:rsid w:val="00554BBE"/>
    <w:rsid w:val="00554ED9"/>
    <w:rsid w:val="00554F9F"/>
    <w:rsid w:val="00554FDE"/>
    <w:rsid w:val="0055529B"/>
    <w:rsid w:val="00555CA0"/>
    <w:rsid w:val="00556275"/>
    <w:rsid w:val="00556458"/>
    <w:rsid w:val="00556588"/>
    <w:rsid w:val="005566FD"/>
    <w:rsid w:val="00556F97"/>
    <w:rsid w:val="00557471"/>
    <w:rsid w:val="005574CF"/>
    <w:rsid w:val="005574F4"/>
    <w:rsid w:val="005577C7"/>
    <w:rsid w:val="00557CD0"/>
    <w:rsid w:val="00557E7D"/>
    <w:rsid w:val="005600FC"/>
    <w:rsid w:val="005605AD"/>
    <w:rsid w:val="005608C6"/>
    <w:rsid w:val="00560A3C"/>
    <w:rsid w:val="005611AD"/>
    <w:rsid w:val="00561395"/>
    <w:rsid w:val="00561777"/>
    <w:rsid w:val="00561857"/>
    <w:rsid w:val="00561985"/>
    <w:rsid w:val="00561CD3"/>
    <w:rsid w:val="00561D52"/>
    <w:rsid w:val="005621A1"/>
    <w:rsid w:val="00562BE1"/>
    <w:rsid w:val="00562DB3"/>
    <w:rsid w:val="00562E66"/>
    <w:rsid w:val="00563399"/>
    <w:rsid w:val="00563B72"/>
    <w:rsid w:val="00563E47"/>
    <w:rsid w:val="00563F27"/>
    <w:rsid w:val="005645A0"/>
    <w:rsid w:val="00564609"/>
    <w:rsid w:val="0056469B"/>
    <w:rsid w:val="00564844"/>
    <w:rsid w:val="00564907"/>
    <w:rsid w:val="00564936"/>
    <w:rsid w:val="00564D95"/>
    <w:rsid w:val="0056521D"/>
    <w:rsid w:val="0056524C"/>
    <w:rsid w:val="005653F5"/>
    <w:rsid w:val="00565433"/>
    <w:rsid w:val="005656BC"/>
    <w:rsid w:val="00565955"/>
    <w:rsid w:val="0056596F"/>
    <w:rsid w:val="00565E14"/>
    <w:rsid w:val="005667EB"/>
    <w:rsid w:val="00566964"/>
    <w:rsid w:val="00566E65"/>
    <w:rsid w:val="00566E81"/>
    <w:rsid w:val="005672CE"/>
    <w:rsid w:val="005677C7"/>
    <w:rsid w:val="0056783C"/>
    <w:rsid w:val="005678B2"/>
    <w:rsid w:val="00567B79"/>
    <w:rsid w:val="00567D78"/>
    <w:rsid w:val="005704BF"/>
    <w:rsid w:val="005705BF"/>
    <w:rsid w:val="005705D0"/>
    <w:rsid w:val="00570659"/>
    <w:rsid w:val="00570780"/>
    <w:rsid w:val="00570A42"/>
    <w:rsid w:val="00570B99"/>
    <w:rsid w:val="00570E1C"/>
    <w:rsid w:val="00570FCD"/>
    <w:rsid w:val="00571008"/>
    <w:rsid w:val="005711F1"/>
    <w:rsid w:val="00571220"/>
    <w:rsid w:val="00571506"/>
    <w:rsid w:val="005715A9"/>
    <w:rsid w:val="00571A9B"/>
    <w:rsid w:val="00571CE9"/>
    <w:rsid w:val="00571FAA"/>
    <w:rsid w:val="0057214F"/>
    <w:rsid w:val="005722A8"/>
    <w:rsid w:val="00572548"/>
    <w:rsid w:val="00572890"/>
    <w:rsid w:val="0057300D"/>
    <w:rsid w:val="005731E0"/>
    <w:rsid w:val="00573209"/>
    <w:rsid w:val="00573210"/>
    <w:rsid w:val="00573529"/>
    <w:rsid w:val="00573882"/>
    <w:rsid w:val="005738B0"/>
    <w:rsid w:val="00573AE7"/>
    <w:rsid w:val="00573E82"/>
    <w:rsid w:val="00574071"/>
    <w:rsid w:val="00574197"/>
    <w:rsid w:val="005742A2"/>
    <w:rsid w:val="00574480"/>
    <w:rsid w:val="0057476A"/>
    <w:rsid w:val="00574821"/>
    <w:rsid w:val="00574970"/>
    <w:rsid w:val="00574AE4"/>
    <w:rsid w:val="00574B08"/>
    <w:rsid w:val="00575859"/>
    <w:rsid w:val="005759E1"/>
    <w:rsid w:val="00575B3D"/>
    <w:rsid w:val="00575BAC"/>
    <w:rsid w:val="00575C99"/>
    <w:rsid w:val="00576862"/>
    <w:rsid w:val="00576937"/>
    <w:rsid w:val="00576A9E"/>
    <w:rsid w:val="00576D49"/>
    <w:rsid w:val="00576E10"/>
    <w:rsid w:val="00576F1E"/>
    <w:rsid w:val="00576FDB"/>
    <w:rsid w:val="00577203"/>
    <w:rsid w:val="00577257"/>
    <w:rsid w:val="00577564"/>
    <w:rsid w:val="00577648"/>
    <w:rsid w:val="00577A54"/>
    <w:rsid w:val="00577B66"/>
    <w:rsid w:val="00577D55"/>
    <w:rsid w:val="005803B9"/>
    <w:rsid w:val="005803F6"/>
    <w:rsid w:val="0058047B"/>
    <w:rsid w:val="005806E3"/>
    <w:rsid w:val="0058099F"/>
    <w:rsid w:val="00580F06"/>
    <w:rsid w:val="0058109D"/>
    <w:rsid w:val="0058152E"/>
    <w:rsid w:val="005816B6"/>
    <w:rsid w:val="00581A75"/>
    <w:rsid w:val="00581AE0"/>
    <w:rsid w:val="00581C94"/>
    <w:rsid w:val="00581FBF"/>
    <w:rsid w:val="0058251C"/>
    <w:rsid w:val="0058257C"/>
    <w:rsid w:val="00582922"/>
    <w:rsid w:val="00582AB0"/>
    <w:rsid w:val="00582F71"/>
    <w:rsid w:val="0058302F"/>
    <w:rsid w:val="0058351E"/>
    <w:rsid w:val="00583889"/>
    <w:rsid w:val="00583C66"/>
    <w:rsid w:val="00584248"/>
    <w:rsid w:val="00584482"/>
    <w:rsid w:val="0058455D"/>
    <w:rsid w:val="005845AE"/>
    <w:rsid w:val="00584859"/>
    <w:rsid w:val="005848B0"/>
    <w:rsid w:val="0058499C"/>
    <w:rsid w:val="00584A49"/>
    <w:rsid w:val="00584B3D"/>
    <w:rsid w:val="00584C24"/>
    <w:rsid w:val="00584D75"/>
    <w:rsid w:val="00585195"/>
    <w:rsid w:val="00585231"/>
    <w:rsid w:val="005854F9"/>
    <w:rsid w:val="0058575C"/>
    <w:rsid w:val="0058596E"/>
    <w:rsid w:val="00585CA7"/>
    <w:rsid w:val="00585D8F"/>
    <w:rsid w:val="005864C3"/>
    <w:rsid w:val="005864D8"/>
    <w:rsid w:val="00586971"/>
    <w:rsid w:val="00586AA2"/>
    <w:rsid w:val="00586F2E"/>
    <w:rsid w:val="00587270"/>
    <w:rsid w:val="00587455"/>
    <w:rsid w:val="005874C0"/>
    <w:rsid w:val="0058779D"/>
    <w:rsid w:val="00587A69"/>
    <w:rsid w:val="00587D0F"/>
    <w:rsid w:val="00587DF6"/>
    <w:rsid w:val="00587FF8"/>
    <w:rsid w:val="00590030"/>
    <w:rsid w:val="00590273"/>
    <w:rsid w:val="00590440"/>
    <w:rsid w:val="005905CA"/>
    <w:rsid w:val="00590E4E"/>
    <w:rsid w:val="00590FE9"/>
    <w:rsid w:val="005912EA"/>
    <w:rsid w:val="005914CE"/>
    <w:rsid w:val="00591AF3"/>
    <w:rsid w:val="00591C98"/>
    <w:rsid w:val="005922CE"/>
    <w:rsid w:val="005922CF"/>
    <w:rsid w:val="00592800"/>
    <w:rsid w:val="00592ADD"/>
    <w:rsid w:val="00592B22"/>
    <w:rsid w:val="00592F3F"/>
    <w:rsid w:val="00592F94"/>
    <w:rsid w:val="005930B6"/>
    <w:rsid w:val="00594548"/>
    <w:rsid w:val="0059461A"/>
    <w:rsid w:val="0059493F"/>
    <w:rsid w:val="00594AF9"/>
    <w:rsid w:val="00594D8C"/>
    <w:rsid w:val="00595671"/>
    <w:rsid w:val="00595A39"/>
    <w:rsid w:val="00595A62"/>
    <w:rsid w:val="00595F6F"/>
    <w:rsid w:val="0059616C"/>
    <w:rsid w:val="00596250"/>
    <w:rsid w:val="00596485"/>
    <w:rsid w:val="00596794"/>
    <w:rsid w:val="00596DC9"/>
    <w:rsid w:val="00596E93"/>
    <w:rsid w:val="00596EDE"/>
    <w:rsid w:val="00596F11"/>
    <w:rsid w:val="005970A6"/>
    <w:rsid w:val="00597519"/>
    <w:rsid w:val="00597AC3"/>
    <w:rsid w:val="00597B56"/>
    <w:rsid w:val="00597C19"/>
    <w:rsid w:val="00597CDF"/>
    <w:rsid w:val="00597D0C"/>
    <w:rsid w:val="005A0442"/>
    <w:rsid w:val="005A0522"/>
    <w:rsid w:val="005A0531"/>
    <w:rsid w:val="005A08BC"/>
    <w:rsid w:val="005A0C82"/>
    <w:rsid w:val="005A0EEE"/>
    <w:rsid w:val="005A1305"/>
    <w:rsid w:val="005A1381"/>
    <w:rsid w:val="005A1401"/>
    <w:rsid w:val="005A16C2"/>
    <w:rsid w:val="005A1820"/>
    <w:rsid w:val="005A18DB"/>
    <w:rsid w:val="005A1A02"/>
    <w:rsid w:val="005A1A9C"/>
    <w:rsid w:val="005A1B5D"/>
    <w:rsid w:val="005A1DE6"/>
    <w:rsid w:val="005A2247"/>
    <w:rsid w:val="005A2375"/>
    <w:rsid w:val="005A23F4"/>
    <w:rsid w:val="005A2760"/>
    <w:rsid w:val="005A27B5"/>
    <w:rsid w:val="005A2EA1"/>
    <w:rsid w:val="005A2FCA"/>
    <w:rsid w:val="005A310B"/>
    <w:rsid w:val="005A3683"/>
    <w:rsid w:val="005A3A12"/>
    <w:rsid w:val="005A3B9A"/>
    <w:rsid w:val="005A3CCC"/>
    <w:rsid w:val="005A41FA"/>
    <w:rsid w:val="005A426E"/>
    <w:rsid w:val="005A452E"/>
    <w:rsid w:val="005A4C05"/>
    <w:rsid w:val="005A4C1B"/>
    <w:rsid w:val="005A5002"/>
    <w:rsid w:val="005A5178"/>
    <w:rsid w:val="005A5424"/>
    <w:rsid w:val="005A549D"/>
    <w:rsid w:val="005A58C1"/>
    <w:rsid w:val="005A5934"/>
    <w:rsid w:val="005A5B50"/>
    <w:rsid w:val="005A5E7D"/>
    <w:rsid w:val="005A60F8"/>
    <w:rsid w:val="005A612D"/>
    <w:rsid w:val="005A632F"/>
    <w:rsid w:val="005A6393"/>
    <w:rsid w:val="005A6639"/>
    <w:rsid w:val="005A6882"/>
    <w:rsid w:val="005A6BC2"/>
    <w:rsid w:val="005A6EB5"/>
    <w:rsid w:val="005A6FE7"/>
    <w:rsid w:val="005A7117"/>
    <w:rsid w:val="005A73BF"/>
    <w:rsid w:val="005A76D5"/>
    <w:rsid w:val="005A77B5"/>
    <w:rsid w:val="005A79A6"/>
    <w:rsid w:val="005A7BCD"/>
    <w:rsid w:val="005A7E27"/>
    <w:rsid w:val="005B02D1"/>
    <w:rsid w:val="005B0438"/>
    <w:rsid w:val="005B04AB"/>
    <w:rsid w:val="005B0642"/>
    <w:rsid w:val="005B0727"/>
    <w:rsid w:val="005B08B9"/>
    <w:rsid w:val="005B0A0E"/>
    <w:rsid w:val="005B10B8"/>
    <w:rsid w:val="005B1595"/>
    <w:rsid w:val="005B182D"/>
    <w:rsid w:val="005B1B81"/>
    <w:rsid w:val="005B1DD8"/>
    <w:rsid w:val="005B1DF4"/>
    <w:rsid w:val="005B1E02"/>
    <w:rsid w:val="005B1E50"/>
    <w:rsid w:val="005B2037"/>
    <w:rsid w:val="005B2207"/>
    <w:rsid w:val="005B2247"/>
    <w:rsid w:val="005B2274"/>
    <w:rsid w:val="005B2495"/>
    <w:rsid w:val="005B297A"/>
    <w:rsid w:val="005B2E59"/>
    <w:rsid w:val="005B2F1C"/>
    <w:rsid w:val="005B2FE6"/>
    <w:rsid w:val="005B3321"/>
    <w:rsid w:val="005B342C"/>
    <w:rsid w:val="005B3556"/>
    <w:rsid w:val="005B35EE"/>
    <w:rsid w:val="005B36A8"/>
    <w:rsid w:val="005B37CA"/>
    <w:rsid w:val="005B37FF"/>
    <w:rsid w:val="005B3881"/>
    <w:rsid w:val="005B3F93"/>
    <w:rsid w:val="005B44C0"/>
    <w:rsid w:val="005B4546"/>
    <w:rsid w:val="005B45F4"/>
    <w:rsid w:val="005B461E"/>
    <w:rsid w:val="005B48B7"/>
    <w:rsid w:val="005B48D3"/>
    <w:rsid w:val="005B495B"/>
    <w:rsid w:val="005B4AF1"/>
    <w:rsid w:val="005B4BEF"/>
    <w:rsid w:val="005B4FDF"/>
    <w:rsid w:val="005B5030"/>
    <w:rsid w:val="005B525A"/>
    <w:rsid w:val="005B539B"/>
    <w:rsid w:val="005B5B3C"/>
    <w:rsid w:val="005B5EA7"/>
    <w:rsid w:val="005B5FA7"/>
    <w:rsid w:val="005B61C7"/>
    <w:rsid w:val="005B64FE"/>
    <w:rsid w:val="005B6B91"/>
    <w:rsid w:val="005B6D17"/>
    <w:rsid w:val="005B710A"/>
    <w:rsid w:val="005B7768"/>
    <w:rsid w:val="005B7E51"/>
    <w:rsid w:val="005B7F83"/>
    <w:rsid w:val="005B7FA6"/>
    <w:rsid w:val="005C00A1"/>
    <w:rsid w:val="005C0574"/>
    <w:rsid w:val="005C0659"/>
    <w:rsid w:val="005C0959"/>
    <w:rsid w:val="005C0966"/>
    <w:rsid w:val="005C09FF"/>
    <w:rsid w:val="005C0CB1"/>
    <w:rsid w:val="005C0F71"/>
    <w:rsid w:val="005C1188"/>
    <w:rsid w:val="005C162D"/>
    <w:rsid w:val="005C16A3"/>
    <w:rsid w:val="005C2206"/>
    <w:rsid w:val="005C222D"/>
    <w:rsid w:val="005C224F"/>
    <w:rsid w:val="005C23BC"/>
    <w:rsid w:val="005C29C8"/>
    <w:rsid w:val="005C2F78"/>
    <w:rsid w:val="005C2FE4"/>
    <w:rsid w:val="005C377F"/>
    <w:rsid w:val="005C39BA"/>
    <w:rsid w:val="005C3DA0"/>
    <w:rsid w:val="005C3DE0"/>
    <w:rsid w:val="005C3E97"/>
    <w:rsid w:val="005C400F"/>
    <w:rsid w:val="005C40CA"/>
    <w:rsid w:val="005C426F"/>
    <w:rsid w:val="005C4440"/>
    <w:rsid w:val="005C470C"/>
    <w:rsid w:val="005C47CB"/>
    <w:rsid w:val="005C4D28"/>
    <w:rsid w:val="005C4E81"/>
    <w:rsid w:val="005C5732"/>
    <w:rsid w:val="005C57DF"/>
    <w:rsid w:val="005C5B08"/>
    <w:rsid w:val="005C5BDA"/>
    <w:rsid w:val="005C5CE8"/>
    <w:rsid w:val="005C5DBB"/>
    <w:rsid w:val="005C5DFE"/>
    <w:rsid w:val="005C5E24"/>
    <w:rsid w:val="005C608E"/>
    <w:rsid w:val="005C620F"/>
    <w:rsid w:val="005C633D"/>
    <w:rsid w:val="005C6585"/>
    <w:rsid w:val="005C66E6"/>
    <w:rsid w:val="005C6A77"/>
    <w:rsid w:val="005C6B1B"/>
    <w:rsid w:val="005C6C1F"/>
    <w:rsid w:val="005C6CFC"/>
    <w:rsid w:val="005C6D5A"/>
    <w:rsid w:val="005C6F0D"/>
    <w:rsid w:val="005C6F38"/>
    <w:rsid w:val="005C71B5"/>
    <w:rsid w:val="005C72FA"/>
    <w:rsid w:val="005C746F"/>
    <w:rsid w:val="005C7500"/>
    <w:rsid w:val="005C76B3"/>
    <w:rsid w:val="005C797E"/>
    <w:rsid w:val="005C7C24"/>
    <w:rsid w:val="005C7E9C"/>
    <w:rsid w:val="005D034C"/>
    <w:rsid w:val="005D0352"/>
    <w:rsid w:val="005D095A"/>
    <w:rsid w:val="005D0B59"/>
    <w:rsid w:val="005D10D3"/>
    <w:rsid w:val="005D12B2"/>
    <w:rsid w:val="005D14BF"/>
    <w:rsid w:val="005D1625"/>
    <w:rsid w:val="005D1748"/>
    <w:rsid w:val="005D1911"/>
    <w:rsid w:val="005D1CF7"/>
    <w:rsid w:val="005D1F97"/>
    <w:rsid w:val="005D213F"/>
    <w:rsid w:val="005D23C7"/>
    <w:rsid w:val="005D23DF"/>
    <w:rsid w:val="005D2B4F"/>
    <w:rsid w:val="005D2B8A"/>
    <w:rsid w:val="005D2BCF"/>
    <w:rsid w:val="005D2E59"/>
    <w:rsid w:val="005D2F34"/>
    <w:rsid w:val="005D304C"/>
    <w:rsid w:val="005D31FD"/>
    <w:rsid w:val="005D3419"/>
    <w:rsid w:val="005D3710"/>
    <w:rsid w:val="005D3B45"/>
    <w:rsid w:val="005D3E76"/>
    <w:rsid w:val="005D4013"/>
    <w:rsid w:val="005D4055"/>
    <w:rsid w:val="005D4056"/>
    <w:rsid w:val="005D416A"/>
    <w:rsid w:val="005D43C8"/>
    <w:rsid w:val="005D48BF"/>
    <w:rsid w:val="005D4C7B"/>
    <w:rsid w:val="005D4DF7"/>
    <w:rsid w:val="005D4F5C"/>
    <w:rsid w:val="005D52E2"/>
    <w:rsid w:val="005D5742"/>
    <w:rsid w:val="005D575B"/>
    <w:rsid w:val="005D58BE"/>
    <w:rsid w:val="005D5C05"/>
    <w:rsid w:val="005D5F50"/>
    <w:rsid w:val="005D64CC"/>
    <w:rsid w:val="005D6586"/>
    <w:rsid w:val="005D6957"/>
    <w:rsid w:val="005D71F7"/>
    <w:rsid w:val="005D7338"/>
    <w:rsid w:val="005D7339"/>
    <w:rsid w:val="005D75C6"/>
    <w:rsid w:val="005D7A51"/>
    <w:rsid w:val="005D7B22"/>
    <w:rsid w:val="005D7BA8"/>
    <w:rsid w:val="005D7DA9"/>
    <w:rsid w:val="005E01CF"/>
    <w:rsid w:val="005E01E2"/>
    <w:rsid w:val="005E0692"/>
    <w:rsid w:val="005E088F"/>
    <w:rsid w:val="005E0D63"/>
    <w:rsid w:val="005E0E05"/>
    <w:rsid w:val="005E0E8F"/>
    <w:rsid w:val="005E1566"/>
    <w:rsid w:val="005E1585"/>
    <w:rsid w:val="005E1D87"/>
    <w:rsid w:val="005E1F8E"/>
    <w:rsid w:val="005E2A6E"/>
    <w:rsid w:val="005E2A76"/>
    <w:rsid w:val="005E2F6A"/>
    <w:rsid w:val="005E2FA1"/>
    <w:rsid w:val="005E2FE0"/>
    <w:rsid w:val="005E3486"/>
    <w:rsid w:val="005E34A8"/>
    <w:rsid w:val="005E3612"/>
    <w:rsid w:val="005E36AE"/>
    <w:rsid w:val="005E37F4"/>
    <w:rsid w:val="005E3FAA"/>
    <w:rsid w:val="005E4012"/>
    <w:rsid w:val="005E401F"/>
    <w:rsid w:val="005E402C"/>
    <w:rsid w:val="005E40AB"/>
    <w:rsid w:val="005E4133"/>
    <w:rsid w:val="005E4194"/>
    <w:rsid w:val="005E41F1"/>
    <w:rsid w:val="005E457C"/>
    <w:rsid w:val="005E4F64"/>
    <w:rsid w:val="005E50C9"/>
    <w:rsid w:val="005E5142"/>
    <w:rsid w:val="005E53E7"/>
    <w:rsid w:val="005E54BF"/>
    <w:rsid w:val="005E55C6"/>
    <w:rsid w:val="005E5606"/>
    <w:rsid w:val="005E56B9"/>
    <w:rsid w:val="005E5822"/>
    <w:rsid w:val="005E5D2B"/>
    <w:rsid w:val="005E5EC2"/>
    <w:rsid w:val="005E5EE9"/>
    <w:rsid w:val="005E60C6"/>
    <w:rsid w:val="005E60EB"/>
    <w:rsid w:val="005E6138"/>
    <w:rsid w:val="005E61CD"/>
    <w:rsid w:val="005E63B4"/>
    <w:rsid w:val="005E65AB"/>
    <w:rsid w:val="005E66CE"/>
    <w:rsid w:val="005E69CC"/>
    <w:rsid w:val="005E6AD1"/>
    <w:rsid w:val="005E6C74"/>
    <w:rsid w:val="005E6D89"/>
    <w:rsid w:val="005E7415"/>
    <w:rsid w:val="005E7628"/>
    <w:rsid w:val="005E76B1"/>
    <w:rsid w:val="005E773E"/>
    <w:rsid w:val="005E7781"/>
    <w:rsid w:val="005E787C"/>
    <w:rsid w:val="005E7AE9"/>
    <w:rsid w:val="005F00FC"/>
    <w:rsid w:val="005F0403"/>
    <w:rsid w:val="005F0765"/>
    <w:rsid w:val="005F0B9F"/>
    <w:rsid w:val="005F0EF5"/>
    <w:rsid w:val="005F1150"/>
    <w:rsid w:val="005F1248"/>
    <w:rsid w:val="005F164E"/>
    <w:rsid w:val="005F16EC"/>
    <w:rsid w:val="005F1813"/>
    <w:rsid w:val="005F1AA2"/>
    <w:rsid w:val="005F1AFD"/>
    <w:rsid w:val="005F1D22"/>
    <w:rsid w:val="005F1E6C"/>
    <w:rsid w:val="005F1EE0"/>
    <w:rsid w:val="005F1F53"/>
    <w:rsid w:val="005F1F74"/>
    <w:rsid w:val="005F21CC"/>
    <w:rsid w:val="005F2606"/>
    <w:rsid w:val="005F261F"/>
    <w:rsid w:val="005F2918"/>
    <w:rsid w:val="005F2FF8"/>
    <w:rsid w:val="005F3002"/>
    <w:rsid w:val="005F31C5"/>
    <w:rsid w:val="005F32DC"/>
    <w:rsid w:val="005F38EF"/>
    <w:rsid w:val="005F3A0C"/>
    <w:rsid w:val="005F3B40"/>
    <w:rsid w:val="005F3C83"/>
    <w:rsid w:val="005F3CB7"/>
    <w:rsid w:val="005F3FF6"/>
    <w:rsid w:val="005F4001"/>
    <w:rsid w:val="005F40F3"/>
    <w:rsid w:val="005F41A6"/>
    <w:rsid w:val="005F4A3D"/>
    <w:rsid w:val="005F4AF6"/>
    <w:rsid w:val="005F4BC5"/>
    <w:rsid w:val="005F4C0E"/>
    <w:rsid w:val="005F4E7B"/>
    <w:rsid w:val="005F4EDE"/>
    <w:rsid w:val="005F507A"/>
    <w:rsid w:val="005F5387"/>
    <w:rsid w:val="005F53BA"/>
    <w:rsid w:val="005F5513"/>
    <w:rsid w:val="005F5687"/>
    <w:rsid w:val="005F57C0"/>
    <w:rsid w:val="005F5AAC"/>
    <w:rsid w:val="005F5E53"/>
    <w:rsid w:val="005F6014"/>
    <w:rsid w:val="005F69BE"/>
    <w:rsid w:val="005F70A2"/>
    <w:rsid w:val="005F720F"/>
    <w:rsid w:val="005F72E1"/>
    <w:rsid w:val="005F7541"/>
    <w:rsid w:val="005F76AF"/>
    <w:rsid w:val="005F78C6"/>
    <w:rsid w:val="005F7CF1"/>
    <w:rsid w:val="005F7E7D"/>
    <w:rsid w:val="005F7ECB"/>
    <w:rsid w:val="006002BB"/>
    <w:rsid w:val="006004E5"/>
    <w:rsid w:val="00600735"/>
    <w:rsid w:val="00601037"/>
    <w:rsid w:val="006013E2"/>
    <w:rsid w:val="006015D7"/>
    <w:rsid w:val="00601853"/>
    <w:rsid w:val="0060189E"/>
    <w:rsid w:val="00601B62"/>
    <w:rsid w:val="00601CD5"/>
    <w:rsid w:val="00601D60"/>
    <w:rsid w:val="00601FFC"/>
    <w:rsid w:val="00602931"/>
    <w:rsid w:val="00602A70"/>
    <w:rsid w:val="00602BDD"/>
    <w:rsid w:val="00602F58"/>
    <w:rsid w:val="006030EA"/>
    <w:rsid w:val="006032E7"/>
    <w:rsid w:val="006032EF"/>
    <w:rsid w:val="0060431B"/>
    <w:rsid w:val="0060447B"/>
    <w:rsid w:val="006045A8"/>
    <w:rsid w:val="00604D6F"/>
    <w:rsid w:val="00604FD1"/>
    <w:rsid w:val="006051D4"/>
    <w:rsid w:val="0060521D"/>
    <w:rsid w:val="0060524F"/>
    <w:rsid w:val="00605660"/>
    <w:rsid w:val="0060578E"/>
    <w:rsid w:val="00605A6B"/>
    <w:rsid w:val="00605B2D"/>
    <w:rsid w:val="00605D74"/>
    <w:rsid w:val="00605DAD"/>
    <w:rsid w:val="00605EBE"/>
    <w:rsid w:val="006061C1"/>
    <w:rsid w:val="00606285"/>
    <w:rsid w:val="0060695C"/>
    <w:rsid w:val="00606A22"/>
    <w:rsid w:val="00606B1C"/>
    <w:rsid w:val="00606E56"/>
    <w:rsid w:val="00607426"/>
    <w:rsid w:val="0060742E"/>
    <w:rsid w:val="00607CB5"/>
    <w:rsid w:val="00607D0F"/>
    <w:rsid w:val="006101F8"/>
    <w:rsid w:val="00610264"/>
    <w:rsid w:val="00610370"/>
    <w:rsid w:val="006106B6"/>
    <w:rsid w:val="00610BAD"/>
    <w:rsid w:val="00610DD9"/>
    <w:rsid w:val="00610F13"/>
    <w:rsid w:val="0061110B"/>
    <w:rsid w:val="00611165"/>
    <w:rsid w:val="00611413"/>
    <w:rsid w:val="00611625"/>
    <w:rsid w:val="0061163F"/>
    <w:rsid w:val="00611661"/>
    <w:rsid w:val="0061169C"/>
    <w:rsid w:val="00611CFB"/>
    <w:rsid w:val="00611E2E"/>
    <w:rsid w:val="0061235B"/>
    <w:rsid w:val="006124D8"/>
    <w:rsid w:val="006125F2"/>
    <w:rsid w:val="0061270D"/>
    <w:rsid w:val="006128B6"/>
    <w:rsid w:val="00612BB4"/>
    <w:rsid w:val="00612C25"/>
    <w:rsid w:val="006132EA"/>
    <w:rsid w:val="00613426"/>
    <w:rsid w:val="006134D4"/>
    <w:rsid w:val="006134F6"/>
    <w:rsid w:val="006135BA"/>
    <w:rsid w:val="00613740"/>
    <w:rsid w:val="0061382E"/>
    <w:rsid w:val="0061398C"/>
    <w:rsid w:val="0061421C"/>
    <w:rsid w:val="006142D4"/>
    <w:rsid w:val="00614338"/>
    <w:rsid w:val="0061434A"/>
    <w:rsid w:val="0061436D"/>
    <w:rsid w:val="006146B4"/>
    <w:rsid w:val="0061476B"/>
    <w:rsid w:val="00614844"/>
    <w:rsid w:val="00614877"/>
    <w:rsid w:val="006148A9"/>
    <w:rsid w:val="006148C0"/>
    <w:rsid w:val="00614A98"/>
    <w:rsid w:val="00614C8B"/>
    <w:rsid w:val="00614CBF"/>
    <w:rsid w:val="00614DE8"/>
    <w:rsid w:val="006151A2"/>
    <w:rsid w:val="006157E3"/>
    <w:rsid w:val="00615855"/>
    <w:rsid w:val="00615862"/>
    <w:rsid w:val="00615897"/>
    <w:rsid w:val="00615A47"/>
    <w:rsid w:val="00615AD8"/>
    <w:rsid w:val="00615AD9"/>
    <w:rsid w:val="00615E6A"/>
    <w:rsid w:val="00615F18"/>
    <w:rsid w:val="00615FD7"/>
    <w:rsid w:val="006165A1"/>
    <w:rsid w:val="00616648"/>
    <w:rsid w:val="006166FA"/>
    <w:rsid w:val="006167DC"/>
    <w:rsid w:val="00617006"/>
    <w:rsid w:val="006176B8"/>
    <w:rsid w:val="00617906"/>
    <w:rsid w:val="006179CC"/>
    <w:rsid w:val="00617C5B"/>
    <w:rsid w:val="00617C8D"/>
    <w:rsid w:val="0062056C"/>
    <w:rsid w:val="00620685"/>
    <w:rsid w:val="00620B14"/>
    <w:rsid w:val="00620E37"/>
    <w:rsid w:val="00620E69"/>
    <w:rsid w:val="00620F21"/>
    <w:rsid w:val="0062140F"/>
    <w:rsid w:val="0062162D"/>
    <w:rsid w:val="00621670"/>
    <w:rsid w:val="006217BA"/>
    <w:rsid w:val="00621B8B"/>
    <w:rsid w:val="00621FE2"/>
    <w:rsid w:val="0062288A"/>
    <w:rsid w:val="00622930"/>
    <w:rsid w:val="00622C52"/>
    <w:rsid w:val="00622C9E"/>
    <w:rsid w:val="00622EDF"/>
    <w:rsid w:val="00623128"/>
    <w:rsid w:val="006231C1"/>
    <w:rsid w:val="00623218"/>
    <w:rsid w:val="00623538"/>
    <w:rsid w:val="006237D2"/>
    <w:rsid w:val="006238B6"/>
    <w:rsid w:val="006238E3"/>
    <w:rsid w:val="00623AB5"/>
    <w:rsid w:val="00623FDB"/>
    <w:rsid w:val="006245ED"/>
    <w:rsid w:val="006249E5"/>
    <w:rsid w:val="0062508B"/>
    <w:rsid w:val="006250FA"/>
    <w:rsid w:val="00625805"/>
    <w:rsid w:val="00625C4A"/>
    <w:rsid w:val="006263CC"/>
    <w:rsid w:val="006263CF"/>
    <w:rsid w:val="006263F2"/>
    <w:rsid w:val="00626419"/>
    <w:rsid w:val="006269F1"/>
    <w:rsid w:val="00626B42"/>
    <w:rsid w:val="00626BED"/>
    <w:rsid w:val="00626D96"/>
    <w:rsid w:val="00626E9F"/>
    <w:rsid w:val="00627119"/>
    <w:rsid w:val="006273A6"/>
    <w:rsid w:val="006274CE"/>
    <w:rsid w:val="00627572"/>
    <w:rsid w:val="00627B45"/>
    <w:rsid w:val="00627C1F"/>
    <w:rsid w:val="00627D74"/>
    <w:rsid w:val="00627F8D"/>
    <w:rsid w:val="00630094"/>
    <w:rsid w:val="0063024F"/>
    <w:rsid w:val="006302F9"/>
    <w:rsid w:val="006305EA"/>
    <w:rsid w:val="00630E22"/>
    <w:rsid w:val="00630FC6"/>
    <w:rsid w:val="0063101E"/>
    <w:rsid w:val="00631180"/>
    <w:rsid w:val="006311A5"/>
    <w:rsid w:val="00631328"/>
    <w:rsid w:val="0063141F"/>
    <w:rsid w:val="00631495"/>
    <w:rsid w:val="0063149F"/>
    <w:rsid w:val="00631628"/>
    <w:rsid w:val="0063170E"/>
    <w:rsid w:val="00631A70"/>
    <w:rsid w:val="00631B02"/>
    <w:rsid w:val="00631F4C"/>
    <w:rsid w:val="00632010"/>
    <w:rsid w:val="00632065"/>
    <w:rsid w:val="00632128"/>
    <w:rsid w:val="00632690"/>
    <w:rsid w:val="006327B9"/>
    <w:rsid w:val="006327E8"/>
    <w:rsid w:val="00632902"/>
    <w:rsid w:val="00632911"/>
    <w:rsid w:val="00633003"/>
    <w:rsid w:val="0063304D"/>
    <w:rsid w:val="00633409"/>
    <w:rsid w:val="006336E4"/>
    <w:rsid w:val="00633BF3"/>
    <w:rsid w:val="00633D84"/>
    <w:rsid w:val="00634080"/>
    <w:rsid w:val="0063416B"/>
    <w:rsid w:val="00634176"/>
    <w:rsid w:val="0063463B"/>
    <w:rsid w:val="00634ABF"/>
    <w:rsid w:val="006352BB"/>
    <w:rsid w:val="006352E0"/>
    <w:rsid w:val="00635340"/>
    <w:rsid w:val="006355D9"/>
    <w:rsid w:val="0063592A"/>
    <w:rsid w:val="00635BCE"/>
    <w:rsid w:val="00635D6C"/>
    <w:rsid w:val="00635DFC"/>
    <w:rsid w:val="00635EF1"/>
    <w:rsid w:val="00636090"/>
    <w:rsid w:val="00636280"/>
    <w:rsid w:val="00636D58"/>
    <w:rsid w:val="006374E5"/>
    <w:rsid w:val="006379C7"/>
    <w:rsid w:val="00637B9D"/>
    <w:rsid w:val="00637E43"/>
    <w:rsid w:val="00637F57"/>
    <w:rsid w:val="0064006A"/>
    <w:rsid w:val="00640284"/>
    <w:rsid w:val="00640995"/>
    <w:rsid w:val="00640AB4"/>
    <w:rsid w:val="00640CD8"/>
    <w:rsid w:val="00640DD5"/>
    <w:rsid w:val="0064107B"/>
    <w:rsid w:val="00641195"/>
    <w:rsid w:val="006414ED"/>
    <w:rsid w:val="006415B0"/>
    <w:rsid w:val="00641983"/>
    <w:rsid w:val="00641A0B"/>
    <w:rsid w:val="00641A43"/>
    <w:rsid w:val="00641D40"/>
    <w:rsid w:val="006420EF"/>
    <w:rsid w:val="006423AA"/>
    <w:rsid w:val="00642488"/>
    <w:rsid w:val="0064285B"/>
    <w:rsid w:val="00642A9B"/>
    <w:rsid w:val="00642DF4"/>
    <w:rsid w:val="00642E4E"/>
    <w:rsid w:val="00642F96"/>
    <w:rsid w:val="00643041"/>
    <w:rsid w:val="00643299"/>
    <w:rsid w:val="0064361B"/>
    <w:rsid w:val="00643629"/>
    <w:rsid w:val="00643D3C"/>
    <w:rsid w:val="00644448"/>
    <w:rsid w:val="0064452D"/>
    <w:rsid w:val="0064467F"/>
    <w:rsid w:val="00644916"/>
    <w:rsid w:val="00644B8C"/>
    <w:rsid w:val="0064547C"/>
    <w:rsid w:val="00645527"/>
    <w:rsid w:val="00645BF6"/>
    <w:rsid w:val="00645E17"/>
    <w:rsid w:val="00646098"/>
    <w:rsid w:val="00646807"/>
    <w:rsid w:val="0064694E"/>
    <w:rsid w:val="00646B2F"/>
    <w:rsid w:val="00646C17"/>
    <w:rsid w:val="00646CB1"/>
    <w:rsid w:val="00646E50"/>
    <w:rsid w:val="0064709D"/>
    <w:rsid w:val="006470EB"/>
    <w:rsid w:val="006475E6"/>
    <w:rsid w:val="006475E7"/>
    <w:rsid w:val="006477AB"/>
    <w:rsid w:val="00647846"/>
    <w:rsid w:val="00647915"/>
    <w:rsid w:val="00647D73"/>
    <w:rsid w:val="00647DD8"/>
    <w:rsid w:val="006505ED"/>
    <w:rsid w:val="00650823"/>
    <w:rsid w:val="00650838"/>
    <w:rsid w:val="00650C09"/>
    <w:rsid w:val="00650D4F"/>
    <w:rsid w:val="006510A8"/>
    <w:rsid w:val="006510DF"/>
    <w:rsid w:val="00651125"/>
    <w:rsid w:val="00651160"/>
    <w:rsid w:val="0065146A"/>
    <w:rsid w:val="006520E1"/>
    <w:rsid w:val="00652222"/>
    <w:rsid w:val="006529AB"/>
    <w:rsid w:val="006529F1"/>
    <w:rsid w:val="00653063"/>
    <w:rsid w:val="0065334B"/>
    <w:rsid w:val="006533EF"/>
    <w:rsid w:val="006539F3"/>
    <w:rsid w:val="00653A02"/>
    <w:rsid w:val="00653DEC"/>
    <w:rsid w:val="006540F4"/>
    <w:rsid w:val="006544B3"/>
    <w:rsid w:val="006546D3"/>
    <w:rsid w:val="006546E0"/>
    <w:rsid w:val="0065482D"/>
    <w:rsid w:val="006548BC"/>
    <w:rsid w:val="006549C7"/>
    <w:rsid w:val="006549C8"/>
    <w:rsid w:val="0065512A"/>
    <w:rsid w:val="00655150"/>
    <w:rsid w:val="00655154"/>
    <w:rsid w:val="0065568B"/>
    <w:rsid w:val="00655DB6"/>
    <w:rsid w:val="00655E0B"/>
    <w:rsid w:val="00655EFF"/>
    <w:rsid w:val="0065629E"/>
    <w:rsid w:val="00656391"/>
    <w:rsid w:val="00656617"/>
    <w:rsid w:val="006566F0"/>
    <w:rsid w:val="0065680C"/>
    <w:rsid w:val="00656BE1"/>
    <w:rsid w:val="00656C67"/>
    <w:rsid w:val="00656C7C"/>
    <w:rsid w:val="00656E9F"/>
    <w:rsid w:val="00657612"/>
    <w:rsid w:val="006579A7"/>
    <w:rsid w:val="00657A72"/>
    <w:rsid w:val="00657BF3"/>
    <w:rsid w:val="00657C60"/>
    <w:rsid w:val="006600D4"/>
    <w:rsid w:val="0066019E"/>
    <w:rsid w:val="0066055C"/>
    <w:rsid w:val="006605D3"/>
    <w:rsid w:val="0066066C"/>
    <w:rsid w:val="00660847"/>
    <w:rsid w:val="00660856"/>
    <w:rsid w:val="00660A60"/>
    <w:rsid w:val="0066117C"/>
    <w:rsid w:val="0066172F"/>
    <w:rsid w:val="00661B7E"/>
    <w:rsid w:val="00661C8C"/>
    <w:rsid w:val="0066240A"/>
    <w:rsid w:val="00662604"/>
    <w:rsid w:val="00662F5E"/>
    <w:rsid w:val="006630AB"/>
    <w:rsid w:val="006632D4"/>
    <w:rsid w:val="0066394E"/>
    <w:rsid w:val="00663ACA"/>
    <w:rsid w:val="00663D93"/>
    <w:rsid w:val="00664050"/>
    <w:rsid w:val="00664A19"/>
    <w:rsid w:val="00664A49"/>
    <w:rsid w:val="00664ACD"/>
    <w:rsid w:val="00664C6A"/>
    <w:rsid w:val="00664DA2"/>
    <w:rsid w:val="00664F6F"/>
    <w:rsid w:val="0066561B"/>
    <w:rsid w:val="006659BB"/>
    <w:rsid w:val="00665CC4"/>
    <w:rsid w:val="00665D0A"/>
    <w:rsid w:val="0066667F"/>
    <w:rsid w:val="006668DA"/>
    <w:rsid w:val="00666BBB"/>
    <w:rsid w:val="00666D2C"/>
    <w:rsid w:val="0066704A"/>
    <w:rsid w:val="00667094"/>
    <w:rsid w:val="00667233"/>
    <w:rsid w:val="0066726E"/>
    <w:rsid w:val="0066750F"/>
    <w:rsid w:val="006675A3"/>
    <w:rsid w:val="006676B6"/>
    <w:rsid w:val="006676BB"/>
    <w:rsid w:val="00667B1B"/>
    <w:rsid w:val="00670024"/>
    <w:rsid w:val="00670184"/>
    <w:rsid w:val="006704F0"/>
    <w:rsid w:val="0067052C"/>
    <w:rsid w:val="0067081E"/>
    <w:rsid w:val="00670B08"/>
    <w:rsid w:val="00671873"/>
    <w:rsid w:val="00671CD8"/>
    <w:rsid w:val="00671D26"/>
    <w:rsid w:val="00672514"/>
    <w:rsid w:val="006725EC"/>
    <w:rsid w:val="0067262F"/>
    <w:rsid w:val="00672643"/>
    <w:rsid w:val="00672C95"/>
    <w:rsid w:val="00673195"/>
    <w:rsid w:val="00673295"/>
    <w:rsid w:val="00673429"/>
    <w:rsid w:val="00673853"/>
    <w:rsid w:val="006739F1"/>
    <w:rsid w:val="00673A39"/>
    <w:rsid w:val="00673ABC"/>
    <w:rsid w:val="00673B4D"/>
    <w:rsid w:val="00673C49"/>
    <w:rsid w:val="00673DF3"/>
    <w:rsid w:val="006743C3"/>
    <w:rsid w:val="0067498E"/>
    <w:rsid w:val="0067501E"/>
    <w:rsid w:val="0067513F"/>
    <w:rsid w:val="00675452"/>
    <w:rsid w:val="00675492"/>
    <w:rsid w:val="00675867"/>
    <w:rsid w:val="00675B0E"/>
    <w:rsid w:val="006760CF"/>
    <w:rsid w:val="0067639A"/>
    <w:rsid w:val="006763BB"/>
    <w:rsid w:val="00676613"/>
    <w:rsid w:val="006766E8"/>
    <w:rsid w:val="00676BE3"/>
    <w:rsid w:val="00676D3A"/>
    <w:rsid w:val="00677518"/>
    <w:rsid w:val="00677713"/>
    <w:rsid w:val="00677786"/>
    <w:rsid w:val="006777BA"/>
    <w:rsid w:val="006778CF"/>
    <w:rsid w:val="00677A1D"/>
    <w:rsid w:val="00677A83"/>
    <w:rsid w:val="00677AF5"/>
    <w:rsid w:val="00677B43"/>
    <w:rsid w:val="00677E79"/>
    <w:rsid w:val="00677EC0"/>
    <w:rsid w:val="0068002C"/>
    <w:rsid w:val="006803CE"/>
    <w:rsid w:val="006804C5"/>
    <w:rsid w:val="00680589"/>
    <w:rsid w:val="00680716"/>
    <w:rsid w:val="00680925"/>
    <w:rsid w:val="00680A7E"/>
    <w:rsid w:val="00680AB8"/>
    <w:rsid w:val="00680B0A"/>
    <w:rsid w:val="00680B7C"/>
    <w:rsid w:val="00680CEE"/>
    <w:rsid w:val="00680D7D"/>
    <w:rsid w:val="00680F2F"/>
    <w:rsid w:val="006810A9"/>
    <w:rsid w:val="0068142F"/>
    <w:rsid w:val="00681486"/>
    <w:rsid w:val="0068199D"/>
    <w:rsid w:val="00681D04"/>
    <w:rsid w:val="00681E59"/>
    <w:rsid w:val="00682148"/>
    <w:rsid w:val="006821C7"/>
    <w:rsid w:val="006824F9"/>
    <w:rsid w:val="006828AA"/>
    <w:rsid w:val="006829A0"/>
    <w:rsid w:val="00682A91"/>
    <w:rsid w:val="00683542"/>
    <w:rsid w:val="00683566"/>
    <w:rsid w:val="00683641"/>
    <w:rsid w:val="006837C8"/>
    <w:rsid w:val="006837D3"/>
    <w:rsid w:val="006838F0"/>
    <w:rsid w:val="00683CA6"/>
    <w:rsid w:val="00683D25"/>
    <w:rsid w:val="00683D81"/>
    <w:rsid w:val="00683E4B"/>
    <w:rsid w:val="00684201"/>
    <w:rsid w:val="006843BD"/>
    <w:rsid w:val="006843D9"/>
    <w:rsid w:val="00684521"/>
    <w:rsid w:val="006845F3"/>
    <w:rsid w:val="006848F9"/>
    <w:rsid w:val="00684B8B"/>
    <w:rsid w:val="00684BD1"/>
    <w:rsid w:val="00684E77"/>
    <w:rsid w:val="00684F00"/>
    <w:rsid w:val="006854B2"/>
    <w:rsid w:val="006854FC"/>
    <w:rsid w:val="00685663"/>
    <w:rsid w:val="006857C2"/>
    <w:rsid w:val="0068596D"/>
    <w:rsid w:val="00685D5D"/>
    <w:rsid w:val="0068607A"/>
    <w:rsid w:val="0068610D"/>
    <w:rsid w:val="006861A2"/>
    <w:rsid w:val="00686968"/>
    <w:rsid w:val="006869A4"/>
    <w:rsid w:val="00686F43"/>
    <w:rsid w:val="006870C8"/>
    <w:rsid w:val="00687180"/>
    <w:rsid w:val="006871F0"/>
    <w:rsid w:val="006875E2"/>
    <w:rsid w:val="00687637"/>
    <w:rsid w:val="006877AB"/>
    <w:rsid w:val="006878F5"/>
    <w:rsid w:val="006902CF"/>
    <w:rsid w:val="006902F9"/>
    <w:rsid w:val="00690488"/>
    <w:rsid w:val="00690AC0"/>
    <w:rsid w:val="00690C12"/>
    <w:rsid w:val="00690E3E"/>
    <w:rsid w:val="00690EC2"/>
    <w:rsid w:val="00691519"/>
    <w:rsid w:val="00691BAE"/>
    <w:rsid w:val="00691F45"/>
    <w:rsid w:val="0069218B"/>
    <w:rsid w:val="006922BA"/>
    <w:rsid w:val="006924DE"/>
    <w:rsid w:val="006925C7"/>
    <w:rsid w:val="00692A51"/>
    <w:rsid w:val="00692B74"/>
    <w:rsid w:val="00692D7B"/>
    <w:rsid w:val="00693140"/>
    <w:rsid w:val="00693415"/>
    <w:rsid w:val="0069346D"/>
    <w:rsid w:val="0069358C"/>
    <w:rsid w:val="00693616"/>
    <w:rsid w:val="006936D5"/>
    <w:rsid w:val="0069399A"/>
    <w:rsid w:val="006939DB"/>
    <w:rsid w:val="00693A1D"/>
    <w:rsid w:val="00693AF2"/>
    <w:rsid w:val="00693B53"/>
    <w:rsid w:val="00693C6A"/>
    <w:rsid w:val="006942C5"/>
    <w:rsid w:val="006942CB"/>
    <w:rsid w:val="006944BA"/>
    <w:rsid w:val="00694823"/>
    <w:rsid w:val="006948A7"/>
    <w:rsid w:val="00694C24"/>
    <w:rsid w:val="00694CDD"/>
    <w:rsid w:val="00694FEF"/>
    <w:rsid w:val="00695232"/>
    <w:rsid w:val="00695445"/>
    <w:rsid w:val="00695835"/>
    <w:rsid w:val="00695976"/>
    <w:rsid w:val="00695A22"/>
    <w:rsid w:val="00695E78"/>
    <w:rsid w:val="00696115"/>
    <w:rsid w:val="0069615D"/>
    <w:rsid w:val="0069620D"/>
    <w:rsid w:val="006964C2"/>
    <w:rsid w:val="006964CB"/>
    <w:rsid w:val="00696605"/>
    <w:rsid w:val="006969BF"/>
    <w:rsid w:val="00696D36"/>
    <w:rsid w:val="00696F6B"/>
    <w:rsid w:val="0069737B"/>
    <w:rsid w:val="00697632"/>
    <w:rsid w:val="0069765A"/>
    <w:rsid w:val="00697A6F"/>
    <w:rsid w:val="00697AC3"/>
    <w:rsid w:val="00697C62"/>
    <w:rsid w:val="00697E4E"/>
    <w:rsid w:val="00697EA5"/>
    <w:rsid w:val="006A0238"/>
    <w:rsid w:val="006A0562"/>
    <w:rsid w:val="006A0858"/>
    <w:rsid w:val="006A09ED"/>
    <w:rsid w:val="006A0A03"/>
    <w:rsid w:val="006A0CFF"/>
    <w:rsid w:val="006A0D67"/>
    <w:rsid w:val="006A0F52"/>
    <w:rsid w:val="006A0FFA"/>
    <w:rsid w:val="006A144A"/>
    <w:rsid w:val="006A15A0"/>
    <w:rsid w:val="006A1677"/>
    <w:rsid w:val="006A1998"/>
    <w:rsid w:val="006A1CA4"/>
    <w:rsid w:val="006A1EF3"/>
    <w:rsid w:val="006A1FAE"/>
    <w:rsid w:val="006A1FE2"/>
    <w:rsid w:val="006A23DC"/>
    <w:rsid w:val="006A25AD"/>
    <w:rsid w:val="006A25D5"/>
    <w:rsid w:val="006A26F9"/>
    <w:rsid w:val="006A2C99"/>
    <w:rsid w:val="006A2CAE"/>
    <w:rsid w:val="006A3071"/>
    <w:rsid w:val="006A321A"/>
    <w:rsid w:val="006A35CA"/>
    <w:rsid w:val="006A3770"/>
    <w:rsid w:val="006A3795"/>
    <w:rsid w:val="006A37C2"/>
    <w:rsid w:val="006A3B98"/>
    <w:rsid w:val="006A3DBA"/>
    <w:rsid w:val="006A3EE2"/>
    <w:rsid w:val="006A4177"/>
    <w:rsid w:val="006A41E3"/>
    <w:rsid w:val="006A4363"/>
    <w:rsid w:val="006A44F4"/>
    <w:rsid w:val="006A4562"/>
    <w:rsid w:val="006A4A50"/>
    <w:rsid w:val="006A50B6"/>
    <w:rsid w:val="006A54CE"/>
    <w:rsid w:val="006A5D2F"/>
    <w:rsid w:val="006A5DA4"/>
    <w:rsid w:val="006A5FB1"/>
    <w:rsid w:val="006A5FD4"/>
    <w:rsid w:val="006A6073"/>
    <w:rsid w:val="006A60F5"/>
    <w:rsid w:val="006A6134"/>
    <w:rsid w:val="006A6149"/>
    <w:rsid w:val="006A621F"/>
    <w:rsid w:val="006A64EB"/>
    <w:rsid w:val="006A731B"/>
    <w:rsid w:val="006A7A9F"/>
    <w:rsid w:val="006A7AF7"/>
    <w:rsid w:val="006A7AFD"/>
    <w:rsid w:val="006A7BA2"/>
    <w:rsid w:val="006A7F11"/>
    <w:rsid w:val="006B0223"/>
    <w:rsid w:val="006B077A"/>
    <w:rsid w:val="006B0A39"/>
    <w:rsid w:val="006B0B86"/>
    <w:rsid w:val="006B0DD8"/>
    <w:rsid w:val="006B0EB3"/>
    <w:rsid w:val="006B1295"/>
    <w:rsid w:val="006B1BB4"/>
    <w:rsid w:val="006B1D20"/>
    <w:rsid w:val="006B1DD0"/>
    <w:rsid w:val="006B1E89"/>
    <w:rsid w:val="006B1F1A"/>
    <w:rsid w:val="006B1FE2"/>
    <w:rsid w:val="006B2180"/>
    <w:rsid w:val="006B21D7"/>
    <w:rsid w:val="006B2288"/>
    <w:rsid w:val="006B2584"/>
    <w:rsid w:val="006B259E"/>
    <w:rsid w:val="006B2601"/>
    <w:rsid w:val="006B2682"/>
    <w:rsid w:val="006B28CC"/>
    <w:rsid w:val="006B29DB"/>
    <w:rsid w:val="006B2AB0"/>
    <w:rsid w:val="006B2AFB"/>
    <w:rsid w:val="006B309F"/>
    <w:rsid w:val="006B30D7"/>
    <w:rsid w:val="006B312A"/>
    <w:rsid w:val="006B33EE"/>
    <w:rsid w:val="006B35EC"/>
    <w:rsid w:val="006B3C00"/>
    <w:rsid w:val="006B4229"/>
    <w:rsid w:val="006B4693"/>
    <w:rsid w:val="006B4954"/>
    <w:rsid w:val="006B4A66"/>
    <w:rsid w:val="006B4B33"/>
    <w:rsid w:val="006B4C63"/>
    <w:rsid w:val="006B524D"/>
    <w:rsid w:val="006B5414"/>
    <w:rsid w:val="006B5440"/>
    <w:rsid w:val="006B548B"/>
    <w:rsid w:val="006B5BAC"/>
    <w:rsid w:val="006B63A3"/>
    <w:rsid w:val="006B67DE"/>
    <w:rsid w:val="006B6AFB"/>
    <w:rsid w:val="006B722B"/>
    <w:rsid w:val="006B724C"/>
    <w:rsid w:val="006B75A4"/>
    <w:rsid w:val="006B79B3"/>
    <w:rsid w:val="006B7D4F"/>
    <w:rsid w:val="006C03F3"/>
    <w:rsid w:val="006C042C"/>
    <w:rsid w:val="006C05B5"/>
    <w:rsid w:val="006C0B5F"/>
    <w:rsid w:val="006C0D32"/>
    <w:rsid w:val="006C14C6"/>
    <w:rsid w:val="006C1545"/>
    <w:rsid w:val="006C17D5"/>
    <w:rsid w:val="006C1AE5"/>
    <w:rsid w:val="006C1B81"/>
    <w:rsid w:val="006C1BD9"/>
    <w:rsid w:val="006C1BF0"/>
    <w:rsid w:val="006C1CDE"/>
    <w:rsid w:val="006C1F12"/>
    <w:rsid w:val="006C200E"/>
    <w:rsid w:val="006C21C9"/>
    <w:rsid w:val="006C2C11"/>
    <w:rsid w:val="006C2C8D"/>
    <w:rsid w:val="006C2D30"/>
    <w:rsid w:val="006C2EB4"/>
    <w:rsid w:val="006C3452"/>
    <w:rsid w:val="006C3463"/>
    <w:rsid w:val="006C3816"/>
    <w:rsid w:val="006C387B"/>
    <w:rsid w:val="006C3B40"/>
    <w:rsid w:val="006C3EEA"/>
    <w:rsid w:val="006C4170"/>
    <w:rsid w:val="006C41A3"/>
    <w:rsid w:val="006C448C"/>
    <w:rsid w:val="006C49E4"/>
    <w:rsid w:val="006C4C09"/>
    <w:rsid w:val="006C4E72"/>
    <w:rsid w:val="006C4EA2"/>
    <w:rsid w:val="006C4FA5"/>
    <w:rsid w:val="006C559F"/>
    <w:rsid w:val="006C5A7C"/>
    <w:rsid w:val="006C5BDB"/>
    <w:rsid w:val="006C5EF4"/>
    <w:rsid w:val="006C61C3"/>
    <w:rsid w:val="006C6389"/>
    <w:rsid w:val="006C64DA"/>
    <w:rsid w:val="006C6626"/>
    <w:rsid w:val="006C6846"/>
    <w:rsid w:val="006C6D22"/>
    <w:rsid w:val="006C6F89"/>
    <w:rsid w:val="006C7094"/>
    <w:rsid w:val="006C7385"/>
    <w:rsid w:val="006C7942"/>
    <w:rsid w:val="006C7A2A"/>
    <w:rsid w:val="006C7A62"/>
    <w:rsid w:val="006C7BA4"/>
    <w:rsid w:val="006C7E89"/>
    <w:rsid w:val="006D02A1"/>
    <w:rsid w:val="006D02B3"/>
    <w:rsid w:val="006D0375"/>
    <w:rsid w:val="006D05C1"/>
    <w:rsid w:val="006D06A2"/>
    <w:rsid w:val="006D08F6"/>
    <w:rsid w:val="006D165A"/>
    <w:rsid w:val="006D1A1D"/>
    <w:rsid w:val="006D2200"/>
    <w:rsid w:val="006D223B"/>
    <w:rsid w:val="006D24BB"/>
    <w:rsid w:val="006D2642"/>
    <w:rsid w:val="006D2661"/>
    <w:rsid w:val="006D2B31"/>
    <w:rsid w:val="006D2CAE"/>
    <w:rsid w:val="006D2CE5"/>
    <w:rsid w:val="006D3483"/>
    <w:rsid w:val="006D3514"/>
    <w:rsid w:val="006D3688"/>
    <w:rsid w:val="006D3AE1"/>
    <w:rsid w:val="006D3E12"/>
    <w:rsid w:val="006D3EDF"/>
    <w:rsid w:val="006D4741"/>
    <w:rsid w:val="006D4EE9"/>
    <w:rsid w:val="006D511A"/>
    <w:rsid w:val="006D554A"/>
    <w:rsid w:val="006D55CF"/>
    <w:rsid w:val="006D562F"/>
    <w:rsid w:val="006D5875"/>
    <w:rsid w:val="006D5CC3"/>
    <w:rsid w:val="006D5FA2"/>
    <w:rsid w:val="006D60E2"/>
    <w:rsid w:val="006D60F9"/>
    <w:rsid w:val="006D61FE"/>
    <w:rsid w:val="006D65AB"/>
    <w:rsid w:val="006D6600"/>
    <w:rsid w:val="006D6B00"/>
    <w:rsid w:val="006D6EE8"/>
    <w:rsid w:val="006D75E6"/>
    <w:rsid w:val="006D76B0"/>
    <w:rsid w:val="006D7777"/>
    <w:rsid w:val="006D7933"/>
    <w:rsid w:val="006D7A7A"/>
    <w:rsid w:val="006D7DDB"/>
    <w:rsid w:val="006D7E77"/>
    <w:rsid w:val="006E021F"/>
    <w:rsid w:val="006E077E"/>
    <w:rsid w:val="006E117B"/>
    <w:rsid w:val="006E1454"/>
    <w:rsid w:val="006E14C4"/>
    <w:rsid w:val="006E1968"/>
    <w:rsid w:val="006E2058"/>
    <w:rsid w:val="006E22C2"/>
    <w:rsid w:val="006E24AF"/>
    <w:rsid w:val="006E24EF"/>
    <w:rsid w:val="006E2673"/>
    <w:rsid w:val="006E28CD"/>
    <w:rsid w:val="006E2A56"/>
    <w:rsid w:val="006E2C21"/>
    <w:rsid w:val="006E2C5D"/>
    <w:rsid w:val="006E2C5F"/>
    <w:rsid w:val="006E2C9A"/>
    <w:rsid w:val="006E2D31"/>
    <w:rsid w:val="006E2F1E"/>
    <w:rsid w:val="006E30B0"/>
    <w:rsid w:val="006E3203"/>
    <w:rsid w:val="006E3377"/>
    <w:rsid w:val="006E341F"/>
    <w:rsid w:val="006E3780"/>
    <w:rsid w:val="006E378D"/>
    <w:rsid w:val="006E38D6"/>
    <w:rsid w:val="006E3D93"/>
    <w:rsid w:val="006E3E60"/>
    <w:rsid w:val="006E3F2D"/>
    <w:rsid w:val="006E4433"/>
    <w:rsid w:val="006E45FB"/>
    <w:rsid w:val="006E4714"/>
    <w:rsid w:val="006E4D6C"/>
    <w:rsid w:val="006E4E96"/>
    <w:rsid w:val="006E4F14"/>
    <w:rsid w:val="006E51E6"/>
    <w:rsid w:val="006E52D6"/>
    <w:rsid w:val="006E5968"/>
    <w:rsid w:val="006E5A63"/>
    <w:rsid w:val="006E5C51"/>
    <w:rsid w:val="006E5E40"/>
    <w:rsid w:val="006E5E65"/>
    <w:rsid w:val="006E5E71"/>
    <w:rsid w:val="006E5F5C"/>
    <w:rsid w:val="006E6B88"/>
    <w:rsid w:val="006E6EB7"/>
    <w:rsid w:val="006E70F6"/>
    <w:rsid w:val="006E7525"/>
    <w:rsid w:val="006E75F8"/>
    <w:rsid w:val="006E76E6"/>
    <w:rsid w:val="006E7792"/>
    <w:rsid w:val="006E786B"/>
    <w:rsid w:val="006E78EC"/>
    <w:rsid w:val="006E7B06"/>
    <w:rsid w:val="006E7F64"/>
    <w:rsid w:val="006F0194"/>
    <w:rsid w:val="006F02AC"/>
    <w:rsid w:val="006F06EF"/>
    <w:rsid w:val="006F0757"/>
    <w:rsid w:val="006F08B1"/>
    <w:rsid w:val="006F098B"/>
    <w:rsid w:val="006F0AAF"/>
    <w:rsid w:val="006F0AD1"/>
    <w:rsid w:val="006F0B21"/>
    <w:rsid w:val="006F0B47"/>
    <w:rsid w:val="006F0D94"/>
    <w:rsid w:val="006F0EA4"/>
    <w:rsid w:val="006F0F9B"/>
    <w:rsid w:val="006F127B"/>
    <w:rsid w:val="006F1381"/>
    <w:rsid w:val="006F13BA"/>
    <w:rsid w:val="006F1747"/>
    <w:rsid w:val="006F1958"/>
    <w:rsid w:val="006F2145"/>
    <w:rsid w:val="006F2278"/>
    <w:rsid w:val="006F22D9"/>
    <w:rsid w:val="006F234C"/>
    <w:rsid w:val="006F245A"/>
    <w:rsid w:val="006F24E0"/>
    <w:rsid w:val="006F279E"/>
    <w:rsid w:val="006F27BA"/>
    <w:rsid w:val="006F2809"/>
    <w:rsid w:val="006F2908"/>
    <w:rsid w:val="006F2B9A"/>
    <w:rsid w:val="006F2D94"/>
    <w:rsid w:val="006F2F43"/>
    <w:rsid w:val="006F30C3"/>
    <w:rsid w:val="006F32AC"/>
    <w:rsid w:val="006F39A0"/>
    <w:rsid w:val="006F3D2A"/>
    <w:rsid w:val="006F3D46"/>
    <w:rsid w:val="006F3FAC"/>
    <w:rsid w:val="006F41A4"/>
    <w:rsid w:val="006F42EE"/>
    <w:rsid w:val="006F4412"/>
    <w:rsid w:val="006F46CC"/>
    <w:rsid w:val="006F4775"/>
    <w:rsid w:val="006F49AD"/>
    <w:rsid w:val="006F5235"/>
    <w:rsid w:val="006F5634"/>
    <w:rsid w:val="006F58A8"/>
    <w:rsid w:val="006F5A31"/>
    <w:rsid w:val="006F5D0C"/>
    <w:rsid w:val="006F5EE0"/>
    <w:rsid w:val="006F62F7"/>
    <w:rsid w:val="006F6332"/>
    <w:rsid w:val="006F6636"/>
    <w:rsid w:val="006F681E"/>
    <w:rsid w:val="006F68D4"/>
    <w:rsid w:val="006F6A77"/>
    <w:rsid w:val="006F6C56"/>
    <w:rsid w:val="006F6EE6"/>
    <w:rsid w:val="006F721D"/>
    <w:rsid w:val="006F7230"/>
    <w:rsid w:val="006F748A"/>
    <w:rsid w:val="006F7716"/>
    <w:rsid w:val="006F79C7"/>
    <w:rsid w:val="006F79F4"/>
    <w:rsid w:val="006F7B09"/>
    <w:rsid w:val="006F7DE3"/>
    <w:rsid w:val="006F7E57"/>
    <w:rsid w:val="00700168"/>
    <w:rsid w:val="007007C1"/>
    <w:rsid w:val="00700BF8"/>
    <w:rsid w:val="00700EDD"/>
    <w:rsid w:val="0070108D"/>
    <w:rsid w:val="007011C3"/>
    <w:rsid w:val="007018D6"/>
    <w:rsid w:val="00701DCD"/>
    <w:rsid w:val="00702188"/>
    <w:rsid w:val="007022A8"/>
    <w:rsid w:val="00702371"/>
    <w:rsid w:val="007023F6"/>
    <w:rsid w:val="00702794"/>
    <w:rsid w:val="007029B0"/>
    <w:rsid w:val="00702B80"/>
    <w:rsid w:val="00702D43"/>
    <w:rsid w:val="00703379"/>
    <w:rsid w:val="007035E3"/>
    <w:rsid w:val="00703689"/>
    <w:rsid w:val="00703778"/>
    <w:rsid w:val="0070388B"/>
    <w:rsid w:val="007039AE"/>
    <w:rsid w:val="00703AF3"/>
    <w:rsid w:val="007042AA"/>
    <w:rsid w:val="007043B8"/>
    <w:rsid w:val="00704B83"/>
    <w:rsid w:val="00705137"/>
    <w:rsid w:val="0070549C"/>
    <w:rsid w:val="007055B0"/>
    <w:rsid w:val="007055C0"/>
    <w:rsid w:val="0070585A"/>
    <w:rsid w:val="0070597D"/>
    <w:rsid w:val="00705A45"/>
    <w:rsid w:val="00706396"/>
    <w:rsid w:val="0070650A"/>
    <w:rsid w:val="007068C1"/>
    <w:rsid w:val="00706901"/>
    <w:rsid w:val="00706908"/>
    <w:rsid w:val="0070695F"/>
    <w:rsid w:val="00706A00"/>
    <w:rsid w:val="00706B69"/>
    <w:rsid w:val="00706C98"/>
    <w:rsid w:val="00706CBA"/>
    <w:rsid w:val="00706E4E"/>
    <w:rsid w:val="0070704C"/>
    <w:rsid w:val="00707185"/>
    <w:rsid w:val="00707191"/>
    <w:rsid w:val="007071DD"/>
    <w:rsid w:val="00707456"/>
    <w:rsid w:val="00707849"/>
    <w:rsid w:val="007078FB"/>
    <w:rsid w:val="00707901"/>
    <w:rsid w:val="00707E2B"/>
    <w:rsid w:val="00707ED7"/>
    <w:rsid w:val="0071032F"/>
    <w:rsid w:val="00710676"/>
    <w:rsid w:val="007109F5"/>
    <w:rsid w:val="00710BFB"/>
    <w:rsid w:val="0071107C"/>
    <w:rsid w:val="007112A3"/>
    <w:rsid w:val="007113A7"/>
    <w:rsid w:val="007113C3"/>
    <w:rsid w:val="00711887"/>
    <w:rsid w:val="007118C6"/>
    <w:rsid w:val="00711B33"/>
    <w:rsid w:val="00711D57"/>
    <w:rsid w:val="0071217E"/>
    <w:rsid w:val="007121BF"/>
    <w:rsid w:val="007127E3"/>
    <w:rsid w:val="00712826"/>
    <w:rsid w:val="00712907"/>
    <w:rsid w:val="00712C58"/>
    <w:rsid w:val="00712E0F"/>
    <w:rsid w:val="00713021"/>
    <w:rsid w:val="007134AE"/>
    <w:rsid w:val="007134E4"/>
    <w:rsid w:val="00713725"/>
    <w:rsid w:val="00713743"/>
    <w:rsid w:val="0071393D"/>
    <w:rsid w:val="007139FE"/>
    <w:rsid w:val="00713ACE"/>
    <w:rsid w:val="007144C2"/>
    <w:rsid w:val="00714618"/>
    <w:rsid w:val="007149CF"/>
    <w:rsid w:val="00714A17"/>
    <w:rsid w:val="00714AC1"/>
    <w:rsid w:val="00715207"/>
    <w:rsid w:val="007153C9"/>
    <w:rsid w:val="00715505"/>
    <w:rsid w:val="00715578"/>
    <w:rsid w:val="00715D1B"/>
    <w:rsid w:val="00715D34"/>
    <w:rsid w:val="00715EDA"/>
    <w:rsid w:val="00715FF2"/>
    <w:rsid w:val="0071604E"/>
    <w:rsid w:val="00716167"/>
    <w:rsid w:val="007162E6"/>
    <w:rsid w:val="0071639C"/>
    <w:rsid w:val="0071641F"/>
    <w:rsid w:val="00716642"/>
    <w:rsid w:val="00716718"/>
    <w:rsid w:val="00716A07"/>
    <w:rsid w:val="00716A6E"/>
    <w:rsid w:val="00716C87"/>
    <w:rsid w:val="00716F14"/>
    <w:rsid w:val="00716F65"/>
    <w:rsid w:val="00717406"/>
    <w:rsid w:val="00717B4E"/>
    <w:rsid w:val="00717C8F"/>
    <w:rsid w:val="00717CD9"/>
    <w:rsid w:val="007203E4"/>
    <w:rsid w:val="0072048E"/>
    <w:rsid w:val="007205DB"/>
    <w:rsid w:val="00720622"/>
    <w:rsid w:val="007207B3"/>
    <w:rsid w:val="007207D7"/>
    <w:rsid w:val="007207DC"/>
    <w:rsid w:val="00720F89"/>
    <w:rsid w:val="00720FE0"/>
    <w:rsid w:val="0072113F"/>
    <w:rsid w:val="00721556"/>
    <w:rsid w:val="00721CCF"/>
    <w:rsid w:val="00721D7B"/>
    <w:rsid w:val="007221EA"/>
    <w:rsid w:val="00722318"/>
    <w:rsid w:val="0072238B"/>
    <w:rsid w:val="007224D4"/>
    <w:rsid w:val="00722AFB"/>
    <w:rsid w:val="007230B8"/>
    <w:rsid w:val="0072351F"/>
    <w:rsid w:val="007237F2"/>
    <w:rsid w:val="00723B93"/>
    <w:rsid w:val="007243A2"/>
    <w:rsid w:val="00724C2D"/>
    <w:rsid w:val="007254F4"/>
    <w:rsid w:val="0072562C"/>
    <w:rsid w:val="0072562E"/>
    <w:rsid w:val="00725A7B"/>
    <w:rsid w:val="00725ADB"/>
    <w:rsid w:val="00725BAE"/>
    <w:rsid w:val="007262C6"/>
    <w:rsid w:val="00726351"/>
    <w:rsid w:val="00726636"/>
    <w:rsid w:val="00726854"/>
    <w:rsid w:val="007268C3"/>
    <w:rsid w:val="00726C3C"/>
    <w:rsid w:val="00727301"/>
    <w:rsid w:val="00727639"/>
    <w:rsid w:val="00727655"/>
    <w:rsid w:val="0072765A"/>
    <w:rsid w:val="007277CD"/>
    <w:rsid w:val="0072787C"/>
    <w:rsid w:val="00727A76"/>
    <w:rsid w:val="00727CE0"/>
    <w:rsid w:val="00727D3B"/>
    <w:rsid w:val="00727D8F"/>
    <w:rsid w:val="00727EE2"/>
    <w:rsid w:val="00730074"/>
    <w:rsid w:val="007301A0"/>
    <w:rsid w:val="007303F5"/>
    <w:rsid w:val="007304DE"/>
    <w:rsid w:val="00730642"/>
    <w:rsid w:val="00730A96"/>
    <w:rsid w:val="00730C98"/>
    <w:rsid w:val="00730DEC"/>
    <w:rsid w:val="00730E92"/>
    <w:rsid w:val="00731303"/>
    <w:rsid w:val="007314A7"/>
    <w:rsid w:val="007314A8"/>
    <w:rsid w:val="00731501"/>
    <w:rsid w:val="007317C0"/>
    <w:rsid w:val="00731833"/>
    <w:rsid w:val="0073187A"/>
    <w:rsid w:val="0073192A"/>
    <w:rsid w:val="0073194B"/>
    <w:rsid w:val="00731B1E"/>
    <w:rsid w:val="00731BD1"/>
    <w:rsid w:val="00731D09"/>
    <w:rsid w:val="00731EF0"/>
    <w:rsid w:val="007321EA"/>
    <w:rsid w:val="007322B5"/>
    <w:rsid w:val="00732E9A"/>
    <w:rsid w:val="0073302A"/>
    <w:rsid w:val="00733077"/>
    <w:rsid w:val="00733176"/>
    <w:rsid w:val="0073384C"/>
    <w:rsid w:val="00733E29"/>
    <w:rsid w:val="007341C6"/>
    <w:rsid w:val="00734214"/>
    <w:rsid w:val="00734525"/>
    <w:rsid w:val="00734550"/>
    <w:rsid w:val="00734773"/>
    <w:rsid w:val="00734C7C"/>
    <w:rsid w:val="00734D93"/>
    <w:rsid w:val="00734DA6"/>
    <w:rsid w:val="00734FEB"/>
    <w:rsid w:val="00735000"/>
    <w:rsid w:val="007353FB"/>
    <w:rsid w:val="00735514"/>
    <w:rsid w:val="007358AE"/>
    <w:rsid w:val="00735C72"/>
    <w:rsid w:val="00735C8F"/>
    <w:rsid w:val="00735C9C"/>
    <w:rsid w:val="00735F67"/>
    <w:rsid w:val="0073636E"/>
    <w:rsid w:val="00736756"/>
    <w:rsid w:val="007369D2"/>
    <w:rsid w:val="00736AB4"/>
    <w:rsid w:val="00736B8F"/>
    <w:rsid w:val="007374C0"/>
    <w:rsid w:val="007376F9"/>
    <w:rsid w:val="00737824"/>
    <w:rsid w:val="007378F1"/>
    <w:rsid w:val="007378FC"/>
    <w:rsid w:val="00737984"/>
    <w:rsid w:val="00737A11"/>
    <w:rsid w:val="00737AFE"/>
    <w:rsid w:val="00737B8B"/>
    <w:rsid w:val="00737BE9"/>
    <w:rsid w:val="00737E29"/>
    <w:rsid w:val="00737E6A"/>
    <w:rsid w:val="00737F82"/>
    <w:rsid w:val="00740029"/>
    <w:rsid w:val="007400A0"/>
    <w:rsid w:val="0074073E"/>
    <w:rsid w:val="00740B67"/>
    <w:rsid w:val="00740FFE"/>
    <w:rsid w:val="0074196C"/>
    <w:rsid w:val="00741A53"/>
    <w:rsid w:val="0074224E"/>
    <w:rsid w:val="00742255"/>
    <w:rsid w:val="00742584"/>
    <w:rsid w:val="0074269D"/>
    <w:rsid w:val="00742EB1"/>
    <w:rsid w:val="00742F88"/>
    <w:rsid w:val="0074302B"/>
    <w:rsid w:val="00743287"/>
    <w:rsid w:val="0074390C"/>
    <w:rsid w:val="00743B87"/>
    <w:rsid w:val="00743C6E"/>
    <w:rsid w:val="00744106"/>
    <w:rsid w:val="007448AF"/>
    <w:rsid w:val="00745208"/>
    <w:rsid w:val="00745467"/>
    <w:rsid w:val="007454D0"/>
    <w:rsid w:val="0074580E"/>
    <w:rsid w:val="00745C7B"/>
    <w:rsid w:val="00745E87"/>
    <w:rsid w:val="0074625C"/>
    <w:rsid w:val="0074650E"/>
    <w:rsid w:val="00746715"/>
    <w:rsid w:val="00746C29"/>
    <w:rsid w:val="007472E4"/>
    <w:rsid w:val="007474BB"/>
    <w:rsid w:val="007474D2"/>
    <w:rsid w:val="00747712"/>
    <w:rsid w:val="00747822"/>
    <w:rsid w:val="0074799F"/>
    <w:rsid w:val="00747FF4"/>
    <w:rsid w:val="0075077F"/>
    <w:rsid w:val="007508EE"/>
    <w:rsid w:val="00750AE0"/>
    <w:rsid w:val="00750C8D"/>
    <w:rsid w:val="00750CE9"/>
    <w:rsid w:val="00751052"/>
    <w:rsid w:val="00751240"/>
    <w:rsid w:val="007515F8"/>
    <w:rsid w:val="00751833"/>
    <w:rsid w:val="007518FF"/>
    <w:rsid w:val="00752224"/>
    <w:rsid w:val="007522A6"/>
    <w:rsid w:val="007527DF"/>
    <w:rsid w:val="0075292A"/>
    <w:rsid w:val="00752984"/>
    <w:rsid w:val="00752AAD"/>
    <w:rsid w:val="00752BC8"/>
    <w:rsid w:val="0075339A"/>
    <w:rsid w:val="00753465"/>
    <w:rsid w:val="0075361A"/>
    <w:rsid w:val="007538BB"/>
    <w:rsid w:val="007538BC"/>
    <w:rsid w:val="007538F9"/>
    <w:rsid w:val="00753CF1"/>
    <w:rsid w:val="00753FEA"/>
    <w:rsid w:val="00754100"/>
    <w:rsid w:val="00754226"/>
    <w:rsid w:val="007544FE"/>
    <w:rsid w:val="00754511"/>
    <w:rsid w:val="00754604"/>
    <w:rsid w:val="00754698"/>
    <w:rsid w:val="007547C1"/>
    <w:rsid w:val="00754F25"/>
    <w:rsid w:val="007553B9"/>
    <w:rsid w:val="0075544A"/>
    <w:rsid w:val="007555E3"/>
    <w:rsid w:val="007558B4"/>
    <w:rsid w:val="00755BA2"/>
    <w:rsid w:val="00755C45"/>
    <w:rsid w:val="00755E2A"/>
    <w:rsid w:val="00756256"/>
    <w:rsid w:val="00756469"/>
    <w:rsid w:val="007564DB"/>
    <w:rsid w:val="00756750"/>
    <w:rsid w:val="00756799"/>
    <w:rsid w:val="00756811"/>
    <w:rsid w:val="00756A55"/>
    <w:rsid w:val="00756AAC"/>
    <w:rsid w:val="00756BB6"/>
    <w:rsid w:val="00757160"/>
    <w:rsid w:val="007573C5"/>
    <w:rsid w:val="00757486"/>
    <w:rsid w:val="00757597"/>
    <w:rsid w:val="007578C4"/>
    <w:rsid w:val="007578CD"/>
    <w:rsid w:val="00757942"/>
    <w:rsid w:val="007579A4"/>
    <w:rsid w:val="007579D4"/>
    <w:rsid w:val="00757E5E"/>
    <w:rsid w:val="007602A7"/>
    <w:rsid w:val="007604A6"/>
    <w:rsid w:val="007605F0"/>
    <w:rsid w:val="007606DD"/>
    <w:rsid w:val="00760865"/>
    <w:rsid w:val="007609BE"/>
    <w:rsid w:val="00760A28"/>
    <w:rsid w:val="00760D1F"/>
    <w:rsid w:val="00760E76"/>
    <w:rsid w:val="00760EED"/>
    <w:rsid w:val="0076124D"/>
    <w:rsid w:val="007618EC"/>
    <w:rsid w:val="00761BB0"/>
    <w:rsid w:val="00761EB8"/>
    <w:rsid w:val="00761EFA"/>
    <w:rsid w:val="0076213E"/>
    <w:rsid w:val="00762861"/>
    <w:rsid w:val="00762B0D"/>
    <w:rsid w:val="00762F7D"/>
    <w:rsid w:val="0076315D"/>
    <w:rsid w:val="00763362"/>
    <w:rsid w:val="00763621"/>
    <w:rsid w:val="007637DB"/>
    <w:rsid w:val="00763AFB"/>
    <w:rsid w:val="00763C74"/>
    <w:rsid w:val="0076414A"/>
    <w:rsid w:val="00764270"/>
    <w:rsid w:val="0076497F"/>
    <w:rsid w:val="00764D13"/>
    <w:rsid w:val="00764D95"/>
    <w:rsid w:val="00764F52"/>
    <w:rsid w:val="00765102"/>
    <w:rsid w:val="007652FB"/>
    <w:rsid w:val="00765314"/>
    <w:rsid w:val="007655DB"/>
    <w:rsid w:val="00765943"/>
    <w:rsid w:val="00765C0F"/>
    <w:rsid w:val="00765C89"/>
    <w:rsid w:val="00765FBD"/>
    <w:rsid w:val="00765FEE"/>
    <w:rsid w:val="007661AD"/>
    <w:rsid w:val="007665D9"/>
    <w:rsid w:val="007666EB"/>
    <w:rsid w:val="00766A17"/>
    <w:rsid w:val="00767695"/>
    <w:rsid w:val="007679A5"/>
    <w:rsid w:val="007679FB"/>
    <w:rsid w:val="00770027"/>
    <w:rsid w:val="00770435"/>
    <w:rsid w:val="007706A1"/>
    <w:rsid w:val="00770A20"/>
    <w:rsid w:val="00770E9B"/>
    <w:rsid w:val="00770ECE"/>
    <w:rsid w:val="007711F5"/>
    <w:rsid w:val="00771338"/>
    <w:rsid w:val="00771645"/>
    <w:rsid w:val="007716C3"/>
    <w:rsid w:val="007717CB"/>
    <w:rsid w:val="00771942"/>
    <w:rsid w:val="00771A90"/>
    <w:rsid w:val="00771E52"/>
    <w:rsid w:val="007721AB"/>
    <w:rsid w:val="007723BA"/>
    <w:rsid w:val="007726CF"/>
    <w:rsid w:val="00772E12"/>
    <w:rsid w:val="007732D8"/>
    <w:rsid w:val="00773690"/>
    <w:rsid w:val="007738B9"/>
    <w:rsid w:val="00773B18"/>
    <w:rsid w:val="00773EDD"/>
    <w:rsid w:val="0077417D"/>
    <w:rsid w:val="00774EF0"/>
    <w:rsid w:val="00774EF7"/>
    <w:rsid w:val="00774F05"/>
    <w:rsid w:val="00775465"/>
    <w:rsid w:val="007755D2"/>
    <w:rsid w:val="007758F6"/>
    <w:rsid w:val="00775CB0"/>
    <w:rsid w:val="00775DE7"/>
    <w:rsid w:val="00776A18"/>
    <w:rsid w:val="00776E75"/>
    <w:rsid w:val="007771F6"/>
    <w:rsid w:val="00777335"/>
    <w:rsid w:val="00777731"/>
    <w:rsid w:val="007777AC"/>
    <w:rsid w:val="00777A95"/>
    <w:rsid w:val="00777EA5"/>
    <w:rsid w:val="00780589"/>
    <w:rsid w:val="00780700"/>
    <w:rsid w:val="00780912"/>
    <w:rsid w:val="00780D25"/>
    <w:rsid w:val="00781112"/>
    <w:rsid w:val="007815CE"/>
    <w:rsid w:val="007819DE"/>
    <w:rsid w:val="00781ABE"/>
    <w:rsid w:val="007820EE"/>
    <w:rsid w:val="0078213D"/>
    <w:rsid w:val="00782239"/>
    <w:rsid w:val="007822EE"/>
    <w:rsid w:val="00782480"/>
    <w:rsid w:val="0078251A"/>
    <w:rsid w:val="00782715"/>
    <w:rsid w:val="0078272D"/>
    <w:rsid w:val="007827E4"/>
    <w:rsid w:val="0078292A"/>
    <w:rsid w:val="00782CBE"/>
    <w:rsid w:val="00782ECD"/>
    <w:rsid w:val="00783064"/>
    <w:rsid w:val="0078375E"/>
    <w:rsid w:val="00783D4D"/>
    <w:rsid w:val="007841F2"/>
    <w:rsid w:val="007843DB"/>
    <w:rsid w:val="0078467D"/>
    <w:rsid w:val="007846F0"/>
    <w:rsid w:val="007848FC"/>
    <w:rsid w:val="007849F4"/>
    <w:rsid w:val="00784A45"/>
    <w:rsid w:val="00784A64"/>
    <w:rsid w:val="00784C38"/>
    <w:rsid w:val="007853D9"/>
    <w:rsid w:val="00785487"/>
    <w:rsid w:val="00785B0C"/>
    <w:rsid w:val="00785B58"/>
    <w:rsid w:val="00785F48"/>
    <w:rsid w:val="0078621E"/>
    <w:rsid w:val="00786ADF"/>
    <w:rsid w:val="00786DE2"/>
    <w:rsid w:val="00787142"/>
    <w:rsid w:val="00787168"/>
    <w:rsid w:val="007871A0"/>
    <w:rsid w:val="007872EB"/>
    <w:rsid w:val="0078732C"/>
    <w:rsid w:val="00787602"/>
    <w:rsid w:val="007879B7"/>
    <w:rsid w:val="00787BC5"/>
    <w:rsid w:val="00787D09"/>
    <w:rsid w:val="00790077"/>
    <w:rsid w:val="00790204"/>
    <w:rsid w:val="00790307"/>
    <w:rsid w:val="00790729"/>
    <w:rsid w:val="007907F1"/>
    <w:rsid w:val="00790820"/>
    <w:rsid w:val="0079087E"/>
    <w:rsid w:val="007908EB"/>
    <w:rsid w:val="007909CA"/>
    <w:rsid w:val="00790D8B"/>
    <w:rsid w:val="00790E1F"/>
    <w:rsid w:val="00791181"/>
    <w:rsid w:val="007914C9"/>
    <w:rsid w:val="0079171B"/>
    <w:rsid w:val="00791AC8"/>
    <w:rsid w:val="00791BF4"/>
    <w:rsid w:val="00791CDB"/>
    <w:rsid w:val="007920CE"/>
    <w:rsid w:val="00792597"/>
    <w:rsid w:val="00792802"/>
    <w:rsid w:val="007928CF"/>
    <w:rsid w:val="00792A5E"/>
    <w:rsid w:val="00792C57"/>
    <w:rsid w:val="00792C99"/>
    <w:rsid w:val="00792E06"/>
    <w:rsid w:val="00792F09"/>
    <w:rsid w:val="0079300B"/>
    <w:rsid w:val="007930E5"/>
    <w:rsid w:val="00793304"/>
    <w:rsid w:val="00793370"/>
    <w:rsid w:val="007933D7"/>
    <w:rsid w:val="00794184"/>
    <w:rsid w:val="00794726"/>
    <w:rsid w:val="00794727"/>
    <w:rsid w:val="00794B54"/>
    <w:rsid w:val="00794CB1"/>
    <w:rsid w:val="00794DAC"/>
    <w:rsid w:val="0079504C"/>
    <w:rsid w:val="00795161"/>
    <w:rsid w:val="00795466"/>
    <w:rsid w:val="00795541"/>
    <w:rsid w:val="007955D5"/>
    <w:rsid w:val="0079562D"/>
    <w:rsid w:val="00795901"/>
    <w:rsid w:val="00795A48"/>
    <w:rsid w:val="00795B09"/>
    <w:rsid w:val="007962A6"/>
    <w:rsid w:val="007962D9"/>
    <w:rsid w:val="00796493"/>
    <w:rsid w:val="0079651C"/>
    <w:rsid w:val="007968C2"/>
    <w:rsid w:val="00796AB0"/>
    <w:rsid w:val="00796BD8"/>
    <w:rsid w:val="00796CF6"/>
    <w:rsid w:val="00796D1D"/>
    <w:rsid w:val="00796FF0"/>
    <w:rsid w:val="00797114"/>
    <w:rsid w:val="00797436"/>
    <w:rsid w:val="00797567"/>
    <w:rsid w:val="007975D6"/>
    <w:rsid w:val="00797FCA"/>
    <w:rsid w:val="007A00DC"/>
    <w:rsid w:val="007A0527"/>
    <w:rsid w:val="007A0713"/>
    <w:rsid w:val="007A0DC1"/>
    <w:rsid w:val="007A1576"/>
    <w:rsid w:val="007A18A2"/>
    <w:rsid w:val="007A18E3"/>
    <w:rsid w:val="007A1D77"/>
    <w:rsid w:val="007A1DE1"/>
    <w:rsid w:val="007A2661"/>
    <w:rsid w:val="007A26C4"/>
    <w:rsid w:val="007A292A"/>
    <w:rsid w:val="007A2BEC"/>
    <w:rsid w:val="007A2D6C"/>
    <w:rsid w:val="007A2D9B"/>
    <w:rsid w:val="007A307D"/>
    <w:rsid w:val="007A325A"/>
    <w:rsid w:val="007A34E2"/>
    <w:rsid w:val="007A35DA"/>
    <w:rsid w:val="007A35E6"/>
    <w:rsid w:val="007A4237"/>
    <w:rsid w:val="007A428A"/>
    <w:rsid w:val="007A4309"/>
    <w:rsid w:val="007A508A"/>
    <w:rsid w:val="007A58FA"/>
    <w:rsid w:val="007A59D6"/>
    <w:rsid w:val="007A5A2B"/>
    <w:rsid w:val="007A5A81"/>
    <w:rsid w:val="007A5EEC"/>
    <w:rsid w:val="007A5F12"/>
    <w:rsid w:val="007A620F"/>
    <w:rsid w:val="007A62C3"/>
    <w:rsid w:val="007A6C44"/>
    <w:rsid w:val="007A6D19"/>
    <w:rsid w:val="007A6E6F"/>
    <w:rsid w:val="007A6FC0"/>
    <w:rsid w:val="007A7192"/>
    <w:rsid w:val="007A7296"/>
    <w:rsid w:val="007A741A"/>
    <w:rsid w:val="007A7576"/>
    <w:rsid w:val="007A75D2"/>
    <w:rsid w:val="007A7808"/>
    <w:rsid w:val="007A7AE0"/>
    <w:rsid w:val="007B0030"/>
    <w:rsid w:val="007B01B6"/>
    <w:rsid w:val="007B06FE"/>
    <w:rsid w:val="007B088A"/>
    <w:rsid w:val="007B0A48"/>
    <w:rsid w:val="007B0BC3"/>
    <w:rsid w:val="007B0CAB"/>
    <w:rsid w:val="007B0DA2"/>
    <w:rsid w:val="007B0E67"/>
    <w:rsid w:val="007B0FEB"/>
    <w:rsid w:val="007B105F"/>
    <w:rsid w:val="007B106A"/>
    <w:rsid w:val="007B14F0"/>
    <w:rsid w:val="007B1616"/>
    <w:rsid w:val="007B163C"/>
    <w:rsid w:val="007B164C"/>
    <w:rsid w:val="007B199B"/>
    <w:rsid w:val="007B2128"/>
    <w:rsid w:val="007B2195"/>
    <w:rsid w:val="007B2777"/>
    <w:rsid w:val="007B27C4"/>
    <w:rsid w:val="007B289D"/>
    <w:rsid w:val="007B2D0C"/>
    <w:rsid w:val="007B2DE7"/>
    <w:rsid w:val="007B38A7"/>
    <w:rsid w:val="007B3913"/>
    <w:rsid w:val="007B3AFE"/>
    <w:rsid w:val="007B3B5D"/>
    <w:rsid w:val="007B3D15"/>
    <w:rsid w:val="007B4124"/>
    <w:rsid w:val="007B44E7"/>
    <w:rsid w:val="007B4578"/>
    <w:rsid w:val="007B4587"/>
    <w:rsid w:val="007B47F6"/>
    <w:rsid w:val="007B4AE7"/>
    <w:rsid w:val="007B4C7D"/>
    <w:rsid w:val="007B4E1E"/>
    <w:rsid w:val="007B52BE"/>
    <w:rsid w:val="007B551A"/>
    <w:rsid w:val="007B57D6"/>
    <w:rsid w:val="007B57F0"/>
    <w:rsid w:val="007B587C"/>
    <w:rsid w:val="007B58DE"/>
    <w:rsid w:val="007B5EA9"/>
    <w:rsid w:val="007B60AC"/>
    <w:rsid w:val="007B666B"/>
    <w:rsid w:val="007B6B05"/>
    <w:rsid w:val="007B7539"/>
    <w:rsid w:val="007B791D"/>
    <w:rsid w:val="007B7B22"/>
    <w:rsid w:val="007C0014"/>
    <w:rsid w:val="007C011C"/>
    <w:rsid w:val="007C0300"/>
    <w:rsid w:val="007C0315"/>
    <w:rsid w:val="007C0355"/>
    <w:rsid w:val="007C07A1"/>
    <w:rsid w:val="007C08F1"/>
    <w:rsid w:val="007C0A1C"/>
    <w:rsid w:val="007C102A"/>
    <w:rsid w:val="007C153B"/>
    <w:rsid w:val="007C18D0"/>
    <w:rsid w:val="007C18F4"/>
    <w:rsid w:val="007C18FF"/>
    <w:rsid w:val="007C1BB9"/>
    <w:rsid w:val="007C1D7C"/>
    <w:rsid w:val="007C256C"/>
    <w:rsid w:val="007C27DD"/>
    <w:rsid w:val="007C27E2"/>
    <w:rsid w:val="007C28CA"/>
    <w:rsid w:val="007C2A9B"/>
    <w:rsid w:val="007C2ABB"/>
    <w:rsid w:val="007C2BD3"/>
    <w:rsid w:val="007C2D67"/>
    <w:rsid w:val="007C35EA"/>
    <w:rsid w:val="007C3665"/>
    <w:rsid w:val="007C3C56"/>
    <w:rsid w:val="007C3D5E"/>
    <w:rsid w:val="007C3D7D"/>
    <w:rsid w:val="007C3D86"/>
    <w:rsid w:val="007C3F77"/>
    <w:rsid w:val="007C441A"/>
    <w:rsid w:val="007C441D"/>
    <w:rsid w:val="007C4488"/>
    <w:rsid w:val="007C44E5"/>
    <w:rsid w:val="007C4A81"/>
    <w:rsid w:val="007C5093"/>
    <w:rsid w:val="007C5170"/>
    <w:rsid w:val="007C5200"/>
    <w:rsid w:val="007C58A1"/>
    <w:rsid w:val="007C59E6"/>
    <w:rsid w:val="007C5B26"/>
    <w:rsid w:val="007C5C8E"/>
    <w:rsid w:val="007C62C2"/>
    <w:rsid w:val="007C6B87"/>
    <w:rsid w:val="007C6E3B"/>
    <w:rsid w:val="007C6E4C"/>
    <w:rsid w:val="007C6F7F"/>
    <w:rsid w:val="007C70EC"/>
    <w:rsid w:val="007C728C"/>
    <w:rsid w:val="007C7300"/>
    <w:rsid w:val="007C7642"/>
    <w:rsid w:val="007C7877"/>
    <w:rsid w:val="007C7F73"/>
    <w:rsid w:val="007D030E"/>
    <w:rsid w:val="007D065C"/>
    <w:rsid w:val="007D07E6"/>
    <w:rsid w:val="007D0823"/>
    <w:rsid w:val="007D09DB"/>
    <w:rsid w:val="007D0E45"/>
    <w:rsid w:val="007D191A"/>
    <w:rsid w:val="007D1BDA"/>
    <w:rsid w:val="007D33D3"/>
    <w:rsid w:val="007D374D"/>
    <w:rsid w:val="007D37BF"/>
    <w:rsid w:val="007D387D"/>
    <w:rsid w:val="007D3987"/>
    <w:rsid w:val="007D39C3"/>
    <w:rsid w:val="007D3AFA"/>
    <w:rsid w:val="007D3D41"/>
    <w:rsid w:val="007D3E8B"/>
    <w:rsid w:val="007D3F3F"/>
    <w:rsid w:val="007D4055"/>
    <w:rsid w:val="007D41D6"/>
    <w:rsid w:val="007D421E"/>
    <w:rsid w:val="007D437C"/>
    <w:rsid w:val="007D4720"/>
    <w:rsid w:val="007D4766"/>
    <w:rsid w:val="007D4A3F"/>
    <w:rsid w:val="007D4A64"/>
    <w:rsid w:val="007D4D95"/>
    <w:rsid w:val="007D4ED9"/>
    <w:rsid w:val="007D502E"/>
    <w:rsid w:val="007D51D1"/>
    <w:rsid w:val="007D52DF"/>
    <w:rsid w:val="007D5560"/>
    <w:rsid w:val="007D58B4"/>
    <w:rsid w:val="007D5AAD"/>
    <w:rsid w:val="007D5C8A"/>
    <w:rsid w:val="007D6003"/>
    <w:rsid w:val="007D6227"/>
    <w:rsid w:val="007D6284"/>
    <w:rsid w:val="007D6399"/>
    <w:rsid w:val="007D673C"/>
    <w:rsid w:val="007D693A"/>
    <w:rsid w:val="007D6B5E"/>
    <w:rsid w:val="007D6C44"/>
    <w:rsid w:val="007D6DC4"/>
    <w:rsid w:val="007D6E96"/>
    <w:rsid w:val="007D705A"/>
    <w:rsid w:val="007D74F2"/>
    <w:rsid w:val="007D7588"/>
    <w:rsid w:val="007D75B9"/>
    <w:rsid w:val="007E002B"/>
    <w:rsid w:val="007E0370"/>
    <w:rsid w:val="007E03B6"/>
    <w:rsid w:val="007E06A9"/>
    <w:rsid w:val="007E07E3"/>
    <w:rsid w:val="007E0806"/>
    <w:rsid w:val="007E080A"/>
    <w:rsid w:val="007E0AE6"/>
    <w:rsid w:val="007E0C2D"/>
    <w:rsid w:val="007E0EF7"/>
    <w:rsid w:val="007E0FE2"/>
    <w:rsid w:val="007E1259"/>
    <w:rsid w:val="007E1424"/>
    <w:rsid w:val="007E148D"/>
    <w:rsid w:val="007E1819"/>
    <w:rsid w:val="007E1869"/>
    <w:rsid w:val="007E1893"/>
    <w:rsid w:val="007E199B"/>
    <w:rsid w:val="007E1AD5"/>
    <w:rsid w:val="007E1D80"/>
    <w:rsid w:val="007E217A"/>
    <w:rsid w:val="007E21DD"/>
    <w:rsid w:val="007E228E"/>
    <w:rsid w:val="007E2399"/>
    <w:rsid w:val="007E2468"/>
    <w:rsid w:val="007E24D0"/>
    <w:rsid w:val="007E27DD"/>
    <w:rsid w:val="007E29D7"/>
    <w:rsid w:val="007E2C26"/>
    <w:rsid w:val="007E2E6D"/>
    <w:rsid w:val="007E3263"/>
    <w:rsid w:val="007E35A1"/>
    <w:rsid w:val="007E362F"/>
    <w:rsid w:val="007E365A"/>
    <w:rsid w:val="007E3727"/>
    <w:rsid w:val="007E37BA"/>
    <w:rsid w:val="007E3B3F"/>
    <w:rsid w:val="007E3B43"/>
    <w:rsid w:val="007E3B8F"/>
    <w:rsid w:val="007E3F6D"/>
    <w:rsid w:val="007E416F"/>
    <w:rsid w:val="007E46DA"/>
    <w:rsid w:val="007E495C"/>
    <w:rsid w:val="007E4C6B"/>
    <w:rsid w:val="007E565F"/>
    <w:rsid w:val="007E56F8"/>
    <w:rsid w:val="007E5783"/>
    <w:rsid w:val="007E5881"/>
    <w:rsid w:val="007E5DD3"/>
    <w:rsid w:val="007E5F68"/>
    <w:rsid w:val="007E6151"/>
    <w:rsid w:val="007E6169"/>
    <w:rsid w:val="007E6ACE"/>
    <w:rsid w:val="007E6AE7"/>
    <w:rsid w:val="007E6CA7"/>
    <w:rsid w:val="007E6E09"/>
    <w:rsid w:val="007E732D"/>
    <w:rsid w:val="007E73E3"/>
    <w:rsid w:val="007E7457"/>
    <w:rsid w:val="007E7552"/>
    <w:rsid w:val="007E7A75"/>
    <w:rsid w:val="007E7D2D"/>
    <w:rsid w:val="007E7E29"/>
    <w:rsid w:val="007E7F25"/>
    <w:rsid w:val="007E7F83"/>
    <w:rsid w:val="007F0005"/>
    <w:rsid w:val="007F0121"/>
    <w:rsid w:val="007F0D16"/>
    <w:rsid w:val="007F0E0F"/>
    <w:rsid w:val="007F109B"/>
    <w:rsid w:val="007F11C8"/>
    <w:rsid w:val="007F17F6"/>
    <w:rsid w:val="007F1942"/>
    <w:rsid w:val="007F1B97"/>
    <w:rsid w:val="007F1CB0"/>
    <w:rsid w:val="007F1FA6"/>
    <w:rsid w:val="007F2673"/>
    <w:rsid w:val="007F26E2"/>
    <w:rsid w:val="007F299C"/>
    <w:rsid w:val="007F2A00"/>
    <w:rsid w:val="007F2AE8"/>
    <w:rsid w:val="007F2E25"/>
    <w:rsid w:val="007F3148"/>
    <w:rsid w:val="007F32F7"/>
    <w:rsid w:val="007F3338"/>
    <w:rsid w:val="007F3E96"/>
    <w:rsid w:val="007F408C"/>
    <w:rsid w:val="007F4426"/>
    <w:rsid w:val="007F4462"/>
    <w:rsid w:val="007F44D3"/>
    <w:rsid w:val="007F45C5"/>
    <w:rsid w:val="007F4BAD"/>
    <w:rsid w:val="007F4D36"/>
    <w:rsid w:val="007F545D"/>
    <w:rsid w:val="007F57FC"/>
    <w:rsid w:val="007F5827"/>
    <w:rsid w:val="007F5A60"/>
    <w:rsid w:val="007F5BB5"/>
    <w:rsid w:val="007F5E47"/>
    <w:rsid w:val="007F5E65"/>
    <w:rsid w:val="007F5ED7"/>
    <w:rsid w:val="007F5F5D"/>
    <w:rsid w:val="007F67C8"/>
    <w:rsid w:val="007F69E5"/>
    <w:rsid w:val="007F6E07"/>
    <w:rsid w:val="007F7106"/>
    <w:rsid w:val="007F719C"/>
    <w:rsid w:val="007F7391"/>
    <w:rsid w:val="007F74C4"/>
    <w:rsid w:val="007F788F"/>
    <w:rsid w:val="007F7D5F"/>
    <w:rsid w:val="007F7E35"/>
    <w:rsid w:val="007F7EAB"/>
    <w:rsid w:val="007F7F4C"/>
    <w:rsid w:val="00800153"/>
    <w:rsid w:val="008002BC"/>
    <w:rsid w:val="008006BD"/>
    <w:rsid w:val="00800A5F"/>
    <w:rsid w:val="00800AA7"/>
    <w:rsid w:val="00800F1D"/>
    <w:rsid w:val="00800F5D"/>
    <w:rsid w:val="008017AF"/>
    <w:rsid w:val="00801900"/>
    <w:rsid w:val="00801959"/>
    <w:rsid w:val="00801AE7"/>
    <w:rsid w:val="00801C1C"/>
    <w:rsid w:val="00801C33"/>
    <w:rsid w:val="00801C7A"/>
    <w:rsid w:val="00801D68"/>
    <w:rsid w:val="00801FD8"/>
    <w:rsid w:val="008024F9"/>
    <w:rsid w:val="008026B9"/>
    <w:rsid w:val="0080275D"/>
    <w:rsid w:val="008027C0"/>
    <w:rsid w:val="008029FF"/>
    <w:rsid w:val="00802B23"/>
    <w:rsid w:val="00803425"/>
    <w:rsid w:val="008034CF"/>
    <w:rsid w:val="008036C6"/>
    <w:rsid w:val="008036ED"/>
    <w:rsid w:val="00803816"/>
    <w:rsid w:val="00803D57"/>
    <w:rsid w:val="00803DD2"/>
    <w:rsid w:val="00803E5A"/>
    <w:rsid w:val="00803F3F"/>
    <w:rsid w:val="00803F9B"/>
    <w:rsid w:val="008040F0"/>
    <w:rsid w:val="0080487F"/>
    <w:rsid w:val="00804A7D"/>
    <w:rsid w:val="00804CC1"/>
    <w:rsid w:val="00805139"/>
    <w:rsid w:val="00805163"/>
    <w:rsid w:val="008052F3"/>
    <w:rsid w:val="00805476"/>
    <w:rsid w:val="008055B3"/>
    <w:rsid w:val="00805715"/>
    <w:rsid w:val="0080583B"/>
    <w:rsid w:val="00805A7C"/>
    <w:rsid w:val="00805E0B"/>
    <w:rsid w:val="00806398"/>
    <w:rsid w:val="0080666B"/>
    <w:rsid w:val="00806713"/>
    <w:rsid w:val="008068FA"/>
    <w:rsid w:val="00806900"/>
    <w:rsid w:val="00806B79"/>
    <w:rsid w:val="00806EF1"/>
    <w:rsid w:val="0080702B"/>
    <w:rsid w:val="008070B0"/>
    <w:rsid w:val="00807361"/>
    <w:rsid w:val="00807803"/>
    <w:rsid w:val="008079B5"/>
    <w:rsid w:val="00807D0C"/>
    <w:rsid w:val="00807F69"/>
    <w:rsid w:val="00810571"/>
    <w:rsid w:val="00810790"/>
    <w:rsid w:val="00810CC1"/>
    <w:rsid w:val="00810D5B"/>
    <w:rsid w:val="00810E7D"/>
    <w:rsid w:val="00811011"/>
    <w:rsid w:val="0081102C"/>
    <w:rsid w:val="008110FB"/>
    <w:rsid w:val="00811600"/>
    <w:rsid w:val="008117CB"/>
    <w:rsid w:val="008117CE"/>
    <w:rsid w:val="00811EA5"/>
    <w:rsid w:val="008120BE"/>
    <w:rsid w:val="00812400"/>
    <w:rsid w:val="0081241E"/>
    <w:rsid w:val="00812646"/>
    <w:rsid w:val="00812719"/>
    <w:rsid w:val="00812BC5"/>
    <w:rsid w:val="00812F12"/>
    <w:rsid w:val="0081336D"/>
    <w:rsid w:val="00813494"/>
    <w:rsid w:val="00813555"/>
    <w:rsid w:val="00813852"/>
    <w:rsid w:val="00813885"/>
    <w:rsid w:val="00813CC3"/>
    <w:rsid w:val="00813F2C"/>
    <w:rsid w:val="00814047"/>
    <w:rsid w:val="008140C8"/>
    <w:rsid w:val="00814172"/>
    <w:rsid w:val="00814232"/>
    <w:rsid w:val="0081436D"/>
    <w:rsid w:val="00814436"/>
    <w:rsid w:val="008145EB"/>
    <w:rsid w:val="0081472A"/>
    <w:rsid w:val="00814931"/>
    <w:rsid w:val="00814B96"/>
    <w:rsid w:val="00814DB0"/>
    <w:rsid w:val="00814FAF"/>
    <w:rsid w:val="00815132"/>
    <w:rsid w:val="008151E9"/>
    <w:rsid w:val="00815426"/>
    <w:rsid w:val="00815A5D"/>
    <w:rsid w:val="00815B4F"/>
    <w:rsid w:val="00815CEE"/>
    <w:rsid w:val="00815D85"/>
    <w:rsid w:val="0081617E"/>
    <w:rsid w:val="008161C9"/>
    <w:rsid w:val="00816487"/>
    <w:rsid w:val="00816850"/>
    <w:rsid w:val="00816A2A"/>
    <w:rsid w:val="00816E87"/>
    <w:rsid w:val="008173DD"/>
    <w:rsid w:val="00817473"/>
    <w:rsid w:val="008175DC"/>
    <w:rsid w:val="0081795B"/>
    <w:rsid w:val="00817C6C"/>
    <w:rsid w:val="00817C8A"/>
    <w:rsid w:val="00817FD0"/>
    <w:rsid w:val="008200B0"/>
    <w:rsid w:val="008202BE"/>
    <w:rsid w:val="0082087C"/>
    <w:rsid w:val="00820905"/>
    <w:rsid w:val="00820DBD"/>
    <w:rsid w:val="008212C0"/>
    <w:rsid w:val="00821BF4"/>
    <w:rsid w:val="008223B1"/>
    <w:rsid w:val="008223F3"/>
    <w:rsid w:val="008223F9"/>
    <w:rsid w:val="008226E9"/>
    <w:rsid w:val="008227B1"/>
    <w:rsid w:val="008227DD"/>
    <w:rsid w:val="00822851"/>
    <w:rsid w:val="00822A88"/>
    <w:rsid w:val="00822C51"/>
    <w:rsid w:val="00822D29"/>
    <w:rsid w:val="00822EDA"/>
    <w:rsid w:val="00822F9B"/>
    <w:rsid w:val="00823200"/>
    <w:rsid w:val="008234EF"/>
    <w:rsid w:val="008234FA"/>
    <w:rsid w:val="00823561"/>
    <w:rsid w:val="008238D1"/>
    <w:rsid w:val="00823A14"/>
    <w:rsid w:val="00823B5D"/>
    <w:rsid w:val="00823DAB"/>
    <w:rsid w:val="00823F19"/>
    <w:rsid w:val="00823F54"/>
    <w:rsid w:val="00824673"/>
    <w:rsid w:val="008247C7"/>
    <w:rsid w:val="00824C9F"/>
    <w:rsid w:val="00824CBB"/>
    <w:rsid w:val="00824DE5"/>
    <w:rsid w:val="00824DFA"/>
    <w:rsid w:val="00825060"/>
    <w:rsid w:val="0082508D"/>
    <w:rsid w:val="00825188"/>
    <w:rsid w:val="008253BC"/>
    <w:rsid w:val="0082572F"/>
    <w:rsid w:val="0082577A"/>
    <w:rsid w:val="008257A9"/>
    <w:rsid w:val="00825971"/>
    <w:rsid w:val="008259F5"/>
    <w:rsid w:val="00825B78"/>
    <w:rsid w:val="00825EAE"/>
    <w:rsid w:val="00825F7F"/>
    <w:rsid w:val="0082626B"/>
    <w:rsid w:val="00826A54"/>
    <w:rsid w:val="00826AAE"/>
    <w:rsid w:val="00826CC6"/>
    <w:rsid w:val="00826CDC"/>
    <w:rsid w:val="0082737E"/>
    <w:rsid w:val="008274B2"/>
    <w:rsid w:val="00827635"/>
    <w:rsid w:val="00827777"/>
    <w:rsid w:val="00827A5A"/>
    <w:rsid w:val="00827B0B"/>
    <w:rsid w:val="00827E01"/>
    <w:rsid w:val="008306C5"/>
    <w:rsid w:val="0083074A"/>
    <w:rsid w:val="00830BA1"/>
    <w:rsid w:val="00830D4E"/>
    <w:rsid w:val="0083103D"/>
    <w:rsid w:val="0083113D"/>
    <w:rsid w:val="0083124E"/>
    <w:rsid w:val="0083128A"/>
    <w:rsid w:val="008312FF"/>
    <w:rsid w:val="008314A4"/>
    <w:rsid w:val="00831770"/>
    <w:rsid w:val="00831777"/>
    <w:rsid w:val="0083186C"/>
    <w:rsid w:val="0083198C"/>
    <w:rsid w:val="00831AC7"/>
    <w:rsid w:val="00831FCE"/>
    <w:rsid w:val="00832039"/>
    <w:rsid w:val="008320AE"/>
    <w:rsid w:val="00832251"/>
    <w:rsid w:val="00832734"/>
    <w:rsid w:val="00832806"/>
    <w:rsid w:val="0083281F"/>
    <w:rsid w:val="00832FFD"/>
    <w:rsid w:val="00833309"/>
    <w:rsid w:val="0083349C"/>
    <w:rsid w:val="0083373D"/>
    <w:rsid w:val="0083384C"/>
    <w:rsid w:val="00833898"/>
    <w:rsid w:val="00833A16"/>
    <w:rsid w:val="00833BBD"/>
    <w:rsid w:val="00834014"/>
    <w:rsid w:val="008340AE"/>
    <w:rsid w:val="0083426A"/>
    <w:rsid w:val="00834384"/>
    <w:rsid w:val="0083445A"/>
    <w:rsid w:val="00834583"/>
    <w:rsid w:val="0083475E"/>
    <w:rsid w:val="008349D0"/>
    <w:rsid w:val="00834A99"/>
    <w:rsid w:val="00834D19"/>
    <w:rsid w:val="008350BA"/>
    <w:rsid w:val="008350EC"/>
    <w:rsid w:val="008351B8"/>
    <w:rsid w:val="008351F0"/>
    <w:rsid w:val="008355CE"/>
    <w:rsid w:val="00835659"/>
    <w:rsid w:val="0083599B"/>
    <w:rsid w:val="00835D7A"/>
    <w:rsid w:val="008360D2"/>
    <w:rsid w:val="0083617D"/>
    <w:rsid w:val="00836856"/>
    <w:rsid w:val="008368CF"/>
    <w:rsid w:val="00836E15"/>
    <w:rsid w:val="008370BC"/>
    <w:rsid w:val="008370DA"/>
    <w:rsid w:val="00837120"/>
    <w:rsid w:val="0083750A"/>
    <w:rsid w:val="008379E9"/>
    <w:rsid w:val="00837D71"/>
    <w:rsid w:val="00837F05"/>
    <w:rsid w:val="008400CD"/>
    <w:rsid w:val="008401E2"/>
    <w:rsid w:val="00840492"/>
    <w:rsid w:val="008404ED"/>
    <w:rsid w:val="0084078E"/>
    <w:rsid w:val="008407C7"/>
    <w:rsid w:val="00840A52"/>
    <w:rsid w:val="00840D68"/>
    <w:rsid w:val="00840E2F"/>
    <w:rsid w:val="00840E97"/>
    <w:rsid w:val="00840F37"/>
    <w:rsid w:val="00840F54"/>
    <w:rsid w:val="0084102F"/>
    <w:rsid w:val="0084104D"/>
    <w:rsid w:val="00841771"/>
    <w:rsid w:val="008417B0"/>
    <w:rsid w:val="0084189E"/>
    <w:rsid w:val="0084194A"/>
    <w:rsid w:val="00841D4F"/>
    <w:rsid w:val="0084212C"/>
    <w:rsid w:val="0084213D"/>
    <w:rsid w:val="0084241C"/>
    <w:rsid w:val="008425BC"/>
    <w:rsid w:val="00842643"/>
    <w:rsid w:val="00842C0B"/>
    <w:rsid w:val="008431E1"/>
    <w:rsid w:val="00843273"/>
    <w:rsid w:val="008432C1"/>
    <w:rsid w:val="008434D3"/>
    <w:rsid w:val="0084370C"/>
    <w:rsid w:val="00843831"/>
    <w:rsid w:val="008439FA"/>
    <w:rsid w:val="00843C1B"/>
    <w:rsid w:val="00843CEA"/>
    <w:rsid w:val="00843EDA"/>
    <w:rsid w:val="00843F4C"/>
    <w:rsid w:val="0084427C"/>
    <w:rsid w:val="00844749"/>
    <w:rsid w:val="008449D4"/>
    <w:rsid w:val="0084595D"/>
    <w:rsid w:val="00845A0A"/>
    <w:rsid w:val="00845AE2"/>
    <w:rsid w:val="00845CDE"/>
    <w:rsid w:val="00845D44"/>
    <w:rsid w:val="00845E22"/>
    <w:rsid w:val="00845E9A"/>
    <w:rsid w:val="00845EA8"/>
    <w:rsid w:val="008460F8"/>
    <w:rsid w:val="00846427"/>
    <w:rsid w:val="008464AA"/>
    <w:rsid w:val="008466F2"/>
    <w:rsid w:val="00846710"/>
    <w:rsid w:val="0084674C"/>
    <w:rsid w:val="008467D5"/>
    <w:rsid w:val="00846A56"/>
    <w:rsid w:val="00846A9E"/>
    <w:rsid w:val="00846B21"/>
    <w:rsid w:val="00846D77"/>
    <w:rsid w:val="00846E48"/>
    <w:rsid w:val="00847188"/>
    <w:rsid w:val="00847567"/>
    <w:rsid w:val="008475A4"/>
    <w:rsid w:val="008478E0"/>
    <w:rsid w:val="00847C01"/>
    <w:rsid w:val="008501D2"/>
    <w:rsid w:val="008501FB"/>
    <w:rsid w:val="00850270"/>
    <w:rsid w:val="00850378"/>
    <w:rsid w:val="008506F4"/>
    <w:rsid w:val="00850829"/>
    <w:rsid w:val="00850CB0"/>
    <w:rsid w:val="00850CE6"/>
    <w:rsid w:val="00850EB2"/>
    <w:rsid w:val="00851365"/>
    <w:rsid w:val="008514A2"/>
    <w:rsid w:val="00851649"/>
    <w:rsid w:val="008516B4"/>
    <w:rsid w:val="00851CAD"/>
    <w:rsid w:val="008523B3"/>
    <w:rsid w:val="00852548"/>
    <w:rsid w:val="0085256E"/>
    <w:rsid w:val="00852695"/>
    <w:rsid w:val="00852888"/>
    <w:rsid w:val="008528F4"/>
    <w:rsid w:val="0085311B"/>
    <w:rsid w:val="00853731"/>
    <w:rsid w:val="008539D2"/>
    <w:rsid w:val="00853A65"/>
    <w:rsid w:val="00853A83"/>
    <w:rsid w:val="00853AD3"/>
    <w:rsid w:val="00853B60"/>
    <w:rsid w:val="00854298"/>
    <w:rsid w:val="008548E4"/>
    <w:rsid w:val="00854915"/>
    <w:rsid w:val="00854987"/>
    <w:rsid w:val="008549A4"/>
    <w:rsid w:val="00854DC0"/>
    <w:rsid w:val="00855117"/>
    <w:rsid w:val="00855463"/>
    <w:rsid w:val="00855528"/>
    <w:rsid w:val="008558FA"/>
    <w:rsid w:val="00855B12"/>
    <w:rsid w:val="00855B76"/>
    <w:rsid w:val="00855D19"/>
    <w:rsid w:val="00855EC7"/>
    <w:rsid w:val="00856206"/>
    <w:rsid w:val="00856584"/>
    <w:rsid w:val="00856662"/>
    <w:rsid w:val="008567DA"/>
    <w:rsid w:val="0085691E"/>
    <w:rsid w:val="00856B3E"/>
    <w:rsid w:val="00856B91"/>
    <w:rsid w:val="00856D26"/>
    <w:rsid w:val="00856E9E"/>
    <w:rsid w:val="00856FC8"/>
    <w:rsid w:val="008572F8"/>
    <w:rsid w:val="00857C73"/>
    <w:rsid w:val="00857D33"/>
    <w:rsid w:val="00857E83"/>
    <w:rsid w:val="008606E6"/>
    <w:rsid w:val="0086074F"/>
    <w:rsid w:val="0086087C"/>
    <w:rsid w:val="0086091A"/>
    <w:rsid w:val="00860A5F"/>
    <w:rsid w:val="00860D8D"/>
    <w:rsid w:val="00860E3F"/>
    <w:rsid w:val="00861321"/>
    <w:rsid w:val="00861405"/>
    <w:rsid w:val="0086161E"/>
    <w:rsid w:val="0086196A"/>
    <w:rsid w:val="00861998"/>
    <w:rsid w:val="00861C65"/>
    <w:rsid w:val="00861FDD"/>
    <w:rsid w:val="00862129"/>
    <w:rsid w:val="0086282C"/>
    <w:rsid w:val="00862A41"/>
    <w:rsid w:val="00862C52"/>
    <w:rsid w:val="00862C58"/>
    <w:rsid w:val="00862DB9"/>
    <w:rsid w:val="00862E9B"/>
    <w:rsid w:val="00862FCC"/>
    <w:rsid w:val="0086318F"/>
    <w:rsid w:val="008634CF"/>
    <w:rsid w:val="008634EF"/>
    <w:rsid w:val="008635AB"/>
    <w:rsid w:val="008636AB"/>
    <w:rsid w:val="00863823"/>
    <w:rsid w:val="00863964"/>
    <w:rsid w:val="0086405F"/>
    <w:rsid w:val="008645A0"/>
    <w:rsid w:val="0086475E"/>
    <w:rsid w:val="00864831"/>
    <w:rsid w:val="00864B8F"/>
    <w:rsid w:val="00864ED4"/>
    <w:rsid w:val="00865674"/>
    <w:rsid w:val="008658AB"/>
    <w:rsid w:val="008658F0"/>
    <w:rsid w:val="00865DB3"/>
    <w:rsid w:val="0086618E"/>
    <w:rsid w:val="008662DB"/>
    <w:rsid w:val="00866A35"/>
    <w:rsid w:val="00866B1F"/>
    <w:rsid w:val="00866FE4"/>
    <w:rsid w:val="00867154"/>
    <w:rsid w:val="00867195"/>
    <w:rsid w:val="008672DD"/>
    <w:rsid w:val="00867304"/>
    <w:rsid w:val="008675B0"/>
    <w:rsid w:val="008676C3"/>
    <w:rsid w:val="0086774A"/>
    <w:rsid w:val="00867BC5"/>
    <w:rsid w:val="00867C28"/>
    <w:rsid w:val="00867FB7"/>
    <w:rsid w:val="00870147"/>
    <w:rsid w:val="00870294"/>
    <w:rsid w:val="0087045B"/>
    <w:rsid w:val="00870484"/>
    <w:rsid w:val="008704DD"/>
    <w:rsid w:val="00870763"/>
    <w:rsid w:val="008707FA"/>
    <w:rsid w:val="0087093C"/>
    <w:rsid w:val="00870B94"/>
    <w:rsid w:val="00870D7F"/>
    <w:rsid w:val="0087153A"/>
    <w:rsid w:val="00871CB4"/>
    <w:rsid w:val="00871E2D"/>
    <w:rsid w:val="00872082"/>
    <w:rsid w:val="008723B5"/>
    <w:rsid w:val="008727FA"/>
    <w:rsid w:val="00872BF4"/>
    <w:rsid w:val="0087313C"/>
    <w:rsid w:val="00873160"/>
    <w:rsid w:val="008732DA"/>
    <w:rsid w:val="0087335C"/>
    <w:rsid w:val="0087348C"/>
    <w:rsid w:val="008734A6"/>
    <w:rsid w:val="00873595"/>
    <w:rsid w:val="008735AE"/>
    <w:rsid w:val="008737C2"/>
    <w:rsid w:val="0087381F"/>
    <w:rsid w:val="00873867"/>
    <w:rsid w:val="0087386D"/>
    <w:rsid w:val="0087393E"/>
    <w:rsid w:val="00873B62"/>
    <w:rsid w:val="00873C83"/>
    <w:rsid w:val="0087411F"/>
    <w:rsid w:val="008745A8"/>
    <w:rsid w:val="00875187"/>
    <w:rsid w:val="0087527E"/>
    <w:rsid w:val="0087596F"/>
    <w:rsid w:val="00875B41"/>
    <w:rsid w:val="008761BF"/>
    <w:rsid w:val="008768BE"/>
    <w:rsid w:val="0087690B"/>
    <w:rsid w:val="00876DF0"/>
    <w:rsid w:val="00876E8B"/>
    <w:rsid w:val="00876FCC"/>
    <w:rsid w:val="0087757C"/>
    <w:rsid w:val="00877719"/>
    <w:rsid w:val="00877DF4"/>
    <w:rsid w:val="00880060"/>
    <w:rsid w:val="00880339"/>
    <w:rsid w:val="00880730"/>
    <w:rsid w:val="008807F3"/>
    <w:rsid w:val="008808B2"/>
    <w:rsid w:val="00880F85"/>
    <w:rsid w:val="0088106A"/>
    <w:rsid w:val="0088123B"/>
    <w:rsid w:val="0088126C"/>
    <w:rsid w:val="008812B2"/>
    <w:rsid w:val="00881715"/>
    <w:rsid w:val="0088177C"/>
    <w:rsid w:val="00881AFF"/>
    <w:rsid w:val="00881F2C"/>
    <w:rsid w:val="00882046"/>
    <w:rsid w:val="008823B0"/>
    <w:rsid w:val="00882549"/>
    <w:rsid w:val="00882767"/>
    <w:rsid w:val="0088298A"/>
    <w:rsid w:val="00882CF6"/>
    <w:rsid w:val="00882FA9"/>
    <w:rsid w:val="00882FB0"/>
    <w:rsid w:val="008832D9"/>
    <w:rsid w:val="0088369E"/>
    <w:rsid w:val="00883938"/>
    <w:rsid w:val="00883CC4"/>
    <w:rsid w:val="00883DAA"/>
    <w:rsid w:val="00883EF1"/>
    <w:rsid w:val="008840B8"/>
    <w:rsid w:val="008843F6"/>
    <w:rsid w:val="00884774"/>
    <w:rsid w:val="0088481E"/>
    <w:rsid w:val="008848DA"/>
    <w:rsid w:val="008851CF"/>
    <w:rsid w:val="0088541D"/>
    <w:rsid w:val="008854DE"/>
    <w:rsid w:val="0088574B"/>
    <w:rsid w:val="00885ADA"/>
    <w:rsid w:val="00885CD5"/>
    <w:rsid w:val="00885DE2"/>
    <w:rsid w:val="00886324"/>
    <w:rsid w:val="00886780"/>
    <w:rsid w:val="0088682F"/>
    <w:rsid w:val="00886AEE"/>
    <w:rsid w:val="00886E82"/>
    <w:rsid w:val="00887209"/>
    <w:rsid w:val="0088737B"/>
    <w:rsid w:val="0088749C"/>
    <w:rsid w:val="008875D6"/>
    <w:rsid w:val="008875D9"/>
    <w:rsid w:val="008878EC"/>
    <w:rsid w:val="00887A46"/>
    <w:rsid w:val="00887F19"/>
    <w:rsid w:val="00887F4F"/>
    <w:rsid w:val="00887FD8"/>
    <w:rsid w:val="008903C9"/>
    <w:rsid w:val="008904F7"/>
    <w:rsid w:val="008909C9"/>
    <w:rsid w:val="00890A3B"/>
    <w:rsid w:val="00890CE2"/>
    <w:rsid w:val="00890CF2"/>
    <w:rsid w:val="00890DB0"/>
    <w:rsid w:val="00891656"/>
    <w:rsid w:val="0089199F"/>
    <w:rsid w:val="00891C1A"/>
    <w:rsid w:val="008923F4"/>
    <w:rsid w:val="008924AE"/>
    <w:rsid w:val="008924C0"/>
    <w:rsid w:val="00892738"/>
    <w:rsid w:val="00892C1E"/>
    <w:rsid w:val="00892EAB"/>
    <w:rsid w:val="00893055"/>
    <w:rsid w:val="008930F1"/>
    <w:rsid w:val="008932B3"/>
    <w:rsid w:val="00893A2D"/>
    <w:rsid w:val="00894122"/>
    <w:rsid w:val="00894486"/>
    <w:rsid w:val="0089455F"/>
    <w:rsid w:val="00894603"/>
    <w:rsid w:val="0089474E"/>
    <w:rsid w:val="00894905"/>
    <w:rsid w:val="00894DC4"/>
    <w:rsid w:val="00894F2C"/>
    <w:rsid w:val="00894F6A"/>
    <w:rsid w:val="00894FA2"/>
    <w:rsid w:val="00895632"/>
    <w:rsid w:val="0089576C"/>
    <w:rsid w:val="008959E1"/>
    <w:rsid w:val="008959EA"/>
    <w:rsid w:val="00895A8D"/>
    <w:rsid w:val="00895AA8"/>
    <w:rsid w:val="00895C36"/>
    <w:rsid w:val="00896043"/>
    <w:rsid w:val="00896113"/>
    <w:rsid w:val="008961E5"/>
    <w:rsid w:val="0089625E"/>
    <w:rsid w:val="00896273"/>
    <w:rsid w:val="008966D1"/>
    <w:rsid w:val="00896B9A"/>
    <w:rsid w:val="00896CC8"/>
    <w:rsid w:val="00896E5E"/>
    <w:rsid w:val="008973AC"/>
    <w:rsid w:val="008973B2"/>
    <w:rsid w:val="008977A0"/>
    <w:rsid w:val="0089799D"/>
    <w:rsid w:val="00897F48"/>
    <w:rsid w:val="008A0281"/>
    <w:rsid w:val="008A03D6"/>
    <w:rsid w:val="008A04C5"/>
    <w:rsid w:val="008A052A"/>
    <w:rsid w:val="008A052F"/>
    <w:rsid w:val="008A0727"/>
    <w:rsid w:val="008A073A"/>
    <w:rsid w:val="008A0765"/>
    <w:rsid w:val="008A0A8E"/>
    <w:rsid w:val="008A0FF9"/>
    <w:rsid w:val="008A1169"/>
    <w:rsid w:val="008A11EA"/>
    <w:rsid w:val="008A1364"/>
    <w:rsid w:val="008A1673"/>
    <w:rsid w:val="008A1927"/>
    <w:rsid w:val="008A1A7D"/>
    <w:rsid w:val="008A1A98"/>
    <w:rsid w:val="008A1BB0"/>
    <w:rsid w:val="008A1DCB"/>
    <w:rsid w:val="008A1F63"/>
    <w:rsid w:val="008A2215"/>
    <w:rsid w:val="008A2474"/>
    <w:rsid w:val="008A24D5"/>
    <w:rsid w:val="008A266E"/>
    <w:rsid w:val="008A276A"/>
    <w:rsid w:val="008A286F"/>
    <w:rsid w:val="008A2B1A"/>
    <w:rsid w:val="008A2F8A"/>
    <w:rsid w:val="008A359A"/>
    <w:rsid w:val="008A39AD"/>
    <w:rsid w:val="008A40B9"/>
    <w:rsid w:val="008A4431"/>
    <w:rsid w:val="008A4613"/>
    <w:rsid w:val="008A486A"/>
    <w:rsid w:val="008A4CE6"/>
    <w:rsid w:val="008A4FDE"/>
    <w:rsid w:val="008A5052"/>
    <w:rsid w:val="008A53BA"/>
    <w:rsid w:val="008A563B"/>
    <w:rsid w:val="008A5668"/>
    <w:rsid w:val="008A5877"/>
    <w:rsid w:val="008A5A1D"/>
    <w:rsid w:val="008A5A2B"/>
    <w:rsid w:val="008A5CF0"/>
    <w:rsid w:val="008A5EC5"/>
    <w:rsid w:val="008A5F05"/>
    <w:rsid w:val="008A61B9"/>
    <w:rsid w:val="008A63B7"/>
    <w:rsid w:val="008A6592"/>
    <w:rsid w:val="008A6A0D"/>
    <w:rsid w:val="008A7026"/>
    <w:rsid w:val="008A75EC"/>
    <w:rsid w:val="008A7795"/>
    <w:rsid w:val="008A787F"/>
    <w:rsid w:val="008A7929"/>
    <w:rsid w:val="008A7F40"/>
    <w:rsid w:val="008B00BC"/>
    <w:rsid w:val="008B056A"/>
    <w:rsid w:val="008B0ED7"/>
    <w:rsid w:val="008B100B"/>
    <w:rsid w:val="008B1041"/>
    <w:rsid w:val="008B110E"/>
    <w:rsid w:val="008B1606"/>
    <w:rsid w:val="008B17F2"/>
    <w:rsid w:val="008B19BE"/>
    <w:rsid w:val="008B1D8A"/>
    <w:rsid w:val="008B1DFD"/>
    <w:rsid w:val="008B211B"/>
    <w:rsid w:val="008B2C08"/>
    <w:rsid w:val="008B2F4A"/>
    <w:rsid w:val="008B33E3"/>
    <w:rsid w:val="008B358B"/>
    <w:rsid w:val="008B3724"/>
    <w:rsid w:val="008B3802"/>
    <w:rsid w:val="008B3978"/>
    <w:rsid w:val="008B3B9F"/>
    <w:rsid w:val="008B3C2E"/>
    <w:rsid w:val="008B3C91"/>
    <w:rsid w:val="008B3D02"/>
    <w:rsid w:val="008B3DA9"/>
    <w:rsid w:val="008B47FA"/>
    <w:rsid w:val="008B4DFF"/>
    <w:rsid w:val="008B4ED0"/>
    <w:rsid w:val="008B5375"/>
    <w:rsid w:val="008B57F3"/>
    <w:rsid w:val="008B597D"/>
    <w:rsid w:val="008B5B92"/>
    <w:rsid w:val="008B5E69"/>
    <w:rsid w:val="008B6181"/>
    <w:rsid w:val="008B6350"/>
    <w:rsid w:val="008B63C3"/>
    <w:rsid w:val="008B683B"/>
    <w:rsid w:val="008B6D1C"/>
    <w:rsid w:val="008B6FC5"/>
    <w:rsid w:val="008B7342"/>
    <w:rsid w:val="008B73B5"/>
    <w:rsid w:val="008B762D"/>
    <w:rsid w:val="008B7694"/>
    <w:rsid w:val="008B78BB"/>
    <w:rsid w:val="008B7F13"/>
    <w:rsid w:val="008C0238"/>
    <w:rsid w:val="008C0335"/>
    <w:rsid w:val="008C03F8"/>
    <w:rsid w:val="008C05B3"/>
    <w:rsid w:val="008C0834"/>
    <w:rsid w:val="008C09D0"/>
    <w:rsid w:val="008C0AE1"/>
    <w:rsid w:val="008C0C53"/>
    <w:rsid w:val="008C0CBA"/>
    <w:rsid w:val="008C0DBC"/>
    <w:rsid w:val="008C0FC7"/>
    <w:rsid w:val="008C102C"/>
    <w:rsid w:val="008C10F0"/>
    <w:rsid w:val="008C1182"/>
    <w:rsid w:val="008C1232"/>
    <w:rsid w:val="008C1295"/>
    <w:rsid w:val="008C1591"/>
    <w:rsid w:val="008C16B1"/>
    <w:rsid w:val="008C18EF"/>
    <w:rsid w:val="008C1B75"/>
    <w:rsid w:val="008C1FDC"/>
    <w:rsid w:val="008C2730"/>
    <w:rsid w:val="008C28E5"/>
    <w:rsid w:val="008C28FB"/>
    <w:rsid w:val="008C297C"/>
    <w:rsid w:val="008C2B50"/>
    <w:rsid w:val="008C2EBF"/>
    <w:rsid w:val="008C2F0C"/>
    <w:rsid w:val="008C30DD"/>
    <w:rsid w:val="008C342A"/>
    <w:rsid w:val="008C356A"/>
    <w:rsid w:val="008C3760"/>
    <w:rsid w:val="008C39DE"/>
    <w:rsid w:val="008C41DA"/>
    <w:rsid w:val="008C426B"/>
    <w:rsid w:val="008C4376"/>
    <w:rsid w:val="008C496F"/>
    <w:rsid w:val="008C4AEB"/>
    <w:rsid w:val="008C4F9B"/>
    <w:rsid w:val="008C4FD4"/>
    <w:rsid w:val="008C5361"/>
    <w:rsid w:val="008C5B53"/>
    <w:rsid w:val="008C5C95"/>
    <w:rsid w:val="008C5D58"/>
    <w:rsid w:val="008C5D81"/>
    <w:rsid w:val="008C5DDD"/>
    <w:rsid w:val="008C5E40"/>
    <w:rsid w:val="008C5E54"/>
    <w:rsid w:val="008C5F22"/>
    <w:rsid w:val="008C62CA"/>
    <w:rsid w:val="008C63EE"/>
    <w:rsid w:val="008C655C"/>
    <w:rsid w:val="008C66FC"/>
    <w:rsid w:val="008C6AAB"/>
    <w:rsid w:val="008C6ECE"/>
    <w:rsid w:val="008C719D"/>
    <w:rsid w:val="008C71A2"/>
    <w:rsid w:val="008C74A0"/>
    <w:rsid w:val="008C7637"/>
    <w:rsid w:val="008C7658"/>
    <w:rsid w:val="008C796A"/>
    <w:rsid w:val="008C7AA4"/>
    <w:rsid w:val="008C7BAB"/>
    <w:rsid w:val="008C7C51"/>
    <w:rsid w:val="008C7D48"/>
    <w:rsid w:val="008C7E8C"/>
    <w:rsid w:val="008D0576"/>
    <w:rsid w:val="008D09C4"/>
    <w:rsid w:val="008D0A70"/>
    <w:rsid w:val="008D0E3E"/>
    <w:rsid w:val="008D13A8"/>
    <w:rsid w:val="008D1658"/>
    <w:rsid w:val="008D173B"/>
    <w:rsid w:val="008D1769"/>
    <w:rsid w:val="008D179B"/>
    <w:rsid w:val="008D190D"/>
    <w:rsid w:val="008D196E"/>
    <w:rsid w:val="008D1A19"/>
    <w:rsid w:val="008D1A75"/>
    <w:rsid w:val="008D1D3B"/>
    <w:rsid w:val="008D21FE"/>
    <w:rsid w:val="008D2B54"/>
    <w:rsid w:val="008D2C39"/>
    <w:rsid w:val="008D3086"/>
    <w:rsid w:val="008D310F"/>
    <w:rsid w:val="008D3243"/>
    <w:rsid w:val="008D3502"/>
    <w:rsid w:val="008D3561"/>
    <w:rsid w:val="008D35FD"/>
    <w:rsid w:val="008D3D09"/>
    <w:rsid w:val="008D4252"/>
    <w:rsid w:val="008D43BB"/>
    <w:rsid w:val="008D4574"/>
    <w:rsid w:val="008D461E"/>
    <w:rsid w:val="008D4663"/>
    <w:rsid w:val="008D4693"/>
    <w:rsid w:val="008D46FD"/>
    <w:rsid w:val="008D4C4B"/>
    <w:rsid w:val="008D5005"/>
    <w:rsid w:val="008D54C6"/>
    <w:rsid w:val="008D54D5"/>
    <w:rsid w:val="008D5850"/>
    <w:rsid w:val="008D591D"/>
    <w:rsid w:val="008D5AFF"/>
    <w:rsid w:val="008D60B9"/>
    <w:rsid w:val="008D6851"/>
    <w:rsid w:val="008D6A3C"/>
    <w:rsid w:val="008D6CA5"/>
    <w:rsid w:val="008D6D1B"/>
    <w:rsid w:val="008D6DBF"/>
    <w:rsid w:val="008D6DEE"/>
    <w:rsid w:val="008D6E3F"/>
    <w:rsid w:val="008D6E8A"/>
    <w:rsid w:val="008D7030"/>
    <w:rsid w:val="008D707F"/>
    <w:rsid w:val="008D726D"/>
    <w:rsid w:val="008D7585"/>
    <w:rsid w:val="008D789A"/>
    <w:rsid w:val="008D794F"/>
    <w:rsid w:val="008D7A26"/>
    <w:rsid w:val="008D7AEE"/>
    <w:rsid w:val="008D7B66"/>
    <w:rsid w:val="008D7E9A"/>
    <w:rsid w:val="008E03FF"/>
    <w:rsid w:val="008E05AA"/>
    <w:rsid w:val="008E09B5"/>
    <w:rsid w:val="008E09F5"/>
    <w:rsid w:val="008E0E3C"/>
    <w:rsid w:val="008E0EDC"/>
    <w:rsid w:val="008E0F03"/>
    <w:rsid w:val="008E1022"/>
    <w:rsid w:val="008E10EE"/>
    <w:rsid w:val="008E178E"/>
    <w:rsid w:val="008E188F"/>
    <w:rsid w:val="008E19FA"/>
    <w:rsid w:val="008E1D87"/>
    <w:rsid w:val="008E1E56"/>
    <w:rsid w:val="008E2375"/>
    <w:rsid w:val="008E2382"/>
    <w:rsid w:val="008E244A"/>
    <w:rsid w:val="008E2485"/>
    <w:rsid w:val="008E2879"/>
    <w:rsid w:val="008E2942"/>
    <w:rsid w:val="008E2A6D"/>
    <w:rsid w:val="008E2A98"/>
    <w:rsid w:val="008E2C37"/>
    <w:rsid w:val="008E2D0E"/>
    <w:rsid w:val="008E3023"/>
    <w:rsid w:val="008E33BE"/>
    <w:rsid w:val="008E33EA"/>
    <w:rsid w:val="008E348D"/>
    <w:rsid w:val="008E3550"/>
    <w:rsid w:val="008E369F"/>
    <w:rsid w:val="008E38D8"/>
    <w:rsid w:val="008E3CCD"/>
    <w:rsid w:val="008E3F33"/>
    <w:rsid w:val="008E444D"/>
    <w:rsid w:val="008E4A08"/>
    <w:rsid w:val="008E4C5B"/>
    <w:rsid w:val="008E4D26"/>
    <w:rsid w:val="008E4DB2"/>
    <w:rsid w:val="008E4F7E"/>
    <w:rsid w:val="008E5063"/>
    <w:rsid w:val="008E50C2"/>
    <w:rsid w:val="008E52D6"/>
    <w:rsid w:val="008E55BE"/>
    <w:rsid w:val="008E56E8"/>
    <w:rsid w:val="008E59B0"/>
    <w:rsid w:val="008E5D8B"/>
    <w:rsid w:val="008E5EF7"/>
    <w:rsid w:val="008E614E"/>
    <w:rsid w:val="008E6329"/>
    <w:rsid w:val="008E6351"/>
    <w:rsid w:val="008E635F"/>
    <w:rsid w:val="008E63B7"/>
    <w:rsid w:val="008E676F"/>
    <w:rsid w:val="008E7076"/>
    <w:rsid w:val="008E7211"/>
    <w:rsid w:val="008E726B"/>
    <w:rsid w:val="008E7852"/>
    <w:rsid w:val="008E7BD5"/>
    <w:rsid w:val="008E7C4F"/>
    <w:rsid w:val="008E7C8A"/>
    <w:rsid w:val="008E7E9A"/>
    <w:rsid w:val="008F0145"/>
    <w:rsid w:val="008F053D"/>
    <w:rsid w:val="008F0E03"/>
    <w:rsid w:val="008F1503"/>
    <w:rsid w:val="008F1544"/>
    <w:rsid w:val="008F1C8A"/>
    <w:rsid w:val="008F1CB6"/>
    <w:rsid w:val="008F1D39"/>
    <w:rsid w:val="008F2178"/>
    <w:rsid w:val="008F21D9"/>
    <w:rsid w:val="008F21FF"/>
    <w:rsid w:val="008F22A4"/>
    <w:rsid w:val="008F260D"/>
    <w:rsid w:val="008F269F"/>
    <w:rsid w:val="008F2D21"/>
    <w:rsid w:val="008F2DD3"/>
    <w:rsid w:val="008F2ECB"/>
    <w:rsid w:val="008F2F0C"/>
    <w:rsid w:val="008F34B2"/>
    <w:rsid w:val="008F3644"/>
    <w:rsid w:val="008F3818"/>
    <w:rsid w:val="008F3A61"/>
    <w:rsid w:val="008F3B9F"/>
    <w:rsid w:val="008F3D0C"/>
    <w:rsid w:val="008F4215"/>
    <w:rsid w:val="008F4313"/>
    <w:rsid w:val="008F4557"/>
    <w:rsid w:val="008F4624"/>
    <w:rsid w:val="008F4956"/>
    <w:rsid w:val="008F49F2"/>
    <w:rsid w:val="008F4BD6"/>
    <w:rsid w:val="008F4BD9"/>
    <w:rsid w:val="008F4C2C"/>
    <w:rsid w:val="008F4C64"/>
    <w:rsid w:val="008F4C83"/>
    <w:rsid w:val="008F4F1C"/>
    <w:rsid w:val="008F50B5"/>
    <w:rsid w:val="008F540D"/>
    <w:rsid w:val="008F59CA"/>
    <w:rsid w:val="008F59E8"/>
    <w:rsid w:val="008F5CC5"/>
    <w:rsid w:val="008F5FD9"/>
    <w:rsid w:val="008F61E1"/>
    <w:rsid w:val="008F6272"/>
    <w:rsid w:val="008F62A8"/>
    <w:rsid w:val="008F65F3"/>
    <w:rsid w:val="008F6617"/>
    <w:rsid w:val="008F68E2"/>
    <w:rsid w:val="008F6BBB"/>
    <w:rsid w:val="008F6DF5"/>
    <w:rsid w:val="008F76E6"/>
    <w:rsid w:val="008F7830"/>
    <w:rsid w:val="008F7ABA"/>
    <w:rsid w:val="008F7B41"/>
    <w:rsid w:val="008F7B5E"/>
    <w:rsid w:val="008F7F61"/>
    <w:rsid w:val="0090005B"/>
    <w:rsid w:val="009003AE"/>
    <w:rsid w:val="009006AD"/>
    <w:rsid w:val="00900AD3"/>
    <w:rsid w:val="00900C0A"/>
    <w:rsid w:val="00900CE2"/>
    <w:rsid w:val="00900D70"/>
    <w:rsid w:val="00900DB7"/>
    <w:rsid w:val="009013A6"/>
    <w:rsid w:val="00901602"/>
    <w:rsid w:val="00901993"/>
    <w:rsid w:val="00902320"/>
    <w:rsid w:val="00902397"/>
    <w:rsid w:val="009024D0"/>
    <w:rsid w:val="009026DB"/>
    <w:rsid w:val="00902731"/>
    <w:rsid w:val="00902F62"/>
    <w:rsid w:val="009032E3"/>
    <w:rsid w:val="009033AF"/>
    <w:rsid w:val="0090362F"/>
    <w:rsid w:val="00903666"/>
    <w:rsid w:val="0090369B"/>
    <w:rsid w:val="009036A2"/>
    <w:rsid w:val="0090381B"/>
    <w:rsid w:val="009044EF"/>
    <w:rsid w:val="0090462A"/>
    <w:rsid w:val="009049E7"/>
    <w:rsid w:val="009049F7"/>
    <w:rsid w:val="00904AB4"/>
    <w:rsid w:val="00904C2C"/>
    <w:rsid w:val="00904C9F"/>
    <w:rsid w:val="00904F2D"/>
    <w:rsid w:val="00905346"/>
    <w:rsid w:val="00905C16"/>
    <w:rsid w:val="00905C4A"/>
    <w:rsid w:val="00905C7D"/>
    <w:rsid w:val="00905D0B"/>
    <w:rsid w:val="00906408"/>
    <w:rsid w:val="009064CD"/>
    <w:rsid w:val="0090679E"/>
    <w:rsid w:val="009067FD"/>
    <w:rsid w:val="00906899"/>
    <w:rsid w:val="00906C72"/>
    <w:rsid w:val="00906F23"/>
    <w:rsid w:val="00906F5B"/>
    <w:rsid w:val="00907307"/>
    <w:rsid w:val="009075B0"/>
    <w:rsid w:val="00907613"/>
    <w:rsid w:val="00907AA5"/>
    <w:rsid w:val="00907E4A"/>
    <w:rsid w:val="00907FD6"/>
    <w:rsid w:val="00910041"/>
    <w:rsid w:val="009100A0"/>
    <w:rsid w:val="00910193"/>
    <w:rsid w:val="00910301"/>
    <w:rsid w:val="00910476"/>
    <w:rsid w:val="0091057D"/>
    <w:rsid w:val="00910DB9"/>
    <w:rsid w:val="00910EEE"/>
    <w:rsid w:val="00911026"/>
    <w:rsid w:val="0091138D"/>
    <w:rsid w:val="0091146F"/>
    <w:rsid w:val="00911590"/>
    <w:rsid w:val="0091163A"/>
    <w:rsid w:val="0091181B"/>
    <w:rsid w:val="0091197F"/>
    <w:rsid w:val="00911B12"/>
    <w:rsid w:val="00911B3A"/>
    <w:rsid w:val="00911C24"/>
    <w:rsid w:val="00911ECA"/>
    <w:rsid w:val="00911FE4"/>
    <w:rsid w:val="0091212E"/>
    <w:rsid w:val="00912369"/>
    <w:rsid w:val="009123A5"/>
    <w:rsid w:val="0091266A"/>
    <w:rsid w:val="009126F0"/>
    <w:rsid w:val="009127BE"/>
    <w:rsid w:val="009127E7"/>
    <w:rsid w:val="0091285D"/>
    <w:rsid w:val="0091287B"/>
    <w:rsid w:val="009128F8"/>
    <w:rsid w:val="00912A40"/>
    <w:rsid w:val="00912A5A"/>
    <w:rsid w:val="00912C2C"/>
    <w:rsid w:val="00912C75"/>
    <w:rsid w:val="00912CE8"/>
    <w:rsid w:val="0091339F"/>
    <w:rsid w:val="009134D3"/>
    <w:rsid w:val="009139C1"/>
    <w:rsid w:val="00913A48"/>
    <w:rsid w:val="00913AE3"/>
    <w:rsid w:val="00913BE3"/>
    <w:rsid w:val="00913D8E"/>
    <w:rsid w:val="00914100"/>
    <w:rsid w:val="0091411D"/>
    <w:rsid w:val="00914221"/>
    <w:rsid w:val="009142C1"/>
    <w:rsid w:val="009144D0"/>
    <w:rsid w:val="00914A01"/>
    <w:rsid w:val="00914ACF"/>
    <w:rsid w:val="00914BDE"/>
    <w:rsid w:val="0091564B"/>
    <w:rsid w:val="009156B1"/>
    <w:rsid w:val="009159EA"/>
    <w:rsid w:val="00915BFC"/>
    <w:rsid w:val="00915C5B"/>
    <w:rsid w:val="00915D9D"/>
    <w:rsid w:val="00915EFB"/>
    <w:rsid w:val="0091604B"/>
    <w:rsid w:val="009160F4"/>
    <w:rsid w:val="009166BF"/>
    <w:rsid w:val="00916772"/>
    <w:rsid w:val="00916934"/>
    <w:rsid w:val="00916CAE"/>
    <w:rsid w:val="00916D39"/>
    <w:rsid w:val="00916E28"/>
    <w:rsid w:val="00916F98"/>
    <w:rsid w:val="00917342"/>
    <w:rsid w:val="0091734A"/>
    <w:rsid w:val="0091743F"/>
    <w:rsid w:val="0091773B"/>
    <w:rsid w:val="009179A5"/>
    <w:rsid w:val="00917DE6"/>
    <w:rsid w:val="00920262"/>
    <w:rsid w:val="009202EA"/>
    <w:rsid w:val="0092030A"/>
    <w:rsid w:val="009205F3"/>
    <w:rsid w:val="0092081A"/>
    <w:rsid w:val="00920914"/>
    <w:rsid w:val="009209EE"/>
    <w:rsid w:val="00920B96"/>
    <w:rsid w:val="00921041"/>
    <w:rsid w:val="00921225"/>
    <w:rsid w:val="009212E4"/>
    <w:rsid w:val="009213BB"/>
    <w:rsid w:val="009214D3"/>
    <w:rsid w:val="00921637"/>
    <w:rsid w:val="009216B2"/>
    <w:rsid w:val="009216F9"/>
    <w:rsid w:val="00921954"/>
    <w:rsid w:val="00921C92"/>
    <w:rsid w:val="00921DE5"/>
    <w:rsid w:val="0092203F"/>
    <w:rsid w:val="00922386"/>
    <w:rsid w:val="009224A6"/>
    <w:rsid w:val="00922565"/>
    <w:rsid w:val="0092275A"/>
    <w:rsid w:val="0092283A"/>
    <w:rsid w:val="00922D59"/>
    <w:rsid w:val="00922E79"/>
    <w:rsid w:val="00923383"/>
    <w:rsid w:val="00923483"/>
    <w:rsid w:val="009235B0"/>
    <w:rsid w:val="009235E4"/>
    <w:rsid w:val="00923662"/>
    <w:rsid w:val="009236E7"/>
    <w:rsid w:val="0092389B"/>
    <w:rsid w:val="0092395F"/>
    <w:rsid w:val="0092404B"/>
    <w:rsid w:val="009240BB"/>
    <w:rsid w:val="00924246"/>
    <w:rsid w:val="00924F85"/>
    <w:rsid w:val="00925421"/>
    <w:rsid w:val="009259E2"/>
    <w:rsid w:val="00925D94"/>
    <w:rsid w:val="00925DA9"/>
    <w:rsid w:val="00925F3C"/>
    <w:rsid w:val="00926193"/>
    <w:rsid w:val="009261E2"/>
    <w:rsid w:val="00926563"/>
    <w:rsid w:val="00926591"/>
    <w:rsid w:val="009265A3"/>
    <w:rsid w:val="00926818"/>
    <w:rsid w:val="00926B4F"/>
    <w:rsid w:val="00926D4A"/>
    <w:rsid w:val="00926F01"/>
    <w:rsid w:val="0092709A"/>
    <w:rsid w:val="009272EF"/>
    <w:rsid w:val="00927346"/>
    <w:rsid w:val="00927500"/>
    <w:rsid w:val="00927593"/>
    <w:rsid w:val="00927CDE"/>
    <w:rsid w:val="00927D02"/>
    <w:rsid w:val="00927DA8"/>
    <w:rsid w:val="00930065"/>
    <w:rsid w:val="00930602"/>
    <w:rsid w:val="00930710"/>
    <w:rsid w:val="009308EC"/>
    <w:rsid w:val="00930942"/>
    <w:rsid w:val="00930AF5"/>
    <w:rsid w:val="00930D1E"/>
    <w:rsid w:val="009310BE"/>
    <w:rsid w:val="009311AD"/>
    <w:rsid w:val="00931527"/>
    <w:rsid w:val="009317FF"/>
    <w:rsid w:val="0093193F"/>
    <w:rsid w:val="009319A6"/>
    <w:rsid w:val="00931A0D"/>
    <w:rsid w:val="00931F3C"/>
    <w:rsid w:val="009325D1"/>
    <w:rsid w:val="009327E5"/>
    <w:rsid w:val="009328A0"/>
    <w:rsid w:val="00932ABC"/>
    <w:rsid w:val="00932CBE"/>
    <w:rsid w:val="00932F02"/>
    <w:rsid w:val="00933141"/>
    <w:rsid w:val="009332CF"/>
    <w:rsid w:val="00933318"/>
    <w:rsid w:val="0093335B"/>
    <w:rsid w:val="0093399C"/>
    <w:rsid w:val="00933A4C"/>
    <w:rsid w:val="00933C72"/>
    <w:rsid w:val="00933C8B"/>
    <w:rsid w:val="00933D9A"/>
    <w:rsid w:val="00933DC3"/>
    <w:rsid w:val="009343F5"/>
    <w:rsid w:val="009344B2"/>
    <w:rsid w:val="0093457C"/>
    <w:rsid w:val="00934644"/>
    <w:rsid w:val="00934809"/>
    <w:rsid w:val="009349AF"/>
    <w:rsid w:val="009349B0"/>
    <w:rsid w:val="00934B04"/>
    <w:rsid w:val="00934DE0"/>
    <w:rsid w:val="0093528A"/>
    <w:rsid w:val="0093552F"/>
    <w:rsid w:val="00935674"/>
    <w:rsid w:val="0093576E"/>
    <w:rsid w:val="00935BCB"/>
    <w:rsid w:val="00935CBE"/>
    <w:rsid w:val="00935FE3"/>
    <w:rsid w:val="00936194"/>
    <w:rsid w:val="0093632A"/>
    <w:rsid w:val="0093637B"/>
    <w:rsid w:val="00936403"/>
    <w:rsid w:val="009364B9"/>
    <w:rsid w:val="0093657D"/>
    <w:rsid w:val="00936596"/>
    <w:rsid w:val="009365B6"/>
    <w:rsid w:val="00936697"/>
    <w:rsid w:val="00936B83"/>
    <w:rsid w:val="00936CED"/>
    <w:rsid w:val="009370BE"/>
    <w:rsid w:val="009376C4"/>
    <w:rsid w:val="0093784F"/>
    <w:rsid w:val="00937892"/>
    <w:rsid w:val="00937BAF"/>
    <w:rsid w:val="00937DDA"/>
    <w:rsid w:val="00937E4A"/>
    <w:rsid w:val="00940721"/>
    <w:rsid w:val="00940D17"/>
    <w:rsid w:val="009412A0"/>
    <w:rsid w:val="00941574"/>
    <w:rsid w:val="00941857"/>
    <w:rsid w:val="009419A1"/>
    <w:rsid w:val="00941B27"/>
    <w:rsid w:val="00941D76"/>
    <w:rsid w:val="009420CE"/>
    <w:rsid w:val="009422C8"/>
    <w:rsid w:val="0094243C"/>
    <w:rsid w:val="00942555"/>
    <w:rsid w:val="00942B4F"/>
    <w:rsid w:val="00942C5A"/>
    <w:rsid w:val="00942D12"/>
    <w:rsid w:val="0094315E"/>
    <w:rsid w:val="00943516"/>
    <w:rsid w:val="009435D5"/>
    <w:rsid w:val="00943650"/>
    <w:rsid w:val="00943800"/>
    <w:rsid w:val="009438F3"/>
    <w:rsid w:val="00943AF6"/>
    <w:rsid w:val="00943C8D"/>
    <w:rsid w:val="00943D88"/>
    <w:rsid w:val="00943E2A"/>
    <w:rsid w:val="009441C8"/>
    <w:rsid w:val="0094444F"/>
    <w:rsid w:val="00944905"/>
    <w:rsid w:val="009449C3"/>
    <w:rsid w:val="00944CCD"/>
    <w:rsid w:val="00944EAC"/>
    <w:rsid w:val="009450CE"/>
    <w:rsid w:val="009451A5"/>
    <w:rsid w:val="009455EF"/>
    <w:rsid w:val="00945757"/>
    <w:rsid w:val="0094583D"/>
    <w:rsid w:val="00945AF7"/>
    <w:rsid w:val="00945C48"/>
    <w:rsid w:val="009460EC"/>
    <w:rsid w:val="009461D6"/>
    <w:rsid w:val="00946794"/>
    <w:rsid w:val="00946D63"/>
    <w:rsid w:val="00946DB8"/>
    <w:rsid w:val="00946EBB"/>
    <w:rsid w:val="00946FD3"/>
    <w:rsid w:val="00947124"/>
    <w:rsid w:val="009472AF"/>
    <w:rsid w:val="00947354"/>
    <w:rsid w:val="0094757B"/>
    <w:rsid w:val="009475FD"/>
    <w:rsid w:val="0094785D"/>
    <w:rsid w:val="00947876"/>
    <w:rsid w:val="009478BA"/>
    <w:rsid w:val="009479EA"/>
    <w:rsid w:val="00947B04"/>
    <w:rsid w:val="00947FEF"/>
    <w:rsid w:val="0095032F"/>
    <w:rsid w:val="00950396"/>
    <w:rsid w:val="0095089D"/>
    <w:rsid w:val="009508E4"/>
    <w:rsid w:val="00950944"/>
    <w:rsid w:val="00950992"/>
    <w:rsid w:val="00950A9F"/>
    <w:rsid w:val="00950BED"/>
    <w:rsid w:val="00950E09"/>
    <w:rsid w:val="00950FDD"/>
    <w:rsid w:val="0095125A"/>
    <w:rsid w:val="009514DC"/>
    <w:rsid w:val="00951712"/>
    <w:rsid w:val="009519EA"/>
    <w:rsid w:val="00951AE5"/>
    <w:rsid w:val="00951BEA"/>
    <w:rsid w:val="00951E6C"/>
    <w:rsid w:val="00951FF3"/>
    <w:rsid w:val="00952528"/>
    <w:rsid w:val="00952729"/>
    <w:rsid w:val="0095283E"/>
    <w:rsid w:val="00952CD3"/>
    <w:rsid w:val="00952DA7"/>
    <w:rsid w:val="00953265"/>
    <w:rsid w:val="00953619"/>
    <w:rsid w:val="0095366A"/>
    <w:rsid w:val="00953B2B"/>
    <w:rsid w:val="00953E4C"/>
    <w:rsid w:val="00954695"/>
    <w:rsid w:val="0095484C"/>
    <w:rsid w:val="00954B45"/>
    <w:rsid w:val="00954C23"/>
    <w:rsid w:val="00954C7E"/>
    <w:rsid w:val="00954D40"/>
    <w:rsid w:val="009550F1"/>
    <w:rsid w:val="00955312"/>
    <w:rsid w:val="00955789"/>
    <w:rsid w:val="009559A1"/>
    <w:rsid w:val="00955B6E"/>
    <w:rsid w:val="00955CAF"/>
    <w:rsid w:val="00955FA0"/>
    <w:rsid w:val="0095609A"/>
    <w:rsid w:val="00956259"/>
    <w:rsid w:val="0095633B"/>
    <w:rsid w:val="009567C7"/>
    <w:rsid w:val="00956C9B"/>
    <w:rsid w:val="00956CF5"/>
    <w:rsid w:val="00956D92"/>
    <w:rsid w:val="00956DA9"/>
    <w:rsid w:val="00957009"/>
    <w:rsid w:val="0095708D"/>
    <w:rsid w:val="009571ED"/>
    <w:rsid w:val="0095740F"/>
    <w:rsid w:val="009576C3"/>
    <w:rsid w:val="0095790B"/>
    <w:rsid w:val="0095796C"/>
    <w:rsid w:val="00957E2C"/>
    <w:rsid w:val="00960187"/>
    <w:rsid w:val="00960414"/>
    <w:rsid w:val="00960647"/>
    <w:rsid w:val="00960B42"/>
    <w:rsid w:val="00960B78"/>
    <w:rsid w:val="00960D1B"/>
    <w:rsid w:val="00960E0E"/>
    <w:rsid w:val="00960ED2"/>
    <w:rsid w:val="0096104D"/>
    <w:rsid w:val="00961159"/>
    <w:rsid w:val="009611C2"/>
    <w:rsid w:val="0096175E"/>
    <w:rsid w:val="00961937"/>
    <w:rsid w:val="00961A91"/>
    <w:rsid w:val="00961ABE"/>
    <w:rsid w:val="00961AE9"/>
    <w:rsid w:val="00961CBD"/>
    <w:rsid w:val="00961E53"/>
    <w:rsid w:val="00961FAF"/>
    <w:rsid w:val="00962A1A"/>
    <w:rsid w:val="00962A41"/>
    <w:rsid w:val="00962DC8"/>
    <w:rsid w:val="00962FEF"/>
    <w:rsid w:val="0096303D"/>
    <w:rsid w:val="009631B7"/>
    <w:rsid w:val="009634A5"/>
    <w:rsid w:val="00963AD2"/>
    <w:rsid w:val="00963B7E"/>
    <w:rsid w:val="00963BB4"/>
    <w:rsid w:val="00963D74"/>
    <w:rsid w:val="009640B7"/>
    <w:rsid w:val="00964303"/>
    <w:rsid w:val="00964328"/>
    <w:rsid w:val="00964417"/>
    <w:rsid w:val="00964951"/>
    <w:rsid w:val="00964A26"/>
    <w:rsid w:val="00964EFD"/>
    <w:rsid w:val="00964F67"/>
    <w:rsid w:val="00965450"/>
    <w:rsid w:val="0096565C"/>
    <w:rsid w:val="00965822"/>
    <w:rsid w:val="0096590A"/>
    <w:rsid w:val="00966177"/>
    <w:rsid w:val="009661B6"/>
    <w:rsid w:val="009662FB"/>
    <w:rsid w:val="00966DA6"/>
    <w:rsid w:val="00966F89"/>
    <w:rsid w:val="00967111"/>
    <w:rsid w:val="0096752E"/>
    <w:rsid w:val="00967C3B"/>
    <w:rsid w:val="0097045F"/>
    <w:rsid w:val="00970753"/>
    <w:rsid w:val="009707AD"/>
    <w:rsid w:val="009708D2"/>
    <w:rsid w:val="00970BAF"/>
    <w:rsid w:val="00970D95"/>
    <w:rsid w:val="00970EDA"/>
    <w:rsid w:val="00971223"/>
    <w:rsid w:val="009713B8"/>
    <w:rsid w:val="009719D1"/>
    <w:rsid w:val="00971D82"/>
    <w:rsid w:val="00972607"/>
    <w:rsid w:val="009727B6"/>
    <w:rsid w:val="009728D6"/>
    <w:rsid w:val="009728E3"/>
    <w:rsid w:val="009732D0"/>
    <w:rsid w:val="00973436"/>
    <w:rsid w:val="0097345C"/>
    <w:rsid w:val="009734C9"/>
    <w:rsid w:val="009738D8"/>
    <w:rsid w:val="00973CD4"/>
    <w:rsid w:val="00973CDA"/>
    <w:rsid w:val="00973E0B"/>
    <w:rsid w:val="00973E83"/>
    <w:rsid w:val="009743C6"/>
    <w:rsid w:val="00974549"/>
    <w:rsid w:val="00974846"/>
    <w:rsid w:val="009749D2"/>
    <w:rsid w:val="00974B45"/>
    <w:rsid w:val="00974B49"/>
    <w:rsid w:val="00974CCB"/>
    <w:rsid w:val="0097507F"/>
    <w:rsid w:val="009751CC"/>
    <w:rsid w:val="0097556E"/>
    <w:rsid w:val="00975A0B"/>
    <w:rsid w:val="00975C59"/>
    <w:rsid w:val="009760B8"/>
    <w:rsid w:val="0097667B"/>
    <w:rsid w:val="00976A22"/>
    <w:rsid w:val="00976B22"/>
    <w:rsid w:val="009770EB"/>
    <w:rsid w:val="00977DFA"/>
    <w:rsid w:val="00980077"/>
    <w:rsid w:val="009800DF"/>
    <w:rsid w:val="009801AF"/>
    <w:rsid w:val="009803D9"/>
    <w:rsid w:val="009806A5"/>
    <w:rsid w:val="00981093"/>
    <w:rsid w:val="009814CF"/>
    <w:rsid w:val="0098170F"/>
    <w:rsid w:val="00981716"/>
    <w:rsid w:val="00981987"/>
    <w:rsid w:val="00981E05"/>
    <w:rsid w:val="00981E9B"/>
    <w:rsid w:val="00981ECB"/>
    <w:rsid w:val="00981F96"/>
    <w:rsid w:val="009825B6"/>
    <w:rsid w:val="00982684"/>
    <w:rsid w:val="0098271B"/>
    <w:rsid w:val="00982ABA"/>
    <w:rsid w:val="00982B03"/>
    <w:rsid w:val="00982B64"/>
    <w:rsid w:val="00982D2B"/>
    <w:rsid w:val="00982E9D"/>
    <w:rsid w:val="00982F70"/>
    <w:rsid w:val="00982FC6"/>
    <w:rsid w:val="009833EC"/>
    <w:rsid w:val="009837A1"/>
    <w:rsid w:val="009837CE"/>
    <w:rsid w:val="00983889"/>
    <w:rsid w:val="009838A4"/>
    <w:rsid w:val="00983984"/>
    <w:rsid w:val="00983AC0"/>
    <w:rsid w:val="0098438B"/>
    <w:rsid w:val="00984547"/>
    <w:rsid w:val="00984929"/>
    <w:rsid w:val="00984AB4"/>
    <w:rsid w:val="00984F61"/>
    <w:rsid w:val="00985033"/>
    <w:rsid w:val="00985345"/>
    <w:rsid w:val="00985537"/>
    <w:rsid w:val="0098554F"/>
    <w:rsid w:val="00985576"/>
    <w:rsid w:val="00985959"/>
    <w:rsid w:val="00985ACA"/>
    <w:rsid w:val="00985D5B"/>
    <w:rsid w:val="00986562"/>
    <w:rsid w:val="009866B0"/>
    <w:rsid w:val="00986847"/>
    <w:rsid w:val="00986AE0"/>
    <w:rsid w:val="00986CEF"/>
    <w:rsid w:val="00986E1B"/>
    <w:rsid w:val="00987055"/>
    <w:rsid w:val="00987311"/>
    <w:rsid w:val="00987550"/>
    <w:rsid w:val="00987844"/>
    <w:rsid w:val="00987B57"/>
    <w:rsid w:val="00987EF0"/>
    <w:rsid w:val="00990001"/>
    <w:rsid w:val="0099020B"/>
    <w:rsid w:val="0099028D"/>
    <w:rsid w:val="00990816"/>
    <w:rsid w:val="009909AC"/>
    <w:rsid w:val="00990AE8"/>
    <w:rsid w:val="00990AFC"/>
    <w:rsid w:val="00990E77"/>
    <w:rsid w:val="00990F44"/>
    <w:rsid w:val="00990F99"/>
    <w:rsid w:val="00990FB3"/>
    <w:rsid w:val="00990FC7"/>
    <w:rsid w:val="0099169E"/>
    <w:rsid w:val="00991923"/>
    <w:rsid w:val="00991AC0"/>
    <w:rsid w:val="0099218C"/>
    <w:rsid w:val="00992280"/>
    <w:rsid w:val="0099239E"/>
    <w:rsid w:val="00992DAC"/>
    <w:rsid w:val="00992FAD"/>
    <w:rsid w:val="00993136"/>
    <w:rsid w:val="00993449"/>
    <w:rsid w:val="009938E4"/>
    <w:rsid w:val="00993993"/>
    <w:rsid w:val="00993A26"/>
    <w:rsid w:val="00993C2E"/>
    <w:rsid w:val="00994B04"/>
    <w:rsid w:val="00994B7F"/>
    <w:rsid w:val="00994C04"/>
    <w:rsid w:val="00994E47"/>
    <w:rsid w:val="00995216"/>
    <w:rsid w:val="009952CD"/>
    <w:rsid w:val="00995402"/>
    <w:rsid w:val="009955F5"/>
    <w:rsid w:val="009957B2"/>
    <w:rsid w:val="009957FD"/>
    <w:rsid w:val="00995920"/>
    <w:rsid w:val="00995C37"/>
    <w:rsid w:val="00995DCB"/>
    <w:rsid w:val="009963B3"/>
    <w:rsid w:val="009966A1"/>
    <w:rsid w:val="009968CD"/>
    <w:rsid w:val="00997334"/>
    <w:rsid w:val="009974B4"/>
    <w:rsid w:val="0099791A"/>
    <w:rsid w:val="00997B59"/>
    <w:rsid w:val="00997DE6"/>
    <w:rsid w:val="009A0133"/>
    <w:rsid w:val="009A0140"/>
    <w:rsid w:val="009A0180"/>
    <w:rsid w:val="009A039A"/>
    <w:rsid w:val="009A03D5"/>
    <w:rsid w:val="009A0656"/>
    <w:rsid w:val="009A06EF"/>
    <w:rsid w:val="009A0841"/>
    <w:rsid w:val="009A0880"/>
    <w:rsid w:val="009A0A03"/>
    <w:rsid w:val="009A0B4B"/>
    <w:rsid w:val="009A0C30"/>
    <w:rsid w:val="009A0C86"/>
    <w:rsid w:val="009A0CCB"/>
    <w:rsid w:val="009A12DC"/>
    <w:rsid w:val="009A1398"/>
    <w:rsid w:val="009A1A09"/>
    <w:rsid w:val="009A1B12"/>
    <w:rsid w:val="009A1C1C"/>
    <w:rsid w:val="009A2625"/>
    <w:rsid w:val="009A294E"/>
    <w:rsid w:val="009A2D2C"/>
    <w:rsid w:val="009A2DAE"/>
    <w:rsid w:val="009A2F19"/>
    <w:rsid w:val="009A31F8"/>
    <w:rsid w:val="009A3280"/>
    <w:rsid w:val="009A32FE"/>
    <w:rsid w:val="009A34BB"/>
    <w:rsid w:val="009A3935"/>
    <w:rsid w:val="009A3A2F"/>
    <w:rsid w:val="009A3C7F"/>
    <w:rsid w:val="009A3CDA"/>
    <w:rsid w:val="009A3DFF"/>
    <w:rsid w:val="009A4305"/>
    <w:rsid w:val="009A43DB"/>
    <w:rsid w:val="009A4502"/>
    <w:rsid w:val="009A464C"/>
    <w:rsid w:val="009A4B14"/>
    <w:rsid w:val="009A4B48"/>
    <w:rsid w:val="009A4E85"/>
    <w:rsid w:val="009A51EA"/>
    <w:rsid w:val="009A52AF"/>
    <w:rsid w:val="009A52BB"/>
    <w:rsid w:val="009A5619"/>
    <w:rsid w:val="009A5B09"/>
    <w:rsid w:val="009A5C33"/>
    <w:rsid w:val="009A5E3E"/>
    <w:rsid w:val="009A60B1"/>
    <w:rsid w:val="009A62CB"/>
    <w:rsid w:val="009A636F"/>
    <w:rsid w:val="009A63F5"/>
    <w:rsid w:val="009A672F"/>
    <w:rsid w:val="009A6919"/>
    <w:rsid w:val="009A6AD5"/>
    <w:rsid w:val="009A6C21"/>
    <w:rsid w:val="009A6F1D"/>
    <w:rsid w:val="009A7184"/>
    <w:rsid w:val="009A7206"/>
    <w:rsid w:val="009A737D"/>
    <w:rsid w:val="009A7442"/>
    <w:rsid w:val="009A76E7"/>
    <w:rsid w:val="009A7774"/>
    <w:rsid w:val="009A780F"/>
    <w:rsid w:val="009A7E7B"/>
    <w:rsid w:val="009B0212"/>
    <w:rsid w:val="009B02BC"/>
    <w:rsid w:val="009B0597"/>
    <w:rsid w:val="009B05CA"/>
    <w:rsid w:val="009B05EB"/>
    <w:rsid w:val="009B0A36"/>
    <w:rsid w:val="009B101D"/>
    <w:rsid w:val="009B109A"/>
    <w:rsid w:val="009B109C"/>
    <w:rsid w:val="009B11E2"/>
    <w:rsid w:val="009B1461"/>
    <w:rsid w:val="009B174D"/>
    <w:rsid w:val="009B1981"/>
    <w:rsid w:val="009B1A94"/>
    <w:rsid w:val="009B1CFC"/>
    <w:rsid w:val="009B1F13"/>
    <w:rsid w:val="009B212C"/>
    <w:rsid w:val="009B2170"/>
    <w:rsid w:val="009B2250"/>
    <w:rsid w:val="009B23AE"/>
    <w:rsid w:val="009B24AD"/>
    <w:rsid w:val="009B2A0D"/>
    <w:rsid w:val="009B2C17"/>
    <w:rsid w:val="009B2C7C"/>
    <w:rsid w:val="009B2E4A"/>
    <w:rsid w:val="009B2ED6"/>
    <w:rsid w:val="009B3425"/>
    <w:rsid w:val="009B34C3"/>
    <w:rsid w:val="009B36C4"/>
    <w:rsid w:val="009B38A9"/>
    <w:rsid w:val="009B38B3"/>
    <w:rsid w:val="009B3968"/>
    <w:rsid w:val="009B3A9B"/>
    <w:rsid w:val="009B3D8B"/>
    <w:rsid w:val="009B3EF7"/>
    <w:rsid w:val="009B4214"/>
    <w:rsid w:val="009B42AA"/>
    <w:rsid w:val="009B42AE"/>
    <w:rsid w:val="009B4359"/>
    <w:rsid w:val="009B46F8"/>
    <w:rsid w:val="009B49DA"/>
    <w:rsid w:val="009B4C93"/>
    <w:rsid w:val="009B4DE9"/>
    <w:rsid w:val="009B4E34"/>
    <w:rsid w:val="009B4F06"/>
    <w:rsid w:val="009B50AC"/>
    <w:rsid w:val="009B50F8"/>
    <w:rsid w:val="009B54E6"/>
    <w:rsid w:val="009B55EE"/>
    <w:rsid w:val="009B56D2"/>
    <w:rsid w:val="009B584F"/>
    <w:rsid w:val="009B58A6"/>
    <w:rsid w:val="009B5BA3"/>
    <w:rsid w:val="009B620A"/>
    <w:rsid w:val="009B65E2"/>
    <w:rsid w:val="009B6698"/>
    <w:rsid w:val="009B681C"/>
    <w:rsid w:val="009B6D10"/>
    <w:rsid w:val="009B6D8E"/>
    <w:rsid w:val="009B6EFB"/>
    <w:rsid w:val="009B70AB"/>
    <w:rsid w:val="009B7433"/>
    <w:rsid w:val="009B74D3"/>
    <w:rsid w:val="009B78D1"/>
    <w:rsid w:val="009B78D5"/>
    <w:rsid w:val="009B7963"/>
    <w:rsid w:val="009B7B62"/>
    <w:rsid w:val="009B7CDB"/>
    <w:rsid w:val="009C0088"/>
    <w:rsid w:val="009C0376"/>
    <w:rsid w:val="009C08D9"/>
    <w:rsid w:val="009C094A"/>
    <w:rsid w:val="009C094E"/>
    <w:rsid w:val="009C0C8E"/>
    <w:rsid w:val="009C1413"/>
    <w:rsid w:val="009C1520"/>
    <w:rsid w:val="009C1B00"/>
    <w:rsid w:val="009C2229"/>
    <w:rsid w:val="009C2673"/>
    <w:rsid w:val="009C28FD"/>
    <w:rsid w:val="009C2EC0"/>
    <w:rsid w:val="009C2ED1"/>
    <w:rsid w:val="009C30C3"/>
    <w:rsid w:val="009C3149"/>
    <w:rsid w:val="009C37AA"/>
    <w:rsid w:val="009C3F03"/>
    <w:rsid w:val="009C3F52"/>
    <w:rsid w:val="009C405A"/>
    <w:rsid w:val="009C43D5"/>
    <w:rsid w:val="009C48C0"/>
    <w:rsid w:val="009C4DFB"/>
    <w:rsid w:val="009C5199"/>
    <w:rsid w:val="009C5446"/>
    <w:rsid w:val="009C57E0"/>
    <w:rsid w:val="009C58A7"/>
    <w:rsid w:val="009C5CE9"/>
    <w:rsid w:val="009C5DA2"/>
    <w:rsid w:val="009C5DBA"/>
    <w:rsid w:val="009C5EF3"/>
    <w:rsid w:val="009C6350"/>
    <w:rsid w:val="009C6A2D"/>
    <w:rsid w:val="009C6E6E"/>
    <w:rsid w:val="009C7021"/>
    <w:rsid w:val="009C71FA"/>
    <w:rsid w:val="009C760A"/>
    <w:rsid w:val="009C798D"/>
    <w:rsid w:val="009C7E20"/>
    <w:rsid w:val="009C7F4E"/>
    <w:rsid w:val="009D0124"/>
    <w:rsid w:val="009D060D"/>
    <w:rsid w:val="009D0903"/>
    <w:rsid w:val="009D171B"/>
    <w:rsid w:val="009D1AF4"/>
    <w:rsid w:val="009D1B66"/>
    <w:rsid w:val="009D1BA4"/>
    <w:rsid w:val="009D1E3B"/>
    <w:rsid w:val="009D2123"/>
    <w:rsid w:val="009D22B8"/>
    <w:rsid w:val="009D2620"/>
    <w:rsid w:val="009D2685"/>
    <w:rsid w:val="009D27B3"/>
    <w:rsid w:val="009D28E1"/>
    <w:rsid w:val="009D28F1"/>
    <w:rsid w:val="009D29A6"/>
    <w:rsid w:val="009D2CF8"/>
    <w:rsid w:val="009D2CF9"/>
    <w:rsid w:val="009D2F7D"/>
    <w:rsid w:val="009D30E8"/>
    <w:rsid w:val="009D3133"/>
    <w:rsid w:val="009D3508"/>
    <w:rsid w:val="009D3F75"/>
    <w:rsid w:val="009D3FC9"/>
    <w:rsid w:val="009D40DA"/>
    <w:rsid w:val="009D41FB"/>
    <w:rsid w:val="009D4213"/>
    <w:rsid w:val="009D4368"/>
    <w:rsid w:val="009D4463"/>
    <w:rsid w:val="009D45D3"/>
    <w:rsid w:val="009D46BE"/>
    <w:rsid w:val="009D482D"/>
    <w:rsid w:val="009D486D"/>
    <w:rsid w:val="009D493B"/>
    <w:rsid w:val="009D4BEA"/>
    <w:rsid w:val="009D4CC3"/>
    <w:rsid w:val="009D4E73"/>
    <w:rsid w:val="009D5033"/>
    <w:rsid w:val="009D5ACB"/>
    <w:rsid w:val="009D5C68"/>
    <w:rsid w:val="009D5E72"/>
    <w:rsid w:val="009D5ECB"/>
    <w:rsid w:val="009D63A5"/>
    <w:rsid w:val="009D66BB"/>
    <w:rsid w:val="009D6752"/>
    <w:rsid w:val="009D67E0"/>
    <w:rsid w:val="009D68C8"/>
    <w:rsid w:val="009D6E29"/>
    <w:rsid w:val="009D6F02"/>
    <w:rsid w:val="009D717A"/>
    <w:rsid w:val="009D72EB"/>
    <w:rsid w:val="009D7347"/>
    <w:rsid w:val="009D7EE1"/>
    <w:rsid w:val="009E006F"/>
    <w:rsid w:val="009E00CA"/>
    <w:rsid w:val="009E02E3"/>
    <w:rsid w:val="009E08A0"/>
    <w:rsid w:val="009E09E3"/>
    <w:rsid w:val="009E0ACF"/>
    <w:rsid w:val="009E0F6F"/>
    <w:rsid w:val="009E12C8"/>
    <w:rsid w:val="009E142F"/>
    <w:rsid w:val="009E15F8"/>
    <w:rsid w:val="009E1734"/>
    <w:rsid w:val="009E1EA2"/>
    <w:rsid w:val="009E1EA9"/>
    <w:rsid w:val="009E21A5"/>
    <w:rsid w:val="009E2296"/>
    <w:rsid w:val="009E2353"/>
    <w:rsid w:val="009E23CE"/>
    <w:rsid w:val="009E266F"/>
    <w:rsid w:val="009E2BA3"/>
    <w:rsid w:val="009E2E64"/>
    <w:rsid w:val="009E3212"/>
    <w:rsid w:val="009E3283"/>
    <w:rsid w:val="009E3369"/>
    <w:rsid w:val="009E34D2"/>
    <w:rsid w:val="009E35BC"/>
    <w:rsid w:val="009E35F0"/>
    <w:rsid w:val="009E374A"/>
    <w:rsid w:val="009E3D3F"/>
    <w:rsid w:val="009E40D3"/>
    <w:rsid w:val="009E44E6"/>
    <w:rsid w:val="009E4A84"/>
    <w:rsid w:val="009E4FD3"/>
    <w:rsid w:val="009E51A9"/>
    <w:rsid w:val="009E568C"/>
    <w:rsid w:val="009E5769"/>
    <w:rsid w:val="009E579E"/>
    <w:rsid w:val="009E5B46"/>
    <w:rsid w:val="009E6142"/>
    <w:rsid w:val="009E636F"/>
    <w:rsid w:val="009E65B9"/>
    <w:rsid w:val="009E65F2"/>
    <w:rsid w:val="009E66F0"/>
    <w:rsid w:val="009E670B"/>
    <w:rsid w:val="009E6B96"/>
    <w:rsid w:val="009E6C07"/>
    <w:rsid w:val="009E6E4E"/>
    <w:rsid w:val="009E71C2"/>
    <w:rsid w:val="009E7479"/>
    <w:rsid w:val="009E754E"/>
    <w:rsid w:val="009E75C4"/>
    <w:rsid w:val="009E7910"/>
    <w:rsid w:val="009E7A1A"/>
    <w:rsid w:val="009E7B29"/>
    <w:rsid w:val="009E7C2D"/>
    <w:rsid w:val="009E7DE0"/>
    <w:rsid w:val="009F0694"/>
    <w:rsid w:val="009F0940"/>
    <w:rsid w:val="009F0A69"/>
    <w:rsid w:val="009F0DA9"/>
    <w:rsid w:val="009F0DEF"/>
    <w:rsid w:val="009F0EB5"/>
    <w:rsid w:val="009F100C"/>
    <w:rsid w:val="009F1052"/>
    <w:rsid w:val="009F1765"/>
    <w:rsid w:val="009F1782"/>
    <w:rsid w:val="009F191A"/>
    <w:rsid w:val="009F1B03"/>
    <w:rsid w:val="009F1B74"/>
    <w:rsid w:val="009F220E"/>
    <w:rsid w:val="009F2384"/>
    <w:rsid w:val="009F246C"/>
    <w:rsid w:val="009F290F"/>
    <w:rsid w:val="009F2916"/>
    <w:rsid w:val="009F294D"/>
    <w:rsid w:val="009F2CBF"/>
    <w:rsid w:val="009F2EA8"/>
    <w:rsid w:val="009F32F6"/>
    <w:rsid w:val="009F33B7"/>
    <w:rsid w:val="009F350E"/>
    <w:rsid w:val="009F35A4"/>
    <w:rsid w:val="009F3786"/>
    <w:rsid w:val="009F3924"/>
    <w:rsid w:val="009F399A"/>
    <w:rsid w:val="009F3A17"/>
    <w:rsid w:val="009F3A97"/>
    <w:rsid w:val="009F3BA0"/>
    <w:rsid w:val="009F3D22"/>
    <w:rsid w:val="009F4673"/>
    <w:rsid w:val="009F468F"/>
    <w:rsid w:val="009F46B7"/>
    <w:rsid w:val="009F4C18"/>
    <w:rsid w:val="009F5565"/>
    <w:rsid w:val="009F6466"/>
    <w:rsid w:val="009F69D6"/>
    <w:rsid w:val="009F6A16"/>
    <w:rsid w:val="009F6B66"/>
    <w:rsid w:val="009F703A"/>
    <w:rsid w:val="009F7303"/>
    <w:rsid w:val="009F7580"/>
    <w:rsid w:val="009F79E3"/>
    <w:rsid w:val="00A00006"/>
    <w:rsid w:val="00A0000D"/>
    <w:rsid w:val="00A002CD"/>
    <w:rsid w:val="00A005B1"/>
    <w:rsid w:val="00A007C0"/>
    <w:rsid w:val="00A008D6"/>
    <w:rsid w:val="00A00BEF"/>
    <w:rsid w:val="00A00C4B"/>
    <w:rsid w:val="00A013D5"/>
    <w:rsid w:val="00A019F3"/>
    <w:rsid w:val="00A01D60"/>
    <w:rsid w:val="00A01E7E"/>
    <w:rsid w:val="00A02492"/>
    <w:rsid w:val="00A02639"/>
    <w:rsid w:val="00A02708"/>
    <w:rsid w:val="00A0344F"/>
    <w:rsid w:val="00A03570"/>
    <w:rsid w:val="00A0366A"/>
    <w:rsid w:val="00A03727"/>
    <w:rsid w:val="00A03A4F"/>
    <w:rsid w:val="00A03F3A"/>
    <w:rsid w:val="00A04060"/>
    <w:rsid w:val="00A04517"/>
    <w:rsid w:val="00A04661"/>
    <w:rsid w:val="00A048E1"/>
    <w:rsid w:val="00A04A30"/>
    <w:rsid w:val="00A04B4E"/>
    <w:rsid w:val="00A05115"/>
    <w:rsid w:val="00A05555"/>
    <w:rsid w:val="00A056A2"/>
    <w:rsid w:val="00A0573E"/>
    <w:rsid w:val="00A058C2"/>
    <w:rsid w:val="00A0595D"/>
    <w:rsid w:val="00A05A4C"/>
    <w:rsid w:val="00A05B09"/>
    <w:rsid w:val="00A05C9F"/>
    <w:rsid w:val="00A05D77"/>
    <w:rsid w:val="00A05E23"/>
    <w:rsid w:val="00A05E8A"/>
    <w:rsid w:val="00A05FD8"/>
    <w:rsid w:val="00A06283"/>
    <w:rsid w:val="00A06556"/>
    <w:rsid w:val="00A06BAC"/>
    <w:rsid w:val="00A06D9C"/>
    <w:rsid w:val="00A06E7B"/>
    <w:rsid w:val="00A07146"/>
    <w:rsid w:val="00A07219"/>
    <w:rsid w:val="00A0740B"/>
    <w:rsid w:val="00A07725"/>
    <w:rsid w:val="00A079D4"/>
    <w:rsid w:val="00A07F1F"/>
    <w:rsid w:val="00A10065"/>
    <w:rsid w:val="00A10A59"/>
    <w:rsid w:val="00A10BBD"/>
    <w:rsid w:val="00A10D77"/>
    <w:rsid w:val="00A10FE5"/>
    <w:rsid w:val="00A110D6"/>
    <w:rsid w:val="00A11131"/>
    <w:rsid w:val="00A112F1"/>
    <w:rsid w:val="00A1176C"/>
    <w:rsid w:val="00A11C36"/>
    <w:rsid w:val="00A11DA4"/>
    <w:rsid w:val="00A11DCC"/>
    <w:rsid w:val="00A11DCD"/>
    <w:rsid w:val="00A11F65"/>
    <w:rsid w:val="00A11FA4"/>
    <w:rsid w:val="00A125A6"/>
    <w:rsid w:val="00A126E8"/>
    <w:rsid w:val="00A1270F"/>
    <w:rsid w:val="00A1271C"/>
    <w:rsid w:val="00A128D0"/>
    <w:rsid w:val="00A12A48"/>
    <w:rsid w:val="00A12BDC"/>
    <w:rsid w:val="00A12C85"/>
    <w:rsid w:val="00A12C9D"/>
    <w:rsid w:val="00A12E82"/>
    <w:rsid w:val="00A12F34"/>
    <w:rsid w:val="00A1304E"/>
    <w:rsid w:val="00A13460"/>
    <w:rsid w:val="00A1357F"/>
    <w:rsid w:val="00A13898"/>
    <w:rsid w:val="00A13AB6"/>
    <w:rsid w:val="00A13F1B"/>
    <w:rsid w:val="00A141E0"/>
    <w:rsid w:val="00A147E5"/>
    <w:rsid w:val="00A14E49"/>
    <w:rsid w:val="00A150D9"/>
    <w:rsid w:val="00A15260"/>
    <w:rsid w:val="00A1587B"/>
    <w:rsid w:val="00A158C0"/>
    <w:rsid w:val="00A15C5A"/>
    <w:rsid w:val="00A160A2"/>
    <w:rsid w:val="00A16529"/>
    <w:rsid w:val="00A1657C"/>
    <w:rsid w:val="00A166CE"/>
    <w:rsid w:val="00A1671C"/>
    <w:rsid w:val="00A1689C"/>
    <w:rsid w:val="00A16AE4"/>
    <w:rsid w:val="00A16DB9"/>
    <w:rsid w:val="00A17068"/>
    <w:rsid w:val="00A17178"/>
    <w:rsid w:val="00A1718D"/>
    <w:rsid w:val="00A175D7"/>
    <w:rsid w:val="00A177E6"/>
    <w:rsid w:val="00A17830"/>
    <w:rsid w:val="00A17845"/>
    <w:rsid w:val="00A17A72"/>
    <w:rsid w:val="00A17DFB"/>
    <w:rsid w:val="00A17E59"/>
    <w:rsid w:val="00A201E8"/>
    <w:rsid w:val="00A20354"/>
    <w:rsid w:val="00A205E7"/>
    <w:rsid w:val="00A20855"/>
    <w:rsid w:val="00A20947"/>
    <w:rsid w:val="00A20DB5"/>
    <w:rsid w:val="00A20E91"/>
    <w:rsid w:val="00A20E93"/>
    <w:rsid w:val="00A20FC8"/>
    <w:rsid w:val="00A212A3"/>
    <w:rsid w:val="00A215D7"/>
    <w:rsid w:val="00A21700"/>
    <w:rsid w:val="00A2198B"/>
    <w:rsid w:val="00A21BA9"/>
    <w:rsid w:val="00A21CBB"/>
    <w:rsid w:val="00A21D53"/>
    <w:rsid w:val="00A21DE3"/>
    <w:rsid w:val="00A21E3B"/>
    <w:rsid w:val="00A21E74"/>
    <w:rsid w:val="00A21ED0"/>
    <w:rsid w:val="00A21FB4"/>
    <w:rsid w:val="00A22218"/>
    <w:rsid w:val="00A22864"/>
    <w:rsid w:val="00A22D00"/>
    <w:rsid w:val="00A2326C"/>
    <w:rsid w:val="00A236D9"/>
    <w:rsid w:val="00A23B1E"/>
    <w:rsid w:val="00A2415E"/>
    <w:rsid w:val="00A24479"/>
    <w:rsid w:val="00A2470D"/>
    <w:rsid w:val="00A24A5A"/>
    <w:rsid w:val="00A24B8E"/>
    <w:rsid w:val="00A24D1D"/>
    <w:rsid w:val="00A25323"/>
    <w:rsid w:val="00A25381"/>
    <w:rsid w:val="00A25517"/>
    <w:rsid w:val="00A2557C"/>
    <w:rsid w:val="00A255B2"/>
    <w:rsid w:val="00A256B9"/>
    <w:rsid w:val="00A256FB"/>
    <w:rsid w:val="00A2587D"/>
    <w:rsid w:val="00A259CA"/>
    <w:rsid w:val="00A25A97"/>
    <w:rsid w:val="00A25C99"/>
    <w:rsid w:val="00A25CB5"/>
    <w:rsid w:val="00A25E08"/>
    <w:rsid w:val="00A260D0"/>
    <w:rsid w:val="00A264CB"/>
    <w:rsid w:val="00A26528"/>
    <w:rsid w:val="00A26C5F"/>
    <w:rsid w:val="00A26DAC"/>
    <w:rsid w:val="00A27247"/>
    <w:rsid w:val="00A27D34"/>
    <w:rsid w:val="00A27D3D"/>
    <w:rsid w:val="00A27EB1"/>
    <w:rsid w:val="00A30093"/>
    <w:rsid w:val="00A303CC"/>
    <w:rsid w:val="00A30700"/>
    <w:rsid w:val="00A3070D"/>
    <w:rsid w:val="00A31259"/>
    <w:rsid w:val="00A31934"/>
    <w:rsid w:val="00A31A2B"/>
    <w:rsid w:val="00A31A47"/>
    <w:rsid w:val="00A31C8F"/>
    <w:rsid w:val="00A32018"/>
    <w:rsid w:val="00A322FC"/>
    <w:rsid w:val="00A327AE"/>
    <w:rsid w:val="00A3286A"/>
    <w:rsid w:val="00A32AE0"/>
    <w:rsid w:val="00A32BA3"/>
    <w:rsid w:val="00A32D2F"/>
    <w:rsid w:val="00A32E98"/>
    <w:rsid w:val="00A330AB"/>
    <w:rsid w:val="00A333E2"/>
    <w:rsid w:val="00A33A0A"/>
    <w:rsid w:val="00A33B57"/>
    <w:rsid w:val="00A33C87"/>
    <w:rsid w:val="00A33D73"/>
    <w:rsid w:val="00A33EC4"/>
    <w:rsid w:val="00A34000"/>
    <w:rsid w:val="00A34574"/>
    <w:rsid w:val="00A346A0"/>
    <w:rsid w:val="00A34A47"/>
    <w:rsid w:val="00A34AB7"/>
    <w:rsid w:val="00A34C03"/>
    <w:rsid w:val="00A34F76"/>
    <w:rsid w:val="00A3530F"/>
    <w:rsid w:val="00A3546C"/>
    <w:rsid w:val="00A35505"/>
    <w:rsid w:val="00A358FD"/>
    <w:rsid w:val="00A35957"/>
    <w:rsid w:val="00A359F7"/>
    <w:rsid w:val="00A35C21"/>
    <w:rsid w:val="00A35E60"/>
    <w:rsid w:val="00A35F44"/>
    <w:rsid w:val="00A36282"/>
    <w:rsid w:val="00A36AF4"/>
    <w:rsid w:val="00A36B5F"/>
    <w:rsid w:val="00A36CD6"/>
    <w:rsid w:val="00A36D0D"/>
    <w:rsid w:val="00A36E45"/>
    <w:rsid w:val="00A36EA8"/>
    <w:rsid w:val="00A37207"/>
    <w:rsid w:val="00A37367"/>
    <w:rsid w:val="00A373DF"/>
    <w:rsid w:val="00A374AA"/>
    <w:rsid w:val="00A3755E"/>
    <w:rsid w:val="00A375D7"/>
    <w:rsid w:val="00A37711"/>
    <w:rsid w:val="00A37787"/>
    <w:rsid w:val="00A378A3"/>
    <w:rsid w:val="00A378FF"/>
    <w:rsid w:val="00A37912"/>
    <w:rsid w:val="00A37C17"/>
    <w:rsid w:val="00A37D08"/>
    <w:rsid w:val="00A37DCF"/>
    <w:rsid w:val="00A4003F"/>
    <w:rsid w:val="00A40324"/>
    <w:rsid w:val="00A4049D"/>
    <w:rsid w:val="00A405F5"/>
    <w:rsid w:val="00A407D0"/>
    <w:rsid w:val="00A407EA"/>
    <w:rsid w:val="00A40B3A"/>
    <w:rsid w:val="00A40D99"/>
    <w:rsid w:val="00A40E4B"/>
    <w:rsid w:val="00A40FC4"/>
    <w:rsid w:val="00A4217F"/>
    <w:rsid w:val="00A4232A"/>
    <w:rsid w:val="00A42455"/>
    <w:rsid w:val="00A42489"/>
    <w:rsid w:val="00A42A94"/>
    <w:rsid w:val="00A42B41"/>
    <w:rsid w:val="00A42CD5"/>
    <w:rsid w:val="00A42F1A"/>
    <w:rsid w:val="00A434ED"/>
    <w:rsid w:val="00A43677"/>
    <w:rsid w:val="00A4387E"/>
    <w:rsid w:val="00A440EA"/>
    <w:rsid w:val="00A4422F"/>
    <w:rsid w:val="00A44345"/>
    <w:rsid w:val="00A444F0"/>
    <w:rsid w:val="00A44746"/>
    <w:rsid w:val="00A448D5"/>
    <w:rsid w:val="00A4494D"/>
    <w:rsid w:val="00A44E03"/>
    <w:rsid w:val="00A44E4B"/>
    <w:rsid w:val="00A44F47"/>
    <w:rsid w:val="00A453E3"/>
    <w:rsid w:val="00A45481"/>
    <w:rsid w:val="00A45CA0"/>
    <w:rsid w:val="00A45E3E"/>
    <w:rsid w:val="00A45EE4"/>
    <w:rsid w:val="00A46120"/>
    <w:rsid w:val="00A461A6"/>
    <w:rsid w:val="00A46495"/>
    <w:rsid w:val="00A4684B"/>
    <w:rsid w:val="00A46931"/>
    <w:rsid w:val="00A469DE"/>
    <w:rsid w:val="00A46A49"/>
    <w:rsid w:val="00A46A8E"/>
    <w:rsid w:val="00A46BB0"/>
    <w:rsid w:val="00A46D10"/>
    <w:rsid w:val="00A46E18"/>
    <w:rsid w:val="00A46E50"/>
    <w:rsid w:val="00A46E9E"/>
    <w:rsid w:val="00A46F19"/>
    <w:rsid w:val="00A4716E"/>
    <w:rsid w:val="00A4719C"/>
    <w:rsid w:val="00A4723A"/>
    <w:rsid w:val="00A47240"/>
    <w:rsid w:val="00A47368"/>
    <w:rsid w:val="00A4762A"/>
    <w:rsid w:val="00A47849"/>
    <w:rsid w:val="00A47DCF"/>
    <w:rsid w:val="00A50579"/>
    <w:rsid w:val="00A50712"/>
    <w:rsid w:val="00A508F2"/>
    <w:rsid w:val="00A50A64"/>
    <w:rsid w:val="00A50A6D"/>
    <w:rsid w:val="00A50BE4"/>
    <w:rsid w:val="00A50D5A"/>
    <w:rsid w:val="00A50E8F"/>
    <w:rsid w:val="00A51352"/>
    <w:rsid w:val="00A51636"/>
    <w:rsid w:val="00A51BE4"/>
    <w:rsid w:val="00A51DCD"/>
    <w:rsid w:val="00A51FBC"/>
    <w:rsid w:val="00A520F0"/>
    <w:rsid w:val="00A521C6"/>
    <w:rsid w:val="00A52346"/>
    <w:rsid w:val="00A527AB"/>
    <w:rsid w:val="00A52CC8"/>
    <w:rsid w:val="00A52DBF"/>
    <w:rsid w:val="00A52F5F"/>
    <w:rsid w:val="00A53650"/>
    <w:rsid w:val="00A5366D"/>
    <w:rsid w:val="00A537A3"/>
    <w:rsid w:val="00A53AB0"/>
    <w:rsid w:val="00A53AFC"/>
    <w:rsid w:val="00A53EBC"/>
    <w:rsid w:val="00A53FCD"/>
    <w:rsid w:val="00A54366"/>
    <w:rsid w:val="00A54622"/>
    <w:rsid w:val="00A547D3"/>
    <w:rsid w:val="00A5498C"/>
    <w:rsid w:val="00A54B67"/>
    <w:rsid w:val="00A54FA2"/>
    <w:rsid w:val="00A55056"/>
    <w:rsid w:val="00A55162"/>
    <w:rsid w:val="00A5537D"/>
    <w:rsid w:val="00A554D8"/>
    <w:rsid w:val="00A554FA"/>
    <w:rsid w:val="00A557CA"/>
    <w:rsid w:val="00A558AF"/>
    <w:rsid w:val="00A55903"/>
    <w:rsid w:val="00A55AA4"/>
    <w:rsid w:val="00A55D7D"/>
    <w:rsid w:val="00A55DDF"/>
    <w:rsid w:val="00A56098"/>
    <w:rsid w:val="00A561D2"/>
    <w:rsid w:val="00A562BA"/>
    <w:rsid w:val="00A5682D"/>
    <w:rsid w:val="00A56A5B"/>
    <w:rsid w:val="00A56A62"/>
    <w:rsid w:val="00A56F6B"/>
    <w:rsid w:val="00A5743B"/>
    <w:rsid w:val="00A57453"/>
    <w:rsid w:val="00A574CA"/>
    <w:rsid w:val="00A577D7"/>
    <w:rsid w:val="00A57941"/>
    <w:rsid w:val="00A57B1F"/>
    <w:rsid w:val="00A57F08"/>
    <w:rsid w:val="00A57FF1"/>
    <w:rsid w:val="00A601C7"/>
    <w:rsid w:val="00A6038E"/>
    <w:rsid w:val="00A60416"/>
    <w:rsid w:val="00A60780"/>
    <w:rsid w:val="00A60960"/>
    <w:rsid w:val="00A60A02"/>
    <w:rsid w:val="00A60DD3"/>
    <w:rsid w:val="00A60DF1"/>
    <w:rsid w:val="00A60F30"/>
    <w:rsid w:val="00A610E0"/>
    <w:rsid w:val="00A611C5"/>
    <w:rsid w:val="00A61210"/>
    <w:rsid w:val="00A61227"/>
    <w:rsid w:val="00A613F5"/>
    <w:rsid w:val="00A615C9"/>
    <w:rsid w:val="00A61865"/>
    <w:rsid w:val="00A61B6A"/>
    <w:rsid w:val="00A61BBF"/>
    <w:rsid w:val="00A61D5E"/>
    <w:rsid w:val="00A61D88"/>
    <w:rsid w:val="00A61E88"/>
    <w:rsid w:val="00A621DF"/>
    <w:rsid w:val="00A626FC"/>
    <w:rsid w:val="00A6283C"/>
    <w:rsid w:val="00A628D8"/>
    <w:rsid w:val="00A62935"/>
    <w:rsid w:val="00A62CE8"/>
    <w:rsid w:val="00A630AA"/>
    <w:rsid w:val="00A630BA"/>
    <w:rsid w:val="00A630BE"/>
    <w:rsid w:val="00A63125"/>
    <w:rsid w:val="00A63161"/>
    <w:rsid w:val="00A63282"/>
    <w:rsid w:val="00A63336"/>
    <w:rsid w:val="00A634D3"/>
    <w:rsid w:val="00A635C6"/>
    <w:rsid w:val="00A63A61"/>
    <w:rsid w:val="00A63C30"/>
    <w:rsid w:val="00A6413B"/>
    <w:rsid w:val="00A646A3"/>
    <w:rsid w:val="00A64D5F"/>
    <w:rsid w:val="00A64FA2"/>
    <w:rsid w:val="00A65210"/>
    <w:rsid w:val="00A652B8"/>
    <w:rsid w:val="00A6550B"/>
    <w:rsid w:val="00A656E1"/>
    <w:rsid w:val="00A65D6B"/>
    <w:rsid w:val="00A65E36"/>
    <w:rsid w:val="00A66507"/>
    <w:rsid w:val="00A667DE"/>
    <w:rsid w:val="00A66B23"/>
    <w:rsid w:val="00A66D34"/>
    <w:rsid w:val="00A66DBD"/>
    <w:rsid w:val="00A66F14"/>
    <w:rsid w:val="00A66F3C"/>
    <w:rsid w:val="00A67301"/>
    <w:rsid w:val="00A67370"/>
    <w:rsid w:val="00A67452"/>
    <w:rsid w:val="00A67B41"/>
    <w:rsid w:val="00A67D95"/>
    <w:rsid w:val="00A67FF1"/>
    <w:rsid w:val="00A700BE"/>
    <w:rsid w:val="00A702DD"/>
    <w:rsid w:val="00A704CE"/>
    <w:rsid w:val="00A70597"/>
    <w:rsid w:val="00A70B76"/>
    <w:rsid w:val="00A70BD1"/>
    <w:rsid w:val="00A70C88"/>
    <w:rsid w:val="00A70CAD"/>
    <w:rsid w:val="00A712C0"/>
    <w:rsid w:val="00A71401"/>
    <w:rsid w:val="00A71451"/>
    <w:rsid w:val="00A715DF"/>
    <w:rsid w:val="00A719FE"/>
    <w:rsid w:val="00A71B18"/>
    <w:rsid w:val="00A71C26"/>
    <w:rsid w:val="00A71CF8"/>
    <w:rsid w:val="00A71E92"/>
    <w:rsid w:val="00A71EF6"/>
    <w:rsid w:val="00A724E3"/>
    <w:rsid w:val="00A72629"/>
    <w:rsid w:val="00A72748"/>
    <w:rsid w:val="00A72CE2"/>
    <w:rsid w:val="00A72D2D"/>
    <w:rsid w:val="00A72FDF"/>
    <w:rsid w:val="00A730E8"/>
    <w:rsid w:val="00A731D1"/>
    <w:rsid w:val="00A734DC"/>
    <w:rsid w:val="00A738D1"/>
    <w:rsid w:val="00A73990"/>
    <w:rsid w:val="00A73D16"/>
    <w:rsid w:val="00A73E39"/>
    <w:rsid w:val="00A73EDF"/>
    <w:rsid w:val="00A7419F"/>
    <w:rsid w:val="00A74387"/>
    <w:rsid w:val="00A74531"/>
    <w:rsid w:val="00A7467F"/>
    <w:rsid w:val="00A7481E"/>
    <w:rsid w:val="00A74D5D"/>
    <w:rsid w:val="00A74E1A"/>
    <w:rsid w:val="00A752FF"/>
    <w:rsid w:val="00A75A5C"/>
    <w:rsid w:val="00A75DEC"/>
    <w:rsid w:val="00A75E32"/>
    <w:rsid w:val="00A75E74"/>
    <w:rsid w:val="00A76045"/>
    <w:rsid w:val="00A764FF"/>
    <w:rsid w:val="00A76519"/>
    <w:rsid w:val="00A7674B"/>
    <w:rsid w:val="00A769CE"/>
    <w:rsid w:val="00A76ACE"/>
    <w:rsid w:val="00A76BA2"/>
    <w:rsid w:val="00A77149"/>
    <w:rsid w:val="00A7721D"/>
    <w:rsid w:val="00A774F5"/>
    <w:rsid w:val="00A77598"/>
    <w:rsid w:val="00A775AA"/>
    <w:rsid w:val="00A77E5D"/>
    <w:rsid w:val="00A77E61"/>
    <w:rsid w:val="00A77FA6"/>
    <w:rsid w:val="00A801AA"/>
    <w:rsid w:val="00A8070A"/>
    <w:rsid w:val="00A8071D"/>
    <w:rsid w:val="00A80E9C"/>
    <w:rsid w:val="00A81338"/>
    <w:rsid w:val="00A81352"/>
    <w:rsid w:val="00A8145D"/>
    <w:rsid w:val="00A81835"/>
    <w:rsid w:val="00A8193E"/>
    <w:rsid w:val="00A81D67"/>
    <w:rsid w:val="00A820AB"/>
    <w:rsid w:val="00A82418"/>
    <w:rsid w:val="00A824EF"/>
    <w:rsid w:val="00A82789"/>
    <w:rsid w:val="00A82B40"/>
    <w:rsid w:val="00A833B7"/>
    <w:rsid w:val="00A8350F"/>
    <w:rsid w:val="00A83550"/>
    <w:rsid w:val="00A835EC"/>
    <w:rsid w:val="00A83704"/>
    <w:rsid w:val="00A83F48"/>
    <w:rsid w:val="00A83F87"/>
    <w:rsid w:val="00A840E1"/>
    <w:rsid w:val="00A846C8"/>
    <w:rsid w:val="00A8496C"/>
    <w:rsid w:val="00A84A0B"/>
    <w:rsid w:val="00A84A1D"/>
    <w:rsid w:val="00A84CA4"/>
    <w:rsid w:val="00A84E58"/>
    <w:rsid w:val="00A851BA"/>
    <w:rsid w:val="00A853EA"/>
    <w:rsid w:val="00A857A3"/>
    <w:rsid w:val="00A859D7"/>
    <w:rsid w:val="00A85BDE"/>
    <w:rsid w:val="00A85E8F"/>
    <w:rsid w:val="00A861DE"/>
    <w:rsid w:val="00A86983"/>
    <w:rsid w:val="00A86B58"/>
    <w:rsid w:val="00A86F68"/>
    <w:rsid w:val="00A87073"/>
    <w:rsid w:val="00A8772E"/>
    <w:rsid w:val="00A879E4"/>
    <w:rsid w:val="00A87A99"/>
    <w:rsid w:val="00A87AAC"/>
    <w:rsid w:val="00A87EB9"/>
    <w:rsid w:val="00A87F43"/>
    <w:rsid w:val="00A9038B"/>
    <w:rsid w:val="00A9049F"/>
    <w:rsid w:val="00A904A7"/>
    <w:rsid w:val="00A904C5"/>
    <w:rsid w:val="00A908D3"/>
    <w:rsid w:val="00A90D1D"/>
    <w:rsid w:val="00A90FED"/>
    <w:rsid w:val="00A91223"/>
    <w:rsid w:val="00A91252"/>
    <w:rsid w:val="00A91587"/>
    <w:rsid w:val="00A9171B"/>
    <w:rsid w:val="00A91F77"/>
    <w:rsid w:val="00A9252A"/>
    <w:rsid w:val="00A928CB"/>
    <w:rsid w:val="00A92AF6"/>
    <w:rsid w:val="00A92DCD"/>
    <w:rsid w:val="00A92E83"/>
    <w:rsid w:val="00A9305B"/>
    <w:rsid w:val="00A93320"/>
    <w:rsid w:val="00A9333B"/>
    <w:rsid w:val="00A9354F"/>
    <w:rsid w:val="00A937C5"/>
    <w:rsid w:val="00A93EA6"/>
    <w:rsid w:val="00A943BF"/>
    <w:rsid w:val="00A9446D"/>
    <w:rsid w:val="00A9484E"/>
    <w:rsid w:val="00A94AF5"/>
    <w:rsid w:val="00A95020"/>
    <w:rsid w:val="00A9512A"/>
    <w:rsid w:val="00A954A2"/>
    <w:rsid w:val="00A955BF"/>
    <w:rsid w:val="00A95959"/>
    <w:rsid w:val="00A95B80"/>
    <w:rsid w:val="00A95F2B"/>
    <w:rsid w:val="00A95F36"/>
    <w:rsid w:val="00A96044"/>
    <w:rsid w:val="00A96322"/>
    <w:rsid w:val="00A96465"/>
    <w:rsid w:val="00A96474"/>
    <w:rsid w:val="00A96519"/>
    <w:rsid w:val="00A96547"/>
    <w:rsid w:val="00A9657C"/>
    <w:rsid w:val="00A96789"/>
    <w:rsid w:val="00A96798"/>
    <w:rsid w:val="00A96933"/>
    <w:rsid w:val="00A96CF8"/>
    <w:rsid w:val="00A9703F"/>
    <w:rsid w:val="00A97588"/>
    <w:rsid w:val="00A977AA"/>
    <w:rsid w:val="00A97915"/>
    <w:rsid w:val="00A97A3E"/>
    <w:rsid w:val="00A97AB1"/>
    <w:rsid w:val="00A97CF3"/>
    <w:rsid w:val="00A97FB2"/>
    <w:rsid w:val="00AA0163"/>
    <w:rsid w:val="00AA04A2"/>
    <w:rsid w:val="00AA053C"/>
    <w:rsid w:val="00AA0601"/>
    <w:rsid w:val="00AA0A88"/>
    <w:rsid w:val="00AA0BBC"/>
    <w:rsid w:val="00AA0DF4"/>
    <w:rsid w:val="00AA101A"/>
    <w:rsid w:val="00AA12F8"/>
    <w:rsid w:val="00AA13CB"/>
    <w:rsid w:val="00AA13D0"/>
    <w:rsid w:val="00AA152E"/>
    <w:rsid w:val="00AA17BF"/>
    <w:rsid w:val="00AA17CD"/>
    <w:rsid w:val="00AA1B30"/>
    <w:rsid w:val="00AA1C29"/>
    <w:rsid w:val="00AA20DD"/>
    <w:rsid w:val="00AA2166"/>
    <w:rsid w:val="00AA2880"/>
    <w:rsid w:val="00AA2911"/>
    <w:rsid w:val="00AA2CF5"/>
    <w:rsid w:val="00AA2D1A"/>
    <w:rsid w:val="00AA355B"/>
    <w:rsid w:val="00AA361A"/>
    <w:rsid w:val="00AA3FD2"/>
    <w:rsid w:val="00AA4213"/>
    <w:rsid w:val="00AA4241"/>
    <w:rsid w:val="00AA4325"/>
    <w:rsid w:val="00AA43A8"/>
    <w:rsid w:val="00AA47D5"/>
    <w:rsid w:val="00AA4979"/>
    <w:rsid w:val="00AA4AC6"/>
    <w:rsid w:val="00AA4DC8"/>
    <w:rsid w:val="00AA4E1C"/>
    <w:rsid w:val="00AA4E21"/>
    <w:rsid w:val="00AA529A"/>
    <w:rsid w:val="00AA533B"/>
    <w:rsid w:val="00AA549F"/>
    <w:rsid w:val="00AA596B"/>
    <w:rsid w:val="00AA5CB8"/>
    <w:rsid w:val="00AA61AE"/>
    <w:rsid w:val="00AA634A"/>
    <w:rsid w:val="00AA649B"/>
    <w:rsid w:val="00AA6583"/>
    <w:rsid w:val="00AA65DB"/>
    <w:rsid w:val="00AA671D"/>
    <w:rsid w:val="00AA6759"/>
    <w:rsid w:val="00AA68A2"/>
    <w:rsid w:val="00AA6944"/>
    <w:rsid w:val="00AA6A4A"/>
    <w:rsid w:val="00AA6A82"/>
    <w:rsid w:val="00AA7066"/>
    <w:rsid w:val="00AA71FE"/>
    <w:rsid w:val="00AA7308"/>
    <w:rsid w:val="00AA760B"/>
    <w:rsid w:val="00AA7AA5"/>
    <w:rsid w:val="00AA7E28"/>
    <w:rsid w:val="00AA7F97"/>
    <w:rsid w:val="00AA7FD1"/>
    <w:rsid w:val="00AB00C3"/>
    <w:rsid w:val="00AB00EA"/>
    <w:rsid w:val="00AB011E"/>
    <w:rsid w:val="00AB0268"/>
    <w:rsid w:val="00AB02BB"/>
    <w:rsid w:val="00AB06A2"/>
    <w:rsid w:val="00AB0C5B"/>
    <w:rsid w:val="00AB1660"/>
    <w:rsid w:val="00AB1956"/>
    <w:rsid w:val="00AB19DB"/>
    <w:rsid w:val="00AB1B1A"/>
    <w:rsid w:val="00AB1B91"/>
    <w:rsid w:val="00AB1D27"/>
    <w:rsid w:val="00AB1F60"/>
    <w:rsid w:val="00AB218D"/>
    <w:rsid w:val="00AB2429"/>
    <w:rsid w:val="00AB26EB"/>
    <w:rsid w:val="00AB2763"/>
    <w:rsid w:val="00AB285C"/>
    <w:rsid w:val="00AB28C6"/>
    <w:rsid w:val="00AB3431"/>
    <w:rsid w:val="00AB34AD"/>
    <w:rsid w:val="00AB36EB"/>
    <w:rsid w:val="00AB3F61"/>
    <w:rsid w:val="00AB41E1"/>
    <w:rsid w:val="00AB4845"/>
    <w:rsid w:val="00AB4A44"/>
    <w:rsid w:val="00AB4B09"/>
    <w:rsid w:val="00AB4BCE"/>
    <w:rsid w:val="00AB4DA4"/>
    <w:rsid w:val="00AB4E83"/>
    <w:rsid w:val="00AB5020"/>
    <w:rsid w:val="00AB50BF"/>
    <w:rsid w:val="00AB5280"/>
    <w:rsid w:val="00AB5644"/>
    <w:rsid w:val="00AB597B"/>
    <w:rsid w:val="00AB5D3E"/>
    <w:rsid w:val="00AB626B"/>
    <w:rsid w:val="00AB65A8"/>
    <w:rsid w:val="00AB668B"/>
    <w:rsid w:val="00AB6804"/>
    <w:rsid w:val="00AB696A"/>
    <w:rsid w:val="00AB6A75"/>
    <w:rsid w:val="00AB6B55"/>
    <w:rsid w:val="00AB6E8A"/>
    <w:rsid w:val="00AB6EDF"/>
    <w:rsid w:val="00AB7002"/>
    <w:rsid w:val="00AB703F"/>
    <w:rsid w:val="00AB74B6"/>
    <w:rsid w:val="00AB7757"/>
    <w:rsid w:val="00AB79AC"/>
    <w:rsid w:val="00AB7D92"/>
    <w:rsid w:val="00AB7F7B"/>
    <w:rsid w:val="00AC03C9"/>
    <w:rsid w:val="00AC0564"/>
    <w:rsid w:val="00AC0E1F"/>
    <w:rsid w:val="00AC15D0"/>
    <w:rsid w:val="00AC1625"/>
    <w:rsid w:val="00AC165E"/>
    <w:rsid w:val="00AC19FC"/>
    <w:rsid w:val="00AC1BFF"/>
    <w:rsid w:val="00AC1F88"/>
    <w:rsid w:val="00AC2065"/>
    <w:rsid w:val="00AC2287"/>
    <w:rsid w:val="00AC2320"/>
    <w:rsid w:val="00AC24A2"/>
    <w:rsid w:val="00AC27F3"/>
    <w:rsid w:val="00AC2A80"/>
    <w:rsid w:val="00AC2C9A"/>
    <w:rsid w:val="00AC2DB3"/>
    <w:rsid w:val="00AC2F5F"/>
    <w:rsid w:val="00AC3018"/>
    <w:rsid w:val="00AC36EE"/>
    <w:rsid w:val="00AC3869"/>
    <w:rsid w:val="00AC393D"/>
    <w:rsid w:val="00AC4206"/>
    <w:rsid w:val="00AC434A"/>
    <w:rsid w:val="00AC49A3"/>
    <w:rsid w:val="00AC4BCD"/>
    <w:rsid w:val="00AC4E46"/>
    <w:rsid w:val="00AC4F9D"/>
    <w:rsid w:val="00AC51AD"/>
    <w:rsid w:val="00AC5977"/>
    <w:rsid w:val="00AC5F0A"/>
    <w:rsid w:val="00AC616B"/>
    <w:rsid w:val="00AC62E1"/>
    <w:rsid w:val="00AC651C"/>
    <w:rsid w:val="00AC65E0"/>
    <w:rsid w:val="00AC6AD1"/>
    <w:rsid w:val="00AC6F37"/>
    <w:rsid w:val="00AC70DE"/>
    <w:rsid w:val="00AC711A"/>
    <w:rsid w:val="00AC7436"/>
    <w:rsid w:val="00AC7901"/>
    <w:rsid w:val="00AC797D"/>
    <w:rsid w:val="00AC79A8"/>
    <w:rsid w:val="00AC7A0F"/>
    <w:rsid w:val="00AC7A78"/>
    <w:rsid w:val="00AC7B1E"/>
    <w:rsid w:val="00AC7C94"/>
    <w:rsid w:val="00AC7DFF"/>
    <w:rsid w:val="00AC7FF6"/>
    <w:rsid w:val="00AD0122"/>
    <w:rsid w:val="00AD026E"/>
    <w:rsid w:val="00AD0BCE"/>
    <w:rsid w:val="00AD0CBD"/>
    <w:rsid w:val="00AD10D5"/>
    <w:rsid w:val="00AD146C"/>
    <w:rsid w:val="00AD1801"/>
    <w:rsid w:val="00AD1945"/>
    <w:rsid w:val="00AD1983"/>
    <w:rsid w:val="00AD1A15"/>
    <w:rsid w:val="00AD1E5B"/>
    <w:rsid w:val="00AD1F3A"/>
    <w:rsid w:val="00AD2378"/>
    <w:rsid w:val="00AD27FA"/>
    <w:rsid w:val="00AD2F3F"/>
    <w:rsid w:val="00AD326A"/>
    <w:rsid w:val="00AD3590"/>
    <w:rsid w:val="00AD38E4"/>
    <w:rsid w:val="00AD3938"/>
    <w:rsid w:val="00AD39B8"/>
    <w:rsid w:val="00AD3AE5"/>
    <w:rsid w:val="00AD3B6B"/>
    <w:rsid w:val="00AD3C39"/>
    <w:rsid w:val="00AD3F59"/>
    <w:rsid w:val="00AD4074"/>
    <w:rsid w:val="00AD40C2"/>
    <w:rsid w:val="00AD4889"/>
    <w:rsid w:val="00AD48DC"/>
    <w:rsid w:val="00AD4B5C"/>
    <w:rsid w:val="00AD4B8E"/>
    <w:rsid w:val="00AD4D26"/>
    <w:rsid w:val="00AD4EC0"/>
    <w:rsid w:val="00AD4F04"/>
    <w:rsid w:val="00AD50B3"/>
    <w:rsid w:val="00AD5353"/>
    <w:rsid w:val="00AD53F1"/>
    <w:rsid w:val="00AD548C"/>
    <w:rsid w:val="00AD57EC"/>
    <w:rsid w:val="00AD59B2"/>
    <w:rsid w:val="00AD59D5"/>
    <w:rsid w:val="00AD5B33"/>
    <w:rsid w:val="00AD6055"/>
    <w:rsid w:val="00AD6182"/>
    <w:rsid w:val="00AD62E6"/>
    <w:rsid w:val="00AD6AFE"/>
    <w:rsid w:val="00AD6BAD"/>
    <w:rsid w:val="00AD6C14"/>
    <w:rsid w:val="00AD6D1F"/>
    <w:rsid w:val="00AD7132"/>
    <w:rsid w:val="00AD7199"/>
    <w:rsid w:val="00AD7246"/>
    <w:rsid w:val="00AD724D"/>
    <w:rsid w:val="00AD7398"/>
    <w:rsid w:val="00AD7B71"/>
    <w:rsid w:val="00AD7C04"/>
    <w:rsid w:val="00AD7C5A"/>
    <w:rsid w:val="00AD7E1F"/>
    <w:rsid w:val="00AD7F44"/>
    <w:rsid w:val="00AE01CA"/>
    <w:rsid w:val="00AE0334"/>
    <w:rsid w:val="00AE0685"/>
    <w:rsid w:val="00AE06FE"/>
    <w:rsid w:val="00AE08A4"/>
    <w:rsid w:val="00AE0924"/>
    <w:rsid w:val="00AE0EBF"/>
    <w:rsid w:val="00AE0F0C"/>
    <w:rsid w:val="00AE103C"/>
    <w:rsid w:val="00AE10E5"/>
    <w:rsid w:val="00AE11F1"/>
    <w:rsid w:val="00AE1596"/>
    <w:rsid w:val="00AE183D"/>
    <w:rsid w:val="00AE1866"/>
    <w:rsid w:val="00AE18EF"/>
    <w:rsid w:val="00AE192F"/>
    <w:rsid w:val="00AE1F1D"/>
    <w:rsid w:val="00AE21DA"/>
    <w:rsid w:val="00AE236F"/>
    <w:rsid w:val="00AE2537"/>
    <w:rsid w:val="00AE255E"/>
    <w:rsid w:val="00AE25E9"/>
    <w:rsid w:val="00AE2F0B"/>
    <w:rsid w:val="00AE2F56"/>
    <w:rsid w:val="00AE31FE"/>
    <w:rsid w:val="00AE384E"/>
    <w:rsid w:val="00AE3971"/>
    <w:rsid w:val="00AE3A64"/>
    <w:rsid w:val="00AE3B49"/>
    <w:rsid w:val="00AE3C5B"/>
    <w:rsid w:val="00AE3CDB"/>
    <w:rsid w:val="00AE3D5B"/>
    <w:rsid w:val="00AE4145"/>
    <w:rsid w:val="00AE433D"/>
    <w:rsid w:val="00AE4399"/>
    <w:rsid w:val="00AE44AD"/>
    <w:rsid w:val="00AE466D"/>
    <w:rsid w:val="00AE5020"/>
    <w:rsid w:val="00AE52FA"/>
    <w:rsid w:val="00AE599F"/>
    <w:rsid w:val="00AE5A64"/>
    <w:rsid w:val="00AE5C39"/>
    <w:rsid w:val="00AE5C77"/>
    <w:rsid w:val="00AE5E3F"/>
    <w:rsid w:val="00AE65C7"/>
    <w:rsid w:val="00AE6732"/>
    <w:rsid w:val="00AE68DB"/>
    <w:rsid w:val="00AE6B86"/>
    <w:rsid w:val="00AE6BF6"/>
    <w:rsid w:val="00AE6F13"/>
    <w:rsid w:val="00AE7420"/>
    <w:rsid w:val="00AE7594"/>
    <w:rsid w:val="00AE7CF7"/>
    <w:rsid w:val="00AF008D"/>
    <w:rsid w:val="00AF02C4"/>
    <w:rsid w:val="00AF0304"/>
    <w:rsid w:val="00AF06CD"/>
    <w:rsid w:val="00AF0802"/>
    <w:rsid w:val="00AF0F32"/>
    <w:rsid w:val="00AF15C8"/>
    <w:rsid w:val="00AF1D05"/>
    <w:rsid w:val="00AF2052"/>
    <w:rsid w:val="00AF2168"/>
    <w:rsid w:val="00AF223C"/>
    <w:rsid w:val="00AF242D"/>
    <w:rsid w:val="00AF2459"/>
    <w:rsid w:val="00AF2854"/>
    <w:rsid w:val="00AF2B2A"/>
    <w:rsid w:val="00AF2BD8"/>
    <w:rsid w:val="00AF2F58"/>
    <w:rsid w:val="00AF3778"/>
    <w:rsid w:val="00AF3823"/>
    <w:rsid w:val="00AF38D3"/>
    <w:rsid w:val="00AF39E9"/>
    <w:rsid w:val="00AF3B39"/>
    <w:rsid w:val="00AF4068"/>
    <w:rsid w:val="00AF41D4"/>
    <w:rsid w:val="00AF43E0"/>
    <w:rsid w:val="00AF4435"/>
    <w:rsid w:val="00AF450C"/>
    <w:rsid w:val="00AF49C2"/>
    <w:rsid w:val="00AF4AAF"/>
    <w:rsid w:val="00AF4C86"/>
    <w:rsid w:val="00AF4D24"/>
    <w:rsid w:val="00AF4F20"/>
    <w:rsid w:val="00AF520A"/>
    <w:rsid w:val="00AF52B1"/>
    <w:rsid w:val="00AF56E7"/>
    <w:rsid w:val="00AF5748"/>
    <w:rsid w:val="00AF5979"/>
    <w:rsid w:val="00AF59B7"/>
    <w:rsid w:val="00AF5C73"/>
    <w:rsid w:val="00AF610B"/>
    <w:rsid w:val="00AF6348"/>
    <w:rsid w:val="00AF6783"/>
    <w:rsid w:val="00AF67E4"/>
    <w:rsid w:val="00AF6909"/>
    <w:rsid w:val="00AF6974"/>
    <w:rsid w:val="00AF6B11"/>
    <w:rsid w:val="00AF6CF7"/>
    <w:rsid w:val="00AF6D85"/>
    <w:rsid w:val="00AF6D91"/>
    <w:rsid w:val="00AF6DD4"/>
    <w:rsid w:val="00AF6FC3"/>
    <w:rsid w:val="00AF7002"/>
    <w:rsid w:val="00AF7458"/>
    <w:rsid w:val="00AF76B6"/>
    <w:rsid w:val="00AF780D"/>
    <w:rsid w:val="00AF7881"/>
    <w:rsid w:val="00AF7DD3"/>
    <w:rsid w:val="00B001CA"/>
    <w:rsid w:val="00B00565"/>
    <w:rsid w:val="00B00618"/>
    <w:rsid w:val="00B0063E"/>
    <w:rsid w:val="00B00A04"/>
    <w:rsid w:val="00B00A73"/>
    <w:rsid w:val="00B00CCB"/>
    <w:rsid w:val="00B01057"/>
    <w:rsid w:val="00B01224"/>
    <w:rsid w:val="00B018AA"/>
    <w:rsid w:val="00B018D7"/>
    <w:rsid w:val="00B01F2E"/>
    <w:rsid w:val="00B0214F"/>
    <w:rsid w:val="00B0219F"/>
    <w:rsid w:val="00B0247A"/>
    <w:rsid w:val="00B02806"/>
    <w:rsid w:val="00B029E1"/>
    <w:rsid w:val="00B02AA6"/>
    <w:rsid w:val="00B03069"/>
    <w:rsid w:val="00B03288"/>
    <w:rsid w:val="00B032E7"/>
    <w:rsid w:val="00B034C5"/>
    <w:rsid w:val="00B03589"/>
    <w:rsid w:val="00B03878"/>
    <w:rsid w:val="00B04341"/>
    <w:rsid w:val="00B04344"/>
    <w:rsid w:val="00B0454A"/>
    <w:rsid w:val="00B04741"/>
    <w:rsid w:val="00B0478D"/>
    <w:rsid w:val="00B047D0"/>
    <w:rsid w:val="00B04D7A"/>
    <w:rsid w:val="00B0516B"/>
    <w:rsid w:val="00B0527D"/>
    <w:rsid w:val="00B056F2"/>
    <w:rsid w:val="00B05830"/>
    <w:rsid w:val="00B05AEC"/>
    <w:rsid w:val="00B05C41"/>
    <w:rsid w:val="00B060FC"/>
    <w:rsid w:val="00B0646D"/>
    <w:rsid w:val="00B064B5"/>
    <w:rsid w:val="00B065A7"/>
    <w:rsid w:val="00B06802"/>
    <w:rsid w:val="00B071BA"/>
    <w:rsid w:val="00B0729B"/>
    <w:rsid w:val="00B0744F"/>
    <w:rsid w:val="00B074FE"/>
    <w:rsid w:val="00B075AF"/>
    <w:rsid w:val="00B075C1"/>
    <w:rsid w:val="00B077D3"/>
    <w:rsid w:val="00B07837"/>
    <w:rsid w:val="00B07E01"/>
    <w:rsid w:val="00B07F29"/>
    <w:rsid w:val="00B10155"/>
    <w:rsid w:val="00B1021F"/>
    <w:rsid w:val="00B104DD"/>
    <w:rsid w:val="00B1069F"/>
    <w:rsid w:val="00B10AD1"/>
    <w:rsid w:val="00B10B47"/>
    <w:rsid w:val="00B10C01"/>
    <w:rsid w:val="00B110C8"/>
    <w:rsid w:val="00B113DE"/>
    <w:rsid w:val="00B11753"/>
    <w:rsid w:val="00B1176B"/>
    <w:rsid w:val="00B118C6"/>
    <w:rsid w:val="00B118F5"/>
    <w:rsid w:val="00B119E0"/>
    <w:rsid w:val="00B11A13"/>
    <w:rsid w:val="00B11AF0"/>
    <w:rsid w:val="00B11F71"/>
    <w:rsid w:val="00B1217C"/>
    <w:rsid w:val="00B1223A"/>
    <w:rsid w:val="00B1236C"/>
    <w:rsid w:val="00B124A6"/>
    <w:rsid w:val="00B12781"/>
    <w:rsid w:val="00B12A8D"/>
    <w:rsid w:val="00B12C3F"/>
    <w:rsid w:val="00B13904"/>
    <w:rsid w:val="00B139B8"/>
    <w:rsid w:val="00B13CEA"/>
    <w:rsid w:val="00B13E5F"/>
    <w:rsid w:val="00B13F9C"/>
    <w:rsid w:val="00B14666"/>
    <w:rsid w:val="00B14A0A"/>
    <w:rsid w:val="00B14C64"/>
    <w:rsid w:val="00B14E1C"/>
    <w:rsid w:val="00B14F8C"/>
    <w:rsid w:val="00B1539F"/>
    <w:rsid w:val="00B15589"/>
    <w:rsid w:val="00B156E2"/>
    <w:rsid w:val="00B1571D"/>
    <w:rsid w:val="00B15923"/>
    <w:rsid w:val="00B15998"/>
    <w:rsid w:val="00B15C56"/>
    <w:rsid w:val="00B15E63"/>
    <w:rsid w:val="00B15E68"/>
    <w:rsid w:val="00B15F3A"/>
    <w:rsid w:val="00B15F7A"/>
    <w:rsid w:val="00B160DD"/>
    <w:rsid w:val="00B16148"/>
    <w:rsid w:val="00B16239"/>
    <w:rsid w:val="00B162B7"/>
    <w:rsid w:val="00B16492"/>
    <w:rsid w:val="00B164CC"/>
    <w:rsid w:val="00B169BA"/>
    <w:rsid w:val="00B16A5F"/>
    <w:rsid w:val="00B16C14"/>
    <w:rsid w:val="00B171EC"/>
    <w:rsid w:val="00B17333"/>
    <w:rsid w:val="00B17425"/>
    <w:rsid w:val="00B17681"/>
    <w:rsid w:val="00B17AC0"/>
    <w:rsid w:val="00B17D4C"/>
    <w:rsid w:val="00B17EEC"/>
    <w:rsid w:val="00B20C21"/>
    <w:rsid w:val="00B217AB"/>
    <w:rsid w:val="00B21ABC"/>
    <w:rsid w:val="00B21E06"/>
    <w:rsid w:val="00B21EAE"/>
    <w:rsid w:val="00B21F8B"/>
    <w:rsid w:val="00B22224"/>
    <w:rsid w:val="00B222A0"/>
    <w:rsid w:val="00B2233D"/>
    <w:rsid w:val="00B22382"/>
    <w:rsid w:val="00B22412"/>
    <w:rsid w:val="00B228CF"/>
    <w:rsid w:val="00B22E14"/>
    <w:rsid w:val="00B22FE2"/>
    <w:rsid w:val="00B2304E"/>
    <w:rsid w:val="00B23256"/>
    <w:rsid w:val="00B2366C"/>
    <w:rsid w:val="00B2388C"/>
    <w:rsid w:val="00B2389B"/>
    <w:rsid w:val="00B23B3E"/>
    <w:rsid w:val="00B23BD5"/>
    <w:rsid w:val="00B23CB0"/>
    <w:rsid w:val="00B23D4D"/>
    <w:rsid w:val="00B23E9D"/>
    <w:rsid w:val="00B2433D"/>
    <w:rsid w:val="00B24AAA"/>
    <w:rsid w:val="00B24ABB"/>
    <w:rsid w:val="00B24E89"/>
    <w:rsid w:val="00B250EF"/>
    <w:rsid w:val="00B25DDC"/>
    <w:rsid w:val="00B25E09"/>
    <w:rsid w:val="00B25F14"/>
    <w:rsid w:val="00B261EC"/>
    <w:rsid w:val="00B261F4"/>
    <w:rsid w:val="00B26295"/>
    <w:rsid w:val="00B2630F"/>
    <w:rsid w:val="00B263FD"/>
    <w:rsid w:val="00B268C6"/>
    <w:rsid w:val="00B26967"/>
    <w:rsid w:val="00B2697E"/>
    <w:rsid w:val="00B272BA"/>
    <w:rsid w:val="00B2743B"/>
    <w:rsid w:val="00B276E9"/>
    <w:rsid w:val="00B27820"/>
    <w:rsid w:val="00B2786A"/>
    <w:rsid w:val="00B27A77"/>
    <w:rsid w:val="00B27C41"/>
    <w:rsid w:val="00B27E5F"/>
    <w:rsid w:val="00B27EF4"/>
    <w:rsid w:val="00B30463"/>
    <w:rsid w:val="00B30BF1"/>
    <w:rsid w:val="00B30D74"/>
    <w:rsid w:val="00B30D88"/>
    <w:rsid w:val="00B30E39"/>
    <w:rsid w:val="00B30ED7"/>
    <w:rsid w:val="00B310BC"/>
    <w:rsid w:val="00B3118F"/>
    <w:rsid w:val="00B314E6"/>
    <w:rsid w:val="00B315D0"/>
    <w:rsid w:val="00B31954"/>
    <w:rsid w:val="00B3288A"/>
    <w:rsid w:val="00B32948"/>
    <w:rsid w:val="00B329F6"/>
    <w:rsid w:val="00B32F18"/>
    <w:rsid w:val="00B32F74"/>
    <w:rsid w:val="00B332D3"/>
    <w:rsid w:val="00B33605"/>
    <w:rsid w:val="00B336F9"/>
    <w:rsid w:val="00B33740"/>
    <w:rsid w:val="00B338D3"/>
    <w:rsid w:val="00B33912"/>
    <w:rsid w:val="00B33B24"/>
    <w:rsid w:val="00B33B8E"/>
    <w:rsid w:val="00B33C1F"/>
    <w:rsid w:val="00B33CC2"/>
    <w:rsid w:val="00B33FBE"/>
    <w:rsid w:val="00B34040"/>
    <w:rsid w:val="00B348CC"/>
    <w:rsid w:val="00B34C0D"/>
    <w:rsid w:val="00B34F83"/>
    <w:rsid w:val="00B35377"/>
    <w:rsid w:val="00B35387"/>
    <w:rsid w:val="00B3554F"/>
    <w:rsid w:val="00B35579"/>
    <w:rsid w:val="00B35DF1"/>
    <w:rsid w:val="00B35E3C"/>
    <w:rsid w:val="00B35EC0"/>
    <w:rsid w:val="00B35EEF"/>
    <w:rsid w:val="00B3676C"/>
    <w:rsid w:val="00B367B0"/>
    <w:rsid w:val="00B36A42"/>
    <w:rsid w:val="00B36C89"/>
    <w:rsid w:val="00B36D20"/>
    <w:rsid w:val="00B36E2D"/>
    <w:rsid w:val="00B37529"/>
    <w:rsid w:val="00B37653"/>
    <w:rsid w:val="00B37856"/>
    <w:rsid w:val="00B37ADE"/>
    <w:rsid w:val="00B37C07"/>
    <w:rsid w:val="00B37F6B"/>
    <w:rsid w:val="00B400BC"/>
    <w:rsid w:val="00B402D7"/>
    <w:rsid w:val="00B40A9F"/>
    <w:rsid w:val="00B40CCB"/>
    <w:rsid w:val="00B40CE0"/>
    <w:rsid w:val="00B40F9A"/>
    <w:rsid w:val="00B411B7"/>
    <w:rsid w:val="00B4145E"/>
    <w:rsid w:val="00B41823"/>
    <w:rsid w:val="00B41923"/>
    <w:rsid w:val="00B41D4E"/>
    <w:rsid w:val="00B42293"/>
    <w:rsid w:val="00B42496"/>
    <w:rsid w:val="00B424F1"/>
    <w:rsid w:val="00B42672"/>
    <w:rsid w:val="00B429EC"/>
    <w:rsid w:val="00B42A74"/>
    <w:rsid w:val="00B42D1E"/>
    <w:rsid w:val="00B42E6A"/>
    <w:rsid w:val="00B43143"/>
    <w:rsid w:val="00B43709"/>
    <w:rsid w:val="00B43AB4"/>
    <w:rsid w:val="00B4428C"/>
    <w:rsid w:val="00B44A46"/>
    <w:rsid w:val="00B44C4F"/>
    <w:rsid w:val="00B44CCB"/>
    <w:rsid w:val="00B44E46"/>
    <w:rsid w:val="00B44F5A"/>
    <w:rsid w:val="00B450BA"/>
    <w:rsid w:val="00B45618"/>
    <w:rsid w:val="00B45D28"/>
    <w:rsid w:val="00B45FF3"/>
    <w:rsid w:val="00B460A5"/>
    <w:rsid w:val="00B46726"/>
    <w:rsid w:val="00B4676A"/>
    <w:rsid w:val="00B46FD0"/>
    <w:rsid w:val="00B47005"/>
    <w:rsid w:val="00B47C6F"/>
    <w:rsid w:val="00B47FB7"/>
    <w:rsid w:val="00B5034E"/>
    <w:rsid w:val="00B51042"/>
    <w:rsid w:val="00B51125"/>
    <w:rsid w:val="00B51287"/>
    <w:rsid w:val="00B51332"/>
    <w:rsid w:val="00B51576"/>
    <w:rsid w:val="00B51616"/>
    <w:rsid w:val="00B518DB"/>
    <w:rsid w:val="00B5212F"/>
    <w:rsid w:val="00B527B7"/>
    <w:rsid w:val="00B52936"/>
    <w:rsid w:val="00B52A5D"/>
    <w:rsid w:val="00B52C70"/>
    <w:rsid w:val="00B52F42"/>
    <w:rsid w:val="00B52FFE"/>
    <w:rsid w:val="00B532FC"/>
    <w:rsid w:val="00B53CF8"/>
    <w:rsid w:val="00B53EC8"/>
    <w:rsid w:val="00B53FFA"/>
    <w:rsid w:val="00B5451D"/>
    <w:rsid w:val="00B546CA"/>
    <w:rsid w:val="00B5480C"/>
    <w:rsid w:val="00B54813"/>
    <w:rsid w:val="00B548A9"/>
    <w:rsid w:val="00B54C76"/>
    <w:rsid w:val="00B54D70"/>
    <w:rsid w:val="00B5505A"/>
    <w:rsid w:val="00B55421"/>
    <w:rsid w:val="00B5542A"/>
    <w:rsid w:val="00B556B7"/>
    <w:rsid w:val="00B55B37"/>
    <w:rsid w:val="00B55C7F"/>
    <w:rsid w:val="00B55F82"/>
    <w:rsid w:val="00B5644D"/>
    <w:rsid w:val="00B56532"/>
    <w:rsid w:val="00B5654A"/>
    <w:rsid w:val="00B56639"/>
    <w:rsid w:val="00B567E2"/>
    <w:rsid w:val="00B567F2"/>
    <w:rsid w:val="00B5686A"/>
    <w:rsid w:val="00B5692C"/>
    <w:rsid w:val="00B56EA9"/>
    <w:rsid w:val="00B56F0D"/>
    <w:rsid w:val="00B5720C"/>
    <w:rsid w:val="00B5739A"/>
    <w:rsid w:val="00B57677"/>
    <w:rsid w:val="00B57C29"/>
    <w:rsid w:val="00B57CF5"/>
    <w:rsid w:val="00B57E89"/>
    <w:rsid w:val="00B57F5C"/>
    <w:rsid w:val="00B57FD3"/>
    <w:rsid w:val="00B6048F"/>
    <w:rsid w:val="00B604FF"/>
    <w:rsid w:val="00B606C9"/>
    <w:rsid w:val="00B606F3"/>
    <w:rsid w:val="00B60894"/>
    <w:rsid w:val="00B60998"/>
    <w:rsid w:val="00B60CDC"/>
    <w:rsid w:val="00B60D25"/>
    <w:rsid w:val="00B60E74"/>
    <w:rsid w:val="00B60F2F"/>
    <w:rsid w:val="00B60F3C"/>
    <w:rsid w:val="00B60FD3"/>
    <w:rsid w:val="00B610FB"/>
    <w:rsid w:val="00B61CBF"/>
    <w:rsid w:val="00B61DAF"/>
    <w:rsid w:val="00B625CB"/>
    <w:rsid w:val="00B6278D"/>
    <w:rsid w:val="00B62BC0"/>
    <w:rsid w:val="00B62C07"/>
    <w:rsid w:val="00B62EE9"/>
    <w:rsid w:val="00B62F28"/>
    <w:rsid w:val="00B63C30"/>
    <w:rsid w:val="00B640FF"/>
    <w:rsid w:val="00B64133"/>
    <w:rsid w:val="00B641C6"/>
    <w:rsid w:val="00B6472B"/>
    <w:rsid w:val="00B64BC4"/>
    <w:rsid w:val="00B64C62"/>
    <w:rsid w:val="00B64EAC"/>
    <w:rsid w:val="00B64F00"/>
    <w:rsid w:val="00B64F61"/>
    <w:rsid w:val="00B6524A"/>
    <w:rsid w:val="00B6530A"/>
    <w:rsid w:val="00B6546A"/>
    <w:rsid w:val="00B6576D"/>
    <w:rsid w:val="00B65801"/>
    <w:rsid w:val="00B6595B"/>
    <w:rsid w:val="00B65C8E"/>
    <w:rsid w:val="00B65E8E"/>
    <w:rsid w:val="00B66088"/>
    <w:rsid w:val="00B66309"/>
    <w:rsid w:val="00B6667F"/>
    <w:rsid w:val="00B66929"/>
    <w:rsid w:val="00B66B07"/>
    <w:rsid w:val="00B66CAF"/>
    <w:rsid w:val="00B66D7F"/>
    <w:rsid w:val="00B67114"/>
    <w:rsid w:val="00B67182"/>
    <w:rsid w:val="00B674C3"/>
    <w:rsid w:val="00B6761E"/>
    <w:rsid w:val="00B676D1"/>
    <w:rsid w:val="00B677A9"/>
    <w:rsid w:val="00B677C0"/>
    <w:rsid w:val="00B67D1A"/>
    <w:rsid w:val="00B67DAB"/>
    <w:rsid w:val="00B67EE0"/>
    <w:rsid w:val="00B67FA8"/>
    <w:rsid w:val="00B70406"/>
    <w:rsid w:val="00B7047A"/>
    <w:rsid w:val="00B70699"/>
    <w:rsid w:val="00B7079B"/>
    <w:rsid w:val="00B70AFD"/>
    <w:rsid w:val="00B71327"/>
    <w:rsid w:val="00B7159A"/>
    <w:rsid w:val="00B71F62"/>
    <w:rsid w:val="00B71F7E"/>
    <w:rsid w:val="00B71F9F"/>
    <w:rsid w:val="00B71FA2"/>
    <w:rsid w:val="00B72135"/>
    <w:rsid w:val="00B7272E"/>
    <w:rsid w:val="00B72774"/>
    <w:rsid w:val="00B72797"/>
    <w:rsid w:val="00B72816"/>
    <w:rsid w:val="00B72AB4"/>
    <w:rsid w:val="00B72AD7"/>
    <w:rsid w:val="00B72C79"/>
    <w:rsid w:val="00B72E34"/>
    <w:rsid w:val="00B72F84"/>
    <w:rsid w:val="00B730C3"/>
    <w:rsid w:val="00B73495"/>
    <w:rsid w:val="00B736EA"/>
    <w:rsid w:val="00B7382E"/>
    <w:rsid w:val="00B73C5A"/>
    <w:rsid w:val="00B73C87"/>
    <w:rsid w:val="00B73D78"/>
    <w:rsid w:val="00B73EAC"/>
    <w:rsid w:val="00B7424F"/>
    <w:rsid w:val="00B74319"/>
    <w:rsid w:val="00B743F1"/>
    <w:rsid w:val="00B7472B"/>
    <w:rsid w:val="00B749FE"/>
    <w:rsid w:val="00B74A6B"/>
    <w:rsid w:val="00B74C22"/>
    <w:rsid w:val="00B74C44"/>
    <w:rsid w:val="00B74C66"/>
    <w:rsid w:val="00B74D03"/>
    <w:rsid w:val="00B74D14"/>
    <w:rsid w:val="00B75267"/>
    <w:rsid w:val="00B75AD2"/>
    <w:rsid w:val="00B75D5B"/>
    <w:rsid w:val="00B75F3A"/>
    <w:rsid w:val="00B75FEF"/>
    <w:rsid w:val="00B764B6"/>
    <w:rsid w:val="00B76601"/>
    <w:rsid w:val="00B76AA4"/>
    <w:rsid w:val="00B76AEE"/>
    <w:rsid w:val="00B76DD9"/>
    <w:rsid w:val="00B7713A"/>
    <w:rsid w:val="00B771B3"/>
    <w:rsid w:val="00B77674"/>
    <w:rsid w:val="00B77C54"/>
    <w:rsid w:val="00B80686"/>
    <w:rsid w:val="00B807D6"/>
    <w:rsid w:val="00B80DA7"/>
    <w:rsid w:val="00B80E68"/>
    <w:rsid w:val="00B80E70"/>
    <w:rsid w:val="00B80E7D"/>
    <w:rsid w:val="00B81344"/>
    <w:rsid w:val="00B813AA"/>
    <w:rsid w:val="00B8140B"/>
    <w:rsid w:val="00B81478"/>
    <w:rsid w:val="00B8164E"/>
    <w:rsid w:val="00B817C0"/>
    <w:rsid w:val="00B81AE9"/>
    <w:rsid w:val="00B820D4"/>
    <w:rsid w:val="00B825B1"/>
    <w:rsid w:val="00B825E2"/>
    <w:rsid w:val="00B826AD"/>
    <w:rsid w:val="00B82768"/>
    <w:rsid w:val="00B82A08"/>
    <w:rsid w:val="00B82BBE"/>
    <w:rsid w:val="00B82E04"/>
    <w:rsid w:val="00B82E26"/>
    <w:rsid w:val="00B82E53"/>
    <w:rsid w:val="00B835FD"/>
    <w:rsid w:val="00B83ADA"/>
    <w:rsid w:val="00B83BA1"/>
    <w:rsid w:val="00B83F83"/>
    <w:rsid w:val="00B840A4"/>
    <w:rsid w:val="00B84162"/>
    <w:rsid w:val="00B841E3"/>
    <w:rsid w:val="00B842F1"/>
    <w:rsid w:val="00B84357"/>
    <w:rsid w:val="00B843B2"/>
    <w:rsid w:val="00B843FB"/>
    <w:rsid w:val="00B84476"/>
    <w:rsid w:val="00B845B6"/>
    <w:rsid w:val="00B84FCC"/>
    <w:rsid w:val="00B85035"/>
    <w:rsid w:val="00B85085"/>
    <w:rsid w:val="00B85501"/>
    <w:rsid w:val="00B859DD"/>
    <w:rsid w:val="00B85BD7"/>
    <w:rsid w:val="00B85D52"/>
    <w:rsid w:val="00B85D7F"/>
    <w:rsid w:val="00B85FB5"/>
    <w:rsid w:val="00B8684D"/>
    <w:rsid w:val="00B86872"/>
    <w:rsid w:val="00B86934"/>
    <w:rsid w:val="00B86A9A"/>
    <w:rsid w:val="00B86B9C"/>
    <w:rsid w:val="00B87134"/>
    <w:rsid w:val="00B87264"/>
    <w:rsid w:val="00B87374"/>
    <w:rsid w:val="00B873F2"/>
    <w:rsid w:val="00B87BAF"/>
    <w:rsid w:val="00B87D36"/>
    <w:rsid w:val="00B90261"/>
    <w:rsid w:val="00B90389"/>
    <w:rsid w:val="00B90403"/>
    <w:rsid w:val="00B904ED"/>
    <w:rsid w:val="00B905F1"/>
    <w:rsid w:val="00B90A4F"/>
    <w:rsid w:val="00B90FB1"/>
    <w:rsid w:val="00B910BF"/>
    <w:rsid w:val="00B911A4"/>
    <w:rsid w:val="00B913C2"/>
    <w:rsid w:val="00B913C4"/>
    <w:rsid w:val="00B914B5"/>
    <w:rsid w:val="00B9150E"/>
    <w:rsid w:val="00B91ABC"/>
    <w:rsid w:val="00B91B49"/>
    <w:rsid w:val="00B91F61"/>
    <w:rsid w:val="00B9229A"/>
    <w:rsid w:val="00B92415"/>
    <w:rsid w:val="00B92AFB"/>
    <w:rsid w:val="00B92E03"/>
    <w:rsid w:val="00B92E22"/>
    <w:rsid w:val="00B93698"/>
    <w:rsid w:val="00B939EE"/>
    <w:rsid w:val="00B93A5A"/>
    <w:rsid w:val="00B93AE0"/>
    <w:rsid w:val="00B93BA1"/>
    <w:rsid w:val="00B93DBB"/>
    <w:rsid w:val="00B93DDB"/>
    <w:rsid w:val="00B93F9E"/>
    <w:rsid w:val="00B94212"/>
    <w:rsid w:val="00B94359"/>
    <w:rsid w:val="00B944E0"/>
    <w:rsid w:val="00B946A4"/>
    <w:rsid w:val="00B948C5"/>
    <w:rsid w:val="00B94A55"/>
    <w:rsid w:val="00B94A69"/>
    <w:rsid w:val="00B94F54"/>
    <w:rsid w:val="00B94FD0"/>
    <w:rsid w:val="00B956E8"/>
    <w:rsid w:val="00B95715"/>
    <w:rsid w:val="00B95775"/>
    <w:rsid w:val="00B95B35"/>
    <w:rsid w:val="00B95BE2"/>
    <w:rsid w:val="00B95C5E"/>
    <w:rsid w:val="00B96048"/>
    <w:rsid w:val="00B963F4"/>
    <w:rsid w:val="00B9649F"/>
    <w:rsid w:val="00B96684"/>
    <w:rsid w:val="00B96F01"/>
    <w:rsid w:val="00B97051"/>
    <w:rsid w:val="00B97055"/>
    <w:rsid w:val="00B97160"/>
    <w:rsid w:val="00B975E7"/>
    <w:rsid w:val="00B97619"/>
    <w:rsid w:val="00B9777E"/>
    <w:rsid w:val="00B97AD9"/>
    <w:rsid w:val="00B97CEF"/>
    <w:rsid w:val="00B97DB5"/>
    <w:rsid w:val="00B97F5A"/>
    <w:rsid w:val="00BA03CB"/>
    <w:rsid w:val="00BA05F5"/>
    <w:rsid w:val="00BA06A3"/>
    <w:rsid w:val="00BA09E8"/>
    <w:rsid w:val="00BA0B58"/>
    <w:rsid w:val="00BA0BE6"/>
    <w:rsid w:val="00BA0C18"/>
    <w:rsid w:val="00BA0EB4"/>
    <w:rsid w:val="00BA102B"/>
    <w:rsid w:val="00BA1048"/>
    <w:rsid w:val="00BA10A7"/>
    <w:rsid w:val="00BA112A"/>
    <w:rsid w:val="00BA13A4"/>
    <w:rsid w:val="00BA1569"/>
    <w:rsid w:val="00BA1659"/>
    <w:rsid w:val="00BA186D"/>
    <w:rsid w:val="00BA18E9"/>
    <w:rsid w:val="00BA236F"/>
    <w:rsid w:val="00BA247E"/>
    <w:rsid w:val="00BA275B"/>
    <w:rsid w:val="00BA27E6"/>
    <w:rsid w:val="00BA283B"/>
    <w:rsid w:val="00BA2B86"/>
    <w:rsid w:val="00BA3295"/>
    <w:rsid w:val="00BA32FC"/>
    <w:rsid w:val="00BA3780"/>
    <w:rsid w:val="00BA38CC"/>
    <w:rsid w:val="00BA3A80"/>
    <w:rsid w:val="00BA3C52"/>
    <w:rsid w:val="00BA3DAD"/>
    <w:rsid w:val="00BA3F26"/>
    <w:rsid w:val="00BA40A8"/>
    <w:rsid w:val="00BA433E"/>
    <w:rsid w:val="00BA44E9"/>
    <w:rsid w:val="00BA4553"/>
    <w:rsid w:val="00BA46EE"/>
    <w:rsid w:val="00BA4928"/>
    <w:rsid w:val="00BA4CC8"/>
    <w:rsid w:val="00BA4DAD"/>
    <w:rsid w:val="00BA4DF8"/>
    <w:rsid w:val="00BA4EEF"/>
    <w:rsid w:val="00BA4F70"/>
    <w:rsid w:val="00BA500B"/>
    <w:rsid w:val="00BA5108"/>
    <w:rsid w:val="00BA5190"/>
    <w:rsid w:val="00BA5FFC"/>
    <w:rsid w:val="00BA6493"/>
    <w:rsid w:val="00BA6838"/>
    <w:rsid w:val="00BA6B28"/>
    <w:rsid w:val="00BA6CDA"/>
    <w:rsid w:val="00BA6EAF"/>
    <w:rsid w:val="00BA729B"/>
    <w:rsid w:val="00BA7423"/>
    <w:rsid w:val="00BA76D4"/>
    <w:rsid w:val="00BA7D5B"/>
    <w:rsid w:val="00BA7E01"/>
    <w:rsid w:val="00BB00DC"/>
    <w:rsid w:val="00BB04E4"/>
    <w:rsid w:val="00BB0EEB"/>
    <w:rsid w:val="00BB10C8"/>
    <w:rsid w:val="00BB1252"/>
    <w:rsid w:val="00BB1319"/>
    <w:rsid w:val="00BB1A34"/>
    <w:rsid w:val="00BB2316"/>
    <w:rsid w:val="00BB2585"/>
    <w:rsid w:val="00BB25B8"/>
    <w:rsid w:val="00BB2869"/>
    <w:rsid w:val="00BB298E"/>
    <w:rsid w:val="00BB2A13"/>
    <w:rsid w:val="00BB2CB7"/>
    <w:rsid w:val="00BB3216"/>
    <w:rsid w:val="00BB32BC"/>
    <w:rsid w:val="00BB3558"/>
    <w:rsid w:val="00BB35EC"/>
    <w:rsid w:val="00BB39AA"/>
    <w:rsid w:val="00BB3A58"/>
    <w:rsid w:val="00BB3A8A"/>
    <w:rsid w:val="00BB3AFC"/>
    <w:rsid w:val="00BB3E9A"/>
    <w:rsid w:val="00BB4127"/>
    <w:rsid w:val="00BB41A7"/>
    <w:rsid w:val="00BB422C"/>
    <w:rsid w:val="00BB43F4"/>
    <w:rsid w:val="00BB44E0"/>
    <w:rsid w:val="00BB4BE0"/>
    <w:rsid w:val="00BB4C73"/>
    <w:rsid w:val="00BB4F01"/>
    <w:rsid w:val="00BB4FB7"/>
    <w:rsid w:val="00BB50D3"/>
    <w:rsid w:val="00BB50E3"/>
    <w:rsid w:val="00BB51A3"/>
    <w:rsid w:val="00BB5229"/>
    <w:rsid w:val="00BB54D6"/>
    <w:rsid w:val="00BB5B87"/>
    <w:rsid w:val="00BB5B92"/>
    <w:rsid w:val="00BB5D2E"/>
    <w:rsid w:val="00BB5E53"/>
    <w:rsid w:val="00BB6014"/>
    <w:rsid w:val="00BB60CB"/>
    <w:rsid w:val="00BB61F9"/>
    <w:rsid w:val="00BB621A"/>
    <w:rsid w:val="00BB6822"/>
    <w:rsid w:val="00BB6A92"/>
    <w:rsid w:val="00BB6DEA"/>
    <w:rsid w:val="00BB6E7C"/>
    <w:rsid w:val="00BB6E99"/>
    <w:rsid w:val="00BB6F72"/>
    <w:rsid w:val="00BB7114"/>
    <w:rsid w:val="00BB747B"/>
    <w:rsid w:val="00BB7558"/>
    <w:rsid w:val="00BB7924"/>
    <w:rsid w:val="00BB7A9A"/>
    <w:rsid w:val="00BB7FC9"/>
    <w:rsid w:val="00BC039D"/>
    <w:rsid w:val="00BC0432"/>
    <w:rsid w:val="00BC08C9"/>
    <w:rsid w:val="00BC09C2"/>
    <w:rsid w:val="00BC0AF5"/>
    <w:rsid w:val="00BC0EAF"/>
    <w:rsid w:val="00BC0EFD"/>
    <w:rsid w:val="00BC1181"/>
    <w:rsid w:val="00BC123C"/>
    <w:rsid w:val="00BC137E"/>
    <w:rsid w:val="00BC16BB"/>
    <w:rsid w:val="00BC1BD9"/>
    <w:rsid w:val="00BC1CDA"/>
    <w:rsid w:val="00BC215C"/>
    <w:rsid w:val="00BC2199"/>
    <w:rsid w:val="00BC28FA"/>
    <w:rsid w:val="00BC2B7C"/>
    <w:rsid w:val="00BC2C90"/>
    <w:rsid w:val="00BC2D98"/>
    <w:rsid w:val="00BC2EE5"/>
    <w:rsid w:val="00BC2EFA"/>
    <w:rsid w:val="00BC2FBD"/>
    <w:rsid w:val="00BC3032"/>
    <w:rsid w:val="00BC315D"/>
    <w:rsid w:val="00BC31DF"/>
    <w:rsid w:val="00BC325B"/>
    <w:rsid w:val="00BC3314"/>
    <w:rsid w:val="00BC3C8F"/>
    <w:rsid w:val="00BC3FA7"/>
    <w:rsid w:val="00BC4014"/>
    <w:rsid w:val="00BC46E5"/>
    <w:rsid w:val="00BC491A"/>
    <w:rsid w:val="00BC4C3E"/>
    <w:rsid w:val="00BC4CDC"/>
    <w:rsid w:val="00BC4DD4"/>
    <w:rsid w:val="00BC4F23"/>
    <w:rsid w:val="00BC50BA"/>
    <w:rsid w:val="00BC5351"/>
    <w:rsid w:val="00BC545D"/>
    <w:rsid w:val="00BC5660"/>
    <w:rsid w:val="00BC5802"/>
    <w:rsid w:val="00BC5AC5"/>
    <w:rsid w:val="00BC5B52"/>
    <w:rsid w:val="00BC5E7E"/>
    <w:rsid w:val="00BC6877"/>
    <w:rsid w:val="00BC6A69"/>
    <w:rsid w:val="00BC6C59"/>
    <w:rsid w:val="00BC71F5"/>
    <w:rsid w:val="00BC7286"/>
    <w:rsid w:val="00BC7296"/>
    <w:rsid w:val="00BC74C1"/>
    <w:rsid w:val="00BC7C9D"/>
    <w:rsid w:val="00BD0044"/>
    <w:rsid w:val="00BD048D"/>
    <w:rsid w:val="00BD09B4"/>
    <w:rsid w:val="00BD12F8"/>
    <w:rsid w:val="00BD13B9"/>
    <w:rsid w:val="00BD14E9"/>
    <w:rsid w:val="00BD15E9"/>
    <w:rsid w:val="00BD15F4"/>
    <w:rsid w:val="00BD1731"/>
    <w:rsid w:val="00BD19B1"/>
    <w:rsid w:val="00BD19DB"/>
    <w:rsid w:val="00BD1D77"/>
    <w:rsid w:val="00BD20FE"/>
    <w:rsid w:val="00BD2511"/>
    <w:rsid w:val="00BD2581"/>
    <w:rsid w:val="00BD269A"/>
    <w:rsid w:val="00BD27C6"/>
    <w:rsid w:val="00BD296F"/>
    <w:rsid w:val="00BD2CEA"/>
    <w:rsid w:val="00BD2FBC"/>
    <w:rsid w:val="00BD305D"/>
    <w:rsid w:val="00BD32EF"/>
    <w:rsid w:val="00BD337D"/>
    <w:rsid w:val="00BD37B9"/>
    <w:rsid w:val="00BD38BA"/>
    <w:rsid w:val="00BD3B32"/>
    <w:rsid w:val="00BD3C59"/>
    <w:rsid w:val="00BD3CB0"/>
    <w:rsid w:val="00BD3DC2"/>
    <w:rsid w:val="00BD4119"/>
    <w:rsid w:val="00BD4726"/>
    <w:rsid w:val="00BD47AA"/>
    <w:rsid w:val="00BD49C5"/>
    <w:rsid w:val="00BD49C9"/>
    <w:rsid w:val="00BD4A78"/>
    <w:rsid w:val="00BD5071"/>
    <w:rsid w:val="00BD511E"/>
    <w:rsid w:val="00BD5686"/>
    <w:rsid w:val="00BD586B"/>
    <w:rsid w:val="00BD58F3"/>
    <w:rsid w:val="00BD592A"/>
    <w:rsid w:val="00BD59BD"/>
    <w:rsid w:val="00BD5C14"/>
    <w:rsid w:val="00BD5C2B"/>
    <w:rsid w:val="00BD5C3C"/>
    <w:rsid w:val="00BD6026"/>
    <w:rsid w:val="00BD651D"/>
    <w:rsid w:val="00BD660E"/>
    <w:rsid w:val="00BD678E"/>
    <w:rsid w:val="00BD68E0"/>
    <w:rsid w:val="00BD70DB"/>
    <w:rsid w:val="00BD736E"/>
    <w:rsid w:val="00BD74E7"/>
    <w:rsid w:val="00BD77B6"/>
    <w:rsid w:val="00BD7816"/>
    <w:rsid w:val="00BD7B7A"/>
    <w:rsid w:val="00BD7C8A"/>
    <w:rsid w:val="00BD7C9B"/>
    <w:rsid w:val="00BD7D36"/>
    <w:rsid w:val="00BE0399"/>
    <w:rsid w:val="00BE03C0"/>
    <w:rsid w:val="00BE07E6"/>
    <w:rsid w:val="00BE0B40"/>
    <w:rsid w:val="00BE0C76"/>
    <w:rsid w:val="00BE0E9F"/>
    <w:rsid w:val="00BE0EB4"/>
    <w:rsid w:val="00BE0FEE"/>
    <w:rsid w:val="00BE1020"/>
    <w:rsid w:val="00BE1055"/>
    <w:rsid w:val="00BE10D1"/>
    <w:rsid w:val="00BE1272"/>
    <w:rsid w:val="00BE128F"/>
    <w:rsid w:val="00BE14AD"/>
    <w:rsid w:val="00BE160C"/>
    <w:rsid w:val="00BE17F8"/>
    <w:rsid w:val="00BE1807"/>
    <w:rsid w:val="00BE1D0B"/>
    <w:rsid w:val="00BE1D74"/>
    <w:rsid w:val="00BE1DDF"/>
    <w:rsid w:val="00BE1FEB"/>
    <w:rsid w:val="00BE221E"/>
    <w:rsid w:val="00BE2254"/>
    <w:rsid w:val="00BE22E0"/>
    <w:rsid w:val="00BE2354"/>
    <w:rsid w:val="00BE24C4"/>
    <w:rsid w:val="00BE24E7"/>
    <w:rsid w:val="00BE26DC"/>
    <w:rsid w:val="00BE2D31"/>
    <w:rsid w:val="00BE2D7D"/>
    <w:rsid w:val="00BE3163"/>
    <w:rsid w:val="00BE36DB"/>
    <w:rsid w:val="00BE36F5"/>
    <w:rsid w:val="00BE37FA"/>
    <w:rsid w:val="00BE3816"/>
    <w:rsid w:val="00BE3911"/>
    <w:rsid w:val="00BE3C63"/>
    <w:rsid w:val="00BE3E14"/>
    <w:rsid w:val="00BE3E18"/>
    <w:rsid w:val="00BE45CA"/>
    <w:rsid w:val="00BE47B0"/>
    <w:rsid w:val="00BE4F5F"/>
    <w:rsid w:val="00BE4FA1"/>
    <w:rsid w:val="00BE5261"/>
    <w:rsid w:val="00BE52FD"/>
    <w:rsid w:val="00BE5856"/>
    <w:rsid w:val="00BE58C0"/>
    <w:rsid w:val="00BE5ADC"/>
    <w:rsid w:val="00BE5DA3"/>
    <w:rsid w:val="00BE657D"/>
    <w:rsid w:val="00BE6624"/>
    <w:rsid w:val="00BE6720"/>
    <w:rsid w:val="00BE6CB2"/>
    <w:rsid w:val="00BE70AC"/>
    <w:rsid w:val="00BE7282"/>
    <w:rsid w:val="00BE7A75"/>
    <w:rsid w:val="00BE7C29"/>
    <w:rsid w:val="00BE7D36"/>
    <w:rsid w:val="00BE7E27"/>
    <w:rsid w:val="00BF0135"/>
    <w:rsid w:val="00BF02DE"/>
    <w:rsid w:val="00BF05DA"/>
    <w:rsid w:val="00BF07AF"/>
    <w:rsid w:val="00BF0837"/>
    <w:rsid w:val="00BF0869"/>
    <w:rsid w:val="00BF098F"/>
    <w:rsid w:val="00BF0BAD"/>
    <w:rsid w:val="00BF1283"/>
    <w:rsid w:val="00BF1309"/>
    <w:rsid w:val="00BF15DC"/>
    <w:rsid w:val="00BF15F6"/>
    <w:rsid w:val="00BF1694"/>
    <w:rsid w:val="00BF1E14"/>
    <w:rsid w:val="00BF1F88"/>
    <w:rsid w:val="00BF25D6"/>
    <w:rsid w:val="00BF2CC9"/>
    <w:rsid w:val="00BF2E0F"/>
    <w:rsid w:val="00BF2FB9"/>
    <w:rsid w:val="00BF2FBC"/>
    <w:rsid w:val="00BF31C0"/>
    <w:rsid w:val="00BF3381"/>
    <w:rsid w:val="00BF3440"/>
    <w:rsid w:val="00BF34FE"/>
    <w:rsid w:val="00BF3847"/>
    <w:rsid w:val="00BF3BFA"/>
    <w:rsid w:val="00BF3C6F"/>
    <w:rsid w:val="00BF3D0E"/>
    <w:rsid w:val="00BF3F56"/>
    <w:rsid w:val="00BF3F69"/>
    <w:rsid w:val="00BF44C8"/>
    <w:rsid w:val="00BF454C"/>
    <w:rsid w:val="00BF4AEA"/>
    <w:rsid w:val="00BF4DB0"/>
    <w:rsid w:val="00BF5084"/>
    <w:rsid w:val="00BF51DA"/>
    <w:rsid w:val="00BF5214"/>
    <w:rsid w:val="00BF58A8"/>
    <w:rsid w:val="00BF65DF"/>
    <w:rsid w:val="00BF6A0C"/>
    <w:rsid w:val="00BF7244"/>
    <w:rsid w:val="00BF73BB"/>
    <w:rsid w:val="00BF73E0"/>
    <w:rsid w:val="00BF74AB"/>
    <w:rsid w:val="00BF75B5"/>
    <w:rsid w:val="00BF77B9"/>
    <w:rsid w:val="00BF79F9"/>
    <w:rsid w:val="00BF7D12"/>
    <w:rsid w:val="00C0023A"/>
    <w:rsid w:val="00C002BD"/>
    <w:rsid w:val="00C0036C"/>
    <w:rsid w:val="00C003F9"/>
    <w:rsid w:val="00C0061A"/>
    <w:rsid w:val="00C00BD4"/>
    <w:rsid w:val="00C014F5"/>
    <w:rsid w:val="00C017E5"/>
    <w:rsid w:val="00C01A32"/>
    <w:rsid w:val="00C01E62"/>
    <w:rsid w:val="00C01F36"/>
    <w:rsid w:val="00C01F4C"/>
    <w:rsid w:val="00C0262E"/>
    <w:rsid w:val="00C02822"/>
    <w:rsid w:val="00C02904"/>
    <w:rsid w:val="00C02B92"/>
    <w:rsid w:val="00C02BE9"/>
    <w:rsid w:val="00C02E71"/>
    <w:rsid w:val="00C03342"/>
    <w:rsid w:val="00C0358A"/>
    <w:rsid w:val="00C037BF"/>
    <w:rsid w:val="00C03F21"/>
    <w:rsid w:val="00C04093"/>
    <w:rsid w:val="00C040B7"/>
    <w:rsid w:val="00C043BF"/>
    <w:rsid w:val="00C04496"/>
    <w:rsid w:val="00C04669"/>
    <w:rsid w:val="00C04972"/>
    <w:rsid w:val="00C04C2B"/>
    <w:rsid w:val="00C05289"/>
    <w:rsid w:val="00C052A7"/>
    <w:rsid w:val="00C05300"/>
    <w:rsid w:val="00C0536C"/>
    <w:rsid w:val="00C05407"/>
    <w:rsid w:val="00C05473"/>
    <w:rsid w:val="00C0565F"/>
    <w:rsid w:val="00C05928"/>
    <w:rsid w:val="00C05A23"/>
    <w:rsid w:val="00C05BFE"/>
    <w:rsid w:val="00C05D50"/>
    <w:rsid w:val="00C05D72"/>
    <w:rsid w:val="00C05F13"/>
    <w:rsid w:val="00C05F39"/>
    <w:rsid w:val="00C06257"/>
    <w:rsid w:val="00C065A2"/>
    <w:rsid w:val="00C06804"/>
    <w:rsid w:val="00C068DD"/>
    <w:rsid w:val="00C06A03"/>
    <w:rsid w:val="00C06BA5"/>
    <w:rsid w:val="00C06EAB"/>
    <w:rsid w:val="00C06EAF"/>
    <w:rsid w:val="00C06F78"/>
    <w:rsid w:val="00C072F3"/>
    <w:rsid w:val="00C0737B"/>
    <w:rsid w:val="00C07792"/>
    <w:rsid w:val="00C07A73"/>
    <w:rsid w:val="00C10381"/>
    <w:rsid w:val="00C103C2"/>
    <w:rsid w:val="00C106A9"/>
    <w:rsid w:val="00C107C6"/>
    <w:rsid w:val="00C109CE"/>
    <w:rsid w:val="00C110DF"/>
    <w:rsid w:val="00C114B8"/>
    <w:rsid w:val="00C1170A"/>
    <w:rsid w:val="00C11A6D"/>
    <w:rsid w:val="00C11ACE"/>
    <w:rsid w:val="00C11B81"/>
    <w:rsid w:val="00C12150"/>
    <w:rsid w:val="00C121BD"/>
    <w:rsid w:val="00C1241C"/>
    <w:rsid w:val="00C12779"/>
    <w:rsid w:val="00C12865"/>
    <w:rsid w:val="00C128A4"/>
    <w:rsid w:val="00C128FC"/>
    <w:rsid w:val="00C12C05"/>
    <w:rsid w:val="00C12E7F"/>
    <w:rsid w:val="00C13488"/>
    <w:rsid w:val="00C135AB"/>
    <w:rsid w:val="00C1364A"/>
    <w:rsid w:val="00C136A7"/>
    <w:rsid w:val="00C139CF"/>
    <w:rsid w:val="00C13A2B"/>
    <w:rsid w:val="00C13A39"/>
    <w:rsid w:val="00C13BDB"/>
    <w:rsid w:val="00C14218"/>
    <w:rsid w:val="00C1449C"/>
    <w:rsid w:val="00C146D1"/>
    <w:rsid w:val="00C149E7"/>
    <w:rsid w:val="00C14C73"/>
    <w:rsid w:val="00C14CB8"/>
    <w:rsid w:val="00C14EFF"/>
    <w:rsid w:val="00C14F0F"/>
    <w:rsid w:val="00C14F69"/>
    <w:rsid w:val="00C1531D"/>
    <w:rsid w:val="00C1574D"/>
    <w:rsid w:val="00C15E6A"/>
    <w:rsid w:val="00C163BE"/>
    <w:rsid w:val="00C164BA"/>
    <w:rsid w:val="00C1652A"/>
    <w:rsid w:val="00C16640"/>
    <w:rsid w:val="00C16878"/>
    <w:rsid w:val="00C169FB"/>
    <w:rsid w:val="00C170F9"/>
    <w:rsid w:val="00C1730E"/>
    <w:rsid w:val="00C173D2"/>
    <w:rsid w:val="00C176D5"/>
    <w:rsid w:val="00C178A3"/>
    <w:rsid w:val="00C17A06"/>
    <w:rsid w:val="00C17A51"/>
    <w:rsid w:val="00C17B5A"/>
    <w:rsid w:val="00C17F31"/>
    <w:rsid w:val="00C20113"/>
    <w:rsid w:val="00C20163"/>
    <w:rsid w:val="00C20169"/>
    <w:rsid w:val="00C202E5"/>
    <w:rsid w:val="00C20397"/>
    <w:rsid w:val="00C203FD"/>
    <w:rsid w:val="00C204A8"/>
    <w:rsid w:val="00C205BE"/>
    <w:rsid w:val="00C2079F"/>
    <w:rsid w:val="00C20A73"/>
    <w:rsid w:val="00C20BBC"/>
    <w:rsid w:val="00C20BF8"/>
    <w:rsid w:val="00C20E4B"/>
    <w:rsid w:val="00C20F1B"/>
    <w:rsid w:val="00C211A5"/>
    <w:rsid w:val="00C211C0"/>
    <w:rsid w:val="00C21286"/>
    <w:rsid w:val="00C214C5"/>
    <w:rsid w:val="00C21603"/>
    <w:rsid w:val="00C218FF"/>
    <w:rsid w:val="00C21930"/>
    <w:rsid w:val="00C219A3"/>
    <w:rsid w:val="00C21A07"/>
    <w:rsid w:val="00C21FDA"/>
    <w:rsid w:val="00C22116"/>
    <w:rsid w:val="00C2245A"/>
    <w:rsid w:val="00C224D8"/>
    <w:rsid w:val="00C2292B"/>
    <w:rsid w:val="00C22AA2"/>
    <w:rsid w:val="00C22B89"/>
    <w:rsid w:val="00C22C00"/>
    <w:rsid w:val="00C22CD9"/>
    <w:rsid w:val="00C22E04"/>
    <w:rsid w:val="00C22E84"/>
    <w:rsid w:val="00C23578"/>
    <w:rsid w:val="00C2369D"/>
    <w:rsid w:val="00C239A3"/>
    <w:rsid w:val="00C23A14"/>
    <w:rsid w:val="00C23B2C"/>
    <w:rsid w:val="00C23FB8"/>
    <w:rsid w:val="00C2417B"/>
    <w:rsid w:val="00C241EE"/>
    <w:rsid w:val="00C24609"/>
    <w:rsid w:val="00C246A0"/>
    <w:rsid w:val="00C2475D"/>
    <w:rsid w:val="00C24799"/>
    <w:rsid w:val="00C24BB1"/>
    <w:rsid w:val="00C252E7"/>
    <w:rsid w:val="00C254FE"/>
    <w:rsid w:val="00C255EA"/>
    <w:rsid w:val="00C256DE"/>
    <w:rsid w:val="00C257F3"/>
    <w:rsid w:val="00C25AC6"/>
    <w:rsid w:val="00C25C53"/>
    <w:rsid w:val="00C25D71"/>
    <w:rsid w:val="00C26028"/>
    <w:rsid w:val="00C262F3"/>
    <w:rsid w:val="00C262FA"/>
    <w:rsid w:val="00C26A65"/>
    <w:rsid w:val="00C26D5B"/>
    <w:rsid w:val="00C26E50"/>
    <w:rsid w:val="00C26E9B"/>
    <w:rsid w:val="00C26F8E"/>
    <w:rsid w:val="00C27098"/>
    <w:rsid w:val="00C27106"/>
    <w:rsid w:val="00C27588"/>
    <w:rsid w:val="00C27883"/>
    <w:rsid w:val="00C2790C"/>
    <w:rsid w:val="00C279F6"/>
    <w:rsid w:val="00C30459"/>
    <w:rsid w:val="00C30675"/>
    <w:rsid w:val="00C3076A"/>
    <w:rsid w:val="00C30815"/>
    <w:rsid w:val="00C30848"/>
    <w:rsid w:val="00C30CF3"/>
    <w:rsid w:val="00C31195"/>
    <w:rsid w:val="00C311ED"/>
    <w:rsid w:val="00C3135D"/>
    <w:rsid w:val="00C31394"/>
    <w:rsid w:val="00C31EB3"/>
    <w:rsid w:val="00C31EC9"/>
    <w:rsid w:val="00C3204B"/>
    <w:rsid w:val="00C32253"/>
    <w:rsid w:val="00C32388"/>
    <w:rsid w:val="00C32544"/>
    <w:rsid w:val="00C326EF"/>
    <w:rsid w:val="00C33290"/>
    <w:rsid w:val="00C33456"/>
    <w:rsid w:val="00C334DC"/>
    <w:rsid w:val="00C33541"/>
    <w:rsid w:val="00C33A61"/>
    <w:rsid w:val="00C33EA4"/>
    <w:rsid w:val="00C34253"/>
    <w:rsid w:val="00C34606"/>
    <w:rsid w:val="00C3492B"/>
    <w:rsid w:val="00C34CF7"/>
    <w:rsid w:val="00C34F30"/>
    <w:rsid w:val="00C350BC"/>
    <w:rsid w:val="00C35479"/>
    <w:rsid w:val="00C35599"/>
    <w:rsid w:val="00C35602"/>
    <w:rsid w:val="00C357BA"/>
    <w:rsid w:val="00C360BC"/>
    <w:rsid w:val="00C3623A"/>
    <w:rsid w:val="00C362DE"/>
    <w:rsid w:val="00C3647D"/>
    <w:rsid w:val="00C3695C"/>
    <w:rsid w:val="00C36AEA"/>
    <w:rsid w:val="00C36C6F"/>
    <w:rsid w:val="00C36E03"/>
    <w:rsid w:val="00C36E4A"/>
    <w:rsid w:val="00C36E9B"/>
    <w:rsid w:val="00C36F0E"/>
    <w:rsid w:val="00C37472"/>
    <w:rsid w:val="00C37696"/>
    <w:rsid w:val="00C37697"/>
    <w:rsid w:val="00C37743"/>
    <w:rsid w:val="00C37CA8"/>
    <w:rsid w:val="00C37DB9"/>
    <w:rsid w:val="00C40447"/>
    <w:rsid w:val="00C40A1D"/>
    <w:rsid w:val="00C40AA2"/>
    <w:rsid w:val="00C40B98"/>
    <w:rsid w:val="00C40C4E"/>
    <w:rsid w:val="00C40E22"/>
    <w:rsid w:val="00C40F6C"/>
    <w:rsid w:val="00C4143A"/>
    <w:rsid w:val="00C4160A"/>
    <w:rsid w:val="00C416CC"/>
    <w:rsid w:val="00C420A3"/>
    <w:rsid w:val="00C422BC"/>
    <w:rsid w:val="00C426E4"/>
    <w:rsid w:val="00C427B5"/>
    <w:rsid w:val="00C42D09"/>
    <w:rsid w:val="00C42DD4"/>
    <w:rsid w:val="00C42F2E"/>
    <w:rsid w:val="00C430D5"/>
    <w:rsid w:val="00C430DD"/>
    <w:rsid w:val="00C4345A"/>
    <w:rsid w:val="00C4357E"/>
    <w:rsid w:val="00C436AB"/>
    <w:rsid w:val="00C436DE"/>
    <w:rsid w:val="00C43B1B"/>
    <w:rsid w:val="00C43CD3"/>
    <w:rsid w:val="00C43EF9"/>
    <w:rsid w:val="00C44051"/>
    <w:rsid w:val="00C442DB"/>
    <w:rsid w:val="00C44301"/>
    <w:rsid w:val="00C4438C"/>
    <w:rsid w:val="00C443A8"/>
    <w:rsid w:val="00C4453D"/>
    <w:rsid w:val="00C4497F"/>
    <w:rsid w:val="00C44B83"/>
    <w:rsid w:val="00C451AE"/>
    <w:rsid w:val="00C452AA"/>
    <w:rsid w:val="00C453E4"/>
    <w:rsid w:val="00C4556C"/>
    <w:rsid w:val="00C45573"/>
    <w:rsid w:val="00C45851"/>
    <w:rsid w:val="00C45A11"/>
    <w:rsid w:val="00C45D79"/>
    <w:rsid w:val="00C45DA5"/>
    <w:rsid w:val="00C46604"/>
    <w:rsid w:val="00C469A0"/>
    <w:rsid w:val="00C46A2F"/>
    <w:rsid w:val="00C46A41"/>
    <w:rsid w:val="00C46A66"/>
    <w:rsid w:val="00C46B2C"/>
    <w:rsid w:val="00C46DED"/>
    <w:rsid w:val="00C472FC"/>
    <w:rsid w:val="00C47451"/>
    <w:rsid w:val="00C474C7"/>
    <w:rsid w:val="00C47619"/>
    <w:rsid w:val="00C47697"/>
    <w:rsid w:val="00C4794F"/>
    <w:rsid w:val="00C479E1"/>
    <w:rsid w:val="00C47CC8"/>
    <w:rsid w:val="00C47E1E"/>
    <w:rsid w:val="00C50050"/>
    <w:rsid w:val="00C5005B"/>
    <w:rsid w:val="00C50068"/>
    <w:rsid w:val="00C501C0"/>
    <w:rsid w:val="00C50982"/>
    <w:rsid w:val="00C50E3B"/>
    <w:rsid w:val="00C513E7"/>
    <w:rsid w:val="00C5154B"/>
    <w:rsid w:val="00C518D9"/>
    <w:rsid w:val="00C51AA4"/>
    <w:rsid w:val="00C51E77"/>
    <w:rsid w:val="00C5201F"/>
    <w:rsid w:val="00C520AB"/>
    <w:rsid w:val="00C52220"/>
    <w:rsid w:val="00C52BB1"/>
    <w:rsid w:val="00C52C5B"/>
    <w:rsid w:val="00C52DDA"/>
    <w:rsid w:val="00C52EE7"/>
    <w:rsid w:val="00C52FC9"/>
    <w:rsid w:val="00C530CC"/>
    <w:rsid w:val="00C530FC"/>
    <w:rsid w:val="00C53344"/>
    <w:rsid w:val="00C535B4"/>
    <w:rsid w:val="00C535CD"/>
    <w:rsid w:val="00C537BA"/>
    <w:rsid w:val="00C53B6B"/>
    <w:rsid w:val="00C53B7D"/>
    <w:rsid w:val="00C53B86"/>
    <w:rsid w:val="00C53D4B"/>
    <w:rsid w:val="00C541C9"/>
    <w:rsid w:val="00C544E2"/>
    <w:rsid w:val="00C54904"/>
    <w:rsid w:val="00C54915"/>
    <w:rsid w:val="00C549D0"/>
    <w:rsid w:val="00C54A03"/>
    <w:rsid w:val="00C54B04"/>
    <w:rsid w:val="00C54CB3"/>
    <w:rsid w:val="00C54E9C"/>
    <w:rsid w:val="00C552AB"/>
    <w:rsid w:val="00C5552D"/>
    <w:rsid w:val="00C556C2"/>
    <w:rsid w:val="00C55799"/>
    <w:rsid w:val="00C557DB"/>
    <w:rsid w:val="00C55C0B"/>
    <w:rsid w:val="00C55F9A"/>
    <w:rsid w:val="00C55FD4"/>
    <w:rsid w:val="00C5607F"/>
    <w:rsid w:val="00C56262"/>
    <w:rsid w:val="00C565DC"/>
    <w:rsid w:val="00C5661E"/>
    <w:rsid w:val="00C567AA"/>
    <w:rsid w:val="00C56873"/>
    <w:rsid w:val="00C568F2"/>
    <w:rsid w:val="00C56B26"/>
    <w:rsid w:val="00C56C2C"/>
    <w:rsid w:val="00C56EE6"/>
    <w:rsid w:val="00C57088"/>
    <w:rsid w:val="00C571F6"/>
    <w:rsid w:val="00C575CB"/>
    <w:rsid w:val="00C57831"/>
    <w:rsid w:val="00C57D86"/>
    <w:rsid w:val="00C57DA0"/>
    <w:rsid w:val="00C57DA9"/>
    <w:rsid w:val="00C57E6F"/>
    <w:rsid w:val="00C604B0"/>
    <w:rsid w:val="00C6055E"/>
    <w:rsid w:val="00C606F7"/>
    <w:rsid w:val="00C60872"/>
    <w:rsid w:val="00C60ADD"/>
    <w:rsid w:val="00C60ECB"/>
    <w:rsid w:val="00C61068"/>
    <w:rsid w:val="00C615D5"/>
    <w:rsid w:val="00C61865"/>
    <w:rsid w:val="00C6211A"/>
    <w:rsid w:val="00C6218B"/>
    <w:rsid w:val="00C623A3"/>
    <w:rsid w:val="00C62967"/>
    <w:rsid w:val="00C63459"/>
    <w:rsid w:val="00C6346D"/>
    <w:rsid w:val="00C63806"/>
    <w:rsid w:val="00C641EE"/>
    <w:rsid w:val="00C64458"/>
    <w:rsid w:val="00C647B8"/>
    <w:rsid w:val="00C64864"/>
    <w:rsid w:val="00C64F13"/>
    <w:rsid w:val="00C65254"/>
    <w:rsid w:val="00C6525F"/>
    <w:rsid w:val="00C655F5"/>
    <w:rsid w:val="00C65773"/>
    <w:rsid w:val="00C65A68"/>
    <w:rsid w:val="00C65CE4"/>
    <w:rsid w:val="00C65F48"/>
    <w:rsid w:val="00C66028"/>
    <w:rsid w:val="00C66209"/>
    <w:rsid w:val="00C6630F"/>
    <w:rsid w:val="00C6655B"/>
    <w:rsid w:val="00C665C3"/>
    <w:rsid w:val="00C66B37"/>
    <w:rsid w:val="00C66B7D"/>
    <w:rsid w:val="00C66C0D"/>
    <w:rsid w:val="00C66CE7"/>
    <w:rsid w:val="00C66D9C"/>
    <w:rsid w:val="00C66E1B"/>
    <w:rsid w:val="00C67460"/>
    <w:rsid w:val="00C67774"/>
    <w:rsid w:val="00C679F5"/>
    <w:rsid w:val="00C67B44"/>
    <w:rsid w:val="00C67C3C"/>
    <w:rsid w:val="00C67E69"/>
    <w:rsid w:val="00C70027"/>
    <w:rsid w:val="00C701A6"/>
    <w:rsid w:val="00C701F6"/>
    <w:rsid w:val="00C703BE"/>
    <w:rsid w:val="00C70797"/>
    <w:rsid w:val="00C70B7E"/>
    <w:rsid w:val="00C70D49"/>
    <w:rsid w:val="00C70DDA"/>
    <w:rsid w:val="00C7160A"/>
    <w:rsid w:val="00C7177E"/>
    <w:rsid w:val="00C71D35"/>
    <w:rsid w:val="00C720E4"/>
    <w:rsid w:val="00C72642"/>
    <w:rsid w:val="00C72828"/>
    <w:rsid w:val="00C728CE"/>
    <w:rsid w:val="00C72CE2"/>
    <w:rsid w:val="00C72D8C"/>
    <w:rsid w:val="00C73108"/>
    <w:rsid w:val="00C73205"/>
    <w:rsid w:val="00C73870"/>
    <w:rsid w:val="00C73985"/>
    <w:rsid w:val="00C73A11"/>
    <w:rsid w:val="00C73AE8"/>
    <w:rsid w:val="00C73B98"/>
    <w:rsid w:val="00C73FDE"/>
    <w:rsid w:val="00C7415A"/>
    <w:rsid w:val="00C7433D"/>
    <w:rsid w:val="00C74370"/>
    <w:rsid w:val="00C745C3"/>
    <w:rsid w:val="00C749E3"/>
    <w:rsid w:val="00C74A62"/>
    <w:rsid w:val="00C74ACE"/>
    <w:rsid w:val="00C74B13"/>
    <w:rsid w:val="00C74FE9"/>
    <w:rsid w:val="00C75116"/>
    <w:rsid w:val="00C75520"/>
    <w:rsid w:val="00C75850"/>
    <w:rsid w:val="00C75B26"/>
    <w:rsid w:val="00C75DCF"/>
    <w:rsid w:val="00C75E66"/>
    <w:rsid w:val="00C75FF5"/>
    <w:rsid w:val="00C76007"/>
    <w:rsid w:val="00C7640F"/>
    <w:rsid w:val="00C76447"/>
    <w:rsid w:val="00C764EB"/>
    <w:rsid w:val="00C7688C"/>
    <w:rsid w:val="00C7696D"/>
    <w:rsid w:val="00C76CE4"/>
    <w:rsid w:val="00C76DAA"/>
    <w:rsid w:val="00C76DE3"/>
    <w:rsid w:val="00C76DEB"/>
    <w:rsid w:val="00C76E6A"/>
    <w:rsid w:val="00C77531"/>
    <w:rsid w:val="00C77852"/>
    <w:rsid w:val="00C779A4"/>
    <w:rsid w:val="00C77F21"/>
    <w:rsid w:val="00C77F44"/>
    <w:rsid w:val="00C8002A"/>
    <w:rsid w:val="00C8003C"/>
    <w:rsid w:val="00C80196"/>
    <w:rsid w:val="00C8099B"/>
    <w:rsid w:val="00C80AC7"/>
    <w:rsid w:val="00C80B6E"/>
    <w:rsid w:val="00C80D9B"/>
    <w:rsid w:val="00C8105A"/>
    <w:rsid w:val="00C8120E"/>
    <w:rsid w:val="00C813B9"/>
    <w:rsid w:val="00C8143F"/>
    <w:rsid w:val="00C815BB"/>
    <w:rsid w:val="00C81691"/>
    <w:rsid w:val="00C81D55"/>
    <w:rsid w:val="00C82037"/>
    <w:rsid w:val="00C82282"/>
    <w:rsid w:val="00C822BA"/>
    <w:rsid w:val="00C82413"/>
    <w:rsid w:val="00C827C0"/>
    <w:rsid w:val="00C82921"/>
    <w:rsid w:val="00C8304F"/>
    <w:rsid w:val="00C831ED"/>
    <w:rsid w:val="00C83285"/>
    <w:rsid w:val="00C8356E"/>
    <w:rsid w:val="00C83669"/>
    <w:rsid w:val="00C83739"/>
    <w:rsid w:val="00C8386F"/>
    <w:rsid w:val="00C83897"/>
    <w:rsid w:val="00C83DE2"/>
    <w:rsid w:val="00C84353"/>
    <w:rsid w:val="00C845A8"/>
    <w:rsid w:val="00C845C3"/>
    <w:rsid w:val="00C84769"/>
    <w:rsid w:val="00C848ED"/>
    <w:rsid w:val="00C84C42"/>
    <w:rsid w:val="00C84D18"/>
    <w:rsid w:val="00C85063"/>
    <w:rsid w:val="00C8557F"/>
    <w:rsid w:val="00C8597D"/>
    <w:rsid w:val="00C859E3"/>
    <w:rsid w:val="00C85B7D"/>
    <w:rsid w:val="00C85DA2"/>
    <w:rsid w:val="00C85F11"/>
    <w:rsid w:val="00C8600F"/>
    <w:rsid w:val="00C86337"/>
    <w:rsid w:val="00C86424"/>
    <w:rsid w:val="00C86857"/>
    <w:rsid w:val="00C86DDC"/>
    <w:rsid w:val="00C86E81"/>
    <w:rsid w:val="00C87137"/>
    <w:rsid w:val="00C87760"/>
    <w:rsid w:val="00C878AE"/>
    <w:rsid w:val="00C878CA"/>
    <w:rsid w:val="00C87A6D"/>
    <w:rsid w:val="00C87F58"/>
    <w:rsid w:val="00C90038"/>
    <w:rsid w:val="00C9005E"/>
    <w:rsid w:val="00C90339"/>
    <w:rsid w:val="00C905EA"/>
    <w:rsid w:val="00C907C7"/>
    <w:rsid w:val="00C908B7"/>
    <w:rsid w:val="00C909B4"/>
    <w:rsid w:val="00C909E8"/>
    <w:rsid w:val="00C90C90"/>
    <w:rsid w:val="00C90C96"/>
    <w:rsid w:val="00C91213"/>
    <w:rsid w:val="00C91570"/>
    <w:rsid w:val="00C91639"/>
    <w:rsid w:val="00C91807"/>
    <w:rsid w:val="00C918E6"/>
    <w:rsid w:val="00C91A72"/>
    <w:rsid w:val="00C91AA1"/>
    <w:rsid w:val="00C91C59"/>
    <w:rsid w:val="00C91E48"/>
    <w:rsid w:val="00C92172"/>
    <w:rsid w:val="00C92588"/>
    <w:rsid w:val="00C92694"/>
    <w:rsid w:val="00C926EE"/>
    <w:rsid w:val="00C92B28"/>
    <w:rsid w:val="00C92BE4"/>
    <w:rsid w:val="00C92C74"/>
    <w:rsid w:val="00C92E94"/>
    <w:rsid w:val="00C92FDF"/>
    <w:rsid w:val="00C9301B"/>
    <w:rsid w:val="00C93561"/>
    <w:rsid w:val="00C9369E"/>
    <w:rsid w:val="00C936D8"/>
    <w:rsid w:val="00C93D08"/>
    <w:rsid w:val="00C93D8A"/>
    <w:rsid w:val="00C93E89"/>
    <w:rsid w:val="00C93E8A"/>
    <w:rsid w:val="00C93FA4"/>
    <w:rsid w:val="00C94006"/>
    <w:rsid w:val="00C942EF"/>
    <w:rsid w:val="00C945E5"/>
    <w:rsid w:val="00C94828"/>
    <w:rsid w:val="00C94859"/>
    <w:rsid w:val="00C94860"/>
    <w:rsid w:val="00C94BE0"/>
    <w:rsid w:val="00C94BEA"/>
    <w:rsid w:val="00C94F89"/>
    <w:rsid w:val="00C94FB2"/>
    <w:rsid w:val="00C951BD"/>
    <w:rsid w:val="00C952AB"/>
    <w:rsid w:val="00C9563B"/>
    <w:rsid w:val="00C95CC3"/>
    <w:rsid w:val="00C964AE"/>
    <w:rsid w:val="00C965B0"/>
    <w:rsid w:val="00C96A30"/>
    <w:rsid w:val="00C96A4E"/>
    <w:rsid w:val="00C96BE7"/>
    <w:rsid w:val="00C96F05"/>
    <w:rsid w:val="00C97622"/>
    <w:rsid w:val="00C9780D"/>
    <w:rsid w:val="00C97DB8"/>
    <w:rsid w:val="00C97E07"/>
    <w:rsid w:val="00CA00E7"/>
    <w:rsid w:val="00CA0123"/>
    <w:rsid w:val="00CA045B"/>
    <w:rsid w:val="00CA053A"/>
    <w:rsid w:val="00CA089E"/>
    <w:rsid w:val="00CA0B58"/>
    <w:rsid w:val="00CA1331"/>
    <w:rsid w:val="00CA1658"/>
    <w:rsid w:val="00CA1719"/>
    <w:rsid w:val="00CA184C"/>
    <w:rsid w:val="00CA1986"/>
    <w:rsid w:val="00CA19EC"/>
    <w:rsid w:val="00CA1AD5"/>
    <w:rsid w:val="00CA1B04"/>
    <w:rsid w:val="00CA1ECA"/>
    <w:rsid w:val="00CA2551"/>
    <w:rsid w:val="00CA29A8"/>
    <w:rsid w:val="00CA2CE3"/>
    <w:rsid w:val="00CA3233"/>
    <w:rsid w:val="00CA3C55"/>
    <w:rsid w:val="00CA3E4D"/>
    <w:rsid w:val="00CA4262"/>
    <w:rsid w:val="00CA42A9"/>
    <w:rsid w:val="00CA454E"/>
    <w:rsid w:val="00CA4609"/>
    <w:rsid w:val="00CA4639"/>
    <w:rsid w:val="00CA4762"/>
    <w:rsid w:val="00CA4905"/>
    <w:rsid w:val="00CA4C91"/>
    <w:rsid w:val="00CA51D5"/>
    <w:rsid w:val="00CA55B2"/>
    <w:rsid w:val="00CA5613"/>
    <w:rsid w:val="00CA5912"/>
    <w:rsid w:val="00CA59CF"/>
    <w:rsid w:val="00CA59F5"/>
    <w:rsid w:val="00CA5D57"/>
    <w:rsid w:val="00CA5D9B"/>
    <w:rsid w:val="00CA5E65"/>
    <w:rsid w:val="00CA606E"/>
    <w:rsid w:val="00CA60E1"/>
    <w:rsid w:val="00CA63F2"/>
    <w:rsid w:val="00CA670C"/>
    <w:rsid w:val="00CA6755"/>
    <w:rsid w:val="00CA6A20"/>
    <w:rsid w:val="00CA7061"/>
    <w:rsid w:val="00CA773E"/>
    <w:rsid w:val="00CA787B"/>
    <w:rsid w:val="00CA794A"/>
    <w:rsid w:val="00CA7C07"/>
    <w:rsid w:val="00CA7C3A"/>
    <w:rsid w:val="00CA7E25"/>
    <w:rsid w:val="00CA7EA7"/>
    <w:rsid w:val="00CB0189"/>
    <w:rsid w:val="00CB04A1"/>
    <w:rsid w:val="00CB05B2"/>
    <w:rsid w:val="00CB0654"/>
    <w:rsid w:val="00CB06F3"/>
    <w:rsid w:val="00CB07D7"/>
    <w:rsid w:val="00CB0AD3"/>
    <w:rsid w:val="00CB0B00"/>
    <w:rsid w:val="00CB0CC8"/>
    <w:rsid w:val="00CB0E18"/>
    <w:rsid w:val="00CB1081"/>
    <w:rsid w:val="00CB1CE2"/>
    <w:rsid w:val="00CB1DCB"/>
    <w:rsid w:val="00CB2233"/>
    <w:rsid w:val="00CB2239"/>
    <w:rsid w:val="00CB225C"/>
    <w:rsid w:val="00CB22A3"/>
    <w:rsid w:val="00CB23E0"/>
    <w:rsid w:val="00CB259A"/>
    <w:rsid w:val="00CB261B"/>
    <w:rsid w:val="00CB2727"/>
    <w:rsid w:val="00CB2982"/>
    <w:rsid w:val="00CB2E52"/>
    <w:rsid w:val="00CB317D"/>
    <w:rsid w:val="00CB32FC"/>
    <w:rsid w:val="00CB3327"/>
    <w:rsid w:val="00CB33B7"/>
    <w:rsid w:val="00CB33D8"/>
    <w:rsid w:val="00CB346D"/>
    <w:rsid w:val="00CB347A"/>
    <w:rsid w:val="00CB35D9"/>
    <w:rsid w:val="00CB3696"/>
    <w:rsid w:val="00CB3A10"/>
    <w:rsid w:val="00CB3CED"/>
    <w:rsid w:val="00CB438B"/>
    <w:rsid w:val="00CB4460"/>
    <w:rsid w:val="00CB448C"/>
    <w:rsid w:val="00CB471F"/>
    <w:rsid w:val="00CB4CFE"/>
    <w:rsid w:val="00CB4ECC"/>
    <w:rsid w:val="00CB5037"/>
    <w:rsid w:val="00CB59ED"/>
    <w:rsid w:val="00CB6026"/>
    <w:rsid w:val="00CB60EA"/>
    <w:rsid w:val="00CB626F"/>
    <w:rsid w:val="00CB6285"/>
    <w:rsid w:val="00CB62F4"/>
    <w:rsid w:val="00CB6300"/>
    <w:rsid w:val="00CB6555"/>
    <w:rsid w:val="00CB6628"/>
    <w:rsid w:val="00CB6B9E"/>
    <w:rsid w:val="00CB6CE4"/>
    <w:rsid w:val="00CB736A"/>
    <w:rsid w:val="00CB7470"/>
    <w:rsid w:val="00CB76FA"/>
    <w:rsid w:val="00CB7766"/>
    <w:rsid w:val="00CB78BB"/>
    <w:rsid w:val="00CC031A"/>
    <w:rsid w:val="00CC0378"/>
    <w:rsid w:val="00CC090C"/>
    <w:rsid w:val="00CC0B7B"/>
    <w:rsid w:val="00CC0D05"/>
    <w:rsid w:val="00CC13C3"/>
    <w:rsid w:val="00CC165B"/>
    <w:rsid w:val="00CC1AAA"/>
    <w:rsid w:val="00CC23CE"/>
    <w:rsid w:val="00CC2798"/>
    <w:rsid w:val="00CC2C95"/>
    <w:rsid w:val="00CC2CAC"/>
    <w:rsid w:val="00CC3086"/>
    <w:rsid w:val="00CC3A7E"/>
    <w:rsid w:val="00CC3BF3"/>
    <w:rsid w:val="00CC3F7C"/>
    <w:rsid w:val="00CC43A1"/>
    <w:rsid w:val="00CC458A"/>
    <w:rsid w:val="00CC4E8C"/>
    <w:rsid w:val="00CC5058"/>
    <w:rsid w:val="00CC5589"/>
    <w:rsid w:val="00CC5819"/>
    <w:rsid w:val="00CC5D2F"/>
    <w:rsid w:val="00CC5DE3"/>
    <w:rsid w:val="00CC6A2E"/>
    <w:rsid w:val="00CC6D2D"/>
    <w:rsid w:val="00CC6E25"/>
    <w:rsid w:val="00CC6E39"/>
    <w:rsid w:val="00CC6FF4"/>
    <w:rsid w:val="00CC73C2"/>
    <w:rsid w:val="00CC7587"/>
    <w:rsid w:val="00CC7E4A"/>
    <w:rsid w:val="00CC7E66"/>
    <w:rsid w:val="00CD0783"/>
    <w:rsid w:val="00CD08C0"/>
    <w:rsid w:val="00CD0E41"/>
    <w:rsid w:val="00CD100A"/>
    <w:rsid w:val="00CD132E"/>
    <w:rsid w:val="00CD14BB"/>
    <w:rsid w:val="00CD14F1"/>
    <w:rsid w:val="00CD1562"/>
    <w:rsid w:val="00CD18D7"/>
    <w:rsid w:val="00CD1E9D"/>
    <w:rsid w:val="00CD21EE"/>
    <w:rsid w:val="00CD22CD"/>
    <w:rsid w:val="00CD22EE"/>
    <w:rsid w:val="00CD2AE3"/>
    <w:rsid w:val="00CD2BE3"/>
    <w:rsid w:val="00CD3008"/>
    <w:rsid w:val="00CD316D"/>
    <w:rsid w:val="00CD34F2"/>
    <w:rsid w:val="00CD3728"/>
    <w:rsid w:val="00CD374D"/>
    <w:rsid w:val="00CD3878"/>
    <w:rsid w:val="00CD3B71"/>
    <w:rsid w:val="00CD3E73"/>
    <w:rsid w:val="00CD3F5C"/>
    <w:rsid w:val="00CD3FDD"/>
    <w:rsid w:val="00CD43D5"/>
    <w:rsid w:val="00CD43F9"/>
    <w:rsid w:val="00CD494E"/>
    <w:rsid w:val="00CD4AC1"/>
    <w:rsid w:val="00CD5396"/>
    <w:rsid w:val="00CD547F"/>
    <w:rsid w:val="00CD575D"/>
    <w:rsid w:val="00CD587E"/>
    <w:rsid w:val="00CD58EA"/>
    <w:rsid w:val="00CD5A12"/>
    <w:rsid w:val="00CD5CE9"/>
    <w:rsid w:val="00CD5E74"/>
    <w:rsid w:val="00CD5E8B"/>
    <w:rsid w:val="00CD5E97"/>
    <w:rsid w:val="00CD5ECC"/>
    <w:rsid w:val="00CD6059"/>
    <w:rsid w:val="00CD626E"/>
    <w:rsid w:val="00CD6368"/>
    <w:rsid w:val="00CD6645"/>
    <w:rsid w:val="00CD6E96"/>
    <w:rsid w:val="00CD710F"/>
    <w:rsid w:val="00CD7628"/>
    <w:rsid w:val="00CD785E"/>
    <w:rsid w:val="00CD7D0B"/>
    <w:rsid w:val="00CD7FC4"/>
    <w:rsid w:val="00CE01DC"/>
    <w:rsid w:val="00CE03A4"/>
    <w:rsid w:val="00CE044B"/>
    <w:rsid w:val="00CE04B2"/>
    <w:rsid w:val="00CE0961"/>
    <w:rsid w:val="00CE0A57"/>
    <w:rsid w:val="00CE0FAD"/>
    <w:rsid w:val="00CE10A2"/>
    <w:rsid w:val="00CE1122"/>
    <w:rsid w:val="00CE1B98"/>
    <w:rsid w:val="00CE1CA0"/>
    <w:rsid w:val="00CE1CDE"/>
    <w:rsid w:val="00CE1DAF"/>
    <w:rsid w:val="00CE26CB"/>
    <w:rsid w:val="00CE26D9"/>
    <w:rsid w:val="00CE2747"/>
    <w:rsid w:val="00CE2775"/>
    <w:rsid w:val="00CE2D5B"/>
    <w:rsid w:val="00CE308D"/>
    <w:rsid w:val="00CE3380"/>
    <w:rsid w:val="00CE36CB"/>
    <w:rsid w:val="00CE3952"/>
    <w:rsid w:val="00CE39F0"/>
    <w:rsid w:val="00CE3ABD"/>
    <w:rsid w:val="00CE3AF7"/>
    <w:rsid w:val="00CE3C4E"/>
    <w:rsid w:val="00CE3EC5"/>
    <w:rsid w:val="00CE3F15"/>
    <w:rsid w:val="00CE4143"/>
    <w:rsid w:val="00CE44F3"/>
    <w:rsid w:val="00CE452D"/>
    <w:rsid w:val="00CE4595"/>
    <w:rsid w:val="00CE460A"/>
    <w:rsid w:val="00CE47A9"/>
    <w:rsid w:val="00CE48F2"/>
    <w:rsid w:val="00CE49B9"/>
    <w:rsid w:val="00CE4D06"/>
    <w:rsid w:val="00CE4D0E"/>
    <w:rsid w:val="00CE4DBD"/>
    <w:rsid w:val="00CE4F03"/>
    <w:rsid w:val="00CE52A0"/>
    <w:rsid w:val="00CE5342"/>
    <w:rsid w:val="00CE5841"/>
    <w:rsid w:val="00CE59A7"/>
    <w:rsid w:val="00CE5A5E"/>
    <w:rsid w:val="00CE5AB7"/>
    <w:rsid w:val="00CE5C87"/>
    <w:rsid w:val="00CE5D8B"/>
    <w:rsid w:val="00CE61A0"/>
    <w:rsid w:val="00CE6564"/>
    <w:rsid w:val="00CE6ADA"/>
    <w:rsid w:val="00CE6B0B"/>
    <w:rsid w:val="00CE6DD8"/>
    <w:rsid w:val="00CE7086"/>
    <w:rsid w:val="00CE7109"/>
    <w:rsid w:val="00CE71CA"/>
    <w:rsid w:val="00CE720D"/>
    <w:rsid w:val="00CE728A"/>
    <w:rsid w:val="00CE776A"/>
    <w:rsid w:val="00CE7880"/>
    <w:rsid w:val="00CE78E8"/>
    <w:rsid w:val="00CE7900"/>
    <w:rsid w:val="00CE7959"/>
    <w:rsid w:val="00CE7DA2"/>
    <w:rsid w:val="00CE7DDC"/>
    <w:rsid w:val="00CF0461"/>
    <w:rsid w:val="00CF09B3"/>
    <w:rsid w:val="00CF0C62"/>
    <w:rsid w:val="00CF0CAD"/>
    <w:rsid w:val="00CF1241"/>
    <w:rsid w:val="00CF146C"/>
    <w:rsid w:val="00CF15E5"/>
    <w:rsid w:val="00CF1985"/>
    <w:rsid w:val="00CF199C"/>
    <w:rsid w:val="00CF1EAA"/>
    <w:rsid w:val="00CF1EF0"/>
    <w:rsid w:val="00CF1EFD"/>
    <w:rsid w:val="00CF22AA"/>
    <w:rsid w:val="00CF22AF"/>
    <w:rsid w:val="00CF2774"/>
    <w:rsid w:val="00CF27EE"/>
    <w:rsid w:val="00CF28AD"/>
    <w:rsid w:val="00CF33B0"/>
    <w:rsid w:val="00CF3480"/>
    <w:rsid w:val="00CF3620"/>
    <w:rsid w:val="00CF36C2"/>
    <w:rsid w:val="00CF36FB"/>
    <w:rsid w:val="00CF45B6"/>
    <w:rsid w:val="00CF479B"/>
    <w:rsid w:val="00CF47E9"/>
    <w:rsid w:val="00CF4989"/>
    <w:rsid w:val="00CF4BC7"/>
    <w:rsid w:val="00CF4DA8"/>
    <w:rsid w:val="00CF4DD8"/>
    <w:rsid w:val="00CF4DEA"/>
    <w:rsid w:val="00CF4DEB"/>
    <w:rsid w:val="00CF4E11"/>
    <w:rsid w:val="00CF4F7E"/>
    <w:rsid w:val="00CF5144"/>
    <w:rsid w:val="00CF5324"/>
    <w:rsid w:val="00CF5721"/>
    <w:rsid w:val="00CF5E0E"/>
    <w:rsid w:val="00CF5FDC"/>
    <w:rsid w:val="00CF6092"/>
    <w:rsid w:val="00CF636C"/>
    <w:rsid w:val="00CF6622"/>
    <w:rsid w:val="00CF66E3"/>
    <w:rsid w:val="00CF70FC"/>
    <w:rsid w:val="00CF7451"/>
    <w:rsid w:val="00CF75CE"/>
    <w:rsid w:val="00CF7981"/>
    <w:rsid w:val="00D0011B"/>
    <w:rsid w:val="00D001C4"/>
    <w:rsid w:val="00D00324"/>
    <w:rsid w:val="00D0058A"/>
    <w:rsid w:val="00D00A6C"/>
    <w:rsid w:val="00D00C95"/>
    <w:rsid w:val="00D016CF"/>
    <w:rsid w:val="00D0170B"/>
    <w:rsid w:val="00D01926"/>
    <w:rsid w:val="00D01939"/>
    <w:rsid w:val="00D019A6"/>
    <w:rsid w:val="00D01AC0"/>
    <w:rsid w:val="00D01DA9"/>
    <w:rsid w:val="00D02154"/>
    <w:rsid w:val="00D02184"/>
    <w:rsid w:val="00D02372"/>
    <w:rsid w:val="00D024FC"/>
    <w:rsid w:val="00D0269F"/>
    <w:rsid w:val="00D0272A"/>
    <w:rsid w:val="00D03250"/>
    <w:rsid w:val="00D035C0"/>
    <w:rsid w:val="00D0362C"/>
    <w:rsid w:val="00D03A96"/>
    <w:rsid w:val="00D03AC5"/>
    <w:rsid w:val="00D04176"/>
    <w:rsid w:val="00D047E0"/>
    <w:rsid w:val="00D04A04"/>
    <w:rsid w:val="00D04A39"/>
    <w:rsid w:val="00D04D13"/>
    <w:rsid w:val="00D04D3E"/>
    <w:rsid w:val="00D04F27"/>
    <w:rsid w:val="00D04F42"/>
    <w:rsid w:val="00D050BF"/>
    <w:rsid w:val="00D053A0"/>
    <w:rsid w:val="00D054FC"/>
    <w:rsid w:val="00D0556F"/>
    <w:rsid w:val="00D0577F"/>
    <w:rsid w:val="00D058D2"/>
    <w:rsid w:val="00D05BD8"/>
    <w:rsid w:val="00D05C45"/>
    <w:rsid w:val="00D05E98"/>
    <w:rsid w:val="00D0646F"/>
    <w:rsid w:val="00D064C0"/>
    <w:rsid w:val="00D068FB"/>
    <w:rsid w:val="00D06B19"/>
    <w:rsid w:val="00D06F5B"/>
    <w:rsid w:val="00D06F6C"/>
    <w:rsid w:val="00D07115"/>
    <w:rsid w:val="00D071BF"/>
    <w:rsid w:val="00D07360"/>
    <w:rsid w:val="00D07409"/>
    <w:rsid w:val="00D0745A"/>
    <w:rsid w:val="00D074CF"/>
    <w:rsid w:val="00D07597"/>
    <w:rsid w:val="00D07715"/>
    <w:rsid w:val="00D07757"/>
    <w:rsid w:val="00D07920"/>
    <w:rsid w:val="00D1028E"/>
    <w:rsid w:val="00D1117E"/>
    <w:rsid w:val="00D11245"/>
    <w:rsid w:val="00D11CE6"/>
    <w:rsid w:val="00D121E6"/>
    <w:rsid w:val="00D122B4"/>
    <w:rsid w:val="00D1250B"/>
    <w:rsid w:val="00D1266D"/>
    <w:rsid w:val="00D129A6"/>
    <w:rsid w:val="00D12B2C"/>
    <w:rsid w:val="00D12DD1"/>
    <w:rsid w:val="00D13121"/>
    <w:rsid w:val="00D1333C"/>
    <w:rsid w:val="00D137FD"/>
    <w:rsid w:val="00D1386E"/>
    <w:rsid w:val="00D13AA4"/>
    <w:rsid w:val="00D13B70"/>
    <w:rsid w:val="00D13BC7"/>
    <w:rsid w:val="00D13C36"/>
    <w:rsid w:val="00D1406A"/>
    <w:rsid w:val="00D1442F"/>
    <w:rsid w:val="00D1453B"/>
    <w:rsid w:val="00D149F0"/>
    <w:rsid w:val="00D14DB2"/>
    <w:rsid w:val="00D15127"/>
    <w:rsid w:val="00D153A0"/>
    <w:rsid w:val="00D156F6"/>
    <w:rsid w:val="00D15822"/>
    <w:rsid w:val="00D15B00"/>
    <w:rsid w:val="00D16371"/>
    <w:rsid w:val="00D16A54"/>
    <w:rsid w:val="00D16AFF"/>
    <w:rsid w:val="00D16B7A"/>
    <w:rsid w:val="00D16BA8"/>
    <w:rsid w:val="00D16F11"/>
    <w:rsid w:val="00D1702C"/>
    <w:rsid w:val="00D17192"/>
    <w:rsid w:val="00D1746E"/>
    <w:rsid w:val="00D17596"/>
    <w:rsid w:val="00D17AD0"/>
    <w:rsid w:val="00D17B88"/>
    <w:rsid w:val="00D17BEC"/>
    <w:rsid w:val="00D20179"/>
    <w:rsid w:val="00D2028C"/>
    <w:rsid w:val="00D203A1"/>
    <w:rsid w:val="00D203A7"/>
    <w:rsid w:val="00D20521"/>
    <w:rsid w:val="00D205E9"/>
    <w:rsid w:val="00D20CEB"/>
    <w:rsid w:val="00D20D75"/>
    <w:rsid w:val="00D210FA"/>
    <w:rsid w:val="00D212F2"/>
    <w:rsid w:val="00D2164D"/>
    <w:rsid w:val="00D218D0"/>
    <w:rsid w:val="00D21978"/>
    <w:rsid w:val="00D21AA3"/>
    <w:rsid w:val="00D21ABC"/>
    <w:rsid w:val="00D2210B"/>
    <w:rsid w:val="00D22152"/>
    <w:rsid w:val="00D221BC"/>
    <w:rsid w:val="00D2270C"/>
    <w:rsid w:val="00D22740"/>
    <w:rsid w:val="00D22A97"/>
    <w:rsid w:val="00D22C1F"/>
    <w:rsid w:val="00D22CE6"/>
    <w:rsid w:val="00D22F1F"/>
    <w:rsid w:val="00D23051"/>
    <w:rsid w:val="00D233C3"/>
    <w:rsid w:val="00D2349A"/>
    <w:rsid w:val="00D234F0"/>
    <w:rsid w:val="00D236BC"/>
    <w:rsid w:val="00D2370E"/>
    <w:rsid w:val="00D23A7C"/>
    <w:rsid w:val="00D23AB2"/>
    <w:rsid w:val="00D23F0F"/>
    <w:rsid w:val="00D23FAD"/>
    <w:rsid w:val="00D2425B"/>
    <w:rsid w:val="00D24295"/>
    <w:rsid w:val="00D242A5"/>
    <w:rsid w:val="00D24304"/>
    <w:rsid w:val="00D24359"/>
    <w:rsid w:val="00D244D3"/>
    <w:rsid w:val="00D2498F"/>
    <w:rsid w:val="00D24AE9"/>
    <w:rsid w:val="00D2581A"/>
    <w:rsid w:val="00D25F4B"/>
    <w:rsid w:val="00D25F66"/>
    <w:rsid w:val="00D260A6"/>
    <w:rsid w:val="00D265C0"/>
    <w:rsid w:val="00D26CE7"/>
    <w:rsid w:val="00D270D9"/>
    <w:rsid w:val="00D27553"/>
    <w:rsid w:val="00D275E9"/>
    <w:rsid w:val="00D2765B"/>
    <w:rsid w:val="00D27742"/>
    <w:rsid w:val="00D2799B"/>
    <w:rsid w:val="00D27CBF"/>
    <w:rsid w:val="00D30207"/>
    <w:rsid w:val="00D3027B"/>
    <w:rsid w:val="00D3030A"/>
    <w:rsid w:val="00D303F1"/>
    <w:rsid w:val="00D307E4"/>
    <w:rsid w:val="00D3086D"/>
    <w:rsid w:val="00D30966"/>
    <w:rsid w:val="00D309C9"/>
    <w:rsid w:val="00D30DF9"/>
    <w:rsid w:val="00D30FFD"/>
    <w:rsid w:val="00D3110E"/>
    <w:rsid w:val="00D3134E"/>
    <w:rsid w:val="00D31526"/>
    <w:rsid w:val="00D315BD"/>
    <w:rsid w:val="00D315DC"/>
    <w:rsid w:val="00D3179F"/>
    <w:rsid w:val="00D31881"/>
    <w:rsid w:val="00D31910"/>
    <w:rsid w:val="00D3198A"/>
    <w:rsid w:val="00D31CA5"/>
    <w:rsid w:val="00D31CD5"/>
    <w:rsid w:val="00D32136"/>
    <w:rsid w:val="00D33018"/>
    <w:rsid w:val="00D3329C"/>
    <w:rsid w:val="00D336B7"/>
    <w:rsid w:val="00D33829"/>
    <w:rsid w:val="00D33BE8"/>
    <w:rsid w:val="00D33FB8"/>
    <w:rsid w:val="00D341E5"/>
    <w:rsid w:val="00D34272"/>
    <w:rsid w:val="00D3428E"/>
    <w:rsid w:val="00D34442"/>
    <w:rsid w:val="00D3447C"/>
    <w:rsid w:val="00D3467B"/>
    <w:rsid w:val="00D34683"/>
    <w:rsid w:val="00D34800"/>
    <w:rsid w:val="00D3498A"/>
    <w:rsid w:val="00D349D0"/>
    <w:rsid w:val="00D349FF"/>
    <w:rsid w:val="00D34A08"/>
    <w:rsid w:val="00D34D69"/>
    <w:rsid w:val="00D351A5"/>
    <w:rsid w:val="00D35402"/>
    <w:rsid w:val="00D35482"/>
    <w:rsid w:val="00D35600"/>
    <w:rsid w:val="00D35977"/>
    <w:rsid w:val="00D35BEC"/>
    <w:rsid w:val="00D35E61"/>
    <w:rsid w:val="00D361FE"/>
    <w:rsid w:val="00D36788"/>
    <w:rsid w:val="00D36849"/>
    <w:rsid w:val="00D3698C"/>
    <w:rsid w:val="00D369D8"/>
    <w:rsid w:val="00D36BD0"/>
    <w:rsid w:val="00D36C40"/>
    <w:rsid w:val="00D36C7F"/>
    <w:rsid w:val="00D36F78"/>
    <w:rsid w:val="00D3734E"/>
    <w:rsid w:val="00D373FC"/>
    <w:rsid w:val="00D375AA"/>
    <w:rsid w:val="00D37BC8"/>
    <w:rsid w:val="00D37BD3"/>
    <w:rsid w:val="00D40340"/>
    <w:rsid w:val="00D4036A"/>
    <w:rsid w:val="00D403D4"/>
    <w:rsid w:val="00D410C6"/>
    <w:rsid w:val="00D4198D"/>
    <w:rsid w:val="00D41AFF"/>
    <w:rsid w:val="00D4209D"/>
    <w:rsid w:val="00D4219A"/>
    <w:rsid w:val="00D421D0"/>
    <w:rsid w:val="00D42248"/>
    <w:rsid w:val="00D42468"/>
    <w:rsid w:val="00D42993"/>
    <w:rsid w:val="00D42AFF"/>
    <w:rsid w:val="00D430E1"/>
    <w:rsid w:val="00D433BC"/>
    <w:rsid w:val="00D43470"/>
    <w:rsid w:val="00D436E1"/>
    <w:rsid w:val="00D43AF2"/>
    <w:rsid w:val="00D43B1B"/>
    <w:rsid w:val="00D43C4F"/>
    <w:rsid w:val="00D43D56"/>
    <w:rsid w:val="00D43D87"/>
    <w:rsid w:val="00D43F1D"/>
    <w:rsid w:val="00D443B4"/>
    <w:rsid w:val="00D44609"/>
    <w:rsid w:val="00D446EF"/>
    <w:rsid w:val="00D44756"/>
    <w:rsid w:val="00D44A8F"/>
    <w:rsid w:val="00D44B65"/>
    <w:rsid w:val="00D44BC8"/>
    <w:rsid w:val="00D44BF4"/>
    <w:rsid w:val="00D4547C"/>
    <w:rsid w:val="00D45483"/>
    <w:rsid w:val="00D456FA"/>
    <w:rsid w:val="00D457E2"/>
    <w:rsid w:val="00D45B89"/>
    <w:rsid w:val="00D45FD8"/>
    <w:rsid w:val="00D46110"/>
    <w:rsid w:val="00D46195"/>
    <w:rsid w:val="00D462CC"/>
    <w:rsid w:val="00D465B9"/>
    <w:rsid w:val="00D46A97"/>
    <w:rsid w:val="00D47036"/>
    <w:rsid w:val="00D474F9"/>
    <w:rsid w:val="00D47664"/>
    <w:rsid w:val="00D47A57"/>
    <w:rsid w:val="00D47FD3"/>
    <w:rsid w:val="00D501BD"/>
    <w:rsid w:val="00D50761"/>
    <w:rsid w:val="00D507AA"/>
    <w:rsid w:val="00D50A9E"/>
    <w:rsid w:val="00D50CC0"/>
    <w:rsid w:val="00D50ED0"/>
    <w:rsid w:val="00D50F3D"/>
    <w:rsid w:val="00D5110C"/>
    <w:rsid w:val="00D512E3"/>
    <w:rsid w:val="00D5150E"/>
    <w:rsid w:val="00D5157D"/>
    <w:rsid w:val="00D51A48"/>
    <w:rsid w:val="00D51A6D"/>
    <w:rsid w:val="00D51CC0"/>
    <w:rsid w:val="00D51CCC"/>
    <w:rsid w:val="00D51CE6"/>
    <w:rsid w:val="00D51DA5"/>
    <w:rsid w:val="00D51ED7"/>
    <w:rsid w:val="00D52081"/>
    <w:rsid w:val="00D5224E"/>
    <w:rsid w:val="00D52357"/>
    <w:rsid w:val="00D5247A"/>
    <w:rsid w:val="00D5276F"/>
    <w:rsid w:val="00D52851"/>
    <w:rsid w:val="00D529FA"/>
    <w:rsid w:val="00D52DF6"/>
    <w:rsid w:val="00D53139"/>
    <w:rsid w:val="00D53317"/>
    <w:rsid w:val="00D53433"/>
    <w:rsid w:val="00D538B6"/>
    <w:rsid w:val="00D53927"/>
    <w:rsid w:val="00D53929"/>
    <w:rsid w:val="00D539F1"/>
    <w:rsid w:val="00D53D04"/>
    <w:rsid w:val="00D53DED"/>
    <w:rsid w:val="00D53DFA"/>
    <w:rsid w:val="00D53EA0"/>
    <w:rsid w:val="00D5427F"/>
    <w:rsid w:val="00D542A7"/>
    <w:rsid w:val="00D5435B"/>
    <w:rsid w:val="00D54AB1"/>
    <w:rsid w:val="00D54DD2"/>
    <w:rsid w:val="00D54FDF"/>
    <w:rsid w:val="00D5505F"/>
    <w:rsid w:val="00D550A7"/>
    <w:rsid w:val="00D55377"/>
    <w:rsid w:val="00D557E4"/>
    <w:rsid w:val="00D55838"/>
    <w:rsid w:val="00D55A97"/>
    <w:rsid w:val="00D55B1C"/>
    <w:rsid w:val="00D55C27"/>
    <w:rsid w:val="00D55D31"/>
    <w:rsid w:val="00D564F9"/>
    <w:rsid w:val="00D56AAF"/>
    <w:rsid w:val="00D56B35"/>
    <w:rsid w:val="00D56C3B"/>
    <w:rsid w:val="00D572FD"/>
    <w:rsid w:val="00D5747D"/>
    <w:rsid w:val="00D57537"/>
    <w:rsid w:val="00D57566"/>
    <w:rsid w:val="00D57672"/>
    <w:rsid w:val="00D57A1D"/>
    <w:rsid w:val="00D57D56"/>
    <w:rsid w:val="00D57DDA"/>
    <w:rsid w:val="00D600C8"/>
    <w:rsid w:val="00D6015F"/>
    <w:rsid w:val="00D601FD"/>
    <w:rsid w:val="00D60767"/>
    <w:rsid w:val="00D6078B"/>
    <w:rsid w:val="00D60820"/>
    <w:rsid w:val="00D60AA3"/>
    <w:rsid w:val="00D60F2F"/>
    <w:rsid w:val="00D61023"/>
    <w:rsid w:val="00D61025"/>
    <w:rsid w:val="00D61108"/>
    <w:rsid w:val="00D61171"/>
    <w:rsid w:val="00D617FB"/>
    <w:rsid w:val="00D61860"/>
    <w:rsid w:val="00D618BD"/>
    <w:rsid w:val="00D61A5A"/>
    <w:rsid w:val="00D61B13"/>
    <w:rsid w:val="00D61BE4"/>
    <w:rsid w:val="00D61D58"/>
    <w:rsid w:val="00D61FB4"/>
    <w:rsid w:val="00D6232A"/>
    <w:rsid w:val="00D62373"/>
    <w:rsid w:val="00D62795"/>
    <w:rsid w:val="00D627CB"/>
    <w:rsid w:val="00D62A7D"/>
    <w:rsid w:val="00D62A8C"/>
    <w:rsid w:val="00D62D61"/>
    <w:rsid w:val="00D62E4A"/>
    <w:rsid w:val="00D632FC"/>
    <w:rsid w:val="00D638D4"/>
    <w:rsid w:val="00D639E1"/>
    <w:rsid w:val="00D63B50"/>
    <w:rsid w:val="00D63E18"/>
    <w:rsid w:val="00D63E4B"/>
    <w:rsid w:val="00D641F7"/>
    <w:rsid w:val="00D6440A"/>
    <w:rsid w:val="00D644CF"/>
    <w:rsid w:val="00D64E85"/>
    <w:rsid w:val="00D64F9F"/>
    <w:rsid w:val="00D6540C"/>
    <w:rsid w:val="00D65886"/>
    <w:rsid w:val="00D658F2"/>
    <w:rsid w:val="00D65D84"/>
    <w:rsid w:val="00D660F5"/>
    <w:rsid w:val="00D6610D"/>
    <w:rsid w:val="00D66216"/>
    <w:rsid w:val="00D662C7"/>
    <w:rsid w:val="00D66321"/>
    <w:rsid w:val="00D6638E"/>
    <w:rsid w:val="00D66CCC"/>
    <w:rsid w:val="00D66E0F"/>
    <w:rsid w:val="00D66F21"/>
    <w:rsid w:val="00D67484"/>
    <w:rsid w:val="00D67576"/>
    <w:rsid w:val="00D67B44"/>
    <w:rsid w:val="00D67B96"/>
    <w:rsid w:val="00D67CF6"/>
    <w:rsid w:val="00D67D52"/>
    <w:rsid w:val="00D67E4D"/>
    <w:rsid w:val="00D67F26"/>
    <w:rsid w:val="00D7002D"/>
    <w:rsid w:val="00D70054"/>
    <w:rsid w:val="00D70078"/>
    <w:rsid w:val="00D70249"/>
    <w:rsid w:val="00D70385"/>
    <w:rsid w:val="00D706E0"/>
    <w:rsid w:val="00D70A4F"/>
    <w:rsid w:val="00D70B07"/>
    <w:rsid w:val="00D70BB5"/>
    <w:rsid w:val="00D70DEC"/>
    <w:rsid w:val="00D71033"/>
    <w:rsid w:val="00D713FF"/>
    <w:rsid w:val="00D714EF"/>
    <w:rsid w:val="00D715CC"/>
    <w:rsid w:val="00D71EC4"/>
    <w:rsid w:val="00D71FB9"/>
    <w:rsid w:val="00D71FF4"/>
    <w:rsid w:val="00D72025"/>
    <w:rsid w:val="00D7218B"/>
    <w:rsid w:val="00D72625"/>
    <w:rsid w:val="00D72879"/>
    <w:rsid w:val="00D728C7"/>
    <w:rsid w:val="00D72C57"/>
    <w:rsid w:val="00D72E97"/>
    <w:rsid w:val="00D730D6"/>
    <w:rsid w:val="00D73201"/>
    <w:rsid w:val="00D733EF"/>
    <w:rsid w:val="00D7346D"/>
    <w:rsid w:val="00D73782"/>
    <w:rsid w:val="00D73863"/>
    <w:rsid w:val="00D73B82"/>
    <w:rsid w:val="00D73ECF"/>
    <w:rsid w:val="00D748B7"/>
    <w:rsid w:val="00D74947"/>
    <w:rsid w:val="00D74D7C"/>
    <w:rsid w:val="00D74EBC"/>
    <w:rsid w:val="00D751CA"/>
    <w:rsid w:val="00D7524D"/>
    <w:rsid w:val="00D752CB"/>
    <w:rsid w:val="00D75310"/>
    <w:rsid w:val="00D753F7"/>
    <w:rsid w:val="00D754D1"/>
    <w:rsid w:val="00D754EB"/>
    <w:rsid w:val="00D758B6"/>
    <w:rsid w:val="00D75A29"/>
    <w:rsid w:val="00D760B4"/>
    <w:rsid w:val="00D76252"/>
    <w:rsid w:val="00D7632B"/>
    <w:rsid w:val="00D763D3"/>
    <w:rsid w:val="00D7678D"/>
    <w:rsid w:val="00D76C1F"/>
    <w:rsid w:val="00D76C6D"/>
    <w:rsid w:val="00D76FAB"/>
    <w:rsid w:val="00D7760A"/>
    <w:rsid w:val="00D7786A"/>
    <w:rsid w:val="00D779BF"/>
    <w:rsid w:val="00D77A2E"/>
    <w:rsid w:val="00D77D7A"/>
    <w:rsid w:val="00D80714"/>
    <w:rsid w:val="00D8090F"/>
    <w:rsid w:val="00D80934"/>
    <w:rsid w:val="00D80A21"/>
    <w:rsid w:val="00D80CAA"/>
    <w:rsid w:val="00D80D3B"/>
    <w:rsid w:val="00D80DD4"/>
    <w:rsid w:val="00D80E3E"/>
    <w:rsid w:val="00D81492"/>
    <w:rsid w:val="00D81805"/>
    <w:rsid w:val="00D81986"/>
    <w:rsid w:val="00D81A1F"/>
    <w:rsid w:val="00D81C9A"/>
    <w:rsid w:val="00D81E8C"/>
    <w:rsid w:val="00D81F5D"/>
    <w:rsid w:val="00D82005"/>
    <w:rsid w:val="00D823E3"/>
    <w:rsid w:val="00D82637"/>
    <w:rsid w:val="00D8269B"/>
    <w:rsid w:val="00D82799"/>
    <w:rsid w:val="00D82A79"/>
    <w:rsid w:val="00D83269"/>
    <w:rsid w:val="00D83326"/>
    <w:rsid w:val="00D8339C"/>
    <w:rsid w:val="00D83414"/>
    <w:rsid w:val="00D8369C"/>
    <w:rsid w:val="00D83926"/>
    <w:rsid w:val="00D83FD5"/>
    <w:rsid w:val="00D8409A"/>
    <w:rsid w:val="00D849B1"/>
    <w:rsid w:val="00D84BC2"/>
    <w:rsid w:val="00D854A2"/>
    <w:rsid w:val="00D856D8"/>
    <w:rsid w:val="00D85B39"/>
    <w:rsid w:val="00D85EA7"/>
    <w:rsid w:val="00D85EF0"/>
    <w:rsid w:val="00D85F93"/>
    <w:rsid w:val="00D867F3"/>
    <w:rsid w:val="00D86CFC"/>
    <w:rsid w:val="00D87059"/>
    <w:rsid w:val="00D870C3"/>
    <w:rsid w:val="00D873CC"/>
    <w:rsid w:val="00D87556"/>
    <w:rsid w:val="00D876F4"/>
    <w:rsid w:val="00D87768"/>
    <w:rsid w:val="00D878B2"/>
    <w:rsid w:val="00D87C60"/>
    <w:rsid w:val="00D87C81"/>
    <w:rsid w:val="00D9051A"/>
    <w:rsid w:val="00D90681"/>
    <w:rsid w:val="00D90927"/>
    <w:rsid w:val="00D909AF"/>
    <w:rsid w:val="00D90A21"/>
    <w:rsid w:val="00D90A96"/>
    <w:rsid w:val="00D90DBD"/>
    <w:rsid w:val="00D90F25"/>
    <w:rsid w:val="00D910B3"/>
    <w:rsid w:val="00D91196"/>
    <w:rsid w:val="00D917B2"/>
    <w:rsid w:val="00D9186A"/>
    <w:rsid w:val="00D918CE"/>
    <w:rsid w:val="00D91A7D"/>
    <w:rsid w:val="00D91FD9"/>
    <w:rsid w:val="00D922FD"/>
    <w:rsid w:val="00D9247B"/>
    <w:rsid w:val="00D9279A"/>
    <w:rsid w:val="00D928FE"/>
    <w:rsid w:val="00D92969"/>
    <w:rsid w:val="00D92C50"/>
    <w:rsid w:val="00D92EB1"/>
    <w:rsid w:val="00D9303C"/>
    <w:rsid w:val="00D93062"/>
    <w:rsid w:val="00D9310C"/>
    <w:rsid w:val="00D935BF"/>
    <w:rsid w:val="00D93A5D"/>
    <w:rsid w:val="00D93AC0"/>
    <w:rsid w:val="00D93B9C"/>
    <w:rsid w:val="00D93C6C"/>
    <w:rsid w:val="00D93F04"/>
    <w:rsid w:val="00D94033"/>
    <w:rsid w:val="00D94144"/>
    <w:rsid w:val="00D941CB"/>
    <w:rsid w:val="00D94250"/>
    <w:rsid w:val="00D94455"/>
    <w:rsid w:val="00D94730"/>
    <w:rsid w:val="00D947A4"/>
    <w:rsid w:val="00D947BA"/>
    <w:rsid w:val="00D94933"/>
    <w:rsid w:val="00D94A7E"/>
    <w:rsid w:val="00D94CAB"/>
    <w:rsid w:val="00D94EF3"/>
    <w:rsid w:val="00D95AD0"/>
    <w:rsid w:val="00D95DF5"/>
    <w:rsid w:val="00D95FE8"/>
    <w:rsid w:val="00D96304"/>
    <w:rsid w:val="00D963EC"/>
    <w:rsid w:val="00D96517"/>
    <w:rsid w:val="00D9665D"/>
    <w:rsid w:val="00D96842"/>
    <w:rsid w:val="00D96B22"/>
    <w:rsid w:val="00D96B5A"/>
    <w:rsid w:val="00D96C63"/>
    <w:rsid w:val="00D96C92"/>
    <w:rsid w:val="00D9714C"/>
    <w:rsid w:val="00D97373"/>
    <w:rsid w:val="00D97843"/>
    <w:rsid w:val="00D97958"/>
    <w:rsid w:val="00D97B07"/>
    <w:rsid w:val="00D97B6C"/>
    <w:rsid w:val="00D97C2E"/>
    <w:rsid w:val="00D97CD7"/>
    <w:rsid w:val="00D97D89"/>
    <w:rsid w:val="00D97F54"/>
    <w:rsid w:val="00D97F9A"/>
    <w:rsid w:val="00DA00CB"/>
    <w:rsid w:val="00DA035D"/>
    <w:rsid w:val="00DA0439"/>
    <w:rsid w:val="00DA0673"/>
    <w:rsid w:val="00DA06B4"/>
    <w:rsid w:val="00DA0A4D"/>
    <w:rsid w:val="00DA0AA6"/>
    <w:rsid w:val="00DA0B60"/>
    <w:rsid w:val="00DA1095"/>
    <w:rsid w:val="00DA1258"/>
    <w:rsid w:val="00DA13CD"/>
    <w:rsid w:val="00DA142E"/>
    <w:rsid w:val="00DA15AD"/>
    <w:rsid w:val="00DA1602"/>
    <w:rsid w:val="00DA1AA8"/>
    <w:rsid w:val="00DA1BB3"/>
    <w:rsid w:val="00DA1E95"/>
    <w:rsid w:val="00DA2022"/>
    <w:rsid w:val="00DA211F"/>
    <w:rsid w:val="00DA2547"/>
    <w:rsid w:val="00DA2667"/>
    <w:rsid w:val="00DA270A"/>
    <w:rsid w:val="00DA29FC"/>
    <w:rsid w:val="00DA2B4E"/>
    <w:rsid w:val="00DA2B75"/>
    <w:rsid w:val="00DA2CF1"/>
    <w:rsid w:val="00DA3023"/>
    <w:rsid w:val="00DA3465"/>
    <w:rsid w:val="00DA348C"/>
    <w:rsid w:val="00DA3557"/>
    <w:rsid w:val="00DA3631"/>
    <w:rsid w:val="00DA3B73"/>
    <w:rsid w:val="00DA3BC8"/>
    <w:rsid w:val="00DA3BD7"/>
    <w:rsid w:val="00DA3E78"/>
    <w:rsid w:val="00DA3EFA"/>
    <w:rsid w:val="00DA4203"/>
    <w:rsid w:val="00DA4499"/>
    <w:rsid w:val="00DA489E"/>
    <w:rsid w:val="00DA4ACD"/>
    <w:rsid w:val="00DA4C5A"/>
    <w:rsid w:val="00DA4D8A"/>
    <w:rsid w:val="00DA4E52"/>
    <w:rsid w:val="00DA597E"/>
    <w:rsid w:val="00DA5B37"/>
    <w:rsid w:val="00DA5C5D"/>
    <w:rsid w:val="00DA5E06"/>
    <w:rsid w:val="00DA5FB4"/>
    <w:rsid w:val="00DA6001"/>
    <w:rsid w:val="00DA62B7"/>
    <w:rsid w:val="00DA6340"/>
    <w:rsid w:val="00DA63E5"/>
    <w:rsid w:val="00DA67BC"/>
    <w:rsid w:val="00DA7092"/>
    <w:rsid w:val="00DA7136"/>
    <w:rsid w:val="00DA733F"/>
    <w:rsid w:val="00DA7478"/>
    <w:rsid w:val="00DA777C"/>
    <w:rsid w:val="00DA7B10"/>
    <w:rsid w:val="00DA7B12"/>
    <w:rsid w:val="00DA7C54"/>
    <w:rsid w:val="00DA7F65"/>
    <w:rsid w:val="00DB0221"/>
    <w:rsid w:val="00DB03C4"/>
    <w:rsid w:val="00DB0759"/>
    <w:rsid w:val="00DB0805"/>
    <w:rsid w:val="00DB0A73"/>
    <w:rsid w:val="00DB119C"/>
    <w:rsid w:val="00DB1348"/>
    <w:rsid w:val="00DB136F"/>
    <w:rsid w:val="00DB1387"/>
    <w:rsid w:val="00DB147E"/>
    <w:rsid w:val="00DB1483"/>
    <w:rsid w:val="00DB1669"/>
    <w:rsid w:val="00DB178A"/>
    <w:rsid w:val="00DB1B62"/>
    <w:rsid w:val="00DB1B9D"/>
    <w:rsid w:val="00DB1DF4"/>
    <w:rsid w:val="00DB1E91"/>
    <w:rsid w:val="00DB2234"/>
    <w:rsid w:val="00DB2312"/>
    <w:rsid w:val="00DB2403"/>
    <w:rsid w:val="00DB2505"/>
    <w:rsid w:val="00DB2648"/>
    <w:rsid w:val="00DB3085"/>
    <w:rsid w:val="00DB3091"/>
    <w:rsid w:val="00DB30CA"/>
    <w:rsid w:val="00DB370D"/>
    <w:rsid w:val="00DB3853"/>
    <w:rsid w:val="00DB395A"/>
    <w:rsid w:val="00DB3ADE"/>
    <w:rsid w:val="00DB3C46"/>
    <w:rsid w:val="00DB3F43"/>
    <w:rsid w:val="00DB4249"/>
    <w:rsid w:val="00DB4CF2"/>
    <w:rsid w:val="00DB4DD1"/>
    <w:rsid w:val="00DB4DD8"/>
    <w:rsid w:val="00DB5441"/>
    <w:rsid w:val="00DB5588"/>
    <w:rsid w:val="00DB5880"/>
    <w:rsid w:val="00DB5D2D"/>
    <w:rsid w:val="00DB6305"/>
    <w:rsid w:val="00DB6626"/>
    <w:rsid w:val="00DB6682"/>
    <w:rsid w:val="00DB669E"/>
    <w:rsid w:val="00DB686B"/>
    <w:rsid w:val="00DB6A10"/>
    <w:rsid w:val="00DB6D50"/>
    <w:rsid w:val="00DB6EAC"/>
    <w:rsid w:val="00DB7026"/>
    <w:rsid w:val="00DB7044"/>
    <w:rsid w:val="00DB70B9"/>
    <w:rsid w:val="00DB72E9"/>
    <w:rsid w:val="00DB72EB"/>
    <w:rsid w:val="00DB7585"/>
    <w:rsid w:val="00DB75C7"/>
    <w:rsid w:val="00DB788E"/>
    <w:rsid w:val="00DB79F9"/>
    <w:rsid w:val="00DB7EFD"/>
    <w:rsid w:val="00DC0205"/>
    <w:rsid w:val="00DC04E9"/>
    <w:rsid w:val="00DC063B"/>
    <w:rsid w:val="00DC079B"/>
    <w:rsid w:val="00DC0839"/>
    <w:rsid w:val="00DC0A5C"/>
    <w:rsid w:val="00DC0D4A"/>
    <w:rsid w:val="00DC0FEB"/>
    <w:rsid w:val="00DC1036"/>
    <w:rsid w:val="00DC1139"/>
    <w:rsid w:val="00DC15D4"/>
    <w:rsid w:val="00DC178E"/>
    <w:rsid w:val="00DC17EA"/>
    <w:rsid w:val="00DC1841"/>
    <w:rsid w:val="00DC1F9E"/>
    <w:rsid w:val="00DC1FB1"/>
    <w:rsid w:val="00DC2102"/>
    <w:rsid w:val="00DC2239"/>
    <w:rsid w:val="00DC2256"/>
    <w:rsid w:val="00DC228F"/>
    <w:rsid w:val="00DC2B1E"/>
    <w:rsid w:val="00DC2BAB"/>
    <w:rsid w:val="00DC3094"/>
    <w:rsid w:val="00DC3271"/>
    <w:rsid w:val="00DC3731"/>
    <w:rsid w:val="00DC38A6"/>
    <w:rsid w:val="00DC38E0"/>
    <w:rsid w:val="00DC3F35"/>
    <w:rsid w:val="00DC4229"/>
    <w:rsid w:val="00DC4731"/>
    <w:rsid w:val="00DC4889"/>
    <w:rsid w:val="00DC49A2"/>
    <w:rsid w:val="00DC4FAF"/>
    <w:rsid w:val="00DC50E4"/>
    <w:rsid w:val="00DC53C9"/>
    <w:rsid w:val="00DC543D"/>
    <w:rsid w:val="00DC54A1"/>
    <w:rsid w:val="00DC560B"/>
    <w:rsid w:val="00DC56B0"/>
    <w:rsid w:val="00DC57AD"/>
    <w:rsid w:val="00DC5854"/>
    <w:rsid w:val="00DC5B98"/>
    <w:rsid w:val="00DC5EC3"/>
    <w:rsid w:val="00DC61A5"/>
    <w:rsid w:val="00DC63FD"/>
    <w:rsid w:val="00DC6CEC"/>
    <w:rsid w:val="00DC6FC8"/>
    <w:rsid w:val="00DC702A"/>
    <w:rsid w:val="00DC70F6"/>
    <w:rsid w:val="00DC7311"/>
    <w:rsid w:val="00DC7458"/>
    <w:rsid w:val="00DC76E4"/>
    <w:rsid w:val="00DC76F6"/>
    <w:rsid w:val="00DC7715"/>
    <w:rsid w:val="00DC7AF7"/>
    <w:rsid w:val="00DC7CF2"/>
    <w:rsid w:val="00DC7FBC"/>
    <w:rsid w:val="00DC7FC5"/>
    <w:rsid w:val="00DD020A"/>
    <w:rsid w:val="00DD027D"/>
    <w:rsid w:val="00DD02FC"/>
    <w:rsid w:val="00DD037F"/>
    <w:rsid w:val="00DD06DB"/>
    <w:rsid w:val="00DD0C35"/>
    <w:rsid w:val="00DD0D4C"/>
    <w:rsid w:val="00DD0D95"/>
    <w:rsid w:val="00DD0F27"/>
    <w:rsid w:val="00DD108B"/>
    <w:rsid w:val="00DD151D"/>
    <w:rsid w:val="00DD159F"/>
    <w:rsid w:val="00DD1945"/>
    <w:rsid w:val="00DD1FE8"/>
    <w:rsid w:val="00DD22C7"/>
    <w:rsid w:val="00DD23D5"/>
    <w:rsid w:val="00DD25E0"/>
    <w:rsid w:val="00DD2791"/>
    <w:rsid w:val="00DD299E"/>
    <w:rsid w:val="00DD29FC"/>
    <w:rsid w:val="00DD2A81"/>
    <w:rsid w:val="00DD308E"/>
    <w:rsid w:val="00DD30EF"/>
    <w:rsid w:val="00DD31D2"/>
    <w:rsid w:val="00DD352B"/>
    <w:rsid w:val="00DD36B2"/>
    <w:rsid w:val="00DD38D0"/>
    <w:rsid w:val="00DD38F3"/>
    <w:rsid w:val="00DD3E08"/>
    <w:rsid w:val="00DD3E2D"/>
    <w:rsid w:val="00DD4172"/>
    <w:rsid w:val="00DD41DB"/>
    <w:rsid w:val="00DD44D2"/>
    <w:rsid w:val="00DD44E8"/>
    <w:rsid w:val="00DD480F"/>
    <w:rsid w:val="00DD4830"/>
    <w:rsid w:val="00DD4AB2"/>
    <w:rsid w:val="00DD4C39"/>
    <w:rsid w:val="00DD4C52"/>
    <w:rsid w:val="00DD4E27"/>
    <w:rsid w:val="00DD4F52"/>
    <w:rsid w:val="00DD54B2"/>
    <w:rsid w:val="00DD5585"/>
    <w:rsid w:val="00DD55F9"/>
    <w:rsid w:val="00DD5B22"/>
    <w:rsid w:val="00DD5EDD"/>
    <w:rsid w:val="00DD6131"/>
    <w:rsid w:val="00DD6236"/>
    <w:rsid w:val="00DD6254"/>
    <w:rsid w:val="00DD6502"/>
    <w:rsid w:val="00DD6705"/>
    <w:rsid w:val="00DD671B"/>
    <w:rsid w:val="00DD6C8B"/>
    <w:rsid w:val="00DD7024"/>
    <w:rsid w:val="00DD7334"/>
    <w:rsid w:val="00DD7609"/>
    <w:rsid w:val="00DD7635"/>
    <w:rsid w:val="00DD7769"/>
    <w:rsid w:val="00DD776B"/>
    <w:rsid w:val="00DD77B4"/>
    <w:rsid w:val="00DD7D1B"/>
    <w:rsid w:val="00DD7D91"/>
    <w:rsid w:val="00DD7FAB"/>
    <w:rsid w:val="00DE0000"/>
    <w:rsid w:val="00DE0256"/>
    <w:rsid w:val="00DE05F3"/>
    <w:rsid w:val="00DE0D74"/>
    <w:rsid w:val="00DE0E3F"/>
    <w:rsid w:val="00DE0F05"/>
    <w:rsid w:val="00DE0F8F"/>
    <w:rsid w:val="00DE1068"/>
    <w:rsid w:val="00DE1180"/>
    <w:rsid w:val="00DE161F"/>
    <w:rsid w:val="00DE1E31"/>
    <w:rsid w:val="00DE1ED4"/>
    <w:rsid w:val="00DE2051"/>
    <w:rsid w:val="00DE20FE"/>
    <w:rsid w:val="00DE2108"/>
    <w:rsid w:val="00DE2839"/>
    <w:rsid w:val="00DE2B1B"/>
    <w:rsid w:val="00DE2C31"/>
    <w:rsid w:val="00DE2D5F"/>
    <w:rsid w:val="00DE3074"/>
    <w:rsid w:val="00DE30C1"/>
    <w:rsid w:val="00DE3612"/>
    <w:rsid w:val="00DE398A"/>
    <w:rsid w:val="00DE3A69"/>
    <w:rsid w:val="00DE3B57"/>
    <w:rsid w:val="00DE3C97"/>
    <w:rsid w:val="00DE3FEF"/>
    <w:rsid w:val="00DE40BA"/>
    <w:rsid w:val="00DE42DD"/>
    <w:rsid w:val="00DE440C"/>
    <w:rsid w:val="00DE4416"/>
    <w:rsid w:val="00DE4483"/>
    <w:rsid w:val="00DE456F"/>
    <w:rsid w:val="00DE4793"/>
    <w:rsid w:val="00DE4E64"/>
    <w:rsid w:val="00DE4F00"/>
    <w:rsid w:val="00DE521D"/>
    <w:rsid w:val="00DE55EC"/>
    <w:rsid w:val="00DE5869"/>
    <w:rsid w:val="00DE5874"/>
    <w:rsid w:val="00DE58B2"/>
    <w:rsid w:val="00DE5A47"/>
    <w:rsid w:val="00DE5A98"/>
    <w:rsid w:val="00DE5B86"/>
    <w:rsid w:val="00DE5EE0"/>
    <w:rsid w:val="00DE61FB"/>
    <w:rsid w:val="00DE6323"/>
    <w:rsid w:val="00DE65FD"/>
    <w:rsid w:val="00DE69A9"/>
    <w:rsid w:val="00DE6DDB"/>
    <w:rsid w:val="00DE6DDC"/>
    <w:rsid w:val="00DE7273"/>
    <w:rsid w:val="00DE7345"/>
    <w:rsid w:val="00DE748F"/>
    <w:rsid w:val="00DE7E54"/>
    <w:rsid w:val="00DF05B5"/>
    <w:rsid w:val="00DF06BD"/>
    <w:rsid w:val="00DF06EC"/>
    <w:rsid w:val="00DF089F"/>
    <w:rsid w:val="00DF0A89"/>
    <w:rsid w:val="00DF0B08"/>
    <w:rsid w:val="00DF0BCB"/>
    <w:rsid w:val="00DF0C76"/>
    <w:rsid w:val="00DF0C9E"/>
    <w:rsid w:val="00DF0D52"/>
    <w:rsid w:val="00DF15E2"/>
    <w:rsid w:val="00DF170B"/>
    <w:rsid w:val="00DF1729"/>
    <w:rsid w:val="00DF1766"/>
    <w:rsid w:val="00DF1A7A"/>
    <w:rsid w:val="00DF1FF4"/>
    <w:rsid w:val="00DF237D"/>
    <w:rsid w:val="00DF2456"/>
    <w:rsid w:val="00DF246D"/>
    <w:rsid w:val="00DF27ED"/>
    <w:rsid w:val="00DF2959"/>
    <w:rsid w:val="00DF2CCC"/>
    <w:rsid w:val="00DF30F3"/>
    <w:rsid w:val="00DF3180"/>
    <w:rsid w:val="00DF32F9"/>
    <w:rsid w:val="00DF35E9"/>
    <w:rsid w:val="00DF37EF"/>
    <w:rsid w:val="00DF39CE"/>
    <w:rsid w:val="00DF3B38"/>
    <w:rsid w:val="00DF3BD7"/>
    <w:rsid w:val="00DF3ED2"/>
    <w:rsid w:val="00DF4201"/>
    <w:rsid w:val="00DF425A"/>
    <w:rsid w:val="00DF42AD"/>
    <w:rsid w:val="00DF433D"/>
    <w:rsid w:val="00DF43CC"/>
    <w:rsid w:val="00DF4618"/>
    <w:rsid w:val="00DF498C"/>
    <w:rsid w:val="00DF4A70"/>
    <w:rsid w:val="00DF4B08"/>
    <w:rsid w:val="00DF4EE3"/>
    <w:rsid w:val="00DF5032"/>
    <w:rsid w:val="00DF5041"/>
    <w:rsid w:val="00DF52BB"/>
    <w:rsid w:val="00DF53D2"/>
    <w:rsid w:val="00DF550C"/>
    <w:rsid w:val="00DF59B4"/>
    <w:rsid w:val="00DF60EC"/>
    <w:rsid w:val="00DF6174"/>
    <w:rsid w:val="00DF61D6"/>
    <w:rsid w:val="00DF62E4"/>
    <w:rsid w:val="00DF67FC"/>
    <w:rsid w:val="00DF6C3A"/>
    <w:rsid w:val="00DF6F2E"/>
    <w:rsid w:val="00DF7483"/>
    <w:rsid w:val="00DF74AC"/>
    <w:rsid w:val="00DF75B9"/>
    <w:rsid w:val="00DF7603"/>
    <w:rsid w:val="00DF795D"/>
    <w:rsid w:val="00DF7BD0"/>
    <w:rsid w:val="00DF7CAE"/>
    <w:rsid w:val="00E00169"/>
    <w:rsid w:val="00E004A2"/>
    <w:rsid w:val="00E00874"/>
    <w:rsid w:val="00E00D41"/>
    <w:rsid w:val="00E013B6"/>
    <w:rsid w:val="00E01429"/>
    <w:rsid w:val="00E019E9"/>
    <w:rsid w:val="00E01ADF"/>
    <w:rsid w:val="00E01BCC"/>
    <w:rsid w:val="00E01BCD"/>
    <w:rsid w:val="00E01C48"/>
    <w:rsid w:val="00E01E43"/>
    <w:rsid w:val="00E01EAD"/>
    <w:rsid w:val="00E022BA"/>
    <w:rsid w:val="00E0249A"/>
    <w:rsid w:val="00E0285A"/>
    <w:rsid w:val="00E02B90"/>
    <w:rsid w:val="00E02C18"/>
    <w:rsid w:val="00E02EEC"/>
    <w:rsid w:val="00E02FF5"/>
    <w:rsid w:val="00E031B7"/>
    <w:rsid w:val="00E0340F"/>
    <w:rsid w:val="00E034E2"/>
    <w:rsid w:val="00E034F3"/>
    <w:rsid w:val="00E03673"/>
    <w:rsid w:val="00E03818"/>
    <w:rsid w:val="00E039E0"/>
    <w:rsid w:val="00E03C6C"/>
    <w:rsid w:val="00E03D12"/>
    <w:rsid w:val="00E03D1A"/>
    <w:rsid w:val="00E03DD5"/>
    <w:rsid w:val="00E0402C"/>
    <w:rsid w:val="00E0428C"/>
    <w:rsid w:val="00E04422"/>
    <w:rsid w:val="00E047E2"/>
    <w:rsid w:val="00E04B08"/>
    <w:rsid w:val="00E04CF3"/>
    <w:rsid w:val="00E05083"/>
    <w:rsid w:val="00E0519B"/>
    <w:rsid w:val="00E05544"/>
    <w:rsid w:val="00E0576A"/>
    <w:rsid w:val="00E05E2C"/>
    <w:rsid w:val="00E061A0"/>
    <w:rsid w:val="00E06230"/>
    <w:rsid w:val="00E06297"/>
    <w:rsid w:val="00E064BA"/>
    <w:rsid w:val="00E06684"/>
    <w:rsid w:val="00E0677B"/>
    <w:rsid w:val="00E067F5"/>
    <w:rsid w:val="00E06813"/>
    <w:rsid w:val="00E06E21"/>
    <w:rsid w:val="00E07899"/>
    <w:rsid w:val="00E07BE0"/>
    <w:rsid w:val="00E07FAD"/>
    <w:rsid w:val="00E100AE"/>
    <w:rsid w:val="00E102C5"/>
    <w:rsid w:val="00E10313"/>
    <w:rsid w:val="00E10434"/>
    <w:rsid w:val="00E104CB"/>
    <w:rsid w:val="00E10692"/>
    <w:rsid w:val="00E10ABB"/>
    <w:rsid w:val="00E10C46"/>
    <w:rsid w:val="00E10E88"/>
    <w:rsid w:val="00E10FAD"/>
    <w:rsid w:val="00E1111C"/>
    <w:rsid w:val="00E114BE"/>
    <w:rsid w:val="00E114F5"/>
    <w:rsid w:val="00E118E7"/>
    <w:rsid w:val="00E11A3F"/>
    <w:rsid w:val="00E11F8F"/>
    <w:rsid w:val="00E124E8"/>
    <w:rsid w:val="00E12778"/>
    <w:rsid w:val="00E1283D"/>
    <w:rsid w:val="00E12E81"/>
    <w:rsid w:val="00E12EBB"/>
    <w:rsid w:val="00E132A3"/>
    <w:rsid w:val="00E133A2"/>
    <w:rsid w:val="00E1370C"/>
    <w:rsid w:val="00E13890"/>
    <w:rsid w:val="00E13A66"/>
    <w:rsid w:val="00E13AF8"/>
    <w:rsid w:val="00E13B5A"/>
    <w:rsid w:val="00E13DB6"/>
    <w:rsid w:val="00E14129"/>
    <w:rsid w:val="00E1416E"/>
    <w:rsid w:val="00E1467D"/>
    <w:rsid w:val="00E14734"/>
    <w:rsid w:val="00E14814"/>
    <w:rsid w:val="00E14869"/>
    <w:rsid w:val="00E14C0F"/>
    <w:rsid w:val="00E14DD7"/>
    <w:rsid w:val="00E14EDF"/>
    <w:rsid w:val="00E14F1C"/>
    <w:rsid w:val="00E152EC"/>
    <w:rsid w:val="00E1547F"/>
    <w:rsid w:val="00E15B1E"/>
    <w:rsid w:val="00E15BEC"/>
    <w:rsid w:val="00E15E21"/>
    <w:rsid w:val="00E16221"/>
    <w:rsid w:val="00E16379"/>
    <w:rsid w:val="00E1639F"/>
    <w:rsid w:val="00E164A1"/>
    <w:rsid w:val="00E166A7"/>
    <w:rsid w:val="00E16898"/>
    <w:rsid w:val="00E16C19"/>
    <w:rsid w:val="00E16D7A"/>
    <w:rsid w:val="00E171CB"/>
    <w:rsid w:val="00E1774E"/>
    <w:rsid w:val="00E177FE"/>
    <w:rsid w:val="00E1792A"/>
    <w:rsid w:val="00E17ACF"/>
    <w:rsid w:val="00E17B1B"/>
    <w:rsid w:val="00E17BCD"/>
    <w:rsid w:val="00E17C90"/>
    <w:rsid w:val="00E17F18"/>
    <w:rsid w:val="00E20072"/>
    <w:rsid w:val="00E208CE"/>
    <w:rsid w:val="00E20B0F"/>
    <w:rsid w:val="00E20B24"/>
    <w:rsid w:val="00E20FAE"/>
    <w:rsid w:val="00E20FE8"/>
    <w:rsid w:val="00E2101A"/>
    <w:rsid w:val="00E2109A"/>
    <w:rsid w:val="00E212B7"/>
    <w:rsid w:val="00E213A3"/>
    <w:rsid w:val="00E2164E"/>
    <w:rsid w:val="00E216A7"/>
    <w:rsid w:val="00E21AA4"/>
    <w:rsid w:val="00E21E4A"/>
    <w:rsid w:val="00E21F5E"/>
    <w:rsid w:val="00E229CD"/>
    <w:rsid w:val="00E22AFF"/>
    <w:rsid w:val="00E22C39"/>
    <w:rsid w:val="00E22EA0"/>
    <w:rsid w:val="00E22EB7"/>
    <w:rsid w:val="00E23155"/>
    <w:rsid w:val="00E2331A"/>
    <w:rsid w:val="00E236A6"/>
    <w:rsid w:val="00E23A95"/>
    <w:rsid w:val="00E23B67"/>
    <w:rsid w:val="00E240CE"/>
    <w:rsid w:val="00E243EA"/>
    <w:rsid w:val="00E245D0"/>
    <w:rsid w:val="00E2473F"/>
    <w:rsid w:val="00E2495C"/>
    <w:rsid w:val="00E24C5C"/>
    <w:rsid w:val="00E2509F"/>
    <w:rsid w:val="00E25226"/>
    <w:rsid w:val="00E2523D"/>
    <w:rsid w:val="00E2525D"/>
    <w:rsid w:val="00E2557F"/>
    <w:rsid w:val="00E2577F"/>
    <w:rsid w:val="00E25D1F"/>
    <w:rsid w:val="00E25E56"/>
    <w:rsid w:val="00E25ED7"/>
    <w:rsid w:val="00E26052"/>
    <w:rsid w:val="00E26221"/>
    <w:rsid w:val="00E26296"/>
    <w:rsid w:val="00E265D4"/>
    <w:rsid w:val="00E2670B"/>
    <w:rsid w:val="00E2674B"/>
    <w:rsid w:val="00E26795"/>
    <w:rsid w:val="00E268B2"/>
    <w:rsid w:val="00E26932"/>
    <w:rsid w:val="00E26A4D"/>
    <w:rsid w:val="00E26DA1"/>
    <w:rsid w:val="00E27072"/>
    <w:rsid w:val="00E27244"/>
    <w:rsid w:val="00E27259"/>
    <w:rsid w:val="00E27653"/>
    <w:rsid w:val="00E27825"/>
    <w:rsid w:val="00E278E3"/>
    <w:rsid w:val="00E27C72"/>
    <w:rsid w:val="00E27CC8"/>
    <w:rsid w:val="00E27FDA"/>
    <w:rsid w:val="00E30079"/>
    <w:rsid w:val="00E3030C"/>
    <w:rsid w:val="00E30350"/>
    <w:rsid w:val="00E30441"/>
    <w:rsid w:val="00E304E9"/>
    <w:rsid w:val="00E30604"/>
    <w:rsid w:val="00E30A65"/>
    <w:rsid w:val="00E30CB8"/>
    <w:rsid w:val="00E30CF2"/>
    <w:rsid w:val="00E30E59"/>
    <w:rsid w:val="00E31117"/>
    <w:rsid w:val="00E31431"/>
    <w:rsid w:val="00E31E3B"/>
    <w:rsid w:val="00E3228E"/>
    <w:rsid w:val="00E3241C"/>
    <w:rsid w:val="00E32725"/>
    <w:rsid w:val="00E32892"/>
    <w:rsid w:val="00E3295C"/>
    <w:rsid w:val="00E32C7F"/>
    <w:rsid w:val="00E32D35"/>
    <w:rsid w:val="00E32E50"/>
    <w:rsid w:val="00E3334D"/>
    <w:rsid w:val="00E3339F"/>
    <w:rsid w:val="00E334A1"/>
    <w:rsid w:val="00E33896"/>
    <w:rsid w:val="00E33CBC"/>
    <w:rsid w:val="00E3449D"/>
    <w:rsid w:val="00E34726"/>
    <w:rsid w:val="00E347E1"/>
    <w:rsid w:val="00E34D81"/>
    <w:rsid w:val="00E34DDA"/>
    <w:rsid w:val="00E34DE7"/>
    <w:rsid w:val="00E34EA2"/>
    <w:rsid w:val="00E34F0A"/>
    <w:rsid w:val="00E35183"/>
    <w:rsid w:val="00E352C6"/>
    <w:rsid w:val="00E3530C"/>
    <w:rsid w:val="00E3551C"/>
    <w:rsid w:val="00E3583E"/>
    <w:rsid w:val="00E35855"/>
    <w:rsid w:val="00E35ABB"/>
    <w:rsid w:val="00E36529"/>
    <w:rsid w:val="00E365CF"/>
    <w:rsid w:val="00E3695C"/>
    <w:rsid w:val="00E36A02"/>
    <w:rsid w:val="00E36A0A"/>
    <w:rsid w:val="00E36A4C"/>
    <w:rsid w:val="00E36E82"/>
    <w:rsid w:val="00E36EBB"/>
    <w:rsid w:val="00E36F7F"/>
    <w:rsid w:val="00E37197"/>
    <w:rsid w:val="00E374A5"/>
    <w:rsid w:val="00E374DD"/>
    <w:rsid w:val="00E37599"/>
    <w:rsid w:val="00E37CCE"/>
    <w:rsid w:val="00E37EE7"/>
    <w:rsid w:val="00E37FD4"/>
    <w:rsid w:val="00E40057"/>
    <w:rsid w:val="00E40587"/>
    <w:rsid w:val="00E40619"/>
    <w:rsid w:val="00E40978"/>
    <w:rsid w:val="00E409EE"/>
    <w:rsid w:val="00E411E5"/>
    <w:rsid w:val="00E4156C"/>
    <w:rsid w:val="00E41616"/>
    <w:rsid w:val="00E4168F"/>
    <w:rsid w:val="00E41956"/>
    <w:rsid w:val="00E41D98"/>
    <w:rsid w:val="00E41DD9"/>
    <w:rsid w:val="00E42182"/>
    <w:rsid w:val="00E422F0"/>
    <w:rsid w:val="00E42368"/>
    <w:rsid w:val="00E42478"/>
    <w:rsid w:val="00E42C0E"/>
    <w:rsid w:val="00E42C79"/>
    <w:rsid w:val="00E42E05"/>
    <w:rsid w:val="00E42F2A"/>
    <w:rsid w:val="00E43042"/>
    <w:rsid w:val="00E43045"/>
    <w:rsid w:val="00E432DB"/>
    <w:rsid w:val="00E43314"/>
    <w:rsid w:val="00E433E0"/>
    <w:rsid w:val="00E438C5"/>
    <w:rsid w:val="00E438F3"/>
    <w:rsid w:val="00E439E1"/>
    <w:rsid w:val="00E43B15"/>
    <w:rsid w:val="00E4401F"/>
    <w:rsid w:val="00E44265"/>
    <w:rsid w:val="00E442D0"/>
    <w:rsid w:val="00E4434E"/>
    <w:rsid w:val="00E4483D"/>
    <w:rsid w:val="00E44BC2"/>
    <w:rsid w:val="00E44EF9"/>
    <w:rsid w:val="00E452E0"/>
    <w:rsid w:val="00E45383"/>
    <w:rsid w:val="00E455A0"/>
    <w:rsid w:val="00E4569E"/>
    <w:rsid w:val="00E45C1E"/>
    <w:rsid w:val="00E45FD1"/>
    <w:rsid w:val="00E46117"/>
    <w:rsid w:val="00E46199"/>
    <w:rsid w:val="00E46246"/>
    <w:rsid w:val="00E46703"/>
    <w:rsid w:val="00E469B6"/>
    <w:rsid w:val="00E469F6"/>
    <w:rsid w:val="00E46A31"/>
    <w:rsid w:val="00E46BD3"/>
    <w:rsid w:val="00E470A6"/>
    <w:rsid w:val="00E47421"/>
    <w:rsid w:val="00E477A3"/>
    <w:rsid w:val="00E47D85"/>
    <w:rsid w:val="00E47DDF"/>
    <w:rsid w:val="00E50359"/>
    <w:rsid w:val="00E50491"/>
    <w:rsid w:val="00E50964"/>
    <w:rsid w:val="00E50DB7"/>
    <w:rsid w:val="00E50F5A"/>
    <w:rsid w:val="00E5100E"/>
    <w:rsid w:val="00E5183B"/>
    <w:rsid w:val="00E51BDC"/>
    <w:rsid w:val="00E51DC7"/>
    <w:rsid w:val="00E51EA7"/>
    <w:rsid w:val="00E51FE2"/>
    <w:rsid w:val="00E52102"/>
    <w:rsid w:val="00E528AA"/>
    <w:rsid w:val="00E52996"/>
    <w:rsid w:val="00E52A96"/>
    <w:rsid w:val="00E52C50"/>
    <w:rsid w:val="00E52CC7"/>
    <w:rsid w:val="00E52E9C"/>
    <w:rsid w:val="00E52FC6"/>
    <w:rsid w:val="00E53023"/>
    <w:rsid w:val="00E532EB"/>
    <w:rsid w:val="00E53786"/>
    <w:rsid w:val="00E5378D"/>
    <w:rsid w:val="00E54282"/>
    <w:rsid w:val="00E5452D"/>
    <w:rsid w:val="00E547B5"/>
    <w:rsid w:val="00E54F9C"/>
    <w:rsid w:val="00E54FB4"/>
    <w:rsid w:val="00E54FB5"/>
    <w:rsid w:val="00E5522D"/>
    <w:rsid w:val="00E55404"/>
    <w:rsid w:val="00E5585B"/>
    <w:rsid w:val="00E55E3D"/>
    <w:rsid w:val="00E56251"/>
    <w:rsid w:val="00E56ABA"/>
    <w:rsid w:val="00E56C65"/>
    <w:rsid w:val="00E57561"/>
    <w:rsid w:val="00E578D2"/>
    <w:rsid w:val="00E57ABC"/>
    <w:rsid w:val="00E57ACD"/>
    <w:rsid w:val="00E57AF8"/>
    <w:rsid w:val="00E57B9A"/>
    <w:rsid w:val="00E600BC"/>
    <w:rsid w:val="00E6012E"/>
    <w:rsid w:val="00E60441"/>
    <w:rsid w:val="00E60531"/>
    <w:rsid w:val="00E607FD"/>
    <w:rsid w:val="00E60A83"/>
    <w:rsid w:val="00E60C9C"/>
    <w:rsid w:val="00E60D0B"/>
    <w:rsid w:val="00E61916"/>
    <w:rsid w:val="00E61BDB"/>
    <w:rsid w:val="00E61CC9"/>
    <w:rsid w:val="00E61D53"/>
    <w:rsid w:val="00E61F16"/>
    <w:rsid w:val="00E61F28"/>
    <w:rsid w:val="00E6206B"/>
    <w:rsid w:val="00E6208C"/>
    <w:rsid w:val="00E6233C"/>
    <w:rsid w:val="00E624FB"/>
    <w:rsid w:val="00E62573"/>
    <w:rsid w:val="00E627D7"/>
    <w:rsid w:val="00E62DD8"/>
    <w:rsid w:val="00E62FDE"/>
    <w:rsid w:val="00E63234"/>
    <w:rsid w:val="00E6324D"/>
    <w:rsid w:val="00E632A1"/>
    <w:rsid w:val="00E635F2"/>
    <w:rsid w:val="00E635FC"/>
    <w:rsid w:val="00E6371B"/>
    <w:rsid w:val="00E638E9"/>
    <w:rsid w:val="00E63CFE"/>
    <w:rsid w:val="00E63EBC"/>
    <w:rsid w:val="00E63F6C"/>
    <w:rsid w:val="00E641E5"/>
    <w:rsid w:val="00E644C6"/>
    <w:rsid w:val="00E6463D"/>
    <w:rsid w:val="00E64A3D"/>
    <w:rsid w:val="00E64B9D"/>
    <w:rsid w:val="00E64EE2"/>
    <w:rsid w:val="00E64EF7"/>
    <w:rsid w:val="00E653EF"/>
    <w:rsid w:val="00E65A14"/>
    <w:rsid w:val="00E65B35"/>
    <w:rsid w:val="00E65B98"/>
    <w:rsid w:val="00E6613D"/>
    <w:rsid w:val="00E663C2"/>
    <w:rsid w:val="00E6669B"/>
    <w:rsid w:val="00E667AC"/>
    <w:rsid w:val="00E66842"/>
    <w:rsid w:val="00E6687C"/>
    <w:rsid w:val="00E66B08"/>
    <w:rsid w:val="00E66B23"/>
    <w:rsid w:val="00E66BA2"/>
    <w:rsid w:val="00E66C90"/>
    <w:rsid w:val="00E67001"/>
    <w:rsid w:val="00E67531"/>
    <w:rsid w:val="00E67708"/>
    <w:rsid w:val="00E67EB0"/>
    <w:rsid w:val="00E67ECF"/>
    <w:rsid w:val="00E67EE9"/>
    <w:rsid w:val="00E701C2"/>
    <w:rsid w:val="00E70296"/>
    <w:rsid w:val="00E70827"/>
    <w:rsid w:val="00E7084E"/>
    <w:rsid w:val="00E70A1B"/>
    <w:rsid w:val="00E70AA5"/>
    <w:rsid w:val="00E70B55"/>
    <w:rsid w:val="00E70E9F"/>
    <w:rsid w:val="00E710A7"/>
    <w:rsid w:val="00E710C6"/>
    <w:rsid w:val="00E712A8"/>
    <w:rsid w:val="00E713B0"/>
    <w:rsid w:val="00E713D3"/>
    <w:rsid w:val="00E715A7"/>
    <w:rsid w:val="00E71858"/>
    <w:rsid w:val="00E71CA3"/>
    <w:rsid w:val="00E71F54"/>
    <w:rsid w:val="00E72098"/>
    <w:rsid w:val="00E720D1"/>
    <w:rsid w:val="00E727BF"/>
    <w:rsid w:val="00E72813"/>
    <w:rsid w:val="00E72E37"/>
    <w:rsid w:val="00E73438"/>
    <w:rsid w:val="00E73460"/>
    <w:rsid w:val="00E73515"/>
    <w:rsid w:val="00E73649"/>
    <w:rsid w:val="00E7369B"/>
    <w:rsid w:val="00E737B4"/>
    <w:rsid w:val="00E73AD7"/>
    <w:rsid w:val="00E73E0D"/>
    <w:rsid w:val="00E73E32"/>
    <w:rsid w:val="00E74401"/>
    <w:rsid w:val="00E746B1"/>
    <w:rsid w:val="00E7475B"/>
    <w:rsid w:val="00E747FB"/>
    <w:rsid w:val="00E74991"/>
    <w:rsid w:val="00E74E38"/>
    <w:rsid w:val="00E74EC8"/>
    <w:rsid w:val="00E7516E"/>
    <w:rsid w:val="00E75436"/>
    <w:rsid w:val="00E75AFF"/>
    <w:rsid w:val="00E75EF9"/>
    <w:rsid w:val="00E7602C"/>
    <w:rsid w:val="00E762CC"/>
    <w:rsid w:val="00E762D6"/>
    <w:rsid w:val="00E76976"/>
    <w:rsid w:val="00E76AF8"/>
    <w:rsid w:val="00E76B20"/>
    <w:rsid w:val="00E76C10"/>
    <w:rsid w:val="00E76D44"/>
    <w:rsid w:val="00E774F5"/>
    <w:rsid w:val="00E778C2"/>
    <w:rsid w:val="00E77AE6"/>
    <w:rsid w:val="00E77CE7"/>
    <w:rsid w:val="00E77E98"/>
    <w:rsid w:val="00E77F6A"/>
    <w:rsid w:val="00E80629"/>
    <w:rsid w:val="00E80C2C"/>
    <w:rsid w:val="00E80FF3"/>
    <w:rsid w:val="00E81104"/>
    <w:rsid w:val="00E81261"/>
    <w:rsid w:val="00E8163B"/>
    <w:rsid w:val="00E81896"/>
    <w:rsid w:val="00E819A3"/>
    <w:rsid w:val="00E81F96"/>
    <w:rsid w:val="00E82403"/>
    <w:rsid w:val="00E82425"/>
    <w:rsid w:val="00E824AD"/>
    <w:rsid w:val="00E82533"/>
    <w:rsid w:val="00E82AE2"/>
    <w:rsid w:val="00E8328B"/>
    <w:rsid w:val="00E832F5"/>
    <w:rsid w:val="00E83606"/>
    <w:rsid w:val="00E83755"/>
    <w:rsid w:val="00E8377B"/>
    <w:rsid w:val="00E8381E"/>
    <w:rsid w:val="00E83857"/>
    <w:rsid w:val="00E8417E"/>
    <w:rsid w:val="00E8438C"/>
    <w:rsid w:val="00E8440D"/>
    <w:rsid w:val="00E844B1"/>
    <w:rsid w:val="00E84958"/>
    <w:rsid w:val="00E84A05"/>
    <w:rsid w:val="00E84C62"/>
    <w:rsid w:val="00E84E58"/>
    <w:rsid w:val="00E8511B"/>
    <w:rsid w:val="00E85539"/>
    <w:rsid w:val="00E8559E"/>
    <w:rsid w:val="00E85786"/>
    <w:rsid w:val="00E85928"/>
    <w:rsid w:val="00E85A51"/>
    <w:rsid w:val="00E85BD5"/>
    <w:rsid w:val="00E85DB1"/>
    <w:rsid w:val="00E8642A"/>
    <w:rsid w:val="00E8643B"/>
    <w:rsid w:val="00E86554"/>
    <w:rsid w:val="00E86BE3"/>
    <w:rsid w:val="00E86C4E"/>
    <w:rsid w:val="00E86FB0"/>
    <w:rsid w:val="00E87316"/>
    <w:rsid w:val="00E874DC"/>
    <w:rsid w:val="00E87DE8"/>
    <w:rsid w:val="00E87F31"/>
    <w:rsid w:val="00E90723"/>
    <w:rsid w:val="00E90857"/>
    <w:rsid w:val="00E909A2"/>
    <w:rsid w:val="00E90AC4"/>
    <w:rsid w:val="00E90B88"/>
    <w:rsid w:val="00E9119D"/>
    <w:rsid w:val="00E91229"/>
    <w:rsid w:val="00E912C3"/>
    <w:rsid w:val="00E918DD"/>
    <w:rsid w:val="00E918FE"/>
    <w:rsid w:val="00E9219F"/>
    <w:rsid w:val="00E921F8"/>
    <w:rsid w:val="00E924BC"/>
    <w:rsid w:val="00E92671"/>
    <w:rsid w:val="00E92887"/>
    <w:rsid w:val="00E92DA9"/>
    <w:rsid w:val="00E92E8D"/>
    <w:rsid w:val="00E9313A"/>
    <w:rsid w:val="00E93223"/>
    <w:rsid w:val="00E9323C"/>
    <w:rsid w:val="00E93330"/>
    <w:rsid w:val="00E93928"/>
    <w:rsid w:val="00E93A06"/>
    <w:rsid w:val="00E93F55"/>
    <w:rsid w:val="00E93FAF"/>
    <w:rsid w:val="00E94084"/>
    <w:rsid w:val="00E942AA"/>
    <w:rsid w:val="00E94340"/>
    <w:rsid w:val="00E94949"/>
    <w:rsid w:val="00E94960"/>
    <w:rsid w:val="00E949F6"/>
    <w:rsid w:val="00E94CA2"/>
    <w:rsid w:val="00E951EB"/>
    <w:rsid w:val="00E95376"/>
    <w:rsid w:val="00E953D7"/>
    <w:rsid w:val="00E95469"/>
    <w:rsid w:val="00E9654B"/>
    <w:rsid w:val="00E967D1"/>
    <w:rsid w:val="00E96B9D"/>
    <w:rsid w:val="00E96C96"/>
    <w:rsid w:val="00E96E9D"/>
    <w:rsid w:val="00E97103"/>
    <w:rsid w:val="00E97125"/>
    <w:rsid w:val="00E971EA"/>
    <w:rsid w:val="00E97651"/>
    <w:rsid w:val="00E97E8A"/>
    <w:rsid w:val="00EA00AE"/>
    <w:rsid w:val="00EA02E2"/>
    <w:rsid w:val="00EA0B47"/>
    <w:rsid w:val="00EA0FDF"/>
    <w:rsid w:val="00EA1003"/>
    <w:rsid w:val="00EA111A"/>
    <w:rsid w:val="00EA1252"/>
    <w:rsid w:val="00EA13D2"/>
    <w:rsid w:val="00EA143B"/>
    <w:rsid w:val="00EA15D6"/>
    <w:rsid w:val="00EA1740"/>
    <w:rsid w:val="00EA1A13"/>
    <w:rsid w:val="00EA1A5F"/>
    <w:rsid w:val="00EA1AA3"/>
    <w:rsid w:val="00EA1AE3"/>
    <w:rsid w:val="00EA1C88"/>
    <w:rsid w:val="00EA1DAD"/>
    <w:rsid w:val="00EA21C5"/>
    <w:rsid w:val="00EA2740"/>
    <w:rsid w:val="00EA276A"/>
    <w:rsid w:val="00EA29E7"/>
    <w:rsid w:val="00EA2D8F"/>
    <w:rsid w:val="00EA2DAE"/>
    <w:rsid w:val="00EA2E24"/>
    <w:rsid w:val="00EA36F2"/>
    <w:rsid w:val="00EA3BB7"/>
    <w:rsid w:val="00EA3CB1"/>
    <w:rsid w:val="00EA3E6C"/>
    <w:rsid w:val="00EA3E84"/>
    <w:rsid w:val="00EA3EFB"/>
    <w:rsid w:val="00EA4163"/>
    <w:rsid w:val="00EA4661"/>
    <w:rsid w:val="00EA466D"/>
    <w:rsid w:val="00EA487E"/>
    <w:rsid w:val="00EA49C2"/>
    <w:rsid w:val="00EA5174"/>
    <w:rsid w:val="00EA619D"/>
    <w:rsid w:val="00EA66CD"/>
    <w:rsid w:val="00EA688B"/>
    <w:rsid w:val="00EA6E05"/>
    <w:rsid w:val="00EA70D1"/>
    <w:rsid w:val="00EA70EE"/>
    <w:rsid w:val="00EA73E1"/>
    <w:rsid w:val="00EA75EE"/>
    <w:rsid w:val="00EA7ACD"/>
    <w:rsid w:val="00EA7B33"/>
    <w:rsid w:val="00EA7B4E"/>
    <w:rsid w:val="00EA7C2F"/>
    <w:rsid w:val="00EA7C33"/>
    <w:rsid w:val="00EA7C6C"/>
    <w:rsid w:val="00EB0123"/>
    <w:rsid w:val="00EB01FA"/>
    <w:rsid w:val="00EB097F"/>
    <w:rsid w:val="00EB0D10"/>
    <w:rsid w:val="00EB0D93"/>
    <w:rsid w:val="00EB1440"/>
    <w:rsid w:val="00EB1476"/>
    <w:rsid w:val="00EB155B"/>
    <w:rsid w:val="00EB17F1"/>
    <w:rsid w:val="00EB196F"/>
    <w:rsid w:val="00EB1974"/>
    <w:rsid w:val="00EB1A15"/>
    <w:rsid w:val="00EB1DAB"/>
    <w:rsid w:val="00EB1EF7"/>
    <w:rsid w:val="00EB223E"/>
    <w:rsid w:val="00EB2497"/>
    <w:rsid w:val="00EB25EF"/>
    <w:rsid w:val="00EB2BBD"/>
    <w:rsid w:val="00EB3043"/>
    <w:rsid w:val="00EB34FA"/>
    <w:rsid w:val="00EB38B6"/>
    <w:rsid w:val="00EB3BD8"/>
    <w:rsid w:val="00EB409D"/>
    <w:rsid w:val="00EB40C8"/>
    <w:rsid w:val="00EB4398"/>
    <w:rsid w:val="00EB458F"/>
    <w:rsid w:val="00EB4730"/>
    <w:rsid w:val="00EB4C3E"/>
    <w:rsid w:val="00EB5065"/>
    <w:rsid w:val="00EB51F0"/>
    <w:rsid w:val="00EB536E"/>
    <w:rsid w:val="00EB53A9"/>
    <w:rsid w:val="00EB58BC"/>
    <w:rsid w:val="00EB5AD0"/>
    <w:rsid w:val="00EB5E1E"/>
    <w:rsid w:val="00EB60A9"/>
    <w:rsid w:val="00EB60DF"/>
    <w:rsid w:val="00EB6715"/>
    <w:rsid w:val="00EB6996"/>
    <w:rsid w:val="00EB69EB"/>
    <w:rsid w:val="00EB7263"/>
    <w:rsid w:val="00EB7515"/>
    <w:rsid w:val="00EB7576"/>
    <w:rsid w:val="00EB7614"/>
    <w:rsid w:val="00EB77B7"/>
    <w:rsid w:val="00EB7926"/>
    <w:rsid w:val="00EB7A3F"/>
    <w:rsid w:val="00EB7C40"/>
    <w:rsid w:val="00EB7E19"/>
    <w:rsid w:val="00EB7F90"/>
    <w:rsid w:val="00EC09FF"/>
    <w:rsid w:val="00EC0B0D"/>
    <w:rsid w:val="00EC0C28"/>
    <w:rsid w:val="00EC0D6B"/>
    <w:rsid w:val="00EC0FF2"/>
    <w:rsid w:val="00EC10DD"/>
    <w:rsid w:val="00EC1113"/>
    <w:rsid w:val="00EC1208"/>
    <w:rsid w:val="00EC1527"/>
    <w:rsid w:val="00EC171F"/>
    <w:rsid w:val="00EC1C53"/>
    <w:rsid w:val="00EC1D74"/>
    <w:rsid w:val="00EC2344"/>
    <w:rsid w:val="00EC255D"/>
    <w:rsid w:val="00EC27EB"/>
    <w:rsid w:val="00EC2886"/>
    <w:rsid w:val="00EC2950"/>
    <w:rsid w:val="00EC2A76"/>
    <w:rsid w:val="00EC2CEF"/>
    <w:rsid w:val="00EC2D8B"/>
    <w:rsid w:val="00EC2DC7"/>
    <w:rsid w:val="00EC31C7"/>
    <w:rsid w:val="00EC3B44"/>
    <w:rsid w:val="00EC3BFD"/>
    <w:rsid w:val="00EC40BB"/>
    <w:rsid w:val="00EC40EC"/>
    <w:rsid w:val="00EC40F7"/>
    <w:rsid w:val="00EC4303"/>
    <w:rsid w:val="00EC4422"/>
    <w:rsid w:val="00EC4428"/>
    <w:rsid w:val="00EC44F0"/>
    <w:rsid w:val="00EC456A"/>
    <w:rsid w:val="00EC45AD"/>
    <w:rsid w:val="00EC50B5"/>
    <w:rsid w:val="00EC519C"/>
    <w:rsid w:val="00EC52FE"/>
    <w:rsid w:val="00EC54DD"/>
    <w:rsid w:val="00EC566F"/>
    <w:rsid w:val="00EC57E9"/>
    <w:rsid w:val="00EC5825"/>
    <w:rsid w:val="00EC5834"/>
    <w:rsid w:val="00EC596E"/>
    <w:rsid w:val="00EC5BD0"/>
    <w:rsid w:val="00EC61C2"/>
    <w:rsid w:val="00EC674A"/>
    <w:rsid w:val="00EC6B43"/>
    <w:rsid w:val="00EC6C02"/>
    <w:rsid w:val="00EC6D0B"/>
    <w:rsid w:val="00EC6DBA"/>
    <w:rsid w:val="00EC6E78"/>
    <w:rsid w:val="00EC6EB7"/>
    <w:rsid w:val="00EC6F43"/>
    <w:rsid w:val="00EC6F50"/>
    <w:rsid w:val="00EC7066"/>
    <w:rsid w:val="00EC70DD"/>
    <w:rsid w:val="00EC755B"/>
    <w:rsid w:val="00EC7777"/>
    <w:rsid w:val="00EC7854"/>
    <w:rsid w:val="00EC7AFF"/>
    <w:rsid w:val="00ED0123"/>
    <w:rsid w:val="00ED0546"/>
    <w:rsid w:val="00ED05B0"/>
    <w:rsid w:val="00ED0AC8"/>
    <w:rsid w:val="00ED0B75"/>
    <w:rsid w:val="00ED0FA9"/>
    <w:rsid w:val="00ED1123"/>
    <w:rsid w:val="00ED126C"/>
    <w:rsid w:val="00ED1838"/>
    <w:rsid w:val="00ED18E4"/>
    <w:rsid w:val="00ED20DC"/>
    <w:rsid w:val="00ED2110"/>
    <w:rsid w:val="00ED261C"/>
    <w:rsid w:val="00ED27FE"/>
    <w:rsid w:val="00ED2FA8"/>
    <w:rsid w:val="00ED33E4"/>
    <w:rsid w:val="00ED347E"/>
    <w:rsid w:val="00ED397B"/>
    <w:rsid w:val="00ED3D51"/>
    <w:rsid w:val="00ED3FC2"/>
    <w:rsid w:val="00ED441D"/>
    <w:rsid w:val="00ED4594"/>
    <w:rsid w:val="00ED4851"/>
    <w:rsid w:val="00ED51DB"/>
    <w:rsid w:val="00ED5220"/>
    <w:rsid w:val="00ED5279"/>
    <w:rsid w:val="00ED5977"/>
    <w:rsid w:val="00ED59B4"/>
    <w:rsid w:val="00ED59C1"/>
    <w:rsid w:val="00ED60C7"/>
    <w:rsid w:val="00ED6229"/>
    <w:rsid w:val="00ED64BA"/>
    <w:rsid w:val="00ED6B21"/>
    <w:rsid w:val="00ED6CEA"/>
    <w:rsid w:val="00ED6F57"/>
    <w:rsid w:val="00ED7074"/>
    <w:rsid w:val="00ED70B4"/>
    <w:rsid w:val="00ED7224"/>
    <w:rsid w:val="00ED76FA"/>
    <w:rsid w:val="00ED7A06"/>
    <w:rsid w:val="00ED7E69"/>
    <w:rsid w:val="00EE020B"/>
    <w:rsid w:val="00EE034E"/>
    <w:rsid w:val="00EE0636"/>
    <w:rsid w:val="00EE06E2"/>
    <w:rsid w:val="00EE0851"/>
    <w:rsid w:val="00EE096D"/>
    <w:rsid w:val="00EE0A3E"/>
    <w:rsid w:val="00EE0EB0"/>
    <w:rsid w:val="00EE0F9E"/>
    <w:rsid w:val="00EE1050"/>
    <w:rsid w:val="00EE1502"/>
    <w:rsid w:val="00EE1C12"/>
    <w:rsid w:val="00EE1D61"/>
    <w:rsid w:val="00EE217A"/>
    <w:rsid w:val="00EE2212"/>
    <w:rsid w:val="00EE2275"/>
    <w:rsid w:val="00EE2287"/>
    <w:rsid w:val="00EE2875"/>
    <w:rsid w:val="00EE2B17"/>
    <w:rsid w:val="00EE2D0E"/>
    <w:rsid w:val="00EE2FB6"/>
    <w:rsid w:val="00EE3200"/>
    <w:rsid w:val="00EE3217"/>
    <w:rsid w:val="00EE33D8"/>
    <w:rsid w:val="00EE361F"/>
    <w:rsid w:val="00EE369A"/>
    <w:rsid w:val="00EE39B1"/>
    <w:rsid w:val="00EE3C42"/>
    <w:rsid w:val="00EE3D5D"/>
    <w:rsid w:val="00EE41FF"/>
    <w:rsid w:val="00EE42B5"/>
    <w:rsid w:val="00EE4382"/>
    <w:rsid w:val="00EE4395"/>
    <w:rsid w:val="00EE473E"/>
    <w:rsid w:val="00EE4B56"/>
    <w:rsid w:val="00EE4BCD"/>
    <w:rsid w:val="00EE4CD9"/>
    <w:rsid w:val="00EE4ECF"/>
    <w:rsid w:val="00EE501F"/>
    <w:rsid w:val="00EE5120"/>
    <w:rsid w:val="00EE5241"/>
    <w:rsid w:val="00EE574E"/>
    <w:rsid w:val="00EE5896"/>
    <w:rsid w:val="00EE58BF"/>
    <w:rsid w:val="00EE5997"/>
    <w:rsid w:val="00EE5E78"/>
    <w:rsid w:val="00EE6175"/>
    <w:rsid w:val="00EE62AD"/>
    <w:rsid w:val="00EE63B5"/>
    <w:rsid w:val="00EE68AB"/>
    <w:rsid w:val="00EE6B7B"/>
    <w:rsid w:val="00EE6DFD"/>
    <w:rsid w:val="00EE6F7D"/>
    <w:rsid w:val="00EE71C9"/>
    <w:rsid w:val="00EE724F"/>
    <w:rsid w:val="00EE73CB"/>
    <w:rsid w:val="00EE7903"/>
    <w:rsid w:val="00EE79A6"/>
    <w:rsid w:val="00EE7D18"/>
    <w:rsid w:val="00EE7FD4"/>
    <w:rsid w:val="00EE7FF5"/>
    <w:rsid w:val="00EF00F6"/>
    <w:rsid w:val="00EF015D"/>
    <w:rsid w:val="00EF01E6"/>
    <w:rsid w:val="00EF0203"/>
    <w:rsid w:val="00EF0C6F"/>
    <w:rsid w:val="00EF0D69"/>
    <w:rsid w:val="00EF1167"/>
    <w:rsid w:val="00EF1504"/>
    <w:rsid w:val="00EF176D"/>
    <w:rsid w:val="00EF1880"/>
    <w:rsid w:val="00EF1CDD"/>
    <w:rsid w:val="00EF1CE7"/>
    <w:rsid w:val="00EF1F37"/>
    <w:rsid w:val="00EF2009"/>
    <w:rsid w:val="00EF2386"/>
    <w:rsid w:val="00EF26AE"/>
    <w:rsid w:val="00EF2919"/>
    <w:rsid w:val="00EF2B64"/>
    <w:rsid w:val="00EF2B6D"/>
    <w:rsid w:val="00EF2C8A"/>
    <w:rsid w:val="00EF304A"/>
    <w:rsid w:val="00EF32F7"/>
    <w:rsid w:val="00EF34E9"/>
    <w:rsid w:val="00EF350B"/>
    <w:rsid w:val="00EF3832"/>
    <w:rsid w:val="00EF3FAE"/>
    <w:rsid w:val="00EF3FCB"/>
    <w:rsid w:val="00EF4003"/>
    <w:rsid w:val="00EF4067"/>
    <w:rsid w:val="00EF407C"/>
    <w:rsid w:val="00EF471A"/>
    <w:rsid w:val="00EF496B"/>
    <w:rsid w:val="00EF4AE3"/>
    <w:rsid w:val="00EF4B0A"/>
    <w:rsid w:val="00EF4E01"/>
    <w:rsid w:val="00EF4E5E"/>
    <w:rsid w:val="00EF5233"/>
    <w:rsid w:val="00EF53EF"/>
    <w:rsid w:val="00EF56C4"/>
    <w:rsid w:val="00EF5838"/>
    <w:rsid w:val="00EF5A5F"/>
    <w:rsid w:val="00EF5D4D"/>
    <w:rsid w:val="00EF5D84"/>
    <w:rsid w:val="00EF5E44"/>
    <w:rsid w:val="00EF5F42"/>
    <w:rsid w:val="00EF605A"/>
    <w:rsid w:val="00EF605D"/>
    <w:rsid w:val="00EF663F"/>
    <w:rsid w:val="00EF66B5"/>
    <w:rsid w:val="00EF6842"/>
    <w:rsid w:val="00EF6877"/>
    <w:rsid w:val="00EF6907"/>
    <w:rsid w:val="00EF6C62"/>
    <w:rsid w:val="00EF6D5B"/>
    <w:rsid w:val="00EF6DC4"/>
    <w:rsid w:val="00EF6F31"/>
    <w:rsid w:val="00EF72AE"/>
    <w:rsid w:val="00EF7759"/>
    <w:rsid w:val="00EF7B93"/>
    <w:rsid w:val="00EF7F3F"/>
    <w:rsid w:val="00EF7F70"/>
    <w:rsid w:val="00F00044"/>
    <w:rsid w:val="00F001CF"/>
    <w:rsid w:val="00F00338"/>
    <w:rsid w:val="00F0035E"/>
    <w:rsid w:val="00F00584"/>
    <w:rsid w:val="00F005FE"/>
    <w:rsid w:val="00F0088C"/>
    <w:rsid w:val="00F00BC6"/>
    <w:rsid w:val="00F0102F"/>
    <w:rsid w:val="00F0109C"/>
    <w:rsid w:val="00F012E4"/>
    <w:rsid w:val="00F0137E"/>
    <w:rsid w:val="00F014C7"/>
    <w:rsid w:val="00F014DA"/>
    <w:rsid w:val="00F01612"/>
    <w:rsid w:val="00F01C12"/>
    <w:rsid w:val="00F01CC7"/>
    <w:rsid w:val="00F020E0"/>
    <w:rsid w:val="00F02225"/>
    <w:rsid w:val="00F023FC"/>
    <w:rsid w:val="00F02802"/>
    <w:rsid w:val="00F0280F"/>
    <w:rsid w:val="00F02A93"/>
    <w:rsid w:val="00F030DC"/>
    <w:rsid w:val="00F0368F"/>
    <w:rsid w:val="00F039D1"/>
    <w:rsid w:val="00F03F1F"/>
    <w:rsid w:val="00F040D8"/>
    <w:rsid w:val="00F04212"/>
    <w:rsid w:val="00F04276"/>
    <w:rsid w:val="00F04277"/>
    <w:rsid w:val="00F0473C"/>
    <w:rsid w:val="00F04865"/>
    <w:rsid w:val="00F04B01"/>
    <w:rsid w:val="00F04C92"/>
    <w:rsid w:val="00F05044"/>
    <w:rsid w:val="00F05274"/>
    <w:rsid w:val="00F0568D"/>
    <w:rsid w:val="00F05754"/>
    <w:rsid w:val="00F0587B"/>
    <w:rsid w:val="00F05930"/>
    <w:rsid w:val="00F05A24"/>
    <w:rsid w:val="00F05A6E"/>
    <w:rsid w:val="00F05AFA"/>
    <w:rsid w:val="00F05BDC"/>
    <w:rsid w:val="00F05DFE"/>
    <w:rsid w:val="00F05E20"/>
    <w:rsid w:val="00F0609E"/>
    <w:rsid w:val="00F06780"/>
    <w:rsid w:val="00F06BF4"/>
    <w:rsid w:val="00F06CCF"/>
    <w:rsid w:val="00F06EAE"/>
    <w:rsid w:val="00F07A8B"/>
    <w:rsid w:val="00F07AE4"/>
    <w:rsid w:val="00F07D0F"/>
    <w:rsid w:val="00F07E0A"/>
    <w:rsid w:val="00F10254"/>
    <w:rsid w:val="00F10484"/>
    <w:rsid w:val="00F1065A"/>
    <w:rsid w:val="00F108A1"/>
    <w:rsid w:val="00F10E2D"/>
    <w:rsid w:val="00F10E6F"/>
    <w:rsid w:val="00F11395"/>
    <w:rsid w:val="00F11640"/>
    <w:rsid w:val="00F1169D"/>
    <w:rsid w:val="00F11A98"/>
    <w:rsid w:val="00F11CB2"/>
    <w:rsid w:val="00F11DA9"/>
    <w:rsid w:val="00F11DF0"/>
    <w:rsid w:val="00F11E0A"/>
    <w:rsid w:val="00F1249A"/>
    <w:rsid w:val="00F12CE6"/>
    <w:rsid w:val="00F12D3A"/>
    <w:rsid w:val="00F12D73"/>
    <w:rsid w:val="00F132F3"/>
    <w:rsid w:val="00F13538"/>
    <w:rsid w:val="00F137BE"/>
    <w:rsid w:val="00F13A16"/>
    <w:rsid w:val="00F13B1F"/>
    <w:rsid w:val="00F13B62"/>
    <w:rsid w:val="00F13C98"/>
    <w:rsid w:val="00F14192"/>
    <w:rsid w:val="00F142BC"/>
    <w:rsid w:val="00F14379"/>
    <w:rsid w:val="00F145F7"/>
    <w:rsid w:val="00F14C0C"/>
    <w:rsid w:val="00F14C21"/>
    <w:rsid w:val="00F14E09"/>
    <w:rsid w:val="00F15348"/>
    <w:rsid w:val="00F153E2"/>
    <w:rsid w:val="00F15413"/>
    <w:rsid w:val="00F154AE"/>
    <w:rsid w:val="00F154D9"/>
    <w:rsid w:val="00F15609"/>
    <w:rsid w:val="00F158C0"/>
    <w:rsid w:val="00F15AA1"/>
    <w:rsid w:val="00F15BEF"/>
    <w:rsid w:val="00F15E17"/>
    <w:rsid w:val="00F15EA8"/>
    <w:rsid w:val="00F15FCC"/>
    <w:rsid w:val="00F1600B"/>
    <w:rsid w:val="00F161F7"/>
    <w:rsid w:val="00F163AB"/>
    <w:rsid w:val="00F1692C"/>
    <w:rsid w:val="00F16C8E"/>
    <w:rsid w:val="00F16D8D"/>
    <w:rsid w:val="00F16E04"/>
    <w:rsid w:val="00F16F88"/>
    <w:rsid w:val="00F172FF"/>
    <w:rsid w:val="00F17535"/>
    <w:rsid w:val="00F17776"/>
    <w:rsid w:val="00F17BED"/>
    <w:rsid w:val="00F17C29"/>
    <w:rsid w:val="00F17E5D"/>
    <w:rsid w:val="00F17FF5"/>
    <w:rsid w:val="00F20426"/>
    <w:rsid w:val="00F208D9"/>
    <w:rsid w:val="00F20B62"/>
    <w:rsid w:val="00F20C0D"/>
    <w:rsid w:val="00F21059"/>
    <w:rsid w:val="00F2151D"/>
    <w:rsid w:val="00F21580"/>
    <w:rsid w:val="00F21906"/>
    <w:rsid w:val="00F21972"/>
    <w:rsid w:val="00F21A16"/>
    <w:rsid w:val="00F21A1C"/>
    <w:rsid w:val="00F21A68"/>
    <w:rsid w:val="00F21AB4"/>
    <w:rsid w:val="00F21BC3"/>
    <w:rsid w:val="00F21D91"/>
    <w:rsid w:val="00F22130"/>
    <w:rsid w:val="00F222D5"/>
    <w:rsid w:val="00F224CA"/>
    <w:rsid w:val="00F2258D"/>
    <w:rsid w:val="00F22B15"/>
    <w:rsid w:val="00F22D0D"/>
    <w:rsid w:val="00F22D2B"/>
    <w:rsid w:val="00F2333B"/>
    <w:rsid w:val="00F23C11"/>
    <w:rsid w:val="00F23CED"/>
    <w:rsid w:val="00F241C5"/>
    <w:rsid w:val="00F2420E"/>
    <w:rsid w:val="00F249F0"/>
    <w:rsid w:val="00F24A48"/>
    <w:rsid w:val="00F24CE1"/>
    <w:rsid w:val="00F24FF9"/>
    <w:rsid w:val="00F250BD"/>
    <w:rsid w:val="00F252EF"/>
    <w:rsid w:val="00F25368"/>
    <w:rsid w:val="00F25747"/>
    <w:rsid w:val="00F25B01"/>
    <w:rsid w:val="00F25D40"/>
    <w:rsid w:val="00F26159"/>
    <w:rsid w:val="00F262B8"/>
    <w:rsid w:val="00F26483"/>
    <w:rsid w:val="00F264DA"/>
    <w:rsid w:val="00F264EB"/>
    <w:rsid w:val="00F26A78"/>
    <w:rsid w:val="00F26DD5"/>
    <w:rsid w:val="00F26EAD"/>
    <w:rsid w:val="00F270C5"/>
    <w:rsid w:val="00F271F0"/>
    <w:rsid w:val="00F2771B"/>
    <w:rsid w:val="00F2787D"/>
    <w:rsid w:val="00F278E8"/>
    <w:rsid w:val="00F27A93"/>
    <w:rsid w:val="00F27D29"/>
    <w:rsid w:val="00F27D3A"/>
    <w:rsid w:val="00F27D96"/>
    <w:rsid w:val="00F27E37"/>
    <w:rsid w:val="00F27F89"/>
    <w:rsid w:val="00F3007C"/>
    <w:rsid w:val="00F300A1"/>
    <w:rsid w:val="00F3014F"/>
    <w:rsid w:val="00F301C7"/>
    <w:rsid w:val="00F302E5"/>
    <w:rsid w:val="00F304B9"/>
    <w:rsid w:val="00F3063A"/>
    <w:rsid w:val="00F3088E"/>
    <w:rsid w:val="00F30C03"/>
    <w:rsid w:val="00F313C1"/>
    <w:rsid w:val="00F31609"/>
    <w:rsid w:val="00F3180D"/>
    <w:rsid w:val="00F3181F"/>
    <w:rsid w:val="00F31A81"/>
    <w:rsid w:val="00F31BA1"/>
    <w:rsid w:val="00F31CE0"/>
    <w:rsid w:val="00F31E8C"/>
    <w:rsid w:val="00F3203A"/>
    <w:rsid w:val="00F32248"/>
    <w:rsid w:val="00F3229D"/>
    <w:rsid w:val="00F32478"/>
    <w:rsid w:val="00F32885"/>
    <w:rsid w:val="00F32966"/>
    <w:rsid w:val="00F32F6C"/>
    <w:rsid w:val="00F33092"/>
    <w:rsid w:val="00F33275"/>
    <w:rsid w:val="00F3360E"/>
    <w:rsid w:val="00F33A09"/>
    <w:rsid w:val="00F33A28"/>
    <w:rsid w:val="00F33C5F"/>
    <w:rsid w:val="00F33D90"/>
    <w:rsid w:val="00F33ED2"/>
    <w:rsid w:val="00F33F20"/>
    <w:rsid w:val="00F341C2"/>
    <w:rsid w:val="00F3430A"/>
    <w:rsid w:val="00F3441C"/>
    <w:rsid w:val="00F3478C"/>
    <w:rsid w:val="00F34E01"/>
    <w:rsid w:val="00F354F8"/>
    <w:rsid w:val="00F3558D"/>
    <w:rsid w:val="00F3576C"/>
    <w:rsid w:val="00F35937"/>
    <w:rsid w:val="00F35B3B"/>
    <w:rsid w:val="00F35C93"/>
    <w:rsid w:val="00F35E65"/>
    <w:rsid w:val="00F35F49"/>
    <w:rsid w:val="00F35FB8"/>
    <w:rsid w:val="00F365F7"/>
    <w:rsid w:val="00F36C98"/>
    <w:rsid w:val="00F36F81"/>
    <w:rsid w:val="00F375B6"/>
    <w:rsid w:val="00F376F7"/>
    <w:rsid w:val="00F37B41"/>
    <w:rsid w:val="00F400BA"/>
    <w:rsid w:val="00F4054C"/>
    <w:rsid w:val="00F40DE1"/>
    <w:rsid w:val="00F40F62"/>
    <w:rsid w:val="00F410AE"/>
    <w:rsid w:val="00F414A8"/>
    <w:rsid w:val="00F41911"/>
    <w:rsid w:val="00F419C3"/>
    <w:rsid w:val="00F42079"/>
    <w:rsid w:val="00F4207D"/>
    <w:rsid w:val="00F425B7"/>
    <w:rsid w:val="00F425ED"/>
    <w:rsid w:val="00F42677"/>
    <w:rsid w:val="00F427B9"/>
    <w:rsid w:val="00F4283D"/>
    <w:rsid w:val="00F4285A"/>
    <w:rsid w:val="00F4295B"/>
    <w:rsid w:val="00F42ECE"/>
    <w:rsid w:val="00F42EFE"/>
    <w:rsid w:val="00F437B1"/>
    <w:rsid w:val="00F43CD7"/>
    <w:rsid w:val="00F43FF0"/>
    <w:rsid w:val="00F441BF"/>
    <w:rsid w:val="00F44306"/>
    <w:rsid w:val="00F44368"/>
    <w:rsid w:val="00F44514"/>
    <w:rsid w:val="00F44919"/>
    <w:rsid w:val="00F44A4B"/>
    <w:rsid w:val="00F44B45"/>
    <w:rsid w:val="00F450ED"/>
    <w:rsid w:val="00F45207"/>
    <w:rsid w:val="00F455C4"/>
    <w:rsid w:val="00F458A2"/>
    <w:rsid w:val="00F459AF"/>
    <w:rsid w:val="00F45E0F"/>
    <w:rsid w:val="00F45FFB"/>
    <w:rsid w:val="00F46240"/>
    <w:rsid w:val="00F462B0"/>
    <w:rsid w:val="00F464F8"/>
    <w:rsid w:val="00F465F0"/>
    <w:rsid w:val="00F469F0"/>
    <w:rsid w:val="00F46C8D"/>
    <w:rsid w:val="00F472C0"/>
    <w:rsid w:val="00F473BC"/>
    <w:rsid w:val="00F476B9"/>
    <w:rsid w:val="00F47875"/>
    <w:rsid w:val="00F47A67"/>
    <w:rsid w:val="00F47BB3"/>
    <w:rsid w:val="00F47ECE"/>
    <w:rsid w:val="00F50078"/>
    <w:rsid w:val="00F501D5"/>
    <w:rsid w:val="00F50333"/>
    <w:rsid w:val="00F50388"/>
    <w:rsid w:val="00F503CA"/>
    <w:rsid w:val="00F50446"/>
    <w:rsid w:val="00F5085C"/>
    <w:rsid w:val="00F50A68"/>
    <w:rsid w:val="00F50AAD"/>
    <w:rsid w:val="00F510D0"/>
    <w:rsid w:val="00F51CC3"/>
    <w:rsid w:val="00F51D12"/>
    <w:rsid w:val="00F52023"/>
    <w:rsid w:val="00F520A8"/>
    <w:rsid w:val="00F5211D"/>
    <w:rsid w:val="00F5213A"/>
    <w:rsid w:val="00F52404"/>
    <w:rsid w:val="00F52508"/>
    <w:rsid w:val="00F52ACF"/>
    <w:rsid w:val="00F53361"/>
    <w:rsid w:val="00F536FB"/>
    <w:rsid w:val="00F538E9"/>
    <w:rsid w:val="00F53AEA"/>
    <w:rsid w:val="00F53EB7"/>
    <w:rsid w:val="00F53EE4"/>
    <w:rsid w:val="00F54473"/>
    <w:rsid w:val="00F544AB"/>
    <w:rsid w:val="00F54676"/>
    <w:rsid w:val="00F5496F"/>
    <w:rsid w:val="00F549E4"/>
    <w:rsid w:val="00F54A35"/>
    <w:rsid w:val="00F54A3E"/>
    <w:rsid w:val="00F54D3A"/>
    <w:rsid w:val="00F54DED"/>
    <w:rsid w:val="00F55007"/>
    <w:rsid w:val="00F551DA"/>
    <w:rsid w:val="00F55597"/>
    <w:rsid w:val="00F55970"/>
    <w:rsid w:val="00F559B1"/>
    <w:rsid w:val="00F55EB1"/>
    <w:rsid w:val="00F56064"/>
    <w:rsid w:val="00F560B2"/>
    <w:rsid w:val="00F562FE"/>
    <w:rsid w:val="00F56410"/>
    <w:rsid w:val="00F564A4"/>
    <w:rsid w:val="00F56736"/>
    <w:rsid w:val="00F567AE"/>
    <w:rsid w:val="00F5686D"/>
    <w:rsid w:val="00F568CA"/>
    <w:rsid w:val="00F56920"/>
    <w:rsid w:val="00F569B7"/>
    <w:rsid w:val="00F56A1C"/>
    <w:rsid w:val="00F56A96"/>
    <w:rsid w:val="00F56CA5"/>
    <w:rsid w:val="00F56ED9"/>
    <w:rsid w:val="00F56F85"/>
    <w:rsid w:val="00F57055"/>
    <w:rsid w:val="00F573DC"/>
    <w:rsid w:val="00F5777C"/>
    <w:rsid w:val="00F57946"/>
    <w:rsid w:val="00F57A1F"/>
    <w:rsid w:val="00F57D3F"/>
    <w:rsid w:val="00F60087"/>
    <w:rsid w:val="00F6036A"/>
    <w:rsid w:val="00F60F88"/>
    <w:rsid w:val="00F61C98"/>
    <w:rsid w:val="00F61DA9"/>
    <w:rsid w:val="00F61E1A"/>
    <w:rsid w:val="00F61EDA"/>
    <w:rsid w:val="00F61F15"/>
    <w:rsid w:val="00F62010"/>
    <w:rsid w:val="00F62202"/>
    <w:rsid w:val="00F6235A"/>
    <w:rsid w:val="00F62452"/>
    <w:rsid w:val="00F62476"/>
    <w:rsid w:val="00F62592"/>
    <w:rsid w:val="00F626D8"/>
    <w:rsid w:val="00F62F8E"/>
    <w:rsid w:val="00F631B9"/>
    <w:rsid w:val="00F63510"/>
    <w:rsid w:val="00F63538"/>
    <w:rsid w:val="00F63577"/>
    <w:rsid w:val="00F63600"/>
    <w:rsid w:val="00F63644"/>
    <w:rsid w:val="00F636DE"/>
    <w:rsid w:val="00F6380F"/>
    <w:rsid w:val="00F639A7"/>
    <w:rsid w:val="00F63ABF"/>
    <w:rsid w:val="00F63B0B"/>
    <w:rsid w:val="00F63C24"/>
    <w:rsid w:val="00F63EBA"/>
    <w:rsid w:val="00F64181"/>
    <w:rsid w:val="00F64848"/>
    <w:rsid w:val="00F648D4"/>
    <w:rsid w:val="00F64A5A"/>
    <w:rsid w:val="00F64BE4"/>
    <w:rsid w:val="00F65482"/>
    <w:rsid w:val="00F658E1"/>
    <w:rsid w:val="00F65D29"/>
    <w:rsid w:val="00F65E29"/>
    <w:rsid w:val="00F65EF6"/>
    <w:rsid w:val="00F662AA"/>
    <w:rsid w:val="00F66305"/>
    <w:rsid w:val="00F664C9"/>
    <w:rsid w:val="00F664DD"/>
    <w:rsid w:val="00F6660B"/>
    <w:rsid w:val="00F6677A"/>
    <w:rsid w:val="00F66C46"/>
    <w:rsid w:val="00F66D95"/>
    <w:rsid w:val="00F66F76"/>
    <w:rsid w:val="00F6707C"/>
    <w:rsid w:val="00F671F5"/>
    <w:rsid w:val="00F67259"/>
    <w:rsid w:val="00F672E4"/>
    <w:rsid w:val="00F679DB"/>
    <w:rsid w:val="00F67AC3"/>
    <w:rsid w:val="00F67E0F"/>
    <w:rsid w:val="00F7028A"/>
    <w:rsid w:val="00F70A6C"/>
    <w:rsid w:val="00F70C40"/>
    <w:rsid w:val="00F70C7E"/>
    <w:rsid w:val="00F711E8"/>
    <w:rsid w:val="00F71642"/>
    <w:rsid w:val="00F71B8B"/>
    <w:rsid w:val="00F71BAE"/>
    <w:rsid w:val="00F72311"/>
    <w:rsid w:val="00F72356"/>
    <w:rsid w:val="00F72438"/>
    <w:rsid w:val="00F72452"/>
    <w:rsid w:val="00F725D1"/>
    <w:rsid w:val="00F72600"/>
    <w:rsid w:val="00F728C4"/>
    <w:rsid w:val="00F728FB"/>
    <w:rsid w:val="00F72B85"/>
    <w:rsid w:val="00F72D8C"/>
    <w:rsid w:val="00F72D94"/>
    <w:rsid w:val="00F730AB"/>
    <w:rsid w:val="00F732D3"/>
    <w:rsid w:val="00F734AA"/>
    <w:rsid w:val="00F735D3"/>
    <w:rsid w:val="00F7380E"/>
    <w:rsid w:val="00F73F5D"/>
    <w:rsid w:val="00F7429F"/>
    <w:rsid w:val="00F743DC"/>
    <w:rsid w:val="00F7456A"/>
    <w:rsid w:val="00F749B4"/>
    <w:rsid w:val="00F751D4"/>
    <w:rsid w:val="00F7526B"/>
    <w:rsid w:val="00F75529"/>
    <w:rsid w:val="00F759CB"/>
    <w:rsid w:val="00F75A5D"/>
    <w:rsid w:val="00F75DE3"/>
    <w:rsid w:val="00F75E90"/>
    <w:rsid w:val="00F767C6"/>
    <w:rsid w:val="00F767F8"/>
    <w:rsid w:val="00F76A86"/>
    <w:rsid w:val="00F76AFA"/>
    <w:rsid w:val="00F7707C"/>
    <w:rsid w:val="00F7737A"/>
    <w:rsid w:val="00F7795C"/>
    <w:rsid w:val="00F77C69"/>
    <w:rsid w:val="00F77D36"/>
    <w:rsid w:val="00F80277"/>
    <w:rsid w:val="00F80538"/>
    <w:rsid w:val="00F80809"/>
    <w:rsid w:val="00F809E4"/>
    <w:rsid w:val="00F80C5E"/>
    <w:rsid w:val="00F80D3C"/>
    <w:rsid w:val="00F80E74"/>
    <w:rsid w:val="00F8103D"/>
    <w:rsid w:val="00F81139"/>
    <w:rsid w:val="00F81143"/>
    <w:rsid w:val="00F81395"/>
    <w:rsid w:val="00F813F2"/>
    <w:rsid w:val="00F815BE"/>
    <w:rsid w:val="00F815C0"/>
    <w:rsid w:val="00F815F1"/>
    <w:rsid w:val="00F81987"/>
    <w:rsid w:val="00F823C0"/>
    <w:rsid w:val="00F825DE"/>
    <w:rsid w:val="00F82820"/>
    <w:rsid w:val="00F82983"/>
    <w:rsid w:val="00F829B9"/>
    <w:rsid w:val="00F829C8"/>
    <w:rsid w:val="00F82E5A"/>
    <w:rsid w:val="00F8335C"/>
    <w:rsid w:val="00F8382D"/>
    <w:rsid w:val="00F839A4"/>
    <w:rsid w:val="00F83B8E"/>
    <w:rsid w:val="00F83BDF"/>
    <w:rsid w:val="00F83BF0"/>
    <w:rsid w:val="00F840C7"/>
    <w:rsid w:val="00F841E7"/>
    <w:rsid w:val="00F847DF"/>
    <w:rsid w:val="00F84897"/>
    <w:rsid w:val="00F85173"/>
    <w:rsid w:val="00F851B6"/>
    <w:rsid w:val="00F85328"/>
    <w:rsid w:val="00F85913"/>
    <w:rsid w:val="00F85D0C"/>
    <w:rsid w:val="00F85F4B"/>
    <w:rsid w:val="00F8615D"/>
    <w:rsid w:val="00F8633F"/>
    <w:rsid w:val="00F86484"/>
    <w:rsid w:val="00F86C82"/>
    <w:rsid w:val="00F872D3"/>
    <w:rsid w:val="00F872E3"/>
    <w:rsid w:val="00F8742A"/>
    <w:rsid w:val="00F87634"/>
    <w:rsid w:val="00F87D13"/>
    <w:rsid w:val="00F904C4"/>
    <w:rsid w:val="00F908EF"/>
    <w:rsid w:val="00F90BB6"/>
    <w:rsid w:val="00F90CD9"/>
    <w:rsid w:val="00F913B4"/>
    <w:rsid w:val="00F91465"/>
    <w:rsid w:val="00F91626"/>
    <w:rsid w:val="00F91983"/>
    <w:rsid w:val="00F91E1D"/>
    <w:rsid w:val="00F91E3D"/>
    <w:rsid w:val="00F91FBE"/>
    <w:rsid w:val="00F91FC5"/>
    <w:rsid w:val="00F92E36"/>
    <w:rsid w:val="00F93044"/>
    <w:rsid w:val="00F931DC"/>
    <w:rsid w:val="00F93221"/>
    <w:rsid w:val="00F935C9"/>
    <w:rsid w:val="00F936E2"/>
    <w:rsid w:val="00F93725"/>
    <w:rsid w:val="00F93B20"/>
    <w:rsid w:val="00F9405A"/>
    <w:rsid w:val="00F94304"/>
    <w:rsid w:val="00F9451C"/>
    <w:rsid w:val="00F94566"/>
    <w:rsid w:val="00F945CB"/>
    <w:rsid w:val="00F9463A"/>
    <w:rsid w:val="00F947F6"/>
    <w:rsid w:val="00F949B7"/>
    <w:rsid w:val="00F94B22"/>
    <w:rsid w:val="00F9526A"/>
    <w:rsid w:val="00F954C7"/>
    <w:rsid w:val="00F9595A"/>
    <w:rsid w:val="00F95C07"/>
    <w:rsid w:val="00F95D35"/>
    <w:rsid w:val="00F95EBF"/>
    <w:rsid w:val="00F9635C"/>
    <w:rsid w:val="00F96CC0"/>
    <w:rsid w:val="00F96E7E"/>
    <w:rsid w:val="00F96FD7"/>
    <w:rsid w:val="00F9709E"/>
    <w:rsid w:val="00F9734F"/>
    <w:rsid w:val="00F97CF7"/>
    <w:rsid w:val="00FA006A"/>
    <w:rsid w:val="00FA03B1"/>
    <w:rsid w:val="00FA042B"/>
    <w:rsid w:val="00FA1064"/>
    <w:rsid w:val="00FA13DF"/>
    <w:rsid w:val="00FA1424"/>
    <w:rsid w:val="00FA1434"/>
    <w:rsid w:val="00FA1512"/>
    <w:rsid w:val="00FA1648"/>
    <w:rsid w:val="00FA1694"/>
    <w:rsid w:val="00FA1792"/>
    <w:rsid w:val="00FA190D"/>
    <w:rsid w:val="00FA1A54"/>
    <w:rsid w:val="00FA1B8F"/>
    <w:rsid w:val="00FA1CBB"/>
    <w:rsid w:val="00FA1E23"/>
    <w:rsid w:val="00FA1ECD"/>
    <w:rsid w:val="00FA2243"/>
    <w:rsid w:val="00FA25A9"/>
    <w:rsid w:val="00FA26A0"/>
    <w:rsid w:val="00FA2750"/>
    <w:rsid w:val="00FA2D50"/>
    <w:rsid w:val="00FA3241"/>
    <w:rsid w:val="00FA36E1"/>
    <w:rsid w:val="00FA3750"/>
    <w:rsid w:val="00FA377E"/>
    <w:rsid w:val="00FA3836"/>
    <w:rsid w:val="00FA3B33"/>
    <w:rsid w:val="00FA4353"/>
    <w:rsid w:val="00FA4395"/>
    <w:rsid w:val="00FA4473"/>
    <w:rsid w:val="00FA465D"/>
    <w:rsid w:val="00FA49EB"/>
    <w:rsid w:val="00FA49F2"/>
    <w:rsid w:val="00FA4F36"/>
    <w:rsid w:val="00FA4F53"/>
    <w:rsid w:val="00FA5060"/>
    <w:rsid w:val="00FA511B"/>
    <w:rsid w:val="00FA5610"/>
    <w:rsid w:val="00FA58E9"/>
    <w:rsid w:val="00FA5B08"/>
    <w:rsid w:val="00FA5C1F"/>
    <w:rsid w:val="00FA5F40"/>
    <w:rsid w:val="00FA6033"/>
    <w:rsid w:val="00FA6240"/>
    <w:rsid w:val="00FA62F9"/>
    <w:rsid w:val="00FA6560"/>
    <w:rsid w:val="00FA6597"/>
    <w:rsid w:val="00FA6682"/>
    <w:rsid w:val="00FA6781"/>
    <w:rsid w:val="00FA6BBB"/>
    <w:rsid w:val="00FA6C22"/>
    <w:rsid w:val="00FA6CDC"/>
    <w:rsid w:val="00FA6DD5"/>
    <w:rsid w:val="00FA7098"/>
    <w:rsid w:val="00FA71DB"/>
    <w:rsid w:val="00FA727E"/>
    <w:rsid w:val="00FA7380"/>
    <w:rsid w:val="00FA7442"/>
    <w:rsid w:val="00FB0239"/>
    <w:rsid w:val="00FB0483"/>
    <w:rsid w:val="00FB061B"/>
    <w:rsid w:val="00FB06E4"/>
    <w:rsid w:val="00FB07AA"/>
    <w:rsid w:val="00FB08C5"/>
    <w:rsid w:val="00FB09F4"/>
    <w:rsid w:val="00FB0BAC"/>
    <w:rsid w:val="00FB0DF4"/>
    <w:rsid w:val="00FB0EED"/>
    <w:rsid w:val="00FB101D"/>
    <w:rsid w:val="00FB1069"/>
    <w:rsid w:val="00FB153B"/>
    <w:rsid w:val="00FB16F4"/>
    <w:rsid w:val="00FB19C3"/>
    <w:rsid w:val="00FB1ADC"/>
    <w:rsid w:val="00FB1B7E"/>
    <w:rsid w:val="00FB220F"/>
    <w:rsid w:val="00FB2539"/>
    <w:rsid w:val="00FB276C"/>
    <w:rsid w:val="00FB2B75"/>
    <w:rsid w:val="00FB2C25"/>
    <w:rsid w:val="00FB3323"/>
    <w:rsid w:val="00FB34B6"/>
    <w:rsid w:val="00FB3929"/>
    <w:rsid w:val="00FB394E"/>
    <w:rsid w:val="00FB39C5"/>
    <w:rsid w:val="00FB3FD9"/>
    <w:rsid w:val="00FB44DB"/>
    <w:rsid w:val="00FB4785"/>
    <w:rsid w:val="00FB4893"/>
    <w:rsid w:val="00FB4A74"/>
    <w:rsid w:val="00FB4D38"/>
    <w:rsid w:val="00FB54DD"/>
    <w:rsid w:val="00FB55F5"/>
    <w:rsid w:val="00FB5741"/>
    <w:rsid w:val="00FB59F9"/>
    <w:rsid w:val="00FB5A64"/>
    <w:rsid w:val="00FB5C10"/>
    <w:rsid w:val="00FB5E2D"/>
    <w:rsid w:val="00FB6203"/>
    <w:rsid w:val="00FB65BD"/>
    <w:rsid w:val="00FB66C9"/>
    <w:rsid w:val="00FB6716"/>
    <w:rsid w:val="00FB67BB"/>
    <w:rsid w:val="00FB6831"/>
    <w:rsid w:val="00FB6892"/>
    <w:rsid w:val="00FB68CC"/>
    <w:rsid w:val="00FB6A06"/>
    <w:rsid w:val="00FB6AF6"/>
    <w:rsid w:val="00FB6BA8"/>
    <w:rsid w:val="00FB6BDD"/>
    <w:rsid w:val="00FB7842"/>
    <w:rsid w:val="00FB798E"/>
    <w:rsid w:val="00FB7A19"/>
    <w:rsid w:val="00FB7CDD"/>
    <w:rsid w:val="00FC0038"/>
    <w:rsid w:val="00FC028C"/>
    <w:rsid w:val="00FC03FB"/>
    <w:rsid w:val="00FC070B"/>
    <w:rsid w:val="00FC0914"/>
    <w:rsid w:val="00FC0B45"/>
    <w:rsid w:val="00FC0CC9"/>
    <w:rsid w:val="00FC0F24"/>
    <w:rsid w:val="00FC0F4A"/>
    <w:rsid w:val="00FC0FEF"/>
    <w:rsid w:val="00FC1381"/>
    <w:rsid w:val="00FC1536"/>
    <w:rsid w:val="00FC17BB"/>
    <w:rsid w:val="00FC181A"/>
    <w:rsid w:val="00FC1996"/>
    <w:rsid w:val="00FC1AA0"/>
    <w:rsid w:val="00FC1ACF"/>
    <w:rsid w:val="00FC1D09"/>
    <w:rsid w:val="00FC1E44"/>
    <w:rsid w:val="00FC1EF8"/>
    <w:rsid w:val="00FC2113"/>
    <w:rsid w:val="00FC2769"/>
    <w:rsid w:val="00FC2AD2"/>
    <w:rsid w:val="00FC3047"/>
    <w:rsid w:val="00FC3228"/>
    <w:rsid w:val="00FC322F"/>
    <w:rsid w:val="00FC327A"/>
    <w:rsid w:val="00FC33AA"/>
    <w:rsid w:val="00FC33CD"/>
    <w:rsid w:val="00FC3544"/>
    <w:rsid w:val="00FC36F0"/>
    <w:rsid w:val="00FC37C4"/>
    <w:rsid w:val="00FC3866"/>
    <w:rsid w:val="00FC389C"/>
    <w:rsid w:val="00FC3AEB"/>
    <w:rsid w:val="00FC3BAF"/>
    <w:rsid w:val="00FC3C48"/>
    <w:rsid w:val="00FC3CBB"/>
    <w:rsid w:val="00FC3CDA"/>
    <w:rsid w:val="00FC4935"/>
    <w:rsid w:val="00FC4DA4"/>
    <w:rsid w:val="00FC4F15"/>
    <w:rsid w:val="00FC5447"/>
    <w:rsid w:val="00FC55A6"/>
    <w:rsid w:val="00FC568B"/>
    <w:rsid w:val="00FC5738"/>
    <w:rsid w:val="00FC57B5"/>
    <w:rsid w:val="00FC5866"/>
    <w:rsid w:val="00FC5A14"/>
    <w:rsid w:val="00FC5A56"/>
    <w:rsid w:val="00FC6183"/>
    <w:rsid w:val="00FC6257"/>
    <w:rsid w:val="00FC6585"/>
    <w:rsid w:val="00FC65BA"/>
    <w:rsid w:val="00FC6607"/>
    <w:rsid w:val="00FC6798"/>
    <w:rsid w:val="00FC6E14"/>
    <w:rsid w:val="00FC6E79"/>
    <w:rsid w:val="00FC6E80"/>
    <w:rsid w:val="00FC6EF2"/>
    <w:rsid w:val="00FC6F05"/>
    <w:rsid w:val="00FC6FB2"/>
    <w:rsid w:val="00FC712C"/>
    <w:rsid w:val="00FC7515"/>
    <w:rsid w:val="00FC75C6"/>
    <w:rsid w:val="00FC764E"/>
    <w:rsid w:val="00FC794B"/>
    <w:rsid w:val="00FD013F"/>
    <w:rsid w:val="00FD01E6"/>
    <w:rsid w:val="00FD0240"/>
    <w:rsid w:val="00FD02EF"/>
    <w:rsid w:val="00FD0475"/>
    <w:rsid w:val="00FD0A4D"/>
    <w:rsid w:val="00FD0AB8"/>
    <w:rsid w:val="00FD0AC6"/>
    <w:rsid w:val="00FD1017"/>
    <w:rsid w:val="00FD1095"/>
    <w:rsid w:val="00FD12E4"/>
    <w:rsid w:val="00FD154A"/>
    <w:rsid w:val="00FD1647"/>
    <w:rsid w:val="00FD1709"/>
    <w:rsid w:val="00FD171D"/>
    <w:rsid w:val="00FD17A2"/>
    <w:rsid w:val="00FD1B3F"/>
    <w:rsid w:val="00FD1EBC"/>
    <w:rsid w:val="00FD2059"/>
    <w:rsid w:val="00FD253C"/>
    <w:rsid w:val="00FD26A4"/>
    <w:rsid w:val="00FD2B34"/>
    <w:rsid w:val="00FD2EA9"/>
    <w:rsid w:val="00FD32F3"/>
    <w:rsid w:val="00FD33E8"/>
    <w:rsid w:val="00FD378E"/>
    <w:rsid w:val="00FD37E1"/>
    <w:rsid w:val="00FD393E"/>
    <w:rsid w:val="00FD4149"/>
    <w:rsid w:val="00FD4243"/>
    <w:rsid w:val="00FD426A"/>
    <w:rsid w:val="00FD454B"/>
    <w:rsid w:val="00FD470B"/>
    <w:rsid w:val="00FD4A3D"/>
    <w:rsid w:val="00FD5265"/>
    <w:rsid w:val="00FD52BB"/>
    <w:rsid w:val="00FD53D2"/>
    <w:rsid w:val="00FD54F9"/>
    <w:rsid w:val="00FD56A1"/>
    <w:rsid w:val="00FD59AF"/>
    <w:rsid w:val="00FD600B"/>
    <w:rsid w:val="00FD61BD"/>
    <w:rsid w:val="00FD6466"/>
    <w:rsid w:val="00FD6473"/>
    <w:rsid w:val="00FD6500"/>
    <w:rsid w:val="00FD6BE4"/>
    <w:rsid w:val="00FD6CF2"/>
    <w:rsid w:val="00FD6D6B"/>
    <w:rsid w:val="00FD6E4F"/>
    <w:rsid w:val="00FD6F32"/>
    <w:rsid w:val="00FD6F6A"/>
    <w:rsid w:val="00FD708F"/>
    <w:rsid w:val="00FD7249"/>
    <w:rsid w:val="00FD729D"/>
    <w:rsid w:val="00FD75F8"/>
    <w:rsid w:val="00FD7654"/>
    <w:rsid w:val="00FD7951"/>
    <w:rsid w:val="00FD7A11"/>
    <w:rsid w:val="00FD7AAB"/>
    <w:rsid w:val="00FD7C70"/>
    <w:rsid w:val="00FD7FD2"/>
    <w:rsid w:val="00FE00B2"/>
    <w:rsid w:val="00FE0413"/>
    <w:rsid w:val="00FE044C"/>
    <w:rsid w:val="00FE0762"/>
    <w:rsid w:val="00FE0AB4"/>
    <w:rsid w:val="00FE0C3B"/>
    <w:rsid w:val="00FE0ED9"/>
    <w:rsid w:val="00FE0F3F"/>
    <w:rsid w:val="00FE1228"/>
    <w:rsid w:val="00FE178A"/>
    <w:rsid w:val="00FE19C8"/>
    <w:rsid w:val="00FE1DB0"/>
    <w:rsid w:val="00FE205E"/>
    <w:rsid w:val="00FE213C"/>
    <w:rsid w:val="00FE22B7"/>
    <w:rsid w:val="00FE26B3"/>
    <w:rsid w:val="00FE26E6"/>
    <w:rsid w:val="00FE276C"/>
    <w:rsid w:val="00FE2875"/>
    <w:rsid w:val="00FE2930"/>
    <w:rsid w:val="00FE29FB"/>
    <w:rsid w:val="00FE2C00"/>
    <w:rsid w:val="00FE2C85"/>
    <w:rsid w:val="00FE2F3D"/>
    <w:rsid w:val="00FE3284"/>
    <w:rsid w:val="00FE3551"/>
    <w:rsid w:val="00FE35DD"/>
    <w:rsid w:val="00FE37AC"/>
    <w:rsid w:val="00FE392A"/>
    <w:rsid w:val="00FE3AB0"/>
    <w:rsid w:val="00FE3F9E"/>
    <w:rsid w:val="00FE3FD5"/>
    <w:rsid w:val="00FE3FFC"/>
    <w:rsid w:val="00FE45A5"/>
    <w:rsid w:val="00FE4761"/>
    <w:rsid w:val="00FE4955"/>
    <w:rsid w:val="00FE4974"/>
    <w:rsid w:val="00FE49BF"/>
    <w:rsid w:val="00FE4EDE"/>
    <w:rsid w:val="00FE4F4A"/>
    <w:rsid w:val="00FE4FD4"/>
    <w:rsid w:val="00FE522C"/>
    <w:rsid w:val="00FE52CB"/>
    <w:rsid w:val="00FE53B4"/>
    <w:rsid w:val="00FE557A"/>
    <w:rsid w:val="00FE5964"/>
    <w:rsid w:val="00FE5C0D"/>
    <w:rsid w:val="00FE5CC5"/>
    <w:rsid w:val="00FE5DDB"/>
    <w:rsid w:val="00FE60C3"/>
    <w:rsid w:val="00FE675A"/>
    <w:rsid w:val="00FE6D70"/>
    <w:rsid w:val="00FE705C"/>
    <w:rsid w:val="00FE7096"/>
    <w:rsid w:val="00FE723C"/>
    <w:rsid w:val="00FE752E"/>
    <w:rsid w:val="00FE7DFD"/>
    <w:rsid w:val="00FF0507"/>
    <w:rsid w:val="00FF05F1"/>
    <w:rsid w:val="00FF0844"/>
    <w:rsid w:val="00FF0C37"/>
    <w:rsid w:val="00FF0ED7"/>
    <w:rsid w:val="00FF0FB9"/>
    <w:rsid w:val="00FF1060"/>
    <w:rsid w:val="00FF1142"/>
    <w:rsid w:val="00FF133F"/>
    <w:rsid w:val="00FF1568"/>
    <w:rsid w:val="00FF1618"/>
    <w:rsid w:val="00FF164B"/>
    <w:rsid w:val="00FF16EA"/>
    <w:rsid w:val="00FF197A"/>
    <w:rsid w:val="00FF1D8C"/>
    <w:rsid w:val="00FF2349"/>
    <w:rsid w:val="00FF2589"/>
    <w:rsid w:val="00FF2A69"/>
    <w:rsid w:val="00FF2BBF"/>
    <w:rsid w:val="00FF2E73"/>
    <w:rsid w:val="00FF332B"/>
    <w:rsid w:val="00FF3459"/>
    <w:rsid w:val="00FF3C89"/>
    <w:rsid w:val="00FF4564"/>
    <w:rsid w:val="00FF4700"/>
    <w:rsid w:val="00FF489A"/>
    <w:rsid w:val="00FF490C"/>
    <w:rsid w:val="00FF4A60"/>
    <w:rsid w:val="00FF4AFA"/>
    <w:rsid w:val="00FF4B39"/>
    <w:rsid w:val="00FF4E6D"/>
    <w:rsid w:val="00FF579A"/>
    <w:rsid w:val="00FF59F7"/>
    <w:rsid w:val="00FF5A4C"/>
    <w:rsid w:val="00FF5A96"/>
    <w:rsid w:val="00FF5FED"/>
    <w:rsid w:val="00FF62C4"/>
    <w:rsid w:val="00FF63F7"/>
    <w:rsid w:val="00FF6C4D"/>
    <w:rsid w:val="00FF6EB7"/>
    <w:rsid w:val="00FF6EEA"/>
    <w:rsid w:val="00FF702A"/>
    <w:rsid w:val="00FF7056"/>
    <w:rsid w:val="00FF711D"/>
    <w:rsid w:val="00FF790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SimSu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A1"/>
    <w:pPr>
      <w:spacing w:after="0" w:line="240" w:lineRule="auto"/>
    </w:pPr>
    <w:rPr>
      <w:rFonts w:ascii="Century Schoolbook" w:eastAsia="Times New Roman" w:hAnsi="Century Schoolbook"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3E7"/>
    <w:pPr>
      <w:tabs>
        <w:tab w:val="center" w:pos="4680"/>
        <w:tab w:val="right" w:pos="9360"/>
      </w:tabs>
    </w:pPr>
    <w:rPr>
      <w:rFonts w:eastAsiaTheme="minorHAnsi"/>
      <w:szCs w:val="22"/>
    </w:rPr>
  </w:style>
  <w:style w:type="character" w:customStyle="1" w:styleId="HeaderChar">
    <w:name w:val="Header Char"/>
    <w:basedOn w:val="DefaultParagraphFont"/>
    <w:link w:val="Header"/>
    <w:uiPriority w:val="99"/>
    <w:rsid w:val="00C513E7"/>
    <w:rPr>
      <w:rFonts w:ascii="Century Schoolbook" w:hAnsi="Century Schoolbook" w:cs="Times New Roman"/>
      <w:sz w:val="26"/>
    </w:rPr>
  </w:style>
  <w:style w:type="paragraph" w:styleId="Footer">
    <w:name w:val="footer"/>
    <w:basedOn w:val="Normal"/>
    <w:link w:val="FooterChar"/>
    <w:uiPriority w:val="99"/>
    <w:unhideWhenUsed/>
    <w:rsid w:val="00C513E7"/>
    <w:pPr>
      <w:tabs>
        <w:tab w:val="center" w:pos="4680"/>
        <w:tab w:val="right" w:pos="9360"/>
      </w:tabs>
    </w:pPr>
    <w:rPr>
      <w:rFonts w:eastAsiaTheme="minorHAnsi"/>
      <w:szCs w:val="22"/>
    </w:rPr>
  </w:style>
  <w:style w:type="character" w:customStyle="1" w:styleId="FooterChar">
    <w:name w:val="Footer Char"/>
    <w:basedOn w:val="DefaultParagraphFont"/>
    <w:link w:val="Footer"/>
    <w:uiPriority w:val="99"/>
    <w:rsid w:val="00C513E7"/>
    <w:rPr>
      <w:rFonts w:ascii="Century Schoolbook" w:hAnsi="Century Schoolbook" w:cs="Times New Roman"/>
      <w:sz w:val="26"/>
    </w:rPr>
  </w:style>
  <w:style w:type="character" w:styleId="PageNumber">
    <w:name w:val="page number"/>
    <w:basedOn w:val="DefaultParagraphFont"/>
    <w:uiPriority w:val="99"/>
    <w:semiHidden/>
    <w:unhideWhenUsed/>
    <w:rsid w:val="00C513E7"/>
  </w:style>
  <w:style w:type="paragraph" w:styleId="FootnoteText">
    <w:name w:val="footnote text"/>
    <w:basedOn w:val="Normal"/>
    <w:link w:val="FootnoteTextChar"/>
    <w:uiPriority w:val="99"/>
    <w:unhideWhenUsed/>
    <w:rsid w:val="00F91626"/>
    <w:rPr>
      <w:rFonts w:eastAsiaTheme="minorHAnsi"/>
      <w:sz w:val="20"/>
      <w:szCs w:val="20"/>
    </w:rPr>
  </w:style>
  <w:style w:type="character" w:customStyle="1" w:styleId="FootnoteTextChar">
    <w:name w:val="Footnote Text Char"/>
    <w:basedOn w:val="DefaultParagraphFont"/>
    <w:link w:val="FootnoteText"/>
    <w:uiPriority w:val="99"/>
    <w:rsid w:val="00F91626"/>
    <w:rPr>
      <w:rFonts w:ascii="Century Schoolbook" w:hAnsi="Century Schoolbook" w:cs="Times New Roman"/>
      <w:sz w:val="20"/>
      <w:szCs w:val="20"/>
    </w:rPr>
  </w:style>
  <w:style w:type="character" w:styleId="FootnoteReference">
    <w:name w:val="footnote reference"/>
    <w:basedOn w:val="DefaultParagraphFont"/>
    <w:uiPriority w:val="99"/>
    <w:unhideWhenUsed/>
    <w:rsid w:val="00F91626"/>
    <w:rPr>
      <w:vertAlign w:val="superscript"/>
    </w:rPr>
  </w:style>
  <w:style w:type="paragraph" w:styleId="EndnoteText">
    <w:name w:val="endnote text"/>
    <w:basedOn w:val="Normal"/>
    <w:link w:val="EndnoteTextChar"/>
    <w:uiPriority w:val="99"/>
    <w:semiHidden/>
    <w:unhideWhenUsed/>
    <w:rsid w:val="001A40BB"/>
    <w:rPr>
      <w:rFonts w:eastAsiaTheme="minorHAnsi"/>
      <w:sz w:val="20"/>
      <w:szCs w:val="20"/>
    </w:rPr>
  </w:style>
  <w:style w:type="character" w:customStyle="1" w:styleId="EndnoteTextChar">
    <w:name w:val="Endnote Text Char"/>
    <w:basedOn w:val="DefaultParagraphFont"/>
    <w:link w:val="EndnoteText"/>
    <w:uiPriority w:val="99"/>
    <w:semiHidden/>
    <w:rsid w:val="001A40BB"/>
    <w:rPr>
      <w:rFonts w:ascii="Century Schoolbook" w:hAnsi="Century Schoolbook" w:cs="Times New Roman"/>
      <w:sz w:val="20"/>
      <w:szCs w:val="20"/>
    </w:rPr>
  </w:style>
  <w:style w:type="character" w:styleId="EndnoteReference">
    <w:name w:val="endnote reference"/>
    <w:basedOn w:val="DefaultParagraphFont"/>
    <w:uiPriority w:val="99"/>
    <w:semiHidden/>
    <w:unhideWhenUsed/>
    <w:rsid w:val="001A40BB"/>
    <w:rPr>
      <w:vertAlign w:val="superscript"/>
    </w:rPr>
  </w:style>
  <w:style w:type="paragraph" w:styleId="BalloonText">
    <w:name w:val="Balloon Text"/>
    <w:basedOn w:val="Normal"/>
    <w:link w:val="BalloonTextChar"/>
    <w:uiPriority w:val="99"/>
    <w:semiHidden/>
    <w:unhideWhenUsed/>
    <w:rsid w:val="0096175E"/>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96175E"/>
    <w:rPr>
      <w:rFonts w:ascii="Segoe UI" w:hAnsi="Segoe UI" w:cs="Segoe UI"/>
      <w:sz w:val="18"/>
      <w:szCs w:val="18"/>
    </w:rPr>
  </w:style>
  <w:style w:type="paragraph" w:styleId="ListParagraph">
    <w:name w:val="List Paragraph"/>
    <w:basedOn w:val="Normal"/>
    <w:uiPriority w:val="34"/>
    <w:qFormat/>
    <w:rsid w:val="00D963EC"/>
    <w:pPr>
      <w:ind w:left="720"/>
      <w:contextualSpacing/>
    </w:pPr>
    <w:rPr>
      <w:rFonts w:eastAsiaTheme="minorHAnsi"/>
      <w:szCs w:val="22"/>
    </w:rPr>
  </w:style>
  <w:style w:type="paragraph" w:customStyle="1" w:styleId="CaCoA-Heading2">
    <w:name w:val="CaCoA - Heading 2"/>
    <w:basedOn w:val="Normal"/>
    <w:autoRedefine/>
    <w:qFormat/>
    <w:rsid w:val="00C945E5"/>
    <w:pPr>
      <w:keepNext/>
      <w:ind w:left="1440" w:hanging="720"/>
    </w:pPr>
    <w:rPr>
      <w:rFonts w:eastAsiaTheme="minorHAnsi"/>
      <w:i/>
      <w:iCs/>
      <w:szCs w:val="22"/>
    </w:rPr>
  </w:style>
  <w:style w:type="paragraph" w:customStyle="1" w:styleId="CaCoA-Heading1">
    <w:name w:val="CaCoA - Heading 1"/>
    <w:basedOn w:val="Normal"/>
    <w:autoRedefine/>
    <w:qFormat/>
    <w:rsid w:val="00195687"/>
    <w:pPr>
      <w:jc w:val="center"/>
    </w:pPr>
    <w:rPr>
      <w:rFonts w:eastAsiaTheme="minorHAnsi"/>
      <w:b/>
      <w:bCs/>
      <w:szCs w:val="26"/>
    </w:rPr>
  </w:style>
  <w:style w:type="paragraph" w:customStyle="1" w:styleId="CaCoA-Heading3">
    <w:name w:val="CaCoA - Heading 3"/>
    <w:basedOn w:val="Normal"/>
    <w:autoRedefine/>
    <w:qFormat/>
    <w:rsid w:val="00D823E3"/>
    <w:pPr>
      <w:spacing w:line="276" w:lineRule="auto"/>
    </w:pPr>
    <w:rPr>
      <w:rFonts w:eastAsiaTheme="minorHAnsi"/>
      <w:i/>
      <w:iCs/>
      <w:szCs w:val="22"/>
    </w:rPr>
  </w:style>
  <w:style w:type="paragraph" w:customStyle="1" w:styleId="CaCoA-BodyText">
    <w:name w:val="CaCoA - Body Text"/>
    <w:basedOn w:val="Normal"/>
    <w:qFormat/>
    <w:rsid w:val="00257DF1"/>
    <w:pPr>
      <w:ind w:firstLine="720"/>
    </w:pPr>
    <w:rPr>
      <w:rFonts w:eastAsiaTheme="minorHAnsi"/>
      <w:szCs w:val="22"/>
    </w:rPr>
  </w:style>
  <w:style w:type="character" w:styleId="CommentReference">
    <w:name w:val="annotation reference"/>
    <w:basedOn w:val="DefaultParagraphFont"/>
    <w:uiPriority w:val="99"/>
    <w:semiHidden/>
    <w:unhideWhenUsed/>
    <w:rsid w:val="00862C58"/>
    <w:rPr>
      <w:sz w:val="18"/>
      <w:szCs w:val="18"/>
    </w:rPr>
  </w:style>
  <w:style w:type="paragraph" w:styleId="CommentText">
    <w:name w:val="annotation text"/>
    <w:basedOn w:val="Normal"/>
    <w:link w:val="CommentTextChar"/>
    <w:uiPriority w:val="99"/>
    <w:unhideWhenUsed/>
    <w:rsid w:val="00862C58"/>
    <w:rPr>
      <w:rFonts w:eastAsiaTheme="minorHAnsi"/>
    </w:rPr>
  </w:style>
  <w:style w:type="character" w:customStyle="1" w:styleId="CommentTextChar">
    <w:name w:val="Comment Text Char"/>
    <w:basedOn w:val="DefaultParagraphFont"/>
    <w:link w:val="CommentText"/>
    <w:uiPriority w:val="99"/>
    <w:rsid w:val="00862C58"/>
    <w:rPr>
      <w:rFonts w:ascii="Century Schoolbook" w:hAnsi="Century Schoolbook" w:cs="Times New Roman"/>
      <w:sz w:val="24"/>
      <w:szCs w:val="24"/>
    </w:rPr>
  </w:style>
  <w:style w:type="paragraph" w:styleId="CommentSubject">
    <w:name w:val="annotation subject"/>
    <w:basedOn w:val="CommentText"/>
    <w:next w:val="CommentText"/>
    <w:link w:val="CommentSubjectChar"/>
    <w:uiPriority w:val="99"/>
    <w:semiHidden/>
    <w:unhideWhenUsed/>
    <w:rsid w:val="001D2B2E"/>
    <w:rPr>
      <w:b/>
      <w:bCs/>
      <w:sz w:val="20"/>
      <w:szCs w:val="20"/>
    </w:rPr>
  </w:style>
  <w:style w:type="character" w:customStyle="1" w:styleId="CommentSubjectChar">
    <w:name w:val="Comment Subject Char"/>
    <w:basedOn w:val="CommentTextChar"/>
    <w:link w:val="CommentSubject"/>
    <w:uiPriority w:val="99"/>
    <w:semiHidden/>
    <w:rsid w:val="001D2B2E"/>
    <w:rPr>
      <w:rFonts w:ascii="Century Schoolbook" w:hAnsi="Century Schoolbook" w:cs="Times New Roman"/>
      <w:b/>
      <w:bCs/>
      <w:sz w:val="20"/>
      <w:szCs w:val="20"/>
    </w:rPr>
  </w:style>
  <w:style w:type="paragraph" w:styleId="Revision">
    <w:name w:val="Revision"/>
    <w:hidden/>
    <w:uiPriority w:val="99"/>
    <w:semiHidden/>
    <w:rsid w:val="004C40F6"/>
    <w:pPr>
      <w:spacing w:after="0" w:line="240" w:lineRule="auto"/>
    </w:pPr>
    <w:rPr>
      <w:rFonts w:ascii="Century Schoolbook" w:hAnsi="Century Schoolbook" w:cs="Times New Roman"/>
      <w:sz w:val="26"/>
    </w:rPr>
  </w:style>
  <w:style w:type="character" w:customStyle="1" w:styleId="costarpage">
    <w:name w:val="co_starpage"/>
    <w:basedOn w:val="DefaultParagraphFont"/>
    <w:rsid w:val="00EE2FB6"/>
  </w:style>
  <w:style w:type="character" w:customStyle="1" w:styleId="copinpointicon">
    <w:name w:val="co_pinpointicon"/>
    <w:basedOn w:val="DefaultParagraphFont"/>
    <w:rsid w:val="00EE2FB6"/>
  </w:style>
  <w:style w:type="character" w:customStyle="1" w:styleId="ssit">
    <w:name w:val="ss_it"/>
    <w:rsid w:val="000E113A"/>
  </w:style>
  <w:style w:type="character" w:customStyle="1" w:styleId="sssh">
    <w:name w:val="ss_sh"/>
    <w:rsid w:val="000E113A"/>
  </w:style>
  <w:style w:type="paragraph" w:styleId="BodyText">
    <w:name w:val="Body Text"/>
    <w:basedOn w:val="Normal"/>
    <w:link w:val="BodyTextChar"/>
    <w:uiPriority w:val="1"/>
    <w:qFormat/>
    <w:rsid w:val="00342161"/>
    <w:pPr>
      <w:widowControl w:val="0"/>
      <w:autoSpaceDE w:val="0"/>
      <w:autoSpaceDN w:val="0"/>
      <w:adjustRightInd w:val="0"/>
      <w:ind w:left="440"/>
    </w:pPr>
    <w:rPr>
      <w:rFonts w:cs="Century Schoolbook"/>
      <w:szCs w:val="26"/>
    </w:rPr>
  </w:style>
  <w:style w:type="character" w:customStyle="1" w:styleId="BodyTextChar">
    <w:name w:val="Body Text Char"/>
    <w:basedOn w:val="DefaultParagraphFont"/>
    <w:link w:val="BodyText"/>
    <w:uiPriority w:val="1"/>
    <w:rsid w:val="00342161"/>
    <w:rPr>
      <w:rFonts w:ascii="Century Schoolbook" w:eastAsia="Times New Roman" w:hAnsi="Century Schoolbook" w:cs="Century Schoolbook"/>
      <w:sz w:val="26"/>
      <w:szCs w:val="26"/>
    </w:rPr>
  </w:style>
  <w:style w:type="character" w:styleId="Hyperlink">
    <w:name w:val="Hyperlink"/>
    <w:basedOn w:val="DefaultParagraphFont"/>
    <w:uiPriority w:val="99"/>
    <w:unhideWhenUsed/>
    <w:rsid w:val="00B10155"/>
    <w:rPr>
      <w:color w:val="0000FF" w:themeColor="hyperlink"/>
      <w:u w:val="single"/>
    </w:rPr>
  </w:style>
  <w:style w:type="character" w:customStyle="1" w:styleId="cohl">
    <w:name w:val="co_hl"/>
    <w:basedOn w:val="DefaultParagraphFont"/>
    <w:rsid w:val="00C40B98"/>
  </w:style>
  <w:style w:type="character" w:customStyle="1" w:styleId="coconcept6573">
    <w:name w:val="co_concept_65_73"/>
    <w:basedOn w:val="DefaultParagraphFont"/>
    <w:rsid w:val="003A1894"/>
  </w:style>
  <w:style w:type="character" w:styleId="Emphasis">
    <w:name w:val="Emphasis"/>
    <w:basedOn w:val="DefaultParagraphFont"/>
    <w:uiPriority w:val="20"/>
    <w:qFormat/>
    <w:rsid w:val="00DE5A47"/>
    <w:rPr>
      <w:i/>
      <w:iCs/>
    </w:rPr>
  </w:style>
  <w:style w:type="character" w:customStyle="1" w:styleId="UnresolvedMention1">
    <w:name w:val="Unresolved Mention1"/>
    <w:basedOn w:val="DefaultParagraphFont"/>
    <w:uiPriority w:val="99"/>
    <w:semiHidden/>
    <w:unhideWhenUsed/>
    <w:rsid w:val="005C76B3"/>
    <w:rPr>
      <w:color w:val="605E5C"/>
      <w:shd w:val="clear" w:color="auto" w:fill="E1DFDD"/>
    </w:rPr>
  </w:style>
  <w:style w:type="character" w:customStyle="1" w:styleId="UnresolvedMention2">
    <w:name w:val="Unresolved Mention2"/>
    <w:basedOn w:val="DefaultParagraphFont"/>
    <w:uiPriority w:val="99"/>
    <w:semiHidden/>
    <w:unhideWhenUsed/>
    <w:rsid w:val="00D90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FDF5B2E7ABB48B3CF84D749EB6995" ma:contentTypeVersion="15" ma:contentTypeDescription="Create a new document." ma:contentTypeScope="" ma:versionID="1ab2a39a9fa1f0e585e0cae6c76f82b6">
  <xsd:schema xmlns:xsd="http://www.w3.org/2001/XMLSchema" xmlns:xs="http://www.w3.org/2001/XMLSchema" xmlns:p="http://schemas.microsoft.com/office/2006/metadata/properties" xmlns:ns3="767ad700-1f81-4a4e-9cad-f27baf227ed5" xmlns:ns4="120cc380-65a0-4b9f-9233-0cc8376bf457" targetNamespace="http://schemas.microsoft.com/office/2006/metadata/properties" ma:root="true" ma:fieldsID="9dc9b623a73317aa92f85f0ef9f21bac" ns3:_="" ns4:_="">
    <xsd:import namespace="767ad700-1f81-4a4e-9cad-f27baf227ed5"/>
    <xsd:import namespace="120cc380-65a0-4b9f-9233-0cc8376bf4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ystemTags" minOccurs="0"/>
                <xsd:element ref="ns3:MediaServiceLocation" minOccurs="0"/>
                <xsd:element ref="ns3:MediaServiceOCR" minOccurs="0"/>
                <xsd:element ref="ns3:MediaServiceGenerationTime" minOccurs="0"/>
                <xsd:element ref="ns3:MediaServiceEventHashCode"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ad700-1f81-4a4e-9cad-f27baf227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cc380-65a0-4b9f-9233-0cc8376bf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67ad700-1f81-4a4e-9cad-f27baf227e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10AA-CA42-4A2A-962F-0BD55830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ad700-1f81-4a4e-9cad-f27baf227ed5"/>
    <ds:schemaRef ds:uri="120cc380-65a0-4b9f-9233-0cc8376b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21056-C034-4B40-B695-6CF61C54361F}">
  <ds:schemaRefs>
    <ds:schemaRef ds:uri="http://schemas.microsoft.com/office/2006/metadata/properties"/>
    <ds:schemaRef ds:uri="http://schemas.microsoft.com/office/infopath/2007/PartnerControls"/>
    <ds:schemaRef ds:uri="767ad700-1f81-4a4e-9cad-f27baf227ed5"/>
  </ds:schemaRefs>
</ds:datastoreItem>
</file>

<file path=customXml/itemProps3.xml><?xml version="1.0" encoding="utf-8"?>
<ds:datastoreItem xmlns:ds="http://schemas.openxmlformats.org/officeDocument/2006/customXml" ds:itemID="{58541B74-03F0-4FB1-B548-7534BC9DAA30}">
  <ds:schemaRefs>
    <ds:schemaRef ds:uri="http://schemas.microsoft.com/sharepoint/v3/contenttype/forms"/>
  </ds:schemaRefs>
</ds:datastoreItem>
</file>

<file path=customXml/itemProps4.xml><?xml version="1.0" encoding="utf-8"?>
<ds:datastoreItem xmlns:ds="http://schemas.openxmlformats.org/officeDocument/2006/customXml" ds:itemID="{B2455543-04C0-4512-AC7C-EBB00B8A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19440</Words>
  <Characters>110812</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2024-06-24T18:38:47Z</dcterms:created>
  <dcterms:modified xsi:type="dcterms:W3CDTF">2024-06-24T18:38:47Z</dcterms:modified>
</cp:coreProperties>
</file>