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7732" w14:textId="7C324EB2" w:rsidR="00353CAE" w:rsidRDefault="00E35E8B" w:rsidP="009964D6">
      <w:pPr>
        <w:spacing w:line="240" w:lineRule="auto"/>
        <w:rPr>
          <w:b/>
        </w:rPr>
      </w:pPr>
      <w:r>
        <w:rPr>
          <w:sz w:val="20"/>
          <w:szCs w:val="20"/>
        </w:rPr>
        <w:t>Filed 5/15/24</w:t>
      </w:r>
      <w:r w:rsidR="009964D6">
        <w:rPr>
          <w:sz w:val="20"/>
          <w:szCs w:val="20"/>
        </w:rPr>
        <w:t>; Modified and Certified for Pub. 6/12/24 (order attached)</w:t>
      </w:r>
    </w:p>
    <w:p w14:paraId="3600E74A" w14:textId="77777777" w:rsidR="009964D6" w:rsidRDefault="009964D6" w:rsidP="009964D6">
      <w:pPr>
        <w:spacing w:line="240" w:lineRule="auto"/>
        <w:rPr>
          <w:b/>
        </w:rPr>
      </w:pPr>
    </w:p>
    <w:p w14:paraId="6925CC1D" w14:textId="77777777" w:rsidR="009964D6" w:rsidRDefault="009964D6" w:rsidP="009964D6">
      <w:pPr>
        <w:spacing w:line="240" w:lineRule="auto"/>
        <w:rPr>
          <w:b/>
        </w:rPr>
      </w:pPr>
    </w:p>
    <w:p w14:paraId="28D5E1A0" w14:textId="77777777" w:rsidR="009964D6" w:rsidRDefault="009964D6" w:rsidP="009964D6">
      <w:pPr>
        <w:spacing w:line="240" w:lineRule="auto"/>
        <w:rPr>
          <w:b/>
        </w:rPr>
      </w:pPr>
    </w:p>
    <w:p w14:paraId="427F6177" w14:textId="77777777" w:rsidR="009964D6" w:rsidRPr="00353CAE" w:rsidRDefault="009964D6" w:rsidP="009964D6">
      <w:pPr>
        <w:spacing w:line="240" w:lineRule="auto"/>
        <w:rPr>
          <w:rFonts w:ascii="Arial" w:hAnsi="Arial" w:cs="Arial"/>
          <w:b/>
          <w:sz w:val="16"/>
        </w:rPr>
      </w:pPr>
    </w:p>
    <w:p w14:paraId="44D7091B" w14:textId="77777777" w:rsidR="00353CAE" w:rsidRDefault="00353CAE" w:rsidP="00353CAE">
      <w:pPr>
        <w:spacing w:line="240" w:lineRule="auto"/>
        <w:jc w:val="center"/>
      </w:pPr>
    </w:p>
    <w:p w14:paraId="3CBF61D3" w14:textId="1518A649" w:rsidR="00353CAE" w:rsidRDefault="00E35E8B" w:rsidP="00353CAE">
      <w:pPr>
        <w:spacing w:line="240" w:lineRule="auto"/>
        <w:jc w:val="center"/>
      </w:pPr>
      <w:r>
        <w:t>IN THE COURT OF APPEAL OF THE STATE OF CALIFORNIA</w:t>
      </w:r>
    </w:p>
    <w:p w14:paraId="11651B01" w14:textId="77777777" w:rsidR="00353CAE" w:rsidRDefault="00353CAE" w:rsidP="00353CAE">
      <w:pPr>
        <w:spacing w:line="240" w:lineRule="auto"/>
        <w:jc w:val="center"/>
      </w:pPr>
    </w:p>
    <w:p w14:paraId="47C12466" w14:textId="579E4893" w:rsidR="00353CAE" w:rsidRDefault="00E35E8B" w:rsidP="00353CAE">
      <w:pPr>
        <w:spacing w:line="240" w:lineRule="auto"/>
        <w:jc w:val="center"/>
      </w:pPr>
      <w:r>
        <w:t>SECOND APPELLATE DISTRICT</w:t>
      </w:r>
    </w:p>
    <w:p w14:paraId="065955E0" w14:textId="77777777" w:rsidR="00353CAE" w:rsidRDefault="00353CAE" w:rsidP="00353CAE">
      <w:pPr>
        <w:spacing w:line="240" w:lineRule="auto"/>
        <w:jc w:val="center"/>
      </w:pPr>
    </w:p>
    <w:p w14:paraId="33FEAD9C" w14:textId="4C570AD2" w:rsidR="00353CAE" w:rsidRDefault="00E35E8B" w:rsidP="00353CAE">
      <w:pPr>
        <w:spacing w:line="240" w:lineRule="auto"/>
        <w:jc w:val="center"/>
      </w:pPr>
      <w:r>
        <w:t>DIVISION SEVEN</w:t>
      </w:r>
    </w:p>
    <w:p w14:paraId="356F9A6A" w14:textId="77777777" w:rsidR="00353CAE" w:rsidRDefault="00353CAE" w:rsidP="00353CAE">
      <w:pPr>
        <w:spacing w:line="240" w:lineRule="auto"/>
        <w:jc w:val="center"/>
      </w:pPr>
    </w:p>
    <w:p w14:paraId="75435AD7" w14:textId="77777777" w:rsidR="00353CAE" w:rsidRDefault="00353CAE" w:rsidP="00353CAE">
      <w:pPr>
        <w:spacing w:line="240" w:lineRule="auto"/>
        <w:jc w:val="center"/>
      </w:pPr>
    </w:p>
    <w:tbl>
      <w:tblPr>
        <w:tblW w:w="0" w:type="auto"/>
        <w:tblLayout w:type="fixed"/>
        <w:tblLook w:val="0000" w:firstRow="0" w:lastRow="0" w:firstColumn="0" w:lastColumn="0" w:noHBand="0" w:noVBand="0"/>
      </w:tblPr>
      <w:tblGrid>
        <w:gridCol w:w="4068"/>
        <w:gridCol w:w="4068"/>
      </w:tblGrid>
      <w:tr w:rsidR="00830CA8" w14:paraId="4CC7DB4B" w14:textId="77777777" w:rsidTr="00353CAE">
        <w:tc>
          <w:tcPr>
            <w:tcW w:w="4068" w:type="dxa"/>
            <w:tcBorders>
              <w:bottom w:val="single" w:sz="4" w:space="0" w:color="auto"/>
              <w:right w:val="single" w:sz="4" w:space="0" w:color="auto"/>
            </w:tcBorders>
            <w:shd w:val="clear" w:color="auto" w:fill="auto"/>
          </w:tcPr>
          <w:p w14:paraId="13199CE7" w14:textId="7E3AE602" w:rsidR="00353CAE" w:rsidRDefault="00E35E8B" w:rsidP="00353CAE">
            <w:pPr>
              <w:spacing w:line="240" w:lineRule="auto"/>
            </w:pPr>
            <w:r>
              <w:t>In re JOSE R., a Person Coming Under the Juvenile Court Law.</w:t>
            </w:r>
          </w:p>
        </w:tc>
        <w:tc>
          <w:tcPr>
            <w:tcW w:w="4068" w:type="dxa"/>
            <w:tcBorders>
              <w:left w:val="single" w:sz="4" w:space="0" w:color="auto"/>
            </w:tcBorders>
            <w:shd w:val="clear" w:color="auto" w:fill="auto"/>
          </w:tcPr>
          <w:p w14:paraId="69D78CE7" w14:textId="77777777" w:rsidR="00353CAE" w:rsidRDefault="00E35E8B" w:rsidP="00353CAE">
            <w:pPr>
              <w:spacing w:line="240" w:lineRule="auto"/>
            </w:pPr>
            <w:r>
              <w:t xml:space="preserve">      B326712</w:t>
            </w:r>
          </w:p>
          <w:p w14:paraId="136B7520" w14:textId="77777777" w:rsidR="00353CAE" w:rsidRDefault="00E35E8B" w:rsidP="00353CAE">
            <w:pPr>
              <w:spacing w:line="240" w:lineRule="auto"/>
            </w:pPr>
            <w:r>
              <w:t xml:space="preserve">      (Los Angeles County</w:t>
            </w:r>
          </w:p>
          <w:p w14:paraId="606D64C4" w14:textId="77777777" w:rsidR="00353CAE" w:rsidRDefault="00E35E8B" w:rsidP="00353CAE">
            <w:pPr>
              <w:spacing w:line="240" w:lineRule="auto"/>
            </w:pPr>
            <w:r>
              <w:t xml:space="preserve">      Super. Ct. No. YJ40891)</w:t>
            </w:r>
          </w:p>
          <w:p w14:paraId="58A4FE97" w14:textId="1C78F83C" w:rsidR="00353CAE" w:rsidRDefault="00353CAE" w:rsidP="00353CAE">
            <w:pPr>
              <w:spacing w:line="240" w:lineRule="auto"/>
            </w:pPr>
          </w:p>
        </w:tc>
      </w:tr>
      <w:tr w:rsidR="00830CA8" w14:paraId="22284710" w14:textId="77777777" w:rsidTr="00353CAE">
        <w:tc>
          <w:tcPr>
            <w:tcW w:w="4068" w:type="dxa"/>
            <w:tcBorders>
              <w:top w:val="single" w:sz="4" w:space="0" w:color="auto"/>
              <w:bottom w:val="single" w:sz="4" w:space="0" w:color="auto"/>
              <w:right w:val="single" w:sz="4" w:space="0" w:color="auto"/>
            </w:tcBorders>
            <w:shd w:val="clear" w:color="auto" w:fill="auto"/>
          </w:tcPr>
          <w:p w14:paraId="1A25F08A" w14:textId="77777777" w:rsidR="00353CAE" w:rsidRDefault="00353CAE" w:rsidP="00353CAE">
            <w:pPr>
              <w:spacing w:line="240" w:lineRule="auto"/>
            </w:pPr>
          </w:p>
          <w:p w14:paraId="724FF890" w14:textId="77777777" w:rsidR="00353CAE" w:rsidRDefault="00E35E8B" w:rsidP="00353CAE">
            <w:pPr>
              <w:spacing w:line="240" w:lineRule="auto"/>
            </w:pPr>
            <w:r>
              <w:t>THE PEOPLE,</w:t>
            </w:r>
          </w:p>
          <w:p w14:paraId="670689B0" w14:textId="77777777" w:rsidR="00353CAE" w:rsidRDefault="00353CAE" w:rsidP="00353CAE">
            <w:pPr>
              <w:spacing w:line="240" w:lineRule="auto"/>
            </w:pPr>
          </w:p>
          <w:p w14:paraId="1E6B2C8C" w14:textId="77777777" w:rsidR="00353CAE" w:rsidRDefault="00E35E8B" w:rsidP="00353CAE">
            <w:pPr>
              <w:spacing w:line="240" w:lineRule="auto"/>
            </w:pPr>
            <w:r>
              <w:tab/>
              <w:t>Plaintiff and Respondent,</w:t>
            </w:r>
          </w:p>
          <w:p w14:paraId="4DAE6130" w14:textId="77777777" w:rsidR="00353CAE" w:rsidRDefault="00353CAE" w:rsidP="00353CAE">
            <w:pPr>
              <w:spacing w:line="240" w:lineRule="auto"/>
            </w:pPr>
          </w:p>
          <w:p w14:paraId="78CD4EE6" w14:textId="77777777" w:rsidR="00353CAE" w:rsidRDefault="00E35E8B" w:rsidP="00353CAE">
            <w:pPr>
              <w:spacing w:line="240" w:lineRule="auto"/>
            </w:pPr>
            <w:r>
              <w:tab/>
              <w:t>v.</w:t>
            </w:r>
          </w:p>
          <w:p w14:paraId="216DA4BF" w14:textId="77777777" w:rsidR="00353CAE" w:rsidRDefault="00353CAE" w:rsidP="00353CAE">
            <w:pPr>
              <w:spacing w:line="240" w:lineRule="auto"/>
            </w:pPr>
          </w:p>
          <w:p w14:paraId="231BCAD6" w14:textId="77777777" w:rsidR="00353CAE" w:rsidRDefault="00E35E8B" w:rsidP="00353CAE">
            <w:pPr>
              <w:spacing w:line="240" w:lineRule="auto"/>
            </w:pPr>
            <w:r>
              <w:t>JOSE R.,</w:t>
            </w:r>
          </w:p>
          <w:p w14:paraId="6C2B2E43" w14:textId="77777777" w:rsidR="00353CAE" w:rsidRDefault="00353CAE" w:rsidP="00353CAE">
            <w:pPr>
              <w:spacing w:line="240" w:lineRule="auto"/>
            </w:pPr>
          </w:p>
          <w:p w14:paraId="3AB021AF" w14:textId="77777777" w:rsidR="00353CAE" w:rsidRDefault="00E35E8B" w:rsidP="00353CAE">
            <w:pPr>
              <w:spacing w:line="240" w:lineRule="auto"/>
            </w:pPr>
            <w:r>
              <w:tab/>
              <w:t>Defendant and Appellant.</w:t>
            </w:r>
          </w:p>
          <w:p w14:paraId="2A34B06D" w14:textId="4F9AAA10" w:rsidR="00353CAE" w:rsidRDefault="00353CAE" w:rsidP="00353CAE">
            <w:pPr>
              <w:spacing w:line="240" w:lineRule="auto"/>
            </w:pPr>
          </w:p>
        </w:tc>
        <w:tc>
          <w:tcPr>
            <w:tcW w:w="4068" w:type="dxa"/>
            <w:tcBorders>
              <w:left w:val="single" w:sz="4" w:space="0" w:color="auto"/>
            </w:tcBorders>
            <w:shd w:val="clear" w:color="auto" w:fill="auto"/>
          </w:tcPr>
          <w:p w14:paraId="426119D1" w14:textId="77777777" w:rsidR="00353CAE" w:rsidRDefault="00353CAE" w:rsidP="00353CAE">
            <w:pPr>
              <w:spacing w:line="240" w:lineRule="auto"/>
            </w:pPr>
          </w:p>
        </w:tc>
      </w:tr>
    </w:tbl>
    <w:p w14:paraId="21D64E46" w14:textId="77777777" w:rsidR="00353CAE" w:rsidRDefault="00353CAE" w:rsidP="00353CAE"/>
    <w:p w14:paraId="566F842E" w14:textId="775295B9" w:rsidR="00353CAE" w:rsidRDefault="00E35E8B" w:rsidP="00353CAE">
      <w:r>
        <w:tab/>
      </w:r>
      <w:bookmarkStart w:id="0" w:name="_Hlk164757360"/>
      <w:r>
        <w:t>APPEAL from an order of the Superior Court of Los Angeles County, Nancy L. Newman, Judge.  Affirmed.</w:t>
      </w:r>
    </w:p>
    <w:bookmarkEnd w:id="0"/>
    <w:p w14:paraId="683D0061" w14:textId="3AA266CA" w:rsidR="00353CAE" w:rsidRDefault="00E35E8B" w:rsidP="00353CAE">
      <w:r>
        <w:tab/>
        <w:t xml:space="preserve">Courtney M. </w:t>
      </w:r>
      <w:proofErr w:type="spellStart"/>
      <w:r>
        <w:t>Selan</w:t>
      </w:r>
      <w:proofErr w:type="spellEnd"/>
      <w:r>
        <w:t>, under appointment by the Court of Appeal, for Defendant and Appellant.</w:t>
      </w:r>
    </w:p>
    <w:p w14:paraId="67216CC9" w14:textId="638D8113" w:rsidR="00353CAE" w:rsidRDefault="00E35E8B" w:rsidP="00353CAE">
      <w:r>
        <w:tab/>
        <w:t xml:space="preserve">Rob Bonta, Attorney General, Lance E. Winters, Chief Assistant Attorney General, Susan Sullivan </w:t>
      </w:r>
      <w:proofErr w:type="spellStart"/>
      <w:r>
        <w:t>Pithey</w:t>
      </w:r>
      <w:proofErr w:type="spellEnd"/>
      <w:r>
        <w:t xml:space="preserve">, Senior </w:t>
      </w:r>
      <w:r>
        <w:lastRenderedPageBreak/>
        <w:t>Assistant Attorney General, Wyatt E. Bloomfield</w:t>
      </w:r>
      <w:r w:rsidR="0069223B">
        <w:t xml:space="preserve"> and</w:t>
      </w:r>
      <w:r>
        <w:t xml:space="preserve"> William H. Shin, Deputy Attorney</w:t>
      </w:r>
      <w:r w:rsidR="0069223B">
        <w:t>s</w:t>
      </w:r>
      <w:r>
        <w:t xml:space="preserve"> General, for Plaintiff and Respondent.</w:t>
      </w:r>
    </w:p>
    <w:p w14:paraId="489EB71F" w14:textId="1A545D2C" w:rsidR="00353CAE" w:rsidRDefault="00E35E8B" w:rsidP="00353CAE">
      <w:pPr>
        <w:jc w:val="center"/>
      </w:pPr>
      <w:r>
        <w:t>_____________________________</w:t>
      </w:r>
    </w:p>
    <w:p w14:paraId="36BDD776" w14:textId="3195EE17" w:rsidR="00353CAE" w:rsidRDefault="00E35E8B" w:rsidP="00353CAE">
      <w:r>
        <w:tab/>
      </w:r>
    </w:p>
    <w:p w14:paraId="0868DB5F" w14:textId="36A731F7" w:rsidR="00B66604" w:rsidRDefault="00E35E8B" w:rsidP="00353CAE">
      <w:r>
        <w:tab/>
        <w:t>Jose R. appeals from the juvenile court’s disposition order committing him to a secure youth treatment facility</w:t>
      </w:r>
      <w:r w:rsidR="00C4282F">
        <w:t xml:space="preserve"> (SYTF)</w:t>
      </w:r>
      <w:r>
        <w:t xml:space="preserve"> for a baseline term of three years with a maximum </w:t>
      </w:r>
      <w:r w:rsidR="00C4282F">
        <w:t>term of six years</w:t>
      </w:r>
      <w:r w:rsidR="00E2487D">
        <w:t xml:space="preserve">.  Jose </w:t>
      </w:r>
      <w:r w:rsidR="00A937F7">
        <w:t xml:space="preserve">was declared a ward of the </w:t>
      </w:r>
      <w:r w:rsidR="008F4F54">
        <w:t>juvenile court</w:t>
      </w:r>
      <w:r w:rsidR="00C4282F">
        <w:t xml:space="preserve"> </w:t>
      </w:r>
      <w:r w:rsidR="00D72F8B">
        <w:t xml:space="preserve">under </w:t>
      </w:r>
      <w:r w:rsidR="00D72F8B" w:rsidRPr="00D72F8B">
        <w:t>Welfare and Institutions Code section</w:t>
      </w:r>
      <w:r w:rsidR="00396044">
        <w:t> </w:t>
      </w:r>
      <w:r w:rsidR="00D72F8B" w:rsidRPr="00D72F8B">
        <w:t>602</w:t>
      </w:r>
      <w:r>
        <w:rPr>
          <w:vertAlign w:val="superscript"/>
        </w:rPr>
        <w:footnoteReference w:id="1"/>
      </w:r>
      <w:r w:rsidR="003264E5" w:rsidRPr="003264E5">
        <w:t xml:space="preserve"> </w:t>
      </w:r>
      <w:r w:rsidR="00C4282F">
        <w:t xml:space="preserve">after he admitted </w:t>
      </w:r>
      <w:r w:rsidR="00D72F8B">
        <w:t xml:space="preserve">as part of a negotiated plea that he had committed </w:t>
      </w:r>
      <w:r w:rsidR="00C66B9C">
        <w:t xml:space="preserve">an </w:t>
      </w:r>
      <w:r w:rsidR="00C4282F">
        <w:t xml:space="preserve">assault with a semiautomatic firearm.  Jose </w:t>
      </w:r>
      <w:r w:rsidR="00D72F8B">
        <w:t>contends</w:t>
      </w:r>
      <w:r w:rsidR="00C4282F">
        <w:t xml:space="preserve"> </w:t>
      </w:r>
      <w:r w:rsidR="00D72F8B">
        <w:t xml:space="preserve">on appeal </w:t>
      </w:r>
      <w:r w:rsidR="00C4282F">
        <w:t xml:space="preserve">the court erred in applying his </w:t>
      </w:r>
      <w:r w:rsidR="006512F8">
        <w:t>precommitment</w:t>
      </w:r>
      <w:r w:rsidR="00C4282F">
        <w:t xml:space="preserve"> custody credits to his maximum term </w:t>
      </w:r>
      <w:r w:rsidR="005F6D0A">
        <w:t xml:space="preserve">instead of </w:t>
      </w:r>
      <w:r w:rsidR="00C4282F">
        <w:t>his baseline term.  We affirm.</w:t>
      </w:r>
    </w:p>
    <w:p w14:paraId="5E54FB97" w14:textId="069648BB" w:rsidR="00C4282F" w:rsidRDefault="00E35E8B" w:rsidP="00C4282F">
      <w:pPr>
        <w:pStyle w:val="Heading1"/>
      </w:pPr>
      <w:r>
        <w:t>PROCEDURAL BACKGROUND</w:t>
      </w:r>
    </w:p>
    <w:p w14:paraId="0CD415BD" w14:textId="77777777" w:rsidR="00C4282F" w:rsidRDefault="00E35E8B" w:rsidP="00C4282F">
      <w:r>
        <w:tab/>
      </w:r>
    </w:p>
    <w:p w14:paraId="043BD6D4" w14:textId="76091345" w:rsidR="00C4282F" w:rsidRDefault="00E35E8B" w:rsidP="00C4282F">
      <w:pPr>
        <w:ind w:firstLine="720"/>
      </w:pPr>
      <w:r>
        <w:t xml:space="preserve">This case arises out of a shooting in which Jose </w:t>
      </w:r>
      <w:r w:rsidR="009130FB">
        <w:t xml:space="preserve">and an adult </w:t>
      </w:r>
      <w:r w:rsidR="00213CC8">
        <w:t xml:space="preserve">man </w:t>
      </w:r>
      <w:r>
        <w:t xml:space="preserve">fired multiple </w:t>
      </w:r>
      <w:r w:rsidR="00D94324">
        <w:t>gun</w:t>
      </w:r>
      <w:r>
        <w:t xml:space="preserve">shots, killing </w:t>
      </w:r>
      <w:r w:rsidR="00793D97">
        <w:t>the</w:t>
      </w:r>
      <w:r w:rsidR="0078686C">
        <w:t xml:space="preserve"> victim.  </w:t>
      </w:r>
      <w:r>
        <w:t xml:space="preserve">On January 25, </w:t>
      </w:r>
      <w:proofErr w:type="gramStart"/>
      <w:r>
        <w:t>2022</w:t>
      </w:r>
      <w:proofErr w:type="gramEnd"/>
      <w:r>
        <w:t xml:space="preserve"> the People filed a section</w:t>
      </w:r>
      <w:r w:rsidR="00EC7830">
        <w:t> </w:t>
      </w:r>
      <w:r>
        <w:t>602 petition alleging</w:t>
      </w:r>
      <w:r w:rsidR="00CD1725">
        <w:t xml:space="preserve"> </w:t>
      </w:r>
      <w:r w:rsidR="003B1FEE">
        <w:t xml:space="preserve">that when </w:t>
      </w:r>
      <w:r w:rsidR="00CD1725">
        <w:t>Jose</w:t>
      </w:r>
      <w:r w:rsidR="003B1FEE">
        <w:t xml:space="preserve"> was 1</w:t>
      </w:r>
      <w:r w:rsidR="00A47073">
        <w:t>5</w:t>
      </w:r>
      <w:r w:rsidR="003B1FEE">
        <w:t xml:space="preserve"> years old he </w:t>
      </w:r>
      <w:r w:rsidR="00CD1725">
        <w:t>committed first degree murder</w:t>
      </w:r>
      <w:r w:rsidR="00D01AD0">
        <w:t xml:space="preserve"> (Pen. Code, §</w:t>
      </w:r>
      <w:r w:rsidR="00EC7830">
        <w:t> </w:t>
      </w:r>
      <w:r w:rsidR="00D01AD0">
        <w:t>187, subd.</w:t>
      </w:r>
      <w:r w:rsidR="00EC7830">
        <w:t> </w:t>
      </w:r>
      <w:r w:rsidR="00D01AD0">
        <w:t>(a))</w:t>
      </w:r>
      <w:r w:rsidR="00CD1725">
        <w:t xml:space="preserve">.  </w:t>
      </w:r>
      <w:r w:rsidR="00D01AD0">
        <w:t xml:space="preserve">On February 1, 2023, pursuant to a negotiated disposition, </w:t>
      </w:r>
      <w:r w:rsidR="0050308B">
        <w:t xml:space="preserve">at the People’s request the </w:t>
      </w:r>
      <w:r w:rsidR="0050308B">
        <w:lastRenderedPageBreak/>
        <w:t xml:space="preserve">juvenile court </w:t>
      </w:r>
      <w:r w:rsidR="00D01AD0">
        <w:t>amend</w:t>
      </w:r>
      <w:r w:rsidR="0050308B">
        <w:t>ed</w:t>
      </w:r>
      <w:r w:rsidR="00D01AD0">
        <w:t xml:space="preserve"> the petition to allege one count of assault with a semiautomatic firearm (§</w:t>
      </w:r>
      <w:r w:rsidR="00EC7830">
        <w:t> </w:t>
      </w:r>
      <w:r w:rsidR="00D01AD0">
        <w:t>245, subd.</w:t>
      </w:r>
      <w:r w:rsidR="00EC7830">
        <w:t> </w:t>
      </w:r>
      <w:r w:rsidR="00D01AD0">
        <w:t xml:space="preserve">(b)).  Jose admitted </w:t>
      </w:r>
      <w:r w:rsidR="003D7CBA">
        <w:t>the allegation</w:t>
      </w:r>
      <w:r w:rsidR="00C53403">
        <w:t>.</w:t>
      </w:r>
      <w:r w:rsidR="00BA34CC">
        <w:t xml:space="preserve">  The court found the allegation true, declared the offense a felony, and</w:t>
      </w:r>
      <w:r w:rsidR="00D01AD0">
        <w:t xml:space="preserve"> dismissed the murder count. </w:t>
      </w:r>
    </w:p>
    <w:p w14:paraId="589B6E91" w14:textId="45C19E40" w:rsidR="00D01AD0" w:rsidRDefault="00E35E8B" w:rsidP="00C4282F">
      <w:pPr>
        <w:ind w:firstLine="720"/>
      </w:pPr>
      <w:r w:rsidRPr="00155CD4">
        <w:t xml:space="preserve">Prior to the disposition hearing, defense counsel filed a motion requesting the </w:t>
      </w:r>
      <w:r w:rsidR="0030272E">
        <w:t xml:space="preserve">juvenile </w:t>
      </w:r>
      <w:r w:rsidRPr="00155CD4">
        <w:t xml:space="preserve">court apply Jose’s </w:t>
      </w:r>
      <w:r>
        <w:t xml:space="preserve">precommitment custody credits to his </w:t>
      </w:r>
      <w:r w:rsidRPr="00155CD4">
        <w:t xml:space="preserve">baseline term, which the People opposed.  </w:t>
      </w:r>
      <w:r w:rsidR="00EC7830">
        <w:t xml:space="preserve">On February 21, </w:t>
      </w:r>
      <w:proofErr w:type="gramStart"/>
      <w:r w:rsidR="00EC7830">
        <w:t>2023</w:t>
      </w:r>
      <w:proofErr w:type="gramEnd"/>
      <w:r w:rsidR="00EC7830">
        <w:t xml:space="preserve"> t</w:t>
      </w:r>
      <w:r>
        <w:t xml:space="preserve">he juvenile court declared Jose a ward of the </w:t>
      </w:r>
      <w:r w:rsidR="008F4F54">
        <w:t>juvenile court</w:t>
      </w:r>
      <w:r>
        <w:t xml:space="preserve"> and committed him to SYTF for </w:t>
      </w:r>
      <w:r w:rsidR="005938D4">
        <w:t xml:space="preserve">a </w:t>
      </w:r>
      <w:r w:rsidR="005938D4" w:rsidRPr="005938D4">
        <w:t xml:space="preserve">baseline term of three years </w:t>
      </w:r>
      <w:r w:rsidR="005938D4">
        <w:t xml:space="preserve">with </w:t>
      </w:r>
      <w:r>
        <w:t>a maximum term of six years</w:t>
      </w:r>
      <w:r w:rsidR="00C12F8A">
        <w:t xml:space="preserve">.  </w:t>
      </w:r>
      <w:r w:rsidR="00086408">
        <w:t xml:space="preserve">The court </w:t>
      </w:r>
      <w:r w:rsidR="008D56C9">
        <w:t xml:space="preserve">denied Jose’s motion and </w:t>
      </w:r>
      <w:r w:rsidR="00956ABF">
        <w:t xml:space="preserve">applied </w:t>
      </w:r>
      <w:r w:rsidR="00086408" w:rsidRPr="00040181">
        <w:t>395</w:t>
      </w:r>
      <w:r w:rsidR="00EE3465" w:rsidRPr="00040181">
        <w:t> </w:t>
      </w:r>
      <w:r w:rsidR="00086408" w:rsidRPr="00040181">
        <w:t xml:space="preserve">days of precommitment </w:t>
      </w:r>
      <w:r w:rsidR="005938D4" w:rsidRPr="00040181">
        <w:t xml:space="preserve">custody </w:t>
      </w:r>
      <w:r w:rsidR="00086408" w:rsidRPr="00040181">
        <w:t>credits</w:t>
      </w:r>
      <w:r w:rsidR="008D56C9" w:rsidRPr="00040181">
        <w:t xml:space="preserve"> aga</w:t>
      </w:r>
      <w:r w:rsidR="00956ABF" w:rsidRPr="00040181">
        <w:t>inst</w:t>
      </w:r>
      <w:r w:rsidR="008D56C9" w:rsidRPr="00040181">
        <w:t xml:space="preserve"> </w:t>
      </w:r>
      <w:r w:rsidR="00086408" w:rsidRPr="00040181">
        <w:t>the maximum term.  Jose timely appealed</w:t>
      </w:r>
      <w:r w:rsidR="00DC0AA2" w:rsidRPr="00040181">
        <w:t xml:space="preserve"> </w:t>
      </w:r>
      <w:r w:rsidR="00DC0AA2" w:rsidRPr="003D6C63">
        <w:t>from the disposition order</w:t>
      </w:r>
      <w:r w:rsidR="00086408" w:rsidRPr="00040181">
        <w:t>.</w:t>
      </w:r>
      <w:r w:rsidR="00EE3465" w:rsidRPr="00040181">
        <w:t xml:space="preserve"> </w:t>
      </w:r>
    </w:p>
    <w:p w14:paraId="758C5B38" w14:textId="4BFCC4DD" w:rsidR="00086408" w:rsidRPr="00C4282F" w:rsidRDefault="00E35E8B" w:rsidP="00086408">
      <w:pPr>
        <w:pStyle w:val="Heading1"/>
      </w:pPr>
      <w:r>
        <w:t>DISCUSSION</w:t>
      </w:r>
    </w:p>
    <w:p w14:paraId="68CDDB19" w14:textId="50A2AAEF" w:rsidR="00353CAE" w:rsidRDefault="00E35E8B" w:rsidP="002C032F">
      <w:pPr>
        <w:pStyle w:val="Heading2"/>
      </w:pPr>
      <w:r>
        <w:t>Juvenile Justice Realignment and Sentencing</w:t>
      </w:r>
    </w:p>
    <w:p w14:paraId="2245C393" w14:textId="7119C6FA" w:rsidR="007C3F5A" w:rsidRDefault="00E35E8B" w:rsidP="009F3390">
      <w:pPr>
        <w:ind w:firstLine="720"/>
      </w:pPr>
      <w:r>
        <w:t>“</w:t>
      </w:r>
      <w:r w:rsidRPr="009F3390">
        <w:t xml:space="preserve">Until recently, the Department of Corrections and Rehabilitation, Division of Juvenile Justice (DJJ) was </w:t>
      </w:r>
      <w:r>
        <w:t>‘</w:t>
      </w:r>
      <w:r w:rsidRPr="009F3390">
        <w:t>the state</w:t>
      </w:r>
      <w:r>
        <w:t>’</w:t>
      </w:r>
      <w:r w:rsidRPr="009F3390">
        <w:t>s most restrictive placement for its most severe juvenile offenders</w:t>
      </w:r>
      <w:r>
        <w:t> </w:t>
      </w:r>
      <w:proofErr w:type="gramStart"/>
      <w:r>
        <w:t>. . . .</w:t>
      </w:r>
      <w:proofErr w:type="gramEnd"/>
      <w:r>
        <w:t>’”  (</w:t>
      </w:r>
      <w:r>
        <w:rPr>
          <w:i/>
          <w:iCs/>
        </w:rPr>
        <w:t xml:space="preserve">In re M.B. </w:t>
      </w:r>
      <w:r>
        <w:t>(2024) 99</w:t>
      </w:r>
      <w:r w:rsidR="00EE3465">
        <w:t> </w:t>
      </w:r>
      <w:r>
        <w:t>Cal.App.5th 435, 448</w:t>
      </w:r>
      <w:r w:rsidR="006077E0">
        <w:t xml:space="preserve"> (</w:t>
      </w:r>
      <w:r w:rsidR="006077E0" w:rsidRPr="006077E0">
        <w:rPr>
          <w:i/>
          <w:iCs/>
        </w:rPr>
        <w:t>M.B.</w:t>
      </w:r>
      <w:r w:rsidR="006077E0">
        <w:t>)</w:t>
      </w:r>
      <w:r>
        <w:t>.)  In 2020</w:t>
      </w:r>
      <w:r w:rsidR="00F775CE">
        <w:t xml:space="preserve"> and 2021</w:t>
      </w:r>
      <w:r w:rsidR="00183DAA">
        <w:t xml:space="preserve"> </w:t>
      </w:r>
      <w:r w:rsidR="00BB52CB">
        <w:t xml:space="preserve">the Legislature passed </w:t>
      </w:r>
      <w:r w:rsidR="00F775CE">
        <w:t xml:space="preserve">a series of bills aimed at </w:t>
      </w:r>
      <w:r w:rsidR="00BB52CB">
        <w:t xml:space="preserve">“juvenile justice realignment,” </w:t>
      </w:r>
      <w:r w:rsidR="00F775CE">
        <w:t>with the</w:t>
      </w:r>
      <w:r w:rsidR="00F775CE" w:rsidRPr="009F3390">
        <w:t xml:space="preserve"> purpose “</w:t>
      </w:r>
      <w:r w:rsidR="002B7BC6">
        <w:t xml:space="preserve">to </w:t>
      </w:r>
      <w:r w:rsidR="00F775CE" w:rsidRPr="009F3390">
        <w:t>ensur</w:t>
      </w:r>
      <w:r w:rsidR="002B7BC6">
        <w:t>e</w:t>
      </w:r>
      <w:r w:rsidR="00F775CE" w:rsidRPr="009F3390">
        <w:t xml:space="preserve"> that justice-involved youth are closer to their families and communities and receive age-appropriate treatment”</w:t>
      </w:r>
      <w:r w:rsidR="00404827">
        <w:t xml:space="preserve"> </w:t>
      </w:r>
      <w:r w:rsidR="0055414D" w:rsidRPr="0055414D">
        <w:t>and “to establish a separate dispositional track for higher-need youth</w:t>
      </w:r>
      <w:r w:rsidR="00E421EB">
        <w:t>.</w:t>
      </w:r>
      <w:r w:rsidR="0055414D" w:rsidRPr="0055414D">
        <w:t xml:space="preserve">” </w:t>
      </w:r>
      <w:r w:rsidR="00E421EB">
        <w:t xml:space="preserve"> </w:t>
      </w:r>
      <w:r w:rsidR="00CE32B5" w:rsidRPr="00CE32B5">
        <w:t>(Sen. Bill No.</w:t>
      </w:r>
      <w:r w:rsidR="00EE3465">
        <w:t> </w:t>
      </w:r>
      <w:r w:rsidR="00CE32B5" w:rsidRPr="00CE32B5">
        <w:t>823 (2019-2020 Reg. Sess.) (Stats.</w:t>
      </w:r>
      <w:r w:rsidR="00EE3465">
        <w:t> </w:t>
      </w:r>
      <w:r w:rsidR="00CE32B5" w:rsidRPr="00CE32B5">
        <w:t xml:space="preserve">2020, </w:t>
      </w:r>
      <w:proofErr w:type="spellStart"/>
      <w:r w:rsidR="00CE32B5" w:rsidRPr="00CE32B5">
        <w:t>ch.</w:t>
      </w:r>
      <w:proofErr w:type="spellEnd"/>
      <w:r w:rsidR="00EE3465">
        <w:t> </w:t>
      </w:r>
      <w:r w:rsidR="00CE32B5" w:rsidRPr="00CE32B5">
        <w:t>337, §</w:t>
      </w:r>
      <w:r w:rsidR="0055414D">
        <w:t>§</w:t>
      </w:r>
      <w:r w:rsidR="00CE32B5" w:rsidRPr="00CE32B5">
        <w:t> 1</w:t>
      </w:r>
      <w:r w:rsidR="0055414D">
        <w:t xml:space="preserve">, </w:t>
      </w:r>
      <w:r w:rsidR="00CE32B5">
        <w:t>30</w:t>
      </w:r>
      <w:r w:rsidR="00121531">
        <w:t>)</w:t>
      </w:r>
      <w:r w:rsidR="002A79F9">
        <w:t xml:space="preserve">; see </w:t>
      </w:r>
      <w:r w:rsidR="00F775CE">
        <w:t>Sen. Bill No.</w:t>
      </w:r>
      <w:r w:rsidR="00EE3465">
        <w:t> </w:t>
      </w:r>
      <w:r w:rsidR="00F775CE">
        <w:t>92 (2021-2022 Reg. Sess.) (Stats.</w:t>
      </w:r>
      <w:r w:rsidR="00EE3465">
        <w:t> </w:t>
      </w:r>
      <w:r w:rsidR="00F775CE">
        <w:t xml:space="preserve">2021, </w:t>
      </w:r>
      <w:proofErr w:type="spellStart"/>
      <w:r w:rsidR="00F775CE">
        <w:t>ch.</w:t>
      </w:r>
      <w:proofErr w:type="spellEnd"/>
      <w:r w:rsidR="00EE3465">
        <w:t> </w:t>
      </w:r>
      <w:r w:rsidR="00F775CE">
        <w:t>18)</w:t>
      </w:r>
      <w:r w:rsidR="00127A71">
        <w:t xml:space="preserve"> (Sen. Bill</w:t>
      </w:r>
      <w:r w:rsidR="00EE3465">
        <w:t> </w:t>
      </w:r>
      <w:r w:rsidR="00127A71">
        <w:t>92)</w:t>
      </w:r>
      <w:r w:rsidR="006856A6">
        <w:t xml:space="preserve"> [</w:t>
      </w:r>
      <w:r w:rsidR="00D26C6A">
        <w:t>requiring</w:t>
      </w:r>
      <w:r w:rsidR="00127A71">
        <w:t xml:space="preserve">, among other things, </w:t>
      </w:r>
      <w:r w:rsidR="00D26C6A">
        <w:t>for counties to establish</w:t>
      </w:r>
      <w:r w:rsidR="0037737C">
        <w:t xml:space="preserve"> </w:t>
      </w:r>
      <w:r w:rsidR="0055414D">
        <w:t>SYTF’s</w:t>
      </w:r>
      <w:r w:rsidR="0037737C">
        <w:t>]</w:t>
      </w:r>
      <w:r w:rsidR="002A79F9">
        <w:t>).</w:t>
      </w:r>
    </w:p>
    <w:p w14:paraId="1E44D099" w14:textId="73C262E1" w:rsidR="000C05EA" w:rsidRDefault="00E35E8B" w:rsidP="007C3F5A">
      <w:pPr>
        <w:ind w:firstLine="720"/>
      </w:pPr>
      <w:r>
        <w:lastRenderedPageBreak/>
        <w:t>As part of realignment</w:t>
      </w:r>
      <w:r w:rsidR="00771EBB">
        <w:t>,</w:t>
      </w:r>
      <w:r w:rsidR="00E05269">
        <w:t xml:space="preserve"> </w:t>
      </w:r>
      <w:r>
        <w:t xml:space="preserve">the Legislature </w:t>
      </w:r>
      <w:r w:rsidR="00BB52CB">
        <w:t xml:space="preserve">transferred responsibility for </w:t>
      </w:r>
      <w:r w:rsidR="000B51CB">
        <w:t xml:space="preserve">minors </w:t>
      </w:r>
      <w:r w:rsidR="000D3344">
        <w:t xml:space="preserve">who have been </w:t>
      </w:r>
      <w:r w:rsidR="00BB52CB">
        <w:t>adjudged ward</w:t>
      </w:r>
      <w:r>
        <w:t>s</w:t>
      </w:r>
      <w:r w:rsidR="00BB52CB">
        <w:t xml:space="preserve"> of the court</w:t>
      </w:r>
      <w:r w:rsidR="00211165">
        <w:t>,</w:t>
      </w:r>
      <w:r w:rsidR="00BB52CB">
        <w:t xml:space="preserve"> </w:t>
      </w:r>
      <w:r w:rsidR="006021F4">
        <w:t xml:space="preserve">and </w:t>
      </w:r>
      <w:r w:rsidR="00211165">
        <w:t xml:space="preserve">who </w:t>
      </w:r>
      <w:r w:rsidR="006021F4">
        <w:t>would have been committed to DJJ</w:t>
      </w:r>
      <w:r w:rsidR="00211165">
        <w:t>,</w:t>
      </w:r>
      <w:r w:rsidR="006021F4">
        <w:t xml:space="preserve"> to </w:t>
      </w:r>
      <w:r w:rsidR="00BB52CB">
        <w:t>county governments.  (</w:t>
      </w:r>
      <w:r>
        <w:t>§</w:t>
      </w:r>
      <w:r w:rsidR="00EE3465">
        <w:t> </w:t>
      </w:r>
      <w:r>
        <w:t>736.5, subd</w:t>
      </w:r>
      <w:r w:rsidR="00E05269">
        <w:t>.</w:t>
      </w:r>
      <w:r w:rsidR="00EE3465">
        <w:t> </w:t>
      </w:r>
      <w:r w:rsidR="00E05269">
        <w:t>(a</w:t>
      </w:r>
      <w:r>
        <w:t>)</w:t>
      </w:r>
      <w:r w:rsidR="00E05269">
        <w:t>.)</w:t>
      </w:r>
      <w:r>
        <w:t xml:space="preserve">  </w:t>
      </w:r>
      <w:r w:rsidR="00666BA4">
        <w:t xml:space="preserve">Effective </w:t>
      </w:r>
      <w:r w:rsidR="00E05269">
        <w:t xml:space="preserve">July 1, 2021, with </w:t>
      </w:r>
      <w:r w:rsidR="000D3344">
        <w:t>narrow</w:t>
      </w:r>
      <w:r w:rsidR="00E05269">
        <w:t xml:space="preserve"> exceptions, </w:t>
      </w:r>
      <w:r w:rsidR="004D0082">
        <w:t>minors</w:t>
      </w:r>
      <w:r w:rsidR="00E05269">
        <w:t xml:space="preserve"> would no longer be committed to DJJ (</w:t>
      </w:r>
      <w:r w:rsidR="00771EBB" w:rsidRPr="00771EBB">
        <w:rPr>
          <w:i/>
          <w:iCs/>
        </w:rPr>
        <w:t>id</w:t>
      </w:r>
      <w:r w:rsidR="00771EBB">
        <w:t xml:space="preserve">., </w:t>
      </w:r>
      <w:r w:rsidR="00E05269">
        <w:t>subd.</w:t>
      </w:r>
      <w:r w:rsidR="00EE3465">
        <w:t> </w:t>
      </w:r>
      <w:r w:rsidR="00E05269">
        <w:t>(b)</w:t>
      </w:r>
      <w:r w:rsidR="000D3344">
        <w:t xml:space="preserve">), and DJJ </w:t>
      </w:r>
      <w:r w:rsidR="00127A71">
        <w:t xml:space="preserve">was required to </w:t>
      </w:r>
      <w:r w:rsidR="000D3344">
        <w:t>close</w:t>
      </w:r>
      <w:r w:rsidR="00127A71">
        <w:t xml:space="preserve"> </w:t>
      </w:r>
      <w:r w:rsidR="00AF3274">
        <w:t>on</w:t>
      </w:r>
      <w:r w:rsidR="000D3344">
        <w:t xml:space="preserve"> June 30, 2023 (</w:t>
      </w:r>
      <w:r w:rsidR="00AF3274" w:rsidRPr="00771EBB">
        <w:rPr>
          <w:i/>
          <w:iCs/>
        </w:rPr>
        <w:t>id</w:t>
      </w:r>
      <w:r w:rsidR="00AF3274">
        <w:t xml:space="preserve">., </w:t>
      </w:r>
      <w:r w:rsidR="000D3344">
        <w:t>subd</w:t>
      </w:r>
      <w:r w:rsidR="00EE3465">
        <w:t>. </w:t>
      </w:r>
      <w:r w:rsidR="000D3344">
        <w:t>(</w:t>
      </w:r>
      <w:r w:rsidR="00D80701">
        <w:t>e</w:t>
      </w:r>
      <w:r w:rsidR="000D3344">
        <w:t>)).</w:t>
      </w:r>
      <w:r w:rsidR="004D0082">
        <w:t xml:space="preserve">  </w:t>
      </w:r>
      <w:r w:rsidR="002566A8">
        <w:t>Senate Bill</w:t>
      </w:r>
      <w:r w:rsidR="00EE3465">
        <w:t> </w:t>
      </w:r>
      <w:r w:rsidR="002566A8">
        <w:t xml:space="preserve">92 added </w:t>
      </w:r>
      <w:r>
        <w:t>section</w:t>
      </w:r>
      <w:r w:rsidR="00EE3465">
        <w:t> </w:t>
      </w:r>
      <w:r>
        <w:t>875, which took effect on May 14, 2021.</w:t>
      </w:r>
      <w:r w:rsidR="00C063B0">
        <w:t xml:space="preserve"> </w:t>
      </w:r>
      <w:r w:rsidR="000D3344">
        <w:t xml:space="preserve"> (See Sen. Bill 92 (Stats.</w:t>
      </w:r>
      <w:r w:rsidR="00EE3465">
        <w:t> </w:t>
      </w:r>
      <w:r w:rsidR="000D3344">
        <w:t xml:space="preserve">2021, </w:t>
      </w:r>
      <w:proofErr w:type="spellStart"/>
      <w:r w:rsidR="000D3344">
        <w:t>ch.</w:t>
      </w:r>
      <w:proofErr w:type="spellEnd"/>
      <w:r w:rsidR="00EE3465">
        <w:t> </w:t>
      </w:r>
      <w:r w:rsidR="000D3344">
        <w:t>18</w:t>
      </w:r>
      <w:r w:rsidR="00AA51BD">
        <w:t xml:space="preserve">, </w:t>
      </w:r>
      <w:r w:rsidR="006241CA" w:rsidRPr="00CE32B5">
        <w:t>§ 1</w:t>
      </w:r>
      <w:r w:rsidR="006241CA">
        <w:t>2</w:t>
      </w:r>
      <w:r w:rsidR="000D3344">
        <w:t>.)  Pursuant to section</w:t>
      </w:r>
      <w:r w:rsidR="00EE3465">
        <w:t> </w:t>
      </w:r>
      <w:r w:rsidR="000D3344">
        <w:t>875</w:t>
      </w:r>
      <w:r w:rsidR="00BF7C40">
        <w:t xml:space="preserve">, a ward who meets certain criteria may be committed to </w:t>
      </w:r>
      <w:r w:rsidR="00B14B6E">
        <w:t>SYTF.</w:t>
      </w:r>
      <w:r w:rsidR="00BF7C40">
        <w:t xml:space="preserve">  (§</w:t>
      </w:r>
      <w:r w:rsidR="004D0082">
        <w:t> </w:t>
      </w:r>
      <w:r w:rsidR="00BF7C40">
        <w:t>875, subd.</w:t>
      </w:r>
      <w:r w:rsidR="00EE3465">
        <w:t> </w:t>
      </w:r>
      <w:r w:rsidR="00BF7C40">
        <w:t>(a).)</w:t>
      </w:r>
      <w:r>
        <w:rPr>
          <w:rStyle w:val="FootnoteReference"/>
        </w:rPr>
        <w:footnoteReference w:id="2"/>
      </w:r>
    </w:p>
    <w:p w14:paraId="3FFB5AE2" w14:textId="7B6791A0" w:rsidR="00740782" w:rsidRDefault="00E35E8B" w:rsidP="00EE18FB">
      <w:pPr>
        <w:ind w:firstLine="720"/>
      </w:pPr>
      <w:r>
        <w:t xml:space="preserve">In addition to changing the facilities in which juvenile offenders </w:t>
      </w:r>
      <w:r w:rsidR="004D0082">
        <w:t>w</w:t>
      </w:r>
      <w:r>
        <w:t xml:space="preserve">ould be housed, the Legislature changed </w:t>
      </w:r>
      <w:r w:rsidR="002C1CC8">
        <w:t>the form of sentencing for juvenile offenders</w:t>
      </w:r>
      <w:r>
        <w:t>.</w:t>
      </w:r>
      <w:r w:rsidR="00A22DC0">
        <w:t xml:space="preserve">  </w:t>
      </w:r>
      <w:r w:rsidR="00CA39CD">
        <w:t>P</w:t>
      </w:r>
      <w:r w:rsidR="00CA39CD" w:rsidRPr="00CA39CD">
        <w:t>rior to July 2021</w:t>
      </w:r>
      <w:r w:rsidR="00CA39CD">
        <w:t>,</w:t>
      </w:r>
      <w:r w:rsidR="00CA39CD" w:rsidRPr="00CA39CD">
        <w:t xml:space="preserve"> when a ward was committed to DJJ, the juvenile court was required to “set a maximum term based upon the facts and circumstances of the matter . . . and as deemed appropriate to achieve rehabilitation.”  (§</w:t>
      </w:r>
      <w:r w:rsidR="00EE3465">
        <w:t> </w:t>
      </w:r>
      <w:r w:rsidR="00CA39CD" w:rsidRPr="00CA39CD">
        <w:t>731, subd.</w:t>
      </w:r>
      <w:r w:rsidR="00EE3465">
        <w:t> </w:t>
      </w:r>
      <w:r w:rsidR="00CA39CD" w:rsidRPr="00CA39CD">
        <w:t>(b)</w:t>
      </w:r>
      <w:r w:rsidR="004B7D19">
        <w:t xml:space="preserve">, former subd. </w:t>
      </w:r>
      <w:r w:rsidR="00E3483B">
        <w:t>(c)</w:t>
      </w:r>
      <w:r w:rsidR="008003CD">
        <w:t>.</w:t>
      </w:r>
      <w:r w:rsidR="00CA39CD" w:rsidRPr="00CA39CD">
        <w:t>)</w:t>
      </w:r>
      <w:r w:rsidR="00492862">
        <w:t xml:space="preserve">  S</w:t>
      </w:r>
      <w:r w:rsidR="00FA4183">
        <w:t>ection</w:t>
      </w:r>
      <w:r w:rsidR="00EE3465">
        <w:t> </w:t>
      </w:r>
      <w:r w:rsidR="00FA4183">
        <w:t>726, subdivision</w:t>
      </w:r>
      <w:r w:rsidR="00EE3465">
        <w:t> </w:t>
      </w:r>
      <w:r w:rsidR="00FA4183">
        <w:t>(d)</w:t>
      </w:r>
      <w:r w:rsidR="00E80A49">
        <w:t>(1)</w:t>
      </w:r>
      <w:r w:rsidR="00377EA3">
        <w:t>,</w:t>
      </w:r>
      <w:r w:rsidR="00FA4183">
        <w:t xml:space="preserve"> </w:t>
      </w:r>
      <w:r w:rsidR="00492862">
        <w:t xml:space="preserve">in turn, </w:t>
      </w:r>
      <w:r w:rsidR="00377EA3">
        <w:t>mandate</w:t>
      </w:r>
      <w:r w:rsidR="00364506">
        <w:t>d</w:t>
      </w:r>
      <w:r w:rsidR="00377EA3">
        <w:t xml:space="preserve"> </w:t>
      </w:r>
      <w:r w:rsidR="00C43DCE">
        <w:t xml:space="preserve">(as it does today) </w:t>
      </w:r>
      <w:r w:rsidR="00377EA3">
        <w:t>that</w:t>
      </w:r>
      <w:r w:rsidR="00E80A49" w:rsidRPr="00E80A49">
        <w:t xml:space="preserve"> </w:t>
      </w:r>
      <w:r w:rsidR="00612909">
        <w:t xml:space="preserve">a </w:t>
      </w:r>
      <w:r w:rsidR="004C50FA">
        <w:t xml:space="preserve">juvenile </w:t>
      </w:r>
      <w:r w:rsidR="00612909">
        <w:t xml:space="preserve">sentencing </w:t>
      </w:r>
      <w:r w:rsidR="00E80A49" w:rsidRPr="00E80A49">
        <w:t xml:space="preserve">“order shall specify that the minor may not be held in physical confinement for a period in excess of the middle term of imprisonment which could be imposed upon an adult convicted of the offense or offenses which brought or </w:t>
      </w:r>
      <w:r w:rsidR="00E80A49" w:rsidRPr="00E80A49">
        <w:lastRenderedPageBreak/>
        <w:t>continued the minor under the jurisdiction of the juvenile court.</w:t>
      </w:r>
      <w:r w:rsidR="001C12DF">
        <w:t>”</w:t>
      </w:r>
      <w:r>
        <w:rPr>
          <w:rStyle w:val="FootnoteReference"/>
        </w:rPr>
        <w:footnoteReference w:id="3"/>
      </w:r>
      <w:r w:rsidR="00364506">
        <w:t xml:space="preserve">  </w:t>
      </w:r>
      <w:r w:rsidR="00AD29F3">
        <w:t>Section</w:t>
      </w:r>
      <w:r w:rsidR="00EE3465">
        <w:t> </w:t>
      </w:r>
      <w:r w:rsidR="00AD29F3">
        <w:t>726, subdivision</w:t>
      </w:r>
      <w:r w:rsidR="00EE3465">
        <w:t> </w:t>
      </w:r>
      <w:r w:rsidR="00AD29F3">
        <w:t>(d)(1), therefore set a</w:t>
      </w:r>
      <w:r w:rsidR="00364506">
        <w:t xml:space="preserve"> non-discretionary statutory limit </w:t>
      </w:r>
      <w:r w:rsidR="00973025">
        <w:t xml:space="preserve">on </w:t>
      </w:r>
      <w:r w:rsidR="00364506">
        <w:t xml:space="preserve">the </w:t>
      </w:r>
      <w:r w:rsidR="0025553B">
        <w:t>commitment term</w:t>
      </w:r>
      <w:r w:rsidR="00364506">
        <w:t xml:space="preserve"> imposed by the court</w:t>
      </w:r>
      <w:r w:rsidR="00F13E47">
        <w:t xml:space="preserve"> (</w:t>
      </w:r>
      <w:r w:rsidR="0076648F">
        <w:t xml:space="preserve">which the </w:t>
      </w:r>
      <w:r w:rsidR="0076648F" w:rsidRPr="00D20156">
        <w:rPr>
          <w:i/>
          <w:iCs/>
        </w:rPr>
        <w:t>M.B.</w:t>
      </w:r>
      <w:r w:rsidR="0076648F">
        <w:t xml:space="preserve"> court referred to as the maximum exposure term)</w:t>
      </w:r>
      <w:r w:rsidR="00364506">
        <w:t>.</w:t>
      </w:r>
      <w:r w:rsidR="0076648F">
        <w:t xml:space="preserve">  (See</w:t>
      </w:r>
      <w:r w:rsidR="00EC11B5" w:rsidRPr="00A91585">
        <w:rPr>
          <w:i/>
          <w:iCs/>
        </w:rPr>
        <w:t xml:space="preserve"> M.B</w:t>
      </w:r>
      <w:r w:rsidR="006D4AC9">
        <w:rPr>
          <w:i/>
          <w:iCs/>
        </w:rPr>
        <w:t>.</w:t>
      </w:r>
      <w:r w:rsidR="00EC11B5" w:rsidRPr="00A91585">
        <w:rPr>
          <w:i/>
          <w:iCs/>
        </w:rPr>
        <w:t>, supra</w:t>
      </w:r>
      <w:r w:rsidR="00EC11B5">
        <w:t>,</w:t>
      </w:r>
      <w:r w:rsidR="00EC11B5" w:rsidRPr="00EC11B5">
        <w:t xml:space="preserve"> 99</w:t>
      </w:r>
      <w:r w:rsidR="00EE3465">
        <w:t> </w:t>
      </w:r>
      <w:r w:rsidR="00EC11B5" w:rsidRPr="00EC11B5">
        <w:t>Cal.App.5th</w:t>
      </w:r>
      <w:r w:rsidR="00EC11B5">
        <w:t xml:space="preserve"> at p.</w:t>
      </w:r>
      <w:r w:rsidR="00991EEB">
        <w:t xml:space="preserve"> </w:t>
      </w:r>
      <w:r w:rsidR="00EC11B5" w:rsidRPr="00EC11B5">
        <w:t>466</w:t>
      </w:r>
      <w:r w:rsidR="00EC11B5">
        <w:t xml:space="preserve">.)  </w:t>
      </w:r>
      <w:r w:rsidR="009F2735">
        <w:t xml:space="preserve">Accordingly, </w:t>
      </w:r>
      <w:r w:rsidR="001F6B67">
        <w:t xml:space="preserve">the </w:t>
      </w:r>
      <w:r w:rsidR="009F2735">
        <w:t>“</w:t>
      </w:r>
      <w:r w:rsidR="001F6B67">
        <w:t>maximum term</w:t>
      </w:r>
      <w:r w:rsidR="009F2735">
        <w:t>”</w:t>
      </w:r>
      <w:r w:rsidR="001F6B67">
        <w:t xml:space="preserve"> </w:t>
      </w:r>
      <w:r w:rsidR="00A11431">
        <w:t xml:space="preserve">of imprisonment </w:t>
      </w:r>
      <w:r w:rsidR="003243C7">
        <w:t>imposed</w:t>
      </w:r>
      <w:r w:rsidR="001F6B67">
        <w:t xml:space="preserve"> by the court pursuant to section</w:t>
      </w:r>
      <w:r w:rsidR="00AA2E68">
        <w:t> </w:t>
      </w:r>
      <w:r w:rsidR="001F6B67">
        <w:t xml:space="preserve">731 </w:t>
      </w:r>
      <w:r w:rsidR="00A327A6">
        <w:t xml:space="preserve">(the maximum custodial term) </w:t>
      </w:r>
      <w:r w:rsidR="00213CC8">
        <w:t>in many cases is</w:t>
      </w:r>
      <w:r w:rsidR="001F6B67">
        <w:t xml:space="preserve"> shorter than the</w:t>
      </w:r>
      <w:r w:rsidR="003243C7">
        <w:t xml:space="preserve"> </w:t>
      </w:r>
      <w:r w:rsidR="001F2787">
        <w:t>maximum exposure</w:t>
      </w:r>
      <w:r w:rsidR="001F6B67">
        <w:t xml:space="preserve"> term defined by section</w:t>
      </w:r>
      <w:r w:rsidR="00EE3465">
        <w:t> </w:t>
      </w:r>
      <w:r w:rsidR="001F6B67">
        <w:t>726.</w:t>
      </w:r>
      <w:r w:rsidR="00AA2E68">
        <w:t xml:space="preserve">  (See </w:t>
      </w:r>
      <w:r w:rsidR="00AA2E68">
        <w:rPr>
          <w:i/>
          <w:iCs/>
        </w:rPr>
        <w:t xml:space="preserve">In re Ernesto L. </w:t>
      </w:r>
      <w:r w:rsidR="00AA2E68">
        <w:t>(2022) 81</w:t>
      </w:r>
      <w:r w:rsidR="00EE3465">
        <w:t> </w:t>
      </w:r>
      <w:r w:rsidR="00AA2E68">
        <w:t xml:space="preserve">Cal.App.5th 31, 39 </w:t>
      </w:r>
      <w:r w:rsidR="00C538FE">
        <w:t>(</w:t>
      </w:r>
      <w:r w:rsidR="00C538FE">
        <w:rPr>
          <w:i/>
          <w:iCs/>
        </w:rPr>
        <w:t>Ernesto L.</w:t>
      </w:r>
      <w:r w:rsidR="00C538FE">
        <w:t xml:space="preserve">) </w:t>
      </w:r>
      <w:r w:rsidR="00AA2E68">
        <w:t xml:space="preserve">[section 731 “conferred on juvenile courts the ‘“discretion to impose less than the </w:t>
      </w:r>
      <w:r w:rsidR="00EF3931">
        <w:t xml:space="preserve">adult maximum </w:t>
      </w:r>
      <w:r w:rsidR="00AA2E68">
        <w:t>term of imprisonment</w:t>
      </w:r>
      <w:r w:rsidR="002F0A7A">
        <w:t xml:space="preserve"> </w:t>
      </w:r>
      <w:r w:rsidR="00AA2E68">
        <w:t>when committing a minor to [DJJ]”’”</w:t>
      </w:r>
      <w:r w:rsidR="00C538FE">
        <w:t>].)</w:t>
      </w:r>
      <w:r w:rsidR="003243C7">
        <w:t xml:space="preserve">  </w:t>
      </w:r>
    </w:p>
    <w:p w14:paraId="25D0D316" w14:textId="4141C48A" w:rsidR="00B2511B" w:rsidRDefault="00E35E8B" w:rsidP="00C30AD7">
      <w:pPr>
        <w:ind w:firstLine="720"/>
      </w:pPr>
      <w:r>
        <w:t>The statutes governing DJJ commitments did not specify whether the minor’s pr</w:t>
      </w:r>
      <w:r w:rsidR="00BB5CC4">
        <w:t xml:space="preserve">ecommitment </w:t>
      </w:r>
      <w:r>
        <w:t xml:space="preserve">custody credits </w:t>
      </w:r>
      <w:r w:rsidR="0025553B">
        <w:t>sh</w:t>
      </w:r>
      <w:r w:rsidR="006F62E4">
        <w:t xml:space="preserve">ould </w:t>
      </w:r>
      <w:r>
        <w:t xml:space="preserve">be applied against the </w:t>
      </w:r>
      <w:r w:rsidR="003D4B36">
        <w:t>maximum custod</w:t>
      </w:r>
      <w:r w:rsidR="003F16E6">
        <w:t xml:space="preserve">ial term </w:t>
      </w:r>
      <w:r w:rsidR="006F62E4" w:rsidRPr="006F62E4">
        <w:t>imposed under section</w:t>
      </w:r>
      <w:r w:rsidR="00EE3465">
        <w:t> </w:t>
      </w:r>
      <w:r w:rsidR="006F62E4" w:rsidRPr="006F62E4">
        <w:t>731</w:t>
      </w:r>
      <w:r w:rsidR="006F62E4">
        <w:t xml:space="preserve"> or the </w:t>
      </w:r>
      <w:r w:rsidR="003D4B36">
        <w:t xml:space="preserve">maximum exposure term </w:t>
      </w:r>
      <w:r w:rsidR="006F62E4">
        <w:t>under</w:t>
      </w:r>
      <w:r>
        <w:t xml:space="preserve"> section</w:t>
      </w:r>
      <w:r w:rsidR="00EE3465">
        <w:t> </w:t>
      </w:r>
      <w:r>
        <w:t>726.</w:t>
      </w:r>
      <w:r w:rsidR="0094363A">
        <w:t xml:space="preserve">  The Courts of Appeal were divided on this question.  The Fourth </w:t>
      </w:r>
      <w:r w:rsidR="00777795">
        <w:t xml:space="preserve">Appellate </w:t>
      </w:r>
      <w:r w:rsidR="0094363A">
        <w:t xml:space="preserve">District in </w:t>
      </w:r>
      <w:proofErr w:type="gramStart"/>
      <w:r w:rsidR="00C80239">
        <w:rPr>
          <w:i/>
          <w:iCs/>
        </w:rPr>
        <w:t>In</w:t>
      </w:r>
      <w:proofErr w:type="gramEnd"/>
      <w:r w:rsidR="00C80239">
        <w:rPr>
          <w:i/>
          <w:iCs/>
        </w:rPr>
        <w:t xml:space="preserve"> re A.R.</w:t>
      </w:r>
      <w:r w:rsidR="00C80239">
        <w:t xml:space="preserve"> (2018) 24</w:t>
      </w:r>
      <w:r w:rsidR="00EE3465">
        <w:t> </w:t>
      </w:r>
      <w:r w:rsidR="00C80239">
        <w:t>Cal.App.5th 1076</w:t>
      </w:r>
      <w:r w:rsidR="0094363A">
        <w:t xml:space="preserve"> concluded precommitment custody</w:t>
      </w:r>
      <w:r w:rsidR="009308C4">
        <w:t xml:space="preserve"> credits should apply to the maximum </w:t>
      </w:r>
      <w:r w:rsidR="003F16E6">
        <w:t xml:space="preserve">exposure </w:t>
      </w:r>
      <w:r w:rsidR="009308C4">
        <w:t xml:space="preserve">term </w:t>
      </w:r>
      <w:r w:rsidR="0094363A">
        <w:t>under section</w:t>
      </w:r>
      <w:r w:rsidR="001A163A">
        <w:t> </w:t>
      </w:r>
      <w:r w:rsidR="0094363A">
        <w:t>72</w:t>
      </w:r>
      <w:r w:rsidR="00213CC8">
        <w:t>6</w:t>
      </w:r>
      <w:r w:rsidR="0094363A">
        <w:t xml:space="preserve">, not the </w:t>
      </w:r>
      <w:r w:rsidR="009308C4">
        <w:t xml:space="preserve">maximum </w:t>
      </w:r>
      <w:r w:rsidR="00B6666D">
        <w:t xml:space="preserve">custodial </w:t>
      </w:r>
      <w:r w:rsidR="009308C4">
        <w:t>term imposed</w:t>
      </w:r>
      <w:r w:rsidR="0094363A">
        <w:t xml:space="preserve"> under section</w:t>
      </w:r>
      <w:r w:rsidR="001A163A">
        <w:t> </w:t>
      </w:r>
      <w:r w:rsidR="0094363A">
        <w:t xml:space="preserve">731.  By contrast, the First </w:t>
      </w:r>
      <w:r w:rsidR="00777795">
        <w:t xml:space="preserve">Appellate </w:t>
      </w:r>
      <w:r w:rsidR="0094363A">
        <w:t xml:space="preserve">District in </w:t>
      </w:r>
      <w:r w:rsidR="009047AD">
        <w:rPr>
          <w:i/>
          <w:iCs/>
        </w:rPr>
        <w:t>Ernesto L.</w:t>
      </w:r>
      <w:r w:rsidR="00C80239">
        <w:rPr>
          <w:i/>
          <w:iCs/>
        </w:rPr>
        <w:t>, supra</w:t>
      </w:r>
      <w:r w:rsidR="00C80239" w:rsidRPr="00B0038A">
        <w:t>,</w:t>
      </w:r>
      <w:r w:rsidR="00C80239">
        <w:rPr>
          <w:i/>
          <w:iCs/>
        </w:rPr>
        <w:t xml:space="preserve"> </w:t>
      </w:r>
      <w:r w:rsidR="00C80239">
        <w:t>81</w:t>
      </w:r>
      <w:r w:rsidR="001A163A">
        <w:t> </w:t>
      </w:r>
      <w:r w:rsidR="00C80239">
        <w:t xml:space="preserve">Cal.App.5th </w:t>
      </w:r>
      <w:r w:rsidR="004559F4">
        <w:t>at page</w:t>
      </w:r>
      <w:r w:rsidR="001A163A">
        <w:t> </w:t>
      </w:r>
      <w:r w:rsidR="004559F4">
        <w:t>34</w:t>
      </w:r>
      <w:r w:rsidR="009308C4">
        <w:t xml:space="preserve"> </w:t>
      </w:r>
      <w:r w:rsidR="00A43D94">
        <w:lastRenderedPageBreak/>
        <w:t>held</w:t>
      </w:r>
      <w:r w:rsidR="00862A94" w:rsidRPr="00862A94">
        <w:t xml:space="preserve"> </w:t>
      </w:r>
      <w:r w:rsidR="00A43D94">
        <w:t>“</w:t>
      </w:r>
      <w:r w:rsidR="00862A94" w:rsidRPr="00862A94">
        <w:t>that when a minor is committed to DJJ, a juvenile court must apply the minor</w:t>
      </w:r>
      <w:r>
        <w:t>’</w:t>
      </w:r>
      <w:r w:rsidR="00862A94" w:rsidRPr="00862A94">
        <w:t>s precommitment credits against the maximum custodial term</w:t>
      </w:r>
      <w:r w:rsidR="00A43D94">
        <w:t xml:space="preserve">” </w:t>
      </w:r>
      <w:r w:rsidR="006604F9">
        <w:t xml:space="preserve">imposed </w:t>
      </w:r>
      <w:r w:rsidR="004559F4">
        <w:t>under section</w:t>
      </w:r>
      <w:r w:rsidR="001A163A">
        <w:t> </w:t>
      </w:r>
      <w:r w:rsidR="004559F4">
        <w:t xml:space="preserve">731. </w:t>
      </w:r>
    </w:p>
    <w:p w14:paraId="3C0AE13A" w14:textId="4EBDC693" w:rsidR="002809DC" w:rsidRDefault="00E35E8B" w:rsidP="00C30AD7">
      <w:pPr>
        <w:ind w:firstLine="720"/>
      </w:pPr>
      <w:r>
        <w:t xml:space="preserve">After realignment, </w:t>
      </w:r>
      <w:r w:rsidR="00CB2D2C">
        <w:t xml:space="preserve">when </w:t>
      </w:r>
      <w:r w:rsidR="00C016D0">
        <w:t xml:space="preserve">a juvenile court commits </w:t>
      </w:r>
      <w:r w:rsidR="00CB2D2C">
        <w:t>a minor to SYTF</w:t>
      </w:r>
      <w:r w:rsidR="00C016D0">
        <w:t xml:space="preserve">, the court must likewise set </w:t>
      </w:r>
      <w:r w:rsidR="00213CC8">
        <w:t xml:space="preserve">a baseline </w:t>
      </w:r>
      <w:r w:rsidR="002054E3">
        <w:t>period of confinement and a statutory maximum</w:t>
      </w:r>
      <w:r>
        <w:t xml:space="preserve">.  </w:t>
      </w:r>
      <w:r w:rsidR="00C016D0">
        <w:t xml:space="preserve"> </w:t>
      </w:r>
      <w:r w:rsidR="00951E7F">
        <w:t>S</w:t>
      </w:r>
      <w:r w:rsidR="00C016D0">
        <w:t>ection</w:t>
      </w:r>
      <w:r w:rsidR="001A163A">
        <w:t> </w:t>
      </w:r>
      <w:r w:rsidR="00C016D0">
        <w:t>875, subdivision</w:t>
      </w:r>
      <w:r w:rsidR="001A163A">
        <w:t> </w:t>
      </w:r>
      <w:r w:rsidR="00C016D0">
        <w:t>(b)(1),</w:t>
      </w:r>
      <w:r w:rsidR="00951E7F">
        <w:t xml:space="preserve"> provides that</w:t>
      </w:r>
      <w:r w:rsidR="00C016D0">
        <w:t xml:space="preserve"> </w:t>
      </w:r>
      <w:r>
        <w:t>the court must “set a baseline term of confinement” that “shall represent the time in custody necessary to meet the developmental and treatment needs of the ward and to prepare the ward for discharge . . . .”</w:t>
      </w:r>
      <w:r>
        <w:rPr>
          <w:rStyle w:val="FootnoteReference"/>
        </w:rPr>
        <w:footnoteReference w:id="4"/>
      </w:r>
      <w:r>
        <w:t xml:space="preserve">  The baseline term is subject to potential downward modification </w:t>
      </w:r>
      <w:r w:rsidR="000D4FAC">
        <w:t xml:space="preserve">(or a ward </w:t>
      </w:r>
      <w:r w:rsidR="00213CC8">
        <w:t xml:space="preserve">may </w:t>
      </w:r>
      <w:r w:rsidR="000D4FAC">
        <w:t xml:space="preserve">be released from SYTF and assigned to a less restrictive program) </w:t>
      </w:r>
      <w:r>
        <w:t xml:space="preserve">during progress review hearings that </w:t>
      </w:r>
      <w:r w:rsidR="0094495A">
        <w:t xml:space="preserve">must be held </w:t>
      </w:r>
      <w:r>
        <w:t>at least once every six months.  (§</w:t>
      </w:r>
      <w:r w:rsidR="001A163A">
        <w:t> </w:t>
      </w:r>
      <w:r>
        <w:t>875, subds.</w:t>
      </w:r>
      <w:r w:rsidR="001A163A">
        <w:t> </w:t>
      </w:r>
      <w:r>
        <w:t xml:space="preserve">(b)(1) &amp; (e).)  </w:t>
      </w:r>
      <w:r w:rsidR="00273D6F">
        <w:t>T</w:t>
      </w:r>
      <w:r>
        <w:t xml:space="preserve">he court must </w:t>
      </w:r>
      <w:r w:rsidR="00371EAB">
        <w:t xml:space="preserve">“additionally set a maximum term of confinement for the ward based upon the facts and circumstances of the </w:t>
      </w:r>
      <w:r w:rsidR="00371EAB">
        <w:lastRenderedPageBreak/>
        <w:t>matter</w:t>
      </w:r>
      <w:r w:rsidR="00FF2365">
        <w:t> </w:t>
      </w:r>
      <w:r w:rsidR="00371EAB">
        <w:t>.</w:t>
      </w:r>
      <w:r w:rsidR="00FF2365">
        <w:t> </w:t>
      </w:r>
      <w:r w:rsidR="00371EAB">
        <w:t>.</w:t>
      </w:r>
      <w:r w:rsidR="00FF2365">
        <w:t> </w:t>
      </w:r>
      <w:r w:rsidR="00371EAB">
        <w:t>. and as deemed appropriate to achieve rehabilitation.</w:t>
      </w:r>
      <w:r w:rsidR="00DB5B59">
        <w:t>”  (§</w:t>
      </w:r>
      <w:r w:rsidR="001A163A">
        <w:t> </w:t>
      </w:r>
      <w:r w:rsidR="00DB5B59">
        <w:t>875, subd.</w:t>
      </w:r>
      <w:r w:rsidR="001A163A">
        <w:t> </w:t>
      </w:r>
      <w:r w:rsidR="00DB5B59">
        <w:t xml:space="preserve">(c)(1).)  </w:t>
      </w:r>
      <w:r w:rsidR="00371EAB">
        <w:t xml:space="preserve">The maximum term of confinement </w:t>
      </w:r>
      <w:r w:rsidR="00DB3C7F">
        <w:t>“shall represent the longest term of confinement in a facility that the ward may serve</w:t>
      </w:r>
      <w:r w:rsidR="008C46DF">
        <w:t>,</w:t>
      </w:r>
      <w:r w:rsidR="00DB3C7F">
        <w:t>” subject to certain limitations, including</w:t>
      </w:r>
      <w:r w:rsidR="00F41CF9" w:rsidRPr="00F41CF9">
        <w:rPr>
          <w:rFonts w:ascii="Arial" w:hAnsi="Arial" w:cs="Arial"/>
          <w:color w:val="000000"/>
          <w:shd w:val="clear" w:color="auto" w:fill="FFFFFF"/>
        </w:rPr>
        <w:t xml:space="preserve"> </w:t>
      </w:r>
      <w:r w:rsidR="0094495A">
        <w:t>that “</w:t>
      </w:r>
      <w:r w:rsidR="00F41CF9">
        <w:t xml:space="preserve">[t]he </w:t>
      </w:r>
      <w:r w:rsidR="00F41CF9" w:rsidRPr="00F41CF9">
        <w:t>maximum term of confinement shall not exceed the middle term of imprisonment that can be imposed upon an adult convicted of the same offense or offenses</w:t>
      </w:r>
      <w:r w:rsidR="00DB3C7F">
        <w:t>.</w:t>
      </w:r>
      <w:r w:rsidR="001B1BFD">
        <w:t>”</w:t>
      </w:r>
      <w:r>
        <w:rPr>
          <w:rStyle w:val="FootnoteReference"/>
        </w:rPr>
        <w:footnoteReference w:id="5"/>
      </w:r>
      <w:r w:rsidR="00DB3C7F">
        <w:t xml:space="preserve">  (</w:t>
      </w:r>
      <w:r w:rsidR="00DB3C7F">
        <w:rPr>
          <w:i/>
          <w:iCs/>
        </w:rPr>
        <w:t>Id.</w:t>
      </w:r>
      <w:r w:rsidR="000B2FD7">
        <w:t>, subd.</w:t>
      </w:r>
      <w:r w:rsidR="001A163A">
        <w:t> </w:t>
      </w:r>
      <w:r w:rsidR="000B2FD7">
        <w:t>(c)(1)(B).</w:t>
      </w:r>
      <w:r w:rsidR="00DB3C7F">
        <w:t>)</w:t>
      </w:r>
      <w:r w:rsidR="00C30AD7">
        <w:t xml:space="preserve">  This maximum term of confinement serves as a limit on how long a ward’s time in custody may be extended </w:t>
      </w:r>
      <w:r w:rsidR="00274CE4">
        <w:t xml:space="preserve">at the conclusion of </w:t>
      </w:r>
      <w:r w:rsidR="00C30AD7">
        <w:t xml:space="preserve">the baseline term if the court finds </w:t>
      </w:r>
      <w:r w:rsidR="00593679">
        <w:t>“</w:t>
      </w:r>
      <w:r w:rsidR="00C30AD7">
        <w:t xml:space="preserve">the ward constitutes a substantial risk of imminent harm to </w:t>
      </w:r>
      <w:r w:rsidR="00635C45">
        <w:t>others in the</w:t>
      </w:r>
      <w:r w:rsidR="00C30AD7">
        <w:t xml:space="preserve"> community </w:t>
      </w:r>
      <w:r w:rsidR="00635C45">
        <w:t xml:space="preserve">if released from custody” </w:t>
      </w:r>
      <w:r w:rsidR="00635C45" w:rsidRPr="00635C45">
        <w:t>(§</w:t>
      </w:r>
      <w:r w:rsidR="001A163A">
        <w:t> </w:t>
      </w:r>
      <w:r w:rsidR="00635C45" w:rsidRPr="00635C45">
        <w:t>875, subd.</w:t>
      </w:r>
      <w:r w:rsidR="001A163A">
        <w:t> </w:t>
      </w:r>
      <w:r w:rsidR="00635C45" w:rsidRPr="00635C45">
        <w:t>(e)(3)</w:t>
      </w:r>
      <w:r w:rsidR="00635C45">
        <w:t>)</w:t>
      </w:r>
      <w:r>
        <w:rPr>
          <w:rStyle w:val="FootnoteReference"/>
        </w:rPr>
        <w:footnoteReference w:id="6"/>
      </w:r>
      <w:r w:rsidR="00635C45">
        <w:t xml:space="preserve"> </w:t>
      </w:r>
      <w:r w:rsidR="0043064A">
        <w:t xml:space="preserve">and on </w:t>
      </w:r>
      <w:r w:rsidR="00C30AD7">
        <w:t>how long a ward may be recommitted to a SYTF after being placed in a less restrictive progra</w:t>
      </w:r>
      <w:bookmarkStart w:id="1" w:name="_Hlk164690512"/>
      <w:r w:rsidR="00BB5E5C">
        <w:t xml:space="preserve">m </w:t>
      </w:r>
      <w:r w:rsidR="00C30AD7">
        <w:t>(</w:t>
      </w:r>
      <w:r w:rsidR="00BB5E5C" w:rsidRPr="00BB5E5C">
        <w:rPr>
          <w:i/>
          <w:iCs/>
        </w:rPr>
        <w:t>id</w:t>
      </w:r>
      <w:r w:rsidR="00BB5E5C">
        <w:t xml:space="preserve">., </w:t>
      </w:r>
      <w:r w:rsidR="00C30AD7">
        <w:t>subd.</w:t>
      </w:r>
      <w:r w:rsidR="001A163A">
        <w:t> </w:t>
      </w:r>
      <w:bookmarkEnd w:id="1"/>
      <w:r w:rsidR="00C30AD7">
        <w:t>(f)(2))</w:t>
      </w:r>
      <w:r w:rsidR="00BB5E5C">
        <w:t>.</w:t>
      </w:r>
      <w:r w:rsidR="001F5CB0">
        <w:t xml:space="preserve">  Finally, </w:t>
      </w:r>
      <w:r w:rsidR="0000367B">
        <w:t xml:space="preserve">and central to this appeal, </w:t>
      </w:r>
      <w:r w:rsidR="001F5CB0">
        <w:t>section</w:t>
      </w:r>
      <w:r w:rsidR="001A163A">
        <w:t> </w:t>
      </w:r>
      <w:r w:rsidR="001F5CB0">
        <w:t>875, subdivision</w:t>
      </w:r>
      <w:r w:rsidR="001A163A">
        <w:t> </w:t>
      </w:r>
      <w:r w:rsidR="001F5CB0">
        <w:t xml:space="preserve">(c)(1)(C), </w:t>
      </w:r>
      <w:r w:rsidR="0000367B">
        <w:t>provides,</w:t>
      </w:r>
      <w:r w:rsidR="001F5CB0">
        <w:t xml:space="preserve"> “Precommitment credits for time served must be applied against the maximum term of confinement as set pursuant to this subdivision.”  </w:t>
      </w:r>
    </w:p>
    <w:p w14:paraId="4B437F6B" w14:textId="531E9DC8" w:rsidR="00346725" w:rsidRDefault="00E35E8B" w:rsidP="0006108D">
      <w:pPr>
        <w:pStyle w:val="Heading2"/>
      </w:pPr>
      <w:r>
        <w:lastRenderedPageBreak/>
        <w:t xml:space="preserve">The Juvenile Court Did Not Err </w:t>
      </w:r>
      <w:r w:rsidR="00166AEE">
        <w:t>i</w:t>
      </w:r>
      <w:r>
        <w:t xml:space="preserve">n Applying Jose’s Custody Credits to the Maximum Term of Confinement </w:t>
      </w:r>
    </w:p>
    <w:p w14:paraId="6EBCE790" w14:textId="55284303" w:rsidR="004E1B04" w:rsidRDefault="00E35E8B" w:rsidP="00701C2D">
      <w:pPr>
        <w:ind w:firstLine="720"/>
      </w:pPr>
      <w:r>
        <w:t xml:space="preserve">Jose </w:t>
      </w:r>
      <w:r w:rsidR="00CD6917">
        <w:t xml:space="preserve">contends </w:t>
      </w:r>
      <w:r w:rsidR="00722AD8">
        <w:t xml:space="preserve">the juvenile court erred in applying his precommitment custody credits </w:t>
      </w:r>
      <w:r w:rsidR="00EB6F0E">
        <w:t xml:space="preserve">to the </w:t>
      </w:r>
      <w:r w:rsidR="00EB6F0E" w:rsidRPr="00EB6F0E">
        <w:t>six-year maximum term of confinement</w:t>
      </w:r>
      <w:r w:rsidR="001714F3">
        <w:t xml:space="preserve"> </w:t>
      </w:r>
      <w:r w:rsidR="00F232FF">
        <w:t xml:space="preserve">the court </w:t>
      </w:r>
      <w:r w:rsidR="000E31F5">
        <w:t>imposed under section</w:t>
      </w:r>
      <w:r w:rsidR="001A163A">
        <w:t> </w:t>
      </w:r>
      <w:r w:rsidR="000E31F5">
        <w:t>875, subdivision</w:t>
      </w:r>
      <w:r w:rsidR="001A163A">
        <w:t> </w:t>
      </w:r>
      <w:r w:rsidR="000E31F5">
        <w:t>(c)(1)</w:t>
      </w:r>
      <w:r w:rsidR="00550F77">
        <w:t xml:space="preserve">, arguing that </w:t>
      </w:r>
      <w:r w:rsidR="00FA3E24">
        <w:t xml:space="preserve">under </w:t>
      </w:r>
      <w:r w:rsidR="009E1C29" w:rsidRPr="009E1C29">
        <w:rPr>
          <w:i/>
          <w:iCs/>
        </w:rPr>
        <w:t>Ernesto L., supra</w:t>
      </w:r>
      <w:r w:rsidR="009E1C29" w:rsidRPr="00B0038A">
        <w:t>,</w:t>
      </w:r>
      <w:r w:rsidR="009E1C29" w:rsidRPr="009E1C29">
        <w:rPr>
          <w:i/>
          <w:iCs/>
        </w:rPr>
        <w:t xml:space="preserve"> </w:t>
      </w:r>
      <w:r w:rsidR="009E1C29" w:rsidRPr="009E1C29">
        <w:t>81</w:t>
      </w:r>
      <w:r w:rsidR="001A163A">
        <w:t> </w:t>
      </w:r>
      <w:r w:rsidR="009E1C29" w:rsidRPr="009E1C29">
        <w:t>Cal.App.5th at page</w:t>
      </w:r>
      <w:r w:rsidR="001A163A">
        <w:t> </w:t>
      </w:r>
      <w:r w:rsidR="009E1C29" w:rsidRPr="009E1C29">
        <w:t>34</w:t>
      </w:r>
      <w:r w:rsidR="00FA3E24">
        <w:t xml:space="preserve">, </w:t>
      </w:r>
      <w:r w:rsidR="009555FA">
        <w:t xml:space="preserve">prior to realignment, courts were required to apply </w:t>
      </w:r>
      <w:r w:rsidR="008F18FB">
        <w:t>precommitment custody credits to the</w:t>
      </w:r>
      <w:r w:rsidR="00E31178">
        <w:t xml:space="preserve"> maximum </w:t>
      </w:r>
      <w:r w:rsidR="00E83AD4">
        <w:t xml:space="preserve">custodial </w:t>
      </w:r>
      <w:r w:rsidR="00E31178">
        <w:t>term under section</w:t>
      </w:r>
      <w:r w:rsidR="001A163A">
        <w:t> </w:t>
      </w:r>
      <w:r w:rsidR="00E31178">
        <w:t>731, subdivision</w:t>
      </w:r>
      <w:r w:rsidR="001A163A">
        <w:t> </w:t>
      </w:r>
      <w:r w:rsidR="00E31178">
        <w:t>(b)</w:t>
      </w:r>
      <w:r w:rsidR="003F7832">
        <w:t xml:space="preserve">, </w:t>
      </w:r>
      <w:r w:rsidR="005D317F">
        <w:t xml:space="preserve">which </w:t>
      </w:r>
      <w:r w:rsidR="004B1958">
        <w:t xml:space="preserve">he argues </w:t>
      </w:r>
      <w:r w:rsidR="005D317F">
        <w:t xml:space="preserve">is </w:t>
      </w:r>
      <w:r w:rsidR="009E1576">
        <w:t xml:space="preserve">functionally “similar to, if not the equivalent of” the baseline term </w:t>
      </w:r>
      <w:r w:rsidR="00701C2D">
        <w:t xml:space="preserve">that juvenile courts must impose </w:t>
      </w:r>
      <w:r w:rsidR="00184863">
        <w:t xml:space="preserve">post-realignment </w:t>
      </w:r>
      <w:r w:rsidR="00701C2D">
        <w:t>under section</w:t>
      </w:r>
      <w:r w:rsidR="001A163A">
        <w:t> </w:t>
      </w:r>
      <w:r w:rsidR="00701C2D">
        <w:t>875, subdivision</w:t>
      </w:r>
      <w:r w:rsidR="001A163A">
        <w:t> </w:t>
      </w:r>
      <w:r w:rsidR="00701C2D">
        <w:t xml:space="preserve">(b)(1). </w:t>
      </w:r>
      <w:r w:rsidR="009E1576">
        <w:t xml:space="preserve"> Therefore, </w:t>
      </w:r>
      <w:r w:rsidR="00B73C33">
        <w:t xml:space="preserve">he argues, </w:t>
      </w:r>
      <w:r w:rsidR="009E1576">
        <w:t xml:space="preserve">we should </w:t>
      </w:r>
      <w:r w:rsidR="00B73C33">
        <w:t>adopt</w:t>
      </w:r>
      <w:r w:rsidR="009E1576">
        <w:t xml:space="preserve"> the</w:t>
      </w:r>
      <w:r w:rsidR="00B73C33">
        <w:t xml:space="preserve"> </w:t>
      </w:r>
      <w:r w:rsidR="009E1576">
        <w:rPr>
          <w:i/>
          <w:iCs/>
        </w:rPr>
        <w:t>Ernesto</w:t>
      </w:r>
      <w:r w:rsidR="00B73C33">
        <w:rPr>
          <w:i/>
          <w:iCs/>
        </w:rPr>
        <w:t> </w:t>
      </w:r>
      <w:r w:rsidR="009E1576">
        <w:rPr>
          <w:i/>
          <w:iCs/>
        </w:rPr>
        <w:t>L.</w:t>
      </w:r>
      <w:r w:rsidR="009E1576">
        <w:t xml:space="preserve"> court’s reasoning and </w:t>
      </w:r>
      <w:r w:rsidR="00726C95">
        <w:t>order the</w:t>
      </w:r>
      <w:r w:rsidR="00184863">
        <w:t xml:space="preserve"> juvenile</w:t>
      </w:r>
      <w:r w:rsidR="00726C95">
        <w:t xml:space="preserve"> </w:t>
      </w:r>
      <w:r w:rsidR="00184863">
        <w:t xml:space="preserve">court </w:t>
      </w:r>
      <w:r w:rsidR="00726C95">
        <w:t xml:space="preserve">to </w:t>
      </w:r>
      <w:r w:rsidR="009E1576">
        <w:t>apply</w:t>
      </w:r>
      <w:r w:rsidR="00726C95">
        <w:t xml:space="preserve"> his precommitment</w:t>
      </w:r>
      <w:r w:rsidR="009E1576">
        <w:t xml:space="preserve"> custody credits to the baseline term.</w:t>
      </w:r>
      <w:r w:rsidR="00F63F89">
        <w:t xml:space="preserve">  The court did not err.</w:t>
      </w:r>
      <w:r w:rsidR="00B73C33">
        <w:t xml:space="preserve">  </w:t>
      </w:r>
    </w:p>
    <w:p w14:paraId="13C44AE3" w14:textId="1B83C0CF" w:rsidR="008E3DEC" w:rsidRDefault="00E35E8B" w:rsidP="002F3467">
      <w:pPr>
        <w:ind w:firstLine="720"/>
      </w:pPr>
      <w:r>
        <w:t>C</w:t>
      </w:r>
      <w:r w:rsidR="00B73C33">
        <w:t xml:space="preserve">ontrary to Jose’s </w:t>
      </w:r>
      <w:r w:rsidR="006B385E">
        <w:t>contention</w:t>
      </w:r>
      <w:r w:rsidR="00B73C33">
        <w:t xml:space="preserve">, we need not analogize the pre- and post-realignment statutes to </w:t>
      </w:r>
      <w:r w:rsidR="00793242">
        <w:t>determine</w:t>
      </w:r>
      <w:r w:rsidR="00B73C33">
        <w:t xml:space="preserve"> how the Legislature intended </w:t>
      </w:r>
      <w:r w:rsidR="004B1958" w:rsidRPr="004B1958">
        <w:t xml:space="preserve">precommitment </w:t>
      </w:r>
      <w:r w:rsidR="00B73C33">
        <w:t>custody credits to apply</w:t>
      </w:r>
      <w:r w:rsidR="006B385E">
        <w:t xml:space="preserve">:  </w:t>
      </w:r>
      <w:r w:rsidR="00B73C33">
        <w:t xml:space="preserve">the Legislature has explicitly </w:t>
      </w:r>
      <w:r w:rsidR="00F82E2A">
        <w:t xml:space="preserve">instructed juvenile </w:t>
      </w:r>
      <w:r w:rsidR="00B73C33">
        <w:t xml:space="preserve">courts to apply custody credits to the </w:t>
      </w:r>
      <w:r w:rsidR="00EE0EDE">
        <w:t>“</w:t>
      </w:r>
      <w:r w:rsidR="00EE0EDE" w:rsidRPr="00EE0EDE">
        <w:t>maximum term of confinement</w:t>
      </w:r>
      <w:r w:rsidR="00EE0EDE">
        <w:t xml:space="preserve">” </w:t>
      </w:r>
      <w:r w:rsidR="004B1958">
        <w:t xml:space="preserve">imposed </w:t>
      </w:r>
      <w:r w:rsidR="006B2829">
        <w:t>under section</w:t>
      </w:r>
      <w:r w:rsidR="001A163A">
        <w:t> </w:t>
      </w:r>
      <w:r w:rsidR="006B2829">
        <w:t>875, subdivision</w:t>
      </w:r>
      <w:r w:rsidR="001A163A">
        <w:t> </w:t>
      </w:r>
      <w:r w:rsidR="006B2829">
        <w:t>(c)(1).  As discussed, Section</w:t>
      </w:r>
      <w:r w:rsidR="001A163A">
        <w:t> </w:t>
      </w:r>
      <w:r w:rsidR="006B2829">
        <w:t>875, subdivision</w:t>
      </w:r>
      <w:r w:rsidR="001A163A">
        <w:t> </w:t>
      </w:r>
      <w:r w:rsidR="006B2829">
        <w:t>(c)(1)</w:t>
      </w:r>
      <w:r w:rsidR="00580196">
        <w:t xml:space="preserve">(C), </w:t>
      </w:r>
      <w:r w:rsidR="002F3467">
        <w:t xml:space="preserve">unambiguously states </w:t>
      </w:r>
      <w:r w:rsidR="00580196">
        <w:t xml:space="preserve">that </w:t>
      </w:r>
      <w:r w:rsidR="002F3467">
        <w:t>“[p]</w:t>
      </w:r>
      <w:r w:rsidR="00580196" w:rsidRPr="00580196">
        <w:t xml:space="preserve">recommitment credits for time served must be applied against the maximum term of confinement as set pursuant to this subdivision.”  </w:t>
      </w:r>
      <w:r w:rsidR="00F220BF">
        <w:t>Where statutory language “</w:t>
      </w:r>
      <w:r w:rsidR="00AC148F" w:rsidRPr="00AC148F">
        <w:t>is clear, courts must generally follow its plain meaning unless a literal interpretation would result in absurd consequences the Legislature did not intend.</w:t>
      </w:r>
      <w:r w:rsidR="00F220BF">
        <w:t>”  (</w:t>
      </w:r>
      <w:r w:rsidR="00AC148F" w:rsidRPr="00AC148F">
        <w:rPr>
          <w:i/>
          <w:iCs/>
        </w:rPr>
        <w:t>Jarman v. HCR ManorCare, Inc.</w:t>
      </w:r>
      <w:r w:rsidR="00AC148F" w:rsidRPr="00AC148F">
        <w:t xml:space="preserve"> (2020) 10</w:t>
      </w:r>
      <w:r w:rsidR="001A163A">
        <w:t> </w:t>
      </w:r>
      <w:r w:rsidR="00AC148F" w:rsidRPr="00AC148F">
        <w:t>Cal.5th 375, 381</w:t>
      </w:r>
      <w:r w:rsidR="00F220BF">
        <w:t xml:space="preserve">.)  </w:t>
      </w:r>
      <w:r w:rsidR="00B73C33">
        <w:t xml:space="preserve">Jose’s </w:t>
      </w:r>
      <w:r w:rsidR="002F3467">
        <w:t xml:space="preserve">argument </w:t>
      </w:r>
      <w:r w:rsidR="00B73C33">
        <w:t xml:space="preserve">essentially </w:t>
      </w:r>
      <w:r w:rsidR="00AD0931">
        <w:t>asks us to</w:t>
      </w:r>
      <w:r w:rsidR="00B73C33">
        <w:t xml:space="preserve"> rewrite subdivision</w:t>
      </w:r>
      <w:r w:rsidR="001A163A">
        <w:t> </w:t>
      </w:r>
      <w:r w:rsidR="00B73C33">
        <w:t xml:space="preserve">(c)(1)(C) to substitute the words “baseline term” for </w:t>
      </w:r>
      <w:r w:rsidR="00B73C33">
        <w:lastRenderedPageBreak/>
        <w:t>“maximum term.”</w:t>
      </w:r>
      <w:r w:rsidR="00AD0931">
        <w:t xml:space="preserve">  We cannot.</w:t>
      </w:r>
      <w:r w:rsidR="00B73C33">
        <w:t xml:space="preserve">  </w:t>
      </w:r>
      <w:r w:rsidR="002F3467">
        <w:t>“</w:t>
      </w:r>
      <w:r w:rsidR="00AD0931">
        <w:t xml:space="preserve">A </w:t>
      </w:r>
      <w:r w:rsidR="00E32F5D">
        <w:t>court may not rewrite a statute, either by inserting or omitting language, to make it conform to a presumed intent that is not expressed.</w:t>
      </w:r>
      <w:r w:rsidR="00C21F6B">
        <w:t>”  (</w:t>
      </w:r>
      <w:proofErr w:type="spellStart"/>
      <w:r w:rsidR="00C21F6B" w:rsidRPr="00C21F6B">
        <w:rPr>
          <w:i/>
          <w:iCs/>
        </w:rPr>
        <w:t>C</w:t>
      </w:r>
      <w:r w:rsidR="00E32F5D" w:rsidRPr="00C21F6B">
        <w:rPr>
          <w:i/>
          <w:iCs/>
        </w:rPr>
        <w:t>ornette</w:t>
      </w:r>
      <w:proofErr w:type="spellEnd"/>
      <w:r w:rsidR="00E32F5D" w:rsidRPr="00C21F6B">
        <w:rPr>
          <w:i/>
          <w:iCs/>
        </w:rPr>
        <w:t xml:space="preserve"> v. Department of Transp</w:t>
      </w:r>
      <w:r w:rsidR="00C351C7">
        <w:rPr>
          <w:i/>
          <w:iCs/>
        </w:rPr>
        <w:t>ortation</w:t>
      </w:r>
      <w:r w:rsidR="00E32F5D">
        <w:t xml:space="preserve"> (2001) 26</w:t>
      </w:r>
      <w:r w:rsidR="001A163A">
        <w:t> </w:t>
      </w:r>
      <w:r w:rsidR="00E32F5D">
        <w:t>Cal.4th 63, 73</w:t>
      </w:r>
      <w:r w:rsidR="00C21F6B">
        <w:t>-</w:t>
      </w:r>
      <w:r w:rsidR="00E32F5D">
        <w:t>74</w:t>
      </w:r>
      <w:r w:rsidR="00BC6750">
        <w:t xml:space="preserve">.)  </w:t>
      </w:r>
      <w:r w:rsidR="00B73C33">
        <w:t>There is no reasonable interpretation of section</w:t>
      </w:r>
      <w:r w:rsidR="001A163A">
        <w:t> </w:t>
      </w:r>
      <w:r w:rsidR="00B73C33">
        <w:t>875, subdivision</w:t>
      </w:r>
      <w:r w:rsidR="001A163A">
        <w:t> </w:t>
      </w:r>
      <w:r w:rsidR="00B73C33">
        <w:t xml:space="preserve">(c)(1)(C), other than </w:t>
      </w:r>
      <w:r w:rsidR="00AD0931">
        <w:t xml:space="preserve">that precommitment </w:t>
      </w:r>
      <w:r w:rsidR="00B73C33">
        <w:t xml:space="preserve">custody credits </w:t>
      </w:r>
      <w:r w:rsidR="00AD0931">
        <w:t xml:space="preserve">must be applied </w:t>
      </w:r>
      <w:r w:rsidR="00B73C33">
        <w:t>to the maximum term set by the court</w:t>
      </w:r>
      <w:r w:rsidR="0046225A">
        <w:t xml:space="preserve"> under </w:t>
      </w:r>
      <w:r w:rsidR="004B1958">
        <w:t xml:space="preserve">section 875, </w:t>
      </w:r>
      <w:r w:rsidR="0046225A">
        <w:t>subd</w:t>
      </w:r>
      <w:r w:rsidR="00E90A12">
        <w:t>ivision</w:t>
      </w:r>
      <w:r w:rsidR="001A163A">
        <w:t> </w:t>
      </w:r>
      <w:r w:rsidR="00E90A12">
        <w:t>(c)(1)</w:t>
      </w:r>
      <w:r w:rsidR="00AD0931">
        <w:t>, as the court did here</w:t>
      </w:r>
      <w:r w:rsidR="00B73C33">
        <w:t>.</w:t>
      </w:r>
      <w:r w:rsidR="00594F79" w:rsidRPr="00594F79">
        <w:t xml:space="preserve"> </w:t>
      </w:r>
      <w:r w:rsidR="00594F79">
        <w:t xml:space="preserve"> </w:t>
      </w:r>
      <w:r w:rsidR="00594F79" w:rsidRPr="00594F79">
        <w:t xml:space="preserve">(See </w:t>
      </w:r>
      <w:r w:rsidR="00594F79" w:rsidRPr="00594F79">
        <w:rPr>
          <w:i/>
          <w:iCs/>
        </w:rPr>
        <w:t>M.B., supra</w:t>
      </w:r>
      <w:r w:rsidR="00594F79" w:rsidRPr="00594F79">
        <w:t xml:space="preserve">, </w:t>
      </w:r>
      <w:r w:rsidR="00594F79" w:rsidRPr="00C903E8">
        <w:t>99</w:t>
      </w:r>
      <w:r w:rsidR="001A163A">
        <w:t> </w:t>
      </w:r>
      <w:r w:rsidR="00594F79" w:rsidRPr="00C903E8">
        <w:t xml:space="preserve">Cal.App.5th </w:t>
      </w:r>
      <w:r w:rsidR="00594F79" w:rsidRPr="00594F79">
        <w:t>at p.</w:t>
      </w:r>
      <w:r w:rsidR="001A163A">
        <w:t> </w:t>
      </w:r>
      <w:r w:rsidR="00594F79" w:rsidRPr="00C903E8">
        <w:t xml:space="preserve">470 </w:t>
      </w:r>
      <w:r w:rsidR="00594F79" w:rsidRPr="00594F79">
        <w:t>[“</w:t>
      </w:r>
      <w:r w:rsidR="00594F79">
        <w:t xml:space="preserve">we think </w:t>
      </w:r>
      <w:r w:rsidR="00594F79" w:rsidRPr="00594F79">
        <w:t xml:space="preserve">it is clear the application of precommitment credits against the baseline term is not intended”].)  </w:t>
      </w:r>
    </w:p>
    <w:p w14:paraId="4A1D9DC5" w14:textId="15455BD3" w:rsidR="00F520B2" w:rsidRDefault="00E35E8B" w:rsidP="008E3DEC">
      <w:pPr>
        <w:ind w:firstLine="720"/>
      </w:pPr>
      <w:r>
        <w:t xml:space="preserve">Jose’s attempt to manufacture an ambiguity or </w:t>
      </w:r>
      <w:r w:rsidR="004B1958">
        <w:t>inconsistency</w:t>
      </w:r>
      <w:r>
        <w:t xml:space="preserve"> in section</w:t>
      </w:r>
      <w:r w:rsidR="001A163A">
        <w:t> </w:t>
      </w:r>
      <w:r>
        <w:t xml:space="preserve">875 is likewise unavailing.  Jose explains that while </w:t>
      </w:r>
      <w:r w:rsidR="00E55526">
        <w:t>section</w:t>
      </w:r>
      <w:r w:rsidR="001A163A">
        <w:t> </w:t>
      </w:r>
      <w:r w:rsidR="00E55526">
        <w:t xml:space="preserve">875, </w:t>
      </w:r>
      <w:r>
        <w:t>subdivision</w:t>
      </w:r>
      <w:r w:rsidR="001A163A">
        <w:t> </w:t>
      </w:r>
      <w:r>
        <w:t>(c)(1)</w:t>
      </w:r>
      <w:r w:rsidR="00E55526">
        <w:t>,</w:t>
      </w:r>
      <w:r>
        <w:t xml:space="preserve"> instructs the </w:t>
      </w:r>
      <w:r w:rsidR="007C658F">
        <w:t xml:space="preserve">juvenile </w:t>
      </w:r>
      <w:r>
        <w:t xml:space="preserve">court to set a “maximum term of confinement” based on </w:t>
      </w:r>
      <w:r w:rsidR="008231B3">
        <w:t>“the facts and circumstances of the matter</w:t>
      </w:r>
      <w:r>
        <w:t>,</w:t>
      </w:r>
      <w:r w:rsidR="008231B3">
        <w:t>”</w:t>
      </w:r>
      <w:r>
        <w:t xml:space="preserve"> subdivision</w:t>
      </w:r>
      <w:r w:rsidR="001A163A">
        <w:t> </w:t>
      </w:r>
      <w:r>
        <w:t xml:space="preserve">(c)(2) states </w:t>
      </w:r>
      <w:r w:rsidR="008231B3">
        <w:t xml:space="preserve">the </w:t>
      </w:r>
      <w:r>
        <w:t xml:space="preserve">maximum term of confinement </w:t>
      </w:r>
      <w:r w:rsidR="00107B76">
        <w:t xml:space="preserve">as used in </w:t>
      </w:r>
      <w:r w:rsidR="00206A7D">
        <w:t>section</w:t>
      </w:r>
      <w:r w:rsidR="001A163A">
        <w:t> </w:t>
      </w:r>
      <w:r w:rsidR="00206A7D">
        <w:t>875</w:t>
      </w:r>
      <w:r w:rsidR="00E05E7F">
        <w:t xml:space="preserve"> </w:t>
      </w:r>
      <w:r>
        <w:t xml:space="preserve">has the same meaning as “maximum term of imprisonment” </w:t>
      </w:r>
      <w:r w:rsidR="00E05E7F">
        <w:t xml:space="preserve">under </w:t>
      </w:r>
      <w:r>
        <w:t>section</w:t>
      </w:r>
      <w:r w:rsidR="001A163A">
        <w:t> </w:t>
      </w:r>
      <w:r>
        <w:t>726</w:t>
      </w:r>
      <w:r w:rsidR="00455D7C">
        <w:t>, subdivision</w:t>
      </w:r>
      <w:r w:rsidR="001A163A">
        <w:t> </w:t>
      </w:r>
      <w:r w:rsidR="00455D7C">
        <w:t>(d)(2)</w:t>
      </w:r>
      <w:r w:rsidR="004B1958">
        <w:t>, which specifies the maximum term is the middle term of imprisonment that can be imposed on an adult for the same offense</w:t>
      </w:r>
      <w:r w:rsidR="00E05E7F">
        <w:t xml:space="preserve">.  Thus, Jose argues, </w:t>
      </w:r>
      <w:r w:rsidR="00722D25">
        <w:t>the maximum term of confinement has inconsistent meanings</w:t>
      </w:r>
      <w:r w:rsidR="007D1BE0">
        <w:t xml:space="preserve">—a term based on the facts and circumstances </w:t>
      </w:r>
      <w:r w:rsidR="006470E1">
        <w:t xml:space="preserve">of the matter </w:t>
      </w:r>
      <w:r w:rsidR="007D1BE0">
        <w:t xml:space="preserve">under </w:t>
      </w:r>
      <w:r w:rsidR="0023713C">
        <w:t>section</w:t>
      </w:r>
      <w:r w:rsidR="001A163A">
        <w:t> </w:t>
      </w:r>
      <w:r w:rsidR="0023713C">
        <w:t xml:space="preserve">875, </w:t>
      </w:r>
      <w:r w:rsidR="007D1BE0">
        <w:t>subdivision</w:t>
      </w:r>
      <w:r w:rsidR="001A163A">
        <w:t> </w:t>
      </w:r>
      <w:r w:rsidR="007D1BE0">
        <w:t>(c)</w:t>
      </w:r>
      <w:r w:rsidR="00F15C57">
        <w:t>(1)</w:t>
      </w:r>
      <w:r w:rsidR="007D1BE0" w:rsidRPr="00AE58A0">
        <w:t xml:space="preserve">, </w:t>
      </w:r>
      <w:r w:rsidR="00B54197" w:rsidRPr="00AE58A0">
        <w:t>and</w:t>
      </w:r>
      <w:r w:rsidR="007D1BE0" w:rsidRPr="00AE58A0">
        <w:t xml:space="preserve"> the </w:t>
      </w:r>
      <w:r w:rsidR="00455D7C" w:rsidRPr="00AE58A0">
        <w:t>middle term of imprisonment that could be imposed on an adult convicted of the same offense</w:t>
      </w:r>
      <w:r w:rsidR="00C227DE" w:rsidRPr="00AE58A0">
        <w:t xml:space="preserve">, as set forth in </w:t>
      </w:r>
      <w:r w:rsidR="00BF40E6">
        <w:t xml:space="preserve">section 875, </w:t>
      </w:r>
      <w:r w:rsidR="00991EEB">
        <w:t>subdivision (c)(2)</w:t>
      </w:r>
      <w:r w:rsidR="004B1958">
        <w:t xml:space="preserve"> (by incorporating the definition in section </w:t>
      </w:r>
      <w:r w:rsidR="00991EEB">
        <w:t>726, subdivision (d)(2)</w:t>
      </w:r>
      <w:r w:rsidR="004B1958">
        <w:t>)</w:t>
      </w:r>
      <w:r w:rsidR="00991EEB">
        <w:t xml:space="preserve">. </w:t>
      </w:r>
      <w:r w:rsidR="00455D7C" w:rsidRPr="00AE58A0">
        <w:t xml:space="preserve"> </w:t>
      </w:r>
      <w:r w:rsidR="003E6FD8" w:rsidRPr="00AE58A0">
        <w:t>Jose</w:t>
      </w:r>
      <w:r w:rsidR="00C35D3C" w:rsidRPr="00AE58A0">
        <w:t xml:space="preserve"> ignores the fact</w:t>
      </w:r>
      <w:r w:rsidR="003E6FD8" w:rsidRPr="00AE58A0">
        <w:t xml:space="preserve">, however, that </w:t>
      </w:r>
      <w:r w:rsidR="008F705A" w:rsidRPr="00AE58A0">
        <w:t>section</w:t>
      </w:r>
      <w:r w:rsidR="001A163A" w:rsidRPr="00AE58A0">
        <w:t> </w:t>
      </w:r>
      <w:r w:rsidR="008F705A" w:rsidRPr="00AE58A0">
        <w:t>875, subdivision</w:t>
      </w:r>
      <w:r w:rsidR="001A163A" w:rsidRPr="00AE58A0">
        <w:t> </w:t>
      </w:r>
      <w:r w:rsidR="00F50742" w:rsidRPr="00AE58A0">
        <w:t>(</w:t>
      </w:r>
      <w:r w:rsidR="00991EEB">
        <w:t>c</w:t>
      </w:r>
      <w:r w:rsidR="00F50742" w:rsidRPr="00AE58A0">
        <w:t xml:space="preserve">)(1)(B), </w:t>
      </w:r>
      <w:r w:rsidR="003E2539" w:rsidRPr="00AE58A0">
        <w:t>like section</w:t>
      </w:r>
      <w:r w:rsidR="001A163A" w:rsidRPr="00AE58A0">
        <w:t> </w:t>
      </w:r>
      <w:r w:rsidR="003E2539" w:rsidRPr="00AE58A0">
        <w:t>726, subdivision</w:t>
      </w:r>
      <w:r w:rsidR="001A163A" w:rsidRPr="00AE58A0">
        <w:t> </w:t>
      </w:r>
      <w:r w:rsidR="003E2539" w:rsidRPr="00AE58A0">
        <w:t xml:space="preserve">(d)(2), </w:t>
      </w:r>
      <w:r w:rsidR="00E534D8" w:rsidRPr="00AE58A0">
        <w:t xml:space="preserve">provides </w:t>
      </w:r>
      <w:r w:rsidR="00F50742" w:rsidRPr="00AE58A0">
        <w:t xml:space="preserve">that the maximum term of </w:t>
      </w:r>
      <w:r w:rsidR="00A52D0D" w:rsidRPr="00AE58A0">
        <w:t>confinement</w:t>
      </w:r>
      <w:r w:rsidR="00F50742" w:rsidRPr="00AE58A0">
        <w:t xml:space="preserve"> </w:t>
      </w:r>
      <w:r w:rsidR="00A52D0D" w:rsidRPr="00AE58A0">
        <w:t xml:space="preserve">“shall not exceed the middle term of </w:t>
      </w:r>
      <w:r w:rsidR="00A52D0D" w:rsidRPr="00AE58A0">
        <w:lastRenderedPageBreak/>
        <w:t xml:space="preserve">imprisonment” </w:t>
      </w:r>
      <w:r w:rsidR="00F50742" w:rsidRPr="00AE58A0">
        <w:t>that can be imposed on an adult</w:t>
      </w:r>
      <w:r w:rsidR="00A52D0D" w:rsidRPr="00AE58A0">
        <w:t xml:space="preserve"> for the same offense</w:t>
      </w:r>
      <w:r w:rsidR="00F50742" w:rsidRPr="00AE58A0">
        <w:t>.</w:t>
      </w:r>
      <w:r>
        <w:rPr>
          <w:vertAlign w:val="superscript"/>
        </w:rPr>
        <w:footnoteReference w:id="7"/>
      </w:r>
      <w:r w:rsidR="00F50742" w:rsidRPr="00AE58A0">
        <w:t xml:space="preserve">  </w:t>
      </w:r>
      <w:r w:rsidR="00FF2365">
        <w:t>T</w:t>
      </w:r>
      <w:r w:rsidR="00E534D8" w:rsidRPr="00AE58A0">
        <w:t>he</w:t>
      </w:r>
      <w:r w:rsidR="00182CD4" w:rsidRPr="00AE58A0">
        <w:t>re is no inconsistency</w:t>
      </w:r>
      <w:r w:rsidR="004B1958">
        <w:t>—the maximum term</w:t>
      </w:r>
      <w:r w:rsidR="001927D3">
        <w:t xml:space="preserve"> of confinement </w:t>
      </w:r>
      <w:r w:rsidR="004B1958">
        <w:t>must reflect the facts and circumstances of the matter, but cannot exceed the middle term for an adult offense</w:t>
      </w:r>
      <w:r w:rsidR="00182CD4" w:rsidRPr="00AE58A0">
        <w:t xml:space="preserve">.  </w:t>
      </w:r>
      <w:r w:rsidR="00F50742" w:rsidRPr="00AE58A0">
        <w:t>Moreover</w:t>
      </w:r>
      <w:r w:rsidR="00F50742">
        <w:t>, e</w:t>
      </w:r>
      <w:r w:rsidR="00455D7C">
        <w:t xml:space="preserve">ven </w:t>
      </w:r>
      <w:r w:rsidR="00182CD4">
        <w:t xml:space="preserve">if </w:t>
      </w:r>
      <w:r w:rsidR="006C5E33">
        <w:t xml:space="preserve">there were </w:t>
      </w:r>
      <w:r w:rsidR="00EB091A">
        <w:t>some</w:t>
      </w:r>
      <w:r w:rsidR="00455D7C">
        <w:t xml:space="preserve"> ambiguity or </w:t>
      </w:r>
      <w:r w:rsidR="00182CD4">
        <w:t xml:space="preserve">inconsistency </w:t>
      </w:r>
      <w:r w:rsidR="006C5E33">
        <w:t>in section</w:t>
      </w:r>
      <w:r w:rsidR="001A163A">
        <w:t> </w:t>
      </w:r>
      <w:r w:rsidR="006C5E33">
        <w:t>875</w:t>
      </w:r>
      <w:r w:rsidR="001927D3">
        <w:t xml:space="preserve">, as discussed, </w:t>
      </w:r>
      <w:r w:rsidR="00757CAB">
        <w:t xml:space="preserve">it is not our role to rewrite the statute </w:t>
      </w:r>
      <w:r w:rsidR="006C5E33">
        <w:t>given the Legislature’s clear pronouncement in section</w:t>
      </w:r>
      <w:r w:rsidR="001A163A">
        <w:t> </w:t>
      </w:r>
      <w:r w:rsidR="006C5E33">
        <w:t>875, subdivision</w:t>
      </w:r>
      <w:r w:rsidR="001A163A">
        <w:t> </w:t>
      </w:r>
      <w:r w:rsidR="006C5E33">
        <w:t xml:space="preserve">(c)(1)(C), </w:t>
      </w:r>
      <w:r w:rsidR="0058565F">
        <w:t xml:space="preserve">that </w:t>
      </w:r>
      <w:r w:rsidR="006C5E33">
        <w:t>precommitment custody credi</w:t>
      </w:r>
      <w:r w:rsidR="00040AB7">
        <w:t>ts must be applied against the maximum term of confinement</w:t>
      </w:r>
      <w:r w:rsidR="006C5E33">
        <w:t xml:space="preserve">.  </w:t>
      </w:r>
    </w:p>
    <w:p w14:paraId="7C82D6EB" w14:textId="42BD0D53" w:rsidR="008E3DEC" w:rsidRDefault="00E35E8B" w:rsidP="000D510D">
      <w:pPr>
        <w:pStyle w:val="Heading2"/>
      </w:pPr>
      <w:r>
        <w:t xml:space="preserve">The Application of Jose’s Custody Credits to the Maximum Term of Confinement Does Not Violate Equal Protection </w:t>
      </w:r>
    </w:p>
    <w:p w14:paraId="2F10BDBA" w14:textId="3A9E2E8F" w:rsidR="007042A2" w:rsidRDefault="00E35E8B" w:rsidP="00814CF1">
      <w:pPr>
        <w:ind w:firstLine="720"/>
      </w:pPr>
      <w:r w:rsidRPr="000D510D">
        <w:t xml:space="preserve">Both the federal and California </w:t>
      </w:r>
      <w:proofErr w:type="spellStart"/>
      <w:r w:rsidRPr="000D510D">
        <w:t>Constitutions</w:t>
      </w:r>
      <w:proofErr w:type="spellEnd"/>
      <w:r w:rsidRPr="000D510D">
        <w:t xml:space="preserve"> guarantee individuals the equal protection of the laws.</w:t>
      </w:r>
      <w:r>
        <w:t xml:space="preserve"> </w:t>
      </w:r>
      <w:r w:rsidRPr="000D510D">
        <w:t xml:space="preserve"> (U.S. Const., 14</w:t>
      </w:r>
      <w:r w:rsidR="001A163A">
        <w:t>th </w:t>
      </w:r>
      <w:r w:rsidRPr="000D510D">
        <w:t>Amend.; Cal. Const., art.</w:t>
      </w:r>
      <w:r w:rsidR="001A163A">
        <w:t> </w:t>
      </w:r>
      <w:r w:rsidRPr="000D510D">
        <w:t>I, §</w:t>
      </w:r>
      <w:r w:rsidR="001A163A">
        <w:t> </w:t>
      </w:r>
      <w:r w:rsidRPr="000D510D">
        <w:t>7</w:t>
      </w:r>
      <w:r w:rsidR="00545B7F">
        <w:t>, subd. (a)</w:t>
      </w:r>
      <w:r w:rsidRPr="000D510D">
        <w:t xml:space="preserve">; </w:t>
      </w:r>
      <w:r w:rsidRPr="00304AC6">
        <w:rPr>
          <w:shd w:val="clear" w:color="auto" w:fill="FFFFFF" w:themeFill="background1"/>
        </w:rPr>
        <w:t>see</w:t>
      </w:r>
      <w:r w:rsidR="001D6F27" w:rsidRPr="00304AC6">
        <w:rPr>
          <w:shd w:val="clear" w:color="auto" w:fill="FFFFFF" w:themeFill="background1"/>
        </w:rPr>
        <w:t xml:space="preserve"> </w:t>
      </w:r>
      <w:r w:rsidR="001D6F27" w:rsidRPr="00304AC6">
        <w:rPr>
          <w:i/>
          <w:iCs/>
          <w:shd w:val="clear" w:color="auto" w:fill="FFFFFF" w:themeFill="background1"/>
        </w:rPr>
        <w:t>People v. Hardin</w:t>
      </w:r>
      <w:r w:rsidR="001D6F27" w:rsidRPr="00304AC6">
        <w:rPr>
          <w:shd w:val="clear" w:color="auto" w:fill="FFFFFF" w:themeFill="background1"/>
        </w:rPr>
        <w:t xml:space="preserve"> (2024) </w:t>
      </w:r>
      <w:bookmarkStart w:id="2" w:name="_Hlk165363463"/>
      <w:r w:rsidR="001D6F27" w:rsidRPr="00304AC6">
        <w:rPr>
          <w:shd w:val="clear" w:color="auto" w:fill="FFFFFF" w:themeFill="background1"/>
        </w:rPr>
        <w:t xml:space="preserve">15 Cal.5th </w:t>
      </w:r>
      <w:bookmarkEnd w:id="2"/>
      <w:r w:rsidR="001D6F27" w:rsidRPr="00304AC6">
        <w:rPr>
          <w:shd w:val="clear" w:color="auto" w:fill="FFFFFF" w:themeFill="background1"/>
        </w:rPr>
        <w:t>834</w:t>
      </w:r>
      <w:r w:rsidR="003D6C63" w:rsidRPr="00304AC6">
        <w:rPr>
          <w:shd w:val="clear" w:color="auto" w:fill="FFFFFF" w:themeFill="background1"/>
        </w:rPr>
        <w:t>, 847</w:t>
      </w:r>
      <w:r w:rsidR="001D6F27" w:rsidRPr="00304AC6">
        <w:rPr>
          <w:shd w:val="clear" w:color="auto" w:fill="FFFFFF" w:themeFill="background1"/>
        </w:rPr>
        <w:t xml:space="preserve"> &amp; fn. 2</w:t>
      </w:r>
      <w:r w:rsidR="00C51A3F" w:rsidRPr="00304AC6">
        <w:rPr>
          <w:shd w:val="clear" w:color="auto" w:fill="FFFFFF" w:themeFill="background1"/>
        </w:rPr>
        <w:t xml:space="preserve"> (</w:t>
      </w:r>
      <w:r w:rsidR="00C51A3F" w:rsidRPr="00304AC6">
        <w:rPr>
          <w:i/>
          <w:iCs/>
          <w:shd w:val="clear" w:color="auto" w:fill="FFFFFF" w:themeFill="background1"/>
        </w:rPr>
        <w:t>Hardin</w:t>
      </w:r>
      <w:r w:rsidR="00C51A3F" w:rsidRPr="00304AC6">
        <w:rPr>
          <w:shd w:val="clear" w:color="auto" w:fill="FFFFFF" w:themeFill="background1"/>
        </w:rPr>
        <w:t>)</w:t>
      </w:r>
      <w:r w:rsidR="001D6F27" w:rsidRPr="00304AC6">
        <w:t>;</w:t>
      </w:r>
      <w:r w:rsidRPr="00304AC6">
        <w:t xml:space="preserve"> </w:t>
      </w:r>
      <w:r w:rsidRPr="00304AC6">
        <w:rPr>
          <w:i/>
          <w:iCs/>
        </w:rPr>
        <w:t>People v. Chatman</w:t>
      </w:r>
      <w:r w:rsidRPr="00304AC6">
        <w:t xml:space="preserve"> (2018) 4 Cal.5th 277, 287.)  </w:t>
      </w:r>
      <w:r w:rsidR="00F97986" w:rsidRPr="00397A5B">
        <w:t>The concept of equal protection requires “‘</w:t>
      </w:r>
      <w:r w:rsidR="003402DA" w:rsidRPr="00397A5B">
        <w:t>that all persons similarly situated should be treated alike.</w:t>
      </w:r>
      <w:r w:rsidR="007E524B" w:rsidRPr="00397A5B">
        <w:t>’  [Citation</w:t>
      </w:r>
      <w:r w:rsidR="00114B09" w:rsidRPr="00397A5B">
        <w:t>.]</w:t>
      </w:r>
      <w:r w:rsidR="00B53126">
        <w:t xml:space="preserve"> </w:t>
      </w:r>
      <w:r w:rsidR="00114B09" w:rsidRPr="00397A5B">
        <w:t xml:space="preserve"> ‘</w:t>
      </w:r>
      <w:r w:rsidR="003402DA" w:rsidRPr="00397A5B">
        <w:t xml:space="preserve">At core, the requirement of equal protection ensures that the government does not treat a group of </w:t>
      </w:r>
      <w:r w:rsidR="003402DA" w:rsidRPr="00397A5B">
        <w:lastRenderedPageBreak/>
        <w:t>people unequally without some justification</w:t>
      </w:r>
      <w:r w:rsidR="00114B09" w:rsidRPr="00397A5B">
        <w:t>.’</w:t>
      </w:r>
      <w:r w:rsidR="003402DA" w:rsidRPr="00397A5B">
        <w:t>”</w:t>
      </w:r>
      <w:r w:rsidR="00114B09" w:rsidRPr="00397A5B">
        <w:t xml:space="preserve">  </w:t>
      </w:r>
      <w:r w:rsidR="004B04D5" w:rsidRPr="00397A5B">
        <w:t>(</w:t>
      </w:r>
      <w:r w:rsidR="007460A4" w:rsidRPr="00397A5B">
        <w:rPr>
          <w:i/>
          <w:iCs/>
        </w:rPr>
        <w:t>Hardin</w:t>
      </w:r>
      <w:r w:rsidR="007460A4" w:rsidRPr="00397A5B">
        <w:t xml:space="preserve">, at p. </w:t>
      </w:r>
      <w:r w:rsidR="001B66F8" w:rsidRPr="00397A5B">
        <w:t>847</w:t>
      </w:r>
      <w:r w:rsidR="00A852E2" w:rsidRPr="00397A5B">
        <w:t xml:space="preserve">; accord, </w:t>
      </w:r>
      <w:r w:rsidR="00A852E2" w:rsidRPr="00397A5B">
        <w:rPr>
          <w:i/>
          <w:iCs/>
        </w:rPr>
        <w:t>Chatman</w:t>
      </w:r>
      <w:r w:rsidR="00A852E2" w:rsidRPr="00397A5B">
        <w:t>, at p. 288.)</w:t>
      </w:r>
      <w:r w:rsidR="001B66F8">
        <w:t xml:space="preserve"> </w:t>
      </w:r>
      <w:r w:rsidR="00A852E2">
        <w:t xml:space="preserve"> </w:t>
      </w:r>
    </w:p>
    <w:p w14:paraId="51E0F3B2" w14:textId="55765B83" w:rsidR="00C51A3F" w:rsidRDefault="00E35E8B" w:rsidP="00814CF1">
      <w:pPr>
        <w:ind w:firstLine="720"/>
      </w:pPr>
      <w:r>
        <w:t xml:space="preserve">Until recently, </w:t>
      </w:r>
      <w:r w:rsidR="00CE762F">
        <w:t xml:space="preserve">the Supreme Court had applied a two-part </w:t>
      </w:r>
      <w:r w:rsidR="001957F3">
        <w:t xml:space="preserve">inquiry, first asking </w:t>
      </w:r>
      <w:r w:rsidR="00814CF1" w:rsidRPr="00B53126">
        <w:t>“‘whether the state adopted a classification affecting two or more groups that are similarly situated in an unequal manner.</w:t>
      </w:r>
      <w:r w:rsidR="00397A5B" w:rsidRPr="00B53126">
        <w:t>’</w:t>
      </w:r>
      <w:r w:rsidR="00814CF1" w:rsidRPr="00B53126">
        <w:t>”</w:t>
      </w:r>
      <w:r w:rsidR="00814CF1" w:rsidRPr="00397A5B">
        <w:t xml:space="preserve">  </w:t>
      </w:r>
      <w:r w:rsidR="00814CF1" w:rsidRPr="00B53126">
        <w:t>(</w:t>
      </w:r>
      <w:r w:rsidR="00814CF1" w:rsidRPr="00B53126">
        <w:rPr>
          <w:i/>
          <w:iCs/>
        </w:rPr>
        <w:t>Hardin</w:t>
      </w:r>
      <w:r w:rsidR="007A09C9" w:rsidRPr="00B53126">
        <w:rPr>
          <w:i/>
          <w:iCs/>
        </w:rPr>
        <w:t>, supra</w:t>
      </w:r>
      <w:r w:rsidR="00814CF1" w:rsidRPr="00B53126">
        <w:t xml:space="preserve">, </w:t>
      </w:r>
      <w:r w:rsidR="007042A2" w:rsidRPr="00B53126">
        <w:t xml:space="preserve">15 Cal.5th </w:t>
      </w:r>
      <w:r w:rsidR="00814CF1" w:rsidRPr="00B53126">
        <w:t xml:space="preserve">at p. 848, quoting </w:t>
      </w:r>
      <w:r w:rsidR="00814CF1" w:rsidRPr="00B53126">
        <w:rPr>
          <w:i/>
          <w:iCs/>
        </w:rPr>
        <w:t>Chatman</w:t>
      </w:r>
      <w:r w:rsidR="005D4487" w:rsidRPr="00B53126">
        <w:rPr>
          <w:i/>
          <w:iCs/>
        </w:rPr>
        <w:t>, supra</w:t>
      </w:r>
      <w:r w:rsidR="005D4487" w:rsidRPr="00B53126">
        <w:t>,</w:t>
      </w:r>
      <w:r w:rsidR="007A09C9" w:rsidRPr="00B53126">
        <w:rPr>
          <w:i/>
          <w:iCs/>
        </w:rPr>
        <w:t xml:space="preserve"> </w:t>
      </w:r>
      <w:r w:rsidR="007A09C9" w:rsidRPr="00B53126">
        <w:t>4 Cal.5th</w:t>
      </w:r>
      <w:r w:rsidR="00814CF1" w:rsidRPr="00B53126">
        <w:t xml:space="preserve"> at p. 289.)</w:t>
      </w:r>
      <w:r w:rsidR="000F18F0" w:rsidRPr="00B53126">
        <w:t xml:space="preserve">  </w:t>
      </w:r>
      <w:r w:rsidR="00F8667D" w:rsidRPr="00B53126">
        <w:t xml:space="preserve">In </w:t>
      </w:r>
      <w:r w:rsidR="00F8667D" w:rsidRPr="00B53126">
        <w:rPr>
          <w:i/>
          <w:iCs/>
        </w:rPr>
        <w:t>Hardin</w:t>
      </w:r>
      <w:r w:rsidR="007C712B" w:rsidRPr="00B53126">
        <w:t xml:space="preserve">, </w:t>
      </w:r>
      <w:r w:rsidR="00F8667D" w:rsidRPr="00B53126">
        <w:t xml:space="preserve">the </w:t>
      </w:r>
      <w:r w:rsidR="000F18F0" w:rsidRPr="00B53126">
        <w:t>c</w:t>
      </w:r>
      <w:r w:rsidR="00F8667D" w:rsidRPr="00B53126">
        <w:t>ourt eliminated this inquiry in most instances</w:t>
      </w:r>
      <w:r w:rsidR="00A71F77" w:rsidRPr="00B53126">
        <w:t xml:space="preserve">.  </w:t>
      </w:r>
      <w:r w:rsidR="00F8667D" w:rsidRPr="00B53126">
        <w:t>“[W]hen plaintiffs challenge laws drawing distinctions between identifiable groups or classes of persons, on the basis that the distinctions drawn are inconsistent with equal protection, courts no longer need to ask at the threshold whether the two groups are similarly situated for purposes of the law in question.  The only pertinent inquiry is whether the challenged difference in treatment is adequately justified under the applicable standard of review.  The burden is on the party challenging the law to show that it is not.”  (</w:t>
      </w:r>
      <w:r w:rsidR="00F8667D" w:rsidRPr="00B53126">
        <w:rPr>
          <w:i/>
          <w:iCs/>
        </w:rPr>
        <w:t>Hardin</w:t>
      </w:r>
      <w:r w:rsidR="00F8667D" w:rsidRPr="00B53126">
        <w:t>, at pp. 850-851.)</w:t>
      </w:r>
      <w:r w:rsidR="00F8667D">
        <w:t xml:space="preserve">  </w:t>
      </w:r>
    </w:p>
    <w:p w14:paraId="5F76E17D" w14:textId="63466908" w:rsidR="001B66F8" w:rsidRPr="007460A4" w:rsidRDefault="00E35E8B" w:rsidP="00C51A3F">
      <w:pPr>
        <w:ind w:firstLine="720"/>
      </w:pPr>
      <w:r w:rsidRPr="00B53126">
        <w:t>“Where, as here, a statute involves neither a suspect class nor a fundamental right, it need only meet minimum equal protection standards, and survive ‘rational basis review.’”  (</w:t>
      </w:r>
      <w:r w:rsidRPr="00B53126">
        <w:rPr>
          <w:i/>
          <w:iCs/>
        </w:rPr>
        <w:t>People v. Turnage</w:t>
      </w:r>
      <w:r w:rsidRPr="00B53126">
        <w:t xml:space="preserve"> (2012) 55 Cal.4th 62, 74</w:t>
      </w:r>
      <w:r w:rsidRPr="009A2DE0">
        <w:t>.)</w:t>
      </w:r>
      <w:r w:rsidRPr="00F8667D">
        <w:t xml:space="preserve"> </w:t>
      </w:r>
      <w:r w:rsidR="00C51A3F">
        <w:t xml:space="preserve"> </w:t>
      </w:r>
      <w:r w:rsidR="00080E65" w:rsidRPr="00080E65">
        <w:t>A right is fundamental if it is “‘“deeply rooted in this Nation’s history and tradition,” . . . and “implicit in the concept of ordered liberty,” such that “neither liberty nor justice would exist if [it was] sacrificed.”’”  (</w:t>
      </w:r>
      <w:r w:rsidR="00080E65" w:rsidRPr="00080E65">
        <w:rPr>
          <w:i/>
          <w:iCs/>
        </w:rPr>
        <w:t>Jimenez v. County of Los Angeles</w:t>
      </w:r>
      <w:r w:rsidR="00080E65" w:rsidRPr="00080E65">
        <w:t xml:space="preserve"> (2005) 130 Cal.App.4th 133, 142, quoting </w:t>
      </w:r>
      <w:r w:rsidR="00080E65" w:rsidRPr="00080E65">
        <w:rPr>
          <w:i/>
          <w:iCs/>
        </w:rPr>
        <w:t>Washington v. Glucksberg</w:t>
      </w:r>
      <w:r w:rsidR="00080E65" w:rsidRPr="00080E65">
        <w:t xml:space="preserve"> (1997) 521 U.S. 702, 720-721.)  If a law does not burden a fundamental right, “[w]e </w:t>
      </w:r>
      <w:proofErr w:type="gramStart"/>
      <w:r w:rsidR="00080E65" w:rsidRPr="00080E65">
        <w:t>find</w:t>
      </w:r>
      <w:proofErr w:type="gramEnd"/>
      <w:r w:rsidR="00080E65" w:rsidRPr="00080E65">
        <w:t xml:space="preserve"> a denial of equal protection only if there is no </w:t>
      </w:r>
      <w:r w:rsidR="00080E65" w:rsidRPr="00080E65">
        <w:rPr>
          <w:i/>
          <w:iCs/>
        </w:rPr>
        <w:t>rational</w:t>
      </w:r>
      <w:r w:rsidR="00080E65" w:rsidRPr="00080E65">
        <w:t xml:space="preserve"> relationship between a disparity in treatment and some legitimate government purpose.”  (</w:t>
      </w:r>
      <w:r w:rsidR="00080E65" w:rsidRPr="00080E65">
        <w:rPr>
          <w:i/>
          <w:iCs/>
        </w:rPr>
        <w:t>Chatman</w:t>
      </w:r>
      <w:r w:rsidR="00080E65" w:rsidRPr="00080E65">
        <w:t xml:space="preserve">, at pp. 288-289; </w:t>
      </w:r>
      <w:r w:rsidR="00080E65" w:rsidRPr="00304AC6">
        <w:t xml:space="preserve">accord, </w:t>
      </w:r>
      <w:r w:rsidR="00080E65" w:rsidRPr="00304AC6">
        <w:rPr>
          <w:i/>
          <w:iCs/>
        </w:rPr>
        <w:t>Hardin</w:t>
      </w:r>
      <w:r w:rsidR="00721F6E">
        <w:rPr>
          <w:i/>
          <w:iCs/>
        </w:rPr>
        <w:t xml:space="preserve">, </w:t>
      </w:r>
      <w:r w:rsidR="00721F6E" w:rsidRPr="00B53126">
        <w:rPr>
          <w:i/>
          <w:iCs/>
        </w:rPr>
        <w:t>supra</w:t>
      </w:r>
      <w:r w:rsidR="00721F6E" w:rsidRPr="00B53126">
        <w:t>, 15</w:t>
      </w:r>
      <w:r w:rsidR="00FA7FC1">
        <w:t> </w:t>
      </w:r>
      <w:r w:rsidR="00721F6E" w:rsidRPr="00B53126">
        <w:t>Cal.5th</w:t>
      </w:r>
      <w:r w:rsidR="00080E65" w:rsidRPr="00080E65">
        <w:rPr>
          <w:i/>
          <w:iCs/>
        </w:rPr>
        <w:t xml:space="preserve"> </w:t>
      </w:r>
      <w:r w:rsidR="00080E65" w:rsidRPr="00080E65">
        <w:t xml:space="preserve">at </w:t>
      </w:r>
      <w:r w:rsidR="00080E65" w:rsidRPr="00080E65">
        <w:lastRenderedPageBreak/>
        <w:t>p.</w:t>
      </w:r>
      <w:r w:rsidR="00B0038A">
        <w:t> </w:t>
      </w:r>
      <w:r w:rsidR="00080E65" w:rsidRPr="00080E65">
        <w:t xml:space="preserve">847.) </w:t>
      </w:r>
      <w:r w:rsidR="001C2FE3">
        <w:t xml:space="preserve"> </w:t>
      </w:r>
      <w:r w:rsidRPr="00B53126">
        <w:t>“Rational basis review ‘sets a high bar’ for litigants challenging legislative enactments.”</w:t>
      </w:r>
      <w:r w:rsidR="00C51A3F" w:rsidRPr="00B53126">
        <w:t xml:space="preserve">  </w:t>
      </w:r>
      <w:r w:rsidRPr="00B53126">
        <w:t>(</w:t>
      </w:r>
      <w:r w:rsidRPr="00B53126">
        <w:rPr>
          <w:i/>
          <w:iCs/>
        </w:rPr>
        <w:t>Hardin</w:t>
      </w:r>
      <w:r w:rsidR="00721F6E">
        <w:t xml:space="preserve">, </w:t>
      </w:r>
      <w:r w:rsidRPr="00B53126">
        <w:t xml:space="preserve">at p. 852.) </w:t>
      </w:r>
      <w:r w:rsidR="00C51A3F" w:rsidRPr="00B53126">
        <w:t xml:space="preserve"> </w:t>
      </w:r>
      <w:r w:rsidRPr="00B53126">
        <w:t xml:space="preserve">“Under this deferential standard, we presume that a given statutory classification is valid ‘until the challenger shows that no rational basis for the unequal treatment is reasonably conceivable.’” </w:t>
      </w:r>
      <w:r w:rsidR="00C51A3F" w:rsidRPr="00B53126">
        <w:t xml:space="preserve"> </w:t>
      </w:r>
      <w:r w:rsidRPr="00B53126">
        <w:t>(</w:t>
      </w:r>
      <w:r w:rsidRPr="00B53126">
        <w:rPr>
          <w:i/>
          <w:iCs/>
        </w:rPr>
        <w:t>Ibid</w:t>
      </w:r>
      <w:r w:rsidRPr="00B53126">
        <w:t>.)</w:t>
      </w:r>
    </w:p>
    <w:p w14:paraId="2E49362D" w14:textId="15B1A6B1" w:rsidR="00841D0E" w:rsidRDefault="00E35E8B" w:rsidP="002D0A98">
      <w:pPr>
        <w:ind w:firstLine="720"/>
      </w:pPr>
      <w:r>
        <w:t xml:space="preserve">Jose argues </w:t>
      </w:r>
      <w:r w:rsidR="004940FA">
        <w:t xml:space="preserve">application of </w:t>
      </w:r>
      <w:r w:rsidR="001927D3">
        <w:t xml:space="preserve">precommitment </w:t>
      </w:r>
      <w:r w:rsidR="004940FA">
        <w:t>custody credits to the maximum term of confinement pursuant to section</w:t>
      </w:r>
      <w:r w:rsidR="001A163A">
        <w:t> </w:t>
      </w:r>
      <w:r w:rsidR="004940FA">
        <w:t xml:space="preserve">875, subdivision (c)(1)(C), violates equal protection by treating minors sentenced prior to realignment differently than minors sentenced </w:t>
      </w:r>
      <w:r w:rsidR="00930DEC">
        <w:t xml:space="preserve">after </w:t>
      </w:r>
      <w:r w:rsidR="004940FA">
        <w:t xml:space="preserve">realignment.  However, </w:t>
      </w:r>
      <w:r w:rsidR="00511FDF">
        <w:t>a</w:t>
      </w:r>
      <w:r w:rsidR="007669C0">
        <w:t xml:space="preserve">s the Supreme Court has explained, </w:t>
      </w:r>
      <w:r w:rsidR="0047746A">
        <w:t>t</w:t>
      </w:r>
      <w:r w:rsidR="008A7390">
        <w:t>he Legislature is entitled to make changes to sentencing statutes</w:t>
      </w:r>
      <w:r w:rsidR="0047746A">
        <w:t xml:space="preserve"> that create d</w:t>
      </w:r>
      <w:r w:rsidR="008A7390">
        <w:t xml:space="preserve">isparities between how individuals are </w:t>
      </w:r>
      <w:r w:rsidR="00511FDF">
        <w:t>sentenced</w:t>
      </w:r>
      <w:r w:rsidR="008A7390">
        <w:t xml:space="preserve"> before and after </w:t>
      </w:r>
      <w:r w:rsidR="004B014B">
        <w:t>the</w:t>
      </w:r>
      <w:r w:rsidR="008A7390">
        <w:t xml:space="preserve"> amendments</w:t>
      </w:r>
      <w:r w:rsidR="0047746A">
        <w:t xml:space="preserve"> without violating </w:t>
      </w:r>
      <w:r w:rsidR="00A14696">
        <w:t xml:space="preserve">principles of </w:t>
      </w:r>
      <w:r w:rsidR="008A7390">
        <w:t xml:space="preserve">equal protection. </w:t>
      </w:r>
      <w:r w:rsidR="00A14696">
        <w:t xml:space="preserve"> </w:t>
      </w:r>
      <w:r w:rsidR="008A7390">
        <w:t xml:space="preserve">(See </w:t>
      </w:r>
      <w:r w:rsidR="008A7390" w:rsidRPr="008A7390">
        <w:rPr>
          <w:i/>
          <w:iCs/>
        </w:rPr>
        <w:t>People v. Floyd</w:t>
      </w:r>
      <w:r w:rsidR="008A7390">
        <w:t xml:space="preserve"> (2003) 31</w:t>
      </w:r>
      <w:r w:rsidR="001A163A">
        <w:t> </w:t>
      </w:r>
      <w:r w:rsidR="008A7390">
        <w:t>Cal.4th 179, 191 [</w:t>
      </w:r>
      <w:r w:rsidR="008C6176">
        <w:t xml:space="preserve">rejecting </w:t>
      </w:r>
      <w:r w:rsidR="00894D17">
        <w:t xml:space="preserve">14th Amendment challenge to </w:t>
      </w:r>
      <w:r w:rsidR="009552AC" w:rsidRPr="009552AC">
        <w:t>Proposition</w:t>
      </w:r>
      <w:r w:rsidR="001A163A">
        <w:t> </w:t>
      </w:r>
      <w:r w:rsidR="009552AC" w:rsidRPr="009552AC">
        <w:t>36, the Substance Abuse and Crime Prevention Act of 2000</w:t>
      </w:r>
      <w:r w:rsidR="009552AC">
        <w:t>,</w:t>
      </w:r>
      <w:r w:rsidR="009552AC" w:rsidRPr="009552AC">
        <w:t xml:space="preserve"> </w:t>
      </w:r>
      <w:r w:rsidR="00894D17">
        <w:t xml:space="preserve">reasoning, </w:t>
      </w:r>
      <w:r w:rsidR="008A7390">
        <w:t xml:space="preserve">“‘[t]he 14th Amendment does not forbid statutes and statutory changes to have a beginning, and thus to discriminate between the rights of an earlier and later time’”]; </w:t>
      </w:r>
      <w:r w:rsidR="00930DEC" w:rsidRPr="008A7390">
        <w:rPr>
          <w:i/>
          <w:iCs/>
        </w:rPr>
        <w:t>Baker v. Superior Court</w:t>
      </w:r>
      <w:r w:rsidR="00930DEC">
        <w:t xml:space="preserve"> (1984) 35</w:t>
      </w:r>
      <w:r w:rsidR="001A163A">
        <w:t> </w:t>
      </w:r>
      <w:r w:rsidR="00930DEC">
        <w:t>Cal.3d 663, 668</w:t>
      </w:r>
      <w:r w:rsidR="008A7390">
        <w:t>-</w:t>
      </w:r>
      <w:r w:rsidR="00930DEC">
        <w:t xml:space="preserve">670 [extension of involuntary commitment of a mentally disordered sex offender (MDSO) who was committed before the repeal of the MDSO law and remained subject to the former law was not a denial of equal protection even though </w:t>
      </w:r>
      <w:r w:rsidR="00C44522">
        <w:t>perso</w:t>
      </w:r>
      <w:r w:rsidR="00930DEC">
        <w:t xml:space="preserve">ns convicted of a sex offense after </w:t>
      </w:r>
      <w:r w:rsidR="00551213">
        <w:t xml:space="preserve">the </w:t>
      </w:r>
      <w:r w:rsidR="00930DEC">
        <w:t xml:space="preserve">repeal were sentenced to a determinate prison term and </w:t>
      </w:r>
      <w:r w:rsidR="000D33DA">
        <w:t xml:space="preserve">were </w:t>
      </w:r>
      <w:r w:rsidR="00930DEC">
        <w:t>not subject to extended commitment]</w:t>
      </w:r>
      <w:r w:rsidR="008A7390">
        <w:t xml:space="preserve">; </w:t>
      </w:r>
      <w:r w:rsidR="00930DEC" w:rsidRPr="008A7390">
        <w:rPr>
          <w:i/>
          <w:iCs/>
        </w:rPr>
        <w:t>Mundy v. Superior Court</w:t>
      </w:r>
      <w:r w:rsidR="00930DEC">
        <w:t xml:space="preserve"> (1995) 31</w:t>
      </w:r>
      <w:r w:rsidR="001A163A">
        <w:t> </w:t>
      </w:r>
      <w:r w:rsidR="00930DEC">
        <w:t>Cal.App.4th 1396, 1408 [</w:t>
      </w:r>
      <w:r w:rsidR="008A7390">
        <w:t xml:space="preserve">failure to apply newly enacted more lenient </w:t>
      </w:r>
      <w:r w:rsidR="00906E25">
        <w:t xml:space="preserve">property </w:t>
      </w:r>
      <w:r w:rsidR="008A7390">
        <w:t xml:space="preserve">forfeiture law did not </w:t>
      </w:r>
      <w:r w:rsidR="00930DEC">
        <w:t>“violate Mundy</w:t>
      </w:r>
      <w:r w:rsidR="008A7390">
        <w:t>’</w:t>
      </w:r>
      <w:r w:rsidR="00930DEC">
        <w:t xml:space="preserve">s equal protection rights, </w:t>
      </w:r>
      <w:r w:rsidR="00930DEC">
        <w:lastRenderedPageBreak/>
        <w:t>given the Legislature</w:t>
      </w:r>
      <w:r w:rsidR="008A7390">
        <w:t>’s</w:t>
      </w:r>
      <w:r w:rsidR="00930DEC">
        <w:t xml:space="preserve"> prerogative to make statutory amendments prospective only”]</w:t>
      </w:r>
      <w:r w:rsidR="008A7390">
        <w:t>.)</w:t>
      </w:r>
      <w:r w:rsidR="004B014B">
        <w:t xml:space="preserve">  Therefore, regardless of whether realignment </w:t>
      </w:r>
      <w:r w:rsidR="00EC2513">
        <w:t xml:space="preserve">resulted in less favorable treatment of precommitment credits (which is far from clear), </w:t>
      </w:r>
      <w:r w:rsidR="00DC5FE2">
        <w:t>the amendments</w:t>
      </w:r>
      <w:r w:rsidR="00EC2513">
        <w:t xml:space="preserve"> did not violate equal protection</w:t>
      </w:r>
      <w:r w:rsidR="00DC5FE2">
        <w:t xml:space="preserve"> principles.</w:t>
      </w:r>
    </w:p>
    <w:p w14:paraId="2C80331E" w14:textId="6BE84073" w:rsidR="00790FAB" w:rsidRDefault="00E35E8B" w:rsidP="005B6FA7">
      <w:pPr>
        <w:pStyle w:val="Heading1"/>
      </w:pPr>
      <w:r>
        <w:t>DISPOSITION</w:t>
      </w:r>
    </w:p>
    <w:p w14:paraId="47FD6008" w14:textId="77777777" w:rsidR="00F76EF3" w:rsidRPr="00F76EF3" w:rsidRDefault="00F76EF3" w:rsidP="00F76EF3"/>
    <w:p w14:paraId="23151287" w14:textId="1D4B46CF" w:rsidR="00790FAB" w:rsidRDefault="00E35E8B" w:rsidP="00790FAB">
      <w:pPr>
        <w:ind w:firstLine="720"/>
      </w:pPr>
      <w:r>
        <w:t xml:space="preserve">The </w:t>
      </w:r>
      <w:r w:rsidR="00F76EF3">
        <w:t xml:space="preserve">juvenile court’s disposition </w:t>
      </w:r>
      <w:r>
        <w:t>order is affirmed.</w:t>
      </w:r>
    </w:p>
    <w:p w14:paraId="3B0D66AB" w14:textId="77777777" w:rsidR="005B6FA7" w:rsidRDefault="005B6FA7" w:rsidP="005B6FA7">
      <w:pPr>
        <w:spacing w:line="240" w:lineRule="auto"/>
      </w:pPr>
    </w:p>
    <w:p w14:paraId="3B7E7488" w14:textId="77777777" w:rsidR="005B6FA7" w:rsidRDefault="005B6FA7" w:rsidP="005B6FA7">
      <w:pPr>
        <w:spacing w:line="240" w:lineRule="auto"/>
      </w:pPr>
    </w:p>
    <w:p w14:paraId="0F93944A" w14:textId="77777777" w:rsidR="006D4AC9" w:rsidRDefault="006D4AC9" w:rsidP="005B6FA7">
      <w:pPr>
        <w:spacing w:line="240" w:lineRule="auto"/>
      </w:pPr>
    </w:p>
    <w:p w14:paraId="017075BA" w14:textId="52612414" w:rsidR="005B6FA7" w:rsidRDefault="00E35E8B" w:rsidP="005B6FA7">
      <w:pPr>
        <w:spacing w:line="240" w:lineRule="auto"/>
      </w:pPr>
      <w:r>
        <w:tab/>
      </w:r>
      <w:r>
        <w:tab/>
      </w:r>
      <w:r>
        <w:tab/>
      </w:r>
      <w:r>
        <w:tab/>
      </w:r>
      <w:r>
        <w:tab/>
      </w:r>
      <w:r>
        <w:tab/>
      </w:r>
      <w:r>
        <w:tab/>
        <w:t>FEUER, J.</w:t>
      </w:r>
    </w:p>
    <w:p w14:paraId="0FAAB65D" w14:textId="77777777" w:rsidR="005B6FA7" w:rsidRDefault="005B6FA7" w:rsidP="005B6FA7">
      <w:pPr>
        <w:spacing w:line="240" w:lineRule="auto"/>
      </w:pPr>
    </w:p>
    <w:p w14:paraId="730E6560" w14:textId="04F301C0" w:rsidR="005B6FA7" w:rsidRDefault="00E35E8B" w:rsidP="005B6FA7">
      <w:pPr>
        <w:spacing w:line="240" w:lineRule="auto"/>
      </w:pPr>
      <w:r>
        <w:t>We concur:</w:t>
      </w:r>
    </w:p>
    <w:p w14:paraId="55FD9BBC" w14:textId="77777777" w:rsidR="005B6FA7" w:rsidRDefault="005B6FA7" w:rsidP="005B6FA7">
      <w:pPr>
        <w:spacing w:line="240" w:lineRule="auto"/>
      </w:pPr>
    </w:p>
    <w:p w14:paraId="78C35F56" w14:textId="77777777" w:rsidR="005B6FA7" w:rsidRDefault="005B6FA7" w:rsidP="005B6FA7">
      <w:pPr>
        <w:spacing w:line="240" w:lineRule="auto"/>
      </w:pPr>
    </w:p>
    <w:p w14:paraId="333FF368" w14:textId="77777777" w:rsidR="006D4AC9" w:rsidRDefault="006D4AC9" w:rsidP="005B6FA7">
      <w:pPr>
        <w:spacing w:line="240" w:lineRule="auto"/>
      </w:pPr>
    </w:p>
    <w:p w14:paraId="37675BB3" w14:textId="4EB573BE" w:rsidR="005B6FA7" w:rsidRDefault="00E35E8B" w:rsidP="005B6FA7">
      <w:pPr>
        <w:spacing w:line="240" w:lineRule="auto"/>
      </w:pPr>
      <w:r>
        <w:tab/>
      </w:r>
      <w:r>
        <w:tab/>
      </w:r>
      <w:r w:rsidR="00B24FE5">
        <w:t>MARTINEZ</w:t>
      </w:r>
      <w:r>
        <w:t>, P. J.</w:t>
      </w:r>
    </w:p>
    <w:p w14:paraId="1534D5E7" w14:textId="77777777" w:rsidR="005B6FA7" w:rsidRDefault="005B6FA7" w:rsidP="005B6FA7">
      <w:pPr>
        <w:spacing w:line="240" w:lineRule="auto"/>
      </w:pPr>
    </w:p>
    <w:p w14:paraId="179815A1" w14:textId="77777777" w:rsidR="005B6FA7" w:rsidRDefault="005B6FA7" w:rsidP="005B6FA7">
      <w:pPr>
        <w:spacing w:line="240" w:lineRule="auto"/>
      </w:pPr>
    </w:p>
    <w:p w14:paraId="68AB4F71" w14:textId="77777777" w:rsidR="005B6FA7" w:rsidRDefault="005B6FA7" w:rsidP="005B6FA7">
      <w:pPr>
        <w:spacing w:line="240" w:lineRule="auto"/>
      </w:pPr>
    </w:p>
    <w:p w14:paraId="09487012" w14:textId="77777777" w:rsidR="009964D6" w:rsidRDefault="00E35E8B" w:rsidP="005B6FA7">
      <w:pPr>
        <w:spacing w:line="240" w:lineRule="auto"/>
        <w:sectPr w:rsidR="009964D6" w:rsidSect="00A64FBA">
          <w:footerReference w:type="even" r:id="rId11"/>
          <w:footerReference w:type="default" r:id="rId12"/>
          <w:pgSz w:w="12240" w:h="15840"/>
          <w:pgMar w:top="2160" w:right="2160" w:bottom="2160" w:left="2160" w:header="720" w:footer="720" w:gutter="0"/>
          <w:cols w:space="720"/>
          <w:titlePg/>
          <w:docGrid w:linePitch="381"/>
        </w:sectPr>
      </w:pPr>
      <w:r>
        <w:tab/>
      </w:r>
      <w:r>
        <w:tab/>
      </w:r>
      <w:r w:rsidR="00B24FE5">
        <w:t>SEGAL</w:t>
      </w:r>
      <w:r>
        <w:t>, J.</w:t>
      </w:r>
    </w:p>
    <w:p w14:paraId="66E54013" w14:textId="77777777" w:rsidR="009964D6" w:rsidRPr="0023599B" w:rsidRDefault="009964D6" w:rsidP="009964D6">
      <w:pPr>
        <w:spacing w:line="240" w:lineRule="auto"/>
        <w:rPr>
          <w:sz w:val="20"/>
          <w:szCs w:val="20"/>
        </w:rPr>
      </w:pPr>
      <w:r>
        <w:rPr>
          <w:sz w:val="20"/>
          <w:szCs w:val="20"/>
        </w:rPr>
        <w:lastRenderedPageBreak/>
        <w:t xml:space="preserve">Filed </w:t>
      </w:r>
      <w:proofErr w:type="gramStart"/>
      <w:r>
        <w:rPr>
          <w:sz w:val="20"/>
          <w:szCs w:val="20"/>
        </w:rPr>
        <w:t>6/12/24</w:t>
      </w:r>
      <w:proofErr w:type="gramEnd"/>
    </w:p>
    <w:p w14:paraId="03D7FD16" w14:textId="77777777" w:rsidR="009964D6" w:rsidRPr="00AF4C94" w:rsidRDefault="009964D6" w:rsidP="009964D6">
      <w:pPr>
        <w:spacing w:line="240" w:lineRule="auto"/>
        <w:jc w:val="center"/>
        <w:rPr>
          <w:b/>
          <w:szCs w:val="26"/>
        </w:rPr>
      </w:pPr>
      <w:r w:rsidRPr="00AF4C94">
        <w:rPr>
          <w:b/>
          <w:szCs w:val="26"/>
        </w:rPr>
        <w:t>CERTIFIED FOR PUBLICATION</w:t>
      </w:r>
    </w:p>
    <w:p w14:paraId="1014E2DA" w14:textId="77777777" w:rsidR="009964D6" w:rsidRPr="00AF4C94" w:rsidRDefault="009964D6" w:rsidP="009964D6">
      <w:pPr>
        <w:spacing w:line="240" w:lineRule="auto"/>
        <w:rPr>
          <w:szCs w:val="26"/>
        </w:rPr>
      </w:pPr>
    </w:p>
    <w:p w14:paraId="0C4F7EF8" w14:textId="77777777" w:rsidR="009964D6" w:rsidRPr="00AF4C94" w:rsidRDefault="009964D6" w:rsidP="009964D6">
      <w:pPr>
        <w:spacing w:line="240" w:lineRule="auto"/>
        <w:jc w:val="center"/>
        <w:rPr>
          <w:szCs w:val="26"/>
        </w:rPr>
      </w:pPr>
      <w:r w:rsidRPr="00AF4C94">
        <w:rPr>
          <w:szCs w:val="26"/>
        </w:rPr>
        <w:t>IN THE COURT OF APPEAL OF THE STATE OF CALIFORNIA</w:t>
      </w:r>
    </w:p>
    <w:p w14:paraId="60C6A54B" w14:textId="77777777" w:rsidR="009964D6" w:rsidRPr="00AF4C94" w:rsidRDefault="009964D6" w:rsidP="009964D6">
      <w:pPr>
        <w:spacing w:line="240" w:lineRule="auto"/>
        <w:jc w:val="center"/>
        <w:rPr>
          <w:szCs w:val="26"/>
        </w:rPr>
      </w:pPr>
    </w:p>
    <w:p w14:paraId="3FC006BD" w14:textId="77777777" w:rsidR="009964D6" w:rsidRPr="00AF4C94" w:rsidRDefault="009964D6" w:rsidP="009964D6">
      <w:pPr>
        <w:spacing w:line="240" w:lineRule="auto"/>
        <w:jc w:val="center"/>
        <w:rPr>
          <w:szCs w:val="26"/>
        </w:rPr>
      </w:pPr>
      <w:r w:rsidRPr="00AF4C94">
        <w:rPr>
          <w:szCs w:val="26"/>
        </w:rPr>
        <w:t>SECOND APPELLATE DISTRICT</w:t>
      </w:r>
    </w:p>
    <w:p w14:paraId="44CF47FE" w14:textId="77777777" w:rsidR="009964D6" w:rsidRPr="00AF4C94" w:rsidRDefault="009964D6" w:rsidP="009964D6">
      <w:pPr>
        <w:spacing w:line="240" w:lineRule="auto"/>
        <w:jc w:val="center"/>
        <w:rPr>
          <w:szCs w:val="26"/>
        </w:rPr>
      </w:pPr>
    </w:p>
    <w:p w14:paraId="5F09B21D" w14:textId="77777777" w:rsidR="009964D6" w:rsidRDefault="009964D6" w:rsidP="009964D6">
      <w:pPr>
        <w:spacing w:line="240" w:lineRule="auto"/>
        <w:jc w:val="center"/>
        <w:rPr>
          <w:szCs w:val="26"/>
        </w:rPr>
      </w:pPr>
      <w:r w:rsidRPr="00AF4C94">
        <w:rPr>
          <w:szCs w:val="26"/>
        </w:rPr>
        <w:t>DIVISION SEVEN</w:t>
      </w:r>
    </w:p>
    <w:p w14:paraId="1202F062" w14:textId="77777777" w:rsidR="009964D6" w:rsidRDefault="009964D6" w:rsidP="009964D6">
      <w:pPr>
        <w:spacing w:line="240" w:lineRule="auto"/>
        <w:jc w:val="center"/>
        <w:rPr>
          <w:szCs w:val="26"/>
        </w:rPr>
      </w:pPr>
    </w:p>
    <w:p w14:paraId="15CC9E05" w14:textId="77777777" w:rsidR="009964D6" w:rsidRDefault="009964D6" w:rsidP="009964D6">
      <w:pPr>
        <w:spacing w:line="240" w:lineRule="auto"/>
        <w:jc w:val="center"/>
        <w:rPr>
          <w:szCs w:val="26"/>
        </w:rPr>
      </w:pPr>
    </w:p>
    <w:tbl>
      <w:tblPr>
        <w:tblW w:w="0" w:type="auto"/>
        <w:tblLayout w:type="fixed"/>
        <w:tblLook w:val="0000" w:firstRow="0" w:lastRow="0" w:firstColumn="0" w:lastColumn="0" w:noHBand="0" w:noVBand="0"/>
      </w:tblPr>
      <w:tblGrid>
        <w:gridCol w:w="4068"/>
        <w:gridCol w:w="4068"/>
      </w:tblGrid>
      <w:tr w:rsidR="009964D6" w14:paraId="11AF22EC" w14:textId="77777777" w:rsidTr="00AE35A5">
        <w:tc>
          <w:tcPr>
            <w:tcW w:w="4068" w:type="dxa"/>
            <w:tcBorders>
              <w:bottom w:val="single" w:sz="4" w:space="0" w:color="auto"/>
              <w:right w:val="single" w:sz="4" w:space="0" w:color="auto"/>
            </w:tcBorders>
            <w:shd w:val="clear" w:color="auto" w:fill="auto"/>
          </w:tcPr>
          <w:p w14:paraId="65D6E50E" w14:textId="77777777" w:rsidR="009964D6" w:rsidRDefault="009964D6" w:rsidP="00AE35A5">
            <w:pPr>
              <w:spacing w:line="240" w:lineRule="auto"/>
            </w:pPr>
            <w:r>
              <w:t>In re JOSE R., a Person Coming Under the Juvenile Court Law.</w:t>
            </w:r>
          </w:p>
        </w:tc>
        <w:tc>
          <w:tcPr>
            <w:tcW w:w="4068" w:type="dxa"/>
            <w:tcBorders>
              <w:left w:val="single" w:sz="4" w:space="0" w:color="auto"/>
            </w:tcBorders>
            <w:shd w:val="clear" w:color="auto" w:fill="auto"/>
          </w:tcPr>
          <w:p w14:paraId="001E2F9E" w14:textId="77777777" w:rsidR="009964D6" w:rsidRDefault="009964D6" w:rsidP="00AE35A5">
            <w:pPr>
              <w:spacing w:line="240" w:lineRule="auto"/>
            </w:pPr>
            <w:r>
              <w:t xml:space="preserve">      B326712</w:t>
            </w:r>
          </w:p>
          <w:p w14:paraId="21157899" w14:textId="77777777" w:rsidR="009964D6" w:rsidRDefault="009964D6" w:rsidP="00AE35A5">
            <w:pPr>
              <w:spacing w:line="240" w:lineRule="auto"/>
            </w:pPr>
            <w:r>
              <w:t xml:space="preserve">      (Los Angeles County</w:t>
            </w:r>
          </w:p>
          <w:p w14:paraId="4FC041E6" w14:textId="77777777" w:rsidR="009964D6" w:rsidRDefault="009964D6" w:rsidP="00AE35A5">
            <w:pPr>
              <w:spacing w:line="240" w:lineRule="auto"/>
            </w:pPr>
            <w:r>
              <w:t xml:space="preserve">      Super. Ct. No. YJ40891)</w:t>
            </w:r>
          </w:p>
          <w:p w14:paraId="1DAD0540" w14:textId="77777777" w:rsidR="009964D6" w:rsidRDefault="009964D6" w:rsidP="00AE35A5">
            <w:pPr>
              <w:spacing w:line="240" w:lineRule="auto"/>
            </w:pPr>
          </w:p>
        </w:tc>
      </w:tr>
      <w:tr w:rsidR="009964D6" w14:paraId="2964971D" w14:textId="77777777" w:rsidTr="00AE35A5">
        <w:tc>
          <w:tcPr>
            <w:tcW w:w="4068" w:type="dxa"/>
            <w:tcBorders>
              <w:top w:val="single" w:sz="4" w:space="0" w:color="auto"/>
              <w:bottom w:val="single" w:sz="4" w:space="0" w:color="auto"/>
              <w:right w:val="single" w:sz="4" w:space="0" w:color="auto"/>
            </w:tcBorders>
            <w:shd w:val="clear" w:color="auto" w:fill="auto"/>
          </w:tcPr>
          <w:p w14:paraId="06DB73D5" w14:textId="77777777" w:rsidR="009964D6" w:rsidRDefault="009964D6" w:rsidP="00AE35A5">
            <w:pPr>
              <w:spacing w:line="240" w:lineRule="auto"/>
            </w:pPr>
          </w:p>
          <w:p w14:paraId="2BF7596B" w14:textId="77777777" w:rsidR="009964D6" w:rsidRDefault="009964D6" w:rsidP="00AE35A5">
            <w:pPr>
              <w:spacing w:line="240" w:lineRule="auto"/>
            </w:pPr>
            <w:r>
              <w:t>THE PEOPLE,</w:t>
            </w:r>
          </w:p>
          <w:p w14:paraId="4B2E29B3" w14:textId="77777777" w:rsidR="009964D6" w:rsidRDefault="009964D6" w:rsidP="00AE35A5">
            <w:pPr>
              <w:spacing w:line="240" w:lineRule="auto"/>
            </w:pPr>
          </w:p>
          <w:p w14:paraId="45028AF9" w14:textId="77777777" w:rsidR="009964D6" w:rsidRDefault="009964D6" w:rsidP="00AE35A5">
            <w:pPr>
              <w:spacing w:line="240" w:lineRule="auto"/>
            </w:pPr>
            <w:r>
              <w:tab/>
              <w:t>Plaintiff and Respondent,</w:t>
            </w:r>
          </w:p>
          <w:p w14:paraId="0D9A4F39" w14:textId="77777777" w:rsidR="009964D6" w:rsidRDefault="009964D6" w:rsidP="00AE35A5">
            <w:pPr>
              <w:spacing w:line="240" w:lineRule="auto"/>
            </w:pPr>
          </w:p>
          <w:p w14:paraId="73DDEC3C" w14:textId="77777777" w:rsidR="009964D6" w:rsidRDefault="009964D6" w:rsidP="00AE35A5">
            <w:pPr>
              <w:spacing w:line="240" w:lineRule="auto"/>
            </w:pPr>
            <w:r>
              <w:tab/>
              <w:t>v.</w:t>
            </w:r>
          </w:p>
          <w:p w14:paraId="23BCB249" w14:textId="77777777" w:rsidR="009964D6" w:rsidRDefault="009964D6" w:rsidP="00AE35A5">
            <w:pPr>
              <w:spacing w:line="240" w:lineRule="auto"/>
            </w:pPr>
          </w:p>
          <w:p w14:paraId="191050FF" w14:textId="77777777" w:rsidR="009964D6" w:rsidRDefault="009964D6" w:rsidP="00AE35A5">
            <w:pPr>
              <w:spacing w:line="240" w:lineRule="auto"/>
            </w:pPr>
            <w:r>
              <w:t>JOSE R.,</w:t>
            </w:r>
          </w:p>
          <w:p w14:paraId="21FFFC23" w14:textId="77777777" w:rsidR="009964D6" w:rsidRDefault="009964D6" w:rsidP="00AE35A5">
            <w:pPr>
              <w:spacing w:line="240" w:lineRule="auto"/>
            </w:pPr>
          </w:p>
          <w:p w14:paraId="747898B6" w14:textId="77777777" w:rsidR="009964D6" w:rsidRDefault="009964D6" w:rsidP="00AE35A5">
            <w:pPr>
              <w:spacing w:line="240" w:lineRule="auto"/>
            </w:pPr>
            <w:r>
              <w:tab/>
              <w:t>Defendant and Appellant.</w:t>
            </w:r>
          </w:p>
          <w:p w14:paraId="518781B1" w14:textId="77777777" w:rsidR="009964D6" w:rsidRDefault="009964D6" w:rsidP="00AE35A5">
            <w:pPr>
              <w:spacing w:line="240" w:lineRule="auto"/>
            </w:pPr>
          </w:p>
        </w:tc>
        <w:tc>
          <w:tcPr>
            <w:tcW w:w="4068" w:type="dxa"/>
            <w:tcBorders>
              <w:left w:val="single" w:sz="4" w:space="0" w:color="auto"/>
            </w:tcBorders>
            <w:shd w:val="clear" w:color="auto" w:fill="auto"/>
          </w:tcPr>
          <w:p w14:paraId="56873BA4" w14:textId="77777777" w:rsidR="009964D6" w:rsidRDefault="009964D6" w:rsidP="00AE35A5">
            <w:pPr>
              <w:spacing w:line="240" w:lineRule="auto"/>
              <w:rPr>
                <w:szCs w:val="26"/>
              </w:rPr>
            </w:pPr>
            <w:r>
              <w:rPr>
                <w:szCs w:val="26"/>
              </w:rPr>
              <w:t xml:space="preserve">      ORDER MODIFYING  </w:t>
            </w:r>
          </w:p>
          <w:p w14:paraId="1D07E257" w14:textId="77777777" w:rsidR="009964D6" w:rsidRDefault="009964D6" w:rsidP="00AE35A5">
            <w:pPr>
              <w:spacing w:line="240" w:lineRule="auto"/>
              <w:rPr>
                <w:szCs w:val="26"/>
              </w:rPr>
            </w:pPr>
            <w:r>
              <w:rPr>
                <w:szCs w:val="26"/>
              </w:rPr>
              <w:t xml:space="preserve">      OPINION AND</w:t>
            </w:r>
          </w:p>
          <w:p w14:paraId="5282DC53" w14:textId="77777777" w:rsidR="009964D6" w:rsidRDefault="009964D6" w:rsidP="00AE35A5">
            <w:pPr>
              <w:spacing w:line="240" w:lineRule="auto"/>
              <w:rPr>
                <w:szCs w:val="26"/>
              </w:rPr>
            </w:pPr>
            <w:r>
              <w:rPr>
                <w:szCs w:val="26"/>
              </w:rPr>
              <w:t xml:space="preserve">      CERTIFYING   </w:t>
            </w:r>
          </w:p>
          <w:p w14:paraId="014B4941" w14:textId="77777777" w:rsidR="009964D6" w:rsidRDefault="009964D6" w:rsidP="00AE35A5">
            <w:pPr>
              <w:spacing w:line="240" w:lineRule="auto"/>
              <w:rPr>
                <w:szCs w:val="26"/>
              </w:rPr>
            </w:pPr>
            <w:r>
              <w:rPr>
                <w:szCs w:val="26"/>
              </w:rPr>
              <w:t xml:space="preserve">      OPINION FOR  </w:t>
            </w:r>
          </w:p>
          <w:p w14:paraId="4045E1B5" w14:textId="77777777" w:rsidR="009964D6" w:rsidRDefault="009964D6" w:rsidP="00AE35A5">
            <w:pPr>
              <w:spacing w:line="240" w:lineRule="auto"/>
              <w:rPr>
                <w:szCs w:val="26"/>
              </w:rPr>
            </w:pPr>
            <w:r>
              <w:rPr>
                <w:szCs w:val="26"/>
              </w:rPr>
              <w:t xml:space="preserve">      PUBLICATION  </w:t>
            </w:r>
          </w:p>
          <w:p w14:paraId="53F0C534" w14:textId="77777777" w:rsidR="009964D6" w:rsidRDefault="009964D6" w:rsidP="00AE35A5">
            <w:pPr>
              <w:spacing w:line="240" w:lineRule="auto"/>
              <w:rPr>
                <w:szCs w:val="26"/>
              </w:rPr>
            </w:pPr>
            <w:r>
              <w:rPr>
                <w:szCs w:val="26"/>
              </w:rPr>
              <w:t xml:space="preserve">      (NO CHANGE IN </w:t>
            </w:r>
          </w:p>
          <w:p w14:paraId="56CA4923" w14:textId="77777777" w:rsidR="009964D6" w:rsidRDefault="009964D6" w:rsidP="00AE35A5">
            <w:pPr>
              <w:spacing w:line="240" w:lineRule="auto"/>
            </w:pPr>
            <w:r>
              <w:rPr>
                <w:szCs w:val="26"/>
              </w:rPr>
              <w:t xml:space="preserve">      APPELLATE JUDGMENT)</w:t>
            </w:r>
          </w:p>
        </w:tc>
      </w:tr>
    </w:tbl>
    <w:p w14:paraId="1305ED62" w14:textId="77777777" w:rsidR="009964D6" w:rsidRDefault="009964D6" w:rsidP="009964D6">
      <w:pPr>
        <w:spacing w:line="240" w:lineRule="auto"/>
        <w:jc w:val="center"/>
        <w:rPr>
          <w:szCs w:val="26"/>
        </w:rPr>
      </w:pPr>
    </w:p>
    <w:p w14:paraId="657084C4" w14:textId="77777777" w:rsidR="009964D6" w:rsidRPr="00AF4C94" w:rsidRDefault="009964D6" w:rsidP="009964D6">
      <w:pPr>
        <w:spacing w:line="360" w:lineRule="auto"/>
        <w:rPr>
          <w:szCs w:val="26"/>
        </w:rPr>
      </w:pPr>
    </w:p>
    <w:p w14:paraId="28A24DF0" w14:textId="77777777" w:rsidR="009964D6" w:rsidRPr="00AF4C94" w:rsidRDefault="009964D6" w:rsidP="009964D6">
      <w:pPr>
        <w:spacing w:line="24" w:lineRule="atLeast"/>
        <w:rPr>
          <w:szCs w:val="26"/>
        </w:rPr>
      </w:pPr>
      <w:r w:rsidRPr="00AF4C94">
        <w:rPr>
          <w:szCs w:val="26"/>
        </w:rPr>
        <w:t>THE COURT:</w:t>
      </w:r>
    </w:p>
    <w:p w14:paraId="7594B7E4" w14:textId="77777777" w:rsidR="009964D6" w:rsidRPr="00AF4C94" w:rsidRDefault="009964D6" w:rsidP="009964D6">
      <w:pPr>
        <w:spacing w:line="24" w:lineRule="atLeast"/>
        <w:rPr>
          <w:szCs w:val="26"/>
        </w:rPr>
      </w:pPr>
    </w:p>
    <w:p w14:paraId="655F9F82" w14:textId="77777777" w:rsidR="009964D6" w:rsidRDefault="009964D6" w:rsidP="009964D6">
      <w:pPr>
        <w:widowControl w:val="0"/>
        <w:rPr>
          <w:szCs w:val="26"/>
        </w:rPr>
      </w:pPr>
      <w:r w:rsidRPr="00AF4C94">
        <w:rPr>
          <w:szCs w:val="26"/>
        </w:rPr>
        <w:tab/>
      </w:r>
      <w:r w:rsidRPr="003D7F37">
        <w:rPr>
          <w:szCs w:val="26"/>
        </w:rPr>
        <w:t xml:space="preserve">The above-entitled opinion filed on May 15, </w:t>
      </w:r>
      <w:proofErr w:type="gramStart"/>
      <w:r w:rsidRPr="003D7F37">
        <w:rPr>
          <w:szCs w:val="26"/>
        </w:rPr>
        <w:t>2024</w:t>
      </w:r>
      <w:proofErr w:type="gramEnd"/>
      <w:r w:rsidRPr="003D7F37">
        <w:rPr>
          <w:szCs w:val="26"/>
        </w:rPr>
        <w:t xml:space="preserve"> is modified as follows:</w:t>
      </w:r>
    </w:p>
    <w:p w14:paraId="20773DD5" w14:textId="77777777" w:rsidR="009964D6" w:rsidRDefault="009964D6" w:rsidP="009964D6">
      <w:pPr>
        <w:widowControl w:val="0"/>
      </w:pPr>
      <w:r>
        <w:rPr>
          <w:szCs w:val="26"/>
        </w:rPr>
        <w:br w:type="column"/>
      </w:r>
      <w:r w:rsidRPr="003D7F37">
        <w:rPr>
          <w:szCs w:val="26"/>
        </w:rPr>
        <w:lastRenderedPageBreak/>
        <w:tab/>
      </w:r>
      <w:r>
        <w:rPr>
          <w:szCs w:val="26"/>
        </w:rPr>
        <w:t>In the first paragraph of page 2, delete the second to last sentence that reads, “Jose contends on appeal the court erred in applying his precommitment custody credits to his maximum term instead of his baseline term,” and replace it with:</w:t>
      </w:r>
      <w:r>
        <w:t xml:space="preserve"> </w:t>
      </w:r>
    </w:p>
    <w:p w14:paraId="198BD4AC" w14:textId="77777777" w:rsidR="009964D6" w:rsidRDefault="009964D6" w:rsidP="009964D6">
      <w:pPr>
        <w:ind w:firstLine="720"/>
        <w:rPr>
          <w:szCs w:val="26"/>
        </w:rPr>
      </w:pPr>
    </w:p>
    <w:p w14:paraId="246A781E" w14:textId="77777777" w:rsidR="009964D6" w:rsidRPr="00DA12E9" w:rsidRDefault="009964D6" w:rsidP="009964D6">
      <w:pPr>
        <w:ind w:left="720" w:right="720"/>
        <w:rPr>
          <w:szCs w:val="26"/>
        </w:rPr>
      </w:pPr>
      <w:r w:rsidRPr="004D074B">
        <w:rPr>
          <w:szCs w:val="26"/>
        </w:rPr>
        <w:t>Jose contends on appeal the court erred in applying his precommitment custody credits to his maximum term under section 875, subdivision (c)(1)(C)</w:t>
      </w:r>
      <w:r>
        <w:rPr>
          <w:szCs w:val="26"/>
        </w:rPr>
        <w:t>,</w:t>
      </w:r>
      <w:r w:rsidRPr="004D074B">
        <w:rPr>
          <w:szCs w:val="26"/>
        </w:rPr>
        <w:t xml:space="preserve"> instead of his baseline term under section 875, subdivision (b)(1).  However, the Legislature has made clear in the statutory language that juvenile courts must apply precommitment custody credits to the maximum term of confinement.  Further, the legislative scheme does not violate Jose’s right to equal protection of the laws</w:t>
      </w:r>
      <w:r w:rsidRPr="00DA12E9">
        <w:rPr>
          <w:szCs w:val="26"/>
        </w:rPr>
        <w:t xml:space="preserve">.  </w:t>
      </w:r>
    </w:p>
    <w:p w14:paraId="238EE221" w14:textId="77777777" w:rsidR="009964D6" w:rsidRPr="003D7F37" w:rsidRDefault="009964D6" w:rsidP="009964D6">
      <w:pPr>
        <w:ind w:left="720" w:right="720"/>
        <w:rPr>
          <w:szCs w:val="26"/>
        </w:rPr>
      </w:pPr>
    </w:p>
    <w:p w14:paraId="3B85CD8D" w14:textId="77777777" w:rsidR="009964D6" w:rsidRDefault="009964D6" w:rsidP="009964D6">
      <w:pPr>
        <w:rPr>
          <w:szCs w:val="26"/>
        </w:rPr>
      </w:pPr>
      <w:r w:rsidRPr="003D7F37">
        <w:rPr>
          <w:szCs w:val="26"/>
        </w:rPr>
        <w:tab/>
      </w:r>
      <w:r w:rsidRPr="00AF4C94">
        <w:rPr>
          <w:szCs w:val="26"/>
        </w:rPr>
        <w:t xml:space="preserve">The opinion was not certified for publication.  It </w:t>
      </w:r>
      <w:r>
        <w:rPr>
          <w:szCs w:val="26"/>
        </w:rPr>
        <w:t xml:space="preserve">now </w:t>
      </w:r>
      <w:r w:rsidRPr="00AF4C94">
        <w:rPr>
          <w:szCs w:val="26"/>
        </w:rPr>
        <w:t>appear</w:t>
      </w:r>
      <w:r>
        <w:rPr>
          <w:szCs w:val="26"/>
        </w:rPr>
        <w:t>s</w:t>
      </w:r>
      <w:r w:rsidRPr="00AF4C94">
        <w:rPr>
          <w:szCs w:val="26"/>
        </w:rPr>
        <w:t xml:space="preserve"> the opinion meets the standards for publication specified in California Rules of Court, rule 8.1105(c).</w:t>
      </w:r>
    </w:p>
    <w:p w14:paraId="172B7198" w14:textId="77777777" w:rsidR="009964D6" w:rsidRPr="00AF4C94" w:rsidRDefault="009964D6" w:rsidP="009964D6">
      <w:pPr>
        <w:rPr>
          <w:szCs w:val="26"/>
        </w:rPr>
      </w:pPr>
    </w:p>
    <w:p w14:paraId="78B17FC0" w14:textId="77777777" w:rsidR="009964D6" w:rsidRPr="00AF4C94" w:rsidRDefault="009964D6" w:rsidP="009964D6">
      <w:pPr>
        <w:spacing w:after="240"/>
        <w:rPr>
          <w:szCs w:val="26"/>
        </w:rPr>
      </w:pPr>
      <w:r w:rsidRPr="00AF4C94">
        <w:rPr>
          <w:szCs w:val="26"/>
        </w:rPr>
        <w:tab/>
        <w:t>IT IS HEREBY CERTIFIED that the opinion meets the standards for publication specified in California Rules of Court, rule 8.1105(c); and</w:t>
      </w:r>
    </w:p>
    <w:p w14:paraId="4C7ED70B" w14:textId="77777777" w:rsidR="009964D6" w:rsidRDefault="009964D6" w:rsidP="009964D6">
      <w:pPr>
        <w:rPr>
          <w:szCs w:val="26"/>
        </w:rPr>
      </w:pPr>
      <w:r w:rsidRPr="00AF4C94">
        <w:rPr>
          <w:szCs w:val="26"/>
        </w:rPr>
        <w:tab/>
        <w:t>ORDERED that the words “Not to be Published in the Official Reports” appearing on page 1 of said opinion be deleted and the opinion herein be published in the Official Reports.</w:t>
      </w:r>
    </w:p>
    <w:p w14:paraId="390CA939" w14:textId="77777777" w:rsidR="009964D6" w:rsidRDefault="009964D6" w:rsidP="009964D6">
      <w:pPr>
        <w:spacing w:after="200" w:line="276" w:lineRule="auto"/>
        <w:rPr>
          <w:szCs w:val="26"/>
        </w:rPr>
      </w:pPr>
      <w:r>
        <w:rPr>
          <w:szCs w:val="26"/>
        </w:rPr>
        <w:br w:type="page"/>
      </w:r>
    </w:p>
    <w:p w14:paraId="35C4BC96" w14:textId="77777777" w:rsidR="009964D6" w:rsidRPr="00AF4C94" w:rsidRDefault="009964D6" w:rsidP="009964D6">
      <w:pPr>
        <w:pStyle w:val="FootnoteText"/>
        <w:spacing w:line="24" w:lineRule="atLeast"/>
        <w:ind w:firstLine="720"/>
        <w:rPr>
          <w:szCs w:val="26"/>
        </w:rPr>
      </w:pPr>
      <w:r w:rsidRPr="00AF4C94">
        <w:rPr>
          <w:szCs w:val="26"/>
        </w:rPr>
        <w:lastRenderedPageBreak/>
        <w:t>Th</w:t>
      </w:r>
      <w:r>
        <w:rPr>
          <w:szCs w:val="26"/>
        </w:rPr>
        <w:t xml:space="preserve">ere is no change in </w:t>
      </w:r>
      <w:r w:rsidRPr="00AF4C94">
        <w:rPr>
          <w:szCs w:val="26"/>
        </w:rPr>
        <w:t>the appellate judgment.</w:t>
      </w:r>
    </w:p>
    <w:p w14:paraId="578387E7" w14:textId="77777777" w:rsidR="009964D6" w:rsidRDefault="009964D6" w:rsidP="009964D6">
      <w:pPr>
        <w:pBdr>
          <w:bottom w:val="single" w:sz="12" w:space="1" w:color="auto"/>
        </w:pBdr>
        <w:spacing w:line="24" w:lineRule="atLeast"/>
        <w:rPr>
          <w:szCs w:val="26"/>
        </w:rPr>
      </w:pPr>
    </w:p>
    <w:p w14:paraId="6C0198B5" w14:textId="77777777" w:rsidR="009964D6" w:rsidRPr="00AF4C94" w:rsidRDefault="009964D6" w:rsidP="009964D6">
      <w:pPr>
        <w:pBdr>
          <w:bottom w:val="single" w:sz="12" w:space="1" w:color="auto"/>
        </w:pBdr>
        <w:spacing w:line="24" w:lineRule="atLeast"/>
        <w:rPr>
          <w:szCs w:val="26"/>
        </w:rPr>
      </w:pPr>
    </w:p>
    <w:p w14:paraId="144C5842" w14:textId="77777777" w:rsidR="009964D6" w:rsidRPr="00AF4C94" w:rsidRDefault="009964D6" w:rsidP="009964D6">
      <w:pPr>
        <w:pBdr>
          <w:bottom w:val="single" w:sz="12" w:space="1" w:color="auto"/>
        </w:pBdr>
        <w:spacing w:line="24" w:lineRule="atLeast"/>
        <w:rPr>
          <w:szCs w:val="26"/>
        </w:rPr>
      </w:pPr>
    </w:p>
    <w:p w14:paraId="4FE2A33C" w14:textId="77777777" w:rsidR="009964D6" w:rsidRPr="00AF4C94" w:rsidRDefault="009964D6" w:rsidP="009964D6">
      <w:pPr>
        <w:pBdr>
          <w:bottom w:val="single" w:sz="12" w:space="1" w:color="auto"/>
        </w:pBdr>
        <w:spacing w:line="24" w:lineRule="atLeast"/>
        <w:rPr>
          <w:szCs w:val="26"/>
        </w:rPr>
      </w:pPr>
    </w:p>
    <w:p w14:paraId="449D04AC" w14:textId="77777777" w:rsidR="009964D6" w:rsidRPr="00AF4C94" w:rsidRDefault="009964D6" w:rsidP="009964D6">
      <w:pPr>
        <w:spacing w:line="24" w:lineRule="atLeast"/>
        <w:rPr>
          <w:szCs w:val="26"/>
        </w:rPr>
      </w:pPr>
      <w:r>
        <w:rPr>
          <w:szCs w:val="26"/>
        </w:rPr>
        <w:t>MARTINEZ</w:t>
      </w:r>
      <w:r w:rsidRPr="00AF4C94">
        <w:rPr>
          <w:szCs w:val="26"/>
        </w:rPr>
        <w:t xml:space="preserve">, P. J.              </w:t>
      </w:r>
      <w:r>
        <w:rPr>
          <w:szCs w:val="26"/>
        </w:rPr>
        <w:t xml:space="preserve">   </w:t>
      </w:r>
      <w:r w:rsidRPr="00AF4C94">
        <w:rPr>
          <w:szCs w:val="26"/>
        </w:rPr>
        <w:t xml:space="preserve">  </w:t>
      </w:r>
      <w:r>
        <w:rPr>
          <w:szCs w:val="26"/>
        </w:rPr>
        <w:t>SEGAL</w:t>
      </w:r>
      <w:r w:rsidRPr="00AF4C94">
        <w:rPr>
          <w:szCs w:val="26"/>
        </w:rPr>
        <w:t>, J.</w:t>
      </w:r>
      <w:r w:rsidRPr="00AF4C94">
        <w:rPr>
          <w:szCs w:val="26"/>
        </w:rPr>
        <w:tab/>
        <w:t xml:space="preserve">      </w:t>
      </w:r>
      <w:r>
        <w:rPr>
          <w:szCs w:val="26"/>
        </w:rPr>
        <w:t xml:space="preserve">   </w:t>
      </w:r>
      <w:r w:rsidRPr="00AF4C94">
        <w:rPr>
          <w:szCs w:val="26"/>
        </w:rPr>
        <w:t xml:space="preserve">           </w:t>
      </w:r>
      <w:r>
        <w:rPr>
          <w:szCs w:val="26"/>
        </w:rPr>
        <w:t>FEUER</w:t>
      </w:r>
      <w:r w:rsidRPr="00AF4C94">
        <w:rPr>
          <w:szCs w:val="26"/>
        </w:rPr>
        <w:t>, J.</w:t>
      </w:r>
    </w:p>
    <w:p w14:paraId="5627A6AE" w14:textId="2DEC44A8" w:rsidR="006C7277" w:rsidRDefault="006C7277" w:rsidP="005B6FA7">
      <w:pPr>
        <w:spacing w:line="240" w:lineRule="auto"/>
      </w:pPr>
    </w:p>
    <w:sectPr w:rsidR="006C7277" w:rsidSect="009964D6">
      <w:headerReference w:type="even" r:id="rId13"/>
      <w:headerReference w:type="default" r:id="rId14"/>
      <w:footerReference w:type="even" r:id="rId15"/>
      <w:footerReference w:type="default" r:id="rId16"/>
      <w:headerReference w:type="first" r:id="rId17"/>
      <w:footerReference w:type="first" r:id="rId18"/>
      <w:pgSz w:w="12240" w:h="15840" w:code="1"/>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6FD1" w14:textId="77777777" w:rsidR="00E35E8B" w:rsidRDefault="00E35E8B">
      <w:pPr>
        <w:spacing w:line="240" w:lineRule="auto"/>
      </w:pPr>
      <w:r>
        <w:separator/>
      </w:r>
    </w:p>
  </w:endnote>
  <w:endnote w:type="continuationSeparator" w:id="0">
    <w:p w14:paraId="2766D56E" w14:textId="77777777" w:rsidR="00E35E8B" w:rsidRDefault="00E35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C2A5" w14:textId="042C3614" w:rsidR="00353CAE" w:rsidRDefault="00E35E8B" w:rsidP="00AB0E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940483">
      <w:rPr>
        <w:rStyle w:val="PageNumber"/>
      </w:rPr>
      <w:fldChar w:fldCharType="separate"/>
    </w:r>
    <w:r w:rsidR="009964D6">
      <w:rPr>
        <w:rStyle w:val="PageNumber"/>
        <w:noProof/>
      </w:rPr>
      <w:t>13</w:t>
    </w:r>
    <w:r>
      <w:rPr>
        <w:rStyle w:val="PageNumber"/>
      </w:rPr>
      <w:fldChar w:fldCharType="end"/>
    </w:r>
  </w:p>
  <w:p w14:paraId="21B218A6" w14:textId="77777777" w:rsidR="00353CAE" w:rsidRDefault="00353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F6DB" w14:textId="63A9745C" w:rsidR="00353CAE" w:rsidRDefault="00E35E8B" w:rsidP="00AB0E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916DE9" w14:textId="77777777" w:rsidR="00353CAE" w:rsidRDefault="0035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5338" w14:textId="77777777" w:rsidR="00940483" w:rsidRDefault="009404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48564"/>
      <w:docPartObj>
        <w:docPartGallery w:val="Page Numbers (Bottom of Page)"/>
        <w:docPartUnique/>
      </w:docPartObj>
    </w:sdtPr>
    <w:sdtEndPr>
      <w:rPr>
        <w:noProof/>
      </w:rPr>
    </w:sdtEndPr>
    <w:sdtContent>
      <w:p w14:paraId="62FE2748" w14:textId="77777777" w:rsidR="00940483" w:rsidRDefault="009404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5D524" w14:textId="77777777" w:rsidR="00940483" w:rsidRDefault="009404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C203" w14:textId="77777777" w:rsidR="00940483" w:rsidRDefault="0094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4277" w14:textId="77777777" w:rsidR="00BB3F9E" w:rsidRDefault="00E35E8B" w:rsidP="00353CAE">
      <w:pPr>
        <w:spacing w:line="240" w:lineRule="auto"/>
      </w:pPr>
      <w:r>
        <w:separator/>
      </w:r>
    </w:p>
  </w:footnote>
  <w:footnote w:type="continuationSeparator" w:id="0">
    <w:p w14:paraId="0BE69A6A" w14:textId="77777777" w:rsidR="00BB3F9E" w:rsidRDefault="00E35E8B" w:rsidP="00353CAE">
      <w:pPr>
        <w:spacing w:line="240" w:lineRule="auto"/>
      </w:pPr>
      <w:r>
        <w:continuationSeparator/>
      </w:r>
    </w:p>
  </w:footnote>
  <w:footnote w:id="1">
    <w:p w14:paraId="5BA4A735" w14:textId="0A80ACAB" w:rsidR="003264E5" w:rsidRDefault="00E35E8B" w:rsidP="003264E5">
      <w:pPr>
        <w:pStyle w:val="FootnoteText"/>
      </w:pPr>
      <w:r>
        <w:rPr>
          <w:rStyle w:val="FootnoteReference"/>
        </w:rPr>
        <w:footnoteRef/>
      </w:r>
      <w:r>
        <w:t xml:space="preserve"> </w:t>
      </w:r>
      <w:r>
        <w:tab/>
        <w:t>Welfare and Institutions Code section</w:t>
      </w:r>
      <w:r w:rsidR="00396044">
        <w:t> </w:t>
      </w:r>
      <w:r>
        <w:t>602, subdivision</w:t>
      </w:r>
      <w:r w:rsidR="00EC7830">
        <w:t> </w:t>
      </w:r>
      <w:r>
        <w:t>(a), states, “</w:t>
      </w:r>
      <w:r w:rsidRPr="00CD1725">
        <w:t>Except as provided in Section</w:t>
      </w:r>
      <w:r w:rsidR="00EC7830">
        <w:t> </w:t>
      </w:r>
      <w:r w:rsidRPr="00CD1725">
        <w:t>707, any minor who is between 12 years of age and 17 years of age, inclusive, when he or she violates any law of this state or of the United States or any ordinance of any city or county of this state defining crime other than an ordinance establishing a curfew based solely on age, is within the jurisdiction of the juvenile court, which may adjudge the minor to be a ward of the court.</w:t>
      </w:r>
      <w:r>
        <w:t xml:space="preserve">”  Further </w:t>
      </w:r>
      <w:r w:rsidRPr="00396044">
        <w:t>undesignated</w:t>
      </w:r>
      <w:r>
        <w:t xml:space="preserve"> statutory references are to the Welfare and Institutions Code.</w:t>
      </w:r>
    </w:p>
  </w:footnote>
  <w:footnote w:id="2">
    <w:p w14:paraId="2C6FDB93" w14:textId="70E0C276" w:rsidR="00BF7C40" w:rsidRDefault="00E35E8B" w:rsidP="00B14B6E">
      <w:pPr>
        <w:pStyle w:val="FootnoteText"/>
      </w:pPr>
      <w:r>
        <w:rPr>
          <w:rStyle w:val="FootnoteReference"/>
        </w:rPr>
        <w:footnoteRef/>
      </w:r>
      <w:r>
        <w:t xml:space="preserve"> </w:t>
      </w:r>
      <w:r>
        <w:tab/>
      </w:r>
      <w:r w:rsidR="00B14B6E">
        <w:t xml:space="preserve">A </w:t>
      </w:r>
      <w:r w:rsidR="000B51CB">
        <w:t>minor</w:t>
      </w:r>
      <w:r w:rsidR="00B14B6E">
        <w:t xml:space="preserve"> found to be a ward of the court may be sentenced to SYTF if the </w:t>
      </w:r>
      <w:r w:rsidR="00965865">
        <w:t xml:space="preserve">minor </w:t>
      </w:r>
      <w:r w:rsidR="00B14B6E">
        <w:t>was found to have committed an offense listed in section</w:t>
      </w:r>
      <w:r w:rsidR="00EE3465">
        <w:t> </w:t>
      </w:r>
      <w:r w:rsidR="00B14B6E">
        <w:t>707, subd</w:t>
      </w:r>
      <w:r w:rsidR="00CD4994">
        <w:t>ivision</w:t>
      </w:r>
      <w:r w:rsidR="00EE3465">
        <w:t> </w:t>
      </w:r>
      <w:r w:rsidR="00B14B6E">
        <w:t>(b); was 14</w:t>
      </w:r>
      <w:r w:rsidR="001A163A">
        <w:t> </w:t>
      </w:r>
      <w:r w:rsidR="00B14B6E">
        <w:t xml:space="preserve">years old or older at the time of the offense; </w:t>
      </w:r>
      <w:r w:rsidR="00E039E3" w:rsidRPr="00E039E3">
        <w:t>the section 707, subd</w:t>
      </w:r>
      <w:r w:rsidR="00CD4994">
        <w:t>ivision</w:t>
      </w:r>
      <w:r w:rsidR="00E039E3" w:rsidRPr="00E039E3">
        <w:t xml:space="preserve"> </w:t>
      </w:r>
      <w:r w:rsidR="00CD4994">
        <w:t>(b)</w:t>
      </w:r>
      <w:r w:rsidR="00E039E3" w:rsidRPr="00E039E3">
        <w:t xml:space="preserve">, offense is the most recent offense for which the </w:t>
      </w:r>
      <w:r w:rsidR="000B51CB">
        <w:t>minor</w:t>
      </w:r>
      <w:r w:rsidR="00E039E3" w:rsidRPr="00E039E3">
        <w:t xml:space="preserve"> has been adjudicated</w:t>
      </w:r>
      <w:r w:rsidR="00B14B6E">
        <w:t>; and the court has made a finding that a less restrictive, alternative disposition for the ward is unsuitable based on enumerated criteria.  (§</w:t>
      </w:r>
      <w:r w:rsidR="00EE3465">
        <w:t> </w:t>
      </w:r>
      <w:r w:rsidR="00B14B6E">
        <w:t>875, subd.</w:t>
      </w:r>
      <w:r w:rsidR="00EE3465">
        <w:t> </w:t>
      </w:r>
      <w:r w:rsidR="00B14B6E">
        <w:t>(a).)</w:t>
      </w:r>
    </w:p>
  </w:footnote>
  <w:footnote w:id="3">
    <w:p w14:paraId="6C235F86" w14:textId="65027DAE" w:rsidR="00377EA3" w:rsidRDefault="00E35E8B" w:rsidP="0095025D">
      <w:pPr>
        <w:pStyle w:val="FootnoteText"/>
      </w:pPr>
      <w:r>
        <w:rPr>
          <w:rStyle w:val="FootnoteReference"/>
        </w:rPr>
        <w:footnoteRef/>
      </w:r>
      <w:r>
        <w:t xml:space="preserve"> </w:t>
      </w:r>
      <w:r>
        <w:tab/>
        <w:t>Section</w:t>
      </w:r>
      <w:r w:rsidR="00EE3465">
        <w:t> </w:t>
      </w:r>
      <w:r>
        <w:t>726, subdivision</w:t>
      </w:r>
      <w:r w:rsidR="00EE3465">
        <w:t> </w:t>
      </w:r>
      <w:r>
        <w:t>(d)</w:t>
      </w:r>
      <w:r w:rsidR="00EE18FB">
        <w:t>(2)</w:t>
      </w:r>
      <w:r w:rsidR="00184D39">
        <w:t>,</w:t>
      </w:r>
      <w:r>
        <w:t xml:space="preserve"> </w:t>
      </w:r>
      <w:r w:rsidR="00184D39">
        <w:t>provide</w:t>
      </w:r>
      <w:r w:rsidR="00213CC8">
        <w:t>s</w:t>
      </w:r>
      <w:r w:rsidR="00EE18FB">
        <w:t xml:space="preserve"> further</w:t>
      </w:r>
      <w:r w:rsidR="004E034F">
        <w:t xml:space="preserve"> that “[a]</w:t>
      </w:r>
      <w:r w:rsidR="0095025D">
        <w:t>s used in this section and in Section</w:t>
      </w:r>
      <w:r w:rsidR="00EE3465">
        <w:t> </w:t>
      </w:r>
      <w:r w:rsidR="0095025D">
        <w:t>731, ‘maximum term of imprisonment’ means the middle of the three time periods set forth in paragraph</w:t>
      </w:r>
      <w:r w:rsidR="00EE3465">
        <w:t> </w:t>
      </w:r>
      <w:r w:rsidR="0095025D">
        <w:t>(3) of subdivision</w:t>
      </w:r>
      <w:r w:rsidR="00EE3465">
        <w:t> </w:t>
      </w:r>
      <w:r w:rsidR="0095025D">
        <w:t>(a) of Section</w:t>
      </w:r>
      <w:r w:rsidR="00EE3465">
        <w:t> </w:t>
      </w:r>
      <w:r w:rsidR="0095025D">
        <w:t>1170 of the Penal Code, but without the need to follow the provisions of subdivision</w:t>
      </w:r>
      <w:r w:rsidR="001A163A">
        <w:t> </w:t>
      </w:r>
      <w:r w:rsidR="0095025D">
        <w:t>(b) of Section</w:t>
      </w:r>
      <w:r w:rsidR="001A163A">
        <w:t> </w:t>
      </w:r>
      <w:r w:rsidR="0095025D">
        <w:t>1170 of the Penal Code or to consider time for good behavior or participation pursuant to Sections</w:t>
      </w:r>
      <w:r w:rsidR="001A163A">
        <w:t> </w:t>
      </w:r>
      <w:r w:rsidR="0095025D">
        <w:t>2930, 2931, and 2932 of the Penal Code, plus enhancements which must be proven if pled.”</w:t>
      </w:r>
    </w:p>
  </w:footnote>
  <w:footnote w:id="4">
    <w:p w14:paraId="0461DAEF" w14:textId="5220A4AC" w:rsidR="00086C59" w:rsidRPr="00086C59" w:rsidRDefault="00E35E8B" w:rsidP="00086C59">
      <w:pPr>
        <w:pStyle w:val="FootnoteText"/>
      </w:pPr>
      <w:r>
        <w:rPr>
          <w:rStyle w:val="FootnoteReference"/>
        </w:rPr>
        <w:footnoteRef/>
      </w:r>
      <w:r>
        <w:t xml:space="preserve"> </w:t>
      </w:r>
      <w:r>
        <w:tab/>
        <w:t>Section</w:t>
      </w:r>
      <w:r w:rsidR="001A163A">
        <w:t> </w:t>
      </w:r>
      <w:r>
        <w:t>875, subdivision</w:t>
      </w:r>
      <w:r w:rsidR="00947501">
        <w:t>s</w:t>
      </w:r>
      <w:r w:rsidR="001A163A">
        <w:t> </w:t>
      </w:r>
      <w:r>
        <w:t>(b)(1)</w:t>
      </w:r>
      <w:r w:rsidR="00947501">
        <w:t xml:space="preserve"> and (h)</w:t>
      </w:r>
      <w:r>
        <w:t>, provide</w:t>
      </w:r>
      <w:r w:rsidR="003E3A4C">
        <w:t xml:space="preserve"> for </w:t>
      </w:r>
      <w:r w:rsidR="00947501">
        <w:t xml:space="preserve">the </w:t>
      </w:r>
      <w:r w:rsidR="003E3A4C">
        <w:t>development and approval by the Judicial Council of offense-based classifications to be used by juvenile courts</w:t>
      </w:r>
      <w:r w:rsidR="00480E2C">
        <w:t xml:space="preserve"> as guidelines for setting the baseline terms of confinement.</w:t>
      </w:r>
      <w:r w:rsidR="00515B30">
        <w:t xml:space="preserve">  </w:t>
      </w:r>
      <w:r w:rsidR="007476CF">
        <w:t>P</w:t>
      </w:r>
      <w:r w:rsidR="00A973C9">
        <w:t xml:space="preserve">ending </w:t>
      </w:r>
      <w:r w:rsidR="00A52935">
        <w:t xml:space="preserve">approval of Judicial Council guidelines, </w:t>
      </w:r>
      <w:r w:rsidR="007476CF" w:rsidRPr="007476CF">
        <w:t xml:space="preserve">subdivision (b)(1) </w:t>
      </w:r>
      <w:r w:rsidR="005132FF">
        <w:t xml:space="preserve">required </w:t>
      </w:r>
      <w:r w:rsidR="00AF114D" w:rsidRPr="00AF114D">
        <w:t xml:space="preserve">the court </w:t>
      </w:r>
      <w:r w:rsidR="007476CF">
        <w:t xml:space="preserve">to </w:t>
      </w:r>
      <w:r w:rsidR="00FF243B">
        <w:t>“</w:t>
      </w:r>
      <w:r w:rsidR="00AF114D" w:rsidRPr="00AF114D">
        <w:t xml:space="preserve">set a baseline term of confinement for the ward utilizing the discharge consideration date guidelines applied by </w:t>
      </w:r>
      <w:r w:rsidR="00FF243B">
        <w:t xml:space="preserve">[DJJ] </w:t>
      </w:r>
      <w:r w:rsidR="00AF114D" w:rsidRPr="00AF114D">
        <w:t>prior to its closure and as set forth in Sections 30807 to 30813, inclusive, of Title 9 of the California Code of Regulations</w:t>
      </w:r>
      <w:r w:rsidR="0076603F" w:rsidRPr="0076603F">
        <w:t>.</w:t>
      </w:r>
      <w:r w:rsidR="00AF114D">
        <w:t>”</w:t>
      </w:r>
      <w:r w:rsidR="006E2DB3">
        <w:t xml:space="preserve">  Under section 30809, subdiv</w:t>
      </w:r>
      <w:r w:rsidR="002B3C90">
        <w:t>i</w:t>
      </w:r>
      <w:r w:rsidR="006E2DB3">
        <w:t xml:space="preserve">sion </w:t>
      </w:r>
      <w:r w:rsidR="002B3C90">
        <w:t>(a)</w:t>
      </w:r>
      <w:r w:rsidR="006E2DB3">
        <w:t>(9)</w:t>
      </w:r>
      <w:r w:rsidR="002B3C90">
        <w:t>, the baseline</w:t>
      </w:r>
      <w:r w:rsidR="0076603F" w:rsidRPr="0076603F">
        <w:t xml:space="preserve"> </w:t>
      </w:r>
      <w:r w:rsidR="002B3C90">
        <w:t xml:space="preserve">term for assault with a deadly weapon was three </w:t>
      </w:r>
      <w:r w:rsidR="0076603F" w:rsidRPr="0076603F">
        <w:t>years</w:t>
      </w:r>
      <w:r w:rsidR="002B3C90">
        <w:t>.</w:t>
      </w:r>
      <w:r w:rsidR="000E0CEF">
        <w:t xml:space="preserve"> </w:t>
      </w:r>
      <w:r w:rsidR="00213CC8">
        <w:t xml:space="preserve"> </w:t>
      </w:r>
      <w:r w:rsidRPr="00086C59">
        <w:t xml:space="preserve">The </w:t>
      </w:r>
      <w:r>
        <w:t>J</w:t>
      </w:r>
      <w:r w:rsidRPr="00086C59">
        <w:t xml:space="preserve">udicial </w:t>
      </w:r>
      <w:r>
        <w:t>C</w:t>
      </w:r>
      <w:r w:rsidRPr="00086C59">
        <w:t xml:space="preserve">ouncil adopted commitment guidelines effective July 1, 2023. </w:t>
      </w:r>
      <w:r>
        <w:t>(</w:t>
      </w:r>
      <w:r w:rsidRPr="00086C59">
        <w:t xml:space="preserve">See </w:t>
      </w:r>
      <w:r>
        <w:t xml:space="preserve">Cal. Rules of Court, rule </w:t>
      </w:r>
      <w:r w:rsidRPr="00086C59">
        <w:t>5.806</w:t>
      </w:r>
      <w:r w:rsidR="007C0350">
        <w:t xml:space="preserve"> [</w:t>
      </w:r>
      <w:r w:rsidR="00FD0820">
        <w:t>guidelines for setting SYTF baseline terms]</w:t>
      </w:r>
      <w:r w:rsidRPr="00086C59">
        <w:t>.</w:t>
      </w:r>
      <w:r>
        <w:t>)</w:t>
      </w:r>
      <w:r w:rsidR="00515B30">
        <w:t xml:space="preserve"> </w:t>
      </w:r>
    </w:p>
    <w:p w14:paraId="60034B7C" w14:textId="516CD074" w:rsidR="00344026" w:rsidRDefault="00344026">
      <w:pPr>
        <w:pStyle w:val="FootnoteText"/>
      </w:pPr>
    </w:p>
  </w:footnote>
  <w:footnote w:id="5">
    <w:p w14:paraId="5F45BC49" w14:textId="02023F50" w:rsidR="00BD2315" w:rsidRDefault="00E35E8B">
      <w:pPr>
        <w:pStyle w:val="FootnoteText"/>
      </w:pPr>
      <w:r>
        <w:rPr>
          <w:rStyle w:val="FootnoteReference"/>
        </w:rPr>
        <w:footnoteRef/>
      </w:r>
      <w:r>
        <w:t xml:space="preserve"> </w:t>
      </w:r>
      <w:r>
        <w:tab/>
      </w:r>
      <w:r w:rsidR="007B2518">
        <w:t>Section</w:t>
      </w:r>
      <w:r w:rsidR="001A163A">
        <w:t> </w:t>
      </w:r>
      <w:r w:rsidR="007B2518">
        <w:t>875, subdivision</w:t>
      </w:r>
      <w:r w:rsidR="001A163A">
        <w:t> </w:t>
      </w:r>
      <w:r w:rsidR="007B2518">
        <w:t xml:space="preserve">(c)(1)(A), </w:t>
      </w:r>
      <w:r w:rsidR="00FF2365">
        <w:t xml:space="preserve">further </w:t>
      </w:r>
      <w:r w:rsidR="00574E73">
        <w:t>provides</w:t>
      </w:r>
      <w:r w:rsidR="00E81BDF">
        <w:t xml:space="preserve"> </w:t>
      </w:r>
      <w:r w:rsidR="003A2609">
        <w:t xml:space="preserve">(except </w:t>
      </w:r>
      <w:r w:rsidR="002B774D">
        <w:t xml:space="preserve">where the minor would face an aggregate sentence as an adult </w:t>
      </w:r>
      <w:r w:rsidR="004B1958">
        <w:t xml:space="preserve">for the same offense(s) </w:t>
      </w:r>
      <w:r w:rsidR="002B774D">
        <w:t xml:space="preserve">of seven or more years) </w:t>
      </w:r>
      <w:r w:rsidR="00574E73">
        <w:t>that a “</w:t>
      </w:r>
      <w:r w:rsidR="007B2518" w:rsidRPr="007B2518">
        <w:t>ward committed to a secure youth treatment facility under this section shall not be held in secure confinement beyond 23</w:t>
      </w:r>
      <w:r w:rsidR="001A163A">
        <w:t> </w:t>
      </w:r>
      <w:r w:rsidR="007B2518" w:rsidRPr="007B2518">
        <w:t>years of age, or two years from the date of the commitment, whichever occurs later</w:t>
      </w:r>
      <w:r w:rsidR="00574E73">
        <w:t>.”</w:t>
      </w:r>
      <w:r w:rsidR="000C27EA">
        <w:t xml:space="preserve">  </w:t>
      </w:r>
    </w:p>
  </w:footnote>
  <w:footnote w:id="6">
    <w:p w14:paraId="27C575E0" w14:textId="365B14B1" w:rsidR="00922A47" w:rsidRDefault="00E35E8B">
      <w:pPr>
        <w:pStyle w:val="FootnoteText"/>
      </w:pPr>
      <w:r>
        <w:rPr>
          <w:rStyle w:val="FootnoteReference"/>
        </w:rPr>
        <w:footnoteRef/>
      </w:r>
      <w:r>
        <w:t xml:space="preserve"> </w:t>
      </w:r>
      <w:r>
        <w:tab/>
      </w:r>
      <w:r w:rsidR="0042509D">
        <w:t xml:space="preserve">Pursuant to </w:t>
      </w:r>
      <w:r w:rsidRPr="00922A47">
        <w:t xml:space="preserve">section 875, subdivision (e)(3), if the </w:t>
      </w:r>
      <w:r w:rsidR="00FF2365">
        <w:t xml:space="preserve">juvenile </w:t>
      </w:r>
      <w:r w:rsidRPr="00922A47">
        <w:t xml:space="preserve">court finds the ward constitutes a risk of imminent harm to others in the community if released, </w:t>
      </w:r>
      <w:r w:rsidR="003B6BF3">
        <w:t xml:space="preserve">the ward may be retained in custody </w:t>
      </w:r>
      <w:r w:rsidR="00F10468">
        <w:t xml:space="preserve">in a SYTF for up to one additional year, subject to </w:t>
      </w:r>
      <w:r w:rsidR="00813F2E">
        <w:t xml:space="preserve">the </w:t>
      </w:r>
      <w:r w:rsidR="00813F2E" w:rsidRPr="00813F2E">
        <w:t>maximum term of confinement</w:t>
      </w:r>
      <w:r w:rsidR="00813F2E">
        <w:t>.</w:t>
      </w:r>
    </w:p>
  </w:footnote>
  <w:footnote w:id="7">
    <w:p w14:paraId="6F1B48EA" w14:textId="19EAAC80" w:rsidR="00D95A57" w:rsidRDefault="00E35E8B" w:rsidP="00D95A57">
      <w:pPr>
        <w:pStyle w:val="FootnoteText"/>
      </w:pPr>
      <w:r>
        <w:rPr>
          <w:rStyle w:val="FootnoteReference"/>
        </w:rPr>
        <w:footnoteRef/>
      </w:r>
      <w:r>
        <w:t xml:space="preserve"> </w:t>
      </w:r>
      <w:r>
        <w:tab/>
      </w:r>
      <w:r w:rsidR="001927D3">
        <w:t>Further, as t</w:t>
      </w:r>
      <w:r>
        <w:t>he People point out</w:t>
      </w:r>
      <w:r w:rsidR="001927D3">
        <w:t>,</w:t>
      </w:r>
      <w:r>
        <w:t xml:space="preserve"> section</w:t>
      </w:r>
      <w:r w:rsidR="001A163A">
        <w:t> </w:t>
      </w:r>
      <w:r>
        <w:t>731, subdivision</w:t>
      </w:r>
      <w:r w:rsidR="001A163A">
        <w:t> </w:t>
      </w:r>
      <w:r>
        <w:t xml:space="preserve">(b), in requiring the maximum custodial </w:t>
      </w:r>
      <w:proofErr w:type="gramStart"/>
      <w:r>
        <w:t>term imposed</w:t>
      </w:r>
      <w:proofErr w:type="gramEnd"/>
      <w:r>
        <w:t xml:space="preserve"> pre-realignment reflect the “facts and circumstances of the matter,” is most similar to the post-realignment maximum exposure term under section</w:t>
      </w:r>
      <w:r w:rsidR="001A163A">
        <w:t> </w:t>
      </w:r>
      <w:r>
        <w:t>875, subdivision</w:t>
      </w:r>
      <w:r w:rsidR="001A163A">
        <w:t> </w:t>
      </w:r>
      <w:r>
        <w:t xml:space="preserve">(c)(1), which likewise </w:t>
      </w:r>
      <w:r w:rsidR="001927D3">
        <w:t xml:space="preserve">must </w:t>
      </w:r>
      <w:r>
        <w:t xml:space="preserve">be “based upon the facts and circumstances of the matter.”  </w:t>
      </w:r>
      <w:r w:rsidR="000B4260">
        <w:t xml:space="preserve">(See </w:t>
      </w:r>
      <w:r w:rsidR="000B4260" w:rsidRPr="00612B65">
        <w:rPr>
          <w:i/>
          <w:iCs/>
        </w:rPr>
        <w:t xml:space="preserve">M.B., </w:t>
      </w:r>
      <w:r w:rsidR="00612B65" w:rsidRPr="00612B65">
        <w:rPr>
          <w:i/>
          <w:iCs/>
        </w:rPr>
        <w:t>supra</w:t>
      </w:r>
      <w:r w:rsidR="00612B65">
        <w:t xml:space="preserve">, </w:t>
      </w:r>
      <w:r w:rsidR="00612B65" w:rsidRPr="00612B65">
        <w:t>99</w:t>
      </w:r>
      <w:r w:rsidR="001A163A">
        <w:t> </w:t>
      </w:r>
      <w:r w:rsidR="00612B65" w:rsidRPr="00612B65">
        <w:t xml:space="preserve">Cal.App.5th </w:t>
      </w:r>
      <w:r w:rsidR="00612B65">
        <w:t>at p.</w:t>
      </w:r>
      <w:r w:rsidR="001A163A">
        <w:t> </w:t>
      </w:r>
      <w:r w:rsidR="00612B65" w:rsidRPr="00612B65">
        <w:t xml:space="preserve">468 </w:t>
      </w:r>
      <w:r w:rsidR="00612B65">
        <w:t>[both sections 731 and 875 describe the</w:t>
      </w:r>
      <w:r w:rsidR="006077E0">
        <w:t xml:space="preserve"> maximum term of confinement </w:t>
      </w:r>
      <w:r w:rsidR="00612B65" w:rsidRPr="00612B65">
        <w:t>“</w:t>
      </w:r>
      <w:r w:rsidR="006077E0">
        <w:t>‘</w:t>
      </w:r>
      <w:r w:rsidR="00612B65" w:rsidRPr="00612B65">
        <w:t>based upon the facts and circumstances of the matter or matters that brought or continued the ward under the jurisdiction of the court and as deemed appropriate to achieve rehabilitation</w:t>
      </w:r>
      <w:r w:rsidR="006077E0">
        <w:t>’</w:t>
      </w:r>
      <w:r w:rsidR="00612B65" w:rsidRPr="00612B65">
        <w:t>”</w:t>
      </w:r>
      <w:r w:rsidR="006077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0616" w14:textId="77777777" w:rsidR="00940483" w:rsidRDefault="00940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31D0" w14:textId="77777777" w:rsidR="00940483" w:rsidRDefault="00940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411F" w14:textId="77777777" w:rsidR="00940483" w:rsidRDefault="00940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00694"/>
    <w:multiLevelType w:val="multilevel"/>
    <w:tmpl w:val="15F01DF0"/>
    <w:lvl w:ilvl="0">
      <w:start w:val="1"/>
      <w:numFmt w:val="upperLetter"/>
      <w:pStyle w:val="Heading2"/>
      <w:lvlText w:val="%1."/>
      <w:lvlJc w:val="left"/>
      <w:pPr>
        <w:ind w:left="720" w:hanging="720"/>
      </w:pPr>
      <w:rPr>
        <w:rFonts w:hint="default"/>
        <w:i w:val="0"/>
      </w:rPr>
    </w:lvl>
    <w:lvl w:ilvl="1">
      <w:start w:val="1"/>
      <w:numFmt w:val="decimal"/>
      <w:lvlText w:val="%2."/>
      <w:lvlJc w:val="left"/>
      <w:pPr>
        <w:tabs>
          <w:tab w:val="num" w:pos="1440"/>
        </w:tabs>
        <w:ind w:left="1440" w:hanging="720"/>
      </w:pPr>
      <w:rPr>
        <w:rFonts w:hint="default"/>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749541C1"/>
    <w:multiLevelType w:val="multilevel"/>
    <w:tmpl w:val="7148489C"/>
    <w:lvl w:ilvl="0">
      <w:start w:val="1"/>
      <w:numFmt w:val="decimal"/>
      <w:pStyle w:val="Heading3"/>
      <w:lvlText w:val="%1."/>
      <w:lvlJc w:val="left"/>
      <w:pPr>
        <w:ind w:left="144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6677463">
    <w:abstractNumId w:val="1"/>
  </w:num>
  <w:num w:numId="2" w16cid:durableId="15639838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50"/>
    <w:rsid w:val="0000367B"/>
    <w:rsid w:val="000278B3"/>
    <w:rsid w:val="0003542E"/>
    <w:rsid w:val="000376F5"/>
    <w:rsid w:val="00040181"/>
    <w:rsid w:val="00040AB7"/>
    <w:rsid w:val="00041628"/>
    <w:rsid w:val="00045568"/>
    <w:rsid w:val="00051DA2"/>
    <w:rsid w:val="00056432"/>
    <w:rsid w:val="0006108D"/>
    <w:rsid w:val="00075FBB"/>
    <w:rsid w:val="00080E65"/>
    <w:rsid w:val="00086408"/>
    <w:rsid w:val="00086C59"/>
    <w:rsid w:val="000A569B"/>
    <w:rsid w:val="000B2FD7"/>
    <w:rsid w:val="000B4260"/>
    <w:rsid w:val="000B51CB"/>
    <w:rsid w:val="000B761F"/>
    <w:rsid w:val="000C05EA"/>
    <w:rsid w:val="000C27EA"/>
    <w:rsid w:val="000D3344"/>
    <w:rsid w:val="000D33DA"/>
    <w:rsid w:val="000D4FAC"/>
    <w:rsid w:val="000D510D"/>
    <w:rsid w:val="000E0CEF"/>
    <w:rsid w:val="000E31F5"/>
    <w:rsid w:val="000E6F8D"/>
    <w:rsid w:val="000F18F0"/>
    <w:rsid w:val="000F6C5D"/>
    <w:rsid w:val="00107B76"/>
    <w:rsid w:val="00114B09"/>
    <w:rsid w:val="00121531"/>
    <w:rsid w:val="001257B1"/>
    <w:rsid w:val="00127A71"/>
    <w:rsid w:val="001331F8"/>
    <w:rsid w:val="001368D1"/>
    <w:rsid w:val="00144EA9"/>
    <w:rsid w:val="00155CD4"/>
    <w:rsid w:val="00165CC5"/>
    <w:rsid w:val="00166AEE"/>
    <w:rsid w:val="001714F3"/>
    <w:rsid w:val="0017152D"/>
    <w:rsid w:val="00182CD4"/>
    <w:rsid w:val="00183DAA"/>
    <w:rsid w:val="00184863"/>
    <w:rsid w:val="00184D39"/>
    <w:rsid w:val="0018684A"/>
    <w:rsid w:val="00190430"/>
    <w:rsid w:val="001927D3"/>
    <w:rsid w:val="001957F3"/>
    <w:rsid w:val="001A0405"/>
    <w:rsid w:val="001A163A"/>
    <w:rsid w:val="001A51C9"/>
    <w:rsid w:val="001B1BFD"/>
    <w:rsid w:val="001B2187"/>
    <w:rsid w:val="001B36FE"/>
    <w:rsid w:val="001B66F8"/>
    <w:rsid w:val="001C0CB6"/>
    <w:rsid w:val="001C12DF"/>
    <w:rsid w:val="001C2FE3"/>
    <w:rsid w:val="001C7B50"/>
    <w:rsid w:val="001D6F27"/>
    <w:rsid w:val="001F13BD"/>
    <w:rsid w:val="001F2787"/>
    <w:rsid w:val="001F28CC"/>
    <w:rsid w:val="001F4854"/>
    <w:rsid w:val="001F5CB0"/>
    <w:rsid w:val="001F6B67"/>
    <w:rsid w:val="00202E05"/>
    <w:rsid w:val="002054E3"/>
    <w:rsid w:val="00206A7D"/>
    <w:rsid w:val="00210BCF"/>
    <w:rsid w:val="00211165"/>
    <w:rsid w:val="00213CC8"/>
    <w:rsid w:val="0023713C"/>
    <w:rsid w:val="00246F84"/>
    <w:rsid w:val="0025553B"/>
    <w:rsid w:val="002566A8"/>
    <w:rsid w:val="00262956"/>
    <w:rsid w:val="00262D76"/>
    <w:rsid w:val="00273D6F"/>
    <w:rsid w:val="00274CE4"/>
    <w:rsid w:val="002809DC"/>
    <w:rsid w:val="00293BA2"/>
    <w:rsid w:val="002A79F9"/>
    <w:rsid w:val="002B0843"/>
    <w:rsid w:val="002B3C90"/>
    <w:rsid w:val="002B774D"/>
    <w:rsid w:val="002B7BC6"/>
    <w:rsid w:val="002C032F"/>
    <w:rsid w:val="002C1CC8"/>
    <w:rsid w:val="002C2505"/>
    <w:rsid w:val="002D0A98"/>
    <w:rsid w:val="002D595C"/>
    <w:rsid w:val="002E735D"/>
    <w:rsid w:val="002F0A7A"/>
    <w:rsid w:val="002F3467"/>
    <w:rsid w:val="0030272E"/>
    <w:rsid w:val="00304AC6"/>
    <w:rsid w:val="00306ACA"/>
    <w:rsid w:val="003211DD"/>
    <w:rsid w:val="003243C7"/>
    <w:rsid w:val="003264E5"/>
    <w:rsid w:val="003402DA"/>
    <w:rsid w:val="00344026"/>
    <w:rsid w:val="00346725"/>
    <w:rsid w:val="0034708D"/>
    <w:rsid w:val="003520CE"/>
    <w:rsid w:val="00353CAE"/>
    <w:rsid w:val="00364506"/>
    <w:rsid w:val="00371EAB"/>
    <w:rsid w:val="0037737C"/>
    <w:rsid w:val="003775CC"/>
    <w:rsid w:val="00377EA3"/>
    <w:rsid w:val="00396044"/>
    <w:rsid w:val="00397A5B"/>
    <w:rsid w:val="003A2609"/>
    <w:rsid w:val="003A45C0"/>
    <w:rsid w:val="003B0A11"/>
    <w:rsid w:val="003B1FEE"/>
    <w:rsid w:val="003B6BF3"/>
    <w:rsid w:val="003C5E55"/>
    <w:rsid w:val="003D07F8"/>
    <w:rsid w:val="003D0DAB"/>
    <w:rsid w:val="003D4B36"/>
    <w:rsid w:val="003D6C63"/>
    <w:rsid w:val="003D7CBA"/>
    <w:rsid w:val="003E2539"/>
    <w:rsid w:val="003E3A4C"/>
    <w:rsid w:val="003E6FD8"/>
    <w:rsid w:val="003F16E6"/>
    <w:rsid w:val="003F573C"/>
    <w:rsid w:val="003F6726"/>
    <w:rsid w:val="003F7832"/>
    <w:rsid w:val="00404827"/>
    <w:rsid w:val="004140DC"/>
    <w:rsid w:val="0042509D"/>
    <w:rsid w:val="0043064A"/>
    <w:rsid w:val="00433A7F"/>
    <w:rsid w:val="0044115D"/>
    <w:rsid w:val="004559F4"/>
    <w:rsid w:val="00455D7C"/>
    <w:rsid w:val="0046225A"/>
    <w:rsid w:val="004663A7"/>
    <w:rsid w:val="0047284A"/>
    <w:rsid w:val="0047746A"/>
    <w:rsid w:val="004802F5"/>
    <w:rsid w:val="00480E2C"/>
    <w:rsid w:val="00492862"/>
    <w:rsid w:val="004940FA"/>
    <w:rsid w:val="004B014B"/>
    <w:rsid w:val="004B04D5"/>
    <w:rsid w:val="004B1958"/>
    <w:rsid w:val="004B7D19"/>
    <w:rsid w:val="004C1CD8"/>
    <w:rsid w:val="004C36BA"/>
    <w:rsid w:val="004C50FA"/>
    <w:rsid w:val="004D0082"/>
    <w:rsid w:val="004D6BB0"/>
    <w:rsid w:val="004D6D8A"/>
    <w:rsid w:val="004E034F"/>
    <w:rsid w:val="004E1B04"/>
    <w:rsid w:val="004E367B"/>
    <w:rsid w:val="0050308B"/>
    <w:rsid w:val="00511FDF"/>
    <w:rsid w:val="005132FF"/>
    <w:rsid w:val="00515B30"/>
    <w:rsid w:val="0054569C"/>
    <w:rsid w:val="00545B7F"/>
    <w:rsid w:val="00550F77"/>
    <w:rsid w:val="00551213"/>
    <w:rsid w:val="0055414D"/>
    <w:rsid w:val="005610C7"/>
    <w:rsid w:val="005678A2"/>
    <w:rsid w:val="005737CF"/>
    <w:rsid w:val="00574E73"/>
    <w:rsid w:val="00575E10"/>
    <w:rsid w:val="00576B6D"/>
    <w:rsid w:val="00577887"/>
    <w:rsid w:val="00580196"/>
    <w:rsid w:val="0058565F"/>
    <w:rsid w:val="00593679"/>
    <w:rsid w:val="005938D4"/>
    <w:rsid w:val="00594F79"/>
    <w:rsid w:val="005A4BFD"/>
    <w:rsid w:val="005B6FA7"/>
    <w:rsid w:val="005C7C99"/>
    <w:rsid w:val="005D23B5"/>
    <w:rsid w:val="005D317F"/>
    <w:rsid w:val="005D4487"/>
    <w:rsid w:val="005F6D0A"/>
    <w:rsid w:val="006021F4"/>
    <w:rsid w:val="00604386"/>
    <w:rsid w:val="00606C8D"/>
    <w:rsid w:val="006077E0"/>
    <w:rsid w:val="00612909"/>
    <w:rsid w:val="00612B65"/>
    <w:rsid w:val="00613DED"/>
    <w:rsid w:val="00622653"/>
    <w:rsid w:val="006241CA"/>
    <w:rsid w:val="00626EB8"/>
    <w:rsid w:val="00631138"/>
    <w:rsid w:val="00635C45"/>
    <w:rsid w:val="006470E1"/>
    <w:rsid w:val="00647D73"/>
    <w:rsid w:val="006512F8"/>
    <w:rsid w:val="006520D2"/>
    <w:rsid w:val="006604F9"/>
    <w:rsid w:val="00666BA4"/>
    <w:rsid w:val="00667581"/>
    <w:rsid w:val="00680C15"/>
    <w:rsid w:val="006856A6"/>
    <w:rsid w:val="0069223B"/>
    <w:rsid w:val="00692FD8"/>
    <w:rsid w:val="006941D7"/>
    <w:rsid w:val="00695C1A"/>
    <w:rsid w:val="006A683A"/>
    <w:rsid w:val="006B2829"/>
    <w:rsid w:val="006B385E"/>
    <w:rsid w:val="006B5F0D"/>
    <w:rsid w:val="006B79B3"/>
    <w:rsid w:val="006C2B9D"/>
    <w:rsid w:val="006C5E33"/>
    <w:rsid w:val="006C7277"/>
    <w:rsid w:val="006C7B4C"/>
    <w:rsid w:val="006D4AC9"/>
    <w:rsid w:val="006D50E0"/>
    <w:rsid w:val="006D60A4"/>
    <w:rsid w:val="006D6987"/>
    <w:rsid w:val="006D6B82"/>
    <w:rsid w:val="006E2DB3"/>
    <w:rsid w:val="006F62E4"/>
    <w:rsid w:val="00700866"/>
    <w:rsid w:val="00701C2D"/>
    <w:rsid w:val="007042A2"/>
    <w:rsid w:val="007078F0"/>
    <w:rsid w:val="00721F6E"/>
    <w:rsid w:val="00722AD8"/>
    <w:rsid w:val="00722D25"/>
    <w:rsid w:val="00726C95"/>
    <w:rsid w:val="007302D0"/>
    <w:rsid w:val="00733131"/>
    <w:rsid w:val="00740782"/>
    <w:rsid w:val="00741BB3"/>
    <w:rsid w:val="007460A4"/>
    <w:rsid w:val="007476CF"/>
    <w:rsid w:val="00757CAB"/>
    <w:rsid w:val="00757E94"/>
    <w:rsid w:val="00761802"/>
    <w:rsid w:val="0076603F"/>
    <w:rsid w:val="0076648F"/>
    <w:rsid w:val="007664AE"/>
    <w:rsid w:val="007669C0"/>
    <w:rsid w:val="00771EBB"/>
    <w:rsid w:val="00777795"/>
    <w:rsid w:val="007777B4"/>
    <w:rsid w:val="00781812"/>
    <w:rsid w:val="0078686C"/>
    <w:rsid w:val="00790FAB"/>
    <w:rsid w:val="00793242"/>
    <w:rsid w:val="00793D97"/>
    <w:rsid w:val="007A09C9"/>
    <w:rsid w:val="007A1D13"/>
    <w:rsid w:val="007A317E"/>
    <w:rsid w:val="007A6156"/>
    <w:rsid w:val="007B2518"/>
    <w:rsid w:val="007B3D35"/>
    <w:rsid w:val="007B61E7"/>
    <w:rsid w:val="007C0350"/>
    <w:rsid w:val="007C3F5A"/>
    <w:rsid w:val="007C658F"/>
    <w:rsid w:val="007C6E79"/>
    <w:rsid w:val="007C712B"/>
    <w:rsid w:val="007D1BE0"/>
    <w:rsid w:val="007E1D66"/>
    <w:rsid w:val="007E524B"/>
    <w:rsid w:val="007F09A2"/>
    <w:rsid w:val="008003CD"/>
    <w:rsid w:val="0080707A"/>
    <w:rsid w:val="00810C6F"/>
    <w:rsid w:val="00813F2E"/>
    <w:rsid w:val="00814CF1"/>
    <w:rsid w:val="008231B3"/>
    <w:rsid w:val="00830CA8"/>
    <w:rsid w:val="00833EBA"/>
    <w:rsid w:val="00835834"/>
    <w:rsid w:val="00841D0E"/>
    <w:rsid w:val="00844B2B"/>
    <w:rsid w:val="00850DEF"/>
    <w:rsid w:val="00851A3F"/>
    <w:rsid w:val="00862A94"/>
    <w:rsid w:val="00866A3A"/>
    <w:rsid w:val="00875560"/>
    <w:rsid w:val="0087577E"/>
    <w:rsid w:val="00876431"/>
    <w:rsid w:val="00882101"/>
    <w:rsid w:val="00883300"/>
    <w:rsid w:val="008927AA"/>
    <w:rsid w:val="00894183"/>
    <w:rsid w:val="008942E4"/>
    <w:rsid w:val="008947F0"/>
    <w:rsid w:val="00894D17"/>
    <w:rsid w:val="008A2A0D"/>
    <w:rsid w:val="008A7390"/>
    <w:rsid w:val="008C4285"/>
    <w:rsid w:val="008C46DF"/>
    <w:rsid w:val="008C6176"/>
    <w:rsid w:val="008D307C"/>
    <w:rsid w:val="008D56C9"/>
    <w:rsid w:val="008E016E"/>
    <w:rsid w:val="008E3DEC"/>
    <w:rsid w:val="008F0A9E"/>
    <w:rsid w:val="008F18FB"/>
    <w:rsid w:val="008F4F54"/>
    <w:rsid w:val="008F5076"/>
    <w:rsid w:val="008F705A"/>
    <w:rsid w:val="009010BD"/>
    <w:rsid w:val="00901713"/>
    <w:rsid w:val="00904198"/>
    <w:rsid w:val="009047AD"/>
    <w:rsid w:val="00906E25"/>
    <w:rsid w:val="00910679"/>
    <w:rsid w:val="009130FB"/>
    <w:rsid w:val="00916086"/>
    <w:rsid w:val="00917150"/>
    <w:rsid w:val="00922A47"/>
    <w:rsid w:val="009308C4"/>
    <w:rsid w:val="00930DEC"/>
    <w:rsid w:val="009325FE"/>
    <w:rsid w:val="0094363A"/>
    <w:rsid w:val="0094495A"/>
    <w:rsid w:val="00947501"/>
    <w:rsid w:val="0095025D"/>
    <w:rsid w:val="00951DC9"/>
    <w:rsid w:val="00951E7F"/>
    <w:rsid w:val="009552AC"/>
    <w:rsid w:val="009555FA"/>
    <w:rsid w:val="00956ABF"/>
    <w:rsid w:val="00956C1A"/>
    <w:rsid w:val="00965865"/>
    <w:rsid w:val="00970FD2"/>
    <w:rsid w:val="00973025"/>
    <w:rsid w:val="00973539"/>
    <w:rsid w:val="009761AD"/>
    <w:rsid w:val="00980329"/>
    <w:rsid w:val="00991EEB"/>
    <w:rsid w:val="009928D2"/>
    <w:rsid w:val="009964D6"/>
    <w:rsid w:val="009A2DE0"/>
    <w:rsid w:val="009E1576"/>
    <w:rsid w:val="009E1C29"/>
    <w:rsid w:val="009F2735"/>
    <w:rsid w:val="009F3390"/>
    <w:rsid w:val="009F5E5E"/>
    <w:rsid w:val="009F7C5E"/>
    <w:rsid w:val="00A0261E"/>
    <w:rsid w:val="00A035CD"/>
    <w:rsid w:val="00A07677"/>
    <w:rsid w:val="00A11431"/>
    <w:rsid w:val="00A14696"/>
    <w:rsid w:val="00A20562"/>
    <w:rsid w:val="00A22DC0"/>
    <w:rsid w:val="00A3143A"/>
    <w:rsid w:val="00A32321"/>
    <w:rsid w:val="00A327A6"/>
    <w:rsid w:val="00A35A20"/>
    <w:rsid w:val="00A40A5F"/>
    <w:rsid w:val="00A43D94"/>
    <w:rsid w:val="00A47073"/>
    <w:rsid w:val="00A52935"/>
    <w:rsid w:val="00A52D0D"/>
    <w:rsid w:val="00A60978"/>
    <w:rsid w:val="00A64FBA"/>
    <w:rsid w:val="00A71F77"/>
    <w:rsid w:val="00A80414"/>
    <w:rsid w:val="00A852E2"/>
    <w:rsid w:val="00A87E59"/>
    <w:rsid w:val="00A91585"/>
    <w:rsid w:val="00A92E83"/>
    <w:rsid w:val="00A937F7"/>
    <w:rsid w:val="00A973C9"/>
    <w:rsid w:val="00AA2E68"/>
    <w:rsid w:val="00AA51BD"/>
    <w:rsid w:val="00AA5EC2"/>
    <w:rsid w:val="00AB0EDC"/>
    <w:rsid w:val="00AC148F"/>
    <w:rsid w:val="00AC254B"/>
    <w:rsid w:val="00AD0931"/>
    <w:rsid w:val="00AD29F3"/>
    <w:rsid w:val="00AD67DB"/>
    <w:rsid w:val="00AE41C8"/>
    <w:rsid w:val="00AE473E"/>
    <w:rsid w:val="00AE58A0"/>
    <w:rsid w:val="00AE7DBE"/>
    <w:rsid w:val="00AF0620"/>
    <w:rsid w:val="00AF114D"/>
    <w:rsid w:val="00AF26C7"/>
    <w:rsid w:val="00AF3274"/>
    <w:rsid w:val="00AF5319"/>
    <w:rsid w:val="00B0038A"/>
    <w:rsid w:val="00B06096"/>
    <w:rsid w:val="00B14B6E"/>
    <w:rsid w:val="00B2002D"/>
    <w:rsid w:val="00B20BB5"/>
    <w:rsid w:val="00B212BB"/>
    <w:rsid w:val="00B24FE5"/>
    <w:rsid w:val="00B2511B"/>
    <w:rsid w:val="00B30918"/>
    <w:rsid w:val="00B4177E"/>
    <w:rsid w:val="00B446E7"/>
    <w:rsid w:val="00B46AB1"/>
    <w:rsid w:val="00B53126"/>
    <w:rsid w:val="00B54197"/>
    <w:rsid w:val="00B64BC5"/>
    <w:rsid w:val="00B66604"/>
    <w:rsid w:val="00B6666D"/>
    <w:rsid w:val="00B72404"/>
    <w:rsid w:val="00B72B05"/>
    <w:rsid w:val="00B73C33"/>
    <w:rsid w:val="00B9174B"/>
    <w:rsid w:val="00B91A3C"/>
    <w:rsid w:val="00B931D5"/>
    <w:rsid w:val="00BA34CC"/>
    <w:rsid w:val="00BB3F9E"/>
    <w:rsid w:val="00BB52CB"/>
    <w:rsid w:val="00BB5CC4"/>
    <w:rsid w:val="00BB5E5C"/>
    <w:rsid w:val="00BC2C21"/>
    <w:rsid w:val="00BC2E29"/>
    <w:rsid w:val="00BC6750"/>
    <w:rsid w:val="00BD2315"/>
    <w:rsid w:val="00BD7FAA"/>
    <w:rsid w:val="00BE417D"/>
    <w:rsid w:val="00BF153F"/>
    <w:rsid w:val="00BF30D3"/>
    <w:rsid w:val="00BF40E6"/>
    <w:rsid w:val="00BF46AE"/>
    <w:rsid w:val="00BF5104"/>
    <w:rsid w:val="00BF7C40"/>
    <w:rsid w:val="00C013DF"/>
    <w:rsid w:val="00C016D0"/>
    <w:rsid w:val="00C063B0"/>
    <w:rsid w:val="00C11B80"/>
    <w:rsid w:val="00C12D77"/>
    <w:rsid w:val="00C12F8A"/>
    <w:rsid w:val="00C21603"/>
    <w:rsid w:val="00C21F6B"/>
    <w:rsid w:val="00C227DE"/>
    <w:rsid w:val="00C276B2"/>
    <w:rsid w:val="00C30049"/>
    <w:rsid w:val="00C30AD7"/>
    <w:rsid w:val="00C351C7"/>
    <w:rsid w:val="00C35D3C"/>
    <w:rsid w:val="00C4282F"/>
    <w:rsid w:val="00C43DCE"/>
    <w:rsid w:val="00C44522"/>
    <w:rsid w:val="00C513B5"/>
    <w:rsid w:val="00C51A3F"/>
    <w:rsid w:val="00C53403"/>
    <w:rsid w:val="00C538FE"/>
    <w:rsid w:val="00C62EB4"/>
    <w:rsid w:val="00C66B9C"/>
    <w:rsid w:val="00C70AF3"/>
    <w:rsid w:val="00C76D28"/>
    <w:rsid w:val="00C80239"/>
    <w:rsid w:val="00C903E8"/>
    <w:rsid w:val="00C91E48"/>
    <w:rsid w:val="00CA39CD"/>
    <w:rsid w:val="00CA3C06"/>
    <w:rsid w:val="00CB2D2C"/>
    <w:rsid w:val="00CB362E"/>
    <w:rsid w:val="00CC0D1B"/>
    <w:rsid w:val="00CD1725"/>
    <w:rsid w:val="00CD4994"/>
    <w:rsid w:val="00CD6917"/>
    <w:rsid w:val="00CE32B5"/>
    <w:rsid w:val="00CE762F"/>
    <w:rsid w:val="00CF007E"/>
    <w:rsid w:val="00CF1F4E"/>
    <w:rsid w:val="00CF3218"/>
    <w:rsid w:val="00D01AD0"/>
    <w:rsid w:val="00D051B0"/>
    <w:rsid w:val="00D052F8"/>
    <w:rsid w:val="00D07515"/>
    <w:rsid w:val="00D20156"/>
    <w:rsid w:val="00D26C6A"/>
    <w:rsid w:val="00D27B50"/>
    <w:rsid w:val="00D4115B"/>
    <w:rsid w:val="00D45532"/>
    <w:rsid w:val="00D5391A"/>
    <w:rsid w:val="00D55194"/>
    <w:rsid w:val="00D56465"/>
    <w:rsid w:val="00D67B96"/>
    <w:rsid w:val="00D67EF5"/>
    <w:rsid w:val="00D72F8B"/>
    <w:rsid w:val="00D739D8"/>
    <w:rsid w:val="00D80701"/>
    <w:rsid w:val="00D83B59"/>
    <w:rsid w:val="00D94324"/>
    <w:rsid w:val="00D95A57"/>
    <w:rsid w:val="00D97624"/>
    <w:rsid w:val="00DA0A00"/>
    <w:rsid w:val="00DB3B99"/>
    <w:rsid w:val="00DB3C7F"/>
    <w:rsid w:val="00DB5B59"/>
    <w:rsid w:val="00DC0AA2"/>
    <w:rsid w:val="00DC5FE2"/>
    <w:rsid w:val="00DE092B"/>
    <w:rsid w:val="00DE1755"/>
    <w:rsid w:val="00DE1770"/>
    <w:rsid w:val="00DF025E"/>
    <w:rsid w:val="00E039E3"/>
    <w:rsid w:val="00E05269"/>
    <w:rsid w:val="00E05E7F"/>
    <w:rsid w:val="00E137AB"/>
    <w:rsid w:val="00E153C2"/>
    <w:rsid w:val="00E2487D"/>
    <w:rsid w:val="00E31178"/>
    <w:rsid w:val="00E32F5D"/>
    <w:rsid w:val="00E3483B"/>
    <w:rsid w:val="00E35E8B"/>
    <w:rsid w:val="00E421EB"/>
    <w:rsid w:val="00E534D8"/>
    <w:rsid w:val="00E534F6"/>
    <w:rsid w:val="00E54004"/>
    <w:rsid w:val="00E55526"/>
    <w:rsid w:val="00E7175C"/>
    <w:rsid w:val="00E80A49"/>
    <w:rsid w:val="00E81BDF"/>
    <w:rsid w:val="00E83AD4"/>
    <w:rsid w:val="00E8628C"/>
    <w:rsid w:val="00E86ECA"/>
    <w:rsid w:val="00E90A12"/>
    <w:rsid w:val="00E965FB"/>
    <w:rsid w:val="00EB091A"/>
    <w:rsid w:val="00EB0E48"/>
    <w:rsid w:val="00EB0F62"/>
    <w:rsid w:val="00EB3504"/>
    <w:rsid w:val="00EB6F0E"/>
    <w:rsid w:val="00EC11B5"/>
    <w:rsid w:val="00EC2513"/>
    <w:rsid w:val="00EC7830"/>
    <w:rsid w:val="00EE0EDE"/>
    <w:rsid w:val="00EE18FB"/>
    <w:rsid w:val="00EE3465"/>
    <w:rsid w:val="00EE446D"/>
    <w:rsid w:val="00EE5CAF"/>
    <w:rsid w:val="00EF2D39"/>
    <w:rsid w:val="00EF3931"/>
    <w:rsid w:val="00F0571C"/>
    <w:rsid w:val="00F10468"/>
    <w:rsid w:val="00F13E47"/>
    <w:rsid w:val="00F145C3"/>
    <w:rsid w:val="00F14F56"/>
    <w:rsid w:val="00F15C57"/>
    <w:rsid w:val="00F16168"/>
    <w:rsid w:val="00F20316"/>
    <w:rsid w:val="00F220BF"/>
    <w:rsid w:val="00F232FF"/>
    <w:rsid w:val="00F41CF9"/>
    <w:rsid w:val="00F50742"/>
    <w:rsid w:val="00F520B2"/>
    <w:rsid w:val="00F63F89"/>
    <w:rsid w:val="00F65103"/>
    <w:rsid w:val="00F76EF3"/>
    <w:rsid w:val="00F775CE"/>
    <w:rsid w:val="00F82E2A"/>
    <w:rsid w:val="00F83B8E"/>
    <w:rsid w:val="00F8667D"/>
    <w:rsid w:val="00F92BFC"/>
    <w:rsid w:val="00F94C94"/>
    <w:rsid w:val="00F97986"/>
    <w:rsid w:val="00F97AF7"/>
    <w:rsid w:val="00F97B32"/>
    <w:rsid w:val="00FA3E24"/>
    <w:rsid w:val="00FA4183"/>
    <w:rsid w:val="00FA7FC1"/>
    <w:rsid w:val="00FB6389"/>
    <w:rsid w:val="00FC24D8"/>
    <w:rsid w:val="00FC6995"/>
    <w:rsid w:val="00FD0820"/>
    <w:rsid w:val="00FF2365"/>
    <w:rsid w:val="00FF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CF1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kern w:val="2"/>
        <w:sz w:val="26"/>
        <w:szCs w:val="22"/>
        <w:lang w:val="en-US"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80"/>
  </w:style>
  <w:style w:type="paragraph" w:styleId="Heading1">
    <w:name w:val="heading 1"/>
    <w:basedOn w:val="Normal"/>
    <w:next w:val="Normal"/>
    <w:link w:val="Heading1Char"/>
    <w:autoRedefine/>
    <w:uiPriority w:val="9"/>
    <w:qFormat/>
    <w:rsid w:val="00757E94"/>
    <w:pPr>
      <w:spacing w:before="260"/>
      <w:jc w:val="center"/>
      <w:outlineLvl w:val="0"/>
    </w:pPr>
    <w:rPr>
      <w:rFonts w:cstheme="minorBidi"/>
      <w:b/>
      <w:kern w:val="0"/>
    </w:rPr>
  </w:style>
  <w:style w:type="paragraph" w:styleId="Heading2">
    <w:name w:val="heading 2"/>
    <w:basedOn w:val="ListParagraph"/>
    <w:next w:val="Normal"/>
    <w:link w:val="Heading2Char"/>
    <w:autoRedefine/>
    <w:uiPriority w:val="9"/>
    <w:unhideWhenUsed/>
    <w:qFormat/>
    <w:rsid w:val="00C013DF"/>
    <w:pPr>
      <w:keepNext/>
      <w:widowControl w:val="0"/>
      <w:numPr>
        <w:numId w:val="2"/>
      </w:numPr>
      <w:spacing w:before="260"/>
      <w:contextualSpacing w:val="0"/>
      <w:outlineLvl w:val="1"/>
    </w:pPr>
    <w:rPr>
      <w:rFonts w:eastAsia="Century Schoolbook" w:cs="Century Schoolbook"/>
      <w:i/>
      <w:iCs/>
      <w:kern w:val="0"/>
      <w:szCs w:val="26"/>
    </w:rPr>
  </w:style>
  <w:style w:type="paragraph" w:styleId="Heading3">
    <w:name w:val="heading 3"/>
    <w:basedOn w:val="ListParagraph"/>
    <w:next w:val="Normal"/>
    <w:link w:val="Heading3Char"/>
    <w:autoRedefine/>
    <w:uiPriority w:val="9"/>
    <w:unhideWhenUsed/>
    <w:qFormat/>
    <w:rsid w:val="00901713"/>
    <w:pPr>
      <w:keepNext/>
      <w:keepLines/>
      <w:widowControl w:val="0"/>
      <w:numPr>
        <w:numId w:val="1"/>
      </w:numPr>
      <w:spacing w:before="260"/>
      <w:outlineLvl w:val="2"/>
    </w:pPr>
    <w:rPr>
      <w:rFonts w:cstheme="minorBidi"/>
      <w:i/>
      <w:iCs/>
      <w:kern w:val="0"/>
    </w:rPr>
  </w:style>
  <w:style w:type="paragraph" w:styleId="Heading4">
    <w:name w:val="heading 4"/>
    <w:basedOn w:val="Normal"/>
    <w:next w:val="Normal"/>
    <w:link w:val="Heading4Char"/>
    <w:uiPriority w:val="9"/>
    <w:unhideWhenUsed/>
    <w:qFormat/>
    <w:rsid w:val="00850DEF"/>
    <w:pPr>
      <w:keepNext/>
      <w:keepLines/>
      <w:spacing w:after="120" w:line="320" w:lineRule="exact"/>
      <w:ind w:left="864"/>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D27B50"/>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D27B5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27B5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27B5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27B5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7FAA"/>
    <w:pPr>
      <w:spacing w:after="120" w:line="240" w:lineRule="auto"/>
    </w:pPr>
    <w:rPr>
      <w:szCs w:val="20"/>
    </w:rPr>
  </w:style>
  <w:style w:type="character" w:customStyle="1" w:styleId="FootnoteTextChar">
    <w:name w:val="Footnote Text Char"/>
    <w:basedOn w:val="DefaultParagraphFont"/>
    <w:link w:val="FootnoteText"/>
    <w:uiPriority w:val="99"/>
    <w:rsid w:val="00BD7FAA"/>
    <w:rPr>
      <w:szCs w:val="20"/>
    </w:rPr>
  </w:style>
  <w:style w:type="character" w:customStyle="1" w:styleId="Heading1Char">
    <w:name w:val="Heading 1 Char"/>
    <w:basedOn w:val="DefaultParagraphFont"/>
    <w:link w:val="Heading1"/>
    <w:uiPriority w:val="9"/>
    <w:rsid w:val="00757E94"/>
    <w:rPr>
      <w:rFonts w:cstheme="minorBidi"/>
      <w:b/>
      <w:kern w:val="0"/>
    </w:rPr>
  </w:style>
  <w:style w:type="character" w:customStyle="1" w:styleId="Heading2Char">
    <w:name w:val="Heading 2 Char"/>
    <w:link w:val="Heading2"/>
    <w:uiPriority w:val="9"/>
    <w:rsid w:val="00C013DF"/>
    <w:rPr>
      <w:rFonts w:eastAsia="Century Schoolbook" w:cs="Century Schoolbook"/>
      <w:i/>
      <w:iCs/>
      <w:kern w:val="0"/>
      <w:szCs w:val="26"/>
    </w:rPr>
  </w:style>
  <w:style w:type="paragraph" w:styleId="ListParagraph">
    <w:name w:val="List Paragraph"/>
    <w:basedOn w:val="Normal"/>
    <w:uiPriority w:val="34"/>
    <w:qFormat/>
    <w:rsid w:val="00BF46AE"/>
    <w:pPr>
      <w:ind w:left="720"/>
      <w:contextualSpacing/>
    </w:pPr>
  </w:style>
  <w:style w:type="character" w:customStyle="1" w:styleId="Heading3Char">
    <w:name w:val="Heading 3 Char"/>
    <w:basedOn w:val="DefaultParagraphFont"/>
    <w:link w:val="Heading3"/>
    <w:uiPriority w:val="9"/>
    <w:rsid w:val="00901713"/>
    <w:rPr>
      <w:rFonts w:cstheme="minorBidi"/>
      <w:i/>
      <w:iCs/>
      <w:kern w:val="0"/>
    </w:rPr>
  </w:style>
  <w:style w:type="character" w:customStyle="1" w:styleId="Heading4Char">
    <w:name w:val="Heading 4 Char"/>
    <w:basedOn w:val="DefaultParagraphFont"/>
    <w:link w:val="Heading4"/>
    <w:uiPriority w:val="9"/>
    <w:rsid w:val="00850DEF"/>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D27B50"/>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D27B5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27B5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27B5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27B5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27B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B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B5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7B5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27B5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7B50"/>
    <w:rPr>
      <w:i/>
      <w:iCs/>
      <w:color w:val="404040" w:themeColor="text1" w:themeTint="BF"/>
    </w:rPr>
  </w:style>
  <w:style w:type="character" w:styleId="IntenseEmphasis">
    <w:name w:val="Intense Emphasis"/>
    <w:basedOn w:val="DefaultParagraphFont"/>
    <w:uiPriority w:val="21"/>
    <w:qFormat/>
    <w:rsid w:val="00D27B50"/>
    <w:rPr>
      <w:i/>
      <w:iCs/>
      <w:color w:val="365F91" w:themeColor="accent1" w:themeShade="BF"/>
    </w:rPr>
  </w:style>
  <w:style w:type="paragraph" w:styleId="IntenseQuote">
    <w:name w:val="Intense Quote"/>
    <w:basedOn w:val="Normal"/>
    <w:next w:val="Normal"/>
    <w:link w:val="IntenseQuoteChar"/>
    <w:uiPriority w:val="30"/>
    <w:qFormat/>
    <w:rsid w:val="00D27B5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27B50"/>
    <w:rPr>
      <w:i/>
      <w:iCs/>
      <w:color w:val="365F91" w:themeColor="accent1" w:themeShade="BF"/>
    </w:rPr>
  </w:style>
  <w:style w:type="character" w:styleId="IntenseReference">
    <w:name w:val="Intense Reference"/>
    <w:basedOn w:val="DefaultParagraphFont"/>
    <w:uiPriority w:val="32"/>
    <w:qFormat/>
    <w:rsid w:val="00D27B50"/>
    <w:rPr>
      <w:b/>
      <w:bCs/>
      <w:smallCaps/>
      <w:color w:val="365F91" w:themeColor="accent1" w:themeShade="BF"/>
      <w:spacing w:val="5"/>
    </w:rPr>
  </w:style>
  <w:style w:type="paragraph" w:styleId="Header">
    <w:name w:val="header"/>
    <w:basedOn w:val="Normal"/>
    <w:link w:val="HeaderChar"/>
    <w:uiPriority w:val="99"/>
    <w:unhideWhenUsed/>
    <w:rsid w:val="00353CAE"/>
    <w:pPr>
      <w:tabs>
        <w:tab w:val="center" w:pos="4680"/>
        <w:tab w:val="right" w:pos="9360"/>
      </w:tabs>
      <w:spacing w:line="240" w:lineRule="auto"/>
    </w:pPr>
  </w:style>
  <w:style w:type="character" w:customStyle="1" w:styleId="HeaderChar">
    <w:name w:val="Header Char"/>
    <w:basedOn w:val="DefaultParagraphFont"/>
    <w:link w:val="Header"/>
    <w:uiPriority w:val="99"/>
    <w:rsid w:val="00353CAE"/>
  </w:style>
  <w:style w:type="paragraph" w:styleId="Footer">
    <w:name w:val="footer"/>
    <w:basedOn w:val="Normal"/>
    <w:link w:val="FooterChar"/>
    <w:uiPriority w:val="99"/>
    <w:unhideWhenUsed/>
    <w:rsid w:val="00353CAE"/>
    <w:pPr>
      <w:tabs>
        <w:tab w:val="center" w:pos="4680"/>
        <w:tab w:val="right" w:pos="9360"/>
      </w:tabs>
      <w:spacing w:line="240" w:lineRule="auto"/>
    </w:pPr>
  </w:style>
  <w:style w:type="character" w:customStyle="1" w:styleId="FooterChar">
    <w:name w:val="Footer Char"/>
    <w:basedOn w:val="DefaultParagraphFont"/>
    <w:link w:val="Footer"/>
    <w:uiPriority w:val="99"/>
    <w:rsid w:val="00353CAE"/>
  </w:style>
  <w:style w:type="character" w:styleId="PageNumber">
    <w:name w:val="page number"/>
    <w:basedOn w:val="DefaultParagraphFont"/>
    <w:uiPriority w:val="99"/>
    <w:semiHidden/>
    <w:unhideWhenUsed/>
    <w:rsid w:val="00353CAE"/>
  </w:style>
  <w:style w:type="character" w:styleId="FootnoteReference">
    <w:name w:val="footnote reference"/>
    <w:basedOn w:val="DefaultParagraphFont"/>
    <w:uiPriority w:val="99"/>
    <w:semiHidden/>
    <w:unhideWhenUsed/>
    <w:rsid w:val="00C4282F"/>
    <w:rPr>
      <w:vertAlign w:val="superscript"/>
    </w:rPr>
  </w:style>
  <w:style w:type="paragraph" w:styleId="BalloonText">
    <w:name w:val="Balloon Text"/>
    <w:basedOn w:val="Normal"/>
    <w:link w:val="BalloonTextChar"/>
    <w:uiPriority w:val="99"/>
    <w:semiHidden/>
    <w:unhideWhenUsed/>
    <w:rsid w:val="00DB3B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99"/>
    <w:rPr>
      <w:rFonts w:ascii="Segoe UI" w:hAnsi="Segoe UI" w:cs="Segoe UI"/>
      <w:sz w:val="18"/>
      <w:szCs w:val="18"/>
    </w:rPr>
  </w:style>
  <w:style w:type="character" w:styleId="CommentReference">
    <w:name w:val="annotation reference"/>
    <w:basedOn w:val="DefaultParagraphFont"/>
    <w:uiPriority w:val="99"/>
    <w:semiHidden/>
    <w:unhideWhenUsed/>
    <w:rsid w:val="003B1FEE"/>
    <w:rPr>
      <w:sz w:val="16"/>
      <w:szCs w:val="16"/>
    </w:rPr>
  </w:style>
  <w:style w:type="paragraph" w:styleId="CommentText">
    <w:name w:val="annotation text"/>
    <w:basedOn w:val="Normal"/>
    <w:link w:val="CommentTextChar"/>
    <w:uiPriority w:val="99"/>
    <w:unhideWhenUsed/>
    <w:rsid w:val="003B1FEE"/>
    <w:pPr>
      <w:spacing w:line="240" w:lineRule="auto"/>
    </w:pPr>
    <w:rPr>
      <w:sz w:val="20"/>
      <w:szCs w:val="20"/>
    </w:rPr>
  </w:style>
  <w:style w:type="character" w:customStyle="1" w:styleId="CommentTextChar">
    <w:name w:val="Comment Text Char"/>
    <w:basedOn w:val="DefaultParagraphFont"/>
    <w:link w:val="CommentText"/>
    <w:uiPriority w:val="99"/>
    <w:rsid w:val="003B1FEE"/>
    <w:rPr>
      <w:sz w:val="20"/>
      <w:szCs w:val="20"/>
    </w:rPr>
  </w:style>
  <w:style w:type="paragraph" w:styleId="CommentSubject">
    <w:name w:val="annotation subject"/>
    <w:basedOn w:val="CommentText"/>
    <w:next w:val="CommentText"/>
    <w:link w:val="CommentSubjectChar"/>
    <w:uiPriority w:val="99"/>
    <w:semiHidden/>
    <w:unhideWhenUsed/>
    <w:rsid w:val="003B1FEE"/>
    <w:rPr>
      <w:b/>
      <w:bCs/>
    </w:rPr>
  </w:style>
  <w:style w:type="character" w:customStyle="1" w:styleId="CommentSubjectChar">
    <w:name w:val="Comment Subject Char"/>
    <w:basedOn w:val="CommentTextChar"/>
    <w:link w:val="CommentSubject"/>
    <w:uiPriority w:val="99"/>
    <w:semiHidden/>
    <w:rsid w:val="003B1FEE"/>
    <w:rPr>
      <w:b/>
      <w:bCs/>
      <w:sz w:val="20"/>
      <w:szCs w:val="20"/>
    </w:rPr>
  </w:style>
  <w:style w:type="paragraph" w:styleId="Revision">
    <w:name w:val="Revision"/>
    <w:hidden/>
    <w:uiPriority w:val="99"/>
    <w:semiHidden/>
    <w:rsid w:val="003B1FEE"/>
    <w:pPr>
      <w:spacing w:line="240" w:lineRule="auto"/>
    </w:pPr>
  </w:style>
  <w:style w:type="character" w:styleId="Hyperlink">
    <w:name w:val="Hyperlink"/>
    <w:basedOn w:val="DefaultParagraphFont"/>
    <w:uiPriority w:val="99"/>
    <w:unhideWhenUsed/>
    <w:rsid w:val="0069223B"/>
    <w:rPr>
      <w:color w:val="0000FF" w:themeColor="hyperlink"/>
      <w:u w:val="single"/>
    </w:rPr>
  </w:style>
  <w:style w:type="character" w:customStyle="1" w:styleId="UnresolvedMention1">
    <w:name w:val="Unresolved Mention1"/>
    <w:basedOn w:val="DefaultParagraphFont"/>
    <w:uiPriority w:val="99"/>
    <w:semiHidden/>
    <w:unhideWhenUsed/>
    <w:rsid w:val="0069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46D74B16409341A5238C2F790099CB" ma:contentTypeVersion="15" ma:contentTypeDescription="Create a new document." ma:contentTypeScope="" ma:versionID="22c38ecba1973eef2dd4d75f9884d80f">
  <xsd:schema xmlns:xsd="http://www.w3.org/2001/XMLSchema" xmlns:xs="http://www.w3.org/2001/XMLSchema" xmlns:p="http://schemas.microsoft.com/office/2006/metadata/properties" xmlns:ns3="ae7af27c-9d97-4d86-a959-b22e4db3e7d1" xmlns:ns4="1c448da5-fcfc-4170-b174-d27a34095a50" targetNamespace="http://schemas.microsoft.com/office/2006/metadata/properties" ma:root="true" ma:fieldsID="a5aa9c6ded3929adc37d4fab63c882e7" ns3:_="" ns4:_="">
    <xsd:import namespace="ae7af27c-9d97-4d86-a959-b22e4db3e7d1"/>
    <xsd:import namespace="1c448da5-fcfc-4170-b174-d27a34095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f27c-9d97-4d86-a959-b22e4db3e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48da5-fcfc-4170-b174-d27a34095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e7af27c-9d97-4d86-a959-b22e4db3e7d1" xsi:nil="true"/>
  </documentManagement>
</p:properties>
</file>

<file path=customXml/itemProps1.xml><?xml version="1.0" encoding="utf-8"?>
<ds:datastoreItem xmlns:ds="http://schemas.openxmlformats.org/officeDocument/2006/customXml" ds:itemID="{0136E707-7BBB-405F-AC44-73E3C8E7456F}">
  <ds:schemaRefs>
    <ds:schemaRef ds:uri="http://schemas.openxmlformats.org/officeDocument/2006/bibliography"/>
  </ds:schemaRefs>
</ds:datastoreItem>
</file>

<file path=customXml/itemProps2.xml><?xml version="1.0" encoding="utf-8"?>
<ds:datastoreItem xmlns:ds="http://schemas.openxmlformats.org/officeDocument/2006/customXml" ds:itemID="{3165F578-8504-4B3C-B648-4849B2109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f27c-9d97-4d86-a959-b22e4db3e7d1"/>
    <ds:schemaRef ds:uri="1c448da5-fcfc-4170-b174-d27a34095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C29FF-9C2C-4EDF-993A-DE01A10D2C61}">
  <ds:schemaRefs>
    <ds:schemaRef ds:uri="http://schemas.microsoft.com/sharepoint/v3/contenttype/forms"/>
  </ds:schemaRefs>
</ds:datastoreItem>
</file>

<file path=customXml/itemProps4.xml><?xml version="1.0" encoding="utf-8"?>
<ds:datastoreItem xmlns:ds="http://schemas.openxmlformats.org/officeDocument/2006/customXml" ds:itemID="{C7F5A18D-945F-4CBC-87BF-20D0D0ED3959}">
  <ds:schemaRefs>
    <ds:schemaRef ds:uri="http://schemas.microsoft.com/office/2006/metadata/properties"/>
    <ds:schemaRef ds:uri="http://schemas.microsoft.com/office/infopath/2007/PartnerControls"/>
    <ds:schemaRef ds:uri="ae7af27c-9d97-4d86-a959-b22e4db3e7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2930</Words>
  <Characters>15655</Characters>
  <Application>Microsoft Office Word</Application>
  <DocSecurity>0</DocSecurity>
  <Lines>403</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2024-06-12T22:04:00Z</dcterms:created>
  <dcterms:modified xsi:type="dcterms:W3CDTF">2024-06-12T22:04:00Z</dcterms:modified>
  <cp:category/>
</cp:coreProperties>
</file>