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42A0C" w:rsidRPr="00E84BD6" w:rsidP="00843134" w14:paraId="14E27894" w14:textId="5525C9D7">
      <w:pPr>
        <w:pStyle w:val="CommentText"/>
      </w:pPr>
      <w:r>
        <w:t>Filed 7/1/24</w:t>
      </w:r>
    </w:p>
    <w:p w:rsidR="00742A0C" w:rsidP="00660F53" w14:paraId="4F3872A6" w14:textId="67EC55D3">
      <w:pPr>
        <w:spacing w:line="240" w:lineRule="auto"/>
        <w:jc w:val="center"/>
        <w:rPr>
          <w:b/>
          <w:szCs w:val="26"/>
        </w:rPr>
      </w:pPr>
      <w:r>
        <w:rPr>
          <w:b/>
          <w:szCs w:val="26"/>
        </w:rPr>
        <w:t>CERTIFIED FOR PUBLICATION</w:t>
      </w:r>
    </w:p>
    <w:p w:rsidR="00742A0C" w:rsidRPr="00E84BD6" w:rsidP="001F2A86" w14:paraId="34DE77F8" w14:textId="77777777">
      <w:pPr>
        <w:spacing w:line="240" w:lineRule="auto"/>
        <w:jc w:val="center"/>
        <w:rPr>
          <w:szCs w:val="26"/>
        </w:rPr>
      </w:pPr>
    </w:p>
    <w:p w:rsidR="00742A0C" w:rsidRPr="00E84BD6" w:rsidP="001F2A86" w14:paraId="55AD33D8" w14:textId="77777777">
      <w:pPr>
        <w:spacing w:line="240" w:lineRule="auto"/>
        <w:jc w:val="center"/>
        <w:rPr>
          <w:szCs w:val="26"/>
        </w:rPr>
      </w:pPr>
      <w:r w:rsidRPr="00E84BD6">
        <w:rPr>
          <w:szCs w:val="26"/>
        </w:rPr>
        <w:t>IN THE COURT OF APPEAL OF THE STATE OF CALIFORNIA</w:t>
      </w:r>
    </w:p>
    <w:p w:rsidR="00E0168C" w:rsidRPr="00E84BD6" w:rsidP="00E0168C" w14:paraId="70AABBA2" w14:textId="77777777">
      <w:pPr>
        <w:spacing w:line="240" w:lineRule="auto"/>
        <w:jc w:val="center"/>
        <w:rPr>
          <w:szCs w:val="26"/>
        </w:rPr>
      </w:pPr>
    </w:p>
    <w:p w:rsidR="00742A0C" w:rsidRPr="00E84BD6" w:rsidP="001F2A86" w14:paraId="60ED31B5" w14:textId="77777777">
      <w:pPr>
        <w:spacing w:line="240" w:lineRule="auto"/>
        <w:jc w:val="center"/>
        <w:rPr>
          <w:szCs w:val="26"/>
        </w:rPr>
      </w:pPr>
      <w:r w:rsidRPr="00E84BD6">
        <w:rPr>
          <w:szCs w:val="26"/>
        </w:rPr>
        <w:t>SECOND APPELLATE DISTRICT</w:t>
      </w:r>
    </w:p>
    <w:p w:rsidR="00742A0C" w:rsidRPr="00E84BD6" w:rsidP="001F2A86" w14:paraId="0698D056" w14:textId="77777777">
      <w:pPr>
        <w:spacing w:line="240" w:lineRule="auto"/>
        <w:jc w:val="center"/>
        <w:rPr>
          <w:szCs w:val="26"/>
        </w:rPr>
      </w:pPr>
    </w:p>
    <w:p w:rsidR="00742A0C" w:rsidRPr="00E84BD6" w:rsidP="001F2A86" w14:paraId="2F7D3614" w14:textId="77777777">
      <w:pPr>
        <w:spacing w:line="240" w:lineRule="auto"/>
        <w:jc w:val="center"/>
        <w:rPr>
          <w:szCs w:val="26"/>
        </w:rPr>
      </w:pPr>
      <w:r w:rsidRPr="00E84BD6">
        <w:rPr>
          <w:szCs w:val="26"/>
        </w:rPr>
        <w:t>DIVISION SEVEN</w:t>
      </w:r>
    </w:p>
    <w:p w:rsidR="00742A0C" w:rsidRPr="00E84BD6" w:rsidP="001F2A86" w14:paraId="71907800" w14:textId="77777777">
      <w:pPr>
        <w:spacing w:line="240" w:lineRule="auto"/>
        <w:jc w:val="center"/>
        <w:rPr>
          <w:szCs w:val="26"/>
        </w:rPr>
      </w:pPr>
    </w:p>
    <w:p w:rsidR="00742A0C" w:rsidRPr="00E84BD6" w:rsidP="001F2A86" w14:paraId="4E5896EE" w14:textId="77777777">
      <w:pPr>
        <w:spacing w:line="240" w:lineRule="auto"/>
        <w:jc w:val="center"/>
        <w:rPr>
          <w:szCs w:val="26"/>
        </w:rPr>
      </w:pPr>
    </w:p>
    <w:tbl>
      <w:tblPr>
        <w:tblW w:w="5000" w:type="pct"/>
        <w:tblCellMar>
          <w:left w:w="0" w:type="dxa"/>
          <w:right w:w="0" w:type="dxa"/>
        </w:tblCellMar>
        <w:tblLook w:val="0000"/>
      </w:tblPr>
      <w:tblGrid>
        <w:gridCol w:w="3960"/>
        <w:gridCol w:w="3960"/>
      </w:tblGrid>
      <w:tr w14:paraId="7A21B627" w14:textId="77777777" w:rsidTr="001F2A86">
        <w:tblPrEx>
          <w:tblW w:w="5000" w:type="pct"/>
          <w:tblCellMar>
            <w:left w:w="0" w:type="dxa"/>
            <w:right w:w="0" w:type="dxa"/>
          </w:tblCellMar>
          <w:tblLook w:val="0000"/>
        </w:tblPrEx>
        <w:tc>
          <w:tcPr>
            <w:tcW w:w="2500" w:type="pct"/>
            <w:tcBorders>
              <w:bottom w:val="single" w:sz="4" w:space="0" w:color="auto"/>
              <w:right w:val="single" w:sz="4" w:space="0" w:color="auto"/>
            </w:tcBorders>
            <w:shd w:val="clear" w:color="auto" w:fill="auto"/>
          </w:tcPr>
          <w:p w:rsidR="00742A0C" w:rsidRPr="00443ECF" w:rsidP="001F2A86" w14:paraId="37A2F6E9" w14:textId="1316757D">
            <w:pPr>
              <w:spacing w:line="240" w:lineRule="auto"/>
              <w:rPr>
                <w:szCs w:val="26"/>
                <w:lang w:val="fr-FR"/>
              </w:rPr>
            </w:pPr>
            <w:r w:rsidRPr="00443ECF">
              <w:rPr>
                <w:szCs w:val="26"/>
                <w:lang w:val="fr-FR"/>
              </w:rPr>
              <w:t>MIGUEL VALENCIA, JR</w:t>
            </w:r>
            <w:r w:rsidR="00A901FA">
              <w:rPr>
                <w:szCs w:val="26"/>
                <w:lang w:val="fr-FR"/>
              </w:rPr>
              <w:t>.,</w:t>
            </w:r>
            <w:r w:rsidRPr="00443ECF">
              <w:rPr>
                <w:szCs w:val="26"/>
                <w:lang w:val="fr-FR"/>
              </w:rPr>
              <w:t xml:space="preserve"> et al.,</w:t>
            </w:r>
          </w:p>
          <w:p w:rsidR="00742A0C" w:rsidRPr="00443ECF" w:rsidP="001F2A86" w14:paraId="01E7294E" w14:textId="77777777">
            <w:pPr>
              <w:spacing w:line="240" w:lineRule="auto"/>
              <w:rPr>
                <w:szCs w:val="26"/>
                <w:lang w:val="fr-FR"/>
              </w:rPr>
            </w:pPr>
          </w:p>
          <w:p w:rsidR="00742A0C" w:rsidRPr="00443ECF" w:rsidP="001F2A86" w14:paraId="1C2854F4" w14:textId="5E687694">
            <w:pPr>
              <w:spacing w:line="240" w:lineRule="auto"/>
              <w:rPr>
                <w:szCs w:val="26"/>
                <w:lang w:val="fr-FR"/>
              </w:rPr>
            </w:pPr>
            <w:r w:rsidRPr="00443ECF">
              <w:rPr>
                <w:szCs w:val="26"/>
                <w:lang w:val="fr-FR"/>
              </w:rPr>
              <w:tab/>
              <w:t>Plaintiff</w:t>
            </w:r>
            <w:r w:rsidRPr="00443ECF" w:rsidR="00B3633E">
              <w:rPr>
                <w:szCs w:val="26"/>
                <w:lang w:val="fr-FR"/>
              </w:rPr>
              <w:t>s</w:t>
            </w:r>
            <w:r w:rsidRPr="00443ECF">
              <w:rPr>
                <w:szCs w:val="26"/>
                <w:lang w:val="fr-FR"/>
              </w:rPr>
              <w:t xml:space="preserve"> and </w:t>
            </w:r>
            <w:r w:rsidRPr="00443ECF" w:rsidR="00EA319F">
              <w:rPr>
                <w:szCs w:val="26"/>
                <w:lang w:val="fr-FR"/>
              </w:rPr>
              <w:t>Respondent</w:t>
            </w:r>
            <w:r w:rsidRPr="00443ECF" w:rsidR="00B3633E">
              <w:rPr>
                <w:szCs w:val="26"/>
                <w:lang w:val="fr-FR"/>
              </w:rPr>
              <w:t>s</w:t>
            </w:r>
            <w:r w:rsidRPr="00443ECF" w:rsidR="009943C7">
              <w:rPr>
                <w:szCs w:val="26"/>
                <w:lang w:val="fr-FR"/>
              </w:rPr>
              <w:t>,</w:t>
            </w:r>
          </w:p>
          <w:p w:rsidR="00742A0C" w:rsidRPr="00443ECF" w:rsidP="001F2A86" w14:paraId="524FD049" w14:textId="77777777">
            <w:pPr>
              <w:spacing w:line="240" w:lineRule="auto"/>
              <w:rPr>
                <w:szCs w:val="26"/>
                <w:lang w:val="fr-FR"/>
              </w:rPr>
            </w:pPr>
          </w:p>
          <w:p w:rsidR="00742A0C" w:rsidRPr="00443ECF" w:rsidP="001F2A86" w14:paraId="5AF6617A" w14:textId="77777777">
            <w:pPr>
              <w:spacing w:line="240" w:lineRule="auto"/>
              <w:rPr>
                <w:szCs w:val="26"/>
                <w:lang w:val="es-ES"/>
              </w:rPr>
            </w:pPr>
            <w:r w:rsidRPr="00443ECF">
              <w:rPr>
                <w:szCs w:val="26"/>
                <w:lang w:val="fr-FR"/>
              </w:rPr>
              <w:tab/>
            </w:r>
            <w:r w:rsidRPr="00443ECF">
              <w:rPr>
                <w:szCs w:val="26"/>
                <w:lang w:val="es-ES"/>
              </w:rPr>
              <w:t>v.</w:t>
            </w:r>
          </w:p>
          <w:p w:rsidR="00742A0C" w:rsidRPr="00443ECF" w:rsidP="001F2A86" w14:paraId="390660CF" w14:textId="77777777">
            <w:pPr>
              <w:spacing w:line="240" w:lineRule="auto"/>
              <w:rPr>
                <w:szCs w:val="26"/>
                <w:lang w:val="es-ES"/>
              </w:rPr>
            </w:pPr>
          </w:p>
          <w:p w:rsidR="00742A0C" w:rsidRPr="00443ECF" w:rsidP="001F2A86" w14:paraId="44BCB6B9" w14:textId="33F575A0">
            <w:pPr>
              <w:spacing w:line="240" w:lineRule="auto"/>
              <w:rPr>
                <w:szCs w:val="26"/>
                <w:lang w:val="es-ES"/>
              </w:rPr>
            </w:pPr>
            <w:r w:rsidRPr="00443ECF">
              <w:rPr>
                <w:szCs w:val="26"/>
                <w:lang w:val="es-ES"/>
              </w:rPr>
              <w:t>ARMANDO MENDOZA et al</w:t>
            </w:r>
            <w:r w:rsidRPr="00443ECF" w:rsidR="00596F06">
              <w:rPr>
                <w:szCs w:val="26"/>
                <w:lang w:val="es-ES"/>
              </w:rPr>
              <w:t>.</w:t>
            </w:r>
            <w:r w:rsidRPr="00443ECF">
              <w:rPr>
                <w:szCs w:val="26"/>
                <w:lang w:val="es-ES"/>
              </w:rPr>
              <w:t>,</w:t>
            </w:r>
          </w:p>
          <w:p w:rsidR="00742A0C" w:rsidRPr="00443ECF" w:rsidP="001F2A86" w14:paraId="16BAA2AA" w14:textId="77777777">
            <w:pPr>
              <w:spacing w:line="240" w:lineRule="auto"/>
              <w:rPr>
                <w:szCs w:val="26"/>
                <w:lang w:val="es-ES"/>
              </w:rPr>
            </w:pPr>
          </w:p>
          <w:p w:rsidR="00742A0C" w:rsidRPr="00E84BD6" w:rsidP="001F2A86" w14:paraId="10FF03DD" w14:textId="3E404AEB">
            <w:pPr>
              <w:spacing w:line="240" w:lineRule="auto"/>
              <w:rPr>
                <w:szCs w:val="26"/>
              </w:rPr>
            </w:pPr>
            <w:r w:rsidRPr="00443ECF">
              <w:rPr>
                <w:szCs w:val="26"/>
                <w:lang w:val="es-ES"/>
              </w:rPr>
              <w:tab/>
            </w:r>
            <w:r w:rsidRPr="00E84BD6">
              <w:rPr>
                <w:szCs w:val="26"/>
              </w:rPr>
              <w:t>Defendant</w:t>
            </w:r>
            <w:r w:rsidR="0018791E">
              <w:rPr>
                <w:szCs w:val="26"/>
              </w:rPr>
              <w:t>s</w:t>
            </w:r>
            <w:r w:rsidRPr="00E84BD6">
              <w:rPr>
                <w:szCs w:val="26"/>
              </w:rPr>
              <w:t xml:space="preserve"> and </w:t>
            </w:r>
            <w:r w:rsidR="00EA319F">
              <w:rPr>
                <w:szCs w:val="26"/>
              </w:rPr>
              <w:t>Appellant</w:t>
            </w:r>
            <w:r w:rsidR="0018791E">
              <w:rPr>
                <w:szCs w:val="26"/>
              </w:rPr>
              <w:t>s</w:t>
            </w:r>
            <w:r w:rsidRPr="00E84BD6">
              <w:rPr>
                <w:szCs w:val="26"/>
              </w:rPr>
              <w:t>.</w:t>
            </w:r>
          </w:p>
          <w:p w:rsidR="00742A0C" w:rsidRPr="00E84BD6" w:rsidP="001F2A86" w14:paraId="2244004A" w14:textId="77777777">
            <w:pPr>
              <w:spacing w:line="240" w:lineRule="auto"/>
              <w:rPr>
                <w:szCs w:val="26"/>
              </w:rPr>
            </w:pPr>
          </w:p>
        </w:tc>
        <w:tc>
          <w:tcPr>
            <w:tcW w:w="2500" w:type="pct"/>
            <w:tcBorders>
              <w:left w:val="single" w:sz="4" w:space="0" w:color="auto"/>
            </w:tcBorders>
            <w:shd w:val="clear" w:color="auto" w:fill="auto"/>
          </w:tcPr>
          <w:p w:rsidR="00742A0C" w:rsidRPr="00E84BD6" w:rsidP="001F2A86" w14:paraId="25CBE9E8" w14:textId="38E2251F">
            <w:pPr>
              <w:spacing w:line="240" w:lineRule="auto"/>
              <w:rPr>
                <w:szCs w:val="26"/>
              </w:rPr>
            </w:pPr>
            <w:r w:rsidRPr="00E84BD6">
              <w:rPr>
                <w:szCs w:val="26"/>
              </w:rPr>
              <w:t xml:space="preserve">      B</w:t>
            </w:r>
            <w:r w:rsidR="0018791E">
              <w:rPr>
                <w:szCs w:val="26"/>
              </w:rPr>
              <w:t>325803</w:t>
            </w:r>
          </w:p>
          <w:p w:rsidR="00742A0C" w:rsidRPr="00E84BD6" w:rsidP="001F2A86" w14:paraId="1AD926A6" w14:textId="77777777">
            <w:pPr>
              <w:spacing w:line="240" w:lineRule="auto"/>
              <w:rPr>
                <w:szCs w:val="26"/>
              </w:rPr>
            </w:pPr>
          </w:p>
          <w:p w:rsidR="00742A0C" w:rsidRPr="00E84BD6" w:rsidP="001F2A86" w14:paraId="17AC7F15" w14:textId="77777777">
            <w:pPr>
              <w:spacing w:line="240" w:lineRule="auto"/>
              <w:rPr>
                <w:szCs w:val="26"/>
              </w:rPr>
            </w:pPr>
            <w:r w:rsidRPr="00E84BD6">
              <w:rPr>
                <w:szCs w:val="26"/>
              </w:rPr>
              <w:t xml:space="preserve">      (Los Angeles County</w:t>
            </w:r>
          </w:p>
          <w:p w:rsidR="00742A0C" w:rsidRPr="00E84BD6" w:rsidP="001F2A86" w14:paraId="4F93F4C3" w14:textId="0871DD9D">
            <w:pPr>
              <w:spacing w:line="240" w:lineRule="auto"/>
              <w:ind w:left="432" w:hanging="432"/>
              <w:rPr>
                <w:szCs w:val="26"/>
              </w:rPr>
            </w:pPr>
            <w:r w:rsidRPr="00E84BD6">
              <w:rPr>
                <w:szCs w:val="26"/>
              </w:rPr>
              <w:t xml:space="preserve">      Super. Ct. </w:t>
            </w:r>
            <w:r w:rsidRPr="00E84BD6" w:rsidR="001F2A86">
              <w:rPr>
                <w:szCs w:val="26"/>
              </w:rPr>
              <w:t>No. </w:t>
            </w:r>
            <w:r w:rsidR="0018791E">
              <w:rPr>
                <w:szCs w:val="26"/>
              </w:rPr>
              <w:t>BC723902</w:t>
            </w:r>
            <w:r w:rsidR="00EA319F">
              <w:rPr>
                <w:szCs w:val="26"/>
              </w:rPr>
              <w:t>)</w:t>
            </w:r>
          </w:p>
        </w:tc>
      </w:tr>
    </w:tbl>
    <w:p w:rsidR="00742A0C" w:rsidRPr="00E84BD6" w:rsidP="001F2A86" w14:paraId="7A55E3C9" w14:textId="77777777">
      <w:pPr>
        <w:spacing w:line="360" w:lineRule="auto"/>
        <w:rPr>
          <w:szCs w:val="26"/>
        </w:rPr>
      </w:pPr>
    </w:p>
    <w:p w:rsidR="00EA319F" w:rsidP="00F0002E" w14:paraId="4C108C55" w14:textId="378A5719">
      <w:pPr>
        <w:ind w:firstLine="720"/>
      </w:pPr>
      <w:r w:rsidRPr="00E84BD6">
        <w:rPr>
          <w:szCs w:val="26"/>
        </w:rPr>
        <w:t xml:space="preserve">APPEAL from </w:t>
      </w:r>
      <w:r w:rsidR="00856746">
        <w:rPr>
          <w:szCs w:val="26"/>
        </w:rPr>
        <w:t xml:space="preserve">a </w:t>
      </w:r>
      <w:r w:rsidR="00640F91">
        <w:rPr>
          <w:szCs w:val="26"/>
        </w:rPr>
        <w:t>judgment</w:t>
      </w:r>
      <w:r w:rsidRPr="00E84BD6">
        <w:rPr>
          <w:szCs w:val="26"/>
        </w:rPr>
        <w:t xml:space="preserve"> of the Superior Court of Los Angeles County, </w:t>
      </w:r>
      <w:r w:rsidR="0018791E">
        <w:rPr>
          <w:szCs w:val="26"/>
        </w:rPr>
        <w:t xml:space="preserve">David </w:t>
      </w:r>
      <w:r w:rsidR="0023283D">
        <w:rPr>
          <w:szCs w:val="26"/>
        </w:rPr>
        <w:t>Sotelo</w:t>
      </w:r>
      <w:r w:rsidRPr="00E84BD6">
        <w:rPr>
          <w:szCs w:val="26"/>
        </w:rPr>
        <w:t>, Judge</w:t>
      </w:r>
      <w:r w:rsidRPr="00E84BD6">
        <w:t xml:space="preserve">.  </w:t>
      </w:r>
      <w:r w:rsidR="00283564">
        <w:t>Affirmed</w:t>
      </w:r>
      <w:r w:rsidRPr="00E84BD6" w:rsidR="00506672">
        <w:t>.</w:t>
      </w:r>
    </w:p>
    <w:p w:rsidR="00742A0C" w14:paraId="31E46B87" w14:textId="201ADD0F">
      <w:pPr>
        <w:rPr>
          <w:szCs w:val="26"/>
        </w:rPr>
      </w:pPr>
      <w:r w:rsidRPr="00E84BD6">
        <w:rPr>
          <w:szCs w:val="26"/>
        </w:rPr>
        <w:tab/>
      </w:r>
      <w:r w:rsidR="00F43BD4">
        <w:rPr>
          <w:szCs w:val="26"/>
        </w:rPr>
        <w:t>Spierer, Woodward, Corbalis &amp; Golberg</w:t>
      </w:r>
      <w:r w:rsidR="00B730AF">
        <w:rPr>
          <w:szCs w:val="26"/>
        </w:rPr>
        <w:t>,</w:t>
      </w:r>
      <w:r w:rsidR="00F43BD4">
        <w:rPr>
          <w:szCs w:val="26"/>
        </w:rPr>
        <w:t xml:space="preserve"> Stephen B. Goldberg</w:t>
      </w:r>
      <w:r w:rsidR="000F58F3">
        <w:rPr>
          <w:szCs w:val="26"/>
        </w:rPr>
        <w:t xml:space="preserve"> </w:t>
      </w:r>
      <w:r w:rsidR="00896553">
        <w:rPr>
          <w:szCs w:val="26"/>
        </w:rPr>
        <w:t xml:space="preserve">and Jeffrey Lewis </w:t>
      </w:r>
      <w:r w:rsidRPr="00E84BD6">
        <w:rPr>
          <w:szCs w:val="26"/>
        </w:rPr>
        <w:t xml:space="preserve">for </w:t>
      </w:r>
      <w:r w:rsidRPr="00E84BD6">
        <w:t>Defend</w:t>
      </w:r>
      <w:r w:rsidR="00B00553">
        <w:t>ant</w:t>
      </w:r>
      <w:r w:rsidR="00F43BD4">
        <w:t>s</w:t>
      </w:r>
      <w:r w:rsidRPr="00E84BD6">
        <w:rPr>
          <w:szCs w:val="26"/>
        </w:rPr>
        <w:t xml:space="preserve"> and Appellant</w:t>
      </w:r>
      <w:r w:rsidR="00F43BD4">
        <w:rPr>
          <w:szCs w:val="26"/>
        </w:rPr>
        <w:t>s</w:t>
      </w:r>
      <w:r w:rsidRPr="00E84BD6">
        <w:rPr>
          <w:szCs w:val="26"/>
        </w:rPr>
        <w:t>.</w:t>
      </w:r>
    </w:p>
    <w:p w:rsidR="00C96437" w14:paraId="22FDDAEF" w14:textId="47E13EBB">
      <w:pPr>
        <w:ind w:firstLine="720"/>
        <w:rPr>
          <w:szCs w:val="26"/>
        </w:rPr>
      </w:pPr>
      <w:r>
        <w:rPr>
          <w:szCs w:val="26"/>
        </w:rPr>
        <w:t>Cohen &amp; Cohen, Kerry A. Cohen and Barry L. Cohen for</w:t>
      </w:r>
      <w:r w:rsidRPr="00E84BD6">
        <w:rPr>
          <w:szCs w:val="26"/>
        </w:rPr>
        <w:t xml:space="preserve"> </w:t>
      </w:r>
      <w:r>
        <w:rPr>
          <w:szCs w:val="26"/>
        </w:rPr>
        <w:t>Plaintiffs and Respondents</w:t>
      </w:r>
      <w:r w:rsidRPr="00E84BD6">
        <w:rPr>
          <w:szCs w:val="26"/>
        </w:rPr>
        <w:t>.</w:t>
      </w:r>
    </w:p>
    <w:p w:rsidR="00FB6023" w:rsidRPr="00E84BD6" w14:paraId="27307655" w14:textId="77777777">
      <w:pPr>
        <w:ind w:firstLine="720"/>
        <w:rPr>
          <w:szCs w:val="26"/>
        </w:rPr>
      </w:pPr>
    </w:p>
    <w:p w:rsidR="00742A0C" w14:paraId="3A4D25BB" w14:textId="77777777">
      <w:pPr>
        <w:jc w:val="center"/>
      </w:pPr>
      <w:r w:rsidRPr="00E84BD6">
        <w:t>_______</w:t>
      </w:r>
      <w:r w:rsidR="003A738D">
        <w:t>__________</w:t>
      </w:r>
      <w:r w:rsidRPr="00E84BD6">
        <w:t>__________</w:t>
      </w:r>
    </w:p>
    <w:p w:rsidR="003B51AF" w14:paraId="0CAC2AF4" w14:textId="77777777">
      <w:pPr>
        <w:jc w:val="center"/>
      </w:pPr>
    </w:p>
    <w:p w:rsidR="00FB6023" w:rsidP="00A901FA" w14:paraId="2ED1F643" w14:textId="77777777">
      <w:r w:rsidRPr="00E84BD6">
        <w:tab/>
      </w:r>
    </w:p>
    <w:p w:rsidR="00D1548F" w:rsidP="00A901FA" w14:paraId="14DB6AF1" w14:textId="09387206">
      <w:r>
        <w:tab/>
      </w:r>
      <w:r w:rsidR="005618DF">
        <w:t>Armando Mendoza, Coastal Holdings, LLC, and Class A Realty, Inc. (collectively, the Mendoza defendants)</w:t>
      </w:r>
      <w:r w:rsidR="000956EC">
        <w:t xml:space="preserve"> </w:t>
      </w:r>
      <w:r w:rsidR="001815E9">
        <w:t xml:space="preserve">appeal from </w:t>
      </w:r>
      <w:r w:rsidR="00A2710A">
        <w:t xml:space="preserve">a </w:t>
      </w:r>
      <w:r w:rsidR="00C63C06">
        <w:t xml:space="preserve">judgment </w:t>
      </w:r>
      <w:r w:rsidR="00DE1A20">
        <w:t xml:space="preserve">entered after the trial court confirmed </w:t>
      </w:r>
      <w:r w:rsidR="00A2710A">
        <w:t>an</w:t>
      </w:r>
      <w:r w:rsidR="00C63C06">
        <w:t xml:space="preserve"> arbitration award</w:t>
      </w:r>
      <w:r w:rsidR="001046BD">
        <w:t xml:space="preserve"> in favor of </w:t>
      </w:r>
      <w:r w:rsidR="005618DF">
        <w:t xml:space="preserve">Miguel Valencia, Jr., and Lizette Valencia </w:t>
      </w:r>
      <w:r w:rsidR="007A3E43">
        <w:t>on the Valencias’</w:t>
      </w:r>
      <w:r w:rsidR="00C80BFB">
        <w:t xml:space="preserve"> </w:t>
      </w:r>
      <w:r w:rsidR="00AC3D15">
        <w:t>c</w:t>
      </w:r>
      <w:r w:rsidR="00C80BFB">
        <w:t xml:space="preserve">laims </w:t>
      </w:r>
      <w:r w:rsidR="00D11BB9">
        <w:t xml:space="preserve">in connection with </w:t>
      </w:r>
      <w:r w:rsidR="00783B0E">
        <w:t xml:space="preserve">undisclosed </w:t>
      </w:r>
      <w:r w:rsidR="00D11BB9">
        <w:t xml:space="preserve">defects in a </w:t>
      </w:r>
      <w:r w:rsidR="00AD75E2">
        <w:t>home</w:t>
      </w:r>
      <w:r w:rsidR="00D11BB9">
        <w:t xml:space="preserve"> </w:t>
      </w:r>
      <w:r w:rsidR="00443ECF">
        <w:t xml:space="preserve">they </w:t>
      </w:r>
      <w:r w:rsidR="00D11BB9">
        <w:t xml:space="preserve">purchased from the </w:t>
      </w:r>
      <w:r w:rsidR="00C80BFB">
        <w:t xml:space="preserve">Mendoza </w:t>
      </w:r>
      <w:r w:rsidR="00B42EE6">
        <w:t xml:space="preserve">defendants.  </w:t>
      </w:r>
      <w:r w:rsidR="00121866">
        <w:t xml:space="preserve">On appeal, </w:t>
      </w:r>
      <w:r w:rsidR="00443ECF">
        <w:t xml:space="preserve">the Mendoza defendants contend the court erred </w:t>
      </w:r>
      <w:r w:rsidR="00783B0E">
        <w:t xml:space="preserve">in </w:t>
      </w:r>
      <w:r w:rsidR="00FD2FF7">
        <w:t xml:space="preserve">denying </w:t>
      </w:r>
      <w:r w:rsidR="00783B0E">
        <w:t xml:space="preserve">their petition to vacate the arbitration award </w:t>
      </w:r>
      <w:r w:rsidR="00FD2FF7">
        <w:t xml:space="preserve">and granting </w:t>
      </w:r>
      <w:r w:rsidR="00783B0E">
        <w:t xml:space="preserve">the Valencias’ petition to confirm </w:t>
      </w:r>
      <w:r w:rsidR="008A2591">
        <w:t xml:space="preserve">the award </w:t>
      </w:r>
      <w:r w:rsidR="00783B0E">
        <w:t>after finding the</w:t>
      </w:r>
      <w:r w:rsidR="00917C9C">
        <w:t xml:space="preserve"> </w:t>
      </w:r>
      <w:r w:rsidR="00783B0E">
        <w:t>petition to vacate was untimely</w:t>
      </w:r>
      <w:r w:rsidR="00443ECF">
        <w:t>.  T</w:t>
      </w:r>
      <w:r w:rsidR="00121866">
        <w:t xml:space="preserve">he Mendoza defendants </w:t>
      </w:r>
      <w:r w:rsidR="00443ECF">
        <w:t xml:space="preserve">also </w:t>
      </w:r>
      <w:r w:rsidR="00121866">
        <w:t>contend the arbitrator committed legal error</w:t>
      </w:r>
      <w:r w:rsidR="006D6EBE">
        <w:t>—</w:t>
      </w:r>
      <w:r w:rsidR="00C92E73">
        <w:t>reviewable u</w:t>
      </w:r>
      <w:r w:rsidR="00A352BA">
        <w:t>nder the parties’ arbitration agreement</w:t>
      </w:r>
      <w:r w:rsidR="006D6EBE">
        <w:t>—</w:t>
      </w:r>
      <w:r w:rsidR="006B454A">
        <w:t xml:space="preserve">when the arbitrator excluded </w:t>
      </w:r>
      <w:r w:rsidR="005A75F8">
        <w:t xml:space="preserve">key evidence </w:t>
      </w:r>
      <w:r w:rsidR="00783B0E">
        <w:t>from</w:t>
      </w:r>
      <w:r w:rsidR="005A75F8">
        <w:t xml:space="preserve"> the arbitration hearing</w:t>
      </w:r>
      <w:r w:rsidR="006B454A">
        <w:t>.</w:t>
      </w:r>
      <w:r w:rsidR="00723126">
        <w:t xml:space="preserve">  </w:t>
      </w:r>
    </w:p>
    <w:p w:rsidR="00742A0C" w:rsidP="00AD59C0" w14:paraId="3A27AD63" w14:textId="578638B1">
      <w:pPr>
        <w:ind w:firstLine="720"/>
      </w:pPr>
      <w:r w:rsidRPr="00660F53">
        <w:t xml:space="preserve">The trial court correctly found that the Mendoza defendants’ petition to vacate </w:t>
      </w:r>
      <w:r w:rsidRPr="00660F53" w:rsidR="00AD378A">
        <w:t xml:space="preserve">the arbitration award </w:t>
      </w:r>
      <w:r w:rsidRPr="00660F53">
        <w:t>was untimely under Code of Civil Procedure section</w:t>
      </w:r>
      <w:r w:rsidR="00660F53">
        <w:t> </w:t>
      </w:r>
      <w:r w:rsidRPr="00660F53">
        <w:t>1290.6</w:t>
      </w:r>
      <w:r>
        <w:rPr>
          <w:rStyle w:val="FootnoteReference"/>
        </w:rPr>
        <w:footnoteReference w:id="3"/>
      </w:r>
      <w:r w:rsidRPr="00660F53">
        <w:t xml:space="preserve"> because it was filed more than 10</w:t>
      </w:r>
      <w:r w:rsidR="00660F53">
        <w:t> </w:t>
      </w:r>
      <w:r w:rsidRPr="00660F53">
        <w:t xml:space="preserve">days after service of the Valencias’ petition to </w:t>
      </w:r>
      <w:r w:rsidRPr="00660F53" w:rsidR="00AD378A">
        <w:t>confirm the arbitration award.  The fact the petition to vacate complied with the deadline under section</w:t>
      </w:r>
      <w:r w:rsidR="00660F53">
        <w:t> </w:t>
      </w:r>
      <w:r w:rsidRPr="00660F53" w:rsidR="00AD378A">
        <w:t>1288 to file the petition within 100</w:t>
      </w:r>
      <w:r w:rsidR="00660F53">
        <w:t> </w:t>
      </w:r>
      <w:r w:rsidRPr="00660F53" w:rsidR="00AD378A">
        <w:t>days of service of a signed copy of the arbitration award does not excuse the failure to meet the 10-day deadline to respond to the petition to confirm the award—</w:t>
      </w:r>
      <w:r w:rsidRPr="00660F53" w:rsidR="00E50004">
        <w:t xml:space="preserve">a </w:t>
      </w:r>
      <w:r w:rsidRPr="00660F53" w:rsidR="00AD378A">
        <w:t>response seeking vacation of the arbitration award was required to comply with both.  Although the court had discretion to extend the deadline under section</w:t>
      </w:r>
      <w:r w:rsidR="00660F53">
        <w:t> </w:t>
      </w:r>
      <w:r w:rsidRPr="00660F53" w:rsidR="00AD378A">
        <w:t xml:space="preserve">1290.6 for good cause, it did not abuse its discretion in finding no good cause.  We therefore consider whether the Mendoza defendants met their burden to show </w:t>
      </w:r>
      <w:r w:rsidRPr="00660F53" w:rsidR="00AD59C0">
        <w:t xml:space="preserve">the arbitrator erred in its rulings excluding evidence by reviewing the Mendoza defendants’ </w:t>
      </w:r>
      <w:r w:rsidRPr="00660F53" w:rsidR="00AD378A">
        <w:t>initial opposition</w:t>
      </w:r>
      <w:r w:rsidRPr="00660F53" w:rsidR="00AD59C0">
        <w:t xml:space="preserve"> to the petition to confirm the arbitration award</w:t>
      </w:r>
      <w:r w:rsidRPr="00660F53" w:rsidR="00AD378A">
        <w:t>, without considering the declarations they later filed with their untimely petition to vacate.  They did not</w:t>
      </w:r>
      <w:r w:rsidRPr="00660F53" w:rsidR="00AD59C0">
        <w:t xml:space="preserve"> meet their burden</w:t>
      </w:r>
      <w:r w:rsidRPr="00660F53" w:rsidR="00AD378A">
        <w:t>, and w</w:t>
      </w:r>
      <w:r w:rsidRPr="00660F53" w:rsidR="007427D8">
        <w:t>e affirm.</w:t>
      </w:r>
      <w:r w:rsidR="00E81CD1">
        <w:t xml:space="preserve"> </w:t>
      </w:r>
      <w:r w:rsidR="00C63C06">
        <w:t xml:space="preserve">  </w:t>
      </w:r>
    </w:p>
    <w:p w:rsidR="001815E9" w:rsidRPr="00E84BD6" w14:paraId="1F3385E2" w14:textId="77777777"/>
    <w:p w:rsidR="00742A0C" w:rsidRPr="00E84BD6" w14:paraId="16A3FD8E" w14:textId="77777777">
      <w:pPr>
        <w:pStyle w:val="Heading1"/>
      </w:pPr>
      <w:r w:rsidRPr="00E84BD6">
        <w:t>BACKGROUND AND PROCEDURAL HISTORY</w:t>
      </w:r>
    </w:p>
    <w:p w:rsidR="00742A0C" w:rsidRPr="00E84BD6" w:rsidP="00A34669" w14:paraId="2C42EAE2" w14:textId="77777777">
      <w:pPr>
        <w:pStyle w:val="FootnoteText"/>
      </w:pPr>
    </w:p>
    <w:p w:rsidR="00742A0C" w:rsidRPr="00E84BD6" w:rsidP="00F0002E" w14:paraId="1E399FB8" w14:textId="02B21758">
      <w:pPr>
        <w:pStyle w:val="Heading2"/>
      </w:pPr>
      <w:r>
        <w:t xml:space="preserve">The </w:t>
      </w:r>
      <w:r w:rsidR="00504242">
        <w:t xml:space="preserve">Valencias’ </w:t>
      </w:r>
      <w:r w:rsidR="00AD75E2">
        <w:t>Home Purchase</w:t>
      </w:r>
      <w:r>
        <w:rPr>
          <w:rStyle w:val="FootnoteReference"/>
        </w:rPr>
        <w:footnoteReference w:id="4"/>
      </w:r>
      <w:r>
        <w:t xml:space="preserve"> </w:t>
      </w:r>
    </w:p>
    <w:p w:rsidR="00504242" w14:paraId="1463F33B" w14:textId="7B908955">
      <w:pPr>
        <w:ind w:firstLine="720"/>
      </w:pPr>
      <w:r>
        <w:t>In August 2016 the Valencias</w:t>
      </w:r>
      <w:r w:rsidR="00C17791">
        <w:t xml:space="preserve"> </w:t>
      </w:r>
      <w:r>
        <w:t xml:space="preserve">purchased a </w:t>
      </w:r>
      <w:r w:rsidR="009514F5">
        <w:t>house</w:t>
      </w:r>
      <w:r>
        <w:t xml:space="preserve"> on South Harbor View Drive in </w:t>
      </w:r>
      <w:r w:rsidR="00AC490D">
        <w:t>San Pedro</w:t>
      </w:r>
      <w:r w:rsidR="00703061">
        <w:t xml:space="preserve"> (the home)</w:t>
      </w:r>
      <w:r w:rsidR="00AC490D">
        <w:t xml:space="preserve"> </w:t>
      </w:r>
      <w:r>
        <w:t xml:space="preserve">from Coastal Holdings, </w:t>
      </w:r>
      <w:r w:rsidR="00754DEE">
        <w:t>a company wholly owned and controlled by Mendoza</w:t>
      </w:r>
      <w:r>
        <w:t xml:space="preserve">. </w:t>
      </w:r>
      <w:r w:rsidR="00AC490D">
        <w:t xml:space="preserve"> </w:t>
      </w:r>
      <w:r>
        <w:t>Mendoza’s broker in the transaction was Class A Realty</w:t>
      </w:r>
      <w:r w:rsidR="00AC490D">
        <w:t xml:space="preserve">; Mendoza owned </w:t>
      </w:r>
      <w:r>
        <w:t>50</w:t>
      </w:r>
      <w:r w:rsidR="00CB527C">
        <w:t> </w:t>
      </w:r>
      <w:r>
        <w:t xml:space="preserve">percent of </w:t>
      </w:r>
      <w:r w:rsidR="00AC490D">
        <w:t>Class A Realty</w:t>
      </w:r>
      <w:r w:rsidR="00B214D8">
        <w:t>,</w:t>
      </w:r>
      <w:r w:rsidR="00AC490D">
        <w:t xml:space="preserve"> </w:t>
      </w:r>
      <w:r w:rsidR="00D118E2">
        <w:t>a</w:t>
      </w:r>
      <w:r w:rsidR="00AC490D">
        <w:t xml:space="preserve">nd his </w:t>
      </w:r>
      <w:r>
        <w:t xml:space="preserve">fiancée owned the other </w:t>
      </w:r>
      <w:r w:rsidR="00AC490D">
        <w:t>50</w:t>
      </w:r>
      <w:r w:rsidR="00CB527C">
        <w:t> </w:t>
      </w:r>
      <w:r w:rsidR="003014CE">
        <w:t>percent</w:t>
      </w:r>
      <w:r w:rsidR="00AC490D">
        <w:t xml:space="preserve">. </w:t>
      </w:r>
      <w:r>
        <w:t xml:space="preserve"> </w:t>
      </w:r>
      <w:r w:rsidR="004671DA">
        <w:t xml:space="preserve">The </w:t>
      </w:r>
      <w:r w:rsidR="00066137">
        <w:t>Valencias were attracted to the home because it appeared to be</w:t>
      </w:r>
      <w:r w:rsidR="004671DA">
        <w:t xml:space="preserve"> in move-in</w:t>
      </w:r>
      <w:r w:rsidR="00C17791">
        <w:t xml:space="preserve"> </w:t>
      </w:r>
      <w:r w:rsidR="004671DA">
        <w:t>condition</w:t>
      </w:r>
      <w:r w:rsidR="00AF5A14">
        <w:t>.</w:t>
      </w:r>
      <w:r w:rsidR="0084262E">
        <w:t xml:space="preserve"> </w:t>
      </w:r>
    </w:p>
    <w:p w:rsidR="00110119" w14:paraId="436579E6" w14:textId="7A51E24E">
      <w:pPr>
        <w:ind w:firstLine="720"/>
      </w:pPr>
      <w:r>
        <w:t xml:space="preserve">Mendoza had purchased the home </w:t>
      </w:r>
      <w:r w:rsidR="00430022">
        <w:t xml:space="preserve">several months earlier from </w:t>
      </w:r>
      <w:r w:rsidRPr="00CB527C" w:rsidR="000F2EF6">
        <w:t>Fillipo</w:t>
      </w:r>
      <w:r w:rsidR="000F2EF6">
        <w:t xml:space="preserve"> Tranni</w:t>
      </w:r>
      <w:r w:rsidR="00D16451">
        <w:t xml:space="preserve"> </w:t>
      </w:r>
      <w:r w:rsidR="00B33B99">
        <w:t>with the intention to “flip”</w:t>
      </w:r>
      <w:r>
        <w:rPr>
          <w:rStyle w:val="FootnoteReference"/>
        </w:rPr>
        <w:footnoteReference w:id="5"/>
      </w:r>
      <w:r w:rsidR="00B33B99">
        <w:t xml:space="preserve"> </w:t>
      </w:r>
      <w:r w:rsidR="00783B0E">
        <w:t>the home</w:t>
      </w:r>
      <w:r w:rsidR="00B33B99">
        <w:t xml:space="preserve"> for </w:t>
      </w:r>
      <w:r w:rsidR="006D4CF9">
        <w:t xml:space="preserve">resale.  Tranni had lived in the home for many </w:t>
      </w:r>
      <w:r w:rsidR="00E45907">
        <w:t xml:space="preserve">years </w:t>
      </w:r>
      <w:r w:rsidR="006D4CF9">
        <w:t xml:space="preserve">and </w:t>
      </w:r>
      <w:r w:rsidR="004D1451">
        <w:t xml:space="preserve">started </w:t>
      </w:r>
      <w:r w:rsidR="00E45907">
        <w:t>a major renovation</w:t>
      </w:r>
      <w:r w:rsidR="00783B0E">
        <w:t>:  T</w:t>
      </w:r>
      <w:r w:rsidR="00D118E2">
        <w:t>ranni</w:t>
      </w:r>
      <w:r w:rsidR="006D4CF9">
        <w:t xml:space="preserve"> </w:t>
      </w:r>
      <w:r w:rsidR="005B3C11">
        <w:t xml:space="preserve">had </w:t>
      </w:r>
      <w:r w:rsidR="006D4CF9">
        <w:t>hired an architect</w:t>
      </w:r>
      <w:r w:rsidR="00EB5717">
        <w:t xml:space="preserve">, obtained </w:t>
      </w:r>
      <w:r w:rsidR="004D1451">
        <w:t xml:space="preserve">some </w:t>
      </w:r>
      <w:r w:rsidR="00EB5717">
        <w:t>permits, and begun de</w:t>
      </w:r>
      <w:r w:rsidR="00FC1E2A">
        <w:t>molition</w:t>
      </w:r>
      <w:r w:rsidR="00EB5717">
        <w:t xml:space="preserve"> work when he </w:t>
      </w:r>
      <w:r w:rsidR="00254AE7">
        <w:t xml:space="preserve">realized the renovation was too </w:t>
      </w:r>
      <w:r w:rsidR="004D1451">
        <w:t>complicated</w:t>
      </w:r>
      <w:r w:rsidR="00F74E62">
        <w:t>,</w:t>
      </w:r>
      <w:r w:rsidR="008E0056">
        <w:t xml:space="preserve"> and </w:t>
      </w:r>
      <w:r w:rsidR="00F74E62">
        <w:t xml:space="preserve">he </w:t>
      </w:r>
      <w:r w:rsidR="008E0056">
        <w:t xml:space="preserve">decided </w:t>
      </w:r>
      <w:r>
        <w:t xml:space="preserve">instead </w:t>
      </w:r>
      <w:r w:rsidR="008E0056">
        <w:t>to sell</w:t>
      </w:r>
      <w:r w:rsidR="00052A61">
        <w:t xml:space="preserve"> the home</w:t>
      </w:r>
      <w:r w:rsidR="00EB5717">
        <w:t>.</w:t>
      </w:r>
      <w:r w:rsidR="004D1451">
        <w:t xml:space="preserve"> </w:t>
      </w:r>
      <w:r w:rsidR="00254AE7">
        <w:t xml:space="preserve"> </w:t>
      </w:r>
      <w:r w:rsidR="00783B0E">
        <w:t xml:space="preserve">In selling the home to Mendoza, </w:t>
      </w:r>
      <w:r w:rsidR="00254AE7">
        <w:t xml:space="preserve">Tranni </w:t>
      </w:r>
      <w:r w:rsidR="00783B0E">
        <w:t>disclosed</w:t>
      </w:r>
      <w:r w:rsidR="00254AE7">
        <w:t xml:space="preserve"> </w:t>
      </w:r>
      <w:r w:rsidR="004D1451">
        <w:t xml:space="preserve">that work had been </w:t>
      </w:r>
      <w:r w:rsidR="00624B8E">
        <w:t>d</w:t>
      </w:r>
      <w:r w:rsidR="004D1451">
        <w:t>one without necessary permits</w:t>
      </w:r>
      <w:r w:rsidR="00FC1E2A">
        <w:t>,</w:t>
      </w:r>
      <w:r w:rsidR="004D1451">
        <w:t xml:space="preserve"> and </w:t>
      </w:r>
      <w:r w:rsidR="00FC1E2A">
        <w:t xml:space="preserve">it </w:t>
      </w:r>
      <w:r w:rsidR="004D1451">
        <w:t>was not in compliance with building codes</w:t>
      </w:r>
      <w:r w:rsidR="00537A18">
        <w:t xml:space="preserve">.  Tranni also </w:t>
      </w:r>
      <w:r w:rsidR="003C5730">
        <w:t>disclosed</w:t>
      </w:r>
      <w:r>
        <w:t xml:space="preserve"> </w:t>
      </w:r>
      <w:r w:rsidR="00431104">
        <w:t xml:space="preserve">the </w:t>
      </w:r>
      <w:r w:rsidR="003C5730">
        <w:t>home</w:t>
      </w:r>
      <w:r w:rsidR="00431104">
        <w:t xml:space="preserve"> had other issues</w:t>
      </w:r>
      <w:r w:rsidR="00116730">
        <w:t>,</w:t>
      </w:r>
      <w:r w:rsidR="00431104">
        <w:t xml:space="preserve"> including</w:t>
      </w:r>
      <w:r w:rsidR="00624B8E">
        <w:t xml:space="preserve"> </w:t>
      </w:r>
      <w:r w:rsidR="00052A61">
        <w:t>w</w:t>
      </w:r>
      <w:r w:rsidR="00BC34DC">
        <w:t xml:space="preserve">ater intrusion, </w:t>
      </w:r>
      <w:r w:rsidR="00721DEA">
        <w:t>stucco</w:t>
      </w:r>
      <w:r w:rsidR="00116730">
        <w:t xml:space="preserve"> that was chipping</w:t>
      </w:r>
      <w:r w:rsidR="00721DEA">
        <w:t xml:space="preserve">, </w:t>
      </w:r>
      <w:r w:rsidR="00431104">
        <w:t xml:space="preserve">and </w:t>
      </w:r>
      <w:r w:rsidR="00721DEA">
        <w:t>improperly installed windows.</w:t>
      </w:r>
      <w:r w:rsidR="004D1451">
        <w:t xml:space="preserve"> </w:t>
      </w:r>
    </w:p>
    <w:p w:rsidR="00134AA5" w14:paraId="43D422C1" w14:textId="64B1080C">
      <w:pPr>
        <w:ind w:firstLine="720"/>
      </w:pPr>
      <w:r>
        <w:t>Mendoza</w:t>
      </w:r>
      <w:r w:rsidR="00071EE0">
        <w:t xml:space="preserve"> </w:t>
      </w:r>
      <w:r w:rsidR="00B2448A">
        <w:t>w</w:t>
      </w:r>
      <w:r w:rsidR="00071EE0">
        <w:t>as an experienced house flipper, having flipped 50 to 60 ho</w:t>
      </w:r>
      <w:r w:rsidR="00902B70">
        <w:t>uses</w:t>
      </w:r>
      <w:r w:rsidR="00071EE0">
        <w:t xml:space="preserve"> in the past.  Mendo</w:t>
      </w:r>
      <w:r w:rsidR="00B37E02">
        <w:t xml:space="preserve">za hired </w:t>
      </w:r>
      <w:r w:rsidRPr="00CB527C" w:rsidR="00B37E02">
        <w:t>Pablo</w:t>
      </w:r>
      <w:r w:rsidR="00B37E02">
        <w:t xml:space="preserve"> Rivas</w:t>
      </w:r>
      <w:r w:rsidR="003877D6">
        <w:t xml:space="preserve"> </w:t>
      </w:r>
      <w:r w:rsidR="00A54E20">
        <w:t xml:space="preserve">and </w:t>
      </w:r>
      <w:r w:rsidRPr="00CB527C" w:rsidR="00A54E20">
        <w:t>Carlos</w:t>
      </w:r>
      <w:r w:rsidR="00A54E20">
        <w:t xml:space="preserve"> Navarro </w:t>
      </w:r>
      <w:r w:rsidR="00D232D6">
        <w:t xml:space="preserve">to </w:t>
      </w:r>
      <w:r w:rsidR="00E42FDA">
        <w:t>perform</w:t>
      </w:r>
      <w:r w:rsidR="00D232D6">
        <w:t xml:space="preserve"> construction work </w:t>
      </w:r>
      <w:r w:rsidR="00982C52">
        <w:t xml:space="preserve">to finish </w:t>
      </w:r>
      <w:r w:rsidR="00A352BA">
        <w:t>Tranni’s</w:t>
      </w:r>
      <w:r w:rsidR="00982C52">
        <w:t xml:space="preserve"> renovation </w:t>
      </w:r>
      <w:r w:rsidR="008A3DA8">
        <w:t xml:space="preserve">and </w:t>
      </w:r>
      <w:r w:rsidR="00783B0E">
        <w:t>allow</w:t>
      </w:r>
      <w:r w:rsidR="00982C52">
        <w:t xml:space="preserve"> resale as soon as possible</w:t>
      </w:r>
      <w:r w:rsidR="00D232D6">
        <w:t>.</w:t>
      </w:r>
      <w:r w:rsidR="005C3479">
        <w:t xml:space="preserve"> </w:t>
      </w:r>
      <w:r w:rsidR="00D232D6">
        <w:t xml:space="preserve"> </w:t>
      </w:r>
      <w:r w:rsidR="00BB3462">
        <w:t>Mendoza</w:t>
      </w:r>
      <w:r w:rsidR="005D47E2">
        <w:t xml:space="preserve"> identified </w:t>
      </w:r>
      <w:r w:rsidR="00B2448A">
        <w:t>himself as</w:t>
      </w:r>
      <w:r w:rsidR="00E42FDA">
        <w:t xml:space="preserve"> the</w:t>
      </w:r>
      <w:r w:rsidR="00B2448A">
        <w:t xml:space="preserve"> “owner/builder”</w:t>
      </w:r>
      <w:r w:rsidR="00BB3462">
        <w:t xml:space="preserve"> </w:t>
      </w:r>
      <w:r w:rsidR="002E0C9C">
        <w:t>on applications for</w:t>
      </w:r>
      <w:r w:rsidR="009E6F57">
        <w:t xml:space="preserve"> </w:t>
      </w:r>
      <w:r w:rsidR="009F493C">
        <w:t xml:space="preserve">the </w:t>
      </w:r>
      <w:r w:rsidR="00BB3462">
        <w:t>building permits he believed necessary</w:t>
      </w:r>
      <w:r w:rsidR="009F493C">
        <w:t xml:space="preserve"> for the job</w:t>
      </w:r>
      <w:r w:rsidR="008A3DA8">
        <w:t xml:space="preserve">; </w:t>
      </w:r>
      <w:r w:rsidR="008A3096">
        <w:t xml:space="preserve">his </w:t>
      </w:r>
      <w:r w:rsidR="00C92F24">
        <w:t>self-</w:t>
      </w:r>
      <w:r w:rsidR="008A3096">
        <w:t xml:space="preserve">identification as the owner/builder </w:t>
      </w:r>
      <w:r w:rsidR="00D621D3">
        <w:t>required that all work be done by licensed contractors</w:t>
      </w:r>
      <w:r w:rsidR="00C278F2">
        <w:t>.</w:t>
      </w:r>
      <w:r w:rsidR="00EB5717">
        <w:t xml:space="preserve"> </w:t>
      </w:r>
      <w:r w:rsidR="00AE42AB">
        <w:t xml:space="preserve"> </w:t>
      </w:r>
      <w:r w:rsidR="009E6F57">
        <w:t xml:space="preserve">Mendoza, Rivas, and Navarro were not licensed contractors.  </w:t>
      </w:r>
      <w:r w:rsidR="00D621D3">
        <w:t xml:space="preserve">Further, </w:t>
      </w:r>
      <w:r w:rsidR="00070398">
        <w:t xml:space="preserve">a </w:t>
      </w:r>
      <w:r w:rsidR="00A3752E">
        <w:t xml:space="preserve">significant </w:t>
      </w:r>
      <w:r w:rsidR="00070398">
        <w:t xml:space="preserve">amount of </w:t>
      </w:r>
      <w:r w:rsidR="00A3752E">
        <w:t xml:space="preserve">work was </w:t>
      </w:r>
      <w:r w:rsidR="00E61E28">
        <w:t>completed</w:t>
      </w:r>
      <w:r w:rsidR="00A3752E">
        <w:t xml:space="preserve"> before Mendoza obtained permits, </w:t>
      </w:r>
      <w:r w:rsidR="00DF4968">
        <w:t xml:space="preserve">so when the building inspector came </w:t>
      </w:r>
      <w:r w:rsidR="00783B0E">
        <w:t xml:space="preserve">to the site </w:t>
      </w:r>
      <w:r w:rsidR="00A352BA">
        <w:t>for</w:t>
      </w:r>
      <w:r w:rsidR="00783B0E">
        <w:t xml:space="preserve"> </w:t>
      </w:r>
      <w:r w:rsidR="008A3096">
        <w:t xml:space="preserve">a </w:t>
      </w:r>
      <w:r w:rsidR="00783B0E">
        <w:t xml:space="preserve">code </w:t>
      </w:r>
      <w:r w:rsidR="00A352BA">
        <w:t>inspection</w:t>
      </w:r>
      <w:r w:rsidR="00DF4968">
        <w:t xml:space="preserve">, </w:t>
      </w:r>
      <w:r w:rsidR="00E61E28">
        <w:t>the inspector</w:t>
      </w:r>
      <w:r w:rsidR="00DF4968">
        <w:t xml:space="preserve"> could not see </w:t>
      </w:r>
      <w:r w:rsidR="00052A61">
        <w:t xml:space="preserve">the </w:t>
      </w:r>
      <w:r w:rsidR="008A3096">
        <w:t xml:space="preserve">prior </w:t>
      </w:r>
      <w:r w:rsidR="00052A61">
        <w:t xml:space="preserve">work and </w:t>
      </w:r>
      <w:r w:rsidR="00DF4968">
        <w:t xml:space="preserve">whether it </w:t>
      </w:r>
      <w:r w:rsidR="00052A61">
        <w:t xml:space="preserve">complied with building codes. </w:t>
      </w:r>
      <w:r w:rsidR="00783B0E">
        <w:t xml:space="preserve"> </w:t>
      </w:r>
      <w:r w:rsidR="00D256AA">
        <w:t>Other</w:t>
      </w:r>
      <w:r w:rsidR="00E61E28">
        <w:t xml:space="preserve"> </w:t>
      </w:r>
      <w:r w:rsidR="00F83F33">
        <w:t xml:space="preserve">work </w:t>
      </w:r>
      <w:r w:rsidR="00A0268F">
        <w:t xml:space="preserve">was </w:t>
      </w:r>
      <w:r w:rsidR="00E61E28">
        <w:t xml:space="preserve">entirely </w:t>
      </w:r>
      <w:r w:rsidR="00A0268F">
        <w:t>unpermitted</w:t>
      </w:r>
      <w:r w:rsidR="00070398">
        <w:t>.</w:t>
      </w:r>
      <w:r w:rsidR="00EB6377">
        <w:t xml:space="preserve">  When Mendoza sold the home to </w:t>
      </w:r>
      <w:r w:rsidR="00A45FA1">
        <w:t xml:space="preserve">the Valencias, he did not disclose the issues previously disclosed by </w:t>
      </w:r>
      <w:r w:rsidR="006E4021">
        <w:t xml:space="preserve">Tranni, nor did he disclose that he did unpermitted work using unlicensed </w:t>
      </w:r>
      <w:r w:rsidR="00895DE3">
        <w:t>contractors</w:t>
      </w:r>
      <w:r w:rsidR="006E4021">
        <w:t xml:space="preserve">. </w:t>
      </w:r>
      <w:r w:rsidR="00A0268F">
        <w:t xml:space="preserve"> When he listed the property</w:t>
      </w:r>
      <w:r w:rsidR="00790DFD">
        <w:t xml:space="preserve"> </w:t>
      </w:r>
      <w:r w:rsidR="00624B8E">
        <w:t>for sale</w:t>
      </w:r>
      <w:r w:rsidR="00A0268F">
        <w:t>, he described it as “</w:t>
      </w:r>
      <w:r w:rsidR="001B4154">
        <w:t>‘</w:t>
      </w:r>
      <w:r w:rsidR="00A0268F">
        <w:t>completely remodeled</w:t>
      </w:r>
      <w:r w:rsidR="001B4154">
        <w:t>’</w:t>
      </w:r>
      <w:r w:rsidR="00A0268F">
        <w:t>” with “</w:t>
      </w:r>
      <w:r w:rsidR="001B4154">
        <w:t>‘</w:t>
      </w:r>
      <w:r w:rsidR="00A0268F">
        <w:t>no expense spared.</w:t>
      </w:r>
      <w:r w:rsidR="001B4154">
        <w:t>’</w:t>
      </w:r>
      <w:r w:rsidR="00A0268F">
        <w:t xml:space="preserve">” </w:t>
      </w:r>
    </w:p>
    <w:p w:rsidR="00F534B5" w14:paraId="6191A581" w14:textId="6FA882C9">
      <w:pPr>
        <w:ind w:firstLine="720"/>
      </w:pPr>
      <w:r>
        <w:t xml:space="preserve"> </w:t>
      </w:r>
      <w:r w:rsidR="00D372B7">
        <w:t xml:space="preserve">Shortly after the Valencias purchased the home and moved in, problems arose.  After the first rain, water poured in around the windows installed by Mendoza.  </w:t>
      </w:r>
      <w:r w:rsidR="00783B0E">
        <w:t>While</w:t>
      </w:r>
      <w:r w:rsidR="00E30E48">
        <w:t xml:space="preserve"> </w:t>
      </w:r>
      <w:r w:rsidR="004C07EB">
        <w:t xml:space="preserve">unsuccessful attempts to remedy the leak and </w:t>
      </w:r>
      <w:r w:rsidR="00E30E48">
        <w:t>repair the damage</w:t>
      </w:r>
      <w:r w:rsidR="004C07EB">
        <w:t xml:space="preserve"> were underway, numerous other defects </w:t>
      </w:r>
      <w:r w:rsidR="00FE699F">
        <w:t>became apparent</w:t>
      </w:r>
      <w:r>
        <w:t xml:space="preserve">.  It was necessary for the Valencias to </w:t>
      </w:r>
      <w:r w:rsidR="00B939CD">
        <w:t>move out of the home</w:t>
      </w:r>
      <w:r>
        <w:t xml:space="preserve"> for several months while extensive repairs were </w:t>
      </w:r>
      <w:r w:rsidR="00783B0E">
        <w:t>made</w:t>
      </w:r>
      <w:r>
        <w:t xml:space="preserve">. </w:t>
      </w:r>
    </w:p>
    <w:p w:rsidR="00E679B3" w14:paraId="5AF8B25D" w14:textId="444DF200">
      <w:pPr>
        <w:ind w:firstLine="720"/>
      </w:pPr>
    </w:p>
    <w:p w:rsidR="00095A34" w14:paraId="11DF7E58" w14:textId="1F2D70DD">
      <w:pPr>
        <w:pStyle w:val="Heading2"/>
      </w:pPr>
      <w:r>
        <w:t>The Arbitration</w:t>
      </w:r>
      <w:r w:rsidR="002E2845">
        <w:t xml:space="preserve"> and Award</w:t>
      </w:r>
      <w:r>
        <w:t xml:space="preserve"> </w:t>
      </w:r>
    </w:p>
    <w:p w:rsidR="002E2845" w:rsidP="0096109E" w14:paraId="59788E6E" w14:textId="53501380">
      <w:pPr>
        <w:ind w:firstLine="720"/>
      </w:pPr>
      <w:r>
        <w:t xml:space="preserve">On </w:t>
      </w:r>
      <w:r w:rsidR="00BF524E">
        <w:t xml:space="preserve">October 2, 2018 the Valencias filed this </w:t>
      </w:r>
      <w:r w:rsidR="00783B0E">
        <w:t>action</w:t>
      </w:r>
      <w:r w:rsidR="00BF524E">
        <w:t xml:space="preserve"> against the Mendoza defendants</w:t>
      </w:r>
      <w:r w:rsidR="00560D3C">
        <w:t xml:space="preserve">, asserting </w:t>
      </w:r>
      <w:r w:rsidR="00FE699F">
        <w:t>10</w:t>
      </w:r>
      <w:r w:rsidR="00560D3C">
        <w:t xml:space="preserve"> causes of action </w:t>
      </w:r>
      <w:r w:rsidR="00740545">
        <w:t xml:space="preserve">based on </w:t>
      </w:r>
      <w:r w:rsidR="004352BD">
        <w:t xml:space="preserve">fraudulent </w:t>
      </w:r>
      <w:r w:rsidR="00740545">
        <w:t>concealment of defects in the home</w:t>
      </w:r>
      <w:r w:rsidR="000E1C1E">
        <w:t>.</w:t>
      </w:r>
      <w:r>
        <w:rPr>
          <w:rStyle w:val="FootnoteReference"/>
        </w:rPr>
        <w:footnoteReference w:id="6"/>
      </w:r>
      <w:r w:rsidR="000E1C1E">
        <w:t xml:space="preserve"> </w:t>
      </w:r>
      <w:r w:rsidR="0041254B">
        <w:t xml:space="preserve"> After the Mendoza defendants moved to compel arbitration,</w:t>
      </w:r>
      <w:r w:rsidR="00DF5756">
        <w:t xml:space="preserve"> </w:t>
      </w:r>
      <w:r w:rsidR="00D26493">
        <w:t>the parties</w:t>
      </w:r>
      <w:r w:rsidR="00B92E97">
        <w:t xml:space="preserve"> agreed to</w:t>
      </w:r>
      <w:r w:rsidR="00D26493">
        <w:t xml:space="preserve"> a stipulation </w:t>
      </w:r>
      <w:r w:rsidR="0083082D">
        <w:t xml:space="preserve">for binding arbitration and a stay of the </w:t>
      </w:r>
      <w:r w:rsidR="000021A0">
        <w:t xml:space="preserve">court </w:t>
      </w:r>
      <w:r w:rsidR="0083082D">
        <w:t>action</w:t>
      </w:r>
      <w:r w:rsidR="004963B6">
        <w:t xml:space="preserve">, which the trial court approved </w:t>
      </w:r>
      <w:r w:rsidR="00934B65">
        <w:t xml:space="preserve">and entered </w:t>
      </w:r>
      <w:r w:rsidR="004963B6">
        <w:t xml:space="preserve">on </w:t>
      </w:r>
      <w:r w:rsidR="00250151">
        <w:t xml:space="preserve">January 25, 2019.  </w:t>
      </w:r>
      <w:r w:rsidR="009419CD">
        <w:t xml:space="preserve">Paragraph </w:t>
      </w:r>
      <w:r w:rsidR="00CF265B">
        <w:t>8</w:t>
      </w:r>
      <w:r w:rsidR="009419CD">
        <w:t xml:space="preserve"> of the </w:t>
      </w:r>
      <w:r w:rsidR="000021A0">
        <w:t xml:space="preserve">parties’ </w:t>
      </w:r>
      <w:r w:rsidR="009419CD">
        <w:t xml:space="preserve">stipulation </w:t>
      </w:r>
      <w:r w:rsidR="00E92F5B">
        <w:t xml:space="preserve">provided for </w:t>
      </w:r>
      <w:r w:rsidR="00063583">
        <w:t xml:space="preserve">enhanced </w:t>
      </w:r>
      <w:r w:rsidR="00E92F5B">
        <w:t xml:space="preserve">judicial review of </w:t>
      </w:r>
      <w:r w:rsidR="00063583">
        <w:t>the arbitration award pursuant to</w:t>
      </w:r>
      <w:r w:rsidRPr="00063583" w:rsidR="00063583">
        <w:rPr>
          <w:i/>
          <w:iCs/>
        </w:rPr>
        <w:t xml:space="preserve"> </w:t>
      </w:r>
      <w:r w:rsidRPr="0096109E" w:rsidR="00063583">
        <w:rPr>
          <w:i/>
          <w:iCs/>
        </w:rPr>
        <w:t>Cable Connection, Inc. v. DIRECTV, Inc.</w:t>
      </w:r>
      <w:r w:rsidR="00063583">
        <w:rPr>
          <w:i/>
          <w:iCs/>
        </w:rPr>
        <w:t xml:space="preserve"> </w:t>
      </w:r>
      <w:r w:rsidR="00063583">
        <w:t>(2008) 44</w:t>
      </w:r>
      <w:r w:rsidR="00DC2778">
        <w:t> </w:t>
      </w:r>
      <w:r w:rsidR="00063583">
        <w:t>Cal.4th 1334</w:t>
      </w:r>
      <w:r w:rsidR="00F64E44">
        <w:t xml:space="preserve"> </w:t>
      </w:r>
      <w:r w:rsidR="00CF61D9">
        <w:t>(</w:t>
      </w:r>
      <w:r w:rsidR="00CF61D9">
        <w:rPr>
          <w:i/>
          <w:iCs/>
        </w:rPr>
        <w:t>Cable Connection</w:t>
      </w:r>
      <w:r w:rsidR="00CF61D9">
        <w:t xml:space="preserve">).  The agreement </w:t>
      </w:r>
      <w:r w:rsidR="000908A8">
        <w:t>stated</w:t>
      </w:r>
      <w:r w:rsidR="00CB7BEC">
        <w:t>, “[T]</w:t>
      </w:r>
      <w:r w:rsidR="0096109E">
        <w:t>he Arbitrator shall apply</w:t>
      </w:r>
      <w:r w:rsidR="00177979">
        <w:t xml:space="preserve"> </w:t>
      </w:r>
      <w:r w:rsidR="0096109E">
        <w:t xml:space="preserve">California substantive law to the proceeding. </w:t>
      </w:r>
      <w:r w:rsidR="00177979">
        <w:t xml:space="preserve"> </w:t>
      </w:r>
      <w:r w:rsidR="0096109E">
        <w:t>The</w:t>
      </w:r>
      <w:r w:rsidR="00177979">
        <w:t xml:space="preserve"> </w:t>
      </w:r>
      <w:r w:rsidR="0096109E">
        <w:t>arbitrator shall not have the power to commit errors of</w:t>
      </w:r>
      <w:r w:rsidR="00177979">
        <w:t xml:space="preserve"> </w:t>
      </w:r>
      <w:r w:rsidR="0096109E">
        <w:t>law or legal reasoning, and the award may be vacated</w:t>
      </w:r>
      <w:r w:rsidR="00177979">
        <w:t xml:space="preserve"> </w:t>
      </w:r>
      <w:r w:rsidR="0096109E">
        <w:t>or corrected on appeal to a court of competent</w:t>
      </w:r>
      <w:r w:rsidR="00177979">
        <w:t xml:space="preserve"> </w:t>
      </w:r>
      <w:r w:rsidR="0096109E">
        <w:t xml:space="preserve">jurisdiction for any such error. </w:t>
      </w:r>
      <w:r w:rsidR="00177979">
        <w:t xml:space="preserve"> </w:t>
      </w:r>
      <w:r w:rsidR="0096109E">
        <w:t>It is the explicit and</w:t>
      </w:r>
      <w:r w:rsidR="00177979">
        <w:t xml:space="preserve"> </w:t>
      </w:r>
      <w:r w:rsidR="0096109E">
        <w:t>unambiguous intent of the parties that any error of</w:t>
      </w:r>
      <w:r w:rsidR="00177979">
        <w:t xml:space="preserve"> </w:t>
      </w:r>
      <w:r w:rsidR="0096109E">
        <w:t>law or legal reasoning shall be an act in excess of the</w:t>
      </w:r>
      <w:r w:rsidR="00177979">
        <w:t xml:space="preserve"> </w:t>
      </w:r>
      <w:r w:rsidR="0096109E">
        <w:t>arbitrator</w:t>
      </w:r>
      <w:r w:rsidR="00EE513E">
        <w:t>’</w:t>
      </w:r>
      <w:r w:rsidR="0096109E">
        <w:t>s powers that is reviewable on appeal.</w:t>
      </w:r>
      <w:r w:rsidR="00EE513E">
        <w:t xml:space="preserve">  </w:t>
      </w:r>
      <w:r w:rsidR="0096109E">
        <w:t>Specifically, any party may seek to vacate any award</w:t>
      </w:r>
      <w:r w:rsidR="00EE513E">
        <w:t xml:space="preserve"> </w:t>
      </w:r>
      <w:r w:rsidR="0096109E">
        <w:t>that has been made in excess of the Arbitrator</w:t>
      </w:r>
      <w:r w:rsidR="00EE513E">
        <w:t>’</w:t>
      </w:r>
      <w:r w:rsidR="0096109E">
        <w:t>s</w:t>
      </w:r>
      <w:r w:rsidR="00EE513E">
        <w:t xml:space="preserve"> </w:t>
      </w:r>
      <w:r w:rsidR="0096109E">
        <w:t xml:space="preserve">powers, as provided for in </w:t>
      </w:r>
      <w:r w:rsidR="00EE513E">
        <w:t>[</w:t>
      </w:r>
      <w:r w:rsidR="0096109E">
        <w:t>§</w:t>
      </w:r>
      <w:r w:rsidR="00EE513E">
        <w:t> </w:t>
      </w:r>
      <w:r w:rsidR="0096109E">
        <w:t>1286.2</w:t>
      </w:r>
      <w:r w:rsidR="00EE513E">
        <w:t xml:space="preserve">], </w:t>
      </w:r>
      <w:r w:rsidR="0096109E">
        <w:t>with a</w:t>
      </w:r>
      <w:r w:rsidR="00EE513E">
        <w:t xml:space="preserve"> </w:t>
      </w:r>
      <w:r w:rsidR="0096109E">
        <w:t>concomitant right of appeal to a court of competent</w:t>
      </w:r>
      <w:r w:rsidR="00EE513E">
        <w:t xml:space="preserve"> </w:t>
      </w:r>
      <w:r w:rsidR="0096109E">
        <w:t>jurisdiction.</w:t>
      </w:r>
      <w:r w:rsidR="00EE513E">
        <w:t>”</w:t>
      </w:r>
      <w:r w:rsidRPr="006727BD" w:rsidR="006727BD">
        <w:t xml:space="preserve"> </w:t>
      </w:r>
    </w:p>
    <w:p w:rsidR="00D71FC8" w:rsidP="00865521" w14:paraId="450645AB" w14:textId="4EE21A80">
      <w:pPr>
        <w:ind w:firstLine="720"/>
      </w:pPr>
      <w:r>
        <w:t>The Valencias asserted eight claims in the arbitration</w:t>
      </w:r>
      <w:r w:rsidR="00033CB9">
        <w:t xml:space="preserve"> against one or more of the Mendoza defendants</w:t>
      </w:r>
      <w:r>
        <w:t xml:space="preserve">: (1) violation of </w:t>
      </w:r>
      <w:r w:rsidR="00D80922">
        <w:t>state contractor licensing laws</w:t>
      </w:r>
      <w:r w:rsidR="00033CB9">
        <w:t xml:space="preserve"> </w:t>
      </w:r>
      <w:r w:rsidR="00D80922">
        <w:t>(Bus. &amp; Prof. Code, §</w:t>
      </w:r>
      <w:r w:rsidR="00700D17">
        <w:t> </w:t>
      </w:r>
      <w:r w:rsidR="000C6090">
        <w:t>7028</w:t>
      </w:r>
      <w:r w:rsidR="000908A8">
        <w:t xml:space="preserve">; </w:t>
      </w:r>
      <w:r w:rsidR="000C6090">
        <w:t>Code Civ. Proc.</w:t>
      </w:r>
      <w:r w:rsidR="00865521">
        <w:t>, §</w:t>
      </w:r>
      <w:r w:rsidR="00700D17">
        <w:t> </w:t>
      </w:r>
      <w:r w:rsidR="00865521">
        <w:t>1029.8); (2) breach of contract</w:t>
      </w:r>
      <w:r w:rsidR="002E00A5">
        <w:t>; (3) breach of statutory duty of disclosure (</w:t>
      </w:r>
      <w:r w:rsidR="00700D17">
        <w:t xml:space="preserve">Civ. Code, </w:t>
      </w:r>
      <w:r w:rsidR="00C733E0">
        <w:t>§</w:t>
      </w:r>
      <w:r w:rsidR="00700D17">
        <w:t> </w:t>
      </w:r>
      <w:r w:rsidR="00C733E0">
        <w:t>1102); (4) fraud; (5)</w:t>
      </w:r>
      <w:r w:rsidR="006F4842">
        <w:t> </w:t>
      </w:r>
      <w:r w:rsidR="00C733E0">
        <w:t>negligent misrepresentation</w:t>
      </w:r>
      <w:r w:rsidR="006F4842">
        <w:t>; (6) negligence</w:t>
      </w:r>
      <w:r w:rsidR="007D7E84">
        <w:t xml:space="preserve">; </w:t>
      </w:r>
      <w:r w:rsidR="00033CB9">
        <w:t>(7)</w:t>
      </w:r>
      <w:r w:rsidR="002148BF">
        <w:t xml:space="preserve"> violation of </w:t>
      </w:r>
      <w:r w:rsidR="004352BD">
        <w:t xml:space="preserve">the </w:t>
      </w:r>
      <w:r w:rsidR="002148BF">
        <w:t>common law duty of disclosure; and (8) fraudulent concealment</w:t>
      </w:r>
      <w:r w:rsidR="00700D17">
        <w:t xml:space="preserve"> (Civ. Code, § 2079)</w:t>
      </w:r>
      <w:r w:rsidR="002148BF">
        <w:t xml:space="preserve">. </w:t>
      </w:r>
      <w:r w:rsidR="00A50FA0">
        <w:t xml:space="preserve"> There was extensive pre-hearing discovery</w:t>
      </w:r>
      <w:r w:rsidR="00EA5185">
        <w:t xml:space="preserve">, including hundreds of written discovery requests and 17 depositions. </w:t>
      </w:r>
    </w:p>
    <w:p w:rsidR="00F05C01" w:rsidP="00F05C01" w14:paraId="4F24218F" w14:textId="227F6FBB">
      <w:pPr>
        <w:ind w:firstLine="720"/>
      </w:pPr>
      <w:r>
        <w:t>The</w:t>
      </w:r>
      <w:r w:rsidR="00146DC9">
        <w:t xml:space="preserve"> </w:t>
      </w:r>
      <w:r w:rsidR="0099632C">
        <w:t>arbitrat</w:t>
      </w:r>
      <w:r w:rsidR="00D4661B">
        <w:t>ion</w:t>
      </w:r>
      <w:r w:rsidR="0099632C">
        <w:t xml:space="preserve"> hearing </w:t>
      </w:r>
      <w:r w:rsidR="00633D4C">
        <w:t>was held</w:t>
      </w:r>
      <w:r w:rsidR="008A100E">
        <w:t xml:space="preserve"> </w:t>
      </w:r>
      <w:r w:rsidR="00057576">
        <w:t>over</w:t>
      </w:r>
      <w:r w:rsidR="00F74AE1">
        <w:t xml:space="preserve"> </w:t>
      </w:r>
      <w:r w:rsidR="008A100E">
        <w:t xml:space="preserve">five days </w:t>
      </w:r>
      <w:r w:rsidR="00C15C3D">
        <w:t xml:space="preserve">in </w:t>
      </w:r>
      <w:r w:rsidR="00F74AE1">
        <w:t>June</w:t>
      </w:r>
      <w:r w:rsidR="00700D17">
        <w:t> </w:t>
      </w:r>
      <w:r w:rsidR="00F74AE1">
        <w:t>202</w:t>
      </w:r>
      <w:r w:rsidR="00967AF7">
        <w:t xml:space="preserve">1 before Judith C. Chirlin, a retired superior court judge. </w:t>
      </w:r>
      <w:r w:rsidR="00143F0F">
        <w:t xml:space="preserve"> </w:t>
      </w:r>
      <w:r w:rsidR="00057576">
        <w:t>T</w:t>
      </w:r>
      <w:r w:rsidR="00E20842">
        <w:t>welve</w:t>
      </w:r>
      <w:r w:rsidR="00057576">
        <w:t xml:space="preserve"> </w:t>
      </w:r>
      <w:r w:rsidR="00143F0F">
        <w:t>witnesses testified,</w:t>
      </w:r>
      <w:r w:rsidR="00A96CC3">
        <w:t xml:space="preserve"> including </w:t>
      </w:r>
      <w:r w:rsidR="00086095">
        <w:t>three</w:t>
      </w:r>
      <w:r w:rsidR="004D35B7">
        <w:t xml:space="preserve"> </w:t>
      </w:r>
      <w:r w:rsidR="00622663">
        <w:t xml:space="preserve">engineers </w:t>
      </w:r>
      <w:r w:rsidR="005B4AA5">
        <w:t xml:space="preserve">who testified </w:t>
      </w:r>
      <w:r w:rsidR="004352BD">
        <w:t xml:space="preserve">as retained experts on building </w:t>
      </w:r>
      <w:r w:rsidR="005B4AA5">
        <w:t>code requirements and damages</w:t>
      </w:r>
      <w:r w:rsidR="00622663">
        <w:t>:</w:t>
      </w:r>
      <w:r w:rsidR="008A3DA8">
        <w:t xml:space="preserve"> </w:t>
      </w:r>
      <w:r w:rsidR="005F49BE">
        <w:t>William McKee Nelson</w:t>
      </w:r>
      <w:r w:rsidR="00086095">
        <w:t xml:space="preserve"> and</w:t>
      </w:r>
      <w:r w:rsidR="002B2051">
        <w:t xml:space="preserve"> David Stern</w:t>
      </w:r>
      <w:r w:rsidR="00D0073B">
        <w:t xml:space="preserve"> (for the Valencias) and </w:t>
      </w:r>
      <w:r>
        <w:t xml:space="preserve">Bryce Dean Richmond (for the </w:t>
      </w:r>
      <w:r w:rsidR="005F49BE">
        <w:t>Mendoza defendants</w:t>
      </w:r>
      <w:r w:rsidR="00D0073B">
        <w:t xml:space="preserve">). </w:t>
      </w:r>
      <w:r w:rsidR="005F49BE">
        <w:t xml:space="preserve"> </w:t>
      </w:r>
      <w:r w:rsidR="00395169">
        <w:t xml:space="preserve">At the conclusion of </w:t>
      </w:r>
      <w:r w:rsidR="004352BD">
        <w:t xml:space="preserve">witness </w:t>
      </w:r>
      <w:r w:rsidR="004210FF">
        <w:t xml:space="preserve">testimony, the parties submitted closing briefs and </w:t>
      </w:r>
      <w:r w:rsidR="00624B8E">
        <w:t xml:space="preserve">separate </w:t>
      </w:r>
      <w:r w:rsidR="004210FF">
        <w:t xml:space="preserve">briefing on damages. </w:t>
      </w:r>
    </w:p>
    <w:p w:rsidR="001C2EE6" w14:paraId="64683BDD" w14:textId="28AF9299">
      <w:pPr>
        <w:ind w:firstLine="720"/>
      </w:pPr>
      <w:r>
        <w:t xml:space="preserve">On </w:t>
      </w:r>
      <w:r w:rsidR="008B3FD7">
        <w:t>August 23, 2</w:t>
      </w:r>
      <w:r w:rsidR="00D517FB">
        <w:t>0</w:t>
      </w:r>
      <w:r w:rsidR="008B3FD7">
        <w:t>22</w:t>
      </w:r>
      <w:r>
        <w:t xml:space="preserve"> the arbitrator issued a </w:t>
      </w:r>
      <w:r w:rsidR="00302E20">
        <w:t>17-page final arbitration award (award)</w:t>
      </w:r>
      <w:r>
        <w:t>.</w:t>
      </w:r>
      <w:r>
        <w:rPr>
          <w:rStyle w:val="FootnoteReference"/>
        </w:rPr>
        <w:footnoteReference w:id="7"/>
      </w:r>
      <w:r>
        <w:t xml:space="preserve"> </w:t>
      </w:r>
      <w:r w:rsidR="00EF6B84">
        <w:t xml:space="preserve"> </w:t>
      </w:r>
      <w:r w:rsidRPr="001C2EE6">
        <w:t xml:space="preserve">The arbitrator found </w:t>
      </w:r>
      <w:r w:rsidR="00885098">
        <w:t xml:space="preserve">the Valencias’ causes of action fell into two </w:t>
      </w:r>
      <w:r w:rsidR="003143F2">
        <w:t xml:space="preserve">main </w:t>
      </w:r>
      <w:r w:rsidR="00885098">
        <w:t>categories</w:t>
      </w:r>
      <w:r w:rsidR="0049732A">
        <w:t xml:space="preserve">, </w:t>
      </w:r>
      <w:r w:rsidR="00885098">
        <w:t>negligence and failure to disclos</w:t>
      </w:r>
      <w:r w:rsidR="0049732A">
        <w:t xml:space="preserve">e, and </w:t>
      </w:r>
      <w:r w:rsidR="002570BC">
        <w:t>multiple</w:t>
      </w:r>
      <w:r w:rsidR="0049732A">
        <w:t xml:space="preserve"> Mendoza defendants were liable </w:t>
      </w:r>
      <w:r w:rsidR="00624B8E">
        <w:t xml:space="preserve">in </w:t>
      </w:r>
      <w:r w:rsidR="00783B0E">
        <w:t>each category</w:t>
      </w:r>
      <w:r w:rsidR="00F57880">
        <w:t xml:space="preserve">. </w:t>
      </w:r>
      <w:r w:rsidR="00D13FF4">
        <w:t xml:space="preserve"> </w:t>
      </w:r>
      <w:r w:rsidR="003512D9">
        <w:t>The</w:t>
      </w:r>
      <w:r w:rsidRPr="003512D9" w:rsidR="003512D9">
        <w:t xml:space="preserve"> </w:t>
      </w:r>
      <w:r w:rsidR="00007DDE">
        <w:t xml:space="preserve">arbitrator </w:t>
      </w:r>
      <w:r w:rsidRPr="001C2EE6" w:rsidR="003512D9">
        <w:t>awarded $432,53</w:t>
      </w:r>
      <w:r w:rsidR="00007DDE">
        <w:t>6</w:t>
      </w:r>
      <w:r w:rsidRPr="001C2EE6" w:rsidR="003512D9">
        <w:t xml:space="preserve"> in </w:t>
      </w:r>
      <w:r w:rsidR="00911B33">
        <w:t xml:space="preserve">monetary </w:t>
      </w:r>
      <w:r w:rsidRPr="001C2EE6" w:rsidR="003512D9">
        <w:t>damages,</w:t>
      </w:r>
      <w:r w:rsidR="00911B33">
        <w:t xml:space="preserve"> </w:t>
      </w:r>
      <w:r w:rsidR="004F4733">
        <w:t xml:space="preserve">including </w:t>
      </w:r>
      <w:r w:rsidR="005C7F2C">
        <w:t>$130,000 for repairs</w:t>
      </w:r>
      <w:r w:rsidR="008A3DA8">
        <w:t>;</w:t>
      </w:r>
      <w:r w:rsidR="00C971ED">
        <w:t xml:space="preserve"> $260,000 for </w:t>
      </w:r>
      <w:r w:rsidR="00DB4E3E">
        <w:t xml:space="preserve">impairment to the </w:t>
      </w:r>
      <w:r w:rsidR="00E83247">
        <w:t xml:space="preserve">fair market value </w:t>
      </w:r>
      <w:r w:rsidR="00BF630A">
        <w:t xml:space="preserve">of the home </w:t>
      </w:r>
      <w:r w:rsidR="00DB4E3E">
        <w:t>due to the defects</w:t>
      </w:r>
      <w:r w:rsidR="008A3DA8">
        <w:t xml:space="preserve">; and </w:t>
      </w:r>
      <w:r w:rsidR="00E83247">
        <w:t xml:space="preserve">smaller </w:t>
      </w:r>
      <w:r w:rsidR="00CE1844">
        <w:t xml:space="preserve">amounts </w:t>
      </w:r>
      <w:r w:rsidR="00E83247">
        <w:t xml:space="preserve">for loss of use, </w:t>
      </w:r>
      <w:r w:rsidR="00DB4E3E">
        <w:t xml:space="preserve">statutory </w:t>
      </w:r>
      <w:r w:rsidR="00E83247">
        <w:t xml:space="preserve">penalties, and </w:t>
      </w:r>
      <w:r w:rsidR="00954812">
        <w:t>inspection</w:t>
      </w:r>
      <w:r w:rsidR="00CE1844">
        <w:t xml:space="preserve"> fees.</w:t>
      </w:r>
      <w:r>
        <w:rPr>
          <w:rStyle w:val="FootnoteReference"/>
        </w:rPr>
        <w:footnoteReference w:id="8"/>
      </w:r>
      <w:r w:rsidR="00CE1844">
        <w:t xml:space="preserve"> </w:t>
      </w:r>
      <w:r w:rsidR="00592623">
        <w:t xml:space="preserve"> Finding by clear and convincing evidence that </w:t>
      </w:r>
      <w:r w:rsidRPr="001C2EE6">
        <w:t xml:space="preserve">Mendoza “made false representations and failed to disclose known defects with knowledge of </w:t>
      </w:r>
      <w:r w:rsidR="00E20842">
        <w:t xml:space="preserve">the </w:t>
      </w:r>
      <w:r w:rsidRPr="001C2EE6">
        <w:t xml:space="preserve">falsity” and </w:t>
      </w:r>
      <w:r w:rsidR="00DB4E3E">
        <w:t>“</w:t>
      </w:r>
      <w:r w:rsidRPr="001C2EE6">
        <w:t>intended to defraud the Valencias</w:t>
      </w:r>
      <w:r w:rsidR="00592623">
        <w:t xml:space="preserve">,” the </w:t>
      </w:r>
      <w:r w:rsidR="006E2FAA">
        <w:t>arbitrator</w:t>
      </w:r>
      <w:r w:rsidR="00592623">
        <w:t xml:space="preserve"> awarded </w:t>
      </w:r>
      <w:r w:rsidRPr="001C2EE6" w:rsidR="006E2FAA">
        <w:t>$43</w:t>
      </w:r>
      <w:r w:rsidR="00007DDE">
        <w:t>8</w:t>
      </w:r>
      <w:r w:rsidRPr="001C2EE6" w:rsidR="006E2FAA">
        <w:t>,</w:t>
      </w:r>
      <w:r w:rsidR="00007DDE">
        <w:t>800</w:t>
      </w:r>
      <w:r w:rsidR="006E2FAA">
        <w:t xml:space="preserve"> in punitive damages. </w:t>
      </w:r>
      <w:r w:rsidRPr="001C2EE6">
        <w:t xml:space="preserve"> The arbitrator </w:t>
      </w:r>
      <w:r w:rsidR="006E2FAA">
        <w:t>also awarded</w:t>
      </w:r>
      <w:r w:rsidRPr="001C2EE6">
        <w:t xml:space="preserve"> $</w:t>
      </w:r>
      <w:r w:rsidR="003F3ED3">
        <w:t>364,544</w:t>
      </w:r>
      <w:r w:rsidR="00020C35">
        <w:t xml:space="preserve"> in</w:t>
      </w:r>
      <w:r w:rsidRPr="00037829" w:rsidR="00037829">
        <w:t xml:space="preserve"> </w:t>
      </w:r>
      <w:r w:rsidR="00F04AE9">
        <w:t>attorneys’ fees</w:t>
      </w:r>
      <w:r w:rsidR="007212CD">
        <w:t xml:space="preserve"> and</w:t>
      </w:r>
      <w:r w:rsidR="003F3ED3">
        <w:t xml:space="preserve"> $52,667 in </w:t>
      </w:r>
      <w:r w:rsidRPr="00037829" w:rsidR="00037829">
        <w:t xml:space="preserve">costs, </w:t>
      </w:r>
      <w:r w:rsidR="00F04AE9">
        <w:t xml:space="preserve">plus </w:t>
      </w:r>
      <w:r w:rsidRPr="00037829" w:rsidR="00037829">
        <w:t xml:space="preserve">prejudgment interest. </w:t>
      </w:r>
    </w:p>
    <w:p w:rsidR="0099632C" w:rsidRPr="00E84BD6" w14:paraId="4B4EA8F5" w14:textId="77777777">
      <w:pPr>
        <w:ind w:firstLine="720"/>
      </w:pPr>
    </w:p>
    <w:p w:rsidR="00742A0C" w:rsidRPr="00E84BD6" w14:paraId="23B4A189" w14:textId="1CB68129">
      <w:pPr>
        <w:pStyle w:val="Heading2"/>
      </w:pPr>
      <w:r>
        <w:t>Confirm</w:t>
      </w:r>
      <w:r w:rsidR="00A82490">
        <w:t>ation of</w:t>
      </w:r>
      <w:r>
        <w:t xml:space="preserve"> the Award </w:t>
      </w:r>
    </w:p>
    <w:p w:rsidR="004C5AF9" w:rsidP="004C5AF9" w14:paraId="5A8C0815" w14:textId="49C600B0">
      <w:pPr>
        <w:pStyle w:val="Heading3"/>
      </w:pPr>
      <w:r>
        <w:t>The Valencias’ petition to confirm the award</w:t>
      </w:r>
    </w:p>
    <w:p w:rsidR="00707C4C" w14:paraId="4D44874D" w14:textId="2B3A44D7">
      <w:pPr>
        <w:ind w:firstLine="720"/>
      </w:pPr>
      <w:r>
        <w:t>O</w:t>
      </w:r>
      <w:r w:rsidR="00F60672">
        <w:t xml:space="preserve">n </w:t>
      </w:r>
      <w:r w:rsidR="00D517FB">
        <w:t>September 2, 2022</w:t>
      </w:r>
      <w:r>
        <w:t xml:space="preserve"> the Valencias filed a </w:t>
      </w:r>
      <w:r w:rsidR="00DD2440">
        <w:t xml:space="preserve">petition to confirm the </w:t>
      </w:r>
      <w:r w:rsidR="00FF1CE2">
        <w:t xml:space="preserve">arbitration </w:t>
      </w:r>
      <w:r w:rsidR="00DD2440">
        <w:t>award</w:t>
      </w:r>
      <w:r w:rsidR="008A3DA8">
        <w:t>, setting</w:t>
      </w:r>
      <w:r w:rsidR="008910FA">
        <w:t xml:space="preserve"> a September 28, 2022 hearing date</w:t>
      </w:r>
      <w:r w:rsidR="00DD2440">
        <w:t>.</w:t>
      </w:r>
      <w:r>
        <w:t xml:space="preserve"> </w:t>
      </w:r>
      <w:r w:rsidR="00D93D73">
        <w:t xml:space="preserve"> The</w:t>
      </w:r>
      <w:r w:rsidR="006213A0">
        <w:t xml:space="preserve"> petition </w:t>
      </w:r>
      <w:r w:rsidR="0048100A">
        <w:t>a</w:t>
      </w:r>
      <w:r w:rsidR="00D162A7">
        <w:t>ttached the</w:t>
      </w:r>
      <w:r w:rsidR="007D38B3">
        <w:t xml:space="preserve"> home</w:t>
      </w:r>
      <w:r w:rsidR="00D162A7">
        <w:t xml:space="preserve"> </w:t>
      </w:r>
      <w:r w:rsidR="00561A6A">
        <w:t>purchase agreement</w:t>
      </w:r>
      <w:r w:rsidR="00D162A7">
        <w:t>, the</w:t>
      </w:r>
      <w:r w:rsidR="00E86B30">
        <w:t xml:space="preserve"> stipulation </w:t>
      </w:r>
      <w:r w:rsidR="007D38B3">
        <w:t xml:space="preserve">to </w:t>
      </w:r>
      <w:r w:rsidR="00E86B30">
        <w:t>arbitrat</w:t>
      </w:r>
      <w:r w:rsidR="007D38B3">
        <w:t>e</w:t>
      </w:r>
      <w:r w:rsidR="00E86B30">
        <w:t>, and the</w:t>
      </w:r>
      <w:r w:rsidR="00561A6A">
        <w:t xml:space="preserve"> </w:t>
      </w:r>
      <w:r w:rsidR="00B7425F">
        <w:t xml:space="preserve">arbitration </w:t>
      </w:r>
      <w:r w:rsidR="00561A6A">
        <w:t>award.</w:t>
      </w:r>
      <w:r w:rsidR="005C7D53">
        <w:t xml:space="preserve">  The</w:t>
      </w:r>
      <w:r w:rsidR="00B7425F">
        <w:t xml:space="preserve"> Valencias</w:t>
      </w:r>
      <w:r w:rsidR="00FA4E02">
        <w:t xml:space="preserve"> did not </w:t>
      </w:r>
      <w:r w:rsidR="006978D7">
        <w:t xml:space="preserve">file </w:t>
      </w:r>
      <w:r w:rsidR="000F0CB0">
        <w:t>any declarations</w:t>
      </w:r>
      <w:r w:rsidR="00DB4E3E">
        <w:t xml:space="preserve"> or additional evidence</w:t>
      </w:r>
      <w:r w:rsidR="008D3E02">
        <w:t>.</w:t>
      </w:r>
      <w:r w:rsidR="00223839">
        <w:t xml:space="preserve">  </w:t>
      </w:r>
    </w:p>
    <w:p w:rsidR="003B1328" w14:paraId="51D3E5F8" w14:textId="3E84693C">
      <w:pPr>
        <w:ind w:firstLine="720"/>
      </w:pPr>
      <w:r>
        <w:t xml:space="preserve">On September </w:t>
      </w:r>
      <w:r w:rsidR="00835CAF">
        <w:t>14</w:t>
      </w:r>
      <w:r w:rsidR="0025461D">
        <w:t xml:space="preserve"> </w:t>
      </w:r>
      <w:r w:rsidR="00450E66">
        <w:t>the Mendoz</w:t>
      </w:r>
      <w:r w:rsidR="0017462C">
        <w:t>a</w:t>
      </w:r>
      <w:r w:rsidR="00450E66">
        <w:t xml:space="preserve"> defendants filed a </w:t>
      </w:r>
      <w:r w:rsidR="00223839">
        <w:t>four-</w:t>
      </w:r>
      <w:r w:rsidR="00450E66">
        <w:t xml:space="preserve">page </w:t>
      </w:r>
      <w:r w:rsidR="006978D7">
        <w:t>opposition.</w:t>
      </w:r>
      <w:r>
        <w:rPr>
          <w:rStyle w:val="FootnoteReference"/>
        </w:rPr>
        <w:footnoteReference w:id="9"/>
      </w:r>
      <w:r w:rsidR="006978D7">
        <w:t xml:space="preserve"> </w:t>
      </w:r>
      <w:r w:rsidR="00426AB9">
        <w:t xml:space="preserve"> In </w:t>
      </w:r>
      <w:r>
        <w:t xml:space="preserve">an </w:t>
      </w:r>
      <w:r w:rsidR="005B4949">
        <w:t>introduct</w:t>
      </w:r>
      <w:r>
        <w:t>ory paragraph</w:t>
      </w:r>
      <w:r w:rsidR="004C1E60">
        <w:t>,</w:t>
      </w:r>
      <w:r w:rsidR="00426AB9">
        <w:t xml:space="preserve"> the Mendoza defendants </w:t>
      </w:r>
      <w:r w:rsidR="00DB4E3E">
        <w:t>stated they were “</w:t>
      </w:r>
      <w:r w:rsidR="00426AB9">
        <w:t>in the process of completing drafting</w:t>
      </w:r>
      <w:r w:rsidR="00DB4E3E">
        <w:t>” a petition to vacate</w:t>
      </w:r>
      <w:r w:rsidR="00974770">
        <w:t xml:space="preserve"> that would “</w:t>
      </w:r>
      <w:r w:rsidR="00426AB9">
        <w:t>likely be filed within the next 10-15 days.</w:t>
      </w:r>
      <w:r w:rsidR="00974770">
        <w:t xml:space="preserve">”  They </w:t>
      </w:r>
      <w:r w:rsidR="00743AF3">
        <w:t xml:space="preserve">had </w:t>
      </w:r>
      <w:r w:rsidR="00974770">
        <w:t xml:space="preserve">reserved </w:t>
      </w:r>
      <w:r w:rsidR="000A0EF5">
        <w:t xml:space="preserve">a </w:t>
      </w:r>
      <w:r w:rsidR="00974770">
        <w:t>hearing date</w:t>
      </w:r>
      <w:r w:rsidR="000A0EF5">
        <w:t xml:space="preserve"> in April 2023</w:t>
      </w:r>
      <w:r w:rsidR="00974770">
        <w:t xml:space="preserve"> and requested the</w:t>
      </w:r>
      <w:r w:rsidR="00BF619F">
        <w:t xml:space="preserve"> court continue the</w:t>
      </w:r>
      <w:r w:rsidR="00974770">
        <w:t xml:space="preserve"> Valencias’ petition to confirm so that it would be heard with their petition to vacate.</w:t>
      </w:r>
      <w:r w:rsidR="00223839">
        <w:t xml:space="preserve">  </w:t>
      </w:r>
    </w:p>
    <w:p w:rsidR="00275F4F" w14:paraId="0A75B945" w14:textId="01694002">
      <w:pPr>
        <w:ind w:firstLine="720"/>
      </w:pPr>
      <w:r>
        <w:t xml:space="preserve">The </w:t>
      </w:r>
      <w:r w:rsidR="00BF619F">
        <w:t>M</w:t>
      </w:r>
      <w:r w:rsidR="002852CD">
        <w:t>e</w:t>
      </w:r>
      <w:r w:rsidR="00BF619F">
        <w:t xml:space="preserve">ndoza defendants in their </w:t>
      </w:r>
      <w:r w:rsidR="002570BC">
        <w:t>opposition</w:t>
      </w:r>
      <w:r>
        <w:t xml:space="preserve"> argued </w:t>
      </w:r>
      <w:r w:rsidR="005231CA">
        <w:t xml:space="preserve">the arbitrator’s refusal to consider </w:t>
      </w:r>
      <w:r w:rsidR="00682FE0">
        <w:t xml:space="preserve">two items of </w:t>
      </w:r>
      <w:r w:rsidR="001F1229">
        <w:t xml:space="preserve">critical evidence </w:t>
      </w:r>
      <w:r w:rsidR="00525351">
        <w:t>constituted</w:t>
      </w:r>
      <w:r w:rsidR="001F1229">
        <w:t xml:space="preserve"> </w:t>
      </w:r>
      <w:r w:rsidR="005231CA">
        <w:t xml:space="preserve">grounds to </w:t>
      </w:r>
      <w:r w:rsidR="000B1831">
        <w:t>vacate the award</w:t>
      </w:r>
      <w:r w:rsidR="001F1229">
        <w:t>.</w:t>
      </w:r>
      <w:r>
        <w:rPr>
          <w:rStyle w:val="FootnoteReference"/>
        </w:rPr>
        <w:footnoteReference w:id="10"/>
      </w:r>
      <w:r w:rsidR="00E40633">
        <w:t xml:space="preserve"> </w:t>
      </w:r>
      <w:r w:rsidR="00682FE0">
        <w:t xml:space="preserve"> First</w:t>
      </w:r>
      <w:r w:rsidR="00E40633">
        <w:t xml:space="preserve">, </w:t>
      </w:r>
      <w:r w:rsidR="00625C49">
        <w:t xml:space="preserve">the </w:t>
      </w:r>
      <w:r w:rsidR="00743AF3">
        <w:t xml:space="preserve">arbitrator excluded </w:t>
      </w:r>
      <w:r w:rsidR="00D054EE">
        <w:t xml:space="preserve">a building inspection card </w:t>
      </w:r>
      <w:r w:rsidR="00743AF3">
        <w:t xml:space="preserve">that on its back </w:t>
      </w:r>
      <w:r w:rsidR="00D054EE">
        <w:t>“</w:t>
      </w:r>
      <w:r w:rsidR="00625C49">
        <w:t>included a statement by the inspector</w:t>
      </w:r>
      <w:r w:rsidR="00C00EF1">
        <w:t>,</w:t>
      </w:r>
      <w:r w:rsidR="00625C49">
        <w:t xml:space="preserve"> “‘OK to close walls</w:t>
      </w:r>
      <w:r w:rsidR="00743AF3">
        <w:t>.</w:t>
      </w:r>
      <w:r w:rsidR="00625C49">
        <w:t>’”</w:t>
      </w:r>
      <w:r w:rsidR="00743AF3">
        <w:t xml:space="preserve"> </w:t>
      </w:r>
      <w:r w:rsidR="00525351">
        <w:t xml:space="preserve"> </w:t>
      </w:r>
      <w:r w:rsidR="00CF3FF9">
        <w:t xml:space="preserve">As </w:t>
      </w:r>
      <w:r w:rsidR="00D054EE">
        <w:t>described</w:t>
      </w:r>
      <w:r w:rsidR="00CF3FF9">
        <w:t xml:space="preserve"> in the opposition, </w:t>
      </w:r>
      <w:r w:rsidR="00974770">
        <w:t>the</w:t>
      </w:r>
      <w:r w:rsidR="00525351">
        <w:t xml:space="preserve"> building inspector testified </w:t>
      </w:r>
      <w:r w:rsidR="00743AF3">
        <w:t xml:space="preserve">at the hearing that </w:t>
      </w:r>
      <w:r w:rsidR="00525351">
        <w:t>he was unable to see the work done by the Mendoza</w:t>
      </w:r>
      <w:r w:rsidR="00D054EE">
        <w:t xml:space="preserve"> defendants</w:t>
      </w:r>
      <w:r w:rsidR="00525351">
        <w:t xml:space="preserve"> before the walls were closed</w:t>
      </w:r>
      <w:r w:rsidR="00564F20">
        <w:t>,</w:t>
      </w:r>
      <w:r w:rsidR="00525351">
        <w:t xml:space="preserve"> and the arbitrator </w:t>
      </w:r>
      <w:r w:rsidR="00D054EE">
        <w:t>made a finding in the award that “[a]</w:t>
      </w:r>
      <w:r w:rsidR="008F038E">
        <w:t xml:space="preserve"> signi</w:t>
      </w:r>
      <w:r w:rsidR="00ED7D46">
        <w:t>fi</w:t>
      </w:r>
      <w:r w:rsidR="008F038E">
        <w:t>cant amount of the work done by [the Mendoza</w:t>
      </w:r>
      <w:r w:rsidR="00980E3F">
        <w:t xml:space="preserve"> defendants] was done before Mr.</w:t>
      </w:r>
      <w:r w:rsidR="005B6F5F">
        <w:t> </w:t>
      </w:r>
      <w:r w:rsidR="00980E3F">
        <w:t>Mendoza pulled permits so that whe</w:t>
      </w:r>
      <w:r w:rsidR="00610A4E">
        <w:t>n</w:t>
      </w:r>
      <w:r w:rsidR="00980E3F">
        <w:t xml:space="preserve"> the City Building Inspector came to inspect, he could not see the work and whether it h</w:t>
      </w:r>
      <w:r w:rsidR="00610A4E">
        <w:t>a</w:t>
      </w:r>
      <w:r w:rsidR="00980E3F">
        <w:t>d been done correctly and in accorda</w:t>
      </w:r>
      <w:r w:rsidR="00610A4E">
        <w:t>n</w:t>
      </w:r>
      <w:r w:rsidR="00980E3F">
        <w:t xml:space="preserve">ce with the Building Codes.” </w:t>
      </w:r>
      <w:r w:rsidR="009A7E0E">
        <w:t xml:space="preserve"> </w:t>
      </w:r>
      <w:r w:rsidR="009F4E67">
        <w:t>The Mendoza defendants argued that h</w:t>
      </w:r>
      <w:r w:rsidR="00A60DC0">
        <w:t xml:space="preserve">ad the </w:t>
      </w:r>
      <w:r w:rsidR="00564F20">
        <w:t xml:space="preserve">arbitrator allowed </w:t>
      </w:r>
      <w:r w:rsidR="00A60DC0">
        <w:t>the inspection card</w:t>
      </w:r>
      <w:r w:rsidR="00564F20">
        <w:t xml:space="preserve"> into evidence</w:t>
      </w:r>
      <w:r w:rsidR="00A60DC0">
        <w:t xml:space="preserve">, </w:t>
      </w:r>
      <w:r w:rsidR="00D054EE">
        <w:t>the annotation “‘OK to close walls’”</w:t>
      </w:r>
      <w:r w:rsidR="00A60DC0">
        <w:t xml:space="preserve"> would hav</w:t>
      </w:r>
      <w:r w:rsidR="00B47935">
        <w:t xml:space="preserve">e shown a “blatant lie” by the inspector </w:t>
      </w:r>
      <w:r w:rsidR="009F4E67">
        <w:t>(that he was not able to see the work before the walls were closed up)</w:t>
      </w:r>
      <w:r w:rsidR="00C30524">
        <w:t>, which</w:t>
      </w:r>
      <w:r w:rsidR="00564F20">
        <w:t xml:space="preserve"> would have discredited his testimony. </w:t>
      </w:r>
      <w:r w:rsidR="000A576B">
        <w:t xml:space="preserve"> </w:t>
      </w:r>
    </w:p>
    <w:p w:rsidR="000D6EED" w14:paraId="6881D56B" w14:textId="6D09F88D">
      <w:pPr>
        <w:ind w:firstLine="720"/>
      </w:pPr>
      <w:r>
        <w:t xml:space="preserve">Second, </w:t>
      </w:r>
      <w:r w:rsidR="00DF2523">
        <w:t>the Mendoza defendants</w:t>
      </w:r>
      <w:r>
        <w:t xml:space="preserve"> argued that </w:t>
      </w:r>
      <w:r w:rsidR="00275F4F">
        <w:t>although</w:t>
      </w:r>
      <w:r>
        <w:t xml:space="preserve"> the Valencias’ expert </w:t>
      </w:r>
      <w:r w:rsidR="00A33568">
        <w:t>Nelson “relied heavi</w:t>
      </w:r>
      <w:r w:rsidR="00550AA3">
        <w:t>ly on Chapter 34 of the 2016 Building Code”</w:t>
      </w:r>
      <w:r>
        <w:rPr>
          <w:rStyle w:val="FootnoteReference"/>
        </w:rPr>
        <w:footnoteReference w:id="11"/>
      </w:r>
      <w:r w:rsidR="008F6E83">
        <w:t xml:space="preserve"> </w:t>
      </w:r>
      <w:r w:rsidR="004D6ADC">
        <w:t xml:space="preserve">in testifying </w:t>
      </w:r>
      <w:r w:rsidR="00A00BE6">
        <w:t xml:space="preserve">that </w:t>
      </w:r>
      <w:r w:rsidR="003750B2">
        <w:t>repairing the home would require a complete code upgrade, including open</w:t>
      </w:r>
      <w:r w:rsidR="008A3DA8">
        <w:t>ing</w:t>
      </w:r>
      <w:r w:rsidR="003750B2">
        <w:t xml:space="preserve"> </w:t>
      </w:r>
      <w:r w:rsidR="008A3DA8">
        <w:t xml:space="preserve">up </w:t>
      </w:r>
      <w:r w:rsidR="003750B2">
        <w:t>walls and construct</w:t>
      </w:r>
      <w:r w:rsidR="008A3DA8">
        <w:t>ing</w:t>
      </w:r>
      <w:r w:rsidR="003750B2">
        <w:t xml:space="preserve"> shear walls</w:t>
      </w:r>
      <w:r w:rsidR="004D6ADC">
        <w:t xml:space="preserve"> throughout the </w:t>
      </w:r>
      <w:r w:rsidR="00596DC6">
        <w:t>structure</w:t>
      </w:r>
      <w:r w:rsidR="003750B2">
        <w:t xml:space="preserve">, </w:t>
      </w:r>
      <w:r w:rsidR="00813540">
        <w:t xml:space="preserve">the arbitrator precluded the Mendoza defendants’ expert (Richmond) </w:t>
      </w:r>
      <w:r w:rsidR="008D23C1">
        <w:t xml:space="preserve">from testifying </w:t>
      </w:r>
      <w:r w:rsidR="00D557CD">
        <w:t xml:space="preserve">that Chapter 34 did not apply </w:t>
      </w:r>
      <w:r w:rsidR="00596DC6">
        <w:t xml:space="preserve">to the subject repairs, </w:t>
      </w:r>
      <w:r w:rsidR="00D557CD">
        <w:t>ruling</w:t>
      </w:r>
      <w:r w:rsidR="00596DC6">
        <w:t xml:space="preserve"> that </w:t>
      </w:r>
      <w:r w:rsidR="0025461D">
        <w:t>Richmond’s</w:t>
      </w:r>
      <w:r w:rsidR="00596DC6">
        <w:t xml:space="preserve"> testimony “</w:t>
      </w:r>
      <w:r w:rsidR="00D557CD">
        <w:t>exceeded the scope o</w:t>
      </w:r>
      <w:r w:rsidR="00596DC6">
        <w:t>f</w:t>
      </w:r>
      <w:r w:rsidR="00D557CD">
        <w:t xml:space="preserve"> his deposition testimony.” </w:t>
      </w:r>
      <w:r w:rsidR="00025B5A">
        <w:t xml:space="preserve"> As a result</w:t>
      </w:r>
      <w:r w:rsidR="00596DC6">
        <w:t>,</w:t>
      </w:r>
      <w:r w:rsidR="00025B5A">
        <w:t xml:space="preserve"> Nelson’s testimony about the significant </w:t>
      </w:r>
      <w:r w:rsidR="00596DC6">
        <w:t>corrective work necessary for code compliance</w:t>
      </w:r>
      <w:r w:rsidR="00025B5A">
        <w:t xml:space="preserve"> was left unchallenged</w:t>
      </w:r>
      <w:r w:rsidR="003C5560">
        <w:t xml:space="preserve">, </w:t>
      </w:r>
      <w:r w:rsidR="00400F46">
        <w:t>inflating the</w:t>
      </w:r>
      <w:r w:rsidR="0022327F">
        <w:t xml:space="preserve"> damages award</w:t>
      </w:r>
      <w:r w:rsidR="00400F46">
        <w:t>, which was</w:t>
      </w:r>
      <w:r w:rsidR="0022327F">
        <w:t xml:space="preserve"> predicated on “the largest repair </w:t>
      </w:r>
      <w:r w:rsidR="00010ADD">
        <w:t>scenario</w:t>
      </w:r>
      <w:r w:rsidR="0022327F">
        <w:t>, includ</w:t>
      </w:r>
      <w:r w:rsidR="00400F46">
        <w:t>ing</w:t>
      </w:r>
      <w:r w:rsidR="0022327F">
        <w:t xml:space="preserve"> the repairs which were outlined by Mr. Nelson.” </w:t>
      </w:r>
      <w:r w:rsidR="00F76266">
        <w:t xml:space="preserve">  </w:t>
      </w:r>
    </w:p>
    <w:p w:rsidR="00F76266" w:rsidP="00217B4C" w14:paraId="7C8F52DC" w14:textId="329137C7">
      <w:pPr>
        <w:ind w:firstLine="720"/>
      </w:pPr>
      <w:r>
        <w:t xml:space="preserve">The Mendoza defendants did not submit any </w:t>
      </w:r>
      <w:r w:rsidR="000960E7">
        <w:t xml:space="preserve">declarations or evidence </w:t>
      </w:r>
      <w:r>
        <w:t>in support of their opposition</w:t>
      </w:r>
      <w:r w:rsidR="00217B4C">
        <w:t xml:space="preserve">.  In </w:t>
      </w:r>
      <w:r w:rsidR="0025461D">
        <w:t>a concluding paragraph</w:t>
      </w:r>
      <w:r w:rsidR="0000062B">
        <w:t>,</w:t>
      </w:r>
      <w:r w:rsidR="00217B4C">
        <w:t xml:space="preserve"> the Mendoza defendants stated their forthcoming </w:t>
      </w:r>
      <w:r>
        <w:t>petition to vacate “will include a more detailed analysis of the evidence excluded and its impact o</w:t>
      </w:r>
      <w:r w:rsidR="00C852B2">
        <w:t>n</w:t>
      </w:r>
      <w:r>
        <w:t xml:space="preserve"> the [a]ward</w:t>
      </w:r>
      <w:r w:rsidR="00C852B2">
        <w:t>,</w:t>
      </w:r>
      <w:r>
        <w:t xml:space="preserve">” and </w:t>
      </w:r>
      <w:r w:rsidR="00C852B2">
        <w:t xml:space="preserve">they </w:t>
      </w:r>
      <w:r>
        <w:t xml:space="preserve">reiterated their request </w:t>
      </w:r>
      <w:r w:rsidR="00C852B2">
        <w:t>th</w:t>
      </w:r>
      <w:r w:rsidR="00596DC6">
        <w:t>at th</w:t>
      </w:r>
      <w:r w:rsidR="00C852B2">
        <w:t>e</w:t>
      </w:r>
      <w:r>
        <w:t xml:space="preserve"> petition to </w:t>
      </w:r>
      <w:r w:rsidR="00C852B2">
        <w:t xml:space="preserve">confirm and </w:t>
      </w:r>
      <w:r w:rsidR="0000062B">
        <w:t xml:space="preserve">the </w:t>
      </w:r>
      <w:r w:rsidR="00C852B2">
        <w:t xml:space="preserve">petition </w:t>
      </w:r>
      <w:r w:rsidR="00E36FD4">
        <w:t xml:space="preserve">to </w:t>
      </w:r>
      <w:r w:rsidR="00C852B2">
        <w:t xml:space="preserve">vacate be heard together </w:t>
      </w:r>
      <w:r>
        <w:t>“in the interest of judicial economy and common sense.”</w:t>
      </w:r>
      <w:r w:rsidR="0000062B">
        <w:t xml:space="preserve"> </w:t>
      </w:r>
    </w:p>
    <w:p w:rsidR="007A0DB1" w14:paraId="19D908FF" w14:textId="08159F31">
      <w:pPr>
        <w:ind w:firstLine="720"/>
      </w:pPr>
      <w:r>
        <w:t xml:space="preserve">In their reply </w:t>
      </w:r>
      <w:r w:rsidR="003B4350">
        <w:t xml:space="preserve">brief </w:t>
      </w:r>
      <w:r w:rsidR="00DE794B">
        <w:t xml:space="preserve">the Valencias </w:t>
      </w:r>
      <w:r w:rsidR="005D60BD">
        <w:t>argued th</w:t>
      </w:r>
      <w:r w:rsidR="00263875">
        <w:t xml:space="preserve">e </w:t>
      </w:r>
      <w:r w:rsidR="00CF6482">
        <w:t xml:space="preserve">Mendoza defendants’ </w:t>
      </w:r>
      <w:r w:rsidR="00263875">
        <w:t xml:space="preserve">opposition did not include </w:t>
      </w:r>
      <w:r w:rsidR="0031737F">
        <w:t xml:space="preserve">any evidence </w:t>
      </w:r>
      <w:r w:rsidR="00FD09C1">
        <w:t xml:space="preserve">to support </w:t>
      </w:r>
      <w:r w:rsidR="008D4318">
        <w:t>vacation</w:t>
      </w:r>
      <w:r w:rsidR="00FC18D0">
        <w:t xml:space="preserve"> of</w:t>
      </w:r>
      <w:r w:rsidR="00424618">
        <w:t xml:space="preserve"> </w:t>
      </w:r>
      <w:r w:rsidR="00FD09C1">
        <w:t>the award (nor did it</w:t>
      </w:r>
      <w:r w:rsidR="00424618">
        <w:t xml:space="preserve"> </w:t>
      </w:r>
      <w:r w:rsidR="004810A7">
        <w:t>explicit</w:t>
      </w:r>
      <w:r w:rsidR="001530CD">
        <w:t>ly</w:t>
      </w:r>
      <w:r w:rsidR="004810A7">
        <w:t xml:space="preserve"> </w:t>
      </w:r>
      <w:r w:rsidR="00FD09C1">
        <w:t>request to vacate the award)</w:t>
      </w:r>
      <w:r w:rsidR="00CF6482">
        <w:t>,</w:t>
      </w:r>
      <w:r w:rsidR="00A3693F">
        <w:t xml:space="preserve"> and </w:t>
      </w:r>
      <w:r w:rsidR="00E806CF">
        <w:t xml:space="preserve">there </w:t>
      </w:r>
      <w:r w:rsidR="007950E5">
        <w:t xml:space="preserve">was no basis </w:t>
      </w:r>
      <w:r w:rsidR="00E806CF">
        <w:t xml:space="preserve">for a continuance because </w:t>
      </w:r>
      <w:r w:rsidR="00A3693F">
        <w:t xml:space="preserve">the </w:t>
      </w:r>
      <w:r w:rsidR="00E806CF">
        <w:t xml:space="preserve">Mendoza defendants’ </w:t>
      </w:r>
      <w:r w:rsidR="00A3693F">
        <w:t xml:space="preserve">unfiled petition to vacate </w:t>
      </w:r>
      <w:r w:rsidR="00CF6482">
        <w:t xml:space="preserve">was </w:t>
      </w:r>
      <w:r w:rsidR="000B1FA3">
        <w:t xml:space="preserve">already </w:t>
      </w:r>
      <w:r w:rsidR="00A3693F">
        <w:t>untimely under section</w:t>
      </w:r>
      <w:r w:rsidR="00CD3364">
        <w:t> </w:t>
      </w:r>
      <w:r w:rsidR="00A3693F">
        <w:t>12</w:t>
      </w:r>
      <w:r w:rsidR="00CA4B61">
        <w:t xml:space="preserve">90.6 </w:t>
      </w:r>
      <w:r w:rsidR="00E81C0B">
        <w:t>for failure to serve the petition</w:t>
      </w:r>
      <w:r w:rsidR="00D57058">
        <w:t xml:space="preserve"> within </w:t>
      </w:r>
      <w:r w:rsidR="00705890">
        <w:t>10</w:t>
      </w:r>
      <w:r w:rsidR="00CD3364">
        <w:t> </w:t>
      </w:r>
      <w:r w:rsidR="00D57058">
        <w:t xml:space="preserve">days after service of the </w:t>
      </w:r>
      <w:r w:rsidR="00CF6482">
        <w:t xml:space="preserve">Valencias’ </w:t>
      </w:r>
      <w:r w:rsidR="00D57058">
        <w:t>petition</w:t>
      </w:r>
      <w:r w:rsidR="00055984">
        <w:t xml:space="preserve"> to confirm.  </w:t>
      </w:r>
    </w:p>
    <w:p w:rsidR="00DE2924" w:rsidP="00A956CB" w14:paraId="1D4F0ED4" w14:textId="5E6F0828">
      <w:pPr>
        <w:ind w:firstLine="720"/>
      </w:pPr>
      <w:r w:rsidRPr="00A956CB">
        <w:t xml:space="preserve">The Valencias also argued </w:t>
      </w:r>
      <w:r w:rsidRPr="00A956CB" w:rsidR="000B1FA3">
        <w:t xml:space="preserve">the </w:t>
      </w:r>
      <w:r w:rsidRPr="00A956CB" w:rsidR="00437336">
        <w:t xml:space="preserve">arbitrator properly excluded the inspection card and </w:t>
      </w:r>
      <w:r w:rsidRPr="00A956CB" w:rsidR="00116697">
        <w:t>Richmond’s testimony</w:t>
      </w:r>
      <w:r w:rsidRPr="00A956CB" w:rsidR="00C04E82">
        <w:t xml:space="preserve"> about Chapter 34</w:t>
      </w:r>
      <w:r w:rsidRPr="00A956CB" w:rsidR="00116697">
        <w:t>.</w:t>
      </w:r>
      <w:r w:rsidR="00116697">
        <w:t xml:space="preserve">  </w:t>
      </w:r>
      <w:r>
        <w:t xml:space="preserve">The </w:t>
      </w:r>
      <w:r w:rsidR="00907242">
        <w:t xml:space="preserve">inspection card </w:t>
      </w:r>
      <w:r w:rsidR="006B27C2">
        <w:t>was “directly responsi</w:t>
      </w:r>
      <w:r w:rsidR="006E0FA9">
        <w:t>v</w:t>
      </w:r>
      <w:r w:rsidR="006B27C2">
        <w:t>e to multiple production request</w:t>
      </w:r>
      <w:r w:rsidR="001239F9">
        <w:t>s</w:t>
      </w:r>
      <w:r w:rsidR="001A2D51">
        <w:t>,</w:t>
      </w:r>
      <w:r w:rsidR="002570BC">
        <w:t>”</w:t>
      </w:r>
      <w:r w:rsidR="006B27C2">
        <w:t xml:space="preserve"> and </w:t>
      </w:r>
      <w:r w:rsidR="006E0FA9">
        <w:t xml:space="preserve">several witnesses had </w:t>
      </w:r>
      <w:r w:rsidR="00C04E82">
        <w:t xml:space="preserve">been deposed </w:t>
      </w:r>
      <w:r w:rsidR="006E0FA9">
        <w:t xml:space="preserve">about </w:t>
      </w:r>
      <w:r w:rsidR="00C04E82">
        <w:t>the inspection</w:t>
      </w:r>
      <w:r w:rsidR="00E062F3">
        <w:t xml:space="preserve">, yet the Mendoza defendants </w:t>
      </w:r>
      <w:r w:rsidR="00561E58">
        <w:t>did not produce the card in discovery</w:t>
      </w:r>
      <w:r w:rsidR="0065119B">
        <w:t xml:space="preserve"> </w:t>
      </w:r>
      <w:r w:rsidR="00CD3AB0">
        <w:t xml:space="preserve">or </w:t>
      </w:r>
      <w:r w:rsidR="0065119B">
        <w:t xml:space="preserve">disclose it on </w:t>
      </w:r>
      <w:r w:rsidR="00CD3AB0">
        <w:t>their exhibit list</w:t>
      </w:r>
      <w:r w:rsidR="002570BC">
        <w:t xml:space="preserve">.  </w:t>
      </w:r>
      <w:r w:rsidR="00252E4B">
        <w:t xml:space="preserve">Moreover, the Mendoza defendants </w:t>
      </w:r>
      <w:r w:rsidR="0025461D">
        <w:t xml:space="preserve">represented </w:t>
      </w:r>
      <w:r w:rsidR="008D411E">
        <w:t xml:space="preserve">they had no </w:t>
      </w:r>
      <w:r w:rsidR="002570BC">
        <w:t>further</w:t>
      </w:r>
      <w:r w:rsidR="008D411E">
        <w:t xml:space="preserve"> responsive </w:t>
      </w:r>
      <w:r w:rsidR="00CD3AB0">
        <w:t>records</w:t>
      </w:r>
      <w:r w:rsidR="002570BC">
        <w:t xml:space="preserve">, </w:t>
      </w:r>
      <w:r w:rsidR="00252E4B">
        <w:t xml:space="preserve">then </w:t>
      </w:r>
      <w:r w:rsidR="00917C9C">
        <w:t>less</w:t>
      </w:r>
      <w:r w:rsidR="00E81C0B">
        <w:t xml:space="preserve"> </w:t>
      </w:r>
      <w:r w:rsidR="002570BC">
        <w:t>than 24 hours before</w:t>
      </w:r>
      <w:r w:rsidR="001F02B3">
        <w:t xml:space="preserve"> the </w:t>
      </w:r>
      <w:r w:rsidR="00CF6482">
        <w:t xml:space="preserve">arbitration </w:t>
      </w:r>
      <w:r w:rsidR="001F02B3">
        <w:t>hearing</w:t>
      </w:r>
      <w:r w:rsidR="00231AC1">
        <w:t xml:space="preserve"> they</w:t>
      </w:r>
      <w:r w:rsidR="001F02B3">
        <w:t xml:space="preserve"> “miraculously found the inspection card.”</w:t>
      </w:r>
      <w:r w:rsidR="00CB36BD">
        <w:t xml:space="preserve"> </w:t>
      </w:r>
      <w:r w:rsidR="00CA54B9">
        <w:t xml:space="preserve"> </w:t>
      </w:r>
      <w:r w:rsidR="002570BC">
        <w:t>At the hearing,</w:t>
      </w:r>
      <w:r w:rsidR="00E45478">
        <w:t xml:space="preserve"> </w:t>
      </w:r>
      <w:r w:rsidR="00252E4B">
        <w:t xml:space="preserve">the </w:t>
      </w:r>
      <w:r w:rsidR="00E45478">
        <w:t>Val</w:t>
      </w:r>
      <w:r w:rsidR="00114648">
        <w:t xml:space="preserve">encias’ </w:t>
      </w:r>
      <w:r w:rsidR="00E45478">
        <w:t xml:space="preserve">lawyers objected to </w:t>
      </w:r>
      <w:r w:rsidR="00194D79">
        <w:t>th</w:t>
      </w:r>
      <w:r w:rsidR="00CA54B9">
        <w:t>e admissi</w:t>
      </w:r>
      <w:r w:rsidR="00E45478">
        <w:t xml:space="preserve">on </w:t>
      </w:r>
      <w:r w:rsidR="00114648">
        <w:t xml:space="preserve">of the </w:t>
      </w:r>
      <w:r w:rsidR="00110493">
        <w:t>inspection card</w:t>
      </w:r>
      <w:r w:rsidR="00114648">
        <w:t xml:space="preserve"> </w:t>
      </w:r>
      <w:r w:rsidR="00110493">
        <w:t xml:space="preserve">and other late-produced documents </w:t>
      </w:r>
      <w:r w:rsidR="00114648">
        <w:t xml:space="preserve">on the </w:t>
      </w:r>
      <w:r w:rsidR="00CF6482">
        <w:t xml:space="preserve">basis </w:t>
      </w:r>
      <w:r w:rsidR="00114648">
        <w:t>of unfair surprise</w:t>
      </w:r>
      <w:r w:rsidR="00E45478">
        <w:t>, and the arbitrator sustained the objection</w:t>
      </w:r>
      <w:r w:rsidR="00114648">
        <w:t xml:space="preserve">. </w:t>
      </w:r>
      <w:r w:rsidR="00E45478">
        <w:t xml:space="preserve"> </w:t>
      </w:r>
    </w:p>
    <w:p w:rsidR="00A37F97" w:rsidP="00A956CB" w14:paraId="59F1C7B1" w14:textId="56E74257">
      <w:pPr>
        <w:ind w:firstLine="720"/>
      </w:pPr>
      <w:r>
        <w:t>The</w:t>
      </w:r>
      <w:r w:rsidR="00B21D9C">
        <w:t xml:space="preserve"> Valencias’ </w:t>
      </w:r>
      <w:r w:rsidR="002570BC">
        <w:t>lawyer</w:t>
      </w:r>
      <w:r w:rsidR="00B21D9C">
        <w:t xml:space="preserve">, </w:t>
      </w:r>
      <w:r w:rsidR="00A3332A">
        <w:t xml:space="preserve">Kerry Cohen, submitted a declaration that included </w:t>
      </w:r>
      <w:r w:rsidR="00110493">
        <w:t xml:space="preserve">excerpts of </w:t>
      </w:r>
      <w:r w:rsidR="000B1FA3">
        <w:t>the</w:t>
      </w:r>
      <w:r w:rsidR="00A3332A">
        <w:t xml:space="preserve"> </w:t>
      </w:r>
      <w:r w:rsidR="0025461D">
        <w:t>discovery</w:t>
      </w:r>
      <w:r w:rsidR="00B20584">
        <w:t xml:space="preserve"> demands</w:t>
      </w:r>
      <w:r w:rsidR="000B1FA3">
        <w:t xml:space="preserve"> and responses</w:t>
      </w:r>
      <w:r w:rsidR="0061173E">
        <w:t xml:space="preserve">, deposition notices, </w:t>
      </w:r>
      <w:r w:rsidR="00C325B6">
        <w:t xml:space="preserve">and </w:t>
      </w:r>
      <w:r w:rsidR="00B20584">
        <w:t>correspondence with counsel</w:t>
      </w:r>
      <w:r w:rsidR="00110493">
        <w:t xml:space="preserve"> regarding </w:t>
      </w:r>
      <w:r w:rsidR="00A843AD">
        <w:t xml:space="preserve">the </w:t>
      </w:r>
      <w:r w:rsidR="00110493">
        <w:t>inspection records</w:t>
      </w:r>
      <w:r w:rsidR="00C325B6">
        <w:t>.</w:t>
      </w:r>
      <w:r w:rsidR="00CF6482">
        <w:t xml:space="preserve"> </w:t>
      </w:r>
      <w:r w:rsidR="00151FC7">
        <w:t xml:space="preserve"> </w:t>
      </w:r>
      <w:r w:rsidR="0025461D">
        <w:t>The correspondence show</w:t>
      </w:r>
      <w:r w:rsidR="002570BC">
        <w:t>ed</w:t>
      </w:r>
      <w:r w:rsidR="0025461D">
        <w:t xml:space="preserve"> that </w:t>
      </w:r>
      <w:r>
        <w:t xml:space="preserve">the </w:t>
      </w:r>
      <w:r w:rsidR="00B6568D">
        <w:t>Sunday before the Monday hearing</w:t>
      </w:r>
      <w:r>
        <w:t>,</w:t>
      </w:r>
      <w:r w:rsidR="00817116">
        <w:t xml:space="preserve"> the Mendoza defendants’ </w:t>
      </w:r>
      <w:r w:rsidR="002570BC">
        <w:t>lawyer</w:t>
      </w:r>
      <w:r w:rsidR="0025461D">
        <w:t xml:space="preserve">, Christopher Delaplane, </w:t>
      </w:r>
      <w:r w:rsidR="00817116">
        <w:t xml:space="preserve">wrote </w:t>
      </w:r>
      <w:r w:rsidR="00CF6482">
        <w:t xml:space="preserve">to Cohen to say </w:t>
      </w:r>
      <w:r w:rsidR="00817116">
        <w:t>Mendoza found the permit card that day</w:t>
      </w:r>
      <w:r w:rsidR="00E36FD4">
        <w:t>.  Delaplane explained that</w:t>
      </w:r>
      <w:r w:rsidR="00C76486">
        <w:t xml:space="preserve"> </w:t>
      </w:r>
      <w:r w:rsidR="00CF6482">
        <w:t xml:space="preserve">although </w:t>
      </w:r>
      <w:r w:rsidR="00110493">
        <w:t>Mendoza</w:t>
      </w:r>
      <w:r w:rsidR="00C76486">
        <w:t xml:space="preserve"> had previously </w:t>
      </w:r>
      <w:r w:rsidR="0028623F">
        <w:t>searched his</w:t>
      </w:r>
      <w:r w:rsidR="00C76486">
        <w:t xml:space="preserve"> storage </w:t>
      </w:r>
      <w:r w:rsidR="00110493">
        <w:t>unit</w:t>
      </w:r>
      <w:r w:rsidR="0025461D">
        <w:t xml:space="preserve"> </w:t>
      </w:r>
      <w:r w:rsidR="00CF6482">
        <w:t>and produced his file relating to the home, the inspection card was not in th</w:t>
      </w:r>
      <w:r w:rsidR="0025461D">
        <w:t>at</w:t>
      </w:r>
      <w:r w:rsidR="00CF6482">
        <w:t xml:space="preserve"> file</w:t>
      </w:r>
      <w:r w:rsidR="00C76486">
        <w:t>.  He and his fiancée conducted “another search</w:t>
      </w:r>
      <w:r w:rsidR="00CF6482">
        <w:t xml:space="preserve">” </w:t>
      </w:r>
      <w:r w:rsidR="0028623F">
        <w:t>on the eve of the arbitration hearing</w:t>
      </w:r>
      <w:r w:rsidR="00CF6482">
        <w:t xml:space="preserve"> and “</w:t>
      </w:r>
      <w:r w:rsidR="00C76486">
        <w:t>foun</w:t>
      </w:r>
      <w:r w:rsidR="00110493">
        <w:t>d</w:t>
      </w:r>
      <w:r w:rsidR="00C76486">
        <w:t xml:space="preserve"> [</w:t>
      </w:r>
      <w:r w:rsidR="00110493">
        <w:t>the inspection card</w:t>
      </w:r>
      <w:r w:rsidR="00C76486">
        <w:t>] intermixed with other non-relevant documents.”</w:t>
      </w:r>
      <w:r>
        <w:rPr>
          <w:rStyle w:val="FootnoteReference"/>
        </w:rPr>
        <w:footnoteReference w:id="12"/>
      </w:r>
      <w:r w:rsidR="0025461D">
        <w:t xml:space="preserve"> </w:t>
      </w:r>
      <w:r w:rsidR="00E2038C">
        <w:t xml:space="preserve"> </w:t>
      </w:r>
      <w:r w:rsidR="00742154">
        <w:t xml:space="preserve"> </w:t>
      </w:r>
    </w:p>
    <w:p w:rsidR="0028623F" w:rsidP="0028623F" w14:paraId="6812584F" w14:textId="03CE6A33">
      <w:pPr>
        <w:ind w:firstLine="720"/>
      </w:pPr>
      <w:r>
        <w:t xml:space="preserve">With respect to </w:t>
      </w:r>
      <w:r w:rsidR="00B81B77">
        <w:t xml:space="preserve">the exclusion </w:t>
      </w:r>
      <w:r w:rsidR="00CF6482">
        <w:t>of</w:t>
      </w:r>
      <w:r w:rsidR="00172203">
        <w:t xml:space="preserve"> </w:t>
      </w:r>
      <w:r w:rsidR="00384530">
        <w:t>Richmond’s testimony</w:t>
      </w:r>
      <w:r w:rsidR="00172203">
        <w:t xml:space="preserve"> about Chapter 34</w:t>
      </w:r>
      <w:r w:rsidR="00384530">
        <w:t xml:space="preserve">, the Valencias argued </w:t>
      </w:r>
      <w:r w:rsidR="00172203">
        <w:t xml:space="preserve">the arbitrator properly </w:t>
      </w:r>
      <w:r>
        <w:t xml:space="preserve">restricted </w:t>
      </w:r>
      <w:r w:rsidR="00172203">
        <w:t xml:space="preserve">his testimony </w:t>
      </w:r>
      <w:r w:rsidR="00B10B54">
        <w:t xml:space="preserve">under </w:t>
      </w:r>
      <w:r>
        <w:t xml:space="preserve">the principles set forth in </w:t>
      </w:r>
      <w:bookmarkStart w:id="0" w:name="_Hlk167171667"/>
      <w:r w:rsidR="00B10B54">
        <w:rPr>
          <w:i/>
          <w:iCs/>
        </w:rPr>
        <w:t xml:space="preserve">Kennemur v. State of California </w:t>
      </w:r>
      <w:r w:rsidR="00B10B54">
        <w:t>(1982) 133 Cal.App.</w:t>
      </w:r>
      <w:r w:rsidR="00384E65">
        <w:t xml:space="preserve">3d </w:t>
      </w:r>
      <w:r w:rsidR="00B10B54">
        <w:t xml:space="preserve">907 </w:t>
      </w:r>
      <w:bookmarkEnd w:id="0"/>
      <w:r w:rsidR="00B10B54">
        <w:t>(</w:t>
      </w:r>
      <w:r w:rsidR="00B10B54">
        <w:rPr>
          <w:i/>
          <w:iCs/>
        </w:rPr>
        <w:t>Kennemur</w:t>
      </w:r>
      <w:r w:rsidR="00B10B54">
        <w:t>)</w:t>
      </w:r>
      <w:r>
        <w:t xml:space="preserve"> for excluding undisclosed expert opinions</w:t>
      </w:r>
      <w:r w:rsidR="00B10B54">
        <w:t xml:space="preserve">.  </w:t>
      </w:r>
      <w:r w:rsidR="000D7F07">
        <w:t xml:space="preserve">As described in Cohen’s declaration, </w:t>
      </w:r>
      <w:r>
        <w:t>which attached</w:t>
      </w:r>
      <w:r w:rsidR="000D7F07">
        <w:t xml:space="preserve"> excerpts of </w:t>
      </w:r>
      <w:r>
        <w:t xml:space="preserve">Richmond’s </w:t>
      </w:r>
      <w:r w:rsidR="000D7F07">
        <w:t xml:space="preserve">deposition and correspondence between the lawyers, </w:t>
      </w:r>
      <w:r w:rsidR="00007C0E">
        <w:t xml:space="preserve">Richmond testified </w:t>
      </w:r>
      <w:r w:rsidR="00AE3375">
        <w:t xml:space="preserve">in </w:t>
      </w:r>
      <w:r w:rsidR="00941432">
        <w:t xml:space="preserve">his March 2021 </w:t>
      </w:r>
      <w:r w:rsidR="00AE3375">
        <w:t xml:space="preserve">deposition that </w:t>
      </w:r>
      <w:r w:rsidR="00007C0E">
        <w:t xml:space="preserve">he had been retained to opine </w:t>
      </w:r>
      <w:r w:rsidR="002570BC">
        <w:t xml:space="preserve">only </w:t>
      </w:r>
      <w:r w:rsidR="00007C0E">
        <w:t xml:space="preserve">about structural issues relating to a kitchen beam </w:t>
      </w:r>
      <w:r w:rsidR="00B167C7">
        <w:t xml:space="preserve">and </w:t>
      </w:r>
      <w:r w:rsidR="00B76246">
        <w:t>whether exterior framing required 2x4 or 2x6 studs</w:t>
      </w:r>
      <w:r>
        <w:t xml:space="preserve">.  Richmond </w:t>
      </w:r>
      <w:r w:rsidR="0036113B">
        <w:t xml:space="preserve">confirmed </w:t>
      </w:r>
      <w:r w:rsidR="00B76246">
        <w:t>he had not been asked to give any other opinions</w:t>
      </w:r>
      <w:r w:rsidR="0036113B">
        <w:t>, alt</w:t>
      </w:r>
      <w:r w:rsidR="00254220">
        <w:t xml:space="preserve">hough he </w:t>
      </w:r>
      <w:r w:rsidR="00CF6482">
        <w:t xml:space="preserve">testified </w:t>
      </w:r>
      <w:r w:rsidR="00DC4BBD">
        <w:t>he had received Nelson’s report and</w:t>
      </w:r>
      <w:r w:rsidR="0036113B">
        <w:t xml:space="preserve"> might opin</w:t>
      </w:r>
      <w:r w:rsidR="009C1162">
        <w:t xml:space="preserve">e about </w:t>
      </w:r>
      <w:r w:rsidR="00254220">
        <w:t>Nelson’s</w:t>
      </w:r>
      <w:r w:rsidR="00035EAD">
        <w:t xml:space="preserve"> </w:t>
      </w:r>
      <w:r w:rsidR="009C1162">
        <w:t xml:space="preserve">opinions </w:t>
      </w:r>
      <w:r w:rsidR="0036113B">
        <w:t>“eventually</w:t>
      </w:r>
      <w:r w:rsidR="009C1162">
        <w:t>.</w:t>
      </w:r>
      <w:r w:rsidR="0036113B">
        <w:t>”</w:t>
      </w:r>
      <w:r w:rsidR="009C1162">
        <w:t xml:space="preserve"> </w:t>
      </w:r>
      <w:r w:rsidR="00A560C8">
        <w:t xml:space="preserve"> </w:t>
      </w:r>
    </w:p>
    <w:p w:rsidR="00327D1C" w:rsidP="0028623F" w14:paraId="6599669B" w14:textId="4D090585">
      <w:pPr>
        <w:ind w:firstLine="720"/>
      </w:pPr>
      <w:r>
        <w:t>Shortly before the arbitration hearing</w:t>
      </w:r>
      <w:r w:rsidR="0028623F">
        <w:t>,</w:t>
      </w:r>
      <w:r w:rsidR="00254220">
        <w:t xml:space="preserve"> </w:t>
      </w:r>
      <w:r w:rsidR="008C0DA7">
        <w:t xml:space="preserve">Delaplane </w:t>
      </w:r>
      <w:r w:rsidR="00CF6482">
        <w:t xml:space="preserve">stated in </w:t>
      </w:r>
      <w:r w:rsidR="008C0DA7">
        <w:t xml:space="preserve">response to </w:t>
      </w:r>
      <w:r w:rsidR="00CF6482">
        <w:t>a</w:t>
      </w:r>
      <w:r w:rsidR="008C0DA7">
        <w:t xml:space="preserve"> supplemental discovery demand</w:t>
      </w:r>
      <w:r w:rsidR="00CF6482">
        <w:t xml:space="preserve"> that </w:t>
      </w:r>
      <w:r w:rsidR="0025461D">
        <w:t>the Mendoza defendants’</w:t>
      </w:r>
      <w:r w:rsidR="00CF6482">
        <w:t xml:space="preserve"> experts were </w:t>
      </w:r>
      <w:r w:rsidR="00E14BA3">
        <w:t xml:space="preserve">“still in the process of formulating additional responses to Plaintiff’s damage claims, all of which will be raised at the trial </w:t>
      </w:r>
      <w:r w:rsidR="00DD567A">
        <w:t>of</w:t>
      </w:r>
      <w:r w:rsidR="00E14BA3">
        <w:t xml:space="preserve"> this matter</w:t>
      </w:r>
      <w:r w:rsidR="00CF6482">
        <w:t>.</w:t>
      </w:r>
      <w:r w:rsidR="00E14BA3">
        <w:t>”</w:t>
      </w:r>
      <w:r w:rsidR="00DD567A">
        <w:t xml:space="preserve"> </w:t>
      </w:r>
      <w:r w:rsidR="00CF6482">
        <w:t xml:space="preserve"> Cohen demanded Delaplane </w:t>
      </w:r>
      <w:r w:rsidR="00DD567A">
        <w:t>make the expert</w:t>
      </w:r>
      <w:r w:rsidR="00FA7CE4">
        <w:t xml:space="preserve">s available for deposition on </w:t>
      </w:r>
      <w:r w:rsidR="0028623F">
        <w:t>these</w:t>
      </w:r>
      <w:r w:rsidR="00FA7CE4">
        <w:t xml:space="preserve"> opin</w:t>
      </w:r>
      <w:r w:rsidR="00DC4BBD">
        <w:t>i</w:t>
      </w:r>
      <w:r w:rsidR="00FA7CE4">
        <w:t xml:space="preserve">ons, </w:t>
      </w:r>
      <w:r w:rsidR="0028623F">
        <w:t xml:space="preserve">but </w:t>
      </w:r>
      <w:r w:rsidR="00DC4BBD">
        <w:t>Delaplane refused, stating “our experts are preparing for the arbitration and will be reviewing your experts’ deposition transcripts in order to assess their respective opinions. . . .</w:t>
      </w:r>
      <w:r w:rsidR="00FA7CE4">
        <w:t xml:space="preserve"> </w:t>
      </w:r>
      <w:r w:rsidR="00DC4BBD">
        <w:t xml:space="preserve"> This does not make them subject to an additional round of depositions.” </w:t>
      </w:r>
      <w:bookmarkStart w:id="1" w:name="_Hlk167171218"/>
      <w:r w:rsidR="00865BF1">
        <w:t xml:space="preserve"> </w:t>
      </w:r>
      <w:bookmarkEnd w:id="1"/>
      <w:r w:rsidRPr="00C51358" w:rsidR="0028623F">
        <w:t xml:space="preserve">As </w:t>
      </w:r>
      <w:r w:rsidRPr="00C51358" w:rsidR="000D7F07">
        <w:t>Cohen</w:t>
      </w:r>
      <w:r w:rsidR="00C51358">
        <w:t xml:space="preserve"> </w:t>
      </w:r>
      <w:r w:rsidR="00E25A35">
        <w:t xml:space="preserve">described </w:t>
      </w:r>
      <w:r w:rsidR="00C51358">
        <w:t>in his declaration,</w:t>
      </w:r>
      <w:r w:rsidRPr="00C51358" w:rsidR="000D7F07">
        <w:t xml:space="preserve"> at the </w:t>
      </w:r>
      <w:r w:rsidR="00AB6C39">
        <w:t xml:space="preserve">arbitration </w:t>
      </w:r>
      <w:r w:rsidRPr="00C51358" w:rsidR="000D7F07">
        <w:t xml:space="preserve">hearing Delaplane sought to elicit opinions from Richmond regarding the applicability of the upgrade requirements under Chapter 34, and Cohen objected under </w:t>
      </w:r>
      <w:r w:rsidRPr="00C51358" w:rsidR="000D7F07">
        <w:rPr>
          <w:i/>
          <w:iCs/>
        </w:rPr>
        <w:t>Kennemur</w:t>
      </w:r>
      <w:r w:rsidRPr="00C51358" w:rsidR="000D7F07">
        <w:t xml:space="preserve">.  </w:t>
      </w:r>
      <w:r w:rsidR="00AB6C39">
        <w:t>After argument from counsel, t</w:t>
      </w:r>
      <w:r w:rsidRPr="00C51358" w:rsidR="000D7F07">
        <w:t xml:space="preserve">he arbitrator sustained the objection. </w:t>
      </w:r>
    </w:p>
    <w:p w:rsidR="00E1029F" w:rsidRPr="000D7F07" w:rsidP="0028623F" w14:paraId="6E25ABD0" w14:textId="77777777">
      <w:pPr>
        <w:ind w:firstLine="720"/>
      </w:pPr>
    </w:p>
    <w:p w:rsidR="00A24C1C" w:rsidP="00A24C1C" w14:paraId="01E161A4" w14:textId="0BAF2AFF">
      <w:pPr>
        <w:pStyle w:val="Heading3"/>
      </w:pPr>
      <w:r>
        <w:t>The Mendoza defendants’ petition to vacate the award</w:t>
      </w:r>
    </w:p>
    <w:p w:rsidR="003A7F27" w14:paraId="2E7632A1" w14:textId="2C51B9F6">
      <w:pPr>
        <w:ind w:firstLine="720"/>
      </w:pPr>
      <w:r>
        <w:t xml:space="preserve">On September 27, 2022, the day before the hearing on the Valencias’ petition to confirm the award, the </w:t>
      </w:r>
      <w:r w:rsidR="00406DC3">
        <w:t>Mendoza defendants</w:t>
      </w:r>
      <w:r>
        <w:t xml:space="preserve"> filed a petition to vacate</w:t>
      </w:r>
      <w:r w:rsidR="00ED1494">
        <w:t xml:space="preserve"> the arbitration award</w:t>
      </w:r>
      <w:r w:rsidR="00987CA2">
        <w:t xml:space="preserve">, </w:t>
      </w:r>
      <w:r>
        <w:t>supported by an eight</w:t>
      </w:r>
      <w:r w:rsidR="00145E76">
        <w:t>-</w:t>
      </w:r>
      <w:r>
        <w:t xml:space="preserve">page memorandum and declarations from Mendoza, Delaplane, </w:t>
      </w:r>
      <w:r w:rsidR="00350E53">
        <w:t xml:space="preserve">and Richmond.  The Mendoza </w:t>
      </w:r>
      <w:r w:rsidR="00AA4E6A">
        <w:t>defendants</w:t>
      </w:r>
      <w:r w:rsidR="00350E53">
        <w:t xml:space="preserve"> </w:t>
      </w:r>
      <w:r w:rsidR="002570BC">
        <w:t xml:space="preserve">raised the same </w:t>
      </w:r>
      <w:r w:rsidR="00350E53">
        <w:t>t</w:t>
      </w:r>
      <w:r w:rsidR="00AA4E6A">
        <w:t>w</w:t>
      </w:r>
      <w:r w:rsidR="00350E53">
        <w:t xml:space="preserve">o grounds for vacating the award </w:t>
      </w:r>
      <w:r w:rsidR="00AA4E6A">
        <w:t>they argued in their opposition</w:t>
      </w:r>
      <w:r w:rsidR="002570BC">
        <w:t xml:space="preserve"> (and raise on appeal)</w:t>
      </w:r>
      <w:r w:rsidR="00350E53">
        <w:t xml:space="preserve">: the arbitrator’s exclusion of the building inspection card and Richmond’s testimony about Chapter 34.  </w:t>
      </w:r>
    </w:p>
    <w:p w:rsidR="00350E53" w14:paraId="1CDD7BB4" w14:textId="5657EED4">
      <w:pPr>
        <w:ind w:firstLine="720"/>
      </w:pPr>
      <w:r>
        <w:t xml:space="preserve">With respect to the inspection card, the Mendoza defendants’ factual account of the </w:t>
      </w:r>
      <w:r w:rsidR="00406DC3">
        <w:t>last</w:t>
      </w:r>
      <w:r w:rsidR="006B411D">
        <w:t>-</w:t>
      </w:r>
      <w:r w:rsidR="00406DC3">
        <w:t xml:space="preserve">minute </w:t>
      </w:r>
      <w:r w:rsidR="00AA4E6A">
        <w:t xml:space="preserve">discovery of the </w:t>
      </w:r>
      <w:r>
        <w:t>card was substantially consistent with the Valencias’ account.  Delaplane</w:t>
      </w:r>
      <w:r w:rsidR="00E41A6A">
        <w:t xml:space="preserve"> </w:t>
      </w:r>
      <w:r w:rsidR="008611E8">
        <w:t xml:space="preserve">also </w:t>
      </w:r>
      <w:r w:rsidR="00E41A6A">
        <w:t>stated in his</w:t>
      </w:r>
      <w:r>
        <w:t xml:space="preserve"> declaration </w:t>
      </w:r>
      <w:r w:rsidR="006B411D">
        <w:t xml:space="preserve">that </w:t>
      </w:r>
      <w:r w:rsidR="0050786D">
        <w:t xml:space="preserve">the Mendoza defendants </w:t>
      </w:r>
      <w:r w:rsidR="00FF3BF6">
        <w:t xml:space="preserve">had requested </w:t>
      </w:r>
      <w:r w:rsidR="006B411D">
        <w:t>the</w:t>
      </w:r>
      <w:r w:rsidR="000A16EF">
        <w:t xml:space="preserve"> pe</w:t>
      </w:r>
      <w:r>
        <w:t xml:space="preserve">rmit file </w:t>
      </w:r>
      <w:r w:rsidR="000A16EF">
        <w:t xml:space="preserve">for the home </w:t>
      </w:r>
      <w:r w:rsidR="006B411D">
        <w:t xml:space="preserve">from </w:t>
      </w:r>
      <w:r w:rsidR="00AA4E6A">
        <w:t xml:space="preserve">the </w:t>
      </w:r>
      <w:r>
        <w:t>Los Angeles</w:t>
      </w:r>
      <w:r w:rsidR="00FF3BF6">
        <w:t xml:space="preserve"> </w:t>
      </w:r>
      <w:r>
        <w:t>Department of Building and Safet</w:t>
      </w:r>
      <w:r w:rsidR="00AA4E6A">
        <w:t>y</w:t>
      </w:r>
      <w:r w:rsidR="006B411D">
        <w:t>,</w:t>
      </w:r>
      <w:r>
        <w:rPr>
          <w:vertAlign w:val="superscript"/>
        </w:rPr>
        <w:footnoteReference w:id="13"/>
      </w:r>
      <w:r w:rsidRPr="00FF3BF6" w:rsidR="00FF3BF6">
        <w:t xml:space="preserve"> </w:t>
      </w:r>
      <w:r w:rsidR="006B411D">
        <w:t>and</w:t>
      </w:r>
      <w:r w:rsidR="00AA4E6A">
        <w:t xml:space="preserve"> </w:t>
      </w:r>
      <w:r w:rsidR="00E36FD4">
        <w:t>the department</w:t>
      </w:r>
      <w:r w:rsidR="00AA4E6A">
        <w:t xml:space="preserve"> failed to produce a copy of the back of the permit card. </w:t>
      </w:r>
    </w:p>
    <w:p w:rsidR="00660023" w:rsidP="002C74E4" w14:paraId="5234505F" w14:textId="626B9DA9">
      <w:pPr>
        <w:ind w:firstLine="720"/>
      </w:pPr>
      <w:r>
        <w:t xml:space="preserve">Delaplane </w:t>
      </w:r>
      <w:r w:rsidR="000A16EF">
        <w:t xml:space="preserve">explained </w:t>
      </w:r>
      <w:r w:rsidR="00FF3BF6">
        <w:t xml:space="preserve">as to Richmond’s testimony </w:t>
      </w:r>
      <w:r w:rsidR="000A16EF">
        <w:t xml:space="preserve">that </w:t>
      </w:r>
      <w:r w:rsidR="006B411D">
        <w:t xml:space="preserve">Nelson </w:t>
      </w:r>
      <w:r>
        <w:t>raised Chapter 34 for the first time</w:t>
      </w:r>
      <w:r w:rsidR="000A16EF">
        <w:t xml:space="preserve"> in his deposition, which was</w:t>
      </w:r>
      <w:r>
        <w:t xml:space="preserve"> after Richmond’s deposition</w:t>
      </w:r>
      <w:r w:rsidR="000A16EF">
        <w:t xml:space="preserve">. </w:t>
      </w:r>
      <w:r w:rsidR="00AD59E0">
        <w:t xml:space="preserve"> Further, </w:t>
      </w:r>
      <w:r w:rsidR="000A16EF">
        <w:t xml:space="preserve">Richmond and Delaplane </w:t>
      </w:r>
      <w:r w:rsidR="002C74E4">
        <w:t xml:space="preserve">repeatedly </w:t>
      </w:r>
      <w:r w:rsidR="00AD59E0">
        <w:t>stated</w:t>
      </w:r>
      <w:r w:rsidR="002C74E4">
        <w:t xml:space="preserve"> that Richmond would </w:t>
      </w:r>
      <w:r>
        <w:t xml:space="preserve">offer </w:t>
      </w:r>
      <w:r w:rsidR="000A16EF">
        <w:t xml:space="preserve">additional </w:t>
      </w:r>
      <w:r>
        <w:t>opinions in response to the Valencias’</w:t>
      </w:r>
      <w:r w:rsidR="002C74E4">
        <w:t xml:space="preserve"> experts’ opinions</w:t>
      </w:r>
      <w:r w:rsidR="000A16EF">
        <w:t xml:space="preserve">, and </w:t>
      </w:r>
      <w:r>
        <w:t>Richmond’s opinions about Chapter 34 were introduced only for rebuttal</w:t>
      </w:r>
      <w:r w:rsidR="000A16EF">
        <w:t>.  Delaplane also attested that t</w:t>
      </w:r>
      <w:r>
        <w:t xml:space="preserve">he Mendoza defendants “were amenable to allowing [the Valencias] to take Mr. Richmond’s deposition on his Chapter 34 opinions and to allow Mr. Nelson to be able to respond to said opinions,” but </w:t>
      </w:r>
      <w:r w:rsidR="004C2008">
        <w:t xml:space="preserve">the need </w:t>
      </w:r>
      <w:r w:rsidR="00AD59E0">
        <w:t xml:space="preserve">for a </w:t>
      </w:r>
      <w:r w:rsidR="004C2008">
        <w:t>further deposition</w:t>
      </w:r>
      <w:r>
        <w:t xml:space="preserve"> should have been addressed </w:t>
      </w:r>
      <w:r w:rsidR="004C2008">
        <w:t xml:space="preserve">in a </w:t>
      </w:r>
      <w:r>
        <w:t>motion prior to the arbitration</w:t>
      </w:r>
      <w:r w:rsidR="002C74E4">
        <w:t xml:space="preserve"> and not by an evidentiary exclusion</w:t>
      </w:r>
      <w:r>
        <w:t xml:space="preserve">.  </w:t>
      </w:r>
      <w:r w:rsidR="002C74E4">
        <w:t xml:space="preserve">Richmond </w:t>
      </w:r>
      <w:r w:rsidR="006B411D">
        <w:t xml:space="preserve">in his declaration </w:t>
      </w:r>
      <w:r w:rsidR="00AD59E0">
        <w:t xml:space="preserve">stated he </w:t>
      </w:r>
      <w:r w:rsidR="000A16EF">
        <w:t xml:space="preserve">would have testified that </w:t>
      </w:r>
      <w:r w:rsidR="002C74E4">
        <w:t xml:space="preserve">“Nelson wrongly applied Chapter 34 and incorrectly </w:t>
      </w:r>
      <w:r>
        <w:t>opined</w:t>
      </w:r>
      <w:r w:rsidR="002C74E4">
        <w:t xml:space="preserve"> that a code upgrade for non-altered </w:t>
      </w:r>
      <w:r w:rsidR="000A16EF">
        <w:t>elements</w:t>
      </w:r>
      <w:r w:rsidR="002C74E4">
        <w:t xml:space="preserve"> of the Property was necessary.  Since the Property is considered ‘conventional light-frame construction’ and has a flexible diaphragm, only the altered portion of the Property would need to meet current codes.”</w:t>
      </w:r>
      <w:r w:rsidRPr="00AD59E0" w:rsidR="00AD59E0">
        <w:t xml:space="preserve"> </w:t>
      </w:r>
    </w:p>
    <w:p w:rsidR="002C74E4" w:rsidP="002C74E4" w14:paraId="486E1057" w14:textId="2BEA2FB0">
      <w:pPr>
        <w:ind w:firstLine="720"/>
      </w:pPr>
      <w:r>
        <w:t xml:space="preserve"> </w:t>
      </w:r>
    </w:p>
    <w:p w:rsidR="0004314C" w:rsidP="00A24C1C" w14:paraId="63A5D923" w14:textId="7331E969">
      <w:pPr>
        <w:pStyle w:val="Heading3"/>
      </w:pPr>
      <w:r>
        <w:t>The trial court</w:t>
      </w:r>
      <w:r w:rsidR="00466521">
        <w:t>’s order confirming</w:t>
      </w:r>
      <w:r w:rsidR="00A24C1C">
        <w:t xml:space="preserve"> the award</w:t>
      </w:r>
      <w:r w:rsidR="00394AA5">
        <w:t xml:space="preserve"> </w:t>
      </w:r>
    </w:p>
    <w:p w:rsidR="003A7F27" w:rsidP="004A162E" w14:paraId="5DEDFADE" w14:textId="4539B3CC">
      <w:pPr>
        <w:ind w:firstLine="720"/>
      </w:pPr>
      <w:r>
        <w:t xml:space="preserve">The trial court heard the Valencias’ motion to confirm on September 28, 2022.  There was no court reporter present, and the parties have not </w:t>
      </w:r>
      <w:r w:rsidR="00466521">
        <w:t xml:space="preserve">provided a settled </w:t>
      </w:r>
      <w:r>
        <w:t xml:space="preserve">statement of the proceeding.  </w:t>
      </w:r>
      <w:r w:rsidR="006B411D">
        <w:t>As state</w:t>
      </w:r>
      <w:r w:rsidR="00B3583E">
        <w:t>d</w:t>
      </w:r>
      <w:r w:rsidR="006B411D">
        <w:t xml:space="preserve"> in</w:t>
      </w:r>
      <w:r>
        <w:t xml:space="preserve"> its three-page minute order, the </w:t>
      </w:r>
      <w:r w:rsidR="00B3583E">
        <w:t>court</w:t>
      </w:r>
      <w:r>
        <w:t xml:space="preserve"> </w:t>
      </w:r>
      <w:r w:rsidR="004A162E">
        <w:t xml:space="preserve">found </w:t>
      </w:r>
      <w:r w:rsidR="00466521">
        <w:t xml:space="preserve">that </w:t>
      </w:r>
      <w:r w:rsidR="00C058F9">
        <w:t xml:space="preserve">it </w:t>
      </w:r>
      <w:r w:rsidR="006B411D">
        <w:t>was required to confirm the award</w:t>
      </w:r>
      <w:r w:rsidR="00C058F9">
        <w:t xml:space="preserve"> </w:t>
      </w:r>
      <w:r w:rsidRPr="00466521" w:rsidR="00466521">
        <w:t>under section</w:t>
      </w:r>
      <w:r w:rsidR="00567A6E">
        <w:t> </w:t>
      </w:r>
      <w:r w:rsidRPr="00466521" w:rsidR="00466521">
        <w:t xml:space="preserve">1286.4 </w:t>
      </w:r>
      <w:r w:rsidR="00C058F9">
        <w:t xml:space="preserve">because the Valencias </w:t>
      </w:r>
      <w:r w:rsidR="004A162E">
        <w:t>filed and s</w:t>
      </w:r>
      <w:r w:rsidR="00C058F9">
        <w:t xml:space="preserve">erved a </w:t>
      </w:r>
      <w:r>
        <w:t xml:space="preserve">petition </w:t>
      </w:r>
      <w:r w:rsidR="00C058F9">
        <w:t xml:space="preserve">to confirm </w:t>
      </w:r>
      <w:r>
        <w:t>that complied with</w:t>
      </w:r>
      <w:r w:rsidR="00C058F9">
        <w:t xml:space="preserve"> </w:t>
      </w:r>
      <w:r w:rsidR="00B23D4E">
        <w:t xml:space="preserve">the </w:t>
      </w:r>
      <w:r w:rsidR="00C058F9">
        <w:t xml:space="preserve">statutory requirements, </w:t>
      </w:r>
      <w:r w:rsidR="00B23D4E">
        <w:t xml:space="preserve">and the </w:t>
      </w:r>
      <w:r w:rsidR="006B411D">
        <w:t xml:space="preserve">Mendoza </w:t>
      </w:r>
      <w:r w:rsidR="00C058F9">
        <w:t xml:space="preserve">defendants did not file </w:t>
      </w:r>
      <w:r w:rsidR="004C2008">
        <w:t xml:space="preserve">and serve </w:t>
      </w:r>
      <w:r w:rsidR="00C058F9">
        <w:t xml:space="preserve">a request to vacate within </w:t>
      </w:r>
      <w:r w:rsidR="00B23D4E">
        <w:t>10</w:t>
      </w:r>
      <w:r w:rsidR="00C058F9">
        <w:t xml:space="preserve"> days of service of the petition to confirm as required by section</w:t>
      </w:r>
      <w:r w:rsidR="00567A6E">
        <w:t> </w:t>
      </w:r>
      <w:r w:rsidR="00C058F9">
        <w:t xml:space="preserve">1290.6. </w:t>
      </w:r>
      <w:r w:rsidR="004A162E">
        <w:t xml:space="preserve"> </w:t>
      </w:r>
      <w:r w:rsidR="004C2008">
        <w:t>And the</w:t>
      </w:r>
      <w:r w:rsidR="004A162E">
        <w:t xml:space="preserve"> Mendoza defendants’ opposition did not present facts or evidence demonstrating good cause to extend the time for the Mendoza defendants to file a response or </w:t>
      </w:r>
      <w:r w:rsidR="00B3583E">
        <w:t xml:space="preserve">to </w:t>
      </w:r>
      <w:r w:rsidR="004A162E">
        <w:t xml:space="preserve">continue </w:t>
      </w:r>
      <w:r w:rsidR="00B23D4E">
        <w:t xml:space="preserve">the </w:t>
      </w:r>
      <w:r w:rsidR="004A162E">
        <w:t>hearing on the petition to vacate.</w:t>
      </w:r>
      <w:r>
        <w:rPr>
          <w:rStyle w:val="FootnoteReference"/>
        </w:rPr>
        <w:footnoteReference w:id="14"/>
      </w:r>
      <w:r w:rsidR="004A162E">
        <w:t xml:space="preserve">  </w:t>
      </w:r>
    </w:p>
    <w:p w:rsidR="000A16EF" w:rsidP="000E74E5" w14:paraId="4D7D9ED1" w14:textId="5EA01E4D">
      <w:pPr>
        <w:ind w:firstLine="720"/>
      </w:pPr>
      <w:r>
        <w:t>The</w:t>
      </w:r>
      <w:r w:rsidR="004A162E">
        <w:t xml:space="preserve"> </w:t>
      </w:r>
      <w:r w:rsidR="00A55ACB">
        <w:t xml:space="preserve">trial court </w:t>
      </w:r>
      <w:r w:rsidR="00465CAB">
        <w:t>continued</w:t>
      </w:r>
      <w:r w:rsidR="008611E8">
        <w:t>,</w:t>
      </w:r>
      <w:r w:rsidR="00366A9F">
        <w:t xml:space="preserve"> </w:t>
      </w:r>
      <w:r w:rsidR="003A7F27">
        <w:t>“</w:t>
      </w:r>
      <w:r w:rsidR="00366A9F">
        <w:t>W</w:t>
      </w:r>
      <w:r w:rsidR="003A7F27">
        <w:t xml:space="preserve">hile Defendants contend the arbitrator refused to admit critical evidence, the general rule in California remains that the grounds for </w:t>
      </w:r>
      <w:r>
        <w:t>vacating</w:t>
      </w:r>
      <w:r w:rsidR="003A7F27">
        <w:t xml:space="preserve"> an </w:t>
      </w:r>
      <w:r>
        <w:t>arbitration</w:t>
      </w:r>
      <w:r w:rsidR="003A7F27">
        <w:t xml:space="preserve"> award are </w:t>
      </w:r>
      <w:r w:rsidR="000E74E5">
        <w:t>exclusively</w:t>
      </w:r>
      <w:r w:rsidR="003A7F27">
        <w:t xml:space="preserve"> statutory and there is no statutory provision for vacating an award on mere </w:t>
      </w:r>
      <w:r w:rsidR="000E74E5">
        <w:t>grounds</w:t>
      </w:r>
      <w:r w:rsidR="003A7F27">
        <w:t xml:space="preserve"> of a refusal to hear evidence, without more.”  Further, “Defendants fail[ed] to provide any evidence to show that the evidentiary ruling preju</w:t>
      </w:r>
      <w:r w:rsidR="000E74E5">
        <w:t xml:space="preserve">diced </w:t>
      </w:r>
      <w:r w:rsidR="003A7F27">
        <w:t xml:space="preserve">them because the ruling ‘influenced the outcome of the arbitration.’” </w:t>
      </w:r>
      <w:r>
        <w:t xml:space="preserve"> </w:t>
      </w:r>
    </w:p>
    <w:p w:rsidR="000E74E5" w:rsidP="000E74E5" w14:paraId="56FC41B3" w14:textId="410A5E08">
      <w:pPr>
        <w:ind w:firstLine="720"/>
      </w:pPr>
      <w:r>
        <w:t xml:space="preserve">The </w:t>
      </w:r>
      <w:r w:rsidR="00EB6470">
        <w:t xml:space="preserve">trial </w:t>
      </w:r>
      <w:r>
        <w:t xml:space="preserve">court granted the Valencias’ petition to confirm the award, and on its own motion, the court advanced </w:t>
      </w:r>
      <w:r w:rsidR="00F87566">
        <w:t xml:space="preserve">the </w:t>
      </w:r>
      <w:r w:rsidR="00B3583E">
        <w:t xml:space="preserve">hearing </w:t>
      </w:r>
      <w:r>
        <w:t>and vacated the Mendoza defendants’ petition to vacate the award.  The court entered a judgment in favor the Valencias for $1,512,850</w:t>
      </w:r>
      <w:r w:rsidR="00EB6470">
        <w:t>,</w:t>
      </w:r>
      <w:r>
        <w:t xml:space="preserve"> which included the </w:t>
      </w:r>
      <w:r w:rsidR="004C2008">
        <w:t>arbitrator’s award</w:t>
      </w:r>
      <w:r>
        <w:t xml:space="preserve"> </w:t>
      </w:r>
      <w:r w:rsidR="004C2008">
        <w:t xml:space="preserve">and </w:t>
      </w:r>
      <w:r w:rsidR="003F3ED3">
        <w:t>$224,303</w:t>
      </w:r>
      <w:r w:rsidR="00F87566">
        <w:t xml:space="preserve"> in prejudgment interest</w:t>
      </w:r>
      <w:r w:rsidR="003F3ED3">
        <w:t>.</w:t>
      </w:r>
      <w:r>
        <w:rPr>
          <w:rStyle w:val="FootnoteReference"/>
        </w:rPr>
        <w:footnoteReference w:id="15"/>
      </w:r>
      <w:r w:rsidR="003F3ED3">
        <w:t xml:space="preserve"> </w:t>
      </w:r>
      <w:r w:rsidR="00EB6470">
        <w:t xml:space="preserve"> On October</w:t>
      </w:r>
      <w:r w:rsidR="00535B6D">
        <w:t> </w:t>
      </w:r>
      <w:r w:rsidR="00EB6470">
        <w:t>7</w:t>
      </w:r>
      <w:r w:rsidR="0046658C">
        <w:t>, 2022</w:t>
      </w:r>
      <w:r w:rsidR="00EB6470">
        <w:t xml:space="preserve"> the Valencias filed a notice </w:t>
      </w:r>
      <w:r w:rsidR="0046658C">
        <w:t xml:space="preserve">of </w:t>
      </w:r>
      <w:r w:rsidR="00EB6470">
        <w:t xml:space="preserve">entry of the order </w:t>
      </w:r>
      <w:r w:rsidR="00C230AB">
        <w:t>confirming the award</w:t>
      </w:r>
      <w:r w:rsidR="00B3583E">
        <w:t xml:space="preserve"> and a notice of entry of judgment</w:t>
      </w:r>
      <w:r w:rsidR="00EB6470">
        <w:t xml:space="preserve">. </w:t>
      </w:r>
    </w:p>
    <w:p w:rsidR="00660023" w14:paraId="3C973F18" w14:textId="45C620EA">
      <w:pPr>
        <w:ind w:firstLine="720"/>
      </w:pPr>
      <w:r>
        <w:t>The Mendoza defendants timely appealed.</w:t>
      </w:r>
      <w:r>
        <w:rPr>
          <w:rStyle w:val="FootnoteReference"/>
        </w:rPr>
        <w:footnoteReference w:id="16"/>
      </w:r>
      <w:r>
        <w:t xml:space="preserve"> </w:t>
      </w:r>
    </w:p>
    <w:p w:rsidR="003B51AF" w14:paraId="3F5AB0C5" w14:textId="77777777">
      <w:pPr>
        <w:ind w:firstLine="720"/>
      </w:pPr>
    </w:p>
    <w:p w:rsidR="00BF3A2F" w:rsidP="00BF3A2F" w14:paraId="2F9F4A5C" w14:textId="77777777">
      <w:pPr>
        <w:pStyle w:val="Heading1"/>
      </w:pPr>
      <w:r w:rsidRPr="00630316">
        <w:t>DISCUSSION</w:t>
      </w:r>
    </w:p>
    <w:p w:rsidR="00BF3A2F" w:rsidRPr="00885543" w:rsidP="00BF3A2F" w14:paraId="0CF46951" w14:textId="77777777"/>
    <w:p w:rsidR="00BF3A2F" w:rsidP="00103DE6" w14:paraId="1778FD41" w14:textId="04B3C787">
      <w:pPr>
        <w:pStyle w:val="Heading2"/>
      </w:pPr>
      <w:r>
        <w:t>Governing Law and Standard</w:t>
      </w:r>
      <w:r w:rsidR="003432AB">
        <w:t xml:space="preserve"> o</w:t>
      </w:r>
      <w:r>
        <w:t>f Review of Arbitration</w:t>
      </w:r>
      <w:r w:rsidR="00366A9F">
        <w:t> </w:t>
      </w:r>
      <w:r>
        <w:t>Awards</w:t>
      </w:r>
    </w:p>
    <w:p w:rsidR="00BC35BD" w:rsidP="00BF3A2F" w14:paraId="1B070757" w14:textId="598BC622">
      <w:pPr>
        <w:ind w:firstLine="720"/>
      </w:pPr>
      <w:r>
        <w:t>“</w:t>
      </w:r>
      <w:r w:rsidRPr="00543F1C">
        <w:t xml:space="preserve">California law favors alternative dispute resolution as a viable means of resolving legal conflicts. </w:t>
      </w:r>
      <w:r>
        <w:t xml:space="preserve"> ‘</w:t>
      </w:r>
      <w:r w:rsidRPr="00543F1C">
        <w:t>Because the decision to arbitrate grievances evinces the parties</w:t>
      </w:r>
      <w:r>
        <w:t>’</w:t>
      </w:r>
      <w:r w:rsidRPr="00543F1C">
        <w:t xml:space="preserve"> intent to bypass the judicial system and thus avoid potential delays at the trial and appellate levels, arbitral finality is a core component of the parties</w:t>
      </w:r>
      <w:r>
        <w:t>’</w:t>
      </w:r>
      <w:r w:rsidRPr="00543F1C">
        <w:t xml:space="preserve"> agreement to submit to arbitration.</w:t>
      </w:r>
      <w:r>
        <w:t>’”  (</w:t>
      </w:r>
      <w:r w:rsidR="00366A9F">
        <w:rPr>
          <w:i/>
          <w:iCs/>
        </w:rPr>
        <w:t xml:space="preserve">Richey v. AutoNation Inc. </w:t>
      </w:r>
      <w:r w:rsidR="00366A9F">
        <w:t>(2015) 60</w:t>
      </w:r>
      <w:r w:rsidR="00A30E64">
        <w:t> </w:t>
      </w:r>
      <w:r w:rsidR="00366A9F">
        <w:t xml:space="preserve">Cal.4th 909, </w:t>
      </w:r>
      <w:r w:rsidRPr="00543F1C">
        <w:t>916</w:t>
      </w:r>
      <w:r w:rsidR="00366A9F">
        <w:t xml:space="preserve"> (</w:t>
      </w:r>
      <w:r w:rsidR="00366A9F">
        <w:rPr>
          <w:i/>
          <w:iCs/>
        </w:rPr>
        <w:t>Richey</w:t>
      </w:r>
      <w:r w:rsidR="00366A9F">
        <w:t>)</w:t>
      </w:r>
      <w:r>
        <w:t xml:space="preserve">.)  The </w:t>
      </w:r>
      <w:r w:rsidRPr="005372FC">
        <w:t>California Arbitration Act (Code Civ. Proc., §</w:t>
      </w:r>
      <w:r w:rsidR="00A30E64">
        <w:t> </w:t>
      </w:r>
      <w:r w:rsidRPr="005372FC">
        <w:t>1280 et seq.</w:t>
      </w:r>
      <w:r w:rsidR="003432AB">
        <w:t>; CAA</w:t>
      </w:r>
      <w:r w:rsidRPr="005372FC">
        <w:t xml:space="preserve">) </w:t>
      </w:r>
      <w:r>
        <w:t xml:space="preserve">provides “only limited grounds for judicial review of an arbitration award”; under the statute, “courts are authorized to vacate an award if it was </w:t>
      </w:r>
      <w:r w:rsidR="00AC2495">
        <w:t xml:space="preserve">(1) </w:t>
      </w:r>
      <w:r>
        <w:t>p</w:t>
      </w:r>
      <w:r w:rsidRPr="00805E05">
        <w:t>rocured by corruption, fraud, or undue means; (2) issued by corrupt arbitrators; (3) affected by prejudicial misconduct on the part of the arbitrators; or (4) in excess of the arbitrators</w:t>
      </w:r>
      <w:r w:rsidR="00AC2495">
        <w:t>’ powers</w:t>
      </w:r>
      <w:r>
        <w:t>.”  (</w:t>
      </w:r>
      <w:r w:rsidRPr="00B14A3A">
        <w:rPr>
          <w:i/>
          <w:iCs/>
        </w:rPr>
        <w:t>Cable Connection</w:t>
      </w:r>
      <w:r>
        <w:rPr>
          <w:i/>
          <w:iCs/>
        </w:rPr>
        <w:t>, supra</w:t>
      </w:r>
      <w:r>
        <w:t>, 44</w:t>
      </w:r>
      <w:r w:rsidR="00A30E64">
        <w:t> </w:t>
      </w:r>
      <w:r>
        <w:t>Cal.4th at p.</w:t>
      </w:r>
      <w:r w:rsidR="00A30E64">
        <w:t> </w:t>
      </w:r>
      <w:r>
        <w:t xml:space="preserve">1344, citing </w:t>
      </w:r>
      <w:r w:rsidRPr="00003E8C">
        <w:t>§</w:t>
      </w:r>
      <w:r w:rsidR="00A30E64">
        <w:t> </w:t>
      </w:r>
      <w:r w:rsidRPr="00003E8C">
        <w:t>1286.2, subd.</w:t>
      </w:r>
      <w:r>
        <w:t> </w:t>
      </w:r>
      <w:r w:rsidRPr="00003E8C">
        <w:t>(a)</w:t>
      </w:r>
      <w:r>
        <w:t xml:space="preserve">; see </w:t>
      </w:r>
      <w:r w:rsidRPr="00E10971">
        <w:rPr>
          <w:i/>
          <w:iCs/>
        </w:rPr>
        <w:t>Soni v. SimpleLayers, Inc.</w:t>
      </w:r>
      <w:r w:rsidRPr="00E10971">
        <w:t> (2019) 42</w:t>
      </w:r>
      <w:r w:rsidR="00A30E64">
        <w:t> </w:t>
      </w:r>
      <w:r w:rsidRPr="00E10971">
        <w:t>Cal.App.5th 1071, 1085</w:t>
      </w:r>
      <w:r>
        <w:t xml:space="preserve"> [“</w:t>
      </w:r>
      <w:r w:rsidRPr="00E10971">
        <w:t>The exclusive grounds for vacating an arbitration award are provided in </w:t>
      </w:r>
      <w:r>
        <w:t>[</w:t>
      </w:r>
      <w:r w:rsidRPr="00E10971">
        <w:t>section</w:t>
      </w:r>
      <w:r>
        <w:t>]</w:t>
      </w:r>
      <w:r w:rsidRPr="00E10971">
        <w:t xml:space="preserve"> 1286.2</w:t>
      </w:r>
      <w:r>
        <w:t xml:space="preserve">.”].)  </w:t>
      </w:r>
    </w:p>
    <w:p w:rsidR="00392704" w:rsidP="00BF3A2F" w14:paraId="5B2A91B5" w14:textId="18B61CAA">
      <w:pPr>
        <w:ind w:firstLine="720"/>
      </w:pPr>
      <w:r>
        <w:t>“</w:t>
      </w:r>
      <w:r w:rsidRPr="00543F1C">
        <w:t>Generally, courts cannot review arbitration awards for errors of fact or law, even when those errors appear on the face of the award or cause substantial injustice to the parties.</w:t>
      </w:r>
      <w:r>
        <w:t>”  (</w:t>
      </w:r>
      <w:r w:rsidRPr="006F4BAC">
        <w:rPr>
          <w:i/>
          <w:iCs/>
        </w:rPr>
        <w:t>Richey</w:t>
      </w:r>
      <w:r w:rsidR="00BC35BD">
        <w:rPr>
          <w:i/>
          <w:iCs/>
        </w:rPr>
        <w:t>, supra</w:t>
      </w:r>
      <w:r w:rsidR="00BC0EB0">
        <w:t xml:space="preserve">, </w:t>
      </w:r>
      <w:r w:rsidRPr="00543F1C" w:rsidR="00BC0EB0">
        <w:t>60</w:t>
      </w:r>
      <w:r w:rsidR="00A30E64">
        <w:t> </w:t>
      </w:r>
      <w:r w:rsidRPr="00543F1C" w:rsidR="00BC0EB0">
        <w:t xml:space="preserve">Cal.4th </w:t>
      </w:r>
      <w:r>
        <w:t>at p.</w:t>
      </w:r>
      <w:r w:rsidR="00A30E64">
        <w:t> </w:t>
      </w:r>
      <w:r w:rsidRPr="00EA6EFC">
        <w:t>916</w:t>
      </w:r>
      <w:r>
        <w:t xml:space="preserve">; accord, </w:t>
      </w:r>
      <w:r w:rsidRPr="00BA3C11">
        <w:rPr>
          <w:i/>
          <w:iCs/>
        </w:rPr>
        <w:t>Law Finance Group, LLC v. Key</w:t>
      </w:r>
      <w:r>
        <w:t xml:space="preserve"> (2023) 14</w:t>
      </w:r>
      <w:r w:rsidR="00A30E64">
        <w:t> </w:t>
      </w:r>
      <w:r>
        <w:t>Cal.5th 932, 957 (</w:t>
      </w:r>
      <w:r>
        <w:rPr>
          <w:i/>
          <w:iCs/>
        </w:rPr>
        <w:t>Law Finance</w:t>
      </w:r>
      <w:r>
        <w:t xml:space="preserve">); see </w:t>
      </w:r>
      <w:r w:rsidRPr="0023253A">
        <w:rPr>
          <w:i/>
          <w:iCs/>
        </w:rPr>
        <w:t>Heimlich v. Shivji</w:t>
      </w:r>
      <w:r>
        <w:t xml:space="preserve"> (2019) 7</w:t>
      </w:r>
      <w:r w:rsidR="00A30E64">
        <w:t> </w:t>
      </w:r>
      <w:r>
        <w:t>Cal.5th 350, 367 [“</w:t>
      </w:r>
      <w:r w:rsidRPr="00E04759">
        <w:t>Most legal errors in arbitration are not reviewable.</w:t>
      </w:r>
      <w:r>
        <w:t>”].)  However, parties may “take themselves out of the general rule that the merits of the award are not subject to judicial review” if they “clearly agree that legal errors are an excess of arbitral authority that is reviewable by the courts.”  (</w:t>
      </w:r>
      <w:r w:rsidRPr="00AA3869">
        <w:rPr>
          <w:i/>
          <w:iCs/>
        </w:rPr>
        <w:t>Cable Connection</w:t>
      </w:r>
      <w:r>
        <w:rPr>
          <w:i/>
          <w:iCs/>
        </w:rPr>
        <w:t>, supra</w:t>
      </w:r>
      <w:r>
        <w:t>, 44</w:t>
      </w:r>
      <w:r w:rsidR="00A30E64">
        <w:t> </w:t>
      </w:r>
      <w:r>
        <w:t>Cal.4th at p.</w:t>
      </w:r>
      <w:r w:rsidR="00A30E64">
        <w:t> </w:t>
      </w:r>
      <w:r>
        <w:t xml:space="preserve">1361; accord, </w:t>
      </w:r>
      <w:r w:rsidRPr="003D3451">
        <w:rPr>
          <w:i/>
          <w:iCs/>
        </w:rPr>
        <w:t>Harshad &amp; Nasir Corp. v. Global Sign Systems, Inc.</w:t>
      </w:r>
      <w:r>
        <w:t xml:space="preserve"> (2017) 14</w:t>
      </w:r>
      <w:r w:rsidR="00A30E64">
        <w:t> </w:t>
      </w:r>
      <w:r>
        <w:t xml:space="preserve">Cal.App.5th 523, 535 </w:t>
      </w:r>
      <w:r w:rsidR="002610B9">
        <w:t>(</w:t>
      </w:r>
      <w:r w:rsidR="002610B9">
        <w:rPr>
          <w:i/>
          <w:iCs/>
        </w:rPr>
        <w:t>Harshad</w:t>
      </w:r>
      <w:r w:rsidR="002610B9">
        <w:t xml:space="preserve">) </w:t>
      </w:r>
      <w:r>
        <w:t xml:space="preserve">[general rule limiting judicial review “does not apply when the parties have agreed to ‘limit the arbitrators’ authority by providing for review of the merits in the arbitration agreement.’”].)  </w:t>
      </w:r>
    </w:p>
    <w:p w:rsidR="00BF3A2F" w:rsidP="00BF3A2F" w14:paraId="4B185247" w14:textId="70C7E2C8">
      <w:pPr>
        <w:ind w:firstLine="720"/>
      </w:pPr>
      <w:r>
        <w:t xml:space="preserve">In </w:t>
      </w:r>
      <w:r>
        <w:rPr>
          <w:i/>
          <w:iCs/>
        </w:rPr>
        <w:t>Cable Connection</w:t>
      </w:r>
      <w:r>
        <w:t>, the parties’ arbitration agreement stated, “‘</w:t>
      </w:r>
      <w:r w:rsidRPr="00626C26">
        <w:t>The arbitrators shall not have the power to commit errors of law or legal reasoning, and the award may be vacated or corrected on appeal to a court of competent jurisdiction for any such error.</w:t>
      </w:r>
      <w:r>
        <w:t>’”  (</w:t>
      </w:r>
      <w:r>
        <w:rPr>
          <w:i/>
          <w:iCs/>
        </w:rPr>
        <w:t>Cable Connection</w:t>
      </w:r>
      <w:r w:rsidR="00392704">
        <w:rPr>
          <w:i/>
          <w:iCs/>
        </w:rPr>
        <w:t>, supra</w:t>
      </w:r>
      <w:r w:rsidR="00392704">
        <w:t>, 44</w:t>
      </w:r>
      <w:r w:rsidR="00A30E64">
        <w:t> </w:t>
      </w:r>
      <w:r w:rsidR="00392704">
        <w:t>Cal.4th</w:t>
      </w:r>
      <w:r>
        <w:t xml:space="preserve"> at p.</w:t>
      </w:r>
      <w:r w:rsidR="00392704">
        <w:t> </w:t>
      </w:r>
      <w:r>
        <w:t>1361, fn.</w:t>
      </w:r>
      <w:r w:rsidR="00A30E64">
        <w:t> </w:t>
      </w:r>
      <w:r>
        <w:t>20.)  The Supreme Court held that such an agreement providing for judicial review for legal error</w:t>
      </w:r>
      <w:r w:rsidR="00B054AB">
        <w:t xml:space="preserve"> was enforceable</w:t>
      </w:r>
      <w:r>
        <w:t>, reasoning that because the CAA authorizes review of an award on the ground that it exceeds an arbitrator’s powers (</w:t>
      </w:r>
      <w:r w:rsidRPr="00003E8C">
        <w:t>§</w:t>
      </w:r>
      <w:r w:rsidR="00A30E64">
        <w:t> </w:t>
      </w:r>
      <w:r w:rsidRPr="00003E8C">
        <w:t>1286.2</w:t>
      </w:r>
      <w:r>
        <w:t>, subd.</w:t>
      </w:r>
      <w:r w:rsidR="00A30E64">
        <w:t> </w:t>
      </w:r>
      <w:r>
        <w:t>(a)(4))</w:t>
      </w:r>
      <w:r w:rsidR="00AF6EE9">
        <w:t>,</w:t>
      </w:r>
      <w:r>
        <w:rPr>
          <w:rStyle w:val="FootnoteReference"/>
        </w:rPr>
        <w:footnoteReference w:id="17"/>
      </w:r>
      <w:r>
        <w:t xml:space="preserve"> and an arbitrator’s powers are circumscribed by terms of the parties’ arbitration agreement, “</w:t>
      </w:r>
      <w:r w:rsidR="00AF6EE9">
        <w:t>[i]</w:t>
      </w:r>
      <w:r>
        <w:t xml:space="preserve">f the parties constrain the arbitrators’ authority by requiring a dispute to be decided according to the rule of law, </w:t>
      </w:r>
      <w:r w:rsidRPr="001C2C3F">
        <w:rPr>
          <w:i/>
          <w:iCs/>
        </w:rPr>
        <w:t>and</w:t>
      </w:r>
      <w:r>
        <w:t xml:space="preserve"> make plain their intention that the award is reviewable for legal error, the general rule of limited review has been displaced by the parties’ agreement.”  (</w:t>
      </w:r>
      <w:r w:rsidRPr="00AF6EE9" w:rsidR="00AF6EE9">
        <w:rPr>
          <w:i/>
          <w:iCs/>
        </w:rPr>
        <w:t>Cable Connection</w:t>
      </w:r>
      <w:r w:rsidR="00AF6EE9">
        <w:t xml:space="preserve">, </w:t>
      </w:r>
      <w:r>
        <w:t>at p.</w:t>
      </w:r>
      <w:r w:rsidR="00A30E64">
        <w:t> </w:t>
      </w:r>
      <w:r>
        <w:t xml:space="preserve">1355; accord, </w:t>
      </w:r>
      <w:r w:rsidRPr="00463074">
        <w:rPr>
          <w:i/>
          <w:iCs/>
        </w:rPr>
        <w:t>Harshad</w:t>
      </w:r>
      <w:r w:rsidR="00A819D4">
        <w:rPr>
          <w:i/>
          <w:iCs/>
        </w:rPr>
        <w:t>, supra</w:t>
      </w:r>
      <w:r>
        <w:t xml:space="preserve">, </w:t>
      </w:r>
      <w:r w:rsidR="00A819D4">
        <w:t>14</w:t>
      </w:r>
      <w:r w:rsidR="00A30E64">
        <w:t> </w:t>
      </w:r>
      <w:r w:rsidR="00A819D4">
        <w:t xml:space="preserve">Cal.App.5th </w:t>
      </w:r>
      <w:r>
        <w:t>at p.</w:t>
      </w:r>
      <w:r w:rsidR="00A30E64">
        <w:t> </w:t>
      </w:r>
      <w:r>
        <w:t>535.)</w:t>
      </w:r>
    </w:p>
    <w:p w:rsidR="00BF3A2F" w:rsidP="00BF3A2F" w14:paraId="7F1942C2" w14:textId="72672081">
      <w:pPr>
        <w:ind w:firstLine="720"/>
      </w:pPr>
      <w:r>
        <w:t xml:space="preserve">Here, the parties expressly invoked </w:t>
      </w:r>
      <w:bookmarkStart w:id="3" w:name="_Hlk167201612"/>
      <w:r>
        <w:rPr>
          <w:i/>
          <w:iCs/>
        </w:rPr>
        <w:t xml:space="preserve">Cable Connection </w:t>
      </w:r>
      <w:bookmarkEnd w:id="3"/>
      <w:r>
        <w:t>in their stipulation</w:t>
      </w:r>
      <w:r w:rsidR="00A819D4">
        <w:t xml:space="preserve"> to arbitrate</w:t>
      </w:r>
      <w:r w:rsidR="008611E8">
        <w:t xml:space="preserve"> </w:t>
      </w:r>
      <w:r w:rsidR="00A819D4">
        <w:t xml:space="preserve">by </w:t>
      </w:r>
      <w:r>
        <w:t>citing the case and including judicial review language virtually identical to the language approved by the Supreme Court</w:t>
      </w:r>
      <w:r w:rsidR="00FC109F">
        <w:t xml:space="preserve">. </w:t>
      </w:r>
      <w:r>
        <w:t xml:space="preserve"> Accordingly, the arbitration award was reviewable for legal error.</w:t>
      </w:r>
      <w:r>
        <w:rPr>
          <w:rStyle w:val="FootnoteReference"/>
        </w:rPr>
        <w:footnoteReference w:id="18"/>
      </w:r>
    </w:p>
    <w:p w:rsidR="00BF3A2F" w:rsidP="00BF3A2F" w14:paraId="07230BEF" w14:textId="279D3723">
      <w:pPr>
        <w:ind w:firstLine="720"/>
      </w:pPr>
      <w:r>
        <w:t>Section</w:t>
      </w:r>
      <w:r w:rsidR="00A30E64">
        <w:t> </w:t>
      </w:r>
      <w:r>
        <w:t>1285.4 pres</w:t>
      </w:r>
      <w:r w:rsidR="00CE0DD9">
        <w:t>c</w:t>
      </w:r>
      <w:r>
        <w:t xml:space="preserve">ribes the requirements for a petition to confirm an arbitration award.  “A petition </w:t>
      </w:r>
      <w:r w:rsidRPr="005A06E8">
        <w:t>to confirm need only set forth (1) the names of the arbitrators, (2) the arbitration agreement (by description or attached copy), and (3) the award and written opinion of the arbitrators (by description or attached copy).”</w:t>
      </w:r>
      <w:r>
        <w:t xml:space="preserve">  (</w:t>
      </w:r>
      <w:r w:rsidRPr="00022F59">
        <w:rPr>
          <w:i/>
          <w:iCs/>
        </w:rPr>
        <w:t>Eternity Investments, Inc. v. Brown</w:t>
      </w:r>
      <w:r w:rsidRPr="00022F59">
        <w:t xml:space="preserve"> (2007) 151</w:t>
      </w:r>
      <w:r>
        <w:t> C</w:t>
      </w:r>
      <w:r w:rsidRPr="00022F59">
        <w:t>al.App.4th</w:t>
      </w:r>
      <w:r w:rsidR="00397D48">
        <w:t xml:space="preserve"> </w:t>
      </w:r>
      <w:r w:rsidRPr="00022F59">
        <w:t>739,</w:t>
      </w:r>
      <w:r w:rsidR="00397D48">
        <w:t xml:space="preserve"> </w:t>
      </w:r>
      <w:r w:rsidRPr="00022F59">
        <w:t>745</w:t>
      </w:r>
      <w:r>
        <w:t xml:space="preserve">; </w:t>
      </w:r>
      <w:r w:rsidR="00BD2873">
        <w:t xml:space="preserve">see </w:t>
      </w:r>
      <w:r w:rsidRPr="00133B1D">
        <w:t>§</w:t>
      </w:r>
      <w:r w:rsidR="00A30E64">
        <w:t> </w:t>
      </w:r>
      <w:r w:rsidRPr="00133B1D">
        <w:t>1285.4</w:t>
      </w:r>
      <w:r>
        <w:t xml:space="preserve">.)  </w:t>
      </w:r>
      <w:r w:rsidRPr="00133B1D">
        <w:t xml:space="preserve">“If a petition </w:t>
      </w:r>
      <w:r>
        <w:t xml:space="preserve">. . . </w:t>
      </w:r>
      <w:r w:rsidRPr="00133B1D">
        <w:t>is duly served and filed, the court shall confirm the award as made,</w:t>
      </w:r>
      <w:r>
        <w:t xml:space="preserve"> </w:t>
      </w:r>
      <w:r w:rsidRPr="000D3889">
        <w:t>unless in accordance with this chapter it corrects the award and confirms it as corrected, vacates the award or dismisses the proceedings.</w:t>
      </w:r>
      <w:r w:rsidRPr="00133B1D">
        <w:t xml:space="preserve">” </w:t>
      </w:r>
      <w:r>
        <w:t xml:space="preserve"> (</w:t>
      </w:r>
      <w:r w:rsidRPr="00133B1D">
        <w:t>§</w:t>
      </w:r>
      <w:r w:rsidR="00A30E64">
        <w:t> </w:t>
      </w:r>
      <w:r w:rsidRPr="00133B1D">
        <w:t>1286</w:t>
      </w:r>
      <w:r>
        <w:t xml:space="preserve">.)  Accordingly, once a petition to confirm that meets the statutory requirements has been served, </w:t>
      </w:r>
      <w:r w:rsidRPr="00070629">
        <w:t>“‘the burden is on the party attacking the award to affirmatively establish the existence of error</w:t>
      </w:r>
      <w:r>
        <w:t>.</w:t>
      </w:r>
      <w:r w:rsidRPr="00070629">
        <w:t>’”</w:t>
      </w:r>
      <w:r>
        <w:t xml:space="preserve">  (</w:t>
      </w:r>
      <w:r w:rsidRPr="0054257C">
        <w:rPr>
          <w:i/>
          <w:iCs/>
        </w:rPr>
        <w:t>Rivera v. Shivers</w:t>
      </w:r>
      <w:r>
        <w:t xml:space="preserve"> (2020) 54</w:t>
      </w:r>
      <w:r w:rsidR="00A30E64">
        <w:t> </w:t>
      </w:r>
      <w:r>
        <w:t>Cal.App.5th 82, 94 (</w:t>
      </w:r>
      <w:r>
        <w:rPr>
          <w:i/>
          <w:iCs/>
        </w:rPr>
        <w:t>Rivera</w:t>
      </w:r>
      <w:r>
        <w:t xml:space="preserve">); accord, </w:t>
      </w:r>
      <w:r w:rsidRPr="0054257C">
        <w:rPr>
          <w:i/>
          <w:iCs/>
        </w:rPr>
        <w:t>Lopes v. Millsap</w:t>
      </w:r>
      <w:r>
        <w:t xml:space="preserve"> (1992) 6</w:t>
      </w:r>
      <w:r w:rsidR="00A30E64">
        <w:t> </w:t>
      </w:r>
      <w:r>
        <w:t xml:space="preserve">Cal.App.4th 1679, 1685.)  </w:t>
      </w:r>
    </w:p>
    <w:p w:rsidR="00BF3A2F" w:rsidRPr="0091504B" w:rsidP="00BF3A2F" w14:paraId="668D8240" w14:textId="4BEF9F0D">
      <w:pPr>
        <w:ind w:firstLine="720"/>
      </w:pPr>
      <w:r>
        <w:t>We review de novo a trial court order confirming an arbitration award, including its determination whether the arbitrator exceeded her powers in granting relief.  (</w:t>
      </w:r>
      <w:r>
        <w:rPr>
          <w:i/>
        </w:rPr>
        <w:t>Richey, supra</w:t>
      </w:r>
      <w:r>
        <w:rPr>
          <w:iCs/>
        </w:rPr>
        <w:t xml:space="preserve">, </w:t>
      </w:r>
      <w:r w:rsidRPr="002209F3">
        <w:t>60</w:t>
      </w:r>
      <w:r w:rsidR="00A30E64">
        <w:t> </w:t>
      </w:r>
      <w:r w:rsidRPr="002209F3">
        <w:t xml:space="preserve">Cal.4th </w:t>
      </w:r>
      <w:r>
        <w:t>at p.</w:t>
      </w:r>
      <w:r w:rsidR="00A30E64">
        <w:t> </w:t>
      </w:r>
      <w:r>
        <w:t>918, fn.</w:t>
      </w:r>
      <w:r w:rsidR="00A30E64">
        <w:t> </w:t>
      </w:r>
      <w:r>
        <w:t xml:space="preserve">1; </w:t>
      </w:r>
      <w:r w:rsidRPr="00E66C21">
        <w:rPr>
          <w:i/>
        </w:rPr>
        <w:t>Branches Neighborhood Corp. v. CalAtlantic Group, Inc.</w:t>
      </w:r>
      <w:r w:rsidR="008B1993">
        <w:rPr>
          <w:iCs/>
        </w:rPr>
        <w:t xml:space="preserve"> </w:t>
      </w:r>
      <w:r w:rsidRPr="008B1993" w:rsidR="008B1993">
        <w:rPr>
          <w:iCs/>
        </w:rPr>
        <w:t>(2018) 26</w:t>
      </w:r>
      <w:r w:rsidR="00A30E64">
        <w:rPr>
          <w:iCs/>
        </w:rPr>
        <w:t> </w:t>
      </w:r>
      <w:r w:rsidRPr="008B1993" w:rsidR="008B1993">
        <w:rPr>
          <w:iCs/>
        </w:rPr>
        <w:t xml:space="preserve">Cal.App.5th 743, </w:t>
      </w:r>
      <w:r>
        <w:t xml:space="preserve">751.)  However, to the extent the trial court’s decision to grant a petition to confirm or deny an arbitration award rests on its determination of disputed factual issues, we review the court’s orders </w:t>
      </w:r>
      <w:r w:rsidR="003432AB">
        <w:t xml:space="preserve">for </w:t>
      </w:r>
      <w:r>
        <w:t>substantial evidence.  (</w:t>
      </w:r>
      <w:r>
        <w:rPr>
          <w:i/>
          <w:iCs/>
        </w:rPr>
        <w:t>Branches</w:t>
      </w:r>
      <w:r w:rsidR="00333536">
        <w:rPr>
          <w:i/>
          <w:iCs/>
        </w:rPr>
        <w:t xml:space="preserve"> </w:t>
      </w:r>
      <w:r w:rsidRPr="00E66C21" w:rsidR="00333536">
        <w:rPr>
          <w:i/>
        </w:rPr>
        <w:t>Neighborhood Corp.</w:t>
      </w:r>
      <w:r>
        <w:t>, at p.</w:t>
      </w:r>
      <w:r w:rsidR="00C1007B">
        <w:t> </w:t>
      </w:r>
      <w:r>
        <w:t xml:space="preserve">750; </w:t>
      </w:r>
      <w:r w:rsidRPr="00E949EF">
        <w:rPr>
          <w:i/>
          <w:iCs/>
        </w:rPr>
        <w:t>Harshad, supra</w:t>
      </w:r>
      <w:r>
        <w:t xml:space="preserve">, </w:t>
      </w:r>
      <w:r w:rsidRPr="00E949EF">
        <w:t>14</w:t>
      </w:r>
      <w:r w:rsidR="003D228C">
        <w:t> </w:t>
      </w:r>
      <w:r w:rsidRPr="00E949EF">
        <w:t xml:space="preserve">Cal.App.5th </w:t>
      </w:r>
      <w:r>
        <w:t>at p.</w:t>
      </w:r>
      <w:r w:rsidR="003D228C">
        <w:t> </w:t>
      </w:r>
      <w:r>
        <w:t>536 [“One pertinent standard is our standard for reviewing factual findings to determine whether they are supported by substantial evidence.”].)  “There is a presumption favoring the validity of the award, and appellant bears the burden of establishing [its] claim of invalidity.”  (</w:t>
      </w:r>
      <w:r w:rsidRPr="00DA51DF">
        <w:rPr>
          <w:i/>
          <w:iCs/>
        </w:rPr>
        <w:t>Betz v. Pankow</w:t>
      </w:r>
      <w:r>
        <w:t xml:space="preserve"> (1993) 16</w:t>
      </w:r>
      <w:r w:rsidR="003D228C">
        <w:t> </w:t>
      </w:r>
      <w:r>
        <w:t>Cal.App.4th 919, 923.)</w:t>
      </w:r>
    </w:p>
    <w:p w:rsidR="00BF3A2F" w:rsidP="00BF3A2F" w14:paraId="5DCAB474" w14:textId="77777777">
      <w:pPr>
        <w:ind w:firstLine="720"/>
      </w:pPr>
    </w:p>
    <w:p w:rsidR="00BF3A2F" w:rsidP="00BF3A2F" w14:paraId="4479B2DD" w14:textId="24407CB1">
      <w:pPr>
        <w:pStyle w:val="Heading2"/>
        <w:numPr>
          <w:ilvl w:val="1"/>
          <w:numId w:val="1"/>
        </w:numPr>
      </w:pPr>
      <w:r>
        <w:t xml:space="preserve">The Trial Court Did Not Err in Disregarding </w:t>
      </w:r>
      <w:r w:rsidR="0035216C">
        <w:t xml:space="preserve">the Mendoza </w:t>
      </w:r>
      <w:r>
        <w:t xml:space="preserve">Defendants’ Untimely Petition </w:t>
      </w:r>
      <w:r w:rsidR="004C65F0">
        <w:t>T</w:t>
      </w:r>
      <w:r>
        <w:t xml:space="preserve">o Vacate </w:t>
      </w:r>
    </w:p>
    <w:p w:rsidR="00BF3A2F" w:rsidP="00D413FE" w14:paraId="0BCF9145" w14:textId="4D574EBC">
      <w:pPr>
        <w:ind w:firstLine="720"/>
      </w:pPr>
      <w:r>
        <w:t xml:space="preserve">The Mendoza defendants contend the trial court erred in failing to consider the evidence they submitted with their petition to vacate the arbitration award </w:t>
      </w:r>
      <w:r w:rsidR="00C515F4">
        <w:t xml:space="preserve">in ruling on </w:t>
      </w:r>
      <w:r>
        <w:t>the Valencias</w:t>
      </w:r>
      <w:r w:rsidR="00DB57AC">
        <w:t>’</w:t>
      </w:r>
      <w:r>
        <w:t xml:space="preserve"> petition to confirm.  They argue the court should </w:t>
      </w:r>
      <w:r w:rsidR="00C515F4">
        <w:t xml:space="preserve">instead </w:t>
      </w:r>
      <w:r>
        <w:t xml:space="preserve">have continued </w:t>
      </w:r>
      <w:r w:rsidR="00C515F4">
        <w:t xml:space="preserve">the </w:t>
      </w:r>
      <w:r>
        <w:t xml:space="preserve">hearing on the petition to confirm </w:t>
      </w:r>
      <w:r w:rsidR="009E4BB0">
        <w:t>and allowed</w:t>
      </w:r>
      <w:r>
        <w:t xml:space="preserve"> full briefing on the petition to vacate, in which the merits and timeliness of the petition to vacate and supporting evidence could have been addressed.  However, it is </w:t>
      </w:r>
      <w:r w:rsidR="00E8581C">
        <w:t>un</w:t>
      </w:r>
      <w:r>
        <w:t>dispute</w:t>
      </w:r>
      <w:r w:rsidR="00E8581C">
        <w:t>d</w:t>
      </w:r>
      <w:r>
        <w:t xml:space="preserve"> that </w:t>
      </w:r>
      <w:r w:rsidR="00E8581C">
        <w:t>the Mendoza defendants failed to submit any timely evi</w:t>
      </w:r>
      <w:r>
        <w:t xml:space="preserve">dence opposing the petition to confirm, and </w:t>
      </w:r>
      <w:r w:rsidR="0058254D">
        <w:t xml:space="preserve">given the absence of </w:t>
      </w:r>
      <w:r>
        <w:t xml:space="preserve">any showing of good cause for relief from the statutory deadline, the trial court did not abuse its discretion </w:t>
      </w:r>
      <w:r w:rsidR="00527C21">
        <w:t>in</w:t>
      </w:r>
      <w:r w:rsidR="001A70C5">
        <w:t xml:space="preserve"> </w:t>
      </w:r>
      <w:r>
        <w:t>confirming the award at the September</w:t>
      </w:r>
      <w:r w:rsidR="003D228C">
        <w:t> </w:t>
      </w:r>
      <w:r>
        <w:t>28, 2022 hearing.</w:t>
      </w:r>
      <w:r w:rsidR="005F196A">
        <w:t xml:space="preserve">  </w:t>
      </w:r>
    </w:p>
    <w:p w:rsidR="00BF3A2F" w:rsidRPr="00DF36B1" w:rsidP="00D413FE" w14:paraId="3504B465" w14:textId="699C3FD0">
      <w:pPr>
        <w:ind w:firstLine="720"/>
      </w:pPr>
      <w:r w:rsidRPr="00516086">
        <w:t xml:space="preserve">A </w:t>
      </w:r>
      <w:r>
        <w:t xml:space="preserve">losing party’s request to vacate an arbitration award </w:t>
      </w:r>
      <w:r w:rsidRPr="00516086">
        <w:t xml:space="preserve">may be made </w:t>
      </w:r>
      <w:r>
        <w:t xml:space="preserve">by filing </w:t>
      </w:r>
      <w:r w:rsidR="0006215B">
        <w:t xml:space="preserve">either </w:t>
      </w:r>
      <w:r w:rsidRPr="00516086">
        <w:t>a petition to vacate</w:t>
      </w:r>
      <w:r>
        <w:t xml:space="preserve"> the award</w:t>
      </w:r>
      <w:r w:rsidRPr="00516086">
        <w:t xml:space="preserve"> (§</w:t>
      </w:r>
      <w:r>
        <w:t> </w:t>
      </w:r>
      <w:r w:rsidRPr="00516086">
        <w:t xml:space="preserve">1285) or a response to </w:t>
      </w:r>
      <w:r>
        <w:t>a</w:t>
      </w:r>
      <w:r w:rsidRPr="00516086">
        <w:t xml:space="preserve"> petition to confirm</w:t>
      </w:r>
      <w:r>
        <w:t xml:space="preserve"> the award</w:t>
      </w:r>
      <w:r w:rsidR="0006215B">
        <w:t xml:space="preserve"> that requests vacation of </w:t>
      </w:r>
      <w:r w:rsidR="003432AB">
        <w:t>the</w:t>
      </w:r>
      <w:r w:rsidR="0006215B">
        <w:t xml:space="preserve"> award</w:t>
      </w:r>
      <w:r w:rsidRPr="00516086">
        <w:t xml:space="preserve"> (§</w:t>
      </w:r>
      <w:r>
        <w:t> </w:t>
      </w:r>
      <w:r w:rsidRPr="00516086">
        <w:t>1285.2).</w:t>
      </w:r>
      <w:r w:rsidR="00397D48">
        <w:t xml:space="preserve"> </w:t>
      </w:r>
      <w:r w:rsidR="003F3673">
        <w:t xml:space="preserve"> </w:t>
      </w:r>
      <w:r>
        <w:t>Section</w:t>
      </w:r>
      <w:r w:rsidR="003D228C">
        <w:t> </w:t>
      </w:r>
      <w:r>
        <w:t>1285</w:t>
      </w:r>
      <w:r w:rsidR="0051417D">
        <w:t xml:space="preserve"> </w:t>
      </w:r>
      <w:r>
        <w:t>provides, “</w:t>
      </w:r>
      <w:r w:rsidRPr="008E42FE">
        <w:t>Any party to an arbitration in which an award has been made may petition the court to confirm, correct or vacate the award.</w:t>
      </w:r>
      <w:r>
        <w:t>”  Section</w:t>
      </w:r>
      <w:r w:rsidR="003D228C">
        <w:t> </w:t>
      </w:r>
      <w:r>
        <w:t>1285.2 provides,</w:t>
      </w:r>
      <w:r w:rsidR="00AF60AF">
        <w:t xml:space="preserve"> in turn,</w:t>
      </w:r>
      <w:r>
        <w:t xml:space="preserve"> “A</w:t>
      </w:r>
      <w:r w:rsidRPr="006A3E2C">
        <w:t xml:space="preserve"> response to a petition </w:t>
      </w:r>
      <w:r>
        <w:t xml:space="preserve">under this chapter </w:t>
      </w:r>
      <w:r w:rsidRPr="006A3E2C">
        <w:t>may request the court to dismiss the petition or to confirm, correct or vacate the award.</w:t>
      </w:r>
      <w:r>
        <w:t xml:space="preserve">”  </w:t>
      </w:r>
      <w:r w:rsidR="009C4488">
        <w:t xml:space="preserve">Further, </w:t>
      </w:r>
      <w:r>
        <w:t>“</w:t>
      </w:r>
      <w:r w:rsidR="009C4488">
        <w:t>[t]</w:t>
      </w:r>
      <w:r>
        <w:t>he allegations of a petition are deemed to be admitted by a respondent duly served therewith unless a response is duly served and filed.”  (</w:t>
      </w:r>
      <w:r w:rsidRPr="00003E8C">
        <w:t>§</w:t>
      </w:r>
      <w:r>
        <w:t> 1290.)  “</w:t>
      </w:r>
      <w:r w:rsidR="001E60A5">
        <w:t>A</w:t>
      </w:r>
      <w:r w:rsidRPr="00DE3678">
        <w:t xml:space="preserve"> petition to correct or vacate an award, or a response requesting such relief, shall set forth the grounds on which the request for such relief is based.</w:t>
      </w:r>
      <w:r>
        <w:t>”  (</w:t>
      </w:r>
      <w:r w:rsidRPr="00003E8C">
        <w:t>§</w:t>
      </w:r>
      <w:r>
        <w:t xml:space="preserve"> 1285.8.)  </w:t>
      </w:r>
    </w:p>
    <w:p w:rsidR="00BF3A2F" w:rsidRPr="00A93A2F" w:rsidP="00D413FE" w14:paraId="1089669A" w14:textId="56D29EF1">
      <w:pPr>
        <w:ind w:firstLine="720"/>
      </w:pPr>
      <w:r>
        <w:t xml:space="preserve">Three </w:t>
      </w:r>
      <w:r w:rsidR="00BD6752">
        <w:t>statutory</w:t>
      </w:r>
      <w:r>
        <w:t xml:space="preserve"> provisions address the timeliness of pleadings that challenge confirmation of an arbitration award. </w:t>
      </w:r>
      <w:r w:rsidR="009129DB">
        <w:t xml:space="preserve"> </w:t>
      </w:r>
      <w:r>
        <w:t>Section</w:t>
      </w:r>
      <w:r w:rsidR="003D228C">
        <w:t> </w:t>
      </w:r>
      <w:r>
        <w:t>1288 provides, “</w:t>
      </w:r>
      <w:r w:rsidRPr="00EA274D">
        <w:t>A petition to vacate an award or to correct an award shall be served and filed not later than 100</w:t>
      </w:r>
      <w:r w:rsidR="003D228C">
        <w:t> </w:t>
      </w:r>
      <w:r w:rsidRPr="00EA274D">
        <w:t>days after the date of the service of a signed copy of the award on the petitioner</w:t>
      </w:r>
      <w:r>
        <w:t>.”  Section</w:t>
      </w:r>
      <w:r w:rsidR="003D228C">
        <w:t> </w:t>
      </w:r>
      <w:r>
        <w:t>1288.2 likewise provides, “</w:t>
      </w:r>
      <w:r w:rsidRPr="0024248D">
        <w:t>A response requesting that an award be vacated or that an award be corrected shall be served and filed not later than 100</w:t>
      </w:r>
      <w:r w:rsidR="003D228C">
        <w:t> </w:t>
      </w:r>
      <w:r w:rsidRPr="0024248D">
        <w:t>days after the date of service of a signed copy of the award</w:t>
      </w:r>
      <w:r>
        <w:t>. . . .”].  And section</w:t>
      </w:r>
      <w:r w:rsidR="003D228C">
        <w:t> </w:t>
      </w:r>
      <w:r>
        <w:t>1290.6 provides</w:t>
      </w:r>
      <w:r w:rsidR="00A758A4">
        <w:t>,</w:t>
      </w:r>
      <w:r>
        <w:t xml:space="preserve"> “</w:t>
      </w:r>
      <w:r w:rsidRPr="00FF5BB2">
        <w:t>A response shall be served and filed within 10 days after</w:t>
      </w:r>
      <w:r>
        <w:t xml:space="preserve"> </w:t>
      </w:r>
      <w:r w:rsidRPr="00FF5BB2">
        <w:t>service of the</w:t>
      </w:r>
      <w:r w:rsidR="00397D48">
        <w:t xml:space="preserve"> </w:t>
      </w:r>
      <w:r w:rsidRPr="00FF5BB2">
        <w:t>petition</w:t>
      </w:r>
      <w:r>
        <w:t> . . . .”  However, “[t]</w:t>
      </w:r>
      <w:r w:rsidRPr="00835000">
        <w:t xml:space="preserve">he time provided in </w:t>
      </w:r>
      <w:r>
        <w:t>[section</w:t>
      </w:r>
      <w:r w:rsidR="003D228C">
        <w:t> </w:t>
      </w:r>
      <w:r>
        <w:t>1290.6]</w:t>
      </w:r>
      <w:r w:rsidRPr="00835000">
        <w:t xml:space="preserve"> for serving and filing a response may be extended by an agreement in writing between the parties to the court proceeding or, for good cause, by order of the court.</w:t>
      </w:r>
      <w:r>
        <w:t>”  (</w:t>
      </w:r>
      <w:r w:rsidRPr="00D717E2">
        <w:rPr>
          <w:i/>
          <w:iCs/>
        </w:rPr>
        <w:t>I</w:t>
      </w:r>
      <w:r w:rsidRPr="00D717E2" w:rsidR="00397D48">
        <w:rPr>
          <w:i/>
          <w:iCs/>
        </w:rPr>
        <w:t>bi</w:t>
      </w:r>
      <w:r w:rsidRPr="00D717E2">
        <w:rPr>
          <w:i/>
          <w:iCs/>
        </w:rPr>
        <w:t>d.</w:t>
      </w:r>
      <w:r w:rsidRPr="00D717E2">
        <w:t>)</w:t>
      </w:r>
    </w:p>
    <w:p w:rsidR="00BF3A2F" w:rsidP="00D413FE" w14:paraId="0231E89B" w14:textId="61DFAC6E">
      <w:pPr>
        <w:ind w:firstLine="720"/>
      </w:pPr>
      <w:r>
        <w:t>For nearly half a century, the Courts of Appeal have consistently held th</w:t>
      </w:r>
      <w:r w:rsidR="004342DD">
        <w:t xml:space="preserve">at once the prevailing party </w:t>
      </w:r>
      <w:r w:rsidR="009463F3">
        <w:t>in an arbitration</w:t>
      </w:r>
      <w:r w:rsidR="00C1007B">
        <w:t xml:space="preserve"> </w:t>
      </w:r>
      <w:r w:rsidR="004342DD">
        <w:t xml:space="preserve">files a petition to confirm an arbitration award, the </w:t>
      </w:r>
      <w:r>
        <w:t>10-day deadline in section</w:t>
      </w:r>
      <w:r w:rsidR="003D228C">
        <w:t> </w:t>
      </w:r>
      <w:r>
        <w:t xml:space="preserve">1290.6 </w:t>
      </w:r>
      <w:r w:rsidR="005B614A">
        <w:t>controls</w:t>
      </w:r>
      <w:r w:rsidR="009903DD">
        <w:t xml:space="preserve"> when a losing party must respond, not the </w:t>
      </w:r>
      <w:r>
        <w:t>100-day deadline in section</w:t>
      </w:r>
      <w:r w:rsidR="003D228C">
        <w:t> </w:t>
      </w:r>
      <w:r>
        <w:t>1288.2.  (</w:t>
      </w:r>
      <w:r w:rsidRPr="001B51E2">
        <w:rPr>
          <w:i/>
          <w:iCs/>
        </w:rPr>
        <w:t>Oaktree Capital Management, L.P. v. Bernard</w:t>
      </w:r>
      <w:r w:rsidRPr="001B51E2">
        <w:t xml:space="preserve"> (2010) 182</w:t>
      </w:r>
      <w:r w:rsidR="003D228C">
        <w:t> </w:t>
      </w:r>
      <w:r w:rsidRPr="001B51E2">
        <w:t>Cal.App.4th 60, 66</w:t>
      </w:r>
      <w:r>
        <w:t xml:space="preserve"> [“</w:t>
      </w:r>
      <w:r w:rsidRPr="001B51E2">
        <w:t xml:space="preserve">The </w:t>
      </w:r>
      <w:r>
        <w:t>‘</w:t>
      </w:r>
      <w:r w:rsidRPr="001B51E2">
        <w:t>well delineated statutory scheme</w:t>
      </w:r>
      <w:r>
        <w:t>’</w:t>
      </w:r>
      <w:r w:rsidRPr="001B51E2">
        <w:t xml:space="preserve"> giving a party who opposes a petition to confirm only </w:t>
      </w:r>
      <w:r w:rsidR="00A75226">
        <w:t>10 </w:t>
      </w:r>
      <w:r w:rsidRPr="001B51E2">
        <w:t>days to file a response spans several decades</w:t>
      </w:r>
      <w:r w:rsidR="003A5F60">
        <w:t>.</w:t>
      </w:r>
      <w:r>
        <w:t xml:space="preserve">”]; see </w:t>
      </w:r>
      <w:r w:rsidRPr="000701A7">
        <w:rPr>
          <w:i/>
          <w:iCs/>
        </w:rPr>
        <w:t>Rivera</w:t>
      </w:r>
      <w:r>
        <w:rPr>
          <w:i/>
          <w:iCs/>
        </w:rPr>
        <w:t>, supra</w:t>
      </w:r>
      <w:r>
        <w:t xml:space="preserve">, </w:t>
      </w:r>
      <w:r w:rsidRPr="000701A7">
        <w:t>54</w:t>
      </w:r>
      <w:r w:rsidR="003D228C">
        <w:t> </w:t>
      </w:r>
      <w:r w:rsidRPr="000701A7">
        <w:t xml:space="preserve">Cal.App.5th </w:t>
      </w:r>
      <w:r>
        <w:t>at p.</w:t>
      </w:r>
      <w:r w:rsidR="00C1007B">
        <w:t> </w:t>
      </w:r>
      <w:r w:rsidRPr="000701A7">
        <w:t>93</w:t>
      </w:r>
      <w:r>
        <w:t xml:space="preserve"> [“‘</w:t>
      </w:r>
      <w:r w:rsidRPr="000701A7">
        <w:t>When the party petitions the court to confirm the award before the expiration of the 100-day period, respondent may seek vacation or correction of the award by way of response only if he serves and files his response within 10</w:t>
      </w:r>
      <w:r w:rsidR="003D228C">
        <w:t> </w:t>
      </w:r>
      <w:r w:rsidRPr="000701A7">
        <w:t>days after the service of the petition (§</w:t>
      </w:r>
      <w:r w:rsidR="006C0C5C">
        <w:t> </w:t>
      </w:r>
      <w:r w:rsidRPr="000701A7">
        <w:t>1290.6).</w:t>
      </w:r>
      <w:r>
        <w:t>’</w:t>
      </w:r>
      <w:r w:rsidRPr="000701A7">
        <w:t>”</w:t>
      </w:r>
      <w:r>
        <w:t xml:space="preserve">]; </w:t>
      </w:r>
      <w:r w:rsidRPr="005B31C8">
        <w:rPr>
          <w:i/>
          <w:iCs/>
        </w:rPr>
        <w:t>De Mello v. Souza</w:t>
      </w:r>
      <w:r w:rsidRPr="005B31C8">
        <w:t xml:space="preserve"> (1973) 36</w:t>
      </w:r>
      <w:r w:rsidR="003D228C">
        <w:t> </w:t>
      </w:r>
      <w:r w:rsidRPr="005B31C8">
        <w:t>Cal.App.3d 79</w:t>
      </w:r>
      <w:r>
        <w:t xml:space="preserve">, 83 [same]; </w:t>
      </w:r>
      <w:r w:rsidRPr="00B02DCF">
        <w:rPr>
          <w:i/>
          <w:iCs/>
        </w:rPr>
        <w:t xml:space="preserve">Coordinated Const., Inc. v. </w:t>
      </w:r>
      <w:r w:rsidR="00303633">
        <w:rPr>
          <w:i/>
          <w:iCs/>
        </w:rPr>
        <w:t>Canoga Big “A”, Inc.</w:t>
      </w:r>
      <w:r w:rsidRPr="00B02DCF">
        <w:t xml:space="preserve"> (1965) 238</w:t>
      </w:r>
      <w:r w:rsidR="003D228C">
        <w:t> </w:t>
      </w:r>
      <w:r w:rsidRPr="00B02DCF">
        <w:t>Cal.App.2d 313, 318</w:t>
      </w:r>
      <w:r>
        <w:t xml:space="preserve"> </w:t>
      </w:r>
      <w:r w:rsidRPr="00B02DCF">
        <w:t>[</w:t>
      </w:r>
      <w:r>
        <w:t>“[T]</w:t>
      </w:r>
      <w:r w:rsidRPr="00844A57">
        <w:t>he proper interpretation of section</w:t>
      </w:r>
      <w:r w:rsidR="003D228C">
        <w:t> </w:t>
      </w:r>
      <w:r w:rsidRPr="00844A57">
        <w:t xml:space="preserve">1288.2 is that the 100-day limit applies only when the other party to the arbitration does not file a petition to confirm the award. </w:t>
      </w:r>
      <w:r>
        <w:t xml:space="preserve"> </w:t>
      </w:r>
      <w:r w:rsidRPr="00844A57">
        <w:t>When such petition is filed a response must be filed within the time limit set forth in section</w:t>
      </w:r>
      <w:r w:rsidR="003D228C">
        <w:t> </w:t>
      </w:r>
      <w:r w:rsidRPr="00844A57">
        <w:t>1290.6.</w:t>
      </w:r>
      <w:r>
        <w:t xml:space="preserve">”].)  </w:t>
      </w:r>
    </w:p>
    <w:p w:rsidR="00BF3A2F" w:rsidRPr="00192FAD" w:rsidP="00D413FE" w14:paraId="4FB540CC" w14:textId="7FA10B42">
      <w:pPr>
        <w:ind w:firstLine="720"/>
      </w:pPr>
      <w:r>
        <w:t xml:space="preserve">In </w:t>
      </w:r>
      <w:r w:rsidRPr="00D611F0">
        <w:rPr>
          <w:i/>
          <w:iCs/>
        </w:rPr>
        <w:t>Darby v. Sisyphian, LLC</w:t>
      </w:r>
      <w:r w:rsidRPr="00D611F0">
        <w:t xml:space="preserve"> (2023) 87</w:t>
      </w:r>
      <w:r w:rsidR="003D228C">
        <w:t> </w:t>
      </w:r>
      <w:r w:rsidRPr="00D611F0">
        <w:t>Cal.App.5th 1100</w:t>
      </w:r>
      <w:r>
        <w:t xml:space="preserve">, </w:t>
      </w:r>
      <w:r w:rsidRPr="00D611F0">
        <w:t>disapproved o</w:t>
      </w:r>
      <w:r w:rsidR="009B3A75">
        <w:t>n</w:t>
      </w:r>
      <w:r w:rsidRPr="00D611F0">
        <w:t xml:space="preserve"> </w:t>
      </w:r>
      <w:r>
        <w:t xml:space="preserve">another ground </w:t>
      </w:r>
      <w:r w:rsidRPr="00D611F0">
        <w:t xml:space="preserve">by </w:t>
      </w:r>
      <w:r w:rsidRPr="0034051A">
        <w:rPr>
          <w:i/>
          <w:iCs/>
        </w:rPr>
        <w:t>Law Finance</w:t>
      </w:r>
      <w:r>
        <w:rPr>
          <w:i/>
          <w:iCs/>
        </w:rPr>
        <w:t>, supra</w:t>
      </w:r>
      <w:r>
        <w:t xml:space="preserve">, </w:t>
      </w:r>
      <w:r w:rsidRPr="00D611F0">
        <w:t>14</w:t>
      </w:r>
      <w:r w:rsidR="003D228C">
        <w:t> </w:t>
      </w:r>
      <w:r w:rsidRPr="00D611F0">
        <w:t xml:space="preserve">Cal.5th </w:t>
      </w:r>
      <w:r>
        <w:t>at page</w:t>
      </w:r>
      <w:r w:rsidR="003D228C">
        <w:t> </w:t>
      </w:r>
      <w:r>
        <w:t>952, footnote</w:t>
      </w:r>
      <w:r w:rsidR="003D228C">
        <w:t> </w:t>
      </w:r>
      <w:r>
        <w:t>3</w:t>
      </w:r>
      <w:r w:rsidR="00303633">
        <w:t xml:space="preserve"> (</w:t>
      </w:r>
      <w:r w:rsidRPr="005E02FA" w:rsidR="00303633">
        <w:rPr>
          <w:i/>
          <w:iCs/>
        </w:rPr>
        <w:t>Darby</w:t>
      </w:r>
      <w:r w:rsidR="00303633">
        <w:t xml:space="preserve">) </w:t>
      </w:r>
      <w:r>
        <w:t>,</w:t>
      </w:r>
      <w:r>
        <w:rPr>
          <w:rStyle w:val="FootnoteReference"/>
        </w:rPr>
        <w:footnoteReference w:id="19"/>
      </w:r>
      <w:r>
        <w:t xml:space="preserve"> our colleagues in Division</w:t>
      </w:r>
      <w:r w:rsidR="003D228C">
        <w:t> </w:t>
      </w:r>
      <w:r>
        <w:t xml:space="preserve">Two applied </w:t>
      </w:r>
      <w:r w:rsidR="008029CE">
        <w:t>this longstanding</w:t>
      </w:r>
      <w:r>
        <w:t xml:space="preserve"> principle in the situation where, as here, a party file</w:t>
      </w:r>
      <w:r w:rsidR="003432AB">
        <w:t>d</w:t>
      </w:r>
      <w:r>
        <w:t xml:space="preserve"> a section</w:t>
      </w:r>
      <w:r w:rsidR="003D228C">
        <w:t> </w:t>
      </w:r>
      <w:r>
        <w:t>1288 petition to vacate more than 10</w:t>
      </w:r>
      <w:r w:rsidR="00054F8D">
        <w:t> </w:t>
      </w:r>
      <w:r>
        <w:t>days after service of a petition to confirm:  “[A]</w:t>
      </w:r>
      <w:r w:rsidRPr="00A8659B">
        <w:t xml:space="preserve"> competing request to vacate or correct the award—whether styled as a response to the petition to confirm or as a standalone petition—must be filed and served within 10</w:t>
      </w:r>
      <w:r w:rsidR="005A5B6D">
        <w:t> </w:t>
      </w:r>
      <w:r w:rsidRPr="00A8659B">
        <w:t xml:space="preserve">days of service of the petition to confirm, </w:t>
      </w:r>
      <w:r w:rsidRPr="005E02FA">
        <w:rPr>
          <w:i/>
          <w:iCs/>
        </w:rPr>
        <w:t>even if that due date is less than 100 days after service of the award</w:t>
      </w:r>
      <w:r w:rsidRPr="00A8659B">
        <w:t>.</w:t>
      </w:r>
      <w:r>
        <w:t>”  (</w:t>
      </w:r>
      <w:r>
        <w:rPr>
          <w:i/>
          <w:iCs/>
        </w:rPr>
        <w:t>Darby</w:t>
      </w:r>
      <w:r>
        <w:t>, at p.</w:t>
      </w:r>
      <w:r w:rsidR="003D228C">
        <w:t> </w:t>
      </w:r>
      <w:r>
        <w:t>1110, footnote omitted.)  The court rejected the argument that only filings “styled as responses” were subject to section</w:t>
      </w:r>
      <w:r w:rsidR="003D228C">
        <w:t> </w:t>
      </w:r>
      <w:r>
        <w:t>1290.6’s 10-day deadline, whereas filings “styled as standalone petitions” could ignore the 10-day deadline, reasoning that any such distinction “</w:t>
      </w:r>
      <w:r w:rsidRPr="00BF2653">
        <w:t>would elevate form over substance, would effectively negate the 10-day deadline since any party who missed the 10-day deadline could simply restyle their untimely response as a standalone petition, and would be inconsistent with the Act</w:t>
      </w:r>
      <w:r>
        <w:t>’</w:t>
      </w:r>
      <w:r w:rsidRPr="00BF2653">
        <w:t xml:space="preserve">s policy to decide postarbitration petitions </w:t>
      </w:r>
      <w:r w:rsidR="004C343F">
        <w:t>‘</w:t>
      </w:r>
      <w:r w:rsidRPr="00BF2653">
        <w:t>expeditious[ly].</w:t>
      </w:r>
      <w:r w:rsidR="004C343F">
        <w:t>’</w:t>
      </w:r>
      <w:r w:rsidRPr="00BF2653">
        <w:t>”</w:t>
      </w:r>
      <w:r>
        <w:t xml:space="preserve">  (</w:t>
      </w:r>
      <w:r w:rsidRPr="00B76E37">
        <w:rPr>
          <w:i/>
          <w:iCs/>
        </w:rPr>
        <w:t>Darby</w:t>
      </w:r>
      <w:r>
        <w:t>, at p.</w:t>
      </w:r>
      <w:r w:rsidR="003D228C">
        <w:t> </w:t>
      </w:r>
      <w:r>
        <w:t>1110, fn.</w:t>
      </w:r>
      <w:r w:rsidR="003D228C">
        <w:t> </w:t>
      </w:r>
      <w:r>
        <w:t>7</w:t>
      </w:r>
      <w:r w:rsidR="00C1007B">
        <w:t>.)</w:t>
      </w:r>
      <w:r>
        <w:t xml:space="preserve"> </w:t>
      </w:r>
    </w:p>
    <w:p w:rsidR="00BF3A2F" w:rsidP="00D413FE" w14:paraId="7783BEAE" w14:textId="1FFD22F1">
      <w:pPr>
        <w:ind w:firstLine="720"/>
      </w:pPr>
      <w:r>
        <w:t xml:space="preserve">In </w:t>
      </w:r>
      <w:r>
        <w:rPr>
          <w:i/>
          <w:iCs/>
        </w:rPr>
        <w:t>Law Finance</w:t>
      </w:r>
      <w:r w:rsidR="005262EF">
        <w:rPr>
          <w:i/>
          <w:iCs/>
        </w:rPr>
        <w:t>,</w:t>
      </w:r>
      <w:r w:rsidRPr="005262EF" w:rsidR="005262EF">
        <w:rPr>
          <w:i/>
          <w:iCs/>
        </w:rPr>
        <w:t xml:space="preserve"> supra</w:t>
      </w:r>
      <w:r w:rsidRPr="00C1007B" w:rsidR="005262EF">
        <w:t>, 14</w:t>
      </w:r>
      <w:r w:rsidR="003D228C">
        <w:t> </w:t>
      </w:r>
      <w:r w:rsidRPr="00C1007B" w:rsidR="005262EF">
        <w:t>Cal.5th</w:t>
      </w:r>
      <w:r w:rsidR="003E5DB4">
        <w:t xml:space="preserve"> at pages</w:t>
      </w:r>
      <w:r w:rsidR="003D228C">
        <w:t> </w:t>
      </w:r>
      <w:r w:rsidRPr="00C1007B" w:rsidR="005262EF">
        <w:t>946</w:t>
      </w:r>
      <w:r w:rsidR="003E5DB4">
        <w:t xml:space="preserve"> to </w:t>
      </w:r>
      <w:r w:rsidRPr="00C1007B" w:rsidR="005262EF">
        <w:t>947</w:t>
      </w:r>
      <w:r w:rsidR="007B053A">
        <w:t>,</w:t>
      </w:r>
      <w:r w:rsidRPr="005262EF">
        <w:t xml:space="preserve"> the</w:t>
      </w:r>
      <w:r>
        <w:t xml:space="preserve"> Supreme Court recently considered the inverse issue—whether a</w:t>
      </w:r>
      <w:r w:rsidR="005907EC">
        <w:t xml:space="preserve"> response</w:t>
      </w:r>
      <w:r w:rsidR="00EF53A3">
        <w:t xml:space="preserve"> </w:t>
      </w:r>
      <w:r>
        <w:t>to a petition to confirm an arbitration award filed within 10</w:t>
      </w:r>
      <w:r w:rsidR="003D228C">
        <w:t> </w:t>
      </w:r>
      <w:r>
        <w:t xml:space="preserve">days of the petition to confirm but outside of the 100-day deadline under </w:t>
      </w:r>
      <w:r w:rsidR="00BB607E">
        <w:t>section</w:t>
      </w:r>
      <w:r w:rsidR="00BF729F">
        <w:t>s</w:t>
      </w:r>
      <w:r w:rsidR="003D228C">
        <w:t> </w:t>
      </w:r>
      <w:r>
        <w:t>1288 and 1288.2 was timely.</w:t>
      </w:r>
      <w:r w:rsidR="00957B86">
        <w:t xml:space="preserve">  The court</w:t>
      </w:r>
      <w:r w:rsidR="008A4007">
        <w:t xml:space="preserve"> held the response was not timely, observing, </w:t>
      </w:r>
      <w:r>
        <w:t>“</w:t>
      </w:r>
      <w:r w:rsidR="00BF729F">
        <w:t>[</w:t>
      </w:r>
      <w:r>
        <w:t>N</w:t>
      </w:r>
      <w:r w:rsidR="00BF729F">
        <w:t>]</w:t>
      </w:r>
      <w:r w:rsidRPr="001A5901">
        <w:t xml:space="preserve">either deadline supersedes the other. </w:t>
      </w:r>
      <w:r>
        <w:t xml:space="preserve"> </w:t>
      </w:r>
      <w:r w:rsidRPr="001A5901">
        <w:t>On the contrary, when a filing both (1) responds to a petition to confirm, and (2) requests that the arbitration award be vacated, both deadlines apply: (1)</w:t>
      </w:r>
      <w:r w:rsidR="00BF729F">
        <w:t> </w:t>
      </w:r>
      <w:r w:rsidRPr="001A5901">
        <w:t>Absent a written agreement or court order, the response must be filed within 10</w:t>
      </w:r>
      <w:r w:rsidR="00BF729F">
        <w:t> </w:t>
      </w:r>
      <w:r w:rsidRPr="001A5901">
        <w:t>days after service of the petition to confirm and (2)</w:t>
      </w:r>
      <w:r w:rsidR="00C1007B">
        <w:t> </w:t>
      </w:r>
      <w:r w:rsidRPr="001A5901">
        <w:t>in any event, no later than 100 days after service of the award</w:t>
      </w:r>
      <w:r>
        <w:t>.”  (</w:t>
      </w:r>
      <w:r w:rsidRPr="005E02FA" w:rsidR="00BF729F">
        <w:rPr>
          <w:i/>
          <w:iCs/>
        </w:rPr>
        <w:t>Ibid</w:t>
      </w:r>
      <w:r w:rsidR="00BF729F">
        <w:t>.</w:t>
      </w:r>
      <w:r>
        <w:t xml:space="preserve">)  The court </w:t>
      </w:r>
      <w:r w:rsidR="00706A05">
        <w:t>added</w:t>
      </w:r>
      <w:r w:rsidR="00DC1E33">
        <w:t>,</w:t>
      </w:r>
      <w:r w:rsidR="00884C9D">
        <w:t xml:space="preserve"> </w:t>
      </w:r>
      <w:r>
        <w:t>however, “</w:t>
      </w:r>
      <w:r w:rsidRPr="00BA1AAF">
        <w:t>We need not and do not decide whether a party that fails to file a timely response under section</w:t>
      </w:r>
      <w:r w:rsidR="003D228C">
        <w:t> </w:t>
      </w:r>
      <w:r w:rsidRPr="00BA1AAF">
        <w:t>1290.6 may nevertheless request vacatur in a petition to vacate filed within the limitations period of section</w:t>
      </w:r>
      <w:r w:rsidR="003D228C">
        <w:t> </w:t>
      </w:r>
      <w:r w:rsidRPr="00BA1AAF">
        <w:t>1288.</w:t>
      </w:r>
      <w:r>
        <w:t>”  (</w:t>
      </w:r>
      <w:r>
        <w:rPr>
          <w:i/>
          <w:iCs/>
        </w:rPr>
        <w:t>Id.</w:t>
      </w:r>
      <w:r>
        <w:t xml:space="preserve"> at p.</w:t>
      </w:r>
      <w:r w:rsidR="00C1007B">
        <w:t> </w:t>
      </w:r>
      <w:r>
        <w:t>946</w:t>
      </w:r>
      <w:r w:rsidR="00C03FCA">
        <w:t>, fn.</w:t>
      </w:r>
      <w:r w:rsidR="00C1007B">
        <w:t> </w:t>
      </w:r>
      <w:r w:rsidR="00C03FCA">
        <w:t>2</w:t>
      </w:r>
      <w:r>
        <w:t xml:space="preserve">, citing </w:t>
      </w:r>
      <w:r w:rsidRPr="002105F0">
        <w:rPr>
          <w:i/>
          <w:iCs/>
        </w:rPr>
        <w:t>Darby</w:t>
      </w:r>
      <w:r>
        <w:rPr>
          <w:i/>
          <w:iCs/>
        </w:rPr>
        <w:t>, supra</w:t>
      </w:r>
      <w:r>
        <w:t>, 87</w:t>
      </w:r>
      <w:r w:rsidR="003D228C">
        <w:t> </w:t>
      </w:r>
      <w:r>
        <w:t xml:space="preserve">Cal.App.4th at </w:t>
      </w:r>
      <w:r w:rsidR="00BB2932">
        <w:t>p.</w:t>
      </w:r>
      <w:r w:rsidR="00C1007B">
        <w:t> </w:t>
      </w:r>
      <w:r>
        <w:t>1110</w:t>
      </w:r>
      <w:r w:rsidR="00A616D7">
        <w:t>, fn.</w:t>
      </w:r>
      <w:r w:rsidR="00C1007B">
        <w:t> </w:t>
      </w:r>
      <w:r w:rsidR="00A616D7">
        <w:t>7</w:t>
      </w:r>
      <w:r>
        <w:t>.)</w:t>
      </w:r>
    </w:p>
    <w:p w:rsidR="00BF3A2F" w:rsidP="00D413FE" w14:paraId="143711A0" w14:textId="6454E976">
      <w:pPr>
        <w:ind w:firstLine="720"/>
      </w:pPr>
      <w:r>
        <w:t xml:space="preserve">The Mendoza defendants </w:t>
      </w:r>
      <w:r w:rsidR="00BB2932">
        <w:t>filed a</w:t>
      </w:r>
      <w:r w:rsidR="005907EC">
        <w:t xml:space="preserve"> timely </w:t>
      </w:r>
      <w:r>
        <w:t xml:space="preserve">opposition </w:t>
      </w:r>
      <w:r w:rsidR="005907EC">
        <w:t xml:space="preserve">(response) </w:t>
      </w:r>
      <w:r>
        <w:t>to the Valencias’ petition to confirm the award</w:t>
      </w:r>
      <w:r w:rsidR="00AE4634">
        <w:t xml:space="preserve">, but the opposition was </w:t>
      </w:r>
      <w:r w:rsidRPr="00E22733">
        <w:t>not</w:t>
      </w:r>
      <w:r>
        <w:t xml:space="preserve"> supported by any evidence.  Only on the eve of the hearing on the petition to confirm, nearly four weeks after they </w:t>
      </w:r>
      <w:r w:rsidR="00BB2932">
        <w:t xml:space="preserve">had been served with the Valencias’ </w:t>
      </w:r>
      <w:r>
        <w:t>petition to confirm</w:t>
      </w:r>
      <w:r w:rsidR="00047C99">
        <w:t xml:space="preserve"> (</w:t>
      </w:r>
      <w:r w:rsidR="003344DE">
        <w:t xml:space="preserve">and </w:t>
      </w:r>
      <w:r w:rsidRPr="00CC5EBA" w:rsidR="00047C99">
        <w:t>well after the 10</w:t>
      </w:r>
      <w:r w:rsidR="001A107D">
        <w:t> </w:t>
      </w:r>
      <w:r w:rsidRPr="00CC5EBA" w:rsidR="00047C99">
        <w:t>days)</w:t>
      </w:r>
      <w:r w:rsidRPr="00CC5EBA">
        <w:t xml:space="preserve">, did they file the petition to vacate the award that included supporting declarations and evidence.  We agree with the </w:t>
      </w:r>
      <w:r w:rsidRPr="00CC5EBA" w:rsidR="002A4A55">
        <w:t xml:space="preserve">reasoning </w:t>
      </w:r>
      <w:r w:rsidRPr="00CC5EBA">
        <w:t xml:space="preserve">in </w:t>
      </w:r>
      <w:r w:rsidRPr="00CC5EBA">
        <w:rPr>
          <w:i/>
          <w:iCs/>
        </w:rPr>
        <w:t>Darby, supra</w:t>
      </w:r>
      <w:r w:rsidRPr="00CC5EBA">
        <w:t>, 87</w:t>
      </w:r>
      <w:r w:rsidR="003D228C">
        <w:t> </w:t>
      </w:r>
      <w:r w:rsidRPr="00CC5EBA">
        <w:t>Cal.App.5th at page</w:t>
      </w:r>
      <w:r w:rsidR="003D228C">
        <w:t> </w:t>
      </w:r>
      <w:r w:rsidRPr="00CC5EBA">
        <w:t>1110 and footnote</w:t>
      </w:r>
      <w:r w:rsidR="003D228C">
        <w:t> </w:t>
      </w:r>
      <w:r w:rsidRPr="00CC5EBA">
        <w:t xml:space="preserve">7, that there is no material distinction between </w:t>
      </w:r>
      <w:r w:rsidRPr="00CC5EBA" w:rsidR="00BB6264">
        <w:t>a</w:t>
      </w:r>
      <w:r w:rsidRPr="00CC5EBA" w:rsidR="00E67527">
        <w:t xml:space="preserve"> request to vacate</w:t>
      </w:r>
      <w:r w:rsidRPr="00CC5EBA" w:rsidR="00BB6264">
        <w:t xml:space="preserve"> filed as </w:t>
      </w:r>
      <w:r w:rsidRPr="00CC5EBA">
        <w:t>a response to a petition to confirm under section</w:t>
      </w:r>
      <w:r w:rsidR="003D228C">
        <w:t> </w:t>
      </w:r>
      <w:r w:rsidRPr="00CC5EBA">
        <w:t xml:space="preserve">1288.2 and a </w:t>
      </w:r>
      <w:r w:rsidRPr="00CC5EBA" w:rsidR="00BB6264">
        <w:t xml:space="preserve">standalone </w:t>
      </w:r>
      <w:r w:rsidRPr="00CC5EBA">
        <w:t xml:space="preserve">petition to vacate under </w:t>
      </w:r>
      <w:r w:rsidR="002D38A1">
        <w:t>section</w:t>
      </w:r>
      <w:r w:rsidR="003D228C">
        <w:t> </w:t>
      </w:r>
      <w:r w:rsidRPr="00CC5EBA">
        <w:t xml:space="preserve">1288 </w:t>
      </w:r>
      <w:r w:rsidRPr="00CC5EBA" w:rsidR="00672549">
        <w:t xml:space="preserve">with respect to </w:t>
      </w:r>
      <w:r w:rsidRPr="00CC5EBA" w:rsidR="00BB6264">
        <w:t xml:space="preserve">whether </w:t>
      </w:r>
      <w:r w:rsidRPr="00CC5EBA">
        <w:t>the 10-day deadline under section</w:t>
      </w:r>
      <w:r w:rsidR="003D228C">
        <w:t> </w:t>
      </w:r>
      <w:r w:rsidRPr="00CC5EBA">
        <w:t>1290.6</w:t>
      </w:r>
      <w:r w:rsidRPr="00CC5EBA" w:rsidR="00BB6264">
        <w:t xml:space="preserve"> controls: </w:t>
      </w:r>
      <w:r w:rsidR="00C1007B">
        <w:t xml:space="preserve"> </w:t>
      </w:r>
      <w:r w:rsidR="00C20EAE">
        <w:t>I</w:t>
      </w:r>
      <w:r w:rsidRPr="00CC5EBA" w:rsidR="00BB6264">
        <w:t>t does</w:t>
      </w:r>
      <w:r w:rsidRPr="00CC5EBA">
        <w:t xml:space="preserve">.  </w:t>
      </w:r>
      <w:r w:rsidR="00C1007B">
        <w:t xml:space="preserve">Accordingly, the </w:t>
      </w:r>
      <w:r>
        <w:t xml:space="preserve">trial court was </w:t>
      </w:r>
      <w:r w:rsidR="00353E74">
        <w:t xml:space="preserve">not </w:t>
      </w:r>
      <w:r>
        <w:t>required to consider the evidence attached to the late-filed</w:t>
      </w:r>
      <w:r w:rsidR="00353E74">
        <w:t xml:space="preserve"> </w:t>
      </w:r>
      <w:r>
        <w:t xml:space="preserve">petition to vacate before ruling on the petition to confirm.  </w:t>
      </w:r>
      <w:r w:rsidR="00353E74">
        <w:t>A</w:t>
      </w:r>
      <w:r>
        <w:t xml:space="preserve"> contrary holding would vitiate a trial court’s ability to act on a </w:t>
      </w:r>
      <w:r w:rsidR="00B65347">
        <w:t>timely</w:t>
      </w:r>
      <w:r w:rsidR="00A34669">
        <w:t xml:space="preserve"> </w:t>
      </w:r>
      <w:r>
        <w:t xml:space="preserve">filed petition to confirm an award and require </w:t>
      </w:r>
      <w:r w:rsidR="008561C5">
        <w:t>a</w:t>
      </w:r>
      <w:r w:rsidR="00F3642E">
        <w:t xml:space="preserve"> court</w:t>
      </w:r>
      <w:r>
        <w:t xml:space="preserve"> to continue </w:t>
      </w:r>
      <w:r w:rsidR="008561C5">
        <w:t xml:space="preserve">a </w:t>
      </w:r>
      <w:r>
        <w:t xml:space="preserve">hearing on </w:t>
      </w:r>
      <w:r w:rsidR="00434F26">
        <w:t xml:space="preserve">an unopposed (or </w:t>
      </w:r>
      <w:r w:rsidR="00825790">
        <w:t>in</w:t>
      </w:r>
      <w:r w:rsidR="00434F26">
        <w:t xml:space="preserve">adequately opposed) </w:t>
      </w:r>
      <w:r>
        <w:t>petition</w:t>
      </w:r>
      <w:r w:rsidR="00F3642E">
        <w:t xml:space="preserve"> to confirm</w:t>
      </w:r>
      <w:r>
        <w:t xml:space="preserve"> for </w:t>
      </w:r>
      <w:r w:rsidR="00617D36">
        <w:t xml:space="preserve">up to </w:t>
      </w:r>
      <w:r>
        <w:t>100</w:t>
      </w:r>
      <w:r w:rsidR="003D228C">
        <w:t> </w:t>
      </w:r>
      <w:r>
        <w:t>days from the filing of the award</w:t>
      </w:r>
      <w:r w:rsidR="00617D36">
        <w:t xml:space="preserve"> where, as here,</w:t>
      </w:r>
      <w:r w:rsidR="00434F26">
        <w:t xml:space="preserve"> the opposing party </w:t>
      </w:r>
      <w:r w:rsidR="00617D36">
        <w:t xml:space="preserve">represents it plans to </w:t>
      </w:r>
      <w:r w:rsidR="00434F26">
        <w:t>seek to vacate the award</w:t>
      </w:r>
      <w:r>
        <w:t xml:space="preserve">.  </w:t>
      </w:r>
    </w:p>
    <w:p w:rsidR="001B16F8" w:rsidP="00D413FE" w14:paraId="210E3490" w14:textId="30EBD913">
      <w:pPr>
        <w:ind w:firstLine="720"/>
      </w:pPr>
      <w:r>
        <w:t>Although the trial court was not required to excuse the Mendoza defendants’ noncompliance with</w:t>
      </w:r>
      <w:r w:rsidR="009379E7">
        <w:t xml:space="preserve"> the 10-day </w:t>
      </w:r>
      <w:r w:rsidR="00821B3D">
        <w:t>requirement under</w:t>
      </w:r>
      <w:r>
        <w:t xml:space="preserve"> section</w:t>
      </w:r>
      <w:r w:rsidR="003D228C">
        <w:t> </w:t>
      </w:r>
      <w:r>
        <w:t xml:space="preserve">1290.6 or otherwise </w:t>
      </w:r>
      <w:r w:rsidR="00654F02">
        <w:t xml:space="preserve">to </w:t>
      </w:r>
      <w:r>
        <w:t xml:space="preserve">adjust the hearing schedule on the Valencias’ petition to confirm </w:t>
      </w:r>
      <w:r w:rsidR="00434F26">
        <w:t>to</w:t>
      </w:r>
      <w:r>
        <w:t xml:space="preserve"> allow the Mendoza defendants’ </w:t>
      </w:r>
      <w:r w:rsidR="009379E7">
        <w:t xml:space="preserve">late-filed </w:t>
      </w:r>
      <w:r>
        <w:t xml:space="preserve">evidence to be incorporated into their opposition, the court had discretion to do so.  As the </w:t>
      </w:r>
      <w:r>
        <w:rPr>
          <w:i/>
          <w:iCs/>
        </w:rPr>
        <w:t xml:space="preserve">Law Finance </w:t>
      </w:r>
      <w:r>
        <w:t>court explained, “</w:t>
      </w:r>
      <w:r w:rsidRPr="00A1525A">
        <w:t xml:space="preserve">The extension mechanism in </w:t>
      </w:r>
      <w:r>
        <w:t>[section</w:t>
      </w:r>
      <w:r w:rsidR="003D228C">
        <w:t> </w:t>
      </w:r>
      <w:r>
        <w:t xml:space="preserve">1290.6] </w:t>
      </w:r>
      <w:r w:rsidRPr="00A1525A">
        <w:t xml:space="preserve">permits the parties to agree to extend the response deadline for any reason at all and permits the court to extend the deadline for good cause. </w:t>
      </w:r>
      <w:r>
        <w:t xml:space="preserve"> </w:t>
      </w:r>
      <w:r w:rsidRPr="00A1525A">
        <w:t>That exception gives the parties and the court wide latitude to set a briefing schedule in any arbitration-related proceeding—an exception that would permit modifying the response deadline without necessarily meeting the requirements for equitable tolling or estoppel</w:t>
      </w:r>
      <w:r>
        <w:t>.”  (</w:t>
      </w:r>
      <w:r w:rsidRPr="00B5749D">
        <w:rPr>
          <w:i/>
          <w:iCs/>
        </w:rPr>
        <w:t>Law Finance</w:t>
      </w:r>
      <w:r>
        <w:rPr>
          <w:i/>
          <w:iCs/>
        </w:rPr>
        <w:t>, supra</w:t>
      </w:r>
      <w:r>
        <w:t xml:space="preserve">, </w:t>
      </w:r>
      <w:r w:rsidRPr="00A1525A">
        <w:t>14</w:t>
      </w:r>
      <w:r w:rsidR="003D228C">
        <w:t> </w:t>
      </w:r>
      <w:r w:rsidRPr="00A1525A">
        <w:t xml:space="preserve">Cal.5th </w:t>
      </w:r>
      <w:r>
        <w:t>at p.</w:t>
      </w:r>
      <w:r w:rsidR="003D228C">
        <w:t> </w:t>
      </w:r>
      <w:r w:rsidRPr="00A1525A">
        <w:t>955</w:t>
      </w:r>
      <w:r>
        <w:t xml:space="preserve"> [reversing holding that CAA deadlines </w:t>
      </w:r>
      <w:r w:rsidR="002E11A5">
        <w:t xml:space="preserve">limited </w:t>
      </w:r>
      <w:r w:rsidR="007F26B0">
        <w:t xml:space="preserve">court’s fundamental </w:t>
      </w:r>
      <w:r>
        <w:t>jurisdiction and remanding for consideration of equitable tolling and estoppel arguments for extending the deadlines under sections</w:t>
      </w:r>
      <w:r w:rsidR="003D228C">
        <w:t> </w:t>
      </w:r>
      <w:r>
        <w:t xml:space="preserve">1288 and 1288.2].)  </w:t>
      </w:r>
    </w:p>
    <w:p w:rsidR="00BF3A2F" w:rsidRPr="00BB26FF" w:rsidP="00D413FE" w14:paraId="1FABD6B5" w14:textId="30BADDC2">
      <w:pPr>
        <w:ind w:firstLine="720"/>
      </w:pPr>
      <w:r>
        <w:t xml:space="preserve">We review </w:t>
      </w:r>
      <w:r w:rsidR="00DC5463">
        <w:t>a</w:t>
      </w:r>
      <w:r>
        <w:t xml:space="preserve"> trial court’s determination whether to extend a statutory deadline based on a showing of good cause for </w:t>
      </w:r>
      <w:r w:rsidR="0098656A">
        <w:t xml:space="preserve">an </w:t>
      </w:r>
      <w:r>
        <w:t xml:space="preserve">abuse of discretion.  (See </w:t>
      </w:r>
      <w:r w:rsidRPr="005217E9">
        <w:rPr>
          <w:i/>
          <w:iCs/>
        </w:rPr>
        <w:t xml:space="preserve">Robinson v. U-Haul Co. of California </w:t>
      </w:r>
      <w:r>
        <w:t>(2016) 4</w:t>
      </w:r>
      <w:r w:rsidR="003D228C">
        <w:t> </w:t>
      </w:r>
      <w:r>
        <w:t xml:space="preserve">Cal.App.5th 304, 327 [“a trial court’s finding of ‘good cause’ is generally reviewed deferentially, solely for abuse of discretion”]; </w:t>
      </w:r>
      <w:r w:rsidR="0098656A">
        <w:t xml:space="preserve">see </w:t>
      </w:r>
      <w:r w:rsidRPr="00BB26FF">
        <w:rPr>
          <w:i/>
          <w:iCs/>
        </w:rPr>
        <w:t>Lucci v. United Credit &amp; Collection Co.</w:t>
      </w:r>
      <w:r>
        <w:t xml:space="preserve"> (1934) 220</w:t>
      </w:r>
      <w:r w:rsidR="003D228C">
        <w:t> </w:t>
      </w:r>
      <w:r>
        <w:t>Cal. 492, 495 [trial court’s decision pursuant to statute permitting “an extension</w:t>
      </w:r>
      <w:r w:rsidR="006308BE">
        <w:t> </w:t>
      </w:r>
      <w:r>
        <w:t>.</w:t>
      </w:r>
      <w:r w:rsidR="006308BE">
        <w:t> </w:t>
      </w:r>
      <w:r>
        <w:t>. .</w:t>
      </w:r>
      <w:r w:rsidR="006308BE">
        <w:t> </w:t>
      </w:r>
      <w:r>
        <w:t xml:space="preserve">‘in furtherance of justice’ and ‘upon good cause shown’” </w:t>
      </w:r>
      <w:r w:rsidR="009A0DB3">
        <w:t xml:space="preserve">is </w:t>
      </w:r>
      <w:r>
        <w:t>reviewed for</w:t>
      </w:r>
      <w:r w:rsidR="009A0DB3">
        <w:t xml:space="preserve"> an</w:t>
      </w:r>
      <w:r>
        <w:t xml:space="preserve"> “abuse of discretion”].)</w:t>
      </w:r>
    </w:p>
    <w:p w:rsidR="000E6F98" w:rsidP="00D413FE" w14:paraId="5CCD2744" w14:textId="18B0D937">
      <w:pPr>
        <w:ind w:firstLine="720"/>
      </w:pPr>
      <w:r>
        <w:t>T</w:t>
      </w:r>
      <w:r w:rsidR="00BF3A2F">
        <w:t xml:space="preserve">he trial court did not abuse its discretion in finding there was </w:t>
      </w:r>
      <w:r>
        <w:t>no good cause</w:t>
      </w:r>
      <w:r w:rsidR="00BF3A2F">
        <w:t xml:space="preserve"> to continue </w:t>
      </w:r>
      <w:r>
        <w:t xml:space="preserve">the </w:t>
      </w:r>
      <w:r w:rsidR="00BF3A2F">
        <w:t xml:space="preserve">hearing on the petition to confirm or to allow additional briefing. </w:t>
      </w:r>
      <w:r w:rsidR="008860A9">
        <w:t xml:space="preserve"> (See</w:t>
      </w:r>
      <w:r w:rsidR="00BF3A2F">
        <w:t xml:space="preserve"> </w:t>
      </w:r>
      <w:r w:rsidRPr="003B51AF" w:rsidR="00BF3A2F">
        <w:rPr>
          <w:i/>
          <w:iCs/>
        </w:rPr>
        <w:t>Robinson v. U-Haul Co. of California, supra</w:t>
      </w:r>
      <w:r w:rsidRPr="003B51AF" w:rsidR="00BF3A2F">
        <w:t xml:space="preserve">, </w:t>
      </w:r>
      <w:r w:rsidRPr="003B51AF" w:rsidR="00BD2414">
        <w:t>4</w:t>
      </w:r>
      <w:r w:rsidRPr="003B51AF" w:rsidR="003D228C">
        <w:t> </w:t>
      </w:r>
      <w:r w:rsidRPr="003B51AF" w:rsidR="00BF3A2F">
        <w:t>Cal.App.5th at p.</w:t>
      </w:r>
      <w:r w:rsidRPr="003B51AF" w:rsidR="003D228C">
        <w:t> </w:t>
      </w:r>
      <w:r w:rsidRPr="003B51AF" w:rsidR="00BF3A2F">
        <w:t>327</w:t>
      </w:r>
      <w:r w:rsidRPr="003B51AF" w:rsidR="00917C9C">
        <w:t xml:space="preserve"> [</w:t>
      </w:r>
      <w:r w:rsidRPr="003B51AF">
        <w:t xml:space="preserve">explaining with respect to extension to file motion for attorneys’ fees, </w:t>
      </w:r>
      <w:r w:rsidRPr="003B51AF" w:rsidR="00917C9C">
        <w:t>“Where the standard requires ‘good cause’ only, it has been ‘“‘equated to a good reason for a party’s failure to perform that specific requirement [of the statute] from which he seeks to be excused.’”’”</w:t>
      </w:r>
      <w:r w:rsidRPr="003B51AF">
        <w:t xml:space="preserve">]; </w:t>
      </w:r>
      <w:r w:rsidRPr="003B51AF">
        <w:rPr>
          <w:i/>
          <w:iCs/>
        </w:rPr>
        <w:t xml:space="preserve">Katz v. Campbell Union High School Dist. </w:t>
      </w:r>
      <w:r w:rsidRPr="003B51AF">
        <w:t>(2006) 144 Cal.App.4th 1024, 1036 [applying same standard in assessing good cause for relief from statutory requirements for summons].)</w:t>
      </w:r>
      <w:r>
        <w:t xml:space="preserve">  </w:t>
      </w:r>
    </w:p>
    <w:p w:rsidR="00BF3A2F" w:rsidP="00D413FE" w14:paraId="1E589E58" w14:textId="4B665BCF">
      <w:pPr>
        <w:ind w:firstLine="720"/>
      </w:pPr>
      <w:r>
        <w:t xml:space="preserve">  In their opposition to the petition to confirm, the Mendoza defendants requested that </w:t>
      </w:r>
      <w:r w:rsidR="007A5E7A">
        <w:t>the court consider</w:t>
      </w:r>
      <w:r w:rsidR="00417BE3">
        <w:t xml:space="preserve"> at the same time</w:t>
      </w:r>
      <w:r w:rsidR="007A5E7A">
        <w:t xml:space="preserve"> </w:t>
      </w:r>
      <w:r>
        <w:t xml:space="preserve">the petition to confirm and the petition to vacate—which </w:t>
      </w:r>
      <w:r w:rsidR="00A82424">
        <w:t>the Mendoza defendants</w:t>
      </w:r>
      <w:r>
        <w:t xml:space="preserve"> </w:t>
      </w:r>
      <w:r w:rsidR="00A82424">
        <w:t>represented</w:t>
      </w:r>
      <w:r>
        <w:t xml:space="preserve"> would “likely be filed within the next 10-15</w:t>
      </w:r>
      <w:r w:rsidR="003D228C">
        <w:t> </w:t>
      </w:r>
      <w:r>
        <w:t xml:space="preserve">days”—“in the interest of judicial economy and common sense.”  The Mendoza defendants did not argue, let alone submit any evidence, why they were unable to </w:t>
      </w:r>
      <w:r w:rsidR="00731EB4">
        <w:t>submit</w:t>
      </w:r>
      <w:r>
        <w:t xml:space="preserve"> evidence</w:t>
      </w:r>
      <w:r w:rsidR="00731EB4">
        <w:t xml:space="preserve"> and </w:t>
      </w:r>
      <w:r w:rsidR="00E66927">
        <w:t xml:space="preserve">a </w:t>
      </w:r>
      <w:r w:rsidR="00731EB4">
        <w:t>more de</w:t>
      </w:r>
      <w:r w:rsidR="001F2F53">
        <w:t xml:space="preserve">veloped argument </w:t>
      </w:r>
      <w:r w:rsidR="00731EB4">
        <w:t>in support</w:t>
      </w:r>
      <w:r w:rsidR="001F2F53">
        <w:t xml:space="preserve"> of their opposition</w:t>
      </w:r>
      <w:r w:rsidR="00430939">
        <w:t xml:space="preserve">.  Moreover, </w:t>
      </w:r>
      <w:r w:rsidR="001F2F53">
        <w:t xml:space="preserve">the Mendoza defendants </w:t>
      </w:r>
      <w:r w:rsidR="00430939">
        <w:t xml:space="preserve">failed to </w:t>
      </w:r>
      <w:r>
        <w:t xml:space="preserve">request an order </w:t>
      </w:r>
      <w:r w:rsidR="00917C9C">
        <w:t>extending the deadline to file a response under</w:t>
      </w:r>
      <w:r>
        <w:t xml:space="preserve"> section</w:t>
      </w:r>
      <w:r w:rsidR="003D228C">
        <w:t> </w:t>
      </w:r>
      <w:r>
        <w:t>1290.6</w:t>
      </w:r>
      <w:r w:rsidR="00917C9C">
        <w:t xml:space="preserve"> </w:t>
      </w:r>
      <w:r w:rsidR="00430939">
        <w:t>(or request the Valencias stipulate to an extension)</w:t>
      </w:r>
      <w:r>
        <w:t xml:space="preserve">, either before or after the deadline </w:t>
      </w:r>
      <w:r w:rsidR="00917C9C">
        <w:t>passed</w:t>
      </w:r>
      <w:r>
        <w:t>.</w:t>
      </w:r>
      <w:r>
        <w:rPr>
          <w:rStyle w:val="FootnoteReference"/>
        </w:rPr>
        <w:footnoteReference w:id="20"/>
      </w:r>
      <w:r>
        <w:t xml:space="preserve">   </w:t>
      </w:r>
    </w:p>
    <w:p w:rsidR="00BF3A2F" w:rsidP="00D413FE" w14:paraId="48BF5F79" w14:textId="4C7E0989">
      <w:pPr>
        <w:ind w:firstLine="720"/>
      </w:pPr>
      <w:r>
        <w:t>Because the Mendoza defendants did not submit evidence in their</w:t>
      </w:r>
      <w:r w:rsidR="00A7333A">
        <w:t xml:space="preserve"> </w:t>
      </w:r>
      <w:r w:rsidR="00770D36">
        <w:t>opposition</w:t>
      </w:r>
      <w:r>
        <w:t xml:space="preserve"> to the petition to confirm and did not demonstrate good cause for relief from the 10-day deadline under section</w:t>
      </w:r>
      <w:r w:rsidR="003D228C">
        <w:t> </w:t>
      </w:r>
      <w:r>
        <w:t xml:space="preserve">1290.6, we, like the trial court, do not consider their untimely evidence in </w:t>
      </w:r>
      <w:r w:rsidR="004E0D8B">
        <w:t>reviewing the award</w:t>
      </w:r>
      <w:r>
        <w:t xml:space="preserve">.    </w:t>
      </w:r>
    </w:p>
    <w:p w:rsidR="00BF3A2F" w:rsidP="00A34669" w14:paraId="70BE8610" w14:textId="77777777">
      <w:pPr>
        <w:pStyle w:val="FootnoteText"/>
      </w:pPr>
    </w:p>
    <w:p w:rsidR="00BF3A2F" w:rsidRPr="000C487F" w:rsidP="00BF3A2F" w14:paraId="5829FD3C" w14:textId="77777777">
      <w:pPr>
        <w:pStyle w:val="Heading2"/>
        <w:numPr>
          <w:ilvl w:val="1"/>
          <w:numId w:val="1"/>
        </w:numPr>
      </w:pPr>
      <w:r>
        <w:t>The Mendoza Defendants Have Not Shown Error by the Arbitrator in Excluding Evidence</w:t>
      </w:r>
    </w:p>
    <w:p w:rsidR="00BF3A2F" w:rsidP="00D413FE" w14:paraId="5DE4D683" w14:textId="30DD0019">
      <w:pPr>
        <w:ind w:firstLine="720"/>
      </w:pPr>
      <w:r>
        <w:t xml:space="preserve">On appeal, the Mendoza defendants contend the arbitrator erred in excluding from evidence at the arbitration hearing the building inspection card </w:t>
      </w:r>
      <w:r w:rsidR="00653B28">
        <w:t>with the handwritten annotation</w:t>
      </w:r>
      <w:r>
        <w:t xml:space="preserve"> “‘OK to close walls’” and Richmond’s </w:t>
      </w:r>
      <w:r w:rsidR="00F73CEB">
        <w:t xml:space="preserve">proposed </w:t>
      </w:r>
      <w:r>
        <w:t>testimony that Chapter</w:t>
      </w:r>
      <w:r w:rsidR="003D228C">
        <w:t> </w:t>
      </w:r>
      <w:r>
        <w:t xml:space="preserve">34 did not require a complete code upgrade </w:t>
      </w:r>
      <w:r w:rsidR="00E47682">
        <w:t xml:space="preserve">at the home </w:t>
      </w:r>
      <w:r>
        <w:t>as a result of the repairs and alterations.</w:t>
      </w:r>
      <w:r>
        <w:rPr>
          <w:rStyle w:val="FootnoteReference"/>
        </w:rPr>
        <w:footnoteReference w:id="21"/>
      </w:r>
      <w:r>
        <w:t xml:space="preserve">  </w:t>
      </w:r>
      <w:r w:rsidR="00490F77">
        <w:t xml:space="preserve">As discussed, because </w:t>
      </w:r>
      <w:r>
        <w:t>the Valencias filed a sufficient and timely petition to confirm the arbitration award</w:t>
      </w:r>
      <w:r w:rsidR="00490F77">
        <w:t xml:space="preserve">, </w:t>
      </w:r>
      <w:r>
        <w:t>the Mendoza defendants bore the burden “‘to affirmatively establish the existence of error’”</w:t>
      </w:r>
      <w:r w:rsidR="00A27722">
        <w:t xml:space="preserve"> in order to vacate the award.</w:t>
      </w:r>
      <w:r>
        <w:t xml:space="preserve">  (</w:t>
      </w:r>
      <w:r w:rsidRPr="0054257C">
        <w:rPr>
          <w:i/>
          <w:iCs/>
        </w:rPr>
        <w:t>Rivera</w:t>
      </w:r>
      <w:r>
        <w:rPr>
          <w:i/>
          <w:iCs/>
        </w:rPr>
        <w:t>, supra</w:t>
      </w:r>
      <w:r>
        <w:t>, 54</w:t>
      </w:r>
      <w:r w:rsidR="003D228C">
        <w:t> </w:t>
      </w:r>
      <w:r>
        <w:t>Cal.App.5th at p.</w:t>
      </w:r>
      <w:r w:rsidR="003D228C">
        <w:t> </w:t>
      </w:r>
      <w:r>
        <w:t xml:space="preserve">94; </w:t>
      </w:r>
      <w:r w:rsidRPr="0054257C">
        <w:rPr>
          <w:i/>
          <w:iCs/>
        </w:rPr>
        <w:t>Lopes v. Millsap</w:t>
      </w:r>
      <w:r>
        <w:rPr>
          <w:i/>
          <w:iCs/>
        </w:rPr>
        <w:t>, supra</w:t>
      </w:r>
      <w:r>
        <w:t>, 6</w:t>
      </w:r>
      <w:r w:rsidR="003D228C">
        <w:t> </w:t>
      </w:r>
      <w:r>
        <w:t>Cal.App.4th 1679, 1685.)  The Mendoza defendants failed to meet this burden.</w:t>
      </w:r>
    </w:p>
    <w:p w:rsidR="00BF3A2F" w:rsidRPr="00BD06FE" w:rsidP="00A34669" w14:paraId="2F065920" w14:textId="77777777">
      <w:pPr>
        <w:pStyle w:val="FootnoteText"/>
      </w:pPr>
    </w:p>
    <w:p w:rsidR="00BF3A2F" w:rsidP="00BF3A2F" w14:paraId="2195EBEE" w14:textId="77777777">
      <w:pPr>
        <w:pStyle w:val="Heading3"/>
      </w:pPr>
      <w:r>
        <w:t>Exclusion of the permit inspection card</w:t>
      </w:r>
    </w:p>
    <w:p w:rsidR="00BF3A2F" w:rsidRPr="00680E49" w:rsidP="00D413FE" w14:paraId="0F88D1FF" w14:textId="2470B48A">
      <w:pPr>
        <w:ind w:firstLine="720"/>
      </w:pPr>
      <w:r>
        <w:t>Under section</w:t>
      </w:r>
      <w:r w:rsidR="003D228C">
        <w:t> </w:t>
      </w:r>
      <w:r>
        <w:t>2023.030, subdivision</w:t>
      </w:r>
      <w:r w:rsidR="003D228C">
        <w:t> </w:t>
      </w:r>
      <w:r>
        <w:t>(c), “[t]</w:t>
      </w:r>
      <w:r w:rsidRPr="00A10AF4">
        <w:t>he court may impose an evidence sanction by an order prohibiting any party engaging in the misuse of the discovery process from introducing designated matters in evidence.</w:t>
      </w:r>
      <w:r>
        <w:t>”  “‘</w:t>
      </w:r>
      <w:r w:rsidR="00B127CA">
        <w:t>“</w:t>
      </w:r>
      <w:r w:rsidRPr="00215338">
        <w:t>Only two facts are absolutely prerequisite to imposition of the sanction: (1) there must be a failure to comply</w:t>
      </w:r>
      <w:r>
        <w:t> . . . </w:t>
      </w:r>
      <w:r w:rsidRPr="00215338">
        <w:t>and (2) the failure must be wilful.</w:t>
      </w:r>
      <w:r w:rsidR="00B127CA">
        <w:t>”</w:t>
      </w:r>
      <w:r>
        <w:t>’</w:t>
      </w:r>
      <w:r w:rsidRPr="00215338">
        <w:t>”</w:t>
      </w:r>
      <w:r>
        <w:t xml:space="preserve">  (</w:t>
      </w:r>
      <w:r w:rsidRPr="009B6D6D">
        <w:rPr>
          <w:i/>
          <w:iCs/>
        </w:rPr>
        <w:t xml:space="preserve">Vallbona v. Springer </w:t>
      </w:r>
      <w:r w:rsidRPr="009B6D6D">
        <w:t>(1996) 43</w:t>
      </w:r>
      <w:r w:rsidR="003D228C">
        <w:t> </w:t>
      </w:r>
      <w:r w:rsidRPr="009B6D6D">
        <w:t>Cal.App.4th 1525, 1545</w:t>
      </w:r>
      <w:r>
        <w:t xml:space="preserve">; see </w:t>
      </w:r>
      <w:r w:rsidRPr="00E95AA3">
        <w:rPr>
          <w:i/>
          <w:iCs/>
        </w:rPr>
        <w:t>Karlsson v. Ford Motor Co.</w:t>
      </w:r>
      <w:r>
        <w:t xml:space="preserve"> (2006) 140</w:t>
      </w:r>
      <w:r w:rsidR="003D228C">
        <w:t> </w:t>
      </w:r>
      <w:r>
        <w:t>Cal.App.4th 1202, 1214-1215 [evidence and issue sanctions were properly imposed after defendant engaged in a pattern of discovery abuse, including failing to produce responsive documents</w:t>
      </w:r>
      <w:r w:rsidR="00761F79">
        <w:t xml:space="preserve">, </w:t>
      </w:r>
      <w:r>
        <w:t xml:space="preserve">concealing evidence in a </w:t>
      </w:r>
      <w:r w:rsidR="00FE697E">
        <w:t>document review</w:t>
      </w:r>
      <w:r>
        <w:t xml:space="preserve"> room, </w:t>
      </w:r>
      <w:r w:rsidR="00761F79">
        <w:t xml:space="preserve">and refusing to provide a witness for deposition, </w:t>
      </w:r>
      <w:r>
        <w:t xml:space="preserve">which collectively had the result of making the evidence unavailable to the plaintiff before the lapse of the discovery cutoff]; </w:t>
      </w:r>
      <w:r w:rsidRPr="004742B2">
        <w:rPr>
          <w:i/>
          <w:iCs/>
        </w:rPr>
        <w:t>Do It Urself Moving &amp; Storage, Inc. v. Brown, Leifer, Slatkin &amp; Berns</w:t>
      </w:r>
      <w:r>
        <w:t xml:space="preserve"> (1992) 7</w:t>
      </w:r>
      <w:r w:rsidR="003D228C">
        <w:t> </w:t>
      </w:r>
      <w:r>
        <w:t xml:space="preserve">Cal.App.4th 27, 36 [trial court’s determination </w:t>
      </w:r>
      <w:r w:rsidR="0047431C">
        <w:t xml:space="preserve">that </w:t>
      </w:r>
      <w:r>
        <w:t>plaintiff’s noncompliance with discovery was willful, warranting evidentiary sanctions, was “amply supported” by a record “</w:t>
      </w:r>
      <w:r w:rsidRPr="00C22DE1">
        <w:t>replete with instances of plaintiffs</w:t>
      </w:r>
      <w:r>
        <w:t>’</w:t>
      </w:r>
      <w:r w:rsidRPr="00C22DE1">
        <w:t xml:space="preserve"> attempts to </w:t>
      </w:r>
      <w:r>
        <w:t>. . .</w:t>
      </w:r>
      <w:r w:rsidRPr="00C22DE1">
        <w:t xml:space="preserve"> withhold promised items of discovery</w:t>
      </w:r>
      <w:r>
        <w:t xml:space="preserve">”].)  </w:t>
      </w:r>
      <w:r w:rsidRPr="003A5AAE">
        <w:t>“‘The power to impose discovery sanctions is a broad discretion subject to reversal only for arbitrary, capricious, or whimsical action.</w:t>
      </w:r>
      <w:r>
        <w:t xml:space="preserve">’”  </w:t>
      </w:r>
      <w:r w:rsidRPr="003A5AAE">
        <w:t>(</w:t>
      </w:r>
      <w:r w:rsidRPr="00483D41">
        <w:rPr>
          <w:i/>
          <w:iCs/>
        </w:rPr>
        <w:t>Do It Urself Moving &amp; Storage</w:t>
      </w:r>
      <w:r w:rsidRPr="003A5AAE">
        <w:t>,</w:t>
      </w:r>
      <w:r>
        <w:t xml:space="preserve"> at p.</w:t>
      </w:r>
      <w:r w:rsidR="003D228C">
        <w:t> </w:t>
      </w:r>
      <w:r>
        <w:t xml:space="preserve">36; accord, </w:t>
      </w:r>
      <w:r w:rsidRPr="00796426">
        <w:rPr>
          <w:i/>
          <w:iCs/>
        </w:rPr>
        <w:t>Osborne v. Todd Farm Service</w:t>
      </w:r>
      <w:r>
        <w:t xml:space="preserve"> (2016) 247</w:t>
      </w:r>
      <w:r w:rsidR="003D228C">
        <w:t> </w:t>
      </w:r>
      <w:r>
        <w:t xml:space="preserve">Cal.App.4th 43, 54 [“The question ‘is not whether the trial court should have imposed a lesser sanction; rather the question is whether the trial court abused its discretion by imposing the sanction it chose.’”]; </w:t>
      </w:r>
      <w:r w:rsidRPr="00D25EFB">
        <w:rPr>
          <w:i/>
          <w:iCs/>
        </w:rPr>
        <w:t>Williams v. Russ</w:t>
      </w:r>
      <w:r w:rsidRPr="00680E49">
        <w:t xml:space="preserve"> (2008) 167</w:t>
      </w:r>
      <w:r w:rsidR="003D228C">
        <w:t> </w:t>
      </w:r>
      <w:r w:rsidRPr="00680E49">
        <w:t>Cal.App.4th 1215, 1224</w:t>
      </w:r>
      <w:r>
        <w:t xml:space="preserve"> [“</w:t>
      </w:r>
      <w:r w:rsidRPr="00680E49">
        <w:t>We review the trial court</w:t>
      </w:r>
      <w:r>
        <w:t>’</w:t>
      </w:r>
      <w:r w:rsidRPr="00680E49">
        <w:t xml:space="preserve">s order </w:t>
      </w:r>
      <w:r>
        <w:t>[under section</w:t>
      </w:r>
      <w:r w:rsidR="003D228C">
        <w:t> </w:t>
      </w:r>
      <w:r>
        <w:t xml:space="preserve">2023.030] </w:t>
      </w:r>
      <w:r w:rsidRPr="00680E49">
        <w:t>under the abuse of discretion standard and resolve all evidentiary conflicts most favorably to the trial court</w:t>
      </w:r>
      <w:r>
        <w:t>’</w:t>
      </w:r>
      <w:r w:rsidRPr="00680E49">
        <w:t>s ruling.</w:t>
      </w:r>
      <w:r>
        <w:t>”].</w:t>
      </w:r>
      <w:r w:rsidRPr="00680E49">
        <w:t xml:space="preserve">) </w:t>
      </w:r>
    </w:p>
    <w:p w:rsidR="00AD59C0" w:rsidP="00D413FE" w14:paraId="1C8347B3" w14:textId="6AC8845F">
      <w:pPr>
        <w:ind w:firstLine="720"/>
      </w:pPr>
      <w:r>
        <w:t xml:space="preserve">The Valencias submitted with </w:t>
      </w:r>
      <w:r w:rsidR="00BF3A2F">
        <w:t xml:space="preserve">their reply </w:t>
      </w:r>
      <w:r w:rsidR="003B4350">
        <w:t xml:space="preserve">brief </w:t>
      </w:r>
      <w:r w:rsidR="00BF3A2F">
        <w:t xml:space="preserve">in support of the petition to confirm the arbitration award excerpts of discovery </w:t>
      </w:r>
      <w:r w:rsidR="0047431C">
        <w:t xml:space="preserve">demands and responses, </w:t>
      </w:r>
      <w:r w:rsidR="00DE6C7D">
        <w:t xml:space="preserve">as well as </w:t>
      </w:r>
      <w:r w:rsidR="0047431C">
        <w:t xml:space="preserve">attorney </w:t>
      </w:r>
      <w:r w:rsidR="00BF3A2F">
        <w:t>correspondence</w:t>
      </w:r>
      <w:r w:rsidR="0047431C">
        <w:t>,</w:t>
      </w:r>
      <w:r w:rsidR="00BF3A2F">
        <w:t xml:space="preserve"> </w:t>
      </w:r>
      <w:r w:rsidR="004E2FCF">
        <w:t>showing</w:t>
      </w:r>
      <w:r w:rsidR="00BF3A2F">
        <w:t xml:space="preserve"> that the permit inspection card was responsive to their demands</w:t>
      </w:r>
      <w:r w:rsidR="001E7819">
        <w:t>.  Y</w:t>
      </w:r>
      <w:r w:rsidR="00BF3A2F">
        <w:t xml:space="preserve">et the Mendoza defendants did not produce the annotated inspection card and averred they had no further responsive documents.  After the conclusion of discovery, on the evening before the arbitration, Delaplane produced the annotated inspection card, stating that Mendoza and his fiancée conducted “another search” </w:t>
      </w:r>
      <w:r w:rsidR="004E2FCF">
        <w:t xml:space="preserve">that </w:t>
      </w:r>
      <w:r w:rsidR="007B64AF">
        <w:t xml:space="preserve">day </w:t>
      </w:r>
      <w:r w:rsidR="00BF3A2F">
        <w:t xml:space="preserve">and “found [the inspection card] intermixed with other non-relevant documents.”  On the first day of the hearing, the arbitrator sustained </w:t>
      </w:r>
      <w:r w:rsidR="004E2FCF">
        <w:t xml:space="preserve">the Valencias’ </w:t>
      </w:r>
      <w:r w:rsidR="00401E5B">
        <w:t>objection to the</w:t>
      </w:r>
      <w:r w:rsidR="00BF3A2F">
        <w:t xml:space="preserve"> admission of the inspection card.  </w:t>
      </w:r>
    </w:p>
    <w:p w:rsidR="00BF3A2F" w:rsidRPr="00010A13" w:rsidP="00D413FE" w14:paraId="0EECD086" w14:textId="438D3DA9">
      <w:pPr>
        <w:ind w:firstLine="720"/>
      </w:pPr>
      <w:r>
        <w:t xml:space="preserve">Although the record does not reflect the grounds on which the arbitrator excluded the inspection card, we imply a finding from the order sustaining the objection </w:t>
      </w:r>
      <w:r w:rsidR="004118F5">
        <w:t xml:space="preserve">that </w:t>
      </w:r>
      <w:r w:rsidR="0070206A">
        <w:t>the arbitrator</w:t>
      </w:r>
      <w:r>
        <w:t xml:space="preserve"> found there was sufficient evidence </w:t>
      </w:r>
      <w:r w:rsidR="0070206A">
        <w:t xml:space="preserve">the </w:t>
      </w:r>
      <w:r>
        <w:t xml:space="preserve">Mendoza </w:t>
      </w:r>
      <w:r w:rsidR="0070206A">
        <w:t xml:space="preserve">defendants </w:t>
      </w:r>
      <w:r>
        <w:t xml:space="preserve">willfully </w:t>
      </w:r>
      <w:r w:rsidR="002F6C16">
        <w:t xml:space="preserve">failed to comply with the discovery requests </w:t>
      </w:r>
      <w:r>
        <w:t xml:space="preserve">by withholding the annotated inspection card that </w:t>
      </w:r>
      <w:r w:rsidR="00DD117A">
        <w:t>Mendoza</w:t>
      </w:r>
      <w:r>
        <w:t xml:space="preserve"> previously averred was not in his possession, warranting exclusion of the inspection card.  (See </w:t>
      </w:r>
      <w:r w:rsidRPr="005C0841">
        <w:rPr>
          <w:i/>
          <w:iCs/>
        </w:rPr>
        <w:t>Sabetian v. Exxon Mobil Corp</w:t>
      </w:r>
      <w:r w:rsidR="00715F7D">
        <w:rPr>
          <w:i/>
          <w:iCs/>
        </w:rPr>
        <w:t>.</w:t>
      </w:r>
      <w:r w:rsidRPr="005C0841">
        <w:t xml:space="preserve"> (2020) 57</w:t>
      </w:r>
      <w:r w:rsidR="003D228C">
        <w:t> </w:t>
      </w:r>
      <w:r w:rsidRPr="005C0841">
        <w:t xml:space="preserve">Cal.App.5th 1054, 1084 </w:t>
      </w:r>
      <w:r>
        <w:t>[</w:t>
      </w:r>
      <w:r w:rsidR="00BD7A73">
        <w:t>i</w:t>
      </w:r>
      <w:r>
        <w:t xml:space="preserve">n reviewing the imposition of a discovery sanction for abuse of discretion, </w:t>
      </w:r>
      <w:r w:rsidRPr="005C0841">
        <w:t>“</w:t>
      </w:r>
      <w:r>
        <w:t>‘[w]</w:t>
      </w:r>
      <w:r w:rsidRPr="005C0841">
        <w:t>e view the entire record in the light most favorable to the court</w:t>
      </w:r>
      <w:r>
        <w:t>’</w:t>
      </w:r>
      <w:r w:rsidRPr="005C0841">
        <w:t>s ruling, and draw all reasonable inferences in support of it</w:t>
      </w:r>
      <w:r>
        <w:t xml:space="preserve">’”]; </w:t>
      </w:r>
      <w:r w:rsidR="00A77753">
        <w:t>see</w:t>
      </w:r>
      <w:r w:rsidR="003779E9">
        <w:t xml:space="preserve"> also</w:t>
      </w:r>
      <w:r>
        <w:t xml:space="preserve"> </w:t>
      </w:r>
      <w:r>
        <w:rPr>
          <w:i/>
          <w:iCs/>
        </w:rPr>
        <w:t>Cable Connection, supra</w:t>
      </w:r>
      <w:r>
        <w:t>, 44</w:t>
      </w:r>
      <w:r w:rsidR="003D228C">
        <w:t> </w:t>
      </w:r>
      <w:r>
        <w:t>Cal.4th at p. 1362 [“problems with the record” that might present an obstacle to effective judicial review have “a ready solution in the familiar rule that the decision under review is presumed correct on matters where the record is silent”].)  On this record, we cannot say the arbitrator’s exclusion of the inspection card was an “</w:t>
      </w:r>
      <w:r w:rsidR="00715F7D">
        <w:t>‘</w:t>
      </w:r>
      <w:r w:rsidRPr="003A5AAE">
        <w:t>arbitrary, capricious, or whimsical action.</w:t>
      </w:r>
      <w:r>
        <w:t xml:space="preserve">’”  </w:t>
      </w:r>
      <w:r w:rsidRPr="003A5AAE">
        <w:t>(</w:t>
      </w:r>
      <w:r w:rsidRPr="00483D41">
        <w:rPr>
          <w:i/>
          <w:iCs/>
        </w:rPr>
        <w:t>Do It Urself Moving &amp; Storage</w:t>
      </w:r>
      <w:r>
        <w:rPr>
          <w:i/>
          <w:iCs/>
        </w:rPr>
        <w:t>, supra</w:t>
      </w:r>
      <w:r>
        <w:t>, 7</w:t>
      </w:r>
      <w:r w:rsidR="003D228C">
        <w:t> </w:t>
      </w:r>
      <w:r>
        <w:t>Cal.App.4th at p.</w:t>
      </w:r>
      <w:r w:rsidR="003D228C">
        <w:t> </w:t>
      </w:r>
      <w:r>
        <w:t xml:space="preserve">36; see </w:t>
      </w:r>
      <w:r w:rsidRPr="009B6D6D">
        <w:rPr>
          <w:i/>
          <w:iCs/>
        </w:rPr>
        <w:t>Vallbona v. Springer</w:t>
      </w:r>
      <w:r>
        <w:rPr>
          <w:i/>
          <w:iCs/>
        </w:rPr>
        <w:t>, supra</w:t>
      </w:r>
      <w:r>
        <w:t xml:space="preserve">, </w:t>
      </w:r>
      <w:r w:rsidRPr="009B6D6D">
        <w:t>43</w:t>
      </w:r>
      <w:r w:rsidR="003D228C">
        <w:t> </w:t>
      </w:r>
      <w:r w:rsidRPr="009B6D6D">
        <w:t xml:space="preserve">Cal.App.4th </w:t>
      </w:r>
      <w:r>
        <w:t xml:space="preserve">at </w:t>
      </w:r>
      <w:r w:rsidR="00B127CA">
        <w:t>p</w:t>
      </w:r>
      <w:r>
        <w:t>p.</w:t>
      </w:r>
      <w:r w:rsidR="003D228C">
        <w:t> </w:t>
      </w:r>
      <w:r w:rsidRPr="009B6D6D">
        <w:t>1545</w:t>
      </w:r>
      <w:r w:rsidR="00B127CA">
        <w:t>-1546</w:t>
      </w:r>
      <w:r w:rsidR="00B26E72">
        <w:t xml:space="preserve"> </w:t>
      </w:r>
      <w:r w:rsidRPr="009B6D6D" w:rsidR="00B26E72">
        <w:t>[</w:t>
      </w:r>
      <w:r w:rsidR="00B26E72">
        <w:t>court did not abuse its discretion in excluding evidence as a discovery sanction where defendant failed to respond to requests for production, testified a burglary precluded his compliance, and then produced some purportedly stolen documents]</w:t>
      </w:r>
      <w:r>
        <w:t>.)  Because there was no abuse of discretion, there was no error warranting vacation of the award.</w:t>
      </w:r>
      <w:r>
        <w:rPr>
          <w:rStyle w:val="FootnoteReference"/>
        </w:rPr>
        <w:footnoteReference w:id="22"/>
      </w:r>
    </w:p>
    <w:p w:rsidR="00BF3A2F" w:rsidP="00A34669" w14:paraId="2E085097" w14:textId="77777777">
      <w:pPr>
        <w:pStyle w:val="FootnoteText"/>
      </w:pPr>
    </w:p>
    <w:p w:rsidR="00BF3A2F" w:rsidP="00BF3A2F" w14:paraId="10087545" w14:textId="77777777">
      <w:pPr>
        <w:pStyle w:val="Heading3"/>
      </w:pPr>
      <w:r>
        <w:t>Exclusion of Richmond’s testimony regarding Chapter 34</w:t>
      </w:r>
    </w:p>
    <w:p w:rsidR="00BF3A2F" w:rsidP="00D413FE" w14:paraId="2F878553" w14:textId="37F86B3B">
      <w:pPr>
        <w:ind w:firstLine="720"/>
      </w:pPr>
      <w:r>
        <w:t>When an appropriate demand is made for the exchange of expert witness information, a party is required to disclose the general substance of the testimony the expert is expected to give at trial.  (§</w:t>
      </w:r>
      <w:r w:rsidR="003D228C">
        <w:t> </w:t>
      </w:r>
      <w:r>
        <w:t>2034.260, subd.</w:t>
      </w:r>
      <w:r w:rsidR="003D228C">
        <w:t> </w:t>
      </w:r>
      <w:r>
        <w:t>(c)(2).)  The disclosure allows the opposing party, in taking the expert’s deposition, “to fully explore the relevant subject area . . . and to select an expert who can respond with a competing opinion on that subject area.”  (</w:t>
      </w:r>
      <w:r w:rsidRPr="00305297">
        <w:rPr>
          <w:i/>
          <w:iCs/>
        </w:rPr>
        <w:t>Bonds v. Roy</w:t>
      </w:r>
      <w:r>
        <w:t xml:space="preserve"> (1999) 20</w:t>
      </w:r>
      <w:r w:rsidR="003D228C">
        <w:t> </w:t>
      </w:r>
      <w:r>
        <w:t xml:space="preserve">Cal.4th 140, 146-147; accord, </w:t>
      </w:r>
      <w:r w:rsidRPr="000B2D9F">
        <w:rPr>
          <w:i/>
          <w:iCs/>
        </w:rPr>
        <w:t>Cottini v. Enloe Medical Center</w:t>
      </w:r>
      <w:r>
        <w:t xml:space="preserve"> (2014) 226</w:t>
      </w:r>
      <w:r w:rsidR="003D228C">
        <w:t> </w:t>
      </w:r>
      <w:r>
        <w:t>Cal.App.4th 401, 416.)  If a request is made, a party must “‘“</w:t>
      </w:r>
      <w:r w:rsidR="00722992">
        <w:t>‘</w:t>
      </w:r>
      <w:r>
        <w:t>disclose the substance of the facts and the opinions to which the expert will testify, either in his witness exchange list, or in his deposition, or both.</w:t>
      </w:r>
      <w:r w:rsidR="00722992">
        <w:t>’</w:t>
      </w:r>
      <w:r>
        <w:t>”’”  (</w:t>
      </w:r>
      <w:r w:rsidRPr="00B6058A">
        <w:rPr>
          <w:i/>
          <w:iCs/>
        </w:rPr>
        <w:t xml:space="preserve">Dozier v. Shapiro </w:t>
      </w:r>
      <w:r>
        <w:t>(2011) 199</w:t>
      </w:r>
      <w:r w:rsidR="003D228C">
        <w:t> </w:t>
      </w:r>
      <w:r>
        <w:t xml:space="preserve">Cal.App.4th 1509, 1518-1519; accord, </w:t>
      </w:r>
      <w:r w:rsidRPr="006713C3">
        <w:rPr>
          <w:i/>
          <w:iCs/>
        </w:rPr>
        <w:t>Easterby v. Clark</w:t>
      </w:r>
      <w:r>
        <w:t xml:space="preserve"> (2009) 171</w:t>
      </w:r>
      <w:r w:rsidR="003D228C">
        <w:t> </w:t>
      </w:r>
      <w:r>
        <w:t xml:space="preserve">Cal.App.4th 772, 778; </w:t>
      </w:r>
      <w:r w:rsidRPr="009A1DBD">
        <w:rPr>
          <w:i/>
          <w:iCs/>
        </w:rPr>
        <w:t>Kennemur</w:t>
      </w:r>
      <w:r w:rsidR="00722992">
        <w:rPr>
          <w:i/>
          <w:iCs/>
        </w:rPr>
        <w:t>, supra</w:t>
      </w:r>
      <w:r w:rsidR="00722992">
        <w:t xml:space="preserve">, </w:t>
      </w:r>
      <w:r>
        <w:t>133</w:t>
      </w:r>
      <w:r w:rsidR="003D228C">
        <w:t> </w:t>
      </w:r>
      <w:r>
        <w:t>Cal.App.3d</w:t>
      </w:r>
      <w:r w:rsidR="00722992">
        <w:t xml:space="preserve"> at p.</w:t>
      </w:r>
      <w:r>
        <w:t xml:space="preserve"> 919.)  “‘“When an expert is permitted to testify at trial on a wholly undisclosed subject area, opposing parties . . . lack a fair opportunity to prepare for cross-examination or rebuttal.”’”  (</w:t>
      </w:r>
      <w:r w:rsidRPr="00CE5C52">
        <w:rPr>
          <w:i/>
          <w:iCs/>
        </w:rPr>
        <w:t>Dozier</w:t>
      </w:r>
      <w:r>
        <w:t>, at p.</w:t>
      </w:r>
      <w:r w:rsidR="003D228C">
        <w:t> </w:t>
      </w:r>
      <w:r>
        <w:t xml:space="preserve">1519; see </w:t>
      </w:r>
      <w:r w:rsidRPr="00CE5C52">
        <w:rPr>
          <w:i/>
          <w:iCs/>
        </w:rPr>
        <w:t>Easterby</w:t>
      </w:r>
      <w:r>
        <w:t>, at p. 780.)  An expert opinion at trial exceeding the scope of deposition testimony may be excluded “</w:t>
      </w:r>
      <w:r w:rsidR="00B36235">
        <w:t>‘</w:t>
      </w:r>
      <w:r w:rsidRPr="00444247">
        <w:rPr>
          <w:i/>
          <w:iCs/>
        </w:rPr>
        <w:t>if</w:t>
      </w:r>
      <w:r>
        <w:t xml:space="preserve"> the opposing party has no notice or expectation that the expert will offer the new testimony, or </w:t>
      </w:r>
      <w:r w:rsidRPr="00444247">
        <w:rPr>
          <w:i/>
          <w:iCs/>
        </w:rPr>
        <w:t>if</w:t>
      </w:r>
      <w:r>
        <w:t xml:space="preserve"> notice of the new testimony comes at a time when deposing the expert is unreasonably difficult.</w:t>
      </w:r>
      <w:r w:rsidR="00B36235">
        <w:t>’</w:t>
      </w:r>
      <w:r>
        <w:t>”  (</w:t>
      </w:r>
      <w:r w:rsidRPr="001C10EC" w:rsidR="00B36235">
        <w:rPr>
          <w:i/>
          <w:iCs/>
        </w:rPr>
        <w:t>Dozier</w:t>
      </w:r>
      <w:r w:rsidR="00B36235">
        <w:t xml:space="preserve">, at pp. 1523-1524; accord, </w:t>
      </w:r>
      <w:r w:rsidRPr="001C10EC">
        <w:rPr>
          <w:i/>
          <w:iCs/>
        </w:rPr>
        <w:t>Easterby</w:t>
      </w:r>
      <w:r>
        <w:t>, at p. 780; see §</w:t>
      </w:r>
      <w:r w:rsidR="00B36235">
        <w:t> </w:t>
      </w:r>
      <w:r>
        <w:t>2034.300, subd.</w:t>
      </w:r>
      <w:r w:rsidR="007B64AF">
        <w:t> </w:t>
      </w:r>
      <w:r>
        <w:t xml:space="preserve">(d) </w:t>
      </w:r>
      <w:r w:rsidR="00AF7B9C">
        <w:t>[</w:t>
      </w:r>
      <w:r>
        <w:t>on objection, trial court “shall exclude from evidence the expert opinion of any witness that is offered by a party who has unreasonably failed to do any of the following:</w:t>
      </w:r>
      <w:r w:rsidR="001B061F">
        <w:t xml:space="preserve">  [¶]</w:t>
      </w:r>
      <w:r>
        <w:t xml:space="preserve"> . . . [¶]</w:t>
      </w:r>
      <w:r w:rsidR="003B51AF">
        <w:t xml:space="preserve"> </w:t>
      </w:r>
      <w:r>
        <w:t xml:space="preserve"> </w:t>
      </w:r>
      <w:r w:rsidR="00DE36B2">
        <w:t>[m]ake that expert available for deposition</w:t>
      </w:r>
      <w:r>
        <w:t>”].)  “Except to the extent the trial court bases its ruling on a conclusion of law (which we review de novo), we review its ruling excluding or admitting expert testimony for abuse of discretion.”  (</w:t>
      </w:r>
      <w:r w:rsidRPr="00A52123">
        <w:rPr>
          <w:i/>
          <w:iCs/>
        </w:rPr>
        <w:t>Sargon Enterprises</w:t>
      </w:r>
      <w:r w:rsidR="001B061F">
        <w:rPr>
          <w:i/>
          <w:iCs/>
        </w:rPr>
        <w:t>, Inc.</w:t>
      </w:r>
      <w:r w:rsidRPr="00A52123">
        <w:rPr>
          <w:i/>
          <w:iCs/>
        </w:rPr>
        <w:t xml:space="preserve"> v. University of Southern California</w:t>
      </w:r>
      <w:r w:rsidRPr="00A52123">
        <w:t xml:space="preserve"> (2012) 55</w:t>
      </w:r>
      <w:r w:rsidR="003D228C">
        <w:t> </w:t>
      </w:r>
      <w:r w:rsidRPr="00A52123">
        <w:t>Cal.4th 747</w:t>
      </w:r>
      <w:r w:rsidR="001B061F">
        <w:t>, 773</w:t>
      </w:r>
      <w:r>
        <w:t xml:space="preserve">; accord, </w:t>
      </w:r>
      <w:r w:rsidRPr="00AD61CF">
        <w:rPr>
          <w:i/>
          <w:iCs/>
        </w:rPr>
        <w:t>People v. Rouston</w:t>
      </w:r>
      <w:r>
        <w:t xml:space="preserve"> (2024) 99</w:t>
      </w:r>
      <w:r w:rsidR="003D228C">
        <w:t> </w:t>
      </w:r>
      <w:r>
        <w:t>Cal.App.5th 997, 1010</w:t>
      </w:r>
      <w:r w:rsidR="00DE36B2">
        <w:t>.)</w:t>
      </w:r>
    </w:p>
    <w:p w:rsidR="00BF3A2F" w:rsidRPr="00B55977" w:rsidP="00D413FE" w14:paraId="7D128FE6" w14:textId="298B32AA">
      <w:pPr>
        <w:ind w:firstLine="720"/>
      </w:pPr>
      <w:r>
        <w:t>The Valencias submitted excerpts of Richmond’s deposition in which he testified he had not been asked to give any opinions besides those topics on which he had been designated and deposed</w:t>
      </w:r>
      <w:r w:rsidR="00DA5F2B">
        <w:t>, which did not include Chapter</w:t>
      </w:r>
      <w:r w:rsidR="003D228C">
        <w:t> </w:t>
      </w:r>
      <w:r w:rsidR="00DA5F2B">
        <w:t>34</w:t>
      </w:r>
      <w:r>
        <w:t>.</w:t>
      </w:r>
      <w:r>
        <w:rPr>
          <w:rStyle w:val="FootnoteReference"/>
        </w:rPr>
        <w:footnoteReference w:id="23"/>
      </w:r>
      <w:r w:rsidR="004833DE">
        <w:t xml:space="preserve">  </w:t>
      </w:r>
      <w:r>
        <w:t xml:space="preserve">In response to a supplemental </w:t>
      </w:r>
      <w:r w:rsidRPr="006A1D29">
        <w:t xml:space="preserve">discovery demand </w:t>
      </w:r>
      <w:r w:rsidRPr="006A1D29" w:rsidR="007D4F0A">
        <w:t xml:space="preserve">propounded prior to </w:t>
      </w:r>
      <w:r w:rsidRPr="006A1D29">
        <w:t>the arbitration hearing, Delaplane</w:t>
      </w:r>
      <w:r>
        <w:t xml:space="preserve"> advised Cohen that “our experts </w:t>
      </w:r>
      <w:r w:rsidR="005E02FA">
        <w:t>. . .</w:t>
      </w:r>
      <w:r w:rsidR="005B5BA6">
        <w:t xml:space="preserve"> </w:t>
      </w:r>
      <w:r>
        <w:t xml:space="preserve">will be reviewing your experts’ deposition transcripts in order to assess their respective opinions,” but he refused </w:t>
      </w:r>
      <w:r w:rsidR="00110F7C">
        <w:t>Cohen’s</w:t>
      </w:r>
      <w:r>
        <w:t xml:space="preserve"> demand to make Richmond available for further deposition.  Cohen objected under </w:t>
      </w:r>
      <w:r>
        <w:rPr>
          <w:i/>
          <w:iCs/>
        </w:rPr>
        <w:t>Kennemur, supra</w:t>
      </w:r>
      <w:r>
        <w:t>, 133</w:t>
      </w:r>
      <w:r w:rsidR="00636DA8">
        <w:t> </w:t>
      </w:r>
      <w:r>
        <w:t>Cal.App.3d 907 after Delaplane sought to elicit Richmond’s opinions about Chapter</w:t>
      </w:r>
      <w:r w:rsidR="00636DA8">
        <w:t> </w:t>
      </w:r>
      <w:r>
        <w:t xml:space="preserve">34 at the </w:t>
      </w:r>
      <w:r w:rsidR="004E230F">
        <w:t xml:space="preserve">arbitration </w:t>
      </w:r>
      <w:r>
        <w:t>hearing.</w:t>
      </w:r>
    </w:p>
    <w:p w:rsidR="00516F95" w:rsidP="00D413FE" w14:paraId="4C276716" w14:textId="16CD1A98">
      <w:pPr>
        <w:ind w:firstLine="720"/>
      </w:pPr>
      <w:r>
        <w:t xml:space="preserve">The parties have not provided a record of the arbitrator’s findings in sustaining </w:t>
      </w:r>
      <w:r w:rsidR="00522647">
        <w:t>the Valencias</w:t>
      </w:r>
      <w:r w:rsidR="000255F0">
        <w:t>’</w:t>
      </w:r>
      <w:r>
        <w:t xml:space="preserve"> objection</w:t>
      </w:r>
      <w:r w:rsidR="00522647">
        <w:t xml:space="preserve"> to the testimony</w:t>
      </w:r>
      <w:r>
        <w:t>, but, as discussed, we draw all reasonable inferences in favor of the</w:t>
      </w:r>
      <w:r w:rsidR="004E230F">
        <w:t xml:space="preserve"> arbitrator’s</w:t>
      </w:r>
      <w:r>
        <w:t xml:space="preserve"> order.  (</w:t>
      </w:r>
      <w:r w:rsidRPr="005C0841">
        <w:rPr>
          <w:i/>
          <w:iCs/>
        </w:rPr>
        <w:t>Sabetian v. Exxon Mobil Corporation</w:t>
      </w:r>
      <w:r>
        <w:rPr>
          <w:i/>
          <w:iCs/>
        </w:rPr>
        <w:t>, supra</w:t>
      </w:r>
      <w:r>
        <w:t xml:space="preserve">, </w:t>
      </w:r>
      <w:r w:rsidRPr="005C0841">
        <w:t>57</w:t>
      </w:r>
      <w:r w:rsidR="00636DA8">
        <w:t> </w:t>
      </w:r>
      <w:r w:rsidRPr="005C0841">
        <w:t xml:space="preserve">Cal.App.5th </w:t>
      </w:r>
      <w:r>
        <w:t>at p.</w:t>
      </w:r>
      <w:r w:rsidR="00636DA8">
        <w:t> </w:t>
      </w:r>
      <w:r w:rsidRPr="005C0841">
        <w:t>1084</w:t>
      </w:r>
      <w:r>
        <w:t xml:space="preserve">.)  </w:t>
      </w:r>
      <w:r w:rsidR="00DD2666">
        <w:t xml:space="preserve">In light of the evidence that </w:t>
      </w:r>
      <w:r w:rsidR="00FB3C00">
        <w:t xml:space="preserve">Richmond </w:t>
      </w:r>
      <w:r w:rsidR="00B7350F">
        <w:t>did not disclose that he would testify about the application of Chapter</w:t>
      </w:r>
      <w:r w:rsidR="00636DA8">
        <w:t> </w:t>
      </w:r>
      <w:r w:rsidR="00B7350F">
        <w:t xml:space="preserve">34, and </w:t>
      </w:r>
      <w:r>
        <w:t>the Mendoza defendants</w:t>
      </w:r>
      <w:r w:rsidR="00A045F4">
        <w:t>’</w:t>
      </w:r>
      <w:r>
        <w:t xml:space="preserve"> </w:t>
      </w:r>
      <w:r w:rsidR="00B7350F">
        <w:t>refus</w:t>
      </w:r>
      <w:r w:rsidR="00A045F4">
        <w:t>al</w:t>
      </w:r>
      <w:r w:rsidR="00B7350F">
        <w:t xml:space="preserve"> to make</w:t>
      </w:r>
      <w:r>
        <w:t xml:space="preserve"> Richmond available </w:t>
      </w:r>
      <w:r w:rsidR="00A033C2">
        <w:t xml:space="preserve">to be deposed on </w:t>
      </w:r>
      <w:r w:rsidR="00FD0E02">
        <w:t>the</w:t>
      </w:r>
      <w:r>
        <w:t xml:space="preserve"> </w:t>
      </w:r>
      <w:r w:rsidR="00A033C2">
        <w:t xml:space="preserve">additional </w:t>
      </w:r>
      <w:r>
        <w:t xml:space="preserve">opinions </w:t>
      </w:r>
      <w:r w:rsidR="00A033C2">
        <w:t xml:space="preserve">he intended to provide </w:t>
      </w:r>
      <w:r w:rsidR="00FB3C00">
        <w:t>in response to</w:t>
      </w:r>
      <w:r>
        <w:t xml:space="preserve"> Nelson’s opinions</w:t>
      </w:r>
      <w:r w:rsidR="00294304">
        <w:t xml:space="preserve"> (which had been disclosed)</w:t>
      </w:r>
      <w:r>
        <w:t xml:space="preserve">, the arbitrator </w:t>
      </w:r>
      <w:r w:rsidR="00FD0E02">
        <w:t xml:space="preserve">did not </w:t>
      </w:r>
      <w:r>
        <w:t xml:space="preserve">abuse her discretion in </w:t>
      </w:r>
      <w:r w:rsidR="00294304">
        <w:t xml:space="preserve">excluding the </w:t>
      </w:r>
      <w:r>
        <w:t>testimony.  (</w:t>
      </w:r>
      <w:r w:rsidR="00AF5F06">
        <w:t>See</w:t>
      </w:r>
      <w:r>
        <w:t xml:space="preserve"> </w:t>
      </w:r>
      <w:r w:rsidRPr="0020334A">
        <w:rPr>
          <w:i/>
          <w:iCs/>
        </w:rPr>
        <w:t>Dozier v. Shapiro, supra</w:t>
      </w:r>
      <w:r>
        <w:t>,</w:t>
      </w:r>
      <w:r w:rsidR="00203B72">
        <w:t xml:space="preserve"> </w:t>
      </w:r>
      <w:r w:rsidRPr="0020334A">
        <w:t>199</w:t>
      </w:r>
      <w:r w:rsidR="00636DA8">
        <w:t> </w:t>
      </w:r>
      <w:r w:rsidRPr="00B145A8">
        <w:t xml:space="preserve">Cal.App.4th </w:t>
      </w:r>
      <w:r>
        <w:t>at p.</w:t>
      </w:r>
      <w:r w:rsidR="00636DA8">
        <w:t> </w:t>
      </w:r>
      <w:r w:rsidRPr="00B145A8">
        <w:t xml:space="preserve">1524 </w:t>
      </w:r>
      <w:r>
        <w:t>[trial court did not abuse its discretion in limiting plaintiff’s expert’s testimony where plaintiff’s counsel “</w:t>
      </w:r>
      <w:r w:rsidRPr="00B145A8">
        <w:t xml:space="preserve">never informed defendants about </w:t>
      </w:r>
      <w:r>
        <w:t>[expert’s]</w:t>
      </w:r>
      <w:r w:rsidRPr="00B145A8">
        <w:t xml:space="preserve"> postdeposition change of testimony, and therefore never gave them the opportunity to request a renewed deposition on that subject</w:t>
      </w:r>
      <w:r>
        <w:t>”].)</w:t>
      </w:r>
    </w:p>
    <w:p w:rsidR="003B51AF" w:rsidP="00AC51DC" w14:paraId="448B884A" w14:textId="77777777">
      <w:pPr>
        <w:keepNext/>
        <w:jc w:val="center"/>
        <w:outlineLvl w:val="0"/>
        <w:rPr>
          <w:b/>
        </w:rPr>
      </w:pPr>
    </w:p>
    <w:p w:rsidR="002F078B" w:rsidP="00AC51DC" w14:paraId="2E045D5E" w14:textId="153C4764">
      <w:pPr>
        <w:keepNext/>
        <w:jc w:val="center"/>
        <w:outlineLvl w:val="0"/>
        <w:rPr>
          <w:b/>
        </w:rPr>
      </w:pPr>
      <w:r w:rsidRPr="00E30EA7">
        <w:rPr>
          <w:b/>
        </w:rPr>
        <w:t>DISPOSITION</w:t>
      </w:r>
    </w:p>
    <w:p w:rsidR="002F078B" w:rsidRPr="000953BF" w:rsidP="00AC51DC" w14:paraId="787E99E4" w14:textId="77777777">
      <w:pPr>
        <w:keepNext/>
      </w:pPr>
    </w:p>
    <w:p w:rsidR="00D4177C" w:rsidP="00AC51DC" w14:paraId="2BE2A941" w14:textId="6B87FFE4">
      <w:pPr>
        <w:ind w:firstLine="720"/>
      </w:pPr>
      <w:r>
        <w:t xml:space="preserve">We </w:t>
      </w:r>
      <w:r w:rsidR="0042039E">
        <w:t xml:space="preserve">affirm the </w:t>
      </w:r>
      <w:r w:rsidR="00C230AB">
        <w:t>September</w:t>
      </w:r>
      <w:r w:rsidR="00636DA8">
        <w:t> </w:t>
      </w:r>
      <w:r w:rsidR="00C230AB">
        <w:t>2</w:t>
      </w:r>
      <w:r w:rsidR="00D3139F">
        <w:t>8</w:t>
      </w:r>
      <w:r w:rsidR="00C230AB">
        <w:t xml:space="preserve">, 2022 order confirming the </w:t>
      </w:r>
      <w:r w:rsidR="00B642B0">
        <w:t xml:space="preserve">arbitration </w:t>
      </w:r>
      <w:r w:rsidR="00C230AB">
        <w:t xml:space="preserve">award and the </w:t>
      </w:r>
      <w:r w:rsidR="0042039E">
        <w:t xml:space="preserve">judgment.  </w:t>
      </w:r>
      <w:r w:rsidR="00C230AB">
        <w:t xml:space="preserve">The Valencias are </w:t>
      </w:r>
      <w:r w:rsidR="00343004">
        <w:t xml:space="preserve">entitled to </w:t>
      </w:r>
      <w:r w:rsidR="00ED00C7">
        <w:t xml:space="preserve">recover </w:t>
      </w:r>
      <w:r w:rsidR="002B4319">
        <w:t>their</w:t>
      </w:r>
      <w:r w:rsidRPr="009100BE">
        <w:t xml:space="preserve"> costs on appeal</w:t>
      </w:r>
      <w:r w:rsidR="00343004">
        <w:t>.</w:t>
      </w:r>
    </w:p>
    <w:p w:rsidR="00CB702E" w:rsidP="00AC51DC" w14:paraId="2D005C44" w14:textId="77777777"/>
    <w:p w:rsidR="00B34F1D" w:rsidP="00AC51DC" w14:paraId="17853B39" w14:textId="77777777">
      <w:pPr>
        <w:ind w:firstLine="720"/>
        <w:rPr>
          <w:szCs w:val="26"/>
        </w:rPr>
      </w:pPr>
    </w:p>
    <w:p w:rsidR="00A901FA" w:rsidP="00AC51DC" w14:paraId="24E339BF" w14:textId="77777777">
      <w:pPr>
        <w:ind w:firstLine="720"/>
        <w:rPr>
          <w:szCs w:val="26"/>
        </w:rPr>
      </w:pPr>
    </w:p>
    <w:p w:rsidR="002F078B" w:rsidRPr="00E30EA7" w:rsidP="00AC51DC" w14:paraId="01E06803" w14:textId="305DBF6B">
      <w:pPr>
        <w:ind w:firstLine="720"/>
        <w:rPr>
          <w:szCs w:val="26"/>
        </w:rPr>
      </w:pPr>
      <w:r w:rsidRPr="00E30EA7">
        <w:rPr>
          <w:szCs w:val="26"/>
        </w:rPr>
        <w:tab/>
      </w:r>
      <w:r w:rsidRPr="00E30EA7">
        <w:rPr>
          <w:szCs w:val="26"/>
        </w:rPr>
        <w:tab/>
      </w:r>
      <w:r w:rsidRPr="00E30EA7">
        <w:rPr>
          <w:szCs w:val="26"/>
        </w:rPr>
        <w:tab/>
      </w:r>
      <w:r w:rsidRPr="00E30EA7">
        <w:rPr>
          <w:szCs w:val="26"/>
        </w:rPr>
        <w:tab/>
      </w:r>
      <w:r w:rsidRPr="00E30EA7">
        <w:rPr>
          <w:szCs w:val="26"/>
        </w:rPr>
        <w:tab/>
        <w:t>FEUER, J.</w:t>
      </w:r>
    </w:p>
    <w:p w:rsidR="002F078B" w:rsidRPr="00E30EA7" w:rsidP="00AC51DC" w14:paraId="1902DD43" w14:textId="77777777">
      <w:pPr>
        <w:rPr>
          <w:szCs w:val="26"/>
        </w:rPr>
      </w:pPr>
      <w:r w:rsidRPr="00E30EA7">
        <w:rPr>
          <w:szCs w:val="26"/>
        </w:rPr>
        <w:t>We concur:</w:t>
      </w:r>
    </w:p>
    <w:p w:rsidR="00630316" w:rsidP="00AC51DC" w14:paraId="74E873FA" w14:textId="121FB268">
      <w:pPr>
        <w:rPr>
          <w:szCs w:val="26"/>
        </w:rPr>
      </w:pPr>
    </w:p>
    <w:p w:rsidR="00A901FA" w:rsidP="00AC51DC" w14:paraId="5EDE6126" w14:textId="77777777">
      <w:pPr>
        <w:rPr>
          <w:szCs w:val="26"/>
        </w:rPr>
      </w:pPr>
    </w:p>
    <w:p w:rsidR="00A901FA" w:rsidP="00AC51DC" w14:paraId="3A90158E" w14:textId="77777777">
      <w:pPr>
        <w:rPr>
          <w:szCs w:val="26"/>
        </w:rPr>
      </w:pPr>
    </w:p>
    <w:p w:rsidR="001A1E74" w:rsidRPr="005D4847" w:rsidP="00AC51DC" w14:paraId="5A5DD07A" w14:textId="276F704B">
      <w:pPr>
        <w:ind w:left="720" w:firstLine="720"/>
        <w:rPr>
          <w:szCs w:val="26"/>
        </w:rPr>
      </w:pPr>
      <w:r w:rsidRPr="005D4847">
        <w:rPr>
          <w:szCs w:val="26"/>
        </w:rPr>
        <w:t>MARTINEZ,</w:t>
      </w:r>
      <w:r w:rsidRPr="005D4847" w:rsidR="002F078B">
        <w:rPr>
          <w:szCs w:val="26"/>
        </w:rPr>
        <w:t xml:space="preserve"> P. J.</w:t>
      </w:r>
    </w:p>
    <w:p w:rsidR="00BA2072" w:rsidP="00AC51DC" w14:paraId="035444A6" w14:textId="52DA52A5">
      <w:pPr>
        <w:ind w:left="720" w:firstLine="720"/>
        <w:rPr>
          <w:szCs w:val="26"/>
        </w:rPr>
      </w:pPr>
    </w:p>
    <w:p w:rsidR="00A901FA" w:rsidP="00AC51DC" w14:paraId="56DFF851" w14:textId="77777777">
      <w:pPr>
        <w:ind w:left="720" w:firstLine="720"/>
        <w:rPr>
          <w:szCs w:val="26"/>
        </w:rPr>
      </w:pPr>
    </w:p>
    <w:p w:rsidR="00A901FA" w:rsidRPr="005D4847" w:rsidP="00AC51DC" w14:paraId="411A9053" w14:textId="77777777">
      <w:pPr>
        <w:ind w:left="720" w:firstLine="720"/>
        <w:rPr>
          <w:szCs w:val="26"/>
        </w:rPr>
      </w:pPr>
    </w:p>
    <w:p w:rsidR="00CC6BC1" w:rsidRPr="00071632" w:rsidP="00FB65FE" w14:paraId="7CE828B8" w14:textId="41B734ED">
      <w:pPr>
        <w:ind w:left="720" w:firstLine="720"/>
        <w:rPr>
          <w:szCs w:val="26"/>
          <w:vertAlign w:val="superscript"/>
        </w:rPr>
      </w:pPr>
      <w:r>
        <w:rPr>
          <w:szCs w:val="26"/>
        </w:rPr>
        <w:t>SEGAL</w:t>
      </w:r>
      <w:r w:rsidRPr="00071632" w:rsidR="00CB702E">
        <w:rPr>
          <w:szCs w:val="26"/>
        </w:rPr>
        <w:t>, J.</w:t>
      </w:r>
    </w:p>
    <w:sectPr w:rsidSect="00567975">
      <w:footerReference w:type="default" r:id="rId9"/>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vanish/>
        <w:highlight w:val="yellow"/>
      </w:rPr>
      <w:id w:val="1209537388"/>
      <w:docPartObj>
        <w:docPartGallery w:val="Page Numbers (Bottom of Page)"/>
        <w:docPartUnique/>
      </w:docPartObj>
    </w:sdtPr>
    <w:sdtEndPr>
      <w:rPr>
        <w:noProof/>
        <w:sz w:val="18"/>
        <w:szCs w:val="18"/>
      </w:rPr>
    </w:sdtEndPr>
    <w:sdtContent>
      <w:p w:rsidR="00413AD1" w:rsidRPr="00567975" w:rsidP="00567975" w14:paraId="791033CF" w14:textId="69BE2465">
        <w:pPr>
          <w:pStyle w:val="Footer"/>
          <w:jc w:val="center"/>
          <w:rPr>
            <w:noProof/>
            <w:sz w:val="26"/>
            <w:szCs w:val="26"/>
          </w:rPr>
        </w:pPr>
        <w:r w:rsidRPr="00663E39">
          <w:rPr>
            <w:sz w:val="26"/>
            <w:szCs w:val="26"/>
          </w:rPr>
          <w:fldChar w:fldCharType="begin"/>
        </w:r>
        <w:r w:rsidRPr="00663E39">
          <w:rPr>
            <w:sz w:val="26"/>
            <w:szCs w:val="26"/>
          </w:rPr>
          <w:instrText xml:space="preserve"> PAGE   \* MERGEFORMAT </w:instrText>
        </w:r>
        <w:r w:rsidRPr="00663E39">
          <w:rPr>
            <w:sz w:val="26"/>
            <w:szCs w:val="26"/>
          </w:rPr>
          <w:fldChar w:fldCharType="separate"/>
        </w:r>
        <w:r w:rsidR="000A05B1">
          <w:rPr>
            <w:noProof/>
            <w:sz w:val="26"/>
            <w:szCs w:val="26"/>
          </w:rPr>
          <w:t>2</w:t>
        </w:r>
        <w:r w:rsidRPr="00663E39">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2B5B" w:rsidP="00742A0C" w14:paraId="0BF41C5A" w14:textId="77777777">
      <w:pPr>
        <w:spacing w:line="240" w:lineRule="auto"/>
      </w:pPr>
      <w:r>
        <w:separator/>
      </w:r>
    </w:p>
  </w:footnote>
  <w:footnote w:type="continuationSeparator" w:id="1">
    <w:p w:rsidR="00682B5B" w:rsidP="00742A0C" w14:paraId="5800FF27" w14:textId="77777777">
      <w:pPr>
        <w:spacing w:line="240" w:lineRule="auto"/>
      </w:pPr>
      <w:r>
        <w:continuationSeparator/>
      </w:r>
    </w:p>
  </w:footnote>
  <w:footnote w:type="continuationNotice" w:id="2">
    <w:p w:rsidR="00682B5B" w14:paraId="4F03EBBE" w14:textId="77777777">
      <w:pPr>
        <w:spacing w:line="240" w:lineRule="auto"/>
      </w:pPr>
    </w:p>
  </w:footnote>
  <w:footnote w:id="3">
    <w:p w:rsidR="00AD378A" w:rsidRPr="00660F53" w14:paraId="3E1D2586" w14:textId="001306CE">
      <w:pPr>
        <w:pStyle w:val="FootnoteText"/>
        <w:rPr>
          <w:lang w:val="en-US"/>
        </w:rPr>
      </w:pPr>
      <w:r>
        <w:rPr>
          <w:rStyle w:val="FootnoteReference"/>
        </w:rPr>
        <w:footnoteRef/>
      </w:r>
      <w:r>
        <w:t xml:space="preserve"> </w:t>
      </w:r>
      <w:r>
        <w:rPr>
          <w:lang w:val="en-US"/>
        </w:rPr>
        <w:tab/>
        <w:t>Further undesignated statutory references are to the Code of Civil Procedure.</w:t>
      </w:r>
    </w:p>
  </w:footnote>
  <w:footnote w:id="4">
    <w:p w:rsidR="00504242" w:rsidRPr="00504242" w:rsidP="00A34669" w14:paraId="4D03C0FC" w14:textId="118E509C">
      <w:pPr>
        <w:pStyle w:val="FootnoteText"/>
      </w:pPr>
      <w:r>
        <w:rPr>
          <w:rStyle w:val="FootnoteReference"/>
        </w:rPr>
        <w:footnoteRef/>
      </w:r>
      <w:r>
        <w:t xml:space="preserve"> </w:t>
      </w:r>
      <w:r>
        <w:tab/>
        <w:t xml:space="preserve">Our recitation of the facts </w:t>
      </w:r>
      <w:r w:rsidR="00783B0E">
        <w:t>underlying the dispute</w:t>
      </w:r>
      <w:r>
        <w:t xml:space="preserve"> is taken from the arbitrator’s </w:t>
      </w:r>
      <w:r w:rsidR="00E45907">
        <w:t>findings of fact in the arbitration</w:t>
      </w:r>
      <w:r>
        <w:t xml:space="preserve"> award</w:t>
      </w:r>
      <w:r w:rsidR="00783B0E">
        <w:t xml:space="preserve"> and, except as </w:t>
      </w:r>
      <w:r w:rsidR="008A3DA8">
        <w:t>noted</w:t>
      </w:r>
      <w:r w:rsidR="00783B0E">
        <w:t xml:space="preserve">, are undisputed </w:t>
      </w:r>
      <w:r>
        <w:t>for the purpose of the appeal.</w:t>
      </w:r>
    </w:p>
  </w:footnote>
  <w:footnote w:id="5">
    <w:p w:rsidR="00EE6558" w:rsidRPr="00EE6558" w:rsidP="00A34669" w14:paraId="4A428AEC" w14:textId="28A94C35">
      <w:pPr>
        <w:pStyle w:val="FootnoteText"/>
      </w:pPr>
      <w:r>
        <w:rPr>
          <w:rStyle w:val="FootnoteReference"/>
        </w:rPr>
        <w:footnoteRef/>
      </w:r>
      <w:r>
        <w:t xml:space="preserve"> </w:t>
      </w:r>
      <w:r>
        <w:tab/>
      </w:r>
      <w:r w:rsidRPr="00EE6558">
        <w:t>Merriam-Webster dictionary defines “</w:t>
      </w:r>
      <w:r>
        <w:t>flip</w:t>
      </w:r>
      <w:r w:rsidRPr="00EE6558">
        <w:t xml:space="preserve">” </w:t>
      </w:r>
      <w:r>
        <w:t xml:space="preserve">in </w:t>
      </w:r>
      <w:r w:rsidR="002D2540">
        <w:t xml:space="preserve">relevant context as follows: </w:t>
      </w:r>
      <w:r w:rsidRPr="00EE6558">
        <w:t>“</w:t>
      </w:r>
      <w:r w:rsidR="002D2540">
        <w:t>[T]</w:t>
      </w:r>
      <w:r w:rsidRPr="003C58B4" w:rsidR="003C58B4">
        <w:t>o buy and usually renovate (real estate) so as to quickly resell at a higher price</w:t>
      </w:r>
      <w:r w:rsidRPr="00EE6558">
        <w:t xml:space="preserve">.” </w:t>
      </w:r>
      <w:r w:rsidR="003C58B4">
        <w:t xml:space="preserve"> </w:t>
      </w:r>
      <w:r w:rsidRPr="00EE6558">
        <w:t>(Merriam-Webster</w:t>
      </w:r>
      <w:r w:rsidR="003C58B4">
        <w:t>’</w:t>
      </w:r>
      <w:r w:rsidRPr="00EE6558">
        <w:t>s Online Dict. (202</w:t>
      </w:r>
      <w:r w:rsidR="0095060D">
        <w:t>4</w:t>
      </w:r>
      <w:r w:rsidRPr="00EE6558">
        <w:t>) &lt;https://www.merriam-webster.com/dictionary/</w:t>
      </w:r>
      <w:r w:rsidR="003C58B4">
        <w:t>flip</w:t>
      </w:r>
      <w:r w:rsidR="0014161A">
        <w:t>&gt;</w:t>
      </w:r>
      <w:r w:rsidRPr="00EE6558">
        <w:t xml:space="preserve"> [as of </w:t>
      </w:r>
      <w:r w:rsidR="00120B02">
        <w:t>July 1</w:t>
      </w:r>
      <w:r w:rsidRPr="00120B02" w:rsidR="0095060D">
        <w:t>, 2024</w:t>
      </w:r>
      <w:r w:rsidRPr="00EE6558">
        <w:t>].)</w:t>
      </w:r>
    </w:p>
  </w:footnote>
  <w:footnote w:id="6">
    <w:p w:rsidR="00AD1602" w:rsidRPr="00AD1602" w:rsidP="00A34669" w14:paraId="1A3BB0A5" w14:textId="30910612">
      <w:pPr>
        <w:pStyle w:val="FootnoteText"/>
      </w:pPr>
      <w:r>
        <w:rPr>
          <w:rStyle w:val="FootnoteReference"/>
        </w:rPr>
        <w:footnoteRef/>
      </w:r>
      <w:r>
        <w:t xml:space="preserve"> </w:t>
      </w:r>
      <w:r>
        <w:tab/>
        <w:t>On our own motion we augment the record to include the Valencias</w:t>
      </w:r>
      <w:r w:rsidR="00443ECF">
        <w:t>’</w:t>
      </w:r>
      <w:r>
        <w:t xml:space="preserve"> </w:t>
      </w:r>
      <w:r w:rsidR="0042086B">
        <w:t xml:space="preserve">complaint filed on October 2, 2018 in the superior court.  </w:t>
      </w:r>
      <w:r w:rsidRPr="00041183" w:rsidR="00041183">
        <w:t>(Cal. Rules of Court, rule 8.155(a)(1)(A).)</w:t>
      </w:r>
    </w:p>
  </w:footnote>
  <w:footnote w:id="7">
    <w:p w:rsidR="00583B9A" w:rsidRPr="00583B9A" w:rsidP="00A34669" w14:paraId="5C1F655D" w14:textId="5C236ADD">
      <w:pPr>
        <w:pStyle w:val="FootnoteText"/>
      </w:pPr>
      <w:r>
        <w:rPr>
          <w:rStyle w:val="FootnoteReference"/>
        </w:rPr>
        <w:footnoteRef/>
      </w:r>
      <w:r>
        <w:t xml:space="preserve"> </w:t>
      </w:r>
      <w:r>
        <w:tab/>
      </w:r>
      <w:r w:rsidR="00FD1806">
        <w:t>The arbitrator issued an interim award</w:t>
      </w:r>
      <w:r w:rsidR="008E4408">
        <w:t xml:space="preserve"> in February</w:t>
      </w:r>
      <w:r w:rsidR="00103143">
        <w:t> </w:t>
      </w:r>
      <w:r w:rsidR="008E4408">
        <w:t xml:space="preserve">2022 </w:t>
      </w:r>
      <w:r w:rsidR="00624B8E">
        <w:t>addressing liability</w:t>
      </w:r>
      <w:r w:rsidR="00B37B92">
        <w:t>,</w:t>
      </w:r>
      <w:r w:rsidR="00624B8E">
        <w:t xml:space="preserve"> </w:t>
      </w:r>
      <w:r w:rsidR="008E4408">
        <w:t xml:space="preserve">and </w:t>
      </w:r>
      <w:r w:rsidR="00B37B92">
        <w:t xml:space="preserve">she </w:t>
      </w:r>
      <w:r w:rsidR="00624B8E">
        <w:t xml:space="preserve">subsequently </w:t>
      </w:r>
      <w:r w:rsidR="008E4408">
        <w:t xml:space="preserve">entered separate rulings on </w:t>
      </w:r>
      <w:r w:rsidR="00EA14D5">
        <w:t>punitive damages and attorneys’ fees and costs,</w:t>
      </w:r>
      <w:r w:rsidR="007B2B44">
        <w:t xml:space="preserve"> which were incorporated into the final award. </w:t>
      </w:r>
    </w:p>
  </w:footnote>
  <w:footnote w:id="8">
    <w:p w:rsidR="00CE1844" w:rsidRPr="00CE1844" w:rsidP="00A34669" w14:paraId="33C677D8" w14:textId="62CFB656">
      <w:pPr>
        <w:pStyle w:val="FootnoteText"/>
      </w:pPr>
      <w:r>
        <w:rPr>
          <w:rStyle w:val="FootnoteReference"/>
        </w:rPr>
        <w:footnoteRef/>
      </w:r>
      <w:r>
        <w:t xml:space="preserve"> </w:t>
      </w:r>
      <w:r>
        <w:tab/>
      </w:r>
      <w:r w:rsidR="002D3B33">
        <w:t>The arbitrator found the monetary damages sustained due to the undisclosed defects</w:t>
      </w:r>
      <w:r w:rsidR="00BF630A">
        <w:t xml:space="preserve"> </w:t>
      </w:r>
      <w:r w:rsidR="00856015">
        <w:t>exceeded $390</w:t>
      </w:r>
      <w:r w:rsidR="006A4BE1">
        <w:t>,000</w:t>
      </w:r>
      <w:r w:rsidR="00C354CC">
        <w:t xml:space="preserve"> but </w:t>
      </w:r>
      <w:r w:rsidR="006A4BE1">
        <w:t xml:space="preserve">reasoned </w:t>
      </w:r>
      <w:r w:rsidR="00C354CC">
        <w:t xml:space="preserve">that awarding the full amount </w:t>
      </w:r>
      <w:r w:rsidR="00BF630A">
        <w:t>plus damages for the</w:t>
      </w:r>
      <w:r w:rsidR="00E81C05">
        <w:t xml:space="preserve"> </w:t>
      </w:r>
      <w:r w:rsidR="00007DDE">
        <w:t xml:space="preserve">impairment in the home’s value </w:t>
      </w:r>
      <w:r w:rsidR="0011024F">
        <w:t>would “result in serious double counting”</w:t>
      </w:r>
      <w:r w:rsidR="00007DDE">
        <w:t>;</w:t>
      </w:r>
      <w:r w:rsidR="0011024F">
        <w:t xml:space="preserve"> accordingly</w:t>
      </w:r>
      <w:r w:rsidR="00007DDE">
        <w:t>,</w:t>
      </w:r>
      <w:r w:rsidR="0011024F">
        <w:t xml:space="preserve"> </w:t>
      </w:r>
      <w:r w:rsidR="00BF630A">
        <w:t xml:space="preserve">the </w:t>
      </w:r>
      <w:r w:rsidR="00007DDE">
        <w:t>arbitrator</w:t>
      </w:r>
      <w:r w:rsidR="00BF630A">
        <w:t xml:space="preserve"> </w:t>
      </w:r>
      <w:r w:rsidR="0011024F">
        <w:t>discounted the cost of repairs by</w:t>
      </w:r>
      <w:r w:rsidR="00BF630A">
        <w:t xml:space="preserve"> approximately</w:t>
      </w:r>
      <w:r w:rsidR="0011024F">
        <w:t xml:space="preserve"> </w:t>
      </w:r>
      <w:r w:rsidR="002D7BC5">
        <w:t>$260</w:t>
      </w:r>
      <w:r w:rsidR="00BF630A">
        <w:t>,000.</w:t>
      </w:r>
      <w:r w:rsidR="002D7BC5">
        <w:t xml:space="preserve"> </w:t>
      </w:r>
    </w:p>
  </w:footnote>
  <w:footnote w:id="9">
    <w:p w:rsidR="00835CAF" w:rsidRPr="00835CAF" w:rsidP="00A34669" w14:paraId="4D80BB48" w14:textId="6F1F9FE3">
      <w:pPr>
        <w:pStyle w:val="FootnoteText"/>
      </w:pPr>
      <w:r>
        <w:rPr>
          <w:rStyle w:val="FootnoteReference"/>
        </w:rPr>
        <w:footnoteRef/>
      </w:r>
      <w:r>
        <w:t xml:space="preserve"> </w:t>
      </w:r>
      <w:r>
        <w:tab/>
      </w:r>
      <w:r w:rsidR="000371EE">
        <w:t>On appeal, t</w:t>
      </w:r>
      <w:r>
        <w:t xml:space="preserve">he </w:t>
      </w:r>
      <w:r w:rsidR="00241EB2">
        <w:t xml:space="preserve">parties do not dispute that </w:t>
      </w:r>
      <w:r w:rsidR="000371EE">
        <w:t>the Mendoza</w:t>
      </w:r>
      <w:r w:rsidR="007B57CD">
        <w:rPr>
          <w:lang w:val="en-US"/>
        </w:rPr>
        <w:t xml:space="preserve"> defendant</w:t>
      </w:r>
      <w:r w:rsidR="005D6065">
        <w:rPr>
          <w:lang w:val="en-US"/>
        </w:rPr>
        <w:t>s</w:t>
      </w:r>
      <w:r w:rsidR="000371EE">
        <w:t>’ September 14, 2022 opposition was timely under section</w:t>
      </w:r>
      <w:r w:rsidR="005B6F5F">
        <w:t> </w:t>
      </w:r>
      <w:r w:rsidR="008902EC">
        <w:t xml:space="preserve">1290.6 </w:t>
      </w:r>
      <w:r w:rsidR="005B4949">
        <w:t>(</w:t>
      </w:r>
      <w:r w:rsidR="00DE2A4D">
        <w:t>providing that a response to a petition to confirm an arbitration award shall be served and filed within 10</w:t>
      </w:r>
      <w:r w:rsidR="005B6F5F">
        <w:t> </w:t>
      </w:r>
      <w:r w:rsidR="00DE2A4D">
        <w:t>days after service of the petition</w:t>
      </w:r>
      <w:r w:rsidR="00BE7034">
        <w:t>, unless extend</w:t>
      </w:r>
      <w:r w:rsidR="005B4949">
        <w:t>ed</w:t>
      </w:r>
      <w:r w:rsidR="00BE7034">
        <w:t xml:space="preserve"> by </w:t>
      </w:r>
      <w:r w:rsidR="005B4949">
        <w:t>agreement</w:t>
      </w:r>
      <w:r w:rsidR="00BE7034">
        <w:t xml:space="preserve"> </w:t>
      </w:r>
      <w:r w:rsidR="00682FE0">
        <w:t xml:space="preserve">of the parties </w:t>
      </w:r>
      <w:r w:rsidR="00BE7034">
        <w:t>or a court order</w:t>
      </w:r>
      <w:r w:rsidR="005B4949">
        <w:t>)</w:t>
      </w:r>
      <w:r w:rsidR="00DB4E3E">
        <w:t xml:space="preserve">.  The parties had </w:t>
      </w:r>
      <w:r w:rsidR="00647027">
        <w:t xml:space="preserve">agreed </w:t>
      </w:r>
      <w:r w:rsidR="005B4949">
        <w:t>to</w:t>
      </w:r>
      <w:r w:rsidR="00647027">
        <w:t xml:space="preserve"> a two-day extension of </w:t>
      </w:r>
      <w:r w:rsidR="005228A9">
        <w:t xml:space="preserve">the </w:t>
      </w:r>
      <w:r w:rsidR="005B4949">
        <w:t>service</w:t>
      </w:r>
      <w:r w:rsidR="00647027">
        <w:t xml:space="preserve"> deadline as part of their electronic service agreement. </w:t>
      </w:r>
      <w:r w:rsidR="000371EE">
        <w:t xml:space="preserve"> </w:t>
      </w:r>
      <w:r w:rsidR="005205C5">
        <w:t xml:space="preserve"> </w:t>
      </w:r>
    </w:p>
  </w:footnote>
  <w:footnote w:id="10">
    <w:p w:rsidR="001F1229" w:rsidRPr="001F1229" w:rsidP="00A34669" w14:paraId="274F6970" w14:textId="119C29E0">
      <w:pPr>
        <w:pStyle w:val="FootnoteText"/>
      </w:pPr>
      <w:r>
        <w:rPr>
          <w:rStyle w:val="FootnoteReference"/>
        </w:rPr>
        <w:footnoteRef/>
      </w:r>
      <w:r>
        <w:t xml:space="preserve"> </w:t>
      </w:r>
      <w:r>
        <w:tab/>
        <w:t xml:space="preserve">The Mendoza defendants did not </w:t>
      </w:r>
      <w:r w:rsidR="00D658D8">
        <w:t xml:space="preserve">address the judicial standard of review of an arbitration award or </w:t>
      </w:r>
      <w:r w:rsidR="00F54845">
        <w:t xml:space="preserve">note that the parties agreed to expand judicial review under </w:t>
      </w:r>
      <w:r w:rsidRPr="0096109E" w:rsidR="00F64E44">
        <w:rPr>
          <w:i/>
          <w:iCs/>
        </w:rPr>
        <w:t xml:space="preserve">Cable Connection, </w:t>
      </w:r>
      <w:r w:rsidRPr="00F64E44" w:rsidR="00F64E44">
        <w:rPr>
          <w:i/>
          <w:iCs/>
        </w:rPr>
        <w:t>supra</w:t>
      </w:r>
      <w:r w:rsidR="00F64E44">
        <w:t>, 44</w:t>
      </w:r>
      <w:r w:rsidR="005B6F5F">
        <w:t> </w:t>
      </w:r>
      <w:r w:rsidR="00F64E44">
        <w:t>Cal.4th 1334.</w:t>
      </w:r>
    </w:p>
  </w:footnote>
  <w:footnote w:id="11">
    <w:p w:rsidR="00D054EE" w:rsidRPr="00D054EE" w:rsidP="00A34669" w14:paraId="7181D4D1" w14:textId="0A4B07AD">
      <w:pPr>
        <w:pStyle w:val="FootnoteText"/>
      </w:pPr>
      <w:r>
        <w:rPr>
          <w:rStyle w:val="FootnoteReference"/>
        </w:rPr>
        <w:footnoteRef/>
      </w:r>
      <w:r>
        <w:t xml:space="preserve"> </w:t>
      </w:r>
      <w:r>
        <w:tab/>
        <w:t xml:space="preserve">It is unclear </w:t>
      </w:r>
      <w:r w:rsidR="003F4CA4">
        <w:t xml:space="preserve">to what </w:t>
      </w:r>
      <w:r>
        <w:t xml:space="preserve">the experts </w:t>
      </w:r>
      <w:r w:rsidR="00C766C4">
        <w:t xml:space="preserve">(and parties) </w:t>
      </w:r>
      <w:r w:rsidR="003F4CA4">
        <w:t>were referring as</w:t>
      </w:r>
      <w:r w:rsidR="00596DC6">
        <w:t xml:space="preserve"> “Chapter 34.” </w:t>
      </w:r>
      <w:r>
        <w:t xml:space="preserve"> </w:t>
      </w:r>
      <w:r w:rsidR="00C766C4">
        <w:t xml:space="preserve">Chapter 34 </w:t>
      </w:r>
      <w:r w:rsidR="00596DC6">
        <w:t>of the</w:t>
      </w:r>
      <w:r w:rsidR="00C766C4">
        <w:t xml:space="preserve"> 2016 </w:t>
      </w:r>
      <w:r w:rsidR="00596DC6">
        <w:t>California Building Code is a reserved chapter</w:t>
      </w:r>
      <w:r w:rsidR="00C766C4">
        <w:t xml:space="preserve">.  </w:t>
      </w:r>
      <w:r w:rsidR="00EE4821">
        <w:t>However, t</w:t>
      </w:r>
      <w:r w:rsidR="00C766C4">
        <w:t xml:space="preserve">he </w:t>
      </w:r>
      <w:r w:rsidR="00EE4821">
        <w:t xml:space="preserve">index </w:t>
      </w:r>
      <w:r w:rsidR="00974770">
        <w:t xml:space="preserve">for Chapter 34 </w:t>
      </w:r>
      <w:r w:rsidR="00C766C4">
        <w:t>includes the following note:  “</w:t>
      </w:r>
      <w:r w:rsidRPr="00C766C4" w:rsidR="00C766C4">
        <w:t>Provisions of former Chapter 34, Existing Structures, are now located in Part 10, California Existing Building Code</w:t>
      </w:r>
      <w:r w:rsidR="00C766C4">
        <w:t>.</w:t>
      </w:r>
      <w:r w:rsidR="00EE4821">
        <w:t>”</w:t>
      </w:r>
      <w:r w:rsidR="00C766C4">
        <w:t xml:space="preserve">  </w:t>
      </w:r>
      <w:r w:rsidR="00EE4821">
        <w:t xml:space="preserve">We assume the experts and parties </w:t>
      </w:r>
      <w:r w:rsidR="00743AF3">
        <w:t>are</w:t>
      </w:r>
      <w:r w:rsidR="00EE4821">
        <w:t xml:space="preserve"> referring to regulations governing existing structures that were formerly </w:t>
      </w:r>
      <w:r w:rsidR="000B1FA3">
        <w:t>located</w:t>
      </w:r>
      <w:r w:rsidR="00EE4821">
        <w:t xml:space="preserve"> in Chapter 34 </w:t>
      </w:r>
      <w:r w:rsidR="00743AF3">
        <w:t xml:space="preserve">of the Building </w:t>
      </w:r>
      <w:r w:rsidR="003F4CA4">
        <w:t xml:space="preserve">Code </w:t>
      </w:r>
      <w:r w:rsidR="00C3115A">
        <w:t xml:space="preserve">but </w:t>
      </w:r>
      <w:r w:rsidR="008A3DA8">
        <w:t>were</w:t>
      </w:r>
      <w:r w:rsidR="00C3115A">
        <w:t xml:space="preserve"> moved to </w:t>
      </w:r>
      <w:r w:rsidR="000A0EF5">
        <w:t xml:space="preserve">the </w:t>
      </w:r>
      <w:r w:rsidR="00DE1A20">
        <w:t xml:space="preserve">“Existing </w:t>
      </w:r>
      <w:r w:rsidR="000A0EF5">
        <w:t>Building Code</w:t>
      </w:r>
      <w:r w:rsidR="00EE4821">
        <w:t>.</w:t>
      </w:r>
      <w:r w:rsidR="00DE1A20">
        <w:t>”</w:t>
      </w:r>
      <w:r w:rsidR="000B1FA3">
        <w:t xml:space="preserve">  For convenience, we</w:t>
      </w:r>
      <w:r w:rsidR="001530CD">
        <w:t xml:space="preserve"> refer to Chapter 34, as do the parties,</w:t>
      </w:r>
      <w:r w:rsidR="000B1FA3">
        <w:t xml:space="preserve"> without </w:t>
      </w:r>
      <w:r w:rsidR="008A3DA8">
        <w:t xml:space="preserve">addressing </w:t>
      </w:r>
      <w:r w:rsidR="000B1FA3">
        <w:t xml:space="preserve">the substantive </w:t>
      </w:r>
      <w:r w:rsidR="00743AF3">
        <w:t xml:space="preserve">building code </w:t>
      </w:r>
      <w:r w:rsidR="000B1FA3">
        <w:t>requirements.</w:t>
      </w:r>
    </w:p>
  </w:footnote>
  <w:footnote w:id="12">
    <w:p w:rsidR="0025461D" w:rsidRPr="00165DC2" w:rsidP="00A34669" w14:paraId="45464212" w14:textId="7F64155B">
      <w:pPr>
        <w:pStyle w:val="FootnoteText"/>
        <w:rPr>
          <w:lang w:val="en-US"/>
        </w:rPr>
      </w:pPr>
      <w:r>
        <w:rPr>
          <w:rStyle w:val="FootnoteReference"/>
        </w:rPr>
        <w:footnoteRef/>
      </w:r>
      <w:r>
        <w:t xml:space="preserve"> </w:t>
      </w:r>
      <w:r>
        <w:rPr>
          <w:lang w:val="en-US"/>
        </w:rPr>
        <w:tab/>
      </w:r>
      <w:r w:rsidRPr="00DE2924">
        <w:t xml:space="preserve">The </w:t>
      </w:r>
      <w:r w:rsidRPr="00C26CA4">
        <w:t>Valencias also argued that the handwritten annotation on the back of the card stating “OK to close walls,” absent any context or foundation</w:t>
      </w:r>
      <w:r w:rsidRPr="00DE2924">
        <w:t xml:space="preserve">, did not impeach the building inspector.  </w:t>
      </w:r>
      <w:r w:rsidR="00B6568D">
        <w:t>Further, they assert</w:t>
      </w:r>
      <w:r w:rsidR="00A34669">
        <w:t>ed</w:t>
      </w:r>
      <w:r w:rsidR="00B6568D">
        <w:t>, t</w:t>
      </w:r>
      <w:r w:rsidRPr="00DE2924">
        <w:t xml:space="preserve">he inspector’s hearing testimony </w:t>
      </w:r>
      <w:r w:rsidRPr="00DE2924" w:rsidR="00C13A5C">
        <w:t xml:space="preserve">that </w:t>
      </w:r>
      <w:r w:rsidRPr="00DE2924">
        <w:t xml:space="preserve">the walls were closed was consistent with his deposition testimony and photographs taken at the time of the inspection.  </w:t>
      </w:r>
      <w:r w:rsidRPr="00DE2924" w:rsidR="0026349C">
        <w:t>We cannot evaluate this argument because the record on appeal does not contain any</w:t>
      </w:r>
      <w:r w:rsidRPr="00DE2924">
        <w:t xml:space="preserve"> photographs</w:t>
      </w:r>
      <w:r w:rsidR="00B6568D">
        <w:t xml:space="preserve"> or</w:t>
      </w:r>
      <w:r w:rsidRPr="00DE2924">
        <w:t xml:space="preserve"> the inspector’s</w:t>
      </w:r>
      <w:r w:rsidR="00B6568D">
        <w:t xml:space="preserve"> testimony</w:t>
      </w:r>
      <w:r w:rsidRPr="00DE2924">
        <w:t>.</w:t>
      </w:r>
      <w:r>
        <w:t xml:space="preserve"> </w:t>
      </w:r>
    </w:p>
  </w:footnote>
  <w:footnote w:id="13">
    <w:p w:rsidR="00FF3BF6" w:rsidRPr="00AA4E6A" w:rsidP="00A34669" w14:paraId="4F48CF6E" w14:textId="68385352">
      <w:pPr>
        <w:pStyle w:val="FootnoteText"/>
      </w:pPr>
      <w:r>
        <w:rPr>
          <w:rStyle w:val="FootnoteReference"/>
        </w:rPr>
        <w:footnoteRef/>
      </w:r>
      <w:r>
        <w:t xml:space="preserve"> </w:t>
      </w:r>
      <w:r>
        <w:tab/>
        <w:t>In 1909 t</w:t>
      </w:r>
      <w:r>
        <w:rPr>
          <w:rStyle w:val="normaltextrun"/>
          <w:color w:val="000000"/>
          <w:szCs w:val="26"/>
          <w:shd w:val="clear" w:color="auto" w:fill="FFFFFF"/>
        </w:rPr>
        <w:t>he City of Los Angeles annexed San Pedro, where the home is located.</w:t>
      </w:r>
      <w:r w:rsidR="007122B2">
        <w:rPr>
          <w:rStyle w:val="normaltextrun"/>
          <w:color w:val="000000"/>
          <w:szCs w:val="26"/>
          <w:shd w:val="clear" w:color="auto" w:fill="FFFFFF"/>
        </w:rPr>
        <w:t xml:space="preserve"> </w:t>
      </w:r>
      <w:r>
        <w:rPr>
          <w:rStyle w:val="normaltextrun"/>
          <w:color w:val="000000"/>
          <w:szCs w:val="26"/>
          <w:shd w:val="clear" w:color="auto" w:fill="FFFFFF"/>
        </w:rPr>
        <w:t xml:space="preserve"> (See </w:t>
      </w:r>
      <w:r>
        <w:rPr>
          <w:rStyle w:val="normaltextrun"/>
          <w:i/>
          <w:iCs/>
          <w:color w:val="000000"/>
          <w:szCs w:val="26"/>
          <w:shd w:val="clear" w:color="auto" w:fill="FFFFFF"/>
        </w:rPr>
        <w:t>In re Miller</w:t>
      </w:r>
      <w:r>
        <w:rPr>
          <w:rStyle w:val="normaltextrun"/>
          <w:color w:val="000000"/>
          <w:szCs w:val="26"/>
          <w:shd w:val="clear" w:color="auto" w:fill="FFFFFF"/>
        </w:rPr>
        <w:t> (1910) 15 Cal.App. 43, 44.)</w:t>
      </w:r>
    </w:p>
  </w:footnote>
  <w:footnote w:id="14">
    <w:p w:rsidR="004A162E" w:rsidRPr="004A162E" w:rsidP="00A34669" w14:paraId="2608F311" w14:textId="3D94410A">
      <w:pPr>
        <w:pStyle w:val="FootnoteText"/>
      </w:pPr>
      <w:r>
        <w:rPr>
          <w:rStyle w:val="FootnoteReference"/>
        </w:rPr>
        <w:footnoteRef/>
      </w:r>
      <w:r>
        <w:t xml:space="preserve"> </w:t>
      </w:r>
      <w:r>
        <w:tab/>
        <w:t>In an apparent typographical error, the minute order stated the Mendoza defendants’ opposition “did present facts or evidence” demonstrating good cause</w:t>
      </w:r>
      <w:r w:rsidR="00B3583E">
        <w:t xml:space="preserve"> for vacating the award</w:t>
      </w:r>
      <w:r w:rsidR="006B411D">
        <w:t xml:space="preserve">.  The </w:t>
      </w:r>
      <w:r>
        <w:t xml:space="preserve">parties do not dispute that the </w:t>
      </w:r>
      <w:r w:rsidR="006B411D">
        <w:t xml:space="preserve">minute order should have stated </w:t>
      </w:r>
      <w:r>
        <w:t xml:space="preserve">the Mendoza defendants “did </w:t>
      </w:r>
      <w:r w:rsidRPr="00C9352A">
        <w:rPr>
          <w:i/>
          <w:iCs/>
        </w:rPr>
        <w:t>not</w:t>
      </w:r>
      <w:r>
        <w:t xml:space="preserve"> present facts or evidence.” </w:t>
      </w:r>
      <w:r w:rsidR="00C9352A">
        <w:t xml:space="preserve"> (Italics added.)</w:t>
      </w:r>
      <w:r>
        <w:t xml:space="preserve">  </w:t>
      </w:r>
    </w:p>
  </w:footnote>
  <w:footnote w:id="15">
    <w:p w:rsidR="003F3ED3" w:rsidRPr="003F3ED3" w:rsidP="00A34669" w14:paraId="0ED220DD" w14:textId="7B8FF592">
      <w:pPr>
        <w:pStyle w:val="FootnoteText"/>
      </w:pPr>
      <w:r>
        <w:rPr>
          <w:rStyle w:val="FootnoteReference"/>
        </w:rPr>
        <w:footnoteRef/>
      </w:r>
      <w:r>
        <w:t xml:space="preserve"> </w:t>
      </w:r>
      <w:r>
        <w:tab/>
        <w:t>The</w:t>
      </w:r>
      <w:r w:rsidR="00F56D0F">
        <w:t xml:space="preserve"> trial</w:t>
      </w:r>
      <w:r>
        <w:t xml:space="preserve"> court entered the $1,512,850 judgment against Mendoza and Coastal </w:t>
      </w:r>
      <w:r w:rsidR="00EB6470">
        <w:t>H</w:t>
      </w:r>
      <w:r>
        <w:t xml:space="preserve">oldings.  The court entered </w:t>
      </w:r>
      <w:r w:rsidR="006813AC">
        <w:t xml:space="preserve">a separate </w:t>
      </w:r>
      <w:r>
        <w:t xml:space="preserve">judgment </w:t>
      </w:r>
      <w:r w:rsidR="006813AC">
        <w:t>for</w:t>
      </w:r>
      <w:r>
        <w:t xml:space="preserve"> $1,148,306 against Class A Realty, omitt</w:t>
      </w:r>
      <w:r w:rsidR="006813AC">
        <w:t>ing</w:t>
      </w:r>
      <w:r>
        <w:t xml:space="preserve"> the punitive damage</w:t>
      </w:r>
      <w:r w:rsidR="006813AC">
        <w:t>s</w:t>
      </w:r>
      <w:r>
        <w:t xml:space="preserve"> award </w:t>
      </w:r>
      <w:r w:rsidR="00EB6470">
        <w:t>as to</w:t>
      </w:r>
      <w:r>
        <w:t xml:space="preserve"> that defendant.  </w:t>
      </w:r>
    </w:p>
  </w:footnote>
  <w:footnote w:id="16">
    <w:p w:rsidR="0004734A" w:rsidP="00A34669" w14:paraId="48479BCB" w14:textId="764A16F2">
      <w:pPr>
        <w:pStyle w:val="FootnoteText"/>
      </w:pPr>
      <w:r>
        <w:rPr>
          <w:rStyle w:val="FootnoteReference"/>
        </w:rPr>
        <w:footnoteRef/>
      </w:r>
      <w:r>
        <w:t xml:space="preserve"> </w:t>
      </w:r>
      <w:r>
        <w:tab/>
      </w:r>
      <w:bookmarkStart w:id="2" w:name="_Hlk170117925"/>
      <w:r w:rsidR="00274ADB">
        <w:t xml:space="preserve">On October </w:t>
      </w:r>
      <w:r w:rsidR="00B75785">
        <w:t>20</w:t>
      </w:r>
      <w:r w:rsidR="00274ADB">
        <w:t xml:space="preserve">, 2022, after entry of judgment </w:t>
      </w:r>
      <w:r w:rsidR="00D97BB7">
        <w:t>but</w:t>
      </w:r>
      <w:r w:rsidR="00274ADB">
        <w:t xml:space="preserve"> before </w:t>
      </w:r>
      <w:r w:rsidR="00D97BB7">
        <w:t xml:space="preserve">they filed their </w:t>
      </w:r>
      <w:r w:rsidR="00274ADB">
        <w:t xml:space="preserve">notice of appeal, the Mendoza defendants filed a motion </w:t>
      </w:r>
      <w:r w:rsidR="00D97BB7">
        <w:t>in the trial court for mandatory relief from the judgment</w:t>
      </w:r>
      <w:r w:rsidR="00274ADB">
        <w:t xml:space="preserve"> </w:t>
      </w:r>
      <w:r w:rsidR="00840357">
        <w:t xml:space="preserve">under </w:t>
      </w:r>
      <w:r w:rsidR="00274ADB">
        <w:t>section</w:t>
      </w:r>
      <w:r w:rsidR="00B75785">
        <w:t> </w:t>
      </w:r>
      <w:r w:rsidR="00274ADB">
        <w:t>473, subdivision</w:t>
      </w:r>
      <w:r w:rsidR="00B75785">
        <w:t> </w:t>
      </w:r>
      <w:r w:rsidR="00274ADB">
        <w:t>(b)</w:t>
      </w:r>
      <w:r w:rsidR="003C76EC">
        <w:t>, due to attorney error</w:t>
      </w:r>
      <w:r w:rsidR="00274ADB">
        <w:t xml:space="preserve">.  </w:t>
      </w:r>
      <w:r w:rsidR="00B3583E">
        <w:t>On appeal, t</w:t>
      </w:r>
      <w:r w:rsidR="003C76EC">
        <w:t>he</w:t>
      </w:r>
      <w:r w:rsidR="00274ADB">
        <w:t xml:space="preserve"> Mendoza defendants request</w:t>
      </w:r>
      <w:r w:rsidR="006813AC">
        <w:t xml:space="preserve">, as an </w:t>
      </w:r>
      <w:r w:rsidR="00274ADB">
        <w:t xml:space="preserve">alternative to </w:t>
      </w:r>
      <w:r w:rsidR="00BC2181">
        <w:t>reversing</w:t>
      </w:r>
      <w:r w:rsidR="00D97BB7">
        <w:t xml:space="preserve"> the judgment</w:t>
      </w:r>
      <w:r w:rsidR="00BC2181">
        <w:t>,</w:t>
      </w:r>
      <w:r w:rsidR="00370802">
        <w:t xml:space="preserve"> that </w:t>
      </w:r>
      <w:r w:rsidR="00D97BB7">
        <w:t xml:space="preserve">we remand the matter to the trial court with directions to rule on </w:t>
      </w:r>
      <w:r w:rsidR="000E5D94">
        <w:t xml:space="preserve">their </w:t>
      </w:r>
      <w:r w:rsidR="00D97BB7">
        <w:t>motion</w:t>
      </w:r>
      <w:r w:rsidR="003432AB">
        <w:t xml:space="preserve"> for relief</w:t>
      </w:r>
      <w:r w:rsidR="00535B6D">
        <w:t>.</w:t>
      </w:r>
      <w:r w:rsidR="00D97BB7">
        <w:t xml:space="preserve">  </w:t>
      </w:r>
      <w:r w:rsidR="00B3583E">
        <w:t>On</w:t>
      </w:r>
      <w:r w:rsidR="00D97BB7">
        <w:t xml:space="preserve"> September </w:t>
      </w:r>
      <w:r w:rsidR="00DF5014">
        <w:t>26</w:t>
      </w:r>
      <w:r w:rsidR="00D97BB7">
        <w:t xml:space="preserve">, 2023 the Mendoza defendants filed a </w:t>
      </w:r>
      <w:r w:rsidR="00370802">
        <w:t>request</w:t>
      </w:r>
      <w:r w:rsidR="00D97BB7">
        <w:t xml:space="preserve"> to augment the </w:t>
      </w:r>
      <w:r w:rsidR="00840357">
        <w:t xml:space="preserve">appellate </w:t>
      </w:r>
      <w:r w:rsidR="00D97BB7">
        <w:t xml:space="preserve">record to include the opposition and reply </w:t>
      </w:r>
      <w:r w:rsidR="00840357">
        <w:t xml:space="preserve">briefs and the </w:t>
      </w:r>
      <w:r w:rsidR="00370802">
        <w:t xml:space="preserve">trial </w:t>
      </w:r>
      <w:r w:rsidR="00840357">
        <w:t>court’s May</w:t>
      </w:r>
      <w:r w:rsidR="00A30E64">
        <w:t> </w:t>
      </w:r>
      <w:r w:rsidR="00840357">
        <w:t xml:space="preserve">4, 2023 order </w:t>
      </w:r>
      <w:r w:rsidR="00535B6D">
        <w:t xml:space="preserve">on </w:t>
      </w:r>
      <w:r w:rsidR="00B3583E">
        <w:t>the relief motion</w:t>
      </w:r>
      <w:r w:rsidR="00840357">
        <w:t xml:space="preserve">.  We deemed their </w:t>
      </w:r>
      <w:bookmarkEnd w:id="2"/>
      <w:r w:rsidR="00370802">
        <w:t>request</w:t>
      </w:r>
      <w:r w:rsidR="00840357">
        <w:t xml:space="preserve"> </w:t>
      </w:r>
      <w:r w:rsidR="003C76EC">
        <w:t xml:space="preserve">to augment </w:t>
      </w:r>
      <w:r w:rsidR="00370802">
        <w:t xml:space="preserve">the record </w:t>
      </w:r>
      <w:r w:rsidR="003C76EC">
        <w:t xml:space="preserve">as a </w:t>
      </w:r>
      <w:r w:rsidR="00370802">
        <w:t>request</w:t>
      </w:r>
      <w:r w:rsidR="003C76EC">
        <w:t xml:space="preserve"> </w:t>
      </w:r>
      <w:r w:rsidR="00840357">
        <w:t xml:space="preserve">for judicial notice and denied </w:t>
      </w:r>
      <w:r w:rsidR="00370802">
        <w:t>it</w:t>
      </w:r>
      <w:r w:rsidR="00840357">
        <w:t xml:space="preserve"> on October</w:t>
      </w:r>
      <w:r w:rsidR="00A30E64">
        <w:t> </w:t>
      </w:r>
      <w:r w:rsidR="00840357">
        <w:t xml:space="preserve">13, 2023.  </w:t>
      </w:r>
    </w:p>
    <w:p w:rsidR="00EB6470" w:rsidRPr="00EB6470" w:rsidP="00A34669" w14:paraId="3AF04F8D" w14:textId="135F2712">
      <w:pPr>
        <w:pStyle w:val="FootnoteText"/>
      </w:pPr>
      <w:r>
        <w:t xml:space="preserve">         </w:t>
      </w:r>
      <w:r w:rsidR="00840357">
        <w:t xml:space="preserve">An order denying </w:t>
      </w:r>
      <w:r w:rsidR="00B3583E">
        <w:t xml:space="preserve">a motion for </w:t>
      </w:r>
      <w:r w:rsidR="00840357">
        <w:t xml:space="preserve">relief from a judgment </w:t>
      </w:r>
      <w:r w:rsidR="003C76EC">
        <w:t>pursuant to</w:t>
      </w:r>
      <w:r w:rsidR="00840357">
        <w:t xml:space="preserve"> section</w:t>
      </w:r>
      <w:r w:rsidR="00DF5014">
        <w:t> </w:t>
      </w:r>
      <w:r w:rsidR="00840357">
        <w:t>473, subdivision</w:t>
      </w:r>
      <w:r w:rsidR="00DF5014">
        <w:t> </w:t>
      </w:r>
      <w:r w:rsidR="00840357">
        <w:t>(b), is a separately appealable postjudgment order</w:t>
      </w:r>
      <w:r>
        <w:t xml:space="preserve">. </w:t>
      </w:r>
      <w:r w:rsidR="00840357">
        <w:t xml:space="preserve"> (</w:t>
      </w:r>
      <w:r w:rsidRPr="00840357" w:rsidR="00840357">
        <w:rPr>
          <w:i/>
          <w:iCs/>
        </w:rPr>
        <w:t>Austin v. Los Angeles Unified School Dist.</w:t>
      </w:r>
      <w:r w:rsidR="00840357">
        <w:t xml:space="preserve"> (2016) 244</w:t>
      </w:r>
      <w:r w:rsidR="00A30E64">
        <w:t> </w:t>
      </w:r>
      <w:r w:rsidR="00840357">
        <w:t xml:space="preserve">Cal.App.4th 918, </w:t>
      </w:r>
      <w:r w:rsidR="00DF5014">
        <w:t>927</w:t>
      </w:r>
      <w:r w:rsidR="00840357">
        <w:t>, fn.</w:t>
      </w:r>
      <w:r w:rsidR="00A30E64">
        <w:t> </w:t>
      </w:r>
      <w:r w:rsidR="00840357">
        <w:t>6</w:t>
      </w:r>
      <w:r>
        <w:t>.</w:t>
      </w:r>
      <w:r w:rsidR="00840357">
        <w:t xml:space="preserve">) </w:t>
      </w:r>
      <w:r>
        <w:t xml:space="preserve"> The merit</w:t>
      </w:r>
      <w:r w:rsidR="00BC2181">
        <w:t>s</w:t>
      </w:r>
      <w:r>
        <w:t xml:space="preserve"> of the postjudgment motion </w:t>
      </w:r>
      <w:r w:rsidR="008525BA">
        <w:t>under section</w:t>
      </w:r>
      <w:r w:rsidR="00DF5014">
        <w:t> </w:t>
      </w:r>
      <w:r w:rsidR="008525BA">
        <w:t>473, subdivision</w:t>
      </w:r>
      <w:r w:rsidR="00DF5014">
        <w:t> </w:t>
      </w:r>
      <w:r w:rsidR="008525BA">
        <w:t xml:space="preserve">(b), </w:t>
      </w:r>
      <w:r>
        <w:t xml:space="preserve">is </w:t>
      </w:r>
      <w:r w:rsidR="00840357">
        <w:t>outside the scope of this appeal</w:t>
      </w:r>
      <w:r w:rsidR="00370802">
        <w:t>, which was t</w:t>
      </w:r>
      <w:r w:rsidR="003C76EC">
        <w:t xml:space="preserve">aken from </w:t>
      </w:r>
      <w:r w:rsidR="00370802">
        <w:t xml:space="preserve">the </w:t>
      </w:r>
      <w:r w:rsidR="003C76EC">
        <w:t xml:space="preserve">order </w:t>
      </w:r>
      <w:r w:rsidR="00C230AB">
        <w:t xml:space="preserve">confirming the </w:t>
      </w:r>
      <w:r w:rsidR="008525BA">
        <w:t xml:space="preserve">arbitration </w:t>
      </w:r>
      <w:r w:rsidR="00C230AB">
        <w:t xml:space="preserve">award </w:t>
      </w:r>
      <w:r w:rsidR="003C76EC">
        <w:t xml:space="preserve">and </w:t>
      </w:r>
      <w:r w:rsidR="00840357">
        <w:t>the judgment.</w:t>
      </w:r>
      <w:r>
        <w:t xml:space="preserve"> </w:t>
      </w:r>
    </w:p>
  </w:footnote>
  <w:footnote w:id="17">
    <w:p w:rsidR="00BF3A2F" w:rsidRPr="004170E6" w:rsidP="00A34669" w14:paraId="0FE2144C" w14:textId="56CD2C47">
      <w:pPr>
        <w:pStyle w:val="FootnoteText"/>
        <w:rPr>
          <w:lang w:val="en-US"/>
        </w:rPr>
      </w:pPr>
      <w:r>
        <w:rPr>
          <w:rStyle w:val="FootnoteReference"/>
        </w:rPr>
        <w:footnoteRef/>
      </w:r>
      <w:r>
        <w:t xml:space="preserve"> </w:t>
      </w:r>
      <w:r>
        <w:rPr>
          <w:lang w:val="en-US"/>
        </w:rPr>
        <w:tab/>
        <w:t>S</w:t>
      </w:r>
      <w:r>
        <w:t>ection</w:t>
      </w:r>
      <w:r w:rsidR="00A30E64">
        <w:t> </w:t>
      </w:r>
      <w:r>
        <w:t>1286.2, subdivision</w:t>
      </w:r>
      <w:r w:rsidR="00A30E64">
        <w:t> </w:t>
      </w:r>
      <w:r>
        <w:t>(a)(4),</w:t>
      </w:r>
      <w:r>
        <w:rPr>
          <w:lang w:val="en-US"/>
        </w:rPr>
        <w:t xml:space="preserve"> states, </w:t>
      </w:r>
      <w:r>
        <w:t>“</w:t>
      </w:r>
      <w:r>
        <w:rPr>
          <w:lang w:val="en-US"/>
        </w:rPr>
        <w:t>[T]</w:t>
      </w:r>
      <w:r>
        <w:t xml:space="preserve">he court shall vacate the award if the court determines” that “[t]he arbitrators exceeded their powers and </w:t>
      </w:r>
      <w:r w:rsidRPr="00EF6B84">
        <w:t>the award cannot be corrected without affecting the merits of the decision upon the controversy submitted.</w:t>
      </w:r>
      <w:r>
        <w:t>”</w:t>
      </w:r>
    </w:p>
  </w:footnote>
  <w:footnote w:id="18">
    <w:p w:rsidR="00BF3A2F" w:rsidP="00A34669" w14:paraId="6F315B3B" w14:textId="00E7E3FC">
      <w:pPr>
        <w:pStyle w:val="FootnoteText"/>
      </w:pPr>
      <w:r>
        <w:rPr>
          <w:rStyle w:val="FootnoteReference"/>
        </w:rPr>
        <w:footnoteRef/>
      </w:r>
      <w:r>
        <w:t xml:space="preserve"> </w:t>
      </w:r>
      <w:r>
        <w:tab/>
      </w:r>
      <w:bookmarkStart w:id="4" w:name="_Hlk167355917"/>
      <w:r>
        <w:t xml:space="preserve">The trial court </w:t>
      </w:r>
      <w:r w:rsidR="006425AA">
        <w:rPr>
          <w:lang w:val="en-US"/>
        </w:rPr>
        <w:t xml:space="preserve">appears not to have </w:t>
      </w:r>
      <w:r w:rsidR="00BC4349">
        <w:rPr>
          <w:lang w:val="en-US"/>
        </w:rPr>
        <w:t>considered</w:t>
      </w:r>
      <w:r w:rsidR="008611E8">
        <w:rPr>
          <w:lang w:val="en-US"/>
        </w:rPr>
        <w:t xml:space="preserve"> </w:t>
      </w:r>
      <w:r>
        <w:t>the parties’ stipulation to heightened judicial revie</w:t>
      </w:r>
      <w:r w:rsidR="006425AA">
        <w:rPr>
          <w:lang w:val="en-US"/>
        </w:rPr>
        <w:t>w of the arbitration award.  F</w:t>
      </w:r>
      <w:r>
        <w:t>or example, the court cited</w:t>
      </w:r>
      <w:r w:rsidR="00773833">
        <w:t xml:space="preserve"> the holding</w:t>
      </w:r>
      <w:r w:rsidR="00E066DD">
        <w:t>s</w:t>
      </w:r>
      <w:r w:rsidR="00773833">
        <w:t xml:space="preserve"> in</w:t>
      </w:r>
      <w:r>
        <w:t xml:space="preserve"> </w:t>
      </w:r>
      <w:r>
        <w:rPr>
          <w:i/>
          <w:iCs/>
        </w:rPr>
        <w:t>Richey, supra</w:t>
      </w:r>
      <w:r>
        <w:t>, 60</w:t>
      </w:r>
      <w:r w:rsidR="00A30E64">
        <w:t> </w:t>
      </w:r>
      <w:r>
        <w:t>Cal.4th at page</w:t>
      </w:r>
      <w:r w:rsidR="00A30E64">
        <w:t> </w:t>
      </w:r>
      <w:r>
        <w:t>916</w:t>
      </w:r>
      <w:r w:rsidR="00636DA8">
        <w:t xml:space="preserve"> in finding</w:t>
      </w:r>
      <w:r>
        <w:t xml:space="preserve"> </w:t>
      </w:r>
      <w:r w:rsidR="00773833">
        <w:t>that</w:t>
      </w:r>
      <w:r>
        <w:t xml:space="preserve"> </w:t>
      </w:r>
      <w:bookmarkEnd w:id="4"/>
      <w:r>
        <w:t>“there is no statutory provision for vacating an award o</w:t>
      </w:r>
      <w:r w:rsidR="00D01074">
        <w:rPr>
          <w:lang w:val="en-US"/>
        </w:rPr>
        <w:t>n</w:t>
      </w:r>
      <w:r>
        <w:t xml:space="preserve"> mere grounds of a refusal to hear evidence, without more,” and </w:t>
      </w:r>
      <w:r w:rsidRPr="00A44971">
        <w:rPr>
          <w:i/>
          <w:iCs/>
        </w:rPr>
        <w:t>He</w:t>
      </w:r>
      <w:r>
        <w:rPr>
          <w:i/>
          <w:iCs/>
        </w:rPr>
        <w:t>i</w:t>
      </w:r>
      <w:r w:rsidRPr="00A44971">
        <w:rPr>
          <w:i/>
          <w:iCs/>
        </w:rPr>
        <w:t>mlich v. Shiji, supra</w:t>
      </w:r>
      <w:r>
        <w:t>, 7</w:t>
      </w:r>
      <w:r w:rsidR="00C274CB">
        <w:t> </w:t>
      </w:r>
      <w:r>
        <w:t>Cal.5th at page</w:t>
      </w:r>
      <w:r w:rsidR="00A30E64">
        <w:t> </w:t>
      </w:r>
      <w:r>
        <w:t xml:space="preserve">369 </w:t>
      </w:r>
      <w:r w:rsidR="00E066DD">
        <w:t>(</w:t>
      </w:r>
      <w:r>
        <w:t>with respect to the evidentiary exclusions</w:t>
      </w:r>
      <w:r w:rsidR="00E066DD">
        <w:t>) that</w:t>
      </w:r>
      <w:r>
        <w:t xml:space="preserve"> there was “absolutely no basis for even an inference that the Arbitration hearing was not fair to both parties.”  </w:t>
      </w:r>
    </w:p>
    <w:p w:rsidR="00BF3A2F" w:rsidRPr="00794C78" w:rsidP="00A34669" w14:paraId="5385EC68" w14:textId="3C34FDF6">
      <w:pPr>
        <w:pStyle w:val="FootnoteText"/>
      </w:pPr>
      <w:r>
        <w:t xml:space="preserve">          The Valencias contend the Mendoza defendants forfeited any claim </w:t>
      </w:r>
      <w:r w:rsidR="00CE0DD9">
        <w:rPr>
          <w:lang w:val="en-US"/>
        </w:rPr>
        <w:t>the trial court applied the wrong</w:t>
      </w:r>
      <w:r>
        <w:t xml:space="preserve"> standard of judicial review by failing to raise the agreement for heightened review under </w:t>
      </w:r>
      <w:r>
        <w:rPr>
          <w:i/>
          <w:iCs/>
        </w:rPr>
        <w:t>Cable Connection</w:t>
      </w:r>
      <w:r>
        <w:t xml:space="preserve"> in either the</w:t>
      </w:r>
      <w:r w:rsidR="00BD2873">
        <w:t>ir</w:t>
      </w:r>
      <w:r>
        <w:t xml:space="preserve"> opposition to </w:t>
      </w:r>
      <w:r w:rsidR="00BD2873">
        <w:t xml:space="preserve">the </w:t>
      </w:r>
      <w:r>
        <w:t>petition to confirm the award or the</w:t>
      </w:r>
      <w:r w:rsidR="00BD2873">
        <w:t>ir</w:t>
      </w:r>
      <w:r>
        <w:t xml:space="preserve"> petition to vacate.  </w:t>
      </w:r>
      <w:r w:rsidRPr="0011499B">
        <w:t>(</w:t>
      </w:r>
      <w:r>
        <w:t xml:space="preserve">See </w:t>
      </w:r>
      <w:r w:rsidRPr="00C35D0F">
        <w:rPr>
          <w:i/>
          <w:iCs/>
        </w:rPr>
        <w:t>Quiles v. Parent</w:t>
      </w:r>
      <w:r w:rsidRPr="0011499B">
        <w:t xml:space="preserve"> (2018) 28</w:t>
      </w:r>
      <w:r w:rsidR="00A30E64">
        <w:t> </w:t>
      </w:r>
      <w:r w:rsidRPr="0011499B">
        <w:t>Cal.App.5th 1000, 1013 [“‘Failure to raise specific challenges in the trial court forfeits the claim on appeal.’”].)</w:t>
      </w:r>
      <w:r>
        <w:t xml:space="preserve">  We decline to reach forfeiture because we review the trial court’s order confirming the award de novo and independently evaluate the arbitrator’s evidentiary rulings.</w:t>
      </w:r>
    </w:p>
  </w:footnote>
  <w:footnote w:id="19">
    <w:p w:rsidR="00BF3A2F" w:rsidRPr="008029CE" w:rsidP="00A34669" w14:paraId="53CB22ED" w14:textId="04FAE0E4">
      <w:pPr>
        <w:pStyle w:val="FootnoteText"/>
      </w:pPr>
      <w:r>
        <w:rPr>
          <w:rStyle w:val="FootnoteReference"/>
        </w:rPr>
        <w:footnoteRef/>
      </w:r>
      <w:r>
        <w:t xml:space="preserve"> </w:t>
      </w:r>
      <w:r>
        <w:tab/>
        <w:t xml:space="preserve">The </w:t>
      </w:r>
      <w:r>
        <w:rPr>
          <w:i/>
          <w:iCs/>
        </w:rPr>
        <w:t>Law Finance</w:t>
      </w:r>
      <w:r>
        <w:t xml:space="preserve"> court disapproved of </w:t>
      </w:r>
      <w:r>
        <w:rPr>
          <w:i/>
          <w:iCs/>
        </w:rPr>
        <w:t>Darby v. Sisyphian, LLC, supra</w:t>
      </w:r>
      <w:r>
        <w:t>, 87</w:t>
      </w:r>
      <w:r w:rsidR="003D228C">
        <w:t> </w:t>
      </w:r>
      <w:r>
        <w:t>Cal.App.5th 1100 “to the extent that it characterize</w:t>
      </w:r>
      <w:r w:rsidR="00336B82">
        <w:t>d</w:t>
      </w:r>
      <w:r>
        <w:t xml:space="preserve"> section</w:t>
      </w:r>
      <w:r w:rsidR="003D228C">
        <w:t> </w:t>
      </w:r>
      <w:r>
        <w:t xml:space="preserve">1288.2’s 100-day limitations period as ‘jurisdictional’ in the fundamental sense.” </w:t>
      </w:r>
      <w:r w:rsidR="0004278D">
        <w:t xml:space="preserve"> (</w:t>
      </w:r>
      <w:r w:rsidRPr="0034051A" w:rsidR="0004278D">
        <w:rPr>
          <w:i/>
          <w:iCs/>
        </w:rPr>
        <w:t>Law Finance</w:t>
      </w:r>
      <w:r w:rsidR="0004278D">
        <w:rPr>
          <w:i/>
          <w:iCs/>
        </w:rPr>
        <w:t>, supra</w:t>
      </w:r>
      <w:r w:rsidR="0004278D">
        <w:t xml:space="preserve">, </w:t>
      </w:r>
      <w:r w:rsidRPr="00D611F0" w:rsidR="0004278D">
        <w:t>14</w:t>
      </w:r>
      <w:r w:rsidR="003D228C">
        <w:t> </w:t>
      </w:r>
      <w:r w:rsidRPr="00D611F0" w:rsidR="0004278D">
        <w:t xml:space="preserve">Cal.5th </w:t>
      </w:r>
      <w:r w:rsidR="008029CE">
        <w:t>at p.</w:t>
      </w:r>
      <w:r w:rsidR="003D228C">
        <w:t> </w:t>
      </w:r>
      <w:r w:rsidR="0004278D">
        <w:t>952, f</w:t>
      </w:r>
      <w:r w:rsidR="008029CE">
        <w:t>n</w:t>
      </w:r>
      <w:r w:rsidR="003D228C">
        <w:t>. </w:t>
      </w:r>
      <w:r w:rsidR="0004278D">
        <w:t>3</w:t>
      </w:r>
      <w:r w:rsidR="008029CE">
        <w:t>.)</w:t>
      </w:r>
    </w:p>
  </w:footnote>
  <w:footnote w:id="20">
    <w:p w:rsidR="00BF3A2F" w:rsidRPr="00BF02AF" w:rsidP="00A34669" w14:paraId="3307D370" w14:textId="71BE3C22">
      <w:pPr>
        <w:pStyle w:val="FootnoteText"/>
      </w:pPr>
      <w:r>
        <w:rPr>
          <w:rStyle w:val="FootnoteReference"/>
        </w:rPr>
        <w:footnoteRef/>
      </w:r>
      <w:r>
        <w:t xml:space="preserve"> </w:t>
      </w:r>
      <w:r>
        <w:tab/>
        <w:t xml:space="preserve">Without a transcript </w:t>
      </w:r>
      <w:r w:rsidR="008F2E94">
        <w:t xml:space="preserve">or settled statement reflecting what was said at </w:t>
      </w:r>
      <w:r>
        <w:t xml:space="preserve">the hearing on the petition to confirm, we </w:t>
      </w:r>
      <w:r w:rsidR="00DA7BBD">
        <w:t xml:space="preserve">have no record of whether </w:t>
      </w:r>
      <w:r>
        <w:t>the Mendoza defendants presented evidence of good cause</w:t>
      </w:r>
      <w:r w:rsidR="004E0D8B">
        <w:t xml:space="preserve"> at the hearing</w:t>
      </w:r>
      <w:r w:rsidR="00DA7BBD">
        <w:t>, nor do they argue they did</w:t>
      </w:r>
      <w:r>
        <w:t xml:space="preserve">.  </w:t>
      </w:r>
      <w:r w:rsidRPr="00C44B82">
        <w:t>(</w:t>
      </w:r>
      <w:r w:rsidR="004E0D8B">
        <w:t xml:space="preserve">See </w:t>
      </w:r>
      <w:r w:rsidRPr="00C23572">
        <w:rPr>
          <w:i/>
          <w:iCs/>
        </w:rPr>
        <w:t>Randall v. Mousseau</w:t>
      </w:r>
      <w:r w:rsidRPr="00C23572">
        <w:t xml:space="preserve"> (2016) 2</w:t>
      </w:r>
      <w:r w:rsidR="003D228C">
        <w:t> </w:t>
      </w:r>
      <w:r w:rsidRPr="00C23572">
        <w:t>Cal.App.5th 929, 935 [“[f]ailure to provide an adequate record on an issue requires that the issue be resolved against appellant,” and “[w]ithout a record, either by transcript or settled statement, a reviewing court must make all presumptions in favor of the validity of the judgment”]</w:t>
      </w:r>
      <w:r>
        <w:rPr>
          <w:i/>
          <w:iCs/>
        </w:rPr>
        <w:t xml:space="preserve">; </w:t>
      </w:r>
      <w:r w:rsidR="005907EC">
        <w:t>see also</w:t>
      </w:r>
      <w:r w:rsidRPr="00492891">
        <w:t xml:space="preserve"> </w:t>
      </w:r>
      <w:r w:rsidRPr="00492891">
        <w:rPr>
          <w:i/>
          <w:iCs/>
        </w:rPr>
        <w:t>Ketchum v. Moses</w:t>
      </w:r>
      <w:r w:rsidRPr="00492891">
        <w:t xml:space="preserve"> (2001) 24</w:t>
      </w:r>
      <w:r w:rsidR="003D228C">
        <w:t> </w:t>
      </w:r>
      <w:r w:rsidRPr="00492891">
        <w:t>Cal.4th 1122, 1141 [“‘Because [the appellant] failed to furnish an adequate record of the attorney fee proceedings, [the appellant</w:t>
      </w:r>
      <w:r>
        <w:t>’</w:t>
      </w:r>
      <w:r w:rsidRPr="00492891">
        <w:t>s] claim must be resolved against [him].’”].)</w:t>
      </w:r>
    </w:p>
  </w:footnote>
  <w:footnote w:id="21">
    <w:p w:rsidR="00BF3A2F" w:rsidRPr="006F64A7" w:rsidP="00A34669" w14:paraId="4E473465" w14:textId="69B692C5">
      <w:pPr>
        <w:pStyle w:val="FootnoteText"/>
      </w:pPr>
      <w:r w:rsidRPr="008F018D">
        <w:rPr>
          <w:rStyle w:val="FootnoteReference"/>
        </w:rPr>
        <w:footnoteRef/>
      </w:r>
      <w:r w:rsidRPr="008F018D">
        <w:t xml:space="preserve"> </w:t>
      </w:r>
      <w:r w:rsidRPr="008F018D">
        <w:tab/>
      </w:r>
      <w:r w:rsidRPr="008F018D" w:rsidR="00CC00E5">
        <w:t xml:space="preserve">In their opening brief </w:t>
      </w:r>
      <w:r w:rsidRPr="008F018D">
        <w:t>the Mendoza defendants argue only that they were “</w:t>
      </w:r>
      <w:r w:rsidR="004A1DAF">
        <w:t>‘</w:t>
      </w:r>
      <w:r w:rsidRPr="008F018D">
        <w:t>substantially prejudiced . . . by the refusal of the arbitrator[] to hear evidence material to the controversy</w:t>
      </w:r>
      <w:r w:rsidR="004A1DAF">
        <w:t>’</w:t>
      </w:r>
      <w:r w:rsidRPr="008F018D">
        <w:t>” under section</w:t>
      </w:r>
      <w:r w:rsidR="003D228C">
        <w:t> </w:t>
      </w:r>
      <w:r w:rsidRPr="008F018D">
        <w:t>1286.2, subdivision (a)(5).  Vacation of an award under section</w:t>
      </w:r>
      <w:r w:rsidR="003D228C">
        <w:t> </w:t>
      </w:r>
      <w:r w:rsidRPr="008F018D">
        <w:t>1286.2, subdivision</w:t>
      </w:r>
      <w:r w:rsidR="003D228C">
        <w:t> </w:t>
      </w:r>
      <w:r w:rsidRPr="008F018D">
        <w:t>(a)(5), “must rest on more than a simple error in applying the rules of evidence” and is not a “</w:t>
      </w:r>
      <w:r w:rsidR="004A1DAF">
        <w:t>‘</w:t>
      </w:r>
      <w:r w:rsidRPr="008F018D">
        <w:t>back door . . . through which parties may routinely test the validity of legal theories of arbitrators.</w:t>
      </w:r>
      <w:r w:rsidR="004A1DAF">
        <w:t>’</w:t>
      </w:r>
      <w:r w:rsidRPr="008F018D">
        <w:t>”  (</w:t>
      </w:r>
      <w:r w:rsidRPr="008F018D">
        <w:rPr>
          <w:i/>
          <w:iCs/>
        </w:rPr>
        <w:t>Heimlich v. Shivji, supra</w:t>
      </w:r>
      <w:r w:rsidRPr="008F018D">
        <w:t>, 7</w:t>
      </w:r>
      <w:r w:rsidR="003D228C">
        <w:t> </w:t>
      </w:r>
      <w:r w:rsidRPr="008F018D">
        <w:t xml:space="preserve">Cal.5th 350, 368.)  As discussed, </w:t>
      </w:r>
      <w:r w:rsidR="00DF624C">
        <w:t xml:space="preserve">however, </w:t>
      </w:r>
      <w:r w:rsidRPr="008F018D">
        <w:t xml:space="preserve">the parties stipulated to enhanced judicial review for legal errors, and we </w:t>
      </w:r>
      <w:r w:rsidR="00045373">
        <w:t xml:space="preserve">therefore </w:t>
      </w:r>
      <w:r w:rsidRPr="008F018D">
        <w:t xml:space="preserve">review the award </w:t>
      </w:r>
      <w:r w:rsidRPr="008F018D" w:rsidR="00A95E80">
        <w:t>for error</w:t>
      </w:r>
      <w:r w:rsidRPr="008F018D">
        <w:t xml:space="preserve"> rather than</w:t>
      </w:r>
      <w:r>
        <w:t xml:space="preserve"> the more deferential standard under section</w:t>
      </w:r>
      <w:r w:rsidR="003D228C">
        <w:t> </w:t>
      </w:r>
      <w:r>
        <w:t>1286.2, subdivision</w:t>
      </w:r>
      <w:r w:rsidR="003D228C">
        <w:t> </w:t>
      </w:r>
      <w:r>
        <w:t xml:space="preserve">(a)(5).  </w:t>
      </w:r>
      <w:r w:rsidR="00045373">
        <w:t>Although the Mendoza defendants did not argue legal error until their reply brief, w</w:t>
      </w:r>
      <w:r>
        <w:t xml:space="preserve">e decline to find forfeiture because the Valencias addressed </w:t>
      </w:r>
      <w:r w:rsidR="00045373">
        <w:t>legal error</w:t>
      </w:r>
      <w:r>
        <w:t xml:space="preserve"> in their respondents’ brief.</w:t>
      </w:r>
    </w:p>
  </w:footnote>
  <w:footnote w:id="22">
    <w:p w:rsidR="00BF3A2F" w:rsidRPr="00601E99" w:rsidP="00A34669" w14:paraId="1CB1F630" w14:textId="253DA02F">
      <w:pPr>
        <w:pStyle w:val="FootnoteText"/>
      </w:pPr>
      <w:r>
        <w:rPr>
          <w:rStyle w:val="FootnoteReference"/>
        </w:rPr>
        <w:footnoteRef/>
      </w:r>
      <w:r>
        <w:t xml:space="preserve"> </w:t>
      </w:r>
      <w:r>
        <w:tab/>
        <w:t>“</w:t>
      </w:r>
      <w:r w:rsidRPr="00601E99">
        <w:t>[A]n abuse of discretion results in reversible error only if it is prejudicial</w:t>
      </w:r>
      <w:r>
        <w:t>.</w:t>
      </w:r>
      <w:r w:rsidRPr="00601E99">
        <w:t xml:space="preserve">” </w:t>
      </w:r>
      <w:r>
        <w:t xml:space="preserve"> </w:t>
      </w:r>
      <w:r w:rsidRPr="00601E99">
        <w:t>(</w:t>
      </w:r>
      <w:r w:rsidRPr="00601E99">
        <w:rPr>
          <w:i/>
          <w:iCs/>
        </w:rPr>
        <w:t>York v. City of Los Angeles</w:t>
      </w:r>
      <w:r w:rsidRPr="00601E99">
        <w:t xml:space="preserve"> (2019) 33</w:t>
      </w:r>
      <w:r w:rsidR="003D228C">
        <w:t> </w:t>
      </w:r>
      <w:r w:rsidRPr="00601E99">
        <w:t>Cal.App.5th 1178, 1190</w:t>
      </w:r>
      <w:r>
        <w:t xml:space="preserve">.)  Because we find </w:t>
      </w:r>
      <w:r w:rsidR="00A77753">
        <w:t>no abuse of discretion or other l</w:t>
      </w:r>
      <w:r>
        <w:t>egal error</w:t>
      </w:r>
      <w:r w:rsidR="00D95D99">
        <w:t>,</w:t>
      </w:r>
      <w:r>
        <w:t xml:space="preserve"> we do not reach prejudice.</w:t>
      </w:r>
    </w:p>
  </w:footnote>
  <w:footnote w:id="23">
    <w:p w:rsidR="00BF3A2F" w:rsidRPr="002118B4" w:rsidP="00A34669" w14:paraId="723E4DB3" w14:textId="4836F926">
      <w:pPr>
        <w:pStyle w:val="FootnoteText"/>
      </w:pPr>
      <w:r w:rsidRPr="007C00DA">
        <w:rPr>
          <w:rStyle w:val="FootnoteReference"/>
        </w:rPr>
        <w:footnoteRef/>
      </w:r>
      <w:r w:rsidRPr="007C00DA">
        <w:t xml:space="preserve"> </w:t>
      </w:r>
      <w:r w:rsidRPr="007C00DA">
        <w:tab/>
      </w:r>
      <w:r w:rsidRPr="00203B72" w:rsidR="007C00DA">
        <w:t xml:space="preserve">Although the record </w:t>
      </w:r>
      <w:r w:rsidRPr="00203B72" w:rsidR="003943F3">
        <w:t xml:space="preserve">does not contain Richmond’s </w:t>
      </w:r>
      <w:r w:rsidRPr="00203B72" w:rsidR="0030118F">
        <w:t xml:space="preserve">expert </w:t>
      </w:r>
      <w:r w:rsidRPr="00203B72" w:rsidR="003943F3">
        <w:t xml:space="preserve">designation, and </w:t>
      </w:r>
      <w:r w:rsidRPr="00203B72" w:rsidR="003F69B3">
        <w:t xml:space="preserve">includes </w:t>
      </w:r>
      <w:r w:rsidRPr="00203B72" w:rsidR="003943F3">
        <w:t xml:space="preserve">only limited deposition excerpts, </w:t>
      </w:r>
      <w:r w:rsidRPr="00203B72" w:rsidR="0030118F">
        <w:t xml:space="preserve">the Mendoza defendants do not contend on appeal that the application of </w:t>
      </w:r>
      <w:r w:rsidRPr="00203B72">
        <w:t>Chapter</w:t>
      </w:r>
      <w:r w:rsidR="00636DA8">
        <w:t> </w:t>
      </w:r>
      <w:r w:rsidRPr="00203B72">
        <w:t xml:space="preserve">34 was encompassed in the scope of Richmond’s designation </w:t>
      </w:r>
      <w:r w:rsidRPr="00203B72" w:rsidR="003F69B3">
        <w:t>or</w:t>
      </w:r>
      <w:r w:rsidRPr="00203B72">
        <w:t xml:space="preserve"> deposition testimony.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7DCC"/>
    <w:multiLevelType w:val="hybridMultilevel"/>
    <w:tmpl w:val="A07A03F4"/>
    <w:lvl w:ilvl="0">
      <w:start w:val="1"/>
      <w:numFmt w:val="lowerRoman"/>
      <w:pStyle w:val="Heading5"/>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18269C"/>
    <w:multiLevelType w:val="hybridMultilevel"/>
    <w:tmpl w:val="EFA4F50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2833CE"/>
    <w:multiLevelType w:val="multilevel"/>
    <w:tmpl w:val="228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03985"/>
    <w:multiLevelType w:val="hybridMultilevel"/>
    <w:tmpl w:val="60F88D2C"/>
    <w:lvl w:ilvl="0">
      <w:start w:val="1"/>
      <w:numFmt w:val="lowerLetter"/>
      <w:lvlText w:val="%1."/>
      <w:lvlJc w:val="left"/>
      <w:pPr>
        <w:ind w:left="21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32D732AA"/>
    <w:multiLevelType w:val="hybridMultilevel"/>
    <w:tmpl w:val="B4FA69CA"/>
    <w:lvl w:ilvl="0">
      <w:start w:val="1"/>
      <w:numFmt w:val="upperLetter"/>
      <w:lvlText w:val="%1."/>
      <w:lvlJc w:val="left"/>
      <w:pPr>
        <w:ind w:left="720" w:hanging="360"/>
      </w:pPr>
      <w:rPr>
        <w:rFonts w:hint="default"/>
        <w:i w:val="0"/>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6C1619"/>
    <w:multiLevelType w:val="multilevel"/>
    <w:tmpl w:val="CE9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26400"/>
    <w:multiLevelType w:val="hybridMultilevel"/>
    <w:tmpl w:val="526679BE"/>
    <w:lvl w:ilvl="0">
      <w:start w:val="1"/>
      <w:numFmt w:val="lowerLetter"/>
      <w:pStyle w:val="Heading6"/>
      <w:lvlText w:val="(%1)"/>
      <w:lvlJc w:val="left"/>
      <w:pPr>
        <w:ind w:left="720" w:hanging="360"/>
      </w:pPr>
      <w:rPr>
        <w:rFonts w:ascii="Century Schoolbook" w:hAnsi="Century Schoolbook" w:hint="default"/>
        <w:b w:val="0"/>
        <w:i w:val="0"/>
        <w:sz w:val="26"/>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D87C69"/>
    <w:multiLevelType w:val="multilevel"/>
    <w:tmpl w:val="D188C858"/>
    <w:lvl w:ilvl="0">
      <w:start w:val="1"/>
      <w:numFmt w:val="lowerRoman"/>
      <w:lvlText w:val="%1."/>
      <w:lvlJc w:val="left"/>
      <w:pPr>
        <w:ind w:left="360" w:hanging="360"/>
      </w:pPr>
      <w:rPr>
        <w:rFonts w:ascii="Century Schoolbook" w:hAnsi="Century Schoolbook" w:hint="default"/>
        <w:b w:val="0"/>
        <w:i w:val="0"/>
        <w:sz w:val="26"/>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91B062C"/>
    <w:multiLevelType w:val="hybridMultilevel"/>
    <w:tmpl w:val="DB747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BE92AC8"/>
    <w:multiLevelType w:val="multilevel"/>
    <w:tmpl w:val="946C73E0"/>
    <w:lvl w:ilvl="0">
      <w:start w:val="1"/>
      <w:numFmt w:val="none"/>
      <w:pStyle w:val="Heading1"/>
      <w:suff w:val="nothing"/>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0"/>
  </w:num>
  <w:num w:numId="10">
    <w:abstractNumId w:val="9"/>
  </w:num>
  <w:num w:numId="11">
    <w:abstractNumId w:val="9"/>
  </w:num>
  <w:num w:numId="12">
    <w:abstractNumId w:val="9"/>
  </w:num>
  <w:num w:numId="13">
    <w:abstractNumId w:val="9"/>
  </w:num>
  <w:num w:numId="14">
    <w:abstractNumId w:val="0"/>
  </w:num>
  <w:num w:numId="15">
    <w:abstractNumId w:val="9"/>
  </w:num>
  <w:num w:numId="16">
    <w:abstractNumId w:val="9"/>
  </w:num>
  <w:num w:numId="17">
    <w:abstractNumId w:val="9"/>
  </w:num>
  <w:num w:numId="18">
    <w:abstractNumId w:val="9"/>
  </w:num>
  <w:num w:numId="19">
    <w:abstractNumId w:val="9"/>
  </w:num>
  <w:num w:numId="20">
    <w:abstractNumId w:val="0"/>
  </w:num>
  <w:num w:numId="21">
    <w:abstractNumId w:val="3"/>
  </w:num>
  <w:num w:numId="22">
    <w:abstractNumId w:val="7"/>
  </w:num>
  <w:num w:numId="23">
    <w:abstractNumId w:val="6"/>
  </w:num>
  <w:num w:numId="24">
    <w:abstractNumId w:val="4"/>
  </w:num>
  <w:num w:numId="25">
    <w:abstractNumId w:val="1"/>
  </w:num>
  <w:num w:numId="26">
    <w:abstractNumId w:val="8"/>
  </w:num>
  <w:num w:numId="27">
    <w:abstractNumId w:val="9"/>
    <w:lvlOverride w:ilvl="0">
      <w:startOverride w:val="1"/>
    </w:lvlOverride>
    <w:lvlOverride w:ilvl="1">
      <w:startOverride w:val="1"/>
    </w:lvlOverride>
  </w:num>
  <w:num w:numId="28">
    <w:abstractNumId w:val="2"/>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0C"/>
    <w:rsid w:val="0000062B"/>
    <w:rsid w:val="00001FC3"/>
    <w:rsid w:val="000021A0"/>
    <w:rsid w:val="00003E8C"/>
    <w:rsid w:val="000060FA"/>
    <w:rsid w:val="000064DA"/>
    <w:rsid w:val="00007C0E"/>
    <w:rsid w:val="00007D7C"/>
    <w:rsid w:val="00007DDE"/>
    <w:rsid w:val="00010A13"/>
    <w:rsid w:val="00010ADD"/>
    <w:rsid w:val="000117F6"/>
    <w:rsid w:val="00011AAF"/>
    <w:rsid w:val="000122C9"/>
    <w:rsid w:val="0001237E"/>
    <w:rsid w:val="000132D7"/>
    <w:rsid w:val="000138F5"/>
    <w:rsid w:val="00013F44"/>
    <w:rsid w:val="00014A70"/>
    <w:rsid w:val="00014F95"/>
    <w:rsid w:val="00015309"/>
    <w:rsid w:val="00020B01"/>
    <w:rsid w:val="00020C35"/>
    <w:rsid w:val="00021F0A"/>
    <w:rsid w:val="000228BA"/>
    <w:rsid w:val="00022F59"/>
    <w:rsid w:val="00022FE5"/>
    <w:rsid w:val="00023395"/>
    <w:rsid w:val="00024DA4"/>
    <w:rsid w:val="00024F90"/>
    <w:rsid w:val="000255F0"/>
    <w:rsid w:val="00025B5A"/>
    <w:rsid w:val="00026107"/>
    <w:rsid w:val="0002666A"/>
    <w:rsid w:val="000271FD"/>
    <w:rsid w:val="00027F8A"/>
    <w:rsid w:val="00031B97"/>
    <w:rsid w:val="00031C9B"/>
    <w:rsid w:val="00031EEF"/>
    <w:rsid w:val="00032C7E"/>
    <w:rsid w:val="00032E88"/>
    <w:rsid w:val="0003353B"/>
    <w:rsid w:val="00033885"/>
    <w:rsid w:val="00033CB9"/>
    <w:rsid w:val="000344F7"/>
    <w:rsid w:val="000348DE"/>
    <w:rsid w:val="000356BB"/>
    <w:rsid w:val="00035EAD"/>
    <w:rsid w:val="0003644F"/>
    <w:rsid w:val="0003690C"/>
    <w:rsid w:val="000371EE"/>
    <w:rsid w:val="000374AA"/>
    <w:rsid w:val="00037829"/>
    <w:rsid w:val="00041183"/>
    <w:rsid w:val="0004158E"/>
    <w:rsid w:val="0004186E"/>
    <w:rsid w:val="0004278D"/>
    <w:rsid w:val="0004314C"/>
    <w:rsid w:val="00043C77"/>
    <w:rsid w:val="000447C1"/>
    <w:rsid w:val="00044DA5"/>
    <w:rsid w:val="00045373"/>
    <w:rsid w:val="0004625E"/>
    <w:rsid w:val="000462AE"/>
    <w:rsid w:val="00046C30"/>
    <w:rsid w:val="0004734A"/>
    <w:rsid w:val="00047AF1"/>
    <w:rsid w:val="00047C99"/>
    <w:rsid w:val="00052A61"/>
    <w:rsid w:val="000532B3"/>
    <w:rsid w:val="00054F8D"/>
    <w:rsid w:val="000553D5"/>
    <w:rsid w:val="00055984"/>
    <w:rsid w:val="00055BB8"/>
    <w:rsid w:val="00055EA9"/>
    <w:rsid w:val="00057576"/>
    <w:rsid w:val="0005793A"/>
    <w:rsid w:val="00057A44"/>
    <w:rsid w:val="00057C87"/>
    <w:rsid w:val="00057DDB"/>
    <w:rsid w:val="00061A3F"/>
    <w:rsid w:val="0006215B"/>
    <w:rsid w:val="0006305A"/>
    <w:rsid w:val="000630B0"/>
    <w:rsid w:val="00063583"/>
    <w:rsid w:val="000647FB"/>
    <w:rsid w:val="00065983"/>
    <w:rsid w:val="00065D31"/>
    <w:rsid w:val="00066137"/>
    <w:rsid w:val="000701A7"/>
    <w:rsid w:val="00070398"/>
    <w:rsid w:val="00070629"/>
    <w:rsid w:val="00071597"/>
    <w:rsid w:val="00071632"/>
    <w:rsid w:val="00071EE0"/>
    <w:rsid w:val="00073560"/>
    <w:rsid w:val="00073F3A"/>
    <w:rsid w:val="00075658"/>
    <w:rsid w:val="00076FFE"/>
    <w:rsid w:val="00081825"/>
    <w:rsid w:val="000824BC"/>
    <w:rsid w:val="0008261F"/>
    <w:rsid w:val="0008419A"/>
    <w:rsid w:val="000844F8"/>
    <w:rsid w:val="0008450A"/>
    <w:rsid w:val="00086095"/>
    <w:rsid w:val="000863B8"/>
    <w:rsid w:val="00086E7E"/>
    <w:rsid w:val="000872EE"/>
    <w:rsid w:val="00087787"/>
    <w:rsid w:val="00087D6C"/>
    <w:rsid w:val="000908A8"/>
    <w:rsid w:val="00090D14"/>
    <w:rsid w:val="00091F6B"/>
    <w:rsid w:val="00092408"/>
    <w:rsid w:val="00092E05"/>
    <w:rsid w:val="00093BAF"/>
    <w:rsid w:val="00094923"/>
    <w:rsid w:val="000953BF"/>
    <w:rsid w:val="000954A2"/>
    <w:rsid w:val="000956EC"/>
    <w:rsid w:val="00095A34"/>
    <w:rsid w:val="000960E7"/>
    <w:rsid w:val="00096942"/>
    <w:rsid w:val="000970C1"/>
    <w:rsid w:val="000A03D8"/>
    <w:rsid w:val="000A048E"/>
    <w:rsid w:val="000A05B1"/>
    <w:rsid w:val="000A0EF5"/>
    <w:rsid w:val="000A14C8"/>
    <w:rsid w:val="000A16EF"/>
    <w:rsid w:val="000A2008"/>
    <w:rsid w:val="000A2FCB"/>
    <w:rsid w:val="000A351A"/>
    <w:rsid w:val="000A5058"/>
    <w:rsid w:val="000A576B"/>
    <w:rsid w:val="000A5FCF"/>
    <w:rsid w:val="000A6EFF"/>
    <w:rsid w:val="000B118A"/>
    <w:rsid w:val="000B11E6"/>
    <w:rsid w:val="000B1831"/>
    <w:rsid w:val="000B1DD6"/>
    <w:rsid w:val="000B1FA3"/>
    <w:rsid w:val="000B2D24"/>
    <w:rsid w:val="000B2D9F"/>
    <w:rsid w:val="000B3D6A"/>
    <w:rsid w:val="000B4051"/>
    <w:rsid w:val="000B42F7"/>
    <w:rsid w:val="000B534C"/>
    <w:rsid w:val="000B55AE"/>
    <w:rsid w:val="000B5654"/>
    <w:rsid w:val="000B6595"/>
    <w:rsid w:val="000B720D"/>
    <w:rsid w:val="000B7591"/>
    <w:rsid w:val="000C1549"/>
    <w:rsid w:val="000C177D"/>
    <w:rsid w:val="000C1FB9"/>
    <w:rsid w:val="000C2577"/>
    <w:rsid w:val="000C35BF"/>
    <w:rsid w:val="000C487F"/>
    <w:rsid w:val="000C4A32"/>
    <w:rsid w:val="000C5C6C"/>
    <w:rsid w:val="000C5C9C"/>
    <w:rsid w:val="000C6090"/>
    <w:rsid w:val="000C67A5"/>
    <w:rsid w:val="000C68F7"/>
    <w:rsid w:val="000C781E"/>
    <w:rsid w:val="000D0470"/>
    <w:rsid w:val="000D1BB9"/>
    <w:rsid w:val="000D3889"/>
    <w:rsid w:val="000D3EEE"/>
    <w:rsid w:val="000D40A1"/>
    <w:rsid w:val="000D4EBF"/>
    <w:rsid w:val="000D687A"/>
    <w:rsid w:val="000D6898"/>
    <w:rsid w:val="000D6EED"/>
    <w:rsid w:val="000D71A7"/>
    <w:rsid w:val="000D7F07"/>
    <w:rsid w:val="000E0E76"/>
    <w:rsid w:val="000E1C1E"/>
    <w:rsid w:val="000E2ED2"/>
    <w:rsid w:val="000E3057"/>
    <w:rsid w:val="000E51BE"/>
    <w:rsid w:val="000E5D94"/>
    <w:rsid w:val="000E5EFC"/>
    <w:rsid w:val="000E60FE"/>
    <w:rsid w:val="000E6952"/>
    <w:rsid w:val="000E6F98"/>
    <w:rsid w:val="000E74E5"/>
    <w:rsid w:val="000F0479"/>
    <w:rsid w:val="000F0CB0"/>
    <w:rsid w:val="000F294A"/>
    <w:rsid w:val="000F2EF6"/>
    <w:rsid w:val="000F409C"/>
    <w:rsid w:val="000F42BD"/>
    <w:rsid w:val="000F451B"/>
    <w:rsid w:val="000F4943"/>
    <w:rsid w:val="000F4C12"/>
    <w:rsid w:val="000F58F3"/>
    <w:rsid w:val="000F6DB1"/>
    <w:rsid w:val="000F7498"/>
    <w:rsid w:val="000F796F"/>
    <w:rsid w:val="001007D8"/>
    <w:rsid w:val="00101D33"/>
    <w:rsid w:val="00102E1B"/>
    <w:rsid w:val="00102FCA"/>
    <w:rsid w:val="00103143"/>
    <w:rsid w:val="00103DE6"/>
    <w:rsid w:val="001042BA"/>
    <w:rsid w:val="001046BD"/>
    <w:rsid w:val="0010506B"/>
    <w:rsid w:val="00105423"/>
    <w:rsid w:val="00105634"/>
    <w:rsid w:val="00106868"/>
    <w:rsid w:val="00107719"/>
    <w:rsid w:val="00107A14"/>
    <w:rsid w:val="00107F5A"/>
    <w:rsid w:val="00110119"/>
    <w:rsid w:val="0011024F"/>
    <w:rsid w:val="0011040F"/>
    <w:rsid w:val="00110493"/>
    <w:rsid w:val="00110B47"/>
    <w:rsid w:val="00110C9B"/>
    <w:rsid w:val="00110F7C"/>
    <w:rsid w:val="0011283F"/>
    <w:rsid w:val="00113813"/>
    <w:rsid w:val="00113DBD"/>
    <w:rsid w:val="00114648"/>
    <w:rsid w:val="0011499B"/>
    <w:rsid w:val="00115750"/>
    <w:rsid w:val="00115878"/>
    <w:rsid w:val="00115BF9"/>
    <w:rsid w:val="00116697"/>
    <w:rsid w:val="00116730"/>
    <w:rsid w:val="0012024D"/>
    <w:rsid w:val="00120B02"/>
    <w:rsid w:val="0012146F"/>
    <w:rsid w:val="00121866"/>
    <w:rsid w:val="0012223D"/>
    <w:rsid w:val="001239F9"/>
    <w:rsid w:val="00124A00"/>
    <w:rsid w:val="00124FD4"/>
    <w:rsid w:val="001257CA"/>
    <w:rsid w:val="00126F7A"/>
    <w:rsid w:val="00127066"/>
    <w:rsid w:val="00127F5D"/>
    <w:rsid w:val="001303F5"/>
    <w:rsid w:val="001308C6"/>
    <w:rsid w:val="00131278"/>
    <w:rsid w:val="0013245E"/>
    <w:rsid w:val="00132674"/>
    <w:rsid w:val="00133224"/>
    <w:rsid w:val="0013330D"/>
    <w:rsid w:val="00133B1D"/>
    <w:rsid w:val="00134AA5"/>
    <w:rsid w:val="001354B8"/>
    <w:rsid w:val="00135C2F"/>
    <w:rsid w:val="00135F93"/>
    <w:rsid w:val="00137022"/>
    <w:rsid w:val="0014161A"/>
    <w:rsid w:val="00142425"/>
    <w:rsid w:val="00142A21"/>
    <w:rsid w:val="00142B48"/>
    <w:rsid w:val="00143F0F"/>
    <w:rsid w:val="001454F8"/>
    <w:rsid w:val="00145795"/>
    <w:rsid w:val="00145E76"/>
    <w:rsid w:val="00146899"/>
    <w:rsid w:val="00146DA9"/>
    <w:rsid w:val="00146DC9"/>
    <w:rsid w:val="00151FC7"/>
    <w:rsid w:val="00152119"/>
    <w:rsid w:val="001530CD"/>
    <w:rsid w:val="00153379"/>
    <w:rsid w:val="00154394"/>
    <w:rsid w:val="00154FF1"/>
    <w:rsid w:val="00155BBC"/>
    <w:rsid w:val="00155C38"/>
    <w:rsid w:val="001600BB"/>
    <w:rsid w:val="00160F03"/>
    <w:rsid w:val="001613E6"/>
    <w:rsid w:val="00161A2B"/>
    <w:rsid w:val="00161A70"/>
    <w:rsid w:val="0016229E"/>
    <w:rsid w:val="001634AD"/>
    <w:rsid w:val="00163B32"/>
    <w:rsid w:val="00164AA7"/>
    <w:rsid w:val="00165CB2"/>
    <w:rsid w:val="00165DC2"/>
    <w:rsid w:val="00166E4D"/>
    <w:rsid w:val="00166E80"/>
    <w:rsid w:val="00167728"/>
    <w:rsid w:val="00170449"/>
    <w:rsid w:val="00170D81"/>
    <w:rsid w:val="00171761"/>
    <w:rsid w:val="00171974"/>
    <w:rsid w:val="00171AEB"/>
    <w:rsid w:val="001720AE"/>
    <w:rsid w:val="00172203"/>
    <w:rsid w:val="00172337"/>
    <w:rsid w:val="001724FB"/>
    <w:rsid w:val="0017462C"/>
    <w:rsid w:val="0017613D"/>
    <w:rsid w:val="00176AB4"/>
    <w:rsid w:val="00177493"/>
    <w:rsid w:val="0017791C"/>
    <w:rsid w:val="00177979"/>
    <w:rsid w:val="00177C56"/>
    <w:rsid w:val="001815E9"/>
    <w:rsid w:val="00182587"/>
    <w:rsid w:val="00182D99"/>
    <w:rsid w:val="00185913"/>
    <w:rsid w:val="00185921"/>
    <w:rsid w:val="0018733B"/>
    <w:rsid w:val="0018791E"/>
    <w:rsid w:val="0019266B"/>
    <w:rsid w:val="00192FAD"/>
    <w:rsid w:val="001939B1"/>
    <w:rsid w:val="00194D79"/>
    <w:rsid w:val="0019564B"/>
    <w:rsid w:val="001960BD"/>
    <w:rsid w:val="001A0C91"/>
    <w:rsid w:val="001A0EE0"/>
    <w:rsid w:val="001A107D"/>
    <w:rsid w:val="001A1E74"/>
    <w:rsid w:val="001A2A41"/>
    <w:rsid w:val="001A2D51"/>
    <w:rsid w:val="001A2F79"/>
    <w:rsid w:val="001A3640"/>
    <w:rsid w:val="001A3756"/>
    <w:rsid w:val="001A3E5C"/>
    <w:rsid w:val="001A486B"/>
    <w:rsid w:val="001A5901"/>
    <w:rsid w:val="001A6C32"/>
    <w:rsid w:val="001A70C5"/>
    <w:rsid w:val="001A723E"/>
    <w:rsid w:val="001A72FE"/>
    <w:rsid w:val="001A7F92"/>
    <w:rsid w:val="001B0420"/>
    <w:rsid w:val="001B061F"/>
    <w:rsid w:val="001B16F8"/>
    <w:rsid w:val="001B19A6"/>
    <w:rsid w:val="001B21FE"/>
    <w:rsid w:val="001B4154"/>
    <w:rsid w:val="001B51E2"/>
    <w:rsid w:val="001B7026"/>
    <w:rsid w:val="001B76A8"/>
    <w:rsid w:val="001B7CB6"/>
    <w:rsid w:val="001C10EC"/>
    <w:rsid w:val="001C14F0"/>
    <w:rsid w:val="001C1CE2"/>
    <w:rsid w:val="001C2C3F"/>
    <w:rsid w:val="001C2EE6"/>
    <w:rsid w:val="001C32DA"/>
    <w:rsid w:val="001C3D2B"/>
    <w:rsid w:val="001C6F4C"/>
    <w:rsid w:val="001C7B0C"/>
    <w:rsid w:val="001D1286"/>
    <w:rsid w:val="001D1854"/>
    <w:rsid w:val="001D228E"/>
    <w:rsid w:val="001D3EF4"/>
    <w:rsid w:val="001D47DF"/>
    <w:rsid w:val="001D55F7"/>
    <w:rsid w:val="001D73B5"/>
    <w:rsid w:val="001D7E2D"/>
    <w:rsid w:val="001E0276"/>
    <w:rsid w:val="001E19E3"/>
    <w:rsid w:val="001E1BD4"/>
    <w:rsid w:val="001E22AA"/>
    <w:rsid w:val="001E29E4"/>
    <w:rsid w:val="001E336D"/>
    <w:rsid w:val="001E4D75"/>
    <w:rsid w:val="001E5C5E"/>
    <w:rsid w:val="001E60A5"/>
    <w:rsid w:val="001E6E98"/>
    <w:rsid w:val="001E7819"/>
    <w:rsid w:val="001F02B3"/>
    <w:rsid w:val="001F080C"/>
    <w:rsid w:val="001F1229"/>
    <w:rsid w:val="001F154A"/>
    <w:rsid w:val="001F1FEC"/>
    <w:rsid w:val="001F2A86"/>
    <w:rsid w:val="001F2F53"/>
    <w:rsid w:val="001F3143"/>
    <w:rsid w:val="001F3A1F"/>
    <w:rsid w:val="001F4218"/>
    <w:rsid w:val="001F47A3"/>
    <w:rsid w:val="001F4B86"/>
    <w:rsid w:val="001F522A"/>
    <w:rsid w:val="001F6BAC"/>
    <w:rsid w:val="00202C4E"/>
    <w:rsid w:val="0020334A"/>
    <w:rsid w:val="002034A1"/>
    <w:rsid w:val="00203B72"/>
    <w:rsid w:val="002041AA"/>
    <w:rsid w:val="00205A89"/>
    <w:rsid w:val="0020719F"/>
    <w:rsid w:val="00207B26"/>
    <w:rsid w:val="0021055E"/>
    <w:rsid w:val="002105F0"/>
    <w:rsid w:val="002116D8"/>
    <w:rsid w:val="002118B4"/>
    <w:rsid w:val="0021282C"/>
    <w:rsid w:val="00212F2C"/>
    <w:rsid w:val="002140B3"/>
    <w:rsid w:val="002148BF"/>
    <w:rsid w:val="002149F9"/>
    <w:rsid w:val="00214EC0"/>
    <w:rsid w:val="00214FA3"/>
    <w:rsid w:val="00214FED"/>
    <w:rsid w:val="00215338"/>
    <w:rsid w:val="0021708F"/>
    <w:rsid w:val="00217168"/>
    <w:rsid w:val="00217B4C"/>
    <w:rsid w:val="0022012E"/>
    <w:rsid w:val="002209F3"/>
    <w:rsid w:val="00220FBF"/>
    <w:rsid w:val="00222499"/>
    <w:rsid w:val="0022327F"/>
    <w:rsid w:val="00223839"/>
    <w:rsid w:val="002249F1"/>
    <w:rsid w:val="00225BF9"/>
    <w:rsid w:val="00226273"/>
    <w:rsid w:val="0022724E"/>
    <w:rsid w:val="002279C7"/>
    <w:rsid w:val="00231AC1"/>
    <w:rsid w:val="0023253A"/>
    <w:rsid w:val="0023283D"/>
    <w:rsid w:val="00232DE2"/>
    <w:rsid w:val="00233C8E"/>
    <w:rsid w:val="002346F9"/>
    <w:rsid w:val="00234A5E"/>
    <w:rsid w:val="002359F5"/>
    <w:rsid w:val="002370AE"/>
    <w:rsid w:val="00237191"/>
    <w:rsid w:val="00237508"/>
    <w:rsid w:val="002403C3"/>
    <w:rsid w:val="00241013"/>
    <w:rsid w:val="00241EB2"/>
    <w:rsid w:val="0024248D"/>
    <w:rsid w:val="0024326D"/>
    <w:rsid w:val="00245C1B"/>
    <w:rsid w:val="002469AB"/>
    <w:rsid w:val="00246D02"/>
    <w:rsid w:val="002476F3"/>
    <w:rsid w:val="00247780"/>
    <w:rsid w:val="002479AD"/>
    <w:rsid w:val="00247D4D"/>
    <w:rsid w:val="00247E75"/>
    <w:rsid w:val="00250151"/>
    <w:rsid w:val="00251CC6"/>
    <w:rsid w:val="00252C25"/>
    <w:rsid w:val="00252E4B"/>
    <w:rsid w:val="00253A4C"/>
    <w:rsid w:val="00253F6B"/>
    <w:rsid w:val="00254220"/>
    <w:rsid w:val="002542A7"/>
    <w:rsid w:val="00254348"/>
    <w:rsid w:val="0025461D"/>
    <w:rsid w:val="00254AE7"/>
    <w:rsid w:val="002559FA"/>
    <w:rsid w:val="00256512"/>
    <w:rsid w:val="002566BC"/>
    <w:rsid w:val="002570BC"/>
    <w:rsid w:val="002610B9"/>
    <w:rsid w:val="0026349C"/>
    <w:rsid w:val="00263528"/>
    <w:rsid w:val="00263875"/>
    <w:rsid w:val="00263B1B"/>
    <w:rsid w:val="00264BCD"/>
    <w:rsid w:val="0026572C"/>
    <w:rsid w:val="00265D69"/>
    <w:rsid w:val="00267D21"/>
    <w:rsid w:val="00270302"/>
    <w:rsid w:val="00270449"/>
    <w:rsid w:val="00270502"/>
    <w:rsid w:val="00271811"/>
    <w:rsid w:val="00273FF6"/>
    <w:rsid w:val="00274ADB"/>
    <w:rsid w:val="0027548D"/>
    <w:rsid w:val="00275F4F"/>
    <w:rsid w:val="002765DE"/>
    <w:rsid w:val="00276733"/>
    <w:rsid w:val="002775CD"/>
    <w:rsid w:val="0027798C"/>
    <w:rsid w:val="00280209"/>
    <w:rsid w:val="00280905"/>
    <w:rsid w:val="00280C40"/>
    <w:rsid w:val="0028275C"/>
    <w:rsid w:val="00282AAF"/>
    <w:rsid w:val="00283564"/>
    <w:rsid w:val="002852CD"/>
    <w:rsid w:val="00285342"/>
    <w:rsid w:val="00285FFD"/>
    <w:rsid w:val="0028623F"/>
    <w:rsid w:val="00286A75"/>
    <w:rsid w:val="00287072"/>
    <w:rsid w:val="0029191C"/>
    <w:rsid w:val="0029237D"/>
    <w:rsid w:val="00293201"/>
    <w:rsid w:val="00293235"/>
    <w:rsid w:val="0029398D"/>
    <w:rsid w:val="00294304"/>
    <w:rsid w:val="0029684E"/>
    <w:rsid w:val="002A15E8"/>
    <w:rsid w:val="002A29C2"/>
    <w:rsid w:val="002A4A55"/>
    <w:rsid w:val="002A4CAD"/>
    <w:rsid w:val="002A53DE"/>
    <w:rsid w:val="002A5D65"/>
    <w:rsid w:val="002A6218"/>
    <w:rsid w:val="002A6F6E"/>
    <w:rsid w:val="002A7178"/>
    <w:rsid w:val="002A7802"/>
    <w:rsid w:val="002B0103"/>
    <w:rsid w:val="002B1552"/>
    <w:rsid w:val="002B173E"/>
    <w:rsid w:val="002B2051"/>
    <w:rsid w:val="002B21C4"/>
    <w:rsid w:val="002B2509"/>
    <w:rsid w:val="002B2856"/>
    <w:rsid w:val="002B294F"/>
    <w:rsid w:val="002B2E80"/>
    <w:rsid w:val="002B4319"/>
    <w:rsid w:val="002B4A9E"/>
    <w:rsid w:val="002B6353"/>
    <w:rsid w:val="002C012E"/>
    <w:rsid w:val="002C0A8F"/>
    <w:rsid w:val="002C0F9F"/>
    <w:rsid w:val="002C1441"/>
    <w:rsid w:val="002C1E41"/>
    <w:rsid w:val="002C250C"/>
    <w:rsid w:val="002C278E"/>
    <w:rsid w:val="002C2A72"/>
    <w:rsid w:val="002C4EBD"/>
    <w:rsid w:val="002C74E4"/>
    <w:rsid w:val="002D2540"/>
    <w:rsid w:val="002D2F0D"/>
    <w:rsid w:val="002D2F85"/>
    <w:rsid w:val="002D3535"/>
    <w:rsid w:val="002D38A1"/>
    <w:rsid w:val="002D3938"/>
    <w:rsid w:val="002D3A2E"/>
    <w:rsid w:val="002D3B33"/>
    <w:rsid w:val="002D3E64"/>
    <w:rsid w:val="002D6934"/>
    <w:rsid w:val="002D6A93"/>
    <w:rsid w:val="002D6B91"/>
    <w:rsid w:val="002D6E79"/>
    <w:rsid w:val="002D6F10"/>
    <w:rsid w:val="002D7161"/>
    <w:rsid w:val="002D7BC5"/>
    <w:rsid w:val="002D7E55"/>
    <w:rsid w:val="002E00A5"/>
    <w:rsid w:val="002E0C9C"/>
    <w:rsid w:val="002E0D25"/>
    <w:rsid w:val="002E11A5"/>
    <w:rsid w:val="002E1684"/>
    <w:rsid w:val="002E2845"/>
    <w:rsid w:val="002E3A94"/>
    <w:rsid w:val="002E4BC3"/>
    <w:rsid w:val="002E5D4E"/>
    <w:rsid w:val="002E6CAA"/>
    <w:rsid w:val="002F078B"/>
    <w:rsid w:val="002F2048"/>
    <w:rsid w:val="002F217B"/>
    <w:rsid w:val="002F367C"/>
    <w:rsid w:val="002F4529"/>
    <w:rsid w:val="002F48A4"/>
    <w:rsid w:val="002F4D98"/>
    <w:rsid w:val="002F5EFF"/>
    <w:rsid w:val="002F6C16"/>
    <w:rsid w:val="002F78A5"/>
    <w:rsid w:val="002F7940"/>
    <w:rsid w:val="002F7DF9"/>
    <w:rsid w:val="0030118F"/>
    <w:rsid w:val="003014CE"/>
    <w:rsid w:val="0030171E"/>
    <w:rsid w:val="0030254B"/>
    <w:rsid w:val="00302CBF"/>
    <w:rsid w:val="00302E20"/>
    <w:rsid w:val="00303633"/>
    <w:rsid w:val="00303A70"/>
    <w:rsid w:val="00303CA0"/>
    <w:rsid w:val="00304977"/>
    <w:rsid w:val="00305297"/>
    <w:rsid w:val="003071F2"/>
    <w:rsid w:val="0030778A"/>
    <w:rsid w:val="00310065"/>
    <w:rsid w:val="00310845"/>
    <w:rsid w:val="00310B27"/>
    <w:rsid w:val="00312494"/>
    <w:rsid w:val="0031393E"/>
    <w:rsid w:val="003143F2"/>
    <w:rsid w:val="0031558D"/>
    <w:rsid w:val="003162CC"/>
    <w:rsid w:val="0031737F"/>
    <w:rsid w:val="003208CA"/>
    <w:rsid w:val="00323F1B"/>
    <w:rsid w:val="00324559"/>
    <w:rsid w:val="00325096"/>
    <w:rsid w:val="00326376"/>
    <w:rsid w:val="00326E26"/>
    <w:rsid w:val="00326E34"/>
    <w:rsid w:val="00327D1C"/>
    <w:rsid w:val="00332063"/>
    <w:rsid w:val="00332B2B"/>
    <w:rsid w:val="0033312B"/>
    <w:rsid w:val="00333536"/>
    <w:rsid w:val="00333A63"/>
    <w:rsid w:val="00333B74"/>
    <w:rsid w:val="00333F43"/>
    <w:rsid w:val="003341BA"/>
    <w:rsid w:val="003344DE"/>
    <w:rsid w:val="003362A4"/>
    <w:rsid w:val="00336B82"/>
    <w:rsid w:val="00337826"/>
    <w:rsid w:val="00337A80"/>
    <w:rsid w:val="0034051A"/>
    <w:rsid w:val="00342095"/>
    <w:rsid w:val="0034298B"/>
    <w:rsid w:val="00343004"/>
    <w:rsid w:val="003432AB"/>
    <w:rsid w:val="00343A40"/>
    <w:rsid w:val="00344246"/>
    <w:rsid w:val="003449A7"/>
    <w:rsid w:val="00344CF5"/>
    <w:rsid w:val="00345079"/>
    <w:rsid w:val="003454A0"/>
    <w:rsid w:val="00346DE4"/>
    <w:rsid w:val="00346EEE"/>
    <w:rsid w:val="003479F6"/>
    <w:rsid w:val="00350E53"/>
    <w:rsid w:val="00351228"/>
    <w:rsid w:val="003512D9"/>
    <w:rsid w:val="00351C42"/>
    <w:rsid w:val="0035216C"/>
    <w:rsid w:val="00353BD2"/>
    <w:rsid w:val="00353E74"/>
    <w:rsid w:val="00353FE5"/>
    <w:rsid w:val="00355869"/>
    <w:rsid w:val="003559E4"/>
    <w:rsid w:val="003561EE"/>
    <w:rsid w:val="003561F5"/>
    <w:rsid w:val="00356431"/>
    <w:rsid w:val="00356C2B"/>
    <w:rsid w:val="00356CE3"/>
    <w:rsid w:val="00356DD1"/>
    <w:rsid w:val="0035737A"/>
    <w:rsid w:val="00357760"/>
    <w:rsid w:val="00360F54"/>
    <w:rsid w:val="0036113B"/>
    <w:rsid w:val="00362BFD"/>
    <w:rsid w:val="00363670"/>
    <w:rsid w:val="00363714"/>
    <w:rsid w:val="00364E3F"/>
    <w:rsid w:val="0036561B"/>
    <w:rsid w:val="00365F4F"/>
    <w:rsid w:val="0036684B"/>
    <w:rsid w:val="00366A9F"/>
    <w:rsid w:val="00367324"/>
    <w:rsid w:val="00370802"/>
    <w:rsid w:val="003708B9"/>
    <w:rsid w:val="003732ED"/>
    <w:rsid w:val="00373CB3"/>
    <w:rsid w:val="00374DCC"/>
    <w:rsid w:val="00374F98"/>
    <w:rsid w:val="003750B2"/>
    <w:rsid w:val="003755A1"/>
    <w:rsid w:val="00375A51"/>
    <w:rsid w:val="003779E9"/>
    <w:rsid w:val="00380ADC"/>
    <w:rsid w:val="00381B1C"/>
    <w:rsid w:val="003826CA"/>
    <w:rsid w:val="00382FD1"/>
    <w:rsid w:val="00384467"/>
    <w:rsid w:val="00384530"/>
    <w:rsid w:val="003848EF"/>
    <w:rsid w:val="00384E65"/>
    <w:rsid w:val="00385424"/>
    <w:rsid w:val="003877D6"/>
    <w:rsid w:val="00390671"/>
    <w:rsid w:val="00391167"/>
    <w:rsid w:val="00391211"/>
    <w:rsid w:val="003916C1"/>
    <w:rsid w:val="0039207E"/>
    <w:rsid w:val="00392704"/>
    <w:rsid w:val="003936B7"/>
    <w:rsid w:val="003943F3"/>
    <w:rsid w:val="003949AF"/>
    <w:rsid w:val="00394AA5"/>
    <w:rsid w:val="00395169"/>
    <w:rsid w:val="003955B7"/>
    <w:rsid w:val="00395928"/>
    <w:rsid w:val="00395EE4"/>
    <w:rsid w:val="00396636"/>
    <w:rsid w:val="00397D48"/>
    <w:rsid w:val="003A1C8E"/>
    <w:rsid w:val="003A35DD"/>
    <w:rsid w:val="003A5AAE"/>
    <w:rsid w:val="003A5F60"/>
    <w:rsid w:val="003A71EB"/>
    <w:rsid w:val="003A738D"/>
    <w:rsid w:val="003A7F27"/>
    <w:rsid w:val="003B057D"/>
    <w:rsid w:val="003B1328"/>
    <w:rsid w:val="003B13FA"/>
    <w:rsid w:val="003B24BA"/>
    <w:rsid w:val="003B2687"/>
    <w:rsid w:val="003B2F1B"/>
    <w:rsid w:val="003B4350"/>
    <w:rsid w:val="003B4E37"/>
    <w:rsid w:val="003B51AF"/>
    <w:rsid w:val="003B6C41"/>
    <w:rsid w:val="003B73CE"/>
    <w:rsid w:val="003B76A8"/>
    <w:rsid w:val="003B7D60"/>
    <w:rsid w:val="003C0312"/>
    <w:rsid w:val="003C079D"/>
    <w:rsid w:val="003C1ECB"/>
    <w:rsid w:val="003C2668"/>
    <w:rsid w:val="003C272A"/>
    <w:rsid w:val="003C2E6C"/>
    <w:rsid w:val="003C3094"/>
    <w:rsid w:val="003C3E51"/>
    <w:rsid w:val="003C44D7"/>
    <w:rsid w:val="003C5560"/>
    <w:rsid w:val="003C5730"/>
    <w:rsid w:val="003C58B4"/>
    <w:rsid w:val="003C76EC"/>
    <w:rsid w:val="003C77A2"/>
    <w:rsid w:val="003C7844"/>
    <w:rsid w:val="003C7AF3"/>
    <w:rsid w:val="003C7D76"/>
    <w:rsid w:val="003D02A5"/>
    <w:rsid w:val="003D03DE"/>
    <w:rsid w:val="003D228C"/>
    <w:rsid w:val="003D3451"/>
    <w:rsid w:val="003D3CB2"/>
    <w:rsid w:val="003D4048"/>
    <w:rsid w:val="003D6754"/>
    <w:rsid w:val="003E0432"/>
    <w:rsid w:val="003E0FBA"/>
    <w:rsid w:val="003E1385"/>
    <w:rsid w:val="003E1CBF"/>
    <w:rsid w:val="003E2308"/>
    <w:rsid w:val="003E2A8C"/>
    <w:rsid w:val="003E3CA8"/>
    <w:rsid w:val="003E493A"/>
    <w:rsid w:val="003E560C"/>
    <w:rsid w:val="003E567E"/>
    <w:rsid w:val="003E5DB4"/>
    <w:rsid w:val="003F090E"/>
    <w:rsid w:val="003F175A"/>
    <w:rsid w:val="003F1E84"/>
    <w:rsid w:val="003F1F41"/>
    <w:rsid w:val="003F3673"/>
    <w:rsid w:val="003F3ED3"/>
    <w:rsid w:val="003F40F5"/>
    <w:rsid w:val="003F48FD"/>
    <w:rsid w:val="003F4955"/>
    <w:rsid w:val="003F4CA4"/>
    <w:rsid w:val="003F4E00"/>
    <w:rsid w:val="003F4FB5"/>
    <w:rsid w:val="003F566C"/>
    <w:rsid w:val="003F69B3"/>
    <w:rsid w:val="003F761F"/>
    <w:rsid w:val="003F7E3B"/>
    <w:rsid w:val="004002BF"/>
    <w:rsid w:val="004006FB"/>
    <w:rsid w:val="00400C13"/>
    <w:rsid w:val="00400F46"/>
    <w:rsid w:val="00401E5B"/>
    <w:rsid w:val="00402135"/>
    <w:rsid w:val="00402DAA"/>
    <w:rsid w:val="0040489D"/>
    <w:rsid w:val="00404B5A"/>
    <w:rsid w:val="00404F94"/>
    <w:rsid w:val="00405659"/>
    <w:rsid w:val="00405A18"/>
    <w:rsid w:val="004062FB"/>
    <w:rsid w:val="00406DC3"/>
    <w:rsid w:val="00406F52"/>
    <w:rsid w:val="004073D1"/>
    <w:rsid w:val="0041162E"/>
    <w:rsid w:val="004118F5"/>
    <w:rsid w:val="00411946"/>
    <w:rsid w:val="0041254B"/>
    <w:rsid w:val="00413506"/>
    <w:rsid w:val="00413AD1"/>
    <w:rsid w:val="00414388"/>
    <w:rsid w:val="00415389"/>
    <w:rsid w:val="004154DE"/>
    <w:rsid w:val="004167BC"/>
    <w:rsid w:val="004170E6"/>
    <w:rsid w:val="00417BE3"/>
    <w:rsid w:val="0042039E"/>
    <w:rsid w:val="0042086B"/>
    <w:rsid w:val="004210FF"/>
    <w:rsid w:val="004212CF"/>
    <w:rsid w:val="00421663"/>
    <w:rsid w:val="00421F02"/>
    <w:rsid w:val="00423B1C"/>
    <w:rsid w:val="00424618"/>
    <w:rsid w:val="00424AB7"/>
    <w:rsid w:val="00425221"/>
    <w:rsid w:val="0042538C"/>
    <w:rsid w:val="004253D0"/>
    <w:rsid w:val="00425782"/>
    <w:rsid w:val="00426AB9"/>
    <w:rsid w:val="00430022"/>
    <w:rsid w:val="00430802"/>
    <w:rsid w:val="00430939"/>
    <w:rsid w:val="00431104"/>
    <w:rsid w:val="004314BD"/>
    <w:rsid w:val="004315F4"/>
    <w:rsid w:val="00433555"/>
    <w:rsid w:val="004342DD"/>
    <w:rsid w:val="0043443D"/>
    <w:rsid w:val="00434F26"/>
    <w:rsid w:val="004352BD"/>
    <w:rsid w:val="00435750"/>
    <w:rsid w:val="00435C0F"/>
    <w:rsid w:val="00436D02"/>
    <w:rsid w:val="00437336"/>
    <w:rsid w:val="004375A0"/>
    <w:rsid w:val="00441DA0"/>
    <w:rsid w:val="00442BE7"/>
    <w:rsid w:val="00443ECF"/>
    <w:rsid w:val="004440C9"/>
    <w:rsid w:val="00444247"/>
    <w:rsid w:val="004445E5"/>
    <w:rsid w:val="00444E85"/>
    <w:rsid w:val="004473F1"/>
    <w:rsid w:val="00450BCB"/>
    <w:rsid w:val="00450E66"/>
    <w:rsid w:val="00452E20"/>
    <w:rsid w:val="004530A1"/>
    <w:rsid w:val="00454AEC"/>
    <w:rsid w:val="00454FE5"/>
    <w:rsid w:val="0045518F"/>
    <w:rsid w:val="004556E6"/>
    <w:rsid w:val="00455886"/>
    <w:rsid w:val="0045686A"/>
    <w:rsid w:val="00460800"/>
    <w:rsid w:val="00461BF7"/>
    <w:rsid w:val="0046291C"/>
    <w:rsid w:val="00462D46"/>
    <w:rsid w:val="00463074"/>
    <w:rsid w:val="004636F0"/>
    <w:rsid w:val="00463D19"/>
    <w:rsid w:val="00464497"/>
    <w:rsid w:val="00464C02"/>
    <w:rsid w:val="00465671"/>
    <w:rsid w:val="00465CAB"/>
    <w:rsid w:val="00465D5C"/>
    <w:rsid w:val="00466142"/>
    <w:rsid w:val="004664AD"/>
    <w:rsid w:val="00466521"/>
    <w:rsid w:val="0046658C"/>
    <w:rsid w:val="00466862"/>
    <w:rsid w:val="00466C2D"/>
    <w:rsid w:val="00466E8A"/>
    <w:rsid w:val="00466FBD"/>
    <w:rsid w:val="004671DA"/>
    <w:rsid w:val="00467457"/>
    <w:rsid w:val="004674E8"/>
    <w:rsid w:val="00467CD1"/>
    <w:rsid w:val="00470147"/>
    <w:rsid w:val="00470726"/>
    <w:rsid w:val="00470AD7"/>
    <w:rsid w:val="00470D0A"/>
    <w:rsid w:val="0047121C"/>
    <w:rsid w:val="00471304"/>
    <w:rsid w:val="00472AD4"/>
    <w:rsid w:val="00473F89"/>
    <w:rsid w:val="004740C7"/>
    <w:rsid w:val="004742B2"/>
    <w:rsid w:val="0047431C"/>
    <w:rsid w:val="004744E1"/>
    <w:rsid w:val="00474696"/>
    <w:rsid w:val="004751CB"/>
    <w:rsid w:val="00480998"/>
    <w:rsid w:val="00480D5D"/>
    <w:rsid w:val="00480EFA"/>
    <w:rsid w:val="0048100A"/>
    <w:rsid w:val="004810A7"/>
    <w:rsid w:val="004833DE"/>
    <w:rsid w:val="00483D41"/>
    <w:rsid w:val="004844E4"/>
    <w:rsid w:val="0048539D"/>
    <w:rsid w:val="00485795"/>
    <w:rsid w:val="00485B37"/>
    <w:rsid w:val="00490225"/>
    <w:rsid w:val="00490373"/>
    <w:rsid w:val="0049039A"/>
    <w:rsid w:val="00490F77"/>
    <w:rsid w:val="004912C0"/>
    <w:rsid w:val="004913C1"/>
    <w:rsid w:val="00491499"/>
    <w:rsid w:val="00492891"/>
    <w:rsid w:val="00493D61"/>
    <w:rsid w:val="004963B6"/>
    <w:rsid w:val="0049732A"/>
    <w:rsid w:val="004A0C75"/>
    <w:rsid w:val="004A1325"/>
    <w:rsid w:val="004A162E"/>
    <w:rsid w:val="004A1DAF"/>
    <w:rsid w:val="004A1ED0"/>
    <w:rsid w:val="004A425A"/>
    <w:rsid w:val="004A456F"/>
    <w:rsid w:val="004A4EC3"/>
    <w:rsid w:val="004A6130"/>
    <w:rsid w:val="004A6EE4"/>
    <w:rsid w:val="004A70EA"/>
    <w:rsid w:val="004A769D"/>
    <w:rsid w:val="004A7751"/>
    <w:rsid w:val="004B0718"/>
    <w:rsid w:val="004B1475"/>
    <w:rsid w:val="004B1DAB"/>
    <w:rsid w:val="004B1F67"/>
    <w:rsid w:val="004B2301"/>
    <w:rsid w:val="004B237D"/>
    <w:rsid w:val="004B3061"/>
    <w:rsid w:val="004B6BE3"/>
    <w:rsid w:val="004B757F"/>
    <w:rsid w:val="004B7D48"/>
    <w:rsid w:val="004C07EB"/>
    <w:rsid w:val="004C099A"/>
    <w:rsid w:val="004C1E1A"/>
    <w:rsid w:val="004C1E60"/>
    <w:rsid w:val="004C1E84"/>
    <w:rsid w:val="004C2008"/>
    <w:rsid w:val="004C24FB"/>
    <w:rsid w:val="004C343F"/>
    <w:rsid w:val="004C3B79"/>
    <w:rsid w:val="004C3E49"/>
    <w:rsid w:val="004C4E44"/>
    <w:rsid w:val="004C5AF9"/>
    <w:rsid w:val="004C6500"/>
    <w:rsid w:val="004C65F0"/>
    <w:rsid w:val="004C6F10"/>
    <w:rsid w:val="004C72F4"/>
    <w:rsid w:val="004C7479"/>
    <w:rsid w:val="004D1451"/>
    <w:rsid w:val="004D3114"/>
    <w:rsid w:val="004D35B7"/>
    <w:rsid w:val="004D3A88"/>
    <w:rsid w:val="004D4087"/>
    <w:rsid w:val="004D5C51"/>
    <w:rsid w:val="004D5E04"/>
    <w:rsid w:val="004D5E8B"/>
    <w:rsid w:val="004D60DA"/>
    <w:rsid w:val="004D68AC"/>
    <w:rsid w:val="004D6ADC"/>
    <w:rsid w:val="004D7653"/>
    <w:rsid w:val="004E0D8B"/>
    <w:rsid w:val="004E1568"/>
    <w:rsid w:val="004E230F"/>
    <w:rsid w:val="004E2963"/>
    <w:rsid w:val="004E2FCF"/>
    <w:rsid w:val="004E356C"/>
    <w:rsid w:val="004E61AC"/>
    <w:rsid w:val="004E6A34"/>
    <w:rsid w:val="004E70F8"/>
    <w:rsid w:val="004E7AB4"/>
    <w:rsid w:val="004F0234"/>
    <w:rsid w:val="004F137D"/>
    <w:rsid w:val="004F1BBF"/>
    <w:rsid w:val="004F302A"/>
    <w:rsid w:val="004F3319"/>
    <w:rsid w:val="004F38A3"/>
    <w:rsid w:val="004F4733"/>
    <w:rsid w:val="004F48F1"/>
    <w:rsid w:val="004F4EE3"/>
    <w:rsid w:val="004F5D39"/>
    <w:rsid w:val="004F6F59"/>
    <w:rsid w:val="004F7142"/>
    <w:rsid w:val="005005AC"/>
    <w:rsid w:val="0050279B"/>
    <w:rsid w:val="00502EC1"/>
    <w:rsid w:val="00502F16"/>
    <w:rsid w:val="0050380D"/>
    <w:rsid w:val="00504242"/>
    <w:rsid w:val="00505B4A"/>
    <w:rsid w:val="00506672"/>
    <w:rsid w:val="005068C6"/>
    <w:rsid w:val="0050786D"/>
    <w:rsid w:val="005110F5"/>
    <w:rsid w:val="00512140"/>
    <w:rsid w:val="0051417D"/>
    <w:rsid w:val="00514209"/>
    <w:rsid w:val="00514B85"/>
    <w:rsid w:val="00516086"/>
    <w:rsid w:val="005162C8"/>
    <w:rsid w:val="005162F0"/>
    <w:rsid w:val="00516F95"/>
    <w:rsid w:val="00517786"/>
    <w:rsid w:val="00517D57"/>
    <w:rsid w:val="005205C5"/>
    <w:rsid w:val="005217E9"/>
    <w:rsid w:val="00521D90"/>
    <w:rsid w:val="00522647"/>
    <w:rsid w:val="005228A9"/>
    <w:rsid w:val="00522C82"/>
    <w:rsid w:val="005231CA"/>
    <w:rsid w:val="005237A3"/>
    <w:rsid w:val="0052491F"/>
    <w:rsid w:val="00525185"/>
    <w:rsid w:val="00525351"/>
    <w:rsid w:val="005254D6"/>
    <w:rsid w:val="0052565E"/>
    <w:rsid w:val="005262EF"/>
    <w:rsid w:val="005268DE"/>
    <w:rsid w:val="00527C21"/>
    <w:rsid w:val="00530B8D"/>
    <w:rsid w:val="00531D5C"/>
    <w:rsid w:val="00532C3D"/>
    <w:rsid w:val="005344A2"/>
    <w:rsid w:val="005352A2"/>
    <w:rsid w:val="005359E7"/>
    <w:rsid w:val="00535B6D"/>
    <w:rsid w:val="00536568"/>
    <w:rsid w:val="005372FC"/>
    <w:rsid w:val="00537A18"/>
    <w:rsid w:val="00537D63"/>
    <w:rsid w:val="00540BAD"/>
    <w:rsid w:val="00541910"/>
    <w:rsid w:val="0054242A"/>
    <w:rsid w:val="0054257C"/>
    <w:rsid w:val="00543128"/>
    <w:rsid w:val="00543ACF"/>
    <w:rsid w:val="00543F1C"/>
    <w:rsid w:val="005455AF"/>
    <w:rsid w:val="00545B7F"/>
    <w:rsid w:val="00550AA3"/>
    <w:rsid w:val="005513FD"/>
    <w:rsid w:val="00551B28"/>
    <w:rsid w:val="00552CF1"/>
    <w:rsid w:val="00553B1C"/>
    <w:rsid w:val="005544F5"/>
    <w:rsid w:val="00555512"/>
    <w:rsid w:val="00555A76"/>
    <w:rsid w:val="005601FC"/>
    <w:rsid w:val="005608B6"/>
    <w:rsid w:val="00560D3C"/>
    <w:rsid w:val="00560E0E"/>
    <w:rsid w:val="00561195"/>
    <w:rsid w:val="005618DF"/>
    <w:rsid w:val="00561A6A"/>
    <w:rsid w:val="00561E58"/>
    <w:rsid w:val="005620B6"/>
    <w:rsid w:val="00563449"/>
    <w:rsid w:val="00563818"/>
    <w:rsid w:val="0056395D"/>
    <w:rsid w:val="00563E7F"/>
    <w:rsid w:val="0056427E"/>
    <w:rsid w:val="0056484E"/>
    <w:rsid w:val="00564871"/>
    <w:rsid w:val="00564CA3"/>
    <w:rsid w:val="00564E4C"/>
    <w:rsid w:val="00564F20"/>
    <w:rsid w:val="005657E3"/>
    <w:rsid w:val="00566060"/>
    <w:rsid w:val="00566D01"/>
    <w:rsid w:val="005675E9"/>
    <w:rsid w:val="00567848"/>
    <w:rsid w:val="00567908"/>
    <w:rsid w:val="00567975"/>
    <w:rsid w:val="00567A6E"/>
    <w:rsid w:val="00567BED"/>
    <w:rsid w:val="005706A4"/>
    <w:rsid w:val="00571302"/>
    <w:rsid w:val="00572E44"/>
    <w:rsid w:val="00573371"/>
    <w:rsid w:val="005735CE"/>
    <w:rsid w:val="00574C1D"/>
    <w:rsid w:val="00574D97"/>
    <w:rsid w:val="0057561B"/>
    <w:rsid w:val="005767F4"/>
    <w:rsid w:val="00577744"/>
    <w:rsid w:val="005805B6"/>
    <w:rsid w:val="00581611"/>
    <w:rsid w:val="00581D63"/>
    <w:rsid w:val="0058254D"/>
    <w:rsid w:val="0058270F"/>
    <w:rsid w:val="005830BF"/>
    <w:rsid w:val="00583B9A"/>
    <w:rsid w:val="005853E5"/>
    <w:rsid w:val="005869B7"/>
    <w:rsid w:val="005907EC"/>
    <w:rsid w:val="00590F21"/>
    <w:rsid w:val="005911D7"/>
    <w:rsid w:val="0059177C"/>
    <w:rsid w:val="0059183D"/>
    <w:rsid w:val="00592623"/>
    <w:rsid w:val="00593F94"/>
    <w:rsid w:val="0059414D"/>
    <w:rsid w:val="00596734"/>
    <w:rsid w:val="00596DC6"/>
    <w:rsid w:val="00596F06"/>
    <w:rsid w:val="005978E5"/>
    <w:rsid w:val="00597C3C"/>
    <w:rsid w:val="00597DDA"/>
    <w:rsid w:val="005A0677"/>
    <w:rsid w:val="005A06E8"/>
    <w:rsid w:val="005A2419"/>
    <w:rsid w:val="005A2D29"/>
    <w:rsid w:val="005A3920"/>
    <w:rsid w:val="005A3BDC"/>
    <w:rsid w:val="005A471F"/>
    <w:rsid w:val="005A4868"/>
    <w:rsid w:val="005A4C5C"/>
    <w:rsid w:val="005A5627"/>
    <w:rsid w:val="005A5B6D"/>
    <w:rsid w:val="005A65FA"/>
    <w:rsid w:val="005A75F8"/>
    <w:rsid w:val="005B0BA3"/>
    <w:rsid w:val="005B1F87"/>
    <w:rsid w:val="005B2248"/>
    <w:rsid w:val="005B274E"/>
    <w:rsid w:val="005B31C8"/>
    <w:rsid w:val="005B36B4"/>
    <w:rsid w:val="005B3C11"/>
    <w:rsid w:val="005B4949"/>
    <w:rsid w:val="005B4AA5"/>
    <w:rsid w:val="005B4FDB"/>
    <w:rsid w:val="005B5BA6"/>
    <w:rsid w:val="005B614A"/>
    <w:rsid w:val="005B61BB"/>
    <w:rsid w:val="005B6F5F"/>
    <w:rsid w:val="005B703B"/>
    <w:rsid w:val="005B7227"/>
    <w:rsid w:val="005B7F9E"/>
    <w:rsid w:val="005C0026"/>
    <w:rsid w:val="005C0841"/>
    <w:rsid w:val="005C16CA"/>
    <w:rsid w:val="005C2EB6"/>
    <w:rsid w:val="005C3479"/>
    <w:rsid w:val="005C388F"/>
    <w:rsid w:val="005C4083"/>
    <w:rsid w:val="005C4AA0"/>
    <w:rsid w:val="005C52D4"/>
    <w:rsid w:val="005C5600"/>
    <w:rsid w:val="005C59CD"/>
    <w:rsid w:val="005C6209"/>
    <w:rsid w:val="005C6B11"/>
    <w:rsid w:val="005C6CF1"/>
    <w:rsid w:val="005C7037"/>
    <w:rsid w:val="005C706F"/>
    <w:rsid w:val="005C7D53"/>
    <w:rsid w:val="005C7F2C"/>
    <w:rsid w:val="005C7FC3"/>
    <w:rsid w:val="005D2B7F"/>
    <w:rsid w:val="005D2BA2"/>
    <w:rsid w:val="005D3C4C"/>
    <w:rsid w:val="005D47E2"/>
    <w:rsid w:val="005D4847"/>
    <w:rsid w:val="005D520E"/>
    <w:rsid w:val="005D6065"/>
    <w:rsid w:val="005D60BD"/>
    <w:rsid w:val="005D635D"/>
    <w:rsid w:val="005E02FA"/>
    <w:rsid w:val="005E1F13"/>
    <w:rsid w:val="005E3F95"/>
    <w:rsid w:val="005E448D"/>
    <w:rsid w:val="005E4DCD"/>
    <w:rsid w:val="005E57FA"/>
    <w:rsid w:val="005E5AB3"/>
    <w:rsid w:val="005E64FC"/>
    <w:rsid w:val="005E6970"/>
    <w:rsid w:val="005E7DBB"/>
    <w:rsid w:val="005F033E"/>
    <w:rsid w:val="005F196A"/>
    <w:rsid w:val="005F1B66"/>
    <w:rsid w:val="005F2646"/>
    <w:rsid w:val="005F29E0"/>
    <w:rsid w:val="005F332D"/>
    <w:rsid w:val="005F3DE5"/>
    <w:rsid w:val="005F457D"/>
    <w:rsid w:val="005F49BE"/>
    <w:rsid w:val="005F52D5"/>
    <w:rsid w:val="005F574F"/>
    <w:rsid w:val="005F74AA"/>
    <w:rsid w:val="00601E99"/>
    <w:rsid w:val="006023A4"/>
    <w:rsid w:val="006040E5"/>
    <w:rsid w:val="00604B68"/>
    <w:rsid w:val="0060684D"/>
    <w:rsid w:val="00606F63"/>
    <w:rsid w:val="006073E9"/>
    <w:rsid w:val="006075F5"/>
    <w:rsid w:val="006100C4"/>
    <w:rsid w:val="006109F3"/>
    <w:rsid w:val="00610A4E"/>
    <w:rsid w:val="00610BA3"/>
    <w:rsid w:val="0061173E"/>
    <w:rsid w:val="0061186A"/>
    <w:rsid w:val="00611E42"/>
    <w:rsid w:val="00616230"/>
    <w:rsid w:val="006172D7"/>
    <w:rsid w:val="0061757D"/>
    <w:rsid w:val="00617842"/>
    <w:rsid w:val="00617C93"/>
    <w:rsid w:val="00617D36"/>
    <w:rsid w:val="00620D61"/>
    <w:rsid w:val="006213A0"/>
    <w:rsid w:val="00621645"/>
    <w:rsid w:val="006217CE"/>
    <w:rsid w:val="00621C3B"/>
    <w:rsid w:val="00621C6D"/>
    <w:rsid w:val="0062213B"/>
    <w:rsid w:val="00622663"/>
    <w:rsid w:val="006226D3"/>
    <w:rsid w:val="00622E85"/>
    <w:rsid w:val="00624564"/>
    <w:rsid w:val="00624B8E"/>
    <w:rsid w:val="006250A9"/>
    <w:rsid w:val="006252E5"/>
    <w:rsid w:val="00625BE6"/>
    <w:rsid w:val="00625C49"/>
    <w:rsid w:val="00626C26"/>
    <w:rsid w:val="00627D67"/>
    <w:rsid w:val="00627FE4"/>
    <w:rsid w:val="006302C4"/>
    <w:rsid w:val="00630316"/>
    <w:rsid w:val="006308BE"/>
    <w:rsid w:val="00630CE0"/>
    <w:rsid w:val="00632346"/>
    <w:rsid w:val="00632352"/>
    <w:rsid w:val="0063393A"/>
    <w:rsid w:val="00633D4C"/>
    <w:rsid w:val="0063439C"/>
    <w:rsid w:val="00635545"/>
    <w:rsid w:val="0063595D"/>
    <w:rsid w:val="00636281"/>
    <w:rsid w:val="0063632F"/>
    <w:rsid w:val="00636636"/>
    <w:rsid w:val="00636DA8"/>
    <w:rsid w:val="00637078"/>
    <w:rsid w:val="0063723E"/>
    <w:rsid w:val="00637522"/>
    <w:rsid w:val="00637F92"/>
    <w:rsid w:val="00640968"/>
    <w:rsid w:val="00640B04"/>
    <w:rsid w:val="00640B70"/>
    <w:rsid w:val="00640F91"/>
    <w:rsid w:val="00641B22"/>
    <w:rsid w:val="00641D3A"/>
    <w:rsid w:val="006423C3"/>
    <w:rsid w:val="006425AA"/>
    <w:rsid w:val="006428CE"/>
    <w:rsid w:val="00642C0B"/>
    <w:rsid w:val="00643B61"/>
    <w:rsid w:val="00644828"/>
    <w:rsid w:val="00645522"/>
    <w:rsid w:val="00645F2A"/>
    <w:rsid w:val="0064662D"/>
    <w:rsid w:val="00646D45"/>
    <w:rsid w:val="00647027"/>
    <w:rsid w:val="006505C7"/>
    <w:rsid w:val="0065119B"/>
    <w:rsid w:val="00651AE2"/>
    <w:rsid w:val="00653B28"/>
    <w:rsid w:val="00653C76"/>
    <w:rsid w:val="00654F02"/>
    <w:rsid w:val="00655D50"/>
    <w:rsid w:val="00660023"/>
    <w:rsid w:val="006608AD"/>
    <w:rsid w:val="00660A64"/>
    <w:rsid w:val="00660F53"/>
    <w:rsid w:val="00662125"/>
    <w:rsid w:val="00662583"/>
    <w:rsid w:val="006633CF"/>
    <w:rsid w:val="006636A3"/>
    <w:rsid w:val="0066393D"/>
    <w:rsid w:val="00663E39"/>
    <w:rsid w:val="00670197"/>
    <w:rsid w:val="00670514"/>
    <w:rsid w:val="006707B1"/>
    <w:rsid w:val="00671148"/>
    <w:rsid w:val="006713C3"/>
    <w:rsid w:val="006717EC"/>
    <w:rsid w:val="00671969"/>
    <w:rsid w:val="00672549"/>
    <w:rsid w:val="006727BD"/>
    <w:rsid w:val="00672EDA"/>
    <w:rsid w:val="00672FFC"/>
    <w:rsid w:val="00673595"/>
    <w:rsid w:val="00675099"/>
    <w:rsid w:val="0067599F"/>
    <w:rsid w:val="00675BBE"/>
    <w:rsid w:val="00676EA8"/>
    <w:rsid w:val="00677AFB"/>
    <w:rsid w:val="006808B7"/>
    <w:rsid w:val="00680E49"/>
    <w:rsid w:val="00680F18"/>
    <w:rsid w:val="006812E5"/>
    <w:rsid w:val="006813AC"/>
    <w:rsid w:val="00681968"/>
    <w:rsid w:val="00682978"/>
    <w:rsid w:val="00682B5B"/>
    <w:rsid w:val="00682F89"/>
    <w:rsid w:val="00682FE0"/>
    <w:rsid w:val="00683BF8"/>
    <w:rsid w:val="00683C5C"/>
    <w:rsid w:val="00683FA3"/>
    <w:rsid w:val="00684299"/>
    <w:rsid w:val="00686049"/>
    <w:rsid w:val="006860C2"/>
    <w:rsid w:val="0068626A"/>
    <w:rsid w:val="00686719"/>
    <w:rsid w:val="00686ABF"/>
    <w:rsid w:val="006906AE"/>
    <w:rsid w:val="0069092D"/>
    <w:rsid w:val="00690C9D"/>
    <w:rsid w:val="00691AF0"/>
    <w:rsid w:val="006954B4"/>
    <w:rsid w:val="00695E46"/>
    <w:rsid w:val="00695F6E"/>
    <w:rsid w:val="00696E16"/>
    <w:rsid w:val="006977E6"/>
    <w:rsid w:val="006978D7"/>
    <w:rsid w:val="00697E42"/>
    <w:rsid w:val="006A0440"/>
    <w:rsid w:val="006A0DB6"/>
    <w:rsid w:val="006A1556"/>
    <w:rsid w:val="006A1D29"/>
    <w:rsid w:val="006A2FB7"/>
    <w:rsid w:val="006A2FBC"/>
    <w:rsid w:val="006A3E2C"/>
    <w:rsid w:val="006A4BE1"/>
    <w:rsid w:val="006A76AF"/>
    <w:rsid w:val="006B0FC6"/>
    <w:rsid w:val="006B144A"/>
    <w:rsid w:val="006B1A3E"/>
    <w:rsid w:val="006B27C2"/>
    <w:rsid w:val="006B3291"/>
    <w:rsid w:val="006B411D"/>
    <w:rsid w:val="006B454A"/>
    <w:rsid w:val="006B5376"/>
    <w:rsid w:val="006B5EC1"/>
    <w:rsid w:val="006B7EAB"/>
    <w:rsid w:val="006C0C5C"/>
    <w:rsid w:val="006C1102"/>
    <w:rsid w:val="006C1F48"/>
    <w:rsid w:val="006C2F4D"/>
    <w:rsid w:val="006C3A7E"/>
    <w:rsid w:val="006C482B"/>
    <w:rsid w:val="006C6309"/>
    <w:rsid w:val="006C71F3"/>
    <w:rsid w:val="006C795C"/>
    <w:rsid w:val="006C79B8"/>
    <w:rsid w:val="006D12E8"/>
    <w:rsid w:val="006D362A"/>
    <w:rsid w:val="006D428A"/>
    <w:rsid w:val="006D4C7D"/>
    <w:rsid w:val="006D4CF9"/>
    <w:rsid w:val="006D54B1"/>
    <w:rsid w:val="006D5B43"/>
    <w:rsid w:val="006D5B6A"/>
    <w:rsid w:val="006D659F"/>
    <w:rsid w:val="006D6802"/>
    <w:rsid w:val="006D6E41"/>
    <w:rsid w:val="006D6EBE"/>
    <w:rsid w:val="006D703B"/>
    <w:rsid w:val="006D7CEB"/>
    <w:rsid w:val="006E0B94"/>
    <w:rsid w:val="006E0FA9"/>
    <w:rsid w:val="006E14DF"/>
    <w:rsid w:val="006E2007"/>
    <w:rsid w:val="006E213E"/>
    <w:rsid w:val="006E2FAA"/>
    <w:rsid w:val="006E38BD"/>
    <w:rsid w:val="006E4021"/>
    <w:rsid w:val="006E4996"/>
    <w:rsid w:val="006E54BC"/>
    <w:rsid w:val="006E54E5"/>
    <w:rsid w:val="006E795D"/>
    <w:rsid w:val="006E7EB2"/>
    <w:rsid w:val="006F08DD"/>
    <w:rsid w:val="006F41F0"/>
    <w:rsid w:val="006F4842"/>
    <w:rsid w:val="006F4AD0"/>
    <w:rsid w:val="006F4BAC"/>
    <w:rsid w:val="006F6008"/>
    <w:rsid w:val="006F62F7"/>
    <w:rsid w:val="006F64A7"/>
    <w:rsid w:val="006F6A7B"/>
    <w:rsid w:val="006F6CC4"/>
    <w:rsid w:val="006F74D7"/>
    <w:rsid w:val="006F7EB4"/>
    <w:rsid w:val="00700D17"/>
    <w:rsid w:val="00701B24"/>
    <w:rsid w:val="0070206A"/>
    <w:rsid w:val="007025D8"/>
    <w:rsid w:val="007026E4"/>
    <w:rsid w:val="00703061"/>
    <w:rsid w:val="00705890"/>
    <w:rsid w:val="0070592D"/>
    <w:rsid w:val="00705D42"/>
    <w:rsid w:val="00706A05"/>
    <w:rsid w:val="00706E0F"/>
    <w:rsid w:val="007071A0"/>
    <w:rsid w:val="0070787E"/>
    <w:rsid w:val="00707C4C"/>
    <w:rsid w:val="00707F53"/>
    <w:rsid w:val="0071015C"/>
    <w:rsid w:val="00710A9A"/>
    <w:rsid w:val="00711618"/>
    <w:rsid w:val="007122B2"/>
    <w:rsid w:val="00712A0D"/>
    <w:rsid w:val="0071304F"/>
    <w:rsid w:val="00714CAA"/>
    <w:rsid w:val="00715746"/>
    <w:rsid w:val="00715F7D"/>
    <w:rsid w:val="00716396"/>
    <w:rsid w:val="00716CC4"/>
    <w:rsid w:val="00716D56"/>
    <w:rsid w:val="00716FA3"/>
    <w:rsid w:val="0071730D"/>
    <w:rsid w:val="00717FFC"/>
    <w:rsid w:val="007207E7"/>
    <w:rsid w:val="007212CD"/>
    <w:rsid w:val="007216D1"/>
    <w:rsid w:val="00721DEA"/>
    <w:rsid w:val="00722345"/>
    <w:rsid w:val="00722992"/>
    <w:rsid w:val="00723126"/>
    <w:rsid w:val="00723688"/>
    <w:rsid w:val="007240EA"/>
    <w:rsid w:val="00724C14"/>
    <w:rsid w:val="00724CD9"/>
    <w:rsid w:val="00727915"/>
    <w:rsid w:val="007318B6"/>
    <w:rsid w:val="00731EB4"/>
    <w:rsid w:val="007324D5"/>
    <w:rsid w:val="00732DBF"/>
    <w:rsid w:val="00733443"/>
    <w:rsid w:val="00733A4D"/>
    <w:rsid w:val="00734B80"/>
    <w:rsid w:val="007350C8"/>
    <w:rsid w:val="0073650E"/>
    <w:rsid w:val="00740132"/>
    <w:rsid w:val="00740545"/>
    <w:rsid w:val="007409F3"/>
    <w:rsid w:val="007418BD"/>
    <w:rsid w:val="00742154"/>
    <w:rsid w:val="007427D8"/>
    <w:rsid w:val="00742A0C"/>
    <w:rsid w:val="00742EA5"/>
    <w:rsid w:val="00743AF3"/>
    <w:rsid w:val="00744E40"/>
    <w:rsid w:val="00745774"/>
    <w:rsid w:val="00745E94"/>
    <w:rsid w:val="00746B51"/>
    <w:rsid w:val="00747E6D"/>
    <w:rsid w:val="00750D97"/>
    <w:rsid w:val="0075130A"/>
    <w:rsid w:val="0075236B"/>
    <w:rsid w:val="007533EF"/>
    <w:rsid w:val="00754DEE"/>
    <w:rsid w:val="00755206"/>
    <w:rsid w:val="0075549D"/>
    <w:rsid w:val="007575F7"/>
    <w:rsid w:val="007576F1"/>
    <w:rsid w:val="007600B5"/>
    <w:rsid w:val="0076064A"/>
    <w:rsid w:val="0076084E"/>
    <w:rsid w:val="00761324"/>
    <w:rsid w:val="0076181A"/>
    <w:rsid w:val="00761F79"/>
    <w:rsid w:val="00762522"/>
    <w:rsid w:val="00762C54"/>
    <w:rsid w:val="00763FAD"/>
    <w:rsid w:val="00764D9C"/>
    <w:rsid w:val="00765132"/>
    <w:rsid w:val="0076656D"/>
    <w:rsid w:val="0077049E"/>
    <w:rsid w:val="00770D36"/>
    <w:rsid w:val="00771220"/>
    <w:rsid w:val="00772FC8"/>
    <w:rsid w:val="00773833"/>
    <w:rsid w:val="00774AFF"/>
    <w:rsid w:val="00776F1E"/>
    <w:rsid w:val="00777B6C"/>
    <w:rsid w:val="007818B7"/>
    <w:rsid w:val="00781AE6"/>
    <w:rsid w:val="0078224B"/>
    <w:rsid w:val="0078288B"/>
    <w:rsid w:val="007829B7"/>
    <w:rsid w:val="00783B0E"/>
    <w:rsid w:val="0078493F"/>
    <w:rsid w:val="00784A79"/>
    <w:rsid w:val="0078611A"/>
    <w:rsid w:val="00786996"/>
    <w:rsid w:val="00787D43"/>
    <w:rsid w:val="00787DDC"/>
    <w:rsid w:val="007901E0"/>
    <w:rsid w:val="00790627"/>
    <w:rsid w:val="00790DFD"/>
    <w:rsid w:val="00791835"/>
    <w:rsid w:val="0079205F"/>
    <w:rsid w:val="00794C78"/>
    <w:rsid w:val="00794F11"/>
    <w:rsid w:val="007950E5"/>
    <w:rsid w:val="00795744"/>
    <w:rsid w:val="00795ABE"/>
    <w:rsid w:val="00796426"/>
    <w:rsid w:val="00796C8B"/>
    <w:rsid w:val="00797ED3"/>
    <w:rsid w:val="007A0DB1"/>
    <w:rsid w:val="007A1011"/>
    <w:rsid w:val="007A2A28"/>
    <w:rsid w:val="007A38E2"/>
    <w:rsid w:val="007A3E43"/>
    <w:rsid w:val="007A5C7F"/>
    <w:rsid w:val="007A5E7A"/>
    <w:rsid w:val="007A606C"/>
    <w:rsid w:val="007A7979"/>
    <w:rsid w:val="007B03E1"/>
    <w:rsid w:val="007B053A"/>
    <w:rsid w:val="007B19B2"/>
    <w:rsid w:val="007B1D6F"/>
    <w:rsid w:val="007B20A5"/>
    <w:rsid w:val="007B25E2"/>
    <w:rsid w:val="007B2B44"/>
    <w:rsid w:val="007B50BE"/>
    <w:rsid w:val="007B57CD"/>
    <w:rsid w:val="007B64AF"/>
    <w:rsid w:val="007C00DA"/>
    <w:rsid w:val="007C0873"/>
    <w:rsid w:val="007C2268"/>
    <w:rsid w:val="007C5F47"/>
    <w:rsid w:val="007C66B5"/>
    <w:rsid w:val="007C7B0C"/>
    <w:rsid w:val="007D06C8"/>
    <w:rsid w:val="007D0AB8"/>
    <w:rsid w:val="007D1297"/>
    <w:rsid w:val="007D2C19"/>
    <w:rsid w:val="007D38B3"/>
    <w:rsid w:val="007D4F0A"/>
    <w:rsid w:val="007D51A8"/>
    <w:rsid w:val="007D6A65"/>
    <w:rsid w:val="007D7169"/>
    <w:rsid w:val="007D7E84"/>
    <w:rsid w:val="007E033C"/>
    <w:rsid w:val="007E184F"/>
    <w:rsid w:val="007E28D6"/>
    <w:rsid w:val="007E32D4"/>
    <w:rsid w:val="007E3CA4"/>
    <w:rsid w:val="007E51C0"/>
    <w:rsid w:val="007E5669"/>
    <w:rsid w:val="007E5CB3"/>
    <w:rsid w:val="007E77BC"/>
    <w:rsid w:val="007F0551"/>
    <w:rsid w:val="007F0FCB"/>
    <w:rsid w:val="007F181A"/>
    <w:rsid w:val="007F1C04"/>
    <w:rsid w:val="007F26B0"/>
    <w:rsid w:val="007F2C98"/>
    <w:rsid w:val="007F470B"/>
    <w:rsid w:val="007F4D83"/>
    <w:rsid w:val="007F4E54"/>
    <w:rsid w:val="0080033E"/>
    <w:rsid w:val="00800804"/>
    <w:rsid w:val="008011D6"/>
    <w:rsid w:val="008020BE"/>
    <w:rsid w:val="008029CE"/>
    <w:rsid w:val="00802F51"/>
    <w:rsid w:val="00803FF1"/>
    <w:rsid w:val="008050C3"/>
    <w:rsid w:val="00805CC0"/>
    <w:rsid w:val="00805E05"/>
    <w:rsid w:val="00806C79"/>
    <w:rsid w:val="00807592"/>
    <w:rsid w:val="0081148E"/>
    <w:rsid w:val="00812DE6"/>
    <w:rsid w:val="00813540"/>
    <w:rsid w:val="00814B8E"/>
    <w:rsid w:val="00814BD1"/>
    <w:rsid w:val="00816DE6"/>
    <w:rsid w:val="00817116"/>
    <w:rsid w:val="0081758C"/>
    <w:rsid w:val="00817FD0"/>
    <w:rsid w:val="00820EA8"/>
    <w:rsid w:val="00821B3D"/>
    <w:rsid w:val="0082269D"/>
    <w:rsid w:val="008242BD"/>
    <w:rsid w:val="00824EEE"/>
    <w:rsid w:val="008251D4"/>
    <w:rsid w:val="00825790"/>
    <w:rsid w:val="00825CE5"/>
    <w:rsid w:val="00825D5F"/>
    <w:rsid w:val="00826C18"/>
    <w:rsid w:val="00826DAA"/>
    <w:rsid w:val="0083082D"/>
    <w:rsid w:val="00830959"/>
    <w:rsid w:val="00833014"/>
    <w:rsid w:val="00833563"/>
    <w:rsid w:val="00833C64"/>
    <w:rsid w:val="00834B1A"/>
    <w:rsid w:val="00834C88"/>
    <w:rsid w:val="00835000"/>
    <w:rsid w:val="00835CAF"/>
    <w:rsid w:val="00837A50"/>
    <w:rsid w:val="00840357"/>
    <w:rsid w:val="00842449"/>
    <w:rsid w:val="0084262E"/>
    <w:rsid w:val="00843134"/>
    <w:rsid w:val="008446F1"/>
    <w:rsid w:val="00844A57"/>
    <w:rsid w:val="00844A70"/>
    <w:rsid w:val="00845E7B"/>
    <w:rsid w:val="0084683B"/>
    <w:rsid w:val="008475DE"/>
    <w:rsid w:val="008525BA"/>
    <w:rsid w:val="00854B07"/>
    <w:rsid w:val="008552AD"/>
    <w:rsid w:val="00856015"/>
    <w:rsid w:val="00856170"/>
    <w:rsid w:val="008561C5"/>
    <w:rsid w:val="00856252"/>
    <w:rsid w:val="00856746"/>
    <w:rsid w:val="008611E8"/>
    <w:rsid w:val="0086146C"/>
    <w:rsid w:val="00862896"/>
    <w:rsid w:val="00862D49"/>
    <w:rsid w:val="008633E9"/>
    <w:rsid w:val="008643A4"/>
    <w:rsid w:val="008648AA"/>
    <w:rsid w:val="00865521"/>
    <w:rsid w:val="00865BF1"/>
    <w:rsid w:val="00866507"/>
    <w:rsid w:val="00866C32"/>
    <w:rsid w:val="00867DC9"/>
    <w:rsid w:val="0087046A"/>
    <w:rsid w:val="008711DB"/>
    <w:rsid w:val="008714F9"/>
    <w:rsid w:val="00871873"/>
    <w:rsid w:val="00871EEF"/>
    <w:rsid w:val="00872509"/>
    <w:rsid w:val="00873F31"/>
    <w:rsid w:val="00873F54"/>
    <w:rsid w:val="008745A5"/>
    <w:rsid w:val="008748D0"/>
    <w:rsid w:val="00874DA3"/>
    <w:rsid w:val="00875F12"/>
    <w:rsid w:val="00876188"/>
    <w:rsid w:val="00877C0C"/>
    <w:rsid w:val="00881B55"/>
    <w:rsid w:val="00882633"/>
    <w:rsid w:val="008839EB"/>
    <w:rsid w:val="008842A3"/>
    <w:rsid w:val="00884C9D"/>
    <w:rsid w:val="00885098"/>
    <w:rsid w:val="00885543"/>
    <w:rsid w:val="008856E5"/>
    <w:rsid w:val="008860A9"/>
    <w:rsid w:val="00886D95"/>
    <w:rsid w:val="00887E02"/>
    <w:rsid w:val="008902EC"/>
    <w:rsid w:val="00890A88"/>
    <w:rsid w:val="00890E55"/>
    <w:rsid w:val="008910FA"/>
    <w:rsid w:val="00894222"/>
    <w:rsid w:val="00895179"/>
    <w:rsid w:val="00895DE3"/>
    <w:rsid w:val="00896060"/>
    <w:rsid w:val="00896553"/>
    <w:rsid w:val="008965BA"/>
    <w:rsid w:val="00897002"/>
    <w:rsid w:val="008978E3"/>
    <w:rsid w:val="008A0326"/>
    <w:rsid w:val="008A0CBA"/>
    <w:rsid w:val="008A100E"/>
    <w:rsid w:val="008A1AD9"/>
    <w:rsid w:val="008A1BC3"/>
    <w:rsid w:val="008A2591"/>
    <w:rsid w:val="008A291F"/>
    <w:rsid w:val="008A3096"/>
    <w:rsid w:val="008A37B2"/>
    <w:rsid w:val="008A3BBB"/>
    <w:rsid w:val="008A3DA8"/>
    <w:rsid w:val="008A4007"/>
    <w:rsid w:val="008A45DB"/>
    <w:rsid w:val="008A5237"/>
    <w:rsid w:val="008A6782"/>
    <w:rsid w:val="008A79B2"/>
    <w:rsid w:val="008B130C"/>
    <w:rsid w:val="008B1993"/>
    <w:rsid w:val="008B3FD7"/>
    <w:rsid w:val="008B4277"/>
    <w:rsid w:val="008B4C88"/>
    <w:rsid w:val="008B5564"/>
    <w:rsid w:val="008B5A85"/>
    <w:rsid w:val="008B5CDD"/>
    <w:rsid w:val="008B7036"/>
    <w:rsid w:val="008B7774"/>
    <w:rsid w:val="008C0007"/>
    <w:rsid w:val="008C08C6"/>
    <w:rsid w:val="008C0A23"/>
    <w:rsid w:val="008C0C9D"/>
    <w:rsid w:val="008C0DA7"/>
    <w:rsid w:val="008C192B"/>
    <w:rsid w:val="008C261F"/>
    <w:rsid w:val="008C3FEE"/>
    <w:rsid w:val="008C4C1B"/>
    <w:rsid w:val="008C4C72"/>
    <w:rsid w:val="008C6115"/>
    <w:rsid w:val="008C731F"/>
    <w:rsid w:val="008C771F"/>
    <w:rsid w:val="008D23C1"/>
    <w:rsid w:val="008D26F1"/>
    <w:rsid w:val="008D34D7"/>
    <w:rsid w:val="008D368F"/>
    <w:rsid w:val="008D36CA"/>
    <w:rsid w:val="008D3E02"/>
    <w:rsid w:val="008D411E"/>
    <w:rsid w:val="008D4318"/>
    <w:rsid w:val="008D4B6D"/>
    <w:rsid w:val="008D4BDC"/>
    <w:rsid w:val="008D4E55"/>
    <w:rsid w:val="008D60E3"/>
    <w:rsid w:val="008D6106"/>
    <w:rsid w:val="008D681F"/>
    <w:rsid w:val="008E0056"/>
    <w:rsid w:val="008E07F8"/>
    <w:rsid w:val="008E111D"/>
    <w:rsid w:val="008E14E7"/>
    <w:rsid w:val="008E16B7"/>
    <w:rsid w:val="008E2DCF"/>
    <w:rsid w:val="008E3434"/>
    <w:rsid w:val="008E42FE"/>
    <w:rsid w:val="008E4408"/>
    <w:rsid w:val="008E4F77"/>
    <w:rsid w:val="008E676A"/>
    <w:rsid w:val="008F007A"/>
    <w:rsid w:val="008F018D"/>
    <w:rsid w:val="008F038E"/>
    <w:rsid w:val="008F09F9"/>
    <w:rsid w:val="008F0F98"/>
    <w:rsid w:val="008F1F6A"/>
    <w:rsid w:val="008F2E94"/>
    <w:rsid w:val="008F2EFA"/>
    <w:rsid w:val="008F3013"/>
    <w:rsid w:val="008F3168"/>
    <w:rsid w:val="008F321F"/>
    <w:rsid w:val="008F364E"/>
    <w:rsid w:val="008F3C9B"/>
    <w:rsid w:val="008F3D73"/>
    <w:rsid w:val="008F53EA"/>
    <w:rsid w:val="008F6653"/>
    <w:rsid w:val="008F6A1D"/>
    <w:rsid w:val="008F6E83"/>
    <w:rsid w:val="008F74B9"/>
    <w:rsid w:val="00900CC7"/>
    <w:rsid w:val="009010B3"/>
    <w:rsid w:val="009022D9"/>
    <w:rsid w:val="00902AA3"/>
    <w:rsid w:val="00902B70"/>
    <w:rsid w:val="00903BEC"/>
    <w:rsid w:val="009047B2"/>
    <w:rsid w:val="009049D3"/>
    <w:rsid w:val="00905196"/>
    <w:rsid w:val="0090623A"/>
    <w:rsid w:val="00907242"/>
    <w:rsid w:val="009100BE"/>
    <w:rsid w:val="00910BF0"/>
    <w:rsid w:val="00911B33"/>
    <w:rsid w:val="00911B7D"/>
    <w:rsid w:val="00911F24"/>
    <w:rsid w:val="009129DB"/>
    <w:rsid w:val="00913F5D"/>
    <w:rsid w:val="0091504B"/>
    <w:rsid w:val="00915F3A"/>
    <w:rsid w:val="009163CF"/>
    <w:rsid w:val="0091647B"/>
    <w:rsid w:val="00916A1D"/>
    <w:rsid w:val="00917C9C"/>
    <w:rsid w:val="00920336"/>
    <w:rsid w:val="0092067A"/>
    <w:rsid w:val="00920EFB"/>
    <w:rsid w:val="00921A82"/>
    <w:rsid w:val="009240FA"/>
    <w:rsid w:val="0092435E"/>
    <w:rsid w:val="00924B5E"/>
    <w:rsid w:val="00924EDB"/>
    <w:rsid w:val="00927D47"/>
    <w:rsid w:val="0093096D"/>
    <w:rsid w:val="009318E3"/>
    <w:rsid w:val="00931E6E"/>
    <w:rsid w:val="00932EB6"/>
    <w:rsid w:val="0093335F"/>
    <w:rsid w:val="00933433"/>
    <w:rsid w:val="0093378C"/>
    <w:rsid w:val="00934B65"/>
    <w:rsid w:val="00934F28"/>
    <w:rsid w:val="009359BD"/>
    <w:rsid w:val="009365C9"/>
    <w:rsid w:val="00936C16"/>
    <w:rsid w:val="00936EE8"/>
    <w:rsid w:val="009373D2"/>
    <w:rsid w:val="009379E7"/>
    <w:rsid w:val="00937B3D"/>
    <w:rsid w:val="009407F2"/>
    <w:rsid w:val="00940903"/>
    <w:rsid w:val="00941013"/>
    <w:rsid w:val="00941432"/>
    <w:rsid w:val="009419CD"/>
    <w:rsid w:val="00942B46"/>
    <w:rsid w:val="00944418"/>
    <w:rsid w:val="00945077"/>
    <w:rsid w:val="009463F3"/>
    <w:rsid w:val="0094671E"/>
    <w:rsid w:val="009468F0"/>
    <w:rsid w:val="00947187"/>
    <w:rsid w:val="009500F4"/>
    <w:rsid w:val="0095060D"/>
    <w:rsid w:val="009506A9"/>
    <w:rsid w:val="009514F5"/>
    <w:rsid w:val="009535A7"/>
    <w:rsid w:val="009536C6"/>
    <w:rsid w:val="00954812"/>
    <w:rsid w:val="00957B86"/>
    <w:rsid w:val="00960057"/>
    <w:rsid w:val="009609E7"/>
    <w:rsid w:val="0096109E"/>
    <w:rsid w:val="009624D4"/>
    <w:rsid w:val="00964514"/>
    <w:rsid w:val="009648CE"/>
    <w:rsid w:val="0096494D"/>
    <w:rsid w:val="00964FE7"/>
    <w:rsid w:val="00966D02"/>
    <w:rsid w:val="009679EE"/>
    <w:rsid w:val="00967AF7"/>
    <w:rsid w:val="009701E8"/>
    <w:rsid w:val="00970ECA"/>
    <w:rsid w:val="009743C3"/>
    <w:rsid w:val="00974770"/>
    <w:rsid w:val="0097563F"/>
    <w:rsid w:val="009757AD"/>
    <w:rsid w:val="009764DE"/>
    <w:rsid w:val="00976BD4"/>
    <w:rsid w:val="00977490"/>
    <w:rsid w:val="0098032C"/>
    <w:rsid w:val="00980C2A"/>
    <w:rsid w:val="00980D16"/>
    <w:rsid w:val="00980E3F"/>
    <w:rsid w:val="00980F6C"/>
    <w:rsid w:val="00981E21"/>
    <w:rsid w:val="00982C52"/>
    <w:rsid w:val="00983D11"/>
    <w:rsid w:val="00984227"/>
    <w:rsid w:val="00984B1A"/>
    <w:rsid w:val="00984DB0"/>
    <w:rsid w:val="00985BA5"/>
    <w:rsid w:val="0098656A"/>
    <w:rsid w:val="009867CF"/>
    <w:rsid w:val="00986DAC"/>
    <w:rsid w:val="00987CA2"/>
    <w:rsid w:val="009903DD"/>
    <w:rsid w:val="009908F3"/>
    <w:rsid w:val="0099339E"/>
    <w:rsid w:val="009943C7"/>
    <w:rsid w:val="00994D56"/>
    <w:rsid w:val="00995029"/>
    <w:rsid w:val="00995330"/>
    <w:rsid w:val="00995EFD"/>
    <w:rsid w:val="0099632C"/>
    <w:rsid w:val="0099723A"/>
    <w:rsid w:val="009A0DB3"/>
    <w:rsid w:val="009A1CDD"/>
    <w:rsid w:val="009A1DBD"/>
    <w:rsid w:val="009A266B"/>
    <w:rsid w:val="009A2FFA"/>
    <w:rsid w:val="009A304D"/>
    <w:rsid w:val="009A3F03"/>
    <w:rsid w:val="009A4A7E"/>
    <w:rsid w:val="009A4FC7"/>
    <w:rsid w:val="009A6F31"/>
    <w:rsid w:val="009A7E0E"/>
    <w:rsid w:val="009B0858"/>
    <w:rsid w:val="009B3853"/>
    <w:rsid w:val="009B3854"/>
    <w:rsid w:val="009B3A75"/>
    <w:rsid w:val="009B49AB"/>
    <w:rsid w:val="009B630B"/>
    <w:rsid w:val="009B6D6D"/>
    <w:rsid w:val="009C0555"/>
    <w:rsid w:val="009C072D"/>
    <w:rsid w:val="009C10D2"/>
    <w:rsid w:val="009C1162"/>
    <w:rsid w:val="009C1421"/>
    <w:rsid w:val="009C3642"/>
    <w:rsid w:val="009C4488"/>
    <w:rsid w:val="009C487F"/>
    <w:rsid w:val="009C4ADD"/>
    <w:rsid w:val="009C62FC"/>
    <w:rsid w:val="009D0FD0"/>
    <w:rsid w:val="009D10C1"/>
    <w:rsid w:val="009D172B"/>
    <w:rsid w:val="009D561F"/>
    <w:rsid w:val="009D5F18"/>
    <w:rsid w:val="009D671A"/>
    <w:rsid w:val="009D7255"/>
    <w:rsid w:val="009D7789"/>
    <w:rsid w:val="009E1811"/>
    <w:rsid w:val="009E22AD"/>
    <w:rsid w:val="009E28FA"/>
    <w:rsid w:val="009E29E4"/>
    <w:rsid w:val="009E29E5"/>
    <w:rsid w:val="009E370C"/>
    <w:rsid w:val="009E3749"/>
    <w:rsid w:val="009E409B"/>
    <w:rsid w:val="009E4BB0"/>
    <w:rsid w:val="009E4BB4"/>
    <w:rsid w:val="009E4EAC"/>
    <w:rsid w:val="009E6F57"/>
    <w:rsid w:val="009E70EE"/>
    <w:rsid w:val="009E73D1"/>
    <w:rsid w:val="009F09F1"/>
    <w:rsid w:val="009F0ECF"/>
    <w:rsid w:val="009F195B"/>
    <w:rsid w:val="009F223A"/>
    <w:rsid w:val="009F2A4A"/>
    <w:rsid w:val="009F3A0D"/>
    <w:rsid w:val="009F493C"/>
    <w:rsid w:val="009F4E67"/>
    <w:rsid w:val="009F5F25"/>
    <w:rsid w:val="009F6A13"/>
    <w:rsid w:val="009F7799"/>
    <w:rsid w:val="009F7D0A"/>
    <w:rsid w:val="00A00041"/>
    <w:rsid w:val="00A00BE6"/>
    <w:rsid w:val="00A01ECE"/>
    <w:rsid w:val="00A01F13"/>
    <w:rsid w:val="00A0268F"/>
    <w:rsid w:val="00A033C2"/>
    <w:rsid w:val="00A03449"/>
    <w:rsid w:val="00A034EE"/>
    <w:rsid w:val="00A045F4"/>
    <w:rsid w:val="00A0548B"/>
    <w:rsid w:val="00A05712"/>
    <w:rsid w:val="00A05BCB"/>
    <w:rsid w:val="00A05EF9"/>
    <w:rsid w:val="00A10050"/>
    <w:rsid w:val="00A10A6C"/>
    <w:rsid w:val="00A10AF4"/>
    <w:rsid w:val="00A12F4D"/>
    <w:rsid w:val="00A13176"/>
    <w:rsid w:val="00A1525A"/>
    <w:rsid w:val="00A15AC9"/>
    <w:rsid w:val="00A16427"/>
    <w:rsid w:val="00A16A0B"/>
    <w:rsid w:val="00A16D1C"/>
    <w:rsid w:val="00A16E51"/>
    <w:rsid w:val="00A201F7"/>
    <w:rsid w:val="00A22779"/>
    <w:rsid w:val="00A22F27"/>
    <w:rsid w:val="00A23766"/>
    <w:rsid w:val="00A24820"/>
    <w:rsid w:val="00A24C1C"/>
    <w:rsid w:val="00A25B6C"/>
    <w:rsid w:val="00A25E95"/>
    <w:rsid w:val="00A2710A"/>
    <w:rsid w:val="00A27722"/>
    <w:rsid w:val="00A300EE"/>
    <w:rsid w:val="00A30533"/>
    <w:rsid w:val="00A30AD8"/>
    <w:rsid w:val="00A30E64"/>
    <w:rsid w:val="00A311C4"/>
    <w:rsid w:val="00A31528"/>
    <w:rsid w:val="00A325C3"/>
    <w:rsid w:val="00A325DB"/>
    <w:rsid w:val="00A32686"/>
    <w:rsid w:val="00A3332A"/>
    <w:rsid w:val="00A33568"/>
    <w:rsid w:val="00A34669"/>
    <w:rsid w:val="00A34C18"/>
    <w:rsid w:val="00A352BA"/>
    <w:rsid w:val="00A35917"/>
    <w:rsid w:val="00A36426"/>
    <w:rsid w:val="00A3688A"/>
    <w:rsid w:val="00A3693F"/>
    <w:rsid w:val="00A37228"/>
    <w:rsid w:val="00A3752E"/>
    <w:rsid w:val="00A37752"/>
    <w:rsid w:val="00A37E0D"/>
    <w:rsid w:val="00A37F97"/>
    <w:rsid w:val="00A4057B"/>
    <w:rsid w:val="00A40865"/>
    <w:rsid w:val="00A41450"/>
    <w:rsid w:val="00A41797"/>
    <w:rsid w:val="00A41B19"/>
    <w:rsid w:val="00A42651"/>
    <w:rsid w:val="00A4404B"/>
    <w:rsid w:val="00A44971"/>
    <w:rsid w:val="00A45124"/>
    <w:rsid w:val="00A45FA1"/>
    <w:rsid w:val="00A46259"/>
    <w:rsid w:val="00A474D9"/>
    <w:rsid w:val="00A478E2"/>
    <w:rsid w:val="00A47D20"/>
    <w:rsid w:val="00A47E88"/>
    <w:rsid w:val="00A50FA0"/>
    <w:rsid w:val="00A51FCE"/>
    <w:rsid w:val="00A52123"/>
    <w:rsid w:val="00A5255C"/>
    <w:rsid w:val="00A52B20"/>
    <w:rsid w:val="00A5358D"/>
    <w:rsid w:val="00A53F2B"/>
    <w:rsid w:val="00A54BE2"/>
    <w:rsid w:val="00A54E20"/>
    <w:rsid w:val="00A55ACB"/>
    <w:rsid w:val="00A55B68"/>
    <w:rsid w:val="00A55CF2"/>
    <w:rsid w:val="00A55D56"/>
    <w:rsid w:val="00A560C8"/>
    <w:rsid w:val="00A56760"/>
    <w:rsid w:val="00A56A3B"/>
    <w:rsid w:val="00A56D39"/>
    <w:rsid w:val="00A57F45"/>
    <w:rsid w:val="00A60DC0"/>
    <w:rsid w:val="00A616D7"/>
    <w:rsid w:val="00A623F1"/>
    <w:rsid w:val="00A64228"/>
    <w:rsid w:val="00A6611F"/>
    <w:rsid w:val="00A668FF"/>
    <w:rsid w:val="00A66B7F"/>
    <w:rsid w:val="00A6705E"/>
    <w:rsid w:val="00A673ED"/>
    <w:rsid w:val="00A70127"/>
    <w:rsid w:val="00A717DE"/>
    <w:rsid w:val="00A71CF5"/>
    <w:rsid w:val="00A72278"/>
    <w:rsid w:val="00A7333A"/>
    <w:rsid w:val="00A73630"/>
    <w:rsid w:val="00A7386A"/>
    <w:rsid w:val="00A75226"/>
    <w:rsid w:val="00A755E7"/>
    <w:rsid w:val="00A75743"/>
    <w:rsid w:val="00A758A4"/>
    <w:rsid w:val="00A77753"/>
    <w:rsid w:val="00A80164"/>
    <w:rsid w:val="00A806C7"/>
    <w:rsid w:val="00A819D4"/>
    <w:rsid w:val="00A81B38"/>
    <w:rsid w:val="00A823A7"/>
    <w:rsid w:val="00A82424"/>
    <w:rsid w:val="00A82490"/>
    <w:rsid w:val="00A835B7"/>
    <w:rsid w:val="00A843AD"/>
    <w:rsid w:val="00A85D45"/>
    <w:rsid w:val="00A8615F"/>
    <w:rsid w:val="00A8659B"/>
    <w:rsid w:val="00A86DFA"/>
    <w:rsid w:val="00A901FA"/>
    <w:rsid w:val="00A903EB"/>
    <w:rsid w:val="00A9044C"/>
    <w:rsid w:val="00A90796"/>
    <w:rsid w:val="00A91555"/>
    <w:rsid w:val="00A91AD6"/>
    <w:rsid w:val="00A91B79"/>
    <w:rsid w:val="00A91E4B"/>
    <w:rsid w:val="00A93A2F"/>
    <w:rsid w:val="00A956CB"/>
    <w:rsid w:val="00A95E80"/>
    <w:rsid w:val="00A961DF"/>
    <w:rsid w:val="00A96501"/>
    <w:rsid w:val="00A96A04"/>
    <w:rsid w:val="00A96CC3"/>
    <w:rsid w:val="00AA0796"/>
    <w:rsid w:val="00AA1201"/>
    <w:rsid w:val="00AA21A5"/>
    <w:rsid w:val="00AA2C7C"/>
    <w:rsid w:val="00AA3869"/>
    <w:rsid w:val="00AA4AA4"/>
    <w:rsid w:val="00AA4E5C"/>
    <w:rsid w:val="00AA4E6A"/>
    <w:rsid w:val="00AA4F36"/>
    <w:rsid w:val="00AA5824"/>
    <w:rsid w:val="00AA5A4E"/>
    <w:rsid w:val="00AB0301"/>
    <w:rsid w:val="00AB23A3"/>
    <w:rsid w:val="00AB2E80"/>
    <w:rsid w:val="00AB3D33"/>
    <w:rsid w:val="00AB4981"/>
    <w:rsid w:val="00AB6C39"/>
    <w:rsid w:val="00AB7243"/>
    <w:rsid w:val="00AC1754"/>
    <w:rsid w:val="00AC234E"/>
    <w:rsid w:val="00AC2495"/>
    <w:rsid w:val="00AC32DB"/>
    <w:rsid w:val="00AC3A31"/>
    <w:rsid w:val="00AC3D15"/>
    <w:rsid w:val="00AC490D"/>
    <w:rsid w:val="00AC51DC"/>
    <w:rsid w:val="00AC764E"/>
    <w:rsid w:val="00AC7FC1"/>
    <w:rsid w:val="00AD064F"/>
    <w:rsid w:val="00AD091C"/>
    <w:rsid w:val="00AD094E"/>
    <w:rsid w:val="00AD15F8"/>
    <w:rsid w:val="00AD1602"/>
    <w:rsid w:val="00AD214F"/>
    <w:rsid w:val="00AD378A"/>
    <w:rsid w:val="00AD59C0"/>
    <w:rsid w:val="00AD59E0"/>
    <w:rsid w:val="00AD61CF"/>
    <w:rsid w:val="00AD73FB"/>
    <w:rsid w:val="00AD75E2"/>
    <w:rsid w:val="00AE0FC5"/>
    <w:rsid w:val="00AE2B87"/>
    <w:rsid w:val="00AE3375"/>
    <w:rsid w:val="00AE33A1"/>
    <w:rsid w:val="00AE39EC"/>
    <w:rsid w:val="00AE42AB"/>
    <w:rsid w:val="00AE4634"/>
    <w:rsid w:val="00AE4838"/>
    <w:rsid w:val="00AE51BE"/>
    <w:rsid w:val="00AE56D8"/>
    <w:rsid w:val="00AE619E"/>
    <w:rsid w:val="00AE65DD"/>
    <w:rsid w:val="00AE69E7"/>
    <w:rsid w:val="00AF01DC"/>
    <w:rsid w:val="00AF0CA4"/>
    <w:rsid w:val="00AF1085"/>
    <w:rsid w:val="00AF13F9"/>
    <w:rsid w:val="00AF25F8"/>
    <w:rsid w:val="00AF2F6D"/>
    <w:rsid w:val="00AF41AB"/>
    <w:rsid w:val="00AF445E"/>
    <w:rsid w:val="00AF4D74"/>
    <w:rsid w:val="00AF4EB0"/>
    <w:rsid w:val="00AF5A14"/>
    <w:rsid w:val="00AF5F06"/>
    <w:rsid w:val="00AF60AF"/>
    <w:rsid w:val="00AF63EC"/>
    <w:rsid w:val="00AF6EE9"/>
    <w:rsid w:val="00AF71CF"/>
    <w:rsid w:val="00AF74A2"/>
    <w:rsid w:val="00AF7974"/>
    <w:rsid w:val="00AF797B"/>
    <w:rsid w:val="00AF7B9C"/>
    <w:rsid w:val="00B0050F"/>
    <w:rsid w:val="00B00553"/>
    <w:rsid w:val="00B00716"/>
    <w:rsid w:val="00B00C1B"/>
    <w:rsid w:val="00B01286"/>
    <w:rsid w:val="00B014B9"/>
    <w:rsid w:val="00B01969"/>
    <w:rsid w:val="00B01E50"/>
    <w:rsid w:val="00B01F78"/>
    <w:rsid w:val="00B02DCF"/>
    <w:rsid w:val="00B045FF"/>
    <w:rsid w:val="00B052F9"/>
    <w:rsid w:val="00B054AB"/>
    <w:rsid w:val="00B107CA"/>
    <w:rsid w:val="00B10B0F"/>
    <w:rsid w:val="00B10B54"/>
    <w:rsid w:val="00B10F8A"/>
    <w:rsid w:val="00B11136"/>
    <w:rsid w:val="00B127CA"/>
    <w:rsid w:val="00B133B3"/>
    <w:rsid w:val="00B13578"/>
    <w:rsid w:val="00B13C94"/>
    <w:rsid w:val="00B145A8"/>
    <w:rsid w:val="00B14A17"/>
    <w:rsid w:val="00B14A3A"/>
    <w:rsid w:val="00B16115"/>
    <w:rsid w:val="00B167C7"/>
    <w:rsid w:val="00B1774F"/>
    <w:rsid w:val="00B1790F"/>
    <w:rsid w:val="00B17FE2"/>
    <w:rsid w:val="00B200DF"/>
    <w:rsid w:val="00B203B1"/>
    <w:rsid w:val="00B20584"/>
    <w:rsid w:val="00B214D8"/>
    <w:rsid w:val="00B21D9C"/>
    <w:rsid w:val="00B22236"/>
    <w:rsid w:val="00B23D4E"/>
    <w:rsid w:val="00B2448A"/>
    <w:rsid w:val="00B2460B"/>
    <w:rsid w:val="00B25FBC"/>
    <w:rsid w:val="00B26E72"/>
    <w:rsid w:val="00B276C9"/>
    <w:rsid w:val="00B300F2"/>
    <w:rsid w:val="00B3014C"/>
    <w:rsid w:val="00B3174B"/>
    <w:rsid w:val="00B31887"/>
    <w:rsid w:val="00B31988"/>
    <w:rsid w:val="00B3218D"/>
    <w:rsid w:val="00B321F1"/>
    <w:rsid w:val="00B32C53"/>
    <w:rsid w:val="00B332C0"/>
    <w:rsid w:val="00B33308"/>
    <w:rsid w:val="00B33B99"/>
    <w:rsid w:val="00B343AC"/>
    <w:rsid w:val="00B34F1D"/>
    <w:rsid w:val="00B3578A"/>
    <w:rsid w:val="00B3583E"/>
    <w:rsid w:val="00B36235"/>
    <w:rsid w:val="00B3633E"/>
    <w:rsid w:val="00B3680D"/>
    <w:rsid w:val="00B37B92"/>
    <w:rsid w:val="00B37E02"/>
    <w:rsid w:val="00B37F77"/>
    <w:rsid w:val="00B40F12"/>
    <w:rsid w:val="00B41011"/>
    <w:rsid w:val="00B411A1"/>
    <w:rsid w:val="00B42034"/>
    <w:rsid w:val="00B42EE6"/>
    <w:rsid w:val="00B42F66"/>
    <w:rsid w:val="00B43381"/>
    <w:rsid w:val="00B4357C"/>
    <w:rsid w:val="00B43970"/>
    <w:rsid w:val="00B43B62"/>
    <w:rsid w:val="00B44610"/>
    <w:rsid w:val="00B457F8"/>
    <w:rsid w:val="00B45F63"/>
    <w:rsid w:val="00B46B4D"/>
    <w:rsid w:val="00B47935"/>
    <w:rsid w:val="00B5036F"/>
    <w:rsid w:val="00B50A60"/>
    <w:rsid w:val="00B50B9B"/>
    <w:rsid w:val="00B51575"/>
    <w:rsid w:val="00B520F8"/>
    <w:rsid w:val="00B52AD6"/>
    <w:rsid w:val="00B52B2D"/>
    <w:rsid w:val="00B5399F"/>
    <w:rsid w:val="00B54493"/>
    <w:rsid w:val="00B55530"/>
    <w:rsid w:val="00B55977"/>
    <w:rsid w:val="00B55FCC"/>
    <w:rsid w:val="00B56196"/>
    <w:rsid w:val="00B573B3"/>
    <w:rsid w:val="00B5749D"/>
    <w:rsid w:val="00B575A4"/>
    <w:rsid w:val="00B57ED7"/>
    <w:rsid w:val="00B6058A"/>
    <w:rsid w:val="00B6067E"/>
    <w:rsid w:val="00B61020"/>
    <w:rsid w:val="00B613B6"/>
    <w:rsid w:val="00B63846"/>
    <w:rsid w:val="00B63A00"/>
    <w:rsid w:val="00B642B0"/>
    <w:rsid w:val="00B64B8E"/>
    <w:rsid w:val="00B65347"/>
    <w:rsid w:val="00B6568D"/>
    <w:rsid w:val="00B65DB2"/>
    <w:rsid w:val="00B66D58"/>
    <w:rsid w:val="00B67031"/>
    <w:rsid w:val="00B67ABB"/>
    <w:rsid w:val="00B7003E"/>
    <w:rsid w:val="00B70BDF"/>
    <w:rsid w:val="00B71164"/>
    <w:rsid w:val="00B714CF"/>
    <w:rsid w:val="00B71884"/>
    <w:rsid w:val="00B725E5"/>
    <w:rsid w:val="00B7282C"/>
    <w:rsid w:val="00B730AF"/>
    <w:rsid w:val="00B73383"/>
    <w:rsid w:val="00B7350F"/>
    <w:rsid w:val="00B7425F"/>
    <w:rsid w:val="00B74276"/>
    <w:rsid w:val="00B744F2"/>
    <w:rsid w:val="00B74CD8"/>
    <w:rsid w:val="00B75785"/>
    <w:rsid w:val="00B76246"/>
    <w:rsid w:val="00B7641C"/>
    <w:rsid w:val="00B76E37"/>
    <w:rsid w:val="00B77DB1"/>
    <w:rsid w:val="00B80594"/>
    <w:rsid w:val="00B81B77"/>
    <w:rsid w:val="00B82AA5"/>
    <w:rsid w:val="00B82E4C"/>
    <w:rsid w:val="00B831DF"/>
    <w:rsid w:val="00B84DA1"/>
    <w:rsid w:val="00B860E2"/>
    <w:rsid w:val="00B86DEE"/>
    <w:rsid w:val="00B8706B"/>
    <w:rsid w:val="00B871CC"/>
    <w:rsid w:val="00B87475"/>
    <w:rsid w:val="00B90807"/>
    <w:rsid w:val="00B90ADB"/>
    <w:rsid w:val="00B91ABA"/>
    <w:rsid w:val="00B91DA1"/>
    <w:rsid w:val="00B92909"/>
    <w:rsid w:val="00B92D73"/>
    <w:rsid w:val="00B92E97"/>
    <w:rsid w:val="00B932F8"/>
    <w:rsid w:val="00B939CD"/>
    <w:rsid w:val="00B94CAA"/>
    <w:rsid w:val="00B95B31"/>
    <w:rsid w:val="00B95CB4"/>
    <w:rsid w:val="00B95E74"/>
    <w:rsid w:val="00B95E95"/>
    <w:rsid w:val="00B9679D"/>
    <w:rsid w:val="00BA1AAF"/>
    <w:rsid w:val="00BA1EB5"/>
    <w:rsid w:val="00BA2072"/>
    <w:rsid w:val="00BA2BB5"/>
    <w:rsid w:val="00BA30EE"/>
    <w:rsid w:val="00BA3240"/>
    <w:rsid w:val="00BA36FA"/>
    <w:rsid w:val="00BA3C11"/>
    <w:rsid w:val="00BA4AD8"/>
    <w:rsid w:val="00BA6524"/>
    <w:rsid w:val="00BA6BA7"/>
    <w:rsid w:val="00BA7CF7"/>
    <w:rsid w:val="00BA7EB7"/>
    <w:rsid w:val="00BB018F"/>
    <w:rsid w:val="00BB26FF"/>
    <w:rsid w:val="00BB2932"/>
    <w:rsid w:val="00BB3462"/>
    <w:rsid w:val="00BB3B5C"/>
    <w:rsid w:val="00BB4840"/>
    <w:rsid w:val="00BB4E6C"/>
    <w:rsid w:val="00BB52A2"/>
    <w:rsid w:val="00BB52F0"/>
    <w:rsid w:val="00BB5BC6"/>
    <w:rsid w:val="00BB607E"/>
    <w:rsid w:val="00BB6264"/>
    <w:rsid w:val="00BC01FD"/>
    <w:rsid w:val="00BC027F"/>
    <w:rsid w:val="00BC0962"/>
    <w:rsid w:val="00BC0EB0"/>
    <w:rsid w:val="00BC1881"/>
    <w:rsid w:val="00BC2181"/>
    <w:rsid w:val="00BC34DC"/>
    <w:rsid w:val="00BC35BD"/>
    <w:rsid w:val="00BC4349"/>
    <w:rsid w:val="00BC4F05"/>
    <w:rsid w:val="00BC641F"/>
    <w:rsid w:val="00BC7620"/>
    <w:rsid w:val="00BD06FE"/>
    <w:rsid w:val="00BD2414"/>
    <w:rsid w:val="00BD2873"/>
    <w:rsid w:val="00BD2EE7"/>
    <w:rsid w:val="00BD6752"/>
    <w:rsid w:val="00BD7A73"/>
    <w:rsid w:val="00BE0CF5"/>
    <w:rsid w:val="00BE0F7D"/>
    <w:rsid w:val="00BE136F"/>
    <w:rsid w:val="00BE17CB"/>
    <w:rsid w:val="00BE23B1"/>
    <w:rsid w:val="00BE61CB"/>
    <w:rsid w:val="00BE6DEC"/>
    <w:rsid w:val="00BE7034"/>
    <w:rsid w:val="00BF02AF"/>
    <w:rsid w:val="00BF2653"/>
    <w:rsid w:val="00BF3090"/>
    <w:rsid w:val="00BF3A2F"/>
    <w:rsid w:val="00BF5104"/>
    <w:rsid w:val="00BF524E"/>
    <w:rsid w:val="00BF537E"/>
    <w:rsid w:val="00BF619F"/>
    <w:rsid w:val="00BF630A"/>
    <w:rsid w:val="00BF65B9"/>
    <w:rsid w:val="00BF729F"/>
    <w:rsid w:val="00C00EF1"/>
    <w:rsid w:val="00C039D9"/>
    <w:rsid w:val="00C03B19"/>
    <w:rsid w:val="00C03F22"/>
    <w:rsid w:val="00C03FCA"/>
    <w:rsid w:val="00C046D3"/>
    <w:rsid w:val="00C04E82"/>
    <w:rsid w:val="00C058F9"/>
    <w:rsid w:val="00C05F7B"/>
    <w:rsid w:val="00C1007B"/>
    <w:rsid w:val="00C10925"/>
    <w:rsid w:val="00C1171B"/>
    <w:rsid w:val="00C136B3"/>
    <w:rsid w:val="00C13A5C"/>
    <w:rsid w:val="00C15C3D"/>
    <w:rsid w:val="00C16F0B"/>
    <w:rsid w:val="00C17791"/>
    <w:rsid w:val="00C209F0"/>
    <w:rsid w:val="00C20DA8"/>
    <w:rsid w:val="00C20EAE"/>
    <w:rsid w:val="00C21360"/>
    <w:rsid w:val="00C2193C"/>
    <w:rsid w:val="00C22DE1"/>
    <w:rsid w:val="00C230AB"/>
    <w:rsid w:val="00C23394"/>
    <w:rsid w:val="00C23572"/>
    <w:rsid w:val="00C23575"/>
    <w:rsid w:val="00C23A91"/>
    <w:rsid w:val="00C24688"/>
    <w:rsid w:val="00C24B87"/>
    <w:rsid w:val="00C25CFB"/>
    <w:rsid w:val="00C25EF3"/>
    <w:rsid w:val="00C26485"/>
    <w:rsid w:val="00C265CC"/>
    <w:rsid w:val="00C26CA4"/>
    <w:rsid w:val="00C274CB"/>
    <w:rsid w:val="00C278F2"/>
    <w:rsid w:val="00C30524"/>
    <w:rsid w:val="00C3115A"/>
    <w:rsid w:val="00C325B6"/>
    <w:rsid w:val="00C35246"/>
    <w:rsid w:val="00C354CC"/>
    <w:rsid w:val="00C35D0F"/>
    <w:rsid w:val="00C3745E"/>
    <w:rsid w:val="00C376DA"/>
    <w:rsid w:val="00C3784F"/>
    <w:rsid w:val="00C379EE"/>
    <w:rsid w:val="00C41459"/>
    <w:rsid w:val="00C415D0"/>
    <w:rsid w:val="00C41D0C"/>
    <w:rsid w:val="00C42CDE"/>
    <w:rsid w:val="00C44B82"/>
    <w:rsid w:val="00C45B9B"/>
    <w:rsid w:val="00C4659E"/>
    <w:rsid w:val="00C46D9E"/>
    <w:rsid w:val="00C47800"/>
    <w:rsid w:val="00C510A1"/>
    <w:rsid w:val="00C51358"/>
    <w:rsid w:val="00C515F4"/>
    <w:rsid w:val="00C52B1D"/>
    <w:rsid w:val="00C535B6"/>
    <w:rsid w:val="00C55244"/>
    <w:rsid w:val="00C55876"/>
    <w:rsid w:val="00C561E4"/>
    <w:rsid w:val="00C57A0B"/>
    <w:rsid w:val="00C57BE9"/>
    <w:rsid w:val="00C60384"/>
    <w:rsid w:val="00C606A2"/>
    <w:rsid w:val="00C60777"/>
    <w:rsid w:val="00C616F1"/>
    <w:rsid w:val="00C61E24"/>
    <w:rsid w:val="00C62082"/>
    <w:rsid w:val="00C62549"/>
    <w:rsid w:val="00C6257E"/>
    <w:rsid w:val="00C63144"/>
    <w:rsid w:val="00C63351"/>
    <w:rsid w:val="00C63C06"/>
    <w:rsid w:val="00C64038"/>
    <w:rsid w:val="00C64747"/>
    <w:rsid w:val="00C64E87"/>
    <w:rsid w:val="00C65F2F"/>
    <w:rsid w:val="00C661D7"/>
    <w:rsid w:val="00C7226D"/>
    <w:rsid w:val="00C727DA"/>
    <w:rsid w:val="00C731CE"/>
    <w:rsid w:val="00C733E0"/>
    <w:rsid w:val="00C7433F"/>
    <w:rsid w:val="00C756E8"/>
    <w:rsid w:val="00C76486"/>
    <w:rsid w:val="00C766C4"/>
    <w:rsid w:val="00C7701E"/>
    <w:rsid w:val="00C77BD0"/>
    <w:rsid w:val="00C77F22"/>
    <w:rsid w:val="00C807AE"/>
    <w:rsid w:val="00C80BFB"/>
    <w:rsid w:val="00C80C28"/>
    <w:rsid w:val="00C81809"/>
    <w:rsid w:val="00C82A34"/>
    <w:rsid w:val="00C852B2"/>
    <w:rsid w:val="00C85920"/>
    <w:rsid w:val="00C8738E"/>
    <w:rsid w:val="00C87C59"/>
    <w:rsid w:val="00C925C5"/>
    <w:rsid w:val="00C925DD"/>
    <w:rsid w:val="00C92E73"/>
    <w:rsid w:val="00C92F24"/>
    <w:rsid w:val="00C9352A"/>
    <w:rsid w:val="00C9388A"/>
    <w:rsid w:val="00C9474F"/>
    <w:rsid w:val="00C94E65"/>
    <w:rsid w:val="00C95946"/>
    <w:rsid w:val="00C962F8"/>
    <w:rsid w:val="00C96437"/>
    <w:rsid w:val="00C96A8B"/>
    <w:rsid w:val="00C96F82"/>
    <w:rsid w:val="00C971ED"/>
    <w:rsid w:val="00C97F60"/>
    <w:rsid w:val="00CA3020"/>
    <w:rsid w:val="00CA3BC9"/>
    <w:rsid w:val="00CA4A50"/>
    <w:rsid w:val="00CA4B61"/>
    <w:rsid w:val="00CA54B9"/>
    <w:rsid w:val="00CA5BFD"/>
    <w:rsid w:val="00CA5E2F"/>
    <w:rsid w:val="00CA6354"/>
    <w:rsid w:val="00CA6C0A"/>
    <w:rsid w:val="00CA7C8B"/>
    <w:rsid w:val="00CA7FEF"/>
    <w:rsid w:val="00CB0821"/>
    <w:rsid w:val="00CB0B48"/>
    <w:rsid w:val="00CB1D6D"/>
    <w:rsid w:val="00CB22DD"/>
    <w:rsid w:val="00CB36BD"/>
    <w:rsid w:val="00CB42F4"/>
    <w:rsid w:val="00CB527C"/>
    <w:rsid w:val="00CB66C4"/>
    <w:rsid w:val="00CB6CCD"/>
    <w:rsid w:val="00CB702E"/>
    <w:rsid w:val="00CB7398"/>
    <w:rsid w:val="00CB7BEC"/>
    <w:rsid w:val="00CC00E5"/>
    <w:rsid w:val="00CC132C"/>
    <w:rsid w:val="00CC1C23"/>
    <w:rsid w:val="00CC25D3"/>
    <w:rsid w:val="00CC2917"/>
    <w:rsid w:val="00CC3D42"/>
    <w:rsid w:val="00CC42FA"/>
    <w:rsid w:val="00CC4533"/>
    <w:rsid w:val="00CC523A"/>
    <w:rsid w:val="00CC52BE"/>
    <w:rsid w:val="00CC5EBA"/>
    <w:rsid w:val="00CC66CA"/>
    <w:rsid w:val="00CC6839"/>
    <w:rsid w:val="00CC6BC1"/>
    <w:rsid w:val="00CC6FA5"/>
    <w:rsid w:val="00CC75ED"/>
    <w:rsid w:val="00CC7EAF"/>
    <w:rsid w:val="00CD1310"/>
    <w:rsid w:val="00CD214C"/>
    <w:rsid w:val="00CD3364"/>
    <w:rsid w:val="00CD3AB0"/>
    <w:rsid w:val="00CD4544"/>
    <w:rsid w:val="00CD4688"/>
    <w:rsid w:val="00CD48BF"/>
    <w:rsid w:val="00CD68BF"/>
    <w:rsid w:val="00CD6B0A"/>
    <w:rsid w:val="00CD6B3F"/>
    <w:rsid w:val="00CD7CEA"/>
    <w:rsid w:val="00CE0AFC"/>
    <w:rsid w:val="00CE0DD9"/>
    <w:rsid w:val="00CE16DF"/>
    <w:rsid w:val="00CE1844"/>
    <w:rsid w:val="00CE18ED"/>
    <w:rsid w:val="00CE4398"/>
    <w:rsid w:val="00CE5C52"/>
    <w:rsid w:val="00CE690E"/>
    <w:rsid w:val="00CE738B"/>
    <w:rsid w:val="00CE73DD"/>
    <w:rsid w:val="00CE7A5A"/>
    <w:rsid w:val="00CE7DD3"/>
    <w:rsid w:val="00CF0244"/>
    <w:rsid w:val="00CF2234"/>
    <w:rsid w:val="00CF265B"/>
    <w:rsid w:val="00CF30D7"/>
    <w:rsid w:val="00CF3D9D"/>
    <w:rsid w:val="00CF3FF9"/>
    <w:rsid w:val="00CF4510"/>
    <w:rsid w:val="00CF5889"/>
    <w:rsid w:val="00CF5A06"/>
    <w:rsid w:val="00CF61D9"/>
    <w:rsid w:val="00CF6472"/>
    <w:rsid w:val="00CF6482"/>
    <w:rsid w:val="00CF6FCC"/>
    <w:rsid w:val="00CF7893"/>
    <w:rsid w:val="00D0073B"/>
    <w:rsid w:val="00D00A1E"/>
    <w:rsid w:val="00D01074"/>
    <w:rsid w:val="00D0129C"/>
    <w:rsid w:val="00D02921"/>
    <w:rsid w:val="00D02A61"/>
    <w:rsid w:val="00D02E06"/>
    <w:rsid w:val="00D041B2"/>
    <w:rsid w:val="00D054EE"/>
    <w:rsid w:val="00D06151"/>
    <w:rsid w:val="00D06471"/>
    <w:rsid w:val="00D074F0"/>
    <w:rsid w:val="00D07B0B"/>
    <w:rsid w:val="00D108AF"/>
    <w:rsid w:val="00D118E2"/>
    <w:rsid w:val="00D11BB9"/>
    <w:rsid w:val="00D12B5F"/>
    <w:rsid w:val="00D12F4E"/>
    <w:rsid w:val="00D13FF4"/>
    <w:rsid w:val="00D141C5"/>
    <w:rsid w:val="00D1548F"/>
    <w:rsid w:val="00D15BAD"/>
    <w:rsid w:val="00D162A7"/>
    <w:rsid w:val="00D16451"/>
    <w:rsid w:val="00D204C6"/>
    <w:rsid w:val="00D209F3"/>
    <w:rsid w:val="00D214EA"/>
    <w:rsid w:val="00D22955"/>
    <w:rsid w:val="00D232D6"/>
    <w:rsid w:val="00D24BB3"/>
    <w:rsid w:val="00D2547D"/>
    <w:rsid w:val="00D256AA"/>
    <w:rsid w:val="00D25EFB"/>
    <w:rsid w:val="00D26493"/>
    <w:rsid w:val="00D26647"/>
    <w:rsid w:val="00D27D3F"/>
    <w:rsid w:val="00D27D8E"/>
    <w:rsid w:val="00D30F2A"/>
    <w:rsid w:val="00D3139F"/>
    <w:rsid w:val="00D33A32"/>
    <w:rsid w:val="00D35724"/>
    <w:rsid w:val="00D35BB1"/>
    <w:rsid w:val="00D372B7"/>
    <w:rsid w:val="00D41083"/>
    <w:rsid w:val="00D413FE"/>
    <w:rsid w:val="00D4177C"/>
    <w:rsid w:val="00D41C01"/>
    <w:rsid w:val="00D41CAA"/>
    <w:rsid w:val="00D44167"/>
    <w:rsid w:val="00D44846"/>
    <w:rsid w:val="00D46071"/>
    <w:rsid w:val="00D4661B"/>
    <w:rsid w:val="00D4687B"/>
    <w:rsid w:val="00D4766B"/>
    <w:rsid w:val="00D47CE1"/>
    <w:rsid w:val="00D47E11"/>
    <w:rsid w:val="00D50911"/>
    <w:rsid w:val="00D517FB"/>
    <w:rsid w:val="00D5207E"/>
    <w:rsid w:val="00D52442"/>
    <w:rsid w:val="00D52B1F"/>
    <w:rsid w:val="00D54893"/>
    <w:rsid w:val="00D557CD"/>
    <w:rsid w:val="00D55A8E"/>
    <w:rsid w:val="00D568BB"/>
    <w:rsid w:val="00D57058"/>
    <w:rsid w:val="00D57870"/>
    <w:rsid w:val="00D57895"/>
    <w:rsid w:val="00D57A68"/>
    <w:rsid w:val="00D608D9"/>
    <w:rsid w:val="00D60B02"/>
    <w:rsid w:val="00D611F0"/>
    <w:rsid w:val="00D61670"/>
    <w:rsid w:val="00D621D3"/>
    <w:rsid w:val="00D626AF"/>
    <w:rsid w:val="00D63FB2"/>
    <w:rsid w:val="00D64AA6"/>
    <w:rsid w:val="00D658D8"/>
    <w:rsid w:val="00D6719D"/>
    <w:rsid w:val="00D71076"/>
    <w:rsid w:val="00D717E2"/>
    <w:rsid w:val="00D71FC8"/>
    <w:rsid w:val="00D72F9B"/>
    <w:rsid w:val="00D73163"/>
    <w:rsid w:val="00D73CEE"/>
    <w:rsid w:val="00D73FC2"/>
    <w:rsid w:val="00D74B08"/>
    <w:rsid w:val="00D74E80"/>
    <w:rsid w:val="00D76BC1"/>
    <w:rsid w:val="00D7722A"/>
    <w:rsid w:val="00D77E80"/>
    <w:rsid w:val="00D80922"/>
    <w:rsid w:val="00D80C8F"/>
    <w:rsid w:val="00D81A36"/>
    <w:rsid w:val="00D81E0A"/>
    <w:rsid w:val="00D83ED0"/>
    <w:rsid w:val="00D84A3C"/>
    <w:rsid w:val="00D84E68"/>
    <w:rsid w:val="00D86249"/>
    <w:rsid w:val="00D869D3"/>
    <w:rsid w:val="00D86BC3"/>
    <w:rsid w:val="00D86C8F"/>
    <w:rsid w:val="00D870F2"/>
    <w:rsid w:val="00D871D5"/>
    <w:rsid w:val="00D87A04"/>
    <w:rsid w:val="00D900AE"/>
    <w:rsid w:val="00D91C6E"/>
    <w:rsid w:val="00D93A4B"/>
    <w:rsid w:val="00D93D73"/>
    <w:rsid w:val="00D93E99"/>
    <w:rsid w:val="00D95183"/>
    <w:rsid w:val="00D95D99"/>
    <w:rsid w:val="00D96093"/>
    <w:rsid w:val="00D97BB7"/>
    <w:rsid w:val="00DA2506"/>
    <w:rsid w:val="00DA2CAC"/>
    <w:rsid w:val="00DA3728"/>
    <w:rsid w:val="00DA39DD"/>
    <w:rsid w:val="00DA51DF"/>
    <w:rsid w:val="00DA562A"/>
    <w:rsid w:val="00DA571A"/>
    <w:rsid w:val="00DA5924"/>
    <w:rsid w:val="00DA5F2B"/>
    <w:rsid w:val="00DA678D"/>
    <w:rsid w:val="00DA6BC5"/>
    <w:rsid w:val="00DA7BBD"/>
    <w:rsid w:val="00DB02E4"/>
    <w:rsid w:val="00DB1360"/>
    <w:rsid w:val="00DB1515"/>
    <w:rsid w:val="00DB164F"/>
    <w:rsid w:val="00DB2AAA"/>
    <w:rsid w:val="00DB2B97"/>
    <w:rsid w:val="00DB32C3"/>
    <w:rsid w:val="00DB4A92"/>
    <w:rsid w:val="00DB4AE6"/>
    <w:rsid w:val="00DB4E3E"/>
    <w:rsid w:val="00DB51C4"/>
    <w:rsid w:val="00DB57AC"/>
    <w:rsid w:val="00DB5B32"/>
    <w:rsid w:val="00DB7631"/>
    <w:rsid w:val="00DB7BB1"/>
    <w:rsid w:val="00DB7CDD"/>
    <w:rsid w:val="00DC1E33"/>
    <w:rsid w:val="00DC2778"/>
    <w:rsid w:val="00DC281F"/>
    <w:rsid w:val="00DC3113"/>
    <w:rsid w:val="00DC36EC"/>
    <w:rsid w:val="00DC4BBD"/>
    <w:rsid w:val="00DC4FAA"/>
    <w:rsid w:val="00DC5463"/>
    <w:rsid w:val="00DC5D22"/>
    <w:rsid w:val="00DC6EE5"/>
    <w:rsid w:val="00DC7B40"/>
    <w:rsid w:val="00DD0CCA"/>
    <w:rsid w:val="00DD117A"/>
    <w:rsid w:val="00DD2440"/>
    <w:rsid w:val="00DD2666"/>
    <w:rsid w:val="00DD2E23"/>
    <w:rsid w:val="00DD3B20"/>
    <w:rsid w:val="00DD3CF0"/>
    <w:rsid w:val="00DD567A"/>
    <w:rsid w:val="00DD5809"/>
    <w:rsid w:val="00DE13B6"/>
    <w:rsid w:val="00DE15C9"/>
    <w:rsid w:val="00DE1A20"/>
    <w:rsid w:val="00DE2924"/>
    <w:rsid w:val="00DE2A4D"/>
    <w:rsid w:val="00DE2DFB"/>
    <w:rsid w:val="00DE3678"/>
    <w:rsid w:val="00DE36B2"/>
    <w:rsid w:val="00DE40A7"/>
    <w:rsid w:val="00DE4303"/>
    <w:rsid w:val="00DE4376"/>
    <w:rsid w:val="00DE6C7D"/>
    <w:rsid w:val="00DE794B"/>
    <w:rsid w:val="00DE79F7"/>
    <w:rsid w:val="00DE7E45"/>
    <w:rsid w:val="00DF0A17"/>
    <w:rsid w:val="00DF1636"/>
    <w:rsid w:val="00DF2523"/>
    <w:rsid w:val="00DF2783"/>
    <w:rsid w:val="00DF33D7"/>
    <w:rsid w:val="00DF36B1"/>
    <w:rsid w:val="00DF4968"/>
    <w:rsid w:val="00DF5014"/>
    <w:rsid w:val="00DF5756"/>
    <w:rsid w:val="00DF5B28"/>
    <w:rsid w:val="00DF5E62"/>
    <w:rsid w:val="00DF624C"/>
    <w:rsid w:val="00DF68A1"/>
    <w:rsid w:val="00DF7F46"/>
    <w:rsid w:val="00E00035"/>
    <w:rsid w:val="00E0168C"/>
    <w:rsid w:val="00E021A2"/>
    <w:rsid w:val="00E02659"/>
    <w:rsid w:val="00E02F4E"/>
    <w:rsid w:val="00E04759"/>
    <w:rsid w:val="00E0476E"/>
    <w:rsid w:val="00E04DE8"/>
    <w:rsid w:val="00E05803"/>
    <w:rsid w:val="00E062F3"/>
    <w:rsid w:val="00E066DD"/>
    <w:rsid w:val="00E071A7"/>
    <w:rsid w:val="00E07789"/>
    <w:rsid w:val="00E1029F"/>
    <w:rsid w:val="00E1041B"/>
    <w:rsid w:val="00E10971"/>
    <w:rsid w:val="00E11A40"/>
    <w:rsid w:val="00E121E6"/>
    <w:rsid w:val="00E126A6"/>
    <w:rsid w:val="00E1304E"/>
    <w:rsid w:val="00E14BA3"/>
    <w:rsid w:val="00E158BE"/>
    <w:rsid w:val="00E1631D"/>
    <w:rsid w:val="00E16E72"/>
    <w:rsid w:val="00E17BF6"/>
    <w:rsid w:val="00E17DAE"/>
    <w:rsid w:val="00E2038C"/>
    <w:rsid w:val="00E20842"/>
    <w:rsid w:val="00E20C94"/>
    <w:rsid w:val="00E21B83"/>
    <w:rsid w:val="00E22733"/>
    <w:rsid w:val="00E23F20"/>
    <w:rsid w:val="00E25064"/>
    <w:rsid w:val="00E252F4"/>
    <w:rsid w:val="00E25A35"/>
    <w:rsid w:val="00E25B9C"/>
    <w:rsid w:val="00E25BCF"/>
    <w:rsid w:val="00E26717"/>
    <w:rsid w:val="00E278E5"/>
    <w:rsid w:val="00E27ABB"/>
    <w:rsid w:val="00E3006B"/>
    <w:rsid w:val="00E30AD4"/>
    <w:rsid w:val="00E30E48"/>
    <w:rsid w:val="00E30EA7"/>
    <w:rsid w:val="00E3152C"/>
    <w:rsid w:val="00E31B53"/>
    <w:rsid w:val="00E31F87"/>
    <w:rsid w:val="00E33945"/>
    <w:rsid w:val="00E3460B"/>
    <w:rsid w:val="00E3475F"/>
    <w:rsid w:val="00E34A46"/>
    <w:rsid w:val="00E34E01"/>
    <w:rsid w:val="00E35F89"/>
    <w:rsid w:val="00E36DC3"/>
    <w:rsid w:val="00E36F2F"/>
    <w:rsid w:val="00E36FD4"/>
    <w:rsid w:val="00E40633"/>
    <w:rsid w:val="00E40D1A"/>
    <w:rsid w:val="00E41A6A"/>
    <w:rsid w:val="00E41F5B"/>
    <w:rsid w:val="00E428A5"/>
    <w:rsid w:val="00E42ABE"/>
    <w:rsid w:val="00E42FDA"/>
    <w:rsid w:val="00E431C1"/>
    <w:rsid w:val="00E43CEF"/>
    <w:rsid w:val="00E441EC"/>
    <w:rsid w:val="00E441EF"/>
    <w:rsid w:val="00E442F7"/>
    <w:rsid w:val="00E451FB"/>
    <w:rsid w:val="00E45478"/>
    <w:rsid w:val="00E45907"/>
    <w:rsid w:val="00E46E72"/>
    <w:rsid w:val="00E47682"/>
    <w:rsid w:val="00E47F3C"/>
    <w:rsid w:val="00E50004"/>
    <w:rsid w:val="00E5077B"/>
    <w:rsid w:val="00E5090A"/>
    <w:rsid w:val="00E50F73"/>
    <w:rsid w:val="00E51C6D"/>
    <w:rsid w:val="00E52F7C"/>
    <w:rsid w:val="00E53D23"/>
    <w:rsid w:val="00E5459A"/>
    <w:rsid w:val="00E54870"/>
    <w:rsid w:val="00E54FCD"/>
    <w:rsid w:val="00E55613"/>
    <w:rsid w:val="00E56185"/>
    <w:rsid w:val="00E56438"/>
    <w:rsid w:val="00E5707F"/>
    <w:rsid w:val="00E5718D"/>
    <w:rsid w:val="00E60DD7"/>
    <w:rsid w:val="00E60E8C"/>
    <w:rsid w:val="00E61CD3"/>
    <w:rsid w:val="00E61E28"/>
    <w:rsid w:val="00E62B1A"/>
    <w:rsid w:val="00E633A4"/>
    <w:rsid w:val="00E65B8E"/>
    <w:rsid w:val="00E65CE5"/>
    <w:rsid w:val="00E65EB6"/>
    <w:rsid w:val="00E66927"/>
    <w:rsid w:val="00E66C21"/>
    <w:rsid w:val="00E67527"/>
    <w:rsid w:val="00E67591"/>
    <w:rsid w:val="00E679B3"/>
    <w:rsid w:val="00E7077C"/>
    <w:rsid w:val="00E7090D"/>
    <w:rsid w:val="00E7091D"/>
    <w:rsid w:val="00E732CD"/>
    <w:rsid w:val="00E73B1B"/>
    <w:rsid w:val="00E73D65"/>
    <w:rsid w:val="00E743F0"/>
    <w:rsid w:val="00E754DF"/>
    <w:rsid w:val="00E7554B"/>
    <w:rsid w:val="00E75AF0"/>
    <w:rsid w:val="00E77D8B"/>
    <w:rsid w:val="00E80055"/>
    <w:rsid w:val="00E806CF"/>
    <w:rsid w:val="00E813D2"/>
    <w:rsid w:val="00E81C05"/>
    <w:rsid w:val="00E81C0B"/>
    <w:rsid w:val="00E81CD1"/>
    <w:rsid w:val="00E81FB1"/>
    <w:rsid w:val="00E82381"/>
    <w:rsid w:val="00E82894"/>
    <w:rsid w:val="00E8314E"/>
    <w:rsid w:val="00E83247"/>
    <w:rsid w:val="00E834C0"/>
    <w:rsid w:val="00E83E27"/>
    <w:rsid w:val="00E846B4"/>
    <w:rsid w:val="00E84BA9"/>
    <w:rsid w:val="00E84BD6"/>
    <w:rsid w:val="00E8581C"/>
    <w:rsid w:val="00E869F3"/>
    <w:rsid w:val="00E86B30"/>
    <w:rsid w:val="00E87FA8"/>
    <w:rsid w:val="00E90C5A"/>
    <w:rsid w:val="00E90EE4"/>
    <w:rsid w:val="00E90F5C"/>
    <w:rsid w:val="00E91689"/>
    <w:rsid w:val="00E919AA"/>
    <w:rsid w:val="00E91FB1"/>
    <w:rsid w:val="00E92EFB"/>
    <w:rsid w:val="00E92F5B"/>
    <w:rsid w:val="00E934E5"/>
    <w:rsid w:val="00E9386E"/>
    <w:rsid w:val="00E949EF"/>
    <w:rsid w:val="00E95154"/>
    <w:rsid w:val="00E95AA3"/>
    <w:rsid w:val="00E95E3F"/>
    <w:rsid w:val="00EA0032"/>
    <w:rsid w:val="00EA14D5"/>
    <w:rsid w:val="00EA1E5E"/>
    <w:rsid w:val="00EA274D"/>
    <w:rsid w:val="00EA2B02"/>
    <w:rsid w:val="00EA319F"/>
    <w:rsid w:val="00EA5185"/>
    <w:rsid w:val="00EA6EFC"/>
    <w:rsid w:val="00EB096E"/>
    <w:rsid w:val="00EB20EA"/>
    <w:rsid w:val="00EB36F4"/>
    <w:rsid w:val="00EB42D9"/>
    <w:rsid w:val="00EB52F6"/>
    <w:rsid w:val="00EB5717"/>
    <w:rsid w:val="00EB6377"/>
    <w:rsid w:val="00EB6470"/>
    <w:rsid w:val="00EC05DC"/>
    <w:rsid w:val="00EC2067"/>
    <w:rsid w:val="00EC40C7"/>
    <w:rsid w:val="00EC4456"/>
    <w:rsid w:val="00EC53CF"/>
    <w:rsid w:val="00EC5AF8"/>
    <w:rsid w:val="00EC5E81"/>
    <w:rsid w:val="00EC65FE"/>
    <w:rsid w:val="00EC6BF7"/>
    <w:rsid w:val="00EC7E96"/>
    <w:rsid w:val="00ED00C7"/>
    <w:rsid w:val="00ED0679"/>
    <w:rsid w:val="00ED13ED"/>
    <w:rsid w:val="00ED1494"/>
    <w:rsid w:val="00ED2290"/>
    <w:rsid w:val="00ED2841"/>
    <w:rsid w:val="00ED4F04"/>
    <w:rsid w:val="00ED702B"/>
    <w:rsid w:val="00ED7553"/>
    <w:rsid w:val="00ED7D46"/>
    <w:rsid w:val="00EE0668"/>
    <w:rsid w:val="00EE11A2"/>
    <w:rsid w:val="00EE1DC0"/>
    <w:rsid w:val="00EE24AA"/>
    <w:rsid w:val="00EE2C32"/>
    <w:rsid w:val="00EE2E78"/>
    <w:rsid w:val="00EE3289"/>
    <w:rsid w:val="00EE3AB5"/>
    <w:rsid w:val="00EE3F12"/>
    <w:rsid w:val="00EE4395"/>
    <w:rsid w:val="00EE4821"/>
    <w:rsid w:val="00EE513E"/>
    <w:rsid w:val="00EE6558"/>
    <w:rsid w:val="00EF3510"/>
    <w:rsid w:val="00EF3CDF"/>
    <w:rsid w:val="00EF3E29"/>
    <w:rsid w:val="00EF427B"/>
    <w:rsid w:val="00EF53A3"/>
    <w:rsid w:val="00EF5721"/>
    <w:rsid w:val="00EF668B"/>
    <w:rsid w:val="00EF6B84"/>
    <w:rsid w:val="00EF750A"/>
    <w:rsid w:val="00EF7920"/>
    <w:rsid w:val="00F0002E"/>
    <w:rsid w:val="00F00744"/>
    <w:rsid w:val="00F00DBA"/>
    <w:rsid w:val="00F01547"/>
    <w:rsid w:val="00F01F7A"/>
    <w:rsid w:val="00F022BD"/>
    <w:rsid w:val="00F027BC"/>
    <w:rsid w:val="00F028BA"/>
    <w:rsid w:val="00F0367D"/>
    <w:rsid w:val="00F04AE9"/>
    <w:rsid w:val="00F05C01"/>
    <w:rsid w:val="00F06E1E"/>
    <w:rsid w:val="00F06E58"/>
    <w:rsid w:val="00F07FE9"/>
    <w:rsid w:val="00F10423"/>
    <w:rsid w:val="00F104CE"/>
    <w:rsid w:val="00F1298C"/>
    <w:rsid w:val="00F12BB8"/>
    <w:rsid w:val="00F1611D"/>
    <w:rsid w:val="00F164DB"/>
    <w:rsid w:val="00F1653C"/>
    <w:rsid w:val="00F213FF"/>
    <w:rsid w:val="00F2284E"/>
    <w:rsid w:val="00F25DAF"/>
    <w:rsid w:val="00F267FD"/>
    <w:rsid w:val="00F26E22"/>
    <w:rsid w:val="00F30917"/>
    <w:rsid w:val="00F30B1F"/>
    <w:rsid w:val="00F30DD3"/>
    <w:rsid w:val="00F310CF"/>
    <w:rsid w:val="00F316B3"/>
    <w:rsid w:val="00F31D2E"/>
    <w:rsid w:val="00F32610"/>
    <w:rsid w:val="00F32D78"/>
    <w:rsid w:val="00F32DD5"/>
    <w:rsid w:val="00F33310"/>
    <w:rsid w:val="00F33522"/>
    <w:rsid w:val="00F343FA"/>
    <w:rsid w:val="00F34C20"/>
    <w:rsid w:val="00F35AFA"/>
    <w:rsid w:val="00F3642E"/>
    <w:rsid w:val="00F37DBA"/>
    <w:rsid w:val="00F4189D"/>
    <w:rsid w:val="00F42316"/>
    <w:rsid w:val="00F4261A"/>
    <w:rsid w:val="00F427FC"/>
    <w:rsid w:val="00F42C7C"/>
    <w:rsid w:val="00F439A0"/>
    <w:rsid w:val="00F43BD4"/>
    <w:rsid w:val="00F43D1F"/>
    <w:rsid w:val="00F442AF"/>
    <w:rsid w:val="00F44B89"/>
    <w:rsid w:val="00F45938"/>
    <w:rsid w:val="00F45FE2"/>
    <w:rsid w:val="00F468B1"/>
    <w:rsid w:val="00F47CF1"/>
    <w:rsid w:val="00F534B5"/>
    <w:rsid w:val="00F53DFF"/>
    <w:rsid w:val="00F54845"/>
    <w:rsid w:val="00F54C44"/>
    <w:rsid w:val="00F54D3E"/>
    <w:rsid w:val="00F54E4C"/>
    <w:rsid w:val="00F556D4"/>
    <w:rsid w:val="00F55DFD"/>
    <w:rsid w:val="00F56D0F"/>
    <w:rsid w:val="00F57880"/>
    <w:rsid w:val="00F57B78"/>
    <w:rsid w:val="00F60672"/>
    <w:rsid w:val="00F60932"/>
    <w:rsid w:val="00F63A32"/>
    <w:rsid w:val="00F63B8C"/>
    <w:rsid w:val="00F64E44"/>
    <w:rsid w:val="00F673A1"/>
    <w:rsid w:val="00F7076C"/>
    <w:rsid w:val="00F7091A"/>
    <w:rsid w:val="00F714AD"/>
    <w:rsid w:val="00F716C6"/>
    <w:rsid w:val="00F71C61"/>
    <w:rsid w:val="00F720D4"/>
    <w:rsid w:val="00F73CEB"/>
    <w:rsid w:val="00F73D03"/>
    <w:rsid w:val="00F74AE1"/>
    <w:rsid w:val="00F74E62"/>
    <w:rsid w:val="00F76266"/>
    <w:rsid w:val="00F76912"/>
    <w:rsid w:val="00F80760"/>
    <w:rsid w:val="00F80BE7"/>
    <w:rsid w:val="00F80CB8"/>
    <w:rsid w:val="00F81535"/>
    <w:rsid w:val="00F81C7D"/>
    <w:rsid w:val="00F823CF"/>
    <w:rsid w:val="00F8255B"/>
    <w:rsid w:val="00F835E7"/>
    <w:rsid w:val="00F83F33"/>
    <w:rsid w:val="00F84012"/>
    <w:rsid w:val="00F843CD"/>
    <w:rsid w:val="00F856E3"/>
    <w:rsid w:val="00F86BB5"/>
    <w:rsid w:val="00F87110"/>
    <w:rsid w:val="00F87566"/>
    <w:rsid w:val="00F87784"/>
    <w:rsid w:val="00F879B8"/>
    <w:rsid w:val="00F87C0F"/>
    <w:rsid w:val="00F87F65"/>
    <w:rsid w:val="00F9097E"/>
    <w:rsid w:val="00F92B6B"/>
    <w:rsid w:val="00F92FC9"/>
    <w:rsid w:val="00F94E63"/>
    <w:rsid w:val="00F952BA"/>
    <w:rsid w:val="00F95CE4"/>
    <w:rsid w:val="00F95E02"/>
    <w:rsid w:val="00F96418"/>
    <w:rsid w:val="00F96BFE"/>
    <w:rsid w:val="00F96C63"/>
    <w:rsid w:val="00F96CA0"/>
    <w:rsid w:val="00FA0F30"/>
    <w:rsid w:val="00FA1C99"/>
    <w:rsid w:val="00FA31BA"/>
    <w:rsid w:val="00FA48F0"/>
    <w:rsid w:val="00FA4E02"/>
    <w:rsid w:val="00FA52D5"/>
    <w:rsid w:val="00FA6E8A"/>
    <w:rsid w:val="00FA70BE"/>
    <w:rsid w:val="00FA7865"/>
    <w:rsid w:val="00FA7CE4"/>
    <w:rsid w:val="00FB168C"/>
    <w:rsid w:val="00FB18DF"/>
    <w:rsid w:val="00FB1B5F"/>
    <w:rsid w:val="00FB39E3"/>
    <w:rsid w:val="00FB3C00"/>
    <w:rsid w:val="00FB48C5"/>
    <w:rsid w:val="00FB5662"/>
    <w:rsid w:val="00FB5958"/>
    <w:rsid w:val="00FB6023"/>
    <w:rsid w:val="00FB65FE"/>
    <w:rsid w:val="00FB784A"/>
    <w:rsid w:val="00FC109F"/>
    <w:rsid w:val="00FC180A"/>
    <w:rsid w:val="00FC18D0"/>
    <w:rsid w:val="00FC1C16"/>
    <w:rsid w:val="00FC1C57"/>
    <w:rsid w:val="00FC1E2A"/>
    <w:rsid w:val="00FC61BC"/>
    <w:rsid w:val="00FC6CF9"/>
    <w:rsid w:val="00FC7273"/>
    <w:rsid w:val="00FC73FA"/>
    <w:rsid w:val="00FC7887"/>
    <w:rsid w:val="00FD091D"/>
    <w:rsid w:val="00FD09C1"/>
    <w:rsid w:val="00FD0E02"/>
    <w:rsid w:val="00FD1806"/>
    <w:rsid w:val="00FD2165"/>
    <w:rsid w:val="00FD2FF7"/>
    <w:rsid w:val="00FD34AC"/>
    <w:rsid w:val="00FD3893"/>
    <w:rsid w:val="00FD3D87"/>
    <w:rsid w:val="00FD465F"/>
    <w:rsid w:val="00FD5A19"/>
    <w:rsid w:val="00FD5D38"/>
    <w:rsid w:val="00FD5EDB"/>
    <w:rsid w:val="00FE21AD"/>
    <w:rsid w:val="00FE32D5"/>
    <w:rsid w:val="00FE37FE"/>
    <w:rsid w:val="00FE3BCB"/>
    <w:rsid w:val="00FE3F62"/>
    <w:rsid w:val="00FE4CFE"/>
    <w:rsid w:val="00FE6795"/>
    <w:rsid w:val="00FE697E"/>
    <w:rsid w:val="00FE699F"/>
    <w:rsid w:val="00FE6D22"/>
    <w:rsid w:val="00FE71D8"/>
    <w:rsid w:val="00FF023D"/>
    <w:rsid w:val="00FF0686"/>
    <w:rsid w:val="00FF0CB3"/>
    <w:rsid w:val="00FF171A"/>
    <w:rsid w:val="00FF1969"/>
    <w:rsid w:val="00FF1CE2"/>
    <w:rsid w:val="00FF24A2"/>
    <w:rsid w:val="00FF2AD8"/>
    <w:rsid w:val="00FF3BF6"/>
    <w:rsid w:val="00FF42DF"/>
    <w:rsid w:val="00FF4422"/>
    <w:rsid w:val="00FF582E"/>
    <w:rsid w:val="00FF5BB2"/>
    <w:rsid w:val="00FF5DAA"/>
    <w:rsid w:val="00FF6F59"/>
    <w:rsid w:val="00FF7A81"/>
    <w:rsid w:val="00FF7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A8"/>
    <w:pPr>
      <w:spacing w:line="288" w:lineRule="auto"/>
    </w:pPr>
    <w:rPr>
      <w:sz w:val="26"/>
    </w:rPr>
  </w:style>
  <w:style w:type="paragraph" w:styleId="Heading1">
    <w:name w:val="heading 1"/>
    <w:basedOn w:val="Normal"/>
    <w:next w:val="Normal"/>
    <w:link w:val="Heading1Char"/>
    <w:autoRedefine/>
    <w:uiPriority w:val="9"/>
    <w:qFormat/>
    <w:rsid w:val="009D5F18"/>
    <w:pPr>
      <w:keepNext/>
      <w:numPr>
        <w:numId w:val="1"/>
      </w:numPr>
      <w:jc w:val="center"/>
      <w:textAlignment w:val="baseline"/>
      <w:outlineLvl w:val="0"/>
    </w:pPr>
    <w:rPr>
      <w:b/>
      <w:caps/>
    </w:rPr>
  </w:style>
  <w:style w:type="paragraph" w:styleId="Heading2">
    <w:name w:val="heading 2"/>
    <w:basedOn w:val="Normal"/>
    <w:next w:val="Normal"/>
    <w:link w:val="Heading2Char"/>
    <w:autoRedefine/>
    <w:uiPriority w:val="9"/>
    <w:qFormat/>
    <w:rsid w:val="00380ADC"/>
    <w:pPr>
      <w:keepNext/>
      <w:numPr>
        <w:ilvl w:val="1"/>
        <w:numId w:val="19"/>
      </w:numPr>
      <w:outlineLvl w:val="1"/>
    </w:pPr>
    <w:rPr>
      <w:i/>
    </w:rPr>
  </w:style>
  <w:style w:type="paragraph" w:styleId="Heading3">
    <w:name w:val="heading 3"/>
    <w:basedOn w:val="Normal"/>
    <w:next w:val="Normal"/>
    <w:link w:val="Heading3Char"/>
    <w:autoRedefine/>
    <w:uiPriority w:val="9"/>
    <w:qFormat/>
    <w:rsid w:val="00C925C5"/>
    <w:pPr>
      <w:keepNext/>
      <w:keepLines/>
      <w:numPr>
        <w:ilvl w:val="2"/>
        <w:numId w:val="1"/>
      </w:numPr>
      <w:outlineLvl w:val="2"/>
    </w:pPr>
    <w:rPr>
      <w:rFonts w:eastAsia="Times New Roman"/>
      <w:i/>
      <w:szCs w:val="24"/>
    </w:rPr>
  </w:style>
  <w:style w:type="paragraph" w:styleId="Heading4">
    <w:name w:val="heading 4"/>
    <w:basedOn w:val="Normal"/>
    <w:next w:val="Normal"/>
    <w:link w:val="Heading4Char"/>
    <w:uiPriority w:val="9"/>
    <w:unhideWhenUsed/>
    <w:rsid w:val="00B7641C"/>
    <w:pPr>
      <w:keepNext/>
      <w:keepLines/>
      <w:numPr>
        <w:ilvl w:val="3"/>
        <w:numId w:val="19"/>
      </w:numPr>
      <w:spacing w:before="40"/>
      <w:outlineLvl w:val="3"/>
    </w:pPr>
    <w:rPr>
      <w:rFonts w:eastAsia="Times New Roman"/>
      <w:iCs/>
    </w:rPr>
  </w:style>
  <w:style w:type="paragraph" w:styleId="Heading5">
    <w:name w:val="heading 5"/>
    <w:basedOn w:val="Normal"/>
    <w:next w:val="Normal"/>
    <w:link w:val="Heading5Char"/>
    <w:autoRedefine/>
    <w:uiPriority w:val="9"/>
    <w:unhideWhenUsed/>
    <w:rsid w:val="00B7641C"/>
    <w:pPr>
      <w:numPr>
        <w:numId w:val="20"/>
      </w:numPr>
      <w:outlineLvl w:val="4"/>
    </w:pPr>
    <w:rPr>
      <w:rFonts w:eastAsia="Times New Roman"/>
      <w:bCs/>
      <w:iCs/>
    </w:rPr>
  </w:style>
  <w:style w:type="paragraph" w:styleId="Heading6">
    <w:name w:val="heading 6"/>
    <w:basedOn w:val="Normal"/>
    <w:next w:val="Normal"/>
    <w:link w:val="Heading6Char"/>
    <w:autoRedefine/>
    <w:uiPriority w:val="9"/>
    <w:semiHidden/>
    <w:unhideWhenUsed/>
    <w:rsid w:val="00742A0C"/>
    <w:pPr>
      <w:keepNext/>
      <w:keepLines/>
      <w:numPr>
        <w:numId w:val="23"/>
      </w:numPr>
      <w:outlineLvl w:val="5"/>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C"/>
    <w:rPr>
      <w:rFonts w:ascii="Segoe UI" w:hAnsi="Segoe UI"/>
      <w:sz w:val="18"/>
      <w:szCs w:val="18"/>
      <w:lang w:val="x-none" w:eastAsia="x-none"/>
    </w:rPr>
  </w:style>
  <w:style w:type="character" w:customStyle="1" w:styleId="BalloonTextChar">
    <w:name w:val="Balloon Text Char"/>
    <w:link w:val="BalloonText"/>
    <w:uiPriority w:val="99"/>
    <w:semiHidden/>
    <w:rsid w:val="00B7641C"/>
    <w:rPr>
      <w:rFonts w:ascii="Segoe UI" w:hAnsi="Segoe UI"/>
      <w:sz w:val="18"/>
      <w:szCs w:val="18"/>
      <w:lang w:val="x-none" w:eastAsia="x-none"/>
    </w:rPr>
  </w:style>
  <w:style w:type="paragraph" w:styleId="Footer">
    <w:name w:val="footer"/>
    <w:basedOn w:val="Normal"/>
    <w:link w:val="FooterChar"/>
    <w:uiPriority w:val="99"/>
    <w:unhideWhenUsed/>
    <w:rsid w:val="00B7641C"/>
    <w:pPr>
      <w:tabs>
        <w:tab w:val="center" w:pos="4680"/>
        <w:tab w:val="right" w:pos="9360"/>
      </w:tabs>
    </w:pPr>
    <w:rPr>
      <w:sz w:val="28"/>
    </w:rPr>
  </w:style>
  <w:style w:type="character" w:customStyle="1" w:styleId="FooterChar">
    <w:name w:val="Footer Char"/>
    <w:link w:val="Footer"/>
    <w:uiPriority w:val="99"/>
    <w:rsid w:val="00B7641C"/>
    <w:rPr>
      <w:sz w:val="28"/>
    </w:rPr>
  </w:style>
  <w:style w:type="character" w:styleId="FootnoteReference">
    <w:name w:val="footnote reference"/>
    <w:uiPriority w:val="99"/>
    <w:qFormat/>
    <w:rsid w:val="00B7641C"/>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A34669"/>
    <w:pPr>
      <w:spacing w:after="120" w:line="240" w:lineRule="auto"/>
    </w:pPr>
    <w:rPr>
      <w:lang w:val="x-none" w:eastAsia="x-none"/>
    </w:rPr>
  </w:style>
  <w:style w:type="character" w:customStyle="1" w:styleId="FootnoteTextChar">
    <w:name w:val="Footnote Text Char"/>
    <w:link w:val="FootnoteText"/>
    <w:uiPriority w:val="99"/>
    <w:rsid w:val="00A34669"/>
    <w:rPr>
      <w:sz w:val="26"/>
      <w:lang w:val="x-none" w:eastAsia="x-none"/>
    </w:rPr>
  </w:style>
  <w:style w:type="paragraph" w:styleId="Header">
    <w:name w:val="header"/>
    <w:basedOn w:val="Normal"/>
    <w:link w:val="HeaderChar"/>
    <w:uiPriority w:val="99"/>
    <w:unhideWhenUsed/>
    <w:rsid w:val="00B7641C"/>
    <w:pPr>
      <w:tabs>
        <w:tab w:val="center" w:pos="4680"/>
        <w:tab w:val="right" w:pos="9360"/>
      </w:tabs>
    </w:pPr>
  </w:style>
  <w:style w:type="character" w:customStyle="1" w:styleId="HeaderChar">
    <w:name w:val="Header Char"/>
    <w:link w:val="Header"/>
    <w:uiPriority w:val="99"/>
    <w:rsid w:val="00B7641C"/>
    <w:rPr>
      <w:sz w:val="26"/>
    </w:rPr>
  </w:style>
  <w:style w:type="character" w:customStyle="1" w:styleId="Heading1Char">
    <w:name w:val="Heading 1 Char"/>
    <w:link w:val="Heading1"/>
    <w:uiPriority w:val="9"/>
    <w:rsid w:val="009D5F18"/>
    <w:rPr>
      <w:b/>
      <w:caps/>
      <w:sz w:val="26"/>
    </w:rPr>
  </w:style>
  <w:style w:type="character" w:customStyle="1" w:styleId="Heading2Char">
    <w:name w:val="Heading 2 Char"/>
    <w:link w:val="Heading2"/>
    <w:uiPriority w:val="9"/>
    <w:rsid w:val="00380ADC"/>
    <w:rPr>
      <w:i/>
      <w:sz w:val="26"/>
    </w:rPr>
  </w:style>
  <w:style w:type="character" w:customStyle="1" w:styleId="Heading3Char">
    <w:name w:val="Heading 3 Char"/>
    <w:link w:val="Heading3"/>
    <w:uiPriority w:val="9"/>
    <w:rsid w:val="00C925C5"/>
    <w:rPr>
      <w:rFonts w:eastAsia="Times New Roman"/>
      <w:i/>
      <w:sz w:val="26"/>
      <w:szCs w:val="24"/>
    </w:rPr>
  </w:style>
  <w:style w:type="character" w:customStyle="1" w:styleId="Heading4Char">
    <w:name w:val="Heading 4 Char"/>
    <w:link w:val="Heading4"/>
    <w:uiPriority w:val="9"/>
    <w:rsid w:val="00B7641C"/>
    <w:rPr>
      <w:rFonts w:eastAsia="Times New Roman"/>
      <w:iCs/>
      <w:sz w:val="26"/>
    </w:rPr>
  </w:style>
  <w:style w:type="character" w:styleId="Hyperlink">
    <w:name w:val="Hyperlink"/>
    <w:uiPriority w:val="99"/>
    <w:unhideWhenUsed/>
    <w:rsid w:val="00B7641C"/>
    <w:rPr>
      <w:color w:val="0563C1"/>
      <w:u w:val="single"/>
    </w:rPr>
  </w:style>
  <w:style w:type="paragraph" w:styleId="ListParagraph">
    <w:name w:val="List Paragraph"/>
    <w:basedOn w:val="Normal"/>
    <w:uiPriority w:val="99"/>
    <w:rsid w:val="00B7641C"/>
    <w:pPr>
      <w:ind w:left="720"/>
    </w:pPr>
  </w:style>
  <w:style w:type="character" w:styleId="PageNumber">
    <w:name w:val="page number"/>
    <w:basedOn w:val="DefaultParagraphFont"/>
    <w:uiPriority w:val="99"/>
    <w:semiHidden/>
    <w:unhideWhenUsed/>
    <w:rsid w:val="00B7641C"/>
  </w:style>
  <w:style w:type="paragraph" w:styleId="BodyText">
    <w:name w:val="Body Text"/>
    <w:basedOn w:val="Normal"/>
    <w:link w:val="BodyTextChar"/>
    <w:uiPriority w:val="99"/>
    <w:rsid w:val="00B7641C"/>
    <w:pPr>
      <w:widowControl w:val="0"/>
      <w:autoSpaceDE w:val="0"/>
      <w:autoSpaceDN w:val="0"/>
      <w:adjustRightInd w:val="0"/>
      <w:ind w:left="440"/>
    </w:pPr>
    <w:rPr>
      <w:rFonts w:ascii="Times New Roman" w:eastAsia="Times New Roman" w:hAnsi="Times New Roman"/>
    </w:rPr>
  </w:style>
  <w:style w:type="character" w:customStyle="1" w:styleId="BodyTextChar">
    <w:name w:val="Body Text Char"/>
    <w:link w:val="BodyText"/>
    <w:uiPriority w:val="99"/>
    <w:rsid w:val="00B7641C"/>
    <w:rPr>
      <w:rFonts w:ascii="Times New Roman" w:eastAsia="Times New Roman" w:hAnsi="Times New Roman"/>
      <w:sz w:val="26"/>
    </w:rPr>
  </w:style>
  <w:style w:type="paragraph" w:styleId="BodyText2">
    <w:name w:val="Body Text 2"/>
    <w:basedOn w:val="Normal"/>
    <w:link w:val="BodyText2Char"/>
    <w:uiPriority w:val="99"/>
    <w:unhideWhenUsed/>
    <w:rsid w:val="00B7641C"/>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B7641C"/>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rsid w:val="00B7641C"/>
    <w:rPr>
      <w:rFonts w:eastAsia="Times New Roman" w:cs="Times New Roman"/>
      <w:bCs/>
      <w:iCs/>
      <w:sz w:val="26"/>
    </w:rPr>
  </w:style>
  <w:style w:type="character" w:customStyle="1" w:styleId="Heading6Char">
    <w:name w:val="Heading 6 Char"/>
    <w:basedOn w:val="DefaultParagraphFont"/>
    <w:link w:val="Heading6"/>
    <w:uiPriority w:val="9"/>
    <w:semiHidden/>
    <w:rsid w:val="00742A0C"/>
    <w:rPr>
      <w:rFonts w:eastAsia="Times New Roman"/>
      <w:sz w:val="26"/>
      <w:szCs w:val="22"/>
    </w:rPr>
  </w:style>
  <w:style w:type="paragraph" w:customStyle="1" w:styleId="Default">
    <w:name w:val="Default"/>
    <w:autoRedefine/>
    <w:rsid w:val="00742A0C"/>
    <w:pPr>
      <w:autoSpaceDE w:val="0"/>
      <w:autoSpaceDN w:val="0"/>
      <w:adjustRightInd w:val="0"/>
      <w:spacing w:line="288" w:lineRule="auto"/>
    </w:pPr>
    <w:rPr>
      <w:rFonts w:cs="Bookman Old Style"/>
      <w:sz w:val="26"/>
      <w:szCs w:val="24"/>
    </w:rPr>
  </w:style>
  <w:style w:type="paragraph" w:styleId="Caption">
    <w:name w:val="caption"/>
    <w:basedOn w:val="Normal"/>
    <w:next w:val="Normal"/>
    <w:uiPriority w:val="35"/>
    <w:semiHidden/>
    <w:unhideWhenUsed/>
    <w:rsid w:val="00742A0C"/>
    <w:pPr>
      <w:spacing w:after="200" w:line="240" w:lineRule="auto"/>
    </w:pPr>
    <w:rPr>
      <w:i/>
      <w:iCs/>
      <w:color w:val="44546A"/>
      <w:sz w:val="18"/>
      <w:szCs w:val="18"/>
    </w:rPr>
  </w:style>
  <w:style w:type="character" w:styleId="CommentReference">
    <w:name w:val="annotation reference"/>
    <w:uiPriority w:val="99"/>
    <w:semiHidden/>
    <w:unhideWhenUsed/>
    <w:rsid w:val="00742A0C"/>
    <w:rPr>
      <w:sz w:val="16"/>
      <w:szCs w:val="16"/>
    </w:rPr>
  </w:style>
  <w:style w:type="paragraph" w:styleId="CommentText">
    <w:name w:val="annotation text"/>
    <w:basedOn w:val="Normal"/>
    <w:link w:val="CommentTextChar"/>
    <w:uiPriority w:val="99"/>
    <w:unhideWhenUsed/>
    <w:rsid w:val="00742A0C"/>
    <w:pPr>
      <w:spacing w:line="240" w:lineRule="auto"/>
    </w:pPr>
    <w:rPr>
      <w:sz w:val="20"/>
    </w:rPr>
  </w:style>
  <w:style w:type="character" w:customStyle="1" w:styleId="CommentTextChar">
    <w:name w:val="Comment Text Char"/>
    <w:basedOn w:val="DefaultParagraphFont"/>
    <w:link w:val="CommentText"/>
    <w:uiPriority w:val="99"/>
    <w:rsid w:val="00742A0C"/>
  </w:style>
  <w:style w:type="paragraph" w:styleId="CommentSubject">
    <w:name w:val="annotation subject"/>
    <w:basedOn w:val="CommentText"/>
    <w:next w:val="CommentText"/>
    <w:link w:val="CommentSubjectChar"/>
    <w:uiPriority w:val="99"/>
    <w:semiHidden/>
    <w:unhideWhenUsed/>
    <w:rsid w:val="00742A0C"/>
    <w:rPr>
      <w:b/>
      <w:bCs/>
    </w:rPr>
  </w:style>
  <w:style w:type="character" w:customStyle="1" w:styleId="CommentSubjectChar">
    <w:name w:val="Comment Subject Char"/>
    <w:basedOn w:val="CommentTextChar"/>
    <w:link w:val="CommentSubject"/>
    <w:uiPriority w:val="99"/>
    <w:semiHidden/>
    <w:rsid w:val="00742A0C"/>
    <w:rPr>
      <w:b/>
      <w:bCs/>
    </w:rPr>
  </w:style>
  <w:style w:type="paragraph" w:styleId="Revision">
    <w:name w:val="Revision"/>
    <w:hidden/>
    <w:uiPriority w:val="99"/>
    <w:semiHidden/>
    <w:rsid w:val="00742A0C"/>
    <w:rPr>
      <w:sz w:val="26"/>
      <w:szCs w:val="22"/>
    </w:rPr>
  </w:style>
  <w:style w:type="paragraph" w:styleId="BodyTextIndent3">
    <w:name w:val="Body Text Indent 3"/>
    <w:basedOn w:val="Normal"/>
    <w:link w:val="BodyTextIndent3Char"/>
    <w:uiPriority w:val="99"/>
    <w:semiHidden/>
    <w:unhideWhenUsed/>
    <w:rsid w:val="00742A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2A0C"/>
    <w:rPr>
      <w:sz w:val="16"/>
      <w:szCs w:val="16"/>
    </w:rPr>
  </w:style>
  <w:style w:type="paragraph" w:styleId="BodyTextIndent">
    <w:name w:val="Body Text Indent"/>
    <w:basedOn w:val="Normal"/>
    <w:link w:val="BodyTextIndentChar"/>
    <w:uiPriority w:val="99"/>
    <w:unhideWhenUsed/>
    <w:rsid w:val="00742A0C"/>
    <w:pPr>
      <w:ind w:firstLine="720"/>
    </w:pPr>
  </w:style>
  <w:style w:type="character" w:customStyle="1" w:styleId="BodyTextIndentChar">
    <w:name w:val="Body Text Indent Char"/>
    <w:basedOn w:val="DefaultParagraphFont"/>
    <w:link w:val="BodyTextIndent"/>
    <w:uiPriority w:val="99"/>
    <w:rsid w:val="00742A0C"/>
    <w:rPr>
      <w:sz w:val="26"/>
    </w:rPr>
  </w:style>
  <w:style w:type="paragraph" w:styleId="EndnoteText">
    <w:name w:val="endnote text"/>
    <w:basedOn w:val="Normal"/>
    <w:link w:val="EndnoteTextChar"/>
    <w:uiPriority w:val="99"/>
    <w:semiHidden/>
    <w:unhideWhenUsed/>
    <w:rsid w:val="00D0129C"/>
    <w:pPr>
      <w:spacing w:line="240" w:lineRule="auto"/>
    </w:pPr>
    <w:rPr>
      <w:sz w:val="20"/>
    </w:rPr>
  </w:style>
  <w:style w:type="character" w:customStyle="1" w:styleId="EndnoteTextChar">
    <w:name w:val="Endnote Text Char"/>
    <w:basedOn w:val="DefaultParagraphFont"/>
    <w:link w:val="EndnoteText"/>
    <w:uiPriority w:val="99"/>
    <w:semiHidden/>
    <w:rsid w:val="00D0129C"/>
  </w:style>
  <w:style w:type="character" w:styleId="EndnoteReference">
    <w:name w:val="endnote reference"/>
    <w:basedOn w:val="DefaultParagraphFont"/>
    <w:uiPriority w:val="99"/>
    <w:semiHidden/>
    <w:unhideWhenUsed/>
    <w:rsid w:val="00D0129C"/>
    <w:rPr>
      <w:vertAlign w:val="superscript"/>
    </w:rPr>
  </w:style>
  <w:style w:type="character" w:customStyle="1" w:styleId="UnresolvedMention1">
    <w:name w:val="Unresolved Mention1"/>
    <w:basedOn w:val="DefaultParagraphFont"/>
    <w:uiPriority w:val="99"/>
    <w:semiHidden/>
    <w:unhideWhenUsed/>
    <w:rsid w:val="00D02E06"/>
    <w:rPr>
      <w:color w:val="605E5C"/>
      <w:shd w:val="clear" w:color="auto" w:fill="E1DFDD"/>
    </w:rPr>
  </w:style>
  <w:style w:type="character" w:customStyle="1" w:styleId="ssrfcsection">
    <w:name w:val="ss_rfcsection"/>
    <w:basedOn w:val="DefaultParagraphFont"/>
    <w:rsid w:val="0008261F"/>
  </w:style>
  <w:style w:type="character" w:customStyle="1" w:styleId="treatphrase">
    <w:name w:val="treatphrase"/>
    <w:basedOn w:val="DefaultParagraphFont"/>
    <w:rsid w:val="007F2C98"/>
  </w:style>
  <w:style w:type="paragraph" w:customStyle="1" w:styleId="crb-text-link">
    <w:name w:val="crb-text-link"/>
    <w:basedOn w:val="Normal"/>
    <w:rsid w:val="007F2C98"/>
    <w:pPr>
      <w:spacing w:before="100" w:beforeAutospacing="1" w:after="100" w:afterAutospacing="1" w:line="240" w:lineRule="auto"/>
    </w:pPr>
    <w:rPr>
      <w:rFonts w:ascii="Times New Roman" w:eastAsia="Times New Roman" w:hAnsi="Times New Roman"/>
      <w:sz w:val="24"/>
      <w:szCs w:val="24"/>
    </w:rPr>
  </w:style>
  <w:style w:type="character" w:customStyle="1" w:styleId="sscrbtext">
    <w:name w:val="ss_crbtext"/>
    <w:basedOn w:val="DefaultParagraphFont"/>
    <w:rsid w:val="007F2C98"/>
  </w:style>
  <w:style w:type="paragraph" w:styleId="NormalWeb">
    <w:name w:val="Normal (Web)"/>
    <w:basedOn w:val="Normal"/>
    <w:uiPriority w:val="99"/>
    <w:semiHidden/>
    <w:unhideWhenUsed/>
    <w:rsid w:val="009D5F18"/>
    <w:pPr>
      <w:spacing w:before="100" w:beforeAutospacing="1" w:after="100" w:afterAutospacing="1" w:line="240" w:lineRule="auto"/>
    </w:pPr>
    <w:rPr>
      <w:rFonts w:ascii="Times New Roman" w:eastAsia="Times New Roman" w:hAnsi="Times New Roman"/>
      <w:sz w:val="24"/>
      <w:szCs w:val="24"/>
    </w:rPr>
  </w:style>
  <w:style w:type="paragraph" w:customStyle="1" w:styleId="ssdocumentinfo">
    <w:name w:val="ss_documentinfo"/>
    <w:basedOn w:val="Normal"/>
    <w:rsid w:val="009D5F18"/>
    <w:pPr>
      <w:spacing w:before="100" w:beforeAutospacing="1" w:after="100" w:afterAutospacing="1" w:line="240" w:lineRule="auto"/>
    </w:pPr>
    <w:rPr>
      <w:rFonts w:ascii="Times New Roman" w:eastAsia="Times New Roman" w:hAnsi="Times New Roman"/>
      <w:sz w:val="24"/>
      <w:szCs w:val="24"/>
    </w:rPr>
  </w:style>
  <w:style w:type="character" w:customStyle="1" w:styleId="ssparalabel">
    <w:name w:val="ss_paralabel"/>
    <w:basedOn w:val="DefaultParagraphFont"/>
    <w:rsid w:val="009D5F18"/>
  </w:style>
  <w:style w:type="character" w:customStyle="1" w:styleId="ssbf">
    <w:name w:val="ss_bf"/>
    <w:basedOn w:val="DefaultParagraphFont"/>
    <w:rsid w:val="009D5F18"/>
  </w:style>
  <w:style w:type="character" w:customStyle="1" w:styleId="ssparacontent">
    <w:name w:val="ss_paracontent"/>
    <w:basedOn w:val="DefaultParagraphFont"/>
    <w:rsid w:val="009D5F18"/>
  </w:style>
  <w:style w:type="character" w:customStyle="1" w:styleId="sssh">
    <w:name w:val="ss_sh"/>
    <w:basedOn w:val="DefaultParagraphFont"/>
    <w:rsid w:val="00251CC6"/>
  </w:style>
  <w:style w:type="character" w:customStyle="1" w:styleId="normaltextrun">
    <w:name w:val="normaltextrun"/>
    <w:basedOn w:val="DefaultParagraphFont"/>
    <w:rsid w:val="00AA4E6A"/>
  </w:style>
  <w:style w:type="character" w:customStyle="1" w:styleId="UnresolvedMention2">
    <w:name w:val="Unresolved Mention2"/>
    <w:basedOn w:val="DefaultParagraphFont"/>
    <w:uiPriority w:val="99"/>
    <w:semiHidden/>
    <w:unhideWhenUsed/>
    <w:rsid w:val="00DF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46D74B16409341A5238C2F790099CB" ma:contentTypeVersion="15" ma:contentTypeDescription="Create a new document." ma:contentTypeScope="" ma:versionID="22c38ecba1973eef2dd4d75f9884d80f">
  <xsd:schema xmlns:xsd="http://www.w3.org/2001/XMLSchema" xmlns:xs="http://www.w3.org/2001/XMLSchema" xmlns:p="http://schemas.microsoft.com/office/2006/metadata/properties" xmlns:ns3="ae7af27c-9d97-4d86-a959-b22e4db3e7d1" xmlns:ns4="1c448da5-fcfc-4170-b174-d27a34095a50" targetNamespace="http://schemas.microsoft.com/office/2006/metadata/properties" ma:root="true" ma:fieldsID="a5aa9c6ded3929adc37d4fab63c882e7" ns3:_="" ns4:_="">
    <xsd:import namespace="ae7af27c-9d97-4d86-a959-b22e4db3e7d1"/>
    <xsd:import namespace="1c448da5-fcfc-4170-b174-d27a34095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f27c-9d97-4d86-a959-b22e4db3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48da5-fcfc-4170-b174-d27a34095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e7af27c-9d97-4d86-a959-b22e4db3e7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C5DFA-9320-4BD4-AD95-32183BE2EDAE}">
  <ds:schemaRefs>
    <ds:schemaRef ds:uri="http://schemas.openxmlformats.org/officeDocument/2006/bibliography"/>
  </ds:schemaRefs>
</ds:datastoreItem>
</file>

<file path=customXml/itemProps2.xml><?xml version="1.0" encoding="utf-8"?>
<ds:datastoreItem xmlns:ds="http://schemas.openxmlformats.org/officeDocument/2006/customXml" ds:itemID="{583871D9-1162-45DF-985C-1D61CBEA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f27c-9d97-4d86-a959-b22e4db3e7d1"/>
    <ds:schemaRef ds:uri="1c448da5-fcfc-4170-b174-d27a3409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128F0-C007-4F56-B01A-AED467E0605A}">
  <ds:schemaRefs>
    <ds:schemaRef ds:uri="http://schemas.microsoft.com/office/2006/metadata/properties"/>
    <ds:schemaRef ds:uri="http://schemas.microsoft.com/office/infopath/2007/PartnerControls"/>
    <ds:schemaRef ds:uri="ae7af27c-9d97-4d86-a959-b22e4db3e7d1"/>
  </ds:schemaRefs>
</ds:datastoreItem>
</file>

<file path=customXml/itemProps4.xml><?xml version="1.0" encoding="utf-8"?>
<ds:datastoreItem xmlns:ds="http://schemas.openxmlformats.org/officeDocument/2006/customXml" ds:itemID="{4561F676-4C80-48CE-81B6-3337180A6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6701</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2024-07-01T19:22:17Z</dcterms:created>
  <dcterms:modified xsi:type="dcterms:W3CDTF">2024-07-01T19:22:17Z</dcterms:modified>
</cp:coreProperties>
</file>