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D97A8D" w:rsidRPr="00D97A8D" w:rsidP="00D97A8D" w14:paraId="43750B69" w14:textId="5E46796F">
      <w:pPr>
        <w:spacing w:line="240" w:lineRule="auto"/>
        <w:rPr>
          <w:bCs/>
          <w:sz w:val="20"/>
          <w:szCs w:val="20"/>
        </w:rPr>
      </w:pPr>
      <w:r>
        <w:rPr>
          <w:bCs/>
          <w:sz w:val="20"/>
          <w:szCs w:val="20"/>
        </w:rPr>
        <w:t>Filed 4/30/24</w:t>
      </w:r>
      <w:r w:rsidR="009A3270">
        <w:rPr>
          <w:bCs/>
          <w:sz w:val="20"/>
          <w:szCs w:val="20"/>
        </w:rPr>
        <w:t>; Certified for Publication 5/28/24 (order attached)</w:t>
      </w:r>
    </w:p>
    <w:p w:rsidR="00557FB3" w:rsidP="00557FB3" w14:paraId="4559F074" w14:textId="30A74AB2">
      <w:pPr>
        <w:spacing w:line="240" w:lineRule="auto"/>
        <w:jc w:val="center"/>
        <w:rPr>
          <w:b/>
        </w:rPr>
      </w:pPr>
    </w:p>
    <w:p w:rsidR="00557FB3" w:rsidP="00557FB3" w14:paraId="266A6EAE" w14:textId="77777777">
      <w:pPr>
        <w:spacing w:line="240" w:lineRule="auto"/>
        <w:jc w:val="center"/>
        <w:rPr>
          <w:b/>
        </w:rPr>
      </w:pPr>
    </w:p>
    <w:p w:rsidR="009A3270" w:rsidP="00557FB3" w14:paraId="3E025513" w14:textId="77777777">
      <w:pPr>
        <w:spacing w:line="240" w:lineRule="auto"/>
        <w:jc w:val="center"/>
        <w:rPr>
          <w:rFonts w:ascii="Arial" w:hAnsi="Arial" w:cs="Arial"/>
          <w:b/>
          <w:sz w:val="16"/>
        </w:rPr>
      </w:pPr>
    </w:p>
    <w:p w:rsidR="009A3270" w:rsidP="00557FB3" w14:paraId="17DEB1B3" w14:textId="77777777">
      <w:pPr>
        <w:spacing w:line="240" w:lineRule="auto"/>
        <w:jc w:val="center"/>
        <w:rPr>
          <w:rFonts w:ascii="Arial" w:hAnsi="Arial" w:cs="Arial"/>
          <w:b/>
          <w:sz w:val="16"/>
        </w:rPr>
      </w:pPr>
    </w:p>
    <w:p w:rsidR="009A3270" w:rsidP="00557FB3" w14:paraId="0BDA4E0E" w14:textId="77777777">
      <w:pPr>
        <w:spacing w:line="240" w:lineRule="auto"/>
        <w:jc w:val="center"/>
        <w:rPr>
          <w:rFonts w:ascii="Arial" w:hAnsi="Arial" w:cs="Arial"/>
          <w:b/>
          <w:sz w:val="16"/>
        </w:rPr>
      </w:pPr>
    </w:p>
    <w:p w:rsidR="009A3270" w:rsidP="00557FB3" w14:paraId="502EE44F" w14:textId="77777777">
      <w:pPr>
        <w:spacing w:line="240" w:lineRule="auto"/>
        <w:jc w:val="center"/>
        <w:rPr>
          <w:rFonts w:ascii="Arial" w:hAnsi="Arial" w:cs="Arial"/>
          <w:b/>
          <w:sz w:val="16"/>
        </w:rPr>
      </w:pPr>
    </w:p>
    <w:p w:rsidR="00557FB3" w:rsidP="00557FB3" w14:paraId="7539B6CD" w14:textId="50F13298">
      <w:pPr>
        <w:spacing w:line="240" w:lineRule="auto"/>
        <w:jc w:val="center"/>
      </w:pPr>
      <w:r>
        <w:t>IN THE COURT OF APPEAL OF THE STATE OF CALIFORNIA</w:t>
      </w:r>
    </w:p>
    <w:p w:rsidR="00557FB3" w:rsidP="00557FB3" w14:paraId="4226BCE6" w14:textId="77777777">
      <w:pPr>
        <w:spacing w:line="240" w:lineRule="auto"/>
        <w:jc w:val="center"/>
      </w:pPr>
    </w:p>
    <w:p w:rsidR="00557FB3" w:rsidP="00557FB3" w14:paraId="6329A915" w14:textId="77777777">
      <w:pPr>
        <w:spacing w:line="240" w:lineRule="auto"/>
        <w:jc w:val="center"/>
      </w:pPr>
      <w:r>
        <w:t>SECOND APPELLATE DISTRICT</w:t>
      </w:r>
    </w:p>
    <w:p w:rsidR="00557FB3" w:rsidP="00557FB3" w14:paraId="50486930" w14:textId="77777777">
      <w:pPr>
        <w:spacing w:line="240" w:lineRule="auto"/>
        <w:jc w:val="center"/>
      </w:pPr>
    </w:p>
    <w:p w:rsidR="00557FB3" w:rsidP="00557FB3" w14:paraId="04F8391F" w14:textId="77777777">
      <w:pPr>
        <w:spacing w:line="240" w:lineRule="auto"/>
        <w:jc w:val="center"/>
      </w:pPr>
      <w:r>
        <w:t>DIVISION ONE</w:t>
      </w:r>
    </w:p>
    <w:p w:rsidR="00557FB3" w:rsidRPr="004807C5" w:rsidP="00557FB3" w14:paraId="41B41634" w14:textId="77777777"/>
    <w:tbl>
      <w:tblPr>
        <w:tblW w:w="9090" w:type="dxa"/>
        <w:tblLayout w:type="fixed"/>
        <w:tblLook w:val="0000"/>
      </w:tblPr>
      <w:tblGrid>
        <w:gridCol w:w="4590"/>
        <w:gridCol w:w="4500"/>
      </w:tblGrid>
      <w:tr w14:paraId="2CD9808B" w14:textId="77777777" w:rsidTr="00B46C31">
        <w:tblPrEx>
          <w:tblW w:w="9090" w:type="dxa"/>
          <w:tblLayout w:type="fixed"/>
          <w:tblLook w:val="0000"/>
        </w:tblPrEx>
        <w:tc>
          <w:tcPr>
            <w:tcW w:w="4590" w:type="dxa"/>
            <w:tcBorders>
              <w:bottom w:val="single" w:sz="4" w:space="0" w:color="auto"/>
              <w:right w:val="single" w:sz="4" w:space="0" w:color="auto"/>
            </w:tcBorders>
            <w:shd w:val="clear" w:color="auto" w:fill="auto"/>
          </w:tcPr>
          <w:p w:rsidR="00557FB3" w:rsidRPr="004807C5" w:rsidP="00B46C31" w14:paraId="34C4AEB8" w14:textId="6D095107">
            <w:pPr>
              <w:spacing w:line="240" w:lineRule="auto"/>
            </w:pPr>
            <w:r w:rsidRPr="008727C7">
              <w:t>CHAD AYACH et al.</w:t>
            </w:r>
            <w:r w:rsidRPr="004807C5">
              <w:t>,</w:t>
            </w:r>
          </w:p>
          <w:p w:rsidR="00557FB3" w:rsidRPr="004807C5" w:rsidP="00B46C31" w14:paraId="786F9CE9" w14:textId="77777777">
            <w:pPr>
              <w:spacing w:line="240" w:lineRule="auto"/>
            </w:pPr>
          </w:p>
          <w:p w:rsidR="00557FB3" w:rsidRPr="004807C5" w:rsidP="00B46C31" w14:paraId="6CE38F34" w14:textId="72908F02">
            <w:pPr>
              <w:spacing w:line="240" w:lineRule="auto"/>
            </w:pPr>
            <w:r w:rsidRPr="004807C5">
              <w:tab/>
              <w:t>Plaintiff</w:t>
            </w:r>
            <w:r w:rsidR="008727C7">
              <w:t>s</w:t>
            </w:r>
            <w:r w:rsidRPr="004807C5">
              <w:t xml:space="preserve"> and </w:t>
            </w:r>
            <w:r w:rsidR="008727C7">
              <w:t>Appellants</w:t>
            </w:r>
            <w:r w:rsidRPr="004807C5">
              <w:t>,</w:t>
            </w:r>
          </w:p>
          <w:p w:rsidR="00557FB3" w:rsidRPr="004807C5" w:rsidP="00B46C31" w14:paraId="70F9A1C4" w14:textId="77777777">
            <w:pPr>
              <w:spacing w:line="240" w:lineRule="auto"/>
            </w:pPr>
          </w:p>
          <w:p w:rsidR="00557FB3" w:rsidRPr="004432B7" w:rsidP="00B46C31" w14:paraId="33BFE15A" w14:textId="77777777">
            <w:pPr>
              <w:spacing w:line="240" w:lineRule="auto"/>
            </w:pPr>
            <w:r w:rsidRPr="004807C5">
              <w:tab/>
            </w:r>
            <w:r w:rsidRPr="004432B7">
              <w:t>v.</w:t>
            </w:r>
          </w:p>
          <w:p w:rsidR="00557FB3" w:rsidRPr="004432B7" w:rsidP="00B46C31" w14:paraId="63350AFE" w14:textId="77777777">
            <w:pPr>
              <w:spacing w:line="240" w:lineRule="auto"/>
            </w:pPr>
          </w:p>
          <w:p w:rsidR="00557FB3" w:rsidRPr="004432B7" w:rsidP="00B46C31" w14:paraId="04F38F30" w14:textId="52211A2B">
            <w:pPr>
              <w:spacing w:line="240" w:lineRule="auto"/>
            </w:pPr>
            <w:r>
              <w:t xml:space="preserve">THE REGENTS OF THE </w:t>
            </w:r>
            <w:r w:rsidR="008727C7">
              <w:t>UNIVERSITY OF CALIFORNIA</w:t>
            </w:r>
            <w:r w:rsidR="00B46C31">
              <w:t xml:space="preserve"> </w:t>
            </w:r>
            <w:r w:rsidR="008727C7">
              <w:t>et</w:t>
            </w:r>
            <w:r w:rsidR="00B46C31">
              <w:t> </w:t>
            </w:r>
            <w:r w:rsidR="008727C7">
              <w:t>al.</w:t>
            </w:r>
            <w:r w:rsidRPr="004432B7">
              <w:t>,</w:t>
            </w:r>
          </w:p>
          <w:p w:rsidR="00557FB3" w:rsidRPr="004432B7" w:rsidP="00B46C31" w14:paraId="0EC8E0E8" w14:textId="77777777">
            <w:pPr>
              <w:spacing w:line="240" w:lineRule="auto"/>
            </w:pPr>
          </w:p>
          <w:p w:rsidR="00557FB3" w:rsidRPr="004807C5" w:rsidP="00B46C31" w14:paraId="4B68EE29" w14:textId="16F24F5E">
            <w:pPr>
              <w:spacing w:line="240" w:lineRule="auto"/>
            </w:pPr>
            <w:r w:rsidRPr="004432B7">
              <w:tab/>
            </w:r>
            <w:r w:rsidRPr="004807C5">
              <w:t>Defendant</w:t>
            </w:r>
            <w:r w:rsidR="008727C7">
              <w:t>s</w:t>
            </w:r>
            <w:r w:rsidRPr="004807C5">
              <w:t xml:space="preserve"> and </w:t>
            </w:r>
            <w:r w:rsidR="008727C7">
              <w:t>Respondents</w:t>
            </w:r>
            <w:r w:rsidRPr="004807C5">
              <w:t>.</w:t>
            </w:r>
          </w:p>
          <w:p w:rsidR="00557FB3" w:rsidRPr="004807C5" w:rsidP="00B46C31" w14:paraId="1385787C" w14:textId="77777777">
            <w:pPr>
              <w:spacing w:line="240" w:lineRule="auto"/>
            </w:pPr>
          </w:p>
        </w:tc>
        <w:tc>
          <w:tcPr>
            <w:tcW w:w="4500" w:type="dxa"/>
            <w:tcBorders>
              <w:left w:val="single" w:sz="4" w:space="0" w:color="auto"/>
            </w:tcBorders>
            <w:shd w:val="clear" w:color="auto" w:fill="auto"/>
          </w:tcPr>
          <w:p w:rsidR="00557FB3" w:rsidRPr="004807C5" w:rsidP="00B46C31" w14:paraId="026BDB82" w14:textId="2930CF36">
            <w:pPr>
              <w:spacing w:line="240" w:lineRule="auto"/>
              <w:rPr>
                <w:lang w:val="es-MX"/>
              </w:rPr>
            </w:pPr>
            <w:r w:rsidRPr="004432B7">
              <w:t xml:space="preserve">   </w:t>
            </w:r>
            <w:r w:rsidRPr="004807C5">
              <w:rPr>
                <w:lang w:val="es-MX"/>
              </w:rPr>
              <w:t>B</w:t>
            </w:r>
            <w:r w:rsidR="008727C7">
              <w:rPr>
                <w:lang w:val="es-MX"/>
              </w:rPr>
              <w:t>325545</w:t>
            </w:r>
          </w:p>
          <w:p w:rsidR="00557FB3" w:rsidRPr="004807C5" w:rsidP="00B46C31" w14:paraId="7ED0AF03" w14:textId="77777777">
            <w:pPr>
              <w:spacing w:line="240" w:lineRule="auto"/>
              <w:rPr>
                <w:lang w:val="es-MX"/>
              </w:rPr>
            </w:pPr>
          </w:p>
          <w:p w:rsidR="00557FB3" w:rsidRPr="004807C5" w:rsidP="00B46C31" w14:paraId="26D70D6A" w14:textId="77777777">
            <w:pPr>
              <w:spacing w:line="240" w:lineRule="auto"/>
              <w:rPr>
                <w:lang w:val="es-MX"/>
              </w:rPr>
            </w:pPr>
            <w:r w:rsidRPr="004807C5">
              <w:rPr>
                <w:lang w:val="es-MX"/>
              </w:rPr>
              <w:t xml:space="preserve">   (Los Angeles County</w:t>
            </w:r>
          </w:p>
          <w:p w:rsidR="00557FB3" w:rsidRPr="004807C5" w:rsidP="00B46C31" w14:paraId="232A67B6" w14:textId="63404EAE">
            <w:pPr>
              <w:spacing w:line="240" w:lineRule="auto"/>
              <w:rPr>
                <w:lang w:val="es-MX"/>
              </w:rPr>
            </w:pPr>
            <w:r w:rsidRPr="004807C5">
              <w:rPr>
                <w:lang w:val="es-MX"/>
              </w:rPr>
              <w:t xml:space="preserve">   Super. Ct. No. </w:t>
            </w:r>
            <w:r w:rsidRPr="008727C7" w:rsidR="008727C7">
              <w:rPr>
                <w:lang w:val="es-MX"/>
              </w:rPr>
              <w:t>21STCP01434</w:t>
            </w:r>
            <w:r w:rsidRPr="004807C5">
              <w:rPr>
                <w:lang w:val="es-MX"/>
              </w:rPr>
              <w:t>)</w:t>
            </w:r>
          </w:p>
        </w:tc>
      </w:tr>
    </w:tbl>
    <w:p w:rsidR="00557FB3" w:rsidP="00557FB3" w14:paraId="2F251CA7" w14:textId="77777777">
      <w:pPr>
        <w:rPr>
          <w:lang w:val="es-MX"/>
        </w:rPr>
      </w:pPr>
    </w:p>
    <w:p w:rsidR="00557FB3" w:rsidRPr="004807C5" w:rsidP="00557FB3" w14:paraId="3DC9096F" w14:textId="77777777">
      <w:pPr>
        <w:rPr>
          <w:lang w:val="es-MX"/>
        </w:rPr>
      </w:pPr>
    </w:p>
    <w:p w:rsidR="00B46C31" w:rsidP="00557FB3" w14:paraId="396501A1" w14:textId="77777777"/>
    <w:p w:rsidR="00557FB3" w:rsidP="00557FB3" w14:paraId="647BCE33" w14:textId="21F12F24">
      <w:r w:rsidRPr="00937F18">
        <w:tab/>
      </w:r>
      <w:r w:rsidRPr="004807C5">
        <w:t xml:space="preserve">APPEAL from an order of the Superior Court of Los Angeles County, </w:t>
      </w:r>
      <w:r w:rsidR="008727C7">
        <w:t>Mit</w:t>
      </w:r>
      <w:r w:rsidR="00DB392F">
        <w:t>c</w:t>
      </w:r>
      <w:r w:rsidR="008727C7">
        <w:t xml:space="preserve">hell L. Beckloff, </w:t>
      </w:r>
      <w:r w:rsidRPr="004807C5">
        <w:t xml:space="preserve">Judge.  </w:t>
      </w:r>
      <w:r w:rsidRPr="00BC2325">
        <w:t>Affirmed</w:t>
      </w:r>
      <w:r w:rsidR="008727C7">
        <w:t>.</w:t>
      </w:r>
    </w:p>
    <w:p w:rsidR="00557FB3" w:rsidRPr="004807C5" w:rsidP="00557FB3" w14:paraId="7CA2636C" w14:textId="571C9CE4">
      <w:r w:rsidRPr="004807C5">
        <w:tab/>
      </w:r>
      <w:r w:rsidR="008727C7">
        <w:t>David Romley</w:t>
      </w:r>
      <w:r w:rsidRPr="004807C5">
        <w:t xml:space="preserve"> for </w:t>
      </w:r>
      <w:r w:rsidR="00B46C31">
        <w:t xml:space="preserve">Plaintiffs </w:t>
      </w:r>
      <w:r w:rsidRPr="004807C5">
        <w:t>and</w:t>
      </w:r>
      <w:r w:rsidR="00B46C31">
        <w:t xml:space="preserve"> Appellants</w:t>
      </w:r>
      <w:r w:rsidRPr="004807C5">
        <w:t>.</w:t>
      </w:r>
    </w:p>
    <w:p w:rsidR="00557FB3" w:rsidP="00557FB3" w14:paraId="7CCD31D3" w14:textId="72FD1F9E">
      <w:r w:rsidRPr="004807C5">
        <w:tab/>
      </w:r>
      <w:r w:rsidRPr="008727C7" w:rsidR="008727C7">
        <w:t xml:space="preserve">Venable </w:t>
      </w:r>
      <w:r w:rsidR="008727C7">
        <w:t>and</w:t>
      </w:r>
      <w:r w:rsidRPr="004807C5" w:rsidR="008727C7">
        <w:t xml:space="preserve"> </w:t>
      </w:r>
      <w:r w:rsidRPr="008727C7" w:rsidR="008727C7">
        <w:t xml:space="preserve">Jean-Paul P. Cart </w:t>
      </w:r>
      <w:r w:rsidRPr="004807C5">
        <w:t>for</w:t>
      </w:r>
      <w:r w:rsidR="00B46C31">
        <w:t xml:space="preserve"> Defendants and Respondents</w:t>
      </w:r>
      <w:r w:rsidRPr="004807C5">
        <w:t>.</w:t>
      </w:r>
    </w:p>
    <w:p w:rsidR="00526196" w:rsidP="00B46C31" w14:paraId="369620F0" w14:textId="6B8A0AAA">
      <w:pPr>
        <w:pageBreakBefore/>
      </w:pPr>
      <w:r>
        <w:tab/>
      </w:r>
      <w:r w:rsidR="005C7C72">
        <w:t>Appellant</w:t>
      </w:r>
      <w:r w:rsidR="00CA2C17">
        <w:t>s Chad Ayach and Joseph Nofal appeal from the</w:t>
      </w:r>
      <w:r w:rsidR="00B46C31">
        <w:t> </w:t>
      </w:r>
      <w:r w:rsidR="00CA2C17">
        <w:t>denial of a petition for writ of</w:t>
      </w:r>
      <w:r w:rsidR="00412683">
        <w:t xml:space="preserve"> administrative</w:t>
      </w:r>
      <w:r w:rsidR="00CA2C17">
        <w:t xml:space="preserve"> mandate challenging their expulsions from the University of California Riverside (UC Riverside or the </w:t>
      </w:r>
      <w:r w:rsidR="00B46C31">
        <w:t>U</w:t>
      </w:r>
      <w:r w:rsidR="00CA2C17">
        <w:t>niversity).</w:t>
      </w:r>
      <w:r>
        <w:rPr>
          <w:rStyle w:val="FootnoteReference"/>
        </w:rPr>
        <w:footnoteReference w:id="3"/>
      </w:r>
      <w:r w:rsidR="00CA2C17">
        <w:t xml:space="preserve">  Nofal and Ayach </w:t>
      </w:r>
      <w:r w:rsidRPr="00CA2C17" w:rsidR="00CA2C17">
        <w:t>contend that</w:t>
      </w:r>
      <w:r w:rsidR="00CA2C17">
        <w:t xml:space="preserve"> the </w:t>
      </w:r>
      <w:r w:rsidR="00B46C31">
        <w:t>U</w:t>
      </w:r>
      <w:r w:rsidR="00CA2C17">
        <w:t>niversity</w:t>
      </w:r>
      <w:r w:rsidR="00B46C31">
        <w:t>’s</w:t>
      </w:r>
      <w:r w:rsidR="00CA2C17">
        <w:t xml:space="preserve"> administrative hearing</w:t>
      </w:r>
      <w:r w:rsidR="003145F3">
        <w:t>s</w:t>
      </w:r>
      <w:r w:rsidR="00CA2C17">
        <w:t xml:space="preserve"> leading to their expulsions did not afford them due process because (1) </w:t>
      </w:r>
      <w:r w:rsidRPr="00CA2C17" w:rsidR="00CA2C17">
        <w:t xml:space="preserve">the charging documents </w:t>
      </w:r>
      <w:r w:rsidR="00CA2C17">
        <w:t>and evidence presented used pseudonyms to</w:t>
      </w:r>
      <w:r w:rsidR="00B46C31">
        <w:t> </w:t>
      </w:r>
      <w:r w:rsidR="00CA2C17">
        <w:t>identify witnesses who provided statements</w:t>
      </w:r>
      <w:r w:rsidR="00AF4729">
        <w:t xml:space="preserve"> to university investigators</w:t>
      </w:r>
      <w:r w:rsidR="00CA2C17">
        <w:t xml:space="preserve">, and (2) Nofal and Ayach were purportedly denied the opportunity to confront or cross-examine these witnesses at the hearing. </w:t>
      </w:r>
      <w:r w:rsidR="00AF4729">
        <w:t xml:space="preserve"> Due process in the context of </w:t>
      </w:r>
      <w:r w:rsidR="00450C70">
        <w:t xml:space="preserve">university </w:t>
      </w:r>
      <w:r w:rsidR="00AF4729">
        <w:t xml:space="preserve">disciplinary proceedings is a flexible concept that depends on the specific circumstances and charges at issue in each particular case.  </w:t>
      </w:r>
      <w:r w:rsidR="00CA2C17">
        <w:t>We conclude that the challenged administrative proceedings afforded Nofal and Ayach the</w:t>
      </w:r>
      <w:r w:rsidR="00AF4729">
        <w:t xml:space="preserve"> </w:t>
      </w:r>
      <w:r w:rsidR="00CA2C17">
        <w:t xml:space="preserve">process </w:t>
      </w:r>
      <w:r w:rsidR="00AF4729">
        <w:t>they were due, given the nature of</w:t>
      </w:r>
      <w:r w:rsidR="00450C70">
        <w:t> </w:t>
      </w:r>
      <w:r w:rsidR="00AF4729">
        <w:t>the charges and their response</w:t>
      </w:r>
      <w:r w:rsidR="00CA2C17">
        <w:t xml:space="preserve">.  Accordingly, we affirm the judgment denying the petition. </w:t>
      </w:r>
    </w:p>
    <w:p w:rsidR="00DD2598" w:rsidP="00B46C31" w14:paraId="6C4F33F8" w14:textId="282323B4">
      <w:pPr>
        <w:pStyle w:val="Heading1"/>
        <w:pageBreakBefore/>
        <w:spacing w:before="200" w:line="240" w:lineRule="auto"/>
      </w:pPr>
      <w:r w:rsidRPr="00450C70">
        <w:t>FACTS AND PROCEEDINGS BELOW</w:t>
      </w:r>
    </w:p>
    <w:p w:rsidR="00D14B12" w:rsidRPr="00AA0A4F" w:rsidP="00B46C31" w14:paraId="2EACBFE2" w14:textId="6525CBE2">
      <w:pPr>
        <w:pStyle w:val="Heading2"/>
        <w:spacing w:before="200" w:line="240" w:lineRule="auto"/>
        <w:ind w:left="1440" w:hanging="720"/>
        <w:jc w:val="left"/>
      </w:pPr>
      <w:r w:rsidRPr="00AA0A4F">
        <w:t>A.</w:t>
      </w:r>
      <w:r w:rsidRPr="00AA0A4F">
        <w:tab/>
      </w:r>
      <w:r w:rsidRPr="00450C70">
        <w:rPr>
          <w:i/>
          <w:iCs/>
        </w:rPr>
        <w:t xml:space="preserve">UC Riverside’s </w:t>
      </w:r>
      <w:r w:rsidRPr="00450C70" w:rsidR="00AA0A4F">
        <w:rPr>
          <w:i/>
          <w:iCs/>
        </w:rPr>
        <w:t xml:space="preserve">Initial </w:t>
      </w:r>
      <w:r w:rsidRPr="00450C70">
        <w:rPr>
          <w:i/>
          <w:iCs/>
        </w:rPr>
        <w:t xml:space="preserve">Investigation of </w:t>
      </w:r>
      <w:r w:rsidR="00B46C31">
        <w:rPr>
          <w:i/>
          <w:iCs/>
        </w:rPr>
        <w:t>Phi Gamma Delta</w:t>
      </w:r>
    </w:p>
    <w:p w:rsidR="00D14B12" w:rsidP="009C5126" w14:paraId="214A9184" w14:textId="7E2A1873">
      <w:pPr>
        <w:ind w:firstLine="720"/>
      </w:pPr>
      <w:r>
        <w:t>In early 2019, UC Riverside</w:t>
      </w:r>
      <w:r w:rsidRPr="009C5126">
        <w:t xml:space="preserve">’s </w:t>
      </w:r>
      <w:r w:rsidR="00B46C31">
        <w:t>S</w:t>
      </w:r>
      <w:r w:rsidRPr="009C5126">
        <w:t xml:space="preserve">tudent </w:t>
      </w:r>
      <w:r w:rsidR="00B46C31">
        <w:t>C</w:t>
      </w:r>
      <w:r w:rsidRPr="009C5126">
        <w:t xml:space="preserve">onduct and </w:t>
      </w:r>
      <w:r w:rsidR="00B46C31">
        <w:t>A</w:t>
      </w:r>
      <w:r w:rsidRPr="009C5126">
        <w:t xml:space="preserve">cademic </w:t>
      </w:r>
      <w:r w:rsidR="00B46C31">
        <w:t>I</w:t>
      </w:r>
      <w:r w:rsidRPr="009C5126">
        <w:t xml:space="preserve">ntegrity </w:t>
      </w:r>
      <w:r w:rsidR="00B46C31">
        <w:t>P</w:t>
      </w:r>
      <w:r w:rsidRPr="009C5126">
        <w:t>rograms offi</w:t>
      </w:r>
      <w:r>
        <w:t xml:space="preserve">ce </w:t>
      </w:r>
      <w:r w:rsidRPr="009C5126">
        <w:t xml:space="preserve">(SCAIP) </w:t>
      </w:r>
      <w:r>
        <w:t>received a report</w:t>
      </w:r>
      <w:r w:rsidR="007501AD">
        <w:t xml:space="preserve"> </w:t>
      </w:r>
      <w:r>
        <w:t>expressing concern for the health of a member of the</w:t>
      </w:r>
      <w:r w:rsidR="00880E0A">
        <w:t xml:space="preserve"> Phi</w:t>
      </w:r>
      <w:r w:rsidR="007501AD">
        <w:t xml:space="preserve"> </w:t>
      </w:r>
      <w:r w:rsidR="00880E0A">
        <w:t>Gamma</w:t>
      </w:r>
      <w:r w:rsidR="007501AD">
        <w:t xml:space="preserve"> </w:t>
      </w:r>
      <w:r w:rsidR="00880E0A">
        <w:t xml:space="preserve">Delta fraternity (PGD) </w:t>
      </w:r>
      <w:r>
        <w:t>pledge class at UC</w:t>
      </w:r>
      <w:r w:rsidR="00EB6A45">
        <w:t xml:space="preserve"> </w:t>
      </w:r>
      <w:r>
        <w:t>R</w:t>
      </w:r>
      <w:r w:rsidR="00EB6A45">
        <w:t>iverside</w:t>
      </w:r>
      <w:r>
        <w:t>.  SCAIP began an investigation into the</w:t>
      </w:r>
      <w:r w:rsidR="00B46C31">
        <w:t> </w:t>
      </w:r>
      <w:r>
        <w:t>PGD pledge process</w:t>
      </w:r>
      <w:r w:rsidR="00EB6A45">
        <w:t>.</w:t>
      </w:r>
      <w:r>
        <w:t xml:space="preserve"> </w:t>
      </w:r>
      <w:r w:rsidR="007501AD">
        <w:t xml:space="preserve"> </w:t>
      </w:r>
      <w:r>
        <w:t>During the</w:t>
      </w:r>
      <w:r w:rsidR="007501AD">
        <w:t> </w:t>
      </w:r>
      <w:r w:rsidR="00B46C31">
        <w:t xml:space="preserve">time period </w:t>
      </w:r>
      <w:r>
        <w:t xml:space="preserve">relevant </w:t>
      </w:r>
      <w:r w:rsidR="00EB6A45">
        <w:t>to the disciplinary investigation</w:t>
      </w:r>
      <w:r>
        <w:t>, Nofal</w:t>
      </w:r>
      <w:r w:rsidR="007501AD">
        <w:t> </w:t>
      </w:r>
      <w:r>
        <w:t xml:space="preserve">was PGD’s </w:t>
      </w:r>
      <w:r w:rsidR="00880E0A">
        <w:t xml:space="preserve">UC Riverside chapter </w:t>
      </w:r>
      <w:r>
        <w:t>president, and Ayach was</w:t>
      </w:r>
      <w:r w:rsidR="007501AD">
        <w:t> </w:t>
      </w:r>
      <w:r>
        <w:t xml:space="preserve">the “disciplinarian” for the </w:t>
      </w:r>
      <w:r w:rsidR="00CA2C17">
        <w:t xml:space="preserve">chapter’s </w:t>
      </w:r>
      <w:r>
        <w:t xml:space="preserve">pledge campaign. </w:t>
      </w:r>
      <w:r w:rsidR="00221F3F">
        <w:t xml:space="preserve"> (Capitalization omitted.)</w:t>
      </w:r>
    </w:p>
    <w:p w:rsidR="00D14B12" w:rsidP="009C5126" w14:paraId="3B77FCD2" w14:textId="24E6AB84">
      <w:pPr>
        <w:ind w:firstLine="720"/>
      </w:pPr>
      <w:r>
        <w:t xml:space="preserve">SCAIP’s investigator conducted interviews of most of </w:t>
      </w:r>
      <w:r w:rsidR="009C5126">
        <w:t>PGD</w:t>
      </w:r>
      <w:r>
        <w:t>’s</w:t>
      </w:r>
      <w:r w:rsidR="007501AD">
        <w:t> </w:t>
      </w:r>
      <w:r>
        <w:t xml:space="preserve">2018 and 2019 pledges. </w:t>
      </w:r>
      <w:r w:rsidR="007501AD">
        <w:t xml:space="preserve"> </w:t>
      </w:r>
      <w:r w:rsidR="009C5126">
        <w:t xml:space="preserve">During these interviews, the pledges stated that: </w:t>
      </w:r>
      <w:r w:rsidR="00221F3F">
        <w:t xml:space="preserve"> </w:t>
      </w:r>
      <w:r>
        <w:t xml:space="preserve">(1) </w:t>
      </w:r>
      <w:r w:rsidR="00EB6A45">
        <w:t>A</w:t>
      </w:r>
      <w:r w:rsidR="009C5126">
        <w:t xml:space="preserve">s part of the </w:t>
      </w:r>
      <w:r w:rsidR="004E1956">
        <w:t>pledge</w:t>
      </w:r>
      <w:r w:rsidR="00EB6A45">
        <w:t xml:space="preserve"> </w:t>
      </w:r>
      <w:r w:rsidR="009C5126">
        <w:t xml:space="preserve">process, </w:t>
      </w:r>
      <w:r>
        <w:t>pledges were forced to complete workouts as “punishments”</w:t>
      </w:r>
      <w:r w:rsidR="00B46C31">
        <w:t>;</w:t>
      </w:r>
      <w:r w:rsidR="009C5126">
        <w:t xml:space="preserve"> </w:t>
      </w:r>
      <w:r>
        <w:t>(</w:t>
      </w:r>
      <w:r w:rsidR="00EB6A45">
        <w:t>2</w:t>
      </w:r>
      <w:r>
        <w:t xml:space="preserve">) </w:t>
      </w:r>
      <w:r w:rsidR="00EB6A45">
        <w:t>a</w:t>
      </w:r>
      <w:r>
        <w:t xml:space="preserve">t least one </w:t>
      </w:r>
      <w:r w:rsidR="009C5126">
        <w:t xml:space="preserve">such </w:t>
      </w:r>
      <w:r>
        <w:t>workout took place outdoors</w:t>
      </w:r>
      <w:r w:rsidR="00EB6A45">
        <w:t xml:space="preserve"> at night </w:t>
      </w:r>
      <w:r>
        <w:t>for several</w:t>
      </w:r>
      <w:r w:rsidR="009C5126">
        <w:t xml:space="preserve"> </w:t>
      </w:r>
      <w:r>
        <w:t>hours;</w:t>
      </w:r>
      <w:r w:rsidR="009C5126">
        <w:t xml:space="preserve"> </w:t>
      </w:r>
      <w:r>
        <w:t>(</w:t>
      </w:r>
      <w:r w:rsidR="00EB6A45">
        <w:t>3</w:t>
      </w:r>
      <w:r>
        <w:t xml:space="preserve">) </w:t>
      </w:r>
      <w:r w:rsidR="009C5126">
        <w:t>PGD</w:t>
      </w:r>
      <w:r>
        <w:t xml:space="preserve"> had a practice of taking away “pledge pins,” which </w:t>
      </w:r>
      <w:r w:rsidR="009C5126">
        <w:t xml:space="preserve">in one instance </w:t>
      </w:r>
      <w:r>
        <w:t xml:space="preserve">led to an altercation in which </w:t>
      </w:r>
      <w:r w:rsidR="009C5126">
        <w:t xml:space="preserve">a </w:t>
      </w:r>
      <w:r>
        <w:t>pledge used a projectile stun</w:t>
      </w:r>
      <w:r w:rsidR="00B46C31">
        <w:t> </w:t>
      </w:r>
      <w:r>
        <w:t>gun</w:t>
      </w:r>
      <w:r w:rsidR="009C5126">
        <w:t xml:space="preserve"> </w:t>
      </w:r>
      <w:r>
        <w:t xml:space="preserve">on </w:t>
      </w:r>
      <w:r w:rsidR="00AF4729">
        <w:t xml:space="preserve">a </w:t>
      </w:r>
      <w:r w:rsidR="00412683">
        <w:t>PGD</w:t>
      </w:r>
      <w:r>
        <w:t xml:space="preserve"> </w:t>
      </w:r>
      <w:r w:rsidRPr="00412683">
        <w:t>member</w:t>
      </w:r>
      <w:r w:rsidR="009C5126">
        <w:t xml:space="preserve"> (“tasing” the member)</w:t>
      </w:r>
      <w:r>
        <w:t>;</w:t>
      </w:r>
      <w:r w:rsidR="009C5126">
        <w:t xml:space="preserve"> </w:t>
      </w:r>
      <w:r>
        <w:t>(</w:t>
      </w:r>
      <w:r w:rsidR="00EB6A45">
        <w:t>4</w:t>
      </w:r>
      <w:r>
        <w:t xml:space="preserve">) </w:t>
      </w:r>
      <w:r w:rsidR="009C5126">
        <w:t>PGD</w:t>
      </w:r>
      <w:r>
        <w:t xml:space="preserve"> had a</w:t>
      </w:r>
      <w:r w:rsidR="007501AD">
        <w:t> </w:t>
      </w:r>
      <w:r>
        <w:t>“check” system that required pledges to complete household tasks and chores for the members to work off their “checks”</w:t>
      </w:r>
      <w:r w:rsidR="00B46C31">
        <w:t>;</w:t>
      </w:r>
      <w:r w:rsidR="009C5126">
        <w:t xml:space="preserve"> </w:t>
      </w:r>
      <w:r>
        <w:t>(</w:t>
      </w:r>
      <w:r w:rsidR="00EB6A45">
        <w:t>5</w:t>
      </w:r>
      <w:r>
        <w:t>)</w:t>
      </w:r>
      <w:r w:rsidR="007501AD">
        <w:t> </w:t>
      </w:r>
      <w:r w:rsidR="009C5126">
        <w:t xml:space="preserve">PGD </w:t>
      </w:r>
      <w:r>
        <w:t>would question pledges in an “intense” setting as part</w:t>
      </w:r>
      <w:r w:rsidR="006251B9">
        <w:t> </w:t>
      </w:r>
      <w:r>
        <w:t>of</w:t>
      </w:r>
      <w:r w:rsidR="007501AD">
        <w:t> </w:t>
      </w:r>
      <w:r>
        <w:t>the pledge process</w:t>
      </w:r>
      <w:r w:rsidR="009C5126">
        <w:t xml:space="preserve">; </w:t>
      </w:r>
      <w:r>
        <w:t>(</w:t>
      </w:r>
      <w:r w:rsidR="00EB6A45">
        <w:t>6</w:t>
      </w:r>
      <w:r>
        <w:t>) pledges were required to wear “feminine” clothing to a party; and</w:t>
      </w:r>
      <w:r w:rsidR="009C5126">
        <w:t xml:space="preserve"> </w:t>
      </w:r>
      <w:r>
        <w:t>(</w:t>
      </w:r>
      <w:r w:rsidR="00EB6A45">
        <w:t>7</w:t>
      </w:r>
      <w:r>
        <w:t xml:space="preserve">) </w:t>
      </w:r>
      <w:r w:rsidR="009C5126">
        <w:t>PGD</w:t>
      </w:r>
      <w:r>
        <w:t xml:space="preserve"> performed a “dat</w:t>
      </w:r>
      <w:r w:rsidR="009C5126">
        <w:t>e</w:t>
      </w:r>
      <w:r>
        <w:t xml:space="preserve"> auction” where pledges were “sold” to</w:t>
      </w:r>
      <w:r w:rsidR="009C5126">
        <w:t xml:space="preserve"> </w:t>
      </w:r>
      <w:r>
        <w:t>bidders.</w:t>
      </w:r>
    </w:p>
    <w:p w:rsidR="00AA0A4F" w:rsidRPr="00450C70" w:rsidP="00450C70" w14:paraId="07B9E3D9" w14:textId="66D8FDE3">
      <w:pPr>
        <w:pStyle w:val="Heading2"/>
        <w:spacing w:before="200" w:line="240" w:lineRule="auto"/>
        <w:ind w:left="1440" w:hanging="720"/>
        <w:jc w:val="left"/>
        <w:rPr>
          <w:i/>
          <w:iCs/>
        </w:rPr>
      </w:pPr>
      <w:r w:rsidRPr="00450C70">
        <w:t>B.</w:t>
      </w:r>
      <w:r w:rsidRPr="00AA0A4F">
        <w:tab/>
      </w:r>
      <w:r w:rsidRPr="00450C70" w:rsidR="00AF4729">
        <w:rPr>
          <w:i/>
          <w:iCs/>
        </w:rPr>
        <w:t>Init</w:t>
      </w:r>
      <w:r w:rsidRPr="00450C70" w:rsidR="00450C70">
        <w:rPr>
          <w:i/>
          <w:iCs/>
        </w:rPr>
        <w:t>i</w:t>
      </w:r>
      <w:r w:rsidRPr="00450C70" w:rsidR="00AF4729">
        <w:rPr>
          <w:i/>
          <w:iCs/>
        </w:rPr>
        <w:t xml:space="preserve">al </w:t>
      </w:r>
      <w:r w:rsidRPr="00450C70">
        <w:rPr>
          <w:i/>
          <w:iCs/>
        </w:rPr>
        <w:t>Notice</w:t>
      </w:r>
      <w:r w:rsidRPr="00450C70" w:rsidR="006844A8">
        <w:rPr>
          <w:i/>
          <w:iCs/>
        </w:rPr>
        <w:t>s</w:t>
      </w:r>
      <w:r w:rsidRPr="00450C70">
        <w:rPr>
          <w:i/>
          <w:iCs/>
        </w:rPr>
        <w:t xml:space="preserve"> to Nofal and Ayach of UC</w:t>
      </w:r>
      <w:r w:rsidR="00450C70">
        <w:rPr>
          <w:i/>
          <w:iCs/>
        </w:rPr>
        <w:t> </w:t>
      </w:r>
      <w:r w:rsidRPr="00450C70">
        <w:rPr>
          <w:i/>
          <w:iCs/>
        </w:rPr>
        <w:t xml:space="preserve">Riverside </w:t>
      </w:r>
      <w:r w:rsidRPr="00450C70" w:rsidR="00AF4729">
        <w:rPr>
          <w:i/>
          <w:iCs/>
        </w:rPr>
        <w:t>Administrative Review Meeting</w:t>
      </w:r>
    </w:p>
    <w:p w:rsidR="00AF4729" w:rsidP="00412683" w14:paraId="7A900C09" w14:textId="784F478F">
      <w:pPr>
        <w:ind w:firstLine="720"/>
      </w:pPr>
      <w:r>
        <w:t xml:space="preserve">In April 2019, </w:t>
      </w:r>
      <w:r w:rsidR="00D14B12">
        <w:t>SCAIP sent Nofal</w:t>
      </w:r>
      <w:r w:rsidR="006844A8">
        <w:t xml:space="preserve"> and </w:t>
      </w:r>
      <w:r w:rsidR="001E7B26">
        <w:t>Ayach</w:t>
      </w:r>
      <w:r w:rsidR="00D14B12">
        <w:t xml:space="preserve"> </w:t>
      </w:r>
      <w:r w:rsidR="001E7B26">
        <w:t>“</w:t>
      </w:r>
      <w:r w:rsidR="00CA2C17">
        <w:t>n</w:t>
      </w:r>
      <w:r w:rsidR="00D14B12">
        <w:t>otice</w:t>
      </w:r>
      <w:r w:rsidR="006844A8">
        <w:t>[s]</w:t>
      </w:r>
      <w:r w:rsidR="00D14B12">
        <w:t xml:space="preserve"> to</w:t>
      </w:r>
      <w:r w:rsidR="00450C70">
        <w:t> </w:t>
      </w:r>
      <w:r w:rsidR="00CA2C17">
        <w:t>s</w:t>
      </w:r>
      <w:r w:rsidR="00D14B12">
        <w:t xml:space="preserve">chedule and </w:t>
      </w:r>
      <w:r w:rsidR="00CA2C17">
        <w:t>a</w:t>
      </w:r>
      <w:r w:rsidR="00D14B12">
        <w:t xml:space="preserve">ppear for an </w:t>
      </w:r>
      <w:r w:rsidR="00CA2C17">
        <w:t>a</w:t>
      </w:r>
      <w:r w:rsidR="00D14B12">
        <w:t xml:space="preserve">dministrative </w:t>
      </w:r>
      <w:r w:rsidR="00CA2C17">
        <w:t>r</w:t>
      </w:r>
      <w:r w:rsidR="00D14B12">
        <w:t xml:space="preserve">eview </w:t>
      </w:r>
      <w:r w:rsidR="00CA2C17">
        <w:t>m</w:t>
      </w:r>
      <w:r w:rsidR="00D14B12">
        <w:t>eeting.</w:t>
      </w:r>
      <w:r w:rsidR="001E7B26">
        <w:t>”</w:t>
      </w:r>
      <w:r w:rsidR="00D14B12">
        <w:t xml:space="preserve"> </w:t>
      </w:r>
      <w:r w:rsidR="00450C70">
        <w:t xml:space="preserve"> (Capitalization omitted.)  </w:t>
      </w:r>
      <w:r w:rsidR="00D14B12">
        <w:t>Th</w:t>
      </w:r>
      <w:r w:rsidR="006844A8">
        <w:t>ese</w:t>
      </w:r>
      <w:r w:rsidR="00D14B12">
        <w:t xml:space="preserve"> notice</w:t>
      </w:r>
      <w:r w:rsidR="006844A8">
        <w:t>s</w:t>
      </w:r>
      <w:r w:rsidR="00D14B12">
        <w:t xml:space="preserve"> </w:t>
      </w:r>
      <w:r w:rsidR="00412683">
        <w:t>informed Nofal and Ayach that SCAIP had “</w:t>
      </w:r>
      <w:r w:rsidRPr="00412683" w:rsidR="00412683">
        <w:t xml:space="preserve">received a detailed description of the components of </w:t>
      </w:r>
      <w:r w:rsidR="00412683">
        <w:t xml:space="preserve">[PGD’s] </w:t>
      </w:r>
      <w:r w:rsidRPr="00412683" w:rsidR="00412683">
        <w:t xml:space="preserve">pledge process, including many activities appearing to meet </w:t>
      </w:r>
      <w:r w:rsidR="00412683">
        <w:t xml:space="preserve">[UC Riverside] </w:t>
      </w:r>
      <w:r w:rsidRPr="00412683" w:rsidR="00412683">
        <w:t>definitions of hazing</w:t>
      </w:r>
      <w:r w:rsidR="00412683">
        <w:t>,” namely</w:t>
      </w:r>
      <w:r w:rsidR="007501AD">
        <w:t xml:space="preserve"> </w:t>
      </w:r>
      <w:r w:rsidR="00412683">
        <w:t>kidnap</w:t>
      </w:r>
      <w:r w:rsidR="00B46C31">
        <w:t>p</w:t>
      </w:r>
      <w:r w:rsidR="00412683">
        <w:t>ing, tasing, sale of pledges at a date auction, physical workouts, assignment of chores, exposure to the elements, sleep</w:t>
      </w:r>
      <w:r w:rsidR="007501AD">
        <w:t> </w:t>
      </w:r>
      <w:r w:rsidR="00412683">
        <w:t xml:space="preserve">deprivation, heavy alcohol consumption, and coordinated dishonesty. </w:t>
      </w:r>
      <w:r w:rsidR="007501AD">
        <w:t xml:space="preserve"> </w:t>
      </w:r>
      <w:r>
        <w:t>The notices also identified the sections of</w:t>
      </w:r>
      <w:r w:rsidR="007501AD">
        <w:t> </w:t>
      </w:r>
      <w:r>
        <w:t>the “University</w:t>
      </w:r>
      <w:r w:rsidRPr="00315228" w:rsidR="00221F3F">
        <w:rPr>
          <w:spacing w:val="22"/>
        </w:rPr>
        <w:t>[</w:t>
      </w:r>
      <w:r>
        <w:t>’s</w:t>
      </w:r>
      <w:r w:rsidR="00221F3F">
        <w:t>]</w:t>
      </w:r>
      <w:r>
        <w:t xml:space="preserve"> Policies Applying to Campus Activities, Organizations, and Students</w:t>
      </w:r>
      <w:r w:rsidR="00221F3F">
        <w:t>—</w:t>
      </w:r>
      <w:r w:rsidR="00B46C31">
        <w:t>100.0</w:t>
      </w:r>
      <w:r w:rsidR="00221F3F">
        <w:t xml:space="preserve">0 </w:t>
      </w:r>
      <w:r w:rsidR="00B46C31">
        <w:t xml:space="preserve">Policy </w:t>
      </w:r>
      <w:r>
        <w:t>on Student Conduct</w:t>
      </w:r>
      <w:r w:rsidR="007501AD">
        <w:t> </w:t>
      </w:r>
      <w:r>
        <w:t>and Discipline” (the student conduct policy) SCAIP was</w:t>
      </w:r>
      <w:r w:rsidR="007501AD">
        <w:t> </w:t>
      </w:r>
      <w:r>
        <w:t>concerned the pledge process had violated.</w:t>
      </w:r>
      <w:r>
        <w:rPr>
          <w:rStyle w:val="FootnoteReference"/>
        </w:rPr>
        <w:footnoteReference w:id="4"/>
      </w:r>
      <w:r>
        <w:t xml:space="preserve">  The notices informed Nofal and</w:t>
      </w:r>
      <w:r w:rsidR="004E1956">
        <w:t> </w:t>
      </w:r>
      <w:r>
        <w:t>Ayach that “</w:t>
      </w:r>
      <w:r w:rsidRPr="00AF4729">
        <w:t xml:space="preserve">an </w:t>
      </w:r>
      <w:r>
        <w:t>a</w:t>
      </w:r>
      <w:r w:rsidRPr="00AF4729">
        <w:t xml:space="preserve">dministrative </w:t>
      </w:r>
      <w:r>
        <w:t>r</w:t>
      </w:r>
      <w:r w:rsidRPr="00AF4729">
        <w:t>eview process</w:t>
      </w:r>
      <w:r w:rsidR="007501AD">
        <w:t> </w:t>
      </w:r>
      <w:r w:rsidR="00221F3F">
        <w:t>[</w:t>
      </w:r>
      <w:r w:rsidRPr="00AF4729">
        <w:t>ha</w:t>
      </w:r>
      <w:r>
        <w:t>d]</w:t>
      </w:r>
      <w:r w:rsidRPr="00AF4729">
        <w:t xml:space="preserve"> begun</w:t>
      </w:r>
      <w:r>
        <w:t>,” which process presented them an “</w:t>
      </w:r>
      <w:r w:rsidRPr="00AF4729">
        <w:t xml:space="preserve">opportunity to provide information which clarifies </w:t>
      </w:r>
      <w:r w:rsidR="006E16E1">
        <w:t xml:space="preserve">your </w:t>
      </w:r>
      <w:r w:rsidRPr="00AF4729">
        <w:t>involvement or contributes to</w:t>
      </w:r>
      <w:r w:rsidR="007501AD">
        <w:t> </w:t>
      </w:r>
      <w:r w:rsidRPr="00AF4729">
        <w:t>SCAI</w:t>
      </w:r>
      <w:r w:rsidRPr="00221F3F">
        <w:rPr>
          <w:spacing w:val="28"/>
        </w:rPr>
        <w:t>P</w:t>
      </w:r>
      <w:r w:rsidR="00221F3F">
        <w:t>’</w:t>
      </w:r>
      <w:r w:rsidRPr="00AF4729">
        <w:t>s resolution of the situation</w:t>
      </w:r>
      <w:r>
        <w:t xml:space="preserve">.” </w:t>
      </w:r>
      <w:r w:rsidR="004E1956">
        <w:t xml:space="preserve"> (Capitalization omitted.)</w:t>
      </w:r>
      <w:r w:rsidR="007501AD">
        <w:t xml:space="preserve"> </w:t>
      </w:r>
      <w:r w:rsidR="00315228">
        <w:t xml:space="preserve"> </w:t>
      </w:r>
      <w:r>
        <w:t>The notices requested Nofal</w:t>
      </w:r>
      <w:r w:rsidR="007501AD">
        <w:t> </w:t>
      </w:r>
      <w:r>
        <w:t>and Ayach schedule an administrative review within a certain time frame.</w:t>
      </w:r>
    </w:p>
    <w:p w:rsidR="001E7B26" w:rsidRPr="001E7B26" w:rsidP="008023AF" w14:paraId="73F0196F" w14:textId="6E40D05F">
      <w:pPr>
        <w:pStyle w:val="Heading2"/>
        <w:spacing w:before="200" w:line="240" w:lineRule="auto"/>
        <w:ind w:firstLine="720"/>
        <w:jc w:val="left"/>
      </w:pPr>
      <w:r>
        <w:t>C.</w:t>
      </w:r>
      <w:r>
        <w:tab/>
      </w:r>
      <w:r w:rsidRPr="008023AF">
        <w:rPr>
          <w:i/>
          <w:iCs/>
        </w:rPr>
        <w:t xml:space="preserve">Nofal’s Statements to </w:t>
      </w:r>
      <w:r w:rsidR="002149E8">
        <w:rPr>
          <w:i/>
          <w:iCs/>
        </w:rPr>
        <w:t xml:space="preserve">the </w:t>
      </w:r>
      <w:r w:rsidRPr="008023AF">
        <w:rPr>
          <w:i/>
          <w:iCs/>
        </w:rPr>
        <w:t>SCAIP Investigator</w:t>
      </w:r>
    </w:p>
    <w:p w:rsidR="00AA0A4F" w:rsidP="00AA0A4F" w14:paraId="069E42A9" w14:textId="33F01061">
      <w:pPr>
        <w:ind w:firstLine="720"/>
      </w:pPr>
      <w:r>
        <w:t xml:space="preserve">Nofal met with </w:t>
      </w:r>
      <w:r w:rsidR="00315228">
        <w:t xml:space="preserve">the </w:t>
      </w:r>
      <w:r>
        <w:t>SCAIP</w:t>
      </w:r>
      <w:r w:rsidR="00315228">
        <w:t xml:space="preserve"> </w:t>
      </w:r>
      <w:r>
        <w:t>investigator</w:t>
      </w:r>
      <w:r w:rsidRPr="00880E0A">
        <w:t xml:space="preserve"> </w:t>
      </w:r>
      <w:r>
        <w:t>on May 7, 2019 and</w:t>
      </w:r>
      <w:r w:rsidR="00315228">
        <w:t> </w:t>
      </w:r>
      <w:r w:rsidR="00CA2C17">
        <w:t xml:space="preserve">denied </w:t>
      </w:r>
      <w:r>
        <w:t>that the conduct described in the notice had occurred as</w:t>
      </w:r>
      <w:r w:rsidR="007501AD">
        <w:t> </w:t>
      </w:r>
      <w:r>
        <w:t xml:space="preserve">part of the PGD </w:t>
      </w:r>
      <w:r w:rsidR="004E1956">
        <w:t>pledge</w:t>
      </w:r>
      <w:r>
        <w:t xml:space="preserve"> process or that PGD would have condoned such conduct. </w:t>
      </w:r>
      <w:r w:rsidR="007501AD">
        <w:t xml:space="preserve"> </w:t>
      </w:r>
      <w:r>
        <w:t>Nofal further denied that PGD had a</w:t>
      </w:r>
      <w:r w:rsidR="007501AD">
        <w:t xml:space="preserve"> </w:t>
      </w:r>
      <w:r>
        <w:t xml:space="preserve">“disciplinarian” for its pledge process. </w:t>
      </w:r>
      <w:r w:rsidR="00221F3F">
        <w:t xml:space="preserve"> (Capitalization omitted.)  </w:t>
      </w:r>
      <w:r w:rsidR="00412683">
        <w:t>After statements of “</w:t>
      </w:r>
      <w:r w:rsidR="00DA19A0">
        <w:t>S</w:t>
      </w:r>
      <w:r w:rsidR="00412683">
        <w:t>tudent A”</w:t>
      </w:r>
      <w:r>
        <w:t>—the student whose wellness check had triggered the investigation—</w:t>
      </w:r>
      <w:r w:rsidR="00412683">
        <w:t xml:space="preserve">were read aloud to Nofal, Nofal </w:t>
      </w:r>
      <w:r>
        <w:t xml:space="preserve">stated he knew who </w:t>
      </w:r>
      <w:r w:rsidR="00DA19A0">
        <w:t>S</w:t>
      </w:r>
      <w:r w:rsidR="00412683">
        <w:t>tudent A</w:t>
      </w:r>
      <w:r>
        <w:t xml:space="preserve"> was.</w:t>
      </w:r>
    </w:p>
    <w:p w:rsidR="00880E0A" w:rsidRPr="00880E0A" w:rsidP="00D14B12" w14:paraId="6C010B56" w14:textId="44461628">
      <w:pPr>
        <w:ind w:firstLine="720"/>
      </w:pPr>
      <w:r>
        <w:t>Less than two weeks later, on</w:t>
      </w:r>
      <w:r w:rsidR="00D14B12">
        <w:t xml:space="preserve"> May 17, 2019</w:t>
      </w:r>
      <w:r w:rsidR="001E7B26">
        <w:t>,</w:t>
      </w:r>
      <w:r w:rsidR="00D14B12">
        <w:t xml:space="preserve"> </w:t>
      </w:r>
      <w:r w:rsidR="001E7B26">
        <w:t xml:space="preserve">Nofal </w:t>
      </w:r>
      <w:r>
        <w:t>told the</w:t>
      </w:r>
      <w:r w:rsidR="006251B9">
        <w:t> </w:t>
      </w:r>
      <w:r>
        <w:t>SCAIP investigator</w:t>
      </w:r>
      <w:r w:rsidR="001E7B26">
        <w:t xml:space="preserve"> </w:t>
      </w:r>
      <w:r w:rsidR="00D14B12">
        <w:t>that many of the allegations</w:t>
      </w:r>
      <w:r>
        <w:t xml:space="preserve"> in the notice</w:t>
      </w:r>
      <w:r w:rsidR="006251B9">
        <w:t> </w:t>
      </w:r>
      <w:r w:rsidR="00D14B12">
        <w:t>were true</w:t>
      </w:r>
      <w:r>
        <w:t xml:space="preserve">, defending some of them as </w:t>
      </w:r>
      <w:r w:rsidR="00D14B12">
        <w:t>part of “40 years of tradition</w:t>
      </w:r>
      <w:r w:rsidR="00221F3F">
        <w:t>s</w:t>
      </w:r>
      <w:r w:rsidR="00D14B12">
        <w:t xml:space="preserve">.” </w:t>
      </w:r>
      <w:r w:rsidR="007501AD">
        <w:t xml:space="preserve"> </w:t>
      </w:r>
      <w:r w:rsidR="001E7B26">
        <w:t xml:space="preserve">Specifically, Nofal </w:t>
      </w:r>
      <w:r w:rsidR="00D14B12">
        <w:t xml:space="preserve">admitted </w:t>
      </w:r>
      <w:r w:rsidR="001E7B26">
        <w:t>(1) the</w:t>
      </w:r>
      <w:r>
        <w:t>re was a</w:t>
      </w:r>
      <w:r w:rsidR="001E7B26">
        <w:t xml:space="preserve"> process of taking away “</w:t>
      </w:r>
      <w:r w:rsidR="00D14B12">
        <w:t>pledge pins</w:t>
      </w:r>
      <w:r>
        <w:t>” and retrieving them by kidnapping and “exchang</w:t>
      </w:r>
      <w:r w:rsidR="00221F3F">
        <w:t>[</w:t>
      </w:r>
      <w:r>
        <w:t>ing</w:t>
      </w:r>
      <w:r w:rsidR="00221F3F">
        <w:t>]</w:t>
      </w:r>
      <w:r>
        <w:t xml:space="preserve">” </w:t>
      </w:r>
      <w:r w:rsidRPr="00AF4729">
        <w:t xml:space="preserve">a </w:t>
      </w:r>
      <w:r w:rsidR="00AF4729">
        <w:t xml:space="preserve">PGD </w:t>
      </w:r>
      <w:r w:rsidRPr="00AF4729">
        <w:t>member for</w:t>
      </w:r>
      <w:r>
        <w:t xml:space="preserve"> the </w:t>
      </w:r>
      <w:r w:rsidRPr="00880E0A">
        <w:t>pin</w:t>
      </w:r>
      <w:r w:rsidR="00315228">
        <w:t>,</w:t>
      </w:r>
      <w:r w:rsidRPr="00880E0A">
        <w:t xml:space="preserve"> (2) </w:t>
      </w:r>
      <w:r w:rsidRPr="00880E0A" w:rsidR="001E7B26">
        <w:t>that</w:t>
      </w:r>
      <w:r w:rsidR="001E7B26">
        <w:t xml:space="preserve"> in one instance, this </w:t>
      </w:r>
      <w:r w:rsidR="00D14B12">
        <w:t xml:space="preserve">led to a tasing incident during </w:t>
      </w:r>
      <w:r w:rsidR="00F9308E">
        <w:t xml:space="preserve">what was described by others as </w:t>
      </w:r>
      <w:r w:rsidR="00D14B12">
        <w:t xml:space="preserve">a mock kidnapping, </w:t>
      </w:r>
      <w:r w:rsidR="001E7B26">
        <w:t>(</w:t>
      </w:r>
      <w:r>
        <w:t>3</w:t>
      </w:r>
      <w:r w:rsidR="001E7B26">
        <w:t xml:space="preserve">) </w:t>
      </w:r>
      <w:r w:rsidR="00D14B12">
        <w:t xml:space="preserve">the existence of the date auction, </w:t>
      </w:r>
      <w:r w:rsidR="001E7B26">
        <w:t>(</w:t>
      </w:r>
      <w:r>
        <w:t>4</w:t>
      </w:r>
      <w:r w:rsidR="001E7B26">
        <w:t xml:space="preserve">) </w:t>
      </w:r>
      <w:r w:rsidR="00D14B12">
        <w:t xml:space="preserve">that pledges were forced to perform physical workouts, </w:t>
      </w:r>
      <w:r w:rsidR="001E7B26">
        <w:t>and (</w:t>
      </w:r>
      <w:r>
        <w:t>5</w:t>
      </w:r>
      <w:r w:rsidR="001E7B26">
        <w:t>) that PGD</w:t>
      </w:r>
      <w:r w:rsidR="00D14B12">
        <w:t xml:space="preserve"> had a “</w:t>
      </w:r>
      <w:r w:rsidRPr="00412683" w:rsidR="00D14B12">
        <w:t xml:space="preserve">check” system whereby pledges could “work off checks by helping active members with certain tasks.” </w:t>
      </w:r>
      <w:r w:rsidR="007501AD">
        <w:t xml:space="preserve"> </w:t>
      </w:r>
      <w:r w:rsidRPr="00412683">
        <w:t>More s</w:t>
      </w:r>
      <w:r w:rsidRPr="00412683" w:rsidR="00D14B12">
        <w:t xml:space="preserve">pecifically, Nofal admitted that </w:t>
      </w:r>
      <w:r w:rsidRPr="00412683">
        <w:t xml:space="preserve">in </w:t>
      </w:r>
      <w:r w:rsidRPr="00412683" w:rsidR="00D14B12">
        <w:t xml:space="preserve">one instance, a pledge brought a taser </w:t>
      </w:r>
      <w:r w:rsidRPr="00412683">
        <w:t>to</w:t>
      </w:r>
      <w:r w:rsidRPr="00412683" w:rsidR="00D14B12">
        <w:t xml:space="preserve"> the “exchange”</w:t>
      </w:r>
      <w:r w:rsidRPr="00412683">
        <w:t xml:space="preserve"> of</w:t>
      </w:r>
      <w:r w:rsidR="007501AD">
        <w:t> </w:t>
      </w:r>
      <w:r w:rsidRPr="00412683">
        <w:t xml:space="preserve">a </w:t>
      </w:r>
      <w:r w:rsidRPr="00412683" w:rsidR="00412683">
        <w:t xml:space="preserve">member </w:t>
      </w:r>
      <w:r w:rsidRPr="00412683">
        <w:t>for a pledge pin, and</w:t>
      </w:r>
      <w:r w:rsidRPr="00412683" w:rsidR="00D14B12">
        <w:t xml:space="preserve"> tased one of the members</w:t>
      </w:r>
      <w:r w:rsidRPr="00412683">
        <w:t xml:space="preserve">, whom Nofal </w:t>
      </w:r>
      <w:r w:rsidRPr="00412683" w:rsidR="00D14B12">
        <w:t>identified by name and claimed to have spoken with</w:t>
      </w:r>
      <w:r w:rsidRPr="00412683">
        <w:t xml:space="preserve"> about the incident</w:t>
      </w:r>
      <w:r w:rsidRPr="00412683" w:rsidR="00D14B12">
        <w:t xml:space="preserve">. </w:t>
      </w:r>
      <w:r w:rsidR="007501AD">
        <w:t xml:space="preserve"> </w:t>
      </w:r>
      <w:r w:rsidRPr="00880E0A" w:rsidR="00D14B12">
        <w:t xml:space="preserve">Nofal </w:t>
      </w:r>
      <w:r w:rsidRPr="00880E0A">
        <w:t>stated he was aware that it was PGD’</w:t>
      </w:r>
      <w:r w:rsidRPr="00880E0A" w:rsidR="00D14B12">
        <w:t>s practice to</w:t>
      </w:r>
      <w:r w:rsidR="006251B9">
        <w:t> </w:t>
      </w:r>
      <w:r w:rsidRPr="00880E0A" w:rsidR="00D14B12">
        <w:t xml:space="preserve">have pledges do pushups and planks as part of the pledge process, </w:t>
      </w:r>
      <w:r w:rsidRPr="00880E0A">
        <w:t>but</w:t>
      </w:r>
      <w:r w:rsidRPr="00880E0A" w:rsidR="00D14B12">
        <w:t xml:space="preserve"> </w:t>
      </w:r>
      <w:r w:rsidR="00CA2C17">
        <w:t xml:space="preserve">first </w:t>
      </w:r>
      <w:r w:rsidRPr="00880E0A" w:rsidR="00D14B12">
        <w:t xml:space="preserve">claimed </w:t>
      </w:r>
      <w:r w:rsidRPr="00880E0A">
        <w:t>he was not</w:t>
      </w:r>
      <w:r w:rsidRPr="00880E0A" w:rsidR="00D14B12">
        <w:t xml:space="preserve"> present</w:t>
      </w:r>
      <w:r w:rsidRPr="00880E0A">
        <w:t xml:space="preserve"> for this</w:t>
      </w:r>
      <w:r w:rsidR="00CA2C17">
        <w:t>, then</w:t>
      </w:r>
      <w:r w:rsidR="007501AD">
        <w:t> </w:t>
      </w:r>
      <w:r w:rsidRPr="00880E0A" w:rsidR="00D14B12">
        <w:t>said he</w:t>
      </w:r>
      <w:r w:rsidR="006251B9">
        <w:t> </w:t>
      </w:r>
      <w:r w:rsidRPr="00880E0A" w:rsidR="00D14B12">
        <w:t>“thought they’d</w:t>
      </w:r>
      <w:r w:rsidR="00DA19A0">
        <w:t> </w:t>
      </w:r>
      <w:r w:rsidRPr="00880E0A" w:rsidR="00D14B12">
        <w:t>gotten rid of it</w:t>
      </w:r>
      <w:r w:rsidRPr="00880E0A">
        <w:t>.</w:t>
      </w:r>
      <w:r w:rsidRPr="00880E0A" w:rsidR="00D14B12">
        <w:t>”</w:t>
      </w:r>
      <w:r w:rsidRPr="00880E0A">
        <w:t xml:space="preserve"> </w:t>
      </w:r>
      <w:r w:rsidR="007501AD">
        <w:t xml:space="preserve"> </w:t>
      </w:r>
      <w:r w:rsidRPr="00880E0A">
        <w:t xml:space="preserve">Nofal indicated the </w:t>
      </w:r>
      <w:r w:rsidRPr="00880E0A" w:rsidR="00D14B12">
        <w:t>“</w:t>
      </w:r>
      <w:r w:rsidR="00CA2C17">
        <w:t>p</w:t>
      </w:r>
      <w:r w:rsidRPr="00880E0A" w:rsidR="00D14B12">
        <w:t xml:space="preserve">ledge </w:t>
      </w:r>
      <w:r w:rsidR="00CA2C17">
        <w:t>e</w:t>
      </w:r>
      <w:r w:rsidRPr="00880E0A" w:rsidR="00D14B12">
        <w:t>ducator”</w:t>
      </w:r>
      <w:r w:rsidRPr="00880E0A">
        <w:t xml:space="preserve"> was the individual in charge of this, and that Nofal would </w:t>
      </w:r>
      <w:r w:rsidRPr="00880E0A" w:rsidR="00D14B12">
        <w:t xml:space="preserve">speak to him about it. </w:t>
      </w:r>
      <w:r w:rsidR="007501AD">
        <w:t xml:space="preserve"> </w:t>
      </w:r>
      <w:r w:rsidR="00CA2C17">
        <w:t>D</w:t>
      </w:r>
      <w:r w:rsidRPr="00880E0A" w:rsidR="00D14B12">
        <w:t xml:space="preserve">espite having </w:t>
      </w:r>
      <w:r w:rsidR="00CA2C17">
        <w:t>initially denied there was</w:t>
      </w:r>
      <w:r w:rsidRPr="00880E0A" w:rsidR="00D14B12">
        <w:t xml:space="preserve"> </w:t>
      </w:r>
      <w:r w:rsidR="00CA2C17">
        <w:t xml:space="preserve">a </w:t>
      </w:r>
      <w:r w:rsidRPr="00880E0A" w:rsidR="00D14B12">
        <w:t>“</w:t>
      </w:r>
      <w:r w:rsidRPr="00880E0A">
        <w:t>d</w:t>
      </w:r>
      <w:r w:rsidRPr="00880E0A" w:rsidR="00D14B12">
        <w:t xml:space="preserve">isciplinarian” in the </w:t>
      </w:r>
      <w:r w:rsidRPr="00880E0A">
        <w:t xml:space="preserve">pledge </w:t>
      </w:r>
      <w:r w:rsidRPr="00880E0A" w:rsidR="00D14B12">
        <w:t>process,</w:t>
      </w:r>
      <w:r w:rsidR="00DA19A0">
        <w:t> </w:t>
      </w:r>
      <w:r w:rsidRPr="00880E0A">
        <w:t xml:space="preserve">Nofal </w:t>
      </w:r>
      <w:r w:rsidRPr="00880E0A" w:rsidR="00D14B12">
        <w:t>acknowledged that</w:t>
      </w:r>
      <w:r w:rsidRPr="00880E0A">
        <w:t xml:space="preserve"> there was, and that</w:t>
      </w:r>
      <w:r w:rsidRPr="00880E0A" w:rsidR="00D14B12">
        <w:t xml:space="preserve"> Ayach </w:t>
      </w:r>
      <w:r w:rsidRPr="00880E0A">
        <w:t>played this</w:t>
      </w:r>
      <w:r w:rsidR="00DA19A0">
        <w:t> </w:t>
      </w:r>
      <w:r w:rsidRPr="00880E0A">
        <w:t xml:space="preserve">role, pursuant to which Ayach </w:t>
      </w:r>
      <w:r w:rsidRPr="00880E0A" w:rsidR="00D14B12">
        <w:t>was responsible for</w:t>
      </w:r>
      <w:r w:rsidR="00DA19A0">
        <w:t> </w:t>
      </w:r>
      <w:r w:rsidRPr="00880E0A" w:rsidR="00D14B12">
        <w:t>tracking pledge checks and their work to clear them.</w:t>
      </w:r>
    </w:p>
    <w:p w:rsidR="00D14B12" w:rsidP="00D14B12" w14:paraId="1B97DB18" w14:textId="10D1E21A">
      <w:pPr>
        <w:ind w:firstLine="720"/>
      </w:pPr>
      <w:r w:rsidRPr="00880E0A">
        <w:t xml:space="preserve">Nofal continued to </w:t>
      </w:r>
      <w:r w:rsidRPr="00880E0A" w:rsidR="00880E0A">
        <w:t>deny t</w:t>
      </w:r>
      <w:r w:rsidR="00880E0A">
        <w:t>hat</w:t>
      </w:r>
      <w:r w:rsidRPr="00880E0A" w:rsidR="00880E0A">
        <w:t xml:space="preserve"> alcohol</w:t>
      </w:r>
      <w:r w:rsidR="00880E0A">
        <w:t xml:space="preserve"> w</w:t>
      </w:r>
      <w:r w:rsidRPr="00880E0A" w:rsidR="00880E0A">
        <w:t>as part o</w:t>
      </w:r>
      <w:r w:rsidR="00880E0A">
        <w:t>f</w:t>
      </w:r>
      <w:r w:rsidRPr="00880E0A" w:rsidR="00880E0A">
        <w:t xml:space="preserve"> PGD’s</w:t>
      </w:r>
      <w:r w:rsidRPr="00880E0A">
        <w:t xml:space="preserve"> pledge process, but acknowledged that the </w:t>
      </w:r>
      <w:r w:rsidRPr="00880E0A" w:rsidR="00880E0A">
        <w:t>PGD pledge</w:t>
      </w:r>
      <w:r w:rsidRPr="00880E0A">
        <w:t xml:space="preserve"> tradition of a </w:t>
      </w:r>
      <w:r w:rsidR="00CA2C17">
        <w:t>“b</w:t>
      </w:r>
      <w:r w:rsidRPr="00880E0A">
        <w:t xml:space="preserve">ig </w:t>
      </w:r>
      <w:r w:rsidR="00CA2C17">
        <w:t>b</w:t>
      </w:r>
      <w:r w:rsidRPr="00880E0A">
        <w:t>rother</w:t>
      </w:r>
      <w:r w:rsidR="00CA2C17">
        <w:t>”</w:t>
      </w:r>
      <w:r w:rsidRPr="00880E0A">
        <w:t xml:space="preserve"> taking on a </w:t>
      </w:r>
      <w:r w:rsidR="00CA2C17">
        <w:t>“l</w:t>
      </w:r>
      <w:r w:rsidRPr="00880E0A">
        <w:t xml:space="preserve">ittle </w:t>
      </w:r>
      <w:r w:rsidR="00CA2C17">
        <w:t>b</w:t>
      </w:r>
      <w:r w:rsidRPr="00880E0A">
        <w:t>rother</w:t>
      </w:r>
      <w:r w:rsidR="00CA2C17">
        <w:t>”</w:t>
      </w:r>
      <w:r w:rsidRPr="00880E0A" w:rsidR="00880E0A">
        <w:t>—</w:t>
      </w:r>
      <w:r w:rsidRPr="00880E0A">
        <w:t>also referred to as</w:t>
      </w:r>
      <w:r w:rsidR="00315228">
        <w:t> </w:t>
      </w:r>
      <w:r w:rsidRPr="00880E0A">
        <w:t>a “</w:t>
      </w:r>
      <w:r w:rsidR="00221F3F">
        <w:t xml:space="preserve">big/little [brother] </w:t>
      </w:r>
      <w:r w:rsidRPr="00880E0A">
        <w:t>reveal”</w:t>
      </w:r>
      <w:r w:rsidRPr="00880E0A" w:rsidR="00880E0A">
        <w:t>—</w:t>
      </w:r>
      <w:r w:rsidR="00880E0A">
        <w:t>involved</w:t>
      </w:r>
      <w:r w:rsidRPr="00880E0A" w:rsidR="00880E0A">
        <w:t xml:space="preserve"> </w:t>
      </w:r>
      <w:r w:rsidRPr="00880E0A">
        <w:t>a</w:t>
      </w:r>
      <w:r w:rsidRPr="00880E0A" w:rsidR="00880E0A">
        <w:t>n</w:t>
      </w:r>
      <w:r w:rsidRPr="00880E0A">
        <w:t xml:space="preserve"> </w:t>
      </w:r>
      <w:r w:rsidRPr="00880E0A" w:rsidR="00880E0A">
        <w:t xml:space="preserve">alcohol </w:t>
      </w:r>
      <w:r w:rsidRPr="00880E0A">
        <w:t>drinking competition.</w:t>
      </w:r>
    </w:p>
    <w:p w:rsidR="001E7B26" w:rsidRPr="001E7B26" w:rsidP="008023AF" w14:paraId="03ED9932" w14:textId="556D2D3F">
      <w:pPr>
        <w:pStyle w:val="Heading2"/>
        <w:spacing w:before="200" w:line="240" w:lineRule="auto"/>
        <w:ind w:firstLine="720"/>
        <w:jc w:val="left"/>
      </w:pPr>
      <w:r>
        <w:t>D.</w:t>
      </w:r>
      <w:r>
        <w:tab/>
      </w:r>
      <w:r w:rsidRPr="008023AF">
        <w:rPr>
          <w:i/>
          <w:iCs/>
        </w:rPr>
        <w:t>Ayach’s Written Statement</w:t>
      </w:r>
      <w:r w:rsidRPr="001E7B26">
        <w:t xml:space="preserve"> </w:t>
      </w:r>
    </w:p>
    <w:p w:rsidR="00BC2325" w:rsidP="001E7B26" w14:paraId="5193766F" w14:textId="4BDB60AB">
      <w:pPr>
        <w:ind w:firstLine="720"/>
      </w:pPr>
      <w:r>
        <w:t>Ayach submitted a written statement to SCAIP during the</w:t>
      </w:r>
      <w:r w:rsidR="008023AF">
        <w:t> </w:t>
      </w:r>
      <w:r>
        <w:t xml:space="preserve">investigation </w:t>
      </w:r>
      <w:r w:rsidR="00AF4729">
        <w:t xml:space="preserve">and administrative review </w:t>
      </w:r>
      <w:r>
        <w:t xml:space="preserve">process. </w:t>
      </w:r>
      <w:r w:rsidR="007501AD">
        <w:t xml:space="preserve"> </w:t>
      </w:r>
      <w:r>
        <w:t xml:space="preserve">In his statement, Ayach </w:t>
      </w:r>
      <w:r w:rsidR="00CA2C17">
        <w:t xml:space="preserve">confirmed </w:t>
      </w:r>
      <w:r w:rsidRPr="00412683" w:rsidR="00CA2C17">
        <w:t xml:space="preserve">Nofal’s account </w:t>
      </w:r>
      <w:r w:rsidRPr="00412683">
        <w:t xml:space="preserve">that </w:t>
      </w:r>
      <w:r w:rsidRPr="00412683" w:rsidR="00880E0A">
        <w:t>a</w:t>
      </w:r>
      <w:r w:rsidR="008023AF">
        <w:t> </w:t>
      </w:r>
      <w:r w:rsidRPr="00412683" w:rsidR="00880E0A">
        <w:t xml:space="preserve">pledge had tased a member </w:t>
      </w:r>
      <w:r w:rsidRPr="00412683">
        <w:t xml:space="preserve">during </w:t>
      </w:r>
      <w:r w:rsidRPr="00412683" w:rsidR="00880E0A">
        <w:t>a</w:t>
      </w:r>
      <w:r w:rsidRPr="00412683">
        <w:t xml:space="preserve"> pledge pin</w:t>
      </w:r>
      <w:r w:rsidR="00412683">
        <w:t>-member</w:t>
      </w:r>
      <w:r w:rsidRPr="00412683">
        <w:t xml:space="preserve"> “exchange.</w:t>
      </w:r>
      <w:r w:rsidRPr="00412683" w:rsidR="00CA2C17">
        <w:t>”</w:t>
      </w:r>
      <w:r w:rsidRPr="00412683">
        <w:t xml:space="preserve"> </w:t>
      </w:r>
      <w:r w:rsidR="007501AD">
        <w:t xml:space="preserve"> </w:t>
      </w:r>
      <w:r w:rsidR="00AA0A4F">
        <w:t>Ayach stated</w:t>
      </w:r>
      <w:r>
        <w:t xml:space="preserve"> </w:t>
      </w:r>
      <w:r w:rsidR="00AA0A4F">
        <w:t>a</w:t>
      </w:r>
      <w:r>
        <w:t xml:space="preserve"> date auction</w:t>
      </w:r>
      <w:r w:rsidR="00AA0A4F">
        <w:t xml:space="preserve"> took place as part of the pledge process, </w:t>
      </w:r>
      <w:r>
        <w:t xml:space="preserve">but </w:t>
      </w:r>
      <w:r w:rsidR="00AA0A4F">
        <w:t>that it</w:t>
      </w:r>
      <w:r>
        <w:t xml:space="preserve"> was not mandatory for pledges. </w:t>
      </w:r>
      <w:r w:rsidR="007501AD">
        <w:t xml:space="preserve"> </w:t>
      </w:r>
      <w:r>
        <w:t>He likewise confirmed that pledges were required to perform workouts, and th</w:t>
      </w:r>
      <w:r w:rsidR="00CA2C17">
        <w:t>at</w:t>
      </w:r>
      <w:r>
        <w:t xml:space="preserve"> when pledges received “checks,” they could work them off by helping members in “clean[ing] up after events, or help[ing] them clean their house.” </w:t>
      </w:r>
      <w:r w:rsidR="007501AD">
        <w:t xml:space="preserve"> </w:t>
      </w:r>
      <w:r>
        <w:t>Ayach</w:t>
      </w:r>
      <w:r w:rsidR="00AA0A4F">
        <w:t xml:space="preserve"> </w:t>
      </w:r>
      <w:r w:rsidR="00412683">
        <w:t xml:space="preserve">generally denied </w:t>
      </w:r>
      <w:r w:rsidR="004E1956">
        <w:t>alcohol</w:t>
      </w:r>
      <w:r w:rsidR="00412683">
        <w:t xml:space="preserve"> consumption was part of the hazing process, but </w:t>
      </w:r>
      <w:r w:rsidRPr="00412683" w:rsidR="00AA0A4F">
        <w:t>stated</w:t>
      </w:r>
      <w:r w:rsidRPr="00412683">
        <w:t xml:space="preserve"> that </w:t>
      </w:r>
      <w:r w:rsidR="00412683">
        <w:t xml:space="preserve">PGD has </w:t>
      </w:r>
      <w:r w:rsidR="00221F3F">
        <w:t>“</w:t>
      </w:r>
      <w:r w:rsidRPr="00412683" w:rsidR="00412683">
        <w:t>one official chapter event where the pledges are invited to drink an Irish car</w:t>
      </w:r>
      <w:r w:rsidR="007501AD">
        <w:t> </w:t>
      </w:r>
      <w:r w:rsidRPr="00412683" w:rsidR="00412683">
        <w:t>bomb</w:t>
      </w:r>
      <w:r w:rsidR="00412683">
        <w:t>”—a combination of beer and liquor—</w:t>
      </w:r>
      <w:r w:rsidRPr="00412683" w:rsidR="00412683">
        <w:t xml:space="preserve">with their </w:t>
      </w:r>
      <w:r w:rsidR="00412683">
        <w:t>“</w:t>
      </w:r>
      <w:r w:rsidRPr="00412683" w:rsidR="00412683">
        <w:t>big brother.</w:t>
      </w:r>
      <w:r w:rsidR="00412683">
        <w:t>”</w:t>
      </w:r>
    </w:p>
    <w:p w:rsidR="001E7B26" w:rsidRPr="008023AF" w:rsidP="008023AF" w14:paraId="7D3A0D53" w14:textId="7BD62170">
      <w:pPr>
        <w:pStyle w:val="Heading2"/>
        <w:spacing w:before="200" w:line="240" w:lineRule="auto"/>
        <w:ind w:left="1440" w:hanging="720"/>
        <w:jc w:val="left"/>
        <w:rPr>
          <w:i/>
          <w:iCs/>
        </w:rPr>
      </w:pPr>
      <w:r w:rsidRPr="00AA0A4F">
        <w:t>E.</w:t>
      </w:r>
      <w:r w:rsidRPr="00AA0A4F">
        <w:tab/>
      </w:r>
      <w:r w:rsidRPr="008023AF">
        <w:rPr>
          <w:i/>
          <w:iCs/>
        </w:rPr>
        <w:t xml:space="preserve">Additional SCAIP Investigation Interviews </w:t>
      </w:r>
      <w:r w:rsidRPr="008023AF" w:rsidR="00412683">
        <w:rPr>
          <w:i/>
          <w:iCs/>
        </w:rPr>
        <w:t>of</w:t>
      </w:r>
      <w:r w:rsidR="008023AF">
        <w:rPr>
          <w:i/>
          <w:iCs/>
        </w:rPr>
        <w:t> </w:t>
      </w:r>
      <w:r w:rsidRPr="008023AF" w:rsidR="00412683">
        <w:rPr>
          <w:i/>
          <w:iCs/>
        </w:rPr>
        <w:t>Note</w:t>
      </w:r>
    </w:p>
    <w:p w:rsidR="001E7B26" w:rsidP="001E7B26" w14:paraId="371E205D" w14:textId="5EDBB17F">
      <w:pPr>
        <w:ind w:firstLine="720"/>
      </w:pPr>
      <w:r>
        <w:t>On May 24, 2019, SCAIP’s investigator interviewed a PGD</w:t>
      </w:r>
      <w:r w:rsidR="008023AF">
        <w:t> </w:t>
      </w:r>
      <w:r>
        <w:t xml:space="preserve">member who identified himself as the PGD president immediately prior to Nofal. </w:t>
      </w:r>
      <w:r w:rsidR="007501AD">
        <w:t xml:space="preserve"> </w:t>
      </w:r>
      <w:r>
        <w:t xml:space="preserve">He </w:t>
      </w:r>
      <w:r w:rsidR="00AA0A4F">
        <w:t>stated</w:t>
      </w:r>
      <w:r>
        <w:t xml:space="preserve"> that pledges were required to do physical workouts, including as punishment, and </w:t>
      </w:r>
      <w:r w:rsidR="00AA0A4F">
        <w:t xml:space="preserve">that </w:t>
      </w:r>
      <w:r>
        <w:t>the</w:t>
      </w:r>
      <w:r w:rsidR="007501AD">
        <w:t> </w:t>
      </w:r>
      <w:r>
        <w:t xml:space="preserve">role of the disciplinarian is to oversee some workouts. </w:t>
      </w:r>
      <w:r w:rsidR="007501AD">
        <w:t xml:space="preserve"> </w:t>
      </w:r>
      <w:r>
        <w:t>With respect to the “check” process, he likewise confirmed that pledges are assigned duties to</w:t>
      </w:r>
      <w:r w:rsidR="008023AF">
        <w:t> </w:t>
      </w:r>
      <w:r>
        <w:t>work off their checks, such as “</w:t>
      </w:r>
      <w:r w:rsidR="00221F3F">
        <w:t>[</w:t>
      </w:r>
      <w:r>
        <w:t>w</w:t>
      </w:r>
      <w:r w:rsidR="00221F3F">
        <w:t>]</w:t>
      </w:r>
      <w:r>
        <w:t xml:space="preserve">ashing dishes [or] mopping floors.” </w:t>
      </w:r>
      <w:r w:rsidR="007501AD">
        <w:t xml:space="preserve"> </w:t>
      </w:r>
      <w:r w:rsidR="00880E0A">
        <w:t>Like Ayach,</w:t>
      </w:r>
      <w:r>
        <w:t xml:space="preserve"> he explained that </w:t>
      </w:r>
      <w:r w:rsidR="00412683">
        <w:t>a</w:t>
      </w:r>
      <w:r>
        <w:t xml:space="preserve"> </w:t>
      </w:r>
      <w:r w:rsidR="00CA2C17">
        <w:t>b</w:t>
      </w:r>
      <w:r>
        <w:t xml:space="preserve">ig </w:t>
      </w:r>
      <w:r w:rsidR="00CA2C17">
        <w:t>b</w:t>
      </w:r>
      <w:r>
        <w:t>rother-</w:t>
      </w:r>
      <w:r w:rsidR="00CA2C17">
        <w:t>l</w:t>
      </w:r>
      <w:r>
        <w:t xml:space="preserve">ittle </w:t>
      </w:r>
      <w:r w:rsidR="00CA2C17">
        <w:t>b</w:t>
      </w:r>
      <w:r>
        <w:t xml:space="preserve">rother </w:t>
      </w:r>
      <w:r w:rsidR="00412683">
        <w:t xml:space="preserve">“tradition” </w:t>
      </w:r>
      <w:r>
        <w:t xml:space="preserve">involved the two individuals </w:t>
      </w:r>
      <w:r w:rsidR="00412683">
        <w:t xml:space="preserve">drinking </w:t>
      </w:r>
      <w:r>
        <w:t xml:space="preserve">“Irish </w:t>
      </w:r>
      <w:r w:rsidR="00CA2C17">
        <w:t>c</w:t>
      </w:r>
      <w:r>
        <w:t xml:space="preserve">ar </w:t>
      </w:r>
      <w:r w:rsidR="00CA2C17">
        <w:t>b</w:t>
      </w:r>
      <w:r>
        <w:t>ombs</w:t>
      </w:r>
      <w:r w:rsidR="00412683">
        <w:t>,</w:t>
      </w:r>
      <w:r w:rsidR="00AA0A4F">
        <w:t>”</w:t>
      </w:r>
      <w:r>
        <w:t xml:space="preserve"> </w:t>
      </w:r>
      <w:r w:rsidR="00412683">
        <w:t>adding that “they chug to see who does it the quickest.”</w:t>
      </w:r>
    </w:p>
    <w:p w:rsidR="001E7B26" w:rsidP="001E7B26" w14:paraId="19CC6954" w14:textId="10CA5757">
      <w:pPr>
        <w:ind w:firstLine="720"/>
      </w:pPr>
      <w:r>
        <w:t>On June 3, 2019, SCAIP’s investigator interviewed a PGD pledge from the relevant time period.  He</w:t>
      </w:r>
      <w:r w:rsidR="008023AF">
        <w:t> </w:t>
      </w:r>
      <w:r>
        <w:t xml:space="preserve">confirmed that the tasing incident took place during a mock “kidnapping” to retrieve pledge pins. </w:t>
      </w:r>
      <w:r w:rsidR="007501AD">
        <w:t xml:space="preserve"> </w:t>
      </w:r>
      <w:r>
        <w:t>He also confirmed that pledges were required to do</w:t>
      </w:r>
      <w:r w:rsidR="007501AD">
        <w:t> </w:t>
      </w:r>
      <w:r>
        <w:t xml:space="preserve">physical workouts, and described a </w:t>
      </w:r>
      <w:r w:rsidR="0022091C">
        <w:t>two to three-hour</w:t>
      </w:r>
      <w:r>
        <w:t xml:space="preserve"> workout one night.</w:t>
      </w:r>
    </w:p>
    <w:p w:rsidR="006844A8" w:rsidRPr="008023AF" w:rsidP="008023AF" w14:paraId="6EC81B90" w14:textId="38AE38D4">
      <w:pPr>
        <w:pStyle w:val="Heading2"/>
        <w:spacing w:before="200" w:line="240" w:lineRule="auto"/>
        <w:ind w:left="1440" w:hanging="720"/>
        <w:jc w:val="left"/>
        <w:rPr>
          <w:i/>
          <w:iCs/>
        </w:rPr>
      </w:pPr>
      <w:r>
        <w:t>F</w:t>
      </w:r>
      <w:r w:rsidRPr="006844A8">
        <w:t>.</w:t>
      </w:r>
      <w:r w:rsidRPr="006844A8">
        <w:tab/>
      </w:r>
      <w:r w:rsidRPr="008023AF">
        <w:rPr>
          <w:i/>
          <w:iCs/>
        </w:rPr>
        <w:t xml:space="preserve">UC Riverside </w:t>
      </w:r>
      <w:r w:rsidRPr="008023AF" w:rsidR="006C3F88">
        <w:rPr>
          <w:i/>
          <w:iCs/>
        </w:rPr>
        <w:t xml:space="preserve">Hearings </w:t>
      </w:r>
      <w:r w:rsidRPr="008023AF">
        <w:rPr>
          <w:i/>
          <w:iCs/>
        </w:rPr>
        <w:t>Regarding Ayach</w:t>
      </w:r>
      <w:r w:rsidRPr="008023AF" w:rsidR="006C3F88">
        <w:rPr>
          <w:i/>
          <w:iCs/>
        </w:rPr>
        <w:t xml:space="preserve"> and</w:t>
      </w:r>
      <w:r>
        <w:rPr>
          <w:i/>
          <w:iCs/>
        </w:rPr>
        <w:t> </w:t>
      </w:r>
      <w:r w:rsidRPr="008023AF" w:rsidR="006C3F88">
        <w:rPr>
          <w:i/>
          <w:iCs/>
        </w:rPr>
        <w:t>Nofal</w:t>
      </w:r>
    </w:p>
    <w:p w:rsidR="006844A8" w:rsidP="00AF4729" w14:paraId="729B08CE" w14:textId="3186C3BB">
      <w:pPr>
        <w:ind w:firstLine="720"/>
      </w:pPr>
      <w:r>
        <w:t xml:space="preserve">On June 18, 2019, SCAIP sent Ayach </w:t>
      </w:r>
      <w:r w:rsidR="006C3F88">
        <w:t xml:space="preserve">and Nofal notices that their respective cases had been referred </w:t>
      </w:r>
      <w:r>
        <w:t xml:space="preserve">to </w:t>
      </w:r>
      <w:r w:rsidR="00DA19A0">
        <w:t>the s</w:t>
      </w:r>
      <w:r>
        <w:t xml:space="preserve">tudent </w:t>
      </w:r>
      <w:r w:rsidR="00DA19A0">
        <w:t>c</w:t>
      </w:r>
      <w:r>
        <w:t xml:space="preserve">onduct </w:t>
      </w:r>
      <w:r w:rsidR="00DA19A0">
        <w:t>c</w:t>
      </w:r>
      <w:r>
        <w:t xml:space="preserve">ommittee </w:t>
      </w:r>
      <w:r w:rsidR="0084161C">
        <w:t>(the committee)</w:t>
      </w:r>
      <w:r w:rsidR="00880E0A">
        <w:t xml:space="preserve"> </w:t>
      </w:r>
      <w:r>
        <w:t xml:space="preserve">for </w:t>
      </w:r>
      <w:r w:rsidR="006C3F88">
        <w:t>a hearing</w:t>
      </w:r>
      <w:r>
        <w:t xml:space="preserve">. </w:t>
      </w:r>
      <w:r w:rsidR="007501AD">
        <w:t xml:space="preserve"> </w:t>
      </w:r>
      <w:r w:rsidR="00AF4729">
        <w:t>In</w:t>
      </w:r>
      <w:r w:rsidR="008023AF">
        <w:t> </w:t>
      </w:r>
      <w:r w:rsidR="00AF4729">
        <w:t>these and</w:t>
      </w:r>
      <w:r w:rsidR="007501AD">
        <w:t> </w:t>
      </w:r>
      <w:r w:rsidR="00AF4729">
        <w:t xml:space="preserve">subsequent notices SCAIP sent in September 2019, the </w:t>
      </w:r>
      <w:r w:rsidR="00DA19A0">
        <w:t>U</w:t>
      </w:r>
      <w:r w:rsidR="00AF4729">
        <w:t>niversity provided additional details about the investigation.  They noted that SCAIP had received reports that a student’s “participat[ion] in hazing activities with [PGD]</w:t>
      </w:r>
      <w:r w:rsidR="008023AF">
        <w:t> </w:t>
      </w:r>
      <w:r w:rsidR="00AF4729">
        <w:t>.</w:t>
      </w:r>
      <w:r w:rsidR="008023AF">
        <w:t> </w:t>
      </w:r>
      <w:r w:rsidR="00AF4729">
        <w:t>.</w:t>
      </w:r>
      <w:r w:rsidR="008023AF">
        <w:t> </w:t>
      </w:r>
      <w:r w:rsidR="00AF4729">
        <w:t>. contributed to</w:t>
      </w:r>
      <w:r w:rsidR="007501AD">
        <w:t> </w:t>
      </w:r>
      <w:r w:rsidR="00AF4729">
        <w:t xml:space="preserve">a welfare check of the student.” </w:t>
      </w:r>
      <w:r w:rsidR="007501AD">
        <w:t xml:space="preserve"> </w:t>
      </w:r>
      <w:r w:rsidR="00AF4729">
        <w:t>“[P]rofessional staff members</w:t>
      </w:r>
      <w:r w:rsidR="006251B9">
        <w:t xml:space="preserve"> </w:t>
      </w:r>
      <w:r w:rsidR="00AF4729">
        <w:t xml:space="preserve">[had] interviewed both the </w:t>
      </w:r>
      <w:r w:rsidR="00DA19A0">
        <w:t>f</w:t>
      </w:r>
      <w:r w:rsidR="00AF4729">
        <w:t xml:space="preserve">all 2018 and </w:t>
      </w:r>
      <w:r w:rsidR="00DA19A0">
        <w:t>w</w:t>
      </w:r>
      <w:r w:rsidR="00AF4729">
        <w:t>inter 2019</w:t>
      </w:r>
      <w:r w:rsidR="007501AD">
        <w:t> </w:t>
      </w:r>
      <w:r w:rsidR="00AF4729">
        <w:t>[PGD] pledge classes” and believed “most of the pledges were</w:t>
      </w:r>
      <w:r w:rsidR="006251B9">
        <w:t xml:space="preserve"> </w:t>
      </w:r>
      <w:r w:rsidR="00AF4729">
        <w:t>generally</w:t>
      </w:r>
      <w:r w:rsidR="006251B9">
        <w:t xml:space="preserve"> </w:t>
      </w:r>
      <w:r w:rsidR="00AF4729">
        <w:t>dishonest within these interviews, which some students</w:t>
      </w:r>
      <w:r w:rsidR="006E16E1">
        <w:t xml:space="preserve"> </w:t>
      </w:r>
      <w:r w:rsidR="00AF4729">
        <w:t>later</w:t>
      </w:r>
      <w:r w:rsidR="006251B9">
        <w:t> </w:t>
      </w:r>
      <w:r w:rsidR="00AF4729">
        <w:t xml:space="preserve">attributed to following directions from their advisors.” </w:t>
      </w:r>
      <w:r w:rsidR="00DA19A0">
        <w:t xml:space="preserve"> (Capitalization omitted.)  </w:t>
      </w:r>
      <w:r w:rsidR="00AF4729">
        <w:t>The notices further identified “some</w:t>
      </w:r>
      <w:r w:rsidR="006251B9">
        <w:t> </w:t>
      </w:r>
      <w:r w:rsidR="00AF4729">
        <w:t xml:space="preserve">helpful information” about the PGD pledge process nevertheless collected from these interviews, namely: </w:t>
      </w:r>
      <w:r w:rsidR="008023AF">
        <w:t xml:space="preserve"> </w:t>
      </w:r>
      <w:r w:rsidR="00AF4729">
        <w:t>“the role of</w:t>
      </w:r>
      <w:r w:rsidR="006251B9">
        <w:t> </w:t>
      </w:r>
      <w:r w:rsidR="00221F3F">
        <w:t xml:space="preserve">a </w:t>
      </w:r>
      <w:r w:rsidR="00AF4729">
        <w:t>disciplinarian within the pledge process”; “the completion of</w:t>
      </w:r>
      <w:r w:rsidR="007501AD">
        <w:t> </w:t>
      </w:r>
      <w:r w:rsidR="00AF4729">
        <w:t xml:space="preserve">workouts identified as ‘punishment’ </w:t>
      </w:r>
      <w:r w:rsidR="00221F3F">
        <w:t xml:space="preserve">by </w:t>
      </w:r>
      <w:r w:rsidR="00AF4729">
        <w:t>several pledges”; “a description of an outdoor workout which lasted several hours at</w:t>
      </w:r>
      <w:r w:rsidR="006251B9">
        <w:t> </w:t>
      </w:r>
      <w:r w:rsidR="00AF4729">
        <w:t>night”; “a situation in which pledge pins were taken away from</w:t>
      </w:r>
      <w:r w:rsidR="006251B9">
        <w:t> </w:t>
      </w:r>
      <w:r w:rsidR="00AF4729">
        <w:t xml:space="preserve">the </w:t>
      </w:r>
      <w:r w:rsidR="00DA19A0">
        <w:t>f</w:t>
      </w:r>
      <w:r w:rsidR="00AF4729">
        <w:t>all pledge class and ultimately resulted in</w:t>
      </w:r>
      <w:r w:rsidR="007501AD">
        <w:t> </w:t>
      </w:r>
      <w:r w:rsidR="00AF4729">
        <w:t>the tasing of</w:t>
      </w:r>
      <w:r w:rsidR="006251B9">
        <w:t> </w:t>
      </w:r>
      <w:r w:rsidR="00AF4729">
        <w:t>an active member”; “a check system in which checks could be forgiven th</w:t>
      </w:r>
      <w:r w:rsidR="00DA19A0">
        <w:t>r</w:t>
      </w:r>
      <w:r w:rsidR="00AF4729">
        <w:t>ough completion of household tasks”; “quizzes conducted in an environment which was described as ‘intense’</w:t>
      </w:r>
      <w:r w:rsidR="00DA19A0">
        <w:t> </w:t>
      </w:r>
      <w:r w:rsidR="00AF4729">
        <w:t xml:space="preserve">”; “requirement of the </w:t>
      </w:r>
      <w:r w:rsidR="00DA19A0">
        <w:t>f</w:t>
      </w:r>
      <w:r w:rsidR="00AF4729">
        <w:t>all pledge class</w:t>
      </w:r>
      <w:r w:rsidR="008023AF">
        <w:t> </w:t>
      </w:r>
      <w:r w:rsidR="00AF4729">
        <w:t>to</w:t>
      </w:r>
      <w:r w:rsidR="008023AF">
        <w:t> </w:t>
      </w:r>
      <w:r w:rsidR="00AF4729">
        <w:t>wear ‘feminine’ outfits at</w:t>
      </w:r>
      <w:r w:rsidR="006251B9">
        <w:t> </w:t>
      </w:r>
      <w:r w:rsidR="00AF4729">
        <w:t>a</w:t>
      </w:r>
      <w:r w:rsidR="007501AD">
        <w:t> </w:t>
      </w:r>
      <w:r w:rsidR="00AF4729">
        <w:t xml:space="preserve">party”; </w:t>
      </w:r>
      <w:r w:rsidR="00DA19A0">
        <w:t xml:space="preserve">and </w:t>
      </w:r>
      <w:r w:rsidR="00AF4729">
        <w:t>“a date auction</w:t>
      </w:r>
      <w:r w:rsidR="00DA19A0">
        <w:t>.</w:t>
      </w:r>
      <w:r w:rsidR="00AF4729">
        <w:t>”</w:t>
      </w:r>
      <w:r w:rsidR="00DA19A0">
        <w:t xml:space="preserve"> </w:t>
      </w:r>
      <w:r w:rsidR="00AF4729">
        <w:t xml:space="preserve"> </w:t>
      </w:r>
      <w:r w:rsidR="00DA19A0">
        <w:t xml:space="preserve">(Capitalization omitted.) </w:t>
      </w:r>
      <w:r w:rsidR="007501AD">
        <w:t xml:space="preserve"> </w:t>
      </w:r>
      <w:r w:rsidR="00AF4729">
        <w:t>The notices advised that, based on this information, as well as</w:t>
      </w:r>
      <w:r w:rsidR="007501AD">
        <w:t xml:space="preserve"> </w:t>
      </w:r>
      <w:r w:rsidR="00AF4729">
        <w:t>Nofal</w:t>
      </w:r>
      <w:r w:rsidR="00DA19A0">
        <w:t>’s</w:t>
      </w:r>
      <w:r w:rsidR="00AF4729">
        <w:t xml:space="preserve"> and Ayach’s respective roles in</w:t>
      </w:r>
      <w:r w:rsidR="00DA19A0">
        <w:t> </w:t>
      </w:r>
      <w:r w:rsidR="00AF4729">
        <w:t>the</w:t>
      </w:r>
      <w:r w:rsidR="00DA19A0">
        <w:t> </w:t>
      </w:r>
      <w:r w:rsidR="00AF4729">
        <w:t>organization—Nofal</w:t>
      </w:r>
      <w:r w:rsidR="007501AD">
        <w:t xml:space="preserve"> </w:t>
      </w:r>
      <w:r w:rsidR="00AF4729">
        <w:t>as</w:t>
      </w:r>
      <w:r w:rsidR="007501AD">
        <w:t> </w:t>
      </w:r>
      <w:r w:rsidR="00AF4729">
        <w:t>its president and Ayach as</w:t>
      </w:r>
      <w:r w:rsidR="008023AF">
        <w:t> </w:t>
      </w:r>
      <w:r w:rsidR="00AF4729">
        <w:t>its pledge class disciplinarian—SCAIP had refer</w:t>
      </w:r>
      <w:r w:rsidR="008023AF">
        <w:t>r</w:t>
      </w:r>
      <w:r w:rsidR="00AF4729">
        <w:t>ed the matter for hearings before the committee.  The notices invited each student to schedule a pre</w:t>
      </w:r>
      <w:r w:rsidR="007501AD">
        <w:noBreakHyphen/>
      </w:r>
      <w:r w:rsidR="00AF4729">
        <w:t>hearing meeting so</w:t>
      </w:r>
      <w:r w:rsidR="008023AF">
        <w:t> </w:t>
      </w:r>
      <w:r w:rsidR="00AF4729">
        <w:t>that SCAIP could explain the applicable procedures and each student’s rights.</w:t>
      </w:r>
    </w:p>
    <w:p w:rsidR="0084161C" w:rsidRPr="0084161C" w:rsidP="008023AF" w14:paraId="3F03A287" w14:textId="12FDFDEB">
      <w:pPr>
        <w:pStyle w:val="Heading3"/>
        <w:spacing w:before="160"/>
      </w:pPr>
      <w:r w:rsidRPr="0084161C">
        <w:t>1.</w:t>
      </w:r>
      <w:r w:rsidRPr="0084161C">
        <w:tab/>
      </w:r>
      <w:r w:rsidRPr="008023AF">
        <w:rPr>
          <w:i/>
          <w:iCs/>
        </w:rPr>
        <w:t>Ayach</w:t>
      </w:r>
    </w:p>
    <w:p w:rsidR="00880E0A" w:rsidP="006C3F88" w14:paraId="1713E795" w14:textId="2A24A08B">
      <w:pPr>
        <w:ind w:firstLine="720"/>
      </w:pPr>
      <w:r>
        <w:t xml:space="preserve">Ayach’s hearing before the </w:t>
      </w:r>
      <w:r w:rsidR="0084161C">
        <w:t>committee</w:t>
      </w:r>
      <w:r>
        <w:t xml:space="preserve"> took place on</w:t>
      </w:r>
      <w:r w:rsidR="006E16E1">
        <w:t xml:space="preserve"> </w:t>
      </w:r>
      <w:r>
        <w:t>October</w:t>
      </w:r>
      <w:r w:rsidR="008023AF">
        <w:t> </w:t>
      </w:r>
      <w:r>
        <w:t xml:space="preserve">3, 2019. </w:t>
      </w:r>
      <w:r w:rsidR="007501AD">
        <w:t xml:space="preserve"> </w:t>
      </w:r>
      <w:r>
        <w:t xml:space="preserve">The hearing began with a </w:t>
      </w:r>
      <w:r w:rsidR="0084161C">
        <w:t xml:space="preserve">committee </w:t>
      </w:r>
      <w:r>
        <w:t>representative explaining the charges</w:t>
      </w:r>
      <w:r w:rsidR="0084161C">
        <w:t xml:space="preserve">. </w:t>
      </w:r>
      <w:r w:rsidR="007501AD">
        <w:t xml:space="preserve"> </w:t>
      </w:r>
      <w:r>
        <w:t>SCAIP’s investigator then</w:t>
      </w:r>
      <w:r w:rsidR="007501AD">
        <w:t> </w:t>
      </w:r>
      <w:r>
        <w:t>presented the information that she had</w:t>
      </w:r>
      <w:r w:rsidR="006C3F88">
        <w:t xml:space="preserve"> </w:t>
      </w:r>
      <w:r>
        <w:t>obtained throughout the course of her investigation</w:t>
      </w:r>
      <w:r w:rsidR="0084161C">
        <w:t xml:space="preserve"> and </w:t>
      </w:r>
      <w:r>
        <w:t xml:space="preserve">presented the </w:t>
      </w:r>
      <w:r w:rsidR="0084161C">
        <w:t>committee</w:t>
      </w:r>
      <w:r>
        <w:t xml:space="preserve"> with</w:t>
      </w:r>
      <w:r w:rsidR="007501AD">
        <w:t> </w:t>
      </w:r>
      <w:r>
        <w:t>a “</w:t>
      </w:r>
      <w:r w:rsidR="0084161C">
        <w:t>m</w:t>
      </w:r>
      <w:r>
        <w:t xml:space="preserve">aster </w:t>
      </w:r>
      <w:r w:rsidR="0084161C">
        <w:t>p</w:t>
      </w:r>
      <w:r>
        <w:t>acket” containing the</w:t>
      </w:r>
      <w:r w:rsidR="003145F3">
        <w:t> </w:t>
      </w:r>
      <w:r>
        <w:t xml:space="preserve">reports and notes </w:t>
      </w:r>
      <w:r w:rsidR="0084161C">
        <w:t>from</w:t>
      </w:r>
      <w:r>
        <w:t xml:space="preserve"> the investigation. </w:t>
      </w:r>
      <w:r w:rsidR="003145F3">
        <w:t xml:space="preserve"> (Capitalization omitted.)  </w:t>
      </w:r>
      <w:r w:rsidRPr="00AF4729">
        <w:t>In both the investigator’s prese</w:t>
      </w:r>
      <w:r w:rsidR="008023AF">
        <w:t>n</w:t>
      </w:r>
      <w:r w:rsidRPr="00AF4729">
        <w:t>tation and the written packet, the identities of</w:t>
      </w:r>
      <w:r w:rsidR="008023AF">
        <w:t> </w:t>
      </w:r>
      <w:r w:rsidRPr="00AF4729">
        <w:t>the witnesses were replaced with initials.</w:t>
      </w:r>
      <w:r>
        <w:rPr>
          <w:rStyle w:val="FootnoteReference"/>
        </w:rPr>
        <w:footnoteReference w:id="5"/>
      </w:r>
      <w:r>
        <w:t xml:space="preserve"> </w:t>
      </w:r>
    </w:p>
    <w:p w:rsidR="006844A8" w:rsidP="006C3F88" w14:paraId="696E1733" w14:textId="40FF6840">
      <w:pPr>
        <w:ind w:firstLine="720"/>
      </w:pPr>
      <w:r>
        <w:t xml:space="preserve">UC Riverside policy </w:t>
      </w:r>
      <w:r w:rsidR="00880E0A">
        <w:t xml:space="preserve">and committee procedures </w:t>
      </w:r>
      <w:r w:rsidR="00C9542F">
        <w:t xml:space="preserve">do not provide a means by which a student facing discipline can compel an individual to testify at a committee hearing, but do </w:t>
      </w:r>
      <w:r>
        <w:t>permit</w:t>
      </w:r>
      <w:r w:rsidR="00C9542F">
        <w:t xml:space="preserve"> a</w:t>
      </w:r>
      <w:r w:rsidR="007501AD">
        <w:t> </w:t>
      </w:r>
      <w:r w:rsidR="00C9542F">
        <w:t>student to present such live testimony.</w:t>
      </w:r>
      <w:r w:rsidR="007501AD">
        <w:t xml:space="preserve"> </w:t>
      </w:r>
      <w:r w:rsidRPr="00C9542F" w:rsidR="00C9542F">
        <w:t xml:space="preserve"> </w:t>
      </w:r>
      <w:r w:rsidR="00C9542F">
        <w:t>N</w:t>
      </w:r>
      <w:r w:rsidRPr="00C9542F" w:rsidR="00C9542F">
        <w:t xml:space="preserve">othing in the record </w:t>
      </w:r>
      <w:r w:rsidR="00C9542F">
        <w:t xml:space="preserve">suggests </w:t>
      </w:r>
      <w:r w:rsidRPr="00C9542F" w:rsidR="00C9542F">
        <w:t xml:space="preserve">Ayach attempted to call </w:t>
      </w:r>
      <w:r w:rsidR="009E1BFE">
        <w:t xml:space="preserve">as </w:t>
      </w:r>
      <w:r w:rsidRPr="00C9542F" w:rsidR="00C9542F">
        <w:t>witnesses</w:t>
      </w:r>
      <w:r w:rsidR="009E1BFE">
        <w:t xml:space="preserve"> any of the individuals who provided information to the investigator,</w:t>
      </w:r>
      <w:r w:rsidRPr="00C9542F" w:rsidR="00C9542F">
        <w:t xml:space="preserve"> </w:t>
      </w:r>
      <w:r w:rsidR="009E1BFE">
        <w:t xml:space="preserve">asked the </w:t>
      </w:r>
      <w:r w:rsidR="00315228">
        <w:t>U</w:t>
      </w:r>
      <w:r w:rsidR="009E1BFE">
        <w:t xml:space="preserve">niversity for the identities of any such individuals for this purpose, </w:t>
      </w:r>
      <w:r w:rsidRPr="00C9542F" w:rsidR="00C9542F">
        <w:t xml:space="preserve">or brought to the attention of the </w:t>
      </w:r>
      <w:r w:rsidR="009E1BFE">
        <w:t xml:space="preserve">committee the </w:t>
      </w:r>
      <w:r w:rsidRPr="00C9542F" w:rsidR="00C9542F">
        <w:t xml:space="preserve">refusal of </w:t>
      </w:r>
      <w:r w:rsidR="009E1BFE">
        <w:t>any such individual</w:t>
      </w:r>
      <w:r w:rsidRPr="00C9542F" w:rsidR="00C9542F">
        <w:t xml:space="preserve"> to appear</w:t>
      </w:r>
      <w:r w:rsidR="00567481">
        <w:t>.</w:t>
      </w:r>
      <w:r>
        <w:t xml:space="preserve">  Ayach did, however, </w:t>
      </w:r>
      <w:r w:rsidRPr="00AF4729">
        <w:t>present his case</w:t>
      </w:r>
      <w:r>
        <w:t xml:space="preserve"> to the committee and answered their questions.</w:t>
      </w:r>
    </w:p>
    <w:p w:rsidR="006844A8" w:rsidP="0084161C" w14:paraId="5FAB640F" w14:textId="787026D2">
      <w:pPr>
        <w:ind w:firstLine="720"/>
      </w:pPr>
      <w:r>
        <w:t xml:space="preserve">On November 6, 2019, the </w:t>
      </w:r>
      <w:r w:rsidR="0084161C">
        <w:t xml:space="preserve">committee </w:t>
      </w:r>
      <w:r>
        <w:t xml:space="preserve">issued its </w:t>
      </w:r>
      <w:r w:rsidR="00AF4729">
        <w:t>“</w:t>
      </w:r>
      <w:r w:rsidR="003145F3">
        <w:t>d</w:t>
      </w:r>
      <w:r>
        <w:t xml:space="preserve">ecision and </w:t>
      </w:r>
      <w:r w:rsidR="003145F3">
        <w:t>s</w:t>
      </w:r>
      <w:r>
        <w:t>anctions,</w:t>
      </w:r>
      <w:r w:rsidR="00AF4729">
        <w:t>”</w:t>
      </w:r>
      <w:r>
        <w:t xml:space="preserve"> finding by a preponderance of the evidence that Ayach violated all three of the </w:t>
      </w:r>
      <w:r w:rsidR="00CA2C17">
        <w:t>c</w:t>
      </w:r>
      <w:r w:rsidR="0084161C">
        <w:t xml:space="preserve">onduct </w:t>
      </w:r>
      <w:r w:rsidR="00CA2C17">
        <w:t>p</w:t>
      </w:r>
      <w:r w:rsidR="0084161C">
        <w:t xml:space="preserve">olicy </w:t>
      </w:r>
      <w:r>
        <w:t xml:space="preserve">provisions at issue. </w:t>
      </w:r>
      <w:r w:rsidR="003145F3">
        <w:t xml:space="preserve">(Capitalization omitted.)  </w:t>
      </w:r>
      <w:r>
        <w:t xml:space="preserve">The decision </w:t>
      </w:r>
      <w:r w:rsidR="0084161C">
        <w:t>explained the basis for the committee’s decision in detail</w:t>
      </w:r>
      <w:r>
        <w:t xml:space="preserve">. </w:t>
      </w:r>
      <w:r w:rsidR="0084161C">
        <w:t xml:space="preserve"> The decision specifically </w:t>
      </w:r>
      <w:r w:rsidR="00AF4729">
        <w:t xml:space="preserve">identified various pledge activities that the committee had determined violated the student conduct policy, and that Ayach had admitted to being aware of or participating in.  The committee rejected Ayach’s argument, made at the hearing, that </w:t>
      </w:r>
      <w:r w:rsidR="00E87B9F">
        <w:t xml:space="preserve">his role as pledge class “disciplinarian” rendered him </w:t>
      </w:r>
      <w:r w:rsidR="00AF4729">
        <w:t>responsible for the conduct of</w:t>
      </w:r>
      <w:r w:rsidR="007501AD">
        <w:t> </w:t>
      </w:r>
      <w:r w:rsidR="00AF4729">
        <w:t>others in connection with the pledge process</w:t>
      </w:r>
      <w:r w:rsidR="00E87B9F">
        <w:t xml:space="preserve">.  </w:t>
      </w:r>
      <w:r w:rsidR="00AF4729">
        <w:t xml:space="preserve">The decision also noted the ways in which Ayach had given conflicting statements regarding several practices. </w:t>
      </w:r>
      <w:r w:rsidR="007501AD">
        <w:t xml:space="preserve"> </w:t>
      </w:r>
      <w:r w:rsidR="0084161C">
        <w:t>U</w:t>
      </w:r>
      <w:r>
        <w:t xml:space="preserve">ltimately, the </w:t>
      </w:r>
      <w:r w:rsidR="0084161C">
        <w:t>committee</w:t>
      </w:r>
      <w:r>
        <w:t xml:space="preserve"> imposed the sanction of dismissal from </w:t>
      </w:r>
      <w:r w:rsidR="0084161C">
        <w:t>UC Riverside</w:t>
      </w:r>
      <w:r>
        <w:t>.</w:t>
      </w:r>
    </w:p>
    <w:p w:rsidR="006844A8" w:rsidP="006844A8" w14:paraId="4D2A6F89" w14:textId="654A284F">
      <w:pPr>
        <w:ind w:firstLine="720"/>
      </w:pPr>
      <w:r>
        <w:t xml:space="preserve">Ayach timely appealed the </w:t>
      </w:r>
      <w:r w:rsidRPr="00880E0A" w:rsidR="00880E0A">
        <w:t>decision to</w:t>
      </w:r>
      <w:r w:rsidRPr="00880E0A">
        <w:t xml:space="preserve"> the UC</w:t>
      </w:r>
      <w:r w:rsidRPr="00880E0A" w:rsidR="00880E0A">
        <w:t xml:space="preserve"> Riverside</w:t>
      </w:r>
      <w:r w:rsidRPr="00880E0A">
        <w:t xml:space="preserve"> </w:t>
      </w:r>
      <w:r w:rsidR="00880E0A">
        <w:t>v</w:t>
      </w:r>
      <w:r w:rsidRPr="00880E0A" w:rsidR="00880E0A">
        <w:t>ice</w:t>
      </w:r>
      <w:r w:rsidR="003145F3">
        <w:noBreakHyphen/>
      </w:r>
      <w:r w:rsidR="008023AF">
        <w:t>c</w:t>
      </w:r>
      <w:r w:rsidRPr="00880E0A" w:rsidR="008023AF">
        <w:t>hancellor</w:t>
      </w:r>
      <w:r w:rsidRPr="00880E0A" w:rsidR="00880E0A">
        <w:t xml:space="preserve"> and </w:t>
      </w:r>
      <w:r w:rsidR="00880E0A">
        <w:t>d</w:t>
      </w:r>
      <w:r w:rsidRPr="00880E0A" w:rsidR="00880E0A">
        <w:t xml:space="preserve">ean of </w:t>
      </w:r>
      <w:r w:rsidR="00880E0A">
        <w:t>s</w:t>
      </w:r>
      <w:r w:rsidRPr="00880E0A" w:rsidR="00880E0A">
        <w:t>tudents.</w:t>
      </w:r>
      <w:r w:rsidRPr="00880E0A">
        <w:t xml:space="preserve"> </w:t>
      </w:r>
      <w:r w:rsidR="007501AD">
        <w:t xml:space="preserve"> </w:t>
      </w:r>
      <w:r>
        <w:t>With</w:t>
      </w:r>
      <w:r w:rsidR="003145F3">
        <w:t> </w:t>
      </w:r>
      <w:r>
        <w:t xml:space="preserve">respect to his procedural rights, Ayach argued </w:t>
      </w:r>
      <w:r w:rsidRPr="00AF4729">
        <w:t xml:space="preserve">that </w:t>
      </w:r>
      <w:r w:rsidRPr="00AF4729" w:rsidR="00880E0A">
        <w:t xml:space="preserve">the </w:t>
      </w:r>
      <w:r w:rsidR="003145F3">
        <w:t>U</w:t>
      </w:r>
      <w:r w:rsidRPr="00AF4729" w:rsidR="00880E0A">
        <w:t xml:space="preserve">niversity had withheld </w:t>
      </w:r>
      <w:r w:rsidRPr="00AF4729">
        <w:t xml:space="preserve">information from him because the </w:t>
      </w:r>
      <w:r w:rsidRPr="00AF4729" w:rsidR="00880E0A">
        <w:t>master packet</w:t>
      </w:r>
      <w:r w:rsidRPr="00AF4729">
        <w:t xml:space="preserve"> used pseudonyms </w:t>
      </w:r>
      <w:r w:rsidRPr="00AF4729" w:rsidR="00880E0A">
        <w:t xml:space="preserve">to identify </w:t>
      </w:r>
      <w:r w:rsidRPr="00AF4729">
        <w:t xml:space="preserve">the </w:t>
      </w:r>
      <w:r w:rsidRPr="00AF4729" w:rsidR="00880E0A">
        <w:t>PGD</w:t>
      </w:r>
      <w:r w:rsidRPr="00AF4729">
        <w:t xml:space="preserve"> members </w:t>
      </w:r>
      <w:r w:rsidRPr="00AF4729" w:rsidR="00880E0A">
        <w:t>SCAIP</w:t>
      </w:r>
      <w:r>
        <w:t xml:space="preserve"> interviewed</w:t>
      </w:r>
      <w:r w:rsidR="00AF4729">
        <w:t>, and that he had been denied the right to cross-examine witnesses against him</w:t>
      </w:r>
      <w:r>
        <w:t>.</w:t>
      </w:r>
    </w:p>
    <w:p w:rsidR="006844A8" w:rsidP="00AF4729" w14:paraId="7005BDAC" w14:textId="60643FD2">
      <w:pPr>
        <w:ind w:firstLine="720"/>
      </w:pPr>
      <w:r>
        <w:t xml:space="preserve">On December 16, 2019, </w:t>
      </w:r>
      <w:r w:rsidR="00880E0A">
        <w:t>the vice</w:t>
      </w:r>
      <w:r w:rsidR="003145F3">
        <w:noBreakHyphen/>
      </w:r>
      <w:r w:rsidR="00880E0A">
        <w:t xml:space="preserve">chancellor denied </w:t>
      </w:r>
      <w:r>
        <w:t>Ayach’s administrative appeal</w:t>
      </w:r>
      <w:r w:rsidR="00880E0A">
        <w:t xml:space="preserve"> via a letter. </w:t>
      </w:r>
      <w:r w:rsidR="007501AD">
        <w:t xml:space="preserve"> </w:t>
      </w:r>
      <w:r>
        <w:t>The</w:t>
      </w:r>
      <w:r w:rsidR="00880E0A">
        <w:t xml:space="preserve"> letter stated that SCAIP and the committee</w:t>
      </w:r>
      <w:r>
        <w:t xml:space="preserve"> had followed </w:t>
      </w:r>
      <w:r w:rsidR="00880E0A">
        <w:t>applicable UC</w:t>
      </w:r>
      <w:r w:rsidR="008023AF">
        <w:t> </w:t>
      </w:r>
      <w:r w:rsidR="00880E0A">
        <w:t>Riverside policies</w:t>
      </w:r>
      <w:r>
        <w:t>,</w:t>
      </w:r>
      <w:r w:rsidR="00AF4729">
        <w:t xml:space="preserve"> which required the opportunity to cross-examine only those witnesses presented to the committee to testify. </w:t>
      </w:r>
      <w:r w:rsidR="007501AD">
        <w:t xml:space="preserve"> </w:t>
      </w:r>
      <w:r w:rsidR="00AF4729">
        <w:t>Regarding the</w:t>
      </w:r>
      <w:r w:rsidR="007501AD">
        <w:t> </w:t>
      </w:r>
      <w:r w:rsidR="00AF4729">
        <w:t>withholding of witness names in case materials presented at</w:t>
      </w:r>
      <w:r w:rsidR="007501AD">
        <w:t> </w:t>
      </w:r>
      <w:r w:rsidR="00AF4729">
        <w:t>the</w:t>
      </w:r>
      <w:r w:rsidR="007501AD">
        <w:t> </w:t>
      </w:r>
      <w:r w:rsidR="00AF4729">
        <w:t xml:space="preserve">hearing, the letter concluded this was in accordance with </w:t>
      </w:r>
      <w:r w:rsidR="00315228">
        <w:t>u</w:t>
      </w:r>
      <w:r w:rsidR="00AF4729">
        <w:t xml:space="preserve">niversity standards, but that “this does not equate to their identities remaining hidden or being withheld,” noting that “during the hearings, if [Ayach] asked the </w:t>
      </w:r>
      <w:r w:rsidR="003145F3">
        <w:t>c</w:t>
      </w:r>
      <w:r w:rsidR="00AF4729">
        <w:t>hairperson about who</w:t>
      </w:r>
      <w:r w:rsidR="007501AD">
        <w:t> </w:t>
      </w:r>
      <w:r w:rsidR="00AF4729">
        <w:t xml:space="preserve">made certain statements, the </w:t>
      </w:r>
      <w:r w:rsidR="003145F3">
        <w:t>c</w:t>
      </w:r>
      <w:r w:rsidR="00AF4729">
        <w:t>hairperson gave the names of</w:t>
      </w:r>
      <w:r w:rsidR="007501AD">
        <w:t> </w:t>
      </w:r>
      <w:r w:rsidR="00AF4729">
        <w:t xml:space="preserve">those </w:t>
      </w:r>
      <w:r w:rsidRPr="00AF4729" w:rsidR="00AF4729">
        <w:t>individuals.</w:t>
      </w:r>
      <w:r w:rsidR="00AF4729">
        <w:t>”</w:t>
      </w:r>
      <w:r w:rsidR="003145F3">
        <w:t xml:space="preserve">  (Capitalization omitted.)</w:t>
      </w:r>
    </w:p>
    <w:p w:rsidR="006844A8" w:rsidRPr="0084161C" w:rsidP="008023AF" w14:paraId="274A66B2" w14:textId="3C905D97">
      <w:pPr>
        <w:pStyle w:val="Heading3"/>
        <w:spacing w:before="160"/>
      </w:pPr>
      <w:r w:rsidRPr="0084161C">
        <w:t>2.</w:t>
      </w:r>
      <w:r w:rsidRPr="0084161C">
        <w:tab/>
      </w:r>
      <w:r w:rsidRPr="008023AF">
        <w:rPr>
          <w:i/>
          <w:iCs/>
        </w:rPr>
        <w:t>Nofal</w:t>
      </w:r>
    </w:p>
    <w:p w:rsidR="00880E0A" w:rsidP="00880E0A" w14:paraId="7AE7094E" w14:textId="2CBB9F28">
      <w:pPr>
        <w:ind w:firstLine="720"/>
      </w:pPr>
      <w:r>
        <w:t xml:space="preserve">Nofal’s hearing before the committee took place on September 10, 2019. </w:t>
      </w:r>
      <w:r w:rsidR="007501AD">
        <w:t xml:space="preserve"> </w:t>
      </w:r>
      <w:r>
        <w:t>Nofal’s hearing proceeded in</w:t>
      </w:r>
      <w:r w:rsidR="008023AF">
        <w:t> </w:t>
      </w:r>
      <w:r>
        <w:t xml:space="preserve">the same manner as Ayach’s: </w:t>
      </w:r>
      <w:r w:rsidR="008023AF">
        <w:t xml:space="preserve"> T</w:t>
      </w:r>
      <w:r>
        <w:t>he committee explained the</w:t>
      </w:r>
      <w:r w:rsidR="003145F3">
        <w:t xml:space="preserve"> </w:t>
      </w:r>
      <w:r>
        <w:t xml:space="preserve">charges, SCAIP’s investigator presented the results of her investigation and provided a “master packet,” </w:t>
      </w:r>
      <w:r w:rsidRPr="00AF4729">
        <w:t>and</w:t>
      </w:r>
      <w:r w:rsidR="003145F3">
        <w:t> </w:t>
      </w:r>
      <w:r w:rsidRPr="00AF4729">
        <w:t>Nofal present</w:t>
      </w:r>
      <w:r w:rsidR="009E1BFE">
        <w:t>ed</w:t>
      </w:r>
      <w:r w:rsidRPr="00AF4729">
        <w:t xml:space="preserve"> his case to</w:t>
      </w:r>
      <w:r w:rsidR="007501AD">
        <w:t> </w:t>
      </w:r>
      <w:r w:rsidRPr="00AF4729">
        <w:t xml:space="preserve">the committee and answered their questions. </w:t>
      </w:r>
      <w:r w:rsidR="003145F3">
        <w:t xml:space="preserve"> (Capitalization omitted.)  </w:t>
      </w:r>
      <w:r w:rsidR="009E1BFE">
        <w:t>N</w:t>
      </w:r>
      <w:r w:rsidRPr="00C9542F" w:rsidR="009E1BFE">
        <w:t xml:space="preserve">othing in the record </w:t>
      </w:r>
      <w:r w:rsidR="009E1BFE">
        <w:t>suggests Nofal</w:t>
      </w:r>
      <w:r w:rsidRPr="00C9542F" w:rsidR="009E1BFE">
        <w:t xml:space="preserve"> attempted to call </w:t>
      </w:r>
      <w:r w:rsidR="009E1BFE">
        <w:t xml:space="preserve">as </w:t>
      </w:r>
      <w:r w:rsidRPr="00C9542F" w:rsidR="009E1BFE">
        <w:t>witnesses</w:t>
      </w:r>
      <w:r w:rsidR="009E1BFE">
        <w:t xml:space="preserve"> any of the individuals who provided information to the investigator,</w:t>
      </w:r>
      <w:r w:rsidRPr="00C9542F" w:rsidR="009E1BFE">
        <w:t xml:space="preserve"> </w:t>
      </w:r>
      <w:r w:rsidR="009E1BFE">
        <w:t xml:space="preserve">asked the </w:t>
      </w:r>
      <w:r w:rsidR="00315228">
        <w:t>U</w:t>
      </w:r>
      <w:r w:rsidR="009E1BFE">
        <w:t xml:space="preserve">niversity for the identities of any such individuals for this purpose, </w:t>
      </w:r>
      <w:r w:rsidRPr="00C9542F" w:rsidR="009E1BFE">
        <w:t>or brought to the attention of</w:t>
      </w:r>
      <w:r w:rsidR="007501AD">
        <w:t> </w:t>
      </w:r>
      <w:r w:rsidRPr="00C9542F" w:rsidR="009E1BFE">
        <w:t xml:space="preserve">the </w:t>
      </w:r>
      <w:r w:rsidR="009E1BFE">
        <w:t xml:space="preserve">committee the </w:t>
      </w:r>
      <w:r w:rsidRPr="00C9542F" w:rsidR="009E1BFE">
        <w:t xml:space="preserve">refusal of </w:t>
      </w:r>
      <w:r w:rsidR="009E1BFE">
        <w:t>any such individual</w:t>
      </w:r>
      <w:r w:rsidRPr="00C9542F" w:rsidR="009E1BFE">
        <w:t xml:space="preserve"> to appear.</w:t>
      </w:r>
      <w:r w:rsidR="009E1BFE">
        <w:t xml:space="preserve">  </w:t>
      </w:r>
      <w:r w:rsidRPr="00AF4729">
        <w:t>As</w:t>
      </w:r>
      <w:r w:rsidR="007501AD">
        <w:t> </w:t>
      </w:r>
      <w:r w:rsidRPr="00AF4729">
        <w:t>was the case at Ayach’s hearing, both the investigator’s presentation and the master packet used pseudonyms to refer to</w:t>
      </w:r>
      <w:r w:rsidR="007501AD">
        <w:t> </w:t>
      </w:r>
      <w:r w:rsidRPr="00AF4729">
        <w:t>the witnesse</w:t>
      </w:r>
      <w:r w:rsidR="008023AF">
        <w:t>s</w:t>
      </w:r>
      <w:r w:rsidRPr="00AF4729">
        <w:t xml:space="preserve"> SCAIP interviewed.</w:t>
      </w:r>
      <w:r>
        <w:t xml:space="preserve">  </w:t>
      </w:r>
    </w:p>
    <w:p w:rsidR="006844A8" w:rsidP="00880E0A" w14:paraId="79A46D30" w14:textId="72660B25">
      <w:pPr>
        <w:ind w:firstLine="720"/>
      </w:pPr>
      <w:r>
        <w:t>Nofal’s defense argument</w:t>
      </w:r>
      <w:r w:rsidR="008023AF">
        <w:t>s</w:t>
      </w:r>
      <w:r>
        <w:t xml:space="preserve"> </w:t>
      </w:r>
      <w:r w:rsidR="008023AF">
        <w:t xml:space="preserve">were </w:t>
      </w:r>
      <w:r>
        <w:t>similar to those of Aya</w:t>
      </w:r>
      <w:r w:rsidR="00DA19A0">
        <w:t>ch</w:t>
      </w:r>
      <w:r>
        <w:t xml:space="preserve"> at</w:t>
      </w:r>
      <w:r w:rsidR="003145F3">
        <w:t> </w:t>
      </w:r>
      <w:r>
        <w:t xml:space="preserve">his hearing.  Namely, Nofal argued not that the alleged events never took place, but rather that </w:t>
      </w:r>
      <w:r w:rsidR="006E16E1">
        <w:t xml:space="preserve">Nofal </w:t>
      </w:r>
      <w:r>
        <w:t xml:space="preserve">was not responsible for them. </w:t>
      </w:r>
      <w:r w:rsidR="007501AD">
        <w:t xml:space="preserve"> </w:t>
      </w:r>
      <w:r>
        <w:t>Nofal further argued that some of the activities at issue, such as the existence of a “checks” system and</w:t>
      </w:r>
      <w:r w:rsidR="003145F3">
        <w:t> </w:t>
      </w:r>
      <w:r>
        <w:t>the date auction, did not constitute hazing in violation of university policies.</w:t>
      </w:r>
    </w:p>
    <w:p w:rsidR="006844A8" w:rsidP="006844A8" w14:paraId="33FDBDD4" w14:textId="04D4F66E">
      <w:pPr>
        <w:ind w:firstLine="720"/>
      </w:pPr>
      <w:r>
        <w:t xml:space="preserve">On November 6, 2019, </w:t>
      </w:r>
      <w:r w:rsidR="00880E0A">
        <w:t xml:space="preserve">the committee </w:t>
      </w:r>
      <w:r>
        <w:t>issued</w:t>
      </w:r>
      <w:r w:rsidR="00880E0A">
        <w:t xml:space="preserve"> a d</w:t>
      </w:r>
      <w:r>
        <w:t xml:space="preserve">ecision and </w:t>
      </w:r>
      <w:r w:rsidR="00880E0A">
        <w:t>s</w:t>
      </w:r>
      <w:r>
        <w:t>anctions</w:t>
      </w:r>
      <w:r w:rsidR="00880E0A">
        <w:t xml:space="preserve">, in which it </w:t>
      </w:r>
      <w:r>
        <w:t>f</w:t>
      </w:r>
      <w:r w:rsidR="00880E0A">
        <w:t>ound</w:t>
      </w:r>
      <w:r>
        <w:t xml:space="preserve"> by a preponderance of the evidence that Nofal violated all three of the </w:t>
      </w:r>
      <w:r w:rsidR="00CA2C17">
        <w:t>c</w:t>
      </w:r>
      <w:r w:rsidR="00880E0A">
        <w:t xml:space="preserve">onduct </w:t>
      </w:r>
      <w:r w:rsidR="00CA2C17">
        <w:t>p</w:t>
      </w:r>
      <w:r>
        <w:t>olicy provisions at</w:t>
      </w:r>
      <w:r w:rsidR="007501AD">
        <w:t> </w:t>
      </w:r>
      <w:r>
        <w:t xml:space="preserve">issue. </w:t>
      </w:r>
      <w:r w:rsidR="007501AD">
        <w:t xml:space="preserve"> </w:t>
      </w:r>
      <w:r w:rsidR="00880E0A">
        <w:t xml:space="preserve">In the decision, the committee expressly </w:t>
      </w:r>
      <w:r>
        <w:t xml:space="preserve">rejected </w:t>
      </w:r>
      <w:r w:rsidR="00880E0A">
        <w:t>Nofal’s</w:t>
      </w:r>
      <w:r w:rsidR="007501AD">
        <w:t> </w:t>
      </w:r>
      <w:r>
        <w:t>defenses, finding among other things that Nofal’s role as</w:t>
      </w:r>
      <w:r w:rsidR="007501AD">
        <w:t> </w:t>
      </w:r>
      <w:r w:rsidR="00880E0A">
        <w:t>p</w:t>
      </w:r>
      <w:r>
        <w:t xml:space="preserve">resident </w:t>
      </w:r>
      <w:r w:rsidR="00880E0A">
        <w:t xml:space="preserve">meant he could have </w:t>
      </w:r>
      <w:r>
        <w:t>prevent</w:t>
      </w:r>
      <w:r w:rsidR="00880E0A">
        <w:t>ed</w:t>
      </w:r>
      <w:r>
        <w:t xml:space="preserve"> the misconduct, that</w:t>
      </w:r>
      <w:r w:rsidR="007501AD">
        <w:t> </w:t>
      </w:r>
      <w:r>
        <w:t xml:space="preserve">his claims of ignorance were not credible, and that he acknowledged a history of improper “traditions” at </w:t>
      </w:r>
      <w:r w:rsidR="00880E0A">
        <w:t xml:space="preserve">PGD </w:t>
      </w:r>
      <w:r>
        <w:t>yet failed</w:t>
      </w:r>
      <w:r w:rsidR="007501AD">
        <w:t> </w:t>
      </w:r>
      <w:r>
        <w:t>to take any concrete actions to address them.</w:t>
      </w:r>
    </w:p>
    <w:p w:rsidR="006844A8" w:rsidP="006844A8" w14:paraId="28683D5E" w14:textId="703D8215">
      <w:pPr>
        <w:ind w:firstLine="720"/>
      </w:pPr>
      <w:r>
        <w:t>Like Ayach, Nofal timely appealed the decision to the vice</w:t>
      </w:r>
      <w:r w:rsidR="003145F3">
        <w:noBreakHyphen/>
      </w:r>
      <w:r>
        <w:t>chancel</w:t>
      </w:r>
      <w:r w:rsidR="008023AF">
        <w:t>l</w:t>
      </w:r>
      <w:r>
        <w:t xml:space="preserve">or. </w:t>
      </w:r>
      <w:r w:rsidR="007501AD">
        <w:t xml:space="preserve"> </w:t>
      </w:r>
      <w:r>
        <w:t>In so doing, Nofal argued th</w:t>
      </w:r>
      <w:r w:rsidR="003145F3">
        <w:t xml:space="preserve">at </w:t>
      </w:r>
      <w:r>
        <w:t>“</w:t>
      </w:r>
      <w:r w:rsidR="00221F3F">
        <w:t>[</w:t>
      </w:r>
      <w:r>
        <w:t>t</w:t>
      </w:r>
      <w:r w:rsidR="00221F3F">
        <w:t>]</w:t>
      </w:r>
      <w:r>
        <w:t xml:space="preserve">he case against [him] [was] based solely on the fact that [he] happened to be the president of the chapter.” </w:t>
      </w:r>
      <w:r w:rsidR="007501AD">
        <w:t xml:space="preserve"> </w:t>
      </w:r>
      <w:r>
        <w:t>He</w:t>
      </w:r>
      <w:r w:rsidR="008023AF">
        <w:t> </w:t>
      </w:r>
      <w:r>
        <w:t xml:space="preserve">also </w:t>
      </w:r>
      <w:r w:rsidR="00AF4729">
        <w:t>argued that</w:t>
      </w:r>
      <w:r>
        <w:t xml:space="preserve"> the identities of witnesses were “secret.”</w:t>
      </w:r>
    </w:p>
    <w:p w:rsidR="006844A8" w:rsidP="00880E0A" w14:paraId="634A4DD4" w14:textId="64294689">
      <w:pPr>
        <w:ind w:firstLine="720"/>
      </w:pPr>
      <w:r>
        <w:t>The vice</w:t>
      </w:r>
      <w:r w:rsidR="003145F3">
        <w:t>-</w:t>
      </w:r>
      <w:r>
        <w:t>chancellor denied Nofal’s administrative appeal</w:t>
      </w:r>
      <w:r w:rsidR="006251B9">
        <w:t> </w:t>
      </w:r>
      <w:r>
        <w:t xml:space="preserve">via a December 12, 2019 letter. </w:t>
      </w:r>
      <w:r w:rsidR="007501AD">
        <w:t xml:space="preserve"> </w:t>
      </w:r>
      <w:r>
        <w:t>With respect</w:t>
      </w:r>
      <w:r w:rsidR="008023AF">
        <w:t> </w:t>
      </w:r>
      <w:r>
        <w:t xml:space="preserve">to Nofal’s argument that he did not “participate” in the misconduct, </w:t>
      </w:r>
      <w:r w:rsidR="00CA2C17">
        <w:t>the vice</w:t>
      </w:r>
      <w:r w:rsidR="003145F3">
        <w:t>-</w:t>
      </w:r>
      <w:r w:rsidR="00CA2C17">
        <w:t>chancellor</w:t>
      </w:r>
      <w:r>
        <w:t xml:space="preserve"> agreed with the committee that, as president, Nofal had the ability to change its practices and culture, yet failed to</w:t>
      </w:r>
      <w:r w:rsidR="007501AD">
        <w:t> </w:t>
      </w:r>
      <w:r>
        <w:t>do</w:t>
      </w:r>
      <w:r w:rsidR="007501AD">
        <w:t> </w:t>
      </w:r>
      <w:r>
        <w:t xml:space="preserve">so. </w:t>
      </w:r>
      <w:r w:rsidR="007501AD">
        <w:t xml:space="preserve"> </w:t>
      </w:r>
      <w:r w:rsidR="00AF4729">
        <w:t>The vice-chancel</w:t>
      </w:r>
      <w:r w:rsidR="008023AF">
        <w:t>l</w:t>
      </w:r>
      <w:r w:rsidR="00AF4729">
        <w:t>or further concluded, as he had in denying</w:t>
      </w:r>
      <w:r w:rsidR="006E16E1">
        <w:t xml:space="preserve"> Ayach</w:t>
      </w:r>
      <w:r w:rsidR="00AF4729">
        <w:t>’s appeal, that the committee</w:t>
      </w:r>
      <w:r w:rsidRPr="00CA2C17">
        <w:t xml:space="preserve"> had correctly applied university policy with respect to</w:t>
      </w:r>
      <w:r w:rsidR="008023AF">
        <w:t> </w:t>
      </w:r>
      <w:r w:rsidRPr="00CA2C17">
        <w:t xml:space="preserve">witness identification, </w:t>
      </w:r>
      <w:r w:rsidRPr="00AF4729">
        <w:t>and that</w:t>
      </w:r>
      <w:r w:rsidR="007501AD">
        <w:t> </w:t>
      </w:r>
      <w:r w:rsidRPr="00AF4729">
        <w:t xml:space="preserve">“during the hearings, if </w:t>
      </w:r>
      <w:r w:rsidR="00AF4729">
        <w:t>[Nofal]</w:t>
      </w:r>
      <w:r w:rsidRPr="00AF4729">
        <w:t xml:space="preserve"> asked the </w:t>
      </w:r>
      <w:r w:rsidR="003145F3">
        <w:t>c</w:t>
      </w:r>
      <w:r w:rsidRPr="00AF4729">
        <w:t xml:space="preserve">hairperson about who made certain statements, the </w:t>
      </w:r>
      <w:r w:rsidR="003145F3">
        <w:t>c</w:t>
      </w:r>
      <w:r w:rsidRPr="00AF4729">
        <w:t>hairperson gave the names of</w:t>
      </w:r>
      <w:r w:rsidR="007501AD">
        <w:t> </w:t>
      </w:r>
      <w:r w:rsidRPr="00AF4729">
        <w:t xml:space="preserve">those individuals.” </w:t>
      </w:r>
      <w:r w:rsidR="003145F3">
        <w:t xml:space="preserve"> (Capitalization omitted.)</w:t>
      </w:r>
    </w:p>
    <w:p w:rsidR="006844A8" w:rsidRPr="00F068F9" w:rsidP="008023AF" w14:paraId="3498B7DA" w14:textId="6C490B31">
      <w:pPr>
        <w:pStyle w:val="Heading2"/>
        <w:spacing w:before="200" w:line="240" w:lineRule="auto"/>
        <w:ind w:firstLine="720"/>
        <w:jc w:val="left"/>
      </w:pPr>
      <w:r>
        <w:t>G</w:t>
      </w:r>
      <w:r w:rsidRPr="00F068F9">
        <w:t>.</w:t>
      </w:r>
      <w:r w:rsidRPr="00F068F9" w:rsidR="00F068F9">
        <w:tab/>
      </w:r>
      <w:r w:rsidRPr="008023AF">
        <w:rPr>
          <w:i/>
          <w:iCs/>
        </w:rPr>
        <w:t>Appellant’s Petition for Writ of Mandate</w:t>
      </w:r>
    </w:p>
    <w:p w:rsidR="00584FEC" w:rsidP="006844A8" w14:paraId="0E739040" w14:textId="77777777">
      <w:pPr>
        <w:ind w:firstLine="720"/>
      </w:pPr>
      <w:r>
        <w:t>On May 5, 2021, Nofal and Ayach filed</w:t>
      </w:r>
      <w:r w:rsidR="00CA2C17">
        <w:t xml:space="preserve"> a</w:t>
      </w:r>
      <w:r>
        <w:t xml:space="preserve"> </w:t>
      </w:r>
      <w:r w:rsidR="00CA2C17">
        <w:t>p</w:t>
      </w:r>
      <w:r w:rsidR="006844A8">
        <w:t xml:space="preserve">etition for </w:t>
      </w:r>
    </w:p>
    <w:p w:rsidR="006844A8" w:rsidP="00584FEC" w14:paraId="61D1E702" w14:textId="1EBDBC76">
      <w:r>
        <w:t>writ</w:t>
      </w:r>
      <w:r w:rsidR="00584FEC">
        <w:t xml:space="preserve"> </w:t>
      </w:r>
      <w:r>
        <w:t>o</w:t>
      </w:r>
      <w:r w:rsidR="00584FEC">
        <w:t>f </w:t>
      </w:r>
      <w:r>
        <w:t>mandate in Los Angeles Superior Court challenging their</w:t>
      </w:r>
      <w:r w:rsidR="00584FEC">
        <w:t> </w:t>
      </w:r>
      <w:r>
        <w:t xml:space="preserve">expulsion from UC Riverside. </w:t>
      </w:r>
      <w:r w:rsidR="007501AD">
        <w:t xml:space="preserve"> </w:t>
      </w:r>
      <w:r>
        <w:t>The petition asserted four</w:t>
      </w:r>
      <w:r w:rsidR="00584FEC">
        <w:t> </w:t>
      </w:r>
      <w:r>
        <w:t xml:space="preserve">arguments: </w:t>
      </w:r>
      <w:r w:rsidR="008023AF">
        <w:t xml:space="preserve"> </w:t>
      </w:r>
      <w:r>
        <w:t>(1)</w:t>
      </w:r>
      <w:r w:rsidR="003145F3">
        <w:t xml:space="preserve"> </w:t>
      </w:r>
      <w:r>
        <w:t>Nofal and Aya</w:t>
      </w:r>
      <w:r w:rsidR="00DA19A0">
        <w:t>ch</w:t>
      </w:r>
      <w:r>
        <w:t xml:space="preserve"> were “prevented from conducting any meaningful investigation of the charges” because</w:t>
      </w:r>
      <w:r w:rsidR="006E16E1">
        <w:t> </w:t>
      </w:r>
      <w:r>
        <w:t>certain names were redacted in the charging documents; (2)</w:t>
      </w:r>
      <w:r w:rsidR="006E16E1">
        <w:t> </w:t>
      </w:r>
      <w:r>
        <w:t>Nofal and Aya</w:t>
      </w:r>
      <w:r w:rsidR="00DA19A0">
        <w:t>ch</w:t>
      </w:r>
      <w:r>
        <w:t xml:space="preserve"> were unable to cross-examine witnesses; (3)</w:t>
      </w:r>
      <w:r w:rsidR="00221F3F">
        <w:t> </w:t>
      </w:r>
      <w:r>
        <w:t>the “purported victim of the alleged kidnapping did not appear”</w:t>
      </w:r>
      <w:r w:rsidR="008023AF">
        <w:t>;</w:t>
      </w:r>
      <w:r>
        <w:t xml:space="preserve"> and (4) the </w:t>
      </w:r>
      <w:r w:rsidR="00F068F9">
        <w:t>committee</w:t>
      </w:r>
      <w:r>
        <w:t xml:space="preserve"> was biased. </w:t>
      </w:r>
      <w:r w:rsidR="007501AD">
        <w:t xml:space="preserve"> </w:t>
      </w:r>
      <w:r w:rsidR="00F068F9">
        <w:t xml:space="preserve">Ayach and Nofal </w:t>
      </w:r>
      <w:r>
        <w:t>also</w:t>
      </w:r>
      <w:r w:rsidR="006E16E1">
        <w:t> </w:t>
      </w:r>
      <w:r>
        <w:t xml:space="preserve">filed nearly identical declarations wherein they contended that they had “no way of knowing” the identities of </w:t>
      </w:r>
      <w:r w:rsidR="00F068F9">
        <w:t>those</w:t>
      </w:r>
      <w:r>
        <w:t xml:space="preserve"> whose statements were reflected in the SCAIP investigator’s reports.</w:t>
      </w:r>
    </w:p>
    <w:p w:rsidR="008023AF" w:rsidP="008023AF" w14:paraId="127BF920" w14:textId="0AFE8878">
      <w:pPr>
        <w:ind w:firstLine="720"/>
      </w:pPr>
      <w:r>
        <w:t xml:space="preserve">The court </w:t>
      </w:r>
      <w:r w:rsidR="006844A8">
        <w:t xml:space="preserve">denied the </w:t>
      </w:r>
      <w:r>
        <w:t>p</w:t>
      </w:r>
      <w:r w:rsidR="006844A8">
        <w:t xml:space="preserve">etition on September 14, 2022. </w:t>
      </w:r>
      <w:r w:rsidR="007501AD">
        <w:t xml:space="preserve"> </w:t>
      </w:r>
      <w:r w:rsidR="006844A8">
        <w:t>On</w:t>
      </w:r>
      <w:r w:rsidR="007501AD">
        <w:t> </w:t>
      </w:r>
      <w:r w:rsidR="006844A8">
        <w:t xml:space="preserve">December 13, 2022, </w:t>
      </w:r>
      <w:r>
        <w:t>the court</w:t>
      </w:r>
      <w:r w:rsidR="006844A8">
        <w:t xml:space="preserve"> entered judgment </w:t>
      </w:r>
      <w:r w:rsidR="00CA2C17">
        <w:t xml:space="preserve">in favor of </w:t>
      </w:r>
      <w:r w:rsidR="003145F3">
        <w:t xml:space="preserve">defendants </w:t>
      </w:r>
      <w:r w:rsidR="00CA2C17">
        <w:t xml:space="preserve">and </w:t>
      </w:r>
      <w:r w:rsidR="004E1956">
        <w:t>denied</w:t>
      </w:r>
      <w:r>
        <w:t xml:space="preserve"> Ayach and Nofal</w:t>
      </w:r>
      <w:r w:rsidR="00CA2C17">
        <w:t>’s petition</w:t>
      </w:r>
      <w:r w:rsidR="006844A8">
        <w:t xml:space="preserve">. </w:t>
      </w:r>
      <w:r w:rsidR="007501AD">
        <w:t xml:space="preserve"> </w:t>
      </w:r>
      <w:r w:rsidR="006844A8">
        <w:t>This appeal followed.</w:t>
      </w:r>
    </w:p>
    <w:p w:rsidR="00C641A3" w:rsidRPr="008023AF" w:rsidP="006251B9" w14:paraId="0D875EAA" w14:textId="76B17FAD">
      <w:pPr>
        <w:pStyle w:val="Heading1"/>
        <w:spacing w:line="240" w:lineRule="auto"/>
      </w:pPr>
      <w:r w:rsidRPr="008023AF">
        <w:t>DISCUSSION</w:t>
      </w:r>
      <w:bookmarkStart w:id="0" w:name="_Hlk47100793"/>
    </w:p>
    <w:bookmarkEnd w:id="0"/>
    <w:p w:rsidR="00100AFE" w:rsidP="00100AFE" w14:paraId="1244C818" w14:textId="16413D82">
      <w:pPr>
        <w:ind w:firstLine="720"/>
      </w:pPr>
      <w:r>
        <w:t>“The scope of our review from a judgment on a petition for writ of mandate is the same as that of the trial court,” such that we “</w:t>
      </w:r>
      <w:r w:rsidR="008023AF">
        <w:t> </w:t>
      </w:r>
      <w:r>
        <w:t>‘review[</w:t>
      </w:r>
      <w:r w:rsidR="008023AF">
        <w:t> </w:t>
      </w:r>
      <w:r>
        <w:t>] the [UC Rivers</w:t>
      </w:r>
      <w:r w:rsidR="004E1956">
        <w:t>i</w:t>
      </w:r>
      <w:r>
        <w:t>de] decision, rather than the trial court</w:t>
      </w:r>
      <w:r w:rsidR="003145F3">
        <w:t>’</w:t>
      </w:r>
      <w:r>
        <w:t>s decision, applying the same standard of review applicable in the trial court.’</w:t>
      </w:r>
      <w:r w:rsidR="008023AF">
        <w:t xml:space="preserve"> </w:t>
      </w:r>
      <w:r>
        <w:t xml:space="preserve"> [Citation.]”  (</w:t>
      </w:r>
      <w:r w:rsidRPr="00100AFE">
        <w:rPr>
          <w:i/>
          <w:iCs/>
        </w:rPr>
        <w:t>Doe v. University of Southern California</w:t>
      </w:r>
      <w:r>
        <w:t xml:space="preserve"> (2016) 246 Cal.App.4th 221, 239 (</w:t>
      </w:r>
      <w:r w:rsidR="006E16E1">
        <w:rPr>
          <w:i/>
          <w:iCs/>
        </w:rPr>
        <w:t>University of Southern California</w:t>
      </w:r>
      <w:r>
        <w:t>).)  For Nofal and Ayach to have prevailed in</w:t>
      </w:r>
      <w:r w:rsidR="006E16E1">
        <w:t> </w:t>
      </w:r>
      <w:r>
        <w:t>the superior court on their petition, they w</w:t>
      </w:r>
      <w:r w:rsidR="004D5DDC">
        <w:t xml:space="preserve">ere </w:t>
      </w:r>
      <w:r>
        <w:t>required to show</w:t>
      </w:r>
      <w:r w:rsidR="006E16E1">
        <w:t> </w:t>
      </w:r>
      <w:r>
        <w:t xml:space="preserve">that UC Riverside </w:t>
      </w:r>
      <w:r w:rsidR="00466FC4">
        <w:t xml:space="preserve">either </w:t>
      </w:r>
      <w:r>
        <w:t>“(1)</w:t>
      </w:r>
      <w:r w:rsidR="008023AF">
        <w:t> </w:t>
      </w:r>
      <w:r>
        <w:t>acted without, or in excess of,</w:t>
      </w:r>
      <w:r w:rsidR="006E16E1">
        <w:t> </w:t>
      </w:r>
      <w:r>
        <w:t>its jurisdiction</w:t>
      </w:r>
      <w:r w:rsidR="00221F3F">
        <w:t>;</w:t>
      </w:r>
      <w:r>
        <w:t xml:space="preserve"> (2) deprived [him] of a fair administrative hearing</w:t>
      </w:r>
      <w:r w:rsidR="00221F3F">
        <w:t>;</w:t>
      </w:r>
      <w:r>
        <w:t xml:space="preserve"> or (3) committed a prejudicial abuse of discretion.” </w:t>
      </w:r>
      <w:r w:rsidR="008023AF">
        <w:t xml:space="preserve"> </w:t>
      </w:r>
      <w:r>
        <w:t>(</w:t>
      </w:r>
      <w:r w:rsidRPr="004D5DDC">
        <w:rPr>
          <w:i/>
          <w:iCs/>
        </w:rPr>
        <w:t>Doe v. Regents of University of</w:t>
      </w:r>
      <w:r w:rsidR="008023AF">
        <w:rPr>
          <w:i/>
          <w:iCs/>
        </w:rPr>
        <w:t> </w:t>
      </w:r>
      <w:r w:rsidRPr="004D5DDC">
        <w:rPr>
          <w:i/>
          <w:iCs/>
        </w:rPr>
        <w:t xml:space="preserve">California </w:t>
      </w:r>
      <w:r>
        <w:t>(2021) 70 Cal.App.5th 521, 532 (</w:t>
      </w:r>
      <w:r w:rsidRPr="00466FC4" w:rsidR="00466FC4">
        <w:rPr>
          <w:i/>
          <w:iCs/>
        </w:rPr>
        <w:t xml:space="preserve">2021 </w:t>
      </w:r>
      <w:r w:rsidRPr="00785EE3">
        <w:rPr>
          <w:i/>
          <w:iCs/>
        </w:rPr>
        <w:t>Regents</w:t>
      </w:r>
      <w:r>
        <w:t>).)</w:t>
      </w:r>
    </w:p>
    <w:p w:rsidR="00785EE3" w:rsidP="00100AFE" w14:paraId="5B7E80E5" w14:textId="6C930944">
      <w:pPr>
        <w:ind w:firstLine="720"/>
      </w:pPr>
      <w:r>
        <w:t xml:space="preserve">On appeal to this court, Nofal and Ayach argue </w:t>
      </w:r>
      <w:r w:rsidR="00100AFE">
        <w:t xml:space="preserve">only </w:t>
      </w:r>
      <w:r>
        <w:t xml:space="preserve">that </w:t>
      </w:r>
      <w:r w:rsidR="00100AFE">
        <w:t xml:space="preserve">the </w:t>
      </w:r>
      <w:r w:rsidR="003145F3">
        <w:t>U</w:t>
      </w:r>
      <w:r w:rsidR="00100AFE">
        <w:t xml:space="preserve">niversity </w:t>
      </w:r>
      <w:r>
        <w:t xml:space="preserve">deprived </w:t>
      </w:r>
      <w:r w:rsidR="00100AFE">
        <w:t xml:space="preserve">them </w:t>
      </w:r>
      <w:r>
        <w:t>of</w:t>
      </w:r>
      <w:r w:rsidR="00466FC4">
        <w:t xml:space="preserve"> </w:t>
      </w:r>
      <w:r>
        <w:t>fair administrative hearings prior to expelling them.  Specifically, they contend that their respective hearings before the committee, did not afford them the</w:t>
      </w:r>
      <w:r w:rsidR="00387C93">
        <w:t> </w:t>
      </w:r>
      <w:r>
        <w:t xml:space="preserve">process they were due under the circumstances in three ways. </w:t>
      </w:r>
      <w:r w:rsidR="00100AFE">
        <w:t xml:space="preserve"> </w:t>
      </w:r>
      <w:r>
        <w:t>First, they</w:t>
      </w:r>
      <w:r w:rsidR="008023AF">
        <w:t> </w:t>
      </w:r>
      <w:r>
        <w:t>argue that</w:t>
      </w:r>
      <w:r w:rsidR="00466FC4">
        <w:t>,</w:t>
      </w:r>
      <w:r>
        <w:t xml:space="preserve"> because UC Riverside “kept the identities of</w:t>
      </w:r>
      <w:r w:rsidR="00E504A6">
        <w:t> </w:t>
      </w:r>
      <w:r>
        <w:t>all</w:t>
      </w:r>
      <w:r w:rsidR="008023AF">
        <w:t> </w:t>
      </w:r>
      <w:r>
        <w:t>adverse witnesses</w:t>
      </w:r>
      <w:r w:rsidR="008023AF">
        <w:t> </w:t>
      </w:r>
      <w:r>
        <w:t>.</w:t>
      </w:r>
      <w:r w:rsidR="008023AF">
        <w:t> </w:t>
      </w:r>
      <w:r>
        <w:t>.</w:t>
      </w:r>
      <w:r w:rsidR="008023AF">
        <w:t> </w:t>
      </w:r>
      <w:r>
        <w:t>. secret,” they were “depriv[ed]</w:t>
      </w:r>
      <w:r w:rsidR="00221F3F">
        <w:t xml:space="preserve"> . . . </w:t>
      </w:r>
      <w:r>
        <w:t>of</w:t>
      </w:r>
      <w:r w:rsidR="007501AD">
        <w:t> </w:t>
      </w:r>
      <w:r>
        <w:t>any</w:t>
      </w:r>
      <w:r w:rsidR="00E504A6">
        <w:t> </w:t>
      </w:r>
      <w:r>
        <w:t>meaningful way of investigating the allegations against them.”</w:t>
      </w:r>
      <w:r w:rsidR="008023AF">
        <w:t>  </w:t>
      </w:r>
      <w:r>
        <w:t>Second, they argue that because “</w:t>
      </w:r>
      <w:r w:rsidR="00221F3F">
        <w:t>[</w:t>
      </w:r>
      <w:r>
        <w:t>t</w:t>
      </w:r>
      <w:r w:rsidR="00221F3F">
        <w:t>]</w:t>
      </w:r>
      <w:r>
        <w:t>he unidentified witnesses did not appear at [the]</w:t>
      </w:r>
      <w:r w:rsidR="00E504A6">
        <w:t> </w:t>
      </w:r>
      <w:r>
        <w:t>.</w:t>
      </w:r>
      <w:r w:rsidR="00E504A6">
        <w:t> </w:t>
      </w:r>
      <w:r>
        <w:t>.</w:t>
      </w:r>
      <w:r w:rsidR="00E504A6">
        <w:t> </w:t>
      </w:r>
      <w:r>
        <w:t>. hearings,” Nofal and Ayach were “depriv[ed]</w:t>
      </w:r>
      <w:r w:rsidR="00221F3F">
        <w:t xml:space="preserve"> . . . </w:t>
      </w:r>
      <w:r>
        <w:t xml:space="preserve">of the right to confront the unknown adverse witnesses or to assess their credibility.” </w:t>
      </w:r>
      <w:r w:rsidR="007501AD">
        <w:t xml:space="preserve"> </w:t>
      </w:r>
      <w:r>
        <w:t>Third, they argue that “[t]he purported victim”—that is,</w:t>
      </w:r>
      <w:r w:rsidR="00E504A6">
        <w:t> </w:t>
      </w:r>
      <w:r>
        <w:t>the pledge class member whose</w:t>
      </w:r>
      <w:r w:rsidR="00F57730">
        <w:t> </w:t>
      </w:r>
      <w:r>
        <w:t>welfare check spurned the disciplinary investigation—</w:t>
      </w:r>
      <w:r w:rsidR="00100AFE">
        <w:t>“d</w:t>
      </w:r>
      <w:r>
        <w:t>id</w:t>
      </w:r>
      <w:r w:rsidR="00F57730">
        <w:t> </w:t>
      </w:r>
      <w:r>
        <w:t>not appear or testify at the</w:t>
      </w:r>
      <w:r w:rsidR="00E504A6">
        <w:t> </w:t>
      </w:r>
      <w:r>
        <w:t>.</w:t>
      </w:r>
      <w:r w:rsidR="00E504A6">
        <w:t> </w:t>
      </w:r>
      <w:r>
        <w:t>.</w:t>
      </w:r>
      <w:r w:rsidR="00E504A6">
        <w:t> </w:t>
      </w:r>
      <w:r>
        <w:t xml:space="preserve">. hearings, thereby depriving [Nofal and Ayach] of the right of confrontation.” </w:t>
      </w:r>
      <w:r w:rsidR="007501AD">
        <w:t xml:space="preserve"> </w:t>
      </w:r>
      <w:r w:rsidR="00100AFE">
        <w:t>Our review of</w:t>
      </w:r>
      <w:r w:rsidR="00F57730">
        <w:t> </w:t>
      </w:r>
      <w:r w:rsidR="00100AFE">
        <w:t>t</w:t>
      </w:r>
      <w:r w:rsidR="00466FC4">
        <w:t>he committee decision in light of these arguments</w:t>
      </w:r>
      <w:r w:rsidR="00100AFE">
        <w:t xml:space="preserve"> is </w:t>
      </w:r>
      <w:r>
        <w:t>de novo.  (</w:t>
      </w:r>
      <w:r w:rsidR="006E16E1">
        <w:rPr>
          <w:i/>
          <w:iCs/>
        </w:rPr>
        <w:t>University of Southern California</w:t>
      </w:r>
      <w:r w:rsidRPr="00100AFE">
        <w:rPr>
          <w:i/>
          <w:iCs/>
        </w:rPr>
        <w:t>,</w:t>
      </w:r>
      <w:r w:rsidR="007501AD">
        <w:rPr>
          <w:i/>
          <w:iCs/>
        </w:rPr>
        <w:t> </w:t>
      </w:r>
      <w:r w:rsidRPr="00100AFE">
        <w:rPr>
          <w:i/>
          <w:iCs/>
        </w:rPr>
        <w:t>supra</w:t>
      </w:r>
      <w:r>
        <w:t>, 246</w:t>
      </w:r>
      <w:r w:rsidR="00E504A6">
        <w:t> </w:t>
      </w:r>
      <w:r>
        <w:t xml:space="preserve">Cal.App.4th </w:t>
      </w:r>
      <w:r w:rsidR="003145F3">
        <w:t>at</w:t>
      </w:r>
      <w:r w:rsidR="00F57730">
        <w:t> </w:t>
      </w:r>
      <w:r w:rsidR="003145F3">
        <w:t>p.</w:t>
      </w:r>
      <w:r w:rsidR="006E16E1">
        <w:t> </w:t>
      </w:r>
      <w:r>
        <w:t xml:space="preserve">239; </w:t>
      </w:r>
      <w:r w:rsidR="00466FC4">
        <w:rPr>
          <w:i/>
          <w:iCs/>
        </w:rPr>
        <w:t xml:space="preserve">2021 </w:t>
      </w:r>
      <w:r w:rsidRPr="00100AFE" w:rsidR="00100AFE">
        <w:rPr>
          <w:i/>
          <w:iCs/>
        </w:rPr>
        <w:t>Regents</w:t>
      </w:r>
      <w:r w:rsidR="00466FC4">
        <w:rPr>
          <w:i/>
          <w:iCs/>
        </w:rPr>
        <w:t xml:space="preserve">, supra, </w:t>
      </w:r>
      <w:r w:rsidR="00100AFE">
        <w:t xml:space="preserve">70 Cal.App.5th </w:t>
      </w:r>
      <w:r w:rsidR="00466FC4">
        <w:t>at p.</w:t>
      </w:r>
      <w:r w:rsidR="00E504A6">
        <w:t> </w:t>
      </w:r>
      <w:r w:rsidR="00100AFE">
        <w:t>533</w:t>
      </w:r>
      <w:r w:rsidRPr="00100AFE" w:rsidR="00100AFE">
        <w:t xml:space="preserve"> </w:t>
      </w:r>
      <w:r w:rsidRPr="00100AFE">
        <w:t>[“</w:t>
      </w:r>
      <w:r w:rsidR="00E504A6">
        <w:t>[w]</w:t>
      </w:r>
      <w:r w:rsidRPr="00100AFE">
        <w:t>hen reviewing a claim that a petitioner did not receive a fair hearing,</w:t>
      </w:r>
      <w:r w:rsidR="00E504A6">
        <w:t> </w:t>
      </w:r>
      <w:r w:rsidRPr="00100AFE" w:rsidR="00100AFE">
        <w:t>.</w:t>
      </w:r>
      <w:r w:rsidR="00E504A6">
        <w:t> </w:t>
      </w:r>
      <w:r w:rsidRPr="00100AFE" w:rsidR="00100AFE">
        <w:t>.</w:t>
      </w:r>
      <w:r w:rsidR="00E504A6">
        <w:t> </w:t>
      </w:r>
      <w:r w:rsidRPr="00100AFE" w:rsidR="00100AFE">
        <w:t>. [and]</w:t>
      </w:r>
      <w:r w:rsidRPr="00100AFE">
        <w:t xml:space="preserve"> the evidence is substantially undisputed, the</w:t>
      </w:r>
      <w:r w:rsidR="00F57730">
        <w:t> </w:t>
      </w:r>
      <w:r w:rsidRPr="00100AFE">
        <w:t>issue becomes a question of law, which we review de novo”].)</w:t>
      </w:r>
    </w:p>
    <w:p w:rsidR="00AD34D6" w:rsidP="00AD34D6" w14:paraId="1017ED06" w14:textId="39EEE21F">
      <w:pPr>
        <w:ind w:firstLine="720"/>
      </w:pPr>
      <w:r>
        <w:t>D</w:t>
      </w:r>
      <w:r w:rsidR="004D5DDC">
        <w:t>ue process</w:t>
      </w:r>
      <w:r w:rsidR="00E87B9F">
        <w:t xml:space="preserve"> at</w:t>
      </w:r>
      <w:r w:rsidR="004D5DDC">
        <w:t xml:space="preserve"> </w:t>
      </w:r>
      <w:r>
        <w:t>a student</w:t>
      </w:r>
      <w:r w:rsidR="004D5DDC">
        <w:t xml:space="preserve"> disciplinary hearing “need not be</w:t>
      </w:r>
      <w:r w:rsidR="007501AD">
        <w:t> </w:t>
      </w:r>
      <w:r w:rsidR="004D5DDC">
        <w:t xml:space="preserve">a </w:t>
      </w:r>
      <w:r w:rsidR="004E1956">
        <w:t>full</w:t>
      </w:r>
      <w:r w:rsidR="00221F3F">
        <w:t>[</w:t>
      </w:r>
      <w:r w:rsidR="004E1956">
        <w:t>-</w:t>
      </w:r>
      <w:r w:rsidR="00221F3F">
        <w:t>]</w:t>
      </w:r>
      <w:r w:rsidR="004E1956">
        <w:t>dress</w:t>
      </w:r>
      <w:r w:rsidR="004D5DDC">
        <w:t xml:space="preserve"> judicial hearing but one giving the student a full</w:t>
      </w:r>
      <w:r w:rsidR="007501AD">
        <w:t> </w:t>
      </w:r>
      <w:r w:rsidR="004D5DDC">
        <w:t xml:space="preserve">opportunity to present his defenses.” </w:t>
      </w:r>
      <w:r w:rsidR="00100AFE">
        <w:t xml:space="preserve"> (</w:t>
      </w:r>
      <w:r w:rsidRPr="00100AFE" w:rsidR="00100AFE">
        <w:rPr>
          <w:i/>
          <w:iCs/>
        </w:rPr>
        <w:t>Andersen v. Regents of</w:t>
      </w:r>
      <w:r w:rsidR="007501AD">
        <w:rPr>
          <w:i/>
          <w:iCs/>
        </w:rPr>
        <w:t> </w:t>
      </w:r>
      <w:r w:rsidRPr="00100AFE" w:rsidR="00100AFE">
        <w:rPr>
          <w:i/>
          <w:iCs/>
        </w:rPr>
        <w:t>University of California</w:t>
      </w:r>
      <w:r w:rsidR="00100AFE">
        <w:t xml:space="preserve"> (1972) 22 Cal.App.3d 763, 771</w:t>
      </w:r>
      <w:r>
        <w:t xml:space="preserve"> (</w:t>
      </w:r>
      <w:r w:rsidRPr="00AD34D6">
        <w:rPr>
          <w:i/>
          <w:iCs/>
        </w:rPr>
        <w:t>Andersen</w:t>
      </w:r>
      <w:r>
        <w:t>)</w:t>
      </w:r>
      <w:r w:rsidR="00100AFE">
        <w:t xml:space="preserve">; </w:t>
      </w:r>
      <w:r w:rsidR="004D5DDC">
        <w:t>accord</w:t>
      </w:r>
      <w:r w:rsidR="003145F3">
        <w:t>,</w:t>
      </w:r>
      <w:r w:rsidR="004D5DDC">
        <w:t xml:space="preserve"> </w:t>
      </w:r>
      <w:r w:rsidRPr="00100AFE" w:rsidR="004D5DDC">
        <w:rPr>
          <w:i/>
          <w:iCs/>
        </w:rPr>
        <w:t>Goss v. Lopez</w:t>
      </w:r>
      <w:r w:rsidR="004D5DDC">
        <w:t xml:space="preserve"> </w:t>
      </w:r>
      <w:r w:rsidR="00100AFE">
        <w:t xml:space="preserve">(1975) </w:t>
      </w:r>
      <w:r w:rsidR="004D5DDC">
        <w:t>419 U.S. 565</w:t>
      </w:r>
      <w:r w:rsidR="00100AFE">
        <w:t>, 584</w:t>
      </w:r>
      <w:r w:rsidR="004D5DDC">
        <w:t xml:space="preserve"> </w:t>
      </w:r>
      <w:r w:rsidR="00466FC4">
        <w:t>(</w:t>
      </w:r>
      <w:r w:rsidRPr="00466FC4" w:rsidR="00466FC4">
        <w:rPr>
          <w:i/>
          <w:iCs/>
        </w:rPr>
        <w:t>Goss</w:t>
      </w:r>
      <w:r w:rsidR="00466FC4">
        <w:t>);</w:t>
      </w:r>
      <w:r w:rsidR="002B0B80">
        <w:t> </w:t>
      </w:r>
      <w:r w:rsidRPr="00AD34D6">
        <w:rPr>
          <w:i/>
          <w:iCs/>
        </w:rPr>
        <w:t>Doe v. Westmont</w:t>
      </w:r>
      <w:r w:rsidRPr="00AD34D6">
        <w:t xml:space="preserve"> </w:t>
      </w:r>
      <w:r w:rsidRPr="00466FC4">
        <w:rPr>
          <w:i/>
          <w:iCs/>
        </w:rPr>
        <w:t>Coll</w:t>
      </w:r>
      <w:r w:rsidR="00221F3F">
        <w:rPr>
          <w:i/>
          <w:iCs/>
        </w:rPr>
        <w:t>ege</w:t>
      </w:r>
      <w:r w:rsidRPr="00AD34D6">
        <w:t xml:space="preserve"> (2019) 34 Cal.App.5th 622, 635 (</w:t>
      </w:r>
      <w:r w:rsidRPr="00AD34D6">
        <w:rPr>
          <w:i/>
          <w:iCs/>
        </w:rPr>
        <w:t>Westmont</w:t>
      </w:r>
      <w:r w:rsidRPr="00AD34D6">
        <w:t>)</w:t>
      </w:r>
      <w:r w:rsidR="004D5DDC">
        <w:t xml:space="preserve">.) </w:t>
      </w:r>
      <w:r w:rsidR="00466FC4">
        <w:t xml:space="preserve"> </w:t>
      </w:r>
      <w:r w:rsidR="004D5DDC">
        <w:t xml:space="preserve">“Courts have observed that student disciplinary proceedings in university settings do not require ‘all the safeguards and formalities of a criminal trial’ </w:t>
      </w:r>
      <w:r w:rsidR="00100AFE">
        <w:t>[</w:t>
      </w:r>
      <w:r w:rsidR="00E504A6">
        <w:t>c</w:t>
      </w:r>
      <w:r w:rsidR="00100AFE">
        <w:t xml:space="preserve">itation] </w:t>
      </w:r>
      <w:r w:rsidR="004D5DDC">
        <w:t>and a</w:t>
      </w:r>
      <w:r w:rsidR="00E504A6">
        <w:t> </w:t>
      </w:r>
      <w:r w:rsidR="004D5DDC">
        <w:t>university ‘</w:t>
      </w:r>
      <w:r w:rsidR="00E504A6">
        <w:t> </w:t>
      </w:r>
      <w:r w:rsidR="004D5DDC">
        <w:t>“is not required to convert its classrooms into courtrooms.”</w:t>
      </w:r>
      <w:r w:rsidR="00E504A6">
        <w:t> </w:t>
      </w:r>
      <w:r w:rsidR="004D5DDC">
        <w:t xml:space="preserve">’  </w:t>
      </w:r>
      <w:r w:rsidR="00100AFE">
        <w:t>[Citations]</w:t>
      </w:r>
      <w:r w:rsidR="004D5DDC">
        <w:t>.”  (</w:t>
      </w:r>
      <w:r>
        <w:rPr>
          <w:i/>
          <w:iCs/>
        </w:rPr>
        <w:t>2021 R</w:t>
      </w:r>
      <w:r w:rsidRPr="00100AFE" w:rsidR="004D5DDC">
        <w:rPr>
          <w:i/>
          <w:iCs/>
        </w:rPr>
        <w:t>egents</w:t>
      </w:r>
      <w:r w:rsidR="00100AFE">
        <w:rPr>
          <w:i/>
          <w:iCs/>
        </w:rPr>
        <w:t xml:space="preserve">, supra, </w:t>
      </w:r>
      <w:r w:rsidR="003145F3">
        <w:t xml:space="preserve">70 Cal.App.5th </w:t>
      </w:r>
      <w:r w:rsidR="00100AFE">
        <w:t>at p. 534.</w:t>
      </w:r>
      <w:r w:rsidR="004D5DDC">
        <w:t>)  Thus, the essential requirements of due process in</w:t>
      </w:r>
      <w:r w:rsidR="002B0B80">
        <w:t> </w:t>
      </w:r>
      <w:r w:rsidR="00466FC4">
        <w:t>this context</w:t>
      </w:r>
      <w:r w:rsidR="00E504A6">
        <w:t xml:space="preserve"> </w:t>
      </w:r>
      <w:r w:rsidR="004D5DDC">
        <w:t xml:space="preserve">have been broadly framed as: </w:t>
      </w:r>
      <w:r w:rsidR="00E504A6">
        <w:t xml:space="preserve"> </w:t>
      </w:r>
      <w:r w:rsidR="004D5DDC">
        <w:t>“(1) a notice containing a statement of the specific charges</w:t>
      </w:r>
      <w:r w:rsidR="00221F3F">
        <w:t>”</w:t>
      </w:r>
      <w:r w:rsidR="004D5DDC">
        <w:t xml:space="preserve"> and grounds which,</w:t>
      </w:r>
      <w:r w:rsidR="002B0B80">
        <w:t> </w:t>
      </w:r>
      <w:r w:rsidR="004D5DDC">
        <w:t>if proven, would justify discipline under the applicable regulations of</w:t>
      </w:r>
      <w:r w:rsidR="00E504A6">
        <w:t> </w:t>
      </w:r>
      <w:r w:rsidR="004D5DDC">
        <w:t>the</w:t>
      </w:r>
      <w:r w:rsidR="00E504A6">
        <w:t> </w:t>
      </w:r>
      <w:r w:rsidR="004D5DDC">
        <w:t xml:space="preserve">university; and </w:t>
      </w:r>
      <w:r w:rsidR="00221F3F">
        <w:t>“</w:t>
      </w:r>
      <w:r w:rsidR="004D5DDC">
        <w:t>(2) a hearing whose scope and</w:t>
      </w:r>
      <w:r w:rsidR="002B0B80">
        <w:t> </w:t>
      </w:r>
      <w:r w:rsidR="004D5DDC">
        <w:t xml:space="preserve">nature </w:t>
      </w:r>
      <w:r w:rsidR="00221F3F">
        <w:t xml:space="preserve">of which </w:t>
      </w:r>
      <w:r w:rsidR="004D5DDC">
        <w:t>should</w:t>
      </w:r>
      <w:r w:rsidR="00E504A6">
        <w:t> </w:t>
      </w:r>
      <w:r w:rsidR="004D5DDC">
        <w:t>vary according to the circumstances of the particular case”</w:t>
      </w:r>
      <w:r w:rsidR="00473971">
        <w:t xml:space="preserve"> </w:t>
      </w:r>
      <w:r w:rsidRPr="00AD34D6" w:rsidR="00473971">
        <w:t>(</w:t>
      </w:r>
      <w:r w:rsidRPr="00AD34D6" w:rsidR="00473971">
        <w:rPr>
          <w:i/>
          <w:iCs/>
        </w:rPr>
        <w:t>Andersen, supra</w:t>
      </w:r>
      <w:r w:rsidR="00473971">
        <w:t xml:space="preserve">, </w:t>
      </w:r>
      <w:r w:rsidRPr="00AD34D6" w:rsidR="00473971">
        <w:t xml:space="preserve">22 Cal.App.3d </w:t>
      </w:r>
      <w:r w:rsidR="00473971">
        <w:t xml:space="preserve">at p. </w:t>
      </w:r>
      <w:r w:rsidRPr="00AD34D6" w:rsidR="00473971">
        <w:t>771</w:t>
      </w:r>
      <w:r w:rsidR="00E504A6">
        <w:t>, capitalization omitted</w:t>
      </w:r>
      <w:r w:rsidR="00473971">
        <w:t>) so that it affords the student a meaningful ability to present his</w:t>
      </w:r>
      <w:r w:rsidR="00E504A6">
        <w:t> </w:t>
      </w:r>
      <w:r w:rsidR="00473971">
        <w:t>defense by giving him “t</w:t>
      </w:r>
      <w:r w:rsidRPr="0096658C" w:rsidR="00473971">
        <w:t>he opportunity to</w:t>
      </w:r>
      <w:r w:rsidR="007501AD">
        <w:t> </w:t>
      </w:r>
      <w:r w:rsidRPr="0096658C" w:rsidR="00473971">
        <w:t xml:space="preserve">characterize </w:t>
      </w:r>
      <w:r w:rsidR="00473971">
        <w:t>his</w:t>
      </w:r>
      <w:r w:rsidR="00221F3F">
        <w:t xml:space="preserve"> </w:t>
      </w:r>
      <w:r w:rsidRPr="0096658C" w:rsidR="00473971">
        <w:t>conduct and put it in what [th</w:t>
      </w:r>
      <w:r w:rsidR="00FC0C1C">
        <w:t>e student</w:t>
      </w:r>
      <w:r w:rsidRPr="0096658C" w:rsidR="00473971">
        <w:t>] deem</w:t>
      </w:r>
      <w:r w:rsidR="00FC0C1C">
        <w:t xml:space="preserve">s </w:t>
      </w:r>
      <w:r w:rsidRPr="0096658C" w:rsidR="00473971">
        <w:t xml:space="preserve">the proper context.”  </w:t>
      </w:r>
      <w:r w:rsidR="00473971">
        <w:t>(</w:t>
      </w:r>
      <w:r w:rsidRPr="0096658C" w:rsidR="00473971">
        <w:rPr>
          <w:i/>
          <w:iCs/>
        </w:rPr>
        <w:t>Goss</w:t>
      </w:r>
      <w:r w:rsidR="00473971">
        <w:rPr>
          <w:i/>
          <w:iCs/>
        </w:rPr>
        <w:t>, supra</w:t>
      </w:r>
      <w:r w:rsidRPr="00473971" w:rsidR="00473971">
        <w:t xml:space="preserve">, at p. </w:t>
      </w:r>
      <w:r w:rsidRPr="0096658C" w:rsidR="00473971">
        <w:t>584</w:t>
      </w:r>
      <w:r w:rsidR="00473971">
        <w:t>.)</w:t>
      </w:r>
    </w:p>
    <w:p w:rsidR="00E86741" w:rsidRPr="00E504A6" w:rsidP="00E504A6" w14:paraId="41FEEA1C" w14:textId="40C66F5A">
      <w:pPr>
        <w:pStyle w:val="Heading2"/>
        <w:spacing w:before="200" w:line="240" w:lineRule="auto"/>
        <w:ind w:left="1440" w:hanging="720"/>
        <w:jc w:val="left"/>
        <w:rPr>
          <w:i/>
          <w:iCs/>
        </w:rPr>
      </w:pPr>
      <w:r w:rsidRPr="00E86741">
        <w:t>A.</w:t>
      </w:r>
      <w:r w:rsidRPr="00E86741">
        <w:tab/>
      </w:r>
      <w:r w:rsidRPr="00E504A6">
        <w:rPr>
          <w:i/>
          <w:iCs/>
        </w:rPr>
        <w:t>The Authority Nofal and Aya</w:t>
      </w:r>
      <w:r w:rsidRPr="00E504A6" w:rsidR="00AF4729">
        <w:rPr>
          <w:i/>
          <w:iCs/>
        </w:rPr>
        <w:t>ch</w:t>
      </w:r>
      <w:r w:rsidRPr="00E504A6">
        <w:rPr>
          <w:i/>
          <w:iCs/>
        </w:rPr>
        <w:t xml:space="preserve"> Cite Requiring Live Witness Testimony, Cross-Examination, and Identification of Witness</w:t>
      </w:r>
      <w:r w:rsidR="00E504A6">
        <w:rPr>
          <w:i/>
          <w:iCs/>
        </w:rPr>
        <w:t>e</w:t>
      </w:r>
      <w:r w:rsidRPr="00E504A6">
        <w:rPr>
          <w:i/>
          <w:iCs/>
        </w:rPr>
        <w:t xml:space="preserve">s By Name Is Inapplicable </w:t>
      </w:r>
    </w:p>
    <w:p w:rsidR="00102925" w:rsidP="00102925" w14:paraId="5F941779" w14:textId="3E9F2DEB">
      <w:pPr>
        <w:ind w:firstLine="720"/>
      </w:pPr>
      <w:r>
        <w:t>Nofal and Ayach argue that</w:t>
      </w:r>
      <w:r w:rsidR="00E86741">
        <w:t xml:space="preserve"> </w:t>
      </w:r>
      <w:r w:rsidR="00473971">
        <w:t xml:space="preserve">they did not </w:t>
      </w:r>
      <w:r w:rsidR="004E1956">
        <w:t>receive</w:t>
      </w:r>
      <w:r w:rsidR="00473971">
        <w:t xml:space="preserve"> the</w:t>
      </w:r>
      <w:r w:rsidR="00AD34D6">
        <w:t xml:space="preserve"> “</w:t>
      </w:r>
      <w:r w:rsidRPr="00AD34D6" w:rsidR="00AD34D6">
        <w:t xml:space="preserve">full opportunity to present </w:t>
      </w:r>
      <w:r w:rsidR="00AD34D6">
        <w:t xml:space="preserve">[their] </w:t>
      </w:r>
      <w:r w:rsidRPr="00AD34D6" w:rsidR="00AD34D6">
        <w:t xml:space="preserve">defenses” </w:t>
      </w:r>
      <w:r w:rsidR="00AD34D6">
        <w:t xml:space="preserve">that due process requires. </w:t>
      </w:r>
      <w:r w:rsidRPr="00AD34D6" w:rsidR="00AD34D6">
        <w:t xml:space="preserve"> (</w:t>
      </w:r>
      <w:r w:rsidRPr="00AD34D6" w:rsidR="00AD34D6">
        <w:rPr>
          <w:i/>
          <w:iCs/>
        </w:rPr>
        <w:t>Andersen, supra</w:t>
      </w:r>
      <w:r w:rsidR="00AD34D6">
        <w:t xml:space="preserve">, </w:t>
      </w:r>
      <w:r w:rsidRPr="00AD34D6" w:rsidR="00AD34D6">
        <w:t xml:space="preserve">22 Cal.App.3d </w:t>
      </w:r>
      <w:r w:rsidR="00AD34D6">
        <w:t xml:space="preserve">at p. </w:t>
      </w:r>
      <w:r w:rsidRPr="00AD34D6" w:rsidR="00AD34D6">
        <w:t>771</w:t>
      </w:r>
      <w:r w:rsidR="00AD34D6">
        <w:t xml:space="preserve">.)  To support their argument, they rely </w:t>
      </w:r>
      <w:r>
        <w:t xml:space="preserve">exclusively </w:t>
      </w:r>
      <w:r w:rsidR="00AD34D6">
        <w:t xml:space="preserve">on cases </w:t>
      </w:r>
      <w:r>
        <w:t>holding a student</w:t>
      </w:r>
      <w:r w:rsidR="00473971">
        <w:t xml:space="preserve"> accused of sexual misconduct</w:t>
      </w:r>
      <w:r>
        <w:t xml:space="preserve"> did not receive a fair</w:t>
      </w:r>
      <w:r w:rsidR="00473971">
        <w:t xml:space="preserve"> disciplinary </w:t>
      </w:r>
      <w:r>
        <w:t>hearing when</w:t>
      </w:r>
      <w:r w:rsidR="00AF4729">
        <w:t xml:space="preserve"> </w:t>
      </w:r>
      <w:r>
        <w:t xml:space="preserve">the university </w:t>
      </w:r>
      <w:r w:rsidR="00473971">
        <w:t xml:space="preserve">or college </w:t>
      </w:r>
      <w:r>
        <w:t>did not inform the student</w:t>
      </w:r>
      <w:r w:rsidR="006251B9">
        <w:t xml:space="preserve"> </w:t>
      </w:r>
      <w:r>
        <w:t>of</w:t>
      </w:r>
      <w:r w:rsidR="00AD34D6">
        <w:t xml:space="preserve"> the identities of</w:t>
      </w:r>
      <w:r>
        <w:t xml:space="preserve"> adverse witnesses</w:t>
      </w:r>
      <w:r w:rsidR="00AD34D6">
        <w:t>,</w:t>
      </w:r>
      <w:r>
        <w:t xml:space="preserve"> and/or the administrative proceeding did not permit the student to </w:t>
      </w:r>
      <w:r w:rsidR="00AD34D6">
        <w:t>confront</w:t>
      </w:r>
      <w:r>
        <w:t xml:space="preserve"> or cross-examine those witnesses</w:t>
      </w:r>
      <w:r w:rsidR="00AD34D6">
        <w:t>.  (See</w:t>
      </w:r>
      <w:r>
        <w:t xml:space="preserve"> </w:t>
      </w:r>
      <w:r w:rsidRPr="00AD34D6" w:rsidR="00AD34D6">
        <w:rPr>
          <w:i/>
          <w:iCs/>
        </w:rPr>
        <w:t>Westmont</w:t>
      </w:r>
      <w:r w:rsidR="00AD34D6">
        <w:t xml:space="preserve">, </w:t>
      </w:r>
      <w:r w:rsidRPr="00AD34D6" w:rsidR="00AD34D6">
        <w:rPr>
          <w:i/>
          <w:iCs/>
        </w:rPr>
        <w:t>supra</w:t>
      </w:r>
      <w:r w:rsidR="00AD34D6">
        <w:t xml:space="preserve">, </w:t>
      </w:r>
      <w:r w:rsidRPr="00AD34D6" w:rsidR="00AD34D6">
        <w:t>34 Cal.App.5th 622</w:t>
      </w:r>
      <w:r w:rsidRPr="00102925" w:rsidR="00AD34D6">
        <w:t xml:space="preserve">; </w:t>
      </w:r>
      <w:r w:rsidRPr="00102925" w:rsidR="00AD34D6">
        <w:rPr>
          <w:i/>
          <w:iCs/>
        </w:rPr>
        <w:t>Doe v. Regents</w:t>
      </w:r>
      <w:r w:rsidRPr="00102925" w:rsidR="00AD34D6">
        <w:t xml:space="preserve"> </w:t>
      </w:r>
      <w:r w:rsidRPr="009B7493" w:rsidR="009B7493">
        <w:rPr>
          <w:i/>
          <w:iCs/>
        </w:rPr>
        <w:t>of University of California</w:t>
      </w:r>
      <w:r w:rsidR="009B7493">
        <w:t xml:space="preserve"> </w:t>
      </w:r>
      <w:r w:rsidRPr="00102925" w:rsidR="00AD34D6">
        <w:t>(2018) 28 Cal.App.5th 44 (</w:t>
      </w:r>
      <w:r w:rsidRPr="00102925" w:rsidR="00AD34D6">
        <w:rPr>
          <w:i/>
          <w:iCs/>
        </w:rPr>
        <w:t>2018 Regents</w:t>
      </w:r>
      <w:r w:rsidRPr="00102925" w:rsidR="00AD34D6">
        <w:t>)</w:t>
      </w:r>
      <w:r w:rsidRPr="00102925">
        <w:t>.</w:t>
      </w:r>
      <w:r w:rsidRPr="00102925" w:rsidR="00AD34D6">
        <w:t>)</w:t>
      </w:r>
      <w:r w:rsidR="00AD34D6">
        <w:t xml:space="preserve"> </w:t>
      </w:r>
      <w:r>
        <w:t xml:space="preserve"> </w:t>
      </w:r>
      <w:r w:rsidR="00E86741">
        <w:t>T</w:t>
      </w:r>
      <w:r w:rsidR="00AD34D6">
        <w:t>hese cases</w:t>
      </w:r>
      <w:r w:rsidR="00473971">
        <w:t xml:space="preserve"> and the </w:t>
      </w:r>
      <w:r w:rsidR="00AF4729">
        <w:t>authorities</w:t>
      </w:r>
      <w:r w:rsidR="00473971">
        <w:t xml:space="preserve"> on which they rely</w:t>
      </w:r>
      <w:r w:rsidR="00AD34D6">
        <w:t xml:space="preserve"> </w:t>
      </w:r>
      <w:r>
        <w:t xml:space="preserve">are part of a </w:t>
      </w:r>
      <w:r w:rsidR="00AD34D6">
        <w:t>“trend in case law</w:t>
      </w:r>
      <w:r w:rsidR="00E504A6">
        <w:t> </w:t>
      </w:r>
      <w:r w:rsidR="00AD34D6">
        <w:t>.</w:t>
      </w:r>
      <w:r w:rsidR="00E504A6">
        <w:t> </w:t>
      </w:r>
      <w:r w:rsidR="00AD34D6">
        <w:t>.</w:t>
      </w:r>
      <w:r w:rsidR="00E504A6">
        <w:t> </w:t>
      </w:r>
      <w:r w:rsidR="00AD34D6">
        <w:t xml:space="preserve">. to </w:t>
      </w:r>
      <w:r w:rsidRPr="00102925" w:rsidR="00AD34D6">
        <w:t>expect more adversarial and criminal-trial-like procedures when</w:t>
      </w:r>
      <w:r w:rsidRPr="00102925">
        <w:t>”—unlike here—</w:t>
      </w:r>
      <w:r>
        <w:t xml:space="preserve">“a </w:t>
      </w:r>
      <w:r w:rsidRPr="00102925" w:rsidR="00AD34D6">
        <w:t>student is accused of sexual misconduct and the complainant’s credibility is questioned.”</w:t>
      </w:r>
      <w:r w:rsidR="00AD34D6">
        <w:t xml:space="preserve">  (</w:t>
      </w:r>
      <w:r w:rsidRPr="00AD34D6" w:rsidR="00AD34D6">
        <w:rPr>
          <w:i/>
          <w:iCs/>
        </w:rPr>
        <w:t>2021 Regents, supra</w:t>
      </w:r>
      <w:r w:rsidR="00AD34D6">
        <w:t>, 70</w:t>
      </w:r>
      <w:r w:rsidR="007501AD">
        <w:t> </w:t>
      </w:r>
      <w:r w:rsidR="00AD34D6">
        <w:t xml:space="preserve">Cal.App.5th at p. 534.)  </w:t>
      </w:r>
      <w:r>
        <w:t xml:space="preserve">Crucially for our purposes, these </w:t>
      </w:r>
      <w:r w:rsidR="00AD34D6">
        <w:t>cases expressly limit their holdings to</w:t>
      </w:r>
      <w:r>
        <w:t xml:space="preserve"> these unique circumstances</w:t>
      </w:r>
      <w:r w:rsidR="00AD34D6">
        <w:t xml:space="preserve">.  </w:t>
      </w:r>
      <w:r>
        <w:t>(See</w:t>
      </w:r>
      <w:r w:rsidRPr="00E86741" w:rsidR="00E86741">
        <w:rPr>
          <w:i/>
          <w:iCs/>
        </w:rPr>
        <w:t xml:space="preserve"> </w:t>
      </w:r>
      <w:r w:rsidRPr="00AD34D6" w:rsidR="00E86741">
        <w:rPr>
          <w:i/>
          <w:iCs/>
        </w:rPr>
        <w:t>Westmont</w:t>
      </w:r>
      <w:r w:rsidR="00E86741">
        <w:t xml:space="preserve">, </w:t>
      </w:r>
      <w:r w:rsidRPr="00AD34D6" w:rsidR="00E86741">
        <w:rPr>
          <w:i/>
          <w:iCs/>
        </w:rPr>
        <w:t>supra</w:t>
      </w:r>
      <w:r w:rsidR="00E86741">
        <w:t>,</w:t>
      </w:r>
      <w:r w:rsidR="00E504A6">
        <w:t> </w:t>
      </w:r>
      <w:r w:rsidRPr="00AD34D6" w:rsidR="00E86741">
        <w:t xml:space="preserve">34 Cal.App.5th </w:t>
      </w:r>
      <w:r w:rsidR="00E86741">
        <w:t>at p. 635 [addressing due</w:t>
      </w:r>
      <w:r w:rsidR="007501AD">
        <w:t> </w:t>
      </w:r>
      <w:r w:rsidR="00E86741">
        <w:t>process rights of</w:t>
      </w:r>
      <w:r w:rsidR="00E504A6">
        <w:t> </w:t>
      </w:r>
      <w:r w:rsidR="00E86741">
        <w:t>a</w:t>
      </w:r>
      <w:r w:rsidR="00E504A6">
        <w:t> </w:t>
      </w:r>
      <w:r w:rsidR="00E86741">
        <w:t>student facing university expulsion based on allegations of</w:t>
      </w:r>
      <w:r w:rsidR="00E504A6">
        <w:t> </w:t>
      </w:r>
      <w:r w:rsidR="00E86741">
        <w:t>sexual</w:t>
      </w:r>
      <w:r w:rsidR="00E504A6">
        <w:t> </w:t>
      </w:r>
      <w:r w:rsidR="00E86741">
        <w:t>misconduct that “turn</w:t>
      </w:r>
      <w:r w:rsidR="009B7493">
        <w:t>[</w:t>
      </w:r>
      <w:r w:rsidR="00E86741">
        <w:t>ed</w:t>
      </w:r>
      <w:r w:rsidR="009B7493">
        <w:t>]</w:t>
      </w:r>
      <w:r w:rsidR="00E86741">
        <w:t xml:space="preserve"> on witness credibility</w:t>
      </w:r>
      <w:r w:rsidRPr="00102925" w:rsidR="00E86741">
        <w:t xml:space="preserve">”]; </w:t>
      </w:r>
      <w:r w:rsidR="00E86741">
        <w:rPr>
          <w:i/>
          <w:iCs/>
        </w:rPr>
        <w:t>2018</w:t>
      </w:r>
      <w:r w:rsidR="00E504A6">
        <w:rPr>
          <w:i/>
          <w:iCs/>
        </w:rPr>
        <w:t> </w:t>
      </w:r>
      <w:r w:rsidRPr="00102925" w:rsidR="00E86741">
        <w:rPr>
          <w:i/>
          <w:iCs/>
        </w:rPr>
        <w:t>Regents</w:t>
      </w:r>
      <w:r w:rsidR="00E86741">
        <w:t xml:space="preserve">, </w:t>
      </w:r>
      <w:r w:rsidRPr="00102925" w:rsidR="00E86741">
        <w:rPr>
          <w:i/>
          <w:iCs/>
        </w:rPr>
        <w:t>supra</w:t>
      </w:r>
      <w:r w:rsidR="00E86741">
        <w:t xml:space="preserve">, </w:t>
      </w:r>
      <w:r w:rsidRPr="00102925" w:rsidR="00E86741">
        <w:t xml:space="preserve">28 Cal.App.5th </w:t>
      </w:r>
      <w:r w:rsidR="00E86741">
        <w:t xml:space="preserve">at p. </w:t>
      </w:r>
      <w:r w:rsidRPr="00102925" w:rsidR="00E86741">
        <w:t>60 [i</w:t>
      </w:r>
      <w:r w:rsidR="00E86741">
        <w:t xml:space="preserve">n disciplinary proceeding based on allegations of sexual assault, </w:t>
      </w:r>
      <w:r w:rsidR="00B24A50">
        <w:t>lack of</w:t>
      </w:r>
      <w:r w:rsidR="00E86741">
        <w:t xml:space="preserve"> cross-examination of witness claiming to have been assaulted</w:t>
      </w:r>
      <w:r w:rsidR="00B24A50">
        <w:t xml:space="preserve"> denied student due process based on authority that</w:t>
      </w:r>
      <w:r w:rsidR="00E86741">
        <w:t xml:space="preserve"> “when a disciplinary determination turns on the complaining witness</w:t>
      </w:r>
      <w:r w:rsidR="00B24A50">
        <w:t>’</w:t>
      </w:r>
      <w:r w:rsidR="00E86741">
        <w:t>s credibility, the accused student is entitled to a process by which the complainant answers his questions”]</w:t>
      </w:r>
      <w:r>
        <w:t xml:space="preserve">.)  For example, in </w:t>
      </w:r>
      <w:r w:rsidRPr="00102925">
        <w:rPr>
          <w:i/>
          <w:iCs/>
        </w:rPr>
        <w:t>Westmont</w:t>
      </w:r>
      <w:r>
        <w:t>, the primary authority on which Nofal and Aya</w:t>
      </w:r>
      <w:r w:rsidR="00DA19A0">
        <w:t>ch</w:t>
      </w:r>
      <w:r>
        <w:t xml:space="preserve"> rely, the court addressed “</w:t>
      </w:r>
      <w:r w:rsidRPr="00102925">
        <w:t>the</w:t>
      </w:r>
      <w:r w:rsidR="00E504A6">
        <w:t> </w:t>
      </w:r>
      <w:r w:rsidRPr="00102925">
        <w:t>contours of what a fair hearing requires where</w:t>
      </w:r>
      <w:r w:rsidR="00E504A6">
        <w:t> </w:t>
      </w:r>
      <w:r w:rsidR="00AF4729">
        <w:t>.</w:t>
      </w:r>
      <w:r w:rsidR="00E504A6">
        <w:t> </w:t>
      </w:r>
      <w:r w:rsidR="00AF4729">
        <w:t>.</w:t>
      </w:r>
      <w:r w:rsidR="00E504A6">
        <w:t> </w:t>
      </w:r>
      <w:r w:rsidR="00AF4729">
        <w:t xml:space="preserve">. </w:t>
      </w:r>
      <w:r w:rsidRPr="00102925">
        <w:t>the case turns on witness credibility</w:t>
      </w:r>
      <w:r>
        <w:t>” and conclude</w:t>
      </w:r>
      <w:r w:rsidR="00AF4729">
        <w:t>s</w:t>
      </w:r>
      <w:r>
        <w:t xml:space="preserve"> that “the college must provide the accused student with the names of witnesses and the facts to which each testifies</w:t>
      </w:r>
      <w:r w:rsidR="00E504A6">
        <w:t> </w:t>
      </w:r>
      <w:r>
        <w:t>.</w:t>
      </w:r>
      <w:r w:rsidR="00E504A6">
        <w:t> </w:t>
      </w:r>
      <w:r>
        <w:t>.</w:t>
      </w:r>
      <w:r w:rsidR="00E504A6">
        <w:t> </w:t>
      </w:r>
      <w:r>
        <w:t>.</w:t>
      </w:r>
      <w:r w:rsidR="009B7493">
        <w:t xml:space="preserve"> [citations]</w:t>
      </w:r>
      <w:r w:rsidR="00E504A6">
        <w:t xml:space="preserve"> </w:t>
      </w:r>
      <w:r>
        <w:t>[and] [t]he accused must be able to pose questions to</w:t>
      </w:r>
      <w:r w:rsidR="007501AD">
        <w:t> </w:t>
      </w:r>
      <w:r>
        <w:t>the witnesses in some manner, either directly or indirectly.”  (</w:t>
      </w:r>
      <w:r w:rsidRPr="00102925">
        <w:rPr>
          <w:i/>
          <w:iCs/>
        </w:rPr>
        <w:t>Westmont, supra</w:t>
      </w:r>
      <w:r>
        <w:t>, 34 Cal.App.5th at p. 635.)  These requirement</w:t>
      </w:r>
      <w:r w:rsidR="002B0B80">
        <w:t>s</w:t>
      </w:r>
      <w:r>
        <w:t xml:space="preserve"> make sense in the context of sexual assault allegations, “because most cases [involving </w:t>
      </w:r>
      <w:r w:rsidR="00B24A50">
        <w:t xml:space="preserve">such </w:t>
      </w:r>
      <w:r>
        <w:t>allegations] turn</w:t>
      </w:r>
      <w:r w:rsidR="00E504A6">
        <w:t> </w:t>
      </w:r>
      <w:r>
        <w:t>on credibility (he</w:t>
      </w:r>
      <w:r w:rsidR="007501AD">
        <w:noBreakHyphen/>
      </w:r>
      <w:r>
        <w:t>said, she-said), [and] the adjudicator or</w:t>
      </w:r>
      <w:r w:rsidR="00E504A6">
        <w:t> </w:t>
      </w:r>
      <w:r>
        <w:t>adjudicators must be able to see the parties’ testimony and the</w:t>
      </w:r>
      <w:r w:rsidR="00E504A6">
        <w:t> </w:t>
      </w:r>
      <w:r>
        <w:t xml:space="preserve">testimony of important witnesses so their demeanor may be observed.”  </w:t>
      </w:r>
      <w:r w:rsidR="006A1531">
        <w:t>(</w:t>
      </w:r>
      <w:r w:rsidRPr="00102925" w:rsidR="006A1531">
        <w:rPr>
          <w:i/>
          <w:iCs/>
        </w:rPr>
        <w:t>Knight v. South</w:t>
      </w:r>
      <w:r w:rsidR="006251B9">
        <w:rPr>
          <w:i/>
          <w:iCs/>
        </w:rPr>
        <w:t xml:space="preserve"> </w:t>
      </w:r>
      <w:r w:rsidRPr="00102925" w:rsidR="006A1531">
        <w:rPr>
          <w:i/>
          <w:iCs/>
        </w:rPr>
        <w:t>Orange Community College District</w:t>
      </w:r>
      <w:r w:rsidR="00E504A6">
        <w:rPr>
          <w:i/>
          <w:iCs/>
        </w:rPr>
        <w:t> </w:t>
      </w:r>
      <w:r w:rsidR="006A1531">
        <w:t>(2021) 60 Cal.App.5th 854,</w:t>
      </w:r>
      <w:r w:rsidR="006251B9">
        <w:t> </w:t>
      </w:r>
      <w:r w:rsidR="006A1531">
        <w:t>866 (</w:t>
      </w:r>
      <w:r w:rsidRPr="00102925" w:rsidR="006A1531">
        <w:rPr>
          <w:i/>
          <w:iCs/>
        </w:rPr>
        <w:t>Knight</w:t>
      </w:r>
      <w:r w:rsidR="006A1531">
        <w:t>)</w:t>
      </w:r>
      <w:r w:rsidR="009B7493">
        <w:t xml:space="preserve">; see </w:t>
      </w:r>
      <w:r w:rsidRPr="009B7493" w:rsidR="009B7493">
        <w:rPr>
          <w:i/>
          <w:iCs/>
        </w:rPr>
        <w:t>ibid</w:t>
      </w:r>
      <w:r w:rsidR="009B7493">
        <w:t>.</w:t>
      </w:r>
      <w:r w:rsidR="006A1531">
        <w:t xml:space="preserve"> [addressing due</w:t>
      </w:r>
      <w:r w:rsidR="00E504A6">
        <w:t> </w:t>
      </w:r>
      <w:r w:rsidR="006A1531">
        <w:t>process rights of “a</w:t>
      </w:r>
      <w:r w:rsidR="00F57730">
        <w:t> </w:t>
      </w:r>
      <w:r w:rsidR="006A1531">
        <w:t>student facing suspension or expulsion for nonconsensual sexual</w:t>
      </w:r>
      <w:r w:rsidR="00D97A8D">
        <w:t> </w:t>
      </w:r>
      <w:r w:rsidR="006A1531">
        <w:t>activity”].)</w:t>
      </w:r>
      <w:r>
        <w:t xml:space="preserve"> </w:t>
      </w:r>
      <w:r w:rsidR="00C9542F">
        <w:t xml:space="preserve"> </w:t>
      </w:r>
      <w:r>
        <w:t xml:space="preserve">Thus, the cases Nofal and Ayach cite, and other similar cases, </w:t>
      </w:r>
      <w:r w:rsidRPr="00102925">
        <w:t>“only impose their additional procedural requirements where the credibility of witnesses is central to the disciplinary decision</w:t>
      </w:r>
      <w:r>
        <w:t>.</w:t>
      </w:r>
      <w:r w:rsidRPr="00102925">
        <w:t>”</w:t>
      </w:r>
      <w:r>
        <w:t xml:space="preserve">  (</w:t>
      </w:r>
      <w:r w:rsidR="00041F71">
        <w:rPr>
          <w:i/>
          <w:iCs/>
        </w:rPr>
        <w:t>2021 Regents, supra,</w:t>
      </w:r>
      <w:r>
        <w:t xml:space="preserve"> </w:t>
      </w:r>
      <w:r w:rsidR="00041F71">
        <w:t xml:space="preserve">70 Cal.App.5th </w:t>
      </w:r>
      <w:r>
        <w:t>at p.</w:t>
      </w:r>
      <w:r w:rsidR="00D97A8D">
        <w:t> </w:t>
      </w:r>
      <w:r>
        <w:t xml:space="preserve">535 [discussing </w:t>
      </w:r>
      <w:r w:rsidRPr="00102925">
        <w:rPr>
          <w:i/>
          <w:iCs/>
        </w:rPr>
        <w:t>2018 Regents</w:t>
      </w:r>
      <w:r>
        <w:t xml:space="preserve"> and authority on which </w:t>
      </w:r>
      <w:r w:rsidRPr="00102925">
        <w:rPr>
          <w:i/>
          <w:iCs/>
        </w:rPr>
        <w:t>Westmont</w:t>
      </w:r>
      <w:r>
        <w:t xml:space="preserve"> relies].)</w:t>
      </w:r>
    </w:p>
    <w:p w:rsidR="003D724D" w:rsidP="00063C6B" w14:paraId="4CBDC87E" w14:textId="50EED7D2">
      <w:pPr>
        <w:ind w:firstLine="720"/>
      </w:pPr>
      <w:r>
        <w:t>T</w:t>
      </w:r>
      <w:r w:rsidR="00102925">
        <w:t>his</w:t>
      </w:r>
      <w:r w:rsidR="00C233D0">
        <w:t xml:space="preserve"> concern</w:t>
      </w:r>
      <w:r w:rsidR="00102925">
        <w:t xml:space="preserve"> does not apply here.  Nofal and Ayach were not accused of sexual misconduct, nor does the adjudication of the</w:t>
      </w:r>
      <w:r w:rsidR="00E504A6">
        <w:t> </w:t>
      </w:r>
      <w:r w:rsidR="00102925">
        <w:t>allegations against them depend on the credibility of adverse witnesses.  There is n</w:t>
      </w:r>
      <w:r>
        <w:t>o material dispute as to the</w:t>
      </w:r>
      <w:r w:rsidR="00102925">
        <w:t xml:space="preserve"> majority of the</w:t>
      </w:r>
      <w:r w:rsidR="00D97A8D">
        <w:t> </w:t>
      </w:r>
      <w:r w:rsidR="00102925">
        <w:t>activities that formed the basis for the charges against Nofal and</w:t>
      </w:r>
      <w:r w:rsidR="00E504A6">
        <w:t> </w:t>
      </w:r>
      <w:r w:rsidR="00102925">
        <w:t>Aya</w:t>
      </w:r>
      <w:r w:rsidR="00DA19A0">
        <w:t>ch</w:t>
      </w:r>
      <w:r>
        <w:t>—</w:t>
      </w:r>
      <w:r w:rsidR="00102925">
        <w:t>the witnesses’ accounts of these activities are largely consistent with Nofal</w:t>
      </w:r>
      <w:r w:rsidR="002B0B80">
        <w:t>’s</w:t>
      </w:r>
      <w:r w:rsidR="00102925">
        <w:t xml:space="preserve"> and Ay</w:t>
      </w:r>
      <w:r w:rsidR="00DA19A0">
        <w:t>ach</w:t>
      </w:r>
      <w:r w:rsidR="00102925">
        <w:t>’s accounts</w:t>
      </w:r>
      <w:r>
        <w:t xml:space="preserve">.  </w:t>
      </w:r>
      <w:r w:rsidR="00102925">
        <w:t>Nofal and Aya</w:t>
      </w:r>
      <w:r w:rsidR="00DA19A0">
        <w:t>ch</w:t>
      </w:r>
      <w:r w:rsidR="00102925">
        <w:t xml:space="preserve"> did</w:t>
      </w:r>
      <w:r w:rsidR="00E504A6">
        <w:t> </w:t>
      </w:r>
      <w:r w:rsidR="00102925">
        <w:t xml:space="preserve">not argue to </w:t>
      </w:r>
      <w:r w:rsidR="0096658C">
        <w:t>the committee</w:t>
      </w:r>
      <w:r w:rsidR="00102925">
        <w:t xml:space="preserve"> that these witnesses were lying</w:t>
      </w:r>
      <w:r w:rsidR="00C233D0">
        <w:t xml:space="preserve"> or</w:t>
      </w:r>
      <w:r w:rsidR="00E504A6">
        <w:t> </w:t>
      </w:r>
      <w:r w:rsidR="00C233D0">
        <w:t>were mistaken</w:t>
      </w:r>
      <w:r w:rsidR="00102925">
        <w:t>; rather, they argued that the</w:t>
      </w:r>
      <w:r>
        <w:t xml:space="preserve"> conduct </w:t>
      </w:r>
      <w:r w:rsidR="00102925">
        <w:t>they were</w:t>
      </w:r>
      <w:r w:rsidR="002B0B80">
        <w:t xml:space="preserve"> </w:t>
      </w:r>
      <w:r w:rsidR="00102925">
        <w:t>describing—most of which, again, Nofal and Ayach admitted occurred—</w:t>
      </w:r>
      <w:r>
        <w:t xml:space="preserve">did not violate </w:t>
      </w:r>
      <w:r w:rsidR="00102925">
        <w:t>university</w:t>
      </w:r>
      <w:r>
        <w:t xml:space="preserve"> policies </w:t>
      </w:r>
      <w:r w:rsidR="00102925">
        <w:t>or was not a basis for</w:t>
      </w:r>
      <w:r w:rsidR="002B0B80">
        <w:t xml:space="preserve"> </w:t>
      </w:r>
      <w:r w:rsidR="00102925">
        <w:t>imposing discipline on Nofal and Ayach specifically</w:t>
      </w:r>
      <w:r>
        <w:t xml:space="preserve">.  </w:t>
      </w:r>
      <w:r w:rsidR="00102925">
        <w:t>Considered in the context of this record, it is clear the c</w:t>
      </w:r>
      <w:r>
        <w:t xml:space="preserve">harges </w:t>
      </w:r>
      <w:r w:rsidR="00102925">
        <w:t>against Nofal</w:t>
      </w:r>
      <w:r w:rsidR="009B7493">
        <w:t xml:space="preserve"> </w:t>
      </w:r>
      <w:r w:rsidR="00102925">
        <w:t xml:space="preserve">and Ayach </w:t>
      </w:r>
      <w:r>
        <w:t xml:space="preserve">did not depend on a credibility contest between </w:t>
      </w:r>
      <w:r w:rsidR="00102925">
        <w:t>the</w:t>
      </w:r>
      <w:r w:rsidR="00D97A8D">
        <w:t> </w:t>
      </w:r>
      <w:r w:rsidR="00102925">
        <w:t xml:space="preserve">unidentified </w:t>
      </w:r>
      <w:r>
        <w:t xml:space="preserve">witnesses </w:t>
      </w:r>
      <w:r w:rsidR="00102925">
        <w:t>and the students accused of the misconduct, as was true in the sexual misconduct cases Nofal and</w:t>
      </w:r>
      <w:r w:rsidR="002B0B80">
        <w:t> </w:t>
      </w:r>
      <w:r w:rsidR="00102925">
        <w:t xml:space="preserve">Ayach cite.  </w:t>
      </w:r>
      <w:r w:rsidR="0096658C">
        <w:t xml:space="preserve">(See </w:t>
      </w:r>
      <w:r w:rsidRPr="00CD44D6" w:rsidR="0096658C">
        <w:rPr>
          <w:i/>
          <w:iCs/>
        </w:rPr>
        <w:t>2021 Regents, supra</w:t>
      </w:r>
      <w:r w:rsidR="0096658C">
        <w:t>, 70 Cal.App.5th at p.</w:t>
      </w:r>
      <w:r w:rsidR="00E504A6">
        <w:t> </w:t>
      </w:r>
      <w:r w:rsidR="0096658C">
        <w:t>536 [due process did not require</w:t>
      </w:r>
      <w:r w:rsidR="009626E7">
        <w:t xml:space="preserve"> </w:t>
      </w:r>
      <w:r w:rsidR="00432209">
        <w:t xml:space="preserve">witnesses </w:t>
      </w:r>
      <w:r w:rsidR="00B24A50">
        <w:t>or complainant to</w:t>
      </w:r>
      <w:r w:rsidR="002B0B80">
        <w:t> </w:t>
      </w:r>
      <w:r w:rsidR="00432209">
        <w:t>testify</w:t>
      </w:r>
      <w:r w:rsidR="002B0B80">
        <w:t xml:space="preserve"> </w:t>
      </w:r>
      <w:r w:rsidR="00432209">
        <w:t xml:space="preserve">live or be subject to cross-examination </w:t>
      </w:r>
      <w:r w:rsidR="0096658C">
        <w:t xml:space="preserve">because the </w:t>
      </w:r>
      <w:r w:rsidR="009B7493">
        <w:t>“</w:t>
      </w:r>
      <w:r w:rsidR="0096658C">
        <w:t>credibility of</w:t>
      </w:r>
      <w:r w:rsidR="002B0B80">
        <w:t> </w:t>
      </w:r>
      <w:r w:rsidR="0096658C">
        <w:t xml:space="preserve">witnesses was not central to the </w:t>
      </w:r>
      <w:r w:rsidR="00B24A50">
        <w:t xml:space="preserve">[administrative] </w:t>
      </w:r>
      <w:r w:rsidR="0096658C">
        <w:t>determination</w:t>
      </w:r>
      <w:r w:rsidR="00584FEC">
        <w:t xml:space="preserve"> [and]</w:t>
      </w:r>
      <w:r w:rsidR="00E504A6">
        <w:t> </w:t>
      </w:r>
      <w:r w:rsidR="00B24A50">
        <w:t>.</w:t>
      </w:r>
      <w:r w:rsidR="00E504A6">
        <w:t> </w:t>
      </w:r>
      <w:r w:rsidR="00B24A50">
        <w:t>.</w:t>
      </w:r>
      <w:r w:rsidR="00E504A6">
        <w:t> </w:t>
      </w:r>
      <w:r w:rsidR="00B24A50">
        <w:t>. [the student] ‘</w:t>
      </w:r>
      <w:r w:rsidR="0096658C">
        <w:t>submitted a detailed written response that admitted the essential allegations</w:t>
      </w:r>
      <w:r w:rsidR="00B24A50">
        <w:t>’</w:t>
      </w:r>
      <w:r w:rsidR="0096658C">
        <w:t xml:space="preserve"> of </w:t>
      </w:r>
      <w:r w:rsidR="00B24A50">
        <w:t>[the]</w:t>
      </w:r>
      <w:r w:rsidR="0096658C">
        <w:t xml:space="preserve"> complaint</w:t>
      </w:r>
      <w:r w:rsidR="00E504A6">
        <w:t>,</w:t>
      </w:r>
      <w:r w:rsidR="00B24A50">
        <w:t>” meaning there was no</w:t>
      </w:r>
      <w:r w:rsidR="0096658C">
        <w:t xml:space="preserve"> </w:t>
      </w:r>
      <w:r w:rsidR="00B24A50">
        <w:t>“</w:t>
      </w:r>
      <w:r w:rsidR="00E504A6">
        <w:t> </w:t>
      </w:r>
      <w:r w:rsidR="00B24A50">
        <w:t>‘</w:t>
      </w:r>
      <w:r w:rsidR="0096658C">
        <w:t>he-said, she-said</w:t>
      </w:r>
      <w:r w:rsidR="00B24A50">
        <w:t>’</w:t>
      </w:r>
      <w:r w:rsidR="00E504A6">
        <w:t> </w:t>
      </w:r>
      <w:r w:rsidR="00B24A50">
        <w:t>”</w:t>
      </w:r>
      <w:r w:rsidR="0096658C">
        <w:t xml:space="preserve"> </w:t>
      </w:r>
      <w:r w:rsidR="00B24A50">
        <w:t>situation and “</w:t>
      </w:r>
      <w:r w:rsidR="0096658C">
        <w:t xml:space="preserve">the material facts </w:t>
      </w:r>
      <w:r w:rsidR="00B24A50">
        <w:t>[we</w:t>
      </w:r>
      <w:r w:rsidR="0096658C">
        <w:t>re</w:t>
      </w:r>
      <w:r w:rsidR="009B7493">
        <w:t>]</w:t>
      </w:r>
      <w:r w:rsidR="0096658C">
        <w:t xml:space="preserve"> not in dispute</w:t>
      </w:r>
      <w:r w:rsidR="009626E7">
        <w:t xml:space="preserve">”]; </w:t>
      </w:r>
      <w:r>
        <w:t>accord</w:t>
      </w:r>
      <w:r w:rsidR="00E504A6">
        <w:t>,</w:t>
      </w:r>
      <w:r>
        <w:t xml:space="preserve"> </w:t>
      </w:r>
      <w:r w:rsidRPr="00432209">
        <w:rPr>
          <w:i/>
          <w:iCs/>
        </w:rPr>
        <w:t>Knight, supra</w:t>
      </w:r>
      <w:r>
        <w:t>, 60 Cal.App.5th at p. 870.)  “[L]ive testimony, and the</w:t>
      </w:r>
      <w:r w:rsidR="00E504A6">
        <w:t> </w:t>
      </w:r>
      <w:r>
        <w:t xml:space="preserve">full panoply of trial-like procedures” </w:t>
      </w:r>
      <w:r w:rsidR="009B7493">
        <w:t>(</w:t>
      </w:r>
      <w:r w:rsidRPr="009B7493" w:rsidR="009B7493">
        <w:rPr>
          <w:i/>
          <w:iCs/>
        </w:rPr>
        <w:t>id</w:t>
      </w:r>
      <w:r w:rsidR="009B7493">
        <w:t xml:space="preserve">. at p. 870) </w:t>
      </w:r>
      <w:r>
        <w:t>are not required where, as here</w:t>
      </w:r>
      <w:r w:rsidR="00AF4729">
        <w:t>,</w:t>
      </w:r>
      <w:r w:rsidRPr="00063C6B">
        <w:t xml:space="preserve"> </w:t>
      </w:r>
      <w:r>
        <w:t>“there was no essential dispute about the facts” or</w:t>
      </w:r>
      <w:r w:rsidR="009B7493">
        <w:t> </w:t>
      </w:r>
      <w:r>
        <w:t>the credibility of witnesses</w:t>
      </w:r>
      <w:r w:rsidR="009B7493">
        <w:t xml:space="preserve"> </w:t>
      </w:r>
      <w:r>
        <w:t>(</w:t>
      </w:r>
      <w:r w:rsidR="009B7493">
        <w:rPr>
          <w:i/>
          <w:iCs/>
        </w:rPr>
        <w:t>i</w:t>
      </w:r>
      <w:r>
        <w:rPr>
          <w:i/>
          <w:iCs/>
        </w:rPr>
        <w:t>d</w:t>
      </w:r>
      <w:r w:rsidR="009B7493">
        <w:rPr>
          <w:i/>
          <w:iCs/>
        </w:rPr>
        <w:t xml:space="preserve"> </w:t>
      </w:r>
      <w:r w:rsidR="009B7493">
        <w:t>at p. 871</w:t>
      </w:r>
      <w:r>
        <w:t>)</w:t>
      </w:r>
      <w:r w:rsidRPr="009B7493" w:rsidR="009B7493">
        <w:t>.</w:t>
      </w:r>
      <w:r>
        <w:t xml:space="preserve">  </w:t>
      </w:r>
      <w:r w:rsidR="00102925">
        <w:t>T</w:t>
      </w:r>
      <w:r w:rsidR="00AF4729">
        <w:t>hus, t</w:t>
      </w:r>
      <w:r w:rsidR="00102925">
        <w:t xml:space="preserve">hat the </w:t>
      </w:r>
      <w:r>
        <w:t xml:space="preserve">sexual misconduct </w:t>
      </w:r>
      <w:r w:rsidR="00102925">
        <w:t xml:space="preserve">cases </w:t>
      </w:r>
      <w:r>
        <w:t xml:space="preserve">Nofal and Ayach cite </w:t>
      </w:r>
      <w:r w:rsidR="00102925">
        <w:t>may require</w:t>
      </w:r>
      <w:r w:rsidRPr="00102925" w:rsidR="00102925">
        <w:t xml:space="preserve"> </w:t>
      </w:r>
      <w:r w:rsidR="00102925">
        <w:t>a</w:t>
      </w:r>
      <w:r w:rsidR="009B7493">
        <w:t> </w:t>
      </w:r>
      <w:r w:rsidR="00102925">
        <w:t>university to disclose the names of</w:t>
      </w:r>
      <w:r w:rsidR="00AF4729">
        <w:t xml:space="preserve"> witnesses or</w:t>
      </w:r>
      <w:r w:rsidR="00102925">
        <w:t xml:space="preserve"> </w:t>
      </w:r>
      <w:r w:rsidR="00AF4729">
        <w:t xml:space="preserve">to </w:t>
      </w:r>
      <w:r w:rsidR="00102925">
        <w:t xml:space="preserve">present </w:t>
      </w:r>
      <w:r w:rsidR="00AF4729">
        <w:t>them</w:t>
      </w:r>
      <w:r w:rsidR="009B7493">
        <w:t> </w:t>
      </w:r>
      <w:r w:rsidR="00102925">
        <w:t xml:space="preserve">at a hearing </w:t>
      </w:r>
      <w:r w:rsidR="00AF4729">
        <w:t>for</w:t>
      </w:r>
      <w:r>
        <w:t xml:space="preserve"> </w:t>
      </w:r>
      <w:r w:rsidR="00102925">
        <w:t>cross</w:t>
      </w:r>
      <w:r w:rsidR="002B0B80">
        <w:noBreakHyphen/>
      </w:r>
      <w:r w:rsidR="00102925">
        <w:t>examination</w:t>
      </w:r>
      <w:r>
        <w:rPr>
          <w:rStyle w:val="FootnoteReference"/>
        </w:rPr>
        <w:footnoteReference w:id="6"/>
      </w:r>
      <w:r w:rsidR="00AF4729">
        <w:t xml:space="preserve"> is</w:t>
      </w:r>
      <w:r w:rsidR="00102925">
        <w:t xml:space="preserve"> not a basis for requiring the same procedures for Nofal</w:t>
      </w:r>
      <w:r w:rsidR="002B0B80">
        <w:t>’s</w:t>
      </w:r>
      <w:r w:rsidR="00102925">
        <w:t xml:space="preserve"> and Ayach’s hearing</w:t>
      </w:r>
      <w:r w:rsidR="002B0B80">
        <w:t>s</w:t>
      </w:r>
      <w:r w:rsidR="00102925">
        <w:t xml:space="preserve">. </w:t>
      </w:r>
      <w:r>
        <w:t xml:space="preserve"> </w:t>
      </w:r>
    </w:p>
    <w:p w:rsidR="00E86741" w:rsidRPr="00E504A6" w:rsidP="00E504A6" w14:paraId="52BAB827" w14:textId="15FD9A06">
      <w:pPr>
        <w:pStyle w:val="Heading2"/>
        <w:spacing w:before="200" w:line="240" w:lineRule="auto"/>
        <w:ind w:left="1440" w:hanging="720"/>
        <w:jc w:val="left"/>
        <w:rPr>
          <w:i/>
          <w:iCs/>
        </w:rPr>
      </w:pPr>
      <w:r w:rsidRPr="00E86741">
        <w:t>B.</w:t>
      </w:r>
      <w:r w:rsidRPr="00E86741">
        <w:tab/>
      </w:r>
      <w:r w:rsidRPr="00E504A6">
        <w:rPr>
          <w:i/>
          <w:iCs/>
        </w:rPr>
        <w:t>The Committee Hearing</w:t>
      </w:r>
      <w:r w:rsidR="003145F3">
        <w:rPr>
          <w:i/>
          <w:iCs/>
        </w:rPr>
        <w:t>s</w:t>
      </w:r>
      <w:r w:rsidRPr="00E504A6">
        <w:rPr>
          <w:i/>
          <w:iCs/>
        </w:rPr>
        <w:t xml:space="preserve"> Afforded Nofal and Ayach the Full Opportunity </w:t>
      </w:r>
      <w:r w:rsidR="00584FEC">
        <w:rPr>
          <w:i/>
          <w:iCs/>
        </w:rPr>
        <w:t>T</w:t>
      </w:r>
      <w:r w:rsidRPr="00E504A6">
        <w:rPr>
          <w:i/>
          <w:iCs/>
        </w:rPr>
        <w:t>o Present Their Defenses That Due Process Require</w:t>
      </w:r>
      <w:r w:rsidRPr="00E504A6" w:rsidR="00526F47">
        <w:rPr>
          <w:i/>
          <w:iCs/>
        </w:rPr>
        <w:t>s</w:t>
      </w:r>
    </w:p>
    <w:p w:rsidR="00CA2C17" w:rsidP="00EA03AC" w14:paraId="3F241281" w14:textId="1746388A">
      <w:pPr>
        <w:ind w:firstLine="720"/>
      </w:pPr>
      <w:r>
        <w:t xml:space="preserve">Having concluded that there is no blanket right to cross-examination, confrontation, or witness identity disclosure in </w:t>
      </w:r>
      <w:r w:rsidRPr="00526F47">
        <w:rPr>
          <w:i/>
          <w:iCs/>
        </w:rPr>
        <w:t xml:space="preserve">all </w:t>
      </w:r>
      <w:r>
        <w:t xml:space="preserve">student disciplinary proceedings, we must </w:t>
      </w:r>
      <w:r w:rsidR="0096658C">
        <w:t>assess the fairness of Ayach’s and Nofal’s hearing</w:t>
      </w:r>
      <w:r w:rsidR="003145F3">
        <w:t>s</w:t>
      </w:r>
      <w:r>
        <w:t xml:space="preserve"> based on</w:t>
      </w:r>
      <w:r w:rsidR="00102925">
        <w:t xml:space="preserve"> </w:t>
      </w:r>
      <w:r w:rsidR="0096658C">
        <w:t>whether the</w:t>
      </w:r>
      <w:r w:rsidR="008A4A3F">
        <w:t xml:space="preserve"> </w:t>
      </w:r>
      <w:r w:rsidR="0096658C">
        <w:t>hearings gave Nofal and Ayach</w:t>
      </w:r>
      <w:r w:rsidRPr="0096658C" w:rsidR="0096658C">
        <w:t xml:space="preserve"> </w:t>
      </w:r>
      <w:r w:rsidR="0096658C">
        <w:t>“</w:t>
      </w:r>
      <w:r w:rsidRPr="0096658C" w:rsidR="0096658C">
        <w:t xml:space="preserve">a full opportunity to present </w:t>
      </w:r>
      <w:r w:rsidR="0096658C">
        <w:t>[their]</w:t>
      </w:r>
      <w:r w:rsidRPr="0096658C" w:rsidR="0096658C">
        <w:t xml:space="preserve"> defenses”  (</w:t>
      </w:r>
      <w:r w:rsidRPr="00E86741" w:rsidR="0096658C">
        <w:rPr>
          <w:i/>
          <w:iCs/>
        </w:rPr>
        <w:t>Andersen, supra</w:t>
      </w:r>
      <w:r w:rsidR="0096658C">
        <w:t xml:space="preserve">, </w:t>
      </w:r>
      <w:r w:rsidRPr="0096658C" w:rsidR="0096658C">
        <w:t xml:space="preserve">22 Cal.App.3d </w:t>
      </w:r>
      <w:r w:rsidR="0096658C">
        <w:t xml:space="preserve">at p. </w:t>
      </w:r>
      <w:r w:rsidRPr="0096658C" w:rsidR="0096658C">
        <w:t>771</w:t>
      </w:r>
      <w:r w:rsidR="0096658C">
        <w:t>)</w:t>
      </w:r>
      <w:r w:rsidR="008B527A">
        <w:t xml:space="preserve"> and </w:t>
      </w:r>
      <w:r w:rsidR="0096658C">
        <w:t>“t</w:t>
      </w:r>
      <w:r w:rsidRPr="0096658C" w:rsidR="0096658C">
        <w:t>he opportunity to characterize [their] conduct and put it in what [they] deem</w:t>
      </w:r>
      <w:r w:rsidR="00512E94">
        <w:t>[ ]</w:t>
      </w:r>
      <w:r w:rsidRPr="0096658C" w:rsidR="0096658C">
        <w:t xml:space="preserve"> the proper context.”  </w:t>
      </w:r>
      <w:r w:rsidR="0096658C">
        <w:t>(</w:t>
      </w:r>
      <w:r w:rsidRPr="0096658C" w:rsidR="0096658C">
        <w:rPr>
          <w:i/>
          <w:iCs/>
        </w:rPr>
        <w:t>Goss</w:t>
      </w:r>
      <w:r w:rsidRPr="00723B0F" w:rsidR="00723B0F">
        <w:t>,</w:t>
      </w:r>
      <w:r w:rsidR="00723B0F">
        <w:rPr>
          <w:i/>
          <w:iCs/>
        </w:rPr>
        <w:t xml:space="preserve"> supra</w:t>
      </w:r>
      <w:r w:rsidRPr="00723B0F" w:rsidR="00723B0F">
        <w:t>,</w:t>
      </w:r>
      <w:r w:rsidR="00723B0F">
        <w:rPr>
          <w:i/>
          <w:iCs/>
        </w:rPr>
        <w:t xml:space="preserve"> </w:t>
      </w:r>
      <w:r w:rsidRPr="0096658C" w:rsidR="0096658C">
        <w:t>419 U</w:t>
      </w:r>
      <w:r w:rsidRPr="00EA03AC" w:rsidR="0096658C">
        <w:t xml:space="preserve">.S. </w:t>
      </w:r>
      <w:r w:rsidRPr="00EA03AC" w:rsidR="00723B0F">
        <w:t xml:space="preserve">at p. </w:t>
      </w:r>
      <w:r w:rsidRPr="00EA03AC" w:rsidR="0096658C">
        <w:t>584</w:t>
      </w:r>
      <w:r w:rsidRPr="00EA03AC" w:rsidR="00723B0F">
        <w:t xml:space="preserve">; </w:t>
      </w:r>
      <w:r w:rsidRPr="00387C93" w:rsidR="00723B0F">
        <w:t xml:space="preserve">see </w:t>
      </w:r>
      <w:r w:rsidRPr="00387C93" w:rsidR="00EA03AC">
        <w:rPr>
          <w:i/>
          <w:iCs/>
        </w:rPr>
        <w:t>University of Southern California, supra</w:t>
      </w:r>
      <w:r w:rsidR="00EA03AC">
        <w:t xml:space="preserve">, </w:t>
      </w:r>
      <w:r w:rsidRPr="00606E74" w:rsidR="00EA03AC">
        <w:t xml:space="preserve">246 Cal.App.4th </w:t>
      </w:r>
      <w:r w:rsidR="00EA03AC">
        <w:t>at pp.</w:t>
      </w:r>
      <w:r w:rsidR="00387C93">
        <w:t> </w:t>
      </w:r>
      <w:r w:rsidRPr="00606E74" w:rsidR="00EA03AC">
        <w:t xml:space="preserve">245–246 </w:t>
      </w:r>
      <w:r w:rsidR="00EA03AC">
        <w:t>[</w:t>
      </w:r>
      <w:r w:rsidRPr="00EA03AC" w:rsidR="00EA03AC">
        <w:t>“due process requires ‘an “informal give-and-take” between the student and the administrative body dismissing him</w:t>
      </w:r>
      <w:r w:rsidR="006251B9">
        <w:t> </w:t>
      </w:r>
      <w:r w:rsidRPr="00EA03AC" w:rsidR="00EA03AC">
        <w:t xml:space="preserve">that would, at least, give the student </w:t>
      </w:r>
      <w:r w:rsidR="00FC0C1C">
        <w:t>“</w:t>
      </w:r>
      <w:r w:rsidRPr="00EA03AC" w:rsidR="00EA03AC">
        <w:t>the opportunity to characterize his conduct and put it in what he deems the proper context</w:t>
      </w:r>
      <w:r w:rsidR="00FC0C1C">
        <w:t>”</w:t>
      </w:r>
      <w:r w:rsidR="00D2658D">
        <w:t> </w:t>
      </w:r>
      <w:r w:rsidRPr="00EA03AC" w:rsidR="00EA03AC">
        <w:t>’</w:t>
      </w:r>
      <w:r w:rsidR="00D2658D">
        <w:t> </w:t>
      </w:r>
      <w:r w:rsidRPr="00EA03AC" w:rsidR="00EA03AC">
        <w:t>”</w:t>
      </w:r>
      <w:r w:rsidR="00EA03AC">
        <w:t>]</w:t>
      </w:r>
      <w:r w:rsidRPr="00EA03AC" w:rsidR="0096658C">
        <w:t>.)</w:t>
      </w:r>
      <w:r w:rsidR="0096658C">
        <w:t xml:space="preserve"> </w:t>
      </w:r>
      <w:r w:rsidR="009626E7">
        <w:t xml:space="preserve"> </w:t>
      </w:r>
      <w:r w:rsidR="00CD44D6">
        <w:t>Inherent in this analysis is</w:t>
      </w:r>
      <w:r w:rsidR="00E504A6">
        <w:t> </w:t>
      </w:r>
      <w:r w:rsidR="00CD44D6">
        <w:t xml:space="preserve">that the challenged aspects of the hearing—lack of cross-examination, lack of witness confrontation, and the use of pseudonyms in the </w:t>
      </w:r>
      <w:r>
        <w:t>description of witness statements</w:t>
      </w:r>
      <w:r w:rsidR="00CD44D6">
        <w:t>—prejudiced Nofal’s and Aya</w:t>
      </w:r>
      <w:r w:rsidR="00DA19A0">
        <w:t>ch</w:t>
      </w:r>
      <w:r w:rsidR="00CD44D6">
        <w:t>’s ability to present a meaningful defense.</w:t>
      </w:r>
    </w:p>
    <w:p w:rsidR="008B527A" w:rsidP="00CD44D6" w14:paraId="2FBEA299" w14:textId="1BD8EA14">
      <w:pPr>
        <w:ind w:firstLine="720"/>
      </w:pPr>
      <w:r>
        <w:t>As noted, t</w:t>
      </w:r>
      <w:r w:rsidR="0096658C">
        <w:t>he defenses Nofal and Ayach chose to present did not dispute most of the conduct the various unnamed witnesses told SCAIP had occurred</w:t>
      </w:r>
      <w:r>
        <w:t xml:space="preserve">.  Instead, Nofal and Ayach </w:t>
      </w:r>
      <w:r w:rsidR="0096658C">
        <w:t>focus</w:t>
      </w:r>
      <w:r w:rsidR="00526F47">
        <w:t>ed</w:t>
      </w:r>
      <w:r w:rsidR="0096658C">
        <w:t xml:space="preserve"> on the significance and consequences of that conduct under university policies.  </w:t>
      </w:r>
      <w:r w:rsidR="00CA2C17">
        <w:t>T</w:t>
      </w:r>
      <w:r w:rsidR="009626E7">
        <w:t>he inability to assess or test th</w:t>
      </w:r>
      <w:r>
        <w:t>e</w:t>
      </w:r>
      <w:r w:rsidR="00F57730">
        <w:t xml:space="preserve"> </w:t>
      </w:r>
      <w:r>
        <w:t xml:space="preserve">credibility of these witnesses </w:t>
      </w:r>
      <w:r w:rsidR="009626E7">
        <w:t>via confrontation and cross-examination did not rest</w:t>
      </w:r>
      <w:r w:rsidR="00E504A6">
        <w:t>r</w:t>
      </w:r>
      <w:r w:rsidR="009626E7">
        <w:t>ict Nofal’s and Ayach’s abilities to present such defenses.</w:t>
      </w:r>
    </w:p>
    <w:p w:rsidR="009626E7" w:rsidP="009626E7" w14:paraId="376CABDB" w14:textId="16EE4BCB">
      <w:pPr>
        <w:ind w:firstLine="720"/>
      </w:pPr>
      <w:r>
        <w:t xml:space="preserve">Nor did the </w:t>
      </w:r>
      <w:r w:rsidR="003145F3">
        <w:t>U</w:t>
      </w:r>
      <w:r>
        <w:t xml:space="preserve">niversity’s decision </w:t>
      </w:r>
      <w:r w:rsidR="00CD44D6">
        <w:t xml:space="preserve">not </w:t>
      </w:r>
      <w:r>
        <w:t xml:space="preserve">to identify these witnesses by name or present </w:t>
      </w:r>
      <w:r w:rsidR="00CD44D6">
        <w:t xml:space="preserve">live testimony </w:t>
      </w:r>
      <w:r>
        <w:t>at the hearing</w:t>
      </w:r>
      <w:r w:rsidR="003145F3">
        <w:t>s</w:t>
      </w:r>
      <w:r>
        <w:t xml:space="preserve"> keep</w:t>
      </w:r>
      <w:r w:rsidR="00387C93">
        <w:t> </w:t>
      </w:r>
      <w:r>
        <w:t>Nofal and Aya</w:t>
      </w:r>
      <w:r w:rsidR="00DA19A0">
        <w:t>ch</w:t>
      </w:r>
      <w:r>
        <w:t xml:space="preserve"> in the dark as to the nature of the</w:t>
      </w:r>
      <w:r w:rsidR="00CD44D6">
        <w:t xml:space="preserve"> witnesses’</w:t>
      </w:r>
      <w:r>
        <w:t xml:space="preserve"> statements or the details of the conduct they described</w:t>
      </w:r>
      <w:r w:rsidR="00CA2C17">
        <w:t xml:space="preserve">.  </w:t>
      </w:r>
      <w:r>
        <w:t xml:space="preserve">SCAIP </w:t>
      </w:r>
      <w:r w:rsidR="00CD44D6">
        <w:t xml:space="preserve">described this conduct </w:t>
      </w:r>
      <w:r>
        <w:t xml:space="preserve">via the master </w:t>
      </w:r>
      <w:r w:rsidR="00584FEC">
        <w:t xml:space="preserve">packet </w:t>
      </w:r>
      <w:r w:rsidR="00CA2C17">
        <w:t>and in the notices Nofal and Ayach received before the hearing</w:t>
      </w:r>
      <w:r w:rsidR="003145F3">
        <w:t>s</w:t>
      </w:r>
      <w:r w:rsidR="0096658C">
        <w:t xml:space="preserve">. </w:t>
      </w:r>
      <w:r>
        <w:t xml:space="preserve"> Nothing in</w:t>
      </w:r>
      <w:r w:rsidR="00584FEC">
        <w:t> </w:t>
      </w:r>
      <w:r>
        <w:t>the</w:t>
      </w:r>
      <w:r w:rsidR="00E504A6">
        <w:t> </w:t>
      </w:r>
      <w:r>
        <w:t>record suggests Ayach and Nofal were unclear on</w:t>
      </w:r>
      <w:r w:rsidR="00387C93">
        <w:t> </w:t>
      </w:r>
      <w:r>
        <w:t>what these</w:t>
      </w:r>
      <w:r w:rsidR="00E504A6">
        <w:t> </w:t>
      </w:r>
      <w:r>
        <w:t>witnesses said</w:t>
      </w:r>
      <w:r w:rsidR="00CD44D6">
        <w:t>.  N</w:t>
      </w:r>
      <w:r>
        <w:t>or have t</w:t>
      </w:r>
      <w:r w:rsidR="00526F47">
        <w:t>hey</w:t>
      </w:r>
      <w:r>
        <w:t xml:space="preserve"> ever disputed that the</w:t>
      </w:r>
      <w:r w:rsidR="00CD44D6">
        <w:t xml:space="preserve"> descriptions of the witness statements they </w:t>
      </w:r>
      <w:r>
        <w:t xml:space="preserve">received </w:t>
      </w:r>
      <w:r w:rsidR="00CD44D6">
        <w:t>were somehow incomplete</w:t>
      </w:r>
      <w:r w:rsidR="00063C6B">
        <w:t xml:space="preserve"> (</w:t>
      </w:r>
      <w:r w:rsidR="00526F47">
        <w:t>except in the use of</w:t>
      </w:r>
      <w:r w:rsidR="002B0B80">
        <w:t xml:space="preserve"> pseudonyms</w:t>
      </w:r>
      <w:r w:rsidR="00526F47">
        <w:t xml:space="preserve">), </w:t>
      </w:r>
      <w:r w:rsidR="00CA2C17">
        <w:t xml:space="preserve">despite </w:t>
      </w:r>
      <w:r w:rsidRPr="00CA2C17" w:rsidR="00CA2C17">
        <w:t>SCAIP invi</w:t>
      </w:r>
      <w:r w:rsidR="00CA2C17">
        <w:t>ting</w:t>
      </w:r>
      <w:r w:rsidRPr="00CA2C17" w:rsidR="00CA2C17">
        <w:t xml:space="preserve"> </w:t>
      </w:r>
      <w:r w:rsidR="00526F47">
        <w:t>Nofal and Ayach</w:t>
      </w:r>
      <w:r w:rsidR="00CA2C17">
        <w:t xml:space="preserve"> </w:t>
      </w:r>
      <w:r w:rsidRPr="00CA2C17" w:rsidR="00CA2C17">
        <w:t xml:space="preserve">to request further information or clarification </w:t>
      </w:r>
      <w:r w:rsidR="00CA2C17">
        <w:t xml:space="preserve">prior to the hearing. </w:t>
      </w:r>
      <w:r w:rsidR="00D97A8D">
        <w:t xml:space="preserve"> </w:t>
      </w:r>
      <w:r w:rsidR="00CA2C17">
        <w:t>Due process requires an accused student have</w:t>
      </w:r>
      <w:r>
        <w:t xml:space="preserve"> access to all evidence based on which </w:t>
      </w:r>
      <w:r w:rsidR="00CA2C17">
        <w:t>he is</w:t>
      </w:r>
      <w:r w:rsidR="00D97A8D">
        <w:t> </w:t>
      </w:r>
      <w:r w:rsidR="00CD44D6">
        <w:t xml:space="preserve">facing </w:t>
      </w:r>
      <w:r w:rsidR="00CA2C17">
        <w:t xml:space="preserve">discipline because </w:t>
      </w:r>
      <w:r w:rsidRPr="008B527A">
        <w:t>“</w:t>
      </w:r>
      <w:r w:rsidR="00E504A6">
        <w:t> </w:t>
      </w:r>
      <w:r>
        <w:t>‘</w:t>
      </w:r>
      <w:r w:rsidRPr="008B527A">
        <w:t>the student [must] first be told what</w:t>
      </w:r>
      <w:r w:rsidR="00D97A8D">
        <w:t> </w:t>
      </w:r>
      <w:r w:rsidRPr="008B527A">
        <w:t>he is accused of doing and what the basis of the accusation is</w:t>
      </w:r>
      <w:r>
        <w:t>’</w:t>
      </w:r>
      <w:r w:rsidR="00E504A6">
        <w:t> </w:t>
      </w:r>
      <w:r w:rsidRPr="008B527A">
        <w:t>”</w:t>
      </w:r>
      <w:r>
        <w:t xml:space="preserve"> in order to </w:t>
      </w:r>
      <w:r w:rsidR="002B0B80">
        <w:t xml:space="preserve">be </w:t>
      </w:r>
      <w:r>
        <w:t>“</w:t>
      </w:r>
      <w:r w:rsidR="00E504A6">
        <w:t> </w:t>
      </w:r>
      <w:r>
        <w:t>‘</w:t>
      </w:r>
      <w:r w:rsidRPr="008B527A">
        <w:t>given an opportunity to explain his version of</w:t>
      </w:r>
      <w:r w:rsidR="00D97A8D">
        <w:t> </w:t>
      </w:r>
      <w:r w:rsidRPr="008B527A">
        <w:t>the facts</w:t>
      </w:r>
      <w:r>
        <w:t>.’</w:t>
      </w:r>
      <w:r w:rsidR="00E504A6">
        <w:t> </w:t>
      </w:r>
      <w:r>
        <w:t>”</w:t>
      </w:r>
      <w:r w:rsidRPr="008B527A">
        <w:t xml:space="preserve"> </w:t>
      </w:r>
      <w:r w:rsidR="00E504A6">
        <w:t xml:space="preserve"> </w:t>
      </w:r>
      <w:r>
        <w:t>(</w:t>
      </w:r>
      <w:r w:rsidR="006E16E1">
        <w:rPr>
          <w:i/>
          <w:iCs/>
        </w:rPr>
        <w:t>University of Southern California</w:t>
      </w:r>
      <w:r w:rsidRPr="008B527A" w:rsidR="00063C6B">
        <w:rPr>
          <w:i/>
          <w:iCs/>
        </w:rPr>
        <w:t>, supra</w:t>
      </w:r>
      <w:r w:rsidR="00063C6B">
        <w:t>, 246 Cal.App.4th at p. 246</w:t>
      </w:r>
      <w:r w:rsidR="00723B0F">
        <w:t xml:space="preserve">, </w:t>
      </w:r>
      <w:r>
        <w:t xml:space="preserve">quoting </w:t>
      </w:r>
      <w:r w:rsidRPr="008B527A">
        <w:rPr>
          <w:i/>
          <w:iCs/>
        </w:rPr>
        <w:t>Goss, supra</w:t>
      </w:r>
      <w:r w:rsidRPr="008B527A">
        <w:t>, 419 U.S. at p. 582</w:t>
      </w:r>
      <w:r>
        <w:t>.)  Nofal and Ayach do not and cannot claim they were unclear as to what the accusation</w:t>
      </w:r>
      <w:r w:rsidR="00CA2C17">
        <w:t>s</w:t>
      </w:r>
      <w:r>
        <w:t xml:space="preserve"> against them were</w:t>
      </w:r>
      <w:r w:rsidR="00CA2C17">
        <w:t>—</w:t>
      </w:r>
      <w:r w:rsidR="004E1956">
        <w:t>particularly</w:t>
      </w:r>
      <w:r w:rsidR="00CA2C17">
        <w:t xml:space="preserve"> when they never sought any clarification in this regard.</w:t>
      </w:r>
    </w:p>
    <w:p w:rsidR="00102925" w:rsidP="009626E7" w14:paraId="006B4F77" w14:textId="4BAEEAD8">
      <w:pPr>
        <w:ind w:firstLine="720"/>
      </w:pPr>
      <w:r>
        <w:t>Finally,</w:t>
      </w:r>
      <w:r w:rsidR="0096658C">
        <w:t xml:space="preserve"> Ayach</w:t>
      </w:r>
      <w:r>
        <w:t>’s</w:t>
      </w:r>
      <w:r w:rsidR="0096658C">
        <w:t xml:space="preserve"> and Nofal</w:t>
      </w:r>
      <w:r>
        <w:t xml:space="preserve">’s </w:t>
      </w:r>
      <w:r w:rsidR="009626E7">
        <w:t>statements reflect</w:t>
      </w:r>
      <w:r w:rsidR="0096658C">
        <w:t xml:space="preserve"> that they knew the identities of some of the </w:t>
      </w:r>
      <w:r w:rsidR="0022091C">
        <w:t>witnesses</w:t>
      </w:r>
      <w:r w:rsidR="00AB1656">
        <w:t>,</w:t>
      </w:r>
      <w:r w:rsidR="0022091C">
        <w:t xml:space="preserve"> yet</w:t>
      </w:r>
      <w:r w:rsidR="0096658C">
        <w:t xml:space="preserve"> </w:t>
      </w:r>
      <w:r w:rsidRPr="002149E8" w:rsidR="002149E8">
        <w:t>nothing in the</w:t>
      </w:r>
      <w:r w:rsidR="00D97A8D">
        <w:t xml:space="preserve"> </w:t>
      </w:r>
      <w:r w:rsidRPr="002149E8" w:rsidR="002149E8">
        <w:t>record suggests either attempted to call these individuals to testify nor do they even here contend that any such individual refused to appear</w:t>
      </w:r>
      <w:r w:rsidRPr="00C9542F" w:rsidR="009E1BFE">
        <w:t>.</w:t>
      </w:r>
      <w:r>
        <w:rPr>
          <w:rStyle w:val="FootnoteReference"/>
        </w:rPr>
        <w:footnoteReference w:id="7"/>
      </w:r>
      <w:r w:rsidR="0096658C">
        <w:t xml:space="preserve">  </w:t>
      </w:r>
      <w:r>
        <w:t>Nor did Ayach or Nofal request the names of</w:t>
      </w:r>
      <w:r w:rsidR="00D97A8D">
        <w:t> </w:t>
      </w:r>
      <w:r>
        <w:t>any of the witnesses they did not know</w:t>
      </w:r>
      <w:r w:rsidR="00CD44D6">
        <w:t xml:space="preserve">, </w:t>
      </w:r>
      <w:r w:rsidR="00CA2C17">
        <w:t>either in response to</w:t>
      </w:r>
      <w:r w:rsidR="00D97A8D">
        <w:t> </w:t>
      </w:r>
      <w:r w:rsidR="00CA2C17">
        <w:t>SCAIP’s prompt that Nofal and Ayach could request further information or clarification prior to the hearing, or at any other time before or during the hearing</w:t>
      </w:r>
      <w:r>
        <w:t>.</w:t>
      </w:r>
      <w:r>
        <w:rPr>
          <w:rStyle w:val="FootnoteReference"/>
        </w:rPr>
        <w:footnoteReference w:id="8"/>
      </w:r>
      <w:r>
        <w:t xml:space="preserve">  </w:t>
      </w:r>
      <w:r w:rsidR="009626E7">
        <w:t xml:space="preserve">This </w:t>
      </w:r>
      <w:r w:rsidR="0096658C">
        <w:t>underscores tha</w:t>
      </w:r>
      <w:r w:rsidR="00CA2C17">
        <w:t>t</w:t>
      </w:r>
      <w:r w:rsidR="0096658C">
        <w:t xml:space="preserve"> not speaking with or cross-examining these individuals did not meaningfully limit Nofal</w:t>
      </w:r>
      <w:r w:rsidR="002B0B80">
        <w:t>’s</w:t>
      </w:r>
      <w:r w:rsidR="0096658C">
        <w:t xml:space="preserve"> and Aya</w:t>
      </w:r>
      <w:r w:rsidR="00DA19A0">
        <w:t>ch</w:t>
      </w:r>
      <w:r w:rsidR="0096658C">
        <w:t>’s abilit</w:t>
      </w:r>
      <w:r w:rsidR="002B0B80">
        <w:t xml:space="preserve">y </w:t>
      </w:r>
      <w:r w:rsidR="0096658C">
        <w:t>to present their defenses and put the</w:t>
      </w:r>
      <w:r w:rsidR="00063C6B">
        <w:t xml:space="preserve"> </w:t>
      </w:r>
      <w:r w:rsidR="0096658C">
        <w:t>challenged conduct in context</w:t>
      </w:r>
      <w:r>
        <w:t xml:space="preserve"> during the committee hearing</w:t>
      </w:r>
      <w:r w:rsidR="0096658C">
        <w:t>.</w:t>
      </w:r>
      <w:r>
        <w:rPr>
          <w:rStyle w:val="FootnoteReference"/>
        </w:rPr>
        <w:footnoteReference w:id="9"/>
      </w:r>
    </w:p>
    <w:p w:rsidR="002B0B80" w:rsidP="002B0B80" w14:paraId="1EB3D220" w14:textId="69555A5E">
      <w:pPr>
        <w:ind w:firstLine="720"/>
      </w:pPr>
      <w:r>
        <w:t>For these reasons, we conclude that the hearing</w:t>
      </w:r>
      <w:r w:rsidR="003145F3">
        <w:t>s</w:t>
      </w:r>
      <w:r>
        <w:t xml:space="preserve"> before the</w:t>
      </w:r>
      <w:r w:rsidR="003145F3">
        <w:t> </w:t>
      </w:r>
      <w:r>
        <w:t>committee afforded Nofal and Ayach due process, and find</w:t>
      </w:r>
      <w:r w:rsidR="00D97A8D">
        <w:t> </w:t>
      </w:r>
      <w:r>
        <w:t>no</w:t>
      </w:r>
      <w:r w:rsidR="00D97A8D">
        <w:t> </w:t>
      </w:r>
      <w:r>
        <w:t>reversible error in the lower court’s denial of their writ petition challenging that hearing.</w:t>
      </w:r>
    </w:p>
    <w:p w:rsidR="004807C5" w:rsidRPr="002B0B80" w:rsidP="002B0B80" w14:paraId="6FA7EBDE" w14:textId="0D700D1D">
      <w:pPr>
        <w:pStyle w:val="Heading2"/>
        <w:spacing w:before="200" w:line="240" w:lineRule="auto"/>
      </w:pPr>
      <w:r w:rsidRPr="002B0B80">
        <w:t>DISPOSITION</w:t>
      </w:r>
    </w:p>
    <w:p w:rsidR="004807C5" w:rsidP="00AD34D6" w14:paraId="1810982A" w14:textId="737EBDF2">
      <w:pPr>
        <w:ind w:firstLine="720"/>
      </w:pPr>
      <w:r>
        <w:t>The judgment is affirmed.  Respondent</w:t>
      </w:r>
      <w:r w:rsidR="00063C6B">
        <w:t>s</w:t>
      </w:r>
      <w:r>
        <w:t xml:space="preserve"> </w:t>
      </w:r>
      <w:r w:rsidR="004E1956">
        <w:t xml:space="preserve">are awarded their </w:t>
      </w:r>
      <w:r>
        <w:t>costs on appeal.</w:t>
      </w:r>
    </w:p>
    <w:p w:rsidR="004807C5" w:rsidRPr="004807C5" w:rsidP="00E504A6" w14:paraId="4FAA481E" w14:textId="5B2020C5">
      <w:pPr>
        <w:spacing w:before="80" w:line="240" w:lineRule="auto"/>
        <w:rPr>
          <w:u w:val="single"/>
        </w:rPr>
      </w:pPr>
      <w:r w:rsidRPr="004807C5">
        <w:tab/>
      </w:r>
    </w:p>
    <w:p w:rsidR="004807C5" w:rsidRPr="004807C5" w:rsidP="00CB3299" w14:paraId="529D7DF7" w14:textId="77777777">
      <w:pPr>
        <w:spacing w:line="240" w:lineRule="auto"/>
      </w:pPr>
    </w:p>
    <w:p w:rsidR="004E1956" w:rsidRPr="004807C5" w:rsidP="00CB3299" w14:paraId="0D2BFFE5" w14:textId="77777777">
      <w:pPr>
        <w:spacing w:line="240" w:lineRule="auto"/>
      </w:pPr>
    </w:p>
    <w:p w:rsidR="004807C5" w:rsidP="00CB3299" w14:paraId="495FDC50" w14:textId="77777777">
      <w:pPr>
        <w:spacing w:line="240" w:lineRule="auto"/>
      </w:pPr>
    </w:p>
    <w:p w:rsidR="00FE62D9" w:rsidRPr="004807C5" w:rsidP="00FE62D9" w14:paraId="60E09635" w14:textId="77777777">
      <w:pPr>
        <w:spacing w:line="120" w:lineRule="auto"/>
      </w:pPr>
    </w:p>
    <w:p w:rsidR="004807C5" w:rsidRPr="004807C5" w:rsidP="00D97A8D" w14:paraId="7D93CFC9" w14:textId="75CEDA67">
      <w:pPr>
        <w:spacing w:line="240" w:lineRule="auto"/>
        <w:ind w:left="5040"/>
      </w:pPr>
      <w:r>
        <w:t>R</w:t>
      </w:r>
      <w:r w:rsidRPr="004807C5">
        <w:t>OTHSCHILD, P. J.</w:t>
      </w:r>
    </w:p>
    <w:p w:rsidR="003A5FD4" w:rsidP="004807C5" w14:paraId="71613235" w14:textId="61E190ED">
      <w:r>
        <w:t>We concur:</w:t>
      </w:r>
    </w:p>
    <w:p w:rsidR="00582617" w:rsidP="00CB3299" w14:paraId="2581B85B" w14:textId="7C8A2FE1">
      <w:pPr>
        <w:spacing w:line="240" w:lineRule="auto"/>
      </w:pPr>
    </w:p>
    <w:p w:rsidR="00582617" w:rsidP="00CB3299" w14:paraId="5C5BCD1D" w14:textId="48D8AD79">
      <w:pPr>
        <w:spacing w:line="240" w:lineRule="auto"/>
      </w:pPr>
    </w:p>
    <w:p w:rsidR="004E1956" w:rsidP="00CB3299" w14:paraId="5F75FD91" w14:textId="77777777">
      <w:pPr>
        <w:spacing w:line="240" w:lineRule="auto"/>
      </w:pPr>
    </w:p>
    <w:p w:rsidR="00FE62D9" w:rsidRPr="004807C5" w:rsidP="00FE62D9" w14:paraId="45D85B57" w14:textId="77777777">
      <w:pPr>
        <w:spacing w:line="120" w:lineRule="auto"/>
      </w:pPr>
    </w:p>
    <w:p w:rsidR="00582617" w:rsidP="00CB3299" w14:paraId="7AB7811C" w14:textId="7A2B9AC9">
      <w:pPr>
        <w:spacing w:line="240" w:lineRule="auto"/>
      </w:pPr>
      <w:r>
        <w:tab/>
      </w:r>
      <w:r w:rsidR="00CB3299">
        <w:tab/>
      </w:r>
      <w:r>
        <w:tab/>
      </w:r>
      <w:r w:rsidR="004E1956">
        <w:t>CHANEY</w:t>
      </w:r>
      <w:r>
        <w:t>, J.</w:t>
      </w:r>
    </w:p>
    <w:p w:rsidR="00582617" w:rsidP="00CB3299" w14:paraId="0EEFC075" w14:textId="77777777">
      <w:pPr>
        <w:spacing w:line="240" w:lineRule="auto"/>
      </w:pPr>
    </w:p>
    <w:p w:rsidR="004807C5" w:rsidP="00CB3299" w14:paraId="22F2C6A1" w14:textId="1ED578A6">
      <w:pPr>
        <w:spacing w:line="240" w:lineRule="auto"/>
      </w:pPr>
    </w:p>
    <w:p w:rsidR="004E1956" w:rsidP="00CB3299" w14:paraId="7DF461A9" w14:textId="77777777">
      <w:pPr>
        <w:spacing w:line="240" w:lineRule="auto"/>
      </w:pPr>
    </w:p>
    <w:p w:rsidR="00FE62D9" w:rsidRPr="004807C5" w:rsidP="00FE62D9" w14:paraId="0DD66AE0" w14:textId="77777777">
      <w:pPr>
        <w:spacing w:line="120" w:lineRule="auto"/>
      </w:pPr>
    </w:p>
    <w:p w:rsidR="009A3270" w:rsidP="00CB3299" w14:paraId="6AB884D1" w14:textId="77777777">
      <w:pPr>
        <w:spacing w:line="240" w:lineRule="auto"/>
        <w:sectPr w:rsidSect="006A0815">
          <w:footerReference w:type="even" r:id="rId9"/>
          <w:footerReference w:type="default" r:id="rId10"/>
          <w:pgSz w:w="12240" w:h="15840"/>
          <w:pgMar w:top="2160" w:right="2160" w:bottom="2160" w:left="2160" w:header="720" w:footer="720" w:gutter="0"/>
          <w:pgNumType w:start="1"/>
          <w:cols w:space="720"/>
          <w:titlePg/>
          <w:docGrid w:linePitch="360"/>
        </w:sectPr>
      </w:pPr>
      <w:r>
        <w:tab/>
      </w:r>
      <w:r>
        <w:tab/>
      </w:r>
      <w:r>
        <w:tab/>
        <w:t>WEINGART, J.</w:t>
      </w:r>
    </w:p>
    <w:p w:rsidR="009A3270" w:rsidRPr="009A3270" w:rsidP="009A3270" w14:paraId="1C6E4F51" w14:textId="77777777">
      <w:pPr>
        <w:adjustRightInd/>
        <w:spacing w:line="240" w:lineRule="auto"/>
        <w:textAlignment w:val="auto"/>
        <w:rPr>
          <w:rFonts w:eastAsia="Calibri"/>
          <w:sz w:val="20"/>
          <w:szCs w:val="20"/>
        </w:rPr>
      </w:pPr>
      <w:r w:rsidRPr="009A3270">
        <w:rPr>
          <w:rFonts w:eastAsia="Calibri"/>
          <w:sz w:val="20"/>
          <w:szCs w:val="20"/>
        </w:rPr>
        <w:t>Filed 5/28/24</w:t>
      </w:r>
    </w:p>
    <w:p w:rsidR="009A3270" w:rsidRPr="009A3270" w:rsidP="009A3270" w14:paraId="4EE58ACD" w14:textId="77777777">
      <w:pPr>
        <w:adjustRightInd/>
        <w:spacing w:line="240" w:lineRule="auto"/>
        <w:jc w:val="center"/>
        <w:textAlignment w:val="auto"/>
        <w:rPr>
          <w:rFonts w:eastAsia="Calibri"/>
          <w:b/>
          <w:bCs/>
        </w:rPr>
      </w:pPr>
      <w:r w:rsidRPr="009A3270">
        <w:rPr>
          <w:rFonts w:eastAsia="Calibri"/>
          <w:b/>
          <w:bCs/>
        </w:rPr>
        <w:t>CERTIFIED FOR PUBLICATION</w:t>
      </w:r>
    </w:p>
    <w:p w:rsidR="009A3270" w:rsidRPr="009A3270" w:rsidP="009A3270" w14:paraId="570AB309" w14:textId="77777777">
      <w:pPr>
        <w:adjustRightInd/>
        <w:spacing w:line="192" w:lineRule="auto"/>
        <w:textAlignment w:val="auto"/>
        <w:rPr>
          <w:rFonts w:eastAsia="Calibri"/>
          <w:szCs w:val="26"/>
        </w:rPr>
      </w:pPr>
    </w:p>
    <w:p w:rsidR="009A3270" w:rsidRPr="009A3270" w:rsidP="009A3270" w14:paraId="508354EF" w14:textId="77777777">
      <w:pPr>
        <w:adjustRightInd/>
        <w:spacing w:line="240" w:lineRule="auto"/>
        <w:jc w:val="center"/>
        <w:textAlignment w:val="auto"/>
        <w:rPr>
          <w:rFonts w:eastAsia="Calibri"/>
        </w:rPr>
      </w:pPr>
      <w:r w:rsidRPr="009A3270">
        <w:rPr>
          <w:rFonts w:eastAsia="Calibri"/>
        </w:rPr>
        <w:t>IN THE COURT OF APPEAL OF THE STATE OF CALIFORNIA</w:t>
      </w:r>
    </w:p>
    <w:p w:rsidR="009A3270" w:rsidRPr="009A3270" w:rsidP="009A3270" w14:paraId="595E278B" w14:textId="77777777">
      <w:pPr>
        <w:adjustRightInd/>
        <w:spacing w:line="192" w:lineRule="auto"/>
        <w:textAlignment w:val="auto"/>
        <w:rPr>
          <w:rFonts w:eastAsia="Calibri"/>
          <w:szCs w:val="26"/>
        </w:rPr>
      </w:pPr>
    </w:p>
    <w:p w:rsidR="009A3270" w:rsidRPr="009A3270" w:rsidP="009A3270" w14:paraId="0C1FEDB8" w14:textId="77777777">
      <w:pPr>
        <w:adjustRightInd/>
        <w:spacing w:line="240" w:lineRule="auto"/>
        <w:jc w:val="center"/>
        <w:textAlignment w:val="auto"/>
        <w:rPr>
          <w:rFonts w:eastAsia="Calibri"/>
        </w:rPr>
      </w:pPr>
      <w:r w:rsidRPr="009A3270">
        <w:rPr>
          <w:rFonts w:eastAsia="Calibri"/>
        </w:rPr>
        <w:t>SECOND APPELLATE DISTRICT</w:t>
      </w:r>
    </w:p>
    <w:p w:rsidR="009A3270" w:rsidRPr="009A3270" w:rsidP="009A3270" w14:paraId="3FEF66BD" w14:textId="77777777">
      <w:pPr>
        <w:adjustRightInd/>
        <w:spacing w:line="192" w:lineRule="auto"/>
        <w:textAlignment w:val="auto"/>
        <w:rPr>
          <w:rFonts w:eastAsia="Calibri"/>
          <w:szCs w:val="26"/>
        </w:rPr>
      </w:pPr>
    </w:p>
    <w:p w:rsidR="009A3270" w:rsidRPr="009A3270" w:rsidP="009A3270" w14:paraId="5E4531A8" w14:textId="77777777">
      <w:pPr>
        <w:adjustRightInd/>
        <w:spacing w:line="240" w:lineRule="auto"/>
        <w:jc w:val="center"/>
        <w:textAlignment w:val="auto"/>
        <w:rPr>
          <w:rFonts w:eastAsia="Calibri"/>
        </w:rPr>
      </w:pPr>
      <w:r w:rsidRPr="009A3270">
        <w:rPr>
          <w:rFonts w:eastAsia="Calibri"/>
        </w:rPr>
        <w:t>DIVISION ONE</w:t>
      </w:r>
    </w:p>
    <w:p w:rsidR="009A3270" w:rsidRPr="009A3270" w:rsidP="009A3270" w14:paraId="1F8EE16F" w14:textId="77777777">
      <w:pPr>
        <w:adjustRightInd/>
        <w:jc w:val="center"/>
        <w:textAlignment w:val="auto"/>
        <w:rPr>
          <w:rFonts w:eastAsia="Calibri"/>
          <w:szCs w:val="26"/>
        </w:rPr>
      </w:pPr>
    </w:p>
    <w:tbl>
      <w:tblPr>
        <w:tblW w:w="9090" w:type="dxa"/>
        <w:tblLayout w:type="fixed"/>
        <w:tblLook w:val="0000"/>
      </w:tblPr>
      <w:tblGrid>
        <w:gridCol w:w="4698"/>
        <w:gridCol w:w="4392"/>
      </w:tblGrid>
      <w:tr w14:paraId="295D8FC3" w14:textId="77777777" w:rsidTr="00E57E06">
        <w:tblPrEx>
          <w:tblW w:w="9090" w:type="dxa"/>
          <w:tblLayout w:type="fixed"/>
          <w:tblLook w:val="0000"/>
        </w:tblPrEx>
        <w:tc>
          <w:tcPr>
            <w:tcW w:w="4698" w:type="dxa"/>
            <w:tcBorders>
              <w:bottom w:val="single" w:sz="4" w:space="0" w:color="auto"/>
              <w:right w:val="single" w:sz="4" w:space="0" w:color="auto"/>
            </w:tcBorders>
            <w:shd w:val="clear" w:color="auto" w:fill="auto"/>
          </w:tcPr>
          <w:p w:rsidR="009A3270" w:rsidRPr="009A3270" w:rsidP="009A3270" w14:paraId="476B2C47" w14:textId="77777777">
            <w:pPr>
              <w:adjustRightInd/>
              <w:spacing w:line="240" w:lineRule="auto"/>
              <w:textAlignment w:val="auto"/>
              <w:rPr>
                <w:rFonts w:eastAsia="Calibri"/>
                <w:szCs w:val="26"/>
              </w:rPr>
            </w:pPr>
            <w:r w:rsidRPr="009A3270">
              <w:rPr>
                <w:rFonts w:eastAsia="Calibri"/>
                <w:szCs w:val="26"/>
              </w:rPr>
              <w:t>CHAD AYACH et al.,</w:t>
            </w:r>
          </w:p>
          <w:p w:rsidR="009A3270" w:rsidRPr="009A3270" w:rsidP="009A3270" w14:paraId="758E682C" w14:textId="77777777">
            <w:pPr>
              <w:adjustRightInd/>
              <w:spacing w:line="240" w:lineRule="auto"/>
              <w:textAlignment w:val="auto"/>
              <w:rPr>
                <w:rFonts w:eastAsia="Calibri"/>
                <w:szCs w:val="26"/>
              </w:rPr>
            </w:pPr>
          </w:p>
          <w:p w:rsidR="009A3270" w:rsidRPr="009A3270" w:rsidP="009A3270" w14:paraId="733F4BA7" w14:textId="77777777">
            <w:pPr>
              <w:adjustRightInd/>
              <w:spacing w:line="240" w:lineRule="auto"/>
              <w:textAlignment w:val="auto"/>
              <w:rPr>
                <w:rFonts w:eastAsia="Calibri"/>
                <w:szCs w:val="26"/>
              </w:rPr>
            </w:pPr>
            <w:r w:rsidRPr="009A3270">
              <w:rPr>
                <w:rFonts w:eastAsia="Calibri"/>
                <w:szCs w:val="26"/>
              </w:rPr>
              <w:tab/>
              <w:t>Plaintiffs and Appellants,</w:t>
            </w:r>
          </w:p>
          <w:p w:rsidR="009A3270" w:rsidRPr="009A3270" w:rsidP="009A3270" w14:paraId="5E46469E" w14:textId="77777777">
            <w:pPr>
              <w:adjustRightInd/>
              <w:spacing w:line="240" w:lineRule="auto"/>
              <w:textAlignment w:val="auto"/>
              <w:rPr>
                <w:rFonts w:eastAsia="Calibri"/>
                <w:szCs w:val="26"/>
              </w:rPr>
            </w:pPr>
          </w:p>
          <w:p w:rsidR="009A3270" w:rsidRPr="009A3270" w:rsidP="009A3270" w14:paraId="49100C77" w14:textId="77777777">
            <w:pPr>
              <w:adjustRightInd/>
              <w:spacing w:line="240" w:lineRule="auto"/>
              <w:textAlignment w:val="auto"/>
              <w:rPr>
                <w:rFonts w:eastAsia="Calibri"/>
                <w:szCs w:val="26"/>
              </w:rPr>
            </w:pPr>
            <w:r w:rsidRPr="009A3270">
              <w:rPr>
                <w:rFonts w:eastAsia="Calibri"/>
                <w:szCs w:val="26"/>
              </w:rPr>
              <w:tab/>
              <w:t>v.</w:t>
            </w:r>
          </w:p>
          <w:p w:rsidR="009A3270" w:rsidRPr="009A3270" w:rsidP="009A3270" w14:paraId="07BB0EBF" w14:textId="77777777">
            <w:pPr>
              <w:adjustRightInd/>
              <w:spacing w:line="240" w:lineRule="auto"/>
              <w:textAlignment w:val="auto"/>
              <w:rPr>
                <w:rFonts w:eastAsia="Calibri"/>
                <w:szCs w:val="26"/>
              </w:rPr>
            </w:pPr>
          </w:p>
          <w:p w:rsidR="009A3270" w:rsidRPr="009A3270" w:rsidP="009A3270" w14:paraId="2E315CE0" w14:textId="77777777">
            <w:pPr>
              <w:adjustRightInd/>
              <w:spacing w:line="240" w:lineRule="auto"/>
              <w:textAlignment w:val="auto"/>
              <w:rPr>
                <w:rFonts w:eastAsia="Calibri"/>
                <w:szCs w:val="26"/>
              </w:rPr>
            </w:pPr>
            <w:r w:rsidRPr="009A3270">
              <w:rPr>
                <w:rFonts w:eastAsia="Calibri"/>
                <w:szCs w:val="26"/>
              </w:rPr>
              <w:t>THE REGENTS OF THE UNIVERSITY OF CALIFORNIA et al.,</w:t>
            </w:r>
          </w:p>
          <w:p w:rsidR="009A3270" w:rsidRPr="009A3270" w:rsidP="009A3270" w14:paraId="36C4CCA6" w14:textId="77777777">
            <w:pPr>
              <w:adjustRightInd/>
              <w:spacing w:line="240" w:lineRule="auto"/>
              <w:textAlignment w:val="auto"/>
              <w:rPr>
                <w:rFonts w:eastAsia="Calibri"/>
                <w:szCs w:val="26"/>
              </w:rPr>
            </w:pPr>
          </w:p>
          <w:p w:rsidR="009A3270" w:rsidRPr="009A3270" w:rsidP="009A3270" w14:paraId="36EBDCE3" w14:textId="77777777">
            <w:pPr>
              <w:adjustRightInd/>
              <w:spacing w:line="240" w:lineRule="auto"/>
              <w:textAlignment w:val="auto"/>
              <w:rPr>
                <w:rFonts w:eastAsia="Calibri"/>
                <w:szCs w:val="26"/>
              </w:rPr>
            </w:pPr>
            <w:r w:rsidRPr="009A3270">
              <w:rPr>
                <w:rFonts w:eastAsia="Calibri"/>
                <w:szCs w:val="26"/>
              </w:rPr>
              <w:tab/>
              <w:t>Defendants and Respondents.</w:t>
            </w:r>
          </w:p>
          <w:p w:rsidR="009A3270" w:rsidRPr="009A3270" w:rsidP="009A3270" w14:paraId="1185CF7A" w14:textId="77777777">
            <w:pPr>
              <w:adjustRightInd/>
              <w:spacing w:line="240" w:lineRule="auto"/>
              <w:textAlignment w:val="auto"/>
              <w:rPr>
                <w:rFonts w:eastAsia="Calibri"/>
                <w:sz w:val="28"/>
              </w:rPr>
            </w:pPr>
          </w:p>
        </w:tc>
        <w:tc>
          <w:tcPr>
            <w:tcW w:w="4392" w:type="dxa"/>
            <w:tcBorders>
              <w:left w:val="single" w:sz="4" w:space="0" w:color="auto"/>
            </w:tcBorders>
            <w:shd w:val="clear" w:color="auto" w:fill="auto"/>
          </w:tcPr>
          <w:p w:rsidR="009A3270" w:rsidRPr="009A3270" w:rsidP="009A3270" w14:paraId="55753B15" w14:textId="77777777">
            <w:pPr>
              <w:adjustRightInd/>
              <w:spacing w:line="240" w:lineRule="auto"/>
              <w:textAlignment w:val="auto"/>
              <w:rPr>
                <w:rFonts w:eastAsia="Calibri"/>
                <w:szCs w:val="26"/>
                <w:lang w:val="es-MX"/>
              </w:rPr>
            </w:pPr>
            <w:r w:rsidRPr="009A3270">
              <w:rPr>
                <w:rFonts w:eastAsia="Calibri"/>
                <w:szCs w:val="26"/>
              </w:rPr>
              <w:t xml:space="preserve">   </w:t>
            </w:r>
            <w:r w:rsidRPr="009A3270">
              <w:rPr>
                <w:rFonts w:eastAsia="Calibri"/>
                <w:szCs w:val="26"/>
                <w:lang w:val="es-MX"/>
              </w:rPr>
              <w:t>B325545</w:t>
            </w:r>
          </w:p>
          <w:p w:rsidR="009A3270" w:rsidRPr="009A3270" w:rsidP="009A3270" w14:paraId="0D688493" w14:textId="77777777">
            <w:pPr>
              <w:adjustRightInd/>
              <w:spacing w:line="240" w:lineRule="auto"/>
              <w:textAlignment w:val="auto"/>
              <w:rPr>
                <w:rFonts w:eastAsia="Calibri"/>
                <w:szCs w:val="26"/>
                <w:lang w:val="es-MX"/>
              </w:rPr>
            </w:pPr>
          </w:p>
          <w:p w:rsidR="009A3270" w:rsidRPr="009A3270" w:rsidP="009A3270" w14:paraId="7DB2BD1C" w14:textId="77777777">
            <w:pPr>
              <w:adjustRightInd/>
              <w:spacing w:line="240" w:lineRule="auto"/>
              <w:textAlignment w:val="auto"/>
              <w:rPr>
                <w:rFonts w:eastAsia="Calibri"/>
                <w:szCs w:val="26"/>
                <w:lang w:val="es-MX"/>
              </w:rPr>
            </w:pPr>
            <w:r w:rsidRPr="009A3270">
              <w:rPr>
                <w:rFonts w:eastAsia="Calibri"/>
                <w:szCs w:val="26"/>
                <w:lang w:val="es-MX"/>
              </w:rPr>
              <w:t xml:space="preserve">   (Los Angeles County</w:t>
            </w:r>
          </w:p>
          <w:p w:rsidR="009A3270" w:rsidRPr="009A3270" w:rsidP="009A3270" w14:paraId="4D0DE6D6" w14:textId="77777777">
            <w:pPr>
              <w:adjustRightInd/>
              <w:spacing w:line="240" w:lineRule="auto"/>
              <w:textAlignment w:val="auto"/>
              <w:rPr>
                <w:rFonts w:eastAsia="Calibri"/>
                <w:szCs w:val="26"/>
                <w:lang w:val="es-MX"/>
              </w:rPr>
            </w:pPr>
            <w:r w:rsidRPr="009A3270">
              <w:rPr>
                <w:rFonts w:eastAsia="Calibri"/>
                <w:szCs w:val="26"/>
                <w:lang w:val="es-MX"/>
              </w:rPr>
              <w:t xml:space="preserve">   Super. Ct. No. 21STCP01434)</w:t>
            </w:r>
          </w:p>
        </w:tc>
      </w:tr>
    </w:tbl>
    <w:p w:rsidR="009A3270" w:rsidRPr="009A3270" w:rsidP="009A3270" w14:paraId="0560F486" w14:textId="77777777">
      <w:pPr>
        <w:adjustRightInd/>
        <w:textAlignment w:val="auto"/>
        <w:rPr>
          <w:rFonts w:eastAsia="Calibri"/>
          <w:szCs w:val="26"/>
          <w:lang w:val="es-MX"/>
        </w:rPr>
      </w:pPr>
    </w:p>
    <w:p w:rsidR="009A3270" w:rsidRPr="009A3270" w:rsidP="009A3270" w14:paraId="7391737F" w14:textId="77777777">
      <w:pPr>
        <w:adjustRightInd/>
        <w:textAlignment w:val="auto"/>
        <w:rPr>
          <w:rFonts w:eastAsia="Calibri"/>
          <w:sz w:val="28"/>
          <w:lang w:val="es-MX"/>
        </w:rPr>
      </w:pPr>
    </w:p>
    <w:p w:rsidR="009A3270" w:rsidRPr="009A3270" w:rsidP="009A3270" w14:paraId="2E08BF88" w14:textId="77777777">
      <w:pPr>
        <w:adjustRightInd/>
        <w:textAlignment w:val="auto"/>
        <w:rPr>
          <w:rFonts w:eastAsia="Calibri"/>
          <w:szCs w:val="26"/>
        </w:rPr>
      </w:pPr>
      <w:r w:rsidRPr="009A3270">
        <w:rPr>
          <w:rFonts w:eastAsia="Calibri"/>
          <w:szCs w:val="26"/>
        </w:rPr>
        <w:t>THE COURT:</w:t>
      </w:r>
    </w:p>
    <w:p w:rsidR="009A3270" w:rsidRPr="009A3270" w:rsidP="009A3270" w14:paraId="20A88991" w14:textId="77777777">
      <w:pPr>
        <w:adjustRightInd/>
        <w:ind w:firstLine="720"/>
        <w:textAlignment w:val="auto"/>
        <w:rPr>
          <w:rFonts w:eastAsia="Calibri"/>
          <w:szCs w:val="26"/>
        </w:rPr>
      </w:pPr>
      <w:r w:rsidRPr="009A3270">
        <w:rPr>
          <w:rFonts w:eastAsia="Calibri"/>
          <w:szCs w:val="26"/>
        </w:rPr>
        <w:t>The opinion in the above-entitled matter filed on April 30, 2024 was not certified for publication in the Official Reports.  For good cause, it now appears that the opinion should be published in the Official Reports and it is so ordered.</w:t>
      </w:r>
    </w:p>
    <w:p w:rsidR="009A3270" w:rsidRPr="009A3270" w:rsidP="009A3270" w14:paraId="7CB24C40" w14:textId="77777777">
      <w:pPr>
        <w:adjustRightInd/>
        <w:ind w:firstLine="720"/>
        <w:textAlignment w:val="auto"/>
        <w:rPr>
          <w:rFonts w:eastAsia="Calibri"/>
          <w:szCs w:val="26"/>
        </w:rPr>
      </w:pPr>
    </w:p>
    <w:p w:rsidR="009A3270" w:rsidRPr="009A3270" w:rsidP="009A3270" w14:paraId="5F242584" w14:textId="77777777">
      <w:pPr>
        <w:adjustRightInd/>
        <w:ind w:firstLine="720"/>
        <w:textAlignment w:val="auto"/>
        <w:rPr>
          <w:rFonts w:eastAsia="Calibri"/>
          <w:szCs w:val="26"/>
        </w:rPr>
      </w:pPr>
    </w:p>
    <w:p w:rsidR="009A3270" w:rsidRPr="009A3270" w:rsidP="009A3270" w14:paraId="08C012F2" w14:textId="77777777">
      <w:pPr>
        <w:adjustRightInd/>
        <w:ind w:firstLine="720"/>
        <w:textAlignment w:val="auto"/>
        <w:rPr>
          <w:rFonts w:eastAsia="Calibri"/>
          <w:szCs w:val="26"/>
        </w:rPr>
      </w:pPr>
    </w:p>
    <w:p w:rsidR="009A3270" w:rsidRPr="009A3270" w:rsidP="009A3270" w14:paraId="4BA38729" w14:textId="77777777">
      <w:pPr>
        <w:adjustRightInd/>
        <w:spacing w:line="240" w:lineRule="auto"/>
        <w:textAlignment w:val="auto"/>
        <w:rPr>
          <w:rFonts w:eastAsia="Calibri"/>
          <w:szCs w:val="26"/>
        </w:rPr>
      </w:pPr>
      <w:r w:rsidRPr="009A3270">
        <w:rPr>
          <w:rFonts w:eastAsia="Calibri"/>
          <w:szCs w:val="26"/>
        </w:rPr>
        <w:t>________________________________________________________________</w:t>
      </w:r>
    </w:p>
    <w:p w:rsidR="009A3270" w:rsidRPr="009A3270" w:rsidP="009A3270" w14:paraId="5B85010A" w14:textId="77777777">
      <w:pPr>
        <w:adjustRightInd/>
        <w:spacing w:line="240" w:lineRule="auto"/>
        <w:textAlignment w:val="auto"/>
        <w:rPr>
          <w:rFonts w:eastAsia="Calibri"/>
          <w:szCs w:val="26"/>
        </w:rPr>
      </w:pPr>
      <w:r w:rsidRPr="009A3270">
        <w:rPr>
          <w:rFonts w:eastAsia="Calibri"/>
          <w:szCs w:val="26"/>
        </w:rPr>
        <w:t xml:space="preserve">  ROTHSCHILD, P. J.</w:t>
      </w:r>
      <w:r w:rsidRPr="009A3270">
        <w:rPr>
          <w:rFonts w:eastAsia="Calibri"/>
          <w:szCs w:val="26"/>
        </w:rPr>
        <w:tab/>
        <w:t xml:space="preserve">              CHANEY, J.</w:t>
      </w:r>
      <w:r w:rsidRPr="009A3270">
        <w:rPr>
          <w:rFonts w:eastAsia="Calibri"/>
          <w:szCs w:val="26"/>
        </w:rPr>
        <w:tab/>
        <w:t xml:space="preserve">         WEINGART, J.</w:t>
      </w:r>
    </w:p>
    <w:p w:rsidR="004E1956" w:rsidRPr="004807C5" w:rsidP="00CB3299" w14:paraId="579CF23A" w14:textId="75DE114B">
      <w:pPr>
        <w:spacing w:line="240" w:lineRule="auto"/>
      </w:pPr>
    </w:p>
    <w:sectPr w:rsidSect="002A6662">
      <w:footerReference w:type="even" r:id="rId11"/>
      <w:footerReference w:type="default" r:id="rId12"/>
      <w:footerReference w:type="first" r:id="rId13"/>
      <w:pgSz w:w="12240" w:h="15840" w:code="1"/>
      <w:pgMar w:top="1872" w:right="1620" w:bottom="810" w:left="2160"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FCC" w:rsidP="00D84373" w14:paraId="504E1431"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D26321">
      <w:rPr>
        <w:rStyle w:val="PageNumber"/>
      </w:rPr>
      <w:fldChar w:fldCharType="separate"/>
    </w:r>
    <w:r>
      <w:rPr>
        <w:rStyle w:val="PageNumber"/>
      </w:rPr>
      <w:fldChar w:fldCharType="end"/>
    </w:r>
  </w:p>
  <w:p w:rsidR="00E56FCC" w14:paraId="5E6971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FCC" w:rsidP="00D84373" w14:paraId="08FDA88C" w14:textId="0C70BE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2344">
      <w:rPr>
        <w:rStyle w:val="PageNumber"/>
        <w:noProof/>
      </w:rPr>
      <w:t>3</w:t>
    </w:r>
    <w:r>
      <w:rPr>
        <w:rStyle w:val="PageNumber"/>
      </w:rPr>
      <w:fldChar w:fldCharType="end"/>
    </w:r>
  </w:p>
  <w:p w:rsidR="00E56FCC" w14:paraId="0637BC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151A" w:rsidP="00B27E96" w14:paraId="1885D1F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151A" w14:paraId="60D5022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151A" w:rsidP="00B27E96" w14:paraId="137A4E6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B151A" w:rsidRPr="0068227E" w:rsidP="007323B6" w14:paraId="561DB6E7" w14:textId="77777777">
    <w:pPr>
      <w:pStyle w:val="Foo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151A" w:rsidRPr="00947CE5" w:rsidP="00947CE5" w14:paraId="60C0A2BF" w14:textId="77777777">
    <w:pPr>
      <w:pStyle w:val="Footer"/>
      <w:tabs>
        <w:tab w:val="right" w:pos="810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0815" w:rsidP="00310DAD" w14:paraId="495BC5A5" w14:textId="77777777">
      <w:pPr>
        <w:spacing w:line="240" w:lineRule="auto"/>
      </w:pPr>
      <w:r>
        <w:separator/>
      </w:r>
    </w:p>
  </w:footnote>
  <w:footnote w:type="continuationSeparator" w:id="1">
    <w:p w:rsidR="006A0815" w:rsidP="00310DAD" w14:paraId="6277C36D" w14:textId="77777777">
      <w:pPr>
        <w:spacing w:line="240" w:lineRule="auto"/>
      </w:pPr>
      <w:r>
        <w:continuationSeparator/>
      </w:r>
    </w:p>
  </w:footnote>
  <w:footnote w:type="continuationNotice" w:id="2">
    <w:p w:rsidR="006A0815" w14:paraId="05655DB0" w14:textId="77777777">
      <w:pPr>
        <w:spacing w:line="240" w:lineRule="auto"/>
      </w:pPr>
    </w:p>
  </w:footnote>
  <w:footnote w:id="3">
    <w:p w:rsidR="00CA2C17" w:rsidP="00AF4729" w14:paraId="5184125E" w14:textId="59F20296">
      <w:pPr>
        <w:pStyle w:val="FootnoteText"/>
        <w:spacing w:after="120"/>
      </w:pPr>
      <w:r>
        <w:rPr>
          <w:rStyle w:val="FootnoteReference"/>
        </w:rPr>
        <w:footnoteRef/>
      </w:r>
      <w:r>
        <w:t xml:space="preserve"> Respondents in this appeal are the entities and individuals named as </w:t>
      </w:r>
      <w:r w:rsidR="00B46C31">
        <w:t xml:space="preserve">defendants </w:t>
      </w:r>
      <w:r>
        <w:t xml:space="preserve">in the writ proceeding below, namely: </w:t>
      </w:r>
      <w:r w:rsidR="00B46C31">
        <w:t xml:space="preserve"> </w:t>
      </w:r>
      <w:r w:rsidR="00315228">
        <w:t>T</w:t>
      </w:r>
      <w:r>
        <w:t xml:space="preserve">he Regents of </w:t>
      </w:r>
      <w:r w:rsidR="00315228">
        <w:t xml:space="preserve">the </w:t>
      </w:r>
      <w:r>
        <w:t>University of California (identified in</w:t>
      </w:r>
      <w:r w:rsidR="00B46C31">
        <w:t> </w:t>
      </w:r>
      <w:r>
        <w:t>the</w:t>
      </w:r>
      <w:r w:rsidR="00B46C31">
        <w:t> </w:t>
      </w:r>
      <w:r>
        <w:t>petition as simply “University of California”) and</w:t>
      </w:r>
      <w:r w:rsidR="00B46C31">
        <w:t> </w:t>
      </w:r>
      <w:r>
        <w:t xml:space="preserve">several individuals employed by </w:t>
      </w:r>
      <w:r w:rsidR="00315228">
        <w:t xml:space="preserve">the </w:t>
      </w:r>
      <w:r>
        <w:t>“University of California</w:t>
      </w:r>
      <w:r w:rsidR="00B46C31">
        <w:t>,</w:t>
      </w:r>
      <w:r>
        <w:t>” namely M</w:t>
      </w:r>
      <w:r w:rsidRPr="00CA2C17">
        <w:t>ichelle</w:t>
      </w:r>
      <w:r>
        <w:t xml:space="preserve"> </w:t>
      </w:r>
      <w:r w:rsidRPr="00CA2C17">
        <w:t>Moran</w:t>
      </w:r>
      <w:r>
        <w:t xml:space="preserve">, </w:t>
      </w:r>
      <w:r w:rsidRPr="00CA2C17">
        <w:t>Robert Stephens</w:t>
      </w:r>
      <w:r>
        <w:t xml:space="preserve">, </w:t>
      </w:r>
      <w:r w:rsidRPr="00CA2C17">
        <w:t>Christine Mata</w:t>
      </w:r>
      <w:r>
        <w:t xml:space="preserve">, </w:t>
      </w:r>
      <w:r w:rsidRPr="00CA2C17">
        <w:t>Christine Bender</w:t>
      </w:r>
      <w:r>
        <w:t xml:space="preserve">, and </w:t>
      </w:r>
      <w:r w:rsidRPr="00CA2C17">
        <w:t>Brendan O’Brien</w:t>
      </w:r>
      <w:r w:rsidR="00B46C31">
        <w:t xml:space="preserve"> </w:t>
      </w:r>
      <w:r>
        <w:t>(collectively, respondents).</w:t>
      </w:r>
    </w:p>
  </w:footnote>
  <w:footnote w:id="4">
    <w:p w:rsidR="00AF4729" w:rsidP="00AF4729" w14:paraId="5F554BC2" w14:textId="34FCBF92">
      <w:pPr>
        <w:pStyle w:val="FootnoteText"/>
        <w:spacing w:after="120"/>
      </w:pPr>
      <w:r>
        <w:rPr>
          <w:rStyle w:val="FootnoteReference"/>
        </w:rPr>
        <w:footnoteRef/>
      </w:r>
      <w:r>
        <w:t xml:space="preserve"> The student conduct policy sets forth, among other things,</w:t>
      </w:r>
      <w:r w:rsidR="004E1956">
        <w:t> </w:t>
      </w:r>
      <w:r>
        <w:t>26 categories of conduct that UC Riverside students are</w:t>
      </w:r>
      <w:r w:rsidR="004E1956">
        <w:t> </w:t>
      </w:r>
      <w:r>
        <w:t>prohibited from engaging in on campus or in connection with</w:t>
      </w:r>
      <w:r w:rsidR="004E1956">
        <w:t> </w:t>
      </w:r>
      <w:r>
        <w:t xml:space="preserve">university-related activities. </w:t>
      </w:r>
      <w:r w:rsidR="007501AD">
        <w:t xml:space="preserve"> </w:t>
      </w:r>
      <w:r>
        <w:t>The</w:t>
      </w:r>
      <w:r w:rsidR="004E1956">
        <w:t> </w:t>
      </w:r>
      <w:r>
        <w:t>three listed in the notices Nofal and Ayach received are:</w:t>
      </w:r>
      <w:r w:rsidR="004E1956">
        <w:t xml:space="preserve"> </w:t>
      </w:r>
      <w:r>
        <w:t xml:space="preserve"> (1)</w:t>
      </w:r>
      <w:r w:rsidR="004E1956">
        <w:t> </w:t>
      </w:r>
      <w:r w:rsidR="00B46C31">
        <w:t>s</w:t>
      </w:r>
      <w:r>
        <w:t xml:space="preserve">ection 102.08, addressing physical abuse and threats of physical abuse; (2) </w:t>
      </w:r>
      <w:r w:rsidR="00B46C31">
        <w:t>s</w:t>
      </w:r>
      <w:r>
        <w:t xml:space="preserve">ection </w:t>
      </w:r>
      <w:r w:rsidRPr="00CA2C17">
        <w:t>102.12, addressin</w:t>
      </w:r>
      <w:r w:rsidRPr="00412683">
        <w:t>g “</w:t>
      </w:r>
      <w:r w:rsidR="00221F3F">
        <w:t>[</w:t>
      </w:r>
      <w:r w:rsidRPr="00412683">
        <w:t>p</w:t>
      </w:r>
      <w:r w:rsidR="00221F3F">
        <w:t>]</w:t>
      </w:r>
      <w:r w:rsidRPr="00412683">
        <w:t>articipation in hazing or any method of initiation or pre-initiation into a campus organization or other activity engaged in by the organization or members of the organization at</w:t>
      </w:r>
      <w:r w:rsidR="007501AD">
        <w:t> </w:t>
      </w:r>
      <w:r w:rsidRPr="00412683">
        <w:t>any time that causes, or is likely to cause, physical injury or</w:t>
      </w:r>
      <w:r w:rsidR="007501AD">
        <w:t> </w:t>
      </w:r>
      <w:r w:rsidRPr="00412683">
        <w:t>personal degradation or disgrace resulting in psychological harm to any student or other person”;</w:t>
      </w:r>
      <w:r>
        <w:t xml:space="preserve"> and (3) </w:t>
      </w:r>
      <w:r w:rsidRPr="00387C93" w:rsidR="00B46C31">
        <w:t>s</w:t>
      </w:r>
      <w:r w:rsidRPr="00387C93">
        <w:t>ection 102.1</w:t>
      </w:r>
      <w:r w:rsidRPr="00387C93" w:rsidR="00221F3F">
        <w:t>8</w:t>
      </w:r>
      <w:r w:rsidRPr="00387C93">
        <w:t>,</w:t>
      </w:r>
      <w:r w:rsidRPr="00F9308E">
        <w:t xml:space="preserve"> addressing the use, distribution, and possession of alcohol in a</w:t>
      </w:r>
      <w:r>
        <w:t xml:space="preserve"> manner that is illegal or inconsistent with UC Riverside policies and regulation.</w:t>
      </w:r>
    </w:p>
  </w:footnote>
  <w:footnote w:id="5">
    <w:p w:rsidR="00C9542F" w14:paraId="199CDE00" w14:textId="74F5340E">
      <w:pPr>
        <w:pStyle w:val="FootnoteText"/>
      </w:pPr>
      <w:r>
        <w:rPr>
          <w:rStyle w:val="FootnoteReference"/>
        </w:rPr>
        <w:footnoteRef/>
      </w:r>
      <w:r>
        <w:t xml:space="preserve"> At the hearing before this court, counsel suggested that</w:t>
      </w:r>
      <w:r w:rsidR="007501AD">
        <w:t> </w:t>
      </w:r>
      <w:r>
        <w:t xml:space="preserve">procedures for committee hearings required the </w:t>
      </w:r>
      <w:r w:rsidR="00315228">
        <w:t>U</w:t>
      </w:r>
      <w:r>
        <w:t>niversity to</w:t>
      </w:r>
      <w:r w:rsidR="007501AD">
        <w:t> </w:t>
      </w:r>
      <w:r>
        <w:t>provide the student facing discipline with the identities of all</w:t>
      </w:r>
      <w:r w:rsidR="007501AD">
        <w:t> </w:t>
      </w:r>
      <w:r>
        <w:t>“witnesses.”  This policy actually requires disclosure of the identities of “</w:t>
      </w:r>
      <w:r w:rsidR="009E1BFE">
        <w:t>witnesses</w:t>
      </w:r>
      <w:r>
        <w:t xml:space="preserve"> that may be called by the University at</w:t>
      </w:r>
      <w:r w:rsidR="007501AD">
        <w:t> </w:t>
      </w:r>
      <w:r>
        <w:t>the hearing.”</w:t>
      </w:r>
    </w:p>
  </w:footnote>
  <w:footnote w:id="6">
    <w:p w:rsidR="00526F47" w:rsidP="00D97A8D" w14:paraId="50A2A0C4" w14:textId="67C2976B">
      <w:pPr>
        <w:spacing w:after="120" w:line="240" w:lineRule="auto"/>
        <w:ind w:firstLine="720"/>
      </w:pPr>
      <w:r>
        <w:rPr>
          <w:rStyle w:val="FootnoteReference"/>
        </w:rPr>
        <w:footnoteRef/>
      </w:r>
      <w:r>
        <w:t xml:space="preserve"> We use the qualified verb “may” in light of</w:t>
      </w:r>
      <w:r w:rsidR="00584FEC">
        <w:t xml:space="preserve"> a </w:t>
      </w:r>
      <w:r>
        <w:t xml:space="preserve">recent California Supreme Court case holding that cross-examination and confrontation are </w:t>
      </w:r>
      <w:r w:rsidRPr="00AF4729">
        <w:rPr>
          <w:i/>
          <w:iCs/>
        </w:rPr>
        <w:t xml:space="preserve">not </w:t>
      </w:r>
      <w:r>
        <w:t xml:space="preserve">universally required in </w:t>
      </w:r>
      <w:r w:rsidRPr="00AF4729">
        <w:rPr>
          <w:i/>
          <w:iCs/>
        </w:rPr>
        <w:t>private</w:t>
      </w:r>
      <w:r>
        <w:t xml:space="preserve"> (as opposed to public) university disciplinary proceedings regarding sexual misconduct—to which, unlike the instant case,</w:t>
      </w:r>
      <w:r w:rsidR="002B0B80">
        <w:t> </w:t>
      </w:r>
      <w:r>
        <w:t xml:space="preserve">the common law doctrine of fair procedure applies.  (See </w:t>
      </w:r>
      <w:r w:rsidRPr="00CD44D6">
        <w:rPr>
          <w:i/>
          <w:iCs/>
        </w:rPr>
        <w:t>Boermeester v. Carry</w:t>
      </w:r>
      <w:r>
        <w:t xml:space="preserve"> (2023) 15 Cal.5th 72, 79–80 [“though private universities are required to</w:t>
      </w:r>
      <w:r w:rsidR="002B0B80">
        <w:t> </w:t>
      </w:r>
      <w:r>
        <w:t>comply with the common law doctrine of fair procedure by providing accused students with notice of the charges and a meaningful opportunity to be heard, they are not required to provide accused students the opportunity to directly or indirectly cross-examine the accuser and other witnesses at a live hearing with the accused student in attendance, either in person or virtually”].)</w:t>
      </w:r>
    </w:p>
  </w:footnote>
  <w:footnote w:id="7">
    <w:p w:rsidR="009E1BFE" w:rsidP="00D97A8D" w14:paraId="436ED74D" w14:textId="0407605A">
      <w:pPr>
        <w:pStyle w:val="FootnoteText"/>
        <w:spacing w:after="120"/>
      </w:pPr>
      <w:r>
        <w:rPr>
          <w:rStyle w:val="FootnoteReference"/>
        </w:rPr>
        <w:footnoteRef/>
      </w:r>
      <w:r>
        <w:t xml:space="preserve"> At the hearing before this court, Ayach and Nofal’s counsel raised, for the first time, the lack of a subpoena power to assist a </w:t>
      </w:r>
      <w:r w:rsidR="00AB1656">
        <w:t xml:space="preserve">UC Riverside </w:t>
      </w:r>
      <w:r>
        <w:t xml:space="preserve">student facing discipline in presenting live testimony at a committee hearing.  </w:t>
      </w:r>
      <w:r w:rsidR="00355216">
        <w:t xml:space="preserve">Even if this argument had been timely raised in Ayach and Nofal’s opening brief, it </w:t>
      </w:r>
      <w:r w:rsidR="00AB1656">
        <w:t>would</w:t>
      </w:r>
      <w:r w:rsidR="00355216">
        <w:t xml:space="preserve"> not assist them. </w:t>
      </w:r>
      <w:r w:rsidR="001E7D2F">
        <w:t xml:space="preserve"> </w:t>
      </w:r>
      <w:r w:rsidR="00355216">
        <w:t xml:space="preserve">As noted, nothing in the record suggests </w:t>
      </w:r>
      <w:r w:rsidR="00AB1656">
        <w:t>Ayach or Nofal</w:t>
      </w:r>
      <w:r w:rsidR="00355216">
        <w:t xml:space="preserve"> attempted to present live testimony </w:t>
      </w:r>
      <w:r w:rsidR="00584FEC">
        <w:t>of an</w:t>
      </w:r>
      <w:r w:rsidR="001E7D2F">
        <w:t>y</w:t>
      </w:r>
      <w:r w:rsidR="00584FEC">
        <w:t xml:space="preserve"> individual </w:t>
      </w:r>
      <w:r w:rsidR="00AB1656">
        <w:t>and</w:t>
      </w:r>
      <w:r w:rsidR="00584FEC">
        <w:t> </w:t>
      </w:r>
      <w:r w:rsidR="00355216">
        <w:t xml:space="preserve">were unable to do so because </w:t>
      </w:r>
      <w:r w:rsidR="00584FEC">
        <w:t xml:space="preserve">that </w:t>
      </w:r>
      <w:r w:rsidR="00355216">
        <w:t xml:space="preserve">individual refused to testify. </w:t>
      </w:r>
      <w:r w:rsidR="00584FEC">
        <w:t xml:space="preserve"> </w:t>
      </w:r>
      <w:r w:rsidR="00AB1656">
        <w:t xml:space="preserve">Ayach and Nofal </w:t>
      </w:r>
      <w:r w:rsidR="00355216">
        <w:t xml:space="preserve">thus cannot establish any prejudice from the lack of a subpoena power. </w:t>
      </w:r>
    </w:p>
  </w:footnote>
  <w:footnote w:id="8">
    <w:p w:rsidR="008B527A" w:rsidP="00AF4729" w14:paraId="3F021ACC" w14:textId="537EC9A3">
      <w:pPr>
        <w:pStyle w:val="FootnoteText"/>
        <w:spacing w:after="120"/>
      </w:pPr>
      <w:r>
        <w:rPr>
          <w:rStyle w:val="FootnoteReference"/>
        </w:rPr>
        <w:footnoteRef/>
      </w:r>
      <w:r>
        <w:t xml:space="preserve"> The case Nofal and Ayach cite for the proposition that</w:t>
      </w:r>
      <w:r w:rsidR="00D97A8D">
        <w:t xml:space="preserve"> </w:t>
      </w:r>
      <w:r>
        <w:t>they cannot fairly be expected to request the names of the</w:t>
      </w:r>
      <w:r w:rsidR="00E504A6">
        <w:t xml:space="preserve"> </w:t>
      </w:r>
      <w:r>
        <w:t>witnesses identified by pseudonym</w:t>
      </w:r>
      <w:r w:rsidR="002B0B80">
        <w:t>s</w:t>
      </w:r>
      <w:r>
        <w:t xml:space="preserve"> stands for the distinct (and</w:t>
      </w:r>
      <w:r w:rsidR="00D97A8D">
        <w:t xml:space="preserve"> </w:t>
      </w:r>
      <w:r>
        <w:t>for</w:t>
      </w:r>
      <w:r w:rsidR="00E504A6">
        <w:t> </w:t>
      </w:r>
      <w:r>
        <w:t>Nofal and Ayach unhelpful) proposition that due process requires a student receive evidence being used against him without requesting it.  (See</w:t>
      </w:r>
      <w:r w:rsidR="006E16E1">
        <w:rPr>
          <w:i/>
          <w:iCs/>
        </w:rPr>
        <w:t xml:space="preserve"> University of Southern California</w:t>
      </w:r>
      <w:r w:rsidRPr="008B527A">
        <w:rPr>
          <w:i/>
          <w:iCs/>
        </w:rPr>
        <w:t>, supra</w:t>
      </w:r>
      <w:r>
        <w:t>, 246 Cal.App.4th at p.</w:t>
      </w:r>
      <w:r w:rsidR="00E504A6">
        <w:t> </w:t>
      </w:r>
      <w:r>
        <w:t>246 [“requiring [student] to request access to the evidence against him does not comply with the requirements of a fair hearing”].)</w:t>
      </w:r>
      <w:r w:rsidR="00584FEC">
        <w:t xml:space="preserve"> </w:t>
      </w:r>
      <w:r>
        <w:t xml:space="preserve"> But Nofal and Ayach received the evidence against them; what they did not receive were the names of witnesses whose statements </w:t>
      </w:r>
      <w:r w:rsidR="001E7D2F">
        <w:t>were described in this evidence</w:t>
      </w:r>
      <w:r>
        <w:t>, whose identities in some cases they already knew, and whose credibility was not germane to the defenses they mounted.</w:t>
      </w:r>
    </w:p>
  </w:footnote>
  <w:footnote w:id="9">
    <w:p w:rsidR="008B527A" w:rsidP="002B0B80" w14:paraId="30E486FA" w14:textId="5E5D378B">
      <w:pPr>
        <w:spacing w:after="120" w:line="240" w:lineRule="auto"/>
        <w:ind w:firstLine="720"/>
      </w:pPr>
      <w:r>
        <w:rPr>
          <w:rStyle w:val="FootnoteReference"/>
        </w:rPr>
        <w:footnoteRef/>
      </w:r>
      <w:r>
        <w:t xml:space="preserve"> Finally, Nofal and Ayach indirectly challenge the legal basis for the </w:t>
      </w:r>
      <w:r w:rsidR="002B0B80">
        <w:t>U</w:t>
      </w:r>
      <w:r>
        <w:t>niversity’s decision to use pseudonyms for its witnesses.  We do not deem this to be germane to resolving the</w:t>
      </w:r>
      <w:r w:rsidR="00F57730">
        <w:t> </w:t>
      </w:r>
      <w:r>
        <w:t xml:space="preserve">issues on appeal, given our conclusion that Ayach and Nofal were not denied an opportunity to present a meaningful defense by virtue of UC Riverside using </w:t>
      </w:r>
      <w:r w:rsidR="004E1956">
        <w:t>pseudonyms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3AF5EB8"/>
    <w:multiLevelType w:val="hybridMultilevel"/>
    <w:tmpl w:val="9E3629F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AD"/>
    <w:rsid w:val="00001CDB"/>
    <w:rsid w:val="000020B7"/>
    <w:rsid w:val="00002A0C"/>
    <w:rsid w:val="00003FB4"/>
    <w:rsid w:val="000044E1"/>
    <w:rsid w:val="000067C0"/>
    <w:rsid w:val="0000766E"/>
    <w:rsid w:val="00010283"/>
    <w:rsid w:val="0001047F"/>
    <w:rsid w:val="00010A9F"/>
    <w:rsid w:val="000125AD"/>
    <w:rsid w:val="00012C7C"/>
    <w:rsid w:val="00013EF9"/>
    <w:rsid w:val="000145C3"/>
    <w:rsid w:val="00015B9F"/>
    <w:rsid w:val="000162AC"/>
    <w:rsid w:val="00016663"/>
    <w:rsid w:val="00016DFC"/>
    <w:rsid w:val="00017C0A"/>
    <w:rsid w:val="0002003D"/>
    <w:rsid w:val="0002078D"/>
    <w:rsid w:val="00021298"/>
    <w:rsid w:val="000223FB"/>
    <w:rsid w:val="000233EA"/>
    <w:rsid w:val="00023844"/>
    <w:rsid w:val="00025104"/>
    <w:rsid w:val="00025707"/>
    <w:rsid w:val="00025A1F"/>
    <w:rsid w:val="00026E9F"/>
    <w:rsid w:val="000276F0"/>
    <w:rsid w:val="000302FD"/>
    <w:rsid w:val="00030D7F"/>
    <w:rsid w:val="00031028"/>
    <w:rsid w:val="000315E6"/>
    <w:rsid w:val="000318AF"/>
    <w:rsid w:val="0003195D"/>
    <w:rsid w:val="00031FB5"/>
    <w:rsid w:val="00032F56"/>
    <w:rsid w:val="00033DAD"/>
    <w:rsid w:val="00034A64"/>
    <w:rsid w:val="00035B13"/>
    <w:rsid w:val="00036B9B"/>
    <w:rsid w:val="0004146B"/>
    <w:rsid w:val="0004164F"/>
    <w:rsid w:val="00041F71"/>
    <w:rsid w:val="000423F4"/>
    <w:rsid w:val="000425F7"/>
    <w:rsid w:val="00044774"/>
    <w:rsid w:val="00044A50"/>
    <w:rsid w:val="00045237"/>
    <w:rsid w:val="000455BC"/>
    <w:rsid w:val="00046702"/>
    <w:rsid w:val="000527AD"/>
    <w:rsid w:val="000527DF"/>
    <w:rsid w:val="00052A2E"/>
    <w:rsid w:val="00052C6E"/>
    <w:rsid w:val="000548BD"/>
    <w:rsid w:val="000567C0"/>
    <w:rsid w:val="00056E9D"/>
    <w:rsid w:val="00056F21"/>
    <w:rsid w:val="00057203"/>
    <w:rsid w:val="00057516"/>
    <w:rsid w:val="00060152"/>
    <w:rsid w:val="000608D9"/>
    <w:rsid w:val="00061AC5"/>
    <w:rsid w:val="00061B26"/>
    <w:rsid w:val="000624CA"/>
    <w:rsid w:val="00062788"/>
    <w:rsid w:val="000632E3"/>
    <w:rsid w:val="000634FF"/>
    <w:rsid w:val="00063C6B"/>
    <w:rsid w:val="00064A6D"/>
    <w:rsid w:val="00065A74"/>
    <w:rsid w:val="000668F1"/>
    <w:rsid w:val="00066FC5"/>
    <w:rsid w:val="00070237"/>
    <w:rsid w:val="00072523"/>
    <w:rsid w:val="000731F4"/>
    <w:rsid w:val="00074007"/>
    <w:rsid w:val="0007454A"/>
    <w:rsid w:val="00074BA7"/>
    <w:rsid w:val="00075245"/>
    <w:rsid w:val="00075FCB"/>
    <w:rsid w:val="00077AFB"/>
    <w:rsid w:val="0008037E"/>
    <w:rsid w:val="00080A60"/>
    <w:rsid w:val="00080D5D"/>
    <w:rsid w:val="000816CB"/>
    <w:rsid w:val="00081E4C"/>
    <w:rsid w:val="00082C91"/>
    <w:rsid w:val="00082D5F"/>
    <w:rsid w:val="00082FC2"/>
    <w:rsid w:val="00083E2C"/>
    <w:rsid w:val="000845D3"/>
    <w:rsid w:val="00084867"/>
    <w:rsid w:val="00084C40"/>
    <w:rsid w:val="0008551E"/>
    <w:rsid w:val="000858D4"/>
    <w:rsid w:val="00085E80"/>
    <w:rsid w:val="000860E1"/>
    <w:rsid w:val="00086DBB"/>
    <w:rsid w:val="0008709F"/>
    <w:rsid w:val="000874E7"/>
    <w:rsid w:val="00087787"/>
    <w:rsid w:val="00087A53"/>
    <w:rsid w:val="00090271"/>
    <w:rsid w:val="0009033D"/>
    <w:rsid w:val="00090D9B"/>
    <w:rsid w:val="0009193A"/>
    <w:rsid w:val="00092662"/>
    <w:rsid w:val="000926CC"/>
    <w:rsid w:val="000927C0"/>
    <w:rsid w:val="00092BDA"/>
    <w:rsid w:val="0009314D"/>
    <w:rsid w:val="0009389B"/>
    <w:rsid w:val="00093B2E"/>
    <w:rsid w:val="00093DDC"/>
    <w:rsid w:val="0009525D"/>
    <w:rsid w:val="000964C2"/>
    <w:rsid w:val="00096ED3"/>
    <w:rsid w:val="000970A0"/>
    <w:rsid w:val="0009778B"/>
    <w:rsid w:val="00097C06"/>
    <w:rsid w:val="000A0B10"/>
    <w:rsid w:val="000A1A9B"/>
    <w:rsid w:val="000A1E7A"/>
    <w:rsid w:val="000A2920"/>
    <w:rsid w:val="000A2B28"/>
    <w:rsid w:val="000A3BCD"/>
    <w:rsid w:val="000A5013"/>
    <w:rsid w:val="000A54DC"/>
    <w:rsid w:val="000A6334"/>
    <w:rsid w:val="000A6419"/>
    <w:rsid w:val="000A6F2B"/>
    <w:rsid w:val="000B13CD"/>
    <w:rsid w:val="000B1EB7"/>
    <w:rsid w:val="000B2C38"/>
    <w:rsid w:val="000B3073"/>
    <w:rsid w:val="000B3604"/>
    <w:rsid w:val="000B48F5"/>
    <w:rsid w:val="000B60FF"/>
    <w:rsid w:val="000C06C4"/>
    <w:rsid w:val="000C324E"/>
    <w:rsid w:val="000C38E1"/>
    <w:rsid w:val="000C39A9"/>
    <w:rsid w:val="000C3DD6"/>
    <w:rsid w:val="000C4DA4"/>
    <w:rsid w:val="000C65CC"/>
    <w:rsid w:val="000C6CD7"/>
    <w:rsid w:val="000C7B7B"/>
    <w:rsid w:val="000D0239"/>
    <w:rsid w:val="000D3AD6"/>
    <w:rsid w:val="000D5C4D"/>
    <w:rsid w:val="000D6385"/>
    <w:rsid w:val="000D662C"/>
    <w:rsid w:val="000D73D9"/>
    <w:rsid w:val="000E0055"/>
    <w:rsid w:val="000E0756"/>
    <w:rsid w:val="000E0FA5"/>
    <w:rsid w:val="000E22F7"/>
    <w:rsid w:val="000E23CF"/>
    <w:rsid w:val="000E2549"/>
    <w:rsid w:val="000E25A0"/>
    <w:rsid w:val="000E2E1C"/>
    <w:rsid w:val="000E4641"/>
    <w:rsid w:val="000E5449"/>
    <w:rsid w:val="000E5C85"/>
    <w:rsid w:val="000E70D1"/>
    <w:rsid w:val="000E7216"/>
    <w:rsid w:val="000E7A1A"/>
    <w:rsid w:val="000E7B34"/>
    <w:rsid w:val="000F041E"/>
    <w:rsid w:val="000F0568"/>
    <w:rsid w:val="000F08E5"/>
    <w:rsid w:val="000F0AF0"/>
    <w:rsid w:val="000F1BD3"/>
    <w:rsid w:val="000F2B4D"/>
    <w:rsid w:val="000F57F0"/>
    <w:rsid w:val="000F6376"/>
    <w:rsid w:val="000F6603"/>
    <w:rsid w:val="000F6F69"/>
    <w:rsid w:val="000F73EA"/>
    <w:rsid w:val="000F7939"/>
    <w:rsid w:val="00100AFE"/>
    <w:rsid w:val="00102243"/>
    <w:rsid w:val="00102925"/>
    <w:rsid w:val="00102A04"/>
    <w:rsid w:val="00104576"/>
    <w:rsid w:val="0010473E"/>
    <w:rsid w:val="0010548E"/>
    <w:rsid w:val="00105BDA"/>
    <w:rsid w:val="00106321"/>
    <w:rsid w:val="0010645D"/>
    <w:rsid w:val="00106BE7"/>
    <w:rsid w:val="00106D83"/>
    <w:rsid w:val="00107383"/>
    <w:rsid w:val="001075A5"/>
    <w:rsid w:val="001132EC"/>
    <w:rsid w:val="00113B80"/>
    <w:rsid w:val="00113E57"/>
    <w:rsid w:val="00114B15"/>
    <w:rsid w:val="001161C8"/>
    <w:rsid w:val="00116C84"/>
    <w:rsid w:val="00116FE8"/>
    <w:rsid w:val="00121D0A"/>
    <w:rsid w:val="001225DD"/>
    <w:rsid w:val="00122606"/>
    <w:rsid w:val="00122D27"/>
    <w:rsid w:val="00123425"/>
    <w:rsid w:val="0012478E"/>
    <w:rsid w:val="0012566E"/>
    <w:rsid w:val="00126DBA"/>
    <w:rsid w:val="00127D2B"/>
    <w:rsid w:val="0013310C"/>
    <w:rsid w:val="00133D09"/>
    <w:rsid w:val="00133FBB"/>
    <w:rsid w:val="00134238"/>
    <w:rsid w:val="001345A1"/>
    <w:rsid w:val="001357B3"/>
    <w:rsid w:val="00135EEE"/>
    <w:rsid w:val="00141D18"/>
    <w:rsid w:val="00146756"/>
    <w:rsid w:val="00146FF5"/>
    <w:rsid w:val="00147662"/>
    <w:rsid w:val="00150050"/>
    <w:rsid w:val="001506C8"/>
    <w:rsid w:val="00151528"/>
    <w:rsid w:val="001517C0"/>
    <w:rsid w:val="00151C35"/>
    <w:rsid w:val="00152238"/>
    <w:rsid w:val="0015260F"/>
    <w:rsid w:val="00152ABF"/>
    <w:rsid w:val="00152C1E"/>
    <w:rsid w:val="001533B6"/>
    <w:rsid w:val="00153886"/>
    <w:rsid w:val="0015546B"/>
    <w:rsid w:val="00155B3E"/>
    <w:rsid w:val="00155D01"/>
    <w:rsid w:val="0015695D"/>
    <w:rsid w:val="001569A6"/>
    <w:rsid w:val="00156CCF"/>
    <w:rsid w:val="0015754B"/>
    <w:rsid w:val="00157773"/>
    <w:rsid w:val="00157815"/>
    <w:rsid w:val="00157AEE"/>
    <w:rsid w:val="0016057F"/>
    <w:rsid w:val="00160628"/>
    <w:rsid w:val="0016131B"/>
    <w:rsid w:val="001626F9"/>
    <w:rsid w:val="0016382C"/>
    <w:rsid w:val="001639C7"/>
    <w:rsid w:val="00163BF4"/>
    <w:rsid w:val="00163DD6"/>
    <w:rsid w:val="00163FA5"/>
    <w:rsid w:val="00164BC2"/>
    <w:rsid w:val="001658FA"/>
    <w:rsid w:val="001659B4"/>
    <w:rsid w:val="001666F4"/>
    <w:rsid w:val="00167008"/>
    <w:rsid w:val="00167036"/>
    <w:rsid w:val="00167215"/>
    <w:rsid w:val="001675B3"/>
    <w:rsid w:val="001676E1"/>
    <w:rsid w:val="001677FC"/>
    <w:rsid w:val="00167A8F"/>
    <w:rsid w:val="00167F5B"/>
    <w:rsid w:val="001719B0"/>
    <w:rsid w:val="00171B59"/>
    <w:rsid w:val="001722DA"/>
    <w:rsid w:val="001730B1"/>
    <w:rsid w:val="00173B1A"/>
    <w:rsid w:val="00173EDB"/>
    <w:rsid w:val="00174578"/>
    <w:rsid w:val="00175B13"/>
    <w:rsid w:val="00176348"/>
    <w:rsid w:val="00176609"/>
    <w:rsid w:val="00176CBE"/>
    <w:rsid w:val="00177AFC"/>
    <w:rsid w:val="00181B18"/>
    <w:rsid w:val="0018292E"/>
    <w:rsid w:val="00182D79"/>
    <w:rsid w:val="001836F7"/>
    <w:rsid w:val="00183EA4"/>
    <w:rsid w:val="00184307"/>
    <w:rsid w:val="00185F7F"/>
    <w:rsid w:val="001865F8"/>
    <w:rsid w:val="00187442"/>
    <w:rsid w:val="001901AA"/>
    <w:rsid w:val="00190E67"/>
    <w:rsid w:val="00191630"/>
    <w:rsid w:val="00191CF7"/>
    <w:rsid w:val="00191D28"/>
    <w:rsid w:val="00192220"/>
    <w:rsid w:val="00193683"/>
    <w:rsid w:val="0019477D"/>
    <w:rsid w:val="00194EE0"/>
    <w:rsid w:val="00195C45"/>
    <w:rsid w:val="00196791"/>
    <w:rsid w:val="00196907"/>
    <w:rsid w:val="001973E9"/>
    <w:rsid w:val="00197FDE"/>
    <w:rsid w:val="001A05BB"/>
    <w:rsid w:val="001A0FDE"/>
    <w:rsid w:val="001A1D63"/>
    <w:rsid w:val="001A2015"/>
    <w:rsid w:val="001A24E1"/>
    <w:rsid w:val="001A336F"/>
    <w:rsid w:val="001A3835"/>
    <w:rsid w:val="001A3876"/>
    <w:rsid w:val="001A38A0"/>
    <w:rsid w:val="001A39AF"/>
    <w:rsid w:val="001A3C21"/>
    <w:rsid w:val="001A51DC"/>
    <w:rsid w:val="001A59A9"/>
    <w:rsid w:val="001A5A33"/>
    <w:rsid w:val="001A5EFD"/>
    <w:rsid w:val="001A65D8"/>
    <w:rsid w:val="001A6AA8"/>
    <w:rsid w:val="001A6F60"/>
    <w:rsid w:val="001A7428"/>
    <w:rsid w:val="001A787E"/>
    <w:rsid w:val="001B0158"/>
    <w:rsid w:val="001B0712"/>
    <w:rsid w:val="001B0CBB"/>
    <w:rsid w:val="001B1B0A"/>
    <w:rsid w:val="001B2A9B"/>
    <w:rsid w:val="001B2D23"/>
    <w:rsid w:val="001B3F3E"/>
    <w:rsid w:val="001B435A"/>
    <w:rsid w:val="001B4B43"/>
    <w:rsid w:val="001B5619"/>
    <w:rsid w:val="001B7572"/>
    <w:rsid w:val="001C0106"/>
    <w:rsid w:val="001C0DDA"/>
    <w:rsid w:val="001C159E"/>
    <w:rsid w:val="001C1686"/>
    <w:rsid w:val="001C1A11"/>
    <w:rsid w:val="001C1EB4"/>
    <w:rsid w:val="001C2164"/>
    <w:rsid w:val="001C2327"/>
    <w:rsid w:val="001C365D"/>
    <w:rsid w:val="001C3C23"/>
    <w:rsid w:val="001C4754"/>
    <w:rsid w:val="001C604A"/>
    <w:rsid w:val="001C71F8"/>
    <w:rsid w:val="001D047F"/>
    <w:rsid w:val="001D179C"/>
    <w:rsid w:val="001D2093"/>
    <w:rsid w:val="001D2413"/>
    <w:rsid w:val="001D2F1A"/>
    <w:rsid w:val="001D31E0"/>
    <w:rsid w:val="001D391F"/>
    <w:rsid w:val="001D3B9E"/>
    <w:rsid w:val="001D4B52"/>
    <w:rsid w:val="001D67E1"/>
    <w:rsid w:val="001D6B51"/>
    <w:rsid w:val="001D6B8D"/>
    <w:rsid w:val="001D6D90"/>
    <w:rsid w:val="001D6DB3"/>
    <w:rsid w:val="001D6FC3"/>
    <w:rsid w:val="001D6FFA"/>
    <w:rsid w:val="001D7892"/>
    <w:rsid w:val="001E055B"/>
    <w:rsid w:val="001E0B25"/>
    <w:rsid w:val="001E2B4D"/>
    <w:rsid w:val="001E40A5"/>
    <w:rsid w:val="001E43E9"/>
    <w:rsid w:val="001E44C9"/>
    <w:rsid w:val="001E4E66"/>
    <w:rsid w:val="001E6211"/>
    <w:rsid w:val="001E678F"/>
    <w:rsid w:val="001E6EB3"/>
    <w:rsid w:val="001E6FB2"/>
    <w:rsid w:val="001E79F3"/>
    <w:rsid w:val="001E7B26"/>
    <w:rsid w:val="001E7D2F"/>
    <w:rsid w:val="001F1659"/>
    <w:rsid w:val="001F16F9"/>
    <w:rsid w:val="001F2EAC"/>
    <w:rsid w:val="001F35F5"/>
    <w:rsid w:val="001F41CC"/>
    <w:rsid w:val="001F42FE"/>
    <w:rsid w:val="001F4D85"/>
    <w:rsid w:val="001F4D9A"/>
    <w:rsid w:val="001F583E"/>
    <w:rsid w:val="001F5892"/>
    <w:rsid w:val="001F5A80"/>
    <w:rsid w:val="001F68E5"/>
    <w:rsid w:val="001F69F4"/>
    <w:rsid w:val="001F729D"/>
    <w:rsid w:val="001F7668"/>
    <w:rsid w:val="001F7783"/>
    <w:rsid w:val="001F7810"/>
    <w:rsid w:val="001F7AE2"/>
    <w:rsid w:val="00200F71"/>
    <w:rsid w:val="002015BC"/>
    <w:rsid w:val="002016DD"/>
    <w:rsid w:val="00201AAC"/>
    <w:rsid w:val="00202508"/>
    <w:rsid w:val="00202E42"/>
    <w:rsid w:val="002032DF"/>
    <w:rsid w:val="00203891"/>
    <w:rsid w:val="00203D1F"/>
    <w:rsid w:val="002048B4"/>
    <w:rsid w:val="00204E13"/>
    <w:rsid w:val="00205490"/>
    <w:rsid w:val="0020568A"/>
    <w:rsid w:val="00206A8F"/>
    <w:rsid w:val="002117C1"/>
    <w:rsid w:val="00211DC6"/>
    <w:rsid w:val="00212EFD"/>
    <w:rsid w:val="00213D2C"/>
    <w:rsid w:val="002149E8"/>
    <w:rsid w:val="00215B1E"/>
    <w:rsid w:val="00215F08"/>
    <w:rsid w:val="00216CF3"/>
    <w:rsid w:val="00216CFE"/>
    <w:rsid w:val="00217C48"/>
    <w:rsid w:val="002207C6"/>
    <w:rsid w:val="0022091C"/>
    <w:rsid w:val="00220A46"/>
    <w:rsid w:val="002214BF"/>
    <w:rsid w:val="00221F3F"/>
    <w:rsid w:val="0022287F"/>
    <w:rsid w:val="00223118"/>
    <w:rsid w:val="0022333E"/>
    <w:rsid w:val="0022364F"/>
    <w:rsid w:val="0022400A"/>
    <w:rsid w:val="00224CE6"/>
    <w:rsid w:val="00225A73"/>
    <w:rsid w:val="00225B0A"/>
    <w:rsid w:val="00226438"/>
    <w:rsid w:val="00226FB5"/>
    <w:rsid w:val="002274C8"/>
    <w:rsid w:val="00227E8D"/>
    <w:rsid w:val="0023148D"/>
    <w:rsid w:val="00232017"/>
    <w:rsid w:val="00232756"/>
    <w:rsid w:val="00232A48"/>
    <w:rsid w:val="00232DF8"/>
    <w:rsid w:val="0023364B"/>
    <w:rsid w:val="00233708"/>
    <w:rsid w:val="00233A2C"/>
    <w:rsid w:val="0023466D"/>
    <w:rsid w:val="00234708"/>
    <w:rsid w:val="002351B9"/>
    <w:rsid w:val="002352EB"/>
    <w:rsid w:val="00235E75"/>
    <w:rsid w:val="00236560"/>
    <w:rsid w:val="002375E5"/>
    <w:rsid w:val="002407E2"/>
    <w:rsid w:val="00240D0D"/>
    <w:rsid w:val="002410F0"/>
    <w:rsid w:val="002412A5"/>
    <w:rsid w:val="0024267A"/>
    <w:rsid w:val="00243649"/>
    <w:rsid w:val="00244360"/>
    <w:rsid w:val="00245A17"/>
    <w:rsid w:val="00245F49"/>
    <w:rsid w:val="00246563"/>
    <w:rsid w:val="002467F3"/>
    <w:rsid w:val="00246A1A"/>
    <w:rsid w:val="00246A73"/>
    <w:rsid w:val="002471B0"/>
    <w:rsid w:val="002479A1"/>
    <w:rsid w:val="00250F35"/>
    <w:rsid w:val="00251E72"/>
    <w:rsid w:val="00252978"/>
    <w:rsid w:val="002529AB"/>
    <w:rsid w:val="00254E5C"/>
    <w:rsid w:val="00255E24"/>
    <w:rsid w:val="00257092"/>
    <w:rsid w:val="00257FF5"/>
    <w:rsid w:val="00260651"/>
    <w:rsid w:val="00260F3A"/>
    <w:rsid w:val="0026296F"/>
    <w:rsid w:val="00262F90"/>
    <w:rsid w:val="00263CA3"/>
    <w:rsid w:val="00265206"/>
    <w:rsid w:val="0026540C"/>
    <w:rsid w:val="00265860"/>
    <w:rsid w:val="00265929"/>
    <w:rsid w:val="00265F4F"/>
    <w:rsid w:val="00266771"/>
    <w:rsid w:val="002670A3"/>
    <w:rsid w:val="00267568"/>
    <w:rsid w:val="002675C8"/>
    <w:rsid w:val="0027039B"/>
    <w:rsid w:val="00270B21"/>
    <w:rsid w:val="002722E1"/>
    <w:rsid w:val="00273340"/>
    <w:rsid w:val="00273766"/>
    <w:rsid w:val="002742D3"/>
    <w:rsid w:val="00274F35"/>
    <w:rsid w:val="002753F5"/>
    <w:rsid w:val="00275A09"/>
    <w:rsid w:val="002766A6"/>
    <w:rsid w:val="00276959"/>
    <w:rsid w:val="00276E9B"/>
    <w:rsid w:val="0027734C"/>
    <w:rsid w:val="00277359"/>
    <w:rsid w:val="0028097F"/>
    <w:rsid w:val="002814A9"/>
    <w:rsid w:val="002819E4"/>
    <w:rsid w:val="0028204F"/>
    <w:rsid w:val="002827EE"/>
    <w:rsid w:val="00283265"/>
    <w:rsid w:val="00284FD7"/>
    <w:rsid w:val="00285642"/>
    <w:rsid w:val="0028662D"/>
    <w:rsid w:val="00287399"/>
    <w:rsid w:val="0028788E"/>
    <w:rsid w:val="002902AF"/>
    <w:rsid w:val="00290E68"/>
    <w:rsid w:val="0029119D"/>
    <w:rsid w:val="00291F08"/>
    <w:rsid w:val="00292401"/>
    <w:rsid w:val="002926E7"/>
    <w:rsid w:val="0029344F"/>
    <w:rsid w:val="00293EC2"/>
    <w:rsid w:val="002945EB"/>
    <w:rsid w:val="002946EF"/>
    <w:rsid w:val="002946FD"/>
    <w:rsid w:val="002947C2"/>
    <w:rsid w:val="00294A28"/>
    <w:rsid w:val="00294CFE"/>
    <w:rsid w:val="002952EB"/>
    <w:rsid w:val="00296F7E"/>
    <w:rsid w:val="002972D7"/>
    <w:rsid w:val="00297E37"/>
    <w:rsid w:val="00297EFE"/>
    <w:rsid w:val="002A0BE2"/>
    <w:rsid w:val="002A0ECD"/>
    <w:rsid w:val="002A2360"/>
    <w:rsid w:val="002A25A2"/>
    <w:rsid w:val="002A25F0"/>
    <w:rsid w:val="002A28E2"/>
    <w:rsid w:val="002A2B3F"/>
    <w:rsid w:val="002A391B"/>
    <w:rsid w:val="002A3E7A"/>
    <w:rsid w:val="002A48E3"/>
    <w:rsid w:val="002A4EEE"/>
    <w:rsid w:val="002A5B2C"/>
    <w:rsid w:val="002A5BCA"/>
    <w:rsid w:val="002A6A67"/>
    <w:rsid w:val="002B03A6"/>
    <w:rsid w:val="002B0B4C"/>
    <w:rsid w:val="002B0B80"/>
    <w:rsid w:val="002B17B0"/>
    <w:rsid w:val="002B214D"/>
    <w:rsid w:val="002B273B"/>
    <w:rsid w:val="002B446A"/>
    <w:rsid w:val="002B5C93"/>
    <w:rsid w:val="002B5D0B"/>
    <w:rsid w:val="002B6546"/>
    <w:rsid w:val="002B7E02"/>
    <w:rsid w:val="002C0C99"/>
    <w:rsid w:val="002C1284"/>
    <w:rsid w:val="002C2BB1"/>
    <w:rsid w:val="002C3771"/>
    <w:rsid w:val="002C5C50"/>
    <w:rsid w:val="002C62B8"/>
    <w:rsid w:val="002C71BD"/>
    <w:rsid w:val="002C71E9"/>
    <w:rsid w:val="002D0C28"/>
    <w:rsid w:val="002D2156"/>
    <w:rsid w:val="002D2521"/>
    <w:rsid w:val="002D2552"/>
    <w:rsid w:val="002D25D9"/>
    <w:rsid w:val="002D3149"/>
    <w:rsid w:val="002D364F"/>
    <w:rsid w:val="002D4643"/>
    <w:rsid w:val="002D5159"/>
    <w:rsid w:val="002D6B83"/>
    <w:rsid w:val="002D75B9"/>
    <w:rsid w:val="002E05E9"/>
    <w:rsid w:val="002E0DA5"/>
    <w:rsid w:val="002E1170"/>
    <w:rsid w:val="002E165B"/>
    <w:rsid w:val="002E2BEE"/>
    <w:rsid w:val="002E2D11"/>
    <w:rsid w:val="002E3246"/>
    <w:rsid w:val="002E3322"/>
    <w:rsid w:val="002E48A6"/>
    <w:rsid w:val="002E512E"/>
    <w:rsid w:val="002E530B"/>
    <w:rsid w:val="002E64D5"/>
    <w:rsid w:val="002E6B03"/>
    <w:rsid w:val="002E735D"/>
    <w:rsid w:val="002E797F"/>
    <w:rsid w:val="002F07F4"/>
    <w:rsid w:val="002F0AAF"/>
    <w:rsid w:val="002F102E"/>
    <w:rsid w:val="002F2831"/>
    <w:rsid w:val="002F2A0B"/>
    <w:rsid w:val="002F2A11"/>
    <w:rsid w:val="002F342F"/>
    <w:rsid w:val="002F38B4"/>
    <w:rsid w:val="002F40C8"/>
    <w:rsid w:val="002F5428"/>
    <w:rsid w:val="002F6646"/>
    <w:rsid w:val="002F7309"/>
    <w:rsid w:val="002F7DAE"/>
    <w:rsid w:val="002F7EA4"/>
    <w:rsid w:val="00300375"/>
    <w:rsid w:val="00300B4E"/>
    <w:rsid w:val="003013F6"/>
    <w:rsid w:val="00301691"/>
    <w:rsid w:val="003039DE"/>
    <w:rsid w:val="00303F41"/>
    <w:rsid w:val="00305179"/>
    <w:rsid w:val="00305CF4"/>
    <w:rsid w:val="003073ED"/>
    <w:rsid w:val="00307CF1"/>
    <w:rsid w:val="0031083A"/>
    <w:rsid w:val="00310948"/>
    <w:rsid w:val="00310DAD"/>
    <w:rsid w:val="00310F68"/>
    <w:rsid w:val="00311532"/>
    <w:rsid w:val="00311929"/>
    <w:rsid w:val="0031198F"/>
    <w:rsid w:val="003124E2"/>
    <w:rsid w:val="00312BC0"/>
    <w:rsid w:val="003133B5"/>
    <w:rsid w:val="003135AF"/>
    <w:rsid w:val="0031398E"/>
    <w:rsid w:val="00313D1E"/>
    <w:rsid w:val="00314206"/>
    <w:rsid w:val="003145F3"/>
    <w:rsid w:val="0031481E"/>
    <w:rsid w:val="00315228"/>
    <w:rsid w:val="00315794"/>
    <w:rsid w:val="003157C9"/>
    <w:rsid w:val="00315CFE"/>
    <w:rsid w:val="0031615E"/>
    <w:rsid w:val="00316A72"/>
    <w:rsid w:val="00316E7D"/>
    <w:rsid w:val="003209E1"/>
    <w:rsid w:val="0032330D"/>
    <w:rsid w:val="00323989"/>
    <w:rsid w:val="0032399A"/>
    <w:rsid w:val="003244F2"/>
    <w:rsid w:val="003255CD"/>
    <w:rsid w:val="00326FCB"/>
    <w:rsid w:val="003278A4"/>
    <w:rsid w:val="00330D86"/>
    <w:rsid w:val="00332A34"/>
    <w:rsid w:val="003337EA"/>
    <w:rsid w:val="00334091"/>
    <w:rsid w:val="003347AD"/>
    <w:rsid w:val="003358B0"/>
    <w:rsid w:val="003372C0"/>
    <w:rsid w:val="003372EC"/>
    <w:rsid w:val="00337731"/>
    <w:rsid w:val="00340260"/>
    <w:rsid w:val="0034160F"/>
    <w:rsid w:val="00341859"/>
    <w:rsid w:val="00341C4B"/>
    <w:rsid w:val="003435F7"/>
    <w:rsid w:val="003436E6"/>
    <w:rsid w:val="00343794"/>
    <w:rsid w:val="00343818"/>
    <w:rsid w:val="00343877"/>
    <w:rsid w:val="00344D7D"/>
    <w:rsid w:val="00350074"/>
    <w:rsid w:val="003501F3"/>
    <w:rsid w:val="003513DF"/>
    <w:rsid w:val="00351F0D"/>
    <w:rsid w:val="00352D93"/>
    <w:rsid w:val="00352FE6"/>
    <w:rsid w:val="00353281"/>
    <w:rsid w:val="00353A28"/>
    <w:rsid w:val="00354103"/>
    <w:rsid w:val="00354B93"/>
    <w:rsid w:val="00354BF2"/>
    <w:rsid w:val="00355216"/>
    <w:rsid w:val="00355BA6"/>
    <w:rsid w:val="00355E20"/>
    <w:rsid w:val="00356D99"/>
    <w:rsid w:val="00360913"/>
    <w:rsid w:val="003612E0"/>
    <w:rsid w:val="003613B1"/>
    <w:rsid w:val="00361807"/>
    <w:rsid w:val="00362FFA"/>
    <w:rsid w:val="003637AA"/>
    <w:rsid w:val="003638E4"/>
    <w:rsid w:val="00367DDE"/>
    <w:rsid w:val="003700A1"/>
    <w:rsid w:val="0037010D"/>
    <w:rsid w:val="00370247"/>
    <w:rsid w:val="00370929"/>
    <w:rsid w:val="00370D7E"/>
    <w:rsid w:val="00372DB6"/>
    <w:rsid w:val="0037330F"/>
    <w:rsid w:val="00373B59"/>
    <w:rsid w:val="00374149"/>
    <w:rsid w:val="00374370"/>
    <w:rsid w:val="00374D34"/>
    <w:rsid w:val="003756C3"/>
    <w:rsid w:val="00375E5B"/>
    <w:rsid w:val="0037707E"/>
    <w:rsid w:val="00380263"/>
    <w:rsid w:val="003832A1"/>
    <w:rsid w:val="00383649"/>
    <w:rsid w:val="0038411E"/>
    <w:rsid w:val="00387059"/>
    <w:rsid w:val="003871E4"/>
    <w:rsid w:val="00387C93"/>
    <w:rsid w:val="00390DA3"/>
    <w:rsid w:val="00391038"/>
    <w:rsid w:val="00392E2A"/>
    <w:rsid w:val="003939DB"/>
    <w:rsid w:val="00393F48"/>
    <w:rsid w:val="00394803"/>
    <w:rsid w:val="00395866"/>
    <w:rsid w:val="003977E9"/>
    <w:rsid w:val="003A1139"/>
    <w:rsid w:val="003A1945"/>
    <w:rsid w:val="003A24DD"/>
    <w:rsid w:val="003A2C15"/>
    <w:rsid w:val="003A381C"/>
    <w:rsid w:val="003A3920"/>
    <w:rsid w:val="003A5533"/>
    <w:rsid w:val="003A5731"/>
    <w:rsid w:val="003A5FD4"/>
    <w:rsid w:val="003A730A"/>
    <w:rsid w:val="003A7EC5"/>
    <w:rsid w:val="003B043C"/>
    <w:rsid w:val="003B0B0E"/>
    <w:rsid w:val="003B37E4"/>
    <w:rsid w:val="003B4F29"/>
    <w:rsid w:val="003B775E"/>
    <w:rsid w:val="003B7798"/>
    <w:rsid w:val="003B788D"/>
    <w:rsid w:val="003B79C5"/>
    <w:rsid w:val="003B7FA2"/>
    <w:rsid w:val="003C20A0"/>
    <w:rsid w:val="003C2842"/>
    <w:rsid w:val="003C2B9F"/>
    <w:rsid w:val="003C2DC7"/>
    <w:rsid w:val="003C3EF4"/>
    <w:rsid w:val="003C415D"/>
    <w:rsid w:val="003C5D02"/>
    <w:rsid w:val="003C6418"/>
    <w:rsid w:val="003C7CB4"/>
    <w:rsid w:val="003C7FA7"/>
    <w:rsid w:val="003D1475"/>
    <w:rsid w:val="003D191E"/>
    <w:rsid w:val="003D28E8"/>
    <w:rsid w:val="003D3484"/>
    <w:rsid w:val="003D3B18"/>
    <w:rsid w:val="003D527B"/>
    <w:rsid w:val="003D5C4F"/>
    <w:rsid w:val="003D68D3"/>
    <w:rsid w:val="003D724D"/>
    <w:rsid w:val="003D7FDB"/>
    <w:rsid w:val="003E04AF"/>
    <w:rsid w:val="003E24C0"/>
    <w:rsid w:val="003E3218"/>
    <w:rsid w:val="003E3A75"/>
    <w:rsid w:val="003E4492"/>
    <w:rsid w:val="003E5702"/>
    <w:rsid w:val="003E576A"/>
    <w:rsid w:val="003E5810"/>
    <w:rsid w:val="003E59BD"/>
    <w:rsid w:val="003E5A52"/>
    <w:rsid w:val="003F0264"/>
    <w:rsid w:val="003F09B6"/>
    <w:rsid w:val="003F1808"/>
    <w:rsid w:val="003F2A3B"/>
    <w:rsid w:val="003F55F6"/>
    <w:rsid w:val="003F56A9"/>
    <w:rsid w:val="003F57F1"/>
    <w:rsid w:val="003F583A"/>
    <w:rsid w:val="003F5AC8"/>
    <w:rsid w:val="003F642C"/>
    <w:rsid w:val="003F664F"/>
    <w:rsid w:val="0040139D"/>
    <w:rsid w:val="0040193A"/>
    <w:rsid w:val="00402B52"/>
    <w:rsid w:val="00402CA3"/>
    <w:rsid w:val="004030C4"/>
    <w:rsid w:val="0040408A"/>
    <w:rsid w:val="0040452D"/>
    <w:rsid w:val="00404A7B"/>
    <w:rsid w:val="0040544F"/>
    <w:rsid w:val="00405D9A"/>
    <w:rsid w:val="00407AA9"/>
    <w:rsid w:val="00407ABA"/>
    <w:rsid w:val="00410865"/>
    <w:rsid w:val="00410BF3"/>
    <w:rsid w:val="00412683"/>
    <w:rsid w:val="00412734"/>
    <w:rsid w:val="00413D30"/>
    <w:rsid w:val="0041420D"/>
    <w:rsid w:val="004142C3"/>
    <w:rsid w:val="00414345"/>
    <w:rsid w:val="00414C75"/>
    <w:rsid w:val="0041602C"/>
    <w:rsid w:val="00416AA8"/>
    <w:rsid w:val="00416CBA"/>
    <w:rsid w:val="00416D03"/>
    <w:rsid w:val="004203FD"/>
    <w:rsid w:val="004208A4"/>
    <w:rsid w:val="004209B6"/>
    <w:rsid w:val="0042165D"/>
    <w:rsid w:val="00422757"/>
    <w:rsid w:val="00423068"/>
    <w:rsid w:val="00423BA3"/>
    <w:rsid w:val="004249F4"/>
    <w:rsid w:val="00425FC8"/>
    <w:rsid w:val="0043020B"/>
    <w:rsid w:val="004312F6"/>
    <w:rsid w:val="00432209"/>
    <w:rsid w:val="004329CC"/>
    <w:rsid w:val="00433465"/>
    <w:rsid w:val="00433524"/>
    <w:rsid w:val="00434433"/>
    <w:rsid w:val="004348F1"/>
    <w:rsid w:val="00435729"/>
    <w:rsid w:val="00435A4D"/>
    <w:rsid w:val="004361B1"/>
    <w:rsid w:val="004372E6"/>
    <w:rsid w:val="00437F48"/>
    <w:rsid w:val="00440919"/>
    <w:rsid w:val="00441040"/>
    <w:rsid w:val="00441371"/>
    <w:rsid w:val="00441883"/>
    <w:rsid w:val="00441CE9"/>
    <w:rsid w:val="004420CD"/>
    <w:rsid w:val="00442269"/>
    <w:rsid w:val="004432B7"/>
    <w:rsid w:val="00443AEF"/>
    <w:rsid w:val="00443CF4"/>
    <w:rsid w:val="004441B9"/>
    <w:rsid w:val="00444448"/>
    <w:rsid w:val="00444629"/>
    <w:rsid w:val="00445D58"/>
    <w:rsid w:val="00445E51"/>
    <w:rsid w:val="00446403"/>
    <w:rsid w:val="0044655A"/>
    <w:rsid w:val="00446A02"/>
    <w:rsid w:val="00447578"/>
    <w:rsid w:val="00450383"/>
    <w:rsid w:val="004508BC"/>
    <w:rsid w:val="00450C70"/>
    <w:rsid w:val="00452ADB"/>
    <w:rsid w:val="00455F70"/>
    <w:rsid w:val="00457C28"/>
    <w:rsid w:val="00461580"/>
    <w:rsid w:val="00461A90"/>
    <w:rsid w:val="00466DF4"/>
    <w:rsid w:val="00466FC4"/>
    <w:rsid w:val="00467D0B"/>
    <w:rsid w:val="00470D3A"/>
    <w:rsid w:val="0047130F"/>
    <w:rsid w:val="00471690"/>
    <w:rsid w:val="00471917"/>
    <w:rsid w:val="00471D7F"/>
    <w:rsid w:val="00472042"/>
    <w:rsid w:val="0047217C"/>
    <w:rsid w:val="00473944"/>
    <w:rsid w:val="00473971"/>
    <w:rsid w:val="00474AE9"/>
    <w:rsid w:val="00474D40"/>
    <w:rsid w:val="00474EEB"/>
    <w:rsid w:val="00475219"/>
    <w:rsid w:val="00475896"/>
    <w:rsid w:val="00475F61"/>
    <w:rsid w:val="00475FD5"/>
    <w:rsid w:val="00476199"/>
    <w:rsid w:val="004762BB"/>
    <w:rsid w:val="00477E3A"/>
    <w:rsid w:val="00477F57"/>
    <w:rsid w:val="00480171"/>
    <w:rsid w:val="004807C5"/>
    <w:rsid w:val="004813EE"/>
    <w:rsid w:val="00481EC2"/>
    <w:rsid w:val="00481ECE"/>
    <w:rsid w:val="004827D3"/>
    <w:rsid w:val="00482979"/>
    <w:rsid w:val="00482C98"/>
    <w:rsid w:val="00483515"/>
    <w:rsid w:val="00483687"/>
    <w:rsid w:val="00484CC5"/>
    <w:rsid w:val="0048518B"/>
    <w:rsid w:val="00486F36"/>
    <w:rsid w:val="004875E5"/>
    <w:rsid w:val="004876DC"/>
    <w:rsid w:val="004878FA"/>
    <w:rsid w:val="004879F2"/>
    <w:rsid w:val="00490111"/>
    <w:rsid w:val="004906E0"/>
    <w:rsid w:val="004920F1"/>
    <w:rsid w:val="00492173"/>
    <w:rsid w:val="004924B0"/>
    <w:rsid w:val="00492C88"/>
    <w:rsid w:val="00494D9A"/>
    <w:rsid w:val="004A052E"/>
    <w:rsid w:val="004A097B"/>
    <w:rsid w:val="004A1235"/>
    <w:rsid w:val="004A3445"/>
    <w:rsid w:val="004A448E"/>
    <w:rsid w:val="004A51D1"/>
    <w:rsid w:val="004A53DB"/>
    <w:rsid w:val="004A6536"/>
    <w:rsid w:val="004A70E1"/>
    <w:rsid w:val="004A73E7"/>
    <w:rsid w:val="004A7D6B"/>
    <w:rsid w:val="004A7E82"/>
    <w:rsid w:val="004B001B"/>
    <w:rsid w:val="004B0051"/>
    <w:rsid w:val="004B09B8"/>
    <w:rsid w:val="004B100F"/>
    <w:rsid w:val="004B2853"/>
    <w:rsid w:val="004B5EEB"/>
    <w:rsid w:val="004B68B7"/>
    <w:rsid w:val="004C01F9"/>
    <w:rsid w:val="004C0A4E"/>
    <w:rsid w:val="004C201B"/>
    <w:rsid w:val="004C227A"/>
    <w:rsid w:val="004C22CF"/>
    <w:rsid w:val="004C26F6"/>
    <w:rsid w:val="004C2FC9"/>
    <w:rsid w:val="004C5211"/>
    <w:rsid w:val="004C5D28"/>
    <w:rsid w:val="004C7902"/>
    <w:rsid w:val="004D17FB"/>
    <w:rsid w:val="004D2348"/>
    <w:rsid w:val="004D2BFC"/>
    <w:rsid w:val="004D3951"/>
    <w:rsid w:val="004D5DDC"/>
    <w:rsid w:val="004D73B8"/>
    <w:rsid w:val="004D7785"/>
    <w:rsid w:val="004E096C"/>
    <w:rsid w:val="004E1773"/>
    <w:rsid w:val="004E1956"/>
    <w:rsid w:val="004E356B"/>
    <w:rsid w:val="004E35C6"/>
    <w:rsid w:val="004E374E"/>
    <w:rsid w:val="004E43F9"/>
    <w:rsid w:val="004E5194"/>
    <w:rsid w:val="004E5421"/>
    <w:rsid w:val="004E5784"/>
    <w:rsid w:val="004E57BE"/>
    <w:rsid w:val="004F0E20"/>
    <w:rsid w:val="004F0EBF"/>
    <w:rsid w:val="004F1C9B"/>
    <w:rsid w:val="004F2DE3"/>
    <w:rsid w:val="004F4CE4"/>
    <w:rsid w:val="004F5001"/>
    <w:rsid w:val="004F6734"/>
    <w:rsid w:val="005012EE"/>
    <w:rsid w:val="005016EC"/>
    <w:rsid w:val="005018F6"/>
    <w:rsid w:val="00501959"/>
    <w:rsid w:val="00501DE5"/>
    <w:rsid w:val="00502683"/>
    <w:rsid w:val="00502743"/>
    <w:rsid w:val="005027B4"/>
    <w:rsid w:val="00502B49"/>
    <w:rsid w:val="00502BCB"/>
    <w:rsid w:val="005035A0"/>
    <w:rsid w:val="0050480F"/>
    <w:rsid w:val="00504B69"/>
    <w:rsid w:val="00505294"/>
    <w:rsid w:val="005063F8"/>
    <w:rsid w:val="00506CD9"/>
    <w:rsid w:val="00506EEE"/>
    <w:rsid w:val="00507412"/>
    <w:rsid w:val="00507F91"/>
    <w:rsid w:val="005109FF"/>
    <w:rsid w:val="0051165C"/>
    <w:rsid w:val="00511BDE"/>
    <w:rsid w:val="00511C81"/>
    <w:rsid w:val="00511DDB"/>
    <w:rsid w:val="00511E14"/>
    <w:rsid w:val="00512E94"/>
    <w:rsid w:val="005134EE"/>
    <w:rsid w:val="00515D8C"/>
    <w:rsid w:val="00516ADE"/>
    <w:rsid w:val="005178D8"/>
    <w:rsid w:val="00517EEA"/>
    <w:rsid w:val="00521362"/>
    <w:rsid w:val="00521705"/>
    <w:rsid w:val="00522AE5"/>
    <w:rsid w:val="0052383E"/>
    <w:rsid w:val="00523B5D"/>
    <w:rsid w:val="00524747"/>
    <w:rsid w:val="005249F7"/>
    <w:rsid w:val="00525064"/>
    <w:rsid w:val="005253F2"/>
    <w:rsid w:val="00525D4F"/>
    <w:rsid w:val="00526196"/>
    <w:rsid w:val="00526F47"/>
    <w:rsid w:val="00527596"/>
    <w:rsid w:val="00527A64"/>
    <w:rsid w:val="00527F79"/>
    <w:rsid w:val="00530CF1"/>
    <w:rsid w:val="005311CB"/>
    <w:rsid w:val="00531943"/>
    <w:rsid w:val="00535C2B"/>
    <w:rsid w:val="00535CE6"/>
    <w:rsid w:val="00536826"/>
    <w:rsid w:val="00537E82"/>
    <w:rsid w:val="005408A1"/>
    <w:rsid w:val="00540A42"/>
    <w:rsid w:val="00542E04"/>
    <w:rsid w:val="0054317E"/>
    <w:rsid w:val="00543F43"/>
    <w:rsid w:val="00544A9C"/>
    <w:rsid w:val="00545799"/>
    <w:rsid w:val="00545D2F"/>
    <w:rsid w:val="0054709F"/>
    <w:rsid w:val="0054733A"/>
    <w:rsid w:val="00547CC5"/>
    <w:rsid w:val="00547D6F"/>
    <w:rsid w:val="005502AA"/>
    <w:rsid w:val="00551906"/>
    <w:rsid w:val="00553D23"/>
    <w:rsid w:val="005548B4"/>
    <w:rsid w:val="005550A9"/>
    <w:rsid w:val="005555CA"/>
    <w:rsid w:val="005571A9"/>
    <w:rsid w:val="005572BB"/>
    <w:rsid w:val="0055780C"/>
    <w:rsid w:val="00557FB3"/>
    <w:rsid w:val="00560E4E"/>
    <w:rsid w:val="005610BD"/>
    <w:rsid w:val="005616C4"/>
    <w:rsid w:val="00564C9A"/>
    <w:rsid w:val="00565264"/>
    <w:rsid w:val="00565AD4"/>
    <w:rsid w:val="005672BE"/>
    <w:rsid w:val="00567481"/>
    <w:rsid w:val="00567844"/>
    <w:rsid w:val="00567B6C"/>
    <w:rsid w:val="00567CBF"/>
    <w:rsid w:val="005705D8"/>
    <w:rsid w:val="00570B21"/>
    <w:rsid w:val="0057259F"/>
    <w:rsid w:val="00572A5D"/>
    <w:rsid w:val="0057313F"/>
    <w:rsid w:val="00573650"/>
    <w:rsid w:val="00573A94"/>
    <w:rsid w:val="005748C1"/>
    <w:rsid w:val="00574930"/>
    <w:rsid w:val="00575781"/>
    <w:rsid w:val="005759AB"/>
    <w:rsid w:val="00575AD2"/>
    <w:rsid w:val="00576028"/>
    <w:rsid w:val="005767D4"/>
    <w:rsid w:val="0057696E"/>
    <w:rsid w:val="005769A3"/>
    <w:rsid w:val="00581457"/>
    <w:rsid w:val="00581D31"/>
    <w:rsid w:val="00581FEB"/>
    <w:rsid w:val="00582332"/>
    <w:rsid w:val="00582617"/>
    <w:rsid w:val="00583390"/>
    <w:rsid w:val="0058367D"/>
    <w:rsid w:val="00583F2C"/>
    <w:rsid w:val="00584FEC"/>
    <w:rsid w:val="00585290"/>
    <w:rsid w:val="0058594B"/>
    <w:rsid w:val="0058603C"/>
    <w:rsid w:val="00587047"/>
    <w:rsid w:val="00587327"/>
    <w:rsid w:val="0058797E"/>
    <w:rsid w:val="005907D7"/>
    <w:rsid w:val="00590A66"/>
    <w:rsid w:val="00590DA9"/>
    <w:rsid w:val="0059248D"/>
    <w:rsid w:val="00592C2B"/>
    <w:rsid w:val="00593317"/>
    <w:rsid w:val="00594192"/>
    <w:rsid w:val="00594BAA"/>
    <w:rsid w:val="005960EB"/>
    <w:rsid w:val="0059656E"/>
    <w:rsid w:val="00596FC9"/>
    <w:rsid w:val="0059787D"/>
    <w:rsid w:val="005A0428"/>
    <w:rsid w:val="005A0FA2"/>
    <w:rsid w:val="005A1468"/>
    <w:rsid w:val="005A1B68"/>
    <w:rsid w:val="005A1D7C"/>
    <w:rsid w:val="005A27F0"/>
    <w:rsid w:val="005A293D"/>
    <w:rsid w:val="005A4045"/>
    <w:rsid w:val="005A489C"/>
    <w:rsid w:val="005A544F"/>
    <w:rsid w:val="005A65C3"/>
    <w:rsid w:val="005A6FE0"/>
    <w:rsid w:val="005A75C5"/>
    <w:rsid w:val="005B3038"/>
    <w:rsid w:val="005B34C3"/>
    <w:rsid w:val="005B38B1"/>
    <w:rsid w:val="005B3E1C"/>
    <w:rsid w:val="005B5E4D"/>
    <w:rsid w:val="005B6336"/>
    <w:rsid w:val="005B6373"/>
    <w:rsid w:val="005B6712"/>
    <w:rsid w:val="005B75D7"/>
    <w:rsid w:val="005B7C29"/>
    <w:rsid w:val="005B7ECC"/>
    <w:rsid w:val="005C0ACB"/>
    <w:rsid w:val="005C1552"/>
    <w:rsid w:val="005C1904"/>
    <w:rsid w:val="005C2080"/>
    <w:rsid w:val="005C23D6"/>
    <w:rsid w:val="005C28A1"/>
    <w:rsid w:val="005C3F3A"/>
    <w:rsid w:val="005C4997"/>
    <w:rsid w:val="005C49C9"/>
    <w:rsid w:val="005C59A5"/>
    <w:rsid w:val="005C6227"/>
    <w:rsid w:val="005C66D1"/>
    <w:rsid w:val="005C75E0"/>
    <w:rsid w:val="005C7C72"/>
    <w:rsid w:val="005C7DFD"/>
    <w:rsid w:val="005D05CA"/>
    <w:rsid w:val="005D0963"/>
    <w:rsid w:val="005D0B50"/>
    <w:rsid w:val="005D0D17"/>
    <w:rsid w:val="005D1713"/>
    <w:rsid w:val="005D1EFB"/>
    <w:rsid w:val="005D2EB4"/>
    <w:rsid w:val="005D37B1"/>
    <w:rsid w:val="005D5EA9"/>
    <w:rsid w:val="005D6D73"/>
    <w:rsid w:val="005D70F6"/>
    <w:rsid w:val="005D7498"/>
    <w:rsid w:val="005E07C1"/>
    <w:rsid w:val="005E0E7A"/>
    <w:rsid w:val="005E17CE"/>
    <w:rsid w:val="005E1A9D"/>
    <w:rsid w:val="005E1D7D"/>
    <w:rsid w:val="005E2371"/>
    <w:rsid w:val="005E33C7"/>
    <w:rsid w:val="005E3BAE"/>
    <w:rsid w:val="005E4721"/>
    <w:rsid w:val="005E506C"/>
    <w:rsid w:val="005E57D6"/>
    <w:rsid w:val="005E7147"/>
    <w:rsid w:val="005E767B"/>
    <w:rsid w:val="005E7D6E"/>
    <w:rsid w:val="005F21E7"/>
    <w:rsid w:val="005F3269"/>
    <w:rsid w:val="005F5321"/>
    <w:rsid w:val="005F638A"/>
    <w:rsid w:val="005F7062"/>
    <w:rsid w:val="005F7B60"/>
    <w:rsid w:val="006007A8"/>
    <w:rsid w:val="00600BC6"/>
    <w:rsid w:val="006014A5"/>
    <w:rsid w:val="00602867"/>
    <w:rsid w:val="0060309A"/>
    <w:rsid w:val="00605517"/>
    <w:rsid w:val="00606806"/>
    <w:rsid w:val="0060690B"/>
    <w:rsid w:val="00606E74"/>
    <w:rsid w:val="00607EB0"/>
    <w:rsid w:val="00610212"/>
    <w:rsid w:val="006119AF"/>
    <w:rsid w:val="00612386"/>
    <w:rsid w:val="006128B5"/>
    <w:rsid w:val="00612C72"/>
    <w:rsid w:val="00612E8B"/>
    <w:rsid w:val="00613863"/>
    <w:rsid w:val="00613EE5"/>
    <w:rsid w:val="00615267"/>
    <w:rsid w:val="00615C12"/>
    <w:rsid w:val="0061621B"/>
    <w:rsid w:val="006165BF"/>
    <w:rsid w:val="006176E3"/>
    <w:rsid w:val="00617AF1"/>
    <w:rsid w:val="006202BD"/>
    <w:rsid w:val="00621600"/>
    <w:rsid w:val="0062183D"/>
    <w:rsid w:val="00622094"/>
    <w:rsid w:val="00622648"/>
    <w:rsid w:val="006235E7"/>
    <w:rsid w:val="00623DA9"/>
    <w:rsid w:val="006251B9"/>
    <w:rsid w:val="00625BF4"/>
    <w:rsid w:val="006267CF"/>
    <w:rsid w:val="00626FD0"/>
    <w:rsid w:val="0063019C"/>
    <w:rsid w:val="00631A56"/>
    <w:rsid w:val="00631A92"/>
    <w:rsid w:val="006320AA"/>
    <w:rsid w:val="00633594"/>
    <w:rsid w:val="006367EC"/>
    <w:rsid w:val="006371C9"/>
    <w:rsid w:val="0063765C"/>
    <w:rsid w:val="0063780E"/>
    <w:rsid w:val="006378EB"/>
    <w:rsid w:val="00637D4B"/>
    <w:rsid w:val="00637FC0"/>
    <w:rsid w:val="006401C5"/>
    <w:rsid w:val="00640684"/>
    <w:rsid w:val="00642233"/>
    <w:rsid w:val="0064266F"/>
    <w:rsid w:val="006434B5"/>
    <w:rsid w:val="00643C7B"/>
    <w:rsid w:val="0064552E"/>
    <w:rsid w:val="00647DDB"/>
    <w:rsid w:val="00647DF4"/>
    <w:rsid w:val="00650E46"/>
    <w:rsid w:val="00651232"/>
    <w:rsid w:val="006518A9"/>
    <w:rsid w:val="00651B72"/>
    <w:rsid w:val="00651D0A"/>
    <w:rsid w:val="006523A4"/>
    <w:rsid w:val="00652D51"/>
    <w:rsid w:val="0065300A"/>
    <w:rsid w:val="00655991"/>
    <w:rsid w:val="00655CE8"/>
    <w:rsid w:val="006565CC"/>
    <w:rsid w:val="00656B34"/>
    <w:rsid w:val="006575FC"/>
    <w:rsid w:val="00660BD2"/>
    <w:rsid w:val="00660F94"/>
    <w:rsid w:val="00661197"/>
    <w:rsid w:val="00663304"/>
    <w:rsid w:val="0066400F"/>
    <w:rsid w:val="00664BC7"/>
    <w:rsid w:val="006655A2"/>
    <w:rsid w:val="00665974"/>
    <w:rsid w:val="00666ECC"/>
    <w:rsid w:val="00667B98"/>
    <w:rsid w:val="00667FC4"/>
    <w:rsid w:val="006706ED"/>
    <w:rsid w:val="00670CD2"/>
    <w:rsid w:val="00671A80"/>
    <w:rsid w:val="00671D5D"/>
    <w:rsid w:val="00672E7E"/>
    <w:rsid w:val="00674575"/>
    <w:rsid w:val="00674CF0"/>
    <w:rsid w:val="006756B2"/>
    <w:rsid w:val="00675F18"/>
    <w:rsid w:val="00676C19"/>
    <w:rsid w:val="006777BA"/>
    <w:rsid w:val="0068069F"/>
    <w:rsid w:val="0068109C"/>
    <w:rsid w:val="00681684"/>
    <w:rsid w:val="00681A9A"/>
    <w:rsid w:val="00681D17"/>
    <w:rsid w:val="0068227E"/>
    <w:rsid w:val="006838CE"/>
    <w:rsid w:val="006844A8"/>
    <w:rsid w:val="00685A94"/>
    <w:rsid w:val="00685C51"/>
    <w:rsid w:val="0068672C"/>
    <w:rsid w:val="00687DD1"/>
    <w:rsid w:val="00690050"/>
    <w:rsid w:val="0069066D"/>
    <w:rsid w:val="006914E8"/>
    <w:rsid w:val="006939A9"/>
    <w:rsid w:val="0069419C"/>
    <w:rsid w:val="006946F1"/>
    <w:rsid w:val="00695129"/>
    <w:rsid w:val="00695ECF"/>
    <w:rsid w:val="006A0815"/>
    <w:rsid w:val="006A091C"/>
    <w:rsid w:val="006A0F04"/>
    <w:rsid w:val="006A1531"/>
    <w:rsid w:val="006A1E46"/>
    <w:rsid w:val="006A242C"/>
    <w:rsid w:val="006A28BE"/>
    <w:rsid w:val="006A2C05"/>
    <w:rsid w:val="006A2F5A"/>
    <w:rsid w:val="006A4242"/>
    <w:rsid w:val="006A4D72"/>
    <w:rsid w:val="006A5427"/>
    <w:rsid w:val="006A5745"/>
    <w:rsid w:val="006A5A85"/>
    <w:rsid w:val="006A6025"/>
    <w:rsid w:val="006A6B4E"/>
    <w:rsid w:val="006A7817"/>
    <w:rsid w:val="006B17F9"/>
    <w:rsid w:val="006B1B7D"/>
    <w:rsid w:val="006B2EA4"/>
    <w:rsid w:val="006B34D6"/>
    <w:rsid w:val="006B696D"/>
    <w:rsid w:val="006B6ABF"/>
    <w:rsid w:val="006B6D4F"/>
    <w:rsid w:val="006B79B3"/>
    <w:rsid w:val="006B7A5E"/>
    <w:rsid w:val="006B7C8D"/>
    <w:rsid w:val="006B7F50"/>
    <w:rsid w:val="006C013A"/>
    <w:rsid w:val="006C02FC"/>
    <w:rsid w:val="006C0370"/>
    <w:rsid w:val="006C0F20"/>
    <w:rsid w:val="006C101B"/>
    <w:rsid w:val="006C120D"/>
    <w:rsid w:val="006C2140"/>
    <w:rsid w:val="006C2D17"/>
    <w:rsid w:val="006C2E69"/>
    <w:rsid w:val="006C338C"/>
    <w:rsid w:val="006C3D34"/>
    <w:rsid w:val="006C3F88"/>
    <w:rsid w:val="006C4028"/>
    <w:rsid w:val="006C45CA"/>
    <w:rsid w:val="006C6738"/>
    <w:rsid w:val="006C6C05"/>
    <w:rsid w:val="006C741E"/>
    <w:rsid w:val="006D0817"/>
    <w:rsid w:val="006D1630"/>
    <w:rsid w:val="006D2A28"/>
    <w:rsid w:val="006D356F"/>
    <w:rsid w:val="006D3AEA"/>
    <w:rsid w:val="006D3B68"/>
    <w:rsid w:val="006D4CE9"/>
    <w:rsid w:val="006D530B"/>
    <w:rsid w:val="006D5FA1"/>
    <w:rsid w:val="006D6424"/>
    <w:rsid w:val="006D65C0"/>
    <w:rsid w:val="006D6C54"/>
    <w:rsid w:val="006D6CB8"/>
    <w:rsid w:val="006D6CDF"/>
    <w:rsid w:val="006D790D"/>
    <w:rsid w:val="006E0AE1"/>
    <w:rsid w:val="006E135E"/>
    <w:rsid w:val="006E1418"/>
    <w:rsid w:val="006E1658"/>
    <w:rsid w:val="006E16E1"/>
    <w:rsid w:val="006E2056"/>
    <w:rsid w:val="006E2205"/>
    <w:rsid w:val="006E24B4"/>
    <w:rsid w:val="006E272F"/>
    <w:rsid w:val="006E3437"/>
    <w:rsid w:val="006E358B"/>
    <w:rsid w:val="006E3CC5"/>
    <w:rsid w:val="006E48F9"/>
    <w:rsid w:val="006E706A"/>
    <w:rsid w:val="006E7BE2"/>
    <w:rsid w:val="006E7E5F"/>
    <w:rsid w:val="006F0FD6"/>
    <w:rsid w:val="006F105E"/>
    <w:rsid w:val="006F108E"/>
    <w:rsid w:val="006F1824"/>
    <w:rsid w:val="006F2325"/>
    <w:rsid w:val="006F2E3F"/>
    <w:rsid w:val="006F3215"/>
    <w:rsid w:val="006F3D7D"/>
    <w:rsid w:val="006F3DA2"/>
    <w:rsid w:val="006F40EE"/>
    <w:rsid w:val="006F41C5"/>
    <w:rsid w:val="006F4693"/>
    <w:rsid w:val="006F4F4D"/>
    <w:rsid w:val="006F5367"/>
    <w:rsid w:val="006F575B"/>
    <w:rsid w:val="007000E7"/>
    <w:rsid w:val="007002A2"/>
    <w:rsid w:val="00700CC7"/>
    <w:rsid w:val="00700E61"/>
    <w:rsid w:val="007012E4"/>
    <w:rsid w:val="007014C7"/>
    <w:rsid w:val="007015BA"/>
    <w:rsid w:val="00701923"/>
    <w:rsid w:val="007034E7"/>
    <w:rsid w:val="00704C92"/>
    <w:rsid w:val="00704DE5"/>
    <w:rsid w:val="007055C8"/>
    <w:rsid w:val="00705E27"/>
    <w:rsid w:val="00706B6C"/>
    <w:rsid w:val="00706BB5"/>
    <w:rsid w:val="00711625"/>
    <w:rsid w:val="00711B6B"/>
    <w:rsid w:val="0071218E"/>
    <w:rsid w:val="007132EF"/>
    <w:rsid w:val="0071338F"/>
    <w:rsid w:val="00713B5A"/>
    <w:rsid w:val="00714FD7"/>
    <w:rsid w:val="0071560B"/>
    <w:rsid w:val="00716972"/>
    <w:rsid w:val="007169E0"/>
    <w:rsid w:val="0071761A"/>
    <w:rsid w:val="00717FE5"/>
    <w:rsid w:val="00720559"/>
    <w:rsid w:val="00721E42"/>
    <w:rsid w:val="00722C97"/>
    <w:rsid w:val="00723B0F"/>
    <w:rsid w:val="0072478F"/>
    <w:rsid w:val="00725F34"/>
    <w:rsid w:val="007262E2"/>
    <w:rsid w:val="00726B45"/>
    <w:rsid w:val="007303D3"/>
    <w:rsid w:val="0073094C"/>
    <w:rsid w:val="007317A2"/>
    <w:rsid w:val="007323B6"/>
    <w:rsid w:val="00732868"/>
    <w:rsid w:val="007328A6"/>
    <w:rsid w:val="00732DF7"/>
    <w:rsid w:val="00734DB0"/>
    <w:rsid w:val="007350F2"/>
    <w:rsid w:val="007352ED"/>
    <w:rsid w:val="00741527"/>
    <w:rsid w:val="007425DE"/>
    <w:rsid w:val="0074363B"/>
    <w:rsid w:val="00744D7F"/>
    <w:rsid w:val="007457F4"/>
    <w:rsid w:val="00746325"/>
    <w:rsid w:val="007467A0"/>
    <w:rsid w:val="00747A23"/>
    <w:rsid w:val="00747CAE"/>
    <w:rsid w:val="007501AD"/>
    <w:rsid w:val="007530C9"/>
    <w:rsid w:val="00753AFE"/>
    <w:rsid w:val="00753D34"/>
    <w:rsid w:val="007540EF"/>
    <w:rsid w:val="00756449"/>
    <w:rsid w:val="0075647E"/>
    <w:rsid w:val="00756F4D"/>
    <w:rsid w:val="007602EC"/>
    <w:rsid w:val="00761161"/>
    <w:rsid w:val="00761314"/>
    <w:rsid w:val="00763321"/>
    <w:rsid w:val="0076339E"/>
    <w:rsid w:val="00764C19"/>
    <w:rsid w:val="0076582A"/>
    <w:rsid w:val="007662E4"/>
    <w:rsid w:val="00766633"/>
    <w:rsid w:val="00766987"/>
    <w:rsid w:val="00767AAC"/>
    <w:rsid w:val="00767C5F"/>
    <w:rsid w:val="00767F3E"/>
    <w:rsid w:val="00770436"/>
    <w:rsid w:val="00771EBA"/>
    <w:rsid w:val="00772026"/>
    <w:rsid w:val="00772102"/>
    <w:rsid w:val="0077259F"/>
    <w:rsid w:val="00774FC6"/>
    <w:rsid w:val="007752F3"/>
    <w:rsid w:val="0077539B"/>
    <w:rsid w:val="00775E6D"/>
    <w:rsid w:val="00775F9A"/>
    <w:rsid w:val="00776611"/>
    <w:rsid w:val="00777381"/>
    <w:rsid w:val="00777CD4"/>
    <w:rsid w:val="00780F96"/>
    <w:rsid w:val="00782B0A"/>
    <w:rsid w:val="00784929"/>
    <w:rsid w:val="007855BC"/>
    <w:rsid w:val="00785C87"/>
    <w:rsid w:val="00785CC5"/>
    <w:rsid w:val="00785EE3"/>
    <w:rsid w:val="00787375"/>
    <w:rsid w:val="00787AF6"/>
    <w:rsid w:val="00787C17"/>
    <w:rsid w:val="007906ED"/>
    <w:rsid w:val="00791CAA"/>
    <w:rsid w:val="0079212A"/>
    <w:rsid w:val="00792CA8"/>
    <w:rsid w:val="007935A6"/>
    <w:rsid w:val="00794CB6"/>
    <w:rsid w:val="00794CEE"/>
    <w:rsid w:val="00795935"/>
    <w:rsid w:val="00795A95"/>
    <w:rsid w:val="007A2131"/>
    <w:rsid w:val="007A2D82"/>
    <w:rsid w:val="007A60E6"/>
    <w:rsid w:val="007A6DB8"/>
    <w:rsid w:val="007A6EFE"/>
    <w:rsid w:val="007B0248"/>
    <w:rsid w:val="007B2EDD"/>
    <w:rsid w:val="007B2FE8"/>
    <w:rsid w:val="007B33CE"/>
    <w:rsid w:val="007B5A6C"/>
    <w:rsid w:val="007B6466"/>
    <w:rsid w:val="007B6533"/>
    <w:rsid w:val="007C0472"/>
    <w:rsid w:val="007C0C6C"/>
    <w:rsid w:val="007C15FE"/>
    <w:rsid w:val="007C43DD"/>
    <w:rsid w:val="007C497C"/>
    <w:rsid w:val="007C49E3"/>
    <w:rsid w:val="007C6295"/>
    <w:rsid w:val="007C688A"/>
    <w:rsid w:val="007C7190"/>
    <w:rsid w:val="007C762F"/>
    <w:rsid w:val="007D0120"/>
    <w:rsid w:val="007D0502"/>
    <w:rsid w:val="007D1479"/>
    <w:rsid w:val="007D2BC5"/>
    <w:rsid w:val="007D2D34"/>
    <w:rsid w:val="007D3A0A"/>
    <w:rsid w:val="007D4431"/>
    <w:rsid w:val="007D4D37"/>
    <w:rsid w:val="007D62DA"/>
    <w:rsid w:val="007E09BF"/>
    <w:rsid w:val="007E0E0A"/>
    <w:rsid w:val="007E10A1"/>
    <w:rsid w:val="007E1407"/>
    <w:rsid w:val="007E1638"/>
    <w:rsid w:val="007E18EC"/>
    <w:rsid w:val="007E1953"/>
    <w:rsid w:val="007E259D"/>
    <w:rsid w:val="007E2B13"/>
    <w:rsid w:val="007E466D"/>
    <w:rsid w:val="007E5AF3"/>
    <w:rsid w:val="007E5B49"/>
    <w:rsid w:val="007E7085"/>
    <w:rsid w:val="007E75C9"/>
    <w:rsid w:val="007E7B8F"/>
    <w:rsid w:val="007F072A"/>
    <w:rsid w:val="007F21E9"/>
    <w:rsid w:val="007F3D10"/>
    <w:rsid w:val="007F435C"/>
    <w:rsid w:val="007F43F2"/>
    <w:rsid w:val="007F5E5B"/>
    <w:rsid w:val="007F6015"/>
    <w:rsid w:val="007F78E4"/>
    <w:rsid w:val="007F7911"/>
    <w:rsid w:val="008023AF"/>
    <w:rsid w:val="00802AE8"/>
    <w:rsid w:val="00802C3D"/>
    <w:rsid w:val="0080306D"/>
    <w:rsid w:val="00804226"/>
    <w:rsid w:val="00806A05"/>
    <w:rsid w:val="00806DEF"/>
    <w:rsid w:val="008103AE"/>
    <w:rsid w:val="00810427"/>
    <w:rsid w:val="008104E9"/>
    <w:rsid w:val="00810675"/>
    <w:rsid w:val="00810A59"/>
    <w:rsid w:val="0081223A"/>
    <w:rsid w:val="0081285A"/>
    <w:rsid w:val="00814C27"/>
    <w:rsid w:val="00815D46"/>
    <w:rsid w:val="00815F10"/>
    <w:rsid w:val="0081618E"/>
    <w:rsid w:val="008162EE"/>
    <w:rsid w:val="00816930"/>
    <w:rsid w:val="00817399"/>
    <w:rsid w:val="00817E81"/>
    <w:rsid w:val="008224C2"/>
    <w:rsid w:val="00822C6D"/>
    <w:rsid w:val="00824B4B"/>
    <w:rsid w:val="00824F61"/>
    <w:rsid w:val="008253D1"/>
    <w:rsid w:val="00826B84"/>
    <w:rsid w:val="00826D5E"/>
    <w:rsid w:val="00826FD3"/>
    <w:rsid w:val="008270A5"/>
    <w:rsid w:val="00832975"/>
    <w:rsid w:val="008332ED"/>
    <w:rsid w:val="008355E6"/>
    <w:rsid w:val="00836850"/>
    <w:rsid w:val="00840378"/>
    <w:rsid w:val="0084161C"/>
    <w:rsid w:val="0084181F"/>
    <w:rsid w:val="008439CB"/>
    <w:rsid w:val="00843FCA"/>
    <w:rsid w:val="00844464"/>
    <w:rsid w:val="0084446B"/>
    <w:rsid w:val="00844651"/>
    <w:rsid w:val="00845735"/>
    <w:rsid w:val="0084582C"/>
    <w:rsid w:val="00846623"/>
    <w:rsid w:val="0085025F"/>
    <w:rsid w:val="008509DE"/>
    <w:rsid w:val="00850A4D"/>
    <w:rsid w:val="0085193E"/>
    <w:rsid w:val="0085201A"/>
    <w:rsid w:val="0085281D"/>
    <w:rsid w:val="00853E7B"/>
    <w:rsid w:val="0085487D"/>
    <w:rsid w:val="00854BF4"/>
    <w:rsid w:val="0085503C"/>
    <w:rsid w:val="008555DF"/>
    <w:rsid w:val="00856768"/>
    <w:rsid w:val="008570A2"/>
    <w:rsid w:val="00857449"/>
    <w:rsid w:val="00860BCB"/>
    <w:rsid w:val="008615BF"/>
    <w:rsid w:val="00861D25"/>
    <w:rsid w:val="00862182"/>
    <w:rsid w:val="008628A2"/>
    <w:rsid w:val="00862CFF"/>
    <w:rsid w:val="00863066"/>
    <w:rsid w:val="008631C4"/>
    <w:rsid w:val="0086389E"/>
    <w:rsid w:val="00864B92"/>
    <w:rsid w:val="008652AE"/>
    <w:rsid w:val="0086579F"/>
    <w:rsid w:val="00865A2E"/>
    <w:rsid w:val="00866DB4"/>
    <w:rsid w:val="0086718F"/>
    <w:rsid w:val="00867C06"/>
    <w:rsid w:val="008705B0"/>
    <w:rsid w:val="008709C1"/>
    <w:rsid w:val="00870A64"/>
    <w:rsid w:val="00871DE9"/>
    <w:rsid w:val="00872468"/>
    <w:rsid w:val="008727C7"/>
    <w:rsid w:val="00873A69"/>
    <w:rsid w:val="00875AF1"/>
    <w:rsid w:val="00876638"/>
    <w:rsid w:val="00877190"/>
    <w:rsid w:val="00880460"/>
    <w:rsid w:val="00880C52"/>
    <w:rsid w:val="00880D9E"/>
    <w:rsid w:val="00880E0A"/>
    <w:rsid w:val="008822C7"/>
    <w:rsid w:val="0088315B"/>
    <w:rsid w:val="00884256"/>
    <w:rsid w:val="008848E6"/>
    <w:rsid w:val="00884E1C"/>
    <w:rsid w:val="00885193"/>
    <w:rsid w:val="0088554C"/>
    <w:rsid w:val="00885DD7"/>
    <w:rsid w:val="008862CE"/>
    <w:rsid w:val="008902BF"/>
    <w:rsid w:val="00891209"/>
    <w:rsid w:val="00892596"/>
    <w:rsid w:val="00892C10"/>
    <w:rsid w:val="008930DE"/>
    <w:rsid w:val="00895E39"/>
    <w:rsid w:val="008960D7"/>
    <w:rsid w:val="00896C78"/>
    <w:rsid w:val="00897669"/>
    <w:rsid w:val="008A03D7"/>
    <w:rsid w:val="008A240C"/>
    <w:rsid w:val="008A2EBC"/>
    <w:rsid w:val="008A32F6"/>
    <w:rsid w:val="008A34A9"/>
    <w:rsid w:val="008A3D3F"/>
    <w:rsid w:val="008A4656"/>
    <w:rsid w:val="008A4A3F"/>
    <w:rsid w:val="008A70EC"/>
    <w:rsid w:val="008B0017"/>
    <w:rsid w:val="008B1A19"/>
    <w:rsid w:val="008B1D7E"/>
    <w:rsid w:val="008B3AED"/>
    <w:rsid w:val="008B3BE6"/>
    <w:rsid w:val="008B4A9E"/>
    <w:rsid w:val="008B4AD7"/>
    <w:rsid w:val="008B527A"/>
    <w:rsid w:val="008B636F"/>
    <w:rsid w:val="008B66DD"/>
    <w:rsid w:val="008B773F"/>
    <w:rsid w:val="008B7B5B"/>
    <w:rsid w:val="008C083F"/>
    <w:rsid w:val="008C0C79"/>
    <w:rsid w:val="008C1091"/>
    <w:rsid w:val="008C1274"/>
    <w:rsid w:val="008C19F1"/>
    <w:rsid w:val="008C1A38"/>
    <w:rsid w:val="008C1B9D"/>
    <w:rsid w:val="008C39BE"/>
    <w:rsid w:val="008C43D1"/>
    <w:rsid w:val="008C4866"/>
    <w:rsid w:val="008C5032"/>
    <w:rsid w:val="008C687E"/>
    <w:rsid w:val="008C6AED"/>
    <w:rsid w:val="008C6F7D"/>
    <w:rsid w:val="008C7E2A"/>
    <w:rsid w:val="008D1870"/>
    <w:rsid w:val="008D225C"/>
    <w:rsid w:val="008D252B"/>
    <w:rsid w:val="008D27B2"/>
    <w:rsid w:val="008D354E"/>
    <w:rsid w:val="008D3CD5"/>
    <w:rsid w:val="008D43B6"/>
    <w:rsid w:val="008D62C0"/>
    <w:rsid w:val="008E0665"/>
    <w:rsid w:val="008E0876"/>
    <w:rsid w:val="008E2638"/>
    <w:rsid w:val="008E3583"/>
    <w:rsid w:val="008E3F26"/>
    <w:rsid w:val="008E5A34"/>
    <w:rsid w:val="008E5E99"/>
    <w:rsid w:val="008E62F9"/>
    <w:rsid w:val="008E6332"/>
    <w:rsid w:val="008E6EC3"/>
    <w:rsid w:val="008E7978"/>
    <w:rsid w:val="008F0A4D"/>
    <w:rsid w:val="008F1B7A"/>
    <w:rsid w:val="008F2D2E"/>
    <w:rsid w:val="008F32ED"/>
    <w:rsid w:val="008F34BC"/>
    <w:rsid w:val="008F5147"/>
    <w:rsid w:val="008F6660"/>
    <w:rsid w:val="008F67F0"/>
    <w:rsid w:val="00900360"/>
    <w:rsid w:val="0090056C"/>
    <w:rsid w:val="00900B37"/>
    <w:rsid w:val="009016E6"/>
    <w:rsid w:val="009017B8"/>
    <w:rsid w:val="00902178"/>
    <w:rsid w:val="00902668"/>
    <w:rsid w:val="00902FCC"/>
    <w:rsid w:val="00903861"/>
    <w:rsid w:val="00903985"/>
    <w:rsid w:val="00904108"/>
    <w:rsid w:val="00905631"/>
    <w:rsid w:val="00905972"/>
    <w:rsid w:val="00905D63"/>
    <w:rsid w:val="00906670"/>
    <w:rsid w:val="00906EEC"/>
    <w:rsid w:val="00907276"/>
    <w:rsid w:val="00910FE1"/>
    <w:rsid w:val="0091152B"/>
    <w:rsid w:val="009117ED"/>
    <w:rsid w:val="00911E94"/>
    <w:rsid w:val="00912434"/>
    <w:rsid w:val="009136C5"/>
    <w:rsid w:val="009153B2"/>
    <w:rsid w:val="00916364"/>
    <w:rsid w:val="009168DF"/>
    <w:rsid w:val="00917543"/>
    <w:rsid w:val="00917C35"/>
    <w:rsid w:val="009208C1"/>
    <w:rsid w:val="00920C77"/>
    <w:rsid w:val="0092116B"/>
    <w:rsid w:val="00921A53"/>
    <w:rsid w:val="0092268E"/>
    <w:rsid w:val="00922D83"/>
    <w:rsid w:val="00925893"/>
    <w:rsid w:val="00925E52"/>
    <w:rsid w:val="00926C47"/>
    <w:rsid w:val="00927CF0"/>
    <w:rsid w:val="00927E37"/>
    <w:rsid w:val="009306F7"/>
    <w:rsid w:val="00930A66"/>
    <w:rsid w:val="009310A2"/>
    <w:rsid w:val="0093259C"/>
    <w:rsid w:val="0093259E"/>
    <w:rsid w:val="00932C26"/>
    <w:rsid w:val="00933FD2"/>
    <w:rsid w:val="00934964"/>
    <w:rsid w:val="00934EF6"/>
    <w:rsid w:val="00934FB7"/>
    <w:rsid w:val="00935E86"/>
    <w:rsid w:val="00936FC4"/>
    <w:rsid w:val="00937F18"/>
    <w:rsid w:val="0094003C"/>
    <w:rsid w:val="00940C56"/>
    <w:rsid w:val="00940F9A"/>
    <w:rsid w:val="0094132C"/>
    <w:rsid w:val="00943618"/>
    <w:rsid w:val="00943B82"/>
    <w:rsid w:val="00944110"/>
    <w:rsid w:val="00945088"/>
    <w:rsid w:val="0094519E"/>
    <w:rsid w:val="00945581"/>
    <w:rsid w:val="009459A1"/>
    <w:rsid w:val="00946A9D"/>
    <w:rsid w:val="00946D83"/>
    <w:rsid w:val="00947519"/>
    <w:rsid w:val="00947666"/>
    <w:rsid w:val="00947CE5"/>
    <w:rsid w:val="0095037F"/>
    <w:rsid w:val="0095063C"/>
    <w:rsid w:val="00950B1F"/>
    <w:rsid w:val="00951B87"/>
    <w:rsid w:val="00951E92"/>
    <w:rsid w:val="00952440"/>
    <w:rsid w:val="00952E59"/>
    <w:rsid w:val="00952E5F"/>
    <w:rsid w:val="00952FF6"/>
    <w:rsid w:val="00953428"/>
    <w:rsid w:val="00954BE9"/>
    <w:rsid w:val="00954C1D"/>
    <w:rsid w:val="009557D8"/>
    <w:rsid w:val="00956078"/>
    <w:rsid w:val="009566E5"/>
    <w:rsid w:val="009568B4"/>
    <w:rsid w:val="009609B6"/>
    <w:rsid w:val="00960D3A"/>
    <w:rsid w:val="00961E2D"/>
    <w:rsid w:val="00962156"/>
    <w:rsid w:val="009623E5"/>
    <w:rsid w:val="00962659"/>
    <w:rsid w:val="009626E7"/>
    <w:rsid w:val="00962E8E"/>
    <w:rsid w:val="009630AD"/>
    <w:rsid w:val="00963A5A"/>
    <w:rsid w:val="0096556E"/>
    <w:rsid w:val="00965B21"/>
    <w:rsid w:val="00965E7F"/>
    <w:rsid w:val="0096652E"/>
    <w:rsid w:val="0096658C"/>
    <w:rsid w:val="00966950"/>
    <w:rsid w:val="00966C68"/>
    <w:rsid w:val="00967AD9"/>
    <w:rsid w:val="00971DDB"/>
    <w:rsid w:val="00972ED4"/>
    <w:rsid w:val="009733B8"/>
    <w:rsid w:val="00975B4A"/>
    <w:rsid w:val="00975DDB"/>
    <w:rsid w:val="009761F0"/>
    <w:rsid w:val="00976328"/>
    <w:rsid w:val="009807E7"/>
    <w:rsid w:val="00981F7F"/>
    <w:rsid w:val="009828A7"/>
    <w:rsid w:val="00982932"/>
    <w:rsid w:val="009830F1"/>
    <w:rsid w:val="00983E54"/>
    <w:rsid w:val="00984499"/>
    <w:rsid w:val="00984B8B"/>
    <w:rsid w:val="0098739C"/>
    <w:rsid w:val="0098766A"/>
    <w:rsid w:val="00987C59"/>
    <w:rsid w:val="00987D28"/>
    <w:rsid w:val="009900C2"/>
    <w:rsid w:val="0099036B"/>
    <w:rsid w:val="00990A44"/>
    <w:rsid w:val="009917E0"/>
    <w:rsid w:val="00991D44"/>
    <w:rsid w:val="00992CF3"/>
    <w:rsid w:val="00992DE2"/>
    <w:rsid w:val="0099328A"/>
    <w:rsid w:val="00993C83"/>
    <w:rsid w:val="009947D4"/>
    <w:rsid w:val="00994CB0"/>
    <w:rsid w:val="009952F5"/>
    <w:rsid w:val="00995356"/>
    <w:rsid w:val="00995CCA"/>
    <w:rsid w:val="00996C57"/>
    <w:rsid w:val="009970F0"/>
    <w:rsid w:val="009A0CEE"/>
    <w:rsid w:val="009A1FC2"/>
    <w:rsid w:val="009A2737"/>
    <w:rsid w:val="009A2779"/>
    <w:rsid w:val="009A2837"/>
    <w:rsid w:val="009A28EB"/>
    <w:rsid w:val="009A3270"/>
    <w:rsid w:val="009A3500"/>
    <w:rsid w:val="009A40F0"/>
    <w:rsid w:val="009A6132"/>
    <w:rsid w:val="009A76C2"/>
    <w:rsid w:val="009A7FB2"/>
    <w:rsid w:val="009B05AA"/>
    <w:rsid w:val="009B1063"/>
    <w:rsid w:val="009B1177"/>
    <w:rsid w:val="009B2AB5"/>
    <w:rsid w:val="009B3122"/>
    <w:rsid w:val="009B5668"/>
    <w:rsid w:val="009B5738"/>
    <w:rsid w:val="009B7493"/>
    <w:rsid w:val="009B77F9"/>
    <w:rsid w:val="009B7F90"/>
    <w:rsid w:val="009C1160"/>
    <w:rsid w:val="009C127F"/>
    <w:rsid w:val="009C1FEF"/>
    <w:rsid w:val="009C3D8D"/>
    <w:rsid w:val="009C40AA"/>
    <w:rsid w:val="009C42EC"/>
    <w:rsid w:val="009C5126"/>
    <w:rsid w:val="009C61E3"/>
    <w:rsid w:val="009C6430"/>
    <w:rsid w:val="009C6EC1"/>
    <w:rsid w:val="009C71ED"/>
    <w:rsid w:val="009C7B60"/>
    <w:rsid w:val="009C7E01"/>
    <w:rsid w:val="009D09F0"/>
    <w:rsid w:val="009D0DBC"/>
    <w:rsid w:val="009D13D4"/>
    <w:rsid w:val="009D24ED"/>
    <w:rsid w:val="009D748A"/>
    <w:rsid w:val="009D7944"/>
    <w:rsid w:val="009E070F"/>
    <w:rsid w:val="009E148C"/>
    <w:rsid w:val="009E1B76"/>
    <w:rsid w:val="009E1BFE"/>
    <w:rsid w:val="009E2739"/>
    <w:rsid w:val="009E36F2"/>
    <w:rsid w:val="009E4F6D"/>
    <w:rsid w:val="009E590E"/>
    <w:rsid w:val="009E7FB0"/>
    <w:rsid w:val="009F0663"/>
    <w:rsid w:val="009F0B28"/>
    <w:rsid w:val="009F1152"/>
    <w:rsid w:val="009F1A71"/>
    <w:rsid w:val="009F5E0B"/>
    <w:rsid w:val="009F63BE"/>
    <w:rsid w:val="009F762C"/>
    <w:rsid w:val="00A000EA"/>
    <w:rsid w:val="00A0074A"/>
    <w:rsid w:val="00A008E1"/>
    <w:rsid w:val="00A00F63"/>
    <w:rsid w:val="00A01326"/>
    <w:rsid w:val="00A01E48"/>
    <w:rsid w:val="00A02E16"/>
    <w:rsid w:val="00A02EC6"/>
    <w:rsid w:val="00A0320F"/>
    <w:rsid w:val="00A03ACB"/>
    <w:rsid w:val="00A04242"/>
    <w:rsid w:val="00A04EAF"/>
    <w:rsid w:val="00A057C0"/>
    <w:rsid w:val="00A05FF3"/>
    <w:rsid w:val="00A06554"/>
    <w:rsid w:val="00A07603"/>
    <w:rsid w:val="00A076F0"/>
    <w:rsid w:val="00A07909"/>
    <w:rsid w:val="00A07939"/>
    <w:rsid w:val="00A10177"/>
    <w:rsid w:val="00A105F1"/>
    <w:rsid w:val="00A11F40"/>
    <w:rsid w:val="00A12C3B"/>
    <w:rsid w:val="00A1465C"/>
    <w:rsid w:val="00A15949"/>
    <w:rsid w:val="00A15E0E"/>
    <w:rsid w:val="00A16898"/>
    <w:rsid w:val="00A16C2C"/>
    <w:rsid w:val="00A16F06"/>
    <w:rsid w:val="00A17141"/>
    <w:rsid w:val="00A17528"/>
    <w:rsid w:val="00A207E4"/>
    <w:rsid w:val="00A207FB"/>
    <w:rsid w:val="00A22772"/>
    <w:rsid w:val="00A22A51"/>
    <w:rsid w:val="00A2360A"/>
    <w:rsid w:val="00A239CE"/>
    <w:rsid w:val="00A23B4A"/>
    <w:rsid w:val="00A23C7D"/>
    <w:rsid w:val="00A24902"/>
    <w:rsid w:val="00A25AC7"/>
    <w:rsid w:val="00A25D0F"/>
    <w:rsid w:val="00A26851"/>
    <w:rsid w:val="00A26E63"/>
    <w:rsid w:val="00A316DF"/>
    <w:rsid w:val="00A31D26"/>
    <w:rsid w:val="00A3312C"/>
    <w:rsid w:val="00A34912"/>
    <w:rsid w:val="00A35A86"/>
    <w:rsid w:val="00A36318"/>
    <w:rsid w:val="00A36932"/>
    <w:rsid w:val="00A3706C"/>
    <w:rsid w:val="00A371D7"/>
    <w:rsid w:val="00A373CE"/>
    <w:rsid w:val="00A37524"/>
    <w:rsid w:val="00A37929"/>
    <w:rsid w:val="00A405D3"/>
    <w:rsid w:val="00A41BB1"/>
    <w:rsid w:val="00A424D2"/>
    <w:rsid w:val="00A42A8F"/>
    <w:rsid w:val="00A45BB2"/>
    <w:rsid w:val="00A45FC5"/>
    <w:rsid w:val="00A462EC"/>
    <w:rsid w:val="00A468B4"/>
    <w:rsid w:val="00A46A46"/>
    <w:rsid w:val="00A47539"/>
    <w:rsid w:val="00A50872"/>
    <w:rsid w:val="00A511A5"/>
    <w:rsid w:val="00A51351"/>
    <w:rsid w:val="00A52353"/>
    <w:rsid w:val="00A52BC7"/>
    <w:rsid w:val="00A537E4"/>
    <w:rsid w:val="00A55183"/>
    <w:rsid w:val="00A55E4A"/>
    <w:rsid w:val="00A56491"/>
    <w:rsid w:val="00A56EF3"/>
    <w:rsid w:val="00A60425"/>
    <w:rsid w:val="00A60FE2"/>
    <w:rsid w:val="00A6194C"/>
    <w:rsid w:val="00A61FCC"/>
    <w:rsid w:val="00A62012"/>
    <w:rsid w:val="00A624B9"/>
    <w:rsid w:val="00A64D95"/>
    <w:rsid w:val="00A6743F"/>
    <w:rsid w:val="00A67454"/>
    <w:rsid w:val="00A700F9"/>
    <w:rsid w:val="00A71947"/>
    <w:rsid w:val="00A71C7E"/>
    <w:rsid w:val="00A72550"/>
    <w:rsid w:val="00A72976"/>
    <w:rsid w:val="00A73D35"/>
    <w:rsid w:val="00A748DA"/>
    <w:rsid w:val="00A75F21"/>
    <w:rsid w:val="00A77508"/>
    <w:rsid w:val="00A77F60"/>
    <w:rsid w:val="00A80D13"/>
    <w:rsid w:val="00A814C8"/>
    <w:rsid w:val="00A81EFB"/>
    <w:rsid w:val="00A82B36"/>
    <w:rsid w:val="00A831EA"/>
    <w:rsid w:val="00A843F4"/>
    <w:rsid w:val="00A84D54"/>
    <w:rsid w:val="00A85513"/>
    <w:rsid w:val="00A85FE8"/>
    <w:rsid w:val="00A86312"/>
    <w:rsid w:val="00A8696E"/>
    <w:rsid w:val="00A87897"/>
    <w:rsid w:val="00A90FC7"/>
    <w:rsid w:val="00A91215"/>
    <w:rsid w:val="00A91445"/>
    <w:rsid w:val="00A9193E"/>
    <w:rsid w:val="00A91DAC"/>
    <w:rsid w:val="00A91F44"/>
    <w:rsid w:val="00A92BE2"/>
    <w:rsid w:val="00A92E83"/>
    <w:rsid w:val="00A93949"/>
    <w:rsid w:val="00A94EF9"/>
    <w:rsid w:val="00A95905"/>
    <w:rsid w:val="00A95A33"/>
    <w:rsid w:val="00A95C74"/>
    <w:rsid w:val="00A960B2"/>
    <w:rsid w:val="00A97142"/>
    <w:rsid w:val="00A977C8"/>
    <w:rsid w:val="00AA0A4F"/>
    <w:rsid w:val="00AA1110"/>
    <w:rsid w:val="00AA21D4"/>
    <w:rsid w:val="00AA2797"/>
    <w:rsid w:val="00AA3246"/>
    <w:rsid w:val="00AA5759"/>
    <w:rsid w:val="00AA771C"/>
    <w:rsid w:val="00AA7A7A"/>
    <w:rsid w:val="00AB0832"/>
    <w:rsid w:val="00AB151A"/>
    <w:rsid w:val="00AB1656"/>
    <w:rsid w:val="00AB1B58"/>
    <w:rsid w:val="00AB2CD8"/>
    <w:rsid w:val="00AB2E3D"/>
    <w:rsid w:val="00AB2F6C"/>
    <w:rsid w:val="00AB37FE"/>
    <w:rsid w:val="00AB3E15"/>
    <w:rsid w:val="00AB41DA"/>
    <w:rsid w:val="00AB4BEF"/>
    <w:rsid w:val="00AB59AE"/>
    <w:rsid w:val="00AB6964"/>
    <w:rsid w:val="00AB7083"/>
    <w:rsid w:val="00AB7E56"/>
    <w:rsid w:val="00AC0481"/>
    <w:rsid w:val="00AC0AB5"/>
    <w:rsid w:val="00AC0B96"/>
    <w:rsid w:val="00AC16C9"/>
    <w:rsid w:val="00AC2050"/>
    <w:rsid w:val="00AC2326"/>
    <w:rsid w:val="00AC34A2"/>
    <w:rsid w:val="00AC34A7"/>
    <w:rsid w:val="00AC39BB"/>
    <w:rsid w:val="00AC3E20"/>
    <w:rsid w:val="00AC40B1"/>
    <w:rsid w:val="00AC46A4"/>
    <w:rsid w:val="00AC5418"/>
    <w:rsid w:val="00AD0095"/>
    <w:rsid w:val="00AD06EF"/>
    <w:rsid w:val="00AD150D"/>
    <w:rsid w:val="00AD1704"/>
    <w:rsid w:val="00AD227A"/>
    <w:rsid w:val="00AD34D6"/>
    <w:rsid w:val="00AD4B8E"/>
    <w:rsid w:val="00AD5E07"/>
    <w:rsid w:val="00AD5E30"/>
    <w:rsid w:val="00AD66DB"/>
    <w:rsid w:val="00AD6E64"/>
    <w:rsid w:val="00AD7580"/>
    <w:rsid w:val="00AD766F"/>
    <w:rsid w:val="00AD7861"/>
    <w:rsid w:val="00AE2234"/>
    <w:rsid w:val="00AE6919"/>
    <w:rsid w:val="00AE7345"/>
    <w:rsid w:val="00AE7F0E"/>
    <w:rsid w:val="00AF0544"/>
    <w:rsid w:val="00AF1919"/>
    <w:rsid w:val="00AF3289"/>
    <w:rsid w:val="00AF4538"/>
    <w:rsid w:val="00AF4729"/>
    <w:rsid w:val="00AF54EC"/>
    <w:rsid w:val="00AF5FEC"/>
    <w:rsid w:val="00B00E63"/>
    <w:rsid w:val="00B00F0C"/>
    <w:rsid w:val="00B01B5D"/>
    <w:rsid w:val="00B02202"/>
    <w:rsid w:val="00B02B97"/>
    <w:rsid w:val="00B038F3"/>
    <w:rsid w:val="00B0465D"/>
    <w:rsid w:val="00B04882"/>
    <w:rsid w:val="00B05229"/>
    <w:rsid w:val="00B07732"/>
    <w:rsid w:val="00B1035D"/>
    <w:rsid w:val="00B11097"/>
    <w:rsid w:val="00B11A8C"/>
    <w:rsid w:val="00B14924"/>
    <w:rsid w:val="00B16010"/>
    <w:rsid w:val="00B17FDA"/>
    <w:rsid w:val="00B20149"/>
    <w:rsid w:val="00B201D7"/>
    <w:rsid w:val="00B20622"/>
    <w:rsid w:val="00B211B7"/>
    <w:rsid w:val="00B21329"/>
    <w:rsid w:val="00B21C32"/>
    <w:rsid w:val="00B2283F"/>
    <w:rsid w:val="00B22B6E"/>
    <w:rsid w:val="00B2396A"/>
    <w:rsid w:val="00B23FEA"/>
    <w:rsid w:val="00B24196"/>
    <w:rsid w:val="00B2479F"/>
    <w:rsid w:val="00B24A50"/>
    <w:rsid w:val="00B254C3"/>
    <w:rsid w:val="00B2595F"/>
    <w:rsid w:val="00B25EBA"/>
    <w:rsid w:val="00B2659B"/>
    <w:rsid w:val="00B26CE9"/>
    <w:rsid w:val="00B273D8"/>
    <w:rsid w:val="00B27E96"/>
    <w:rsid w:val="00B33024"/>
    <w:rsid w:val="00B33833"/>
    <w:rsid w:val="00B35B17"/>
    <w:rsid w:val="00B363E8"/>
    <w:rsid w:val="00B36569"/>
    <w:rsid w:val="00B3774D"/>
    <w:rsid w:val="00B40CC8"/>
    <w:rsid w:val="00B41F0A"/>
    <w:rsid w:val="00B430CF"/>
    <w:rsid w:val="00B44509"/>
    <w:rsid w:val="00B4464E"/>
    <w:rsid w:val="00B44E59"/>
    <w:rsid w:val="00B46418"/>
    <w:rsid w:val="00B46C31"/>
    <w:rsid w:val="00B47539"/>
    <w:rsid w:val="00B47BB1"/>
    <w:rsid w:val="00B47E6C"/>
    <w:rsid w:val="00B50C3B"/>
    <w:rsid w:val="00B53541"/>
    <w:rsid w:val="00B53DCD"/>
    <w:rsid w:val="00B55503"/>
    <w:rsid w:val="00B570DB"/>
    <w:rsid w:val="00B571E5"/>
    <w:rsid w:val="00B57B7D"/>
    <w:rsid w:val="00B57C74"/>
    <w:rsid w:val="00B60F84"/>
    <w:rsid w:val="00B61395"/>
    <w:rsid w:val="00B614AC"/>
    <w:rsid w:val="00B6163A"/>
    <w:rsid w:val="00B63125"/>
    <w:rsid w:val="00B6317B"/>
    <w:rsid w:val="00B631F9"/>
    <w:rsid w:val="00B64484"/>
    <w:rsid w:val="00B648A8"/>
    <w:rsid w:val="00B653AD"/>
    <w:rsid w:val="00B65ACF"/>
    <w:rsid w:val="00B66742"/>
    <w:rsid w:val="00B67BD2"/>
    <w:rsid w:val="00B67C5D"/>
    <w:rsid w:val="00B67DD1"/>
    <w:rsid w:val="00B70B5B"/>
    <w:rsid w:val="00B7108D"/>
    <w:rsid w:val="00B71AA8"/>
    <w:rsid w:val="00B72008"/>
    <w:rsid w:val="00B728C0"/>
    <w:rsid w:val="00B73340"/>
    <w:rsid w:val="00B75064"/>
    <w:rsid w:val="00B7540D"/>
    <w:rsid w:val="00B754EF"/>
    <w:rsid w:val="00B75852"/>
    <w:rsid w:val="00B75D3A"/>
    <w:rsid w:val="00B76B2B"/>
    <w:rsid w:val="00B80F7D"/>
    <w:rsid w:val="00B81EC0"/>
    <w:rsid w:val="00B8223A"/>
    <w:rsid w:val="00B826CD"/>
    <w:rsid w:val="00B84F9B"/>
    <w:rsid w:val="00B873DC"/>
    <w:rsid w:val="00B87A9D"/>
    <w:rsid w:val="00B9089D"/>
    <w:rsid w:val="00B90C02"/>
    <w:rsid w:val="00B918C1"/>
    <w:rsid w:val="00B925C5"/>
    <w:rsid w:val="00B9342A"/>
    <w:rsid w:val="00B96319"/>
    <w:rsid w:val="00B97157"/>
    <w:rsid w:val="00B974F0"/>
    <w:rsid w:val="00BA1312"/>
    <w:rsid w:val="00BA148E"/>
    <w:rsid w:val="00BA1509"/>
    <w:rsid w:val="00BA204F"/>
    <w:rsid w:val="00BA2A55"/>
    <w:rsid w:val="00BA2E43"/>
    <w:rsid w:val="00BA357E"/>
    <w:rsid w:val="00BA3C64"/>
    <w:rsid w:val="00BA3F3F"/>
    <w:rsid w:val="00BA4614"/>
    <w:rsid w:val="00BA528D"/>
    <w:rsid w:val="00BA6586"/>
    <w:rsid w:val="00BA7E45"/>
    <w:rsid w:val="00BA7E9B"/>
    <w:rsid w:val="00BB14CD"/>
    <w:rsid w:val="00BB1964"/>
    <w:rsid w:val="00BB296B"/>
    <w:rsid w:val="00BB5240"/>
    <w:rsid w:val="00BB5FFC"/>
    <w:rsid w:val="00BB6220"/>
    <w:rsid w:val="00BB6DC7"/>
    <w:rsid w:val="00BB7020"/>
    <w:rsid w:val="00BB79B8"/>
    <w:rsid w:val="00BB7BEF"/>
    <w:rsid w:val="00BC194F"/>
    <w:rsid w:val="00BC1EF5"/>
    <w:rsid w:val="00BC2171"/>
    <w:rsid w:val="00BC2325"/>
    <w:rsid w:val="00BC34DF"/>
    <w:rsid w:val="00BC38AE"/>
    <w:rsid w:val="00BC41DE"/>
    <w:rsid w:val="00BC5842"/>
    <w:rsid w:val="00BC58B7"/>
    <w:rsid w:val="00BD04D6"/>
    <w:rsid w:val="00BD1695"/>
    <w:rsid w:val="00BD2CF0"/>
    <w:rsid w:val="00BD2DD2"/>
    <w:rsid w:val="00BD3369"/>
    <w:rsid w:val="00BD4313"/>
    <w:rsid w:val="00BD5751"/>
    <w:rsid w:val="00BD7421"/>
    <w:rsid w:val="00BD7860"/>
    <w:rsid w:val="00BE1802"/>
    <w:rsid w:val="00BE1BF9"/>
    <w:rsid w:val="00BE23C3"/>
    <w:rsid w:val="00BE2AAB"/>
    <w:rsid w:val="00BE4867"/>
    <w:rsid w:val="00BE5DF6"/>
    <w:rsid w:val="00BE6E93"/>
    <w:rsid w:val="00BE7E46"/>
    <w:rsid w:val="00BF0256"/>
    <w:rsid w:val="00BF2B75"/>
    <w:rsid w:val="00BF3BC3"/>
    <w:rsid w:val="00BF4A05"/>
    <w:rsid w:val="00BF5358"/>
    <w:rsid w:val="00BF591B"/>
    <w:rsid w:val="00BF5954"/>
    <w:rsid w:val="00BF61A9"/>
    <w:rsid w:val="00BF6B3A"/>
    <w:rsid w:val="00BF6E9E"/>
    <w:rsid w:val="00BF72A3"/>
    <w:rsid w:val="00BF73B9"/>
    <w:rsid w:val="00BF7D3F"/>
    <w:rsid w:val="00C01A50"/>
    <w:rsid w:val="00C01CF5"/>
    <w:rsid w:val="00C03242"/>
    <w:rsid w:val="00C03B9C"/>
    <w:rsid w:val="00C03BEC"/>
    <w:rsid w:val="00C03D47"/>
    <w:rsid w:val="00C042D7"/>
    <w:rsid w:val="00C04383"/>
    <w:rsid w:val="00C0578A"/>
    <w:rsid w:val="00C05DFD"/>
    <w:rsid w:val="00C066D4"/>
    <w:rsid w:val="00C10DAB"/>
    <w:rsid w:val="00C12616"/>
    <w:rsid w:val="00C12F83"/>
    <w:rsid w:val="00C1568F"/>
    <w:rsid w:val="00C1613B"/>
    <w:rsid w:val="00C206D7"/>
    <w:rsid w:val="00C21603"/>
    <w:rsid w:val="00C222B4"/>
    <w:rsid w:val="00C22344"/>
    <w:rsid w:val="00C233D0"/>
    <w:rsid w:val="00C2445A"/>
    <w:rsid w:val="00C24FEF"/>
    <w:rsid w:val="00C251C7"/>
    <w:rsid w:val="00C25C9B"/>
    <w:rsid w:val="00C25DD0"/>
    <w:rsid w:val="00C266E4"/>
    <w:rsid w:val="00C27C82"/>
    <w:rsid w:val="00C30493"/>
    <w:rsid w:val="00C30BBA"/>
    <w:rsid w:val="00C30CEF"/>
    <w:rsid w:val="00C31B35"/>
    <w:rsid w:val="00C31CB1"/>
    <w:rsid w:val="00C339D2"/>
    <w:rsid w:val="00C345E3"/>
    <w:rsid w:val="00C34CDF"/>
    <w:rsid w:val="00C3644C"/>
    <w:rsid w:val="00C37A74"/>
    <w:rsid w:val="00C40C00"/>
    <w:rsid w:val="00C41721"/>
    <w:rsid w:val="00C422BC"/>
    <w:rsid w:val="00C423A5"/>
    <w:rsid w:val="00C448CE"/>
    <w:rsid w:val="00C44C17"/>
    <w:rsid w:val="00C44C65"/>
    <w:rsid w:val="00C45071"/>
    <w:rsid w:val="00C455C9"/>
    <w:rsid w:val="00C460D3"/>
    <w:rsid w:val="00C46AF3"/>
    <w:rsid w:val="00C47C71"/>
    <w:rsid w:val="00C47EF3"/>
    <w:rsid w:val="00C510E8"/>
    <w:rsid w:val="00C524A5"/>
    <w:rsid w:val="00C52750"/>
    <w:rsid w:val="00C5295A"/>
    <w:rsid w:val="00C52A01"/>
    <w:rsid w:val="00C552DF"/>
    <w:rsid w:val="00C55A1B"/>
    <w:rsid w:val="00C55DAF"/>
    <w:rsid w:val="00C55FF4"/>
    <w:rsid w:val="00C56517"/>
    <w:rsid w:val="00C56692"/>
    <w:rsid w:val="00C57B51"/>
    <w:rsid w:val="00C608DE"/>
    <w:rsid w:val="00C619ED"/>
    <w:rsid w:val="00C61B73"/>
    <w:rsid w:val="00C62F6C"/>
    <w:rsid w:val="00C633A5"/>
    <w:rsid w:val="00C641A3"/>
    <w:rsid w:val="00C64919"/>
    <w:rsid w:val="00C6558B"/>
    <w:rsid w:val="00C6585C"/>
    <w:rsid w:val="00C65CE5"/>
    <w:rsid w:val="00C66F7B"/>
    <w:rsid w:val="00C70BC7"/>
    <w:rsid w:val="00C70BCD"/>
    <w:rsid w:val="00C70EEF"/>
    <w:rsid w:val="00C72B49"/>
    <w:rsid w:val="00C72DBF"/>
    <w:rsid w:val="00C72E16"/>
    <w:rsid w:val="00C73398"/>
    <w:rsid w:val="00C73582"/>
    <w:rsid w:val="00C73E48"/>
    <w:rsid w:val="00C74572"/>
    <w:rsid w:val="00C75783"/>
    <w:rsid w:val="00C75834"/>
    <w:rsid w:val="00C76465"/>
    <w:rsid w:val="00C77B14"/>
    <w:rsid w:val="00C81170"/>
    <w:rsid w:val="00C811E8"/>
    <w:rsid w:val="00C81449"/>
    <w:rsid w:val="00C82B5F"/>
    <w:rsid w:val="00C835A7"/>
    <w:rsid w:val="00C838E9"/>
    <w:rsid w:val="00C8480A"/>
    <w:rsid w:val="00C8553A"/>
    <w:rsid w:val="00C8622E"/>
    <w:rsid w:val="00C864D9"/>
    <w:rsid w:val="00C867AA"/>
    <w:rsid w:val="00C86A29"/>
    <w:rsid w:val="00C87C39"/>
    <w:rsid w:val="00C90114"/>
    <w:rsid w:val="00C90F44"/>
    <w:rsid w:val="00C91E48"/>
    <w:rsid w:val="00C92ACF"/>
    <w:rsid w:val="00C92AE8"/>
    <w:rsid w:val="00C93D29"/>
    <w:rsid w:val="00C944A9"/>
    <w:rsid w:val="00C944D5"/>
    <w:rsid w:val="00C94C5B"/>
    <w:rsid w:val="00C9542F"/>
    <w:rsid w:val="00C96B80"/>
    <w:rsid w:val="00C97166"/>
    <w:rsid w:val="00C97534"/>
    <w:rsid w:val="00C97A27"/>
    <w:rsid w:val="00C97BD8"/>
    <w:rsid w:val="00CA0266"/>
    <w:rsid w:val="00CA030D"/>
    <w:rsid w:val="00CA0BD6"/>
    <w:rsid w:val="00CA0F2F"/>
    <w:rsid w:val="00CA0F73"/>
    <w:rsid w:val="00CA0F88"/>
    <w:rsid w:val="00CA21D4"/>
    <w:rsid w:val="00CA2C17"/>
    <w:rsid w:val="00CA3DB7"/>
    <w:rsid w:val="00CA4D5E"/>
    <w:rsid w:val="00CA6685"/>
    <w:rsid w:val="00CA6DBC"/>
    <w:rsid w:val="00CA70D2"/>
    <w:rsid w:val="00CA7B1D"/>
    <w:rsid w:val="00CB0627"/>
    <w:rsid w:val="00CB072E"/>
    <w:rsid w:val="00CB0791"/>
    <w:rsid w:val="00CB0B50"/>
    <w:rsid w:val="00CB1040"/>
    <w:rsid w:val="00CB14FB"/>
    <w:rsid w:val="00CB1617"/>
    <w:rsid w:val="00CB27E7"/>
    <w:rsid w:val="00CB2866"/>
    <w:rsid w:val="00CB3299"/>
    <w:rsid w:val="00CB4B8F"/>
    <w:rsid w:val="00CB5322"/>
    <w:rsid w:val="00CB5C40"/>
    <w:rsid w:val="00CB63F5"/>
    <w:rsid w:val="00CB78D0"/>
    <w:rsid w:val="00CC04F6"/>
    <w:rsid w:val="00CC064A"/>
    <w:rsid w:val="00CC12A1"/>
    <w:rsid w:val="00CC1888"/>
    <w:rsid w:val="00CC1963"/>
    <w:rsid w:val="00CC31FC"/>
    <w:rsid w:val="00CC4416"/>
    <w:rsid w:val="00CC47D8"/>
    <w:rsid w:val="00CC50EE"/>
    <w:rsid w:val="00CC5279"/>
    <w:rsid w:val="00CC575A"/>
    <w:rsid w:val="00CC60D9"/>
    <w:rsid w:val="00CC6595"/>
    <w:rsid w:val="00CC6861"/>
    <w:rsid w:val="00CC7CB1"/>
    <w:rsid w:val="00CC7DA2"/>
    <w:rsid w:val="00CD0B08"/>
    <w:rsid w:val="00CD2661"/>
    <w:rsid w:val="00CD2836"/>
    <w:rsid w:val="00CD3206"/>
    <w:rsid w:val="00CD44D6"/>
    <w:rsid w:val="00CD47B1"/>
    <w:rsid w:val="00CD5E39"/>
    <w:rsid w:val="00CD5E65"/>
    <w:rsid w:val="00CD6475"/>
    <w:rsid w:val="00CD6958"/>
    <w:rsid w:val="00CD7CB6"/>
    <w:rsid w:val="00CE0642"/>
    <w:rsid w:val="00CE123A"/>
    <w:rsid w:val="00CE1C21"/>
    <w:rsid w:val="00CE1D93"/>
    <w:rsid w:val="00CE1DE9"/>
    <w:rsid w:val="00CE1E2C"/>
    <w:rsid w:val="00CE2649"/>
    <w:rsid w:val="00CE321C"/>
    <w:rsid w:val="00CE4615"/>
    <w:rsid w:val="00CE599A"/>
    <w:rsid w:val="00CF081F"/>
    <w:rsid w:val="00CF1FD3"/>
    <w:rsid w:val="00CF243A"/>
    <w:rsid w:val="00CF25FD"/>
    <w:rsid w:val="00CF2C89"/>
    <w:rsid w:val="00CF2E76"/>
    <w:rsid w:val="00CF330E"/>
    <w:rsid w:val="00CF45E8"/>
    <w:rsid w:val="00CF46DF"/>
    <w:rsid w:val="00CF571F"/>
    <w:rsid w:val="00CF620B"/>
    <w:rsid w:val="00CF6542"/>
    <w:rsid w:val="00CF7280"/>
    <w:rsid w:val="00D00171"/>
    <w:rsid w:val="00D014EC"/>
    <w:rsid w:val="00D02B7A"/>
    <w:rsid w:val="00D032EF"/>
    <w:rsid w:val="00D076C8"/>
    <w:rsid w:val="00D0784E"/>
    <w:rsid w:val="00D07DFA"/>
    <w:rsid w:val="00D11B12"/>
    <w:rsid w:val="00D12C46"/>
    <w:rsid w:val="00D12CAB"/>
    <w:rsid w:val="00D13812"/>
    <w:rsid w:val="00D13C31"/>
    <w:rsid w:val="00D141E4"/>
    <w:rsid w:val="00D14938"/>
    <w:rsid w:val="00D14B12"/>
    <w:rsid w:val="00D150BD"/>
    <w:rsid w:val="00D16010"/>
    <w:rsid w:val="00D16AFF"/>
    <w:rsid w:val="00D1760B"/>
    <w:rsid w:val="00D176CA"/>
    <w:rsid w:val="00D17DC7"/>
    <w:rsid w:val="00D20A84"/>
    <w:rsid w:val="00D20B1F"/>
    <w:rsid w:val="00D2133A"/>
    <w:rsid w:val="00D22417"/>
    <w:rsid w:val="00D22F95"/>
    <w:rsid w:val="00D24A83"/>
    <w:rsid w:val="00D24BC3"/>
    <w:rsid w:val="00D26321"/>
    <w:rsid w:val="00D2658D"/>
    <w:rsid w:val="00D33211"/>
    <w:rsid w:val="00D337E3"/>
    <w:rsid w:val="00D33CA0"/>
    <w:rsid w:val="00D33FD3"/>
    <w:rsid w:val="00D366DC"/>
    <w:rsid w:val="00D36883"/>
    <w:rsid w:val="00D36DB6"/>
    <w:rsid w:val="00D3701E"/>
    <w:rsid w:val="00D406C5"/>
    <w:rsid w:val="00D42211"/>
    <w:rsid w:val="00D42427"/>
    <w:rsid w:val="00D431DB"/>
    <w:rsid w:val="00D43201"/>
    <w:rsid w:val="00D47ADF"/>
    <w:rsid w:val="00D506D0"/>
    <w:rsid w:val="00D5116B"/>
    <w:rsid w:val="00D513A0"/>
    <w:rsid w:val="00D52179"/>
    <w:rsid w:val="00D52293"/>
    <w:rsid w:val="00D52A4E"/>
    <w:rsid w:val="00D54581"/>
    <w:rsid w:val="00D54D5C"/>
    <w:rsid w:val="00D5587D"/>
    <w:rsid w:val="00D55BA3"/>
    <w:rsid w:val="00D56E30"/>
    <w:rsid w:val="00D60353"/>
    <w:rsid w:val="00D60841"/>
    <w:rsid w:val="00D61DFD"/>
    <w:rsid w:val="00D63242"/>
    <w:rsid w:val="00D63294"/>
    <w:rsid w:val="00D635FD"/>
    <w:rsid w:val="00D6422F"/>
    <w:rsid w:val="00D654CF"/>
    <w:rsid w:val="00D65767"/>
    <w:rsid w:val="00D65E5F"/>
    <w:rsid w:val="00D67044"/>
    <w:rsid w:val="00D67B96"/>
    <w:rsid w:val="00D71500"/>
    <w:rsid w:val="00D71BC0"/>
    <w:rsid w:val="00D72377"/>
    <w:rsid w:val="00D7306B"/>
    <w:rsid w:val="00D733B7"/>
    <w:rsid w:val="00D73F7C"/>
    <w:rsid w:val="00D753CF"/>
    <w:rsid w:val="00D75E73"/>
    <w:rsid w:val="00D7667C"/>
    <w:rsid w:val="00D77884"/>
    <w:rsid w:val="00D77D7B"/>
    <w:rsid w:val="00D81E08"/>
    <w:rsid w:val="00D83129"/>
    <w:rsid w:val="00D8319F"/>
    <w:rsid w:val="00D836C7"/>
    <w:rsid w:val="00D83B08"/>
    <w:rsid w:val="00D84373"/>
    <w:rsid w:val="00D84E68"/>
    <w:rsid w:val="00D85B9F"/>
    <w:rsid w:val="00D904F1"/>
    <w:rsid w:val="00D909A4"/>
    <w:rsid w:val="00D9120F"/>
    <w:rsid w:val="00D91299"/>
    <w:rsid w:val="00D92E4C"/>
    <w:rsid w:val="00D92EB7"/>
    <w:rsid w:val="00D93271"/>
    <w:rsid w:val="00D93411"/>
    <w:rsid w:val="00D94E7D"/>
    <w:rsid w:val="00D9502C"/>
    <w:rsid w:val="00D9561E"/>
    <w:rsid w:val="00D96482"/>
    <w:rsid w:val="00D97157"/>
    <w:rsid w:val="00D97441"/>
    <w:rsid w:val="00D9779A"/>
    <w:rsid w:val="00D97A8D"/>
    <w:rsid w:val="00D97B16"/>
    <w:rsid w:val="00DA06C0"/>
    <w:rsid w:val="00DA15C8"/>
    <w:rsid w:val="00DA19A0"/>
    <w:rsid w:val="00DA1BAF"/>
    <w:rsid w:val="00DA2172"/>
    <w:rsid w:val="00DA4A44"/>
    <w:rsid w:val="00DA5CFC"/>
    <w:rsid w:val="00DA6414"/>
    <w:rsid w:val="00DA657C"/>
    <w:rsid w:val="00DA68C6"/>
    <w:rsid w:val="00DA6F27"/>
    <w:rsid w:val="00DA7BE6"/>
    <w:rsid w:val="00DB23AA"/>
    <w:rsid w:val="00DB2B50"/>
    <w:rsid w:val="00DB392F"/>
    <w:rsid w:val="00DB3F95"/>
    <w:rsid w:val="00DB4323"/>
    <w:rsid w:val="00DB507E"/>
    <w:rsid w:val="00DB5ADD"/>
    <w:rsid w:val="00DB6F00"/>
    <w:rsid w:val="00DB73E6"/>
    <w:rsid w:val="00DB7D0A"/>
    <w:rsid w:val="00DC0615"/>
    <w:rsid w:val="00DC09AE"/>
    <w:rsid w:val="00DC0D56"/>
    <w:rsid w:val="00DC21E2"/>
    <w:rsid w:val="00DC252C"/>
    <w:rsid w:val="00DC25C1"/>
    <w:rsid w:val="00DC3072"/>
    <w:rsid w:val="00DC3221"/>
    <w:rsid w:val="00DC3A36"/>
    <w:rsid w:val="00DC3B63"/>
    <w:rsid w:val="00DC5854"/>
    <w:rsid w:val="00DC61C7"/>
    <w:rsid w:val="00DC6B2A"/>
    <w:rsid w:val="00DC7B58"/>
    <w:rsid w:val="00DD0637"/>
    <w:rsid w:val="00DD108D"/>
    <w:rsid w:val="00DD201A"/>
    <w:rsid w:val="00DD2598"/>
    <w:rsid w:val="00DD2E55"/>
    <w:rsid w:val="00DD31B3"/>
    <w:rsid w:val="00DD33BD"/>
    <w:rsid w:val="00DD4737"/>
    <w:rsid w:val="00DD62AF"/>
    <w:rsid w:val="00DD63F3"/>
    <w:rsid w:val="00DD649C"/>
    <w:rsid w:val="00DD73A1"/>
    <w:rsid w:val="00DD758F"/>
    <w:rsid w:val="00DD7F72"/>
    <w:rsid w:val="00DE01D9"/>
    <w:rsid w:val="00DE09FE"/>
    <w:rsid w:val="00DE0FF2"/>
    <w:rsid w:val="00DE1973"/>
    <w:rsid w:val="00DE1D68"/>
    <w:rsid w:val="00DE24AA"/>
    <w:rsid w:val="00DE330F"/>
    <w:rsid w:val="00DE3D4D"/>
    <w:rsid w:val="00DE3EA9"/>
    <w:rsid w:val="00DE4DEE"/>
    <w:rsid w:val="00DE527B"/>
    <w:rsid w:val="00DE6398"/>
    <w:rsid w:val="00DE6B73"/>
    <w:rsid w:val="00DE71B0"/>
    <w:rsid w:val="00DE7ACE"/>
    <w:rsid w:val="00DF0194"/>
    <w:rsid w:val="00DF0898"/>
    <w:rsid w:val="00DF2DED"/>
    <w:rsid w:val="00DF31F8"/>
    <w:rsid w:val="00DF37EA"/>
    <w:rsid w:val="00DF39DE"/>
    <w:rsid w:val="00DF3CBC"/>
    <w:rsid w:val="00DF3DDE"/>
    <w:rsid w:val="00DF41A6"/>
    <w:rsid w:val="00DF556F"/>
    <w:rsid w:val="00DF6106"/>
    <w:rsid w:val="00DF618F"/>
    <w:rsid w:val="00DF7A45"/>
    <w:rsid w:val="00E001EC"/>
    <w:rsid w:val="00E0027B"/>
    <w:rsid w:val="00E003E1"/>
    <w:rsid w:val="00E01893"/>
    <w:rsid w:val="00E03837"/>
    <w:rsid w:val="00E045FF"/>
    <w:rsid w:val="00E06953"/>
    <w:rsid w:val="00E06F2C"/>
    <w:rsid w:val="00E07029"/>
    <w:rsid w:val="00E07C72"/>
    <w:rsid w:val="00E07D64"/>
    <w:rsid w:val="00E07F3B"/>
    <w:rsid w:val="00E103F4"/>
    <w:rsid w:val="00E1067B"/>
    <w:rsid w:val="00E10941"/>
    <w:rsid w:val="00E11170"/>
    <w:rsid w:val="00E11D29"/>
    <w:rsid w:val="00E1230A"/>
    <w:rsid w:val="00E12E9F"/>
    <w:rsid w:val="00E13213"/>
    <w:rsid w:val="00E13C3C"/>
    <w:rsid w:val="00E13E63"/>
    <w:rsid w:val="00E13F40"/>
    <w:rsid w:val="00E15A47"/>
    <w:rsid w:val="00E15AD4"/>
    <w:rsid w:val="00E15D51"/>
    <w:rsid w:val="00E16918"/>
    <w:rsid w:val="00E20B61"/>
    <w:rsid w:val="00E20E6F"/>
    <w:rsid w:val="00E226E1"/>
    <w:rsid w:val="00E22D00"/>
    <w:rsid w:val="00E23893"/>
    <w:rsid w:val="00E240F5"/>
    <w:rsid w:val="00E242DB"/>
    <w:rsid w:val="00E25C3C"/>
    <w:rsid w:val="00E26281"/>
    <w:rsid w:val="00E26BD3"/>
    <w:rsid w:val="00E27DDD"/>
    <w:rsid w:val="00E303A4"/>
    <w:rsid w:val="00E30B79"/>
    <w:rsid w:val="00E30FAA"/>
    <w:rsid w:val="00E3153E"/>
    <w:rsid w:val="00E317BD"/>
    <w:rsid w:val="00E31A11"/>
    <w:rsid w:val="00E331A0"/>
    <w:rsid w:val="00E33ACA"/>
    <w:rsid w:val="00E3502B"/>
    <w:rsid w:val="00E35961"/>
    <w:rsid w:val="00E35A07"/>
    <w:rsid w:val="00E37355"/>
    <w:rsid w:val="00E42D5E"/>
    <w:rsid w:val="00E4351E"/>
    <w:rsid w:val="00E45390"/>
    <w:rsid w:val="00E504A6"/>
    <w:rsid w:val="00E50E69"/>
    <w:rsid w:val="00E51CB0"/>
    <w:rsid w:val="00E51FE2"/>
    <w:rsid w:val="00E5375A"/>
    <w:rsid w:val="00E539EC"/>
    <w:rsid w:val="00E53C61"/>
    <w:rsid w:val="00E54F59"/>
    <w:rsid w:val="00E54FE4"/>
    <w:rsid w:val="00E55EB8"/>
    <w:rsid w:val="00E56E28"/>
    <w:rsid w:val="00E56FCC"/>
    <w:rsid w:val="00E5701E"/>
    <w:rsid w:val="00E574B7"/>
    <w:rsid w:val="00E60523"/>
    <w:rsid w:val="00E60B36"/>
    <w:rsid w:val="00E62B15"/>
    <w:rsid w:val="00E63B20"/>
    <w:rsid w:val="00E65F1C"/>
    <w:rsid w:val="00E67305"/>
    <w:rsid w:val="00E67612"/>
    <w:rsid w:val="00E67670"/>
    <w:rsid w:val="00E71213"/>
    <w:rsid w:val="00E7290A"/>
    <w:rsid w:val="00E72F6C"/>
    <w:rsid w:val="00E752DB"/>
    <w:rsid w:val="00E76BA9"/>
    <w:rsid w:val="00E76EF5"/>
    <w:rsid w:val="00E810A2"/>
    <w:rsid w:val="00E820F6"/>
    <w:rsid w:val="00E828F1"/>
    <w:rsid w:val="00E844D9"/>
    <w:rsid w:val="00E8493C"/>
    <w:rsid w:val="00E84BBE"/>
    <w:rsid w:val="00E857A8"/>
    <w:rsid w:val="00E859C0"/>
    <w:rsid w:val="00E86741"/>
    <w:rsid w:val="00E86C9A"/>
    <w:rsid w:val="00E87B9F"/>
    <w:rsid w:val="00E909F1"/>
    <w:rsid w:val="00E9281B"/>
    <w:rsid w:val="00E94117"/>
    <w:rsid w:val="00E94365"/>
    <w:rsid w:val="00E9489A"/>
    <w:rsid w:val="00E94929"/>
    <w:rsid w:val="00E95334"/>
    <w:rsid w:val="00E953F7"/>
    <w:rsid w:val="00E963DA"/>
    <w:rsid w:val="00E96CFF"/>
    <w:rsid w:val="00E97D77"/>
    <w:rsid w:val="00EA0361"/>
    <w:rsid w:val="00EA03AC"/>
    <w:rsid w:val="00EA0431"/>
    <w:rsid w:val="00EA0D20"/>
    <w:rsid w:val="00EA1577"/>
    <w:rsid w:val="00EA1D47"/>
    <w:rsid w:val="00EA20AD"/>
    <w:rsid w:val="00EA237A"/>
    <w:rsid w:val="00EA2408"/>
    <w:rsid w:val="00EA2F8F"/>
    <w:rsid w:val="00EA365C"/>
    <w:rsid w:val="00EA4703"/>
    <w:rsid w:val="00EA4975"/>
    <w:rsid w:val="00EA4FFF"/>
    <w:rsid w:val="00EA6E59"/>
    <w:rsid w:val="00EA6EDB"/>
    <w:rsid w:val="00EA7610"/>
    <w:rsid w:val="00EB223C"/>
    <w:rsid w:val="00EB22E2"/>
    <w:rsid w:val="00EB2545"/>
    <w:rsid w:val="00EB3708"/>
    <w:rsid w:val="00EB3778"/>
    <w:rsid w:val="00EB3FD5"/>
    <w:rsid w:val="00EB6A45"/>
    <w:rsid w:val="00EB73DF"/>
    <w:rsid w:val="00EB7AE6"/>
    <w:rsid w:val="00EC0618"/>
    <w:rsid w:val="00EC1A37"/>
    <w:rsid w:val="00EC4015"/>
    <w:rsid w:val="00EC6C73"/>
    <w:rsid w:val="00ED0522"/>
    <w:rsid w:val="00ED2201"/>
    <w:rsid w:val="00ED3165"/>
    <w:rsid w:val="00ED3A53"/>
    <w:rsid w:val="00ED44A4"/>
    <w:rsid w:val="00ED466F"/>
    <w:rsid w:val="00ED53EA"/>
    <w:rsid w:val="00ED548C"/>
    <w:rsid w:val="00ED5BA7"/>
    <w:rsid w:val="00ED5F9A"/>
    <w:rsid w:val="00ED6052"/>
    <w:rsid w:val="00ED6C1A"/>
    <w:rsid w:val="00ED6C3B"/>
    <w:rsid w:val="00EE02CE"/>
    <w:rsid w:val="00EE03CD"/>
    <w:rsid w:val="00EE07D6"/>
    <w:rsid w:val="00EE0E7B"/>
    <w:rsid w:val="00EE385D"/>
    <w:rsid w:val="00EE3B96"/>
    <w:rsid w:val="00EE5110"/>
    <w:rsid w:val="00EE577B"/>
    <w:rsid w:val="00EE671A"/>
    <w:rsid w:val="00EE679F"/>
    <w:rsid w:val="00EE6BBB"/>
    <w:rsid w:val="00EE6CC0"/>
    <w:rsid w:val="00EE7A13"/>
    <w:rsid w:val="00EE7BDF"/>
    <w:rsid w:val="00EE7D54"/>
    <w:rsid w:val="00EF0192"/>
    <w:rsid w:val="00EF03CC"/>
    <w:rsid w:val="00EF0E89"/>
    <w:rsid w:val="00EF1EB5"/>
    <w:rsid w:val="00EF22E3"/>
    <w:rsid w:val="00EF28B1"/>
    <w:rsid w:val="00EF3026"/>
    <w:rsid w:val="00EF3B98"/>
    <w:rsid w:val="00EF3DBD"/>
    <w:rsid w:val="00EF3EC6"/>
    <w:rsid w:val="00EF737A"/>
    <w:rsid w:val="00EF7739"/>
    <w:rsid w:val="00EF7EE3"/>
    <w:rsid w:val="00F0026A"/>
    <w:rsid w:val="00F00C51"/>
    <w:rsid w:val="00F02271"/>
    <w:rsid w:val="00F02EB4"/>
    <w:rsid w:val="00F048B3"/>
    <w:rsid w:val="00F04AD3"/>
    <w:rsid w:val="00F04E36"/>
    <w:rsid w:val="00F052C0"/>
    <w:rsid w:val="00F068F9"/>
    <w:rsid w:val="00F06B66"/>
    <w:rsid w:val="00F070C5"/>
    <w:rsid w:val="00F078C2"/>
    <w:rsid w:val="00F1028C"/>
    <w:rsid w:val="00F10593"/>
    <w:rsid w:val="00F119DA"/>
    <w:rsid w:val="00F11FBC"/>
    <w:rsid w:val="00F12117"/>
    <w:rsid w:val="00F123A2"/>
    <w:rsid w:val="00F131B3"/>
    <w:rsid w:val="00F145D2"/>
    <w:rsid w:val="00F1501F"/>
    <w:rsid w:val="00F179E4"/>
    <w:rsid w:val="00F17F50"/>
    <w:rsid w:val="00F20765"/>
    <w:rsid w:val="00F2105F"/>
    <w:rsid w:val="00F21136"/>
    <w:rsid w:val="00F238AC"/>
    <w:rsid w:val="00F23C6C"/>
    <w:rsid w:val="00F24715"/>
    <w:rsid w:val="00F25D6A"/>
    <w:rsid w:val="00F2611C"/>
    <w:rsid w:val="00F26C1C"/>
    <w:rsid w:val="00F27527"/>
    <w:rsid w:val="00F276A8"/>
    <w:rsid w:val="00F279B7"/>
    <w:rsid w:val="00F27EFB"/>
    <w:rsid w:val="00F30CB7"/>
    <w:rsid w:val="00F312FE"/>
    <w:rsid w:val="00F3149B"/>
    <w:rsid w:val="00F32242"/>
    <w:rsid w:val="00F3260C"/>
    <w:rsid w:val="00F32E1A"/>
    <w:rsid w:val="00F3545F"/>
    <w:rsid w:val="00F3548F"/>
    <w:rsid w:val="00F35E26"/>
    <w:rsid w:val="00F36D34"/>
    <w:rsid w:val="00F37237"/>
    <w:rsid w:val="00F40257"/>
    <w:rsid w:val="00F404ED"/>
    <w:rsid w:val="00F40D39"/>
    <w:rsid w:val="00F4398A"/>
    <w:rsid w:val="00F45331"/>
    <w:rsid w:val="00F45885"/>
    <w:rsid w:val="00F4619A"/>
    <w:rsid w:val="00F46ED3"/>
    <w:rsid w:val="00F473D8"/>
    <w:rsid w:val="00F50ECD"/>
    <w:rsid w:val="00F51264"/>
    <w:rsid w:val="00F5146C"/>
    <w:rsid w:val="00F51DB6"/>
    <w:rsid w:val="00F52A97"/>
    <w:rsid w:val="00F52CFB"/>
    <w:rsid w:val="00F53AB7"/>
    <w:rsid w:val="00F53FCD"/>
    <w:rsid w:val="00F556E4"/>
    <w:rsid w:val="00F561C8"/>
    <w:rsid w:val="00F57730"/>
    <w:rsid w:val="00F57A52"/>
    <w:rsid w:val="00F60773"/>
    <w:rsid w:val="00F6389B"/>
    <w:rsid w:val="00F64D1D"/>
    <w:rsid w:val="00F6582E"/>
    <w:rsid w:val="00F66355"/>
    <w:rsid w:val="00F66C2D"/>
    <w:rsid w:val="00F67C65"/>
    <w:rsid w:val="00F67EA0"/>
    <w:rsid w:val="00F67EB9"/>
    <w:rsid w:val="00F71947"/>
    <w:rsid w:val="00F71A05"/>
    <w:rsid w:val="00F71B0C"/>
    <w:rsid w:val="00F71C76"/>
    <w:rsid w:val="00F71C89"/>
    <w:rsid w:val="00F724D0"/>
    <w:rsid w:val="00F72B17"/>
    <w:rsid w:val="00F72C91"/>
    <w:rsid w:val="00F73002"/>
    <w:rsid w:val="00F73174"/>
    <w:rsid w:val="00F733D8"/>
    <w:rsid w:val="00F736A0"/>
    <w:rsid w:val="00F7550E"/>
    <w:rsid w:val="00F7683C"/>
    <w:rsid w:val="00F82505"/>
    <w:rsid w:val="00F829AA"/>
    <w:rsid w:val="00F832D6"/>
    <w:rsid w:val="00F8369B"/>
    <w:rsid w:val="00F83B8E"/>
    <w:rsid w:val="00F84BB4"/>
    <w:rsid w:val="00F84E1A"/>
    <w:rsid w:val="00F8507C"/>
    <w:rsid w:val="00F85093"/>
    <w:rsid w:val="00F85799"/>
    <w:rsid w:val="00F8582A"/>
    <w:rsid w:val="00F85FDA"/>
    <w:rsid w:val="00F869BE"/>
    <w:rsid w:val="00F874F9"/>
    <w:rsid w:val="00F87C0B"/>
    <w:rsid w:val="00F91A81"/>
    <w:rsid w:val="00F9255B"/>
    <w:rsid w:val="00F92BD7"/>
    <w:rsid w:val="00F92DA0"/>
    <w:rsid w:val="00F9308E"/>
    <w:rsid w:val="00F930B9"/>
    <w:rsid w:val="00F93A7F"/>
    <w:rsid w:val="00F93C5B"/>
    <w:rsid w:val="00F9436D"/>
    <w:rsid w:val="00F94ABE"/>
    <w:rsid w:val="00F94AF0"/>
    <w:rsid w:val="00F96959"/>
    <w:rsid w:val="00F97777"/>
    <w:rsid w:val="00F97BB3"/>
    <w:rsid w:val="00FA1B40"/>
    <w:rsid w:val="00FA2509"/>
    <w:rsid w:val="00FA25F2"/>
    <w:rsid w:val="00FA43BD"/>
    <w:rsid w:val="00FA50BD"/>
    <w:rsid w:val="00FA5C4A"/>
    <w:rsid w:val="00FA62E2"/>
    <w:rsid w:val="00FA72E6"/>
    <w:rsid w:val="00FB0063"/>
    <w:rsid w:val="00FB0DEE"/>
    <w:rsid w:val="00FB2783"/>
    <w:rsid w:val="00FB2F6B"/>
    <w:rsid w:val="00FB3579"/>
    <w:rsid w:val="00FB3A45"/>
    <w:rsid w:val="00FB3E00"/>
    <w:rsid w:val="00FB4873"/>
    <w:rsid w:val="00FB4AF8"/>
    <w:rsid w:val="00FB553B"/>
    <w:rsid w:val="00FB67F3"/>
    <w:rsid w:val="00FB6F2F"/>
    <w:rsid w:val="00FB71FD"/>
    <w:rsid w:val="00FB78BB"/>
    <w:rsid w:val="00FC069E"/>
    <w:rsid w:val="00FC097A"/>
    <w:rsid w:val="00FC0C1C"/>
    <w:rsid w:val="00FC30E6"/>
    <w:rsid w:val="00FC525A"/>
    <w:rsid w:val="00FC5F30"/>
    <w:rsid w:val="00FC6286"/>
    <w:rsid w:val="00FC6782"/>
    <w:rsid w:val="00FC682B"/>
    <w:rsid w:val="00FC6C1C"/>
    <w:rsid w:val="00FD0BF2"/>
    <w:rsid w:val="00FD29B0"/>
    <w:rsid w:val="00FD2B22"/>
    <w:rsid w:val="00FD31A8"/>
    <w:rsid w:val="00FD3EC9"/>
    <w:rsid w:val="00FD5060"/>
    <w:rsid w:val="00FD57D5"/>
    <w:rsid w:val="00FD6092"/>
    <w:rsid w:val="00FD6690"/>
    <w:rsid w:val="00FD6C97"/>
    <w:rsid w:val="00FE04B9"/>
    <w:rsid w:val="00FE29C2"/>
    <w:rsid w:val="00FE3B8E"/>
    <w:rsid w:val="00FE4F45"/>
    <w:rsid w:val="00FE5A00"/>
    <w:rsid w:val="00FE62D9"/>
    <w:rsid w:val="00FE6E3D"/>
    <w:rsid w:val="00FF0C6C"/>
    <w:rsid w:val="00FF14EC"/>
    <w:rsid w:val="00FF21B5"/>
    <w:rsid w:val="00FF32C6"/>
    <w:rsid w:val="00FF4050"/>
    <w:rsid w:val="00FF4933"/>
    <w:rsid w:val="00FF4CAE"/>
    <w:rsid w:val="00FF4D0C"/>
    <w:rsid w:val="00FF578B"/>
    <w:rsid w:val="00FF5914"/>
    <w:rsid w:val="00FF66B7"/>
    <w:rsid w:val="00FF75A0"/>
    <w:rsid w:val="01515E7B"/>
    <w:rsid w:val="047D592F"/>
    <w:rsid w:val="07791FB6"/>
    <w:rsid w:val="0AA51A75"/>
    <w:rsid w:val="0AD4A71F"/>
    <w:rsid w:val="0BB2692D"/>
    <w:rsid w:val="0EDFB63D"/>
    <w:rsid w:val="0EFE754D"/>
    <w:rsid w:val="14077021"/>
    <w:rsid w:val="14A7057A"/>
    <w:rsid w:val="16055414"/>
    <w:rsid w:val="170925B8"/>
    <w:rsid w:val="1793C011"/>
    <w:rsid w:val="1BC0920B"/>
    <w:rsid w:val="1DA1B3AD"/>
    <w:rsid w:val="1E3B214A"/>
    <w:rsid w:val="331246F4"/>
    <w:rsid w:val="35D56022"/>
    <w:rsid w:val="36AFAFCA"/>
    <w:rsid w:val="39149845"/>
    <w:rsid w:val="394BAFE9"/>
    <w:rsid w:val="3B800BAD"/>
    <w:rsid w:val="3EE1E241"/>
    <w:rsid w:val="454781DE"/>
    <w:rsid w:val="47BF5C7C"/>
    <w:rsid w:val="4943D989"/>
    <w:rsid w:val="4A8E1997"/>
    <w:rsid w:val="50A05483"/>
    <w:rsid w:val="5204AE9B"/>
    <w:rsid w:val="5B47A5AF"/>
    <w:rsid w:val="5F40591E"/>
    <w:rsid w:val="61468D73"/>
    <w:rsid w:val="6261DE46"/>
    <w:rsid w:val="689065F6"/>
    <w:rsid w:val="6BA7431F"/>
    <w:rsid w:val="6E41769E"/>
    <w:rsid w:val="743891B8"/>
    <w:rsid w:val="7AD6ED42"/>
    <w:rsid w:val="7CE2F5A6"/>
    <w:rsid w:val="7F5CA244"/>
    <w:rsid w:val="7FB739AD"/>
  </w:rsids>
  <m:mathPr>
    <m:mathFont m:val="Cambria Math"/>
  </m:mathPr>
  <w:themeFontLang w:val="en-US" w:eastAsia="ja-JP" w:bidi="mni-IN"/>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62"/>
    <w:pPr>
      <w:adjustRightInd w:val="0"/>
      <w:spacing w:line="288" w:lineRule="auto"/>
      <w:textAlignment w:val="baseline"/>
    </w:pPr>
    <w:rPr>
      <w:rFonts w:ascii="Century Schoolbook" w:hAnsi="Century Schoolbook"/>
      <w:sz w:val="26"/>
      <w:szCs w:val="22"/>
    </w:rPr>
  </w:style>
  <w:style w:type="paragraph" w:styleId="Heading1">
    <w:name w:val="heading 1"/>
    <w:basedOn w:val="Normal"/>
    <w:next w:val="Normal"/>
    <w:link w:val="Heading1Char"/>
    <w:uiPriority w:val="9"/>
    <w:qFormat/>
    <w:rsid w:val="00AD227A"/>
    <w:pPr>
      <w:keepNext/>
      <w:keepLines/>
      <w:spacing w:before="120" w:after="120" w:line="360" w:lineRule="auto"/>
      <w:jc w:val="center"/>
      <w:outlineLvl w:val="0"/>
    </w:pPr>
    <w:rPr>
      <w:b/>
      <w:bCs/>
      <w:szCs w:val="26"/>
    </w:rPr>
  </w:style>
  <w:style w:type="paragraph" w:styleId="Heading2">
    <w:name w:val="heading 2"/>
    <w:basedOn w:val="Normal"/>
    <w:next w:val="Normal"/>
    <w:link w:val="Heading2Char"/>
    <w:uiPriority w:val="9"/>
    <w:unhideWhenUsed/>
    <w:qFormat/>
    <w:rsid w:val="00245A17"/>
    <w:pPr>
      <w:keepNext/>
      <w:keepLines/>
      <w:spacing w:before="120" w:after="120" w:line="360" w:lineRule="auto"/>
      <w:jc w:val="center"/>
      <w:outlineLvl w:val="1"/>
    </w:pPr>
    <w:rPr>
      <w:b/>
      <w:bCs/>
      <w:szCs w:val="26"/>
    </w:rPr>
  </w:style>
  <w:style w:type="paragraph" w:styleId="Heading3">
    <w:name w:val="heading 3"/>
    <w:basedOn w:val="Heading2"/>
    <w:next w:val="Normal"/>
    <w:link w:val="Heading3Char"/>
    <w:uiPriority w:val="9"/>
    <w:unhideWhenUsed/>
    <w:qFormat/>
    <w:rsid w:val="00D42427"/>
    <w:pPr>
      <w:spacing w:before="200" w:line="240" w:lineRule="auto"/>
      <w:ind w:left="2160" w:hanging="720"/>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27A"/>
    <w:rPr>
      <w:rFonts w:ascii="Century Schoolbook" w:eastAsia="Times New Roman" w:hAnsi="Century Schoolbook" w:cs="Times New Roman"/>
      <w:b/>
      <w:bCs/>
      <w:sz w:val="26"/>
      <w:szCs w:val="26"/>
    </w:rPr>
  </w:style>
  <w:style w:type="paragraph" w:styleId="FootnoteText">
    <w:name w:val="footnote text"/>
    <w:basedOn w:val="Normal"/>
    <w:link w:val="FootnoteTextChar"/>
    <w:uiPriority w:val="1"/>
    <w:unhideWhenUsed/>
    <w:qFormat/>
    <w:rsid w:val="0094132C"/>
    <w:pPr>
      <w:spacing w:line="240" w:lineRule="auto"/>
      <w:ind w:firstLine="720"/>
    </w:pPr>
    <w:rPr>
      <w:szCs w:val="20"/>
    </w:rPr>
  </w:style>
  <w:style w:type="character" w:customStyle="1" w:styleId="FootnoteTextChar">
    <w:name w:val="Footnote Text Char"/>
    <w:link w:val="FootnoteText"/>
    <w:uiPriority w:val="1"/>
    <w:rsid w:val="0094132C"/>
    <w:rPr>
      <w:rFonts w:ascii="Century Schoolbook" w:hAnsi="Century Schoolbook" w:cs="Times New Roman"/>
      <w:sz w:val="26"/>
      <w:szCs w:val="20"/>
    </w:rPr>
  </w:style>
  <w:style w:type="character" w:styleId="FootnoteReference">
    <w:name w:val="footnote reference"/>
    <w:uiPriority w:val="99"/>
    <w:unhideWhenUsed/>
    <w:qFormat/>
    <w:rsid w:val="0094132C"/>
    <w:rPr>
      <w:rFonts w:ascii="Century Schoolbook" w:hAnsi="Century Schoolbook"/>
      <w:b/>
      <w:position w:val="6"/>
      <w:sz w:val="20"/>
      <w:vertAlign w:val="baseline"/>
    </w:rPr>
  </w:style>
  <w:style w:type="paragraph" w:customStyle="1" w:styleId="OverallHeader">
    <w:name w:val="Overall Header"/>
    <w:basedOn w:val="Normal"/>
    <w:next w:val="Normal"/>
    <w:link w:val="OverallHeaderChar"/>
    <w:qFormat/>
    <w:rsid w:val="007C762F"/>
    <w:pPr>
      <w:spacing w:line="240" w:lineRule="auto"/>
      <w:jc w:val="center"/>
    </w:pPr>
    <w:rPr>
      <w:b/>
      <w:szCs w:val="26"/>
    </w:rPr>
  </w:style>
  <w:style w:type="character" w:customStyle="1" w:styleId="OverallHeaderChar">
    <w:name w:val="Overall Header Char"/>
    <w:link w:val="OverallHeader"/>
    <w:rsid w:val="007C762F"/>
    <w:rPr>
      <w:rFonts w:ascii="Century Schoolbook" w:hAnsi="Century Schoolbook" w:cs="Times New Roman"/>
      <w:b/>
      <w:sz w:val="26"/>
      <w:szCs w:val="26"/>
    </w:rPr>
  </w:style>
  <w:style w:type="paragraph" w:customStyle="1" w:styleId="Style1">
    <w:name w:val="Style1"/>
    <w:basedOn w:val="Normal"/>
    <w:link w:val="Style1Char"/>
    <w:qFormat/>
    <w:rsid w:val="007C762F"/>
    <w:pPr>
      <w:spacing w:line="240" w:lineRule="auto"/>
      <w:jc w:val="center"/>
    </w:pPr>
    <w:rPr>
      <w:szCs w:val="26"/>
    </w:rPr>
  </w:style>
  <w:style w:type="character" w:customStyle="1" w:styleId="Style1Char">
    <w:name w:val="Style1 Char"/>
    <w:link w:val="Style1"/>
    <w:rsid w:val="007C762F"/>
    <w:rPr>
      <w:rFonts w:ascii="Century Schoolbook" w:hAnsi="Century Schoolbook" w:cs="Times New Roman"/>
      <w:sz w:val="26"/>
      <w:szCs w:val="26"/>
    </w:rPr>
  </w:style>
  <w:style w:type="paragraph" w:customStyle="1" w:styleId="OverallHeading">
    <w:name w:val="Overall Heading"/>
    <w:next w:val="Normal"/>
    <w:link w:val="OverallHeadingChar"/>
    <w:qFormat/>
    <w:rsid w:val="007C762F"/>
    <w:pPr>
      <w:spacing w:line="288" w:lineRule="auto"/>
    </w:pPr>
    <w:rPr>
      <w:rFonts w:ascii="Century Schoolbook" w:hAnsi="Century Schoolbook"/>
      <w:sz w:val="26"/>
      <w:szCs w:val="26"/>
    </w:rPr>
  </w:style>
  <w:style w:type="character" w:customStyle="1" w:styleId="OverallHeadingChar">
    <w:name w:val="Overall Heading Char"/>
    <w:link w:val="OverallHeading"/>
    <w:rsid w:val="007C762F"/>
    <w:rPr>
      <w:rFonts w:ascii="Century Schoolbook" w:hAnsi="Century Schoolbook" w:cs="Times New Roman"/>
      <w:sz w:val="26"/>
      <w:szCs w:val="26"/>
    </w:rPr>
  </w:style>
  <w:style w:type="character" w:customStyle="1" w:styleId="Heading2Char">
    <w:name w:val="Heading 2 Char"/>
    <w:link w:val="Heading2"/>
    <w:uiPriority w:val="9"/>
    <w:rsid w:val="00245A17"/>
    <w:rPr>
      <w:rFonts w:ascii="Century Schoolbook" w:hAnsi="Century Schoolbook"/>
      <w:b/>
      <w:bCs/>
      <w:sz w:val="26"/>
      <w:szCs w:val="26"/>
    </w:rPr>
  </w:style>
  <w:style w:type="paragraph" w:styleId="Header">
    <w:name w:val="header"/>
    <w:basedOn w:val="Normal"/>
    <w:link w:val="HeaderChar"/>
    <w:uiPriority w:val="99"/>
    <w:unhideWhenUsed/>
    <w:rsid w:val="00310DAD"/>
    <w:pPr>
      <w:tabs>
        <w:tab w:val="center" w:pos="4680"/>
        <w:tab w:val="right" w:pos="9360"/>
      </w:tabs>
    </w:pPr>
  </w:style>
  <w:style w:type="character" w:customStyle="1" w:styleId="HeaderChar">
    <w:name w:val="Header Char"/>
    <w:basedOn w:val="DefaultParagraphFont"/>
    <w:link w:val="Header"/>
    <w:uiPriority w:val="99"/>
    <w:rsid w:val="00310DAD"/>
    <w:rPr>
      <w:rFonts w:ascii="Century Schoolbook" w:hAnsi="Century Schoolbook"/>
      <w:sz w:val="26"/>
      <w:szCs w:val="22"/>
    </w:rPr>
  </w:style>
  <w:style w:type="paragraph" w:styleId="Footer">
    <w:name w:val="footer"/>
    <w:basedOn w:val="Normal"/>
    <w:link w:val="FooterChar"/>
    <w:uiPriority w:val="99"/>
    <w:unhideWhenUsed/>
    <w:rsid w:val="00310DAD"/>
    <w:pPr>
      <w:tabs>
        <w:tab w:val="center" w:pos="4680"/>
        <w:tab w:val="right" w:pos="9360"/>
      </w:tabs>
    </w:pPr>
  </w:style>
  <w:style w:type="character" w:customStyle="1" w:styleId="FooterChar">
    <w:name w:val="Footer Char"/>
    <w:basedOn w:val="DefaultParagraphFont"/>
    <w:link w:val="Footer"/>
    <w:uiPriority w:val="99"/>
    <w:rsid w:val="00310DAD"/>
    <w:rPr>
      <w:rFonts w:ascii="Century Schoolbook" w:hAnsi="Century Schoolbook"/>
      <w:sz w:val="26"/>
      <w:szCs w:val="22"/>
    </w:rPr>
  </w:style>
  <w:style w:type="character" w:styleId="PageNumber">
    <w:name w:val="page number"/>
    <w:basedOn w:val="DefaultParagraphFont"/>
    <w:uiPriority w:val="99"/>
    <w:semiHidden/>
    <w:unhideWhenUsed/>
    <w:rsid w:val="00310DAD"/>
  </w:style>
  <w:style w:type="paragraph" w:styleId="BalloonText">
    <w:name w:val="Balloon Text"/>
    <w:basedOn w:val="Normal"/>
    <w:link w:val="BalloonTextChar"/>
    <w:uiPriority w:val="99"/>
    <w:semiHidden/>
    <w:unhideWhenUsed/>
    <w:rsid w:val="00DC3072"/>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C3072"/>
    <w:rPr>
      <w:rFonts w:ascii="Times New Roman" w:hAnsi="Times New Roman"/>
      <w:sz w:val="18"/>
      <w:szCs w:val="18"/>
    </w:rPr>
  </w:style>
  <w:style w:type="character" w:styleId="Hyperlink">
    <w:name w:val="Hyperlink"/>
    <w:basedOn w:val="DefaultParagraphFont"/>
    <w:uiPriority w:val="99"/>
    <w:unhideWhenUsed/>
    <w:rsid w:val="00003FB4"/>
    <w:rPr>
      <w:color w:val="0000FF" w:themeColor="hyperlink"/>
      <w:u w:val="single"/>
    </w:rPr>
  </w:style>
  <w:style w:type="character" w:customStyle="1" w:styleId="UnresolvedMention1">
    <w:name w:val="Unresolved Mention1"/>
    <w:basedOn w:val="DefaultParagraphFont"/>
    <w:uiPriority w:val="99"/>
    <w:semiHidden/>
    <w:unhideWhenUsed/>
    <w:rsid w:val="00003FB4"/>
    <w:rPr>
      <w:color w:val="605E5C"/>
      <w:shd w:val="clear" w:color="auto" w:fill="E1DFDD"/>
    </w:rPr>
  </w:style>
  <w:style w:type="paragraph" w:styleId="NormalWeb">
    <w:name w:val="Normal (Web)"/>
    <w:basedOn w:val="Normal"/>
    <w:uiPriority w:val="99"/>
    <w:semiHidden/>
    <w:unhideWhenUsed/>
    <w:rsid w:val="00ED3A53"/>
    <w:rPr>
      <w:rFonts w:ascii="Times New Roman" w:hAnsi="Times New Roman"/>
      <w:sz w:val="24"/>
      <w:szCs w:val="24"/>
    </w:rPr>
  </w:style>
  <w:style w:type="character" w:customStyle="1" w:styleId="Heading3Char">
    <w:name w:val="Heading 3 Char"/>
    <w:basedOn w:val="DefaultParagraphFont"/>
    <w:link w:val="Heading3"/>
    <w:uiPriority w:val="9"/>
    <w:rsid w:val="00D42427"/>
    <w:rPr>
      <w:rFonts w:ascii="Century Schoolbook" w:hAnsi="Century Schoolbook"/>
      <w:b/>
      <w:bCs/>
      <w:sz w:val="26"/>
      <w:szCs w:val="26"/>
    </w:rPr>
  </w:style>
  <w:style w:type="paragraph" w:styleId="Revision">
    <w:name w:val="Revision"/>
    <w:hidden/>
    <w:uiPriority w:val="99"/>
    <w:semiHidden/>
    <w:rsid w:val="00C76465"/>
    <w:rPr>
      <w:rFonts w:ascii="Century Schoolbook" w:hAnsi="Century Schoolbook"/>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F5DFFB7C6394C9AA990499DB4D795" ma:contentTypeVersion="16" ma:contentTypeDescription="Create a new document." ma:contentTypeScope="" ma:versionID="61aa3b0ca7f4cdff13be7d896452b1ec">
  <xsd:schema xmlns:xsd="http://www.w3.org/2001/XMLSchema" xmlns:xs="http://www.w3.org/2001/XMLSchema" xmlns:p="http://schemas.microsoft.com/office/2006/metadata/properties" xmlns:ns3="a9db234e-15ad-42d8-a59b-5e7acf05f5d1" xmlns:ns4="010d374d-3d26-40a2-92e1-e2d1efd89be4" targetNamespace="http://schemas.microsoft.com/office/2006/metadata/properties" ma:root="true" ma:fieldsID="c46fa1b393f908230f4947d4dc934226" ns3:_="" ns4:_="">
    <xsd:import namespace="a9db234e-15ad-42d8-a59b-5e7acf05f5d1"/>
    <xsd:import namespace="010d374d-3d26-40a2-92e1-e2d1efd89b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234e-15ad-42d8-a59b-5e7acf05f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d374d-3d26-40a2-92e1-e2d1efd89b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9db234e-15ad-42d8-a59b-5e7acf05f5d1" xsi:nil="true"/>
  </documentManagement>
</p:properties>
</file>

<file path=customXml/itemProps1.xml><?xml version="1.0" encoding="utf-8"?>
<ds:datastoreItem xmlns:ds="http://schemas.openxmlformats.org/officeDocument/2006/customXml" ds:itemID="{75CB94B4-43A8-214E-909E-D7E32D3519D0}">
  <ds:schemaRefs>
    <ds:schemaRef ds:uri="http://schemas.openxmlformats.org/officeDocument/2006/bibliography"/>
  </ds:schemaRefs>
</ds:datastoreItem>
</file>

<file path=customXml/itemProps2.xml><?xml version="1.0" encoding="utf-8"?>
<ds:datastoreItem xmlns:ds="http://schemas.openxmlformats.org/officeDocument/2006/customXml" ds:itemID="{B90D796D-86D2-46AF-8931-13D4E9841169}">
  <ds:schemaRefs>
    <ds:schemaRef ds:uri="http://schemas.microsoft.com/sharepoint/v3/contenttype/forms"/>
  </ds:schemaRefs>
</ds:datastoreItem>
</file>

<file path=customXml/itemProps3.xml><?xml version="1.0" encoding="utf-8"?>
<ds:datastoreItem xmlns:ds="http://schemas.openxmlformats.org/officeDocument/2006/customXml" ds:itemID="{F0ED6F48-50BC-4F18-A35E-74F3FB45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234e-15ad-42d8-a59b-5e7acf05f5d1"/>
    <ds:schemaRef ds:uri="010d374d-3d26-40a2-92e1-e2d1efd89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666D2-3ACB-4958-A1CE-4D1D936B45D9}">
  <ds:schemaRefs>
    <ds:schemaRef ds:uri="http://schemas.microsoft.com/office/2006/documentManagement/types"/>
    <ds:schemaRef ds:uri="http://schemas.openxmlformats.org/package/2006/metadata/core-properties"/>
    <ds:schemaRef ds:uri="a9db234e-15ad-42d8-a59b-5e7acf05f5d1"/>
    <ds:schemaRef ds:uri="http://www.w3.org/XML/1998/namespace"/>
    <ds:schemaRef ds:uri="http://purl.org/dc/elements/1.1/"/>
    <ds:schemaRef ds:uri="http://schemas.microsoft.com/office/infopath/2007/PartnerControls"/>
    <ds:schemaRef ds:uri="http://purl.org/dc/dcmitype/"/>
    <ds:schemaRef ds:uri="010d374d-3d26-40a2-92e1-e2d1efd89be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4611</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2024-05-28T21:32:34Z</dcterms:created>
  <dcterms:modified xsi:type="dcterms:W3CDTF">2024-05-28T21:32:34Z</dcterms:modified>
</cp:coreProperties>
</file>