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77636A" w:rsidRPr="0043723B" w:rsidP="0043723B" w14:paraId="6735326A" w14:textId="6AB11E07">
      <w:pPr>
        <w:rPr>
          <w:bCs/>
          <w:sz w:val="20"/>
          <w:szCs w:val="20"/>
        </w:rPr>
      </w:pPr>
      <w:r>
        <w:rPr>
          <w:bCs/>
          <w:sz w:val="20"/>
          <w:szCs w:val="20"/>
        </w:rPr>
        <w:t>Filed 5/30/24</w:t>
      </w:r>
    </w:p>
    <w:p w:rsidR="00654975" w:rsidRPr="00FF3736" w:rsidP="00364EFF" w14:paraId="69F09831" w14:textId="42AC4DE5">
      <w:pPr>
        <w:jc w:val="center"/>
        <w:rPr>
          <w:b/>
        </w:rPr>
      </w:pPr>
      <w:r w:rsidRPr="00FF3736">
        <w:rPr>
          <w:b/>
        </w:rPr>
        <w:t xml:space="preserve">CERTIFIED FOR </w:t>
      </w:r>
      <w:r w:rsidRPr="00FF3736" w:rsidR="00CA2E76">
        <w:rPr>
          <w:b/>
        </w:rPr>
        <w:t xml:space="preserve">PARTIAL </w:t>
      </w:r>
      <w:r w:rsidRPr="00FF3736">
        <w:rPr>
          <w:b/>
        </w:rPr>
        <w:t>PUBLICATION</w:t>
      </w:r>
      <w:r>
        <w:rPr>
          <w:rFonts w:eastAsia="Calibri"/>
          <w:b/>
          <w:vertAlign w:val="superscript"/>
        </w:rPr>
        <w:footnoteReference w:customMarkFollows="1" w:id="2"/>
        <w:t xml:space="preserve">*</w:t>
      </w:r>
    </w:p>
    <w:p w:rsidR="00654975" w:rsidRPr="00FF3736" w:rsidP="00364EFF" w14:paraId="2778E366" w14:textId="77777777">
      <w:pPr>
        <w:jc w:val="center"/>
      </w:pPr>
    </w:p>
    <w:p w:rsidR="00654975" w:rsidRPr="00FF3736" w:rsidP="00364EFF" w14:paraId="37E7068D" w14:textId="34F32025">
      <w:pPr>
        <w:jc w:val="center"/>
      </w:pPr>
      <w:r w:rsidRPr="00FF3736">
        <w:t>IN THE COURT OF APPEAL OF THE STATE OF CALIFORNIA</w:t>
      </w:r>
    </w:p>
    <w:p w:rsidR="00654975" w:rsidRPr="00FF3736" w:rsidP="00364EFF" w14:paraId="1E456173" w14:textId="77777777">
      <w:pPr>
        <w:jc w:val="center"/>
      </w:pPr>
    </w:p>
    <w:p w:rsidR="00654975" w:rsidRPr="00FF3736" w:rsidP="00364EFF" w14:paraId="459FE797" w14:textId="228472BC">
      <w:pPr>
        <w:jc w:val="center"/>
      </w:pPr>
      <w:r w:rsidRPr="00FF3736">
        <w:t>SECOND APPELLATE DISTRICT</w:t>
      </w:r>
    </w:p>
    <w:p w:rsidR="00654975" w:rsidRPr="00FF3736" w:rsidP="00364EFF" w14:paraId="7C86C89B" w14:textId="77777777">
      <w:pPr>
        <w:jc w:val="center"/>
      </w:pPr>
    </w:p>
    <w:p w:rsidR="00654975" w:rsidRPr="00FF3736" w:rsidP="00364EFF" w14:paraId="53E8555F" w14:textId="13200C42">
      <w:pPr>
        <w:jc w:val="center"/>
      </w:pPr>
      <w:r w:rsidRPr="00FF3736">
        <w:t>DIVISION TWO</w:t>
      </w:r>
    </w:p>
    <w:p w:rsidR="00654975" w:rsidRPr="00FF3736" w:rsidP="00364EFF" w14:paraId="5B7D2D33" w14:textId="77777777">
      <w:pPr>
        <w:jc w:val="center"/>
      </w:pPr>
    </w:p>
    <w:tbl>
      <w:tblPr>
        <w:tblW w:w="0" w:type="auto"/>
        <w:tblLayout w:type="fixed"/>
        <w:tblLook w:val="0000"/>
      </w:tblPr>
      <w:tblGrid>
        <w:gridCol w:w="3960"/>
        <w:gridCol w:w="3960"/>
      </w:tblGrid>
      <w:tr w14:paraId="02BD8553" w14:textId="77777777" w:rsidTr="00654975">
        <w:tblPrEx>
          <w:tblW w:w="0" w:type="auto"/>
          <w:tblLayout w:type="fixed"/>
          <w:tblLook w:val="0000"/>
        </w:tblPrEx>
        <w:tc>
          <w:tcPr>
            <w:tcW w:w="3960" w:type="dxa"/>
            <w:tcBorders>
              <w:bottom w:val="single" w:sz="4" w:space="0" w:color="auto"/>
              <w:right w:val="single" w:sz="4" w:space="0" w:color="auto"/>
            </w:tcBorders>
            <w:shd w:val="clear" w:color="auto" w:fill="auto"/>
          </w:tcPr>
          <w:p w:rsidR="00654975" w:rsidRPr="00FF3736" w:rsidP="00364EFF" w14:paraId="231687B7" w14:textId="2D727B3E">
            <w:r w:rsidRPr="00FF3736">
              <w:t>CAROLINA BEVERAGE CORPORATION et al.</w:t>
            </w:r>
            <w:r w:rsidRPr="00FF3736">
              <w:t>,</w:t>
            </w:r>
          </w:p>
          <w:p w:rsidR="00654975" w:rsidRPr="00FF3736" w:rsidP="00364EFF" w14:paraId="5A068DA2" w14:textId="77777777"/>
          <w:p w:rsidR="00654975" w:rsidRPr="00FF3736" w:rsidP="00364EFF" w14:paraId="639E09E2" w14:textId="3149C9D3">
            <w:r w:rsidRPr="00FF3736">
              <w:tab/>
              <w:t>Plaintiff</w:t>
            </w:r>
            <w:r w:rsidRPr="00FF3736" w:rsidR="005A7D41">
              <w:t>s</w:t>
            </w:r>
            <w:r w:rsidRPr="00FF3736">
              <w:t xml:space="preserve"> and Appellant</w:t>
            </w:r>
            <w:r w:rsidRPr="00FF3736" w:rsidR="005A7D41">
              <w:t>s</w:t>
            </w:r>
            <w:r w:rsidRPr="00FF3736">
              <w:t>,</w:t>
            </w:r>
          </w:p>
          <w:p w:rsidR="00654975" w:rsidRPr="00FF3736" w:rsidP="00364EFF" w14:paraId="05C29314" w14:textId="77777777"/>
          <w:p w:rsidR="00654975" w:rsidRPr="00FF3736" w:rsidP="00364EFF" w14:paraId="3399C6B3" w14:textId="77777777">
            <w:r w:rsidRPr="00FF3736">
              <w:tab/>
              <w:t>v.</w:t>
            </w:r>
          </w:p>
          <w:p w:rsidR="00654975" w:rsidRPr="00FF3736" w:rsidP="00364EFF" w14:paraId="1FE4D584" w14:textId="77777777"/>
          <w:p w:rsidR="00654975" w:rsidRPr="00FF3736" w:rsidP="00364EFF" w14:paraId="3FB4404E" w14:textId="27456160">
            <w:r w:rsidRPr="00FF3736">
              <w:t>FIJI WATER COMPANY</w:t>
            </w:r>
            <w:r w:rsidR="00802F5B">
              <w:t>,</w:t>
            </w:r>
            <w:r w:rsidRPr="00FF3736">
              <w:t xml:space="preserve"> LLC</w:t>
            </w:r>
            <w:r w:rsidRPr="00FF3736">
              <w:t>,</w:t>
            </w:r>
          </w:p>
          <w:p w:rsidR="00654975" w:rsidRPr="00FF3736" w:rsidP="00364EFF" w14:paraId="6BEFF82B" w14:textId="77777777"/>
          <w:p w:rsidR="00654975" w:rsidRPr="00FF3736" w:rsidP="00364EFF" w14:paraId="6A56F6BD" w14:textId="2BFECDC6">
            <w:r w:rsidRPr="00FF3736">
              <w:tab/>
              <w:t xml:space="preserve">Defendant and </w:t>
            </w:r>
            <w:r w:rsidRPr="00FF3736" w:rsidR="005A7D41">
              <w:t>Appellant</w:t>
            </w:r>
            <w:r w:rsidRPr="00FF3736">
              <w:t>.</w:t>
            </w:r>
          </w:p>
          <w:p w:rsidR="00654975" w:rsidRPr="00FF3736" w:rsidP="00364EFF" w14:paraId="792E110E" w14:textId="43A9F634"/>
        </w:tc>
        <w:tc>
          <w:tcPr>
            <w:tcW w:w="3960" w:type="dxa"/>
            <w:tcBorders>
              <w:left w:val="single" w:sz="4" w:space="0" w:color="auto"/>
            </w:tcBorders>
            <w:shd w:val="clear" w:color="auto" w:fill="auto"/>
          </w:tcPr>
          <w:p w:rsidR="00654975" w:rsidRPr="00FF3736" w:rsidP="00DB48BF" w14:paraId="587140CF" w14:textId="3660AA62">
            <w:pPr>
              <w:ind w:left="436" w:hanging="436"/>
            </w:pPr>
            <w:r w:rsidRPr="00FF3736">
              <w:t xml:space="preserve">      B</w:t>
            </w:r>
            <w:r w:rsidRPr="00FF3736" w:rsidR="005A7D41">
              <w:t>324</w:t>
            </w:r>
            <w:r w:rsidR="00471173">
              <w:t>6</w:t>
            </w:r>
            <w:r w:rsidRPr="00FF3736" w:rsidR="005A7D41">
              <w:t>09</w:t>
            </w:r>
            <w:r w:rsidR="00574B39">
              <w:t>, consolidated with B325931 and B326861</w:t>
            </w:r>
          </w:p>
          <w:p w:rsidR="00654975" w:rsidRPr="00FF3736" w:rsidP="00364EFF" w14:paraId="4C1AFF18" w14:textId="77777777"/>
          <w:p w:rsidR="00654975" w:rsidRPr="00FF3736" w:rsidP="00364EFF" w14:paraId="1704A461" w14:textId="77777777">
            <w:r w:rsidRPr="00FF3736">
              <w:t xml:space="preserve">      (Los Angeles County</w:t>
            </w:r>
          </w:p>
          <w:p w:rsidR="00C21AC7" w:rsidRPr="00FF3736" w:rsidP="00364EFF" w14:paraId="6E0036A0" w14:textId="77777777">
            <w:r w:rsidRPr="00FF3736">
              <w:t xml:space="preserve">      Super. Ct. No. </w:t>
            </w:r>
          </w:p>
          <w:p w:rsidR="00654975" w:rsidRPr="00FF3736" w:rsidP="00364EFF" w14:paraId="40A1969E" w14:textId="220497B0">
            <w:r w:rsidRPr="00FF3736">
              <w:t xml:space="preserve">      </w:t>
            </w:r>
            <w:r w:rsidRPr="00FF3736" w:rsidR="005A7D41">
              <w:t>19STCV32342</w:t>
            </w:r>
            <w:r w:rsidRPr="00FF3736">
              <w:t>)</w:t>
            </w:r>
          </w:p>
          <w:p w:rsidR="00654975" w:rsidRPr="00FF3736" w:rsidP="00364EFF" w14:paraId="77513DD1" w14:textId="5DDB498D"/>
        </w:tc>
      </w:tr>
    </w:tbl>
    <w:p w:rsidR="00654975" w:rsidRPr="00FF3736" w:rsidP="00654975" w14:paraId="4E912505" w14:textId="77777777"/>
    <w:p w:rsidR="002F39F6" w:rsidRPr="00FF3736" w:rsidP="00364EFF" w14:paraId="6145020F" w14:textId="7D4A72EA">
      <w:pPr>
        <w:ind w:firstLine="720"/>
        <w:rPr>
          <w:szCs w:val="26"/>
        </w:rPr>
      </w:pPr>
      <w:r w:rsidRPr="00FF3736">
        <w:rPr>
          <w:szCs w:val="26"/>
        </w:rPr>
        <w:t xml:space="preserve">APPEAL from a judgment of the Superior Court of Los Angeles County, </w:t>
      </w:r>
      <w:r w:rsidRPr="00FF3736" w:rsidR="005A7D41">
        <w:rPr>
          <w:szCs w:val="26"/>
        </w:rPr>
        <w:t>Maurice A. Leiter</w:t>
      </w:r>
      <w:r w:rsidRPr="00FF3736">
        <w:rPr>
          <w:szCs w:val="26"/>
        </w:rPr>
        <w:t>, Judge.  Reversed</w:t>
      </w:r>
      <w:r w:rsidRPr="00FF3736" w:rsidR="005A7D41">
        <w:rPr>
          <w:szCs w:val="26"/>
        </w:rPr>
        <w:t xml:space="preserve"> </w:t>
      </w:r>
      <w:r w:rsidRPr="00FF3736" w:rsidR="00BF744E">
        <w:rPr>
          <w:szCs w:val="26"/>
        </w:rPr>
        <w:t xml:space="preserve">in part, vacated in part, </w:t>
      </w:r>
      <w:r w:rsidRPr="00FF3736" w:rsidR="005A7D41">
        <w:rPr>
          <w:szCs w:val="26"/>
        </w:rPr>
        <w:t>and remanded with instructions</w:t>
      </w:r>
      <w:r w:rsidRPr="00FF3736">
        <w:rPr>
          <w:szCs w:val="26"/>
        </w:rPr>
        <w:t>.</w:t>
      </w:r>
    </w:p>
    <w:p w:rsidR="002F39F6" w:rsidRPr="00FF3736" w:rsidP="00364EFF" w14:paraId="2F6CF648" w14:textId="77777777">
      <w:pPr>
        <w:rPr>
          <w:szCs w:val="26"/>
        </w:rPr>
      </w:pPr>
      <w:r w:rsidRPr="00FF3736">
        <w:rPr>
          <w:szCs w:val="26"/>
        </w:rPr>
        <w:tab/>
      </w:r>
    </w:p>
    <w:p w:rsidR="002F39F6" w:rsidRPr="00FF3736" w:rsidP="00364EFF" w14:paraId="0230F32A" w14:textId="35755375">
      <w:pPr>
        <w:ind w:firstLine="720"/>
        <w:rPr>
          <w:szCs w:val="26"/>
        </w:rPr>
      </w:pPr>
      <w:r w:rsidRPr="00FF3736">
        <w:rPr>
          <w:szCs w:val="26"/>
        </w:rPr>
        <w:t>Womble Bond Dickinson, Kristin Walker-Probst, David A. Berkley</w:t>
      </w:r>
      <w:r w:rsidR="003A7C8B">
        <w:rPr>
          <w:szCs w:val="26"/>
        </w:rPr>
        <w:t>, Ronald R. Davis</w:t>
      </w:r>
      <w:r w:rsidRPr="00FF3736">
        <w:rPr>
          <w:szCs w:val="26"/>
        </w:rPr>
        <w:t>; Severson &amp; Werson and Jan T. Chilton</w:t>
      </w:r>
      <w:r w:rsidRPr="00FF3736">
        <w:rPr>
          <w:szCs w:val="26"/>
        </w:rPr>
        <w:t xml:space="preserve"> for Plaintiff</w:t>
      </w:r>
      <w:r w:rsidRPr="00FF3736">
        <w:rPr>
          <w:szCs w:val="26"/>
        </w:rPr>
        <w:t>s</w:t>
      </w:r>
      <w:r w:rsidRPr="00FF3736">
        <w:rPr>
          <w:szCs w:val="26"/>
        </w:rPr>
        <w:t xml:space="preserve"> and Appellant</w:t>
      </w:r>
      <w:r w:rsidRPr="00FF3736">
        <w:rPr>
          <w:szCs w:val="26"/>
        </w:rPr>
        <w:t>s</w:t>
      </w:r>
      <w:r w:rsidRPr="00FF3736">
        <w:rPr>
          <w:szCs w:val="26"/>
        </w:rPr>
        <w:t>.</w:t>
      </w:r>
    </w:p>
    <w:p w:rsidR="002F39F6" w:rsidRPr="00FF3736" w:rsidP="00364EFF" w14:paraId="2AED3EEB" w14:textId="77777777">
      <w:pPr>
        <w:ind w:firstLine="720"/>
        <w:rPr>
          <w:szCs w:val="26"/>
        </w:rPr>
      </w:pPr>
    </w:p>
    <w:p w:rsidR="002F39F6" w:rsidRPr="00FF3736" w:rsidP="00364EFF" w14:paraId="6A937ABD" w14:textId="710F91E2">
      <w:pPr>
        <w:ind w:firstLine="720"/>
        <w:rPr>
          <w:szCs w:val="26"/>
        </w:rPr>
      </w:pPr>
      <w:r w:rsidRPr="00FF3736">
        <w:rPr>
          <w:szCs w:val="26"/>
        </w:rPr>
        <w:t xml:space="preserve">Horvitz &amp; Levy, Steven S. Fleischman, and Emily V. Cuatto; Roll Law Group, Courtney E. Vaudreuil and Matthew D. Moran </w:t>
      </w:r>
      <w:r w:rsidRPr="00FF3736">
        <w:rPr>
          <w:szCs w:val="26"/>
        </w:rPr>
        <w:t xml:space="preserve">for </w:t>
      </w:r>
      <w:r w:rsidRPr="00FF3736" w:rsidR="00073FCD">
        <w:rPr>
          <w:szCs w:val="26"/>
        </w:rPr>
        <w:t xml:space="preserve">Defendant </w:t>
      </w:r>
      <w:r w:rsidRPr="00FF3736">
        <w:rPr>
          <w:szCs w:val="26"/>
        </w:rPr>
        <w:t xml:space="preserve">and </w:t>
      </w:r>
      <w:r w:rsidRPr="00FF3736" w:rsidR="00742B47">
        <w:rPr>
          <w:szCs w:val="26"/>
        </w:rPr>
        <w:t>Appellant</w:t>
      </w:r>
      <w:r w:rsidRPr="00FF3736">
        <w:rPr>
          <w:szCs w:val="26"/>
        </w:rPr>
        <w:t xml:space="preserve">.  </w:t>
      </w:r>
    </w:p>
    <w:p w:rsidR="002F39F6" w:rsidRPr="00FF3736" w:rsidP="00364EFF" w14:paraId="36D88C70" w14:textId="77777777">
      <w:pPr>
        <w:rPr>
          <w:szCs w:val="26"/>
        </w:rPr>
      </w:pPr>
    </w:p>
    <w:p w:rsidR="002F39F6" w:rsidRPr="00FF3736" w:rsidP="00364EFF" w14:paraId="2C906E1E" w14:textId="77777777">
      <w:pPr>
        <w:jc w:val="center"/>
        <w:rPr>
          <w:szCs w:val="26"/>
        </w:rPr>
      </w:pPr>
      <w:r w:rsidRPr="00FF3736">
        <w:rPr>
          <w:szCs w:val="26"/>
        </w:rPr>
        <w:t>* * * * * *</w:t>
      </w:r>
    </w:p>
    <w:p w:rsidR="002C602A" w:rsidRPr="00FF3736" w:rsidP="00364EFF" w14:paraId="52257DFD" w14:textId="76912BE3">
      <w:pPr>
        <w:rPr>
          <w:szCs w:val="26"/>
        </w:rPr>
      </w:pPr>
      <w:bookmarkStart w:id="0" w:name="_Hlk122494658"/>
      <w:r w:rsidRPr="00FF3736">
        <w:rPr>
          <w:szCs w:val="26"/>
        </w:rPr>
        <w:tab/>
      </w:r>
      <w:r w:rsidRPr="00FF3736" w:rsidR="004C4481">
        <w:rPr>
          <w:szCs w:val="26"/>
        </w:rPr>
        <w:t xml:space="preserve">A manufacturer entered into a contract with a third-party distributor granting the distributor an “exclusive” right to distribute </w:t>
      </w:r>
      <w:r w:rsidRPr="00FF3736" w:rsidR="00040C68">
        <w:rPr>
          <w:szCs w:val="26"/>
        </w:rPr>
        <w:t>the manufacturer’s</w:t>
      </w:r>
      <w:r w:rsidRPr="00FF3736" w:rsidR="004C4481">
        <w:rPr>
          <w:szCs w:val="26"/>
        </w:rPr>
        <w:t xml:space="preserve"> product to retailers within the distributor’s geographic territory.  That right was a qualified one, because the agreement (1) granted the manufacturer the right to </w:t>
      </w:r>
      <w:r w:rsidRPr="00FF3736">
        <w:rPr>
          <w:i/>
          <w:iCs/>
          <w:szCs w:val="26"/>
        </w:rPr>
        <w:t xml:space="preserve">invade </w:t>
      </w:r>
      <w:r w:rsidRPr="00FF3736">
        <w:rPr>
          <w:szCs w:val="26"/>
        </w:rPr>
        <w:t>the distributor’s territory by selling a</w:t>
      </w:r>
      <w:r w:rsidRPr="00FF3736" w:rsidR="004C4481">
        <w:rPr>
          <w:szCs w:val="26"/>
        </w:rPr>
        <w:t>nd deliver</w:t>
      </w:r>
      <w:r w:rsidRPr="00FF3736">
        <w:rPr>
          <w:szCs w:val="26"/>
        </w:rPr>
        <w:t>ing</w:t>
      </w:r>
      <w:r w:rsidRPr="00FF3736" w:rsidR="004C4481">
        <w:rPr>
          <w:szCs w:val="26"/>
        </w:rPr>
        <w:t xml:space="preserve"> its product directly to retailers </w:t>
      </w:r>
      <w:r w:rsidRPr="00FF3736" w:rsidR="00040C68">
        <w:rPr>
          <w:szCs w:val="26"/>
        </w:rPr>
        <w:t xml:space="preserve">in that territory </w:t>
      </w:r>
      <w:r w:rsidRPr="00FF3736">
        <w:rPr>
          <w:szCs w:val="26"/>
        </w:rPr>
        <w:t xml:space="preserve">as long as </w:t>
      </w:r>
      <w:r w:rsidRPr="00FF3736" w:rsidR="004C4481">
        <w:rPr>
          <w:szCs w:val="26"/>
        </w:rPr>
        <w:t>it paid the distributor a</w:t>
      </w:r>
      <w:r w:rsidR="0044226B">
        <w:rPr>
          <w:szCs w:val="26"/>
        </w:rPr>
        <w:t>n</w:t>
      </w:r>
      <w:r w:rsidRPr="00FF3736" w:rsidR="004C4481">
        <w:rPr>
          <w:szCs w:val="26"/>
        </w:rPr>
        <w:t xml:space="preserve"> </w:t>
      </w:r>
      <w:r w:rsidRPr="00FF3736" w:rsidR="00364417">
        <w:rPr>
          <w:szCs w:val="26"/>
        </w:rPr>
        <w:t xml:space="preserve">“invasion </w:t>
      </w:r>
      <w:r w:rsidRPr="00FF3736" w:rsidR="004C4481">
        <w:rPr>
          <w:szCs w:val="26"/>
        </w:rPr>
        <w:t>fee,</w:t>
      </w:r>
      <w:r w:rsidRPr="00FF3736" w:rsidR="00364417">
        <w:rPr>
          <w:szCs w:val="26"/>
        </w:rPr>
        <w:t>”</w:t>
      </w:r>
      <w:r w:rsidRPr="00FF3736" w:rsidR="004C4481">
        <w:rPr>
          <w:szCs w:val="26"/>
        </w:rPr>
        <w:t xml:space="preserve"> and (2) granted the manufacturer the </w:t>
      </w:r>
      <w:r w:rsidRPr="00FF3736">
        <w:rPr>
          <w:szCs w:val="26"/>
        </w:rPr>
        <w:t xml:space="preserve">right to terminate the contract “for any reason in its sole discretion” upon giving </w:t>
      </w:r>
      <w:r w:rsidRPr="00FF3736" w:rsidR="00364417">
        <w:rPr>
          <w:szCs w:val="26"/>
        </w:rPr>
        <w:t xml:space="preserve">written </w:t>
      </w:r>
      <w:r w:rsidRPr="00FF3736">
        <w:rPr>
          <w:szCs w:val="26"/>
        </w:rPr>
        <w:t>notice as long as it paid the distributor a</w:t>
      </w:r>
      <w:r w:rsidRPr="00FF3736" w:rsidR="00561BDA">
        <w:rPr>
          <w:szCs w:val="26"/>
        </w:rPr>
        <w:t xml:space="preserve"> </w:t>
      </w:r>
      <w:r w:rsidRPr="00FF3736">
        <w:rPr>
          <w:szCs w:val="26"/>
        </w:rPr>
        <w:t xml:space="preserve">higher “termination </w:t>
      </w:r>
      <w:r w:rsidRPr="00FF3736" w:rsidR="006F6A40">
        <w:rPr>
          <w:szCs w:val="26"/>
        </w:rPr>
        <w:t>payment</w:t>
      </w:r>
      <w:r w:rsidRPr="00FF3736">
        <w:rPr>
          <w:szCs w:val="26"/>
        </w:rPr>
        <w:t xml:space="preserve">.”  The manufacturer ended up invading </w:t>
      </w:r>
      <w:r w:rsidR="00552136">
        <w:rPr>
          <w:szCs w:val="26"/>
        </w:rPr>
        <w:t xml:space="preserve">around </w:t>
      </w:r>
      <w:r w:rsidRPr="00FF3736">
        <w:rPr>
          <w:szCs w:val="26"/>
        </w:rPr>
        <w:t>8</w:t>
      </w:r>
      <w:r w:rsidRPr="00FF3736" w:rsidR="002734F7">
        <w:rPr>
          <w:szCs w:val="26"/>
        </w:rPr>
        <w:t>5</w:t>
      </w:r>
      <w:r w:rsidRPr="00FF3736">
        <w:rPr>
          <w:szCs w:val="26"/>
        </w:rPr>
        <w:t xml:space="preserve"> percent of the distributor’s territory but never invoked its right to terminate</w:t>
      </w:r>
      <w:r w:rsidRPr="00FF3736" w:rsidR="00040C68">
        <w:rPr>
          <w:szCs w:val="26"/>
        </w:rPr>
        <w:t xml:space="preserve"> under the contract</w:t>
      </w:r>
      <w:r w:rsidRPr="00FF3736">
        <w:rPr>
          <w:szCs w:val="26"/>
        </w:rPr>
        <w:t xml:space="preserve">.  The distributor sued and went to trial </w:t>
      </w:r>
      <w:r w:rsidRPr="00FF3736" w:rsidR="00D4101A">
        <w:rPr>
          <w:szCs w:val="26"/>
        </w:rPr>
        <w:t xml:space="preserve">on two contract-related claims </w:t>
      </w:r>
      <w:r w:rsidRPr="00FF3736">
        <w:rPr>
          <w:szCs w:val="26"/>
        </w:rPr>
        <w:t xml:space="preserve">on the theory that the manufacturer had </w:t>
      </w:r>
      <w:r w:rsidRPr="00FF3736">
        <w:rPr>
          <w:i/>
          <w:iCs/>
          <w:szCs w:val="26"/>
        </w:rPr>
        <w:t>constructively</w:t>
      </w:r>
      <w:r w:rsidRPr="00FF3736">
        <w:rPr>
          <w:szCs w:val="26"/>
        </w:rPr>
        <w:t xml:space="preserve"> terminated the contract, and a jury awarded the distributor the amount of the “termination </w:t>
      </w:r>
      <w:r w:rsidRPr="00FF3736" w:rsidR="006F6A40">
        <w:rPr>
          <w:szCs w:val="26"/>
        </w:rPr>
        <w:t>payment</w:t>
      </w:r>
      <w:r w:rsidRPr="00FF3736">
        <w:rPr>
          <w:szCs w:val="26"/>
        </w:rPr>
        <w:t xml:space="preserve">” set forth in the contract.  This case therefore presents the question:  Is “constructive termination” of a </w:t>
      </w:r>
      <w:r w:rsidRPr="00FF3736" w:rsidR="00364417">
        <w:rPr>
          <w:szCs w:val="26"/>
        </w:rPr>
        <w:t xml:space="preserve">distribution </w:t>
      </w:r>
      <w:r w:rsidRPr="00FF3736">
        <w:rPr>
          <w:szCs w:val="26"/>
        </w:rPr>
        <w:t xml:space="preserve">contract a viable theory of recovery </w:t>
      </w:r>
      <w:r w:rsidRPr="00FF3736" w:rsidR="00D4101A">
        <w:rPr>
          <w:szCs w:val="26"/>
        </w:rPr>
        <w:t xml:space="preserve">under </w:t>
      </w:r>
      <w:r w:rsidRPr="00FF3736">
        <w:rPr>
          <w:szCs w:val="26"/>
        </w:rPr>
        <w:t>California</w:t>
      </w:r>
      <w:r w:rsidRPr="00FF3736" w:rsidR="00D4101A">
        <w:rPr>
          <w:szCs w:val="26"/>
        </w:rPr>
        <w:t xml:space="preserve"> common law</w:t>
      </w:r>
      <w:r w:rsidRPr="00FF3736">
        <w:rPr>
          <w:szCs w:val="26"/>
        </w:rPr>
        <w:t xml:space="preserve">?  We hold that it is not.  We also </w:t>
      </w:r>
      <w:r w:rsidRPr="00FF3736">
        <w:rPr>
          <w:szCs w:val="26"/>
        </w:rPr>
        <w:t>hold</w:t>
      </w:r>
      <w:r w:rsidRPr="00FF3736" w:rsidR="009F62FF">
        <w:rPr>
          <w:szCs w:val="26"/>
        </w:rPr>
        <w:t xml:space="preserve"> that</w:t>
      </w:r>
      <w:r w:rsidRPr="00FF3736">
        <w:rPr>
          <w:szCs w:val="26"/>
        </w:rPr>
        <w:t xml:space="preserve"> it is not a theory contemplated by the contract in this case.  And we hold that the </w:t>
      </w:r>
      <w:r w:rsidRPr="00FF3736" w:rsidR="009F62FF">
        <w:rPr>
          <w:szCs w:val="26"/>
        </w:rPr>
        <w:t xml:space="preserve">contract here was not </w:t>
      </w:r>
      <w:r w:rsidRPr="00FF3736">
        <w:rPr>
          <w:szCs w:val="26"/>
        </w:rPr>
        <w:t>constructively terminate</w:t>
      </w:r>
      <w:r w:rsidRPr="00FF3736" w:rsidR="009F62FF">
        <w:rPr>
          <w:szCs w:val="26"/>
        </w:rPr>
        <w:t>d</w:t>
      </w:r>
      <w:r w:rsidRPr="00FF3736">
        <w:rPr>
          <w:szCs w:val="26"/>
        </w:rPr>
        <w:t xml:space="preserve"> because the distributor continued to</w:t>
      </w:r>
      <w:r w:rsidRPr="00FF3736" w:rsidR="00D4101A">
        <w:rPr>
          <w:szCs w:val="26"/>
        </w:rPr>
        <w:t xml:space="preserve"> operate under the contract</w:t>
      </w:r>
      <w:r w:rsidRPr="00FF3736">
        <w:rPr>
          <w:szCs w:val="26"/>
        </w:rPr>
        <w:t xml:space="preserve">, and thus did not satisfy one of the prerequisites of constructive termination.  We accordingly </w:t>
      </w:r>
      <w:r w:rsidRPr="00FF3736" w:rsidR="00040C68">
        <w:rPr>
          <w:szCs w:val="26"/>
        </w:rPr>
        <w:t>conclude</w:t>
      </w:r>
      <w:r w:rsidRPr="00FF3736">
        <w:rPr>
          <w:szCs w:val="26"/>
        </w:rPr>
        <w:t xml:space="preserve"> that the trial court erred in </w:t>
      </w:r>
      <w:r w:rsidRPr="00FF3736" w:rsidR="00040C68">
        <w:rPr>
          <w:szCs w:val="26"/>
        </w:rPr>
        <w:t xml:space="preserve">allowing </w:t>
      </w:r>
      <w:r w:rsidRPr="00FF3736">
        <w:rPr>
          <w:szCs w:val="26"/>
        </w:rPr>
        <w:t>th</w:t>
      </w:r>
      <w:r w:rsidRPr="00FF3736" w:rsidR="00040C68">
        <w:rPr>
          <w:szCs w:val="26"/>
        </w:rPr>
        <w:t>e constructive termination</w:t>
      </w:r>
      <w:r w:rsidRPr="00FF3736">
        <w:rPr>
          <w:szCs w:val="26"/>
        </w:rPr>
        <w:t xml:space="preserve"> theory to </w:t>
      </w:r>
      <w:r w:rsidRPr="00FF3736" w:rsidR="00040C68">
        <w:rPr>
          <w:szCs w:val="26"/>
        </w:rPr>
        <w:t xml:space="preserve">go to </w:t>
      </w:r>
      <w:r w:rsidRPr="00FF3736">
        <w:rPr>
          <w:szCs w:val="26"/>
        </w:rPr>
        <w:t xml:space="preserve">the jury.  The jury verdict </w:t>
      </w:r>
      <w:r w:rsidRPr="00FF3736" w:rsidR="009F62FF">
        <w:rPr>
          <w:szCs w:val="26"/>
        </w:rPr>
        <w:t xml:space="preserve">on the contract-related claims </w:t>
      </w:r>
      <w:r w:rsidRPr="00FF3736">
        <w:rPr>
          <w:szCs w:val="26"/>
        </w:rPr>
        <w:t xml:space="preserve">must </w:t>
      </w:r>
      <w:r w:rsidRPr="00FF3736" w:rsidR="00040C68">
        <w:rPr>
          <w:szCs w:val="26"/>
        </w:rPr>
        <w:t xml:space="preserve">therefore </w:t>
      </w:r>
      <w:r w:rsidRPr="00FF3736">
        <w:rPr>
          <w:szCs w:val="26"/>
        </w:rPr>
        <w:t xml:space="preserve">be </w:t>
      </w:r>
      <w:r w:rsidRPr="00FF3736" w:rsidR="005E0824">
        <w:rPr>
          <w:szCs w:val="26"/>
        </w:rPr>
        <w:t>reversed and judgment entered for the manufacturer</w:t>
      </w:r>
      <w:r w:rsidRPr="00FF3736">
        <w:rPr>
          <w:szCs w:val="26"/>
        </w:rPr>
        <w:t>.  In the unpublished portion of th</w:t>
      </w:r>
      <w:r w:rsidRPr="00FF3736" w:rsidR="009F62FF">
        <w:rPr>
          <w:szCs w:val="26"/>
        </w:rPr>
        <w:t>is</w:t>
      </w:r>
      <w:r w:rsidRPr="00FF3736">
        <w:rPr>
          <w:szCs w:val="26"/>
        </w:rPr>
        <w:t xml:space="preserve"> opinion, we reject the distributor’s challenges to two evidentiary rulings pertinent to a related tort claim </w:t>
      </w:r>
      <w:r w:rsidRPr="00FF3736" w:rsidR="00040C68">
        <w:rPr>
          <w:szCs w:val="26"/>
        </w:rPr>
        <w:t>the jury rejected</w:t>
      </w:r>
      <w:r w:rsidRPr="00FF3736" w:rsidR="009F62FF">
        <w:rPr>
          <w:szCs w:val="26"/>
        </w:rPr>
        <w:t xml:space="preserve">.  </w:t>
      </w:r>
      <w:r w:rsidRPr="00FF3736" w:rsidR="005D6E05">
        <w:rPr>
          <w:szCs w:val="26"/>
        </w:rPr>
        <w:t>W</w:t>
      </w:r>
      <w:r w:rsidRPr="00FF3736" w:rsidR="009F62FF">
        <w:rPr>
          <w:szCs w:val="26"/>
        </w:rPr>
        <w:t xml:space="preserve">e vacate the </w:t>
      </w:r>
      <w:r w:rsidRPr="00FF3736" w:rsidR="004D094C">
        <w:rPr>
          <w:szCs w:val="26"/>
        </w:rPr>
        <w:t xml:space="preserve">trial </w:t>
      </w:r>
      <w:r w:rsidRPr="00FF3736" w:rsidR="009F62FF">
        <w:rPr>
          <w:szCs w:val="26"/>
        </w:rPr>
        <w:t>court’s award of attorney fees for the distributor, as it is no longer the prevailing party</w:t>
      </w:r>
      <w:r w:rsidRPr="00FF3736" w:rsidR="005D6E05">
        <w:rPr>
          <w:szCs w:val="26"/>
        </w:rPr>
        <w:t>, and remand for further proceedings regarding attorney fees.</w:t>
      </w:r>
      <w:r w:rsidRPr="00FF3736" w:rsidR="009F62FF">
        <w:rPr>
          <w:szCs w:val="26"/>
        </w:rPr>
        <w:t xml:space="preserve">  </w:t>
      </w:r>
    </w:p>
    <w:p w:rsidR="002F39F6" w:rsidRPr="00FF3736" w:rsidP="00364EFF" w14:paraId="342DF9D1" w14:textId="008BAB38">
      <w:pPr>
        <w:jc w:val="center"/>
        <w:rPr>
          <w:b/>
          <w:bCs/>
          <w:szCs w:val="26"/>
        </w:rPr>
      </w:pPr>
      <w:r w:rsidRPr="00FF3736">
        <w:rPr>
          <w:b/>
          <w:bCs/>
          <w:szCs w:val="26"/>
        </w:rPr>
        <w:t>FACTS AND PROCEDURAL BACKGROUND</w:t>
      </w:r>
    </w:p>
    <w:p w:rsidR="002F39F6" w:rsidRPr="00FF3736" w:rsidP="00364EFF" w14:paraId="62D58FD4" w14:textId="77777777">
      <w:pPr>
        <w:rPr>
          <w:b/>
          <w:bCs/>
          <w:szCs w:val="26"/>
        </w:rPr>
      </w:pPr>
      <w:r w:rsidRPr="00FF3736">
        <w:rPr>
          <w:b/>
          <w:bCs/>
          <w:szCs w:val="26"/>
        </w:rPr>
        <w:t>I.</w:t>
      </w:r>
      <w:r w:rsidRPr="00FF3736">
        <w:rPr>
          <w:b/>
          <w:bCs/>
          <w:szCs w:val="26"/>
        </w:rPr>
        <w:tab/>
        <w:t>Facts</w:t>
      </w:r>
    </w:p>
    <w:p w:rsidR="00EA0AB5" w:rsidRPr="00FF3736" w:rsidP="00364EFF" w14:paraId="1EA8A261" w14:textId="12F29902">
      <w:pPr>
        <w:rPr>
          <w:szCs w:val="26"/>
        </w:rPr>
      </w:pPr>
      <w:r w:rsidRPr="00FF3736">
        <w:rPr>
          <w:b/>
          <w:bCs/>
          <w:szCs w:val="26"/>
        </w:rPr>
        <w:tab/>
        <w:t>A.</w:t>
      </w:r>
      <w:r w:rsidRPr="00FF3736">
        <w:rPr>
          <w:b/>
          <w:bCs/>
          <w:szCs w:val="26"/>
        </w:rPr>
        <w:tab/>
      </w:r>
      <w:r w:rsidRPr="00FF3736">
        <w:rPr>
          <w:b/>
          <w:bCs/>
          <w:i/>
          <w:iCs/>
          <w:szCs w:val="26"/>
        </w:rPr>
        <w:t>The parties and their distribution agreement</w:t>
      </w:r>
    </w:p>
    <w:p w:rsidR="00211D71" w:rsidRPr="00FF3736" w:rsidP="00364EFF" w14:paraId="69143BCD" w14:textId="4DF3C9C5">
      <w:pPr>
        <w:rPr>
          <w:szCs w:val="26"/>
        </w:rPr>
      </w:pPr>
      <w:r w:rsidRPr="00FF3736">
        <w:rPr>
          <w:b/>
          <w:bCs/>
          <w:szCs w:val="26"/>
        </w:rPr>
        <w:tab/>
      </w:r>
      <w:r w:rsidRPr="00FF3736" w:rsidR="00BD3C68">
        <w:rPr>
          <w:szCs w:val="26"/>
        </w:rPr>
        <w:t>FIJI Water Company, LLC (FIJI)</w:t>
      </w:r>
      <w:r w:rsidR="00712EEC">
        <w:rPr>
          <w:szCs w:val="26"/>
        </w:rPr>
        <w:t>,</w:t>
      </w:r>
      <w:r w:rsidRPr="00FF3736" w:rsidR="00BD3C68">
        <w:rPr>
          <w:szCs w:val="26"/>
        </w:rPr>
        <w:t xml:space="preserve"> manufacturers premium bottled water </w:t>
      </w:r>
      <w:r w:rsidRPr="00FF3736" w:rsidR="00BC4331">
        <w:rPr>
          <w:szCs w:val="26"/>
        </w:rPr>
        <w:t xml:space="preserve">from a </w:t>
      </w:r>
      <w:r w:rsidRPr="00FF3736" w:rsidR="00040C68">
        <w:rPr>
          <w:szCs w:val="26"/>
        </w:rPr>
        <w:t>source</w:t>
      </w:r>
      <w:r w:rsidRPr="00FF3736" w:rsidR="00BC4331">
        <w:rPr>
          <w:szCs w:val="26"/>
        </w:rPr>
        <w:t xml:space="preserve"> on the island of V</w:t>
      </w:r>
      <w:r w:rsidRPr="00FF3736" w:rsidR="00BD3C68">
        <w:rPr>
          <w:szCs w:val="26"/>
        </w:rPr>
        <w:t>iti Levu in the South Pacific.  It is one of the top manufacturers of premium water in the United States.</w:t>
      </w:r>
    </w:p>
    <w:p w:rsidR="003C6C6F" w:rsidRPr="00FF3736" w:rsidP="00364EFF" w14:paraId="716E6A48" w14:textId="4AD85197">
      <w:pPr>
        <w:rPr>
          <w:szCs w:val="26"/>
        </w:rPr>
      </w:pPr>
      <w:r w:rsidRPr="00FF3736">
        <w:rPr>
          <w:szCs w:val="26"/>
        </w:rPr>
        <w:tab/>
        <w:t>Prior to 2018, FIJI distributed its products to retailers chiefly through third-party distributors.  Those distributors woul</w:t>
      </w:r>
      <w:r w:rsidRPr="00FF3736">
        <w:rPr>
          <w:szCs w:val="26"/>
        </w:rPr>
        <w:t xml:space="preserve">d act as intermediaries between FIJI and the retailers within specific geographic territories, </w:t>
      </w:r>
      <w:r w:rsidRPr="00FF3736" w:rsidR="00040C68">
        <w:rPr>
          <w:szCs w:val="26"/>
        </w:rPr>
        <w:t xml:space="preserve">and </w:t>
      </w:r>
      <w:r w:rsidRPr="00FF3736">
        <w:rPr>
          <w:szCs w:val="26"/>
        </w:rPr>
        <w:t>provid</w:t>
      </w:r>
      <w:r w:rsidRPr="00FF3736" w:rsidR="00040C68">
        <w:rPr>
          <w:szCs w:val="26"/>
        </w:rPr>
        <w:t>ed retailers</w:t>
      </w:r>
      <w:r w:rsidRPr="00FF3736">
        <w:rPr>
          <w:szCs w:val="26"/>
        </w:rPr>
        <w:t xml:space="preserve"> support and services (such as checking inventory and monitoring displays of the product in the retailers’ stores) in exchange for a slightly higher product price.  However, some retailers declined to work with third-party distributors and instead purchased FIJI’s product directly from FIJI. </w:t>
      </w:r>
    </w:p>
    <w:p w:rsidR="003C6C6F" w:rsidRPr="00FF3736" w:rsidP="00364EFF" w14:paraId="5C35B459" w14:textId="1601D73B">
      <w:pPr>
        <w:rPr>
          <w:szCs w:val="26"/>
        </w:rPr>
      </w:pPr>
      <w:r w:rsidRPr="00FF3736">
        <w:rPr>
          <w:szCs w:val="26"/>
        </w:rPr>
        <w:tab/>
        <w:t>On January 2, 2009, FIJI entered into a five-year distribution agreement with C</w:t>
      </w:r>
      <w:r w:rsidRPr="00FF3736" w:rsidR="006A3D2B">
        <w:rPr>
          <w:szCs w:val="26"/>
        </w:rPr>
        <w:t>arolina Beverage Corporation (Carolina Beverage)</w:t>
      </w:r>
      <w:r w:rsidR="004E4A53">
        <w:rPr>
          <w:szCs w:val="26"/>
        </w:rPr>
        <w:t>,</w:t>
      </w:r>
      <w:r>
        <w:rPr>
          <w:rStyle w:val="FootnoteReference"/>
          <w:b/>
          <w:bCs/>
          <w:szCs w:val="26"/>
        </w:rPr>
        <w:footnoteReference w:id="3"/>
      </w:r>
      <w:r w:rsidRPr="00FF3736" w:rsidR="00EF1542">
        <w:rPr>
          <w:szCs w:val="26"/>
        </w:rPr>
        <w:t xml:space="preserve"> a well</w:t>
      </w:r>
      <w:r w:rsidRPr="00FF3736" w:rsidR="00845C11">
        <w:rPr>
          <w:szCs w:val="26"/>
        </w:rPr>
        <w:t>-</w:t>
      </w:r>
      <w:r w:rsidRPr="00FF3736" w:rsidR="00EF1542">
        <w:rPr>
          <w:szCs w:val="26"/>
        </w:rPr>
        <w:t xml:space="preserve">established </w:t>
      </w:r>
      <w:r w:rsidRPr="00FF3736" w:rsidR="00845C11">
        <w:rPr>
          <w:szCs w:val="26"/>
        </w:rPr>
        <w:t xml:space="preserve">beverage </w:t>
      </w:r>
      <w:r w:rsidRPr="00FF3736" w:rsidR="00EF1542">
        <w:rPr>
          <w:szCs w:val="26"/>
        </w:rPr>
        <w:t>distributor in business since 1913,</w:t>
      </w:r>
      <w:r w:rsidRPr="00FF3736">
        <w:rPr>
          <w:szCs w:val="26"/>
        </w:rPr>
        <w:t xml:space="preserve"> for distribution of its products in parts of North Carolina, South Carolina</w:t>
      </w:r>
      <w:r w:rsidRPr="00FF3736" w:rsidR="00845C11">
        <w:rPr>
          <w:szCs w:val="26"/>
        </w:rPr>
        <w:t>,</w:t>
      </w:r>
      <w:r w:rsidRPr="00FF3736">
        <w:rPr>
          <w:szCs w:val="26"/>
        </w:rPr>
        <w:t xml:space="preserve"> and Georgia.</w:t>
      </w:r>
      <w:r>
        <w:rPr>
          <w:rStyle w:val="FootnoteReference"/>
          <w:b/>
          <w:bCs/>
          <w:szCs w:val="26"/>
        </w:rPr>
        <w:footnoteReference w:id="4"/>
      </w:r>
      <w:r w:rsidRPr="00FF3736">
        <w:rPr>
          <w:szCs w:val="26"/>
        </w:rPr>
        <w:t xml:space="preserve">  In pertinent part, the agreement:</w:t>
      </w:r>
    </w:p>
    <w:p w:rsidR="006A3D2B" w:rsidRPr="00FF3736" w:rsidP="00364EFF" w14:paraId="1499648E" w14:textId="5FAAA250">
      <w:pPr>
        <w:rPr>
          <w:szCs w:val="26"/>
        </w:rPr>
      </w:pPr>
      <w:r w:rsidRPr="00FF3736">
        <w:rPr>
          <w:i/>
          <w:iCs/>
          <w:szCs w:val="26"/>
        </w:rPr>
        <w:tab/>
      </w:r>
      <w:r w:rsidRPr="00FF3736" w:rsidR="00741566">
        <w:rPr>
          <w:i/>
          <w:iCs/>
          <w:szCs w:val="26"/>
        </w:rPr>
        <w:t>●</w:t>
      </w:r>
      <w:r w:rsidRPr="00FF3736" w:rsidR="00741566">
        <w:rPr>
          <w:szCs w:val="26"/>
        </w:rPr>
        <w:tab/>
      </w:r>
      <w:r w:rsidRPr="00FF3736" w:rsidR="00561BDA">
        <w:rPr>
          <w:szCs w:val="26"/>
        </w:rPr>
        <w:t xml:space="preserve">Granted </w:t>
      </w:r>
      <w:r w:rsidRPr="00FF3736" w:rsidR="006103F6">
        <w:rPr>
          <w:szCs w:val="26"/>
        </w:rPr>
        <w:t>Carolina Beverage “the exclusive right to distribute” FIJI’s products within the designated territory.</w:t>
      </w:r>
      <w:r>
        <w:rPr>
          <w:rStyle w:val="FootnoteReference"/>
          <w:b/>
          <w:bCs/>
          <w:szCs w:val="26"/>
        </w:rPr>
        <w:footnoteReference w:id="5"/>
      </w:r>
      <w:r w:rsidRPr="00FF3736" w:rsidR="006103F6">
        <w:rPr>
          <w:szCs w:val="26"/>
        </w:rPr>
        <w:t xml:space="preserve"> </w:t>
      </w:r>
    </w:p>
    <w:p w:rsidR="00561BDA" w:rsidRPr="00FF3736" w:rsidP="00364EFF" w14:paraId="7E9E267E" w14:textId="2EDE1F36">
      <w:pPr>
        <w:ind w:firstLine="720"/>
        <w:rPr>
          <w:b/>
          <w:bCs/>
          <w:szCs w:val="26"/>
        </w:rPr>
      </w:pPr>
      <w:r w:rsidRPr="00FF3736">
        <w:rPr>
          <w:i/>
          <w:iCs/>
          <w:szCs w:val="26"/>
        </w:rPr>
        <w:t>●</w:t>
      </w:r>
      <w:r w:rsidRPr="00FF3736">
        <w:rPr>
          <w:i/>
          <w:iCs/>
          <w:szCs w:val="26"/>
        </w:rPr>
        <w:tab/>
      </w:r>
      <w:r w:rsidRPr="00FF3736">
        <w:rPr>
          <w:szCs w:val="26"/>
        </w:rPr>
        <w:t xml:space="preserve">Nevertheless granted FIJI </w:t>
      </w:r>
      <w:r w:rsidRPr="00FF3736" w:rsidR="009B10E1">
        <w:rPr>
          <w:szCs w:val="26"/>
        </w:rPr>
        <w:t xml:space="preserve">the right to </w:t>
      </w:r>
      <w:r w:rsidRPr="00FF3736">
        <w:rPr>
          <w:szCs w:val="26"/>
        </w:rPr>
        <w:t xml:space="preserve">directly </w:t>
      </w:r>
      <w:r w:rsidRPr="00FF3736" w:rsidR="009B10E1">
        <w:rPr>
          <w:szCs w:val="26"/>
        </w:rPr>
        <w:t xml:space="preserve">sell </w:t>
      </w:r>
      <w:r w:rsidRPr="00FF3736">
        <w:rPr>
          <w:szCs w:val="26"/>
        </w:rPr>
        <w:t xml:space="preserve">and deliver </w:t>
      </w:r>
      <w:r w:rsidRPr="00FF3736" w:rsidR="009B10E1">
        <w:rPr>
          <w:szCs w:val="26"/>
        </w:rPr>
        <w:t>to retailers</w:t>
      </w:r>
      <w:r w:rsidRPr="00FF3736" w:rsidR="00E21E04">
        <w:rPr>
          <w:szCs w:val="26"/>
        </w:rPr>
        <w:t xml:space="preserve"> within Carolina Beverage’s territory </w:t>
      </w:r>
      <w:r w:rsidRPr="00FF3736">
        <w:rPr>
          <w:szCs w:val="26"/>
        </w:rPr>
        <w:t xml:space="preserve">who are “national account customers” or “[n]ational [a]ccount’s outlets.”  </w:t>
      </w:r>
      <w:r w:rsidRPr="00FF3736" w:rsidR="00E21E04">
        <w:rPr>
          <w:szCs w:val="26"/>
        </w:rPr>
        <w:t xml:space="preserve">This </w:t>
      </w:r>
      <w:r w:rsidRPr="00FF3736">
        <w:rPr>
          <w:szCs w:val="26"/>
        </w:rPr>
        <w:t xml:space="preserve">right to invade Carolina Beverage’s territory </w:t>
      </w:r>
      <w:r w:rsidRPr="00FF3736" w:rsidR="00EF1542">
        <w:rPr>
          <w:szCs w:val="26"/>
        </w:rPr>
        <w:t>was</w:t>
      </w:r>
      <w:r w:rsidRPr="00FF3736">
        <w:rPr>
          <w:szCs w:val="26"/>
        </w:rPr>
        <w:t xml:space="preserve"> qualified:  Before FIJI </w:t>
      </w:r>
      <w:r w:rsidRPr="00FF3736" w:rsidR="00EF1542">
        <w:rPr>
          <w:szCs w:val="26"/>
        </w:rPr>
        <w:t>could</w:t>
      </w:r>
      <w:r w:rsidRPr="00FF3736">
        <w:rPr>
          <w:szCs w:val="26"/>
        </w:rPr>
        <w:t xml:space="preserve"> invade, it </w:t>
      </w:r>
      <w:r w:rsidRPr="00FF3736" w:rsidR="00EF1542">
        <w:rPr>
          <w:szCs w:val="26"/>
        </w:rPr>
        <w:t>wa</w:t>
      </w:r>
      <w:r w:rsidRPr="00FF3736">
        <w:rPr>
          <w:szCs w:val="26"/>
        </w:rPr>
        <w:t xml:space="preserve">s required to “discuss” and “endeavor to negotiate terms on which [FIJI and Carolina Beverage] can participate” in </w:t>
      </w:r>
      <w:r w:rsidRPr="00FF3736" w:rsidR="00E21E04">
        <w:rPr>
          <w:szCs w:val="26"/>
        </w:rPr>
        <w:t xml:space="preserve">those </w:t>
      </w:r>
      <w:r w:rsidRPr="00FF3736">
        <w:rPr>
          <w:szCs w:val="26"/>
        </w:rPr>
        <w:t>sale</w:t>
      </w:r>
      <w:r w:rsidRPr="00FF3736" w:rsidR="00E21E04">
        <w:rPr>
          <w:szCs w:val="26"/>
        </w:rPr>
        <w:t>s</w:t>
      </w:r>
      <w:r w:rsidRPr="00FF3736">
        <w:rPr>
          <w:szCs w:val="26"/>
        </w:rPr>
        <w:t xml:space="preserve">; should the parties be unable to agree, however, FIJI </w:t>
      </w:r>
      <w:r w:rsidRPr="00FF3736" w:rsidR="00EF1542">
        <w:rPr>
          <w:szCs w:val="26"/>
        </w:rPr>
        <w:t xml:space="preserve">could </w:t>
      </w:r>
      <w:r w:rsidRPr="00FF3736">
        <w:rPr>
          <w:szCs w:val="26"/>
        </w:rPr>
        <w:t xml:space="preserve">invade by paying Carolina Beverage an “invasion fee” of $1 per each case </w:t>
      </w:r>
      <w:r w:rsidR="00CF5F26">
        <w:rPr>
          <w:szCs w:val="26"/>
        </w:rPr>
        <w:t xml:space="preserve">of products </w:t>
      </w:r>
      <w:r w:rsidRPr="00FF3736">
        <w:rPr>
          <w:szCs w:val="26"/>
        </w:rPr>
        <w:t>FIJI s</w:t>
      </w:r>
      <w:r w:rsidRPr="00FF3736" w:rsidR="00EF1542">
        <w:rPr>
          <w:szCs w:val="26"/>
        </w:rPr>
        <w:t>old</w:t>
      </w:r>
      <w:r w:rsidRPr="00FF3736">
        <w:rPr>
          <w:szCs w:val="26"/>
        </w:rPr>
        <w:t xml:space="preserve"> and deliver</w:t>
      </w:r>
      <w:r w:rsidRPr="00FF3736" w:rsidR="00EF1542">
        <w:rPr>
          <w:szCs w:val="26"/>
        </w:rPr>
        <w:t>ed</w:t>
      </w:r>
      <w:r w:rsidRPr="00FF3736">
        <w:rPr>
          <w:szCs w:val="26"/>
        </w:rPr>
        <w:t xml:space="preserve"> directly.</w:t>
      </w:r>
      <w:r>
        <w:rPr>
          <w:rStyle w:val="FootnoteReference"/>
          <w:b/>
          <w:bCs/>
          <w:szCs w:val="26"/>
        </w:rPr>
        <w:footnoteReference w:id="6"/>
      </w:r>
    </w:p>
    <w:p w:rsidR="00E21E04" w:rsidRPr="00FF3736" w:rsidP="00364EFF" w14:paraId="5A242217" w14:textId="1500EA85">
      <w:pPr>
        <w:rPr>
          <w:szCs w:val="26"/>
        </w:rPr>
      </w:pPr>
      <w:r w:rsidRPr="00FF3736">
        <w:rPr>
          <w:szCs w:val="26"/>
        </w:rPr>
        <w:tab/>
      </w:r>
      <w:r w:rsidRPr="00FF3736">
        <w:rPr>
          <w:i/>
          <w:iCs/>
          <w:szCs w:val="26"/>
        </w:rPr>
        <w:t>●</w:t>
      </w:r>
      <w:r w:rsidRPr="00FF3736">
        <w:rPr>
          <w:i/>
          <w:iCs/>
          <w:szCs w:val="26"/>
        </w:rPr>
        <w:tab/>
      </w:r>
      <w:r w:rsidRPr="00FF3736">
        <w:rPr>
          <w:szCs w:val="26"/>
        </w:rPr>
        <w:t xml:space="preserve">Granted FIJI and Carolina Beverage </w:t>
      </w:r>
      <w:r w:rsidRPr="00FF3736" w:rsidR="00C25679">
        <w:rPr>
          <w:szCs w:val="26"/>
        </w:rPr>
        <w:t>certain</w:t>
      </w:r>
      <w:r w:rsidRPr="00FF3736">
        <w:rPr>
          <w:szCs w:val="26"/>
        </w:rPr>
        <w:t xml:space="preserve"> rights to terminate the agreement.  Specifically:</w:t>
      </w:r>
    </w:p>
    <w:p w:rsidR="003066BB" w:rsidRPr="00FF3736" w:rsidP="00364EFF" w14:paraId="195E8E0E" w14:textId="74738495">
      <w:pPr>
        <w:rPr>
          <w:szCs w:val="26"/>
        </w:rPr>
      </w:pPr>
      <w:r w:rsidRPr="00FF3736">
        <w:rPr>
          <w:szCs w:val="26"/>
        </w:rPr>
        <w:tab/>
      </w:r>
      <w:r w:rsidRPr="00FF3736">
        <w:rPr>
          <w:szCs w:val="26"/>
        </w:rPr>
        <w:tab/>
      </w:r>
      <w:r w:rsidRPr="00081CEF" w:rsidR="00081CEF">
        <w:rPr>
          <w:szCs w:val="26"/>
        </w:rPr>
        <w:t>–</w:t>
      </w:r>
      <w:r w:rsidRPr="00FF3736">
        <w:rPr>
          <w:i/>
          <w:iCs/>
          <w:szCs w:val="26"/>
        </w:rPr>
        <w:tab/>
      </w:r>
      <w:r w:rsidRPr="00FF3736">
        <w:rPr>
          <w:szCs w:val="26"/>
        </w:rPr>
        <w:t xml:space="preserve">Both FIJI and Carolina Beverage had a right to terminate the agreement, “immediately [and] without penalty,” </w:t>
      </w:r>
      <w:r w:rsidRPr="00FF3736" w:rsidR="00422D95">
        <w:rPr>
          <w:szCs w:val="26"/>
        </w:rPr>
        <w:t>“</w:t>
      </w:r>
      <w:r w:rsidRPr="00FF3736">
        <w:rPr>
          <w:szCs w:val="26"/>
        </w:rPr>
        <w:t xml:space="preserve">upon a material breach by the other party of its obligations, duties, representations or warranties,” if the non-breaching party </w:t>
      </w:r>
      <w:r w:rsidRPr="00FF3736" w:rsidR="00EF1542">
        <w:rPr>
          <w:szCs w:val="26"/>
        </w:rPr>
        <w:t>gave</w:t>
      </w:r>
      <w:r w:rsidRPr="00FF3736">
        <w:rPr>
          <w:szCs w:val="26"/>
        </w:rPr>
        <w:t xml:space="preserve"> notice of the breach and a 30-day </w:t>
      </w:r>
      <w:r w:rsidRPr="00FF3736" w:rsidR="00EF1542">
        <w:rPr>
          <w:szCs w:val="26"/>
        </w:rPr>
        <w:t xml:space="preserve">opportunity for the breaching party </w:t>
      </w:r>
      <w:r w:rsidRPr="00FF3736">
        <w:rPr>
          <w:szCs w:val="26"/>
        </w:rPr>
        <w:t>to cure the breach.</w:t>
      </w:r>
    </w:p>
    <w:p w:rsidR="00E21E04" w:rsidRPr="00FF3736" w:rsidP="00E21E04" w14:paraId="3F1889F1" w14:textId="0EB24437">
      <w:pPr>
        <w:rPr>
          <w:szCs w:val="26"/>
        </w:rPr>
      </w:pPr>
      <w:r w:rsidRPr="00FF3736">
        <w:rPr>
          <w:szCs w:val="26"/>
        </w:rPr>
        <w:tab/>
      </w:r>
      <w:r w:rsidRPr="00FF3736">
        <w:rPr>
          <w:szCs w:val="26"/>
        </w:rPr>
        <w:tab/>
      </w:r>
      <w:r w:rsidRPr="00081CEF" w:rsidR="00081CEF">
        <w:rPr>
          <w:szCs w:val="26"/>
        </w:rPr>
        <w:t>–</w:t>
      </w:r>
      <w:r w:rsidRPr="00FF3736">
        <w:rPr>
          <w:i/>
          <w:iCs/>
          <w:szCs w:val="26"/>
        </w:rPr>
        <w:tab/>
      </w:r>
      <w:r w:rsidRPr="00FF3736">
        <w:rPr>
          <w:szCs w:val="26"/>
        </w:rPr>
        <w:t>FIJI had a right to “immediately terminate th</w:t>
      </w:r>
      <w:r w:rsidR="00586107">
        <w:rPr>
          <w:szCs w:val="26"/>
        </w:rPr>
        <w:t>[</w:t>
      </w:r>
      <w:r w:rsidRPr="00FF3736">
        <w:rPr>
          <w:szCs w:val="26"/>
        </w:rPr>
        <w:t>e</w:t>
      </w:r>
      <w:r w:rsidR="00E84027">
        <w:rPr>
          <w:szCs w:val="26"/>
        </w:rPr>
        <w:t>]</w:t>
      </w:r>
      <w:r w:rsidRPr="00FF3736">
        <w:rPr>
          <w:szCs w:val="26"/>
        </w:rPr>
        <w:t xml:space="preserve"> </w:t>
      </w:r>
      <w:r w:rsidR="00E84027">
        <w:rPr>
          <w:szCs w:val="26"/>
        </w:rPr>
        <w:t>[</w:t>
      </w:r>
      <w:r w:rsidRPr="00FF3736">
        <w:rPr>
          <w:szCs w:val="26"/>
        </w:rPr>
        <w:t>a</w:t>
      </w:r>
      <w:r w:rsidR="00586107">
        <w:rPr>
          <w:szCs w:val="26"/>
        </w:rPr>
        <w:t>]</w:t>
      </w:r>
      <w:r w:rsidRPr="00FF3736">
        <w:rPr>
          <w:szCs w:val="26"/>
        </w:rPr>
        <w:t xml:space="preserve">greement without penalty” </w:t>
      </w:r>
      <w:r w:rsidRPr="00FF3736" w:rsidR="00EF1542">
        <w:rPr>
          <w:szCs w:val="26"/>
        </w:rPr>
        <w:t xml:space="preserve">for </w:t>
      </w:r>
      <w:r w:rsidRPr="00FF3736">
        <w:rPr>
          <w:szCs w:val="26"/>
        </w:rPr>
        <w:t xml:space="preserve">any one of eight enumerated reasons (such as Carolina Beverage’s failure to pay </w:t>
      </w:r>
      <w:r w:rsidRPr="00FF3736" w:rsidR="00422D95">
        <w:rPr>
          <w:szCs w:val="26"/>
        </w:rPr>
        <w:t xml:space="preserve">for inventory </w:t>
      </w:r>
      <w:r w:rsidRPr="00FF3736">
        <w:rPr>
          <w:szCs w:val="26"/>
        </w:rPr>
        <w:t>or</w:t>
      </w:r>
      <w:r w:rsidRPr="00FF3736" w:rsidR="00EF1542">
        <w:rPr>
          <w:szCs w:val="26"/>
        </w:rPr>
        <w:t xml:space="preserve"> its</w:t>
      </w:r>
      <w:r w:rsidRPr="00FF3736">
        <w:rPr>
          <w:szCs w:val="26"/>
        </w:rPr>
        <w:t xml:space="preserve"> bankruptcy</w:t>
      </w:r>
      <w:r w:rsidRPr="00FF3736" w:rsidR="00EF1542">
        <w:rPr>
          <w:szCs w:val="26"/>
        </w:rPr>
        <w:t>, to name a few</w:t>
      </w:r>
      <w:r w:rsidRPr="00FF3736">
        <w:rPr>
          <w:szCs w:val="26"/>
        </w:rPr>
        <w:t>).</w:t>
      </w:r>
    </w:p>
    <w:p w:rsidR="009275C6" w:rsidRPr="00FF3736" w:rsidP="00364EFF" w14:paraId="1F6631CA" w14:textId="6E8058A0">
      <w:pPr>
        <w:ind w:firstLine="1440"/>
        <w:rPr>
          <w:szCs w:val="26"/>
        </w:rPr>
      </w:pPr>
      <w:r w:rsidRPr="00081CEF">
        <w:rPr>
          <w:szCs w:val="26"/>
        </w:rPr>
        <w:t>–</w:t>
      </w:r>
      <w:r w:rsidRPr="00FF3736">
        <w:rPr>
          <w:i/>
          <w:iCs/>
          <w:szCs w:val="26"/>
        </w:rPr>
        <w:tab/>
      </w:r>
      <w:r w:rsidRPr="00FF3736" w:rsidR="00E21E04">
        <w:rPr>
          <w:szCs w:val="26"/>
        </w:rPr>
        <w:t xml:space="preserve">Carolina Beverage had a right to terminate the agreement “for any reason” </w:t>
      </w:r>
      <w:r w:rsidRPr="00FF3736" w:rsidR="00287F1E">
        <w:rPr>
          <w:szCs w:val="26"/>
        </w:rPr>
        <w:t>upon 180 days’ notice</w:t>
      </w:r>
      <w:r w:rsidRPr="00FF3736" w:rsidR="009435C5">
        <w:rPr>
          <w:szCs w:val="26"/>
        </w:rPr>
        <w:t>.</w:t>
      </w:r>
      <w:r w:rsidRPr="00FF3736" w:rsidR="00C25679">
        <w:rPr>
          <w:szCs w:val="26"/>
        </w:rPr>
        <w:t xml:space="preserve">  </w:t>
      </w:r>
      <w:r w:rsidRPr="00FF3736" w:rsidR="00EF1542">
        <w:rPr>
          <w:szCs w:val="26"/>
        </w:rPr>
        <w:t>Once</w:t>
      </w:r>
      <w:r w:rsidRPr="00FF3736" w:rsidR="00C25679">
        <w:rPr>
          <w:szCs w:val="26"/>
        </w:rPr>
        <w:t xml:space="preserve"> exercised, FIJI </w:t>
      </w:r>
      <w:r w:rsidRPr="00FF3736" w:rsidR="00EF1542">
        <w:rPr>
          <w:szCs w:val="26"/>
        </w:rPr>
        <w:t>had the right to</w:t>
      </w:r>
      <w:r w:rsidRPr="00FF3736" w:rsidR="00C25679">
        <w:rPr>
          <w:szCs w:val="26"/>
        </w:rPr>
        <w:t xml:space="preserve"> “immediately” and “without penalty” terminate the agreement.</w:t>
      </w:r>
    </w:p>
    <w:p w:rsidR="00C25679" w:rsidRPr="00FF3736" w:rsidP="00364EFF" w14:paraId="10077B62" w14:textId="1B8D49E0">
      <w:pPr>
        <w:ind w:firstLine="1440"/>
        <w:rPr>
          <w:szCs w:val="26"/>
        </w:rPr>
      </w:pPr>
      <w:r w:rsidRPr="00081CEF">
        <w:rPr>
          <w:szCs w:val="26"/>
        </w:rPr>
        <w:t>–</w:t>
      </w:r>
      <w:r w:rsidRPr="00FF3736" w:rsidR="00287F1E">
        <w:rPr>
          <w:i/>
          <w:iCs/>
          <w:szCs w:val="26"/>
        </w:rPr>
        <w:tab/>
      </w:r>
      <w:r w:rsidRPr="00FF3736" w:rsidR="00287F1E">
        <w:rPr>
          <w:szCs w:val="26"/>
        </w:rPr>
        <w:t xml:space="preserve">FIJI </w:t>
      </w:r>
      <w:r w:rsidRPr="00FF3736">
        <w:rPr>
          <w:szCs w:val="26"/>
        </w:rPr>
        <w:t>had a right to t</w:t>
      </w:r>
      <w:r w:rsidRPr="00FF3736" w:rsidR="00287F1E">
        <w:rPr>
          <w:szCs w:val="26"/>
        </w:rPr>
        <w:t xml:space="preserve">erminate the </w:t>
      </w:r>
      <w:r w:rsidRPr="00FF3736" w:rsidR="00750B48">
        <w:rPr>
          <w:szCs w:val="26"/>
        </w:rPr>
        <w:t>a</w:t>
      </w:r>
      <w:r w:rsidRPr="00FF3736" w:rsidR="00287F1E">
        <w:rPr>
          <w:szCs w:val="26"/>
        </w:rPr>
        <w:t>greement “at any time and for any reason in its sole discretion upon” 30 days’ written notice</w:t>
      </w:r>
      <w:r w:rsidRPr="00FF3736">
        <w:rPr>
          <w:szCs w:val="26"/>
        </w:rPr>
        <w:t xml:space="preserve">.  But if FIJI exercised this right, it </w:t>
      </w:r>
      <w:r w:rsidRPr="00FF3736" w:rsidR="00EF1542">
        <w:rPr>
          <w:szCs w:val="26"/>
        </w:rPr>
        <w:t>would be</w:t>
      </w:r>
      <w:r w:rsidRPr="00FF3736">
        <w:rPr>
          <w:szCs w:val="26"/>
        </w:rPr>
        <w:t xml:space="preserve"> liable for a “termination payment” of $5 per case of products Carolina Beverage sold during the prior calendar year.  The agreement explicitly provided that “[n]othin</w:t>
      </w:r>
      <w:r w:rsidRPr="00FF3736" w:rsidR="00750B48">
        <w:rPr>
          <w:szCs w:val="26"/>
        </w:rPr>
        <w:t>g</w:t>
      </w:r>
      <w:r w:rsidRPr="00FF3736">
        <w:rPr>
          <w:szCs w:val="26"/>
        </w:rPr>
        <w:t xml:space="preserve"> in th[e] [a]greement shall be construed to require FIJI to pay the Termination Payment in any other event.”</w:t>
      </w:r>
    </w:p>
    <w:p w:rsidR="00F24EF3" w:rsidRPr="00FF3736" w:rsidP="00364EFF" w14:paraId="735F9D2F" w14:textId="1657D7B7">
      <w:pPr>
        <w:rPr>
          <w:szCs w:val="26"/>
        </w:rPr>
      </w:pPr>
      <w:r w:rsidRPr="00FF3736">
        <w:rPr>
          <w:i/>
          <w:iCs/>
          <w:szCs w:val="26"/>
        </w:rPr>
        <w:tab/>
        <w:t>●</w:t>
      </w:r>
      <w:r w:rsidRPr="00FF3736">
        <w:rPr>
          <w:i/>
          <w:iCs/>
          <w:szCs w:val="26"/>
        </w:rPr>
        <w:tab/>
      </w:r>
      <w:r w:rsidRPr="00FF3736" w:rsidR="00C25679">
        <w:rPr>
          <w:szCs w:val="26"/>
        </w:rPr>
        <w:t xml:space="preserve">Provided that </w:t>
      </w:r>
      <w:r w:rsidRPr="00FF3736" w:rsidR="007D4EB1">
        <w:rPr>
          <w:szCs w:val="26"/>
        </w:rPr>
        <w:t>FIJI “shall not be liable” for “special, indirect, consequential or punitive damages, lost profits or lost business” under “any contract, negligence, strict liability or other legal or equitable theory.”</w:t>
      </w:r>
    </w:p>
    <w:p w:rsidR="007D4EB1" w:rsidRPr="00FF3736" w:rsidP="00364EFF" w14:paraId="2EEDE847" w14:textId="546A725E">
      <w:pPr>
        <w:rPr>
          <w:szCs w:val="26"/>
        </w:rPr>
      </w:pPr>
      <w:r w:rsidRPr="00FF3736">
        <w:rPr>
          <w:szCs w:val="26"/>
        </w:rPr>
        <w:tab/>
      </w:r>
      <w:r w:rsidRPr="00FF3736">
        <w:rPr>
          <w:i/>
          <w:iCs/>
          <w:szCs w:val="26"/>
        </w:rPr>
        <w:t>●</w:t>
      </w:r>
      <w:r w:rsidRPr="00FF3736">
        <w:rPr>
          <w:i/>
          <w:iCs/>
          <w:szCs w:val="26"/>
        </w:rPr>
        <w:tab/>
      </w:r>
      <w:r w:rsidRPr="00FF3736" w:rsidR="00C25679">
        <w:rPr>
          <w:szCs w:val="26"/>
        </w:rPr>
        <w:t>Granted t</w:t>
      </w:r>
      <w:r w:rsidRPr="00FF3736">
        <w:rPr>
          <w:szCs w:val="26"/>
        </w:rPr>
        <w:t>he “prevailing party” on any action “to enforce and/or interpret the terms” of the agreement “its reasonable attorneys’ fees and costs</w:t>
      </w:r>
      <w:r w:rsidR="00F15CE1">
        <w:rPr>
          <w:szCs w:val="26"/>
        </w:rPr>
        <w:t>.</w:t>
      </w:r>
      <w:r w:rsidRPr="00FF3736">
        <w:rPr>
          <w:szCs w:val="26"/>
        </w:rPr>
        <w:t>”</w:t>
      </w:r>
    </w:p>
    <w:p w:rsidR="00C25679" w:rsidRPr="00FF3736" w:rsidP="00364EFF" w14:paraId="3158C774" w14:textId="62F04584">
      <w:pPr>
        <w:rPr>
          <w:szCs w:val="26"/>
        </w:rPr>
      </w:pPr>
      <w:r w:rsidRPr="00FF3736">
        <w:rPr>
          <w:b/>
          <w:bCs/>
          <w:szCs w:val="26"/>
        </w:rPr>
        <w:tab/>
      </w:r>
      <w:r w:rsidRPr="00FF3736" w:rsidR="00D01C82">
        <w:rPr>
          <w:szCs w:val="26"/>
        </w:rPr>
        <w:t xml:space="preserve">The agreement had a five-year term subject to </w:t>
      </w:r>
      <w:r w:rsidRPr="00FF3736" w:rsidR="00D57FFA">
        <w:rPr>
          <w:szCs w:val="26"/>
        </w:rPr>
        <w:t>five-year renewal</w:t>
      </w:r>
      <w:r w:rsidRPr="00FF3736" w:rsidR="00750B48">
        <w:rPr>
          <w:szCs w:val="26"/>
        </w:rPr>
        <w:t xml:space="preserve"> terms</w:t>
      </w:r>
      <w:r w:rsidRPr="00FF3736" w:rsidR="00D57FFA">
        <w:rPr>
          <w:szCs w:val="26"/>
        </w:rPr>
        <w:t>.  The parties renewed the agreement in 2014, with an expiration date of January 2, 20</w:t>
      </w:r>
      <w:r w:rsidRPr="00FF3736" w:rsidR="00EF1542">
        <w:rPr>
          <w:szCs w:val="26"/>
        </w:rPr>
        <w:t>1</w:t>
      </w:r>
      <w:r w:rsidRPr="00FF3736" w:rsidR="00D57FFA">
        <w:rPr>
          <w:szCs w:val="26"/>
        </w:rPr>
        <w:t>9.</w:t>
      </w:r>
    </w:p>
    <w:p w:rsidR="00B74AB4" w:rsidRPr="00FF3736" w:rsidP="00364EFF" w14:paraId="65DD2531" w14:textId="5ACAF118">
      <w:pPr>
        <w:ind w:firstLine="720"/>
        <w:rPr>
          <w:b/>
          <w:bCs/>
          <w:i/>
          <w:iCs/>
          <w:szCs w:val="26"/>
        </w:rPr>
      </w:pPr>
      <w:r w:rsidRPr="00FF3736">
        <w:rPr>
          <w:b/>
          <w:bCs/>
          <w:szCs w:val="26"/>
        </w:rPr>
        <w:t>B.</w:t>
      </w:r>
      <w:r w:rsidRPr="00FF3736">
        <w:rPr>
          <w:b/>
          <w:bCs/>
          <w:szCs w:val="26"/>
        </w:rPr>
        <w:tab/>
      </w:r>
      <w:r w:rsidRPr="00FF3736">
        <w:rPr>
          <w:b/>
          <w:bCs/>
          <w:i/>
          <w:iCs/>
          <w:szCs w:val="26"/>
        </w:rPr>
        <w:t>FIJI shifts from third-party distribution to a direct distribution model</w:t>
      </w:r>
    </w:p>
    <w:p w:rsidR="0026478A" w:rsidP="00364EFF" w14:paraId="65820EC4" w14:textId="1A3821A7">
      <w:pPr>
        <w:ind w:firstLine="720"/>
        <w:rPr>
          <w:szCs w:val="26"/>
        </w:rPr>
      </w:pPr>
      <w:r w:rsidRPr="00FF3736">
        <w:rPr>
          <w:szCs w:val="26"/>
        </w:rPr>
        <w:t>Upon learning in early 2018 that the third</w:t>
      </w:r>
      <w:r w:rsidRPr="00FF3736" w:rsidR="006F6A40">
        <w:rPr>
          <w:szCs w:val="26"/>
        </w:rPr>
        <w:t>-</w:t>
      </w:r>
      <w:r w:rsidRPr="00FF3736">
        <w:rPr>
          <w:szCs w:val="26"/>
        </w:rPr>
        <w:t xml:space="preserve">party distributor that handled 65 percent of its product in the United States had changed hands and </w:t>
      </w:r>
      <w:r w:rsidRPr="00FF3736" w:rsidR="007E4950">
        <w:rPr>
          <w:szCs w:val="26"/>
        </w:rPr>
        <w:t xml:space="preserve">being </w:t>
      </w:r>
      <w:r w:rsidRPr="00FF3736" w:rsidR="00370908">
        <w:rPr>
          <w:szCs w:val="26"/>
        </w:rPr>
        <w:t>unsure what</w:t>
      </w:r>
      <w:r w:rsidRPr="00FF3736" w:rsidR="00CD3953">
        <w:rPr>
          <w:szCs w:val="26"/>
        </w:rPr>
        <w:t xml:space="preserve"> that</w:t>
      </w:r>
      <w:r w:rsidRPr="00FF3736" w:rsidR="00370908">
        <w:rPr>
          <w:szCs w:val="26"/>
        </w:rPr>
        <w:t xml:space="preserve"> </w:t>
      </w:r>
      <w:r w:rsidRPr="00FF3736">
        <w:rPr>
          <w:szCs w:val="26"/>
        </w:rPr>
        <w:t xml:space="preserve">meant for its distribution network, FIJI </w:t>
      </w:r>
      <w:r w:rsidRPr="00FF3736" w:rsidR="00370908">
        <w:rPr>
          <w:szCs w:val="26"/>
        </w:rPr>
        <w:t>studied and, in June 2018, ultimately decided to transition to a</w:t>
      </w:r>
      <w:r w:rsidRPr="00FF3736">
        <w:rPr>
          <w:szCs w:val="26"/>
        </w:rPr>
        <w:t xml:space="preserve"> direct distribut</w:t>
      </w:r>
      <w:r w:rsidRPr="00FF3736" w:rsidR="00370908">
        <w:rPr>
          <w:szCs w:val="26"/>
        </w:rPr>
        <w:t>ion model and to p</w:t>
      </w:r>
      <w:r w:rsidRPr="00FF3736">
        <w:rPr>
          <w:szCs w:val="26"/>
        </w:rPr>
        <w:t xml:space="preserve">hase out its </w:t>
      </w:r>
      <w:r w:rsidRPr="00FF3736" w:rsidR="00370908">
        <w:rPr>
          <w:szCs w:val="26"/>
        </w:rPr>
        <w:t xml:space="preserve">use of </w:t>
      </w:r>
      <w:r w:rsidRPr="00FF3736">
        <w:rPr>
          <w:szCs w:val="26"/>
        </w:rPr>
        <w:t xml:space="preserve">other </w:t>
      </w:r>
      <w:r w:rsidRPr="00FF3736" w:rsidR="00370908">
        <w:rPr>
          <w:szCs w:val="26"/>
        </w:rPr>
        <w:t>third-party distributors.</w:t>
      </w:r>
      <w:r>
        <w:rPr>
          <w:rStyle w:val="FootnoteReference"/>
          <w:b/>
          <w:bCs/>
          <w:szCs w:val="26"/>
        </w:rPr>
        <w:footnoteReference w:id="7"/>
      </w:r>
      <w:r w:rsidRPr="00FF3736" w:rsidR="00370908">
        <w:rPr>
          <w:b/>
          <w:bCs/>
          <w:szCs w:val="26"/>
        </w:rPr>
        <w:t xml:space="preserve">  </w:t>
      </w:r>
      <w:r w:rsidRPr="00FF3736" w:rsidR="00370908">
        <w:rPr>
          <w:szCs w:val="26"/>
        </w:rPr>
        <w:t xml:space="preserve">FIJI was not immediately forthright with its distributors about its intentions, publicly proclaiming in July 2018 that FIJI would “continue to work with many of its other trusted distribution partners.”  When Carolina Beverage—which by 2018 distributed approximately 3 percent of FIJI’s product in the United States—contacted FIJI about this proclamation, FIJI </w:t>
      </w:r>
      <w:r w:rsidRPr="00FF3736" w:rsidR="007E4950">
        <w:rPr>
          <w:szCs w:val="26"/>
        </w:rPr>
        <w:t xml:space="preserve">inaccurately </w:t>
      </w:r>
      <w:r w:rsidRPr="00FF3736" w:rsidR="00370908">
        <w:rPr>
          <w:szCs w:val="26"/>
        </w:rPr>
        <w:t xml:space="preserve">assured Carolina Beverage that it would be </w:t>
      </w:r>
      <w:r w:rsidRPr="00FF3736">
        <w:rPr>
          <w:szCs w:val="26"/>
        </w:rPr>
        <w:t>“business as usual.”</w:t>
      </w:r>
    </w:p>
    <w:p w:rsidR="003D3768" w:rsidP="00364EFF" w14:paraId="2133AEBF" w14:textId="77777777">
      <w:pPr>
        <w:ind w:firstLine="720"/>
        <w:rPr>
          <w:szCs w:val="26"/>
        </w:rPr>
      </w:pPr>
    </w:p>
    <w:p w:rsidR="003D3768" w:rsidRPr="00FF3736" w:rsidP="00364EFF" w14:paraId="265518BC" w14:textId="77777777">
      <w:pPr>
        <w:ind w:firstLine="720"/>
        <w:rPr>
          <w:szCs w:val="26"/>
        </w:rPr>
      </w:pPr>
    </w:p>
    <w:p w:rsidR="0026478A" w:rsidRPr="00FF3736" w:rsidP="00BF427A" w14:paraId="325C9744" w14:textId="1BC463F1">
      <w:pPr>
        <w:ind w:firstLine="720"/>
        <w:rPr>
          <w:szCs w:val="26"/>
        </w:rPr>
      </w:pPr>
      <w:r w:rsidRPr="00FF3736">
        <w:rPr>
          <w:b/>
          <w:bCs/>
          <w:szCs w:val="26"/>
        </w:rPr>
        <w:t>C.</w:t>
      </w:r>
      <w:r w:rsidRPr="00FF3736">
        <w:rPr>
          <w:b/>
          <w:bCs/>
          <w:szCs w:val="26"/>
        </w:rPr>
        <w:tab/>
      </w:r>
      <w:r w:rsidRPr="00FF3736">
        <w:rPr>
          <w:b/>
          <w:bCs/>
          <w:i/>
          <w:iCs/>
          <w:szCs w:val="26"/>
        </w:rPr>
        <w:t>FIJI invades Carolina Beverage’s territory</w:t>
      </w:r>
    </w:p>
    <w:p w:rsidR="00370908" w:rsidRPr="00FF3736" w:rsidP="00370908" w14:paraId="30467C61" w14:textId="54080DE8">
      <w:pPr>
        <w:ind w:firstLine="720"/>
        <w:rPr>
          <w:szCs w:val="26"/>
        </w:rPr>
      </w:pPr>
      <w:r w:rsidRPr="00FF3736">
        <w:rPr>
          <w:szCs w:val="26"/>
        </w:rPr>
        <w:t>Notwithstanding its assurances, FIJI began to invade Caroli</w:t>
      </w:r>
      <w:r w:rsidRPr="00FF3736" w:rsidR="007E4950">
        <w:rPr>
          <w:szCs w:val="26"/>
        </w:rPr>
        <w:t>n</w:t>
      </w:r>
      <w:r w:rsidRPr="00FF3736">
        <w:rPr>
          <w:szCs w:val="26"/>
        </w:rPr>
        <w:t>a Beverage’s territory by negotiating direct distribution agreements with retailers within that territory.</w:t>
      </w:r>
      <w:r w:rsidRPr="00FF3736" w:rsidR="00401C25">
        <w:rPr>
          <w:szCs w:val="26"/>
        </w:rPr>
        <w:t xml:space="preserve"> </w:t>
      </w:r>
      <w:r w:rsidRPr="00FF3736">
        <w:rPr>
          <w:szCs w:val="26"/>
        </w:rPr>
        <w:t xml:space="preserve"> Through the fall of 2018, more and more of Carolina Beverage’s retailers switched to direct distribution with FIJI.  By November 2018, FIJI had invaded around 85 percent of Carolina Beverage’s retailers. </w:t>
      </w:r>
    </w:p>
    <w:p w:rsidR="00401C25" w:rsidRPr="00FF3736" w:rsidP="00BF427A" w14:paraId="729718C9" w14:textId="4DE65430">
      <w:pPr>
        <w:ind w:firstLine="720"/>
        <w:rPr>
          <w:szCs w:val="26"/>
        </w:rPr>
      </w:pPr>
      <w:r w:rsidRPr="00FF3736">
        <w:rPr>
          <w:szCs w:val="26"/>
        </w:rPr>
        <w:t xml:space="preserve">As this was happening, the parties </w:t>
      </w:r>
      <w:r w:rsidRPr="00FF3736">
        <w:rPr>
          <w:szCs w:val="26"/>
        </w:rPr>
        <w:t xml:space="preserve">communicated.  During a September 10, 2018 call, FIJI provided a list of retailers within Carolina Beverage’s territory that would be switching to direct distribution, but assured Carolina Beverage that it was not being terminated and reaffirmed that it would be “business as usual.”  When Carolina Beverage subsequently learned that another large retailer </w:t>
      </w:r>
      <w:r w:rsidRPr="00FF3736" w:rsidR="007E4950">
        <w:rPr>
          <w:szCs w:val="26"/>
        </w:rPr>
        <w:t xml:space="preserve">within its territory </w:t>
      </w:r>
      <w:r w:rsidRPr="00FF3736">
        <w:rPr>
          <w:szCs w:val="26"/>
        </w:rPr>
        <w:t>would soon be switching to direct distribution from FIJI, Carolina Beverage sent a letter on September 24, 2018 in which it (1) declared FIJI in breach of the “exclusivity” provisions of the agreement, (2) demanded payment of the “invasion</w:t>
      </w:r>
      <w:r w:rsidRPr="00FF3736" w:rsidR="00B70D8F">
        <w:rPr>
          <w:szCs w:val="26"/>
        </w:rPr>
        <w:t xml:space="preserve"> fee,</w:t>
      </w:r>
      <w:r w:rsidRPr="00FF3736">
        <w:rPr>
          <w:szCs w:val="26"/>
        </w:rPr>
        <w:t xml:space="preserve">” and (3) demanded payment of </w:t>
      </w:r>
      <w:r w:rsidRPr="00FF3736" w:rsidR="00266EE9">
        <w:rPr>
          <w:szCs w:val="26"/>
        </w:rPr>
        <w:t xml:space="preserve">the </w:t>
      </w:r>
      <w:r w:rsidRPr="00FF3736">
        <w:rPr>
          <w:szCs w:val="26"/>
        </w:rPr>
        <w:t>“termination payment” of $1,972,375 under the agreement on the theory that FIJI’s invasion had “constructive[ly] terminat[ed]</w:t>
      </w:r>
      <w:r w:rsidRPr="00FF3736" w:rsidR="007E4950">
        <w:rPr>
          <w:szCs w:val="26"/>
        </w:rPr>
        <w:t>”</w:t>
      </w:r>
      <w:r w:rsidRPr="00FF3736">
        <w:rPr>
          <w:szCs w:val="26"/>
        </w:rPr>
        <w:t xml:space="preserve"> the agreement.  In letters dated October 16, 2018 and November 6, 2018, FIJI responded that it was </w:t>
      </w:r>
      <w:r w:rsidRPr="00FF3736">
        <w:rPr>
          <w:i/>
          <w:iCs/>
          <w:szCs w:val="26"/>
        </w:rPr>
        <w:t>not</w:t>
      </w:r>
      <w:r w:rsidRPr="00FF3736">
        <w:rPr>
          <w:szCs w:val="26"/>
        </w:rPr>
        <w:t xml:space="preserve"> terminating the agreement and offered to pay the invasion </w:t>
      </w:r>
      <w:r w:rsidRPr="00FF3736" w:rsidR="00266EE9">
        <w:rPr>
          <w:szCs w:val="26"/>
        </w:rPr>
        <w:t xml:space="preserve">fee </w:t>
      </w:r>
      <w:r w:rsidRPr="00FF3736">
        <w:rPr>
          <w:szCs w:val="26"/>
        </w:rPr>
        <w:t xml:space="preserve">provided for in the </w:t>
      </w:r>
      <w:r w:rsidRPr="00FF3736" w:rsidR="007E4950">
        <w:rPr>
          <w:szCs w:val="26"/>
        </w:rPr>
        <w:t>agreement, recognizing that</w:t>
      </w:r>
      <w:r w:rsidRPr="00FF3736">
        <w:rPr>
          <w:szCs w:val="26"/>
        </w:rPr>
        <w:t xml:space="preserve"> it had not attempted to</w:t>
      </w:r>
      <w:r w:rsidRPr="00FF3736" w:rsidR="00266EE9">
        <w:rPr>
          <w:szCs w:val="26"/>
        </w:rPr>
        <w:t xml:space="preserve"> first</w:t>
      </w:r>
      <w:r w:rsidRPr="00FF3736">
        <w:rPr>
          <w:szCs w:val="26"/>
        </w:rPr>
        <w:t xml:space="preserve"> </w:t>
      </w:r>
      <w:r w:rsidRPr="00FF3736" w:rsidR="00266EE9">
        <w:rPr>
          <w:szCs w:val="26"/>
        </w:rPr>
        <w:t xml:space="preserve">include Carolina Beverage in </w:t>
      </w:r>
      <w:r w:rsidRPr="00FF3736">
        <w:rPr>
          <w:szCs w:val="26"/>
        </w:rPr>
        <w:t>negotiat</w:t>
      </w:r>
      <w:r w:rsidRPr="00FF3736" w:rsidR="00266EE9">
        <w:rPr>
          <w:szCs w:val="26"/>
        </w:rPr>
        <w:t>ions</w:t>
      </w:r>
      <w:r w:rsidRPr="00FF3736">
        <w:rPr>
          <w:szCs w:val="26"/>
        </w:rPr>
        <w:t xml:space="preserve"> </w:t>
      </w:r>
      <w:r w:rsidRPr="00FF3736" w:rsidR="00266EE9">
        <w:rPr>
          <w:szCs w:val="26"/>
        </w:rPr>
        <w:t xml:space="preserve">over the </w:t>
      </w:r>
      <w:r w:rsidRPr="00FF3736" w:rsidR="006F42D8">
        <w:rPr>
          <w:szCs w:val="26"/>
        </w:rPr>
        <w:t xml:space="preserve">transition to </w:t>
      </w:r>
      <w:r w:rsidRPr="00FF3736" w:rsidR="00266EE9">
        <w:rPr>
          <w:szCs w:val="26"/>
        </w:rPr>
        <w:t>direct distribution</w:t>
      </w:r>
      <w:r w:rsidRPr="00FF3736">
        <w:rPr>
          <w:szCs w:val="26"/>
        </w:rPr>
        <w:t xml:space="preserve">.  Carolina Beverage declined FIJI’s offers of </w:t>
      </w:r>
      <w:r w:rsidRPr="00FF3736" w:rsidR="006F42D8">
        <w:rPr>
          <w:szCs w:val="26"/>
        </w:rPr>
        <w:t xml:space="preserve">the </w:t>
      </w:r>
      <w:r w:rsidRPr="00FF3736">
        <w:rPr>
          <w:szCs w:val="26"/>
        </w:rPr>
        <w:t xml:space="preserve">invasion </w:t>
      </w:r>
      <w:r w:rsidRPr="00FF3736" w:rsidR="006F42D8">
        <w:rPr>
          <w:szCs w:val="26"/>
        </w:rPr>
        <w:t>fee</w:t>
      </w:r>
      <w:r w:rsidRPr="00FF3736">
        <w:rPr>
          <w:szCs w:val="26"/>
        </w:rPr>
        <w:t>.</w:t>
      </w:r>
    </w:p>
    <w:p w:rsidR="001E0ACD" w:rsidRPr="00FF3736" w:rsidP="00BF427A" w14:paraId="08F640B2" w14:textId="7A6EA06D">
      <w:pPr>
        <w:ind w:firstLine="720"/>
        <w:rPr>
          <w:szCs w:val="26"/>
        </w:rPr>
      </w:pPr>
      <w:r w:rsidRPr="00FF3736">
        <w:rPr>
          <w:szCs w:val="26"/>
        </w:rPr>
        <w:t xml:space="preserve">Throughout this period of time, </w:t>
      </w:r>
      <w:r w:rsidRPr="00FF3736" w:rsidR="007455E1">
        <w:rPr>
          <w:szCs w:val="26"/>
        </w:rPr>
        <w:t xml:space="preserve">Carolina Beverage continued to perform under the agreement and </w:t>
      </w:r>
      <w:r w:rsidRPr="00FF3736">
        <w:rPr>
          <w:szCs w:val="26"/>
        </w:rPr>
        <w:t xml:space="preserve">to </w:t>
      </w:r>
      <w:r w:rsidRPr="00FF3736" w:rsidR="007455E1">
        <w:rPr>
          <w:szCs w:val="26"/>
        </w:rPr>
        <w:t xml:space="preserve">distribute FIJI’s products to Carolina Beverage’s remaining retailers.  </w:t>
      </w:r>
      <w:r w:rsidRPr="00FF3736">
        <w:rPr>
          <w:szCs w:val="26"/>
        </w:rPr>
        <w:t>Indeed, i</w:t>
      </w:r>
      <w:r w:rsidRPr="00FF3736" w:rsidR="007455E1">
        <w:rPr>
          <w:szCs w:val="26"/>
        </w:rPr>
        <w:t>t continued to purchase inventory from FIJI in December 2018.</w:t>
      </w:r>
    </w:p>
    <w:p w:rsidR="00115954" w:rsidRPr="00FF3736" w:rsidP="00BF427A" w14:paraId="5DE9EECB" w14:textId="77777777">
      <w:pPr>
        <w:ind w:firstLine="720"/>
        <w:rPr>
          <w:szCs w:val="26"/>
        </w:rPr>
      </w:pPr>
      <w:r w:rsidRPr="00FF3736">
        <w:rPr>
          <w:b/>
          <w:bCs/>
          <w:szCs w:val="26"/>
        </w:rPr>
        <w:t>D.</w:t>
      </w:r>
      <w:r w:rsidRPr="00FF3736">
        <w:rPr>
          <w:b/>
          <w:bCs/>
          <w:szCs w:val="26"/>
        </w:rPr>
        <w:tab/>
      </w:r>
      <w:r w:rsidRPr="00FF3736">
        <w:rPr>
          <w:b/>
          <w:bCs/>
          <w:i/>
          <w:iCs/>
          <w:szCs w:val="26"/>
        </w:rPr>
        <w:t>The agreement expires</w:t>
      </w:r>
    </w:p>
    <w:p w:rsidR="00BE7938" w:rsidRPr="00FF3736" w:rsidP="00BF427A" w14:paraId="6A4A28F0" w14:textId="7C1C8ED6">
      <w:pPr>
        <w:ind w:firstLine="720"/>
        <w:rPr>
          <w:szCs w:val="26"/>
        </w:rPr>
      </w:pPr>
      <w:r w:rsidRPr="00FF3736">
        <w:rPr>
          <w:szCs w:val="26"/>
        </w:rPr>
        <w:t xml:space="preserve">On November 19, 2018, FIJI </w:t>
      </w:r>
      <w:r w:rsidRPr="00FF3736" w:rsidR="00401C25">
        <w:rPr>
          <w:szCs w:val="26"/>
        </w:rPr>
        <w:t xml:space="preserve">formally gave notice of its intent not to renew the agreement after </w:t>
      </w:r>
      <w:r w:rsidRPr="00FF3736" w:rsidR="005A177F">
        <w:rPr>
          <w:szCs w:val="26"/>
        </w:rPr>
        <w:t xml:space="preserve">the </w:t>
      </w:r>
      <w:r w:rsidRPr="00FF3736" w:rsidR="00401C25">
        <w:rPr>
          <w:szCs w:val="26"/>
        </w:rPr>
        <w:t>January 2, 2019 expiration date.</w:t>
      </w:r>
    </w:p>
    <w:p w:rsidR="002F39F6" w:rsidRPr="00FF3736" w:rsidP="00BF427A" w14:paraId="2BA3D724" w14:textId="77777777">
      <w:pPr>
        <w:rPr>
          <w:b/>
          <w:bCs/>
          <w:szCs w:val="26"/>
        </w:rPr>
      </w:pPr>
      <w:r w:rsidRPr="00FF3736">
        <w:rPr>
          <w:b/>
          <w:bCs/>
          <w:szCs w:val="26"/>
        </w:rPr>
        <w:t>II.</w:t>
      </w:r>
      <w:r w:rsidRPr="00FF3736">
        <w:rPr>
          <w:b/>
          <w:bCs/>
          <w:szCs w:val="26"/>
        </w:rPr>
        <w:tab/>
        <w:t>Procedural Background</w:t>
      </w:r>
    </w:p>
    <w:p w:rsidR="005C599A" w:rsidRPr="00FF3736" w:rsidP="00BF427A" w14:paraId="17991510" w14:textId="2A1DB70F">
      <w:pPr>
        <w:rPr>
          <w:b/>
          <w:bCs/>
          <w:i/>
          <w:iCs/>
          <w:szCs w:val="26"/>
        </w:rPr>
      </w:pPr>
      <w:r w:rsidRPr="00FF3736">
        <w:rPr>
          <w:b/>
          <w:bCs/>
          <w:szCs w:val="26"/>
        </w:rPr>
        <w:tab/>
        <w:t>A.</w:t>
      </w:r>
      <w:r w:rsidRPr="00FF3736">
        <w:rPr>
          <w:b/>
          <w:bCs/>
          <w:szCs w:val="26"/>
        </w:rPr>
        <w:tab/>
      </w:r>
      <w:r w:rsidRPr="00FF3736">
        <w:rPr>
          <w:b/>
          <w:bCs/>
          <w:i/>
          <w:iCs/>
          <w:szCs w:val="26"/>
        </w:rPr>
        <w:t>The complaint</w:t>
      </w:r>
    </w:p>
    <w:p w:rsidR="00106F0C" w:rsidRPr="00FF3736" w:rsidP="00792385" w14:paraId="30C7166C" w14:textId="6E4405CD">
      <w:pPr>
        <w:ind w:firstLine="720"/>
        <w:rPr>
          <w:szCs w:val="26"/>
        </w:rPr>
      </w:pPr>
      <w:r w:rsidRPr="00FF3736">
        <w:rPr>
          <w:szCs w:val="26"/>
        </w:rPr>
        <w:t xml:space="preserve">Carolina Beverage </w:t>
      </w:r>
      <w:r w:rsidRPr="00FF3736" w:rsidR="00B96435">
        <w:rPr>
          <w:szCs w:val="26"/>
        </w:rPr>
        <w:t>sued F</w:t>
      </w:r>
      <w:r w:rsidRPr="00FF3736">
        <w:rPr>
          <w:szCs w:val="26"/>
        </w:rPr>
        <w:t xml:space="preserve">IJI </w:t>
      </w:r>
      <w:r w:rsidRPr="00FF3736" w:rsidR="00B96435">
        <w:rPr>
          <w:szCs w:val="26"/>
        </w:rPr>
        <w:t xml:space="preserve">in </w:t>
      </w:r>
      <w:r w:rsidRPr="00FF3736">
        <w:rPr>
          <w:szCs w:val="26"/>
        </w:rPr>
        <w:t>September 2019.</w:t>
      </w:r>
      <w:r>
        <w:rPr>
          <w:rStyle w:val="FootnoteReference"/>
          <w:b/>
          <w:bCs/>
          <w:szCs w:val="26"/>
        </w:rPr>
        <w:footnoteReference w:id="8"/>
      </w:r>
      <w:r w:rsidRPr="00FF3736">
        <w:rPr>
          <w:b/>
          <w:bCs/>
          <w:szCs w:val="26"/>
        </w:rPr>
        <w:t xml:space="preserve"> </w:t>
      </w:r>
      <w:r w:rsidRPr="00FF3736">
        <w:rPr>
          <w:szCs w:val="26"/>
        </w:rPr>
        <w:t xml:space="preserve"> </w:t>
      </w:r>
      <w:r w:rsidRPr="00FF3736" w:rsidR="006F0B5C">
        <w:rPr>
          <w:szCs w:val="26"/>
        </w:rPr>
        <w:t xml:space="preserve">In the operative first amended complaint, Carolina Beverage alleged </w:t>
      </w:r>
      <w:r w:rsidRPr="00FF3736" w:rsidR="00B96435">
        <w:rPr>
          <w:szCs w:val="26"/>
        </w:rPr>
        <w:t xml:space="preserve">claims for </w:t>
      </w:r>
      <w:r w:rsidRPr="00FF3736" w:rsidR="006F0B5C">
        <w:rPr>
          <w:szCs w:val="26"/>
        </w:rPr>
        <w:t xml:space="preserve">(1) breach of contract, based on </w:t>
      </w:r>
      <w:r w:rsidRPr="00FF3736" w:rsidR="00792385">
        <w:rPr>
          <w:szCs w:val="26"/>
        </w:rPr>
        <w:t xml:space="preserve">FIJI </w:t>
      </w:r>
      <w:r w:rsidRPr="00FF3736" w:rsidR="006F0B5C">
        <w:rPr>
          <w:szCs w:val="26"/>
        </w:rPr>
        <w:t xml:space="preserve">(a) failing to negotiate before </w:t>
      </w:r>
      <w:r w:rsidRPr="00FF3736" w:rsidR="00792385">
        <w:rPr>
          <w:szCs w:val="26"/>
        </w:rPr>
        <w:t>invading Carolina Beverage’s territory</w:t>
      </w:r>
      <w:r w:rsidRPr="00FF3736" w:rsidR="006F0B5C">
        <w:rPr>
          <w:szCs w:val="26"/>
        </w:rPr>
        <w:t>, and (b) “constructively terminat[ing]” the agreement; (2) breach of the implied covenant of good faith and fair dealing</w:t>
      </w:r>
      <w:r w:rsidRPr="00FF3736" w:rsidR="00792385">
        <w:rPr>
          <w:szCs w:val="26"/>
        </w:rPr>
        <w:t>,</w:t>
      </w:r>
      <w:r w:rsidRPr="00FF3736" w:rsidR="006F0B5C">
        <w:rPr>
          <w:szCs w:val="26"/>
        </w:rPr>
        <w:t xml:space="preserve"> based on FIJI “unfairly interfer[ing]” with the “right to receive the benefits of the” agreement by </w:t>
      </w:r>
      <w:r w:rsidRPr="00FF3736" w:rsidR="00792385">
        <w:rPr>
          <w:szCs w:val="26"/>
        </w:rPr>
        <w:t xml:space="preserve">invading Carolina Beverage’s territory “to steal [its] customers” while </w:t>
      </w:r>
      <w:r w:rsidRPr="00FF3736" w:rsidR="006F0B5C">
        <w:rPr>
          <w:szCs w:val="26"/>
        </w:rPr>
        <w:t>“misrepresenting its stated intent to continue to use Carolina Beverage</w:t>
      </w:r>
      <w:r w:rsidRPr="00FF3736" w:rsidR="007E4950">
        <w:rPr>
          <w:szCs w:val="26"/>
        </w:rPr>
        <w:t>”</w:t>
      </w:r>
      <w:r w:rsidRPr="00FF3736" w:rsidR="006F0B5C">
        <w:rPr>
          <w:szCs w:val="26"/>
        </w:rPr>
        <w:t xml:space="preserve">; and (3) concealment, based on FIJI’s </w:t>
      </w:r>
      <w:r w:rsidRPr="00FF3736" w:rsidR="00792385">
        <w:rPr>
          <w:szCs w:val="26"/>
        </w:rPr>
        <w:t xml:space="preserve">failure to disclose its intent to fully invade its territory, which thereby </w:t>
      </w:r>
      <w:r w:rsidRPr="00FF3736" w:rsidR="006F0B5C">
        <w:rPr>
          <w:szCs w:val="26"/>
        </w:rPr>
        <w:t>prevented Carolina Beverage from pursuing the opportunity to become a</w:t>
      </w:r>
      <w:r w:rsidRPr="00FF3736" w:rsidR="00792385">
        <w:rPr>
          <w:szCs w:val="26"/>
        </w:rPr>
        <w:t xml:space="preserve"> third-party distributor for FIJI’s main competitor</w:t>
      </w:r>
      <w:r w:rsidRPr="00FF3736" w:rsidR="006F0B5C">
        <w:rPr>
          <w:szCs w:val="26"/>
        </w:rPr>
        <w:t>.</w:t>
      </w:r>
      <w:r>
        <w:rPr>
          <w:rStyle w:val="FootnoteReference"/>
          <w:b/>
          <w:bCs/>
          <w:szCs w:val="26"/>
        </w:rPr>
        <w:footnoteReference w:id="9"/>
      </w:r>
    </w:p>
    <w:p w:rsidR="00C725D6" w:rsidRPr="00FF3736" w:rsidP="00BF427A" w14:paraId="26392D76" w14:textId="6AD59B53">
      <w:pPr>
        <w:rPr>
          <w:b/>
          <w:bCs/>
          <w:i/>
          <w:iCs/>
          <w:szCs w:val="26"/>
        </w:rPr>
      </w:pPr>
      <w:r w:rsidRPr="00FF3736">
        <w:rPr>
          <w:szCs w:val="26"/>
        </w:rPr>
        <w:tab/>
      </w:r>
      <w:r w:rsidRPr="00FF3736">
        <w:rPr>
          <w:b/>
          <w:bCs/>
          <w:szCs w:val="26"/>
        </w:rPr>
        <w:t>B.</w:t>
      </w:r>
      <w:r w:rsidRPr="00FF3736">
        <w:rPr>
          <w:b/>
          <w:bCs/>
          <w:szCs w:val="26"/>
        </w:rPr>
        <w:tab/>
      </w:r>
      <w:r w:rsidRPr="00FF3736">
        <w:rPr>
          <w:b/>
          <w:bCs/>
          <w:i/>
          <w:iCs/>
          <w:szCs w:val="26"/>
        </w:rPr>
        <w:t>FIJI</w:t>
      </w:r>
      <w:r w:rsidRPr="00FF3736" w:rsidR="00B76EAC">
        <w:rPr>
          <w:b/>
          <w:bCs/>
          <w:i/>
          <w:iCs/>
          <w:szCs w:val="26"/>
        </w:rPr>
        <w:t xml:space="preserve"> opposes Carolina Beverage</w:t>
      </w:r>
      <w:r w:rsidRPr="00FF3736">
        <w:rPr>
          <w:b/>
          <w:bCs/>
          <w:i/>
          <w:iCs/>
          <w:szCs w:val="26"/>
        </w:rPr>
        <w:t>’s constructive termination theory</w:t>
      </w:r>
    </w:p>
    <w:p w:rsidR="00C725D6" w:rsidRPr="00FF3736" w:rsidP="00B76EAC" w14:paraId="39DBD7D8" w14:textId="6FCECB8A">
      <w:pPr>
        <w:ind w:firstLine="720"/>
        <w:rPr>
          <w:szCs w:val="26"/>
        </w:rPr>
      </w:pPr>
      <w:r w:rsidRPr="00FF3736">
        <w:rPr>
          <w:szCs w:val="26"/>
        </w:rPr>
        <w:t xml:space="preserve">In both a motion for summary judgment and a motion in limine to exclude evidence, FIJI argued that “constructive termination” was not a viable theory of liability under California </w:t>
      </w:r>
      <w:r w:rsidRPr="00FF3736" w:rsidR="007E4950">
        <w:rPr>
          <w:szCs w:val="26"/>
        </w:rPr>
        <w:t xml:space="preserve">common </w:t>
      </w:r>
      <w:r w:rsidRPr="00FF3736">
        <w:rPr>
          <w:szCs w:val="26"/>
        </w:rPr>
        <w:t>law.  The trial court denied both motions.</w:t>
      </w:r>
      <w:r w:rsidRPr="00FF3736">
        <w:rPr>
          <w:szCs w:val="26"/>
        </w:rPr>
        <w:t xml:space="preserve"> </w:t>
      </w:r>
    </w:p>
    <w:p w:rsidR="0022348D" w:rsidRPr="00FF3736" w:rsidP="00BF427A" w14:paraId="7C290AA1" w14:textId="00D68C77">
      <w:pPr>
        <w:ind w:firstLine="720"/>
        <w:rPr>
          <w:szCs w:val="26"/>
        </w:rPr>
      </w:pPr>
      <w:r w:rsidRPr="00FF3736">
        <w:rPr>
          <w:b/>
          <w:bCs/>
          <w:szCs w:val="26"/>
        </w:rPr>
        <w:t>C.</w:t>
      </w:r>
      <w:r w:rsidRPr="00FF3736">
        <w:rPr>
          <w:b/>
          <w:bCs/>
          <w:szCs w:val="26"/>
        </w:rPr>
        <w:tab/>
      </w:r>
      <w:r w:rsidRPr="00FF3736">
        <w:rPr>
          <w:b/>
          <w:bCs/>
          <w:i/>
          <w:iCs/>
          <w:szCs w:val="26"/>
        </w:rPr>
        <w:t>Trial</w:t>
      </w:r>
    </w:p>
    <w:p w:rsidR="00381D96" w:rsidRPr="00FF3736" w:rsidP="00BF427A" w14:paraId="4ADB98B5" w14:textId="5E30078A">
      <w:pPr>
        <w:ind w:firstLine="720"/>
        <w:rPr>
          <w:b/>
          <w:bCs/>
          <w:szCs w:val="26"/>
        </w:rPr>
      </w:pPr>
      <w:r w:rsidRPr="00FF3736">
        <w:rPr>
          <w:szCs w:val="26"/>
        </w:rPr>
        <w:t xml:space="preserve">The </w:t>
      </w:r>
      <w:r w:rsidRPr="00FF3736" w:rsidR="00B76EAC">
        <w:rPr>
          <w:szCs w:val="26"/>
        </w:rPr>
        <w:t>matter</w:t>
      </w:r>
      <w:r w:rsidRPr="00FF3736">
        <w:rPr>
          <w:szCs w:val="26"/>
        </w:rPr>
        <w:t xml:space="preserve"> proceeded to a 10-day jury trial in April 2022. </w:t>
      </w:r>
    </w:p>
    <w:p w:rsidR="00B76EAC" w:rsidRPr="00FF3736" w:rsidP="00B76EAC" w14:paraId="32C80069" w14:textId="040EE82F">
      <w:pPr>
        <w:ind w:firstLine="720"/>
        <w:rPr>
          <w:b/>
          <w:bCs/>
          <w:szCs w:val="26"/>
        </w:rPr>
      </w:pPr>
      <w:r w:rsidRPr="00FF3736">
        <w:rPr>
          <w:szCs w:val="26"/>
        </w:rPr>
        <w:t xml:space="preserve">According to FIJI, </w:t>
      </w:r>
      <w:r w:rsidRPr="00FF3736">
        <w:rPr>
          <w:szCs w:val="26"/>
        </w:rPr>
        <w:t>FIJI</w:t>
      </w:r>
      <w:r w:rsidRPr="00FF3736" w:rsidR="007E4950">
        <w:rPr>
          <w:szCs w:val="26"/>
        </w:rPr>
        <w:t>’s</w:t>
      </w:r>
      <w:r w:rsidRPr="00FF3736">
        <w:rPr>
          <w:szCs w:val="26"/>
        </w:rPr>
        <w:t xml:space="preserve"> invasion </w:t>
      </w:r>
      <w:r w:rsidRPr="00FF3736">
        <w:rPr>
          <w:szCs w:val="26"/>
        </w:rPr>
        <w:t xml:space="preserve">of Carolina Beverage’s territory </w:t>
      </w:r>
      <w:r w:rsidRPr="00FF3736">
        <w:rPr>
          <w:szCs w:val="26"/>
        </w:rPr>
        <w:t xml:space="preserve">was authorized by the agreement because the retailers with whom it directly </w:t>
      </w:r>
      <w:r w:rsidRPr="00FF3736">
        <w:rPr>
          <w:szCs w:val="26"/>
        </w:rPr>
        <w:t>delivered</w:t>
      </w:r>
      <w:r w:rsidRPr="00FF3736">
        <w:rPr>
          <w:szCs w:val="26"/>
        </w:rPr>
        <w:t xml:space="preserve"> were</w:t>
      </w:r>
      <w:r w:rsidRPr="00FF3736" w:rsidR="00B60325">
        <w:rPr>
          <w:szCs w:val="26"/>
        </w:rPr>
        <w:t xml:space="preserve"> almost</w:t>
      </w:r>
      <w:r w:rsidRPr="00FF3736">
        <w:rPr>
          <w:szCs w:val="26"/>
        </w:rPr>
        <w:t xml:space="preserve"> all national accounts (as permitted by the agreement)</w:t>
      </w:r>
      <w:r w:rsidRPr="00FF3736">
        <w:rPr>
          <w:szCs w:val="26"/>
        </w:rPr>
        <w:t>.</w:t>
      </w:r>
      <w:r w:rsidRPr="00FF3736">
        <w:rPr>
          <w:szCs w:val="26"/>
        </w:rPr>
        <w:t xml:space="preserve"> </w:t>
      </w:r>
      <w:r w:rsidRPr="00FF3736">
        <w:rPr>
          <w:szCs w:val="26"/>
        </w:rPr>
        <w:t xml:space="preserve"> However, FIJI acknowledged </w:t>
      </w:r>
      <w:r w:rsidRPr="00FF3736">
        <w:rPr>
          <w:szCs w:val="26"/>
        </w:rPr>
        <w:t xml:space="preserve">that it had failed to first negotiate </w:t>
      </w:r>
      <w:r w:rsidRPr="00FF3736" w:rsidR="007E4950">
        <w:rPr>
          <w:szCs w:val="26"/>
        </w:rPr>
        <w:t xml:space="preserve">with Carolina Beverage regarding the </w:t>
      </w:r>
      <w:r w:rsidRPr="00FF3736">
        <w:rPr>
          <w:szCs w:val="26"/>
        </w:rPr>
        <w:t xml:space="preserve">terms of the invasion as required by the agreement, </w:t>
      </w:r>
      <w:r w:rsidRPr="00FF3736">
        <w:rPr>
          <w:szCs w:val="26"/>
        </w:rPr>
        <w:t xml:space="preserve">although </w:t>
      </w:r>
      <w:r w:rsidRPr="00FF3736" w:rsidR="007E4950">
        <w:rPr>
          <w:szCs w:val="26"/>
        </w:rPr>
        <w:t>FIJI</w:t>
      </w:r>
      <w:r w:rsidRPr="00FF3736">
        <w:rPr>
          <w:szCs w:val="26"/>
        </w:rPr>
        <w:t xml:space="preserve"> urged </w:t>
      </w:r>
      <w:r w:rsidRPr="00FF3736">
        <w:rPr>
          <w:szCs w:val="26"/>
        </w:rPr>
        <w:t xml:space="preserve">that those negotiations would </w:t>
      </w:r>
      <w:r w:rsidRPr="00FF3736" w:rsidR="007E4950">
        <w:rPr>
          <w:szCs w:val="26"/>
        </w:rPr>
        <w:t>not have averted the invasion beca</w:t>
      </w:r>
      <w:r w:rsidRPr="00FF3736">
        <w:rPr>
          <w:szCs w:val="26"/>
        </w:rPr>
        <w:t>use FIJI</w:t>
      </w:r>
      <w:r w:rsidRPr="00FF3736">
        <w:rPr>
          <w:szCs w:val="26"/>
        </w:rPr>
        <w:t xml:space="preserve"> </w:t>
      </w:r>
      <w:r w:rsidRPr="00FF3736" w:rsidR="007E4950">
        <w:rPr>
          <w:i/>
          <w:iCs/>
          <w:szCs w:val="26"/>
        </w:rPr>
        <w:t xml:space="preserve">had </w:t>
      </w:r>
      <w:r w:rsidRPr="00FF3736">
        <w:rPr>
          <w:szCs w:val="26"/>
        </w:rPr>
        <w:t xml:space="preserve">to </w:t>
      </w:r>
      <w:r w:rsidRPr="00FF3736">
        <w:rPr>
          <w:szCs w:val="26"/>
        </w:rPr>
        <w:t xml:space="preserve">invade once most of </w:t>
      </w:r>
      <w:r w:rsidRPr="00FF3736" w:rsidR="00B60325">
        <w:rPr>
          <w:szCs w:val="26"/>
        </w:rPr>
        <w:t xml:space="preserve">the </w:t>
      </w:r>
      <w:r w:rsidRPr="00FF3736">
        <w:rPr>
          <w:szCs w:val="26"/>
        </w:rPr>
        <w:t xml:space="preserve">retailers </w:t>
      </w:r>
      <w:r w:rsidRPr="00FF3736" w:rsidR="007E4950">
        <w:rPr>
          <w:szCs w:val="26"/>
        </w:rPr>
        <w:t xml:space="preserve">decided to </w:t>
      </w:r>
      <w:r w:rsidRPr="00FF3736">
        <w:rPr>
          <w:szCs w:val="26"/>
        </w:rPr>
        <w:t xml:space="preserve">switch </w:t>
      </w:r>
      <w:r w:rsidRPr="00FF3736" w:rsidR="007E4950">
        <w:rPr>
          <w:szCs w:val="26"/>
        </w:rPr>
        <w:t xml:space="preserve">to direct </w:t>
      </w:r>
      <w:r w:rsidRPr="00FF3736">
        <w:rPr>
          <w:szCs w:val="26"/>
        </w:rPr>
        <w:t>distribution.</w:t>
      </w:r>
      <w:r w:rsidRPr="00FF3736">
        <w:rPr>
          <w:szCs w:val="26"/>
        </w:rPr>
        <w:t xml:space="preserve">  </w:t>
      </w:r>
      <w:r w:rsidRPr="00FF3736">
        <w:rPr>
          <w:szCs w:val="26"/>
        </w:rPr>
        <w:t xml:space="preserve">FIJI did not dispute that </w:t>
      </w:r>
      <w:r w:rsidRPr="00FF3736" w:rsidR="007E4950">
        <w:rPr>
          <w:szCs w:val="26"/>
        </w:rPr>
        <w:t>it owed an</w:t>
      </w:r>
      <w:r w:rsidRPr="00FF3736">
        <w:rPr>
          <w:szCs w:val="26"/>
        </w:rPr>
        <w:t xml:space="preserve"> invasion </w:t>
      </w:r>
      <w:r w:rsidRPr="00FF3736" w:rsidR="007F7961">
        <w:rPr>
          <w:szCs w:val="26"/>
        </w:rPr>
        <w:t xml:space="preserve">fee </w:t>
      </w:r>
      <w:r w:rsidRPr="00FF3736" w:rsidR="007E4950">
        <w:rPr>
          <w:szCs w:val="26"/>
        </w:rPr>
        <w:t>of</w:t>
      </w:r>
      <w:r w:rsidRPr="00FF3736">
        <w:rPr>
          <w:szCs w:val="26"/>
        </w:rPr>
        <w:t xml:space="preserve"> $55,367.</w:t>
      </w:r>
    </w:p>
    <w:p w:rsidR="00512EAF" w:rsidRPr="00FF3736" w:rsidP="00BF427A" w14:paraId="4D3AD004" w14:textId="00EF94A4">
      <w:pPr>
        <w:ind w:firstLine="720"/>
        <w:rPr>
          <w:szCs w:val="26"/>
        </w:rPr>
      </w:pPr>
      <w:r w:rsidRPr="00FF3736">
        <w:rPr>
          <w:szCs w:val="26"/>
        </w:rPr>
        <w:t xml:space="preserve">According to Carolina Beverage, FIJI had no right to invade its territory because </w:t>
      </w:r>
      <w:r w:rsidRPr="00FF3736" w:rsidR="00B60325">
        <w:rPr>
          <w:szCs w:val="26"/>
        </w:rPr>
        <w:t xml:space="preserve">almost </w:t>
      </w:r>
      <w:r w:rsidRPr="00FF3736">
        <w:rPr>
          <w:szCs w:val="26"/>
        </w:rPr>
        <w:t xml:space="preserve">none of the retailers with whom FIJI directly delivered were national accounts, which </w:t>
      </w:r>
      <w:r w:rsidRPr="00FF3736" w:rsidR="00B60325">
        <w:rPr>
          <w:szCs w:val="26"/>
        </w:rPr>
        <w:t xml:space="preserve">Carolina Beverage </w:t>
      </w:r>
      <w:r w:rsidRPr="00FF3736">
        <w:rPr>
          <w:szCs w:val="26"/>
        </w:rPr>
        <w:t xml:space="preserve">contended </w:t>
      </w:r>
      <w:r w:rsidRPr="00FF3736" w:rsidR="007E4950">
        <w:rPr>
          <w:szCs w:val="26"/>
        </w:rPr>
        <w:t xml:space="preserve">meant only </w:t>
      </w:r>
      <w:r w:rsidRPr="00FF3736">
        <w:rPr>
          <w:szCs w:val="26"/>
        </w:rPr>
        <w:t>retailers</w:t>
      </w:r>
      <w:r w:rsidRPr="00FF3736" w:rsidR="007E4950">
        <w:rPr>
          <w:szCs w:val="26"/>
        </w:rPr>
        <w:t xml:space="preserve"> present </w:t>
      </w:r>
      <w:r w:rsidRPr="00FF3736">
        <w:rPr>
          <w:szCs w:val="26"/>
        </w:rPr>
        <w:t xml:space="preserve">in all 50 states. </w:t>
      </w:r>
      <w:r w:rsidRPr="00FF3736" w:rsidR="007E4950">
        <w:rPr>
          <w:szCs w:val="26"/>
        </w:rPr>
        <w:t xml:space="preserve"> </w:t>
      </w:r>
      <w:r w:rsidRPr="00FF3736" w:rsidR="00B60325">
        <w:rPr>
          <w:szCs w:val="26"/>
        </w:rPr>
        <w:t xml:space="preserve">Based on </w:t>
      </w:r>
      <w:r w:rsidRPr="00FF3736">
        <w:rPr>
          <w:szCs w:val="26"/>
        </w:rPr>
        <w:t xml:space="preserve">testimony that “industry standards” prohibited manufacturers from “just com[ing] </w:t>
      </w:r>
      <w:r w:rsidR="00E6359F">
        <w:rPr>
          <w:szCs w:val="26"/>
        </w:rPr>
        <w:t xml:space="preserve">in </w:t>
      </w:r>
      <w:r w:rsidRPr="00FF3736">
        <w:rPr>
          <w:szCs w:val="26"/>
        </w:rPr>
        <w:t>and steal[i</w:t>
      </w:r>
      <w:r w:rsidR="00F007EF">
        <w:rPr>
          <w:szCs w:val="26"/>
        </w:rPr>
        <w:t>n</w:t>
      </w:r>
      <w:r w:rsidRPr="00FF3736">
        <w:rPr>
          <w:szCs w:val="26"/>
        </w:rPr>
        <w:t>g] your business out from under you</w:t>
      </w:r>
      <w:r w:rsidR="00B57438">
        <w:rPr>
          <w:szCs w:val="26"/>
        </w:rPr>
        <w:t>,</w:t>
      </w:r>
      <w:r w:rsidRPr="00FF3736">
        <w:rPr>
          <w:szCs w:val="26"/>
        </w:rPr>
        <w:t>”</w:t>
      </w:r>
      <w:r w:rsidRPr="00FF3736" w:rsidR="007E4950">
        <w:rPr>
          <w:szCs w:val="26"/>
        </w:rPr>
        <w:t xml:space="preserve"> </w:t>
      </w:r>
      <w:r w:rsidRPr="00FF3736">
        <w:rPr>
          <w:szCs w:val="26"/>
        </w:rPr>
        <w:t>Carolina Beverage urged that FIJI’s extensive and unauthorized invasion of its territory constituted a “constructive termination” of the agreement.  Rather than seek its lost profits due to that invasion (which ranged from $202,000 to $230,069</w:t>
      </w:r>
      <w:r w:rsidRPr="00FF3736" w:rsidR="007E4950">
        <w:rPr>
          <w:szCs w:val="26"/>
        </w:rPr>
        <w:t>)</w:t>
      </w:r>
      <w:r w:rsidRPr="00FF3736">
        <w:rPr>
          <w:szCs w:val="26"/>
        </w:rPr>
        <w:t xml:space="preserve"> or the invasion </w:t>
      </w:r>
      <w:r w:rsidRPr="00FF3736" w:rsidR="00CC1920">
        <w:rPr>
          <w:szCs w:val="26"/>
        </w:rPr>
        <w:t xml:space="preserve">fee </w:t>
      </w:r>
      <w:r w:rsidRPr="00FF3736">
        <w:rPr>
          <w:szCs w:val="26"/>
        </w:rPr>
        <w:t xml:space="preserve">(of $55,367), Carolina Beverage argued that it was entitled to the termination payment under the agreement, which came to </w:t>
      </w:r>
      <w:r w:rsidRPr="00FF3736" w:rsidR="00381D96">
        <w:rPr>
          <w:szCs w:val="26"/>
        </w:rPr>
        <w:t xml:space="preserve">$1,993,670.  </w:t>
      </w:r>
    </w:p>
    <w:p w:rsidR="0022348D" w:rsidRPr="00FF3736" w:rsidP="00512EAF" w14:paraId="7EA40C68" w14:textId="2F97C1AB">
      <w:pPr>
        <w:ind w:firstLine="720"/>
        <w:rPr>
          <w:szCs w:val="26"/>
        </w:rPr>
      </w:pPr>
      <w:r w:rsidRPr="00FF3736">
        <w:rPr>
          <w:szCs w:val="26"/>
        </w:rPr>
        <w:t>At the close of evidence, FIJI moved for a directed verdict on the ground that constructive termination was not a viable theory.  T</w:t>
      </w:r>
      <w:r w:rsidRPr="00FF3736" w:rsidR="00E3735A">
        <w:rPr>
          <w:szCs w:val="26"/>
        </w:rPr>
        <w:t xml:space="preserve">he trial court denied </w:t>
      </w:r>
      <w:r w:rsidRPr="00FF3736">
        <w:rPr>
          <w:szCs w:val="26"/>
        </w:rPr>
        <w:t>the motion.</w:t>
      </w:r>
      <w:r w:rsidRPr="00FF3736" w:rsidR="00E3735A">
        <w:rPr>
          <w:szCs w:val="26"/>
        </w:rPr>
        <w:t xml:space="preserve">   </w:t>
      </w:r>
    </w:p>
    <w:p w:rsidR="00E3735A" w:rsidP="00BF427A" w14:paraId="2A16471E" w14:textId="1E03A90A">
      <w:pPr>
        <w:ind w:firstLine="720"/>
        <w:rPr>
          <w:szCs w:val="26"/>
        </w:rPr>
      </w:pPr>
      <w:r w:rsidRPr="00FF3736">
        <w:rPr>
          <w:szCs w:val="26"/>
        </w:rPr>
        <w:t>The court</w:t>
      </w:r>
      <w:r w:rsidRPr="00FF3736" w:rsidR="00512EAF">
        <w:rPr>
          <w:szCs w:val="26"/>
        </w:rPr>
        <w:t xml:space="preserve"> gave the following jury </w:t>
      </w:r>
      <w:r w:rsidRPr="00FF3736">
        <w:rPr>
          <w:szCs w:val="26"/>
        </w:rPr>
        <w:t>instruct</w:t>
      </w:r>
      <w:r w:rsidRPr="00FF3736" w:rsidR="00512EAF">
        <w:rPr>
          <w:szCs w:val="26"/>
        </w:rPr>
        <w:t xml:space="preserve">ion </w:t>
      </w:r>
      <w:r w:rsidRPr="00FF3736">
        <w:rPr>
          <w:szCs w:val="26"/>
        </w:rPr>
        <w:t>on the constructive termination theory:</w:t>
      </w:r>
    </w:p>
    <w:p w:rsidR="0058640E" w:rsidRPr="00FF3736" w:rsidP="00BF427A" w14:paraId="3B2B7CDA" w14:textId="77777777">
      <w:pPr>
        <w:ind w:firstLine="720"/>
        <w:rPr>
          <w:szCs w:val="26"/>
        </w:rPr>
      </w:pPr>
    </w:p>
    <w:p w:rsidR="000A38C5" w:rsidP="00DB48BF" w14:paraId="2004D33C" w14:textId="6BED91AF">
      <w:pPr>
        <w:spacing w:line="240" w:lineRule="auto"/>
        <w:ind w:left="1440" w:right="720"/>
        <w:rPr>
          <w:szCs w:val="26"/>
        </w:rPr>
      </w:pPr>
      <w:r w:rsidRPr="00FF3736">
        <w:rPr>
          <w:szCs w:val="26"/>
        </w:rPr>
        <w:t xml:space="preserve">“A party can constructively terminate a contract through its conduct. </w:t>
      </w:r>
      <w:r w:rsidR="00B02C1D">
        <w:rPr>
          <w:szCs w:val="26"/>
        </w:rPr>
        <w:t xml:space="preserve"> </w:t>
      </w:r>
      <w:r w:rsidRPr="00FF3736">
        <w:rPr>
          <w:szCs w:val="26"/>
        </w:rPr>
        <w:t>Constructive termination occurs when one party unilaterally modifies the terms of the contractual relationship in a way that substantially interferes with the other party’s ability to obtain the benefits of the contract, and the relationship</w:t>
      </w:r>
      <w:r w:rsidR="000D7746">
        <w:rPr>
          <w:szCs w:val="26"/>
        </w:rPr>
        <w:t xml:space="preserve"> between the parties</w:t>
      </w:r>
      <w:r w:rsidRPr="00FF3736">
        <w:rPr>
          <w:szCs w:val="26"/>
        </w:rPr>
        <w:t xml:space="preserve"> ends.  </w:t>
      </w:r>
      <w:r w:rsidR="008D3753">
        <w:rPr>
          <w:szCs w:val="26"/>
        </w:rPr>
        <w:t>[</w:t>
      </w:r>
      <w:r w:rsidRPr="00B02C1D" w:rsidR="008D3753">
        <w:rPr>
          <w:szCs w:val="26"/>
        </w:rPr>
        <w:t>¶</w:t>
      </w:r>
      <w:r w:rsidR="008D3753">
        <w:rPr>
          <w:szCs w:val="26"/>
        </w:rPr>
        <w:t xml:space="preserve">]  </w:t>
      </w:r>
      <w:r w:rsidRPr="00FF3736">
        <w:rPr>
          <w:szCs w:val="26"/>
        </w:rPr>
        <w:t>Constructive termination does not require express notice that the contract is being terminated.”</w:t>
      </w:r>
    </w:p>
    <w:p w:rsidR="0058640E" w:rsidRPr="00FF3736" w:rsidP="00D4101A" w14:paraId="743668A0" w14:textId="77777777">
      <w:pPr>
        <w:spacing w:after="120" w:line="240" w:lineRule="auto"/>
        <w:ind w:left="1440" w:right="720"/>
        <w:rPr>
          <w:szCs w:val="26"/>
        </w:rPr>
      </w:pPr>
    </w:p>
    <w:p w:rsidR="0057676D" w:rsidRPr="00FF3736" w:rsidP="00FC0C6B" w14:paraId="06B8FBA8" w14:textId="13FAE222">
      <w:pPr>
        <w:ind w:firstLine="720"/>
        <w:rPr>
          <w:b/>
          <w:bCs/>
          <w:szCs w:val="26"/>
        </w:rPr>
      </w:pPr>
      <w:r w:rsidRPr="00FF3736">
        <w:rPr>
          <w:szCs w:val="26"/>
        </w:rPr>
        <w:t>T</w:t>
      </w:r>
      <w:r w:rsidRPr="00FF3736" w:rsidR="00523B99">
        <w:rPr>
          <w:szCs w:val="26"/>
        </w:rPr>
        <w:t xml:space="preserve">he special verdict form </w:t>
      </w:r>
      <w:r w:rsidRPr="00FF3736">
        <w:rPr>
          <w:szCs w:val="26"/>
        </w:rPr>
        <w:t xml:space="preserve">submitted to the jury </w:t>
      </w:r>
      <w:r w:rsidRPr="00FF3736" w:rsidR="00523B99">
        <w:rPr>
          <w:szCs w:val="26"/>
        </w:rPr>
        <w:t xml:space="preserve">specified that </w:t>
      </w:r>
      <w:r w:rsidRPr="00FF3736">
        <w:rPr>
          <w:szCs w:val="26"/>
        </w:rPr>
        <w:t xml:space="preserve">the </w:t>
      </w:r>
      <w:r w:rsidRPr="00FF3736">
        <w:rPr>
          <w:i/>
          <w:iCs/>
          <w:szCs w:val="26"/>
        </w:rPr>
        <w:t>only</w:t>
      </w:r>
      <w:r w:rsidRPr="00FF3736">
        <w:rPr>
          <w:szCs w:val="26"/>
        </w:rPr>
        <w:t xml:space="preserve"> measure of damages Carolina Beverage </w:t>
      </w:r>
      <w:r w:rsidRPr="00FF3736" w:rsidR="00DD6284">
        <w:rPr>
          <w:szCs w:val="26"/>
        </w:rPr>
        <w:t>sought</w:t>
      </w:r>
      <w:r w:rsidRPr="00FF3736">
        <w:rPr>
          <w:szCs w:val="26"/>
        </w:rPr>
        <w:t xml:space="preserve"> was the termination payment.</w:t>
      </w:r>
    </w:p>
    <w:p w:rsidR="0057676D" w:rsidP="00FC0C6B" w14:paraId="019B0BB1" w14:textId="1EA2E4C6">
      <w:pPr>
        <w:ind w:firstLine="720"/>
        <w:rPr>
          <w:szCs w:val="26"/>
        </w:rPr>
      </w:pPr>
      <w:r w:rsidRPr="00FF3736">
        <w:rPr>
          <w:szCs w:val="26"/>
        </w:rPr>
        <w:t>The jury returned a verdict for Carolina Beverage on its claims for breach of contract and breach of the implied covenant</w:t>
      </w:r>
      <w:r w:rsidRPr="00FF3736" w:rsidR="00512EAF">
        <w:rPr>
          <w:szCs w:val="26"/>
        </w:rPr>
        <w:t xml:space="preserve">, </w:t>
      </w:r>
      <w:r w:rsidRPr="00FF3736">
        <w:rPr>
          <w:szCs w:val="26"/>
        </w:rPr>
        <w:t>and awarded</w:t>
      </w:r>
      <w:r w:rsidRPr="00FF3736" w:rsidR="00512EAF">
        <w:rPr>
          <w:szCs w:val="26"/>
        </w:rPr>
        <w:t xml:space="preserve"> as damages the termination payment of</w:t>
      </w:r>
      <w:r w:rsidRPr="00FF3736">
        <w:rPr>
          <w:szCs w:val="26"/>
        </w:rPr>
        <w:t xml:space="preserve"> $1,993,670</w:t>
      </w:r>
      <w:r w:rsidR="00981FD8">
        <w:rPr>
          <w:szCs w:val="26"/>
        </w:rPr>
        <w:t>.</w:t>
      </w:r>
      <w:r w:rsidRPr="00FF3736" w:rsidR="00512EAF">
        <w:rPr>
          <w:szCs w:val="26"/>
        </w:rPr>
        <w:t xml:space="preserve"> </w:t>
      </w:r>
      <w:r w:rsidRPr="00FF3736">
        <w:rPr>
          <w:szCs w:val="26"/>
        </w:rPr>
        <w:t xml:space="preserve"> The jury rejected Carolina Beverage’s concealment claim</w:t>
      </w:r>
      <w:r w:rsidRPr="00FF3736" w:rsidR="00D4101A">
        <w:rPr>
          <w:szCs w:val="26"/>
        </w:rPr>
        <w:t xml:space="preserve"> after specially finding that </w:t>
      </w:r>
      <w:r w:rsidRPr="00FF3736">
        <w:rPr>
          <w:szCs w:val="26"/>
        </w:rPr>
        <w:t xml:space="preserve">FIJI’s concealment was not a substantial factor in causing </w:t>
      </w:r>
      <w:r w:rsidRPr="00FF3736" w:rsidR="00D4101A">
        <w:rPr>
          <w:szCs w:val="26"/>
        </w:rPr>
        <w:t xml:space="preserve">Carolina Beverage </w:t>
      </w:r>
      <w:r w:rsidRPr="00FF3736">
        <w:rPr>
          <w:szCs w:val="26"/>
        </w:rPr>
        <w:t xml:space="preserve">harm.   </w:t>
      </w:r>
    </w:p>
    <w:p w:rsidR="003D3768" w:rsidP="00FC0C6B" w14:paraId="6148AEB3" w14:textId="77777777">
      <w:pPr>
        <w:ind w:firstLine="720"/>
        <w:rPr>
          <w:szCs w:val="26"/>
        </w:rPr>
      </w:pPr>
    </w:p>
    <w:p w:rsidR="003D3768" w:rsidRPr="00FF3736" w:rsidP="00FC0C6B" w14:paraId="39B4642A" w14:textId="77777777">
      <w:pPr>
        <w:ind w:firstLine="720"/>
        <w:rPr>
          <w:szCs w:val="26"/>
        </w:rPr>
      </w:pPr>
    </w:p>
    <w:p w:rsidR="0063327B" w:rsidRPr="00FF3736" w:rsidP="00BF427A" w14:paraId="02CA341F" w14:textId="7B8503DF">
      <w:pPr>
        <w:ind w:firstLine="720"/>
        <w:rPr>
          <w:szCs w:val="26"/>
        </w:rPr>
      </w:pPr>
      <w:r w:rsidRPr="00FF3736">
        <w:rPr>
          <w:b/>
          <w:bCs/>
          <w:szCs w:val="26"/>
        </w:rPr>
        <w:t>D.</w:t>
      </w:r>
      <w:r w:rsidRPr="00FF3736">
        <w:rPr>
          <w:b/>
          <w:bCs/>
          <w:szCs w:val="26"/>
        </w:rPr>
        <w:tab/>
      </w:r>
      <w:r w:rsidRPr="00FF3736">
        <w:rPr>
          <w:b/>
          <w:bCs/>
          <w:i/>
          <w:iCs/>
          <w:szCs w:val="26"/>
        </w:rPr>
        <w:t xml:space="preserve">FIJI’s </w:t>
      </w:r>
      <w:r w:rsidRPr="00FF3736" w:rsidR="007F451C">
        <w:rPr>
          <w:b/>
          <w:bCs/>
          <w:i/>
          <w:iCs/>
          <w:szCs w:val="26"/>
        </w:rPr>
        <w:t>m</w:t>
      </w:r>
      <w:r w:rsidRPr="00FF3736">
        <w:rPr>
          <w:b/>
          <w:bCs/>
          <w:i/>
          <w:iCs/>
          <w:szCs w:val="26"/>
        </w:rPr>
        <w:t>otion</w:t>
      </w:r>
      <w:r w:rsidRPr="00FF3736" w:rsidR="007F451C">
        <w:rPr>
          <w:b/>
          <w:bCs/>
          <w:i/>
          <w:iCs/>
          <w:szCs w:val="26"/>
        </w:rPr>
        <w:t xml:space="preserve"> for judgment notwithstanding the verdict (JNOV)</w:t>
      </w:r>
    </w:p>
    <w:p w:rsidR="002465F6" w:rsidRPr="00FF3736" w:rsidP="00BF427A" w14:paraId="33BDEC23" w14:textId="20986C1D">
      <w:pPr>
        <w:ind w:firstLine="720"/>
        <w:rPr>
          <w:szCs w:val="26"/>
        </w:rPr>
      </w:pPr>
      <w:r w:rsidRPr="00FF3736">
        <w:rPr>
          <w:szCs w:val="26"/>
        </w:rPr>
        <w:t>Before judgment was entered, FIJI moved for JNOV</w:t>
      </w:r>
      <w:r w:rsidRPr="00FF3736" w:rsidR="00510BCB">
        <w:rPr>
          <w:szCs w:val="26"/>
        </w:rPr>
        <w:t xml:space="preserve"> on the ground that </w:t>
      </w:r>
      <w:r w:rsidRPr="00FF3736" w:rsidR="00147CEA">
        <w:rPr>
          <w:szCs w:val="26"/>
        </w:rPr>
        <w:t xml:space="preserve">the </w:t>
      </w:r>
      <w:r w:rsidRPr="00FF3736" w:rsidR="00510BCB">
        <w:rPr>
          <w:szCs w:val="26"/>
        </w:rPr>
        <w:t xml:space="preserve">verdict based constructive termination was invalid because, even if it was a </w:t>
      </w:r>
      <w:r w:rsidRPr="00FF3736" w:rsidR="00147CEA">
        <w:rPr>
          <w:szCs w:val="26"/>
        </w:rPr>
        <w:t xml:space="preserve">legally </w:t>
      </w:r>
      <w:r w:rsidRPr="00FF3736" w:rsidR="00510BCB">
        <w:rPr>
          <w:szCs w:val="26"/>
        </w:rPr>
        <w:t xml:space="preserve">viable theory, it required proof that Carolina Beverage </w:t>
      </w:r>
      <w:r w:rsidRPr="00FF3736" w:rsidR="007F451C">
        <w:rPr>
          <w:szCs w:val="26"/>
        </w:rPr>
        <w:t xml:space="preserve">had </w:t>
      </w:r>
      <w:r w:rsidRPr="00FF3736" w:rsidR="00510BCB">
        <w:rPr>
          <w:szCs w:val="26"/>
        </w:rPr>
        <w:t xml:space="preserve">ceased operating under the agreement, yet the undisputed evidence at trial indicated Carolina Beverage </w:t>
      </w:r>
      <w:r w:rsidRPr="00FF3736" w:rsidR="007F451C">
        <w:rPr>
          <w:szCs w:val="26"/>
        </w:rPr>
        <w:t xml:space="preserve">had </w:t>
      </w:r>
      <w:r w:rsidRPr="00FF3736" w:rsidR="00510BCB">
        <w:rPr>
          <w:szCs w:val="26"/>
        </w:rPr>
        <w:t>continued to operate under the agreement.</w:t>
      </w:r>
      <w:r w:rsidRPr="00FF3736">
        <w:rPr>
          <w:szCs w:val="26"/>
        </w:rPr>
        <w:t xml:space="preserve">  Following further briefing and a hearing, the trial court denied the JNOV motion.  The court reasoned that “[t]he jury was persuaded” that FIJI’s “conduct” of “siphon[ing] almost 90% of [Carolina Beverage’s] sales volume before expiration of the contract” “breached the agreement and effectively terminated it.”</w:t>
      </w:r>
    </w:p>
    <w:p w:rsidR="002465F6" w:rsidRPr="00FF3736" w:rsidP="00BF427A" w14:paraId="543B932C" w14:textId="6E076562">
      <w:pPr>
        <w:ind w:firstLine="720"/>
        <w:rPr>
          <w:szCs w:val="26"/>
        </w:rPr>
      </w:pPr>
      <w:r w:rsidRPr="00FF3736">
        <w:rPr>
          <w:b/>
          <w:bCs/>
          <w:szCs w:val="26"/>
        </w:rPr>
        <w:t>E.</w:t>
      </w:r>
      <w:r w:rsidRPr="00FF3736">
        <w:rPr>
          <w:b/>
          <w:bCs/>
          <w:szCs w:val="26"/>
        </w:rPr>
        <w:tab/>
      </w:r>
      <w:r w:rsidRPr="00FF3736">
        <w:rPr>
          <w:b/>
          <w:bCs/>
          <w:i/>
          <w:iCs/>
          <w:szCs w:val="26"/>
        </w:rPr>
        <w:t>Carolina Beverage’s attorney fees</w:t>
      </w:r>
    </w:p>
    <w:p w:rsidR="00766710" w:rsidP="00BF427A" w14:paraId="42064251" w14:textId="2894F5AF">
      <w:pPr>
        <w:ind w:firstLine="720"/>
        <w:rPr>
          <w:szCs w:val="26"/>
        </w:rPr>
      </w:pPr>
      <w:r w:rsidRPr="00FF3736">
        <w:rPr>
          <w:szCs w:val="26"/>
        </w:rPr>
        <w:t>After the trial court determined that Carolina Beverage was the prevailing party for purposes of the attorney fees clause in the agreement, the parties litigated the amount of fees that should be awarded.  Carolina Beverage sought $4,388,902 in fees</w:t>
      </w:r>
      <w:r w:rsidRPr="00FF3736" w:rsidR="00510BCB">
        <w:rPr>
          <w:szCs w:val="26"/>
        </w:rPr>
        <w:t>.</w:t>
      </w:r>
      <w:r w:rsidRPr="00FF3736">
        <w:rPr>
          <w:szCs w:val="26"/>
        </w:rPr>
        <w:t xml:space="preserve">  FIJI </w:t>
      </w:r>
      <w:r w:rsidRPr="00FF3736" w:rsidR="00510BCB">
        <w:rPr>
          <w:szCs w:val="26"/>
        </w:rPr>
        <w:t xml:space="preserve">urged </w:t>
      </w:r>
      <w:r w:rsidRPr="00FF3736" w:rsidR="00147CEA">
        <w:rPr>
          <w:szCs w:val="26"/>
        </w:rPr>
        <w:t xml:space="preserve">that </w:t>
      </w:r>
      <w:r w:rsidRPr="00FF3736" w:rsidR="00510BCB">
        <w:rPr>
          <w:szCs w:val="26"/>
        </w:rPr>
        <w:t xml:space="preserve">the appropriate amount </w:t>
      </w:r>
      <w:r w:rsidRPr="00FF3736" w:rsidR="007E4950">
        <w:rPr>
          <w:szCs w:val="26"/>
        </w:rPr>
        <w:t xml:space="preserve">was </w:t>
      </w:r>
      <w:r w:rsidRPr="00FF3736" w:rsidR="007F451C">
        <w:rPr>
          <w:szCs w:val="26"/>
        </w:rPr>
        <w:t xml:space="preserve">no more than </w:t>
      </w:r>
      <w:r w:rsidRPr="00FF3736">
        <w:rPr>
          <w:szCs w:val="26"/>
        </w:rPr>
        <w:t>$1</w:t>
      </w:r>
      <w:r w:rsidR="00583289">
        <w:rPr>
          <w:szCs w:val="26"/>
        </w:rPr>
        <w:t>,227,845</w:t>
      </w:r>
      <w:r w:rsidRPr="00FF3736">
        <w:rPr>
          <w:szCs w:val="26"/>
        </w:rPr>
        <w:t xml:space="preserve"> given the </w:t>
      </w:r>
      <w:r w:rsidRPr="00FF3736" w:rsidR="0074686C">
        <w:rPr>
          <w:szCs w:val="26"/>
        </w:rPr>
        <w:t>frequency</w:t>
      </w:r>
      <w:r w:rsidRPr="00FF3736">
        <w:rPr>
          <w:szCs w:val="26"/>
        </w:rPr>
        <w:t xml:space="preserve"> of</w:t>
      </w:r>
      <w:r w:rsidRPr="00FF3736" w:rsidR="007F451C">
        <w:rPr>
          <w:szCs w:val="26"/>
        </w:rPr>
        <w:t xml:space="preserve"> block billing</w:t>
      </w:r>
      <w:r w:rsidRPr="00FF3736">
        <w:rPr>
          <w:szCs w:val="26"/>
        </w:rPr>
        <w:t xml:space="preserve"> entries</w:t>
      </w:r>
      <w:r w:rsidRPr="00FF3736" w:rsidR="007F451C">
        <w:rPr>
          <w:szCs w:val="26"/>
        </w:rPr>
        <w:t xml:space="preserve"> that included work on the </w:t>
      </w:r>
      <w:r w:rsidRPr="00FF3736" w:rsidR="008F6C2A">
        <w:rPr>
          <w:szCs w:val="26"/>
        </w:rPr>
        <w:t xml:space="preserve">unsuccessful </w:t>
      </w:r>
      <w:r w:rsidRPr="00FF3736">
        <w:rPr>
          <w:szCs w:val="26"/>
        </w:rPr>
        <w:t>concealment claim</w:t>
      </w:r>
      <w:r w:rsidRPr="00FF3736" w:rsidR="00F373C5">
        <w:rPr>
          <w:szCs w:val="26"/>
        </w:rPr>
        <w:t>.</w:t>
      </w:r>
      <w:r w:rsidRPr="00FF3736">
        <w:rPr>
          <w:szCs w:val="26"/>
        </w:rPr>
        <w:t xml:space="preserve">  After further briefing and a hearing, the trial court issued an order on October 20, 2022 awarding Carolina Beverage</w:t>
      </w:r>
      <w:r w:rsidRPr="00FF3736" w:rsidR="00510BCB">
        <w:rPr>
          <w:szCs w:val="26"/>
        </w:rPr>
        <w:t xml:space="preserve"> $</w:t>
      </w:r>
      <w:r w:rsidRPr="00FF3736" w:rsidR="00D4101A">
        <w:rPr>
          <w:szCs w:val="26"/>
        </w:rPr>
        <w:t>4,343,712</w:t>
      </w:r>
      <w:r w:rsidRPr="00FF3736" w:rsidR="00510BCB">
        <w:rPr>
          <w:szCs w:val="26"/>
        </w:rPr>
        <w:t xml:space="preserve"> (that is, reducing the fees by </w:t>
      </w:r>
      <w:r w:rsidRPr="00FF3736">
        <w:rPr>
          <w:szCs w:val="26"/>
        </w:rPr>
        <w:t>$45,190</w:t>
      </w:r>
      <w:r w:rsidRPr="00FF3736" w:rsidR="00510BCB">
        <w:rPr>
          <w:szCs w:val="26"/>
        </w:rPr>
        <w:t>)</w:t>
      </w:r>
      <w:r w:rsidRPr="00FF3736">
        <w:rPr>
          <w:szCs w:val="26"/>
        </w:rPr>
        <w:t>.</w:t>
      </w:r>
      <w:r>
        <w:rPr>
          <w:rStyle w:val="FootnoteReference"/>
          <w:b/>
          <w:bCs/>
          <w:szCs w:val="26"/>
        </w:rPr>
        <w:footnoteReference w:id="10"/>
      </w:r>
    </w:p>
    <w:p w:rsidR="003D3768" w:rsidRPr="00FF3736" w:rsidP="00BF427A" w14:paraId="60588CFF" w14:textId="77777777">
      <w:pPr>
        <w:ind w:firstLine="720"/>
        <w:rPr>
          <w:szCs w:val="26"/>
        </w:rPr>
      </w:pPr>
    </w:p>
    <w:p w:rsidR="009C27ED" w:rsidRPr="00FF3736" w:rsidP="00BF427A" w14:paraId="1CBC58E5" w14:textId="7FABDB89">
      <w:pPr>
        <w:ind w:firstLine="720"/>
        <w:rPr>
          <w:b/>
          <w:bCs/>
          <w:i/>
          <w:iCs/>
          <w:szCs w:val="26"/>
        </w:rPr>
      </w:pPr>
      <w:r w:rsidRPr="00FF3736">
        <w:rPr>
          <w:b/>
          <w:bCs/>
          <w:szCs w:val="26"/>
        </w:rPr>
        <w:t>F.</w:t>
      </w:r>
      <w:r w:rsidRPr="00FF3736">
        <w:rPr>
          <w:b/>
          <w:bCs/>
          <w:szCs w:val="26"/>
        </w:rPr>
        <w:tab/>
      </w:r>
      <w:r w:rsidRPr="00FF3736">
        <w:rPr>
          <w:b/>
          <w:bCs/>
          <w:i/>
          <w:iCs/>
          <w:szCs w:val="26"/>
        </w:rPr>
        <w:t>Appeal</w:t>
      </w:r>
      <w:r w:rsidRPr="00FF3736" w:rsidR="0011127A">
        <w:rPr>
          <w:b/>
          <w:bCs/>
          <w:i/>
          <w:iCs/>
          <w:szCs w:val="26"/>
        </w:rPr>
        <w:t>s</w:t>
      </w:r>
    </w:p>
    <w:p w:rsidR="0011127A" w:rsidRPr="00FF3736" w:rsidP="00BF427A" w14:paraId="3F261BD5" w14:textId="2C69F5A0">
      <w:pPr>
        <w:ind w:firstLine="720"/>
        <w:rPr>
          <w:szCs w:val="26"/>
        </w:rPr>
      </w:pPr>
      <w:r w:rsidRPr="00FF3736">
        <w:rPr>
          <w:szCs w:val="26"/>
        </w:rPr>
        <w:t>Following the entry of judgment, FIJI and Carolina Beverage both timely appealed.</w:t>
      </w:r>
      <w:r>
        <w:rPr>
          <w:rStyle w:val="FootnoteReference"/>
          <w:b/>
          <w:bCs/>
          <w:szCs w:val="26"/>
        </w:rPr>
        <w:footnoteReference w:id="11"/>
      </w:r>
      <w:r w:rsidRPr="00FF3736">
        <w:rPr>
          <w:szCs w:val="26"/>
        </w:rPr>
        <w:t xml:space="preserve">  </w:t>
      </w:r>
    </w:p>
    <w:p w:rsidR="00F65655" w:rsidRPr="00FF3736" w:rsidP="00BF427A" w14:paraId="1A14ED3C" w14:textId="1A5D9522">
      <w:pPr>
        <w:jc w:val="center"/>
        <w:rPr>
          <w:szCs w:val="26"/>
        </w:rPr>
      </w:pPr>
      <w:r w:rsidRPr="00FF3736">
        <w:rPr>
          <w:b/>
          <w:bCs/>
          <w:szCs w:val="26"/>
        </w:rPr>
        <w:t>DISCUSSION</w:t>
      </w:r>
    </w:p>
    <w:p w:rsidR="00C92648" w:rsidRPr="00FF3736" w:rsidP="00BF427A" w14:paraId="37687C13" w14:textId="5213E270">
      <w:pPr>
        <w:rPr>
          <w:i/>
          <w:iCs/>
          <w:szCs w:val="26"/>
        </w:rPr>
      </w:pPr>
      <w:r w:rsidRPr="00FF3736">
        <w:rPr>
          <w:szCs w:val="26"/>
        </w:rPr>
        <w:tab/>
        <w:t xml:space="preserve">This appeal presents three issues.  First, FIJI argues that the trial court erred in denying its JNOV motion because constructive </w:t>
      </w:r>
      <w:r w:rsidRPr="00FF3736" w:rsidR="00736FB8">
        <w:rPr>
          <w:szCs w:val="26"/>
        </w:rPr>
        <w:t xml:space="preserve">termination </w:t>
      </w:r>
      <w:r w:rsidRPr="00FF3736">
        <w:rPr>
          <w:szCs w:val="26"/>
        </w:rPr>
        <w:t xml:space="preserve">is not a viable theory for contract-based recovery either as a matter of law or as a matter of undisputed fact.  </w:t>
      </w:r>
      <w:r w:rsidRPr="00FF3736" w:rsidR="00736FB8">
        <w:rPr>
          <w:szCs w:val="26"/>
        </w:rPr>
        <w:t>Second, Carolina Beverage argues that the trial court erred in two evidentiary rulings that necessitates a new trial on the concealment claim the jury rejected.  Third</w:t>
      </w:r>
      <w:r w:rsidRPr="00FF3736">
        <w:rPr>
          <w:szCs w:val="26"/>
        </w:rPr>
        <w:t>, FIJI argues that</w:t>
      </w:r>
      <w:r w:rsidRPr="00FF3736" w:rsidR="00736FB8">
        <w:rPr>
          <w:szCs w:val="26"/>
        </w:rPr>
        <w:t xml:space="preserve"> the</w:t>
      </w:r>
      <w:r w:rsidRPr="00FF3736">
        <w:rPr>
          <w:szCs w:val="26"/>
        </w:rPr>
        <w:t xml:space="preserve"> trial court abused its discretion in awarding </w:t>
      </w:r>
      <w:r w:rsidRPr="00FF3736" w:rsidR="00E3135C">
        <w:rPr>
          <w:szCs w:val="26"/>
        </w:rPr>
        <w:t xml:space="preserve">over $4 million in </w:t>
      </w:r>
      <w:r w:rsidRPr="00FF3736">
        <w:rPr>
          <w:szCs w:val="26"/>
        </w:rPr>
        <w:t>attorney fees</w:t>
      </w:r>
      <w:r w:rsidRPr="00FF3736" w:rsidR="00E3135C">
        <w:rPr>
          <w:szCs w:val="26"/>
        </w:rPr>
        <w:t xml:space="preserve"> because that sum included fees </w:t>
      </w:r>
      <w:r w:rsidRPr="00FF3736">
        <w:rPr>
          <w:szCs w:val="26"/>
        </w:rPr>
        <w:t xml:space="preserve">incurred by Carolina Beverage in litigating its unsuccessful concealment claim.  </w:t>
      </w:r>
      <w:r w:rsidRPr="00FF3736" w:rsidR="002775E9">
        <w:rPr>
          <w:szCs w:val="26"/>
        </w:rPr>
        <w:t>We review the first issue de novo (</w:t>
      </w:r>
      <w:r w:rsidRPr="00FF3736" w:rsidR="0021078F">
        <w:rPr>
          <w:i/>
          <w:iCs/>
          <w:szCs w:val="26"/>
        </w:rPr>
        <w:t xml:space="preserve">Hirst v. City of Oceanside </w:t>
      </w:r>
      <w:r w:rsidRPr="00FF3736" w:rsidR="0021078F">
        <w:rPr>
          <w:szCs w:val="26"/>
        </w:rPr>
        <w:t>(2015) 236 Cal.App.4th 774, 782</w:t>
      </w:r>
      <w:r w:rsidRPr="00FF3736" w:rsidR="002775E9">
        <w:rPr>
          <w:szCs w:val="26"/>
        </w:rPr>
        <w:t xml:space="preserve">), and the </w:t>
      </w:r>
      <w:r w:rsidRPr="00FF3736" w:rsidR="0021078F">
        <w:rPr>
          <w:szCs w:val="26"/>
        </w:rPr>
        <w:t>last</w:t>
      </w:r>
      <w:r w:rsidRPr="00FF3736" w:rsidR="002775E9">
        <w:rPr>
          <w:szCs w:val="26"/>
        </w:rPr>
        <w:t xml:space="preserve"> two issues for an abuse of discretion (</w:t>
      </w:r>
      <w:r w:rsidRPr="00FF3736" w:rsidR="0021078F">
        <w:rPr>
          <w:i/>
          <w:iCs/>
          <w:szCs w:val="26"/>
        </w:rPr>
        <w:t xml:space="preserve">People v. Flores </w:t>
      </w:r>
      <w:r w:rsidRPr="00FF3736" w:rsidR="0021078F">
        <w:rPr>
          <w:szCs w:val="26"/>
        </w:rPr>
        <w:t>(2020) 9 Cal.5th 371, 409 [evidentiary rulings]</w:t>
      </w:r>
      <w:r w:rsidRPr="00FF3736" w:rsidR="00736FB8">
        <w:rPr>
          <w:szCs w:val="26"/>
        </w:rPr>
        <w:t>;</w:t>
      </w:r>
      <w:r w:rsidRPr="00FF3736" w:rsidR="00736FB8">
        <w:rPr>
          <w:i/>
          <w:iCs/>
          <w:szCs w:val="26"/>
        </w:rPr>
        <w:t xml:space="preserve"> Gutierrez v. Chopard USA Ltd. </w:t>
      </w:r>
      <w:r w:rsidRPr="00FF3736" w:rsidR="00736FB8">
        <w:rPr>
          <w:szCs w:val="26"/>
        </w:rPr>
        <w:t>(2022) 82 Cal.App.5th 383, 392-393 [amount of attorney fees]</w:t>
      </w:r>
      <w:r w:rsidRPr="00FF3736" w:rsidR="0021078F">
        <w:rPr>
          <w:szCs w:val="26"/>
        </w:rPr>
        <w:t>)</w:t>
      </w:r>
      <w:r w:rsidRPr="00FF3736" w:rsidR="002775E9">
        <w:rPr>
          <w:szCs w:val="26"/>
        </w:rPr>
        <w:t>.</w:t>
      </w:r>
    </w:p>
    <w:p w:rsidR="002651DD" w:rsidRPr="00FF3736" w:rsidP="00BF427A" w14:paraId="456B876C" w14:textId="13989675">
      <w:pPr>
        <w:rPr>
          <w:b/>
          <w:bCs/>
          <w:szCs w:val="26"/>
        </w:rPr>
      </w:pPr>
      <w:r w:rsidRPr="00FF3736">
        <w:rPr>
          <w:b/>
          <w:bCs/>
          <w:szCs w:val="26"/>
        </w:rPr>
        <w:t>I.</w:t>
      </w:r>
      <w:r w:rsidRPr="00FF3736">
        <w:rPr>
          <w:b/>
          <w:bCs/>
          <w:szCs w:val="26"/>
        </w:rPr>
        <w:tab/>
      </w:r>
      <w:r w:rsidRPr="00FF3736" w:rsidR="002775E9">
        <w:rPr>
          <w:b/>
          <w:bCs/>
          <w:szCs w:val="26"/>
        </w:rPr>
        <w:t>Constructive Termination (Denial of the JNOV</w:t>
      </w:r>
      <w:r w:rsidRPr="00FF3736" w:rsidR="00A01A11">
        <w:rPr>
          <w:b/>
          <w:bCs/>
          <w:szCs w:val="26"/>
        </w:rPr>
        <w:t xml:space="preserve"> Motion</w:t>
      </w:r>
      <w:r w:rsidRPr="00FF3736" w:rsidR="002775E9">
        <w:rPr>
          <w:b/>
          <w:bCs/>
          <w:szCs w:val="26"/>
        </w:rPr>
        <w:t>)</w:t>
      </w:r>
    </w:p>
    <w:p w:rsidR="00CF4A86" w:rsidRPr="00FF3736" w:rsidP="00BF427A" w14:paraId="2FA51093" w14:textId="170E683D">
      <w:pPr>
        <w:rPr>
          <w:szCs w:val="26"/>
        </w:rPr>
      </w:pPr>
      <w:r w:rsidRPr="00FF3736">
        <w:rPr>
          <w:b/>
          <w:bCs/>
          <w:szCs w:val="26"/>
        </w:rPr>
        <w:tab/>
      </w:r>
      <w:r w:rsidRPr="00FF3736">
        <w:rPr>
          <w:szCs w:val="26"/>
        </w:rPr>
        <w:t xml:space="preserve">As a threshold matter, it is undisputed that FIJI </w:t>
      </w:r>
      <w:r w:rsidRPr="00FF3736" w:rsidR="00E3135C">
        <w:rPr>
          <w:szCs w:val="26"/>
        </w:rPr>
        <w:t xml:space="preserve">did not owe Carolina Beverage the termination payment by virtue of </w:t>
      </w:r>
      <w:r w:rsidRPr="00FF3736" w:rsidR="00E3135C">
        <w:rPr>
          <w:i/>
          <w:iCs/>
          <w:szCs w:val="26"/>
        </w:rPr>
        <w:t xml:space="preserve">actually </w:t>
      </w:r>
      <w:r w:rsidRPr="00FF3736" w:rsidR="00E3135C">
        <w:rPr>
          <w:szCs w:val="26"/>
        </w:rPr>
        <w:t>terminating the agreement—that is, by terminating the agreement under the terms of the agreement itself</w:t>
      </w:r>
      <w:r w:rsidRPr="00FF3736">
        <w:rPr>
          <w:szCs w:val="26"/>
        </w:rPr>
        <w:t xml:space="preserve">:  Section 3(a) of the agreement explicitly provides that “[n]othing in th[e] </w:t>
      </w:r>
      <w:r w:rsidR="00E84027">
        <w:rPr>
          <w:szCs w:val="26"/>
        </w:rPr>
        <w:t>[</w:t>
      </w:r>
      <w:r w:rsidRPr="00FF3736">
        <w:rPr>
          <w:szCs w:val="26"/>
        </w:rPr>
        <w:t>a</w:t>
      </w:r>
      <w:r w:rsidR="00E84027">
        <w:rPr>
          <w:szCs w:val="26"/>
        </w:rPr>
        <w:t>]</w:t>
      </w:r>
      <w:r w:rsidRPr="00FF3736">
        <w:rPr>
          <w:szCs w:val="26"/>
        </w:rPr>
        <w:t>greement shall be construed t</w:t>
      </w:r>
      <w:r w:rsidRPr="00FF3736" w:rsidR="00A01A11">
        <w:rPr>
          <w:szCs w:val="26"/>
        </w:rPr>
        <w:t>o</w:t>
      </w:r>
      <w:r w:rsidRPr="00FF3736">
        <w:rPr>
          <w:szCs w:val="26"/>
        </w:rPr>
        <w:t xml:space="preserve"> require FIJI to pay the Termination Payment” except when FIJI terminates the agreement pursuant to section 2(e)(ii); section 2(e)(ii) of the agreement applies when FIJI “terminate[s] th[e] </w:t>
      </w:r>
      <w:r w:rsidR="00E84027">
        <w:rPr>
          <w:szCs w:val="26"/>
        </w:rPr>
        <w:t>[</w:t>
      </w:r>
      <w:r w:rsidRPr="00FF3736">
        <w:rPr>
          <w:szCs w:val="26"/>
        </w:rPr>
        <w:t>a</w:t>
      </w:r>
      <w:r w:rsidR="00E84027">
        <w:rPr>
          <w:szCs w:val="26"/>
        </w:rPr>
        <w:t>]</w:t>
      </w:r>
      <w:r w:rsidRPr="00FF3736">
        <w:rPr>
          <w:szCs w:val="26"/>
        </w:rPr>
        <w:t xml:space="preserve">greement . . . upon thirty (30) days written notice”; and FIJI never sent a written notice terminating the agreement (and, to the contrary, explicitly </w:t>
      </w:r>
      <w:r w:rsidRPr="00FF3736" w:rsidR="00E3135C">
        <w:rPr>
          <w:szCs w:val="26"/>
        </w:rPr>
        <w:t xml:space="preserve">and repeatedly </w:t>
      </w:r>
      <w:r w:rsidRPr="00FF3736">
        <w:rPr>
          <w:szCs w:val="26"/>
        </w:rPr>
        <w:t xml:space="preserve">reaffirmed that it was </w:t>
      </w:r>
      <w:r w:rsidRPr="00FF3736">
        <w:rPr>
          <w:i/>
          <w:iCs/>
          <w:szCs w:val="26"/>
        </w:rPr>
        <w:t>not</w:t>
      </w:r>
      <w:r w:rsidRPr="00FF3736">
        <w:rPr>
          <w:szCs w:val="26"/>
        </w:rPr>
        <w:t xml:space="preserve"> terminating the agreement).  Thus, the sole basis for the jury’s award of the termination </w:t>
      </w:r>
      <w:r w:rsidRPr="00FF3736" w:rsidR="00E3135C">
        <w:rPr>
          <w:szCs w:val="26"/>
        </w:rPr>
        <w:t>payment</w:t>
      </w:r>
      <w:r w:rsidRPr="00FF3736">
        <w:rPr>
          <w:szCs w:val="26"/>
        </w:rPr>
        <w:t xml:space="preserve"> as damages on Carolina Beverage’s contract-related claims is that FIJI </w:t>
      </w:r>
      <w:r w:rsidRPr="00FF3736">
        <w:rPr>
          <w:i/>
          <w:iCs/>
          <w:szCs w:val="26"/>
        </w:rPr>
        <w:t xml:space="preserve">constructively </w:t>
      </w:r>
      <w:r w:rsidRPr="00FF3736">
        <w:rPr>
          <w:szCs w:val="26"/>
        </w:rPr>
        <w:t xml:space="preserve">terminated the agreement.  </w:t>
      </w:r>
      <w:r w:rsidRPr="00FF3736" w:rsidR="00360B13">
        <w:rPr>
          <w:szCs w:val="26"/>
        </w:rPr>
        <w:t>Indeed, the jury was specifically instructed that “constructive termination” occurs whenever one party to a contract “interferes with the other part</w:t>
      </w:r>
      <w:r w:rsidRPr="00FF3736" w:rsidR="00A01A11">
        <w:rPr>
          <w:szCs w:val="26"/>
        </w:rPr>
        <w:t>y</w:t>
      </w:r>
      <w:r w:rsidRPr="00FF3736" w:rsidR="00360B13">
        <w:rPr>
          <w:szCs w:val="26"/>
        </w:rPr>
        <w:t xml:space="preserve">’s ability to obtain </w:t>
      </w:r>
      <w:r w:rsidRPr="00FF3736" w:rsidR="00A01A11">
        <w:rPr>
          <w:szCs w:val="26"/>
        </w:rPr>
        <w:t xml:space="preserve">the </w:t>
      </w:r>
      <w:r w:rsidRPr="00FF3736" w:rsidR="00360B13">
        <w:rPr>
          <w:szCs w:val="26"/>
        </w:rPr>
        <w:t xml:space="preserve">benefits of the contract.”  </w:t>
      </w:r>
      <w:r w:rsidRPr="00FF3736">
        <w:rPr>
          <w:szCs w:val="26"/>
        </w:rPr>
        <w:t>We must therefore ask:  Was constructive termination a viable theory for recovery in this case?  We hold that it was not for three reasons.</w:t>
      </w:r>
    </w:p>
    <w:p w:rsidR="00CF4A86" w:rsidRPr="00FF3736" w:rsidP="00BF427A" w14:paraId="1C1E650B" w14:textId="5866EF67">
      <w:pPr>
        <w:rPr>
          <w:szCs w:val="26"/>
        </w:rPr>
      </w:pPr>
      <w:r w:rsidRPr="00FF3736">
        <w:rPr>
          <w:szCs w:val="26"/>
        </w:rPr>
        <w:tab/>
      </w:r>
      <w:r w:rsidRPr="00FF3736">
        <w:rPr>
          <w:b/>
          <w:bCs/>
          <w:szCs w:val="26"/>
        </w:rPr>
        <w:t>A.</w:t>
      </w:r>
      <w:r w:rsidRPr="00FF3736">
        <w:rPr>
          <w:b/>
          <w:bCs/>
          <w:szCs w:val="26"/>
        </w:rPr>
        <w:tab/>
      </w:r>
      <w:r w:rsidRPr="00FF3736">
        <w:rPr>
          <w:b/>
          <w:bCs/>
          <w:i/>
          <w:iCs/>
          <w:szCs w:val="26"/>
        </w:rPr>
        <w:t>Constructive termination of non-employment and non-tenancy contracts is not a viable theory under California common law</w:t>
      </w:r>
    </w:p>
    <w:p w:rsidR="00360B13" w:rsidRPr="00FF3736" w:rsidP="00012D15" w14:paraId="442F8C9D" w14:textId="0463C9E9">
      <w:pPr>
        <w:rPr>
          <w:szCs w:val="26"/>
        </w:rPr>
      </w:pPr>
      <w:r w:rsidRPr="00FF3736">
        <w:rPr>
          <w:szCs w:val="26"/>
        </w:rPr>
        <w:tab/>
        <w:t>We hold that the general rule under California common law is that a party may not seek contractual recovery on the basis of constructive termination, and this is a</w:t>
      </w:r>
      <w:r w:rsidRPr="00FF3736" w:rsidR="00E91E75">
        <w:rPr>
          <w:szCs w:val="26"/>
        </w:rPr>
        <w:t xml:space="preserve"> question of law we independently examine</w:t>
      </w:r>
      <w:r w:rsidRPr="00FF3736">
        <w:rPr>
          <w:szCs w:val="26"/>
        </w:rPr>
        <w:t>.  (</w:t>
      </w:r>
      <w:r w:rsidRPr="00FF3736" w:rsidR="00E91E75">
        <w:rPr>
          <w:i/>
          <w:iCs/>
          <w:szCs w:val="26"/>
        </w:rPr>
        <w:t>Kaanaana v. Barrett Bus</w:t>
      </w:r>
      <w:r w:rsidR="00D13D16">
        <w:rPr>
          <w:i/>
          <w:iCs/>
          <w:szCs w:val="26"/>
        </w:rPr>
        <w:t>iness</w:t>
      </w:r>
      <w:r w:rsidRPr="00FF3736" w:rsidR="00E91E75">
        <w:rPr>
          <w:i/>
          <w:iCs/>
          <w:szCs w:val="26"/>
        </w:rPr>
        <w:t xml:space="preserve"> Ser</w:t>
      </w:r>
      <w:r w:rsidR="00D13D16">
        <w:rPr>
          <w:i/>
          <w:iCs/>
          <w:szCs w:val="26"/>
        </w:rPr>
        <w:t>vices</w:t>
      </w:r>
      <w:r w:rsidRPr="00FF3736" w:rsidR="00066650">
        <w:rPr>
          <w:i/>
          <w:iCs/>
          <w:szCs w:val="26"/>
        </w:rPr>
        <w:t>, Inc.</w:t>
      </w:r>
      <w:r w:rsidRPr="00FF3736" w:rsidR="00E91E75">
        <w:rPr>
          <w:szCs w:val="26"/>
        </w:rPr>
        <w:t xml:space="preserve"> (2021) 11 Cal.5th 158, 165.</w:t>
      </w:r>
      <w:r w:rsidRPr="00FF3736">
        <w:rPr>
          <w:szCs w:val="26"/>
        </w:rPr>
        <w:t xml:space="preserve">)  </w:t>
      </w:r>
    </w:p>
    <w:p w:rsidR="00360B13" w:rsidRPr="00FF3736" w:rsidP="00360B13" w14:paraId="22282616" w14:textId="7800C899">
      <w:pPr>
        <w:ind w:firstLine="720"/>
        <w:rPr>
          <w:szCs w:val="26"/>
        </w:rPr>
      </w:pPr>
      <w:r w:rsidRPr="00FF3736">
        <w:rPr>
          <w:szCs w:val="26"/>
        </w:rPr>
        <w:t xml:space="preserve">This </w:t>
      </w:r>
      <w:r w:rsidRPr="00FF3736" w:rsidR="00E91E75">
        <w:rPr>
          <w:szCs w:val="26"/>
        </w:rPr>
        <w:t xml:space="preserve">holding </w:t>
      </w:r>
      <w:r w:rsidRPr="00FF3736">
        <w:rPr>
          <w:szCs w:val="26"/>
        </w:rPr>
        <w:t>flows inexorably from the core ten</w:t>
      </w:r>
      <w:r w:rsidRPr="00FF3736" w:rsidR="00DA0FD8">
        <w:rPr>
          <w:szCs w:val="26"/>
        </w:rPr>
        <w:t>et</w:t>
      </w:r>
      <w:r w:rsidRPr="00FF3736">
        <w:rPr>
          <w:szCs w:val="26"/>
        </w:rPr>
        <w:t>s of California contract law that parties to a contract—and especially sophisticated parties who enter into commercial contracts—are</w:t>
      </w:r>
      <w:r w:rsidRPr="00FF3736" w:rsidR="00E3135C">
        <w:rPr>
          <w:szCs w:val="26"/>
        </w:rPr>
        <w:t xml:space="preserve"> empowered to </w:t>
      </w:r>
      <w:r w:rsidRPr="00FF3736">
        <w:rPr>
          <w:szCs w:val="26"/>
        </w:rPr>
        <w:t>de</w:t>
      </w:r>
      <w:r w:rsidRPr="00FF3736" w:rsidR="00E3135C">
        <w:rPr>
          <w:szCs w:val="26"/>
        </w:rPr>
        <w:t>fine</w:t>
      </w:r>
      <w:r w:rsidRPr="00FF3736">
        <w:rPr>
          <w:szCs w:val="26"/>
        </w:rPr>
        <w:t xml:space="preserve"> for themselves</w:t>
      </w:r>
      <w:r w:rsidRPr="00FF3736" w:rsidR="00E91E75">
        <w:rPr>
          <w:szCs w:val="26"/>
        </w:rPr>
        <w:t xml:space="preserve"> and through the contract’s terms</w:t>
      </w:r>
      <w:r w:rsidRPr="00FF3736">
        <w:rPr>
          <w:szCs w:val="26"/>
        </w:rPr>
        <w:t xml:space="preserve"> the rules that </w:t>
      </w:r>
      <w:r w:rsidRPr="00FF3736" w:rsidR="00DA0FD8">
        <w:rPr>
          <w:szCs w:val="26"/>
        </w:rPr>
        <w:t xml:space="preserve">will </w:t>
      </w:r>
      <w:r w:rsidRPr="00FF3736">
        <w:rPr>
          <w:szCs w:val="26"/>
        </w:rPr>
        <w:t xml:space="preserve">govern their </w:t>
      </w:r>
      <w:r w:rsidRPr="00FF3736" w:rsidR="00DA0FD8">
        <w:rPr>
          <w:szCs w:val="26"/>
        </w:rPr>
        <w:t>relationship</w:t>
      </w:r>
      <w:r w:rsidRPr="00FF3736">
        <w:rPr>
          <w:szCs w:val="26"/>
        </w:rPr>
        <w:t xml:space="preserve"> (</w:t>
      </w:r>
      <w:r w:rsidRPr="00FF3736" w:rsidR="00E91E75">
        <w:rPr>
          <w:i/>
          <w:iCs/>
          <w:szCs w:val="26"/>
        </w:rPr>
        <w:t xml:space="preserve">Erlich v. Menezes </w:t>
      </w:r>
      <w:r w:rsidRPr="00FF3736" w:rsidR="00E91E75">
        <w:rPr>
          <w:szCs w:val="26"/>
        </w:rPr>
        <w:t>(1999) 21 Cal.4th 543, 558 [parties to a contract “</w:t>
      </w:r>
      <w:r w:rsidR="007327D4">
        <w:rPr>
          <w:szCs w:val="26"/>
        </w:rPr>
        <w:t>‘“</w:t>
      </w:r>
      <w:r w:rsidRPr="00FF3736" w:rsidR="00E91E75">
        <w:rPr>
          <w:szCs w:val="26"/>
        </w:rPr>
        <w:t xml:space="preserve">agree upon the rules and regulations which will govern their relationship </w:t>
      </w:r>
      <w:r w:rsidR="005E341D">
        <w:rPr>
          <w:szCs w:val="26"/>
        </w:rPr>
        <w:t>[</w:t>
      </w:r>
      <w:r w:rsidRPr="00FF3736" w:rsidR="00E91E75">
        <w:rPr>
          <w:szCs w:val="26"/>
        </w:rPr>
        <w:t>and</w:t>
      </w:r>
      <w:r w:rsidR="005E341D">
        <w:rPr>
          <w:szCs w:val="26"/>
        </w:rPr>
        <w:t xml:space="preserve">] </w:t>
      </w:r>
      <w:r w:rsidRPr="00FF3736" w:rsidR="00E91E75">
        <w:rPr>
          <w:szCs w:val="26"/>
        </w:rPr>
        <w:t>create a mini-universe for themselves</w:t>
      </w:r>
      <w:r w:rsidR="007327D4">
        <w:rPr>
          <w:szCs w:val="26"/>
        </w:rPr>
        <w:t>”’</w:t>
      </w:r>
      <w:r w:rsidRPr="00FF3736" w:rsidR="00E91E75">
        <w:rPr>
          <w:szCs w:val="26"/>
        </w:rPr>
        <w:t>”]</w:t>
      </w:r>
      <w:r w:rsidRPr="00FF3736">
        <w:rPr>
          <w:szCs w:val="26"/>
        </w:rPr>
        <w:t>), and that the California courts</w:t>
      </w:r>
      <w:r w:rsidRPr="00FF3736" w:rsidR="00DA0FD8">
        <w:rPr>
          <w:szCs w:val="26"/>
        </w:rPr>
        <w:t xml:space="preserve"> </w:t>
      </w:r>
      <w:r w:rsidRPr="00FF3736">
        <w:rPr>
          <w:szCs w:val="26"/>
        </w:rPr>
        <w:t xml:space="preserve">will </w:t>
      </w:r>
      <w:r w:rsidRPr="00FF3736" w:rsidR="00E91E75">
        <w:rPr>
          <w:szCs w:val="26"/>
        </w:rPr>
        <w:t>enforce—</w:t>
      </w:r>
      <w:r w:rsidRPr="00FF3736" w:rsidR="00E3135C">
        <w:rPr>
          <w:szCs w:val="26"/>
        </w:rPr>
        <w:t xml:space="preserve">rather than </w:t>
      </w:r>
      <w:r w:rsidRPr="00FF3736" w:rsidR="00E91E75">
        <w:rPr>
          <w:szCs w:val="26"/>
        </w:rPr>
        <w:t>alter—those terms (</w:t>
      </w:r>
      <w:r w:rsidRPr="00FF3736" w:rsidR="00E91E75">
        <w:rPr>
          <w:i/>
          <w:iCs/>
          <w:szCs w:val="26"/>
        </w:rPr>
        <w:t>Rosen v. State Farm General Ins. Co.</w:t>
      </w:r>
      <w:r w:rsidRPr="00FF3736" w:rsidR="00E91E75">
        <w:rPr>
          <w:szCs w:val="26"/>
        </w:rPr>
        <w:t xml:space="preserve"> (2003) 30 Cal.4th 1070, 1078;</w:t>
      </w:r>
      <w:r w:rsidRPr="00FF3736" w:rsidR="00DA0FD8">
        <w:rPr>
          <w:szCs w:val="26"/>
        </w:rPr>
        <w:t xml:space="preserve"> </w:t>
      </w:r>
      <w:r w:rsidRPr="00FF3736" w:rsidR="00E91E75">
        <w:rPr>
          <w:i/>
          <w:iCs/>
          <w:szCs w:val="26"/>
        </w:rPr>
        <w:t xml:space="preserve">Boyer v. United States Fidelity &amp; Guaranty Co. </w:t>
      </w:r>
      <w:r w:rsidRPr="00FF3736" w:rsidR="00E91E75">
        <w:rPr>
          <w:szCs w:val="26"/>
        </w:rPr>
        <w:t>(1929) 206 Cal. 273, 276-277)</w:t>
      </w:r>
      <w:r w:rsidR="003142DE">
        <w:rPr>
          <w:szCs w:val="26"/>
        </w:rPr>
        <w:t>.</w:t>
      </w:r>
      <w:r w:rsidRPr="00FF3736" w:rsidR="00E91E75">
        <w:rPr>
          <w:szCs w:val="26"/>
        </w:rPr>
        <w:t xml:space="preserve">  </w:t>
      </w:r>
      <w:r w:rsidRPr="00FF3736">
        <w:rPr>
          <w:szCs w:val="26"/>
        </w:rPr>
        <w:t xml:space="preserve">Thus, if a contract does not itself recognize the concept of constructive termination, the courts may not graft that concept </w:t>
      </w:r>
      <w:r w:rsidR="00500BE0">
        <w:rPr>
          <w:szCs w:val="26"/>
        </w:rPr>
        <w:t>o</w:t>
      </w:r>
      <w:r w:rsidRPr="00FF3736">
        <w:rPr>
          <w:szCs w:val="26"/>
        </w:rPr>
        <w:t xml:space="preserve">nto that contract.  </w:t>
      </w:r>
    </w:p>
    <w:p w:rsidR="00012D15" w:rsidRPr="00FF3736" w:rsidP="00360B13" w14:paraId="1E592CE5" w14:textId="34CB8670">
      <w:pPr>
        <w:ind w:firstLine="720"/>
        <w:rPr>
          <w:szCs w:val="26"/>
        </w:rPr>
      </w:pPr>
      <w:r w:rsidRPr="00FF3736">
        <w:rPr>
          <w:szCs w:val="26"/>
        </w:rPr>
        <w:t>To be sure, this general rule has two exceptions</w:t>
      </w:r>
      <w:r w:rsidRPr="00FF3736" w:rsidR="00E3135C">
        <w:rPr>
          <w:szCs w:val="26"/>
        </w:rPr>
        <w:t xml:space="preserve"> in which </w:t>
      </w:r>
      <w:r w:rsidRPr="00FF3736">
        <w:rPr>
          <w:szCs w:val="26"/>
        </w:rPr>
        <w:t>the California courts have engrafted onto contracts a constructive termination</w:t>
      </w:r>
      <w:r w:rsidRPr="00FF3736" w:rsidR="00DA0FD8">
        <w:rPr>
          <w:szCs w:val="26"/>
        </w:rPr>
        <w:t xml:space="preserve"> </w:t>
      </w:r>
      <w:r w:rsidRPr="00FF3736" w:rsidR="002C2312">
        <w:rPr>
          <w:szCs w:val="26"/>
        </w:rPr>
        <w:t>provision</w:t>
      </w:r>
      <w:r w:rsidRPr="00FF3736">
        <w:rPr>
          <w:szCs w:val="26"/>
        </w:rPr>
        <w:t>—namely, (1) employment contracts, where an employer may “constructively discharge</w:t>
      </w:r>
      <w:r w:rsidR="00E75336">
        <w:rPr>
          <w:szCs w:val="26"/>
        </w:rPr>
        <w:t>[]</w:t>
      </w:r>
      <w:r w:rsidRPr="00FF3736">
        <w:rPr>
          <w:szCs w:val="26"/>
        </w:rPr>
        <w:t>” an employee</w:t>
      </w:r>
      <w:r w:rsidRPr="00FF3736" w:rsidR="00DA0FD8">
        <w:rPr>
          <w:szCs w:val="26"/>
        </w:rPr>
        <w:t xml:space="preserve"> (</w:t>
      </w:r>
      <w:r w:rsidRPr="00FF3736" w:rsidR="00DA0FD8">
        <w:rPr>
          <w:i/>
          <w:iCs/>
          <w:szCs w:val="26"/>
        </w:rPr>
        <w:t>Mullins v. Rockwell Internat</w:t>
      </w:r>
      <w:r w:rsidR="00F007EF">
        <w:rPr>
          <w:i/>
          <w:iCs/>
          <w:szCs w:val="26"/>
        </w:rPr>
        <w:t>ional</w:t>
      </w:r>
      <w:r w:rsidRPr="00FF3736" w:rsidR="00DA0FD8">
        <w:rPr>
          <w:i/>
          <w:iCs/>
          <w:szCs w:val="26"/>
        </w:rPr>
        <w:t xml:space="preserve"> Corp. </w:t>
      </w:r>
      <w:r w:rsidRPr="00FF3736" w:rsidR="00DA0FD8">
        <w:rPr>
          <w:szCs w:val="26"/>
        </w:rPr>
        <w:t>(1997) 15 Cal.4th 731, 737-739</w:t>
      </w:r>
      <w:r w:rsidRPr="00FF3736" w:rsidR="00CD5D18">
        <w:rPr>
          <w:szCs w:val="26"/>
        </w:rPr>
        <w:t xml:space="preserve"> (</w:t>
      </w:r>
      <w:r w:rsidRPr="00FF3736" w:rsidR="00CD5D18">
        <w:rPr>
          <w:i/>
          <w:iCs/>
          <w:szCs w:val="26"/>
        </w:rPr>
        <w:t>Mullins</w:t>
      </w:r>
      <w:r w:rsidRPr="00FF3736" w:rsidR="00CD5D18">
        <w:rPr>
          <w:szCs w:val="26"/>
        </w:rPr>
        <w:t>)</w:t>
      </w:r>
      <w:r w:rsidRPr="00FF3736" w:rsidR="00DA0FD8">
        <w:rPr>
          <w:szCs w:val="26"/>
        </w:rPr>
        <w:t xml:space="preserve">; </w:t>
      </w:r>
      <w:r w:rsidRPr="00FF3736" w:rsidR="005A4700">
        <w:rPr>
          <w:i/>
          <w:iCs/>
          <w:szCs w:val="26"/>
        </w:rPr>
        <w:t xml:space="preserve">Turner </w:t>
      </w:r>
      <w:r w:rsidRPr="00FF3736" w:rsidR="00DA0FD8">
        <w:rPr>
          <w:i/>
          <w:iCs/>
          <w:szCs w:val="26"/>
        </w:rPr>
        <w:t xml:space="preserve">v. Anheuser-Busch, Inc. </w:t>
      </w:r>
      <w:r w:rsidRPr="00FF3736" w:rsidR="00DA0FD8">
        <w:rPr>
          <w:szCs w:val="26"/>
        </w:rPr>
        <w:t xml:space="preserve">(1994) </w:t>
      </w:r>
      <w:bookmarkStart w:id="1" w:name="_Hlk165288048"/>
      <w:r w:rsidRPr="00FF3736" w:rsidR="00DA0FD8">
        <w:rPr>
          <w:szCs w:val="26"/>
        </w:rPr>
        <w:t>7 Cal.4th</w:t>
      </w:r>
      <w:bookmarkEnd w:id="1"/>
      <w:r w:rsidRPr="00FF3736" w:rsidR="00DA0FD8">
        <w:rPr>
          <w:szCs w:val="26"/>
        </w:rPr>
        <w:t xml:space="preserve"> 1238, 1249, 1251</w:t>
      </w:r>
      <w:r w:rsidRPr="00FF3736" w:rsidR="004C11BD">
        <w:rPr>
          <w:szCs w:val="26"/>
        </w:rPr>
        <w:t xml:space="preserve"> (</w:t>
      </w:r>
      <w:r w:rsidRPr="00FF3736" w:rsidR="004C11BD">
        <w:rPr>
          <w:i/>
          <w:iCs/>
          <w:szCs w:val="26"/>
        </w:rPr>
        <w:t>T</w:t>
      </w:r>
      <w:r w:rsidRPr="00FF3736" w:rsidR="005A4700">
        <w:rPr>
          <w:i/>
          <w:iCs/>
          <w:szCs w:val="26"/>
        </w:rPr>
        <w:t>urner</w:t>
      </w:r>
      <w:r w:rsidRPr="00FF3736" w:rsidR="004C11BD">
        <w:rPr>
          <w:szCs w:val="26"/>
        </w:rPr>
        <w:t>)</w:t>
      </w:r>
      <w:r w:rsidRPr="00FF3736" w:rsidR="00DA0FD8">
        <w:rPr>
          <w:szCs w:val="26"/>
        </w:rPr>
        <w:t>)</w:t>
      </w:r>
      <w:r w:rsidR="0010124B">
        <w:rPr>
          <w:szCs w:val="26"/>
        </w:rPr>
        <w:t>;</w:t>
      </w:r>
      <w:r>
        <w:rPr>
          <w:rStyle w:val="FootnoteReference"/>
          <w:b/>
          <w:bCs/>
          <w:szCs w:val="26"/>
        </w:rPr>
        <w:footnoteReference w:id="12"/>
      </w:r>
      <w:r w:rsidRPr="00FF3736">
        <w:rPr>
          <w:szCs w:val="26"/>
        </w:rPr>
        <w:t xml:space="preserve"> and (2) leas</w:t>
      </w:r>
      <w:r w:rsidRPr="00FF3736">
        <w:rPr>
          <w:szCs w:val="26"/>
        </w:rPr>
        <w:t>e</w:t>
      </w:r>
      <w:r w:rsidRPr="00FF3736">
        <w:rPr>
          <w:szCs w:val="26"/>
        </w:rPr>
        <w:t xml:space="preserve"> contracts, where a landlord may “constructive</w:t>
      </w:r>
      <w:r w:rsidRPr="00FF3736" w:rsidR="002C2312">
        <w:rPr>
          <w:szCs w:val="26"/>
        </w:rPr>
        <w:t>ly</w:t>
      </w:r>
      <w:r w:rsidRPr="00FF3736">
        <w:rPr>
          <w:szCs w:val="26"/>
        </w:rPr>
        <w:t xml:space="preserve"> evict” a tenant</w:t>
      </w:r>
      <w:r w:rsidRPr="00FF3736" w:rsidR="00DA0FD8">
        <w:rPr>
          <w:szCs w:val="26"/>
        </w:rPr>
        <w:t xml:space="preserve"> (</w:t>
      </w:r>
      <w:r w:rsidRPr="00FF3736" w:rsidR="00DA0FD8">
        <w:rPr>
          <w:i/>
          <w:iCs/>
          <w:szCs w:val="26"/>
        </w:rPr>
        <w:t xml:space="preserve">Green v. Superior Court </w:t>
      </w:r>
      <w:r w:rsidRPr="00FF3736" w:rsidR="00DA0FD8">
        <w:rPr>
          <w:szCs w:val="26"/>
        </w:rPr>
        <w:t xml:space="preserve">(1974) 10 Cal.3d 616, 625, fn. 10; </w:t>
      </w:r>
      <w:r w:rsidRPr="00FF3736" w:rsidR="00DA0FD8">
        <w:rPr>
          <w:i/>
          <w:iCs/>
          <w:szCs w:val="26"/>
        </w:rPr>
        <w:t xml:space="preserve">Ginsberg v. Gamson </w:t>
      </w:r>
      <w:r w:rsidRPr="00FF3736" w:rsidR="00DA0FD8">
        <w:rPr>
          <w:szCs w:val="26"/>
        </w:rPr>
        <w:t>(2012) 205 Cal.App.4th 873, 897-8</w:t>
      </w:r>
      <w:r w:rsidR="004A0584">
        <w:rPr>
          <w:szCs w:val="26"/>
        </w:rPr>
        <w:t>9</w:t>
      </w:r>
      <w:r w:rsidRPr="00FF3736" w:rsidR="00DA0FD8">
        <w:rPr>
          <w:szCs w:val="26"/>
        </w:rPr>
        <w:t>9)</w:t>
      </w:r>
      <w:r w:rsidRPr="00FF3736">
        <w:rPr>
          <w:szCs w:val="26"/>
        </w:rPr>
        <w:t xml:space="preserve">.  But these exceptions exist for </w:t>
      </w:r>
      <w:r w:rsidRPr="00FF3736">
        <w:rPr>
          <w:szCs w:val="26"/>
        </w:rPr>
        <w:t xml:space="preserve">very specific </w:t>
      </w:r>
      <w:r w:rsidRPr="00FF3736">
        <w:rPr>
          <w:i/>
          <w:iCs/>
          <w:szCs w:val="26"/>
        </w:rPr>
        <w:t>policy</w:t>
      </w:r>
      <w:r w:rsidRPr="00FF3736">
        <w:rPr>
          <w:szCs w:val="26"/>
        </w:rPr>
        <w:t xml:space="preserve"> reasons—chiefly, to </w:t>
      </w:r>
      <w:r w:rsidRPr="00FF3736">
        <w:rPr>
          <w:szCs w:val="26"/>
        </w:rPr>
        <w:t>give the economically weaker party (the employee and the tenant) a means of severing what has become an intolerable relationship to protect that party from further abuse under the contract.  (</w:t>
      </w:r>
      <w:r w:rsidRPr="00FF3736" w:rsidR="00DA0FD8">
        <w:rPr>
          <w:i/>
          <w:iCs/>
          <w:szCs w:val="26"/>
        </w:rPr>
        <w:t>Dynamex Operations W</w:t>
      </w:r>
      <w:r w:rsidR="00247B54">
        <w:rPr>
          <w:i/>
          <w:iCs/>
          <w:szCs w:val="26"/>
        </w:rPr>
        <w:t>est, Inc.</w:t>
      </w:r>
      <w:r w:rsidRPr="00FF3736" w:rsidR="00DA0FD8">
        <w:rPr>
          <w:i/>
          <w:iCs/>
          <w:szCs w:val="26"/>
        </w:rPr>
        <w:t xml:space="preserve"> v. Superior Court </w:t>
      </w:r>
      <w:r w:rsidRPr="00FF3736" w:rsidR="00DA0FD8">
        <w:rPr>
          <w:szCs w:val="26"/>
        </w:rPr>
        <w:t xml:space="preserve">(2018) 4 Cal.5th 903, 960; </w:t>
      </w:r>
      <w:r w:rsidRPr="00FF3736" w:rsidR="00DA0FD8">
        <w:rPr>
          <w:i/>
          <w:iCs/>
          <w:szCs w:val="26"/>
        </w:rPr>
        <w:t>Green</w:t>
      </w:r>
      <w:r w:rsidRPr="00DB48BF" w:rsidR="00DA0FD8">
        <w:rPr>
          <w:szCs w:val="26"/>
        </w:rPr>
        <w:t>,</w:t>
      </w:r>
      <w:r w:rsidRPr="00FF3736" w:rsidR="00DA0FD8">
        <w:rPr>
          <w:i/>
          <w:iCs/>
          <w:szCs w:val="26"/>
        </w:rPr>
        <w:t xml:space="preserve"> </w:t>
      </w:r>
      <w:r w:rsidRPr="00FF3736" w:rsidR="00DA0FD8">
        <w:rPr>
          <w:szCs w:val="26"/>
        </w:rPr>
        <w:t>at p. 625</w:t>
      </w:r>
      <w:r w:rsidRPr="00FF3736" w:rsidR="00360B13">
        <w:rPr>
          <w:szCs w:val="26"/>
        </w:rPr>
        <w:t xml:space="preserve">; see generally </w:t>
      </w:r>
      <w:r w:rsidRPr="00FF3736" w:rsidR="00360B13">
        <w:rPr>
          <w:i/>
          <w:iCs/>
          <w:szCs w:val="26"/>
        </w:rPr>
        <w:t xml:space="preserve">Gutierrez v. Autowest, Inc. </w:t>
      </w:r>
      <w:r w:rsidRPr="00FF3736" w:rsidR="00360B13">
        <w:rPr>
          <w:szCs w:val="26"/>
        </w:rPr>
        <w:t>(2003) 114 Cal.App.4th 77, 94-95 [“California courts refuse to uphold contractual terms” that “violate[] . . . public policy”].)</w:t>
      </w:r>
      <w:r w:rsidRPr="00FF3736">
        <w:rPr>
          <w:szCs w:val="26"/>
        </w:rPr>
        <w:t xml:space="preserve">  Those policy justifications for rewriting a contract </w:t>
      </w:r>
      <w:r w:rsidRPr="00FF3736" w:rsidR="00DA0FD8">
        <w:rPr>
          <w:szCs w:val="26"/>
        </w:rPr>
        <w:t xml:space="preserve">to add a constructive termination </w:t>
      </w:r>
      <w:r w:rsidRPr="00FF3736" w:rsidR="00AC11AF">
        <w:rPr>
          <w:szCs w:val="26"/>
        </w:rPr>
        <w:t xml:space="preserve">provision </w:t>
      </w:r>
      <w:r w:rsidRPr="00FF3736">
        <w:rPr>
          <w:szCs w:val="26"/>
        </w:rPr>
        <w:t xml:space="preserve">do not exist in other contexts, and hence </w:t>
      </w:r>
      <w:r w:rsidRPr="00FF3736" w:rsidR="00360B13">
        <w:rPr>
          <w:szCs w:val="26"/>
        </w:rPr>
        <w:t xml:space="preserve">the </w:t>
      </w:r>
      <w:r w:rsidRPr="00FF3736">
        <w:rPr>
          <w:szCs w:val="26"/>
        </w:rPr>
        <w:t xml:space="preserve">California courts have </w:t>
      </w:r>
      <w:r w:rsidRPr="00FF3736" w:rsidR="00DA0FD8">
        <w:rPr>
          <w:szCs w:val="26"/>
        </w:rPr>
        <w:t xml:space="preserve">declined to add such a </w:t>
      </w:r>
      <w:r w:rsidRPr="00FF3736" w:rsidR="003617AC">
        <w:rPr>
          <w:szCs w:val="26"/>
        </w:rPr>
        <w:t xml:space="preserve">provision </w:t>
      </w:r>
      <w:r w:rsidRPr="00FF3736" w:rsidR="00DA0FD8">
        <w:rPr>
          <w:szCs w:val="26"/>
        </w:rPr>
        <w:t xml:space="preserve">in any other type of contract.  </w:t>
      </w:r>
      <w:r w:rsidRPr="00FF3736">
        <w:rPr>
          <w:szCs w:val="26"/>
        </w:rPr>
        <w:t xml:space="preserve">We </w:t>
      </w:r>
      <w:r w:rsidRPr="00FF3736" w:rsidR="00360B13">
        <w:rPr>
          <w:szCs w:val="26"/>
        </w:rPr>
        <w:t>also decline to do so.</w:t>
      </w:r>
    </w:p>
    <w:p w:rsidR="00012D15" w:rsidRPr="00FF3736" w:rsidP="00012D15" w14:paraId="7EEBD061" w14:textId="4D94348E">
      <w:pPr>
        <w:rPr>
          <w:szCs w:val="26"/>
        </w:rPr>
      </w:pPr>
      <w:r w:rsidRPr="00FF3736">
        <w:rPr>
          <w:szCs w:val="26"/>
        </w:rPr>
        <w:tab/>
        <w:t xml:space="preserve">Carolina Beverage </w:t>
      </w:r>
      <w:r w:rsidRPr="00FF3736" w:rsidR="00C672F9">
        <w:rPr>
          <w:szCs w:val="26"/>
        </w:rPr>
        <w:t xml:space="preserve">asserted in the trial court </w:t>
      </w:r>
      <w:r w:rsidRPr="00FF3736">
        <w:rPr>
          <w:szCs w:val="26"/>
        </w:rPr>
        <w:t xml:space="preserve">that at least one court purporting to apply California common law denied summary judgment on the ground that constructive termination of contracts generally is a viable theory.  The case is </w:t>
      </w:r>
      <w:r w:rsidRPr="00FF3736">
        <w:rPr>
          <w:i/>
          <w:iCs/>
          <w:szCs w:val="26"/>
        </w:rPr>
        <w:t xml:space="preserve">KST Data, Inc. v. Northrop Grumman Systems Corp. </w:t>
      </w:r>
      <w:r w:rsidRPr="00FF3736">
        <w:rPr>
          <w:szCs w:val="26"/>
        </w:rPr>
        <w:t>(C</w:t>
      </w:r>
      <w:r w:rsidR="00F80703">
        <w:rPr>
          <w:szCs w:val="26"/>
        </w:rPr>
        <w:t>.</w:t>
      </w:r>
      <w:r w:rsidRPr="00FF3736">
        <w:rPr>
          <w:szCs w:val="26"/>
        </w:rPr>
        <w:t>D.Cal.</w:t>
      </w:r>
      <w:r w:rsidRPr="005452C4" w:rsidR="005452C4">
        <w:rPr>
          <w:szCs w:val="26"/>
        </w:rPr>
        <w:t xml:space="preserve"> Apr. 17, 2019, No. CV 17-5125-MWF (PJWx</w:t>
      </w:r>
      <w:r w:rsidRPr="00FF3736">
        <w:rPr>
          <w:szCs w:val="26"/>
        </w:rPr>
        <w:t>)</w:t>
      </w:r>
      <w:r w:rsidR="005452C4">
        <w:rPr>
          <w:szCs w:val="26"/>
        </w:rPr>
        <w:t>)</w:t>
      </w:r>
      <w:r w:rsidRPr="00FF3736">
        <w:rPr>
          <w:szCs w:val="26"/>
        </w:rPr>
        <w:t xml:space="preserve"> 2019 U.S. Dist. L</w:t>
      </w:r>
      <w:r w:rsidR="005452C4">
        <w:rPr>
          <w:szCs w:val="26"/>
        </w:rPr>
        <w:t>exis</w:t>
      </w:r>
      <w:r w:rsidRPr="00FF3736">
        <w:rPr>
          <w:szCs w:val="26"/>
        </w:rPr>
        <w:t xml:space="preserve"> 113419.  </w:t>
      </w:r>
      <w:r w:rsidRPr="00FF3736">
        <w:rPr>
          <w:i/>
          <w:iCs/>
          <w:szCs w:val="26"/>
        </w:rPr>
        <w:t>KST</w:t>
      </w:r>
      <w:r w:rsidRPr="00FF3736">
        <w:rPr>
          <w:szCs w:val="26"/>
        </w:rPr>
        <w:t xml:space="preserve"> does appear to rule, implicitly at least, that constructive termination is a viable theory</w:t>
      </w:r>
      <w:r w:rsidR="00500BE0">
        <w:rPr>
          <w:szCs w:val="26"/>
        </w:rPr>
        <w:t xml:space="preserve"> in all contract actions</w:t>
      </w:r>
      <w:r w:rsidRPr="00FF3736">
        <w:rPr>
          <w:szCs w:val="26"/>
        </w:rPr>
        <w:t xml:space="preserve">.  Of course, </w:t>
      </w:r>
      <w:r w:rsidRPr="00FF3736">
        <w:rPr>
          <w:i/>
          <w:iCs/>
          <w:szCs w:val="26"/>
        </w:rPr>
        <w:t>KST</w:t>
      </w:r>
      <w:r w:rsidRPr="00FF3736">
        <w:rPr>
          <w:szCs w:val="26"/>
        </w:rPr>
        <w:t xml:space="preserve"> is an unpublished federal district court decision, which is</w:t>
      </w:r>
      <w:r w:rsidR="00A24457">
        <w:rPr>
          <w:szCs w:val="26"/>
        </w:rPr>
        <w:t>,</w:t>
      </w:r>
      <w:r w:rsidRPr="00FF3736">
        <w:rPr>
          <w:szCs w:val="26"/>
        </w:rPr>
        <w:t xml:space="preserve"> at best</w:t>
      </w:r>
      <w:r w:rsidR="00A24457">
        <w:rPr>
          <w:szCs w:val="26"/>
        </w:rPr>
        <w:t>,</w:t>
      </w:r>
      <w:r w:rsidRPr="00FF3736">
        <w:rPr>
          <w:szCs w:val="26"/>
        </w:rPr>
        <w:t xml:space="preserve"> persuasive authority</w:t>
      </w:r>
      <w:r w:rsidRPr="00FF3736" w:rsidR="00C672F9">
        <w:rPr>
          <w:szCs w:val="26"/>
        </w:rPr>
        <w:t xml:space="preserve"> and only if we find it persuasive</w:t>
      </w:r>
      <w:r w:rsidRPr="00FF3736">
        <w:rPr>
          <w:szCs w:val="26"/>
        </w:rPr>
        <w:t>.  (</w:t>
      </w:r>
      <w:r w:rsidRPr="00FF3736" w:rsidR="00E91E75">
        <w:rPr>
          <w:i/>
          <w:iCs/>
          <w:szCs w:val="26"/>
        </w:rPr>
        <w:t>Rohr Aircraft Corp. v. County of San Diego</w:t>
      </w:r>
      <w:r w:rsidRPr="00FF3736" w:rsidR="00E91E75">
        <w:t xml:space="preserve"> (1959) 51 Cal.2d 759, </w:t>
      </w:r>
      <w:r w:rsidR="00C720EA">
        <w:t>764</w:t>
      </w:r>
      <w:r w:rsidRPr="00FF3736" w:rsidR="00E91E75">
        <w:t xml:space="preserve">, revd. on other grounds (1960) 362 U.S. 628; </w:t>
      </w:r>
      <w:r w:rsidRPr="00FF3736" w:rsidR="00E91E75">
        <w:rPr>
          <w:i/>
          <w:iCs/>
        </w:rPr>
        <w:t>LG Chem, Ltd. v. Superior Court</w:t>
      </w:r>
      <w:r w:rsidRPr="00FF3736" w:rsidR="00E91E75">
        <w:t xml:space="preserve"> (2022) 80 Cal.App.5th 348, 371</w:t>
      </w:r>
      <w:r w:rsidRPr="00FF3736">
        <w:rPr>
          <w:szCs w:val="26"/>
        </w:rPr>
        <w:t xml:space="preserve">.)  </w:t>
      </w:r>
      <w:r w:rsidRPr="00FF3736" w:rsidR="00E3135C">
        <w:rPr>
          <w:szCs w:val="26"/>
        </w:rPr>
        <w:t>But</w:t>
      </w:r>
      <w:r w:rsidRPr="00FF3736">
        <w:rPr>
          <w:szCs w:val="26"/>
        </w:rPr>
        <w:t xml:space="preserve"> we do not</w:t>
      </w:r>
      <w:r w:rsidRPr="00FF3736" w:rsidR="00ED0930">
        <w:rPr>
          <w:szCs w:val="26"/>
        </w:rPr>
        <w:t>,</w:t>
      </w:r>
      <w:r w:rsidRPr="00FF3736">
        <w:rPr>
          <w:szCs w:val="26"/>
        </w:rPr>
        <w:t xml:space="preserve"> because it makes no effort to square its ruling with the whole of California law to the contrary.  </w:t>
      </w:r>
    </w:p>
    <w:p w:rsidR="00012D15" w:rsidRPr="00FF3736" w:rsidP="00012D15" w14:paraId="4BE17872" w14:textId="475A0EBC">
      <w:pPr>
        <w:rPr>
          <w:b/>
          <w:bCs/>
          <w:i/>
          <w:iCs/>
          <w:szCs w:val="26"/>
        </w:rPr>
      </w:pPr>
      <w:r w:rsidRPr="00FF3736">
        <w:rPr>
          <w:szCs w:val="26"/>
        </w:rPr>
        <w:tab/>
      </w:r>
      <w:r w:rsidRPr="00FF3736">
        <w:rPr>
          <w:b/>
          <w:bCs/>
          <w:szCs w:val="26"/>
        </w:rPr>
        <w:t>B.</w:t>
      </w:r>
      <w:r w:rsidRPr="00FF3736">
        <w:rPr>
          <w:b/>
          <w:bCs/>
          <w:szCs w:val="26"/>
        </w:rPr>
        <w:tab/>
      </w:r>
      <w:r w:rsidRPr="00FF3736">
        <w:rPr>
          <w:b/>
          <w:bCs/>
          <w:i/>
          <w:iCs/>
          <w:szCs w:val="26"/>
        </w:rPr>
        <w:t xml:space="preserve">The agreement in this case did not contain a constructive termination </w:t>
      </w:r>
      <w:r w:rsidRPr="00FF3736" w:rsidR="003F0C5A">
        <w:rPr>
          <w:b/>
          <w:bCs/>
          <w:i/>
          <w:iCs/>
          <w:szCs w:val="26"/>
        </w:rPr>
        <w:t>provision</w:t>
      </w:r>
    </w:p>
    <w:p w:rsidR="005B2518" w:rsidRPr="00FF3736" w:rsidP="00012D15" w14:paraId="399148B3" w14:textId="4E219E43">
      <w:pPr>
        <w:rPr>
          <w:szCs w:val="26"/>
        </w:rPr>
      </w:pPr>
      <w:r w:rsidRPr="00FF3736">
        <w:rPr>
          <w:szCs w:val="26"/>
        </w:rPr>
        <w:tab/>
      </w:r>
      <w:r w:rsidRPr="00FF3736" w:rsidR="00ED634B">
        <w:rPr>
          <w:szCs w:val="26"/>
        </w:rPr>
        <w:t>Alternatively</w:t>
      </w:r>
      <w:r w:rsidRPr="00FF3736">
        <w:rPr>
          <w:szCs w:val="26"/>
        </w:rPr>
        <w:t xml:space="preserve">, the agreement </w:t>
      </w:r>
      <w:r w:rsidRPr="00FF3736">
        <w:rPr>
          <w:i/>
          <w:iCs/>
          <w:szCs w:val="26"/>
        </w:rPr>
        <w:t>in this case</w:t>
      </w:r>
      <w:r w:rsidRPr="00FF3736">
        <w:rPr>
          <w:szCs w:val="26"/>
        </w:rPr>
        <w:t xml:space="preserve"> </w:t>
      </w:r>
      <w:r w:rsidRPr="00FF3736" w:rsidR="00FB5534">
        <w:rPr>
          <w:szCs w:val="26"/>
        </w:rPr>
        <w:t xml:space="preserve">unambiguously does not </w:t>
      </w:r>
      <w:r w:rsidRPr="00FF3736">
        <w:rPr>
          <w:szCs w:val="26"/>
        </w:rPr>
        <w:t xml:space="preserve">contain a constructive termination </w:t>
      </w:r>
      <w:r w:rsidRPr="00FF3736" w:rsidR="00FA108E">
        <w:rPr>
          <w:szCs w:val="26"/>
        </w:rPr>
        <w:t>provision</w:t>
      </w:r>
      <w:r w:rsidRPr="00FF3736">
        <w:rPr>
          <w:szCs w:val="26"/>
        </w:rPr>
        <w:t xml:space="preserve">, and the interpretation of the </w:t>
      </w:r>
      <w:r w:rsidRPr="00FF3736" w:rsidR="00FB5534">
        <w:rPr>
          <w:szCs w:val="26"/>
        </w:rPr>
        <w:t>unambiguous</w:t>
      </w:r>
      <w:r w:rsidRPr="00FF3736">
        <w:rPr>
          <w:szCs w:val="26"/>
        </w:rPr>
        <w:t xml:space="preserve"> text of a </w:t>
      </w:r>
      <w:r w:rsidRPr="00FF3736" w:rsidR="006D4D11">
        <w:rPr>
          <w:szCs w:val="26"/>
        </w:rPr>
        <w:t xml:space="preserve">contract </w:t>
      </w:r>
      <w:r w:rsidRPr="00FF3736">
        <w:rPr>
          <w:szCs w:val="26"/>
        </w:rPr>
        <w:t>presents a question of law we independently undertake.  (</w:t>
      </w:r>
      <w:r w:rsidRPr="00FF3736" w:rsidR="00FB5534">
        <w:rPr>
          <w:i/>
          <w:iCs/>
          <w:szCs w:val="26"/>
        </w:rPr>
        <w:t>Abifadel v. Cigna Ins. Co.</w:t>
      </w:r>
      <w:r w:rsidRPr="00FF3736" w:rsidR="00FB5534">
        <w:rPr>
          <w:szCs w:val="26"/>
        </w:rPr>
        <w:t xml:space="preserve"> (1992) 8 Cal.App.4th 145, 159; </w:t>
      </w:r>
      <w:r w:rsidRPr="00FF3736" w:rsidR="00FB5534">
        <w:rPr>
          <w:i/>
          <w:iCs/>
          <w:szCs w:val="26"/>
        </w:rPr>
        <w:t xml:space="preserve">Brown v. Goldstein </w:t>
      </w:r>
      <w:r w:rsidRPr="00FF3736" w:rsidR="00FB5534">
        <w:rPr>
          <w:szCs w:val="26"/>
        </w:rPr>
        <w:t>(2019) 34 Cal.App.5th 418, 433</w:t>
      </w:r>
      <w:r w:rsidR="003273DB">
        <w:rPr>
          <w:szCs w:val="26"/>
        </w:rPr>
        <w:t>.</w:t>
      </w:r>
      <w:r w:rsidRPr="00FF3736">
        <w:rPr>
          <w:szCs w:val="26"/>
        </w:rPr>
        <w:t>)</w:t>
      </w:r>
    </w:p>
    <w:p w:rsidR="00FB5534" w:rsidRPr="00FF3736" w:rsidP="00012D15" w14:paraId="17521F11" w14:textId="28A0C19B">
      <w:pPr>
        <w:rPr>
          <w:szCs w:val="26"/>
        </w:rPr>
      </w:pPr>
      <w:r w:rsidRPr="00FF3736">
        <w:rPr>
          <w:szCs w:val="26"/>
        </w:rPr>
        <w:tab/>
        <w:t xml:space="preserve">The agreement contains four different ways in which it may be terminated, and none of them is based on constructive termination of the agreement through a substantial breach of its provisions.  Not only does the agreement fail to declare a substantial breach to be a constructive termination, the agreement’s invasion clause </w:t>
      </w:r>
      <w:r w:rsidRPr="00FF3736">
        <w:rPr>
          <w:i/>
          <w:iCs/>
          <w:szCs w:val="26"/>
        </w:rPr>
        <w:t>specifically authorizes</w:t>
      </w:r>
      <w:r w:rsidRPr="00FF3736">
        <w:rPr>
          <w:szCs w:val="26"/>
        </w:rPr>
        <w:t xml:space="preserve"> FIJI to breach the agreement under certain circumstances and places no cap on how much of Carolina Beverage’s territory may be invaded.  Thus, the agreement does not allow for its constructive termination.</w:t>
      </w:r>
    </w:p>
    <w:p w:rsidR="00FB5534" w:rsidRPr="00FF3736" w:rsidP="00012D15" w14:paraId="2D67882D" w14:textId="32D6C3FC">
      <w:pPr>
        <w:rPr>
          <w:szCs w:val="26"/>
        </w:rPr>
      </w:pPr>
      <w:r w:rsidRPr="00FF3736">
        <w:rPr>
          <w:szCs w:val="26"/>
        </w:rPr>
        <w:tab/>
        <w:t xml:space="preserve">Carolina Beverage resists this conclusion with what boils down to </w:t>
      </w:r>
      <w:r w:rsidRPr="00FF3736" w:rsidR="00A54CAB">
        <w:rPr>
          <w:szCs w:val="26"/>
        </w:rPr>
        <w:t>two</w:t>
      </w:r>
      <w:r w:rsidRPr="00FF3736">
        <w:rPr>
          <w:szCs w:val="26"/>
        </w:rPr>
        <w:t xml:space="preserve"> arguments.</w:t>
      </w:r>
    </w:p>
    <w:p w:rsidR="00896961" w:rsidRPr="00FF3736" w:rsidP="00012D15" w14:paraId="3004053A" w14:textId="7AC1424F">
      <w:pPr>
        <w:rPr>
          <w:szCs w:val="26"/>
        </w:rPr>
      </w:pPr>
      <w:r w:rsidRPr="00FF3736">
        <w:rPr>
          <w:szCs w:val="26"/>
        </w:rPr>
        <w:tab/>
        <w:t xml:space="preserve">First, Carolina Beverage argues that the </w:t>
      </w:r>
      <w:r w:rsidRPr="00FF3736" w:rsidR="00BC0457">
        <w:rPr>
          <w:szCs w:val="26"/>
        </w:rPr>
        <w:t>agreement</w:t>
      </w:r>
      <w:r w:rsidRPr="00FF3736">
        <w:rPr>
          <w:szCs w:val="26"/>
        </w:rPr>
        <w:t xml:space="preserve"> is ambiguous because </w:t>
      </w:r>
      <w:r w:rsidRPr="00FF3736">
        <w:rPr>
          <w:szCs w:val="26"/>
        </w:rPr>
        <w:t>the term “termination” is undefined,</w:t>
      </w:r>
      <w:r>
        <w:rPr>
          <w:rStyle w:val="FootnoteReference"/>
          <w:b/>
          <w:bCs/>
          <w:szCs w:val="26"/>
        </w:rPr>
        <w:footnoteReference w:id="13"/>
      </w:r>
      <w:r w:rsidRPr="00DB48BF">
        <w:rPr>
          <w:b/>
          <w:bCs/>
          <w:szCs w:val="26"/>
        </w:rPr>
        <w:t xml:space="preserve"> </w:t>
      </w:r>
      <w:r w:rsidRPr="00FF3736">
        <w:rPr>
          <w:szCs w:val="26"/>
        </w:rPr>
        <w:t xml:space="preserve">because </w:t>
      </w:r>
      <w:r w:rsidRPr="00FF3736">
        <w:rPr>
          <w:szCs w:val="26"/>
        </w:rPr>
        <w:t>one of the agreement’s recitals refers to “industry standards</w:t>
      </w:r>
      <w:r w:rsidRPr="00FF3736">
        <w:rPr>
          <w:szCs w:val="26"/>
        </w:rPr>
        <w:t>,</w:t>
      </w:r>
      <w:r w:rsidRPr="00FF3736">
        <w:rPr>
          <w:szCs w:val="26"/>
        </w:rPr>
        <w:t>”</w:t>
      </w:r>
      <w:r w:rsidRPr="00FF3736">
        <w:rPr>
          <w:szCs w:val="26"/>
        </w:rPr>
        <w:t xml:space="preserve"> and because</w:t>
      </w:r>
      <w:r w:rsidRPr="00FF3736">
        <w:rPr>
          <w:szCs w:val="26"/>
        </w:rPr>
        <w:t xml:space="preserve"> </w:t>
      </w:r>
      <w:r w:rsidRPr="00FF3736">
        <w:rPr>
          <w:szCs w:val="26"/>
        </w:rPr>
        <w:t>Carolina Beverage offered</w:t>
      </w:r>
      <w:r w:rsidRPr="00FF3736" w:rsidR="00BC0457">
        <w:rPr>
          <w:szCs w:val="26"/>
        </w:rPr>
        <w:t xml:space="preserve"> </w:t>
      </w:r>
      <w:r w:rsidRPr="00FF3736">
        <w:rPr>
          <w:szCs w:val="26"/>
        </w:rPr>
        <w:t xml:space="preserve">testimony at trial that a manufacturer’s invasion of a </w:t>
      </w:r>
      <w:r w:rsidRPr="00FF3736" w:rsidR="00ED634B">
        <w:rPr>
          <w:szCs w:val="26"/>
        </w:rPr>
        <w:t xml:space="preserve">substantial portion of a </w:t>
      </w:r>
      <w:r w:rsidRPr="00FF3736">
        <w:rPr>
          <w:szCs w:val="26"/>
        </w:rPr>
        <w:t>distributor’s territory violates industry standards</w:t>
      </w:r>
      <w:r w:rsidRPr="00FF3736" w:rsidR="00BC0457">
        <w:rPr>
          <w:szCs w:val="26"/>
        </w:rPr>
        <w:t xml:space="preserve">; thus, Carolina Beverage continues, we must defer to the jury’s construction of the agreement </w:t>
      </w:r>
      <w:r w:rsidRPr="00FF3736" w:rsidR="00ED634B">
        <w:rPr>
          <w:szCs w:val="26"/>
        </w:rPr>
        <w:t>as</w:t>
      </w:r>
      <w:r w:rsidRPr="00FF3736" w:rsidR="00BC0457">
        <w:rPr>
          <w:szCs w:val="26"/>
        </w:rPr>
        <w:t xml:space="preserve"> contain</w:t>
      </w:r>
      <w:r w:rsidRPr="00FF3736" w:rsidR="00ED634B">
        <w:rPr>
          <w:szCs w:val="26"/>
        </w:rPr>
        <w:t>ing</w:t>
      </w:r>
      <w:r w:rsidRPr="00FF3736" w:rsidR="00BC0457">
        <w:rPr>
          <w:szCs w:val="26"/>
        </w:rPr>
        <w:t xml:space="preserve"> a </w:t>
      </w:r>
      <w:r w:rsidRPr="00FF3736">
        <w:rPr>
          <w:szCs w:val="26"/>
        </w:rPr>
        <w:t xml:space="preserve">constructive termination </w:t>
      </w:r>
      <w:r w:rsidRPr="00FF3736" w:rsidR="004D2F6F">
        <w:rPr>
          <w:szCs w:val="26"/>
        </w:rPr>
        <w:t xml:space="preserve">provision </w:t>
      </w:r>
      <w:r w:rsidRPr="00FF3736" w:rsidR="00BC0457">
        <w:rPr>
          <w:szCs w:val="26"/>
        </w:rPr>
        <w:t xml:space="preserve">because that construction is supported by substantial evidence.  </w:t>
      </w:r>
    </w:p>
    <w:p w:rsidR="00BC0457" w:rsidRPr="00FF3736" w:rsidP="00012D15" w14:paraId="48993BE2" w14:textId="511C8EBE">
      <w:pPr>
        <w:rPr>
          <w:szCs w:val="26"/>
        </w:rPr>
      </w:pPr>
      <w:r w:rsidRPr="00FF3736">
        <w:rPr>
          <w:szCs w:val="26"/>
        </w:rPr>
        <w:tab/>
        <w:t xml:space="preserve">We reject this argument for a few reasons.  </w:t>
      </w:r>
      <w:r w:rsidRPr="00FF3736">
        <w:rPr>
          <w:szCs w:val="26"/>
        </w:rPr>
        <w:t xml:space="preserve">As a threshold matter, Carolina Beverage misapprehends the pertinent standards of review.  Courts may consider extrinsic evidence for two purposes—namely, (1) to answer the threshold question of whether </w:t>
      </w:r>
      <w:r w:rsidRPr="00FF3736" w:rsidR="00E73EC7">
        <w:rPr>
          <w:szCs w:val="26"/>
        </w:rPr>
        <w:t>a</w:t>
      </w:r>
      <w:r w:rsidRPr="00FF3736">
        <w:rPr>
          <w:szCs w:val="26"/>
        </w:rPr>
        <w:t xml:space="preserve"> contract is “ambiguous” in the first place </w:t>
      </w:r>
      <w:r w:rsidRPr="00FF3736" w:rsidR="00E73EC7">
        <w:rPr>
          <w:szCs w:val="26"/>
        </w:rPr>
        <w:t xml:space="preserve">(that is, whether the contract’s terms are </w:t>
      </w:r>
      <w:r w:rsidRPr="00FF3736">
        <w:rPr>
          <w:szCs w:val="26"/>
        </w:rPr>
        <w:t>reasonably susceptible to more than one interpretation</w:t>
      </w:r>
      <w:r w:rsidRPr="00FF3736" w:rsidR="00E73EC7">
        <w:rPr>
          <w:szCs w:val="26"/>
        </w:rPr>
        <w:t>)</w:t>
      </w:r>
      <w:r w:rsidR="0010124B">
        <w:rPr>
          <w:szCs w:val="26"/>
        </w:rPr>
        <w:t>;</w:t>
      </w:r>
      <w:r w:rsidRPr="00FF3736">
        <w:rPr>
          <w:szCs w:val="26"/>
        </w:rPr>
        <w:t xml:space="preserve"> and (2) if the contract is ambiguous, to resolve that ambiguity.  Whether a contract is ambiguous as a threshold matter is a question of law for the court (</w:t>
      </w:r>
      <w:r w:rsidRPr="00FF3736">
        <w:rPr>
          <w:i/>
          <w:iCs/>
          <w:szCs w:val="26"/>
        </w:rPr>
        <w:t>Joseph v. City of Atwater</w:t>
      </w:r>
      <w:r w:rsidRPr="00FF3736">
        <w:rPr>
          <w:szCs w:val="26"/>
        </w:rPr>
        <w:t xml:space="preserve"> (2022) 74 Cal.App.5th 974, 982), and that is as far as our analysis needs to go</w:t>
      </w:r>
      <w:r w:rsidRPr="00FF3736" w:rsidR="00E73EC7">
        <w:rPr>
          <w:szCs w:val="26"/>
        </w:rPr>
        <w:t xml:space="preserve"> in this case because the agreement’s termination provisions are unambiguous</w:t>
      </w:r>
      <w:r w:rsidRPr="00FF3736">
        <w:rPr>
          <w:szCs w:val="26"/>
        </w:rPr>
        <w:t xml:space="preserve">; thus, Carolina Beverage is getting ahead of itself when it argues that we must defer to the jury’s construction of the agreement. </w:t>
      </w:r>
      <w:r w:rsidRPr="00FF3736" w:rsidR="00E73EC7">
        <w:rPr>
          <w:szCs w:val="26"/>
        </w:rPr>
        <w:t xml:space="preserve"> Why do we conclude that the agreement is unambiguous? </w:t>
      </w:r>
      <w:r w:rsidRPr="00FF3736">
        <w:rPr>
          <w:szCs w:val="26"/>
        </w:rPr>
        <w:t xml:space="preserve"> </w:t>
      </w:r>
      <w:r w:rsidRPr="00FF3736">
        <w:rPr>
          <w:szCs w:val="26"/>
        </w:rPr>
        <w:t xml:space="preserve">To begin with, the </w:t>
      </w:r>
      <w:r w:rsidRPr="00FF3736">
        <w:rPr>
          <w:szCs w:val="26"/>
        </w:rPr>
        <w:t>term</w:t>
      </w:r>
      <w:r w:rsidRPr="00FF3736">
        <w:rPr>
          <w:szCs w:val="26"/>
        </w:rPr>
        <w:t xml:space="preserve"> “termination” is not undefined or otherwise ambiguous.  The agreement, as noted above, defines four ways in which the agreement may be terminated; the fact that the agreement does not contain a sentence starting with “‘Termination’ means” is </w:t>
      </w:r>
      <w:r w:rsidRPr="00FF3736" w:rsidR="00E73EC7">
        <w:rPr>
          <w:szCs w:val="26"/>
        </w:rPr>
        <w:t xml:space="preserve">thus </w:t>
      </w:r>
      <w:r w:rsidRPr="00FF3736">
        <w:rPr>
          <w:szCs w:val="26"/>
        </w:rPr>
        <w:t xml:space="preserve">of no moment.  Further, </w:t>
      </w:r>
      <w:r w:rsidRPr="00FF3736" w:rsidR="00A34CFD">
        <w:rPr>
          <w:szCs w:val="26"/>
        </w:rPr>
        <w:t xml:space="preserve">although the recitals set forth in a contract may be examined to interpret a contract’s otherwise ambiguous operative terms (e.g., </w:t>
      </w:r>
      <w:r w:rsidRPr="00FF3736" w:rsidR="00A34CFD">
        <w:rPr>
          <w:i/>
          <w:iCs/>
          <w:szCs w:val="26"/>
        </w:rPr>
        <w:t>S</w:t>
      </w:r>
      <w:r w:rsidRPr="00FF3736" w:rsidR="004D2F6F">
        <w:rPr>
          <w:i/>
          <w:iCs/>
          <w:szCs w:val="26"/>
        </w:rPr>
        <w:t>a</w:t>
      </w:r>
      <w:r w:rsidRPr="00FF3736" w:rsidR="00A34CFD">
        <w:rPr>
          <w:i/>
          <w:iCs/>
          <w:szCs w:val="26"/>
        </w:rPr>
        <w:t>b</w:t>
      </w:r>
      <w:r w:rsidRPr="00FF3736" w:rsidR="004D2F6F">
        <w:rPr>
          <w:i/>
          <w:iCs/>
          <w:szCs w:val="26"/>
        </w:rPr>
        <w:t>e</w:t>
      </w:r>
      <w:r w:rsidRPr="00FF3736" w:rsidR="00A34CFD">
        <w:rPr>
          <w:i/>
          <w:iCs/>
          <w:szCs w:val="26"/>
        </w:rPr>
        <w:t>tian v. Exxon Mobil Corp.</w:t>
      </w:r>
      <w:r w:rsidRPr="00FF3736" w:rsidR="00A34CFD">
        <w:rPr>
          <w:szCs w:val="26"/>
        </w:rPr>
        <w:t xml:space="preserve"> (2020) 57 Cal.App.5th 1054, 1069-1070), the recital Carolina Beverage cites is irrelevant because (1) it </w:t>
      </w:r>
      <w:r w:rsidRPr="00FF3736" w:rsidR="004D2F6F">
        <w:rPr>
          <w:szCs w:val="26"/>
        </w:rPr>
        <w:t>can</w:t>
      </w:r>
      <w:r w:rsidRPr="00FF3736" w:rsidR="00A34CFD">
        <w:rPr>
          <w:szCs w:val="26"/>
        </w:rPr>
        <w:t>not be used to override the agreement’s otherwise unambiguous definition of termination</w:t>
      </w:r>
      <w:r w:rsidR="0010124B">
        <w:rPr>
          <w:szCs w:val="26"/>
        </w:rPr>
        <w:t>;</w:t>
      </w:r>
      <w:r w:rsidRPr="00FF3736" w:rsidR="00A34CFD">
        <w:rPr>
          <w:szCs w:val="26"/>
        </w:rPr>
        <w:t xml:space="preserve"> and (2) the recital itself at most applies industry standards </w:t>
      </w:r>
      <w:r w:rsidRPr="00FF3736" w:rsidR="00A34CFD">
        <w:rPr>
          <w:i/>
          <w:iCs/>
          <w:szCs w:val="26"/>
        </w:rPr>
        <w:t xml:space="preserve">to Carolina Beverage’s </w:t>
      </w:r>
      <w:r w:rsidRPr="00FF3736" w:rsidR="00A34CFD">
        <w:rPr>
          <w:szCs w:val="26"/>
        </w:rPr>
        <w:t xml:space="preserve">obligations and not FIJI’s, as </w:t>
      </w:r>
      <w:r w:rsidRPr="00FF3736" w:rsidR="00E73EC7">
        <w:rPr>
          <w:szCs w:val="26"/>
        </w:rPr>
        <w:t>the recital</w:t>
      </w:r>
      <w:r w:rsidRPr="00FF3736" w:rsidR="00A34CFD">
        <w:rPr>
          <w:szCs w:val="26"/>
        </w:rPr>
        <w:t xml:space="preserve"> </w:t>
      </w:r>
      <w:r w:rsidRPr="00FF3736" w:rsidR="00E73EC7">
        <w:rPr>
          <w:szCs w:val="26"/>
        </w:rPr>
        <w:t xml:space="preserve">merely </w:t>
      </w:r>
      <w:r w:rsidRPr="00FF3736" w:rsidR="00A34CFD">
        <w:rPr>
          <w:szCs w:val="26"/>
        </w:rPr>
        <w:t xml:space="preserve">declares FIJI’s “desire[] to retain [Carolina Beverage] to market and distribute its Products in the Sales Territory . . . in accordance with the </w:t>
      </w:r>
      <w:r w:rsidRPr="00FF3736" w:rsidR="00A34CFD">
        <w:rPr>
          <w:i/>
          <w:iCs/>
          <w:szCs w:val="26"/>
        </w:rPr>
        <w:t>highest industry standards</w:t>
      </w:r>
      <w:r w:rsidRPr="00FF3736" w:rsidR="00A34CFD">
        <w:rPr>
          <w:szCs w:val="26"/>
        </w:rPr>
        <w:t xml:space="preserve">.”  (Italics added.)  </w:t>
      </w:r>
      <w:r w:rsidRPr="00FF3736" w:rsidR="00E73EC7">
        <w:rPr>
          <w:szCs w:val="26"/>
        </w:rPr>
        <w:t>I</w:t>
      </w:r>
      <w:r w:rsidRPr="00FF3736" w:rsidR="00A34CFD">
        <w:rPr>
          <w:szCs w:val="26"/>
        </w:rPr>
        <w:t xml:space="preserve">t is </w:t>
      </w:r>
      <w:r w:rsidRPr="00FF3736" w:rsidR="00E73EC7">
        <w:rPr>
          <w:szCs w:val="26"/>
        </w:rPr>
        <w:t xml:space="preserve">also </w:t>
      </w:r>
      <w:r w:rsidRPr="00FF3736" w:rsidR="00A34CFD">
        <w:rPr>
          <w:szCs w:val="26"/>
        </w:rPr>
        <w:t>well settled that industry standards cannot “</w:t>
      </w:r>
      <w:r w:rsidR="002D28F5">
        <w:rPr>
          <w:szCs w:val="26"/>
        </w:rPr>
        <w:t>‘</w:t>
      </w:r>
      <w:r w:rsidRPr="00FF3736" w:rsidR="00A34CFD">
        <w:rPr>
          <w:szCs w:val="26"/>
        </w:rPr>
        <w:t xml:space="preserve">alter or vary the terms of </w:t>
      </w:r>
      <w:r w:rsidR="002D28F5">
        <w:rPr>
          <w:szCs w:val="26"/>
        </w:rPr>
        <w:t>[</w:t>
      </w:r>
      <w:r w:rsidRPr="00FF3736" w:rsidR="00A34CFD">
        <w:rPr>
          <w:szCs w:val="26"/>
        </w:rPr>
        <w:t>a</w:t>
      </w:r>
      <w:r w:rsidR="002D28F5">
        <w:rPr>
          <w:szCs w:val="26"/>
        </w:rPr>
        <w:t>]</w:t>
      </w:r>
      <w:r w:rsidRPr="00FF3736" w:rsidR="00A34CFD">
        <w:rPr>
          <w:szCs w:val="26"/>
        </w:rPr>
        <w:t xml:space="preserve"> contract.</w:t>
      </w:r>
      <w:r w:rsidR="002D28F5">
        <w:rPr>
          <w:szCs w:val="26"/>
        </w:rPr>
        <w:t>’</w:t>
      </w:r>
      <w:r w:rsidRPr="00FF3736" w:rsidR="00A34CFD">
        <w:rPr>
          <w:szCs w:val="26"/>
        </w:rPr>
        <w:t>”  (</w:t>
      </w:r>
      <w:r w:rsidRPr="00FF3736" w:rsidR="00A34CFD">
        <w:rPr>
          <w:i/>
          <w:iCs/>
          <w:szCs w:val="26"/>
        </w:rPr>
        <w:t>Cal. Lettuce Growers v. Union Sugar Co.</w:t>
      </w:r>
      <w:r w:rsidRPr="00FF3736" w:rsidR="00A34CFD">
        <w:rPr>
          <w:szCs w:val="26"/>
        </w:rPr>
        <w:t xml:space="preserve"> (1955) 45 Cal.2d 474, 482</w:t>
      </w:r>
      <w:r w:rsidRPr="00FF3736" w:rsidR="002C34B9">
        <w:rPr>
          <w:szCs w:val="26"/>
        </w:rPr>
        <w:t xml:space="preserve"> (</w:t>
      </w:r>
      <w:r w:rsidRPr="00FF3736" w:rsidR="002C34B9">
        <w:rPr>
          <w:i/>
          <w:iCs/>
          <w:szCs w:val="26"/>
        </w:rPr>
        <w:t>Cal. Lettuce Growers</w:t>
      </w:r>
      <w:r w:rsidRPr="00FF3736" w:rsidR="002C34B9">
        <w:rPr>
          <w:szCs w:val="26"/>
        </w:rPr>
        <w:t>)</w:t>
      </w:r>
      <w:r w:rsidRPr="00FF3736" w:rsidR="00A34CFD">
        <w:rPr>
          <w:szCs w:val="26"/>
        </w:rPr>
        <w:t xml:space="preserve">.)  </w:t>
      </w:r>
    </w:p>
    <w:p w:rsidR="00A54CAB" w:rsidRPr="00FF3736" w:rsidP="00012D15" w14:paraId="5FDB1C1B" w14:textId="333205CD">
      <w:pPr>
        <w:rPr>
          <w:szCs w:val="26"/>
        </w:rPr>
      </w:pPr>
      <w:r w:rsidRPr="00FF3736">
        <w:rPr>
          <w:szCs w:val="26"/>
        </w:rPr>
        <w:tab/>
        <w:t xml:space="preserve">Second, </w:t>
      </w:r>
      <w:r w:rsidRPr="00FF3736">
        <w:rPr>
          <w:szCs w:val="26"/>
        </w:rPr>
        <w:t xml:space="preserve">Carolina Beverage argues that, absent a constructive termination </w:t>
      </w:r>
      <w:r w:rsidRPr="00FF3736" w:rsidR="00B21CC5">
        <w:rPr>
          <w:szCs w:val="26"/>
        </w:rPr>
        <w:t xml:space="preserve">provision </w:t>
      </w:r>
      <w:r w:rsidRPr="00FF3736">
        <w:rPr>
          <w:szCs w:val="26"/>
        </w:rPr>
        <w:t xml:space="preserve">that renders it eligible for the termination payment, it is left without a remedy because the agreement elsewhere prohibits it from recovering “any </w:t>
      </w:r>
      <w:r w:rsidR="00305981">
        <w:rPr>
          <w:szCs w:val="26"/>
        </w:rPr>
        <w:t xml:space="preserve">. . . </w:t>
      </w:r>
      <w:r w:rsidRPr="00FF3736">
        <w:rPr>
          <w:szCs w:val="26"/>
        </w:rPr>
        <w:t xml:space="preserve">special, indirect, consequential,” “lost profits or lost business” damages. </w:t>
      </w:r>
    </w:p>
    <w:p w:rsidR="00A1725B" w:rsidP="002C34B9" w14:paraId="56AF280F" w14:textId="77777777">
      <w:pPr>
        <w:ind w:firstLine="720"/>
        <w:rPr>
          <w:szCs w:val="26"/>
        </w:rPr>
      </w:pPr>
      <w:r w:rsidRPr="00FF3736">
        <w:rPr>
          <w:szCs w:val="26"/>
        </w:rPr>
        <w:t xml:space="preserve">We reject this argument as well.  For starters, any shortage of available remedies is a function of the agreement </w:t>
      </w:r>
      <w:r w:rsidRPr="00FF3736">
        <w:rPr>
          <w:i/>
          <w:iCs/>
          <w:szCs w:val="26"/>
        </w:rPr>
        <w:t>that Carolina Beverage itself</w:t>
      </w:r>
      <w:r w:rsidRPr="00FF3736">
        <w:rPr>
          <w:szCs w:val="26"/>
        </w:rPr>
        <w:t xml:space="preserve"> negotiated; where, as here, two sophisticated and longstanding commercial businesses negotiate a contract, they </w:t>
      </w:r>
      <w:r w:rsidRPr="00FF3736" w:rsidR="00D70634">
        <w:rPr>
          <w:szCs w:val="26"/>
        </w:rPr>
        <w:t xml:space="preserve">are stuck with </w:t>
      </w:r>
      <w:r w:rsidRPr="00FF3736">
        <w:rPr>
          <w:szCs w:val="26"/>
        </w:rPr>
        <w:t>the terms of that contract.  (</w:t>
      </w:r>
      <w:r w:rsidRPr="00FF3736" w:rsidR="00D70634">
        <w:rPr>
          <w:i/>
          <w:iCs/>
          <w:szCs w:val="26"/>
        </w:rPr>
        <w:t>Rogoff v. Grabowski</w:t>
      </w:r>
      <w:r w:rsidRPr="00FF3736" w:rsidR="00D70634">
        <w:rPr>
          <w:szCs w:val="26"/>
        </w:rPr>
        <w:t xml:space="preserve"> (1988) 200 Cal.App.3d 624, 629 [“</w:t>
      </w:r>
      <w:r w:rsidRPr="00FF3736" w:rsidR="000C68B9">
        <w:rPr>
          <w:szCs w:val="26"/>
        </w:rPr>
        <w:t>[i]</w:t>
      </w:r>
      <w:r w:rsidRPr="00FF3736" w:rsidR="00D70634">
        <w:rPr>
          <w:szCs w:val="26"/>
        </w:rPr>
        <w:t>n commercial contracts</w:t>
      </w:r>
      <w:r w:rsidR="00822873">
        <w:rPr>
          <w:szCs w:val="26"/>
        </w:rPr>
        <w:t>,</w:t>
      </w:r>
      <w:r w:rsidRPr="00FF3736" w:rsidR="00D70634">
        <w:rPr>
          <w:szCs w:val="26"/>
        </w:rPr>
        <w:t xml:space="preserve"> . . . ‘parties of roughly equal bargaining power are free to shape the contours of their agreement</w:t>
      </w:r>
      <w:r w:rsidRPr="00FF3736" w:rsidR="00E73EC7">
        <w:rPr>
          <w:szCs w:val="26"/>
        </w:rPr>
        <w:t>’</w:t>
      </w:r>
      <w:r w:rsidRPr="00FF3736" w:rsidR="00D70634">
        <w:rPr>
          <w:szCs w:val="26"/>
        </w:rPr>
        <w:t>”]; e</w:t>
      </w:r>
      <w:r w:rsidRPr="00FF3736" w:rsidR="002C34B9">
        <w:rPr>
          <w:szCs w:val="26"/>
        </w:rPr>
        <w:t xml:space="preserve">.g., </w:t>
      </w:r>
      <w:r w:rsidRPr="00FF3736" w:rsidR="002C34B9">
        <w:rPr>
          <w:i/>
          <w:iCs/>
          <w:szCs w:val="26"/>
        </w:rPr>
        <w:t>Tunkl v. Regents of Univ</w:t>
      </w:r>
      <w:r w:rsidR="00822873">
        <w:rPr>
          <w:i/>
          <w:iCs/>
          <w:szCs w:val="26"/>
        </w:rPr>
        <w:t>ersity</w:t>
      </w:r>
      <w:r w:rsidRPr="00FF3736" w:rsidR="002C34B9">
        <w:rPr>
          <w:i/>
          <w:iCs/>
          <w:szCs w:val="26"/>
        </w:rPr>
        <w:t xml:space="preserve"> of Cal.</w:t>
      </w:r>
      <w:r w:rsidRPr="00FF3736" w:rsidR="002C34B9">
        <w:rPr>
          <w:szCs w:val="26"/>
        </w:rPr>
        <w:t xml:space="preserve"> (1963) 60 Cal.2d 92, 10</w:t>
      </w:r>
      <w:r w:rsidR="000C7CA0">
        <w:rPr>
          <w:szCs w:val="26"/>
        </w:rPr>
        <w:t>1</w:t>
      </w:r>
      <w:r w:rsidRPr="00FF3736" w:rsidR="002C34B9">
        <w:rPr>
          <w:szCs w:val="26"/>
        </w:rPr>
        <w:t xml:space="preserve"> [“no public policy opposes private, voluntary transactions in which one part</w:t>
      </w:r>
      <w:r w:rsidRPr="00FF3736" w:rsidR="000C68B9">
        <w:rPr>
          <w:szCs w:val="26"/>
        </w:rPr>
        <w:t>y</w:t>
      </w:r>
      <w:r w:rsidRPr="00FF3736" w:rsidR="002C34B9">
        <w:rPr>
          <w:szCs w:val="26"/>
        </w:rPr>
        <w:t xml:space="preserve">, for a consideration, agrees to shoulder a risk which the law would otherwise </w:t>
      </w:r>
      <w:r w:rsidR="000C7CA0">
        <w:rPr>
          <w:szCs w:val="26"/>
        </w:rPr>
        <w:t xml:space="preserve">have </w:t>
      </w:r>
      <w:r w:rsidRPr="00FF3736" w:rsidR="002C34B9">
        <w:rPr>
          <w:szCs w:val="26"/>
        </w:rPr>
        <w:t>place</w:t>
      </w:r>
      <w:r w:rsidR="000C7CA0">
        <w:rPr>
          <w:szCs w:val="26"/>
        </w:rPr>
        <w:t>d</w:t>
      </w:r>
      <w:r w:rsidRPr="00FF3736" w:rsidR="002C34B9">
        <w:rPr>
          <w:szCs w:val="26"/>
        </w:rPr>
        <w:t xml:space="preserve"> upon the other party”].</w:t>
      </w:r>
      <w:r w:rsidRPr="00FF3736">
        <w:rPr>
          <w:szCs w:val="26"/>
        </w:rPr>
        <w:t xml:space="preserve">)  To the extent Carolina Beverage feels that the agreement is unconscionable, it had the right to raise that challenge but opted not to do so.  </w:t>
      </w:r>
      <w:r w:rsidRPr="00FF3736" w:rsidR="006F0A83">
        <w:rPr>
          <w:szCs w:val="26"/>
        </w:rPr>
        <w:t>(</w:t>
      </w:r>
      <w:r w:rsidRPr="00FF3736" w:rsidR="006F0A83">
        <w:rPr>
          <w:i/>
          <w:iCs/>
          <w:szCs w:val="26"/>
        </w:rPr>
        <w:t xml:space="preserve">Food Safety Net Services v. Eco Safe Systems USA, Inc. </w:t>
      </w:r>
      <w:r w:rsidRPr="00FF3736" w:rsidR="006F0A83">
        <w:rPr>
          <w:szCs w:val="26"/>
        </w:rPr>
        <w:t>(2012) 209 Cal.App.4th 1118, 1127 [</w:t>
      </w:r>
      <w:r w:rsidRPr="00FF3736" w:rsidR="001362CC">
        <w:rPr>
          <w:szCs w:val="26"/>
        </w:rPr>
        <w:t>limitation</w:t>
      </w:r>
      <w:r w:rsidR="00720DF7">
        <w:rPr>
          <w:szCs w:val="26"/>
        </w:rPr>
        <w:t xml:space="preserve"> </w:t>
      </w:r>
      <w:r w:rsidRPr="00FF3736" w:rsidR="001362CC">
        <w:rPr>
          <w:szCs w:val="26"/>
        </w:rPr>
        <w:t>of</w:t>
      </w:r>
      <w:r w:rsidR="00720DF7">
        <w:rPr>
          <w:szCs w:val="26"/>
        </w:rPr>
        <w:t xml:space="preserve"> </w:t>
      </w:r>
      <w:r w:rsidRPr="00FF3736" w:rsidR="001362CC">
        <w:rPr>
          <w:szCs w:val="26"/>
        </w:rPr>
        <w:t>liability clause valid and enforceable unless unconscionable].)</w:t>
      </w:r>
      <w:r w:rsidRPr="00FF3736" w:rsidR="006F0A83">
        <w:rPr>
          <w:szCs w:val="26"/>
        </w:rPr>
        <w:t xml:space="preserve"> </w:t>
      </w:r>
      <w:r w:rsidRPr="00FF3736" w:rsidR="00C548A0">
        <w:rPr>
          <w:szCs w:val="26"/>
        </w:rPr>
        <w:t xml:space="preserve"> </w:t>
      </w:r>
      <w:r w:rsidRPr="00FF3736">
        <w:rPr>
          <w:szCs w:val="26"/>
        </w:rPr>
        <w:t xml:space="preserve">Moreover, the limitations-of-damages clause did not deprive Carolina Beverage of </w:t>
      </w:r>
      <w:r w:rsidRPr="00FF3736">
        <w:rPr>
          <w:i/>
          <w:iCs/>
          <w:szCs w:val="26"/>
        </w:rPr>
        <w:t>all</w:t>
      </w:r>
      <w:r w:rsidRPr="00FF3736">
        <w:rPr>
          <w:szCs w:val="26"/>
        </w:rPr>
        <w:t xml:space="preserve"> remedies because it specifically negotiated a right to an invasion </w:t>
      </w:r>
      <w:r w:rsidRPr="00FF3736" w:rsidR="007268F7">
        <w:rPr>
          <w:szCs w:val="26"/>
        </w:rPr>
        <w:t xml:space="preserve">fee </w:t>
      </w:r>
      <w:r w:rsidRPr="00FF3736">
        <w:rPr>
          <w:szCs w:val="26"/>
        </w:rPr>
        <w:t>should FIJI invade its territory, as it did here.  Carolin</w:t>
      </w:r>
      <w:r w:rsidRPr="00FF3736" w:rsidR="002C34B9">
        <w:rPr>
          <w:szCs w:val="26"/>
        </w:rPr>
        <w:t>a</w:t>
      </w:r>
      <w:r w:rsidRPr="00FF3736">
        <w:rPr>
          <w:szCs w:val="26"/>
        </w:rPr>
        <w:t xml:space="preserve"> Beverage</w:t>
      </w:r>
      <w:r w:rsidRPr="00FF3736" w:rsidR="002C34B9">
        <w:rPr>
          <w:szCs w:val="26"/>
        </w:rPr>
        <w:t xml:space="preserve"> has </w:t>
      </w:r>
      <w:r w:rsidRPr="00FF3736" w:rsidR="007268F7">
        <w:rPr>
          <w:szCs w:val="26"/>
        </w:rPr>
        <w:t>only</w:t>
      </w:r>
      <w:r w:rsidRPr="00FF3736" w:rsidR="002C34B9">
        <w:rPr>
          <w:szCs w:val="26"/>
        </w:rPr>
        <w:t xml:space="preserve"> itself to blame for its </w:t>
      </w:r>
      <w:r w:rsidRPr="00FF3736">
        <w:rPr>
          <w:szCs w:val="26"/>
        </w:rPr>
        <w:t xml:space="preserve">tactical decision not to pursue the invasion </w:t>
      </w:r>
      <w:r w:rsidRPr="00FF3736" w:rsidR="007268F7">
        <w:rPr>
          <w:szCs w:val="26"/>
        </w:rPr>
        <w:t xml:space="preserve">fee </w:t>
      </w:r>
      <w:r w:rsidRPr="00FF3736" w:rsidR="00D70634">
        <w:rPr>
          <w:szCs w:val="26"/>
        </w:rPr>
        <w:t>at trial</w:t>
      </w:r>
      <w:r w:rsidRPr="00FF3736" w:rsidR="002C34B9">
        <w:rPr>
          <w:szCs w:val="26"/>
        </w:rPr>
        <w:t xml:space="preserve">.  </w:t>
      </w:r>
    </w:p>
    <w:p w:rsidR="00A54CAB" w:rsidRPr="00FF3736" w:rsidP="00A1725B" w14:paraId="6AD0CE59" w14:textId="15FBCE07">
      <w:pPr>
        <w:ind w:firstLine="720"/>
        <w:rPr>
          <w:szCs w:val="26"/>
        </w:rPr>
      </w:pPr>
      <w:r w:rsidRPr="00FF3736">
        <w:rPr>
          <w:szCs w:val="26"/>
        </w:rPr>
        <w:t xml:space="preserve">Carolina Beverage elsewhere argues that the invasion </w:t>
      </w:r>
      <w:r w:rsidRPr="00FF3736" w:rsidR="007268F7">
        <w:rPr>
          <w:szCs w:val="26"/>
        </w:rPr>
        <w:t xml:space="preserve">provision </w:t>
      </w:r>
      <w:r w:rsidRPr="00FF3736">
        <w:rPr>
          <w:szCs w:val="26"/>
        </w:rPr>
        <w:t xml:space="preserve">did not apply here </w:t>
      </w:r>
      <w:r w:rsidR="00A1725B">
        <w:rPr>
          <w:szCs w:val="26"/>
        </w:rPr>
        <w:t xml:space="preserve">for several reasons.  It argues that the invasion provision did not apply </w:t>
      </w:r>
      <w:r w:rsidRPr="00FF3736">
        <w:rPr>
          <w:szCs w:val="26"/>
        </w:rPr>
        <w:t xml:space="preserve">because the retailers FIJI invaded were not qualifying “national accounts,” but </w:t>
      </w:r>
      <w:r w:rsidRPr="00FF3736">
        <w:rPr>
          <w:i/>
          <w:iCs/>
          <w:szCs w:val="26"/>
        </w:rPr>
        <w:t>FIJI</w:t>
      </w:r>
      <w:r w:rsidRPr="00FF3736">
        <w:rPr>
          <w:szCs w:val="26"/>
        </w:rPr>
        <w:t xml:space="preserve">’s </w:t>
      </w:r>
      <w:r w:rsidR="00500BE0">
        <w:rPr>
          <w:szCs w:val="26"/>
        </w:rPr>
        <w:t xml:space="preserve">self-professed </w:t>
      </w:r>
      <w:r w:rsidRPr="00FF3736">
        <w:rPr>
          <w:szCs w:val="26"/>
        </w:rPr>
        <w:t xml:space="preserve">noncompliance with the </w:t>
      </w:r>
      <w:r w:rsidRPr="00FF3736" w:rsidR="005041CE">
        <w:rPr>
          <w:szCs w:val="26"/>
        </w:rPr>
        <w:t xml:space="preserve">provision </w:t>
      </w:r>
      <w:r w:rsidRPr="00FF3736">
        <w:rPr>
          <w:szCs w:val="26"/>
        </w:rPr>
        <w:t xml:space="preserve">did not deprive </w:t>
      </w:r>
      <w:r w:rsidRPr="00FF3736">
        <w:rPr>
          <w:i/>
          <w:iCs/>
          <w:szCs w:val="26"/>
        </w:rPr>
        <w:t>Carolina Beverage</w:t>
      </w:r>
      <w:r w:rsidRPr="00FF3736">
        <w:rPr>
          <w:szCs w:val="26"/>
        </w:rPr>
        <w:t xml:space="preserve"> from seeking a remedy under that </w:t>
      </w:r>
      <w:r w:rsidRPr="00FF3736" w:rsidR="00EB2CCE">
        <w:rPr>
          <w:szCs w:val="26"/>
        </w:rPr>
        <w:t>provision</w:t>
      </w:r>
      <w:r w:rsidRPr="00FF3736">
        <w:rPr>
          <w:szCs w:val="26"/>
        </w:rPr>
        <w:t xml:space="preserve">.  </w:t>
      </w:r>
      <w:r w:rsidR="00A1725B">
        <w:rPr>
          <w:szCs w:val="26"/>
        </w:rPr>
        <w:t xml:space="preserve">It </w:t>
      </w:r>
      <w:r w:rsidRPr="00FF3736" w:rsidR="00E73EC7">
        <w:rPr>
          <w:szCs w:val="26"/>
        </w:rPr>
        <w:t xml:space="preserve">argues that the invasion </w:t>
      </w:r>
      <w:r w:rsidRPr="00FF3736" w:rsidR="007046C5">
        <w:rPr>
          <w:szCs w:val="26"/>
        </w:rPr>
        <w:t xml:space="preserve">provision </w:t>
      </w:r>
      <w:r w:rsidRPr="00FF3736" w:rsidR="00E73EC7">
        <w:rPr>
          <w:szCs w:val="26"/>
        </w:rPr>
        <w:t>did not apply here, pointing to te</w:t>
      </w:r>
      <w:r w:rsidRPr="00FF3736">
        <w:rPr>
          <w:szCs w:val="26"/>
        </w:rPr>
        <w:t xml:space="preserve">stimony it </w:t>
      </w:r>
      <w:r w:rsidRPr="00FF3736" w:rsidR="00E73EC7">
        <w:rPr>
          <w:szCs w:val="26"/>
        </w:rPr>
        <w:t>elicited</w:t>
      </w:r>
      <w:r w:rsidRPr="00FF3736">
        <w:rPr>
          <w:szCs w:val="26"/>
        </w:rPr>
        <w:t xml:space="preserve"> at trial that, under industry standards, invasion rights are meant to contemplate only “one</w:t>
      </w:r>
      <w:r w:rsidR="00C3677E">
        <w:rPr>
          <w:szCs w:val="26"/>
        </w:rPr>
        <w:t>-</w:t>
      </w:r>
      <w:r w:rsidRPr="00FF3736">
        <w:rPr>
          <w:szCs w:val="26"/>
        </w:rPr>
        <w:t>off” invasions rather than the deep incursion FIJI mounted in this case</w:t>
      </w:r>
      <w:r w:rsidRPr="00FF3736" w:rsidR="00E73EC7">
        <w:rPr>
          <w:szCs w:val="26"/>
        </w:rPr>
        <w:t xml:space="preserve">; however, </w:t>
      </w:r>
      <w:r w:rsidRPr="00FF3736">
        <w:rPr>
          <w:szCs w:val="26"/>
        </w:rPr>
        <w:t>this industry-standards testimony contradicts the plain text of the agreement</w:t>
      </w:r>
      <w:r w:rsidRPr="00FF3736" w:rsidR="00E73EC7">
        <w:rPr>
          <w:szCs w:val="26"/>
        </w:rPr>
        <w:t xml:space="preserve">, which </w:t>
      </w:r>
      <w:r w:rsidRPr="00FF3736">
        <w:rPr>
          <w:szCs w:val="26"/>
        </w:rPr>
        <w:t xml:space="preserve">imposes no </w:t>
      </w:r>
      <w:r w:rsidRPr="00FF3736" w:rsidR="00E73EC7">
        <w:rPr>
          <w:szCs w:val="26"/>
        </w:rPr>
        <w:t xml:space="preserve">such </w:t>
      </w:r>
      <w:r w:rsidRPr="00FF3736">
        <w:rPr>
          <w:szCs w:val="26"/>
        </w:rPr>
        <w:t>“one time only” or “maximum invasion percentage” limits.  As noted above, industry standards cannot be used to rewrite a contract.  (</w:t>
      </w:r>
      <w:r w:rsidRPr="00FF3736">
        <w:rPr>
          <w:i/>
          <w:iCs/>
          <w:szCs w:val="26"/>
        </w:rPr>
        <w:t>Cal. Lettuce Growers</w:t>
      </w:r>
      <w:r w:rsidRPr="00DB48BF">
        <w:rPr>
          <w:szCs w:val="26"/>
        </w:rPr>
        <w:t>,</w:t>
      </w:r>
      <w:r w:rsidRPr="00FF3736">
        <w:rPr>
          <w:i/>
          <w:iCs/>
          <w:szCs w:val="26"/>
        </w:rPr>
        <w:t xml:space="preserve"> supra</w:t>
      </w:r>
      <w:r w:rsidRPr="00FF3736">
        <w:rPr>
          <w:szCs w:val="26"/>
        </w:rPr>
        <w:t>, 45 Cal.2d at p. 482.)</w:t>
      </w:r>
      <w:r w:rsidR="00A1725B">
        <w:rPr>
          <w:szCs w:val="26"/>
        </w:rPr>
        <w:t xml:space="preserve">  For the first time at oral argument, Carolina Beverage argued that the invasion provision did not apply because it is triggered when “FIJI may be presented with opportunities to sell and deliver Products directly” and the use of the passive voice implies that those opportunities must come to FIJI rather FIJI seeking out such opportunities.  We decline to read a shift in verb tense as effecting a massive restriction on a right that the provision otherwise entrusts to FIJI’s “sole discretion.”  Also for the first time at oral argument, Carolina Beverage argued that the invasion provision has a maximum percentage of permissible invasion because, elsewhere in the agreement, Carolina Beverage’s failure to achieve at least 85 percent of its “mutually agreed upon sales goals” is a basis for FIJI to terminate the agreement.  We do not see</w:t>
      </w:r>
      <w:r w:rsidR="00571C66">
        <w:rPr>
          <w:szCs w:val="26"/>
        </w:rPr>
        <w:t xml:space="preserve"> a</w:t>
      </w:r>
      <w:r w:rsidR="00A1725B">
        <w:rPr>
          <w:szCs w:val="26"/>
        </w:rPr>
        <w:t xml:space="preserve"> connection between the two unrelated provisions, especially since any invasion by FIJI would necessarily reduce the mutually agreed upon sales goals. </w:t>
      </w:r>
    </w:p>
    <w:p w:rsidR="00320577" w:rsidRPr="00FF3736" w:rsidP="00A1725B" w14:paraId="3550ABC3" w14:textId="0B067F3F">
      <w:pPr>
        <w:ind w:firstLine="720"/>
        <w:rPr>
          <w:b/>
          <w:bCs/>
          <w:i/>
          <w:iCs/>
          <w:szCs w:val="26"/>
        </w:rPr>
      </w:pPr>
      <w:r w:rsidRPr="00FF3736">
        <w:rPr>
          <w:b/>
          <w:bCs/>
          <w:szCs w:val="26"/>
        </w:rPr>
        <w:t>C.</w:t>
      </w:r>
      <w:r w:rsidRPr="00FF3736">
        <w:rPr>
          <w:b/>
          <w:bCs/>
          <w:szCs w:val="26"/>
        </w:rPr>
        <w:tab/>
      </w:r>
      <w:r w:rsidRPr="00FF3736">
        <w:rPr>
          <w:b/>
          <w:bCs/>
          <w:i/>
          <w:iCs/>
          <w:szCs w:val="26"/>
        </w:rPr>
        <w:t>Carolina Beverage cannot avail itself of constructive termination, even if such a theory were applied</w:t>
      </w:r>
    </w:p>
    <w:p w:rsidR="00320577" w:rsidRPr="00FF3736" w:rsidP="002C34B9" w14:paraId="7991813E" w14:textId="0B102241">
      <w:pPr>
        <w:ind w:firstLine="720"/>
      </w:pPr>
      <w:r w:rsidRPr="00FF3736">
        <w:rPr>
          <w:szCs w:val="26"/>
        </w:rPr>
        <w:t xml:space="preserve">Even if we </w:t>
      </w:r>
      <w:r w:rsidRPr="00FF3736" w:rsidR="00E73EC7">
        <w:rPr>
          <w:szCs w:val="26"/>
        </w:rPr>
        <w:t xml:space="preserve">were to </w:t>
      </w:r>
      <w:r w:rsidRPr="00FF3736">
        <w:rPr>
          <w:szCs w:val="26"/>
        </w:rPr>
        <w:t>assume (contrary to our holding</w:t>
      </w:r>
      <w:r w:rsidRPr="00FF3736" w:rsidR="00E73EC7">
        <w:rPr>
          <w:szCs w:val="26"/>
        </w:rPr>
        <w:t>s</w:t>
      </w:r>
      <w:r w:rsidRPr="00FF3736">
        <w:rPr>
          <w:szCs w:val="26"/>
        </w:rPr>
        <w:t xml:space="preserve">) that constructive termination were a viable theory under </w:t>
      </w:r>
      <w:r w:rsidRPr="00FF3736" w:rsidR="00E73EC7">
        <w:rPr>
          <w:szCs w:val="26"/>
        </w:rPr>
        <w:t xml:space="preserve">either </w:t>
      </w:r>
      <w:r w:rsidRPr="00FF3736">
        <w:rPr>
          <w:szCs w:val="26"/>
        </w:rPr>
        <w:t xml:space="preserve">the common law </w:t>
      </w:r>
      <w:r w:rsidRPr="00FF3736" w:rsidR="00E73EC7">
        <w:rPr>
          <w:szCs w:val="26"/>
        </w:rPr>
        <w:t xml:space="preserve">or </w:t>
      </w:r>
      <w:r w:rsidRPr="00FF3736">
        <w:rPr>
          <w:szCs w:val="26"/>
        </w:rPr>
        <w:t>th</w:t>
      </w:r>
      <w:r w:rsidRPr="00FF3736" w:rsidR="00A916D1">
        <w:rPr>
          <w:szCs w:val="26"/>
        </w:rPr>
        <w:t>e</w:t>
      </w:r>
      <w:r w:rsidRPr="00FF3736">
        <w:rPr>
          <w:szCs w:val="26"/>
        </w:rPr>
        <w:t xml:space="preserve"> agreement, the contract-based verdicts in Carolina Beverage’s favor must </w:t>
      </w:r>
      <w:r w:rsidRPr="00FF3736" w:rsidR="00E73EC7">
        <w:rPr>
          <w:szCs w:val="26"/>
        </w:rPr>
        <w:t xml:space="preserve">still </w:t>
      </w:r>
      <w:r w:rsidRPr="00FF3736">
        <w:rPr>
          <w:szCs w:val="26"/>
        </w:rPr>
        <w:t xml:space="preserve">be vacated because </w:t>
      </w:r>
      <w:r w:rsidRPr="00FF3736" w:rsidR="00A916D1">
        <w:rPr>
          <w:szCs w:val="26"/>
        </w:rPr>
        <w:t xml:space="preserve">the </w:t>
      </w:r>
      <w:r w:rsidRPr="00FF3736">
        <w:rPr>
          <w:szCs w:val="26"/>
        </w:rPr>
        <w:t xml:space="preserve">undisputed facts—even viewed in the light most favorable to Carolina Beverage—establish that Carolina Beverage did not treat the agreement as being terminated even </w:t>
      </w:r>
      <w:r w:rsidRPr="00FF3736">
        <w:rPr>
          <w:i/>
          <w:iCs/>
          <w:szCs w:val="26"/>
        </w:rPr>
        <w:t xml:space="preserve">after </w:t>
      </w:r>
      <w:r w:rsidRPr="00FF3736">
        <w:rPr>
          <w:szCs w:val="26"/>
        </w:rPr>
        <w:t>FIJI almost fully invaded its territory.  (</w:t>
      </w:r>
      <w:r w:rsidRPr="00FF3736">
        <w:rPr>
          <w:i/>
          <w:iCs/>
          <w:szCs w:val="26"/>
        </w:rPr>
        <w:t>Licudine v. Cedars-Sinai Medical Center</w:t>
      </w:r>
      <w:r w:rsidRPr="00FF3736">
        <w:t xml:space="preserve"> (2016) 3 Cal.App.5th 881, 890 [JNOV must be granted where “the record, viewed in the light most favorable to the jury’s verdict, [does not] contain evidence that is reasonable, credible and of solid value sufficient to support the . . . verdict”].)</w:t>
      </w:r>
    </w:p>
    <w:p w:rsidR="00FC0C6B" w:rsidRPr="00FF3736" w:rsidP="00FC0C6B" w14:paraId="69585615" w14:textId="781BB0B1">
      <w:pPr>
        <w:ind w:firstLine="720"/>
      </w:pPr>
      <w:r w:rsidRPr="00FF3736">
        <w:t>Whenever the doctrine of constructive termination is available, a contract will be deemed to be constructively terminat</w:t>
      </w:r>
      <w:r w:rsidRPr="00FF3736" w:rsidR="00A916D1">
        <w:t>ed</w:t>
      </w:r>
      <w:r w:rsidRPr="00FF3736">
        <w:t xml:space="preserve"> only if the party claiming constructive termination </w:t>
      </w:r>
      <w:r w:rsidRPr="00FF3736">
        <w:t>“</w:t>
      </w:r>
      <w:r w:rsidR="005638B2">
        <w:t>‘</w:t>
      </w:r>
      <w:r w:rsidRPr="00FF3736">
        <w:t>puts an end to the contract.</w:t>
      </w:r>
      <w:r w:rsidR="005638B2">
        <w:t>’</w:t>
      </w:r>
      <w:r w:rsidRPr="00FF3736">
        <w:t>”  (</w:t>
      </w:r>
      <w:r w:rsidRPr="00FF3736">
        <w:rPr>
          <w:i/>
          <w:iCs/>
        </w:rPr>
        <w:t>Mac’s Shell Serv</w:t>
      </w:r>
      <w:r w:rsidR="00E5426F">
        <w:rPr>
          <w:i/>
          <w:iCs/>
        </w:rPr>
        <w:t>ice, Inc.</w:t>
      </w:r>
      <w:r w:rsidRPr="00FF3736">
        <w:rPr>
          <w:i/>
          <w:iCs/>
        </w:rPr>
        <w:t xml:space="preserve"> v. Shell Oil Prod</w:t>
      </w:r>
      <w:r w:rsidR="00E5426F">
        <w:rPr>
          <w:i/>
          <w:iCs/>
        </w:rPr>
        <w:t>ucts</w:t>
      </w:r>
      <w:r w:rsidRPr="00FF3736">
        <w:rPr>
          <w:i/>
          <w:iCs/>
        </w:rPr>
        <w:t xml:space="preserve"> Co. LLC</w:t>
      </w:r>
      <w:r w:rsidRPr="00FF3736">
        <w:t xml:space="preserve"> (2010) 559 U.S. 175, 183; </w:t>
      </w:r>
      <w:r w:rsidRPr="00FF3736">
        <w:rPr>
          <w:i/>
          <w:iCs/>
        </w:rPr>
        <w:t>Wasatch Property Management v. Degr</w:t>
      </w:r>
      <w:r w:rsidR="00AC3EEF">
        <w:rPr>
          <w:i/>
          <w:iCs/>
        </w:rPr>
        <w:t>a</w:t>
      </w:r>
      <w:r w:rsidRPr="00FF3736">
        <w:rPr>
          <w:i/>
          <w:iCs/>
        </w:rPr>
        <w:t xml:space="preserve">te </w:t>
      </w:r>
      <w:r w:rsidRPr="00FF3736">
        <w:t>(2005) 35 Cal.4th 111</w:t>
      </w:r>
      <w:r w:rsidRPr="00FF3736" w:rsidR="00A916D1">
        <w:t>1</w:t>
      </w:r>
      <w:r w:rsidRPr="00FF3736">
        <w:t>, 1121-1122 [to “</w:t>
      </w:r>
      <w:r w:rsidR="001D0037">
        <w:t>‘</w:t>
      </w:r>
      <w:r w:rsidRPr="00FF3736">
        <w:t>terminate</w:t>
      </w:r>
      <w:r w:rsidR="001D0037">
        <w:t>’</w:t>
      </w:r>
      <w:r w:rsidRPr="00FF3736">
        <w:t>” means to “</w:t>
      </w:r>
      <w:r w:rsidR="001D0037">
        <w:t>‘</w:t>
      </w:r>
      <w:r w:rsidRPr="00FF3736">
        <w:t>put an end to</w:t>
      </w:r>
      <w:r w:rsidR="001D0037">
        <w:t>’</w:t>
      </w:r>
      <w:r w:rsidRPr="00FF3736">
        <w:t xml:space="preserve">”]; Com. Code, § 2106, subd. (3) [“‘Termination’ occurs when either party pursuant to a power created by agreement or law puts an end to the contract”].)  </w:t>
      </w:r>
      <w:r w:rsidRPr="00FF3736">
        <w:t xml:space="preserve">This is why an employee is deemed to have been constructively discharged only if </w:t>
      </w:r>
      <w:r w:rsidRPr="00FF3736" w:rsidR="005B156B">
        <w:t xml:space="preserve">they </w:t>
      </w:r>
      <w:r w:rsidRPr="00FF3736">
        <w:t>ha</w:t>
      </w:r>
      <w:r w:rsidRPr="00FF3736" w:rsidR="005B156B">
        <w:t>ve</w:t>
      </w:r>
      <w:r w:rsidRPr="00FF3736">
        <w:t xml:space="preserve"> resigned (</w:t>
      </w:r>
      <w:r w:rsidRPr="00FF3736">
        <w:rPr>
          <w:i/>
          <w:iCs/>
        </w:rPr>
        <w:t>Mullins</w:t>
      </w:r>
      <w:r w:rsidRPr="00DB48BF">
        <w:t xml:space="preserve">, </w:t>
      </w:r>
      <w:r w:rsidRPr="00FF3736">
        <w:rPr>
          <w:i/>
          <w:iCs/>
        </w:rPr>
        <w:t>supra</w:t>
      </w:r>
      <w:r w:rsidRPr="00FF3736">
        <w:t>, 15 Cal.4th at p. 73</w:t>
      </w:r>
      <w:r w:rsidR="00E75336">
        <w:t>8</w:t>
      </w:r>
      <w:r w:rsidRPr="00FF3736">
        <w:t xml:space="preserve">; </w:t>
      </w:r>
      <w:r w:rsidRPr="00FF3736" w:rsidR="005A4700">
        <w:rPr>
          <w:i/>
          <w:iCs/>
        </w:rPr>
        <w:t>Turner</w:t>
      </w:r>
      <w:r w:rsidRPr="00DB48BF">
        <w:t>,</w:t>
      </w:r>
      <w:r w:rsidRPr="00FF3736">
        <w:rPr>
          <w:i/>
          <w:iCs/>
        </w:rPr>
        <w:t xml:space="preserve"> supra</w:t>
      </w:r>
      <w:r w:rsidRPr="00FF3736">
        <w:t xml:space="preserve">, 7 Cal.4th at p. 1251; </w:t>
      </w:r>
      <w:r w:rsidRPr="00FF3736">
        <w:rPr>
          <w:i/>
          <w:iCs/>
        </w:rPr>
        <w:t>Ortiz v. Dameron Hospital Assn.</w:t>
      </w:r>
      <w:r w:rsidRPr="00FF3736">
        <w:t xml:space="preserve"> (2019) 37 Cal.App.5th 568, 578</w:t>
      </w:r>
      <w:r w:rsidRPr="00FF3736">
        <w:t xml:space="preserve">), and a tenant is deemed to have been constructively evicted only if </w:t>
      </w:r>
      <w:r w:rsidRPr="00FF3736" w:rsidR="005B156B">
        <w:t>they</w:t>
      </w:r>
      <w:r w:rsidRPr="00FF3736">
        <w:t xml:space="preserve"> ha</w:t>
      </w:r>
      <w:r w:rsidRPr="00FF3736" w:rsidR="005B156B">
        <w:t>ve</w:t>
      </w:r>
      <w:r w:rsidRPr="00FF3736">
        <w:t xml:space="preserve"> vacated the premises (</w:t>
      </w:r>
      <w:r w:rsidRPr="00FF3736">
        <w:rPr>
          <w:i/>
          <w:iCs/>
        </w:rPr>
        <w:t>Cunningham v. Universal Underwriters</w:t>
      </w:r>
      <w:r w:rsidRPr="00FF3736">
        <w:t xml:space="preserve"> (2002) 98 Cal.App.4th 1141, 1152 [“</w:t>
      </w:r>
      <w:r w:rsidRPr="00FF3736" w:rsidR="00A76E22">
        <w:t>‘</w:t>
      </w:r>
      <w:r w:rsidRPr="00FF3736">
        <w:t>In order that there be a constructive eviction it is essential that the tenant should vacate the property</w:t>
      </w:r>
      <w:r w:rsidRPr="00FF3736" w:rsidR="00A76E22">
        <w:t>’</w:t>
      </w:r>
      <w:r w:rsidRPr="00FF3736">
        <w:t>”]</w:t>
      </w:r>
      <w:r w:rsidRPr="00FF3736">
        <w:t xml:space="preserve">).  The reason for this is simple:  A party cannot claim that a contract has been terminated if the party continues to act like the contract has </w:t>
      </w:r>
      <w:r w:rsidRPr="00FF3736">
        <w:rPr>
          <w:i/>
          <w:iCs/>
        </w:rPr>
        <w:t>not</w:t>
      </w:r>
      <w:r w:rsidRPr="00FF3736">
        <w:t xml:space="preserve"> been terminated.  </w:t>
      </w:r>
      <w:r w:rsidRPr="00FF3736">
        <w:t>(</w:t>
      </w:r>
      <w:r w:rsidRPr="00FF3736">
        <w:rPr>
          <w:i/>
          <w:iCs/>
        </w:rPr>
        <w:t>Mac’s Shell</w:t>
      </w:r>
      <w:r w:rsidRPr="00DB48BF">
        <w:t>,</w:t>
      </w:r>
      <w:r w:rsidRPr="00FF3736">
        <w:rPr>
          <w:i/>
          <w:iCs/>
        </w:rPr>
        <w:t xml:space="preserve"> </w:t>
      </w:r>
      <w:r w:rsidRPr="00FF3736">
        <w:t xml:space="preserve">at pp. 183-184 [“a franchisee who continues operating a franchise . . . has not had the </w:t>
      </w:r>
      <w:r w:rsidRPr="00FF3736" w:rsidR="00E73EC7">
        <w:t xml:space="preserve">franchise [contract] </w:t>
      </w:r>
      <w:r w:rsidRPr="00FF3736">
        <w:t>‘terminate</w:t>
      </w:r>
      <w:r w:rsidR="0035200A">
        <w:t>[</w:t>
      </w:r>
      <w:r w:rsidRPr="00FF3736">
        <w:t>d</w:t>
      </w:r>
      <w:r w:rsidR="0035200A">
        <w:t>]</w:t>
      </w:r>
      <w:r w:rsidRPr="00FF3736">
        <w:t xml:space="preserve">’ in either the ordinary or technical sense of the word”].)  </w:t>
      </w:r>
      <w:r w:rsidRPr="00FF3736">
        <w:t>Indeed, the agreement itself</w:t>
      </w:r>
      <w:r w:rsidRPr="00FF3736">
        <w:t xml:space="preserve"> require</w:t>
      </w:r>
      <w:r w:rsidRPr="00FF3736" w:rsidR="00E73EC7">
        <w:t>d</w:t>
      </w:r>
      <w:r w:rsidRPr="00FF3736">
        <w:t xml:space="preserve"> Caroli</w:t>
      </w:r>
      <w:r w:rsidRPr="00FF3736" w:rsidR="00E73EC7">
        <w:t>na</w:t>
      </w:r>
      <w:r w:rsidRPr="00FF3736">
        <w:t xml:space="preserve"> Beverage to “cease </w:t>
      </w:r>
      <w:r w:rsidR="00654C97">
        <w:t xml:space="preserve">. . . </w:t>
      </w:r>
      <w:r w:rsidRPr="00FF3736">
        <w:t>all distribution” if it elected to terminate the agreement under any of its termination provisions.</w:t>
      </w:r>
    </w:p>
    <w:p w:rsidR="00B27193" w:rsidRPr="00FF3736" w:rsidP="00B27193" w14:paraId="4ABFB2E9" w14:textId="4775EFF6">
      <w:pPr>
        <w:ind w:firstLine="720"/>
      </w:pPr>
      <w:r w:rsidRPr="00FF3736">
        <w:t xml:space="preserve">It is undisputed that Carolina Beverage continued to </w:t>
      </w:r>
      <w:r w:rsidRPr="00FF3736" w:rsidR="00F923D5">
        <w:t xml:space="preserve">distribute </w:t>
      </w:r>
      <w:r w:rsidRPr="00FF3736">
        <w:t xml:space="preserve">FIJI products through the end of 2018, and did so </w:t>
      </w:r>
      <w:r w:rsidRPr="00FF3736">
        <w:rPr>
          <w:i/>
          <w:iCs/>
        </w:rPr>
        <w:t xml:space="preserve">pursuant to the terms of </w:t>
      </w:r>
      <w:r w:rsidRPr="00FF3736" w:rsidR="00E73EC7">
        <w:rPr>
          <w:i/>
          <w:iCs/>
        </w:rPr>
        <w:t>the</w:t>
      </w:r>
      <w:r w:rsidRPr="00FF3736">
        <w:rPr>
          <w:i/>
          <w:iCs/>
        </w:rPr>
        <w:t xml:space="preserve"> agreement</w:t>
      </w:r>
      <w:r w:rsidRPr="00FF3736" w:rsidR="00E73EC7">
        <w:t xml:space="preserve"> and </w:t>
      </w:r>
      <w:r w:rsidRPr="00FF3736" w:rsidR="00F214BB">
        <w:t xml:space="preserve">months </w:t>
      </w:r>
      <w:r w:rsidRPr="00FF3736">
        <w:t>after Carolina Beverage accused FIJI of constructively terminating the agreement.  This is fatal to Carolina Beverage’s constructive termination theory.</w:t>
      </w:r>
    </w:p>
    <w:p w:rsidR="00FC0C6B" w:rsidRPr="00FF3736" w:rsidP="00FC0C6B" w14:paraId="04A46F61" w14:textId="7BEE2AB8">
      <w:pPr>
        <w:ind w:firstLine="720"/>
      </w:pPr>
      <w:r w:rsidRPr="00FF3736">
        <w:t>Carolina Beverage resists this conclusion with three arguments.</w:t>
      </w:r>
    </w:p>
    <w:p w:rsidR="00061EB0" w:rsidRPr="00FF3736" w:rsidP="00061EB0" w14:paraId="7F4D7941" w14:textId="342F59A0">
      <w:pPr>
        <w:ind w:firstLine="720"/>
      </w:pPr>
      <w:r w:rsidRPr="00FF3736">
        <w:t>First, Carolina Beverage—echoing the trial court’s reasoning in denying FIJI’s JNOV</w:t>
      </w:r>
      <w:r w:rsidRPr="00FF3736" w:rsidR="00F214BB">
        <w:t xml:space="preserve"> motion</w:t>
      </w:r>
      <w:r w:rsidRPr="00FF3736">
        <w:t>—argues that FIJI’s “conduct” in “siphon[ing] almost 90%” of Carolina Beverage’s sales volume “breached the agreement and effectively [that is, constructively] terminated it.”</w:t>
      </w:r>
      <w:r w:rsidRPr="00FF3736" w:rsidR="00F214BB">
        <w:t xml:space="preserve">  </w:t>
      </w:r>
      <w:r w:rsidRPr="00FF3736">
        <w:t xml:space="preserve">We reject this argument because whether FIJI </w:t>
      </w:r>
      <w:r w:rsidRPr="00FF3736">
        <w:rPr>
          <w:i/>
          <w:iCs/>
        </w:rPr>
        <w:t>breached</w:t>
      </w:r>
      <w:r w:rsidRPr="00FF3736">
        <w:t xml:space="preserve"> the agreement (even severely) says nothing about whether Carolina Beverage opted to continue to treat the agreement as valid.  By ignoring the separate requirement that Carolina Beverage put an end to the agreement, this argument ignores the law and the very jury instruction the </w:t>
      </w:r>
      <w:r w:rsidRPr="00FF3736" w:rsidR="00F214BB">
        <w:t xml:space="preserve">trial </w:t>
      </w:r>
      <w:r w:rsidRPr="00FF3736">
        <w:t xml:space="preserve">court gave at trial—both of which required proof that Carolina Beverage “end[ed]” “the relationship between the parties.”  (Accord, </w:t>
      </w:r>
      <w:r w:rsidRPr="00FF3736">
        <w:rPr>
          <w:i/>
          <w:iCs/>
        </w:rPr>
        <w:t>Whitney Inv</w:t>
      </w:r>
      <w:r w:rsidR="00417B8C">
        <w:rPr>
          <w:i/>
          <w:iCs/>
        </w:rPr>
        <w:t>estment</w:t>
      </w:r>
      <w:r w:rsidRPr="00FF3736">
        <w:rPr>
          <w:i/>
          <w:iCs/>
        </w:rPr>
        <w:t xml:space="preserve"> Co. v. Westview Dev</w:t>
      </w:r>
      <w:r w:rsidR="00417B8C">
        <w:rPr>
          <w:i/>
          <w:iCs/>
        </w:rPr>
        <w:t>elopment</w:t>
      </w:r>
      <w:r w:rsidRPr="00FF3736">
        <w:rPr>
          <w:i/>
          <w:iCs/>
        </w:rPr>
        <w:t xml:space="preserve"> Co.</w:t>
      </w:r>
      <w:r w:rsidRPr="00FF3736">
        <w:t xml:space="preserve"> (1969) 273 Cal.App.2d 594, 602 [“A breach does not terminate a contract as a matter of course”].)</w:t>
      </w:r>
    </w:p>
    <w:p w:rsidR="00E137AC" w:rsidRPr="00FF3736" w:rsidP="00061EB0" w14:paraId="797A1387" w14:textId="0603D753">
      <w:pPr>
        <w:ind w:firstLine="720"/>
      </w:pPr>
      <w:r w:rsidRPr="00FF3736">
        <w:t xml:space="preserve">Second, Carolina Beverage suggests that it </w:t>
      </w:r>
      <w:r w:rsidRPr="00FF3736">
        <w:rPr>
          <w:i/>
          <w:iCs/>
        </w:rPr>
        <w:t>could</w:t>
      </w:r>
      <w:r w:rsidRPr="00FF3736">
        <w:t xml:space="preserve"> not end the relationship because FIJI “demanded,” “insisted” and “required” Carolina Beverage to continue operating under the </w:t>
      </w:r>
      <w:r w:rsidRPr="00FF3736" w:rsidR="00E73EC7">
        <w:t>agreement</w:t>
      </w:r>
      <w:r w:rsidRPr="00FF3736">
        <w:t>.</w:t>
      </w:r>
      <w:r w:rsidRPr="00FF3736" w:rsidR="00190C14">
        <w:t xml:space="preserve">  </w:t>
      </w:r>
      <w:r w:rsidRPr="00FF3736">
        <w:t>For support, it cites the October 16, 2018 and November 6, 2018 letters sent by FIJI, both of which indicated FIJI’s intent to “continue to meet its obligations under the [agreement]” and its “expect[ation that Carolina Beverag</w:t>
      </w:r>
      <w:r w:rsidRPr="00FF3736" w:rsidR="0019271F">
        <w:t>e would] also fulfill its obligations under the [agreement].”  Th</w:t>
      </w:r>
      <w:r w:rsidRPr="00FF3736">
        <w:t>e</w:t>
      </w:r>
      <w:r w:rsidRPr="00FF3736" w:rsidR="0019271F">
        <w:t xml:space="preserve"> language i</w:t>
      </w:r>
      <w:r w:rsidRPr="00FF3736" w:rsidR="00E73EC7">
        <w:t>n</w:t>
      </w:r>
      <w:r w:rsidRPr="00FF3736" w:rsidR="0019271F">
        <w:t xml:space="preserve"> </w:t>
      </w:r>
      <w:r w:rsidRPr="00FF3736">
        <w:t xml:space="preserve">these letters was FIJI’s response to Carolina Beverage’s </w:t>
      </w:r>
      <w:r w:rsidRPr="00FF3736" w:rsidR="00E73EC7">
        <w:t>earlier</w:t>
      </w:r>
      <w:r w:rsidRPr="00FF3736">
        <w:t xml:space="preserve"> </w:t>
      </w:r>
      <w:r w:rsidRPr="00FF3736" w:rsidR="00E73EC7">
        <w:t>representation</w:t>
      </w:r>
      <w:r w:rsidRPr="00FF3736">
        <w:t xml:space="preserve"> in its September 24, 2018 letter that it might “cease performance upon [FIJI’s] continuing breach” of the agreement; </w:t>
      </w:r>
      <w:r w:rsidR="00A1725B">
        <w:t>neither</w:t>
      </w:r>
      <w:r w:rsidRPr="00FF3736" w:rsidR="00A1725B">
        <w:t xml:space="preserve"> </w:t>
      </w:r>
      <w:r w:rsidR="00A1725B">
        <w:t xml:space="preserve">the </w:t>
      </w:r>
      <w:r w:rsidRPr="00FF3736">
        <w:t xml:space="preserve">language </w:t>
      </w:r>
      <w:r w:rsidRPr="00FF3736" w:rsidR="00E73EC7">
        <w:t xml:space="preserve">in FIJI’s letters </w:t>
      </w:r>
      <w:r w:rsidR="00A1725B">
        <w:t xml:space="preserve">nor, as Carolina Beverage asserted for the first time at oral argument, the fact that it would be forced to choose between walking away from the agreement (and risking breach of the agreement) or continuing under the agreement (and losing the right to assert constructive termination) </w:t>
      </w:r>
      <w:r w:rsidRPr="00FF3736">
        <w:t>constitute</w:t>
      </w:r>
      <w:r w:rsidR="00571C66">
        <w:t>s</w:t>
      </w:r>
      <w:r w:rsidRPr="00FF3736">
        <w:t xml:space="preserve"> anything approximating coercion, particularly in light of Carolina Beverage’s right </w:t>
      </w:r>
      <w:r w:rsidRPr="00FF3736">
        <w:rPr>
          <w:i/>
          <w:iCs/>
        </w:rPr>
        <w:t xml:space="preserve">under the plain terms of the agreement </w:t>
      </w:r>
      <w:r w:rsidRPr="00FF3736">
        <w:t xml:space="preserve">to terminate “immediately” if FIJI failed to cure a perceived breach.  </w:t>
      </w:r>
    </w:p>
    <w:p w:rsidR="00E137AC" w:rsidRPr="00FF3736" w:rsidP="00061EB0" w14:paraId="60F67D1E" w14:textId="69BD6351">
      <w:pPr>
        <w:ind w:firstLine="720"/>
      </w:pPr>
      <w:r w:rsidRPr="00FF3736">
        <w:t xml:space="preserve">Third, Carolina Beverage argues that the jury instruction on </w:t>
      </w:r>
      <w:r w:rsidRPr="00FF3736" w:rsidR="00990AA1">
        <w:t>constructive termination</w:t>
      </w:r>
      <w:r w:rsidRPr="00FF3736">
        <w:t xml:space="preserve"> did not require </w:t>
      </w:r>
      <w:r w:rsidRPr="00FF3736" w:rsidR="002C5AB1">
        <w:t xml:space="preserve">any </w:t>
      </w:r>
      <w:r w:rsidRPr="00FF3736">
        <w:t>written notice of termination.  This is irrelevant, as the instruction required Caroli</w:t>
      </w:r>
      <w:r w:rsidRPr="00FF3736" w:rsidR="00CF7C4A">
        <w:t>na</w:t>
      </w:r>
      <w:r w:rsidRPr="00FF3736">
        <w:t xml:space="preserve"> Beverage to “end” the “relationship”—notice or not.</w:t>
      </w:r>
    </w:p>
    <w:p w:rsidR="00E137AC" w:rsidRPr="00FF3736" w:rsidP="00061EB0" w14:paraId="50D5589D" w14:textId="387A2594">
      <w:pPr>
        <w:ind w:firstLine="720"/>
        <w:rPr>
          <w:b/>
          <w:bCs/>
          <w:i/>
          <w:iCs/>
        </w:rPr>
      </w:pPr>
      <w:r w:rsidRPr="00FF3736">
        <w:rPr>
          <w:b/>
          <w:bCs/>
        </w:rPr>
        <w:t>D.</w:t>
      </w:r>
      <w:r w:rsidRPr="00FF3736">
        <w:rPr>
          <w:b/>
          <w:bCs/>
        </w:rPr>
        <w:tab/>
      </w:r>
      <w:r w:rsidRPr="00FF3736">
        <w:rPr>
          <w:b/>
          <w:bCs/>
          <w:i/>
          <w:iCs/>
        </w:rPr>
        <w:t xml:space="preserve">Carolina Beverage’s </w:t>
      </w:r>
      <w:r w:rsidRPr="00FF3736" w:rsidR="00990AA1">
        <w:rPr>
          <w:b/>
          <w:bCs/>
          <w:i/>
          <w:iCs/>
        </w:rPr>
        <w:t>f</w:t>
      </w:r>
      <w:r w:rsidRPr="00FF3736">
        <w:rPr>
          <w:b/>
          <w:bCs/>
          <w:i/>
          <w:iCs/>
        </w:rPr>
        <w:t xml:space="preserve">urther </w:t>
      </w:r>
      <w:r w:rsidRPr="00FF3736" w:rsidR="00990AA1">
        <w:rPr>
          <w:b/>
          <w:bCs/>
          <w:i/>
          <w:iCs/>
        </w:rPr>
        <w:t>a</w:t>
      </w:r>
      <w:r w:rsidRPr="00FF3736">
        <w:rPr>
          <w:b/>
          <w:bCs/>
          <w:i/>
          <w:iCs/>
        </w:rPr>
        <w:t>rguments</w:t>
      </w:r>
    </w:p>
    <w:p w:rsidR="00E137AC" w:rsidRPr="00FF3736" w:rsidP="00061EB0" w14:paraId="1D3ACAE8" w14:textId="023A4B02">
      <w:pPr>
        <w:ind w:firstLine="720"/>
      </w:pPr>
      <w:r w:rsidRPr="00FF3736">
        <w:t>Carolina Beverage makes two further arguments.</w:t>
      </w:r>
    </w:p>
    <w:p w:rsidR="00E137AC" w:rsidRPr="00FF3736" w:rsidP="00BC4FBB" w14:paraId="1CF4086B" w14:textId="3EFCC598">
      <w:pPr>
        <w:ind w:firstLine="720"/>
      </w:pPr>
      <w:r w:rsidRPr="00FF3736">
        <w:t xml:space="preserve">First, it </w:t>
      </w:r>
      <w:r w:rsidRPr="00FF3736" w:rsidR="00BC4FBB">
        <w:t>effectively argues that the horse has left the proverbial barn because the issue of the agreement’s meaning already went to the jury, because the jury was already instructed on the concept of constructive termination, because substantial evidence support</w:t>
      </w:r>
      <w:r w:rsidRPr="00FF3736" w:rsidR="00990AA1">
        <w:t>s</w:t>
      </w:r>
      <w:r w:rsidRPr="00FF3736" w:rsidR="00BC4FBB">
        <w:t xml:space="preserve"> the jury’s verdict, and because it is too late to address any defects in the special verdict form.  All of these arguments ignore that the issue here is whether the trial court erred in letting the horse out in the first place and ignore that FIJI repeatedly and consistently urged the court to keep the barn door closed.  </w:t>
      </w:r>
      <w:r w:rsidRPr="00FF3736" w:rsidR="004C528C">
        <w:t xml:space="preserve">At most, FIJI properly acceded to what we have determined were the trial court’s erroneous rulings, but that does </w:t>
      </w:r>
      <w:r w:rsidR="009269DF">
        <w:t xml:space="preserve">not </w:t>
      </w:r>
      <w:r w:rsidRPr="00FF3736" w:rsidR="004C528C">
        <w:t xml:space="preserve">amount to a waiver or forfeiture, or render it too late to fix the </w:t>
      </w:r>
      <w:r w:rsidRPr="00FF3736" w:rsidR="00990AA1">
        <w:t>error</w:t>
      </w:r>
      <w:r w:rsidRPr="00FF3736" w:rsidR="004C528C">
        <w:t>.  (</w:t>
      </w:r>
      <w:r w:rsidRPr="00FF3736" w:rsidR="004C528C">
        <w:rPr>
          <w:i/>
          <w:iCs/>
        </w:rPr>
        <w:t>Gilkyson v. Disney Enterprises, Inc.</w:t>
      </w:r>
      <w:r w:rsidRPr="00FF3736" w:rsidR="004C528C">
        <w:t xml:space="preserve"> (2021) 66 Cal.App.5th 9</w:t>
      </w:r>
      <w:r w:rsidRPr="00FF3736" w:rsidR="0002423A">
        <w:t>0</w:t>
      </w:r>
      <w:r w:rsidRPr="00FF3736" w:rsidR="004C528C">
        <w:t>0, 918.)</w:t>
      </w:r>
    </w:p>
    <w:p w:rsidR="005C5E6A" w:rsidRPr="00FF3736" w:rsidP="00BC4FBB" w14:paraId="79E5168E" w14:textId="130348C6">
      <w:pPr>
        <w:ind w:firstLine="720"/>
      </w:pPr>
      <w:r w:rsidRPr="00FF3736">
        <w:t>Second, Carolina Beverage urges that its claim for breach of the implied covenant of good faith and fair dealing supports the jury’s verdict because Carolina Beverage introduced evidence that FIJI’s invasion of its territory violated industry standards and because the trial court instructed the jury that FIJI violated th</w:t>
      </w:r>
      <w:r w:rsidRPr="00FF3736" w:rsidR="00AC3192">
        <w:t>e implied</w:t>
      </w:r>
      <w:r w:rsidRPr="00FF3736">
        <w:t xml:space="preserve"> covenant if FIJI “direct[ly] distribut[ed] to some retailers in [Carolina Beverage’s] territories” in a way that “prevented [Carol</w:t>
      </w:r>
      <w:r w:rsidRPr="00FF3736" w:rsidR="00B202CE">
        <w:t>ina</w:t>
      </w:r>
      <w:r w:rsidRPr="00FF3736">
        <w:t xml:space="preserve"> Beverage] from receiving the benefits under</w:t>
      </w:r>
      <w:r w:rsidRPr="00FF3736" w:rsidR="00B202CE">
        <w:t>” the agreement</w:t>
      </w:r>
      <w:r w:rsidRPr="00FF3736">
        <w:t>.  The jury instruction was wrong because it purport</w:t>
      </w:r>
      <w:r w:rsidRPr="00FF3736">
        <w:t>ed</w:t>
      </w:r>
      <w:r w:rsidRPr="00FF3736">
        <w:t xml:space="preserve"> to prohibit (and thus create liability) for FIJI’s invasion of Carolina Beverage’s territory, which is conduct the agreement explicitly permits.  </w:t>
      </w:r>
      <w:r w:rsidRPr="00FF3736">
        <w:t>The implied covenant exists to “protect the express covenants or promises of [a] contract” (</w:t>
      </w:r>
      <w:r w:rsidRPr="00FF3736">
        <w:rPr>
          <w:i/>
          <w:iCs/>
        </w:rPr>
        <w:t>Foley v. Interactive Data Corp.</w:t>
      </w:r>
      <w:r w:rsidRPr="00FF3736">
        <w:t xml:space="preserve"> (1988) 47 Cal.3d 654, 690), but it cannot be used </w:t>
      </w:r>
      <w:r w:rsidRPr="00FF3736">
        <w:t>“to prohibit a party from doing that which is expressly permitted by an agreement” or to otherwise “vary [the] express terms” of an agreement (</w:t>
      </w:r>
      <w:r w:rsidRPr="00FF3736">
        <w:rPr>
          <w:i/>
          <w:iCs/>
        </w:rPr>
        <w:t>Carma Developers (Cal</w:t>
      </w:r>
      <w:r w:rsidR="00253C6F">
        <w:rPr>
          <w:i/>
          <w:iCs/>
        </w:rPr>
        <w:t>.</w:t>
      </w:r>
      <w:r w:rsidRPr="00FF3736">
        <w:rPr>
          <w:i/>
          <w:iCs/>
        </w:rPr>
        <w:t>)</w:t>
      </w:r>
      <w:r w:rsidR="00253C6F">
        <w:rPr>
          <w:i/>
          <w:iCs/>
        </w:rPr>
        <w:t>, Inc.</w:t>
      </w:r>
      <w:r w:rsidRPr="00FF3736">
        <w:rPr>
          <w:i/>
          <w:iCs/>
        </w:rPr>
        <w:t xml:space="preserve"> v. Marathon Development California, Inc.</w:t>
      </w:r>
      <w:r w:rsidRPr="00FF3736">
        <w:t xml:space="preserve"> (1992) 2 Cal.4th 342, 374)</w:t>
      </w:r>
      <w:r w:rsidRPr="00FF3736" w:rsidR="004514AA">
        <w:t>.</w:t>
      </w:r>
      <w:r w:rsidRPr="00FF3736">
        <w:t xml:space="preserve">  We accordingly reject Carolina Beverage’s attempt to use the implied covenant to effec</w:t>
      </w:r>
      <w:r w:rsidRPr="00FF3736">
        <w:t>t an end run around the plain terms of</w:t>
      </w:r>
      <w:r w:rsidRPr="00FF3736">
        <w:t xml:space="preserve"> the agreement.  Carolina Beverage relatedly urges that the implied covenant can be used to substitute the terminat</w:t>
      </w:r>
      <w:r w:rsidRPr="00FF3736" w:rsidR="007820BA">
        <w:t>ion</w:t>
      </w:r>
      <w:r w:rsidRPr="00FF3736">
        <w:t xml:space="preserve"> payment as the measure of damages</w:t>
      </w:r>
      <w:r w:rsidRPr="00FF3736" w:rsidR="007820BA">
        <w:t xml:space="preserve"> for FIJI’s breach</w:t>
      </w:r>
      <w:r w:rsidRPr="00FF3736">
        <w:t xml:space="preserve">, but using </w:t>
      </w:r>
      <w:r w:rsidR="00571C66">
        <w:t>a</w:t>
      </w:r>
      <w:r w:rsidRPr="00FF3736">
        <w:t xml:space="preserve">n implied covenant in this fashion would also rewrite the agreement, which explicitly provides that the </w:t>
      </w:r>
      <w:r w:rsidRPr="00FF3736">
        <w:rPr>
          <w:i/>
          <w:iCs/>
        </w:rPr>
        <w:t>only</w:t>
      </w:r>
      <w:r w:rsidRPr="00FF3736">
        <w:t xml:space="preserve"> </w:t>
      </w:r>
      <w:r w:rsidRPr="00FF3736" w:rsidR="00CF4D2B">
        <w:t xml:space="preserve">instance when </w:t>
      </w:r>
      <w:r w:rsidRPr="00FF3736">
        <w:t xml:space="preserve">the termination payment comes into play is when FIJI terminates the agreement with </w:t>
      </w:r>
      <w:r w:rsidRPr="00FF3736" w:rsidR="00CF4D2B">
        <w:t xml:space="preserve">30 days’ </w:t>
      </w:r>
      <w:r w:rsidRPr="00FF3736">
        <w:t>written notice.</w:t>
      </w:r>
      <w:r>
        <w:rPr>
          <w:rStyle w:val="FootnoteReference"/>
          <w:b/>
          <w:bCs/>
        </w:rPr>
        <w:footnoteReference w:id="14"/>
      </w:r>
      <w:r w:rsidRPr="0017142B">
        <w:rPr>
          <w:b/>
          <w:bCs/>
        </w:rPr>
        <w:t xml:space="preserve"> </w:t>
      </w:r>
      <w:r w:rsidRPr="00FF3736">
        <w:t xml:space="preserve"> Carolina Beverage lastly lambasts FIJI’s conduct as a “stealth attack” undertaken with an “insidious purpose</w:t>
      </w:r>
      <w:r w:rsidR="0080374F">
        <w:t>,</w:t>
      </w:r>
      <w:r w:rsidRPr="00FF3736">
        <w:t xml:space="preserve">” but FIJI’s allegedly “malevolent” “motive[s]” </w:t>
      </w:r>
      <w:r w:rsidRPr="00FF3736" w:rsidR="007820BA">
        <w:t>are</w:t>
      </w:r>
      <w:r w:rsidRPr="00FF3736">
        <w:t xml:space="preserve"> “irrelevant to a breach of contract claim.”  (</w:t>
      </w:r>
      <w:r w:rsidRPr="00FF3736">
        <w:rPr>
          <w:i/>
          <w:iCs/>
        </w:rPr>
        <w:t xml:space="preserve">JRS Products, Inc. v. Matsushita Electric Corp. of America </w:t>
      </w:r>
      <w:r w:rsidRPr="00FF3736">
        <w:t>(2004) 115 Cal.App.4th 168, 182.)</w:t>
      </w:r>
    </w:p>
    <w:p w:rsidR="005C5E6A" w:rsidRPr="00FF3736" w:rsidP="00BC4FBB" w14:paraId="4CFD6C88" w14:textId="4B17085E">
      <w:pPr>
        <w:ind w:firstLine="720"/>
        <w:rPr>
          <w:b/>
          <w:bCs/>
        </w:rPr>
      </w:pPr>
      <w:r w:rsidRPr="00FF3736">
        <w:rPr>
          <w:b/>
          <w:bCs/>
        </w:rPr>
        <w:t>E.</w:t>
      </w:r>
      <w:r w:rsidRPr="00FF3736">
        <w:rPr>
          <w:b/>
          <w:bCs/>
        </w:rPr>
        <w:tab/>
      </w:r>
      <w:r w:rsidRPr="00FF3736">
        <w:rPr>
          <w:b/>
          <w:bCs/>
          <w:i/>
          <w:iCs/>
        </w:rPr>
        <w:t>Remedy</w:t>
      </w:r>
    </w:p>
    <w:p w:rsidR="005C5E6A" w:rsidRPr="00FF3736" w:rsidP="00BC4FBB" w14:paraId="36ACA552" w14:textId="18EF75B4">
      <w:pPr>
        <w:ind w:firstLine="720"/>
      </w:pPr>
      <w:r w:rsidRPr="00FF3736">
        <w:t xml:space="preserve">In light of our conclusion that the jury’s verdicts on the breach of contract and breach of implied covenant claims are invalid legally and factually, we </w:t>
      </w:r>
      <w:r w:rsidRPr="00FF3736" w:rsidR="00F50B9D">
        <w:t xml:space="preserve">reverse </w:t>
      </w:r>
      <w:r w:rsidRPr="00FF3736">
        <w:t>the trial court’s denial of a JNOV on those claims</w:t>
      </w:r>
      <w:r w:rsidRPr="00FF3736" w:rsidR="00F50B9D">
        <w:t xml:space="preserve"> and direct the trial court to enter judgment for FIJI</w:t>
      </w:r>
      <w:r w:rsidRPr="00FF3736" w:rsidR="00D91B2D">
        <w:t xml:space="preserve"> on those claims</w:t>
      </w:r>
      <w:r w:rsidRPr="00FF3736">
        <w:t xml:space="preserve">. </w:t>
      </w:r>
      <w:r w:rsidRPr="00FF3736" w:rsidR="001C2EAC">
        <w:t xml:space="preserve"> </w:t>
      </w:r>
      <w:r w:rsidRPr="00FF3736" w:rsidR="00F82829">
        <w:t>(Code Civ. Proc., § 629, subd. (c)</w:t>
      </w:r>
      <w:r w:rsidRPr="00FF3736" w:rsidR="00292D50">
        <w:t xml:space="preserve">; </w:t>
      </w:r>
      <w:r w:rsidRPr="00FF3736" w:rsidR="00292D50">
        <w:rPr>
          <w:i/>
          <w:iCs/>
        </w:rPr>
        <w:t xml:space="preserve">Bank of America v. Superior Court </w:t>
      </w:r>
      <w:r w:rsidRPr="00FF3736" w:rsidR="00292D50">
        <w:t>(1990) 220 Cal.App.3d 613, 624</w:t>
      </w:r>
      <w:r w:rsidRPr="00FF3736" w:rsidR="00D91B2D">
        <w:t>-626</w:t>
      </w:r>
      <w:r w:rsidRPr="00FF3736" w:rsidR="00292D50">
        <w:t xml:space="preserve"> [reversal of order denying JNOV “concludes the litigation just as it would have been concluded if the trial court had correctly entered the” JNOV]; </w:t>
      </w:r>
      <w:r w:rsidRPr="00FF3736" w:rsidR="00292D50">
        <w:rPr>
          <w:i/>
          <w:iCs/>
        </w:rPr>
        <w:t xml:space="preserve">McCoy v. Hearst Corp. </w:t>
      </w:r>
      <w:r w:rsidRPr="00FF3736" w:rsidR="00292D50">
        <w:t>(1991) 227 Cal.App.3d 1657, 1661</w:t>
      </w:r>
      <w:r w:rsidRPr="00FF3736" w:rsidR="008334AD">
        <w:t xml:space="preserve"> (</w:t>
      </w:r>
      <w:r w:rsidRPr="00FF3736" w:rsidR="008334AD">
        <w:rPr>
          <w:i/>
          <w:iCs/>
        </w:rPr>
        <w:t>McCoy</w:t>
      </w:r>
      <w:r w:rsidRPr="00FF3736" w:rsidR="008334AD">
        <w:t>)</w:t>
      </w:r>
      <w:r w:rsidRPr="00FF3736" w:rsidR="00292D50">
        <w:t xml:space="preserve"> [reversal of order denying JNOV effectively “advis[es] the trial court that a nonsuit, directed verdict or JNOV should have been entered</w:t>
      </w:r>
      <w:r w:rsidRPr="00FF3736" w:rsidR="00D91B2D">
        <w:t>”</w:t>
      </w:r>
      <w:r w:rsidRPr="00FF3736" w:rsidR="00292D50">
        <w:t xml:space="preserve">]; </w:t>
      </w:r>
      <w:r w:rsidRPr="00FF3736" w:rsidR="009014FE">
        <w:rPr>
          <w:i/>
          <w:iCs/>
        </w:rPr>
        <w:t xml:space="preserve">Jordan v. Guerra </w:t>
      </w:r>
      <w:r w:rsidRPr="00FF3736" w:rsidR="009014FE">
        <w:t xml:space="preserve">(1943) 23 Cal.2d 469, 472 [appellate court orders judgment be entered for defendant]; </w:t>
      </w:r>
      <w:r w:rsidRPr="00FF3736" w:rsidR="009014FE">
        <w:rPr>
          <w:i/>
          <w:iCs/>
        </w:rPr>
        <w:t xml:space="preserve">Morton v. California Sports Car Club </w:t>
      </w:r>
      <w:r w:rsidRPr="00FF3736" w:rsidR="009014FE">
        <w:t>(1958) 163 Cal.App.2d 685, 691 [same].</w:t>
      </w:r>
      <w:r w:rsidRPr="00FF3736" w:rsidR="00F82829">
        <w:t>)</w:t>
      </w:r>
    </w:p>
    <w:p w:rsidR="008334AD" w:rsidRPr="00FF3736" w:rsidP="00BC4FBB" w14:paraId="50A8213A" w14:textId="3DF65535">
      <w:pPr>
        <w:ind w:firstLine="720"/>
      </w:pPr>
      <w:r w:rsidRPr="00FF3736">
        <w:t>Carolina Beverage requests that</w:t>
      </w:r>
      <w:r w:rsidRPr="00FF3736" w:rsidR="00D91B2D">
        <w:t xml:space="preserve">, rather than place the parties in the situation they would be in had the trial court properly granted the JNOV (that is, entering judgment for FIJI), we instead </w:t>
      </w:r>
      <w:r w:rsidRPr="00FF3736">
        <w:t xml:space="preserve">remand the matter for a new trial </w:t>
      </w:r>
      <w:r w:rsidRPr="00FF3736" w:rsidR="00D91B2D">
        <w:t xml:space="preserve">on those claims so that it may pursue </w:t>
      </w:r>
      <w:r w:rsidRPr="00FF3736">
        <w:t>alternative measure</w:t>
      </w:r>
      <w:r w:rsidRPr="00FF3736" w:rsidR="00D91B2D">
        <w:t>s</w:t>
      </w:r>
      <w:r w:rsidRPr="00FF3736">
        <w:t xml:space="preserve"> of damages.  We </w:t>
      </w:r>
      <w:r w:rsidRPr="00FF3736" w:rsidR="00D91B2D">
        <w:t>decline</w:t>
      </w:r>
      <w:r w:rsidRPr="00FF3736">
        <w:t xml:space="preserve"> this request.  </w:t>
      </w:r>
      <w:r w:rsidRPr="00FF3736" w:rsidR="00D91B2D">
        <w:t xml:space="preserve">Carolina Beverage freely admits that it abandoned all measures of damages except the termination payment during the trial.  However, </w:t>
      </w:r>
      <w:r w:rsidRPr="00FF3736" w:rsidR="00D91B2D">
        <w:rPr>
          <w:szCs w:val="26"/>
        </w:rPr>
        <w:t>c</w:t>
      </w:r>
      <w:r w:rsidRPr="00FF3736">
        <w:rPr>
          <w:szCs w:val="26"/>
        </w:rPr>
        <w:t xml:space="preserve">ontrary to Carolina Beverage’s </w:t>
      </w:r>
      <w:r w:rsidRPr="00FF3736" w:rsidR="00D91B2D">
        <w:rPr>
          <w:szCs w:val="26"/>
        </w:rPr>
        <w:t>inaccurate</w:t>
      </w:r>
      <w:r w:rsidRPr="00FF3736">
        <w:rPr>
          <w:szCs w:val="26"/>
        </w:rPr>
        <w:t xml:space="preserve"> representation that it </w:t>
      </w:r>
      <w:r w:rsidRPr="00FF3736" w:rsidR="00D91B2D">
        <w:rPr>
          <w:szCs w:val="26"/>
        </w:rPr>
        <w:t xml:space="preserve">did so </w:t>
      </w:r>
      <w:r w:rsidRPr="00FF3736">
        <w:rPr>
          <w:szCs w:val="26"/>
        </w:rPr>
        <w:t>“to simplify the case it presented to the jury</w:t>
      </w:r>
      <w:r w:rsidR="0080374F">
        <w:rPr>
          <w:szCs w:val="26"/>
        </w:rPr>
        <w:t>,</w:t>
      </w:r>
      <w:r w:rsidRPr="00FF3736">
        <w:rPr>
          <w:szCs w:val="26"/>
        </w:rPr>
        <w:t xml:space="preserve">” </w:t>
      </w:r>
      <w:r w:rsidRPr="00FF3736" w:rsidR="00D91B2D">
        <w:rPr>
          <w:szCs w:val="26"/>
        </w:rPr>
        <w:t xml:space="preserve">its choice was a strategic and tactical one:  By asking the trial court to instruct on only the termination payment and not to present the jury with a special verdict form that gave the jury the option of awarding the lesser damages of the invasion fee or lost profits due to the invasion, Carolina Beverage intentionally presented the jury with a stark choice—award us the $2 million termination payment or award us nothing.  </w:t>
      </w:r>
      <w:r w:rsidRPr="00FF3736">
        <w:rPr>
          <w:szCs w:val="26"/>
        </w:rPr>
        <w:t>Carolina Beverage is not entitled to</w:t>
      </w:r>
      <w:r w:rsidRPr="00FF3736" w:rsidR="00D91B2D">
        <w:rPr>
          <w:szCs w:val="26"/>
        </w:rPr>
        <w:t xml:space="preserve"> revisit its strategy and obtain </w:t>
      </w:r>
      <w:r w:rsidRPr="00FF3736">
        <w:rPr>
          <w:szCs w:val="26"/>
        </w:rPr>
        <w:t xml:space="preserve">a second bite </w:t>
      </w:r>
      <w:r w:rsidR="001E299D">
        <w:rPr>
          <w:szCs w:val="26"/>
        </w:rPr>
        <w:t>at</w:t>
      </w:r>
      <w:r w:rsidRPr="00FF3736">
        <w:rPr>
          <w:szCs w:val="26"/>
        </w:rPr>
        <w:t xml:space="preserve"> the apple now </w:t>
      </w:r>
      <w:r w:rsidRPr="00FF3736" w:rsidR="00D91B2D">
        <w:rPr>
          <w:szCs w:val="26"/>
        </w:rPr>
        <w:t xml:space="preserve">that we have rejected as unviable the sole </w:t>
      </w:r>
      <w:r w:rsidRPr="00FF3736">
        <w:rPr>
          <w:szCs w:val="26"/>
        </w:rPr>
        <w:t xml:space="preserve">legal theory it </w:t>
      </w:r>
      <w:r w:rsidRPr="00FF3736" w:rsidR="00D91B2D">
        <w:rPr>
          <w:szCs w:val="26"/>
        </w:rPr>
        <w:t xml:space="preserve">decided to </w:t>
      </w:r>
      <w:r w:rsidRPr="00FF3736">
        <w:rPr>
          <w:szCs w:val="26"/>
        </w:rPr>
        <w:t>prosecut</w:t>
      </w:r>
      <w:r w:rsidRPr="00FF3736" w:rsidR="00D91B2D">
        <w:rPr>
          <w:szCs w:val="26"/>
        </w:rPr>
        <w:t>e</w:t>
      </w:r>
      <w:r w:rsidRPr="00FF3736">
        <w:rPr>
          <w:szCs w:val="26"/>
        </w:rPr>
        <w:t>.  (</w:t>
      </w:r>
      <w:r w:rsidRPr="00FF3736">
        <w:rPr>
          <w:i/>
          <w:iCs/>
          <w:szCs w:val="26"/>
        </w:rPr>
        <w:t>McCoy</w:t>
      </w:r>
      <w:r w:rsidRPr="00FF3736">
        <w:rPr>
          <w:szCs w:val="26"/>
        </w:rPr>
        <w:t xml:space="preserve">, </w:t>
      </w:r>
      <w:r w:rsidRPr="00FF3736">
        <w:rPr>
          <w:i/>
          <w:iCs/>
          <w:szCs w:val="26"/>
        </w:rPr>
        <w:t>supra</w:t>
      </w:r>
      <w:r w:rsidRPr="00FF3736">
        <w:rPr>
          <w:szCs w:val="26"/>
        </w:rPr>
        <w:t xml:space="preserve">, </w:t>
      </w:r>
      <w:r w:rsidRPr="00FF3736">
        <w:t xml:space="preserve">227 Cal.App.3d at p. 1661 [because plaintiff would not be entitled to new trial if trial court correctly granted a JNOV, plaintiff not entitled to “another trial when the appellate court makes the same determination”].)  </w:t>
      </w:r>
      <w:r w:rsidRPr="00FF3736" w:rsidR="00EA013B">
        <w:t xml:space="preserve"> </w:t>
      </w:r>
    </w:p>
    <w:p w:rsidR="00C35BCD" w:rsidRPr="00FF3736" w:rsidP="001252AF" w14:paraId="00724014" w14:textId="3FDBBF21">
      <w:pPr>
        <w:rPr>
          <w:b/>
          <w:bCs/>
        </w:rPr>
      </w:pPr>
      <w:r w:rsidRPr="00FF3736">
        <w:rPr>
          <w:b/>
          <w:bCs/>
        </w:rPr>
        <w:t>II.</w:t>
      </w:r>
      <w:r w:rsidRPr="00FF3736">
        <w:rPr>
          <w:b/>
          <w:bCs/>
        </w:rPr>
        <w:tab/>
        <w:t>Concealment</w:t>
      </w:r>
    </w:p>
    <w:p w:rsidR="00C35BCD" w:rsidRPr="00FF3736" w:rsidP="00BC4FBB" w14:paraId="347CF462" w14:textId="6E759BA4">
      <w:pPr>
        <w:ind w:firstLine="720"/>
      </w:pPr>
      <w:r w:rsidRPr="00FF3736">
        <w:t>Carolina Beverage argues that it is entitled to a new trial on its concealment claim because the trial court erred in two of its evidentiary rulings.  An erroneous ruling entitles a party to a new trial only if “</w:t>
      </w:r>
      <w:r w:rsidR="00397696">
        <w:t>‘“</w:t>
      </w:r>
      <w:r w:rsidRPr="00FF3736">
        <w:t xml:space="preserve">there is a reasonable </w:t>
      </w:r>
      <w:r w:rsidRPr="00FF3736">
        <w:rPr>
          <w:szCs w:val="26"/>
        </w:rPr>
        <w:t>probability that a result more favorable to the appealing party would have been reached in the absence of the error.</w:t>
      </w:r>
      <w:r w:rsidR="00397696">
        <w:rPr>
          <w:szCs w:val="26"/>
        </w:rPr>
        <w:t>”’</w:t>
      </w:r>
      <w:r w:rsidRPr="00FF3736">
        <w:rPr>
          <w:szCs w:val="26"/>
        </w:rPr>
        <w:t>”  (</w:t>
      </w:r>
      <w:r w:rsidRPr="00FF3736">
        <w:rPr>
          <w:i/>
          <w:iCs/>
          <w:szCs w:val="26"/>
        </w:rPr>
        <w:t xml:space="preserve">D.Z. v. Los Angeles Unified School Dist. </w:t>
      </w:r>
      <w:r w:rsidRPr="00FF3736">
        <w:rPr>
          <w:szCs w:val="26"/>
        </w:rPr>
        <w:t>(2019) 35 Cal.App.5th 210, 231; Evid. Code, §</w:t>
      </w:r>
      <w:r w:rsidRPr="00FF3736" w:rsidR="007820BA">
        <w:rPr>
          <w:szCs w:val="26"/>
        </w:rPr>
        <w:t>§</w:t>
      </w:r>
      <w:r w:rsidRPr="00FF3736">
        <w:rPr>
          <w:szCs w:val="26"/>
        </w:rPr>
        <w:t xml:space="preserve"> </w:t>
      </w:r>
      <w:r w:rsidRPr="00FF3736" w:rsidR="007820BA">
        <w:rPr>
          <w:szCs w:val="26"/>
        </w:rPr>
        <w:t xml:space="preserve">353, </w:t>
      </w:r>
      <w:r w:rsidRPr="00FF3736">
        <w:rPr>
          <w:szCs w:val="26"/>
        </w:rPr>
        <w:t xml:space="preserve">354.)  </w:t>
      </w:r>
    </w:p>
    <w:p w:rsidR="00727D59" w:rsidRPr="00FF3736" w:rsidP="00BC4FBB" w14:paraId="5B259D02" w14:textId="3414EA53">
      <w:pPr>
        <w:ind w:firstLine="720"/>
        <w:rPr>
          <w:b/>
          <w:bCs/>
          <w:i/>
          <w:iCs/>
        </w:rPr>
      </w:pPr>
      <w:r w:rsidRPr="00FF3736">
        <w:rPr>
          <w:b/>
          <w:bCs/>
        </w:rPr>
        <w:t>A.</w:t>
      </w:r>
      <w:r w:rsidRPr="00FF3736">
        <w:rPr>
          <w:b/>
          <w:bCs/>
        </w:rPr>
        <w:tab/>
      </w:r>
      <w:r w:rsidRPr="00FF3736">
        <w:rPr>
          <w:b/>
          <w:bCs/>
          <w:i/>
          <w:iCs/>
        </w:rPr>
        <w:t>Pertinent facts</w:t>
      </w:r>
    </w:p>
    <w:p w:rsidR="00BE0E01" w:rsidRPr="00FF3736" w:rsidP="00F86AF0" w14:paraId="7ECE9F34" w14:textId="751DCF92">
      <w:pPr>
        <w:rPr>
          <w:szCs w:val="26"/>
        </w:rPr>
      </w:pPr>
      <w:r w:rsidRPr="00FF3736">
        <w:tab/>
        <w:t>As noted above, Carolina Beverage’s concealment claim is based on its allegations that (1) FIJI kept secret its intent to fully invade Carolina Beverage’s territory</w:t>
      </w:r>
      <w:r w:rsidR="0010124B">
        <w:t>;</w:t>
      </w:r>
      <w:r w:rsidRPr="00FF3736">
        <w:t xml:space="preserve"> </w:t>
      </w:r>
      <w:r w:rsidRPr="00FF3736" w:rsidR="00141E51">
        <w:t xml:space="preserve">and </w:t>
      </w:r>
      <w:r w:rsidRPr="00FF3736">
        <w:t>(2) had Carolina Beverage known of FIJI’s intent, it would have started negotiating to become the third-party distributor for FIJI’s main competitor, Evian.</w:t>
      </w:r>
      <w:r w:rsidRPr="00FF3736">
        <w:rPr>
          <w:szCs w:val="26"/>
        </w:rPr>
        <w:t xml:space="preserve"> </w:t>
      </w:r>
    </w:p>
    <w:p w:rsidR="00F86AF0" w:rsidRPr="00FF3736" w:rsidP="00BE0E01" w14:paraId="270FED7E" w14:textId="092C19D3">
      <w:pPr>
        <w:ind w:firstLine="720"/>
        <w:rPr>
          <w:szCs w:val="26"/>
        </w:rPr>
      </w:pPr>
      <w:r w:rsidRPr="00FF3736">
        <w:rPr>
          <w:szCs w:val="26"/>
        </w:rPr>
        <w:t>At trial, Carolina Beverage adduced evidence that Evian</w:t>
      </w:r>
      <w:r w:rsidRPr="00FF3736" w:rsidR="00930D46">
        <w:rPr>
          <w:szCs w:val="26"/>
        </w:rPr>
        <w:t>’s distributor</w:t>
      </w:r>
      <w:r w:rsidRPr="00FF3736">
        <w:rPr>
          <w:szCs w:val="26"/>
        </w:rPr>
        <w:t xml:space="preserve"> was looking </w:t>
      </w:r>
      <w:r w:rsidRPr="00FF3736" w:rsidR="00930D46">
        <w:rPr>
          <w:szCs w:val="26"/>
        </w:rPr>
        <w:t>to license local third-party</w:t>
      </w:r>
      <w:r w:rsidRPr="00FF3736">
        <w:rPr>
          <w:szCs w:val="26"/>
        </w:rPr>
        <w:t xml:space="preserve"> distributor</w:t>
      </w:r>
      <w:r w:rsidRPr="00FF3736" w:rsidR="00930D46">
        <w:rPr>
          <w:szCs w:val="26"/>
        </w:rPr>
        <w:t>s</w:t>
      </w:r>
      <w:r w:rsidRPr="00FF3736">
        <w:rPr>
          <w:szCs w:val="26"/>
        </w:rPr>
        <w:t xml:space="preserve"> in Carolina Beverage’s territory </w:t>
      </w:r>
      <w:r w:rsidRPr="00FF3736" w:rsidR="001314FD">
        <w:rPr>
          <w:szCs w:val="26"/>
        </w:rPr>
        <w:t xml:space="preserve">in </w:t>
      </w:r>
      <w:r w:rsidRPr="00FF3736">
        <w:rPr>
          <w:szCs w:val="26"/>
        </w:rPr>
        <w:t xml:space="preserve">the fall of 2018, but that Carolina Beverage did not put itself up for consideration (because </w:t>
      </w:r>
      <w:r w:rsidRPr="00FF3736" w:rsidR="00141E51">
        <w:rPr>
          <w:szCs w:val="26"/>
        </w:rPr>
        <w:t>distributors are prohibited from working with both competitors simultaneously</w:t>
      </w:r>
      <w:r w:rsidRPr="00FF3736">
        <w:rPr>
          <w:szCs w:val="26"/>
        </w:rPr>
        <w:t xml:space="preserve">) until Carolina Beverage received FIJI’s nonrenewal letter in late November 2018, by which time another </w:t>
      </w:r>
      <w:r w:rsidRPr="00FF3736" w:rsidR="00930D46">
        <w:rPr>
          <w:szCs w:val="26"/>
        </w:rPr>
        <w:t xml:space="preserve">third-party </w:t>
      </w:r>
      <w:r w:rsidRPr="00FF3736">
        <w:rPr>
          <w:szCs w:val="26"/>
        </w:rPr>
        <w:t>distributor</w:t>
      </w:r>
      <w:r w:rsidRPr="00FF3736" w:rsidR="00BE0E01">
        <w:rPr>
          <w:szCs w:val="26"/>
        </w:rPr>
        <w:t xml:space="preserve"> (Pepsi Bottling </w:t>
      </w:r>
      <w:r w:rsidR="00F117A5">
        <w:rPr>
          <w:szCs w:val="26"/>
        </w:rPr>
        <w:t>Ventures</w:t>
      </w:r>
      <w:r w:rsidRPr="00FF3736" w:rsidR="00BE0E01">
        <w:rPr>
          <w:szCs w:val="26"/>
        </w:rPr>
        <w:t>)</w:t>
      </w:r>
      <w:r w:rsidRPr="00FF3736">
        <w:rPr>
          <w:szCs w:val="26"/>
        </w:rPr>
        <w:t xml:space="preserve"> </w:t>
      </w:r>
      <w:r w:rsidRPr="00FF3736" w:rsidR="00930D46">
        <w:rPr>
          <w:szCs w:val="26"/>
        </w:rPr>
        <w:t xml:space="preserve">was licensed </w:t>
      </w:r>
      <w:r w:rsidRPr="00FF3736">
        <w:rPr>
          <w:szCs w:val="26"/>
        </w:rPr>
        <w:t xml:space="preserve">for North Carolina.  Carolina Beverage nevertheless ultimately became </w:t>
      </w:r>
      <w:r w:rsidRPr="00FF3736" w:rsidR="00930D46">
        <w:rPr>
          <w:szCs w:val="26"/>
        </w:rPr>
        <w:t xml:space="preserve">an </w:t>
      </w:r>
      <w:r w:rsidRPr="00FF3736">
        <w:rPr>
          <w:szCs w:val="26"/>
        </w:rPr>
        <w:t xml:space="preserve">Evian distributor in parts of South Carolina and Georgia.    </w:t>
      </w:r>
    </w:p>
    <w:p w:rsidR="00F86AF0" w:rsidRPr="00FF3736" w:rsidP="00727D59" w14:paraId="337404D9" w14:textId="4E62210B">
      <w:r w:rsidRPr="00FF3736">
        <w:tab/>
        <w:t xml:space="preserve">At trial, FIJI elicited testimony from an executive </w:t>
      </w:r>
      <w:r w:rsidRPr="00FF3736" w:rsidR="00930D46">
        <w:t xml:space="preserve">of </w:t>
      </w:r>
      <w:r w:rsidR="00B46AAE">
        <w:t xml:space="preserve">the </w:t>
      </w:r>
      <w:r w:rsidRPr="00FF3736">
        <w:t>Evian distributor that</w:t>
      </w:r>
      <w:r w:rsidRPr="00FF3736" w:rsidR="00930D46">
        <w:t xml:space="preserve"> was searching for local third-party distributors to license that </w:t>
      </w:r>
      <w:r w:rsidRPr="00FF3736">
        <w:t xml:space="preserve">(1) Evian had not </w:t>
      </w:r>
      <w:r w:rsidRPr="00FF3736" w:rsidR="001314FD">
        <w:t>started</w:t>
      </w:r>
      <w:r w:rsidRPr="00FF3736">
        <w:t xml:space="preserve"> looking in earnest for a third-party distributor in Carolina Beverage’s territory until November 2018 and had not made a final decision by November 28, 2018</w:t>
      </w:r>
      <w:r w:rsidR="0010124B">
        <w:t>;</w:t>
      </w:r>
      <w:r w:rsidRPr="00FF3736">
        <w:t xml:space="preserve"> </w:t>
      </w:r>
      <w:r w:rsidRPr="00FF3736" w:rsidR="00930D46">
        <w:t xml:space="preserve">and </w:t>
      </w:r>
      <w:r w:rsidRPr="00FF3736">
        <w:t xml:space="preserve">(2) </w:t>
      </w:r>
      <w:r w:rsidRPr="00FF3736" w:rsidR="00930D46">
        <w:t xml:space="preserve">he </w:t>
      </w:r>
      <w:r w:rsidRPr="00FF3736">
        <w:t xml:space="preserve">“would have listened” to whatever pitch Carolina Beverage might have made earlier in the fall of 2018, but that he </w:t>
      </w:r>
      <w:r w:rsidR="001E299D">
        <w:t>“[</w:t>
      </w:r>
      <w:r w:rsidRPr="00FF3736">
        <w:t>did</w:t>
      </w:r>
      <w:r w:rsidR="001E299D">
        <w:t>]</w:t>
      </w:r>
      <w:r w:rsidRPr="00FF3736">
        <w:t>n</w:t>
      </w:r>
      <w:r w:rsidR="001E299D">
        <w:t>’</w:t>
      </w:r>
      <w:r w:rsidRPr="00FF3736">
        <w:t xml:space="preserve">t know if that would have changed anything.”  FIJI also introduced portions of Carolina Beverage’s September 24, 2018 letter, in which Carolina Beverage asserted that FIJI had breached the agreement and that FIJI owed the invasion </w:t>
      </w:r>
      <w:r w:rsidRPr="00FF3736" w:rsidR="001314FD">
        <w:t>payment</w:t>
      </w:r>
      <w:r w:rsidRPr="00FF3736">
        <w:t xml:space="preserve"> </w:t>
      </w:r>
      <w:r w:rsidRPr="00FF3736">
        <w:rPr>
          <w:i/>
          <w:iCs/>
        </w:rPr>
        <w:t>and</w:t>
      </w:r>
      <w:r w:rsidRPr="00FF3736">
        <w:t xml:space="preserve"> the termination </w:t>
      </w:r>
      <w:r w:rsidRPr="00FF3736" w:rsidR="001314FD">
        <w:t>payment</w:t>
      </w:r>
      <w:r w:rsidRPr="00FF3736">
        <w:t>, but expressed that it was “prepared to continue to perform its obligations” under the agreement.</w:t>
      </w:r>
    </w:p>
    <w:p w:rsidR="00BE0E01" w:rsidRPr="00FF3736" w:rsidP="00727D59" w14:paraId="4DF88155" w14:textId="4F2B54AA">
      <w:r w:rsidRPr="00FF3736">
        <w:tab/>
        <w:t>Carolina Beverage also sought to introduce three additional pieces of testimony from the Evian distributor</w:t>
      </w:r>
      <w:r w:rsidRPr="00FF3736" w:rsidR="001314FD">
        <w:t>’s executive</w:t>
      </w:r>
      <w:r w:rsidRPr="00FF3736">
        <w:t>—namely, his testimony that (1) Evian “would have listened” to whatever pitch Carolina Beverage made, had it approached Evian earlier</w:t>
      </w:r>
      <w:r w:rsidR="0010124B">
        <w:t>;</w:t>
      </w:r>
      <w:r w:rsidRPr="00FF3736">
        <w:t xml:space="preserve"> (2) the distributor would have needed to collect certain data from Carolina Beverage to compare against Pepsi</w:t>
      </w:r>
      <w:r w:rsidRPr="00FF3736" w:rsidR="001F5B74">
        <w:t>, although he “couldn’t [have told] you what” outcome that would have produced</w:t>
      </w:r>
      <w:r w:rsidR="0010124B">
        <w:t>;</w:t>
      </w:r>
      <w:r w:rsidRPr="00FF3736" w:rsidR="001F5B74">
        <w:t xml:space="preserve"> and (3) </w:t>
      </w:r>
      <w:r w:rsidRPr="00FF3736" w:rsidR="00930D46">
        <w:t xml:space="preserve">the distributor </w:t>
      </w:r>
      <w:r w:rsidRPr="00FF3736" w:rsidR="001F5B74">
        <w:t>made its decision to go with Pepsi in North Carolina in November or December of 2018.  The trial court excluded this evidence as speculative.</w:t>
      </w:r>
    </w:p>
    <w:p w:rsidR="00727D59" w:rsidRPr="00FF3736" w:rsidP="00BC4FBB" w14:paraId="4E66526B" w14:textId="6EAE426E">
      <w:pPr>
        <w:ind w:firstLine="720"/>
        <w:rPr>
          <w:b/>
          <w:bCs/>
          <w:i/>
          <w:iCs/>
        </w:rPr>
      </w:pPr>
      <w:r w:rsidRPr="00FF3736">
        <w:rPr>
          <w:b/>
          <w:bCs/>
        </w:rPr>
        <w:t>B.</w:t>
      </w:r>
      <w:r w:rsidRPr="00FF3736">
        <w:rPr>
          <w:b/>
          <w:bCs/>
        </w:rPr>
        <w:tab/>
      </w:r>
      <w:r w:rsidRPr="00FF3736">
        <w:rPr>
          <w:b/>
          <w:bCs/>
          <w:i/>
          <w:iCs/>
        </w:rPr>
        <w:t>Analysis</w:t>
      </w:r>
    </w:p>
    <w:p w:rsidR="00727D59" w:rsidRPr="00FF3736" w:rsidP="00727D59" w14:paraId="1B91ED0C" w14:textId="524E9DB3">
      <w:r w:rsidRPr="00FF3736">
        <w:tab/>
      </w:r>
      <w:r w:rsidRPr="00FF3736">
        <w:tab/>
        <w:t>1.</w:t>
      </w:r>
      <w:r w:rsidRPr="00FF3736">
        <w:tab/>
      </w:r>
      <w:r w:rsidRPr="00FF3736">
        <w:rPr>
          <w:i/>
          <w:iCs/>
        </w:rPr>
        <w:t>September 24 letter</w:t>
      </w:r>
    </w:p>
    <w:p w:rsidR="00EE4A28" w:rsidRPr="00FF3736" w:rsidP="00727D59" w14:paraId="3ABCAA3C" w14:textId="479FFEF3">
      <w:r w:rsidRPr="00FF3736">
        <w:tab/>
        <w:t xml:space="preserve">The trial court did not </w:t>
      </w:r>
      <w:r w:rsidRPr="00FF3736" w:rsidR="001314FD">
        <w:t>err</w:t>
      </w:r>
      <w:r w:rsidRPr="00FF3736">
        <w:t xml:space="preserve"> in admitting the September 24 letter.  Carolina Beverage asserts that the letter constitute</w:t>
      </w:r>
      <w:r w:rsidRPr="00FF3736" w:rsidR="001314FD">
        <w:t>d</w:t>
      </w:r>
      <w:r w:rsidRPr="00FF3736">
        <w:t xml:space="preserve"> a “settlement offer” inadmissible under Evidence Code section 1154.  That provision excludes “[e]vidence that a person has</w:t>
      </w:r>
      <w:r w:rsidR="00F8252A">
        <w:t xml:space="preserve"> . . .</w:t>
      </w:r>
      <w:r w:rsidRPr="00FF3736">
        <w:t xml:space="preserve"> offered to accept a sum of money . . . in satisfaction of a claim, as well as any conduct or statements made in negotiation thereof . . . to prove the invalidity of the claim” against it.  (Evid. Code, § 1154.)  This provision did not bar admission of the September 24 letter because the letter was nothing more than “</w:t>
      </w:r>
      <w:r w:rsidR="006100B6">
        <w:t>‘</w:t>
      </w:r>
      <w:r w:rsidRPr="00FF3736">
        <w:t>[a] statement by a claimant concerning the extent of [its] injuries</w:t>
      </w:r>
      <w:r w:rsidR="006100B6">
        <w:t xml:space="preserve"> . . . </w:t>
      </w:r>
      <w:r w:rsidRPr="00FF3736">
        <w:t>, or concerning the amount of damages [it] claims to have suffered,</w:t>
      </w:r>
      <w:r w:rsidR="006100B6">
        <w:t>’</w:t>
      </w:r>
      <w:r w:rsidRPr="00FF3736">
        <w:t xml:space="preserve">” which is </w:t>
      </w:r>
      <w:r w:rsidRPr="00FF3736">
        <w:rPr>
          <w:i/>
          <w:iCs/>
        </w:rPr>
        <w:t>not</w:t>
      </w:r>
      <w:r w:rsidRPr="00FF3736">
        <w:t xml:space="preserve"> an offer to accept a compromise.  (</w:t>
      </w:r>
      <w:r w:rsidRPr="00FF3736">
        <w:rPr>
          <w:i/>
          <w:iCs/>
        </w:rPr>
        <w:t>Zhou v. Unisource Worldwide</w:t>
      </w:r>
      <w:r w:rsidR="00500A37">
        <w:rPr>
          <w:i/>
          <w:iCs/>
        </w:rPr>
        <w:t>, Inc.</w:t>
      </w:r>
      <w:r w:rsidRPr="00FF3736">
        <w:t xml:space="preserve"> (2007) 157 Cal.App.</w:t>
      </w:r>
      <w:r w:rsidR="00AF5308">
        <w:t>4th</w:t>
      </w:r>
      <w:r w:rsidRPr="00FF3736">
        <w:t xml:space="preserve"> 1471, 1477.)  This provision also did not bar admission of the September 24 letter because Evidence Code section 1154 is claim specific,</w:t>
      </w:r>
      <w:r w:rsidRPr="00FF3736" w:rsidR="001314FD">
        <w:t xml:space="preserve"> in that it</w:t>
      </w:r>
      <w:r w:rsidRPr="00FF3736">
        <w:t xml:space="preserve"> bar</w:t>
      </w:r>
      <w:r w:rsidRPr="00FF3736" w:rsidR="001314FD">
        <w:t>s</w:t>
      </w:r>
      <w:r w:rsidRPr="00FF3736">
        <w:t xml:space="preserve"> admission of an offer to accept a compromise of a claim </w:t>
      </w:r>
      <w:r w:rsidRPr="00FF3736" w:rsidR="001314FD">
        <w:t xml:space="preserve">only </w:t>
      </w:r>
      <w:r w:rsidRPr="00FF3736">
        <w:t xml:space="preserve">to prove the invalidity </w:t>
      </w:r>
      <w:r w:rsidRPr="00FF3736">
        <w:rPr>
          <w:i/>
          <w:iCs/>
        </w:rPr>
        <w:t>of that claim</w:t>
      </w:r>
      <w:r w:rsidRPr="00FF3736">
        <w:t>.  (</w:t>
      </w:r>
      <w:r w:rsidRPr="00FF3736">
        <w:rPr>
          <w:i/>
          <w:iCs/>
        </w:rPr>
        <w:t>Zhou</w:t>
      </w:r>
      <w:r w:rsidRPr="00FF3736">
        <w:t>, at p. 1479</w:t>
      </w:r>
      <w:r w:rsidRPr="00FF3736">
        <w:t xml:space="preserve">.)  Because the September 24 letter was at most an offer to accept settlement of Carolina Beverage’s outstanding </w:t>
      </w:r>
      <w:r w:rsidRPr="00FF3736">
        <w:rPr>
          <w:i/>
          <w:iCs/>
        </w:rPr>
        <w:t xml:space="preserve">contract-based </w:t>
      </w:r>
      <w:r w:rsidRPr="00FF3736">
        <w:t>claims, it was not inadmissible to prove the invalidity of its</w:t>
      </w:r>
      <w:r w:rsidRPr="00FF3736" w:rsidR="001314FD">
        <w:t xml:space="preserve"> factually and legally distinct</w:t>
      </w:r>
      <w:r w:rsidRPr="00FF3736">
        <w:t xml:space="preserve"> </w:t>
      </w:r>
      <w:r w:rsidRPr="00FF3736">
        <w:rPr>
          <w:i/>
          <w:iCs/>
        </w:rPr>
        <w:t>concealment</w:t>
      </w:r>
      <w:r w:rsidRPr="00FF3736">
        <w:t xml:space="preserve"> claim. </w:t>
      </w:r>
    </w:p>
    <w:p w:rsidR="00EE4A28" w:rsidRPr="00FF3736" w:rsidP="00727D59" w14:paraId="6EF504A0" w14:textId="600495CE">
      <w:r w:rsidRPr="00FF3736">
        <w:tab/>
      </w:r>
      <w:r w:rsidRPr="00FF3736">
        <w:tab/>
        <w:t>2.</w:t>
      </w:r>
      <w:r w:rsidRPr="00FF3736">
        <w:tab/>
      </w:r>
      <w:r w:rsidRPr="00FF3736">
        <w:rPr>
          <w:i/>
          <w:iCs/>
        </w:rPr>
        <w:t>Additional testimony from</w:t>
      </w:r>
      <w:r w:rsidR="00E40B4C">
        <w:rPr>
          <w:i/>
          <w:iCs/>
        </w:rPr>
        <w:t xml:space="preserve"> the</w:t>
      </w:r>
      <w:r w:rsidRPr="00FF3736">
        <w:rPr>
          <w:i/>
          <w:iCs/>
        </w:rPr>
        <w:t xml:space="preserve"> Evian distributor’s executive</w:t>
      </w:r>
    </w:p>
    <w:p w:rsidR="00136D20" w:rsidRPr="00FF3736" w:rsidP="00727D59" w14:paraId="34D3B0EE" w14:textId="3B7C23DF">
      <w:r w:rsidRPr="00FF3736">
        <w:tab/>
        <w:t xml:space="preserve">The trial court also did not commit prejudicial error in excluding the three additional pieces of testimony from </w:t>
      </w:r>
      <w:r w:rsidR="00B108A7">
        <w:t xml:space="preserve">the </w:t>
      </w:r>
      <w:r w:rsidRPr="00FF3736">
        <w:t xml:space="preserve">Evian distributor’s executive.  </w:t>
      </w:r>
      <w:r w:rsidRPr="00FF3736">
        <w:t xml:space="preserve">Even if we assume that the trial court erred in declaring the executive’s three further statements speculative, Carolina Beverage failed to show that their </w:t>
      </w:r>
      <w:r w:rsidRPr="00FF3736" w:rsidR="00A16F73">
        <w:t xml:space="preserve">admission </w:t>
      </w:r>
      <w:r w:rsidRPr="00FF3736" w:rsidR="00912CDB">
        <w:t>was</w:t>
      </w:r>
      <w:r w:rsidRPr="00FF3736">
        <w:t xml:space="preserve"> reasonably likely to result in a different outcome.  That is because, even if the jury had heard th</w:t>
      </w:r>
      <w:r w:rsidR="003A64A7">
        <w:t>at</w:t>
      </w:r>
      <w:r w:rsidRPr="00FF3736">
        <w:t xml:space="preserve"> Evian “would have listened” to Carolina Beverage’s offer and considered its additional data, the executive</w:t>
      </w:r>
      <w:r w:rsidRPr="00FF3736" w:rsidR="00912CDB">
        <w:t xml:space="preserve"> also </w:t>
      </w:r>
      <w:r w:rsidRPr="00FF3736">
        <w:t>testif</w:t>
      </w:r>
      <w:r w:rsidRPr="00FF3736" w:rsidR="00912CDB">
        <w:t>ied</w:t>
      </w:r>
      <w:r w:rsidRPr="00FF3736">
        <w:t xml:space="preserve"> that he “</w:t>
      </w:r>
      <w:r w:rsidR="001E299D">
        <w:t>[</w:t>
      </w:r>
      <w:r w:rsidRPr="00FF3736">
        <w:t>did</w:t>
      </w:r>
      <w:r w:rsidR="001E299D">
        <w:t>]n’t</w:t>
      </w:r>
      <w:r w:rsidRPr="00FF3736">
        <w:t xml:space="preserve"> know” whether doing so “would have changed anything.”  Taken as a whole, a jury hearing all of this testimony would have come to the same conclusion it actually came to without the excluded statements—namely, that it was unclear whether an earlier pitch by Carolina Beverage would have mattered to </w:t>
      </w:r>
      <w:r w:rsidRPr="00FF3736" w:rsidR="00A16F73">
        <w:t xml:space="preserve">the distributor’s </w:t>
      </w:r>
      <w:r w:rsidRPr="00FF3736">
        <w:t xml:space="preserve">decision about which third-party to </w:t>
      </w:r>
      <w:r w:rsidRPr="00FF3736" w:rsidR="00A16F73">
        <w:t>license</w:t>
      </w:r>
      <w:r w:rsidRPr="00FF3736">
        <w:t xml:space="preserve">. </w:t>
      </w:r>
    </w:p>
    <w:p w:rsidR="00500A01" w:rsidRPr="00FF3736" w:rsidP="00500A01" w14:paraId="66A777CB" w14:textId="5FF19805">
      <w:pPr>
        <w:rPr>
          <w:b/>
          <w:bCs/>
        </w:rPr>
      </w:pPr>
      <w:r w:rsidRPr="00FF3736">
        <w:rPr>
          <w:b/>
          <w:bCs/>
        </w:rPr>
        <w:t>III.</w:t>
      </w:r>
      <w:r w:rsidRPr="00FF3736">
        <w:rPr>
          <w:b/>
          <w:bCs/>
        </w:rPr>
        <w:tab/>
        <w:t>Attorney Fees Award</w:t>
      </w:r>
    </w:p>
    <w:p w:rsidR="00500A01" w:rsidP="00DB48BF" w14:paraId="3F3FD104" w14:textId="1F83667C">
      <w:pPr>
        <w:ind w:firstLine="720"/>
      </w:pPr>
      <w:r w:rsidRPr="00FF3736">
        <w:t xml:space="preserve">Because we have vacated the two contract-related claims on which Carolina Beverage prevailed at trial and have affirmed the jury’s verdict </w:t>
      </w:r>
      <w:r w:rsidRPr="00FF3736" w:rsidR="003E6459">
        <w:t>rejecting</w:t>
      </w:r>
      <w:r w:rsidRPr="00FF3736">
        <w:t xml:space="preserve"> Carolina</w:t>
      </w:r>
      <w:r w:rsidR="000A25B6">
        <w:t xml:space="preserve"> Beverage</w:t>
      </w:r>
      <w:r w:rsidRPr="00FF3736" w:rsidR="003E6459">
        <w:t xml:space="preserve">’s </w:t>
      </w:r>
      <w:r w:rsidRPr="00FF3736">
        <w:t xml:space="preserve">concealment claim, </w:t>
      </w:r>
      <w:r w:rsidRPr="00FF3736" w:rsidR="007E3D9C">
        <w:t>Carolina Beverage</w:t>
      </w:r>
      <w:r w:rsidRPr="00FF3736">
        <w:t xml:space="preserve"> is no longer the prevailing party and the attorney fees award must be vacated.</w:t>
      </w:r>
      <w:r w:rsidRPr="00FF3736" w:rsidR="00B039F4">
        <w:t xml:space="preserve">  The trial court is directed to conduct further proceedings on remand regarding FIJI’s entitlement under the agreement to attorney fees and costs.</w:t>
      </w:r>
      <w:r w:rsidRPr="00FF3736">
        <w:t xml:space="preserve">  </w:t>
      </w:r>
    </w:p>
    <w:p w:rsidR="003D3768" w:rsidP="00DB48BF" w14:paraId="09F395BD" w14:textId="77777777">
      <w:pPr>
        <w:ind w:firstLine="720"/>
      </w:pPr>
    </w:p>
    <w:p w:rsidR="003D3768" w:rsidP="00DB48BF" w14:paraId="5ED0CA63" w14:textId="77777777">
      <w:pPr>
        <w:ind w:firstLine="720"/>
      </w:pPr>
    </w:p>
    <w:p w:rsidR="003D3768" w:rsidP="00DB48BF" w14:paraId="5FD9FFC3" w14:textId="77777777">
      <w:pPr>
        <w:ind w:firstLine="720"/>
      </w:pPr>
    </w:p>
    <w:p w:rsidR="003D3768" w:rsidP="00DB48BF" w14:paraId="2E259343" w14:textId="77777777">
      <w:pPr>
        <w:ind w:firstLine="720"/>
      </w:pPr>
    </w:p>
    <w:p w:rsidR="003D3768" w:rsidP="00DB48BF" w14:paraId="7B80D532" w14:textId="77777777">
      <w:pPr>
        <w:ind w:firstLine="720"/>
      </w:pPr>
    </w:p>
    <w:p w:rsidR="003D3768" w:rsidP="00DB48BF" w14:paraId="794A91B1" w14:textId="77777777">
      <w:pPr>
        <w:ind w:firstLine="720"/>
      </w:pPr>
    </w:p>
    <w:p w:rsidR="003D3768" w:rsidP="00DB48BF" w14:paraId="4A8075A5" w14:textId="77777777">
      <w:pPr>
        <w:ind w:firstLine="720"/>
      </w:pPr>
    </w:p>
    <w:p w:rsidR="003D3768" w:rsidP="00DB48BF" w14:paraId="2F020A3F" w14:textId="77777777">
      <w:pPr>
        <w:ind w:firstLine="720"/>
      </w:pPr>
    </w:p>
    <w:p w:rsidR="003D3768" w:rsidP="00DB48BF" w14:paraId="21534C15" w14:textId="77777777">
      <w:pPr>
        <w:ind w:firstLine="720"/>
      </w:pPr>
    </w:p>
    <w:p w:rsidR="003D3768" w:rsidP="00DB48BF" w14:paraId="27ADDCEE" w14:textId="77777777">
      <w:pPr>
        <w:ind w:firstLine="720"/>
      </w:pPr>
    </w:p>
    <w:p w:rsidR="003D3768" w:rsidP="00DB48BF" w14:paraId="54835F8F" w14:textId="77777777">
      <w:pPr>
        <w:ind w:firstLine="720"/>
      </w:pPr>
    </w:p>
    <w:p w:rsidR="003D3768" w:rsidP="00DB48BF" w14:paraId="497F55E1" w14:textId="77777777">
      <w:pPr>
        <w:ind w:firstLine="720"/>
      </w:pPr>
    </w:p>
    <w:p w:rsidR="003D3768" w:rsidP="00DB48BF" w14:paraId="04FB38B4" w14:textId="77777777">
      <w:pPr>
        <w:ind w:firstLine="720"/>
      </w:pPr>
    </w:p>
    <w:p w:rsidR="003D3768" w:rsidP="00DB48BF" w14:paraId="03C82091" w14:textId="77777777">
      <w:pPr>
        <w:ind w:firstLine="720"/>
      </w:pPr>
    </w:p>
    <w:p w:rsidR="003D3768" w:rsidRPr="00FF3736" w:rsidP="00DB48BF" w14:paraId="2D55E110" w14:textId="77777777">
      <w:pPr>
        <w:ind w:firstLine="720"/>
      </w:pPr>
    </w:p>
    <w:p w:rsidR="002F39F6" w:rsidRPr="00FF3736" w:rsidP="00A827FB" w14:paraId="37FE9BA0" w14:textId="77777777">
      <w:pPr>
        <w:jc w:val="center"/>
        <w:rPr>
          <w:b/>
          <w:bCs/>
          <w:szCs w:val="26"/>
        </w:rPr>
      </w:pPr>
      <w:r w:rsidRPr="00FF3736">
        <w:rPr>
          <w:b/>
          <w:bCs/>
          <w:szCs w:val="26"/>
        </w:rPr>
        <w:t>DISPOSITION</w:t>
      </w:r>
    </w:p>
    <w:p w:rsidR="002F39F6" w:rsidRPr="00FF3736" w:rsidP="00A827FB" w14:paraId="3DA50FB5" w14:textId="78365B5A">
      <w:pPr>
        <w:rPr>
          <w:szCs w:val="26"/>
        </w:rPr>
      </w:pPr>
      <w:r w:rsidRPr="00FF3736">
        <w:rPr>
          <w:szCs w:val="26"/>
        </w:rPr>
        <w:tab/>
        <w:t xml:space="preserve">  </w:t>
      </w:r>
      <w:r w:rsidR="009E7283">
        <w:rPr>
          <w:szCs w:val="26"/>
        </w:rPr>
        <w:t>The judgment is reversed, t</w:t>
      </w:r>
      <w:r w:rsidRPr="00FF3736" w:rsidR="00743E88">
        <w:rPr>
          <w:szCs w:val="26"/>
        </w:rPr>
        <w:t>he order denying FIJI’s motion for JNOV is reversed</w:t>
      </w:r>
      <w:r w:rsidRPr="00FF3736" w:rsidR="00B57F28">
        <w:rPr>
          <w:szCs w:val="26"/>
        </w:rPr>
        <w:t>, and the order awarding Carolina Beverage’s attorney fees is vacated.</w:t>
      </w:r>
      <w:r w:rsidRPr="00FF3736" w:rsidR="00743E88">
        <w:rPr>
          <w:szCs w:val="26"/>
        </w:rPr>
        <w:t xml:space="preserve">  The trial court is directed to enter judgment for FIJI and to conduct further proceedings regarding attorney fees and costs.  FIJI is entitled to its costs on appeal.    </w:t>
      </w:r>
    </w:p>
    <w:p w:rsidR="002F39F6" w:rsidRPr="00FF3736" w:rsidP="00A827FB" w14:paraId="005870A5" w14:textId="40FBD8AC">
      <w:pPr>
        <w:ind w:firstLine="720"/>
        <w:rPr>
          <w:rFonts w:eastAsia="Calibri"/>
          <w:szCs w:val="26"/>
        </w:rPr>
      </w:pPr>
      <w:r w:rsidRPr="00FF3736">
        <w:rPr>
          <w:rFonts w:eastAsia="Calibri"/>
          <w:b/>
          <w:bCs/>
          <w:szCs w:val="26"/>
          <w:u w:val="single"/>
        </w:rPr>
        <w:t xml:space="preserve">CERTIFIED FOR </w:t>
      </w:r>
      <w:r w:rsidRPr="00FF3736" w:rsidR="00D60728">
        <w:rPr>
          <w:rFonts w:eastAsia="Calibri"/>
          <w:b/>
          <w:bCs/>
          <w:szCs w:val="26"/>
          <w:u w:val="single"/>
        </w:rPr>
        <w:t xml:space="preserve">PARTIAL </w:t>
      </w:r>
      <w:r w:rsidRPr="00FF3736">
        <w:rPr>
          <w:rFonts w:eastAsia="Calibri"/>
          <w:b/>
          <w:bCs/>
          <w:szCs w:val="26"/>
          <w:u w:val="single"/>
        </w:rPr>
        <w:t>PUBLICATION</w:t>
      </w:r>
      <w:r w:rsidRPr="00FF3736">
        <w:rPr>
          <w:rFonts w:eastAsia="Calibri"/>
          <w:szCs w:val="26"/>
        </w:rPr>
        <w:t>.</w:t>
      </w:r>
    </w:p>
    <w:p w:rsidR="002F39F6" w:rsidRPr="00FF3736" w:rsidP="00A827FB" w14:paraId="5BE60DE8" w14:textId="77777777">
      <w:pPr>
        <w:ind w:firstLine="720"/>
        <w:rPr>
          <w:rFonts w:eastAsia="Calibri"/>
          <w:szCs w:val="26"/>
        </w:rPr>
      </w:pPr>
    </w:p>
    <w:p w:rsidR="002F39F6" w:rsidRPr="00FF3736" w:rsidP="00A827FB" w14:paraId="23B05E51" w14:textId="77777777">
      <w:pPr>
        <w:ind w:firstLine="720"/>
        <w:rPr>
          <w:rFonts w:eastAsia="Calibri"/>
          <w:szCs w:val="26"/>
        </w:rPr>
      </w:pPr>
    </w:p>
    <w:p w:rsidR="002F39F6" w:rsidRPr="00FF3736" w:rsidP="00A827FB" w14:paraId="401F13E8" w14:textId="77777777">
      <w:pPr>
        <w:rPr>
          <w:rFonts w:eastAsia="Calibri"/>
          <w:szCs w:val="26"/>
        </w:rPr>
      </w:pP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t>______________________, J.</w:t>
      </w:r>
    </w:p>
    <w:p w:rsidR="002F39F6" w:rsidRPr="00FF3736" w:rsidP="00A827FB" w14:paraId="034B73E4" w14:textId="77777777">
      <w:pPr>
        <w:rPr>
          <w:rFonts w:eastAsia="Calibri"/>
          <w:szCs w:val="26"/>
        </w:rPr>
      </w:pP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t>HOFFSTADT</w:t>
      </w:r>
    </w:p>
    <w:p w:rsidR="002F39F6" w:rsidRPr="00FF3736" w:rsidP="00A827FB" w14:paraId="00A9A5AF" w14:textId="77777777">
      <w:pPr>
        <w:rPr>
          <w:rFonts w:eastAsia="Calibri"/>
          <w:szCs w:val="26"/>
        </w:rPr>
      </w:pPr>
    </w:p>
    <w:p w:rsidR="002F39F6" w:rsidRPr="00FF3736" w:rsidP="00A827FB" w14:paraId="0745D25E" w14:textId="77777777">
      <w:pPr>
        <w:widowControl w:val="0"/>
        <w:rPr>
          <w:rFonts w:eastAsia="Century Schoolbook" w:cs="Century Schoolbook"/>
          <w:color w:val="000000"/>
          <w:szCs w:val="26"/>
        </w:rPr>
      </w:pPr>
      <w:r w:rsidRPr="00FF3736">
        <w:rPr>
          <w:rFonts w:eastAsia="Century Schoolbook" w:cs="Century Schoolbook"/>
          <w:color w:val="000000"/>
          <w:szCs w:val="26"/>
        </w:rPr>
        <w:t>We concur:</w:t>
      </w:r>
    </w:p>
    <w:p w:rsidR="002F39F6" w:rsidRPr="00FF3736" w:rsidP="00A827FB" w14:paraId="1CA41592" w14:textId="77777777">
      <w:pPr>
        <w:widowControl w:val="0"/>
        <w:rPr>
          <w:rFonts w:eastAsia="Century Schoolbook" w:cs="Century Schoolbook"/>
          <w:color w:val="000000"/>
          <w:szCs w:val="26"/>
        </w:rPr>
      </w:pPr>
    </w:p>
    <w:p w:rsidR="002F39F6" w:rsidRPr="00FF3736" w:rsidP="00A827FB" w14:paraId="5DDC35F2" w14:textId="77777777">
      <w:pPr>
        <w:widowControl w:val="0"/>
        <w:rPr>
          <w:rFonts w:eastAsia="Century Schoolbook" w:cs="Century Schoolbook"/>
          <w:color w:val="000000"/>
          <w:szCs w:val="26"/>
        </w:rPr>
      </w:pPr>
    </w:p>
    <w:p w:rsidR="002F39F6" w:rsidRPr="00FF3736" w:rsidP="00A827FB" w14:paraId="640E61E6" w14:textId="03DA7822">
      <w:pPr>
        <w:widowControl w:val="0"/>
        <w:rPr>
          <w:rFonts w:eastAsia="Century Schoolbook" w:cs="Century Schoolbook"/>
          <w:color w:val="000000"/>
          <w:szCs w:val="26"/>
        </w:rPr>
      </w:pPr>
      <w:r w:rsidRPr="00FF3736">
        <w:rPr>
          <w:rFonts w:eastAsia="Century Schoolbook" w:cs="Century Schoolbook"/>
          <w:color w:val="000000"/>
          <w:szCs w:val="26"/>
        </w:rPr>
        <w:t xml:space="preserve">_________________________, </w:t>
      </w:r>
      <w:r w:rsidRPr="00FF3736" w:rsidR="00B36647">
        <w:rPr>
          <w:rFonts w:eastAsia="Century Schoolbook" w:cs="Century Schoolbook"/>
          <w:color w:val="000000"/>
          <w:szCs w:val="26"/>
        </w:rPr>
        <w:t xml:space="preserve">Acting </w:t>
      </w:r>
      <w:r w:rsidRPr="00FF3736">
        <w:rPr>
          <w:rFonts w:eastAsia="Century Schoolbook" w:cs="Century Schoolbook"/>
          <w:color w:val="000000"/>
          <w:szCs w:val="26"/>
        </w:rPr>
        <w:t>P. J.</w:t>
      </w:r>
    </w:p>
    <w:p w:rsidR="002F39F6" w:rsidRPr="00FF3736" w:rsidP="00A827FB" w14:paraId="16CE9E5B" w14:textId="3DF983E9">
      <w:pPr>
        <w:widowControl w:val="0"/>
        <w:rPr>
          <w:rFonts w:eastAsia="Century Schoolbook" w:cs="Century Schoolbook"/>
          <w:color w:val="000000"/>
          <w:szCs w:val="26"/>
        </w:rPr>
      </w:pPr>
      <w:r w:rsidRPr="00FF3736">
        <w:rPr>
          <w:rFonts w:eastAsia="Century Schoolbook" w:cs="Century Schoolbook"/>
          <w:color w:val="000000"/>
          <w:szCs w:val="26"/>
        </w:rPr>
        <w:t xml:space="preserve"> </w:t>
      </w:r>
      <w:r w:rsidRPr="00FF3736" w:rsidR="00B36647">
        <w:rPr>
          <w:rFonts w:eastAsia="Century Schoolbook" w:cs="Century Schoolbook"/>
          <w:color w:val="000000"/>
          <w:szCs w:val="26"/>
        </w:rPr>
        <w:t>ASHMANN-GERST</w:t>
      </w:r>
    </w:p>
    <w:p w:rsidR="002F39F6" w:rsidRPr="00FF3736" w:rsidP="00A827FB" w14:paraId="0F9DCED2" w14:textId="77777777">
      <w:pPr>
        <w:widowControl w:val="0"/>
        <w:rPr>
          <w:rFonts w:eastAsia="Century Schoolbook" w:cs="Century Schoolbook"/>
          <w:color w:val="000000"/>
          <w:szCs w:val="26"/>
        </w:rPr>
      </w:pPr>
    </w:p>
    <w:p w:rsidR="002F39F6" w:rsidRPr="00FF3736" w:rsidP="00A827FB" w14:paraId="341405E3" w14:textId="77777777">
      <w:pPr>
        <w:widowControl w:val="0"/>
        <w:rPr>
          <w:rFonts w:eastAsia="Century Schoolbook" w:cs="Century Schoolbook"/>
          <w:color w:val="000000"/>
          <w:szCs w:val="26"/>
        </w:rPr>
      </w:pPr>
    </w:p>
    <w:p w:rsidR="002F39F6" w:rsidRPr="00FF3736" w:rsidP="00A827FB" w14:paraId="7F32A6C2" w14:textId="77777777">
      <w:pPr>
        <w:widowControl w:val="0"/>
        <w:rPr>
          <w:rFonts w:eastAsia="Century Schoolbook" w:cs="Century Schoolbook"/>
          <w:color w:val="000000"/>
          <w:szCs w:val="26"/>
        </w:rPr>
      </w:pPr>
      <w:r w:rsidRPr="00FF3736">
        <w:rPr>
          <w:rFonts w:eastAsia="Century Schoolbook" w:cs="Century Schoolbook"/>
          <w:color w:val="000000"/>
          <w:szCs w:val="26"/>
        </w:rPr>
        <w:t>_________________________, J.</w:t>
      </w:r>
    </w:p>
    <w:p w:rsidR="00615748" w:rsidRPr="00447C96" w:rsidP="00A827FB" w14:paraId="0A85BC50" w14:textId="74036816">
      <w:pPr>
        <w:rPr>
          <w:b/>
          <w:bCs/>
          <w:i/>
          <w:iCs/>
          <w:szCs w:val="26"/>
        </w:rPr>
      </w:pPr>
      <w:r w:rsidRPr="00FF3736">
        <w:rPr>
          <w:rFonts w:eastAsia="Century Schoolbook" w:cs="Century Schoolbook"/>
          <w:szCs w:val="26"/>
        </w:rPr>
        <w:t xml:space="preserve"> CHAVEZ</w:t>
      </w:r>
      <w:bookmarkEnd w:id="0"/>
    </w:p>
    <w:sectPr w:rsidSect="007C5918">
      <w:footerReference w:type="even" r:id="rId6"/>
      <w:footerReference w:type="default" r:id="rId7"/>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975" w:rsidP="00726EF2" w14:paraId="40BC36D9" w14:textId="2F7885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6050">
      <w:rPr>
        <w:rStyle w:val="PageNumber"/>
        <w:noProof/>
      </w:rPr>
      <w:t>16</w:t>
    </w:r>
    <w:r>
      <w:rPr>
        <w:rStyle w:val="PageNumber"/>
      </w:rPr>
      <w:fldChar w:fldCharType="end"/>
    </w:r>
  </w:p>
  <w:p w:rsidR="00654975" w14:paraId="54E761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975" w:rsidP="00726EF2" w14:paraId="0F90FCD3" w14:textId="41C52B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54975" w14:paraId="366EE4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5918" w:rsidP="00654975" w14:paraId="2BE02D10" w14:textId="585B896D">
      <w:pPr>
        <w:spacing w:line="240" w:lineRule="auto"/>
      </w:pPr>
      <w:r>
        <w:continuationSeparator/>
      </w:r>
    </w:p>
  </w:footnote>
  <w:footnote w:type="continuationSeparator" w:id="1">
    <w:p w:rsidR="007C5918" w:rsidP="00654975" w14:paraId="3815898F" w14:textId="77777777">
      <w:pPr>
        <w:spacing w:line="240" w:lineRule="auto"/>
      </w:pPr>
      <w:r>
        <w:continuationSeparator/>
      </w:r>
    </w:p>
  </w:footnote>
  <w:footnote w:id="2">
    <w:p w:rsidR="00CA2E76" w:rsidRPr="00A20988" w:rsidP="00A20988" w14:paraId="47AA5A24" w14:textId="3925DAF5">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t>*</w:t>
      </w:r>
      <w:r w:rsidRPr="00DB48BF">
        <w:rPr>
          <w:rFonts w:ascii="Century Schoolbook" w:hAnsi="Century Schoolbook"/>
          <w:b/>
          <w:bCs/>
          <w:sz w:val="22"/>
          <w:szCs w:val="22"/>
          <w:vertAlign w:val="superscript"/>
        </w:rPr>
        <w:t xml:space="preserve"> </w:t>
      </w:r>
      <w:r w:rsidRPr="00A20988">
        <w:rPr>
          <w:rFonts w:ascii="Century Schoolbook" w:hAnsi="Century Schoolbook"/>
          <w:b/>
          <w:bCs/>
          <w:sz w:val="26"/>
          <w:szCs w:val="26"/>
        </w:rPr>
        <w:tab/>
      </w:r>
      <w:r w:rsidRPr="00A20988">
        <w:rPr>
          <w:rFonts w:ascii="Century Schoolbook" w:hAnsi="Century Schoolbook"/>
          <w:sz w:val="26"/>
          <w:szCs w:val="26"/>
        </w:rPr>
        <w:t>Pursuant to California Rules of Court, rules 8.1100 and 8.1110, this opinion is certified for publication as to all parts except Part</w:t>
      </w:r>
      <w:r w:rsidR="003F7422">
        <w:rPr>
          <w:rFonts w:ascii="Century Schoolbook" w:hAnsi="Century Schoolbook"/>
          <w:sz w:val="26"/>
          <w:szCs w:val="26"/>
        </w:rPr>
        <w:t>s</w:t>
      </w:r>
      <w:r w:rsidRPr="00A20988">
        <w:rPr>
          <w:rFonts w:ascii="Century Schoolbook" w:hAnsi="Century Schoolbook"/>
          <w:sz w:val="26"/>
          <w:szCs w:val="26"/>
        </w:rPr>
        <w:t xml:space="preserve"> II </w:t>
      </w:r>
      <w:r w:rsidR="003F7422">
        <w:rPr>
          <w:rFonts w:ascii="Century Schoolbook" w:hAnsi="Century Schoolbook"/>
          <w:sz w:val="26"/>
          <w:szCs w:val="26"/>
        </w:rPr>
        <w:t xml:space="preserve">and III </w:t>
      </w:r>
      <w:r w:rsidRPr="00A20988">
        <w:rPr>
          <w:rFonts w:ascii="Century Schoolbook" w:hAnsi="Century Schoolbook"/>
          <w:sz w:val="26"/>
          <w:szCs w:val="26"/>
        </w:rPr>
        <w:t>of the Discussion.</w:t>
      </w:r>
    </w:p>
  </w:footnote>
  <w:footnote w:id="3">
    <w:p w:rsidR="004F7D8E" w:rsidP="00A20988" w14:paraId="4FB276F4" w14:textId="15BE8B82">
      <w:pPr>
        <w:pStyle w:val="FootnoteText"/>
        <w:rPr>
          <w:rFonts w:ascii="Century Schoolbook" w:hAnsi="Century Schoolbook"/>
          <w:sz w:val="26"/>
          <w:szCs w:val="26"/>
        </w:rPr>
      </w:pPr>
      <w:r w:rsidRPr="004E4A53">
        <w:rPr>
          <w:rStyle w:val="FootnoteReference"/>
          <w:rFonts w:ascii="Century Schoolbook" w:hAnsi="Century Schoolbook"/>
          <w:b/>
          <w:bCs/>
          <w:sz w:val="20"/>
          <w:vertAlign w:val="baseline"/>
        </w:rPr>
        <w:footnoteRef/>
      </w:r>
      <w:r w:rsidRPr="00D6736C">
        <w:rPr>
          <w:rFonts w:ascii="Century Schoolbook" w:hAnsi="Century Schoolbook"/>
          <w:b/>
          <w:bCs/>
          <w:sz w:val="26"/>
          <w:szCs w:val="26"/>
        </w:rPr>
        <w:t xml:space="preserve"> </w:t>
      </w:r>
      <w:r w:rsidRPr="00A20988">
        <w:rPr>
          <w:rFonts w:ascii="Century Schoolbook" w:hAnsi="Century Schoolbook"/>
          <w:sz w:val="26"/>
          <w:szCs w:val="26"/>
        </w:rPr>
        <w:tab/>
        <w:t xml:space="preserve">Carolina Beverage owns Carolina Bottling Company, Quality Beverage, </w:t>
      </w:r>
      <w:r w:rsidR="000A44C9">
        <w:rPr>
          <w:rFonts w:ascii="Century Schoolbook" w:hAnsi="Century Schoolbook"/>
          <w:sz w:val="26"/>
          <w:szCs w:val="26"/>
        </w:rPr>
        <w:t>LLC</w:t>
      </w:r>
      <w:r w:rsidRPr="00A20988">
        <w:rPr>
          <w:rFonts w:ascii="Century Schoolbook" w:hAnsi="Century Schoolbook"/>
          <w:sz w:val="26"/>
          <w:szCs w:val="26"/>
        </w:rPr>
        <w:t>, Piedmont Cheerwine Beverage Corporation, Dixie Riverside, Inc.</w:t>
      </w:r>
      <w:r w:rsidR="00131E33">
        <w:rPr>
          <w:rFonts w:ascii="Century Schoolbook" w:hAnsi="Century Schoolbook"/>
          <w:sz w:val="26"/>
          <w:szCs w:val="26"/>
        </w:rPr>
        <w:t>,</w:t>
      </w:r>
      <w:r w:rsidRPr="00A20988">
        <w:rPr>
          <w:rFonts w:ascii="Century Schoolbook" w:hAnsi="Century Schoolbook"/>
          <w:sz w:val="26"/>
          <w:szCs w:val="26"/>
        </w:rPr>
        <w:t xml:space="preserve"> and Alligator Beverage, LLC</w:t>
      </w:r>
      <w:r w:rsidR="00040C68">
        <w:rPr>
          <w:rFonts w:ascii="Century Schoolbook" w:hAnsi="Century Schoolbook"/>
          <w:sz w:val="26"/>
          <w:szCs w:val="26"/>
        </w:rPr>
        <w:t xml:space="preserve">; it is the owned </w:t>
      </w:r>
      <w:r w:rsidRPr="00A20988">
        <w:rPr>
          <w:rFonts w:ascii="Century Schoolbook" w:hAnsi="Century Schoolbook"/>
          <w:sz w:val="26"/>
          <w:szCs w:val="26"/>
        </w:rPr>
        <w:t xml:space="preserve">entities </w:t>
      </w:r>
      <w:r w:rsidR="00040C68">
        <w:rPr>
          <w:rFonts w:ascii="Century Schoolbook" w:hAnsi="Century Schoolbook"/>
          <w:sz w:val="26"/>
          <w:szCs w:val="26"/>
        </w:rPr>
        <w:t>that</w:t>
      </w:r>
      <w:r w:rsidRPr="00A20988">
        <w:rPr>
          <w:rFonts w:ascii="Century Schoolbook" w:hAnsi="Century Schoolbook"/>
          <w:sz w:val="26"/>
          <w:szCs w:val="26"/>
        </w:rPr>
        <w:t xml:space="preserve"> did the </w:t>
      </w:r>
      <w:r w:rsidR="00131E33">
        <w:rPr>
          <w:rFonts w:ascii="Century Schoolbook" w:hAnsi="Century Schoolbook"/>
          <w:sz w:val="26"/>
          <w:szCs w:val="26"/>
        </w:rPr>
        <w:t>distributing</w:t>
      </w:r>
      <w:r w:rsidRPr="00A20988">
        <w:rPr>
          <w:rFonts w:ascii="Century Schoolbook" w:hAnsi="Century Schoolbook"/>
          <w:sz w:val="26"/>
          <w:szCs w:val="26"/>
        </w:rPr>
        <w:t>.  However, Dixie Riverside and Alligator Beverage settled</w:t>
      </w:r>
      <w:r w:rsidR="00DE78F8">
        <w:rPr>
          <w:rFonts w:ascii="Century Schoolbook" w:hAnsi="Century Schoolbook"/>
          <w:sz w:val="26"/>
          <w:szCs w:val="26"/>
        </w:rPr>
        <w:t>,</w:t>
      </w:r>
      <w:r w:rsidRPr="00A20988">
        <w:rPr>
          <w:rFonts w:ascii="Century Schoolbook" w:hAnsi="Century Schoolbook"/>
          <w:sz w:val="26"/>
          <w:szCs w:val="26"/>
        </w:rPr>
        <w:t xml:space="preserve"> and the remaining entities all assigned their claims at issue in th</w:t>
      </w:r>
      <w:r w:rsidR="00131E33">
        <w:rPr>
          <w:rFonts w:ascii="Century Schoolbook" w:hAnsi="Century Schoolbook"/>
          <w:sz w:val="26"/>
          <w:szCs w:val="26"/>
        </w:rPr>
        <w:t>is</w:t>
      </w:r>
      <w:r w:rsidRPr="00A20988">
        <w:rPr>
          <w:rFonts w:ascii="Century Schoolbook" w:hAnsi="Century Schoolbook"/>
          <w:sz w:val="26"/>
          <w:szCs w:val="26"/>
        </w:rPr>
        <w:t xml:space="preserve"> case to Carolina Beverage.  </w:t>
      </w:r>
      <w:r w:rsidR="00040C68">
        <w:rPr>
          <w:rFonts w:ascii="Century Schoolbook" w:hAnsi="Century Schoolbook"/>
          <w:sz w:val="26"/>
          <w:szCs w:val="26"/>
        </w:rPr>
        <w:t>F</w:t>
      </w:r>
      <w:r w:rsidRPr="00A20988">
        <w:rPr>
          <w:rFonts w:ascii="Century Schoolbook" w:hAnsi="Century Schoolbook"/>
          <w:sz w:val="26"/>
          <w:szCs w:val="26"/>
        </w:rPr>
        <w:t xml:space="preserve">or </w:t>
      </w:r>
      <w:r w:rsidR="004E4A53">
        <w:rPr>
          <w:rFonts w:ascii="Century Schoolbook" w:hAnsi="Century Schoolbook"/>
          <w:sz w:val="26"/>
          <w:szCs w:val="26"/>
        </w:rPr>
        <w:t xml:space="preserve">the </w:t>
      </w:r>
      <w:r w:rsidRPr="00A20988">
        <w:rPr>
          <w:rFonts w:ascii="Century Schoolbook" w:hAnsi="Century Schoolbook"/>
          <w:sz w:val="26"/>
          <w:szCs w:val="26"/>
        </w:rPr>
        <w:t xml:space="preserve">sake of simplicity, we will </w:t>
      </w:r>
      <w:r w:rsidR="00131E33">
        <w:rPr>
          <w:rFonts w:ascii="Century Schoolbook" w:hAnsi="Century Schoolbook"/>
          <w:sz w:val="26"/>
          <w:szCs w:val="26"/>
        </w:rPr>
        <w:t>collectively refer</w:t>
      </w:r>
      <w:r w:rsidRPr="00A20988">
        <w:rPr>
          <w:rFonts w:ascii="Century Schoolbook" w:hAnsi="Century Schoolbook"/>
          <w:sz w:val="26"/>
          <w:szCs w:val="26"/>
        </w:rPr>
        <w:t xml:space="preserve"> to all the entities as Carolina Beverage.</w:t>
      </w:r>
    </w:p>
    <w:p w:rsidR="00D6736C" w:rsidRPr="00A20988" w:rsidP="00A20988" w14:paraId="0561EA12" w14:textId="77777777">
      <w:pPr>
        <w:pStyle w:val="FootnoteText"/>
        <w:rPr>
          <w:rFonts w:ascii="Century Schoolbook" w:hAnsi="Century Schoolbook"/>
          <w:sz w:val="26"/>
          <w:szCs w:val="26"/>
        </w:rPr>
      </w:pPr>
    </w:p>
  </w:footnote>
  <w:footnote w:id="4">
    <w:p w:rsidR="003C6C6F" w14:paraId="0414E965" w14:textId="49FAC9F3">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3C6C6F">
        <w:rPr>
          <w:rFonts w:ascii="Century Schoolbook" w:hAnsi="Century Schoolbook"/>
          <w:sz w:val="26"/>
          <w:szCs w:val="26"/>
        </w:rPr>
        <w:t>Between 2001 and 2008, Carolina Beverage acted as a third-party distributor for FIJI under an oral “handshake deal.”</w:t>
      </w:r>
    </w:p>
    <w:p w:rsidR="00561BDA" w:rsidRPr="003C6C6F" w14:paraId="37FBA64A" w14:textId="77777777">
      <w:pPr>
        <w:pStyle w:val="FootnoteText"/>
        <w:rPr>
          <w:rFonts w:ascii="Century Schoolbook" w:hAnsi="Century Schoolbook"/>
          <w:sz w:val="26"/>
          <w:szCs w:val="26"/>
        </w:rPr>
      </w:pPr>
    </w:p>
  </w:footnote>
  <w:footnote w:id="5">
    <w:p w:rsidR="00EF1542" w:rsidRPr="00A20988" w:rsidP="00A20988" w14:paraId="19EA75F3" w14:textId="3522534F">
      <w:pPr>
        <w:pStyle w:val="FootnoteText"/>
        <w:rPr>
          <w:rFonts w:ascii="Century Schoolbook" w:hAnsi="Century Schoolbook"/>
          <w:sz w:val="26"/>
          <w:szCs w:val="26"/>
        </w:rPr>
      </w:pPr>
      <w:r w:rsidRPr="00D6736C">
        <w:rPr>
          <w:rStyle w:val="FootnoteReference"/>
          <w:rFonts w:ascii="Century Schoolbook" w:hAnsi="Century Schoolbook"/>
          <w:b/>
          <w:bCs/>
          <w:sz w:val="20"/>
          <w:vertAlign w:val="baseline"/>
        </w:rPr>
        <w:footnoteRef/>
      </w:r>
      <w:r w:rsidRPr="00D6736C">
        <w:rPr>
          <w:rFonts w:ascii="Century Schoolbook" w:hAnsi="Century Schoolbook"/>
          <w:b/>
          <w:bCs/>
        </w:rPr>
        <w:t xml:space="preserve"> </w:t>
      </w:r>
      <w:r w:rsidRPr="00A20988">
        <w:rPr>
          <w:rFonts w:ascii="Century Schoolbook" w:hAnsi="Century Schoolbook"/>
          <w:sz w:val="26"/>
          <w:szCs w:val="26"/>
        </w:rPr>
        <w:tab/>
        <w:t>This right exclude</w:t>
      </w:r>
      <w:r>
        <w:rPr>
          <w:rFonts w:ascii="Century Schoolbook" w:hAnsi="Century Schoolbook"/>
          <w:sz w:val="26"/>
          <w:szCs w:val="26"/>
        </w:rPr>
        <w:t>d</w:t>
      </w:r>
      <w:r w:rsidRPr="00A20988">
        <w:rPr>
          <w:rFonts w:ascii="Century Schoolbook" w:hAnsi="Century Schoolbook"/>
          <w:sz w:val="26"/>
          <w:szCs w:val="26"/>
        </w:rPr>
        <w:t xml:space="preserve"> distribution to “On Premise accounts,” “retail accounts” that d</w:t>
      </w:r>
      <w:r w:rsidR="00095964">
        <w:rPr>
          <w:rFonts w:ascii="Century Schoolbook" w:hAnsi="Century Schoolbook"/>
          <w:sz w:val="26"/>
          <w:szCs w:val="26"/>
        </w:rPr>
        <w:t>id</w:t>
      </w:r>
      <w:r w:rsidRPr="00A20988">
        <w:rPr>
          <w:rFonts w:ascii="Century Schoolbook" w:hAnsi="Century Schoolbook"/>
          <w:sz w:val="26"/>
          <w:szCs w:val="26"/>
        </w:rPr>
        <w:t xml:space="preserve"> not accept deliveries from third-party distributors, and other enumerated “[e]xcluded [a]ccounts.” </w:t>
      </w:r>
    </w:p>
  </w:footnote>
  <w:footnote w:id="6">
    <w:p w:rsidR="006F791E" w:rsidRPr="006F791E" w14:paraId="4EC1C55C" w14:textId="16855C90">
      <w:pPr>
        <w:pStyle w:val="FootnoteText"/>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6F791E">
        <w:rPr>
          <w:rFonts w:ascii="Century Schoolbook" w:hAnsi="Century Schoolbook"/>
          <w:sz w:val="26"/>
          <w:szCs w:val="26"/>
        </w:rPr>
        <w:t xml:space="preserve">FIJI also retained a right to directly </w:t>
      </w:r>
      <w:r w:rsidRPr="006F791E">
        <w:rPr>
          <w:rFonts w:ascii="Century Schoolbook" w:hAnsi="Century Schoolbook"/>
          <w:i/>
          <w:iCs/>
          <w:sz w:val="26"/>
          <w:szCs w:val="26"/>
        </w:rPr>
        <w:t>sell</w:t>
      </w:r>
      <w:r w:rsidRPr="006F791E">
        <w:rPr>
          <w:rFonts w:ascii="Century Schoolbook" w:hAnsi="Century Schoolbook"/>
          <w:sz w:val="26"/>
          <w:szCs w:val="26"/>
        </w:rPr>
        <w:t xml:space="preserve"> products to “national account customers” and their “</w:t>
      </w:r>
      <w:r w:rsidR="00B32D13">
        <w:rPr>
          <w:rFonts w:ascii="Century Schoolbook" w:hAnsi="Century Schoolbook"/>
          <w:sz w:val="26"/>
          <w:szCs w:val="26"/>
        </w:rPr>
        <w:t>[</w:t>
      </w:r>
      <w:r w:rsidR="000004C9">
        <w:rPr>
          <w:rFonts w:ascii="Century Schoolbook" w:hAnsi="Century Schoolbook"/>
          <w:sz w:val="26"/>
          <w:szCs w:val="26"/>
        </w:rPr>
        <w:t>l</w:t>
      </w:r>
      <w:r w:rsidR="00B32D13">
        <w:rPr>
          <w:rFonts w:ascii="Century Schoolbook" w:hAnsi="Century Schoolbook"/>
          <w:sz w:val="26"/>
          <w:szCs w:val="26"/>
        </w:rPr>
        <w:t>]</w:t>
      </w:r>
      <w:r w:rsidR="000004C9">
        <w:rPr>
          <w:rFonts w:ascii="Century Schoolbook" w:hAnsi="Century Schoolbook"/>
          <w:sz w:val="26"/>
          <w:szCs w:val="26"/>
        </w:rPr>
        <w:t xml:space="preserve">ocal </w:t>
      </w:r>
      <w:r w:rsidR="00B32D13">
        <w:rPr>
          <w:rFonts w:ascii="Century Schoolbook" w:hAnsi="Century Schoolbook"/>
          <w:sz w:val="26"/>
          <w:szCs w:val="26"/>
        </w:rPr>
        <w:t>[</w:t>
      </w:r>
      <w:r w:rsidRPr="006F791E">
        <w:rPr>
          <w:rFonts w:ascii="Century Schoolbook" w:hAnsi="Century Schoolbook"/>
          <w:sz w:val="26"/>
          <w:szCs w:val="26"/>
        </w:rPr>
        <w:t>o</w:t>
      </w:r>
      <w:r w:rsidR="00B32D13">
        <w:rPr>
          <w:rFonts w:ascii="Century Schoolbook" w:hAnsi="Century Schoolbook"/>
          <w:sz w:val="26"/>
          <w:szCs w:val="26"/>
        </w:rPr>
        <w:t>]</w:t>
      </w:r>
      <w:r w:rsidRPr="006F791E">
        <w:rPr>
          <w:rFonts w:ascii="Century Schoolbook" w:hAnsi="Century Schoolbook"/>
          <w:sz w:val="26"/>
          <w:szCs w:val="26"/>
        </w:rPr>
        <w:t>utlets” “on behalf of [Carolina Beverage] and for [Carolina Beverage’s] account,” as long as Carolina Beverage continue</w:t>
      </w:r>
      <w:r w:rsidR="00EF1542">
        <w:rPr>
          <w:rFonts w:ascii="Century Schoolbook" w:hAnsi="Century Schoolbook"/>
          <w:sz w:val="26"/>
          <w:szCs w:val="26"/>
        </w:rPr>
        <w:t>d</w:t>
      </w:r>
      <w:r w:rsidRPr="006F791E">
        <w:rPr>
          <w:rFonts w:ascii="Century Schoolbook" w:hAnsi="Century Schoolbook"/>
          <w:sz w:val="26"/>
          <w:szCs w:val="26"/>
        </w:rPr>
        <w:t xml:space="preserve"> to deliver the products.  In this </w:t>
      </w:r>
      <w:r w:rsidR="000004C9">
        <w:rPr>
          <w:rFonts w:ascii="Century Schoolbook" w:hAnsi="Century Schoolbook"/>
          <w:sz w:val="26"/>
          <w:szCs w:val="26"/>
        </w:rPr>
        <w:t>situation</w:t>
      </w:r>
      <w:r w:rsidRPr="006F791E">
        <w:rPr>
          <w:rFonts w:ascii="Century Schoolbook" w:hAnsi="Century Schoolbook"/>
          <w:sz w:val="26"/>
          <w:szCs w:val="26"/>
        </w:rPr>
        <w:t>,</w:t>
      </w:r>
      <w:r w:rsidR="00EF1542">
        <w:rPr>
          <w:rFonts w:ascii="Century Schoolbook" w:hAnsi="Century Schoolbook"/>
          <w:sz w:val="26"/>
          <w:szCs w:val="26"/>
        </w:rPr>
        <w:t xml:space="preserve"> FIJI would owe no </w:t>
      </w:r>
      <w:r w:rsidRPr="006F791E">
        <w:rPr>
          <w:rFonts w:ascii="Century Schoolbook" w:hAnsi="Century Schoolbook"/>
          <w:sz w:val="26"/>
          <w:szCs w:val="26"/>
        </w:rPr>
        <w:t>invasion fee.</w:t>
      </w:r>
    </w:p>
  </w:footnote>
  <w:footnote w:id="7">
    <w:p w:rsidR="00370908" w:rsidRPr="00A20988" w:rsidP="00370908" w14:paraId="54CCDA50" w14:textId="153CB4C4">
      <w:pPr>
        <w:pStyle w:val="FootnoteText"/>
        <w:rPr>
          <w:rFonts w:ascii="Century Schoolbook" w:hAnsi="Century Schoolbook"/>
          <w:sz w:val="26"/>
          <w:szCs w:val="26"/>
        </w:rPr>
      </w:pPr>
      <w:r w:rsidRPr="007A1981">
        <w:rPr>
          <w:rStyle w:val="FootnoteReference"/>
          <w:rFonts w:ascii="Century Schoolbook" w:hAnsi="Century Schoolbook"/>
          <w:b/>
          <w:bCs/>
          <w:sz w:val="20"/>
          <w:vertAlign w:val="baseline"/>
        </w:rPr>
        <w:footnoteRef/>
      </w:r>
      <w:r w:rsidRPr="007A1981">
        <w:rPr>
          <w:rFonts w:ascii="Century Schoolbook" w:hAnsi="Century Schoolbook"/>
          <w:b/>
          <w:bCs/>
        </w:rPr>
        <w:t xml:space="preserve"> </w:t>
      </w:r>
      <w:r w:rsidRPr="00A20988">
        <w:rPr>
          <w:rFonts w:ascii="Century Schoolbook" w:hAnsi="Century Schoolbook"/>
          <w:sz w:val="26"/>
          <w:szCs w:val="26"/>
        </w:rPr>
        <w:tab/>
      </w:r>
      <w:r w:rsidR="007E4950">
        <w:rPr>
          <w:rFonts w:ascii="Century Schoolbook" w:hAnsi="Century Schoolbook"/>
          <w:sz w:val="26"/>
          <w:szCs w:val="26"/>
        </w:rPr>
        <w:t>FIJI’s</w:t>
      </w:r>
      <w:r w:rsidRPr="00A20988">
        <w:rPr>
          <w:rFonts w:ascii="Century Schoolbook" w:hAnsi="Century Schoolbook"/>
          <w:sz w:val="26"/>
          <w:szCs w:val="26"/>
        </w:rPr>
        <w:t xml:space="preserve"> internal investigation was known as “Project Sunny.”</w:t>
      </w:r>
    </w:p>
  </w:footnote>
  <w:footnote w:id="8">
    <w:p w:rsidR="00372113" w:rsidP="00A20988" w14:paraId="10E79A24" w14:textId="54EF87E0">
      <w:pPr>
        <w:pStyle w:val="FootnoteText"/>
        <w:rPr>
          <w:rFonts w:ascii="Century Schoolbook" w:hAnsi="Century Schoolbook"/>
          <w:sz w:val="26"/>
          <w:szCs w:val="26"/>
        </w:rPr>
      </w:pPr>
      <w:r w:rsidRPr="00C5375F">
        <w:rPr>
          <w:rStyle w:val="FootnoteReference"/>
          <w:rFonts w:ascii="Century Schoolbook" w:hAnsi="Century Schoolbook"/>
          <w:b/>
          <w:bCs/>
          <w:sz w:val="20"/>
          <w:vertAlign w:val="baseline"/>
        </w:rPr>
        <w:footnoteRef/>
      </w:r>
      <w:r w:rsidRPr="00A20988">
        <w:rPr>
          <w:rFonts w:ascii="Century Schoolbook" w:hAnsi="Century Schoolbook"/>
          <w:sz w:val="26"/>
          <w:szCs w:val="26"/>
        </w:rPr>
        <w:t xml:space="preserve"> </w:t>
      </w:r>
      <w:r w:rsidRPr="00A20988">
        <w:rPr>
          <w:rFonts w:ascii="Century Schoolbook" w:hAnsi="Century Schoolbook"/>
          <w:sz w:val="26"/>
          <w:szCs w:val="26"/>
        </w:rPr>
        <w:tab/>
        <w:t xml:space="preserve">The agreement contains a provision setting California as the governing law and requiring any actions to be filed in </w:t>
      </w:r>
      <w:r w:rsidR="008A76C4">
        <w:rPr>
          <w:rFonts w:ascii="Century Schoolbook" w:hAnsi="Century Schoolbook"/>
          <w:sz w:val="26"/>
          <w:szCs w:val="26"/>
        </w:rPr>
        <w:t xml:space="preserve">the </w:t>
      </w:r>
      <w:r w:rsidRPr="00A20988">
        <w:rPr>
          <w:rFonts w:ascii="Century Schoolbook" w:hAnsi="Century Schoolbook"/>
          <w:sz w:val="26"/>
          <w:szCs w:val="26"/>
        </w:rPr>
        <w:t xml:space="preserve">Los Angeles </w:t>
      </w:r>
      <w:r w:rsidR="008A76C4">
        <w:rPr>
          <w:rFonts w:ascii="Century Schoolbook" w:hAnsi="Century Schoolbook"/>
          <w:sz w:val="26"/>
          <w:szCs w:val="26"/>
        </w:rPr>
        <w:t xml:space="preserve">County </w:t>
      </w:r>
      <w:r w:rsidRPr="00A20988">
        <w:rPr>
          <w:rFonts w:ascii="Century Schoolbook" w:hAnsi="Century Schoolbook"/>
          <w:sz w:val="26"/>
          <w:szCs w:val="26"/>
        </w:rPr>
        <w:t>Superior Court.</w:t>
      </w:r>
    </w:p>
    <w:p w:rsidR="00B57438" w:rsidRPr="00A20988" w:rsidP="00A20988" w14:paraId="71872117" w14:textId="77777777">
      <w:pPr>
        <w:pStyle w:val="FootnoteText"/>
        <w:rPr>
          <w:rFonts w:ascii="Century Schoolbook" w:hAnsi="Century Schoolbook"/>
          <w:sz w:val="26"/>
          <w:szCs w:val="26"/>
        </w:rPr>
      </w:pPr>
    </w:p>
  </w:footnote>
  <w:footnote w:id="9">
    <w:p w:rsidR="00106F0C" w:rsidRPr="00A20988" w:rsidP="00A20988" w14:paraId="045DFE2D" w14:textId="4C001774">
      <w:pPr>
        <w:pStyle w:val="FootnoteText"/>
        <w:rPr>
          <w:rFonts w:ascii="Century Schoolbook" w:hAnsi="Century Schoolbook"/>
          <w:sz w:val="26"/>
          <w:szCs w:val="26"/>
        </w:rPr>
      </w:pPr>
      <w:r w:rsidRPr="003408AC">
        <w:rPr>
          <w:rStyle w:val="FootnoteReference"/>
          <w:rFonts w:ascii="Century Schoolbook" w:hAnsi="Century Schoolbook"/>
          <w:b/>
          <w:bCs/>
          <w:sz w:val="20"/>
          <w:vertAlign w:val="baseline"/>
        </w:rPr>
        <w:footnoteRef/>
      </w:r>
      <w:r w:rsidRPr="003408AC">
        <w:rPr>
          <w:rFonts w:ascii="Century Schoolbook" w:hAnsi="Century Schoolbook"/>
          <w:b/>
          <w:bCs/>
        </w:rPr>
        <w:t xml:space="preserve"> </w:t>
      </w:r>
      <w:r w:rsidRPr="00A20988">
        <w:rPr>
          <w:rFonts w:ascii="Century Schoolbook" w:hAnsi="Century Schoolbook"/>
          <w:sz w:val="26"/>
          <w:szCs w:val="26"/>
        </w:rPr>
        <w:tab/>
        <w:t>Carolina Beverage also alleged a cause of action for false promise, but the jury rejected that claim and Carolina Beverage does not challenge that verdict on appeal.  Thus, we do not discuss the claim further.</w:t>
      </w:r>
    </w:p>
  </w:footnote>
  <w:footnote w:id="10">
    <w:p w:rsidR="00A437F2" w:rsidRPr="00A20988" w:rsidP="00A20988" w14:paraId="6391C206" w14:textId="41E4F399">
      <w:pPr>
        <w:pStyle w:val="FootnoteText"/>
        <w:rPr>
          <w:rFonts w:ascii="Century Schoolbook" w:hAnsi="Century Schoolbook"/>
          <w:sz w:val="26"/>
          <w:szCs w:val="26"/>
        </w:rPr>
      </w:pPr>
      <w:r w:rsidRPr="001348E8">
        <w:rPr>
          <w:rStyle w:val="FootnoteReference"/>
          <w:rFonts w:ascii="Century Schoolbook" w:hAnsi="Century Schoolbook"/>
          <w:b/>
          <w:bCs/>
          <w:sz w:val="20"/>
          <w:vertAlign w:val="baseline"/>
        </w:rPr>
        <w:footnoteRef/>
      </w:r>
      <w:r w:rsidRPr="001348E8">
        <w:rPr>
          <w:rFonts w:ascii="Century Schoolbook" w:hAnsi="Century Schoolbook"/>
          <w:b/>
          <w:bCs/>
        </w:rPr>
        <w:t xml:space="preserve"> </w:t>
      </w:r>
      <w:r w:rsidRPr="00A20988">
        <w:rPr>
          <w:rFonts w:ascii="Century Schoolbook" w:hAnsi="Century Schoolbook"/>
          <w:sz w:val="26"/>
          <w:szCs w:val="26"/>
        </w:rPr>
        <w:tab/>
        <w:t>Carolina Beverage also requested $842,265.</w:t>
      </w:r>
      <w:r w:rsidR="004471B1">
        <w:rPr>
          <w:rFonts w:ascii="Century Schoolbook" w:hAnsi="Century Schoolbook"/>
          <w:sz w:val="26"/>
          <w:szCs w:val="26"/>
        </w:rPr>
        <w:t>97</w:t>
      </w:r>
      <w:r w:rsidRPr="00A20988">
        <w:rPr>
          <w:rFonts w:ascii="Century Schoolbook" w:hAnsi="Century Schoolbook"/>
          <w:sz w:val="26"/>
          <w:szCs w:val="26"/>
        </w:rPr>
        <w:t xml:space="preserve"> in costs, which the trial court significantly reduced given the “‘spaghetti </w:t>
      </w:r>
      <w:r w:rsidR="00587D7B">
        <w:rPr>
          <w:rFonts w:ascii="Century Schoolbook" w:hAnsi="Century Schoolbook"/>
          <w:sz w:val="26"/>
          <w:szCs w:val="26"/>
        </w:rPr>
        <w:t>at</w:t>
      </w:r>
      <w:r w:rsidRPr="00A20988">
        <w:rPr>
          <w:rFonts w:ascii="Century Schoolbook" w:hAnsi="Century Schoolbook"/>
          <w:sz w:val="26"/>
          <w:szCs w:val="26"/>
        </w:rPr>
        <w:t xml:space="preserve"> the wall’ approach” of the request.  Carolina Beverage does not challenge that ruling on appeal.</w:t>
      </w:r>
    </w:p>
  </w:footnote>
  <w:footnote w:id="11">
    <w:p w:rsidR="00EE4459" w:rsidRPr="00A20988" w:rsidP="00A20988" w14:paraId="4623B9B7" w14:textId="528F0014">
      <w:pPr>
        <w:pStyle w:val="FootnoteText"/>
        <w:rPr>
          <w:rFonts w:ascii="Century Schoolbook" w:hAnsi="Century Schoolbook"/>
          <w:sz w:val="26"/>
          <w:szCs w:val="26"/>
        </w:rPr>
      </w:pPr>
      <w:r w:rsidRPr="00DA1758">
        <w:rPr>
          <w:rStyle w:val="FootnoteReference"/>
          <w:rFonts w:ascii="Century Schoolbook" w:hAnsi="Century Schoolbook"/>
          <w:b/>
          <w:bCs/>
          <w:sz w:val="20"/>
          <w:vertAlign w:val="baseline"/>
        </w:rPr>
        <w:footnoteRef/>
      </w:r>
      <w:r w:rsidRPr="00DA1758">
        <w:rPr>
          <w:rFonts w:ascii="Century Schoolbook" w:hAnsi="Century Schoolbook"/>
          <w:b/>
          <w:bCs/>
        </w:rPr>
        <w:t xml:space="preserve"> </w:t>
      </w:r>
      <w:r w:rsidRPr="00A20988">
        <w:rPr>
          <w:rFonts w:ascii="Century Schoolbook" w:hAnsi="Century Schoolbook"/>
          <w:sz w:val="26"/>
          <w:szCs w:val="26"/>
        </w:rPr>
        <w:tab/>
        <w:t>FIJI filed a second motion for JNOV after judgment was entered</w:t>
      </w:r>
      <w:r w:rsidR="007E4950">
        <w:rPr>
          <w:rFonts w:ascii="Century Schoolbook" w:hAnsi="Century Schoolbook"/>
          <w:sz w:val="26"/>
          <w:szCs w:val="26"/>
        </w:rPr>
        <w:t>.</w:t>
      </w:r>
      <w:r w:rsidRPr="00A20988">
        <w:rPr>
          <w:rFonts w:ascii="Century Schoolbook" w:hAnsi="Century Schoolbook"/>
          <w:sz w:val="26"/>
          <w:szCs w:val="26"/>
        </w:rPr>
        <w:t xml:space="preserve"> </w:t>
      </w:r>
      <w:r w:rsidR="007E4950">
        <w:rPr>
          <w:rFonts w:ascii="Century Schoolbook" w:hAnsi="Century Schoolbook"/>
          <w:sz w:val="26"/>
          <w:szCs w:val="26"/>
        </w:rPr>
        <w:t xml:space="preserve"> T</w:t>
      </w:r>
      <w:r w:rsidRPr="00A20988">
        <w:rPr>
          <w:rFonts w:ascii="Century Schoolbook" w:hAnsi="Century Schoolbook"/>
          <w:sz w:val="26"/>
          <w:szCs w:val="26"/>
        </w:rPr>
        <w:t>he trial court took “no action”</w:t>
      </w:r>
      <w:r w:rsidR="007E4950">
        <w:rPr>
          <w:rFonts w:ascii="Century Schoolbook" w:hAnsi="Century Schoolbook"/>
          <w:sz w:val="26"/>
          <w:szCs w:val="26"/>
        </w:rPr>
        <w:t xml:space="preserve"> on that motion </w:t>
      </w:r>
      <w:r w:rsidRPr="00A20988">
        <w:rPr>
          <w:rFonts w:ascii="Century Schoolbook" w:hAnsi="Century Schoolbook"/>
          <w:sz w:val="26"/>
          <w:szCs w:val="26"/>
        </w:rPr>
        <w:t xml:space="preserve">because it </w:t>
      </w:r>
      <w:r w:rsidR="008F6C2A">
        <w:rPr>
          <w:rFonts w:ascii="Century Schoolbook" w:hAnsi="Century Schoolbook"/>
          <w:sz w:val="26"/>
          <w:szCs w:val="26"/>
        </w:rPr>
        <w:t xml:space="preserve">had </w:t>
      </w:r>
      <w:r w:rsidRPr="00A20988">
        <w:rPr>
          <w:rFonts w:ascii="Century Schoolbook" w:hAnsi="Century Schoolbook"/>
          <w:sz w:val="26"/>
          <w:szCs w:val="26"/>
        </w:rPr>
        <w:t xml:space="preserve">ruled on the first motion and </w:t>
      </w:r>
      <w:r w:rsidR="008F6C2A">
        <w:rPr>
          <w:rFonts w:ascii="Century Schoolbook" w:hAnsi="Century Schoolbook"/>
          <w:sz w:val="26"/>
          <w:szCs w:val="26"/>
        </w:rPr>
        <w:t xml:space="preserve">because </w:t>
      </w:r>
      <w:r w:rsidRPr="00A20988">
        <w:rPr>
          <w:rFonts w:ascii="Century Schoolbook" w:hAnsi="Century Schoolbook"/>
          <w:sz w:val="26"/>
          <w:szCs w:val="26"/>
        </w:rPr>
        <w:t xml:space="preserve">FIJI “already . . </w:t>
      </w:r>
      <w:r w:rsidR="00932D34">
        <w:rPr>
          <w:rFonts w:ascii="Century Schoolbook" w:hAnsi="Century Schoolbook"/>
          <w:sz w:val="26"/>
          <w:szCs w:val="26"/>
        </w:rPr>
        <w:t>.</w:t>
      </w:r>
      <w:r w:rsidRPr="00A20988">
        <w:rPr>
          <w:rFonts w:ascii="Century Schoolbook" w:hAnsi="Century Schoolbook"/>
          <w:sz w:val="26"/>
          <w:szCs w:val="26"/>
        </w:rPr>
        <w:t xml:space="preserve"> appealed that ruling.”  FIJI filed a second notice of appeal from that order, and we consolidated the two appeals</w:t>
      </w:r>
      <w:r w:rsidR="007F451C">
        <w:rPr>
          <w:rFonts w:ascii="Century Schoolbook" w:hAnsi="Century Schoolbook"/>
          <w:sz w:val="26"/>
          <w:szCs w:val="26"/>
        </w:rPr>
        <w:t>.</w:t>
      </w:r>
    </w:p>
  </w:footnote>
  <w:footnote w:id="12">
    <w:p w:rsidR="00ED0930" w:rsidRPr="00DB48BF" w14:paraId="1888F0AA" w14:textId="08961849">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DB48BF">
        <w:rPr>
          <w:rFonts w:ascii="Century Schoolbook" w:hAnsi="Century Schoolbook"/>
          <w:sz w:val="26"/>
          <w:szCs w:val="26"/>
        </w:rPr>
        <w:t>The doctrine of constructive discharge also applies to at-will employment, where the terms of employment are supplied by the common law rather than a contract between the parties</w:t>
      </w:r>
      <w:r w:rsidRPr="0095043E" w:rsidR="00FE581E">
        <w:rPr>
          <w:rFonts w:ascii="Century Schoolbook" w:hAnsi="Century Schoolbook"/>
          <w:sz w:val="26"/>
          <w:szCs w:val="26"/>
        </w:rPr>
        <w:t>.  Indeed,</w:t>
      </w:r>
      <w:r w:rsidR="00500BE0">
        <w:rPr>
          <w:rFonts w:ascii="Century Schoolbook" w:hAnsi="Century Schoolbook"/>
          <w:sz w:val="26"/>
          <w:szCs w:val="26"/>
        </w:rPr>
        <w:t xml:space="preserve"> to be actionable, the </w:t>
      </w:r>
      <w:r w:rsidRPr="0095043E" w:rsidR="00FE581E">
        <w:rPr>
          <w:rFonts w:ascii="Century Schoolbook" w:hAnsi="Century Schoolbook"/>
          <w:sz w:val="26"/>
          <w:szCs w:val="26"/>
        </w:rPr>
        <w:t xml:space="preserve">termination </w:t>
      </w:r>
      <w:r w:rsidR="00500BE0">
        <w:rPr>
          <w:rFonts w:ascii="Century Schoolbook" w:hAnsi="Century Schoolbook"/>
          <w:sz w:val="26"/>
          <w:szCs w:val="26"/>
        </w:rPr>
        <w:t>of an at-will employment contract</w:t>
      </w:r>
      <w:r w:rsidRPr="0095043E" w:rsidR="00FE581E">
        <w:rPr>
          <w:rFonts w:ascii="Century Schoolbook" w:hAnsi="Century Schoolbook"/>
          <w:sz w:val="26"/>
          <w:szCs w:val="26"/>
        </w:rPr>
        <w:t xml:space="preserve">—whether </w:t>
      </w:r>
      <w:r w:rsidR="00500BE0">
        <w:rPr>
          <w:rFonts w:ascii="Century Schoolbook" w:hAnsi="Century Schoolbook"/>
          <w:sz w:val="26"/>
          <w:szCs w:val="26"/>
        </w:rPr>
        <w:t xml:space="preserve">the termination is </w:t>
      </w:r>
      <w:r w:rsidRPr="0095043E" w:rsidR="00FE581E">
        <w:rPr>
          <w:rFonts w:ascii="Century Schoolbook" w:hAnsi="Century Schoolbook"/>
          <w:sz w:val="26"/>
          <w:szCs w:val="26"/>
        </w:rPr>
        <w:t>actual or constructive—</w:t>
      </w:r>
      <w:r w:rsidR="00500BE0">
        <w:rPr>
          <w:rFonts w:ascii="Century Schoolbook" w:hAnsi="Century Schoolbook"/>
          <w:sz w:val="26"/>
          <w:szCs w:val="26"/>
        </w:rPr>
        <w:t xml:space="preserve">must also </w:t>
      </w:r>
      <w:r w:rsidRPr="0095043E" w:rsidR="005A4700">
        <w:rPr>
          <w:rFonts w:ascii="Century Schoolbook" w:hAnsi="Century Schoolbook"/>
          <w:sz w:val="26"/>
          <w:szCs w:val="26"/>
        </w:rPr>
        <w:t>contravene fundamental public policy as expressed in a constitutional or statutory provision</w:t>
      </w:r>
      <w:r w:rsidRPr="00DB48BF">
        <w:rPr>
          <w:rFonts w:ascii="Century Schoolbook" w:hAnsi="Century Schoolbook"/>
          <w:sz w:val="26"/>
          <w:szCs w:val="26"/>
        </w:rPr>
        <w:t>.</w:t>
      </w:r>
      <w:r w:rsidRPr="0095043E">
        <w:rPr>
          <w:rFonts w:ascii="Century Schoolbook" w:hAnsi="Century Schoolbook"/>
          <w:sz w:val="26"/>
          <w:szCs w:val="26"/>
        </w:rPr>
        <w:t xml:space="preserve">  (</w:t>
      </w:r>
      <w:r w:rsidRPr="0095043E" w:rsidR="005A4700">
        <w:rPr>
          <w:rFonts w:ascii="Century Schoolbook" w:hAnsi="Century Schoolbook"/>
          <w:i/>
          <w:iCs/>
          <w:sz w:val="26"/>
          <w:szCs w:val="26"/>
        </w:rPr>
        <w:t>Turner</w:t>
      </w:r>
      <w:r w:rsidRPr="0095043E" w:rsidR="005A4700">
        <w:rPr>
          <w:rFonts w:ascii="Century Schoolbook" w:hAnsi="Century Schoolbook"/>
          <w:sz w:val="26"/>
          <w:szCs w:val="26"/>
        </w:rPr>
        <w:t xml:space="preserve">, </w:t>
      </w:r>
      <w:r w:rsidRPr="00DB48BF" w:rsidR="0058640E">
        <w:rPr>
          <w:rFonts w:ascii="Century Schoolbook" w:hAnsi="Century Schoolbook"/>
          <w:i/>
          <w:iCs/>
          <w:sz w:val="26"/>
          <w:szCs w:val="26"/>
        </w:rPr>
        <w:t>supra</w:t>
      </w:r>
      <w:r w:rsidR="0058640E">
        <w:rPr>
          <w:rFonts w:ascii="Century Schoolbook" w:hAnsi="Century Schoolbook"/>
          <w:sz w:val="26"/>
          <w:szCs w:val="26"/>
        </w:rPr>
        <w:t xml:space="preserve">, </w:t>
      </w:r>
      <w:r w:rsidRPr="0058640E" w:rsidR="0058640E">
        <w:rPr>
          <w:rFonts w:ascii="Century Schoolbook" w:hAnsi="Century Schoolbook"/>
          <w:sz w:val="26"/>
          <w:szCs w:val="26"/>
        </w:rPr>
        <w:t xml:space="preserve">7 Cal.4th </w:t>
      </w:r>
      <w:r w:rsidRPr="0095043E" w:rsidR="005A4700">
        <w:rPr>
          <w:rFonts w:ascii="Century Schoolbook" w:hAnsi="Century Schoolbook"/>
          <w:sz w:val="26"/>
          <w:szCs w:val="26"/>
        </w:rPr>
        <w:t xml:space="preserve">at p. 1252; </w:t>
      </w:r>
      <w:r w:rsidRPr="0095043E" w:rsidR="005A4700">
        <w:rPr>
          <w:rFonts w:ascii="Century Schoolbook" w:hAnsi="Century Schoolbook"/>
          <w:i/>
          <w:iCs/>
          <w:sz w:val="26"/>
          <w:szCs w:val="26"/>
        </w:rPr>
        <w:t xml:space="preserve">Jennings v. Marralle </w:t>
      </w:r>
      <w:r w:rsidRPr="0095043E" w:rsidR="005A4700">
        <w:rPr>
          <w:rFonts w:ascii="Century Schoolbook" w:hAnsi="Century Schoolbook"/>
          <w:sz w:val="26"/>
          <w:szCs w:val="26"/>
        </w:rPr>
        <w:t>(1994) 8 Cal.4th 121, 129-130.</w:t>
      </w:r>
      <w:r w:rsidRPr="0095043E">
        <w:rPr>
          <w:rFonts w:ascii="Century Schoolbook" w:hAnsi="Century Schoolbook"/>
          <w:sz w:val="26"/>
          <w:szCs w:val="26"/>
        </w:rPr>
        <w:t>)</w:t>
      </w:r>
    </w:p>
  </w:footnote>
  <w:footnote w:id="13">
    <w:p w:rsidR="00896961" w:rsidRPr="00896961" w14:paraId="383317E2" w14:textId="281AC80C">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896961">
        <w:rPr>
          <w:rFonts w:ascii="Century Schoolbook" w:hAnsi="Century Schoolbook"/>
          <w:sz w:val="26"/>
          <w:szCs w:val="26"/>
        </w:rPr>
        <w:t>Carolina Beverage also argues that the terms “national account” and “</w:t>
      </w:r>
      <w:r w:rsidR="00DD014C">
        <w:rPr>
          <w:rFonts w:ascii="Century Schoolbook" w:hAnsi="Century Schoolbook"/>
          <w:sz w:val="26"/>
          <w:szCs w:val="26"/>
        </w:rPr>
        <w:t>[</w:t>
      </w:r>
      <w:r w:rsidRPr="00896961">
        <w:rPr>
          <w:rFonts w:ascii="Century Schoolbook" w:hAnsi="Century Schoolbook"/>
          <w:sz w:val="26"/>
          <w:szCs w:val="26"/>
        </w:rPr>
        <w:t>l</w:t>
      </w:r>
      <w:r w:rsidR="00DD014C">
        <w:rPr>
          <w:rFonts w:ascii="Century Schoolbook" w:hAnsi="Century Schoolbook"/>
          <w:sz w:val="26"/>
          <w:szCs w:val="26"/>
        </w:rPr>
        <w:t>]</w:t>
      </w:r>
      <w:r w:rsidRPr="00896961">
        <w:rPr>
          <w:rFonts w:ascii="Century Schoolbook" w:hAnsi="Century Schoolbook"/>
          <w:sz w:val="26"/>
          <w:szCs w:val="26"/>
        </w:rPr>
        <w:t xml:space="preserve">ocal </w:t>
      </w:r>
      <w:r w:rsidR="00DD014C">
        <w:rPr>
          <w:rFonts w:ascii="Century Schoolbook" w:hAnsi="Century Schoolbook"/>
          <w:sz w:val="26"/>
          <w:szCs w:val="26"/>
        </w:rPr>
        <w:t>[</w:t>
      </w:r>
      <w:r w:rsidRPr="00896961">
        <w:rPr>
          <w:rFonts w:ascii="Century Schoolbook" w:hAnsi="Century Schoolbook"/>
          <w:sz w:val="26"/>
          <w:szCs w:val="26"/>
        </w:rPr>
        <w:t>o</w:t>
      </w:r>
      <w:r w:rsidR="00DD014C">
        <w:rPr>
          <w:rFonts w:ascii="Century Schoolbook" w:hAnsi="Century Schoolbook"/>
          <w:sz w:val="26"/>
          <w:szCs w:val="26"/>
        </w:rPr>
        <w:t>]</w:t>
      </w:r>
      <w:r w:rsidRPr="00896961">
        <w:rPr>
          <w:rFonts w:ascii="Century Schoolbook" w:hAnsi="Century Schoolbook"/>
          <w:sz w:val="26"/>
          <w:szCs w:val="26"/>
        </w:rPr>
        <w:t>utlet” are ambiguous, but any ambiguity in those terms is not germane to our analysis, so we need not address those arguments.</w:t>
      </w:r>
    </w:p>
  </w:footnote>
  <w:footnote w:id="14">
    <w:p w:rsidR="00EE4F05" w:rsidRPr="0017142B" w14:paraId="6130680D" w14:textId="6E333056">
      <w:pPr>
        <w:pStyle w:val="FootnoteText"/>
        <w:rPr>
          <w:rFonts w:ascii="Century Schoolbook" w:hAnsi="Century Schoolbook"/>
          <w:sz w:val="26"/>
          <w:szCs w:val="26"/>
        </w:rPr>
      </w:pPr>
      <w:r w:rsidRPr="0017142B">
        <w:rPr>
          <w:rStyle w:val="FootnoteReference"/>
          <w:rFonts w:ascii="Century Schoolbook" w:hAnsi="Century Schoolbook"/>
          <w:b/>
          <w:bCs/>
          <w:sz w:val="20"/>
          <w:vertAlign w:val="baseline"/>
        </w:rPr>
        <w:footnoteRef/>
      </w:r>
      <w:r w:rsidRPr="0017142B">
        <w:rPr>
          <w:rFonts w:ascii="Century Schoolbook" w:hAnsi="Century Schoolbook"/>
          <w:b/>
          <w:bCs/>
        </w:rPr>
        <w:t xml:space="preserve"> </w:t>
      </w:r>
      <w:r>
        <w:tab/>
      </w:r>
      <w:r w:rsidRPr="0017142B">
        <w:rPr>
          <w:rFonts w:ascii="Century Schoolbook" w:hAnsi="Century Schoolbook"/>
          <w:sz w:val="26"/>
          <w:szCs w:val="26"/>
        </w:rPr>
        <w:t xml:space="preserve">At oral argument, Carolina Beverage </w:t>
      </w:r>
      <w:r w:rsidR="00571C66">
        <w:rPr>
          <w:rFonts w:ascii="Century Schoolbook" w:hAnsi="Century Schoolbook"/>
          <w:sz w:val="26"/>
          <w:szCs w:val="26"/>
        </w:rPr>
        <w:t xml:space="preserve">expanded on this argument by asserting </w:t>
      </w:r>
      <w:r w:rsidRPr="0017142B">
        <w:rPr>
          <w:rFonts w:ascii="Century Schoolbook" w:hAnsi="Century Schoolbook"/>
          <w:sz w:val="26"/>
          <w:szCs w:val="26"/>
        </w:rPr>
        <w:t xml:space="preserve">that the termination payment was an appropriate measure of damages because it was the amount that FIJI was enriched by virtue of not having to make the termination payment.  But this </w:t>
      </w:r>
      <w:r w:rsidR="00571C66">
        <w:rPr>
          <w:rFonts w:ascii="Century Schoolbook" w:hAnsi="Century Schoolbook"/>
          <w:sz w:val="26"/>
          <w:szCs w:val="26"/>
        </w:rPr>
        <w:t>assertion</w:t>
      </w:r>
      <w:r w:rsidRPr="0017142B">
        <w:rPr>
          <w:rFonts w:ascii="Century Schoolbook" w:hAnsi="Century Schoolbook"/>
          <w:sz w:val="26"/>
          <w:szCs w:val="26"/>
        </w:rPr>
        <w:t xml:space="preserve"> only works if FIJI was, in actuality, obligated to make the termination payment under circumstances outside those specifically set forth in the agreement.  As we have concluded, that is not the case.  Thus, the only way to accept Carolina Beverage’s </w:t>
      </w:r>
      <w:r w:rsidR="00325CB7">
        <w:rPr>
          <w:rFonts w:ascii="Century Schoolbook" w:hAnsi="Century Schoolbook"/>
          <w:sz w:val="26"/>
          <w:szCs w:val="26"/>
        </w:rPr>
        <w:t>expanded</w:t>
      </w:r>
      <w:r w:rsidRPr="0017142B">
        <w:rPr>
          <w:rFonts w:ascii="Century Schoolbook" w:hAnsi="Century Schoolbook"/>
          <w:sz w:val="26"/>
          <w:szCs w:val="26"/>
        </w:rPr>
        <w:t xml:space="preserve"> argument is to rewrite the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669E2"/>
    <w:multiLevelType w:val="hybridMultilevel"/>
    <w:tmpl w:val="6D3AD97C"/>
    <w:lvl w:ilvl="0">
      <w:start w:val="2"/>
      <w:numFmt w:val="bullet"/>
      <w:lvlText w:val="-"/>
      <w:lvlJc w:val="left"/>
      <w:pPr>
        <w:ind w:left="720" w:hanging="360"/>
      </w:pPr>
      <w:rPr>
        <w:rFonts w:ascii="Century Schoolbook" w:hAnsi="Century Schoolbook"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75"/>
    <w:rsid w:val="000004C9"/>
    <w:rsid w:val="0000150A"/>
    <w:rsid w:val="0000255A"/>
    <w:rsid w:val="00002767"/>
    <w:rsid w:val="00004330"/>
    <w:rsid w:val="000057E0"/>
    <w:rsid w:val="0000702F"/>
    <w:rsid w:val="00010614"/>
    <w:rsid w:val="00010E5B"/>
    <w:rsid w:val="00010F73"/>
    <w:rsid w:val="00011C9E"/>
    <w:rsid w:val="00011D14"/>
    <w:rsid w:val="00012557"/>
    <w:rsid w:val="0001288F"/>
    <w:rsid w:val="00012D15"/>
    <w:rsid w:val="0001352E"/>
    <w:rsid w:val="00020862"/>
    <w:rsid w:val="0002158F"/>
    <w:rsid w:val="0002205E"/>
    <w:rsid w:val="00022A50"/>
    <w:rsid w:val="00022C10"/>
    <w:rsid w:val="0002423A"/>
    <w:rsid w:val="000248A8"/>
    <w:rsid w:val="00025226"/>
    <w:rsid w:val="000258FB"/>
    <w:rsid w:val="00025F2A"/>
    <w:rsid w:val="0002650B"/>
    <w:rsid w:val="0002654A"/>
    <w:rsid w:val="00026BB9"/>
    <w:rsid w:val="00030579"/>
    <w:rsid w:val="00030C60"/>
    <w:rsid w:val="00030D2D"/>
    <w:rsid w:val="00032FDF"/>
    <w:rsid w:val="00035F4D"/>
    <w:rsid w:val="00035F4F"/>
    <w:rsid w:val="00040C68"/>
    <w:rsid w:val="00040CC4"/>
    <w:rsid w:val="000415FA"/>
    <w:rsid w:val="00042194"/>
    <w:rsid w:val="00042321"/>
    <w:rsid w:val="000425C8"/>
    <w:rsid w:val="000430A0"/>
    <w:rsid w:val="00043D41"/>
    <w:rsid w:val="00044393"/>
    <w:rsid w:val="00046597"/>
    <w:rsid w:val="00047379"/>
    <w:rsid w:val="00050B6C"/>
    <w:rsid w:val="00050C2F"/>
    <w:rsid w:val="000528FE"/>
    <w:rsid w:val="00053EB5"/>
    <w:rsid w:val="0005571F"/>
    <w:rsid w:val="000617A7"/>
    <w:rsid w:val="00061EB0"/>
    <w:rsid w:val="00063889"/>
    <w:rsid w:val="000660FD"/>
    <w:rsid w:val="00066650"/>
    <w:rsid w:val="00067753"/>
    <w:rsid w:val="000711C7"/>
    <w:rsid w:val="00072593"/>
    <w:rsid w:val="000725D2"/>
    <w:rsid w:val="00072AB3"/>
    <w:rsid w:val="00073FCD"/>
    <w:rsid w:val="0007448B"/>
    <w:rsid w:val="00074715"/>
    <w:rsid w:val="0007754C"/>
    <w:rsid w:val="000776A9"/>
    <w:rsid w:val="000778BE"/>
    <w:rsid w:val="00080344"/>
    <w:rsid w:val="0008057F"/>
    <w:rsid w:val="000808F6"/>
    <w:rsid w:val="00081052"/>
    <w:rsid w:val="00081BEE"/>
    <w:rsid w:val="00081CEF"/>
    <w:rsid w:val="00084207"/>
    <w:rsid w:val="00084311"/>
    <w:rsid w:val="00085264"/>
    <w:rsid w:val="000857BF"/>
    <w:rsid w:val="000868A3"/>
    <w:rsid w:val="00086EA0"/>
    <w:rsid w:val="00087711"/>
    <w:rsid w:val="00087782"/>
    <w:rsid w:val="00090B46"/>
    <w:rsid w:val="000914F1"/>
    <w:rsid w:val="000929B2"/>
    <w:rsid w:val="00093F44"/>
    <w:rsid w:val="000941EE"/>
    <w:rsid w:val="00094326"/>
    <w:rsid w:val="00094474"/>
    <w:rsid w:val="0009465E"/>
    <w:rsid w:val="00094B68"/>
    <w:rsid w:val="00095964"/>
    <w:rsid w:val="00096117"/>
    <w:rsid w:val="00097F8B"/>
    <w:rsid w:val="000A25B6"/>
    <w:rsid w:val="000A33DE"/>
    <w:rsid w:val="000A38C5"/>
    <w:rsid w:val="000A3C70"/>
    <w:rsid w:val="000A43C0"/>
    <w:rsid w:val="000A44C9"/>
    <w:rsid w:val="000A4500"/>
    <w:rsid w:val="000A4F02"/>
    <w:rsid w:val="000B0F57"/>
    <w:rsid w:val="000B2098"/>
    <w:rsid w:val="000B5B9D"/>
    <w:rsid w:val="000C4E7B"/>
    <w:rsid w:val="000C59C2"/>
    <w:rsid w:val="000C68B9"/>
    <w:rsid w:val="000C70B1"/>
    <w:rsid w:val="000C7572"/>
    <w:rsid w:val="000C7AD6"/>
    <w:rsid w:val="000C7CA0"/>
    <w:rsid w:val="000C7E1E"/>
    <w:rsid w:val="000D1110"/>
    <w:rsid w:val="000D2242"/>
    <w:rsid w:val="000D34AE"/>
    <w:rsid w:val="000D3E40"/>
    <w:rsid w:val="000D4680"/>
    <w:rsid w:val="000D7746"/>
    <w:rsid w:val="000E0179"/>
    <w:rsid w:val="000E043C"/>
    <w:rsid w:val="000E0612"/>
    <w:rsid w:val="000E0F94"/>
    <w:rsid w:val="000E68D7"/>
    <w:rsid w:val="000E68E1"/>
    <w:rsid w:val="000F005B"/>
    <w:rsid w:val="000F12C4"/>
    <w:rsid w:val="000F13EF"/>
    <w:rsid w:val="000F42A6"/>
    <w:rsid w:val="000F49F7"/>
    <w:rsid w:val="000F5309"/>
    <w:rsid w:val="000F5364"/>
    <w:rsid w:val="000F5E85"/>
    <w:rsid w:val="000F7471"/>
    <w:rsid w:val="000F7813"/>
    <w:rsid w:val="0010124B"/>
    <w:rsid w:val="00101DE3"/>
    <w:rsid w:val="001021D1"/>
    <w:rsid w:val="00103C93"/>
    <w:rsid w:val="00105055"/>
    <w:rsid w:val="00106B45"/>
    <w:rsid w:val="00106F0C"/>
    <w:rsid w:val="0011127A"/>
    <w:rsid w:val="00113615"/>
    <w:rsid w:val="001141DD"/>
    <w:rsid w:val="00115954"/>
    <w:rsid w:val="00115CCB"/>
    <w:rsid w:val="00117ED6"/>
    <w:rsid w:val="0012004E"/>
    <w:rsid w:val="00120ABB"/>
    <w:rsid w:val="0012155D"/>
    <w:rsid w:val="00122D38"/>
    <w:rsid w:val="0012376D"/>
    <w:rsid w:val="00123C12"/>
    <w:rsid w:val="00124120"/>
    <w:rsid w:val="001252AF"/>
    <w:rsid w:val="00125B98"/>
    <w:rsid w:val="001275FD"/>
    <w:rsid w:val="001314FD"/>
    <w:rsid w:val="00131D59"/>
    <w:rsid w:val="00131E33"/>
    <w:rsid w:val="00132A9A"/>
    <w:rsid w:val="00132DD9"/>
    <w:rsid w:val="00132E60"/>
    <w:rsid w:val="00133D5C"/>
    <w:rsid w:val="001348E8"/>
    <w:rsid w:val="001362CC"/>
    <w:rsid w:val="00136D20"/>
    <w:rsid w:val="00137789"/>
    <w:rsid w:val="00137843"/>
    <w:rsid w:val="0013789F"/>
    <w:rsid w:val="00140466"/>
    <w:rsid w:val="0014107E"/>
    <w:rsid w:val="00141E51"/>
    <w:rsid w:val="00142226"/>
    <w:rsid w:val="0014267B"/>
    <w:rsid w:val="001438A0"/>
    <w:rsid w:val="00146E99"/>
    <w:rsid w:val="00147CEA"/>
    <w:rsid w:val="00150863"/>
    <w:rsid w:val="0015113C"/>
    <w:rsid w:val="00151E06"/>
    <w:rsid w:val="00152FAF"/>
    <w:rsid w:val="00153B8D"/>
    <w:rsid w:val="001543E6"/>
    <w:rsid w:val="00154E14"/>
    <w:rsid w:val="00155A38"/>
    <w:rsid w:val="00161C5B"/>
    <w:rsid w:val="00163C4A"/>
    <w:rsid w:val="0016473D"/>
    <w:rsid w:val="00165170"/>
    <w:rsid w:val="00165C51"/>
    <w:rsid w:val="00166202"/>
    <w:rsid w:val="0017142B"/>
    <w:rsid w:val="00171950"/>
    <w:rsid w:val="0017673E"/>
    <w:rsid w:val="00181DDE"/>
    <w:rsid w:val="0018293C"/>
    <w:rsid w:val="0018315B"/>
    <w:rsid w:val="00190C14"/>
    <w:rsid w:val="001917AB"/>
    <w:rsid w:val="00191FD6"/>
    <w:rsid w:val="001922B2"/>
    <w:rsid w:val="0019271F"/>
    <w:rsid w:val="00192881"/>
    <w:rsid w:val="0019444E"/>
    <w:rsid w:val="00194478"/>
    <w:rsid w:val="00194A9E"/>
    <w:rsid w:val="00196BA3"/>
    <w:rsid w:val="00197861"/>
    <w:rsid w:val="001A0A5D"/>
    <w:rsid w:val="001A1B6F"/>
    <w:rsid w:val="001A1C67"/>
    <w:rsid w:val="001A306F"/>
    <w:rsid w:val="001A32C9"/>
    <w:rsid w:val="001A4654"/>
    <w:rsid w:val="001A62FC"/>
    <w:rsid w:val="001A665B"/>
    <w:rsid w:val="001A68F6"/>
    <w:rsid w:val="001B0355"/>
    <w:rsid w:val="001B1895"/>
    <w:rsid w:val="001B1B8E"/>
    <w:rsid w:val="001B1FFA"/>
    <w:rsid w:val="001B2D06"/>
    <w:rsid w:val="001B2D23"/>
    <w:rsid w:val="001B2D8D"/>
    <w:rsid w:val="001B36D3"/>
    <w:rsid w:val="001B49CA"/>
    <w:rsid w:val="001B4EDB"/>
    <w:rsid w:val="001B5A9A"/>
    <w:rsid w:val="001C02F8"/>
    <w:rsid w:val="001C05ED"/>
    <w:rsid w:val="001C22B1"/>
    <w:rsid w:val="001C2471"/>
    <w:rsid w:val="001C269A"/>
    <w:rsid w:val="001C2C82"/>
    <w:rsid w:val="001C2EAC"/>
    <w:rsid w:val="001C448D"/>
    <w:rsid w:val="001C4A5A"/>
    <w:rsid w:val="001C5483"/>
    <w:rsid w:val="001D0037"/>
    <w:rsid w:val="001D09C0"/>
    <w:rsid w:val="001D21E4"/>
    <w:rsid w:val="001D3647"/>
    <w:rsid w:val="001D37CC"/>
    <w:rsid w:val="001D4057"/>
    <w:rsid w:val="001D420E"/>
    <w:rsid w:val="001D4463"/>
    <w:rsid w:val="001D55A7"/>
    <w:rsid w:val="001D586B"/>
    <w:rsid w:val="001D58CF"/>
    <w:rsid w:val="001D5C92"/>
    <w:rsid w:val="001D62D3"/>
    <w:rsid w:val="001D64BE"/>
    <w:rsid w:val="001D672F"/>
    <w:rsid w:val="001D7F5A"/>
    <w:rsid w:val="001E061C"/>
    <w:rsid w:val="001E0ACD"/>
    <w:rsid w:val="001E0E09"/>
    <w:rsid w:val="001E158A"/>
    <w:rsid w:val="001E24FA"/>
    <w:rsid w:val="001E256B"/>
    <w:rsid w:val="001E2814"/>
    <w:rsid w:val="001E299D"/>
    <w:rsid w:val="001E575E"/>
    <w:rsid w:val="001E590A"/>
    <w:rsid w:val="001E7355"/>
    <w:rsid w:val="001F1CC8"/>
    <w:rsid w:val="001F22BE"/>
    <w:rsid w:val="001F2832"/>
    <w:rsid w:val="001F3CA3"/>
    <w:rsid w:val="001F48FB"/>
    <w:rsid w:val="001F5B74"/>
    <w:rsid w:val="001F607A"/>
    <w:rsid w:val="001F6339"/>
    <w:rsid w:val="001F65EB"/>
    <w:rsid w:val="00201580"/>
    <w:rsid w:val="00201C0B"/>
    <w:rsid w:val="00201D64"/>
    <w:rsid w:val="0020470D"/>
    <w:rsid w:val="0020519D"/>
    <w:rsid w:val="0021078F"/>
    <w:rsid w:val="00210DB8"/>
    <w:rsid w:val="0021170D"/>
    <w:rsid w:val="002119A9"/>
    <w:rsid w:val="00211D71"/>
    <w:rsid w:val="00211DB8"/>
    <w:rsid w:val="00212A26"/>
    <w:rsid w:val="00213DE6"/>
    <w:rsid w:val="002143A8"/>
    <w:rsid w:val="002145D4"/>
    <w:rsid w:val="00214849"/>
    <w:rsid w:val="00214FA4"/>
    <w:rsid w:val="002151DD"/>
    <w:rsid w:val="00215741"/>
    <w:rsid w:val="00215C3A"/>
    <w:rsid w:val="002160B9"/>
    <w:rsid w:val="00216427"/>
    <w:rsid w:val="00217A55"/>
    <w:rsid w:val="002201D8"/>
    <w:rsid w:val="002204D5"/>
    <w:rsid w:val="00222AB5"/>
    <w:rsid w:val="0022348D"/>
    <w:rsid w:val="0022438F"/>
    <w:rsid w:val="002243FC"/>
    <w:rsid w:val="002246E4"/>
    <w:rsid w:val="0022625B"/>
    <w:rsid w:val="00226A1F"/>
    <w:rsid w:val="0023037D"/>
    <w:rsid w:val="00230B6B"/>
    <w:rsid w:val="0023240A"/>
    <w:rsid w:val="00232AE1"/>
    <w:rsid w:val="00232F13"/>
    <w:rsid w:val="002335F8"/>
    <w:rsid w:val="00234320"/>
    <w:rsid w:val="00234FAF"/>
    <w:rsid w:val="00235A4F"/>
    <w:rsid w:val="00235A84"/>
    <w:rsid w:val="00236081"/>
    <w:rsid w:val="002406D7"/>
    <w:rsid w:val="00240A2D"/>
    <w:rsid w:val="00240E9B"/>
    <w:rsid w:val="00241560"/>
    <w:rsid w:val="0024489B"/>
    <w:rsid w:val="00245821"/>
    <w:rsid w:val="0024588F"/>
    <w:rsid w:val="002465EB"/>
    <w:rsid w:val="002465F6"/>
    <w:rsid w:val="00246A8E"/>
    <w:rsid w:val="00247B54"/>
    <w:rsid w:val="00250B79"/>
    <w:rsid w:val="00253727"/>
    <w:rsid w:val="00253C6F"/>
    <w:rsid w:val="00257D5E"/>
    <w:rsid w:val="0026374E"/>
    <w:rsid w:val="0026478A"/>
    <w:rsid w:val="002651DD"/>
    <w:rsid w:val="00266EE9"/>
    <w:rsid w:val="00267966"/>
    <w:rsid w:val="002703A3"/>
    <w:rsid w:val="002711CB"/>
    <w:rsid w:val="002715BF"/>
    <w:rsid w:val="002734F7"/>
    <w:rsid w:val="002742AD"/>
    <w:rsid w:val="00275495"/>
    <w:rsid w:val="002774C5"/>
    <w:rsid w:val="002775E9"/>
    <w:rsid w:val="0027789A"/>
    <w:rsid w:val="002805C5"/>
    <w:rsid w:val="00280992"/>
    <w:rsid w:val="00281329"/>
    <w:rsid w:val="00281D27"/>
    <w:rsid w:val="002834B5"/>
    <w:rsid w:val="002854C1"/>
    <w:rsid w:val="0028562F"/>
    <w:rsid w:val="00287051"/>
    <w:rsid w:val="00287150"/>
    <w:rsid w:val="00287281"/>
    <w:rsid w:val="0028772D"/>
    <w:rsid w:val="00287F1E"/>
    <w:rsid w:val="0029038F"/>
    <w:rsid w:val="00290EE6"/>
    <w:rsid w:val="00292D50"/>
    <w:rsid w:val="002931E9"/>
    <w:rsid w:val="00293C4F"/>
    <w:rsid w:val="00295714"/>
    <w:rsid w:val="0029622D"/>
    <w:rsid w:val="00297BB8"/>
    <w:rsid w:val="00297C8D"/>
    <w:rsid w:val="002A0471"/>
    <w:rsid w:val="002A0F54"/>
    <w:rsid w:val="002A248D"/>
    <w:rsid w:val="002A4B5B"/>
    <w:rsid w:val="002A5ADA"/>
    <w:rsid w:val="002A751B"/>
    <w:rsid w:val="002B0C21"/>
    <w:rsid w:val="002B1651"/>
    <w:rsid w:val="002B3F3B"/>
    <w:rsid w:val="002B4100"/>
    <w:rsid w:val="002B5388"/>
    <w:rsid w:val="002C1665"/>
    <w:rsid w:val="002C1F3E"/>
    <w:rsid w:val="002C2312"/>
    <w:rsid w:val="002C2695"/>
    <w:rsid w:val="002C3116"/>
    <w:rsid w:val="002C34B9"/>
    <w:rsid w:val="002C5AB1"/>
    <w:rsid w:val="002C602A"/>
    <w:rsid w:val="002C6535"/>
    <w:rsid w:val="002C7388"/>
    <w:rsid w:val="002D1AE7"/>
    <w:rsid w:val="002D1C74"/>
    <w:rsid w:val="002D28F5"/>
    <w:rsid w:val="002D2DA3"/>
    <w:rsid w:val="002D3085"/>
    <w:rsid w:val="002D3FA1"/>
    <w:rsid w:val="002D4CAE"/>
    <w:rsid w:val="002D5BB4"/>
    <w:rsid w:val="002D5CD7"/>
    <w:rsid w:val="002D7232"/>
    <w:rsid w:val="002D761B"/>
    <w:rsid w:val="002E03E2"/>
    <w:rsid w:val="002E0BAD"/>
    <w:rsid w:val="002E2A70"/>
    <w:rsid w:val="002E5A3C"/>
    <w:rsid w:val="002E5B67"/>
    <w:rsid w:val="002E7381"/>
    <w:rsid w:val="002E7E5B"/>
    <w:rsid w:val="002E7F1D"/>
    <w:rsid w:val="002F24FD"/>
    <w:rsid w:val="002F379E"/>
    <w:rsid w:val="002F3888"/>
    <w:rsid w:val="002F38D7"/>
    <w:rsid w:val="002F39F6"/>
    <w:rsid w:val="002F4956"/>
    <w:rsid w:val="002F4965"/>
    <w:rsid w:val="002F7E2D"/>
    <w:rsid w:val="00300077"/>
    <w:rsid w:val="00300265"/>
    <w:rsid w:val="00300416"/>
    <w:rsid w:val="003009AD"/>
    <w:rsid w:val="00300A28"/>
    <w:rsid w:val="0030228F"/>
    <w:rsid w:val="003022EB"/>
    <w:rsid w:val="003039A8"/>
    <w:rsid w:val="0030547F"/>
    <w:rsid w:val="003055FC"/>
    <w:rsid w:val="00305981"/>
    <w:rsid w:val="0030610D"/>
    <w:rsid w:val="003066BB"/>
    <w:rsid w:val="00306AA1"/>
    <w:rsid w:val="00306E5F"/>
    <w:rsid w:val="00307B0E"/>
    <w:rsid w:val="00307D14"/>
    <w:rsid w:val="00312920"/>
    <w:rsid w:val="003142DE"/>
    <w:rsid w:val="003157B7"/>
    <w:rsid w:val="003158B8"/>
    <w:rsid w:val="00316717"/>
    <w:rsid w:val="00316E14"/>
    <w:rsid w:val="00320577"/>
    <w:rsid w:val="003207AD"/>
    <w:rsid w:val="00322966"/>
    <w:rsid w:val="003230DF"/>
    <w:rsid w:val="003234C0"/>
    <w:rsid w:val="00324767"/>
    <w:rsid w:val="00325CB7"/>
    <w:rsid w:val="00326991"/>
    <w:rsid w:val="0032734E"/>
    <w:rsid w:val="003273DB"/>
    <w:rsid w:val="00330384"/>
    <w:rsid w:val="00330EBD"/>
    <w:rsid w:val="00332D5A"/>
    <w:rsid w:val="0033482F"/>
    <w:rsid w:val="00335125"/>
    <w:rsid w:val="00335485"/>
    <w:rsid w:val="00335CA7"/>
    <w:rsid w:val="00340152"/>
    <w:rsid w:val="003408AC"/>
    <w:rsid w:val="003415EB"/>
    <w:rsid w:val="00341618"/>
    <w:rsid w:val="00341F01"/>
    <w:rsid w:val="00342DF8"/>
    <w:rsid w:val="003441F9"/>
    <w:rsid w:val="00344D49"/>
    <w:rsid w:val="00345599"/>
    <w:rsid w:val="003477D2"/>
    <w:rsid w:val="00350EA6"/>
    <w:rsid w:val="0035200A"/>
    <w:rsid w:val="00353B16"/>
    <w:rsid w:val="0035591C"/>
    <w:rsid w:val="00355CC5"/>
    <w:rsid w:val="00355CCA"/>
    <w:rsid w:val="00357C51"/>
    <w:rsid w:val="00360B13"/>
    <w:rsid w:val="00360B8A"/>
    <w:rsid w:val="00361118"/>
    <w:rsid w:val="003617AC"/>
    <w:rsid w:val="003626DF"/>
    <w:rsid w:val="00364417"/>
    <w:rsid w:val="00364EFF"/>
    <w:rsid w:val="00365B27"/>
    <w:rsid w:val="00367277"/>
    <w:rsid w:val="00367A59"/>
    <w:rsid w:val="00367A6A"/>
    <w:rsid w:val="00370154"/>
    <w:rsid w:val="00370908"/>
    <w:rsid w:val="00370A95"/>
    <w:rsid w:val="00371016"/>
    <w:rsid w:val="0037156D"/>
    <w:rsid w:val="003715BC"/>
    <w:rsid w:val="00372113"/>
    <w:rsid w:val="0037297B"/>
    <w:rsid w:val="00373CBF"/>
    <w:rsid w:val="003760EA"/>
    <w:rsid w:val="00380505"/>
    <w:rsid w:val="0038192A"/>
    <w:rsid w:val="00381BD2"/>
    <w:rsid w:val="00381D96"/>
    <w:rsid w:val="00381FFD"/>
    <w:rsid w:val="0038216D"/>
    <w:rsid w:val="00382426"/>
    <w:rsid w:val="0038316F"/>
    <w:rsid w:val="003841F3"/>
    <w:rsid w:val="00384FA6"/>
    <w:rsid w:val="00385385"/>
    <w:rsid w:val="00385574"/>
    <w:rsid w:val="003858C6"/>
    <w:rsid w:val="0038592D"/>
    <w:rsid w:val="00387D4F"/>
    <w:rsid w:val="0039048A"/>
    <w:rsid w:val="003904C0"/>
    <w:rsid w:val="003907C2"/>
    <w:rsid w:val="00392919"/>
    <w:rsid w:val="00392A83"/>
    <w:rsid w:val="00392A9A"/>
    <w:rsid w:val="00392D97"/>
    <w:rsid w:val="00393182"/>
    <w:rsid w:val="00396CA4"/>
    <w:rsid w:val="00397258"/>
    <w:rsid w:val="00397266"/>
    <w:rsid w:val="0039747E"/>
    <w:rsid w:val="00397696"/>
    <w:rsid w:val="003A2F2C"/>
    <w:rsid w:val="003A32BF"/>
    <w:rsid w:val="003A4337"/>
    <w:rsid w:val="003A4570"/>
    <w:rsid w:val="003A46A9"/>
    <w:rsid w:val="003A64A7"/>
    <w:rsid w:val="003A7C8B"/>
    <w:rsid w:val="003B05F4"/>
    <w:rsid w:val="003B12AB"/>
    <w:rsid w:val="003B32E2"/>
    <w:rsid w:val="003B3E34"/>
    <w:rsid w:val="003B49F7"/>
    <w:rsid w:val="003B4ED1"/>
    <w:rsid w:val="003B5739"/>
    <w:rsid w:val="003B656B"/>
    <w:rsid w:val="003B7595"/>
    <w:rsid w:val="003B79CF"/>
    <w:rsid w:val="003C0703"/>
    <w:rsid w:val="003C21BB"/>
    <w:rsid w:val="003C36AB"/>
    <w:rsid w:val="003C632A"/>
    <w:rsid w:val="003C6C6F"/>
    <w:rsid w:val="003C7ACB"/>
    <w:rsid w:val="003D098E"/>
    <w:rsid w:val="003D1005"/>
    <w:rsid w:val="003D1CE7"/>
    <w:rsid w:val="003D2ECA"/>
    <w:rsid w:val="003D3768"/>
    <w:rsid w:val="003D5CD8"/>
    <w:rsid w:val="003D6838"/>
    <w:rsid w:val="003D7549"/>
    <w:rsid w:val="003E0DB9"/>
    <w:rsid w:val="003E0E11"/>
    <w:rsid w:val="003E287F"/>
    <w:rsid w:val="003E4827"/>
    <w:rsid w:val="003E6459"/>
    <w:rsid w:val="003E6529"/>
    <w:rsid w:val="003E7163"/>
    <w:rsid w:val="003F0455"/>
    <w:rsid w:val="003F0887"/>
    <w:rsid w:val="003F0C5A"/>
    <w:rsid w:val="003F1374"/>
    <w:rsid w:val="003F15A9"/>
    <w:rsid w:val="003F18E5"/>
    <w:rsid w:val="003F3016"/>
    <w:rsid w:val="003F4452"/>
    <w:rsid w:val="003F654E"/>
    <w:rsid w:val="003F7422"/>
    <w:rsid w:val="003F7FEF"/>
    <w:rsid w:val="004003CF"/>
    <w:rsid w:val="00400652"/>
    <w:rsid w:val="0040194B"/>
    <w:rsid w:val="00401C25"/>
    <w:rsid w:val="00402B20"/>
    <w:rsid w:val="00402F9E"/>
    <w:rsid w:val="00403458"/>
    <w:rsid w:val="00403649"/>
    <w:rsid w:val="00403E41"/>
    <w:rsid w:val="004042C1"/>
    <w:rsid w:val="00404EF1"/>
    <w:rsid w:val="004050A5"/>
    <w:rsid w:val="00406AF3"/>
    <w:rsid w:val="00407D5E"/>
    <w:rsid w:val="004114E2"/>
    <w:rsid w:val="0041224C"/>
    <w:rsid w:val="00412EC7"/>
    <w:rsid w:val="00413FB2"/>
    <w:rsid w:val="00416B63"/>
    <w:rsid w:val="00416CA2"/>
    <w:rsid w:val="00417B8C"/>
    <w:rsid w:val="00420CC3"/>
    <w:rsid w:val="00421A6F"/>
    <w:rsid w:val="00422D95"/>
    <w:rsid w:val="00424687"/>
    <w:rsid w:val="00424ADA"/>
    <w:rsid w:val="00424FF1"/>
    <w:rsid w:val="00430448"/>
    <w:rsid w:val="00430F60"/>
    <w:rsid w:val="0043109A"/>
    <w:rsid w:val="00431FD0"/>
    <w:rsid w:val="0043256C"/>
    <w:rsid w:val="004329B5"/>
    <w:rsid w:val="004333A8"/>
    <w:rsid w:val="00433B18"/>
    <w:rsid w:val="00433D3A"/>
    <w:rsid w:val="00433FB0"/>
    <w:rsid w:val="00433FCD"/>
    <w:rsid w:val="00434106"/>
    <w:rsid w:val="00436FAA"/>
    <w:rsid w:val="0043723B"/>
    <w:rsid w:val="00440A97"/>
    <w:rsid w:val="0044226B"/>
    <w:rsid w:val="00442396"/>
    <w:rsid w:val="004431BC"/>
    <w:rsid w:val="004463FA"/>
    <w:rsid w:val="004469EA"/>
    <w:rsid w:val="004471B1"/>
    <w:rsid w:val="00447C96"/>
    <w:rsid w:val="004502EE"/>
    <w:rsid w:val="0045044E"/>
    <w:rsid w:val="00450683"/>
    <w:rsid w:val="004514AA"/>
    <w:rsid w:val="00451A8A"/>
    <w:rsid w:val="0045447C"/>
    <w:rsid w:val="00454679"/>
    <w:rsid w:val="004568DA"/>
    <w:rsid w:val="00456D87"/>
    <w:rsid w:val="004625F5"/>
    <w:rsid w:val="00466284"/>
    <w:rsid w:val="004666A0"/>
    <w:rsid w:val="00466A10"/>
    <w:rsid w:val="004671BD"/>
    <w:rsid w:val="00470699"/>
    <w:rsid w:val="00471173"/>
    <w:rsid w:val="00471EE1"/>
    <w:rsid w:val="004729B9"/>
    <w:rsid w:val="004730E8"/>
    <w:rsid w:val="004734D1"/>
    <w:rsid w:val="00473BB1"/>
    <w:rsid w:val="0047514F"/>
    <w:rsid w:val="0047589F"/>
    <w:rsid w:val="004766E9"/>
    <w:rsid w:val="00476A7A"/>
    <w:rsid w:val="00476BFA"/>
    <w:rsid w:val="004775F9"/>
    <w:rsid w:val="00480416"/>
    <w:rsid w:val="00482E33"/>
    <w:rsid w:val="0048335B"/>
    <w:rsid w:val="004833C2"/>
    <w:rsid w:val="00483D1B"/>
    <w:rsid w:val="00484455"/>
    <w:rsid w:val="00485961"/>
    <w:rsid w:val="00485D6F"/>
    <w:rsid w:val="004860D6"/>
    <w:rsid w:val="0048773F"/>
    <w:rsid w:val="004905E4"/>
    <w:rsid w:val="00490B2B"/>
    <w:rsid w:val="00490E63"/>
    <w:rsid w:val="00493CC5"/>
    <w:rsid w:val="00493E9E"/>
    <w:rsid w:val="00494124"/>
    <w:rsid w:val="00495BAD"/>
    <w:rsid w:val="00496ED7"/>
    <w:rsid w:val="00496FB2"/>
    <w:rsid w:val="004A00CD"/>
    <w:rsid w:val="004A0584"/>
    <w:rsid w:val="004A0929"/>
    <w:rsid w:val="004A18AB"/>
    <w:rsid w:val="004A3043"/>
    <w:rsid w:val="004A4F1D"/>
    <w:rsid w:val="004A5804"/>
    <w:rsid w:val="004A5E4B"/>
    <w:rsid w:val="004A646B"/>
    <w:rsid w:val="004B1117"/>
    <w:rsid w:val="004B3AB6"/>
    <w:rsid w:val="004B4FCC"/>
    <w:rsid w:val="004C0228"/>
    <w:rsid w:val="004C0F51"/>
    <w:rsid w:val="004C11BD"/>
    <w:rsid w:val="004C2BE5"/>
    <w:rsid w:val="004C330D"/>
    <w:rsid w:val="004C3F25"/>
    <w:rsid w:val="004C3F5E"/>
    <w:rsid w:val="004C4481"/>
    <w:rsid w:val="004C528C"/>
    <w:rsid w:val="004C6D7A"/>
    <w:rsid w:val="004C716C"/>
    <w:rsid w:val="004D094C"/>
    <w:rsid w:val="004D0D90"/>
    <w:rsid w:val="004D2F6F"/>
    <w:rsid w:val="004D33D0"/>
    <w:rsid w:val="004D4232"/>
    <w:rsid w:val="004D4E1B"/>
    <w:rsid w:val="004D50A7"/>
    <w:rsid w:val="004D5FD0"/>
    <w:rsid w:val="004E08F3"/>
    <w:rsid w:val="004E0A61"/>
    <w:rsid w:val="004E361C"/>
    <w:rsid w:val="004E3840"/>
    <w:rsid w:val="004E3884"/>
    <w:rsid w:val="004E4678"/>
    <w:rsid w:val="004E4A53"/>
    <w:rsid w:val="004E5B35"/>
    <w:rsid w:val="004F00A9"/>
    <w:rsid w:val="004F1257"/>
    <w:rsid w:val="004F17C8"/>
    <w:rsid w:val="004F1E65"/>
    <w:rsid w:val="004F23BA"/>
    <w:rsid w:val="004F2E8A"/>
    <w:rsid w:val="004F37F8"/>
    <w:rsid w:val="004F4441"/>
    <w:rsid w:val="004F4457"/>
    <w:rsid w:val="004F599D"/>
    <w:rsid w:val="004F7D8E"/>
    <w:rsid w:val="0050081F"/>
    <w:rsid w:val="00500A01"/>
    <w:rsid w:val="00500A37"/>
    <w:rsid w:val="00500BE0"/>
    <w:rsid w:val="0050100A"/>
    <w:rsid w:val="005034DE"/>
    <w:rsid w:val="005041CE"/>
    <w:rsid w:val="00504EBA"/>
    <w:rsid w:val="00507599"/>
    <w:rsid w:val="005075ED"/>
    <w:rsid w:val="00510BCB"/>
    <w:rsid w:val="005112B1"/>
    <w:rsid w:val="005118B4"/>
    <w:rsid w:val="00512EAF"/>
    <w:rsid w:val="00513802"/>
    <w:rsid w:val="00514CC5"/>
    <w:rsid w:val="00517F79"/>
    <w:rsid w:val="00520935"/>
    <w:rsid w:val="00521FF1"/>
    <w:rsid w:val="00523B99"/>
    <w:rsid w:val="005243DD"/>
    <w:rsid w:val="00526606"/>
    <w:rsid w:val="00526FFF"/>
    <w:rsid w:val="0052771C"/>
    <w:rsid w:val="005319FE"/>
    <w:rsid w:val="00531C5F"/>
    <w:rsid w:val="005337FE"/>
    <w:rsid w:val="00535E0B"/>
    <w:rsid w:val="0053693C"/>
    <w:rsid w:val="005374B8"/>
    <w:rsid w:val="005376F4"/>
    <w:rsid w:val="00537C41"/>
    <w:rsid w:val="00537E26"/>
    <w:rsid w:val="00542836"/>
    <w:rsid w:val="005452C4"/>
    <w:rsid w:val="00547490"/>
    <w:rsid w:val="00547D66"/>
    <w:rsid w:val="00550E63"/>
    <w:rsid w:val="00551BBA"/>
    <w:rsid w:val="00552136"/>
    <w:rsid w:val="00552F8F"/>
    <w:rsid w:val="00553740"/>
    <w:rsid w:val="005577F8"/>
    <w:rsid w:val="00557821"/>
    <w:rsid w:val="00557B3E"/>
    <w:rsid w:val="00557B5C"/>
    <w:rsid w:val="00560DD7"/>
    <w:rsid w:val="00561BDA"/>
    <w:rsid w:val="005638B2"/>
    <w:rsid w:val="00564E20"/>
    <w:rsid w:val="005651DF"/>
    <w:rsid w:val="005667C3"/>
    <w:rsid w:val="00567B96"/>
    <w:rsid w:val="00570026"/>
    <w:rsid w:val="00570ADD"/>
    <w:rsid w:val="00570E42"/>
    <w:rsid w:val="00570FAF"/>
    <w:rsid w:val="00571034"/>
    <w:rsid w:val="00571C66"/>
    <w:rsid w:val="005726D8"/>
    <w:rsid w:val="005731DF"/>
    <w:rsid w:val="00574B39"/>
    <w:rsid w:val="005753A9"/>
    <w:rsid w:val="005761EB"/>
    <w:rsid w:val="005762E9"/>
    <w:rsid w:val="0057676D"/>
    <w:rsid w:val="00577545"/>
    <w:rsid w:val="00582202"/>
    <w:rsid w:val="005826BD"/>
    <w:rsid w:val="0058273D"/>
    <w:rsid w:val="00582811"/>
    <w:rsid w:val="00583289"/>
    <w:rsid w:val="00583F5F"/>
    <w:rsid w:val="005845AE"/>
    <w:rsid w:val="00585C69"/>
    <w:rsid w:val="00586107"/>
    <w:rsid w:val="0058640E"/>
    <w:rsid w:val="005868C2"/>
    <w:rsid w:val="00587D7B"/>
    <w:rsid w:val="00587E9D"/>
    <w:rsid w:val="00590E5E"/>
    <w:rsid w:val="00590ED3"/>
    <w:rsid w:val="00590FDF"/>
    <w:rsid w:val="00593CB8"/>
    <w:rsid w:val="00595FAD"/>
    <w:rsid w:val="005A0AF1"/>
    <w:rsid w:val="005A177F"/>
    <w:rsid w:val="005A23FB"/>
    <w:rsid w:val="005A308B"/>
    <w:rsid w:val="005A38AB"/>
    <w:rsid w:val="005A3C59"/>
    <w:rsid w:val="005A3FED"/>
    <w:rsid w:val="005A43AF"/>
    <w:rsid w:val="005A4700"/>
    <w:rsid w:val="005A48A6"/>
    <w:rsid w:val="005A66EC"/>
    <w:rsid w:val="005A799E"/>
    <w:rsid w:val="005A7D41"/>
    <w:rsid w:val="005B01DD"/>
    <w:rsid w:val="005B0BDD"/>
    <w:rsid w:val="005B156B"/>
    <w:rsid w:val="005B2208"/>
    <w:rsid w:val="005B2518"/>
    <w:rsid w:val="005B3036"/>
    <w:rsid w:val="005B3124"/>
    <w:rsid w:val="005B572D"/>
    <w:rsid w:val="005B6936"/>
    <w:rsid w:val="005B7059"/>
    <w:rsid w:val="005B7232"/>
    <w:rsid w:val="005C062E"/>
    <w:rsid w:val="005C1A88"/>
    <w:rsid w:val="005C412B"/>
    <w:rsid w:val="005C4B76"/>
    <w:rsid w:val="005C599A"/>
    <w:rsid w:val="005C5E6A"/>
    <w:rsid w:val="005C658C"/>
    <w:rsid w:val="005C7D17"/>
    <w:rsid w:val="005C7F25"/>
    <w:rsid w:val="005D0147"/>
    <w:rsid w:val="005D23E1"/>
    <w:rsid w:val="005D375C"/>
    <w:rsid w:val="005D51D1"/>
    <w:rsid w:val="005D54FC"/>
    <w:rsid w:val="005D5E93"/>
    <w:rsid w:val="005D678F"/>
    <w:rsid w:val="005D69CA"/>
    <w:rsid w:val="005D6A16"/>
    <w:rsid w:val="005D6E05"/>
    <w:rsid w:val="005D7696"/>
    <w:rsid w:val="005E0824"/>
    <w:rsid w:val="005E341D"/>
    <w:rsid w:val="005E38C1"/>
    <w:rsid w:val="005E38DA"/>
    <w:rsid w:val="005E398D"/>
    <w:rsid w:val="005E437F"/>
    <w:rsid w:val="005E4C73"/>
    <w:rsid w:val="005E7B11"/>
    <w:rsid w:val="005F29F4"/>
    <w:rsid w:val="005F3AAC"/>
    <w:rsid w:val="005F41DB"/>
    <w:rsid w:val="005F6011"/>
    <w:rsid w:val="00600497"/>
    <w:rsid w:val="00601C33"/>
    <w:rsid w:val="006025F9"/>
    <w:rsid w:val="00603007"/>
    <w:rsid w:val="00606A9F"/>
    <w:rsid w:val="006100B6"/>
    <w:rsid w:val="006103F6"/>
    <w:rsid w:val="006107CE"/>
    <w:rsid w:val="006135C4"/>
    <w:rsid w:val="00615748"/>
    <w:rsid w:val="0061644D"/>
    <w:rsid w:val="006174EF"/>
    <w:rsid w:val="006214F7"/>
    <w:rsid w:val="00621552"/>
    <w:rsid w:val="006225E7"/>
    <w:rsid w:val="00623040"/>
    <w:rsid w:val="00623233"/>
    <w:rsid w:val="0062407F"/>
    <w:rsid w:val="006241BB"/>
    <w:rsid w:val="00624D45"/>
    <w:rsid w:val="00625638"/>
    <w:rsid w:val="00625B00"/>
    <w:rsid w:val="00625B4A"/>
    <w:rsid w:val="00625E23"/>
    <w:rsid w:val="00626A3B"/>
    <w:rsid w:val="00630147"/>
    <w:rsid w:val="0063017D"/>
    <w:rsid w:val="00631887"/>
    <w:rsid w:val="00632046"/>
    <w:rsid w:val="00632EE3"/>
    <w:rsid w:val="0063327B"/>
    <w:rsid w:val="00634913"/>
    <w:rsid w:val="006359AA"/>
    <w:rsid w:val="00635EB9"/>
    <w:rsid w:val="0063720A"/>
    <w:rsid w:val="0064082F"/>
    <w:rsid w:val="00640BE6"/>
    <w:rsid w:val="00641715"/>
    <w:rsid w:val="00641B73"/>
    <w:rsid w:val="006448BE"/>
    <w:rsid w:val="00644CC8"/>
    <w:rsid w:val="00646DDF"/>
    <w:rsid w:val="006472FF"/>
    <w:rsid w:val="0065080E"/>
    <w:rsid w:val="00650CFD"/>
    <w:rsid w:val="00654975"/>
    <w:rsid w:val="00654C97"/>
    <w:rsid w:val="0065569E"/>
    <w:rsid w:val="00657BB0"/>
    <w:rsid w:val="00661211"/>
    <w:rsid w:val="006621C9"/>
    <w:rsid w:val="0066358A"/>
    <w:rsid w:val="00664850"/>
    <w:rsid w:val="00665732"/>
    <w:rsid w:val="0066629A"/>
    <w:rsid w:val="0066703D"/>
    <w:rsid w:val="00667301"/>
    <w:rsid w:val="006706D5"/>
    <w:rsid w:val="00671070"/>
    <w:rsid w:val="00671C88"/>
    <w:rsid w:val="00671D04"/>
    <w:rsid w:val="00674B86"/>
    <w:rsid w:val="00675019"/>
    <w:rsid w:val="0067593C"/>
    <w:rsid w:val="006765DA"/>
    <w:rsid w:val="00683B14"/>
    <w:rsid w:val="006844F6"/>
    <w:rsid w:val="00684638"/>
    <w:rsid w:val="00687DBF"/>
    <w:rsid w:val="00690B63"/>
    <w:rsid w:val="006911F0"/>
    <w:rsid w:val="006929DF"/>
    <w:rsid w:val="0069377A"/>
    <w:rsid w:val="006938E7"/>
    <w:rsid w:val="00694681"/>
    <w:rsid w:val="006951EE"/>
    <w:rsid w:val="00695368"/>
    <w:rsid w:val="006975DD"/>
    <w:rsid w:val="006A0999"/>
    <w:rsid w:val="006A1149"/>
    <w:rsid w:val="006A1445"/>
    <w:rsid w:val="006A2F8A"/>
    <w:rsid w:val="006A3551"/>
    <w:rsid w:val="006A3D2B"/>
    <w:rsid w:val="006A5C02"/>
    <w:rsid w:val="006A65EC"/>
    <w:rsid w:val="006A71F8"/>
    <w:rsid w:val="006A7293"/>
    <w:rsid w:val="006B0938"/>
    <w:rsid w:val="006B2889"/>
    <w:rsid w:val="006B29B9"/>
    <w:rsid w:val="006B2B04"/>
    <w:rsid w:val="006B36F2"/>
    <w:rsid w:val="006B3F42"/>
    <w:rsid w:val="006B4A98"/>
    <w:rsid w:val="006B5434"/>
    <w:rsid w:val="006B5EFD"/>
    <w:rsid w:val="006B6B65"/>
    <w:rsid w:val="006B75CC"/>
    <w:rsid w:val="006C1639"/>
    <w:rsid w:val="006C1CBD"/>
    <w:rsid w:val="006C2B9B"/>
    <w:rsid w:val="006C4051"/>
    <w:rsid w:val="006C5081"/>
    <w:rsid w:val="006C6C46"/>
    <w:rsid w:val="006D157A"/>
    <w:rsid w:val="006D29F7"/>
    <w:rsid w:val="006D4D11"/>
    <w:rsid w:val="006D5512"/>
    <w:rsid w:val="006D7D53"/>
    <w:rsid w:val="006E0480"/>
    <w:rsid w:val="006E0A72"/>
    <w:rsid w:val="006E112B"/>
    <w:rsid w:val="006E193F"/>
    <w:rsid w:val="006E214F"/>
    <w:rsid w:val="006E23CD"/>
    <w:rsid w:val="006E31F6"/>
    <w:rsid w:val="006E5880"/>
    <w:rsid w:val="006E64C5"/>
    <w:rsid w:val="006F0A83"/>
    <w:rsid w:val="006F0B5C"/>
    <w:rsid w:val="006F2C6A"/>
    <w:rsid w:val="006F42D8"/>
    <w:rsid w:val="006F4C5C"/>
    <w:rsid w:val="006F5F80"/>
    <w:rsid w:val="006F6A40"/>
    <w:rsid w:val="006F791E"/>
    <w:rsid w:val="007010B5"/>
    <w:rsid w:val="00701FFB"/>
    <w:rsid w:val="00703391"/>
    <w:rsid w:val="007046C5"/>
    <w:rsid w:val="00705F44"/>
    <w:rsid w:val="00711032"/>
    <w:rsid w:val="00712369"/>
    <w:rsid w:val="00712EEC"/>
    <w:rsid w:val="0071337D"/>
    <w:rsid w:val="0071627B"/>
    <w:rsid w:val="00717CAF"/>
    <w:rsid w:val="00720DF7"/>
    <w:rsid w:val="00720FED"/>
    <w:rsid w:val="00721DA2"/>
    <w:rsid w:val="00722D00"/>
    <w:rsid w:val="00722E10"/>
    <w:rsid w:val="00723455"/>
    <w:rsid w:val="007242FE"/>
    <w:rsid w:val="007251D3"/>
    <w:rsid w:val="007268F7"/>
    <w:rsid w:val="00726EF2"/>
    <w:rsid w:val="00727D59"/>
    <w:rsid w:val="00727FCE"/>
    <w:rsid w:val="0073179F"/>
    <w:rsid w:val="007317A5"/>
    <w:rsid w:val="0073190F"/>
    <w:rsid w:val="00731E88"/>
    <w:rsid w:val="007327D4"/>
    <w:rsid w:val="007328F0"/>
    <w:rsid w:val="00734DE7"/>
    <w:rsid w:val="0073526B"/>
    <w:rsid w:val="00735D92"/>
    <w:rsid w:val="00736DD6"/>
    <w:rsid w:val="00736F62"/>
    <w:rsid w:val="00736FB8"/>
    <w:rsid w:val="007370D9"/>
    <w:rsid w:val="007407A1"/>
    <w:rsid w:val="00740931"/>
    <w:rsid w:val="00741566"/>
    <w:rsid w:val="00741ACB"/>
    <w:rsid w:val="00742B47"/>
    <w:rsid w:val="00743014"/>
    <w:rsid w:val="00743041"/>
    <w:rsid w:val="00743160"/>
    <w:rsid w:val="007435F6"/>
    <w:rsid w:val="00743B02"/>
    <w:rsid w:val="00743E88"/>
    <w:rsid w:val="007455E1"/>
    <w:rsid w:val="0074639B"/>
    <w:rsid w:val="0074686C"/>
    <w:rsid w:val="00750425"/>
    <w:rsid w:val="00750448"/>
    <w:rsid w:val="00750514"/>
    <w:rsid w:val="00750B48"/>
    <w:rsid w:val="00750BDD"/>
    <w:rsid w:val="00753205"/>
    <w:rsid w:val="0075685A"/>
    <w:rsid w:val="00756E91"/>
    <w:rsid w:val="007575A0"/>
    <w:rsid w:val="007604A6"/>
    <w:rsid w:val="007626D9"/>
    <w:rsid w:val="00763600"/>
    <w:rsid w:val="00764158"/>
    <w:rsid w:val="00764599"/>
    <w:rsid w:val="00764F20"/>
    <w:rsid w:val="00765237"/>
    <w:rsid w:val="007656E6"/>
    <w:rsid w:val="00765ED2"/>
    <w:rsid w:val="00766710"/>
    <w:rsid w:val="0077028D"/>
    <w:rsid w:val="00772D0B"/>
    <w:rsid w:val="00772ED1"/>
    <w:rsid w:val="0077398E"/>
    <w:rsid w:val="00775003"/>
    <w:rsid w:val="0077636A"/>
    <w:rsid w:val="00776630"/>
    <w:rsid w:val="007771CD"/>
    <w:rsid w:val="007820BA"/>
    <w:rsid w:val="0078234F"/>
    <w:rsid w:val="00782A3E"/>
    <w:rsid w:val="0078464E"/>
    <w:rsid w:val="00784B95"/>
    <w:rsid w:val="0078507B"/>
    <w:rsid w:val="007873FC"/>
    <w:rsid w:val="00790E6E"/>
    <w:rsid w:val="00791B08"/>
    <w:rsid w:val="00791D83"/>
    <w:rsid w:val="00791DE7"/>
    <w:rsid w:val="00792385"/>
    <w:rsid w:val="0079362B"/>
    <w:rsid w:val="007978E0"/>
    <w:rsid w:val="007A092C"/>
    <w:rsid w:val="007A1981"/>
    <w:rsid w:val="007A5169"/>
    <w:rsid w:val="007A5B2A"/>
    <w:rsid w:val="007A71A6"/>
    <w:rsid w:val="007B03B4"/>
    <w:rsid w:val="007B1B47"/>
    <w:rsid w:val="007B229F"/>
    <w:rsid w:val="007B2725"/>
    <w:rsid w:val="007B4EC4"/>
    <w:rsid w:val="007B565A"/>
    <w:rsid w:val="007B6257"/>
    <w:rsid w:val="007B73E4"/>
    <w:rsid w:val="007B7CCD"/>
    <w:rsid w:val="007C09C9"/>
    <w:rsid w:val="007C14A9"/>
    <w:rsid w:val="007C1EA4"/>
    <w:rsid w:val="007C216E"/>
    <w:rsid w:val="007C2D2A"/>
    <w:rsid w:val="007C3ED7"/>
    <w:rsid w:val="007C4710"/>
    <w:rsid w:val="007C4B31"/>
    <w:rsid w:val="007C5918"/>
    <w:rsid w:val="007D0665"/>
    <w:rsid w:val="007D11AC"/>
    <w:rsid w:val="007D1763"/>
    <w:rsid w:val="007D4EB1"/>
    <w:rsid w:val="007D5594"/>
    <w:rsid w:val="007D5EC8"/>
    <w:rsid w:val="007D6F2D"/>
    <w:rsid w:val="007D7264"/>
    <w:rsid w:val="007E3466"/>
    <w:rsid w:val="007E3CA2"/>
    <w:rsid w:val="007E3D9C"/>
    <w:rsid w:val="007E405B"/>
    <w:rsid w:val="007E4950"/>
    <w:rsid w:val="007E4A0A"/>
    <w:rsid w:val="007E640A"/>
    <w:rsid w:val="007E6AFD"/>
    <w:rsid w:val="007E71F5"/>
    <w:rsid w:val="007E77F1"/>
    <w:rsid w:val="007F1534"/>
    <w:rsid w:val="007F1723"/>
    <w:rsid w:val="007F1C3C"/>
    <w:rsid w:val="007F2711"/>
    <w:rsid w:val="007F3A54"/>
    <w:rsid w:val="007F41D1"/>
    <w:rsid w:val="007F451C"/>
    <w:rsid w:val="007F451D"/>
    <w:rsid w:val="007F55A6"/>
    <w:rsid w:val="007F5D47"/>
    <w:rsid w:val="007F61EE"/>
    <w:rsid w:val="007F7961"/>
    <w:rsid w:val="00802C72"/>
    <w:rsid w:val="00802F5B"/>
    <w:rsid w:val="0080374F"/>
    <w:rsid w:val="00805414"/>
    <w:rsid w:val="00805FB2"/>
    <w:rsid w:val="00807E75"/>
    <w:rsid w:val="0081468E"/>
    <w:rsid w:val="008154B1"/>
    <w:rsid w:val="008162A9"/>
    <w:rsid w:val="008210FE"/>
    <w:rsid w:val="00821457"/>
    <w:rsid w:val="00822873"/>
    <w:rsid w:val="00823CDA"/>
    <w:rsid w:val="00824140"/>
    <w:rsid w:val="008260C5"/>
    <w:rsid w:val="008268F1"/>
    <w:rsid w:val="00827379"/>
    <w:rsid w:val="0082776D"/>
    <w:rsid w:val="00832085"/>
    <w:rsid w:val="00833006"/>
    <w:rsid w:val="008333CC"/>
    <w:rsid w:val="008334AD"/>
    <w:rsid w:val="00835F24"/>
    <w:rsid w:val="008362D2"/>
    <w:rsid w:val="00837940"/>
    <w:rsid w:val="008402AA"/>
    <w:rsid w:val="008408D2"/>
    <w:rsid w:val="00841D55"/>
    <w:rsid w:val="00841EFC"/>
    <w:rsid w:val="00842029"/>
    <w:rsid w:val="00842142"/>
    <w:rsid w:val="00842470"/>
    <w:rsid w:val="008424A7"/>
    <w:rsid w:val="0084336A"/>
    <w:rsid w:val="00843B80"/>
    <w:rsid w:val="008450D0"/>
    <w:rsid w:val="00845C11"/>
    <w:rsid w:val="00845C74"/>
    <w:rsid w:val="00846B9B"/>
    <w:rsid w:val="008473D8"/>
    <w:rsid w:val="00851561"/>
    <w:rsid w:val="008523DA"/>
    <w:rsid w:val="00852513"/>
    <w:rsid w:val="00852AE9"/>
    <w:rsid w:val="00853153"/>
    <w:rsid w:val="0085321C"/>
    <w:rsid w:val="00854052"/>
    <w:rsid w:val="00855173"/>
    <w:rsid w:val="0085541A"/>
    <w:rsid w:val="00855CD3"/>
    <w:rsid w:val="008566D3"/>
    <w:rsid w:val="00856CED"/>
    <w:rsid w:val="00862274"/>
    <w:rsid w:val="00862BDF"/>
    <w:rsid w:val="00863D14"/>
    <w:rsid w:val="0086448F"/>
    <w:rsid w:val="00864B9B"/>
    <w:rsid w:val="00864BEF"/>
    <w:rsid w:val="008652A9"/>
    <w:rsid w:val="0086723F"/>
    <w:rsid w:val="0087112B"/>
    <w:rsid w:val="00872667"/>
    <w:rsid w:val="00872BB8"/>
    <w:rsid w:val="00875189"/>
    <w:rsid w:val="008760EF"/>
    <w:rsid w:val="0087708B"/>
    <w:rsid w:val="00880428"/>
    <w:rsid w:val="00880648"/>
    <w:rsid w:val="00880F5F"/>
    <w:rsid w:val="008823FD"/>
    <w:rsid w:val="00882708"/>
    <w:rsid w:val="008827C8"/>
    <w:rsid w:val="008828F7"/>
    <w:rsid w:val="008834E7"/>
    <w:rsid w:val="00884785"/>
    <w:rsid w:val="00884B59"/>
    <w:rsid w:val="00885E00"/>
    <w:rsid w:val="00885E55"/>
    <w:rsid w:val="00886644"/>
    <w:rsid w:val="00887779"/>
    <w:rsid w:val="00890484"/>
    <w:rsid w:val="008912B5"/>
    <w:rsid w:val="00891384"/>
    <w:rsid w:val="00892A03"/>
    <w:rsid w:val="008931D1"/>
    <w:rsid w:val="00894B9E"/>
    <w:rsid w:val="008960D7"/>
    <w:rsid w:val="00896961"/>
    <w:rsid w:val="008971AD"/>
    <w:rsid w:val="0089781A"/>
    <w:rsid w:val="00897A5C"/>
    <w:rsid w:val="008A0840"/>
    <w:rsid w:val="008A1427"/>
    <w:rsid w:val="008A1CAB"/>
    <w:rsid w:val="008A4C9D"/>
    <w:rsid w:val="008A6A97"/>
    <w:rsid w:val="008A6BA7"/>
    <w:rsid w:val="008A76C4"/>
    <w:rsid w:val="008A7F8D"/>
    <w:rsid w:val="008B062C"/>
    <w:rsid w:val="008B0DC0"/>
    <w:rsid w:val="008B10B3"/>
    <w:rsid w:val="008B552B"/>
    <w:rsid w:val="008B5BAE"/>
    <w:rsid w:val="008B6809"/>
    <w:rsid w:val="008B6C81"/>
    <w:rsid w:val="008B77F0"/>
    <w:rsid w:val="008B7EBC"/>
    <w:rsid w:val="008C1B6F"/>
    <w:rsid w:val="008C2C07"/>
    <w:rsid w:val="008C4B9A"/>
    <w:rsid w:val="008C4DF4"/>
    <w:rsid w:val="008C5E6D"/>
    <w:rsid w:val="008C69CC"/>
    <w:rsid w:val="008D340C"/>
    <w:rsid w:val="008D344F"/>
    <w:rsid w:val="008D3753"/>
    <w:rsid w:val="008D66D8"/>
    <w:rsid w:val="008D6DA3"/>
    <w:rsid w:val="008D75F2"/>
    <w:rsid w:val="008E123D"/>
    <w:rsid w:val="008E12B9"/>
    <w:rsid w:val="008E22B7"/>
    <w:rsid w:val="008E2FAA"/>
    <w:rsid w:val="008E302B"/>
    <w:rsid w:val="008E60EA"/>
    <w:rsid w:val="008E6158"/>
    <w:rsid w:val="008E7D0D"/>
    <w:rsid w:val="008F175F"/>
    <w:rsid w:val="008F1911"/>
    <w:rsid w:val="008F288E"/>
    <w:rsid w:val="008F3279"/>
    <w:rsid w:val="008F3330"/>
    <w:rsid w:val="008F59F8"/>
    <w:rsid w:val="008F63B1"/>
    <w:rsid w:val="008F68D9"/>
    <w:rsid w:val="008F6C2A"/>
    <w:rsid w:val="008F6EC0"/>
    <w:rsid w:val="009014FE"/>
    <w:rsid w:val="009028D9"/>
    <w:rsid w:val="0090304F"/>
    <w:rsid w:val="009030CE"/>
    <w:rsid w:val="00904555"/>
    <w:rsid w:val="009078B8"/>
    <w:rsid w:val="00910153"/>
    <w:rsid w:val="009104B9"/>
    <w:rsid w:val="009110C2"/>
    <w:rsid w:val="00912CDB"/>
    <w:rsid w:val="00913F9E"/>
    <w:rsid w:val="0091409E"/>
    <w:rsid w:val="009142D8"/>
    <w:rsid w:val="00915685"/>
    <w:rsid w:val="0091573A"/>
    <w:rsid w:val="0091581C"/>
    <w:rsid w:val="009167B2"/>
    <w:rsid w:val="0091694C"/>
    <w:rsid w:val="00917791"/>
    <w:rsid w:val="00917DD6"/>
    <w:rsid w:val="0092046B"/>
    <w:rsid w:val="00922073"/>
    <w:rsid w:val="0092287A"/>
    <w:rsid w:val="009231AE"/>
    <w:rsid w:val="009233A9"/>
    <w:rsid w:val="00923B8F"/>
    <w:rsid w:val="00923E41"/>
    <w:rsid w:val="00924BE1"/>
    <w:rsid w:val="00926437"/>
    <w:rsid w:val="009269DF"/>
    <w:rsid w:val="00927048"/>
    <w:rsid w:val="009275C6"/>
    <w:rsid w:val="00927E0C"/>
    <w:rsid w:val="00930D46"/>
    <w:rsid w:val="00932D34"/>
    <w:rsid w:val="00932D7A"/>
    <w:rsid w:val="0093528B"/>
    <w:rsid w:val="009355C1"/>
    <w:rsid w:val="00936CE0"/>
    <w:rsid w:val="00937059"/>
    <w:rsid w:val="00937475"/>
    <w:rsid w:val="009435C5"/>
    <w:rsid w:val="00943FB9"/>
    <w:rsid w:val="00945685"/>
    <w:rsid w:val="00945BB5"/>
    <w:rsid w:val="0094736A"/>
    <w:rsid w:val="00947FBF"/>
    <w:rsid w:val="0095043E"/>
    <w:rsid w:val="00950602"/>
    <w:rsid w:val="00950B61"/>
    <w:rsid w:val="00950FD4"/>
    <w:rsid w:val="00951F03"/>
    <w:rsid w:val="00953D79"/>
    <w:rsid w:val="00954707"/>
    <w:rsid w:val="00956050"/>
    <w:rsid w:val="00956711"/>
    <w:rsid w:val="00956AE1"/>
    <w:rsid w:val="009571CB"/>
    <w:rsid w:val="0095740D"/>
    <w:rsid w:val="00960EE1"/>
    <w:rsid w:val="009614F5"/>
    <w:rsid w:val="00962116"/>
    <w:rsid w:val="0096516B"/>
    <w:rsid w:val="00965D99"/>
    <w:rsid w:val="00966478"/>
    <w:rsid w:val="00966F4B"/>
    <w:rsid w:val="00970028"/>
    <w:rsid w:val="009715B0"/>
    <w:rsid w:val="0097176D"/>
    <w:rsid w:val="00972544"/>
    <w:rsid w:val="009726FF"/>
    <w:rsid w:val="00973FC0"/>
    <w:rsid w:val="009740D1"/>
    <w:rsid w:val="0097411A"/>
    <w:rsid w:val="009746BC"/>
    <w:rsid w:val="009748AC"/>
    <w:rsid w:val="0097542B"/>
    <w:rsid w:val="009757DF"/>
    <w:rsid w:val="00976917"/>
    <w:rsid w:val="0098163E"/>
    <w:rsid w:val="00981FD8"/>
    <w:rsid w:val="00982637"/>
    <w:rsid w:val="00983402"/>
    <w:rsid w:val="00983D50"/>
    <w:rsid w:val="00984565"/>
    <w:rsid w:val="009849BA"/>
    <w:rsid w:val="0098521D"/>
    <w:rsid w:val="00985D7B"/>
    <w:rsid w:val="00985FA1"/>
    <w:rsid w:val="00990AA1"/>
    <w:rsid w:val="00992BD8"/>
    <w:rsid w:val="009933EE"/>
    <w:rsid w:val="00994182"/>
    <w:rsid w:val="00995057"/>
    <w:rsid w:val="00997581"/>
    <w:rsid w:val="009976E4"/>
    <w:rsid w:val="009A0D49"/>
    <w:rsid w:val="009A3C63"/>
    <w:rsid w:val="009A725D"/>
    <w:rsid w:val="009B0C7E"/>
    <w:rsid w:val="009B10E1"/>
    <w:rsid w:val="009B3C94"/>
    <w:rsid w:val="009B3F99"/>
    <w:rsid w:val="009B561B"/>
    <w:rsid w:val="009B5764"/>
    <w:rsid w:val="009B7BD5"/>
    <w:rsid w:val="009C1DD0"/>
    <w:rsid w:val="009C27ED"/>
    <w:rsid w:val="009C3D4E"/>
    <w:rsid w:val="009C4803"/>
    <w:rsid w:val="009C4D50"/>
    <w:rsid w:val="009C4EDA"/>
    <w:rsid w:val="009C510C"/>
    <w:rsid w:val="009C58A6"/>
    <w:rsid w:val="009C5D17"/>
    <w:rsid w:val="009C61DA"/>
    <w:rsid w:val="009D1A76"/>
    <w:rsid w:val="009D2BDD"/>
    <w:rsid w:val="009D317E"/>
    <w:rsid w:val="009D437A"/>
    <w:rsid w:val="009D4516"/>
    <w:rsid w:val="009D7A57"/>
    <w:rsid w:val="009E029B"/>
    <w:rsid w:val="009E02EB"/>
    <w:rsid w:val="009E1152"/>
    <w:rsid w:val="009E189E"/>
    <w:rsid w:val="009E3D41"/>
    <w:rsid w:val="009E3F7A"/>
    <w:rsid w:val="009E4969"/>
    <w:rsid w:val="009E550E"/>
    <w:rsid w:val="009E6423"/>
    <w:rsid w:val="009E68DD"/>
    <w:rsid w:val="009E7283"/>
    <w:rsid w:val="009F0965"/>
    <w:rsid w:val="009F0D84"/>
    <w:rsid w:val="009F11E1"/>
    <w:rsid w:val="009F1463"/>
    <w:rsid w:val="009F36AC"/>
    <w:rsid w:val="009F5D68"/>
    <w:rsid w:val="009F61EF"/>
    <w:rsid w:val="009F62FF"/>
    <w:rsid w:val="009F6F91"/>
    <w:rsid w:val="00A01A11"/>
    <w:rsid w:val="00A020FE"/>
    <w:rsid w:val="00A0242C"/>
    <w:rsid w:val="00A029BC"/>
    <w:rsid w:val="00A02E61"/>
    <w:rsid w:val="00A03E74"/>
    <w:rsid w:val="00A06DDA"/>
    <w:rsid w:val="00A070D7"/>
    <w:rsid w:val="00A07BDD"/>
    <w:rsid w:val="00A11384"/>
    <w:rsid w:val="00A11A8F"/>
    <w:rsid w:val="00A13183"/>
    <w:rsid w:val="00A144CD"/>
    <w:rsid w:val="00A16DC2"/>
    <w:rsid w:val="00A16F73"/>
    <w:rsid w:val="00A1725B"/>
    <w:rsid w:val="00A17B17"/>
    <w:rsid w:val="00A20988"/>
    <w:rsid w:val="00A20F59"/>
    <w:rsid w:val="00A211B3"/>
    <w:rsid w:val="00A21A88"/>
    <w:rsid w:val="00A22AB1"/>
    <w:rsid w:val="00A232BD"/>
    <w:rsid w:val="00A24457"/>
    <w:rsid w:val="00A274B3"/>
    <w:rsid w:val="00A27668"/>
    <w:rsid w:val="00A305D2"/>
    <w:rsid w:val="00A30758"/>
    <w:rsid w:val="00A3231D"/>
    <w:rsid w:val="00A349A8"/>
    <w:rsid w:val="00A34CFD"/>
    <w:rsid w:val="00A34E43"/>
    <w:rsid w:val="00A36F68"/>
    <w:rsid w:val="00A42211"/>
    <w:rsid w:val="00A4245B"/>
    <w:rsid w:val="00A42814"/>
    <w:rsid w:val="00A42A7B"/>
    <w:rsid w:val="00A43117"/>
    <w:rsid w:val="00A437F2"/>
    <w:rsid w:val="00A450DB"/>
    <w:rsid w:val="00A45411"/>
    <w:rsid w:val="00A456C7"/>
    <w:rsid w:val="00A4746D"/>
    <w:rsid w:val="00A47D2E"/>
    <w:rsid w:val="00A50020"/>
    <w:rsid w:val="00A500E4"/>
    <w:rsid w:val="00A50484"/>
    <w:rsid w:val="00A519F2"/>
    <w:rsid w:val="00A51ACB"/>
    <w:rsid w:val="00A52361"/>
    <w:rsid w:val="00A538BA"/>
    <w:rsid w:val="00A54CAB"/>
    <w:rsid w:val="00A56AE7"/>
    <w:rsid w:val="00A60F6C"/>
    <w:rsid w:val="00A615EE"/>
    <w:rsid w:val="00A62138"/>
    <w:rsid w:val="00A63425"/>
    <w:rsid w:val="00A64542"/>
    <w:rsid w:val="00A67713"/>
    <w:rsid w:val="00A67D22"/>
    <w:rsid w:val="00A7259A"/>
    <w:rsid w:val="00A74AD2"/>
    <w:rsid w:val="00A74F8F"/>
    <w:rsid w:val="00A757B3"/>
    <w:rsid w:val="00A76E22"/>
    <w:rsid w:val="00A775B6"/>
    <w:rsid w:val="00A805E4"/>
    <w:rsid w:val="00A8203B"/>
    <w:rsid w:val="00A827FB"/>
    <w:rsid w:val="00A8346B"/>
    <w:rsid w:val="00A84100"/>
    <w:rsid w:val="00A86B42"/>
    <w:rsid w:val="00A86EA6"/>
    <w:rsid w:val="00A90913"/>
    <w:rsid w:val="00A9109A"/>
    <w:rsid w:val="00A913A8"/>
    <w:rsid w:val="00A916D1"/>
    <w:rsid w:val="00A919ED"/>
    <w:rsid w:val="00A91F64"/>
    <w:rsid w:val="00A92F2C"/>
    <w:rsid w:val="00A931DA"/>
    <w:rsid w:val="00A93328"/>
    <w:rsid w:val="00A93648"/>
    <w:rsid w:val="00A93CFE"/>
    <w:rsid w:val="00A94768"/>
    <w:rsid w:val="00A95A15"/>
    <w:rsid w:val="00A964CF"/>
    <w:rsid w:val="00A9676D"/>
    <w:rsid w:val="00A97A46"/>
    <w:rsid w:val="00A97E97"/>
    <w:rsid w:val="00AA0D61"/>
    <w:rsid w:val="00AA0E7B"/>
    <w:rsid w:val="00AA2321"/>
    <w:rsid w:val="00AA23EE"/>
    <w:rsid w:val="00AA2BF1"/>
    <w:rsid w:val="00AA3183"/>
    <w:rsid w:val="00AA3439"/>
    <w:rsid w:val="00AA4305"/>
    <w:rsid w:val="00AA47E4"/>
    <w:rsid w:val="00AA4AFC"/>
    <w:rsid w:val="00AA5068"/>
    <w:rsid w:val="00AB01CC"/>
    <w:rsid w:val="00AB0C28"/>
    <w:rsid w:val="00AB1579"/>
    <w:rsid w:val="00AB1C22"/>
    <w:rsid w:val="00AB2BC5"/>
    <w:rsid w:val="00AB2F25"/>
    <w:rsid w:val="00AB5061"/>
    <w:rsid w:val="00AB6433"/>
    <w:rsid w:val="00AB64D5"/>
    <w:rsid w:val="00AB7E96"/>
    <w:rsid w:val="00AB7F71"/>
    <w:rsid w:val="00AC0F73"/>
    <w:rsid w:val="00AC11AF"/>
    <w:rsid w:val="00AC122C"/>
    <w:rsid w:val="00AC138B"/>
    <w:rsid w:val="00AC19AB"/>
    <w:rsid w:val="00AC3192"/>
    <w:rsid w:val="00AC37B6"/>
    <w:rsid w:val="00AC399E"/>
    <w:rsid w:val="00AC3EEF"/>
    <w:rsid w:val="00AC59E0"/>
    <w:rsid w:val="00AC73A0"/>
    <w:rsid w:val="00AD0543"/>
    <w:rsid w:val="00AD1DCB"/>
    <w:rsid w:val="00AD2565"/>
    <w:rsid w:val="00AD2E68"/>
    <w:rsid w:val="00AD38A8"/>
    <w:rsid w:val="00AD52C6"/>
    <w:rsid w:val="00AD5936"/>
    <w:rsid w:val="00AD59BF"/>
    <w:rsid w:val="00AD5A51"/>
    <w:rsid w:val="00AD633F"/>
    <w:rsid w:val="00AD68DD"/>
    <w:rsid w:val="00AD6F5E"/>
    <w:rsid w:val="00AE06F2"/>
    <w:rsid w:val="00AE0E25"/>
    <w:rsid w:val="00AE16AF"/>
    <w:rsid w:val="00AE366E"/>
    <w:rsid w:val="00AE38B9"/>
    <w:rsid w:val="00AE3C87"/>
    <w:rsid w:val="00AE4C68"/>
    <w:rsid w:val="00AE51BB"/>
    <w:rsid w:val="00AE60AA"/>
    <w:rsid w:val="00AE631C"/>
    <w:rsid w:val="00AE76AD"/>
    <w:rsid w:val="00AF08CF"/>
    <w:rsid w:val="00AF14DA"/>
    <w:rsid w:val="00AF1A21"/>
    <w:rsid w:val="00AF2691"/>
    <w:rsid w:val="00AF2A93"/>
    <w:rsid w:val="00AF30AB"/>
    <w:rsid w:val="00AF5308"/>
    <w:rsid w:val="00AF5D3F"/>
    <w:rsid w:val="00AF6A74"/>
    <w:rsid w:val="00AF6C2F"/>
    <w:rsid w:val="00B00E86"/>
    <w:rsid w:val="00B01B74"/>
    <w:rsid w:val="00B02C1D"/>
    <w:rsid w:val="00B035AE"/>
    <w:rsid w:val="00B039F4"/>
    <w:rsid w:val="00B03D97"/>
    <w:rsid w:val="00B0502D"/>
    <w:rsid w:val="00B052DF"/>
    <w:rsid w:val="00B079F3"/>
    <w:rsid w:val="00B07E42"/>
    <w:rsid w:val="00B108A7"/>
    <w:rsid w:val="00B1148E"/>
    <w:rsid w:val="00B17E14"/>
    <w:rsid w:val="00B20210"/>
    <w:rsid w:val="00B202CE"/>
    <w:rsid w:val="00B21CC5"/>
    <w:rsid w:val="00B21D50"/>
    <w:rsid w:val="00B224FB"/>
    <w:rsid w:val="00B236AC"/>
    <w:rsid w:val="00B24980"/>
    <w:rsid w:val="00B27193"/>
    <w:rsid w:val="00B27628"/>
    <w:rsid w:val="00B30013"/>
    <w:rsid w:val="00B3256E"/>
    <w:rsid w:val="00B32D13"/>
    <w:rsid w:val="00B33820"/>
    <w:rsid w:val="00B34804"/>
    <w:rsid w:val="00B34A17"/>
    <w:rsid w:val="00B34D21"/>
    <w:rsid w:val="00B35305"/>
    <w:rsid w:val="00B358B0"/>
    <w:rsid w:val="00B36337"/>
    <w:rsid w:val="00B36647"/>
    <w:rsid w:val="00B3678E"/>
    <w:rsid w:val="00B400F9"/>
    <w:rsid w:val="00B409AC"/>
    <w:rsid w:val="00B4211D"/>
    <w:rsid w:val="00B4356A"/>
    <w:rsid w:val="00B43B53"/>
    <w:rsid w:val="00B44087"/>
    <w:rsid w:val="00B44342"/>
    <w:rsid w:val="00B4451A"/>
    <w:rsid w:val="00B4479A"/>
    <w:rsid w:val="00B458DA"/>
    <w:rsid w:val="00B469F3"/>
    <w:rsid w:val="00B46AAE"/>
    <w:rsid w:val="00B46FA7"/>
    <w:rsid w:val="00B50366"/>
    <w:rsid w:val="00B50786"/>
    <w:rsid w:val="00B50E4D"/>
    <w:rsid w:val="00B510FE"/>
    <w:rsid w:val="00B51AD7"/>
    <w:rsid w:val="00B520A3"/>
    <w:rsid w:val="00B52B21"/>
    <w:rsid w:val="00B52D47"/>
    <w:rsid w:val="00B52D94"/>
    <w:rsid w:val="00B52DE6"/>
    <w:rsid w:val="00B57438"/>
    <w:rsid w:val="00B57F28"/>
    <w:rsid w:val="00B60325"/>
    <w:rsid w:val="00B603F0"/>
    <w:rsid w:val="00B61DF7"/>
    <w:rsid w:val="00B62D83"/>
    <w:rsid w:val="00B6465E"/>
    <w:rsid w:val="00B6495C"/>
    <w:rsid w:val="00B64B9C"/>
    <w:rsid w:val="00B650D1"/>
    <w:rsid w:val="00B65C93"/>
    <w:rsid w:val="00B701A0"/>
    <w:rsid w:val="00B70D20"/>
    <w:rsid w:val="00B70D8F"/>
    <w:rsid w:val="00B71245"/>
    <w:rsid w:val="00B71570"/>
    <w:rsid w:val="00B7158F"/>
    <w:rsid w:val="00B735F0"/>
    <w:rsid w:val="00B73EAB"/>
    <w:rsid w:val="00B74AB4"/>
    <w:rsid w:val="00B74BF1"/>
    <w:rsid w:val="00B75E49"/>
    <w:rsid w:val="00B76EAC"/>
    <w:rsid w:val="00B77AB4"/>
    <w:rsid w:val="00B77AC0"/>
    <w:rsid w:val="00B80C94"/>
    <w:rsid w:val="00B84D40"/>
    <w:rsid w:val="00B85707"/>
    <w:rsid w:val="00B85FA8"/>
    <w:rsid w:val="00B8665B"/>
    <w:rsid w:val="00B876C8"/>
    <w:rsid w:val="00B87800"/>
    <w:rsid w:val="00B87A6D"/>
    <w:rsid w:val="00B87AF3"/>
    <w:rsid w:val="00B91C70"/>
    <w:rsid w:val="00B942D4"/>
    <w:rsid w:val="00B954FD"/>
    <w:rsid w:val="00B95974"/>
    <w:rsid w:val="00B96435"/>
    <w:rsid w:val="00BA1A85"/>
    <w:rsid w:val="00BA1ECA"/>
    <w:rsid w:val="00BA244D"/>
    <w:rsid w:val="00BA257E"/>
    <w:rsid w:val="00BA25B1"/>
    <w:rsid w:val="00BA3D30"/>
    <w:rsid w:val="00BA3D89"/>
    <w:rsid w:val="00BA3FBC"/>
    <w:rsid w:val="00BA4060"/>
    <w:rsid w:val="00BA4DC5"/>
    <w:rsid w:val="00BA5AC9"/>
    <w:rsid w:val="00BB2635"/>
    <w:rsid w:val="00BB36DF"/>
    <w:rsid w:val="00BB4545"/>
    <w:rsid w:val="00BB5969"/>
    <w:rsid w:val="00BB696F"/>
    <w:rsid w:val="00BB74CF"/>
    <w:rsid w:val="00BC0457"/>
    <w:rsid w:val="00BC0DC2"/>
    <w:rsid w:val="00BC1854"/>
    <w:rsid w:val="00BC22BD"/>
    <w:rsid w:val="00BC23AF"/>
    <w:rsid w:val="00BC4331"/>
    <w:rsid w:val="00BC4FBB"/>
    <w:rsid w:val="00BC6E9A"/>
    <w:rsid w:val="00BD30D5"/>
    <w:rsid w:val="00BD3C68"/>
    <w:rsid w:val="00BD4E28"/>
    <w:rsid w:val="00BD4EF4"/>
    <w:rsid w:val="00BD505F"/>
    <w:rsid w:val="00BE0E01"/>
    <w:rsid w:val="00BE20C6"/>
    <w:rsid w:val="00BE3059"/>
    <w:rsid w:val="00BE3B48"/>
    <w:rsid w:val="00BE5C80"/>
    <w:rsid w:val="00BE63F8"/>
    <w:rsid w:val="00BE7938"/>
    <w:rsid w:val="00BF08B5"/>
    <w:rsid w:val="00BF090F"/>
    <w:rsid w:val="00BF09B7"/>
    <w:rsid w:val="00BF1821"/>
    <w:rsid w:val="00BF24E9"/>
    <w:rsid w:val="00BF39B1"/>
    <w:rsid w:val="00BF427A"/>
    <w:rsid w:val="00BF4932"/>
    <w:rsid w:val="00BF58AB"/>
    <w:rsid w:val="00BF6124"/>
    <w:rsid w:val="00BF744E"/>
    <w:rsid w:val="00BF7E94"/>
    <w:rsid w:val="00C04B44"/>
    <w:rsid w:val="00C04F37"/>
    <w:rsid w:val="00C066CF"/>
    <w:rsid w:val="00C07095"/>
    <w:rsid w:val="00C078C6"/>
    <w:rsid w:val="00C10E34"/>
    <w:rsid w:val="00C1225B"/>
    <w:rsid w:val="00C12BF8"/>
    <w:rsid w:val="00C151CA"/>
    <w:rsid w:val="00C153AB"/>
    <w:rsid w:val="00C15BCE"/>
    <w:rsid w:val="00C17CBE"/>
    <w:rsid w:val="00C21AC7"/>
    <w:rsid w:val="00C25679"/>
    <w:rsid w:val="00C25BA4"/>
    <w:rsid w:val="00C27EEF"/>
    <w:rsid w:val="00C30066"/>
    <w:rsid w:val="00C300E0"/>
    <w:rsid w:val="00C31220"/>
    <w:rsid w:val="00C3177C"/>
    <w:rsid w:val="00C32682"/>
    <w:rsid w:val="00C35BCD"/>
    <w:rsid w:val="00C35F1B"/>
    <w:rsid w:val="00C3677E"/>
    <w:rsid w:val="00C40484"/>
    <w:rsid w:val="00C41399"/>
    <w:rsid w:val="00C41747"/>
    <w:rsid w:val="00C41F9B"/>
    <w:rsid w:val="00C44CA8"/>
    <w:rsid w:val="00C454FA"/>
    <w:rsid w:val="00C45E41"/>
    <w:rsid w:val="00C46BB8"/>
    <w:rsid w:val="00C47694"/>
    <w:rsid w:val="00C53752"/>
    <w:rsid w:val="00C5375F"/>
    <w:rsid w:val="00C54859"/>
    <w:rsid w:val="00C548A0"/>
    <w:rsid w:val="00C55DDE"/>
    <w:rsid w:val="00C60882"/>
    <w:rsid w:val="00C60954"/>
    <w:rsid w:val="00C618D6"/>
    <w:rsid w:val="00C620DA"/>
    <w:rsid w:val="00C6223B"/>
    <w:rsid w:val="00C625F6"/>
    <w:rsid w:val="00C6591C"/>
    <w:rsid w:val="00C66C36"/>
    <w:rsid w:val="00C672F9"/>
    <w:rsid w:val="00C67B7A"/>
    <w:rsid w:val="00C71205"/>
    <w:rsid w:val="00C720EA"/>
    <w:rsid w:val="00C725D6"/>
    <w:rsid w:val="00C72BD3"/>
    <w:rsid w:val="00C73603"/>
    <w:rsid w:val="00C746BD"/>
    <w:rsid w:val="00C75F2C"/>
    <w:rsid w:val="00C828F7"/>
    <w:rsid w:val="00C82A19"/>
    <w:rsid w:val="00C83374"/>
    <w:rsid w:val="00C83C68"/>
    <w:rsid w:val="00C867E2"/>
    <w:rsid w:val="00C871BE"/>
    <w:rsid w:val="00C91E87"/>
    <w:rsid w:val="00C91FBE"/>
    <w:rsid w:val="00C92648"/>
    <w:rsid w:val="00C94754"/>
    <w:rsid w:val="00C970C0"/>
    <w:rsid w:val="00C976D5"/>
    <w:rsid w:val="00C97A65"/>
    <w:rsid w:val="00CA1F65"/>
    <w:rsid w:val="00CA2504"/>
    <w:rsid w:val="00CA2E76"/>
    <w:rsid w:val="00CA47D0"/>
    <w:rsid w:val="00CA5550"/>
    <w:rsid w:val="00CA6AD1"/>
    <w:rsid w:val="00CB22E3"/>
    <w:rsid w:val="00CB287A"/>
    <w:rsid w:val="00CB4395"/>
    <w:rsid w:val="00CC1920"/>
    <w:rsid w:val="00CC1C8D"/>
    <w:rsid w:val="00CC2E1A"/>
    <w:rsid w:val="00CC58D9"/>
    <w:rsid w:val="00CC7335"/>
    <w:rsid w:val="00CD0DE5"/>
    <w:rsid w:val="00CD185F"/>
    <w:rsid w:val="00CD1B35"/>
    <w:rsid w:val="00CD28BC"/>
    <w:rsid w:val="00CD2FA1"/>
    <w:rsid w:val="00CD3953"/>
    <w:rsid w:val="00CD3B77"/>
    <w:rsid w:val="00CD556A"/>
    <w:rsid w:val="00CD5615"/>
    <w:rsid w:val="00CD5D18"/>
    <w:rsid w:val="00CD7D5D"/>
    <w:rsid w:val="00CE06AE"/>
    <w:rsid w:val="00CE237F"/>
    <w:rsid w:val="00CE2C11"/>
    <w:rsid w:val="00CE3628"/>
    <w:rsid w:val="00CE3679"/>
    <w:rsid w:val="00CE39AE"/>
    <w:rsid w:val="00CE5B80"/>
    <w:rsid w:val="00CE786C"/>
    <w:rsid w:val="00CF0A37"/>
    <w:rsid w:val="00CF193B"/>
    <w:rsid w:val="00CF258B"/>
    <w:rsid w:val="00CF3942"/>
    <w:rsid w:val="00CF486E"/>
    <w:rsid w:val="00CF4A86"/>
    <w:rsid w:val="00CF4D2B"/>
    <w:rsid w:val="00CF5DCC"/>
    <w:rsid w:val="00CF5F26"/>
    <w:rsid w:val="00CF61CE"/>
    <w:rsid w:val="00CF667B"/>
    <w:rsid w:val="00CF706A"/>
    <w:rsid w:val="00CF7641"/>
    <w:rsid w:val="00CF7AC3"/>
    <w:rsid w:val="00CF7AF4"/>
    <w:rsid w:val="00CF7C4A"/>
    <w:rsid w:val="00D01C82"/>
    <w:rsid w:val="00D01D62"/>
    <w:rsid w:val="00D026FE"/>
    <w:rsid w:val="00D053B9"/>
    <w:rsid w:val="00D10746"/>
    <w:rsid w:val="00D124C8"/>
    <w:rsid w:val="00D13BD3"/>
    <w:rsid w:val="00D13D16"/>
    <w:rsid w:val="00D13EA3"/>
    <w:rsid w:val="00D14E3E"/>
    <w:rsid w:val="00D15F16"/>
    <w:rsid w:val="00D178F7"/>
    <w:rsid w:val="00D20458"/>
    <w:rsid w:val="00D2297C"/>
    <w:rsid w:val="00D23826"/>
    <w:rsid w:val="00D24425"/>
    <w:rsid w:val="00D24FA8"/>
    <w:rsid w:val="00D25ADA"/>
    <w:rsid w:val="00D25B91"/>
    <w:rsid w:val="00D25F60"/>
    <w:rsid w:val="00D26FC7"/>
    <w:rsid w:val="00D271E3"/>
    <w:rsid w:val="00D275E1"/>
    <w:rsid w:val="00D27878"/>
    <w:rsid w:val="00D300F8"/>
    <w:rsid w:val="00D30A04"/>
    <w:rsid w:val="00D30BC1"/>
    <w:rsid w:val="00D3386D"/>
    <w:rsid w:val="00D342C4"/>
    <w:rsid w:val="00D342C8"/>
    <w:rsid w:val="00D34B12"/>
    <w:rsid w:val="00D3796E"/>
    <w:rsid w:val="00D40404"/>
    <w:rsid w:val="00D40AA1"/>
    <w:rsid w:val="00D4101A"/>
    <w:rsid w:val="00D42A68"/>
    <w:rsid w:val="00D42C2D"/>
    <w:rsid w:val="00D43709"/>
    <w:rsid w:val="00D44718"/>
    <w:rsid w:val="00D447F2"/>
    <w:rsid w:val="00D4596C"/>
    <w:rsid w:val="00D45E1E"/>
    <w:rsid w:val="00D500E9"/>
    <w:rsid w:val="00D50287"/>
    <w:rsid w:val="00D51265"/>
    <w:rsid w:val="00D51B63"/>
    <w:rsid w:val="00D542B5"/>
    <w:rsid w:val="00D57245"/>
    <w:rsid w:val="00D57FFA"/>
    <w:rsid w:val="00D60048"/>
    <w:rsid w:val="00D60728"/>
    <w:rsid w:val="00D61641"/>
    <w:rsid w:val="00D626D2"/>
    <w:rsid w:val="00D654CB"/>
    <w:rsid w:val="00D66D3E"/>
    <w:rsid w:val="00D6736C"/>
    <w:rsid w:val="00D7045A"/>
    <w:rsid w:val="00D70634"/>
    <w:rsid w:val="00D72033"/>
    <w:rsid w:val="00D73CDB"/>
    <w:rsid w:val="00D74982"/>
    <w:rsid w:val="00D75EB5"/>
    <w:rsid w:val="00D767C8"/>
    <w:rsid w:val="00D77732"/>
    <w:rsid w:val="00D81EF3"/>
    <w:rsid w:val="00D8206E"/>
    <w:rsid w:val="00D84A78"/>
    <w:rsid w:val="00D85A4C"/>
    <w:rsid w:val="00D85F4F"/>
    <w:rsid w:val="00D8665D"/>
    <w:rsid w:val="00D8773E"/>
    <w:rsid w:val="00D87AD2"/>
    <w:rsid w:val="00D91B2D"/>
    <w:rsid w:val="00D92383"/>
    <w:rsid w:val="00D935C3"/>
    <w:rsid w:val="00D93DE4"/>
    <w:rsid w:val="00D941A2"/>
    <w:rsid w:val="00D947C9"/>
    <w:rsid w:val="00D96820"/>
    <w:rsid w:val="00D96B83"/>
    <w:rsid w:val="00D96BF7"/>
    <w:rsid w:val="00D979AA"/>
    <w:rsid w:val="00D97BE9"/>
    <w:rsid w:val="00DA0FD8"/>
    <w:rsid w:val="00DA1176"/>
    <w:rsid w:val="00DA1758"/>
    <w:rsid w:val="00DA1CD0"/>
    <w:rsid w:val="00DA1E43"/>
    <w:rsid w:val="00DA247F"/>
    <w:rsid w:val="00DA3120"/>
    <w:rsid w:val="00DA3D28"/>
    <w:rsid w:val="00DA5149"/>
    <w:rsid w:val="00DA621E"/>
    <w:rsid w:val="00DB1D7C"/>
    <w:rsid w:val="00DB213D"/>
    <w:rsid w:val="00DB2F8D"/>
    <w:rsid w:val="00DB4295"/>
    <w:rsid w:val="00DB48BF"/>
    <w:rsid w:val="00DB54AA"/>
    <w:rsid w:val="00DB681D"/>
    <w:rsid w:val="00DB6CCB"/>
    <w:rsid w:val="00DC20A6"/>
    <w:rsid w:val="00DC59F6"/>
    <w:rsid w:val="00DC61F8"/>
    <w:rsid w:val="00DC678B"/>
    <w:rsid w:val="00DC74CB"/>
    <w:rsid w:val="00DC7D76"/>
    <w:rsid w:val="00DD014C"/>
    <w:rsid w:val="00DD062D"/>
    <w:rsid w:val="00DD090E"/>
    <w:rsid w:val="00DD38CE"/>
    <w:rsid w:val="00DD5322"/>
    <w:rsid w:val="00DD53D7"/>
    <w:rsid w:val="00DD6284"/>
    <w:rsid w:val="00DD793E"/>
    <w:rsid w:val="00DD7F28"/>
    <w:rsid w:val="00DE1E73"/>
    <w:rsid w:val="00DE4628"/>
    <w:rsid w:val="00DE58E3"/>
    <w:rsid w:val="00DE71BC"/>
    <w:rsid w:val="00DE74D3"/>
    <w:rsid w:val="00DE78F8"/>
    <w:rsid w:val="00DF199F"/>
    <w:rsid w:val="00DF2345"/>
    <w:rsid w:val="00DF2EB1"/>
    <w:rsid w:val="00DF473B"/>
    <w:rsid w:val="00DF5923"/>
    <w:rsid w:val="00E00D88"/>
    <w:rsid w:val="00E013D4"/>
    <w:rsid w:val="00E0357F"/>
    <w:rsid w:val="00E03580"/>
    <w:rsid w:val="00E03CAE"/>
    <w:rsid w:val="00E03DA2"/>
    <w:rsid w:val="00E0434D"/>
    <w:rsid w:val="00E04817"/>
    <w:rsid w:val="00E04C5D"/>
    <w:rsid w:val="00E066C3"/>
    <w:rsid w:val="00E06F3B"/>
    <w:rsid w:val="00E11332"/>
    <w:rsid w:val="00E137AC"/>
    <w:rsid w:val="00E15E0F"/>
    <w:rsid w:val="00E16A8D"/>
    <w:rsid w:val="00E178BD"/>
    <w:rsid w:val="00E20B5C"/>
    <w:rsid w:val="00E20DAC"/>
    <w:rsid w:val="00E2160F"/>
    <w:rsid w:val="00E21754"/>
    <w:rsid w:val="00E21E04"/>
    <w:rsid w:val="00E22C36"/>
    <w:rsid w:val="00E243D4"/>
    <w:rsid w:val="00E247B1"/>
    <w:rsid w:val="00E24E51"/>
    <w:rsid w:val="00E25A3E"/>
    <w:rsid w:val="00E26680"/>
    <w:rsid w:val="00E270CA"/>
    <w:rsid w:val="00E27210"/>
    <w:rsid w:val="00E27681"/>
    <w:rsid w:val="00E277E0"/>
    <w:rsid w:val="00E30575"/>
    <w:rsid w:val="00E307CA"/>
    <w:rsid w:val="00E30D67"/>
    <w:rsid w:val="00E311F1"/>
    <w:rsid w:val="00E3135C"/>
    <w:rsid w:val="00E331BE"/>
    <w:rsid w:val="00E345ED"/>
    <w:rsid w:val="00E35231"/>
    <w:rsid w:val="00E354EC"/>
    <w:rsid w:val="00E3728D"/>
    <w:rsid w:val="00E3735A"/>
    <w:rsid w:val="00E40B4C"/>
    <w:rsid w:val="00E43DEB"/>
    <w:rsid w:val="00E4423D"/>
    <w:rsid w:val="00E4449B"/>
    <w:rsid w:val="00E4474B"/>
    <w:rsid w:val="00E4494F"/>
    <w:rsid w:val="00E45556"/>
    <w:rsid w:val="00E477B8"/>
    <w:rsid w:val="00E47B1F"/>
    <w:rsid w:val="00E52693"/>
    <w:rsid w:val="00E528A2"/>
    <w:rsid w:val="00E5291B"/>
    <w:rsid w:val="00E52AAC"/>
    <w:rsid w:val="00E52BDE"/>
    <w:rsid w:val="00E5426F"/>
    <w:rsid w:val="00E55618"/>
    <w:rsid w:val="00E56790"/>
    <w:rsid w:val="00E57BC5"/>
    <w:rsid w:val="00E57C1B"/>
    <w:rsid w:val="00E6021D"/>
    <w:rsid w:val="00E616A1"/>
    <w:rsid w:val="00E6359F"/>
    <w:rsid w:val="00E64B67"/>
    <w:rsid w:val="00E654C4"/>
    <w:rsid w:val="00E676D5"/>
    <w:rsid w:val="00E67AE3"/>
    <w:rsid w:val="00E70415"/>
    <w:rsid w:val="00E71D16"/>
    <w:rsid w:val="00E73032"/>
    <w:rsid w:val="00E73A84"/>
    <w:rsid w:val="00E73EC7"/>
    <w:rsid w:val="00E7415E"/>
    <w:rsid w:val="00E75336"/>
    <w:rsid w:val="00E7675B"/>
    <w:rsid w:val="00E777DB"/>
    <w:rsid w:val="00E77AB0"/>
    <w:rsid w:val="00E82BA6"/>
    <w:rsid w:val="00E83880"/>
    <w:rsid w:val="00E83E8F"/>
    <w:rsid w:val="00E84027"/>
    <w:rsid w:val="00E842BC"/>
    <w:rsid w:val="00E87A73"/>
    <w:rsid w:val="00E90A1B"/>
    <w:rsid w:val="00E90A71"/>
    <w:rsid w:val="00E90E01"/>
    <w:rsid w:val="00E90EB3"/>
    <w:rsid w:val="00E91E75"/>
    <w:rsid w:val="00E93429"/>
    <w:rsid w:val="00E93D36"/>
    <w:rsid w:val="00E94A66"/>
    <w:rsid w:val="00E94F4D"/>
    <w:rsid w:val="00E95B79"/>
    <w:rsid w:val="00E969A5"/>
    <w:rsid w:val="00E96C92"/>
    <w:rsid w:val="00EA013B"/>
    <w:rsid w:val="00EA05C0"/>
    <w:rsid w:val="00EA0AB5"/>
    <w:rsid w:val="00EA0F34"/>
    <w:rsid w:val="00EA0F6A"/>
    <w:rsid w:val="00EA2545"/>
    <w:rsid w:val="00EA284D"/>
    <w:rsid w:val="00EA2B50"/>
    <w:rsid w:val="00EA3339"/>
    <w:rsid w:val="00EA58B5"/>
    <w:rsid w:val="00EA7FC8"/>
    <w:rsid w:val="00EB1A6E"/>
    <w:rsid w:val="00EB2CCE"/>
    <w:rsid w:val="00EB3B7E"/>
    <w:rsid w:val="00EB647F"/>
    <w:rsid w:val="00EB72BA"/>
    <w:rsid w:val="00EC083F"/>
    <w:rsid w:val="00EC1170"/>
    <w:rsid w:val="00EC19A1"/>
    <w:rsid w:val="00EC23D8"/>
    <w:rsid w:val="00EC35E6"/>
    <w:rsid w:val="00EC4950"/>
    <w:rsid w:val="00EC74C5"/>
    <w:rsid w:val="00ED07F6"/>
    <w:rsid w:val="00ED0930"/>
    <w:rsid w:val="00ED18BE"/>
    <w:rsid w:val="00ED1CB8"/>
    <w:rsid w:val="00ED27A7"/>
    <w:rsid w:val="00ED30AA"/>
    <w:rsid w:val="00ED4AF5"/>
    <w:rsid w:val="00ED4C52"/>
    <w:rsid w:val="00ED4D76"/>
    <w:rsid w:val="00ED5167"/>
    <w:rsid w:val="00ED5842"/>
    <w:rsid w:val="00ED634B"/>
    <w:rsid w:val="00EE03ED"/>
    <w:rsid w:val="00EE19D6"/>
    <w:rsid w:val="00EE252D"/>
    <w:rsid w:val="00EE3B4E"/>
    <w:rsid w:val="00EE4459"/>
    <w:rsid w:val="00EE4A28"/>
    <w:rsid w:val="00EE4F05"/>
    <w:rsid w:val="00EE6820"/>
    <w:rsid w:val="00EE744C"/>
    <w:rsid w:val="00EF14E9"/>
    <w:rsid w:val="00EF1542"/>
    <w:rsid w:val="00EF27FA"/>
    <w:rsid w:val="00EF3321"/>
    <w:rsid w:val="00EF3A60"/>
    <w:rsid w:val="00EF67C7"/>
    <w:rsid w:val="00EF6AAB"/>
    <w:rsid w:val="00EF7824"/>
    <w:rsid w:val="00F007EF"/>
    <w:rsid w:val="00F0157D"/>
    <w:rsid w:val="00F060CF"/>
    <w:rsid w:val="00F06684"/>
    <w:rsid w:val="00F06E8E"/>
    <w:rsid w:val="00F0715E"/>
    <w:rsid w:val="00F10924"/>
    <w:rsid w:val="00F1104E"/>
    <w:rsid w:val="00F117A5"/>
    <w:rsid w:val="00F13DA2"/>
    <w:rsid w:val="00F13FC9"/>
    <w:rsid w:val="00F15CE1"/>
    <w:rsid w:val="00F16E4C"/>
    <w:rsid w:val="00F200D9"/>
    <w:rsid w:val="00F20D52"/>
    <w:rsid w:val="00F214BB"/>
    <w:rsid w:val="00F21D5F"/>
    <w:rsid w:val="00F22342"/>
    <w:rsid w:val="00F2250F"/>
    <w:rsid w:val="00F23608"/>
    <w:rsid w:val="00F24938"/>
    <w:rsid w:val="00F24EF3"/>
    <w:rsid w:val="00F25675"/>
    <w:rsid w:val="00F27864"/>
    <w:rsid w:val="00F309B0"/>
    <w:rsid w:val="00F32BA0"/>
    <w:rsid w:val="00F32D52"/>
    <w:rsid w:val="00F32D80"/>
    <w:rsid w:val="00F33165"/>
    <w:rsid w:val="00F33637"/>
    <w:rsid w:val="00F3582B"/>
    <w:rsid w:val="00F373C5"/>
    <w:rsid w:val="00F4289A"/>
    <w:rsid w:val="00F42A4F"/>
    <w:rsid w:val="00F440ED"/>
    <w:rsid w:val="00F44637"/>
    <w:rsid w:val="00F44939"/>
    <w:rsid w:val="00F459D8"/>
    <w:rsid w:val="00F4601B"/>
    <w:rsid w:val="00F46FCB"/>
    <w:rsid w:val="00F47E8C"/>
    <w:rsid w:val="00F50B9D"/>
    <w:rsid w:val="00F52CE4"/>
    <w:rsid w:val="00F54CD8"/>
    <w:rsid w:val="00F571ED"/>
    <w:rsid w:val="00F6127B"/>
    <w:rsid w:val="00F62B8F"/>
    <w:rsid w:val="00F6300D"/>
    <w:rsid w:val="00F65655"/>
    <w:rsid w:val="00F66493"/>
    <w:rsid w:val="00F675CA"/>
    <w:rsid w:val="00F712CB"/>
    <w:rsid w:val="00F716EA"/>
    <w:rsid w:val="00F77401"/>
    <w:rsid w:val="00F80703"/>
    <w:rsid w:val="00F81009"/>
    <w:rsid w:val="00F816AA"/>
    <w:rsid w:val="00F81785"/>
    <w:rsid w:val="00F81ABF"/>
    <w:rsid w:val="00F8252A"/>
    <w:rsid w:val="00F82829"/>
    <w:rsid w:val="00F83326"/>
    <w:rsid w:val="00F84B11"/>
    <w:rsid w:val="00F85490"/>
    <w:rsid w:val="00F8591C"/>
    <w:rsid w:val="00F86AF0"/>
    <w:rsid w:val="00F878B2"/>
    <w:rsid w:val="00F87C58"/>
    <w:rsid w:val="00F90A48"/>
    <w:rsid w:val="00F9127E"/>
    <w:rsid w:val="00F91737"/>
    <w:rsid w:val="00F91B24"/>
    <w:rsid w:val="00F923D5"/>
    <w:rsid w:val="00F94E19"/>
    <w:rsid w:val="00F95624"/>
    <w:rsid w:val="00F96079"/>
    <w:rsid w:val="00F970E8"/>
    <w:rsid w:val="00F97AB7"/>
    <w:rsid w:val="00F97E1E"/>
    <w:rsid w:val="00FA03D9"/>
    <w:rsid w:val="00FA108E"/>
    <w:rsid w:val="00FA2721"/>
    <w:rsid w:val="00FA49F4"/>
    <w:rsid w:val="00FA6D4C"/>
    <w:rsid w:val="00FB1F18"/>
    <w:rsid w:val="00FB24A2"/>
    <w:rsid w:val="00FB3880"/>
    <w:rsid w:val="00FB4137"/>
    <w:rsid w:val="00FB4982"/>
    <w:rsid w:val="00FB4D99"/>
    <w:rsid w:val="00FB5534"/>
    <w:rsid w:val="00FB5780"/>
    <w:rsid w:val="00FB6F65"/>
    <w:rsid w:val="00FC0C6B"/>
    <w:rsid w:val="00FC1146"/>
    <w:rsid w:val="00FC24F3"/>
    <w:rsid w:val="00FC2614"/>
    <w:rsid w:val="00FC2A06"/>
    <w:rsid w:val="00FC2C32"/>
    <w:rsid w:val="00FC32D6"/>
    <w:rsid w:val="00FC3490"/>
    <w:rsid w:val="00FC3DB7"/>
    <w:rsid w:val="00FC4A7C"/>
    <w:rsid w:val="00FC51C9"/>
    <w:rsid w:val="00FC55E2"/>
    <w:rsid w:val="00FC56A4"/>
    <w:rsid w:val="00FC5ED5"/>
    <w:rsid w:val="00FC645A"/>
    <w:rsid w:val="00FC6881"/>
    <w:rsid w:val="00FC7B3C"/>
    <w:rsid w:val="00FC7D8A"/>
    <w:rsid w:val="00FC7F47"/>
    <w:rsid w:val="00FD02F9"/>
    <w:rsid w:val="00FD07EE"/>
    <w:rsid w:val="00FD0ABA"/>
    <w:rsid w:val="00FD2907"/>
    <w:rsid w:val="00FD306E"/>
    <w:rsid w:val="00FD3BF1"/>
    <w:rsid w:val="00FD4F3D"/>
    <w:rsid w:val="00FD52A6"/>
    <w:rsid w:val="00FD6983"/>
    <w:rsid w:val="00FE05F1"/>
    <w:rsid w:val="00FE0CEA"/>
    <w:rsid w:val="00FE16D3"/>
    <w:rsid w:val="00FE17B3"/>
    <w:rsid w:val="00FE2D25"/>
    <w:rsid w:val="00FE34E4"/>
    <w:rsid w:val="00FE43A6"/>
    <w:rsid w:val="00FE47CD"/>
    <w:rsid w:val="00FE581E"/>
    <w:rsid w:val="00FE7651"/>
    <w:rsid w:val="00FE78CA"/>
    <w:rsid w:val="00FF0B37"/>
    <w:rsid w:val="00FF0D2A"/>
    <w:rsid w:val="00FF0F99"/>
    <w:rsid w:val="00FF34C2"/>
    <w:rsid w:val="00FF3736"/>
    <w:rsid w:val="00FF5AD8"/>
    <w:rsid w:val="00FF64E7"/>
    <w:rsid w:val="00FF69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75"/>
    <w:pPr>
      <w:tabs>
        <w:tab w:val="center" w:pos="4680"/>
        <w:tab w:val="right" w:pos="9360"/>
      </w:tabs>
      <w:spacing w:line="240" w:lineRule="auto"/>
    </w:pPr>
  </w:style>
  <w:style w:type="character" w:customStyle="1" w:styleId="HeaderChar">
    <w:name w:val="Header Char"/>
    <w:basedOn w:val="DefaultParagraphFont"/>
    <w:link w:val="Header"/>
    <w:uiPriority w:val="99"/>
    <w:rsid w:val="00654975"/>
    <w:rPr>
      <w:rFonts w:ascii="Century Schoolbook" w:hAnsi="Century Schoolbook"/>
      <w:sz w:val="26"/>
    </w:rPr>
  </w:style>
  <w:style w:type="paragraph" w:styleId="Footer">
    <w:name w:val="footer"/>
    <w:basedOn w:val="Normal"/>
    <w:link w:val="FooterChar"/>
    <w:uiPriority w:val="99"/>
    <w:unhideWhenUsed/>
    <w:rsid w:val="00654975"/>
    <w:pPr>
      <w:tabs>
        <w:tab w:val="center" w:pos="4680"/>
        <w:tab w:val="right" w:pos="9360"/>
      </w:tabs>
      <w:spacing w:line="240" w:lineRule="auto"/>
    </w:pPr>
  </w:style>
  <w:style w:type="character" w:customStyle="1" w:styleId="FooterChar">
    <w:name w:val="Footer Char"/>
    <w:basedOn w:val="DefaultParagraphFont"/>
    <w:link w:val="Footer"/>
    <w:uiPriority w:val="99"/>
    <w:rsid w:val="00654975"/>
    <w:rPr>
      <w:rFonts w:ascii="Century Schoolbook" w:hAnsi="Century Schoolbook"/>
      <w:sz w:val="26"/>
    </w:rPr>
  </w:style>
  <w:style w:type="character" w:styleId="PageNumber">
    <w:name w:val="page number"/>
    <w:basedOn w:val="DefaultParagraphFont"/>
    <w:uiPriority w:val="99"/>
    <w:semiHidden/>
    <w:unhideWhenUsed/>
    <w:rsid w:val="00654975"/>
  </w:style>
  <w:style w:type="paragraph" w:styleId="FootnoteText">
    <w:name w:val="footnote text"/>
    <w:basedOn w:val="Normal"/>
    <w:link w:val="FootnoteTextChar"/>
    <w:uiPriority w:val="99"/>
    <w:unhideWhenUsed/>
    <w:rsid w:val="002F39F6"/>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F39F6"/>
    <w:rPr>
      <w:sz w:val="20"/>
      <w:szCs w:val="20"/>
    </w:rPr>
  </w:style>
  <w:style w:type="character" w:styleId="FootnoteReference">
    <w:name w:val="footnote reference"/>
    <w:basedOn w:val="DefaultParagraphFont"/>
    <w:uiPriority w:val="99"/>
    <w:semiHidden/>
    <w:unhideWhenUsed/>
    <w:rsid w:val="002F39F6"/>
    <w:rPr>
      <w:sz w:val="26"/>
      <w:vertAlign w:val="superscript"/>
    </w:rPr>
  </w:style>
  <w:style w:type="character" w:styleId="CommentReference">
    <w:name w:val="annotation reference"/>
    <w:basedOn w:val="DefaultParagraphFont"/>
    <w:uiPriority w:val="99"/>
    <w:semiHidden/>
    <w:unhideWhenUsed/>
    <w:rsid w:val="002F39F6"/>
    <w:rPr>
      <w:sz w:val="16"/>
      <w:szCs w:val="16"/>
    </w:rPr>
  </w:style>
  <w:style w:type="paragraph" w:styleId="CommentText">
    <w:name w:val="annotation text"/>
    <w:basedOn w:val="Normal"/>
    <w:link w:val="CommentTextChar"/>
    <w:uiPriority w:val="99"/>
    <w:unhideWhenUsed/>
    <w:rsid w:val="002F39F6"/>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2F39F6"/>
    <w:rPr>
      <w:sz w:val="20"/>
      <w:szCs w:val="20"/>
    </w:rPr>
  </w:style>
  <w:style w:type="paragraph" w:styleId="ListParagraph">
    <w:name w:val="List Paragraph"/>
    <w:basedOn w:val="Normal"/>
    <w:uiPriority w:val="34"/>
    <w:qFormat/>
    <w:rsid w:val="003E0DB9"/>
    <w:pPr>
      <w:ind w:left="720"/>
      <w:contextualSpacing/>
    </w:pPr>
  </w:style>
  <w:style w:type="paragraph" w:styleId="CommentSubject">
    <w:name w:val="annotation subject"/>
    <w:basedOn w:val="CommentText"/>
    <w:next w:val="CommentText"/>
    <w:link w:val="CommentSubjectChar"/>
    <w:uiPriority w:val="99"/>
    <w:semiHidden/>
    <w:unhideWhenUsed/>
    <w:rsid w:val="00915685"/>
    <w:pPr>
      <w:spacing w:after="0"/>
    </w:pPr>
    <w:rPr>
      <w:rFonts w:ascii="Century Schoolbook" w:hAnsi="Century Schoolbook"/>
      <w:b/>
      <w:bCs/>
    </w:rPr>
  </w:style>
  <w:style w:type="character" w:customStyle="1" w:styleId="CommentSubjectChar">
    <w:name w:val="Comment Subject Char"/>
    <w:basedOn w:val="CommentTextChar"/>
    <w:link w:val="CommentSubject"/>
    <w:uiPriority w:val="99"/>
    <w:semiHidden/>
    <w:rsid w:val="00915685"/>
    <w:rPr>
      <w:rFonts w:ascii="Century Schoolbook" w:hAnsi="Century Schoolbook"/>
      <w:b/>
      <w:bCs/>
      <w:sz w:val="20"/>
      <w:szCs w:val="20"/>
    </w:rPr>
  </w:style>
  <w:style w:type="character" w:styleId="Hyperlink">
    <w:name w:val="Hyperlink"/>
    <w:basedOn w:val="DefaultParagraphFont"/>
    <w:uiPriority w:val="99"/>
    <w:semiHidden/>
    <w:unhideWhenUsed/>
    <w:rsid w:val="00842029"/>
    <w:rPr>
      <w:color w:val="0000FF"/>
      <w:u w:val="single"/>
    </w:rPr>
  </w:style>
  <w:style w:type="character" w:styleId="Emphasis">
    <w:name w:val="Emphasis"/>
    <w:basedOn w:val="DefaultParagraphFont"/>
    <w:uiPriority w:val="20"/>
    <w:qFormat/>
    <w:rsid w:val="00842029"/>
    <w:rPr>
      <w:i/>
      <w:iCs/>
    </w:rPr>
  </w:style>
  <w:style w:type="character" w:customStyle="1" w:styleId="coconcept3138">
    <w:name w:val="co_concept_31_38"/>
    <w:basedOn w:val="DefaultParagraphFont"/>
    <w:rsid w:val="00872667"/>
  </w:style>
  <w:style w:type="character" w:customStyle="1" w:styleId="coconcept4550">
    <w:name w:val="co_concept_45_50"/>
    <w:basedOn w:val="DefaultParagraphFont"/>
    <w:rsid w:val="00872667"/>
  </w:style>
  <w:style w:type="character" w:customStyle="1" w:styleId="costarpage">
    <w:name w:val="co_starpage"/>
    <w:basedOn w:val="DefaultParagraphFont"/>
    <w:rsid w:val="00872667"/>
  </w:style>
  <w:style w:type="paragraph" w:styleId="Revision">
    <w:name w:val="Revision"/>
    <w:hidden/>
    <w:uiPriority w:val="99"/>
    <w:semiHidden/>
    <w:rsid w:val="0013789F"/>
    <w:pPr>
      <w:spacing w:after="0" w:line="240" w:lineRule="auto"/>
    </w:pPr>
    <w:rPr>
      <w:rFonts w:ascii="Century Schoolbook" w:hAnsi="Century Schoolbook"/>
      <w:sz w:val="26"/>
    </w:rPr>
  </w:style>
  <w:style w:type="character" w:customStyle="1" w:styleId="cosearchterm">
    <w:name w:val="co_searchterm"/>
    <w:basedOn w:val="DefaultParagraphFont"/>
    <w:rsid w:val="0030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63AC-EC86-49E0-B690-2CF7FB70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5/30/2024</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2024-05-30T19:45:32Z</dcterms:created>
  <dcterms:modified xsi:type="dcterms:W3CDTF">2024-05-30T19:45:32Z</dcterms:modified>
</cp:coreProperties>
</file>