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9D94" w14:textId="74827645" w:rsidR="008E1E84" w:rsidRPr="00905862" w:rsidRDefault="0018013E" w:rsidP="00C5238E">
      <w:pPr>
        <w:rPr>
          <w:sz w:val="20"/>
          <w:szCs w:val="20"/>
        </w:rPr>
      </w:pPr>
      <w:r>
        <w:rPr>
          <w:sz w:val="20"/>
          <w:szCs w:val="20"/>
        </w:rPr>
        <w:t xml:space="preserve">Filed </w:t>
      </w:r>
      <w:proofErr w:type="gramStart"/>
      <w:r>
        <w:rPr>
          <w:sz w:val="20"/>
          <w:szCs w:val="20"/>
        </w:rPr>
        <w:t>5/22/24</w:t>
      </w:r>
      <w:proofErr w:type="gramEnd"/>
    </w:p>
    <w:p w14:paraId="419CCD78" w14:textId="378349B7" w:rsidR="008E1E84" w:rsidRDefault="008E1E84" w:rsidP="00C5238E">
      <w:pPr>
        <w:jc w:val="center"/>
        <w:rPr>
          <w:b/>
        </w:rPr>
      </w:pPr>
      <w:r>
        <w:rPr>
          <w:b/>
        </w:rPr>
        <w:t>CERTIFIED FOR PUBLICATION</w:t>
      </w:r>
    </w:p>
    <w:p w14:paraId="12E10013" w14:textId="77777777" w:rsidR="008E1E84" w:rsidRDefault="008E1E84" w:rsidP="00C5238E">
      <w:pPr>
        <w:jc w:val="center"/>
      </w:pPr>
    </w:p>
    <w:p w14:paraId="30EF975B" w14:textId="728E4F5A" w:rsidR="008E1E84" w:rsidRDefault="008E1E84" w:rsidP="00C5238E">
      <w:pPr>
        <w:jc w:val="center"/>
      </w:pPr>
      <w:r>
        <w:t>IN THE COURT OF APPEAL OF THE STATE OF CALIFORNIA</w:t>
      </w:r>
    </w:p>
    <w:p w14:paraId="55BB36EC" w14:textId="77777777" w:rsidR="008E1E84" w:rsidRDefault="008E1E84" w:rsidP="00C5238E">
      <w:pPr>
        <w:jc w:val="center"/>
      </w:pPr>
    </w:p>
    <w:p w14:paraId="7807B367" w14:textId="5A7A7199" w:rsidR="008E1E84" w:rsidRDefault="008E1E84" w:rsidP="00C5238E">
      <w:pPr>
        <w:jc w:val="center"/>
      </w:pPr>
      <w:r>
        <w:t>SECOND APPELLATE DISTRICT</w:t>
      </w:r>
    </w:p>
    <w:p w14:paraId="08C25C0B" w14:textId="77777777" w:rsidR="008E1E84" w:rsidRDefault="008E1E84" w:rsidP="00C5238E">
      <w:pPr>
        <w:jc w:val="center"/>
      </w:pPr>
    </w:p>
    <w:p w14:paraId="1350C1C9" w14:textId="1C27077A" w:rsidR="008E1E84" w:rsidRDefault="008E1E84" w:rsidP="00C5238E">
      <w:pPr>
        <w:jc w:val="center"/>
      </w:pPr>
      <w:r>
        <w:t>DIVISION FIVE</w:t>
      </w:r>
    </w:p>
    <w:p w14:paraId="31FCB79A" w14:textId="77777777" w:rsidR="008E1E84" w:rsidRDefault="008E1E84" w:rsidP="00C5238E">
      <w:pPr>
        <w:jc w:val="center"/>
      </w:pPr>
    </w:p>
    <w:p w14:paraId="26E72476" w14:textId="77777777" w:rsidR="008E1E84" w:rsidRDefault="008E1E84" w:rsidP="00C5238E">
      <w:pPr>
        <w:jc w:val="center"/>
      </w:pPr>
    </w:p>
    <w:tbl>
      <w:tblPr>
        <w:tblW w:w="0" w:type="auto"/>
        <w:tblLayout w:type="fixed"/>
        <w:tblLook w:val="0000" w:firstRow="0" w:lastRow="0" w:firstColumn="0" w:lastColumn="0" w:noHBand="0" w:noVBand="0"/>
      </w:tblPr>
      <w:tblGrid>
        <w:gridCol w:w="4320"/>
        <w:gridCol w:w="3600"/>
      </w:tblGrid>
      <w:tr w:rsidR="008E1E84" w14:paraId="3B2D933C" w14:textId="77777777" w:rsidTr="00DA7BBC">
        <w:tc>
          <w:tcPr>
            <w:tcW w:w="4320" w:type="dxa"/>
            <w:tcBorders>
              <w:bottom w:val="single" w:sz="4" w:space="0" w:color="auto"/>
              <w:right w:val="single" w:sz="4" w:space="0" w:color="auto"/>
            </w:tcBorders>
            <w:shd w:val="clear" w:color="auto" w:fill="auto"/>
          </w:tcPr>
          <w:p w14:paraId="0ACFAB89" w14:textId="77777777" w:rsidR="008E1E84" w:rsidRDefault="008E1E84" w:rsidP="00C5238E">
            <w:r>
              <w:t>MASSIEL HERNANDEZ,</w:t>
            </w:r>
          </w:p>
          <w:p w14:paraId="4670C8FE" w14:textId="77777777" w:rsidR="008E1E84" w:rsidRDefault="008E1E84" w:rsidP="00C5238E"/>
          <w:p w14:paraId="3B3C68FB" w14:textId="77777777" w:rsidR="008E1E84" w:rsidRDefault="008E1E84" w:rsidP="00C5238E">
            <w:r>
              <w:tab/>
              <w:t>Plaintiff and Respondent,</w:t>
            </w:r>
          </w:p>
          <w:p w14:paraId="2C7C43C7" w14:textId="77777777" w:rsidR="008E1E84" w:rsidRDefault="008E1E84" w:rsidP="00C5238E"/>
          <w:p w14:paraId="301D2023" w14:textId="77777777" w:rsidR="008E1E84" w:rsidRDefault="008E1E84" w:rsidP="00C5238E">
            <w:r>
              <w:tab/>
              <w:t>v.</w:t>
            </w:r>
          </w:p>
          <w:p w14:paraId="460E04EA" w14:textId="77777777" w:rsidR="008E1E84" w:rsidRDefault="008E1E84" w:rsidP="00C5238E"/>
          <w:p w14:paraId="69B23C8A" w14:textId="7151E53D" w:rsidR="008E1E84" w:rsidRDefault="008E1E84" w:rsidP="00C5238E">
            <w:r>
              <w:t>SOHNEN ENTERPRISES,</w:t>
            </w:r>
            <w:r w:rsidR="009855B9">
              <w:t xml:space="preserve"> I</w:t>
            </w:r>
            <w:r w:rsidR="00536007">
              <w:t>NC.</w:t>
            </w:r>
            <w:r w:rsidR="00A40347">
              <w:t>,</w:t>
            </w:r>
          </w:p>
          <w:p w14:paraId="49453681" w14:textId="77777777" w:rsidR="008E1E84" w:rsidRDefault="008E1E84" w:rsidP="00C5238E"/>
          <w:p w14:paraId="3521050D" w14:textId="77777777" w:rsidR="008E1E84" w:rsidRDefault="008E1E84" w:rsidP="00C5238E">
            <w:r>
              <w:tab/>
              <w:t>Defendant and Appellant.</w:t>
            </w:r>
          </w:p>
          <w:p w14:paraId="0EC945D2" w14:textId="7F48E0C8" w:rsidR="008E1E84" w:rsidRDefault="008E1E84" w:rsidP="00C5238E"/>
        </w:tc>
        <w:tc>
          <w:tcPr>
            <w:tcW w:w="3600" w:type="dxa"/>
            <w:tcBorders>
              <w:left w:val="single" w:sz="4" w:space="0" w:color="auto"/>
            </w:tcBorders>
            <w:shd w:val="clear" w:color="auto" w:fill="auto"/>
          </w:tcPr>
          <w:p w14:paraId="521452FA" w14:textId="77777777" w:rsidR="008E1E84" w:rsidRDefault="008E1E84" w:rsidP="00C5238E">
            <w:r>
              <w:t xml:space="preserve">      B323303</w:t>
            </w:r>
          </w:p>
          <w:p w14:paraId="154A1161" w14:textId="77777777" w:rsidR="008E1E84" w:rsidRDefault="008E1E84" w:rsidP="00C5238E"/>
          <w:p w14:paraId="79B5E9AF" w14:textId="77777777" w:rsidR="008E1E84" w:rsidRDefault="008E1E84" w:rsidP="00C5238E">
            <w:r>
              <w:t xml:space="preserve">      (Los Angeles County</w:t>
            </w:r>
          </w:p>
          <w:p w14:paraId="4F9D52A2" w14:textId="77777777" w:rsidR="00DA7BBC" w:rsidRDefault="008E1E84" w:rsidP="00C5238E">
            <w:r>
              <w:t xml:space="preserve">      Super. Ct. No.</w:t>
            </w:r>
          </w:p>
          <w:p w14:paraId="3EEAC2B3" w14:textId="04C898B7" w:rsidR="008E1E84" w:rsidRDefault="00DA7BBC" w:rsidP="00C5238E">
            <w:r>
              <w:t xml:space="preserve">     </w:t>
            </w:r>
            <w:r w:rsidR="008E1E84">
              <w:t xml:space="preserve"> 21STCV26283)</w:t>
            </w:r>
          </w:p>
          <w:p w14:paraId="5A8854E4" w14:textId="52D2DFC0" w:rsidR="008E1E84" w:rsidRDefault="008E1E84" w:rsidP="00C5238E">
            <w:pPr>
              <w:ind w:left="341" w:hanging="341"/>
            </w:pPr>
          </w:p>
        </w:tc>
      </w:tr>
    </w:tbl>
    <w:p w14:paraId="0922CD14" w14:textId="77777777" w:rsidR="008E1E84" w:rsidRPr="008E1E84" w:rsidRDefault="008E1E84" w:rsidP="00C5238E"/>
    <w:p w14:paraId="33C26AB6" w14:textId="2FA191E9" w:rsidR="00AA2C3C" w:rsidRDefault="00AA2C3C" w:rsidP="00C5238E">
      <w:r>
        <w:tab/>
        <w:t xml:space="preserve">APPEAL from an order of the Superior Court of Los Angeles County, </w:t>
      </w:r>
      <w:r w:rsidR="00C10E37">
        <w:t>Steven</w:t>
      </w:r>
      <w:r w:rsidR="00D35A94">
        <w:t xml:space="preserve"> I. </w:t>
      </w:r>
      <w:proofErr w:type="spellStart"/>
      <w:r w:rsidR="00D35A94">
        <w:t>Goorvitch</w:t>
      </w:r>
      <w:proofErr w:type="spellEnd"/>
      <w:r>
        <w:t xml:space="preserve">, Judge.  </w:t>
      </w:r>
      <w:r w:rsidR="00495BA7">
        <w:t>Reversed</w:t>
      </w:r>
      <w:r w:rsidR="000F4D06">
        <w:t>.</w:t>
      </w:r>
    </w:p>
    <w:p w14:paraId="448497B1" w14:textId="46AF927F" w:rsidR="00AA2C3C" w:rsidRDefault="00AA2C3C" w:rsidP="00C5238E">
      <w:r>
        <w:tab/>
      </w:r>
      <w:proofErr w:type="spellStart"/>
      <w:r w:rsidR="003D261F">
        <w:t>Wolflick</w:t>
      </w:r>
      <w:proofErr w:type="spellEnd"/>
      <w:r w:rsidR="003D261F">
        <w:t>, Khachaturian</w:t>
      </w:r>
      <w:r w:rsidR="00803880">
        <w:t xml:space="preserve"> &amp; </w:t>
      </w:r>
      <w:proofErr w:type="spellStart"/>
      <w:r w:rsidR="00803880">
        <w:t>Bouayad</w:t>
      </w:r>
      <w:proofErr w:type="spellEnd"/>
      <w:r>
        <w:t xml:space="preserve">, </w:t>
      </w:r>
      <w:r w:rsidR="00803880">
        <w:t xml:space="preserve">Gregory D. </w:t>
      </w:r>
      <w:proofErr w:type="spellStart"/>
      <w:r w:rsidR="00803880">
        <w:t>Wolflick</w:t>
      </w:r>
      <w:proofErr w:type="spellEnd"/>
      <w:r w:rsidR="00803880">
        <w:t xml:space="preserve"> and </w:t>
      </w:r>
      <w:r w:rsidR="005A0F6D">
        <w:t>Theodore</w:t>
      </w:r>
      <w:r w:rsidR="00DA5B67">
        <w:t> </w:t>
      </w:r>
      <w:r w:rsidR="005A0F6D">
        <w:t>S. Khachaturian</w:t>
      </w:r>
      <w:r>
        <w:t xml:space="preserve"> for Defendant and Appellant.</w:t>
      </w:r>
    </w:p>
    <w:p w14:paraId="2DBC3765" w14:textId="609F9A2E" w:rsidR="00AA2C3C" w:rsidRDefault="00AA2C3C" w:rsidP="00C5238E">
      <w:r>
        <w:tab/>
      </w:r>
      <w:r w:rsidR="000A3D98">
        <w:t>Moon Law Group</w:t>
      </w:r>
      <w:r w:rsidR="002A2066">
        <w:t>,</w:t>
      </w:r>
      <w:r w:rsidR="00A20DFD">
        <w:t xml:space="preserve"> Kane Moon</w:t>
      </w:r>
      <w:r w:rsidR="004132FA">
        <w:t xml:space="preserve">, Christopher L. Garcia and </w:t>
      </w:r>
      <w:r w:rsidR="005811E8">
        <w:t>Sara Salinas</w:t>
      </w:r>
      <w:r>
        <w:t xml:space="preserve"> for </w:t>
      </w:r>
      <w:proofErr w:type="gramStart"/>
      <w:r>
        <w:t>Plaintiff  and</w:t>
      </w:r>
      <w:proofErr w:type="gramEnd"/>
      <w:r>
        <w:t xml:space="preserve"> Respondent.</w:t>
      </w:r>
    </w:p>
    <w:p w14:paraId="64DFD31A" w14:textId="77777777" w:rsidR="00A20DFD" w:rsidRDefault="00A20DFD" w:rsidP="00C5238E"/>
    <w:p w14:paraId="28A5EC38" w14:textId="59998D7F" w:rsidR="00AA2C3C" w:rsidRDefault="00A20DFD" w:rsidP="00C5238E">
      <w:pPr>
        <w:jc w:val="center"/>
      </w:pPr>
      <w:r>
        <w:t>____________________</w:t>
      </w:r>
    </w:p>
    <w:p w14:paraId="5A720614" w14:textId="77777777" w:rsidR="008E1E84" w:rsidRDefault="008E1E84" w:rsidP="00C5238E">
      <w:pPr>
        <w:rPr>
          <w:szCs w:val="26"/>
        </w:rPr>
      </w:pPr>
    </w:p>
    <w:p w14:paraId="53FA43F4" w14:textId="6CF5483B" w:rsidR="000F079D" w:rsidRDefault="00C3564D" w:rsidP="00C5238E">
      <w:pPr>
        <w:rPr>
          <w:szCs w:val="26"/>
        </w:rPr>
      </w:pPr>
      <w:r>
        <w:rPr>
          <w:szCs w:val="26"/>
        </w:rPr>
        <w:lastRenderedPageBreak/>
        <w:tab/>
      </w:r>
      <w:r w:rsidR="00BF39F3">
        <w:rPr>
          <w:szCs w:val="26"/>
        </w:rPr>
        <w:t>A</w:t>
      </w:r>
      <w:r w:rsidR="00B2007B">
        <w:rPr>
          <w:szCs w:val="26"/>
        </w:rPr>
        <w:t>fter a</w:t>
      </w:r>
      <w:r w:rsidR="00BF39F3">
        <w:rPr>
          <w:szCs w:val="26"/>
        </w:rPr>
        <w:t>n employer</w:t>
      </w:r>
      <w:r w:rsidR="001E155B">
        <w:rPr>
          <w:szCs w:val="26"/>
        </w:rPr>
        <w:t xml:space="preserve"> </w:t>
      </w:r>
      <w:r w:rsidR="00D929CD">
        <w:rPr>
          <w:szCs w:val="26"/>
        </w:rPr>
        <w:t>failed to pay arbitration costs within 30 days of the</w:t>
      </w:r>
      <w:r w:rsidR="00B04288">
        <w:rPr>
          <w:szCs w:val="26"/>
        </w:rPr>
        <w:t xml:space="preserve"> due date</w:t>
      </w:r>
      <w:r w:rsidR="00AA1C8B">
        <w:rPr>
          <w:szCs w:val="26"/>
        </w:rPr>
        <w:t xml:space="preserve">, </w:t>
      </w:r>
      <w:r w:rsidR="00D645C6">
        <w:rPr>
          <w:szCs w:val="26"/>
        </w:rPr>
        <w:t xml:space="preserve">the employee </w:t>
      </w:r>
      <w:r w:rsidR="00B2007B">
        <w:rPr>
          <w:szCs w:val="26"/>
        </w:rPr>
        <w:t xml:space="preserve">filed a motion </w:t>
      </w:r>
      <w:r w:rsidR="000236EA">
        <w:rPr>
          <w:szCs w:val="26"/>
        </w:rPr>
        <w:t xml:space="preserve">to </w:t>
      </w:r>
      <w:r w:rsidR="00970679">
        <w:rPr>
          <w:szCs w:val="26"/>
        </w:rPr>
        <w:t xml:space="preserve">withdraw from arbitration and </w:t>
      </w:r>
      <w:r w:rsidR="008B7BB2">
        <w:rPr>
          <w:szCs w:val="26"/>
        </w:rPr>
        <w:t>litigate</w:t>
      </w:r>
      <w:r w:rsidR="00731EE4">
        <w:rPr>
          <w:szCs w:val="26"/>
        </w:rPr>
        <w:t xml:space="preserve"> in </w:t>
      </w:r>
      <w:r w:rsidR="008B7BB2">
        <w:rPr>
          <w:szCs w:val="26"/>
        </w:rPr>
        <w:t>state court</w:t>
      </w:r>
      <w:r w:rsidR="00C243DE">
        <w:rPr>
          <w:szCs w:val="26"/>
        </w:rPr>
        <w:t xml:space="preserve"> as </w:t>
      </w:r>
      <w:r w:rsidR="00797CBA">
        <w:rPr>
          <w:szCs w:val="26"/>
        </w:rPr>
        <w:t>permitted</w:t>
      </w:r>
      <w:r w:rsidR="00AA1C8B">
        <w:rPr>
          <w:szCs w:val="26"/>
        </w:rPr>
        <w:t xml:space="preserve"> </w:t>
      </w:r>
      <w:r w:rsidR="00FD79A0">
        <w:rPr>
          <w:szCs w:val="26"/>
        </w:rPr>
        <w:t xml:space="preserve">under </w:t>
      </w:r>
      <w:r w:rsidR="00591A68">
        <w:rPr>
          <w:szCs w:val="26"/>
        </w:rPr>
        <w:t xml:space="preserve">California </w:t>
      </w:r>
      <w:r w:rsidR="00690E97">
        <w:rPr>
          <w:szCs w:val="26"/>
        </w:rPr>
        <w:t>Code of Civil Procedure section 1281.97</w:t>
      </w:r>
      <w:r w:rsidR="0001678C">
        <w:rPr>
          <w:szCs w:val="26"/>
        </w:rPr>
        <w:t>.</w:t>
      </w:r>
      <w:r w:rsidR="00A15408" w:rsidRPr="00A20DFD">
        <w:rPr>
          <w:rStyle w:val="FootnoteReference"/>
          <w:b/>
          <w:bCs/>
          <w:position w:val="8"/>
          <w:sz w:val="20"/>
          <w:szCs w:val="26"/>
          <w:vertAlign w:val="baseline"/>
        </w:rPr>
        <w:footnoteReference w:id="2"/>
      </w:r>
      <w:r w:rsidR="0002059E">
        <w:rPr>
          <w:szCs w:val="26"/>
        </w:rPr>
        <w:t xml:space="preserve"> </w:t>
      </w:r>
      <w:r w:rsidR="0001678C">
        <w:rPr>
          <w:szCs w:val="26"/>
        </w:rPr>
        <w:t xml:space="preserve"> </w:t>
      </w:r>
      <w:r w:rsidR="002A6874">
        <w:rPr>
          <w:szCs w:val="26"/>
        </w:rPr>
        <w:t xml:space="preserve">The trial court found </w:t>
      </w:r>
      <w:r w:rsidR="00255451">
        <w:rPr>
          <w:szCs w:val="26"/>
        </w:rPr>
        <w:t>the</w:t>
      </w:r>
      <w:r w:rsidR="00D638E3">
        <w:rPr>
          <w:szCs w:val="26"/>
        </w:rPr>
        <w:t xml:space="preserve"> </w:t>
      </w:r>
      <w:r w:rsidR="002A6874">
        <w:rPr>
          <w:szCs w:val="26"/>
        </w:rPr>
        <w:t>employer breached the arbitration agreement</w:t>
      </w:r>
      <w:r w:rsidR="00524A69">
        <w:rPr>
          <w:szCs w:val="26"/>
        </w:rPr>
        <w:t xml:space="preserve"> and </w:t>
      </w:r>
      <w:r w:rsidR="00B2007B">
        <w:rPr>
          <w:szCs w:val="26"/>
        </w:rPr>
        <w:t>granted the motion</w:t>
      </w:r>
      <w:r w:rsidR="006F205E">
        <w:rPr>
          <w:szCs w:val="26"/>
        </w:rPr>
        <w:t xml:space="preserve">.  </w:t>
      </w:r>
      <w:r w:rsidR="00680EA5">
        <w:rPr>
          <w:szCs w:val="26"/>
        </w:rPr>
        <w:t>On appeal, t</w:t>
      </w:r>
      <w:r w:rsidR="005A7944">
        <w:rPr>
          <w:szCs w:val="26"/>
        </w:rPr>
        <w:t>he employer</w:t>
      </w:r>
      <w:r w:rsidR="00334D7B">
        <w:rPr>
          <w:szCs w:val="26"/>
        </w:rPr>
        <w:t xml:space="preserve"> </w:t>
      </w:r>
      <w:r w:rsidR="00680EA5">
        <w:rPr>
          <w:szCs w:val="26"/>
        </w:rPr>
        <w:t>contends</w:t>
      </w:r>
      <w:r w:rsidR="00334D7B">
        <w:rPr>
          <w:szCs w:val="26"/>
        </w:rPr>
        <w:t xml:space="preserve"> that </w:t>
      </w:r>
      <w:r w:rsidR="00791E09" w:rsidRPr="00791E09">
        <w:rPr>
          <w:szCs w:val="26"/>
        </w:rPr>
        <w:t>the Federal Arbitration Act (FAA; 9 U.S.C. § 1 et seq.)</w:t>
      </w:r>
      <w:r w:rsidR="00400568">
        <w:rPr>
          <w:szCs w:val="26"/>
        </w:rPr>
        <w:t xml:space="preserve"> govern</w:t>
      </w:r>
      <w:r w:rsidR="00BE588E">
        <w:rPr>
          <w:szCs w:val="26"/>
        </w:rPr>
        <w:t>s</w:t>
      </w:r>
      <w:r w:rsidR="00400568">
        <w:rPr>
          <w:szCs w:val="26"/>
        </w:rPr>
        <w:t xml:space="preserve"> the</w:t>
      </w:r>
      <w:r w:rsidR="002F50D2">
        <w:rPr>
          <w:szCs w:val="26"/>
        </w:rPr>
        <w:t xml:space="preserve"> parties’</w:t>
      </w:r>
      <w:r w:rsidR="00400568">
        <w:rPr>
          <w:szCs w:val="26"/>
        </w:rPr>
        <w:t xml:space="preserve"> </w:t>
      </w:r>
      <w:r w:rsidR="00BE588E">
        <w:rPr>
          <w:szCs w:val="26"/>
        </w:rPr>
        <w:t xml:space="preserve">arbitration </w:t>
      </w:r>
      <w:r w:rsidR="00400568">
        <w:rPr>
          <w:szCs w:val="26"/>
        </w:rPr>
        <w:t xml:space="preserve">agreement </w:t>
      </w:r>
      <w:r w:rsidR="00FD79A0">
        <w:rPr>
          <w:szCs w:val="26"/>
        </w:rPr>
        <w:t xml:space="preserve">and </w:t>
      </w:r>
      <w:r w:rsidR="001E2E34">
        <w:rPr>
          <w:szCs w:val="26"/>
        </w:rPr>
        <w:t>preempts</w:t>
      </w:r>
      <w:r w:rsidR="00807CD4">
        <w:rPr>
          <w:szCs w:val="26"/>
        </w:rPr>
        <w:t xml:space="preserve"> section 1281.97.</w:t>
      </w:r>
      <w:r w:rsidR="00791E09">
        <w:rPr>
          <w:szCs w:val="26"/>
        </w:rPr>
        <w:t xml:space="preserve">  </w:t>
      </w:r>
      <w:r w:rsidR="00B2007B">
        <w:rPr>
          <w:szCs w:val="26"/>
        </w:rPr>
        <w:t xml:space="preserve">First, we </w:t>
      </w:r>
      <w:r w:rsidR="00D306EF">
        <w:rPr>
          <w:szCs w:val="26"/>
        </w:rPr>
        <w:t>conclude that an order granting a motion</w:t>
      </w:r>
      <w:r w:rsidR="00CA2F70">
        <w:rPr>
          <w:szCs w:val="26"/>
        </w:rPr>
        <w:t xml:space="preserve"> </w:t>
      </w:r>
      <w:r w:rsidR="0042665E">
        <w:rPr>
          <w:szCs w:val="26"/>
        </w:rPr>
        <w:t>under section 1281.97</w:t>
      </w:r>
      <w:r w:rsidR="00B2007B">
        <w:rPr>
          <w:szCs w:val="26"/>
        </w:rPr>
        <w:t xml:space="preserve"> to withdraw from arbitration and proceed in court</w:t>
      </w:r>
      <w:r w:rsidR="0042665E">
        <w:rPr>
          <w:szCs w:val="26"/>
        </w:rPr>
        <w:t xml:space="preserve"> </w:t>
      </w:r>
      <w:r w:rsidR="00CA2F70">
        <w:rPr>
          <w:szCs w:val="26"/>
        </w:rPr>
        <w:t xml:space="preserve">is appealable.  </w:t>
      </w:r>
      <w:r w:rsidR="00B2007B">
        <w:rPr>
          <w:szCs w:val="26"/>
        </w:rPr>
        <w:t>Second</w:t>
      </w:r>
      <w:r w:rsidR="0037581E">
        <w:rPr>
          <w:szCs w:val="26"/>
        </w:rPr>
        <w:t xml:space="preserve">, </w:t>
      </w:r>
      <w:r w:rsidR="00072D9E">
        <w:rPr>
          <w:szCs w:val="26"/>
        </w:rPr>
        <w:t xml:space="preserve">we find </w:t>
      </w:r>
      <w:r w:rsidR="00B2007B">
        <w:rPr>
          <w:szCs w:val="26"/>
        </w:rPr>
        <w:t>the arbitration agreement in this case is governed by</w:t>
      </w:r>
      <w:r w:rsidR="001E2BA7">
        <w:rPr>
          <w:szCs w:val="26"/>
        </w:rPr>
        <w:t xml:space="preserve"> </w:t>
      </w:r>
      <w:r w:rsidR="00EE788A">
        <w:rPr>
          <w:szCs w:val="26"/>
        </w:rPr>
        <w:t xml:space="preserve">the </w:t>
      </w:r>
      <w:r w:rsidR="00072D9E">
        <w:rPr>
          <w:szCs w:val="26"/>
        </w:rPr>
        <w:t xml:space="preserve">FAA, including both the </w:t>
      </w:r>
      <w:r w:rsidR="002945C4">
        <w:rPr>
          <w:szCs w:val="26"/>
        </w:rPr>
        <w:t>substantive</w:t>
      </w:r>
      <w:r w:rsidR="00402354">
        <w:rPr>
          <w:szCs w:val="26"/>
        </w:rPr>
        <w:t xml:space="preserve"> </w:t>
      </w:r>
      <w:r w:rsidR="00334D7B">
        <w:rPr>
          <w:szCs w:val="26"/>
        </w:rPr>
        <w:t xml:space="preserve">and procedural </w:t>
      </w:r>
      <w:r w:rsidR="002945C4">
        <w:rPr>
          <w:szCs w:val="26"/>
        </w:rPr>
        <w:t xml:space="preserve">provisions of the </w:t>
      </w:r>
      <w:r w:rsidR="00EE788A">
        <w:rPr>
          <w:szCs w:val="26"/>
        </w:rPr>
        <w:t>FAA</w:t>
      </w:r>
      <w:r w:rsidR="006811D9">
        <w:rPr>
          <w:szCs w:val="26"/>
        </w:rPr>
        <w:t xml:space="preserve">, </w:t>
      </w:r>
      <w:r w:rsidR="00B2641C">
        <w:rPr>
          <w:szCs w:val="26"/>
        </w:rPr>
        <w:t>rather than</w:t>
      </w:r>
      <w:r w:rsidR="00FC40CC">
        <w:rPr>
          <w:szCs w:val="26"/>
        </w:rPr>
        <w:t xml:space="preserve"> California’s arbitration laws</w:t>
      </w:r>
      <w:r w:rsidR="006325DD">
        <w:rPr>
          <w:szCs w:val="26"/>
        </w:rPr>
        <w:t xml:space="preserve">.  </w:t>
      </w:r>
      <w:r w:rsidR="00072D9E">
        <w:rPr>
          <w:szCs w:val="26"/>
        </w:rPr>
        <w:t>As a result</w:t>
      </w:r>
      <w:r w:rsidR="00356B10">
        <w:rPr>
          <w:szCs w:val="26"/>
        </w:rPr>
        <w:t xml:space="preserve">, </w:t>
      </w:r>
      <w:r w:rsidR="00DB5229">
        <w:rPr>
          <w:szCs w:val="26"/>
        </w:rPr>
        <w:t xml:space="preserve">the procedures of </w:t>
      </w:r>
      <w:r w:rsidR="007231A9">
        <w:rPr>
          <w:szCs w:val="26"/>
        </w:rPr>
        <w:t xml:space="preserve">section 1281.97 do </w:t>
      </w:r>
      <w:r w:rsidR="00210DB6">
        <w:rPr>
          <w:szCs w:val="26"/>
        </w:rPr>
        <w:t xml:space="preserve">not </w:t>
      </w:r>
      <w:proofErr w:type="gramStart"/>
      <w:r w:rsidR="00210DB6">
        <w:rPr>
          <w:szCs w:val="26"/>
        </w:rPr>
        <w:t>apply</w:t>
      </w:r>
      <w:proofErr w:type="gramEnd"/>
      <w:r w:rsidR="009E1A53">
        <w:rPr>
          <w:szCs w:val="26"/>
        </w:rPr>
        <w:t xml:space="preserve"> and the order must be reversed</w:t>
      </w:r>
      <w:r w:rsidR="00210DB6">
        <w:rPr>
          <w:szCs w:val="26"/>
        </w:rPr>
        <w:t xml:space="preserve">.  </w:t>
      </w:r>
      <w:r w:rsidR="00EB3DAA">
        <w:rPr>
          <w:szCs w:val="26"/>
        </w:rPr>
        <w:t xml:space="preserve">Even if we were to conclude that </w:t>
      </w:r>
      <w:r w:rsidR="00543455">
        <w:rPr>
          <w:szCs w:val="26"/>
        </w:rPr>
        <w:t xml:space="preserve">section 1281.97 </w:t>
      </w:r>
      <w:r w:rsidR="004F29EE">
        <w:rPr>
          <w:szCs w:val="26"/>
        </w:rPr>
        <w:t>applies</w:t>
      </w:r>
      <w:r w:rsidR="00207D26">
        <w:rPr>
          <w:szCs w:val="26"/>
        </w:rPr>
        <w:t>,</w:t>
      </w:r>
      <w:r w:rsidR="00174082">
        <w:rPr>
          <w:szCs w:val="26"/>
        </w:rPr>
        <w:t xml:space="preserve"> </w:t>
      </w:r>
      <w:r w:rsidR="00FC02CB">
        <w:rPr>
          <w:szCs w:val="26"/>
        </w:rPr>
        <w:t xml:space="preserve">however, </w:t>
      </w:r>
      <w:r w:rsidR="0055304C">
        <w:rPr>
          <w:szCs w:val="26"/>
        </w:rPr>
        <w:t xml:space="preserve">we </w:t>
      </w:r>
      <w:r w:rsidR="00EB3DAA">
        <w:rPr>
          <w:szCs w:val="26"/>
        </w:rPr>
        <w:t xml:space="preserve">would </w:t>
      </w:r>
      <w:r w:rsidR="009E1A53">
        <w:rPr>
          <w:szCs w:val="26"/>
        </w:rPr>
        <w:t xml:space="preserve">still </w:t>
      </w:r>
      <w:r w:rsidR="00EB3DAA">
        <w:rPr>
          <w:szCs w:val="26"/>
        </w:rPr>
        <w:t>reverse</w:t>
      </w:r>
      <w:r w:rsidR="009E1A53">
        <w:rPr>
          <w:szCs w:val="26"/>
        </w:rPr>
        <w:t>, because when</w:t>
      </w:r>
      <w:r w:rsidR="00D16E8B">
        <w:rPr>
          <w:szCs w:val="26"/>
        </w:rPr>
        <w:t xml:space="preserve"> </w:t>
      </w:r>
      <w:r w:rsidR="00B7386E">
        <w:rPr>
          <w:szCs w:val="26"/>
        </w:rPr>
        <w:t>an agreement</w:t>
      </w:r>
      <w:r w:rsidR="00E617DE">
        <w:rPr>
          <w:szCs w:val="26"/>
        </w:rPr>
        <w:t xml:space="preserve"> </w:t>
      </w:r>
      <w:r w:rsidR="009E6A64">
        <w:rPr>
          <w:szCs w:val="26"/>
        </w:rPr>
        <w:t>falls within the scope of</w:t>
      </w:r>
      <w:r w:rsidR="00E617DE">
        <w:rPr>
          <w:szCs w:val="26"/>
        </w:rPr>
        <w:t xml:space="preserve"> the FAA</w:t>
      </w:r>
      <w:r w:rsidR="00174082">
        <w:rPr>
          <w:szCs w:val="26"/>
        </w:rPr>
        <w:t xml:space="preserve"> and</w:t>
      </w:r>
      <w:r w:rsidR="00E617DE">
        <w:rPr>
          <w:szCs w:val="26"/>
        </w:rPr>
        <w:t xml:space="preserve"> does not expressly adopt California arbitration laws</w:t>
      </w:r>
      <w:r w:rsidR="00887F1D">
        <w:rPr>
          <w:szCs w:val="26"/>
        </w:rPr>
        <w:t xml:space="preserve">, </w:t>
      </w:r>
      <w:r w:rsidR="005660A7">
        <w:rPr>
          <w:szCs w:val="26"/>
        </w:rPr>
        <w:t xml:space="preserve">the FAA preempts </w:t>
      </w:r>
      <w:r w:rsidR="008B4EAF">
        <w:rPr>
          <w:szCs w:val="26"/>
        </w:rPr>
        <w:t xml:space="preserve">the </w:t>
      </w:r>
      <w:r w:rsidR="005660A7">
        <w:rPr>
          <w:szCs w:val="26"/>
        </w:rPr>
        <w:t xml:space="preserve">provisions </w:t>
      </w:r>
      <w:r w:rsidR="0055304C">
        <w:rPr>
          <w:szCs w:val="26"/>
        </w:rPr>
        <w:t>of section 1281.97 that mandate</w:t>
      </w:r>
      <w:r w:rsidR="005660A7">
        <w:rPr>
          <w:szCs w:val="26"/>
        </w:rPr>
        <w:t xml:space="preserve"> finding</w:t>
      </w:r>
      <w:r w:rsidR="00377B6C">
        <w:rPr>
          <w:szCs w:val="26"/>
        </w:rPr>
        <w:t>s of</w:t>
      </w:r>
      <w:r w:rsidR="005660A7">
        <w:rPr>
          <w:szCs w:val="26"/>
        </w:rPr>
        <w:t xml:space="preserve"> breach and waiver.  </w:t>
      </w:r>
      <w:r w:rsidR="00A35966">
        <w:rPr>
          <w:szCs w:val="26"/>
        </w:rPr>
        <w:t>Accordingly, we</w:t>
      </w:r>
      <w:r w:rsidR="00D7745F">
        <w:rPr>
          <w:szCs w:val="26"/>
        </w:rPr>
        <w:t xml:space="preserve"> reverse</w:t>
      </w:r>
      <w:r w:rsidR="00CC470A">
        <w:rPr>
          <w:szCs w:val="26"/>
        </w:rPr>
        <w:t>.</w:t>
      </w:r>
    </w:p>
    <w:p w14:paraId="4C119B63" w14:textId="77777777" w:rsidR="004F4675" w:rsidRDefault="004F4675" w:rsidP="00C5238E">
      <w:pPr>
        <w:rPr>
          <w:szCs w:val="26"/>
        </w:rPr>
      </w:pPr>
    </w:p>
    <w:p w14:paraId="70787F5B" w14:textId="7B4CC18A" w:rsidR="004F4675" w:rsidRPr="00A910ED" w:rsidRDefault="004F4675" w:rsidP="00C5238E">
      <w:pPr>
        <w:jc w:val="center"/>
        <w:rPr>
          <w:b/>
          <w:bCs/>
          <w:szCs w:val="26"/>
        </w:rPr>
      </w:pPr>
      <w:r w:rsidRPr="00A910ED">
        <w:rPr>
          <w:b/>
          <w:bCs/>
          <w:szCs w:val="26"/>
        </w:rPr>
        <w:t>FACTUAL AND PROCEDURAL HISTORY</w:t>
      </w:r>
    </w:p>
    <w:p w14:paraId="6F82CD0F" w14:textId="77777777" w:rsidR="004F4675" w:rsidRDefault="004F4675" w:rsidP="00C5238E">
      <w:pPr>
        <w:rPr>
          <w:szCs w:val="26"/>
        </w:rPr>
      </w:pPr>
    </w:p>
    <w:p w14:paraId="75BCF974" w14:textId="13C12899" w:rsidR="00251BEA" w:rsidRDefault="00251BEA" w:rsidP="00C5238E">
      <w:pPr>
        <w:rPr>
          <w:szCs w:val="26"/>
        </w:rPr>
      </w:pPr>
      <w:r>
        <w:rPr>
          <w:szCs w:val="26"/>
        </w:rPr>
        <w:tab/>
      </w:r>
      <w:r w:rsidR="008442AD">
        <w:rPr>
          <w:szCs w:val="26"/>
        </w:rPr>
        <w:t xml:space="preserve">On December 2, 2016, </w:t>
      </w:r>
      <w:r w:rsidR="00D7284F">
        <w:rPr>
          <w:szCs w:val="26"/>
        </w:rPr>
        <w:t>p</w:t>
      </w:r>
      <w:r w:rsidR="00D7284F" w:rsidRPr="00D7284F">
        <w:rPr>
          <w:szCs w:val="26"/>
        </w:rPr>
        <w:t xml:space="preserve">laintiff and respondent Massiel Hernandez </w:t>
      </w:r>
      <w:r w:rsidR="00FD795A">
        <w:rPr>
          <w:szCs w:val="26"/>
        </w:rPr>
        <w:t xml:space="preserve">executed an arbitration agreement with </w:t>
      </w:r>
      <w:r w:rsidR="00260AE9" w:rsidRPr="00260AE9">
        <w:rPr>
          <w:szCs w:val="26"/>
        </w:rPr>
        <w:t xml:space="preserve">defendant and appellant </w:t>
      </w:r>
      <w:proofErr w:type="spellStart"/>
      <w:r w:rsidR="00260AE9" w:rsidRPr="00260AE9">
        <w:rPr>
          <w:szCs w:val="26"/>
        </w:rPr>
        <w:t>Sohnen</w:t>
      </w:r>
      <w:proofErr w:type="spellEnd"/>
      <w:r w:rsidR="00260AE9" w:rsidRPr="00260AE9">
        <w:rPr>
          <w:szCs w:val="26"/>
        </w:rPr>
        <w:t xml:space="preserve"> Enterprises</w:t>
      </w:r>
      <w:r w:rsidR="005B4E77">
        <w:rPr>
          <w:szCs w:val="26"/>
        </w:rPr>
        <w:t xml:space="preserve"> that stated, </w:t>
      </w:r>
      <w:r w:rsidR="008D4A76">
        <w:rPr>
          <w:szCs w:val="26"/>
        </w:rPr>
        <w:t>“This Agreement is govern</w:t>
      </w:r>
      <w:r w:rsidR="00247B99">
        <w:rPr>
          <w:szCs w:val="26"/>
        </w:rPr>
        <w:t xml:space="preserve">ed by the Federal Arbitration Act </w:t>
      </w:r>
      <w:r w:rsidR="00D62FBD">
        <w:rPr>
          <w:szCs w:val="26"/>
        </w:rPr>
        <w:t>(‘</w:t>
      </w:r>
      <w:r w:rsidR="00247B99">
        <w:rPr>
          <w:szCs w:val="26"/>
        </w:rPr>
        <w:t>FAA</w:t>
      </w:r>
      <w:r w:rsidR="00D62FBD">
        <w:rPr>
          <w:szCs w:val="26"/>
        </w:rPr>
        <w:t xml:space="preserve">’), </w:t>
      </w:r>
      <w:r w:rsidR="00247B99">
        <w:rPr>
          <w:szCs w:val="26"/>
        </w:rPr>
        <w:t xml:space="preserve">9 U.S.C. </w:t>
      </w:r>
      <w:r w:rsidR="005244F4">
        <w:rPr>
          <w:szCs w:val="26"/>
        </w:rPr>
        <w:t>[</w:t>
      </w:r>
      <w:r w:rsidR="00D27E5E">
        <w:rPr>
          <w:szCs w:val="26"/>
        </w:rPr>
        <w:t>section]</w:t>
      </w:r>
      <w:r w:rsidR="00247B99">
        <w:rPr>
          <w:szCs w:val="26"/>
        </w:rPr>
        <w:t xml:space="preserve"> 1, et seq.”</w:t>
      </w:r>
      <w:bookmarkStart w:id="0" w:name="_Hlk156947587"/>
      <w:r w:rsidR="00247B99">
        <w:rPr>
          <w:szCs w:val="26"/>
        </w:rPr>
        <w:t xml:space="preserve"> </w:t>
      </w:r>
      <w:r w:rsidR="002C40F0">
        <w:rPr>
          <w:szCs w:val="26"/>
        </w:rPr>
        <w:t xml:space="preserve"> </w:t>
      </w:r>
      <w:bookmarkEnd w:id="0"/>
      <w:r w:rsidR="00C82164" w:rsidRPr="00C82164">
        <w:rPr>
          <w:szCs w:val="26"/>
        </w:rPr>
        <w:t xml:space="preserve">The agreement provided that “any disputes </w:t>
      </w:r>
      <w:r w:rsidR="00C82164" w:rsidRPr="00C82164">
        <w:rPr>
          <w:szCs w:val="26"/>
        </w:rPr>
        <w:lastRenderedPageBreak/>
        <w:t xml:space="preserve">regarding the enforceability, interpretation, scope, applicability or coverage of this Agreement are reserved solely for the Court, not for arbitration.” </w:t>
      </w:r>
      <w:r w:rsidR="00C82164">
        <w:rPr>
          <w:szCs w:val="26"/>
        </w:rPr>
        <w:t xml:space="preserve"> </w:t>
      </w:r>
      <w:r w:rsidR="004403A8">
        <w:rPr>
          <w:szCs w:val="26"/>
        </w:rPr>
        <w:t xml:space="preserve">If the parties could not agree on an arbitrator, </w:t>
      </w:r>
      <w:r w:rsidR="007D1FA9">
        <w:rPr>
          <w:szCs w:val="26"/>
        </w:rPr>
        <w:t xml:space="preserve">a party </w:t>
      </w:r>
      <w:r w:rsidR="00C34FB0">
        <w:rPr>
          <w:szCs w:val="26"/>
        </w:rPr>
        <w:t>could</w:t>
      </w:r>
      <w:r w:rsidR="007D1FA9">
        <w:rPr>
          <w:szCs w:val="26"/>
        </w:rPr>
        <w:t xml:space="preserve"> </w:t>
      </w:r>
      <w:r w:rsidR="00C34FB0">
        <w:rPr>
          <w:szCs w:val="26"/>
        </w:rPr>
        <w:t>“</w:t>
      </w:r>
      <w:r w:rsidR="007D1FA9">
        <w:rPr>
          <w:szCs w:val="26"/>
        </w:rPr>
        <w:t xml:space="preserve">seek </w:t>
      </w:r>
      <w:r w:rsidR="00927B47">
        <w:rPr>
          <w:szCs w:val="26"/>
        </w:rPr>
        <w:t xml:space="preserve">court </w:t>
      </w:r>
      <w:r w:rsidR="007D1FA9">
        <w:rPr>
          <w:szCs w:val="26"/>
        </w:rPr>
        <w:t xml:space="preserve">appointment of an arbitrator pursuant to the FAA.”  </w:t>
      </w:r>
      <w:r w:rsidR="00FB10A0">
        <w:rPr>
          <w:szCs w:val="26"/>
        </w:rPr>
        <w:t xml:space="preserve">The agreement </w:t>
      </w:r>
      <w:r w:rsidR="00D11673">
        <w:rPr>
          <w:szCs w:val="26"/>
        </w:rPr>
        <w:t>explained</w:t>
      </w:r>
      <w:r w:rsidR="003532EE">
        <w:rPr>
          <w:szCs w:val="26"/>
        </w:rPr>
        <w:t xml:space="preserve"> that </w:t>
      </w:r>
      <w:r w:rsidR="00D11673">
        <w:rPr>
          <w:szCs w:val="26"/>
        </w:rPr>
        <w:t xml:space="preserve">arbitration fees </w:t>
      </w:r>
      <w:r w:rsidR="003532EE">
        <w:rPr>
          <w:szCs w:val="26"/>
        </w:rPr>
        <w:t xml:space="preserve">would be paid by </w:t>
      </w:r>
      <w:proofErr w:type="spellStart"/>
      <w:r w:rsidR="003532EE">
        <w:rPr>
          <w:szCs w:val="26"/>
        </w:rPr>
        <w:t>Sohnen</w:t>
      </w:r>
      <w:proofErr w:type="spellEnd"/>
      <w:r w:rsidR="003532EE">
        <w:rPr>
          <w:szCs w:val="26"/>
        </w:rPr>
        <w:t xml:space="preserve"> or other parties to the dispute, </w:t>
      </w:r>
      <w:r w:rsidR="00435373">
        <w:rPr>
          <w:szCs w:val="26"/>
        </w:rPr>
        <w:t xml:space="preserve">not by the employee, </w:t>
      </w:r>
      <w:r w:rsidR="003532EE">
        <w:rPr>
          <w:szCs w:val="26"/>
        </w:rPr>
        <w:t xml:space="preserve">but </w:t>
      </w:r>
      <w:r w:rsidR="000A3DF0">
        <w:rPr>
          <w:szCs w:val="26"/>
        </w:rPr>
        <w:t>parties</w:t>
      </w:r>
      <w:r w:rsidR="002F116D">
        <w:rPr>
          <w:szCs w:val="26"/>
        </w:rPr>
        <w:t xml:space="preserve"> choosing </w:t>
      </w:r>
      <w:r w:rsidR="003532EE">
        <w:rPr>
          <w:szCs w:val="26"/>
        </w:rPr>
        <w:t>to be represented by an attorney would be responsible for their own attorney fees</w:t>
      </w:r>
      <w:r w:rsidR="00907181">
        <w:rPr>
          <w:szCs w:val="26"/>
        </w:rPr>
        <w:t xml:space="preserve">. </w:t>
      </w:r>
      <w:r w:rsidR="00FB10A0">
        <w:rPr>
          <w:szCs w:val="26"/>
        </w:rPr>
        <w:t xml:space="preserve"> </w:t>
      </w:r>
      <w:r w:rsidR="000B154C">
        <w:rPr>
          <w:szCs w:val="26"/>
        </w:rPr>
        <w:t>During</w:t>
      </w:r>
      <w:r w:rsidR="0019549F">
        <w:rPr>
          <w:szCs w:val="26"/>
        </w:rPr>
        <w:t xml:space="preserve"> arbitration, </w:t>
      </w:r>
      <w:r w:rsidR="00D85036">
        <w:rPr>
          <w:szCs w:val="26"/>
        </w:rPr>
        <w:t xml:space="preserve">the </w:t>
      </w:r>
      <w:r w:rsidR="0019549F">
        <w:rPr>
          <w:szCs w:val="26"/>
        </w:rPr>
        <w:t xml:space="preserve">parties could conduct discovery and bring motions </w:t>
      </w:r>
      <w:r w:rsidR="00D648DE">
        <w:rPr>
          <w:szCs w:val="26"/>
        </w:rPr>
        <w:t xml:space="preserve">under the Federal Rules of Civil Procedure except as </w:t>
      </w:r>
      <w:r w:rsidR="009C739F">
        <w:rPr>
          <w:szCs w:val="26"/>
        </w:rPr>
        <w:t>specifically</w:t>
      </w:r>
      <w:r w:rsidR="00D648DE">
        <w:rPr>
          <w:szCs w:val="26"/>
        </w:rPr>
        <w:t xml:space="preserve"> provided</w:t>
      </w:r>
      <w:r w:rsidR="009C739F">
        <w:rPr>
          <w:szCs w:val="26"/>
        </w:rPr>
        <w:t xml:space="preserve"> otherwise</w:t>
      </w:r>
      <w:r w:rsidR="00D648DE">
        <w:rPr>
          <w:szCs w:val="26"/>
        </w:rPr>
        <w:t xml:space="preserve"> in the agreement.</w:t>
      </w:r>
      <w:r w:rsidR="00D648DE" w:rsidRPr="00D648DE">
        <w:rPr>
          <w:szCs w:val="26"/>
        </w:rPr>
        <w:t xml:space="preserve"> </w:t>
      </w:r>
      <w:r w:rsidR="0037234B" w:rsidRPr="0037234B">
        <w:rPr>
          <w:szCs w:val="26"/>
        </w:rPr>
        <w:t xml:space="preserve"> </w:t>
      </w:r>
      <w:r w:rsidR="00807B3F">
        <w:rPr>
          <w:szCs w:val="26"/>
        </w:rPr>
        <w:t>The parties</w:t>
      </w:r>
      <w:r w:rsidR="001454BA">
        <w:rPr>
          <w:szCs w:val="26"/>
        </w:rPr>
        <w:t xml:space="preserve"> waived class or representative actions “to the fullest extent permitted by the FAA.”  </w:t>
      </w:r>
      <w:r w:rsidR="005877E3">
        <w:rPr>
          <w:szCs w:val="26"/>
        </w:rPr>
        <w:t xml:space="preserve">The agreement </w:t>
      </w:r>
      <w:r w:rsidR="006B529F">
        <w:rPr>
          <w:szCs w:val="26"/>
        </w:rPr>
        <w:t>also provided</w:t>
      </w:r>
      <w:r w:rsidR="005877E3">
        <w:rPr>
          <w:szCs w:val="26"/>
        </w:rPr>
        <w:t>, “The arbitrator shall not have the power to commit errors of law or legal reasoning and the arbitrator’s award may be vacated or corrected by a court of competent jurisdiction for any such error.  The decision of the arbitrator can be entered and enforced as a final judgment in any court of competent jurisdiction.”</w:t>
      </w:r>
      <w:r w:rsidR="005C519D" w:rsidRPr="005C519D">
        <w:rPr>
          <w:szCs w:val="26"/>
        </w:rPr>
        <w:t xml:space="preserve"> </w:t>
      </w:r>
    </w:p>
    <w:p w14:paraId="7E2E53AE" w14:textId="6AE28F9F" w:rsidR="00672182" w:rsidRDefault="00251BEA" w:rsidP="00C5238E">
      <w:pPr>
        <w:rPr>
          <w:szCs w:val="26"/>
        </w:rPr>
      </w:pPr>
      <w:r>
        <w:rPr>
          <w:szCs w:val="26"/>
        </w:rPr>
        <w:tab/>
      </w:r>
      <w:r w:rsidR="005C519D">
        <w:rPr>
          <w:szCs w:val="26"/>
        </w:rPr>
        <w:t>Hernandez</w:t>
      </w:r>
      <w:r w:rsidR="005C519D" w:rsidRPr="005C519D">
        <w:rPr>
          <w:szCs w:val="26"/>
        </w:rPr>
        <w:t xml:space="preserve"> worked for </w:t>
      </w:r>
      <w:proofErr w:type="spellStart"/>
      <w:r w:rsidR="005C519D" w:rsidRPr="005C519D">
        <w:rPr>
          <w:szCs w:val="26"/>
        </w:rPr>
        <w:t>Sohnen</w:t>
      </w:r>
      <w:proofErr w:type="spellEnd"/>
      <w:r w:rsidR="005C519D" w:rsidRPr="005C519D">
        <w:rPr>
          <w:szCs w:val="26"/>
        </w:rPr>
        <w:t xml:space="preserve"> as a “product handler” from February 2015 to August 2020. </w:t>
      </w:r>
      <w:r w:rsidR="005C519D">
        <w:rPr>
          <w:szCs w:val="26"/>
        </w:rPr>
        <w:t xml:space="preserve"> </w:t>
      </w:r>
      <w:r w:rsidR="002659F4">
        <w:rPr>
          <w:szCs w:val="26"/>
        </w:rPr>
        <w:t>On</w:t>
      </w:r>
      <w:r w:rsidR="00EE7380">
        <w:rPr>
          <w:szCs w:val="26"/>
        </w:rPr>
        <w:t xml:space="preserve"> </w:t>
      </w:r>
      <w:r w:rsidR="00B821BE">
        <w:rPr>
          <w:szCs w:val="26"/>
        </w:rPr>
        <w:t>July</w:t>
      </w:r>
      <w:r w:rsidR="00EE7380">
        <w:rPr>
          <w:szCs w:val="26"/>
        </w:rPr>
        <w:t xml:space="preserve"> </w:t>
      </w:r>
      <w:r w:rsidR="00B821BE">
        <w:rPr>
          <w:szCs w:val="26"/>
        </w:rPr>
        <w:t>1</w:t>
      </w:r>
      <w:r w:rsidR="00EE7380">
        <w:rPr>
          <w:szCs w:val="26"/>
        </w:rPr>
        <w:t>6, 202</w:t>
      </w:r>
      <w:r w:rsidR="00B821BE">
        <w:rPr>
          <w:szCs w:val="26"/>
        </w:rPr>
        <w:t>1</w:t>
      </w:r>
      <w:r w:rsidR="00EE7380">
        <w:rPr>
          <w:szCs w:val="26"/>
        </w:rPr>
        <w:t xml:space="preserve">, </w:t>
      </w:r>
      <w:r w:rsidR="009B42C4">
        <w:rPr>
          <w:szCs w:val="26"/>
        </w:rPr>
        <w:t>Hernandez</w:t>
      </w:r>
      <w:r w:rsidR="008758D4">
        <w:rPr>
          <w:szCs w:val="26"/>
        </w:rPr>
        <w:t xml:space="preserve"> filed </w:t>
      </w:r>
      <w:r w:rsidR="00A3388E">
        <w:rPr>
          <w:szCs w:val="26"/>
        </w:rPr>
        <w:t>a complaint</w:t>
      </w:r>
      <w:r w:rsidR="00C960EE">
        <w:rPr>
          <w:szCs w:val="26"/>
        </w:rPr>
        <w:t xml:space="preserve"> </w:t>
      </w:r>
      <w:r w:rsidR="008758D4">
        <w:rPr>
          <w:szCs w:val="26"/>
        </w:rPr>
        <w:t xml:space="preserve">against </w:t>
      </w:r>
      <w:proofErr w:type="spellStart"/>
      <w:r w:rsidR="009B42C4">
        <w:rPr>
          <w:szCs w:val="26"/>
        </w:rPr>
        <w:t>Sohnen</w:t>
      </w:r>
      <w:proofErr w:type="spellEnd"/>
      <w:r w:rsidR="008758D4">
        <w:rPr>
          <w:szCs w:val="26"/>
        </w:rPr>
        <w:t xml:space="preserve"> for </w:t>
      </w:r>
      <w:r w:rsidR="00EC4C40">
        <w:rPr>
          <w:szCs w:val="26"/>
        </w:rPr>
        <w:t xml:space="preserve">disability discrimination, Labor Code violations, </w:t>
      </w:r>
      <w:r w:rsidR="007A482C">
        <w:rPr>
          <w:szCs w:val="26"/>
        </w:rPr>
        <w:t xml:space="preserve">and related </w:t>
      </w:r>
      <w:r w:rsidR="007212E7">
        <w:rPr>
          <w:szCs w:val="26"/>
        </w:rPr>
        <w:t>causes</w:t>
      </w:r>
      <w:r w:rsidR="007A482C">
        <w:rPr>
          <w:szCs w:val="26"/>
        </w:rPr>
        <w:t xml:space="preserve"> of action.</w:t>
      </w:r>
      <w:r w:rsidR="00B70B6E">
        <w:rPr>
          <w:szCs w:val="26"/>
        </w:rPr>
        <w:t xml:space="preserve"> </w:t>
      </w:r>
      <w:r w:rsidR="008F72AC">
        <w:rPr>
          <w:szCs w:val="26"/>
        </w:rPr>
        <w:t xml:space="preserve"> </w:t>
      </w:r>
      <w:r w:rsidR="00672182">
        <w:rPr>
          <w:szCs w:val="26"/>
        </w:rPr>
        <w:t xml:space="preserve">On </w:t>
      </w:r>
      <w:r w:rsidR="00CB3C4B">
        <w:rPr>
          <w:szCs w:val="26"/>
        </w:rPr>
        <w:t>November 8, 2021</w:t>
      </w:r>
      <w:r w:rsidR="00FF2A07">
        <w:rPr>
          <w:szCs w:val="26"/>
        </w:rPr>
        <w:t xml:space="preserve">, the parties </w:t>
      </w:r>
      <w:r w:rsidR="00716124">
        <w:rPr>
          <w:szCs w:val="26"/>
        </w:rPr>
        <w:t>stipulated</w:t>
      </w:r>
      <w:r w:rsidR="00FF2A07">
        <w:rPr>
          <w:szCs w:val="26"/>
        </w:rPr>
        <w:t xml:space="preserve"> to </w:t>
      </w:r>
      <w:r w:rsidR="000D5BFC">
        <w:rPr>
          <w:szCs w:val="26"/>
        </w:rPr>
        <w:t xml:space="preserve">stay the trial court proceedings and arbitrate </w:t>
      </w:r>
      <w:r w:rsidR="0086142C">
        <w:rPr>
          <w:szCs w:val="26"/>
        </w:rPr>
        <w:t>pursuant to</w:t>
      </w:r>
      <w:r w:rsidR="00F55A5D">
        <w:rPr>
          <w:szCs w:val="26"/>
        </w:rPr>
        <w:t xml:space="preserve"> the</w:t>
      </w:r>
      <w:r w:rsidR="005C617B">
        <w:rPr>
          <w:szCs w:val="26"/>
        </w:rPr>
        <w:t>ir</w:t>
      </w:r>
      <w:r w:rsidR="00F55A5D">
        <w:rPr>
          <w:szCs w:val="26"/>
        </w:rPr>
        <w:t xml:space="preserve"> arbitration agreement</w:t>
      </w:r>
      <w:r w:rsidR="0094649A">
        <w:rPr>
          <w:szCs w:val="26"/>
        </w:rPr>
        <w:t>, which they attached</w:t>
      </w:r>
      <w:r w:rsidR="00FF2A07">
        <w:rPr>
          <w:szCs w:val="26"/>
        </w:rPr>
        <w:t>.</w:t>
      </w:r>
      <w:r w:rsidR="00FF2A07" w:rsidRPr="00FF2A07">
        <w:rPr>
          <w:szCs w:val="26"/>
        </w:rPr>
        <w:t xml:space="preserve"> </w:t>
      </w:r>
      <w:r w:rsidR="003E0EB2">
        <w:rPr>
          <w:szCs w:val="26"/>
        </w:rPr>
        <w:t xml:space="preserve"> </w:t>
      </w:r>
      <w:r w:rsidR="00891EA7">
        <w:rPr>
          <w:szCs w:val="26"/>
        </w:rPr>
        <w:t xml:space="preserve">The </w:t>
      </w:r>
      <w:r w:rsidR="00642CBD">
        <w:rPr>
          <w:szCs w:val="26"/>
        </w:rPr>
        <w:t>stipulation stated</w:t>
      </w:r>
      <w:r w:rsidR="00891EA7">
        <w:rPr>
          <w:szCs w:val="26"/>
        </w:rPr>
        <w:t xml:space="preserve"> that the Federal Rules of Civil Procedure </w:t>
      </w:r>
      <w:r w:rsidR="00A841FC">
        <w:rPr>
          <w:szCs w:val="26"/>
        </w:rPr>
        <w:t>applied</w:t>
      </w:r>
      <w:r w:rsidR="00891EA7">
        <w:rPr>
          <w:szCs w:val="26"/>
        </w:rPr>
        <w:t xml:space="preserve"> to the arbitration.  </w:t>
      </w:r>
      <w:r w:rsidR="00AE6BD6">
        <w:rPr>
          <w:szCs w:val="26"/>
        </w:rPr>
        <w:t xml:space="preserve">The parties </w:t>
      </w:r>
      <w:r w:rsidR="003556DB">
        <w:rPr>
          <w:szCs w:val="26"/>
        </w:rPr>
        <w:t xml:space="preserve">represented </w:t>
      </w:r>
      <w:r w:rsidR="000D5BFC">
        <w:rPr>
          <w:szCs w:val="26"/>
        </w:rPr>
        <w:t xml:space="preserve">that </w:t>
      </w:r>
      <w:r w:rsidR="003556DB">
        <w:rPr>
          <w:szCs w:val="26"/>
        </w:rPr>
        <w:t>the</w:t>
      </w:r>
      <w:r w:rsidR="000D5BFC">
        <w:rPr>
          <w:szCs w:val="26"/>
        </w:rPr>
        <w:t>ir</w:t>
      </w:r>
      <w:r w:rsidR="003556DB">
        <w:rPr>
          <w:szCs w:val="26"/>
        </w:rPr>
        <w:t xml:space="preserve"> </w:t>
      </w:r>
      <w:bookmarkStart w:id="1" w:name="_Hlk159770443"/>
      <w:r w:rsidR="003556DB">
        <w:rPr>
          <w:szCs w:val="26"/>
        </w:rPr>
        <w:t>agreement</w:t>
      </w:r>
      <w:r w:rsidR="00AE6BD6">
        <w:rPr>
          <w:szCs w:val="26"/>
        </w:rPr>
        <w:t xml:space="preserve"> </w:t>
      </w:r>
      <w:r w:rsidR="003556DB">
        <w:rPr>
          <w:szCs w:val="26"/>
        </w:rPr>
        <w:t>“</w:t>
      </w:r>
      <w:r w:rsidR="00AE6BD6">
        <w:rPr>
          <w:szCs w:val="26"/>
        </w:rPr>
        <w:t xml:space="preserve">fully complies with the requirements of </w:t>
      </w:r>
      <w:bookmarkStart w:id="2" w:name="_Hlk159346753"/>
      <w:r w:rsidR="00AE6BD6" w:rsidRPr="00A841FC">
        <w:rPr>
          <w:i/>
          <w:iCs/>
          <w:szCs w:val="26"/>
        </w:rPr>
        <w:t xml:space="preserve">Armendariz </w:t>
      </w:r>
      <w:bookmarkEnd w:id="1"/>
      <w:r w:rsidR="00AE6BD6" w:rsidRPr="00A841FC">
        <w:rPr>
          <w:i/>
          <w:iCs/>
          <w:szCs w:val="26"/>
        </w:rPr>
        <w:t xml:space="preserve">v. Foundation Health </w:t>
      </w:r>
      <w:proofErr w:type="spellStart"/>
      <w:r w:rsidR="00AE6BD6" w:rsidRPr="00A841FC">
        <w:rPr>
          <w:i/>
          <w:iCs/>
          <w:szCs w:val="26"/>
        </w:rPr>
        <w:t>Psychcare</w:t>
      </w:r>
      <w:proofErr w:type="spellEnd"/>
      <w:r w:rsidR="00AE6BD6" w:rsidRPr="00A841FC">
        <w:rPr>
          <w:i/>
          <w:iCs/>
          <w:szCs w:val="26"/>
        </w:rPr>
        <w:t xml:space="preserve"> Services, Inc.</w:t>
      </w:r>
      <w:r w:rsidR="00AE6BD6">
        <w:rPr>
          <w:szCs w:val="26"/>
        </w:rPr>
        <w:t xml:space="preserve"> </w:t>
      </w:r>
      <w:bookmarkEnd w:id="2"/>
      <w:r w:rsidR="00AE6BD6">
        <w:rPr>
          <w:szCs w:val="26"/>
        </w:rPr>
        <w:t>(2000)</w:t>
      </w:r>
      <w:r w:rsidR="00017F13">
        <w:rPr>
          <w:szCs w:val="26"/>
        </w:rPr>
        <w:t xml:space="preserve"> 24 Cal.4th 83</w:t>
      </w:r>
      <w:r w:rsidR="00A841FC">
        <w:rPr>
          <w:szCs w:val="26"/>
        </w:rPr>
        <w:t>,</w:t>
      </w:r>
      <w:r w:rsidR="00017F13">
        <w:rPr>
          <w:szCs w:val="26"/>
        </w:rPr>
        <w:t>” because the arbitration would provide a neutral arbitrat</w:t>
      </w:r>
      <w:r w:rsidR="00A841FC">
        <w:rPr>
          <w:szCs w:val="26"/>
        </w:rPr>
        <w:t>or</w:t>
      </w:r>
      <w:r w:rsidR="00017F13">
        <w:rPr>
          <w:szCs w:val="26"/>
        </w:rPr>
        <w:t xml:space="preserve">, all </w:t>
      </w:r>
      <w:r w:rsidR="00A841FC">
        <w:rPr>
          <w:szCs w:val="26"/>
        </w:rPr>
        <w:t xml:space="preserve">types of </w:t>
      </w:r>
      <w:r w:rsidR="00BF150F">
        <w:rPr>
          <w:szCs w:val="26"/>
        </w:rPr>
        <w:t xml:space="preserve">relief otherwise available </w:t>
      </w:r>
      <w:r w:rsidR="00BF150F">
        <w:rPr>
          <w:szCs w:val="26"/>
        </w:rPr>
        <w:lastRenderedPageBreak/>
        <w:t>in court, a written arbitration award, and</w:t>
      </w:r>
      <w:r w:rsidR="00A841FC">
        <w:rPr>
          <w:szCs w:val="26"/>
        </w:rPr>
        <w:t xml:space="preserve"> </w:t>
      </w:r>
      <w:bookmarkStart w:id="3" w:name="_Hlk159771318"/>
      <w:proofErr w:type="spellStart"/>
      <w:r w:rsidR="00E427C6">
        <w:rPr>
          <w:szCs w:val="26"/>
        </w:rPr>
        <w:t>Sohnen</w:t>
      </w:r>
      <w:proofErr w:type="spellEnd"/>
      <w:r w:rsidR="00E427C6">
        <w:rPr>
          <w:szCs w:val="26"/>
        </w:rPr>
        <w:t xml:space="preserve"> would pay “the entire cost of the arbitration filing fee and the arbitrator’s initial deposit (or any similar request, including any fees or costs that are unique to the arbitration) on or before any deadline specified by the arbitrator to do so</w:t>
      </w:r>
      <w:r w:rsidR="00A841FC">
        <w:rPr>
          <w:szCs w:val="26"/>
        </w:rPr>
        <w:t>[</w:t>
      </w:r>
      <w:r w:rsidR="00C615AA">
        <w:rPr>
          <w:szCs w:val="26"/>
        </w:rPr>
        <w:t>.</w:t>
      </w:r>
      <w:r w:rsidR="00A841FC">
        <w:rPr>
          <w:szCs w:val="26"/>
        </w:rPr>
        <w:t>]</w:t>
      </w:r>
      <w:r w:rsidR="00C615AA">
        <w:rPr>
          <w:szCs w:val="26"/>
        </w:rPr>
        <w:t xml:space="preserve">” </w:t>
      </w:r>
      <w:bookmarkEnd w:id="3"/>
      <w:r w:rsidR="00D93E77">
        <w:rPr>
          <w:szCs w:val="26"/>
        </w:rPr>
        <w:t xml:space="preserve"> The trial court </w:t>
      </w:r>
      <w:r w:rsidR="00071875">
        <w:rPr>
          <w:szCs w:val="26"/>
        </w:rPr>
        <w:t>entered</w:t>
      </w:r>
      <w:r w:rsidR="00526DE1">
        <w:rPr>
          <w:szCs w:val="26"/>
        </w:rPr>
        <w:t xml:space="preserve"> a</w:t>
      </w:r>
      <w:r w:rsidR="00F96C37">
        <w:rPr>
          <w:szCs w:val="26"/>
        </w:rPr>
        <w:t>n order in accordance with the terms of the stipulation</w:t>
      </w:r>
      <w:r w:rsidR="00DB5FDF">
        <w:rPr>
          <w:szCs w:val="26"/>
        </w:rPr>
        <w:t xml:space="preserve">, stating that </w:t>
      </w:r>
      <w:proofErr w:type="spellStart"/>
      <w:r w:rsidR="00DB5FDF">
        <w:rPr>
          <w:szCs w:val="26"/>
        </w:rPr>
        <w:t>Sohnen</w:t>
      </w:r>
      <w:proofErr w:type="spellEnd"/>
      <w:r w:rsidR="00AA6306">
        <w:rPr>
          <w:szCs w:val="26"/>
        </w:rPr>
        <w:t xml:space="preserve"> must pay the arbitration costs on or before any deadline specified by the arbitrator</w:t>
      </w:r>
      <w:r w:rsidR="00526DE1">
        <w:rPr>
          <w:szCs w:val="26"/>
        </w:rPr>
        <w:t>.</w:t>
      </w:r>
      <w:r w:rsidR="00F05AF7" w:rsidRPr="00F05AF7">
        <w:rPr>
          <w:szCs w:val="26"/>
        </w:rPr>
        <w:t xml:space="preserve"> </w:t>
      </w:r>
    </w:p>
    <w:p w14:paraId="3421A030" w14:textId="3B26E4EE" w:rsidR="00794B69" w:rsidRDefault="00794B69" w:rsidP="00C5238E">
      <w:pPr>
        <w:rPr>
          <w:szCs w:val="26"/>
        </w:rPr>
      </w:pPr>
      <w:r>
        <w:rPr>
          <w:szCs w:val="26"/>
        </w:rPr>
        <w:tab/>
      </w:r>
      <w:r w:rsidR="00DF3880">
        <w:rPr>
          <w:szCs w:val="26"/>
        </w:rPr>
        <w:t xml:space="preserve">Hernandez filed a demand for arbitration with </w:t>
      </w:r>
      <w:r w:rsidR="002A455D">
        <w:rPr>
          <w:szCs w:val="26"/>
        </w:rPr>
        <w:t xml:space="preserve">the </w:t>
      </w:r>
      <w:r w:rsidR="007D5F5D">
        <w:rPr>
          <w:szCs w:val="26"/>
        </w:rPr>
        <w:t>Judicial Arbitration and Mediation Services</w:t>
      </w:r>
      <w:r w:rsidR="00280FDC">
        <w:rPr>
          <w:szCs w:val="26"/>
        </w:rPr>
        <w:t>, Inc.</w:t>
      </w:r>
      <w:r w:rsidR="00274A61">
        <w:rPr>
          <w:szCs w:val="26"/>
        </w:rPr>
        <w:t xml:space="preserve"> (</w:t>
      </w:r>
      <w:r w:rsidR="00DF3880">
        <w:rPr>
          <w:szCs w:val="26"/>
        </w:rPr>
        <w:t>JAMS</w:t>
      </w:r>
      <w:r w:rsidR="00274A61">
        <w:rPr>
          <w:szCs w:val="26"/>
        </w:rPr>
        <w:t>)</w:t>
      </w:r>
      <w:r w:rsidR="00F72929">
        <w:rPr>
          <w:szCs w:val="26"/>
        </w:rPr>
        <w:t>.</w:t>
      </w:r>
      <w:r w:rsidR="00F72929" w:rsidRPr="00F72929">
        <w:rPr>
          <w:szCs w:val="26"/>
        </w:rPr>
        <w:t xml:space="preserve"> </w:t>
      </w:r>
      <w:bookmarkStart w:id="4" w:name="_Hlk157011441"/>
      <w:r w:rsidR="00F72929">
        <w:rPr>
          <w:szCs w:val="26"/>
        </w:rPr>
        <w:t xml:space="preserve"> </w:t>
      </w:r>
      <w:bookmarkEnd w:id="4"/>
      <w:r w:rsidR="004C7B63">
        <w:rPr>
          <w:szCs w:val="26"/>
        </w:rPr>
        <w:t xml:space="preserve">On April 7, 2022, </w:t>
      </w:r>
      <w:r w:rsidR="00F72929">
        <w:rPr>
          <w:szCs w:val="26"/>
        </w:rPr>
        <w:t xml:space="preserve">JAMS </w:t>
      </w:r>
      <w:r w:rsidR="00E370A6">
        <w:rPr>
          <w:szCs w:val="26"/>
        </w:rPr>
        <w:t xml:space="preserve">sent </w:t>
      </w:r>
      <w:r w:rsidR="009F7F8F">
        <w:rPr>
          <w:szCs w:val="26"/>
        </w:rPr>
        <w:t xml:space="preserve">a notice </w:t>
      </w:r>
      <w:r w:rsidR="00830F1A">
        <w:rPr>
          <w:szCs w:val="26"/>
        </w:rPr>
        <w:t xml:space="preserve">to the parties </w:t>
      </w:r>
      <w:r w:rsidR="009F7F8F">
        <w:rPr>
          <w:szCs w:val="26"/>
        </w:rPr>
        <w:t>stating that</w:t>
      </w:r>
      <w:r w:rsidR="00EE321D">
        <w:rPr>
          <w:szCs w:val="26"/>
        </w:rPr>
        <w:t xml:space="preserve"> </w:t>
      </w:r>
      <w:r w:rsidR="00E71ABD">
        <w:rPr>
          <w:szCs w:val="26"/>
        </w:rPr>
        <w:t>filing fees of $1,750 were due</w:t>
      </w:r>
      <w:r w:rsidR="00B67A9D">
        <w:rPr>
          <w:szCs w:val="26"/>
        </w:rPr>
        <w:t xml:space="preserve"> upon receipt. </w:t>
      </w:r>
      <w:bookmarkStart w:id="5" w:name="_Hlk157014198"/>
      <w:r w:rsidR="00491910">
        <w:rPr>
          <w:szCs w:val="26"/>
        </w:rPr>
        <w:t xml:space="preserve"> </w:t>
      </w:r>
      <w:bookmarkEnd w:id="5"/>
      <w:r w:rsidR="00A36038">
        <w:rPr>
          <w:szCs w:val="26"/>
        </w:rPr>
        <w:t>Once</w:t>
      </w:r>
      <w:r w:rsidR="00E53DED">
        <w:rPr>
          <w:szCs w:val="26"/>
        </w:rPr>
        <w:t xml:space="preserve"> the</w:t>
      </w:r>
      <w:r w:rsidR="0056256E">
        <w:rPr>
          <w:szCs w:val="26"/>
        </w:rPr>
        <w:t xml:space="preserve"> fees were </w:t>
      </w:r>
      <w:r w:rsidR="000A3E86">
        <w:rPr>
          <w:szCs w:val="26"/>
        </w:rPr>
        <w:t xml:space="preserve">received, JAMS would formally commence the matter and proceed with the arbitrator selection process. </w:t>
      </w:r>
      <w:bookmarkStart w:id="6" w:name="_Hlk157014074"/>
      <w:r w:rsidR="00A80274">
        <w:rPr>
          <w:szCs w:val="26"/>
        </w:rPr>
        <w:t xml:space="preserve"> </w:t>
      </w:r>
      <w:bookmarkEnd w:id="6"/>
      <w:proofErr w:type="spellStart"/>
      <w:r w:rsidR="002833F5">
        <w:rPr>
          <w:szCs w:val="26"/>
        </w:rPr>
        <w:t>Sohnen</w:t>
      </w:r>
      <w:proofErr w:type="spellEnd"/>
      <w:r w:rsidR="002833F5">
        <w:rPr>
          <w:szCs w:val="26"/>
        </w:rPr>
        <w:t xml:space="preserve"> paid the </w:t>
      </w:r>
      <w:r w:rsidR="0015392C">
        <w:rPr>
          <w:szCs w:val="26"/>
        </w:rPr>
        <w:t>filing fees</w:t>
      </w:r>
      <w:r w:rsidR="002833F5">
        <w:rPr>
          <w:szCs w:val="26"/>
        </w:rPr>
        <w:t xml:space="preserve"> on </w:t>
      </w:r>
      <w:proofErr w:type="gramStart"/>
      <w:r w:rsidR="002833F5">
        <w:rPr>
          <w:szCs w:val="26"/>
        </w:rPr>
        <w:t>May</w:t>
      </w:r>
      <w:r w:rsidR="00596D24">
        <w:rPr>
          <w:szCs w:val="26"/>
        </w:rPr>
        <w:t> </w:t>
      </w:r>
      <w:r w:rsidR="002833F5">
        <w:rPr>
          <w:szCs w:val="26"/>
        </w:rPr>
        <w:t xml:space="preserve"> 13</w:t>
      </w:r>
      <w:proofErr w:type="gramEnd"/>
      <w:r w:rsidR="002833F5">
        <w:rPr>
          <w:szCs w:val="26"/>
        </w:rPr>
        <w:t>, 2022.</w:t>
      </w:r>
      <w:r w:rsidR="002833F5" w:rsidRPr="002833F5">
        <w:rPr>
          <w:szCs w:val="26"/>
        </w:rPr>
        <w:t xml:space="preserve"> </w:t>
      </w:r>
    </w:p>
    <w:p w14:paraId="438C653D" w14:textId="0C7C120F" w:rsidR="00B93FF7" w:rsidRDefault="003472D9" w:rsidP="00C5238E">
      <w:pPr>
        <w:rPr>
          <w:szCs w:val="26"/>
        </w:rPr>
      </w:pPr>
      <w:r>
        <w:rPr>
          <w:szCs w:val="26"/>
        </w:rPr>
        <w:tab/>
      </w:r>
      <w:r w:rsidR="008B3DEE">
        <w:rPr>
          <w:szCs w:val="26"/>
        </w:rPr>
        <w:t>Hernandez</w:t>
      </w:r>
      <w:r w:rsidR="00B93FF7">
        <w:rPr>
          <w:szCs w:val="26"/>
        </w:rPr>
        <w:t xml:space="preserve"> filed a motion</w:t>
      </w:r>
      <w:r w:rsidR="00EA20D0">
        <w:rPr>
          <w:szCs w:val="26"/>
        </w:rPr>
        <w:t xml:space="preserve"> </w:t>
      </w:r>
      <w:r w:rsidR="00F20C9E">
        <w:rPr>
          <w:szCs w:val="26"/>
        </w:rPr>
        <w:t xml:space="preserve">in the trial court </w:t>
      </w:r>
      <w:r w:rsidR="008B3DEE">
        <w:rPr>
          <w:szCs w:val="26"/>
        </w:rPr>
        <w:t>to</w:t>
      </w:r>
      <w:r w:rsidR="006C03D1">
        <w:rPr>
          <w:szCs w:val="26"/>
        </w:rPr>
        <w:t xml:space="preserve"> withdraw from arbitration and</w:t>
      </w:r>
      <w:r w:rsidR="008B3DEE">
        <w:rPr>
          <w:szCs w:val="26"/>
        </w:rPr>
        <w:t xml:space="preserve"> vacate</w:t>
      </w:r>
      <w:r w:rsidR="00EA20D0">
        <w:rPr>
          <w:szCs w:val="26"/>
        </w:rPr>
        <w:t xml:space="preserve"> the stay </w:t>
      </w:r>
      <w:r w:rsidR="006C03D1">
        <w:rPr>
          <w:szCs w:val="26"/>
        </w:rPr>
        <w:t>of court proceedings pursuant to section 1281.97.</w:t>
      </w:r>
      <w:r w:rsidR="00A10EA3">
        <w:rPr>
          <w:szCs w:val="26"/>
        </w:rPr>
        <w:t xml:space="preserve">  </w:t>
      </w:r>
      <w:r w:rsidR="00D62FBD">
        <w:rPr>
          <w:szCs w:val="26"/>
        </w:rPr>
        <w:t xml:space="preserve">She argued that under </w:t>
      </w:r>
      <w:r w:rsidR="005523CC">
        <w:rPr>
          <w:szCs w:val="26"/>
        </w:rPr>
        <w:t>section 1281.97,</w:t>
      </w:r>
      <w:r w:rsidR="008F4965">
        <w:rPr>
          <w:szCs w:val="26"/>
        </w:rPr>
        <w:t xml:space="preserve"> </w:t>
      </w:r>
      <w:proofErr w:type="spellStart"/>
      <w:r w:rsidR="008F4965">
        <w:rPr>
          <w:szCs w:val="26"/>
        </w:rPr>
        <w:t>Sohnen</w:t>
      </w:r>
      <w:proofErr w:type="spellEnd"/>
      <w:r w:rsidR="008F4965">
        <w:rPr>
          <w:szCs w:val="26"/>
        </w:rPr>
        <w:t xml:space="preserve"> </w:t>
      </w:r>
      <w:r w:rsidR="00F20C9E">
        <w:rPr>
          <w:szCs w:val="26"/>
        </w:rPr>
        <w:t xml:space="preserve">materially breached the arbitration agreement and </w:t>
      </w:r>
      <w:r w:rsidR="008F4965">
        <w:rPr>
          <w:szCs w:val="26"/>
        </w:rPr>
        <w:t>waived its right to arbitrat</w:t>
      </w:r>
      <w:r w:rsidR="00F20C9E">
        <w:rPr>
          <w:szCs w:val="26"/>
        </w:rPr>
        <w:t xml:space="preserve">e </w:t>
      </w:r>
      <w:r w:rsidR="008F4965">
        <w:rPr>
          <w:szCs w:val="26"/>
        </w:rPr>
        <w:t>by failing to pay the arbitration fees within 30 days of the due date</w:t>
      </w:r>
      <w:r w:rsidR="001866B7">
        <w:rPr>
          <w:szCs w:val="26"/>
        </w:rPr>
        <w:t>.</w:t>
      </w:r>
      <w:r w:rsidR="00EA20D0">
        <w:rPr>
          <w:szCs w:val="26"/>
        </w:rPr>
        <w:t xml:space="preserve"> </w:t>
      </w:r>
    </w:p>
    <w:p w14:paraId="5EE9F377" w14:textId="0ECD931B" w:rsidR="002B05CC" w:rsidRDefault="00412F6D" w:rsidP="00C5238E">
      <w:pPr>
        <w:rPr>
          <w:szCs w:val="26"/>
        </w:rPr>
      </w:pPr>
      <w:r>
        <w:rPr>
          <w:szCs w:val="26"/>
        </w:rPr>
        <w:tab/>
      </w:r>
      <w:proofErr w:type="spellStart"/>
      <w:r w:rsidR="00D67EEB">
        <w:rPr>
          <w:szCs w:val="26"/>
        </w:rPr>
        <w:t>Sohnen</w:t>
      </w:r>
      <w:proofErr w:type="spellEnd"/>
      <w:r>
        <w:rPr>
          <w:szCs w:val="26"/>
        </w:rPr>
        <w:t xml:space="preserve"> opposed the motion</w:t>
      </w:r>
      <w:r w:rsidR="00527C16">
        <w:rPr>
          <w:szCs w:val="26"/>
        </w:rPr>
        <w:t xml:space="preserve"> on </w:t>
      </w:r>
      <w:r w:rsidR="00D050EE">
        <w:rPr>
          <w:szCs w:val="26"/>
        </w:rPr>
        <w:t>several</w:t>
      </w:r>
      <w:r w:rsidR="00527C16">
        <w:rPr>
          <w:szCs w:val="26"/>
        </w:rPr>
        <w:t xml:space="preserve"> grounds</w:t>
      </w:r>
      <w:r w:rsidR="00D050EE">
        <w:rPr>
          <w:szCs w:val="26"/>
        </w:rPr>
        <w:t>, including</w:t>
      </w:r>
      <w:r w:rsidR="00527C16">
        <w:rPr>
          <w:szCs w:val="26"/>
        </w:rPr>
        <w:t xml:space="preserve"> that </w:t>
      </w:r>
      <w:r w:rsidR="004B2E78">
        <w:rPr>
          <w:szCs w:val="26"/>
        </w:rPr>
        <w:t xml:space="preserve">the </w:t>
      </w:r>
      <w:r w:rsidR="00BF6BBB">
        <w:rPr>
          <w:szCs w:val="26"/>
        </w:rPr>
        <w:t xml:space="preserve">FAA and the </w:t>
      </w:r>
      <w:r w:rsidR="004B2E78">
        <w:rPr>
          <w:szCs w:val="26"/>
        </w:rPr>
        <w:t xml:space="preserve">Federal Rules of Civil Procedure applied to the arbitration, </w:t>
      </w:r>
      <w:r w:rsidR="0037017A">
        <w:rPr>
          <w:szCs w:val="26"/>
        </w:rPr>
        <w:t>rather than</w:t>
      </w:r>
      <w:r w:rsidR="001E3457">
        <w:rPr>
          <w:szCs w:val="26"/>
        </w:rPr>
        <w:t xml:space="preserve"> California’s Code of Civil Procedure, </w:t>
      </w:r>
      <w:r w:rsidR="004B2E78">
        <w:rPr>
          <w:szCs w:val="26"/>
        </w:rPr>
        <w:t xml:space="preserve">and </w:t>
      </w:r>
      <w:r w:rsidR="000A7927">
        <w:rPr>
          <w:szCs w:val="26"/>
        </w:rPr>
        <w:t>the FAA preempt</w:t>
      </w:r>
      <w:r w:rsidR="00E75843">
        <w:rPr>
          <w:szCs w:val="26"/>
        </w:rPr>
        <w:t>s</w:t>
      </w:r>
      <w:r w:rsidR="000A7927">
        <w:rPr>
          <w:szCs w:val="26"/>
        </w:rPr>
        <w:t xml:space="preserve"> </w:t>
      </w:r>
      <w:r w:rsidR="004B2E78">
        <w:rPr>
          <w:szCs w:val="26"/>
        </w:rPr>
        <w:t>sections 1281.97</w:t>
      </w:r>
      <w:r w:rsidR="000A7927">
        <w:rPr>
          <w:szCs w:val="26"/>
        </w:rPr>
        <w:t>, 1281.98, and</w:t>
      </w:r>
      <w:r w:rsidR="00946DB3">
        <w:rPr>
          <w:szCs w:val="26"/>
        </w:rPr>
        <w:t xml:space="preserve"> 1281.99</w:t>
      </w:r>
      <w:r w:rsidR="00D9682C">
        <w:rPr>
          <w:szCs w:val="26"/>
        </w:rPr>
        <w:t xml:space="preserve">. </w:t>
      </w:r>
    </w:p>
    <w:p w14:paraId="6A2192E1" w14:textId="59768C48" w:rsidR="006913F9" w:rsidRDefault="006913F9" w:rsidP="00C5238E">
      <w:pPr>
        <w:rPr>
          <w:szCs w:val="26"/>
        </w:rPr>
      </w:pPr>
      <w:r>
        <w:rPr>
          <w:szCs w:val="26"/>
        </w:rPr>
        <w:tab/>
      </w:r>
      <w:r w:rsidR="006D1F83">
        <w:rPr>
          <w:szCs w:val="26"/>
        </w:rPr>
        <w:t xml:space="preserve">In July 2022, </w:t>
      </w:r>
      <w:r w:rsidR="001409AC">
        <w:rPr>
          <w:szCs w:val="26"/>
        </w:rPr>
        <w:t>Hernandez</w:t>
      </w:r>
      <w:r>
        <w:rPr>
          <w:szCs w:val="26"/>
        </w:rPr>
        <w:t xml:space="preserve"> filed a reply.</w:t>
      </w:r>
      <w:r w:rsidRPr="006913F9">
        <w:rPr>
          <w:szCs w:val="26"/>
        </w:rPr>
        <w:t xml:space="preserve"> </w:t>
      </w:r>
      <w:r w:rsidR="00DC1BE8">
        <w:rPr>
          <w:szCs w:val="26"/>
        </w:rPr>
        <w:t xml:space="preserve"> </w:t>
      </w:r>
      <w:r w:rsidR="00C62F93">
        <w:rPr>
          <w:szCs w:val="26"/>
        </w:rPr>
        <w:t>She</w:t>
      </w:r>
      <w:r w:rsidR="00DC1BE8">
        <w:rPr>
          <w:szCs w:val="26"/>
        </w:rPr>
        <w:t xml:space="preserve"> </w:t>
      </w:r>
      <w:r w:rsidR="00BD12A8">
        <w:rPr>
          <w:szCs w:val="26"/>
        </w:rPr>
        <w:t xml:space="preserve">noted </w:t>
      </w:r>
      <w:proofErr w:type="spellStart"/>
      <w:r w:rsidR="00BD12A8">
        <w:rPr>
          <w:szCs w:val="26"/>
        </w:rPr>
        <w:t>Sohnen</w:t>
      </w:r>
      <w:proofErr w:type="spellEnd"/>
      <w:r w:rsidR="00BD12A8">
        <w:rPr>
          <w:szCs w:val="26"/>
        </w:rPr>
        <w:t xml:space="preserve"> </w:t>
      </w:r>
      <w:r w:rsidR="00E70D9F">
        <w:rPr>
          <w:szCs w:val="26"/>
        </w:rPr>
        <w:t xml:space="preserve">did </w:t>
      </w:r>
      <w:r w:rsidR="00BD12A8">
        <w:rPr>
          <w:szCs w:val="26"/>
        </w:rPr>
        <w:t>not dispute</w:t>
      </w:r>
      <w:r w:rsidR="005D440A">
        <w:rPr>
          <w:szCs w:val="26"/>
        </w:rPr>
        <w:t xml:space="preserve"> that </w:t>
      </w:r>
      <w:r w:rsidR="00BD12A8">
        <w:rPr>
          <w:szCs w:val="26"/>
        </w:rPr>
        <w:t xml:space="preserve">the deposit to initiate arbitration </w:t>
      </w:r>
      <w:r w:rsidR="006526CA">
        <w:rPr>
          <w:szCs w:val="26"/>
        </w:rPr>
        <w:t xml:space="preserve">was not paid </w:t>
      </w:r>
      <w:r w:rsidR="00BD12A8">
        <w:rPr>
          <w:szCs w:val="26"/>
        </w:rPr>
        <w:t xml:space="preserve">within 30 days of the due date.  </w:t>
      </w:r>
      <w:r w:rsidR="00C62F93">
        <w:rPr>
          <w:szCs w:val="26"/>
        </w:rPr>
        <w:t>She</w:t>
      </w:r>
      <w:r w:rsidR="0036292F">
        <w:rPr>
          <w:szCs w:val="26"/>
        </w:rPr>
        <w:t xml:space="preserve"> argued that</w:t>
      </w:r>
      <w:r w:rsidR="0048358F">
        <w:rPr>
          <w:szCs w:val="26"/>
        </w:rPr>
        <w:t xml:space="preserve"> although the Federal Rules of Civil Procedure applied to the arbitration</w:t>
      </w:r>
      <w:r w:rsidR="00852E75">
        <w:rPr>
          <w:szCs w:val="26"/>
        </w:rPr>
        <w:t xml:space="preserve"> itself</w:t>
      </w:r>
      <w:r w:rsidR="0048358F">
        <w:rPr>
          <w:szCs w:val="26"/>
        </w:rPr>
        <w:t xml:space="preserve">, there was no arbitration because </w:t>
      </w:r>
      <w:proofErr w:type="spellStart"/>
      <w:r w:rsidR="0048358F">
        <w:rPr>
          <w:szCs w:val="26"/>
        </w:rPr>
        <w:t>Sohnen</w:t>
      </w:r>
      <w:proofErr w:type="spellEnd"/>
      <w:r w:rsidR="0048358F">
        <w:rPr>
          <w:szCs w:val="26"/>
        </w:rPr>
        <w:t xml:space="preserve"> </w:t>
      </w:r>
      <w:r w:rsidR="002F6F16">
        <w:rPr>
          <w:szCs w:val="26"/>
        </w:rPr>
        <w:t xml:space="preserve">did not timely </w:t>
      </w:r>
      <w:r w:rsidR="002F6F16">
        <w:rPr>
          <w:szCs w:val="26"/>
        </w:rPr>
        <w:lastRenderedPageBreak/>
        <w:t>pay the deposit</w:t>
      </w:r>
      <w:r w:rsidR="00887EFB">
        <w:rPr>
          <w:szCs w:val="26"/>
        </w:rPr>
        <w:t xml:space="preserve"> </w:t>
      </w:r>
      <w:r w:rsidR="00547E4A">
        <w:rPr>
          <w:szCs w:val="26"/>
        </w:rPr>
        <w:t>required to</w:t>
      </w:r>
      <w:r w:rsidR="00887EFB">
        <w:rPr>
          <w:szCs w:val="26"/>
        </w:rPr>
        <w:t xml:space="preserve"> commence arbitration</w:t>
      </w:r>
      <w:r w:rsidR="002F6F16">
        <w:rPr>
          <w:szCs w:val="26"/>
        </w:rPr>
        <w:t>.  In addition, the FAA did not preempt section 1281.97</w:t>
      </w:r>
      <w:r w:rsidR="002F2B02">
        <w:rPr>
          <w:szCs w:val="26"/>
        </w:rPr>
        <w:t xml:space="preserve">, because </w:t>
      </w:r>
      <w:r w:rsidR="002245C3">
        <w:rPr>
          <w:szCs w:val="26"/>
        </w:rPr>
        <w:t xml:space="preserve">section 1281.97 </w:t>
      </w:r>
      <w:r w:rsidR="002F2B02">
        <w:rPr>
          <w:szCs w:val="26"/>
        </w:rPr>
        <w:t xml:space="preserve">facilitated arbitration </w:t>
      </w:r>
      <w:r w:rsidR="00C62F93">
        <w:rPr>
          <w:szCs w:val="26"/>
        </w:rPr>
        <w:t>by requiring prompt payment</w:t>
      </w:r>
      <w:r w:rsidR="00797219">
        <w:rPr>
          <w:szCs w:val="26"/>
        </w:rPr>
        <w:t xml:space="preserve"> of arbitration expenses</w:t>
      </w:r>
      <w:r w:rsidR="002F2B02">
        <w:rPr>
          <w:szCs w:val="26"/>
        </w:rPr>
        <w:t xml:space="preserve">. </w:t>
      </w:r>
    </w:p>
    <w:p w14:paraId="24E61720" w14:textId="2CA707F4" w:rsidR="00935268" w:rsidRDefault="00935268" w:rsidP="00C5238E">
      <w:pPr>
        <w:rPr>
          <w:szCs w:val="26"/>
        </w:rPr>
      </w:pPr>
      <w:r>
        <w:rPr>
          <w:szCs w:val="26"/>
        </w:rPr>
        <w:tab/>
      </w:r>
      <w:r w:rsidR="00395E7E">
        <w:rPr>
          <w:szCs w:val="26"/>
        </w:rPr>
        <w:t>On August 31, 2022, a</w:t>
      </w:r>
      <w:r>
        <w:rPr>
          <w:szCs w:val="26"/>
        </w:rPr>
        <w:t xml:space="preserve"> hearing was held on the motion to </w:t>
      </w:r>
      <w:r w:rsidR="00603815">
        <w:rPr>
          <w:szCs w:val="26"/>
        </w:rPr>
        <w:t xml:space="preserve">withdraw from arbitration and </w:t>
      </w:r>
      <w:r w:rsidR="00FB1E24">
        <w:rPr>
          <w:szCs w:val="26"/>
        </w:rPr>
        <w:t>vacate</w:t>
      </w:r>
      <w:r>
        <w:rPr>
          <w:szCs w:val="26"/>
        </w:rPr>
        <w:t xml:space="preserve"> the stay</w:t>
      </w:r>
      <w:r w:rsidR="00603815">
        <w:rPr>
          <w:szCs w:val="26"/>
        </w:rPr>
        <w:t xml:space="preserve"> of court proceedings</w:t>
      </w:r>
      <w:r w:rsidR="00C72A46">
        <w:rPr>
          <w:szCs w:val="26"/>
        </w:rPr>
        <w:t xml:space="preserve"> under section 1281.97</w:t>
      </w:r>
      <w:r>
        <w:rPr>
          <w:szCs w:val="26"/>
        </w:rPr>
        <w:t>.</w:t>
      </w:r>
      <w:r w:rsidRPr="00935268">
        <w:rPr>
          <w:szCs w:val="26"/>
        </w:rPr>
        <w:t xml:space="preserve"> </w:t>
      </w:r>
      <w:r>
        <w:rPr>
          <w:szCs w:val="26"/>
        </w:rPr>
        <w:t xml:space="preserve"> </w:t>
      </w:r>
      <w:r w:rsidR="00567074">
        <w:rPr>
          <w:szCs w:val="26"/>
        </w:rPr>
        <w:t>The trial court took the matter under submission</w:t>
      </w:r>
      <w:r w:rsidR="00E11C0A">
        <w:rPr>
          <w:szCs w:val="26"/>
        </w:rPr>
        <w:t xml:space="preserve">. </w:t>
      </w:r>
      <w:r w:rsidR="00FB1E24">
        <w:rPr>
          <w:szCs w:val="26"/>
        </w:rPr>
        <w:t xml:space="preserve"> </w:t>
      </w:r>
      <w:r w:rsidR="00993189">
        <w:rPr>
          <w:szCs w:val="26"/>
        </w:rPr>
        <w:t>On September 1, 2022</w:t>
      </w:r>
      <w:r>
        <w:rPr>
          <w:szCs w:val="26"/>
        </w:rPr>
        <w:t>, the court</w:t>
      </w:r>
      <w:r w:rsidR="00C14E6A">
        <w:rPr>
          <w:szCs w:val="26"/>
        </w:rPr>
        <w:t xml:space="preserve"> </w:t>
      </w:r>
      <w:r w:rsidR="004B768F">
        <w:rPr>
          <w:szCs w:val="26"/>
        </w:rPr>
        <w:t>found</w:t>
      </w:r>
      <w:r w:rsidR="003F03B8">
        <w:rPr>
          <w:szCs w:val="26"/>
        </w:rPr>
        <w:t xml:space="preserve"> </w:t>
      </w:r>
      <w:proofErr w:type="spellStart"/>
      <w:r w:rsidR="0087763F">
        <w:rPr>
          <w:szCs w:val="26"/>
        </w:rPr>
        <w:t>Sohnen</w:t>
      </w:r>
      <w:proofErr w:type="spellEnd"/>
      <w:r w:rsidR="00F9538F">
        <w:rPr>
          <w:szCs w:val="26"/>
        </w:rPr>
        <w:t xml:space="preserve"> </w:t>
      </w:r>
      <w:r w:rsidR="00852E75">
        <w:rPr>
          <w:szCs w:val="26"/>
        </w:rPr>
        <w:t xml:space="preserve">had </w:t>
      </w:r>
      <w:r w:rsidR="00F9538F">
        <w:rPr>
          <w:szCs w:val="26"/>
        </w:rPr>
        <w:t xml:space="preserve">paid the required </w:t>
      </w:r>
      <w:r w:rsidR="000408AE">
        <w:rPr>
          <w:szCs w:val="26"/>
        </w:rPr>
        <w:t xml:space="preserve">arbitration </w:t>
      </w:r>
      <w:r w:rsidR="00F9538F">
        <w:rPr>
          <w:szCs w:val="26"/>
        </w:rPr>
        <w:t>fees late</w:t>
      </w:r>
      <w:r w:rsidR="00C87966">
        <w:rPr>
          <w:szCs w:val="26"/>
        </w:rPr>
        <w:t xml:space="preserve"> </w:t>
      </w:r>
      <w:r w:rsidR="00B90036">
        <w:rPr>
          <w:szCs w:val="26"/>
        </w:rPr>
        <w:t>and therefore</w:t>
      </w:r>
      <w:r w:rsidR="00C87966">
        <w:rPr>
          <w:szCs w:val="26"/>
        </w:rPr>
        <w:t xml:space="preserve"> </w:t>
      </w:r>
      <w:r w:rsidR="00763AFD">
        <w:rPr>
          <w:szCs w:val="26"/>
        </w:rPr>
        <w:t>breach</w:t>
      </w:r>
      <w:r w:rsidR="00B90036">
        <w:rPr>
          <w:szCs w:val="26"/>
        </w:rPr>
        <w:t>ed</w:t>
      </w:r>
      <w:r w:rsidR="00763AFD">
        <w:rPr>
          <w:szCs w:val="26"/>
        </w:rPr>
        <w:t xml:space="preserve"> the arbitration agreement</w:t>
      </w:r>
      <w:r w:rsidR="00AF0BE1">
        <w:rPr>
          <w:szCs w:val="26"/>
        </w:rPr>
        <w:t>, as provided in section 1281.97</w:t>
      </w:r>
      <w:r w:rsidR="00763AFD">
        <w:rPr>
          <w:szCs w:val="26"/>
        </w:rPr>
        <w:t xml:space="preserve">. </w:t>
      </w:r>
      <w:r w:rsidR="000408AE">
        <w:rPr>
          <w:szCs w:val="26"/>
        </w:rPr>
        <w:t xml:space="preserve"> </w:t>
      </w:r>
      <w:r w:rsidR="00F64595">
        <w:rPr>
          <w:szCs w:val="26"/>
        </w:rPr>
        <w:t xml:space="preserve">The court </w:t>
      </w:r>
      <w:r w:rsidR="00C9508D">
        <w:rPr>
          <w:szCs w:val="26"/>
        </w:rPr>
        <w:t xml:space="preserve">ordered that </w:t>
      </w:r>
      <w:r w:rsidR="00CE75C3">
        <w:rPr>
          <w:szCs w:val="26"/>
        </w:rPr>
        <w:t>Hernandez was</w:t>
      </w:r>
      <w:r w:rsidR="00C9508D">
        <w:rPr>
          <w:szCs w:val="26"/>
        </w:rPr>
        <w:t xml:space="preserve"> not required to arbitrate</w:t>
      </w:r>
      <w:r w:rsidR="00FE4B42">
        <w:rPr>
          <w:szCs w:val="26"/>
        </w:rPr>
        <w:t>, grant</w:t>
      </w:r>
      <w:r w:rsidR="007A051D">
        <w:rPr>
          <w:szCs w:val="26"/>
        </w:rPr>
        <w:t>ed</w:t>
      </w:r>
      <w:r w:rsidR="00FE4B42">
        <w:rPr>
          <w:szCs w:val="26"/>
        </w:rPr>
        <w:t xml:space="preserve"> </w:t>
      </w:r>
      <w:r w:rsidR="00840101">
        <w:rPr>
          <w:szCs w:val="26"/>
        </w:rPr>
        <w:t>the</w:t>
      </w:r>
      <w:r w:rsidR="00DB61F0">
        <w:rPr>
          <w:szCs w:val="26"/>
        </w:rPr>
        <w:t xml:space="preserve"> motion to withdraw from arbitration</w:t>
      </w:r>
      <w:r w:rsidR="007A051D">
        <w:rPr>
          <w:szCs w:val="26"/>
        </w:rPr>
        <w:t>,</w:t>
      </w:r>
      <w:r w:rsidR="00DB61F0">
        <w:rPr>
          <w:szCs w:val="26"/>
        </w:rPr>
        <w:t xml:space="preserve"> and vacate</w:t>
      </w:r>
      <w:r w:rsidR="007A051D">
        <w:rPr>
          <w:szCs w:val="26"/>
        </w:rPr>
        <w:t>d</w:t>
      </w:r>
      <w:r w:rsidR="00DB61F0">
        <w:rPr>
          <w:szCs w:val="26"/>
        </w:rPr>
        <w:t xml:space="preserve"> the stay of litigation</w:t>
      </w:r>
      <w:r w:rsidR="00C14E6A">
        <w:rPr>
          <w:szCs w:val="26"/>
        </w:rPr>
        <w:t>.</w:t>
      </w:r>
      <w:r w:rsidR="00C14E6A" w:rsidRPr="00C14E6A">
        <w:rPr>
          <w:szCs w:val="26"/>
        </w:rPr>
        <w:t xml:space="preserve"> </w:t>
      </w:r>
      <w:bookmarkStart w:id="7" w:name="_Hlk156580912"/>
      <w:r w:rsidR="00127826">
        <w:rPr>
          <w:szCs w:val="26"/>
        </w:rPr>
        <w:t xml:space="preserve"> </w:t>
      </w:r>
      <w:bookmarkEnd w:id="7"/>
      <w:r w:rsidR="00916C1D">
        <w:rPr>
          <w:szCs w:val="26"/>
        </w:rPr>
        <w:t>The court</w:t>
      </w:r>
      <w:r w:rsidR="00CB6990">
        <w:rPr>
          <w:szCs w:val="26"/>
        </w:rPr>
        <w:t xml:space="preserve"> </w:t>
      </w:r>
      <w:r w:rsidR="00BD1723">
        <w:rPr>
          <w:szCs w:val="26"/>
        </w:rPr>
        <w:t xml:space="preserve">concluded </w:t>
      </w:r>
      <w:r w:rsidR="008C618F">
        <w:rPr>
          <w:szCs w:val="26"/>
        </w:rPr>
        <w:t>the FAA did not preempt section 1281.97.</w:t>
      </w:r>
      <w:r w:rsidR="008C618F" w:rsidRPr="008C618F">
        <w:rPr>
          <w:szCs w:val="26"/>
        </w:rPr>
        <w:t xml:space="preserve"> </w:t>
      </w:r>
      <w:r w:rsidR="00076701">
        <w:rPr>
          <w:szCs w:val="26"/>
        </w:rPr>
        <w:t xml:space="preserve"> </w:t>
      </w:r>
      <w:r w:rsidR="000C750D">
        <w:rPr>
          <w:szCs w:val="26"/>
        </w:rPr>
        <w:t>As an additional basis for the ruling, t</w:t>
      </w:r>
      <w:r w:rsidR="00076701">
        <w:rPr>
          <w:szCs w:val="26"/>
        </w:rPr>
        <w:t xml:space="preserve">he court found </w:t>
      </w:r>
      <w:proofErr w:type="spellStart"/>
      <w:r w:rsidR="00076701">
        <w:rPr>
          <w:szCs w:val="26"/>
        </w:rPr>
        <w:t>Sohnen</w:t>
      </w:r>
      <w:proofErr w:type="spellEnd"/>
      <w:r w:rsidR="00076701">
        <w:rPr>
          <w:szCs w:val="26"/>
        </w:rPr>
        <w:t xml:space="preserve"> violated the trial court’s order to pay</w:t>
      </w:r>
      <w:r w:rsidR="00145838">
        <w:rPr>
          <w:szCs w:val="26"/>
        </w:rPr>
        <w:t xml:space="preserve"> the cost of the arbitration and the initial deposit on or before the</w:t>
      </w:r>
      <w:r w:rsidR="003425B3">
        <w:rPr>
          <w:szCs w:val="26"/>
        </w:rPr>
        <w:t xml:space="preserve"> arbitrator’s deadline</w:t>
      </w:r>
      <w:r w:rsidR="00E65326">
        <w:rPr>
          <w:szCs w:val="26"/>
        </w:rPr>
        <w:t xml:space="preserve">.  </w:t>
      </w:r>
      <w:r w:rsidR="000C750D">
        <w:rPr>
          <w:szCs w:val="26"/>
        </w:rPr>
        <w:t>A</w:t>
      </w:r>
      <w:r w:rsidR="00CA34BC">
        <w:rPr>
          <w:szCs w:val="26"/>
        </w:rPr>
        <w:t xml:space="preserve">lthough </w:t>
      </w:r>
      <w:r w:rsidR="00E832BA">
        <w:rPr>
          <w:szCs w:val="26"/>
        </w:rPr>
        <w:t xml:space="preserve">federal rules might apply to the arbitration itself, </w:t>
      </w:r>
      <w:r w:rsidR="000C750D">
        <w:rPr>
          <w:szCs w:val="26"/>
        </w:rPr>
        <w:t xml:space="preserve">the court concluded </w:t>
      </w:r>
      <w:r w:rsidR="00476D4F">
        <w:rPr>
          <w:szCs w:val="26"/>
        </w:rPr>
        <w:t>federal rules</w:t>
      </w:r>
      <w:r w:rsidR="00CA34BC">
        <w:rPr>
          <w:szCs w:val="26"/>
        </w:rPr>
        <w:t xml:space="preserve"> </w:t>
      </w:r>
      <w:r w:rsidR="00E832BA">
        <w:rPr>
          <w:szCs w:val="26"/>
        </w:rPr>
        <w:t>did not apply to the trial court’s decisions in advance of the arbitration proceeding</w:t>
      </w:r>
      <w:r w:rsidR="00323EE1">
        <w:rPr>
          <w:szCs w:val="26"/>
        </w:rPr>
        <w:t xml:space="preserve">, and the parties </w:t>
      </w:r>
      <w:r w:rsidR="00A03B85">
        <w:rPr>
          <w:szCs w:val="26"/>
        </w:rPr>
        <w:t xml:space="preserve">had </w:t>
      </w:r>
      <w:r w:rsidR="00323EE1">
        <w:rPr>
          <w:szCs w:val="26"/>
        </w:rPr>
        <w:t>delegated threshold determinations to the court.</w:t>
      </w:r>
      <w:r w:rsidR="00323EE1" w:rsidRPr="00323EE1">
        <w:rPr>
          <w:szCs w:val="26"/>
        </w:rPr>
        <w:t xml:space="preserve"> </w:t>
      </w:r>
      <w:r w:rsidR="00910D88">
        <w:rPr>
          <w:szCs w:val="26"/>
        </w:rPr>
        <w:t xml:space="preserve"> The court awarded $</w:t>
      </w:r>
      <w:r w:rsidR="00303EC0">
        <w:rPr>
          <w:szCs w:val="26"/>
        </w:rPr>
        <w:t>1,230</w:t>
      </w:r>
      <w:r w:rsidR="00910D88">
        <w:rPr>
          <w:szCs w:val="26"/>
        </w:rPr>
        <w:t xml:space="preserve"> in monetary sanctions to </w:t>
      </w:r>
      <w:r w:rsidR="00303EC0">
        <w:rPr>
          <w:szCs w:val="26"/>
        </w:rPr>
        <w:t>Hernandez</w:t>
      </w:r>
      <w:r w:rsidR="00910D88">
        <w:rPr>
          <w:szCs w:val="26"/>
        </w:rPr>
        <w:t xml:space="preserve"> for reasonable expenses incurred </w:t>
      </w:r>
      <w:proofErr w:type="gramStart"/>
      <w:r w:rsidR="00910D88">
        <w:rPr>
          <w:szCs w:val="26"/>
        </w:rPr>
        <w:t>as a result of</w:t>
      </w:r>
      <w:proofErr w:type="gramEnd"/>
      <w:r w:rsidR="00910D88">
        <w:rPr>
          <w:szCs w:val="26"/>
        </w:rPr>
        <w:t xml:space="preserve"> the material breach</w:t>
      </w:r>
      <w:r w:rsidR="00674BDC">
        <w:rPr>
          <w:szCs w:val="26"/>
        </w:rPr>
        <w:t>.</w:t>
      </w:r>
      <w:r w:rsidR="00910D88" w:rsidRPr="00910D88">
        <w:rPr>
          <w:szCs w:val="26"/>
        </w:rPr>
        <w:t xml:space="preserve"> </w:t>
      </w:r>
      <w:r w:rsidR="00C06F38">
        <w:rPr>
          <w:szCs w:val="26"/>
        </w:rPr>
        <w:t xml:space="preserve"> </w:t>
      </w:r>
      <w:proofErr w:type="spellStart"/>
      <w:r w:rsidR="00B50EB4">
        <w:rPr>
          <w:szCs w:val="26"/>
        </w:rPr>
        <w:t>Sohnen</w:t>
      </w:r>
      <w:proofErr w:type="spellEnd"/>
      <w:r w:rsidR="00B50EB4">
        <w:rPr>
          <w:szCs w:val="26"/>
        </w:rPr>
        <w:t xml:space="preserve"> filed a timely notice of appeal from the order</w:t>
      </w:r>
      <w:r w:rsidR="00DF3FE2">
        <w:rPr>
          <w:szCs w:val="26"/>
        </w:rPr>
        <w:t xml:space="preserve"> </w:t>
      </w:r>
      <w:r w:rsidR="0062258A">
        <w:rPr>
          <w:szCs w:val="26"/>
        </w:rPr>
        <w:t>under section 1281.97</w:t>
      </w:r>
      <w:r w:rsidR="00DF3FE2">
        <w:rPr>
          <w:szCs w:val="26"/>
        </w:rPr>
        <w:t>.</w:t>
      </w:r>
      <w:r w:rsidR="00DF3FE2" w:rsidRPr="00DF3FE2">
        <w:rPr>
          <w:szCs w:val="26"/>
        </w:rPr>
        <w:t xml:space="preserve"> </w:t>
      </w:r>
    </w:p>
    <w:p w14:paraId="3CEAD360" w14:textId="77777777" w:rsidR="004F4675" w:rsidRDefault="004F4675" w:rsidP="00C5238E">
      <w:pPr>
        <w:keepNext/>
        <w:rPr>
          <w:szCs w:val="26"/>
        </w:rPr>
      </w:pPr>
    </w:p>
    <w:p w14:paraId="4006EBE4" w14:textId="5FF2BAF8" w:rsidR="004F4675" w:rsidRPr="000A6206" w:rsidRDefault="004F4675" w:rsidP="00C5238E">
      <w:pPr>
        <w:keepNext/>
        <w:jc w:val="center"/>
        <w:rPr>
          <w:b/>
          <w:bCs/>
          <w:szCs w:val="26"/>
        </w:rPr>
      </w:pPr>
      <w:r w:rsidRPr="000A6206">
        <w:rPr>
          <w:b/>
          <w:bCs/>
          <w:szCs w:val="26"/>
        </w:rPr>
        <w:t>DISCUSSION</w:t>
      </w:r>
    </w:p>
    <w:p w14:paraId="37C502B9" w14:textId="77777777" w:rsidR="004F4675" w:rsidRDefault="004F4675" w:rsidP="00C5238E">
      <w:pPr>
        <w:keepNext/>
        <w:rPr>
          <w:szCs w:val="26"/>
        </w:rPr>
      </w:pPr>
    </w:p>
    <w:p w14:paraId="5B04A404" w14:textId="1C3E7759" w:rsidR="00B43C6C" w:rsidRPr="002A721D" w:rsidRDefault="00863782" w:rsidP="00C5238E">
      <w:pPr>
        <w:keepNext/>
        <w:rPr>
          <w:b/>
          <w:bCs/>
          <w:szCs w:val="26"/>
          <w:u w:val="single"/>
        </w:rPr>
      </w:pPr>
      <w:r w:rsidRPr="002A721D">
        <w:rPr>
          <w:b/>
          <w:bCs/>
          <w:szCs w:val="26"/>
          <w:u w:val="single"/>
        </w:rPr>
        <w:t xml:space="preserve">California </w:t>
      </w:r>
      <w:r w:rsidR="00B43C6C" w:rsidRPr="002A721D">
        <w:rPr>
          <w:b/>
          <w:bCs/>
          <w:szCs w:val="26"/>
          <w:u w:val="single"/>
        </w:rPr>
        <w:t>Law Governing</w:t>
      </w:r>
      <w:r w:rsidR="005C6212">
        <w:rPr>
          <w:b/>
          <w:bCs/>
          <w:szCs w:val="26"/>
          <w:u w:val="single"/>
        </w:rPr>
        <w:t xml:space="preserve"> </w:t>
      </w:r>
      <w:r w:rsidR="00402C0E">
        <w:rPr>
          <w:b/>
          <w:bCs/>
          <w:szCs w:val="26"/>
          <w:u w:val="single"/>
        </w:rPr>
        <w:t xml:space="preserve">a </w:t>
      </w:r>
      <w:r w:rsidR="00B43C6C" w:rsidRPr="002A721D">
        <w:rPr>
          <w:b/>
          <w:bCs/>
          <w:szCs w:val="26"/>
          <w:u w:val="single"/>
        </w:rPr>
        <w:t>Failure to Pay Arbitration Fees</w:t>
      </w:r>
    </w:p>
    <w:p w14:paraId="56DA4F8E" w14:textId="77777777" w:rsidR="00B43C6C" w:rsidRPr="00B43C6C" w:rsidRDefault="00B43C6C" w:rsidP="00C5238E">
      <w:pPr>
        <w:keepNext/>
        <w:rPr>
          <w:szCs w:val="26"/>
        </w:rPr>
      </w:pPr>
    </w:p>
    <w:p w14:paraId="102AE656" w14:textId="52B80316" w:rsidR="00B43C6C" w:rsidRPr="00B43C6C" w:rsidRDefault="00B43C6C" w:rsidP="00C5238E">
      <w:pPr>
        <w:keepNext/>
        <w:rPr>
          <w:szCs w:val="26"/>
        </w:rPr>
      </w:pPr>
      <w:r w:rsidRPr="00B43C6C">
        <w:rPr>
          <w:szCs w:val="26"/>
        </w:rPr>
        <w:tab/>
      </w:r>
      <w:r w:rsidR="00F626E0">
        <w:rPr>
          <w:szCs w:val="26"/>
        </w:rPr>
        <w:t>Even</w:t>
      </w:r>
      <w:r w:rsidR="00B7400A">
        <w:rPr>
          <w:szCs w:val="26"/>
        </w:rPr>
        <w:t xml:space="preserve"> prior to enactment of section 1281.97, an employee could </w:t>
      </w:r>
      <w:r w:rsidRPr="00B43C6C">
        <w:rPr>
          <w:szCs w:val="26"/>
        </w:rPr>
        <w:t xml:space="preserve">avoid enforcement of </w:t>
      </w:r>
      <w:r w:rsidR="00F626E0">
        <w:rPr>
          <w:szCs w:val="26"/>
        </w:rPr>
        <w:t>an arbitration agreement</w:t>
      </w:r>
      <w:r w:rsidRPr="00B43C6C">
        <w:rPr>
          <w:szCs w:val="26"/>
        </w:rPr>
        <w:t xml:space="preserve"> by showing </w:t>
      </w:r>
      <w:r w:rsidR="00DF1307">
        <w:rPr>
          <w:szCs w:val="26"/>
        </w:rPr>
        <w:t xml:space="preserve">that </w:t>
      </w:r>
      <w:r w:rsidRPr="00B43C6C">
        <w:rPr>
          <w:szCs w:val="26"/>
        </w:rPr>
        <w:t>the</w:t>
      </w:r>
      <w:r w:rsidR="007E0264">
        <w:rPr>
          <w:szCs w:val="26"/>
        </w:rPr>
        <w:t xml:space="preserve"> employer’s failure to perform an obligation under the contract</w:t>
      </w:r>
      <w:r w:rsidRPr="00B43C6C">
        <w:rPr>
          <w:szCs w:val="26"/>
        </w:rPr>
        <w:t xml:space="preserve"> </w:t>
      </w:r>
      <w:r w:rsidR="00B254C1">
        <w:rPr>
          <w:szCs w:val="26"/>
        </w:rPr>
        <w:t xml:space="preserve">was a </w:t>
      </w:r>
      <w:r w:rsidRPr="00B43C6C">
        <w:rPr>
          <w:szCs w:val="26"/>
        </w:rPr>
        <w:t>material breach</w:t>
      </w:r>
      <w:r w:rsidR="00B254C1">
        <w:rPr>
          <w:szCs w:val="26"/>
        </w:rPr>
        <w:t xml:space="preserve"> of</w:t>
      </w:r>
      <w:r w:rsidRPr="00B43C6C">
        <w:rPr>
          <w:szCs w:val="26"/>
        </w:rPr>
        <w:t xml:space="preserve"> the agreement.  (</w:t>
      </w:r>
      <w:r w:rsidRPr="002A721D">
        <w:rPr>
          <w:i/>
          <w:iCs/>
          <w:szCs w:val="26"/>
        </w:rPr>
        <w:t>Pry Corp. of America v. Leach</w:t>
      </w:r>
      <w:r w:rsidRPr="00B43C6C">
        <w:rPr>
          <w:szCs w:val="26"/>
        </w:rPr>
        <w:t xml:space="preserve"> (1960) 177 Cal.App.2d 632, 639</w:t>
      </w:r>
      <w:r w:rsidR="00850CA5">
        <w:rPr>
          <w:szCs w:val="26"/>
        </w:rPr>
        <w:t xml:space="preserve">; </w:t>
      </w:r>
      <w:r w:rsidR="00850CA5" w:rsidRPr="00C44E1D">
        <w:rPr>
          <w:i/>
          <w:iCs/>
          <w:szCs w:val="26"/>
        </w:rPr>
        <w:t>Brown v. Dillard’s</w:t>
      </w:r>
      <w:r w:rsidR="00D71222" w:rsidRPr="00C44E1D">
        <w:rPr>
          <w:i/>
          <w:iCs/>
          <w:szCs w:val="26"/>
        </w:rPr>
        <w:t>,</w:t>
      </w:r>
      <w:r w:rsidR="00850CA5" w:rsidRPr="00C44E1D">
        <w:rPr>
          <w:i/>
          <w:iCs/>
          <w:szCs w:val="26"/>
        </w:rPr>
        <w:t xml:space="preserve"> Inc.</w:t>
      </w:r>
      <w:r w:rsidR="008E0EC0">
        <w:rPr>
          <w:szCs w:val="26"/>
        </w:rPr>
        <w:t xml:space="preserve"> (2005) 430 F.3d 1004, 1010</w:t>
      </w:r>
      <w:r w:rsidR="008E0EC0" w:rsidRPr="00D408F4">
        <w:rPr>
          <w:szCs w:val="26"/>
        </w:rPr>
        <w:t>–</w:t>
      </w:r>
      <w:r w:rsidR="008E0EC0">
        <w:rPr>
          <w:szCs w:val="26"/>
        </w:rPr>
        <w:t>1012</w:t>
      </w:r>
      <w:r w:rsidRPr="00B43C6C">
        <w:rPr>
          <w:szCs w:val="26"/>
        </w:rPr>
        <w:t xml:space="preserve">.)  </w:t>
      </w:r>
      <w:r w:rsidR="00F6124A">
        <w:rPr>
          <w:szCs w:val="26"/>
        </w:rPr>
        <w:t>Whether a</w:t>
      </w:r>
      <w:r w:rsidR="00852E75">
        <w:rPr>
          <w:szCs w:val="26"/>
        </w:rPr>
        <w:t xml:space="preserve"> party’s</w:t>
      </w:r>
      <w:r w:rsidR="00F6124A">
        <w:rPr>
          <w:szCs w:val="26"/>
        </w:rPr>
        <w:t xml:space="preserve"> breach </w:t>
      </w:r>
      <w:r w:rsidR="00852E75">
        <w:rPr>
          <w:szCs w:val="26"/>
        </w:rPr>
        <w:t xml:space="preserve">of an agreement </w:t>
      </w:r>
      <w:r w:rsidR="00F6124A">
        <w:rPr>
          <w:szCs w:val="26"/>
        </w:rPr>
        <w:t xml:space="preserve">is material is normally a question of fact.  </w:t>
      </w:r>
      <w:r w:rsidRPr="00B43C6C">
        <w:rPr>
          <w:szCs w:val="26"/>
        </w:rPr>
        <w:t>(</w:t>
      </w:r>
      <w:r w:rsidRPr="002A721D">
        <w:rPr>
          <w:i/>
          <w:iCs/>
          <w:szCs w:val="26"/>
        </w:rPr>
        <w:t xml:space="preserve">Brown v. Grimes </w:t>
      </w:r>
      <w:r w:rsidRPr="00B43C6C">
        <w:rPr>
          <w:szCs w:val="26"/>
        </w:rPr>
        <w:t xml:space="preserve">(2011) 192 Cal.App.4th 265, 277–278.)  </w:t>
      </w:r>
      <w:r w:rsidR="006229D5">
        <w:rPr>
          <w:szCs w:val="26"/>
        </w:rPr>
        <w:t>Unless</w:t>
      </w:r>
      <w:r w:rsidR="006229D5" w:rsidRPr="00B43C6C">
        <w:rPr>
          <w:szCs w:val="26"/>
        </w:rPr>
        <w:t xml:space="preserve"> </w:t>
      </w:r>
      <w:r w:rsidRPr="00B43C6C">
        <w:rPr>
          <w:szCs w:val="26"/>
        </w:rPr>
        <w:t>a contract state</w:t>
      </w:r>
      <w:r w:rsidR="006229D5">
        <w:rPr>
          <w:szCs w:val="26"/>
        </w:rPr>
        <w:t>s</w:t>
      </w:r>
      <w:r w:rsidRPr="00B43C6C">
        <w:rPr>
          <w:szCs w:val="26"/>
        </w:rPr>
        <w:t xml:space="preserve"> that time is of the essence, a payment made within a reasonable time after the specified due date will usually constitute substantial compliance.  (</w:t>
      </w:r>
      <w:r w:rsidRPr="002A721D">
        <w:rPr>
          <w:i/>
          <w:iCs/>
          <w:szCs w:val="26"/>
        </w:rPr>
        <w:t xml:space="preserve">Magic Carpet Ride LLC v. Rugger Investment Group, L.L.C. </w:t>
      </w:r>
      <w:r w:rsidRPr="00B43C6C">
        <w:rPr>
          <w:szCs w:val="26"/>
        </w:rPr>
        <w:t>(2019) 41 Cal.App.5th 357, 364 (</w:t>
      </w:r>
      <w:r w:rsidRPr="002A721D">
        <w:rPr>
          <w:i/>
          <w:iCs/>
          <w:szCs w:val="26"/>
        </w:rPr>
        <w:t>Magic Carpet</w:t>
      </w:r>
      <w:r w:rsidRPr="00B43C6C">
        <w:rPr>
          <w:szCs w:val="26"/>
        </w:rPr>
        <w:t>).)</w:t>
      </w:r>
    </w:p>
    <w:p w14:paraId="096FE4A6" w14:textId="785B34E3" w:rsidR="00FA4F10" w:rsidRPr="00B43C6C" w:rsidRDefault="00B43C6C" w:rsidP="00C5238E">
      <w:pPr>
        <w:keepNext/>
        <w:rPr>
          <w:szCs w:val="26"/>
        </w:rPr>
      </w:pPr>
      <w:r w:rsidRPr="00B43C6C">
        <w:rPr>
          <w:szCs w:val="26"/>
        </w:rPr>
        <w:tab/>
        <w:t xml:space="preserve">Similarly, </w:t>
      </w:r>
      <w:r w:rsidR="006D43B1">
        <w:rPr>
          <w:szCs w:val="26"/>
        </w:rPr>
        <w:t>an employer</w:t>
      </w:r>
      <w:r w:rsidR="005B2DC4">
        <w:rPr>
          <w:szCs w:val="26"/>
        </w:rPr>
        <w:t xml:space="preserve"> who fails</w:t>
      </w:r>
      <w:r w:rsidRPr="00B43C6C">
        <w:rPr>
          <w:szCs w:val="26"/>
        </w:rPr>
        <w:t xml:space="preserve"> to perform an obligation under an arbitration agreement may have waived the right to demand arbitration.  (</w:t>
      </w:r>
      <w:proofErr w:type="spellStart"/>
      <w:r w:rsidRPr="002A721D">
        <w:rPr>
          <w:i/>
          <w:iCs/>
          <w:szCs w:val="26"/>
        </w:rPr>
        <w:t>Engalla</w:t>
      </w:r>
      <w:proofErr w:type="spellEnd"/>
      <w:r w:rsidRPr="002A721D">
        <w:rPr>
          <w:i/>
          <w:iCs/>
          <w:szCs w:val="26"/>
        </w:rPr>
        <w:t xml:space="preserve"> v. Permanente Medical Group, Inc.</w:t>
      </w:r>
      <w:r w:rsidRPr="00B43C6C">
        <w:rPr>
          <w:szCs w:val="26"/>
        </w:rPr>
        <w:t xml:space="preserve"> (1997) 15 Cal.4th 951, 983 (</w:t>
      </w:r>
      <w:proofErr w:type="spellStart"/>
      <w:r w:rsidRPr="002A721D">
        <w:rPr>
          <w:i/>
          <w:iCs/>
          <w:szCs w:val="26"/>
        </w:rPr>
        <w:t>Engalla</w:t>
      </w:r>
      <w:proofErr w:type="spellEnd"/>
      <w:r w:rsidRPr="00B43C6C">
        <w:rPr>
          <w:szCs w:val="26"/>
        </w:rPr>
        <w:t xml:space="preserve">).)  </w:t>
      </w:r>
      <w:r w:rsidR="007736A7">
        <w:rPr>
          <w:szCs w:val="26"/>
        </w:rPr>
        <w:t xml:space="preserve">The party seeking to </w:t>
      </w:r>
      <w:r w:rsidR="00316DB0">
        <w:rPr>
          <w:szCs w:val="26"/>
        </w:rPr>
        <w:t>show</w:t>
      </w:r>
      <w:r w:rsidR="007736A7">
        <w:rPr>
          <w:szCs w:val="26"/>
        </w:rPr>
        <w:t xml:space="preserve"> </w:t>
      </w:r>
      <w:r w:rsidR="005B2DC4">
        <w:rPr>
          <w:szCs w:val="26"/>
        </w:rPr>
        <w:t xml:space="preserve">a </w:t>
      </w:r>
      <w:r w:rsidR="007736A7">
        <w:rPr>
          <w:szCs w:val="26"/>
        </w:rPr>
        <w:t xml:space="preserve">waiver </w:t>
      </w:r>
      <w:r w:rsidR="005B2DC4">
        <w:rPr>
          <w:szCs w:val="26"/>
        </w:rPr>
        <w:t>has</w:t>
      </w:r>
      <w:r w:rsidR="007736A7">
        <w:rPr>
          <w:szCs w:val="26"/>
        </w:rPr>
        <w:t xml:space="preserve"> a heavy burden of proof</w:t>
      </w:r>
      <w:r w:rsidR="002E6F8B">
        <w:rPr>
          <w:szCs w:val="26"/>
        </w:rPr>
        <w:t xml:space="preserve"> </w:t>
      </w:r>
      <w:r w:rsidR="007736A7">
        <w:rPr>
          <w:szCs w:val="26"/>
        </w:rPr>
        <w:t>because California law reflects a strong policy favoring arbitration agreements</w:t>
      </w:r>
      <w:r w:rsidR="00640D51">
        <w:rPr>
          <w:szCs w:val="26"/>
        </w:rPr>
        <w:t xml:space="preserve">.  </w:t>
      </w:r>
      <w:r w:rsidRPr="00B43C6C">
        <w:rPr>
          <w:szCs w:val="26"/>
        </w:rPr>
        <w:t>(</w:t>
      </w:r>
      <w:r w:rsidRPr="002A721D">
        <w:rPr>
          <w:i/>
          <w:iCs/>
          <w:szCs w:val="26"/>
        </w:rPr>
        <w:t xml:space="preserve">St. Agnes Medical Center v. PacifiCare of California </w:t>
      </w:r>
      <w:r w:rsidRPr="00B43C6C">
        <w:rPr>
          <w:szCs w:val="26"/>
        </w:rPr>
        <w:t>(2003) 31 Cal.4th 1187, 1195 (</w:t>
      </w:r>
      <w:r w:rsidRPr="002A721D">
        <w:rPr>
          <w:i/>
          <w:iCs/>
          <w:szCs w:val="26"/>
        </w:rPr>
        <w:t>St. Agnes</w:t>
      </w:r>
      <w:r w:rsidRPr="00B43C6C">
        <w:rPr>
          <w:szCs w:val="26"/>
        </w:rPr>
        <w:t xml:space="preserve">).)  </w:t>
      </w:r>
      <w:r w:rsidR="002E6F8B">
        <w:rPr>
          <w:szCs w:val="26"/>
        </w:rPr>
        <w:t xml:space="preserve">Whether </w:t>
      </w:r>
      <w:r w:rsidRPr="00B43C6C">
        <w:rPr>
          <w:szCs w:val="26"/>
        </w:rPr>
        <w:t xml:space="preserve">there has been a waiver of the right to arbitrate is </w:t>
      </w:r>
      <w:r w:rsidR="00316DB0">
        <w:rPr>
          <w:szCs w:val="26"/>
        </w:rPr>
        <w:t xml:space="preserve">also </w:t>
      </w:r>
      <w:r w:rsidRPr="00B43C6C">
        <w:rPr>
          <w:szCs w:val="26"/>
        </w:rPr>
        <w:t xml:space="preserve">generally a question of fact.  </w:t>
      </w:r>
      <w:r w:rsidRPr="00B43C6C">
        <w:rPr>
          <w:szCs w:val="26"/>
        </w:rPr>
        <w:lastRenderedPageBreak/>
        <w:t>(</w:t>
      </w:r>
      <w:proofErr w:type="spellStart"/>
      <w:r w:rsidR="00316DB0" w:rsidRPr="00CC2357">
        <w:rPr>
          <w:i/>
          <w:iCs/>
          <w:szCs w:val="26"/>
        </w:rPr>
        <w:t>Engalla</w:t>
      </w:r>
      <w:proofErr w:type="spellEnd"/>
      <w:r w:rsidR="00316DB0" w:rsidRPr="00B43C6C">
        <w:rPr>
          <w:szCs w:val="26"/>
        </w:rPr>
        <w:t xml:space="preserve">, </w:t>
      </w:r>
      <w:r w:rsidR="00316DB0" w:rsidRPr="00CC2357">
        <w:rPr>
          <w:i/>
          <w:iCs/>
          <w:szCs w:val="26"/>
        </w:rPr>
        <w:t>supra</w:t>
      </w:r>
      <w:r w:rsidR="00316DB0" w:rsidRPr="00B43C6C">
        <w:rPr>
          <w:szCs w:val="26"/>
        </w:rPr>
        <w:t xml:space="preserve">, 15 Cal.4th </w:t>
      </w:r>
      <w:r w:rsidRPr="00B43C6C">
        <w:rPr>
          <w:szCs w:val="26"/>
        </w:rPr>
        <w:t>at pp. 983–</w:t>
      </w:r>
      <w:r w:rsidR="00E6004F">
        <w:rPr>
          <w:szCs w:val="26"/>
        </w:rPr>
        <w:t>9</w:t>
      </w:r>
      <w:r w:rsidR="0015781A">
        <w:rPr>
          <w:szCs w:val="26"/>
        </w:rPr>
        <w:t>8</w:t>
      </w:r>
      <w:r w:rsidR="00E6004F" w:rsidRPr="00B43C6C">
        <w:rPr>
          <w:szCs w:val="26"/>
        </w:rPr>
        <w:t>4</w:t>
      </w:r>
      <w:r w:rsidRPr="00B43C6C">
        <w:rPr>
          <w:szCs w:val="26"/>
        </w:rPr>
        <w:t xml:space="preserve">; </w:t>
      </w:r>
      <w:r w:rsidR="00316EE9" w:rsidRPr="002A721D">
        <w:rPr>
          <w:i/>
          <w:iCs/>
          <w:szCs w:val="26"/>
        </w:rPr>
        <w:t>St. Agnes</w:t>
      </w:r>
      <w:r w:rsidR="00255978">
        <w:rPr>
          <w:szCs w:val="26"/>
        </w:rPr>
        <w:t xml:space="preserve">, </w:t>
      </w:r>
      <w:r w:rsidR="00255978" w:rsidRPr="002A721D">
        <w:rPr>
          <w:i/>
          <w:iCs/>
          <w:szCs w:val="26"/>
        </w:rPr>
        <w:t>supra</w:t>
      </w:r>
      <w:r w:rsidR="00255978">
        <w:rPr>
          <w:szCs w:val="26"/>
        </w:rPr>
        <w:t xml:space="preserve">, </w:t>
      </w:r>
      <w:r w:rsidR="00316EE9" w:rsidRPr="00316EE9">
        <w:rPr>
          <w:szCs w:val="26"/>
        </w:rPr>
        <w:t xml:space="preserve">31 Cal.4th </w:t>
      </w:r>
      <w:r w:rsidR="00255978">
        <w:rPr>
          <w:szCs w:val="26"/>
        </w:rPr>
        <w:t>at p.</w:t>
      </w:r>
      <w:r w:rsidR="00316EE9" w:rsidRPr="00316EE9">
        <w:rPr>
          <w:szCs w:val="26"/>
        </w:rPr>
        <w:t xml:space="preserve"> 119</w:t>
      </w:r>
      <w:r w:rsidR="00316EE9">
        <w:rPr>
          <w:szCs w:val="26"/>
        </w:rPr>
        <w:t>6</w:t>
      </w:r>
      <w:r w:rsidRPr="00B43C6C">
        <w:rPr>
          <w:szCs w:val="26"/>
        </w:rPr>
        <w:t>.)</w:t>
      </w:r>
    </w:p>
    <w:p w14:paraId="3859AB53" w14:textId="43E88E56" w:rsidR="00B43C6C" w:rsidRPr="00B43C6C" w:rsidRDefault="00B43C6C" w:rsidP="00C5238E">
      <w:pPr>
        <w:keepNext/>
        <w:rPr>
          <w:szCs w:val="26"/>
        </w:rPr>
      </w:pPr>
      <w:r w:rsidRPr="00B43C6C">
        <w:rPr>
          <w:szCs w:val="26"/>
        </w:rPr>
        <w:tab/>
      </w:r>
      <w:r w:rsidR="007D7254">
        <w:rPr>
          <w:szCs w:val="26"/>
        </w:rPr>
        <w:t>In</w:t>
      </w:r>
      <w:r w:rsidRPr="00B43C6C">
        <w:rPr>
          <w:szCs w:val="26"/>
        </w:rPr>
        <w:t xml:space="preserve"> 2019, the California Legislature added sections 1281.97, 1281.98, and 1281.99 to the California Arbitration Act (CAA; §</w:t>
      </w:r>
      <w:r w:rsidR="00114E3A">
        <w:rPr>
          <w:szCs w:val="26"/>
        </w:rPr>
        <w:t> </w:t>
      </w:r>
      <w:r w:rsidRPr="00B43C6C">
        <w:rPr>
          <w:szCs w:val="26"/>
        </w:rPr>
        <w:t xml:space="preserve">1280 et seq.) to assist consumers and employees who find themselves in “procedural limbo” because they are required to submit a dispute to arbitration, but the entity enforcing the arbitration agreement has not paid the arbitration fees required to proceed.  (Stats. 2019, </w:t>
      </w:r>
      <w:proofErr w:type="spellStart"/>
      <w:r w:rsidRPr="00B43C6C">
        <w:rPr>
          <w:szCs w:val="26"/>
        </w:rPr>
        <w:t>ch.</w:t>
      </w:r>
      <w:proofErr w:type="spellEnd"/>
      <w:r w:rsidRPr="00B43C6C">
        <w:rPr>
          <w:szCs w:val="26"/>
        </w:rPr>
        <w:t xml:space="preserve"> 870, § 4; </w:t>
      </w:r>
      <w:r w:rsidRPr="002A721D">
        <w:rPr>
          <w:i/>
          <w:iCs/>
          <w:szCs w:val="26"/>
        </w:rPr>
        <w:t>Gallo v. Wood Ranch USA, Inc.</w:t>
      </w:r>
      <w:r w:rsidRPr="00B43C6C">
        <w:rPr>
          <w:szCs w:val="26"/>
        </w:rPr>
        <w:t xml:space="preserve"> (2022) </w:t>
      </w:r>
      <w:bookmarkStart w:id="8" w:name="_Hlk161404792"/>
      <w:r w:rsidRPr="00B43C6C">
        <w:rPr>
          <w:szCs w:val="26"/>
        </w:rPr>
        <w:t>81 Cal.App.5th 621</w:t>
      </w:r>
      <w:bookmarkEnd w:id="8"/>
      <w:r w:rsidRPr="00B43C6C">
        <w:rPr>
          <w:szCs w:val="26"/>
        </w:rPr>
        <w:t xml:space="preserve">, 629 </w:t>
      </w:r>
      <w:r w:rsidR="00F03A07">
        <w:rPr>
          <w:szCs w:val="26"/>
        </w:rPr>
        <w:t>&amp;</w:t>
      </w:r>
      <w:r w:rsidRPr="00B43C6C">
        <w:rPr>
          <w:szCs w:val="26"/>
        </w:rPr>
        <w:t xml:space="preserve"> 633</w:t>
      </w:r>
      <w:r w:rsidR="00F03A07">
        <w:rPr>
          <w:szCs w:val="26"/>
        </w:rPr>
        <w:t>–</w:t>
      </w:r>
      <w:r w:rsidRPr="00B43C6C">
        <w:rPr>
          <w:szCs w:val="26"/>
        </w:rPr>
        <w:t>634 (</w:t>
      </w:r>
      <w:r w:rsidRPr="002A721D">
        <w:rPr>
          <w:i/>
          <w:iCs/>
          <w:szCs w:val="26"/>
        </w:rPr>
        <w:t>Gallo</w:t>
      </w:r>
      <w:r w:rsidRPr="00B43C6C">
        <w:rPr>
          <w:szCs w:val="26"/>
        </w:rPr>
        <w:t>).)  Section 1281.97 addresses the failure to timely pay fees or costs to initiate arbitration, while section 1281.98 addresses the failure to timely pay fees or costs to continue arbitration.  (</w:t>
      </w:r>
      <w:r w:rsidRPr="002A721D">
        <w:rPr>
          <w:i/>
          <w:iCs/>
          <w:szCs w:val="26"/>
        </w:rPr>
        <w:t xml:space="preserve">De Leon v. Juanita’s Foods </w:t>
      </w:r>
      <w:r w:rsidRPr="00B43C6C">
        <w:rPr>
          <w:szCs w:val="26"/>
        </w:rPr>
        <w:t>(2022) 85 Cal.App.5th 740, 750 (</w:t>
      </w:r>
      <w:r w:rsidRPr="002A721D">
        <w:rPr>
          <w:i/>
          <w:iCs/>
          <w:szCs w:val="26"/>
        </w:rPr>
        <w:t>De Leon</w:t>
      </w:r>
      <w:r w:rsidRPr="00B43C6C">
        <w:rPr>
          <w:szCs w:val="26"/>
        </w:rPr>
        <w:t>).)</w:t>
      </w:r>
    </w:p>
    <w:p w14:paraId="630E6A30" w14:textId="3685B421" w:rsidR="00B43C6C" w:rsidRPr="00B43C6C" w:rsidRDefault="00B43C6C" w:rsidP="00C5238E">
      <w:pPr>
        <w:keepNext/>
        <w:rPr>
          <w:szCs w:val="26"/>
        </w:rPr>
      </w:pPr>
      <w:r w:rsidRPr="00B43C6C">
        <w:rPr>
          <w:szCs w:val="26"/>
        </w:rPr>
        <w:tab/>
        <w:t xml:space="preserve">Section 1281.97, subdivision (a)(1), provides:  “In an employment or consumer arbitration that requires . . . the drafting party to pay certain fees and costs before the arbitration can proceed, if the fees or costs to initiate an arbitration proceeding are not paid within 30 days after the due date[,] the drafting party is in material breach of the arbitration agreement, is in default of the arbitration, and waives its right to compel arbitration under </w:t>
      </w:r>
      <w:r w:rsidR="008B3AC1">
        <w:rPr>
          <w:szCs w:val="26"/>
        </w:rPr>
        <w:t>[s]</w:t>
      </w:r>
      <w:proofErr w:type="spellStart"/>
      <w:r w:rsidRPr="00B43C6C">
        <w:rPr>
          <w:szCs w:val="26"/>
        </w:rPr>
        <w:t>ection</w:t>
      </w:r>
      <w:proofErr w:type="spellEnd"/>
      <w:r w:rsidRPr="00B43C6C">
        <w:rPr>
          <w:szCs w:val="26"/>
        </w:rPr>
        <w:t xml:space="preserve"> 1281.2.”  </w:t>
      </w:r>
    </w:p>
    <w:p w14:paraId="3B0CA7E0" w14:textId="681C4478" w:rsidR="00B43C6C" w:rsidRPr="00B43C6C" w:rsidRDefault="00B43C6C" w:rsidP="00C5238E">
      <w:pPr>
        <w:keepNext/>
        <w:rPr>
          <w:szCs w:val="26"/>
        </w:rPr>
      </w:pPr>
      <w:r w:rsidRPr="00B43C6C">
        <w:rPr>
          <w:szCs w:val="26"/>
        </w:rPr>
        <w:tab/>
        <w:t>Section 1281.97, subdivision (b), provides, “If the drafting party materially breaches the arbitration agreement and is in default under subdivision (a), the employee or consumer may do either of the following</w:t>
      </w:r>
      <w:proofErr w:type="gramStart"/>
      <w:r w:rsidRPr="00B43C6C">
        <w:rPr>
          <w:szCs w:val="26"/>
        </w:rPr>
        <w:t>:  [</w:t>
      </w:r>
      <w:proofErr w:type="gramEnd"/>
      <w:r w:rsidRPr="00B43C6C">
        <w:rPr>
          <w:szCs w:val="26"/>
        </w:rPr>
        <w:t xml:space="preserve">¶] (1) </w:t>
      </w:r>
      <w:bookmarkStart w:id="9" w:name="_Hlk161349969"/>
      <w:r w:rsidRPr="00B43C6C">
        <w:rPr>
          <w:szCs w:val="26"/>
        </w:rPr>
        <w:t xml:space="preserve">Withdraw the claim from arbitration and proceed in a court </w:t>
      </w:r>
      <w:bookmarkEnd w:id="9"/>
      <w:r w:rsidRPr="00B43C6C">
        <w:rPr>
          <w:szCs w:val="26"/>
        </w:rPr>
        <w:t>of appropriate jurisdiction.  [¶]</w:t>
      </w:r>
      <w:r w:rsidR="00D3284A">
        <w:rPr>
          <w:szCs w:val="26"/>
        </w:rPr>
        <w:t> </w:t>
      </w:r>
      <w:r w:rsidRPr="00B43C6C">
        <w:rPr>
          <w:szCs w:val="26"/>
        </w:rPr>
        <w:t xml:space="preserve">(2) Compel arbitration in which the drafting party shall pay reasonable attorney’s fees and costs related to the arbitration.”  If the employee or consumer chooses to withdraw from arbitration </w:t>
      </w:r>
      <w:r w:rsidRPr="00B43C6C">
        <w:rPr>
          <w:szCs w:val="26"/>
        </w:rPr>
        <w:lastRenderedPageBreak/>
        <w:t xml:space="preserve">and proceed in court, the court must impose sanctions on the drafting party under </w:t>
      </w:r>
      <w:r w:rsidR="00C03861">
        <w:rPr>
          <w:szCs w:val="26"/>
        </w:rPr>
        <w:t>s</w:t>
      </w:r>
      <w:r w:rsidRPr="00B43C6C">
        <w:rPr>
          <w:szCs w:val="26"/>
        </w:rPr>
        <w:t>ection 1281.99.  (§ 1281.98, subd. (d).)</w:t>
      </w:r>
    </w:p>
    <w:p w14:paraId="6F91208D" w14:textId="0A2797B4" w:rsidR="00B43C6C" w:rsidRPr="00B43C6C" w:rsidRDefault="00B43C6C" w:rsidP="00C5238E">
      <w:pPr>
        <w:keepNext/>
        <w:rPr>
          <w:szCs w:val="26"/>
        </w:rPr>
      </w:pPr>
      <w:r w:rsidRPr="00B43C6C">
        <w:rPr>
          <w:szCs w:val="26"/>
        </w:rPr>
        <w:tab/>
        <w:t xml:space="preserve">Section 1281.97 does not require </w:t>
      </w:r>
      <w:r w:rsidR="00192E35">
        <w:rPr>
          <w:szCs w:val="26"/>
        </w:rPr>
        <w:t>that the arbitrator make an</w:t>
      </w:r>
      <w:r w:rsidRPr="00B43C6C">
        <w:rPr>
          <w:szCs w:val="26"/>
        </w:rPr>
        <w:t xml:space="preserve"> initial finding of breach, default, or waiver.  </w:t>
      </w:r>
      <w:r w:rsidR="00284FAA">
        <w:rPr>
          <w:szCs w:val="26"/>
        </w:rPr>
        <w:t>(</w:t>
      </w:r>
      <w:r w:rsidR="00284FAA" w:rsidRPr="002A721D">
        <w:rPr>
          <w:i/>
          <w:iCs/>
          <w:szCs w:val="26"/>
        </w:rPr>
        <w:t>Williams v. West Coast Hospitals, Inc.</w:t>
      </w:r>
      <w:r w:rsidR="00284FAA" w:rsidRPr="00284FAA">
        <w:rPr>
          <w:szCs w:val="26"/>
        </w:rPr>
        <w:t xml:space="preserve"> (2022) 86 Cal.App.5th 1054, 106</w:t>
      </w:r>
      <w:r w:rsidR="00284FAA">
        <w:rPr>
          <w:szCs w:val="26"/>
        </w:rPr>
        <w:t>6</w:t>
      </w:r>
      <w:r w:rsidR="00284FAA" w:rsidRPr="00284FAA">
        <w:rPr>
          <w:szCs w:val="26"/>
        </w:rPr>
        <w:t xml:space="preserve"> (</w:t>
      </w:r>
      <w:r w:rsidR="00284FAA" w:rsidRPr="002A721D">
        <w:rPr>
          <w:i/>
          <w:iCs/>
          <w:szCs w:val="26"/>
        </w:rPr>
        <w:t>Williams</w:t>
      </w:r>
      <w:r w:rsidR="00284FAA" w:rsidRPr="00284FAA">
        <w:rPr>
          <w:szCs w:val="26"/>
        </w:rPr>
        <w:t>)</w:t>
      </w:r>
      <w:r w:rsidR="00284FAA">
        <w:rPr>
          <w:szCs w:val="26"/>
        </w:rPr>
        <w:t>.)</w:t>
      </w:r>
      <w:r w:rsidR="00284FAA" w:rsidRPr="00284FAA">
        <w:rPr>
          <w:szCs w:val="26"/>
        </w:rPr>
        <w:t xml:space="preserve"> </w:t>
      </w:r>
      <w:r w:rsidR="00284FAA">
        <w:rPr>
          <w:szCs w:val="26"/>
        </w:rPr>
        <w:t xml:space="preserve"> </w:t>
      </w:r>
      <w:r w:rsidRPr="00B43C6C">
        <w:rPr>
          <w:szCs w:val="26"/>
        </w:rPr>
        <w:t>The statute defines a material breach “as a matter of law to be the failure to pay anything less than the full amount due by the expiration of the statutory grace period, rather than leaving materiality as an issue of fact for the trier of fact to determine.”  (</w:t>
      </w:r>
      <w:r w:rsidRPr="002A721D">
        <w:rPr>
          <w:i/>
          <w:iCs/>
          <w:szCs w:val="26"/>
        </w:rPr>
        <w:t>Gallo</w:t>
      </w:r>
      <w:r w:rsidRPr="00B43C6C">
        <w:rPr>
          <w:szCs w:val="26"/>
        </w:rPr>
        <w:t xml:space="preserve">, </w:t>
      </w:r>
      <w:r w:rsidRPr="002A721D">
        <w:rPr>
          <w:i/>
          <w:iCs/>
          <w:szCs w:val="26"/>
        </w:rPr>
        <w:t>supra</w:t>
      </w:r>
      <w:r w:rsidRPr="00B43C6C">
        <w:rPr>
          <w:szCs w:val="26"/>
        </w:rPr>
        <w:t>, 81 Cal.App.5th at p. 644.)  There are no exceptions to section 1281.97 for substantial compliance or lack of prejudice.  (</w:t>
      </w:r>
      <w:r w:rsidRPr="002A721D">
        <w:rPr>
          <w:i/>
          <w:iCs/>
          <w:szCs w:val="26"/>
        </w:rPr>
        <w:t>Espinoza v. Superior Court</w:t>
      </w:r>
      <w:r w:rsidRPr="00B43C6C">
        <w:rPr>
          <w:szCs w:val="26"/>
        </w:rPr>
        <w:t xml:space="preserve"> (2022) 83 Cal.App.5th 761, 775–776 (</w:t>
      </w:r>
      <w:r w:rsidRPr="002A721D">
        <w:rPr>
          <w:i/>
          <w:iCs/>
          <w:szCs w:val="26"/>
        </w:rPr>
        <w:t>Espinoza</w:t>
      </w:r>
      <w:r w:rsidRPr="00B43C6C">
        <w:rPr>
          <w:szCs w:val="26"/>
        </w:rPr>
        <w:t>).)</w:t>
      </w:r>
    </w:p>
    <w:p w14:paraId="2D9ABBCF" w14:textId="77777777" w:rsidR="00B43C6C" w:rsidRPr="00B43C6C" w:rsidRDefault="00B43C6C" w:rsidP="00C5238E">
      <w:pPr>
        <w:keepNext/>
        <w:rPr>
          <w:szCs w:val="26"/>
        </w:rPr>
      </w:pPr>
      <w:r w:rsidRPr="00B43C6C">
        <w:rPr>
          <w:szCs w:val="26"/>
        </w:rPr>
        <w:tab/>
        <w:t xml:space="preserve">In the enacting legislation, the legislature expressed concern that an entity’s failure to pay the arbitration provider hindered the efficient resolution of disputes.  (Stats. 2019, </w:t>
      </w:r>
      <w:proofErr w:type="spellStart"/>
      <w:r w:rsidRPr="00B43C6C">
        <w:rPr>
          <w:szCs w:val="26"/>
        </w:rPr>
        <w:t>ch.</w:t>
      </w:r>
      <w:proofErr w:type="spellEnd"/>
      <w:r w:rsidRPr="00B43C6C">
        <w:rPr>
          <w:szCs w:val="26"/>
        </w:rPr>
        <w:t xml:space="preserve"> 870, § 1, subd. (c).)  A company that compels arbitration, then strategically withholds payment of arbitration fees “severely prejudices” the ability of consumers and employees to pursue their claims.  (Stats. 2019, </w:t>
      </w:r>
      <w:proofErr w:type="spellStart"/>
      <w:r w:rsidRPr="00B43C6C">
        <w:rPr>
          <w:szCs w:val="26"/>
        </w:rPr>
        <w:t>ch.</w:t>
      </w:r>
      <w:proofErr w:type="spellEnd"/>
      <w:r w:rsidRPr="00B43C6C">
        <w:rPr>
          <w:szCs w:val="26"/>
        </w:rPr>
        <w:t xml:space="preserve"> 870, § 1, subd. (d).)  Section 1281.97 is not limited, however, to circumstances of strategic non-payment.  (</w:t>
      </w:r>
      <w:r w:rsidRPr="002A721D">
        <w:rPr>
          <w:i/>
          <w:iCs/>
          <w:szCs w:val="26"/>
        </w:rPr>
        <w:t>Espinoza</w:t>
      </w:r>
      <w:r w:rsidRPr="00B43C6C">
        <w:rPr>
          <w:szCs w:val="26"/>
        </w:rPr>
        <w:t xml:space="preserve">, </w:t>
      </w:r>
      <w:r w:rsidRPr="002A721D">
        <w:rPr>
          <w:i/>
          <w:iCs/>
          <w:szCs w:val="26"/>
        </w:rPr>
        <w:t>supra</w:t>
      </w:r>
      <w:r w:rsidRPr="00B43C6C">
        <w:rPr>
          <w:szCs w:val="26"/>
        </w:rPr>
        <w:t>, 83 Cal.App.5th at p. 777.)  The statute is strictly applied whenever a drafting party fails to pay arbitration costs and fees by the statutory deadline.  (</w:t>
      </w:r>
      <w:r w:rsidRPr="002A721D">
        <w:rPr>
          <w:i/>
          <w:iCs/>
          <w:szCs w:val="26"/>
        </w:rPr>
        <w:t>Ibid</w:t>
      </w:r>
      <w:r w:rsidRPr="00B43C6C">
        <w:rPr>
          <w:szCs w:val="26"/>
        </w:rPr>
        <w:t xml:space="preserve">.)  </w:t>
      </w:r>
    </w:p>
    <w:p w14:paraId="6201D482" w14:textId="20D92166" w:rsidR="00124EF8" w:rsidRDefault="00B43C6C" w:rsidP="00C5238E">
      <w:pPr>
        <w:keepNext/>
        <w:rPr>
          <w:szCs w:val="26"/>
        </w:rPr>
      </w:pPr>
      <w:r w:rsidRPr="00B43C6C">
        <w:rPr>
          <w:szCs w:val="26"/>
        </w:rPr>
        <w:tab/>
        <w:t xml:space="preserve">In addition to </w:t>
      </w:r>
      <w:r w:rsidR="006B0DA9">
        <w:rPr>
          <w:szCs w:val="26"/>
        </w:rPr>
        <w:t xml:space="preserve">the </w:t>
      </w:r>
      <w:r w:rsidRPr="00B43C6C">
        <w:rPr>
          <w:szCs w:val="26"/>
        </w:rPr>
        <w:t xml:space="preserve">remedies </w:t>
      </w:r>
      <w:r w:rsidR="006B0DA9">
        <w:rPr>
          <w:szCs w:val="26"/>
        </w:rPr>
        <w:t xml:space="preserve">provided </w:t>
      </w:r>
      <w:r w:rsidRPr="00B43C6C">
        <w:rPr>
          <w:szCs w:val="26"/>
        </w:rPr>
        <w:t xml:space="preserve">under section 1281.97, section 1281.99 provides </w:t>
      </w:r>
      <w:r w:rsidR="006B0DA9">
        <w:rPr>
          <w:szCs w:val="26"/>
        </w:rPr>
        <w:t>that</w:t>
      </w:r>
      <w:r w:rsidR="007D7254">
        <w:rPr>
          <w:szCs w:val="26"/>
        </w:rPr>
        <w:t xml:space="preserve"> the</w:t>
      </w:r>
      <w:r w:rsidRPr="00B43C6C">
        <w:rPr>
          <w:szCs w:val="26"/>
        </w:rPr>
        <w:t xml:space="preserve"> company or business that materially breached the arbitration agreement must pay the “reasonable expenses, including attorney’s fees and costs, incurred by the employee or consumer as a result of the material breach” (§ 1281.99, subd. (a)), and may also suffer an evidentiary, </w:t>
      </w:r>
      <w:r w:rsidRPr="00B43C6C">
        <w:rPr>
          <w:szCs w:val="26"/>
        </w:rPr>
        <w:lastRenderedPageBreak/>
        <w:t>terminating, or contempt sanction unless it “acted with substantial justification” or “other circumstances make the imposition of the sanction unjust” (§ 1281.99, subd. (b)).</w:t>
      </w:r>
    </w:p>
    <w:p w14:paraId="6F7EE5A2" w14:textId="77777777" w:rsidR="00B43C6C" w:rsidRDefault="00B43C6C" w:rsidP="00C5238E">
      <w:pPr>
        <w:keepNext/>
        <w:rPr>
          <w:szCs w:val="26"/>
        </w:rPr>
      </w:pPr>
    </w:p>
    <w:p w14:paraId="673628C7" w14:textId="1423B8B4" w:rsidR="00CD57E9" w:rsidRPr="002A721D" w:rsidRDefault="00CD57E9" w:rsidP="00C5238E">
      <w:pPr>
        <w:keepNext/>
        <w:rPr>
          <w:b/>
          <w:bCs/>
          <w:szCs w:val="26"/>
          <w:u w:val="single"/>
        </w:rPr>
      </w:pPr>
      <w:r w:rsidRPr="002A721D">
        <w:rPr>
          <w:b/>
          <w:bCs/>
          <w:szCs w:val="26"/>
          <w:u w:val="single"/>
        </w:rPr>
        <w:t>Appealability</w:t>
      </w:r>
    </w:p>
    <w:p w14:paraId="7D7B6BB7" w14:textId="77777777" w:rsidR="00CD57E9" w:rsidRDefault="00CD57E9" w:rsidP="00C5238E">
      <w:pPr>
        <w:keepNext/>
        <w:rPr>
          <w:szCs w:val="26"/>
        </w:rPr>
      </w:pPr>
    </w:p>
    <w:p w14:paraId="6643F805" w14:textId="0671960E" w:rsidR="00CD57E9" w:rsidRDefault="00252A9F" w:rsidP="00C5238E">
      <w:pPr>
        <w:keepNext/>
        <w:rPr>
          <w:szCs w:val="26"/>
        </w:rPr>
      </w:pPr>
      <w:r>
        <w:rPr>
          <w:szCs w:val="26"/>
        </w:rPr>
        <w:tab/>
      </w:r>
      <w:r w:rsidR="001E1A54">
        <w:rPr>
          <w:szCs w:val="26"/>
        </w:rPr>
        <w:t>As a preliminary matter, we must determine whether</w:t>
      </w:r>
      <w:r w:rsidR="00CA5442">
        <w:rPr>
          <w:szCs w:val="26"/>
        </w:rPr>
        <w:t xml:space="preserve"> an order </w:t>
      </w:r>
      <w:r w:rsidR="000C7ABF">
        <w:rPr>
          <w:szCs w:val="26"/>
        </w:rPr>
        <w:t xml:space="preserve">under section 1281.97 </w:t>
      </w:r>
      <w:r w:rsidR="00CA5442">
        <w:rPr>
          <w:szCs w:val="26"/>
        </w:rPr>
        <w:t xml:space="preserve">to withdraw from arbitration and </w:t>
      </w:r>
      <w:r w:rsidR="00563226">
        <w:rPr>
          <w:szCs w:val="26"/>
        </w:rPr>
        <w:t>proceed in court</w:t>
      </w:r>
      <w:r w:rsidR="000C7ABF">
        <w:rPr>
          <w:szCs w:val="26"/>
        </w:rPr>
        <w:t xml:space="preserve"> is </w:t>
      </w:r>
      <w:r w:rsidR="00C95AC4">
        <w:rPr>
          <w:szCs w:val="26"/>
        </w:rPr>
        <w:t xml:space="preserve">an </w:t>
      </w:r>
      <w:r w:rsidR="000C7ABF">
        <w:rPr>
          <w:szCs w:val="26"/>
        </w:rPr>
        <w:t>appealable</w:t>
      </w:r>
      <w:r w:rsidR="00C95AC4">
        <w:rPr>
          <w:szCs w:val="26"/>
        </w:rPr>
        <w:t xml:space="preserve"> order</w:t>
      </w:r>
      <w:r w:rsidR="000C7ABF">
        <w:rPr>
          <w:szCs w:val="26"/>
        </w:rPr>
        <w:t>.</w:t>
      </w:r>
      <w:r w:rsidR="00F22F92" w:rsidRPr="00F22F92">
        <w:t xml:space="preserve"> </w:t>
      </w:r>
      <w:r w:rsidR="00F22F92">
        <w:t xml:space="preserve"> “</w:t>
      </w:r>
      <w:r w:rsidR="00F22F92" w:rsidRPr="00F22F92">
        <w:rPr>
          <w:szCs w:val="26"/>
        </w:rPr>
        <w:t xml:space="preserve">The existence of an appealable judgment is a jurisdictional prerequisite to an appeal. </w:t>
      </w:r>
      <w:r w:rsidR="00F22F92">
        <w:rPr>
          <w:szCs w:val="26"/>
        </w:rPr>
        <w:t xml:space="preserve"> </w:t>
      </w:r>
      <w:r w:rsidR="00F22F92" w:rsidRPr="00F22F92">
        <w:rPr>
          <w:szCs w:val="26"/>
        </w:rPr>
        <w:t xml:space="preserve">A reviewing court must raise the issue on its own initiative whenever a doubt exists as to whether the trial court has entered a final judgment or other </w:t>
      </w:r>
      <w:proofErr w:type="gramStart"/>
      <w:r w:rsidR="00F22F92" w:rsidRPr="00F22F92">
        <w:rPr>
          <w:szCs w:val="26"/>
        </w:rPr>
        <w:t>order</w:t>
      </w:r>
      <w:proofErr w:type="gramEnd"/>
      <w:r w:rsidR="00F22F92" w:rsidRPr="00F22F92">
        <w:rPr>
          <w:szCs w:val="26"/>
        </w:rPr>
        <w:t xml:space="preserve"> or judgment made appealable by Code of Civil Procedure section 904.1.</w:t>
      </w:r>
      <w:r w:rsidR="00F22F92">
        <w:rPr>
          <w:szCs w:val="26"/>
        </w:rPr>
        <w:t>”  (</w:t>
      </w:r>
      <w:r w:rsidR="00F22F92" w:rsidRPr="002A721D">
        <w:rPr>
          <w:i/>
          <w:iCs/>
          <w:szCs w:val="26"/>
        </w:rPr>
        <w:t xml:space="preserve">Jennings v. </w:t>
      </w:r>
      <w:proofErr w:type="spellStart"/>
      <w:r w:rsidR="00F22F92" w:rsidRPr="002A721D">
        <w:rPr>
          <w:i/>
          <w:iCs/>
          <w:szCs w:val="26"/>
        </w:rPr>
        <w:t>Marralle</w:t>
      </w:r>
      <w:proofErr w:type="spellEnd"/>
      <w:r w:rsidR="00F22F92" w:rsidRPr="00F22F92">
        <w:rPr>
          <w:szCs w:val="26"/>
        </w:rPr>
        <w:t xml:space="preserve"> (1994) 8 Cal.4th 121, 126</w:t>
      </w:r>
      <w:r w:rsidR="00F22F92">
        <w:rPr>
          <w:szCs w:val="26"/>
        </w:rPr>
        <w:t>.)</w:t>
      </w:r>
    </w:p>
    <w:p w14:paraId="7BE5EEB9" w14:textId="06261BD8" w:rsidR="00A9698F" w:rsidRDefault="0028139F" w:rsidP="000E18A3">
      <w:pPr>
        <w:keepNext/>
        <w:rPr>
          <w:szCs w:val="26"/>
        </w:rPr>
      </w:pPr>
      <w:r>
        <w:rPr>
          <w:szCs w:val="26"/>
        </w:rPr>
        <w:tab/>
        <w:t>“</w:t>
      </w:r>
      <w:r w:rsidRPr="0028139F">
        <w:rPr>
          <w:szCs w:val="26"/>
        </w:rPr>
        <w:t>The right to appeal is statutory</w:t>
      </w:r>
      <w:r>
        <w:rPr>
          <w:szCs w:val="26"/>
        </w:rPr>
        <w:t>.”  (</w:t>
      </w:r>
      <w:proofErr w:type="spellStart"/>
      <w:r w:rsidRPr="002A721D">
        <w:rPr>
          <w:i/>
          <w:iCs/>
          <w:szCs w:val="26"/>
        </w:rPr>
        <w:t>Gastelum</w:t>
      </w:r>
      <w:proofErr w:type="spellEnd"/>
      <w:r w:rsidRPr="002A721D">
        <w:rPr>
          <w:i/>
          <w:iCs/>
          <w:szCs w:val="26"/>
        </w:rPr>
        <w:t xml:space="preserve"> v. </w:t>
      </w:r>
      <w:proofErr w:type="spellStart"/>
      <w:r w:rsidRPr="002A721D">
        <w:rPr>
          <w:i/>
          <w:iCs/>
          <w:szCs w:val="26"/>
        </w:rPr>
        <w:t>Remax</w:t>
      </w:r>
      <w:proofErr w:type="spellEnd"/>
      <w:r w:rsidRPr="002A721D">
        <w:rPr>
          <w:i/>
          <w:iCs/>
          <w:szCs w:val="26"/>
        </w:rPr>
        <w:t xml:space="preserve"> </w:t>
      </w:r>
      <w:proofErr w:type="spellStart"/>
      <w:r w:rsidRPr="002A721D">
        <w:rPr>
          <w:i/>
          <w:iCs/>
          <w:szCs w:val="26"/>
        </w:rPr>
        <w:t>Internat.</w:t>
      </w:r>
      <w:proofErr w:type="spellEnd"/>
      <w:r w:rsidRPr="002A721D">
        <w:rPr>
          <w:i/>
          <w:iCs/>
          <w:szCs w:val="26"/>
        </w:rPr>
        <w:t xml:space="preserve">, Inc. </w:t>
      </w:r>
      <w:r w:rsidRPr="0028139F">
        <w:rPr>
          <w:szCs w:val="26"/>
        </w:rPr>
        <w:t>(2016) 244 Cal.App.4th 1016, 1021</w:t>
      </w:r>
      <w:r>
        <w:rPr>
          <w:szCs w:val="26"/>
        </w:rPr>
        <w:t xml:space="preserve"> (</w:t>
      </w:r>
      <w:proofErr w:type="spellStart"/>
      <w:r w:rsidRPr="002A721D">
        <w:rPr>
          <w:i/>
          <w:iCs/>
          <w:szCs w:val="26"/>
        </w:rPr>
        <w:t>Gastelum</w:t>
      </w:r>
      <w:proofErr w:type="spellEnd"/>
      <w:r>
        <w:rPr>
          <w:szCs w:val="26"/>
        </w:rPr>
        <w:t>).)</w:t>
      </w:r>
      <w:r w:rsidR="00214970">
        <w:rPr>
          <w:szCs w:val="26"/>
        </w:rPr>
        <w:t xml:space="preserve">  Section 904.1 provides a general list of appealable</w:t>
      </w:r>
      <w:r w:rsidR="00AD3B5C">
        <w:rPr>
          <w:szCs w:val="26"/>
        </w:rPr>
        <w:t xml:space="preserve"> civil judgments and orders.</w:t>
      </w:r>
      <w:r w:rsidR="00F25833" w:rsidRPr="002A721D">
        <w:rPr>
          <w:rStyle w:val="FootnoteReference"/>
          <w:b/>
          <w:bCs/>
          <w:szCs w:val="26"/>
        </w:rPr>
        <w:footnoteReference w:id="3"/>
      </w:r>
      <w:r w:rsidR="00166CE6">
        <w:rPr>
          <w:szCs w:val="26"/>
        </w:rPr>
        <w:t xml:space="preserve">  </w:t>
      </w:r>
      <w:r w:rsidR="00C82C6D">
        <w:rPr>
          <w:szCs w:val="26"/>
        </w:rPr>
        <w:t xml:space="preserve">An order “dismissing or denying a petition to compel </w:t>
      </w:r>
      <w:r w:rsidR="00C82C6D">
        <w:rPr>
          <w:szCs w:val="26"/>
        </w:rPr>
        <w:lastRenderedPageBreak/>
        <w:t xml:space="preserve">arbitration” is appealable </w:t>
      </w:r>
      <w:r w:rsidR="00A36AA1">
        <w:rPr>
          <w:szCs w:val="26"/>
        </w:rPr>
        <w:t>under</w:t>
      </w:r>
      <w:r w:rsidR="00C82C6D">
        <w:rPr>
          <w:szCs w:val="26"/>
        </w:rPr>
        <w:t xml:space="preserve"> section 1294, subdivision (a), of the CAA.  </w:t>
      </w:r>
      <w:r w:rsidR="00FF550E">
        <w:rPr>
          <w:szCs w:val="26"/>
        </w:rPr>
        <w:t>I</w:t>
      </w:r>
      <w:r w:rsidR="004109AE">
        <w:rPr>
          <w:szCs w:val="26"/>
        </w:rPr>
        <w:t>n</w:t>
      </w:r>
      <w:r w:rsidR="00632A7F">
        <w:rPr>
          <w:szCs w:val="26"/>
        </w:rPr>
        <w:t>terlocutory orders</w:t>
      </w:r>
      <w:r w:rsidR="000E18A3">
        <w:rPr>
          <w:szCs w:val="26"/>
        </w:rPr>
        <w:t xml:space="preserve">, on the other hand, </w:t>
      </w:r>
      <w:r w:rsidR="00FF550E">
        <w:rPr>
          <w:szCs w:val="26"/>
        </w:rPr>
        <w:t>are generally not appealable</w:t>
      </w:r>
      <w:r w:rsidR="002B5C45">
        <w:rPr>
          <w:szCs w:val="26"/>
        </w:rPr>
        <w:t>.</w:t>
      </w:r>
      <w:r w:rsidR="00241DB4">
        <w:rPr>
          <w:szCs w:val="26"/>
        </w:rPr>
        <w:t xml:space="preserve">  (</w:t>
      </w:r>
      <w:proofErr w:type="spellStart"/>
      <w:r w:rsidR="00241DB4" w:rsidRPr="002A721D">
        <w:rPr>
          <w:i/>
          <w:iCs/>
          <w:szCs w:val="26"/>
        </w:rPr>
        <w:t>Gastelum</w:t>
      </w:r>
      <w:proofErr w:type="spellEnd"/>
      <w:r w:rsidR="00241DB4">
        <w:rPr>
          <w:szCs w:val="26"/>
        </w:rPr>
        <w:t xml:space="preserve">, </w:t>
      </w:r>
      <w:r w:rsidR="00241DB4" w:rsidRPr="002A721D">
        <w:rPr>
          <w:i/>
          <w:iCs/>
          <w:szCs w:val="26"/>
        </w:rPr>
        <w:t>supra</w:t>
      </w:r>
      <w:r w:rsidR="00241DB4">
        <w:rPr>
          <w:szCs w:val="26"/>
        </w:rPr>
        <w:t xml:space="preserve">, </w:t>
      </w:r>
      <w:r w:rsidR="00241DB4" w:rsidRPr="00241DB4">
        <w:rPr>
          <w:szCs w:val="26"/>
        </w:rPr>
        <w:t xml:space="preserve">244 Cal.App.4th </w:t>
      </w:r>
      <w:r w:rsidR="00241DB4">
        <w:rPr>
          <w:szCs w:val="26"/>
        </w:rPr>
        <w:t>at p.</w:t>
      </w:r>
      <w:r w:rsidR="00241DB4" w:rsidRPr="00241DB4">
        <w:rPr>
          <w:szCs w:val="26"/>
        </w:rPr>
        <w:t xml:space="preserve"> 1022</w:t>
      </w:r>
      <w:r w:rsidR="00241DB4">
        <w:rPr>
          <w:szCs w:val="26"/>
        </w:rPr>
        <w:t>.)</w:t>
      </w:r>
      <w:r w:rsidR="005B66AB">
        <w:rPr>
          <w:szCs w:val="26"/>
        </w:rPr>
        <w:t xml:space="preserve"> </w:t>
      </w:r>
    </w:p>
    <w:p w14:paraId="31E8F70D" w14:textId="423E659B" w:rsidR="006C3D9A" w:rsidRDefault="00DB36B1" w:rsidP="00C5238E">
      <w:pPr>
        <w:keepNext/>
        <w:rPr>
          <w:szCs w:val="26"/>
        </w:rPr>
      </w:pPr>
      <w:r>
        <w:rPr>
          <w:szCs w:val="26"/>
        </w:rPr>
        <w:tab/>
      </w:r>
      <w:r w:rsidR="00A36AA1">
        <w:rPr>
          <w:szCs w:val="26"/>
        </w:rPr>
        <w:t>No statute expressly states that orders under section 1281.97 are appealable, but California courts have concluded</w:t>
      </w:r>
      <w:r w:rsidR="000F2782">
        <w:rPr>
          <w:szCs w:val="26"/>
        </w:rPr>
        <w:t xml:space="preserve"> orders that are the “functional equivalent” of denying a petition </w:t>
      </w:r>
      <w:r w:rsidR="000F2782">
        <w:rPr>
          <w:szCs w:val="26"/>
        </w:rPr>
        <w:lastRenderedPageBreak/>
        <w:t xml:space="preserve">to compel arbitration are appealable under section 1294, subdivision (a).  </w:t>
      </w:r>
      <w:r w:rsidR="008E53D5">
        <w:rPr>
          <w:szCs w:val="26"/>
        </w:rPr>
        <w:t xml:space="preserve">In </w:t>
      </w:r>
      <w:r w:rsidR="008E53D5" w:rsidRPr="008E53D5">
        <w:rPr>
          <w:i/>
          <w:iCs/>
          <w:szCs w:val="26"/>
        </w:rPr>
        <w:t>Henry v. Alcove Investment, Inc.</w:t>
      </w:r>
      <w:r w:rsidR="008E53D5" w:rsidRPr="008E53D5">
        <w:rPr>
          <w:szCs w:val="26"/>
        </w:rPr>
        <w:t xml:space="preserve"> (1991) 233 Cal.App.3d 94, 98 (</w:t>
      </w:r>
      <w:r w:rsidR="008E53D5" w:rsidRPr="008E53D5">
        <w:rPr>
          <w:i/>
          <w:iCs/>
          <w:szCs w:val="26"/>
        </w:rPr>
        <w:t>Henry</w:t>
      </w:r>
      <w:r w:rsidR="008E53D5" w:rsidRPr="008E53D5">
        <w:rPr>
          <w:szCs w:val="26"/>
        </w:rPr>
        <w:t>)</w:t>
      </w:r>
      <w:r w:rsidR="008E53D5">
        <w:rPr>
          <w:szCs w:val="26"/>
        </w:rPr>
        <w:t xml:space="preserve">, the appellate court concluded that </w:t>
      </w:r>
      <w:r w:rsidR="003A2822">
        <w:rPr>
          <w:szCs w:val="26"/>
        </w:rPr>
        <w:t>a</w:t>
      </w:r>
      <w:r w:rsidR="00DB4710">
        <w:rPr>
          <w:szCs w:val="26"/>
        </w:rPr>
        <w:t>n order staying</w:t>
      </w:r>
      <w:r w:rsidR="000813D6">
        <w:rPr>
          <w:szCs w:val="26"/>
        </w:rPr>
        <w:t xml:space="preserve"> arbitration </w:t>
      </w:r>
      <w:r w:rsidR="009D2DE7">
        <w:rPr>
          <w:szCs w:val="26"/>
        </w:rPr>
        <w:t xml:space="preserve">proceedings </w:t>
      </w:r>
      <w:r w:rsidR="000813D6">
        <w:rPr>
          <w:szCs w:val="26"/>
        </w:rPr>
        <w:t xml:space="preserve">under section 1281.2 </w:t>
      </w:r>
      <w:r w:rsidR="000F2782">
        <w:rPr>
          <w:szCs w:val="26"/>
        </w:rPr>
        <w:t xml:space="preserve">of the CAA </w:t>
      </w:r>
      <w:r w:rsidR="008E53D5">
        <w:rPr>
          <w:szCs w:val="26"/>
        </w:rPr>
        <w:t>should be</w:t>
      </w:r>
      <w:r w:rsidR="00F54053">
        <w:rPr>
          <w:szCs w:val="26"/>
        </w:rPr>
        <w:t xml:space="preserve"> treated the same as an order denying a petition to compel arbitration.  </w:t>
      </w:r>
      <w:r w:rsidR="009D2DE7">
        <w:rPr>
          <w:szCs w:val="26"/>
        </w:rPr>
        <w:t>Under section 1281.2, if</w:t>
      </w:r>
      <w:r w:rsidR="005C0F5A" w:rsidRPr="005C0F5A">
        <w:rPr>
          <w:szCs w:val="26"/>
        </w:rPr>
        <w:t xml:space="preserve"> </w:t>
      </w:r>
      <w:r w:rsidR="009E533A">
        <w:rPr>
          <w:szCs w:val="26"/>
        </w:rPr>
        <w:t>a</w:t>
      </w:r>
      <w:r w:rsidR="005C0F5A" w:rsidRPr="005C0F5A">
        <w:rPr>
          <w:szCs w:val="26"/>
        </w:rPr>
        <w:t xml:space="preserve"> court </w:t>
      </w:r>
      <w:r w:rsidR="006562FF">
        <w:rPr>
          <w:szCs w:val="26"/>
        </w:rPr>
        <w:t>determines that a</w:t>
      </w:r>
      <w:r w:rsidR="005C0F5A" w:rsidRPr="005C0F5A">
        <w:rPr>
          <w:szCs w:val="26"/>
        </w:rPr>
        <w:t xml:space="preserve"> party to arbitration is also a party to litigation with a third party and there is a possibility of conflicting rulings on a common issue of law or fact, the court may </w:t>
      </w:r>
      <w:r w:rsidR="006B73E3">
        <w:rPr>
          <w:szCs w:val="26"/>
        </w:rPr>
        <w:t>order</w:t>
      </w:r>
      <w:r w:rsidR="00810212">
        <w:rPr>
          <w:szCs w:val="26"/>
        </w:rPr>
        <w:t xml:space="preserve"> a stay of </w:t>
      </w:r>
      <w:r w:rsidR="005C0F5A" w:rsidRPr="005C0F5A">
        <w:rPr>
          <w:szCs w:val="26"/>
        </w:rPr>
        <w:t xml:space="preserve">arbitration pending the outcome of the court action.  </w:t>
      </w:r>
      <w:r w:rsidR="002258D1">
        <w:rPr>
          <w:szCs w:val="26"/>
        </w:rPr>
        <w:t xml:space="preserve">The </w:t>
      </w:r>
      <w:r w:rsidR="002258D1" w:rsidRPr="002A721D">
        <w:rPr>
          <w:i/>
          <w:iCs/>
          <w:szCs w:val="26"/>
        </w:rPr>
        <w:t>Henry</w:t>
      </w:r>
      <w:r w:rsidR="002258D1">
        <w:rPr>
          <w:szCs w:val="26"/>
        </w:rPr>
        <w:t xml:space="preserve"> court</w:t>
      </w:r>
      <w:r w:rsidR="00466551">
        <w:rPr>
          <w:szCs w:val="26"/>
        </w:rPr>
        <w:t xml:space="preserve"> reasoned, “</w:t>
      </w:r>
      <w:r w:rsidR="00466551" w:rsidRPr="00466551">
        <w:rPr>
          <w:szCs w:val="26"/>
        </w:rPr>
        <w:t xml:space="preserve">an order staying arbitration is the functional equivalent of an order refusing to compel arbitration. </w:t>
      </w:r>
      <w:r w:rsidR="00C817AC">
        <w:rPr>
          <w:szCs w:val="26"/>
        </w:rPr>
        <w:t xml:space="preserve"> </w:t>
      </w:r>
      <w:r w:rsidR="00466551" w:rsidRPr="00466551">
        <w:rPr>
          <w:szCs w:val="26"/>
        </w:rPr>
        <w:t xml:space="preserve">We note the advantages of arbitration include </w:t>
      </w:r>
      <w:r w:rsidR="00C817AC">
        <w:rPr>
          <w:szCs w:val="26"/>
        </w:rPr>
        <w:t>‘</w:t>
      </w:r>
      <w:r w:rsidR="00466551" w:rsidRPr="00466551">
        <w:rPr>
          <w:szCs w:val="26"/>
        </w:rPr>
        <w:t>a presumptively less costly, more expeditious manner of resolving disputes.</w:t>
      </w:r>
      <w:r w:rsidR="00C817AC">
        <w:rPr>
          <w:szCs w:val="26"/>
        </w:rPr>
        <w:t>’  [Citations.]</w:t>
      </w:r>
      <w:r w:rsidR="00466551" w:rsidRPr="00466551">
        <w:rPr>
          <w:szCs w:val="26"/>
        </w:rPr>
        <w:t xml:space="preserve"> </w:t>
      </w:r>
      <w:r w:rsidR="00C817AC">
        <w:rPr>
          <w:szCs w:val="26"/>
        </w:rPr>
        <w:t xml:space="preserve"> </w:t>
      </w:r>
      <w:r w:rsidR="00466551" w:rsidRPr="00466551">
        <w:rPr>
          <w:szCs w:val="26"/>
        </w:rPr>
        <w:t xml:space="preserve">It follows a party to a </w:t>
      </w:r>
      <w:r w:rsidR="00466551" w:rsidRPr="00AB190A">
        <w:rPr>
          <w:i/>
          <w:iCs/>
          <w:szCs w:val="26"/>
        </w:rPr>
        <w:t>valid</w:t>
      </w:r>
      <w:r w:rsidR="00466551" w:rsidRPr="00466551">
        <w:rPr>
          <w:szCs w:val="26"/>
        </w:rPr>
        <w:t xml:space="preserve"> arbitration agreement has a contractual right to have its dispute with another party to the contract resolved quickly and inexpensively. </w:t>
      </w:r>
      <w:r w:rsidR="00A57A4E">
        <w:rPr>
          <w:szCs w:val="26"/>
        </w:rPr>
        <w:t xml:space="preserve"> </w:t>
      </w:r>
      <w:r w:rsidR="00466551" w:rsidRPr="00466551">
        <w:rPr>
          <w:szCs w:val="26"/>
        </w:rPr>
        <w:t xml:space="preserve">An order refusing to compel arbitration, if not reviewed immediately, would significantly delay </w:t>
      </w:r>
      <w:proofErr w:type="gramStart"/>
      <w:r w:rsidR="00466551" w:rsidRPr="00466551">
        <w:rPr>
          <w:szCs w:val="26"/>
        </w:rPr>
        <w:t>arbitration</w:t>
      </w:r>
      <w:proofErr w:type="gramEnd"/>
      <w:r w:rsidR="00466551" w:rsidRPr="00466551">
        <w:rPr>
          <w:szCs w:val="26"/>
        </w:rPr>
        <w:t xml:space="preserve"> and defeat its purpose. </w:t>
      </w:r>
      <w:r w:rsidR="00A57A4E">
        <w:rPr>
          <w:szCs w:val="26"/>
        </w:rPr>
        <w:t xml:space="preserve"> </w:t>
      </w:r>
      <w:r w:rsidR="00466551" w:rsidRPr="00466551">
        <w:rPr>
          <w:szCs w:val="26"/>
        </w:rPr>
        <w:t xml:space="preserve">The order would force the party seeking arbitration to proceed with a potentially lengthy and costly trial and, if dissatisfied with the result, appeal from the final judgment. </w:t>
      </w:r>
      <w:r w:rsidR="00A57A4E">
        <w:rPr>
          <w:szCs w:val="26"/>
        </w:rPr>
        <w:t xml:space="preserve"> [Citation.]  </w:t>
      </w:r>
      <w:r w:rsidR="00466551" w:rsidRPr="00466551">
        <w:rPr>
          <w:szCs w:val="26"/>
        </w:rPr>
        <w:t>By the time the Court of Appeal overturned the trial court</w:t>
      </w:r>
      <w:r w:rsidR="00A57A4E">
        <w:rPr>
          <w:szCs w:val="26"/>
        </w:rPr>
        <w:t>’</w:t>
      </w:r>
      <w:r w:rsidR="00466551" w:rsidRPr="00466551">
        <w:rPr>
          <w:szCs w:val="26"/>
        </w:rPr>
        <w:t xml:space="preserve">s order, the value of the right to arbitrate would be significantly diminished by the delay and expense of litigation. </w:t>
      </w:r>
      <w:r w:rsidR="00A57A4E">
        <w:rPr>
          <w:szCs w:val="26"/>
        </w:rPr>
        <w:t xml:space="preserve"> </w:t>
      </w:r>
      <w:r w:rsidR="00466551" w:rsidRPr="00466551">
        <w:rPr>
          <w:szCs w:val="26"/>
        </w:rPr>
        <w:t>The Legislature</w:t>
      </w:r>
      <w:r w:rsidR="00A57A4E">
        <w:rPr>
          <w:szCs w:val="26"/>
        </w:rPr>
        <w:t>’</w:t>
      </w:r>
      <w:r w:rsidR="00466551" w:rsidRPr="00466551">
        <w:rPr>
          <w:szCs w:val="26"/>
        </w:rPr>
        <w:t xml:space="preserve">s dissatisfaction with this result led it to enact section 1294, subdivision (a) which specifically authorizes an appeal from an order </w:t>
      </w:r>
      <w:r w:rsidR="00F94515">
        <w:rPr>
          <w:szCs w:val="26"/>
        </w:rPr>
        <w:t>‘</w:t>
      </w:r>
      <w:r w:rsidR="00466551" w:rsidRPr="00466551">
        <w:rPr>
          <w:szCs w:val="26"/>
        </w:rPr>
        <w:t>dismissing or denying a petition to compel arbitration</w:t>
      </w:r>
      <w:proofErr w:type="gramStart"/>
      <w:r w:rsidR="00466551" w:rsidRPr="00466551">
        <w:rPr>
          <w:szCs w:val="26"/>
        </w:rPr>
        <w:t>.</w:t>
      </w:r>
      <w:r w:rsidR="00A57A4E">
        <w:rPr>
          <w:szCs w:val="26"/>
        </w:rPr>
        <w:t xml:space="preserve"> </w:t>
      </w:r>
      <w:r w:rsidR="00466551" w:rsidRPr="00466551">
        <w:rPr>
          <w:szCs w:val="26"/>
        </w:rPr>
        <w:t>.</w:t>
      </w:r>
      <w:r w:rsidR="00A57A4E">
        <w:rPr>
          <w:szCs w:val="26"/>
        </w:rPr>
        <w:t xml:space="preserve"> </w:t>
      </w:r>
      <w:r w:rsidR="00466551" w:rsidRPr="00466551">
        <w:rPr>
          <w:szCs w:val="26"/>
        </w:rPr>
        <w:t>.</w:t>
      </w:r>
      <w:r w:rsidR="00A57A4E">
        <w:rPr>
          <w:szCs w:val="26"/>
        </w:rPr>
        <w:t xml:space="preserve"> </w:t>
      </w:r>
      <w:r w:rsidR="00466551" w:rsidRPr="00466551">
        <w:rPr>
          <w:szCs w:val="26"/>
        </w:rPr>
        <w:t>.</w:t>
      </w:r>
      <w:proofErr w:type="gramEnd"/>
      <w:r w:rsidR="00F94515">
        <w:rPr>
          <w:szCs w:val="26"/>
        </w:rPr>
        <w:t>’</w:t>
      </w:r>
      <w:r w:rsidR="00A57A4E">
        <w:rPr>
          <w:szCs w:val="26"/>
        </w:rPr>
        <w:t xml:space="preserve"> </w:t>
      </w:r>
      <w:r w:rsidR="00466551" w:rsidRPr="00466551">
        <w:rPr>
          <w:szCs w:val="26"/>
        </w:rPr>
        <w:t xml:space="preserve"> (Recommendation and Study Relating to Arbitration (Dec.</w:t>
      </w:r>
      <w:r w:rsidR="00224F74">
        <w:rPr>
          <w:szCs w:val="26"/>
        </w:rPr>
        <w:t xml:space="preserve"> </w:t>
      </w:r>
      <w:r w:rsidR="00466551" w:rsidRPr="00466551">
        <w:rPr>
          <w:szCs w:val="26"/>
        </w:rPr>
        <w:t xml:space="preserve">1960) 3 </w:t>
      </w:r>
      <w:proofErr w:type="spellStart"/>
      <w:r w:rsidR="00466551" w:rsidRPr="00466551">
        <w:rPr>
          <w:szCs w:val="26"/>
        </w:rPr>
        <w:t>Cal.Law</w:t>
      </w:r>
      <w:proofErr w:type="spellEnd"/>
      <w:r w:rsidR="00466551" w:rsidRPr="00466551">
        <w:rPr>
          <w:szCs w:val="26"/>
        </w:rPr>
        <w:t xml:space="preserve"> Revision </w:t>
      </w:r>
      <w:proofErr w:type="spellStart"/>
      <w:r w:rsidR="00466551" w:rsidRPr="00466551">
        <w:rPr>
          <w:szCs w:val="26"/>
        </w:rPr>
        <w:t>Com.Rep</w:t>
      </w:r>
      <w:proofErr w:type="spellEnd"/>
      <w:r w:rsidR="00466551" w:rsidRPr="00466551">
        <w:rPr>
          <w:szCs w:val="26"/>
        </w:rPr>
        <w:t>. (1961) G–1, G–60 &amp; fn. 194.)</w:t>
      </w:r>
      <w:r w:rsidR="003A7472">
        <w:rPr>
          <w:szCs w:val="26"/>
        </w:rPr>
        <w:t>”  (</w:t>
      </w:r>
      <w:r w:rsidR="003A7472" w:rsidRPr="002A721D">
        <w:rPr>
          <w:i/>
          <w:iCs/>
          <w:szCs w:val="26"/>
        </w:rPr>
        <w:t>Henry</w:t>
      </w:r>
      <w:r w:rsidR="003A7472">
        <w:rPr>
          <w:szCs w:val="26"/>
        </w:rPr>
        <w:t xml:space="preserve">, </w:t>
      </w:r>
      <w:r w:rsidR="003A7472" w:rsidRPr="002A721D">
        <w:rPr>
          <w:i/>
          <w:iCs/>
          <w:szCs w:val="26"/>
        </w:rPr>
        <w:t>supra</w:t>
      </w:r>
      <w:r w:rsidR="003A7472">
        <w:rPr>
          <w:szCs w:val="26"/>
        </w:rPr>
        <w:t xml:space="preserve">, 233 </w:t>
      </w:r>
      <w:r w:rsidR="003A7472">
        <w:rPr>
          <w:szCs w:val="26"/>
        </w:rPr>
        <w:lastRenderedPageBreak/>
        <w:t>Cal.App.3d</w:t>
      </w:r>
      <w:r w:rsidR="00D829D1">
        <w:rPr>
          <w:szCs w:val="26"/>
        </w:rPr>
        <w:t xml:space="preserve"> at</w:t>
      </w:r>
      <w:r w:rsidR="00466551" w:rsidRPr="00466551">
        <w:rPr>
          <w:szCs w:val="26"/>
        </w:rPr>
        <w:t xml:space="preserve"> </w:t>
      </w:r>
      <w:r w:rsidR="00D829D1">
        <w:rPr>
          <w:szCs w:val="26"/>
        </w:rPr>
        <w:t xml:space="preserve">pp. </w:t>
      </w:r>
      <w:r w:rsidR="00D829D1" w:rsidRPr="00D829D1">
        <w:rPr>
          <w:szCs w:val="26"/>
        </w:rPr>
        <w:t>99–100</w:t>
      </w:r>
      <w:r w:rsidR="00D829D1">
        <w:rPr>
          <w:szCs w:val="26"/>
        </w:rPr>
        <w:t xml:space="preserve">.)  “[An] </w:t>
      </w:r>
      <w:r w:rsidR="00466551" w:rsidRPr="00466551">
        <w:rPr>
          <w:szCs w:val="26"/>
        </w:rPr>
        <w:t>order staying arbitration is merely the flip side of an order refusing to compel arbitration and should be treated the same for purposes of appellate review.</w:t>
      </w:r>
      <w:r w:rsidR="00D829D1">
        <w:rPr>
          <w:szCs w:val="26"/>
        </w:rPr>
        <w:t>”  (</w:t>
      </w:r>
      <w:r w:rsidR="00BA4CA6" w:rsidRPr="002A721D">
        <w:rPr>
          <w:i/>
          <w:iCs/>
          <w:szCs w:val="26"/>
        </w:rPr>
        <w:t>Id</w:t>
      </w:r>
      <w:r w:rsidR="002A1B47" w:rsidRPr="002A721D">
        <w:rPr>
          <w:i/>
          <w:iCs/>
          <w:szCs w:val="26"/>
        </w:rPr>
        <w:t>.</w:t>
      </w:r>
      <w:r w:rsidR="00BA4CA6">
        <w:rPr>
          <w:szCs w:val="26"/>
        </w:rPr>
        <w:t xml:space="preserve"> at p. 100.)</w:t>
      </w:r>
    </w:p>
    <w:p w14:paraId="603C9D97" w14:textId="426B8F70" w:rsidR="00661612" w:rsidRDefault="00A156F8" w:rsidP="007C1B73">
      <w:pPr>
        <w:keepNext/>
        <w:rPr>
          <w:szCs w:val="26"/>
        </w:rPr>
      </w:pPr>
      <w:r>
        <w:rPr>
          <w:szCs w:val="26"/>
        </w:rPr>
        <w:tab/>
        <w:t>An</w:t>
      </w:r>
      <w:r w:rsidR="000F2782">
        <w:rPr>
          <w:szCs w:val="26"/>
        </w:rPr>
        <w:t xml:space="preserve"> interlocutory</w:t>
      </w:r>
      <w:r>
        <w:rPr>
          <w:szCs w:val="26"/>
        </w:rPr>
        <w:t xml:space="preserve"> order </w:t>
      </w:r>
      <w:r w:rsidR="006C3D9A">
        <w:rPr>
          <w:szCs w:val="26"/>
        </w:rPr>
        <w:t>denying a</w:t>
      </w:r>
      <w:r>
        <w:rPr>
          <w:szCs w:val="26"/>
        </w:rPr>
        <w:t xml:space="preserve"> stay </w:t>
      </w:r>
      <w:r w:rsidR="006C3D9A">
        <w:rPr>
          <w:szCs w:val="26"/>
        </w:rPr>
        <w:t xml:space="preserve">of </w:t>
      </w:r>
      <w:r>
        <w:rPr>
          <w:szCs w:val="26"/>
        </w:rPr>
        <w:t>court proceedings</w:t>
      </w:r>
      <w:r w:rsidR="00741E31">
        <w:rPr>
          <w:szCs w:val="26"/>
        </w:rPr>
        <w:t>,</w:t>
      </w:r>
      <w:r w:rsidR="00CC1014">
        <w:rPr>
          <w:szCs w:val="26"/>
        </w:rPr>
        <w:t xml:space="preserve"> however</w:t>
      </w:r>
      <w:r w:rsidR="00E41B2D">
        <w:rPr>
          <w:szCs w:val="26"/>
        </w:rPr>
        <w:t>,</w:t>
      </w:r>
      <w:r w:rsidR="00C84056" w:rsidRPr="00C84056">
        <w:rPr>
          <w:szCs w:val="26"/>
        </w:rPr>
        <w:t xml:space="preserve"> </w:t>
      </w:r>
      <w:r w:rsidR="00CC1014">
        <w:rPr>
          <w:szCs w:val="26"/>
        </w:rPr>
        <w:t>is not an appealable order</w:t>
      </w:r>
      <w:r w:rsidR="00EC690E">
        <w:rPr>
          <w:szCs w:val="26"/>
        </w:rPr>
        <w:t>.</w:t>
      </w:r>
      <w:r w:rsidR="008F151C">
        <w:rPr>
          <w:szCs w:val="26"/>
        </w:rPr>
        <w:t xml:space="preserve"> </w:t>
      </w:r>
      <w:r w:rsidR="001A1965">
        <w:rPr>
          <w:szCs w:val="26"/>
        </w:rPr>
        <w:t xml:space="preserve"> (</w:t>
      </w:r>
      <w:r w:rsidR="001A1965" w:rsidRPr="002A721D">
        <w:rPr>
          <w:i/>
          <w:iCs/>
          <w:szCs w:val="26"/>
        </w:rPr>
        <w:t>Wells Fargo Bank, N.A. v. The Best Service Co., Inc.</w:t>
      </w:r>
      <w:r w:rsidR="001A1965" w:rsidRPr="001A1965">
        <w:rPr>
          <w:szCs w:val="26"/>
        </w:rPr>
        <w:t xml:space="preserve"> (2014) 232 Cal.App.4th 650, 651–652</w:t>
      </w:r>
      <w:r w:rsidR="00BB614E">
        <w:rPr>
          <w:szCs w:val="26"/>
        </w:rPr>
        <w:t xml:space="preserve"> (</w:t>
      </w:r>
      <w:r w:rsidR="00BB614E" w:rsidRPr="002A721D">
        <w:rPr>
          <w:i/>
          <w:iCs/>
          <w:szCs w:val="26"/>
        </w:rPr>
        <w:t>Wells Fargo</w:t>
      </w:r>
      <w:r w:rsidR="00BB614E">
        <w:rPr>
          <w:szCs w:val="26"/>
        </w:rPr>
        <w:t>)</w:t>
      </w:r>
      <w:r w:rsidR="001A1965">
        <w:rPr>
          <w:szCs w:val="26"/>
        </w:rPr>
        <w:t>.)</w:t>
      </w:r>
      <w:r w:rsidR="00F062E4">
        <w:rPr>
          <w:szCs w:val="26"/>
        </w:rPr>
        <w:t xml:space="preserve">  </w:t>
      </w:r>
      <w:r w:rsidR="000F2782">
        <w:rPr>
          <w:szCs w:val="26"/>
        </w:rPr>
        <w:t>D</w:t>
      </w:r>
      <w:r w:rsidR="00863567">
        <w:rPr>
          <w:szCs w:val="26"/>
        </w:rPr>
        <w:t>enying a stay of court proceedings</w:t>
      </w:r>
      <w:r w:rsidR="007969D4">
        <w:rPr>
          <w:szCs w:val="26"/>
        </w:rPr>
        <w:t xml:space="preserve"> </w:t>
      </w:r>
      <w:r w:rsidR="00121953">
        <w:rPr>
          <w:szCs w:val="26"/>
        </w:rPr>
        <w:t xml:space="preserve">is not </w:t>
      </w:r>
      <w:r w:rsidR="00A76FDC">
        <w:rPr>
          <w:szCs w:val="26"/>
        </w:rPr>
        <w:t>the functional equivalent of denying a petition to compel arbitration.</w:t>
      </w:r>
      <w:r w:rsidR="00A109B3" w:rsidRPr="00A109B3">
        <w:t xml:space="preserve"> </w:t>
      </w:r>
      <w:r w:rsidR="00A109B3">
        <w:rPr>
          <w:szCs w:val="26"/>
        </w:rPr>
        <w:t xml:space="preserve"> (</w:t>
      </w:r>
      <w:r w:rsidR="00A109B3" w:rsidRPr="002A721D">
        <w:rPr>
          <w:i/>
          <w:iCs/>
          <w:szCs w:val="26"/>
        </w:rPr>
        <w:t>Id.</w:t>
      </w:r>
      <w:r w:rsidR="00A109B3">
        <w:rPr>
          <w:szCs w:val="26"/>
        </w:rPr>
        <w:t xml:space="preserve"> at p.</w:t>
      </w:r>
      <w:r w:rsidR="00A109B3" w:rsidRPr="00A109B3">
        <w:rPr>
          <w:szCs w:val="26"/>
        </w:rPr>
        <w:t xml:space="preserve"> 654</w:t>
      </w:r>
      <w:r w:rsidR="00A109B3">
        <w:rPr>
          <w:szCs w:val="26"/>
        </w:rPr>
        <w:t>.)</w:t>
      </w:r>
      <w:r w:rsidR="007969D4">
        <w:rPr>
          <w:szCs w:val="26"/>
        </w:rPr>
        <w:t xml:space="preserve">  </w:t>
      </w:r>
      <w:r w:rsidR="0089614D">
        <w:rPr>
          <w:szCs w:val="26"/>
        </w:rPr>
        <w:t>Similarly, a</w:t>
      </w:r>
      <w:r w:rsidR="00B91B49">
        <w:rPr>
          <w:szCs w:val="26"/>
        </w:rPr>
        <w:t xml:space="preserve">n order </w:t>
      </w:r>
      <w:r w:rsidR="000A58DD">
        <w:rPr>
          <w:szCs w:val="26"/>
        </w:rPr>
        <w:t>that simply</w:t>
      </w:r>
      <w:r w:rsidR="0004552D">
        <w:rPr>
          <w:szCs w:val="26"/>
        </w:rPr>
        <w:t xml:space="preserve"> </w:t>
      </w:r>
      <w:r w:rsidR="000A58DD">
        <w:rPr>
          <w:szCs w:val="26"/>
        </w:rPr>
        <w:t>lifts</w:t>
      </w:r>
      <w:r w:rsidR="00B91B49">
        <w:rPr>
          <w:szCs w:val="26"/>
        </w:rPr>
        <w:t xml:space="preserve"> a </w:t>
      </w:r>
      <w:r w:rsidR="00215C57">
        <w:rPr>
          <w:szCs w:val="26"/>
        </w:rPr>
        <w:t xml:space="preserve">stay of litigation </w:t>
      </w:r>
      <w:r w:rsidR="00A25527">
        <w:rPr>
          <w:szCs w:val="26"/>
        </w:rPr>
        <w:t xml:space="preserve">that was </w:t>
      </w:r>
      <w:r w:rsidR="00EA000C">
        <w:rPr>
          <w:szCs w:val="26"/>
        </w:rPr>
        <w:t xml:space="preserve">previously imposed </w:t>
      </w:r>
      <w:r w:rsidR="00215C57">
        <w:rPr>
          <w:szCs w:val="26"/>
        </w:rPr>
        <w:t>under section 1281.4</w:t>
      </w:r>
      <w:r w:rsidR="00ED58AF">
        <w:rPr>
          <w:szCs w:val="26"/>
        </w:rPr>
        <w:t xml:space="preserve"> </w:t>
      </w:r>
      <w:r w:rsidR="00A25527">
        <w:rPr>
          <w:szCs w:val="26"/>
        </w:rPr>
        <w:t xml:space="preserve">pending arbitration </w:t>
      </w:r>
      <w:r w:rsidR="0004552D">
        <w:rPr>
          <w:szCs w:val="26"/>
        </w:rPr>
        <w:t xml:space="preserve">is </w:t>
      </w:r>
      <w:r w:rsidR="007969D4">
        <w:rPr>
          <w:szCs w:val="26"/>
        </w:rPr>
        <w:t>not an appealable order</w:t>
      </w:r>
      <w:r w:rsidR="00876956">
        <w:rPr>
          <w:szCs w:val="26"/>
        </w:rPr>
        <w:t>.</w:t>
      </w:r>
      <w:r w:rsidR="00876956" w:rsidRPr="00876956">
        <w:t xml:space="preserve"> </w:t>
      </w:r>
      <w:r w:rsidR="00876956">
        <w:t xml:space="preserve"> </w:t>
      </w:r>
      <w:bookmarkStart w:id="12" w:name="_Hlk161348542"/>
      <w:r w:rsidR="00876956">
        <w:t>(</w:t>
      </w:r>
      <w:proofErr w:type="spellStart"/>
      <w:r w:rsidR="00876956" w:rsidRPr="002A721D">
        <w:rPr>
          <w:i/>
          <w:iCs/>
        </w:rPr>
        <w:t>Gastelum</w:t>
      </w:r>
      <w:proofErr w:type="spellEnd"/>
      <w:r w:rsidR="009303BB">
        <w:rPr>
          <w:i/>
          <w:iCs/>
        </w:rPr>
        <w:t>, supra,</w:t>
      </w:r>
      <w:r w:rsidR="00876956" w:rsidRPr="00876956">
        <w:t xml:space="preserve"> 244 Cal.App.4th </w:t>
      </w:r>
      <w:r w:rsidR="009303BB">
        <w:t>at p.</w:t>
      </w:r>
      <w:r w:rsidR="00876956" w:rsidRPr="00876956">
        <w:t xml:space="preserve"> 1023</w:t>
      </w:r>
      <w:r w:rsidR="00876956">
        <w:t>.)</w:t>
      </w:r>
      <w:bookmarkEnd w:id="12"/>
      <w:r w:rsidR="004605FB" w:rsidRPr="009D4660">
        <w:rPr>
          <w:rStyle w:val="FootnoteReference"/>
          <w:b/>
          <w:bCs/>
          <w:position w:val="8"/>
          <w:sz w:val="20"/>
          <w:szCs w:val="26"/>
          <w:vertAlign w:val="baseline"/>
        </w:rPr>
        <w:footnoteReference w:id="4"/>
      </w:r>
    </w:p>
    <w:p w14:paraId="396871B0" w14:textId="4DD7213D" w:rsidR="001B0922" w:rsidRDefault="00994F6E" w:rsidP="00015BB4">
      <w:pPr>
        <w:keepNext/>
        <w:rPr>
          <w:szCs w:val="26"/>
        </w:rPr>
      </w:pPr>
      <w:r>
        <w:rPr>
          <w:szCs w:val="26"/>
        </w:rPr>
        <w:tab/>
      </w:r>
      <w:r w:rsidR="00A20A57">
        <w:rPr>
          <w:szCs w:val="26"/>
        </w:rPr>
        <w:t>Courts have</w:t>
      </w:r>
      <w:r w:rsidR="00C667C0">
        <w:rPr>
          <w:szCs w:val="26"/>
        </w:rPr>
        <w:t xml:space="preserve"> </w:t>
      </w:r>
      <w:r w:rsidR="00C5041F">
        <w:rPr>
          <w:szCs w:val="26"/>
        </w:rPr>
        <w:t>concluded</w:t>
      </w:r>
      <w:r w:rsidR="0009128E">
        <w:t xml:space="preserve"> </w:t>
      </w:r>
      <w:r w:rsidR="00F30F23">
        <w:t xml:space="preserve">that </w:t>
      </w:r>
      <w:r w:rsidR="003D4A5F">
        <w:rPr>
          <w:szCs w:val="26"/>
        </w:rPr>
        <w:t>an order under section 1281.97</w:t>
      </w:r>
      <w:r w:rsidR="00586362">
        <w:rPr>
          <w:szCs w:val="26"/>
        </w:rPr>
        <w:t xml:space="preserve"> </w:t>
      </w:r>
      <w:r w:rsidR="003D4A5F">
        <w:rPr>
          <w:szCs w:val="26"/>
        </w:rPr>
        <w:t>is</w:t>
      </w:r>
      <w:r w:rsidR="00B551DF">
        <w:rPr>
          <w:szCs w:val="26"/>
        </w:rPr>
        <w:t xml:space="preserve"> </w:t>
      </w:r>
      <w:r w:rsidR="0068521F">
        <w:rPr>
          <w:szCs w:val="26"/>
        </w:rPr>
        <w:t xml:space="preserve">the functional equivalent of denying a petition to compel arbitration, and therefore, </w:t>
      </w:r>
      <w:r w:rsidR="003D4A5F">
        <w:rPr>
          <w:szCs w:val="26"/>
        </w:rPr>
        <w:t xml:space="preserve">appealable. </w:t>
      </w:r>
      <w:r w:rsidR="004F4012">
        <w:rPr>
          <w:szCs w:val="26"/>
        </w:rPr>
        <w:t xml:space="preserve"> (</w:t>
      </w:r>
      <w:r w:rsidR="004F4012" w:rsidRPr="004F4012">
        <w:rPr>
          <w:i/>
          <w:iCs/>
          <w:szCs w:val="26"/>
        </w:rPr>
        <w:t>Williams, supra</w:t>
      </w:r>
      <w:r w:rsidR="004F4012" w:rsidRPr="005C6EFE">
        <w:rPr>
          <w:szCs w:val="26"/>
        </w:rPr>
        <w:t xml:space="preserve">, </w:t>
      </w:r>
      <w:r w:rsidR="004F4012" w:rsidRPr="004F4012">
        <w:rPr>
          <w:szCs w:val="26"/>
        </w:rPr>
        <w:t>86 Cal.App.5th at p. 1065</w:t>
      </w:r>
      <w:r w:rsidR="00463803">
        <w:rPr>
          <w:szCs w:val="26"/>
        </w:rPr>
        <w:t xml:space="preserve">; </w:t>
      </w:r>
      <w:r w:rsidR="00463803" w:rsidRPr="00C44E1D">
        <w:rPr>
          <w:i/>
          <w:iCs/>
          <w:szCs w:val="26"/>
        </w:rPr>
        <w:t>Gallo</w:t>
      </w:r>
      <w:r w:rsidR="00463803">
        <w:rPr>
          <w:szCs w:val="26"/>
        </w:rPr>
        <w:t xml:space="preserve">, </w:t>
      </w:r>
      <w:r w:rsidR="00463803" w:rsidRPr="00C44E1D">
        <w:rPr>
          <w:i/>
          <w:iCs/>
          <w:szCs w:val="26"/>
        </w:rPr>
        <w:t>supra</w:t>
      </w:r>
      <w:r w:rsidR="00463803">
        <w:rPr>
          <w:szCs w:val="26"/>
        </w:rPr>
        <w:t>, 81 Cal.App.5th at p. 633</w:t>
      </w:r>
      <w:r w:rsidR="004F4012">
        <w:rPr>
          <w:szCs w:val="26"/>
        </w:rPr>
        <w:t xml:space="preserve">.) </w:t>
      </w:r>
      <w:r w:rsidR="003D4A5F">
        <w:rPr>
          <w:szCs w:val="26"/>
        </w:rPr>
        <w:t xml:space="preserve"> </w:t>
      </w:r>
      <w:r w:rsidR="00FB2A5A" w:rsidRPr="00FB2A5A">
        <w:rPr>
          <w:szCs w:val="26"/>
        </w:rPr>
        <w:t xml:space="preserve">We agree with </w:t>
      </w:r>
      <w:r w:rsidR="00FB2A5A" w:rsidRPr="00FB2A5A">
        <w:rPr>
          <w:i/>
          <w:iCs/>
          <w:szCs w:val="26"/>
        </w:rPr>
        <w:t>Williams</w:t>
      </w:r>
      <w:r w:rsidR="00FB2A5A" w:rsidRPr="00FB2A5A">
        <w:rPr>
          <w:szCs w:val="26"/>
        </w:rPr>
        <w:t xml:space="preserve"> and </w:t>
      </w:r>
      <w:r w:rsidR="00FB2A5A" w:rsidRPr="00FB2A5A">
        <w:rPr>
          <w:i/>
          <w:iCs/>
          <w:szCs w:val="26"/>
        </w:rPr>
        <w:t>Gallo</w:t>
      </w:r>
      <w:r w:rsidR="00FB2A5A" w:rsidRPr="00FB2A5A">
        <w:rPr>
          <w:szCs w:val="26"/>
        </w:rPr>
        <w:t xml:space="preserve"> on </w:t>
      </w:r>
      <w:r w:rsidR="00FB2A5A">
        <w:rPr>
          <w:szCs w:val="26"/>
        </w:rPr>
        <w:t>this point</w:t>
      </w:r>
      <w:r w:rsidR="00FB2A5A" w:rsidRPr="00FB2A5A">
        <w:rPr>
          <w:szCs w:val="26"/>
        </w:rPr>
        <w:t xml:space="preserve">.  An order under section 1281.97 finding the drafting party materially breached the arbitration agreement, allowing the employee or consumer to withdraw a claim from arbitration and proceed in court, is not </w:t>
      </w:r>
      <w:r w:rsidR="00FB2A5A" w:rsidRPr="00FB2A5A">
        <w:rPr>
          <w:szCs w:val="26"/>
        </w:rPr>
        <w:lastRenderedPageBreak/>
        <w:t xml:space="preserve">simply an order lifting a stay of court proceedings.  </w:t>
      </w:r>
      <w:r w:rsidR="003D4A5F">
        <w:rPr>
          <w:szCs w:val="26"/>
        </w:rPr>
        <w:t>A</w:t>
      </w:r>
      <w:r w:rsidR="0009128E" w:rsidRPr="0009128E">
        <w:rPr>
          <w:szCs w:val="26"/>
        </w:rPr>
        <w:t xml:space="preserve">n order </w:t>
      </w:r>
      <w:r w:rsidR="00E80A8E">
        <w:rPr>
          <w:szCs w:val="26"/>
        </w:rPr>
        <w:t xml:space="preserve">under section 1281.97 </w:t>
      </w:r>
      <w:r w:rsidR="0009128E" w:rsidRPr="0009128E">
        <w:rPr>
          <w:szCs w:val="26"/>
        </w:rPr>
        <w:t xml:space="preserve">finding </w:t>
      </w:r>
      <w:r w:rsidR="00AC6A27">
        <w:rPr>
          <w:szCs w:val="26"/>
        </w:rPr>
        <w:t>a</w:t>
      </w:r>
      <w:r w:rsidR="00AC6A27" w:rsidRPr="0009128E">
        <w:rPr>
          <w:szCs w:val="26"/>
        </w:rPr>
        <w:t xml:space="preserve"> </w:t>
      </w:r>
      <w:r w:rsidR="0009128E" w:rsidRPr="0009128E">
        <w:rPr>
          <w:szCs w:val="26"/>
        </w:rPr>
        <w:t>defendant materially breached the arbitration agreement and waived the right to arbitrate operate</w:t>
      </w:r>
      <w:r w:rsidR="009A7750">
        <w:rPr>
          <w:szCs w:val="26"/>
        </w:rPr>
        <w:t>s</w:t>
      </w:r>
      <w:r w:rsidR="0009128E" w:rsidRPr="0009128E">
        <w:rPr>
          <w:szCs w:val="26"/>
        </w:rPr>
        <w:t xml:space="preserve"> as a complete defense to enforcement of the parties’ arbitration agreement, which </w:t>
      </w:r>
      <w:r w:rsidR="009A7750">
        <w:rPr>
          <w:szCs w:val="26"/>
        </w:rPr>
        <w:t>is</w:t>
      </w:r>
      <w:r w:rsidR="0009128E" w:rsidRPr="0009128E">
        <w:rPr>
          <w:szCs w:val="26"/>
        </w:rPr>
        <w:t xml:space="preserve"> the functional equivalent of an order denying a petition to compel arbitration. </w:t>
      </w:r>
      <w:r w:rsidR="0009128E">
        <w:rPr>
          <w:szCs w:val="26"/>
        </w:rPr>
        <w:t xml:space="preserve"> </w:t>
      </w:r>
      <w:r w:rsidR="003D4A5F">
        <w:rPr>
          <w:szCs w:val="26"/>
        </w:rPr>
        <w:t>(</w:t>
      </w:r>
      <w:r w:rsidR="00015BB4" w:rsidRPr="004F4012">
        <w:rPr>
          <w:i/>
          <w:iCs/>
          <w:szCs w:val="26"/>
        </w:rPr>
        <w:t>Williams, supra</w:t>
      </w:r>
      <w:r w:rsidR="00015BB4" w:rsidRPr="005C6EFE">
        <w:rPr>
          <w:szCs w:val="26"/>
        </w:rPr>
        <w:t xml:space="preserve">, </w:t>
      </w:r>
      <w:r w:rsidR="00015BB4" w:rsidRPr="004F4012">
        <w:rPr>
          <w:szCs w:val="26"/>
        </w:rPr>
        <w:t>86 Cal.App.5th at p. 1065</w:t>
      </w:r>
      <w:r w:rsidR="00842B43">
        <w:rPr>
          <w:szCs w:val="26"/>
        </w:rPr>
        <w:t>.</w:t>
      </w:r>
      <w:r w:rsidR="003D4A5F">
        <w:rPr>
          <w:szCs w:val="26"/>
        </w:rPr>
        <w:t>)</w:t>
      </w:r>
      <w:r w:rsidR="00E3057C">
        <w:rPr>
          <w:szCs w:val="26"/>
        </w:rPr>
        <w:t xml:space="preserve"> </w:t>
      </w:r>
      <w:r w:rsidR="001808EE" w:rsidRPr="001808EE">
        <w:t xml:space="preserve"> </w:t>
      </w:r>
      <w:bookmarkStart w:id="13" w:name="_Hlk161402005"/>
      <w:r w:rsidR="00190E5D">
        <w:rPr>
          <w:szCs w:val="26"/>
        </w:rPr>
        <w:t xml:space="preserve">If not reviewed immediately, </w:t>
      </w:r>
      <w:r w:rsidR="00BF1F48">
        <w:rPr>
          <w:szCs w:val="26"/>
        </w:rPr>
        <w:t xml:space="preserve">the order will significantly delay arbitration </w:t>
      </w:r>
      <w:r w:rsidR="00FC08B2">
        <w:rPr>
          <w:szCs w:val="26"/>
        </w:rPr>
        <w:t>and defeat its purpose</w:t>
      </w:r>
      <w:r w:rsidR="00C602A9">
        <w:rPr>
          <w:szCs w:val="26"/>
        </w:rPr>
        <w:t xml:space="preserve"> by forcing</w:t>
      </w:r>
      <w:r w:rsidR="006A0254" w:rsidRPr="006A0254">
        <w:rPr>
          <w:szCs w:val="26"/>
        </w:rPr>
        <w:t xml:space="preserve"> the party </w:t>
      </w:r>
      <w:r w:rsidR="006A0254">
        <w:rPr>
          <w:szCs w:val="26"/>
        </w:rPr>
        <w:t>desiring</w:t>
      </w:r>
      <w:r w:rsidR="006A0254" w:rsidRPr="006A0254">
        <w:rPr>
          <w:szCs w:val="26"/>
        </w:rPr>
        <w:t xml:space="preserve"> arbitration to </w:t>
      </w:r>
      <w:r w:rsidR="00BC35D1">
        <w:rPr>
          <w:szCs w:val="26"/>
        </w:rPr>
        <w:t>conduct a</w:t>
      </w:r>
      <w:r w:rsidR="006A0254" w:rsidRPr="006A0254">
        <w:rPr>
          <w:szCs w:val="26"/>
        </w:rPr>
        <w:t xml:space="preserve"> potentially lengthy</w:t>
      </w:r>
      <w:r w:rsidR="00C602A9">
        <w:rPr>
          <w:szCs w:val="26"/>
        </w:rPr>
        <w:t>,</w:t>
      </w:r>
      <w:r w:rsidR="006A0254" w:rsidRPr="006A0254">
        <w:rPr>
          <w:szCs w:val="26"/>
        </w:rPr>
        <w:t xml:space="preserve"> costly trial</w:t>
      </w:r>
      <w:r w:rsidR="00C602A9">
        <w:rPr>
          <w:szCs w:val="26"/>
        </w:rPr>
        <w:t xml:space="preserve">, </w:t>
      </w:r>
      <w:r w:rsidR="00CD48C8">
        <w:rPr>
          <w:szCs w:val="26"/>
        </w:rPr>
        <w:t xml:space="preserve">and </w:t>
      </w:r>
      <w:r w:rsidR="006017F6">
        <w:rPr>
          <w:szCs w:val="26"/>
        </w:rPr>
        <w:t xml:space="preserve">to </w:t>
      </w:r>
      <w:r w:rsidR="006A0254" w:rsidRPr="006A0254">
        <w:rPr>
          <w:szCs w:val="26"/>
        </w:rPr>
        <w:t xml:space="preserve">appeal from the final judgment.  By the time the </w:t>
      </w:r>
      <w:r w:rsidR="006A0254">
        <w:rPr>
          <w:szCs w:val="26"/>
        </w:rPr>
        <w:t xml:space="preserve">appellate court </w:t>
      </w:r>
      <w:r w:rsidR="006B1D4F">
        <w:rPr>
          <w:szCs w:val="26"/>
        </w:rPr>
        <w:t>overturns the order</w:t>
      </w:r>
      <w:r w:rsidR="00A06977">
        <w:rPr>
          <w:szCs w:val="26"/>
        </w:rPr>
        <w:t xml:space="preserve">, </w:t>
      </w:r>
      <w:r w:rsidR="006A0254" w:rsidRPr="006A0254">
        <w:rPr>
          <w:szCs w:val="26"/>
        </w:rPr>
        <w:t xml:space="preserve">the value of the right to arbitrate would be significantly diminished by the delay and expense of litigation.  </w:t>
      </w:r>
    </w:p>
    <w:p w14:paraId="31C64853" w14:textId="4C4E5CC3" w:rsidR="00C007F5" w:rsidRDefault="001B0922" w:rsidP="00C5238E">
      <w:pPr>
        <w:keepNext/>
        <w:rPr>
          <w:szCs w:val="26"/>
        </w:rPr>
      </w:pPr>
      <w:r>
        <w:rPr>
          <w:szCs w:val="26"/>
        </w:rPr>
        <w:tab/>
      </w:r>
      <w:bookmarkEnd w:id="13"/>
      <w:r w:rsidR="00573A92">
        <w:rPr>
          <w:szCs w:val="26"/>
        </w:rPr>
        <w:t xml:space="preserve">Principles of statutory construction support our conclusion.  </w:t>
      </w:r>
      <w:r w:rsidR="00E843C7">
        <w:rPr>
          <w:szCs w:val="26"/>
        </w:rPr>
        <w:t>“</w:t>
      </w:r>
      <w:r w:rsidR="00573A92">
        <w:rPr>
          <w:szCs w:val="26"/>
        </w:rPr>
        <w:t>[T]</w:t>
      </w:r>
      <w:r w:rsidR="00E843C7" w:rsidRPr="00E843C7">
        <w:rPr>
          <w:szCs w:val="26"/>
        </w:rPr>
        <w:t xml:space="preserve">he Legislature is deemed to be aware of existing laws and judicial decisions in effect at the time legislation is enacted and to have enacted and amended statutes </w:t>
      </w:r>
      <w:proofErr w:type="gramStart"/>
      <w:r w:rsidR="00C56CFF">
        <w:rPr>
          <w:szCs w:val="26"/>
        </w:rPr>
        <w:t>‘</w:t>
      </w:r>
      <w:r w:rsidR="008D17FE">
        <w:rPr>
          <w:szCs w:val="26"/>
        </w:rPr>
        <w:t> </w:t>
      </w:r>
      <w:r w:rsidR="00E843C7" w:rsidRPr="00E843C7">
        <w:rPr>
          <w:szCs w:val="26"/>
        </w:rPr>
        <w:t>“</w:t>
      </w:r>
      <w:proofErr w:type="gramEnd"/>
      <w:r w:rsidR="00E843C7" w:rsidRPr="00E843C7">
        <w:rPr>
          <w:szCs w:val="26"/>
        </w:rPr>
        <w:t>in the light of such decisions as have a direct bearing upon them.</w:t>
      </w:r>
      <w:r w:rsidR="00C56CFF">
        <w:rPr>
          <w:szCs w:val="26"/>
        </w:rPr>
        <w:t>”</w:t>
      </w:r>
      <w:r w:rsidR="008D17FE">
        <w:rPr>
          <w:szCs w:val="26"/>
        </w:rPr>
        <w:t> </w:t>
      </w:r>
      <w:r w:rsidR="00E843C7" w:rsidRPr="00E843C7">
        <w:rPr>
          <w:szCs w:val="26"/>
        </w:rPr>
        <w:t xml:space="preserve">’  </w:t>
      </w:r>
      <w:r w:rsidR="00DA4185">
        <w:rPr>
          <w:szCs w:val="26"/>
        </w:rPr>
        <w:t>[Citations.]</w:t>
      </w:r>
      <w:r w:rsidR="004F7FF0">
        <w:rPr>
          <w:szCs w:val="26"/>
        </w:rPr>
        <w:t>”  (</w:t>
      </w:r>
      <w:r w:rsidR="00E843C7" w:rsidRPr="002A721D">
        <w:rPr>
          <w:i/>
          <w:iCs/>
          <w:szCs w:val="26"/>
        </w:rPr>
        <w:t xml:space="preserve">People v. Overstreet </w:t>
      </w:r>
      <w:r w:rsidR="00E843C7" w:rsidRPr="00E843C7">
        <w:rPr>
          <w:szCs w:val="26"/>
        </w:rPr>
        <w:t>(1986) 42 Cal.3d 891, 897</w:t>
      </w:r>
      <w:r w:rsidR="004F7FF0">
        <w:rPr>
          <w:szCs w:val="26"/>
        </w:rPr>
        <w:t>.)</w:t>
      </w:r>
      <w:r w:rsidR="00513D01">
        <w:rPr>
          <w:szCs w:val="26"/>
        </w:rPr>
        <w:t xml:space="preserve"> </w:t>
      </w:r>
      <w:r w:rsidR="0018590A" w:rsidRPr="0018590A">
        <w:t xml:space="preserve"> </w:t>
      </w:r>
      <w:proofErr w:type="gramStart"/>
      <w:r w:rsidR="0018590A" w:rsidRPr="0018590A">
        <w:rPr>
          <w:szCs w:val="26"/>
        </w:rPr>
        <w:t>“</w:t>
      </w:r>
      <w:r w:rsidR="008D17FE">
        <w:rPr>
          <w:szCs w:val="26"/>
        </w:rPr>
        <w:t> </w:t>
      </w:r>
      <w:r w:rsidR="0018590A" w:rsidRPr="0018590A">
        <w:rPr>
          <w:szCs w:val="26"/>
        </w:rPr>
        <w:t>‘</w:t>
      </w:r>
      <w:proofErr w:type="gramEnd"/>
      <w:r w:rsidR="0018590A" w:rsidRPr="0018590A">
        <w:rPr>
          <w:szCs w:val="26"/>
        </w:rPr>
        <w:t>[W]hen the Legislature amends a statute without changing those portions .</w:t>
      </w:r>
      <w:r w:rsidR="0018590A">
        <w:rPr>
          <w:szCs w:val="26"/>
        </w:rPr>
        <w:t xml:space="preserve"> </w:t>
      </w:r>
      <w:r w:rsidR="0018590A" w:rsidRPr="0018590A">
        <w:rPr>
          <w:szCs w:val="26"/>
        </w:rPr>
        <w:t>.</w:t>
      </w:r>
      <w:r w:rsidR="0018590A">
        <w:rPr>
          <w:szCs w:val="26"/>
        </w:rPr>
        <w:t xml:space="preserve"> </w:t>
      </w:r>
      <w:r w:rsidR="0018590A" w:rsidRPr="0018590A">
        <w:rPr>
          <w:szCs w:val="26"/>
        </w:rPr>
        <w:t xml:space="preserve">. that have previously been construed by the courts, the Legislature is presumed to have known of and to have acquiesced in the previous judicial construction.’ </w:t>
      </w:r>
      <w:r w:rsidR="0018590A">
        <w:rPr>
          <w:szCs w:val="26"/>
        </w:rPr>
        <w:t xml:space="preserve"> </w:t>
      </w:r>
      <w:r w:rsidR="0018590A" w:rsidRPr="0018590A">
        <w:rPr>
          <w:szCs w:val="26"/>
        </w:rPr>
        <w:t xml:space="preserve">[Citations.]” </w:t>
      </w:r>
      <w:r w:rsidR="0018590A">
        <w:rPr>
          <w:szCs w:val="26"/>
        </w:rPr>
        <w:t xml:space="preserve"> </w:t>
      </w:r>
      <w:r w:rsidR="0018590A" w:rsidRPr="0018590A">
        <w:rPr>
          <w:szCs w:val="26"/>
        </w:rPr>
        <w:t>(</w:t>
      </w:r>
      <w:r w:rsidR="0018590A" w:rsidRPr="009A07C5">
        <w:rPr>
          <w:i/>
          <w:iCs/>
          <w:szCs w:val="26"/>
        </w:rPr>
        <w:t>People v. Atkins</w:t>
      </w:r>
      <w:r w:rsidR="0018590A" w:rsidRPr="0018590A">
        <w:rPr>
          <w:szCs w:val="26"/>
        </w:rPr>
        <w:t xml:space="preserve"> (2001) 25 Cal.4th 76, 89–90.)</w:t>
      </w:r>
    </w:p>
    <w:p w14:paraId="270E24A7" w14:textId="044CE40B" w:rsidR="001C2E4D" w:rsidRDefault="008E4479" w:rsidP="008B023A">
      <w:pPr>
        <w:keepNext/>
        <w:rPr>
          <w:szCs w:val="26"/>
        </w:rPr>
      </w:pPr>
      <w:r>
        <w:rPr>
          <w:szCs w:val="26"/>
        </w:rPr>
        <w:tab/>
      </w:r>
      <w:r w:rsidR="008B023A">
        <w:rPr>
          <w:szCs w:val="26"/>
        </w:rPr>
        <w:t>The</w:t>
      </w:r>
      <w:r w:rsidR="0039787D">
        <w:rPr>
          <w:szCs w:val="26"/>
        </w:rPr>
        <w:t xml:space="preserve"> Legislature was </w:t>
      </w:r>
      <w:r w:rsidR="00DC787F">
        <w:rPr>
          <w:szCs w:val="26"/>
        </w:rPr>
        <w:t xml:space="preserve">presumably aware </w:t>
      </w:r>
      <w:r w:rsidR="00D33A3F">
        <w:rPr>
          <w:szCs w:val="26"/>
        </w:rPr>
        <w:t xml:space="preserve">of </w:t>
      </w:r>
      <w:r w:rsidR="008B023A">
        <w:rPr>
          <w:szCs w:val="26"/>
        </w:rPr>
        <w:t xml:space="preserve">the </w:t>
      </w:r>
      <w:r w:rsidR="009A76AE">
        <w:rPr>
          <w:szCs w:val="26"/>
        </w:rPr>
        <w:t xml:space="preserve">case </w:t>
      </w:r>
      <w:r w:rsidR="000F5DB8">
        <w:rPr>
          <w:szCs w:val="26"/>
        </w:rPr>
        <w:t xml:space="preserve">law </w:t>
      </w:r>
      <w:r w:rsidR="00FE3C61">
        <w:rPr>
          <w:szCs w:val="26"/>
        </w:rPr>
        <w:t>construing</w:t>
      </w:r>
      <w:r w:rsidR="00803590">
        <w:rPr>
          <w:szCs w:val="26"/>
        </w:rPr>
        <w:t xml:space="preserve"> </w:t>
      </w:r>
      <w:r w:rsidR="00C94F9E">
        <w:rPr>
          <w:szCs w:val="26"/>
        </w:rPr>
        <w:t xml:space="preserve">orders </w:t>
      </w:r>
      <w:r w:rsidR="00FE3C61">
        <w:rPr>
          <w:szCs w:val="26"/>
        </w:rPr>
        <w:t>that</w:t>
      </w:r>
      <w:r w:rsidR="0039787D">
        <w:rPr>
          <w:szCs w:val="26"/>
        </w:rPr>
        <w:t xml:space="preserve"> are</w:t>
      </w:r>
      <w:r w:rsidR="00803590">
        <w:rPr>
          <w:szCs w:val="26"/>
        </w:rPr>
        <w:t xml:space="preserve"> </w:t>
      </w:r>
      <w:r w:rsidR="008F408B">
        <w:rPr>
          <w:szCs w:val="26"/>
        </w:rPr>
        <w:t>functionally equivalent to denying a motion to compel arbitration</w:t>
      </w:r>
      <w:r w:rsidR="000F5DB8">
        <w:rPr>
          <w:szCs w:val="26"/>
        </w:rPr>
        <w:t xml:space="preserve"> </w:t>
      </w:r>
      <w:r w:rsidR="00FE3C61">
        <w:rPr>
          <w:szCs w:val="26"/>
        </w:rPr>
        <w:t>to be</w:t>
      </w:r>
      <w:r w:rsidR="00AB7D28">
        <w:rPr>
          <w:szCs w:val="26"/>
        </w:rPr>
        <w:t xml:space="preserve"> </w:t>
      </w:r>
      <w:r w:rsidR="000F5DB8">
        <w:rPr>
          <w:szCs w:val="26"/>
        </w:rPr>
        <w:t>appealable</w:t>
      </w:r>
      <w:r w:rsidR="00AC1202">
        <w:rPr>
          <w:szCs w:val="26"/>
        </w:rPr>
        <w:t>, but the</w:t>
      </w:r>
      <w:r w:rsidR="005866F4">
        <w:rPr>
          <w:szCs w:val="26"/>
        </w:rPr>
        <w:t xml:space="preserve"> Legislature </w:t>
      </w:r>
      <w:r w:rsidR="00A362DA">
        <w:rPr>
          <w:szCs w:val="26"/>
        </w:rPr>
        <w:t xml:space="preserve">did not include any </w:t>
      </w:r>
      <w:r w:rsidR="00794C93">
        <w:rPr>
          <w:szCs w:val="26"/>
        </w:rPr>
        <w:t xml:space="preserve">language </w:t>
      </w:r>
      <w:r w:rsidR="00310362">
        <w:rPr>
          <w:szCs w:val="26"/>
        </w:rPr>
        <w:t xml:space="preserve">to alter </w:t>
      </w:r>
      <w:r w:rsidR="00A6568B">
        <w:rPr>
          <w:szCs w:val="26"/>
        </w:rPr>
        <w:t>the existing</w:t>
      </w:r>
      <w:r w:rsidR="006B68BC">
        <w:rPr>
          <w:szCs w:val="26"/>
        </w:rPr>
        <w:t xml:space="preserve"> </w:t>
      </w:r>
      <w:r w:rsidR="00C34D35">
        <w:rPr>
          <w:szCs w:val="26"/>
        </w:rPr>
        <w:t xml:space="preserve">law </w:t>
      </w:r>
      <w:r w:rsidR="00E503F4">
        <w:rPr>
          <w:szCs w:val="26"/>
        </w:rPr>
        <w:t>or address appealability</w:t>
      </w:r>
      <w:r w:rsidR="008B023A">
        <w:rPr>
          <w:szCs w:val="26"/>
        </w:rPr>
        <w:t xml:space="preserve"> when it enacted section 1281.97</w:t>
      </w:r>
      <w:r w:rsidR="00794C93">
        <w:rPr>
          <w:szCs w:val="26"/>
        </w:rPr>
        <w:t>.</w:t>
      </w:r>
      <w:r w:rsidR="008B023A">
        <w:rPr>
          <w:szCs w:val="26"/>
        </w:rPr>
        <w:t xml:space="preserve">  </w:t>
      </w:r>
      <w:r w:rsidR="005728F0">
        <w:rPr>
          <w:szCs w:val="26"/>
        </w:rPr>
        <w:t xml:space="preserve">Moreover, after </w:t>
      </w:r>
      <w:r w:rsidR="00D55C92" w:rsidRPr="002A721D">
        <w:rPr>
          <w:i/>
          <w:iCs/>
          <w:szCs w:val="26"/>
        </w:rPr>
        <w:t>Williams</w:t>
      </w:r>
      <w:r w:rsidR="00D55C92">
        <w:rPr>
          <w:szCs w:val="26"/>
        </w:rPr>
        <w:t xml:space="preserve"> and </w:t>
      </w:r>
      <w:r w:rsidR="00D55C92" w:rsidRPr="002A721D">
        <w:rPr>
          <w:i/>
          <w:iCs/>
          <w:szCs w:val="26"/>
        </w:rPr>
        <w:t>Gallo</w:t>
      </w:r>
      <w:r w:rsidR="00AB1C8A">
        <w:rPr>
          <w:szCs w:val="26"/>
        </w:rPr>
        <w:t xml:space="preserve"> </w:t>
      </w:r>
      <w:r w:rsidR="004B3ABC">
        <w:rPr>
          <w:szCs w:val="26"/>
        </w:rPr>
        <w:t>held</w:t>
      </w:r>
      <w:r w:rsidR="00775A10">
        <w:rPr>
          <w:szCs w:val="26"/>
        </w:rPr>
        <w:t xml:space="preserve"> </w:t>
      </w:r>
      <w:r w:rsidR="009F349A">
        <w:rPr>
          <w:szCs w:val="26"/>
        </w:rPr>
        <w:t xml:space="preserve">that </w:t>
      </w:r>
      <w:r w:rsidR="00CB652E">
        <w:rPr>
          <w:szCs w:val="26"/>
        </w:rPr>
        <w:t>order</w:t>
      </w:r>
      <w:r w:rsidR="00DC4F57">
        <w:rPr>
          <w:szCs w:val="26"/>
        </w:rPr>
        <w:t>s</w:t>
      </w:r>
      <w:r w:rsidR="00AB1C8A">
        <w:rPr>
          <w:szCs w:val="26"/>
        </w:rPr>
        <w:t xml:space="preserve"> under </w:t>
      </w:r>
      <w:r w:rsidR="00AB1C8A">
        <w:rPr>
          <w:szCs w:val="26"/>
        </w:rPr>
        <w:lastRenderedPageBreak/>
        <w:t xml:space="preserve">section 1281.97 </w:t>
      </w:r>
      <w:r w:rsidR="00310362">
        <w:rPr>
          <w:szCs w:val="26"/>
        </w:rPr>
        <w:t xml:space="preserve">are </w:t>
      </w:r>
      <w:r w:rsidR="00715007">
        <w:rPr>
          <w:szCs w:val="26"/>
        </w:rPr>
        <w:t>appealable</w:t>
      </w:r>
      <w:r w:rsidR="00591452">
        <w:rPr>
          <w:szCs w:val="26"/>
        </w:rPr>
        <w:t xml:space="preserve"> </w:t>
      </w:r>
      <w:r w:rsidR="005728F0">
        <w:rPr>
          <w:szCs w:val="26"/>
        </w:rPr>
        <w:t>as</w:t>
      </w:r>
      <w:r w:rsidR="00591452">
        <w:rPr>
          <w:szCs w:val="26"/>
        </w:rPr>
        <w:t xml:space="preserve"> the functional equivalent of an order denying a motion to compel arbitration</w:t>
      </w:r>
      <w:r w:rsidR="005728F0">
        <w:rPr>
          <w:szCs w:val="26"/>
        </w:rPr>
        <w:t xml:space="preserve">, </w:t>
      </w:r>
      <w:r w:rsidR="00715007">
        <w:rPr>
          <w:szCs w:val="26"/>
        </w:rPr>
        <w:t xml:space="preserve">the </w:t>
      </w:r>
      <w:r w:rsidR="008578FF">
        <w:rPr>
          <w:szCs w:val="26"/>
        </w:rPr>
        <w:t xml:space="preserve">Legislature </w:t>
      </w:r>
      <w:r w:rsidR="00715007">
        <w:rPr>
          <w:szCs w:val="26"/>
        </w:rPr>
        <w:t xml:space="preserve">amended </w:t>
      </w:r>
      <w:r w:rsidR="00BB771A" w:rsidRPr="00BB771A">
        <w:rPr>
          <w:szCs w:val="26"/>
        </w:rPr>
        <w:t>section 1294, subdivision (a)</w:t>
      </w:r>
      <w:r w:rsidR="008D57D0">
        <w:rPr>
          <w:szCs w:val="26"/>
        </w:rPr>
        <w:t>, e</w:t>
      </w:r>
      <w:bookmarkStart w:id="14" w:name="_Hlk161433502"/>
      <w:r w:rsidR="00775A10" w:rsidRPr="00775A10">
        <w:rPr>
          <w:szCs w:val="26"/>
        </w:rPr>
        <w:t>ffective January 1, 2024</w:t>
      </w:r>
      <w:r w:rsidR="003F648A">
        <w:rPr>
          <w:szCs w:val="26"/>
        </w:rPr>
        <w:t xml:space="preserve">, </w:t>
      </w:r>
      <w:r w:rsidR="0070530C">
        <w:rPr>
          <w:szCs w:val="26"/>
        </w:rPr>
        <w:t>to add</w:t>
      </w:r>
      <w:r w:rsidR="00775A10" w:rsidRPr="00775A10">
        <w:rPr>
          <w:szCs w:val="26"/>
        </w:rPr>
        <w:t xml:space="preserve"> that “the perfecting of such an appeal shall not automatically stay any proceedings in the trial court during the pendency of the appeal.”  (Stats. 2023, </w:t>
      </w:r>
      <w:proofErr w:type="spellStart"/>
      <w:r w:rsidR="00775A10" w:rsidRPr="00775A10">
        <w:rPr>
          <w:szCs w:val="26"/>
        </w:rPr>
        <w:t>c</w:t>
      </w:r>
      <w:r w:rsidR="00A032D1">
        <w:rPr>
          <w:szCs w:val="26"/>
        </w:rPr>
        <w:t>h</w:t>
      </w:r>
      <w:r w:rsidR="00775A10" w:rsidRPr="00775A10">
        <w:rPr>
          <w:szCs w:val="26"/>
        </w:rPr>
        <w:t>.</w:t>
      </w:r>
      <w:proofErr w:type="spellEnd"/>
      <w:r w:rsidR="00775A10" w:rsidRPr="00775A10">
        <w:rPr>
          <w:szCs w:val="26"/>
        </w:rPr>
        <w:t xml:space="preserve"> 710 (S.B. 365), § 1.)</w:t>
      </w:r>
      <w:bookmarkEnd w:id="14"/>
      <w:r w:rsidR="00775A10" w:rsidRPr="005C6EFE">
        <w:rPr>
          <w:b/>
          <w:bCs/>
          <w:position w:val="8"/>
          <w:sz w:val="20"/>
          <w:szCs w:val="26"/>
        </w:rPr>
        <w:footnoteReference w:id="5"/>
      </w:r>
      <w:r w:rsidR="00546C2A">
        <w:rPr>
          <w:szCs w:val="26"/>
        </w:rPr>
        <w:t xml:space="preserve"> </w:t>
      </w:r>
      <w:r w:rsidR="00065BC2">
        <w:rPr>
          <w:szCs w:val="26"/>
        </w:rPr>
        <w:t xml:space="preserve"> </w:t>
      </w:r>
      <w:r w:rsidR="006926CB">
        <w:rPr>
          <w:szCs w:val="26"/>
        </w:rPr>
        <w:t>By amending section</w:t>
      </w:r>
      <w:r w:rsidR="00F12030">
        <w:rPr>
          <w:szCs w:val="26"/>
        </w:rPr>
        <w:t xml:space="preserve"> 1294</w:t>
      </w:r>
      <w:r w:rsidR="002A665D">
        <w:rPr>
          <w:szCs w:val="26"/>
        </w:rPr>
        <w:t>, subdivision (a),</w:t>
      </w:r>
      <w:r w:rsidR="00F12030">
        <w:rPr>
          <w:szCs w:val="26"/>
        </w:rPr>
        <w:t xml:space="preserve"> without changing the portion </w:t>
      </w:r>
      <w:r w:rsidR="003C70C3">
        <w:rPr>
          <w:szCs w:val="26"/>
        </w:rPr>
        <w:t xml:space="preserve">that had been </w:t>
      </w:r>
      <w:r w:rsidR="00F12030">
        <w:rPr>
          <w:szCs w:val="26"/>
        </w:rPr>
        <w:t xml:space="preserve">construed to </w:t>
      </w:r>
      <w:r w:rsidR="001274BA">
        <w:rPr>
          <w:szCs w:val="26"/>
        </w:rPr>
        <w:t>include</w:t>
      </w:r>
      <w:r w:rsidR="00F12030">
        <w:rPr>
          <w:szCs w:val="26"/>
        </w:rPr>
        <w:t xml:space="preserve"> orders under section 1281.97</w:t>
      </w:r>
      <w:r w:rsidR="00B90A5E">
        <w:rPr>
          <w:szCs w:val="26"/>
        </w:rPr>
        <w:t>, the Legi</w:t>
      </w:r>
      <w:r w:rsidR="00F3152F">
        <w:rPr>
          <w:szCs w:val="26"/>
        </w:rPr>
        <w:t>s</w:t>
      </w:r>
      <w:r w:rsidR="00B90A5E">
        <w:rPr>
          <w:szCs w:val="26"/>
        </w:rPr>
        <w:t xml:space="preserve">lature is </w:t>
      </w:r>
      <w:r w:rsidR="009F349A">
        <w:rPr>
          <w:szCs w:val="26"/>
        </w:rPr>
        <w:t>considered</w:t>
      </w:r>
      <w:r w:rsidR="00B90A5E">
        <w:rPr>
          <w:szCs w:val="26"/>
        </w:rPr>
        <w:t xml:space="preserve"> to have acquiesced to the judicial construction.  </w:t>
      </w:r>
      <w:r w:rsidR="008B023A">
        <w:rPr>
          <w:szCs w:val="26"/>
        </w:rPr>
        <w:t>The</w:t>
      </w:r>
      <w:r w:rsidR="00065BC2">
        <w:rPr>
          <w:szCs w:val="26"/>
        </w:rPr>
        <w:t xml:space="preserve"> </w:t>
      </w:r>
      <w:r w:rsidR="00B90A5E">
        <w:rPr>
          <w:szCs w:val="26"/>
        </w:rPr>
        <w:t xml:space="preserve">Legislature </w:t>
      </w:r>
      <w:r w:rsidR="00363B74">
        <w:rPr>
          <w:szCs w:val="26"/>
        </w:rPr>
        <w:t xml:space="preserve">chose </w:t>
      </w:r>
      <w:r w:rsidR="008B023A">
        <w:rPr>
          <w:szCs w:val="26"/>
        </w:rPr>
        <w:t xml:space="preserve">instead </w:t>
      </w:r>
      <w:r w:rsidR="00363B74">
        <w:rPr>
          <w:szCs w:val="26"/>
        </w:rPr>
        <w:t>to balance</w:t>
      </w:r>
      <w:r w:rsidR="0025607A">
        <w:rPr>
          <w:szCs w:val="26"/>
        </w:rPr>
        <w:t xml:space="preserve"> competing interests by </w:t>
      </w:r>
      <w:r w:rsidR="00F308EA">
        <w:rPr>
          <w:szCs w:val="26"/>
        </w:rPr>
        <w:t>providing</w:t>
      </w:r>
      <w:r w:rsidR="00CE0C16">
        <w:rPr>
          <w:szCs w:val="26"/>
        </w:rPr>
        <w:t xml:space="preserve">, in the trial court’s discretion, </w:t>
      </w:r>
      <w:r w:rsidR="00CE0C16">
        <w:rPr>
          <w:szCs w:val="26"/>
        </w:rPr>
        <w:lastRenderedPageBreak/>
        <w:t>for litigation to proceed</w:t>
      </w:r>
      <w:r w:rsidR="00E64A7F">
        <w:rPr>
          <w:szCs w:val="26"/>
        </w:rPr>
        <w:t xml:space="preserve"> </w:t>
      </w:r>
      <w:r w:rsidR="002928DA">
        <w:rPr>
          <w:szCs w:val="26"/>
        </w:rPr>
        <w:t xml:space="preserve">in court </w:t>
      </w:r>
      <w:r w:rsidR="00124BBC">
        <w:rPr>
          <w:szCs w:val="26"/>
        </w:rPr>
        <w:t xml:space="preserve">while </w:t>
      </w:r>
      <w:r w:rsidR="001274BA">
        <w:rPr>
          <w:szCs w:val="26"/>
        </w:rPr>
        <w:t>the</w:t>
      </w:r>
      <w:r w:rsidR="00406596">
        <w:rPr>
          <w:szCs w:val="26"/>
        </w:rPr>
        <w:t xml:space="preserve"> </w:t>
      </w:r>
      <w:r w:rsidR="00E9705F">
        <w:rPr>
          <w:szCs w:val="26"/>
        </w:rPr>
        <w:t xml:space="preserve">order </w:t>
      </w:r>
      <w:r w:rsidR="002928DA">
        <w:rPr>
          <w:szCs w:val="26"/>
        </w:rPr>
        <w:t>denying</w:t>
      </w:r>
      <w:r w:rsidR="00406596">
        <w:rPr>
          <w:szCs w:val="26"/>
        </w:rPr>
        <w:t xml:space="preserve"> </w:t>
      </w:r>
      <w:r w:rsidR="00E9705F">
        <w:rPr>
          <w:szCs w:val="26"/>
        </w:rPr>
        <w:t>ar</w:t>
      </w:r>
      <w:r w:rsidR="00E45A6B">
        <w:rPr>
          <w:szCs w:val="26"/>
        </w:rPr>
        <w:t>bitration</w:t>
      </w:r>
      <w:r w:rsidR="00124BBC">
        <w:rPr>
          <w:szCs w:val="26"/>
        </w:rPr>
        <w:t xml:space="preserve"> is reviewed on appeal.</w:t>
      </w:r>
    </w:p>
    <w:p w14:paraId="0CB3AD8D" w14:textId="1BB84C4C" w:rsidR="00805853" w:rsidRDefault="00805853" w:rsidP="008B023A">
      <w:pPr>
        <w:keepNext/>
        <w:rPr>
          <w:szCs w:val="26"/>
        </w:rPr>
      </w:pPr>
      <w:r>
        <w:rPr>
          <w:szCs w:val="26"/>
        </w:rPr>
        <w:tab/>
        <w:t xml:space="preserve">Because we conclude the order </w:t>
      </w:r>
      <w:r w:rsidR="00BD03A7">
        <w:rPr>
          <w:szCs w:val="26"/>
        </w:rPr>
        <w:t xml:space="preserve">under section 1281.97 </w:t>
      </w:r>
      <w:r w:rsidR="006F79F1">
        <w:rPr>
          <w:szCs w:val="26"/>
        </w:rPr>
        <w:t>is appealable, we consider whether</w:t>
      </w:r>
      <w:r w:rsidR="00BD03A7">
        <w:rPr>
          <w:szCs w:val="26"/>
        </w:rPr>
        <w:t xml:space="preserve"> </w:t>
      </w:r>
      <w:r w:rsidR="00AB4BBA">
        <w:rPr>
          <w:szCs w:val="26"/>
        </w:rPr>
        <w:t>the trial court properly applied section 1281.97</w:t>
      </w:r>
      <w:r w:rsidR="00BD03A7">
        <w:rPr>
          <w:szCs w:val="26"/>
        </w:rPr>
        <w:t>.</w:t>
      </w:r>
    </w:p>
    <w:p w14:paraId="307FF58E" w14:textId="77777777" w:rsidR="00F907A2" w:rsidRDefault="00F907A2" w:rsidP="00546C2A">
      <w:pPr>
        <w:keepNext/>
        <w:rPr>
          <w:szCs w:val="26"/>
        </w:rPr>
      </w:pPr>
      <w:bookmarkStart w:id="15" w:name="_Hlk156578327"/>
    </w:p>
    <w:p w14:paraId="4A0CD95D" w14:textId="7EADDA1D" w:rsidR="00DA5BFE" w:rsidRPr="00155D90" w:rsidRDefault="000342DE" w:rsidP="00546C2A">
      <w:pPr>
        <w:keepNext/>
        <w:rPr>
          <w:b/>
          <w:bCs/>
          <w:szCs w:val="26"/>
          <w:u w:val="single"/>
        </w:rPr>
      </w:pPr>
      <w:r>
        <w:rPr>
          <w:b/>
          <w:bCs/>
          <w:szCs w:val="26"/>
          <w:u w:val="single"/>
        </w:rPr>
        <w:t>Preemption</w:t>
      </w:r>
    </w:p>
    <w:p w14:paraId="709578BA" w14:textId="77777777" w:rsidR="00FB61DA" w:rsidRDefault="00FB61DA" w:rsidP="00546C2A">
      <w:pPr>
        <w:keepNext/>
        <w:rPr>
          <w:szCs w:val="26"/>
        </w:rPr>
      </w:pPr>
    </w:p>
    <w:p w14:paraId="023E4885" w14:textId="10F96CCD" w:rsidR="005C6EFE" w:rsidRDefault="00AD0279" w:rsidP="00546C2A">
      <w:pPr>
        <w:keepNext/>
        <w:rPr>
          <w:szCs w:val="26"/>
        </w:rPr>
      </w:pPr>
      <w:r>
        <w:rPr>
          <w:szCs w:val="26"/>
        </w:rPr>
        <w:tab/>
      </w:r>
      <w:proofErr w:type="spellStart"/>
      <w:r w:rsidR="00606126">
        <w:rPr>
          <w:szCs w:val="26"/>
        </w:rPr>
        <w:t>Sohnen</w:t>
      </w:r>
      <w:proofErr w:type="spellEnd"/>
      <w:r w:rsidR="00606126">
        <w:rPr>
          <w:szCs w:val="26"/>
        </w:rPr>
        <w:t xml:space="preserve"> contends section 1281.97 </w:t>
      </w:r>
      <w:r w:rsidR="00A3771A">
        <w:rPr>
          <w:szCs w:val="26"/>
        </w:rPr>
        <w:t xml:space="preserve">does not apply </w:t>
      </w:r>
      <w:r w:rsidR="009F6B8A">
        <w:rPr>
          <w:szCs w:val="26"/>
        </w:rPr>
        <w:t xml:space="preserve">in this case </w:t>
      </w:r>
      <w:r w:rsidR="00A3771A">
        <w:rPr>
          <w:szCs w:val="26"/>
        </w:rPr>
        <w:t xml:space="preserve">because it </w:t>
      </w:r>
      <w:r w:rsidR="00606126">
        <w:rPr>
          <w:szCs w:val="26"/>
        </w:rPr>
        <w:t>is preempted by the FAA</w:t>
      </w:r>
      <w:r w:rsidR="000867E6">
        <w:rPr>
          <w:szCs w:val="26"/>
        </w:rPr>
        <w:t xml:space="preserve">.  </w:t>
      </w:r>
      <w:r>
        <w:rPr>
          <w:szCs w:val="26"/>
        </w:rPr>
        <w:t>The first question</w:t>
      </w:r>
      <w:r w:rsidR="00606126">
        <w:rPr>
          <w:szCs w:val="26"/>
        </w:rPr>
        <w:t xml:space="preserve"> </w:t>
      </w:r>
      <w:r w:rsidR="00A93A6A">
        <w:rPr>
          <w:szCs w:val="26"/>
        </w:rPr>
        <w:t xml:space="preserve">we must consider </w:t>
      </w:r>
      <w:r>
        <w:rPr>
          <w:szCs w:val="26"/>
        </w:rPr>
        <w:t>is</w:t>
      </w:r>
      <w:r w:rsidRPr="00AD0279">
        <w:rPr>
          <w:szCs w:val="26"/>
        </w:rPr>
        <w:t xml:space="preserve"> </w:t>
      </w:r>
      <w:r>
        <w:rPr>
          <w:szCs w:val="26"/>
        </w:rPr>
        <w:t>wh</w:t>
      </w:r>
      <w:r w:rsidR="0085446D">
        <w:rPr>
          <w:szCs w:val="26"/>
        </w:rPr>
        <w:t>ich</w:t>
      </w:r>
      <w:r w:rsidRPr="00AD0279">
        <w:rPr>
          <w:szCs w:val="26"/>
        </w:rPr>
        <w:t xml:space="preserve"> statutory </w:t>
      </w:r>
      <w:r w:rsidR="0085446D">
        <w:rPr>
          <w:szCs w:val="26"/>
        </w:rPr>
        <w:t xml:space="preserve">arbitration </w:t>
      </w:r>
      <w:r w:rsidRPr="00AD0279">
        <w:rPr>
          <w:szCs w:val="26"/>
        </w:rPr>
        <w:t xml:space="preserve">scheme </w:t>
      </w:r>
      <w:r w:rsidR="0030285F">
        <w:rPr>
          <w:szCs w:val="26"/>
        </w:rPr>
        <w:t>applies</w:t>
      </w:r>
      <w:r w:rsidR="007D5039">
        <w:rPr>
          <w:szCs w:val="26"/>
        </w:rPr>
        <w:t xml:space="preserve"> to</w:t>
      </w:r>
      <w:r w:rsidRPr="00AD0279">
        <w:rPr>
          <w:szCs w:val="26"/>
        </w:rPr>
        <w:t xml:space="preserve"> the parties’ agreement.  </w:t>
      </w:r>
      <w:proofErr w:type="spellStart"/>
      <w:r w:rsidRPr="00AD0279">
        <w:rPr>
          <w:szCs w:val="26"/>
        </w:rPr>
        <w:t>Sohnen</w:t>
      </w:r>
      <w:proofErr w:type="spellEnd"/>
      <w:r w:rsidRPr="00AD0279">
        <w:rPr>
          <w:szCs w:val="26"/>
        </w:rPr>
        <w:t xml:space="preserve"> </w:t>
      </w:r>
      <w:r w:rsidR="00645CCA">
        <w:rPr>
          <w:szCs w:val="26"/>
        </w:rPr>
        <w:t>asserts</w:t>
      </w:r>
      <w:r w:rsidR="000867E6">
        <w:rPr>
          <w:szCs w:val="26"/>
        </w:rPr>
        <w:t xml:space="preserve"> </w:t>
      </w:r>
      <w:r w:rsidR="004034FA">
        <w:rPr>
          <w:szCs w:val="26"/>
        </w:rPr>
        <w:t xml:space="preserve">the </w:t>
      </w:r>
      <w:r w:rsidRPr="00AD0279">
        <w:rPr>
          <w:szCs w:val="26"/>
        </w:rPr>
        <w:t xml:space="preserve">FAA governs the </w:t>
      </w:r>
      <w:r w:rsidR="004034FA">
        <w:rPr>
          <w:szCs w:val="26"/>
        </w:rPr>
        <w:t xml:space="preserve">arbitration </w:t>
      </w:r>
      <w:r w:rsidRPr="00AD0279">
        <w:rPr>
          <w:szCs w:val="26"/>
        </w:rPr>
        <w:t xml:space="preserve">agreement, </w:t>
      </w:r>
      <w:r w:rsidR="006447C7">
        <w:rPr>
          <w:szCs w:val="26"/>
        </w:rPr>
        <w:t xml:space="preserve">including </w:t>
      </w:r>
      <w:r w:rsidR="005D4163">
        <w:rPr>
          <w:szCs w:val="26"/>
        </w:rPr>
        <w:t>both</w:t>
      </w:r>
      <w:r w:rsidR="00B904B8">
        <w:rPr>
          <w:szCs w:val="26"/>
        </w:rPr>
        <w:t xml:space="preserve"> </w:t>
      </w:r>
      <w:r w:rsidR="005B6625">
        <w:rPr>
          <w:szCs w:val="26"/>
        </w:rPr>
        <w:t xml:space="preserve">the </w:t>
      </w:r>
      <w:r w:rsidR="005D4163">
        <w:rPr>
          <w:szCs w:val="26"/>
        </w:rPr>
        <w:t>substantive and</w:t>
      </w:r>
      <w:r w:rsidR="00EB53DF">
        <w:rPr>
          <w:szCs w:val="26"/>
        </w:rPr>
        <w:t xml:space="preserve"> procedural provisions</w:t>
      </w:r>
      <w:r w:rsidR="005B6625">
        <w:rPr>
          <w:szCs w:val="26"/>
        </w:rPr>
        <w:t xml:space="preserve"> of the FAA</w:t>
      </w:r>
      <w:r w:rsidR="00EB53DF">
        <w:rPr>
          <w:szCs w:val="26"/>
        </w:rPr>
        <w:t xml:space="preserve">, </w:t>
      </w:r>
      <w:r w:rsidRPr="00AD0279">
        <w:rPr>
          <w:szCs w:val="26"/>
        </w:rPr>
        <w:t xml:space="preserve">while Hernandez </w:t>
      </w:r>
      <w:r w:rsidR="00645CCA">
        <w:rPr>
          <w:szCs w:val="26"/>
        </w:rPr>
        <w:t>contends</w:t>
      </w:r>
      <w:r w:rsidR="00E32C61">
        <w:rPr>
          <w:szCs w:val="26"/>
        </w:rPr>
        <w:t xml:space="preserve"> </w:t>
      </w:r>
      <w:r w:rsidR="00545C35">
        <w:rPr>
          <w:szCs w:val="26"/>
        </w:rPr>
        <w:t xml:space="preserve">the </w:t>
      </w:r>
      <w:r w:rsidR="00CD706E">
        <w:rPr>
          <w:szCs w:val="26"/>
        </w:rPr>
        <w:t xml:space="preserve">procedures of the </w:t>
      </w:r>
      <w:r w:rsidR="00545C35">
        <w:rPr>
          <w:szCs w:val="26"/>
        </w:rPr>
        <w:t>CAA</w:t>
      </w:r>
      <w:r w:rsidR="00CD706E">
        <w:rPr>
          <w:szCs w:val="26"/>
        </w:rPr>
        <w:t xml:space="preserve"> apply</w:t>
      </w:r>
      <w:r w:rsidR="00A477E6">
        <w:rPr>
          <w:szCs w:val="26"/>
        </w:rPr>
        <w:t>, including section 1281.97</w:t>
      </w:r>
      <w:r w:rsidRPr="00AD0279">
        <w:rPr>
          <w:szCs w:val="26"/>
        </w:rPr>
        <w:t xml:space="preserve">.  We </w:t>
      </w:r>
      <w:r w:rsidR="000860AE">
        <w:rPr>
          <w:szCs w:val="26"/>
        </w:rPr>
        <w:t>conclude the parties</w:t>
      </w:r>
      <w:r w:rsidR="00F54CEE">
        <w:rPr>
          <w:szCs w:val="26"/>
        </w:rPr>
        <w:t xml:space="preserve"> </w:t>
      </w:r>
      <w:r w:rsidR="00E42749">
        <w:rPr>
          <w:szCs w:val="26"/>
        </w:rPr>
        <w:t>selected</w:t>
      </w:r>
      <w:r w:rsidR="00F54CEE">
        <w:rPr>
          <w:szCs w:val="26"/>
        </w:rPr>
        <w:t xml:space="preserve"> </w:t>
      </w:r>
      <w:r w:rsidR="005D4163">
        <w:rPr>
          <w:szCs w:val="26"/>
        </w:rPr>
        <w:t xml:space="preserve">the </w:t>
      </w:r>
      <w:r w:rsidR="000860AE">
        <w:rPr>
          <w:szCs w:val="26"/>
        </w:rPr>
        <w:t>FAA</w:t>
      </w:r>
      <w:r w:rsidR="00781408">
        <w:rPr>
          <w:szCs w:val="26"/>
        </w:rPr>
        <w:t xml:space="preserve"> in its entirety</w:t>
      </w:r>
      <w:r w:rsidR="00D0496F">
        <w:rPr>
          <w:szCs w:val="26"/>
        </w:rPr>
        <w:t xml:space="preserve">.  </w:t>
      </w:r>
      <w:r w:rsidR="003D5299">
        <w:rPr>
          <w:szCs w:val="26"/>
        </w:rPr>
        <w:t xml:space="preserve">Under these circumstances, </w:t>
      </w:r>
      <w:r w:rsidR="00C56560">
        <w:rPr>
          <w:szCs w:val="26"/>
        </w:rPr>
        <w:t>section 1281.97 of the CAA does</w:t>
      </w:r>
      <w:r w:rsidR="00781408">
        <w:rPr>
          <w:szCs w:val="26"/>
        </w:rPr>
        <w:t xml:space="preserve"> not apply</w:t>
      </w:r>
      <w:r w:rsidR="0050545B">
        <w:rPr>
          <w:szCs w:val="26"/>
        </w:rPr>
        <w:t xml:space="preserve"> and </w:t>
      </w:r>
      <w:r w:rsidR="00C56560">
        <w:rPr>
          <w:szCs w:val="26"/>
        </w:rPr>
        <w:t xml:space="preserve">the order </w:t>
      </w:r>
      <w:r w:rsidR="005D489D">
        <w:rPr>
          <w:szCs w:val="26"/>
        </w:rPr>
        <w:t>under</w:t>
      </w:r>
      <w:r w:rsidR="00C43A1A">
        <w:rPr>
          <w:szCs w:val="26"/>
        </w:rPr>
        <w:t xml:space="preserve"> section 1281.97 must be reversed</w:t>
      </w:r>
      <w:r w:rsidR="00355FF4">
        <w:rPr>
          <w:szCs w:val="26"/>
        </w:rPr>
        <w:t>.</w:t>
      </w:r>
      <w:r w:rsidR="007B6886">
        <w:rPr>
          <w:szCs w:val="26"/>
        </w:rPr>
        <w:t xml:space="preserve"> </w:t>
      </w:r>
      <w:r w:rsidR="007F0D6B">
        <w:rPr>
          <w:szCs w:val="26"/>
        </w:rPr>
        <w:t xml:space="preserve"> </w:t>
      </w:r>
      <w:r w:rsidR="00F036A3">
        <w:rPr>
          <w:szCs w:val="26"/>
        </w:rPr>
        <w:t>Even if w</w:t>
      </w:r>
      <w:r w:rsidR="00F15C28">
        <w:rPr>
          <w:szCs w:val="26"/>
        </w:rPr>
        <w:t xml:space="preserve">e </w:t>
      </w:r>
      <w:r w:rsidR="00F036A3">
        <w:rPr>
          <w:szCs w:val="26"/>
        </w:rPr>
        <w:t xml:space="preserve">were to </w:t>
      </w:r>
      <w:r w:rsidR="00F15C28">
        <w:rPr>
          <w:szCs w:val="26"/>
        </w:rPr>
        <w:t>conclude</w:t>
      </w:r>
      <w:r w:rsidR="00DA3655">
        <w:rPr>
          <w:szCs w:val="26"/>
        </w:rPr>
        <w:t xml:space="preserve"> that section </w:t>
      </w:r>
      <w:r w:rsidR="007F0D6B">
        <w:rPr>
          <w:szCs w:val="26"/>
        </w:rPr>
        <w:t xml:space="preserve">1281.97 </w:t>
      </w:r>
      <w:r w:rsidR="00DA3655">
        <w:rPr>
          <w:szCs w:val="26"/>
        </w:rPr>
        <w:t>applies</w:t>
      </w:r>
      <w:r w:rsidR="002D7233">
        <w:rPr>
          <w:szCs w:val="26"/>
        </w:rPr>
        <w:t xml:space="preserve">, </w:t>
      </w:r>
      <w:r w:rsidR="002E1A1C">
        <w:rPr>
          <w:szCs w:val="26"/>
        </w:rPr>
        <w:t xml:space="preserve">however, we would still reverse, because </w:t>
      </w:r>
      <w:r w:rsidR="00752D95">
        <w:rPr>
          <w:szCs w:val="26"/>
        </w:rPr>
        <w:t xml:space="preserve">when </w:t>
      </w:r>
      <w:r w:rsidR="00EF57F7">
        <w:rPr>
          <w:szCs w:val="26"/>
        </w:rPr>
        <w:t>an</w:t>
      </w:r>
      <w:r w:rsidR="00752D95">
        <w:rPr>
          <w:szCs w:val="26"/>
        </w:rPr>
        <w:t xml:space="preserve"> agreement </w:t>
      </w:r>
      <w:r w:rsidR="00DA3655">
        <w:rPr>
          <w:szCs w:val="26"/>
        </w:rPr>
        <w:t>falls</w:t>
      </w:r>
      <w:r w:rsidR="00752D95">
        <w:rPr>
          <w:szCs w:val="26"/>
        </w:rPr>
        <w:t xml:space="preserve"> within the scope of the FAA and does not expressly select California arbitration procedures, the FAA preempts the provisions of section 1281.97 that require finding a breach or waiver of the parties’ arbitration agreement as a matter of law</w:t>
      </w:r>
      <w:r w:rsidR="002D7233">
        <w:rPr>
          <w:szCs w:val="26"/>
        </w:rPr>
        <w:t>.</w:t>
      </w:r>
    </w:p>
    <w:p w14:paraId="4616AA1B" w14:textId="77777777" w:rsidR="005C6EFE" w:rsidRDefault="005C6EFE" w:rsidP="00C5238E">
      <w:pPr>
        <w:rPr>
          <w:szCs w:val="26"/>
        </w:rPr>
      </w:pPr>
    </w:p>
    <w:p w14:paraId="222BA59F" w14:textId="3F8D945C" w:rsidR="00C52167" w:rsidRPr="007A2537" w:rsidRDefault="00C52167" w:rsidP="00C5238E">
      <w:pPr>
        <w:rPr>
          <w:b/>
          <w:bCs/>
          <w:szCs w:val="26"/>
        </w:rPr>
      </w:pPr>
      <w:r w:rsidRPr="007A2537">
        <w:rPr>
          <w:b/>
          <w:bCs/>
          <w:szCs w:val="26"/>
        </w:rPr>
        <w:tab/>
        <w:t xml:space="preserve">A.  </w:t>
      </w:r>
      <w:r w:rsidR="0011325F">
        <w:rPr>
          <w:b/>
          <w:bCs/>
          <w:szCs w:val="26"/>
        </w:rPr>
        <w:t xml:space="preserve">General </w:t>
      </w:r>
      <w:r w:rsidR="008F1537">
        <w:rPr>
          <w:b/>
          <w:bCs/>
          <w:szCs w:val="26"/>
        </w:rPr>
        <w:t>Application and Purpose of the</w:t>
      </w:r>
      <w:r w:rsidR="007A2537" w:rsidRPr="007A2537">
        <w:rPr>
          <w:b/>
          <w:bCs/>
          <w:szCs w:val="26"/>
        </w:rPr>
        <w:t xml:space="preserve"> FAA</w:t>
      </w:r>
    </w:p>
    <w:p w14:paraId="4FDCFD6D" w14:textId="173AB03D" w:rsidR="007E1D4E" w:rsidRDefault="007E1D4E" w:rsidP="00C5238E">
      <w:pPr>
        <w:rPr>
          <w:szCs w:val="26"/>
        </w:rPr>
      </w:pPr>
    </w:p>
    <w:p w14:paraId="781EECFC" w14:textId="0ABC9E0C" w:rsidR="009E39B3" w:rsidRDefault="007E1D4E" w:rsidP="00C5238E">
      <w:pPr>
        <w:rPr>
          <w:szCs w:val="26"/>
        </w:rPr>
      </w:pPr>
      <w:r>
        <w:rPr>
          <w:szCs w:val="26"/>
        </w:rPr>
        <w:tab/>
        <w:t>The FAA was e</w:t>
      </w:r>
      <w:r w:rsidR="00A928FF">
        <w:rPr>
          <w:szCs w:val="26"/>
        </w:rPr>
        <w:t xml:space="preserve">nacted to </w:t>
      </w:r>
      <w:r w:rsidR="00FA7EFF">
        <w:rPr>
          <w:szCs w:val="26"/>
        </w:rPr>
        <w:t>override</w:t>
      </w:r>
      <w:r w:rsidR="00A928FF">
        <w:rPr>
          <w:szCs w:val="26"/>
        </w:rPr>
        <w:t xml:space="preserve"> judicial hostility to </w:t>
      </w:r>
      <w:r w:rsidR="00DC717F">
        <w:rPr>
          <w:szCs w:val="26"/>
        </w:rPr>
        <w:t>enforcing arbitration agreements</w:t>
      </w:r>
      <w:r>
        <w:rPr>
          <w:szCs w:val="26"/>
        </w:rPr>
        <w:t>.</w:t>
      </w:r>
      <w:r w:rsidR="00A928FF">
        <w:rPr>
          <w:szCs w:val="26"/>
        </w:rPr>
        <w:t xml:space="preserve"> </w:t>
      </w:r>
      <w:r w:rsidR="00196559">
        <w:rPr>
          <w:szCs w:val="26"/>
        </w:rPr>
        <w:t xml:space="preserve"> </w:t>
      </w:r>
      <w:r w:rsidR="0085075E" w:rsidRPr="0085075E">
        <w:rPr>
          <w:szCs w:val="26"/>
        </w:rPr>
        <w:t>(</w:t>
      </w:r>
      <w:r w:rsidR="0085075E" w:rsidRPr="0085075E">
        <w:rPr>
          <w:i/>
          <w:iCs/>
          <w:szCs w:val="26"/>
        </w:rPr>
        <w:t>Volt Information Sciences, Inc. v. Board of Trustees of Leland Stanford Junior University</w:t>
      </w:r>
      <w:r w:rsidR="0085075E" w:rsidRPr="0085075E">
        <w:rPr>
          <w:szCs w:val="26"/>
        </w:rPr>
        <w:t xml:space="preserve"> </w:t>
      </w:r>
      <w:r w:rsidR="0085075E" w:rsidRPr="0085075E">
        <w:rPr>
          <w:szCs w:val="26"/>
        </w:rPr>
        <w:lastRenderedPageBreak/>
        <w:t>(1989) 489 U.S. 468, 47</w:t>
      </w:r>
      <w:r w:rsidR="0085075E">
        <w:rPr>
          <w:szCs w:val="26"/>
        </w:rPr>
        <w:t xml:space="preserve">8 </w:t>
      </w:r>
      <w:r w:rsidR="0085075E" w:rsidRPr="0085075E">
        <w:rPr>
          <w:szCs w:val="26"/>
        </w:rPr>
        <w:t>(</w:t>
      </w:r>
      <w:r w:rsidR="0085075E" w:rsidRPr="0085075E">
        <w:rPr>
          <w:i/>
          <w:iCs/>
          <w:szCs w:val="26"/>
        </w:rPr>
        <w:t>Volt</w:t>
      </w:r>
      <w:r w:rsidR="0085075E" w:rsidRPr="0085075E">
        <w:rPr>
          <w:szCs w:val="26"/>
        </w:rPr>
        <w:t>)</w:t>
      </w:r>
      <w:r w:rsidR="0011350A">
        <w:t>;</w:t>
      </w:r>
      <w:r w:rsidR="0011350A">
        <w:rPr>
          <w:szCs w:val="26"/>
        </w:rPr>
        <w:t xml:space="preserve"> </w:t>
      </w:r>
      <w:r w:rsidR="0011350A" w:rsidRPr="002A721D">
        <w:rPr>
          <w:i/>
          <w:iCs/>
          <w:szCs w:val="26"/>
        </w:rPr>
        <w:t xml:space="preserve">AT&amp;T Mobility LLC v. Concepcion </w:t>
      </w:r>
      <w:r w:rsidR="0011350A" w:rsidRPr="0011350A">
        <w:rPr>
          <w:szCs w:val="26"/>
        </w:rPr>
        <w:t>(2011) 563 U.S. 333, 339</w:t>
      </w:r>
      <w:r w:rsidR="0011350A">
        <w:rPr>
          <w:szCs w:val="26"/>
        </w:rPr>
        <w:t xml:space="preserve"> (</w:t>
      </w:r>
      <w:r w:rsidR="0011350A" w:rsidRPr="002A721D">
        <w:rPr>
          <w:i/>
          <w:iCs/>
          <w:szCs w:val="26"/>
        </w:rPr>
        <w:t>Concepcion</w:t>
      </w:r>
      <w:r w:rsidR="0011350A">
        <w:rPr>
          <w:szCs w:val="26"/>
        </w:rPr>
        <w:t>)</w:t>
      </w:r>
      <w:r w:rsidR="0085075E">
        <w:rPr>
          <w:szCs w:val="26"/>
        </w:rPr>
        <w:t>.)</w:t>
      </w:r>
      <w:r w:rsidR="008D0E3F">
        <w:rPr>
          <w:szCs w:val="26"/>
        </w:rPr>
        <w:t xml:space="preserve"> </w:t>
      </w:r>
      <w:r w:rsidR="0085075E" w:rsidRPr="0085075E">
        <w:rPr>
          <w:szCs w:val="26"/>
        </w:rPr>
        <w:t xml:space="preserve"> </w:t>
      </w:r>
      <w:r w:rsidR="00212029">
        <w:rPr>
          <w:szCs w:val="26"/>
        </w:rPr>
        <w:t>S</w:t>
      </w:r>
      <w:r w:rsidR="008927D5" w:rsidRPr="00621156">
        <w:rPr>
          <w:szCs w:val="26"/>
        </w:rPr>
        <w:t>ection</w:t>
      </w:r>
      <w:r w:rsidR="008927D5" w:rsidRPr="008927D5">
        <w:rPr>
          <w:szCs w:val="26"/>
        </w:rPr>
        <w:t xml:space="preserve"> 2 of the </w:t>
      </w:r>
      <w:r w:rsidR="008927D5">
        <w:rPr>
          <w:szCs w:val="26"/>
        </w:rPr>
        <w:t>FAA</w:t>
      </w:r>
      <w:r w:rsidR="00C76781">
        <w:rPr>
          <w:szCs w:val="26"/>
        </w:rPr>
        <w:t xml:space="preserve"> provides that </w:t>
      </w:r>
      <w:r w:rsidR="00541360">
        <w:rPr>
          <w:szCs w:val="26"/>
        </w:rPr>
        <w:t xml:space="preserve">an </w:t>
      </w:r>
      <w:r w:rsidR="008927D5" w:rsidRPr="008927D5">
        <w:rPr>
          <w:szCs w:val="26"/>
        </w:rPr>
        <w:t>arbitration agreement</w:t>
      </w:r>
      <w:r w:rsidR="008927D5">
        <w:rPr>
          <w:szCs w:val="26"/>
        </w:rPr>
        <w:t xml:space="preserve"> </w:t>
      </w:r>
      <w:r w:rsidR="000008C3">
        <w:rPr>
          <w:szCs w:val="26"/>
        </w:rPr>
        <w:t xml:space="preserve">within the scope of the FAA </w:t>
      </w:r>
      <w:r w:rsidR="00541360">
        <w:rPr>
          <w:szCs w:val="26"/>
        </w:rPr>
        <w:t xml:space="preserve">is </w:t>
      </w:r>
      <w:r w:rsidR="008927D5" w:rsidRPr="008927D5">
        <w:rPr>
          <w:szCs w:val="26"/>
        </w:rPr>
        <w:t>“valid, irrevocable, and enforceable, save upon such grounds as exist at law or in equity for the revocation of any contract</w:t>
      </w:r>
      <w:r w:rsidR="00695EC4">
        <w:rPr>
          <w:szCs w:val="26"/>
        </w:rPr>
        <w:t xml:space="preserve"> or as otherwise provided in [the FAA].</w:t>
      </w:r>
      <w:r w:rsidR="008927D5" w:rsidRPr="00F74213">
        <w:rPr>
          <w:szCs w:val="26"/>
        </w:rPr>
        <w:t xml:space="preserve">” </w:t>
      </w:r>
      <w:r w:rsidR="00421837" w:rsidRPr="00F74213">
        <w:rPr>
          <w:szCs w:val="26"/>
        </w:rPr>
        <w:t xml:space="preserve"> </w:t>
      </w:r>
      <w:bookmarkStart w:id="16" w:name="_Hlk159314338"/>
      <w:r w:rsidR="00421837" w:rsidRPr="00F74213">
        <w:rPr>
          <w:szCs w:val="26"/>
        </w:rPr>
        <w:t>(</w:t>
      </w:r>
      <w:r w:rsidR="008927D5" w:rsidRPr="00F74213">
        <w:rPr>
          <w:szCs w:val="26"/>
        </w:rPr>
        <w:t>9 U.S.C. § 2.</w:t>
      </w:r>
      <w:r w:rsidR="00421837" w:rsidRPr="00F74213">
        <w:rPr>
          <w:szCs w:val="26"/>
        </w:rPr>
        <w:t>)</w:t>
      </w:r>
      <w:r w:rsidR="000008C3" w:rsidRPr="00791939">
        <w:rPr>
          <w:rStyle w:val="FootnoteReference"/>
          <w:b/>
          <w:bCs/>
          <w:position w:val="8"/>
          <w:sz w:val="20"/>
          <w:szCs w:val="26"/>
          <w:vertAlign w:val="baseline"/>
        </w:rPr>
        <w:footnoteReference w:id="6"/>
      </w:r>
      <w:r w:rsidR="0024642C" w:rsidRPr="00F74213">
        <w:rPr>
          <w:szCs w:val="26"/>
        </w:rPr>
        <w:t xml:space="preserve">  </w:t>
      </w:r>
      <w:bookmarkEnd w:id="16"/>
    </w:p>
    <w:p w14:paraId="2CD2955A" w14:textId="0DCAEBF1" w:rsidR="00806737" w:rsidRDefault="00D708CC" w:rsidP="00C5238E">
      <w:pPr>
        <w:rPr>
          <w:szCs w:val="26"/>
        </w:rPr>
      </w:pPr>
      <w:r>
        <w:rPr>
          <w:szCs w:val="26"/>
        </w:rPr>
        <w:tab/>
        <w:t>“</w:t>
      </w:r>
      <w:r w:rsidRPr="00D708CC">
        <w:rPr>
          <w:szCs w:val="26"/>
        </w:rPr>
        <w:t>The FAA embodies a strong federal policy favoring arbitration.</w:t>
      </w:r>
      <w:r w:rsidR="0062586D">
        <w:rPr>
          <w:szCs w:val="26"/>
        </w:rPr>
        <w:t>”</w:t>
      </w:r>
      <w:r w:rsidRPr="00D708CC">
        <w:rPr>
          <w:szCs w:val="26"/>
        </w:rPr>
        <w:t xml:space="preserve"> </w:t>
      </w:r>
      <w:r w:rsidR="0062586D">
        <w:rPr>
          <w:szCs w:val="26"/>
        </w:rPr>
        <w:t>(</w:t>
      </w:r>
      <w:r w:rsidR="0062586D" w:rsidRPr="00D708CC">
        <w:rPr>
          <w:i/>
          <w:iCs/>
          <w:szCs w:val="26"/>
        </w:rPr>
        <w:t>Mendoza v. Trans Valley Transport</w:t>
      </w:r>
      <w:r w:rsidR="0062586D" w:rsidRPr="00D708CC">
        <w:rPr>
          <w:szCs w:val="26"/>
        </w:rPr>
        <w:t xml:space="preserve"> (2022) 75 Cal.App.5th 748, 761</w:t>
      </w:r>
      <w:r w:rsidR="00364ABE">
        <w:rPr>
          <w:szCs w:val="26"/>
        </w:rPr>
        <w:t xml:space="preserve"> (</w:t>
      </w:r>
      <w:r w:rsidR="00364ABE" w:rsidRPr="008C28C1">
        <w:rPr>
          <w:i/>
          <w:iCs/>
          <w:szCs w:val="26"/>
        </w:rPr>
        <w:t>Mendoza</w:t>
      </w:r>
      <w:r w:rsidR="00364ABE">
        <w:rPr>
          <w:szCs w:val="26"/>
        </w:rPr>
        <w:t>)</w:t>
      </w:r>
      <w:r w:rsidR="0062586D">
        <w:rPr>
          <w:szCs w:val="26"/>
        </w:rPr>
        <w:t>.</w:t>
      </w:r>
      <w:r w:rsidR="007D0B8B">
        <w:rPr>
          <w:szCs w:val="26"/>
        </w:rPr>
        <w:t>)</w:t>
      </w:r>
      <w:r w:rsidR="00B36E4D" w:rsidRPr="00791939">
        <w:rPr>
          <w:rStyle w:val="FootnoteReference"/>
          <w:b/>
          <w:bCs/>
          <w:position w:val="8"/>
          <w:sz w:val="20"/>
          <w:szCs w:val="26"/>
          <w:vertAlign w:val="baseline"/>
        </w:rPr>
        <w:footnoteReference w:id="7"/>
      </w:r>
      <w:r w:rsidR="007D0B8B">
        <w:rPr>
          <w:szCs w:val="26"/>
        </w:rPr>
        <w:t xml:space="preserve">  </w:t>
      </w:r>
      <w:r w:rsidR="00CF70DE">
        <w:rPr>
          <w:szCs w:val="26"/>
        </w:rPr>
        <w:t>The</w:t>
      </w:r>
      <w:r w:rsidR="00CF70DE" w:rsidRPr="00CF70DE">
        <w:rPr>
          <w:szCs w:val="26"/>
        </w:rPr>
        <w:t xml:space="preserve"> FAA does not bestow arbitration agreements with special status; it </w:t>
      </w:r>
      <w:r w:rsidR="00425D8E">
        <w:rPr>
          <w:szCs w:val="26"/>
        </w:rPr>
        <w:t xml:space="preserve">simply </w:t>
      </w:r>
      <w:r w:rsidR="00CF70DE" w:rsidRPr="00CF70DE">
        <w:rPr>
          <w:szCs w:val="26"/>
        </w:rPr>
        <w:t xml:space="preserve">ensures arbitration agreements are as enforceable as other contracts.  </w:t>
      </w:r>
      <w:r w:rsidR="00CF70DE" w:rsidRPr="00CF70DE">
        <w:rPr>
          <w:szCs w:val="26"/>
        </w:rPr>
        <w:lastRenderedPageBreak/>
        <w:t>(</w:t>
      </w:r>
      <w:r w:rsidR="00CF70DE" w:rsidRPr="00AE0269">
        <w:rPr>
          <w:i/>
          <w:iCs/>
          <w:szCs w:val="26"/>
        </w:rPr>
        <w:t>Cronus Investments, Inc. v. Concierge Services</w:t>
      </w:r>
      <w:r w:rsidR="00CF70DE" w:rsidRPr="00CF70DE">
        <w:rPr>
          <w:szCs w:val="26"/>
        </w:rPr>
        <w:t xml:space="preserve"> (2005) 35 Cal.4th 376, 384 (</w:t>
      </w:r>
      <w:r w:rsidR="00CF70DE" w:rsidRPr="00AE0269">
        <w:rPr>
          <w:i/>
          <w:iCs/>
          <w:szCs w:val="26"/>
        </w:rPr>
        <w:t>Cronus</w:t>
      </w:r>
      <w:r w:rsidR="00CF70DE" w:rsidRPr="00CF70DE">
        <w:rPr>
          <w:szCs w:val="26"/>
        </w:rPr>
        <w:t xml:space="preserve">).)  </w:t>
      </w:r>
      <w:r w:rsidR="005036D6">
        <w:rPr>
          <w:szCs w:val="26"/>
        </w:rPr>
        <w:t>A</w:t>
      </w:r>
      <w:r w:rsidR="00806737">
        <w:rPr>
          <w:szCs w:val="26"/>
        </w:rPr>
        <w:t xml:space="preserve"> court </w:t>
      </w:r>
      <w:r w:rsidR="0042426D">
        <w:rPr>
          <w:szCs w:val="26"/>
        </w:rPr>
        <w:t>interpret</w:t>
      </w:r>
      <w:r w:rsidR="00995358">
        <w:rPr>
          <w:szCs w:val="26"/>
        </w:rPr>
        <w:t>ing</w:t>
      </w:r>
      <w:r w:rsidR="0042426D">
        <w:rPr>
          <w:szCs w:val="26"/>
        </w:rPr>
        <w:t xml:space="preserve"> an arbitration agreement </w:t>
      </w:r>
      <w:r w:rsidR="005C7FAA">
        <w:rPr>
          <w:szCs w:val="26"/>
        </w:rPr>
        <w:t>within</w:t>
      </w:r>
      <w:r w:rsidR="0042426D">
        <w:rPr>
          <w:szCs w:val="26"/>
        </w:rPr>
        <w:t xml:space="preserve"> the </w:t>
      </w:r>
      <w:r w:rsidR="006670BC">
        <w:rPr>
          <w:szCs w:val="26"/>
        </w:rPr>
        <w:t>coverage</w:t>
      </w:r>
      <w:r w:rsidR="0042426D">
        <w:rPr>
          <w:szCs w:val="26"/>
        </w:rPr>
        <w:t xml:space="preserve"> of the FAA</w:t>
      </w:r>
      <w:r w:rsidR="00F962B0">
        <w:rPr>
          <w:szCs w:val="26"/>
        </w:rPr>
        <w:t xml:space="preserve"> must resolve ambiguities</w:t>
      </w:r>
      <w:r w:rsidR="005E30CC">
        <w:rPr>
          <w:szCs w:val="26"/>
        </w:rPr>
        <w:t xml:space="preserve"> about the scope of t</w:t>
      </w:r>
      <w:r w:rsidR="007C13B5">
        <w:rPr>
          <w:szCs w:val="26"/>
        </w:rPr>
        <w:t>he arbitration agreement</w:t>
      </w:r>
      <w:r w:rsidR="00AD5CAA">
        <w:rPr>
          <w:szCs w:val="26"/>
        </w:rPr>
        <w:t xml:space="preserve"> </w:t>
      </w:r>
      <w:r w:rsidR="007C13B5">
        <w:rPr>
          <w:szCs w:val="26"/>
        </w:rPr>
        <w:t>in</w:t>
      </w:r>
      <w:r w:rsidR="00A04790">
        <w:rPr>
          <w:szCs w:val="26"/>
        </w:rPr>
        <w:t xml:space="preserve"> favor of arbitration</w:t>
      </w:r>
      <w:r w:rsidR="00D82546">
        <w:rPr>
          <w:szCs w:val="26"/>
        </w:rPr>
        <w:t xml:space="preserve"> in accordance with the federal policy favoring arbitration</w:t>
      </w:r>
      <w:r w:rsidR="00A04790">
        <w:rPr>
          <w:szCs w:val="26"/>
        </w:rPr>
        <w:t xml:space="preserve">.  </w:t>
      </w:r>
      <w:bookmarkStart w:id="17" w:name="_Hlk159313205"/>
      <w:r w:rsidR="00A04790" w:rsidRPr="00A04790">
        <w:rPr>
          <w:szCs w:val="26"/>
        </w:rPr>
        <w:t>(</w:t>
      </w:r>
      <w:r w:rsidR="00A04790" w:rsidRPr="00A04790">
        <w:rPr>
          <w:i/>
          <w:iCs/>
          <w:szCs w:val="26"/>
        </w:rPr>
        <w:t>Volt</w:t>
      </w:r>
      <w:r w:rsidR="005036D6" w:rsidRPr="005036D6">
        <w:rPr>
          <w:szCs w:val="26"/>
        </w:rPr>
        <w:t>,</w:t>
      </w:r>
      <w:r w:rsidR="005036D6">
        <w:rPr>
          <w:i/>
          <w:iCs/>
          <w:szCs w:val="26"/>
        </w:rPr>
        <w:t xml:space="preserve"> supra</w:t>
      </w:r>
      <w:r w:rsidR="005036D6" w:rsidRPr="005036D6">
        <w:rPr>
          <w:szCs w:val="26"/>
        </w:rPr>
        <w:t>,</w:t>
      </w:r>
      <w:r w:rsidR="00A04790" w:rsidRPr="005036D6">
        <w:rPr>
          <w:szCs w:val="26"/>
        </w:rPr>
        <w:t xml:space="preserve"> </w:t>
      </w:r>
      <w:r w:rsidR="00A04790" w:rsidRPr="00A04790">
        <w:rPr>
          <w:szCs w:val="26"/>
        </w:rPr>
        <w:t xml:space="preserve">489 U.S. </w:t>
      </w:r>
      <w:r w:rsidR="005036D6">
        <w:rPr>
          <w:szCs w:val="26"/>
        </w:rPr>
        <w:t>at pp.</w:t>
      </w:r>
      <w:r w:rsidR="00A04790" w:rsidRPr="00A04790">
        <w:rPr>
          <w:szCs w:val="26"/>
        </w:rPr>
        <w:t xml:space="preserve"> 47</w:t>
      </w:r>
      <w:r w:rsidR="00A04790">
        <w:rPr>
          <w:szCs w:val="26"/>
        </w:rPr>
        <w:t>5</w:t>
      </w:r>
      <w:r w:rsidR="00791939">
        <w:rPr>
          <w:szCs w:val="26"/>
        </w:rPr>
        <w:t>–</w:t>
      </w:r>
      <w:r w:rsidR="00A04790">
        <w:rPr>
          <w:szCs w:val="26"/>
        </w:rPr>
        <w:t>476</w:t>
      </w:r>
      <w:bookmarkEnd w:id="17"/>
      <w:r w:rsidR="00327A52">
        <w:rPr>
          <w:szCs w:val="26"/>
        </w:rPr>
        <w:t xml:space="preserve">; </w:t>
      </w:r>
      <w:r w:rsidR="00967921" w:rsidRPr="005036D6">
        <w:rPr>
          <w:i/>
          <w:iCs/>
          <w:szCs w:val="26"/>
        </w:rPr>
        <w:t>Cronus</w:t>
      </w:r>
      <w:r w:rsidR="005036D6">
        <w:rPr>
          <w:szCs w:val="26"/>
        </w:rPr>
        <w:t xml:space="preserve">, </w:t>
      </w:r>
      <w:r w:rsidR="005036D6" w:rsidRPr="005036D6">
        <w:rPr>
          <w:i/>
          <w:iCs/>
          <w:szCs w:val="26"/>
        </w:rPr>
        <w:t>supra</w:t>
      </w:r>
      <w:r w:rsidR="005036D6">
        <w:rPr>
          <w:szCs w:val="26"/>
        </w:rPr>
        <w:t>,</w:t>
      </w:r>
      <w:r w:rsidR="00967921" w:rsidRPr="00967921">
        <w:rPr>
          <w:szCs w:val="26"/>
        </w:rPr>
        <w:t xml:space="preserve"> 35 Cal.4th </w:t>
      </w:r>
      <w:r w:rsidR="005036D6">
        <w:rPr>
          <w:szCs w:val="26"/>
        </w:rPr>
        <w:t>at p.</w:t>
      </w:r>
      <w:r w:rsidR="00967921" w:rsidRPr="00967921">
        <w:rPr>
          <w:szCs w:val="26"/>
        </w:rPr>
        <w:t xml:space="preserve"> 384</w:t>
      </w:r>
      <w:r w:rsidR="00310373">
        <w:rPr>
          <w:szCs w:val="26"/>
        </w:rPr>
        <w:t>.</w:t>
      </w:r>
      <w:r w:rsidR="00A04790" w:rsidRPr="00A04790">
        <w:rPr>
          <w:szCs w:val="26"/>
        </w:rPr>
        <w:t>)</w:t>
      </w:r>
    </w:p>
    <w:p w14:paraId="1DEFE852" w14:textId="4C9C9280" w:rsidR="00A160D2" w:rsidRDefault="00A427C0" w:rsidP="00C5238E">
      <w:pPr>
        <w:rPr>
          <w:szCs w:val="26"/>
        </w:rPr>
      </w:pPr>
      <w:r>
        <w:rPr>
          <w:szCs w:val="26"/>
        </w:rPr>
        <w:tab/>
      </w:r>
      <w:r w:rsidR="00FE4E45">
        <w:rPr>
          <w:szCs w:val="26"/>
        </w:rPr>
        <w:t>S</w:t>
      </w:r>
      <w:r w:rsidR="00354D23">
        <w:rPr>
          <w:szCs w:val="26"/>
        </w:rPr>
        <w:t xml:space="preserve">ections 1 and 2 of the FAA </w:t>
      </w:r>
      <w:r w:rsidR="00430987">
        <w:rPr>
          <w:szCs w:val="26"/>
        </w:rPr>
        <w:t xml:space="preserve">contain </w:t>
      </w:r>
      <w:r w:rsidR="00FE4E45">
        <w:rPr>
          <w:szCs w:val="26"/>
        </w:rPr>
        <w:t xml:space="preserve">substantive </w:t>
      </w:r>
      <w:r w:rsidR="00EE6AF9">
        <w:rPr>
          <w:szCs w:val="26"/>
        </w:rPr>
        <w:t xml:space="preserve">federal arbitration law </w:t>
      </w:r>
      <w:r w:rsidR="007F0D91">
        <w:rPr>
          <w:szCs w:val="26"/>
        </w:rPr>
        <w:t xml:space="preserve">that applies </w:t>
      </w:r>
      <w:r w:rsidR="00EE6AF9">
        <w:rPr>
          <w:szCs w:val="26"/>
        </w:rPr>
        <w:t xml:space="preserve">in federal and state court to any arbitration agreement within the scope of the FAA. </w:t>
      </w:r>
      <w:r w:rsidR="00EA2517">
        <w:rPr>
          <w:szCs w:val="26"/>
        </w:rPr>
        <w:t xml:space="preserve"> </w:t>
      </w:r>
      <w:r w:rsidR="00FD5BDD" w:rsidRPr="00FD5BDD">
        <w:rPr>
          <w:szCs w:val="26"/>
        </w:rPr>
        <w:t>(</w:t>
      </w:r>
      <w:r w:rsidR="00FD5BDD" w:rsidRPr="00EA2517">
        <w:rPr>
          <w:i/>
          <w:iCs/>
          <w:szCs w:val="26"/>
        </w:rPr>
        <w:t xml:space="preserve">Moses H. Cone </w:t>
      </w:r>
      <w:r w:rsidR="00FE1301">
        <w:rPr>
          <w:i/>
          <w:iCs/>
          <w:szCs w:val="26"/>
        </w:rPr>
        <w:t xml:space="preserve">Memorial </w:t>
      </w:r>
      <w:r w:rsidR="00FD5BDD" w:rsidRPr="00EA2517">
        <w:rPr>
          <w:i/>
          <w:iCs/>
          <w:szCs w:val="26"/>
        </w:rPr>
        <w:t xml:space="preserve">Hospital v. Mercury Constr. Corp. </w:t>
      </w:r>
      <w:r w:rsidR="00FD5BDD" w:rsidRPr="00FD5BDD">
        <w:rPr>
          <w:szCs w:val="26"/>
        </w:rPr>
        <w:t>(1983) 460 U.S. 1, 24</w:t>
      </w:r>
      <w:r w:rsidR="00EA2517">
        <w:rPr>
          <w:szCs w:val="26"/>
        </w:rPr>
        <w:t xml:space="preserve">; </w:t>
      </w:r>
      <w:r w:rsidR="00FD5BDD" w:rsidRPr="003B7294">
        <w:rPr>
          <w:i/>
          <w:iCs/>
          <w:szCs w:val="26"/>
        </w:rPr>
        <w:t>Cable Connection, Inc. v. DIRECTV, Inc.</w:t>
      </w:r>
      <w:r w:rsidR="00FD5BDD" w:rsidRPr="00FD5BDD">
        <w:rPr>
          <w:szCs w:val="26"/>
        </w:rPr>
        <w:t xml:space="preserve"> (2008) 44 Cal.4th 1334, 1350–1351</w:t>
      </w:r>
      <w:r>
        <w:rPr>
          <w:szCs w:val="26"/>
        </w:rPr>
        <w:t xml:space="preserve"> (</w:t>
      </w:r>
      <w:r w:rsidRPr="003B7294">
        <w:rPr>
          <w:i/>
          <w:iCs/>
          <w:szCs w:val="26"/>
        </w:rPr>
        <w:t>DIRECTV</w:t>
      </w:r>
      <w:r>
        <w:rPr>
          <w:szCs w:val="26"/>
        </w:rPr>
        <w:t>)</w:t>
      </w:r>
      <w:r w:rsidR="00EA2517">
        <w:rPr>
          <w:szCs w:val="26"/>
        </w:rPr>
        <w:t xml:space="preserve">; </w:t>
      </w:r>
      <w:r w:rsidR="00EA2517" w:rsidRPr="003B7294">
        <w:rPr>
          <w:i/>
          <w:iCs/>
          <w:szCs w:val="26"/>
        </w:rPr>
        <w:t>Cronus</w:t>
      </w:r>
      <w:r w:rsidR="00EA2517" w:rsidRPr="00EA2517">
        <w:rPr>
          <w:szCs w:val="26"/>
        </w:rPr>
        <w:t xml:space="preserve">, </w:t>
      </w:r>
      <w:r w:rsidR="00EA2517" w:rsidRPr="003B7294">
        <w:rPr>
          <w:i/>
          <w:iCs/>
          <w:szCs w:val="26"/>
        </w:rPr>
        <w:t>supra</w:t>
      </w:r>
      <w:r w:rsidR="00EA2517" w:rsidRPr="00EA2517">
        <w:rPr>
          <w:szCs w:val="26"/>
        </w:rPr>
        <w:t>, 35 Cal.4th at pp.</w:t>
      </w:r>
      <w:r w:rsidR="005A1357">
        <w:rPr>
          <w:szCs w:val="26"/>
        </w:rPr>
        <w:t> </w:t>
      </w:r>
      <w:r w:rsidR="00EA2517" w:rsidRPr="00EA2517">
        <w:rPr>
          <w:szCs w:val="26"/>
        </w:rPr>
        <w:t>387</w:t>
      </w:r>
      <w:r w:rsidR="00791939">
        <w:rPr>
          <w:szCs w:val="26"/>
        </w:rPr>
        <w:t>–</w:t>
      </w:r>
      <w:r w:rsidR="00EA2517" w:rsidRPr="00EA2517">
        <w:rPr>
          <w:szCs w:val="26"/>
        </w:rPr>
        <w:t>390</w:t>
      </w:r>
      <w:r>
        <w:rPr>
          <w:szCs w:val="26"/>
        </w:rPr>
        <w:t>.)</w:t>
      </w:r>
      <w:r w:rsidR="00D1511D">
        <w:rPr>
          <w:szCs w:val="26"/>
        </w:rPr>
        <w:t xml:space="preserve">  </w:t>
      </w:r>
      <w:r w:rsidR="00782B16" w:rsidRPr="00782B16">
        <w:rPr>
          <w:szCs w:val="26"/>
        </w:rPr>
        <w:t>The FAA does not expressly preempt state law, nor does it reflect an intent by Congress to occupy the entire field of arbitration</w:t>
      </w:r>
      <w:r w:rsidR="00FA6A8A">
        <w:rPr>
          <w:szCs w:val="26"/>
        </w:rPr>
        <w:t>.</w:t>
      </w:r>
      <w:r w:rsidR="00434291">
        <w:rPr>
          <w:szCs w:val="26"/>
        </w:rPr>
        <w:t xml:space="preserve"> </w:t>
      </w:r>
      <w:r w:rsidR="00FA6A8A">
        <w:rPr>
          <w:szCs w:val="26"/>
        </w:rPr>
        <w:t xml:space="preserve"> </w:t>
      </w:r>
      <w:r w:rsidR="00434291" w:rsidRPr="00434291">
        <w:rPr>
          <w:szCs w:val="26"/>
        </w:rPr>
        <w:t>(</w:t>
      </w:r>
      <w:r w:rsidR="00434291" w:rsidRPr="007068C1">
        <w:rPr>
          <w:i/>
          <w:iCs/>
          <w:szCs w:val="26"/>
        </w:rPr>
        <w:t>Volt</w:t>
      </w:r>
      <w:r w:rsidR="00434291" w:rsidRPr="00434291">
        <w:rPr>
          <w:szCs w:val="26"/>
        </w:rPr>
        <w:t xml:space="preserve">, </w:t>
      </w:r>
      <w:r w:rsidR="00434291" w:rsidRPr="007068C1">
        <w:rPr>
          <w:i/>
          <w:iCs/>
          <w:szCs w:val="26"/>
        </w:rPr>
        <w:t>supra</w:t>
      </w:r>
      <w:r w:rsidR="00434291" w:rsidRPr="00434291">
        <w:rPr>
          <w:szCs w:val="26"/>
        </w:rPr>
        <w:t xml:space="preserve">, 489 U.S. at p. 477.)  </w:t>
      </w:r>
      <w:r w:rsidR="00D36040">
        <w:rPr>
          <w:szCs w:val="26"/>
        </w:rPr>
        <w:t>When</w:t>
      </w:r>
      <w:r w:rsidR="00782B16" w:rsidRPr="00782B16">
        <w:rPr>
          <w:szCs w:val="26"/>
        </w:rPr>
        <w:t xml:space="preserve"> the FAA applies</w:t>
      </w:r>
      <w:r w:rsidR="00A477E6">
        <w:rPr>
          <w:szCs w:val="26"/>
        </w:rPr>
        <w:t xml:space="preserve"> to an agreement</w:t>
      </w:r>
      <w:r w:rsidR="00782B16" w:rsidRPr="00782B16">
        <w:rPr>
          <w:szCs w:val="26"/>
        </w:rPr>
        <w:t>,</w:t>
      </w:r>
      <w:r w:rsidR="00434291">
        <w:rPr>
          <w:szCs w:val="26"/>
        </w:rPr>
        <w:t xml:space="preserve"> however,</w:t>
      </w:r>
      <w:r w:rsidR="00782B16" w:rsidRPr="00782B16">
        <w:rPr>
          <w:szCs w:val="26"/>
        </w:rPr>
        <w:t xml:space="preserve"> </w:t>
      </w:r>
      <w:r w:rsidR="008464D2">
        <w:rPr>
          <w:szCs w:val="26"/>
        </w:rPr>
        <w:t>the substantive provisions of the FAA</w:t>
      </w:r>
      <w:r w:rsidR="00782B16" w:rsidRPr="00782B16">
        <w:rPr>
          <w:szCs w:val="26"/>
        </w:rPr>
        <w:t xml:space="preserve"> preempt state law to the extent that </w:t>
      </w:r>
      <w:r w:rsidR="00B003DF">
        <w:rPr>
          <w:szCs w:val="26"/>
        </w:rPr>
        <w:t>state law</w:t>
      </w:r>
      <w:r w:rsidR="00782B16" w:rsidRPr="00782B16">
        <w:rPr>
          <w:szCs w:val="26"/>
        </w:rPr>
        <w:t xml:space="preserve"> </w:t>
      </w:r>
      <w:proofErr w:type="gramStart"/>
      <w:r w:rsidR="005F640F">
        <w:rPr>
          <w:szCs w:val="26"/>
        </w:rPr>
        <w:t xml:space="preserve">actually </w:t>
      </w:r>
      <w:r w:rsidR="00782B16" w:rsidRPr="00782B16">
        <w:rPr>
          <w:szCs w:val="26"/>
        </w:rPr>
        <w:t>conflicts</w:t>
      </w:r>
      <w:proofErr w:type="gramEnd"/>
      <w:r w:rsidR="00782B16" w:rsidRPr="00782B16">
        <w:rPr>
          <w:szCs w:val="26"/>
        </w:rPr>
        <w:t xml:space="preserve"> with </w:t>
      </w:r>
      <w:r w:rsidR="00A3235A">
        <w:rPr>
          <w:szCs w:val="26"/>
        </w:rPr>
        <w:t xml:space="preserve">the federal law </w:t>
      </w:r>
      <w:r w:rsidR="00B003DF">
        <w:rPr>
          <w:szCs w:val="26"/>
        </w:rPr>
        <w:t xml:space="preserve">or </w:t>
      </w:r>
      <w:r w:rsidR="001A0BD8">
        <w:rPr>
          <w:szCs w:val="26"/>
        </w:rPr>
        <w:t>operates as</w:t>
      </w:r>
      <w:r w:rsidR="005A4113">
        <w:rPr>
          <w:szCs w:val="26"/>
        </w:rPr>
        <w:t xml:space="preserve"> </w:t>
      </w:r>
      <w:r w:rsidR="00B003DF">
        <w:rPr>
          <w:szCs w:val="26"/>
        </w:rPr>
        <w:t xml:space="preserve">an obstacle to </w:t>
      </w:r>
      <w:r w:rsidR="0048624B">
        <w:rPr>
          <w:szCs w:val="26"/>
        </w:rPr>
        <w:t>accomplishing the purpose</w:t>
      </w:r>
      <w:r w:rsidR="00EC1142">
        <w:rPr>
          <w:szCs w:val="26"/>
        </w:rPr>
        <w:t>s</w:t>
      </w:r>
      <w:r w:rsidR="002031DD">
        <w:rPr>
          <w:szCs w:val="26"/>
        </w:rPr>
        <w:t xml:space="preserve"> of the FAA</w:t>
      </w:r>
      <w:r w:rsidR="00782B16" w:rsidRPr="00782B16">
        <w:rPr>
          <w:szCs w:val="26"/>
        </w:rPr>
        <w:t>.  (</w:t>
      </w:r>
      <w:bookmarkStart w:id="18" w:name="_Hlk159327470"/>
      <w:r w:rsidR="00F23A51">
        <w:rPr>
          <w:i/>
          <w:iCs/>
          <w:szCs w:val="26"/>
        </w:rPr>
        <w:t>Ibid.</w:t>
      </w:r>
      <w:r w:rsidR="008464D2">
        <w:rPr>
          <w:szCs w:val="26"/>
        </w:rPr>
        <w:t xml:space="preserve">; </w:t>
      </w:r>
      <w:r w:rsidR="0006579C" w:rsidRPr="008464D2">
        <w:rPr>
          <w:i/>
          <w:iCs/>
          <w:szCs w:val="26"/>
        </w:rPr>
        <w:t>Cronus</w:t>
      </w:r>
      <w:r w:rsidR="002E5C9B">
        <w:rPr>
          <w:szCs w:val="26"/>
        </w:rPr>
        <w:t xml:space="preserve">, </w:t>
      </w:r>
      <w:r w:rsidR="002E5C9B" w:rsidRPr="008464D2">
        <w:rPr>
          <w:i/>
          <w:iCs/>
          <w:szCs w:val="26"/>
        </w:rPr>
        <w:t>supra</w:t>
      </w:r>
      <w:r w:rsidR="002E5C9B">
        <w:rPr>
          <w:szCs w:val="26"/>
        </w:rPr>
        <w:t>, 35 Cal.4th at pp. 387</w:t>
      </w:r>
      <w:r w:rsidR="00867394">
        <w:rPr>
          <w:szCs w:val="26"/>
        </w:rPr>
        <w:t>–</w:t>
      </w:r>
      <w:r w:rsidR="00D51D45">
        <w:rPr>
          <w:szCs w:val="26"/>
        </w:rPr>
        <w:t>390</w:t>
      </w:r>
      <w:bookmarkEnd w:id="18"/>
      <w:r w:rsidR="008526B0" w:rsidRPr="008526B0">
        <w:rPr>
          <w:szCs w:val="26"/>
        </w:rPr>
        <w:t xml:space="preserve">)  </w:t>
      </w:r>
    </w:p>
    <w:p w14:paraId="6990DC51" w14:textId="3096D3F0" w:rsidR="00875860" w:rsidRDefault="00D1511D" w:rsidP="00C5238E">
      <w:pPr>
        <w:rPr>
          <w:szCs w:val="26"/>
        </w:rPr>
      </w:pPr>
      <w:r>
        <w:rPr>
          <w:szCs w:val="26"/>
        </w:rPr>
        <w:tab/>
        <w:t xml:space="preserve">The </w:t>
      </w:r>
      <w:r w:rsidR="009F39C6">
        <w:rPr>
          <w:szCs w:val="26"/>
        </w:rPr>
        <w:t xml:space="preserve">FAA also contains </w:t>
      </w:r>
      <w:r>
        <w:rPr>
          <w:szCs w:val="26"/>
        </w:rPr>
        <w:t xml:space="preserve">procedural </w:t>
      </w:r>
      <w:r w:rsidR="009F39C6">
        <w:rPr>
          <w:szCs w:val="26"/>
        </w:rPr>
        <w:t>provisions</w:t>
      </w:r>
      <w:r w:rsidR="006C00AB">
        <w:rPr>
          <w:szCs w:val="26"/>
        </w:rPr>
        <w:t xml:space="preserve">.  </w:t>
      </w:r>
      <w:r w:rsidR="006C00AB" w:rsidRPr="006C00AB">
        <w:rPr>
          <w:szCs w:val="26"/>
        </w:rPr>
        <w:t>(</w:t>
      </w:r>
      <w:r w:rsidR="006C00AB" w:rsidRPr="006C00AB">
        <w:rPr>
          <w:i/>
          <w:iCs/>
          <w:szCs w:val="26"/>
        </w:rPr>
        <w:t>DIRECTV</w:t>
      </w:r>
      <w:r w:rsidR="006C00AB" w:rsidRPr="006C00AB">
        <w:rPr>
          <w:szCs w:val="26"/>
        </w:rPr>
        <w:t xml:space="preserve">, </w:t>
      </w:r>
      <w:r w:rsidR="006C00AB" w:rsidRPr="006C00AB">
        <w:rPr>
          <w:i/>
          <w:iCs/>
          <w:szCs w:val="26"/>
        </w:rPr>
        <w:t>supra</w:t>
      </w:r>
      <w:r w:rsidR="006C00AB" w:rsidRPr="006C00AB">
        <w:rPr>
          <w:szCs w:val="26"/>
        </w:rPr>
        <w:t>, 44 Cal.4th at p. 1351.)</w:t>
      </w:r>
      <w:r w:rsidR="000C62DF">
        <w:rPr>
          <w:szCs w:val="26"/>
        </w:rPr>
        <w:t xml:space="preserve">  The procedural provisions of the FAA</w:t>
      </w:r>
      <w:r w:rsidR="009F39C6">
        <w:rPr>
          <w:szCs w:val="26"/>
        </w:rPr>
        <w:t xml:space="preserve"> </w:t>
      </w:r>
      <w:r w:rsidR="007A1274">
        <w:rPr>
          <w:szCs w:val="26"/>
        </w:rPr>
        <w:t xml:space="preserve">apply in </w:t>
      </w:r>
      <w:r w:rsidR="007C29C9">
        <w:rPr>
          <w:szCs w:val="26"/>
        </w:rPr>
        <w:t>federal court proceedings related to arbitrations</w:t>
      </w:r>
      <w:r w:rsidR="007A1274">
        <w:rPr>
          <w:szCs w:val="26"/>
        </w:rPr>
        <w:t>.</w:t>
      </w:r>
      <w:r w:rsidR="00E82E2C">
        <w:rPr>
          <w:szCs w:val="26"/>
        </w:rPr>
        <w:t xml:space="preserve"> </w:t>
      </w:r>
      <w:r w:rsidR="000C62DF">
        <w:rPr>
          <w:szCs w:val="26"/>
        </w:rPr>
        <w:t xml:space="preserve"> (</w:t>
      </w:r>
      <w:r w:rsidR="000C62DF" w:rsidRPr="00791939">
        <w:rPr>
          <w:i/>
          <w:iCs/>
          <w:szCs w:val="26"/>
        </w:rPr>
        <w:t>Ibid</w:t>
      </w:r>
      <w:r w:rsidR="000C62DF">
        <w:rPr>
          <w:szCs w:val="26"/>
        </w:rPr>
        <w:t>.)  By their terms</w:t>
      </w:r>
      <w:r w:rsidR="005D79BA">
        <w:rPr>
          <w:szCs w:val="26"/>
        </w:rPr>
        <w:t xml:space="preserve">, these procedural provisions </w:t>
      </w:r>
      <w:r w:rsidR="003F4E62">
        <w:rPr>
          <w:szCs w:val="26"/>
        </w:rPr>
        <w:t xml:space="preserve">of the FAA </w:t>
      </w:r>
      <w:r w:rsidR="00483D13">
        <w:rPr>
          <w:szCs w:val="26"/>
        </w:rPr>
        <w:t>do not apply</w:t>
      </w:r>
      <w:r w:rsidR="0041668F">
        <w:rPr>
          <w:szCs w:val="26"/>
        </w:rPr>
        <w:t xml:space="preserve"> </w:t>
      </w:r>
      <w:r w:rsidR="00E04B09">
        <w:rPr>
          <w:szCs w:val="26"/>
        </w:rPr>
        <w:t>in state court.</w:t>
      </w:r>
      <w:r w:rsidR="00475E94" w:rsidRPr="00475E94">
        <w:t xml:space="preserve"> </w:t>
      </w:r>
      <w:r w:rsidR="00475E94">
        <w:rPr>
          <w:szCs w:val="26"/>
        </w:rPr>
        <w:t xml:space="preserve"> </w:t>
      </w:r>
      <w:bookmarkStart w:id="19" w:name="_Hlk159778071"/>
      <w:r w:rsidR="00475E94">
        <w:rPr>
          <w:szCs w:val="26"/>
        </w:rPr>
        <w:t>(</w:t>
      </w:r>
      <w:r w:rsidR="005D79BA">
        <w:rPr>
          <w:i/>
          <w:iCs/>
          <w:szCs w:val="26"/>
        </w:rPr>
        <w:t>Ibid</w:t>
      </w:r>
      <w:r w:rsidR="00475E94">
        <w:rPr>
          <w:szCs w:val="26"/>
        </w:rPr>
        <w:t>.)</w:t>
      </w:r>
      <w:bookmarkEnd w:id="19"/>
      <w:r w:rsidR="00C53D67">
        <w:rPr>
          <w:szCs w:val="26"/>
        </w:rPr>
        <w:t xml:space="preserve">  </w:t>
      </w:r>
      <w:r w:rsidR="00AC6C15">
        <w:rPr>
          <w:szCs w:val="26"/>
        </w:rPr>
        <w:t xml:space="preserve">The </w:t>
      </w:r>
      <w:r w:rsidR="00EF7BB4">
        <w:rPr>
          <w:szCs w:val="26"/>
        </w:rPr>
        <w:t>procedural provisions of California arbitration laws</w:t>
      </w:r>
      <w:r w:rsidR="003F2521">
        <w:rPr>
          <w:szCs w:val="26"/>
        </w:rPr>
        <w:t xml:space="preserve"> apply in California courts</w:t>
      </w:r>
      <w:r w:rsidR="006B17E2">
        <w:rPr>
          <w:szCs w:val="26"/>
        </w:rPr>
        <w:t xml:space="preserve"> by default</w:t>
      </w:r>
      <w:r w:rsidR="003F2521">
        <w:rPr>
          <w:szCs w:val="26"/>
        </w:rPr>
        <w:t xml:space="preserve">.  </w:t>
      </w:r>
      <w:r w:rsidR="00E8356D">
        <w:rPr>
          <w:szCs w:val="26"/>
        </w:rPr>
        <w:t>(</w:t>
      </w:r>
      <w:r w:rsidR="00E8356D" w:rsidRPr="00E8356D">
        <w:rPr>
          <w:i/>
          <w:iCs/>
          <w:szCs w:val="26"/>
        </w:rPr>
        <w:t>Valencia v. Smyth</w:t>
      </w:r>
      <w:r w:rsidR="00E8356D" w:rsidRPr="00E8356D">
        <w:rPr>
          <w:szCs w:val="26"/>
        </w:rPr>
        <w:t xml:space="preserve"> (2010) 185 Cal.App.4th 153, 174</w:t>
      </w:r>
      <w:r w:rsidR="00E8356D">
        <w:rPr>
          <w:szCs w:val="26"/>
        </w:rPr>
        <w:t xml:space="preserve"> (</w:t>
      </w:r>
      <w:r w:rsidR="00E8356D" w:rsidRPr="00E8356D">
        <w:rPr>
          <w:i/>
          <w:iCs/>
          <w:szCs w:val="26"/>
        </w:rPr>
        <w:t>Valencia</w:t>
      </w:r>
      <w:r w:rsidR="00E8356D">
        <w:rPr>
          <w:szCs w:val="26"/>
        </w:rPr>
        <w:t>).)</w:t>
      </w:r>
    </w:p>
    <w:p w14:paraId="3CA42AF5" w14:textId="77777777" w:rsidR="00A7022A" w:rsidRDefault="00A7022A" w:rsidP="00693EEC">
      <w:pPr>
        <w:keepNext/>
        <w:rPr>
          <w:szCs w:val="26"/>
        </w:rPr>
      </w:pPr>
    </w:p>
    <w:p w14:paraId="23E9EFF8" w14:textId="2BBE9240" w:rsidR="00875860" w:rsidRPr="000342DE" w:rsidRDefault="00875860" w:rsidP="00693EEC">
      <w:pPr>
        <w:keepNext/>
        <w:rPr>
          <w:b/>
          <w:bCs/>
          <w:szCs w:val="26"/>
        </w:rPr>
      </w:pPr>
      <w:r w:rsidRPr="000342DE">
        <w:rPr>
          <w:b/>
          <w:bCs/>
          <w:szCs w:val="26"/>
        </w:rPr>
        <w:tab/>
      </w:r>
      <w:r w:rsidR="000342DE" w:rsidRPr="000342DE">
        <w:rPr>
          <w:b/>
          <w:bCs/>
          <w:szCs w:val="26"/>
        </w:rPr>
        <w:t>B.  Choice of Law</w:t>
      </w:r>
    </w:p>
    <w:p w14:paraId="6474644C" w14:textId="77777777" w:rsidR="00A160D2" w:rsidRDefault="00A160D2" w:rsidP="00693EEC">
      <w:pPr>
        <w:keepNext/>
        <w:rPr>
          <w:szCs w:val="26"/>
        </w:rPr>
      </w:pPr>
    </w:p>
    <w:p w14:paraId="05355531" w14:textId="3FE28C17" w:rsidR="007C58BF" w:rsidRDefault="000F5A88" w:rsidP="00693EEC">
      <w:pPr>
        <w:keepNext/>
        <w:rPr>
          <w:szCs w:val="26"/>
        </w:rPr>
      </w:pPr>
      <w:r>
        <w:rPr>
          <w:szCs w:val="26"/>
        </w:rPr>
        <w:tab/>
        <w:t xml:space="preserve">Parties </w:t>
      </w:r>
      <w:r w:rsidR="004B011B">
        <w:rPr>
          <w:szCs w:val="26"/>
        </w:rPr>
        <w:t>can</w:t>
      </w:r>
      <w:r w:rsidR="00853E04">
        <w:rPr>
          <w:szCs w:val="26"/>
        </w:rPr>
        <w:t xml:space="preserve"> </w:t>
      </w:r>
      <w:r w:rsidR="00E338D2">
        <w:rPr>
          <w:szCs w:val="26"/>
        </w:rPr>
        <w:t xml:space="preserve">avoid preemption by </w:t>
      </w:r>
      <w:r w:rsidR="00CA438F">
        <w:rPr>
          <w:szCs w:val="26"/>
        </w:rPr>
        <w:t xml:space="preserve">expressly </w:t>
      </w:r>
      <w:r w:rsidR="001A6093">
        <w:rPr>
          <w:szCs w:val="26"/>
        </w:rPr>
        <w:t>agree</w:t>
      </w:r>
      <w:r w:rsidR="00E338D2">
        <w:rPr>
          <w:szCs w:val="26"/>
        </w:rPr>
        <w:t>ing</w:t>
      </w:r>
      <w:r w:rsidR="006072AE">
        <w:rPr>
          <w:szCs w:val="26"/>
        </w:rPr>
        <w:t xml:space="preserve"> </w:t>
      </w:r>
      <w:r w:rsidR="001A6093">
        <w:rPr>
          <w:szCs w:val="26"/>
        </w:rPr>
        <w:t>to</w:t>
      </w:r>
      <w:r w:rsidR="00914C54">
        <w:rPr>
          <w:szCs w:val="26"/>
        </w:rPr>
        <w:t xml:space="preserve"> apply</w:t>
      </w:r>
      <w:r w:rsidR="00142FF5">
        <w:rPr>
          <w:szCs w:val="26"/>
        </w:rPr>
        <w:t xml:space="preserve"> </w:t>
      </w:r>
      <w:r w:rsidR="007D539A">
        <w:rPr>
          <w:szCs w:val="26"/>
        </w:rPr>
        <w:t xml:space="preserve">state </w:t>
      </w:r>
      <w:r w:rsidR="004174E9">
        <w:rPr>
          <w:szCs w:val="26"/>
        </w:rPr>
        <w:t>law</w:t>
      </w:r>
      <w:r w:rsidR="00F926B3">
        <w:rPr>
          <w:szCs w:val="26"/>
        </w:rPr>
        <w:t xml:space="preserve"> to their agreement</w:t>
      </w:r>
      <w:r w:rsidR="00EB745D">
        <w:rPr>
          <w:szCs w:val="26"/>
        </w:rPr>
        <w:t>s</w:t>
      </w:r>
      <w:r w:rsidR="00E77C7B">
        <w:rPr>
          <w:szCs w:val="26"/>
        </w:rPr>
        <w:t xml:space="preserve">, </w:t>
      </w:r>
      <w:r w:rsidR="00C0436A">
        <w:rPr>
          <w:szCs w:val="26"/>
        </w:rPr>
        <w:t xml:space="preserve">whether </w:t>
      </w:r>
      <w:r w:rsidR="00310897">
        <w:rPr>
          <w:szCs w:val="26"/>
        </w:rPr>
        <w:t xml:space="preserve">state </w:t>
      </w:r>
      <w:r w:rsidR="00C0436A">
        <w:rPr>
          <w:szCs w:val="26"/>
        </w:rPr>
        <w:t xml:space="preserve">substantive law, </w:t>
      </w:r>
      <w:r w:rsidR="00310897">
        <w:rPr>
          <w:szCs w:val="26"/>
        </w:rPr>
        <w:t xml:space="preserve">state </w:t>
      </w:r>
      <w:r w:rsidR="00C0436A">
        <w:rPr>
          <w:szCs w:val="26"/>
        </w:rPr>
        <w:t>procedural law, or both</w:t>
      </w:r>
      <w:r w:rsidR="00E1637B">
        <w:rPr>
          <w:szCs w:val="26"/>
        </w:rPr>
        <w:t>.  (</w:t>
      </w:r>
      <w:r w:rsidR="00E1637B" w:rsidRPr="00786A67">
        <w:rPr>
          <w:i/>
          <w:iCs/>
          <w:szCs w:val="26"/>
        </w:rPr>
        <w:t>Volt</w:t>
      </w:r>
      <w:r w:rsidR="00E1637B">
        <w:rPr>
          <w:szCs w:val="26"/>
        </w:rPr>
        <w:t xml:space="preserve">, </w:t>
      </w:r>
      <w:r w:rsidR="00E1637B" w:rsidRPr="00786A67">
        <w:rPr>
          <w:i/>
          <w:iCs/>
          <w:szCs w:val="26"/>
        </w:rPr>
        <w:t>supra</w:t>
      </w:r>
      <w:r w:rsidR="00E1637B">
        <w:rPr>
          <w:szCs w:val="26"/>
        </w:rPr>
        <w:t>, 489 U.S. at p.</w:t>
      </w:r>
      <w:r w:rsidR="005A1357">
        <w:rPr>
          <w:szCs w:val="26"/>
        </w:rPr>
        <w:t> </w:t>
      </w:r>
      <w:r w:rsidR="00E1637B">
        <w:rPr>
          <w:szCs w:val="26"/>
        </w:rPr>
        <w:t>476.)</w:t>
      </w:r>
      <w:r w:rsidR="00C933A3">
        <w:rPr>
          <w:szCs w:val="26"/>
        </w:rPr>
        <w:t xml:space="preserve">  “</w:t>
      </w:r>
      <w:r w:rsidR="00C933A3" w:rsidRPr="00C933A3">
        <w:rPr>
          <w:szCs w:val="26"/>
        </w:rPr>
        <w:t>There is no federal policy favoring arbitration under a certain set of procedural rules; the federal policy is simply to ensure the enforceability, according to their terms, of private agreements to arbitrate</w:t>
      </w:r>
      <w:r w:rsidR="00C933A3">
        <w:rPr>
          <w:szCs w:val="26"/>
        </w:rPr>
        <w:t xml:space="preserve">.”  </w:t>
      </w:r>
      <w:r w:rsidR="000A5A78" w:rsidRPr="000A5A78">
        <w:rPr>
          <w:szCs w:val="26"/>
        </w:rPr>
        <w:t>(</w:t>
      </w:r>
      <w:r w:rsidR="00335361" w:rsidRPr="00335361">
        <w:rPr>
          <w:i/>
          <w:iCs/>
          <w:szCs w:val="26"/>
        </w:rPr>
        <w:t>Ibid</w:t>
      </w:r>
      <w:r w:rsidR="000A5A78" w:rsidRPr="000A5A78">
        <w:rPr>
          <w:szCs w:val="26"/>
        </w:rPr>
        <w:t xml:space="preserve">.)  </w:t>
      </w:r>
      <w:r w:rsidR="00C21235" w:rsidRPr="00C21235">
        <w:rPr>
          <w:szCs w:val="26"/>
        </w:rPr>
        <w:t xml:space="preserve">When parties have agreed to arbitrate in accordance with state </w:t>
      </w:r>
      <w:r w:rsidR="00C43DD6">
        <w:rPr>
          <w:szCs w:val="26"/>
        </w:rPr>
        <w:t xml:space="preserve">substantive and/or procedural </w:t>
      </w:r>
      <w:r w:rsidR="00C21235" w:rsidRPr="00C21235">
        <w:rPr>
          <w:szCs w:val="26"/>
        </w:rPr>
        <w:t xml:space="preserve">law, the FAA does not preempt the state </w:t>
      </w:r>
      <w:r w:rsidR="00A450B0">
        <w:rPr>
          <w:szCs w:val="26"/>
        </w:rPr>
        <w:t>law</w:t>
      </w:r>
      <w:r w:rsidR="00A450B0" w:rsidRPr="00C21235">
        <w:rPr>
          <w:szCs w:val="26"/>
        </w:rPr>
        <w:t xml:space="preserve"> </w:t>
      </w:r>
      <w:r w:rsidR="00C21235" w:rsidRPr="00C21235">
        <w:rPr>
          <w:szCs w:val="26"/>
        </w:rPr>
        <w:t>to which the parties agreed.  (</w:t>
      </w:r>
      <w:r w:rsidR="004813BB" w:rsidRPr="004813BB">
        <w:rPr>
          <w:i/>
          <w:iCs/>
          <w:szCs w:val="26"/>
        </w:rPr>
        <w:t>Id</w:t>
      </w:r>
      <w:r w:rsidR="004813BB">
        <w:rPr>
          <w:szCs w:val="26"/>
        </w:rPr>
        <w:t xml:space="preserve">. </w:t>
      </w:r>
      <w:r w:rsidR="00C21235" w:rsidRPr="00C21235">
        <w:rPr>
          <w:szCs w:val="26"/>
        </w:rPr>
        <w:t>at p</w:t>
      </w:r>
      <w:r w:rsidR="00A7022A">
        <w:rPr>
          <w:szCs w:val="26"/>
        </w:rPr>
        <w:t>p</w:t>
      </w:r>
      <w:r w:rsidR="00C21235" w:rsidRPr="00C21235">
        <w:rPr>
          <w:szCs w:val="26"/>
        </w:rPr>
        <w:t>. 477</w:t>
      </w:r>
      <w:r w:rsidR="00791939">
        <w:rPr>
          <w:szCs w:val="26"/>
        </w:rPr>
        <w:t>–</w:t>
      </w:r>
      <w:r w:rsidR="00C21235" w:rsidRPr="00C21235">
        <w:rPr>
          <w:szCs w:val="26"/>
        </w:rPr>
        <w:t xml:space="preserve">478.) </w:t>
      </w:r>
    </w:p>
    <w:p w14:paraId="547CBAD2" w14:textId="3844A3FB" w:rsidR="00E01606" w:rsidRDefault="00E37BC4" w:rsidP="00C5238E">
      <w:pPr>
        <w:rPr>
          <w:szCs w:val="26"/>
        </w:rPr>
      </w:pPr>
      <w:r>
        <w:rPr>
          <w:szCs w:val="26"/>
        </w:rPr>
        <w:tab/>
      </w:r>
      <w:bookmarkStart w:id="20" w:name="_Hlk159340768"/>
      <w:r w:rsidR="0000340B">
        <w:rPr>
          <w:szCs w:val="26"/>
        </w:rPr>
        <w:t xml:space="preserve">If parties </w:t>
      </w:r>
      <w:r w:rsidR="00053F25">
        <w:rPr>
          <w:szCs w:val="26"/>
        </w:rPr>
        <w:t xml:space="preserve">expressly </w:t>
      </w:r>
      <w:r w:rsidR="0006348D">
        <w:rPr>
          <w:szCs w:val="26"/>
        </w:rPr>
        <w:t>agree</w:t>
      </w:r>
      <w:r w:rsidR="00FB4F7D">
        <w:rPr>
          <w:szCs w:val="26"/>
        </w:rPr>
        <w:t xml:space="preserve"> to</w:t>
      </w:r>
      <w:r w:rsidR="00921A4F">
        <w:rPr>
          <w:szCs w:val="26"/>
        </w:rPr>
        <w:t xml:space="preserve"> apply </w:t>
      </w:r>
      <w:r w:rsidR="00D97158">
        <w:rPr>
          <w:szCs w:val="26"/>
        </w:rPr>
        <w:t xml:space="preserve">the CAA, or agree to apply </w:t>
      </w:r>
      <w:r w:rsidR="00921A4F">
        <w:rPr>
          <w:szCs w:val="26"/>
        </w:rPr>
        <w:t>California law</w:t>
      </w:r>
      <w:r w:rsidR="00401393">
        <w:rPr>
          <w:szCs w:val="26"/>
        </w:rPr>
        <w:t>,</w:t>
      </w:r>
      <w:r w:rsidR="006A0C2D">
        <w:rPr>
          <w:szCs w:val="26"/>
        </w:rPr>
        <w:t xml:space="preserve"> including </w:t>
      </w:r>
      <w:r w:rsidR="002C6941">
        <w:rPr>
          <w:szCs w:val="26"/>
        </w:rPr>
        <w:t>California</w:t>
      </w:r>
      <w:r w:rsidR="005C7206">
        <w:rPr>
          <w:szCs w:val="26"/>
        </w:rPr>
        <w:t>’s</w:t>
      </w:r>
      <w:r w:rsidR="00BB16F4">
        <w:rPr>
          <w:szCs w:val="26"/>
        </w:rPr>
        <w:t xml:space="preserve"> arbitration rule</w:t>
      </w:r>
      <w:r w:rsidR="002A4EC9">
        <w:rPr>
          <w:szCs w:val="26"/>
        </w:rPr>
        <w:t>s</w:t>
      </w:r>
      <w:r w:rsidR="006160DB">
        <w:rPr>
          <w:szCs w:val="26"/>
        </w:rPr>
        <w:t xml:space="preserve">, </w:t>
      </w:r>
      <w:r w:rsidR="00FB4F7D">
        <w:rPr>
          <w:szCs w:val="26"/>
        </w:rPr>
        <w:t xml:space="preserve">then </w:t>
      </w:r>
      <w:r w:rsidR="00DF0A5D">
        <w:rPr>
          <w:szCs w:val="26"/>
        </w:rPr>
        <w:t xml:space="preserve">the </w:t>
      </w:r>
      <w:r w:rsidR="00ED58DB">
        <w:rPr>
          <w:szCs w:val="26"/>
        </w:rPr>
        <w:t>state arbitration laws</w:t>
      </w:r>
      <w:r w:rsidR="00FC165F">
        <w:rPr>
          <w:szCs w:val="26"/>
        </w:rPr>
        <w:t xml:space="preserve"> </w:t>
      </w:r>
      <w:r w:rsidR="00FB4F7D">
        <w:rPr>
          <w:szCs w:val="26"/>
        </w:rPr>
        <w:t>will</w:t>
      </w:r>
      <w:r w:rsidR="00FC165F">
        <w:rPr>
          <w:szCs w:val="26"/>
        </w:rPr>
        <w:t xml:space="preserve"> not </w:t>
      </w:r>
      <w:r w:rsidR="00FB4F7D">
        <w:rPr>
          <w:szCs w:val="26"/>
        </w:rPr>
        <w:t xml:space="preserve">be </w:t>
      </w:r>
      <w:r w:rsidR="00FC165F">
        <w:rPr>
          <w:szCs w:val="26"/>
        </w:rPr>
        <w:t xml:space="preserve">preempted by the FAA.  </w:t>
      </w:r>
      <w:bookmarkEnd w:id="20"/>
      <w:r w:rsidR="00FC165F" w:rsidRPr="00FC165F">
        <w:rPr>
          <w:szCs w:val="26"/>
        </w:rPr>
        <w:t>(</w:t>
      </w:r>
      <w:r w:rsidR="005C7206" w:rsidRPr="005C7206">
        <w:rPr>
          <w:i/>
          <w:iCs/>
          <w:szCs w:val="26"/>
        </w:rPr>
        <w:t>Volt</w:t>
      </w:r>
      <w:r w:rsidR="005C7206" w:rsidRPr="005C7206">
        <w:rPr>
          <w:szCs w:val="26"/>
        </w:rPr>
        <w:t xml:space="preserve">, </w:t>
      </w:r>
      <w:r w:rsidR="005C7206" w:rsidRPr="005C7206">
        <w:rPr>
          <w:i/>
          <w:iCs/>
          <w:szCs w:val="26"/>
        </w:rPr>
        <w:t>supra</w:t>
      </w:r>
      <w:r w:rsidR="005C7206" w:rsidRPr="005C7206">
        <w:rPr>
          <w:szCs w:val="26"/>
        </w:rPr>
        <w:t>, 489 U.S. at p. 470</w:t>
      </w:r>
      <w:r w:rsidR="005C7206">
        <w:rPr>
          <w:szCs w:val="26"/>
        </w:rPr>
        <w:t xml:space="preserve">; </w:t>
      </w:r>
      <w:r w:rsidR="00677DB6" w:rsidRPr="002A721D">
        <w:rPr>
          <w:i/>
          <w:iCs/>
          <w:szCs w:val="26"/>
        </w:rPr>
        <w:t>Rodriguez v. American Technologies, Inc.</w:t>
      </w:r>
      <w:r w:rsidR="00677DB6" w:rsidRPr="00677DB6">
        <w:rPr>
          <w:szCs w:val="26"/>
        </w:rPr>
        <w:t xml:space="preserve"> (2006) 136 Cal.App.4th 1110, 111</w:t>
      </w:r>
      <w:r w:rsidR="00677DB6">
        <w:rPr>
          <w:szCs w:val="26"/>
        </w:rPr>
        <w:t>8</w:t>
      </w:r>
      <w:r w:rsidR="00677DB6" w:rsidRPr="00677DB6">
        <w:rPr>
          <w:szCs w:val="26"/>
        </w:rPr>
        <w:t xml:space="preserve"> (</w:t>
      </w:r>
      <w:r w:rsidR="00677DB6" w:rsidRPr="002A721D">
        <w:rPr>
          <w:i/>
          <w:iCs/>
          <w:szCs w:val="26"/>
        </w:rPr>
        <w:t>Rodriguez</w:t>
      </w:r>
      <w:r w:rsidR="00677DB6" w:rsidRPr="00677DB6">
        <w:rPr>
          <w:szCs w:val="26"/>
        </w:rPr>
        <w:t>)</w:t>
      </w:r>
      <w:r w:rsidR="00FC165F" w:rsidRPr="00FC165F">
        <w:rPr>
          <w:szCs w:val="26"/>
        </w:rPr>
        <w:t xml:space="preserve">.)  </w:t>
      </w:r>
      <w:r w:rsidR="009D3685">
        <w:rPr>
          <w:szCs w:val="26"/>
        </w:rPr>
        <w:t>In</w:t>
      </w:r>
      <w:r w:rsidR="000A01F5">
        <w:rPr>
          <w:szCs w:val="26"/>
        </w:rPr>
        <w:t xml:space="preserve"> </w:t>
      </w:r>
      <w:r w:rsidR="005355C4">
        <w:rPr>
          <w:szCs w:val="26"/>
        </w:rPr>
        <w:t xml:space="preserve">other words, </w:t>
      </w:r>
      <w:r w:rsidR="007C36DF">
        <w:rPr>
          <w:szCs w:val="26"/>
        </w:rPr>
        <w:t>if</w:t>
      </w:r>
      <w:r w:rsidR="000A01F5">
        <w:rPr>
          <w:szCs w:val="26"/>
        </w:rPr>
        <w:t xml:space="preserve"> the parties have agreed to apply </w:t>
      </w:r>
      <w:r w:rsidR="009D1431">
        <w:rPr>
          <w:szCs w:val="26"/>
        </w:rPr>
        <w:t xml:space="preserve">section 1281.97, no </w:t>
      </w:r>
      <w:r w:rsidR="005355C4">
        <w:rPr>
          <w:szCs w:val="26"/>
        </w:rPr>
        <w:t xml:space="preserve">discussion of </w:t>
      </w:r>
      <w:r w:rsidR="00F43A07">
        <w:rPr>
          <w:szCs w:val="26"/>
        </w:rPr>
        <w:t xml:space="preserve">preemption is </w:t>
      </w:r>
      <w:r w:rsidR="007E5FB5">
        <w:rPr>
          <w:szCs w:val="26"/>
        </w:rPr>
        <w:t>required</w:t>
      </w:r>
      <w:r w:rsidR="009D1431">
        <w:rPr>
          <w:szCs w:val="26"/>
        </w:rPr>
        <w:t>.</w:t>
      </w:r>
    </w:p>
    <w:p w14:paraId="72C26EFF" w14:textId="275FD0B4" w:rsidR="006F34DA" w:rsidRDefault="00E01606" w:rsidP="00C5238E">
      <w:pPr>
        <w:rPr>
          <w:szCs w:val="26"/>
        </w:rPr>
      </w:pPr>
      <w:r>
        <w:rPr>
          <w:szCs w:val="26"/>
        </w:rPr>
        <w:tab/>
      </w:r>
      <w:r w:rsidR="00116590">
        <w:rPr>
          <w:szCs w:val="26"/>
        </w:rPr>
        <w:t>Similarly, if</w:t>
      </w:r>
      <w:r w:rsidR="00FB4F7D">
        <w:rPr>
          <w:szCs w:val="26"/>
        </w:rPr>
        <w:t xml:space="preserve"> parties </w:t>
      </w:r>
      <w:r w:rsidR="008D2C75">
        <w:rPr>
          <w:szCs w:val="26"/>
        </w:rPr>
        <w:t>agree</w:t>
      </w:r>
      <w:r w:rsidR="00FB4F7D">
        <w:rPr>
          <w:szCs w:val="26"/>
        </w:rPr>
        <w:t xml:space="preserve"> to </w:t>
      </w:r>
      <w:r w:rsidR="005F05DC">
        <w:rPr>
          <w:szCs w:val="26"/>
        </w:rPr>
        <w:t xml:space="preserve">apply </w:t>
      </w:r>
      <w:r w:rsidR="00FB4F7D">
        <w:rPr>
          <w:szCs w:val="26"/>
        </w:rPr>
        <w:t xml:space="preserve">the FAA’s procedural provisions, rather than the procedures of the CAA, </w:t>
      </w:r>
      <w:r w:rsidR="008D2C75">
        <w:rPr>
          <w:szCs w:val="26"/>
        </w:rPr>
        <w:t xml:space="preserve">then </w:t>
      </w:r>
      <w:r w:rsidR="00FB4F7D">
        <w:rPr>
          <w:szCs w:val="26"/>
        </w:rPr>
        <w:t xml:space="preserve">the </w:t>
      </w:r>
      <w:r w:rsidR="008D2C75">
        <w:rPr>
          <w:szCs w:val="26"/>
        </w:rPr>
        <w:t>state arbitration</w:t>
      </w:r>
      <w:r w:rsidR="00FB4F7D">
        <w:rPr>
          <w:szCs w:val="26"/>
        </w:rPr>
        <w:t xml:space="preserve"> procedures do not apply and there is no preemption issue</w:t>
      </w:r>
      <w:r w:rsidR="00B82917">
        <w:rPr>
          <w:szCs w:val="26"/>
        </w:rPr>
        <w:t>.</w:t>
      </w:r>
      <w:r w:rsidR="007C0B5B">
        <w:t xml:space="preserve"> </w:t>
      </w:r>
      <w:r w:rsidR="00B82917">
        <w:rPr>
          <w:szCs w:val="26"/>
        </w:rPr>
        <w:t xml:space="preserve"> (</w:t>
      </w:r>
      <w:r w:rsidR="002A7354" w:rsidRPr="0079474D">
        <w:rPr>
          <w:i/>
          <w:iCs/>
          <w:szCs w:val="26"/>
        </w:rPr>
        <w:t>Cronus</w:t>
      </w:r>
      <w:r w:rsidR="002A7354" w:rsidRPr="002A7354">
        <w:rPr>
          <w:szCs w:val="26"/>
        </w:rPr>
        <w:t xml:space="preserve">, </w:t>
      </w:r>
      <w:r w:rsidR="002A7354" w:rsidRPr="0079474D">
        <w:rPr>
          <w:i/>
          <w:iCs/>
          <w:szCs w:val="26"/>
        </w:rPr>
        <w:t>supra</w:t>
      </w:r>
      <w:r w:rsidR="002A7354" w:rsidRPr="002A7354">
        <w:rPr>
          <w:szCs w:val="26"/>
        </w:rPr>
        <w:t>, 35 Cal.4th at p. 394</w:t>
      </w:r>
      <w:r w:rsidR="002A7354">
        <w:rPr>
          <w:szCs w:val="26"/>
        </w:rPr>
        <w:t xml:space="preserve">; </w:t>
      </w:r>
      <w:r w:rsidR="00B82917" w:rsidRPr="0079474D">
        <w:rPr>
          <w:i/>
          <w:iCs/>
          <w:szCs w:val="26"/>
        </w:rPr>
        <w:t>Valencia</w:t>
      </w:r>
      <w:r w:rsidR="00F850F3">
        <w:rPr>
          <w:i/>
          <w:iCs/>
          <w:szCs w:val="26"/>
        </w:rPr>
        <w:t>, supra</w:t>
      </w:r>
      <w:r w:rsidR="00F850F3" w:rsidRPr="00A7022A">
        <w:rPr>
          <w:szCs w:val="26"/>
        </w:rPr>
        <w:t>,</w:t>
      </w:r>
      <w:r w:rsidR="00F850F3">
        <w:rPr>
          <w:i/>
          <w:iCs/>
          <w:szCs w:val="26"/>
        </w:rPr>
        <w:t xml:space="preserve"> </w:t>
      </w:r>
      <w:r w:rsidR="00B82917" w:rsidRPr="00B82917">
        <w:rPr>
          <w:szCs w:val="26"/>
        </w:rPr>
        <w:t xml:space="preserve">185 Cal.App.4th </w:t>
      </w:r>
      <w:r w:rsidR="00F850F3">
        <w:rPr>
          <w:szCs w:val="26"/>
        </w:rPr>
        <w:t>at p.</w:t>
      </w:r>
      <w:r w:rsidR="00B82917" w:rsidRPr="00B82917">
        <w:rPr>
          <w:szCs w:val="26"/>
        </w:rPr>
        <w:t xml:space="preserve"> 157</w:t>
      </w:r>
      <w:r w:rsidR="00B82917">
        <w:rPr>
          <w:szCs w:val="26"/>
        </w:rPr>
        <w:t>.)</w:t>
      </w:r>
      <w:r w:rsidR="0079474D">
        <w:rPr>
          <w:szCs w:val="26"/>
        </w:rPr>
        <w:t xml:space="preserve">  </w:t>
      </w:r>
      <w:r w:rsidR="007C36DF">
        <w:rPr>
          <w:szCs w:val="26"/>
        </w:rPr>
        <w:t xml:space="preserve">For example, in </w:t>
      </w:r>
      <w:r w:rsidR="005124F1" w:rsidRPr="00BE2605">
        <w:rPr>
          <w:i/>
          <w:iCs/>
          <w:szCs w:val="26"/>
        </w:rPr>
        <w:t>Rodriguez</w:t>
      </w:r>
      <w:r w:rsidR="00BE2605">
        <w:rPr>
          <w:szCs w:val="26"/>
        </w:rPr>
        <w:t xml:space="preserve">, </w:t>
      </w:r>
      <w:r w:rsidR="000D73B4">
        <w:rPr>
          <w:szCs w:val="26"/>
        </w:rPr>
        <w:t xml:space="preserve">some of the parties in a multiparty contract dispute </w:t>
      </w:r>
      <w:r w:rsidR="00BE2605">
        <w:rPr>
          <w:szCs w:val="26"/>
        </w:rPr>
        <w:t xml:space="preserve">agreed to </w:t>
      </w:r>
      <w:r w:rsidR="000D73B4">
        <w:rPr>
          <w:szCs w:val="26"/>
        </w:rPr>
        <w:t>arbitrate claims</w:t>
      </w:r>
      <w:r w:rsidR="00BE2605">
        <w:rPr>
          <w:szCs w:val="26"/>
        </w:rPr>
        <w:t xml:space="preserve"> </w:t>
      </w:r>
      <w:proofErr w:type="gramStart"/>
      <w:r w:rsidR="00BE2605">
        <w:rPr>
          <w:szCs w:val="26"/>
        </w:rPr>
        <w:t>“</w:t>
      </w:r>
      <w:r w:rsidR="00FF5AEF">
        <w:rPr>
          <w:szCs w:val="26"/>
        </w:rPr>
        <w:t> ‘</w:t>
      </w:r>
      <w:proofErr w:type="gramEnd"/>
      <w:r w:rsidR="002055FC">
        <w:rPr>
          <w:szCs w:val="26"/>
        </w:rPr>
        <w:t>[</w:t>
      </w:r>
      <w:r w:rsidR="00BE2605">
        <w:rPr>
          <w:szCs w:val="26"/>
        </w:rPr>
        <w:t>p</w:t>
      </w:r>
      <w:r w:rsidR="002055FC">
        <w:rPr>
          <w:szCs w:val="26"/>
        </w:rPr>
        <w:t>]</w:t>
      </w:r>
      <w:proofErr w:type="spellStart"/>
      <w:r w:rsidR="00BE2605">
        <w:rPr>
          <w:szCs w:val="26"/>
        </w:rPr>
        <w:t>ursuant</w:t>
      </w:r>
      <w:proofErr w:type="spellEnd"/>
      <w:r w:rsidR="00BE2605">
        <w:rPr>
          <w:szCs w:val="26"/>
        </w:rPr>
        <w:t xml:space="preserve"> to the Federal Arbitration Act.</w:t>
      </w:r>
      <w:r w:rsidR="002055FC">
        <w:rPr>
          <w:szCs w:val="26"/>
        </w:rPr>
        <w:t>’ </w:t>
      </w:r>
      <w:r w:rsidR="00BE2605">
        <w:rPr>
          <w:szCs w:val="26"/>
        </w:rPr>
        <w:t xml:space="preserve">”  </w:t>
      </w:r>
      <w:r w:rsidR="0046562B">
        <w:rPr>
          <w:szCs w:val="26"/>
        </w:rPr>
        <w:t>(</w:t>
      </w:r>
      <w:r w:rsidR="00BE2605" w:rsidRPr="005C67AC">
        <w:rPr>
          <w:i/>
          <w:iCs/>
          <w:szCs w:val="26"/>
        </w:rPr>
        <w:t>Rodriguez</w:t>
      </w:r>
      <w:r w:rsidR="00BE2605">
        <w:rPr>
          <w:szCs w:val="26"/>
        </w:rPr>
        <w:t xml:space="preserve">, </w:t>
      </w:r>
      <w:r w:rsidR="00BE2605" w:rsidRPr="005C67AC">
        <w:rPr>
          <w:i/>
          <w:iCs/>
          <w:szCs w:val="26"/>
        </w:rPr>
        <w:t>supra</w:t>
      </w:r>
      <w:r w:rsidR="00BE2605">
        <w:rPr>
          <w:szCs w:val="26"/>
        </w:rPr>
        <w:t xml:space="preserve">, </w:t>
      </w:r>
      <w:r w:rsidR="00BE2605" w:rsidRPr="00BE2605">
        <w:rPr>
          <w:szCs w:val="26"/>
        </w:rPr>
        <w:t xml:space="preserve">136 Cal.App.4th </w:t>
      </w:r>
      <w:r w:rsidR="00FC153F">
        <w:rPr>
          <w:szCs w:val="26"/>
        </w:rPr>
        <w:t>at p. 1116.)</w:t>
      </w:r>
      <w:r w:rsidR="001351F5">
        <w:rPr>
          <w:szCs w:val="26"/>
        </w:rPr>
        <w:t xml:space="preserve"> </w:t>
      </w:r>
      <w:r w:rsidR="00225E9C">
        <w:rPr>
          <w:szCs w:val="26"/>
        </w:rPr>
        <w:t xml:space="preserve"> </w:t>
      </w:r>
      <w:r w:rsidR="00D9137D">
        <w:rPr>
          <w:szCs w:val="26"/>
        </w:rPr>
        <w:t xml:space="preserve">The </w:t>
      </w:r>
      <w:r w:rsidR="00B46572">
        <w:rPr>
          <w:szCs w:val="26"/>
        </w:rPr>
        <w:t xml:space="preserve">FAA </w:t>
      </w:r>
      <w:r w:rsidR="000D73B4">
        <w:rPr>
          <w:szCs w:val="26"/>
        </w:rPr>
        <w:t>required</w:t>
      </w:r>
      <w:r w:rsidR="00B46572">
        <w:rPr>
          <w:szCs w:val="26"/>
        </w:rPr>
        <w:t xml:space="preserve"> the court to stay</w:t>
      </w:r>
      <w:r w:rsidR="000D73B4">
        <w:rPr>
          <w:szCs w:val="26"/>
        </w:rPr>
        <w:t xml:space="preserve"> </w:t>
      </w:r>
      <w:r w:rsidR="00B46572">
        <w:rPr>
          <w:szCs w:val="26"/>
        </w:rPr>
        <w:t xml:space="preserve">judicial proceedings until arbitration </w:t>
      </w:r>
      <w:r w:rsidR="00D9137D">
        <w:rPr>
          <w:szCs w:val="26"/>
        </w:rPr>
        <w:t xml:space="preserve">was </w:t>
      </w:r>
      <w:r w:rsidR="00B46572">
        <w:rPr>
          <w:szCs w:val="26"/>
        </w:rPr>
        <w:t>completed, while the CAA</w:t>
      </w:r>
      <w:r w:rsidR="00FE20F4">
        <w:rPr>
          <w:szCs w:val="26"/>
        </w:rPr>
        <w:t xml:space="preserve"> </w:t>
      </w:r>
      <w:r w:rsidR="000D73B4">
        <w:rPr>
          <w:szCs w:val="26"/>
        </w:rPr>
        <w:t>allow</w:t>
      </w:r>
      <w:r w:rsidR="00D9137D">
        <w:rPr>
          <w:szCs w:val="26"/>
        </w:rPr>
        <w:t>ed</w:t>
      </w:r>
      <w:r w:rsidR="00FE20F4">
        <w:rPr>
          <w:szCs w:val="26"/>
        </w:rPr>
        <w:t xml:space="preserve"> </w:t>
      </w:r>
      <w:r w:rsidR="000D73B4">
        <w:rPr>
          <w:szCs w:val="26"/>
        </w:rPr>
        <w:t>for a</w:t>
      </w:r>
      <w:r w:rsidR="00FE20F4">
        <w:rPr>
          <w:szCs w:val="26"/>
        </w:rPr>
        <w:t xml:space="preserve"> stay </w:t>
      </w:r>
      <w:r w:rsidR="000D73B4">
        <w:rPr>
          <w:szCs w:val="26"/>
        </w:rPr>
        <w:t xml:space="preserve">of </w:t>
      </w:r>
      <w:r w:rsidR="00FE20F4">
        <w:rPr>
          <w:szCs w:val="26"/>
        </w:rPr>
        <w:t>arbitration.</w:t>
      </w:r>
      <w:r w:rsidR="00D9137D">
        <w:rPr>
          <w:szCs w:val="26"/>
        </w:rPr>
        <w:t xml:space="preserve"> </w:t>
      </w:r>
      <w:r w:rsidR="00FE20F4">
        <w:rPr>
          <w:szCs w:val="26"/>
        </w:rPr>
        <w:t xml:space="preserve"> </w:t>
      </w:r>
      <w:r w:rsidR="00225E9C" w:rsidRPr="00225E9C">
        <w:rPr>
          <w:szCs w:val="26"/>
        </w:rPr>
        <w:t>(</w:t>
      </w:r>
      <w:r w:rsidR="000D73B4" w:rsidRPr="000D73B4">
        <w:rPr>
          <w:i/>
          <w:iCs/>
          <w:szCs w:val="26"/>
        </w:rPr>
        <w:t>Id.</w:t>
      </w:r>
      <w:r w:rsidR="00225E9C" w:rsidRPr="00225E9C">
        <w:rPr>
          <w:szCs w:val="26"/>
        </w:rPr>
        <w:t xml:space="preserve"> at pp.</w:t>
      </w:r>
      <w:r w:rsidR="00791939">
        <w:rPr>
          <w:szCs w:val="26"/>
        </w:rPr>
        <w:t> </w:t>
      </w:r>
      <w:r w:rsidR="00225E9C" w:rsidRPr="00225E9C">
        <w:rPr>
          <w:szCs w:val="26"/>
        </w:rPr>
        <w:t>1117</w:t>
      </w:r>
      <w:r w:rsidR="00791939">
        <w:rPr>
          <w:szCs w:val="26"/>
        </w:rPr>
        <w:t>–</w:t>
      </w:r>
      <w:r w:rsidR="00225E9C" w:rsidRPr="00225E9C">
        <w:rPr>
          <w:szCs w:val="26"/>
        </w:rPr>
        <w:lastRenderedPageBreak/>
        <w:t xml:space="preserve">1118.) </w:t>
      </w:r>
      <w:r w:rsidR="000D73B4">
        <w:rPr>
          <w:szCs w:val="26"/>
        </w:rPr>
        <w:t xml:space="preserve"> </w:t>
      </w:r>
      <w:r w:rsidR="000D73B4" w:rsidRPr="000D73B4">
        <w:rPr>
          <w:szCs w:val="26"/>
        </w:rPr>
        <w:t xml:space="preserve">The </w:t>
      </w:r>
      <w:r w:rsidR="0027730F" w:rsidRPr="002A721D">
        <w:rPr>
          <w:i/>
          <w:iCs/>
          <w:szCs w:val="26"/>
        </w:rPr>
        <w:t>Rodriguez</w:t>
      </w:r>
      <w:r w:rsidR="0027730F" w:rsidRPr="000D73B4">
        <w:rPr>
          <w:szCs w:val="26"/>
        </w:rPr>
        <w:t xml:space="preserve"> </w:t>
      </w:r>
      <w:r w:rsidR="000D73B4" w:rsidRPr="000D73B4">
        <w:rPr>
          <w:szCs w:val="26"/>
        </w:rPr>
        <w:t xml:space="preserve">court </w:t>
      </w:r>
      <w:r w:rsidR="003D5FCD">
        <w:rPr>
          <w:szCs w:val="26"/>
        </w:rPr>
        <w:t>concluded the</w:t>
      </w:r>
      <w:r w:rsidR="004B4B3F">
        <w:rPr>
          <w:szCs w:val="26"/>
        </w:rPr>
        <w:t xml:space="preserve"> </w:t>
      </w:r>
      <w:r w:rsidR="00B6526C">
        <w:rPr>
          <w:szCs w:val="26"/>
        </w:rPr>
        <w:t>agreement to arbitrate claims</w:t>
      </w:r>
      <w:r w:rsidR="004B4B3F">
        <w:rPr>
          <w:szCs w:val="26"/>
        </w:rPr>
        <w:t xml:space="preserve"> </w:t>
      </w:r>
      <w:proofErr w:type="gramStart"/>
      <w:r w:rsidR="004B4B3F" w:rsidRPr="000323A4">
        <w:rPr>
          <w:szCs w:val="26"/>
        </w:rPr>
        <w:t>“</w:t>
      </w:r>
      <w:r w:rsidR="00962FAF">
        <w:rPr>
          <w:szCs w:val="26"/>
        </w:rPr>
        <w:t> </w:t>
      </w:r>
      <w:r w:rsidR="009C384F">
        <w:rPr>
          <w:szCs w:val="26"/>
        </w:rPr>
        <w:t>‘</w:t>
      </w:r>
      <w:proofErr w:type="gramEnd"/>
      <w:r w:rsidR="004B4B3F" w:rsidRPr="000323A4">
        <w:rPr>
          <w:szCs w:val="26"/>
        </w:rPr>
        <w:t>pursuant to the FAA</w:t>
      </w:r>
      <w:r w:rsidR="009C384F">
        <w:rPr>
          <w:szCs w:val="26"/>
        </w:rPr>
        <w:t>’</w:t>
      </w:r>
      <w:r w:rsidR="00962FAF">
        <w:rPr>
          <w:szCs w:val="26"/>
        </w:rPr>
        <w:t> </w:t>
      </w:r>
      <w:r w:rsidR="004B4B3F" w:rsidRPr="000323A4">
        <w:rPr>
          <w:szCs w:val="26"/>
        </w:rPr>
        <w:t>”</w:t>
      </w:r>
      <w:r w:rsidR="004B4B3F">
        <w:rPr>
          <w:szCs w:val="26"/>
        </w:rPr>
        <w:t xml:space="preserve"> was broad</w:t>
      </w:r>
      <w:r w:rsidR="0094471B">
        <w:rPr>
          <w:szCs w:val="26"/>
        </w:rPr>
        <w:t>,</w:t>
      </w:r>
      <w:r w:rsidR="00296F6A">
        <w:rPr>
          <w:szCs w:val="26"/>
        </w:rPr>
        <w:t xml:space="preserve"> </w:t>
      </w:r>
      <w:r w:rsidR="006B148E">
        <w:rPr>
          <w:szCs w:val="26"/>
        </w:rPr>
        <w:t xml:space="preserve">adopting all </w:t>
      </w:r>
      <w:r w:rsidR="00E203FC">
        <w:rPr>
          <w:szCs w:val="26"/>
        </w:rPr>
        <w:t xml:space="preserve">provisions </w:t>
      </w:r>
      <w:r w:rsidR="006B148E">
        <w:rPr>
          <w:szCs w:val="26"/>
        </w:rPr>
        <w:t xml:space="preserve">of the FAA to govern the parties’ agreement, </w:t>
      </w:r>
      <w:r w:rsidR="008F66CE">
        <w:rPr>
          <w:szCs w:val="26"/>
        </w:rPr>
        <w:t xml:space="preserve">and </w:t>
      </w:r>
      <w:r w:rsidR="008D395E">
        <w:rPr>
          <w:szCs w:val="26"/>
        </w:rPr>
        <w:t xml:space="preserve">there was no contract provision suggesting the parties intended to </w:t>
      </w:r>
      <w:r w:rsidR="003D5FCD">
        <w:rPr>
          <w:szCs w:val="26"/>
        </w:rPr>
        <w:t xml:space="preserve">apply </w:t>
      </w:r>
      <w:r w:rsidR="008D395E">
        <w:rPr>
          <w:szCs w:val="26"/>
        </w:rPr>
        <w:t>California arbitration law</w:t>
      </w:r>
      <w:r w:rsidR="00B6526C">
        <w:rPr>
          <w:szCs w:val="26"/>
        </w:rPr>
        <w:t>.  (</w:t>
      </w:r>
      <w:r w:rsidR="00B6526C" w:rsidRPr="000D73B4">
        <w:rPr>
          <w:i/>
          <w:iCs/>
          <w:szCs w:val="26"/>
        </w:rPr>
        <w:t>Id.</w:t>
      </w:r>
      <w:r w:rsidR="00B6526C">
        <w:rPr>
          <w:szCs w:val="26"/>
        </w:rPr>
        <w:t xml:space="preserve"> at </w:t>
      </w:r>
      <w:r w:rsidR="005D797C">
        <w:rPr>
          <w:szCs w:val="26"/>
        </w:rPr>
        <w:t>p</w:t>
      </w:r>
      <w:r w:rsidR="00B6526C">
        <w:rPr>
          <w:szCs w:val="26"/>
        </w:rPr>
        <w:t>. 1122.)</w:t>
      </w:r>
      <w:r w:rsidR="00A45D33">
        <w:rPr>
          <w:szCs w:val="26"/>
        </w:rPr>
        <w:t xml:space="preserve">  </w:t>
      </w:r>
      <w:r w:rsidR="000D73B4">
        <w:rPr>
          <w:szCs w:val="26"/>
        </w:rPr>
        <w:t>There</w:t>
      </w:r>
      <w:r w:rsidR="00A45D33">
        <w:rPr>
          <w:szCs w:val="26"/>
        </w:rPr>
        <w:t xml:space="preserve"> was no ambiguity</w:t>
      </w:r>
      <w:r w:rsidR="00362780">
        <w:rPr>
          <w:szCs w:val="26"/>
        </w:rPr>
        <w:t xml:space="preserve"> about the parties’ intent </w:t>
      </w:r>
      <w:r w:rsidR="007C0C48">
        <w:rPr>
          <w:szCs w:val="26"/>
        </w:rPr>
        <w:t xml:space="preserve">for </w:t>
      </w:r>
      <w:r w:rsidR="004020BD">
        <w:rPr>
          <w:szCs w:val="26"/>
        </w:rPr>
        <w:t>the substantive and procedural law of the FAA to govern the</w:t>
      </w:r>
      <w:r w:rsidR="007C0C48">
        <w:rPr>
          <w:szCs w:val="26"/>
        </w:rPr>
        <w:t>ir</w:t>
      </w:r>
      <w:r w:rsidR="004020BD">
        <w:rPr>
          <w:szCs w:val="26"/>
        </w:rPr>
        <w:t xml:space="preserve"> agreement</w:t>
      </w:r>
      <w:r w:rsidR="001B138B">
        <w:rPr>
          <w:szCs w:val="26"/>
        </w:rPr>
        <w:t xml:space="preserve">, including </w:t>
      </w:r>
      <w:r w:rsidR="002A7AB6">
        <w:rPr>
          <w:szCs w:val="26"/>
        </w:rPr>
        <w:t xml:space="preserve">the provisions of the FAA </w:t>
      </w:r>
      <w:r w:rsidR="000D73B4">
        <w:rPr>
          <w:szCs w:val="26"/>
        </w:rPr>
        <w:t>that compelled</w:t>
      </w:r>
      <w:r w:rsidR="006F34DA" w:rsidRPr="006F34DA">
        <w:rPr>
          <w:szCs w:val="26"/>
        </w:rPr>
        <w:t xml:space="preserve"> arbitration</w:t>
      </w:r>
      <w:r w:rsidR="00387694">
        <w:rPr>
          <w:szCs w:val="26"/>
        </w:rPr>
        <w:t xml:space="preserve"> under the circumstances of the case</w:t>
      </w:r>
      <w:r w:rsidR="006F34DA" w:rsidRPr="006F34DA">
        <w:rPr>
          <w:szCs w:val="26"/>
        </w:rPr>
        <w:t>.</w:t>
      </w:r>
      <w:r w:rsidR="000D73B4">
        <w:rPr>
          <w:szCs w:val="26"/>
        </w:rPr>
        <w:t xml:space="preserve"> </w:t>
      </w:r>
      <w:r w:rsidR="006F34DA" w:rsidRPr="006F34DA">
        <w:rPr>
          <w:szCs w:val="26"/>
        </w:rPr>
        <w:t xml:space="preserve"> </w:t>
      </w:r>
      <w:r w:rsidR="00812281">
        <w:rPr>
          <w:szCs w:val="26"/>
        </w:rPr>
        <w:t>(</w:t>
      </w:r>
      <w:r w:rsidR="00812281" w:rsidRPr="000D73B4">
        <w:rPr>
          <w:i/>
          <w:iCs/>
          <w:szCs w:val="26"/>
        </w:rPr>
        <w:t>Id.</w:t>
      </w:r>
      <w:r w:rsidR="00812281">
        <w:rPr>
          <w:szCs w:val="26"/>
        </w:rPr>
        <w:t xml:space="preserve"> at </w:t>
      </w:r>
      <w:r w:rsidR="00D4401A">
        <w:rPr>
          <w:szCs w:val="26"/>
        </w:rPr>
        <w:t>p. 1122.)</w:t>
      </w:r>
    </w:p>
    <w:p w14:paraId="0C9FB38C" w14:textId="15FBDC55" w:rsidR="00EC0AB2" w:rsidRDefault="00FA0D65" w:rsidP="00C5238E">
      <w:pPr>
        <w:rPr>
          <w:szCs w:val="26"/>
        </w:rPr>
      </w:pPr>
      <w:r>
        <w:rPr>
          <w:szCs w:val="26"/>
        </w:rPr>
        <w:tab/>
      </w:r>
      <w:r w:rsidR="001E5C69">
        <w:rPr>
          <w:szCs w:val="26"/>
        </w:rPr>
        <w:t>W</w:t>
      </w:r>
      <w:r w:rsidR="00C418AF">
        <w:rPr>
          <w:szCs w:val="26"/>
        </w:rPr>
        <w:t>hen</w:t>
      </w:r>
      <w:r w:rsidR="00FA6117">
        <w:rPr>
          <w:szCs w:val="26"/>
        </w:rPr>
        <w:t xml:space="preserve"> the FAA </w:t>
      </w:r>
      <w:r w:rsidR="00277164">
        <w:rPr>
          <w:szCs w:val="26"/>
        </w:rPr>
        <w:t>applies</w:t>
      </w:r>
      <w:r w:rsidR="0085216C">
        <w:rPr>
          <w:szCs w:val="26"/>
        </w:rPr>
        <w:t xml:space="preserve"> to an arbitration agreement</w:t>
      </w:r>
      <w:r w:rsidR="00F260FF">
        <w:rPr>
          <w:szCs w:val="26"/>
        </w:rPr>
        <w:t xml:space="preserve">, </w:t>
      </w:r>
      <w:r w:rsidR="00FA6117">
        <w:rPr>
          <w:szCs w:val="26"/>
        </w:rPr>
        <w:t xml:space="preserve">it </w:t>
      </w:r>
      <w:r w:rsidR="00C17474">
        <w:rPr>
          <w:szCs w:val="26"/>
        </w:rPr>
        <w:t xml:space="preserve">will, however, </w:t>
      </w:r>
      <w:r w:rsidR="00FA6117">
        <w:rPr>
          <w:szCs w:val="26"/>
        </w:rPr>
        <w:t>preempt</w:t>
      </w:r>
      <w:r w:rsidR="00B27843">
        <w:rPr>
          <w:szCs w:val="26"/>
        </w:rPr>
        <w:t xml:space="preserve"> </w:t>
      </w:r>
      <w:r w:rsidR="00362951">
        <w:rPr>
          <w:szCs w:val="26"/>
        </w:rPr>
        <w:t xml:space="preserve">state </w:t>
      </w:r>
      <w:r w:rsidR="00B27843">
        <w:rPr>
          <w:szCs w:val="26"/>
        </w:rPr>
        <w:t>substantive law</w:t>
      </w:r>
      <w:r w:rsidR="00B9464E">
        <w:rPr>
          <w:szCs w:val="26"/>
        </w:rPr>
        <w:t xml:space="preserve"> </w:t>
      </w:r>
      <w:r w:rsidR="00D83E47">
        <w:rPr>
          <w:szCs w:val="26"/>
        </w:rPr>
        <w:t xml:space="preserve">that </w:t>
      </w:r>
      <w:r w:rsidR="00BC0475">
        <w:rPr>
          <w:szCs w:val="26"/>
        </w:rPr>
        <w:t>conflicts with</w:t>
      </w:r>
      <w:r w:rsidR="00B9464E">
        <w:rPr>
          <w:szCs w:val="26"/>
        </w:rPr>
        <w:t xml:space="preserve"> the policies of the FAA</w:t>
      </w:r>
      <w:r w:rsidR="00B27843">
        <w:rPr>
          <w:szCs w:val="26"/>
        </w:rPr>
        <w:t>.</w:t>
      </w:r>
      <w:r w:rsidR="00622808">
        <w:rPr>
          <w:szCs w:val="26"/>
        </w:rPr>
        <w:t xml:space="preserve">  (</w:t>
      </w:r>
      <w:r w:rsidR="00622808" w:rsidRPr="002A721D">
        <w:rPr>
          <w:i/>
          <w:iCs/>
          <w:szCs w:val="26"/>
        </w:rPr>
        <w:t>Concepcion</w:t>
      </w:r>
      <w:r w:rsidR="00622808">
        <w:rPr>
          <w:szCs w:val="26"/>
        </w:rPr>
        <w:t xml:space="preserve">, </w:t>
      </w:r>
      <w:r w:rsidR="00622808" w:rsidRPr="002A721D">
        <w:rPr>
          <w:i/>
          <w:iCs/>
          <w:szCs w:val="26"/>
        </w:rPr>
        <w:t>supra</w:t>
      </w:r>
      <w:r w:rsidR="00622808">
        <w:rPr>
          <w:szCs w:val="26"/>
        </w:rPr>
        <w:t xml:space="preserve">, </w:t>
      </w:r>
      <w:r w:rsidR="00321CCC">
        <w:rPr>
          <w:szCs w:val="26"/>
        </w:rPr>
        <w:t>563 U.S. at p.</w:t>
      </w:r>
      <w:r w:rsidR="00863230" w:rsidRPr="00863230">
        <w:t xml:space="preserve"> </w:t>
      </w:r>
      <w:r w:rsidR="00863230" w:rsidRPr="00863230">
        <w:rPr>
          <w:szCs w:val="26"/>
        </w:rPr>
        <w:t>341</w:t>
      </w:r>
      <w:r w:rsidR="0035593C">
        <w:rPr>
          <w:szCs w:val="26"/>
        </w:rPr>
        <w:t xml:space="preserve"> [FAA preempt</w:t>
      </w:r>
      <w:r w:rsidR="00887BD6">
        <w:rPr>
          <w:szCs w:val="26"/>
        </w:rPr>
        <w:t xml:space="preserve">s generally applicable contract defenses </w:t>
      </w:r>
      <w:r w:rsidR="00B754B2">
        <w:rPr>
          <w:szCs w:val="26"/>
        </w:rPr>
        <w:t>used</w:t>
      </w:r>
      <w:r w:rsidR="00887BD6">
        <w:rPr>
          <w:szCs w:val="26"/>
        </w:rPr>
        <w:t xml:space="preserve"> </w:t>
      </w:r>
      <w:r w:rsidR="00677DB6">
        <w:rPr>
          <w:szCs w:val="26"/>
        </w:rPr>
        <w:t xml:space="preserve">in a manner </w:t>
      </w:r>
      <w:r w:rsidR="00887BD6">
        <w:rPr>
          <w:szCs w:val="26"/>
        </w:rPr>
        <w:t>to disfavor arbitration]</w:t>
      </w:r>
      <w:r w:rsidR="00863230">
        <w:rPr>
          <w:szCs w:val="26"/>
        </w:rPr>
        <w:t>.)</w:t>
      </w:r>
    </w:p>
    <w:p w14:paraId="4929FFE4" w14:textId="77777777" w:rsidR="002B7802" w:rsidRDefault="002B7802" w:rsidP="00C5238E">
      <w:pPr>
        <w:rPr>
          <w:szCs w:val="26"/>
        </w:rPr>
      </w:pPr>
    </w:p>
    <w:p w14:paraId="0C8C65C9" w14:textId="2EE88C1A" w:rsidR="002B7802" w:rsidRPr="00E62828" w:rsidRDefault="002B7802" w:rsidP="00C5238E">
      <w:pPr>
        <w:rPr>
          <w:b/>
          <w:bCs/>
          <w:szCs w:val="26"/>
        </w:rPr>
      </w:pPr>
      <w:r w:rsidRPr="00E62828">
        <w:rPr>
          <w:b/>
          <w:bCs/>
          <w:szCs w:val="26"/>
        </w:rPr>
        <w:tab/>
      </w:r>
      <w:r w:rsidR="00677DB6">
        <w:rPr>
          <w:b/>
          <w:bCs/>
          <w:szCs w:val="26"/>
        </w:rPr>
        <w:t>C</w:t>
      </w:r>
      <w:r w:rsidRPr="00E62828">
        <w:rPr>
          <w:b/>
          <w:bCs/>
          <w:szCs w:val="26"/>
        </w:rPr>
        <w:t xml:space="preserve">.  </w:t>
      </w:r>
      <w:r w:rsidR="00677DB6">
        <w:rPr>
          <w:b/>
          <w:bCs/>
          <w:szCs w:val="26"/>
        </w:rPr>
        <w:t>Standard of Review</w:t>
      </w:r>
      <w:r w:rsidR="0042390F">
        <w:rPr>
          <w:b/>
          <w:bCs/>
          <w:szCs w:val="26"/>
        </w:rPr>
        <w:t xml:space="preserve"> and Principles of Contract Interpretation</w:t>
      </w:r>
    </w:p>
    <w:p w14:paraId="5D1AA261" w14:textId="77777777" w:rsidR="002B7802" w:rsidRPr="002B7802" w:rsidRDefault="002B7802" w:rsidP="00C5238E">
      <w:pPr>
        <w:rPr>
          <w:szCs w:val="26"/>
        </w:rPr>
      </w:pPr>
    </w:p>
    <w:p w14:paraId="4901C1EF" w14:textId="77777777" w:rsidR="0042390F" w:rsidRDefault="002B7802" w:rsidP="00C5238E">
      <w:pPr>
        <w:rPr>
          <w:szCs w:val="26"/>
        </w:rPr>
      </w:pPr>
      <w:r w:rsidRPr="002B7802">
        <w:rPr>
          <w:szCs w:val="26"/>
        </w:rPr>
        <w:tab/>
      </w:r>
      <w:r w:rsidR="0042390F" w:rsidRPr="0042390F">
        <w:rPr>
          <w:szCs w:val="26"/>
        </w:rPr>
        <w:t xml:space="preserve">When there is no </w:t>
      </w:r>
      <w:proofErr w:type="spellStart"/>
      <w:r w:rsidR="0042390F" w:rsidRPr="0042390F">
        <w:rPr>
          <w:szCs w:val="26"/>
        </w:rPr>
        <w:t>parol</w:t>
      </w:r>
      <w:proofErr w:type="spellEnd"/>
      <w:r w:rsidR="0042390F" w:rsidRPr="0042390F">
        <w:rPr>
          <w:szCs w:val="26"/>
        </w:rPr>
        <w:t xml:space="preserve"> evidence, or the </w:t>
      </w:r>
      <w:proofErr w:type="spellStart"/>
      <w:r w:rsidR="0042390F" w:rsidRPr="0042390F">
        <w:rPr>
          <w:szCs w:val="26"/>
        </w:rPr>
        <w:t>parol</w:t>
      </w:r>
      <w:proofErr w:type="spellEnd"/>
      <w:r w:rsidR="0042390F" w:rsidRPr="0042390F">
        <w:rPr>
          <w:szCs w:val="26"/>
        </w:rPr>
        <w:t xml:space="preserve"> evidence is not in conflict, the determination of whether an arbitration agreement is governed by federal law is a question of law concerning contract and statutory interpretation that we review de novo.  (</w:t>
      </w:r>
      <w:r w:rsidR="0042390F" w:rsidRPr="0042390F">
        <w:rPr>
          <w:i/>
          <w:iCs/>
          <w:szCs w:val="26"/>
        </w:rPr>
        <w:t>Rodriguez</w:t>
      </w:r>
      <w:r w:rsidR="0042390F" w:rsidRPr="0042390F">
        <w:rPr>
          <w:szCs w:val="26"/>
        </w:rPr>
        <w:t xml:space="preserve">, </w:t>
      </w:r>
      <w:r w:rsidR="0042390F" w:rsidRPr="0042390F">
        <w:rPr>
          <w:i/>
          <w:iCs/>
          <w:szCs w:val="26"/>
        </w:rPr>
        <w:t>supra</w:t>
      </w:r>
      <w:r w:rsidR="0042390F" w:rsidRPr="0042390F">
        <w:rPr>
          <w:szCs w:val="26"/>
        </w:rPr>
        <w:t>, 136 Cal.App.4th at p. 1117.)</w:t>
      </w:r>
    </w:p>
    <w:p w14:paraId="4E49CC70" w14:textId="7564624D" w:rsidR="00BC38B2" w:rsidRPr="00BC38B2" w:rsidRDefault="0042390F" w:rsidP="00C5238E">
      <w:pPr>
        <w:rPr>
          <w:szCs w:val="26"/>
        </w:rPr>
      </w:pPr>
      <w:r>
        <w:rPr>
          <w:szCs w:val="26"/>
        </w:rPr>
        <w:tab/>
      </w:r>
      <w:r w:rsidR="00BC38B2" w:rsidRPr="00BC38B2">
        <w:rPr>
          <w:szCs w:val="26"/>
        </w:rPr>
        <w:t>“An arbitration agreement is governed by contract law.  It is construed like other contracts to give effect to the intention of the parties and the ordinary rules of contract interpretation apply.”  (</w:t>
      </w:r>
      <w:r w:rsidR="00BC38B2" w:rsidRPr="002A721D">
        <w:rPr>
          <w:i/>
          <w:iCs/>
          <w:szCs w:val="26"/>
        </w:rPr>
        <w:t>Mendoza</w:t>
      </w:r>
      <w:r w:rsidR="00F23A51">
        <w:rPr>
          <w:i/>
          <w:iCs/>
          <w:szCs w:val="26"/>
        </w:rPr>
        <w:t>, supra,</w:t>
      </w:r>
      <w:r w:rsidR="00BC38B2" w:rsidRPr="00BC38B2">
        <w:rPr>
          <w:szCs w:val="26"/>
        </w:rPr>
        <w:t xml:space="preserve"> 75 Cal.App.5th </w:t>
      </w:r>
      <w:r w:rsidR="00F23A51">
        <w:rPr>
          <w:szCs w:val="26"/>
        </w:rPr>
        <w:t>at p.</w:t>
      </w:r>
      <w:r w:rsidR="00BC38B2" w:rsidRPr="00BC38B2">
        <w:rPr>
          <w:szCs w:val="26"/>
        </w:rPr>
        <w:t xml:space="preserve"> 764.)  </w:t>
      </w:r>
      <w:r w:rsidR="000D3D9F" w:rsidRPr="000D3D9F">
        <w:rPr>
          <w:szCs w:val="26"/>
        </w:rPr>
        <w:t>We examine the language of the parties’ contract to determine which laws they intended to apply.  (</w:t>
      </w:r>
      <w:r w:rsidR="000D3D9F" w:rsidRPr="000D3D9F">
        <w:rPr>
          <w:i/>
          <w:iCs/>
          <w:szCs w:val="26"/>
        </w:rPr>
        <w:t>Cronus</w:t>
      </w:r>
      <w:r w:rsidR="000D3D9F" w:rsidRPr="000D3D9F">
        <w:rPr>
          <w:szCs w:val="26"/>
        </w:rPr>
        <w:t xml:space="preserve">, </w:t>
      </w:r>
      <w:r w:rsidR="000D3D9F" w:rsidRPr="000D3D9F">
        <w:rPr>
          <w:i/>
          <w:iCs/>
          <w:szCs w:val="26"/>
        </w:rPr>
        <w:t>supra</w:t>
      </w:r>
      <w:r w:rsidR="000D3D9F" w:rsidRPr="000D3D9F">
        <w:rPr>
          <w:szCs w:val="26"/>
        </w:rPr>
        <w:t xml:space="preserve">, 35 Cal.4th at p. 383.)  </w:t>
      </w:r>
      <w:r w:rsidR="00BC38B2" w:rsidRPr="00BC38B2">
        <w:rPr>
          <w:szCs w:val="26"/>
        </w:rPr>
        <w:t xml:space="preserve">“The primary object of contract interpretation is to ascertain and </w:t>
      </w:r>
      <w:r w:rsidR="00BC38B2" w:rsidRPr="00BC38B2">
        <w:rPr>
          <w:szCs w:val="26"/>
        </w:rPr>
        <w:lastRenderedPageBreak/>
        <w:t>carry out the mutual intention of the parties at the time the contract was formed, determined from the writing alone, if possible.  [Citations.]  When the language of a contract is ‘clear, explicit, and unequivocal, and there is no ambiguity, the court will enforce the express language.’  [Citation.]”  (</w:t>
      </w:r>
      <w:r w:rsidR="00BC38B2" w:rsidRPr="002A721D">
        <w:rPr>
          <w:i/>
          <w:iCs/>
          <w:szCs w:val="26"/>
        </w:rPr>
        <w:t xml:space="preserve">In re Marriage of </w:t>
      </w:r>
      <w:proofErr w:type="spellStart"/>
      <w:r w:rsidR="00BC38B2" w:rsidRPr="002A721D">
        <w:rPr>
          <w:i/>
          <w:iCs/>
          <w:szCs w:val="26"/>
        </w:rPr>
        <w:t>Nassimi</w:t>
      </w:r>
      <w:proofErr w:type="spellEnd"/>
      <w:r w:rsidR="00BC38B2" w:rsidRPr="00BC38B2">
        <w:rPr>
          <w:szCs w:val="26"/>
        </w:rPr>
        <w:t xml:space="preserve"> (2016) 3 Cal.App.5th 667, 688 (</w:t>
      </w:r>
      <w:proofErr w:type="spellStart"/>
      <w:r w:rsidR="00BC38B2" w:rsidRPr="002A721D">
        <w:rPr>
          <w:i/>
          <w:iCs/>
          <w:szCs w:val="26"/>
        </w:rPr>
        <w:t>Nassimi</w:t>
      </w:r>
      <w:proofErr w:type="spellEnd"/>
      <w:r w:rsidR="00BC38B2" w:rsidRPr="00BC38B2">
        <w:rPr>
          <w:szCs w:val="26"/>
        </w:rPr>
        <w:t>), footnote omitted.)</w:t>
      </w:r>
    </w:p>
    <w:p w14:paraId="2F6C5E65" w14:textId="00A28306" w:rsidR="00F978B0" w:rsidRDefault="00BC38B2" w:rsidP="00E76AA9">
      <w:pPr>
        <w:rPr>
          <w:szCs w:val="26"/>
        </w:rPr>
      </w:pPr>
      <w:r w:rsidRPr="00BC38B2">
        <w:rPr>
          <w:szCs w:val="26"/>
        </w:rPr>
        <w:tab/>
      </w:r>
      <w:proofErr w:type="gramStart"/>
      <w:r w:rsidRPr="00BC38B2">
        <w:rPr>
          <w:szCs w:val="26"/>
        </w:rPr>
        <w:t>“</w:t>
      </w:r>
      <w:r w:rsidR="00E67B33">
        <w:rPr>
          <w:szCs w:val="26"/>
        </w:rPr>
        <w:t> </w:t>
      </w:r>
      <w:r w:rsidRPr="00BC38B2">
        <w:rPr>
          <w:szCs w:val="26"/>
        </w:rPr>
        <w:t>‘</w:t>
      </w:r>
      <w:proofErr w:type="gramEnd"/>
      <w:r w:rsidRPr="00BC38B2">
        <w:rPr>
          <w:szCs w:val="26"/>
        </w:rPr>
        <w:t>The whole of a contract is to be taken together, so as to give effect to every part, if reasonably practicable, each clause helping to interpret the other.’  [Citation.]  This means that ‘[c]</w:t>
      </w:r>
      <w:proofErr w:type="spellStart"/>
      <w:r w:rsidRPr="00BC38B2">
        <w:rPr>
          <w:szCs w:val="26"/>
        </w:rPr>
        <w:t>ourts</w:t>
      </w:r>
      <w:proofErr w:type="spellEnd"/>
      <w:r w:rsidRPr="00BC38B2">
        <w:rPr>
          <w:szCs w:val="26"/>
        </w:rPr>
        <w:t xml:space="preserve"> must interpret contractual language in a manner which gives force and effect to every provision’ [citation</w:t>
      </w:r>
      <w:r w:rsidR="006E69BF">
        <w:rPr>
          <w:szCs w:val="26"/>
        </w:rPr>
        <w:t xml:space="preserve">, </w:t>
      </w:r>
      <w:r w:rsidR="00B93613">
        <w:rPr>
          <w:szCs w:val="26"/>
        </w:rPr>
        <w:t>italics omitted</w:t>
      </w:r>
      <w:r w:rsidRPr="00BC38B2">
        <w:rPr>
          <w:szCs w:val="26"/>
        </w:rPr>
        <w:t>], and avoid constructions which would render any of its provisions or words ‘surplusage.’  [Citation.]  Put simply, ‘[a] contract term should not be construed to render some of its provisions meaningless or irrelevant.’  [Citation.]”  (</w:t>
      </w:r>
      <w:proofErr w:type="spellStart"/>
      <w:r w:rsidRPr="00E33461">
        <w:rPr>
          <w:i/>
          <w:iCs/>
          <w:szCs w:val="26"/>
        </w:rPr>
        <w:t>Nassimi</w:t>
      </w:r>
      <w:proofErr w:type="spellEnd"/>
      <w:r w:rsidRPr="00E33461">
        <w:rPr>
          <w:i/>
          <w:iCs/>
          <w:szCs w:val="26"/>
        </w:rPr>
        <w:t>, supra</w:t>
      </w:r>
      <w:r w:rsidRPr="00BC38B2">
        <w:rPr>
          <w:szCs w:val="26"/>
        </w:rPr>
        <w:t>, 3 Cal.App.5th at p. 688.)</w:t>
      </w:r>
      <w:r w:rsidR="00E76AA9" w:rsidRPr="00BC38B2" w:rsidDel="00E76AA9">
        <w:rPr>
          <w:szCs w:val="26"/>
        </w:rPr>
        <w:t xml:space="preserve"> </w:t>
      </w:r>
    </w:p>
    <w:p w14:paraId="593EDD7D" w14:textId="77777777" w:rsidR="00BC38B2" w:rsidRDefault="00BC38B2" w:rsidP="00345CA8">
      <w:pPr>
        <w:keepNext/>
        <w:rPr>
          <w:szCs w:val="26"/>
        </w:rPr>
      </w:pPr>
    </w:p>
    <w:p w14:paraId="03A73BB5" w14:textId="287BCCF8" w:rsidR="000840C4" w:rsidRPr="002A721D" w:rsidRDefault="000840C4" w:rsidP="00345CA8">
      <w:pPr>
        <w:keepNext/>
        <w:rPr>
          <w:b/>
          <w:bCs/>
          <w:szCs w:val="26"/>
        </w:rPr>
      </w:pPr>
      <w:r>
        <w:rPr>
          <w:szCs w:val="26"/>
        </w:rPr>
        <w:tab/>
      </w:r>
      <w:r w:rsidRPr="002A721D">
        <w:rPr>
          <w:b/>
          <w:bCs/>
          <w:szCs w:val="26"/>
        </w:rPr>
        <w:t xml:space="preserve">D.  </w:t>
      </w:r>
      <w:r w:rsidR="008012E0">
        <w:rPr>
          <w:b/>
          <w:bCs/>
          <w:szCs w:val="26"/>
        </w:rPr>
        <w:t>Application</w:t>
      </w:r>
    </w:p>
    <w:p w14:paraId="306055B5" w14:textId="77777777" w:rsidR="000840C4" w:rsidRDefault="000840C4" w:rsidP="00345CA8">
      <w:pPr>
        <w:keepNext/>
        <w:rPr>
          <w:szCs w:val="26"/>
        </w:rPr>
      </w:pPr>
    </w:p>
    <w:p w14:paraId="09F7DF21" w14:textId="53025F83" w:rsidR="00600AB5" w:rsidRDefault="00F978B0" w:rsidP="00345CA8">
      <w:pPr>
        <w:keepNext/>
        <w:rPr>
          <w:szCs w:val="26"/>
        </w:rPr>
      </w:pPr>
      <w:r>
        <w:rPr>
          <w:szCs w:val="26"/>
        </w:rPr>
        <w:tab/>
      </w:r>
      <w:r w:rsidR="00442A0B">
        <w:rPr>
          <w:szCs w:val="26"/>
        </w:rPr>
        <w:t>The</w:t>
      </w:r>
      <w:r w:rsidR="001C7D34" w:rsidRPr="001C7D34">
        <w:rPr>
          <w:szCs w:val="26"/>
        </w:rPr>
        <w:t xml:space="preserve"> </w:t>
      </w:r>
      <w:r w:rsidR="005166B6">
        <w:rPr>
          <w:szCs w:val="26"/>
        </w:rPr>
        <w:t xml:space="preserve">arbitration </w:t>
      </w:r>
      <w:r w:rsidR="001C7D34" w:rsidRPr="001C7D34">
        <w:rPr>
          <w:szCs w:val="26"/>
        </w:rPr>
        <w:t xml:space="preserve">agreement </w:t>
      </w:r>
      <w:r w:rsidR="00442A0B">
        <w:rPr>
          <w:szCs w:val="26"/>
        </w:rPr>
        <w:t xml:space="preserve">in this case </w:t>
      </w:r>
      <w:r w:rsidR="001C7D34" w:rsidRPr="001C7D34">
        <w:rPr>
          <w:szCs w:val="26"/>
        </w:rPr>
        <w:t xml:space="preserve">plainly </w:t>
      </w:r>
      <w:proofErr w:type="gramStart"/>
      <w:r w:rsidR="001C7D34" w:rsidRPr="001C7D34">
        <w:rPr>
          <w:szCs w:val="26"/>
        </w:rPr>
        <w:t>states</w:t>
      </w:r>
      <w:proofErr w:type="gramEnd"/>
      <w:r w:rsidR="001C7D34" w:rsidRPr="001C7D34">
        <w:rPr>
          <w:szCs w:val="26"/>
        </w:rPr>
        <w:t xml:space="preserve"> </w:t>
      </w:r>
      <w:r w:rsidR="009C6104">
        <w:rPr>
          <w:szCs w:val="26"/>
        </w:rPr>
        <w:t>“this agreement is governed by the FAA</w:t>
      </w:r>
      <w:r w:rsidR="004023E8">
        <w:rPr>
          <w:szCs w:val="26"/>
        </w:rPr>
        <w:t>.</w:t>
      </w:r>
      <w:r w:rsidR="009C6104">
        <w:rPr>
          <w:szCs w:val="26"/>
        </w:rPr>
        <w:t>”</w:t>
      </w:r>
      <w:r w:rsidR="0063198C">
        <w:rPr>
          <w:szCs w:val="26"/>
        </w:rPr>
        <w:t xml:space="preserve"> </w:t>
      </w:r>
      <w:r w:rsidR="004023E8">
        <w:rPr>
          <w:szCs w:val="26"/>
        </w:rPr>
        <w:t xml:space="preserve"> As in </w:t>
      </w:r>
      <w:r w:rsidR="004023E8" w:rsidRPr="002A721D">
        <w:rPr>
          <w:i/>
          <w:iCs/>
          <w:szCs w:val="26"/>
        </w:rPr>
        <w:t>Rodriguez</w:t>
      </w:r>
      <w:r w:rsidR="004023E8">
        <w:rPr>
          <w:szCs w:val="26"/>
        </w:rPr>
        <w:t xml:space="preserve">, </w:t>
      </w:r>
      <w:r w:rsidR="004023E8" w:rsidRPr="002A721D">
        <w:rPr>
          <w:i/>
          <w:iCs/>
          <w:szCs w:val="26"/>
        </w:rPr>
        <w:t>supra</w:t>
      </w:r>
      <w:r w:rsidR="00697C12">
        <w:rPr>
          <w:szCs w:val="26"/>
        </w:rPr>
        <w:t>,</w:t>
      </w:r>
      <w:r w:rsidR="004023E8">
        <w:rPr>
          <w:szCs w:val="26"/>
        </w:rPr>
        <w:t xml:space="preserve"> </w:t>
      </w:r>
      <w:r w:rsidR="00A06220" w:rsidRPr="00BE2605">
        <w:rPr>
          <w:szCs w:val="26"/>
        </w:rPr>
        <w:t xml:space="preserve">136 Cal.App.4th </w:t>
      </w:r>
      <w:r w:rsidR="00A06220">
        <w:rPr>
          <w:szCs w:val="26"/>
        </w:rPr>
        <w:t>at p. 1122,</w:t>
      </w:r>
      <w:r w:rsidR="00697C12">
        <w:rPr>
          <w:szCs w:val="26"/>
        </w:rPr>
        <w:t xml:space="preserve"> the statement in the arbitration agreement is broad, encompassing both the procedural and substantive provisions of the FAA.</w:t>
      </w:r>
      <w:r w:rsidR="004023E8">
        <w:rPr>
          <w:szCs w:val="26"/>
        </w:rPr>
        <w:t xml:space="preserve"> </w:t>
      </w:r>
      <w:r w:rsidR="00173D0C">
        <w:rPr>
          <w:szCs w:val="26"/>
        </w:rPr>
        <w:t xml:space="preserve"> </w:t>
      </w:r>
      <w:r w:rsidR="00FE6F9D">
        <w:rPr>
          <w:szCs w:val="26"/>
        </w:rPr>
        <w:t>The</w:t>
      </w:r>
      <w:r w:rsidR="00173D0C">
        <w:rPr>
          <w:szCs w:val="26"/>
        </w:rPr>
        <w:t xml:space="preserve"> agreement </w:t>
      </w:r>
      <w:r w:rsidR="00B23433">
        <w:rPr>
          <w:szCs w:val="26"/>
        </w:rPr>
        <w:t>consistently</w:t>
      </w:r>
      <w:r w:rsidR="00765F6A">
        <w:rPr>
          <w:szCs w:val="26"/>
        </w:rPr>
        <w:t xml:space="preserve"> refers to</w:t>
      </w:r>
      <w:r w:rsidR="00173D0C">
        <w:rPr>
          <w:szCs w:val="26"/>
        </w:rPr>
        <w:t xml:space="preserve"> </w:t>
      </w:r>
      <w:r w:rsidR="00765F6A">
        <w:rPr>
          <w:szCs w:val="26"/>
        </w:rPr>
        <w:t>procedures contained in</w:t>
      </w:r>
      <w:r w:rsidR="00173D0C">
        <w:rPr>
          <w:szCs w:val="26"/>
        </w:rPr>
        <w:t xml:space="preserve"> the FAA</w:t>
      </w:r>
      <w:r w:rsidR="007D5E10">
        <w:rPr>
          <w:szCs w:val="26"/>
        </w:rPr>
        <w:t xml:space="preserve">, such as allowing </w:t>
      </w:r>
      <w:r w:rsidR="007D5E10" w:rsidRPr="007D5E10">
        <w:rPr>
          <w:szCs w:val="26"/>
        </w:rPr>
        <w:t>a party to seek appointment of an arbitrator pursuant to the FAA</w:t>
      </w:r>
      <w:r w:rsidR="000B0392">
        <w:rPr>
          <w:szCs w:val="26"/>
        </w:rPr>
        <w:t>.</w:t>
      </w:r>
      <w:r w:rsidR="00FA3CBE">
        <w:rPr>
          <w:szCs w:val="26"/>
        </w:rPr>
        <w:t xml:space="preserve"> </w:t>
      </w:r>
      <w:r w:rsidR="007D5E10" w:rsidRPr="007D5E10">
        <w:rPr>
          <w:szCs w:val="26"/>
        </w:rPr>
        <w:t xml:space="preserve"> </w:t>
      </w:r>
      <w:r w:rsidR="00FA3CBE">
        <w:rPr>
          <w:szCs w:val="26"/>
        </w:rPr>
        <w:t>In addition, b</w:t>
      </w:r>
      <w:r w:rsidR="000B0392">
        <w:rPr>
          <w:szCs w:val="26"/>
        </w:rPr>
        <w:t>oth the arbitration agreement and the parties’ stipulation</w:t>
      </w:r>
      <w:r w:rsidR="007D5E10">
        <w:rPr>
          <w:szCs w:val="26"/>
        </w:rPr>
        <w:t xml:space="preserve"> expressly </w:t>
      </w:r>
      <w:r w:rsidR="00E253E0">
        <w:rPr>
          <w:szCs w:val="26"/>
        </w:rPr>
        <w:t>agree to apply</w:t>
      </w:r>
      <w:r w:rsidR="007D5E10">
        <w:rPr>
          <w:szCs w:val="26"/>
        </w:rPr>
        <w:t xml:space="preserve"> the Federal Rules of Civil Procedure</w:t>
      </w:r>
      <w:r w:rsidR="005166B6">
        <w:rPr>
          <w:szCs w:val="26"/>
        </w:rPr>
        <w:t xml:space="preserve"> to the arbitration</w:t>
      </w:r>
      <w:r w:rsidR="007D5E10">
        <w:rPr>
          <w:szCs w:val="26"/>
        </w:rPr>
        <w:t xml:space="preserve">.  There is no </w:t>
      </w:r>
      <w:r w:rsidR="00FA3CBE">
        <w:rPr>
          <w:szCs w:val="26"/>
        </w:rPr>
        <w:t xml:space="preserve">provision explicitly </w:t>
      </w:r>
      <w:r w:rsidR="00FA3CBE">
        <w:rPr>
          <w:szCs w:val="26"/>
        </w:rPr>
        <w:lastRenderedPageBreak/>
        <w:t xml:space="preserve">referring </w:t>
      </w:r>
      <w:r w:rsidR="000B0392">
        <w:rPr>
          <w:szCs w:val="26"/>
        </w:rPr>
        <w:t xml:space="preserve">to California law in the agreement.  </w:t>
      </w:r>
      <w:r w:rsidR="00582B69">
        <w:rPr>
          <w:szCs w:val="26"/>
        </w:rPr>
        <w:t>The</w:t>
      </w:r>
      <w:r w:rsidR="006F0847">
        <w:rPr>
          <w:szCs w:val="26"/>
        </w:rPr>
        <w:t xml:space="preserve"> parties selected the </w:t>
      </w:r>
      <w:r w:rsidR="0098044B">
        <w:rPr>
          <w:szCs w:val="26"/>
        </w:rPr>
        <w:t xml:space="preserve">procedural provisions of the FAA and the Federal Rules of Civil Procedure, </w:t>
      </w:r>
      <w:r w:rsidR="009F68A0">
        <w:rPr>
          <w:szCs w:val="26"/>
        </w:rPr>
        <w:t xml:space="preserve">and </w:t>
      </w:r>
      <w:r w:rsidR="00DB3EC9">
        <w:rPr>
          <w:szCs w:val="26"/>
        </w:rPr>
        <w:t xml:space="preserve">therefore, </w:t>
      </w:r>
      <w:r w:rsidR="0098044B">
        <w:rPr>
          <w:szCs w:val="26"/>
        </w:rPr>
        <w:t>the</w:t>
      </w:r>
      <w:r w:rsidR="008012E0">
        <w:rPr>
          <w:szCs w:val="26"/>
        </w:rPr>
        <w:t xml:space="preserve"> </w:t>
      </w:r>
      <w:r w:rsidR="00947F70">
        <w:rPr>
          <w:szCs w:val="26"/>
        </w:rPr>
        <w:t>procedures of the CAA, including section 1281.97, do not apply.</w:t>
      </w:r>
      <w:r w:rsidR="003A3093">
        <w:rPr>
          <w:szCs w:val="26"/>
        </w:rPr>
        <w:t xml:space="preserve">  The order based on section 1281.97 must be reversed.</w:t>
      </w:r>
    </w:p>
    <w:p w14:paraId="7AAAF817" w14:textId="1F6AFCF4" w:rsidR="00E4495F" w:rsidRDefault="0055173C" w:rsidP="00C5238E">
      <w:pPr>
        <w:rPr>
          <w:szCs w:val="26"/>
        </w:rPr>
      </w:pPr>
      <w:r>
        <w:rPr>
          <w:szCs w:val="26"/>
        </w:rPr>
        <w:tab/>
        <w:t>Hernandez contends the parties</w:t>
      </w:r>
      <w:r w:rsidR="00B23F3A">
        <w:rPr>
          <w:szCs w:val="26"/>
        </w:rPr>
        <w:t xml:space="preserve"> </w:t>
      </w:r>
      <w:r w:rsidR="0097203A">
        <w:rPr>
          <w:szCs w:val="26"/>
        </w:rPr>
        <w:t xml:space="preserve">affirmatively </w:t>
      </w:r>
      <w:r w:rsidR="00B23F3A">
        <w:rPr>
          <w:szCs w:val="26"/>
        </w:rPr>
        <w:t xml:space="preserve">incorporated California’s arbitration </w:t>
      </w:r>
      <w:r w:rsidR="00B11A6C">
        <w:rPr>
          <w:szCs w:val="26"/>
        </w:rPr>
        <w:t>law</w:t>
      </w:r>
      <w:r w:rsidR="006D43BC">
        <w:rPr>
          <w:szCs w:val="26"/>
        </w:rPr>
        <w:t xml:space="preserve"> in their agreement, including section 1281.97,</w:t>
      </w:r>
      <w:r w:rsidR="00B11A6C">
        <w:rPr>
          <w:szCs w:val="26"/>
        </w:rPr>
        <w:t xml:space="preserve"> </w:t>
      </w:r>
      <w:r w:rsidR="00CB7467">
        <w:rPr>
          <w:szCs w:val="26"/>
        </w:rPr>
        <w:t xml:space="preserve">by stipulating </w:t>
      </w:r>
      <w:r w:rsidR="00B23F3A">
        <w:rPr>
          <w:szCs w:val="26"/>
        </w:rPr>
        <w:t>that the</w:t>
      </w:r>
      <w:r w:rsidR="006174B8">
        <w:rPr>
          <w:szCs w:val="26"/>
        </w:rPr>
        <w:t xml:space="preserve"> arbitration </w:t>
      </w:r>
      <w:r w:rsidR="00045C9C" w:rsidRPr="00045C9C">
        <w:rPr>
          <w:szCs w:val="26"/>
        </w:rPr>
        <w:t>“fully complies</w:t>
      </w:r>
      <w:r w:rsidR="001A0423">
        <w:rPr>
          <w:szCs w:val="26"/>
        </w:rPr>
        <w:t>”</w:t>
      </w:r>
      <w:r w:rsidR="00045C9C" w:rsidRPr="00045C9C">
        <w:rPr>
          <w:szCs w:val="26"/>
        </w:rPr>
        <w:t xml:space="preserve"> with the requirements of </w:t>
      </w:r>
      <w:r w:rsidR="00045C9C" w:rsidRPr="00045C9C">
        <w:rPr>
          <w:i/>
          <w:iCs/>
          <w:szCs w:val="26"/>
        </w:rPr>
        <w:t xml:space="preserve">Armendariz v. Foundation Health </w:t>
      </w:r>
      <w:proofErr w:type="spellStart"/>
      <w:r w:rsidR="00045C9C" w:rsidRPr="00045C9C">
        <w:rPr>
          <w:i/>
          <w:iCs/>
          <w:szCs w:val="26"/>
        </w:rPr>
        <w:t>Psychcare</w:t>
      </w:r>
      <w:proofErr w:type="spellEnd"/>
      <w:r w:rsidR="00045C9C" w:rsidRPr="00045C9C">
        <w:rPr>
          <w:i/>
          <w:iCs/>
          <w:szCs w:val="26"/>
        </w:rPr>
        <w:t xml:space="preserve"> Services, Inc.</w:t>
      </w:r>
      <w:r w:rsidR="00217B03">
        <w:rPr>
          <w:i/>
          <w:iCs/>
          <w:szCs w:val="26"/>
        </w:rPr>
        <w:t>,</w:t>
      </w:r>
      <w:r w:rsidR="000B11A4" w:rsidRPr="004A2642" w:rsidDel="000B11A4">
        <w:rPr>
          <w:szCs w:val="26"/>
        </w:rPr>
        <w:t xml:space="preserve"> </w:t>
      </w:r>
      <w:r w:rsidR="00217B03">
        <w:rPr>
          <w:i/>
          <w:iCs/>
          <w:szCs w:val="26"/>
        </w:rPr>
        <w:t>supra</w:t>
      </w:r>
      <w:r w:rsidR="00524DDB">
        <w:rPr>
          <w:i/>
          <w:iCs/>
          <w:szCs w:val="26"/>
        </w:rPr>
        <w:t>,</w:t>
      </w:r>
      <w:r w:rsidR="00045C9C" w:rsidRPr="00045C9C">
        <w:rPr>
          <w:szCs w:val="26"/>
        </w:rPr>
        <w:t xml:space="preserve"> 24 Cal.4th </w:t>
      </w:r>
      <w:r w:rsidR="003E6BD7">
        <w:rPr>
          <w:szCs w:val="26"/>
        </w:rPr>
        <w:t>at p. 91</w:t>
      </w:r>
      <w:r w:rsidR="005D023F">
        <w:rPr>
          <w:szCs w:val="26"/>
        </w:rPr>
        <w:t>, and listing those requirements</w:t>
      </w:r>
      <w:r w:rsidR="00482607">
        <w:rPr>
          <w:szCs w:val="26"/>
        </w:rPr>
        <w:t xml:space="preserve">.  </w:t>
      </w:r>
      <w:r w:rsidR="005D023F">
        <w:rPr>
          <w:szCs w:val="26"/>
        </w:rPr>
        <w:t>We disagree</w:t>
      </w:r>
      <w:r w:rsidR="00482607">
        <w:rPr>
          <w:szCs w:val="26"/>
        </w:rPr>
        <w:t xml:space="preserve">.  </w:t>
      </w:r>
      <w:r w:rsidR="00157CB0">
        <w:rPr>
          <w:szCs w:val="26"/>
        </w:rPr>
        <w:t xml:space="preserve">In </w:t>
      </w:r>
      <w:r w:rsidR="00157CB0" w:rsidRPr="00D24A5E">
        <w:rPr>
          <w:i/>
          <w:iCs/>
          <w:szCs w:val="26"/>
        </w:rPr>
        <w:t>Armendariz</w:t>
      </w:r>
      <w:r w:rsidR="00157CB0">
        <w:rPr>
          <w:szCs w:val="26"/>
        </w:rPr>
        <w:t xml:space="preserve">, the California Supreme Court </w:t>
      </w:r>
      <w:r w:rsidR="00C31E84">
        <w:rPr>
          <w:szCs w:val="26"/>
        </w:rPr>
        <w:t>held</w:t>
      </w:r>
      <w:r w:rsidR="00620FEC">
        <w:rPr>
          <w:szCs w:val="26"/>
        </w:rPr>
        <w:t xml:space="preserve"> that discrimination claims under the California Fair Employment and Housing Act (FEHA)</w:t>
      </w:r>
      <w:r w:rsidR="001F67B0">
        <w:rPr>
          <w:szCs w:val="26"/>
        </w:rPr>
        <w:t xml:space="preserve"> are arbitrable i</w:t>
      </w:r>
      <w:r w:rsidR="00CA4F2A">
        <w:rPr>
          <w:szCs w:val="26"/>
        </w:rPr>
        <w:t>f</w:t>
      </w:r>
      <w:r w:rsidR="001F67B0">
        <w:rPr>
          <w:szCs w:val="26"/>
        </w:rPr>
        <w:t xml:space="preserve"> the arbitration </w:t>
      </w:r>
      <w:r w:rsidR="00604B6F">
        <w:rPr>
          <w:szCs w:val="26"/>
        </w:rPr>
        <w:t xml:space="preserve">meets certain minimum standards of fairness </w:t>
      </w:r>
      <w:r w:rsidR="009C75A0">
        <w:rPr>
          <w:szCs w:val="26"/>
        </w:rPr>
        <w:t xml:space="preserve">allowing </w:t>
      </w:r>
      <w:r w:rsidR="00703094">
        <w:rPr>
          <w:szCs w:val="26"/>
        </w:rPr>
        <w:t>employee</w:t>
      </w:r>
      <w:r w:rsidR="00CA6C2A">
        <w:rPr>
          <w:szCs w:val="26"/>
        </w:rPr>
        <w:t>s</w:t>
      </w:r>
      <w:r w:rsidR="001F67B0">
        <w:rPr>
          <w:szCs w:val="26"/>
        </w:rPr>
        <w:t xml:space="preserve"> to vindicate </w:t>
      </w:r>
      <w:r w:rsidR="00703094">
        <w:rPr>
          <w:szCs w:val="26"/>
        </w:rPr>
        <w:t>the</w:t>
      </w:r>
      <w:r w:rsidR="00CA6C2A">
        <w:rPr>
          <w:szCs w:val="26"/>
        </w:rPr>
        <w:t xml:space="preserve">ir </w:t>
      </w:r>
      <w:r w:rsidR="001F67B0">
        <w:rPr>
          <w:szCs w:val="26"/>
        </w:rPr>
        <w:t>statutory rights</w:t>
      </w:r>
      <w:r w:rsidR="00470E2A">
        <w:rPr>
          <w:szCs w:val="26"/>
        </w:rPr>
        <w:t>,</w:t>
      </w:r>
      <w:r w:rsidR="00470E2A" w:rsidRPr="00470E2A">
        <w:t xml:space="preserve"> </w:t>
      </w:r>
      <w:r w:rsidR="00470E2A">
        <w:t>“</w:t>
      </w:r>
      <w:r w:rsidR="00470E2A" w:rsidRPr="00470E2A">
        <w:rPr>
          <w:szCs w:val="26"/>
        </w:rPr>
        <w:t>including neutrality of the arbitrator, the provision of adequate discovery, a written decision that will permit a limited form of judicial review, and limitations on the costs of arbitration.</w:t>
      </w:r>
      <w:r w:rsidR="00470E2A">
        <w:rPr>
          <w:szCs w:val="26"/>
        </w:rPr>
        <w:t>”  (</w:t>
      </w:r>
      <w:r w:rsidR="00D24A5E" w:rsidRPr="00B36E4D">
        <w:rPr>
          <w:i/>
          <w:iCs/>
          <w:szCs w:val="26"/>
        </w:rPr>
        <w:t>Id</w:t>
      </w:r>
      <w:r w:rsidR="00D24A5E">
        <w:rPr>
          <w:szCs w:val="26"/>
        </w:rPr>
        <w:t xml:space="preserve">. </w:t>
      </w:r>
      <w:r w:rsidR="00470E2A">
        <w:rPr>
          <w:szCs w:val="26"/>
        </w:rPr>
        <w:t xml:space="preserve">at p. </w:t>
      </w:r>
      <w:r w:rsidR="00470E2A" w:rsidRPr="00470E2A">
        <w:rPr>
          <w:szCs w:val="26"/>
        </w:rPr>
        <w:t>91</w:t>
      </w:r>
      <w:r w:rsidR="00CA4F2A">
        <w:rPr>
          <w:szCs w:val="26"/>
        </w:rPr>
        <w:t>.</w:t>
      </w:r>
      <w:r w:rsidR="00D24A5E">
        <w:rPr>
          <w:szCs w:val="26"/>
        </w:rPr>
        <w:t>)</w:t>
      </w:r>
      <w:r w:rsidR="00CA4F2A">
        <w:rPr>
          <w:szCs w:val="26"/>
        </w:rPr>
        <w:t xml:space="preserve">  </w:t>
      </w:r>
      <w:r w:rsidR="00B06AD0" w:rsidRPr="00D24A5E">
        <w:rPr>
          <w:i/>
          <w:iCs/>
          <w:szCs w:val="26"/>
        </w:rPr>
        <w:t>Armendariz</w:t>
      </w:r>
      <w:r w:rsidR="00B06AD0">
        <w:rPr>
          <w:szCs w:val="26"/>
        </w:rPr>
        <w:t xml:space="preserve"> does not require parties to arbitrate under the CAA</w:t>
      </w:r>
      <w:r w:rsidR="00A90F57">
        <w:rPr>
          <w:szCs w:val="26"/>
        </w:rPr>
        <w:t xml:space="preserve">.  </w:t>
      </w:r>
      <w:r w:rsidR="0097203A">
        <w:rPr>
          <w:szCs w:val="26"/>
        </w:rPr>
        <w:t>The parties’ representation</w:t>
      </w:r>
      <w:r w:rsidR="00B06AD0" w:rsidRPr="00B06AD0">
        <w:rPr>
          <w:szCs w:val="26"/>
        </w:rPr>
        <w:t xml:space="preserve"> that the</w:t>
      </w:r>
      <w:r w:rsidR="0097203A">
        <w:rPr>
          <w:szCs w:val="26"/>
        </w:rPr>
        <w:t xml:space="preserve">ir </w:t>
      </w:r>
      <w:r w:rsidR="00B06AD0" w:rsidRPr="00B06AD0">
        <w:rPr>
          <w:szCs w:val="26"/>
        </w:rPr>
        <w:t xml:space="preserve">arbitration </w:t>
      </w:r>
      <w:r w:rsidR="0097203A">
        <w:rPr>
          <w:szCs w:val="26"/>
        </w:rPr>
        <w:t>would</w:t>
      </w:r>
      <w:r w:rsidR="00B06AD0" w:rsidRPr="00B06AD0">
        <w:rPr>
          <w:szCs w:val="26"/>
        </w:rPr>
        <w:t xml:space="preserve"> meet California’s minimum requirements for </w:t>
      </w:r>
      <w:r w:rsidR="00A90F57">
        <w:rPr>
          <w:szCs w:val="26"/>
        </w:rPr>
        <w:t>a fair</w:t>
      </w:r>
      <w:r w:rsidR="00B06AD0" w:rsidRPr="00B06AD0">
        <w:rPr>
          <w:szCs w:val="26"/>
        </w:rPr>
        <w:t xml:space="preserve"> arbitral forum </w:t>
      </w:r>
      <w:r w:rsidR="00A90F57">
        <w:rPr>
          <w:szCs w:val="26"/>
        </w:rPr>
        <w:t xml:space="preserve">did not </w:t>
      </w:r>
      <w:r w:rsidR="0097203A">
        <w:rPr>
          <w:szCs w:val="26"/>
        </w:rPr>
        <w:t xml:space="preserve">designate </w:t>
      </w:r>
      <w:r w:rsidR="00F526EC">
        <w:rPr>
          <w:szCs w:val="26"/>
        </w:rPr>
        <w:t xml:space="preserve">California arbitration law </w:t>
      </w:r>
      <w:r w:rsidR="0097203A">
        <w:rPr>
          <w:szCs w:val="26"/>
        </w:rPr>
        <w:t>to</w:t>
      </w:r>
      <w:r w:rsidR="00F526EC">
        <w:rPr>
          <w:szCs w:val="26"/>
        </w:rPr>
        <w:t xml:space="preserve"> govern the agreement.</w:t>
      </w:r>
      <w:r w:rsidR="006C6A9C" w:rsidRPr="00F82F9E">
        <w:rPr>
          <w:rStyle w:val="FootnoteReference"/>
          <w:b/>
          <w:bCs/>
          <w:position w:val="8"/>
          <w:sz w:val="20"/>
          <w:szCs w:val="26"/>
          <w:vertAlign w:val="baseline"/>
        </w:rPr>
        <w:footnoteReference w:id="8"/>
      </w:r>
    </w:p>
    <w:p w14:paraId="72CF636A" w14:textId="77777777" w:rsidR="00BA4E29" w:rsidRDefault="00BA4E29" w:rsidP="00C5238E">
      <w:pPr>
        <w:keepNext/>
        <w:rPr>
          <w:szCs w:val="26"/>
        </w:rPr>
      </w:pPr>
    </w:p>
    <w:p w14:paraId="3A20A308" w14:textId="66960D05" w:rsidR="00AF245D" w:rsidRPr="0049027E" w:rsidRDefault="00BA4E29" w:rsidP="00C5238E">
      <w:pPr>
        <w:keepNext/>
        <w:rPr>
          <w:b/>
          <w:bCs/>
          <w:szCs w:val="26"/>
        </w:rPr>
      </w:pPr>
      <w:r w:rsidRPr="0049027E">
        <w:rPr>
          <w:b/>
          <w:bCs/>
          <w:szCs w:val="26"/>
        </w:rPr>
        <w:tab/>
      </w:r>
      <w:r w:rsidR="00A00840">
        <w:rPr>
          <w:b/>
          <w:bCs/>
          <w:szCs w:val="26"/>
        </w:rPr>
        <w:t>E</w:t>
      </w:r>
      <w:r w:rsidRPr="0049027E">
        <w:rPr>
          <w:b/>
          <w:bCs/>
          <w:szCs w:val="26"/>
        </w:rPr>
        <w:t xml:space="preserve">.  </w:t>
      </w:r>
      <w:r w:rsidR="00577A48">
        <w:rPr>
          <w:b/>
          <w:bCs/>
          <w:szCs w:val="26"/>
        </w:rPr>
        <w:t>Mandatory Findings</w:t>
      </w:r>
      <w:r w:rsidR="003E2778">
        <w:rPr>
          <w:b/>
          <w:bCs/>
          <w:szCs w:val="26"/>
        </w:rPr>
        <w:t xml:space="preserve"> Preempted </w:t>
      </w:r>
      <w:r w:rsidR="00D44E86">
        <w:rPr>
          <w:b/>
          <w:bCs/>
          <w:szCs w:val="26"/>
        </w:rPr>
        <w:t xml:space="preserve">by </w:t>
      </w:r>
      <w:r w:rsidR="003E2778">
        <w:rPr>
          <w:b/>
          <w:bCs/>
          <w:szCs w:val="26"/>
        </w:rPr>
        <w:t>the FAA</w:t>
      </w:r>
    </w:p>
    <w:p w14:paraId="0685E01E" w14:textId="77777777" w:rsidR="000D768A" w:rsidRPr="000D768A" w:rsidRDefault="000D768A" w:rsidP="00C5238E">
      <w:pPr>
        <w:keepNext/>
        <w:rPr>
          <w:szCs w:val="26"/>
        </w:rPr>
      </w:pPr>
    </w:p>
    <w:p w14:paraId="72364A89" w14:textId="79038A95" w:rsidR="008530EE" w:rsidRDefault="001B7FCA" w:rsidP="00C5238E">
      <w:pPr>
        <w:keepNext/>
        <w:rPr>
          <w:szCs w:val="26"/>
        </w:rPr>
      </w:pPr>
      <w:r>
        <w:rPr>
          <w:szCs w:val="26"/>
        </w:rPr>
        <w:tab/>
      </w:r>
      <w:r w:rsidR="008C7D04">
        <w:rPr>
          <w:szCs w:val="26"/>
        </w:rPr>
        <w:t>Even if we were to conclude that</w:t>
      </w:r>
      <w:r w:rsidR="008775D6">
        <w:rPr>
          <w:szCs w:val="26"/>
        </w:rPr>
        <w:t xml:space="preserve"> section 1281.97 applies</w:t>
      </w:r>
      <w:r w:rsidR="00EC2EED">
        <w:rPr>
          <w:szCs w:val="26"/>
        </w:rPr>
        <w:t>,</w:t>
      </w:r>
      <w:r w:rsidR="00304F1C">
        <w:rPr>
          <w:szCs w:val="26"/>
        </w:rPr>
        <w:t xml:space="preserve"> </w:t>
      </w:r>
      <w:r w:rsidR="0085699E">
        <w:rPr>
          <w:szCs w:val="26"/>
        </w:rPr>
        <w:t xml:space="preserve">however, </w:t>
      </w:r>
      <w:r w:rsidR="00711295" w:rsidRPr="00711295">
        <w:rPr>
          <w:szCs w:val="26"/>
        </w:rPr>
        <w:t xml:space="preserve">we would </w:t>
      </w:r>
      <w:r w:rsidR="008C7D04">
        <w:rPr>
          <w:szCs w:val="26"/>
        </w:rPr>
        <w:t xml:space="preserve">still </w:t>
      </w:r>
      <w:r w:rsidR="00711295" w:rsidRPr="00711295">
        <w:rPr>
          <w:szCs w:val="26"/>
        </w:rPr>
        <w:t>reverse the order in this case</w:t>
      </w:r>
      <w:r w:rsidR="00A83DEE">
        <w:rPr>
          <w:szCs w:val="26"/>
        </w:rPr>
        <w:t xml:space="preserve">.  </w:t>
      </w:r>
      <w:r w:rsidR="00375822">
        <w:rPr>
          <w:szCs w:val="26"/>
        </w:rPr>
        <w:t xml:space="preserve">When </w:t>
      </w:r>
      <w:r w:rsidR="00234E00">
        <w:rPr>
          <w:szCs w:val="26"/>
        </w:rPr>
        <w:t>an agreement falls within the scope of the FAA and</w:t>
      </w:r>
      <w:r w:rsidR="009B03F5">
        <w:rPr>
          <w:szCs w:val="26"/>
        </w:rPr>
        <w:t xml:space="preserve"> the </w:t>
      </w:r>
      <w:r w:rsidR="008523D6">
        <w:rPr>
          <w:szCs w:val="26"/>
        </w:rPr>
        <w:t xml:space="preserve">parties </w:t>
      </w:r>
      <w:r w:rsidR="009B03F5">
        <w:rPr>
          <w:szCs w:val="26"/>
        </w:rPr>
        <w:t xml:space="preserve">have not </w:t>
      </w:r>
      <w:r w:rsidR="00FC5600">
        <w:rPr>
          <w:szCs w:val="26"/>
        </w:rPr>
        <w:t xml:space="preserve">expressly elected California law, </w:t>
      </w:r>
      <w:r w:rsidR="00483838">
        <w:rPr>
          <w:szCs w:val="26"/>
        </w:rPr>
        <w:t xml:space="preserve">we hold </w:t>
      </w:r>
      <w:r w:rsidR="00234E00">
        <w:rPr>
          <w:szCs w:val="26"/>
        </w:rPr>
        <w:t xml:space="preserve">the FAA preempts </w:t>
      </w:r>
      <w:r w:rsidR="00375822">
        <w:rPr>
          <w:szCs w:val="26"/>
        </w:rPr>
        <w:t xml:space="preserve">the portion of </w:t>
      </w:r>
      <w:r w:rsidR="003B480A">
        <w:rPr>
          <w:szCs w:val="26"/>
        </w:rPr>
        <w:t xml:space="preserve">section 1281.97 </w:t>
      </w:r>
      <w:r w:rsidR="00B657F6">
        <w:rPr>
          <w:szCs w:val="26"/>
        </w:rPr>
        <w:t>that requires</w:t>
      </w:r>
      <w:r w:rsidR="00234E00">
        <w:rPr>
          <w:szCs w:val="26"/>
        </w:rPr>
        <w:t xml:space="preserve"> findings of</w:t>
      </w:r>
      <w:r w:rsidR="003B480A">
        <w:rPr>
          <w:szCs w:val="26"/>
        </w:rPr>
        <w:t xml:space="preserve"> </w:t>
      </w:r>
      <w:r w:rsidR="00233591">
        <w:rPr>
          <w:szCs w:val="26"/>
        </w:rPr>
        <w:t xml:space="preserve">material breach </w:t>
      </w:r>
      <w:r w:rsidR="001431CE">
        <w:rPr>
          <w:szCs w:val="26"/>
        </w:rPr>
        <w:t>and a waiver of the right to arbitrate</w:t>
      </w:r>
      <w:r w:rsidR="00AE3D13">
        <w:rPr>
          <w:szCs w:val="26"/>
        </w:rPr>
        <w:t xml:space="preserve"> </w:t>
      </w:r>
      <w:r w:rsidR="000E79B6">
        <w:rPr>
          <w:szCs w:val="26"/>
        </w:rPr>
        <w:t xml:space="preserve">as a matter of </w:t>
      </w:r>
      <w:r w:rsidR="00A03A24">
        <w:rPr>
          <w:szCs w:val="26"/>
        </w:rPr>
        <w:t xml:space="preserve">contract </w:t>
      </w:r>
      <w:r w:rsidR="000E79B6">
        <w:rPr>
          <w:szCs w:val="26"/>
        </w:rPr>
        <w:t>law</w:t>
      </w:r>
      <w:r w:rsidR="003B480A">
        <w:rPr>
          <w:szCs w:val="26"/>
        </w:rPr>
        <w:t>.</w:t>
      </w:r>
    </w:p>
    <w:p w14:paraId="470A03D3" w14:textId="5EA22DCA" w:rsidR="007B6636" w:rsidRDefault="008530EE" w:rsidP="00C5238E">
      <w:pPr>
        <w:keepNext/>
        <w:rPr>
          <w:szCs w:val="26"/>
        </w:rPr>
      </w:pPr>
      <w:r>
        <w:rPr>
          <w:szCs w:val="26"/>
        </w:rPr>
        <w:tab/>
      </w:r>
      <w:r w:rsidR="001B7FCA">
        <w:rPr>
          <w:szCs w:val="26"/>
        </w:rPr>
        <w:t xml:space="preserve">Whether </w:t>
      </w:r>
      <w:r w:rsidR="002C2CED">
        <w:rPr>
          <w:szCs w:val="26"/>
        </w:rPr>
        <w:t xml:space="preserve">a state </w:t>
      </w:r>
      <w:r w:rsidR="00941523">
        <w:rPr>
          <w:szCs w:val="26"/>
        </w:rPr>
        <w:t xml:space="preserve">statute </w:t>
      </w:r>
      <w:r w:rsidR="002C2CED">
        <w:rPr>
          <w:szCs w:val="26"/>
        </w:rPr>
        <w:t xml:space="preserve">is preempted by the FAA depends on whether the </w:t>
      </w:r>
      <w:r w:rsidR="00411B5B">
        <w:rPr>
          <w:szCs w:val="26"/>
        </w:rPr>
        <w:t>statute</w:t>
      </w:r>
      <w:r w:rsidR="002C2CED">
        <w:rPr>
          <w:szCs w:val="26"/>
        </w:rPr>
        <w:t xml:space="preserve"> conflicts with or obstructs the purpose of the FAA.  (</w:t>
      </w:r>
      <w:r w:rsidR="002C2CED" w:rsidRPr="00B36E4D">
        <w:rPr>
          <w:i/>
          <w:iCs/>
          <w:szCs w:val="26"/>
        </w:rPr>
        <w:t>Gallo</w:t>
      </w:r>
      <w:r w:rsidR="002C2CED">
        <w:rPr>
          <w:szCs w:val="26"/>
        </w:rPr>
        <w:t xml:space="preserve">, </w:t>
      </w:r>
      <w:r w:rsidR="002C2CED" w:rsidRPr="00B36E4D">
        <w:rPr>
          <w:i/>
          <w:iCs/>
          <w:szCs w:val="26"/>
        </w:rPr>
        <w:t>supra</w:t>
      </w:r>
      <w:r w:rsidR="002C2CED">
        <w:rPr>
          <w:szCs w:val="26"/>
        </w:rPr>
        <w:t xml:space="preserve">, </w:t>
      </w:r>
      <w:r w:rsidR="00B01393">
        <w:rPr>
          <w:szCs w:val="26"/>
        </w:rPr>
        <w:t xml:space="preserve">81 Cal.App.5th at p. 637.)  </w:t>
      </w:r>
      <w:r w:rsidR="00341054">
        <w:rPr>
          <w:szCs w:val="26"/>
        </w:rPr>
        <w:t>Section 2 of the FAA</w:t>
      </w:r>
      <w:r w:rsidR="009C5EFF">
        <w:rPr>
          <w:szCs w:val="26"/>
        </w:rPr>
        <w:t xml:space="preserve"> </w:t>
      </w:r>
      <w:r w:rsidR="00EF4BCF">
        <w:rPr>
          <w:szCs w:val="26"/>
        </w:rPr>
        <w:t>embodies an “equal-treatment” principle</w:t>
      </w:r>
      <w:proofErr w:type="gramStart"/>
      <w:r w:rsidR="00EF4BCF">
        <w:rPr>
          <w:szCs w:val="26"/>
        </w:rPr>
        <w:t xml:space="preserve">: </w:t>
      </w:r>
      <w:r w:rsidR="00CD0E50">
        <w:rPr>
          <w:szCs w:val="26"/>
        </w:rPr>
        <w:t xml:space="preserve"> </w:t>
      </w:r>
      <w:r w:rsidR="00EF4BCF">
        <w:rPr>
          <w:szCs w:val="26"/>
        </w:rPr>
        <w:t>“</w:t>
      </w:r>
      <w:proofErr w:type="gramEnd"/>
      <w:r w:rsidR="00EA0AA9">
        <w:rPr>
          <w:szCs w:val="26"/>
        </w:rPr>
        <w:t> </w:t>
      </w:r>
      <w:r w:rsidR="00EF4BCF" w:rsidRPr="00EF4BCF">
        <w:rPr>
          <w:szCs w:val="26"/>
        </w:rPr>
        <w:t>‘A court may invalidate an arbitration agreement based on “generally applicable contract defenses” like fraud or unconscionability, but not on legal rules that “apply only to arbitration or that derive their meaning from the fact that an agreement to arbitrate is at issue.”</w:t>
      </w:r>
      <w:r w:rsidR="00EA0AA9">
        <w:rPr>
          <w:szCs w:val="26"/>
        </w:rPr>
        <w:t> </w:t>
      </w:r>
      <w:r w:rsidR="00EF4BCF" w:rsidRPr="00EF4BCF">
        <w:rPr>
          <w:szCs w:val="26"/>
        </w:rPr>
        <w:t>’  [Citation.]”</w:t>
      </w:r>
      <w:r w:rsidR="00BF40D2">
        <w:rPr>
          <w:szCs w:val="26"/>
        </w:rPr>
        <w:t xml:space="preserve"> </w:t>
      </w:r>
      <w:r w:rsidR="00EF4BCF" w:rsidRPr="00EF4BCF">
        <w:rPr>
          <w:szCs w:val="26"/>
        </w:rPr>
        <w:t xml:space="preserve"> (</w:t>
      </w:r>
      <w:r w:rsidR="00EF4BCF" w:rsidRPr="00B36E4D">
        <w:rPr>
          <w:i/>
          <w:iCs/>
          <w:szCs w:val="26"/>
        </w:rPr>
        <w:t xml:space="preserve">Viking River Cruises, Inc. v. </w:t>
      </w:r>
      <w:proofErr w:type="spellStart"/>
      <w:r w:rsidR="00EF4BCF" w:rsidRPr="00B36E4D">
        <w:rPr>
          <w:i/>
          <w:iCs/>
          <w:szCs w:val="26"/>
        </w:rPr>
        <w:t>Moriana</w:t>
      </w:r>
      <w:proofErr w:type="spellEnd"/>
      <w:r w:rsidR="00EF4BCF" w:rsidRPr="00B36E4D">
        <w:rPr>
          <w:i/>
          <w:iCs/>
          <w:szCs w:val="26"/>
        </w:rPr>
        <w:t xml:space="preserve"> </w:t>
      </w:r>
      <w:r w:rsidR="00EF4BCF" w:rsidRPr="00EF4BCF">
        <w:rPr>
          <w:szCs w:val="26"/>
        </w:rPr>
        <w:t xml:space="preserve">(2022) 596 U.S. 639, 650.)  </w:t>
      </w:r>
      <w:r w:rsidR="006C0CD7">
        <w:rPr>
          <w:szCs w:val="26"/>
        </w:rPr>
        <w:t>Under</w:t>
      </w:r>
      <w:r w:rsidR="00205320">
        <w:rPr>
          <w:szCs w:val="26"/>
        </w:rPr>
        <w:t xml:space="preserve"> this principle</w:t>
      </w:r>
      <w:r w:rsidR="00047002">
        <w:rPr>
          <w:szCs w:val="26"/>
        </w:rPr>
        <w:t xml:space="preserve">, a state law that discriminates </w:t>
      </w:r>
      <w:r w:rsidR="00631A22">
        <w:rPr>
          <w:szCs w:val="26"/>
        </w:rPr>
        <w:t xml:space="preserve">on its face </w:t>
      </w:r>
      <w:r w:rsidR="00047002">
        <w:rPr>
          <w:szCs w:val="26"/>
        </w:rPr>
        <w:t>against arbitration</w:t>
      </w:r>
      <w:r w:rsidR="002039F4">
        <w:rPr>
          <w:szCs w:val="26"/>
        </w:rPr>
        <w:t>, such as</w:t>
      </w:r>
      <w:r w:rsidR="00047002">
        <w:rPr>
          <w:szCs w:val="26"/>
        </w:rPr>
        <w:t xml:space="preserve"> </w:t>
      </w:r>
      <w:r w:rsidR="00D07D3A">
        <w:rPr>
          <w:szCs w:val="26"/>
        </w:rPr>
        <w:t xml:space="preserve">barring </w:t>
      </w:r>
      <w:r w:rsidR="00C737D6">
        <w:rPr>
          <w:szCs w:val="26"/>
        </w:rPr>
        <w:t xml:space="preserve">arbitration of </w:t>
      </w:r>
      <w:r w:rsidR="00D07D3A">
        <w:rPr>
          <w:szCs w:val="26"/>
        </w:rPr>
        <w:t>a particular type of claim,</w:t>
      </w:r>
      <w:r w:rsidR="00157E9F" w:rsidRPr="003A4B91">
        <w:rPr>
          <w:szCs w:val="26"/>
        </w:rPr>
        <w:t xml:space="preserve"> </w:t>
      </w:r>
      <w:r w:rsidR="00FE1475">
        <w:rPr>
          <w:szCs w:val="26"/>
        </w:rPr>
        <w:t>will be</w:t>
      </w:r>
      <w:r w:rsidR="00157E9F" w:rsidRPr="003A4B91">
        <w:rPr>
          <w:szCs w:val="26"/>
        </w:rPr>
        <w:t xml:space="preserve"> preempted by the FAA.</w:t>
      </w:r>
      <w:r w:rsidR="0038241E" w:rsidRPr="003A4B91">
        <w:rPr>
          <w:szCs w:val="26"/>
        </w:rPr>
        <w:t xml:space="preserve">  (</w:t>
      </w:r>
      <w:r w:rsidR="00C737D6" w:rsidRPr="00B36E4D">
        <w:rPr>
          <w:i/>
          <w:iCs/>
          <w:szCs w:val="26"/>
        </w:rPr>
        <w:t>Ibid</w:t>
      </w:r>
      <w:r w:rsidR="00B36E4D">
        <w:rPr>
          <w:szCs w:val="26"/>
        </w:rPr>
        <w:t>.</w:t>
      </w:r>
      <w:r w:rsidR="00C737D6">
        <w:rPr>
          <w:szCs w:val="26"/>
        </w:rPr>
        <w:t xml:space="preserve">; </w:t>
      </w:r>
      <w:bookmarkStart w:id="21" w:name="_Hlk159242764"/>
      <w:r w:rsidR="0038241E" w:rsidRPr="00B36E4D">
        <w:rPr>
          <w:i/>
          <w:iCs/>
          <w:szCs w:val="26"/>
        </w:rPr>
        <w:t>Gallo</w:t>
      </w:r>
      <w:r w:rsidR="0038241E" w:rsidRPr="003A4B91">
        <w:rPr>
          <w:szCs w:val="26"/>
        </w:rPr>
        <w:t xml:space="preserve">, </w:t>
      </w:r>
      <w:r w:rsidR="0038241E" w:rsidRPr="00B36E4D">
        <w:rPr>
          <w:i/>
          <w:iCs/>
          <w:szCs w:val="26"/>
        </w:rPr>
        <w:t>supra</w:t>
      </w:r>
      <w:r w:rsidR="0038241E" w:rsidRPr="003A4B91">
        <w:rPr>
          <w:szCs w:val="26"/>
        </w:rPr>
        <w:t xml:space="preserve">, </w:t>
      </w:r>
      <w:r w:rsidR="001D47C1" w:rsidRPr="003A4B91">
        <w:rPr>
          <w:szCs w:val="26"/>
        </w:rPr>
        <w:t>81 Cal.App.5th at p.</w:t>
      </w:r>
      <w:r w:rsidR="00EA0AA9">
        <w:rPr>
          <w:szCs w:val="26"/>
        </w:rPr>
        <w:t> </w:t>
      </w:r>
      <w:r w:rsidR="001D47C1" w:rsidRPr="003A4B91">
        <w:rPr>
          <w:szCs w:val="26"/>
        </w:rPr>
        <w:t>637</w:t>
      </w:r>
      <w:bookmarkEnd w:id="21"/>
      <w:r w:rsidR="001D47C1" w:rsidRPr="003A4B91">
        <w:rPr>
          <w:szCs w:val="26"/>
        </w:rPr>
        <w:t>.)</w:t>
      </w:r>
      <w:r w:rsidR="003A4B91" w:rsidRPr="003A4B91">
        <w:rPr>
          <w:szCs w:val="26"/>
        </w:rPr>
        <w:t xml:space="preserve">  </w:t>
      </w:r>
      <w:r w:rsidR="00A6539E" w:rsidRPr="00A6539E">
        <w:rPr>
          <w:szCs w:val="26"/>
        </w:rPr>
        <w:t xml:space="preserve">Similarly, state laws that impose requirements that discourage formation or enforcement of arbitration agreements are preempted.  </w:t>
      </w:r>
      <w:r w:rsidR="00DD2307" w:rsidRPr="00DD2307">
        <w:rPr>
          <w:szCs w:val="26"/>
        </w:rPr>
        <w:t>(</w:t>
      </w:r>
      <w:r w:rsidR="00DD2307" w:rsidRPr="00DD2307">
        <w:rPr>
          <w:i/>
          <w:iCs/>
          <w:szCs w:val="26"/>
        </w:rPr>
        <w:t>Gallo</w:t>
      </w:r>
      <w:r w:rsidR="00DD2307" w:rsidRPr="00DD2307">
        <w:rPr>
          <w:szCs w:val="26"/>
        </w:rPr>
        <w:t xml:space="preserve">, </w:t>
      </w:r>
      <w:r w:rsidR="00DD2307" w:rsidRPr="00DD2307">
        <w:rPr>
          <w:i/>
          <w:iCs/>
          <w:szCs w:val="26"/>
        </w:rPr>
        <w:t>supra</w:t>
      </w:r>
      <w:r w:rsidR="00DD2307" w:rsidRPr="00DD2307">
        <w:rPr>
          <w:szCs w:val="26"/>
        </w:rPr>
        <w:t xml:space="preserve">, 81 Cal.App.5th at p. 637.)  </w:t>
      </w:r>
      <w:r w:rsidR="00A6539E" w:rsidRPr="00A6539E">
        <w:rPr>
          <w:szCs w:val="26"/>
        </w:rPr>
        <w:t xml:space="preserve">“The United States Supreme </w:t>
      </w:r>
      <w:r w:rsidR="00A6539E" w:rsidRPr="00A6539E">
        <w:rPr>
          <w:szCs w:val="26"/>
        </w:rPr>
        <w:lastRenderedPageBreak/>
        <w:t xml:space="preserve">Court has frequently held that state laws invalidating arbitration agreements on grounds applicable only to arbitration provisions contravene the policy of enforceability established by section 2 of the </w:t>
      </w:r>
      <w:proofErr w:type="gramStart"/>
      <w:r w:rsidR="00A6539E" w:rsidRPr="00A6539E">
        <w:rPr>
          <w:szCs w:val="26"/>
        </w:rPr>
        <w:t>FAA, and</w:t>
      </w:r>
      <w:proofErr w:type="gramEnd"/>
      <w:r w:rsidR="00A6539E" w:rsidRPr="00A6539E">
        <w:rPr>
          <w:szCs w:val="26"/>
        </w:rPr>
        <w:t xml:space="preserve"> are therefore preempted.”  (</w:t>
      </w:r>
      <w:r w:rsidR="00A6539E" w:rsidRPr="006C0CD7">
        <w:rPr>
          <w:i/>
          <w:iCs/>
          <w:szCs w:val="26"/>
        </w:rPr>
        <w:t>DIRECTV</w:t>
      </w:r>
      <w:r w:rsidR="00A6539E" w:rsidRPr="00A6539E">
        <w:rPr>
          <w:szCs w:val="26"/>
        </w:rPr>
        <w:t xml:space="preserve">, </w:t>
      </w:r>
      <w:r w:rsidR="00A6539E" w:rsidRPr="006C0CD7">
        <w:rPr>
          <w:i/>
          <w:iCs/>
          <w:szCs w:val="26"/>
        </w:rPr>
        <w:t>supra</w:t>
      </w:r>
      <w:r w:rsidR="00A6539E" w:rsidRPr="00A6539E">
        <w:rPr>
          <w:szCs w:val="26"/>
        </w:rPr>
        <w:t>, 44 Cal.4th at p. 1351.)</w:t>
      </w:r>
    </w:p>
    <w:p w14:paraId="662C0881" w14:textId="05285D96" w:rsidR="00355FF4" w:rsidRDefault="00613826" w:rsidP="00C5238E">
      <w:pPr>
        <w:rPr>
          <w:szCs w:val="26"/>
        </w:rPr>
      </w:pPr>
      <w:r>
        <w:rPr>
          <w:szCs w:val="26"/>
        </w:rPr>
        <w:tab/>
      </w:r>
      <w:r w:rsidR="003D009E">
        <w:rPr>
          <w:szCs w:val="26"/>
        </w:rPr>
        <w:t xml:space="preserve">State laws that regulate arbitration without </w:t>
      </w:r>
      <w:r w:rsidR="00384C60">
        <w:rPr>
          <w:szCs w:val="26"/>
        </w:rPr>
        <w:t>undermining</w:t>
      </w:r>
      <w:r w:rsidR="00484E24">
        <w:rPr>
          <w:szCs w:val="26"/>
        </w:rPr>
        <w:t xml:space="preserve"> the FAA’s substantive </w:t>
      </w:r>
      <w:r w:rsidR="00431C48">
        <w:rPr>
          <w:szCs w:val="26"/>
        </w:rPr>
        <w:t>policies</w:t>
      </w:r>
      <w:r w:rsidR="00484E24">
        <w:rPr>
          <w:szCs w:val="26"/>
        </w:rPr>
        <w:t xml:space="preserve"> are not preempted.  (</w:t>
      </w:r>
      <w:r w:rsidR="00484E24" w:rsidRPr="006C0CD7">
        <w:rPr>
          <w:i/>
          <w:iCs/>
          <w:szCs w:val="26"/>
        </w:rPr>
        <w:t>Gallo</w:t>
      </w:r>
      <w:r w:rsidR="00484E24">
        <w:rPr>
          <w:szCs w:val="26"/>
        </w:rPr>
        <w:t xml:space="preserve">, </w:t>
      </w:r>
      <w:r w:rsidR="00484E24" w:rsidRPr="006C0CD7">
        <w:rPr>
          <w:i/>
          <w:iCs/>
          <w:szCs w:val="26"/>
        </w:rPr>
        <w:t>supra</w:t>
      </w:r>
      <w:r w:rsidR="00484E24">
        <w:rPr>
          <w:szCs w:val="26"/>
        </w:rPr>
        <w:t xml:space="preserve">, 81 Cal.App.5th at </w:t>
      </w:r>
      <w:r w:rsidR="00D92785">
        <w:rPr>
          <w:szCs w:val="26"/>
        </w:rPr>
        <w:t>p</w:t>
      </w:r>
      <w:r w:rsidR="00484E24">
        <w:rPr>
          <w:szCs w:val="26"/>
        </w:rPr>
        <w:t>p.</w:t>
      </w:r>
      <w:r w:rsidR="00791939">
        <w:rPr>
          <w:szCs w:val="26"/>
        </w:rPr>
        <w:t> </w:t>
      </w:r>
      <w:r w:rsidR="00D92785">
        <w:rPr>
          <w:szCs w:val="26"/>
        </w:rPr>
        <w:t>638</w:t>
      </w:r>
      <w:r w:rsidR="00791939">
        <w:rPr>
          <w:szCs w:val="26"/>
        </w:rPr>
        <w:t>–</w:t>
      </w:r>
      <w:r w:rsidR="00D92785" w:rsidRPr="00BC5CAA">
        <w:rPr>
          <w:szCs w:val="26"/>
        </w:rPr>
        <w:t>639</w:t>
      </w:r>
      <w:r w:rsidR="009B4BBD" w:rsidRPr="00BC5CAA">
        <w:rPr>
          <w:szCs w:val="26"/>
        </w:rPr>
        <w:t>.)</w:t>
      </w:r>
      <w:r w:rsidR="006244CF" w:rsidRPr="00BC5CAA">
        <w:rPr>
          <w:szCs w:val="26"/>
        </w:rPr>
        <w:t xml:space="preserve">  The FAA’s primary objective is to </w:t>
      </w:r>
      <w:r w:rsidR="00AE0F52" w:rsidRPr="00BC5CAA">
        <w:rPr>
          <w:szCs w:val="26"/>
        </w:rPr>
        <w:t xml:space="preserve">honor the mutual intent of the parties by enforcing their arbitration agreement </w:t>
      </w:r>
      <w:r w:rsidR="006C0CD7">
        <w:rPr>
          <w:szCs w:val="26"/>
        </w:rPr>
        <w:t>on</w:t>
      </w:r>
      <w:r w:rsidR="00AE0F52" w:rsidRPr="00BC5CAA">
        <w:rPr>
          <w:szCs w:val="26"/>
        </w:rPr>
        <w:t xml:space="preserve"> its terms.  (</w:t>
      </w:r>
      <w:r w:rsidR="00AE0F52" w:rsidRPr="006C0CD7">
        <w:rPr>
          <w:i/>
          <w:iCs/>
          <w:szCs w:val="26"/>
        </w:rPr>
        <w:t>Id.</w:t>
      </w:r>
      <w:r w:rsidR="00AE0F52" w:rsidRPr="00BC5CAA">
        <w:rPr>
          <w:szCs w:val="26"/>
        </w:rPr>
        <w:t xml:space="preserve"> at p</w:t>
      </w:r>
      <w:r w:rsidR="0076660B" w:rsidRPr="00BC5CAA">
        <w:rPr>
          <w:szCs w:val="26"/>
        </w:rPr>
        <w:t>p</w:t>
      </w:r>
      <w:r w:rsidR="00AE0F52" w:rsidRPr="00BC5CAA">
        <w:rPr>
          <w:szCs w:val="26"/>
        </w:rPr>
        <w:t>.</w:t>
      </w:r>
      <w:r w:rsidR="00791939">
        <w:rPr>
          <w:szCs w:val="26"/>
        </w:rPr>
        <w:t> </w:t>
      </w:r>
      <w:r w:rsidR="002763C6">
        <w:rPr>
          <w:szCs w:val="26"/>
        </w:rPr>
        <w:t>640</w:t>
      </w:r>
      <w:r w:rsidR="00791939">
        <w:rPr>
          <w:szCs w:val="26"/>
        </w:rPr>
        <w:t>–</w:t>
      </w:r>
      <w:r w:rsidR="009E31ED">
        <w:rPr>
          <w:szCs w:val="26"/>
        </w:rPr>
        <w:t>641</w:t>
      </w:r>
      <w:r w:rsidR="0076660B" w:rsidRPr="00BC5CAA">
        <w:rPr>
          <w:szCs w:val="26"/>
        </w:rPr>
        <w:t>.)</w:t>
      </w:r>
      <w:r w:rsidR="00A0399D" w:rsidRPr="00BC5CAA">
        <w:rPr>
          <w:szCs w:val="26"/>
        </w:rPr>
        <w:t xml:space="preserve">  “The second fundamental attribute of arbitration is its ‘promise of quicker, more informal, and often cheaper [dispute] resolutions for everyone involved’ [citation], such that the second objective of the FAA is to safeguard ‘arbitration’s fundamental attributes of speed and efficiency.’  [Citations.]”  (</w:t>
      </w:r>
      <w:r w:rsidR="00A0399D" w:rsidRPr="006C0CD7">
        <w:rPr>
          <w:i/>
          <w:iCs/>
          <w:szCs w:val="26"/>
        </w:rPr>
        <w:t>Id.</w:t>
      </w:r>
      <w:r w:rsidR="00A0399D" w:rsidRPr="00BC5CAA">
        <w:rPr>
          <w:szCs w:val="26"/>
        </w:rPr>
        <w:t xml:space="preserve"> at p. 641.)</w:t>
      </w:r>
    </w:p>
    <w:p w14:paraId="3D274B13" w14:textId="0AE7101A" w:rsidR="00531ADC" w:rsidRDefault="00530F71" w:rsidP="00C5238E">
      <w:pPr>
        <w:rPr>
          <w:szCs w:val="26"/>
        </w:rPr>
      </w:pPr>
      <w:r>
        <w:rPr>
          <w:szCs w:val="26"/>
        </w:rPr>
        <w:tab/>
      </w:r>
      <w:r w:rsidR="00B42CD1" w:rsidRPr="00B42CD1">
        <w:rPr>
          <w:szCs w:val="26"/>
        </w:rPr>
        <w:t xml:space="preserve">We conclude, consistent with the federal district court in </w:t>
      </w:r>
      <w:proofErr w:type="spellStart"/>
      <w:r w:rsidR="00B42CD1" w:rsidRPr="00B42CD1">
        <w:rPr>
          <w:i/>
          <w:iCs/>
          <w:szCs w:val="26"/>
        </w:rPr>
        <w:t>Belyea</w:t>
      </w:r>
      <w:proofErr w:type="spellEnd"/>
      <w:r w:rsidR="00B42CD1" w:rsidRPr="00B42CD1">
        <w:rPr>
          <w:i/>
          <w:iCs/>
          <w:szCs w:val="26"/>
        </w:rPr>
        <w:t xml:space="preserve"> v. GreenSky, Inc.</w:t>
      </w:r>
      <w:r w:rsidR="00B42CD1" w:rsidRPr="00B42CD1">
        <w:rPr>
          <w:szCs w:val="26"/>
        </w:rPr>
        <w:t xml:space="preserve"> (N.D. Cal. 2022) 637 F.Supp.3d 745, 756, that section 1281.97 violates the equal-treatment principle because it mandates findings of material breach and waiver for late payment that do not apply generally to all contracts or even to all arbitrations.</w:t>
      </w:r>
      <w:r w:rsidR="00B42CD1">
        <w:rPr>
          <w:szCs w:val="26"/>
        </w:rPr>
        <w:t xml:space="preserve">  </w:t>
      </w:r>
      <w:r w:rsidR="00BF7118">
        <w:rPr>
          <w:szCs w:val="26"/>
        </w:rPr>
        <w:t>Under</w:t>
      </w:r>
      <w:r w:rsidR="008D43E9">
        <w:rPr>
          <w:szCs w:val="26"/>
        </w:rPr>
        <w:t xml:space="preserve"> California contract law,</w:t>
      </w:r>
      <w:r w:rsidR="009C5F3E">
        <w:rPr>
          <w:szCs w:val="26"/>
        </w:rPr>
        <w:t xml:space="preserve"> </w:t>
      </w:r>
      <w:r w:rsidR="0060068D">
        <w:rPr>
          <w:szCs w:val="26"/>
        </w:rPr>
        <w:t xml:space="preserve">defenses to enforcement </w:t>
      </w:r>
      <w:r w:rsidR="00AD3F67">
        <w:rPr>
          <w:szCs w:val="26"/>
        </w:rPr>
        <w:t xml:space="preserve">of a contract </w:t>
      </w:r>
      <w:r w:rsidR="0060068D">
        <w:rPr>
          <w:szCs w:val="26"/>
        </w:rPr>
        <w:t xml:space="preserve">are </w:t>
      </w:r>
      <w:r w:rsidR="00BF7118">
        <w:rPr>
          <w:szCs w:val="26"/>
        </w:rPr>
        <w:t xml:space="preserve">generally </w:t>
      </w:r>
      <w:r w:rsidR="0060068D">
        <w:rPr>
          <w:szCs w:val="26"/>
        </w:rPr>
        <w:t xml:space="preserve">questions </w:t>
      </w:r>
      <w:r w:rsidR="00AD3F67">
        <w:rPr>
          <w:szCs w:val="26"/>
        </w:rPr>
        <w:t>for the trier of fact</w:t>
      </w:r>
      <w:r w:rsidR="009D792C">
        <w:rPr>
          <w:szCs w:val="26"/>
        </w:rPr>
        <w:t xml:space="preserve"> and subject to</w:t>
      </w:r>
      <w:r w:rsidR="006026C0">
        <w:rPr>
          <w:szCs w:val="26"/>
        </w:rPr>
        <w:t xml:space="preserve"> doctrines such as substantial compliance</w:t>
      </w:r>
      <w:r w:rsidR="00CE47B8">
        <w:rPr>
          <w:szCs w:val="26"/>
        </w:rPr>
        <w:t>, but section 1281.97</w:t>
      </w:r>
      <w:r w:rsidR="0060068D">
        <w:rPr>
          <w:szCs w:val="26"/>
        </w:rPr>
        <w:t xml:space="preserve"> </w:t>
      </w:r>
      <w:r w:rsidR="003903A5">
        <w:rPr>
          <w:szCs w:val="26"/>
        </w:rPr>
        <w:t>imposes</w:t>
      </w:r>
      <w:r w:rsidR="00F259FF">
        <w:rPr>
          <w:szCs w:val="26"/>
        </w:rPr>
        <w:t xml:space="preserve"> a stricter requirement, mandating</w:t>
      </w:r>
      <w:r w:rsidR="00910F72">
        <w:rPr>
          <w:szCs w:val="26"/>
        </w:rPr>
        <w:t xml:space="preserve"> a finding of material breach and waiver</w:t>
      </w:r>
      <w:r w:rsidR="00F259FF">
        <w:rPr>
          <w:szCs w:val="26"/>
        </w:rPr>
        <w:t xml:space="preserve"> as a matter of law</w:t>
      </w:r>
      <w:r w:rsidR="00910F72">
        <w:rPr>
          <w:szCs w:val="26"/>
        </w:rPr>
        <w:t xml:space="preserve"> in consumer and employment arbitration contracts</w:t>
      </w:r>
      <w:r w:rsidR="00E7156D">
        <w:rPr>
          <w:szCs w:val="26"/>
        </w:rPr>
        <w:t xml:space="preserve">, </w:t>
      </w:r>
      <w:r w:rsidR="00FF0BDC">
        <w:rPr>
          <w:szCs w:val="26"/>
        </w:rPr>
        <w:t xml:space="preserve">and </w:t>
      </w:r>
      <w:r w:rsidR="00CB10E8">
        <w:rPr>
          <w:szCs w:val="26"/>
        </w:rPr>
        <w:t xml:space="preserve">making it harder </w:t>
      </w:r>
      <w:r w:rsidR="006B5DEB">
        <w:rPr>
          <w:szCs w:val="26"/>
        </w:rPr>
        <w:t>to</w:t>
      </w:r>
      <w:r w:rsidR="00CB10E8">
        <w:rPr>
          <w:szCs w:val="26"/>
        </w:rPr>
        <w:t xml:space="preserve"> enforce arbitration agreements in those matters</w:t>
      </w:r>
      <w:r w:rsidR="00910F72">
        <w:rPr>
          <w:szCs w:val="26"/>
        </w:rPr>
        <w:t>.</w:t>
      </w:r>
    </w:p>
    <w:p w14:paraId="0C29B441" w14:textId="29948451" w:rsidR="003E61F5" w:rsidRDefault="00475AA9" w:rsidP="00C5238E">
      <w:pPr>
        <w:rPr>
          <w:szCs w:val="26"/>
        </w:rPr>
      </w:pPr>
      <w:r>
        <w:rPr>
          <w:szCs w:val="26"/>
        </w:rPr>
        <w:tab/>
      </w:r>
      <w:r w:rsidR="0093637E">
        <w:rPr>
          <w:szCs w:val="26"/>
        </w:rPr>
        <w:t>Several</w:t>
      </w:r>
      <w:r w:rsidR="00D57B4A">
        <w:rPr>
          <w:szCs w:val="26"/>
        </w:rPr>
        <w:t xml:space="preserve"> </w:t>
      </w:r>
      <w:r w:rsidR="0071136B">
        <w:rPr>
          <w:szCs w:val="26"/>
        </w:rPr>
        <w:t xml:space="preserve">California </w:t>
      </w:r>
      <w:r w:rsidR="000855DD">
        <w:rPr>
          <w:szCs w:val="26"/>
        </w:rPr>
        <w:t>courts</w:t>
      </w:r>
      <w:r w:rsidR="00005D73">
        <w:rPr>
          <w:szCs w:val="26"/>
        </w:rPr>
        <w:t xml:space="preserve"> </w:t>
      </w:r>
      <w:r w:rsidR="008934E2">
        <w:rPr>
          <w:szCs w:val="26"/>
        </w:rPr>
        <w:t>have concluded</w:t>
      </w:r>
      <w:r w:rsidR="007B6C7C">
        <w:rPr>
          <w:szCs w:val="26"/>
        </w:rPr>
        <w:t xml:space="preserve"> </w:t>
      </w:r>
      <w:r w:rsidR="0075699A">
        <w:rPr>
          <w:szCs w:val="26"/>
        </w:rPr>
        <w:t>section 1281.97</w:t>
      </w:r>
      <w:r w:rsidR="000855DD">
        <w:rPr>
          <w:szCs w:val="26"/>
        </w:rPr>
        <w:t xml:space="preserve"> </w:t>
      </w:r>
      <w:r w:rsidR="00CC205C">
        <w:rPr>
          <w:szCs w:val="26"/>
        </w:rPr>
        <w:t>further</w:t>
      </w:r>
      <w:r w:rsidR="008934E2">
        <w:rPr>
          <w:szCs w:val="26"/>
        </w:rPr>
        <w:t>s</w:t>
      </w:r>
      <w:r w:rsidR="00CC205C">
        <w:rPr>
          <w:szCs w:val="26"/>
        </w:rPr>
        <w:t xml:space="preserve"> the goals of the FAA by </w:t>
      </w:r>
      <w:r w:rsidR="00577101">
        <w:rPr>
          <w:szCs w:val="26"/>
        </w:rPr>
        <w:t xml:space="preserve">encouraging or </w:t>
      </w:r>
      <w:r w:rsidR="00CC205C">
        <w:rPr>
          <w:szCs w:val="26"/>
        </w:rPr>
        <w:t>facilitating</w:t>
      </w:r>
      <w:r w:rsidR="0075699A">
        <w:rPr>
          <w:szCs w:val="26"/>
        </w:rPr>
        <w:t xml:space="preserve"> arbitration.  </w:t>
      </w:r>
      <w:r w:rsidR="006D6B63">
        <w:rPr>
          <w:szCs w:val="26"/>
        </w:rPr>
        <w:t>(</w:t>
      </w:r>
      <w:r w:rsidR="0009341B" w:rsidRPr="003809AF">
        <w:rPr>
          <w:i/>
          <w:iCs/>
          <w:szCs w:val="26"/>
        </w:rPr>
        <w:t>Gallo</w:t>
      </w:r>
      <w:r w:rsidR="0009341B">
        <w:rPr>
          <w:szCs w:val="26"/>
        </w:rPr>
        <w:t xml:space="preserve">, </w:t>
      </w:r>
      <w:r w:rsidR="0009341B" w:rsidRPr="003809AF">
        <w:rPr>
          <w:i/>
          <w:iCs/>
          <w:szCs w:val="26"/>
        </w:rPr>
        <w:t>supra</w:t>
      </w:r>
      <w:r w:rsidR="0009341B">
        <w:rPr>
          <w:szCs w:val="26"/>
        </w:rPr>
        <w:t xml:space="preserve">, 81 Cal.App.5th at p. 642; </w:t>
      </w:r>
      <w:r w:rsidR="00CC205C" w:rsidRPr="003809AF">
        <w:rPr>
          <w:i/>
          <w:iCs/>
          <w:szCs w:val="26"/>
        </w:rPr>
        <w:t>Espinoza</w:t>
      </w:r>
      <w:r w:rsidR="003809AF">
        <w:rPr>
          <w:szCs w:val="26"/>
        </w:rPr>
        <w:t xml:space="preserve">, </w:t>
      </w:r>
      <w:r w:rsidR="003809AF" w:rsidRPr="003809AF">
        <w:rPr>
          <w:i/>
          <w:iCs/>
          <w:szCs w:val="26"/>
        </w:rPr>
        <w:lastRenderedPageBreak/>
        <w:t>supra</w:t>
      </w:r>
      <w:r w:rsidR="003809AF">
        <w:rPr>
          <w:szCs w:val="26"/>
        </w:rPr>
        <w:t xml:space="preserve">, </w:t>
      </w:r>
      <w:r w:rsidR="00CC205C" w:rsidRPr="00CC205C">
        <w:rPr>
          <w:szCs w:val="26"/>
        </w:rPr>
        <w:t xml:space="preserve">83 Cal.App.5th </w:t>
      </w:r>
      <w:r w:rsidR="003809AF">
        <w:rPr>
          <w:szCs w:val="26"/>
        </w:rPr>
        <w:t>at p.</w:t>
      </w:r>
      <w:r w:rsidR="00CC205C" w:rsidRPr="00CC205C">
        <w:rPr>
          <w:szCs w:val="26"/>
        </w:rPr>
        <w:t xml:space="preserve"> 783</w:t>
      </w:r>
      <w:r w:rsidR="00577101" w:rsidRPr="00787872">
        <w:rPr>
          <w:szCs w:val="26"/>
        </w:rPr>
        <w:t xml:space="preserve">; </w:t>
      </w:r>
      <w:r w:rsidR="00360BBF" w:rsidRPr="002A721D">
        <w:rPr>
          <w:i/>
          <w:iCs/>
          <w:szCs w:val="26"/>
        </w:rPr>
        <w:t>Suarez</w:t>
      </w:r>
      <w:r w:rsidR="00827C3B" w:rsidRPr="002A721D">
        <w:rPr>
          <w:i/>
          <w:iCs/>
          <w:szCs w:val="26"/>
        </w:rPr>
        <w:t xml:space="preserve"> v. Superior Court</w:t>
      </w:r>
      <w:r w:rsidR="00827C3B">
        <w:rPr>
          <w:szCs w:val="26"/>
        </w:rPr>
        <w:t xml:space="preserve"> (2024) 99 Cal.App.5th 32, 42</w:t>
      </w:r>
      <w:r w:rsidR="009D4709">
        <w:rPr>
          <w:szCs w:val="26"/>
        </w:rPr>
        <w:t>–</w:t>
      </w:r>
      <w:r w:rsidR="00827C3B">
        <w:rPr>
          <w:szCs w:val="26"/>
        </w:rPr>
        <w:t>43;</w:t>
      </w:r>
      <w:r w:rsidR="0071136B">
        <w:rPr>
          <w:szCs w:val="26"/>
        </w:rPr>
        <w:t xml:space="preserve"> cf.</w:t>
      </w:r>
      <w:r w:rsidR="00827C3B">
        <w:rPr>
          <w:szCs w:val="26"/>
        </w:rPr>
        <w:t xml:space="preserve"> </w:t>
      </w:r>
      <w:r w:rsidR="0035098C" w:rsidRPr="002A721D">
        <w:rPr>
          <w:i/>
          <w:iCs/>
          <w:szCs w:val="26"/>
        </w:rPr>
        <w:t>De Leon</w:t>
      </w:r>
      <w:r w:rsidR="003A1B27">
        <w:rPr>
          <w:i/>
          <w:iCs/>
          <w:szCs w:val="26"/>
        </w:rPr>
        <w:t xml:space="preserve">, supra, </w:t>
      </w:r>
      <w:r w:rsidR="0035098C" w:rsidRPr="0035098C">
        <w:rPr>
          <w:szCs w:val="26"/>
        </w:rPr>
        <w:t xml:space="preserve">85 Cal.App.5th </w:t>
      </w:r>
      <w:r w:rsidR="003A1B27">
        <w:rPr>
          <w:szCs w:val="26"/>
        </w:rPr>
        <w:t>at pp.</w:t>
      </w:r>
      <w:r w:rsidR="0035098C" w:rsidRPr="0035098C">
        <w:rPr>
          <w:szCs w:val="26"/>
        </w:rPr>
        <w:t xml:space="preserve"> 753</w:t>
      </w:r>
      <w:r w:rsidR="009D4709">
        <w:rPr>
          <w:szCs w:val="26"/>
        </w:rPr>
        <w:t>–</w:t>
      </w:r>
      <w:r w:rsidR="00C93DA5">
        <w:rPr>
          <w:szCs w:val="26"/>
        </w:rPr>
        <w:t>754</w:t>
      </w:r>
      <w:r w:rsidR="0071136B">
        <w:rPr>
          <w:szCs w:val="26"/>
        </w:rPr>
        <w:t xml:space="preserve"> [describing preemption holding in </w:t>
      </w:r>
      <w:r w:rsidR="0071136B" w:rsidRPr="00040F9F">
        <w:rPr>
          <w:i/>
          <w:iCs/>
          <w:szCs w:val="26"/>
        </w:rPr>
        <w:t>Gallo</w:t>
      </w:r>
      <w:r w:rsidR="0071136B">
        <w:rPr>
          <w:szCs w:val="26"/>
        </w:rPr>
        <w:t>]</w:t>
      </w:r>
      <w:r w:rsidR="004212AF">
        <w:rPr>
          <w:szCs w:val="26"/>
        </w:rPr>
        <w:t>;</w:t>
      </w:r>
      <w:r w:rsidR="00D66874">
        <w:rPr>
          <w:szCs w:val="26"/>
        </w:rPr>
        <w:t xml:space="preserve"> </w:t>
      </w:r>
      <w:proofErr w:type="spellStart"/>
      <w:r w:rsidR="004212AF" w:rsidRPr="002A721D">
        <w:rPr>
          <w:i/>
          <w:iCs/>
          <w:szCs w:val="26"/>
        </w:rPr>
        <w:t>Hohenshelt</w:t>
      </w:r>
      <w:proofErr w:type="spellEnd"/>
      <w:r w:rsidR="00E61C5E">
        <w:rPr>
          <w:i/>
          <w:iCs/>
          <w:szCs w:val="26"/>
        </w:rPr>
        <w:t xml:space="preserve"> v. Superior Court</w:t>
      </w:r>
      <w:r w:rsidR="00E61C5E" w:rsidRPr="00040F9F">
        <w:rPr>
          <w:szCs w:val="26"/>
        </w:rPr>
        <w:t xml:space="preserve"> (2024)</w:t>
      </w:r>
      <w:r w:rsidR="009731F2" w:rsidRPr="00040F9F">
        <w:rPr>
          <w:szCs w:val="26"/>
        </w:rPr>
        <w:t xml:space="preserve"> </w:t>
      </w:r>
      <w:r w:rsidR="009731F2">
        <w:rPr>
          <w:szCs w:val="26"/>
        </w:rPr>
        <w:t xml:space="preserve">99 Cal.App.5th </w:t>
      </w:r>
      <w:r w:rsidR="00E61C5E">
        <w:rPr>
          <w:szCs w:val="26"/>
        </w:rPr>
        <w:t>1319</w:t>
      </w:r>
      <w:r w:rsidR="00DC386B">
        <w:rPr>
          <w:szCs w:val="26"/>
        </w:rPr>
        <w:t xml:space="preserve">, </w:t>
      </w:r>
      <w:r w:rsidR="009731F2">
        <w:rPr>
          <w:szCs w:val="26"/>
        </w:rPr>
        <w:t>1325</w:t>
      </w:r>
      <w:r w:rsidR="009731F2" w:rsidRPr="00C107E7">
        <w:rPr>
          <w:szCs w:val="26"/>
        </w:rPr>
        <w:t>–</w:t>
      </w:r>
      <w:r w:rsidR="009731F2">
        <w:rPr>
          <w:szCs w:val="26"/>
        </w:rPr>
        <w:t>1326</w:t>
      </w:r>
      <w:r w:rsidR="003A1B27">
        <w:rPr>
          <w:szCs w:val="26"/>
        </w:rPr>
        <w:t xml:space="preserve"> [</w:t>
      </w:r>
      <w:r w:rsidR="005A693C">
        <w:rPr>
          <w:szCs w:val="26"/>
        </w:rPr>
        <w:t xml:space="preserve">similar </w:t>
      </w:r>
      <w:r w:rsidR="0025540B">
        <w:rPr>
          <w:szCs w:val="26"/>
        </w:rPr>
        <w:t>provisions of section 1281.98 further FAA’s objectives]</w:t>
      </w:r>
      <w:r w:rsidR="00CC205C">
        <w:rPr>
          <w:szCs w:val="26"/>
        </w:rPr>
        <w:t>.</w:t>
      </w:r>
      <w:r w:rsidR="005613A7">
        <w:rPr>
          <w:szCs w:val="26"/>
        </w:rPr>
        <w:t>)</w:t>
      </w:r>
      <w:r w:rsidR="00021CB7">
        <w:rPr>
          <w:szCs w:val="26"/>
        </w:rPr>
        <w:t xml:space="preserve">  </w:t>
      </w:r>
      <w:r w:rsidR="0093637E">
        <w:rPr>
          <w:szCs w:val="26"/>
        </w:rPr>
        <w:t>We respectfully disagree.</w:t>
      </w:r>
      <w:r w:rsidR="00DC386B" w:rsidRPr="00040F9F">
        <w:rPr>
          <w:rStyle w:val="FootnoteReference"/>
          <w:b/>
          <w:bCs/>
          <w:szCs w:val="26"/>
        </w:rPr>
        <w:footnoteReference w:id="9"/>
      </w:r>
      <w:r w:rsidR="0093637E">
        <w:rPr>
          <w:szCs w:val="26"/>
        </w:rPr>
        <w:t xml:space="preserve">  </w:t>
      </w:r>
      <w:r w:rsidR="00453418" w:rsidRPr="00453418">
        <w:rPr>
          <w:szCs w:val="26"/>
        </w:rPr>
        <w:t xml:space="preserve">The </w:t>
      </w:r>
      <w:r w:rsidR="00FB27ED">
        <w:rPr>
          <w:szCs w:val="26"/>
        </w:rPr>
        <w:t>drafting party</w:t>
      </w:r>
      <w:r w:rsidR="00453418" w:rsidRPr="00453418">
        <w:rPr>
          <w:szCs w:val="26"/>
        </w:rPr>
        <w:t xml:space="preserve"> already has an incentive under </w:t>
      </w:r>
      <w:r w:rsidR="00AF4C44">
        <w:rPr>
          <w:szCs w:val="26"/>
        </w:rPr>
        <w:t xml:space="preserve">California </w:t>
      </w:r>
      <w:r w:rsidR="00453418" w:rsidRPr="00453418">
        <w:rPr>
          <w:szCs w:val="26"/>
        </w:rPr>
        <w:t>contract law to make timely payments in order not to waive the right to arbitrate.</w:t>
      </w:r>
      <w:r w:rsidR="00453418">
        <w:rPr>
          <w:szCs w:val="26"/>
        </w:rPr>
        <w:t xml:space="preserve">  </w:t>
      </w:r>
      <w:r w:rsidR="00072AF0">
        <w:rPr>
          <w:szCs w:val="26"/>
        </w:rPr>
        <w:t>S</w:t>
      </w:r>
      <w:r w:rsidR="00531038" w:rsidRPr="00531038">
        <w:rPr>
          <w:szCs w:val="26"/>
        </w:rPr>
        <w:t xml:space="preserve">ection 1281.97 limits </w:t>
      </w:r>
      <w:r w:rsidR="000D11BD">
        <w:rPr>
          <w:szCs w:val="26"/>
        </w:rPr>
        <w:t>the enforceability</w:t>
      </w:r>
      <w:r w:rsidR="000D11BD" w:rsidRPr="00531038">
        <w:rPr>
          <w:szCs w:val="26"/>
        </w:rPr>
        <w:t xml:space="preserve"> </w:t>
      </w:r>
      <w:r w:rsidR="00531038" w:rsidRPr="00531038">
        <w:rPr>
          <w:szCs w:val="26"/>
        </w:rPr>
        <w:t>of certain</w:t>
      </w:r>
      <w:r w:rsidR="005C7FC5">
        <w:rPr>
          <w:szCs w:val="26"/>
        </w:rPr>
        <w:t xml:space="preserve"> types of</w:t>
      </w:r>
      <w:r w:rsidR="00531038" w:rsidRPr="00531038">
        <w:rPr>
          <w:szCs w:val="26"/>
        </w:rPr>
        <w:t xml:space="preserve"> arbitration agreements by</w:t>
      </w:r>
      <w:r w:rsidR="00072AF0">
        <w:rPr>
          <w:szCs w:val="26"/>
        </w:rPr>
        <w:t xml:space="preserve"> </w:t>
      </w:r>
      <w:r w:rsidR="00531038" w:rsidRPr="00531038">
        <w:rPr>
          <w:szCs w:val="26"/>
        </w:rPr>
        <w:t>allowing consumers and employees to elect to avoid arbitration</w:t>
      </w:r>
      <w:r w:rsidR="00811E39">
        <w:rPr>
          <w:szCs w:val="26"/>
        </w:rPr>
        <w:t xml:space="preserve"> even </w:t>
      </w:r>
      <w:r w:rsidR="00C84560">
        <w:rPr>
          <w:szCs w:val="26"/>
        </w:rPr>
        <w:t xml:space="preserve">in cases </w:t>
      </w:r>
      <w:r w:rsidR="00DE3411">
        <w:rPr>
          <w:szCs w:val="26"/>
        </w:rPr>
        <w:t>of minor,</w:t>
      </w:r>
      <w:r w:rsidR="00811E39">
        <w:rPr>
          <w:szCs w:val="26"/>
        </w:rPr>
        <w:t xml:space="preserve"> </w:t>
      </w:r>
      <w:r w:rsidR="00DE3411">
        <w:rPr>
          <w:szCs w:val="26"/>
        </w:rPr>
        <w:t>inadvertent,</w:t>
      </w:r>
      <w:r w:rsidR="00AE47BF">
        <w:rPr>
          <w:szCs w:val="26"/>
        </w:rPr>
        <w:t xml:space="preserve"> or inconsequential</w:t>
      </w:r>
      <w:r w:rsidR="00DE3411">
        <w:rPr>
          <w:szCs w:val="26"/>
        </w:rPr>
        <w:t xml:space="preserve"> delay</w:t>
      </w:r>
      <w:r w:rsidR="00531038" w:rsidRPr="00531038">
        <w:rPr>
          <w:szCs w:val="26"/>
        </w:rPr>
        <w:t xml:space="preserve">.  </w:t>
      </w:r>
      <w:r w:rsidR="002D353C">
        <w:rPr>
          <w:szCs w:val="26"/>
        </w:rPr>
        <w:t>Imposing</w:t>
      </w:r>
      <w:r w:rsidR="005F1907">
        <w:rPr>
          <w:szCs w:val="26"/>
        </w:rPr>
        <w:t xml:space="preserve"> a higher standard </w:t>
      </w:r>
      <w:r w:rsidR="002D353C">
        <w:rPr>
          <w:szCs w:val="26"/>
        </w:rPr>
        <w:t xml:space="preserve">for enforcement of </w:t>
      </w:r>
      <w:r w:rsidR="005F1907">
        <w:rPr>
          <w:szCs w:val="26"/>
        </w:rPr>
        <w:t xml:space="preserve">arbitration agreements in consumer and employee disputes is contrary to the </w:t>
      </w:r>
      <w:r w:rsidR="00C079C1">
        <w:rPr>
          <w:szCs w:val="26"/>
        </w:rPr>
        <w:t xml:space="preserve">FAA’s </w:t>
      </w:r>
      <w:r w:rsidR="005F1907">
        <w:rPr>
          <w:szCs w:val="26"/>
        </w:rPr>
        <w:t xml:space="preserve">policy </w:t>
      </w:r>
      <w:r w:rsidR="00035C19">
        <w:rPr>
          <w:szCs w:val="26"/>
        </w:rPr>
        <w:t xml:space="preserve">to </w:t>
      </w:r>
      <w:r w:rsidR="007D6394">
        <w:rPr>
          <w:szCs w:val="26"/>
        </w:rPr>
        <w:t xml:space="preserve">ensure </w:t>
      </w:r>
      <w:r w:rsidR="00F451C1">
        <w:rPr>
          <w:szCs w:val="26"/>
        </w:rPr>
        <w:t xml:space="preserve">arbitration agreements are </w:t>
      </w:r>
      <w:r w:rsidR="00742D8E">
        <w:rPr>
          <w:szCs w:val="26"/>
        </w:rPr>
        <w:t xml:space="preserve">as </w:t>
      </w:r>
      <w:r w:rsidR="00F451C1">
        <w:rPr>
          <w:szCs w:val="26"/>
        </w:rPr>
        <w:t xml:space="preserve">enforceable as other </w:t>
      </w:r>
      <w:r w:rsidR="00035C19">
        <w:rPr>
          <w:szCs w:val="26"/>
        </w:rPr>
        <w:t>contracts</w:t>
      </w:r>
      <w:r w:rsidR="005F1907">
        <w:rPr>
          <w:szCs w:val="26"/>
        </w:rPr>
        <w:t>.</w:t>
      </w:r>
      <w:r w:rsidR="00D504EF">
        <w:rPr>
          <w:szCs w:val="26"/>
        </w:rPr>
        <w:t xml:space="preserve"> </w:t>
      </w:r>
      <w:r w:rsidR="008556F6" w:rsidRPr="008556F6">
        <w:rPr>
          <w:szCs w:val="26"/>
        </w:rPr>
        <w:t xml:space="preserve"> In </w:t>
      </w:r>
      <w:r w:rsidR="008556F6">
        <w:rPr>
          <w:szCs w:val="26"/>
        </w:rPr>
        <w:t>addition</w:t>
      </w:r>
      <w:r w:rsidR="00B216CD">
        <w:rPr>
          <w:szCs w:val="26"/>
        </w:rPr>
        <w:t xml:space="preserve">, </w:t>
      </w:r>
      <w:r w:rsidR="001E0630">
        <w:rPr>
          <w:szCs w:val="26"/>
        </w:rPr>
        <w:t>s</w:t>
      </w:r>
      <w:r w:rsidR="008556F6" w:rsidRPr="008556F6">
        <w:rPr>
          <w:szCs w:val="26"/>
        </w:rPr>
        <w:t xml:space="preserve">ection 1281.97 </w:t>
      </w:r>
      <w:r w:rsidR="008556F6">
        <w:rPr>
          <w:szCs w:val="26"/>
        </w:rPr>
        <w:t xml:space="preserve">frustrates the FAA’s </w:t>
      </w:r>
      <w:r w:rsidR="000331C4">
        <w:rPr>
          <w:szCs w:val="26"/>
        </w:rPr>
        <w:t>objective of cheaper, more efficient resolution of disputes</w:t>
      </w:r>
      <w:r w:rsidR="00846E72">
        <w:rPr>
          <w:szCs w:val="26"/>
        </w:rPr>
        <w:t xml:space="preserve"> b</w:t>
      </w:r>
      <w:r w:rsidR="00EA1C1F">
        <w:rPr>
          <w:szCs w:val="26"/>
        </w:rPr>
        <w:t xml:space="preserve">y increasing </w:t>
      </w:r>
      <w:r w:rsidR="00BF0CFE">
        <w:rPr>
          <w:szCs w:val="26"/>
        </w:rPr>
        <w:t>the overall cost</w:t>
      </w:r>
      <w:r w:rsidR="006C4DD5">
        <w:rPr>
          <w:szCs w:val="26"/>
        </w:rPr>
        <w:t xml:space="preserve"> of litigation</w:t>
      </w:r>
      <w:r w:rsidR="009474AE">
        <w:rPr>
          <w:szCs w:val="26"/>
        </w:rPr>
        <w:t xml:space="preserve"> and</w:t>
      </w:r>
      <w:r w:rsidR="00BF0CFE">
        <w:rPr>
          <w:szCs w:val="26"/>
        </w:rPr>
        <w:t xml:space="preserve"> </w:t>
      </w:r>
      <w:r w:rsidR="00BA551C">
        <w:rPr>
          <w:szCs w:val="26"/>
        </w:rPr>
        <w:t>wasting</w:t>
      </w:r>
      <w:r w:rsidR="000E2765">
        <w:rPr>
          <w:szCs w:val="26"/>
        </w:rPr>
        <w:t xml:space="preserve"> </w:t>
      </w:r>
      <w:r w:rsidR="00BF0CFE">
        <w:rPr>
          <w:szCs w:val="26"/>
        </w:rPr>
        <w:t xml:space="preserve">resources </w:t>
      </w:r>
      <w:r w:rsidR="009474AE">
        <w:rPr>
          <w:szCs w:val="26"/>
        </w:rPr>
        <w:t>already</w:t>
      </w:r>
      <w:r w:rsidR="00C94FB6">
        <w:rPr>
          <w:szCs w:val="26"/>
        </w:rPr>
        <w:t xml:space="preserve"> </w:t>
      </w:r>
      <w:r w:rsidR="00742D8E">
        <w:rPr>
          <w:szCs w:val="26"/>
        </w:rPr>
        <w:t xml:space="preserve">invested </w:t>
      </w:r>
      <w:r w:rsidR="009F6346">
        <w:rPr>
          <w:szCs w:val="26"/>
        </w:rPr>
        <w:t>toward</w:t>
      </w:r>
      <w:r w:rsidR="00BF0CFE">
        <w:rPr>
          <w:szCs w:val="26"/>
        </w:rPr>
        <w:t xml:space="preserve"> arbitration</w:t>
      </w:r>
      <w:r w:rsidR="0070601C">
        <w:rPr>
          <w:szCs w:val="26"/>
        </w:rPr>
        <w:t>.</w:t>
      </w:r>
      <w:r w:rsidR="00BF1E5E">
        <w:rPr>
          <w:szCs w:val="26"/>
        </w:rPr>
        <w:t xml:space="preserve">  </w:t>
      </w:r>
      <w:r w:rsidR="00C4283E">
        <w:rPr>
          <w:szCs w:val="26"/>
        </w:rPr>
        <w:t>We conclude that unless</w:t>
      </w:r>
      <w:r w:rsidR="0039191C">
        <w:rPr>
          <w:szCs w:val="26"/>
        </w:rPr>
        <w:t xml:space="preserve"> </w:t>
      </w:r>
      <w:r w:rsidR="00327F42">
        <w:rPr>
          <w:szCs w:val="26"/>
        </w:rPr>
        <w:t>the</w:t>
      </w:r>
      <w:r w:rsidR="00D7157A">
        <w:rPr>
          <w:szCs w:val="26"/>
        </w:rPr>
        <w:t xml:space="preserve"> </w:t>
      </w:r>
      <w:r w:rsidR="00A979DE">
        <w:rPr>
          <w:szCs w:val="26"/>
        </w:rPr>
        <w:t xml:space="preserve">parties have expressly </w:t>
      </w:r>
      <w:r w:rsidR="00F47C33">
        <w:rPr>
          <w:szCs w:val="26"/>
        </w:rPr>
        <w:t xml:space="preserve">selected California’s arbitration </w:t>
      </w:r>
      <w:r w:rsidR="00B10342">
        <w:rPr>
          <w:szCs w:val="26"/>
        </w:rPr>
        <w:t>provisions</w:t>
      </w:r>
      <w:r w:rsidR="00C4283E">
        <w:rPr>
          <w:szCs w:val="26"/>
        </w:rPr>
        <w:t xml:space="preserve"> to apply to their agreement</w:t>
      </w:r>
      <w:r w:rsidR="00D7157A">
        <w:rPr>
          <w:szCs w:val="26"/>
        </w:rPr>
        <w:t xml:space="preserve">, </w:t>
      </w:r>
      <w:r w:rsidR="00327F42">
        <w:rPr>
          <w:szCs w:val="26"/>
        </w:rPr>
        <w:t xml:space="preserve">the FAA preempts </w:t>
      </w:r>
      <w:r w:rsidR="00BA7902">
        <w:rPr>
          <w:szCs w:val="26"/>
        </w:rPr>
        <w:t xml:space="preserve">the </w:t>
      </w:r>
      <w:r w:rsidR="00166BF8">
        <w:rPr>
          <w:szCs w:val="26"/>
        </w:rPr>
        <w:t>portion</w:t>
      </w:r>
      <w:r w:rsidR="00BA7902">
        <w:rPr>
          <w:szCs w:val="26"/>
        </w:rPr>
        <w:t xml:space="preserve"> of section </w:t>
      </w:r>
      <w:r w:rsidR="00BF1E5E">
        <w:rPr>
          <w:szCs w:val="26"/>
        </w:rPr>
        <w:t xml:space="preserve">1281.97 </w:t>
      </w:r>
      <w:r w:rsidR="00BA7902">
        <w:rPr>
          <w:szCs w:val="26"/>
        </w:rPr>
        <w:t xml:space="preserve">that </w:t>
      </w:r>
      <w:r w:rsidR="00F863D0">
        <w:rPr>
          <w:szCs w:val="26"/>
        </w:rPr>
        <w:t xml:space="preserve">dictates </w:t>
      </w:r>
      <w:r w:rsidR="00BF1E5E">
        <w:rPr>
          <w:szCs w:val="26"/>
        </w:rPr>
        <w:t>findings of material breach and</w:t>
      </w:r>
      <w:r w:rsidR="00903307">
        <w:rPr>
          <w:szCs w:val="26"/>
        </w:rPr>
        <w:t xml:space="preserve"> waiver</w:t>
      </w:r>
      <w:r w:rsidR="00083919">
        <w:rPr>
          <w:szCs w:val="26"/>
        </w:rPr>
        <w:t xml:space="preserve"> as a matter of law</w:t>
      </w:r>
      <w:r w:rsidR="00903307">
        <w:rPr>
          <w:szCs w:val="26"/>
        </w:rPr>
        <w:t>.</w:t>
      </w:r>
    </w:p>
    <w:p w14:paraId="06FADAD0" w14:textId="78EE3E2D" w:rsidR="0020530C" w:rsidRDefault="0020530C" w:rsidP="00C5238E">
      <w:pPr>
        <w:rPr>
          <w:szCs w:val="26"/>
        </w:rPr>
      </w:pPr>
      <w:r>
        <w:rPr>
          <w:szCs w:val="26"/>
        </w:rPr>
        <w:tab/>
      </w:r>
      <w:r w:rsidR="00B52552">
        <w:rPr>
          <w:szCs w:val="26"/>
        </w:rPr>
        <w:t>The</w:t>
      </w:r>
      <w:r>
        <w:rPr>
          <w:szCs w:val="26"/>
        </w:rPr>
        <w:t xml:space="preserve"> order </w:t>
      </w:r>
      <w:r w:rsidR="004E69AE">
        <w:rPr>
          <w:szCs w:val="26"/>
        </w:rPr>
        <w:t>finding</w:t>
      </w:r>
      <w:r w:rsidR="00F511CF">
        <w:rPr>
          <w:szCs w:val="26"/>
        </w:rPr>
        <w:t xml:space="preserve"> </w:t>
      </w:r>
      <w:proofErr w:type="spellStart"/>
      <w:r w:rsidR="00321D18">
        <w:rPr>
          <w:szCs w:val="26"/>
        </w:rPr>
        <w:t>Sohnen</w:t>
      </w:r>
      <w:proofErr w:type="spellEnd"/>
      <w:r w:rsidR="00321D18">
        <w:rPr>
          <w:szCs w:val="26"/>
        </w:rPr>
        <w:t xml:space="preserve"> materially breached the arbitration agreement and waived the right to arbitrate, </w:t>
      </w:r>
      <w:r w:rsidR="008647C5">
        <w:rPr>
          <w:szCs w:val="26"/>
        </w:rPr>
        <w:t xml:space="preserve">allowing </w:t>
      </w:r>
      <w:r w:rsidR="00E2131A">
        <w:rPr>
          <w:szCs w:val="26"/>
        </w:rPr>
        <w:lastRenderedPageBreak/>
        <w:t xml:space="preserve">Hernandez to </w:t>
      </w:r>
      <w:r w:rsidR="008647C5">
        <w:rPr>
          <w:szCs w:val="26"/>
        </w:rPr>
        <w:t>withdraw from arbitration</w:t>
      </w:r>
      <w:r w:rsidR="005048D5">
        <w:rPr>
          <w:szCs w:val="26"/>
        </w:rPr>
        <w:t xml:space="preserve"> </w:t>
      </w:r>
      <w:r w:rsidR="00E2131A">
        <w:rPr>
          <w:szCs w:val="26"/>
        </w:rPr>
        <w:t xml:space="preserve">and </w:t>
      </w:r>
      <w:r w:rsidR="005048D5">
        <w:rPr>
          <w:szCs w:val="26"/>
        </w:rPr>
        <w:t>proceed in court</w:t>
      </w:r>
      <w:r w:rsidR="00E2131A">
        <w:rPr>
          <w:szCs w:val="26"/>
        </w:rPr>
        <w:t xml:space="preserve">, </w:t>
      </w:r>
      <w:r>
        <w:rPr>
          <w:szCs w:val="26"/>
        </w:rPr>
        <w:t>must be reversed</w:t>
      </w:r>
      <w:r w:rsidR="005048D5">
        <w:rPr>
          <w:szCs w:val="26"/>
        </w:rPr>
        <w:t>.</w:t>
      </w:r>
    </w:p>
    <w:p w14:paraId="25599EE8" w14:textId="77777777" w:rsidR="00CB30E2" w:rsidRDefault="00CB30E2" w:rsidP="00C5238E">
      <w:pPr>
        <w:keepNext/>
        <w:rPr>
          <w:szCs w:val="26"/>
        </w:rPr>
      </w:pPr>
    </w:p>
    <w:p w14:paraId="4D17BCA4" w14:textId="5E92170F" w:rsidR="00CB30E2" w:rsidRPr="005B085E" w:rsidRDefault="00CB30E2" w:rsidP="00C5238E">
      <w:pPr>
        <w:keepNext/>
        <w:rPr>
          <w:b/>
          <w:bCs/>
          <w:szCs w:val="26"/>
          <w:u w:val="single"/>
        </w:rPr>
      </w:pPr>
      <w:r w:rsidRPr="005B085E">
        <w:rPr>
          <w:b/>
          <w:bCs/>
          <w:szCs w:val="26"/>
          <w:u w:val="single"/>
        </w:rPr>
        <w:t>Compliance With Court Order</w:t>
      </w:r>
    </w:p>
    <w:p w14:paraId="576D7A38" w14:textId="77777777" w:rsidR="00CB30E2" w:rsidRDefault="00CB30E2" w:rsidP="00C5238E">
      <w:pPr>
        <w:keepNext/>
        <w:rPr>
          <w:szCs w:val="26"/>
        </w:rPr>
      </w:pPr>
    </w:p>
    <w:p w14:paraId="19BEEF88" w14:textId="1FDAFDBB" w:rsidR="006A42EF" w:rsidRDefault="00CB30E2" w:rsidP="00C5238E">
      <w:pPr>
        <w:keepNext/>
        <w:rPr>
          <w:szCs w:val="26"/>
        </w:rPr>
      </w:pPr>
      <w:r>
        <w:rPr>
          <w:szCs w:val="26"/>
        </w:rPr>
        <w:tab/>
      </w:r>
      <w:r w:rsidR="00B16FCC">
        <w:rPr>
          <w:szCs w:val="26"/>
        </w:rPr>
        <w:t xml:space="preserve">Separate from </w:t>
      </w:r>
      <w:r w:rsidR="00F511CF">
        <w:rPr>
          <w:szCs w:val="26"/>
        </w:rPr>
        <w:t xml:space="preserve">the </w:t>
      </w:r>
      <w:r w:rsidR="00155994">
        <w:rPr>
          <w:szCs w:val="26"/>
        </w:rPr>
        <w:t xml:space="preserve">payment </w:t>
      </w:r>
      <w:r w:rsidR="00B16FCC">
        <w:rPr>
          <w:szCs w:val="26"/>
        </w:rPr>
        <w:t xml:space="preserve">deadline </w:t>
      </w:r>
      <w:r w:rsidR="00F511CF">
        <w:rPr>
          <w:szCs w:val="26"/>
        </w:rPr>
        <w:t>imposed by</w:t>
      </w:r>
      <w:r w:rsidR="00B16FCC">
        <w:rPr>
          <w:szCs w:val="26"/>
        </w:rPr>
        <w:t xml:space="preserve"> section </w:t>
      </w:r>
      <w:r w:rsidR="00C415A4">
        <w:rPr>
          <w:szCs w:val="26"/>
        </w:rPr>
        <w:t xml:space="preserve">1281.97, </w:t>
      </w:r>
      <w:proofErr w:type="spellStart"/>
      <w:r w:rsidR="004A2682">
        <w:rPr>
          <w:szCs w:val="26"/>
        </w:rPr>
        <w:t>Sohnen</w:t>
      </w:r>
      <w:proofErr w:type="spellEnd"/>
      <w:r w:rsidR="004A2682">
        <w:rPr>
          <w:szCs w:val="26"/>
        </w:rPr>
        <w:t xml:space="preserve"> contends </w:t>
      </w:r>
      <w:r w:rsidR="00C415A4">
        <w:rPr>
          <w:szCs w:val="26"/>
        </w:rPr>
        <w:t xml:space="preserve">the trial court erred </w:t>
      </w:r>
      <w:r w:rsidR="00954540">
        <w:rPr>
          <w:szCs w:val="26"/>
        </w:rPr>
        <w:t>by</w:t>
      </w:r>
      <w:r w:rsidR="00427B19">
        <w:rPr>
          <w:szCs w:val="26"/>
        </w:rPr>
        <w:t xml:space="preserve"> finding</w:t>
      </w:r>
      <w:r w:rsidR="00C415A4">
        <w:rPr>
          <w:szCs w:val="26"/>
        </w:rPr>
        <w:t xml:space="preserve"> that </w:t>
      </w:r>
      <w:proofErr w:type="spellStart"/>
      <w:r w:rsidR="00C415A4">
        <w:rPr>
          <w:szCs w:val="26"/>
        </w:rPr>
        <w:t>Sohnen</w:t>
      </w:r>
      <w:proofErr w:type="spellEnd"/>
      <w:r w:rsidR="004A2682">
        <w:rPr>
          <w:szCs w:val="26"/>
        </w:rPr>
        <w:t xml:space="preserve"> violate</w:t>
      </w:r>
      <w:r w:rsidR="00136761">
        <w:rPr>
          <w:szCs w:val="26"/>
        </w:rPr>
        <w:t>d</w:t>
      </w:r>
      <w:r w:rsidR="004A2682">
        <w:rPr>
          <w:szCs w:val="26"/>
        </w:rPr>
        <w:t xml:space="preserve"> the </w:t>
      </w:r>
      <w:r w:rsidR="00D1114E">
        <w:rPr>
          <w:szCs w:val="26"/>
        </w:rPr>
        <w:t xml:space="preserve">trial </w:t>
      </w:r>
      <w:r w:rsidR="004A2682">
        <w:rPr>
          <w:szCs w:val="26"/>
        </w:rPr>
        <w:t>court’s order</w:t>
      </w:r>
      <w:r w:rsidR="00224A26">
        <w:rPr>
          <w:szCs w:val="26"/>
        </w:rPr>
        <w:t xml:space="preserve"> to pay arbitration fees and costs </w:t>
      </w:r>
      <w:r w:rsidR="005B5E73">
        <w:rPr>
          <w:szCs w:val="26"/>
        </w:rPr>
        <w:t>“on or before any deadline specified by the arbitrator</w:t>
      </w:r>
      <w:r w:rsidR="00136761">
        <w:rPr>
          <w:szCs w:val="26"/>
        </w:rPr>
        <w:t>.</w:t>
      </w:r>
      <w:r w:rsidR="000436C1">
        <w:rPr>
          <w:szCs w:val="26"/>
        </w:rPr>
        <w:t>”</w:t>
      </w:r>
      <w:r w:rsidR="00791939">
        <w:rPr>
          <w:szCs w:val="26"/>
        </w:rPr>
        <w:t xml:space="preserve"> </w:t>
      </w:r>
      <w:r w:rsidR="000436C1">
        <w:rPr>
          <w:szCs w:val="26"/>
        </w:rPr>
        <w:t xml:space="preserve"> </w:t>
      </w:r>
      <w:proofErr w:type="spellStart"/>
      <w:r w:rsidR="00C91314">
        <w:rPr>
          <w:szCs w:val="26"/>
        </w:rPr>
        <w:t>Sohnen</w:t>
      </w:r>
      <w:proofErr w:type="spellEnd"/>
      <w:r w:rsidR="00C91314">
        <w:rPr>
          <w:szCs w:val="26"/>
        </w:rPr>
        <w:t xml:space="preserve"> argues that</w:t>
      </w:r>
      <w:r w:rsidR="002D5497">
        <w:rPr>
          <w:szCs w:val="26"/>
        </w:rPr>
        <w:t>,</w:t>
      </w:r>
      <w:r w:rsidR="00C91314">
        <w:rPr>
          <w:szCs w:val="26"/>
        </w:rPr>
        <w:t xml:space="preserve"> </w:t>
      </w:r>
      <w:r w:rsidR="00CA02EB">
        <w:rPr>
          <w:szCs w:val="26"/>
        </w:rPr>
        <w:t xml:space="preserve">in any event, </w:t>
      </w:r>
      <w:r w:rsidR="000436C1">
        <w:rPr>
          <w:szCs w:val="26"/>
        </w:rPr>
        <w:t xml:space="preserve">vacating the stay of judicial proceedings </w:t>
      </w:r>
      <w:r w:rsidR="00B36B15">
        <w:rPr>
          <w:szCs w:val="26"/>
        </w:rPr>
        <w:t>was not</w:t>
      </w:r>
      <w:r w:rsidR="00EC3BF3">
        <w:rPr>
          <w:szCs w:val="26"/>
        </w:rPr>
        <w:t xml:space="preserve"> an appropriate </w:t>
      </w:r>
      <w:r w:rsidR="00D84CC7">
        <w:rPr>
          <w:szCs w:val="26"/>
        </w:rPr>
        <w:t>sanction</w:t>
      </w:r>
      <w:r w:rsidR="00EC3BF3">
        <w:rPr>
          <w:szCs w:val="26"/>
        </w:rPr>
        <w:t xml:space="preserve"> for </w:t>
      </w:r>
      <w:r w:rsidR="00C91314">
        <w:rPr>
          <w:szCs w:val="26"/>
        </w:rPr>
        <w:t xml:space="preserve">any alleged </w:t>
      </w:r>
      <w:r w:rsidR="00644905">
        <w:rPr>
          <w:szCs w:val="26"/>
        </w:rPr>
        <w:t>violati</w:t>
      </w:r>
      <w:r w:rsidR="00C91314">
        <w:rPr>
          <w:szCs w:val="26"/>
        </w:rPr>
        <w:t>o</w:t>
      </w:r>
      <w:r w:rsidR="00644905">
        <w:rPr>
          <w:szCs w:val="26"/>
        </w:rPr>
        <w:t>n</w:t>
      </w:r>
      <w:r w:rsidR="00C91314">
        <w:rPr>
          <w:szCs w:val="26"/>
        </w:rPr>
        <w:t xml:space="preserve"> of</w:t>
      </w:r>
      <w:r w:rsidR="00644905">
        <w:rPr>
          <w:szCs w:val="26"/>
        </w:rPr>
        <w:t xml:space="preserve"> the court order.  We agree.  </w:t>
      </w:r>
    </w:p>
    <w:p w14:paraId="607795A3" w14:textId="59962B77" w:rsidR="00B40E1D" w:rsidRDefault="00CA02EB" w:rsidP="00C5238E">
      <w:pPr>
        <w:ind w:firstLine="720"/>
        <w:rPr>
          <w:szCs w:val="26"/>
        </w:rPr>
      </w:pPr>
      <w:r>
        <w:rPr>
          <w:szCs w:val="26"/>
        </w:rPr>
        <w:t>The trial court’s order d</w:t>
      </w:r>
      <w:r w:rsidR="00E45CA9">
        <w:rPr>
          <w:szCs w:val="26"/>
        </w:rPr>
        <w:t>id</w:t>
      </w:r>
      <w:r>
        <w:rPr>
          <w:szCs w:val="26"/>
        </w:rPr>
        <w:t xml:space="preserve"> not set a deadline for payment that was violated.</w:t>
      </w:r>
      <w:r w:rsidR="001432B1">
        <w:rPr>
          <w:szCs w:val="26"/>
        </w:rPr>
        <w:t xml:space="preserve">  </w:t>
      </w:r>
      <w:r w:rsidR="00000943">
        <w:rPr>
          <w:szCs w:val="26"/>
        </w:rPr>
        <w:t>Nor can t</w:t>
      </w:r>
      <w:r w:rsidR="001432B1">
        <w:rPr>
          <w:szCs w:val="26"/>
        </w:rPr>
        <w:t xml:space="preserve">he invoice </w:t>
      </w:r>
      <w:r w:rsidR="00422AB7">
        <w:rPr>
          <w:szCs w:val="26"/>
        </w:rPr>
        <w:t xml:space="preserve">from the arbitration provider </w:t>
      </w:r>
      <w:r w:rsidR="00000943">
        <w:rPr>
          <w:szCs w:val="26"/>
        </w:rPr>
        <w:t xml:space="preserve">be reasonably construed to have set </w:t>
      </w:r>
      <w:r w:rsidR="001432B1">
        <w:rPr>
          <w:szCs w:val="26"/>
        </w:rPr>
        <w:t xml:space="preserve">a </w:t>
      </w:r>
      <w:r w:rsidR="009B5A27">
        <w:rPr>
          <w:szCs w:val="26"/>
        </w:rPr>
        <w:t xml:space="preserve">specific </w:t>
      </w:r>
      <w:r w:rsidR="001432B1">
        <w:rPr>
          <w:szCs w:val="26"/>
        </w:rPr>
        <w:t xml:space="preserve">payment </w:t>
      </w:r>
      <w:r w:rsidR="00C42A22">
        <w:rPr>
          <w:szCs w:val="26"/>
        </w:rPr>
        <w:t>date</w:t>
      </w:r>
      <w:r w:rsidR="009B5A27">
        <w:rPr>
          <w:szCs w:val="26"/>
        </w:rPr>
        <w:t>:</w:t>
      </w:r>
      <w:r w:rsidR="005C66A0">
        <w:rPr>
          <w:szCs w:val="26"/>
        </w:rPr>
        <w:t xml:space="preserve"> </w:t>
      </w:r>
      <w:r w:rsidR="001432B1">
        <w:rPr>
          <w:szCs w:val="26"/>
        </w:rPr>
        <w:t xml:space="preserve"> the invoice </w:t>
      </w:r>
      <w:r w:rsidR="009B5A27">
        <w:rPr>
          <w:szCs w:val="26"/>
        </w:rPr>
        <w:t>ambig</w:t>
      </w:r>
      <w:r w:rsidR="00BC14CB">
        <w:rPr>
          <w:szCs w:val="26"/>
        </w:rPr>
        <w:t>u</w:t>
      </w:r>
      <w:r w:rsidR="009B5A27">
        <w:rPr>
          <w:szCs w:val="26"/>
        </w:rPr>
        <w:t>ously</w:t>
      </w:r>
      <w:r w:rsidR="004F750C">
        <w:rPr>
          <w:szCs w:val="26"/>
        </w:rPr>
        <w:t xml:space="preserve"> </w:t>
      </w:r>
      <w:r w:rsidR="001A4051">
        <w:rPr>
          <w:szCs w:val="26"/>
        </w:rPr>
        <w:t xml:space="preserve">states that it is </w:t>
      </w:r>
      <w:r w:rsidR="00C42A22">
        <w:rPr>
          <w:szCs w:val="26"/>
        </w:rPr>
        <w:t>“</w:t>
      </w:r>
      <w:r w:rsidR="001A4051">
        <w:rPr>
          <w:szCs w:val="26"/>
        </w:rPr>
        <w:t>due upon receipt</w:t>
      </w:r>
      <w:r w:rsidR="000B4845">
        <w:rPr>
          <w:szCs w:val="26"/>
        </w:rPr>
        <w:t>,</w:t>
      </w:r>
      <w:r w:rsidR="00C42A22">
        <w:rPr>
          <w:szCs w:val="26"/>
        </w:rPr>
        <w:t>”</w:t>
      </w:r>
      <w:r w:rsidR="000B4845">
        <w:rPr>
          <w:szCs w:val="26"/>
        </w:rPr>
        <w:t xml:space="preserve"> and</w:t>
      </w:r>
      <w:r w:rsidR="00C464E3">
        <w:rPr>
          <w:szCs w:val="26"/>
        </w:rPr>
        <w:t xml:space="preserve"> </w:t>
      </w:r>
      <w:proofErr w:type="spellStart"/>
      <w:r w:rsidR="00C464E3">
        <w:rPr>
          <w:szCs w:val="26"/>
        </w:rPr>
        <w:t>Sohnen</w:t>
      </w:r>
      <w:proofErr w:type="spellEnd"/>
      <w:r w:rsidR="00C464E3">
        <w:rPr>
          <w:szCs w:val="26"/>
        </w:rPr>
        <w:t xml:space="preserve"> </w:t>
      </w:r>
      <w:r w:rsidR="009B325D">
        <w:rPr>
          <w:szCs w:val="26"/>
        </w:rPr>
        <w:t xml:space="preserve">had </w:t>
      </w:r>
      <w:r w:rsidR="00C464E3">
        <w:rPr>
          <w:szCs w:val="26"/>
        </w:rPr>
        <w:t>a reasonable time for payment from the point the invoice was received.</w:t>
      </w:r>
      <w:r w:rsidR="00937427">
        <w:rPr>
          <w:szCs w:val="26"/>
        </w:rPr>
        <w:t xml:space="preserve">  </w:t>
      </w:r>
      <w:r w:rsidR="000850B4">
        <w:rPr>
          <w:szCs w:val="26"/>
        </w:rPr>
        <w:t>Further, t</w:t>
      </w:r>
      <w:r w:rsidR="006F79E6">
        <w:rPr>
          <w:szCs w:val="26"/>
        </w:rPr>
        <w:t xml:space="preserve">he court’s order did not reasonably advise the parties of </w:t>
      </w:r>
      <w:r w:rsidR="007A38B9">
        <w:rPr>
          <w:szCs w:val="26"/>
        </w:rPr>
        <w:t>the</w:t>
      </w:r>
      <w:r w:rsidR="002E1A7A">
        <w:rPr>
          <w:szCs w:val="26"/>
        </w:rPr>
        <w:t xml:space="preserve"> consequences </w:t>
      </w:r>
      <w:r w:rsidR="007A38B9">
        <w:rPr>
          <w:szCs w:val="26"/>
        </w:rPr>
        <w:t xml:space="preserve">for violating </w:t>
      </w:r>
      <w:r w:rsidR="00E81F0E">
        <w:rPr>
          <w:szCs w:val="26"/>
        </w:rPr>
        <w:t>any</w:t>
      </w:r>
      <w:r w:rsidR="00C515A7">
        <w:rPr>
          <w:szCs w:val="26"/>
        </w:rPr>
        <w:t xml:space="preserve"> payment deadline</w:t>
      </w:r>
      <w:r w:rsidR="00F14C59">
        <w:rPr>
          <w:szCs w:val="26"/>
        </w:rPr>
        <w:t xml:space="preserve">.  </w:t>
      </w:r>
      <w:r w:rsidR="00D95161">
        <w:rPr>
          <w:szCs w:val="26"/>
        </w:rPr>
        <w:t xml:space="preserve">There is no substantial evidence that a deadline imposed by the </w:t>
      </w:r>
      <w:r w:rsidR="006B184F">
        <w:rPr>
          <w:szCs w:val="26"/>
        </w:rPr>
        <w:t xml:space="preserve">court’s order was missed, nor is there evidence justifying the sanction of </w:t>
      </w:r>
      <w:r w:rsidR="006F79E6">
        <w:rPr>
          <w:szCs w:val="26"/>
        </w:rPr>
        <w:t>vacating the stay of judicial proceedings.</w:t>
      </w:r>
      <w:bookmarkEnd w:id="15"/>
    </w:p>
    <w:p w14:paraId="4334A472" w14:textId="270FE2E4" w:rsidR="00F41414" w:rsidRDefault="00F41414" w:rsidP="00C5238E">
      <w:pPr>
        <w:rPr>
          <w:szCs w:val="26"/>
        </w:rPr>
      </w:pPr>
      <w:r>
        <w:rPr>
          <w:szCs w:val="26"/>
        </w:rPr>
        <w:br w:type="page"/>
      </w:r>
    </w:p>
    <w:p w14:paraId="2780075E" w14:textId="77777777" w:rsidR="00B40E1D" w:rsidRDefault="00B40E1D" w:rsidP="00C5238E">
      <w:pPr>
        <w:rPr>
          <w:szCs w:val="26"/>
        </w:rPr>
      </w:pPr>
    </w:p>
    <w:p w14:paraId="16D45F7C" w14:textId="73C9A055" w:rsidR="004F4675" w:rsidRPr="00F06E86" w:rsidRDefault="004F4675" w:rsidP="00C5238E">
      <w:pPr>
        <w:jc w:val="center"/>
        <w:rPr>
          <w:b/>
          <w:bCs/>
          <w:szCs w:val="26"/>
        </w:rPr>
      </w:pPr>
      <w:r w:rsidRPr="00F06E86">
        <w:rPr>
          <w:b/>
          <w:bCs/>
          <w:szCs w:val="26"/>
        </w:rPr>
        <w:t>DISPOSITION</w:t>
      </w:r>
    </w:p>
    <w:p w14:paraId="66E1033D" w14:textId="77777777" w:rsidR="004F4675" w:rsidRDefault="004F4675" w:rsidP="00C5238E">
      <w:pPr>
        <w:rPr>
          <w:szCs w:val="26"/>
        </w:rPr>
      </w:pPr>
    </w:p>
    <w:p w14:paraId="5A0D823F" w14:textId="0750FC20" w:rsidR="004F4675" w:rsidRDefault="004F4675" w:rsidP="00C5238E">
      <w:pPr>
        <w:rPr>
          <w:szCs w:val="26"/>
        </w:rPr>
      </w:pPr>
      <w:r>
        <w:rPr>
          <w:szCs w:val="26"/>
        </w:rPr>
        <w:tab/>
        <w:t xml:space="preserve">The </w:t>
      </w:r>
      <w:r w:rsidR="0062418E" w:rsidRPr="0062418E">
        <w:rPr>
          <w:szCs w:val="26"/>
        </w:rPr>
        <w:t xml:space="preserve">September 1, </w:t>
      </w:r>
      <w:proofErr w:type="gramStart"/>
      <w:r w:rsidR="0062418E" w:rsidRPr="0062418E">
        <w:rPr>
          <w:szCs w:val="26"/>
        </w:rPr>
        <w:t>2022</w:t>
      </w:r>
      <w:proofErr w:type="gramEnd"/>
      <w:r w:rsidR="0062418E">
        <w:rPr>
          <w:szCs w:val="26"/>
        </w:rPr>
        <w:t xml:space="preserve"> </w:t>
      </w:r>
      <w:r>
        <w:rPr>
          <w:szCs w:val="26"/>
        </w:rPr>
        <w:t>order</w:t>
      </w:r>
      <w:r w:rsidR="00523BE4">
        <w:rPr>
          <w:szCs w:val="26"/>
        </w:rPr>
        <w:t xml:space="preserve"> is </w:t>
      </w:r>
      <w:r w:rsidR="00EE788A">
        <w:rPr>
          <w:szCs w:val="26"/>
        </w:rPr>
        <w:t>reversed</w:t>
      </w:r>
      <w:r w:rsidR="00523BE4">
        <w:rPr>
          <w:szCs w:val="26"/>
        </w:rPr>
        <w:t xml:space="preserve">.  </w:t>
      </w:r>
      <w:r w:rsidR="00EE788A">
        <w:rPr>
          <w:szCs w:val="26"/>
        </w:rPr>
        <w:t>Appellant</w:t>
      </w:r>
      <w:r w:rsidR="009B3290" w:rsidRPr="009B3290">
        <w:rPr>
          <w:szCs w:val="26"/>
        </w:rPr>
        <w:t xml:space="preserve"> </w:t>
      </w:r>
      <w:proofErr w:type="spellStart"/>
      <w:r w:rsidR="00EE788A" w:rsidRPr="00EE788A">
        <w:rPr>
          <w:szCs w:val="26"/>
        </w:rPr>
        <w:t>Sohnen</w:t>
      </w:r>
      <w:proofErr w:type="spellEnd"/>
      <w:r w:rsidR="00EE788A" w:rsidRPr="00EE788A">
        <w:rPr>
          <w:szCs w:val="26"/>
        </w:rPr>
        <w:t xml:space="preserve"> Enterprises </w:t>
      </w:r>
      <w:r w:rsidR="009B3290">
        <w:rPr>
          <w:szCs w:val="26"/>
        </w:rPr>
        <w:t xml:space="preserve">is </w:t>
      </w:r>
      <w:r w:rsidR="003D5DEA">
        <w:rPr>
          <w:szCs w:val="26"/>
        </w:rPr>
        <w:t>awarded</w:t>
      </w:r>
      <w:r w:rsidR="005F2EA2">
        <w:rPr>
          <w:szCs w:val="26"/>
        </w:rPr>
        <w:t xml:space="preserve"> </w:t>
      </w:r>
      <w:r w:rsidR="00EE788A">
        <w:rPr>
          <w:szCs w:val="26"/>
        </w:rPr>
        <w:t>its</w:t>
      </w:r>
      <w:r w:rsidR="00344157">
        <w:rPr>
          <w:szCs w:val="26"/>
        </w:rPr>
        <w:t xml:space="preserve"> costs on appeal.</w:t>
      </w:r>
    </w:p>
    <w:p w14:paraId="292FE36A" w14:textId="7E698919" w:rsidR="00A66422" w:rsidRPr="00CF31E0" w:rsidRDefault="00574798" w:rsidP="00C5238E">
      <w:pPr>
        <w:pStyle w:val="ListBullet"/>
        <w:numPr>
          <w:ilvl w:val="0"/>
          <w:numId w:val="0"/>
        </w:numPr>
        <w:spacing w:line="288" w:lineRule="auto"/>
        <w:ind w:firstLine="720"/>
        <w:rPr>
          <w:szCs w:val="26"/>
        </w:rPr>
      </w:pPr>
      <w:r>
        <w:rPr>
          <w:rFonts w:ascii="Century Schoolbook" w:hAnsi="Century Schoolbook"/>
          <w:szCs w:val="26"/>
        </w:rPr>
        <w:t>CERTIFIED FOR PUBLICATION</w:t>
      </w:r>
      <w:r w:rsidR="00A66422">
        <w:rPr>
          <w:rFonts w:ascii="Century Schoolbook" w:hAnsi="Century Schoolbook"/>
          <w:szCs w:val="26"/>
        </w:rPr>
        <w:t>.</w:t>
      </w:r>
    </w:p>
    <w:p w14:paraId="2D342A82" w14:textId="77777777" w:rsidR="00A66422" w:rsidRDefault="00A66422" w:rsidP="00C5238E">
      <w:pPr>
        <w:ind w:firstLine="720"/>
        <w:rPr>
          <w:szCs w:val="26"/>
        </w:rPr>
      </w:pPr>
    </w:p>
    <w:p w14:paraId="454F7E44" w14:textId="77777777" w:rsidR="00A66422" w:rsidRDefault="00A66422" w:rsidP="00C5238E">
      <w:pPr>
        <w:ind w:firstLine="720"/>
        <w:rPr>
          <w:szCs w:val="26"/>
        </w:rPr>
      </w:pPr>
    </w:p>
    <w:p w14:paraId="15ABC3A8" w14:textId="77777777" w:rsidR="00A66422" w:rsidRPr="00102C70" w:rsidRDefault="00A66422" w:rsidP="00C5238E">
      <w:pPr>
        <w:rPr>
          <w:szCs w:val="26"/>
        </w:rPr>
      </w:pPr>
      <w:r w:rsidRPr="005B0D49">
        <w:rPr>
          <w:szCs w:val="26"/>
        </w:rPr>
        <w:tab/>
      </w:r>
      <w:r w:rsidRPr="005B0D49">
        <w:rPr>
          <w:szCs w:val="26"/>
        </w:rPr>
        <w:tab/>
      </w:r>
      <w:r w:rsidRPr="005B0D49">
        <w:rPr>
          <w:szCs w:val="26"/>
        </w:rPr>
        <w:tab/>
      </w:r>
      <w:r w:rsidRPr="005B0D49">
        <w:rPr>
          <w:szCs w:val="26"/>
        </w:rPr>
        <w:tab/>
      </w:r>
      <w:r>
        <w:rPr>
          <w:szCs w:val="26"/>
        </w:rPr>
        <w:tab/>
      </w:r>
      <w:r w:rsidRPr="005B0D49">
        <w:rPr>
          <w:szCs w:val="26"/>
        </w:rPr>
        <w:tab/>
      </w:r>
      <w:r w:rsidRPr="00102C70">
        <w:rPr>
          <w:szCs w:val="26"/>
        </w:rPr>
        <w:t>MOOR, J.</w:t>
      </w:r>
    </w:p>
    <w:p w14:paraId="797DCC69" w14:textId="77777777" w:rsidR="00A66422" w:rsidRPr="00102C70" w:rsidRDefault="00A66422" w:rsidP="00C5238E">
      <w:pPr>
        <w:rPr>
          <w:szCs w:val="26"/>
        </w:rPr>
      </w:pPr>
    </w:p>
    <w:p w14:paraId="6A17C3D0" w14:textId="037D2FA1" w:rsidR="00A66422" w:rsidRPr="00102C70" w:rsidRDefault="00851391" w:rsidP="00C5238E">
      <w:pPr>
        <w:rPr>
          <w:szCs w:val="26"/>
        </w:rPr>
      </w:pPr>
      <w:r>
        <w:rPr>
          <w:szCs w:val="26"/>
        </w:rPr>
        <w:t>I</w:t>
      </w:r>
      <w:r w:rsidRPr="00102C70">
        <w:rPr>
          <w:szCs w:val="26"/>
        </w:rPr>
        <w:t xml:space="preserve"> </w:t>
      </w:r>
      <w:r w:rsidR="00A66422" w:rsidRPr="00102C70">
        <w:rPr>
          <w:szCs w:val="26"/>
        </w:rPr>
        <w:t>concur:</w:t>
      </w:r>
    </w:p>
    <w:p w14:paraId="70FFFDED" w14:textId="77777777" w:rsidR="00C50D0F" w:rsidRPr="00102C70" w:rsidRDefault="00C50D0F" w:rsidP="00C5238E">
      <w:pPr>
        <w:rPr>
          <w:szCs w:val="26"/>
        </w:rPr>
      </w:pPr>
    </w:p>
    <w:p w14:paraId="4662D143" w14:textId="77777777" w:rsidR="00A66422" w:rsidRDefault="00A66422" w:rsidP="00C5238E">
      <w:pPr>
        <w:rPr>
          <w:szCs w:val="26"/>
        </w:rPr>
      </w:pPr>
      <w:r w:rsidRPr="00102C70">
        <w:rPr>
          <w:szCs w:val="26"/>
        </w:rPr>
        <w:tab/>
      </w:r>
      <w:r w:rsidRPr="00102C70">
        <w:rPr>
          <w:szCs w:val="26"/>
        </w:rPr>
        <w:tab/>
        <w:t>KIM, J.</w:t>
      </w:r>
    </w:p>
    <w:p w14:paraId="723CE89B" w14:textId="77777777" w:rsidR="000E0E1F" w:rsidRDefault="000E0E1F" w:rsidP="00C5238E">
      <w:pPr>
        <w:rPr>
          <w:szCs w:val="26"/>
        </w:rPr>
      </w:pPr>
    </w:p>
    <w:p w14:paraId="7CDEFE07" w14:textId="77777777" w:rsidR="00F41414" w:rsidRDefault="00F41414" w:rsidP="00C5238E">
      <w:pPr>
        <w:rPr>
          <w:szCs w:val="26"/>
        </w:rPr>
        <w:sectPr w:rsidR="00F41414" w:rsidSect="00C5238E">
          <w:headerReference w:type="even" r:id="rId8"/>
          <w:headerReference w:type="default" r:id="rId9"/>
          <w:footerReference w:type="even" r:id="rId10"/>
          <w:footerReference w:type="default" r:id="rId11"/>
          <w:headerReference w:type="first" r:id="rId12"/>
          <w:footerReference w:type="first" r:id="rId13"/>
          <w:pgSz w:w="12240" w:h="15840"/>
          <w:pgMar w:top="2160" w:right="2160" w:bottom="2160" w:left="2160" w:header="720" w:footer="720" w:gutter="0"/>
          <w:cols w:space="720"/>
          <w:titlePg/>
          <w:docGrid w:linePitch="360"/>
        </w:sectPr>
      </w:pPr>
    </w:p>
    <w:p w14:paraId="1EB4B4F8" w14:textId="77777777" w:rsidR="001B23BF" w:rsidRDefault="001B23BF" w:rsidP="001B23BF">
      <w:r>
        <w:lastRenderedPageBreak/>
        <w:t xml:space="preserve">Massiel Hernandez v. </w:t>
      </w:r>
      <w:proofErr w:type="spellStart"/>
      <w:r>
        <w:t>Sohnen</w:t>
      </w:r>
      <w:proofErr w:type="spellEnd"/>
      <w:r>
        <w:t xml:space="preserve"> Enterprises</w:t>
      </w:r>
    </w:p>
    <w:p w14:paraId="158F4971" w14:textId="77777777" w:rsidR="001B23BF" w:rsidRDefault="001B23BF" w:rsidP="001B23BF">
      <w:pPr>
        <w:tabs>
          <w:tab w:val="left" w:pos="6990"/>
        </w:tabs>
      </w:pPr>
      <w:r>
        <w:t>B323303</w:t>
      </w:r>
    </w:p>
    <w:p w14:paraId="35012222" w14:textId="77777777" w:rsidR="001B23BF" w:rsidRDefault="001B23BF" w:rsidP="001B23BF"/>
    <w:p w14:paraId="07874108" w14:textId="77777777" w:rsidR="001B23BF" w:rsidRDefault="001B23BF" w:rsidP="001B23BF"/>
    <w:p w14:paraId="6AD678BD" w14:textId="77777777" w:rsidR="001B23BF" w:rsidRDefault="001B23BF" w:rsidP="001B23BF">
      <w:r w:rsidRPr="00750528">
        <w:t xml:space="preserve">BAKER, </w:t>
      </w:r>
      <w:r>
        <w:t xml:space="preserve">Acting P. </w:t>
      </w:r>
      <w:r w:rsidRPr="00750528">
        <w:t xml:space="preserve">J., </w:t>
      </w:r>
      <w:r>
        <w:t>Dissenting</w:t>
      </w:r>
    </w:p>
    <w:p w14:paraId="40E2EAA3" w14:textId="77777777" w:rsidR="001B23BF" w:rsidRDefault="001B23BF" w:rsidP="001B23BF"/>
    <w:p w14:paraId="5C505258" w14:textId="77777777" w:rsidR="001B23BF" w:rsidRDefault="001B23BF" w:rsidP="001B23BF"/>
    <w:p w14:paraId="1073DFB9" w14:textId="77777777" w:rsidR="001B23BF" w:rsidRDefault="001B23BF" w:rsidP="001B23BF">
      <w:r>
        <w:tab/>
        <w:t xml:space="preserve">I have </w:t>
      </w:r>
      <w:proofErr w:type="gramStart"/>
      <w:r>
        <w:t>doubts</w:t>
      </w:r>
      <w:proofErr w:type="gramEnd"/>
      <w:r>
        <w:t xml:space="preserve"> this appeal is properly before us at this stage of the proceedings—a point the Legislature can and should clarify.  Assuming it is, the majority errs by going out of its way to articulate an alternative holding that, though dicta, conflicts with other Court of Appeal cases concluding Code of Civil Procedure section 1281.97 (section 1281.97) is not preempted by the Federal Arbitration Act.  The majority’s opinion rather obviously invites a grant of review from our Supreme Court; for now, I shall outline my disagreement with it.</w:t>
      </w:r>
    </w:p>
    <w:p w14:paraId="485A894F" w14:textId="77777777" w:rsidR="001B23BF" w:rsidRDefault="001B23BF" w:rsidP="001B23BF"/>
    <w:p w14:paraId="54527204" w14:textId="77777777" w:rsidR="001B23BF" w:rsidRDefault="001B23BF" w:rsidP="001B23BF">
      <w:pPr>
        <w:jc w:val="center"/>
      </w:pPr>
      <w:r>
        <w:t>I</w:t>
      </w:r>
    </w:p>
    <w:p w14:paraId="79ECE6E1" w14:textId="77777777" w:rsidR="001B23BF" w:rsidRDefault="001B23BF" w:rsidP="001B23BF">
      <w:r>
        <w:tab/>
        <w:t>First, appealability.</w:t>
      </w:r>
    </w:p>
    <w:p w14:paraId="1062475E" w14:textId="77777777" w:rsidR="001B23BF" w:rsidRDefault="001B23BF" w:rsidP="001B23BF">
      <w:r>
        <w:tab/>
        <w:t xml:space="preserve">The Legislature and the Governor enacted section 1281.97 to remedy a problem: delayed justice.  Specifically, the Legislature was persuaded that those responsible for paying arbitration fees (often the party that demands arbitration ostensibly for its expediency, among other things) were failing in some instances to timely pay those fees and thereby preventing an arbitration from proceeding promptly.  To ameliorate what it saw as unnecessary delay, the Legislature passed a strong incentivizing statute: Section 1281.97 provides that if a party responsible for paying arbitration fees does not make payment within 30 days and thereby undercuts the touted greater speed of </w:t>
      </w:r>
      <w:r>
        <w:lastRenderedPageBreak/>
        <w:t>arbitrations, the other party may—but is not required to—withdraw the matter from arbitration and proceed in court.</w:t>
      </w:r>
    </w:p>
    <w:p w14:paraId="25589DEB" w14:textId="77777777" w:rsidR="001B23BF" w:rsidRDefault="001B23BF" w:rsidP="001B23BF">
      <w:r>
        <w:tab/>
        <w:t xml:space="preserve">Section 1281.97 motions themselves can be decided by trial courts quickly because they ordinarily require a ruling that is as simple as simple gets.  In nearly all cases, a trial court need only look at the arbitration invoice; look at when, if ever, the check (or, these days, electronic payment) to cover that invoice was sent; and then </w:t>
      </w:r>
      <w:proofErr w:type="gramStart"/>
      <w:r>
        <w:t>decide:</w:t>
      </w:r>
      <w:proofErr w:type="gramEnd"/>
      <w:r>
        <w:t xml:space="preserve"> timely, or not timely.  If it is not, the court then gives the other party the option (among other options) of proceeding in court without delay—or so the Legislature would have thought.</w:t>
      </w:r>
    </w:p>
    <w:p w14:paraId="53AEFFC2" w14:textId="77777777" w:rsidR="001B23BF" w:rsidRDefault="001B23BF" w:rsidP="001B23BF">
      <w:r>
        <w:tab/>
        <w:t xml:space="preserve">In practice, however, some of these failure to timely pay fees cases </w:t>
      </w:r>
      <w:proofErr w:type="gramStart"/>
      <w:r>
        <w:t>are</w:t>
      </w:r>
      <w:proofErr w:type="gramEnd"/>
      <w:r>
        <w:t xml:space="preserve"> still dragging.  Consider the facts here.  The stipulation to arbitrate was filed in November 2021.  The demand to arbitrate a consumer matter was apparently submitted to JAMS thereafter (the record does not reveal precisely when), and on April 7, 2022, JAMS notified defendant and respondent </w:t>
      </w:r>
      <w:proofErr w:type="spellStart"/>
      <w:r>
        <w:t>Sohnen</w:t>
      </w:r>
      <w:proofErr w:type="spellEnd"/>
      <w:r>
        <w:t xml:space="preserve"> Enterprises, Inc. (defendant) that a $1,750 filing fee was due upon receipt.  It is undisputed defendant did not pay the fees within 30 days of the JAMS invoice; payment was made only later, on May 13, 2022.  Under section 1281.97, </w:t>
      </w:r>
      <w:proofErr w:type="gramStart"/>
      <w:r>
        <w:t>plaintiff</w:t>
      </w:r>
      <w:proofErr w:type="gramEnd"/>
      <w:r>
        <w:t xml:space="preserve"> and appellant Massiel Hernandez (plaintiff) was therefore authorized to move, and did move, to lift the previously entered court stay and withdraw the matter from arbitration.  The trial court granted that motion in September 2022, yet here we </w:t>
      </w:r>
      <w:proofErr w:type="gramStart"/>
      <w:r>
        <w:t>are:</w:t>
      </w:r>
      <w:proofErr w:type="gramEnd"/>
      <w:r>
        <w:t xml:space="preserve"> nearly two years after that ruling, and over two years after the demand for arbitration, with plaintiff’s discrimination claims still waiting for resolution.</w:t>
      </w:r>
    </w:p>
    <w:p w14:paraId="7B96A8F0" w14:textId="77777777" w:rsidR="001B23BF" w:rsidRDefault="001B23BF" w:rsidP="001B23BF">
      <w:r>
        <w:tab/>
        <w:t xml:space="preserve">A judge-made doctrine is the reason why at least some of these cases are not moving forward.  The usual rule, as the </w:t>
      </w:r>
      <w:r>
        <w:lastRenderedPageBreak/>
        <w:t xml:space="preserve">majority recognizes, is that the right to appeal is “wholly statutory” and only orders denying or dismissing a petition to compel arbitration are appealable (§ 1294, subd. (a)).  But beginning in the 1990s, some Courts of Appeal decided orders that are the “functional equivalent” of the dismissal or denial orders referenced in section 1294, subdivision (a) </w:t>
      </w:r>
      <w:proofErr w:type="gramStart"/>
      <w:r>
        <w:t>are</w:t>
      </w:r>
      <w:proofErr w:type="gramEnd"/>
      <w:r>
        <w:t xml:space="preserve"> appealable too.  (See, e.g., </w:t>
      </w:r>
      <w:r w:rsidRPr="00432AC4">
        <w:rPr>
          <w:i/>
          <w:iCs/>
        </w:rPr>
        <w:t>Henry v. Alcove Investment, Inc.</w:t>
      </w:r>
      <w:r>
        <w:t xml:space="preserve"> (1991) 233 Cal.App.3d 94.)  Relying on this authority, parties are noticing appeals from section 1281.97 orders, and those appeals are adding delays on top of the delays they have already caused by not timely paying arbitration fees.  (See, e.g., </w:t>
      </w:r>
      <w:r w:rsidRPr="005040CE">
        <w:rPr>
          <w:i/>
          <w:iCs/>
        </w:rPr>
        <w:t>Williams v. West Coast Hospitals, Inc.</w:t>
      </w:r>
      <w:r>
        <w:t xml:space="preserve"> (2022) 86 Cal.App.5th 1054, 1064.)  </w:t>
      </w:r>
    </w:p>
    <w:p w14:paraId="5DDBFBDE" w14:textId="77777777" w:rsidR="001B23BF" w:rsidRDefault="001B23BF" w:rsidP="001B23BF">
      <w:r>
        <w:tab/>
        <w:t xml:space="preserve">The majority’s opinion follows </w:t>
      </w:r>
      <w:r w:rsidRPr="005040CE">
        <w:rPr>
          <w:i/>
          <w:iCs/>
        </w:rPr>
        <w:t>Williams</w:t>
      </w:r>
      <w:r>
        <w:t xml:space="preserve"> in holding defendant’s appeal of the trial court’s section 1281.97 ruling is proper under the “functional equivalent” doctrine even though this works at cross-purposes with section 1281.97’s aim of speeding up arbitrations that are supposed to be speedy.  This seems wrong.  It is hard to believe the Legislature intended to permit immediate appeals from section 1281.97 orders and invite potential delay</w:t>
      </w:r>
      <w:r w:rsidRPr="000362BA">
        <w:rPr>
          <w:rStyle w:val="FootnoteReference"/>
          <w:b/>
          <w:position w:val="6"/>
          <w:sz w:val="20"/>
          <w:szCs w:val="20"/>
        </w:rPr>
        <w:footnoteReference w:id="10"/>
      </w:r>
      <w:r w:rsidRPr="000362BA">
        <w:rPr>
          <w:b/>
          <w:position w:val="6"/>
          <w:sz w:val="20"/>
          <w:szCs w:val="20"/>
        </w:rPr>
        <w:t xml:space="preserve"> </w:t>
      </w:r>
      <w:r>
        <w:t xml:space="preserve">when, as I have explained, section 1281.97 </w:t>
      </w:r>
      <w:r>
        <w:lastRenderedPageBreak/>
        <w:t>determinations are customarily straightforward and the risk of error needing correction on appeal is de minimis.  Under these circumstances, one would think the Legislature would have relegated complaints about section 1281.97 rulings to appeals from a final judgment or other qualifying orders under section 1294.  (§§ 904.1, subd. (a), 1294, subds. (b), (c), &amp; (e); see also § 1294.2 [“</w:t>
      </w:r>
      <w:r w:rsidRPr="00294BB4">
        <w:t>Upon an appeal from any order or judgment under this title, the court may review the decision and any intermediate ruling, proceeding, order or decision which involves the merits or necessarily affects the order or judgment appealed from</w:t>
      </w:r>
      <w:r>
        <w:t> . . .”].)</w:t>
      </w:r>
    </w:p>
    <w:p w14:paraId="5B5A5714" w14:textId="77777777" w:rsidR="001B23BF" w:rsidRDefault="001B23BF" w:rsidP="001B23BF">
      <w:r>
        <w:tab/>
        <w:t xml:space="preserve">Though there is accordingly good reason to believe the Legislature did not mean to make the order before us an immediately appealable one, I concede the majority appropriately relies on principles of statutory construction that allow it to presume the Legislature was aware of, and acquiesced in, treatment of these section 1281.97 rulings as the functional equivalent of appealable orders.  But I hasten to add that the majority’s extended discussion of the issue all but dares the Legislature to </w:t>
      </w:r>
      <w:proofErr w:type="gramStart"/>
      <w:r>
        <w:t>more directly declare its intent</w:t>
      </w:r>
      <w:proofErr w:type="gramEnd"/>
      <w:r>
        <w:t>.  That, in my view, is an invitation the Legislature should accept.  Clarity is needed here, and if the Legislature did not intend to make trial court 1281.97 orders immediately appealable as the functional equivalent of a section 1294, subdivision (a) order, it should amend section 1281.97 (or section 1294) to so state.  For now, I will proceed on the understanding that the appeal is properly before us.</w:t>
      </w:r>
    </w:p>
    <w:p w14:paraId="33CB7588" w14:textId="77777777" w:rsidR="001B23BF" w:rsidRDefault="001B23BF" w:rsidP="001B23BF"/>
    <w:p w14:paraId="1F689F07" w14:textId="77777777" w:rsidR="001B23BF" w:rsidRDefault="001B23BF" w:rsidP="001B23BF">
      <w:pPr>
        <w:keepNext/>
        <w:jc w:val="center"/>
      </w:pPr>
      <w:r>
        <w:t>II</w:t>
      </w:r>
    </w:p>
    <w:p w14:paraId="0BA98100" w14:textId="77777777" w:rsidR="001B23BF" w:rsidRDefault="001B23BF" w:rsidP="001B23BF">
      <w:pPr>
        <w:keepNext/>
      </w:pPr>
      <w:r>
        <w:tab/>
        <w:t>Second, preemption.</w:t>
      </w:r>
    </w:p>
    <w:p w14:paraId="00C68BFC" w14:textId="77777777" w:rsidR="001B23BF" w:rsidRDefault="001B23BF" w:rsidP="001B23BF">
      <w:pPr>
        <w:keepNext/>
      </w:pPr>
      <w:r>
        <w:tab/>
        <w:t>The majority holds section 1281.97 has no application to this case because the arbitration agreement between plaintiff and defendant states arbitration is to be governed by the Federal Arbitration Act.  There are several features of the agreement that make it ambiguous in this respect, however, so the majority includes an alternative rationale to bolster its bottom-line decision to reverse.  This alternative rationale—that section 1281.97 is preempted by the Federal Arbitration Act—creates a conflict with many other Court of Appeal decisions.</w:t>
      </w:r>
      <w:r w:rsidRPr="000362BA">
        <w:rPr>
          <w:rStyle w:val="FootnoteReference"/>
          <w:b/>
          <w:position w:val="6"/>
          <w:sz w:val="20"/>
        </w:rPr>
        <w:footnoteReference w:id="11"/>
      </w:r>
      <w:r>
        <w:t xml:space="preserve">  (See, e.g., </w:t>
      </w:r>
      <w:r w:rsidRPr="004A5A59">
        <w:rPr>
          <w:i/>
          <w:iCs/>
        </w:rPr>
        <w:t>Gallo v. Wood Ranch USA, Inc.</w:t>
      </w:r>
      <w:r>
        <w:t xml:space="preserve"> (2022) 81 Cal.App.5th 621.)</w:t>
      </w:r>
    </w:p>
    <w:p w14:paraId="5BF4F1C0" w14:textId="77777777" w:rsidR="001B23BF" w:rsidRDefault="001B23BF" w:rsidP="001B23BF">
      <w:pPr>
        <w:keepNext/>
      </w:pPr>
      <w:r>
        <w:tab/>
        <w:t>In my view, the arbitration agreement here is too ambiguous to conclude the Federal Arbitration Act fully applies.  But rather than elaborate on that point, I shall spend my time on the majority’s preemption conclusion because it is of greater doctrinal consequence.</w:t>
      </w:r>
    </w:p>
    <w:p w14:paraId="5EEB3D39" w14:textId="77777777" w:rsidR="001B23BF" w:rsidRDefault="001B23BF" w:rsidP="001B23BF">
      <w:r>
        <w:tab/>
        <w:t>Section 1281.97 is only preempted by the Federal Arbitration Act if it stands as an obstacle to accomplishing that act’s purposes.  (</w:t>
      </w:r>
      <w:r w:rsidRPr="00276409">
        <w:rPr>
          <w:i/>
          <w:iCs/>
        </w:rPr>
        <w:t>Volt Information Sciences, Inc. v. Board of Trustees of Leland Stanford Junior University</w:t>
      </w:r>
      <w:r>
        <w:t xml:space="preserve"> (1989) 489 U.S. 468, 477 [“The [Federal Arbitration Act] contains no express pre-emptive provision, nor does it reflect a congressional intent to occupy the entire field of arbitration.  [Citation.]  </w:t>
      </w:r>
      <w:r w:rsidRPr="00276409">
        <w:t xml:space="preserve">But even when Congress has not completely displaced state regulation in an </w:t>
      </w:r>
      <w:r w:rsidRPr="00276409">
        <w:lastRenderedPageBreak/>
        <w:t xml:space="preserve">area, state law may nonetheless be preempted to the extent that it </w:t>
      </w:r>
      <w:proofErr w:type="gramStart"/>
      <w:r w:rsidRPr="00276409">
        <w:t>actually conflicts</w:t>
      </w:r>
      <w:proofErr w:type="gramEnd"/>
      <w:r w:rsidRPr="00276409">
        <w:t xml:space="preserve"> with federal law—that is, to the extent that it </w:t>
      </w:r>
      <w:r>
        <w:t>‘</w:t>
      </w:r>
      <w:r w:rsidRPr="00276409">
        <w:t>stands as an obstacle to the accomplishment and execution of the full purposes and objectives of Congress</w:t>
      </w:r>
      <w:r>
        <w:t xml:space="preserve">’”].)  </w:t>
      </w:r>
      <w:r w:rsidRPr="004A5A59">
        <w:rPr>
          <w:i/>
          <w:iCs/>
        </w:rPr>
        <w:t>Gallo</w:t>
      </w:r>
      <w:r>
        <w:t xml:space="preserve"> explains the reasons why s</w:t>
      </w:r>
      <w:r w:rsidRPr="00164AAE">
        <w:t xml:space="preserve">ection 1281.97 </w:t>
      </w:r>
      <w:r>
        <w:t>is not such an obstacle.</w:t>
      </w:r>
      <w:r w:rsidRPr="000362BA">
        <w:rPr>
          <w:rStyle w:val="FootnoteReference"/>
          <w:b/>
          <w:position w:val="6"/>
          <w:sz w:val="20"/>
        </w:rPr>
        <w:footnoteReference w:id="12"/>
      </w:r>
      <w:r w:rsidRPr="000362BA">
        <w:rPr>
          <w:b/>
          <w:position w:val="6"/>
          <w:sz w:val="20"/>
        </w:rPr>
        <w:t xml:space="preserve"> </w:t>
      </w:r>
      <w:r>
        <w:t xml:space="preserve"> The majority states it disagrees with </w:t>
      </w:r>
      <w:r w:rsidRPr="004A5A59">
        <w:rPr>
          <w:i/>
          <w:iCs/>
        </w:rPr>
        <w:t>Gallo</w:t>
      </w:r>
      <w:r>
        <w:t xml:space="preserve"> and the other cases that similarly so hold, and as best I can tell, it gives a single reason to explain the disagreement.  The reason is not convincing.</w:t>
      </w:r>
    </w:p>
    <w:p w14:paraId="01989D49" w14:textId="77777777" w:rsidR="001B23BF" w:rsidRDefault="001B23BF" w:rsidP="001B23BF">
      <w:r>
        <w:tab/>
        <w:t>The majority believes section 1281.97 violates an “equal-treatment principle,” which it articulates as a principle that arbitration agreements may be invalidated based on generally applicable contract defenses but not based on legal rules that apply only to arbitration or derive their meaning from the fact that arbitration is at issue.  The majority asserts section 1281.97 offends this principle of equal treatment because it “</w:t>
      </w:r>
      <w:r w:rsidRPr="00E81C7B">
        <w:t>mandates findings of material breach and waiver for late payment that do not apply generally to all contracts or even to all arbitrations</w:t>
      </w:r>
      <w:r>
        <w:t>.”  Discerning what treatment constitutes equal treatment, however, depends on a judgment about whether two things being compared are sufficiently alike to warrant the same treatment.  Different treatment for contracts that have salient differences cannot offend the equal treatment principle.</w:t>
      </w:r>
    </w:p>
    <w:p w14:paraId="56D6AA5F" w14:textId="77777777" w:rsidR="001B23BF" w:rsidRDefault="001B23BF" w:rsidP="001B23BF">
      <w:r>
        <w:lastRenderedPageBreak/>
        <w:tab/>
        <w:t>One of the asserted benefits of arbitration—which the high court has explained the Federal Arbitration Act is meant to further—is the promise of faster dispute resolution.  (</w:t>
      </w:r>
      <w:r w:rsidRPr="0025776C">
        <w:rPr>
          <w:i/>
          <w:iCs/>
        </w:rPr>
        <w:t>Epic Systems Corp. v. Lewis</w:t>
      </w:r>
      <w:r>
        <w:t xml:space="preserve"> (2018) 584 U.S. 497, 505.)  The majority provides no reason to believe that the Legislature’s specification of a 30-day timeframe for what constitutes a material breach and waiver for consumer and employment disputes that are supposed to be resolved by the faster means of arbitration is meaningfully inconsistent with what properly constitutes a material breach and waiver for contracts </w:t>
      </w:r>
      <w:r w:rsidRPr="0075451C">
        <w:t>where time is of the essence</w:t>
      </w:r>
      <w:r>
        <w:rPr>
          <w:i/>
          <w:iCs/>
        </w:rPr>
        <w:softHyphen/>
        <w:t>—</w:t>
      </w:r>
      <w:r>
        <w:t>and that is the only category that matters for comparison purposes.</w:t>
      </w:r>
      <w:r w:rsidRPr="009A57BC">
        <w:rPr>
          <w:rStyle w:val="FootnoteReference"/>
          <w:b/>
          <w:position w:val="6"/>
          <w:sz w:val="20"/>
        </w:rPr>
        <w:footnoteReference w:id="13"/>
      </w:r>
      <w:r w:rsidRPr="009A57BC">
        <w:rPr>
          <w:b/>
          <w:position w:val="6"/>
          <w:sz w:val="20"/>
        </w:rPr>
        <w:t xml:space="preserve"> </w:t>
      </w:r>
      <w:r>
        <w:t xml:space="preserve"> Nor has the majority provided any reason to think the Legislature was unjustified in believing that delays for nonpayment of arbitration fees were most prevalent and problematic in certain consumer and employment arbitrations.</w:t>
      </w:r>
    </w:p>
    <w:p w14:paraId="0452E8D7" w14:textId="77777777" w:rsidR="001B23BF" w:rsidRDefault="001B23BF" w:rsidP="001B23BF">
      <w:pPr>
        <w:keepNext/>
      </w:pPr>
      <w:r>
        <w:tab/>
        <w:t xml:space="preserve">I accordingly believe the weight of authority in this area is correct.  Put simply, it is a real stretch—and a stretch too far—to </w:t>
      </w:r>
      <w:r>
        <w:lastRenderedPageBreak/>
        <w:t>say the Federal Arbitration Act is offended by a state law that requires prompt payment of arbitration fees.</w:t>
      </w:r>
    </w:p>
    <w:p w14:paraId="7BBB3560" w14:textId="77777777" w:rsidR="001B23BF" w:rsidRDefault="001B23BF" w:rsidP="001B23BF">
      <w:pPr>
        <w:keepNext/>
      </w:pPr>
    </w:p>
    <w:p w14:paraId="57FBA9B2" w14:textId="77777777" w:rsidR="001B23BF" w:rsidRDefault="001B23BF" w:rsidP="001B23BF">
      <w:pPr>
        <w:keepNext/>
      </w:pPr>
    </w:p>
    <w:p w14:paraId="6CA9FB63" w14:textId="77777777" w:rsidR="001B23BF" w:rsidRDefault="001B23BF" w:rsidP="001B23BF">
      <w:pPr>
        <w:keepNext/>
      </w:pPr>
    </w:p>
    <w:p w14:paraId="501DEA1E" w14:textId="77777777" w:rsidR="001B23BF" w:rsidRDefault="001B23BF" w:rsidP="001B23BF">
      <w:pPr>
        <w:keepNext/>
      </w:pPr>
    </w:p>
    <w:p w14:paraId="26AB6322" w14:textId="77777777" w:rsidR="001B23BF" w:rsidRDefault="001B23BF" w:rsidP="001B23BF">
      <w:pPr>
        <w:keepNext/>
        <w:jc w:val="center"/>
      </w:pPr>
      <w:r>
        <w:t>BAKER, Acting P. J.</w:t>
      </w:r>
    </w:p>
    <w:p w14:paraId="1806C7DA" w14:textId="77777777" w:rsidR="001B23BF" w:rsidRDefault="001B23BF" w:rsidP="001B23BF">
      <w:pPr>
        <w:keepNext/>
        <w:jc w:val="center"/>
      </w:pPr>
    </w:p>
    <w:p w14:paraId="572DA806" w14:textId="77777777" w:rsidR="001B23BF" w:rsidRDefault="001B23BF" w:rsidP="001B23BF">
      <w:pPr>
        <w:keepNext/>
        <w:jc w:val="center"/>
      </w:pPr>
    </w:p>
    <w:p w14:paraId="311B3C24" w14:textId="77777777" w:rsidR="00F41414" w:rsidRPr="00102C70" w:rsidRDefault="00F41414" w:rsidP="00C5238E">
      <w:pPr>
        <w:rPr>
          <w:szCs w:val="26"/>
        </w:rPr>
      </w:pPr>
    </w:p>
    <w:sectPr w:rsidR="00F41414" w:rsidRPr="00102C70" w:rsidSect="00841900">
      <w:footerReference w:type="default" r:id="rId14"/>
      <w:footerReference w:type="first" r:id="rId15"/>
      <w:footnotePr>
        <w:numRestart w:val="eachSect"/>
      </w:footnotePr>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BDBD" w14:textId="77777777" w:rsidR="009E664C" w:rsidRDefault="009E664C" w:rsidP="006B17A9">
      <w:pPr>
        <w:spacing w:line="240" w:lineRule="auto"/>
      </w:pPr>
      <w:r>
        <w:separator/>
      </w:r>
    </w:p>
  </w:endnote>
  <w:endnote w:type="continuationSeparator" w:id="0">
    <w:p w14:paraId="280437BC" w14:textId="77777777" w:rsidR="009E664C" w:rsidRDefault="009E664C" w:rsidP="006B17A9">
      <w:pPr>
        <w:spacing w:line="240" w:lineRule="auto"/>
      </w:pPr>
      <w:r>
        <w:continuationSeparator/>
      </w:r>
    </w:p>
  </w:endnote>
  <w:endnote w:type="continuationNotice" w:id="1">
    <w:p w14:paraId="1BDF45E8" w14:textId="77777777" w:rsidR="009E664C" w:rsidRDefault="009E66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6810" w14:textId="77777777" w:rsidR="008E1E84" w:rsidRDefault="008E1E84" w:rsidP="002441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E9B947" w14:textId="77777777" w:rsidR="008E1E84" w:rsidRDefault="008E1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19C9" w14:textId="388088CD" w:rsidR="008E1E84" w:rsidRDefault="008E1E84" w:rsidP="002441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3A80CD" w14:textId="7DEA7FF9" w:rsidR="006C115E" w:rsidRDefault="006C115E">
    <w:pPr>
      <w:pStyle w:val="Footer"/>
      <w:jc w:val="center"/>
    </w:pPr>
  </w:p>
  <w:p w14:paraId="0F635F79" w14:textId="77777777" w:rsidR="006C115E" w:rsidRDefault="006C11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FE5E" w14:textId="77777777" w:rsidR="005F229F" w:rsidRDefault="005F22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368891"/>
      <w:docPartObj>
        <w:docPartGallery w:val="Page Numbers (Bottom of Page)"/>
        <w:docPartUnique/>
      </w:docPartObj>
    </w:sdtPr>
    <w:sdtEndPr>
      <w:rPr>
        <w:noProof/>
      </w:rPr>
    </w:sdtEndPr>
    <w:sdtContent>
      <w:p w14:paraId="61605909" w14:textId="77777777" w:rsidR="00FF6C2E" w:rsidRDefault="00FF6C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44AA6D" w14:textId="77777777" w:rsidR="00FF6C2E" w:rsidRDefault="00FF6C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3545" w14:textId="23D305D5" w:rsidR="00841900" w:rsidRDefault="00841900">
    <w:pPr>
      <w:pStyle w:val="Footer"/>
      <w:jc w:val="center"/>
    </w:pPr>
  </w:p>
  <w:p w14:paraId="2F754104" w14:textId="77777777" w:rsidR="00FF6C2E" w:rsidRDefault="00FF6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9241" w14:textId="77777777" w:rsidR="009E664C" w:rsidRDefault="009E664C" w:rsidP="006B17A9">
      <w:pPr>
        <w:spacing w:line="240" w:lineRule="auto"/>
      </w:pPr>
      <w:r>
        <w:separator/>
      </w:r>
    </w:p>
  </w:footnote>
  <w:footnote w:type="continuationSeparator" w:id="0">
    <w:p w14:paraId="71D225E4" w14:textId="77777777" w:rsidR="009E664C" w:rsidRDefault="009E664C" w:rsidP="006B17A9">
      <w:pPr>
        <w:spacing w:line="240" w:lineRule="auto"/>
      </w:pPr>
      <w:r>
        <w:continuationSeparator/>
      </w:r>
    </w:p>
  </w:footnote>
  <w:footnote w:type="continuationNotice" w:id="1">
    <w:p w14:paraId="1702D1C3" w14:textId="77777777" w:rsidR="009E664C" w:rsidRDefault="009E664C">
      <w:pPr>
        <w:spacing w:line="240" w:lineRule="auto"/>
      </w:pPr>
    </w:p>
  </w:footnote>
  <w:footnote w:id="2">
    <w:p w14:paraId="4D1C3532" w14:textId="2488E60A" w:rsidR="00A15408" w:rsidRPr="00C37975" w:rsidRDefault="00C37975">
      <w:pPr>
        <w:pStyle w:val="FootnoteText"/>
        <w:rPr>
          <w:sz w:val="26"/>
          <w:szCs w:val="26"/>
        </w:rPr>
      </w:pPr>
      <w:r>
        <w:rPr>
          <w:sz w:val="26"/>
          <w:szCs w:val="26"/>
        </w:rPr>
        <w:tab/>
      </w:r>
      <w:r w:rsidR="00A15408" w:rsidRPr="00A20DFD">
        <w:rPr>
          <w:rStyle w:val="FootnoteReference"/>
          <w:b/>
          <w:position w:val="8"/>
          <w:szCs w:val="26"/>
          <w:vertAlign w:val="baseline"/>
        </w:rPr>
        <w:footnoteRef/>
      </w:r>
      <w:r w:rsidR="00A15408" w:rsidRPr="00A20DFD">
        <w:rPr>
          <w:b/>
          <w:position w:val="8"/>
          <w:szCs w:val="26"/>
        </w:rPr>
        <w:t xml:space="preserve"> </w:t>
      </w:r>
      <w:r w:rsidRPr="00C37975">
        <w:rPr>
          <w:sz w:val="26"/>
          <w:szCs w:val="26"/>
        </w:rPr>
        <w:t xml:space="preserve">All </w:t>
      </w:r>
      <w:r w:rsidR="00791E09">
        <w:rPr>
          <w:sz w:val="26"/>
          <w:szCs w:val="26"/>
        </w:rPr>
        <w:t>further</w:t>
      </w:r>
      <w:r w:rsidRPr="00C37975">
        <w:rPr>
          <w:sz w:val="26"/>
          <w:szCs w:val="26"/>
        </w:rPr>
        <w:t xml:space="preserve"> statutory references are to the </w:t>
      </w:r>
      <w:r w:rsidR="00CD7DED">
        <w:rPr>
          <w:sz w:val="26"/>
          <w:szCs w:val="26"/>
        </w:rPr>
        <w:t xml:space="preserve">California </w:t>
      </w:r>
      <w:r w:rsidRPr="00C37975">
        <w:rPr>
          <w:sz w:val="26"/>
          <w:szCs w:val="26"/>
        </w:rPr>
        <w:t>Code of Civil Procedure</w:t>
      </w:r>
      <w:r w:rsidR="00791E09">
        <w:rPr>
          <w:sz w:val="26"/>
          <w:szCs w:val="26"/>
        </w:rPr>
        <w:t xml:space="preserve"> unless otherwise stated.</w:t>
      </w:r>
    </w:p>
  </w:footnote>
  <w:footnote w:id="3">
    <w:p w14:paraId="28ACCEF7" w14:textId="2304835D" w:rsidR="00F25833" w:rsidRPr="002A721D" w:rsidRDefault="00CE2F10" w:rsidP="00795E03">
      <w:pPr>
        <w:pStyle w:val="FootnoteText"/>
        <w:rPr>
          <w:sz w:val="26"/>
          <w:szCs w:val="26"/>
        </w:rPr>
      </w:pPr>
      <w:r>
        <w:rPr>
          <w:sz w:val="26"/>
          <w:szCs w:val="26"/>
        </w:rPr>
        <w:tab/>
      </w:r>
      <w:r w:rsidR="00F25833" w:rsidRPr="002A721D">
        <w:rPr>
          <w:rStyle w:val="FootnoteReference"/>
          <w:b/>
          <w:bCs/>
          <w:sz w:val="26"/>
          <w:szCs w:val="26"/>
        </w:rPr>
        <w:footnoteRef/>
      </w:r>
      <w:r w:rsidR="00F25833" w:rsidRPr="002A721D">
        <w:rPr>
          <w:sz w:val="26"/>
          <w:szCs w:val="26"/>
        </w:rPr>
        <w:t xml:space="preserve"> Section</w:t>
      </w:r>
      <w:r w:rsidRPr="002A721D">
        <w:rPr>
          <w:sz w:val="26"/>
          <w:szCs w:val="26"/>
        </w:rPr>
        <w:t xml:space="preserve"> 904.1 states in full</w:t>
      </w:r>
      <w:proofErr w:type="gramStart"/>
      <w:r w:rsidRPr="002A721D">
        <w:rPr>
          <w:sz w:val="26"/>
          <w:szCs w:val="26"/>
        </w:rPr>
        <w:t>:  “</w:t>
      </w:r>
      <w:proofErr w:type="gramEnd"/>
      <w:r w:rsidRPr="00CE2F10">
        <w:rPr>
          <w:sz w:val="26"/>
          <w:szCs w:val="26"/>
        </w:rPr>
        <w:t>(a) An appeal, other than in a limited civil case, is to the court of appeal.  An appeal, other than in a limited civil case, may be taken from any of the following</w:t>
      </w:r>
      <w:proofErr w:type="gramStart"/>
      <w:r w:rsidRPr="00CE2F10">
        <w:rPr>
          <w:sz w:val="26"/>
          <w:szCs w:val="26"/>
        </w:rPr>
        <w:t>:</w:t>
      </w:r>
      <w:r w:rsidR="00AF2E35">
        <w:rPr>
          <w:sz w:val="26"/>
          <w:szCs w:val="26"/>
        </w:rPr>
        <w:t xml:space="preserve">  </w:t>
      </w:r>
      <w:bookmarkStart w:id="10" w:name="_Hlk161306601"/>
      <w:r w:rsidR="00AF2E35">
        <w:rPr>
          <w:sz w:val="26"/>
          <w:szCs w:val="26"/>
        </w:rPr>
        <w:t>[</w:t>
      </w:r>
      <w:proofErr w:type="gramEnd"/>
      <w:r w:rsidR="00AF2E35">
        <w:rPr>
          <w:sz w:val="26"/>
          <w:szCs w:val="26"/>
        </w:rPr>
        <w:t>¶]</w:t>
      </w:r>
      <w:bookmarkEnd w:id="10"/>
      <w:r w:rsidR="00795E03">
        <w:rPr>
          <w:sz w:val="26"/>
          <w:szCs w:val="26"/>
        </w:rPr>
        <w:t xml:space="preserve"> </w:t>
      </w:r>
      <w:r w:rsidRPr="00CE2F10">
        <w:rPr>
          <w:sz w:val="26"/>
          <w:szCs w:val="26"/>
        </w:rPr>
        <w:t>(1) From a judgment, except an interlocutory judgment, other than as provided in paragraphs (8), (9), and (11), or a judgment of contempt that is made final and conclusive by Section 1222.</w:t>
      </w:r>
      <w:r w:rsidR="00AE799E">
        <w:rPr>
          <w:sz w:val="26"/>
          <w:szCs w:val="26"/>
        </w:rPr>
        <w:t xml:space="preserve"> </w:t>
      </w:r>
      <w:r w:rsidR="00795E03" w:rsidRPr="00795E03">
        <w:rPr>
          <w:sz w:val="26"/>
          <w:szCs w:val="26"/>
        </w:rPr>
        <w:t xml:space="preserve"> [¶]</w:t>
      </w:r>
      <w:r w:rsidR="00795E03">
        <w:rPr>
          <w:sz w:val="26"/>
          <w:szCs w:val="26"/>
        </w:rPr>
        <w:t xml:space="preserve"> </w:t>
      </w:r>
      <w:r w:rsidRPr="00CE2F10">
        <w:rPr>
          <w:sz w:val="26"/>
          <w:szCs w:val="26"/>
        </w:rPr>
        <w:t>(2) From an order made after a judgment made appealable by paragraph (1</w:t>
      </w:r>
      <w:proofErr w:type="gramStart"/>
      <w:r w:rsidRPr="00CE2F10">
        <w:rPr>
          <w:sz w:val="26"/>
          <w:szCs w:val="26"/>
        </w:rPr>
        <w:t>)</w:t>
      </w:r>
      <w:r w:rsidR="00500F6C">
        <w:rPr>
          <w:sz w:val="26"/>
          <w:szCs w:val="26"/>
        </w:rPr>
        <w:t xml:space="preserve">  </w:t>
      </w:r>
      <w:r w:rsidR="00795E03" w:rsidRPr="00795E03">
        <w:rPr>
          <w:sz w:val="26"/>
          <w:szCs w:val="26"/>
        </w:rPr>
        <w:t>[</w:t>
      </w:r>
      <w:proofErr w:type="gramEnd"/>
      <w:r w:rsidR="00795E03" w:rsidRPr="00795E03">
        <w:rPr>
          <w:sz w:val="26"/>
          <w:szCs w:val="26"/>
        </w:rPr>
        <w:t>¶]</w:t>
      </w:r>
      <w:r w:rsidR="00795E03">
        <w:rPr>
          <w:sz w:val="26"/>
          <w:szCs w:val="26"/>
        </w:rPr>
        <w:t xml:space="preserve"> </w:t>
      </w:r>
      <w:r w:rsidRPr="00CE2F10">
        <w:rPr>
          <w:sz w:val="26"/>
          <w:szCs w:val="26"/>
        </w:rPr>
        <w:t>(3) From an order granting a motion to quash service of summons or granting a motion to stay the action on the ground of inconvenient forum, or from a written order of dismissal under Section 581d following an order granting a motion to dismiss the action on the ground of inconvenient forum.</w:t>
      </w:r>
      <w:r w:rsidR="00E220FD">
        <w:rPr>
          <w:sz w:val="26"/>
          <w:szCs w:val="26"/>
        </w:rPr>
        <w:t xml:space="preserve">  </w:t>
      </w:r>
      <w:r w:rsidR="00795E03" w:rsidRPr="00795E03">
        <w:rPr>
          <w:sz w:val="26"/>
          <w:szCs w:val="26"/>
        </w:rPr>
        <w:t>[¶]</w:t>
      </w:r>
      <w:r w:rsidR="00795E03">
        <w:rPr>
          <w:sz w:val="26"/>
          <w:szCs w:val="26"/>
        </w:rPr>
        <w:t xml:space="preserve"> </w:t>
      </w:r>
      <w:r w:rsidRPr="00CE2F10">
        <w:rPr>
          <w:sz w:val="26"/>
          <w:szCs w:val="26"/>
        </w:rPr>
        <w:t>(4) From an order granting a new trial or denying a motion for judgment notwithstanding the verdict.</w:t>
      </w:r>
      <w:r w:rsidR="00795E03">
        <w:rPr>
          <w:sz w:val="26"/>
          <w:szCs w:val="26"/>
        </w:rPr>
        <w:t xml:space="preserve"> </w:t>
      </w:r>
      <w:r w:rsidR="00566520">
        <w:rPr>
          <w:sz w:val="26"/>
          <w:szCs w:val="26"/>
        </w:rPr>
        <w:t xml:space="preserve"> </w:t>
      </w:r>
      <w:r w:rsidR="00795E03" w:rsidRPr="00795E03">
        <w:rPr>
          <w:sz w:val="26"/>
          <w:szCs w:val="26"/>
        </w:rPr>
        <w:t>[¶]</w:t>
      </w:r>
      <w:r w:rsidR="00322348">
        <w:rPr>
          <w:sz w:val="26"/>
          <w:szCs w:val="26"/>
        </w:rPr>
        <w:t> </w:t>
      </w:r>
      <w:r w:rsidRPr="00CE2F10">
        <w:rPr>
          <w:sz w:val="26"/>
          <w:szCs w:val="26"/>
        </w:rPr>
        <w:t>(5) From an order discharging or refusing to discharge an attachment or granting a right to attach order.</w:t>
      </w:r>
      <w:r w:rsidR="00795E03">
        <w:rPr>
          <w:sz w:val="26"/>
          <w:szCs w:val="26"/>
        </w:rPr>
        <w:t xml:space="preserve"> </w:t>
      </w:r>
      <w:r w:rsidR="00AE799E">
        <w:rPr>
          <w:sz w:val="26"/>
          <w:szCs w:val="26"/>
        </w:rPr>
        <w:t xml:space="preserve"> </w:t>
      </w:r>
      <w:r w:rsidR="00795E03" w:rsidRPr="00795E03">
        <w:rPr>
          <w:sz w:val="26"/>
          <w:szCs w:val="26"/>
        </w:rPr>
        <w:t xml:space="preserve">[¶] </w:t>
      </w:r>
      <w:r w:rsidRPr="00CE2F10">
        <w:rPr>
          <w:sz w:val="26"/>
          <w:szCs w:val="26"/>
        </w:rPr>
        <w:t xml:space="preserve">(6) From an order granting or dissolving an </w:t>
      </w:r>
      <w:proofErr w:type="gramStart"/>
      <w:r w:rsidRPr="00CE2F10">
        <w:rPr>
          <w:sz w:val="26"/>
          <w:szCs w:val="26"/>
        </w:rPr>
        <w:t>injunction, or</w:t>
      </w:r>
      <w:proofErr w:type="gramEnd"/>
      <w:r w:rsidRPr="00CE2F10">
        <w:rPr>
          <w:sz w:val="26"/>
          <w:szCs w:val="26"/>
        </w:rPr>
        <w:t xml:space="preserve"> refusing to grant or dissolve an injunction.</w:t>
      </w:r>
      <w:r w:rsidR="00795E03">
        <w:rPr>
          <w:sz w:val="26"/>
          <w:szCs w:val="26"/>
        </w:rPr>
        <w:t xml:space="preserve"> </w:t>
      </w:r>
      <w:r w:rsidR="00AE799E">
        <w:rPr>
          <w:sz w:val="26"/>
          <w:szCs w:val="26"/>
        </w:rPr>
        <w:t xml:space="preserve"> </w:t>
      </w:r>
      <w:r w:rsidR="00795E03" w:rsidRPr="00795E03">
        <w:rPr>
          <w:sz w:val="26"/>
          <w:szCs w:val="26"/>
        </w:rPr>
        <w:t xml:space="preserve">[¶] </w:t>
      </w:r>
      <w:r w:rsidRPr="00CE2F10">
        <w:rPr>
          <w:sz w:val="26"/>
          <w:szCs w:val="26"/>
        </w:rPr>
        <w:t>(7) From an order appointing a receiver.</w:t>
      </w:r>
      <w:r w:rsidR="00566520">
        <w:rPr>
          <w:sz w:val="26"/>
          <w:szCs w:val="26"/>
        </w:rPr>
        <w:t xml:space="preserve"> </w:t>
      </w:r>
      <w:r w:rsidR="00795E03">
        <w:rPr>
          <w:sz w:val="26"/>
          <w:szCs w:val="26"/>
        </w:rPr>
        <w:t xml:space="preserve"> </w:t>
      </w:r>
      <w:r w:rsidR="00795E03" w:rsidRPr="00795E03">
        <w:rPr>
          <w:sz w:val="26"/>
          <w:szCs w:val="26"/>
        </w:rPr>
        <w:t xml:space="preserve">[¶] </w:t>
      </w:r>
      <w:r w:rsidRPr="00CE2F10">
        <w:rPr>
          <w:sz w:val="26"/>
          <w:szCs w:val="26"/>
        </w:rPr>
        <w:t>(8) From an interlocutory judgment, order, or decree, made or entered in an action to redeem real or personal property from a mortgage thereof, or a lien thereon, determining the right to redeem and directing an accounting.</w:t>
      </w:r>
      <w:r w:rsidR="00795E03">
        <w:rPr>
          <w:sz w:val="26"/>
          <w:szCs w:val="26"/>
        </w:rPr>
        <w:t xml:space="preserve"> </w:t>
      </w:r>
      <w:r w:rsidR="00AE799E">
        <w:rPr>
          <w:sz w:val="26"/>
          <w:szCs w:val="26"/>
        </w:rPr>
        <w:t xml:space="preserve"> </w:t>
      </w:r>
      <w:r w:rsidR="00795E03" w:rsidRPr="00795E03">
        <w:rPr>
          <w:sz w:val="26"/>
          <w:szCs w:val="26"/>
        </w:rPr>
        <w:t xml:space="preserve">[¶] </w:t>
      </w:r>
      <w:r w:rsidRPr="00CE2F10">
        <w:rPr>
          <w:sz w:val="26"/>
          <w:szCs w:val="26"/>
        </w:rPr>
        <w:t>(9) From an interlocutory judgment in an action for partition determining the rights and interests of the respective parties and directing partition to be made.</w:t>
      </w:r>
      <w:r w:rsidR="00795E03">
        <w:rPr>
          <w:sz w:val="26"/>
          <w:szCs w:val="26"/>
        </w:rPr>
        <w:t xml:space="preserve"> </w:t>
      </w:r>
      <w:r w:rsidR="00AE799E">
        <w:rPr>
          <w:sz w:val="26"/>
          <w:szCs w:val="26"/>
        </w:rPr>
        <w:t xml:space="preserve"> </w:t>
      </w:r>
      <w:r w:rsidR="00795E03" w:rsidRPr="00795E03">
        <w:rPr>
          <w:sz w:val="26"/>
          <w:szCs w:val="26"/>
        </w:rPr>
        <w:t xml:space="preserve">[¶] </w:t>
      </w:r>
      <w:r w:rsidRPr="00CE2F10">
        <w:rPr>
          <w:sz w:val="26"/>
          <w:szCs w:val="26"/>
        </w:rPr>
        <w:t>(10) From an order made appealable by the Probate Code or the Family Code.</w:t>
      </w:r>
      <w:r w:rsidR="00566520">
        <w:rPr>
          <w:sz w:val="26"/>
          <w:szCs w:val="26"/>
        </w:rPr>
        <w:t xml:space="preserve"> </w:t>
      </w:r>
      <w:r w:rsidR="00795E03">
        <w:rPr>
          <w:sz w:val="26"/>
          <w:szCs w:val="26"/>
        </w:rPr>
        <w:t xml:space="preserve"> </w:t>
      </w:r>
      <w:r w:rsidR="00795E03" w:rsidRPr="00795E03">
        <w:rPr>
          <w:sz w:val="26"/>
          <w:szCs w:val="26"/>
        </w:rPr>
        <w:t xml:space="preserve">[¶] </w:t>
      </w:r>
      <w:r w:rsidRPr="00CE2F10">
        <w:rPr>
          <w:sz w:val="26"/>
          <w:szCs w:val="26"/>
        </w:rPr>
        <w:t>(11) From an interlocutory judgment directing payment of monetary sanctions by a party or an attorney for a party if the amount exceeds five thousand dollars ($5,000).</w:t>
      </w:r>
      <w:r w:rsidR="00795E03">
        <w:rPr>
          <w:sz w:val="26"/>
          <w:szCs w:val="26"/>
        </w:rPr>
        <w:t xml:space="preserve"> </w:t>
      </w:r>
      <w:r w:rsidR="00AE799E">
        <w:rPr>
          <w:sz w:val="26"/>
          <w:szCs w:val="26"/>
        </w:rPr>
        <w:t xml:space="preserve"> </w:t>
      </w:r>
      <w:r w:rsidR="00795E03" w:rsidRPr="00795E03">
        <w:rPr>
          <w:sz w:val="26"/>
          <w:szCs w:val="26"/>
        </w:rPr>
        <w:t xml:space="preserve">[¶] </w:t>
      </w:r>
      <w:r w:rsidRPr="00CE2F10">
        <w:rPr>
          <w:sz w:val="26"/>
          <w:szCs w:val="26"/>
        </w:rPr>
        <w:t>(12) From an order directing payment of monetary sanctions by a party or an attorney for a party if the amount exceeds five thousand dollars ($5,000).</w:t>
      </w:r>
      <w:r w:rsidR="00795E03">
        <w:rPr>
          <w:sz w:val="26"/>
          <w:szCs w:val="26"/>
        </w:rPr>
        <w:t xml:space="preserve"> </w:t>
      </w:r>
      <w:r w:rsidR="00AE799E">
        <w:rPr>
          <w:sz w:val="26"/>
          <w:szCs w:val="26"/>
        </w:rPr>
        <w:t xml:space="preserve"> </w:t>
      </w:r>
      <w:r w:rsidR="00795E03" w:rsidRPr="00795E03">
        <w:rPr>
          <w:sz w:val="26"/>
          <w:szCs w:val="26"/>
        </w:rPr>
        <w:t>[¶]</w:t>
      </w:r>
      <w:r w:rsidR="00322348">
        <w:rPr>
          <w:sz w:val="26"/>
          <w:szCs w:val="26"/>
        </w:rPr>
        <w:t> </w:t>
      </w:r>
      <w:r w:rsidRPr="00CE2F10">
        <w:rPr>
          <w:sz w:val="26"/>
          <w:szCs w:val="26"/>
        </w:rPr>
        <w:t>(13) From an order granting or denying a special motion to strike under Sections 425.16 and 425.19.</w:t>
      </w:r>
      <w:r w:rsidR="00795E03">
        <w:rPr>
          <w:sz w:val="26"/>
          <w:szCs w:val="26"/>
        </w:rPr>
        <w:t xml:space="preserve"> </w:t>
      </w:r>
      <w:r w:rsidR="00AE799E">
        <w:rPr>
          <w:sz w:val="26"/>
          <w:szCs w:val="26"/>
        </w:rPr>
        <w:t xml:space="preserve"> </w:t>
      </w:r>
      <w:r w:rsidR="00795E03" w:rsidRPr="00795E03">
        <w:rPr>
          <w:sz w:val="26"/>
          <w:szCs w:val="26"/>
        </w:rPr>
        <w:t xml:space="preserve">[¶] </w:t>
      </w:r>
      <w:r w:rsidRPr="00CE2F10">
        <w:rPr>
          <w:sz w:val="26"/>
          <w:szCs w:val="26"/>
        </w:rPr>
        <w:t>(14) From a final order or judgment in a bifurcated proceeding regarding child custody or visitation rights.</w:t>
      </w:r>
      <w:r w:rsidR="00795E03">
        <w:rPr>
          <w:sz w:val="26"/>
          <w:szCs w:val="26"/>
        </w:rPr>
        <w:t xml:space="preserve"> </w:t>
      </w:r>
      <w:bookmarkStart w:id="11" w:name="_Hlk161308385"/>
      <w:r w:rsidR="00AE799E">
        <w:rPr>
          <w:sz w:val="26"/>
          <w:szCs w:val="26"/>
        </w:rPr>
        <w:t xml:space="preserve"> </w:t>
      </w:r>
      <w:r w:rsidR="00795E03" w:rsidRPr="00795E03">
        <w:rPr>
          <w:sz w:val="26"/>
          <w:szCs w:val="26"/>
        </w:rPr>
        <w:t>[¶]</w:t>
      </w:r>
      <w:bookmarkEnd w:id="11"/>
      <w:r w:rsidR="00795E03" w:rsidRPr="00795E03">
        <w:rPr>
          <w:sz w:val="26"/>
          <w:szCs w:val="26"/>
        </w:rPr>
        <w:t xml:space="preserve"> </w:t>
      </w:r>
      <w:r w:rsidRPr="00CE2F10">
        <w:rPr>
          <w:sz w:val="26"/>
          <w:szCs w:val="26"/>
        </w:rPr>
        <w:t>(b) Sanction orders or judgments of five thousand dollars ($5,000) or less against a party or an attorney for a party may be reviewed on an appeal by that party after entry of final judgment in the main action, or, at the discretion of the court of appeal, may be reviewed upon petition for an extraordinary writ.</w:t>
      </w:r>
      <w:r w:rsidR="00795E03">
        <w:rPr>
          <w:sz w:val="26"/>
          <w:szCs w:val="26"/>
        </w:rPr>
        <w:t>”</w:t>
      </w:r>
    </w:p>
  </w:footnote>
  <w:footnote w:id="4">
    <w:p w14:paraId="2A6CBCF4" w14:textId="129B0750" w:rsidR="004605FB" w:rsidRPr="002A721D" w:rsidRDefault="00EC7199" w:rsidP="0044250F">
      <w:pPr>
        <w:pStyle w:val="FootnoteText"/>
        <w:rPr>
          <w:sz w:val="26"/>
          <w:szCs w:val="26"/>
        </w:rPr>
      </w:pPr>
      <w:r>
        <w:rPr>
          <w:sz w:val="26"/>
          <w:szCs w:val="26"/>
        </w:rPr>
        <w:tab/>
      </w:r>
      <w:r w:rsidR="004605FB" w:rsidRPr="009D4660">
        <w:rPr>
          <w:rStyle w:val="FootnoteReference"/>
          <w:b/>
          <w:bCs/>
          <w:position w:val="8"/>
          <w:szCs w:val="26"/>
          <w:vertAlign w:val="baseline"/>
        </w:rPr>
        <w:footnoteRef/>
      </w:r>
      <w:r w:rsidR="004605FB" w:rsidRPr="009D4660">
        <w:rPr>
          <w:position w:val="8"/>
          <w:szCs w:val="26"/>
        </w:rPr>
        <w:t xml:space="preserve"> </w:t>
      </w:r>
      <w:r w:rsidR="001468DD" w:rsidRPr="001468DD">
        <w:rPr>
          <w:sz w:val="26"/>
          <w:szCs w:val="26"/>
        </w:rPr>
        <w:t xml:space="preserve">An order denying a stay of litigation pending </w:t>
      </w:r>
      <w:r w:rsidR="0082625D">
        <w:rPr>
          <w:sz w:val="26"/>
          <w:szCs w:val="26"/>
        </w:rPr>
        <w:t>arbitration</w:t>
      </w:r>
      <w:r w:rsidR="001468DD" w:rsidRPr="001468DD">
        <w:rPr>
          <w:sz w:val="26"/>
          <w:szCs w:val="26"/>
        </w:rPr>
        <w:t xml:space="preserve"> is reviewable, however, in connection with an appeal from another appealable order or judgment.</w:t>
      </w:r>
      <w:r w:rsidR="00E81D35">
        <w:rPr>
          <w:sz w:val="26"/>
          <w:szCs w:val="26"/>
        </w:rPr>
        <w:t xml:space="preserve"> </w:t>
      </w:r>
      <w:r w:rsidR="001468DD">
        <w:rPr>
          <w:sz w:val="26"/>
          <w:szCs w:val="26"/>
        </w:rPr>
        <w:t xml:space="preserve"> </w:t>
      </w:r>
      <w:r w:rsidR="007C1B73" w:rsidRPr="007C1B73">
        <w:rPr>
          <w:sz w:val="26"/>
          <w:szCs w:val="26"/>
        </w:rPr>
        <w:t>(</w:t>
      </w:r>
      <w:r w:rsidR="007C1B73" w:rsidRPr="007C1B73">
        <w:rPr>
          <w:i/>
          <w:iCs/>
          <w:sz w:val="26"/>
          <w:szCs w:val="26"/>
        </w:rPr>
        <w:t>MKJA, Inc. v. 123 Fit Franchising, LLC</w:t>
      </w:r>
      <w:r w:rsidR="007C1B73" w:rsidRPr="007C1B73">
        <w:rPr>
          <w:sz w:val="26"/>
          <w:szCs w:val="26"/>
        </w:rPr>
        <w:t xml:space="preserve"> (2011) 191 Cal.App.4th 643, 655.) </w:t>
      </w:r>
      <w:r w:rsidR="001468DD">
        <w:rPr>
          <w:sz w:val="26"/>
          <w:szCs w:val="26"/>
        </w:rPr>
        <w:t xml:space="preserve"> S</w:t>
      </w:r>
      <w:r w:rsidR="0044250F" w:rsidRPr="002A721D">
        <w:rPr>
          <w:sz w:val="26"/>
          <w:szCs w:val="26"/>
        </w:rPr>
        <w:t xml:space="preserve">ection 1294.2 </w:t>
      </w:r>
      <w:r w:rsidR="00631871">
        <w:rPr>
          <w:sz w:val="26"/>
          <w:szCs w:val="26"/>
        </w:rPr>
        <w:t xml:space="preserve">of the CAA </w:t>
      </w:r>
      <w:r w:rsidR="0044250F" w:rsidRPr="002A721D">
        <w:rPr>
          <w:sz w:val="26"/>
          <w:szCs w:val="26"/>
        </w:rPr>
        <w:t>provides in pertinent part</w:t>
      </w:r>
      <w:proofErr w:type="gramStart"/>
      <w:r w:rsidR="0044250F" w:rsidRPr="002A721D">
        <w:rPr>
          <w:sz w:val="26"/>
          <w:szCs w:val="26"/>
        </w:rPr>
        <w:t>:  “</w:t>
      </w:r>
      <w:proofErr w:type="gramEnd"/>
      <w:r w:rsidR="0044250F" w:rsidRPr="002A721D">
        <w:rPr>
          <w:sz w:val="26"/>
          <w:szCs w:val="26"/>
        </w:rPr>
        <w:t>Upon an appeal from any order or judgment under this title, the court may review the decision and any intermediate ruling, proceeding, order or decision which involves the merits or necessarily affects the order or judgment appealed from, or which substantially affects the rights of a party.</w:t>
      </w:r>
      <w:r w:rsidRPr="002A721D">
        <w:rPr>
          <w:sz w:val="26"/>
          <w:szCs w:val="26"/>
        </w:rPr>
        <w:t>”</w:t>
      </w:r>
    </w:p>
  </w:footnote>
  <w:footnote w:id="5">
    <w:p w14:paraId="25C1631E" w14:textId="5FC8517C" w:rsidR="00775A10" w:rsidRPr="00CC2357" w:rsidRDefault="00775A10" w:rsidP="00775A10">
      <w:pPr>
        <w:pStyle w:val="FootnoteText"/>
        <w:rPr>
          <w:sz w:val="26"/>
          <w:szCs w:val="26"/>
        </w:rPr>
      </w:pPr>
      <w:r>
        <w:rPr>
          <w:sz w:val="26"/>
          <w:szCs w:val="26"/>
        </w:rPr>
        <w:tab/>
      </w:r>
      <w:r w:rsidRPr="005C6EFE">
        <w:rPr>
          <w:rStyle w:val="FootnoteReference"/>
          <w:b/>
          <w:bCs/>
          <w:position w:val="8"/>
          <w:szCs w:val="26"/>
          <w:vertAlign w:val="baseline"/>
        </w:rPr>
        <w:footnoteRef/>
      </w:r>
      <w:r w:rsidRPr="005C6EFE">
        <w:rPr>
          <w:position w:val="8"/>
          <w:szCs w:val="26"/>
        </w:rPr>
        <w:t xml:space="preserve"> </w:t>
      </w:r>
      <w:r w:rsidRPr="00CC2357">
        <w:rPr>
          <w:sz w:val="26"/>
          <w:szCs w:val="26"/>
        </w:rPr>
        <w:t xml:space="preserve">An analysis of Senate Bill 365 </w:t>
      </w:r>
      <w:r w:rsidR="00145292">
        <w:rPr>
          <w:sz w:val="26"/>
          <w:szCs w:val="26"/>
        </w:rPr>
        <w:t xml:space="preserve">(SB 365) </w:t>
      </w:r>
      <w:r w:rsidRPr="00CC2357">
        <w:rPr>
          <w:sz w:val="26"/>
          <w:szCs w:val="26"/>
        </w:rPr>
        <w:t xml:space="preserve">prepared for the Senate Judiciary Committee states the purpose </w:t>
      </w:r>
      <w:r>
        <w:rPr>
          <w:sz w:val="26"/>
          <w:szCs w:val="26"/>
        </w:rPr>
        <w:t>of the bill</w:t>
      </w:r>
      <w:r w:rsidRPr="00CC2357">
        <w:rPr>
          <w:sz w:val="26"/>
          <w:szCs w:val="26"/>
        </w:rPr>
        <w:t xml:space="preserve"> </w:t>
      </w:r>
      <w:r>
        <w:rPr>
          <w:sz w:val="26"/>
          <w:szCs w:val="26"/>
        </w:rPr>
        <w:t xml:space="preserve">as follows </w:t>
      </w:r>
      <w:r w:rsidRPr="00CC2357">
        <w:rPr>
          <w:sz w:val="26"/>
          <w:szCs w:val="26"/>
        </w:rPr>
        <w:t>in pertinent part</w:t>
      </w:r>
      <w:proofErr w:type="gramStart"/>
      <w:r w:rsidRPr="00CC2357">
        <w:rPr>
          <w:sz w:val="26"/>
          <w:szCs w:val="26"/>
        </w:rPr>
        <w:t>:  “</w:t>
      </w:r>
      <w:proofErr w:type="gramEnd"/>
      <w:r w:rsidRPr="00CC2357">
        <w:rPr>
          <w:sz w:val="26"/>
          <w:szCs w:val="26"/>
        </w:rPr>
        <w:t>Current law allows corporate defendants to pause a consumer, government, or worker’s case by simply filing an appeal of a trial court’s denial of a motion to compel arbitration.  Through this process, powerful corporations delay cases filed against them for typically one to three years.  This bill allows consumers, governments, or workers to move their case forward if a company files an appeal, rather than waiting for years while the appeal is heard.  SB 365 will level the playing field for consumers, governments, and workers who deserve to move their case forward when a company or employer violates their rights.”  (</w:t>
      </w:r>
      <w:r w:rsidRPr="009C4CC4">
        <w:rPr>
          <w:sz w:val="26"/>
          <w:szCs w:val="26"/>
        </w:rPr>
        <w:t>Sen. Com. on Judiciary, Analysis of SB 365 (2023-2024 Reg. Sess.) April 7, 2023, p. 6.)</w:t>
      </w:r>
    </w:p>
  </w:footnote>
  <w:footnote w:id="6">
    <w:p w14:paraId="70A184F1" w14:textId="2FEC58C6" w:rsidR="000008C3" w:rsidRDefault="000008C3" w:rsidP="000008C3">
      <w:pPr>
        <w:spacing w:line="240" w:lineRule="auto"/>
        <w:rPr>
          <w:szCs w:val="26"/>
        </w:rPr>
      </w:pPr>
      <w:r>
        <w:tab/>
      </w:r>
      <w:r w:rsidRPr="00791939">
        <w:rPr>
          <w:rStyle w:val="FootnoteReference"/>
          <w:b/>
          <w:bCs/>
          <w:position w:val="8"/>
          <w:sz w:val="20"/>
          <w:szCs w:val="26"/>
          <w:vertAlign w:val="baseline"/>
        </w:rPr>
        <w:footnoteRef/>
      </w:r>
      <w:r w:rsidRPr="00791939">
        <w:rPr>
          <w:position w:val="8"/>
          <w:sz w:val="20"/>
          <w:szCs w:val="26"/>
        </w:rPr>
        <w:t xml:space="preserve"> </w:t>
      </w:r>
      <w:r>
        <w:rPr>
          <w:szCs w:val="26"/>
        </w:rPr>
        <w:t xml:space="preserve">The FAA applies in </w:t>
      </w:r>
      <w:r w:rsidRPr="000008C3">
        <w:rPr>
          <w:szCs w:val="26"/>
        </w:rPr>
        <w:t>“any maritime transaction or a contract evidencing a transaction involving commerce</w:t>
      </w:r>
      <w:r>
        <w:rPr>
          <w:szCs w:val="26"/>
        </w:rPr>
        <w:t>.</w:t>
      </w:r>
      <w:r w:rsidRPr="000008C3">
        <w:rPr>
          <w:szCs w:val="26"/>
        </w:rPr>
        <w:t xml:space="preserve">” </w:t>
      </w:r>
      <w:r>
        <w:rPr>
          <w:szCs w:val="26"/>
        </w:rPr>
        <w:t xml:space="preserve"> </w:t>
      </w:r>
      <w:r w:rsidRPr="000008C3">
        <w:rPr>
          <w:szCs w:val="26"/>
        </w:rPr>
        <w:t xml:space="preserve">(9 U.S.C. § 2.)  </w:t>
      </w:r>
      <w:r>
        <w:rPr>
          <w:szCs w:val="26"/>
        </w:rPr>
        <w:t>The phrase “involving commerce” in section 2 of the FAA is broader than merely people and activities within the flow of interstate commerce; it extends the FAA’s reach to the full limits of the Commerce Clause.  (</w:t>
      </w:r>
      <w:r w:rsidR="00677DB6" w:rsidRPr="002A721D">
        <w:rPr>
          <w:i/>
          <w:iCs/>
          <w:szCs w:val="26"/>
        </w:rPr>
        <w:t xml:space="preserve">Allied-Bruce Terminix Companies, Inc. v. Dobson </w:t>
      </w:r>
      <w:r w:rsidR="00677DB6" w:rsidRPr="00677DB6">
        <w:rPr>
          <w:szCs w:val="26"/>
        </w:rPr>
        <w:t>(1995) 513 U.S. 265, 279</w:t>
      </w:r>
      <w:r w:rsidR="00677DB6">
        <w:rPr>
          <w:szCs w:val="26"/>
        </w:rPr>
        <w:t xml:space="preserve"> and 273</w:t>
      </w:r>
      <w:r w:rsidR="00677DB6" w:rsidRPr="00677DB6">
        <w:rPr>
          <w:szCs w:val="26"/>
        </w:rPr>
        <w:t xml:space="preserve"> (</w:t>
      </w:r>
      <w:r w:rsidR="00677DB6" w:rsidRPr="002A721D">
        <w:rPr>
          <w:i/>
          <w:iCs/>
          <w:szCs w:val="26"/>
        </w:rPr>
        <w:t>Allied-Bruce</w:t>
      </w:r>
      <w:r w:rsidR="00677DB6" w:rsidRPr="00677DB6">
        <w:rPr>
          <w:szCs w:val="26"/>
        </w:rPr>
        <w:t>)</w:t>
      </w:r>
      <w:r>
        <w:rPr>
          <w:szCs w:val="26"/>
        </w:rPr>
        <w:t xml:space="preserve">; </w:t>
      </w:r>
      <w:r w:rsidRPr="00470A33">
        <w:rPr>
          <w:i/>
          <w:iCs/>
          <w:szCs w:val="26"/>
        </w:rPr>
        <w:t xml:space="preserve">Muller v. Roy Miller Freight Lines, LLC </w:t>
      </w:r>
      <w:r w:rsidRPr="00470A33">
        <w:rPr>
          <w:szCs w:val="26"/>
        </w:rPr>
        <w:t xml:space="preserve">(2019) 34 Cal.App.5th 1056, 1062.) </w:t>
      </w:r>
      <w:r>
        <w:rPr>
          <w:szCs w:val="26"/>
        </w:rPr>
        <w:t xml:space="preserve"> </w:t>
      </w:r>
      <w:r w:rsidRPr="00470A33">
        <w:rPr>
          <w:szCs w:val="26"/>
        </w:rPr>
        <w:t xml:space="preserve">“Employment contracts, except for those covering workers engaged in transportation, are covered by the </w:t>
      </w:r>
      <w:r w:rsidR="00C155B1">
        <w:rPr>
          <w:szCs w:val="26"/>
        </w:rPr>
        <w:t>[</w:t>
      </w:r>
      <w:r w:rsidRPr="00470A33">
        <w:rPr>
          <w:szCs w:val="26"/>
        </w:rPr>
        <w:t>FAA.</w:t>
      </w:r>
      <w:r w:rsidR="00296F67">
        <w:rPr>
          <w:szCs w:val="26"/>
        </w:rPr>
        <w:t>]</w:t>
      </w:r>
      <w:r w:rsidRPr="00470A33">
        <w:rPr>
          <w:szCs w:val="26"/>
        </w:rPr>
        <w:t>”  (</w:t>
      </w:r>
      <w:r w:rsidRPr="000008C3">
        <w:rPr>
          <w:i/>
          <w:iCs/>
          <w:szCs w:val="26"/>
        </w:rPr>
        <w:t>E</w:t>
      </w:r>
      <w:r w:rsidR="00A076C7">
        <w:rPr>
          <w:i/>
          <w:iCs/>
          <w:szCs w:val="26"/>
        </w:rPr>
        <w:t>qual</w:t>
      </w:r>
      <w:r w:rsidR="004537AE">
        <w:rPr>
          <w:i/>
          <w:iCs/>
          <w:szCs w:val="26"/>
        </w:rPr>
        <w:t xml:space="preserve"> </w:t>
      </w:r>
      <w:r w:rsidRPr="000008C3">
        <w:rPr>
          <w:i/>
          <w:iCs/>
          <w:szCs w:val="26"/>
        </w:rPr>
        <w:t>E</w:t>
      </w:r>
      <w:r w:rsidR="004537AE">
        <w:rPr>
          <w:i/>
          <w:iCs/>
          <w:szCs w:val="26"/>
        </w:rPr>
        <w:t xml:space="preserve">mployment </w:t>
      </w:r>
      <w:r w:rsidRPr="000008C3">
        <w:rPr>
          <w:i/>
          <w:iCs/>
          <w:szCs w:val="26"/>
        </w:rPr>
        <w:t>O</w:t>
      </w:r>
      <w:r w:rsidR="004537AE">
        <w:rPr>
          <w:i/>
          <w:iCs/>
          <w:szCs w:val="26"/>
        </w:rPr>
        <w:t xml:space="preserve">pportunity </w:t>
      </w:r>
      <w:r w:rsidRPr="000008C3">
        <w:rPr>
          <w:i/>
          <w:iCs/>
          <w:szCs w:val="26"/>
        </w:rPr>
        <w:t>C</w:t>
      </w:r>
      <w:r w:rsidR="00B132C9">
        <w:rPr>
          <w:i/>
          <w:iCs/>
          <w:szCs w:val="26"/>
        </w:rPr>
        <w:t>ommission</w:t>
      </w:r>
      <w:r w:rsidRPr="000008C3">
        <w:rPr>
          <w:i/>
          <w:iCs/>
          <w:szCs w:val="26"/>
        </w:rPr>
        <w:t xml:space="preserve"> v. Waffle House, Inc.</w:t>
      </w:r>
      <w:r w:rsidRPr="00470A33">
        <w:rPr>
          <w:szCs w:val="26"/>
        </w:rPr>
        <w:t xml:space="preserve"> (2002) 534 U.S. 279, 289.)</w:t>
      </w:r>
    </w:p>
    <w:p w14:paraId="3C24ECFE" w14:textId="77777777" w:rsidR="00791939" w:rsidRPr="000008C3" w:rsidRDefault="00791939" w:rsidP="000008C3">
      <w:pPr>
        <w:spacing w:line="240" w:lineRule="auto"/>
        <w:rPr>
          <w:szCs w:val="26"/>
        </w:rPr>
      </w:pPr>
    </w:p>
  </w:footnote>
  <w:footnote w:id="7">
    <w:p w14:paraId="68F40442" w14:textId="75A0C5F3" w:rsidR="00B36E4D" w:rsidRPr="00B36E4D" w:rsidRDefault="00B36E4D">
      <w:pPr>
        <w:pStyle w:val="FootnoteText"/>
        <w:rPr>
          <w:sz w:val="26"/>
          <w:szCs w:val="26"/>
        </w:rPr>
      </w:pPr>
      <w:r>
        <w:rPr>
          <w:sz w:val="26"/>
          <w:szCs w:val="26"/>
        </w:rPr>
        <w:tab/>
      </w:r>
      <w:r w:rsidRPr="00791939">
        <w:rPr>
          <w:rStyle w:val="FootnoteReference"/>
          <w:b/>
          <w:bCs/>
          <w:position w:val="8"/>
          <w:szCs w:val="26"/>
          <w:vertAlign w:val="baseline"/>
        </w:rPr>
        <w:footnoteRef/>
      </w:r>
      <w:r w:rsidRPr="00791939">
        <w:rPr>
          <w:position w:val="8"/>
          <w:szCs w:val="26"/>
        </w:rPr>
        <w:t xml:space="preserve"> </w:t>
      </w:r>
      <w:r w:rsidRPr="00B36E4D">
        <w:rPr>
          <w:sz w:val="26"/>
          <w:szCs w:val="26"/>
        </w:rPr>
        <w:t>The CAA sets forth a comprehensive statutory scheme governing private arbitration in California</w:t>
      </w:r>
      <w:r>
        <w:rPr>
          <w:sz w:val="26"/>
          <w:szCs w:val="26"/>
        </w:rPr>
        <w:t xml:space="preserve">. </w:t>
      </w:r>
      <w:r w:rsidR="00791939">
        <w:rPr>
          <w:sz w:val="26"/>
          <w:szCs w:val="26"/>
        </w:rPr>
        <w:t xml:space="preserve"> </w:t>
      </w:r>
      <w:r w:rsidRPr="00B36E4D">
        <w:rPr>
          <w:sz w:val="26"/>
          <w:szCs w:val="26"/>
        </w:rPr>
        <w:t>(</w:t>
      </w:r>
      <w:proofErr w:type="spellStart"/>
      <w:r w:rsidRPr="00B36E4D">
        <w:rPr>
          <w:i/>
          <w:iCs/>
          <w:sz w:val="26"/>
          <w:szCs w:val="26"/>
        </w:rPr>
        <w:t>Moncharsh</w:t>
      </w:r>
      <w:proofErr w:type="spellEnd"/>
      <w:r w:rsidRPr="00B36E4D">
        <w:rPr>
          <w:i/>
          <w:iCs/>
          <w:sz w:val="26"/>
          <w:szCs w:val="26"/>
        </w:rPr>
        <w:t xml:space="preserve"> v. </w:t>
      </w:r>
      <w:proofErr w:type="spellStart"/>
      <w:r w:rsidRPr="00B36E4D">
        <w:rPr>
          <w:i/>
          <w:iCs/>
          <w:sz w:val="26"/>
          <w:szCs w:val="26"/>
        </w:rPr>
        <w:t>Heily</w:t>
      </w:r>
      <w:proofErr w:type="spellEnd"/>
      <w:r w:rsidRPr="00B36E4D">
        <w:rPr>
          <w:i/>
          <w:iCs/>
          <w:sz w:val="26"/>
          <w:szCs w:val="26"/>
        </w:rPr>
        <w:t xml:space="preserve"> &amp; </w:t>
      </w:r>
      <w:proofErr w:type="spellStart"/>
      <w:r w:rsidRPr="00B36E4D">
        <w:rPr>
          <w:i/>
          <w:iCs/>
          <w:sz w:val="26"/>
          <w:szCs w:val="26"/>
        </w:rPr>
        <w:t>Blase</w:t>
      </w:r>
      <w:proofErr w:type="spellEnd"/>
      <w:r w:rsidRPr="00B36E4D">
        <w:rPr>
          <w:sz w:val="26"/>
          <w:szCs w:val="26"/>
        </w:rPr>
        <w:t xml:space="preserve"> (1992) 3 Cal.4th 1, 9</w:t>
      </w:r>
      <w:r w:rsidR="00F036A3">
        <w:rPr>
          <w:sz w:val="26"/>
          <w:szCs w:val="26"/>
        </w:rPr>
        <w:t>.</w:t>
      </w:r>
      <w:r w:rsidRPr="00B36E4D">
        <w:rPr>
          <w:sz w:val="26"/>
          <w:szCs w:val="26"/>
        </w:rPr>
        <w:t xml:space="preserve">) </w:t>
      </w:r>
      <w:r>
        <w:rPr>
          <w:sz w:val="26"/>
          <w:szCs w:val="26"/>
        </w:rPr>
        <w:t xml:space="preserve"> The CAA </w:t>
      </w:r>
      <w:r w:rsidRPr="00B36E4D">
        <w:rPr>
          <w:sz w:val="26"/>
          <w:szCs w:val="26"/>
        </w:rPr>
        <w:t xml:space="preserve">similarly provides </w:t>
      </w:r>
      <w:r w:rsidR="004C1A31">
        <w:rPr>
          <w:sz w:val="26"/>
          <w:szCs w:val="26"/>
        </w:rPr>
        <w:t xml:space="preserve">that </w:t>
      </w:r>
      <w:r w:rsidRPr="00B36E4D">
        <w:rPr>
          <w:sz w:val="26"/>
          <w:szCs w:val="26"/>
        </w:rPr>
        <w:t xml:space="preserve">a written arbitration agreement is valid, </w:t>
      </w:r>
      <w:proofErr w:type="gramStart"/>
      <w:r w:rsidRPr="00B36E4D">
        <w:rPr>
          <w:sz w:val="26"/>
          <w:szCs w:val="26"/>
        </w:rPr>
        <w:t>enforceable</w:t>
      </w:r>
      <w:proofErr w:type="gramEnd"/>
      <w:r w:rsidRPr="00B36E4D">
        <w:rPr>
          <w:sz w:val="26"/>
          <w:szCs w:val="26"/>
        </w:rPr>
        <w:t xml:space="preserve"> and irrevocable, except on grounds for the revocation of any contract.  (§ 1281.)  “[U]</w:t>
      </w:r>
      <w:proofErr w:type="spellStart"/>
      <w:r w:rsidRPr="00B36E4D">
        <w:rPr>
          <w:sz w:val="26"/>
          <w:szCs w:val="26"/>
        </w:rPr>
        <w:t>nder</w:t>
      </w:r>
      <w:proofErr w:type="spellEnd"/>
      <w:r w:rsidRPr="00B36E4D">
        <w:rPr>
          <w:sz w:val="26"/>
          <w:szCs w:val="26"/>
        </w:rPr>
        <w:t xml:space="preserve"> California law, as under federal law, an arbitration agreement may only be invalidated for the same reasons as other contracts.”  (</w:t>
      </w:r>
      <w:r w:rsidRPr="00B36E4D">
        <w:rPr>
          <w:i/>
          <w:iCs/>
          <w:sz w:val="26"/>
          <w:szCs w:val="26"/>
        </w:rPr>
        <w:t xml:space="preserve">Armendariz v. Foundation Health </w:t>
      </w:r>
      <w:proofErr w:type="spellStart"/>
      <w:r w:rsidRPr="00B36E4D">
        <w:rPr>
          <w:i/>
          <w:iCs/>
          <w:sz w:val="26"/>
          <w:szCs w:val="26"/>
        </w:rPr>
        <w:t>Psychcare</w:t>
      </w:r>
      <w:proofErr w:type="spellEnd"/>
      <w:r w:rsidRPr="00B36E4D">
        <w:rPr>
          <w:i/>
          <w:iCs/>
          <w:sz w:val="26"/>
          <w:szCs w:val="26"/>
        </w:rPr>
        <w:t xml:space="preserve"> Services, Inc.</w:t>
      </w:r>
      <w:r>
        <w:rPr>
          <w:sz w:val="26"/>
          <w:szCs w:val="26"/>
        </w:rPr>
        <w:t xml:space="preserve">, </w:t>
      </w:r>
      <w:r w:rsidRPr="00B36E4D">
        <w:rPr>
          <w:i/>
          <w:iCs/>
          <w:sz w:val="26"/>
          <w:szCs w:val="26"/>
        </w:rPr>
        <w:t>supra</w:t>
      </w:r>
      <w:r>
        <w:rPr>
          <w:sz w:val="26"/>
          <w:szCs w:val="26"/>
        </w:rPr>
        <w:t xml:space="preserve">, </w:t>
      </w:r>
      <w:r w:rsidRPr="00B36E4D">
        <w:rPr>
          <w:sz w:val="26"/>
          <w:szCs w:val="26"/>
        </w:rPr>
        <w:t>24 Cal.4th at p. 98.)</w:t>
      </w:r>
    </w:p>
  </w:footnote>
  <w:footnote w:id="8">
    <w:p w14:paraId="25E08585" w14:textId="729AD8A0" w:rsidR="006C6A9C" w:rsidRPr="000B6880" w:rsidRDefault="006C6A9C">
      <w:pPr>
        <w:pStyle w:val="FootnoteText"/>
        <w:rPr>
          <w:sz w:val="26"/>
          <w:szCs w:val="26"/>
        </w:rPr>
      </w:pPr>
      <w:r w:rsidRPr="000B6880">
        <w:rPr>
          <w:sz w:val="26"/>
          <w:szCs w:val="26"/>
        </w:rPr>
        <w:tab/>
      </w:r>
      <w:r w:rsidRPr="00F82F9E">
        <w:rPr>
          <w:rStyle w:val="FootnoteReference"/>
          <w:b/>
          <w:bCs/>
          <w:position w:val="8"/>
          <w:szCs w:val="26"/>
          <w:vertAlign w:val="baseline"/>
        </w:rPr>
        <w:footnoteRef/>
      </w:r>
      <w:r w:rsidRPr="00F82F9E">
        <w:rPr>
          <w:position w:val="8"/>
          <w:szCs w:val="26"/>
        </w:rPr>
        <w:t xml:space="preserve"> </w:t>
      </w:r>
      <w:r w:rsidRPr="000B6880">
        <w:rPr>
          <w:sz w:val="26"/>
          <w:szCs w:val="26"/>
        </w:rPr>
        <w:t>We note that the parties’ arbitration agreement permits a court to vacate or correct the arbitrator’s award for an error of law.  The procedural provisions of the FAA do not allow for parties to expand the scope of review by agreement.  (</w:t>
      </w:r>
      <w:r w:rsidRPr="000B6880">
        <w:rPr>
          <w:i/>
          <w:iCs/>
          <w:sz w:val="26"/>
          <w:szCs w:val="26"/>
        </w:rPr>
        <w:t>Hall Street Associates, L.L.C. v. Mattel, Inc.</w:t>
      </w:r>
      <w:r w:rsidRPr="000B6880">
        <w:rPr>
          <w:sz w:val="26"/>
          <w:szCs w:val="26"/>
        </w:rPr>
        <w:t xml:space="preserve"> (2008) 552 U.S. 576, 590.)  California law allows parties to expressly agree to judicial review of the merits of an arbitration award.  (</w:t>
      </w:r>
      <w:r w:rsidRPr="000B6880">
        <w:rPr>
          <w:i/>
          <w:iCs/>
          <w:sz w:val="26"/>
          <w:szCs w:val="26"/>
        </w:rPr>
        <w:t>DIRECTV</w:t>
      </w:r>
      <w:r w:rsidRPr="000B6880">
        <w:rPr>
          <w:sz w:val="26"/>
          <w:szCs w:val="26"/>
        </w:rPr>
        <w:t xml:space="preserve">, </w:t>
      </w:r>
      <w:r w:rsidRPr="000B6880">
        <w:rPr>
          <w:i/>
          <w:iCs/>
          <w:sz w:val="26"/>
          <w:szCs w:val="26"/>
        </w:rPr>
        <w:t>supra</w:t>
      </w:r>
      <w:r w:rsidRPr="000B6880">
        <w:rPr>
          <w:sz w:val="26"/>
          <w:szCs w:val="26"/>
        </w:rPr>
        <w:t>, 44 Cal.4th at pp.</w:t>
      </w:r>
      <w:r w:rsidR="006E15E5">
        <w:rPr>
          <w:sz w:val="26"/>
          <w:szCs w:val="26"/>
        </w:rPr>
        <w:t> </w:t>
      </w:r>
      <w:r w:rsidRPr="000B6880">
        <w:rPr>
          <w:sz w:val="26"/>
          <w:szCs w:val="26"/>
        </w:rPr>
        <w:t>1339–1340).  On appeal, Hernandez has not relied on this provision as evidence that the parties intended to apply California</w:t>
      </w:r>
      <w:r w:rsidR="003A004F">
        <w:rPr>
          <w:sz w:val="26"/>
          <w:szCs w:val="26"/>
        </w:rPr>
        <w:t>’s arbitration</w:t>
      </w:r>
      <w:r w:rsidRPr="000B6880">
        <w:rPr>
          <w:sz w:val="26"/>
          <w:szCs w:val="26"/>
        </w:rPr>
        <w:t xml:space="preserve"> law</w:t>
      </w:r>
      <w:r w:rsidR="003A004F">
        <w:rPr>
          <w:sz w:val="26"/>
          <w:szCs w:val="26"/>
        </w:rPr>
        <w:t xml:space="preserve"> to the agreement</w:t>
      </w:r>
      <w:r w:rsidRPr="000B6880">
        <w:rPr>
          <w:sz w:val="26"/>
          <w:szCs w:val="26"/>
        </w:rPr>
        <w:t xml:space="preserve">, and therefore, </w:t>
      </w:r>
      <w:r w:rsidR="00DE0D0A">
        <w:rPr>
          <w:sz w:val="26"/>
          <w:szCs w:val="26"/>
        </w:rPr>
        <w:t xml:space="preserve">any </w:t>
      </w:r>
      <w:r w:rsidRPr="000B6880">
        <w:rPr>
          <w:sz w:val="26"/>
          <w:szCs w:val="26"/>
        </w:rPr>
        <w:t>such argument has been waived.</w:t>
      </w:r>
    </w:p>
  </w:footnote>
  <w:footnote w:id="9">
    <w:p w14:paraId="13417603" w14:textId="2B4394B5" w:rsidR="00DC386B" w:rsidRDefault="00DC386B">
      <w:pPr>
        <w:pStyle w:val="FootnoteText"/>
      </w:pPr>
      <w:r>
        <w:tab/>
      </w:r>
      <w:r w:rsidRPr="00F41414">
        <w:rPr>
          <w:rStyle w:val="FootnoteReference"/>
          <w:b/>
          <w:bCs/>
          <w:position w:val="8"/>
          <w:vertAlign w:val="baseline"/>
        </w:rPr>
        <w:footnoteRef/>
      </w:r>
      <w:r w:rsidRPr="00F41414">
        <w:rPr>
          <w:position w:val="8"/>
        </w:rPr>
        <w:t xml:space="preserve"> </w:t>
      </w:r>
      <w:r w:rsidRPr="00032693">
        <w:rPr>
          <w:sz w:val="26"/>
          <w:szCs w:val="26"/>
        </w:rPr>
        <w:t xml:space="preserve">Justice Wiley dissented in </w:t>
      </w:r>
      <w:proofErr w:type="spellStart"/>
      <w:r w:rsidRPr="00032693">
        <w:rPr>
          <w:i/>
          <w:iCs/>
          <w:sz w:val="26"/>
          <w:szCs w:val="26"/>
        </w:rPr>
        <w:t>Hohenshelt</w:t>
      </w:r>
      <w:proofErr w:type="spellEnd"/>
      <w:r w:rsidRPr="00032693">
        <w:rPr>
          <w:sz w:val="26"/>
          <w:szCs w:val="26"/>
        </w:rPr>
        <w:t xml:space="preserve">, </w:t>
      </w:r>
      <w:r>
        <w:rPr>
          <w:sz w:val="26"/>
          <w:szCs w:val="26"/>
        </w:rPr>
        <w:t xml:space="preserve">noting that he would find section 1281.98 is preempted by the FAA because it singles out certain arbitration agreements for disfavored treatment.  </w:t>
      </w:r>
      <w:r w:rsidRPr="00032693">
        <w:rPr>
          <w:sz w:val="26"/>
          <w:szCs w:val="26"/>
        </w:rPr>
        <w:t>(</w:t>
      </w:r>
      <w:proofErr w:type="spellStart"/>
      <w:r w:rsidRPr="00032693">
        <w:rPr>
          <w:i/>
          <w:iCs/>
          <w:sz w:val="26"/>
          <w:szCs w:val="26"/>
        </w:rPr>
        <w:t>Hohenshelt</w:t>
      </w:r>
      <w:proofErr w:type="spellEnd"/>
      <w:r>
        <w:rPr>
          <w:sz w:val="26"/>
          <w:szCs w:val="26"/>
        </w:rPr>
        <w:t xml:space="preserve">, </w:t>
      </w:r>
      <w:r w:rsidRPr="00032693">
        <w:rPr>
          <w:i/>
          <w:iCs/>
          <w:sz w:val="26"/>
          <w:szCs w:val="26"/>
        </w:rPr>
        <w:t>supra</w:t>
      </w:r>
      <w:r>
        <w:rPr>
          <w:sz w:val="26"/>
          <w:szCs w:val="26"/>
        </w:rPr>
        <w:t xml:space="preserve">, </w:t>
      </w:r>
      <w:r w:rsidRPr="00032693">
        <w:rPr>
          <w:sz w:val="26"/>
          <w:szCs w:val="26"/>
        </w:rPr>
        <w:t>99 Cal.App.5th</w:t>
      </w:r>
      <w:r>
        <w:rPr>
          <w:sz w:val="26"/>
          <w:szCs w:val="26"/>
        </w:rPr>
        <w:t xml:space="preserve"> at p.</w:t>
      </w:r>
      <w:r w:rsidRPr="003B52D9">
        <w:t xml:space="preserve"> </w:t>
      </w:r>
      <w:r w:rsidRPr="003B52D9">
        <w:rPr>
          <w:sz w:val="26"/>
          <w:szCs w:val="26"/>
        </w:rPr>
        <w:t>13</w:t>
      </w:r>
      <w:r>
        <w:rPr>
          <w:sz w:val="26"/>
          <w:szCs w:val="26"/>
        </w:rPr>
        <w:t>28 (dis. opn. of Wiley, J.).)</w:t>
      </w:r>
    </w:p>
  </w:footnote>
  <w:footnote w:id="10">
    <w:p w14:paraId="0D93C001" w14:textId="77777777" w:rsidR="001B23BF" w:rsidRPr="000362BA" w:rsidRDefault="001B23BF" w:rsidP="001B23BF">
      <w:pPr>
        <w:pStyle w:val="FootnoteText"/>
        <w:rPr>
          <w:sz w:val="26"/>
          <w:szCs w:val="26"/>
        </w:rPr>
      </w:pPr>
      <w:r w:rsidRPr="000362BA">
        <w:rPr>
          <w:rStyle w:val="FootnoteReference"/>
          <w:b/>
          <w:position w:val="6"/>
        </w:rPr>
        <w:footnoteRef/>
      </w:r>
      <w:r w:rsidRPr="000362BA">
        <w:rPr>
          <w:b/>
          <w:position w:val="6"/>
        </w:rPr>
        <w:t xml:space="preserve"> </w:t>
      </w:r>
      <w:r>
        <w:tab/>
      </w:r>
      <w:r w:rsidRPr="000362BA">
        <w:rPr>
          <w:sz w:val="26"/>
          <w:szCs w:val="26"/>
        </w:rPr>
        <w:t xml:space="preserve">I say potential delay because a recent amendment to section 1294 may operate independently to reduce trial court delays.  (Stats. 2023, </w:t>
      </w:r>
      <w:proofErr w:type="spellStart"/>
      <w:r w:rsidRPr="000362BA">
        <w:rPr>
          <w:sz w:val="26"/>
          <w:szCs w:val="26"/>
        </w:rPr>
        <w:t>ch.</w:t>
      </w:r>
      <w:proofErr w:type="spellEnd"/>
      <w:r w:rsidRPr="000362BA">
        <w:rPr>
          <w:sz w:val="26"/>
          <w:szCs w:val="26"/>
        </w:rPr>
        <w:t xml:space="preserve"> 710, § 1 [adding language to section 1294, subdivision (a) that states, “Notwithstanding Section 916, the perfecting of such an appeal shall not automatically stay any proceedings in the trial court during the pendency of the appeal”].)  The effect of this amendment is not before us in this case, however, and I express no view on it here.  I do, however, add that trial court delays are not the only problem.  Even without such delays, allowing immediate appeals from section 1281.97 orders adds to the docket of appellate courts on a piecemeal basis with no benefit, given the low risk of trial court error in deciding whether a payment was made within 30 days of when due.  </w:t>
      </w:r>
    </w:p>
  </w:footnote>
  <w:footnote w:id="11">
    <w:p w14:paraId="7839A753" w14:textId="77777777" w:rsidR="001B23BF" w:rsidRPr="000362BA" w:rsidRDefault="001B23BF" w:rsidP="001B23BF">
      <w:pPr>
        <w:pStyle w:val="FootnoteText"/>
        <w:rPr>
          <w:sz w:val="26"/>
          <w:szCs w:val="26"/>
        </w:rPr>
      </w:pPr>
      <w:r w:rsidRPr="000362BA">
        <w:rPr>
          <w:rStyle w:val="FootnoteReference"/>
          <w:b/>
          <w:position w:val="6"/>
        </w:rPr>
        <w:footnoteRef/>
      </w:r>
      <w:r w:rsidRPr="000362BA">
        <w:rPr>
          <w:b/>
          <w:position w:val="6"/>
        </w:rPr>
        <w:t xml:space="preserve"> </w:t>
      </w:r>
      <w:r w:rsidRPr="000362BA">
        <w:rPr>
          <w:sz w:val="26"/>
          <w:szCs w:val="26"/>
        </w:rPr>
        <w:tab/>
        <w:t>The majority does not state whether it undertakes a categorical or an as applied preemption analysis.  Because the opinion is written in broad terms, I proceed on the understanding it is the former.</w:t>
      </w:r>
    </w:p>
  </w:footnote>
  <w:footnote w:id="12">
    <w:p w14:paraId="56D5077F" w14:textId="77777777" w:rsidR="001B23BF" w:rsidRPr="009A57BC" w:rsidRDefault="001B23BF" w:rsidP="001B23BF">
      <w:pPr>
        <w:pStyle w:val="FootnoteText"/>
        <w:rPr>
          <w:sz w:val="26"/>
          <w:szCs w:val="26"/>
        </w:rPr>
      </w:pPr>
      <w:r w:rsidRPr="000362BA">
        <w:rPr>
          <w:rStyle w:val="FootnoteReference"/>
          <w:b/>
          <w:position w:val="6"/>
        </w:rPr>
        <w:footnoteRef/>
      </w:r>
      <w:r w:rsidRPr="000362BA">
        <w:rPr>
          <w:b/>
          <w:position w:val="6"/>
        </w:rPr>
        <w:t xml:space="preserve"> </w:t>
      </w:r>
      <w:r w:rsidRPr="009A57BC">
        <w:rPr>
          <w:sz w:val="26"/>
          <w:szCs w:val="26"/>
        </w:rPr>
        <w:tab/>
        <w:t xml:space="preserve">Of course, the question of whether section 1281.97 is an obstacle to accomplishment of the Federal Arbitration Act’s purposes must be considered at scale, meaning in the great many cases the statute was enacted to govern, not a select few.  To draw an analogy, one does not decide whether strict notice of appeal timeliness rules enable prompt adjudication of challenges to trial court rulings by considering only those appeals that are dismissed because the notice of appeal was not timely filed.    </w:t>
      </w:r>
    </w:p>
  </w:footnote>
  <w:footnote w:id="13">
    <w:p w14:paraId="458D8627" w14:textId="77777777" w:rsidR="001B23BF" w:rsidRPr="009A57BC" w:rsidRDefault="001B23BF" w:rsidP="001B23BF">
      <w:pPr>
        <w:pStyle w:val="FootnoteText"/>
        <w:rPr>
          <w:sz w:val="26"/>
          <w:szCs w:val="26"/>
        </w:rPr>
      </w:pPr>
      <w:r w:rsidRPr="009A57BC">
        <w:rPr>
          <w:rStyle w:val="FootnoteReference"/>
          <w:b/>
          <w:position w:val="6"/>
        </w:rPr>
        <w:footnoteRef/>
      </w:r>
      <w:r w:rsidRPr="009A57BC">
        <w:rPr>
          <w:b/>
          <w:position w:val="6"/>
        </w:rPr>
        <w:t xml:space="preserve"> </w:t>
      </w:r>
      <w:r w:rsidRPr="009A57BC">
        <w:rPr>
          <w:sz w:val="26"/>
          <w:szCs w:val="26"/>
        </w:rPr>
        <w:tab/>
        <w:t>The majority also appears to hint that the Legislature has somehow impermissibly invaded a judicial function to determine what constitutes “minor” or “inadvertent” delay.  If that is the unstated concern, there are two responses.  First, I am aware of no law that precludes the Legislature from doing so, and the Legislature should have some latitude to respond to identified problems with dispute resolution mechanisms.  Second, outlier cases are not the focus of a categorical preemption analysis.  Even if a few matters are removed from arbitration in a case of a minor or inadvertent delay, it is still that case that section 1281.97 overall ensures arbitrations proceed more quickly.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89AB" w14:textId="77777777" w:rsidR="005F229F" w:rsidRDefault="005F2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426E" w14:textId="77777777" w:rsidR="005F229F" w:rsidRDefault="005F2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AF62" w14:textId="77777777" w:rsidR="005F229F" w:rsidRDefault="005F2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2691F4"/>
    <w:lvl w:ilvl="0">
      <w:start w:val="1"/>
      <w:numFmt w:val="bullet"/>
      <w:pStyle w:val="ListBullet"/>
      <w:lvlText w:val=""/>
      <w:lvlJc w:val="left"/>
      <w:pPr>
        <w:tabs>
          <w:tab w:val="num" w:pos="360"/>
        </w:tabs>
        <w:ind w:left="360" w:hanging="360"/>
      </w:pPr>
      <w:rPr>
        <w:rFonts w:ascii="Symbol" w:hAnsi="Symbol" w:hint="default"/>
      </w:rPr>
    </w:lvl>
  </w:abstractNum>
  <w:num w:numId="1" w16cid:durableId="914438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90"/>
    <w:rsid w:val="000004C3"/>
    <w:rsid w:val="00000557"/>
    <w:rsid w:val="000008C3"/>
    <w:rsid w:val="00000943"/>
    <w:rsid w:val="00000DC1"/>
    <w:rsid w:val="00001344"/>
    <w:rsid w:val="000013CD"/>
    <w:rsid w:val="000019B2"/>
    <w:rsid w:val="00001D2F"/>
    <w:rsid w:val="00002248"/>
    <w:rsid w:val="0000231E"/>
    <w:rsid w:val="00002491"/>
    <w:rsid w:val="00002F63"/>
    <w:rsid w:val="0000340B"/>
    <w:rsid w:val="00003730"/>
    <w:rsid w:val="00005D73"/>
    <w:rsid w:val="00005EAD"/>
    <w:rsid w:val="0000637F"/>
    <w:rsid w:val="00006498"/>
    <w:rsid w:val="000064F1"/>
    <w:rsid w:val="00007773"/>
    <w:rsid w:val="00010622"/>
    <w:rsid w:val="00011EC9"/>
    <w:rsid w:val="00013695"/>
    <w:rsid w:val="000136C8"/>
    <w:rsid w:val="00013997"/>
    <w:rsid w:val="00013CE7"/>
    <w:rsid w:val="00015BB4"/>
    <w:rsid w:val="00015E70"/>
    <w:rsid w:val="0001678C"/>
    <w:rsid w:val="00016952"/>
    <w:rsid w:val="00016AE4"/>
    <w:rsid w:val="00016B90"/>
    <w:rsid w:val="00016BAB"/>
    <w:rsid w:val="00016CC8"/>
    <w:rsid w:val="00017F13"/>
    <w:rsid w:val="0002059E"/>
    <w:rsid w:val="00020D6D"/>
    <w:rsid w:val="00021CB7"/>
    <w:rsid w:val="00021E70"/>
    <w:rsid w:val="00023682"/>
    <w:rsid w:val="000236EA"/>
    <w:rsid w:val="000246F7"/>
    <w:rsid w:val="00025615"/>
    <w:rsid w:val="00025999"/>
    <w:rsid w:val="00026AD2"/>
    <w:rsid w:val="0003023D"/>
    <w:rsid w:val="000311DD"/>
    <w:rsid w:val="000315A0"/>
    <w:rsid w:val="00031BA4"/>
    <w:rsid w:val="00031C1D"/>
    <w:rsid w:val="00031C7C"/>
    <w:rsid w:val="00031F6F"/>
    <w:rsid w:val="000323A4"/>
    <w:rsid w:val="00032583"/>
    <w:rsid w:val="00032733"/>
    <w:rsid w:val="000331C4"/>
    <w:rsid w:val="0003329F"/>
    <w:rsid w:val="00033647"/>
    <w:rsid w:val="000339BC"/>
    <w:rsid w:val="000342DE"/>
    <w:rsid w:val="00034C0D"/>
    <w:rsid w:val="000357FB"/>
    <w:rsid w:val="00035C19"/>
    <w:rsid w:val="00035CFA"/>
    <w:rsid w:val="000362BA"/>
    <w:rsid w:val="000364F2"/>
    <w:rsid w:val="00036E34"/>
    <w:rsid w:val="000371C4"/>
    <w:rsid w:val="00037AD6"/>
    <w:rsid w:val="0004021B"/>
    <w:rsid w:val="000408AE"/>
    <w:rsid w:val="00040F9F"/>
    <w:rsid w:val="00041AB3"/>
    <w:rsid w:val="00041D0C"/>
    <w:rsid w:val="00042DB9"/>
    <w:rsid w:val="0004344B"/>
    <w:rsid w:val="000436C1"/>
    <w:rsid w:val="000447E5"/>
    <w:rsid w:val="00044999"/>
    <w:rsid w:val="00044E12"/>
    <w:rsid w:val="00045093"/>
    <w:rsid w:val="0004552D"/>
    <w:rsid w:val="000455D8"/>
    <w:rsid w:val="00045C9C"/>
    <w:rsid w:val="00045D2F"/>
    <w:rsid w:val="00045E22"/>
    <w:rsid w:val="0004696C"/>
    <w:rsid w:val="00047002"/>
    <w:rsid w:val="00047179"/>
    <w:rsid w:val="00047460"/>
    <w:rsid w:val="00047491"/>
    <w:rsid w:val="000474A2"/>
    <w:rsid w:val="000476C5"/>
    <w:rsid w:val="00047DE9"/>
    <w:rsid w:val="0005031F"/>
    <w:rsid w:val="00050E68"/>
    <w:rsid w:val="000510C4"/>
    <w:rsid w:val="000510FB"/>
    <w:rsid w:val="00051110"/>
    <w:rsid w:val="000511E7"/>
    <w:rsid w:val="00051372"/>
    <w:rsid w:val="0005177B"/>
    <w:rsid w:val="0005180C"/>
    <w:rsid w:val="00052005"/>
    <w:rsid w:val="00052532"/>
    <w:rsid w:val="00052594"/>
    <w:rsid w:val="0005336F"/>
    <w:rsid w:val="000534FA"/>
    <w:rsid w:val="000535E5"/>
    <w:rsid w:val="0005383C"/>
    <w:rsid w:val="0005391A"/>
    <w:rsid w:val="000539E0"/>
    <w:rsid w:val="00053D62"/>
    <w:rsid w:val="00053F25"/>
    <w:rsid w:val="00054629"/>
    <w:rsid w:val="00054977"/>
    <w:rsid w:val="00054B5A"/>
    <w:rsid w:val="00054B75"/>
    <w:rsid w:val="00054BFF"/>
    <w:rsid w:val="00055787"/>
    <w:rsid w:val="000567CF"/>
    <w:rsid w:val="000567D5"/>
    <w:rsid w:val="00056F36"/>
    <w:rsid w:val="000572DE"/>
    <w:rsid w:val="00057850"/>
    <w:rsid w:val="00057AA1"/>
    <w:rsid w:val="0006070B"/>
    <w:rsid w:val="00060BB9"/>
    <w:rsid w:val="00062170"/>
    <w:rsid w:val="0006343D"/>
    <w:rsid w:val="0006348D"/>
    <w:rsid w:val="00063B0E"/>
    <w:rsid w:val="00063F04"/>
    <w:rsid w:val="0006400B"/>
    <w:rsid w:val="00065410"/>
    <w:rsid w:val="0006579C"/>
    <w:rsid w:val="00065907"/>
    <w:rsid w:val="00065BC2"/>
    <w:rsid w:val="00065C3C"/>
    <w:rsid w:val="00065F1B"/>
    <w:rsid w:val="00066F3E"/>
    <w:rsid w:val="000670A4"/>
    <w:rsid w:val="0006714B"/>
    <w:rsid w:val="00070471"/>
    <w:rsid w:val="00071875"/>
    <w:rsid w:val="000726C5"/>
    <w:rsid w:val="00072AF0"/>
    <w:rsid w:val="00072D9E"/>
    <w:rsid w:val="0007405D"/>
    <w:rsid w:val="00074981"/>
    <w:rsid w:val="00074A18"/>
    <w:rsid w:val="000757DC"/>
    <w:rsid w:val="0007597F"/>
    <w:rsid w:val="00075D9B"/>
    <w:rsid w:val="00076701"/>
    <w:rsid w:val="00076F5B"/>
    <w:rsid w:val="00077719"/>
    <w:rsid w:val="000778E4"/>
    <w:rsid w:val="000800B3"/>
    <w:rsid w:val="00080863"/>
    <w:rsid w:val="00080C05"/>
    <w:rsid w:val="000813D6"/>
    <w:rsid w:val="000813F8"/>
    <w:rsid w:val="0008191B"/>
    <w:rsid w:val="00083919"/>
    <w:rsid w:val="00083AD6"/>
    <w:rsid w:val="000840C4"/>
    <w:rsid w:val="000842DE"/>
    <w:rsid w:val="000843D9"/>
    <w:rsid w:val="00084DD6"/>
    <w:rsid w:val="00084E31"/>
    <w:rsid w:val="00084FEE"/>
    <w:rsid w:val="000850B4"/>
    <w:rsid w:val="000853B1"/>
    <w:rsid w:val="000855DD"/>
    <w:rsid w:val="000855FF"/>
    <w:rsid w:val="000856C3"/>
    <w:rsid w:val="00085B97"/>
    <w:rsid w:val="00085B9D"/>
    <w:rsid w:val="0008600A"/>
    <w:rsid w:val="00086015"/>
    <w:rsid w:val="000860AE"/>
    <w:rsid w:val="000867E6"/>
    <w:rsid w:val="00086922"/>
    <w:rsid w:val="00087384"/>
    <w:rsid w:val="00087C51"/>
    <w:rsid w:val="00090633"/>
    <w:rsid w:val="0009128E"/>
    <w:rsid w:val="00091828"/>
    <w:rsid w:val="000919D5"/>
    <w:rsid w:val="00092110"/>
    <w:rsid w:val="00092B0B"/>
    <w:rsid w:val="00092B9B"/>
    <w:rsid w:val="0009341B"/>
    <w:rsid w:val="00094355"/>
    <w:rsid w:val="000943C7"/>
    <w:rsid w:val="000946B5"/>
    <w:rsid w:val="0009493D"/>
    <w:rsid w:val="00094AD2"/>
    <w:rsid w:val="000978BE"/>
    <w:rsid w:val="000A01F5"/>
    <w:rsid w:val="000A08DE"/>
    <w:rsid w:val="000A0CD0"/>
    <w:rsid w:val="000A12B5"/>
    <w:rsid w:val="000A15F5"/>
    <w:rsid w:val="000A19A9"/>
    <w:rsid w:val="000A1E7A"/>
    <w:rsid w:val="000A202D"/>
    <w:rsid w:val="000A2C0A"/>
    <w:rsid w:val="000A39C1"/>
    <w:rsid w:val="000A3D98"/>
    <w:rsid w:val="000A3DF0"/>
    <w:rsid w:val="000A3E2A"/>
    <w:rsid w:val="000A3E86"/>
    <w:rsid w:val="000A47BF"/>
    <w:rsid w:val="000A4D9A"/>
    <w:rsid w:val="000A58DD"/>
    <w:rsid w:val="000A5A78"/>
    <w:rsid w:val="000A5AD1"/>
    <w:rsid w:val="000A6013"/>
    <w:rsid w:val="000A6206"/>
    <w:rsid w:val="000A7927"/>
    <w:rsid w:val="000B0392"/>
    <w:rsid w:val="000B0839"/>
    <w:rsid w:val="000B09F0"/>
    <w:rsid w:val="000B11A4"/>
    <w:rsid w:val="000B154C"/>
    <w:rsid w:val="000B1B5E"/>
    <w:rsid w:val="000B1E06"/>
    <w:rsid w:val="000B2344"/>
    <w:rsid w:val="000B40AA"/>
    <w:rsid w:val="000B4177"/>
    <w:rsid w:val="000B4845"/>
    <w:rsid w:val="000B6202"/>
    <w:rsid w:val="000B6880"/>
    <w:rsid w:val="000B7443"/>
    <w:rsid w:val="000B745B"/>
    <w:rsid w:val="000C00C0"/>
    <w:rsid w:val="000C0476"/>
    <w:rsid w:val="000C0B7D"/>
    <w:rsid w:val="000C0D59"/>
    <w:rsid w:val="000C26E5"/>
    <w:rsid w:val="000C2CD6"/>
    <w:rsid w:val="000C2EAF"/>
    <w:rsid w:val="000C3500"/>
    <w:rsid w:val="000C488A"/>
    <w:rsid w:val="000C4CB9"/>
    <w:rsid w:val="000C4CF7"/>
    <w:rsid w:val="000C59B4"/>
    <w:rsid w:val="000C5C22"/>
    <w:rsid w:val="000C62DF"/>
    <w:rsid w:val="000C64E7"/>
    <w:rsid w:val="000C750D"/>
    <w:rsid w:val="000C7591"/>
    <w:rsid w:val="000C7ABF"/>
    <w:rsid w:val="000D09B2"/>
    <w:rsid w:val="000D0CF4"/>
    <w:rsid w:val="000D11BD"/>
    <w:rsid w:val="000D1207"/>
    <w:rsid w:val="000D1C67"/>
    <w:rsid w:val="000D2889"/>
    <w:rsid w:val="000D37E8"/>
    <w:rsid w:val="000D3D9F"/>
    <w:rsid w:val="000D4081"/>
    <w:rsid w:val="000D43C9"/>
    <w:rsid w:val="000D52D3"/>
    <w:rsid w:val="000D548D"/>
    <w:rsid w:val="000D5BFC"/>
    <w:rsid w:val="000D73B4"/>
    <w:rsid w:val="000D768A"/>
    <w:rsid w:val="000D7921"/>
    <w:rsid w:val="000D79C3"/>
    <w:rsid w:val="000D7D81"/>
    <w:rsid w:val="000E0E1F"/>
    <w:rsid w:val="000E1247"/>
    <w:rsid w:val="000E1780"/>
    <w:rsid w:val="000E18A3"/>
    <w:rsid w:val="000E228D"/>
    <w:rsid w:val="000E2765"/>
    <w:rsid w:val="000E2782"/>
    <w:rsid w:val="000E2AC9"/>
    <w:rsid w:val="000E3020"/>
    <w:rsid w:val="000E3190"/>
    <w:rsid w:val="000E322A"/>
    <w:rsid w:val="000E3AF8"/>
    <w:rsid w:val="000E3F32"/>
    <w:rsid w:val="000E5BCA"/>
    <w:rsid w:val="000E5BE2"/>
    <w:rsid w:val="000E65D0"/>
    <w:rsid w:val="000E6B93"/>
    <w:rsid w:val="000E6C69"/>
    <w:rsid w:val="000E7402"/>
    <w:rsid w:val="000E79B6"/>
    <w:rsid w:val="000F079D"/>
    <w:rsid w:val="000F10B6"/>
    <w:rsid w:val="000F145B"/>
    <w:rsid w:val="000F14BC"/>
    <w:rsid w:val="000F20FD"/>
    <w:rsid w:val="000F23E7"/>
    <w:rsid w:val="000F2782"/>
    <w:rsid w:val="000F2A53"/>
    <w:rsid w:val="000F2F7D"/>
    <w:rsid w:val="000F3040"/>
    <w:rsid w:val="000F34A0"/>
    <w:rsid w:val="000F3805"/>
    <w:rsid w:val="000F3A68"/>
    <w:rsid w:val="000F4D06"/>
    <w:rsid w:val="000F506E"/>
    <w:rsid w:val="000F52DD"/>
    <w:rsid w:val="000F56CA"/>
    <w:rsid w:val="000F58B4"/>
    <w:rsid w:val="000F5A88"/>
    <w:rsid w:val="000F5B99"/>
    <w:rsid w:val="000F5BFE"/>
    <w:rsid w:val="000F5DB8"/>
    <w:rsid w:val="000F5F6B"/>
    <w:rsid w:val="000F6308"/>
    <w:rsid w:val="000F67A4"/>
    <w:rsid w:val="000F6FB9"/>
    <w:rsid w:val="000F77CF"/>
    <w:rsid w:val="000F7924"/>
    <w:rsid w:val="000F7DBE"/>
    <w:rsid w:val="000F7F41"/>
    <w:rsid w:val="0010049D"/>
    <w:rsid w:val="00102492"/>
    <w:rsid w:val="00102A35"/>
    <w:rsid w:val="00102BAF"/>
    <w:rsid w:val="0010378B"/>
    <w:rsid w:val="00103C2D"/>
    <w:rsid w:val="0010437F"/>
    <w:rsid w:val="00104704"/>
    <w:rsid w:val="00105962"/>
    <w:rsid w:val="00106663"/>
    <w:rsid w:val="00106915"/>
    <w:rsid w:val="00111071"/>
    <w:rsid w:val="00111DA1"/>
    <w:rsid w:val="00111E54"/>
    <w:rsid w:val="00112046"/>
    <w:rsid w:val="0011325F"/>
    <w:rsid w:val="0011327C"/>
    <w:rsid w:val="001133F3"/>
    <w:rsid w:val="00113432"/>
    <w:rsid w:val="0011350A"/>
    <w:rsid w:val="00114313"/>
    <w:rsid w:val="001144A6"/>
    <w:rsid w:val="00114E3A"/>
    <w:rsid w:val="00115205"/>
    <w:rsid w:val="00115222"/>
    <w:rsid w:val="00116590"/>
    <w:rsid w:val="00116CCB"/>
    <w:rsid w:val="00116CF7"/>
    <w:rsid w:val="00116F1C"/>
    <w:rsid w:val="00117EA7"/>
    <w:rsid w:val="00121294"/>
    <w:rsid w:val="00121953"/>
    <w:rsid w:val="00121F5E"/>
    <w:rsid w:val="0012253B"/>
    <w:rsid w:val="0012365F"/>
    <w:rsid w:val="00124BBC"/>
    <w:rsid w:val="00124D2F"/>
    <w:rsid w:val="00124EF8"/>
    <w:rsid w:val="001252B4"/>
    <w:rsid w:val="00125CD0"/>
    <w:rsid w:val="001261F6"/>
    <w:rsid w:val="00126268"/>
    <w:rsid w:val="001274BA"/>
    <w:rsid w:val="0012778F"/>
    <w:rsid w:val="00127826"/>
    <w:rsid w:val="00127C14"/>
    <w:rsid w:val="00127DED"/>
    <w:rsid w:val="001310BF"/>
    <w:rsid w:val="0013154C"/>
    <w:rsid w:val="00131724"/>
    <w:rsid w:val="00131C29"/>
    <w:rsid w:val="00131EFB"/>
    <w:rsid w:val="0013347D"/>
    <w:rsid w:val="00133B8F"/>
    <w:rsid w:val="0013405E"/>
    <w:rsid w:val="001345EF"/>
    <w:rsid w:val="00134712"/>
    <w:rsid w:val="001351F5"/>
    <w:rsid w:val="00135265"/>
    <w:rsid w:val="001354B5"/>
    <w:rsid w:val="00135E48"/>
    <w:rsid w:val="00136281"/>
    <w:rsid w:val="001364ED"/>
    <w:rsid w:val="00136761"/>
    <w:rsid w:val="00136799"/>
    <w:rsid w:val="0013748C"/>
    <w:rsid w:val="00137F7C"/>
    <w:rsid w:val="001408B6"/>
    <w:rsid w:val="001409AC"/>
    <w:rsid w:val="001411A8"/>
    <w:rsid w:val="00141A19"/>
    <w:rsid w:val="0014205C"/>
    <w:rsid w:val="00142312"/>
    <w:rsid w:val="0014244A"/>
    <w:rsid w:val="00142BBE"/>
    <w:rsid w:val="00142CF7"/>
    <w:rsid w:val="00142FF5"/>
    <w:rsid w:val="001431CE"/>
    <w:rsid w:val="001432B1"/>
    <w:rsid w:val="001442B9"/>
    <w:rsid w:val="00144344"/>
    <w:rsid w:val="0014521E"/>
    <w:rsid w:val="00145292"/>
    <w:rsid w:val="0014535F"/>
    <w:rsid w:val="001453F3"/>
    <w:rsid w:val="00145411"/>
    <w:rsid w:val="001454BA"/>
    <w:rsid w:val="00145630"/>
    <w:rsid w:val="00145838"/>
    <w:rsid w:val="00145EA6"/>
    <w:rsid w:val="0014649E"/>
    <w:rsid w:val="0014683D"/>
    <w:rsid w:val="001468DD"/>
    <w:rsid w:val="001473DB"/>
    <w:rsid w:val="00147BD5"/>
    <w:rsid w:val="001503E6"/>
    <w:rsid w:val="00150511"/>
    <w:rsid w:val="00150A78"/>
    <w:rsid w:val="00150B5F"/>
    <w:rsid w:val="00152245"/>
    <w:rsid w:val="00152335"/>
    <w:rsid w:val="00152884"/>
    <w:rsid w:val="00152D7A"/>
    <w:rsid w:val="00153357"/>
    <w:rsid w:val="0015392C"/>
    <w:rsid w:val="00153ACA"/>
    <w:rsid w:val="00153D4B"/>
    <w:rsid w:val="00153F6A"/>
    <w:rsid w:val="001543F3"/>
    <w:rsid w:val="00154625"/>
    <w:rsid w:val="001547CD"/>
    <w:rsid w:val="00154E49"/>
    <w:rsid w:val="00155994"/>
    <w:rsid w:val="00155D90"/>
    <w:rsid w:val="001566CD"/>
    <w:rsid w:val="00156B96"/>
    <w:rsid w:val="00156D18"/>
    <w:rsid w:val="001573E3"/>
    <w:rsid w:val="0015781A"/>
    <w:rsid w:val="00157CB0"/>
    <w:rsid w:val="00157E9F"/>
    <w:rsid w:val="00160262"/>
    <w:rsid w:val="001609C2"/>
    <w:rsid w:val="00160C27"/>
    <w:rsid w:val="001618D2"/>
    <w:rsid w:val="00161969"/>
    <w:rsid w:val="00161DDB"/>
    <w:rsid w:val="00162CE8"/>
    <w:rsid w:val="00162D5F"/>
    <w:rsid w:val="00162E10"/>
    <w:rsid w:val="00162F3F"/>
    <w:rsid w:val="00163807"/>
    <w:rsid w:val="001640EB"/>
    <w:rsid w:val="00164553"/>
    <w:rsid w:val="00165193"/>
    <w:rsid w:val="00165277"/>
    <w:rsid w:val="00165E0B"/>
    <w:rsid w:val="00166507"/>
    <w:rsid w:val="00166BF8"/>
    <w:rsid w:val="00166CE6"/>
    <w:rsid w:val="00166F39"/>
    <w:rsid w:val="0016716A"/>
    <w:rsid w:val="00167732"/>
    <w:rsid w:val="00167F0C"/>
    <w:rsid w:val="00170164"/>
    <w:rsid w:val="00170A82"/>
    <w:rsid w:val="001724E5"/>
    <w:rsid w:val="00173D0C"/>
    <w:rsid w:val="00173DEE"/>
    <w:rsid w:val="00174082"/>
    <w:rsid w:val="00176459"/>
    <w:rsid w:val="0017675E"/>
    <w:rsid w:val="00177859"/>
    <w:rsid w:val="001779F5"/>
    <w:rsid w:val="00177B20"/>
    <w:rsid w:val="0018013E"/>
    <w:rsid w:val="001808EE"/>
    <w:rsid w:val="0018100C"/>
    <w:rsid w:val="00181E51"/>
    <w:rsid w:val="001825AE"/>
    <w:rsid w:val="0018282D"/>
    <w:rsid w:val="00182EB1"/>
    <w:rsid w:val="00182FE7"/>
    <w:rsid w:val="00183B2F"/>
    <w:rsid w:val="00183E95"/>
    <w:rsid w:val="0018438A"/>
    <w:rsid w:val="0018590A"/>
    <w:rsid w:val="00186620"/>
    <w:rsid w:val="001866B7"/>
    <w:rsid w:val="001876BD"/>
    <w:rsid w:val="00187A0D"/>
    <w:rsid w:val="00187D79"/>
    <w:rsid w:val="00190E5D"/>
    <w:rsid w:val="00191057"/>
    <w:rsid w:val="00192E35"/>
    <w:rsid w:val="0019317D"/>
    <w:rsid w:val="001934A7"/>
    <w:rsid w:val="0019426B"/>
    <w:rsid w:val="001947B9"/>
    <w:rsid w:val="0019549F"/>
    <w:rsid w:val="00196559"/>
    <w:rsid w:val="0019660D"/>
    <w:rsid w:val="001969CB"/>
    <w:rsid w:val="00197070"/>
    <w:rsid w:val="00197ABD"/>
    <w:rsid w:val="00197E5D"/>
    <w:rsid w:val="00197FD5"/>
    <w:rsid w:val="001A0423"/>
    <w:rsid w:val="001A0BD8"/>
    <w:rsid w:val="001A15A5"/>
    <w:rsid w:val="001A15FB"/>
    <w:rsid w:val="001A1965"/>
    <w:rsid w:val="001A1C0B"/>
    <w:rsid w:val="001A1C0F"/>
    <w:rsid w:val="001A377D"/>
    <w:rsid w:val="001A3B03"/>
    <w:rsid w:val="001A3E63"/>
    <w:rsid w:val="001A4051"/>
    <w:rsid w:val="001A4559"/>
    <w:rsid w:val="001A4736"/>
    <w:rsid w:val="001A6093"/>
    <w:rsid w:val="001A617E"/>
    <w:rsid w:val="001A687B"/>
    <w:rsid w:val="001A6A09"/>
    <w:rsid w:val="001B0922"/>
    <w:rsid w:val="001B138B"/>
    <w:rsid w:val="001B1B21"/>
    <w:rsid w:val="001B1FC0"/>
    <w:rsid w:val="001B23BF"/>
    <w:rsid w:val="001B2A62"/>
    <w:rsid w:val="001B2E6F"/>
    <w:rsid w:val="001B2F3D"/>
    <w:rsid w:val="001B3422"/>
    <w:rsid w:val="001B3AFE"/>
    <w:rsid w:val="001B3BE8"/>
    <w:rsid w:val="001B4C93"/>
    <w:rsid w:val="001B4DED"/>
    <w:rsid w:val="001B5037"/>
    <w:rsid w:val="001B53C3"/>
    <w:rsid w:val="001B6115"/>
    <w:rsid w:val="001B69F9"/>
    <w:rsid w:val="001B6ED7"/>
    <w:rsid w:val="001B6FDA"/>
    <w:rsid w:val="001B77D3"/>
    <w:rsid w:val="001B7F06"/>
    <w:rsid w:val="001B7FCA"/>
    <w:rsid w:val="001C0A09"/>
    <w:rsid w:val="001C0FB2"/>
    <w:rsid w:val="001C1088"/>
    <w:rsid w:val="001C1099"/>
    <w:rsid w:val="001C155E"/>
    <w:rsid w:val="001C18BC"/>
    <w:rsid w:val="001C1EF4"/>
    <w:rsid w:val="001C234F"/>
    <w:rsid w:val="001C2C13"/>
    <w:rsid w:val="001C2E4D"/>
    <w:rsid w:val="001C358D"/>
    <w:rsid w:val="001C3735"/>
    <w:rsid w:val="001C40FA"/>
    <w:rsid w:val="001C424F"/>
    <w:rsid w:val="001C4441"/>
    <w:rsid w:val="001C45F4"/>
    <w:rsid w:val="001C4642"/>
    <w:rsid w:val="001C4C02"/>
    <w:rsid w:val="001C73AB"/>
    <w:rsid w:val="001C7709"/>
    <w:rsid w:val="001C7897"/>
    <w:rsid w:val="001C7D34"/>
    <w:rsid w:val="001D0C60"/>
    <w:rsid w:val="001D1636"/>
    <w:rsid w:val="001D1638"/>
    <w:rsid w:val="001D2091"/>
    <w:rsid w:val="001D28D0"/>
    <w:rsid w:val="001D47C1"/>
    <w:rsid w:val="001D5A7E"/>
    <w:rsid w:val="001D5CBF"/>
    <w:rsid w:val="001D6418"/>
    <w:rsid w:val="001D678B"/>
    <w:rsid w:val="001D7208"/>
    <w:rsid w:val="001D73D9"/>
    <w:rsid w:val="001D7962"/>
    <w:rsid w:val="001E0037"/>
    <w:rsid w:val="001E00C4"/>
    <w:rsid w:val="001E02C5"/>
    <w:rsid w:val="001E0630"/>
    <w:rsid w:val="001E0A2F"/>
    <w:rsid w:val="001E0CEB"/>
    <w:rsid w:val="001E0FB2"/>
    <w:rsid w:val="001E155B"/>
    <w:rsid w:val="001E1A54"/>
    <w:rsid w:val="001E265F"/>
    <w:rsid w:val="001E2BA7"/>
    <w:rsid w:val="001E2E34"/>
    <w:rsid w:val="001E3027"/>
    <w:rsid w:val="001E3457"/>
    <w:rsid w:val="001E3826"/>
    <w:rsid w:val="001E455D"/>
    <w:rsid w:val="001E4666"/>
    <w:rsid w:val="001E4BAD"/>
    <w:rsid w:val="001E54DD"/>
    <w:rsid w:val="001E54EC"/>
    <w:rsid w:val="001E57FB"/>
    <w:rsid w:val="001E5C69"/>
    <w:rsid w:val="001E61BF"/>
    <w:rsid w:val="001E6967"/>
    <w:rsid w:val="001E6CFD"/>
    <w:rsid w:val="001E6DCE"/>
    <w:rsid w:val="001E722E"/>
    <w:rsid w:val="001F0721"/>
    <w:rsid w:val="001F0EDE"/>
    <w:rsid w:val="001F1CCD"/>
    <w:rsid w:val="001F1EB1"/>
    <w:rsid w:val="001F203E"/>
    <w:rsid w:val="001F2AA8"/>
    <w:rsid w:val="001F38FE"/>
    <w:rsid w:val="001F4082"/>
    <w:rsid w:val="001F44C4"/>
    <w:rsid w:val="001F4BC5"/>
    <w:rsid w:val="001F546E"/>
    <w:rsid w:val="001F5790"/>
    <w:rsid w:val="001F5C5F"/>
    <w:rsid w:val="001F5E7D"/>
    <w:rsid w:val="001F64C4"/>
    <w:rsid w:val="001F67B0"/>
    <w:rsid w:val="001F6D9D"/>
    <w:rsid w:val="001F7502"/>
    <w:rsid w:val="001F7CC9"/>
    <w:rsid w:val="001F7D89"/>
    <w:rsid w:val="00200374"/>
    <w:rsid w:val="00200406"/>
    <w:rsid w:val="00200833"/>
    <w:rsid w:val="00200DCE"/>
    <w:rsid w:val="002018A8"/>
    <w:rsid w:val="002024B0"/>
    <w:rsid w:val="00202B83"/>
    <w:rsid w:val="00202BD8"/>
    <w:rsid w:val="002031DD"/>
    <w:rsid w:val="0020351B"/>
    <w:rsid w:val="002038F1"/>
    <w:rsid w:val="002039E4"/>
    <w:rsid w:val="002039F4"/>
    <w:rsid w:val="00203A5C"/>
    <w:rsid w:val="00203CB9"/>
    <w:rsid w:val="002043C8"/>
    <w:rsid w:val="00204643"/>
    <w:rsid w:val="00204C75"/>
    <w:rsid w:val="0020530C"/>
    <w:rsid w:val="00205320"/>
    <w:rsid w:val="002055FC"/>
    <w:rsid w:val="00205974"/>
    <w:rsid w:val="0020686B"/>
    <w:rsid w:val="00207058"/>
    <w:rsid w:val="00207D26"/>
    <w:rsid w:val="00210662"/>
    <w:rsid w:val="00210DB6"/>
    <w:rsid w:val="002110FC"/>
    <w:rsid w:val="00211924"/>
    <w:rsid w:val="00211C3F"/>
    <w:rsid w:val="00211DB5"/>
    <w:rsid w:val="00212029"/>
    <w:rsid w:val="002127C4"/>
    <w:rsid w:val="00212EA1"/>
    <w:rsid w:val="00213241"/>
    <w:rsid w:val="0021352D"/>
    <w:rsid w:val="002145E7"/>
    <w:rsid w:val="002146C3"/>
    <w:rsid w:val="00214970"/>
    <w:rsid w:val="0021565A"/>
    <w:rsid w:val="00215C57"/>
    <w:rsid w:val="00216585"/>
    <w:rsid w:val="00216AD2"/>
    <w:rsid w:val="0021705C"/>
    <w:rsid w:val="00217B03"/>
    <w:rsid w:val="00220212"/>
    <w:rsid w:val="00220B17"/>
    <w:rsid w:val="00220C4D"/>
    <w:rsid w:val="00221177"/>
    <w:rsid w:val="0022134A"/>
    <w:rsid w:val="002222C0"/>
    <w:rsid w:val="00222D48"/>
    <w:rsid w:val="002238E0"/>
    <w:rsid w:val="00223EED"/>
    <w:rsid w:val="00224561"/>
    <w:rsid w:val="002245C3"/>
    <w:rsid w:val="00224A26"/>
    <w:rsid w:val="00224F74"/>
    <w:rsid w:val="00225049"/>
    <w:rsid w:val="002258D1"/>
    <w:rsid w:val="002258E0"/>
    <w:rsid w:val="00225E9C"/>
    <w:rsid w:val="002261EB"/>
    <w:rsid w:val="002264C7"/>
    <w:rsid w:val="00226739"/>
    <w:rsid w:val="00226E2D"/>
    <w:rsid w:val="00230A80"/>
    <w:rsid w:val="00231148"/>
    <w:rsid w:val="00231996"/>
    <w:rsid w:val="00232007"/>
    <w:rsid w:val="002328DB"/>
    <w:rsid w:val="00233591"/>
    <w:rsid w:val="00234B8C"/>
    <w:rsid w:val="00234E00"/>
    <w:rsid w:val="00235479"/>
    <w:rsid w:val="0023571D"/>
    <w:rsid w:val="00236576"/>
    <w:rsid w:val="00241410"/>
    <w:rsid w:val="00241DB4"/>
    <w:rsid w:val="00241E7B"/>
    <w:rsid w:val="00241FF1"/>
    <w:rsid w:val="00242419"/>
    <w:rsid w:val="0024242E"/>
    <w:rsid w:val="00242769"/>
    <w:rsid w:val="0024417A"/>
    <w:rsid w:val="00244996"/>
    <w:rsid w:val="002450A4"/>
    <w:rsid w:val="0024642C"/>
    <w:rsid w:val="0024659E"/>
    <w:rsid w:val="00247B99"/>
    <w:rsid w:val="00250C12"/>
    <w:rsid w:val="00251031"/>
    <w:rsid w:val="00251085"/>
    <w:rsid w:val="00251640"/>
    <w:rsid w:val="00251855"/>
    <w:rsid w:val="00251BEA"/>
    <w:rsid w:val="0025234D"/>
    <w:rsid w:val="00252A08"/>
    <w:rsid w:val="00252A9F"/>
    <w:rsid w:val="00253EE2"/>
    <w:rsid w:val="002542B4"/>
    <w:rsid w:val="00254447"/>
    <w:rsid w:val="002548FE"/>
    <w:rsid w:val="00254F2B"/>
    <w:rsid w:val="002551BC"/>
    <w:rsid w:val="0025540B"/>
    <w:rsid w:val="00255451"/>
    <w:rsid w:val="00255978"/>
    <w:rsid w:val="00255CEE"/>
    <w:rsid w:val="0025607A"/>
    <w:rsid w:val="002568B7"/>
    <w:rsid w:val="0025769A"/>
    <w:rsid w:val="00257D57"/>
    <w:rsid w:val="002606B9"/>
    <w:rsid w:val="002606BF"/>
    <w:rsid w:val="00260AE9"/>
    <w:rsid w:val="00260F27"/>
    <w:rsid w:val="0026135B"/>
    <w:rsid w:val="0026231C"/>
    <w:rsid w:val="00262AF8"/>
    <w:rsid w:val="002633C7"/>
    <w:rsid w:val="002636F3"/>
    <w:rsid w:val="0026430A"/>
    <w:rsid w:val="00264BF6"/>
    <w:rsid w:val="00264F7D"/>
    <w:rsid w:val="002656A4"/>
    <w:rsid w:val="002659F4"/>
    <w:rsid w:val="00265F60"/>
    <w:rsid w:val="0026657C"/>
    <w:rsid w:val="00267247"/>
    <w:rsid w:val="002679E6"/>
    <w:rsid w:val="00270267"/>
    <w:rsid w:val="00271217"/>
    <w:rsid w:val="00271546"/>
    <w:rsid w:val="00271DBC"/>
    <w:rsid w:val="002732E2"/>
    <w:rsid w:val="0027357C"/>
    <w:rsid w:val="00273E02"/>
    <w:rsid w:val="00274A61"/>
    <w:rsid w:val="00274DC3"/>
    <w:rsid w:val="0027521B"/>
    <w:rsid w:val="00275913"/>
    <w:rsid w:val="002759A0"/>
    <w:rsid w:val="0027607D"/>
    <w:rsid w:val="002761A5"/>
    <w:rsid w:val="002763C6"/>
    <w:rsid w:val="00276F28"/>
    <w:rsid w:val="00277164"/>
    <w:rsid w:val="002771CB"/>
    <w:rsid w:val="0027730F"/>
    <w:rsid w:val="00277EB0"/>
    <w:rsid w:val="00277F3E"/>
    <w:rsid w:val="00280FDC"/>
    <w:rsid w:val="0028139F"/>
    <w:rsid w:val="002816C3"/>
    <w:rsid w:val="002818A9"/>
    <w:rsid w:val="00281D26"/>
    <w:rsid w:val="00282B07"/>
    <w:rsid w:val="002833F5"/>
    <w:rsid w:val="002838A4"/>
    <w:rsid w:val="00284BD5"/>
    <w:rsid w:val="00284D25"/>
    <w:rsid w:val="00284DCB"/>
    <w:rsid w:val="00284FAA"/>
    <w:rsid w:val="00285365"/>
    <w:rsid w:val="0028550D"/>
    <w:rsid w:val="002872C2"/>
    <w:rsid w:val="002879B1"/>
    <w:rsid w:val="00287BCF"/>
    <w:rsid w:val="00287E07"/>
    <w:rsid w:val="002903F4"/>
    <w:rsid w:val="0029067B"/>
    <w:rsid w:val="002914C5"/>
    <w:rsid w:val="002922EA"/>
    <w:rsid w:val="0029243D"/>
    <w:rsid w:val="002928DA"/>
    <w:rsid w:val="00293008"/>
    <w:rsid w:val="00293244"/>
    <w:rsid w:val="00293694"/>
    <w:rsid w:val="002945C4"/>
    <w:rsid w:val="00294C56"/>
    <w:rsid w:val="002959BC"/>
    <w:rsid w:val="00296571"/>
    <w:rsid w:val="00296F67"/>
    <w:rsid w:val="00296F6A"/>
    <w:rsid w:val="002977B3"/>
    <w:rsid w:val="002978A5"/>
    <w:rsid w:val="00297FC1"/>
    <w:rsid w:val="002A06DA"/>
    <w:rsid w:val="002A1719"/>
    <w:rsid w:val="002A1B0A"/>
    <w:rsid w:val="002A1B47"/>
    <w:rsid w:val="002A2066"/>
    <w:rsid w:val="002A25BB"/>
    <w:rsid w:val="002A2DDE"/>
    <w:rsid w:val="002A2DE6"/>
    <w:rsid w:val="002A2E15"/>
    <w:rsid w:val="002A3176"/>
    <w:rsid w:val="002A35FD"/>
    <w:rsid w:val="002A455D"/>
    <w:rsid w:val="002A4EC9"/>
    <w:rsid w:val="002A5685"/>
    <w:rsid w:val="002A56A2"/>
    <w:rsid w:val="002A5F06"/>
    <w:rsid w:val="002A665D"/>
    <w:rsid w:val="002A66A1"/>
    <w:rsid w:val="002A67E4"/>
    <w:rsid w:val="002A6874"/>
    <w:rsid w:val="002A6E30"/>
    <w:rsid w:val="002A721D"/>
    <w:rsid w:val="002A7354"/>
    <w:rsid w:val="002A7AB6"/>
    <w:rsid w:val="002B0028"/>
    <w:rsid w:val="002B04F6"/>
    <w:rsid w:val="002B050B"/>
    <w:rsid w:val="002B05CC"/>
    <w:rsid w:val="002B0B5B"/>
    <w:rsid w:val="002B108A"/>
    <w:rsid w:val="002B13D7"/>
    <w:rsid w:val="002B15D4"/>
    <w:rsid w:val="002B177E"/>
    <w:rsid w:val="002B17AD"/>
    <w:rsid w:val="002B18AA"/>
    <w:rsid w:val="002B21F6"/>
    <w:rsid w:val="002B284E"/>
    <w:rsid w:val="002B2C0B"/>
    <w:rsid w:val="002B3329"/>
    <w:rsid w:val="002B3491"/>
    <w:rsid w:val="002B3942"/>
    <w:rsid w:val="002B3BC7"/>
    <w:rsid w:val="002B4734"/>
    <w:rsid w:val="002B5147"/>
    <w:rsid w:val="002B5219"/>
    <w:rsid w:val="002B5744"/>
    <w:rsid w:val="002B57CC"/>
    <w:rsid w:val="002B5C45"/>
    <w:rsid w:val="002B5D20"/>
    <w:rsid w:val="002B6BDA"/>
    <w:rsid w:val="002B7503"/>
    <w:rsid w:val="002B7802"/>
    <w:rsid w:val="002B7E58"/>
    <w:rsid w:val="002C027D"/>
    <w:rsid w:val="002C02BB"/>
    <w:rsid w:val="002C0D2A"/>
    <w:rsid w:val="002C1610"/>
    <w:rsid w:val="002C17DF"/>
    <w:rsid w:val="002C1B6C"/>
    <w:rsid w:val="002C1E15"/>
    <w:rsid w:val="002C1E3A"/>
    <w:rsid w:val="002C1E9A"/>
    <w:rsid w:val="002C206D"/>
    <w:rsid w:val="002C2598"/>
    <w:rsid w:val="002C2CED"/>
    <w:rsid w:val="002C2F74"/>
    <w:rsid w:val="002C3746"/>
    <w:rsid w:val="002C3D49"/>
    <w:rsid w:val="002C40F0"/>
    <w:rsid w:val="002C410D"/>
    <w:rsid w:val="002C4450"/>
    <w:rsid w:val="002C4E65"/>
    <w:rsid w:val="002C52B1"/>
    <w:rsid w:val="002C5818"/>
    <w:rsid w:val="002C6636"/>
    <w:rsid w:val="002C6941"/>
    <w:rsid w:val="002C6E2F"/>
    <w:rsid w:val="002C70F2"/>
    <w:rsid w:val="002C7276"/>
    <w:rsid w:val="002C75CC"/>
    <w:rsid w:val="002C7624"/>
    <w:rsid w:val="002C7CD7"/>
    <w:rsid w:val="002D0C4A"/>
    <w:rsid w:val="002D16CB"/>
    <w:rsid w:val="002D16E4"/>
    <w:rsid w:val="002D1B95"/>
    <w:rsid w:val="002D1DFA"/>
    <w:rsid w:val="002D1F5E"/>
    <w:rsid w:val="002D31A1"/>
    <w:rsid w:val="002D353C"/>
    <w:rsid w:val="002D5497"/>
    <w:rsid w:val="002D5A69"/>
    <w:rsid w:val="002D6EBA"/>
    <w:rsid w:val="002D70B1"/>
    <w:rsid w:val="002D7233"/>
    <w:rsid w:val="002D74BF"/>
    <w:rsid w:val="002D78EF"/>
    <w:rsid w:val="002E04B8"/>
    <w:rsid w:val="002E0824"/>
    <w:rsid w:val="002E1107"/>
    <w:rsid w:val="002E12E5"/>
    <w:rsid w:val="002E1A1C"/>
    <w:rsid w:val="002E1A7A"/>
    <w:rsid w:val="002E1ABD"/>
    <w:rsid w:val="002E1EE0"/>
    <w:rsid w:val="002E1F5F"/>
    <w:rsid w:val="002E28B7"/>
    <w:rsid w:val="002E2CA2"/>
    <w:rsid w:val="002E2E34"/>
    <w:rsid w:val="002E32F4"/>
    <w:rsid w:val="002E3357"/>
    <w:rsid w:val="002E33C5"/>
    <w:rsid w:val="002E3F1E"/>
    <w:rsid w:val="002E4B2A"/>
    <w:rsid w:val="002E4E73"/>
    <w:rsid w:val="002E5272"/>
    <w:rsid w:val="002E582F"/>
    <w:rsid w:val="002E5B8A"/>
    <w:rsid w:val="002E5C9B"/>
    <w:rsid w:val="002E62F5"/>
    <w:rsid w:val="002E6EA2"/>
    <w:rsid w:val="002E6F59"/>
    <w:rsid w:val="002E6F8B"/>
    <w:rsid w:val="002E7B14"/>
    <w:rsid w:val="002F0165"/>
    <w:rsid w:val="002F08B4"/>
    <w:rsid w:val="002F0B42"/>
    <w:rsid w:val="002F10AA"/>
    <w:rsid w:val="002F116D"/>
    <w:rsid w:val="002F143C"/>
    <w:rsid w:val="002F1F4D"/>
    <w:rsid w:val="002F21A3"/>
    <w:rsid w:val="002F24AA"/>
    <w:rsid w:val="002F2B02"/>
    <w:rsid w:val="002F2E20"/>
    <w:rsid w:val="002F3AD2"/>
    <w:rsid w:val="002F40EA"/>
    <w:rsid w:val="002F50D2"/>
    <w:rsid w:val="002F51DF"/>
    <w:rsid w:val="002F533C"/>
    <w:rsid w:val="002F5563"/>
    <w:rsid w:val="002F6642"/>
    <w:rsid w:val="002F6EB2"/>
    <w:rsid w:val="002F6F16"/>
    <w:rsid w:val="002F775B"/>
    <w:rsid w:val="002F7792"/>
    <w:rsid w:val="00300634"/>
    <w:rsid w:val="00300A0F"/>
    <w:rsid w:val="0030145D"/>
    <w:rsid w:val="003017FB"/>
    <w:rsid w:val="0030285F"/>
    <w:rsid w:val="0030296E"/>
    <w:rsid w:val="00302A61"/>
    <w:rsid w:val="00302EAD"/>
    <w:rsid w:val="0030386C"/>
    <w:rsid w:val="00303EC0"/>
    <w:rsid w:val="00304305"/>
    <w:rsid w:val="0030449A"/>
    <w:rsid w:val="00304F1C"/>
    <w:rsid w:val="00305863"/>
    <w:rsid w:val="003058A1"/>
    <w:rsid w:val="00306148"/>
    <w:rsid w:val="00306459"/>
    <w:rsid w:val="0030653F"/>
    <w:rsid w:val="00307362"/>
    <w:rsid w:val="00307982"/>
    <w:rsid w:val="00307FE3"/>
    <w:rsid w:val="00310362"/>
    <w:rsid w:val="00310373"/>
    <w:rsid w:val="00310897"/>
    <w:rsid w:val="00310BCF"/>
    <w:rsid w:val="0031196A"/>
    <w:rsid w:val="00311E31"/>
    <w:rsid w:val="00311ECB"/>
    <w:rsid w:val="00311EE9"/>
    <w:rsid w:val="003120B3"/>
    <w:rsid w:val="00312988"/>
    <w:rsid w:val="00313CBE"/>
    <w:rsid w:val="00313F2E"/>
    <w:rsid w:val="003142D8"/>
    <w:rsid w:val="0031620B"/>
    <w:rsid w:val="0031676D"/>
    <w:rsid w:val="00316DB0"/>
    <w:rsid w:val="00316DD4"/>
    <w:rsid w:val="00316EE9"/>
    <w:rsid w:val="0031725C"/>
    <w:rsid w:val="0032046E"/>
    <w:rsid w:val="003204C4"/>
    <w:rsid w:val="00321024"/>
    <w:rsid w:val="003218EC"/>
    <w:rsid w:val="00321CCC"/>
    <w:rsid w:val="00321D18"/>
    <w:rsid w:val="00322348"/>
    <w:rsid w:val="00322A66"/>
    <w:rsid w:val="00323EE1"/>
    <w:rsid w:val="003243EE"/>
    <w:rsid w:val="003248B6"/>
    <w:rsid w:val="00324E12"/>
    <w:rsid w:val="003253F5"/>
    <w:rsid w:val="00325878"/>
    <w:rsid w:val="003259CA"/>
    <w:rsid w:val="003266D2"/>
    <w:rsid w:val="003267EE"/>
    <w:rsid w:val="00327041"/>
    <w:rsid w:val="003271C3"/>
    <w:rsid w:val="00327A52"/>
    <w:rsid w:val="00327C31"/>
    <w:rsid w:val="00327F42"/>
    <w:rsid w:val="00330294"/>
    <w:rsid w:val="00330328"/>
    <w:rsid w:val="00330568"/>
    <w:rsid w:val="00330B36"/>
    <w:rsid w:val="003316D7"/>
    <w:rsid w:val="00332432"/>
    <w:rsid w:val="00332729"/>
    <w:rsid w:val="003331B2"/>
    <w:rsid w:val="003331D0"/>
    <w:rsid w:val="0033338D"/>
    <w:rsid w:val="0033406E"/>
    <w:rsid w:val="00334D7B"/>
    <w:rsid w:val="00334F92"/>
    <w:rsid w:val="00335216"/>
    <w:rsid w:val="00335361"/>
    <w:rsid w:val="003355C1"/>
    <w:rsid w:val="0033602C"/>
    <w:rsid w:val="0033619C"/>
    <w:rsid w:val="003365AA"/>
    <w:rsid w:val="003366AB"/>
    <w:rsid w:val="003366F0"/>
    <w:rsid w:val="00336DBF"/>
    <w:rsid w:val="00337760"/>
    <w:rsid w:val="00337CAB"/>
    <w:rsid w:val="00337CB0"/>
    <w:rsid w:val="00341054"/>
    <w:rsid w:val="00341B80"/>
    <w:rsid w:val="003425B3"/>
    <w:rsid w:val="00342830"/>
    <w:rsid w:val="0034316F"/>
    <w:rsid w:val="003434C4"/>
    <w:rsid w:val="00344157"/>
    <w:rsid w:val="00344539"/>
    <w:rsid w:val="00345CA8"/>
    <w:rsid w:val="00346027"/>
    <w:rsid w:val="00346371"/>
    <w:rsid w:val="00346E56"/>
    <w:rsid w:val="003472D9"/>
    <w:rsid w:val="003479AA"/>
    <w:rsid w:val="00347C71"/>
    <w:rsid w:val="003502D7"/>
    <w:rsid w:val="00350506"/>
    <w:rsid w:val="0035094A"/>
    <w:rsid w:val="00350970"/>
    <w:rsid w:val="0035098C"/>
    <w:rsid w:val="00350CF5"/>
    <w:rsid w:val="0035138E"/>
    <w:rsid w:val="003515F1"/>
    <w:rsid w:val="003524C2"/>
    <w:rsid w:val="003525A8"/>
    <w:rsid w:val="003526AC"/>
    <w:rsid w:val="003526B1"/>
    <w:rsid w:val="003527A3"/>
    <w:rsid w:val="00352C01"/>
    <w:rsid w:val="003532EE"/>
    <w:rsid w:val="0035385E"/>
    <w:rsid w:val="003538CB"/>
    <w:rsid w:val="003544D0"/>
    <w:rsid w:val="00354977"/>
    <w:rsid w:val="00354D23"/>
    <w:rsid w:val="003552A5"/>
    <w:rsid w:val="003554CB"/>
    <w:rsid w:val="003556DB"/>
    <w:rsid w:val="0035593C"/>
    <w:rsid w:val="00355B85"/>
    <w:rsid w:val="00355FF4"/>
    <w:rsid w:val="003563D1"/>
    <w:rsid w:val="00356B10"/>
    <w:rsid w:val="00356C4D"/>
    <w:rsid w:val="00357DD7"/>
    <w:rsid w:val="003603BB"/>
    <w:rsid w:val="00360BBF"/>
    <w:rsid w:val="0036105E"/>
    <w:rsid w:val="00361D6E"/>
    <w:rsid w:val="00361DC0"/>
    <w:rsid w:val="00362780"/>
    <w:rsid w:val="0036292F"/>
    <w:rsid w:val="00362951"/>
    <w:rsid w:val="003634A5"/>
    <w:rsid w:val="00363B74"/>
    <w:rsid w:val="00364103"/>
    <w:rsid w:val="00364128"/>
    <w:rsid w:val="00364ABE"/>
    <w:rsid w:val="003661FB"/>
    <w:rsid w:val="0036700F"/>
    <w:rsid w:val="00367C13"/>
    <w:rsid w:val="00367E07"/>
    <w:rsid w:val="0037017A"/>
    <w:rsid w:val="00370B52"/>
    <w:rsid w:val="003712C1"/>
    <w:rsid w:val="00371446"/>
    <w:rsid w:val="00371D11"/>
    <w:rsid w:val="00371EB5"/>
    <w:rsid w:val="0037216B"/>
    <w:rsid w:val="0037229D"/>
    <w:rsid w:val="0037234B"/>
    <w:rsid w:val="00372BD9"/>
    <w:rsid w:val="00372C4F"/>
    <w:rsid w:val="0037325E"/>
    <w:rsid w:val="0037390A"/>
    <w:rsid w:val="00373A0D"/>
    <w:rsid w:val="0037407F"/>
    <w:rsid w:val="003742F7"/>
    <w:rsid w:val="003744FD"/>
    <w:rsid w:val="00375031"/>
    <w:rsid w:val="0037516F"/>
    <w:rsid w:val="00375397"/>
    <w:rsid w:val="0037581E"/>
    <w:rsid w:val="00375822"/>
    <w:rsid w:val="00375DE5"/>
    <w:rsid w:val="00376234"/>
    <w:rsid w:val="00376D25"/>
    <w:rsid w:val="00377B6C"/>
    <w:rsid w:val="00380896"/>
    <w:rsid w:val="003809AF"/>
    <w:rsid w:val="00380D6A"/>
    <w:rsid w:val="00381189"/>
    <w:rsid w:val="003815EF"/>
    <w:rsid w:val="00381AF7"/>
    <w:rsid w:val="0038241E"/>
    <w:rsid w:val="00382ED9"/>
    <w:rsid w:val="003833E9"/>
    <w:rsid w:val="00383420"/>
    <w:rsid w:val="003840C9"/>
    <w:rsid w:val="00384C60"/>
    <w:rsid w:val="00385D3F"/>
    <w:rsid w:val="003862D0"/>
    <w:rsid w:val="00386F37"/>
    <w:rsid w:val="00386FB5"/>
    <w:rsid w:val="0038730B"/>
    <w:rsid w:val="003875CE"/>
    <w:rsid w:val="0038768B"/>
    <w:rsid w:val="00387694"/>
    <w:rsid w:val="003903A5"/>
    <w:rsid w:val="0039041F"/>
    <w:rsid w:val="0039074C"/>
    <w:rsid w:val="00390860"/>
    <w:rsid w:val="00390B4E"/>
    <w:rsid w:val="00390DE2"/>
    <w:rsid w:val="00391282"/>
    <w:rsid w:val="003913F3"/>
    <w:rsid w:val="003914D7"/>
    <w:rsid w:val="0039191C"/>
    <w:rsid w:val="00392125"/>
    <w:rsid w:val="00392217"/>
    <w:rsid w:val="003923A6"/>
    <w:rsid w:val="0039269C"/>
    <w:rsid w:val="00392753"/>
    <w:rsid w:val="00392950"/>
    <w:rsid w:val="0039300F"/>
    <w:rsid w:val="0039351D"/>
    <w:rsid w:val="00393DE9"/>
    <w:rsid w:val="0039490C"/>
    <w:rsid w:val="0039536D"/>
    <w:rsid w:val="003958CE"/>
    <w:rsid w:val="00395A40"/>
    <w:rsid w:val="00395D93"/>
    <w:rsid w:val="00395E7E"/>
    <w:rsid w:val="00396818"/>
    <w:rsid w:val="00397108"/>
    <w:rsid w:val="0039787D"/>
    <w:rsid w:val="00397C93"/>
    <w:rsid w:val="003A004F"/>
    <w:rsid w:val="003A036E"/>
    <w:rsid w:val="003A0E8F"/>
    <w:rsid w:val="003A16A1"/>
    <w:rsid w:val="003A1B27"/>
    <w:rsid w:val="003A1F06"/>
    <w:rsid w:val="003A25A1"/>
    <w:rsid w:val="003A2822"/>
    <w:rsid w:val="003A2E62"/>
    <w:rsid w:val="003A3093"/>
    <w:rsid w:val="003A32BC"/>
    <w:rsid w:val="003A3B51"/>
    <w:rsid w:val="003A4389"/>
    <w:rsid w:val="003A4B91"/>
    <w:rsid w:val="003A6868"/>
    <w:rsid w:val="003A7472"/>
    <w:rsid w:val="003A7B77"/>
    <w:rsid w:val="003A7BF9"/>
    <w:rsid w:val="003B12CD"/>
    <w:rsid w:val="003B1549"/>
    <w:rsid w:val="003B18D4"/>
    <w:rsid w:val="003B3066"/>
    <w:rsid w:val="003B3750"/>
    <w:rsid w:val="003B3E2A"/>
    <w:rsid w:val="003B404E"/>
    <w:rsid w:val="003B406B"/>
    <w:rsid w:val="003B47AE"/>
    <w:rsid w:val="003B480A"/>
    <w:rsid w:val="003B49B8"/>
    <w:rsid w:val="003B6057"/>
    <w:rsid w:val="003B6B05"/>
    <w:rsid w:val="003B7294"/>
    <w:rsid w:val="003B7574"/>
    <w:rsid w:val="003B7DD1"/>
    <w:rsid w:val="003C035E"/>
    <w:rsid w:val="003C0489"/>
    <w:rsid w:val="003C1245"/>
    <w:rsid w:val="003C2CC9"/>
    <w:rsid w:val="003C325D"/>
    <w:rsid w:val="003C4C65"/>
    <w:rsid w:val="003C623C"/>
    <w:rsid w:val="003C651D"/>
    <w:rsid w:val="003C6655"/>
    <w:rsid w:val="003C6900"/>
    <w:rsid w:val="003C70C3"/>
    <w:rsid w:val="003C7C93"/>
    <w:rsid w:val="003D009E"/>
    <w:rsid w:val="003D0D3B"/>
    <w:rsid w:val="003D1B5C"/>
    <w:rsid w:val="003D22F3"/>
    <w:rsid w:val="003D261F"/>
    <w:rsid w:val="003D3DA6"/>
    <w:rsid w:val="003D4A5F"/>
    <w:rsid w:val="003D4D8D"/>
    <w:rsid w:val="003D4FDA"/>
    <w:rsid w:val="003D5299"/>
    <w:rsid w:val="003D5767"/>
    <w:rsid w:val="003D58DE"/>
    <w:rsid w:val="003D594F"/>
    <w:rsid w:val="003D5B70"/>
    <w:rsid w:val="003D5DEA"/>
    <w:rsid w:val="003D5FCD"/>
    <w:rsid w:val="003D635A"/>
    <w:rsid w:val="003D69FE"/>
    <w:rsid w:val="003D7301"/>
    <w:rsid w:val="003D7816"/>
    <w:rsid w:val="003E0003"/>
    <w:rsid w:val="003E0EB2"/>
    <w:rsid w:val="003E0F44"/>
    <w:rsid w:val="003E1A9B"/>
    <w:rsid w:val="003E2778"/>
    <w:rsid w:val="003E4717"/>
    <w:rsid w:val="003E48C0"/>
    <w:rsid w:val="003E4BF8"/>
    <w:rsid w:val="003E5D2A"/>
    <w:rsid w:val="003E61F5"/>
    <w:rsid w:val="003E6BD7"/>
    <w:rsid w:val="003F03B8"/>
    <w:rsid w:val="003F0732"/>
    <w:rsid w:val="003F0DEB"/>
    <w:rsid w:val="003F21A4"/>
    <w:rsid w:val="003F2521"/>
    <w:rsid w:val="003F27F7"/>
    <w:rsid w:val="003F39FB"/>
    <w:rsid w:val="003F446A"/>
    <w:rsid w:val="003F4E62"/>
    <w:rsid w:val="003F5314"/>
    <w:rsid w:val="003F56FE"/>
    <w:rsid w:val="003F596E"/>
    <w:rsid w:val="003F5E8F"/>
    <w:rsid w:val="003F618D"/>
    <w:rsid w:val="003F648A"/>
    <w:rsid w:val="003F69F0"/>
    <w:rsid w:val="003F7569"/>
    <w:rsid w:val="004001B3"/>
    <w:rsid w:val="00400568"/>
    <w:rsid w:val="00400751"/>
    <w:rsid w:val="004007CE"/>
    <w:rsid w:val="00401393"/>
    <w:rsid w:val="004013B4"/>
    <w:rsid w:val="004014DB"/>
    <w:rsid w:val="0040187F"/>
    <w:rsid w:val="00401C47"/>
    <w:rsid w:val="004020BD"/>
    <w:rsid w:val="004021F9"/>
    <w:rsid w:val="00402354"/>
    <w:rsid w:val="004023E8"/>
    <w:rsid w:val="00402BD2"/>
    <w:rsid w:val="00402C0E"/>
    <w:rsid w:val="004034FA"/>
    <w:rsid w:val="0040410E"/>
    <w:rsid w:val="0040448B"/>
    <w:rsid w:val="00404818"/>
    <w:rsid w:val="00404C86"/>
    <w:rsid w:val="00404FDE"/>
    <w:rsid w:val="0040504E"/>
    <w:rsid w:val="004050FD"/>
    <w:rsid w:val="0040555E"/>
    <w:rsid w:val="00405649"/>
    <w:rsid w:val="00406318"/>
    <w:rsid w:val="00406596"/>
    <w:rsid w:val="00406D58"/>
    <w:rsid w:val="00406E4C"/>
    <w:rsid w:val="00406F75"/>
    <w:rsid w:val="00407445"/>
    <w:rsid w:val="00407A92"/>
    <w:rsid w:val="0041002F"/>
    <w:rsid w:val="0041016C"/>
    <w:rsid w:val="004109AE"/>
    <w:rsid w:val="004112C3"/>
    <w:rsid w:val="0041144E"/>
    <w:rsid w:val="00411536"/>
    <w:rsid w:val="00411B5B"/>
    <w:rsid w:val="00411CFE"/>
    <w:rsid w:val="00412676"/>
    <w:rsid w:val="00412F6D"/>
    <w:rsid w:val="004132FA"/>
    <w:rsid w:val="00413689"/>
    <w:rsid w:val="004136E2"/>
    <w:rsid w:val="00413C91"/>
    <w:rsid w:val="0041437D"/>
    <w:rsid w:val="00414EA3"/>
    <w:rsid w:val="004156E2"/>
    <w:rsid w:val="00415953"/>
    <w:rsid w:val="00416586"/>
    <w:rsid w:val="00416653"/>
    <w:rsid w:val="0041668F"/>
    <w:rsid w:val="004174E9"/>
    <w:rsid w:val="00417CA3"/>
    <w:rsid w:val="004204EF"/>
    <w:rsid w:val="004205F6"/>
    <w:rsid w:val="004207FC"/>
    <w:rsid w:val="00420948"/>
    <w:rsid w:val="00420D95"/>
    <w:rsid w:val="004212AF"/>
    <w:rsid w:val="00421837"/>
    <w:rsid w:val="004227CF"/>
    <w:rsid w:val="00422A4F"/>
    <w:rsid w:val="00422AB7"/>
    <w:rsid w:val="00422FB3"/>
    <w:rsid w:val="00422FE7"/>
    <w:rsid w:val="004233FF"/>
    <w:rsid w:val="004234A8"/>
    <w:rsid w:val="0042390F"/>
    <w:rsid w:val="0042426D"/>
    <w:rsid w:val="004245C9"/>
    <w:rsid w:val="00425617"/>
    <w:rsid w:val="00425D8E"/>
    <w:rsid w:val="0042665E"/>
    <w:rsid w:val="0042735E"/>
    <w:rsid w:val="004278D6"/>
    <w:rsid w:val="00427B19"/>
    <w:rsid w:val="00427DCB"/>
    <w:rsid w:val="00430987"/>
    <w:rsid w:val="00431BAB"/>
    <w:rsid w:val="00431C48"/>
    <w:rsid w:val="0043248F"/>
    <w:rsid w:val="00433108"/>
    <w:rsid w:val="004333B7"/>
    <w:rsid w:val="00433496"/>
    <w:rsid w:val="00434291"/>
    <w:rsid w:val="00434581"/>
    <w:rsid w:val="00434FF2"/>
    <w:rsid w:val="0043511C"/>
    <w:rsid w:val="00435373"/>
    <w:rsid w:val="004353A7"/>
    <w:rsid w:val="00435476"/>
    <w:rsid w:val="004354E2"/>
    <w:rsid w:val="00435D09"/>
    <w:rsid w:val="00436685"/>
    <w:rsid w:val="00436D39"/>
    <w:rsid w:val="00437633"/>
    <w:rsid w:val="0043777C"/>
    <w:rsid w:val="004403A8"/>
    <w:rsid w:val="004404B0"/>
    <w:rsid w:val="00441C2B"/>
    <w:rsid w:val="00441CF8"/>
    <w:rsid w:val="00441F6B"/>
    <w:rsid w:val="00441F8D"/>
    <w:rsid w:val="0044250F"/>
    <w:rsid w:val="0044266D"/>
    <w:rsid w:val="00442A0B"/>
    <w:rsid w:val="00442ED8"/>
    <w:rsid w:val="0044305F"/>
    <w:rsid w:val="0044325A"/>
    <w:rsid w:val="004434E5"/>
    <w:rsid w:val="00444434"/>
    <w:rsid w:val="00444A35"/>
    <w:rsid w:val="00445994"/>
    <w:rsid w:val="004459CF"/>
    <w:rsid w:val="00445C56"/>
    <w:rsid w:val="00446105"/>
    <w:rsid w:val="0044662B"/>
    <w:rsid w:val="004466BE"/>
    <w:rsid w:val="00446A7B"/>
    <w:rsid w:val="00447187"/>
    <w:rsid w:val="004474C8"/>
    <w:rsid w:val="00447E89"/>
    <w:rsid w:val="00447F94"/>
    <w:rsid w:val="0045006C"/>
    <w:rsid w:val="00450DDF"/>
    <w:rsid w:val="0045166A"/>
    <w:rsid w:val="00451D74"/>
    <w:rsid w:val="00451EA2"/>
    <w:rsid w:val="00451EC0"/>
    <w:rsid w:val="00452782"/>
    <w:rsid w:val="004528D0"/>
    <w:rsid w:val="00453418"/>
    <w:rsid w:val="004537AE"/>
    <w:rsid w:val="00453B74"/>
    <w:rsid w:val="00454256"/>
    <w:rsid w:val="004547B1"/>
    <w:rsid w:val="0045539E"/>
    <w:rsid w:val="00455636"/>
    <w:rsid w:val="00455D21"/>
    <w:rsid w:val="00456F00"/>
    <w:rsid w:val="00457157"/>
    <w:rsid w:val="0045730B"/>
    <w:rsid w:val="004576A7"/>
    <w:rsid w:val="004578EB"/>
    <w:rsid w:val="00457E3E"/>
    <w:rsid w:val="004600EE"/>
    <w:rsid w:val="00460397"/>
    <w:rsid w:val="004605FB"/>
    <w:rsid w:val="00460778"/>
    <w:rsid w:val="00460782"/>
    <w:rsid w:val="0046152E"/>
    <w:rsid w:val="00461B48"/>
    <w:rsid w:val="0046212B"/>
    <w:rsid w:val="00462B7D"/>
    <w:rsid w:val="00463803"/>
    <w:rsid w:val="00463A20"/>
    <w:rsid w:val="00464738"/>
    <w:rsid w:val="00464D48"/>
    <w:rsid w:val="00464D4F"/>
    <w:rsid w:val="004651F0"/>
    <w:rsid w:val="004652F4"/>
    <w:rsid w:val="0046562B"/>
    <w:rsid w:val="00465EF5"/>
    <w:rsid w:val="00466307"/>
    <w:rsid w:val="00466551"/>
    <w:rsid w:val="00466A1E"/>
    <w:rsid w:val="00466D2D"/>
    <w:rsid w:val="00466E39"/>
    <w:rsid w:val="0046717E"/>
    <w:rsid w:val="00470071"/>
    <w:rsid w:val="004706C1"/>
    <w:rsid w:val="00470959"/>
    <w:rsid w:val="00470A33"/>
    <w:rsid w:val="00470E2A"/>
    <w:rsid w:val="00470ED1"/>
    <w:rsid w:val="00474408"/>
    <w:rsid w:val="00474C71"/>
    <w:rsid w:val="0047551D"/>
    <w:rsid w:val="004758C1"/>
    <w:rsid w:val="00475A1F"/>
    <w:rsid w:val="00475AA9"/>
    <w:rsid w:val="00475E94"/>
    <w:rsid w:val="00476D4F"/>
    <w:rsid w:val="00477921"/>
    <w:rsid w:val="004813BB"/>
    <w:rsid w:val="00481536"/>
    <w:rsid w:val="004816D6"/>
    <w:rsid w:val="00481ACE"/>
    <w:rsid w:val="00481E40"/>
    <w:rsid w:val="00482607"/>
    <w:rsid w:val="00482622"/>
    <w:rsid w:val="0048267B"/>
    <w:rsid w:val="00483168"/>
    <w:rsid w:val="0048331B"/>
    <w:rsid w:val="00483444"/>
    <w:rsid w:val="0048358F"/>
    <w:rsid w:val="0048366D"/>
    <w:rsid w:val="00483838"/>
    <w:rsid w:val="0048389C"/>
    <w:rsid w:val="004839C5"/>
    <w:rsid w:val="00483D13"/>
    <w:rsid w:val="00484327"/>
    <w:rsid w:val="0048450D"/>
    <w:rsid w:val="004845F0"/>
    <w:rsid w:val="00484653"/>
    <w:rsid w:val="0048483B"/>
    <w:rsid w:val="004849CB"/>
    <w:rsid w:val="00484B01"/>
    <w:rsid w:val="00484C27"/>
    <w:rsid w:val="00484DB1"/>
    <w:rsid w:val="00484E24"/>
    <w:rsid w:val="0048526F"/>
    <w:rsid w:val="00485E36"/>
    <w:rsid w:val="0048624B"/>
    <w:rsid w:val="004862EA"/>
    <w:rsid w:val="00486514"/>
    <w:rsid w:val="004870D6"/>
    <w:rsid w:val="00487436"/>
    <w:rsid w:val="00490065"/>
    <w:rsid w:val="0049027E"/>
    <w:rsid w:val="004904C5"/>
    <w:rsid w:val="00491910"/>
    <w:rsid w:val="0049248B"/>
    <w:rsid w:val="00492776"/>
    <w:rsid w:val="004927C7"/>
    <w:rsid w:val="00492AC7"/>
    <w:rsid w:val="0049343C"/>
    <w:rsid w:val="00494925"/>
    <w:rsid w:val="00495BA7"/>
    <w:rsid w:val="00495E91"/>
    <w:rsid w:val="00496037"/>
    <w:rsid w:val="00496DC4"/>
    <w:rsid w:val="00497479"/>
    <w:rsid w:val="00497669"/>
    <w:rsid w:val="00497C12"/>
    <w:rsid w:val="004A08B1"/>
    <w:rsid w:val="004A112A"/>
    <w:rsid w:val="004A1AF7"/>
    <w:rsid w:val="004A1F7F"/>
    <w:rsid w:val="004A2412"/>
    <w:rsid w:val="004A2642"/>
    <w:rsid w:val="004A2682"/>
    <w:rsid w:val="004A307E"/>
    <w:rsid w:val="004A4489"/>
    <w:rsid w:val="004A5109"/>
    <w:rsid w:val="004A76C9"/>
    <w:rsid w:val="004A7A90"/>
    <w:rsid w:val="004A7E2E"/>
    <w:rsid w:val="004A7E8F"/>
    <w:rsid w:val="004B011B"/>
    <w:rsid w:val="004B0BC5"/>
    <w:rsid w:val="004B11DC"/>
    <w:rsid w:val="004B2995"/>
    <w:rsid w:val="004B2E78"/>
    <w:rsid w:val="004B3A07"/>
    <w:rsid w:val="004B3ABC"/>
    <w:rsid w:val="004B3D96"/>
    <w:rsid w:val="004B430F"/>
    <w:rsid w:val="004B4B3F"/>
    <w:rsid w:val="004B4CC5"/>
    <w:rsid w:val="004B5466"/>
    <w:rsid w:val="004B6649"/>
    <w:rsid w:val="004B6865"/>
    <w:rsid w:val="004B704E"/>
    <w:rsid w:val="004B71A9"/>
    <w:rsid w:val="004B768F"/>
    <w:rsid w:val="004B7D31"/>
    <w:rsid w:val="004B7E14"/>
    <w:rsid w:val="004B7F6E"/>
    <w:rsid w:val="004C19E2"/>
    <w:rsid w:val="004C1A31"/>
    <w:rsid w:val="004C213D"/>
    <w:rsid w:val="004C2321"/>
    <w:rsid w:val="004C2BFA"/>
    <w:rsid w:val="004C2C81"/>
    <w:rsid w:val="004C2DD4"/>
    <w:rsid w:val="004C3507"/>
    <w:rsid w:val="004C37C0"/>
    <w:rsid w:val="004C3C41"/>
    <w:rsid w:val="004C3D91"/>
    <w:rsid w:val="004C5EC7"/>
    <w:rsid w:val="004C5FDC"/>
    <w:rsid w:val="004C724E"/>
    <w:rsid w:val="004C77EE"/>
    <w:rsid w:val="004C78E8"/>
    <w:rsid w:val="004C7A75"/>
    <w:rsid w:val="004C7B63"/>
    <w:rsid w:val="004D03AF"/>
    <w:rsid w:val="004D0F28"/>
    <w:rsid w:val="004D26C5"/>
    <w:rsid w:val="004D2877"/>
    <w:rsid w:val="004D2A52"/>
    <w:rsid w:val="004D3206"/>
    <w:rsid w:val="004D3AAF"/>
    <w:rsid w:val="004D3C8D"/>
    <w:rsid w:val="004D3D3D"/>
    <w:rsid w:val="004D3DB6"/>
    <w:rsid w:val="004D3E21"/>
    <w:rsid w:val="004D4173"/>
    <w:rsid w:val="004D437A"/>
    <w:rsid w:val="004D4BD5"/>
    <w:rsid w:val="004D5DA6"/>
    <w:rsid w:val="004D6768"/>
    <w:rsid w:val="004D6BCE"/>
    <w:rsid w:val="004D71F1"/>
    <w:rsid w:val="004D7266"/>
    <w:rsid w:val="004D7404"/>
    <w:rsid w:val="004D756A"/>
    <w:rsid w:val="004E0951"/>
    <w:rsid w:val="004E13C8"/>
    <w:rsid w:val="004E17CA"/>
    <w:rsid w:val="004E2598"/>
    <w:rsid w:val="004E25BD"/>
    <w:rsid w:val="004E3737"/>
    <w:rsid w:val="004E3773"/>
    <w:rsid w:val="004E583B"/>
    <w:rsid w:val="004E58D1"/>
    <w:rsid w:val="004E5B3E"/>
    <w:rsid w:val="004E6391"/>
    <w:rsid w:val="004E670D"/>
    <w:rsid w:val="004E69AE"/>
    <w:rsid w:val="004E7DD8"/>
    <w:rsid w:val="004E7EE0"/>
    <w:rsid w:val="004E7F67"/>
    <w:rsid w:val="004F1CD9"/>
    <w:rsid w:val="004F2395"/>
    <w:rsid w:val="004F289C"/>
    <w:rsid w:val="004F29EE"/>
    <w:rsid w:val="004F2B6F"/>
    <w:rsid w:val="004F39BA"/>
    <w:rsid w:val="004F4012"/>
    <w:rsid w:val="004F4284"/>
    <w:rsid w:val="004F443F"/>
    <w:rsid w:val="004F4675"/>
    <w:rsid w:val="004F4692"/>
    <w:rsid w:val="004F53B1"/>
    <w:rsid w:val="004F5640"/>
    <w:rsid w:val="004F6982"/>
    <w:rsid w:val="004F750C"/>
    <w:rsid w:val="004F7FE4"/>
    <w:rsid w:val="004F7FF0"/>
    <w:rsid w:val="00500F6C"/>
    <w:rsid w:val="0050147B"/>
    <w:rsid w:val="00501582"/>
    <w:rsid w:val="00501597"/>
    <w:rsid w:val="0050176F"/>
    <w:rsid w:val="005036D6"/>
    <w:rsid w:val="005041EF"/>
    <w:rsid w:val="005048D5"/>
    <w:rsid w:val="00504BB8"/>
    <w:rsid w:val="0050545B"/>
    <w:rsid w:val="005061CA"/>
    <w:rsid w:val="00506749"/>
    <w:rsid w:val="00506DC7"/>
    <w:rsid w:val="005071AD"/>
    <w:rsid w:val="005075AF"/>
    <w:rsid w:val="005075FA"/>
    <w:rsid w:val="00507A71"/>
    <w:rsid w:val="00507EA1"/>
    <w:rsid w:val="0051001B"/>
    <w:rsid w:val="00510311"/>
    <w:rsid w:val="00510B2B"/>
    <w:rsid w:val="00510E0B"/>
    <w:rsid w:val="00511D45"/>
    <w:rsid w:val="0051212B"/>
    <w:rsid w:val="005124F1"/>
    <w:rsid w:val="0051253D"/>
    <w:rsid w:val="00513A72"/>
    <w:rsid w:val="00513D01"/>
    <w:rsid w:val="005152CE"/>
    <w:rsid w:val="00515B7A"/>
    <w:rsid w:val="00516425"/>
    <w:rsid w:val="005166B6"/>
    <w:rsid w:val="005168FE"/>
    <w:rsid w:val="00516A37"/>
    <w:rsid w:val="005177DD"/>
    <w:rsid w:val="00517E08"/>
    <w:rsid w:val="00520000"/>
    <w:rsid w:val="00521B83"/>
    <w:rsid w:val="00523013"/>
    <w:rsid w:val="00523876"/>
    <w:rsid w:val="00523BE4"/>
    <w:rsid w:val="00523C99"/>
    <w:rsid w:val="005244F4"/>
    <w:rsid w:val="00524A69"/>
    <w:rsid w:val="00524DDB"/>
    <w:rsid w:val="005250A4"/>
    <w:rsid w:val="005268AA"/>
    <w:rsid w:val="00526C3B"/>
    <w:rsid w:val="00526DE1"/>
    <w:rsid w:val="00527C16"/>
    <w:rsid w:val="00530909"/>
    <w:rsid w:val="00530F71"/>
    <w:rsid w:val="00531038"/>
    <w:rsid w:val="005312D2"/>
    <w:rsid w:val="00531ADC"/>
    <w:rsid w:val="00531CEB"/>
    <w:rsid w:val="00531F19"/>
    <w:rsid w:val="0053265D"/>
    <w:rsid w:val="0053308D"/>
    <w:rsid w:val="005333EE"/>
    <w:rsid w:val="005338DF"/>
    <w:rsid w:val="005351E4"/>
    <w:rsid w:val="005355C4"/>
    <w:rsid w:val="00536007"/>
    <w:rsid w:val="00536754"/>
    <w:rsid w:val="00536AD8"/>
    <w:rsid w:val="0053700A"/>
    <w:rsid w:val="0053755D"/>
    <w:rsid w:val="00537719"/>
    <w:rsid w:val="00541360"/>
    <w:rsid w:val="0054178F"/>
    <w:rsid w:val="00541D52"/>
    <w:rsid w:val="005424E5"/>
    <w:rsid w:val="00542A30"/>
    <w:rsid w:val="00542DC5"/>
    <w:rsid w:val="00542FD8"/>
    <w:rsid w:val="00543455"/>
    <w:rsid w:val="00544892"/>
    <w:rsid w:val="00545AE6"/>
    <w:rsid w:val="00545C35"/>
    <w:rsid w:val="005462E3"/>
    <w:rsid w:val="00546854"/>
    <w:rsid w:val="00546C2A"/>
    <w:rsid w:val="005473A0"/>
    <w:rsid w:val="00547E4A"/>
    <w:rsid w:val="00551164"/>
    <w:rsid w:val="005512E4"/>
    <w:rsid w:val="0055173C"/>
    <w:rsid w:val="00551753"/>
    <w:rsid w:val="00551B5E"/>
    <w:rsid w:val="00551D40"/>
    <w:rsid w:val="005522F9"/>
    <w:rsid w:val="005523CC"/>
    <w:rsid w:val="0055304C"/>
    <w:rsid w:val="00553097"/>
    <w:rsid w:val="005536E2"/>
    <w:rsid w:val="00553A18"/>
    <w:rsid w:val="0055406F"/>
    <w:rsid w:val="005549ED"/>
    <w:rsid w:val="0055522C"/>
    <w:rsid w:val="00556B7C"/>
    <w:rsid w:val="005573FF"/>
    <w:rsid w:val="0055745D"/>
    <w:rsid w:val="00557C0B"/>
    <w:rsid w:val="00560109"/>
    <w:rsid w:val="00560240"/>
    <w:rsid w:val="00560C41"/>
    <w:rsid w:val="00560C49"/>
    <w:rsid w:val="005613A7"/>
    <w:rsid w:val="005614DE"/>
    <w:rsid w:val="0056162E"/>
    <w:rsid w:val="00561F32"/>
    <w:rsid w:val="0056256E"/>
    <w:rsid w:val="00562940"/>
    <w:rsid w:val="00563226"/>
    <w:rsid w:val="00563DEE"/>
    <w:rsid w:val="00564559"/>
    <w:rsid w:val="005648A2"/>
    <w:rsid w:val="0056492C"/>
    <w:rsid w:val="00564B81"/>
    <w:rsid w:val="00565161"/>
    <w:rsid w:val="005651B4"/>
    <w:rsid w:val="0056582A"/>
    <w:rsid w:val="00565E55"/>
    <w:rsid w:val="005660A7"/>
    <w:rsid w:val="00566502"/>
    <w:rsid w:val="00566520"/>
    <w:rsid w:val="00567074"/>
    <w:rsid w:val="00567437"/>
    <w:rsid w:val="0057049A"/>
    <w:rsid w:val="00570A27"/>
    <w:rsid w:val="005713D3"/>
    <w:rsid w:val="00571CC1"/>
    <w:rsid w:val="005728F0"/>
    <w:rsid w:val="00572FB6"/>
    <w:rsid w:val="005731F2"/>
    <w:rsid w:val="005737C2"/>
    <w:rsid w:val="00573966"/>
    <w:rsid w:val="005739B3"/>
    <w:rsid w:val="00573A92"/>
    <w:rsid w:val="00573DF6"/>
    <w:rsid w:val="005742B1"/>
    <w:rsid w:val="00574798"/>
    <w:rsid w:val="00575701"/>
    <w:rsid w:val="005759EC"/>
    <w:rsid w:val="00575F8B"/>
    <w:rsid w:val="005762A7"/>
    <w:rsid w:val="0057656B"/>
    <w:rsid w:val="0057660F"/>
    <w:rsid w:val="00576693"/>
    <w:rsid w:val="00576EEC"/>
    <w:rsid w:val="0057703B"/>
    <w:rsid w:val="00577101"/>
    <w:rsid w:val="0057715F"/>
    <w:rsid w:val="0057762B"/>
    <w:rsid w:val="005777FD"/>
    <w:rsid w:val="00577A48"/>
    <w:rsid w:val="00577E7A"/>
    <w:rsid w:val="00580D6F"/>
    <w:rsid w:val="005811E8"/>
    <w:rsid w:val="00581462"/>
    <w:rsid w:val="00582393"/>
    <w:rsid w:val="00582879"/>
    <w:rsid w:val="005828DE"/>
    <w:rsid w:val="00582B69"/>
    <w:rsid w:val="00582FAC"/>
    <w:rsid w:val="00583033"/>
    <w:rsid w:val="005834D0"/>
    <w:rsid w:val="0058596C"/>
    <w:rsid w:val="00585BD4"/>
    <w:rsid w:val="00586362"/>
    <w:rsid w:val="005866F4"/>
    <w:rsid w:val="0058673F"/>
    <w:rsid w:val="00586A42"/>
    <w:rsid w:val="00586F61"/>
    <w:rsid w:val="0058736A"/>
    <w:rsid w:val="005877E3"/>
    <w:rsid w:val="00587D20"/>
    <w:rsid w:val="00587D2D"/>
    <w:rsid w:val="00587EF6"/>
    <w:rsid w:val="00587F5E"/>
    <w:rsid w:val="00587FB1"/>
    <w:rsid w:val="00590656"/>
    <w:rsid w:val="00591452"/>
    <w:rsid w:val="0059169C"/>
    <w:rsid w:val="00591A68"/>
    <w:rsid w:val="00591AB1"/>
    <w:rsid w:val="00592D70"/>
    <w:rsid w:val="0059343C"/>
    <w:rsid w:val="0059453F"/>
    <w:rsid w:val="00595247"/>
    <w:rsid w:val="00595E49"/>
    <w:rsid w:val="00596B8F"/>
    <w:rsid w:val="00596D24"/>
    <w:rsid w:val="005970A7"/>
    <w:rsid w:val="0059741A"/>
    <w:rsid w:val="005976FF"/>
    <w:rsid w:val="005978BA"/>
    <w:rsid w:val="005A0632"/>
    <w:rsid w:val="005A0F6D"/>
    <w:rsid w:val="005A1357"/>
    <w:rsid w:val="005A2684"/>
    <w:rsid w:val="005A33CF"/>
    <w:rsid w:val="005A35DE"/>
    <w:rsid w:val="005A3713"/>
    <w:rsid w:val="005A398D"/>
    <w:rsid w:val="005A4113"/>
    <w:rsid w:val="005A4E6C"/>
    <w:rsid w:val="005A56B2"/>
    <w:rsid w:val="005A584B"/>
    <w:rsid w:val="005A5AEA"/>
    <w:rsid w:val="005A693C"/>
    <w:rsid w:val="005A7501"/>
    <w:rsid w:val="005A7944"/>
    <w:rsid w:val="005A7F7E"/>
    <w:rsid w:val="005B011E"/>
    <w:rsid w:val="005B0764"/>
    <w:rsid w:val="005B085E"/>
    <w:rsid w:val="005B0884"/>
    <w:rsid w:val="005B1022"/>
    <w:rsid w:val="005B132C"/>
    <w:rsid w:val="005B2141"/>
    <w:rsid w:val="005B29A2"/>
    <w:rsid w:val="005B2DC4"/>
    <w:rsid w:val="005B3484"/>
    <w:rsid w:val="005B34E6"/>
    <w:rsid w:val="005B3B2E"/>
    <w:rsid w:val="005B4521"/>
    <w:rsid w:val="005B4830"/>
    <w:rsid w:val="005B4E77"/>
    <w:rsid w:val="005B4EFC"/>
    <w:rsid w:val="005B50D0"/>
    <w:rsid w:val="005B57FA"/>
    <w:rsid w:val="005B5E73"/>
    <w:rsid w:val="005B5FA2"/>
    <w:rsid w:val="005B6210"/>
    <w:rsid w:val="005B6569"/>
    <w:rsid w:val="005B6625"/>
    <w:rsid w:val="005B66AB"/>
    <w:rsid w:val="005B719C"/>
    <w:rsid w:val="005B741B"/>
    <w:rsid w:val="005C0BED"/>
    <w:rsid w:val="005C0F5A"/>
    <w:rsid w:val="005C18B3"/>
    <w:rsid w:val="005C1F60"/>
    <w:rsid w:val="005C28EE"/>
    <w:rsid w:val="005C330F"/>
    <w:rsid w:val="005C3F06"/>
    <w:rsid w:val="005C41F7"/>
    <w:rsid w:val="005C4DF6"/>
    <w:rsid w:val="005C519D"/>
    <w:rsid w:val="005C55EA"/>
    <w:rsid w:val="005C5827"/>
    <w:rsid w:val="005C5A4F"/>
    <w:rsid w:val="005C5B94"/>
    <w:rsid w:val="005C60D4"/>
    <w:rsid w:val="005C617B"/>
    <w:rsid w:val="005C6212"/>
    <w:rsid w:val="005C66A0"/>
    <w:rsid w:val="005C67AC"/>
    <w:rsid w:val="005C6B3C"/>
    <w:rsid w:val="005C6EFE"/>
    <w:rsid w:val="005C7206"/>
    <w:rsid w:val="005C720E"/>
    <w:rsid w:val="005C7266"/>
    <w:rsid w:val="005C7800"/>
    <w:rsid w:val="005C7829"/>
    <w:rsid w:val="005C7FAA"/>
    <w:rsid w:val="005C7FC5"/>
    <w:rsid w:val="005D023F"/>
    <w:rsid w:val="005D02C6"/>
    <w:rsid w:val="005D0B82"/>
    <w:rsid w:val="005D1B15"/>
    <w:rsid w:val="005D1FDC"/>
    <w:rsid w:val="005D29E2"/>
    <w:rsid w:val="005D35BF"/>
    <w:rsid w:val="005D3FD5"/>
    <w:rsid w:val="005D4163"/>
    <w:rsid w:val="005D440A"/>
    <w:rsid w:val="005D489D"/>
    <w:rsid w:val="005D6299"/>
    <w:rsid w:val="005D6E90"/>
    <w:rsid w:val="005D6F7E"/>
    <w:rsid w:val="005D7781"/>
    <w:rsid w:val="005D7908"/>
    <w:rsid w:val="005D797C"/>
    <w:rsid w:val="005D79BA"/>
    <w:rsid w:val="005D7C87"/>
    <w:rsid w:val="005D7E66"/>
    <w:rsid w:val="005E0200"/>
    <w:rsid w:val="005E06DB"/>
    <w:rsid w:val="005E1238"/>
    <w:rsid w:val="005E1A14"/>
    <w:rsid w:val="005E2FE2"/>
    <w:rsid w:val="005E30CC"/>
    <w:rsid w:val="005E343D"/>
    <w:rsid w:val="005E4ACD"/>
    <w:rsid w:val="005E5E33"/>
    <w:rsid w:val="005E612F"/>
    <w:rsid w:val="005E6C85"/>
    <w:rsid w:val="005E71B1"/>
    <w:rsid w:val="005E7235"/>
    <w:rsid w:val="005E769D"/>
    <w:rsid w:val="005E778B"/>
    <w:rsid w:val="005E77C2"/>
    <w:rsid w:val="005F02A2"/>
    <w:rsid w:val="005F05DC"/>
    <w:rsid w:val="005F0D06"/>
    <w:rsid w:val="005F1834"/>
    <w:rsid w:val="005F1907"/>
    <w:rsid w:val="005F229F"/>
    <w:rsid w:val="005F2C57"/>
    <w:rsid w:val="005F2DCC"/>
    <w:rsid w:val="005F2EA2"/>
    <w:rsid w:val="005F2EDF"/>
    <w:rsid w:val="005F3762"/>
    <w:rsid w:val="005F3808"/>
    <w:rsid w:val="005F4D89"/>
    <w:rsid w:val="005F5981"/>
    <w:rsid w:val="005F5F05"/>
    <w:rsid w:val="005F640F"/>
    <w:rsid w:val="005F687A"/>
    <w:rsid w:val="005F6892"/>
    <w:rsid w:val="005F6D1E"/>
    <w:rsid w:val="005F7AB2"/>
    <w:rsid w:val="005F7F96"/>
    <w:rsid w:val="0060068D"/>
    <w:rsid w:val="006008B1"/>
    <w:rsid w:val="00600AB5"/>
    <w:rsid w:val="0060157D"/>
    <w:rsid w:val="006017F6"/>
    <w:rsid w:val="00602439"/>
    <w:rsid w:val="006026C0"/>
    <w:rsid w:val="00602D0F"/>
    <w:rsid w:val="00602F1D"/>
    <w:rsid w:val="006033D8"/>
    <w:rsid w:val="00603681"/>
    <w:rsid w:val="00603815"/>
    <w:rsid w:val="00603AA3"/>
    <w:rsid w:val="00603AC8"/>
    <w:rsid w:val="00603DBC"/>
    <w:rsid w:val="00604AAB"/>
    <w:rsid w:val="00604B6F"/>
    <w:rsid w:val="00604DFE"/>
    <w:rsid w:val="00606126"/>
    <w:rsid w:val="006065AA"/>
    <w:rsid w:val="00606627"/>
    <w:rsid w:val="00607146"/>
    <w:rsid w:val="006072AE"/>
    <w:rsid w:val="00607876"/>
    <w:rsid w:val="0061133E"/>
    <w:rsid w:val="00611F99"/>
    <w:rsid w:val="00612308"/>
    <w:rsid w:val="00612B0D"/>
    <w:rsid w:val="00612F2B"/>
    <w:rsid w:val="006131E5"/>
    <w:rsid w:val="00613826"/>
    <w:rsid w:val="0061412E"/>
    <w:rsid w:val="0061455D"/>
    <w:rsid w:val="006149F5"/>
    <w:rsid w:val="00614FE2"/>
    <w:rsid w:val="00615047"/>
    <w:rsid w:val="006150A1"/>
    <w:rsid w:val="0061514A"/>
    <w:rsid w:val="00615818"/>
    <w:rsid w:val="0061608D"/>
    <w:rsid w:val="006160DB"/>
    <w:rsid w:val="0061640E"/>
    <w:rsid w:val="00616F74"/>
    <w:rsid w:val="006174B8"/>
    <w:rsid w:val="00620061"/>
    <w:rsid w:val="00620881"/>
    <w:rsid w:val="006208CF"/>
    <w:rsid w:val="00620A2F"/>
    <w:rsid w:val="00620FEC"/>
    <w:rsid w:val="00621156"/>
    <w:rsid w:val="006220EC"/>
    <w:rsid w:val="00622328"/>
    <w:rsid w:val="0062258A"/>
    <w:rsid w:val="006225C4"/>
    <w:rsid w:val="00622808"/>
    <w:rsid w:val="006229D5"/>
    <w:rsid w:val="00623E48"/>
    <w:rsid w:val="00623FB9"/>
    <w:rsid w:val="0062418E"/>
    <w:rsid w:val="00624389"/>
    <w:rsid w:val="006244CF"/>
    <w:rsid w:val="006247AA"/>
    <w:rsid w:val="0062482A"/>
    <w:rsid w:val="00624AD5"/>
    <w:rsid w:val="0062551A"/>
    <w:rsid w:val="0062586D"/>
    <w:rsid w:val="006259F2"/>
    <w:rsid w:val="00625EF4"/>
    <w:rsid w:val="006272E7"/>
    <w:rsid w:val="006278B8"/>
    <w:rsid w:val="00627B4C"/>
    <w:rsid w:val="00630527"/>
    <w:rsid w:val="00630B11"/>
    <w:rsid w:val="00631871"/>
    <w:rsid w:val="0063198C"/>
    <w:rsid w:val="00631A22"/>
    <w:rsid w:val="00631B95"/>
    <w:rsid w:val="00631DA9"/>
    <w:rsid w:val="0063212C"/>
    <w:rsid w:val="006325DD"/>
    <w:rsid w:val="00632823"/>
    <w:rsid w:val="00632A7F"/>
    <w:rsid w:val="006333EF"/>
    <w:rsid w:val="006334CC"/>
    <w:rsid w:val="00633E6A"/>
    <w:rsid w:val="00634779"/>
    <w:rsid w:val="006348E3"/>
    <w:rsid w:val="00635024"/>
    <w:rsid w:val="006351D8"/>
    <w:rsid w:val="006352AF"/>
    <w:rsid w:val="006354EA"/>
    <w:rsid w:val="006356B8"/>
    <w:rsid w:val="0063584C"/>
    <w:rsid w:val="00635C44"/>
    <w:rsid w:val="0063685C"/>
    <w:rsid w:val="00636EC1"/>
    <w:rsid w:val="00636F24"/>
    <w:rsid w:val="00637801"/>
    <w:rsid w:val="00637CAC"/>
    <w:rsid w:val="0064018C"/>
    <w:rsid w:val="00640D51"/>
    <w:rsid w:val="00640F2C"/>
    <w:rsid w:val="0064114B"/>
    <w:rsid w:val="00641447"/>
    <w:rsid w:val="00641948"/>
    <w:rsid w:val="0064253C"/>
    <w:rsid w:val="00642CBD"/>
    <w:rsid w:val="0064393B"/>
    <w:rsid w:val="006439A3"/>
    <w:rsid w:val="00644063"/>
    <w:rsid w:val="006447C7"/>
    <w:rsid w:val="00644905"/>
    <w:rsid w:val="00644971"/>
    <w:rsid w:val="00645351"/>
    <w:rsid w:val="00645CCA"/>
    <w:rsid w:val="0064711C"/>
    <w:rsid w:val="006500BC"/>
    <w:rsid w:val="00650622"/>
    <w:rsid w:val="00651A9E"/>
    <w:rsid w:val="00651D39"/>
    <w:rsid w:val="006526CA"/>
    <w:rsid w:val="00652B31"/>
    <w:rsid w:val="006530AB"/>
    <w:rsid w:val="0065587E"/>
    <w:rsid w:val="006562FF"/>
    <w:rsid w:val="0065643D"/>
    <w:rsid w:val="00657225"/>
    <w:rsid w:val="006613B7"/>
    <w:rsid w:val="00661612"/>
    <w:rsid w:val="00661BCC"/>
    <w:rsid w:val="00661C3F"/>
    <w:rsid w:val="00661CD7"/>
    <w:rsid w:val="00661D46"/>
    <w:rsid w:val="00661E6B"/>
    <w:rsid w:val="00661EA4"/>
    <w:rsid w:val="006624B4"/>
    <w:rsid w:val="00662A7E"/>
    <w:rsid w:val="0066351B"/>
    <w:rsid w:val="006636C8"/>
    <w:rsid w:val="00663B20"/>
    <w:rsid w:val="00665317"/>
    <w:rsid w:val="006655B8"/>
    <w:rsid w:val="00665773"/>
    <w:rsid w:val="00665AF8"/>
    <w:rsid w:val="00665B13"/>
    <w:rsid w:val="006670BC"/>
    <w:rsid w:val="00667149"/>
    <w:rsid w:val="006671AC"/>
    <w:rsid w:val="006678CC"/>
    <w:rsid w:val="006679E3"/>
    <w:rsid w:val="0067074B"/>
    <w:rsid w:val="00671158"/>
    <w:rsid w:val="006711CC"/>
    <w:rsid w:val="00671FCC"/>
    <w:rsid w:val="00672182"/>
    <w:rsid w:val="0067225F"/>
    <w:rsid w:val="00672F11"/>
    <w:rsid w:val="0067357D"/>
    <w:rsid w:val="00674167"/>
    <w:rsid w:val="00674BDC"/>
    <w:rsid w:val="00675664"/>
    <w:rsid w:val="006762F0"/>
    <w:rsid w:val="0067645C"/>
    <w:rsid w:val="006768F8"/>
    <w:rsid w:val="00676C94"/>
    <w:rsid w:val="00676FA3"/>
    <w:rsid w:val="00677A94"/>
    <w:rsid w:val="00677DB6"/>
    <w:rsid w:val="00680206"/>
    <w:rsid w:val="006803E2"/>
    <w:rsid w:val="00680A9A"/>
    <w:rsid w:val="00680EA5"/>
    <w:rsid w:val="00680FBE"/>
    <w:rsid w:val="006811D9"/>
    <w:rsid w:val="006814AE"/>
    <w:rsid w:val="00681589"/>
    <w:rsid w:val="0068423A"/>
    <w:rsid w:val="00684D9F"/>
    <w:rsid w:val="0068521F"/>
    <w:rsid w:val="006857A6"/>
    <w:rsid w:val="0068598C"/>
    <w:rsid w:val="0068655B"/>
    <w:rsid w:val="00686E24"/>
    <w:rsid w:val="006873F1"/>
    <w:rsid w:val="00687D34"/>
    <w:rsid w:val="00690575"/>
    <w:rsid w:val="006906F1"/>
    <w:rsid w:val="00690BC6"/>
    <w:rsid w:val="00690E97"/>
    <w:rsid w:val="006913F9"/>
    <w:rsid w:val="00691519"/>
    <w:rsid w:val="00691D08"/>
    <w:rsid w:val="00692246"/>
    <w:rsid w:val="006926CB"/>
    <w:rsid w:val="0069309D"/>
    <w:rsid w:val="0069316D"/>
    <w:rsid w:val="006934F1"/>
    <w:rsid w:val="006935AE"/>
    <w:rsid w:val="006936CC"/>
    <w:rsid w:val="00693EEC"/>
    <w:rsid w:val="00693FFC"/>
    <w:rsid w:val="00694C64"/>
    <w:rsid w:val="00694DB5"/>
    <w:rsid w:val="006954C9"/>
    <w:rsid w:val="006957B1"/>
    <w:rsid w:val="006957B6"/>
    <w:rsid w:val="006957FB"/>
    <w:rsid w:val="00695BEC"/>
    <w:rsid w:val="00695EC4"/>
    <w:rsid w:val="006963C8"/>
    <w:rsid w:val="00696DC6"/>
    <w:rsid w:val="0069731F"/>
    <w:rsid w:val="006976EE"/>
    <w:rsid w:val="00697713"/>
    <w:rsid w:val="00697C12"/>
    <w:rsid w:val="00697CD0"/>
    <w:rsid w:val="00697F66"/>
    <w:rsid w:val="00697F9B"/>
    <w:rsid w:val="006A0254"/>
    <w:rsid w:val="006A0C2D"/>
    <w:rsid w:val="006A0D2B"/>
    <w:rsid w:val="006A0DC2"/>
    <w:rsid w:val="006A0FC9"/>
    <w:rsid w:val="006A121D"/>
    <w:rsid w:val="006A1A88"/>
    <w:rsid w:val="006A2A02"/>
    <w:rsid w:val="006A2A41"/>
    <w:rsid w:val="006A2C6C"/>
    <w:rsid w:val="006A2E16"/>
    <w:rsid w:val="006A30EB"/>
    <w:rsid w:val="006A3564"/>
    <w:rsid w:val="006A3B22"/>
    <w:rsid w:val="006A42EF"/>
    <w:rsid w:val="006A442E"/>
    <w:rsid w:val="006A4667"/>
    <w:rsid w:val="006A5C8B"/>
    <w:rsid w:val="006A689F"/>
    <w:rsid w:val="006A699B"/>
    <w:rsid w:val="006A7107"/>
    <w:rsid w:val="006A74A7"/>
    <w:rsid w:val="006A7517"/>
    <w:rsid w:val="006A75F7"/>
    <w:rsid w:val="006A7B1B"/>
    <w:rsid w:val="006A7B48"/>
    <w:rsid w:val="006B0213"/>
    <w:rsid w:val="006B0C5E"/>
    <w:rsid w:val="006B0CB6"/>
    <w:rsid w:val="006B0DA9"/>
    <w:rsid w:val="006B148E"/>
    <w:rsid w:val="006B17A9"/>
    <w:rsid w:val="006B17E2"/>
    <w:rsid w:val="006B184F"/>
    <w:rsid w:val="006B1975"/>
    <w:rsid w:val="006B1D4F"/>
    <w:rsid w:val="006B1D7F"/>
    <w:rsid w:val="006B2590"/>
    <w:rsid w:val="006B2979"/>
    <w:rsid w:val="006B30F6"/>
    <w:rsid w:val="006B4069"/>
    <w:rsid w:val="006B42F8"/>
    <w:rsid w:val="006B43B3"/>
    <w:rsid w:val="006B44EE"/>
    <w:rsid w:val="006B4588"/>
    <w:rsid w:val="006B4685"/>
    <w:rsid w:val="006B4A16"/>
    <w:rsid w:val="006B4BB6"/>
    <w:rsid w:val="006B529F"/>
    <w:rsid w:val="006B5841"/>
    <w:rsid w:val="006B5A95"/>
    <w:rsid w:val="006B5D5C"/>
    <w:rsid w:val="006B5DEB"/>
    <w:rsid w:val="006B5ED7"/>
    <w:rsid w:val="006B68BC"/>
    <w:rsid w:val="006B73E3"/>
    <w:rsid w:val="006B7509"/>
    <w:rsid w:val="006C00AB"/>
    <w:rsid w:val="006C021C"/>
    <w:rsid w:val="006C03D1"/>
    <w:rsid w:val="006C05A3"/>
    <w:rsid w:val="006C05C9"/>
    <w:rsid w:val="006C0851"/>
    <w:rsid w:val="006C0CCF"/>
    <w:rsid w:val="006C0CD7"/>
    <w:rsid w:val="006C0F53"/>
    <w:rsid w:val="006C115E"/>
    <w:rsid w:val="006C1CFF"/>
    <w:rsid w:val="006C2311"/>
    <w:rsid w:val="006C29CF"/>
    <w:rsid w:val="006C3D9A"/>
    <w:rsid w:val="006C3ED9"/>
    <w:rsid w:val="006C46D9"/>
    <w:rsid w:val="006C47EB"/>
    <w:rsid w:val="006C4B16"/>
    <w:rsid w:val="006C4DD5"/>
    <w:rsid w:val="006C4E3F"/>
    <w:rsid w:val="006C6124"/>
    <w:rsid w:val="006C65EC"/>
    <w:rsid w:val="006C66F3"/>
    <w:rsid w:val="006C66FE"/>
    <w:rsid w:val="006C69C8"/>
    <w:rsid w:val="006C6A9C"/>
    <w:rsid w:val="006C7731"/>
    <w:rsid w:val="006D0766"/>
    <w:rsid w:val="006D0868"/>
    <w:rsid w:val="006D1F83"/>
    <w:rsid w:val="006D3419"/>
    <w:rsid w:val="006D409F"/>
    <w:rsid w:val="006D40D6"/>
    <w:rsid w:val="006D43B1"/>
    <w:rsid w:val="006D43BC"/>
    <w:rsid w:val="006D4720"/>
    <w:rsid w:val="006D474A"/>
    <w:rsid w:val="006D491D"/>
    <w:rsid w:val="006D4BCA"/>
    <w:rsid w:val="006D5386"/>
    <w:rsid w:val="006D53A1"/>
    <w:rsid w:val="006D61F3"/>
    <w:rsid w:val="006D6B02"/>
    <w:rsid w:val="006D6B63"/>
    <w:rsid w:val="006D6CC2"/>
    <w:rsid w:val="006D7152"/>
    <w:rsid w:val="006D72AC"/>
    <w:rsid w:val="006D76B4"/>
    <w:rsid w:val="006D7B8A"/>
    <w:rsid w:val="006E03FB"/>
    <w:rsid w:val="006E0504"/>
    <w:rsid w:val="006E05E7"/>
    <w:rsid w:val="006E0769"/>
    <w:rsid w:val="006E15E5"/>
    <w:rsid w:val="006E1B6A"/>
    <w:rsid w:val="006E1C43"/>
    <w:rsid w:val="006E26FC"/>
    <w:rsid w:val="006E2BAE"/>
    <w:rsid w:val="006E2E98"/>
    <w:rsid w:val="006E301A"/>
    <w:rsid w:val="006E3700"/>
    <w:rsid w:val="006E373D"/>
    <w:rsid w:val="006E3E0A"/>
    <w:rsid w:val="006E41E4"/>
    <w:rsid w:val="006E46A4"/>
    <w:rsid w:val="006E4978"/>
    <w:rsid w:val="006E49BD"/>
    <w:rsid w:val="006E5210"/>
    <w:rsid w:val="006E52C3"/>
    <w:rsid w:val="006E55A5"/>
    <w:rsid w:val="006E5ADA"/>
    <w:rsid w:val="006E5CEE"/>
    <w:rsid w:val="006E64CD"/>
    <w:rsid w:val="006E69BF"/>
    <w:rsid w:val="006E6F76"/>
    <w:rsid w:val="006E752B"/>
    <w:rsid w:val="006F0222"/>
    <w:rsid w:val="006F03FA"/>
    <w:rsid w:val="006F0847"/>
    <w:rsid w:val="006F0FE5"/>
    <w:rsid w:val="006F1A39"/>
    <w:rsid w:val="006F1E07"/>
    <w:rsid w:val="006F205E"/>
    <w:rsid w:val="006F34DA"/>
    <w:rsid w:val="006F3FAF"/>
    <w:rsid w:val="006F4320"/>
    <w:rsid w:val="006F4676"/>
    <w:rsid w:val="006F47E2"/>
    <w:rsid w:val="006F578D"/>
    <w:rsid w:val="006F5D6A"/>
    <w:rsid w:val="006F5F78"/>
    <w:rsid w:val="006F6071"/>
    <w:rsid w:val="006F6CFC"/>
    <w:rsid w:val="006F71E7"/>
    <w:rsid w:val="006F762D"/>
    <w:rsid w:val="006F7909"/>
    <w:rsid w:val="006F79E6"/>
    <w:rsid w:val="006F79F1"/>
    <w:rsid w:val="006F7B54"/>
    <w:rsid w:val="0070023D"/>
    <w:rsid w:val="00700371"/>
    <w:rsid w:val="00701082"/>
    <w:rsid w:val="0070150D"/>
    <w:rsid w:val="00701FD8"/>
    <w:rsid w:val="007021DE"/>
    <w:rsid w:val="00702AF5"/>
    <w:rsid w:val="00702F5A"/>
    <w:rsid w:val="00703094"/>
    <w:rsid w:val="00703F8C"/>
    <w:rsid w:val="00703F95"/>
    <w:rsid w:val="00704013"/>
    <w:rsid w:val="00704301"/>
    <w:rsid w:val="00704D69"/>
    <w:rsid w:val="0070530C"/>
    <w:rsid w:val="00705994"/>
    <w:rsid w:val="0070601C"/>
    <w:rsid w:val="007068C1"/>
    <w:rsid w:val="00706CEF"/>
    <w:rsid w:val="00707FAB"/>
    <w:rsid w:val="00711295"/>
    <w:rsid w:val="0071136B"/>
    <w:rsid w:val="0071142B"/>
    <w:rsid w:val="007127A9"/>
    <w:rsid w:val="0071345A"/>
    <w:rsid w:val="00713C23"/>
    <w:rsid w:val="00714564"/>
    <w:rsid w:val="00714C0D"/>
    <w:rsid w:val="00715007"/>
    <w:rsid w:val="007155E7"/>
    <w:rsid w:val="00715CFB"/>
    <w:rsid w:val="00716124"/>
    <w:rsid w:val="00716526"/>
    <w:rsid w:val="00717166"/>
    <w:rsid w:val="00717225"/>
    <w:rsid w:val="0071774A"/>
    <w:rsid w:val="007204CB"/>
    <w:rsid w:val="00720526"/>
    <w:rsid w:val="00720C42"/>
    <w:rsid w:val="00720DD9"/>
    <w:rsid w:val="00721285"/>
    <w:rsid w:val="007212E7"/>
    <w:rsid w:val="007231A9"/>
    <w:rsid w:val="0072323C"/>
    <w:rsid w:val="0072348E"/>
    <w:rsid w:val="00724222"/>
    <w:rsid w:val="007244A3"/>
    <w:rsid w:val="00724BDB"/>
    <w:rsid w:val="00724CA2"/>
    <w:rsid w:val="00724F7F"/>
    <w:rsid w:val="007255EB"/>
    <w:rsid w:val="00725E06"/>
    <w:rsid w:val="0072632D"/>
    <w:rsid w:val="007264A6"/>
    <w:rsid w:val="00726C7C"/>
    <w:rsid w:val="00726EB8"/>
    <w:rsid w:val="007273EB"/>
    <w:rsid w:val="00731CC8"/>
    <w:rsid w:val="00731EE4"/>
    <w:rsid w:val="00731F71"/>
    <w:rsid w:val="00731FA8"/>
    <w:rsid w:val="007321B3"/>
    <w:rsid w:val="0073294F"/>
    <w:rsid w:val="0073316A"/>
    <w:rsid w:val="00733352"/>
    <w:rsid w:val="00733395"/>
    <w:rsid w:val="007333E8"/>
    <w:rsid w:val="00733650"/>
    <w:rsid w:val="00734918"/>
    <w:rsid w:val="00734DA7"/>
    <w:rsid w:val="007357D1"/>
    <w:rsid w:val="00735F92"/>
    <w:rsid w:val="00737683"/>
    <w:rsid w:val="00737BF2"/>
    <w:rsid w:val="00737C31"/>
    <w:rsid w:val="00737CD1"/>
    <w:rsid w:val="0074006E"/>
    <w:rsid w:val="00740362"/>
    <w:rsid w:val="00740682"/>
    <w:rsid w:val="00740787"/>
    <w:rsid w:val="0074078D"/>
    <w:rsid w:val="007409CC"/>
    <w:rsid w:val="00741E31"/>
    <w:rsid w:val="00741E40"/>
    <w:rsid w:val="00742934"/>
    <w:rsid w:val="00742D8E"/>
    <w:rsid w:val="00743200"/>
    <w:rsid w:val="00744109"/>
    <w:rsid w:val="007444F8"/>
    <w:rsid w:val="00744B57"/>
    <w:rsid w:val="00744F4E"/>
    <w:rsid w:val="007454DA"/>
    <w:rsid w:val="007457AE"/>
    <w:rsid w:val="00745E76"/>
    <w:rsid w:val="00746490"/>
    <w:rsid w:val="0074669C"/>
    <w:rsid w:val="007478F5"/>
    <w:rsid w:val="00747952"/>
    <w:rsid w:val="007479D5"/>
    <w:rsid w:val="007506A0"/>
    <w:rsid w:val="007509BC"/>
    <w:rsid w:val="00750E9C"/>
    <w:rsid w:val="00751090"/>
    <w:rsid w:val="007512C5"/>
    <w:rsid w:val="007514E9"/>
    <w:rsid w:val="00751AFB"/>
    <w:rsid w:val="00752013"/>
    <w:rsid w:val="00752D95"/>
    <w:rsid w:val="00752FF0"/>
    <w:rsid w:val="0075390B"/>
    <w:rsid w:val="0075557E"/>
    <w:rsid w:val="00755E3E"/>
    <w:rsid w:val="00755E68"/>
    <w:rsid w:val="0075699A"/>
    <w:rsid w:val="00756C8F"/>
    <w:rsid w:val="007577AF"/>
    <w:rsid w:val="00757E27"/>
    <w:rsid w:val="00757ED6"/>
    <w:rsid w:val="00760DF6"/>
    <w:rsid w:val="00761B95"/>
    <w:rsid w:val="00762429"/>
    <w:rsid w:val="00762DE1"/>
    <w:rsid w:val="00762EC6"/>
    <w:rsid w:val="00762F0F"/>
    <w:rsid w:val="0076375D"/>
    <w:rsid w:val="00763AFD"/>
    <w:rsid w:val="00763B9F"/>
    <w:rsid w:val="00764F95"/>
    <w:rsid w:val="0076575B"/>
    <w:rsid w:val="00765A5B"/>
    <w:rsid w:val="00765F6A"/>
    <w:rsid w:val="0076660B"/>
    <w:rsid w:val="00767449"/>
    <w:rsid w:val="00767C90"/>
    <w:rsid w:val="00770B36"/>
    <w:rsid w:val="00770FA8"/>
    <w:rsid w:val="007712A6"/>
    <w:rsid w:val="00771996"/>
    <w:rsid w:val="007725E5"/>
    <w:rsid w:val="007736A7"/>
    <w:rsid w:val="00774383"/>
    <w:rsid w:val="00774AE4"/>
    <w:rsid w:val="00775A10"/>
    <w:rsid w:val="00775E5E"/>
    <w:rsid w:val="00776A91"/>
    <w:rsid w:val="00776D56"/>
    <w:rsid w:val="00776E48"/>
    <w:rsid w:val="0077701B"/>
    <w:rsid w:val="00777045"/>
    <w:rsid w:val="00777294"/>
    <w:rsid w:val="007801CC"/>
    <w:rsid w:val="00780780"/>
    <w:rsid w:val="00780CBC"/>
    <w:rsid w:val="00781270"/>
    <w:rsid w:val="00781408"/>
    <w:rsid w:val="00781F63"/>
    <w:rsid w:val="00782070"/>
    <w:rsid w:val="00782B16"/>
    <w:rsid w:val="00783826"/>
    <w:rsid w:val="00784168"/>
    <w:rsid w:val="00784A64"/>
    <w:rsid w:val="007850F5"/>
    <w:rsid w:val="00785B01"/>
    <w:rsid w:val="00786A67"/>
    <w:rsid w:val="00787149"/>
    <w:rsid w:val="007877EC"/>
    <w:rsid w:val="00787872"/>
    <w:rsid w:val="00787D07"/>
    <w:rsid w:val="007902E5"/>
    <w:rsid w:val="00791932"/>
    <w:rsid w:val="00791939"/>
    <w:rsid w:val="00791E09"/>
    <w:rsid w:val="007925A4"/>
    <w:rsid w:val="0079301A"/>
    <w:rsid w:val="00793829"/>
    <w:rsid w:val="00794344"/>
    <w:rsid w:val="0079470B"/>
    <w:rsid w:val="0079474D"/>
    <w:rsid w:val="00794B69"/>
    <w:rsid w:val="00794C93"/>
    <w:rsid w:val="00794F97"/>
    <w:rsid w:val="00795E03"/>
    <w:rsid w:val="007969D4"/>
    <w:rsid w:val="00797219"/>
    <w:rsid w:val="00797727"/>
    <w:rsid w:val="00797CBA"/>
    <w:rsid w:val="00797E9A"/>
    <w:rsid w:val="007A051D"/>
    <w:rsid w:val="007A06F3"/>
    <w:rsid w:val="007A1125"/>
    <w:rsid w:val="007A11D1"/>
    <w:rsid w:val="007A1274"/>
    <w:rsid w:val="007A2537"/>
    <w:rsid w:val="007A2945"/>
    <w:rsid w:val="007A38B9"/>
    <w:rsid w:val="007A482C"/>
    <w:rsid w:val="007A62CA"/>
    <w:rsid w:val="007A62CF"/>
    <w:rsid w:val="007A6FFB"/>
    <w:rsid w:val="007A72D0"/>
    <w:rsid w:val="007B1B6C"/>
    <w:rsid w:val="007B1DCE"/>
    <w:rsid w:val="007B1E0B"/>
    <w:rsid w:val="007B205D"/>
    <w:rsid w:val="007B31C2"/>
    <w:rsid w:val="007B3572"/>
    <w:rsid w:val="007B371E"/>
    <w:rsid w:val="007B4101"/>
    <w:rsid w:val="007B4CC3"/>
    <w:rsid w:val="007B5B6E"/>
    <w:rsid w:val="007B5D52"/>
    <w:rsid w:val="007B6270"/>
    <w:rsid w:val="007B6544"/>
    <w:rsid w:val="007B6636"/>
    <w:rsid w:val="007B6886"/>
    <w:rsid w:val="007B6BCB"/>
    <w:rsid w:val="007B6C7C"/>
    <w:rsid w:val="007B6DC9"/>
    <w:rsid w:val="007C027C"/>
    <w:rsid w:val="007C0B5B"/>
    <w:rsid w:val="007C0C48"/>
    <w:rsid w:val="007C13B5"/>
    <w:rsid w:val="007C1B73"/>
    <w:rsid w:val="007C29C9"/>
    <w:rsid w:val="007C2C9D"/>
    <w:rsid w:val="007C3489"/>
    <w:rsid w:val="007C36DF"/>
    <w:rsid w:val="007C4808"/>
    <w:rsid w:val="007C4BC8"/>
    <w:rsid w:val="007C5264"/>
    <w:rsid w:val="007C58BF"/>
    <w:rsid w:val="007C6C1F"/>
    <w:rsid w:val="007C6EFB"/>
    <w:rsid w:val="007D08AA"/>
    <w:rsid w:val="007D0B8B"/>
    <w:rsid w:val="007D139C"/>
    <w:rsid w:val="007D1FA9"/>
    <w:rsid w:val="007D2003"/>
    <w:rsid w:val="007D25DF"/>
    <w:rsid w:val="007D4238"/>
    <w:rsid w:val="007D4337"/>
    <w:rsid w:val="007D470C"/>
    <w:rsid w:val="007D48AC"/>
    <w:rsid w:val="007D4CAB"/>
    <w:rsid w:val="007D5039"/>
    <w:rsid w:val="007D539A"/>
    <w:rsid w:val="007D5A30"/>
    <w:rsid w:val="007D5CE1"/>
    <w:rsid w:val="007D5E10"/>
    <w:rsid w:val="007D5F5D"/>
    <w:rsid w:val="007D6394"/>
    <w:rsid w:val="007D66E1"/>
    <w:rsid w:val="007D6BAD"/>
    <w:rsid w:val="007D6C5D"/>
    <w:rsid w:val="007D6F9F"/>
    <w:rsid w:val="007D7254"/>
    <w:rsid w:val="007D72F8"/>
    <w:rsid w:val="007E0264"/>
    <w:rsid w:val="007E05FC"/>
    <w:rsid w:val="007E14A8"/>
    <w:rsid w:val="007E1D4E"/>
    <w:rsid w:val="007E1F76"/>
    <w:rsid w:val="007E2314"/>
    <w:rsid w:val="007E35C5"/>
    <w:rsid w:val="007E3650"/>
    <w:rsid w:val="007E3B06"/>
    <w:rsid w:val="007E465A"/>
    <w:rsid w:val="007E46E4"/>
    <w:rsid w:val="007E4D91"/>
    <w:rsid w:val="007E5FB5"/>
    <w:rsid w:val="007E657E"/>
    <w:rsid w:val="007E7DEA"/>
    <w:rsid w:val="007E7FD1"/>
    <w:rsid w:val="007F0B32"/>
    <w:rsid w:val="007F0D66"/>
    <w:rsid w:val="007F0D6B"/>
    <w:rsid w:val="007F0D91"/>
    <w:rsid w:val="007F1F2F"/>
    <w:rsid w:val="007F254B"/>
    <w:rsid w:val="007F2F31"/>
    <w:rsid w:val="007F3CDC"/>
    <w:rsid w:val="007F407B"/>
    <w:rsid w:val="007F4C07"/>
    <w:rsid w:val="007F4E40"/>
    <w:rsid w:val="007F6209"/>
    <w:rsid w:val="007F6477"/>
    <w:rsid w:val="007F652B"/>
    <w:rsid w:val="007F77B2"/>
    <w:rsid w:val="007F7A37"/>
    <w:rsid w:val="008012BE"/>
    <w:rsid w:val="008012E0"/>
    <w:rsid w:val="00801498"/>
    <w:rsid w:val="008025FE"/>
    <w:rsid w:val="00802BF4"/>
    <w:rsid w:val="00802E8E"/>
    <w:rsid w:val="008031E7"/>
    <w:rsid w:val="008034DD"/>
    <w:rsid w:val="00803590"/>
    <w:rsid w:val="008037D9"/>
    <w:rsid w:val="00803880"/>
    <w:rsid w:val="0080401C"/>
    <w:rsid w:val="00804041"/>
    <w:rsid w:val="00804A53"/>
    <w:rsid w:val="00805853"/>
    <w:rsid w:val="00805FC8"/>
    <w:rsid w:val="008060CA"/>
    <w:rsid w:val="00806653"/>
    <w:rsid w:val="00806737"/>
    <w:rsid w:val="00806D2E"/>
    <w:rsid w:val="008070B4"/>
    <w:rsid w:val="00807B3F"/>
    <w:rsid w:val="00807CCF"/>
    <w:rsid w:val="00807CD4"/>
    <w:rsid w:val="00807D4A"/>
    <w:rsid w:val="00810212"/>
    <w:rsid w:val="0081051A"/>
    <w:rsid w:val="00810CE3"/>
    <w:rsid w:val="0081118D"/>
    <w:rsid w:val="00811E39"/>
    <w:rsid w:val="00812281"/>
    <w:rsid w:val="00812414"/>
    <w:rsid w:val="00812AD5"/>
    <w:rsid w:val="008130AD"/>
    <w:rsid w:val="00813455"/>
    <w:rsid w:val="00813E43"/>
    <w:rsid w:val="008141E4"/>
    <w:rsid w:val="00814334"/>
    <w:rsid w:val="008149B9"/>
    <w:rsid w:val="0081511B"/>
    <w:rsid w:val="00816ABC"/>
    <w:rsid w:val="00816B44"/>
    <w:rsid w:val="00816C15"/>
    <w:rsid w:val="008178BE"/>
    <w:rsid w:val="00817F3D"/>
    <w:rsid w:val="00820044"/>
    <w:rsid w:val="00820F6D"/>
    <w:rsid w:val="00822126"/>
    <w:rsid w:val="008224BF"/>
    <w:rsid w:val="00823A7E"/>
    <w:rsid w:val="00824119"/>
    <w:rsid w:val="008243D5"/>
    <w:rsid w:val="00824576"/>
    <w:rsid w:val="008254A0"/>
    <w:rsid w:val="00825613"/>
    <w:rsid w:val="00825BB1"/>
    <w:rsid w:val="0082625D"/>
    <w:rsid w:val="00826560"/>
    <w:rsid w:val="0082668C"/>
    <w:rsid w:val="008271AC"/>
    <w:rsid w:val="00827387"/>
    <w:rsid w:val="00827C3B"/>
    <w:rsid w:val="00827C9F"/>
    <w:rsid w:val="0083063B"/>
    <w:rsid w:val="00830F1A"/>
    <w:rsid w:val="00831D87"/>
    <w:rsid w:val="00832877"/>
    <w:rsid w:val="00832EFC"/>
    <w:rsid w:val="0083335C"/>
    <w:rsid w:val="0083363D"/>
    <w:rsid w:val="00833D76"/>
    <w:rsid w:val="008340C9"/>
    <w:rsid w:val="0083415F"/>
    <w:rsid w:val="008348EA"/>
    <w:rsid w:val="00834A5A"/>
    <w:rsid w:val="008355DF"/>
    <w:rsid w:val="00835825"/>
    <w:rsid w:val="00835843"/>
    <w:rsid w:val="00835FD8"/>
    <w:rsid w:val="0083636D"/>
    <w:rsid w:val="0083639E"/>
    <w:rsid w:val="008368D5"/>
    <w:rsid w:val="00837D36"/>
    <w:rsid w:val="00840101"/>
    <w:rsid w:val="0084088B"/>
    <w:rsid w:val="00841581"/>
    <w:rsid w:val="008415B8"/>
    <w:rsid w:val="00841748"/>
    <w:rsid w:val="0084189A"/>
    <w:rsid w:val="00841900"/>
    <w:rsid w:val="008428EA"/>
    <w:rsid w:val="00842B43"/>
    <w:rsid w:val="00842F15"/>
    <w:rsid w:val="00843C7D"/>
    <w:rsid w:val="0084405C"/>
    <w:rsid w:val="008442AD"/>
    <w:rsid w:val="00844730"/>
    <w:rsid w:val="0084498B"/>
    <w:rsid w:val="0084502F"/>
    <w:rsid w:val="00845762"/>
    <w:rsid w:val="00845845"/>
    <w:rsid w:val="00845BA0"/>
    <w:rsid w:val="00845BDA"/>
    <w:rsid w:val="008464D2"/>
    <w:rsid w:val="00846CC5"/>
    <w:rsid w:val="00846D58"/>
    <w:rsid w:val="00846E72"/>
    <w:rsid w:val="00847115"/>
    <w:rsid w:val="008478AB"/>
    <w:rsid w:val="00847943"/>
    <w:rsid w:val="00850637"/>
    <w:rsid w:val="0085075E"/>
    <w:rsid w:val="00850CA5"/>
    <w:rsid w:val="00850D3B"/>
    <w:rsid w:val="00851087"/>
    <w:rsid w:val="008511BA"/>
    <w:rsid w:val="00851225"/>
    <w:rsid w:val="008512C3"/>
    <w:rsid w:val="00851391"/>
    <w:rsid w:val="00851658"/>
    <w:rsid w:val="00851993"/>
    <w:rsid w:val="008519FF"/>
    <w:rsid w:val="008520B7"/>
    <w:rsid w:val="0085216C"/>
    <w:rsid w:val="00852187"/>
    <w:rsid w:val="008523D6"/>
    <w:rsid w:val="008526B0"/>
    <w:rsid w:val="00852E75"/>
    <w:rsid w:val="008530AD"/>
    <w:rsid w:val="008530EE"/>
    <w:rsid w:val="00853635"/>
    <w:rsid w:val="008536E4"/>
    <w:rsid w:val="00853E04"/>
    <w:rsid w:val="00854296"/>
    <w:rsid w:val="0085446D"/>
    <w:rsid w:val="00854B69"/>
    <w:rsid w:val="00854C92"/>
    <w:rsid w:val="00854CEA"/>
    <w:rsid w:val="00855678"/>
    <w:rsid w:val="008556F6"/>
    <w:rsid w:val="00856144"/>
    <w:rsid w:val="0085616D"/>
    <w:rsid w:val="0085699E"/>
    <w:rsid w:val="008570E3"/>
    <w:rsid w:val="0085711B"/>
    <w:rsid w:val="00857382"/>
    <w:rsid w:val="008576EB"/>
    <w:rsid w:val="008578FF"/>
    <w:rsid w:val="00857C5C"/>
    <w:rsid w:val="00860307"/>
    <w:rsid w:val="008607BF"/>
    <w:rsid w:val="00860FD8"/>
    <w:rsid w:val="008610CA"/>
    <w:rsid w:val="008613D9"/>
    <w:rsid w:val="0086142C"/>
    <w:rsid w:val="00861E19"/>
    <w:rsid w:val="00862D7D"/>
    <w:rsid w:val="00862ED0"/>
    <w:rsid w:val="00863025"/>
    <w:rsid w:val="0086311E"/>
    <w:rsid w:val="00863230"/>
    <w:rsid w:val="00863442"/>
    <w:rsid w:val="00863565"/>
    <w:rsid w:val="00863567"/>
    <w:rsid w:val="00863782"/>
    <w:rsid w:val="008644D4"/>
    <w:rsid w:val="008647C5"/>
    <w:rsid w:val="00864995"/>
    <w:rsid w:val="00865405"/>
    <w:rsid w:val="008668EE"/>
    <w:rsid w:val="00867394"/>
    <w:rsid w:val="0086752A"/>
    <w:rsid w:val="008679F7"/>
    <w:rsid w:val="00870E34"/>
    <w:rsid w:val="00871002"/>
    <w:rsid w:val="00871097"/>
    <w:rsid w:val="008715D6"/>
    <w:rsid w:val="00872748"/>
    <w:rsid w:val="00872ECF"/>
    <w:rsid w:val="00873205"/>
    <w:rsid w:val="0087333A"/>
    <w:rsid w:val="008736BF"/>
    <w:rsid w:val="00874531"/>
    <w:rsid w:val="008746D5"/>
    <w:rsid w:val="008753F5"/>
    <w:rsid w:val="00875418"/>
    <w:rsid w:val="00875860"/>
    <w:rsid w:val="008758D4"/>
    <w:rsid w:val="008765EC"/>
    <w:rsid w:val="00876956"/>
    <w:rsid w:val="008774E6"/>
    <w:rsid w:val="008775D6"/>
    <w:rsid w:val="0087763F"/>
    <w:rsid w:val="00877F2B"/>
    <w:rsid w:val="00877F50"/>
    <w:rsid w:val="00877FD9"/>
    <w:rsid w:val="008806DD"/>
    <w:rsid w:val="00880FD5"/>
    <w:rsid w:val="00882253"/>
    <w:rsid w:val="00883D7A"/>
    <w:rsid w:val="0088614F"/>
    <w:rsid w:val="008869A7"/>
    <w:rsid w:val="00886AF5"/>
    <w:rsid w:val="00886CB0"/>
    <w:rsid w:val="00886FA8"/>
    <w:rsid w:val="008875F2"/>
    <w:rsid w:val="00887BD6"/>
    <w:rsid w:val="00887ED7"/>
    <w:rsid w:val="00887EFB"/>
    <w:rsid w:val="00887F1D"/>
    <w:rsid w:val="00890310"/>
    <w:rsid w:val="00890F9A"/>
    <w:rsid w:val="00891EA7"/>
    <w:rsid w:val="008927D5"/>
    <w:rsid w:val="00892A88"/>
    <w:rsid w:val="00892AA1"/>
    <w:rsid w:val="008934E2"/>
    <w:rsid w:val="0089614D"/>
    <w:rsid w:val="00897560"/>
    <w:rsid w:val="00897D42"/>
    <w:rsid w:val="008A00BC"/>
    <w:rsid w:val="008A0A4A"/>
    <w:rsid w:val="008A0CE1"/>
    <w:rsid w:val="008A0E4A"/>
    <w:rsid w:val="008A0E67"/>
    <w:rsid w:val="008A1CC1"/>
    <w:rsid w:val="008A255D"/>
    <w:rsid w:val="008A2BED"/>
    <w:rsid w:val="008A2DDE"/>
    <w:rsid w:val="008A31AA"/>
    <w:rsid w:val="008A3657"/>
    <w:rsid w:val="008A3B73"/>
    <w:rsid w:val="008A4666"/>
    <w:rsid w:val="008A4A4A"/>
    <w:rsid w:val="008A52A5"/>
    <w:rsid w:val="008A5F85"/>
    <w:rsid w:val="008A5FB5"/>
    <w:rsid w:val="008A6CC8"/>
    <w:rsid w:val="008A72F7"/>
    <w:rsid w:val="008A772C"/>
    <w:rsid w:val="008A7C5B"/>
    <w:rsid w:val="008B010C"/>
    <w:rsid w:val="008B023A"/>
    <w:rsid w:val="008B05EC"/>
    <w:rsid w:val="008B0F38"/>
    <w:rsid w:val="008B106C"/>
    <w:rsid w:val="008B3118"/>
    <w:rsid w:val="008B3485"/>
    <w:rsid w:val="008B362F"/>
    <w:rsid w:val="008B3AC1"/>
    <w:rsid w:val="008B3DEE"/>
    <w:rsid w:val="008B4AD4"/>
    <w:rsid w:val="008B4D6B"/>
    <w:rsid w:val="008B4EAF"/>
    <w:rsid w:val="008B5692"/>
    <w:rsid w:val="008B62A8"/>
    <w:rsid w:val="008B6BBB"/>
    <w:rsid w:val="008B7744"/>
    <w:rsid w:val="008B78A7"/>
    <w:rsid w:val="008B7BB2"/>
    <w:rsid w:val="008B7FE3"/>
    <w:rsid w:val="008C05D9"/>
    <w:rsid w:val="008C07B2"/>
    <w:rsid w:val="008C0C30"/>
    <w:rsid w:val="008C1255"/>
    <w:rsid w:val="008C226F"/>
    <w:rsid w:val="008C28C1"/>
    <w:rsid w:val="008C2F09"/>
    <w:rsid w:val="008C399B"/>
    <w:rsid w:val="008C3C46"/>
    <w:rsid w:val="008C4C65"/>
    <w:rsid w:val="008C5603"/>
    <w:rsid w:val="008C6038"/>
    <w:rsid w:val="008C618F"/>
    <w:rsid w:val="008C7734"/>
    <w:rsid w:val="008C774A"/>
    <w:rsid w:val="008C7C5B"/>
    <w:rsid w:val="008C7D04"/>
    <w:rsid w:val="008D0E3F"/>
    <w:rsid w:val="008D0EF3"/>
    <w:rsid w:val="008D11F3"/>
    <w:rsid w:val="008D17FE"/>
    <w:rsid w:val="008D1AC9"/>
    <w:rsid w:val="008D213B"/>
    <w:rsid w:val="008D21BE"/>
    <w:rsid w:val="008D2C75"/>
    <w:rsid w:val="008D35F8"/>
    <w:rsid w:val="008D395E"/>
    <w:rsid w:val="008D43E9"/>
    <w:rsid w:val="008D4571"/>
    <w:rsid w:val="008D4A76"/>
    <w:rsid w:val="008D50BD"/>
    <w:rsid w:val="008D57D0"/>
    <w:rsid w:val="008D70D9"/>
    <w:rsid w:val="008E0EC0"/>
    <w:rsid w:val="008E0F29"/>
    <w:rsid w:val="008E116D"/>
    <w:rsid w:val="008E1B66"/>
    <w:rsid w:val="008E1E84"/>
    <w:rsid w:val="008E2E14"/>
    <w:rsid w:val="008E32A1"/>
    <w:rsid w:val="008E3553"/>
    <w:rsid w:val="008E3AC9"/>
    <w:rsid w:val="008E4479"/>
    <w:rsid w:val="008E44E8"/>
    <w:rsid w:val="008E4FD4"/>
    <w:rsid w:val="008E52BD"/>
    <w:rsid w:val="008E53D5"/>
    <w:rsid w:val="008E596D"/>
    <w:rsid w:val="008E6D1D"/>
    <w:rsid w:val="008E7921"/>
    <w:rsid w:val="008F1512"/>
    <w:rsid w:val="008F151C"/>
    <w:rsid w:val="008F1537"/>
    <w:rsid w:val="008F1771"/>
    <w:rsid w:val="008F2AD1"/>
    <w:rsid w:val="008F2BD6"/>
    <w:rsid w:val="008F386D"/>
    <w:rsid w:val="008F408B"/>
    <w:rsid w:val="008F4531"/>
    <w:rsid w:val="008F4965"/>
    <w:rsid w:val="008F499B"/>
    <w:rsid w:val="008F52C0"/>
    <w:rsid w:val="008F6587"/>
    <w:rsid w:val="008F66CE"/>
    <w:rsid w:val="008F6DA0"/>
    <w:rsid w:val="008F72AC"/>
    <w:rsid w:val="008F7EB2"/>
    <w:rsid w:val="008F7FFD"/>
    <w:rsid w:val="0090054B"/>
    <w:rsid w:val="0090072E"/>
    <w:rsid w:val="00900E73"/>
    <w:rsid w:val="0090193E"/>
    <w:rsid w:val="00901A69"/>
    <w:rsid w:val="00901F99"/>
    <w:rsid w:val="00902E86"/>
    <w:rsid w:val="009031E3"/>
    <w:rsid w:val="00903307"/>
    <w:rsid w:val="00903E0E"/>
    <w:rsid w:val="00904ED7"/>
    <w:rsid w:val="00905241"/>
    <w:rsid w:val="00905862"/>
    <w:rsid w:val="00907181"/>
    <w:rsid w:val="00907742"/>
    <w:rsid w:val="00907E8C"/>
    <w:rsid w:val="00910D88"/>
    <w:rsid w:val="00910F72"/>
    <w:rsid w:val="009112C5"/>
    <w:rsid w:val="00912090"/>
    <w:rsid w:val="00912A79"/>
    <w:rsid w:val="00912FF3"/>
    <w:rsid w:val="0091462D"/>
    <w:rsid w:val="00914C54"/>
    <w:rsid w:val="00914CCA"/>
    <w:rsid w:val="0091530B"/>
    <w:rsid w:val="00916AA7"/>
    <w:rsid w:val="00916BC7"/>
    <w:rsid w:val="00916C1D"/>
    <w:rsid w:val="0091715F"/>
    <w:rsid w:val="009178D8"/>
    <w:rsid w:val="00917E71"/>
    <w:rsid w:val="00920BEB"/>
    <w:rsid w:val="0092109A"/>
    <w:rsid w:val="009217BC"/>
    <w:rsid w:val="009219A0"/>
    <w:rsid w:val="00921A4F"/>
    <w:rsid w:val="00921D55"/>
    <w:rsid w:val="0092212A"/>
    <w:rsid w:val="009222EB"/>
    <w:rsid w:val="00922C57"/>
    <w:rsid w:val="00922DBA"/>
    <w:rsid w:val="00923544"/>
    <w:rsid w:val="009237FA"/>
    <w:rsid w:val="00923D43"/>
    <w:rsid w:val="009247D2"/>
    <w:rsid w:val="0092632B"/>
    <w:rsid w:val="00926370"/>
    <w:rsid w:val="00926E6E"/>
    <w:rsid w:val="009270C9"/>
    <w:rsid w:val="00927602"/>
    <w:rsid w:val="00927B47"/>
    <w:rsid w:val="009303BB"/>
    <w:rsid w:val="0093056F"/>
    <w:rsid w:val="00930DD0"/>
    <w:rsid w:val="009311F7"/>
    <w:rsid w:val="0093178E"/>
    <w:rsid w:val="00932081"/>
    <w:rsid w:val="00932C3E"/>
    <w:rsid w:val="00932DE0"/>
    <w:rsid w:val="00933E9A"/>
    <w:rsid w:val="00934909"/>
    <w:rsid w:val="00934E2E"/>
    <w:rsid w:val="00935268"/>
    <w:rsid w:val="009356A0"/>
    <w:rsid w:val="0093594F"/>
    <w:rsid w:val="0093602D"/>
    <w:rsid w:val="00936198"/>
    <w:rsid w:val="0093637E"/>
    <w:rsid w:val="00936EDE"/>
    <w:rsid w:val="00936F40"/>
    <w:rsid w:val="00937427"/>
    <w:rsid w:val="00937721"/>
    <w:rsid w:val="00940CBB"/>
    <w:rsid w:val="009410B3"/>
    <w:rsid w:val="00941523"/>
    <w:rsid w:val="009429DB"/>
    <w:rsid w:val="00942F03"/>
    <w:rsid w:val="009434BF"/>
    <w:rsid w:val="00944255"/>
    <w:rsid w:val="00944587"/>
    <w:rsid w:val="0094471B"/>
    <w:rsid w:val="0094474E"/>
    <w:rsid w:val="00944E5C"/>
    <w:rsid w:val="0094649A"/>
    <w:rsid w:val="00946DB3"/>
    <w:rsid w:val="009474AE"/>
    <w:rsid w:val="00947629"/>
    <w:rsid w:val="00947AF8"/>
    <w:rsid w:val="00947F70"/>
    <w:rsid w:val="00950006"/>
    <w:rsid w:val="00950322"/>
    <w:rsid w:val="00950CA3"/>
    <w:rsid w:val="009515EF"/>
    <w:rsid w:val="00952709"/>
    <w:rsid w:val="00952DB1"/>
    <w:rsid w:val="00952F9D"/>
    <w:rsid w:val="00953679"/>
    <w:rsid w:val="009544F0"/>
    <w:rsid w:val="00954540"/>
    <w:rsid w:val="00954C04"/>
    <w:rsid w:val="00954E05"/>
    <w:rsid w:val="00955F4F"/>
    <w:rsid w:val="009564B6"/>
    <w:rsid w:val="00957321"/>
    <w:rsid w:val="009573F0"/>
    <w:rsid w:val="009608E4"/>
    <w:rsid w:val="00960E7A"/>
    <w:rsid w:val="00961685"/>
    <w:rsid w:val="00962FAF"/>
    <w:rsid w:val="0096377C"/>
    <w:rsid w:val="009644EC"/>
    <w:rsid w:val="009654F5"/>
    <w:rsid w:val="00965CDD"/>
    <w:rsid w:val="00965CF0"/>
    <w:rsid w:val="009668B9"/>
    <w:rsid w:val="0096735F"/>
    <w:rsid w:val="0096746B"/>
    <w:rsid w:val="0096758C"/>
    <w:rsid w:val="009675C1"/>
    <w:rsid w:val="00967921"/>
    <w:rsid w:val="00970679"/>
    <w:rsid w:val="00971C13"/>
    <w:rsid w:val="00971E67"/>
    <w:rsid w:val="0097203A"/>
    <w:rsid w:val="0097232F"/>
    <w:rsid w:val="00972919"/>
    <w:rsid w:val="009731F2"/>
    <w:rsid w:val="00973259"/>
    <w:rsid w:val="00973444"/>
    <w:rsid w:val="00973961"/>
    <w:rsid w:val="00973D80"/>
    <w:rsid w:val="00974764"/>
    <w:rsid w:val="009755E1"/>
    <w:rsid w:val="00975CFE"/>
    <w:rsid w:val="00975E03"/>
    <w:rsid w:val="009763CE"/>
    <w:rsid w:val="00976658"/>
    <w:rsid w:val="00976B77"/>
    <w:rsid w:val="00976C99"/>
    <w:rsid w:val="0097760C"/>
    <w:rsid w:val="00980022"/>
    <w:rsid w:val="0098022C"/>
    <w:rsid w:val="0098044B"/>
    <w:rsid w:val="009804BE"/>
    <w:rsid w:val="00981054"/>
    <w:rsid w:val="00981F23"/>
    <w:rsid w:val="00981F25"/>
    <w:rsid w:val="009823C6"/>
    <w:rsid w:val="00982D89"/>
    <w:rsid w:val="00983CAE"/>
    <w:rsid w:val="00983D9C"/>
    <w:rsid w:val="009840C5"/>
    <w:rsid w:val="00984648"/>
    <w:rsid w:val="00985188"/>
    <w:rsid w:val="009855B9"/>
    <w:rsid w:val="00985936"/>
    <w:rsid w:val="00985D02"/>
    <w:rsid w:val="0098659F"/>
    <w:rsid w:val="00986925"/>
    <w:rsid w:val="00986DF5"/>
    <w:rsid w:val="009872D7"/>
    <w:rsid w:val="0099024B"/>
    <w:rsid w:val="009907A0"/>
    <w:rsid w:val="00990BF4"/>
    <w:rsid w:val="00990C79"/>
    <w:rsid w:val="00991815"/>
    <w:rsid w:val="009922AC"/>
    <w:rsid w:val="009927E1"/>
    <w:rsid w:val="00992A21"/>
    <w:rsid w:val="00992BAC"/>
    <w:rsid w:val="00993189"/>
    <w:rsid w:val="009944B6"/>
    <w:rsid w:val="0099485C"/>
    <w:rsid w:val="0099496D"/>
    <w:rsid w:val="00994F2F"/>
    <w:rsid w:val="00994F6E"/>
    <w:rsid w:val="00995358"/>
    <w:rsid w:val="00995FE9"/>
    <w:rsid w:val="00996BBA"/>
    <w:rsid w:val="00997255"/>
    <w:rsid w:val="0099765C"/>
    <w:rsid w:val="009976CE"/>
    <w:rsid w:val="00997870"/>
    <w:rsid w:val="009979CB"/>
    <w:rsid w:val="009979FC"/>
    <w:rsid w:val="00997F9E"/>
    <w:rsid w:val="009A07C5"/>
    <w:rsid w:val="009A089C"/>
    <w:rsid w:val="009A0D42"/>
    <w:rsid w:val="009A13BE"/>
    <w:rsid w:val="009A14FD"/>
    <w:rsid w:val="009A17A0"/>
    <w:rsid w:val="009A1AD7"/>
    <w:rsid w:val="009A22DC"/>
    <w:rsid w:val="009A2802"/>
    <w:rsid w:val="009A2A65"/>
    <w:rsid w:val="009A2AB0"/>
    <w:rsid w:val="009A2FB0"/>
    <w:rsid w:val="009A3137"/>
    <w:rsid w:val="009A33DC"/>
    <w:rsid w:val="009A4234"/>
    <w:rsid w:val="009A4241"/>
    <w:rsid w:val="009A42C3"/>
    <w:rsid w:val="009A49D0"/>
    <w:rsid w:val="009A4C96"/>
    <w:rsid w:val="009A57BC"/>
    <w:rsid w:val="009A5B9D"/>
    <w:rsid w:val="009A6942"/>
    <w:rsid w:val="009A6BB8"/>
    <w:rsid w:val="009A6C8D"/>
    <w:rsid w:val="009A76AE"/>
    <w:rsid w:val="009A7750"/>
    <w:rsid w:val="009A7AE9"/>
    <w:rsid w:val="009A7D9E"/>
    <w:rsid w:val="009B00AE"/>
    <w:rsid w:val="009B00DF"/>
    <w:rsid w:val="009B0122"/>
    <w:rsid w:val="009B03F5"/>
    <w:rsid w:val="009B06C8"/>
    <w:rsid w:val="009B092D"/>
    <w:rsid w:val="009B0971"/>
    <w:rsid w:val="009B0EB9"/>
    <w:rsid w:val="009B1299"/>
    <w:rsid w:val="009B156A"/>
    <w:rsid w:val="009B18E2"/>
    <w:rsid w:val="009B198A"/>
    <w:rsid w:val="009B20F6"/>
    <w:rsid w:val="009B2217"/>
    <w:rsid w:val="009B24BF"/>
    <w:rsid w:val="009B2A86"/>
    <w:rsid w:val="009B30F8"/>
    <w:rsid w:val="009B325D"/>
    <w:rsid w:val="009B3290"/>
    <w:rsid w:val="009B42C4"/>
    <w:rsid w:val="009B45EA"/>
    <w:rsid w:val="009B4600"/>
    <w:rsid w:val="009B4673"/>
    <w:rsid w:val="009B480D"/>
    <w:rsid w:val="009B4BBD"/>
    <w:rsid w:val="009B4BFD"/>
    <w:rsid w:val="009B50CB"/>
    <w:rsid w:val="009B58A7"/>
    <w:rsid w:val="009B5A27"/>
    <w:rsid w:val="009B5CA2"/>
    <w:rsid w:val="009B6C17"/>
    <w:rsid w:val="009B7407"/>
    <w:rsid w:val="009B7846"/>
    <w:rsid w:val="009B7B2F"/>
    <w:rsid w:val="009B7CD4"/>
    <w:rsid w:val="009B7EEC"/>
    <w:rsid w:val="009C05E4"/>
    <w:rsid w:val="009C0B3F"/>
    <w:rsid w:val="009C12C3"/>
    <w:rsid w:val="009C1BFF"/>
    <w:rsid w:val="009C2372"/>
    <w:rsid w:val="009C384F"/>
    <w:rsid w:val="009C47B4"/>
    <w:rsid w:val="009C4CC4"/>
    <w:rsid w:val="009C57E5"/>
    <w:rsid w:val="009C5B4C"/>
    <w:rsid w:val="009C5EFF"/>
    <w:rsid w:val="009C5F3E"/>
    <w:rsid w:val="009C6104"/>
    <w:rsid w:val="009C6184"/>
    <w:rsid w:val="009C6AA3"/>
    <w:rsid w:val="009C7147"/>
    <w:rsid w:val="009C739F"/>
    <w:rsid w:val="009C75A0"/>
    <w:rsid w:val="009C7749"/>
    <w:rsid w:val="009D0646"/>
    <w:rsid w:val="009D0B0D"/>
    <w:rsid w:val="009D1431"/>
    <w:rsid w:val="009D15EC"/>
    <w:rsid w:val="009D1771"/>
    <w:rsid w:val="009D1A82"/>
    <w:rsid w:val="009D22D0"/>
    <w:rsid w:val="009D2DE7"/>
    <w:rsid w:val="009D2F50"/>
    <w:rsid w:val="009D3204"/>
    <w:rsid w:val="009D3387"/>
    <w:rsid w:val="009D3685"/>
    <w:rsid w:val="009D3E64"/>
    <w:rsid w:val="009D4274"/>
    <w:rsid w:val="009D4660"/>
    <w:rsid w:val="009D4709"/>
    <w:rsid w:val="009D4781"/>
    <w:rsid w:val="009D4827"/>
    <w:rsid w:val="009D48CC"/>
    <w:rsid w:val="009D5962"/>
    <w:rsid w:val="009D608E"/>
    <w:rsid w:val="009D628F"/>
    <w:rsid w:val="009D71EE"/>
    <w:rsid w:val="009D73AD"/>
    <w:rsid w:val="009D7763"/>
    <w:rsid w:val="009D7916"/>
    <w:rsid w:val="009D792C"/>
    <w:rsid w:val="009E00B0"/>
    <w:rsid w:val="009E0382"/>
    <w:rsid w:val="009E0BAE"/>
    <w:rsid w:val="009E1098"/>
    <w:rsid w:val="009E1898"/>
    <w:rsid w:val="009E1A53"/>
    <w:rsid w:val="009E2051"/>
    <w:rsid w:val="009E31ED"/>
    <w:rsid w:val="009E39B3"/>
    <w:rsid w:val="009E42A4"/>
    <w:rsid w:val="009E4EA1"/>
    <w:rsid w:val="009E533A"/>
    <w:rsid w:val="009E608A"/>
    <w:rsid w:val="009E664C"/>
    <w:rsid w:val="009E6A64"/>
    <w:rsid w:val="009E744F"/>
    <w:rsid w:val="009F14AD"/>
    <w:rsid w:val="009F1529"/>
    <w:rsid w:val="009F1EA2"/>
    <w:rsid w:val="009F27DB"/>
    <w:rsid w:val="009F28D9"/>
    <w:rsid w:val="009F2D39"/>
    <w:rsid w:val="009F31DF"/>
    <w:rsid w:val="009F349A"/>
    <w:rsid w:val="009F39C6"/>
    <w:rsid w:val="009F4407"/>
    <w:rsid w:val="009F5149"/>
    <w:rsid w:val="009F542B"/>
    <w:rsid w:val="009F55C2"/>
    <w:rsid w:val="009F5E52"/>
    <w:rsid w:val="009F6346"/>
    <w:rsid w:val="009F68A0"/>
    <w:rsid w:val="009F6B8A"/>
    <w:rsid w:val="009F713B"/>
    <w:rsid w:val="009F733B"/>
    <w:rsid w:val="009F75D6"/>
    <w:rsid w:val="009F7DD3"/>
    <w:rsid w:val="009F7F8F"/>
    <w:rsid w:val="00A007DE"/>
    <w:rsid w:val="00A00840"/>
    <w:rsid w:val="00A009D7"/>
    <w:rsid w:val="00A01208"/>
    <w:rsid w:val="00A01B04"/>
    <w:rsid w:val="00A02160"/>
    <w:rsid w:val="00A0234F"/>
    <w:rsid w:val="00A02397"/>
    <w:rsid w:val="00A0254C"/>
    <w:rsid w:val="00A0260D"/>
    <w:rsid w:val="00A032D1"/>
    <w:rsid w:val="00A0399D"/>
    <w:rsid w:val="00A03A24"/>
    <w:rsid w:val="00A03B85"/>
    <w:rsid w:val="00A03C1F"/>
    <w:rsid w:val="00A040F0"/>
    <w:rsid w:val="00A04790"/>
    <w:rsid w:val="00A04E96"/>
    <w:rsid w:val="00A04EA5"/>
    <w:rsid w:val="00A05131"/>
    <w:rsid w:val="00A054A6"/>
    <w:rsid w:val="00A05A3E"/>
    <w:rsid w:val="00A05D2C"/>
    <w:rsid w:val="00A061D7"/>
    <w:rsid w:val="00A06220"/>
    <w:rsid w:val="00A067FF"/>
    <w:rsid w:val="00A06977"/>
    <w:rsid w:val="00A0747F"/>
    <w:rsid w:val="00A076C7"/>
    <w:rsid w:val="00A07753"/>
    <w:rsid w:val="00A104D4"/>
    <w:rsid w:val="00A106C3"/>
    <w:rsid w:val="00A109B3"/>
    <w:rsid w:val="00A10EA3"/>
    <w:rsid w:val="00A11337"/>
    <w:rsid w:val="00A122A2"/>
    <w:rsid w:val="00A12304"/>
    <w:rsid w:val="00A12A53"/>
    <w:rsid w:val="00A13769"/>
    <w:rsid w:val="00A14221"/>
    <w:rsid w:val="00A14819"/>
    <w:rsid w:val="00A15408"/>
    <w:rsid w:val="00A1555F"/>
    <w:rsid w:val="00A156F8"/>
    <w:rsid w:val="00A15833"/>
    <w:rsid w:val="00A160D2"/>
    <w:rsid w:val="00A1709D"/>
    <w:rsid w:val="00A1791B"/>
    <w:rsid w:val="00A17920"/>
    <w:rsid w:val="00A17A72"/>
    <w:rsid w:val="00A17DA5"/>
    <w:rsid w:val="00A17FA8"/>
    <w:rsid w:val="00A201C7"/>
    <w:rsid w:val="00A203E6"/>
    <w:rsid w:val="00A20A57"/>
    <w:rsid w:val="00A20BF7"/>
    <w:rsid w:val="00A20C09"/>
    <w:rsid w:val="00A20DFD"/>
    <w:rsid w:val="00A217FA"/>
    <w:rsid w:val="00A21885"/>
    <w:rsid w:val="00A21977"/>
    <w:rsid w:val="00A21E34"/>
    <w:rsid w:val="00A22009"/>
    <w:rsid w:val="00A2206C"/>
    <w:rsid w:val="00A2245A"/>
    <w:rsid w:val="00A231BC"/>
    <w:rsid w:val="00A23342"/>
    <w:rsid w:val="00A233CF"/>
    <w:rsid w:val="00A25444"/>
    <w:rsid w:val="00A25527"/>
    <w:rsid w:val="00A26000"/>
    <w:rsid w:val="00A265E8"/>
    <w:rsid w:val="00A26701"/>
    <w:rsid w:val="00A27472"/>
    <w:rsid w:val="00A30719"/>
    <w:rsid w:val="00A3112D"/>
    <w:rsid w:val="00A3235A"/>
    <w:rsid w:val="00A328E6"/>
    <w:rsid w:val="00A32BDC"/>
    <w:rsid w:val="00A33406"/>
    <w:rsid w:val="00A33459"/>
    <w:rsid w:val="00A335C3"/>
    <w:rsid w:val="00A3388E"/>
    <w:rsid w:val="00A339DF"/>
    <w:rsid w:val="00A346F6"/>
    <w:rsid w:val="00A34F1D"/>
    <w:rsid w:val="00A34FA1"/>
    <w:rsid w:val="00A35966"/>
    <w:rsid w:val="00A36038"/>
    <w:rsid w:val="00A362DA"/>
    <w:rsid w:val="00A36AA1"/>
    <w:rsid w:val="00A375AB"/>
    <w:rsid w:val="00A3771A"/>
    <w:rsid w:val="00A3799B"/>
    <w:rsid w:val="00A37DAD"/>
    <w:rsid w:val="00A40270"/>
    <w:rsid w:val="00A40347"/>
    <w:rsid w:val="00A40977"/>
    <w:rsid w:val="00A40C95"/>
    <w:rsid w:val="00A40EB5"/>
    <w:rsid w:val="00A41734"/>
    <w:rsid w:val="00A417A4"/>
    <w:rsid w:val="00A41E85"/>
    <w:rsid w:val="00A41F33"/>
    <w:rsid w:val="00A425D7"/>
    <w:rsid w:val="00A427C0"/>
    <w:rsid w:val="00A42F25"/>
    <w:rsid w:val="00A431F3"/>
    <w:rsid w:val="00A43312"/>
    <w:rsid w:val="00A43450"/>
    <w:rsid w:val="00A43C3E"/>
    <w:rsid w:val="00A442F9"/>
    <w:rsid w:val="00A450B0"/>
    <w:rsid w:val="00A45A7C"/>
    <w:rsid w:val="00A45D33"/>
    <w:rsid w:val="00A46E04"/>
    <w:rsid w:val="00A477E6"/>
    <w:rsid w:val="00A47E63"/>
    <w:rsid w:val="00A500CE"/>
    <w:rsid w:val="00A504E1"/>
    <w:rsid w:val="00A50AA0"/>
    <w:rsid w:val="00A51B65"/>
    <w:rsid w:val="00A51EE2"/>
    <w:rsid w:val="00A52AE3"/>
    <w:rsid w:val="00A52C70"/>
    <w:rsid w:val="00A52C7E"/>
    <w:rsid w:val="00A52CBA"/>
    <w:rsid w:val="00A52CF8"/>
    <w:rsid w:val="00A530C4"/>
    <w:rsid w:val="00A53484"/>
    <w:rsid w:val="00A54665"/>
    <w:rsid w:val="00A5493E"/>
    <w:rsid w:val="00A54DD4"/>
    <w:rsid w:val="00A54F87"/>
    <w:rsid w:val="00A54FD3"/>
    <w:rsid w:val="00A55319"/>
    <w:rsid w:val="00A555DE"/>
    <w:rsid w:val="00A56047"/>
    <w:rsid w:val="00A56215"/>
    <w:rsid w:val="00A57844"/>
    <w:rsid w:val="00A57A4E"/>
    <w:rsid w:val="00A60959"/>
    <w:rsid w:val="00A613C3"/>
    <w:rsid w:val="00A61B2A"/>
    <w:rsid w:val="00A62215"/>
    <w:rsid w:val="00A62305"/>
    <w:rsid w:val="00A62AC6"/>
    <w:rsid w:val="00A62D82"/>
    <w:rsid w:val="00A62E28"/>
    <w:rsid w:val="00A63DD7"/>
    <w:rsid w:val="00A64301"/>
    <w:rsid w:val="00A64C94"/>
    <w:rsid w:val="00A6539E"/>
    <w:rsid w:val="00A65467"/>
    <w:rsid w:val="00A6568B"/>
    <w:rsid w:val="00A65E6E"/>
    <w:rsid w:val="00A66422"/>
    <w:rsid w:val="00A67135"/>
    <w:rsid w:val="00A67235"/>
    <w:rsid w:val="00A67CB4"/>
    <w:rsid w:val="00A70170"/>
    <w:rsid w:val="00A7022A"/>
    <w:rsid w:val="00A732DC"/>
    <w:rsid w:val="00A73899"/>
    <w:rsid w:val="00A73A8B"/>
    <w:rsid w:val="00A748CB"/>
    <w:rsid w:val="00A7559F"/>
    <w:rsid w:val="00A75936"/>
    <w:rsid w:val="00A75F0A"/>
    <w:rsid w:val="00A76FDC"/>
    <w:rsid w:val="00A7712C"/>
    <w:rsid w:val="00A77B59"/>
    <w:rsid w:val="00A77E51"/>
    <w:rsid w:val="00A80274"/>
    <w:rsid w:val="00A80425"/>
    <w:rsid w:val="00A80E18"/>
    <w:rsid w:val="00A810E4"/>
    <w:rsid w:val="00A8139F"/>
    <w:rsid w:val="00A81748"/>
    <w:rsid w:val="00A82133"/>
    <w:rsid w:val="00A8255D"/>
    <w:rsid w:val="00A82BC5"/>
    <w:rsid w:val="00A82EA9"/>
    <w:rsid w:val="00A83AA1"/>
    <w:rsid w:val="00A83DEE"/>
    <w:rsid w:val="00A841FC"/>
    <w:rsid w:val="00A84C30"/>
    <w:rsid w:val="00A84EB9"/>
    <w:rsid w:val="00A85D3D"/>
    <w:rsid w:val="00A861AE"/>
    <w:rsid w:val="00A87447"/>
    <w:rsid w:val="00A879C5"/>
    <w:rsid w:val="00A90F57"/>
    <w:rsid w:val="00A910ED"/>
    <w:rsid w:val="00A9193C"/>
    <w:rsid w:val="00A91CC8"/>
    <w:rsid w:val="00A91F4D"/>
    <w:rsid w:val="00A928FF"/>
    <w:rsid w:val="00A92BA2"/>
    <w:rsid w:val="00A931F3"/>
    <w:rsid w:val="00A93274"/>
    <w:rsid w:val="00A93A6A"/>
    <w:rsid w:val="00A93D81"/>
    <w:rsid w:val="00A94184"/>
    <w:rsid w:val="00A94B47"/>
    <w:rsid w:val="00A9524D"/>
    <w:rsid w:val="00A9532C"/>
    <w:rsid w:val="00A957BB"/>
    <w:rsid w:val="00A957F9"/>
    <w:rsid w:val="00A96839"/>
    <w:rsid w:val="00A9698F"/>
    <w:rsid w:val="00A969A2"/>
    <w:rsid w:val="00A97174"/>
    <w:rsid w:val="00A979DE"/>
    <w:rsid w:val="00AA0632"/>
    <w:rsid w:val="00AA09E2"/>
    <w:rsid w:val="00AA154F"/>
    <w:rsid w:val="00AA1C8B"/>
    <w:rsid w:val="00AA1F19"/>
    <w:rsid w:val="00AA229F"/>
    <w:rsid w:val="00AA28F3"/>
    <w:rsid w:val="00AA2904"/>
    <w:rsid w:val="00AA2C3C"/>
    <w:rsid w:val="00AA36A2"/>
    <w:rsid w:val="00AA36E4"/>
    <w:rsid w:val="00AA3943"/>
    <w:rsid w:val="00AA39A7"/>
    <w:rsid w:val="00AA4E7B"/>
    <w:rsid w:val="00AA51C5"/>
    <w:rsid w:val="00AA5308"/>
    <w:rsid w:val="00AA59E3"/>
    <w:rsid w:val="00AA6306"/>
    <w:rsid w:val="00AA6D04"/>
    <w:rsid w:val="00AA6E80"/>
    <w:rsid w:val="00AA7389"/>
    <w:rsid w:val="00AA76F4"/>
    <w:rsid w:val="00AA7E72"/>
    <w:rsid w:val="00AA7ED5"/>
    <w:rsid w:val="00AB190A"/>
    <w:rsid w:val="00AB1C8A"/>
    <w:rsid w:val="00AB23B4"/>
    <w:rsid w:val="00AB26BB"/>
    <w:rsid w:val="00AB27F5"/>
    <w:rsid w:val="00AB2D94"/>
    <w:rsid w:val="00AB3131"/>
    <w:rsid w:val="00AB3411"/>
    <w:rsid w:val="00AB363B"/>
    <w:rsid w:val="00AB36AD"/>
    <w:rsid w:val="00AB3943"/>
    <w:rsid w:val="00AB4BBA"/>
    <w:rsid w:val="00AB512B"/>
    <w:rsid w:val="00AB56D2"/>
    <w:rsid w:val="00AB6075"/>
    <w:rsid w:val="00AB6177"/>
    <w:rsid w:val="00AB7D28"/>
    <w:rsid w:val="00AC0054"/>
    <w:rsid w:val="00AC0C77"/>
    <w:rsid w:val="00AC1202"/>
    <w:rsid w:val="00AC1739"/>
    <w:rsid w:val="00AC19A4"/>
    <w:rsid w:val="00AC2A2B"/>
    <w:rsid w:val="00AC2A51"/>
    <w:rsid w:val="00AC3CF6"/>
    <w:rsid w:val="00AC5B6C"/>
    <w:rsid w:val="00AC6A27"/>
    <w:rsid w:val="00AC6C15"/>
    <w:rsid w:val="00AD00DA"/>
    <w:rsid w:val="00AD0131"/>
    <w:rsid w:val="00AD0279"/>
    <w:rsid w:val="00AD146E"/>
    <w:rsid w:val="00AD15D4"/>
    <w:rsid w:val="00AD227D"/>
    <w:rsid w:val="00AD3294"/>
    <w:rsid w:val="00AD3B5C"/>
    <w:rsid w:val="00AD3F01"/>
    <w:rsid w:val="00AD3F67"/>
    <w:rsid w:val="00AD462B"/>
    <w:rsid w:val="00AD4E12"/>
    <w:rsid w:val="00AD4F85"/>
    <w:rsid w:val="00AD53B6"/>
    <w:rsid w:val="00AD54EF"/>
    <w:rsid w:val="00AD5A0C"/>
    <w:rsid w:val="00AD5CAA"/>
    <w:rsid w:val="00AD5E1C"/>
    <w:rsid w:val="00AD69BC"/>
    <w:rsid w:val="00AD717A"/>
    <w:rsid w:val="00AD72EA"/>
    <w:rsid w:val="00AD75AA"/>
    <w:rsid w:val="00AD7FBA"/>
    <w:rsid w:val="00AE0269"/>
    <w:rsid w:val="00AE0F52"/>
    <w:rsid w:val="00AE1038"/>
    <w:rsid w:val="00AE1173"/>
    <w:rsid w:val="00AE11AA"/>
    <w:rsid w:val="00AE1295"/>
    <w:rsid w:val="00AE140E"/>
    <w:rsid w:val="00AE2508"/>
    <w:rsid w:val="00AE272F"/>
    <w:rsid w:val="00AE359B"/>
    <w:rsid w:val="00AE361F"/>
    <w:rsid w:val="00AE3BFF"/>
    <w:rsid w:val="00AE3D13"/>
    <w:rsid w:val="00AE3FCD"/>
    <w:rsid w:val="00AE466D"/>
    <w:rsid w:val="00AE47BF"/>
    <w:rsid w:val="00AE49E7"/>
    <w:rsid w:val="00AE4C47"/>
    <w:rsid w:val="00AE558A"/>
    <w:rsid w:val="00AE5B5D"/>
    <w:rsid w:val="00AE618C"/>
    <w:rsid w:val="00AE6844"/>
    <w:rsid w:val="00AE6997"/>
    <w:rsid w:val="00AE6BD6"/>
    <w:rsid w:val="00AE6CCC"/>
    <w:rsid w:val="00AE6D73"/>
    <w:rsid w:val="00AE799E"/>
    <w:rsid w:val="00AF0258"/>
    <w:rsid w:val="00AF0A3A"/>
    <w:rsid w:val="00AF0BE1"/>
    <w:rsid w:val="00AF1EC9"/>
    <w:rsid w:val="00AF245D"/>
    <w:rsid w:val="00AF2E35"/>
    <w:rsid w:val="00AF2FED"/>
    <w:rsid w:val="00AF4C44"/>
    <w:rsid w:val="00AF4EF8"/>
    <w:rsid w:val="00AF4EFE"/>
    <w:rsid w:val="00AF516A"/>
    <w:rsid w:val="00AF56F5"/>
    <w:rsid w:val="00AF5FB1"/>
    <w:rsid w:val="00AF6E93"/>
    <w:rsid w:val="00AF7408"/>
    <w:rsid w:val="00AF76BF"/>
    <w:rsid w:val="00AF7CAB"/>
    <w:rsid w:val="00AF7E51"/>
    <w:rsid w:val="00AF7FAC"/>
    <w:rsid w:val="00B0035C"/>
    <w:rsid w:val="00B003DF"/>
    <w:rsid w:val="00B00448"/>
    <w:rsid w:val="00B00552"/>
    <w:rsid w:val="00B01393"/>
    <w:rsid w:val="00B01AE1"/>
    <w:rsid w:val="00B01C19"/>
    <w:rsid w:val="00B02B6C"/>
    <w:rsid w:val="00B02E02"/>
    <w:rsid w:val="00B032FB"/>
    <w:rsid w:val="00B03349"/>
    <w:rsid w:val="00B03407"/>
    <w:rsid w:val="00B0402D"/>
    <w:rsid w:val="00B0412E"/>
    <w:rsid w:val="00B04288"/>
    <w:rsid w:val="00B04D4A"/>
    <w:rsid w:val="00B052C3"/>
    <w:rsid w:val="00B056DB"/>
    <w:rsid w:val="00B06AD0"/>
    <w:rsid w:val="00B102C1"/>
    <w:rsid w:val="00B10342"/>
    <w:rsid w:val="00B104C6"/>
    <w:rsid w:val="00B1069F"/>
    <w:rsid w:val="00B118BA"/>
    <w:rsid w:val="00B119B7"/>
    <w:rsid w:val="00B11A6C"/>
    <w:rsid w:val="00B121F2"/>
    <w:rsid w:val="00B12F6C"/>
    <w:rsid w:val="00B12FCE"/>
    <w:rsid w:val="00B132C9"/>
    <w:rsid w:val="00B14226"/>
    <w:rsid w:val="00B14852"/>
    <w:rsid w:val="00B14900"/>
    <w:rsid w:val="00B14C4E"/>
    <w:rsid w:val="00B16FCC"/>
    <w:rsid w:val="00B17D0E"/>
    <w:rsid w:val="00B2007B"/>
    <w:rsid w:val="00B216CD"/>
    <w:rsid w:val="00B217E0"/>
    <w:rsid w:val="00B2197E"/>
    <w:rsid w:val="00B22015"/>
    <w:rsid w:val="00B2251A"/>
    <w:rsid w:val="00B22691"/>
    <w:rsid w:val="00B2292A"/>
    <w:rsid w:val="00B22C42"/>
    <w:rsid w:val="00B23433"/>
    <w:rsid w:val="00B23F3A"/>
    <w:rsid w:val="00B241C8"/>
    <w:rsid w:val="00B24C99"/>
    <w:rsid w:val="00B24DD2"/>
    <w:rsid w:val="00B24F67"/>
    <w:rsid w:val="00B254C1"/>
    <w:rsid w:val="00B25AA2"/>
    <w:rsid w:val="00B25DC8"/>
    <w:rsid w:val="00B2641C"/>
    <w:rsid w:val="00B264D2"/>
    <w:rsid w:val="00B27843"/>
    <w:rsid w:val="00B27A3C"/>
    <w:rsid w:val="00B301A3"/>
    <w:rsid w:val="00B3079D"/>
    <w:rsid w:val="00B317CC"/>
    <w:rsid w:val="00B31ED6"/>
    <w:rsid w:val="00B32E0D"/>
    <w:rsid w:val="00B33512"/>
    <w:rsid w:val="00B33520"/>
    <w:rsid w:val="00B33799"/>
    <w:rsid w:val="00B33833"/>
    <w:rsid w:val="00B34070"/>
    <w:rsid w:val="00B34732"/>
    <w:rsid w:val="00B34A05"/>
    <w:rsid w:val="00B34F18"/>
    <w:rsid w:val="00B35338"/>
    <w:rsid w:val="00B35CCA"/>
    <w:rsid w:val="00B36469"/>
    <w:rsid w:val="00B365CA"/>
    <w:rsid w:val="00B36B15"/>
    <w:rsid w:val="00B36E4D"/>
    <w:rsid w:val="00B3735D"/>
    <w:rsid w:val="00B376C5"/>
    <w:rsid w:val="00B37959"/>
    <w:rsid w:val="00B40775"/>
    <w:rsid w:val="00B408D4"/>
    <w:rsid w:val="00B40BCA"/>
    <w:rsid w:val="00B40BE2"/>
    <w:rsid w:val="00B40E1D"/>
    <w:rsid w:val="00B4140B"/>
    <w:rsid w:val="00B4163E"/>
    <w:rsid w:val="00B41809"/>
    <w:rsid w:val="00B4183D"/>
    <w:rsid w:val="00B421C3"/>
    <w:rsid w:val="00B422FF"/>
    <w:rsid w:val="00B42CD1"/>
    <w:rsid w:val="00B42D0C"/>
    <w:rsid w:val="00B430EE"/>
    <w:rsid w:val="00B43164"/>
    <w:rsid w:val="00B431CA"/>
    <w:rsid w:val="00B43210"/>
    <w:rsid w:val="00B433F9"/>
    <w:rsid w:val="00B43B92"/>
    <w:rsid w:val="00B43C6C"/>
    <w:rsid w:val="00B43D89"/>
    <w:rsid w:val="00B43F38"/>
    <w:rsid w:val="00B44583"/>
    <w:rsid w:val="00B4488E"/>
    <w:rsid w:val="00B45048"/>
    <w:rsid w:val="00B456FF"/>
    <w:rsid w:val="00B4616A"/>
    <w:rsid w:val="00B46447"/>
    <w:rsid w:val="00B46572"/>
    <w:rsid w:val="00B46845"/>
    <w:rsid w:val="00B46D2C"/>
    <w:rsid w:val="00B46F85"/>
    <w:rsid w:val="00B479DD"/>
    <w:rsid w:val="00B500DC"/>
    <w:rsid w:val="00B5089C"/>
    <w:rsid w:val="00B509CA"/>
    <w:rsid w:val="00B50C78"/>
    <w:rsid w:val="00B50CBF"/>
    <w:rsid w:val="00B50EB4"/>
    <w:rsid w:val="00B517CC"/>
    <w:rsid w:val="00B52552"/>
    <w:rsid w:val="00B54189"/>
    <w:rsid w:val="00B54636"/>
    <w:rsid w:val="00B54806"/>
    <w:rsid w:val="00B550AA"/>
    <w:rsid w:val="00B551DF"/>
    <w:rsid w:val="00B55CEB"/>
    <w:rsid w:val="00B566DD"/>
    <w:rsid w:val="00B56C43"/>
    <w:rsid w:val="00B57D66"/>
    <w:rsid w:val="00B60309"/>
    <w:rsid w:val="00B60818"/>
    <w:rsid w:val="00B6151D"/>
    <w:rsid w:val="00B61BB2"/>
    <w:rsid w:val="00B62328"/>
    <w:rsid w:val="00B6274C"/>
    <w:rsid w:val="00B62D7E"/>
    <w:rsid w:val="00B6309D"/>
    <w:rsid w:val="00B63265"/>
    <w:rsid w:val="00B6493F"/>
    <w:rsid w:val="00B64A7A"/>
    <w:rsid w:val="00B64AB5"/>
    <w:rsid w:val="00B64ED0"/>
    <w:rsid w:val="00B6526C"/>
    <w:rsid w:val="00B65634"/>
    <w:rsid w:val="00B6566D"/>
    <w:rsid w:val="00B657F6"/>
    <w:rsid w:val="00B658B2"/>
    <w:rsid w:val="00B65D90"/>
    <w:rsid w:val="00B65EA4"/>
    <w:rsid w:val="00B65F63"/>
    <w:rsid w:val="00B663FB"/>
    <w:rsid w:val="00B666F6"/>
    <w:rsid w:val="00B667F7"/>
    <w:rsid w:val="00B66E9A"/>
    <w:rsid w:val="00B676D9"/>
    <w:rsid w:val="00B67A9D"/>
    <w:rsid w:val="00B70B6E"/>
    <w:rsid w:val="00B7131F"/>
    <w:rsid w:val="00B7132A"/>
    <w:rsid w:val="00B71928"/>
    <w:rsid w:val="00B7244A"/>
    <w:rsid w:val="00B734BF"/>
    <w:rsid w:val="00B7386E"/>
    <w:rsid w:val="00B7400A"/>
    <w:rsid w:val="00B741BD"/>
    <w:rsid w:val="00B742A5"/>
    <w:rsid w:val="00B74BE8"/>
    <w:rsid w:val="00B74FFB"/>
    <w:rsid w:val="00B754B2"/>
    <w:rsid w:val="00B757A5"/>
    <w:rsid w:val="00B76465"/>
    <w:rsid w:val="00B765FC"/>
    <w:rsid w:val="00B769E3"/>
    <w:rsid w:val="00B77560"/>
    <w:rsid w:val="00B77728"/>
    <w:rsid w:val="00B8005B"/>
    <w:rsid w:val="00B80346"/>
    <w:rsid w:val="00B80411"/>
    <w:rsid w:val="00B80F37"/>
    <w:rsid w:val="00B80F8A"/>
    <w:rsid w:val="00B821BE"/>
    <w:rsid w:val="00B82917"/>
    <w:rsid w:val="00B82A2F"/>
    <w:rsid w:val="00B82B27"/>
    <w:rsid w:val="00B82DA1"/>
    <w:rsid w:val="00B835CF"/>
    <w:rsid w:val="00B84203"/>
    <w:rsid w:val="00B84334"/>
    <w:rsid w:val="00B845AD"/>
    <w:rsid w:val="00B84A9E"/>
    <w:rsid w:val="00B84E79"/>
    <w:rsid w:val="00B8550A"/>
    <w:rsid w:val="00B85535"/>
    <w:rsid w:val="00B85AB3"/>
    <w:rsid w:val="00B85BA8"/>
    <w:rsid w:val="00B85CC6"/>
    <w:rsid w:val="00B866F2"/>
    <w:rsid w:val="00B872AE"/>
    <w:rsid w:val="00B8758B"/>
    <w:rsid w:val="00B87D71"/>
    <w:rsid w:val="00B90036"/>
    <w:rsid w:val="00B9009B"/>
    <w:rsid w:val="00B904B8"/>
    <w:rsid w:val="00B90637"/>
    <w:rsid w:val="00B90749"/>
    <w:rsid w:val="00B90A5E"/>
    <w:rsid w:val="00B9151E"/>
    <w:rsid w:val="00B91B49"/>
    <w:rsid w:val="00B92AF1"/>
    <w:rsid w:val="00B93408"/>
    <w:rsid w:val="00B93613"/>
    <w:rsid w:val="00B936D7"/>
    <w:rsid w:val="00B93FF7"/>
    <w:rsid w:val="00B9456A"/>
    <w:rsid w:val="00B9464E"/>
    <w:rsid w:val="00B953B5"/>
    <w:rsid w:val="00B958C6"/>
    <w:rsid w:val="00B9648D"/>
    <w:rsid w:val="00B96966"/>
    <w:rsid w:val="00B96AB8"/>
    <w:rsid w:val="00B9709D"/>
    <w:rsid w:val="00BA1C05"/>
    <w:rsid w:val="00BA2A01"/>
    <w:rsid w:val="00BA2BC1"/>
    <w:rsid w:val="00BA3438"/>
    <w:rsid w:val="00BA361F"/>
    <w:rsid w:val="00BA4533"/>
    <w:rsid w:val="00BA4CA6"/>
    <w:rsid w:val="00BA4E29"/>
    <w:rsid w:val="00BA551C"/>
    <w:rsid w:val="00BA59E1"/>
    <w:rsid w:val="00BA59FB"/>
    <w:rsid w:val="00BA6140"/>
    <w:rsid w:val="00BA662E"/>
    <w:rsid w:val="00BA681D"/>
    <w:rsid w:val="00BA7468"/>
    <w:rsid w:val="00BA7902"/>
    <w:rsid w:val="00BA79FE"/>
    <w:rsid w:val="00BB0995"/>
    <w:rsid w:val="00BB0A78"/>
    <w:rsid w:val="00BB0DA9"/>
    <w:rsid w:val="00BB0F8A"/>
    <w:rsid w:val="00BB16F4"/>
    <w:rsid w:val="00BB1868"/>
    <w:rsid w:val="00BB20A1"/>
    <w:rsid w:val="00BB34C8"/>
    <w:rsid w:val="00BB4F4B"/>
    <w:rsid w:val="00BB614E"/>
    <w:rsid w:val="00BB658B"/>
    <w:rsid w:val="00BB72A0"/>
    <w:rsid w:val="00BB732D"/>
    <w:rsid w:val="00BB771A"/>
    <w:rsid w:val="00BC0475"/>
    <w:rsid w:val="00BC0DB6"/>
    <w:rsid w:val="00BC125E"/>
    <w:rsid w:val="00BC14CB"/>
    <w:rsid w:val="00BC2261"/>
    <w:rsid w:val="00BC35D1"/>
    <w:rsid w:val="00BC38B2"/>
    <w:rsid w:val="00BC3EBF"/>
    <w:rsid w:val="00BC5CAA"/>
    <w:rsid w:val="00BC6947"/>
    <w:rsid w:val="00BC6BC2"/>
    <w:rsid w:val="00BC72DA"/>
    <w:rsid w:val="00BD025E"/>
    <w:rsid w:val="00BD03A7"/>
    <w:rsid w:val="00BD05E5"/>
    <w:rsid w:val="00BD0BB7"/>
    <w:rsid w:val="00BD12A8"/>
    <w:rsid w:val="00BD1723"/>
    <w:rsid w:val="00BD1E7E"/>
    <w:rsid w:val="00BD2CDA"/>
    <w:rsid w:val="00BD2CF4"/>
    <w:rsid w:val="00BD2D01"/>
    <w:rsid w:val="00BD2DE6"/>
    <w:rsid w:val="00BD35DD"/>
    <w:rsid w:val="00BD3713"/>
    <w:rsid w:val="00BD37A0"/>
    <w:rsid w:val="00BD3CF3"/>
    <w:rsid w:val="00BD4256"/>
    <w:rsid w:val="00BD43E3"/>
    <w:rsid w:val="00BD44F1"/>
    <w:rsid w:val="00BD4924"/>
    <w:rsid w:val="00BD4E5A"/>
    <w:rsid w:val="00BD4F01"/>
    <w:rsid w:val="00BD5054"/>
    <w:rsid w:val="00BD5C98"/>
    <w:rsid w:val="00BD6A56"/>
    <w:rsid w:val="00BD6E63"/>
    <w:rsid w:val="00BD7480"/>
    <w:rsid w:val="00BE0E26"/>
    <w:rsid w:val="00BE13C7"/>
    <w:rsid w:val="00BE151E"/>
    <w:rsid w:val="00BE2605"/>
    <w:rsid w:val="00BE322A"/>
    <w:rsid w:val="00BE547A"/>
    <w:rsid w:val="00BE57F9"/>
    <w:rsid w:val="00BE588E"/>
    <w:rsid w:val="00BE670A"/>
    <w:rsid w:val="00BF03EA"/>
    <w:rsid w:val="00BF0CFE"/>
    <w:rsid w:val="00BF150F"/>
    <w:rsid w:val="00BF1B8F"/>
    <w:rsid w:val="00BF1CE4"/>
    <w:rsid w:val="00BF1DD5"/>
    <w:rsid w:val="00BF1E5E"/>
    <w:rsid w:val="00BF1E6F"/>
    <w:rsid w:val="00BF1F48"/>
    <w:rsid w:val="00BF22A6"/>
    <w:rsid w:val="00BF2621"/>
    <w:rsid w:val="00BF2F86"/>
    <w:rsid w:val="00BF39F3"/>
    <w:rsid w:val="00BF3B56"/>
    <w:rsid w:val="00BF40D2"/>
    <w:rsid w:val="00BF47E0"/>
    <w:rsid w:val="00BF4E05"/>
    <w:rsid w:val="00BF6BBB"/>
    <w:rsid w:val="00BF6C17"/>
    <w:rsid w:val="00BF6F9C"/>
    <w:rsid w:val="00BF701F"/>
    <w:rsid w:val="00BF7118"/>
    <w:rsid w:val="00BF7EFD"/>
    <w:rsid w:val="00C007F5"/>
    <w:rsid w:val="00C009BC"/>
    <w:rsid w:val="00C00A6F"/>
    <w:rsid w:val="00C00DA5"/>
    <w:rsid w:val="00C01072"/>
    <w:rsid w:val="00C026C8"/>
    <w:rsid w:val="00C02E15"/>
    <w:rsid w:val="00C03444"/>
    <w:rsid w:val="00C03861"/>
    <w:rsid w:val="00C039A8"/>
    <w:rsid w:val="00C03BB9"/>
    <w:rsid w:val="00C0436A"/>
    <w:rsid w:val="00C064E7"/>
    <w:rsid w:val="00C06F38"/>
    <w:rsid w:val="00C070DF"/>
    <w:rsid w:val="00C0725F"/>
    <w:rsid w:val="00C079C1"/>
    <w:rsid w:val="00C105EE"/>
    <w:rsid w:val="00C109C7"/>
    <w:rsid w:val="00C10E37"/>
    <w:rsid w:val="00C10EED"/>
    <w:rsid w:val="00C115AC"/>
    <w:rsid w:val="00C11674"/>
    <w:rsid w:val="00C11730"/>
    <w:rsid w:val="00C119D3"/>
    <w:rsid w:val="00C11CAB"/>
    <w:rsid w:val="00C12635"/>
    <w:rsid w:val="00C1269F"/>
    <w:rsid w:val="00C1272D"/>
    <w:rsid w:val="00C13009"/>
    <w:rsid w:val="00C1391D"/>
    <w:rsid w:val="00C13CD8"/>
    <w:rsid w:val="00C145A5"/>
    <w:rsid w:val="00C14E6A"/>
    <w:rsid w:val="00C14F21"/>
    <w:rsid w:val="00C154FF"/>
    <w:rsid w:val="00C155B1"/>
    <w:rsid w:val="00C15FBF"/>
    <w:rsid w:val="00C16382"/>
    <w:rsid w:val="00C1740C"/>
    <w:rsid w:val="00C17474"/>
    <w:rsid w:val="00C17894"/>
    <w:rsid w:val="00C17B04"/>
    <w:rsid w:val="00C17C2C"/>
    <w:rsid w:val="00C205DA"/>
    <w:rsid w:val="00C21069"/>
    <w:rsid w:val="00C21109"/>
    <w:rsid w:val="00C21235"/>
    <w:rsid w:val="00C225BE"/>
    <w:rsid w:val="00C225BF"/>
    <w:rsid w:val="00C22B2C"/>
    <w:rsid w:val="00C230B8"/>
    <w:rsid w:val="00C23456"/>
    <w:rsid w:val="00C235D3"/>
    <w:rsid w:val="00C23A8B"/>
    <w:rsid w:val="00C23D84"/>
    <w:rsid w:val="00C243DE"/>
    <w:rsid w:val="00C245A5"/>
    <w:rsid w:val="00C25174"/>
    <w:rsid w:val="00C251EA"/>
    <w:rsid w:val="00C257BB"/>
    <w:rsid w:val="00C2596E"/>
    <w:rsid w:val="00C25A95"/>
    <w:rsid w:val="00C2690B"/>
    <w:rsid w:val="00C27215"/>
    <w:rsid w:val="00C27C83"/>
    <w:rsid w:val="00C27E0A"/>
    <w:rsid w:val="00C3088E"/>
    <w:rsid w:val="00C308DE"/>
    <w:rsid w:val="00C309A4"/>
    <w:rsid w:val="00C311A9"/>
    <w:rsid w:val="00C31C99"/>
    <w:rsid w:val="00C31E84"/>
    <w:rsid w:val="00C32591"/>
    <w:rsid w:val="00C326F3"/>
    <w:rsid w:val="00C32BFD"/>
    <w:rsid w:val="00C34B08"/>
    <w:rsid w:val="00C34BBF"/>
    <w:rsid w:val="00C34BD4"/>
    <w:rsid w:val="00C34C0B"/>
    <w:rsid w:val="00C34D35"/>
    <w:rsid w:val="00C34DF5"/>
    <w:rsid w:val="00C34FB0"/>
    <w:rsid w:val="00C3520F"/>
    <w:rsid w:val="00C3561A"/>
    <w:rsid w:val="00C3564D"/>
    <w:rsid w:val="00C359F8"/>
    <w:rsid w:val="00C35A9B"/>
    <w:rsid w:val="00C35C44"/>
    <w:rsid w:val="00C37401"/>
    <w:rsid w:val="00C37975"/>
    <w:rsid w:val="00C400BB"/>
    <w:rsid w:val="00C40478"/>
    <w:rsid w:val="00C40714"/>
    <w:rsid w:val="00C40732"/>
    <w:rsid w:val="00C408A9"/>
    <w:rsid w:val="00C411F1"/>
    <w:rsid w:val="00C412AB"/>
    <w:rsid w:val="00C415A4"/>
    <w:rsid w:val="00C418AF"/>
    <w:rsid w:val="00C41943"/>
    <w:rsid w:val="00C41B89"/>
    <w:rsid w:val="00C41D99"/>
    <w:rsid w:val="00C41FAC"/>
    <w:rsid w:val="00C4283E"/>
    <w:rsid w:val="00C42A22"/>
    <w:rsid w:val="00C42ED2"/>
    <w:rsid w:val="00C43A1A"/>
    <w:rsid w:val="00C43BE3"/>
    <w:rsid w:val="00C43DD6"/>
    <w:rsid w:val="00C44035"/>
    <w:rsid w:val="00C444EE"/>
    <w:rsid w:val="00C44E1D"/>
    <w:rsid w:val="00C451F8"/>
    <w:rsid w:val="00C456C9"/>
    <w:rsid w:val="00C45710"/>
    <w:rsid w:val="00C464E3"/>
    <w:rsid w:val="00C467B8"/>
    <w:rsid w:val="00C47D8B"/>
    <w:rsid w:val="00C500D9"/>
    <w:rsid w:val="00C5041F"/>
    <w:rsid w:val="00C50670"/>
    <w:rsid w:val="00C50CBE"/>
    <w:rsid w:val="00C50D0F"/>
    <w:rsid w:val="00C515A7"/>
    <w:rsid w:val="00C51F30"/>
    <w:rsid w:val="00C52167"/>
    <w:rsid w:val="00C5238E"/>
    <w:rsid w:val="00C52BE3"/>
    <w:rsid w:val="00C52C12"/>
    <w:rsid w:val="00C53ADF"/>
    <w:rsid w:val="00C53D67"/>
    <w:rsid w:val="00C54081"/>
    <w:rsid w:val="00C5479F"/>
    <w:rsid w:val="00C55AB8"/>
    <w:rsid w:val="00C55FC7"/>
    <w:rsid w:val="00C56560"/>
    <w:rsid w:val="00C56CE7"/>
    <w:rsid w:val="00C56CFF"/>
    <w:rsid w:val="00C56D0C"/>
    <w:rsid w:val="00C56E83"/>
    <w:rsid w:val="00C56EC8"/>
    <w:rsid w:val="00C56F3D"/>
    <w:rsid w:val="00C57983"/>
    <w:rsid w:val="00C57B05"/>
    <w:rsid w:val="00C602A9"/>
    <w:rsid w:val="00C6066F"/>
    <w:rsid w:val="00C60CD3"/>
    <w:rsid w:val="00C6157E"/>
    <w:rsid w:val="00C615AA"/>
    <w:rsid w:val="00C61A65"/>
    <w:rsid w:val="00C61C94"/>
    <w:rsid w:val="00C626CE"/>
    <w:rsid w:val="00C62F93"/>
    <w:rsid w:val="00C637A1"/>
    <w:rsid w:val="00C63928"/>
    <w:rsid w:val="00C63E30"/>
    <w:rsid w:val="00C640C8"/>
    <w:rsid w:val="00C64521"/>
    <w:rsid w:val="00C64667"/>
    <w:rsid w:val="00C646D8"/>
    <w:rsid w:val="00C64B09"/>
    <w:rsid w:val="00C65043"/>
    <w:rsid w:val="00C653FA"/>
    <w:rsid w:val="00C654A1"/>
    <w:rsid w:val="00C65CD4"/>
    <w:rsid w:val="00C667C0"/>
    <w:rsid w:val="00C668D2"/>
    <w:rsid w:val="00C66B75"/>
    <w:rsid w:val="00C671B0"/>
    <w:rsid w:val="00C671CA"/>
    <w:rsid w:val="00C6733F"/>
    <w:rsid w:val="00C6799B"/>
    <w:rsid w:val="00C70C83"/>
    <w:rsid w:val="00C710EC"/>
    <w:rsid w:val="00C72072"/>
    <w:rsid w:val="00C7277A"/>
    <w:rsid w:val="00C729D6"/>
    <w:rsid w:val="00C72A46"/>
    <w:rsid w:val="00C72AB0"/>
    <w:rsid w:val="00C737D6"/>
    <w:rsid w:val="00C73A5F"/>
    <w:rsid w:val="00C73CB7"/>
    <w:rsid w:val="00C75BA5"/>
    <w:rsid w:val="00C76781"/>
    <w:rsid w:val="00C76FEA"/>
    <w:rsid w:val="00C7700D"/>
    <w:rsid w:val="00C773FA"/>
    <w:rsid w:val="00C7754E"/>
    <w:rsid w:val="00C777C8"/>
    <w:rsid w:val="00C80409"/>
    <w:rsid w:val="00C805C3"/>
    <w:rsid w:val="00C80E3F"/>
    <w:rsid w:val="00C81227"/>
    <w:rsid w:val="00C817AC"/>
    <w:rsid w:val="00C817DF"/>
    <w:rsid w:val="00C81A69"/>
    <w:rsid w:val="00C82164"/>
    <w:rsid w:val="00C82C6D"/>
    <w:rsid w:val="00C8310D"/>
    <w:rsid w:val="00C83E6F"/>
    <w:rsid w:val="00C84056"/>
    <w:rsid w:val="00C84560"/>
    <w:rsid w:val="00C845F1"/>
    <w:rsid w:val="00C85DB9"/>
    <w:rsid w:val="00C86413"/>
    <w:rsid w:val="00C869F5"/>
    <w:rsid w:val="00C870B0"/>
    <w:rsid w:val="00C877F7"/>
    <w:rsid w:val="00C87966"/>
    <w:rsid w:val="00C902FC"/>
    <w:rsid w:val="00C907FF"/>
    <w:rsid w:val="00C90A08"/>
    <w:rsid w:val="00C90A2A"/>
    <w:rsid w:val="00C91314"/>
    <w:rsid w:val="00C916D0"/>
    <w:rsid w:val="00C91854"/>
    <w:rsid w:val="00C92795"/>
    <w:rsid w:val="00C92AC2"/>
    <w:rsid w:val="00C92CF2"/>
    <w:rsid w:val="00C933A3"/>
    <w:rsid w:val="00C93DA5"/>
    <w:rsid w:val="00C9489F"/>
    <w:rsid w:val="00C949BF"/>
    <w:rsid w:val="00C949C5"/>
    <w:rsid w:val="00C94F9E"/>
    <w:rsid w:val="00C94FB6"/>
    <w:rsid w:val="00C9508D"/>
    <w:rsid w:val="00C95AC4"/>
    <w:rsid w:val="00C960EE"/>
    <w:rsid w:val="00C96108"/>
    <w:rsid w:val="00C96236"/>
    <w:rsid w:val="00C96890"/>
    <w:rsid w:val="00C9697D"/>
    <w:rsid w:val="00C9700D"/>
    <w:rsid w:val="00C974C1"/>
    <w:rsid w:val="00C97E9F"/>
    <w:rsid w:val="00CA029D"/>
    <w:rsid w:val="00CA02EB"/>
    <w:rsid w:val="00CA0B38"/>
    <w:rsid w:val="00CA15B1"/>
    <w:rsid w:val="00CA2511"/>
    <w:rsid w:val="00CA2E09"/>
    <w:rsid w:val="00CA2F70"/>
    <w:rsid w:val="00CA3483"/>
    <w:rsid w:val="00CA34BC"/>
    <w:rsid w:val="00CA385E"/>
    <w:rsid w:val="00CA3B3F"/>
    <w:rsid w:val="00CA3DE6"/>
    <w:rsid w:val="00CA438F"/>
    <w:rsid w:val="00CA4531"/>
    <w:rsid w:val="00CA4F2A"/>
    <w:rsid w:val="00CA4F43"/>
    <w:rsid w:val="00CA5442"/>
    <w:rsid w:val="00CA55F5"/>
    <w:rsid w:val="00CA5E20"/>
    <w:rsid w:val="00CA5F73"/>
    <w:rsid w:val="00CA6C2A"/>
    <w:rsid w:val="00CA6E39"/>
    <w:rsid w:val="00CA734D"/>
    <w:rsid w:val="00CA7B39"/>
    <w:rsid w:val="00CA7CEE"/>
    <w:rsid w:val="00CB10E8"/>
    <w:rsid w:val="00CB2071"/>
    <w:rsid w:val="00CB2318"/>
    <w:rsid w:val="00CB24B3"/>
    <w:rsid w:val="00CB268E"/>
    <w:rsid w:val="00CB2E2E"/>
    <w:rsid w:val="00CB2F43"/>
    <w:rsid w:val="00CB30E2"/>
    <w:rsid w:val="00CB3BA3"/>
    <w:rsid w:val="00CB3C4B"/>
    <w:rsid w:val="00CB3DDA"/>
    <w:rsid w:val="00CB4384"/>
    <w:rsid w:val="00CB4995"/>
    <w:rsid w:val="00CB6300"/>
    <w:rsid w:val="00CB64E5"/>
    <w:rsid w:val="00CB652E"/>
    <w:rsid w:val="00CB6990"/>
    <w:rsid w:val="00CB72FF"/>
    <w:rsid w:val="00CB7467"/>
    <w:rsid w:val="00CC017A"/>
    <w:rsid w:val="00CC0678"/>
    <w:rsid w:val="00CC0D5C"/>
    <w:rsid w:val="00CC1014"/>
    <w:rsid w:val="00CC119E"/>
    <w:rsid w:val="00CC1616"/>
    <w:rsid w:val="00CC1BF8"/>
    <w:rsid w:val="00CC205C"/>
    <w:rsid w:val="00CC24AE"/>
    <w:rsid w:val="00CC3B70"/>
    <w:rsid w:val="00CC3E1E"/>
    <w:rsid w:val="00CC45FB"/>
    <w:rsid w:val="00CC470A"/>
    <w:rsid w:val="00CC4CD3"/>
    <w:rsid w:val="00CC4D73"/>
    <w:rsid w:val="00CC552C"/>
    <w:rsid w:val="00CC5E10"/>
    <w:rsid w:val="00CC7150"/>
    <w:rsid w:val="00CC7B96"/>
    <w:rsid w:val="00CD0554"/>
    <w:rsid w:val="00CD079D"/>
    <w:rsid w:val="00CD0E50"/>
    <w:rsid w:val="00CD10A0"/>
    <w:rsid w:val="00CD1442"/>
    <w:rsid w:val="00CD1CC7"/>
    <w:rsid w:val="00CD210A"/>
    <w:rsid w:val="00CD25B7"/>
    <w:rsid w:val="00CD3257"/>
    <w:rsid w:val="00CD37E9"/>
    <w:rsid w:val="00CD4032"/>
    <w:rsid w:val="00CD48C8"/>
    <w:rsid w:val="00CD552A"/>
    <w:rsid w:val="00CD575E"/>
    <w:rsid w:val="00CD57E9"/>
    <w:rsid w:val="00CD57F7"/>
    <w:rsid w:val="00CD65A5"/>
    <w:rsid w:val="00CD6655"/>
    <w:rsid w:val="00CD6880"/>
    <w:rsid w:val="00CD6E85"/>
    <w:rsid w:val="00CD706E"/>
    <w:rsid w:val="00CD7157"/>
    <w:rsid w:val="00CD77A1"/>
    <w:rsid w:val="00CD7DED"/>
    <w:rsid w:val="00CE05EA"/>
    <w:rsid w:val="00CE0C16"/>
    <w:rsid w:val="00CE241F"/>
    <w:rsid w:val="00CE2DC3"/>
    <w:rsid w:val="00CE2F10"/>
    <w:rsid w:val="00CE386D"/>
    <w:rsid w:val="00CE3CAC"/>
    <w:rsid w:val="00CE4565"/>
    <w:rsid w:val="00CE47B8"/>
    <w:rsid w:val="00CE4CC6"/>
    <w:rsid w:val="00CE75C3"/>
    <w:rsid w:val="00CE768E"/>
    <w:rsid w:val="00CE7A85"/>
    <w:rsid w:val="00CE7D7B"/>
    <w:rsid w:val="00CF07A0"/>
    <w:rsid w:val="00CF0A5F"/>
    <w:rsid w:val="00CF0BF4"/>
    <w:rsid w:val="00CF14A5"/>
    <w:rsid w:val="00CF26E1"/>
    <w:rsid w:val="00CF2984"/>
    <w:rsid w:val="00CF2FEF"/>
    <w:rsid w:val="00CF306D"/>
    <w:rsid w:val="00CF5032"/>
    <w:rsid w:val="00CF527E"/>
    <w:rsid w:val="00CF5511"/>
    <w:rsid w:val="00CF58AE"/>
    <w:rsid w:val="00CF5BDF"/>
    <w:rsid w:val="00CF61B6"/>
    <w:rsid w:val="00CF64BA"/>
    <w:rsid w:val="00CF6ADD"/>
    <w:rsid w:val="00CF6BEB"/>
    <w:rsid w:val="00CF70DE"/>
    <w:rsid w:val="00CF7D81"/>
    <w:rsid w:val="00CF7E4E"/>
    <w:rsid w:val="00CF7F43"/>
    <w:rsid w:val="00D00808"/>
    <w:rsid w:val="00D02A80"/>
    <w:rsid w:val="00D02AF7"/>
    <w:rsid w:val="00D036F3"/>
    <w:rsid w:val="00D0496F"/>
    <w:rsid w:val="00D04B11"/>
    <w:rsid w:val="00D050EE"/>
    <w:rsid w:val="00D0551E"/>
    <w:rsid w:val="00D05CF2"/>
    <w:rsid w:val="00D05D78"/>
    <w:rsid w:val="00D0611C"/>
    <w:rsid w:val="00D06597"/>
    <w:rsid w:val="00D06CF7"/>
    <w:rsid w:val="00D06DD4"/>
    <w:rsid w:val="00D07D3A"/>
    <w:rsid w:val="00D10392"/>
    <w:rsid w:val="00D109D7"/>
    <w:rsid w:val="00D10F94"/>
    <w:rsid w:val="00D10FDD"/>
    <w:rsid w:val="00D11022"/>
    <w:rsid w:val="00D1114E"/>
    <w:rsid w:val="00D11673"/>
    <w:rsid w:val="00D11C0E"/>
    <w:rsid w:val="00D11F04"/>
    <w:rsid w:val="00D11F9B"/>
    <w:rsid w:val="00D12298"/>
    <w:rsid w:val="00D1269F"/>
    <w:rsid w:val="00D129E3"/>
    <w:rsid w:val="00D13060"/>
    <w:rsid w:val="00D1386B"/>
    <w:rsid w:val="00D14301"/>
    <w:rsid w:val="00D1511D"/>
    <w:rsid w:val="00D1599F"/>
    <w:rsid w:val="00D15B5B"/>
    <w:rsid w:val="00D16CFC"/>
    <w:rsid w:val="00D16E79"/>
    <w:rsid w:val="00D16E8B"/>
    <w:rsid w:val="00D1762A"/>
    <w:rsid w:val="00D17657"/>
    <w:rsid w:val="00D17DEA"/>
    <w:rsid w:val="00D21F59"/>
    <w:rsid w:val="00D22CC7"/>
    <w:rsid w:val="00D233B7"/>
    <w:rsid w:val="00D236C8"/>
    <w:rsid w:val="00D23799"/>
    <w:rsid w:val="00D238CF"/>
    <w:rsid w:val="00D24A5E"/>
    <w:rsid w:val="00D253DD"/>
    <w:rsid w:val="00D25729"/>
    <w:rsid w:val="00D25DBD"/>
    <w:rsid w:val="00D269E6"/>
    <w:rsid w:val="00D276BF"/>
    <w:rsid w:val="00D27E5E"/>
    <w:rsid w:val="00D306EF"/>
    <w:rsid w:val="00D30C91"/>
    <w:rsid w:val="00D318B5"/>
    <w:rsid w:val="00D3284A"/>
    <w:rsid w:val="00D32E42"/>
    <w:rsid w:val="00D33A3F"/>
    <w:rsid w:val="00D35409"/>
    <w:rsid w:val="00D357D0"/>
    <w:rsid w:val="00D35864"/>
    <w:rsid w:val="00D35914"/>
    <w:rsid w:val="00D35A94"/>
    <w:rsid w:val="00D36040"/>
    <w:rsid w:val="00D362CD"/>
    <w:rsid w:val="00D36A55"/>
    <w:rsid w:val="00D3735E"/>
    <w:rsid w:val="00D37435"/>
    <w:rsid w:val="00D37757"/>
    <w:rsid w:val="00D37EE3"/>
    <w:rsid w:val="00D4137B"/>
    <w:rsid w:val="00D43B32"/>
    <w:rsid w:val="00D43D81"/>
    <w:rsid w:val="00D4401A"/>
    <w:rsid w:val="00D44CA2"/>
    <w:rsid w:val="00D44E86"/>
    <w:rsid w:val="00D47811"/>
    <w:rsid w:val="00D47954"/>
    <w:rsid w:val="00D47B79"/>
    <w:rsid w:val="00D50282"/>
    <w:rsid w:val="00D504EF"/>
    <w:rsid w:val="00D5095D"/>
    <w:rsid w:val="00D50C38"/>
    <w:rsid w:val="00D5133A"/>
    <w:rsid w:val="00D51D45"/>
    <w:rsid w:val="00D51F8D"/>
    <w:rsid w:val="00D520C8"/>
    <w:rsid w:val="00D53B01"/>
    <w:rsid w:val="00D53E2A"/>
    <w:rsid w:val="00D55C80"/>
    <w:rsid w:val="00D55C92"/>
    <w:rsid w:val="00D56352"/>
    <w:rsid w:val="00D57B4A"/>
    <w:rsid w:val="00D60433"/>
    <w:rsid w:val="00D60709"/>
    <w:rsid w:val="00D60C63"/>
    <w:rsid w:val="00D6133D"/>
    <w:rsid w:val="00D621EE"/>
    <w:rsid w:val="00D622DA"/>
    <w:rsid w:val="00D622F1"/>
    <w:rsid w:val="00D624CF"/>
    <w:rsid w:val="00D62BAB"/>
    <w:rsid w:val="00D62E5E"/>
    <w:rsid w:val="00D62FBD"/>
    <w:rsid w:val="00D636C6"/>
    <w:rsid w:val="00D638E3"/>
    <w:rsid w:val="00D6456E"/>
    <w:rsid w:val="00D645C6"/>
    <w:rsid w:val="00D6468D"/>
    <w:rsid w:val="00D648DE"/>
    <w:rsid w:val="00D64A43"/>
    <w:rsid w:val="00D64CBF"/>
    <w:rsid w:val="00D64FDD"/>
    <w:rsid w:val="00D65E0B"/>
    <w:rsid w:val="00D65EBA"/>
    <w:rsid w:val="00D65F0D"/>
    <w:rsid w:val="00D666BB"/>
    <w:rsid w:val="00D66831"/>
    <w:rsid w:val="00D66874"/>
    <w:rsid w:val="00D66ACE"/>
    <w:rsid w:val="00D673D3"/>
    <w:rsid w:val="00D67A9D"/>
    <w:rsid w:val="00D67EEB"/>
    <w:rsid w:val="00D67F2E"/>
    <w:rsid w:val="00D70350"/>
    <w:rsid w:val="00D704A6"/>
    <w:rsid w:val="00D70816"/>
    <w:rsid w:val="00D708CC"/>
    <w:rsid w:val="00D71222"/>
    <w:rsid w:val="00D7157A"/>
    <w:rsid w:val="00D71E8A"/>
    <w:rsid w:val="00D726B3"/>
    <w:rsid w:val="00D7284F"/>
    <w:rsid w:val="00D72868"/>
    <w:rsid w:val="00D7339B"/>
    <w:rsid w:val="00D73DB4"/>
    <w:rsid w:val="00D74101"/>
    <w:rsid w:val="00D742C4"/>
    <w:rsid w:val="00D74E85"/>
    <w:rsid w:val="00D75A9D"/>
    <w:rsid w:val="00D75FC0"/>
    <w:rsid w:val="00D76478"/>
    <w:rsid w:val="00D768A1"/>
    <w:rsid w:val="00D771AF"/>
    <w:rsid w:val="00D7745F"/>
    <w:rsid w:val="00D8031E"/>
    <w:rsid w:val="00D80671"/>
    <w:rsid w:val="00D80872"/>
    <w:rsid w:val="00D808BB"/>
    <w:rsid w:val="00D808D5"/>
    <w:rsid w:val="00D80AE5"/>
    <w:rsid w:val="00D80FF0"/>
    <w:rsid w:val="00D81202"/>
    <w:rsid w:val="00D82119"/>
    <w:rsid w:val="00D822F2"/>
    <w:rsid w:val="00D82546"/>
    <w:rsid w:val="00D829D1"/>
    <w:rsid w:val="00D830CD"/>
    <w:rsid w:val="00D839C5"/>
    <w:rsid w:val="00D83E47"/>
    <w:rsid w:val="00D8401F"/>
    <w:rsid w:val="00D84CC7"/>
    <w:rsid w:val="00D85036"/>
    <w:rsid w:val="00D85205"/>
    <w:rsid w:val="00D85213"/>
    <w:rsid w:val="00D85748"/>
    <w:rsid w:val="00D85AD6"/>
    <w:rsid w:val="00D86821"/>
    <w:rsid w:val="00D87441"/>
    <w:rsid w:val="00D90362"/>
    <w:rsid w:val="00D9137D"/>
    <w:rsid w:val="00D9164A"/>
    <w:rsid w:val="00D91E05"/>
    <w:rsid w:val="00D920A4"/>
    <w:rsid w:val="00D92785"/>
    <w:rsid w:val="00D929CD"/>
    <w:rsid w:val="00D92A04"/>
    <w:rsid w:val="00D92A2D"/>
    <w:rsid w:val="00D93E77"/>
    <w:rsid w:val="00D94061"/>
    <w:rsid w:val="00D94490"/>
    <w:rsid w:val="00D94A9D"/>
    <w:rsid w:val="00D95161"/>
    <w:rsid w:val="00D958EA"/>
    <w:rsid w:val="00D96612"/>
    <w:rsid w:val="00D9682C"/>
    <w:rsid w:val="00D97158"/>
    <w:rsid w:val="00D97183"/>
    <w:rsid w:val="00D973C7"/>
    <w:rsid w:val="00D97462"/>
    <w:rsid w:val="00D9772A"/>
    <w:rsid w:val="00D97A98"/>
    <w:rsid w:val="00D97AF7"/>
    <w:rsid w:val="00DA0A43"/>
    <w:rsid w:val="00DA1C25"/>
    <w:rsid w:val="00DA338D"/>
    <w:rsid w:val="00DA3655"/>
    <w:rsid w:val="00DA4175"/>
    <w:rsid w:val="00DA4185"/>
    <w:rsid w:val="00DA47FC"/>
    <w:rsid w:val="00DA4B2E"/>
    <w:rsid w:val="00DA4B90"/>
    <w:rsid w:val="00DA5B67"/>
    <w:rsid w:val="00DA5BFE"/>
    <w:rsid w:val="00DA5CC1"/>
    <w:rsid w:val="00DA6D4C"/>
    <w:rsid w:val="00DA707A"/>
    <w:rsid w:val="00DA7534"/>
    <w:rsid w:val="00DA7BBC"/>
    <w:rsid w:val="00DA7E30"/>
    <w:rsid w:val="00DB07D6"/>
    <w:rsid w:val="00DB0E1E"/>
    <w:rsid w:val="00DB10CE"/>
    <w:rsid w:val="00DB234C"/>
    <w:rsid w:val="00DB310E"/>
    <w:rsid w:val="00DB3356"/>
    <w:rsid w:val="00DB36B1"/>
    <w:rsid w:val="00DB37CD"/>
    <w:rsid w:val="00DB38A3"/>
    <w:rsid w:val="00DB3EC9"/>
    <w:rsid w:val="00DB4710"/>
    <w:rsid w:val="00DB5229"/>
    <w:rsid w:val="00DB5ADD"/>
    <w:rsid w:val="00DB5D09"/>
    <w:rsid w:val="00DB5FDF"/>
    <w:rsid w:val="00DB61F0"/>
    <w:rsid w:val="00DB6411"/>
    <w:rsid w:val="00DB68FF"/>
    <w:rsid w:val="00DB70F8"/>
    <w:rsid w:val="00DB7F3B"/>
    <w:rsid w:val="00DC07E5"/>
    <w:rsid w:val="00DC0EDE"/>
    <w:rsid w:val="00DC1BE8"/>
    <w:rsid w:val="00DC2A3C"/>
    <w:rsid w:val="00DC3597"/>
    <w:rsid w:val="00DC386B"/>
    <w:rsid w:val="00DC3E9B"/>
    <w:rsid w:val="00DC3EF4"/>
    <w:rsid w:val="00DC3F9D"/>
    <w:rsid w:val="00DC4158"/>
    <w:rsid w:val="00DC4181"/>
    <w:rsid w:val="00DC4F57"/>
    <w:rsid w:val="00DC52D4"/>
    <w:rsid w:val="00DC6702"/>
    <w:rsid w:val="00DC6EF7"/>
    <w:rsid w:val="00DC6F53"/>
    <w:rsid w:val="00DC717F"/>
    <w:rsid w:val="00DC77D4"/>
    <w:rsid w:val="00DC7814"/>
    <w:rsid w:val="00DC787F"/>
    <w:rsid w:val="00DC79C6"/>
    <w:rsid w:val="00DC7F99"/>
    <w:rsid w:val="00DD151C"/>
    <w:rsid w:val="00DD1958"/>
    <w:rsid w:val="00DD1A7B"/>
    <w:rsid w:val="00DD2307"/>
    <w:rsid w:val="00DD2C7D"/>
    <w:rsid w:val="00DD309E"/>
    <w:rsid w:val="00DD3954"/>
    <w:rsid w:val="00DD4DC7"/>
    <w:rsid w:val="00DD4E0F"/>
    <w:rsid w:val="00DD503C"/>
    <w:rsid w:val="00DD55E6"/>
    <w:rsid w:val="00DD5856"/>
    <w:rsid w:val="00DD5FD4"/>
    <w:rsid w:val="00DD70E9"/>
    <w:rsid w:val="00DD7BA1"/>
    <w:rsid w:val="00DD7D0D"/>
    <w:rsid w:val="00DE00B9"/>
    <w:rsid w:val="00DE072C"/>
    <w:rsid w:val="00DE0D0A"/>
    <w:rsid w:val="00DE13B2"/>
    <w:rsid w:val="00DE14E6"/>
    <w:rsid w:val="00DE3411"/>
    <w:rsid w:val="00DE3DCB"/>
    <w:rsid w:val="00DE3FF4"/>
    <w:rsid w:val="00DE4186"/>
    <w:rsid w:val="00DE4643"/>
    <w:rsid w:val="00DE473C"/>
    <w:rsid w:val="00DE496A"/>
    <w:rsid w:val="00DE4D05"/>
    <w:rsid w:val="00DE50C6"/>
    <w:rsid w:val="00DE50D0"/>
    <w:rsid w:val="00DE53C0"/>
    <w:rsid w:val="00DE5D9E"/>
    <w:rsid w:val="00DE6571"/>
    <w:rsid w:val="00DE6CD6"/>
    <w:rsid w:val="00DE6CF9"/>
    <w:rsid w:val="00DE739C"/>
    <w:rsid w:val="00DE7871"/>
    <w:rsid w:val="00DE7BC2"/>
    <w:rsid w:val="00DF0A5D"/>
    <w:rsid w:val="00DF0ED4"/>
    <w:rsid w:val="00DF114D"/>
    <w:rsid w:val="00DF128F"/>
    <w:rsid w:val="00DF1307"/>
    <w:rsid w:val="00DF1BAD"/>
    <w:rsid w:val="00DF250A"/>
    <w:rsid w:val="00DF259E"/>
    <w:rsid w:val="00DF2A1D"/>
    <w:rsid w:val="00DF2B8D"/>
    <w:rsid w:val="00DF3880"/>
    <w:rsid w:val="00DF3EC1"/>
    <w:rsid w:val="00DF3FC1"/>
    <w:rsid w:val="00DF3FE2"/>
    <w:rsid w:val="00DF465D"/>
    <w:rsid w:val="00DF5BBD"/>
    <w:rsid w:val="00DF5C76"/>
    <w:rsid w:val="00DF63EA"/>
    <w:rsid w:val="00DF77AC"/>
    <w:rsid w:val="00DF7880"/>
    <w:rsid w:val="00DF7FBB"/>
    <w:rsid w:val="00E00060"/>
    <w:rsid w:val="00E0147A"/>
    <w:rsid w:val="00E01606"/>
    <w:rsid w:val="00E016FA"/>
    <w:rsid w:val="00E01CC9"/>
    <w:rsid w:val="00E02091"/>
    <w:rsid w:val="00E02451"/>
    <w:rsid w:val="00E02C1F"/>
    <w:rsid w:val="00E03230"/>
    <w:rsid w:val="00E0340A"/>
    <w:rsid w:val="00E03A40"/>
    <w:rsid w:val="00E04B09"/>
    <w:rsid w:val="00E04D91"/>
    <w:rsid w:val="00E04EB4"/>
    <w:rsid w:val="00E04ED5"/>
    <w:rsid w:val="00E05681"/>
    <w:rsid w:val="00E058B4"/>
    <w:rsid w:val="00E06DC8"/>
    <w:rsid w:val="00E06E05"/>
    <w:rsid w:val="00E10685"/>
    <w:rsid w:val="00E10EBE"/>
    <w:rsid w:val="00E11C0A"/>
    <w:rsid w:val="00E11CFD"/>
    <w:rsid w:val="00E121B8"/>
    <w:rsid w:val="00E1236A"/>
    <w:rsid w:val="00E12394"/>
    <w:rsid w:val="00E12A5B"/>
    <w:rsid w:val="00E12BCE"/>
    <w:rsid w:val="00E12EBD"/>
    <w:rsid w:val="00E1365B"/>
    <w:rsid w:val="00E14B78"/>
    <w:rsid w:val="00E14DC5"/>
    <w:rsid w:val="00E14E50"/>
    <w:rsid w:val="00E1561E"/>
    <w:rsid w:val="00E15C7F"/>
    <w:rsid w:val="00E15F01"/>
    <w:rsid w:val="00E1605D"/>
    <w:rsid w:val="00E1637A"/>
    <w:rsid w:val="00E1637B"/>
    <w:rsid w:val="00E16B2B"/>
    <w:rsid w:val="00E203D1"/>
    <w:rsid w:val="00E203FC"/>
    <w:rsid w:val="00E20794"/>
    <w:rsid w:val="00E2131A"/>
    <w:rsid w:val="00E213D6"/>
    <w:rsid w:val="00E220FD"/>
    <w:rsid w:val="00E23283"/>
    <w:rsid w:val="00E2364A"/>
    <w:rsid w:val="00E23ACA"/>
    <w:rsid w:val="00E23C03"/>
    <w:rsid w:val="00E23D55"/>
    <w:rsid w:val="00E23F7D"/>
    <w:rsid w:val="00E24A97"/>
    <w:rsid w:val="00E24D9E"/>
    <w:rsid w:val="00E24FC4"/>
    <w:rsid w:val="00E253E0"/>
    <w:rsid w:val="00E260E0"/>
    <w:rsid w:val="00E26CA4"/>
    <w:rsid w:val="00E2708F"/>
    <w:rsid w:val="00E2796E"/>
    <w:rsid w:val="00E30284"/>
    <w:rsid w:val="00E304F8"/>
    <w:rsid w:val="00E3057C"/>
    <w:rsid w:val="00E308D7"/>
    <w:rsid w:val="00E309F0"/>
    <w:rsid w:val="00E30EF5"/>
    <w:rsid w:val="00E3124B"/>
    <w:rsid w:val="00E31616"/>
    <w:rsid w:val="00E31B71"/>
    <w:rsid w:val="00E31D49"/>
    <w:rsid w:val="00E324F0"/>
    <w:rsid w:val="00E32625"/>
    <w:rsid w:val="00E32A76"/>
    <w:rsid w:val="00E32C61"/>
    <w:rsid w:val="00E33461"/>
    <w:rsid w:val="00E338D2"/>
    <w:rsid w:val="00E34C49"/>
    <w:rsid w:val="00E35147"/>
    <w:rsid w:val="00E35C92"/>
    <w:rsid w:val="00E36557"/>
    <w:rsid w:val="00E370A6"/>
    <w:rsid w:val="00E373D0"/>
    <w:rsid w:val="00E37BC4"/>
    <w:rsid w:val="00E40EA4"/>
    <w:rsid w:val="00E40FF9"/>
    <w:rsid w:val="00E412BF"/>
    <w:rsid w:val="00E41B2D"/>
    <w:rsid w:val="00E42105"/>
    <w:rsid w:val="00E42749"/>
    <w:rsid w:val="00E427C6"/>
    <w:rsid w:val="00E431BF"/>
    <w:rsid w:val="00E43285"/>
    <w:rsid w:val="00E43539"/>
    <w:rsid w:val="00E43729"/>
    <w:rsid w:val="00E4448C"/>
    <w:rsid w:val="00E44557"/>
    <w:rsid w:val="00E4495F"/>
    <w:rsid w:val="00E44A0F"/>
    <w:rsid w:val="00E4531C"/>
    <w:rsid w:val="00E45A6B"/>
    <w:rsid w:val="00E45C6F"/>
    <w:rsid w:val="00E45CA9"/>
    <w:rsid w:val="00E45F23"/>
    <w:rsid w:val="00E46C30"/>
    <w:rsid w:val="00E47054"/>
    <w:rsid w:val="00E4751A"/>
    <w:rsid w:val="00E503F4"/>
    <w:rsid w:val="00E50716"/>
    <w:rsid w:val="00E51671"/>
    <w:rsid w:val="00E53C0A"/>
    <w:rsid w:val="00E53DED"/>
    <w:rsid w:val="00E5438C"/>
    <w:rsid w:val="00E5486C"/>
    <w:rsid w:val="00E54A13"/>
    <w:rsid w:val="00E54CD8"/>
    <w:rsid w:val="00E54D4A"/>
    <w:rsid w:val="00E54E9A"/>
    <w:rsid w:val="00E5527A"/>
    <w:rsid w:val="00E5555B"/>
    <w:rsid w:val="00E55862"/>
    <w:rsid w:val="00E5593D"/>
    <w:rsid w:val="00E5593E"/>
    <w:rsid w:val="00E55972"/>
    <w:rsid w:val="00E56069"/>
    <w:rsid w:val="00E56782"/>
    <w:rsid w:val="00E56EB8"/>
    <w:rsid w:val="00E576C4"/>
    <w:rsid w:val="00E57737"/>
    <w:rsid w:val="00E57F44"/>
    <w:rsid w:val="00E6004F"/>
    <w:rsid w:val="00E60596"/>
    <w:rsid w:val="00E60B46"/>
    <w:rsid w:val="00E617DE"/>
    <w:rsid w:val="00E6184D"/>
    <w:rsid w:val="00E61C5E"/>
    <w:rsid w:val="00E61E1F"/>
    <w:rsid w:val="00E62038"/>
    <w:rsid w:val="00E624F9"/>
    <w:rsid w:val="00E62828"/>
    <w:rsid w:val="00E6321D"/>
    <w:rsid w:val="00E638EE"/>
    <w:rsid w:val="00E63D1A"/>
    <w:rsid w:val="00E63FEA"/>
    <w:rsid w:val="00E644FE"/>
    <w:rsid w:val="00E64577"/>
    <w:rsid w:val="00E64A7F"/>
    <w:rsid w:val="00E65326"/>
    <w:rsid w:val="00E675C1"/>
    <w:rsid w:val="00E67B33"/>
    <w:rsid w:val="00E67BB8"/>
    <w:rsid w:val="00E70D9F"/>
    <w:rsid w:val="00E7156D"/>
    <w:rsid w:val="00E71ABD"/>
    <w:rsid w:val="00E72C4F"/>
    <w:rsid w:val="00E72DF3"/>
    <w:rsid w:val="00E72F93"/>
    <w:rsid w:val="00E732F2"/>
    <w:rsid w:val="00E7420B"/>
    <w:rsid w:val="00E74492"/>
    <w:rsid w:val="00E75843"/>
    <w:rsid w:val="00E76439"/>
    <w:rsid w:val="00E76AA9"/>
    <w:rsid w:val="00E77837"/>
    <w:rsid w:val="00E77A6F"/>
    <w:rsid w:val="00E77AE6"/>
    <w:rsid w:val="00E77C7B"/>
    <w:rsid w:val="00E80064"/>
    <w:rsid w:val="00E80655"/>
    <w:rsid w:val="00E80A8E"/>
    <w:rsid w:val="00E80DE4"/>
    <w:rsid w:val="00E81737"/>
    <w:rsid w:val="00E81D35"/>
    <w:rsid w:val="00E81F0E"/>
    <w:rsid w:val="00E82D1E"/>
    <w:rsid w:val="00E82E2C"/>
    <w:rsid w:val="00E831AD"/>
    <w:rsid w:val="00E832BA"/>
    <w:rsid w:val="00E8356D"/>
    <w:rsid w:val="00E843A6"/>
    <w:rsid w:val="00E843C7"/>
    <w:rsid w:val="00E844F5"/>
    <w:rsid w:val="00E84A24"/>
    <w:rsid w:val="00E84CE7"/>
    <w:rsid w:val="00E84E2F"/>
    <w:rsid w:val="00E85641"/>
    <w:rsid w:val="00E85701"/>
    <w:rsid w:val="00E860CF"/>
    <w:rsid w:val="00E878FD"/>
    <w:rsid w:val="00E87B42"/>
    <w:rsid w:val="00E90319"/>
    <w:rsid w:val="00E90EBD"/>
    <w:rsid w:val="00E91244"/>
    <w:rsid w:val="00E9144E"/>
    <w:rsid w:val="00E91505"/>
    <w:rsid w:val="00E92326"/>
    <w:rsid w:val="00E927C9"/>
    <w:rsid w:val="00E93514"/>
    <w:rsid w:val="00E93615"/>
    <w:rsid w:val="00E93BD6"/>
    <w:rsid w:val="00E94DAD"/>
    <w:rsid w:val="00E950D3"/>
    <w:rsid w:val="00E95C43"/>
    <w:rsid w:val="00E95FFF"/>
    <w:rsid w:val="00E96E26"/>
    <w:rsid w:val="00E96E9B"/>
    <w:rsid w:val="00E96EF5"/>
    <w:rsid w:val="00E9705F"/>
    <w:rsid w:val="00EA000C"/>
    <w:rsid w:val="00EA0AA9"/>
    <w:rsid w:val="00EA0BBD"/>
    <w:rsid w:val="00EA0F12"/>
    <w:rsid w:val="00EA1291"/>
    <w:rsid w:val="00EA1497"/>
    <w:rsid w:val="00EA1C1F"/>
    <w:rsid w:val="00EA20D0"/>
    <w:rsid w:val="00EA2517"/>
    <w:rsid w:val="00EA257B"/>
    <w:rsid w:val="00EA2A7D"/>
    <w:rsid w:val="00EA2E93"/>
    <w:rsid w:val="00EA35EB"/>
    <w:rsid w:val="00EA3D64"/>
    <w:rsid w:val="00EA3EEB"/>
    <w:rsid w:val="00EA3FA8"/>
    <w:rsid w:val="00EA443E"/>
    <w:rsid w:val="00EA484B"/>
    <w:rsid w:val="00EA560E"/>
    <w:rsid w:val="00EA613A"/>
    <w:rsid w:val="00EA64AA"/>
    <w:rsid w:val="00EA6A05"/>
    <w:rsid w:val="00EA6CFE"/>
    <w:rsid w:val="00EA70BF"/>
    <w:rsid w:val="00EA79CA"/>
    <w:rsid w:val="00EA7BCF"/>
    <w:rsid w:val="00EA7CC7"/>
    <w:rsid w:val="00EB0112"/>
    <w:rsid w:val="00EB0AC3"/>
    <w:rsid w:val="00EB2B9A"/>
    <w:rsid w:val="00EB2F33"/>
    <w:rsid w:val="00EB300C"/>
    <w:rsid w:val="00EB3DAA"/>
    <w:rsid w:val="00EB41C6"/>
    <w:rsid w:val="00EB4447"/>
    <w:rsid w:val="00EB46F5"/>
    <w:rsid w:val="00EB4B7A"/>
    <w:rsid w:val="00EB53DF"/>
    <w:rsid w:val="00EB58D5"/>
    <w:rsid w:val="00EB6153"/>
    <w:rsid w:val="00EB6A41"/>
    <w:rsid w:val="00EB6C23"/>
    <w:rsid w:val="00EB745D"/>
    <w:rsid w:val="00EB7A9C"/>
    <w:rsid w:val="00EB7DCB"/>
    <w:rsid w:val="00EC09B4"/>
    <w:rsid w:val="00EC0AB2"/>
    <w:rsid w:val="00EC0F84"/>
    <w:rsid w:val="00EC1142"/>
    <w:rsid w:val="00EC2195"/>
    <w:rsid w:val="00EC29DE"/>
    <w:rsid w:val="00EC2A45"/>
    <w:rsid w:val="00EC2EED"/>
    <w:rsid w:val="00EC3BF3"/>
    <w:rsid w:val="00EC4008"/>
    <w:rsid w:val="00EC4C40"/>
    <w:rsid w:val="00EC538E"/>
    <w:rsid w:val="00EC558A"/>
    <w:rsid w:val="00EC595A"/>
    <w:rsid w:val="00EC5CC6"/>
    <w:rsid w:val="00EC690E"/>
    <w:rsid w:val="00EC693C"/>
    <w:rsid w:val="00EC694E"/>
    <w:rsid w:val="00EC6B13"/>
    <w:rsid w:val="00EC7199"/>
    <w:rsid w:val="00EC71AF"/>
    <w:rsid w:val="00EC7268"/>
    <w:rsid w:val="00EC7A8B"/>
    <w:rsid w:val="00ED1B37"/>
    <w:rsid w:val="00ED1F3B"/>
    <w:rsid w:val="00ED23FA"/>
    <w:rsid w:val="00ED2597"/>
    <w:rsid w:val="00ED2BF3"/>
    <w:rsid w:val="00ED37B4"/>
    <w:rsid w:val="00ED40F6"/>
    <w:rsid w:val="00ED4282"/>
    <w:rsid w:val="00ED482D"/>
    <w:rsid w:val="00ED4A6E"/>
    <w:rsid w:val="00ED5165"/>
    <w:rsid w:val="00ED58AF"/>
    <w:rsid w:val="00ED58DB"/>
    <w:rsid w:val="00EE111A"/>
    <w:rsid w:val="00EE128B"/>
    <w:rsid w:val="00EE1AF5"/>
    <w:rsid w:val="00EE24B2"/>
    <w:rsid w:val="00EE321D"/>
    <w:rsid w:val="00EE3362"/>
    <w:rsid w:val="00EE3386"/>
    <w:rsid w:val="00EE35FB"/>
    <w:rsid w:val="00EE3B77"/>
    <w:rsid w:val="00EE3C1B"/>
    <w:rsid w:val="00EE3CA4"/>
    <w:rsid w:val="00EE4048"/>
    <w:rsid w:val="00EE632E"/>
    <w:rsid w:val="00EE667B"/>
    <w:rsid w:val="00EE6AF9"/>
    <w:rsid w:val="00EE7023"/>
    <w:rsid w:val="00EE7331"/>
    <w:rsid w:val="00EE7380"/>
    <w:rsid w:val="00EE77B8"/>
    <w:rsid w:val="00EE788A"/>
    <w:rsid w:val="00EF116D"/>
    <w:rsid w:val="00EF1363"/>
    <w:rsid w:val="00EF2920"/>
    <w:rsid w:val="00EF2B1A"/>
    <w:rsid w:val="00EF3AE6"/>
    <w:rsid w:val="00EF3B4D"/>
    <w:rsid w:val="00EF3E06"/>
    <w:rsid w:val="00EF4992"/>
    <w:rsid w:val="00EF4B21"/>
    <w:rsid w:val="00EF4BCF"/>
    <w:rsid w:val="00EF57F7"/>
    <w:rsid w:val="00EF62D0"/>
    <w:rsid w:val="00EF67AB"/>
    <w:rsid w:val="00EF72D3"/>
    <w:rsid w:val="00EF761A"/>
    <w:rsid w:val="00EF7BB4"/>
    <w:rsid w:val="00EF7E32"/>
    <w:rsid w:val="00F008D1"/>
    <w:rsid w:val="00F00DA1"/>
    <w:rsid w:val="00F013DC"/>
    <w:rsid w:val="00F01D36"/>
    <w:rsid w:val="00F01FE4"/>
    <w:rsid w:val="00F0287C"/>
    <w:rsid w:val="00F036A3"/>
    <w:rsid w:val="00F03A07"/>
    <w:rsid w:val="00F03EC4"/>
    <w:rsid w:val="00F04265"/>
    <w:rsid w:val="00F0431A"/>
    <w:rsid w:val="00F044E4"/>
    <w:rsid w:val="00F04813"/>
    <w:rsid w:val="00F056AE"/>
    <w:rsid w:val="00F056F8"/>
    <w:rsid w:val="00F05AF7"/>
    <w:rsid w:val="00F05DD6"/>
    <w:rsid w:val="00F062E4"/>
    <w:rsid w:val="00F06C87"/>
    <w:rsid w:val="00F06E86"/>
    <w:rsid w:val="00F0742A"/>
    <w:rsid w:val="00F10B86"/>
    <w:rsid w:val="00F110BE"/>
    <w:rsid w:val="00F11664"/>
    <w:rsid w:val="00F12030"/>
    <w:rsid w:val="00F120A6"/>
    <w:rsid w:val="00F122B7"/>
    <w:rsid w:val="00F12E3F"/>
    <w:rsid w:val="00F12EC2"/>
    <w:rsid w:val="00F13137"/>
    <w:rsid w:val="00F1334E"/>
    <w:rsid w:val="00F1378A"/>
    <w:rsid w:val="00F13DC3"/>
    <w:rsid w:val="00F13EDE"/>
    <w:rsid w:val="00F14851"/>
    <w:rsid w:val="00F14C59"/>
    <w:rsid w:val="00F15C28"/>
    <w:rsid w:val="00F1642A"/>
    <w:rsid w:val="00F168A7"/>
    <w:rsid w:val="00F17056"/>
    <w:rsid w:val="00F1740D"/>
    <w:rsid w:val="00F2023A"/>
    <w:rsid w:val="00F20C9E"/>
    <w:rsid w:val="00F21E2B"/>
    <w:rsid w:val="00F221AA"/>
    <w:rsid w:val="00F2238D"/>
    <w:rsid w:val="00F22BA1"/>
    <w:rsid w:val="00F22F92"/>
    <w:rsid w:val="00F2320B"/>
    <w:rsid w:val="00F23A51"/>
    <w:rsid w:val="00F2519C"/>
    <w:rsid w:val="00F25833"/>
    <w:rsid w:val="00F2598D"/>
    <w:rsid w:val="00F259FF"/>
    <w:rsid w:val="00F25D6A"/>
    <w:rsid w:val="00F25F64"/>
    <w:rsid w:val="00F260FF"/>
    <w:rsid w:val="00F2679A"/>
    <w:rsid w:val="00F2723D"/>
    <w:rsid w:val="00F27A3D"/>
    <w:rsid w:val="00F308EA"/>
    <w:rsid w:val="00F30F23"/>
    <w:rsid w:val="00F312A4"/>
    <w:rsid w:val="00F3152F"/>
    <w:rsid w:val="00F31C82"/>
    <w:rsid w:val="00F31C97"/>
    <w:rsid w:val="00F3314D"/>
    <w:rsid w:val="00F331D9"/>
    <w:rsid w:val="00F33818"/>
    <w:rsid w:val="00F351ED"/>
    <w:rsid w:val="00F35E8A"/>
    <w:rsid w:val="00F36EA9"/>
    <w:rsid w:val="00F377C7"/>
    <w:rsid w:val="00F403FE"/>
    <w:rsid w:val="00F40DFB"/>
    <w:rsid w:val="00F4113E"/>
    <w:rsid w:val="00F41414"/>
    <w:rsid w:val="00F423FB"/>
    <w:rsid w:val="00F42830"/>
    <w:rsid w:val="00F431AF"/>
    <w:rsid w:val="00F438E2"/>
    <w:rsid w:val="00F43A07"/>
    <w:rsid w:val="00F451C1"/>
    <w:rsid w:val="00F4589E"/>
    <w:rsid w:val="00F45F91"/>
    <w:rsid w:val="00F4629C"/>
    <w:rsid w:val="00F46A05"/>
    <w:rsid w:val="00F46DA5"/>
    <w:rsid w:val="00F47208"/>
    <w:rsid w:val="00F47C33"/>
    <w:rsid w:val="00F47E69"/>
    <w:rsid w:val="00F503A9"/>
    <w:rsid w:val="00F506B9"/>
    <w:rsid w:val="00F5107F"/>
    <w:rsid w:val="00F511CF"/>
    <w:rsid w:val="00F511E7"/>
    <w:rsid w:val="00F51878"/>
    <w:rsid w:val="00F51A1E"/>
    <w:rsid w:val="00F51D72"/>
    <w:rsid w:val="00F52037"/>
    <w:rsid w:val="00F526EC"/>
    <w:rsid w:val="00F526EE"/>
    <w:rsid w:val="00F53A70"/>
    <w:rsid w:val="00F53F19"/>
    <w:rsid w:val="00F54053"/>
    <w:rsid w:val="00F5473B"/>
    <w:rsid w:val="00F54CEE"/>
    <w:rsid w:val="00F5503E"/>
    <w:rsid w:val="00F55A5D"/>
    <w:rsid w:val="00F5602C"/>
    <w:rsid w:val="00F56518"/>
    <w:rsid w:val="00F565AC"/>
    <w:rsid w:val="00F56A42"/>
    <w:rsid w:val="00F56DA2"/>
    <w:rsid w:val="00F56EAE"/>
    <w:rsid w:val="00F56F0E"/>
    <w:rsid w:val="00F577D9"/>
    <w:rsid w:val="00F5784D"/>
    <w:rsid w:val="00F6098B"/>
    <w:rsid w:val="00F6124A"/>
    <w:rsid w:val="00F626E0"/>
    <w:rsid w:val="00F62B43"/>
    <w:rsid w:val="00F63497"/>
    <w:rsid w:val="00F63DFC"/>
    <w:rsid w:val="00F6451B"/>
    <w:rsid w:val="00F64595"/>
    <w:rsid w:val="00F64690"/>
    <w:rsid w:val="00F64B38"/>
    <w:rsid w:val="00F66054"/>
    <w:rsid w:val="00F66391"/>
    <w:rsid w:val="00F6666C"/>
    <w:rsid w:val="00F66D76"/>
    <w:rsid w:val="00F670E2"/>
    <w:rsid w:val="00F675BD"/>
    <w:rsid w:val="00F67724"/>
    <w:rsid w:val="00F67949"/>
    <w:rsid w:val="00F6797B"/>
    <w:rsid w:val="00F67FDC"/>
    <w:rsid w:val="00F7036E"/>
    <w:rsid w:val="00F704F0"/>
    <w:rsid w:val="00F70D10"/>
    <w:rsid w:val="00F70D1B"/>
    <w:rsid w:val="00F713F2"/>
    <w:rsid w:val="00F71B3F"/>
    <w:rsid w:val="00F72929"/>
    <w:rsid w:val="00F74213"/>
    <w:rsid w:val="00F75221"/>
    <w:rsid w:val="00F75570"/>
    <w:rsid w:val="00F75757"/>
    <w:rsid w:val="00F758E1"/>
    <w:rsid w:val="00F7597B"/>
    <w:rsid w:val="00F75D20"/>
    <w:rsid w:val="00F75D5D"/>
    <w:rsid w:val="00F75F65"/>
    <w:rsid w:val="00F76242"/>
    <w:rsid w:val="00F765C7"/>
    <w:rsid w:val="00F76B99"/>
    <w:rsid w:val="00F76C5A"/>
    <w:rsid w:val="00F774AE"/>
    <w:rsid w:val="00F8039F"/>
    <w:rsid w:val="00F8063F"/>
    <w:rsid w:val="00F80F2A"/>
    <w:rsid w:val="00F8121A"/>
    <w:rsid w:val="00F81438"/>
    <w:rsid w:val="00F8238C"/>
    <w:rsid w:val="00F82A8E"/>
    <w:rsid w:val="00F82F9E"/>
    <w:rsid w:val="00F830F8"/>
    <w:rsid w:val="00F83CE8"/>
    <w:rsid w:val="00F84B01"/>
    <w:rsid w:val="00F850F3"/>
    <w:rsid w:val="00F851D4"/>
    <w:rsid w:val="00F85E15"/>
    <w:rsid w:val="00F863D0"/>
    <w:rsid w:val="00F86530"/>
    <w:rsid w:val="00F86713"/>
    <w:rsid w:val="00F86873"/>
    <w:rsid w:val="00F86A5F"/>
    <w:rsid w:val="00F87AA2"/>
    <w:rsid w:val="00F90410"/>
    <w:rsid w:val="00F907A2"/>
    <w:rsid w:val="00F907E8"/>
    <w:rsid w:val="00F9111A"/>
    <w:rsid w:val="00F91648"/>
    <w:rsid w:val="00F91662"/>
    <w:rsid w:val="00F92553"/>
    <w:rsid w:val="00F926B3"/>
    <w:rsid w:val="00F92720"/>
    <w:rsid w:val="00F94515"/>
    <w:rsid w:val="00F94B84"/>
    <w:rsid w:val="00F95055"/>
    <w:rsid w:val="00F9538F"/>
    <w:rsid w:val="00F9540A"/>
    <w:rsid w:val="00F9552F"/>
    <w:rsid w:val="00F959F8"/>
    <w:rsid w:val="00F95C01"/>
    <w:rsid w:val="00F96168"/>
    <w:rsid w:val="00F962B0"/>
    <w:rsid w:val="00F96346"/>
    <w:rsid w:val="00F96576"/>
    <w:rsid w:val="00F96736"/>
    <w:rsid w:val="00F96C37"/>
    <w:rsid w:val="00F96D61"/>
    <w:rsid w:val="00F96E84"/>
    <w:rsid w:val="00F96F80"/>
    <w:rsid w:val="00F9723C"/>
    <w:rsid w:val="00F978B0"/>
    <w:rsid w:val="00FA0D49"/>
    <w:rsid w:val="00FA0D65"/>
    <w:rsid w:val="00FA136C"/>
    <w:rsid w:val="00FA18F1"/>
    <w:rsid w:val="00FA27A6"/>
    <w:rsid w:val="00FA2F26"/>
    <w:rsid w:val="00FA3193"/>
    <w:rsid w:val="00FA3CBE"/>
    <w:rsid w:val="00FA4F10"/>
    <w:rsid w:val="00FA5360"/>
    <w:rsid w:val="00FA6117"/>
    <w:rsid w:val="00FA65ED"/>
    <w:rsid w:val="00FA6708"/>
    <w:rsid w:val="00FA6A8A"/>
    <w:rsid w:val="00FA718A"/>
    <w:rsid w:val="00FA7EFF"/>
    <w:rsid w:val="00FB0B11"/>
    <w:rsid w:val="00FB0DA8"/>
    <w:rsid w:val="00FB10A0"/>
    <w:rsid w:val="00FB1E24"/>
    <w:rsid w:val="00FB201A"/>
    <w:rsid w:val="00FB20B0"/>
    <w:rsid w:val="00FB27ED"/>
    <w:rsid w:val="00FB2905"/>
    <w:rsid w:val="00FB2A5A"/>
    <w:rsid w:val="00FB2A72"/>
    <w:rsid w:val="00FB3A23"/>
    <w:rsid w:val="00FB4480"/>
    <w:rsid w:val="00FB45A4"/>
    <w:rsid w:val="00FB4BE8"/>
    <w:rsid w:val="00FB4F7D"/>
    <w:rsid w:val="00FB4FBD"/>
    <w:rsid w:val="00FB55CD"/>
    <w:rsid w:val="00FB602D"/>
    <w:rsid w:val="00FB609C"/>
    <w:rsid w:val="00FB61DA"/>
    <w:rsid w:val="00FB6247"/>
    <w:rsid w:val="00FB6791"/>
    <w:rsid w:val="00FB7AED"/>
    <w:rsid w:val="00FC02CB"/>
    <w:rsid w:val="00FC08B2"/>
    <w:rsid w:val="00FC0BEF"/>
    <w:rsid w:val="00FC0C95"/>
    <w:rsid w:val="00FC0D0B"/>
    <w:rsid w:val="00FC0F0C"/>
    <w:rsid w:val="00FC121C"/>
    <w:rsid w:val="00FC153F"/>
    <w:rsid w:val="00FC165F"/>
    <w:rsid w:val="00FC190F"/>
    <w:rsid w:val="00FC25A6"/>
    <w:rsid w:val="00FC388B"/>
    <w:rsid w:val="00FC40CC"/>
    <w:rsid w:val="00FC4831"/>
    <w:rsid w:val="00FC4F33"/>
    <w:rsid w:val="00FC52AD"/>
    <w:rsid w:val="00FC5600"/>
    <w:rsid w:val="00FC5651"/>
    <w:rsid w:val="00FC5D0B"/>
    <w:rsid w:val="00FC656C"/>
    <w:rsid w:val="00FC6DC6"/>
    <w:rsid w:val="00FD13FF"/>
    <w:rsid w:val="00FD2434"/>
    <w:rsid w:val="00FD286E"/>
    <w:rsid w:val="00FD29CD"/>
    <w:rsid w:val="00FD2DBD"/>
    <w:rsid w:val="00FD3A38"/>
    <w:rsid w:val="00FD3D04"/>
    <w:rsid w:val="00FD46E0"/>
    <w:rsid w:val="00FD4764"/>
    <w:rsid w:val="00FD47FD"/>
    <w:rsid w:val="00FD4817"/>
    <w:rsid w:val="00FD4977"/>
    <w:rsid w:val="00FD52AA"/>
    <w:rsid w:val="00FD5890"/>
    <w:rsid w:val="00FD5AB5"/>
    <w:rsid w:val="00FD5BDD"/>
    <w:rsid w:val="00FD709B"/>
    <w:rsid w:val="00FD775F"/>
    <w:rsid w:val="00FD795A"/>
    <w:rsid w:val="00FD79A0"/>
    <w:rsid w:val="00FD7AE2"/>
    <w:rsid w:val="00FD7D0F"/>
    <w:rsid w:val="00FE0EB0"/>
    <w:rsid w:val="00FE1301"/>
    <w:rsid w:val="00FE1475"/>
    <w:rsid w:val="00FE20F4"/>
    <w:rsid w:val="00FE22A4"/>
    <w:rsid w:val="00FE281F"/>
    <w:rsid w:val="00FE2B83"/>
    <w:rsid w:val="00FE2FD1"/>
    <w:rsid w:val="00FE3C61"/>
    <w:rsid w:val="00FE3DFD"/>
    <w:rsid w:val="00FE43A3"/>
    <w:rsid w:val="00FE4681"/>
    <w:rsid w:val="00FE4B42"/>
    <w:rsid w:val="00FE4E45"/>
    <w:rsid w:val="00FE55AF"/>
    <w:rsid w:val="00FE561A"/>
    <w:rsid w:val="00FE5BF9"/>
    <w:rsid w:val="00FE6236"/>
    <w:rsid w:val="00FE6F9D"/>
    <w:rsid w:val="00FE7302"/>
    <w:rsid w:val="00FE7C83"/>
    <w:rsid w:val="00FF0A58"/>
    <w:rsid w:val="00FF0BDC"/>
    <w:rsid w:val="00FF1620"/>
    <w:rsid w:val="00FF216B"/>
    <w:rsid w:val="00FF2367"/>
    <w:rsid w:val="00FF2972"/>
    <w:rsid w:val="00FF2A07"/>
    <w:rsid w:val="00FF2C22"/>
    <w:rsid w:val="00FF3316"/>
    <w:rsid w:val="00FF3D90"/>
    <w:rsid w:val="00FF4147"/>
    <w:rsid w:val="00FF470F"/>
    <w:rsid w:val="00FF4BC5"/>
    <w:rsid w:val="00FF5142"/>
    <w:rsid w:val="00FF525F"/>
    <w:rsid w:val="00FF550E"/>
    <w:rsid w:val="00FF5AEF"/>
    <w:rsid w:val="00FF6C2E"/>
    <w:rsid w:val="00FF6E9A"/>
    <w:rsid w:val="00FF7327"/>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E0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A7E"/>
    <w:pPr>
      <w:spacing w:line="288" w:lineRule="auto"/>
    </w:pPr>
    <w:rPr>
      <w:rFonts w:ascii="Century Schoolbook" w:hAnsi="Century Schoolbook"/>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B17A9"/>
    <w:pPr>
      <w:spacing w:line="240" w:lineRule="auto"/>
    </w:pPr>
    <w:rPr>
      <w:sz w:val="20"/>
      <w:szCs w:val="20"/>
    </w:rPr>
  </w:style>
  <w:style w:type="character" w:customStyle="1" w:styleId="FootnoteTextChar">
    <w:name w:val="Footnote Text Char"/>
    <w:basedOn w:val="DefaultParagraphFont"/>
    <w:link w:val="FootnoteText"/>
    <w:uiPriority w:val="99"/>
    <w:rsid w:val="006B17A9"/>
    <w:rPr>
      <w:sz w:val="20"/>
      <w:szCs w:val="20"/>
    </w:rPr>
  </w:style>
  <w:style w:type="character" w:styleId="FootnoteReference">
    <w:name w:val="footnote reference"/>
    <w:basedOn w:val="DefaultParagraphFont"/>
    <w:uiPriority w:val="99"/>
    <w:semiHidden/>
    <w:unhideWhenUsed/>
    <w:rsid w:val="006B17A9"/>
    <w:rPr>
      <w:vertAlign w:val="superscript"/>
    </w:rPr>
  </w:style>
  <w:style w:type="paragraph" w:styleId="Header">
    <w:name w:val="header"/>
    <w:basedOn w:val="Normal"/>
    <w:link w:val="HeaderChar"/>
    <w:uiPriority w:val="99"/>
    <w:unhideWhenUsed/>
    <w:rsid w:val="006C115E"/>
    <w:pPr>
      <w:tabs>
        <w:tab w:val="center" w:pos="4680"/>
        <w:tab w:val="right" w:pos="9360"/>
      </w:tabs>
      <w:spacing w:line="240" w:lineRule="auto"/>
    </w:pPr>
  </w:style>
  <w:style w:type="character" w:customStyle="1" w:styleId="HeaderChar">
    <w:name w:val="Header Char"/>
    <w:basedOn w:val="DefaultParagraphFont"/>
    <w:link w:val="Header"/>
    <w:uiPriority w:val="99"/>
    <w:rsid w:val="006C115E"/>
  </w:style>
  <w:style w:type="paragraph" w:styleId="Footer">
    <w:name w:val="footer"/>
    <w:basedOn w:val="Normal"/>
    <w:link w:val="FooterChar"/>
    <w:uiPriority w:val="99"/>
    <w:unhideWhenUsed/>
    <w:rsid w:val="006C115E"/>
    <w:pPr>
      <w:tabs>
        <w:tab w:val="center" w:pos="4680"/>
        <w:tab w:val="right" w:pos="9360"/>
      </w:tabs>
      <w:spacing w:line="240" w:lineRule="auto"/>
    </w:pPr>
  </w:style>
  <w:style w:type="character" w:customStyle="1" w:styleId="FooterChar">
    <w:name w:val="Footer Char"/>
    <w:basedOn w:val="DefaultParagraphFont"/>
    <w:link w:val="Footer"/>
    <w:uiPriority w:val="99"/>
    <w:rsid w:val="006C115E"/>
  </w:style>
  <w:style w:type="character" w:styleId="PlaceholderText">
    <w:name w:val="Placeholder Text"/>
    <w:basedOn w:val="DefaultParagraphFont"/>
    <w:uiPriority w:val="99"/>
    <w:semiHidden/>
    <w:rsid w:val="00DB0E1E"/>
    <w:rPr>
      <w:color w:val="666666"/>
    </w:rPr>
  </w:style>
  <w:style w:type="paragraph" w:styleId="Revision">
    <w:name w:val="Revision"/>
    <w:hidden/>
    <w:uiPriority w:val="99"/>
    <w:semiHidden/>
    <w:rsid w:val="006D491D"/>
    <w:pPr>
      <w:spacing w:line="240" w:lineRule="auto"/>
    </w:pPr>
  </w:style>
  <w:style w:type="character" w:styleId="PageNumber">
    <w:name w:val="page number"/>
    <w:basedOn w:val="DefaultParagraphFont"/>
    <w:uiPriority w:val="99"/>
    <w:semiHidden/>
    <w:unhideWhenUsed/>
    <w:rsid w:val="008E1E84"/>
  </w:style>
  <w:style w:type="paragraph" w:styleId="ListBullet">
    <w:name w:val="List Bullet"/>
    <w:basedOn w:val="Normal"/>
    <w:uiPriority w:val="99"/>
    <w:unhideWhenUsed/>
    <w:rsid w:val="00A66422"/>
    <w:pPr>
      <w:numPr>
        <w:numId w:val="1"/>
      </w:numPr>
      <w:spacing w:line="360" w:lineRule="auto"/>
      <w:contextualSpacing/>
    </w:pPr>
    <w:rPr>
      <w:rFonts w:ascii="Times New Roman" w:eastAsia="Calibri" w:hAnsi="Times New Roman" w:cs="Times New Roman"/>
      <w:kern w:val="0"/>
      <w14:ligatures w14:val="none"/>
    </w:rPr>
  </w:style>
  <w:style w:type="character" w:styleId="CommentReference">
    <w:name w:val="annotation reference"/>
    <w:basedOn w:val="DefaultParagraphFont"/>
    <w:uiPriority w:val="99"/>
    <w:semiHidden/>
    <w:unhideWhenUsed/>
    <w:rsid w:val="0035138E"/>
    <w:rPr>
      <w:sz w:val="16"/>
      <w:szCs w:val="16"/>
    </w:rPr>
  </w:style>
  <w:style w:type="paragraph" w:styleId="CommentText">
    <w:name w:val="annotation text"/>
    <w:basedOn w:val="Normal"/>
    <w:link w:val="CommentTextChar"/>
    <w:uiPriority w:val="99"/>
    <w:unhideWhenUsed/>
    <w:rsid w:val="0035138E"/>
    <w:pPr>
      <w:spacing w:line="240" w:lineRule="auto"/>
    </w:pPr>
    <w:rPr>
      <w:sz w:val="20"/>
      <w:szCs w:val="20"/>
    </w:rPr>
  </w:style>
  <w:style w:type="character" w:customStyle="1" w:styleId="CommentTextChar">
    <w:name w:val="Comment Text Char"/>
    <w:basedOn w:val="DefaultParagraphFont"/>
    <w:link w:val="CommentText"/>
    <w:uiPriority w:val="99"/>
    <w:rsid w:val="0035138E"/>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35138E"/>
    <w:rPr>
      <w:b/>
      <w:bCs/>
    </w:rPr>
  </w:style>
  <w:style w:type="character" w:customStyle="1" w:styleId="CommentSubjectChar">
    <w:name w:val="Comment Subject Char"/>
    <w:basedOn w:val="CommentTextChar"/>
    <w:link w:val="CommentSubject"/>
    <w:uiPriority w:val="99"/>
    <w:semiHidden/>
    <w:rsid w:val="0035138E"/>
    <w:rPr>
      <w:rFonts w:ascii="Century Schoolbook" w:hAnsi="Century Schoolbook"/>
      <w:b/>
      <w:bCs/>
      <w:sz w:val="20"/>
      <w:szCs w:val="20"/>
    </w:rPr>
  </w:style>
  <w:style w:type="character" w:styleId="SubtleEmphasis">
    <w:name w:val="Subtle Emphasis"/>
    <w:basedOn w:val="DefaultParagraphFont"/>
    <w:uiPriority w:val="19"/>
    <w:qFormat/>
    <w:rsid w:val="004D676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867256">
      <w:bodyDiv w:val="1"/>
      <w:marLeft w:val="0"/>
      <w:marRight w:val="0"/>
      <w:marTop w:val="0"/>
      <w:marBottom w:val="0"/>
      <w:divBdr>
        <w:top w:val="none" w:sz="0" w:space="0" w:color="auto"/>
        <w:left w:val="none" w:sz="0" w:space="0" w:color="auto"/>
        <w:bottom w:val="none" w:sz="0" w:space="0" w:color="auto"/>
        <w:right w:val="none" w:sz="0" w:space="0" w:color="auto"/>
      </w:divBdr>
      <w:divsChild>
        <w:div w:id="1054353632">
          <w:marLeft w:val="0"/>
          <w:marRight w:val="0"/>
          <w:marTop w:val="0"/>
          <w:marBottom w:val="0"/>
          <w:divBdr>
            <w:top w:val="none" w:sz="0" w:space="0" w:color="3D3D3D"/>
            <w:left w:val="none" w:sz="0" w:space="0" w:color="3D3D3D"/>
            <w:bottom w:val="none" w:sz="0" w:space="0" w:color="3D3D3D"/>
            <w:right w:val="none" w:sz="0" w:space="0" w:color="3D3D3D"/>
          </w:divBdr>
          <w:divsChild>
            <w:div w:id="176449732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05726899">
      <w:bodyDiv w:val="1"/>
      <w:marLeft w:val="0"/>
      <w:marRight w:val="0"/>
      <w:marTop w:val="0"/>
      <w:marBottom w:val="0"/>
      <w:divBdr>
        <w:top w:val="none" w:sz="0" w:space="0" w:color="auto"/>
        <w:left w:val="none" w:sz="0" w:space="0" w:color="auto"/>
        <w:bottom w:val="none" w:sz="0" w:space="0" w:color="auto"/>
        <w:right w:val="none" w:sz="0" w:space="0" w:color="auto"/>
      </w:divBdr>
      <w:divsChild>
        <w:div w:id="1003433952">
          <w:marLeft w:val="0"/>
          <w:marRight w:val="0"/>
          <w:marTop w:val="0"/>
          <w:marBottom w:val="0"/>
          <w:divBdr>
            <w:top w:val="none" w:sz="0" w:space="0" w:color="3D3D3D"/>
            <w:left w:val="none" w:sz="0" w:space="0" w:color="3D3D3D"/>
            <w:bottom w:val="none" w:sz="0" w:space="0" w:color="3D3D3D"/>
            <w:right w:val="none" w:sz="0" w:space="0" w:color="3D3D3D"/>
          </w:divBdr>
          <w:divsChild>
            <w:div w:id="115973576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41988422">
      <w:bodyDiv w:val="1"/>
      <w:marLeft w:val="0"/>
      <w:marRight w:val="0"/>
      <w:marTop w:val="0"/>
      <w:marBottom w:val="0"/>
      <w:divBdr>
        <w:top w:val="none" w:sz="0" w:space="0" w:color="auto"/>
        <w:left w:val="none" w:sz="0" w:space="0" w:color="auto"/>
        <w:bottom w:val="none" w:sz="0" w:space="0" w:color="auto"/>
        <w:right w:val="none" w:sz="0" w:space="0" w:color="auto"/>
      </w:divBdr>
      <w:divsChild>
        <w:div w:id="442506137">
          <w:marLeft w:val="0"/>
          <w:marRight w:val="0"/>
          <w:marTop w:val="0"/>
          <w:marBottom w:val="0"/>
          <w:divBdr>
            <w:top w:val="none" w:sz="0" w:space="0" w:color="3D3D3D"/>
            <w:left w:val="none" w:sz="0" w:space="0" w:color="3D3D3D"/>
            <w:bottom w:val="none" w:sz="0" w:space="0" w:color="3D3D3D"/>
            <w:right w:val="none" w:sz="0" w:space="0" w:color="3D3D3D"/>
          </w:divBdr>
          <w:divsChild>
            <w:div w:id="121650543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65576912">
      <w:bodyDiv w:val="1"/>
      <w:marLeft w:val="0"/>
      <w:marRight w:val="0"/>
      <w:marTop w:val="0"/>
      <w:marBottom w:val="0"/>
      <w:divBdr>
        <w:top w:val="none" w:sz="0" w:space="0" w:color="auto"/>
        <w:left w:val="none" w:sz="0" w:space="0" w:color="auto"/>
        <w:bottom w:val="none" w:sz="0" w:space="0" w:color="auto"/>
        <w:right w:val="none" w:sz="0" w:space="0" w:color="auto"/>
      </w:divBdr>
      <w:divsChild>
        <w:div w:id="1452702193">
          <w:marLeft w:val="0"/>
          <w:marRight w:val="0"/>
          <w:marTop w:val="0"/>
          <w:marBottom w:val="0"/>
          <w:divBdr>
            <w:top w:val="none" w:sz="0" w:space="0" w:color="3D3D3D"/>
            <w:left w:val="none" w:sz="0" w:space="0" w:color="3D3D3D"/>
            <w:bottom w:val="none" w:sz="0" w:space="0" w:color="3D3D3D"/>
            <w:right w:val="none" w:sz="0" w:space="0" w:color="3D3D3D"/>
          </w:divBdr>
          <w:divsChild>
            <w:div w:id="67194233">
              <w:marLeft w:val="0"/>
              <w:marRight w:val="0"/>
              <w:marTop w:val="0"/>
              <w:marBottom w:val="0"/>
              <w:divBdr>
                <w:top w:val="none" w:sz="0" w:space="0" w:color="3D3D3D"/>
                <w:left w:val="none" w:sz="0" w:space="0" w:color="3D3D3D"/>
                <w:bottom w:val="none" w:sz="0" w:space="0" w:color="3D3D3D"/>
                <w:right w:val="none" w:sz="0" w:space="0" w:color="3D3D3D"/>
              </w:divBdr>
              <w:divsChild>
                <w:div w:id="118575937">
                  <w:marLeft w:val="0"/>
                  <w:marRight w:val="0"/>
                  <w:marTop w:val="0"/>
                  <w:marBottom w:val="0"/>
                  <w:divBdr>
                    <w:top w:val="none" w:sz="0" w:space="0" w:color="3D3D3D"/>
                    <w:left w:val="none" w:sz="0" w:space="0" w:color="3D3D3D"/>
                    <w:bottom w:val="none" w:sz="0" w:space="0" w:color="3D3D3D"/>
                    <w:right w:val="none" w:sz="0" w:space="0" w:color="3D3D3D"/>
                  </w:divBdr>
                </w:div>
              </w:divsChild>
            </w:div>
            <w:div w:id="658851198">
              <w:marLeft w:val="0"/>
              <w:marRight w:val="0"/>
              <w:marTop w:val="211"/>
              <w:marBottom w:val="0"/>
              <w:divBdr>
                <w:top w:val="none" w:sz="0" w:space="0" w:color="3D3D3D"/>
                <w:left w:val="none" w:sz="0" w:space="0" w:color="3D3D3D"/>
                <w:bottom w:val="none" w:sz="0" w:space="0" w:color="3D3D3D"/>
                <w:right w:val="none" w:sz="0" w:space="0" w:color="3D3D3D"/>
              </w:divBdr>
              <w:divsChild>
                <w:div w:id="954100397">
                  <w:marLeft w:val="0"/>
                  <w:marRight w:val="0"/>
                  <w:marTop w:val="0"/>
                  <w:marBottom w:val="0"/>
                  <w:divBdr>
                    <w:top w:val="none" w:sz="0" w:space="0" w:color="3D3D3D"/>
                    <w:left w:val="none" w:sz="0" w:space="0" w:color="3D3D3D"/>
                    <w:bottom w:val="none" w:sz="0" w:space="0" w:color="3D3D3D"/>
                    <w:right w:val="none" w:sz="0" w:space="0" w:color="3D3D3D"/>
                  </w:divBdr>
                </w:div>
              </w:divsChild>
            </w:div>
            <w:div w:id="398137379">
              <w:marLeft w:val="0"/>
              <w:marRight w:val="0"/>
              <w:marTop w:val="211"/>
              <w:marBottom w:val="0"/>
              <w:divBdr>
                <w:top w:val="none" w:sz="0" w:space="0" w:color="3D3D3D"/>
                <w:left w:val="none" w:sz="0" w:space="0" w:color="3D3D3D"/>
                <w:bottom w:val="none" w:sz="0" w:space="0" w:color="3D3D3D"/>
                <w:right w:val="none" w:sz="0" w:space="0" w:color="3D3D3D"/>
              </w:divBdr>
              <w:divsChild>
                <w:div w:id="14842716">
                  <w:marLeft w:val="0"/>
                  <w:marRight w:val="0"/>
                  <w:marTop w:val="0"/>
                  <w:marBottom w:val="0"/>
                  <w:divBdr>
                    <w:top w:val="none" w:sz="0" w:space="0" w:color="3D3D3D"/>
                    <w:left w:val="none" w:sz="0" w:space="0" w:color="3D3D3D"/>
                    <w:bottom w:val="none" w:sz="0" w:space="0" w:color="3D3D3D"/>
                    <w:right w:val="none" w:sz="0" w:space="0" w:color="3D3D3D"/>
                  </w:divBdr>
                </w:div>
              </w:divsChild>
            </w:div>
            <w:div w:id="41479080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36887098">
      <w:bodyDiv w:val="1"/>
      <w:marLeft w:val="0"/>
      <w:marRight w:val="0"/>
      <w:marTop w:val="0"/>
      <w:marBottom w:val="0"/>
      <w:divBdr>
        <w:top w:val="none" w:sz="0" w:space="0" w:color="auto"/>
        <w:left w:val="none" w:sz="0" w:space="0" w:color="auto"/>
        <w:bottom w:val="none" w:sz="0" w:space="0" w:color="auto"/>
        <w:right w:val="none" w:sz="0" w:space="0" w:color="auto"/>
      </w:divBdr>
      <w:divsChild>
        <w:div w:id="866984704">
          <w:marLeft w:val="0"/>
          <w:marRight w:val="0"/>
          <w:marTop w:val="0"/>
          <w:marBottom w:val="0"/>
          <w:divBdr>
            <w:top w:val="none" w:sz="0" w:space="0" w:color="3D3D3D"/>
            <w:left w:val="none" w:sz="0" w:space="0" w:color="3D3D3D"/>
            <w:bottom w:val="none" w:sz="0" w:space="0" w:color="3D3D3D"/>
            <w:right w:val="none" w:sz="0" w:space="0" w:color="3D3D3D"/>
          </w:divBdr>
          <w:divsChild>
            <w:div w:id="40661352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9BC63-82F9-46EA-9CF7-1B48C41C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7096</Words>
  <Characters>38274</Characters>
  <Application>Microsoft Office Word</Application>
  <DocSecurity>0</DocSecurity>
  <Lines>835</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2024-05-22T19:38:00Z</cp:lastPrinted>
  <dcterms:created xsi:type="dcterms:W3CDTF">2024-05-22T19:53:00Z</dcterms:created>
  <dcterms:modified xsi:type="dcterms:W3CDTF">2024-05-22T19:53:00Z</dcterms:modified>
  <cp:category/>
</cp:coreProperties>
</file>