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35CA" w14:textId="2BC684E0" w:rsidR="007433FE" w:rsidRPr="00771C0C" w:rsidRDefault="009A7CC9" w:rsidP="00771C0C">
      <w:pPr>
        <w:spacing w:line="288" w:lineRule="auto"/>
        <w:rPr>
          <w:rFonts w:ascii="Century Schoolbook" w:eastAsia="Calibri" w:hAnsi="Century Schoolbook"/>
          <w:bCs/>
          <w:sz w:val="20"/>
          <w:szCs w:val="20"/>
        </w:rPr>
      </w:pPr>
      <w:r>
        <w:rPr>
          <w:rFonts w:ascii="Century Schoolbook" w:eastAsia="Calibri" w:hAnsi="Century Schoolbook"/>
          <w:bCs/>
          <w:sz w:val="20"/>
          <w:szCs w:val="20"/>
        </w:rPr>
        <w:t xml:space="preserve">Filed </w:t>
      </w:r>
      <w:proofErr w:type="gramStart"/>
      <w:r>
        <w:rPr>
          <w:rFonts w:ascii="Century Schoolbook" w:eastAsia="Calibri" w:hAnsi="Century Schoolbook"/>
          <w:bCs/>
          <w:sz w:val="20"/>
          <w:szCs w:val="20"/>
        </w:rPr>
        <w:t>5/30/</w:t>
      </w:r>
      <w:r>
        <w:rPr>
          <w:rFonts w:ascii="Century Schoolbook" w:eastAsia="Calibri" w:hAnsi="Century Schoolbook"/>
          <w:bCs/>
          <w:sz w:val="20"/>
          <w:szCs w:val="20"/>
        </w:rPr>
        <w:t>24</w:t>
      </w:r>
      <w:proofErr w:type="gramEnd"/>
    </w:p>
    <w:p w14:paraId="26A24885" w14:textId="6890F3C2" w:rsidR="00D370B4" w:rsidRPr="00D370B4" w:rsidRDefault="009A7CC9" w:rsidP="00562CBA">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14:paraId="1B92DE46" w14:textId="77777777" w:rsidR="009A7218" w:rsidRPr="009A7218" w:rsidRDefault="009A7218" w:rsidP="00D0414F">
      <w:pPr>
        <w:spacing w:line="288" w:lineRule="auto"/>
        <w:jc w:val="center"/>
        <w:rPr>
          <w:rFonts w:ascii="Century Schoolbook" w:eastAsia="Calibri" w:hAnsi="Century Schoolbook"/>
          <w:sz w:val="26"/>
        </w:rPr>
      </w:pPr>
    </w:p>
    <w:p w14:paraId="6C65E19E" w14:textId="77777777" w:rsidR="009A7218" w:rsidRPr="009A7218" w:rsidRDefault="009A7CC9" w:rsidP="00E042BC">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14:paraId="1B8D6176" w14:textId="77777777" w:rsidR="009A7218" w:rsidRPr="009A7218" w:rsidRDefault="009A7218" w:rsidP="00E042BC">
      <w:pPr>
        <w:spacing w:line="288" w:lineRule="auto"/>
        <w:jc w:val="center"/>
        <w:rPr>
          <w:rFonts w:ascii="Century Schoolbook" w:eastAsia="Calibri" w:hAnsi="Century Schoolbook"/>
          <w:sz w:val="26"/>
        </w:rPr>
      </w:pPr>
    </w:p>
    <w:p w14:paraId="19E0B779" w14:textId="77777777" w:rsidR="009A7218" w:rsidRPr="009A7218" w:rsidRDefault="009A7CC9" w:rsidP="00E042BC">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14:paraId="5CEB5AFF" w14:textId="77777777" w:rsidR="009A7218" w:rsidRPr="009A7218" w:rsidRDefault="009A7218" w:rsidP="00E042BC">
      <w:pPr>
        <w:spacing w:line="288" w:lineRule="auto"/>
        <w:jc w:val="center"/>
        <w:rPr>
          <w:rFonts w:ascii="Century Schoolbook" w:eastAsia="Calibri" w:hAnsi="Century Schoolbook"/>
          <w:sz w:val="26"/>
        </w:rPr>
      </w:pPr>
    </w:p>
    <w:p w14:paraId="4C0ED1C3" w14:textId="17ACFE9A" w:rsidR="009A7218" w:rsidRPr="009A7218" w:rsidRDefault="009A7CC9" w:rsidP="00E042BC">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14:paraId="4E21B25C" w14:textId="77777777" w:rsidR="009A7218" w:rsidRPr="009A7218" w:rsidRDefault="009A7218" w:rsidP="00E042BC">
      <w:pPr>
        <w:spacing w:line="288" w:lineRule="auto"/>
        <w:rPr>
          <w:rFonts w:ascii="Century Schoolbook" w:eastAsia="Calibri" w:hAnsi="Century Schoolbook"/>
          <w:sz w:val="26"/>
        </w:rPr>
      </w:pPr>
    </w:p>
    <w:tbl>
      <w:tblPr>
        <w:tblW w:w="0" w:type="auto"/>
        <w:tblLayout w:type="fixed"/>
        <w:tblLook w:val="0000" w:firstRow="0" w:lastRow="0" w:firstColumn="0" w:lastColumn="0" w:noHBand="0" w:noVBand="0"/>
      </w:tblPr>
      <w:tblGrid>
        <w:gridCol w:w="4068"/>
        <w:gridCol w:w="4068"/>
      </w:tblGrid>
      <w:tr w:rsidR="006A480E" w14:paraId="5A127FF3" w14:textId="77777777" w:rsidTr="00AF7E07">
        <w:tc>
          <w:tcPr>
            <w:tcW w:w="4068" w:type="dxa"/>
            <w:tcBorders>
              <w:bottom w:val="single" w:sz="4" w:space="0" w:color="auto"/>
              <w:right w:val="single" w:sz="4" w:space="0" w:color="auto"/>
            </w:tcBorders>
            <w:shd w:val="clear" w:color="auto" w:fill="auto"/>
          </w:tcPr>
          <w:p w14:paraId="7DC4416B" w14:textId="60A626A5" w:rsidR="009A7218" w:rsidRPr="009A7218" w:rsidRDefault="009A7CC9" w:rsidP="00E042BC">
            <w:pPr>
              <w:spacing w:line="288" w:lineRule="auto"/>
              <w:rPr>
                <w:rFonts w:ascii="Century Schoolbook" w:eastAsia="Calibri" w:hAnsi="Century Schoolbook"/>
                <w:sz w:val="26"/>
              </w:rPr>
            </w:pPr>
            <w:r>
              <w:rPr>
                <w:rFonts w:ascii="Century Schoolbook" w:eastAsia="Calibri" w:hAnsi="Century Schoolbook"/>
                <w:sz w:val="26"/>
              </w:rPr>
              <w:t>A.L., an Incompetent Person, etc.</w:t>
            </w:r>
            <w:r w:rsidR="003D24DE">
              <w:rPr>
                <w:rFonts w:ascii="Century Schoolbook" w:eastAsia="Calibri" w:hAnsi="Century Schoolbook"/>
                <w:sz w:val="26"/>
              </w:rPr>
              <w:t>,</w:t>
            </w:r>
          </w:p>
          <w:p w14:paraId="6D0EA971" w14:textId="77777777" w:rsidR="009A7218" w:rsidRPr="009A7218" w:rsidRDefault="009A7218" w:rsidP="00E042BC">
            <w:pPr>
              <w:spacing w:line="288" w:lineRule="auto"/>
              <w:rPr>
                <w:rFonts w:ascii="Century Schoolbook" w:eastAsia="Calibri" w:hAnsi="Century Schoolbook"/>
                <w:sz w:val="26"/>
              </w:rPr>
            </w:pPr>
          </w:p>
          <w:p w14:paraId="668752C1" w14:textId="6B3E4116" w:rsidR="009A7218" w:rsidRPr="00E66023" w:rsidRDefault="009A7CC9" w:rsidP="00E042BC">
            <w:pPr>
              <w:spacing w:line="288" w:lineRule="auto"/>
              <w:rPr>
                <w:rFonts w:ascii="Century Schoolbook" w:eastAsia="Calibri" w:hAnsi="Century Schoolbook"/>
                <w:sz w:val="26"/>
              </w:rPr>
            </w:pPr>
            <w:r w:rsidRPr="009A7218">
              <w:rPr>
                <w:rFonts w:ascii="Century Schoolbook" w:eastAsia="Calibri" w:hAnsi="Century Schoolbook"/>
                <w:sz w:val="26"/>
              </w:rPr>
              <w:tab/>
            </w:r>
            <w:r w:rsidR="001479C7" w:rsidRPr="00E66023">
              <w:rPr>
                <w:rFonts w:ascii="Century Schoolbook" w:eastAsia="Calibri" w:hAnsi="Century Schoolbook"/>
                <w:sz w:val="26"/>
              </w:rPr>
              <w:t>Plaintiff</w:t>
            </w:r>
            <w:r w:rsidR="00500B49" w:rsidRPr="00E66023">
              <w:rPr>
                <w:rFonts w:ascii="Century Schoolbook" w:eastAsia="Calibri" w:hAnsi="Century Schoolbook"/>
                <w:sz w:val="26"/>
              </w:rPr>
              <w:t xml:space="preserve"> </w:t>
            </w:r>
            <w:r w:rsidR="00321100" w:rsidRPr="00E66023">
              <w:rPr>
                <w:rFonts w:ascii="Century Schoolbook" w:eastAsia="Calibri" w:hAnsi="Century Schoolbook"/>
                <w:sz w:val="26"/>
              </w:rPr>
              <w:t>and Appellant</w:t>
            </w:r>
            <w:r w:rsidRPr="00E66023">
              <w:rPr>
                <w:rFonts w:ascii="Century Schoolbook" w:eastAsia="Calibri" w:hAnsi="Century Schoolbook"/>
                <w:sz w:val="26"/>
              </w:rPr>
              <w:t>,</w:t>
            </w:r>
          </w:p>
          <w:p w14:paraId="707E95F2" w14:textId="77777777" w:rsidR="009A7218" w:rsidRPr="00E66023" w:rsidRDefault="009A7218" w:rsidP="00E042BC">
            <w:pPr>
              <w:spacing w:line="288" w:lineRule="auto"/>
              <w:rPr>
                <w:rFonts w:ascii="Century Schoolbook" w:eastAsia="Calibri" w:hAnsi="Century Schoolbook"/>
                <w:sz w:val="26"/>
              </w:rPr>
            </w:pPr>
          </w:p>
          <w:p w14:paraId="434B4AF7" w14:textId="77777777" w:rsidR="009A7218" w:rsidRPr="00E66023" w:rsidRDefault="009A7CC9" w:rsidP="00E042BC">
            <w:pPr>
              <w:spacing w:line="288" w:lineRule="auto"/>
              <w:rPr>
                <w:rFonts w:ascii="Century Schoolbook" w:eastAsia="Calibri" w:hAnsi="Century Schoolbook"/>
                <w:sz w:val="26"/>
              </w:rPr>
            </w:pPr>
            <w:r w:rsidRPr="00E66023">
              <w:rPr>
                <w:rFonts w:ascii="Century Schoolbook" w:eastAsia="Calibri" w:hAnsi="Century Schoolbook"/>
                <w:sz w:val="26"/>
              </w:rPr>
              <w:tab/>
              <w:t>v.</w:t>
            </w:r>
          </w:p>
          <w:p w14:paraId="3A87CEDB" w14:textId="77777777" w:rsidR="009A7218" w:rsidRPr="00E66023" w:rsidRDefault="009A7218" w:rsidP="00E042BC">
            <w:pPr>
              <w:spacing w:line="288" w:lineRule="auto"/>
              <w:rPr>
                <w:rFonts w:ascii="Century Schoolbook" w:eastAsia="Calibri" w:hAnsi="Century Schoolbook"/>
                <w:sz w:val="26"/>
              </w:rPr>
            </w:pPr>
          </w:p>
          <w:p w14:paraId="07177B55" w14:textId="579B7636" w:rsidR="009A7218" w:rsidRPr="00E66023" w:rsidRDefault="009A7CC9" w:rsidP="00E042BC">
            <w:pPr>
              <w:spacing w:line="288" w:lineRule="auto"/>
              <w:rPr>
                <w:rFonts w:ascii="Century Schoolbook" w:eastAsia="Calibri" w:hAnsi="Century Schoolbook"/>
                <w:sz w:val="26"/>
              </w:rPr>
            </w:pPr>
            <w:r>
              <w:rPr>
                <w:rFonts w:ascii="Century Schoolbook" w:eastAsia="Calibri" w:hAnsi="Century Schoolbook"/>
                <w:sz w:val="26"/>
              </w:rPr>
              <w:t xml:space="preserve">HARBOR DEVELOPMENTAL DISABILITIES </w:t>
            </w:r>
            <w:r>
              <w:rPr>
                <w:rFonts w:ascii="Century Schoolbook" w:eastAsia="Calibri" w:hAnsi="Century Schoolbook"/>
                <w:sz w:val="26"/>
              </w:rPr>
              <w:t>FOUNDATION</w:t>
            </w:r>
            <w:r w:rsidR="001F1F07" w:rsidRPr="00E66023">
              <w:rPr>
                <w:rFonts w:ascii="Century Schoolbook" w:eastAsia="Calibri" w:hAnsi="Century Schoolbook"/>
                <w:sz w:val="26"/>
              </w:rPr>
              <w:t>,</w:t>
            </w:r>
          </w:p>
          <w:p w14:paraId="2AE32234" w14:textId="77777777" w:rsidR="009A7218" w:rsidRPr="00E66023" w:rsidRDefault="009A7218" w:rsidP="00E042BC">
            <w:pPr>
              <w:spacing w:line="288" w:lineRule="auto"/>
              <w:rPr>
                <w:rFonts w:ascii="Century Schoolbook" w:eastAsia="Calibri" w:hAnsi="Century Schoolbook"/>
                <w:sz w:val="26"/>
              </w:rPr>
            </w:pPr>
          </w:p>
          <w:p w14:paraId="66A3F2D0" w14:textId="68D4236C" w:rsidR="009A7218" w:rsidRPr="009A7218" w:rsidRDefault="009A7CC9" w:rsidP="00E042BC">
            <w:pPr>
              <w:spacing w:line="288" w:lineRule="auto"/>
              <w:rPr>
                <w:rFonts w:ascii="Century Schoolbook" w:eastAsia="Calibri" w:hAnsi="Century Schoolbook"/>
                <w:sz w:val="26"/>
              </w:rPr>
            </w:pPr>
            <w:r w:rsidRPr="00E66023">
              <w:rPr>
                <w:rFonts w:ascii="Century Schoolbook" w:eastAsia="Calibri" w:hAnsi="Century Schoolbook"/>
                <w:sz w:val="26"/>
              </w:rPr>
              <w:tab/>
              <w:t>Defendant</w:t>
            </w:r>
            <w:r w:rsidR="001479C7" w:rsidRPr="00E66023">
              <w:rPr>
                <w:rFonts w:ascii="Century Schoolbook" w:eastAsia="Calibri" w:hAnsi="Century Schoolbook"/>
                <w:sz w:val="26"/>
              </w:rPr>
              <w:t xml:space="preserve"> </w:t>
            </w:r>
            <w:r w:rsidRPr="00E66023">
              <w:rPr>
                <w:rFonts w:ascii="Century Schoolbook" w:eastAsia="Calibri" w:hAnsi="Century Schoolbook"/>
                <w:sz w:val="26"/>
              </w:rPr>
              <w:t xml:space="preserve">and </w:t>
            </w:r>
            <w:r w:rsidR="001F1F07" w:rsidRPr="00E66023">
              <w:rPr>
                <w:rFonts w:ascii="Century Schoolbook" w:eastAsia="Calibri" w:hAnsi="Century Schoolbook"/>
                <w:sz w:val="26"/>
              </w:rPr>
              <w:t>Respondent</w:t>
            </w:r>
            <w:r w:rsidRPr="00E66023">
              <w:rPr>
                <w:rFonts w:ascii="Century Schoolbook" w:eastAsia="Calibri" w:hAnsi="Century Schoolbook"/>
                <w:sz w:val="26"/>
              </w:rPr>
              <w:t>.</w:t>
            </w:r>
          </w:p>
          <w:p w14:paraId="3AA7122B" w14:textId="77777777" w:rsidR="009A7218" w:rsidRPr="009A7218" w:rsidRDefault="009A7218" w:rsidP="00E042BC">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14:paraId="3670D815" w14:textId="350CFEC0" w:rsidR="009A7218" w:rsidRPr="009A7218" w:rsidRDefault="009A7CC9" w:rsidP="00E042BC">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00BB4228" w:rsidRPr="00BB4228">
              <w:rPr>
                <w:rFonts w:ascii="Century Schoolbook" w:eastAsia="Calibri" w:hAnsi="Century Schoolbook"/>
                <w:sz w:val="26"/>
              </w:rPr>
              <w:t>B32</w:t>
            </w:r>
            <w:r w:rsidR="002B6EA7">
              <w:rPr>
                <w:rFonts w:ascii="Century Schoolbook" w:eastAsia="Calibri" w:hAnsi="Century Schoolbook"/>
                <w:sz w:val="26"/>
              </w:rPr>
              <w:t>2729</w:t>
            </w:r>
          </w:p>
          <w:p w14:paraId="221E7D04" w14:textId="77777777" w:rsidR="009A7218" w:rsidRPr="009A7218" w:rsidRDefault="009A7218" w:rsidP="00E042BC">
            <w:pPr>
              <w:spacing w:line="288" w:lineRule="auto"/>
              <w:rPr>
                <w:rFonts w:ascii="Century Schoolbook" w:eastAsia="Calibri" w:hAnsi="Century Schoolbook"/>
                <w:sz w:val="26"/>
              </w:rPr>
            </w:pPr>
          </w:p>
          <w:p w14:paraId="06AEBEB3" w14:textId="77777777" w:rsidR="009A7218" w:rsidRPr="00A72DBD" w:rsidRDefault="009A7CC9" w:rsidP="00E042BC">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14:paraId="78D68E00" w14:textId="30D76056" w:rsidR="009A7218" w:rsidRPr="009A7218" w:rsidRDefault="009A7CC9" w:rsidP="00E042BC">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sidR="00CF7790">
              <w:rPr>
                <w:rFonts w:ascii="Century Schoolbook" w:eastAsia="Calibri" w:hAnsi="Century Schoolbook"/>
                <w:sz w:val="26"/>
              </w:rPr>
              <w:t>19STCV</w:t>
            </w:r>
            <w:r w:rsidR="002B6EA7">
              <w:rPr>
                <w:rFonts w:ascii="Century Schoolbook" w:eastAsia="Calibri" w:hAnsi="Century Schoolbook"/>
                <w:sz w:val="26"/>
              </w:rPr>
              <w:t>05630</w:t>
            </w:r>
            <w:r w:rsidRPr="009A7218">
              <w:rPr>
                <w:rFonts w:ascii="Century Schoolbook" w:eastAsia="Calibri" w:hAnsi="Century Schoolbook"/>
                <w:sz w:val="26"/>
              </w:rPr>
              <w:t>)</w:t>
            </w:r>
          </w:p>
        </w:tc>
      </w:tr>
    </w:tbl>
    <w:p w14:paraId="12C36120" w14:textId="77777777" w:rsidR="009A7218" w:rsidRPr="009A7218" w:rsidRDefault="009A7218" w:rsidP="00D0414F">
      <w:pPr>
        <w:spacing w:line="288" w:lineRule="auto"/>
        <w:rPr>
          <w:rFonts w:ascii="Century Schoolbook" w:eastAsia="Calibri" w:hAnsi="Century Schoolbook"/>
          <w:sz w:val="26"/>
        </w:rPr>
      </w:pPr>
    </w:p>
    <w:p w14:paraId="6C71C5EA" w14:textId="7D4049CC" w:rsidR="009A7218" w:rsidRPr="009A7218" w:rsidRDefault="009A7CC9" w:rsidP="00E042BC">
      <w:pPr>
        <w:spacing w:line="288" w:lineRule="auto"/>
        <w:ind w:firstLine="720"/>
        <w:rPr>
          <w:rFonts w:ascii="Century Schoolbook" w:hAnsi="Century Schoolbook"/>
          <w:sz w:val="26"/>
          <w:szCs w:val="26"/>
        </w:rPr>
      </w:pPr>
      <w:r w:rsidRPr="00ED0BBB">
        <w:rPr>
          <w:rFonts w:ascii="Century Schoolbook" w:hAnsi="Century Schoolbook"/>
          <w:sz w:val="26"/>
          <w:szCs w:val="26"/>
        </w:rPr>
        <w:t xml:space="preserve">APPEAL from </w:t>
      </w:r>
      <w:r w:rsidR="00C2429B" w:rsidRPr="00ED0BBB">
        <w:rPr>
          <w:rFonts w:ascii="Century Schoolbook" w:hAnsi="Century Schoolbook"/>
          <w:sz w:val="26"/>
          <w:szCs w:val="26"/>
        </w:rPr>
        <w:t>a</w:t>
      </w:r>
      <w:r w:rsidR="003D24DE" w:rsidRPr="00ED0BBB">
        <w:rPr>
          <w:rFonts w:ascii="Century Schoolbook" w:hAnsi="Century Schoolbook"/>
          <w:sz w:val="26"/>
          <w:szCs w:val="26"/>
        </w:rPr>
        <w:t xml:space="preserve"> judgment</w:t>
      </w:r>
      <w:r w:rsidR="00ED0BBB" w:rsidRPr="00ED0BBB">
        <w:rPr>
          <w:rFonts w:ascii="Century Schoolbook" w:hAnsi="Century Schoolbook"/>
          <w:sz w:val="26"/>
          <w:szCs w:val="26"/>
        </w:rPr>
        <w:t xml:space="preserve"> </w:t>
      </w:r>
      <w:r w:rsidRPr="00ED0BBB">
        <w:rPr>
          <w:rFonts w:ascii="Century Schoolbook" w:hAnsi="Century Schoolbook"/>
          <w:sz w:val="26"/>
          <w:szCs w:val="26"/>
        </w:rPr>
        <w:t>of the</w:t>
      </w:r>
      <w:r w:rsidRPr="009A7218">
        <w:rPr>
          <w:rFonts w:ascii="Century Schoolbook" w:hAnsi="Century Schoolbook"/>
          <w:sz w:val="26"/>
          <w:szCs w:val="26"/>
        </w:rPr>
        <w:t xml:space="preserve"> Superior Court of Los Angeles </w:t>
      </w:r>
      <w:r w:rsidRPr="000949F8">
        <w:rPr>
          <w:rFonts w:ascii="Century Schoolbook" w:hAnsi="Century Schoolbook"/>
          <w:sz w:val="26"/>
          <w:szCs w:val="26"/>
        </w:rPr>
        <w:t xml:space="preserve">County, </w:t>
      </w:r>
      <w:r w:rsidR="002B6EA7">
        <w:rPr>
          <w:rFonts w:ascii="Century Schoolbook" w:hAnsi="Century Schoolbook"/>
          <w:sz w:val="26"/>
          <w:szCs w:val="26"/>
        </w:rPr>
        <w:t xml:space="preserve">Terry </w:t>
      </w:r>
      <w:r w:rsidR="00C31E5F">
        <w:rPr>
          <w:rFonts w:ascii="Century Schoolbook" w:hAnsi="Century Schoolbook"/>
          <w:sz w:val="26"/>
          <w:szCs w:val="26"/>
        </w:rPr>
        <w:t xml:space="preserve">A. </w:t>
      </w:r>
      <w:r w:rsidR="002B6EA7">
        <w:rPr>
          <w:rFonts w:ascii="Century Schoolbook" w:hAnsi="Century Schoolbook"/>
          <w:sz w:val="26"/>
          <w:szCs w:val="26"/>
        </w:rPr>
        <w:t>Green</w:t>
      </w:r>
      <w:r w:rsidRPr="000949F8">
        <w:rPr>
          <w:rFonts w:ascii="Century Schoolbook" w:hAnsi="Century Schoolbook"/>
          <w:sz w:val="26"/>
          <w:szCs w:val="26"/>
        </w:rPr>
        <w:t>, Judge.</w:t>
      </w:r>
      <w:r w:rsidRPr="009A7218">
        <w:rPr>
          <w:rFonts w:ascii="Century Schoolbook" w:hAnsi="Century Schoolbook"/>
          <w:sz w:val="26"/>
          <w:szCs w:val="26"/>
        </w:rPr>
        <w:t xml:space="preserve">  </w:t>
      </w:r>
      <w:r w:rsidR="00C46631">
        <w:rPr>
          <w:rFonts w:ascii="Century Schoolbook" w:hAnsi="Century Schoolbook"/>
          <w:sz w:val="26"/>
          <w:szCs w:val="26"/>
        </w:rPr>
        <w:t>Affirmed.</w:t>
      </w:r>
    </w:p>
    <w:p w14:paraId="63C2922C" w14:textId="77777777" w:rsidR="009A7218" w:rsidRPr="009A7218" w:rsidRDefault="009A7CC9" w:rsidP="00E042BC">
      <w:pPr>
        <w:spacing w:line="288" w:lineRule="auto"/>
        <w:rPr>
          <w:rFonts w:ascii="Century Schoolbook" w:hAnsi="Century Schoolbook"/>
          <w:sz w:val="26"/>
          <w:szCs w:val="26"/>
        </w:rPr>
      </w:pPr>
      <w:r w:rsidRPr="009A7218">
        <w:rPr>
          <w:rFonts w:ascii="Century Schoolbook" w:hAnsi="Century Schoolbook"/>
          <w:sz w:val="26"/>
          <w:szCs w:val="26"/>
        </w:rPr>
        <w:tab/>
      </w:r>
    </w:p>
    <w:p w14:paraId="752C0650" w14:textId="4323FC6F" w:rsidR="00C2429B" w:rsidRPr="005C529D" w:rsidRDefault="009A7CC9" w:rsidP="00E042BC">
      <w:pPr>
        <w:spacing w:line="288" w:lineRule="auto"/>
        <w:ind w:firstLine="720"/>
        <w:rPr>
          <w:rFonts w:ascii="Century Schoolbook" w:hAnsi="Century Schoolbook"/>
          <w:sz w:val="26"/>
          <w:szCs w:val="26"/>
        </w:rPr>
      </w:pPr>
      <w:r>
        <w:rPr>
          <w:rFonts w:ascii="Century Schoolbook" w:hAnsi="Century Schoolbook"/>
          <w:sz w:val="26"/>
          <w:szCs w:val="26"/>
        </w:rPr>
        <w:t>Green</w:t>
      </w:r>
      <w:r w:rsidR="003D79BD">
        <w:rPr>
          <w:rFonts w:ascii="Century Schoolbook" w:hAnsi="Century Schoolbook"/>
          <w:sz w:val="26"/>
          <w:szCs w:val="26"/>
        </w:rPr>
        <w:t>e</w:t>
      </w:r>
      <w:r>
        <w:rPr>
          <w:rFonts w:ascii="Century Schoolbook" w:hAnsi="Century Schoolbook"/>
          <w:sz w:val="26"/>
          <w:szCs w:val="26"/>
        </w:rPr>
        <w:t xml:space="preserve"> </w:t>
      </w:r>
      <w:proofErr w:type="spellStart"/>
      <w:r>
        <w:rPr>
          <w:rFonts w:ascii="Century Schoolbook" w:hAnsi="Century Schoolbook"/>
          <w:sz w:val="26"/>
          <w:szCs w:val="26"/>
        </w:rPr>
        <w:t>Broillet</w:t>
      </w:r>
      <w:proofErr w:type="spellEnd"/>
      <w:r>
        <w:rPr>
          <w:rFonts w:ascii="Century Schoolbook" w:hAnsi="Century Schoolbook"/>
          <w:sz w:val="26"/>
          <w:szCs w:val="26"/>
        </w:rPr>
        <w:t xml:space="preserve"> &amp; Wheeler, Scott H. Carr, Ivan </w:t>
      </w:r>
      <w:proofErr w:type="spellStart"/>
      <w:r>
        <w:rPr>
          <w:rFonts w:ascii="Century Schoolbook" w:hAnsi="Century Schoolbook"/>
          <w:sz w:val="26"/>
          <w:szCs w:val="26"/>
        </w:rPr>
        <w:t>Puchalt</w:t>
      </w:r>
      <w:proofErr w:type="spellEnd"/>
      <w:r>
        <w:rPr>
          <w:rFonts w:ascii="Century Schoolbook" w:hAnsi="Century Schoolbook"/>
          <w:sz w:val="26"/>
          <w:szCs w:val="26"/>
        </w:rPr>
        <w:t xml:space="preserve">; Law Offices of Jacob </w:t>
      </w:r>
      <w:proofErr w:type="spellStart"/>
      <w:r>
        <w:rPr>
          <w:rFonts w:ascii="Century Schoolbook" w:hAnsi="Century Schoolbook"/>
          <w:sz w:val="26"/>
          <w:szCs w:val="26"/>
        </w:rPr>
        <w:t>Emrani</w:t>
      </w:r>
      <w:proofErr w:type="spellEnd"/>
      <w:r w:rsidR="003D79BD">
        <w:rPr>
          <w:rFonts w:ascii="Century Schoolbook" w:hAnsi="Century Schoolbook"/>
          <w:sz w:val="26"/>
          <w:szCs w:val="26"/>
        </w:rPr>
        <w:t>,</w:t>
      </w:r>
      <w:r>
        <w:rPr>
          <w:rFonts w:ascii="Century Schoolbook" w:hAnsi="Century Schoolbook"/>
          <w:sz w:val="26"/>
          <w:szCs w:val="26"/>
        </w:rPr>
        <w:t xml:space="preserve"> Jacob </w:t>
      </w:r>
      <w:proofErr w:type="spellStart"/>
      <w:r>
        <w:rPr>
          <w:rFonts w:ascii="Century Schoolbook" w:hAnsi="Century Schoolbook"/>
          <w:sz w:val="26"/>
          <w:szCs w:val="26"/>
        </w:rPr>
        <w:t>Emrani</w:t>
      </w:r>
      <w:proofErr w:type="spellEnd"/>
      <w:r>
        <w:rPr>
          <w:rFonts w:ascii="Century Schoolbook" w:hAnsi="Century Schoolbook"/>
          <w:sz w:val="26"/>
          <w:szCs w:val="26"/>
        </w:rPr>
        <w:t xml:space="preserve">; </w:t>
      </w:r>
      <w:proofErr w:type="spellStart"/>
      <w:r>
        <w:rPr>
          <w:rFonts w:ascii="Century Schoolbook" w:hAnsi="Century Schoolbook"/>
          <w:sz w:val="26"/>
          <w:szCs w:val="26"/>
        </w:rPr>
        <w:t>Esner</w:t>
      </w:r>
      <w:proofErr w:type="spellEnd"/>
      <w:r w:rsidR="003D79BD">
        <w:rPr>
          <w:rFonts w:ascii="Century Schoolbook" w:hAnsi="Century Schoolbook"/>
          <w:sz w:val="26"/>
          <w:szCs w:val="26"/>
        </w:rPr>
        <w:t>,</w:t>
      </w:r>
      <w:r>
        <w:rPr>
          <w:rFonts w:ascii="Century Schoolbook" w:hAnsi="Century Schoolbook"/>
          <w:sz w:val="26"/>
          <w:szCs w:val="26"/>
        </w:rPr>
        <w:t xml:space="preserve"> Chang</w:t>
      </w:r>
      <w:r w:rsidR="003D79BD">
        <w:rPr>
          <w:rFonts w:ascii="Century Schoolbook" w:hAnsi="Century Schoolbook"/>
          <w:sz w:val="26"/>
          <w:szCs w:val="26"/>
        </w:rPr>
        <w:t>,</w:t>
      </w:r>
      <w:r>
        <w:rPr>
          <w:rFonts w:ascii="Century Schoolbook" w:hAnsi="Century Schoolbook"/>
          <w:sz w:val="26"/>
          <w:szCs w:val="26"/>
        </w:rPr>
        <w:t xml:space="preserve"> Boyer &amp; Murphy, Holly N. Boyer and Shea S. Murphy</w:t>
      </w:r>
      <w:r w:rsidR="00723076" w:rsidRPr="005C529D">
        <w:rPr>
          <w:rFonts w:ascii="Century Schoolbook" w:hAnsi="Century Schoolbook"/>
          <w:sz w:val="26"/>
          <w:szCs w:val="26"/>
        </w:rPr>
        <w:t xml:space="preserve"> </w:t>
      </w:r>
      <w:r w:rsidRPr="005C529D">
        <w:rPr>
          <w:rFonts w:ascii="Century Schoolbook" w:hAnsi="Century Schoolbook"/>
          <w:sz w:val="26"/>
          <w:szCs w:val="26"/>
        </w:rPr>
        <w:t xml:space="preserve">for </w:t>
      </w:r>
      <w:r w:rsidR="001479C7" w:rsidRPr="005C529D">
        <w:rPr>
          <w:rFonts w:ascii="Century Schoolbook" w:hAnsi="Century Schoolbook"/>
          <w:sz w:val="26"/>
          <w:szCs w:val="26"/>
        </w:rPr>
        <w:t>Plaintiff</w:t>
      </w:r>
      <w:r w:rsidRPr="005C529D">
        <w:rPr>
          <w:rFonts w:ascii="Century Schoolbook" w:hAnsi="Century Schoolbook"/>
          <w:sz w:val="26"/>
          <w:szCs w:val="26"/>
        </w:rPr>
        <w:t xml:space="preserve"> and Appellant.</w:t>
      </w:r>
    </w:p>
    <w:p w14:paraId="52984056" w14:textId="47A70285" w:rsidR="004754AF" w:rsidRPr="005C529D" w:rsidRDefault="004754AF" w:rsidP="00E042BC">
      <w:pPr>
        <w:spacing w:line="288" w:lineRule="auto"/>
        <w:ind w:firstLine="720"/>
        <w:rPr>
          <w:rFonts w:ascii="Century Schoolbook" w:hAnsi="Century Schoolbook"/>
          <w:sz w:val="26"/>
          <w:szCs w:val="26"/>
        </w:rPr>
      </w:pPr>
    </w:p>
    <w:p w14:paraId="6D188F31" w14:textId="23722E6E" w:rsidR="004754AF" w:rsidRDefault="009A7CC9" w:rsidP="00E042BC">
      <w:pPr>
        <w:spacing w:line="288" w:lineRule="auto"/>
        <w:ind w:firstLine="720"/>
        <w:rPr>
          <w:rFonts w:ascii="Century Schoolbook" w:hAnsi="Century Schoolbook"/>
          <w:sz w:val="26"/>
          <w:szCs w:val="26"/>
        </w:rPr>
      </w:pPr>
      <w:r>
        <w:rPr>
          <w:rFonts w:ascii="Century Schoolbook" w:hAnsi="Century Schoolbook"/>
          <w:sz w:val="26"/>
          <w:szCs w:val="26"/>
        </w:rPr>
        <w:t xml:space="preserve">Horvitz &amp; Levy, Andrea M. Gauthier, Scott P. </w:t>
      </w:r>
      <w:proofErr w:type="spellStart"/>
      <w:r>
        <w:rPr>
          <w:rFonts w:ascii="Century Schoolbook" w:hAnsi="Century Schoolbook"/>
          <w:sz w:val="26"/>
          <w:szCs w:val="26"/>
        </w:rPr>
        <w:t>Dixler</w:t>
      </w:r>
      <w:proofErr w:type="spellEnd"/>
      <w:r>
        <w:rPr>
          <w:rFonts w:ascii="Century Schoolbook" w:hAnsi="Century Schoolbook"/>
          <w:sz w:val="26"/>
          <w:szCs w:val="26"/>
        </w:rPr>
        <w:t xml:space="preserve">; Beach Law </w:t>
      </w:r>
      <w:r>
        <w:rPr>
          <w:rFonts w:ascii="Century Schoolbook" w:hAnsi="Century Schoolbook"/>
          <w:sz w:val="26"/>
          <w:szCs w:val="26"/>
        </w:rPr>
        <w:t>Group, Thom</w:t>
      </w:r>
      <w:r w:rsidR="003D79BD">
        <w:rPr>
          <w:rFonts w:ascii="Century Schoolbook" w:hAnsi="Century Schoolbook"/>
          <w:sz w:val="26"/>
          <w:szCs w:val="26"/>
        </w:rPr>
        <w:t>as</w:t>
      </w:r>
      <w:r>
        <w:rPr>
          <w:rFonts w:ascii="Century Schoolbook" w:hAnsi="Century Schoolbook"/>
          <w:sz w:val="26"/>
          <w:szCs w:val="26"/>
        </w:rPr>
        <w:t xml:space="preserve"> E. Beach, Darryl C. </w:t>
      </w:r>
      <w:proofErr w:type="spellStart"/>
      <w:r>
        <w:rPr>
          <w:rFonts w:ascii="Century Schoolbook" w:hAnsi="Century Schoolbook"/>
          <w:sz w:val="26"/>
          <w:szCs w:val="26"/>
        </w:rPr>
        <w:t>Hottinger</w:t>
      </w:r>
      <w:proofErr w:type="spellEnd"/>
      <w:r>
        <w:rPr>
          <w:rFonts w:ascii="Century Schoolbook" w:hAnsi="Century Schoolbook"/>
          <w:sz w:val="26"/>
          <w:szCs w:val="26"/>
        </w:rPr>
        <w:t xml:space="preserve"> and </w:t>
      </w:r>
      <w:proofErr w:type="spellStart"/>
      <w:r>
        <w:rPr>
          <w:rFonts w:ascii="Century Schoolbook" w:hAnsi="Century Schoolbook"/>
          <w:sz w:val="26"/>
          <w:szCs w:val="26"/>
        </w:rPr>
        <w:t>Eligio</w:t>
      </w:r>
      <w:proofErr w:type="spellEnd"/>
      <w:r>
        <w:rPr>
          <w:rFonts w:ascii="Century Schoolbook" w:hAnsi="Century Schoolbook"/>
          <w:sz w:val="26"/>
          <w:szCs w:val="26"/>
        </w:rPr>
        <w:t xml:space="preserve"> J. </w:t>
      </w:r>
      <w:proofErr w:type="spellStart"/>
      <w:r>
        <w:rPr>
          <w:rFonts w:ascii="Century Schoolbook" w:hAnsi="Century Schoolbook"/>
          <w:sz w:val="26"/>
          <w:szCs w:val="26"/>
        </w:rPr>
        <w:t>Luevanos</w:t>
      </w:r>
      <w:proofErr w:type="spellEnd"/>
      <w:r w:rsidR="00004CFC" w:rsidRPr="005C529D">
        <w:rPr>
          <w:rFonts w:ascii="Century Schoolbook" w:hAnsi="Century Schoolbook"/>
          <w:sz w:val="26"/>
          <w:szCs w:val="26"/>
        </w:rPr>
        <w:t xml:space="preserve"> </w:t>
      </w:r>
      <w:r w:rsidRPr="005C529D">
        <w:rPr>
          <w:rFonts w:ascii="Century Schoolbook" w:hAnsi="Century Schoolbook"/>
          <w:sz w:val="26"/>
          <w:szCs w:val="26"/>
        </w:rPr>
        <w:t>for</w:t>
      </w:r>
      <w:r>
        <w:rPr>
          <w:rFonts w:ascii="Century Schoolbook" w:hAnsi="Century Schoolbook"/>
          <w:sz w:val="26"/>
          <w:szCs w:val="26"/>
        </w:rPr>
        <w:t xml:space="preserve"> Defendant and Respondent.</w:t>
      </w:r>
    </w:p>
    <w:p w14:paraId="4C16BE05" w14:textId="3AEB98EE" w:rsidR="009A7218" w:rsidRPr="009A7218" w:rsidRDefault="009A7218" w:rsidP="00E042BC">
      <w:pPr>
        <w:spacing w:line="288" w:lineRule="auto"/>
        <w:rPr>
          <w:rFonts w:ascii="Century Schoolbook" w:hAnsi="Century Schoolbook"/>
          <w:sz w:val="26"/>
          <w:szCs w:val="26"/>
        </w:rPr>
      </w:pPr>
    </w:p>
    <w:p w14:paraId="4B1ED400" w14:textId="00F974FD" w:rsidR="009A7218" w:rsidRPr="00E92B8E" w:rsidRDefault="009A7CC9" w:rsidP="00E042BC">
      <w:pPr>
        <w:spacing w:line="288" w:lineRule="auto"/>
        <w:jc w:val="center"/>
        <w:rPr>
          <w:rFonts w:ascii="Century Schoolbook" w:hAnsi="Century Schoolbook"/>
          <w:sz w:val="26"/>
          <w:szCs w:val="26"/>
        </w:rPr>
      </w:pPr>
      <w:r w:rsidRPr="009A7218">
        <w:rPr>
          <w:rFonts w:ascii="Century Schoolbook" w:hAnsi="Century Schoolbook"/>
          <w:sz w:val="26"/>
          <w:szCs w:val="26"/>
        </w:rPr>
        <w:t>* * * * * *</w:t>
      </w:r>
    </w:p>
    <w:p w14:paraId="5BEB7E5F" w14:textId="3C8D181A" w:rsidR="00C46631" w:rsidRPr="000D43E9" w:rsidRDefault="009A7CC9" w:rsidP="000D43E9">
      <w:pPr>
        <w:spacing w:line="288" w:lineRule="auto"/>
        <w:ind w:firstLine="720"/>
        <w:rPr>
          <w:rFonts w:ascii="Century Schoolbook" w:hAnsi="Century Schoolbook"/>
          <w:sz w:val="26"/>
          <w:szCs w:val="26"/>
        </w:rPr>
      </w:pPr>
      <w:bookmarkStart w:id="0" w:name="_Hlk122494658"/>
      <w:r w:rsidRPr="000D43E9">
        <w:rPr>
          <w:rFonts w:ascii="Century Schoolbook" w:hAnsi="Century Schoolbook"/>
          <w:sz w:val="26"/>
          <w:szCs w:val="26"/>
        </w:rPr>
        <w:t xml:space="preserve">Through the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Developmental Disabilities Services Act (</w:t>
      </w:r>
      <w:r w:rsidR="00800E94">
        <w:rPr>
          <w:rFonts w:ascii="Century Schoolbook" w:hAnsi="Century Schoolbook"/>
          <w:sz w:val="26"/>
          <w:szCs w:val="26"/>
        </w:rPr>
        <w:t>t</w:t>
      </w:r>
      <w:r w:rsidRPr="000D43E9">
        <w:rPr>
          <w:rFonts w:ascii="Century Schoolbook" w:hAnsi="Century Schoolbook"/>
          <w:sz w:val="26"/>
          <w:szCs w:val="26"/>
        </w:rPr>
        <w:t xml:space="preserve">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Act or the Act) (</w:t>
      </w:r>
      <w:proofErr w:type="spellStart"/>
      <w:r w:rsidRPr="000D43E9">
        <w:rPr>
          <w:rFonts w:ascii="Century Schoolbook" w:hAnsi="Century Schoolbook"/>
          <w:sz w:val="26"/>
          <w:szCs w:val="26"/>
        </w:rPr>
        <w:t>Welf</w:t>
      </w:r>
      <w:proofErr w:type="spellEnd"/>
      <w:r w:rsidRPr="000D43E9">
        <w:rPr>
          <w:rFonts w:ascii="Century Schoolbook" w:hAnsi="Century Schoolbook"/>
          <w:sz w:val="26"/>
          <w:szCs w:val="26"/>
        </w:rPr>
        <w:t>. &amp; Inst. Code, § 4500 et seq.),</w:t>
      </w:r>
      <w:r>
        <w:rPr>
          <w:rStyle w:val="FootnoteReference"/>
          <w:rFonts w:ascii="Century Schoolbook" w:hAnsi="Century Schoolbook"/>
          <w:b/>
          <w:bCs/>
          <w:szCs w:val="26"/>
        </w:rPr>
        <w:footnoteReference w:id="1"/>
      </w:r>
      <w:r w:rsidRPr="000D43E9">
        <w:rPr>
          <w:rFonts w:ascii="Century Schoolbook" w:hAnsi="Century Schoolbook"/>
          <w:sz w:val="26"/>
          <w:szCs w:val="26"/>
        </w:rPr>
        <w:t xml:space="preserve"> the State of California has undertaken the duty to provide developmentally disabled persons with appropriately tailored services and support.  The Act relies upon a network of private, nonprofit entit</w:t>
      </w:r>
      <w:r w:rsidR="00A64C41">
        <w:rPr>
          <w:rFonts w:ascii="Century Schoolbook" w:hAnsi="Century Schoolbook"/>
          <w:sz w:val="26"/>
          <w:szCs w:val="26"/>
        </w:rPr>
        <w:t>ies</w:t>
      </w:r>
      <w:r w:rsidRPr="000D43E9">
        <w:rPr>
          <w:rFonts w:ascii="Century Schoolbook" w:hAnsi="Century Schoolbook"/>
          <w:sz w:val="26"/>
          <w:szCs w:val="26"/>
        </w:rPr>
        <w:t xml:space="preserve"> called “regional centers” (§ 4620), whose job it is</w:t>
      </w:r>
      <w:r w:rsidRPr="000D43E9">
        <w:rPr>
          <w:rFonts w:ascii="Century Schoolbook" w:hAnsi="Century Schoolbook"/>
          <w:sz w:val="26"/>
          <w:szCs w:val="26"/>
        </w:rPr>
        <w:t xml:space="preserve">—not to </w:t>
      </w:r>
      <w:r w:rsidRPr="000D43E9">
        <w:rPr>
          <w:rFonts w:ascii="Century Schoolbook" w:hAnsi="Century Schoolbook"/>
          <w:i/>
          <w:iCs/>
          <w:sz w:val="26"/>
          <w:szCs w:val="26"/>
        </w:rPr>
        <w:t>provide</w:t>
      </w:r>
      <w:r w:rsidRPr="000D43E9">
        <w:rPr>
          <w:rFonts w:ascii="Century Schoolbook" w:hAnsi="Century Schoolbook"/>
          <w:sz w:val="26"/>
          <w:szCs w:val="26"/>
        </w:rPr>
        <w:t xml:space="preserve"> the services and support—but instead to assess which services and support each developmentally disabled person (whom the Act calls a </w:t>
      </w:r>
      <w:r w:rsidR="00A21C99">
        <w:rPr>
          <w:rFonts w:ascii="Century Schoolbook" w:hAnsi="Century Schoolbook"/>
          <w:sz w:val="26"/>
          <w:szCs w:val="26"/>
        </w:rPr>
        <w:t>“</w:t>
      </w:r>
      <w:r w:rsidRPr="000D43E9">
        <w:rPr>
          <w:rFonts w:ascii="Century Schoolbook" w:hAnsi="Century Schoolbook"/>
          <w:sz w:val="26"/>
          <w:szCs w:val="26"/>
        </w:rPr>
        <w:t xml:space="preserve">consumer”) needs, to contract with direct service providers (whom the Act calls “vendors”) to </w:t>
      </w:r>
      <w:r w:rsidRPr="000D43E9">
        <w:rPr>
          <w:rFonts w:ascii="Century Schoolbook" w:hAnsi="Century Schoolbook"/>
          <w:sz w:val="26"/>
          <w:szCs w:val="26"/>
        </w:rPr>
        <w:t>provide those services and support, and to thereafter engage in “limited monitoring” of those contracts (§§ 4642, 4643, 4640.6, sub</w:t>
      </w:r>
      <w:r w:rsidR="00BD012D">
        <w:rPr>
          <w:rFonts w:ascii="Century Schoolbook" w:hAnsi="Century Schoolbook"/>
          <w:sz w:val="26"/>
          <w:szCs w:val="26"/>
        </w:rPr>
        <w:t>d</w:t>
      </w:r>
      <w:r w:rsidRPr="000D43E9">
        <w:rPr>
          <w:rFonts w:ascii="Century Schoolbook" w:hAnsi="Century Schoolbook"/>
          <w:sz w:val="26"/>
          <w:szCs w:val="26"/>
        </w:rPr>
        <w:t>. (a), 4647, 4648, 4648.1, 4742, 474</w:t>
      </w:r>
      <w:r w:rsidR="004E5A64">
        <w:rPr>
          <w:rFonts w:ascii="Century Schoolbook" w:hAnsi="Century Schoolbook"/>
          <w:sz w:val="26"/>
          <w:szCs w:val="26"/>
        </w:rPr>
        <w:t>3</w:t>
      </w:r>
      <w:r w:rsidRPr="000D43E9">
        <w:rPr>
          <w:rFonts w:ascii="Century Schoolbook" w:hAnsi="Century Schoolbook"/>
          <w:sz w:val="26"/>
          <w:szCs w:val="26"/>
        </w:rPr>
        <w:t xml:space="preserve">; </w:t>
      </w:r>
      <w:proofErr w:type="spellStart"/>
      <w:r w:rsidRPr="000D43E9">
        <w:rPr>
          <w:rFonts w:ascii="Century Schoolbook" w:hAnsi="Century Schoolbook"/>
          <w:i/>
          <w:iCs/>
          <w:sz w:val="26"/>
          <w:szCs w:val="26"/>
        </w:rPr>
        <w:t>Morohoshi</w:t>
      </w:r>
      <w:proofErr w:type="spellEnd"/>
      <w:r w:rsidRPr="000D43E9">
        <w:rPr>
          <w:rFonts w:ascii="Century Schoolbook" w:hAnsi="Century Schoolbook"/>
          <w:i/>
          <w:iCs/>
          <w:sz w:val="26"/>
          <w:szCs w:val="26"/>
        </w:rPr>
        <w:t xml:space="preserve"> v. Pacific Home</w:t>
      </w:r>
      <w:r w:rsidRPr="000D43E9">
        <w:rPr>
          <w:rFonts w:ascii="Century Schoolbook" w:hAnsi="Century Schoolbook"/>
          <w:sz w:val="26"/>
          <w:szCs w:val="26"/>
        </w:rPr>
        <w:t xml:space="preserve"> (2004) 34 Cal.4th 482, 490 (</w:t>
      </w:r>
      <w:proofErr w:type="spellStart"/>
      <w:r w:rsidRPr="000D43E9">
        <w:rPr>
          <w:rFonts w:ascii="Century Schoolbook" w:hAnsi="Century Schoolbook"/>
          <w:i/>
          <w:iCs/>
          <w:sz w:val="26"/>
          <w:szCs w:val="26"/>
        </w:rPr>
        <w:t>Morohoshi</w:t>
      </w:r>
      <w:proofErr w:type="spellEnd"/>
      <w:r w:rsidRPr="000D43E9">
        <w:rPr>
          <w:rFonts w:ascii="Century Schoolbook" w:hAnsi="Century Schoolbook"/>
          <w:sz w:val="26"/>
          <w:szCs w:val="26"/>
        </w:rPr>
        <w:t>)).  In this case, a f</w:t>
      </w:r>
      <w:r w:rsidRPr="000D43E9">
        <w:rPr>
          <w:rFonts w:ascii="Century Schoolbook" w:hAnsi="Century Schoolbook"/>
          <w:sz w:val="26"/>
          <w:szCs w:val="26"/>
        </w:rPr>
        <w:t>emale consumer was raped by the employee of a transportation vendor while being transported to a</w:t>
      </w:r>
      <w:r w:rsidR="004B652D">
        <w:rPr>
          <w:rFonts w:ascii="Century Schoolbook" w:hAnsi="Century Schoolbook"/>
          <w:sz w:val="26"/>
          <w:szCs w:val="26"/>
        </w:rPr>
        <w:t>n</w:t>
      </w:r>
      <w:r w:rsidRPr="000D43E9">
        <w:rPr>
          <w:rFonts w:ascii="Century Schoolbook" w:hAnsi="Century Schoolbook"/>
          <w:sz w:val="26"/>
          <w:szCs w:val="26"/>
        </w:rPr>
        <w:t xml:space="preserve"> </w:t>
      </w:r>
      <w:r w:rsidR="00FB39EC">
        <w:rPr>
          <w:rFonts w:ascii="Century Schoolbook" w:hAnsi="Century Schoolbook"/>
          <w:sz w:val="26"/>
          <w:szCs w:val="26"/>
        </w:rPr>
        <w:t>education</w:t>
      </w:r>
      <w:r w:rsidRPr="000D43E9">
        <w:rPr>
          <w:rFonts w:ascii="Century Schoolbook" w:hAnsi="Century Schoolbook"/>
          <w:sz w:val="26"/>
          <w:szCs w:val="26"/>
        </w:rPr>
        <w:t xml:space="preserve"> program.  The consumer sued the employee, the vendor, and the regional center.  Her lawsuit presents the following question:  Does a </w:t>
      </w:r>
      <w:r w:rsidRPr="000D43E9">
        <w:rPr>
          <w:rFonts w:ascii="Century Schoolbook" w:hAnsi="Century Schoolbook"/>
          <w:i/>
          <w:iCs/>
          <w:sz w:val="26"/>
          <w:szCs w:val="26"/>
        </w:rPr>
        <w:t>regional center</w:t>
      </w:r>
      <w:r w:rsidRPr="000D43E9">
        <w:rPr>
          <w:rFonts w:ascii="Century Schoolbook" w:hAnsi="Century Schoolbook"/>
          <w:sz w:val="26"/>
          <w:szCs w:val="26"/>
        </w:rPr>
        <w:t xml:space="preserve"> have a duty to protect a consumer against sexual assault by a vendor’s employees premised on the center’s failure to sufficiently monitor the vendor and its employees?  We conclude that the answer is “no” except </w:t>
      </w:r>
      <w:r w:rsidRPr="000D43E9">
        <w:rPr>
          <w:rFonts w:ascii="Century Schoolbook" w:hAnsi="Century Schoolbook"/>
          <w:sz w:val="26"/>
          <w:szCs w:val="26"/>
        </w:rPr>
        <w:lastRenderedPageBreak/>
        <w:t>when a regional center has actual knowledge</w:t>
      </w:r>
      <w:r w:rsidRPr="000D43E9">
        <w:rPr>
          <w:rFonts w:ascii="Century Schoolbook" w:hAnsi="Century Schoolbook"/>
          <w:sz w:val="26"/>
          <w:szCs w:val="26"/>
        </w:rPr>
        <w:t xml:space="preserve"> of the vendor employee’s propensity to engage in such conduct.  Because it is undisputed </w:t>
      </w:r>
      <w:r w:rsidR="00666A28">
        <w:rPr>
          <w:rFonts w:ascii="Century Schoolbook" w:hAnsi="Century Schoolbook"/>
          <w:sz w:val="26"/>
          <w:szCs w:val="26"/>
        </w:rPr>
        <w:t xml:space="preserve">here </w:t>
      </w:r>
      <w:r w:rsidRPr="000D43E9">
        <w:rPr>
          <w:rFonts w:ascii="Century Schoolbook" w:hAnsi="Century Schoolbook"/>
          <w:sz w:val="26"/>
          <w:szCs w:val="26"/>
        </w:rPr>
        <w:t>that the regional center had no such knowledge, the duty to protect was not triggered in this case</w:t>
      </w:r>
      <w:r w:rsidR="00465088">
        <w:rPr>
          <w:rFonts w:ascii="Century Schoolbook" w:hAnsi="Century Schoolbook"/>
          <w:sz w:val="26"/>
          <w:szCs w:val="26"/>
        </w:rPr>
        <w:t>,</w:t>
      </w:r>
      <w:r w:rsidRPr="000D43E9">
        <w:rPr>
          <w:rFonts w:ascii="Century Schoolbook" w:hAnsi="Century Schoolbook"/>
          <w:sz w:val="26"/>
          <w:szCs w:val="26"/>
        </w:rPr>
        <w:t xml:space="preserve"> and we accordingly affirm the trial court’s grant of summary </w:t>
      </w:r>
      <w:r w:rsidRPr="000D43E9">
        <w:rPr>
          <w:rFonts w:ascii="Century Schoolbook" w:hAnsi="Century Schoolbook"/>
          <w:sz w:val="26"/>
          <w:szCs w:val="26"/>
        </w:rPr>
        <w:t xml:space="preserve">judgment </w:t>
      </w:r>
      <w:r w:rsidR="00666A28">
        <w:rPr>
          <w:rFonts w:ascii="Century Schoolbook" w:hAnsi="Century Schoolbook"/>
          <w:sz w:val="26"/>
          <w:szCs w:val="26"/>
        </w:rPr>
        <w:t>for</w:t>
      </w:r>
      <w:r w:rsidRPr="000D43E9">
        <w:rPr>
          <w:rFonts w:ascii="Century Schoolbook" w:hAnsi="Century Schoolbook"/>
          <w:sz w:val="26"/>
          <w:szCs w:val="26"/>
        </w:rPr>
        <w:t xml:space="preserve"> the regional center. </w:t>
      </w:r>
    </w:p>
    <w:p w14:paraId="745BF620" w14:textId="77777777" w:rsidR="00C46631" w:rsidRPr="000D43E9" w:rsidRDefault="009A7CC9" w:rsidP="000D43E9">
      <w:pPr>
        <w:spacing w:line="288" w:lineRule="auto"/>
        <w:jc w:val="center"/>
        <w:rPr>
          <w:rFonts w:ascii="Century Schoolbook" w:hAnsi="Century Schoolbook"/>
          <w:b/>
          <w:bCs/>
          <w:sz w:val="26"/>
          <w:szCs w:val="26"/>
        </w:rPr>
      </w:pPr>
      <w:r w:rsidRPr="000D43E9">
        <w:rPr>
          <w:rFonts w:ascii="Century Schoolbook" w:hAnsi="Century Schoolbook"/>
          <w:b/>
          <w:bCs/>
          <w:sz w:val="26"/>
          <w:szCs w:val="26"/>
        </w:rPr>
        <w:t>FACTS AND PROCEDURAL BACKGROUND</w:t>
      </w:r>
    </w:p>
    <w:p w14:paraId="7BED4D15" w14:textId="0CE4E4A4" w:rsidR="002F4B2B" w:rsidRPr="000D43E9" w:rsidRDefault="009A7CC9" w:rsidP="000D43E9">
      <w:pPr>
        <w:spacing w:line="288" w:lineRule="auto"/>
        <w:rPr>
          <w:rFonts w:ascii="Century Schoolbook" w:hAnsi="Century Schoolbook"/>
          <w:b/>
          <w:bCs/>
          <w:sz w:val="26"/>
          <w:szCs w:val="26"/>
        </w:rPr>
      </w:pPr>
      <w:r w:rsidRPr="000D43E9">
        <w:rPr>
          <w:rFonts w:ascii="Century Schoolbook" w:hAnsi="Century Schoolbook"/>
          <w:b/>
          <w:bCs/>
          <w:sz w:val="26"/>
          <w:szCs w:val="26"/>
        </w:rPr>
        <w:t>I.</w:t>
      </w:r>
      <w:r w:rsidRPr="000D43E9">
        <w:rPr>
          <w:rFonts w:ascii="Century Schoolbook" w:hAnsi="Century Schoolbook"/>
          <w:b/>
          <w:bCs/>
          <w:sz w:val="26"/>
          <w:szCs w:val="26"/>
        </w:rPr>
        <w:tab/>
        <w:t>Facts</w:t>
      </w:r>
    </w:p>
    <w:p w14:paraId="59B31204" w14:textId="3B7EEBF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A.</w:t>
      </w:r>
      <w:r w:rsidRPr="000D43E9">
        <w:rPr>
          <w:rFonts w:ascii="Century Schoolbook" w:hAnsi="Century Schoolbook"/>
          <w:b/>
          <w:bCs/>
          <w:sz w:val="26"/>
          <w:szCs w:val="26"/>
        </w:rPr>
        <w:tab/>
      </w:r>
      <w:r w:rsidRPr="000D43E9">
        <w:rPr>
          <w:rFonts w:ascii="Century Schoolbook" w:hAnsi="Century Schoolbook"/>
          <w:b/>
          <w:bCs/>
          <w:i/>
          <w:iCs/>
          <w:sz w:val="26"/>
          <w:szCs w:val="26"/>
        </w:rPr>
        <w:t xml:space="preserve">The </w:t>
      </w:r>
      <w:r w:rsidR="0046267A">
        <w:rPr>
          <w:rFonts w:ascii="Century Schoolbook" w:hAnsi="Century Schoolbook"/>
          <w:b/>
          <w:bCs/>
          <w:i/>
          <w:iCs/>
          <w:sz w:val="26"/>
          <w:szCs w:val="26"/>
        </w:rPr>
        <w:t>r</w:t>
      </w:r>
      <w:r w:rsidRPr="000D43E9">
        <w:rPr>
          <w:rFonts w:ascii="Century Schoolbook" w:hAnsi="Century Schoolbook"/>
          <w:b/>
          <w:bCs/>
          <w:i/>
          <w:iCs/>
          <w:sz w:val="26"/>
          <w:szCs w:val="26"/>
        </w:rPr>
        <w:t xml:space="preserve">egional </w:t>
      </w:r>
      <w:r w:rsidR="0046267A">
        <w:rPr>
          <w:rFonts w:ascii="Century Schoolbook" w:hAnsi="Century Schoolbook"/>
          <w:b/>
          <w:bCs/>
          <w:i/>
          <w:iCs/>
          <w:sz w:val="26"/>
          <w:szCs w:val="26"/>
        </w:rPr>
        <w:t>c</w:t>
      </w:r>
      <w:r w:rsidRPr="000D43E9">
        <w:rPr>
          <w:rFonts w:ascii="Century Schoolbook" w:hAnsi="Century Schoolbook"/>
          <w:b/>
          <w:bCs/>
          <w:i/>
          <w:iCs/>
          <w:sz w:val="26"/>
          <w:szCs w:val="26"/>
        </w:rPr>
        <w:t>enter and its transportation vendor</w:t>
      </w:r>
    </w:p>
    <w:p w14:paraId="45C7192A" w14:textId="3FB2EE1D"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Harbor Developmental Disabilities Foundation (the Regional Center) is a nonprofit entity that has functioned as a </w:t>
      </w:r>
      <w:r w:rsidRPr="000D43E9">
        <w:rPr>
          <w:rFonts w:ascii="Century Schoolbook" w:hAnsi="Century Schoolbook"/>
          <w:sz w:val="26"/>
          <w:szCs w:val="26"/>
        </w:rPr>
        <w:t>regional center under the Act for over three decades.</w:t>
      </w:r>
    </w:p>
    <w:p w14:paraId="021D47D0" w14:textId="57B23661"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Round Trip Transportation, Inc. (Round Trip)</w:t>
      </w:r>
      <w:r w:rsidR="00745DF7">
        <w:rPr>
          <w:rFonts w:ascii="Century Schoolbook" w:hAnsi="Century Schoolbook"/>
          <w:sz w:val="26"/>
          <w:szCs w:val="26"/>
        </w:rPr>
        <w:t>,</w:t>
      </w:r>
      <w:r w:rsidRPr="000D43E9">
        <w:rPr>
          <w:rFonts w:ascii="Century Schoolbook" w:hAnsi="Century Schoolbook"/>
          <w:sz w:val="26"/>
          <w:szCs w:val="26"/>
        </w:rPr>
        <w:t xml:space="preserve"> is a private company that transports developmentally disabled persons between their homes and the services they need.  In 2018, Round Trip’s four central o</w:t>
      </w:r>
      <w:r w:rsidRPr="000D43E9">
        <w:rPr>
          <w:rFonts w:ascii="Century Schoolbook" w:hAnsi="Century Schoolbook"/>
          <w:sz w:val="26"/>
          <w:szCs w:val="26"/>
        </w:rPr>
        <w:t>ffice employees oversaw 70 or 80 drivers who drove its fleet of GPS-tracked buses, each of which could accommodate 15 passengers and transported 700</w:t>
      </w:r>
      <w:r w:rsidR="002D6A9B">
        <w:rPr>
          <w:rFonts w:ascii="Century Schoolbook" w:hAnsi="Century Schoolbook"/>
          <w:sz w:val="26"/>
          <w:szCs w:val="26"/>
        </w:rPr>
        <w:t xml:space="preserve"> to </w:t>
      </w:r>
      <w:r w:rsidRPr="000D43E9">
        <w:rPr>
          <w:rFonts w:ascii="Century Schoolbook" w:hAnsi="Century Schoolbook"/>
          <w:sz w:val="26"/>
          <w:szCs w:val="26"/>
        </w:rPr>
        <w:t xml:space="preserve">800 </w:t>
      </w:r>
      <w:r w:rsidR="0046267A">
        <w:rPr>
          <w:rFonts w:ascii="Century Schoolbook" w:hAnsi="Century Schoolbook"/>
          <w:sz w:val="26"/>
          <w:szCs w:val="26"/>
        </w:rPr>
        <w:t>consumers of various regional centers</w:t>
      </w:r>
      <w:r w:rsidRPr="000D43E9">
        <w:rPr>
          <w:rFonts w:ascii="Century Schoolbook" w:hAnsi="Century Schoolbook"/>
          <w:sz w:val="26"/>
          <w:szCs w:val="26"/>
        </w:rPr>
        <w:t xml:space="preserve"> each day.  Round Trip hired Ezequiel Ocampo (Ocampo) as a driv</w:t>
      </w:r>
      <w:r w:rsidRPr="000D43E9">
        <w:rPr>
          <w:rFonts w:ascii="Century Schoolbook" w:hAnsi="Century Schoolbook"/>
          <w:sz w:val="26"/>
          <w:szCs w:val="26"/>
        </w:rPr>
        <w:t>er in 2013; Round Trip ran a criminal background check on Ocampo when he was initially hired and every year thereafter; all came back clean.</w:t>
      </w:r>
    </w:p>
    <w:p w14:paraId="3858AB17" w14:textId="37F54794"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In </w:t>
      </w:r>
      <w:r w:rsidR="00ED3D72">
        <w:rPr>
          <w:rFonts w:ascii="Century Schoolbook" w:hAnsi="Century Schoolbook"/>
          <w:sz w:val="26"/>
          <w:szCs w:val="26"/>
        </w:rPr>
        <w:t>July</w:t>
      </w:r>
      <w:r w:rsidR="00ED3D72" w:rsidRPr="000D43E9">
        <w:rPr>
          <w:rFonts w:ascii="Century Schoolbook" w:hAnsi="Century Schoolbook"/>
          <w:sz w:val="26"/>
          <w:szCs w:val="26"/>
        </w:rPr>
        <w:t xml:space="preserve"> </w:t>
      </w:r>
      <w:r w:rsidRPr="000D43E9">
        <w:rPr>
          <w:rFonts w:ascii="Century Schoolbook" w:hAnsi="Century Schoolbook"/>
          <w:sz w:val="26"/>
          <w:szCs w:val="26"/>
        </w:rPr>
        <w:t xml:space="preserve">2015, the Regional Center </w:t>
      </w:r>
      <w:proofErr w:type="gramStart"/>
      <w:r w:rsidRPr="000D43E9">
        <w:rPr>
          <w:rFonts w:ascii="Century Schoolbook" w:hAnsi="Century Schoolbook"/>
          <w:sz w:val="26"/>
          <w:szCs w:val="26"/>
        </w:rPr>
        <w:t>entered into</w:t>
      </w:r>
      <w:proofErr w:type="gramEnd"/>
      <w:r w:rsidRPr="000D43E9">
        <w:rPr>
          <w:rFonts w:ascii="Century Schoolbook" w:hAnsi="Century Schoolbook"/>
          <w:sz w:val="26"/>
          <w:szCs w:val="26"/>
        </w:rPr>
        <w:t xml:space="preserve"> a three-year contract with Round Trip to provide transportation ser</w:t>
      </w:r>
      <w:r w:rsidRPr="000D43E9">
        <w:rPr>
          <w:rFonts w:ascii="Century Schoolbook" w:hAnsi="Century Schoolbook"/>
          <w:sz w:val="26"/>
          <w:szCs w:val="26"/>
        </w:rPr>
        <w:t>vices for its consumers.  The contract designated Round Trip as an “independent contractor</w:t>
      </w:r>
      <w:r w:rsidR="00013EEA">
        <w:rPr>
          <w:rFonts w:ascii="Century Schoolbook" w:hAnsi="Century Schoolbook"/>
          <w:sz w:val="26"/>
          <w:szCs w:val="26"/>
        </w:rPr>
        <w:t>,</w:t>
      </w:r>
      <w:r w:rsidRPr="000D43E9">
        <w:rPr>
          <w:rFonts w:ascii="Century Schoolbook" w:hAnsi="Century Schoolbook"/>
          <w:sz w:val="26"/>
          <w:szCs w:val="26"/>
        </w:rPr>
        <w:t>” but obligated Round Trip to “employ, train and retain the required number of drivers, aid</w:t>
      </w:r>
      <w:r w:rsidR="00CA0B5B">
        <w:rPr>
          <w:rFonts w:ascii="Century Schoolbook" w:hAnsi="Century Schoolbook"/>
          <w:sz w:val="26"/>
          <w:szCs w:val="26"/>
        </w:rPr>
        <w:t>e</w:t>
      </w:r>
      <w:r w:rsidRPr="000D43E9">
        <w:rPr>
          <w:rFonts w:ascii="Century Schoolbook" w:hAnsi="Century Schoolbook"/>
          <w:sz w:val="26"/>
          <w:szCs w:val="26"/>
        </w:rPr>
        <w:t xml:space="preserve">s, dispatchers and administrative personnel necessary to provide the </w:t>
      </w:r>
      <w:r w:rsidR="00ED3D72">
        <w:rPr>
          <w:rFonts w:ascii="Century Schoolbook" w:hAnsi="Century Schoolbook"/>
          <w:sz w:val="26"/>
          <w:szCs w:val="26"/>
        </w:rPr>
        <w:t>required</w:t>
      </w:r>
      <w:r w:rsidR="00ED3D72" w:rsidRPr="000D43E9">
        <w:rPr>
          <w:rFonts w:ascii="Century Schoolbook" w:hAnsi="Century Schoolbook"/>
          <w:sz w:val="26"/>
          <w:szCs w:val="26"/>
        </w:rPr>
        <w:t xml:space="preserve"> </w:t>
      </w:r>
      <w:r w:rsidRPr="000D43E9">
        <w:rPr>
          <w:rFonts w:ascii="Century Schoolbook" w:hAnsi="Century Schoolbook"/>
          <w:sz w:val="26"/>
          <w:szCs w:val="26"/>
        </w:rPr>
        <w:t>levels of service</w:t>
      </w:r>
      <w:r w:rsidR="00013EEA">
        <w:rPr>
          <w:rFonts w:ascii="Century Schoolbook" w:hAnsi="Century Schoolbook"/>
          <w:sz w:val="26"/>
          <w:szCs w:val="26"/>
        </w:rPr>
        <w:t>,</w:t>
      </w:r>
      <w:r w:rsidRPr="000D43E9">
        <w:rPr>
          <w:rFonts w:ascii="Century Schoolbook" w:hAnsi="Century Schoolbook"/>
          <w:sz w:val="26"/>
          <w:szCs w:val="26"/>
        </w:rPr>
        <w:t xml:space="preserve">” to screen and conduct background </w:t>
      </w:r>
      <w:r w:rsidRPr="000D43E9">
        <w:rPr>
          <w:rFonts w:ascii="Century Schoolbook" w:hAnsi="Century Schoolbook"/>
          <w:sz w:val="26"/>
          <w:szCs w:val="26"/>
        </w:rPr>
        <w:lastRenderedPageBreak/>
        <w:t xml:space="preserve">checks on its employees, to conduct annual reviews </w:t>
      </w:r>
      <w:r w:rsidR="00ED3D72">
        <w:rPr>
          <w:rFonts w:ascii="Century Schoolbook" w:hAnsi="Century Schoolbook"/>
          <w:sz w:val="26"/>
          <w:szCs w:val="26"/>
        </w:rPr>
        <w:t xml:space="preserve">of </w:t>
      </w:r>
      <w:r w:rsidRPr="000D43E9">
        <w:rPr>
          <w:rFonts w:ascii="Century Schoolbook" w:hAnsi="Century Schoolbook"/>
          <w:sz w:val="26"/>
          <w:szCs w:val="26"/>
        </w:rPr>
        <w:t xml:space="preserve">its drivers’ performance, </w:t>
      </w:r>
      <w:r w:rsidR="00ED3D72">
        <w:rPr>
          <w:rFonts w:ascii="Century Schoolbook" w:hAnsi="Century Schoolbook"/>
          <w:sz w:val="26"/>
          <w:szCs w:val="26"/>
        </w:rPr>
        <w:t xml:space="preserve">and </w:t>
      </w:r>
      <w:r w:rsidRPr="000D43E9">
        <w:rPr>
          <w:rFonts w:ascii="Century Schoolbook" w:hAnsi="Century Schoolbook"/>
          <w:sz w:val="26"/>
          <w:szCs w:val="26"/>
        </w:rPr>
        <w:t xml:space="preserve">to provide a minimum of 40 hours of training to its employees, including on the topics of the “signs of abuse </w:t>
      </w:r>
      <w:r w:rsidR="009222A1">
        <w:rPr>
          <w:rFonts w:ascii="Century Schoolbook" w:hAnsi="Century Schoolbook"/>
          <w:sz w:val="26"/>
          <w:szCs w:val="26"/>
        </w:rPr>
        <w:t>and</w:t>
      </w:r>
      <w:r w:rsidRPr="000D43E9">
        <w:rPr>
          <w:rFonts w:ascii="Century Schoolbook" w:hAnsi="Century Schoolbook"/>
          <w:sz w:val="26"/>
          <w:szCs w:val="26"/>
        </w:rPr>
        <w:t xml:space="preserve"> neglect,” “the process for reporting [such abuse and neglect],” and “the consequences of failing to follow the law</w:t>
      </w:r>
      <w:r w:rsidR="00013EEA">
        <w:rPr>
          <w:rFonts w:ascii="Century Schoolbook" w:hAnsi="Century Schoolbook"/>
          <w:sz w:val="26"/>
          <w:szCs w:val="26"/>
        </w:rPr>
        <w:t>.</w:t>
      </w:r>
      <w:r w:rsidRPr="000D43E9">
        <w:rPr>
          <w:rFonts w:ascii="Century Schoolbook" w:hAnsi="Century Schoolbook"/>
          <w:sz w:val="26"/>
          <w:szCs w:val="26"/>
        </w:rPr>
        <w:t xml:space="preserve">”  Under the contract, the </w:t>
      </w:r>
      <w:r w:rsidRPr="000D43E9">
        <w:rPr>
          <w:rFonts w:ascii="Century Schoolbook" w:hAnsi="Century Schoolbook"/>
          <w:sz w:val="26"/>
          <w:szCs w:val="26"/>
        </w:rPr>
        <w:t>Regional Center reserved the right to monitor Round Trip’s “service delivery” on a “periodic basis” (by observing its buses and going on ride</w:t>
      </w:r>
      <w:r w:rsidR="00F8082B">
        <w:rPr>
          <w:rFonts w:ascii="Century Schoolbook" w:hAnsi="Century Schoolbook"/>
          <w:sz w:val="26"/>
          <w:szCs w:val="26"/>
        </w:rPr>
        <w:t>-</w:t>
      </w:r>
      <w:proofErr w:type="spellStart"/>
      <w:r w:rsidRPr="000D43E9">
        <w:rPr>
          <w:rFonts w:ascii="Century Schoolbook" w:hAnsi="Century Schoolbook"/>
          <w:sz w:val="26"/>
          <w:szCs w:val="26"/>
        </w:rPr>
        <w:t>alongs</w:t>
      </w:r>
      <w:proofErr w:type="spellEnd"/>
      <w:r w:rsidRPr="000D43E9">
        <w:rPr>
          <w:rFonts w:ascii="Century Schoolbook" w:hAnsi="Century Schoolbook"/>
          <w:sz w:val="26"/>
          <w:szCs w:val="26"/>
        </w:rPr>
        <w:t xml:space="preserve">) as well as the right to inspect the service logs and related records the contract obligated Round Trip to </w:t>
      </w:r>
      <w:r w:rsidRPr="000D43E9">
        <w:rPr>
          <w:rFonts w:ascii="Century Schoolbook" w:hAnsi="Century Schoolbook"/>
          <w:sz w:val="26"/>
          <w:szCs w:val="26"/>
        </w:rPr>
        <w:t>maintain.  The contract also specified that Round Trip was in default if any consumer was “subject[ed] to physical or psychological abuse” by any of its employees.  This contract adhered to the state regulations specifying the content of vendor contracts u</w:t>
      </w:r>
      <w:r w:rsidRPr="000D43E9">
        <w:rPr>
          <w:rFonts w:ascii="Century Schoolbook" w:hAnsi="Century Schoolbook"/>
          <w:sz w:val="26"/>
          <w:szCs w:val="26"/>
        </w:rPr>
        <w:t xml:space="preserve">nder the Act.  (Cal. Code Regs., </w:t>
      </w:r>
      <w:r w:rsidR="0054023E">
        <w:rPr>
          <w:rFonts w:ascii="Century Schoolbook" w:hAnsi="Century Schoolbook"/>
          <w:sz w:val="26"/>
          <w:szCs w:val="26"/>
        </w:rPr>
        <w:t xml:space="preserve">tit. 17, </w:t>
      </w:r>
      <w:r w:rsidRPr="000D43E9">
        <w:rPr>
          <w:rFonts w:ascii="Century Schoolbook" w:hAnsi="Century Schoolbook"/>
          <w:sz w:val="26"/>
          <w:szCs w:val="26"/>
        </w:rPr>
        <w:t>§ 58524</w:t>
      </w:r>
      <w:r w:rsidR="000C2D17">
        <w:rPr>
          <w:rFonts w:ascii="Century Schoolbook" w:hAnsi="Century Schoolbook"/>
          <w:sz w:val="26"/>
          <w:szCs w:val="26"/>
        </w:rPr>
        <w:t xml:space="preserve">, subd. </w:t>
      </w:r>
      <w:r w:rsidRPr="000D43E9">
        <w:rPr>
          <w:rFonts w:ascii="Century Schoolbook" w:hAnsi="Century Schoolbook"/>
          <w:sz w:val="26"/>
          <w:szCs w:val="26"/>
        </w:rPr>
        <w:t xml:space="preserve">(c).) </w:t>
      </w:r>
    </w:p>
    <w:p w14:paraId="3CA8517F" w14:textId="5BC6C5FE"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A Regional Center employee inspected Round Trip’s operations when Round Trip “first came on as a provider,” including going on a ride</w:t>
      </w:r>
      <w:r w:rsidR="00F8082B">
        <w:rPr>
          <w:rFonts w:ascii="Century Schoolbook" w:hAnsi="Century Schoolbook"/>
          <w:sz w:val="26"/>
          <w:szCs w:val="26"/>
        </w:rPr>
        <w:t>-</w:t>
      </w:r>
      <w:r w:rsidRPr="000D43E9">
        <w:rPr>
          <w:rFonts w:ascii="Century Schoolbook" w:hAnsi="Century Schoolbook"/>
          <w:sz w:val="26"/>
          <w:szCs w:val="26"/>
        </w:rPr>
        <w:t>along.  The Regional Center thereafter held trainings for</w:t>
      </w:r>
      <w:r w:rsidRPr="000D43E9">
        <w:rPr>
          <w:rFonts w:ascii="Century Schoolbook" w:hAnsi="Century Schoolbook"/>
          <w:sz w:val="26"/>
          <w:szCs w:val="26"/>
        </w:rPr>
        <w:t xml:space="preserve"> the employees of Round Trip (and other vendors) on “disability awareness” and how to report any incidents.  The Regional Center maintained monthly contact with Round </w:t>
      </w:r>
      <w:proofErr w:type="gramStart"/>
      <w:r w:rsidRPr="000D43E9">
        <w:rPr>
          <w:rFonts w:ascii="Century Schoolbook" w:hAnsi="Century Schoolbook"/>
          <w:sz w:val="26"/>
          <w:szCs w:val="26"/>
        </w:rPr>
        <w:t>Trip, but</w:t>
      </w:r>
      <w:proofErr w:type="gramEnd"/>
      <w:r w:rsidRPr="000D43E9">
        <w:rPr>
          <w:rFonts w:ascii="Century Schoolbook" w:hAnsi="Century Schoolbook"/>
          <w:sz w:val="26"/>
          <w:szCs w:val="26"/>
        </w:rPr>
        <w:t xml:space="preserve"> did not conduct any further in-person inspections.  Instead, the Regional Cente</w:t>
      </w:r>
      <w:r w:rsidRPr="000D43E9">
        <w:rPr>
          <w:rFonts w:ascii="Century Schoolbook" w:hAnsi="Century Schoolbook"/>
          <w:sz w:val="26"/>
          <w:szCs w:val="26"/>
        </w:rPr>
        <w:t xml:space="preserve">r’s monitoring was “reactive” insofar as it would respond to “complaints” from the consumers’ caregivers.  Between June 2015 and August 2018, the Regional Center received dozens of complaints regarding Round Trip:  Nearly all dealt with late pick-ups or </w:t>
      </w:r>
      <w:proofErr w:type="gramStart"/>
      <w:r w:rsidRPr="000D43E9">
        <w:rPr>
          <w:rFonts w:ascii="Century Schoolbook" w:hAnsi="Century Schoolbook"/>
          <w:sz w:val="26"/>
          <w:szCs w:val="26"/>
        </w:rPr>
        <w:t>dr</w:t>
      </w:r>
      <w:r w:rsidRPr="000D43E9">
        <w:rPr>
          <w:rFonts w:ascii="Century Schoolbook" w:hAnsi="Century Schoolbook"/>
          <w:sz w:val="26"/>
          <w:szCs w:val="26"/>
        </w:rPr>
        <w:t>op-offs</w:t>
      </w:r>
      <w:proofErr w:type="gramEnd"/>
      <w:r w:rsidRPr="000D43E9">
        <w:rPr>
          <w:rFonts w:ascii="Century Schoolbook" w:hAnsi="Century Schoolbook"/>
          <w:sz w:val="26"/>
          <w:szCs w:val="26"/>
        </w:rPr>
        <w:t xml:space="preserve"> or other </w:t>
      </w:r>
      <w:r w:rsidRPr="000D43E9">
        <w:rPr>
          <w:rFonts w:ascii="Century Schoolbook" w:hAnsi="Century Schoolbook"/>
          <w:sz w:val="26"/>
          <w:szCs w:val="26"/>
        </w:rPr>
        <w:lastRenderedPageBreak/>
        <w:t>issues related to the transportation itself; there were no complaints of inappropriate touching by Round Trip’s employees.</w:t>
      </w:r>
      <w:r>
        <w:rPr>
          <w:rStyle w:val="FootnoteReference"/>
          <w:rFonts w:ascii="Century Schoolbook" w:hAnsi="Century Schoolbook"/>
          <w:b/>
          <w:bCs/>
          <w:szCs w:val="26"/>
        </w:rPr>
        <w:footnoteReference w:id="2"/>
      </w:r>
    </w:p>
    <w:p w14:paraId="204B5233" w14:textId="73A679C3"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The Regional Center </w:t>
      </w:r>
      <w:proofErr w:type="gramStart"/>
      <w:r w:rsidRPr="000D43E9">
        <w:rPr>
          <w:rFonts w:ascii="Century Schoolbook" w:hAnsi="Century Schoolbook"/>
          <w:sz w:val="26"/>
          <w:szCs w:val="26"/>
        </w:rPr>
        <w:t>entered into</w:t>
      </w:r>
      <w:proofErr w:type="gramEnd"/>
      <w:r w:rsidRPr="000D43E9">
        <w:rPr>
          <w:rFonts w:ascii="Century Schoolbook" w:hAnsi="Century Schoolbook"/>
          <w:sz w:val="26"/>
          <w:szCs w:val="26"/>
        </w:rPr>
        <w:t xml:space="preserve"> a one-year extension of its contract with Round Trip in June 2018.</w:t>
      </w:r>
    </w:p>
    <w:p w14:paraId="049D38EF" w14:textId="7777777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B.</w:t>
      </w:r>
      <w:r w:rsidRPr="000D43E9">
        <w:rPr>
          <w:rFonts w:ascii="Century Schoolbook" w:hAnsi="Century Schoolbook"/>
          <w:b/>
          <w:bCs/>
          <w:sz w:val="26"/>
          <w:szCs w:val="26"/>
        </w:rPr>
        <w:tab/>
      </w:r>
      <w:r w:rsidRPr="000D43E9">
        <w:rPr>
          <w:rFonts w:ascii="Century Schoolbook" w:hAnsi="Century Schoolbook"/>
          <w:b/>
          <w:bCs/>
          <w:i/>
          <w:iCs/>
          <w:sz w:val="26"/>
          <w:szCs w:val="26"/>
        </w:rPr>
        <w:t>The consu</w:t>
      </w:r>
      <w:r w:rsidRPr="000D43E9">
        <w:rPr>
          <w:rFonts w:ascii="Century Schoolbook" w:hAnsi="Century Schoolbook"/>
          <w:b/>
          <w:bCs/>
          <w:i/>
          <w:iCs/>
          <w:sz w:val="26"/>
          <w:szCs w:val="26"/>
        </w:rPr>
        <w:t>mer</w:t>
      </w:r>
    </w:p>
    <w:p w14:paraId="1E9DEA77" w14:textId="0F0C4948"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r>
      <w:r w:rsidR="00756D02">
        <w:rPr>
          <w:rFonts w:ascii="Century Schoolbook" w:hAnsi="Century Schoolbook"/>
          <w:sz w:val="26"/>
          <w:szCs w:val="26"/>
        </w:rPr>
        <w:t xml:space="preserve">In 2018, </w:t>
      </w:r>
      <w:r w:rsidRPr="000D43E9">
        <w:rPr>
          <w:rFonts w:ascii="Century Schoolbook" w:hAnsi="Century Schoolbook"/>
          <w:sz w:val="26"/>
          <w:szCs w:val="26"/>
        </w:rPr>
        <w:t xml:space="preserve">A.L. was </w:t>
      </w:r>
      <w:r w:rsidR="00756D02">
        <w:rPr>
          <w:rFonts w:ascii="Century Schoolbook" w:hAnsi="Century Schoolbook"/>
          <w:sz w:val="26"/>
          <w:szCs w:val="26"/>
        </w:rPr>
        <w:t>an adult living with mental and physical disabilities she had since birth.</w:t>
      </w:r>
      <w:r w:rsidRPr="000D43E9">
        <w:rPr>
          <w:rFonts w:ascii="Century Schoolbook" w:hAnsi="Century Schoolbook"/>
          <w:sz w:val="26"/>
          <w:szCs w:val="26"/>
        </w:rPr>
        <w:t xml:space="preserve">  A.L. has been a consumer of the Regional Center since </w:t>
      </w:r>
      <w:r w:rsidR="00756D02">
        <w:rPr>
          <w:rFonts w:ascii="Century Schoolbook" w:hAnsi="Century Schoolbook"/>
          <w:sz w:val="26"/>
          <w:szCs w:val="26"/>
        </w:rPr>
        <w:t>she was an</w:t>
      </w:r>
      <w:r w:rsidR="00756D02" w:rsidRPr="000D43E9">
        <w:rPr>
          <w:rFonts w:ascii="Century Schoolbook" w:hAnsi="Century Schoolbook"/>
          <w:sz w:val="26"/>
          <w:szCs w:val="26"/>
        </w:rPr>
        <w:t xml:space="preserve"> </w:t>
      </w:r>
      <w:r w:rsidRPr="000D43E9">
        <w:rPr>
          <w:rFonts w:ascii="Century Schoolbook" w:hAnsi="Century Schoolbook"/>
          <w:sz w:val="26"/>
          <w:szCs w:val="26"/>
        </w:rPr>
        <w:t>infan</w:t>
      </w:r>
      <w:r w:rsidR="00756D02">
        <w:rPr>
          <w:rFonts w:ascii="Century Schoolbook" w:hAnsi="Century Schoolbook"/>
          <w:sz w:val="26"/>
          <w:szCs w:val="26"/>
        </w:rPr>
        <w:t>t</w:t>
      </w:r>
      <w:r w:rsidRPr="000D43E9">
        <w:rPr>
          <w:rFonts w:ascii="Century Schoolbook" w:hAnsi="Century Schoolbook"/>
          <w:sz w:val="26"/>
          <w:szCs w:val="26"/>
        </w:rPr>
        <w:t>.  In 2018, she was living with her mother but attending a</w:t>
      </w:r>
      <w:r w:rsidR="004B652D">
        <w:rPr>
          <w:rFonts w:ascii="Century Schoolbook" w:hAnsi="Century Schoolbook"/>
          <w:sz w:val="26"/>
          <w:szCs w:val="26"/>
        </w:rPr>
        <w:t>n educational day</w:t>
      </w:r>
      <w:r w:rsidRPr="000D43E9">
        <w:rPr>
          <w:rFonts w:ascii="Century Schoolbook" w:hAnsi="Century Schoolbook"/>
          <w:sz w:val="26"/>
          <w:szCs w:val="26"/>
        </w:rPr>
        <w:t xml:space="preserve"> program at Easter Seals every weekday; she was transported to and from the program by Round Trip.</w:t>
      </w:r>
    </w:p>
    <w:p w14:paraId="2B388F34" w14:textId="7777777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C.</w:t>
      </w:r>
      <w:r w:rsidRPr="000D43E9">
        <w:rPr>
          <w:rFonts w:ascii="Century Schoolbook" w:hAnsi="Century Schoolbook"/>
          <w:b/>
          <w:bCs/>
          <w:sz w:val="26"/>
          <w:szCs w:val="26"/>
        </w:rPr>
        <w:tab/>
      </w:r>
      <w:r w:rsidRPr="000D43E9">
        <w:rPr>
          <w:rFonts w:ascii="Century Schoolbook" w:hAnsi="Century Schoolbook"/>
          <w:b/>
          <w:bCs/>
          <w:i/>
          <w:iCs/>
          <w:sz w:val="26"/>
          <w:szCs w:val="26"/>
        </w:rPr>
        <w:t>The rape</w:t>
      </w:r>
    </w:p>
    <w:p w14:paraId="33DA8BAB" w14:textId="1DD03DFF"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 xml:space="preserve"> </w:t>
      </w:r>
      <w:r w:rsidRPr="000D43E9">
        <w:rPr>
          <w:rFonts w:ascii="Century Schoolbook" w:hAnsi="Century Schoolbook"/>
          <w:sz w:val="26"/>
          <w:szCs w:val="26"/>
        </w:rPr>
        <w:tab/>
        <w:t xml:space="preserve">In May or June 2018, Ocampo raped and impregnated A.L. while transporting her.  Ocampo pled no contest to the felony of raping an incompetent </w:t>
      </w:r>
      <w:r w:rsidRPr="000D43E9">
        <w:rPr>
          <w:rFonts w:ascii="Century Schoolbook" w:hAnsi="Century Schoolbook"/>
          <w:sz w:val="26"/>
          <w:szCs w:val="26"/>
        </w:rPr>
        <w:t>person (Pen. Code, § 261, subd. (a)(1)</w:t>
      </w:r>
      <w:proofErr w:type="gramStart"/>
      <w:r w:rsidRPr="000D43E9">
        <w:rPr>
          <w:rFonts w:ascii="Century Schoolbook" w:hAnsi="Century Schoolbook"/>
          <w:sz w:val="26"/>
          <w:szCs w:val="26"/>
        </w:rPr>
        <w:t>), and</w:t>
      </w:r>
      <w:proofErr w:type="gramEnd"/>
      <w:r w:rsidRPr="000D43E9">
        <w:rPr>
          <w:rFonts w:ascii="Century Schoolbook" w:hAnsi="Century Schoolbook"/>
          <w:sz w:val="26"/>
          <w:szCs w:val="26"/>
        </w:rPr>
        <w:t xml:space="preserve"> was sentenced to six years in state prison. </w:t>
      </w:r>
    </w:p>
    <w:p w14:paraId="622CE76D" w14:textId="235999D8"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It is undisputed that </w:t>
      </w:r>
      <w:r w:rsidR="00B05FFF">
        <w:rPr>
          <w:rFonts w:ascii="Century Schoolbook" w:hAnsi="Century Schoolbook"/>
          <w:sz w:val="26"/>
          <w:szCs w:val="26"/>
        </w:rPr>
        <w:t>the Regional Center</w:t>
      </w:r>
      <w:r w:rsidR="00B05FFF" w:rsidRPr="000D43E9">
        <w:rPr>
          <w:rFonts w:ascii="Century Schoolbook" w:hAnsi="Century Schoolbook"/>
          <w:sz w:val="26"/>
          <w:szCs w:val="26"/>
        </w:rPr>
        <w:t xml:space="preserve"> </w:t>
      </w:r>
      <w:r w:rsidRPr="000D43E9">
        <w:rPr>
          <w:rFonts w:ascii="Century Schoolbook" w:hAnsi="Century Schoolbook"/>
          <w:sz w:val="26"/>
          <w:szCs w:val="26"/>
        </w:rPr>
        <w:t>had no actual knowledge of Ocampo’s proclivities to engage in such conduct.  Following his conviction, Ocampo denied ever r</w:t>
      </w:r>
      <w:r w:rsidRPr="000D43E9">
        <w:rPr>
          <w:rFonts w:ascii="Century Schoolbook" w:hAnsi="Century Schoolbook"/>
          <w:sz w:val="26"/>
          <w:szCs w:val="26"/>
        </w:rPr>
        <w:t xml:space="preserve">eceiving formal </w:t>
      </w:r>
      <w:r w:rsidRPr="000D43E9">
        <w:rPr>
          <w:rFonts w:ascii="Century Schoolbook" w:hAnsi="Century Schoolbook"/>
          <w:sz w:val="26"/>
          <w:szCs w:val="26"/>
        </w:rPr>
        <w:lastRenderedPageBreak/>
        <w:t>training telling him not to engage in the sexual abuse of consumers, and denied understanding nearly anything in the written paperwork provided to him by Round Trip and anything taught at any training because he mostly understood only Spani</w:t>
      </w:r>
      <w:r w:rsidRPr="000D43E9">
        <w:rPr>
          <w:rFonts w:ascii="Century Schoolbook" w:hAnsi="Century Schoolbook"/>
          <w:sz w:val="26"/>
          <w:szCs w:val="26"/>
        </w:rPr>
        <w:t>sh, although Ocampo admitted that he was told to “be careful to avoid . . . situations” of sexual abuse and not to hug passengers, and Ocampo’s employment forms indicated that he did receive Round Trip’s employee handbook and company policies.</w:t>
      </w:r>
    </w:p>
    <w:p w14:paraId="6FB7254C" w14:textId="3E15ED87"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After the r</w:t>
      </w:r>
      <w:r w:rsidRPr="000D43E9">
        <w:rPr>
          <w:rFonts w:ascii="Century Schoolbook" w:hAnsi="Century Schoolbook"/>
          <w:sz w:val="26"/>
          <w:szCs w:val="26"/>
        </w:rPr>
        <w:t>ape was reported, the Regional Center thereafter conducted an extensive investigation of the incident and Round Trip.  In a November 2018 report, the Regional Center concluded that Round Trip did not have a “formal system” of logging complaints, that it ha</w:t>
      </w:r>
      <w:r w:rsidRPr="000D43E9">
        <w:rPr>
          <w:rFonts w:ascii="Century Schoolbook" w:hAnsi="Century Schoolbook"/>
          <w:sz w:val="26"/>
          <w:szCs w:val="26"/>
        </w:rPr>
        <w:t>d an inadequate tracking system for monitoring irregularities with drivers and the quality of its services, that it needed a formal system for notifying consumers’ caregivers of changes in scheduling, that it needed more staff in its central office, and th</w:t>
      </w:r>
      <w:r w:rsidRPr="000D43E9">
        <w:rPr>
          <w:rFonts w:ascii="Century Schoolbook" w:hAnsi="Century Schoolbook"/>
          <w:sz w:val="26"/>
          <w:szCs w:val="26"/>
        </w:rPr>
        <w:t>at it needed to ensure its employees were trained on client abuse and neglect upon hiring and annually thereafter.</w:t>
      </w:r>
    </w:p>
    <w:p w14:paraId="601ED99B" w14:textId="77777777" w:rsidR="002F4B2B" w:rsidRPr="000D43E9" w:rsidRDefault="009A7CC9" w:rsidP="000D43E9">
      <w:pPr>
        <w:spacing w:line="288" w:lineRule="auto"/>
        <w:rPr>
          <w:rFonts w:ascii="Century Schoolbook" w:hAnsi="Century Schoolbook"/>
          <w:b/>
          <w:bCs/>
          <w:sz w:val="26"/>
          <w:szCs w:val="26"/>
        </w:rPr>
      </w:pPr>
      <w:r w:rsidRPr="000D43E9">
        <w:rPr>
          <w:rFonts w:ascii="Century Schoolbook" w:hAnsi="Century Schoolbook"/>
          <w:b/>
          <w:bCs/>
          <w:sz w:val="26"/>
          <w:szCs w:val="26"/>
        </w:rPr>
        <w:t>II.</w:t>
      </w:r>
      <w:r w:rsidRPr="000D43E9">
        <w:rPr>
          <w:rFonts w:ascii="Century Schoolbook" w:hAnsi="Century Schoolbook"/>
          <w:b/>
          <w:bCs/>
          <w:sz w:val="26"/>
          <w:szCs w:val="26"/>
        </w:rPr>
        <w:tab/>
        <w:t>Procedural Background</w:t>
      </w:r>
    </w:p>
    <w:p w14:paraId="1A8EF909" w14:textId="7777777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A.</w:t>
      </w:r>
      <w:r w:rsidRPr="000D43E9">
        <w:rPr>
          <w:rFonts w:ascii="Century Schoolbook" w:hAnsi="Century Schoolbook"/>
          <w:b/>
          <w:bCs/>
          <w:sz w:val="26"/>
          <w:szCs w:val="26"/>
        </w:rPr>
        <w:tab/>
      </w:r>
      <w:r w:rsidRPr="000D43E9">
        <w:rPr>
          <w:rFonts w:ascii="Century Schoolbook" w:hAnsi="Century Schoolbook"/>
          <w:b/>
          <w:bCs/>
          <w:i/>
          <w:iCs/>
          <w:sz w:val="26"/>
          <w:szCs w:val="26"/>
        </w:rPr>
        <w:t>Operative pleading</w:t>
      </w:r>
    </w:p>
    <w:p w14:paraId="79F48D0E" w14:textId="20FAB672"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In February 2019, A.L., through her mother acting as her guardian a</w:t>
      </w:r>
      <w:r w:rsidR="00756D02">
        <w:rPr>
          <w:rFonts w:ascii="Century Schoolbook" w:hAnsi="Century Schoolbook"/>
          <w:sz w:val="26"/>
          <w:szCs w:val="26"/>
        </w:rPr>
        <w:t>d</w:t>
      </w:r>
      <w:r w:rsidRPr="000D43E9">
        <w:rPr>
          <w:rFonts w:ascii="Century Schoolbook" w:hAnsi="Century Schoolbook"/>
          <w:sz w:val="26"/>
          <w:szCs w:val="26"/>
        </w:rPr>
        <w:t xml:space="preserve"> litem, sued Round Trip and Ocampo.  In the operative second amended complaint, A.L. </w:t>
      </w:r>
      <w:r w:rsidR="00756D02">
        <w:rPr>
          <w:rFonts w:ascii="Century Schoolbook" w:hAnsi="Century Schoolbook"/>
          <w:sz w:val="26"/>
          <w:szCs w:val="26"/>
        </w:rPr>
        <w:t xml:space="preserve">also </w:t>
      </w:r>
      <w:r w:rsidRPr="000D43E9">
        <w:rPr>
          <w:rFonts w:ascii="Century Schoolbook" w:hAnsi="Century Schoolbook"/>
          <w:sz w:val="26"/>
          <w:szCs w:val="26"/>
        </w:rPr>
        <w:t>sued the Regional Center for negligence.</w:t>
      </w:r>
      <w:r>
        <w:rPr>
          <w:rStyle w:val="FootnoteReference"/>
          <w:rFonts w:ascii="Century Schoolbook" w:hAnsi="Century Schoolbook"/>
          <w:b/>
          <w:bCs/>
          <w:szCs w:val="26"/>
        </w:rPr>
        <w:footnoteReference w:id="3"/>
      </w:r>
      <w:r w:rsidRPr="000D43E9">
        <w:rPr>
          <w:rFonts w:ascii="Century Schoolbook" w:hAnsi="Century Schoolbook"/>
          <w:sz w:val="26"/>
          <w:szCs w:val="26"/>
        </w:rPr>
        <w:t xml:space="preserve">  The complaint alleged that the Regional </w:t>
      </w:r>
      <w:r w:rsidRPr="000D43E9">
        <w:rPr>
          <w:rFonts w:ascii="Century Schoolbook" w:hAnsi="Century Schoolbook"/>
          <w:sz w:val="26"/>
          <w:szCs w:val="26"/>
        </w:rPr>
        <w:lastRenderedPageBreak/>
        <w:t>Center (1) negligently hired Round Trip as a vendor without doing a proper investi</w:t>
      </w:r>
      <w:r w:rsidRPr="000D43E9">
        <w:rPr>
          <w:rFonts w:ascii="Century Schoolbook" w:hAnsi="Century Schoolbook"/>
          <w:sz w:val="26"/>
          <w:szCs w:val="26"/>
        </w:rPr>
        <w:t>gation</w:t>
      </w:r>
      <w:r w:rsidR="00BD012D">
        <w:rPr>
          <w:rFonts w:ascii="Century Schoolbook" w:hAnsi="Century Schoolbook"/>
          <w:sz w:val="26"/>
          <w:szCs w:val="26"/>
        </w:rPr>
        <w:t>;</w:t>
      </w:r>
      <w:r w:rsidRPr="000D43E9">
        <w:rPr>
          <w:rFonts w:ascii="Century Schoolbook" w:hAnsi="Century Schoolbook"/>
          <w:sz w:val="26"/>
          <w:szCs w:val="26"/>
        </w:rPr>
        <w:t xml:space="preserve"> and (2) negligently monitored Round Trip’s compliance with its vendor contract because the Regional Center did not discover, until after the rape, that Round Trip’s operations had the shortcomings identified in the November 2018 report.  The compla</w:t>
      </w:r>
      <w:r w:rsidRPr="000D43E9">
        <w:rPr>
          <w:rFonts w:ascii="Century Schoolbook" w:hAnsi="Century Schoolbook"/>
          <w:sz w:val="26"/>
          <w:szCs w:val="26"/>
        </w:rPr>
        <w:t>int further alleged that this inaction “direct[</w:t>
      </w:r>
      <w:proofErr w:type="spellStart"/>
      <w:r w:rsidRPr="000D43E9">
        <w:rPr>
          <w:rFonts w:ascii="Century Schoolbook" w:hAnsi="Century Schoolbook"/>
          <w:sz w:val="26"/>
          <w:szCs w:val="26"/>
        </w:rPr>
        <w:t>ly</w:t>
      </w:r>
      <w:proofErr w:type="spellEnd"/>
      <w:r w:rsidRPr="000D43E9">
        <w:rPr>
          <w:rFonts w:ascii="Century Schoolbook" w:hAnsi="Century Schoolbook"/>
          <w:sz w:val="26"/>
          <w:szCs w:val="26"/>
        </w:rPr>
        <w:t>] and proximate[</w:t>
      </w:r>
      <w:proofErr w:type="spellStart"/>
      <w:r w:rsidRPr="000D43E9">
        <w:rPr>
          <w:rFonts w:ascii="Century Schoolbook" w:hAnsi="Century Schoolbook"/>
          <w:sz w:val="26"/>
          <w:szCs w:val="26"/>
        </w:rPr>
        <w:t>ly</w:t>
      </w:r>
      <w:proofErr w:type="spellEnd"/>
      <w:r w:rsidRPr="000D43E9">
        <w:rPr>
          <w:rFonts w:ascii="Century Schoolbook" w:hAnsi="Century Schoolbook"/>
          <w:sz w:val="26"/>
          <w:szCs w:val="26"/>
        </w:rPr>
        <w:t>]” caused the rape.</w:t>
      </w:r>
    </w:p>
    <w:p w14:paraId="35D45A88" w14:textId="7777777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B.</w:t>
      </w:r>
      <w:r w:rsidRPr="000D43E9">
        <w:rPr>
          <w:rFonts w:ascii="Century Schoolbook" w:hAnsi="Century Schoolbook"/>
          <w:b/>
          <w:bCs/>
          <w:sz w:val="26"/>
          <w:szCs w:val="26"/>
        </w:rPr>
        <w:tab/>
      </w:r>
      <w:r w:rsidRPr="000D43E9">
        <w:rPr>
          <w:rFonts w:ascii="Century Schoolbook" w:hAnsi="Century Schoolbook"/>
          <w:b/>
          <w:bCs/>
          <w:i/>
          <w:iCs/>
          <w:sz w:val="26"/>
          <w:szCs w:val="26"/>
        </w:rPr>
        <w:t>Summary judgment</w:t>
      </w:r>
    </w:p>
    <w:p w14:paraId="2EA1E468" w14:textId="438C6790"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In February 2021, the Regional Center filed a motion for summary judgment on the ground that it owed A.L. no duty to prevent sexual assault by a ve</w:t>
      </w:r>
      <w:r w:rsidRPr="000D43E9">
        <w:rPr>
          <w:rFonts w:ascii="Century Schoolbook" w:hAnsi="Century Schoolbook"/>
          <w:sz w:val="26"/>
          <w:szCs w:val="26"/>
        </w:rPr>
        <w:t>ndor’s employee.</w:t>
      </w:r>
      <w:r>
        <w:rPr>
          <w:rStyle w:val="FootnoteReference"/>
          <w:rFonts w:ascii="Century Schoolbook" w:hAnsi="Century Schoolbook"/>
          <w:b/>
          <w:bCs/>
          <w:szCs w:val="26"/>
        </w:rPr>
        <w:footnoteReference w:id="4"/>
      </w:r>
      <w:r w:rsidRPr="000D43E9">
        <w:rPr>
          <w:rFonts w:ascii="Century Schoolbook" w:hAnsi="Century Schoolbook"/>
          <w:sz w:val="26"/>
          <w:szCs w:val="26"/>
        </w:rPr>
        <w:t xml:space="preserve">  After a full round of briefing and a hearing, the trial court granted the motion.</w:t>
      </w:r>
    </w:p>
    <w:p w14:paraId="13C42AD2" w14:textId="7777777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C.</w:t>
      </w:r>
      <w:r w:rsidRPr="000D43E9">
        <w:rPr>
          <w:rFonts w:ascii="Century Schoolbook" w:hAnsi="Century Schoolbook"/>
          <w:b/>
          <w:bCs/>
          <w:sz w:val="26"/>
          <w:szCs w:val="26"/>
        </w:rPr>
        <w:tab/>
      </w:r>
      <w:r w:rsidRPr="000D43E9">
        <w:rPr>
          <w:rFonts w:ascii="Century Schoolbook" w:hAnsi="Century Schoolbook"/>
          <w:b/>
          <w:bCs/>
          <w:i/>
          <w:iCs/>
          <w:sz w:val="26"/>
          <w:szCs w:val="26"/>
        </w:rPr>
        <w:t>Motion for new trial</w:t>
      </w:r>
    </w:p>
    <w:p w14:paraId="67AB873D" w14:textId="055854AA"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A.L. thereafter filed a motion for new trial asking the trial court to reconsider its grant of summary judgment </w:t>
      </w:r>
      <w:proofErr w:type="gramStart"/>
      <w:r w:rsidRPr="000D43E9">
        <w:rPr>
          <w:rFonts w:ascii="Century Schoolbook" w:hAnsi="Century Schoolbook"/>
          <w:sz w:val="26"/>
          <w:szCs w:val="26"/>
        </w:rPr>
        <w:t>in light of</w:t>
      </w:r>
      <w:proofErr w:type="gramEnd"/>
      <w:r w:rsidRPr="000D43E9">
        <w:rPr>
          <w:rFonts w:ascii="Century Schoolbook" w:hAnsi="Century Schoolbook"/>
          <w:sz w:val="26"/>
          <w:szCs w:val="26"/>
        </w:rPr>
        <w:t xml:space="preserve"> our </w:t>
      </w:r>
      <w:r w:rsidRPr="000D43E9">
        <w:rPr>
          <w:rFonts w:ascii="Century Schoolbook" w:hAnsi="Century Schoolbook"/>
          <w:sz w:val="26"/>
          <w:szCs w:val="26"/>
        </w:rPr>
        <w:t xml:space="preserve">Supreme Court’s decision in </w:t>
      </w:r>
      <w:r w:rsidRPr="000D43E9">
        <w:rPr>
          <w:rFonts w:ascii="Century Schoolbook" w:hAnsi="Century Schoolbook"/>
          <w:i/>
          <w:iCs/>
          <w:sz w:val="26"/>
          <w:szCs w:val="26"/>
        </w:rPr>
        <w:t xml:space="preserve">Brown v. USA Taekwondo </w:t>
      </w:r>
      <w:r w:rsidRPr="000D43E9">
        <w:rPr>
          <w:rFonts w:ascii="Century Schoolbook" w:hAnsi="Century Schoolbook"/>
          <w:sz w:val="26"/>
          <w:szCs w:val="26"/>
        </w:rPr>
        <w:t>(2021) 11 Cal.5th 204 (</w:t>
      </w:r>
      <w:r w:rsidRPr="000D43E9">
        <w:rPr>
          <w:rFonts w:ascii="Century Schoolbook" w:hAnsi="Century Schoolbook"/>
          <w:i/>
          <w:iCs/>
          <w:sz w:val="26"/>
          <w:szCs w:val="26"/>
        </w:rPr>
        <w:t>Brown</w:t>
      </w:r>
      <w:r w:rsidRPr="000D43E9">
        <w:rPr>
          <w:rFonts w:ascii="Century Schoolbook" w:hAnsi="Century Schoolbook"/>
          <w:sz w:val="26"/>
          <w:szCs w:val="26"/>
        </w:rPr>
        <w:t>).  After a full round of briefing and a hearing, the trial court denied the motion for new trial and allowed the summary judgment to stand.</w:t>
      </w:r>
      <w:r>
        <w:rPr>
          <w:rStyle w:val="FootnoteReference"/>
          <w:rFonts w:ascii="Century Schoolbook" w:hAnsi="Century Schoolbook"/>
          <w:b/>
          <w:bCs/>
          <w:szCs w:val="26"/>
        </w:rPr>
        <w:footnoteReference w:id="5"/>
      </w:r>
      <w:r w:rsidRPr="000D43E9">
        <w:rPr>
          <w:rFonts w:ascii="Century Schoolbook" w:hAnsi="Century Schoolbook"/>
          <w:sz w:val="26"/>
          <w:szCs w:val="26"/>
        </w:rPr>
        <w:t xml:space="preserve">  The court reasoned that it had “real doubt” whether the Regional Center had a “special relationship” with A.L., and further reasoned that public policy considerations militated against recognizing a duty to protect, at </w:t>
      </w:r>
      <w:r w:rsidRPr="000D43E9">
        <w:rPr>
          <w:rFonts w:ascii="Century Schoolbook" w:hAnsi="Century Schoolbook"/>
          <w:sz w:val="26"/>
          <w:szCs w:val="26"/>
        </w:rPr>
        <w:lastRenderedPageBreak/>
        <w:t xml:space="preserve">least where a regional center “has </w:t>
      </w:r>
      <w:r w:rsidRPr="000D43E9">
        <w:rPr>
          <w:rFonts w:ascii="Century Schoolbook" w:hAnsi="Century Schoolbook"/>
          <w:sz w:val="26"/>
          <w:szCs w:val="26"/>
        </w:rPr>
        <w:t xml:space="preserve">no way of knowing that </w:t>
      </w:r>
      <w:r w:rsidR="00C12E54">
        <w:rPr>
          <w:rFonts w:ascii="Century Schoolbook" w:hAnsi="Century Schoolbook"/>
          <w:sz w:val="26"/>
          <w:szCs w:val="26"/>
        </w:rPr>
        <w:t>[</w:t>
      </w:r>
      <w:r w:rsidRPr="000D43E9">
        <w:rPr>
          <w:rFonts w:ascii="Century Schoolbook" w:hAnsi="Century Schoolbook"/>
          <w:sz w:val="26"/>
          <w:szCs w:val="26"/>
        </w:rPr>
        <w:t>a vendor</w:t>
      </w:r>
      <w:r w:rsidR="001703CD">
        <w:rPr>
          <w:rFonts w:ascii="Century Schoolbook" w:hAnsi="Century Schoolbook"/>
          <w:sz w:val="26"/>
          <w:szCs w:val="26"/>
        </w:rPr>
        <w:t>’s</w:t>
      </w:r>
      <w:r w:rsidRPr="000D43E9">
        <w:rPr>
          <w:rFonts w:ascii="Century Schoolbook" w:hAnsi="Century Schoolbook"/>
          <w:sz w:val="26"/>
          <w:szCs w:val="26"/>
        </w:rPr>
        <w:t>] employee</w:t>
      </w:r>
      <w:r w:rsidR="001703CD">
        <w:rPr>
          <w:rFonts w:ascii="Century Schoolbook" w:hAnsi="Century Schoolbook"/>
          <w:sz w:val="26"/>
          <w:szCs w:val="26"/>
        </w:rPr>
        <w:t xml:space="preserve"> . . .</w:t>
      </w:r>
      <w:r w:rsidRPr="000D43E9">
        <w:rPr>
          <w:rFonts w:ascii="Century Schoolbook" w:hAnsi="Century Schoolbook"/>
          <w:sz w:val="26"/>
          <w:szCs w:val="26"/>
        </w:rPr>
        <w:t xml:space="preserve"> is likely to [sexually] abuse a </w:t>
      </w:r>
      <w:r w:rsidR="001703CD">
        <w:rPr>
          <w:rFonts w:ascii="Century Schoolbook" w:hAnsi="Century Schoolbook"/>
          <w:sz w:val="26"/>
          <w:szCs w:val="26"/>
        </w:rPr>
        <w:t>[consumer]</w:t>
      </w:r>
      <w:r w:rsidRPr="000D43E9">
        <w:rPr>
          <w:rFonts w:ascii="Century Schoolbook" w:hAnsi="Century Schoolbook"/>
          <w:sz w:val="26"/>
          <w:szCs w:val="26"/>
        </w:rPr>
        <w:t>.”</w:t>
      </w:r>
    </w:p>
    <w:p w14:paraId="3A701DE8" w14:textId="77777777"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D.</w:t>
      </w:r>
      <w:r w:rsidRPr="000D43E9">
        <w:rPr>
          <w:rFonts w:ascii="Century Schoolbook" w:hAnsi="Century Schoolbook"/>
          <w:b/>
          <w:bCs/>
          <w:sz w:val="26"/>
          <w:szCs w:val="26"/>
        </w:rPr>
        <w:tab/>
      </w:r>
      <w:r w:rsidRPr="000D43E9">
        <w:rPr>
          <w:rFonts w:ascii="Century Schoolbook" w:hAnsi="Century Schoolbook"/>
          <w:b/>
          <w:bCs/>
          <w:i/>
          <w:iCs/>
          <w:sz w:val="26"/>
          <w:szCs w:val="26"/>
        </w:rPr>
        <w:t>Appeal</w:t>
      </w:r>
    </w:p>
    <w:p w14:paraId="7A381296" w14:textId="28B4AB9E"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A.L. filed this timely appeal.</w:t>
      </w:r>
    </w:p>
    <w:p w14:paraId="255D0048" w14:textId="7281CA8B" w:rsidR="00C46631" w:rsidRPr="000D43E9" w:rsidRDefault="009A7CC9" w:rsidP="000D43E9">
      <w:pPr>
        <w:spacing w:line="288" w:lineRule="auto"/>
        <w:jc w:val="center"/>
        <w:rPr>
          <w:rFonts w:ascii="Century Schoolbook" w:hAnsi="Century Schoolbook"/>
          <w:sz w:val="26"/>
          <w:szCs w:val="26"/>
        </w:rPr>
      </w:pPr>
      <w:r w:rsidRPr="000D43E9">
        <w:rPr>
          <w:rFonts w:ascii="Century Schoolbook" w:hAnsi="Century Schoolbook"/>
          <w:b/>
          <w:bCs/>
          <w:sz w:val="26"/>
          <w:szCs w:val="26"/>
        </w:rPr>
        <w:t>DISCUSSION</w:t>
      </w:r>
    </w:p>
    <w:p w14:paraId="5885066E" w14:textId="77777777"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A.L. argues that the trial court erred in granting summary judgment.</w:t>
      </w:r>
    </w:p>
    <w:p w14:paraId="02548A8C" w14:textId="3425184D"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“Summary judgment is </w:t>
      </w:r>
      <w:r w:rsidRPr="000D43E9">
        <w:rPr>
          <w:rFonts w:ascii="Century Schoolbook" w:hAnsi="Century Schoolbook"/>
          <w:sz w:val="26"/>
          <w:szCs w:val="26"/>
        </w:rPr>
        <w:t xml:space="preserve">appropriate only ‘where no triable issue of material fact </w:t>
      </w:r>
      <w:proofErr w:type="gramStart"/>
      <w:r w:rsidRPr="000D43E9">
        <w:rPr>
          <w:rFonts w:ascii="Century Schoolbook" w:hAnsi="Century Schoolbook"/>
          <w:sz w:val="26"/>
          <w:szCs w:val="26"/>
        </w:rPr>
        <w:t>exists</w:t>
      </w:r>
      <w:proofErr w:type="gramEnd"/>
      <w:r w:rsidRPr="000D43E9">
        <w:rPr>
          <w:rFonts w:ascii="Century Schoolbook" w:hAnsi="Century Schoolbook"/>
          <w:sz w:val="26"/>
          <w:szCs w:val="26"/>
        </w:rPr>
        <w:t xml:space="preserve"> and the moving party is entitled to judgment as a matter of law.’”  (</w:t>
      </w:r>
      <w:r w:rsidRPr="000D43E9">
        <w:rPr>
          <w:rFonts w:ascii="Century Schoolbook" w:hAnsi="Century Schoolbook"/>
          <w:i/>
          <w:iCs/>
          <w:sz w:val="26"/>
          <w:szCs w:val="26"/>
        </w:rPr>
        <w:t>Regents of University of California v. Superior Cour</w:t>
      </w:r>
      <w:r w:rsidR="002C7E20">
        <w:rPr>
          <w:rFonts w:ascii="Century Schoolbook" w:hAnsi="Century Schoolbook"/>
          <w:i/>
          <w:iCs/>
          <w:sz w:val="26"/>
          <w:szCs w:val="26"/>
        </w:rPr>
        <w:t>t</w:t>
      </w:r>
      <w:r w:rsidRPr="000D43E9">
        <w:rPr>
          <w:rFonts w:ascii="Century Schoolbook" w:hAnsi="Century Schoolbook"/>
          <w:sz w:val="26"/>
          <w:szCs w:val="26"/>
        </w:rPr>
        <w:t xml:space="preserve"> (2018) 4 Cal.5th 607, 618 (</w:t>
      </w:r>
      <w:r w:rsidRPr="000D43E9">
        <w:rPr>
          <w:rFonts w:ascii="Century Schoolbook" w:hAnsi="Century Schoolbook"/>
          <w:i/>
          <w:iCs/>
          <w:sz w:val="26"/>
          <w:szCs w:val="26"/>
        </w:rPr>
        <w:t>Regents</w:t>
      </w:r>
      <w:r w:rsidRPr="000D43E9">
        <w:rPr>
          <w:rFonts w:ascii="Century Schoolbook" w:hAnsi="Century Schoolbook"/>
          <w:sz w:val="26"/>
          <w:szCs w:val="26"/>
        </w:rPr>
        <w:t>); see Code Civ. Proc., § 437c, su</w:t>
      </w:r>
      <w:r w:rsidRPr="000D43E9">
        <w:rPr>
          <w:rFonts w:ascii="Century Schoolbook" w:hAnsi="Century Schoolbook"/>
          <w:sz w:val="26"/>
          <w:szCs w:val="26"/>
        </w:rPr>
        <w:t>bd. (c).)  To prevail on such a motion, the moving party—here, the Regional Center—must show that the plaintiff “has not established, and reasonably cannot be expected to establish, one or more elements of the cause of action in question.”  (</w:t>
      </w:r>
      <w:r w:rsidRPr="000D43E9">
        <w:rPr>
          <w:rFonts w:ascii="Century Schoolbook" w:hAnsi="Century Schoolbook"/>
          <w:i/>
          <w:iCs/>
          <w:sz w:val="26"/>
          <w:szCs w:val="26"/>
        </w:rPr>
        <w:t>Patterson v. D</w:t>
      </w:r>
      <w:r w:rsidRPr="000D43E9">
        <w:rPr>
          <w:rFonts w:ascii="Century Schoolbook" w:hAnsi="Century Schoolbook"/>
          <w:i/>
          <w:iCs/>
          <w:sz w:val="26"/>
          <w:szCs w:val="26"/>
        </w:rPr>
        <w:t>omino’s Pizza, LLC</w:t>
      </w:r>
      <w:r w:rsidRPr="000D43E9">
        <w:rPr>
          <w:rFonts w:ascii="Century Schoolbook" w:hAnsi="Century Schoolbook"/>
          <w:sz w:val="26"/>
          <w:szCs w:val="26"/>
        </w:rPr>
        <w:t xml:space="preserve"> (2014) 60 Cal.4th 474, 500</w:t>
      </w:r>
      <w:r w:rsidR="0077430C">
        <w:rPr>
          <w:rFonts w:ascii="Century Schoolbook" w:hAnsi="Century Schoolbook"/>
          <w:sz w:val="26"/>
          <w:szCs w:val="26"/>
        </w:rPr>
        <w:t>; Code Civ. Proc., § 437c, subd. (o)(1)</w:t>
      </w:r>
      <w:r w:rsidRPr="000D43E9">
        <w:rPr>
          <w:rFonts w:ascii="Century Schoolbook" w:hAnsi="Century Schoolbook"/>
          <w:sz w:val="26"/>
          <w:szCs w:val="26"/>
        </w:rPr>
        <w:t>.)  In evaluating whether the Regional Center made this showing, we liberally construe the evidence before the trial court in support of the party opposing summary judgment</w:t>
      </w:r>
      <w:r w:rsidR="003D06AA">
        <w:rPr>
          <w:rFonts w:ascii="Century Schoolbook" w:hAnsi="Century Schoolbook"/>
          <w:sz w:val="26"/>
          <w:szCs w:val="26"/>
        </w:rPr>
        <w:t>—here, A.L.—</w:t>
      </w:r>
      <w:r w:rsidRPr="000D43E9">
        <w:rPr>
          <w:rFonts w:ascii="Century Schoolbook" w:hAnsi="Century Schoolbook"/>
          <w:sz w:val="26"/>
          <w:szCs w:val="26"/>
        </w:rPr>
        <w:t>and resolve all doubts concerning the evidence in support of that party.  (</w:t>
      </w:r>
      <w:r w:rsidRPr="000D43E9">
        <w:rPr>
          <w:rFonts w:ascii="Century Schoolbook" w:hAnsi="Century Schoolbook"/>
          <w:i/>
          <w:iCs/>
          <w:sz w:val="26"/>
          <w:szCs w:val="26"/>
        </w:rPr>
        <w:t>Gonzalez v. Mathis</w:t>
      </w:r>
      <w:r w:rsidRPr="000D43E9">
        <w:rPr>
          <w:rFonts w:ascii="Century Schoolbook" w:hAnsi="Century Schoolbook"/>
          <w:sz w:val="26"/>
          <w:szCs w:val="26"/>
        </w:rPr>
        <w:t xml:space="preserve"> (2021) 12 Cal.5th 29, 39.)  We independently review the grant of summary judgment as well as any subsidiary legal questions, such as whether a duty of</w:t>
      </w:r>
      <w:r w:rsidRPr="000D43E9">
        <w:rPr>
          <w:rFonts w:ascii="Century Schoolbook" w:hAnsi="Century Schoolbook"/>
          <w:sz w:val="26"/>
          <w:szCs w:val="26"/>
        </w:rPr>
        <w:t xml:space="preserve"> care or special relationship exists.  (</w:t>
      </w:r>
      <w:r w:rsidRPr="000D43E9">
        <w:rPr>
          <w:rFonts w:ascii="Century Schoolbook" w:hAnsi="Century Schoolbook"/>
          <w:i/>
          <w:iCs/>
          <w:sz w:val="26"/>
          <w:szCs w:val="26"/>
        </w:rPr>
        <w:t>California Medical Assn. v. Aetna Health of California Inc.</w:t>
      </w:r>
      <w:r w:rsidRPr="000D43E9">
        <w:rPr>
          <w:rFonts w:ascii="Century Schoolbook" w:hAnsi="Century Schoolbook"/>
          <w:sz w:val="26"/>
          <w:szCs w:val="26"/>
        </w:rPr>
        <w:t xml:space="preserve"> (2023) 14 Cal.5th 1075, 1087 [summary judgment]; </w:t>
      </w:r>
      <w:r w:rsidRPr="000D43E9">
        <w:rPr>
          <w:rFonts w:ascii="Century Schoolbook" w:hAnsi="Century Schoolbook"/>
          <w:i/>
          <w:iCs/>
          <w:sz w:val="26"/>
          <w:szCs w:val="26"/>
        </w:rPr>
        <w:t>Brown</w:t>
      </w:r>
      <w:r w:rsidRPr="000D43E9">
        <w:rPr>
          <w:rFonts w:ascii="Century Schoolbook" w:hAnsi="Century Schoolbook"/>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xml:space="preserve">, 11 Cal.5th at p. 213 [duty of care]; </w:t>
      </w:r>
      <w:r w:rsidRPr="000D43E9">
        <w:rPr>
          <w:rFonts w:ascii="Century Schoolbook" w:hAnsi="Century Schoolbook"/>
          <w:i/>
          <w:iCs/>
          <w:sz w:val="26"/>
          <w:szCs w:val="26"/>
        </w:rPr>
        <w:t>Regents</w:t>
      </w:r>
      <w:r w:rsidRPr="000D43E9">
        <w:rPr>
          <w:rFonts w:ascii="Century Schoolbook" w:hAnsi="Century Schoolbook"/>
          <w:sz w:val="26"/>
          <w:szCs w:val="26"/>
        </w:rPr>
        <w:t>, at p. 620 [special relationship].)  Because our</w:t>
      </w:r>
      <w:r w:rsidRPr="000D43E9">
        <w:rPr>
          <w:rFonts w:ascii="Century Schoolbook" w:hAnsi="Century Schoolbook"/>
          <w:sz w:val="26"/>
          <w:szCs w:val="26"/>
        </w:rPr>
        <w:t xml:space="preserve"> review is de novo, we are concerned with the correctness of the trial court’s result, not its reasoning.  (</w:t>
      </w:r>
      <w:proofErr w:type="spellStart"/>
      <w:r w:rsidRPr="000D43E9">
        <w:rPr>
          <w:rFonts w:ascii="Century Schoolbook" w:hAnsi="Century Schoolbook"/>
          <w:i/>
          <w:iCs/>
          <w:sz w:val="26"/>
          <w:szCs w:val="26"/>
        </w:rPr>
        <w:t>Burgueno</w:t>
      </w:r>
      <w:proofErr w:type="spellEnd"/>
      <w:r w:rsidRPr="000D43E9">
        <w:rPr>
          <w:rFonts w:ascii="Century Schoolbook" w:hAnsi="Century Schoolbook"/>
          <w:i/>
          <w:iCs/>
          <w:sz w:val="26"/>
          <w:szCs w:val="26"/>
        </w:rPr>
        <w:t xml:space="preserve"> v. Regents of University of </w:t>
      </w:r>
      <w:r w:rsidRPr="000D43E9">
        <w:rPr>
          <w:rFonts w:ascii="Century Schoolbook" w:hAnsi="Century Schoolbook"/>
          <w:i/>
          <w:iCs/>
          <w:sz w:val="26"/>
          <w:szCs w:val="26"/>
        </w:rPr>
        <w:lastRenderedPageBreak/>
        <w:t xml:space="preserve">California </w:t>
      </w:r>
      <w:r w:rsidRPr="000D43E9">
        <w:rPr>
          <w:rFonts w:ascii="Century Schoolbook" w:hAnsi="Century Schoolbook"/>
          <w:sz w:val="26"/>
          <w:szCs w:val="26"/>
        </w:rPr>
        <w:t xml:space="preserve">(2015) 243 Cal.App.4th 1052, 1075; </w:t>
      </w:r>
      <w:r w:rsidRPr="000D43E9">
        <w:rPr>
          <w:rFonts w:ascii="Century Schoolbook" w:hAnsi="Century Schoolbook"/>
          <w:i/>
          <w:iCs/>
          <w:sz w:val="26"/>
          <w:szCs w:val="26"/>
        </w:rPr>
        <w:t>People v. Chism</w:t>
      </w:r>
      <w:r w:rsidRPr="000D43E9">
        <w:rPr>
          <w:rFonts w:ascii="Century Schoolbook" w:hAnsi="Century Schoolbook"/>
          <w:sz w:val="26"/>
          <w:szCs w:val="26"/>
        </w:rPr>
        <w:t xml:space="preserve"> (2014) 58 Cal.4th 1266, 1295, fn. 12.)</w:t>
      </w:r>
      <w:r>
        <w:rPr>
          <w:rStyle w:val="FootnoteReference"/>
          <w:rFonts w:ascii="Century Schoolbook" w:hAnsi="Century Schoolbook"/>
          <w:b/>
          <w:bCs/>
          <w:szCs w:val="26"/>
        </w:rPr>
        <w:footnoteReference w:id="6"/>
      </w:r>
    </w:p>
    <w:p w14:paraId="0053D582" w14:textId="765BBB96" w:rsidR="002F4B2B" w:rsidRPr="00A76FEF" w:rsidRDefault="009A7CC9" w:rsidP="00BB72D6">
      <w:pPr>
        <w:spacing w:line="288" w:lineRule="auto"/>
        <w:rPr>
          <w:rFonts w:ascii="Century Schoolbook" w:hAnsi="Century Schoolbook"/>
          <w:b/>
          <w:bCs/>
          <w:sz w:val="26"/>
          <w:szCs w:val="26"/>
        </w:rPr>
      </w:pPr>
      <w:r w:rsidRPr="00A76FEF">
        <w:rPr>
          <w:rFonts w:ascii="Century Schoolbook" w:hAnsi="Century Schoolbook"/>
          <w:b/>
          <w:bCs/>
          <w:sz w:val="26"/>
          <w:szCs w:val="26"/>
        </w:rPr>
        <w:t>I.</w:t>
      </w:r>
      <w:r w:rsidRPr="00A76FEF">
        <w:rPr>
          <w:rFonts w:ascii="Century Schoolbook" w:hAnsi="Century Schoolbook"/>
          <w:b/>
          <w:bCs/>
          <w:sz w:val="26"/>
          <w:szCs w:val="26"/>
        </w:rPr>
        <w:tab/>
      </w:r>
      <w:r w:rsidR="0054023E" w:rsidRPr="00A76FEF">
        <w:rPr>
          <w:rFonts w:ascii="Century Schoolbook" w:hAnsi="Century Schoolbook"/>
          <w:b/>
          <w:bCs/>
          <w:sz w:val="26"/>
          <w:szCs w:val="26"/>
        </w:rPr>
        <w:t xml:space="preserve">The </w:t>
      </w:r>
      <w:proofErr w:type="spellStart"/>
      <w:r w:rsidRPr="00A76FEF">
        <w:rPr>
          <w:rFonts w:ascii="Century Schoolbook" w:hAnsi="Century Schoolbook"/>
          <w:b/>
          <w:bCs/>
          <w:sz w:val="26"/>
          <w:szCs w:val="26"/>
        </w:rPr>
        <w:t>Lanterman</w:t>
      </w:r>
      <w:proofErr w:type="spellEnd"/>
      <w:r w:rsidRPr="00A76FEF">
        <w:rPr>
          <w:rFonts w:ascii="Century Schoolbook" w:hAnsi="Century Schoolbook"/>
          <w:b/>
          <w:bCs/>
          <w:sz w:val="26"/>
          <w:szCs w:val="26"/>
        </w:rPr>
        <w:t xml:space="preserve"> Act</w:t>
      </w:r>
    </w:p>
    <w:p w14:paraId="2B329BFF" w14:textId="66F30073" w:rsidR="002F4B2B"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“Pursuant to the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Act, our state has undertaken the duty to provide ‘[a]n array of services and support</w:t>
      </w:r>
      <w:r w:rsidR="00352782">
        <w:rPr>
          <w:rFonts w:ascii="Century Schoolbook" w:hAnsi="Century Schoolbook"/>
          <w:sz w:val="26"/>
          <w:szCs w:val="26"/>
        </w:rPr>
        <w:t>s</w:t>
      </w:r>
      <w:r w:rsidRPr="000D43E9">
        <w:rPr>
          <w:rFonts w:ascii="Century Schoolbook" w:hAnsi="Century Schoolbook"/>
          <w:sz w:val="26"/>
          <w:szCs w:val="26"/>
        </w:rPr>
        <w:t>’ to ‘person[s] with developmental disabilities.’  (§ 4501; see also § 4512, subd. (a)(1) [defining ‘developmental disabilit</w:t>
      </w:r>
      <w:r w:rsidRPr="000D43E9">
        <w:rPr>
          <w:rFonts w:ascii="Century Schoolbook" w:hAnsi="Century Schoolbook"/>
          <w:sz w:val="26"/>
          <w:szCs w:val="26"/>
        </w:rPr>
        <w:t xml:space="preserve">y’]; </w:t>
      </w:r>
      <w:r w:rsidRPr="000D43E9">
        <w:rPr>
          <w:rFonts w:ascii="Century Schoolbook" w:hAnsi="Century Schoolbook"/>
          <w:i/>
          <w:iCs/>
          <w:sz w:val="26"/>
          <w:szCs w:val="26"/>
        </w:rPr>
        <w:t>Association for Retarded Citizens v. Department of Developmental Services</w:t>
      </w:r>
      <w:r w:rsidRPr="000D43E9">
        <w:rPr>
          <w:rFonts w:ascii="Century Schoolbook" w:hAnsi="Century Schoolbook"/>
          <w:sz w:val="26"/>
          <w:szCs w:val="26"/>
        </w:rPr>
        <w:t xml:space="preserve"> (198</w:t>
      </w:r>
      <w:r w:rsidR="00176A4A">
        <w:rPr>
          <w:rFonts w:ascii="Century Schoolbook" w:hAnsi="Century Schoolbook"/>
          <w:sz w:val="26"/>
          <w:szCs w:val="26"/>
        </w:rPr>
        <w:t>5</w:t>
      </w:r>
      <w:r w:rsidRPr="000D43E9">
        <w:rPr>
          <w:rFonts w:ascii="Century Schoolbook" w:hAnsi="Century Schoolbook"/>
          <w:sz w:val="26"/>
          <w:szCs w:val="26"/>
        </w:rPr>
        <w:t>) 38 Cal.3d 384, 388-389.</w:t>
      </w:r>
      <w:r w:rsidR="002037BB">
        <w:rPr>
          <w:rFonts w:ascii="Century Schoolbook" w:hAnsi="Century Schoolbook"/>
          <w:sz w:val="26"/>
          <w:szCs w:val="26"/>
        </w:rPr>
        <w:t>)</w:t>
      </w:r>
      <w:r w:rsidRPr="000D43E9">
        <w:rPr>
          <w:rFonts w:ascii="Century Schoolbook" w:hAnsi="Century Schoolbook"/>
          <w:sz w:val="26"/>
          <w:szCs w:val="26"/>
        </w:rPr>
        <w:t xml:space="preserve">  The Act labels those persons ‘consumers.’  (E.g., see § 4640.7 et seq.; Cal. Code Regs., tit. 17, § 56002, subd. (a)(5).)  </w:t>
      </w:r>
      <w:r w:rsidR="00AD5B41">
        <w:rPr>
          <w:rFonts w:ascii="Century Schoolbook" w:hAnsi="Century Schoolbook"/>
          <w:sz w:val="26"/>
          <w:szCs w:val="26"/>
        </w:rPr>
        <w:t>[</w:t>
      </w:r>
      <w:r w:rsidR="00AD5B41" w:rsidRPr="00AD5B41">
        <w:rPr>
          <w:rFonts w:ascii="Century Schoolbook" w:hAnsi="Century Schoolbook"/>
          <w:sz w:val="26"/>
          <w:szCs w:val="26"/>
        </w:rPr>
        <w:t>¶</w:t>
      </w:r>
      <w:r w:rsidR="00AD5B41">
        <w:rPr>
          <w:rFonts w:ascii="Century Schoolbook" w:hAnsi="Century Schoolbook"/>
          <w:sz w:val="26"/>
          <w:szCs w:val="26"/>
        </w:rPr>
        <w:t xml:space="preserve">]  </w:t>
      </w:r>
      <w:r w:rsidRPr="000D43E9">
        <w:rPr>
          <w:rFonts w:ascii="Century Schoolbook" w:hAnsi="Century Schoolbook"/>
          <w:sz w:val="26"/>
          <w:szCs w:val="26"/>
        </w:rPr>
        <w:t>The [State] Depa</w:t>
      </w:r>
      <w:r w:rsidRPr="000D43E9">
        <w:rPr>
          <w:rFonts w:ascii="Century Schoolbook" w:hAnsi="Century Schoolbook"/>
          <w:sz w:val="26"/>
          <w:szCs w:val="26"/>
        </w:rPr>
        <w:t xml:space="preserve">rtment [of Developmental Services] oversees the provision of services and support to those consumers.  (§ 4416.)  However, because those services and support ‘cannot be satisfactorily provided by state agencies,’ the Act requires the </w:t>
      </w:r>
      <w:r w:rsidR="00275FE5" w:rsidRPr="000D43E9">
        <w:rPr>
          <w:rFonts w:ascii="Century Schoolbook" w:hAnsi="Century Schoolbook"/>
          <w:sz w:val="26"/>
          <w:szCs w:val="26"/>
        </w:rPr>
        <w:t xml:space="preserve">[State] </w:t>
      </w:r>
      <w:r w:rsidRPr="000D43E9">
        <w:rPr>
          <w:rFonts w:ascii="Century Schoolbook" w:hAnsi="Century Schoolbook"/>
          <w:sz w:val="26"/>
          <w:szCs w:val="26"/>
        </w:rPr>
        <w:t xml:space="preserve">Department </w:t>
      </w:r>
      <w:r w:rsidR="00275FE5" w:rsidRPr="000D43E9">
        <w:rPr>
          <w:rFonts w:ascii="Century Schoolbook" w:hAnsi="Century Schoolbook"/>
          <w:sz w:val="26"/>
          <w:szCs w:val="26"/>
        </w:rPr>
        <w:t xml:space="preserve">[of Developmental Services] </w:t>
      </w:r>
      <w:r w:rsidRPr="000D43E9">
        <w:rPr>
          <w:rFonts w:ascii="Century Schoolbook" w:hAnsi="Century Schoolbook"/>
          <w:sz w:val="26"/>
          <w:szCs w:val="26"/>
        </w:rPr>
        <w:t>to do so by contracting with ‘regional centers,’ which are ‘private nonprofit community agencies’ that operate as ‘fixed points of contact in the community’ to diagnose, counsel and coordinate the acquisition of the necessary servi</w:t>
      </w:r>
      <w:r w:rsidRPr="000D43E9">
        <w:rPr>
          <w:rFonts w:ascii="Century Schoolbook" w:hAnsi="Century Schoolbook"/>
          <w:sz w:val="26"/>
          <w:szCs w:val="26"/>
        </w:rPr>
        <w:t>ces and support.  (</w:t>
      </w:r>
      <w:r w:rsidR="00DD0621" w:rsidRPr="00DD0621">
        <w:rPr>
          <w:rFonts w:ascii="Century Schoolbook" w:hAnsi="Century Schoolbook"/>
          <w:sz w:val="26"/>
          <w:szCs w:val="26"/>
        </w:rPr>
        <w:t>§§ 4620, 4640.7, subd. (a); see</w:t>
      </w:r>
      <w:r w:rsidR="00DD0621">
        <w:rPr>
          <w:rFonts w:ascii="Century Schoolbook" w:hAnsi="Century Schoolbook"/>
          <w:sz w:val="26"/>
          <w:szCs w:val="26"/>
        </w:rPr>
        <w:t xml:space="preserve"> </w:t>
      </w:r>
      <w:r w:rsidRPr="000D43E9">
        <w:rPr>
          <w:rFonts w:ascii="Century Schoolbook" w:hAnsi="Century Schoolbook"/>
          <w:sz w:val="26"/>
          <w:szCs w:val="26"/>
        </w:rPr>
        <w:t xml:space="preserve">§§ </w:t>
      </w:r>
      <w:r w:rsidR="0054023E">
        <w:rPr>
          <w:rFonts w:ascii="Century Schoolbook" w:hAnsi="Century Schoolbook"/>
          <w:sz w:val="26"/>
          <w:szCs w:val="26"/>
        </w:rPr>
        <w:t>4501</w:t>
      </w:r>
      <w:r w:rsidRPr="000D43E9">
        <w:rPr>
          <w:rFonts w:ascii="Century Schoolbook" w:hAnsi="Century Schoolbook"/>
          <w:sz w:val="26"/>
          <w:szCs w:val="26"/>
        </w:rPr>
        <w:t xml:space="preserve">, </w:t>
      </w:r>
      <w:r w:rsidR="0054023E">
        <w:rPr>
          <w:rFonts w:ascii="Century Schoolbook" w:hAnsi="Century Schoolbook"/>
          <w:sz w:val="26"/>
          <w:szCs w:val="26"/>
        </w:rPr>
        <w:t xml:space="preserve">4621, </w:t>
      </w:r>
      <w:r w:rsidRPr="000D43E9">
        <w:rPr>
          <w:rFonts w:ascii="Century Schoolbook" w:hAnsi="Century Schoolbook"/>
          <w:sz w:val="26"/>
          <w:szCs w:val="26"/>
        </w:rPr>
        <w:t>4640.</w:t>
      </w:r>
      <w:r w:rsidR="0054023E">
        <w:rPr>
          <w:rFonts w:ascii="Century Schoolbook" w:hAnsi="Century Schoolbook"/>
          <w:sz w:val="26"/>
          <w:szCs w:val="26"/>
        </w:rPr>
        <w:t>6</w:t>
      </w:r>
      <w:r w:rsidRPr="000D43E9">
        <w:rPr>
          <w:rFonts w:ascii="Century Schoolbook" w:hAnsi="Century Schoolbook"/>
          <w:sz w:val="26"/>
          <w:szCs w:val="26"/>
        </w:rPr>
        <w:t xml:space="preserve">, subd. (a); Cal. Code Regs., tit. 17, § 56002, subd. (a)(36); </w:t>
      </w:r>
      <w:proofErr w:type="spellStart"/>
      <w:r w:rsidRPr="000D43E9">
        <w:rPr>
          <w:rFonts w:ascii="Century Schoolbook" w:hAnsi="Century Schoolbook"/>
          <w:i/>
          <w:iCs/>
          <w:sz w:val="26"/>
          <w:szCs w:val="26"/>
        </w:rPr>
        <w:t>Morohoshi</w:t>
      </w:r>
      <w:proofErr w:type="spellEnd"/>
      <w:r w:rsidRPr="000D43E9">
        <w:rPr>
          <w:rFonts w:ascii="Century Schoolbook" w:hAnsi="Century Schoolbook"/>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xml:space="preserve">], 34 Cal.4th [at pp.] 486-488; </w:t>
      </w:r>
      <w:r w:rsidRPr="000D43E9">
        <w:rPr>
          <w:rFonts w:ascii="Century Schoolbook" w:hAnsi="Century Schoolbook"/>
          <w:i/>
          <w:iCs/>
          <w:sz w:val="26"/>
          <w:szCs w:val="26"/>
        </w:rPr>
        <w:t>In re Williams</w:t>
      </w:r>
      <w:r w:rsidRPr="000D43E9">
        <w:rPr>
          <w:rFonts w:ascii="Century Schoolbook" w:hAnsi="Century Schoolbook"/>
          <w:sz w:val="26"/>
          <w:szCs w:val="26"/>
        </w:rPr>
        <w:t xml:space="preserve"> (2014) 228 Cal.App.4th 989, 996, fn. 2.</w:t>
      </w:r>
      <w:r w:rsidR="00C41C13">
        <w:rPr>
          <w:rFonts w:ascii="Century Schoolbook" w:hAnsi="Century Schoolbook"/>
          <w:sz w:val="26"/>
          <w:szCs w:val="26"/>
        </w:rPr>
        <w:t>)</w:t>
      </w:r>
      <w:r w:rsidRPr="000D43E9">
        <w:rPr>
          <w:rFonts w:ascii="Century Schoolbook" w:hAnsi="Century Schoolbook"/>
          <w:sz w:val="26"/>
          <w:szCs w:val="26"/>
        </w:rPr>
        <w:t>”  (</w:t>
      </w:r>
      <w:proofErr w:type="spellStart"/>
      <w:r w:rsidRPr="000D43E9">
        <w:rPr>
          <w:rFonts w:ascii="Century Schoolbook" w:hAnsi="Century Schoolbook"/>
          <w:i/>
          <w:iCs/>
          <w:sz w:val="26"/>
          <w:szCs w:val="26"/>
        </w:rPr>
        <w:t>Shalghoun</w:t>
      </w:r>
      <w:proofErr w:type="spellEnd"/>
      <w:r w:rsidRPr="000D43E9">
        <w:rPr>
          <w:rFonts w:ascii="Century Schoolbook" w:hAnsi="Century Schoolbook"/>
          <w:i/>
          <w:iCs/>
          <w:sz w:val="26"/>
          <w:szCs w:val="26"/>
        </w:rPr>
        <w:t xml:space="preserve"> v. North L</w:t>
      </w:r>
      <w:r w:rsidR="000859A6">
        <w:rPr>
          <w:rFonts w:ascii="Century Schoolbook" w:hAnsi="Century Schoolbook"/>
          <w:i/>
          <w:iCs/>
          <w:sz w:val="26"/>
          <w:szCs w:val="26"/>
        </w:rPr>
        <w:t>os Angeles</w:t>
      </w:r>
      <w:r w:rsidRPr="000D43E9">
        <w:rPr>
          <w:rFonts w:ascii="Century Schoolbook" w:hAnsi="Century Schoolbook"/>
          <w:i/>
          <w:iCs/>
          <w:sz w:val="26"/>
          <w:szCs w:val="26"/>
        </w:rPr>
        <w:t xml:space="preserve"> County Regional Center, Inc.</w:t>
      </w:r>
      <w:r w:rsidRPr="000D43E9">
        <w:rPr>
          <w:rFonts w:ascii="Century Schoolbook" w:hAnsi="Century Schoolbook"/>
          <w:sz w:val="26"/>
          <w:szCs w:val="26"/>
        </w:rPr>
        <w:t xml:space="preserve"> (2024) 99 Cal.App.5th </w:t>
      </w:r>
      <w:r w:rsidR="0054023E">
        <w:rPr>
          <w:rFonts w:ascii="Century Schoolbook" w:hAnsi="Century Schoolbook"/>
          <w:sz w:val="26"/>
          <w:szCs w:val="26"/>
        </w:rPr>
        <w:t>929</w:t>
      </w:r>
      <w:r w:rsidRPr="000D43E9">
        <w:rPr>
          <w:rFonts w:ascii="Century Schoolbook" w:hAnsi="Century Schoolbook"/>
          <w:sz w:val="26"/>
          <w:szCs w:val="26"/>
        </w:rPr>
        <w:t xml:space="preserve">, </w:t>
      </w:r>
      <w:r w:rsidR="00C41C13">
        <w:rPr>
          <w:rFonts w:ascii="Century Schoolbook" w:hAnsi="Century Schoolbook"/>
          <w:sz w:val="26"/>
          <w:szCs w:val="26"/>
        </w:rPr>
        <w:t>941</w:t>
      </w:r>
      <w:r w:rsidRPr="000D43E9">
        <w:rPr>
          <w:rFonts w:ascii="Century Schoolbook" w:hAnsi="Century Schoolbook"/>
          <w:sz w:val="26"/>
          <w:szCs w:val="26"/>
        </w:rPr>
        <w:t xml:space="preserve"> (</w:t>
      </w:r>
      <w:proofErr w:type="spellStart"/>
      <w:r w:rsidRPr="000D43E9">
        <w:rPr>
          <w:rFonts w:ascii="Century Schoolbook" w:hAnsi="Century Schoolbook"/>
          <w:i/>
          <w:iCs/>
          <w:sz w:val="26"/>
          <w:szCs w:val="26"/>
        </w:rPr>
        <w:t>Shalghoun</w:t>
      </w:r>
      <w:proofErr w:type="spellEnd"/>
      <w:r w:rsidRPr="000D43E9">
        <w:rPr>
          <w:rFonts w:ascii="Century Schoolbook" w:hAnsi="Century Schoolbook"/>
          <w:sz w:val="26"/>
          <w:szCs w:val="26"/>
        </w:rPr>
        <w:t xml:space="preserve">).)  </w:t>
      </w:r>
    </w:p>
    <w:p w14:paraId="62D71BE4" w14:textId="77777777" w:rsidR="00EE1159" w:rsidRDefault="00EE1159" w:rsidP="000D43E9">
      <w:pPr>
        <w:spacing w:line="288" w:lineRule="auto"/>
        <w:rPr>
          <w:rFonts w:ascii="Century Schoolbook" w:hAnsi="Century Schoolbook"/>
          <w:sz w:val="26"/>
          <w:szCs w:val="26"/>
        </w:rPr>
      </w:pPr>
    </w:p>
    <w:p w14:paraId="4606D5A8" w14:textId="77777777" w:rsidR="00EE1159" w:rsidRPr="000D43E9" w:rsidRDefault="00EE1159" w:rsidP="000D43E9">
      <w:pPr>
        <w:spacing w:line="288" w:lineRule="auto"/>
        <w:rPr>
          <w:rFonts w:ascii="Century Schoolbook" w:hAnsi="Century Schoolbook"/>
          <w:sz w:val="26"/>
          <w:szCs w:val="26"/>
          <w:u w:val="single"/>
        </w:rPr>
      </w:pPr>
    </w:p>
    <w:p w14:paraId="4F973FDA" w14:textId="7B5CD3C0"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lastRenderedPageBreak/>
        <w:tab/>
        <w:t>More specifically, regional centers are tasked with the following:</w:t>
      </w:r>
    </w:p>
    <w:p w14:paraId="78795CF1" w14:textId="2AE39E94"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w:t>
      </w:r>
      <w:r w:rsidRPr="000D43E9">
        <w:rPr>
          <w:rFonts w:ascii="Century Schoolbook" w:hAnsi="Century Schoolbook"/>
          <w:sz w:val="26"/>
          <w:szCs w:val="26"/>
        </w:rPr>
        <w:tab/>
      </w:r>
      <w:r w:rsidRPr="000D43E9">
        <w:rPr>
          <w:rFonts w:ascii="Century Schoolbook" w:hAnsi="Century Schoolbook"/>
          <w:i/>
          <w:iCs/>
          <w:sz w:val="26"/>
          <w:szCs w:val="26"/>
        </w:rPr>
        <w:t>Diagnosis and program developme</w:t>
      </w:r>
      <w:r w:rsidRPr="000D43E9">
        <w:rPr>
          <w:rFonts w:ascii="Century Schoolbook" w:hAnsi="Century Schoolbook"/>
          <w:i/>
          <w:iCs/>
          <w:sz w:val="26"/>
          <w:szCs w:val="26"/>
        </w:rPr>
        <w:t>nt</w:t>
      </w:r>
      <w:r w:rsidRPr="000D43E9">
        <w:rPr>
          <w:rFonts w:ascii="Century Schoolbook" w:hAnsi="Century Schoolbook"/>
          <w:sz w:val="26"/>
          <w:szCs w:val="26"/>
        </w:rPr>
        <w:t xml:space="preserve">.  Once a regional center evaluates a </w:t>
      </w:r>
      <w:r w:rsidR="0054023E">
        <w:rPr>
          <w:rFonts w:ascii="Century Schoolbook" w:hAnsi="Century Schoolbook"/>
          <w:sz w:val="26"/>
          <w:szCs w:val="26"/>
        </w:rPr>
        <w:t xml:space="preserve">consumer </w:t>
      </w:r>
      <w:r w:rsidRPr="000D43E9">
        <w:rPr>
          <w:rFonts w:ascii="Century Schoolbook" w:hAnsi="Century Schoolbook"/>
          <w:sz w:val="26"/>
          <w:szCs w:val="26"/>
        </w:rPr>
        <w:t>and determines that they suffer from a “developmental disability,” the center must assess their needs and formulate an “individual program plan” that delineates, as pertinent here, the needed “services and s</w:t>
      </w:r>
      <w:r w:rsidRPr="000D43E9">
        <w:rPr>
          <w:rFonts w:ascii="Century Schoolbook" w:hAnsi="Century Schoolbook"/>
          <w:sz w:val="26"/>
          <w:szCs w:val="26"/>
        </w:rPr>
        <w:t>upports.”  (§§ 4642, subd. (a), 4643, subd. (b), 4646, 4512, subd. (a), 4646.5</w:t>
      </w:r>
      <w:r w:rsidR="00A759E9">
        <w:rPr>
          <w:rFonts w:ascii="Century Schoolbook" w:hAnsi="Century Schoolbook"/>
          <w:sz w:val="26"/>
          <w:szCs w:val="26"/>
        </w:rPr>
        <w:t>,</w:t>
      </w:r>
      <w:r w:rsidRPr="000D43E9">
        <w:rPr>
          <w:rFonts w:ascii="Century Schoolbook" w:hAnsi="Century Schoolbook"/>
          <w:sz w:val="26"/>
          <w:szCs w:val="26"/>
        </w:rPr>
        <w:t xml:space="preserve"> subd. (a); </w:t>
      </w:r>
      <w:proofErr w:type="spellStart"/>
      <w:r w:rsidRPr="000D43E9">
        <w:rPr>
          <w:rFonts w:ascii="Century Schoolbook" w:hAnsi="Century Schoolbook"/>
          <w:i/>
          <w:iCs/>
          <w:sz w:val="26"/>
          <w:szCs w:val="26"/>
        </w:rPr>
        <w:t>Morohoshi</w:t>
      </w:r>
      <w:proofErr w:type="spellEnd"/>
      <w:r w:rsidRPr="000D43E9">
        <w:rPr>
          <w:rFonts w:ascii="Century Schoolbook" w:hAnsi="Century Schoolbook"/>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34 Cal.4th at pp. 487-488; Cal. Code Regs., tit. 17, § 56022, subd. (b).)</w:t>
      </w:r>
    </w:p>
    <w:p w14:paraId="62EF8614" w14:textId="5C3D2BE3"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w:t>
      </w:r>
      <w:r w:rsidRPr="000D43E9">
        <w:rPr>
          <w:rFonts w:ascii="Century Schoolbook" w:hAnsi="Century Schoolbook"/>
          <w:sz w:val="26"/>
          <w:szCs w:val="26"/>
        </w:rPr>
        <w:tab/>
      </w:r>
      <w:r w:rsidRPr="000D43E9">
        <w:rPr>
          <w:rFonts w:ascii="Century Schoolbook" w:hAnsi="Century Schoolbook"/>
          <w:i/>
          <w:iCs/>
          <w:sz w:val="26"/>
          <w:szCs w:val="26"/>
        </w:rPr>
        <w:t>Coordinating the provision of services and support</w:t>
      </w:r>
      <w:r w:rsidRPr="000D43E9">
        <w:rPr>
          <w:rFonts w:ascii="Century Schoolbook" w:hAnsi="Century Schoolbook"/>
          <w:sz w:val="26"/>
          <w:szCs w:val="26"/>
        </w:rPr>
        <w:t xml:space="preserve">.  It is not the job of regional centers to directly provide any services or support; instead, their job is to </w:t>
      </w:r>
      <w:r w:rsidRPr="000D43E9">
        <w:rPr>
          <w:rFonts w:ascii="Century Schoolbook" w:hAnsi="Century Schoolbook"/>
          <w:i/>
          <w:iCs/>
          <w:sz w:val="26"/>
          <w:szCs w:val="26"/>
        </w:rPr>
        <w:t>coordinate</w:t>
      </w:r>
      <w:r w:rsidRPr="000D43E9">
        <w:rPr>
          <w:rFonts w:ascii="Century Schoolbook" w:hAnsi="Century Schoolbook"/>
          <w:sz w:val="26"/>
          <w:szCs w:val="26"/>
        </w:rPr>
        <w:t xml:space="preserve"> the services and support a consumer</w:t>
      </w:r>
      <w:r w:rsidR="009146FA">
        <w:rPr>
          <w:rFonts w:ascii="Century Schoolbook" w:hAnsi="Century Schoolbook"/>
          <w:sz w:val="26"/>
          <w:szCs w:val="26"/>
        </w:rPr>
        <w:t>’s</w:t>
      </w:r>
      <w:r w:rsidRPr="000D43E9">
        <w:rPr>
          <w:rFonts w:ascii="Century Schoolbook" w:hAnsi="Century Schoolbook"/>
          <w:sz w:val="26"/>
          <w:szCs w:val="26"/>
        </w:rPr>
        <w:t xml:space="preserve"> needs by contracting with “direct service providers,” who are also called vendors.  (§</w:t>
      </w:r>
      <w:r w:rsidR="00CB341F" w:rsidRPr="00CB341F">
        <w:rPr>
          <w:rFonts w:ascii="Century Schoolbook" w:hAnsi="Century Schoolbook"/>
          <w:sz w:val="26"/>
          <w:szCs w:val="26"/>
        </w:rPr>
        <w:t>§</w:t>
      </w:r>
      <w:r w:rsidRPr="000D43E9">
        <w:rPr>
          <w:rFonts w:ascii="Century Schoolbook" w:hAnsi="Century Schoolbook"/>
          <w:sz w:val="26"/>
          <w:szCs w:val="26"/>
        </w:rPr>
        <w:t xml:space="preserve"> 4648, 46</w:t>
      </w:r>
      <w:r w:rsidRPr="000D43E9">
        <w:rPr>
          <w:rFonts w:ascii="Century Schoolbook" w:hAnsi="Century Schoolbook"/>
          <w:sz w:val="26"/>
          <w:szCs w:val="26"/>
        </w:rPr>
        <w:t xml:space="preserve">40.6, subd. (a); </w:t>
      </w:r>
      <w:proofErr w:type="spellStart"/>
      <w:r w:rsidRPr="000D43E9">
        <w:rPr>
          <w:rFonts w:ascii="Century Schoolbook" w:hAnsi="Century Schoolbook"/>
          <w:i/>
          <w:iCs/>
          <w:sz w:val="26"/>
          <w:szCs w:val="26"/>
        </w:rPr>
        <w:t>Morohoshi</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34 Cal.4th at pp. 488, 489 [“the responsibility of a regional center is to ‘secure,’ not provide</w:t>
      </w:r>
      <w:r w:rsidR="00DA3463">
        <w:rPr>
          <w:rFonts w:ascii="Century Schoolbook" w:hAnsi="Century Schoolbook"/>
          <w:sz w:val="26"/>
          <w:szCs w:val="26"/>
        </w:rPr>
        <w:t>,</w:t>
      </w:r>
      <w:r w:rsidRPr="000D43E9">
        <w:rPr>
          <w:rFonts w:ascii="Century Schoolbook" w:hAnsi="Century Schoolbook"/>
          <w:sz w:val="26"/>
          <w:szCs w:val="26"/>
        </w:rPr>
        <w:t xml:space="preserve"> care”].)  The array of possible services and support is comprehensive and vast;</w:t>
      </w:r>
      <w:r>
        <w:rPr>
          <w:rStyle w:val="FootnoteReference"/>
          <w:rFonts w:ascii="Century Schoolbook" w:hAnsi="Century Schoolbook"/>
          <w:b/>
          <w:bCs/>
          <w:szCs w:val="26"/>
        </w:rPr>
        <w:footnoteReference w:id="7"/>
      </w:r>
      <w:r w:rsidRPr="000D43E9">
        <w:rPr>
          <w:rFonts w:ascii="Century Schoolbook" w:hAnsi="Century Schoolbook"/>
          <w:sz w:val="26"/>
          <w:szCs w:val="26"/>
        </w:rPr>
        <w:t xml:space="preserve"> among the 4</w:t>
      </w:r>
      <w:r w:rsidR="002F5516">
        <w:rPr>
          <w:rFonts w:ascii="Century Schoolbook" w:hAnsi="Century Schoolbook"/>
          <w:sz w:val="26"/>
          <w:szCs w:val="26"/>
        </w:rPr>
        <w:t>8</w:t>
      </w:r>
      <w:r w:rsidRPr="000D43E9">
        <w:rPr>
          <w:rFonts w:ascii="Century Schoolbook" w:hAnsi="Century Schoolbook"/>
          <w:sz w:val="26"/>
          <w:szCs w:val="26"/>
        </w:rPr>
        <w:t xml:space="preserve"> different types of </w:t>
      </w:r>
      <w:r w:rsidR="009E3EA0">
        <w:rPr>
          <w:rFonts w:ascii="Century Schoolbook" w:hAnsi="Century Schoolbook"/>
          <w:sz w:val="26"/>
          <w:szCs w:val="26"/>
        </w:rPr>
        <w:t xml:space="preserve">services </w:t>
      </w:r>
      <w:r w:rsidR="009E3EA0">
        <w:rPr>
          <w:rFonts w:ascii="Century Schoolbook" w:hAnsi="Century Schoolbook"/>
          <w:sz w:val="26"/>
          <w:szCs w:val="26"/>
        </w:rPr>
        <w:lastRenderedPageBreak/>
        <w:t xml:space="preserve">and </w:t>
      </w:r>
      <w:r w:rsidRPr="000D43E9">
        <w:rPr>
          <w:rFonts w:ascii="Century Schoolbook" w:hAnsi="Century Schoolbook"/>
          <w:sz w:val="26"/>
          <w:szCs w:val="26"/>
        </w:rPr>
        <w:t>support are “transportation services necessary to ensure delivery of services to” consumers.  (§ 4512, subd. (b).)  Vendors may include the consumer’s relatives.  (E.g., Cal. Code Reg</w:t>
      </w:r>
      <w:r w:rsidR="00F641C0">
        <w:rPr>
          <w:rFonts w:ascii="Century Schoolbook" w:hAnsi="Century Schoolbook"/>
          <w:sz w:val="26"/>
          <w:szCs w:val="26"/>
        </w:rPr>
        <w:t>s</w:t>
      </w:r>
      <w:r w:rsidRPr="000D43E9">
        <w:rPr>
          <w:rFonts w:ascii="Century Schoolbook" w:hAnsi="Century Schoolbook"/>
          <w:sz w:val="26"/>
          <w:szCs w:val="26"/>
        </w:rPr>
        <w:t>., tit. 17, § 54327, subd. (a).)</w:t>
      </w:r>
    </w:p>
    <w:p w14:paraId="19F7A946" w14:textId="06B86C9D"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w:t>
      </w:r>
      <w:r w:rsidRPr="000D43E9">
        <w:rPr>
          <w:rFonts w:ascii="Century Schoolbook" w:hAnsi="Century Schoolbook"/>
          <w:sz w:val="26"/>
          <w:szCs w:val="26"/>
        </w:rPr>
        <w:tab/>
      </w:r>
      <w:r w:rsidRPr="000D43E9">
        <w:rPr>
          <w:rFonts w:ascii="Century Schoolbook" w:hAnsi="Century Schoolbook"/>
          <w:i/>
          <w:iCs/>
          <w:sz w:val="26"/>
          <w:szCs w:val="26"/>
        </w:rPr>
        <w:t>Monitoring the provision of serv</w:t>
      </w:r>
      <w:r w:rsidRPr="000D43E9">
        <w:rPr>
          <w:rFonts w:ascii="Century Schoolbook" w:hAnsi="Century Schoolbook"/>
          <w:i/>
          <w:iCs/>
          <w:sz w:val="26"/>
          <w:szCs w:val="26"/>
        </w:rPr>
        <w:t>ices and support.</w:t>
      </w:r>
      <w:r w:rsidRPr="000D43E9">
        <w:rPr>
          <w:rFonts w:ascii="Century Schoolbook" w:hAnsi="Century Schoolbook"/>
          <w:sz w:val="26"/>
          <w:szCs w:val="26"/>
        </w:rPr>
        <w:t xml:space="preserve">  Regional centers are tasked with monitoring whether the services and support provided by the vendors are in accord with (1) the consumer’s individual program plan (§§ 4742, 4743; Cal. Code Regs., tit. 17, § 56047, subd. (a)), and (2) the</w:t>
      </w:r>
      <w:r w:rsidRPr="000D43E9">
        <w:rPr>
          <w:rFonts w:ascii="Century Schoolbook" w:hAnsi="Century Schoolbook"/>
          <w:sz w:val="26"/>
          <w:szCs w:val="26"/>
        </w:rPr>
        <w:t xml:space="preserve"> terms of the vendor contract and applicable state law and regulations (e.g., </w:t>
      </w:r>
      <w:r w:rsidRPr="000D43E9">
        <w:rPr>
          <w:rFonts w:ascii="Century Schoolbook" w:hAnsi="Century Schoolbook"/>
          <w:i/>
          <w:iCs/>
          <w:sz w:val="26"/>
          <w:szCs w:val="26"/>
        </w:rPr>
        <w:t>Williams v. California</w:t>
      </w:r>
      <w:r w:rsidRPr="000D43E9">
        <w:rPr>
          <w:rFonts w:ascii="Century Schoolbook" w:hAnsi="Century Schoolbook"/>
          <w:sz w:val="26"/>
          <w:szCs w:val="26"/>
        </w:rPr>
        <w:t xml:space="preserve"> (</w:t>
      </w:r>
      <w:proofErr w:type="spellStart"/>
      <w:r w:rsidRPr="000D43E9">
        <w:rPr>
          <w:rFonts w:ascii="Century Schoolbook" w:hAnsi="Century Schoolbook"/>
          <w:sz w:val="26"/>
          <w:szCs w:val="26"/>
        </w:rPr>
        <w:t>C.D.Cal</w:t>
      </w:r>
      <w:proofErr w:type="spellEnd"/>
      <w:r w:rsidRPr="000D43E9">
        <w:rPr>
          <w:rFonts w:ascii="Century Schoolbook" w:hAnsi="Century Schoolbook"/>
          <w:sz w:val="26"/>
          <w:szCs w:val="26"/>
        </w:rPr>
        <w:t xml:space="preserve">. 2012) 990 F.Supp.2d 1009, 1014).  Given the vast number of consumers they </w:t>
      </w:r>
      <w:proofErr w:type="gramStart"/>
      <w:r w:rsidRPr="000D43E9">
        <w:rPr>
          <w:rFonts w:ascii="Century Schoolbook" w:hAnsi="Century Schoolbook"/>
          <w:sz w:val="26"/>
          <w:szCs w:val="26"/>
        </w:rPr>
        <w:t>serve</w:t>
      </w:r>
      <w:proofErr w:type="gramEnd"/>
      <w:r w:rsidRPr="000D43E9">
        <w:rPr>
          <w:rFonts w:ascii="Century Schoolbook" w:hAnsi="Century Schoolbook"/>
          <w:sz w:val="26"/>
          <w:szCs w:val="26"/>
        </w:rPr>
        <w:t xml:space="preserve"> and the vast number of services and support coordinated for each</w:t>
      </w:r>
      <w:r w:rsidR="00A15CAC">
        <w:rPr>
          <w:rFonts w:ascii="Century Schoolbook" w:hAnsi="Century Schoolbook"/>
          <w:sz w:val="26"/>
          <w:szCs w:val="26"/>
        </w:rPr>
        <w:t xml:space="preserve"> consumer</w:t>
      </w:r>
      <w:r w:rsidRPr="000D43E9">
        <w:rPr>
          <w:rFonts w:ascii="Century Schoolbook" w:hAnsi="Century Schoolbook"/>
          <w:sz w:val="26"/>
          <w:szCs w:val="26"/>
        </w:rPr>
        <w:t>, “regional centers are not intended to monitor the care provided by [vendors] on [a] day-by-day” or “hour-by-hour” basis; instead, their “monitoring responsibilities,” while “important,” are necessarily “limited.”  (</w:t>
      </w:r>
      <w:proofErr w:type="spellStart"/>
      <w:r w:rsidRPr="000D43E9">
        <w:rPr>
          <w:rFonts w:ascii="Century Schoolbook" w:hAnsi="Century Schoolbook"/>
          <w:i/>
          <w:iCs/>
          <w:sz w:val="26"/>
          <w:szCs w:val="26"/>
        </w:rPr>
        <w:t>Morohoshi</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34 Cal.4th at</w:t>
      </w:r>
      <w:r w:rsidRPr="000D43E9">
        <w:rPr>
          <w:rFonts w:ascii="Century Schoolbook" w:hAnsi="Century Schoolbook"/>
          <w:sz w:val="26"/>
          <w:szCs w:val="26"/>
        </w:rPr>
        <w:t xml:space="preserve"> pp. 488-489, 490.)</w:t>
      </w:r>
    </w:p>
    <w:p w14:paraId="4D25AD82" w14:textId="77777777" w:rsidR="002F4B2B" w:rsidRPr="000D43E9" w:rsidRDefault="009A7CC9" w:rsidP="000D43E9">
      <w:pPr>
        <w:spacing w:line="288" w:lineRule="auto"/>
        <w:rPr>
          <w:rFonts w:ascii="Century Schoolbook" w:hAnsi="Century Schoolbook"/>
          <w:b/>
          <w:bCs/>
          <w:sz w:val="26"/>
          <w:szCs w:val="26"/>
        </w:rPr>
      </w:pPr>
      <w:r w:rsidRPr="000D43E9">
        <w:rPr>
          <w:rFonts w:ascii="Century Schoolbook" w:hAnsi="Century Schoolbook"/>
          <w:b/>
          <w:bCs/>
          <w:sz w:val="26"/>
          <w:szCs w:val="26"/>
        </w:rPr>
        <w:t>II.</w:t>
      </w:r>
      <w:r w:rsidRPr="000D43E9">
        <w:rPr>
          <w:rFonts w:ascii="Century Schoolbook" w:hAnsi="Century Schoolbook"/>
          <w:b/>
          <w:bCs/>
          <w:sz w:val="26"/>
          <w:szCs w:val="26"/>
        </w:rPr>
        <w:tab/>
        <w:t>Analysis of Tort Law</w:t>
      </w:r>
    </w:p>
    <w:p w14:paraId="397E2E37" w14:textId="3D6601CC"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b/>
          <w:bCs/>
          <w:sz w:val="26"/>
          <w:szCs w:val="26"/>
        </w:rPr>
        <w:tab/>
      </w:r>
      <w:r w:rsidRPr="000D43E9">
        <w:rPr>
          <w:rFonts w:ascii="Century Schoolbook" w:hAnsi="Century Schoolbook"/>
          <w:sz w:val="26"/>
          <w:szCs w:val="26"/>
        </w:rPr>
        <w:t xml:space="preserve">A.L.’s sole claim against the Regional Center is grounded in negligence.  To prevail on a negligence claim, a plaintiff must </w:t>
      </w:r>
      <w:r w:rsidRPr="000D43E9">
        <w:rPr>
          <w:rFonts w:ascii="Century Schoolbook" w:hAnsi="Century Schoolbook"/>
          <w:sz w:val="26"/>
          <w:szCs w:val="26"/>
        </w:rPr>
        <w:lastRenderedPageBreak/>
        <w:t>establish, as a “threshold matter,” that she is owed a “legal duty of care.”  (</w:t>
      </w:r>
      <w:r w:rsidRPr="000D43E9">
        <w:rPr>
          <w:rFonts w:ascii="Century Schoolbook" w:hAnsi="Century Schoolbook"/>
          <w:i/>
          <w:iCs/>
          <w:sz w:val="26"/>
          <w:szCs w:val="26"/>
        </w:rPr>
        <w:t>Brown</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11 Cal.5th at pp. 213, 209.)  Whether a defendant owes a plaintiff a legal duty of care actionable in negligence is, ultimately, a “question of public policy.”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4 Cal.5th at pp. 627-628; see </w:t>
      </w:r>
      <w:proofErr w:type="spellStart"/>
      <w:r w:rsidRPr="000D43E9">
        <w:rPr>
          <w:rFonts w:ascii="Century Schoolbook" w:hAnsi="Century Schoolbook"/>
          <w:i/>
          <w:iCs/>
          <w:sz w:val="26"/>
          <w:szCs w:val="26"/>
        </w:rPr>
        <w:t>Kuciemba</w:t>
      </w:r>
      <w:proofErr w:type="spellEnd"/>
      <w:r w:rsidRPr="000D43E9">
        <w:rPr>
          <w:rFonts w:ascii="Century Schoolbook" w:hAnsi="Century Schoolbook"/>
          <w:i/>
          <w:iCs/>
          <w:sz w:val="26"/>
          <w:szCs w:val="26"/>
        </w:rPr>
        <w:t xml:space="preserve"> v. Victory Woodworks, Inc</w:t>
      </w:r>
      <w:r w:rsidRPr="000D43E9">
        <w:rPr>
          <w:rFonts w:ascii="Century Schoolbook" w:hAnsi="Century Schoolbook"/>
          <w:i/>
          <w:iCs/>
          <w:sz w:val="26"/>
          <w:szCs w:val="26"/>
        </w:rPr>
        <w:t>.</w:t>
      </w:r>
      <w:r w:rsidRPr="000D43E9">
        <w:rPr>
          <w:rFonts w:ascii="Century Schoolbook" w:hAnsi="Century Schoolbook"/>
          <w:sz w:val="26"/>
          <w:szCs w:val="26"/>
        </w:rPr>
        <w:t xml:space="preserve"> (2023) 14 Cal.5th 993, 1016 (</w:t>
      </w:r>
      <w:proofErr w:type="spellStart"/>
      <w:r w:rsidRPr="000D43E9">
        <w:rPr>
          <w:rFonts w:ascii="Century Schoolbook" w:hAnsi="Century Schoolbook"/>
          <w:i/>
          <w:iCs/>
          <w:sz w:val="26"/>
          <w:szCs w:val="26"/>
        </w:rPr>
        <w:t>Kuciemba</w:t>
      </w:r>
      <w:proofErr w:type="spellEnd"/>
      <w:r w:rsidRPr="000D43E9">
        <w:rPr>
          <w:rFonts w:ascii="Century Schoolbook" w:hAnsi="Century Schoolbook"/>
          <w:sz w:val="26"/>
          <w:szCs w:val="26"/>
        </w:rPr>
        <w:t xml:space="preserve">); </w:t>
      </w:r>
      <w:proofErr w:type="spellStart"/>
      <w:r w:rsidRPr="000D43E9">
        <w:rPr>
          <w:rFonts w:ascii="Century Schoolbook" w:hAnsi="Century Schoolbook"/>
          <w:i/>
          <w:iCs/>
          <w:sz w:val="26"/>
          <w:szCs w:val="26"/>
        </w:rPr>
        <w:t>Kesner</w:t>
      </w:r>
      <w:proofErr w:type="spellEnd"/>
      <w:r w:rsidRPr="000D43E9">
        <w:rPr>
          <w:rFonts w:ascii="Century Schoolbook" w:hAnsi="Century Schoolbook"/>
          <w:i/>
          <w:iCs/>
          <w:sz w:val="26"/>
          <w:szCs w:val="26"/>
        </w:rPr>
        <w:t xml:space="preserve"> v. Superior Court</w:t>
      </w:r>
      <w:r w:rsidRPr="000D43E9">
        <w:rPr>
          <w:rFonts w:ascii="Century Schoolbook" w:hAnsi="Century Schoolbook"/>
          <w:sz w:val="26"/>
          <w:szCs w:val="26"/>
        </w:rPr>
        <w:t xml:space="preserve"> (2016) 1 Cal.5th 1132, 1143 (</w:t>
      </w:r>
      <w:proofErr w:type="spellStart"/>
      <w:r w:rsidRPr="000D43E9">
        <w:rPr>
          <w:rFonts w:ascii="Century Schoolbook" w:hAnsi="Century Schoolbook"/>
          <w:i/>
          <w:iCs/>
          <w:sz w:val="26"/>
          <w:szCs w:val="26"/>
        </w:rPr>
        <w:t>Kesner</w:t>
      </w:r>
      <w:proofErr w:type="spellEnd"/>
      <w:r w:rsidRPr="000D43E9">
        <w:rPr>
          <w:rFonts w:ascii="Century Schoolbook" w:hAnsi="Century Schoolbook"/>
          <w:sz w:val="26"/>
          <w:szCs w:val="26"/>
        </w:rPr>
        <w:t xml:space="preserve">).)  In </w:t>
      </w:r>
      <w:r w:rsidRPr="000D43E9">
        <w:rPr>
          <w:rFonts w:ascii="Century Schoolbook" w:hAnsi="Century Schoolbook"/>
          <w:i/>
          <w:iCs/>
          <w:sz w:val="26"/>
          <w:szCs w:val="26"/>
        </w:rPr>
        <w:t>Brown</w:t>
      </w:r>
      <w:r w:rsidRPr="000D43E9">
        <w:rPr>
          <w:rFonts w:ascii="Century Schoolbook" w:hAnsi="Century Schoolbook"/>
          <w:sz w:val="26"/>
          <w:szCs w:val="26"/>
        </w:rPr>
        <w:t xml:space="preserve">, our Supreme Court clarified that this question of public policy is really </w:t>
      </w:r>
      <w:r w:rsidRPr="000D43E9">
        <w:rPr>
          <w:rFonts w:ascii="Century Schoolbook" w:hAnsi="Century Schoolbook"/>
          <w:i/>
          <w:iCs/>
          <w:sz w:val="26"/>
          <w:szCs w:val="26"/>
        </w:rPr>
        <w:t>two</w:t>
      </w:r>
      <w:r w:rsidRPr="000D43E9">
        <w:rPr>
          <w:rFonts w:ascii="Century Schoolbook" w:hAnsi="Century Schoolbook"/>
          <w:sz w:val="26"/>
          <w:szCs w:val="26"/>
        </w:rPr>
        <w:t xml:space="preserve"> questions—namely, “(1) Does the defendant owe the plaintiff a</w:t>
      </w:r>
      <w:r w:rsidRPr="000D43E9">
        <w:rPr>
          <w:rFonts w:ascii="Century Schoolbook" w:hAnsi="Century Schoolbook"/>
          <w:sz w:val="26"/>
          <w:szCs w:val="26"/>
        </w:rPr>
        <w:t xml:space="preserve"> legal duty of care under traditional principles of tort law, and if so, (2) do the relevant public policy considerations set forth in </w:t>
      </w:r>
      <w:r w:rsidRPr="000D43E9">
        <w:rPr>
          <w:rFonts w:ascii="Century Schoolbook" w:hAnsi="Century Schoolbook"/>
          <w:i/>
          <w:iCs/>
          <w:sz w:val="26"/>
          <w:szCs w:val="26"/>
        </w:rPr>
        <w:t>Rowland v. Christian</w:t>
      </w:r>
      <w:r w:rsidRPr="000D43E9">
        <w:rPr>
          <w:rFonts w:ascii="Century Schoolbook" w:hAnsi="Century Schoolbook"/>
          <w:sz w:val="26"/>
          <w:szCs w:val="26"/>
        </w:rPr>
        <w:t xml:space="preserve"> (1968) 69 Cal.2d 108 (</w:t>
      </w:r>
      <w:r w:rsidRPr="000D43E9">
        <w:rPr>
          <w:rFonts w:ascii="Century Schoolbook" w:hAnsi="Century Schoolbook"/>
          <w:i/>
          <w:iCs/>
          <w:sz w:val="26"/>
          <w:szCs w:val="26"/>
        </w:rPr>
        <w:t>Rowland</w:t>
      </w:r>
      <w:r w:rsidRPr="000D43E9">
        <w:rPr>
          <w:rFonts w:ascii="Century Schoolbook" w:hAnsi="Century Schoolbook"/>
          <w:sz w:val="26"/>
          <w:szCs w:val="26"/>
        </w:rPr>
        <w:t>) nevertheless favor ‘limiting that duty’?”  (</w:t>
      </w:r>
      <w:proofErr w:type="spellStart"/>
      <w:r w:rsidRPr="000D43E9">
        <w:rPr>
          <w:rFonts w:ascii="Century Schoolbook" w:hAnsi="Century Schoolbook"/>
          <w:i/>
          <w:iCs/>
          <w:sz w:val="26"/>
          <w:szCs w:val="26"/>
        </w:rPr>
        <w:t>Shalghoun</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99 Cal.</w:t>
      </w:r>
      <w:r w:rsidRPr="000D43E9">
        <w:rPr>
          <w:rFonts w:ascii="Century Schoolbook" w:hAnsi="Century Schoolbook"/>
          <w:sz w:val="26"/>
          <w:szCs w:val="26"/>
        </w:rPr>
        <w:t xml:space="preserve">App.5th at </w:t>
      </w:r>
      <w:r w:rsidR="009D4C94">
        <w:rPr>
          <w:rFonts w:ascii="Century Schoolbook" w:hAnsi="Century Schoolbook"/>
          <w:sz w:val="26"/>
          <w:szCs w:val="26"/>
        </w:rPr>
        <w:t>p. 944</w:t>
      </w:r>
      <w:r w:rsidR="009D4C94" w:rsidRPr="00A76FEF">
        <w:rPr>
          <w:rFonts w:ascii="Century Schoolbook" w:hAnsi="Century Schoolbook"/>
          <w:sz w:val="26"/>
          <w:szCs w:val="26"/>
        </w:rPr>
        <w:t>;</w:t>
      </w:r>
      <w:r w:rsidRPr="000D43E9">
        <w:rPr>
          <w:rFonts w:ascii="Century Schoolbook" w:hAnsi="Century Schoolbook"/>
          <w:sz w:val="26"/>
          <w:szCs w:val="26"/>
        </w:rPr>
        <w:t xml:space="preserve"> </w:t>
      </w:r>
      <w:r w:rsidRPr="000D43E9">
        <w:rPr>
          <w:rFonts w:ascii="Century Schoolbook" w:hAnsi="Century Schoolbook"/>
          <w:i/>
          <w:iCs/>
          <w:sz w:val="26"/>
          <w:szCs w:val="26"/>
        </w:rPr>
        <w:t>Brown</w:t>
      </w:r>
      <w:r w:rsidRPr="000D43E9">
        <w:rPr>
          <w:rFonts w:ascii="Century Schoolbook" w:hAnsi="Century Schoolbook"/>
          <w:sz w:val="26"/>
          <w:szCs w:val="26"/>
        </w:rPr>
        <w:t>, at p. 209.)</w:t>
      </w:r>
    </w:p>
    <w:p w14:paraId="38BFD397" w14:textId="77777777"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In the operative complaint, A.L. alleges that the Regional Center owed her a duty to prevent Ocampo’s rape and that it breached that duty by its initial failure to properly vet Round Trip as a vendor and its subsequen</w:t>
      </w:r>
      <w:r w:rsidRPr="000D43E9">
        <w:rPr>
          <w:rFonts w:ascii="Century Schoolbook" w:hAnsi="Century Schoolbook"/>
          <w:sz w:val="26"/>
          <w:szCs w:val="26"/>
        </w:rPr>
        <w:t>t failure to adequately monitor Round Trip’s provision of transportation services.  These allegations frame our inquiry into the legal duty of care.  (</w:t>
      </w:r>
      <w:r w:rsidRPr="000D43E9">
        <w:rPr>
          <w:rFonts w:ascii="Century Schoolbook" w:hAnsi="Century Schoolbook"/>
          <w:i/>
          <w:iCs/>
          <w:sz w:val="26"/>
          <w:szCs w:val="26"/>
        </w:rPr>
        <w:t xml:space="preserve">California-American Water Co. v. Marina Coast Water Dist. </w:t>
      </w:r>
      <w:r w:rsidRPr="000D43E9">
        <w:rPr>
          <w:rFonts w:ascii="Century Schoolbook" w:hAnsi="Century Schoolbook"/>
          <w:sz w:val="26"/>
          <w:szCs w:val="26"/>
        </w:rPr>
        <w:t xml:space="preserve">(2022) 86 Cal.App.5th 1272, 1306; </w:t>
      </w:r>
      <w:r w:rsidRPr="000D43E9">
        <w:rPr>
          <w:rFonts w:ascii="Century Schoolbook" w:hAnsi="Century Schoolbook"/>
          <w:i/>
          <w:iCs/>
          <w:sz w:val="26"/>
          <w:szCs w:val="26"/>
        </w:rPr>
        <w:t>B.L.M. v. Sab</w:t>
      </w:r>
      <w:r w:rsidRPr="000D43E9">
        <w:rPr>
          <w:rFonts w:ascii="Century Schoolbook" w:hAnsi="Century Schoolbook"/>
          <w:i/>
          <w:iCs/>
          <w:sz w:val="26"/>
          <w:szCs w:val="26"/>
        </w:rPr>
        <w:t xml:space="preserve">o &amp; </w:t>
      </w:r>
      <w:proofErr w:type="spellStart"/>
      <w:r w:rsidRPr="000D43E9">
        <w:rPr>
          <w:rFonts w:ascii="Century Schoolbook" w:hAnsi="Century Schoolbook"/>
          <w:i/>
          <w:iCs/>
          <w:sz w:val="26"/>
          <w:szCs w:val="26"/>
        </w:rPr>
        <w:t>Deitsch</w:t>
      </w:r>
      <w:proofErr w:type="spellEnd"/>
      <w:r w:rsidRPr="000D43E9">
        <w:rPr>
          <w:rFonts w:ascii="Century Schoolbook" w:hAnsi="Century Schoolbook"/>
          <w:sz w:val="26"/>
          <w:szCs w:val="26"/>
        </w:rPr>
        <w:t xml:space="preserve"> (1997) 55 Cal.App.4th 823, 830.)</w:t>
      </w:r>
    </w:p>
    <w:p w14:paraId="32251901" w14:textId="651FD6AC" w:rsidR="002F4B2B" w:rsidRPr="000D43E9" w:rsidRDefault="009A7CC9" w:rsidP="000D43E9">
      <w:pPr>
        <w:spacing w:line="288" w:lineRule="auto"/>
        <w:rPr>
          <w:rFonts w:ascii="Century Schoolbook" w:hAnsi="Century Schoolbook"/>
          <w:b/>
          <w:bCs/>
          <w:i/>
          <w:iCs/>
          <w:sz w:val="26"/>
          <w:szCs w:val="26"/>
        </w:rPr>
      </w:pPr>
      <w:r w:rsidRPr="000D43E9">
        <w:rPr>
          <w:rFonts w:ascii="Century Schoolbook" w:hAnsi="Century Schoolbook"/>
          <w:sz w:val="26"/>
          <w:szCs w:val="26"/>
        </w:rPr>
        <w:tab/>
      </w:r>
      <w:r w:rsidRPr="000D43E9">
        <w:rPr>
          <w:rFonts w:ascii="Century Schoolbook" w:hAnsi="Century Schoolbook"/>
          <w:b/>
          <w:bCs/>
          <w:sz w:val="26"/>
          <w:szCs w:val="26"/>
        </w:rPr>
        <w:t>A.</w:t>
      </w:r>
      <w:r w:rsidRPr="000D43E9">
        <w:rPr>
          <w:rFonts w:ascii="Century Schoolbook" w:hAnsi="Century Schoolbook"/>
          <w:b/>
          <w:bCs/>
          <w:sz w:val="26"/>
          <w:szCs w:val="26"/>
        </w:rPr>
        <w:tab/>
      </w:r>
      <w:r w:rsidRPr="000D43E9">
        <w:rPr>
          <w:rFonts w:ascii="Century Schoolbook" w:hAnsi="Century Schoolbook"/>
          <w:b/>
          <w:bCs/>
          <w:i/>
          <w:iCs/>
          <w:sz w:val="26"/>
          <w:szCs w:val="26"/>
        </w:rPr>
        <w:t>Duty under traditional principles of tort law</w:t>
      </w:r>
    </w:p>
    <w:p w14:paraId="543D0A56" w14:textId="77777777"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r>
      <w:r w:rsidRPr="000D43E9">
        <w:rPr>
          <w:rFonts w:ascii="Century Schoolbook" w:hAnsi="Century Schoolbook"/>
          <w:sz w:val="26"/>
          <w:szCs w:val="26"/>
        </w:rPr>
        <w:t xml:space="preserve">Under the traditional principles of tort law, a person generally has no legal duty to protect others from a third party’s conduct; consequently, that person’s </w:t>
      </w:r>
      <w:r w:rsidRPr="000D43E9">
        <w:rPr>
          <w:rFonts w:ascii="Century Schoolbook" w:hAnsi="Century Schoolbook"/>
          <w:i/>
          <w:iCs/>
          <w:sz w:val="26"/>
          <w:szCs w:val="26"/>
        </w:rPr>
        <w:t xml:space="preserve">inaction </w:t>
      </w:r>
      <w:r w:rsidRPr="000D43E9">
        <w:rPr>
          <w:rFonts w:ascii="Century Schoolbook" w:hAnsi="Century Schoolbook"/>
          <w:sz w:val="26"/>
          <w:szCs w:val="26"/>
        </w:rPr>
        <w:t>(or nonfeasance) does not give rise to tort liability.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4 Cal.5th at pp</w:t>
      </w:r>
      <w:r w:rsidRPr="000D43E9">
        <w:rPr>
          <w:rFonts w:ascii="Century Schoolbook" w:hAnsi="Century Schoolbook"/>
          <w:sz w:val="26"/>
          <w:szCs w:val="26"/>
        </w:rPr>
        <w:t xml:space="preserve">. 619, 627; </w:t>
      </w:r>
      <w:r w:rsidRPr="000D43E9">
        <w:rPr>
          <w:rFonts w:ascii="Century Schoolbook" w:hAnsi="Century Schoolbook"/>
          <w:i/>
          <w:iCs/>
          <w:sz w:val="26"/>
          <w:szCs w:val="26"/>
        </w:rPr>
        <w:t xml:space="preserve">Williams v. State of California </w:t>
      </w:r>
      <w:r w:rsidRPr="000D43E9">
        <w:rPr>
          <w:rFonts w:ascii="Century Schoolbook" w:hAnsi="Century Schoolbook"/>
          <w:sz w:val="26"/>
          <w:szCs w:val="26"/>
        </w:rPr>
        <w:t xml:space="preserve">(1983) 34 Cal.3d 18, 23; </w:t>
      </w:r>
      <w:proofErr w:type="spellStart"/>
      <w:r w:rsidRPr="000D43E9">
        <w:rPr>
          <w:rFonts w:ascii="Century Schoolbook" w:hAnsi="Century Schoolbook"/>
          <w:i/>
          <w:iCs/>
          <w:sz w:val="26"/>
          <w:szCs w:val="26"/>
        </w:rPr>
        <w:t>Weirum</w:t>
      </w:r>
      <w:proofErr w:type="spellEnd"/>
      <w:r w:rsidRPr="000D43E9">
        <w:rPr>
          <w:rFonts w:ascii="Century Schoolbook" w:hAnsi="Century Schoolbook"/>
          <w:i/>
          <w:iCs/>
          <w:sz w:val="26"/>
          <w:szCs w:val="26"/>
        </w:rPr>
        <w:t xml:space="preserve"> v. RKO General, Inc.</w:t>
      </w:r>
      <w:r w:rsidRPr="000D43E9">
        <w:rPr>
          <w:rFonts w:ascii="Century Schoolbook" w:hAnsi="Century Schoolbook"/>
          <w:sz w:val="26"/>
          <w:szCs w:val="26"/>
        </w:rPr>
        <w:t xml:space="preserve"> (1975) 15 Cal.3d 40, 49.)  </w:t>
      </w:r>
    </w:p>
    <w:p w14:paraId="44C27051" w14:textId="1326E5C2"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lastRenderedPageBreak/>
        <w:t xml:space="preserve">But this general, no-duty-to-protect rule has an exception pertinent to this case:  If the party who is sued (the defendant) has a </w:t>
      </w:r>
      <w:r w:rsidRPr="000D43E9">
        <w:rPr>
          <w:rFonts w:ascii="Century Schoolbook" w:hAnsi="Century Schoolbook"/>
          <w:sz w:val="26"/>
          <w:szCs w:val="26"/>
        </w:rPr>
        <w:t>“special relationship” with the party who is injured (the plaintiff), that relationship may give rise to a duty to protect the plaintiff from the harm inflicted by third parties if the defendant has “superior control over the means of protect[</w:t>
      </w:r>
      <w:proofErr w:type="spellStart"/>
      <w:r w:rsidRPr="000D43E9">
        <w:rPr>
          <w:rFonts w:ascii="Century Schoolbook" w:hAnsi="Century Schoolbook"/>
          <w:sz w:val="26"/>
          <w:szCs w:val="26"/>
        </w:rPr>
        <w:t>ing</w:t>
      </w:r>
      <w:proofErr w:type="spellEnd"/>
      <w:r w:rsidRPr="000D43E9">
        <w:rPr>
          <w:rFonts w:ascii="Century Schoolbook" w:hAnsi="Century Schoolbook"/>
          <w:sz w:val="26"/>
          <w:szCs w:val="26"/>
        </w:rPr>
        <w:t>]” the pla</w:t>
      </w:r>
      <w:r w:rsidRPr="000D43E9">
        <w:rPr>
          <w:rFonts w:ascii="Century Schoolbook" w:hAnsi="Century Schoolbook"/>
          <w:sz w:val="26"/>
          <w:szCs w:val="26"/>
        </w:rPr>
        <w:t>intiff and the plaintiff concomitantly “depend[s]” upon that protection.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w:t>
      </w:r>
      <w:r w:rsidR="00E25BFC" w:rsidRPr="000D43E9">
        <w:rPr>
          <w:rFonts w:ascii="Century Schoolbook" w:hAnsi="Century Schoolbook"/>
          <w:i/>
          <w:iCs/>
          <w:sz w:val="26"/>
          <w:szCs w:val="26"/>
        </w:rPr>
        <w:t>supra</w:t>
      </w:r>
      <w:r w:rsidR="00E25BFC" w:rsidRPr="000D43E9">
        <w:rPr>
          <w:rFonts w:ascii="Century Schoolbook" w:hAnsi="Century Schoolbook"/>
          <w:sz w:val="26"/>
          <w:szCs w:val="26"/>
        </w:rPr>
        <w:t xml:space="preserve">, </w:t>
      </w:r>
      <w:r w:rsidR="00E25BFC">
        <w:rPr>
          <w:rFonts w:ascii="Century Schoolbook" w:hAnsi="Century Schoolbook"/>
          <w:sz w:val="26"/>
          <w:szCs w:val="26"/>
        </w:rPr>
        <w:t xml:space="preserve">4 Cal.5th </w:t>
      </w:r>
      <w:r w:rsidRPr="000D43E9">
        <w:rPr>
          <w:rFonts w:ascii="Century Schoolbook" w:hAnsi="Century Schoolbook"/>
          <w:sz w:val="26"/>
          <w:szCs w:val="26"/>
        </w:rPr>
        <w:t xml:space="preserve">at pp. 619-621; </w:t>
      </w:r>
      <w:proofErr w:type="spellStart"/>
      <w:r w:rsidRPr="000D43E9">
        <w:rPr>
          <w:rFonts w:ascii="Century Schoolbook" w:hAnsi="Century Schoolbook"/>
          <w:i/>
          <w:iCs/>
          <w:sz w:val="26"/>
          <w:szCs w:val="26"/>
        </w:rPr>
        <w:t>Shalghoun</w:t>
      </w:r>
      <w:proofErr w:type="spellEnd"/>
      <w:r w:rsidR="00636749">
        <w:rPr>
          <w:rFonts w:ascii="Century Schoolbook" w:hAnsi="Century Schoolbook"/>
          <w:sz w:val="26"/>
          <w:szCs w:val="26"/>
        </w:rPr>
        <w:t>,</w:t>
      </w:r>
      <w:r w:rsidR="00636749">
        <w:rPr>
          <w:rFonts w:ascii="Century Schoolbook" w:hAnsi="Century Schoolbook"/>
          <w:i/>
          <w:iCs/>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99 Cal.App.5th at pp.</w:t>
      </w:r>
      <w:r w:rsidR="009429B3">
        <w:rPr>
          <w:rFonts w:ascii="Century Schoolbook" w:hAnsi="Century Schoolbook"/>
          <w:sz w:val="26"/>
          <w:szCs w:val="26"/>
        </w:rPr>
        <w:t xml:space="preserve"> 446, 494</w:t>
      </w:r>
      <w:r w:rsidRPr="009429B3">
        <w:rPr>
          <w:rFonts w:ascii="Century Schoolbook" w:hAnsi="Century Schoolbook"/>
          <w:sz w:val="26"/>
          <w:szCs w:val="26"/>
        </w:rPr>
        <w:t>.)</w:t>
      </w:r>
      <w:r w:rsidRPr="000D43E9">
        <w:rPr>
          <w:rFonts w:ascii="Century Schoolbook" w:hAnsi="Century Schoolbook"/>
          <w:sz w:val="26"/>
          <w:szCs w:val="26"/>
        </w:rPr>
        <w:t xml:space="preserve">  </w:t>
      </w:r>
    </w:p>
    <w:p w14:paraId="725B9C8E" w14:textId="6197E0E4"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Because regional centers are tasked with coordinating vendors to provide consumers ser</w:t>
      </w:r>
      <w:r w:rsidRPr="000D43E9">
        <w:rPr>
          <w:rFonts w:ascii="Century Schoolbook" w:hAnsi="Century Schoolbook"/>
          <w:sz w:val="26"/>
          <w:szCs w:val="26"/>
        </w:rPr>
        <w:t>vices and support as well as engaging in “limited” monitoring to ensure compliance with the consumer’s plan and the vendor’s contracts, and because these statutorily imposed tasks ostensibly give regional centers at least some measure of control over the m</w:t>
      </w:r>
      <w:r w:rsidRPr="000D43E9">
        <w:rPr>
          <w:rFonts w:ascii="Century Schoolbook" w:hAnsi="Century Schoolbook"/>
          <w:sz w:val="26"/>
          <w:szCs w:val="26"/>
        </w:rPr>
        <w:t>eans of protecting the consumers, we conclude that regional centers have a special relationship with their consumers that gives rise to a duty to protect consumers from sexual abuse.</w:t>
      </w:r>
      <w:r>
        <w:rPr>
          <w:rStyle w:val="FootnoteReference"/>
          <w:rFonts w:ascii="Century Schoolbook" w:hAnsi="Century Schoolbook"/>
          <w:b/>
          <w:bCs/>
          <w:szCs w:val="26"/>
        </w:rPr>
        <w:footnoteReference w:id="8"/>
      </w:r>
      <w:r w:rsidRPr="00A76FEF">
        <w:rPr>
          <w:rFonts w:ascii="Century Schoolbook" w:hAnsi="Century Schoolbook"/>
          <w:b/>
          <w:bCs/>
          <w:sz w:val="26"/>
          <w:szCs w:val="26"/>
        </w:rPr>
        <w:t xml:space="preserve"> </w:t>
      </w:r>
      <w:r w:rsidRPr="000D43E9">
        <w:rPr>
          <w:rFonts w:ascii="Century Schoolbook" w:hAnsi="Century Schoolbook"/>
          <w:sz w:val="26"/>
          <w:szCs w:val="26"/>
        </w:rPr>
        <w:t xml:space="preserve"> (Accord, </w:t>
      </w:r>
      <w:proofErr w:type="spellStart"/>
      <w:r w:rsidRPr="000D43E9">
        <w:rPr>
          <w:rFonts w:ascii="Century Schoolbook" w:hAnsi="Century Schoolbook"/>
          <w:i/>
          <w:iCs/>
          <w:sz w:val="26"/>
          <w:szCs w:val="26"/>
        </w:rPr>
        <w:t>Shalghoun</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99 Cal.App.5th at p. </w:t>
      </w:r>
      <w:r w:rsidR="00DE788E">
        <w:rPr>
          <w:rFonts w:ascii="Century Schoolbook" w:hAnsi="Century Schoolbook"/>
          <w:sz w:val="26"/>
          <w:szCs w:val="26"/>
        </w:rPr>
        <w:t>951</w:t>
      </w:r>
      <w:r w:rsidR="0012611D" w:rsidRPr="000D43E9">
        <w:rPr>
          <w:rFonts w:ascii="Century Schoolbook" w:hAnsi="Century Schoolbook"/>
          <w:sz w:val="26"/>
          <w:szCs w:val="26"/>
        </w:rPr>
        <w:t xml:space="preserve"> </w:t>
      </w:r>
      <w:r w:rsidRPr="000D43E9">
        <w:rPr>
          <w:rFonts w:ascii="Century Schoolbook" w:hAnsi="Century Schoolbook"/>
          <w:sz w:val="26"/>
          <w:szCs w:val="26"/>
        </w:rPr>
        <w:t>[“</w:t>
      </w:r>
      <w:proofErr w:type="spellStart"/>
      <w:r w:rsidRPr="000D43E9">
        <w:rPr>
          <w:rFonts w:ascii="Century Schoolbook" w:hAnsi="Century Schoolbook"/>
          <w:sz w:val="26"/>
          <w:szCs w:val="26"/>
        </w:rPr>
        <w:t>assum</w:t>
      </w:r>
      <w:proofErr w:type="spellEnd"/>
      <w:r w:rsidRPr="000D43E9">
        <w:rPr>
          <w:rFonts w:ascii="Century Schoolbook" w:hAnsi="Century Schoolbook"/>
          <w:sz w:val="26"/>
          <w:szCs w:val="26"/>
        </w:rPr>
        <w:t>[</w:t>
      </w:r>
      <w:proofErr w:type="spellStart"/>
      <w:r w:rsidRPr="000D43E9">
        <w:rPr>
          <w:rFonts w:ascii="Century Schoolbook" w:hAnsi="Century Schoolbook"/>
          <w:sz w:val="26"/>
          <w:szCs w:val="26"/>
        </w:rPr>
        <w:t>ing</w:t>
      </w:r>
      <w:proofErr w:type="spellEnd"/>
      <w:r w:rsidRPr="000D43E9">
        <w:rPr>
          <w:rFonts w:ascii="Century Schoolbook" w:hAnsi="Century Schoolbook"/>
          <w:sz w:val="26"/>
          <w:szCs w:val="26"/>
        </w:rPr>
        <w:t>]” “a duty to protect” that “runs” from regional centers “</w:t>
      </w:r>
      <w:r w:rsidRPr="00A76FEF">
        <w:rPr>
          <w:rFonts w:ascii="Century Schoolbook" w:hAnsi="Century Schoolbook"/>
          <w:i/>
          <w:iCs/>
          <w:sz w:val="26"/>
          <w:szCs w:val="26"/>
        </w:rPr>
        <w:t>to the consumer[s]</w:t>
      </w:r>
      <w:r w:rsidRPr="000D43E9">
        <w:rPr>
          <w:rFonts w:ascii="Century Schoolbook" w:hAnsi="Century Schoolbook"/>
          <w:sz w:val="26"/>
          <w:szCs w:val="26"/>
        </w:rPr>
        <w:t xml:space="preserve">”].)  </w:t>
      </w:r>
    </w:p>
    <w:p w14:paraId="3F91D837" w14:textId="77777777" w:rsidR="002F4B2B" w:rsidRPr="000D43E9" w:rsidRDefault="009A7CC9" w:rsidP="000D43E9">
      <w:pPr>
        <w:spacing w:line="288" w:lineRule="auto"/>
        <w:rPr>
          <w:rFonts w:ascii="Century Schoolbook" w:hAnsi="Century Schoolbook"/>
          <w:b/>
          <w:bCs/>
          <w:sz w:val="26"/>
          <w:szCs w:val="26"/>
        </w:rPr>
      </w:pPr>
      <w:r w:rsidRPr="000D43E9">
        <w:rPr>
          <w:rFonts w:ascii="Century Schoolbook" w:hAnsi="Century Schoolbook"/>
          <w:sz w:val="26"/>
          <w:szCs w:val="26"/>
        </w:rPr>
        <w:tab/>
      </w:r>
      <w:r w:rsidRPr="000D43E9">
        <w:rPr>
          <w:rFonts w:ascii="Century Schoolbook" w:hAnsi="Century Schoolbook"/>
          <w:b/>
          <w:bCs/>
          <w:sz w:val="26"/>
          <w:szCs w:val="26"/>
        </w:rPr>
        <w:t>B.</w:t>
      </w:r>
      <w:r w:rsidRPr="000D43E9">
        <w:rPr>
          <w:rFonts w:ascii="Century Schoolbook" w:hAnsi="Century Schoolbook"/>
          <w:b/>
          <w:bCs/>
          <w:sz w:val="26"/>
          <w:szCs w:val="26"/>
        </w:rPr>
        <w:tab/>
      </w:r>
      <w:r w:rsidRPr="000D43E9">
        <w:rPr>
          <w:rFonts w:ascii="Century Schoolbook" w:hAnsi="Century Schoolbook"/>
          <w:b/>
          <w:bCs/>
          <w:i/>
          <w:iCs/>
          <w:sz w:val="26"/>
          <w:szCs w:val="26"/>
        </w:rPr>
        <w:t>Public policy considerations that may counsel in favor of limiting the duty</w:t>
      </w:r>
    </w:p>
    <w:p w14:paraId="59208DB8" w14:textId="761F42CE"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Notwithstanding our conclusion that </w:t>
      </w:r>
      <w:r w:rsidRPr="000D43E9">
        <w:rPr>
          <w:rFonts w:ascii="Century Schoolbook" w:hAnsi="Century Schoolbook"/>
          <w:sz w:val="26"/>
          <w:szCs w:val="26"/>
        </w:rPr>
        <w:t xml:space="preserve">traditional principles of tort law provide that regional centers have a duty to protect </w:t>
      </w:r>
      <w:r w:rsidRPr="000D43E9">
        <w:rPr>
          <w:rFonts w:ascii="Century Schoolbook" w:hAnsi="Century Schoolbook"/>
          <w:sz w:val="26"/>
          <w:szCs w:val="26"/>
        </w:rPr>
        <w:lastRenderedPageBreak/>
        <w:t>consumers from sexual abuse, “courts have the power and obligation to examine whether considerations of public policy warrant limiting that duty.”  (</w:t>
      </w:r>
      <w:proofErr w:type="spellStart"/>
      <w:r w:rsidRPr="000D43E9">
        <w:rPr>
          <w:rFonts w:ascii="Century Schoolbook" w:hAnsi="Century Schoolbook"/>
          <w:i/>
          <w:iCs/>
          <w:sz w:val="26"/>
          <w:szCs w:val="26"/>
        </w:rPr>
        <w:t>Shalghoun</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9</w:t>
      </w:r>
      <w:r w:rsidRPr="000D43E9">
        <w:rPr>
          <w:rFonts w:ascii="Century Schoolbook" w:hAnsi="Century Schoolbook"/>
          <w:sz w:val="26"/>
          <w:szCs w:val="26"/>
        </w:rPr>
        <w:t xml:space="preserve">9 Cal.App.5th at p. </w:t>
      </w:r>
      <w:r w:rsidR="005D59B6">
        <w:rPr>
          <w:rFonts w:ascii="Century Schoolbook" w:hAnsi="Century Schoolbook"/>
          <w:sz w:val="26"/>
          <w:szCs w:val="26"/>
        </w:rPr>
        <w:t>946;</w:t>
      </w:r>
      <w:r w:rsidRPr="000D43E9">
        <w:rPr>
          <w:rFonts w:ascii="Century Schoolbook" w:hAnsi="Century Schoolbook"/>
          <w:sz w:val="26"/>
          <w:szCs w:val="26"/>
        </w:rPr>
        <w:t xml:space="preserve"> </w:t>
      </w:r>
      <w:r w:rsidRPr="000D43E9">
        <w:rPr>
          <w:rFonts w:ascii="Century Schoolbook" w:hAnsi="Century Schoolbook"/>
          <w:i/>
          <w:iCs/>
          <w:sz w:val="26"/>
          <w:szCs w:val="26"/>
        </w:rPr>
        <w:t>Brown</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11 Cal.5th at p. 217;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4 Cal.5th at pp. 628-629.)  “This public policy analysis is ‘forward-looking’ and to be conducted on a general, categorical basis (</w:t>
      </w:r>
      <w:proofErr w:type="spellStart"/>
      <w:r w:rsidRPr="000D43E9">
        <w:rPr>
          <w:rFonts w:ascii="Century Schoolbook" w:hAnsi="Century Schoolbook"/>
          <w:i/>
          <w:iCs/>
          <w:sz w:val="26"/>
          <w:szCs w:val="26"/>
        </w:rPr>
        <w:t>Kesner</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1 Cal.5th at p. 1152; </w:t>
      </w:r>
      <w:r w:rsidR="0029605E">
        <w:rPr>
          <w:rFonts w:ascii="Century Schoolbook" w:hAnsi="Century Schoolbook"/>
          <w:sz w:val="26"/>
          <w:szCs w:val="26"/>
        </w:rPr>
        <w:t xml:space="preserve">see </w:t>
      </w:r>
      <w:proofErr w:type="spellStart"/>
      <w:r w:rsidRPr="000D43E9">
        <w:rPr>
          <w:rFonts w:ascii="Century Schoolbook" w:hAnsi="Century Schoolbook"/>
          <w:i/>
          <w:iCs/>
          <w:sz w:val="26"/>
          <w:szCs w:val="26"/>
        </w:rPr>
        <w:t>Kuciemba</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14 Cal.5th at p. 1022); in effect, we ask:  Does public policy warrant curtailing liability in a particular </w:t>
      </w:r>
      <w:r w:rsidRPr="000D43E9">
        <w:rPr>
          <w:rFonts w:ascii="Century Schoolbook" w:hAnsi="Century Schoolbook"/>
          <w:i/>
          <w:iCs/>
          <w:sz w:val="26"/>
          <w:szCs w:val="26"/>
        </w:rPr>
        <w:t>category</w:t>
      </w:r>
      <w:r w:rsidRPr="000D43E9">
        <w:rPr>
          <w:rFonts w:ascii="Century Schoolbook" w:hAnsi="Century Schoolbook"/>
          <w:sz w:val="26"/>
          <w:szCs w:val="26"/>
        </w:rPr>
        <w:t xml:space="preserve"> of cases in the future?”  (</w:t>
      </w:r>
      <w:proofErr w:type="spellStart"/>
      <w:r w:rsidRPr="000D43E9">
        <w:rPr>
          <w:rFonts w:ascii="Century Schoolbook" w:hAnsi="Century Schoolbook"/>
          <w:i/>
          <w:iCs/>
          <w:sz w:val="26"/>
          <w:szCs w:val="26"/>
        </w:rPr>
        <w:t>Shalghoun</w:t>
      </w:r>
      <w:proofErr w:type="spellEnd"/>
      <w:r w:rsidRPr="000D43E9">
        <w:rPr>
          <w:rFonts w:ascii="Century Schoolbook" w:hAnsi="Century Schoolbook"/>
          <w:sz w:val="26"/>
          <w:szCs w:val="26"/>
        </w:rPr>
        <w:t xml:space="preserve">, at p. </w:t>
      </w:r>
      <w:r w:rsidR="0029605E">
        <w:rPr>
          <w:rFonts w:ascii="Century Schoolbook" w:hAnsi="Century Schoolbook"/>
          <w:sz w:val="26"/>
          <w:szCs w:val="26"/>
        </w:rPr>
        <w:t>946.)</w:t>
      </w:r>
    </w:p>
    <w:p w14:paraId="50E9C095" w14:textId="77777777" w:rsidR="002F4B2B" w:rsidRPr="000D43E9" w:rsidRDefault="009A7CC9" w:rsidP="000D43E9">
      <w:pPr>
        <w:spacing w:line="288" w:lineRule="auto"/>
        <w:rPr>
          <w:rFonts w:ascii="Century Schoolbook" w:hAnsi="Century Schoolbook"/>
          <w:i/>
          <w:iCs/>
          <w:sz w:val="26"/>
          <w:szCs w:val="26"/>
        </w:rPr>
      </w:pPr>
      <w:r w:rsidRPr="000D43E9">
        <w:rPr>
          <w:rFonts w:ascii="Century Schoolbook" w:hAnsi="Century Schoolbook"/>
          <w:sz w:val="26"/>
          <w:szCs w:val="26"/>
        </w:rPr>
        <w:tab/>
      </w:r>
      <w:r w:rsidRPr="000D43E9">
        <w:rPr>
          <w:rFonts w:ascii="Century Schoolbook" w:hAnsi="Century Schoolbook"/>
          <w:sz w:val="26"/>
          <w:szCs w:val="26"/>
        </w:rPr>
        <w:tab/>
        <w:t>1.</w:t>
      </w:r>
      <w:r w:rsidRPr="000D43E9">
        <w:rPr>
          <w:rFonts w:ascii="Century Schoolbook" w:hAnsi="Century Schoolbook"/>
          <w:sz w:val="26"/>
          <w:szCs w:val="26"/>
        </w:rPr>
        <w:tab/>
      </w:r>
      <w:r w:rsidRPr="000D43E9">
        <w:rPr>
          <w:rFonts w:ascii="Century Schoolbook" w:hAnsi="Century Schoolbook"/>
          <w:i/>
          <w:iCs/>
          <w:sz w:val="26"/>
          <w:szCs w:val="26"/>
        </w:rPr>
        <w:t xml:space="preserve">The </w:t>
      </w:r>
      <w:r w:rsidRPr="000D43E9">
        <w:rPr>
          <w:rFonts w:ascii="Century Schoolbook" w:hAnsi="Century Schoolbook"/>
          <w:sz w:val="26"/>
          <w:szCs w:val="26"/>
        </w:rPr>
        <w:t xml:space="preserve">Rowland </w:t>
      </w:r>
      <w:r w:rsidRPr="000D43E9">
        <w:rPr>
          <w:rFonts w:ascii="Century Schoolbook" w:hAnsi="Century Schoolbook"/>
          <w:i/>
          <w:iCs/>
          <w:sz w:val="26"/>
          <w:szCs w:val="26"/>
        </w:rPr>
        <w:t>factors</w:t>
      </w:r>
    </w:p>
    <w:p w14:paraId="328DEDD2" w14:textId="77777777"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In </w:t>
      </w:r>
      <w:r w:rsidRPr="000D43E9">
        <w:rPr>
          <w:rFonts w:ascii="Century Schoolbook" w:hAnsi="Century Schoolbook"/>
          <w:i/>
          <w:iCs/>
          <w:sz w:val="26"/>
          <w:szCs w:val="26"/>
        </w:rPr>
        <w:t>Rowland</w:t>
      </w:r>
      <w:r w:rsidRPr="000D43E9">
        <w:rPr>
          <w:rFonts w:ascii="Century Schoolbook" w:hAnsi="Century Schoolbook"/>
          <w:sz w:val="26"/>
          <w:szCs w:val="26"/>
        </w:rPr>
        <w:t>, our Su</w:t>
      </w:r>
      <w:r w:rsidRPr="000D43E9">
        <w:rPr>
          <w:rFonts w:ascii="Century Schoolbook" w:hAnsi="Century Schoolbook"/>
          <w:sz w:val="26"/>
          <w:szCs w:val="26"/>
        </w:rPr>
        <w:t>preme Court outlined the pertinent public policy considerations.  They fall into two categories.</w:t>
      </w:r>
    </w:p>
    <w:p w14:paraId="09E95507" w14:textId="2CAF8B8A"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The first category examines the foreseeability of the plaintiff’s injury.  </w:t>
      </w:r>
      <w:r w:rsidRPr="000D43E9">
        <w:rPr>
          <w:rFonts w:ascii="Century Schoolbook" w:hAnsi="Century Schoolbook"/>
          <w:i/>
          <w:iCs/>
          <w:sz w:val="26"/>
          <w:szCs w:val="26"/>
        </w:rPr>
        <w:t>Rowland</w:t>
      </w:r>
      <w:r w:rsidRPr="000D43E9">
        <w:rPr>
          <w:rFonts w:ascii="Century Schoolbook" w:hAnsi="Century Schoolbook"/>
          <w:sz w:val="26"/>
          <w:szCs w:val="26"/>
        </w:rPr>
        <w:t xml:space="preserve"> identifies three foreseeability factors:  (1) whether “‘“the category of ne</w:t>
      </w:r>
      <w:r w:rsidRPr="000D43E9">
        <w:rPr>
          <w:rFonts w:ascii="Century Schoolbook" w:hAnsi="Century Schoolbook"/>
          <w:sz w:val="26"/>
          <w:szCs w:val="26"/>
        </w:rPr>
        <w:t>gligent conduct at issue is sufficiently likely to result in the kind of harm experienced that liability may appropriate</w:t>
      </w:r>
      <w:r w:rsidR="00A65528">
        <w:rPr>
          <w:rFonts w:ascii="Century Schoolbook" w:hAnsi="Century Schoolbook"/>
          <w:sz w:val="26"/>
          <w:szCs w:val="26"/>
        </w:rPr>
        <w:t>ly</w:t>
      </w:r>
      <w:r w:rsidRPr="000D43E9">
        <w:rPr>
          <w:rFonts w:ascii="Century Schoolbook" w:hAnsi="Century Schoolbook"/>
          <w:sz w:val="26"/>
          <w:szCs w:val="26"/>
        </w:rPr>
        <w:t xml:space="preserve"> be imposed”’”; (2) the degree of certainty that the plaintiff suffered injury; and (3) the closeness of the connection “‘between the </w:t>
      </w:r>
      <w:r w:rsidRPr="000D43E9">
        <w:rPr>
          <w:rFonts w:ascii="Century Schoolbook" w:hAnsi="Century Schoolbook"/>
          <w:sz w:val="26"/>
          <w:szCs w:val="26"/>
        </w:rPr>
        <w:t>defendant’s conduct and the injury suffered.’”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4 Cal.5th at pp. 629-630.) </w:t>
      </w:r>
    </w:p>
    <w:p w14:paraId="576FA8CF" w14:textId="186210EC"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Although these foreseeability factors are “‘[t]he most important’”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4 Cal.5th at p. 629), foreseeability is not dispositive of the policy analysis</w:t>
      </w:r>
      <w:r w:rsidRPr="000D43E9">
        <w:rPr>
          <w:rFonts w:ascii="Century Schoolbook" w:hAnsi="Century Schoolbook"/>
          <w:sz w:val="26"/>
          <w:szCs w:val="26"/>
        </w:rPr>
        <w:t xml:space="preserve"> and may be outweighed by the second category of </w:t>
      </w:r>
      <w:r w:rsidRPr="000D43E9">
        <w:rPr>
          <w:rFonts w:ascii="Century Schoolbook" w:hAnsi="Century Schoolbook"/>
          <w:i/>
          <w:iCs/>
          <w:sz w:val="26"/>
          <w:szCs w:val="26"/>
        </w:rPr>
        <w:t xml:space="preserve">Rowland </w:t>
      </w:r>
      <w:r w:rsidRPr="000D43E9">
        <w:rPr>
          <w:rFonts w:ascii="Century Schoolbook" w:hAnsi="Century Schoolbook"/>
          <w:sz w:val="26"/>
          <w:szCs w:val="26"/>
        </w:rPr>
        <w:t>factors (</w:t>
      </w:r>
      <w:proofErr w:type="spellStart"/>
      <w:r w:rsidRPr="000D43E9">
        <w:rPr>
          <w:rFonts w:ascii="Century Schoolbook" w:hAnsi="Century Schoolbook"/>
          <w:i/>
          <w:iCs/>
          <w:sz w:val="26"/>
          <w:szCs w:val="26"/>
        </w:rPr>
        <w:t>Kesner</w:t>
      </w:r>
      <w:proofErr w:type="spellEnd"/>
      <w:r w:rsidRPr="000D43E9">
        <w:rPr>
          <w:rFonts w:ascii="Century Schoolbook" w:hAnsi="Century Schoolbook"/>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xml:space="preserve">, 1 Cal.5th at p. 1149).  Those factors ask whether “‘the social utility of the activity </w:t>
      </w:r>
      <w:r w:rsidR="009D06AF">
        <w:rPr>
          <w:rFonts w:ascii="Century Schoolbook" w:hAnsi="Century Schoolbook"/>
          <w:sz w:val="26"/>
          <w:szCs w:val="26"/>
        </w:rPr>
        <w:t xml:space="preserve">concerned </w:t>
      </w:r>
      <w:r w:rsidRPr="000D43E9">
        <w:rPr>
          <w:rFonts w:ascii="Century Schoolbook" w:hAnsi="Century Schoolbook"/>
          <w:sz w:val="26"/>
          <w:szCs w:val="26"/>
        </w:rPr>
        <w:t>is so great, and avoidance of the injuries so burdensome to society, as to out</w:t>
      </w:r>
      <w:r w:rsidRPr="000D43E9">
        <w:rPr>
          <w:rFonts w:ascii="Century Schoolbook" w:hAnsi="Century Schoolbook"/>
          <w:sz w:val="26"/>
          <w:szCs w:val="26"/>
        </w:rPr>
        <w:t>weigh the compensatory and cost-internalization values of negligence liability.’”  (</w:t>
      </w:r>
      <w:proofErr w:type="spellStart"/>
      <w:r w:rsidRPr="000D43E9">
        <w:rPr>
          <w:rFonts w:ascii="Century Schoolbook" w:hAnsi="Century Schoolbook"/>
          <w:i/>
          <w:iCs/>
          <w:sz w:val="26"/>
          <w:szCs w:val="26"/>
        </w:rPr>
        <w:t>Kesner</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w:t>
      </w:r>
      <w:r w:rsidRPr="000D43E9">
        <w:rPr>
          <w:rFonts w:ascii="Century Schoolbook" w:hAnsi="Century Schoolbook"/>
          <w:sz w:val="26"/>
          <w:szCs w:val="26"/>
        </w:rPr>
        <w:t xml:space="preserve">at p. 1150.)  In other words, they ask whether recognizing the duty </w:t>
      </w:r>
      <w:r w:rsidRPr="000D43E9">
        <w:rPr>
          <w:rFonts w:ascii="Century Schoolbook" w:hAnsi="Century Schoolbook"/>
          <w:sz w:val="26"/>
          <w:szCs w:val="26"/>
        </w:rPr>
        <w:lastRenderedPageBreak/>
        <w:t>“would deter socially beneficial behavior.”  (</w:t>
      </w:r>
      <w:proofErr w:type="spellStart"/>
      <w:r w:rsidRPr="000D43E9">
        <w:rPr>
          <w:rFonts w:ascii="Century Schoolbook" w:hAnsi="Century Schoolbook"/>
          <w:i/>
          <w:iCs/>
          <w:sz w:val="26"/>
          <w:szCs w:val="26"/>
        </w:rPr>
        <w:t>Kuciemba</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14 Cal.5th at p. 1028.)  </w:t>
      </w:r>
      <w:r w:rsidRPr="000D43E9">
        <w:rPr>
          <w:rFonts w:ascii="Century Schoolbook" w:hAnsi="Century Schoolbook"/>
          <w:i/>
          <w:iCs/>
          <w:sz w:val="26"/>
          <w:szCs w:val="26"/>
        </w:rPr>
        <w:t>Rowland</w:t>
      </w:r>
      <w:r w:rsidRPr="000D43E9">
        <w:rPr>
          <w:rFonts w:ascii="Century Schoolbook" w:hAnsi="Century Schoolbook"/>
          <w:sz w:val="26"/>
          <w:szCs w:val="26"/>
        </w:rPr>
        <w:t xml:space="preserve"> identifies four of these countervailing policy considerations: (1) the moral blame attaching to the defendant’s conduct (</w:t>
      </w:r>
      <w:proofErr w:type="spellStart"/>
      <w:r w:rsidRPr="000D43E9">
        <w:rPr>
          <w:rFonts w:ascii="Century Schoolbook" w:hAnsi="Century Schoolbook"/>
          <w:i/>
          <w:iCs/>
          <w:sz w:val="26"/>
          <w:szCs w:val="26"/>
        </w:rPr>
        <w:t>Kuciemba</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w:t>
      </w:r>
      <w:r w:rsidRPr="000D43E9">
        <w:rPr>
          <w:rFonts w:ascii="Century Schoolbook" w:hAnsi="Century Schoolbook"/>
          <w:sz w:val="26"/>
          <w:szCs w:val="26"/>
        </w:rPr>
        <w:t>at p. 1025); (2) whether liability will “</w:t>
      </w:r>
      <w:r w:rsidR="00B17883">
        <w:rPr>
          <w:rFonts w:ascii="Century Schoolbook" w:hAnsi="Century Schoolbook"/>
          <w:sz w:val="26"/>
          <w:szCs w:val="26"/>
        </w:rPr>
        <w:t>‘</w:t>
      </w:r>
      <w:r w:rsidRPr="000D43E9">
        <w:rPr>
          <w:rFonts w:ascii="Century Schoolbook" w:hAnsi="Century Schoolbook"/>
          <w:sz w:val="26"/>
          <w:szCs w:val="26"/>
        </w:rPr>
        <w:t>prevent[] future harm,</w:t>
      </w:r>
      <w:r w:rsidR="00B17883">
        <w:rPr>
          <w:rFonts w:ascii="Century Schoolbook" w:hAnsi="Century Schoolbook"/>
          <w:sz w:val="26"/>
          <w:szCs w:val="26"/>
        </w:rPr>
        <w:t>’</w:t>
      </w:r>
      <w:r w:rsidR="00DB7FCC">
        <w:rPr>
          <w:rFonts w:ascii="Century Schoolbook" w:hAnsi="Century Schoolbook"/>
          <w:sz w:val="26"/>
          <w:szCs w:val="26"/>
        </w:rPr>
        <w:t>”</w:t>
      </w:r>
      <w:r w:rsidRPr="000D43E9">
        <w:rPr>
          <w:rFonts w:ascii="Century Schoolbook" w:hAnsi="Century Schoolbook"/>
          <w:sz w:val="26"/>
          <w:szCs w:val="26"/>
        </w:rPr>
        <w:t xml:space="preserve"> which looks to </w:t>
      </w:r>
      <w:r w:rsidR="00DB7FCC">
        <w:rPr>
          <w:rFonts w:ascii="Century Schoolbook" w:hAnsi="Century Schoolbook"/>
          <w:sz w:val="26"/>
          <w:szCs w:val="26"/>
        </w:rPr>
        <w:t>“</w:t>
      </w:r>
      <w:r w:rsidRPr="000D43E9">
        <w:rPr>
          <w:rFonts w:ascii="Century Schoolbook" w:hAnsi="Century Schoolbook"/>
          <w:sz w:val="26"/>
          <w:szCs w:val="26"/>
        </w:rPr>
        <w:t>both th</w:t>
      </w:r>
      <w:r w:rsidRPr="000D43E9">
        <w:rPr>
          <w:rFonts w:ascii="Century Schoolbook" w:hAnsi="Century Schoolbook"/>
          <w:sz w:val="26"/>
          <w:szCs w:val="26"/>
        </w:rPr>
        <w:t xml:space="preserve">e positive and </w:t>
      </w:r>
      <w:r w:rsidR="00DB7FCC">
        <w:rPr>
          <w:rFonts w:ascii="Century Schoolbook" w:hAnsi="Century Schoolbook"/>
          <w:sz w:val="26"/>
          <w:szCs w:val="26"/>
        </w:rPr>
        <w:t xml:space="preserve">the </w:t>
      </w:r>
      <w:r w:rsidRPr="000D43E9">
        <w:rPr>
          <w:rFonts w:ascii="Century Schoolbook" w:hAnsi="Century Schoolbook"/>
          <w:sz w:val="26"/>
          <w:szCs w:val="26"/>
        </w:rPr>
        <w:t>negative societal consequences of recognizing a tort duty</w:t>
      </w:r>
      <w:r w:rsidR="00DB7FCC">
        <w:rPr>
          <w:rFonts w:ascii="Century Schoolbook" w:hAnsi="Century Schoolbook"/>
          <w:sz w:val="26"/>
          <w:szCs w:val="26"/>
        </w:rPr>
        <w:t>”</w:t>
      </w:r>
      <w:r w:rsidRPr="000D43E9">
        <w:rPr>
          <w:rFonts w:ascii="Century Schoolbook" w:hAnsi="Century Schoolbook"/>
          <w:sz w:val="26"/>
          <w:szCs w:val="26"/>
        </w:rPr>
        <w:t xml:space="preserve"> </w:t>
      </w:r>
      <w:r w:rsidR="000D7565">
        <w:rPr>
          <w:rFonts w:ascii="Century Schoolbook" w:hAnsi="Century Schoolbook"/>
          <w:sz w:val="26"/>
          <w:szCs w:val="26"/>
        </w:rPr>
        <w:t>“</w:t>
      </w:r>
      <w:r w:rsidRPr="000D43E9">
        <w:rPr>
          <w:rFonts w:ascii="Century Schoolbook" w:hAnsi="Century Schoolbook"/>
          <w:sz w:val="26"/>
          <w:szCs w:val="26"/>
        </w:rPr>
        <w:t xml:space="preserve">in terms of how the imposition of liability is likely to </w:t>
      </w:r>
      <w:r w:rsidR="00DB7FCC">
        <w:rPr>
          <w:rFonts w:ascii="Century Schoolbook" w:hAnsi="Century Schoolbook"/>
          <w:sz w:val="26"/>
          <w:szCs w:val="26"/>
        </w:rPr>
        <w:t>play</w:t>
      </w:r>
      <w:r w:rsidR="00DB7FCC" w:rsidRPr="000D43E9">
        <w:rPr>
          <w:rFonts w:ascii="Century Schoolbook" w:hAnsi="Century Schoolbook"/>
          <w:sz w:val="26"/>
          <w:szCs w:val="26"/>
        </w:rPr>
        <w:t xml:space="preserve"> </w:t>
      </w:r>
      <w:r w:rsidRPr="000D43E9">
        <w:rPr>
          <w:rFonts w:ascii="Century Schoolbook" w:hAnsi="Century Schoolbook"/>
          <w:sz w:val="26"/>
          <w:szCs w:val="26"/>
        </w:rPr>
        <w:t>out” (</w:t>
      </w:r>
      <w:r w:rsidRPr="000D43E9">
        <w:rPr>
          <w:rFonts w:ascii="Century Schoolbook" w:hAnsi="Century Schoolbook"/>
          <w:i/>
          <w:iCs/>
          <w:sz w:val="26"/>
          <w:szCs w:val="26"/>
        </w:rPr>
        <w:t>id.</w:t>
      </w:r>
      <w:r w:rsidRPr="000D43E9">
        <w:rPr>
          <w:rFonts w:ascii="Century Schoolbook" w:hAnsi="Century Schoolbook"/>
          <w:sz w:val="26"/>
          <w:szCs w:val="26"/>
        </w:rPr>
        <w:t xml:space="preserve"> at pp. 1021-1022, 1026;</w:t>
      </w:r>
      <w:r w:rsidR="000D7565">
        <w:rPr>
          <w:rFonts w:ascii="Century Schoolbook" w:hAnsi="Century Schoolbook"/>
          <w:sz w:val="26"/>
          <w:szCs w:val="26"/>
        </w:rPr>
        <w:t xml:space="preserve"> </w:t>
      </w:r>
      <w:r w:rsidRPr="000D43E9">
        <w:rPr>
          <w:rFonts w:ascii="Century Schoolbook" w:hAnsi="Century Schoolbook"/>
          <w:sz w:val="26"/>
          <w:szCs w:val="26"/>
        </w:rPr>
        <w:t xml:space="preserve"> </w:t>
      </w:r>
      <w:proofErr w:type="spellStart"/>
      <w:r w:rsidR="000D7565" w:rsidRPr="000D43E9">
        <w:rPr>
          <w:rFonts w:ascii="Century Schoolbook" w:hAnsi="Century Schoolbook"/>
          <w:i/>
          <w:iCs/>
          <w:sz w:val="26"/>
          <w:szCs w:val="26"/>
        </w:rPr>
        <w:t>Shalghoun</w:t>
      </w:r>
      <w:proofErr w:type="spellEnd"/>
      <w:r w:rsidR="000D7565" w:rsidRPr="00865D49">
        <w:rPr>
          <w:rFonts w:ascii="Century Schoolbook" w:hAnsi="Century Schoolbook"/>
          <w:sz w:val="26"/>
          <w:szCs w:val="26"/>
        </w:rPr>
        <w:t>,</w:t>
      </w:r>
      <w:r w:rsidR="000D7565" w:rsidRPr="000D43E9">
        <w:rPr>
          <w:rFonts w:ascii="Century Schoolbook" w:hAnsi="Century Schoolbook"/>
          <w:i/>
          <w:iCs/>
          <w:sz w:val="26"/>
          <w:szCs w:val="26"/>
        </w:rPr>
        <w:t xml:space="preserve"> supra</w:t>
      </w:r>
      <w:r w:rsidR="000D7565" w:rsidRPr="000D43E9">
        <w:rPr>
          <w:rFonts w:ascii="Century Schoolbook" w:hAnsi="Century Schoolbook"/>
          <w:sz w:val="26"/>
          <w:szCs w:val="26"/>
        </w:rPr>
        <w:t xml:space="preserve">, 99 Cal.App.5th at </w:t>
      </w:r>
      <w:r w:rsidR="00A224D2">
        <w:rPr>
          <w:rFonts w:ascii="Century Schoolbook" w:hAnsi="Century Schoolbook"/>
          <w:sz w:val="26"/>
          <w:szCs w:val="26"/>
        </w:rPr>
        <w:t>p. 947;</w:t>
      </w:r>
      <w:r w:rsidR="000D7565" w:rsidRPr="000D43E9">
        <w:rPr>
          <w:rFonts w:ascii="Century Schoolbook" w:hAnsi="Century Schoolbook"/>
          <w:sz w:val="26"/>
          <w:szCs w:val="26"/>
        </w:rPr>
        <w:t xml:space="preserve"> </w:t>
      </w:r>
      <w:r w:rsidRPr="000D43E9">
        <w:rPr>
          <w:rFonts w:ascii="Century Schoolbook" w:hAnsi="Century Schoolbook"/>
          <w:sz w:val="26"/>
          <w:szCs w:val="26"/>
        </w:rPr>
        <w:t xml:space="preserve">see </w:t>
      </w:r>
      <w:r w:rsidRPr="000D43E9">
        <w:rPr>
          <w:rFonts w:ascii="Century Schoolbook" w:hAnsi="Century Schoolbook"/>
          <w:i/>
          <w:iCs/>
          <w:sz w:val="26"/>
          <w:szCs w:val="26"/>
        </w:rPr>
        <w:t>Cast</w:t>
      </w:r>
      <w:r w:rsidR="00B54D56">
        <w:rPr>
          <w:rFonts w:ascii="Century Schoolbook" w:hAnsi="Century Schoolbook"/>
          <w:i/>
          <w:iCs/>
          <w:sz w:val="26"/>
          <w:szCs w:val="26"/>
        </w:rPr>
        <w:t>a</w:t>
      </w:r>
      <w:r w:rsidRPr="000D43E9">
        <w:rPr>
          <w:rFonts w:ascii="Century Schoolbook" w:hAnsi="Century Schoolbook"/>
          <w:i/>
          <w:iCs/>
          <w:sz w:val="26"/>
          <w:szCs w:val="26"/>
        </w:rPr>
        <w:t xml:space="preserve">neda v. </w:t>
      </w:r>
      <w:proofErr w:type="spellStart"/>
      <w:r w:rsidRPr="000D43E9">
        <w:rPr>
          <w:rFonts w:ascii="Century Schoolbook" w:hAnsi="Century Schoolbook"/>
          <w:i/>
          <w:iCs/>
          <w:sz w:val="26"/>
          <w:szCs w:val="26"/>
        </w:rPr>
        <w:t>Olsher</w:t>
      </w:r>
      <w:proofErr w:type="spellEnd"/>
      <w:r w:rsidRPr="000D43E9">
        <w:rPr>
          <w:rFonts w:ascii="Century Schoolbook" w:hAnsi="Century Schoolbook"/>
          <w:sz w:val="26"/>
          <w:szCs w:val="26"/>
        </w:rPr>
        <w:t xml:space="preserve"> (2007) 41 Cal.4th 1205, 1217); (3) the “‘extent of the burden to the defendant and consequences to the community of imposing a duty . . . with resulting liability for breach</w:t>
      </w:r>
      <w:r w:rsidR="00B131DE">
        <w:rPr>
          <w:rFonts w:ascii="Century Schoolbook" w:hAnsi="Century Schoolbook"/>
          <w:sz w:val="26"/>
          <w:szCs w:val="26"/>
        </w:rPr>
        <w:t>’</w:t>
      </w:r>
      <w:r w:rsidRPr="000D43E9">
        <w:rPr>
          <w:rFonts w:ascii="Century Schoolbook" w:hAnsi="Century Schoolbook"/>
          <w:sz w:val="26"/>
          <w:szCs w:val="26"/>
        </w:rPr>
        <w:t>” (</w:t>
      </w:r>
      <w:r w:rsidRPr="000D43E9">
        <w:rPr>
          <w:rFonts w:ascii="Century Schoolbook" w:hAnsi="Century Schoolbook"/>
          <w:i/>
          <w:iCs/>
          <w:sz w:val="26"/>
          <w:szCs w:val="26"/>
        </w:rPr>
        <w:t>South</w:t>
      </w:r>
      <w:r w:rsidR="00706D41">
        <w:rPr>
          <w:rFonts w:ascii="Century Schoolbook" w:hAnsi="Century Schoolbook"/>
          <w:i/>
          <w:iCs/>
          <w:sz w:val="26"/>
          <w:szCs w:val="26"/>
        </w:rPr>
        <w:t>ern</w:t>
      </w:r>
      <w:r w:rsidRPr="000D43E9">
        <w:rPr>
          <w:rFonts w:ascii="Century Schoolbook" w:hAnsi="Century Schoolbook"/>
          <w:i/>
          <w:iCs/>
          <w:sz w:val="26"/>
          <w:szCs w:val="26"/>
        </w:rPr>
        <w:t xml:space="preserve"> California Gas Leak Cases</w:t>
      </w:r>
      <w:r w:rsidRPr="000D43E9">
        <w:rPr>
          <w:rFonts w:ascii="Century Schoolbook" w:hAnsi="Century Schoolbook"/>
          <w:sz w:val="26"/>
          <w:szCs w:val="26"/>
        </w:rPr>
        <w:t xml:space="preserve"> (2019) 7 Cal.5th 391, 398), including wheth</w:t>
      </w:r>
      <w:r w:rsidRPr="000D43E9">
        <w:rPr>
          <w:rFonts w:ascii="Century Schoolbook" w:hAnsi="Century Schoolbook"/>
          <w:sz w:val="26"/>
          <w:szCs w:val="26"/>
        </w:rPr>
        <w:t>er recognizing tort liability “would impose enormous and unprecedented financial burdens” on likely defendants (</w:t>
      </w:r>
      <w:proofErr w:type="spellStart"/>
      <w:r w:rsidRPr="000D43E9">
        <w:rPr>
          <w:rFonts w:ascii="Century Schoolbook" w:hAnsi="Century Schoolbook"/>
          <w:i/>
          <w:iCs/>
          <w:sz w:val="26"/>
          <w:szCs w:val="26"/>
        </w:rPr>
        <w:t>Kuciemba</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w:t>
      </w:r>
      <w:r w:rsidRPr="000D43E9">
        <w:rPr>
          <w:rFonts w:ascii="Century Schoolbook" w:hAnsi="Century Schoolbook"/>
          <w:sz w:val="26"/>
          <w:szCs w:val="26"/>
        </w:rPr>
        <w:t>at pp. 1027, 1021-1022); and (4) the availability of insurance (</w:t>
      </w:r>
      <w:r w:rsidRPr="000D43E9">
        <w:rPr>
          <w:rFonts w:ascii="Century Schoolbook" w:hAnsi="Century Schoolbook"/>
          <w:i/>
          <w:iCs/>
          <w:sz w:val="26"/>
          <w:szCs w:val="26"/>
        </w:rPr>
        <w:t>id.</w:t>
      </w:r>
      <w:r w:rsidRPr="000D43E9">
        <w:rPr>
          <w:rFonts w:ascii="Century Schoolbook" w:hAnsi="Century Schoolbook"/>
          <w:sz w:val="26"/>
          <w:szCs w:val="26"/>
        </w:rPr>
        <w:t xml:space="preserve"> at pp. 1021-1022).  </w:t>
      </w:r>
    </w:p>
    <w:p w14:paraId="71AC0109" w14:textId="4996C6CE" w:rsidR="002F4B2B" w:rsidRPr="000D43E9" w:rsidRDefault="009A7CC9" w:rsidP="000D43E9">
      <w:pPr>
        <w:spacing w:line="288" w:lineRule="auto"/>
        <w:rPr>
          <w:rFonts w:ascii="Century Schoolbook" w:hAnsi="Century Schoolbook"/>
          <w:i/>
          <w:iCs/>
          <w:sz w:val="26"/>
          <w:szCs w:val="26"/>
        </w:rPr>
      </w:pPr>
      <w:r w:rsidRPr="000D43E9">
        <w:rPr>
          <w:rFonts w:ascii="Century Schoolbook" w:hAnsi="Century Schoolbook"/>
          <w:sz w:val="26"/>
          <w:szCs w:val="26"/>
        </w:rPr>
        <w:tab/>
      </w:r>
      <w:r w:rsidRPr="000D43E9">
        <w:rPr>
          <w:rFonts w:ascii="Century Schoolbook" w:hAnsi="Century Schoolbook"/>
          <w:sz w:val="26"/>
          <w:szCs w:val="26"/>
        </w:rPr>
        <w:tab/>
        <w:t>2.</w:t>
      </w:r>
      <w:r w:rsidRPr="000D43E9">
        <w:rPr>
          <w:rFonts w:ascii="Century Schoolbook" w:hAnsi="Century Schoolbook"/>
          <w:sz w:val="26"/>
          <w:szCs w:val="26"/>
        </w:rPr>
        <w:tab/>
      </w:r>
      <w:r w:rsidRPr="000D43E9">
        <w:rPr>
          <w:rFonts w:ascii="Century Schoolbook" w:hAnsi="Century Schoolbook"/>
          <w:i/>
          <w:iCs/>
          <w:sz w:val="26"/>
          <w:szCs w:val="26"/>
        </w:rPr>
        <w:t xml:space="preserve">Applying the </w:t>
      </w:r>
      <w:r w:rsidRPr="000D43E9">
        <w:rPr>
          <w:rFonts w:ascii="Century Schoolbook" w:hAnsi="Century Schoolbook"/>
          <w:sz w:val="26"/>
          <w:szCs w:val="26"/>
        </w:rPr>
        <w:t>Rowland</w:t>
      </w:r>
      <w:r w:rsidRPr="000D43E9">
        <w:rPr>
          <w:rFonts w:ascii="Century Schoolbook" w:hAnsi="Century Schoolbook"/>
          <w:i/>
          <w:iCs/>
          <w:sz w:val="26"/>
          <w:szCs w:val="26"/>
        </w:rPr>
        <w:t xml:space="preserve"> factors to the duty</w:t>
      </w:r>
      <w:r w:rsidRPr="000D43E9">
        <w:rPr>
          <w:rFonts w:ascii="Century Schoolbook" w:hAnsi="Century Schoolbook"/>
          <w:i/>
          <w:iCs/>
          <w:sz w:val="26"/>
          <w:szCs w:val="26"/>
        </w:rPr>
        <w:t xml:space="preserve"> to protect based on a failure to vet and monitor</w:t>
      </w:r>
      <w:r w:rsidR="00F0288A">
        <w:rPr>
          <w:rFonts w:ascii="Century Schoolbook" w:hAnsi="Century Schoolbook"/>
          <w:i/>
          <w:iCs/>
          <w:sz w:val="26"/>
          <w:szCs w:val="26"/>
        </w:rPr>
        <w:t xml:space="preserve"> a vendor</w:t>
      </w:r>
    </w:p>
    <w:p w14:paraId="6EB0AF6D" w14:textId="1927830F"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With the </w:t>
      </w:r>
      <w:r w:rsidRPr="000D43E9">
        <w:rPr>
          <w:rFonts w:ascii="Century Schoolbook" w:hAnsi="Century Schoolbook"/>
          <w:i/>
          <w:iCs/>
          <w:sz w:val="26"/>
          <w:szCs w:val="26"/>
        </w:rPr>
        <w:t>Rowland</w:t>
      </w:r>
      <w:r w:rsidRPr="000D43E9">
        <w:rPr>
          <w:rFonts w:ascii="Century Schoolbook" w:hAnsi="Century Schoolbook"/>
          <w:sz w:val="26"/>
          <w:szCs w:val="26"/>
        </w:rPr>
        <w:t xml:space="preserve"> factors and the operative complaint in mind, the question then becomes:  Does the duty </w:t>
      </w:r>
      <w:r w:rsidR="00D81534">
        <w:rPr>
          <w:rFonts w:ascii="Century Schoolbook" w:hAnsi="Century Schoolbook"/>
          <w:sz w:val="26"/>
          <w:szCs w:val="26"/>
        </w:rPr>
        <w:t>owed by</w:t>
      </w:r>
      <w:r w:rsidR="00D81534" w:rsidRPr="000D43E9">
        <w:rPr>
          <w:rFonts w:ascii="Century Schoolbook" w:hAnsi="Century Schoolbook"/>
          <w:sz w:val="26"/>
          <w:szCs w:val="26"/>
        </w:rPr>
        <w:t xml:space="preserve"> </w:t>
      </w:r>
      <w:r w:rsidRPr="000D43E9">
        <w:rPr>
          <w:rFonts w:ascii="Century Schoolbook" w:hAnsi="Century Schoolbook"/>
          <w:sz w:val="26"/>
          <w:szCs w:val="26"/>
        </w:rPr>
        <w:t>regional centers to protect consumers from sexual assault—premised upon their statut</w:t>
      </w:r>
      <w:r w:rsidRPr="000D43E9">
        <w:rPr>
          <w:rFonts w:ascii="Century Schoolbook" w:hAnsi="Century Schoolbook"/>
          <w:sz w:val="26"/>
          <w:szCs w:val="26"/>
        </w:rPr>
        <w:t xml:space="preserve">ory duties to coordinate services and support </w:t>
      </w:r>
      <w:r w:rsidR="00D81534">
        <w:rPr>
          <w:rFonts w:ascii="Century Schoolbook" w:hAnsi="Century Schoolbook"/>
          <w:sz w:val="26"/>
          <w:szCs w:val="26"/>
        </w:rPr>
        <w:t>provided by</w:t>
      </w:r>
      <w:r w:rsidR="00D81534" w:rsidRPr="000D43E9">
        <w:rPr>
          <w:rFonts w:ascii="Century Schoolbook" w:hAnsi="Century Schoolbook"/>
          <w:sz w:val="26"/>
          <w:szCs w:val="26"/>
        </w:rPr>
        <w:t xml:space="preserve"> </w:t>
      </w:r>
      <w:r w:rsidRPr="000D43E9">
        <w:rPr>
          <w:rFonts w:ascii="Century Schoolbook" w:hAnsi="Century Schoolbook"/>
          <w:sz w:val="26"/>
          <w:szCs w:val="26"/>
        </w:rPr>
        <w:t>vendors and thereafter to monitor compliance with those vendors’ contracts—render the regional centers liable in tort to consumers for sexual assaults committed by any vendors’ employees, or do publ</w:t>
      </w:r>
      <w:r w:rsidRPr="000D43E9">
        <w:rPr>
          <w:rFonts w:ascii="Century Schoolbook" w:hAnsi="Century Schoolbook"/>
          <w:sz w:val="26"/>
          <w:szCs w:val="26"/>
        </w:rPr>
        <w:t>ic policy considerations warrant some limitation of that duty?</w:t>
      </w:r>
    </w:p>
    <w:p w14:paraId="0B46DDDD" w14:textId="39441291"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r>
      <w:r w:rsidRPr="000D43E9">
        <w:rPr>
          <w:rFonts w:ascii="Century Schoolbook" w:hAnsi="Century Schoolbook"/>
          <w:i/>
          <w:iCs/>
          <w:sz w:val="26"/>
          <w:szCs w:val="26"/>
        </w:rPr>
        <w:t>Rowland’s</w:t>
      </w:r>
      <w:r w:rsidRPr="000D43E9">
        <w:rPr>
          <w:rFonts w:ascii="Century Schoolbook" w:hAnsi="Century Schoolbook"/>
          <w:sz w:val="26"/>
          <w:szCs w:val="26"/>
        </w:rPr>
        <w:t xml:space="preserve"> foreseeability considerations counsel in favor of limiting this duty to protect.  </w:t>
      </w:r>
      <w:r w:rsidR="00177720">
        <w:rPr>
          <w:rFonts w:ascii="Century Schoolbook" w:hAnsi="Century Schoolbook"/>
          <w:sz w:val="26"/>
          <w:szCs w:val="26"/>
        </w:rPr>
        <w:t>E</w:t>
      </w:r>
      <w:r w:rsidRPr="000D43E9">
        <w:rPr>
          <w:rFonts w:ascii="Century Schoolbook" w:hAnsi="Century Schoolbook"/>
          <w:sz w:val="26"/>
          <w:szCs w:val="26"/>
        </w:rPr>
        <w:t xml:space="preserve">ven if we assume that </w:t>
      </w:r>
      <w:r w:rsidR="00177720">
        <w:rPr>
          <w:rFonts w:ascii="Century Schoolbook" w:hAnsi="Century Schoolbook"/>
          <w:sz w:val="26"/>
          <w:szCs w:val="26"/>
        </w:rPr>
        <w:t xml:space="preserve">all </w:t>
      </w:r>
      <w:r w:rsidR="00177720">
        <w:rPr>
          <w:rFonts w:ascii="Century Schoolbook" w:hAnsi="Century Schoolbook"/>
          <w:sz w:val="26"/>
          <w:szCs w:val="26"/>
        </w:rPr>
        <w:lastRenderedPageBreak/>
        <w:t xml:space="preserve">developmentally disabled persons are vulnerable and </w:t>
      </w:r>
      <w:r w:rsidRPr="000D43E9">
        <w:rPr>
          <w:rFonts w:ascii="Century Schoolbook" w:hAnsi="Century Schoolbook"/>
          <w:sz w:val="26"/>
          <w:szCs w:val="26"/>
        </w:rPr>
        <w:t xml:space="preserve">it </w:t>
      </w:r>
      <w:r w:rsidR="00177720">
        <w:rPr>
          <w:rFonts w:ascii="Century Schoolbook" w:hAnsi="Century Schoolbook"/>
          <w:sz w:val="26"/>
          <w:szCs w:val="26"/>
        </w:rPr>
        <w:t xml:space="preserve">is therefore </w:t>
      </w:r>
      <w:r w:rsidRPr="000D43E9">
        <w:rPr>
          <w:rFonts w:ascii="Century Schoolbook" w:hAnsi="Century Schoolbook"/>
          <w:sz w:val="26"/>
          <w:szCs w:val="26"/>
        </w:rPr>
        <w:t>more likely that they may be sexually assaulted (the first factor),</w:t>
      </w:r>
      <w:r>
        <w:rPr>
          <w:rStyle w:val="FootnoteReference"/>
          <w:rFonts w:ascii="Century Schoolbook" w:hAnsi="Century Schoolbook"/>
          <w:b/>
          <w:bCs/>
          <w:szCs w:val="26"/>
        </w:rPr>
        <w:footnoteReference w:id="9"/>
      </w:r>
      <w:r w:rsidRPr="000D43E9">
        <w:rPr>
          <w:rFonts w:ascii="Century Schoolbook" w:hAnsi="Century Schoolbook"/>
          <w:sz w:val="26"/>
          <w:szCs w:val="26"/>
        </w:rPr>
        <w:t xml:space="preserve"> and if we acknowledge the absolute certainty that developmentally disabled </w:t>
      </w:r>
      <w:r w:rsidR="00177720">
        <w:rPr>
          <w:rFonts w:ascii="Century Schoolbook" w:hAnsi="Century Schoolbook"/>
          <w:sz w:val="26"/>
          <w:szCs w:val="26"/>
        </w:rPr>
        <w:t>persons</w:t>
      </w:r>
      <w:r w:rsidR="00177720" w:rsidRPr="000D43E9">
        <w:rPr>
          <w:rFonts w:ascii="Century Schoolbook" w:hAnsi="Century Schoolbook"/>
          <w:sz w:val="26"/>
          <w:szCs w:val="26"/>
        </w:rPr>
        <w:t xml:space="preserve"> </w:t>
      </w:r>
      <w:r w:rsidRPr="000D43E9">
        <w:rPr>
          <w:rFonts w:ascii="Century Schoolbook" w:hAnsi="Century Schoolbook"/>
          <w:sz w:val="26"/>
          <w:szCs w:val="26"/>
        </w:rPr>
        <w:t>are injured if they are sexuall</w:t>
      </w:r>
      <w:r w:rsidRPr="000D43E9">
        <w:rPr>
          <w:rFonts w:ascii="Century Schoolbook" w:hAnsi="Century Schoolbook"/>
          <w:sz w:val="26"/>
          <w:szCs w:val="26"/>
        </w:rPr>
        <w:t>y assaulted (the second factor), the connection between a regional center’s failure to sufficiently vet and sufficient</w:t>
      </w:r>
      <w:r w:rsidR="00177720">
        <w:rPr>
          <w:rFonts w:ascii="Century Schoolbook" w:hAnsi="Century Schoolbook"/>
          <w:sz w:val="26"/>
          <w:szCs w:val="26"/>
        </w:rPr>
        <w:t>ly</w:t>
      </w:r>
      <w:r w:rsidRPr="000D43E9">
        <w:rPr>
          <w:rFonts w:ascii="Century Schoolbook" w:hAnsi="Century Schoolbook"/>
          <w:sz w:val="26"/>
          <w:szCs w:val="26"/>
        </w:rPr>
        <w:t xml:space="preserve"> monitor vendors on the one hand, and the sexual assault of consumers by an employee of a vendor on the other, is not close.  Regional c</w:t>
      </w:r>
      <w:r w:rsidRPr="000D43E9">
        <w:rPr>
          <w:rFonts w:ascii="Century Schoolbook" w:hAnsi="Century Schoolbook"/>
          <w:sz w:val="26"/>
          <w:szCs w:val="26"/>
        </w:rPr>
        <w:t xml:space="preserve">enters do </w:t>
      </w:r>
      <w:r w:rsidRPr="000D43E9">
        <w:rPr>
          <w:rFonts w:ascii="Century Schoolbook" w:hAnsi="Century Schoolbook"/>
          <w:i/>
          <w:iCs/>
          <w:sz w:val="26"/>
          <w:szCs w:val="26"/>
        </w:rPr>
        <w:t>not</w:t>
      </w:r>
      <w:r w:rsidRPr="000D43E9">
        <w:rPr>
          <w:rFonts w:ascii="Century Schoolbook" w:hAnsi="Century Schoolbook"/>
          <w:sz w:val="26"/>
          <w:szCs w:val="26"/>
        </w:rPr>
        <w:t xml:space="preserve"> employ the vendors’ employees; the </w:t>
      </w:r>
      <w:r w:rsidRPr="000D43E9">
        <w:rPr>
          <w:rFonts w:ascii="Century Schoolbook" w:hAnsi="Century Schoolbook"/>
          <w:i/>
          <w:iCs/>
          <w:sz w:val="26"/>
          <w:szCs w:val="26"/>
        </w:rPr>
        <w:t>vendors</w:t>
      </w:r>
      <w:r w:rsidRPr="000D43E9">
        <w:rPr>
          <w:rFonts w:ascii="Century Schoolbook" w:hAnsi="Century Schoolbook"/>
          <w:sz w:val="26"/>
          <w:szCs w:val="26"/>
        </w:rPr>
        <w:t xml:space="preserve"> do.  (Cf. </w:t>
      </w:r>
      <w:r w:rsidRPr="000D43E9">
        <w:rPr>
          <w:rFonts w:ascii="Century Schoolbook" w:hAnsi="Century Schoolbook"/>
          <w:i/>
          <w:iCs/>
          <w:sz w:val="26"/>
          <w:szCs w:val="26"/>
        </w:rPr>
        <w:t>Roman Catholic Archbishop</w:t>
      </w:r>
      <w:r w:rsidRPr="000D43E9">
        <w:rPr>
          <w:rFonts w:ascii="Century Schoolbook" w:hAnsi="Century Schoolbook"/>
          <w:sz w:val="26"/>
          <w:szCs w:val="26"/>
        </w:rPr>
        <w:t xml:space="preserve">, </w:t>
      </w:r>
      <w:r w:rsidR="00D540D3" w:rsidRPr="00A76FEF">
        <w:rPr>
          <w:rFonts w:ascii="Century Schoolbook" w:hAnsi="Century Schoolbook"/>
          <w:i/>
          <w:iCs/>
          <w:sz w:val="26"/>
          <w:szCs w:val="26"/>
        </w:rPr>
        <w:t>supra</w:t>
      </w:r>
      <w:r w:rsidR="00D540D3">
        <w:rPr>
          <w:rFonts w:ascii="Century Schoolbook" w:hAnsi="Century Schoolbook"/>
          <w:sz w:val="26"/>
          <w:szCs w:val="26"/>
        </w:rPr>
        <w:t xml:space="preserve">, </w:t>
      </w:r>
      <w:r w:rsidR="00D540D3" w:rsidRPr="000D43E9">
        <w:rPr>
          <w:rFonts w:ascii="Century Schoolbook" w:hAnsi="Century Schoolbook"/>
          <w:sz w:val="26"/>
          <w:szCs w:val="26"/>
        </w:rPr>
        <w:t xml:space="preserve">70 Cal.App.5th </w:t>
      </w:r>
      <w:r w:rsidRPr="000D43E9">
        <w:rPr>
          <w:rFonts w:ascii="Century Schoolbook" w:hAnsi="Century Schoolbook"/>
          <w:sz w:val="26"/>
          <w:szCs w:val="26"/>
        </w:rPr>
        <w:t xml:space="preserve">at pp. 672-673 [church employed priests who molested children]; </w:t>
      </w:r>
      <w:r w:rsidRPr="000D43E9">
        <w:rPr>
          <w:rFonts w:ascii="Century Schoolbook" w:hAnsi="Century Schoolbook"/>
          <w:i/>
          <w:iCs/>
          <w:sz w:val="26"/>
          <w:szCs w:val="26"/>
        </w:rPr>
        <w:t>Lawndale</w:t>
      </w:r>
      <w:r w:rsidRPr="00A76FEF">
        <w:rPr>
          <w:rFonts w:ascii="Century Schoolbook" w:hAnsi="Century Schoolbook"/>
          <w:sz w:val="26"/>
          <w:szCs w:val="26"/>
        </w:rPr>
        <w:t xml:space="preserve">, </w:t>
      </w:r>
      <w:r w:rsidR="00C05753" w:rsidRPr="00A76FEF">
        <w:rPr>
          <w:rFonts w:ascii="Century Schoolbook" w:hAnsi="Century Schoolbook"/>
          <w:i/>
          <w:iCs/>
          <w:sz w:val="26"/>
          <w:szCs w:val="26"/>
        </w:rPr>
        <w:t>supra</w:t>
      </w:r>
      <w:r w:rsidR="00C05753">
        <w:rPr>
          <w:rFonts w:ascii="Century Schoolbook" w:hAnsi="Century Schoolbook"/>
          <w:sz w:val="26"/>
          <w:szCs w:val="26"/>
        </w:rPr>
        <w:t xml:space="preserve">, </w:t>
      </w:r>
      <w:r w:rsidR="00C05753" w:rsidRPr="000D43E9">
        <w:rPr>
          <w:rFonts w:ascii="Century Schoolbook" w:hAnsi="Century Schoolbook"/>
          <w:sz w:val="26"/>
          <w:szCs w:val="26"/>
        </w:rPr>
        <w:t xml:space="preserve">72 Cal.App.5th </w:t>
      </w:r>
      <w:r w:rsidRPr="000D43E9">
        <w:rPr>
          <w:rFonts w:ascii="Century Schoolbook" w:hAnsi="Century Schoolbook"/>
          <w:sz w:val="26"/>
          <w:szCs w:val="26"/>
        </w:rPr>
        <w:t>at p. 132 [school employed janitor who moles</w:t>
      </w:r>
      <w:r w:rsidRPr="000D43E9">
        <w:rPr>
          <w:rFonts w:ascii="Century Schoolbook" w:hAnsi="Century Schoolbook"/>
          <w:sz w:val="26"/>
          <w:szCs w:val="26"/>
        </w:rPr>
        <w:t xml:space="preserve">ted children]; </w:t>
      </w:r>
      <w:r w:rsidRPr="000D43E9">
        <w:rPr>
          <w:rFonts w:ascii="Century Schoolbook" w:hAnsi="Century Schoolbook"/>
          <w:i/>
          <w:iCs/>
          <w:sz w:val="26"/>
          <w:szCs w:val="26"/>
        </w:rPr>
        <w:t>Youth Soccer</w:t>
      </w:r>
      <w:r w:rsidRPr="000D43E9">
        <w:rPr>
          <w:rFonts w:ascii="Century Schoolbook" w:hAnsi="Century Schoolbook"/>
          <w:sz w:val="26"/>
          <w:szCs w:val="26"/>
        </w:rPr>
        <w:t xml:space="preserve">, </w:t>
      </w:r>
      <w:r w:rsidR="002F17D9" w:rsidRPr="00A76FEF">
        <w:rPr>
          <w:rFonts w:ascii="Century Schoolbook" w:hAnsi="Century Schoolbook"/>
          <w:i/>
          <w:iCs/>
          <w:sz w:val="26"/>
          <w:szCs w:val="26"/>
        </w:rPr>
        <w:t>supra</w:t>
      </w:r>
      <w:r w:rsidR="002F17D9">
        <w:rPr>
          <w:rFonts w:ascii="Century Schoolbook" w:hAnsi="Century Schoolbook"/>
          <w:sz w:val="26"/>
          <w:szCs w:val="26"/>
        </w:rPr>
        <w:t xml:space="preserve">, </w:t>
      </w:r>
      <w:r w:rsidR="002F17D9" w:rsidRPr="000D43E9">
        <w:rPr>
          <w:rFonts w:ascii="Century Schoolbook" w:hAnsi="Century Schoolbook"/>
          <w:sz w:val="26"/>
          <w:szCs w:val="26"/>
        </w:rPr>
        <w:t xml:space="preserve">8 Cal.App.5th </w:t>
      </w:r>
      <w:r w:rsidRPr="000D43E9">
        <w:rPr>
          <w:rFonts w:ascii="Century Schoolbook" w:hAnsi="Century Schoolbook"/>
          <w:sz w:val="26"/>
          <w:szCs w:val="26"/>
        </w:rPr>
        <w:t>at p</w:t>
      </w:r>
      <w:r w:rsidR="0091736C">
        <w:rPr>
          <w:rFonts w:ascii="Century Schoolbook" w:hAnsi="Century Schoolbook"/>
          <w:sz w:val="26"/>
          <w:szCs w:val="26"/>
        </w:rPr>
        <w:t>p</w:t>
      </w:r>
      <w:r w:rsidRPr="000D43E9">
        <w:rPr>
          <w:rFonts w:ascii="Century Schoolbook" w:hAnsi="Century Schoolbook"/>
          <w:sz w:val="26"/>
          <w:szCs w:val="26"/>
        </w:rPr>
        <w:t xml:space="preserve">. 1138-1139 [soccer organization specified how volunteers would be trained and supervised].)  Regional centers </w:t>
      </w:r>
      <w:r w:rsidRPr="000D43E9">
        <w:rPr>
          <w:rFonts w:ascii="Century Schoolbook" w:hAnsi="Century Schoolbook"/>
          <w:sz w:val="26"/>
          <w:szCs w:val="26"/>
        </w:rPr>
        <w:lastRenderedPageBreak/>
        <w:t xml:space="preserve">do </w:t>
      </w:r>
      <w:r w:rsidRPr="000D43E9">
        <w:rPr>
          <w:rFonts w:ascii="Century Schoolbook" w:hAnsi="Century Schoolbook"/>
          <w:i/>
          <w:iCs/>
          <w:sz w:val="26"/>
          <w:szCs w:val="26"/>
        </w:rPr>
        <w:t>not</w:t>
      </w:r>
      <w:r w:rsidRPr="000D43E9">
        <w:rPr>
          <w:rFonts w:ascii="Century Schoolbook" w:hAnsi="Century Schoolbook"/>
          <w:sz w:val="26"/>
          <w:szCs w:val="26"/>
        </w:rPr>
        <w:t xml:space="preserve"> own or control the vendor</w:t>
      </w:r>
      <w:r w:rsidR="00D9622D">
        <w:rPr>
          <w:rFonts w:ascii="Century Schoolbook" w:hAnsi="Century Schoolbook"/>
          <w:sz w:val="26"/>
          <w:szCs w:val="26"/>
        </w:rPr>
        <w:t>s</w:t>
      </w:r>
      <w:r w:rsidRPr="000D43E9">
        <w:rPr>
          <w:rFonts w:ascii="Century Schoolbook" w:hAnsi="Century Schoolbook"/>
          <w:sz w:val="26"/>
          <w:szCs w:val="26"/>
        </w:rPr>
        <w:t xml:space="preserve">’ premises; the </w:t>
      </w:r>
      <w:r w:rsidRPr="000D43E9">
        <w:rPr>
          <w:rFonts w:ascii="Century Schoolbook" w:hAnsi="Century Schoolbook"/>
          <w:i/>
          <w:iCs/>
          <w:sz w:val="26"/>
          <w:szCs w:val="26"/>
        </w:rPr>
        <w:t>vendors</w:t>
      </w:r>
      <w:r w:rsidRPr="000D43E9">
        <w:rPr>
          <w:rFonts w:ascii="Century Schoolbook" w:hAnsi="Century Schoolbook"/>
          <w:sz w:val="26"/>
          <w:szCs w:val="26"/>
        </w:rPr>
        <w:t xml:space="preserve"> do. (</w:t>
      </w:r>
      <w:r w:rsidRPr="000D43E9">
        <w:rPr>
          <w:rFonts w:ascii="Century Schoolbook" w:hAnsi="Century Schoolbook"/>
          <w:i/>
          <w:iCs/>
          <w:sz w:val="26"/>
          <w:szCs w:val="26"/>
        </w:rPr>
        <w:t>Colonial Van &amp; Storage, Inc. v. Superior Court</w:t>
      </w:r>
      <w:r w:rsidRPr="000D43E9">
        <w:rPr>
          <w:rFonts w:ascii="Century Schoolbook" w:hAnsi="Century Schoolbook"/>
          <w:sz w:val="26"/>
          <w:szCs w:val="26"/>
        </w:rPr>
        <w:t xml:space="preserve"> (2022) 76 Cal.App.5th 487, 498 [“Cal</w:t>
      </w:r>
      <w:r w:rsidRPr="000D43E9">
        <w:rPr>
          <w:rFonts w:ascii="Century Schoolbook" w:hAnsi="Century Schoolbook"/>
          <w:sz w:val="26"/>
          <w:szCs w:val="26"/>
        </w:rPr>
        <w:t xml:space="preserve">ifornia courts have declined to impose a duty to protect for tortious or criminal harm committed by third parties on property that defendants . . . did not actually own, possess, or control”]; cf. </w:t>
      </w:r>
      <w:r w:rsidRPr="000D43E9">
        <w:rPr>
          <w:rFonts w:ascii="Century Schoolbook" w:hAnsi="Century Schoolbook"/>
          <w:i/>
          <w:iCs/>
          <w:sz w:val="26"/>
          <w:szCs w:val="26"/>
        </w:rPr>
        <w:t>Roman Catholic Archbishop</w:t>
      </w:r>
      <w:r w:rsidRPr="000D43E9">
        <w:rPr>
          <w:rFonts w:ascii="Century Schoolbook" w:hAnsi="Century Schoolbook"/>
          <w:sz w:val="26"/>
          <w:szCs w:val="26"/>
        </w:rPr>
        <w:t>, at pp. 672-673 [molestation occu</w:t>
      </w:r>
      <w:r w:rsidRPr="000D43E9">
        <w:rPr>
          <w:rFonts w:ascii="Century Schoolbook" w:hAnsi="Century Schoolbook"/>
          <w:sz w:val="26"/>
          <w:szCs w:val="26"/>
        </w:rPr>
        <w:t xml:space="preserve">rred on church property]; </w:t>
      </w:r>
      <w:r w:rsidRPr="000D43E9">
        <w:rPr>
          <w:rFonts w:ascii="Century Schoolbook" w:hAnsi="Century Schoolbook"/>
          <w:i/>
          <w:iCs/>
          <w:sz w:val="26"/>
          <w:szCs w:val="26"/>
        </w:rPr>
        <w:t>Lawndale</w:t>
      </w:r>
      <w:r w:rsidRPr="000D43E9">
        <w:rPr>
          <w:rFonts w:ascii="Century Schoolbook" w:hAnsi="Century Schoolbook"/>
          <w:sz w:val="26"/>
          <w:szCs w:val="26"/>
        </w:rPr>
        <w:t xml:space="preserve">, at p. 135 [molestation occurred on school property]; </w:t>
      </w:r>
      <w:r w:rsidRPr="000D43E9">
        <w:rPr>
          <w:rFonts w:ascii="Century Schoolbook" w:hAnsi="Century Schoolbook"/>
          <w:i/>
          <w:iCs/>
          <w:sz w:val="26"/>
          <w:szCs w:val="26"/>
        </w:rPr>
        <w:t>Jane IL Doe v. Brightstar Residential Inc.</w:t>
      </w:r>
      <w:r w:rsidRPr="000D43E9">
        <w:rPr>
          <w:rFonts w:ascii="Century Schoolbook" w:hAnsi="Century Schoolbook"/>
          <w:sz w:val="26"/>
          <w:szCs w:val="26"/>
        </w:rPr>
        <w:t xml:space="preserve"> (2022) 76 Cal.App.5th 171, 173-183 [molestation occurred on employer’s property]; </w:t>
      </w:r>
      <w:r w:rsidRPr="000D43E9">
        <w:rPr>
          <w:rFonts w:ascii="Century Schoolbook" w:hAnsi="Century Schoolbook"/>
          <w:i/>
          <w:iCs/>
          <w:sz w:val="26"/>
          <w:szCs w:val="26"/>
        </w:rPr>
        <w:t>M.W. v. Panama Buena Vista Union School Di</w:t>
      </w:r>
      <w:r w:rsidRPr="000D43E9">
        <w:rPr>
          <w:rFonts w:ascii="Century Schoolbook" w:hAnsi="Century Schoolbook"/>
          <w:i/>
          <w:iCs/>
          <w:sz w:val="26"/>
          <w:szCs w:val="26"/>
        </w:rPr>
        <w:t>st.</w:t>
      </w:r>
      <w:r w:rsidRPr="000D43E9">
        <w:rPr>
          <w:rFonts w:ascii="Century Schoolbook" w:hAnsi="Century Schoolbook"/>
          <w:sz w:val="26"/>
          <w:szCs w:val="26"/>
        </w:rPr>
        <w:t xml:space="preserve"> (2003) 110 Cal.App.4th 508, 519-520 [sexual assault of a “mentally retarded student” by a “troubled</w:t>
      </w:r>
      <w:r w:rsidR="0013021E">
        <w:rPr>
          <w:rFonts w:ascii="Century Schoolbook" w:hAnsi="Century Schoolbook"/>
          <w:sz w:val="26"/>
          <w:szCs w:val="26"/>
        </w:rPr>
        <w:t>”</w:t>
      </w:r>
      <w:r w:rsidRPr="000D43E9">
        <w:rPr>
          <w:rFonts w:ascii="Century Schoolbook" w:hAnsi="Century Schoolbook"/>
          <w:sz w:val="26"/>
          <w:szCs w:val="26"/>
        </w:rPr>
        <w:t xml:space="preserve"> student </w:t>
      </w:r>
      <w:r w:rsidR="00D9622D">
        <w:rPr>
          <w:rFonts w:ascii="Century Schoolbook" w:hAnsi="Century Schoolbook"/>
          <w:sz w:val="26"/>
          <w:szCs w:val="26"/>
        </w:rPr>
        <w:t xml:space="preserve">occurred </w:t>
      </w:r>
      <w:r w:rsidRPr="000D43E9">
        <w:rPr>
          <w:rFonts w:ascii="Century Schoolbook" w:hAnsi="Century Schoolbook"/>
          <w:sz w:val="26"/>
          <w:szCs w:val="26"/>
        </w:rPr>
        <w:t>on school grounds].)  This is no doubt why A.L. frankly acknowledges that regional centers are “once removed.”  The limited access and</w:t>
      </w:r>
      <w:r w:rsidRPr="000D43E9">
        <w:rPr>
          <w:rFonts w:ascii="Century Schoolbook" w:hAnsi="Century Schoolbook"/>
          <w:sz w:val="26"/>
          <w:szCs w:val="26"/>
        </w:rPr>
        <w:t xml:space="preserve"> control regional centers have over the vendors with whom they contract—a relationship that is governed by statute and regulation—make it unlikely that additional vetting and monitoring would uncover the predilections of a vendor’s employee to engage in se</w:t>
      </w:r>
      <w:r w:rsidRPr="000D43E9">
        <w:rPr>
          <w:rFonts w:ascii="Century Schoolbook" w:hAnsi="Century Schoolbook"/>
          <w:sz w:val="26"/>
          <w:szCs w:val="26"/>
        </w:rPr>
        <w:t>xual assault.  Thus, the connection between shortcomings in vetting and monitoring of a vendor and a subsequent sexual assault by one of the vendor’s em</w:t>
      </w:r>
      <w:r w:rsidR="00C40BAF">
        <w:rPr>
          <w:rFonts w:ascii="Century Schoolbook" w:hAnsi="Century Schoolbook"/>
          <w:sz w:val="26"/>
          <w:szCs w:val="26"/>
        </w:rPr>
        <w:t>p</w:t>
      </w:r>
      <w:r w:rsidRPr="000D43E9">
        <w:rPr>
          <w:rFonts w:ascii="Century Schoolbook" w:hAnsi="Century Schoolbook"/>
          <w:sz w:val="26"/>
          <w:szCs w:val="26"/>
        </w:rPr>
        <w:t xml:space="preserve">loyees is weak.  (Accord, </w:t>
      </w:r>
      <w:r w:rsidRPr="000D43E9">
        <w:rPr>
          <w:rFonts w:ascii="Century Schoolbook" w:hAnsi="Century Schoolbook"/>
          <w:i/>
          <w:iCs/>
          <w:sz w:val="26"/>
          <w:szCs w:val="26"/>
        </w:rPr>
        <w:t>Doe v. L.A. County Dep</w:t>
      </w:r>
      <w:r w:rsidR="0094171A">
        <w:rPr>
          <w:rFonts w:ascii="Century Schoolbook" w:hAnsi="Century Schoolbook"/>
          <w:i/>
          <w:iCs/>
          <w:sz w:val="26"/>
          <w:szCs w:val="26"/>
        </w:rPr>
        <w:t>t.</w:t>
      </w:r>
      <w:r w:rsidRPr="000D43E9">
        <w:rPr>
          <w:rFonts w:ascii="Century Schoolbook" w:hAnsi="Century Schoolbook"/>
          <w:i/>
          <w:iCs/>
          <w:sz w:val="26"/>
          <w:szCs w:val="26"/>
        </w:rPr>
        <w:t xml:space="preserve"> of Family Services</w:t>
      </w:r>
      <w:r w:rsidRPr="000D43E9">
        <w:rPr>
          <w:rFonts w:ascii="Century Schoolbook" w:hAnsi="Century Schoolbook"/>
          <w:sz w:val="26"/>
          <w:szCs w:val="26"/>
        </w:rPr>
        <w:t xml:space="preserve"> (2019) 37 Cal.App.5th 675, 684-68</w:t>
      </w:r>
      <w:r w:rsidRPr="000D43E9">
        <w:rPr>
          <w:rFonts w:ascii="Century Schoolbook" w:hAnsi="Century Schoolbook"/>
          <w:sz w:val="26"/>
          <w:szCs w:val="26"/>
        </w:rPr>
        <w:t>5</w:t>
      </w:r>
      <w:r w:rsidR="000E4FDB">
        <w:rPr>
          <w:rFonts w:ascii="Century Schoolbook" w:hAnsi="Century Schoolbook"/>
          <w:sz w:val="26"/>
          <w:szCs w:val="26"/>
        </w:rPr>
        <w:t xml:space="preserve"> (</w:t>
      </w:r>
      <w:r w:rsidR="000E4FDB">
        <w:rPr>
          <w:rFonts w:ascii="Century Schoolbook" w:hAnsi="Century Schoolbook"/>
          <w:i/>
          <w:iCs/>
          <w:sz w:val="26"/>
          <w:szCs w:val="26"/>
        </w:rPr>
        <w:t>Doe</w:t>
      </w:r>
      <w:r w:rsidR="000E4FDB">
        <w:rPr>
          <w:rFonts w:ascii="Century Schoolbook" w:hAnsi="Century Schoolbook"/>
          <w:sz w:val="26"/>
          <w:szCs w:val="26"/>
        </w:rPr>
        <w:t>)</w:t>
      </w:r>
      <w:r w:rsidRPr="000D43E9">
        <w:rPr>
          <w:rFonts w:ascii="Century Schoolbook" w:hAnsi="Century Schoolbook"/>
          <w:sz w:val="26"/>
          <w:szCs w:val="26"/>
        </w:rPr>
        <w:t xml:space="preserve"> [absence of additional vetting and oversight “would not have led to information about the [employee’s] criminal propensities”].) </w:t>
      </w:r>
    </w:p>
    <w:p w14:paraId="38BA251A" w14:textId="15CC8DAD"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r>
      <w:r w:rsidRPr="000D43E9">
        <w:rPr>
          <w:rFonts w:ascii="Century Schoolbook" w:hAnsi="Century Schoolbook"/>
          <w:i/>
          <w:iCs/>
          <w:sz w:val="26"/>
          <w:szCs w:val="26"/>
        </w:rPr>
        <w:t>Rowland’s</w:t>
      </w:r>
      <w:r w:rsidRPr="000D43E9">
        <w:rPr>
          <w:rFonts w:ascii="Century Schoolbook" w:hAnsi="Century Schoolbook"/>
          <w:sz w:val="26"/>
          <w:szCs w:val="26"/>
        </w:rPr>
        <w:t xml:space="preserve"> countervailing policy considerations all but dictate that we limit the duty to protect running from regional centers to consumers</w:t>
      </w:r>
      <w:r w:rsidR="00400978">
        <w:rPr>
          <w:rFonts w:ascii="Century Schoolbook" w:hAnsi="Century Schoolbook"/>
          <w:sz w:val="26"/>
          <w:szCs w:val="26"/>
        </w:rPr>
        <w:t xml:space="preserve"> here</w:t>
      </w:r>
      <w:r w:rsidRPr="000D43E9">
        <w:rPr>
          <w:rFonts w:ascii="Century Schoolbook" w:hAnsi="Century Schoolbook"/>
          <w:sz w:val="26"/>
          <w:szCs w:val="26"/>
        </w:rPr>
        <w:t>.</w:t>
      </w:r>
    </w:p>
    <w:p w14:paraId="582E2AAA" w14:textId="7CD58AAE"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Where the regional center’s alleged shortcoming is the failure to adequately vet and monitor vendors’ compliance with </w:t>
      </w:r>
      <w:r w:rsidRPr="000D43E9">
        <w:rPr>
          <w:rFonts w:ascii="Century Schoolbook" w:hAnsi="Century Schoolbook"/>
          <w:sz w:val="26"/>
          <w:szCs w:val="26"/>
        </w:rPr>
        <w:lastRenderedPageBreak/>
        <w:t>consumers’ plans and the vendor</w:t>
      </w:r>
      <w:r w:rsidR="00045A47">
        <w:rPr>
          <w:rFonts w:ascii="Century Schoolbook" w:hAnsi="Century Schoolbook"/>
          <w:sz w:val="26"/>
          <w:szCs w:val="26"/>
        </w:rPr>
        <w:t>s’</w:t>
      </w:r>
      <w:r w:rsidRPr="000D43E9">
        <w:rPr>
          <w:rFonts w:ascii="Century Schoolbook" w:hAnsi="Century Schoolbook"/>
          <w:sz w:val="26"/>
          <w:szCs w:val="26"/>
        </w:rPr>
        <w:t xml:space="preserve"> contracts, the moral blame for a subsequent sexual assault by a vendor’s employee does not lie with the regional center.  If, as our Supreme Court has noted, “little or no moral blame </w:t>
      </w:r>
      <w:proofErr w:type="spellStart"/>
      <w:r w:rsidRPr="000D43E9">
        <w:rPr>
          <w:rFonts w:ascii="Century Schoolbook" w:hAnsi="Century Schoolbook"/>
          <w:sz w:val="26"/>
          <w:szCs w:val="26"/>
        </w:rPr>
        <w:t>attache</w:t>
      </w:r>
      <w:proofErr w:type="spellEnd"/>
      <w:r w:rsidR="00D60426">
        <w:rPr>
          <w:rFonts w:ascii="Century Schoolbook" w:hAnsi="Century Schoolbook"/>
          <w:sz w:val="26"/>
          <w:szCs w:val="26"/>
        </w:rPr>
        <w:t>[</w:t>
      </w:r>
      <w:r w:rsidRPr="000D43E9">
        <w:rPr>
          <w:rFonts w:ascii="Century Schoolbook" w:hAnsi="Century Schoolbook"/>
          <w:sz w:val="26"/>
          <w:szCs w:val="26"/>
        </w:rPr>
        <w:t>s]” to an employer’s “hiring o</w:t>
      </w:r>
      <w:r w:rsidRPr="000D43E9">
        <w:rPr>
          <w:rFonts w:ascii="Century Schoolbook" w:hAnsi="Century Schoolbook"/>
          <w:sz w:val="26"/>
          <w:szCs w:val="26"/>
        </w:rPr>
        <w:t>r retention decision” unless that employer “knew or should have known of the dangerous propensities of the employee who injured the plaintiff” (</w:t>
      </w:r>
      <w:r w:rsidRPr="000D43E9">
        <w:rPr>
          <w:rFonts w:ascii="Century Schoolbook" w:hAnsi="Century Schoolbook"/>
          <w:i/>
          <w:iCs/>
          <w:sz w:val="26"/>
          <w:szCs w:val="26"/>
        </w:rPr>
        <w:t xml:space="preserve">C.A. v. William S. Hart Union High School Dist. </w:t>
      </w:r>
      <w:r w:rsidRPr="000D43E9">
        <w:rPr>
          <w:rFonts w:ascii="Century Schoolbook" w:hAnsi="Century Schoolbook"/>
          <w:sz w:val="26"/>
          <w:szCs w:val="26"/>
        </w:rPr>
        <w:t>(2012) 53 Cal.4</w:t>
      </w:r>
      <w:r w:rsidR="0007358A">
        <w:rPr>
          <w:rFonts w:ascii="Century Schoolbook" w:hAnsi="Century Schoolbook"/>
          <w:sz w:val="26"/>
          <w:szCs w:val="26"/>
        </w:rPr>
        <w:t>th</w:t>
      </w:r>
      <w:r w:rsidRPr="000D43E9">
        <w:rPr>
          <w:rFonts w:ascii="Century Schoolbook" w:hAnsi="Century Schoolbook"/>
          <w:sz w:val="26"/>
          <w:szCs w:val="26"/>
        </w:rPr>
        <w:t xml:space="preserve"> 861, 878), </w:t>
      </w:r>
      <w:r w:rsidR="00400978">
        <w:rPr>
          <w:rFonts w:ascii="Century Schoolbook" w:hAnsi="Century Schoolbook"/>
          <w:sz w:val="26"/>
          <w:szCs w:val="26"/>
        </w:rPr>
        <w:t xml:space="preserve">then </w:t>
      </w:r>
      <w:r w:rsidRPr="000D43E9">
        <w:rPr>
          <w:rFonts w:ascii="Century Schoolbook" w:hAnsi="Century Schoolbook"/>
          <w:sz w:val="26"/>
          <w:szCs w:val="26"/>
        </w:rPr>
        <w:t>there is even less moral blame</w:t>
      </w:r>
      <w:r w:rsidRPr="000D43E9">
        <w:rPr>
          <w:rFonts w:ascii="Century Schoolbook" w:hAnsi="Century Schoolbook"/>
          <w:sz w:val="26"/>
          <w:szCs w:val="26"/>
        </w:rPr>
        <w:t xml:space="preserve"> attaching to a regional center who is “once removed” from that hiring decision.  Further, because moral blame is “typically found when the defendant reaps a financial benefit from the risks it has created” (</w:t>
      </w:r>
      <w:proofErr w:type="spellStart"/>
      <w:r w:rsidRPr="000D43E9">
        <w:rPr>
          <w:rFonts w:ascii="Century Schoolbook" w:hAnsi="Century Schoolbook"/>
          <w:i/>
          <w:iCs/>
          <w:sz w:val="26"/>
          <w:szCs w:val="26"/>
        </w:rPr>
        <w:t>Kuciemba</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14 Cal.5</w:t>
      </w:r>
      <w:r w:rsidR="0007358A">
        <w:rPr>
          <w:rFonts w:ascii="Century Schoolbook" w:hAnsi="Century Schoolbook"/>
          <w:sz w:val="26"/>
          <w:szCs w:val="26"/>
        </w:rPr>
        <w:t>th</w:t>
      </w:r>
      <w:r w:rsidRPr="000D43E9">
        <w:rPr>
          <w:rFonts w:ascii="Century Schoolbook" w:hAnsi="Century Schoolbook"/>
          <w:sz w:val="26"/>
          <w:szCs w:val="26"/>
        </w:rPr>
        <w:t xml:space="preserve"> at p. 1025), the abs</w:t>
      </w:r>
      <w:r w:rsidRPr="000D43E9">
        <w:rPr>
          <w:rFonts w:ascii="Century Schoolbook" w:hAnsi="Century Schoolbook"/>
          <w:sz w:val="26"/>
          <w:szCs w:val="26"/>
        </w:rPr>
        <w:t>ence of any financial motive by regional centers means they are less morally blameworthy for this reason as well.</w:t>
      </w:r>
    </w:p>
    <w:p w14:paraId="7E279BE3" w14:textId="3690DCFC"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Imposing liability on regional centers for sexual assaults committed by vendors’ employees due to the regional centers’ inadequate vetting an</w:t>
      </w:r>
      <w:r w:rsidRPr="000D43E9">
        <w:rPr>
          <w:rFonts w:ascii="Century Schoolbook" w:hAnsi="Century Schoolbook"/>
          <w:sz w:val="26"/>
          <w:szCs w:val="26"/>
        </w:rPr>
        <w:t>d monitoring will also not prevent such assaults because even adequate vetting and monitoring is unlikely to uncover the criminal propensities of those employees and because regional centers do not control those employees or the vendors’ premises where the</w:t>
      </w:r>
      <w:r w:rsidRPr="000D43E9">
        <w:rPr>
          <w:rFonts w:ascii="Century Schoolbook" w:hAnsi="Century Schoolbook"/>
          <w:sz w:val="26"/>
          <w:szCs w:val="26"/>
        </w:rPr>
        <w:t xml:space="preserve"> employees work.  More to the point, recognizing a duty by regional centers to prevent sexual assault by any vendors’ employee</w:t>
      </w:r>
      <w:r w:rsidR="000673DA">
        <w:rPr>
          <w:rFonts w:ascii="Century Schoolbook" w:hAnsi="Century Schoolbook"/>
          <w:sz w:val="26"/>
          <w:szCs w:val="26"/>
        </w:rPr>
        <w:t>s</w:t>
      </w:r>
      <w:r w:rsidRPr="000D43E9">
        <w:rPr>
          <w:rFonts w:ascii="Century Schoolbook" w:hAnsi="Century Schoolbook"/>
          <w:sz w:val="26"/>
          <w:szCs w:val="26"/>
        </w:rPr>
        <w:t xml:space="preserve"> by virtue of insufficient vetting and monitoring would convert regional centers into the de facto insurers against all sexual as</w:t>
      </w:r>
      <w:r w:rsidRPr="000D43E9">
        <w:rPr>
          <w:rFonts w:ascii="Century Schoolbook" w:hAnsi="Century Schoolbook"/>
          <w:sz w:val="26"/>
          <w:szCs w:val="26"/>
        </w:rPr>
        <w:t>saults inflicted by any vendor employee against any consumer.</w:t>
      </w:r>
      <w:r>
        <w:rPr>
          <w:rStyle w:val="FootnoteReference"/>
          <w:rFonts w:ascii="Century Schoolbook" w:hAnsi="Century Schoolbook"/>
          <w:b/>
          <w:bCs/>
          <w:szCs w:val="26"/>
        </w:rPr>
        <w:footnoteReference w:id="10"/>
      </w:r>
      <w:r w:rsidRPr="000D43E9">
        <w:rPr>
          <w:rFonts w:ascii="Century Schoolbook" w:hAnsi="Century Schoolbook"/>
          <w:sz w:val="26"/>
          <w:szCs w:val="26"/>
        </w:rPr>
        <w:t xml:space="preserve">  (Accord, </w:t>
      </w:r>
      <w:r w:rsidRPr="000D43E9">
        <w:rPr>
          <w:rFonts w:ascii="Century Schoolbook" w:hAnsi="Century Schoolbook"/>
          <w:i/>
          <w:iCs/>
          <w:sz w:val="26"/>
          <w:szCs w:val="26"/>
        </w:rPr>
        <w:t>Regents</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4 </w:t>
      </w:r>
      <w:r w:rsidRPr="000D43E9">
        <w:rPr>
          <w:rFonts w:ascii="Century Schoolbook" w:hAnsi="Century Schoolbook"/>
          <w:sz w:val="26"/>
          <w:szCs w:val="26"/>
        </w:rPr>
        <w:lastRenderedPageBreak/>
        <w:t>Cal.5</w:t>
      </w:r>
      <w:r w:rsidR="0007358A">
        <w:rPr>
          <w:rFonts w:ascii="Century Schoolbook" w:hAnsi="Century Schoolbook"/>
          <w:sz w:val="26"/>
          <w:szCs w:val="26"/>
        </w:rPr>
        <w:t>th</w:t>
      </w:r>
      <w:r w:rsidRPr="000D43E9">
        <w:rPr>
          <w:rFonts w:ascii="Century Schoolbook" w:hAnsi="Century Schoolbook"/>
          <w:sz w:val="26"/>
          <w:szCs w:val="26"/>
        </w:rPr>
        <w:t xml:space="preserve"> at p. 634 [expressing hesitation when the imposition of liability will convert a class of defendant</w:t>
      </w:r>
      <w:r w:rsidR="005A1722">
        <w:rPr>
          <w:rFonts w:ascii="Century Schoolbook" w:hAnsi="Century Schoolbook"/>
          <w:sz w:val="26"/>
          <w:szCs w:val="26"/>
        </w:rPr>
        <w:t>s</w:t>
      </w:r>
      <w:r w:rsidRPr="000D43E9">
        <w:rPr>
          <w:rFonts w:ascii="Century Schoolbook" w:hAnsi="Century Schoolbook"/>
          <w:sz w:val="26"/>
          <w:szCs w:val="26"/>
        </w:rPr>
        <w:t xml:space="preserve"> into “the ultimate insurers of all . . . safety”]; </w:t>
      </w:r>
      <w:proofErr w:type="spellStart"/>
      <w:r w:rsidRPr="000D43E9">
        <w:rPr>
          <w:rFonts w:ascii="Century Schoolbook" w:hAnsi="Century Schoolbook"/>
          <w:i/>
          <w:iCs/>
          <w:sz w:val="26"/>
          <w:szCs w:val="26"/>
        </w:rPr>
        <w:t>Shal</w:t>
      </w:r>
      <w:r w:rsidRPr="000D43E9">
        <w:rPr>
          <w:rFonts w:ascii="Century Schoolbook" w:hAnsi="Century Schoolbook"/>
          <w:i/>
          <w:iCs/>
          <w:sz w:val="26"/>
          <w:szCs w:val="26"/>
        </w:rPr>
        <w:t>ghoun</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99 Cal.App.5</w:t>
      </w:r>
      <w:r w:rsidR="0007358A">
        <w:rPr>
          <w:rFonts w:ascii="Century Schoolbook" w:hAnsi="Century Schoolbook"/>
          <w:sz w:val="26"/>
          <w:szCs w:val="26"/>
        </w:rPr>
        <w:t>th</w:t>
      </w:r>
      <w:r w:rsidRPr="000D43E9">
        <w:rPr>
          <w:rFonts w:ascii="Century Schoolbook" w:hAnsi="Century Schoolbook"/>
          <w:sz w:val="26"/>
          <w:szCs w:val="26"/>
        </w:rPr>
        <w:t xml:space="preserve"> at </w:t>
      </w:r>
      <w:r w:rsidRPr="007D590C">
        <w:rPr>
          <w:rFonts w:ascii="Century Schoolbook" w:hAnsi="Century Schoolbook"/>
          <w:sz w:val="26"/>
          <w:szCs w:val="26"/>
        </w:rPr>
        <w:t xml:space="preserve">pp. </w:t>
      </w:r>
      <w:r w:rsidR="007D590C" w:rsidRPr="00A76FEF">
        <w:rPr>
          <w:rFonts w:ascii="Century Schoolbook" w:hAnsi="Century Schoolbook"/>
          <w:sz w:val="26"/>
          <w:szCs w:val="26"/>
        </w:rPr>
        <w:t>952-953</w:t>
      </w:r>
      <w:r w:rsidRPr="007D590C">
        <w:rPr>
          <w:rFonts w:ascii="Century Schoolbook" w:hAnsi="Century Schoolbook"/>
          <w:sz w:val="26"/>
          <w:szCs w:val="26"/>
        </w:rPr>
        <w:t xml:space="preserve"> [declining</w:t>
      </w:r>
      <w:r w:rsidRPr="000D43E9">
        <w:rPr>
          <w:rFonts w:ascii="Century Schoolbook" w:hAnsi="Century Schoolbook"/>
          <w:sz w:val="26"/>
          <w:szCs w:val="26"/>
        </w:rPr>
        <w:t xml:space="preserve"> to impose duty on regional centers to protect residential facility vendor employees from injury caused by consumers when the regional center did not move a consumer as requested by the facility because doing so would convert regional centers into de facto</w:t>
      </w:r>
      <w:r w:rsidRPr="000D43E9">
        <w:rPr>
          <w:rFonts w:ascii="Century Schoolbook" w:hAnsi="Century Schoolbook"/>
          <w:sz w:val="26"/>
          <w:szCs w:val="26"/>
        </w:rPr>
        <w:t xml:space="preserve"> insurers against all such injuries].)  Because the Act precludes </w:t>
      </w:r>
      <w:r w:rsidR="00AA6CB9">
        <w:rPr>
          <w:rFonts w:ascii="Century Schoolbook" w:hAnsi="Century Schoolbook"/>
          <w:sz w:val="26"/>
          <w:szCs w:val="26"/>
        </w:rPr>
        <w:t>regional centers</w:t>
      </w:r>
      <w:r w:rsidR="00AA6CB9" w:rsidRPr="000D43E9">
        <w:rPr>
          <w:rFonts w:ascii="Century Schoolbook" w:hAnsi="Century Schoolbook"/>
          <w:sz w:val="26"/>
          <w:szCs w:val="26"/>
        </w:rPr>
        <w:t xml:space="preserve"> </w:t>
      </w:r>
      <w:r w:rsidRPr="000D43E9">
        <w:rPr>
          <w:rFonts w:ascii="Century Schoolbook" w:hAnsi="Century Schoolbook"/>
          <w:sz w:val="26"/>
          <w:szCs w:val="26"/>
        </w:rPr>
        <w:t xml:space="preserve">from providing services themselves, and contrary to A.L.’s </w:t>
      </w:r>
      <w:r w:rsidR="00AA6CB9">
        <w:rPr>
          <w:rFonts w:ascii="Century Schoolbook" w:hAnsi="Century Schoolbook"/>
          <w:sz w:val="26"/>
          <w:szCs w:val="26"/>
        </w:rPr>
        <w:t xml:space="preserve">bald </w:t>
      </w:r>
      <w:r w:rsidRPr="000D43E9">
        <w:rPr>
          <w:rFonts w:ascii="Century Schoolbook" w:hAnsi="Century Schoolbook"/>
          <w:sz w:val="26"/>
          <w:szCs w:val="26"/>
        </w:rPr>
        <w:t>assertion that only “minimal effort” would be “necessary to supervise and monitor</w:t>
      </w:r>
      <w:r w:rsidR="00AA6CB9">
        <w:rPr>
          <w:rFonts w:ascii="Century Schoolbook" w:hAnsi="Century Schoolbook"/>
          <w:sz w:val="26"/>
          <w:szCs w:val="26"/>
        </w:rPr>
        <w:t>” vendors</w:t>
      </w:r>
      <w:r w:rsidRPr="000D43E9">
        <w:rPr>
          <w:rFonts w:ascii="Century Schoolbook" w:hAnsi="Century Schoolbook"/>
          <w:sz w:val="26"/>
          <w:szCs w:val="26"/>
        </w:rPr>
        <w:t xml:space="preserve">, the only way for </w:t>
      </w:r>
      <w:r w:rsidRPr="000D43E9">
        <w:rPr>
          <w:rFonts w:ascii="Century Schoolbook" w:hAnsi="Century Schoolbook"/>
          <w:sz w:val="26"/>
          <w:szCs w:val="26"/>
        </w:rPr>
        <w:t>regional centers to mitigate that liability would be to engage in very close oversight of all vendor employees</w:t>
      </w:r>
      <w:r w:rsidR="00AA6CB9">
        <w:rPr>
          <w:rFonts w:ascii="Century Schoolbook" w:hAnsi="Century Schoolbook"/>
          <w:sz w:val="26"/>
          <w:szCs w:val="26"/>
        </w:rPr>
        <w:t>.</w:t>
      </w:r>
      <w:r>
        <w:rPr>
          <w:rStyle w:val="FootnoteReference"/>
          <w:rFonts w:ascii="Century Schoolbook" w:hAnsi="Century Schoolbook"/>
          <w:b/>
          <w:bCs/>
          <w:szCs w:val="26"/>
        </w:rPr>
        <w:footnoteReference w:id="11"/>
      </w:r>
      <w:r w:rsidRPr="000D43E9">
        <w:rPr>
          <w:rFonts w:ascii="Century Schoolbook" w:hAnsi="Century Schoolbook"/>
          <w:sz w:val="26"/>
          <w:szCs w:val="26"/>
        </w:rPr>
        <w:t xml:space="preserve"> </w:t>
      </w:r>
      <w:r w:rsidR="00AA6CB9">
        <w:rPr>
          <w:rFonts w:ascii="Century Schoolbook" w:hAnsi="Century Schoolbook"/>
          <w:sz w:val="26"/>
          <w:szCs w:val="26"/>
        </w:rPr>
        <w:t xml:space="preserve"> </w:t>
      </w:r>
      <w:r w:rsidR="00E229D3">
        <w:rPr>
          <w:rFonts w:ascii="Century Schoolbook" w:hAnsi="Century Schoolbook"/>
          <w:sz w:val="26"/>
          <w:szCs w:val="26"/>
        </w:rPr>
        <w:t>B</w:t>
      </w:r>
      <w:r w:rsidR="000F28FA">
        <w:rPr>
          <w:rFonts w:ascii="Century Schoolbook" w:hAnsi="Century Schoolbook"/>
          <w:sz w:val="26"/>
          <w:szCs w:val="26"/>
        </w:rPr>
        <w:t>ut that</w:t>
      </w:r>
      <w:r w:rsidRPr="000D43E9">
        <w:rPr>
          <w:rFonts w:ascii="Century Schoolbook" w:hAnsi="Century Schoolbook"/>
          <w:sz w:val="26"/>
          <w:szCs w:val="26"/>
        </w:rPr>
        <w:t xml:space="preserve"> would be an impossible task given </w:t>
      </w:r>
      <w:r w:rsidRPr="000D43E9">
        <w:rPr>
          <w:rFonts w:ascii="Century Schoolbook" w:hAnsi="Century Schoolbook"/>
          <w:sz w:val="26"/>
          <w:szCs w:val="26"/>
        </w:rPr>
        <w:lastRenderedPageBreak/>
        <w:t>the sheer number of employees working for the vendors who directly provide the 4</w:t>
      </w:r>
      <w:r w:rsidR="002F5516">
        <w:rPr>
          <w:rFonts w:ascii="Century Schoolbook" w:hAnsi="Century Schoolbook"/>
          <w:sz w:val="26"/>
          <w:szCs w:val="26"/>
        </w:rPr>
        <w:t>8</w:t>
      </w:r>
      <w:r w:rsidRPr="000D43E9">
        <w:rPr>
          <w:rFonts w:ascii="Century Schoolbook" w:hAnsi="Century Schoolbook"/>
          <w:sz w:val="26"/>
          <w:szCs w:val="26"/>
        </w:rPr>
        <w:t xml:space="preserve"> categories of se</w:t>
      </w:r>
      <w:r w:rsidRPr="000D43E9">
        <w:rPr>
          <w:rFonts w:ascii="Century Schoolbook" w:hAnsi="Century Schoolbook"/>
          <w:sz w:val="26"/>
          <w:szCs w:val="26"/>
        </w:rPr>
        <w:t>rvices and support specified in the Act.  That would leave regional centers liable in tort for all sexual assaults committed by all vendors</w:t>
      </w:r>
      <w:r w:rsidR="001D68C8">
        <w:rPr>
          <w:rFonts w:ascii="Century Schoolbook" w:hAnsi="Century Schoolbook"/>
          <w:sz w:val="26"/>
          <w:szCs w:val="26"/>
        </w:rPr>
        <w:t>’</w:t>
      </w:r>
      <w:r w:rsidRPr="000D43E9">
        <w:rPr>
          <w:rFonts w:ascii="Century Schoolbook" w:hAnsi="Century Schoolbook"/>
          <w:sz w:val="26"/>
          <w:szCs w:val="26"/>
        </w:rPr>
        <w:t xml:space="preserve"> employees.  Yet “[</w:t>
      </w:r>
      <w:proofErr w:type="spellStart"/>
      <w:r w:rsidRPr="000D43E9">
        <w:rPr>
          <w:rFonts w:ascii="Century Schoolbook" w:hAnsi="Century Schoolbook"/>
          <w:sz w:val="26"/>
          <w:szCs w:val="26"/>
        </w:rPr>
        <w:t>i</w:t>
      </w:r>
      <w:proofErr w:type="spellEnd"/>
      <w:r w:rsidRPr="000D43E9">
        <w:rPr>
          <w:rFonts w:ascii="Century Schoolbook" w:hAnsi="Century Schoolbook"/>
          <w:sz w:val="26"/>
          <w:szCs w:val="26"/>
        </w:rPr>
        <w:t>]</w:t>
      </w:r>
      <w:proofErr w:type="spellStart"/>
      <w:r w:rsidRPr="000D43E9">
        <w:rPr>
          <w:rFonts w:ascii="Century Schoolbook" w:hAnsi="Century Schoolbook"/>
          <w:sz w:val="26"/>
          <w:szCs w:val="26"/>
        </w:rPr>
        <w:t>mposing</w:t>
      </w:r>
      <w:proofErr w:type="spellEnd"/>
      <w:r w:rsidRPr="000D43E9">
        <w:rPr>
          <w:rFonts w:ascii="Century Schoolbook" w:hAnsi="Century Schoolbook"/>
          <w:sz w:val="26"/>
          <w:szCs w:val="26"/>
        </w:rPr>
        <w:t xml:space="preserve"> such vast tort liability on regional centers that are, by definition, nonprofit entitie</w:t>
      </w:r>
      <w:r w:rsidRPr="000D43E9">
        <w:rPr>
          <w:rFonts w:ascii="Century Schoolbook" w:hAnsi="Century Schoolbook"/>
          <w:sz w:val="26"/>
          <w:szCs w:val="26"/>
        </w:rPr>
        <w:t xml:space="preserve">s, will likely drive them out of business and hence end up doing </w:t>
      </w:r>
      <w:r w:rsidRPr="000D43E9">
        <w:rPr>
          <w:rFonts w:ascii="Century Schoolbook" w:hAnsi="Century Schoolbook"/>
          <w:i/>
          <w:iCs/>
          <w:sz w:val="26"/>
          <w:szCs w:val="26"/>
        </w:rPr>
        <w:t xml:space="preserve">nothing </w:t>
      </w:r>
      <w:r w:rsidRPr="000D43E9">
        <w:rPr>
          <w:rFonts w:ascii="Century Schoolbook" w:hAnsi="Century Schoolbook"/>
          <w:sz w:val="26"/>
          <w:szCs w:val="26"/>
        </w:rPr>
        <w:t>to prevent future harm.”  (</w:t>
      </w:r>
      <w:proofErr w:type="spellStart"/>
      <w:r w:rsidRPr="000D43E9">
        <w:rPr>
          <w:rFonts w:ascii="Century Schoolbook" w:hAnsi="Century Schoolbook"/>
          <w:i/>
          <w:iCs/>
          <w:sz w:val="26"/>
          <w:szCs w:val="26"/>
        </w:rPr>
        <w:t>Shalghoun</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w:t>
      </w:r>
      <w:r w:rsidRPr="00861FFA">
        <w:rPr>
          <w:rFonts w:ascii="Century Schoolbook" w:hAnsi="Century Schoolbook"/>
          <w:sz w:val="26"/>
          <w:szCs w:val="26"/>
        </w:rPr>
        <w:t xml:space="preserve">at </w:t>
      </w:r>
      <w:r w:rsidRPr="00A76FEF">
        <w:rPr>
          <w:rFonts w:ascii="Century Schoolbook" w:hAnsi="Century Schoolbook"/>
          <w:sz w:val="26"/>
          <w:szCs w:val="26"/>
        </w:rPr>
        <w:t xml:space="preserve">p. </w:t>
      </w:r>
      <w:r w:rsidR="00861FFA" w:rsidRPr="00A76FEF">
        <w:rPr>
          <w:rFonts w:ascii="Century Schoolbook" w:hAnsi="Century Schoolbook"/>
          <w:sz w:val="26"/>
          <w:szCs w:val="26"/>
        </w:rPr>
        <w:t>953</w:t>
      </w:r>
      <w:r w:rsidRPr="00861FFA">
        <w:rPr>
          <w:rFonts w:ascii="Century Schoolbook" w:hAnsi="Century Schoolbook"/>
          <w:sz w:val="26"/>
          <w:szCs w:val="26"/>
        </w:rPr>
        <w:t>.)</w:t>
      </w:r>
      <w:r w:rsidR="00F33EFA" w:rsidRPr="00F33EFA">
        <w:rPr>
          <w:rFonts w:ascii="Century Schoolbook" w:hAnsi="Century Schoolbook"/>
          <w:sz w:val="26"/>
          <w:szCs w:val="26"/>
        </w:rPr>
        <w:t xml:space="preserve"> </w:t>
      </w:r>
      <w:r w:rsidR="00F33EFA">
        <w:rPr>
          <w:rFonts w:ascii="Century Schoolbook" w:hAnsi="Century Schoolbook"/>
          <w:sz w:val="26"/>
          <w:szCs w:val="26"/>
        </w:rPr>
        <w:t xml:space="preserve"> A.L. argued for the first time at oral argument that our Legislature’s decision to assign the responsibilities of evaluating, coordinating, and monitoring to </w:t>
      </w:r>
      <w:r w:rsidR="00F33EFA" w:rsidRPr="009D48F1">
        <w:rPr>
          <w:rFonts w:ascii="Century Schoolbook" w:hAnsi="Century Schoolbook"/>
          <w:i/>
          <w:iCs/>
          <w:sz w:val="26"/>
          <w:szCs w:val="26"/>
        </w:rPr>
        <w:t>private</w:t>
      </w:r>
      <w:r w:rsidR="00F33EFA">
        <w:rPr>
          <w:rFonts w:ascii="Century Schoolbook" w:hAnsi="Century Schoolbook"/>
          <w:sz w:val="26"/>
          <w:szCs w:val="26"/>
        </w:rPr>
        <w:t xml:space="preserve"> nonprofit regional centers rather than to some public agency amounts to an expression of legislative intent that regional centers not enjoy tort immunity.  This argument not only ignores that the immunity enjoyed by public agencies is limited and does not extend to the negligent failure to protect against risks (Gov. Code, § 815.6) or to the negligent acts of their employees (</w:t>
      </w:r>
      <w:r w:rsidR="00F33EFA">
        <w:rPr>
          <w:rFonts w:ascii="Century Schoolbook" w:hAnsi="Century Schoolbook"/>
          <w:i/>
          <w:iCs/>
          <w:sz w:val="26"/>
          <w:szCs w:val="26"/>
        </w:rPr>
        <w:t>id.</w:t>
      </w:r>
      <w:r w:rsidR="00F33EFA">
        <w:rPr>
          <w:rFonts w:ascii="Century Schoolbook" w:hAnsi="Century Schoolbook"/>
          <w:sz w:val="26"/>
          <w:szCs w:val="26"/>
        </w:rPr>
        <w:t>, § 820), but also ignores that our Legislature resorted to private nonprofit entities because it did not view state agencies as viable entities (</w:t>
      </w:r>
      <w:proofErr w:type="spellStart"/>
      <w:r w:rsidR="00F33EFA">
        <w:rPr>
          <w:rFonts w:ascii="Century Schoolbook" w:hAnsi="Century Schoolbook"/>
          <w:i/>
          <w:iCs/>
          <w:sz w:val="26"/>
          <w:szCs w:val="26"/>
        </w:rPr>
        <w:t>Shalg</w:t>
      </w:r>
      <w:r w:rsidR="001037F2">
        <w:rPr>
          <w:rFonts w:ascii="Century Schoolbook" w:hAnsi="Century Schoolbook"/>
          <w:i/>
          <w:iCs/>
          <w:sz w:val="26"/>
          <w:szCs w:val="26"/>
        </w:rPr>
        <w:t>h</w:t>
      </w:r>
      <w:r w:rsidR="00F33EFA">
        <w:rPr>
          <w:rFonts w:ascii="Century Schoolbook" w:hAnsi="Century Schoolbook"/>
          <w:i/>
          <w:iCs/>
          <w:sz w:val="26"/>
          <w:szCs w:val="26"/>
        </w:rPr>
        <w:t>oun</w:t>
      </w:r>
      <w:proofErr w:type="spellEnd"/>
      <w:r w:rsidR="00F33EFA" w:rsidRPr="009D48F1">
        <w:rPr>
          <w:rFonts w:ascii="Century Schoolbook" w:hAnsi="Century Schoolbook"/>
          <w:sz w:val="26"/>
          <w:szCs w:val="26"/>
        </w:rPr>
        <w:t>,</w:t>
      </w:r>
      <w:r w:rsidR="00F33EFA">
        <w:rPr>
          <w:rFonts w:ascii="Century Schoolbook" w:hAnsi="Century Schoolbook"/>
          <w:i/>
          <w:iCs/>
          <w:sz w:val="26"/>
          <w:szCs w:val="26"/>
        </w:rPr>
        <w:t xml:space="preserve"> </w:t>
      </w:r>
      <w:r w:rsidR="00F33EFA">
        <w:rPr>
          <w:rFonts w:ascii="Century Schoolbook" w:hAnsi="Century Schoolbook"/>
          <w:sz w:val="26"/>
          <w:szCs w:val="26"/>
        </w:rPr>
        <w:t>at p. 941).</w:t>
      </w:r>
    </w:p>
    <w:p w14:paraId="50945564" w14:textId="15A41CBF"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Imposing liability on regional centers for sexual</w:t>
      </w:r>
      <w:r w:rsidRPr="000D43E9">
        <w:rPr>
          <w:rFonts w:ascii="Century Schoolbook" w:hAnsi="Century Schoolbook"/>
          <w:sz w:val="26"/>
          <w:szCs w:val="26"/>
        </w:rPr>
        <w:t xml:space="preserve"> assaults committed by vendors’ employees due to the regional centers’ inadequate vetting and monitoring </w:t>
      </w:r>
      <w:r w:rsidR="000F1B7B">
        <w:rPr>
          <w:rFonts w:ascii="Century Schoolbook" w:hAnsi="Century Schoolbook"/>
          <w:sz w:val="26"/>
          <w:szCs w:val="26"/>
        </w:rPr>
        <w:t xml:space="preserve">of vendors </w:t>
      </w:r>
      <w:r w:rsidRPr="000D43E9">
        <w:rPr>
          <w:rFonts w:ascii="Century Schoolbook" w:hAnsi="Century Schoolbook"/>
          <w:sz w:val="26"/>
          <w:szCs w:val="26"/>
        </w:rPr>
        <w:t xml:space="preserve">would impose a crushing burden on those centers, would drive them out of business, and thus would very like render the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Act a dead </w:t>
      </w:r>
      <w:r w:rsidRPr="000D43E9">
        <w:rPr>
          <w:rFonts w:ascii="Century Schoolbook" w:hAnsi="Century Schoolbook"/>
          <w:sz w:val="26"/>
          <w:szCs w:val="26"/>
        </w:rPr>
        <w:t xml:space="preserve">letter because no regional center would remain in business to coordinate and contract for the services and support needed by developmentally disabled </w:t>
      </w:r>
      <w:r w:rsidR="00E229D3">
        <w:rPr>
          <w:rFonts w:ascii="Century Schoolbook" w:hAnsi="Century Schoolbook"/>
          <w:sz w:val="26"/>
          <w:szCs w:val="26"/>
        </w:rPr>
        <w:t>individuals</w:t>
      </w:r>
      <w:r w:rsidR="000F1B7B" w:rsidRPr="000D43E9">
        <w:rPr>
          <w:rFonts w:ascii="Century Schoolbook" w:hAnsi="Century Schoolbook"/>
          <w:sz w:val="26"/>
          <w:szCs w:val="26"/>
        </w:rPr>
        <w:t xml:space="preserve"> </w:t>
      </w:r>
      <w:r w:rsidRPr="000D43E9">
        <w:rPr>
          <w:rFonts w:ascii="Century Schoolbook" w:hAnsi="Century Schoolbook"/>
          <w:sz w:val="26"/>
          <w:szCs w:val="26"/>
        </w:rPr>
        <w:t xml:space="preserve">across the </w:t>
      </w:r>
      <w:r w:rsidR="00335EC9">
        <w:rPr>
          <w:rFonts w:ascii="Century Schoolbook" w:hAnsi="Century Schoolbook"/>
          <w:sz w:val="26"/>
          <w:szCs w:val="26"/>
        </w:rPr>
        <w:t>s</w:t>
      </w:r>
      <w:r w:rsidRPr="000D43E9">
        <w:rPr>
          <w:rFonts w:ascii="Century Schoolbook" w:hAnsi="Century Schoolbook"/>
          <w:sz w:val="26"/>
          <w:szCs w:val="26"/>
        </w:rPr>
        <w:t>tate.  (</w:t>
      </w:r>
      <w:proofErr w:type="spellStart"/>
      <w:r w:rsidRPr="000D43E9">
        <w:rPr>
          <w:rFonts w:ascii="Century Schoolbook" w:hAnsi="Century Schoolbook"/>
          <w:i/>
          <w:iCs/>
          <w:sz w:val="26"/>
          <w:szCs w:val="26"/>
        </w:rPr>
        <w:t>Shalghoun</w:t>
      </w:r>
      <w:proofErr w:type="spellEnd"/>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9</w:t>
      </w:r>
      <w:r w:rsidR="006F15C8">
        <w:rPr>
          <w:rFonts w:ascii="Century Schoolbook" w:hAnsi="Century Schoolbook"/>
          <w:sz w:val="26"/>
          <w:szCs w:val="26"/>
        </w:rPr>
        <w:t>9</w:t>
      </w:r>
      <w:r w:rsidRPr="000D43E9">
        <w:rPr>
          <w:rFonts w:ascii="Century Schoolbook" w:hAnsi="Century Schoolbook"/>
          <w:sz w:val="26"/>
          <w:szCs w:val="26"/>
        </w:rPr>
        <w:t xml:space="preserve"> Cal.App.5</w:t>
      </w:r>
      <w:r w:rsidR="0007358A">
        <w:rPr>
          <w:rFonts w:ascii="Century Schoolbook" w:hAnsi="Century Schoolbook"/>
          <w:sz w:val="26"/>
          <w:szCs w:val="26"/>
        </w:rPr>
        <w:t>th</w:t>
      </w:r>
      <w:r w:rsidRPr="000D43E9">
        <w:rPr>
          <w:rFonts w:ascii="Century Schoolbook" w:hAnsi="Century Schoolbook"/>
          <w:sz w:val="26"/>
          <w:szCs w:val="26"/>
        </w:rPr>
        <w:t xml:space="preserve"> a</w:t>
      </w:r>
      <w:r w:rsidRPr="001A52BD">
        <w:rPr>
          <w:rFonts w:ascii="Century Schoolbook" w:hAnsi="Century Schoolbook"/>
          <w:sz w:val="26"/>
          <w:szCs w:val="26"/>
        </w:rPr>
        <w:t xml:space="preserve">t p. </w:t>
      </w:r>
      <w:r w:rsidR="001A52BD" w:rsidRPr="001A52BD">
        <w:rPr>
          <w:rFonts w:ascii="Century Schoolbook" w:hAnsi="Century Schoolbook"/>
          <w:sz w:val="26"/>
          <w:szCs w:val="26"/>
        </w:rPr>
        <w:t>953</w:t>
      </w:r>
      <w:r w:rsidRPr="001A52BD">
        <w:rPr>
          <w:rFonts w:ascii="Century Schoolbook" w:hAnsi="Century Schoolbook"/>
          <w:sz w:val="26"/>
          <w:szCs w:val="26"/>
        </w:rPr>
        <w:t>.)</w:t>
      </w:r>
      <w:r w:rsidRPr="000D43E9">
        <w:rPr>
          <w:rFonts w:ascii="Century Schoolbook" w:hAnsi="Century Schoolbook"/>
          <w:sz w:val="26"/>
          <w:szCs w:val="26"/>
        </w:rPr>
        <w:t xml:space="preserve">  Even if imposing tort liability does not destroy all regional centers, the imposition of that liability is likely to shift their focus</w:t>
      </w:r>
      <w:r w:rsidR="004E2AA6">
        <w:rPr>
          <w:rFonts w:ascii="Century Schoolbook" w:hAnsi="Century Schoolbook"/>
          <w:sz w:val="26"/>
          <w:szCs w:val="26"/>
        </w:rPr>
        <w:t xml:space="preserve"> away from</w:t>
      </w:r>
      <w:r w:rsidRPr="000D43E9">
        <w:rPr>
          <w:rFonts w:ascii="Century Schoolbook" w:hAnsi="Century Schoolbook"/>
          <w:sz w:val="26"/>
          <w:szCs w:val="26"/>
        </w:rPr>
        <w:t xml:space="preserve"> </w:t>
      </w:r>
      <w:r w:rsidR="004E2AA6" w:rsidRPr="000D43E9">
        <w:rPr>
          <w:rFonts w:ascii="Century Schoolbook" w:hAnsi="Century Schoolbook"/>
          <w:sz w:val="26"/>
          <w:szCs w:val="26"/>
        </w:rPr>
        <w:t xml:space="preserve">providing </w:t>
      </w:r>
      <w:r w:rsidR="004E2AA6" w:rsidRPr="000D43E9">
        <w:rPr>
          <w:rFonts w:ascii="Century Schoolbook" w:hAnsi="Century Schoolbook"/>
          <w:sz w:val="26"/>
          <w:szCs w:val="26"/>
        </w:rPr>
        <w:lastRenderedPageBreak/>
        <w:t xml:space="preserve">services and support for consumers </w:t>
      </w:r>
      <w:r w:rsidR="004E2AA6">
        <w:rPr>
          <w:rFonts w:ascii="Century Schoolbook" w:hAnsi="Century Schoolbook"/>
          <w:sz w:val="26"/>
          <w:szCs w:val="26"/>
        </w:rPr>
        <w:t xml:space="preserve">and </w:t>
      </w:r>
      <w:r w:rsidRPr="000D43E9">
        <w:rPr>
          <w:rFonts w:ascii="Century Schoolbook" w:hAnsi="Century Schoolbook"/>
          <w:sz w:val="26"/>
          <w:szCs w:val="26"/>
        </w:rPr>
        <w:t>to</w:t>
      </w:r>
      <w:r w:rsidR="004E2AA6">
        <w:rPr>
          <w:rFonts w:ascii="Century Schoolbook" w:hAnsi="Century Schoolbook"/>
          <w:sz w:val="26"/>
          <w:szCs w:val="26"/>
        </w:rPr>
        <w:t>ward</w:t>
      </w:r>
      <w:r w:rsidRPr="000D43E9">
        <w:rPr>
          <w:rFonts w:ascii="Century Schoolbook" w:hAnsi="Century Schoolbook"/>
          <w:sz w:val="26"/>
          <w:szCs w:val="26"/>
        </w:rPr>
        <w:t xml:space="preserve"> extensive oversight</w:t>
      </w:r>
      <w:r w:rsidR="004E2AA6">
        <w:rPr>
          <w:rFonts w:ascii="Century Schoolbook" w:hAnsi="Century Schoolbook"/>
          <w:sz w:val="26"/>
          <w:szCs w:val="26"/>
        </w:rPr>
        <w:t xml:space="preserve"> of vendors</w:t>
      </w:r>
      <w:r w:rsidRPr="000D43E9">
        <w:rPr>
          <w:rFonts w:ascii="Century Schoolbook" w:hAnsi="Century Schoolbook"/>
          <w:sz w:val="26"/>
          <w:szCs w:val="26"/>
        </w:rPr>
        <w:t xml:space="preserve"> that is </w:t>
      </w:r>
      <w:r w:rsidR="0087645A">
        <w:rPr>
          <w:rFonts w:ascii="Century Schoolbook" w:hAnsi="Century Schoolbook"/>
          <w:sz w:val="26"/>
          <w:szCs w:val="26"/>
        </w:rPr>
        <w:t xml:space="preserve">still </w:t>
      </w:r>
      <w:r w:rsidRPr="000D43E9">
        <w:rPr>
          <w:rFonts w:ascii="Century Schoolbook" w:hAnsi="Century Schoolbook"/>
          <w:sz w:val="26"/>
          <w:szCs w:val="26"/>
        </w:rPr>
        <w:t>unlikely</w:t>
      </w:r>
      <w:r w:rsidRPr="000D43E9">
        <w:rPr>
          <w:rFonts w:ascii="Century Schoolbook" w:hAnsi="Century Schoolbook"/>
          <w:sz w:val="26"/>
          <w:szCs w:val="26"/>
        </w:rPr>
        <w:t xml:space="preserve"> to uncover the criminal propensities of employe</w:t>
      </w:r>
      <w:r w:rsidR="004E2AA6">
        <w:rPr>
          <w:rFonts w:ascii="Century Schoolbook" w:hAnsi="Century Schoolbook"/>
          <w:sz w:val="26"/>
          <w:szCs w:val="26"/>
        </w:rPr>
        <w:t>e</w:t>
      </w:r>
      <w:r w:rsidRPr="000D43E9">
        <w:rPr>
          <w:rFonts w:ascii="Century Schoolbook" w:hAnsi="Century Schoolbook"/>
          <w:sz w:val="26"/>
          <w:szCs w:val="26"/>
        </w:rPr>
        <w:t>s.</w:t>
      </w:r>
    </w:p>
    <w:p w14:paraId="574BBE5F" w14:textId="1FAD3A8A" w:rsidR="00135E7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It is not clear whether the imposition of tort liability in this context might be mitigated by the availability of insurance because it is “far from clear that insurers would insure regional centers for </w:t>
      </w:r>
      <w:r w:rsidRPr="000D43E9">
        <w:rPr>
          <w:rFonts w:ascii="Century Schoolbook" w:hAnsi="Century Schoolbook"/>
          <w:sz w:val="26"/>
          <w:szCs w:val="26"/>
        </w:rPr>
        <w:t>the type of open-ended liability that may accrue here when such centers lack the ability to</w:t>
      </w:r>
      <w:r w:rsidR="0097478E">
        <w:rPr>
          <w:rFonts w:ascii="Century Schoolbook" w:hAnsi="Century Schoolbook"/>
          <w:sz w:val="26"/>
          <w:szCs w:val="26"/>
        </w:rPr>
        <w:t>”</w:t>
      </w:r>
      <w:r w:rsidRPr="000D43E9">
        <w:rPr>
          <w:rFonts w:ascii="Century Schoolbook" w:hAnsi="Century Schoolbook"/>
          <w:sz w:val="26"/>
          <w:szCs w:val="26"/>
        </w:rPr>
        <w:t xml:space="preserve"> mitigate that liability because they do not control the vendors’ employees, because </w:t>
      </w:r>
      <w:r w:rsidR="0097478E">
        <w:rPr>
          <w:rFonts w:ascii="Century Schoolbook" w:hAnsi="Century Schoolbook"/>
          <w:sz w:val="26"/>
          <w:szCs w:val="26"/>
        </w:rPr>
        <w:t xml:space="preserve">they </w:t>
      </w:r>
      <w:r w:rsidRPr="000D43E9">
        <w:rPr>
          <w:rFonts w:ascii="Century Schoolbook" w:hAnsi="Century Schoolbook"/>
          <w:sz w:val="26"/>
          <w:szCs w:val="26"/>
        </w:rPr>
        <w:t>do not control the vendors’ premises, and because additional vetting and s</w:t>
      </w:r>
      <w:r w:rsidRPr="000D43E9">
        <w:rPr>
          <w:rFonts w:ascii="Century Schoolbook" w:hAnsi="Century Schoolbook"/>
          <w:sz w:val="26"/>
          <w:szCs w:val="26"/>
        </w:rPr>
        <w:t>upervision are unlikely to reveal individual employees’ propensities to sexually assault consumers.  (</w:t>
      </w:r>
      <w:proofErr w:type="spellStart"/>
      <w:r w:rsidRPr="000D43E9">
        <w:rPr>
          <w:rFonts w:ascii="Century Schoolbook" w:hAnsi="Century Schoolbook"/>
          <w:i/>
          <w:iCs/>
          <w:sz w:val="26"/>
          <w:szCs w:val="26"/>
        </w:rPr>
        <w:t>Shalghoun</w:t>
      </w:r>
      <w:proofErr w:type="spellEnd"/>
      <w:r w:rsidRPr="000D43E9">
        <w:rPr>
          <w:rFonts w:ascii="Century Schoolbook" w:hAnsi="Century Schoolbook"/>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99 Cal.App.5</w:t>
      </w:r>
      <w:r w:rsidR="0007358A">
        <w:rPr>
          <w:rFonts w:ascii="Century Schoolbook" w:hAnsi="Century Schoolbook"/>
          <w:sz w:val="26"/>
          <w:szCs w:val="26"/>
        </w:rPr>
        <w:t>th</w:t>
      </w:r>
      <w:r w:rsidRPr="000D43E9">
        <w:rPr>
          <w:rFonts w:ascii="Century Schoolbook" w:hAnsi="Century Schoolbook"/>
          <w:sz w:val="26"/>
          <w:szCs w:val="26"/>
        </w:rPr>
        <w:t xml:space="preserve"> </w:t>
      </w:r>
      <w:r w:rsidRPr="0007385A">
        <w:rPr>
          <w:rFonts w:ascii="Century Schoolbook" w:hAnsi="Century Schoolbook"/>
          <w:sz w:val="26"/>
          <w:szCs w:val="26"/>
        </w:rPr>
        <w:t xml:space="preserve">at </w:t>
      </w:r>
      <w:r w:rsidRPr="00A76FEF">
        <w:rPr>
          <w:rFonts w:ascii="Century Schoolbook" w:hAnsi="Century Schoolbook"/>
          <w:sz w:val="26"/>
          <w:szCs w:val="26"/>
        </w:rPr>
        <w:t xml:space="preserve">p. </w:t>
      </w:r>
      <w:r w:rsidR="0007385A" w:rsidRPr="00A76FEF">
        <w:rPr>
          <w:rFonts w:ascii="Century Schoolbook" w:hAnsi="Century Schoolbook"/>
          <w:sz w:val="26"/>
          <w:szCs w:val="26"/>
        </w:rPr>
        <w:t>954</w:t>
      </w:r>
      <w:r w:rsidRPr="0007385A">
        <w:rPr>
          <w:rFonts w:ascii="Century Schoolbook" w:hAnsi="Century Schoolbook"/>
          <w:sz w:val="26"/>
          <w:szCs w:val="26"/>
        </w:rPr>
        <w:t>.)</w:t>
      </w:r>
      <w:r w:rsidR="00A07795">
        <w:rPr>
          <w:rFonts w:ascii="Century Schoolbook" w:hAnsi="Century Schoolbook"/>
          <w:sz w:val="26"/>
          <w:szCs w:val="26"/>
        </w:rPr>
        <w:t xml:space="preserve">  Although a regulation empowers regional centers to require vendors to obtain </w:t>
      </w:r>
      <w:r w:rsidR="00E80216">
        <w:rPr>
          <w:rFonts w:ascii="Century Schoolbook" w:hAnsi="Century Schoolbook"/>
          <w:sz w:val="26"/>
          <w:szCs w:val="26"/>
        </w:rPr>
        <w:t>“</w:t>
      </w:r>
      <w:r w:rsidR="00A07795">
        <w:rPr>
          <w:rFonts w:ascii="Century Schoolbook" w:hAnsi="Century Schoolbook"/>
          <w:sz w:val="26"/>
          <w:szCs w:val="26"/>
        </w:rPr>
        <w:t>liability insurance</w:t>
      </w:r>
      <w:r w:rsidR="00E80216">
        <w:rPr>
          <w:rFonts w:ascii="Century Schoolbook" w:hAnsi="Century Schoolbook"/>
          <w:sz w:val="26"/>
          <w:szCs w:val="26"/>
        </w:rPr>
        <w:t>”</w:t>
      </w:r>
      <w:r w:rsidR="00A07795">
        <w:rPr>
          <w:rFonts w:ascii="Century Schoolbook" w:hAnsi="Century Schoolbook"/>
          <w:sz w:val="26"/>
          <w:szCs w:val="26"/>
        </w:rPr>
        <w:t xml:space="preserve"> (Cal. Code Regs.,</w:t>
      </w:r>
      <w:r w:rsidR="00EC4754">
        <w:rPr>
          <w:rFonts w:ascii="Century Schoolbook" w:hAnsi="Century Schoolbook"/>
          <w:sz w:val="26"/>
          <w:szCs w:val="26"/>
        </w:rPr>
        <w:t xml:space="preserve"> tit. 17,</w:t>
      </w:r>
      <w:r w:rsidR="00A07795">
        <w:rPr>
          <w:rFonts w:ascii="Century Schoolbook" w:hAnsi="Century Schoolbook"/>
          <w:sz w:val="26"/>
          <w:szCs w:val="26"/>
        </w:rPr>
        <w:t xml:space="preserve"> § 58510</w:t>
      </w:r>
      <w:r w:rsidR="00EC4754">
        <w:rPr>
          <w:rFonts w:ascii="Century Schoolbook" w:hAnsi="Century Schoolbook"/>
          <w:sz w:val="26"/>
          <w:szCs w:val="26"/>
        </w:rPr>
        <w:t xml:space="preserve">, subd. </w:t>
      </w:r>
      <w:r w:rsidR="00A07795">
        <w:rPr>
          <w:rFonts w:ascii="Century Schoolbook" w:hAnsi="Century Schoolbook"/>
          <w:sz w:val="26"/>
          <w:szCs w:val="26"/>
        </w:rPr>
        <w:t xml:space="preserve">(c)(1)), that regulation does not explicitly </w:t>
      </w:r>
      <w:r w:rsidR="00EC4754">
        <w:rPr>
          <w:rFonts w:ascii="Century Schoolbook" w:hAnsi="Century Schoolbook"/>
          <w:sz w:val="26"/>
          <w:szCs w:val="26"/>
        </w:rPr>
        <w:t>empower</w:t>
      </w:r>
      <w:r w:rsidR="00A07795">
        <w:rPr>
          <w:rFonts w:ascii="Century Schoolbook" w:hAnsi="Century Schoolbook"/>
          <w:sz w:val="26"/>
          <w:szCs w:val="26"/>
        </w:rPr>
        <w:t xml:space="preserve"> regional centers to require vendors to list the regional center as an additional insured</w:t>
      </w:r>
      <w:r w:rsidR="00EC4754">
        <w:rPr>
          <w:rFonts w:ascii="Century Schoolbook" w:hAnsi="Century Schoolbook"/>
          <w:sz w:val="26"/>
          <w:szCs w:val="26"/>
        </w:rPr>
        <w:t xml:space="preserve"> and, therefore, the Legislature did not set up a liability-protection measure for regional centers specifically.  M</w:t>
      </w:r>
      <w:r w:rsidR="00A07795">
        <w:rPr>
          <w:rFonts w:ascii="Century Schoolbook" w:hAnsi="Century Schoolbook"/>
          <w:sz w:val="26"/>
          <w:szCs w:val="26"/>
        </w:rPr>
        <w:t xml:space="preserve">ore broadly, the fact that it </w:t>
      </w:r>
      <w:r w:rsidR="00E80216">
        <w:rPr>
          <w:rFonts w:ascii="Century Schoolbook" w:hAnsi="Century Schoolbook"/>
          <w:sz w:val="26"/>
          <w:szCs w:val="26"/>
        </w:rPr>
        <w:t>may or may not</w:t>
      </w:r>
      <w:r w:rsidR="00A07795">
        <w:rPr>
          <w:rFonts w:ascii="Century Schoolbook" w:hAnsi="Century Schoolbook"/>
          <w:sz w:val="26"/>
          <w:szCs w:val="26"/>
        </w:rPr>
        <w:t xml:space="preserve"> be possible to protect against </w:t>
      </w:r>
      <w:r w:rsidR="00E80216">
        <w:rPr>
          <w:rFonts w:ascii="Century Schoolbook" w:hAnsi="Century Schoolbook"/>
          <w:sz w:val="26"/>
          <w:szCs w:val="26"/>
        </w:rPr>
        <w:t xml:space="preserve">a </w:t>
      </w:r>
      <w:r w:rsidR="00A07795">
        <w:rPr>
          <w:rFonts w:ascii="Century Schoolbook" w:hAnsi="Century Schoolbook"/>
          <w:sz w:val="26"/>
          <w:szCs w:val="26"/>
        </w:rPr>
        <w:t xml:space="preserve">liability does not by itself justify the creation of a duty giving rise to such </w:t>
      </w:r>
      <w:r w:rsidR="00E80216">
        <w:rPr>
          <w:rFonts w:ascii="Century Schoolbook" w:hAnsi="Century Schoolbook"/>
          <w:sz w:val="26"/>
          <w:szCs w:val="26"/>
        </w:rPr>
        <w:t xml:space="preserve">a </w:t>
      </w:r>
      <w:r w:rsidR="00A07795">
        <w:rPr>
          <w:rFonts w:ascii="Century Schoolbook" w:hAnsi="Century Schoolbook"/>
          <w:sz w:val="26"/>
          <w:szCs w:val="26"/>
        </w:rPr>
        <w:t>liability.</w:t>
      </w:r>
      <w:r>
        <w:rPr>
          <w:rStyle w:val="FootnoteReference"/>
          <w:rFonts w:ascii="Century Schoolbook" w:hAnsi="Century Schoolbook"/>
          <w:b/>
          <w:bCs/>
          <w:szCs w:val="26"/>
        </w:rPr>
        <w:footnoteReference w:id="12"/>
      </w:r>
      <w:r w:rsidR="00DF505A">
        <w:rPr>
          <w:rFonts w:ascii="Century Schoolbook" w:hAnsi="Century Schoolbook"/>
          <w:sz w:val="26"/>
          <w:szCs w:val="26"/>
        </w:rPr>
        <w:t xml:space="preserve">  </w:t>
      </w:r>
      <w:r w:rsidRPr="000D43E9">
        <w:rPr>
          <w:rFonts w:ascii="Century Schoolbook" w:hAnsi="Century Schoolbook"/>
          <w:sz w:val="26"/>
          <w:szCs w:val="26"/>
        </w:rPr>
        <w:tab/>
      </w:r>
    </w:p>
    <w:p w14:paraId="47FDC05D" w14:textId="1D6C1AC5" w:rsidR="002F4B2B" w:rsidRPr="000D43E9" w:rsidRDefault="009A7CC9" w:rsidP="009D48F1">
      <w:pPr>
        <w:spacing w:line="288" w:lineRule="auto"/>
        <w:ind w:firstLine="720"/>
        <w:rPr>
          <w:rFonts w:ascii="Century Schoolbook" w:hAnsi="Century Schoolbook"/>
          <w:sz w:val="26"/>
          <w:szCs w:val="26"/>
        </w:rPr>
      </w:pPr>
      <w:r w:rsidRPr="000D43E9">
        <w:rPr>
          <w:rFonts w:ascii="Century Schoolbook" w:hAnsi="Century Schoolbook"/>
          <w:sz w:val="26"/>
          <w:szCs w:val="26"/>
        </w:rPr>
        <w:lastRenderedPageBreak/>
        <w:t xml:space="preserve">Holding regional centers liable for sexual assaults committed by vendors’ employees </w:t>
      </w:r>
      <w:proofErr w:type="gramStart"/>
      <w:r w:rsidRPr="000D43E9">
        <w:rPr>
          <w:rFonts w:ascii="Century Schoolbook" w:hAnsi="Century Schoolbook"/>
          <w:sz w:val="26"/>
          <w:szCs w:val="26"/>
        </w:rPr>
        <w:t>on the basis of</w:t>
      </w:r>
      <w:proofErr w:type="gramEnd"/>
      <w:r w:rsidRPr="000D43E9">
        <w:rPr>
          <w:rFonts w:ascii="Century Schoolbook" w:hAnsi="Century Schoolbook"/>
          <w:sz w:val="26"/>
          <w:szCs w:val="26"/>
        </w:rPr>
        <w:t xml:space="preserve"> the centers’ failure to sufficiently vet and monitor </w:t>
      </w:r>
      <w:r w:rsidR="00811EF8">
        <w:rPr>
          <w:rFonts w:ascii="Century Schoolbook" w:hAnsi="Century Schoolbook"/>
          <w:sz w:val="26"/>
          <w:szCs w:val="26"/>
        </w:rPr>
        <w:t xml:space="preserve">the vendors </w:t>
      </w:r>
      <w:r w:rsidRPr="000D43E9">
        <w:rPr>
          <w:rFonts w:ascii="Century Schoolbook" w:hAnsi="Century Schoolbook"/>
          <w:sz w:val="26"/>
          <w:szCs w:val="26"/>
        </w:rPr>
        <w:t>is also inconsistent with o</w:t>
      </w:r>
      <w:r w:rsidRPr="000D43E9">
        <w:rPr>
          <w:rFonts w:ascii="Century Schoolbook" w:hAnsi="Century Schoolbook"/>
          <w:sz w:val="26"/>
          <w:szCs w:val="26"/>
        </w:rPr>
        <w:t xml:space="preserve">ur Supreme Court’s decision in </w:t>
      </w:r>
      <w:proofErr w:type="spellStart"/>
      <w:r w:rsidRPr="000D43E9">
        <w:rPr>
          <w:rFonts w:ascii="Century Schoolbook" w:hAnsi="Century Schoolbook"/>
          <w:i/>
          <w:iCs/>
          <w:sz w:val="26"/>
          <w:szCs w:val="26"/>
        </w:rPr>
        <w:t>Morohoshi</w:t>
      </w:r>
      <w:proofErr w:type="spellEnd"/>
      <w:r w:rsidRPr="000D43E9">
        <w:rPr>
          <w:rFonts w:ascii="Century Schoolbook" w:hAnsi="Century Schoolbook"/>
          <w:sz w:val="26"/>
          <w:szCs w:val="26"/>
        </w:rPr>
        <w:t xml:space="preserve">, </w:t>
      </w:r>
      <w:r w:rsidRPr="000D43E9">
        <w:rPr>
          <w:rFonts w:ascii="Century Schoolbook" w:hAnsi="Century Schoolbook"/>
          <w:i/>
          <w:iCs/>
          <w:sz w:val="26"/>
          <w:szCs w:val="26"/>
        </w:rPr>
        <w:t>supra</w:t>
      </w:r>
      <w:r w:rsidRPr="000D43E9">
        <w:rPr>
          <w:rFonts w:ascii="Century Schoolbook" w:hAnsi="Century Schoolbook"/>
          <w:sz w:val="26"/>
          <w:szCs w:val="26"/>
        </w:rPr>
        <w:t>, 34 Cal.4</w:t>
      </w:r>
      <w:r w:rsidR="0007358A">
        <w:rPr>
          <w:rFonts w:ascii="Century Schoolbook" w:hAnsi="Century Schoolbook"/>
          <w:sz w:val="26"/>
          <w:szCs w:val="26"/>
        </w:rPr>
        <w:t>th</w:t>
      </w:r>
      <w:r w:rsidRPr="000D43E9">
        <w:rPr>
          <w:rFonts w:ascii="Century Schoolbook" w:hAnsi="Century Schoolbook"/>
          <w:sz w:val="26"/>
          <w:szCs w:val="26"/>
        </w:rPr>
        <w:t xml:space="preserve"> 482.  Because a consumer is likely to be sexually assaulted by a vendor’s employee only if both the regional center </w:t>
      </w:r>
      <w:r w:rsidRPr="000D43E9">
        <w:rPr>
          <w:rFonts w:ascii="Century Schoolbook" w:hAnsi="Century Schoolbook"/>
          <w:i/>
          <w:iCs/>
          <w:sz w:val="26"/>
          <w:szCs w:val="26"/>
        </w:rPr>
        <w:t>and the vendor</w:t>
      </w:r>
      <w:r w:rsidRPr="000D43E9">
        <w:rPr>
          <w:rFonts w:ascii="Century Schoolbook" w:hAnsi="Century Schoolbook"/>
          <w:sz w:val="26"/>
          <w:szCs w:val="26"/>
        </w:rPr>
        <w:t xml:space="preserve"> have not detected the employee</w:t>
      </w:r>
      <w:r w:rsidR="00811EF8">
        <w:rPr>
          <w:rFonts w:ascii="Century Schoolbook" w:hAnsi="Century Schoolbook"/>
          <w:sz w:val="26"/>
          <w:szCs w:val="26"/>
        </w:rPr>
        <w:t>’</w:t>
      </w:r>
      <w:r w:rsidRPr="000D43E9">
        <w:rPr>
          <w:rFonts w:ascii="Century Schoolbook" w:hAnsi="Century Schoolbook"/>
          <w:sz w:val="26"/>
          <w:szCs w:val="26"/>
        </w:rPr>
        <w:t xml:space="preserve">s propensity to engage in such acts, holding the regional center liable in this circumstance is in many respects akin to holding the regional center vicariously liable for the vendor’s negligence.  But </w:t>
      </w:r>
      <w:proofErr w:type="spellStart"/>
      <w:r w:rsidRPr="000D43E9">
        <w:rPr>
          <w:rFonts w:ascii="Century Schoolbook" w:hAnsi="Century Schoolbook"/>
          <w:i/>
          <w:iCs/>
          <w:sz w:val="26"/>
          <w:szCs w:val="26"/>
        </w:rPr>
        <w:t>Morohoshi</w:t>
      </w:r>
      <w:proofErr w:type="spellEnd"/>
      <w:r w:rsidRPr="000D43E9">
        <w:rPr>
          <w:rFonts w:ascii="Century Schoolbook" w:hAnsi="Century Schoolbook"/>
          <w:sz w:val="26"/>
          <w:szCs w:val="26"/>
        </w:rPr>
        <w:t xml:space="preserve"> held that regional centers are not vicarious</w:t>
      </w:r>
      <w:r w:rsidRPr="000D43E9">
        <w:rPr>
          <w:rFonts w:ascii="Century Schoolbook" w:hAnsi="Century Schoolbook"/>
          <w:sz w:val="26"/>
          <w:szCs w:val="26"/>
        </w:rPr>
        <w:t>ly liable for a vendor’s negligence, even when</w:t>
      </w:r>
      <w:r w:rsidR="00811EF8">
        <w:rPr>
          <w:rFonts w:ascii="Century Schoolbook" w:hAnsi="Century Schoolbook"/>
          <w:sz w:val="26"/>
          <w:szCs w:val="26"/>
        </w:rPr>
        <w:t>, in that case,</w:t>
      </w:r>
      <w:r w:rsidRPr="000D43E9">
        <w:rPr>
          <w:rFonts w:ascii="Century Schoolbook" w:hAnsi="Century Schoolbook"/>
          <w:sz w:val="26"/>
          <w:szCs w:val="26"/>
        </w:rPr>
        <w:t xml:space="preserve"> it causes the death of a consumer.  (</w:t>
      </w:r>
      <w:r w:rsidRPr="000D43E9">
        <w:rPr>
          <w:rFonts w:ascii="Century Schoolbook" w:hAnsi="Century Schoolbook"/>
          <w:i/>
          <w:iCs/>
          <w:sz w:val="26"/>
          <w:szCs w:val="26"/>
        </w:rPr>
        <w:t>Id.</w:t>
      </w:r>
      <w:r w:rsidRPr="000D43E9">
        <w:rPr>
          <w:rFonts w:ascii="Century Schoolbook" w:hAnsi="Century Schoolbook"/>
          <w:sz w:val="26"/>
          <w:szCs w:val="26"/>
        </w:rPr>
        <w:t xml:space="preserve"> at p. 486.)  It is difficult to square a rule of tort liability effectively holding a regional center vicariously liable for a consumer’s sexual assault </w:t>
      </w:r>
      <w:r w:rsidRPr="000D43E9">
        <w:rPr>
          <w:rFonts w:ascii="Century Schoolbook" w:hAnsi="Century Schoolbook"/>
          <w:sz w:val="26"/>
          <w:szCs w:val="26"/>
        </w:rPr>
        <w:t xml:space="preserve">when </w:t>
      </w:r>
      <w:proofErr w:type="spellStart"/>
      <w:r w:rsidRPr="000D43E9">
        <w:rPr>
          <w:rFonts w:ascii="Century Schoolbook" w:hAnsi="Century Schoolbook"/>
          <w:i/>
          <w:iCs/>
          <w:sz w:val="26"/>
          <w:szCs w:val="26"/>
        </w:rPr>
        <w:t>Morohoshi</w:t>
      </w:r>
      <w:proofErr w:type="spellEnd"/>
      <w:r w:rsidRPr="000D43E9">
        <w:rPr>
          <w:rFonts w:ascii="Century Schoolbook" w:hAnsi="Century Schoolbook"/>
          <w:sz w:val="26"/>
          <w:szCs w:val="26"/>
        </w:rPr>
        <w:t xml:space="preserve"> precludes vicarious liability for a consumer’s death.</w:t>
      </w:r>
    </w:p>
    <w:p w14:paraId="6CC97E62" w14:textId="77777777"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This analysis of the </w:t>
      </w:r>
      <w:r w:rsidRPr="000D43E9">
        <w:rPr>
          <w:rFonts w:ascii="Century Schoolbook" w:hAnsi="Century Schoolbook"/>
          <w:i/>
          <w:iCs/>
          <w:sz w:val="26"/>
          <w:szCs w:val="26"/>
        </w:rPr>
        <w:t>Rowland</w:t>
      </w:r>
      <w:r w:rsidRPr="000D43E9">
        <w:rPr>
          <w:rFonts w:ascii="Century Schoolbook" w:hAnsi="Century Schoolbook"/>
          <w:sz w:val="26"/>
          <w:szCs w:val="26"/>
        </w:rPr>
        <w:t xml:space="preserve"> factors warrants </w:t>
      </w:r>
      <w:r w:rsidRPr="000D43E9">
        <w:rPr>
          <w:rFonts w:ascii="Century Schoolbook" w:hAnsi="Century Schoolbook"/>
          <w:i/>
          <w:iCs/>
          <w:sz w:val="26"/>
          <w:szCs w:val="26"/>
        </w:rPr>
        <w:t>limiting</w:t>
      </w:r>
      <w:r w:rsidRPr="000D43E9">
        <w:rPr>
          <w:rFonts w:ascii="Century Schoolbook" w:hAnsi="Century Schoolbook"/>
          <w:sz w:val="26"/>
          <w:szCs w:val="26"/>
        </w:rPr>
        <w:t xml:space="preserve"> the duty to protect.  However, as discussed next, it does not justify eliminating it entirely.  </w:t>
      </w:r>
    </w:p>
    <w:p w14:paraId="09026433" w14:textId="39493E08" w:rsidR="002F4B2B" w:rsidRPr="000D43E9" w:rsidRDefault="009A7CC9" w:rsidP="000D43E9">
      <w:pPr>
        <w:spacing w:line="288" w:lineRule="auto"/>
        <w:rPr>
          <w:rFonts w:ascii="Century Schoolbook" w:hAnsi="Century Schoolbook"/>
          <w:i/>
          <w:iCs/>
          <w:sz w:val="26"/>
          <w:szCs w:val="26"/>
        </w:rPr>
      </w:pPr>
      <w:r w:rsidRPr="000D43E9">
        <w:rPr>
          <w:rFonts w:ascii="Century Schoolbook" w:hAnsi="Century Schoolbook"/>
          <w:sz w:val="26"/>
          <w:szCs w:val="26"/>
        </w:rPr>
        <w:tab/>
      </w:r>
      <w:r w:rsidRPr="000D43E9">
        <w:rPr>
          <w:rFonts w:ascii="Century Schoolbook" w:hAnsi="Century Schoolbook"/>
          <w:sz w:val="26"/>
          <w:szCs w:val="26"/>
        </w:rPr>
        <w:tab/>
        <w:t>3.</w:t>
      </w:r>
      <w:r w:rsidRPr="000D43E9">
        <w:rPr>
          <w:rFonts w:ascii="Century Schoolbook" w:hAnsi="Century Schoolbook"/>
          <w:sz w:val="26"/>
          <w:szCs w:val="26"/>
        </w:rPr>
        <w:tab/>
      </w:r>
      <w:r w:rsidRPr="000D43E9">
        <w:rPr>
          <w:rFonts w:ascii="Century Schoolbook" w:hAnsi="Century Schoolbook"/>
          <w:i/>
          <w:iCs/>
          <w:sz w:val="26"/>
          <w:szCs w:val="26"/>
        </w:rPr>
        <w:t xml:space="preserve">Applying the </w:t>
      </w:r>
      <w:r w:rsidRPr="000D43E9">
        <w:rPr>
          <w:rFonts w:ascii="Century Schoolbook" w:hAnsi="Century Schoolbook"/>
          <w:sz w:val="26"/>
          <w:szCs w:val="26"/>
        </w:rPr>
        <w:t>Rowland</w:t>
      </w:r>
      <w:r w:rsidRPr="000D43E9">
        <w:rPr>
          <w:rFonts w:ascii="Century Schoolbook" w:hAnsi="Century Schoolbook"/>
          <w:i/>
          <w:iCs/>
          <w:sz w:val="26"/>
          <w:szCs w:val="26"/>
        </w:rPr>
        <w:t xml:space="preserve"> factors </w:t>
      </w:r>
      <w:r w:rsidRPr="000D43E9">
        <w:rPr>
          <w:rFonts w:ascii="Century Schoolbook" w:hAnsi="Century Schoolbook"/>
          <w:i/>
          <w:iCs/>
          <w:sz w:val="26"/>
          <w:szCs w:val="26"/>
        </w:rPr>
        <w:t xml:space="preserve">to the duty to protect </w:t>
      </w:r>
      <w:r w:rsidR="00320FCB">
        <w:rPr>
          <w:rFonts w:ascii="Century Schoolbook" w:hAnsi="Century Schoolbook"/>
          <w:i/>
          <w:iCs/>
          <w:sz w:val="26"/>
          <w:szCs w:val="26"/>
        </w:rPr>
        <w:t>premised</w:t>
      </w:r>
      <w:r w:rsidR="00320FCB" w:rsidRPr="000D43E9">
        <w:rPr>
          <w:rFonts w:ascii="Century Schoolbook" w:hAnsi="Century Schoolbook"/>
          <w:i/>
          <w:iCs/>
          <w:sz w:val="26"/>
          <w:szCs w:val="26"/>
        </w:rPr>
        <w:t xml:space="preserve"> </w:t>
      </w:r>
      <w:r w:rsidRPr="000D43E9">
        <w:rPr>
          <w:rFonts w:ascii="Century Schoolbook" w:hAnsi="Century Schoolbook"/>
          <w:i/>
          <w:iCs/>
          <w:sz w:val="26"/>
          <w:szCs w:val="26"/>
        </w:rPr>
        <w:t xml:space="preserve">on a failure to </w:t>
      </w:r>
      <w:proofErr w:type="gramStart"/>
      <w:r w:rsidRPr="000D43E9">
        <w:rPr>
          <w:rFonts w:ascii="Century Schoolbook" w:hAnsi="Century Schoolbook"/>
          <w:i/>
          <w:iCs/>
          <w:sz w:val="26"/>
          <w:szCs w:val="26"/>
        </w:rPr>
        <w:t>take action</w:t>
      </w:r>
      <w:proofErr w:type="gramEnd"/>
      <w:r w:rsidRPr="000D43E9">
        <w:rPr>
          <w:rFonts w:ascii="Century Schoolbook" w:hAnsi="Century Schoolbook"/>
          <w:i/>
          <w:iCs/>
          <w:sz w:val="26"/>
          <w:szCs w:val="26"/>
        </w:rPr>
        <w:t xml:space="preserve"> when the regional center </w:t>
      </w:r>
      <w:r w:rsidR="00320FCB">
        <w:rPr>
          <w:rFonts w:ascii="Century Schoolbook" w:hAnsi="Century Schoolbook"/>
          <w:i/>
          <w:iCs/>
          <w:sz w:val="26"/>
          <w:szCs w:val="26"/>
        </w:rPr>
        <w:t>has</w:t>
      </w:r>
      <w:r w:rsidR="00320FCB" w:rsidRPr="000D43E9">
        <w:rPr>
          <w:rFonts w:ascii="Century Schoolbook" w:hAnsi="Century Schoolbook"/>
          <w:i/>
          <w:iCs/>
          <w:sz w:val="26"/>
          <w:szCs w:val="26"/>
        </w:rPr>
        <w:t xml:space="preserve"> </w:t>
      </w:r>
      <w:r w:rsidRPr="000D43E9">
        <w:rPr>
          <w:rFonts w:ascii="Century Schoolbook" w:hAnsi="Century Schoolbook"/>
          <w:i/>
          <w:iCs/>
          <w:sz w:val="26"/>
          <w:szCs w:val="26"/>
        </w:rPr>
        <w:t xml:space="preserve">actual </w:t>
      </w:r>
      <w:r w:rsidR="00320FCB">
        <w:rPr>
          <w:rFonts w:ascii="Century Schoolbook" w:hAnsi="Century Schoolbook"/>
          <w:i/>
          <w:iCs/>
          <w:sz w:val="26"/>
          <w:szCs w:val="26"/>
        </w:rPr>
        <w:t>knowledge</w:t>
      </w:r>
      <w:r w:rsidRPr="000D43E9">
        <w:rPr>
          <w:rFonts w:ascii="Century Schoolbook" w:hAnsi="Century Schoolbook"/>
          <w:i/>
          <w:iCs/>
          <w:sz w:val="26"/>
          <w:szCs w:val="26"/>
        </w:rPr>
        <w:t xml:space="preserve"> of the </w:t>
      </w:r>
      <w:r w:rsidR="00320FCB">
        <w:rPr>
          <w:rFonts w:ascii="Century Schoolbook" w:hAnsi="Century Schoolbook"/>
          <w:i/>
          <w:iCs/>
          <w:sz w:val="26"/>
          <w:szCs w:val="26"/>
        </w:rPr>
        <w:t>vendor employee’s</w:t>
      </w:r>
      <w:r w:rsidR="00320FCB" w:rsidRPr="000D43E9">
        <w:rPr>
          <w:rFonts w:ascii="Century Schoolbook" w:hAnsi="Century Schoolbook"/>
          <w:i/>
          <w:iCs/>
          <w:sz w:val="26"/>
          <w:szCs w:val="26"/>
        </w:rPr>
        <w:t xml:space="preserve"> </w:t>
      </w:r>
      <w:r w:rsidRPr="000D43E9">
        <w:rPr>
          <w:rFonts w:ascii="Century Schoolbook" w:hAnsi="Century Schoolbook"/>
          <w:i/>
          <w:iCs/>
          <w:sz w:val="26"/>
          <w:szCs w:val="26"/>
        </w:rPr>
        <w:t>proclivities</w:t>
      </w:r>
    </w:p>
    <w:p w14:paraId="3BCAAFE6" w14:textId="2FAAC875"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 xml:space="preserve">Although the </w:t>
      </w:r>
      <w:r w:rsidRPr="000D43E9">
        <w:rPr>
          <w:rFonts w:ascii="Century Schoolbook" w:hAnsi="Century Schoolbook"/>
          <w:i/>
          <w:iCs/>
          <w:sz w:val="26"/>
          <w:szCs w:val="26"/>
        </w:rPr>
        <w:t>Rowland</w:t>
      </w:r>
      <w:r w:rsidRPr="000D43E9">
        <w:rPr>
          <w:rFonts w:ascii="Century Schoolbook" w:hAnsi="Century Schoolbook"/>
          <w:sz w:val="26"/>
          <w:szCs w:val="26"/>
        </w:rPr>
        <w:t xml:space="preserve"> factors warrant the conclusion that regional centers do not owe a duty to protect consumers</w:t>
      </w:r>
      <w:r w:rsidRPr="000D43E9">
        <w:rPr>
          <w:rFonts w:ascii="Century Schoolbook" w:hAnsi="Century Schoolbook"/>
          <w:sz w:val="26"/>
          <w:szCs w:val="26"/>
        </w:rPr>
        <w:t xml:space="preserve"> from sexual assault by vendors’ employees premised solely on the center’s failure to adequate</w:t>
      </w:r>
      <w:r w:rsidR="00320FCB">
        <w:rPr>
          <w:rFonts w:ascii="Century Schoolbook" w:hAnsi="Century Schoolbook"/>
          <w:sz w:val="26"/>
          <w:szCs w:val="26"/>
        </w:rPr>
        <w:t>ly</w:t>
      </w:r>
      <w:r w:rsidRPr="000D43E9">
        <w:rPr>
          <w:rFonts w:ascii="Century Schoolbook" w:hAnsi="Century Schoolbook"/>
          <w:sz w:val="26"/>
          <w:szCs w:val="26"/>
        </w:rPr>
        <w:t xml:space="preserve"> vet and monitor vendors, we conclude that there is such a duty when a regional center fails to </w:t>
      </w:r>
      <w:r w:rsidRPr="000D43E9">
        <w:rPr>
          <w:rFonts w:ascii="Century Schoolbook" w:hAnsi="Century Schoolbook"/>
          <w:sz w:val="26"/>
          <w:szCs w:val="26"/>
        </w:rPr>
        <w:lastRenderedPageBreak/>
        <w:t>act despite its actual knowledge of a particular vendor employee</w:t>
      </w:r>
      <w:r w:rsidRPr="000D43E9">
        <w:rPr>
          <w:rFonts w:ascii="Century Schoolbook" w:hAnsi="Century Schoolbook"/>
          <w:sz w:val="26"/>
          <w:szCs w:val="26"/>
        </w:rPr>
        <w:t>’s propensity for sexual assault.</w:t>
      </w:r>
      <w:r>
        <w:rPr>
          <w:rStyle w:val="FootnoteReference"/>
          <w:rFonts w:ascii="Century Schoolbook" w:hAnsi="Century Schoolbook"/>
          <w:b/>
          <w:bCs/>
          <w:szCs w:val="26"/>
        </w:rPr>
        <w:footnoteReference w:id="13"/>
      </w:r>
    </w:p>
    <w:p w14:paraId="69CAED4F" w14:textId="77777777"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We reach this conclusion for four reasons.</w:t>
      </w:r>
    </w:p>
    <w:p w14:paraId="28FED8FA" w14:textId="49DD8D5A"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 xml:space="preserve">First, limiting a regional center’s duty to protect against sexual assault of a consumer by a vendor employee to instances in which the regional center has actual </w:t>
      </w:r>
      <w:r w:rsidRPr="000D43E9">
        <w:rPr>
          <w:rFonts w:ascii="Century Schoolbook" w:hAnsi="Century Schoolbook"/>
          <w:sz w:val="26"/>
          <w:szCs w:val="26"/>
        </w:rPr>
        <w:t>knowledge of the employee</w:t>
      </w:r>
      <w:r w:rsidR="00083FA2">
        <w:rPr>
          <w:rFonts w:ascii="Century Schoolbook" w:hAnsi="Century Schoolbook"/>
          <w:sz w:val="26"/>
          <w:szCs w:val="26"/>
        </w:rPr>
        <w:t>’</w:t>
      </w:r>
      <w:r w:rsidRPr="000D43E9">
        <w:rPr>
          <w:rFonts w:ascii="Century Schoolbook" w:hAnsi="Century Schoolbook"/>
          <w:sz w:val="26"/>
          <w:szCs w:val="26"/>
        </w:rPr>
        <w:t xml:space="preserve">s proclivity for such assaults is supported by the </w:t>
      </w:r>
      <w:r w:rsidRPr="000D43E9">
        <w:rPr>
          <w:rFonts w:ascii="Century Schoolbook" w:hAnsi="Century Schoolbook"/>
          <w:i/>
          <w:iCs/>
          <w:sz w:val="26"/>
          <w:szCs w:val="26"/>
        </w:rPr>
        <w:t>Rowland</w:t>
      </w:r>
      <w:r w:rsidRPr="000D43E9">
        <w:rPr>
          <w:rFonts w:ascii="Century Schoolbook" w:hAnsi="Century Schoolbook"/>
          <w:sz w:val="26"/>
          <w:szCs w:val="26"/>
        </w:rPr>
        <w:t xml:space="preserve"> factors themselves.  When a regional center </w:t>
      </w:r>
      <w:proofErr w:type="gramStart"/>
      <w:r w:rsidRPr="000D43E9">
        <w:rPr>
          <w:rFonts w:ascii="Century Schoolbook" w:hAnsi="Century Schoolbook"/>
          <w:sz w:val="26"/>
          <w:szCs w:val="26"/>
        </w:rPr>
        <w:t>actually knows</w:t>
      </w:r>
      <w:proofErr w:type="gramEnd"/>
      <w:r w:rsidRPr="000D43E9">
        <w:rPr>
          <w:rFonts w:ascii="Century Schoolbook" w:hAnsi="Century Schoolbook"/>
          <w:sz w:val="26"/>
          <w:szCs w:val="26"/>
        </w:rPr>
        <w:t xml:space="preserve"> that the employee of a vendor has a predilection to engage in sexual assault, any resulting sexual assault commi</w:t>
      </w:r>
      <w:r w:rsidRPr="000D43E9">
        <w:rPr>
          <w:rFonts w:ascii="Century Schoolbook" w:hAnsi="Century Schoolbook"/>
          <w:sz w:val="26"/>
          <w:szCs w:val="26"/>
        </w:rPr>
        <w:t>tted against a consumer by that employee is</w:t>
      </w:r>
      <w:r w:rsidR="000E4FDB" w:rsidRPr="000D43E9">
        <w:rPr>
          <w:rFonts w:ascii="Century Schoolbook" w:hAnsi="Century Schoolbook"/>
          <w:sz w:val="26"/>
          <w:szCs w:val="26"/>
        </w:rPr>
        <w:t xml:space="preserve"> </w:t>
      </w:r>
      <w:r w:rsidRPr="000D43E9">
        <w:rPr>
          <w:rFonts w:ascii="Century Schoolbook" w:hAnsi="Century Schoolbook"/>
          <w:sz w:val="26"/>
          <w:szCs w:val="26"/>
        </w:rPr>
        <w:t>far more foreseeable</w:t>
      </w:r>
      <w:r w:rsidR="002D2B43">
        <w:rPr>
          <w:rFonts w:ascii="Century Schoolbook" w:hAnsi="Century Schoolbook"/>
          <w:sz w:val="26"/>
          <w:szCs w:val="26"/>
        </w:rPr>
        <w:t>,</w:t>
      </w:r>
      <w:r w:rsidRPr="000D43E9">
        <w:rPr>
          <w:rFonts w:ascii="Century Schoolbook" w:hAnsi="Century Schoolbook"/>
          <w:sz w:val="26"/>
          <w:szCs w:val="26"/>
        </w:rPr>
        <w:t xml:space="preserve"> and the connection between the regional center’s inaction and the resulting sexual assault is far closer.  And in this context, a regional center’s inaction is more morally blameworthy, impo</w:t>
      </w:r>
      <w:r w:rsidRPr="000D43E9">
        <w:rPr>
          <w:rFonts w:ascii="Century Schoolbook" w:hAnsi="Century Schoolbook"/>
          <w:sz w:val="26"/>
          <w:szCs w:val="26"/>
        </w:rPr>
        <w:t xml:space="preserve">sing liability will be more likely to encourage intervention by the regional center, and this tort liability is unlikely to be overwhelming or detrimental to the continued operation of the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Act because the instances in which a regional center will</w:t>
      </w:r>
      <w:r w:rsidRPr="000D43E9">
        <w:rPr>
          <w:rFonts w:ascii="Century Schoolbook" w:hAnsi="Century Schoolbook"/>
          <w:sz w:val="26"/>
          <w:szCs w:val="26"/>
        </w:rPr>
        <w:t xml:space="preserve"> be actually aware that a vendor’s employee has such a predilection and will take no action are likely to be far fewer in number.  </w:t>
      </w:r>
    </w:p>
    <w:p w14:paraId="53D6AA2A" w14:textId="217B951B"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lastRenderedPageBreak/>
        <w:t>Second, limiting a regional center’s duty to protect against sexual assault of a consumer by a vendor’s employee to instance</w:t>
      </w:r>
      <w:r w:rsidRPr="000D43E9">
        <w:rPr>
          <w:rFonts w:ascii="Century Schoolbook" w:hAnsi="Century Schoolbook"/>
          <w:sz w:val="26"/>
          <w:szCs w:val="26"/>
        </w:rPr>
        <w:t>s in which the regional center has actual knowledge of the employee</w:t>
      </w:r>
      <w:r w:rsidR="00083FA2">
        <w:rPr>
          <w:rFonts w:ascii="Century Schoolbook" w:hAnsi="Century Schoolbook"/>
          <w:sz w:val="26"/>
          <w:szCs w:val="26"/>
        </w:rPr>
        <w:t>’</w:t>
      </w:r>
      <w:r w:rsidRPr="000D43E9">
        <w:rPr>
          <w:rFonts w:ascii="Century Schoolbook" w:hAnsi="Century Schoolbook"/>
          <w:sz w:val="26"/>
          <w:szCs w:val="26"/>
        </w:rPr>
        <w:t xml:space="preserve">s proclivity for such assaults is supported by precedent.  In </w:t>
      </w:r>
      <w:r w:rsidRPr="000D43E9">
        <w:rPr>
          <w:rFonts w:ascii="Century Schoolbook" w:hAnsi="Century Schoolbook"/>
          <w:i/>
          <w:iCs/>
          <w:sz w:val="26"/>
          <w:szCs w:val="26"/>
        </w:rPr>
        <w:t>J.L. v. Children’s Institute, Inc.</w:t>
      </w:r>
      <w:r w:rsidRPr="000D43E9">
        <w:rPr>
          <w:rFonts w:ascii="Century Schoolbook" w:hAnsi="Century Schoolbook"/>
          <w:sz w:val="26"/>
          <w:szCs w:val="26"/>
        </w:rPr>
        <w:t xml:space="preserve"> (2009) 177 Cal.App.4</w:t>
      </w:r>
      <w:r w:rsidR="0007358A">
        <w:rPr>
          <w:rFonts w:ascii="Century Schoolbook" w:hAnsi="Century Schoolbook"/>
          <w:sz w:val="26"/>
          <w:szCs w:val="26"/>
        </w:rPr>
        <w:t>th</w:t>
      </w:r>
      <w:r w:rsidRPr="000D43E9">
        <w:rPr>
          <w:rFonts w:ascii="Century Schoolbook" w:hAnsi="Century Schoolbook"/>
          <w:sz w:val="26"/>
          <w:szCs w:val="26"/>
        </w:rPr>
        <w:t xml:space="preserve"> 388 (</w:t>
      </w:r>
      <w:r w:rsidRPr="000D43E9">
        <w:rPr>
          <w:rFonts w:ascii="Century Schoolbook" w:hAnsi="Century Schoolbook"/>
          <w:i/>
          <w:iCs/>
          <w:sz w:val="26"/>
          <w:szCs w:val="26"/>
        </w:rPr>
        <w:t>J.L.</w:t>
      </w:r>
      <w:r w:rsidRPr="000D43E9">
        <w:rPr>
          <w:rFonts w:ascii="Century Schoolbook" w:hAnsi="Century Schoolbook"/>
          <w:sz w:val="26"/>
          <w:szCs w:val="26"/>
        </w:rPr>
        <w:t xml:space="preserve">), a child molested by </w:t>
      </w:r>
      <w:r w:rsidR="00204F01">
        <w:rPr>
          <w:rFonts w:ascii="Century Schoolbook" w:hAnsi="Century Schoolbook"/>
          <w:sz w:val="26"/>
          <w:szCs w:val="26"/>
        </w:rPr>
        <w:t>the relative of an owner of a low-income daycare facility</w:t>
      </w:r>
      <w:r w:rsidRPr="000D43E9">
        <w:rPr>
          <w:rFonts w:ascii="Century Schoolbook" w:hAnsi="Century Schoolbook"/>
          <w:sz w:val="26"/>
          <w:szCs w:val="26"/>
        </w:rPr>
        <w:t xml:space="preserve"> sued the nonprofit corporation that referred the child to that </w:t>
      </w:r>
      <w:r w:rsidR="00204F01">
        <w:rPr>
          <w:rFonts w:ascii="Century Schoolbook" w:hAnsi="Century Schoolbook"/>
          <w:sz w:val="26"/>
          <w:szCs w:val="26"/>
        </w:rPr>
        <w:t>daycare facility</w:t>
      </w:r>
      <w:r w:rsidRPr="000D43E9">
        <w:rPr>
          <w:rFonts w:ascii="Century Schoolbook" w:hAnsi="Century Schoolbook"/>
          <w:sz w:val="26"/>
          <w:szCs w:val="26"/>
        </w:rPr>
        <w:t xml:space="preserve">.  The court held that the nonprofit corporation had a “special relationship” with the </w:t>
      </w:r>
      <w:proofErr w:type="gramStart"/>
      <w:r w:rsidRPr="000D43E9">
        <w:rPr>
          <w:rFonts w:ascii="Century Schoolbook" w:hAnsi="Century Schoolbook"/>
          <w:sz w:val="26"/>
          <w:szCs w:val="26"/>
        </w:rPr>
        <w:t>child, but</w:t>
      </w:r>
      <w:proofErr w:type="gramEnd"/>
      <w:r w:rsidRPr="000D43E9">
        <w:rPr>
          <w:rFonts w:ascii="Century Schoolbook" w:hAnsi="Century Schoolbook"/>
          <w:sz w:val="26"/>
          <w:szCs w:val="26"/>
        </w:rPr>
        <w:t xml:space="preserve"> held that a referring entity’s duty to protect a child fr</w:t>
      </w:r>
      <w:r w:rsidRPr="000D43E9">
        <w:rPr>
          <w:rFonts w:ascii="Century Schoolbook" w:hAnsi="Century Schoolbook"/>
          <w:sz w:val="26"/>
          <w:szCs w:val="26"/>
        </w:rPr>
        <w:t>om sexual assault only arises when that entity has actual knowledge of the molester’s propensity for sexual assault; the entity’s alleged failure to investigate further was not enough to create a duty.  (</w:t>
      </w:r>
      <w:r w:rsidRPr="000D43E9">
        <w:rPr>
          <w:rFonts w:ascii="Century Schoolbook" w:hAnsi="Century Schoolbook"/>
          <w:i/>
          <w:iCs/>
          <w:sz w:val="26"/>
          <w:szCs w:val="26"/>
        </w:rPr>
        <w:t>Id.</w:t>
      </w:r>
      <w:r w:rsidRPr="000D43E9">
        <w:rPr>
          <w:rFonts w:ascii="Century Schoolbook" w:hAnsi="Century Schoolbook"/>
          <w:sz w:val="26"/>
          <w:szCs w:val="26"/>
        </w:rPr>
        <w:t xml:space="preserve"> at pp. 396-397.)  The court in </w:t>
      </w:r>
      <w:r w:rsidRPr="000D43E9">
        <w:rPr>
          <w:rFonts w:ascii="Century Schoolbook" w:hAnsi="Century Schoolbook"/>
          <w:i/>
          <w:iCs/>
          <w:sz w:val="26"/>
          <w:szCs w:val="26"/>
        </w:rPr>
        <w:t>Doe</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37 Ca</w:t>
      </w:r>
      <w:r w:rsidRPr="000D43E9">
        <w:rPr>
          <w:rFonts w:ascii="Century Schoolbook" w:hAnsi="Century Schoolbook"/>
          <w:sz w:val="26"/>
          <w:szCs w:val="26"/>
        </w:rPr>
        <w:t>l.App.5</w:t>
      </w:r>
      <w:r w:rsidR="00B6712C">
        <w:rPr>
          <w:rFonts w:ascii="Century Schoolbook" w:hAnsi="Century Schoolbook"/>
          <w:sz w:val="26"/>
          <w:szCs w:val="26"/>
        </w:rPr>
        <w:t>th</w:t>
      </w:r>
      <w:r w:rsidRPr="000D43E9">
        <w:rPr>
          <w:rFonts w:ascii="Century Schoolbook" w:hAnsi="Century Schoolbook"/>
          <w:sz w:val="26"/>
          <w:szCs w:val="26"/>
        </w:rPr>
        <w:t xml:space="preserve"> 675, also held that </w:t>
      </w:r>
      <w:r w:rsidR="00FE08D7">
        <w:rPr>
          <w:rFonts w:ascii="Century Schoolbook" w:hAnsi="Century Schoolbook"/>
          <w:sz w:val="26"/>
          <w:szCs w:val="26"/>
        </w:rPr>
        <w:t>the same nonprofit corporation</w:t>
      </w:r>
      <w:r w:rsidR="00FE08D7" w:rsidRPr="000D43E9">
        <w:rPr>
          <w:rFonts w:ascii="Century Schoolbook" w:hAnsi="Century Schoolbook"/>
          <w:sz w:val="26"/>
          <w:szCs w:val="26"/>
        </w:rPr>
        <w:t xml:space="preserve"> </w:t>
      </w:r>
      <w:r w:rsidR="00FE08D7">
        <w:rPr>
          <w:rFonts w:ascii="Century Schoolbook" w:hAnsi="Century Schoolbook"/>
          <w:sz w:val="26"/>
          <w:szCs w:val="26"/>
        </w:rPr>
        <w:t>that</w:t>
      </w:r>
      <w:r w:rsidRPr="000D43E9">
        <w:rPr>
          <w:rFonts w:ascii="Century Schoolbook" w:hAnsi="Century Schoolbook"/>
          <w:sz w:val="26"/>
          <w:szCs w:val="26"/>
        </w:rPr>
        <w:t xml:space="preserve"> referred a child for a foster placement—despite having a </w:t>
      </w:r>
      <w:r w:rsidR="00FE08D7">
        <w:rPr>
          <w:rFonts w:ascii="Century Schoolbook" w:hAnsi="Century Schoolbook"/>
          <w:sz w:val="26"/>
          <w:szCs w:val="26"/>
        </w:rPr>
        <w:t>“</w:t>
      </w:r>
      <w:r w:rsidRPr="000D43E9">
        <w:rPr>
          <w:rFonts w:ascii="Century Schoolbook" w:hAnsi="Century Schoolbook"/>
          <w:sz w:val="26"/>
          <w:szCs w:val="26"/>
        </w:rPr>
        <w:t>special relationship</w:t>
      </w:r>
      <w:r w:rsidR="0094171A">
        <w:rPr>
          <w:rFonts w:ascii="Century Schoolbook" w:hAnsi="Century Schoolbook"/>
          <w:sz w:val="26"/>
          <w:szCs w:val="26"/>
        </w:rPr>
        <w:t>”</w:t>
      </w:r>
      <w:r w:rsidRPr="000D43E9">
        <w:rPr>
          <w:rFonts w:ascii="Century Schoolbook" w:hAnsi="Century Schoolbook"/>
          <w:sz w:val="26"/>
          <w:szCs w:val="26"/>
        </w:rPr>
        <w:t xml:space="preserve"> with that child—did not </w:t>
      </w:r>
      <w:r w:rsidR="008F4EDD">
        <w:rPr>
          <w:rFonts w:ascii="Century Schoolbook" w:hAnsi="Century Schoolbook"/>
          <w:sz w:val="26"/>
          <w:szCs w:val="26"/>
        </w:rPr>
        <w:t xml:space="preserve">have </w:t>
      </w:r>
      <w:r w:rsidRPr="000D43E9">
        <w:rPr>
          <w:rFonts w:ascii="Century Schoolbook" w:hAnsi="Century Schoolbook"/>
          <w:sz w:val="26"/>
          <w:szCs w:val="26"/>
        </w:rPr>
        <w:t xml:space="preserve">a duty to protect the child from sexual assault by someone in the foster </w:t>
      </w:r>
      <w:r w:rsidRPr="000D43E9">
        <w:rPr>
          <w:rFonts w:ascii="Century Schoolbook" w:hAnsi="Century Schoolbook"/>
          <w:sz w:val="26"/>
          <w:szCs w:val="26"/>
        </w:rPr>
        <w:t>family’s home absent its actual knowledge of the assaulter’s propensity to engage in such an assault.  (</w:t>
      </w:r>
      <w:r w:rsidRPr="000D43E9">
        <w:rPr>
          <w:rFonts w:ascii="Century Schoolbook" w:hAnsi="Century Schoolbook"/>
          <w:i/>
          <w:iCs/>
          <w:sz w:val="26"/>
          <w:szCs w:val="26"/>
        </w:rPr>
        <w:t>Id.</w:t>
      </w:r>
      <w:r w:rsidRPr="000D43E9">
        <w:rPr>
          <w:rFonts w:ascii="Century Schoolbook" w:hAnsi="Century Schoolbook"/>
          <w:sz w:val="26"/>
          <w:szCs w:val="26"/>
        </w:rPr>
        <w:t xml:space="preserve"> at pp. 682-683.)  </w:t>
      </w:r>
    </w:p>
    <w:p w14:paraId="6D4AE1B3" w14:textId="49B6671D"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Third, limiting a regional center’s duty to protect against sexual assault of a consumer by a vendor employee to instances in whi</w:t>
      </w:r>
      <w:r w:rsidRPr="000D43E9">
        <w:rPr>
          <w:rFonts w:ascii="Century Schoolbook" w:hAnsi="Century Schoolbook"/>
          <w:sz w:val="26"/>
          <w:szCs w:val="26"/>
        </w:rPr>
        <w:t xml:space="preserve">ch the regional center has actual knowledge of the employee’s proclivity for such assaults is supported by the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Act and its implementing regulations.  The Act obligates regional centers to adopt “best practices” </w:t>
      </w:r>
      <w:proofErr w:type="gramStart"/>
      <w:r w:rsidRPr="000D43E9">
        <w:rPr>
          <w:rFonts w:ascii="Century Schoolbook" w:hAnsi="Century Schoolbook"/>
          <w:sz w:val="26"/>
          <w:szCs w:val="26"/>
        </w:rPr>
        <w:t>with regard to</w:t>
      </w:r>
      <w:proofErr w:type="gramEnd"/>
      <w:r w:rsidRPr="000D43E9">
        <w:rPr>
          <w:rFonts w:ascii="Century Schoolbook" w:hAnsi="Century Schoolbook"/>
          <w:sz w:val="26"/>
          <w:szCs w:val="26"/>
        </w:rPr>
        <w:t xml:space="preserve"> their “administrativ</w:t>
      </w:r>
      <w:r w:rsidRPr="000D43E9">
        <w:rPr>
          <w:rFonts w:ascii="Century Schoolbook" w:hAnsi="Century Schoolbook"/>
          <w:sz w:val="26"/>
          <w:szCs w:val="26"/>
        </w:rPr>
        <w:t>e practices and services” that do not “[e]</w:t>
      </w:r>
      <w:proofErr w:type="spellStart"/>
      <w:r w:rsidRPr="000D43E9">
        <w:rPr>
          <w:rFonts w:ascii="Century Schoolbook" w:hAnsi="Century Schoolbook"/>
          <w:sz w:val="26"/>
          <w:szCs w:val="26"/>
        </w:rPr>
        <w:t>ndanger</w:t>
      </w:r>
      <w:proofErr w:type="spellEnd"/>
      <w:r w:rsidRPr="000D43E9">
        <w:rPr>
          <w:rFonts w:ascii="Century Schoolbook" w:hAnsi="Century Schoolbook"/>
          <w:sz w:val="26"/>
          <w:szCs w:val="26"/>
        </w:rPr>
        <w:t xml:space="preserve"> a consumer’s health or safety” (§ 4620.3, subds. (a) &amp; (g)(1)) and empowers the centers to “provide direct treatment and therapeutic services” to consumers in “emergency situations” (but </w:t>
      </w:r>
      <w:r w:rsidRPr="000D43E9">
        <w:rPr>
          <w:rFonts w:ascii="Century Schoolbook" w:hAnsi="Century Schoolbook"/>
          <w:sz w:val="26"/>
          <w:szCs w:val="26"/>
        </w:rPr>
        <w:lastRenderedPageBreak/>
        <w:t>not otherwise) (§ 4</w:t>
      </w:r>
      <w:r w:rsidRPr="000D43E9">
        <w:rPr>
          <w:rFonts w:ascii="Century Schoolbook" w:hAnsi="Century Schoolbook"/>
          <w:sz w:val="26"/>
          <w:szCs w:val="26"/>
        </w:rPr>
        <w:t xml:space="preserve">648, subd. (f)); thus, the Act contemplates that a regional center cannot </w:t>
      </w:r>
      <w:r w:rsidRPr="000D43E9">
        <w:rPr>
          <w:rFonts w:ascii="Century Schoolbook" w:hAnsi="Century Schoolbook"/>
          <w:i/>
          <w:iCs/>
          <w:sz w:val="26"/>
          <w:szCs w:val="26"/>
        </w:rPr>
        <w:t>itself</w:t>
      </w:r>
      <w:r w:rsidRPr="000D43E9">
        <w:rPr>
          <w:rFonts w:ascii="Century Schoolbook" w:hAnsi="Century Schoolbook"/>
          <w:sz w:val="26"/>
          <w:szCs w:val="26"/>
        </w:rPr>
        <w:t xml:space="preserve"> knowingly take actions that create danger to consumers and must also take action to provide services to consumers when the center </w:t>
      </w:r>
      <w:r w:rsidRPr="000D43E9">
        <w:rPr>
          <w:rFonts w:ascii="Century Schoolbook" w:hAnsi="Century Schoolbook"/>
          <w:i/>
          <w:iCs/>
          <w:sz w:val="26"/>
          <w:szCs w:val="26"/>
        </w:rPr>
        <w:t>learns</w:t>
      </w:r>
      <w:r w:rsidRPr="000D43E9">
        <w:rPr>
          <w:rFonts w:ascii="Century Schoolbook" w:hAnsi="Century Schoolbook"/>
          <w:sz w:val="26"/>
          <w:szCs w:val="26"/>
        </w:rPr>
        <w:t xml:space="preserve"> of an “emergency situation” (which wou</w:t>
      </w:r>
      <w:r w:rsidRPr="000D43E9">
        <w:rPr>
          <w:rFonts w:ascii="Century Schoolbook" w:hAnsi="Century Schoolbook"/>
          <w:sz w:val="26"/>
          <w:szCs w:val="26"/>
        </w:rPr>
        <w:t xml:space="preserve">ld </w:t>
      </w:r>
      <w:r w:rsidR="00184E7D">
        <w:rPr>
          <w:rFonts w:ascii="Century Schoolbook" w:hAnsi="Century Schoolbook"/>
          <w:sz w:val="26"/>
          <w:szCs w:val="26"/>
        </w:rPr>
        <w:t xml:space="preserve">ostensibly </w:t>
      </w:r>
      <w:r w:rsidRPr="000D43E9">
        <w:rPr>
          <w:rFonts w:ascii="Century Schoolbook" w:hAnsi="Century Schoolbook"/>
          <w:sz w:val="26"/>
          <w:szCs w:val="26"/>
        </w:rPr>
        <w:t>include a danger of sexual assault).  Similarly, the regulations under the Act authorize a regional center to terminate a vendor’s contract upon a “</w:t>
      </w:r>
      <w:proofErr w:type="spellStart"/>
      <w:r w:rsidR="000F28FA">
        <w:rPr>
          <w:rFonts w:ascii="Century Schoolbook" w:hAnsi="Century Schoolbook"/>
          <w:sz w:val="26"/>
          <w:szCs w:val="26"/>
        </w:rPr>
        <w:t>d</w:t>
      </w:r>
      <w:r w:rsidR="000E4FDB">
        <w:rPr>
          <w:rFonts w:ascii="Century Schoolbook" w:hAnsi="Century Schoolbook"/>
          <w:sz w:val="26"/>
          <w:szCs w:val="26"/>
        </w:rPr>
        <w:t>etermin</w:t>
      </w:r>
      <w:proofErr w:type="spellEnd"/>
      <w:r w:rsidRPr="000D43E9">
        <w:rPr>
          <w:rFonts w:ascii="Century Schoolbook" w:hAnsi="Century Schoolbook"/>
          <w:sz w:val="26"/>
          <w:szCs w:val="26"/>
        </w:rPr>
        <w:t>[</w:t>
      </w:r>
      <w:proofErr w:type="spellStart"/>
      <w:r w:rsidRPr="000D43E9">
        <w:rPr>
          <w:rFonts w:ascii="Century Schoolbook" w:hAnsi="Century Schoolbook"/>
          <w:sz w:val="26"/>
          <w:szCs w:val="26"/>
        </w:rPr>
        <w:t>ation</w:t>
      </w:r>
      <w:proofErr w:type="spellEnd"/>
      <w:r w:rsidRPr="000D43E9">
        <w:rPr>
          <w:rFonts w:ascii="Century Schoolbook" w:hAnsi="Century Schoolbook"/>
          <w:sz w:val="26"/>
          <w:szCs w:val="26"/>
        </w:rPr>
        <w:t>] that continued utilization of the vendor threatens the health and safety of th</w:t>
      </w:r>
      <w:r w:rsidRPr="000D43E9">
        <w:rPr>
          <w:rFonts w:ascii="Century Schoolbook" w:hAnsi="Century Schoolbook"/>
          <w:sz w:val="26"/>
          <w:szCs w:val="26"/>
        </w:rPr>
        <w:t>e consumer</w:t>
      </w:r>
      <w:r w:rsidR="00422867">
        <w:rPr>
          <w:rFonts w:ascii="Century Schoolbook" w:hAnsi="Century Schoolbook"/>
          <w:sz w:val="26"/>
          <w:szCs w:val="26"/>
        </w:rPr>
        <w:t>[]</w:t>
      </w:r>
      <w:r w:rsidRPr="000D43E9">
        <w:rPr>
          <w:rFonts w:ascii="Century Schoolbook" w:hAnsi="Century Schoolbook"/>
          <w:sz w:val="26"/>
          <w:szCs w:val="26"/>
        </w:rPr>
        <w:t>” (Cal. Code Regs., tit. 17, § 54370, subd. (</w:t>
      </w:r>
      <w:r w:rsidR="00475EB3">
        <w:rPr>
          <w:rFonts w:ascii="Century Schoolbook" w:hAnsi="Century Schoolbook"/>
          <w:sz w:val="26"/>
          <w:szCs w:val="26"/>
        </w:rPr>
        <w:t>b</w:t>
      </w:r>
      <w:r w:rsidRPr="000D43E9">
        <w:rPr>
          <w:rFonts w:ascii="Century Schoolbook" w:hAnsi="Century Schoolbook"/>
          <w:sz w:val="26"/>
          <w:szCs w:val="26"/>
        </w:rPr>
        <w:t>)(</w:t>
      </w:r>
      <w:r w:rsidR="00475EB3">
        <w:rPr>
          <w:rFonts w:ascii="Century Schoolbook" w:hAnsi="Century Schoolbook"/>
          <w:sz w:val="26"/>
          <w:szCs w:val="26"/>
        </w:rPr>
        <w:t>7</w:t>
      </w:r>
      <w:r w:rsidRPr="000D43E9">
        <w:rPr>
          <w:rFonts w:ascii="Century Schoolbook" w:hAnsi="Century Schoolbook"/>
          <w:sz w:val="26"/>
          <w:szCs w:val="26"/>
        </w:rPr>
        <w:t xml:space="preserve">)), and such a determination necessarily presupposes actual knowledge of the danger.  Thus, the Act contemplates that a regional center must </w:t>
      </w:r>
      <w:proofErr w:type="gramStart"/>
      <w:r w:rsidRPr="000D43E9">
        <w:rPr>
          <w:rFonts w:ascii="Century Schoolbook" w:hAnsi="Century Schoolbook"/>
          <w:sz w:val="26"/>
          <w:szCs w:val="26"/>
        </w:rPr>
        <w:t>take action</w:t>
      </w:r>
      <w:proofErr w:type="gramEnd"/>
      <w:r w:rsidRPr="000D43E9">
        <w:rPr>
          <w:rFonts w:ascii="Century Schoolbook" w:hAnsi="Century Schoolbook"/>
          <w:sz w:val="26"/>
          <w:szCs w:val="26"/>
        </w:rPr>
        <w:t xml:space="preserve"> upon acquiring knowledge of a threat to a </w:t>
      </w:r>
      <w:r w:rsidRPr="000D43E9">
        <w:rPr>
          <w:rFonts w:ascii="Century Schoolbook" w:hAnsi="Century Schoolbook"/>
          <w:sz w:val="26"/>
          <w:szCs w:val="26"/>
        </w:rPr>
        <w:t>consumer—and gives the center tools to protect the consumer and still provide the consumer with services and support.</w:t>
      </w:r>
    </w:p>
    <w:p w14:paraId="6CC18510" w14:textId="69EA1E99"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Fourth, several decisions outside the context of referr</w:t>
      </w:r>
      <w:r w:rsidR="00184E7D">
        <w:rPr>
          <w:rFonts w:ascii="Century Schoolbook" w:hAnsi="Century Schoolbook"/>
          <w:sz w:val="26"/>
          <w:szCs w:val="26"/>
        </w:rPr>
        <w:t>al</w:t>
      </w:r>
      <w:r w:rsidRPr="000D43E9">
        <w:rPr>
          <w:rFonts w:ascii="Century Schoolbook" w:hAnsi="Century Schoolbook"/>
          <w:sz w:val="26"/>
          <w:szCs w:val="26"/>
        </w:rPr>
        <w:t xml:space="preserve"> agencies have keyed the existence of a duty to protect against sexual assault or other criminal behavior by a third party to the defendant’s actual knowledge of the third party’s proclivity to engage in such </w:t>
      </w:r>
      <w:r w:rsidR="00184E7D">
        <w:rPr>
          <w:rFonts w:ascii="Century Schoolbook" w:hAnsi="Century Schoolbook"/>
          <w:sz w:val="26"/>
          <w:szCs w:val="26"/>
        </w:rPr>
        <w:t>behavio</w:t>
      </w:r>
      <w:r w:rsidR="000F28FA">
        <w:rPr>
          <w:rFonts w:ascii="Century Schoolbook" w:hAnsi="Century Schoolbook"/>
          <w:sz w:val="26"/>
          <w:szCs w:val="26"/>
        </w:rPr>
        <w:t>r</w:t>
      </w:r>
      <w:r w:rsidRPr="000D43E9">
        <w:rPr>
          <w:rFonts w:ascii="Century Schoolbook" w:hAnsi="Century Schoolbook"/>
          <w:sz w:val="26"/>
          <w:szCs w:val="26"/>
        </w:rPr>
        <w:t xml:space="preserve">.  (See </w:t>
      </w:r>
      <w:r w:rsidRPr="000D43E9">
        <w:rPr>
          <w:rFonts w:ascii="Century Schoolbook" w:hAnsi="Century Schoolbook"/>
          <w:i/>
          <w:iCs/>
          <w:sz w:val="26"/>
          <w:szCs w:val="26"/>
        </w:rPr>
        <w:t xml:space="preserve">Margaret W. v. Kelley R. </w:t>
      </w:r>
      <w:r w:rsidRPr="000D43E9">
        <w:rPr>
          <w:rFonts w:ascii="Century Schoolbook" w:hAnsi="Century Schoolbook"/>
          <w:sz w:val="26"/>
          <w:szCs w:val="26"/>
        </w:rPr>
        <w:t>(2006)</w:t>
      </w:r>
      <w:r w:rsidRPr="000D43E9">
        <w:rPr>
          <w:rFonts w:ascii="Century Schoolbook" w:hAnsi="Century Schoolbook"/>
          <w:sz w:val="26"/>
          <w:szCs w:val="26"/>
        </w:rPr>
        <w:t xml:space="preserve"> 139 Cal.App.4</w:t>
      </w:r>
      <w:r w:rsidR="00B6712C">
        <w:rPr>
          <w:rFonts w:ascii="Century Schoolbook" w:hAnsi="Century Schoolbook"/>
          <w:sz w:val="26"/>
          <w:szCs w:val="26"/>
        </w:rPr>
        <w:t>th</w:t>
      </w:r>
      <w:r w:rsidRPr="000D43E9">
        <w:rPr>
          <w:rFonts w:ascii="Century Schoolbook" w:hAnsi="Century Schoolbook"/>
          <w:sz w:val="26"/>
          <w:szCs w:val="26"/>
        </w:rPr>
        <w:t xml:space="preserve"> 141, 152, 156; </w:t>
      </w:r>
      <w:r w:rsidRPr="000D43E9">
        <w:rPr>
          <w:rFonts w:ascii="Century Schoolbook" w:hAnsi="Century Schoolbook"/>
          <w:i/>
          <w:iCs/>
          <w:sz w:val="26"/>
          <w:szCs w:val="26"/>
        </w:rPr>
        <w:t>Romero v. Superior Court</w:t>
      </w:r>
      <w:r w:rsidRPr="000D43E9">
        <w:rPr>
          <w:rFonts w:ascii="Century Schoolbook" w:hAnsi="Century Schoolbook"/>
          <w:sz w:val="26"/>
          <w:szCs w:val="26"/>
        </w:rPr>
        <w:t xml:space="preserve"> (2001) 89 Cal.App.4</w:t>
      </w:r>
      <w:r w:rsidR="00B6712C">
        <w:rPr>
          <w:rFonts w:ascii="Century Schoolbook" w:hAnsi="Century Schoolbook"/>
          <w:sz w:val="26"/>
          <w:szCs w:val="26"/>
        </w:rPr>
        <w:t>th</w:t>
      </w:r>
      <w:r w:rsidRPr="000D43E9">
        <w:rPr>
          <w:rFonts w:ascii="Century Schoolbook" w:hAnsi="Century Schoolbook"/>
          <w:sz w:val="26"/>
          <w:szCs w:val="26"/>
        </w:rPr>
        <w:t xml:space="preserve"> 1068, 1093-1095; see also </w:t>
      </w:r>
      <w:r w:rsidRPr="000D43E9">
        <w:rPr>
          <w:rFonts w:ascii="Century Schoolbook" w:hAnsi="Century Schoolbook"/>
          <w:i/>
          <w:iCs/>
          <w:sz w:val="26"/>
          <w:szCs w:val="26"/>
        </w:rPr>
        <w:t>Ann M. v. Pacific Plaza Shopping Center</w:t>
      </w:r>
      <w:r w:rsidRPr="000D43E9">
        <w:rPr>
          <w:rFonts w:ascii="Century Schoolbook" w:hAnsi="Century Schoolbook"/>
          <w:sz w:val="26"/>
          <w:szCs w:val="26"/>
        </w:rPr>
        <w:t xml:space="preserve"> (1993) 6 Cal.4</w:t>
      </w:r>
      <w:r w:rsidR="00B6712C">
        <w:rPr>
          <w:rFonts w:ascii="Century Schoolbook" w:hAnsi="Century Schoolbook"/>
          <w:sz w:val="26"/>
          <w:szCs w:val="26"/>
        </w:rPr>
        <w:t>th</w:t>
      </w:r>
      <w:r w:rsidRPr="000D43E9">
        <w:rPr>
          <w:rFonts w:ascii="Century Schoolbook" w:hAnsi="Century Schoolbook"/>
          <w:sz w:val="26"/>
          <w:szCs w:val="26"/>
        </w:rPr>
        <w:t xml:space="preserve"> 666, 678</w:t>
      </w:r>
      <w:r w:rsidR="001470AC">
        <w:rPr>
          <w:rFonts w:ascii="Century Schoolbook" w:hAnsi="Century Schoolbook"/>
          <w:sz w:val="26"/>
          <w:szCs w:val="26"/>
        </w:rPr>
        <w:t>-679</w:t>
      </w:r>
      <w:r w:rsidRPr="000D43E9">
        <w:rPr>
          <w:rFonts w:ascii="Century Schoolbook" w:hAnsi="Century Schoolbook"/>
          <w:sz w:val="26"/>
          <w:szCs w:val="26"/>
        </w:rPr>
        <w:t xml:space="preserve"> [a premises owner is liable for injuries to invitees caused by a third party’s criminal acts only if the owner is aware of “similar incidents of violen</w:t>
      </w:r>
      <w:r w:rsidR="00E90151">
        <w:rPr>
          <w:rFonts w:ascii="Century Schoolbook" w:hAnsi="Century Schoolbook"/>
          <w:sz w:val="26"/>
          <w:szCs w:val="26"/>
        </w:rPr>
        <w:t>t</w:t>
      </w:r>
      <w:r w:rsidRPr="000D43E9">
        <w:rPr>
          <w:rFonts w:ascii="Century Schoolbook" w:hAnsi="Century Schoolbook"/>
          <w:sz w:val="26"/>
          <w:szCs w:val="26"/>
        </w:rPr>
        <w:t xml:space="preserve"> crime” on its premises], overruled on other grounds by </w:t>
      </w:r>
      <w:r w:rsidRPr="000D43E9">
        <w:rPr>
          <w:rFonts w:ascii="Century Schoolbook" w:hAnsi="Century Schoolbook"/>
          <w:i/>
          <w:iCs/>
          <w:sz w:val="26"/>
          <w:szCs w:val="26"/>
        </w:rPr>
        <w:t>Reid v. Google</w:t>
      </w:r>
      <w:r w:rsidR="005426A6">
        <w:rPr>
          <w:rFonts w:ascii="Century Schoolbook" w:hAnsi="Century Schoolbook"/>
          <w:i/>
          <w:iCs/>
          <w:sz w:val="26"/>
          <w:szCs w:val="26"/>
        </w:rPr>
        <w:t>,</w:t>
      </w:r>
      <w:r w:rsidRPr="000D43E9">
        <w:rPr>
          <w:rFonts w:ascii="Century Schoolbook" w:hAnsi="Century Schoolbook"/>
          <w:i/>
          <w:iCs/>
          <w:sz w:val="26"/>
          <w:szCs w:val="26"/>
        </w:rPr>
        <w:t xml:space="preserve"> Inc. </w:t>
      </w:r>
      <w:r w:rsidRPr="000D43E9">
        <w:rPr>
          <w:rFonts w:ascii="Century Schoolbook" w:hAnsi="Century Schoolbook"/>
          <w:sz w:val="26"/>
          <w:szCs w:val="26"/>
        </w:rPr>
        <w:t>(2010) 50 Cal.4</w:t>
      </w:r>
      <w:r w:rsidR="0007358A">
        <w:rPr>
          <w:rFonts w:ascii="Century Schoolbook" w:hAnsi="Century Schoolbook"/>
          <w:sz w:val="26"/>
          <w:szCs w:val="26"/>
        </w:rPr>
        <w:t>th</w:t>
      </w:r>
      <w:r w:rsidRPr="000D43E9">
        <w:rPr>
          <w:rFonts w:ascii="Century Schoolbook" w:hAnsi="Century Schoolbook"/>
          <w:sz w:val="26"/>
          <w:szCs w:val="26"/>
        </w:rPr>
        <w:t xml:space="preserve"> 512; </w:t>
      </w:r>
      <w:r w:rsidRPr="000D43E9">
        <w:rPr>
          <w:rFonts w:ascii="Century Schoolbook" w:hAnsi="Century Schoolbook"/>
          <w:i/>
          <w:iCs/>
          <w:sz w:val="26"/>
          <w:szCs w:val="26"/>
        </w:rPr>
        <w:t>Sha</w:t>
      </w:r>
      <w:r w:rsidRPr="000D43E9">
        <w:rPr>
          <w:rFonts w:ascii="Century Schoolbook" w:hAnsi="Century Schoolbook"/>
          <w:i/>
          <w:iCs/>
          <w:sz w:val="26"/>
          <w:szCs w:val="26"/>
        </w:rPr>
        <w:t xml:space="preserve">ron P. v. Arman, Ltd.  </w:t>
      </w:r>
      <w:r w:rsidRPr="000D43E9">
        <w:rPr>
          <w:rFonts w:ascii="Century Schoolbook" w:hAnsi="Century Schoolbook"/>
          <w:sz w:val="26"/>
          <w:szCs w:val="26"/>
        </w:rPr>
        <w:t>(1999) 21 Cal.4</w:t>
      </w:r>
      <w:r w:rsidR="0007358A">
        <w:rPr>
          <w:rFonts w:ascii="Century Schoolbook" w:hAnsi="Century Schoolbook"/>
          <w:sz w:val="26"/>
          <w:szCs w:val="26"/>
        </w:rPr>
        <w:t>th</w:t>
      </w:r>
      <w:r w:rsidRPr="000D43E9">
        <w:rPr>
          <w:rFonts w:ascii="Century Schoolbook" w:hAnsi="Century Schoolbook"/>
          <w:sz w:val="26"/>
          <w:szCs w:val="26"/>
        </w:rPr>
        <w:t xml:space="preserve"> 1181, 1190-1191 [same]</w:t>
      </w:r>
      <w:r w:rsidR="00040664">
        <w:rPr>
          <w:rFonts w:ascii="Century Schoolbook" w:hAnsi="Century Schoolbook"/>
          <w:sz w:val="26"/>
          <w:szCs w:val="26"/>
        </w:rPr>
        <w:t xml:space="preserve">, </w:t>
      </w:r>
      <w:r w:rsidR="00040664" w:rsidRPr="000D43E9">
        <w:rPr>
          <w:rFonts w:ascii="Century Schoolbook" w:hAnsi="Century Schoolbook"/>
          <w:sz w:val="26"/>
          <w:szCs w:val="26"/>
        </w:rPr>
        <w:t xml:space="preserve">overruled on other grounds by </w:t>
      </w:r>
      <w:r w:rsidR="00040664" w:rsidRPr="000D43E9">
        <w:rPr>
          <w:rFonts w:ascii="Century Schoolbook" w:hAnsi="Century Schoolbook"/>
          <w:i/>
          <w:iCs/>
          <w:sz w:val="26"/>
          <w:szCs w:val="26"/>
        </w:rPr>
        <w:t>Reid</w:t>
      </w:r>
      <w:r w:rsidRPr="000D43E9">
        <w:rPr>
          <w:rFonts w:ascii="Century Schoolbook" w:hAnsi="Century Schoolbook"/>
          <w:sz w:val="26"/>
          <w:szCs w:val="26"/>
        </w:rPr>
        <w:t>.)</w:t>
      </w:r>
    </w:p>
    <w:p w14:paraId="571AAC86" w14:textId="4566040C"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lastRenderedPageBreak/>
        <w:t>Because it is undisputed that the Regional Center did not have any knowledge of Ocampo’s proclivities to engage in sexual assault—and, to the contrary, be</w:t>
      </w:r>
      <w:r w:rsidRPr="000D43E9">
        <w:rPr>
          <w:rFonts w:ascii="Century Schoolbook" w:hAnsi="Century Schoolbook"/>
          <w:sz w:val="26"/>
          <w:szCs w:val="26"/>
        </w:rPr>
        <w:t xml:space="preserve">cause the record indicates that Ocampo had no criminal history and because there is no evidence that Ocampo had engaged in any questionable behavior during the </w:t>
      </w:r>
      <w:r w:rsidR="00C2425B">
        <w:rPr>
          <w:rFonts w:ascii="Century Schoolbook" w:hAnsi="Century Schoolbook"/>
          <w:sz w:val="26"/>
          <w:szCs w:val="26"/>
        </w:rPr>
        <w:t>four and a half</w:t>
      </w:r>
      <w:r w:rsidRPr="000D43E9">
        <w:rPr>
          <w:rFonts w:ascii="Century Schoolbook" w:hAnsi="Century Schoolbook"/>
          <w:sz w:val="26"/>
          <w:szCs w:val="26"/>
        </w:rPr>
        <w:t xml:space="preserve"> years between his hire by Round Trip and the rape in this case—the Regional Cent</w:t>
      </w:r>
      <w:r w:rsidRPr="000D43E9">
        <w:rPr>
          <w:rFonts w:ascii="Century Schoolbook" w:hAnsi="Century Schoolbook"/>
          <w:sz w:val="26"/>
          <w:szCs w:val="26"/>
        </w:rPr>
        <w:t>er did not owe A.L. a duty to protect against the sexual assault alleged in this case.</w:t>
      </w:r>
    </w:p>
    <w:p w14:paraId="3559784E" w14:textId="77777777" w:rsidR="002F4B2B" w:rsidRPr="000D43E9" w:rsidRDefault="009A7CC9" w:rsidP="000D43E9">
      <w:pPr>
        <w:spacing w:line="288" w:lineRule="auto"/>
        <w:rPr>
          <w:rFonts w:ascii="Century Schoolbook" w:hAnsi="Century Schoolbook"/>
          <w:b/>
          <w:bCs/>
          <w:sz w:val="26"/>
          <w:szCs w:val="26"/>
        </w:rPr>
      </w:pPr>
      <w:r w:rsidRPr="000D43E9">
        <w:rPr>
          <w:rFonts w:ascii="Century Schoolbook" w:hAnsi="Century Schoolbook"/>
          <w:b/>
          <w:bCs/>
          <w:sz w:val="26"/>
          <w:szCs w:val="26"/>
        </w:rPr>
        <w:t>III.</w:t>
      </w:r>
      <w:r w:rsidRPr="000D43E9">
        <w:rPr>
          <w:rFonts w:ascii="Century Schoolbook" w:hAnsi="Century Schoolbook"/>
          <w:b/>
          <w:bCs/>
          <w:sz w:val="26"/>
          <w:szCs w:val="26"/>
        </w:rPr>
        <w:tab/>
        <w:t>A.L.’s Further Arguments</w:t>
      </w:r>
    </w:p>
    <w:p w14:paraId="44692A31" w14:textId="5A1E1D9F"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A.L. resists our conclusion with what boil</w:t>
      </w:r>
      <w:r w:rsidR="00C62129">
        <w:rPr>
          <w:rFonts w:ascii="Century Schoolbook" w:hAnsi="Century Schoolbook"/>
          <w:sz w:val="26"/>
          <w:szCs w:val="26"/>
        </w:rPr>
        <w:t>s</w:t>
      </w:r>
      <w:r w:rsidRPr="000D43E9">
        <w:rPr>
          <w:rFonts w:ascii="Century Schoolbook" w:hAnsi="Century Schoolbook"/>
          <w:sz w:val="26"/>
          <w:szCs w:val="26"/>
        </w:rPr>
        <w:t xml:space="preserve"> down to three further arguments.</w:t>
      </w:r>
    </w:p>
    <w:p w14:paraId="11847C2F" w14:textId="73651A81"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r>
      <w:r w:rsidRPr="000D43E9">
        <w:rPr>
          <w:rFonts w:ascii="Century Schoolbook" w:hAnsi="Century Schoolbook"/>
          <w:sz w:val="26"/>
          <w:szCs w:val="26"/>
        </w:rPr>
        <w:t xml:space="preserve">First, A.L. argues that a duty that is triggered only upon a defendant’s actual knowledge is no longer permitted after </w:t>
      </w:r>
      <w:r w:rsidRPr="000D43E9">
        <w:rPr>
          <w:rFonts w:ascii="Century Schoolbook" w:hAnsi="Century Schoolbook"/>
          <w:i/>
          <w:iCs/>
          <w:sz w:val="26"/>
          <w:szCs w:val="26"/>
        </w:rPr>
        <w:t>Brown</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w:t>
      </w:r>
      <w:r w:rsidR="008F13AD">
        <w:rPr>
          <w:rFonts w:ascii="Century Schoolbook" w:hAnsi="Century Schoolbook"/>
          <w:sz w:val="26"/>
          <w:szCs w:val="26"/>
        </w:rPr>
        <w:t>11</w:t>
      </w:r>
      <w:r w:rsidRPr="000D43E9">
        <w:rPr>
          <w:rFonts w:ascii="Century Schoolbook" w:hAnsi="Century Schoolbook"/>
          <w:sz w:val="26"/>
          <w:szCs w:val="26"/>
        </w:rPr>
        <w:t xml:space="preserve"> Cal.5</w:t>
      </w:r>
      <w:r w:rsidR="0007358A">
        <w:rPr>
          <w:rFonts w:ascii="Century Schoolbook" w:hAnsi="Century Schoolbook"/>
          <w:sz w:val="26"/>
          <w:szCs w:val="26"/>
        </w:rPr>
        <w:t>th</w:t>
      </w:r>
      <w:r w:rsidRPr="000D43E9">
        <w:rPr>
          <w:rFonts w:ascii="Century Schoolbook" w:hAnsi="Century Schoolbook"/>
          <w:sz w:val="26"/>
          <w:szCs w:val="26"/>
        </w:rPr>
        <w:t xml:space="preserve"> </w:t>
      </w:r>
      <w:r w:rsidR="005B0575">
        <w:rPr>
          <w:rFonts w:ascii="Century Schoolbook" w:hAnsi="Century Schoolbook"/>
          <w:sz w:val="26"/>
          <w:szCs w:val="26"/>
        </w:rPr>
        <w:t>204</w:t>
      </w:r>
      <w:r w:rsidRPr="000D43E9">
        <w:rPr>
          <w:rFonts w:ascii="Century Schoolbook" w:hAnsi="Century Schoolbook"/>
          <w:sz w:val="26"/>
          <w:szCs w:val="26"/>
        </w:rPr>
        <w:t xml:space="preserve">, because </w:t>
      </w:r>
      <w:r w:rsidRPr="000D43E9">
        <w:rPr>
          <w:rFonts w:ascii="Century Schoolbook" w:hAnsi="Century Schoolbook"/>
          <w:i/>
          <w:iCs/>
          <w:sz w:val="26"/>
          <w:szCs w:val="26"/>
        </w:rPr>
        <w:t>Brown</w:t>
      </w:r>
      <w:r w:rsidRPr="000D43E9">
        <w:rPr>
          <w:rFonts w:ascii="Century Schoolbook" w:hAnsi="Century Schoolbook"/>
          <w:sz w:val="26"/>
          <w:szCs w:val="26"/>
        </w:rPr>
        <w:t xml:space="preserve"> requires that the assessment of whether a duty exists under the </w:t>
      </w:r>
      <w:r w:rsidRPr="000D43E9">
        <w:rPr>
          <w:rFonts w:ascii="Century Schoolbook" w:hAnsi="Century Schoolbook"/>
          <w:i/>
          <w:iCs/>
          <w:sz w:val="26"/>
          <w:szCs w:val="26"/>
        </w:rPr>
        <w:t xml:space="preserve">Rowland </w:t>
      </w:r>
      <w:r w:rsidRPr="000D43E9">
        <w:rPr>
          <w:rFonts w:ascii="Century Schoolbook" w:hAnsi="Century Schoolbook"/>
          <w:sz w:val="26"/>
          <w:szCs w:val="26"/>
        </w:rPr>
        <w:t>factors must be condu</w:t>
      </w:r>
      <w:r w:rsidRPr="000D43E9">
        <w:rPr>
          <w:rFonts w:ascii="Century Schoolbook" w:hAnsi="Century Schoolbook"/>
          <w:sz w:val="26"/>
          <w:szCs w:val="26"/>
        </w:rPr>
        <w:t>cted “‘at a relatively broad level of factual generality’”</w:t>
      </w:r>
      <w:r w:rsidR="005B0575">
        <w:rPr>
          <w:rFonts w:ascii="Century Schoolbook" w:hAnsi="Century Schoolbook"/>
          <w:sz w:val="26"/>
          <w:szCs w:val="26"/>
        </w:rPr>
        <w:t xml:space="preserve"> (</w:t>
      </w:r>
      <w:r w:rsidR="005B0575">
        <w:rPr>
          <w:rFonts w:ascii="Century Schoolbook" w:hAnsi="Century Schoolbook"/>
          <w:i/>
          <w:iCs/>
          <w:sz w:val="26"/>
          <w:szCs w:val="26"/>
        </w:rPr>
        <w:t>id.</w:t>
      </w:r>
      <w:r w:rsidR="005B0575">
        <w:rPr>
          <w:rFonts w:ascii="Century Schoolbook" w:hAnsi="Century Schoolbook"/>
          <w:sz w:val="26"/>
          <w:szCs w:val="26"/>
        </w:rPr>
        <w:t xml:space="preserve"> at p. 221)</w:t>
      </w:r>
      <w:r w:rsidRPr="000D43E9">
        <w:rPr>
          <w:rFonts w:ascii="Century Schoolbook" w:hAnsi="Century Schoolbook"/>
          <w:sz w:val="26"/>
          <w:szCs w:val="26"/>
        </w:rPr>
        <w:t>; defining a duty to turn on a particular defendant’s particular knowledge about a particular third party’s proclivities for criminal conduct, A.L. reasons, is too “</w:t>
      </w:r>
      <w:proofErr w:type="gramStart"/>
      <w:r w:rsidRPr="000D43E9">
        <w:rPr>
          <w:rFonts w:ascii="Century Schoolbook" w:hAnsi="Century Schoolbook"/>
          <w:sz w:val="26"/>
          <w:szCs w:val="26"/>
        </w:rPr>
        <w:t>case-specific</w:t>
      </w:r>
      <w:proofErr w:type="gramEnd"/>
      <w:r w:rsidRPr="000D43E9">
        <w:rPr>
          <w:rFonts w:ascii="Century Schoolbook" w:hAnsi="Century Schoolbook"/>
          <w:sz w:val="26"/>
          <w:szCs w:val="26"/>
        </w:rPr>
        <w:t>.”</w:t>
      </w:r>
      <w:r w:rsidR="005B0575">
        <w:rPr>
          <w:rFonts w:ascii="Century Schoolbook" w:hAnsi="Century Schoolbook"/>
          <w:sz w:val="26"/>
          <w:szCs w:val="26"/>
        </w:rPr>
        <w:t xml:space="preserve">  </w:t>
      </w:r>
      <w:r w:rsidRPr="000D43E9">
        <w:rPr>
          <w:rFonts w:ascii="Century Schoolbook" w:hAnsi="Century Schoolbook"/>
          <w:sz w:val="26"/>
          <w:szCs w:val="26"/>
        </w:rPr>
        <w:t xml:space="preserve">A.L. cites two recent decisions that appear to adopt this line of reasoning and to disagree with </w:t>
      </w:r>
      <w:r w:rsidRPr="000D43E9">
        <w:rPr>
          <w:rFonts w:ascii="Century Schoolbook" w:hAnsi="Century Schoolbook"/>
          <w:i/>
          <w:iCs/>
          <w:sz w:val="26"/>
          <w:szCs w:val="26"/>
        </w:rPr>
        <w:t>J.L.</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177 Cal.App.4</w:t>
      </w:r>
      <w:r w:rsidR="0007358A">
        <w:rPr>
          <w:rFonts w:ascii="Century Schoolbook" w:hAnsi="Century Schoolbook"/>
          <w:sz w:val="26"/>
          <w:szCs w:val="26"/>
        </w:rPr>
        <w:t>th</w:t>
      </w:r>
      <w:r w:rsidRPr="000D43E9">
        <w:rPr>
          <w:rFonts w:ascii="Century Schoolbook" w:hAnsi="Century Schoolbook"/>
          <w:sz w:val="26"/>
          <w:szCs w:val="26"/>
        </w:rPr>
        <w:t xml:space="preserve"> 388, and </w:t>
      </w:r>
      <w:r w:rsidRPr="000D43E9">
        <w:rPr>
          <w:rFonts w:ascii="Century Schoolbook" w:hAnsi="Century Schoolbook"/>
          <w:i/>
          <w:iCs/>
          <w:sz w:val="26"/>
          <w:szCs w:val="26"/>
        </w:rPr>
        <w:t>Doe</w:t>
      </w:r>
      <w:r w:rsidRPr="000D43E9">
        <w:rPr>
          <w:rFonts w:ascii="Century Schoolbook" w:hAnsi="Century Schoolbook"/>
          <w:sz w:val="26"/>
          <w:szCs w:val="26"/>
        </w:rPr>
        <w:t xml:space="preserve">, </w:t>
      </w:r>
      <w:r w:rsidR="000E4FDB">
        <w:rPr>
          <w:rFonts w:ascii="Century Schoolbook" w:hAnsi="Century Schoolbook"/>
          <w:i/>
          <w:iCs/>
          <w:sz w:val="26"/>
          <w:szCs w:val="26"/>
        </w:rPr>
        <w:t>supra</w:t>
      </w:r>
      <w:r w:rsidR="000E4FDB">
        <w:rPr>
          <w:rFonts w:ascii="Century Schoolbook" w:hAnsi="Century Schoolbook"/>
          <w:sz w:val="26"/>
          <w:szCs w:val="26"/>
        </w:rPr>
        <w:t>,</w:t>
      </w:r>
      <w:r w:rsidR="000E4FDB">
        <w:rPr>
          <w:rFonts w:ascii="Century Schoolbook" w:hAnsi="Century Schoolbook"/>
          <w:i/>
          <w:iCs/>
          <w:sz w:val="26"/>
          <w:szCs w:val="26"/>
        </w:rPr>
        <w:t xml:space="preserve"> </w:t>
      </w:r>
      <w:r w:rsidRPr="000D43E9">
        <w:rPr>
          <w:rFonts w:ascii="Century Schoolbook" w:hAnsi="Century Schoolbook"/>
          <w:sz w:val="26"/>
          <w:szCs w:val="26"/>
        </w:rPr>
        <w:t xml:space="preserve">37 Cal.App.5th 675.  (See </w:t>
      </w:r>
      <w:r w:rsidRPr="000D43E9">
        <w:rPr>
          <w:rFonts w:ascii="Century Schoolbook" w:hAnsi="Century Schoolbook"/>
          <w:i/>
          <w:iCs/>
          <w:sz w:val="26"/>
          <w:szCs w:val="26"/>
        </w:rPr>
        <w:t>Roman Catholic Archbishop</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xml:space="preserve">, 70 Cal.App.5th at pp. 677-678; </w:t>
      </w:r>
      <w:r w:rsidRPr="000D43E9">
        <w:rPr>
          <w:rFonts w:ascii="Century Schoolbook" w:hAnsi="Century Schoolbook"/>
          <w:i/>
          <w:iCs/>
          <w:sz w:val="26"/>
          <w:szCs w:val="26"/>
        </w:rPr>
        <w:t>Lawndale</w:t>
      </w:r>
      <w:r w:rsidRPr="00A76FEF">
        <w:rPr>
          <w:rFonts w:ascii="Century Schoolbook" w:hAnsi="Century Schoolbook"/>
          <w:sz w:val="26"/>
          <w:szCs w:val="26"/>
        </w:rPr>
        <w:t>,</w:t>
      </w:r>
      <w:r w:rsidRPr="000D43E9">
        <w:rPr>
          <w:rFonts w:ascii="Century Schoolbook" w:hAnsi="Century Schoolbook"/>
          <w:i/>
          <w:iCs/>
          <w:sz w:val="26"/>
          <w:szCs w:val="26"/>
        </w:rPr>
        <w:t xml:space="preserve"> supra</w:t>
      </w:r>
      <w:r w:rsidRPr="000D43E9">
        <w:rPr>
          <w:rFonts w:ascii="Century Schoolbook" w:hAnsi="Century Schoolbook"/>
          <w:sz w:val="26"/>
          <w:szCs w:val="26"/>
        </w:rPr>
        <w:t>, 7</w:t>
      </w:r>
      <w:r w:rsidRPr="000D43E9">
        <w:rPr>
          <w:rFonts w:ascii="Century Schoolbook" w:hAnsi="Century Schoolbook"/>
          <w:sz w:val="26"/>
          <w:szCs w:val="26"/>
        </w:rPr>
        <w:t xml:space="preserve">2 Cal.App.5th at pp. 126-130.)  </w:t>
      </w:r>
    </w:p>
    <w:p w14:paraId="229CDD82" w14:textId="66BD8BD2" w:rsidR="002F4B2B"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 xml:space="preserve">Although </w:t>
      </w:r>
      <w:r w:rsidRPr="000D43E9">
        <w:rPr>
          <w:rFonts w:ascii="Century Schoolbook" w:hAnsi="Century Schoolbook"/>
          <w:i/>
          <w:iCs/>
          <w:sz w:val="26"/>
          <w:szCs w:val="26"/>
        </w:rPr>
        <w:t>Roman Catholic Archbishop</w:t>
      </w:r>
      <w:r w:rsidRPr="000D43E9">
        <w:rPr>
          <w:rFonts w:ascii="Century Schoolbook" w:hAnsi="Century Schoolbook"/>
          <w:sz w:val="26"/>
          <w:szCs w:val="26"/>
        </w:rPr>
        <w:t xml:space="preserve"> and </w:t>
      </w:r>
      <w:r w:rsidRPr="000D43E9">
        <w:rPr>
          <w:rFonts w:ascii="Century Schoolbook" w:hAnsi="Century Schoolbook"/>
          <w:i/>
          <w:iCs/>
          <w:sz w:val="26"/>
          <w:szCs w:val="26"/>
        </w:rPr>
        <w:t xml:space="preserve">Lawndale </w:t>
      </w:r>
      <w:r w:rsidRPr="000D43E9">
        <w:rPr>
          <w:rFonts w:ascii="Century Schoolbook" w:hAnsi="Century Schoolbook"/>
          <w:sz w:val="26"/>
          <w:szCs w:val="26"/>
        </w:rPr>
        <w:t xml:space="preserve">seem to adopt this line of reasoning, we respectfully disagree with their holdings that </w:t>
      </w:r>
      <w:r w:rsidRPr="000D43E9">
        <w:rPr>
          <w:rFonts w:ascii="Century Schoolbook" w:hAnsi="Century Schoolbook"/>
          <w:i/>
          <w:iCs/>
          <w:sz w:val="26"/>
          <w:szCs w:val="26"/>
        </w:rPr>
        <w:t>Brown</w:t>
      </w:r>
      <w:r w:rsidRPr="000D43E9">
        <w:rPr>
          <w:rFonts w:ascii="Century Schoolbook" w:hAnsi="Century Schoolbook"/>
          <w:sz w:val="26"/>
          <w:szCs w:val="26"/>
        </w:rPr>
        <w:t xml:space="preserve"> precludes a duty to protect triggered by an alleged tortfeasor’s actual knowledge of a third party’s propensity to commit a criminal act.  </w:t>
      </w:r>
      <w:r w:rsidRPr="000D43E9">
        <w:rPr>
          <w:rFonts w:ascii="Century Schoolbook" w:hAnsi="Century Schoolbook"/>
          <w:i/>
          <w:iCs/>
          <w:sz w:val="26"/>
          <w:szCs w:val="26"/>
        </w:rPr>
        <w:t>Brown</w:t>
      </w:r>
      <w:r w:rsidRPr="000D43E9">
        <w:rPr>
          <w:rFonts w:ascii="Century Schoolbook" w:hAnsi="Century Schoolbook"/>
          <w:sz w:val="26"/>
          <w:szCs w:val="26"/>
        </w:rPr>
        <w:t xml:space="preserve"> requires that the</w:t>
      </w:r>
      <w:r w:rsidRPr="000D43E9">
        <w:rPr>
          <w:rFonts w:ascii="Century Schoolbook" w:hAnsi="Century Schoolbook"/>
          <w:sz w:val="26"/>
          <w:szCs w:val="26"/>
        </w:rPr>
        <w:t xml:space="preserve"> </w:t>
      </w:r>
      <w:r w:rsidRPr="000D43E9">
        <w:rPr>
          <w:rFonts w:ascii="Century Schoolbook" w:hAnsi="Century Schoolbook"/>
          <w:i/>
          <w:iCs/>
          <w:sz w:val="26"/>
          <w:szCs w:val="26"/>
        </w:rPr>
        <w:t>Rowland</w:t>
      </w:r>
      <w:r w:rsidR="00305DCB">
        <w:rPr>
          <w:rFonts w:ascii="Century Schoolbook" w:hAnsi="Century Schoolbook"/>
          <w:sz w:val="26"/>
          <w:szCs w:val="26"/>
        </w:rPr>
        <w:t xml:space="preserve"> </w:t>
      </w:r>
      <w:r w:rsidRPr="000D43E9">
        <w:rPr>
          <w:rFonts w:ascii="Century Schoolbook" w:hAnsi="Century Schoolbook"/>
          <w:sz w:val="26"/>
          <w:szCs w:val="26"/>
        </w:rPr>
        <w:t>factor</w:t>
      </w:r>
      <w:r w:rsidR="003071DA">
        <w:rPr>
          <w:rFonts w:ascii="Century Schoolbook" w:hAnsi="Century Schoolbook"/>
          <w:sz w:val="26"/>
          <w:szCs w:val="26"/>
        </w:rPr>
        <w:t>s</w:t>
      </w:r>
      <w:r w:rsidRPr="000D43E9">
        <w:rPr>
          <w:rFonts w:ascii="Century Schoolbook" w:hAnsi="Century Schoolbook"/>
          <w:sz w:val="26"/>
          <w:szCs w:val="26"/>
        </w:rPr>
        <w:t xml:space="preserve"> be </w:t>
      </w:r>
      <w:r w:rsidR="00305DCB">
        <w:rPr>
          <w:rFonts w:ascii="Century Schoolbook" w:hAnsi="Century Schoolbook"/>
          <w:sz w:val="26"/>
          <w:szCs w:val="26"/>
        </w:rPr>
        <w:t>analyzed</w:t>
      </w:r>
      <w:r w:rsidR="00305DCB" w:rsidRPr="000D43E9">
        <w:rPr>
          <w:rFonts w:ascii="Century Schoolbook" w:hAnsi="Century Schoolbook"/>
          <w:sz w:val="26"/>
          <w:szCs w:val="26"/>
        </w:rPr>
        <w:t xml:space="preserve"> </w:t>
      </w:r>
      <w:r w:rsidR="00747AAE">
        <w:rPr>
          <w:rFonts w:ascii="Century Schoolbook" w:hAnsi="Century Schoolbook"/>
          <w:sz w:val="26"/>
          <w:szCs w:val="26"/>
        </w:rPr>
        <w:t>“‘</w:t>
      </w:r>
      <w:r w:rsidRPr="000D43E9">
        <w:rPr>
          <w:rFonts w:ascii="Century Schoolbook" w:hAnsi="Century Schoolbook"/>
          <w:sz w:val="26"/>
          <w:szCs w:val="26"/>
        </w:rPr>
        <w:t xml:space="preserve">at a relatively broad level of factual </w:t>
      </w:r>
      <w:r w:rsidRPr="000D43E9">
        <w:rPr>
          <w:rFonts w:ascii="Century Schoolbook" w:hAnsi="Century Schoolbook"/>
          <w:sz w:val="26"/>
          <w:szCs w:val="26"/>
        </w:rPr>
        <w:lastRenderedPageBreak/>
        <w:t>generality.</w:t>
      </w:r>
      <w:r w:rsidR="00747AAE">
        <w:rPr>
          <w:rFonts w:ascii="Century Schoolbook" w:hAnsi="Century Schoolbook"/>
          <w:sz w:val="26"/>
          <w:szCs w:val="26"/>
        </w:rPr>
        <w:t>’</w:t>
      </w:r>
      <w:r w:rsidRPr="000D43E9">
        <w:rPr>
          <w:rFonts w:ascii="Century Schoolbook" w:hAnsi="Century Schoolbook"/>
          <w:sz w:val="26"/>
          <w:szCs w:val="26"/>
        </w:rPr>
        <w:t xml:space="preserve">”  The </w:t>
      </w:r>
      <w:r w:rsidRPr="000D43E9">
        <w:rPr>
          <w:rFonts w:ascii="Century Schoolbook" w:hAnsi="Century Schoolbook"/>
          <w:i/>
          <w:iCs/>
          <w:sz w:val="26"/>
          <w:szCs w:val="26"/>
        </w:rPr>
        <w:t xml:space="preserve">Rowland </w:t>
      </w:r>
      <w:r w:rsidRPr="000D43E9">
        <w:rPr>
          <w:rFonts w:ascii="Century Schoolbook" w:hAnsi="Century Schoolbook"/>
          <w:sz w:val="26"/>
          <w:szCs w:val="26"/>
        </w:rPr>
        <w:t>analysis we set forth above is conducted at that level of generality because it asks whether, as a general matter, regional centers should be liable for injuri</w:t>
      </w:r>
      <w:r w:rsidRPr="000D43E9">
        <w:rPr>
          <w:rFonts w:ascii="Century Schoolbook" w:hAnsi="Century Schoolbook"/>
          <w:sz w:val="26"/>
          <w:szCs w:val="26"/>
        </w:rPr>
        <w:t>es to a consumer resulting from a sexual assault committed by a vendor’s employee.  Although we conclude that such a duty exists only in that category of cases when a regional center has actual knowledge of that employee’s propensity to engage in the crimi</w:t>
      </w:r>
      <w:r w:rsidRPr="000D43E9">
        <w:rPr>
          <w:rFonts w:ascii="Century Schoolbook" w:hAnsi="Century Schoolbook"/>
          <w:sz w:val="26"/>
          <w:szCs w:val="26"/>
        </w:rPr>
        <w:t xml:space="preserve">nal act of sexual assault, </w:t>
      </w:r>
      <w:r w:rsidRPr="000D43E9">
        <w:rPr>
          <w:rFonts w:ascii="Century Schoolbook" w:hAnsi="Century Schoolbook"/>
          <w:i/>
          <w:iCs/>
          <w:sz w:val="26"/>
          <w:szCs w:val="26"/>
        </w:rPr>
        <w:t xml:space="preserve">the </w:t>
      </w:r>
      <w:r w:rsidR="0087645A">
        <w:rPr>
          <w:rFonts w:ascii="Century Schoolbook" w:hAnsi="Century Schoolbook"/>
          <w:i/>
          <w:iCs/>
          <w:sz w:val="26"/>
          <w:szCs w:val="26"/>
        </w:rPr>
        <w:t xml:space="preserve">policy </w:t>
      </w:r>
      <w:r w:rsidRPr="000D43E9">
        <w:rPr>
          <w:rFonts w:ascii="Century Schoolbook" w:hAnsi="Century Schoolbook"/>
          <w:i/>
          <w:iCs/>
          <w:sz w:val="26"/>
          <w:szCs w:val="26"/>
        </w:rPr>
        <w:t xml:space="preserve">analysis </w:t>
      </w:r>
      <w:r w:rsidR="0087645A">
        <w:rPr>
          <w:rFonts w:ascii="Century Schoolbook" w:hAnsi="Century Schoolbook"/>
          <w:i/>
          <w:iCs/>
          <w:sz w:val="26"/>
          <w:szCs w:val="26"/>
        </w:rPr>
        <w:t xml:space="preserve">of duty that we have undertaken </w:t>
      </w:r>
      <w:r w:rsidRPr="000D43E9">
        <w:rPr>
          <w:rFonts w:ascii="Century Schoolbook" w:hAnsi="Century Schoolbook"/>
          <w:sz w:val="26"/>
          <w:szCs w:val="26"/>
        </w:rPr>
        <w:t xml:space="preserve">is not tied to any case-specific facts; the case-specific facts only come into play when we assess whether </w:t>
      </w:r>
      <w:r w:rsidRPr="00A76FEF">
        <w:rPr>
          <w:rFonts w:ascii="Century Schoolbook" w:hAnsi="Century Schoolbook"/>
          <w:i/>
          <w:iCs/>
          <w:sz w:val="26"/>
          <w:szCs w:val="26"/>
        </w:rPr>
        <w:t>this</w:t>
      </w:r>
      <w:r w:rsidRPr="000D43E9">
        <w:rPr>
          <w:rFonts w:ascii="Century Schoolbook" w:hAnsi="Century Schoolbook"/>
          <w:sz w:val="26"/>
          <w:szCs w:val="26"/>
        </w:rPr>
        <w:t xml:space="preserve"> particular case falls within the category where a duty exists—tha</w:t>
      </w:r>
      <w:r w:rsidRPr="000D43E9">
        <w:rPr>
          <w:rFonts w:ascii="Century Schoolbook" w:hAnsi="Century Schoolbook"/>
          <w:sz w:val="26"/>
          <w:szCs w:val="26"/>
        </w:rPr>
        <w:t xml:space="preserve">t is, when we conclude that the undisputed fact of the regional center’s lack of actual knowledge </w:t>
      </w:r>
      <w:r w:rsidRPr="000D43E9">
        <w:rPr>
          <w:rFonts w:ascii="Century Schoolbook" w:hAnsi="Century Schoolbook"/>
          <w:i/>
          <w:iCs/>
          <w:sz w:val="26"/>
          <w:szCs w:val="26"/>
        </w:rPr>
        <w:t>in this case</w:t>
      </w:r>
      <w:r w:rsidRPr="000D43E9">
        <w:rPr>
          <w:rFonts w:ascii="Century Schoolbook" w:hAnsi="Century Schoolbook"/>
          <w:sz w:val="26"/>
          <w:szCs w:val="26"/>
        </w:rPr>
        <w:t xml:space="preserve"> precludes the existence of a legal duty to protect</w:t>
      </w:r>
      <w:r w:rsidR="00305DCB">
        <w:rPr>
          <w:rFonts w:ascii="Century Schoolbook" w:hAnsi="Century Schoolbook"/>
          <w:sz w:val="26"/>
          <w:szCs w:val="26"/>
        </w:rPr>
        <w:t xml:space="preserve"> A.L. for purposes of her negligence claim</w:t>
      </w:r>
      <w:r w:rsidRPr="000D43E9">
        <w:rPr>
          <w:rFonts w:ascii="Century Schoolbook" w:hAnsi="Century Schoolbook"/>
          <w:sz w:val="26"/>
          <w:szCs w:val="26"/>
        </w:rPr>
        <w:t>.  To conclude that a duty of care can never be limit</w:t>
      </w:r>
      <w:r w:rsidRPr="000D43E9">
        <w:rPr>
          <w:rFonts w:ascii="Century Schoolbook" w:hAnsi="Century Schoolbook"/>
          <w:sz w:val="26"/>
          <w:szCs w:val="26"/>
        </w:rPr>
        <w:t xml:space="preserve">ed to situations in which the defendant has actual knowledge because the knowledge limitation constitutes an impermissible specificity that runs afoul of </w:t>
      </w:r>
      <w:r w:rsidRPr="000D43E9">
        <w:rPr>
          <w:rFonts w:ascii="Century Schoolbook" w:hAnsi="Century Schoolbook"/>
          <w:i/>
          <w:iCs/>
          <w:sz w:val="26"/>
          <w:szCs w:val="26"/>
        </w:rPr>
        <w:t>Brown</w:t>
      </w:r>
      <w:r w:rsidRPr="000D43E9">
        <w:rPr>
          <w:rFonts w:ascii="Century Schoolbook" w:hAnsi="Century Schoolbook"/>
          <w:sz w:val="26"/>
          <w:szCs w:val="26"/>
        </w:rPr>
        <w:t xml:space="preserve"> is to conclude that all tort duties can never be qualified or delimited.  Applying this approach</w:t>
      </w:r>
      <w:r w:rsidRPr="000D43E9">
        <w:rPr>
          <w:rFonts w:ascii="Century Schoolbook" w:hAnsi="Century Schoolbook"/>
          <w:sz w:val="26"/>
          <w:szCs w:val="26"/>
        </w:rPr>
        <w:t xml:space="preserve"> in this case would </w:t>
      </w:r>
      <w:r w:rsidR="0087645A">
        <w:rPr>
          <w:rFonts w:ascii="Century Schoolbook" w:hAnsi="Century Schoolbook"/>
          <w:sz w:val="26"/>
          <w:szCs w:val="26"/>
        </w:rPr>
        <w:t xml:space="preserve">not only overturn all of the precedent cited above that delimits tort duties based on the defendant’s actual </w:t>
      </w:r>
      <w:proofErr w:type="gramStart"/>
      <w:r w:rsidR="0087645A">
        <w:rPr>
          <w:rFonts w:ascii="Century Schoolbook" w:hAnsi="Century Schoolbook"/>
          <w:sz w:val="26"/>
          <w:szCs w:val="26"/>
        </w:rPr>
        <w:t>knowledge, but</w:t>
      </w:r>
      <w:proofErr w:type="gramEnd"/>
      <w:r w:rsidR="0087645A">
        <w:rPr>
          <w:rFonts w:ascii="Century Schoolbook" w:hAnsi="Century Schoolbook"/>
          <w:sz w:val="26"/>
          <w:szCs w:val="26"/>
        </w:rPr>
        <w:t xml:space="preserve"> </w:t>
      </w:r>
      <w:r w:rsidR="00EC4754">
        <w:rPr>
          <w:rFonts w:ascii="Century Schoolbook" w:hAnsi="Century Schoolbook"/>
          <w:sz w:val="26"/>
          <w:szCs w:val="26"/>
        </w:rPr>
        <w:t xml:space="preserve">would </w:t>
      </w:r>
      <w:r w:rsidR="0087645A">
        <w:rPr>
          <w:rFonts w:ascii="Century Schoolbook" w:hAnsi="Century Schoolbook"/>
          <w:sz w:val="26"/>
          <w:szCs w:val="26"/>
        </w:rPr>
        <w:t xml:space="preserve">also </w:t>
      </w:r>
      <w:r w:rsidRPr="000D43E9">
        <w:rPr>
          <w:rFonts w:ascii="Century Schoolbook" w:hAnsi="Century Schoolbook"/>
          <w:sz w:val="26"/>
          <w:szCs w:val="26"/>
        </w:rPr>
        <w:t xml:space="preserve">render regional centers liable for all harm to consumers inflicted by anyone at any time.  We do not </w:t>
      </w:r>
      <w:r w:rsidRPr="000D43E9">
        <w:rPr>
          <w:rFonts w:ascii="Century Schoolbook" w:hAnsi="Century Schoolbook"/>
          <w:sz w:val="26"/>
          <w:szCs w:val="26"/>
        </w:rPr>
        <w:t>think that tort law must be painted with such clumsy strokes; such an approach is inconsistent with our Supreme Court’s mandate that we calibrate tort law to the proper balance of societal good versus societal harm.</w:t>
      </w:r>
      <w:r>
        <w:rPr>
          <w:rStyle w:val="FootnoteReference"/>
          <w:rFonts w:ascii="Century Schoolbook" w:hAnsi="Century Schoolbook"/>
          <w:b/>
          <w:bCs/>
          <w:szCs w:val="26"/>
        </w:rPr>
        <w:footnoteReference w:id="14"/>
      </w:r>
    </w:p>
    <w:p w14:paraId="76EA942C" w14:textId="1642C18A" w:rsidR="002F4B2B" w:rsidRPr="000D43E9"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lastRenderedPageBreak/>
        <w:tab/>
      </w:r>
      <w:r w:rsidRPr="000D43E9">
        <w:rPr>
          <w:rFonts w:ascii="Century Schoolbook" w:hAnsi="Century Schoolbook"/>
          <w:sz w:val="26"/>
          <w:szCs w:val="26"/>
        </w:rPr>
        <w:t xml:space="preserve">Second, A.L. argues that we may not look to the scope of </w:t>
      </w:r>
      <w:r w:rsidR="0049465F">
        <w:rPr>
          <w:rFonts w:ascii="Century Schoolbook" w:hAnsi="Century Schoolbook"/>
          <w:sz w:val="26"/>
          <w:szCs w:val="26"/>
        </w:rPr>
        <w:t>obligations</w:t>
      </w:r>
      <w:r w:rsidR="0049465F" w:rsidRPr="000D43E9">
        <w:rPr>
          <w:rFonts w:ascii="Century Schoolbook" w:hAnsi="Century Schoolbook"/>
          <w:sz w:val="26"/>
          <w:szCs w:val="26"/>
        </w:rPr>
        <w:t xml:space="preserve"> </w:t>
      </w:r>
      <w:r w:rsidRPr="000D43E9">
        <w:rPr>
          <w:rFonts w:ascii="Century Schoolbook" w:hAnsi="Century Schoolbook"/>
          <w:sz w:val="26"/>
          <w:szCs w:val="26"/>
        </w:rPr>
        <w:t xml:space="preserve">imposed on regional centers by the Act in defining a regional center’s duty of care because doing so confuses the </w:t>
      </w:r>
      <w:r w:rsidRPr="000D43E9">
        <w:rPr>
          <w:rFonts w:ascii="Century Schoolbook" w:hAnsi="Century Schoolbook"/>
          <w:i/>
          <w:iCs/>
          <w:sz w:val="26"/>
          <w:szCs w:val="26"/>
        </w:rPr>
        <w:t xml:space="preserve">standard </w:t>
      </w:r>
      <w:r w:rsidRPr="000D43E9">
        <w:rPr>
          <w:rFonts w:ascii="Century Schoolbook" w:hAnsi="Century Schoolbook"/>
          <w:sz w:val="26"/>
          <w:szCs w:val="26"/>
        </w:rPr>
        <w:t xml:space="preserve">of care with the </w:t>
      </w:r>
      <w:r w:rsidRPr="000D43E9">
        <w:rPr>
          <w:rFonts w:ascii="Century Schoolbook" w:hAnsi="Century Schoolbook"/>
          <w:i/>
          <w:iCs/>
          <w:sz w:val="26"/>
          <w:szCs w:val="26"/>
        </w:rPr>
        <w:t xml:space="preserve">duty </w:t>
      </w:r>
      <w:r w:rsidRPr="000D43E9">
        <w:rPr>
          <w:rFonts w:ascii="Century Schoolbook" w:hAnsi="Century Schoolbook"/>
          <w:sz w:val="26"/>
          <w:szCs w:val="26"/>
        </w:rPr>
        <w:t>of care.  To be sure, a statutorily define</w:t>
      </w:r>
      <w:r w:rsidRPr="000D43E9">
        <w:rPr>
          <w:rFonts w:ascii="Century Schoolbook" w:hAnsi="Century Schoolbook"/>
          <w:sz w:val="26"/>
          <w:szCs w:val="26"/>
        </w:rPr>
        <w:t xml:space="preserve">d </w:t>
      </w:r>
      <w:r w:rsidRPr="000D43E9">
        <w:rPr>
          <w:rFonts w:ascii="Century Schoolbook" w:hAnsi="Century Schoolbook"/>
          <w:i/>
          <w:iCs/>
          <w:sz w:val="26"/>
          <w:szCs w:val="26"/>
        </w:rPr>
        <w:t>standard</w:t>
      </w:r>
      <w:r w:rsidRPr="000D43E9">
        <w:rPr>
          <w:rFonts w:ascii="Century Schoolbook" w:hAnsi="Century Schoolbook"/>
          <w:sz w:val="26"/>
          <w:szCs w:val="26"/>
        </w:rPr>
        <w:t xml:space="preserve"> of care does not, by itself, obligate a court to recognize a </w:t>
      </w:r>
      <w:r w:rsidRPr="000D43E9">
        <w:rPr>
          <w:rFonts w:ascii="Century Schoolbook" w:hAnsi="Century Schoolbook"/>
          <w:i/>
          <w:iCs/>
          <w:sz w:val="26"/>
          <w:szCs w:val="26"/>
        </w:rPr>
        <w:t>duty</w:t>
      </w:r>
      <w:r w:rsidRPr="000D43E9">
        <w:rPr>
          <w:rFonts w:ascii="Century Schoolbook" w:hAnsi="Century Schoolbook"/>
          <w:sz w:val="26"/>
          <w:szCs w:val="26"/>
        </w:rPr>
        <w:t xml:space="preserve"> of care.  (</w:t>
      </w:r>
      <w:proofErr w:type="spellStart"/>
      <w:r w:rsidRPr="000D43E9">
        <w:rPr>
          <w:rFonts w:ascii="Century Schoolbook" w:hAnsi="Century Schoolbook"/>
          <w:i/>
          <w:iCs/>
          <w:sz w:val="26"/>
          <w:szCs w:val="26"/>
        </w:rPr>
        <w:t>Issakhani</w:t>
      </w:r>
      <w:proofErr w:type="spellEnd"/>
      <w:r w:rsidRPr="000D43E9">
        <w:rPr>
          <w:rFonts w:ascii="Century Schoolbook" w:hAnsi="Century Schoolbook"/>
          <w:i/>
          <w:iCs/>
          <w:sz w:val="26"/>
          <w:szCs w:val="26"/>
        </w:rPr>
        <w:t xml:space="preserve"> v. Shadow Glen Homeowners Assn., Inc.</w:t>
      </w:r>
      <w:r w:rsidRPr="000D43E9">
        <w:rPr>
          <w:rFonts w:ascii="Century Schoolbook" w:hAnsi="Century Schoolbook"/>
          <w:sz w:val="26"/>
          <w:szCs w:val="26"/>
        </w:rPr>
        <w:t xml:space="preserve"> (2021) 63 Cal.App.5th 917, 935 [“The standard of care </w:t>
      </w:r>
      <w:r w:rsidRPr="000D43E9">
        <w:rPr>
          <w:rFonts w:ascii="Century Schoolbook" w:hAnsi="Century Schoolbook"/>
          <w:i/>
          <w:iCs/>
          <w:sz w:val="26"/>
          <w:szCs w:val="26"/>
        </w:rPr>
        <w:t xml:space="preserve">presupposes </w:t>
      </w:r>
      <w:r w:rsidRPr="000D43E9">
        <w:rPr>
          <w:rFonts w:ascii="Century Schoolbook" w:hAnsi="Century Schoolbook"/>
          <w:sz w:val="26"/>
          <w:szCs w:val="26"/>
        </w:rPr>
        <w:t xml:space="preserve">a duty [of care]; it cannot </w:t>
      </w:r>
      <w:r w:rsidRPr="00A76FEF">
        <w:rPr>
          <w:rFonts w:ascii="Century Schoolbook" w:hAnsi="Century Schoolbook"/>
          <w:i/>
          <w:iCs/>
          <w:sz w:val="26"/>
          <w:szCs w:val="26"/>
        </w:rPr>
        <w:t>create</w:t>
      </w:r>
      <w:r w:rsidRPr="000D43E9">
        <w:rPr>
          <w:rFonts w:ascii="Century Schoolbook" w:hAnsi="Century Schoolbook"/>
          <w:sz w:val="26"/>
          <w:szCs w:val="26"/>
        </w:rPr>
        <w:t xml:space="preserve"> one”].)  But our an</w:t>
      </w:r>
      <w:r w:rsidRPr="000D43E9">
        <w:rPr>
          <w:rFonts w:ascii="Century Schoolbook" w:hAnsi="Century Schoolbook"/>
          <w:sz w:val="26"/>
          <w:szCs w:val="26"/>
        </w:rPr>
        <w:t xml:space="preserve">alysis does not look to standards of care set forth in the Act to create—or delimit the scope of—a regional center’s duty of care under tort law.  (Cf. </w:t>
      </w:r>
      <w:r w:rsidRPr="000D43E9">
        <w:rPr>
          <w:rFonts w:ascii="Century Schoolbook" w:hAnsi="Century Schoolbook"/>
          <w:i/>
          <w:iCs/>
          <w:sz w:val="26"/>
          <w:szCs w:val="26"/>
        </w:rPr>
        <w:t xml:space="preserve">Myrick v. </w:t>
      </w:r>
      <w:proofErr w:type="spellStart"/>
      <w:r w:rsidRPr="000D43E9">
        <w:rPr>
          <w:rFonts w:ascii="Century Schoolbook" w:hAnsi="Century Schoolbook"/>
          <w:i/>
          <w:iCs/>
          <w:sz w:val="26"/>
          <w:szCs w:val="26"/>
        </w:rPr>
        <w:t>Mastagni</w:t>
      </w:r>
      <w:proofErr w:type="spellEnd"/>
      <w:r w:rsidRPr="000D43E9">
        <w:rPr>
          <w:rFonts w:ascii="Century Schoolbook" w:hAnsi="Century Schoolbook"/>
          <w:i/>
          <w:iCs/>
          <w:sz w:val="26"/>
          <w:szCs w:val="26"/>
        </w:rPr>
        <w:t xml:space="preserve"> </w:t>
      </w:r>
      <w:r w:rsidRPr="000D43E9">
        <w:rPr>
          <w:rFonts w:ascii="Century Schoolbook" w:hAnsi="Century Schoolbook"/>
          <w:sz w:val="26"/>
          <w:szCs w:val="26"/>
        </w:rPr>
        <w:t xml:space="preserve">(2010) 185 Cal.App.4th 1082, 1087 [“statutory compliance” is not often a “defense to </w:t>
      </w:r>
      <w:r w:rsidRPr="000D43E9">
        <w:rPr>
          <w:rFonts w:ascii="Century Schoolbook" w:hAnsi="Century Schoolbook"/>
          <w:sz w:val="26"/>
          <w:szCs w:val="26"/>
        </w:rPr>
        <w:t xml:space="preserve">tort liability”].)  We look to the Act solely to ascertain the role regional centers are supposed to play in the provision of </w:t>
      </w:r>
      <w:r w:rsidR="0049465F">
        <w:rPr>
          <w:rFonts w:ascii="Century Schoolbook" w:hAnsi="Century Schoolbook"/>
          <w:sz w:val="26"/>
          <w:szCs w:val="26"/>
        </w:rPr>
        <w:t xml:space="preserve">services and </w:t>
      </w:r>
      <w:r w:rsidRPr="000D43E9">
        <w:rPr>
          <w:rFonts w:ascii="Century Schoolbook" w:hAnsi="Century Schoolbook"/>
          <w:sz w:val="26"/>
          <w:szCs w:val="26"/>
        </w:rPr>
        <w:t>support under the Act, and thereby to understand the public policy the Act embodies.  We then assess whether imposing</w:t>
      </w:r>
      <w:r w:rsidRPr="000D43E9">
        <w:rPr>
          <w:rFonts w:ascii="Century Schoolbook" w:hAnsi="Century Schoolbook"/>
          <w:sz w:val="26"/>
          <w:szCs w:val="26"/>
        </w:rPr>
        <w:t xml:space="preserve"> tort liability would further or instead hinder that public policy.  </w:t>
      </w:r>
      <w:r w:rsidR="0049465F">
        <w:rPr>
          <w:rFonts w:ascii="Century Schoolbook" w:hAnsi="Century Schoolbook"/>
          <w:sz w:val="26"/>
          <w:szCs w:val="26"/>
        </w:rPr>
        <w:t xml:space="preserve">Based on the </w:t>
      </w:r>
      <w:r w:rsidR="0049465F" w:rsidRPr="0049465F">
        <w:rPr>
          <w:rFonts w:ascii="Century Schoolbook" w:hAnsi="Century Schoolbook"/>
          <w:i/>
          <w:iCs/>
          <w:sz w:val="26"/>
          <w:szCs w:val="26"/>
        </w:rPr>
        <w:t>Rowland</w:t>
      </w:r>
      <w:r w:rsidR="0049465F">
        <w:rPr>
          <w:rFonts w:ascii="Century Schoolbook" w:hAnsi="Century Schoolbook"/>
          <w:sz w:val="26"/>
          <w:szCs w:val="26"/>
        </w:rPr>
        <w:t>-factors analysis, w</w:t>
      </w:r>
      <w:r w:rsidRPr="0049465F">
        <w:rPr>
          <w:rFonts w:ascii="Century Schoolbook" w:hAnsi="Century Schoolbook"/>
          <w:sz w:val="26"/>
          <w:szCs w:val="26"/>
        </w:rPr>
        <w:t>e</w:t>
      </w:r>
      <w:r w:rsidRPr="000D43E9">
        <w:rPr>
          <w:rFonts w:ascii="Century Schoolbook" w:hAnsi="Century Schoolbook"/>
          <w:sz w:val="26"/>
          <w:szCs w:val="26"/>
        </w:rPr>
        <w:t xml:space="preserve"> have limited tort liability to those circumstances in which tort liability would further the public policy underlying the </w:t>
      </w:r>
      <w:proofErr w:type="gramStart"/>
      <w:r w:rsidRPr="000D43E9">
        <w:rPr>
          <w:rFonts w:ascii="Century Schoolbook" w:hAnsi="Century Schoolbook"/>
          <w:sz w:val="26"/>
          <w:szCs w:val="26"/>
        </w:rPr>
        <w:t>Act, and</w:t>
      </w:r>
      <w:proofErr w:type="gramEnd"/>
      <w:r w:rsidRPr="000D43E9">
        <w:rPr>
          <w:rFonts w:ascii="Century Schoolbook" w:hAnsi="Century Schoolbook"/>
          <w:sz w:val="26"/>
          <w:szCs w:val="26"/>
        </w:rPr>
        <w:t xml:space="preserve"> </w:t>
      </w:r>
      <w:r w:rsidR="0049465F">
        <w:rPr>
          <w:rFonts w:ascii="Century Schoolbook" w:hAnsi="Century Schoolbook"/>
          <w:sz w:val="26"/>
          <w:szCs w:val="26"/>
        </w:rPr>
        <w:t xml:space="preserve">have </w:t>
      </w:r>
      <w:r w:rsidRPr="000D43E9">
        <w:rPr>
          <w:rFonts w:ascii="Century Schoolbook" w:hAnsi="Century Schoolbook"/>
          <w:sz w:val="26"/>
          <w:szCs w:val="26"/>
        </w:rPr>
        <w:t>prohibite</w:t>
      </w:r>
      <w:r w:rsidRPr="000D43E9">
        <w:rPr>
          <w:rFonts w:ascii="Century Schoolbook" w:hAnsi="Century Schoolbook"/>
          <w:sz w:val="26"/>
          <w:szCs w:val="26"/>
        </w:rPr>
        <w:t>d tort liability in the broader circumstances in which it would hinder the Act’s purposes.</w:t>
      </w:r>
    </w:p>
    <w:p w14:paraId="204354EC" w14:textId="7A4410AE" w:rsidR="002F4B2B"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t>Third and lastly, A.L. argues that the Act expresses the “intent of the Legislature that persons with developmental disabilities shall have [a] right to be free fro</w:t>
      </w:r>
      <w:r w:rsidRPr="000D43E9">
        <w:rPr>
          <w:rFonts w:ascii="Century Schoolbook" w:hAnsi="Century Schoolbook"/>
          <w:sz w:val="26"/>
          <w:szCs w:val="26"/>
        </w:rPr>
        <w:t>m harm, including . . . abuse[] or neglect.”  (§ 4502, subd. (b)(8).)  That consumers have a right to be free from abuse or neglect does not create a legal duty</w:t>
      </w:r>
      <w:r w:rsidRPr="000D43E9">
        <w:rPr>
          <w:rFonts w:ascii="Century Schoolbook" w:hAnsi="Century Schoolbook"/>
          <w:i/>
          <w:iCs/>
          <w:sz w:val="26"/>
          <w:szCs w:val="26"/>
        </w:rPr>
        <w:t xml:space="preserve"> of regional centers</w:t>
      </w:r>
      <w:r w:rsidRPr="000D43E9">
        <w:rPr>
          <w:rFonts w:ascii="Century Schoolbook" w:hAnsi="Century Schoolbook"/>
          <w:sz w:val="26"/>
          <w:szCs w:val="26"/>
        </w:rPr>
        <w:t xml:space="preserve"> to protect consumers from all abuse or </w:t>
      </w:r>
      <w:r w:rsidRPr="000D43E9">
        <w:rPr>
          <w:rFonts w:ascii="Century Schoolbook" w:hAnsi="Century Schoolbook"/>
          <w:sz w:val="26"/>
          <w:szCs w:val="26"/>
        </w:rPr>
        <w:lastRenderedPageBreak/>
        <w:t>neglect they may suffer at the hands</w:t>
      </w:r>
      <w:r w:rsidRPr="000D43E9">
        <w:rPr>
          <w:rFonts w:ascii="Century Schoolbook" w:hAnsi="Century Schoolbook"/>
          <w:sz w:val="26"/>
          <w:szCs w:val="26"/>
        </w:rPr>
        <w:t xml:space="preserve"> of others, including the employees of vendors.  The right and the duty are not automatically flip sides of the same coin, and our analysis of the pertinent public policy considerations confirms that they </w:t>
      </w:r>
      <w:r w:rsidRPr="00A76FEF">
        <w:rPr>
          <w:rFonts w:ascii="Century Schoolbook" w:hAnsi="Century Schoolbook"/>
          <w:sz w:val="26"/>
          <w:szCs w:val="26"/>
        </w:rPr>
        <w:t>should</w:t>
      </w:r>
      <w:r w:rsidRPr="000D43E9">
        <w:rPr>
          <w:rFonts w:ascii="Century Schoolbook" w:hAnsi="Century Schoolbook"/>
          <w:sz w:val="26"/>
          <w:szCs w:val="26"/>
        </w:rPr>
        <w:t xml:space="preserve"> not be.</w:t>
      </w:r>
    </w:p>
    <w:p w14:paraId="20B143A6" w14:textId="77777777" w:rsidR="000817AD" w:rsidRPr="000D43E9" w:rsidRDefault="000817AD" w:rsidP="000D43E9">
      <w:pPr>
        <w:spacing w:line="288" w:lineRule="auto"/>
        <w:rPr>
          <w:rFonts w:ascii="Century Schoolbook" w:hAnsi="Century Schoolbook"/>
          <w:sz w:val="26"/>
          <w:szCs w:val="26"/>
        </w:rPr>
      </w:pPr>
    </w:p>
    <w:p w14:paraId="521D9BCE" w14:textId="77777777" w:rsidR="002F4B2B" w:rsidRPr="000D43E9" w:rsidRDefault="009A7CC9" w:rsidP="000D43E9">
      <w:pPr>
        <w:spacing w:line="288" w:lineRule="auto"/>
        <w:jc w:val="center"/>
        <w:rPr>
          <w:rFonts w:ascii="Century Schoolbook" w:hAnsi="Century Schoolbook"/>
          <w:sz w:val="26"/>
          <w:szCs w:val="26"/>
        </w:rPr>
      </w:pPr>
      <w:r w:rsidRPr="000D43E9">
        <w:rPr>
          <w:rFonts w:ascii="Century Schoolbook" w:hAnsi="Century Schoolbook"/>
          <w:sz w:val="26"/>
          <w:szCs w:val="26"/>
        </w:rPr>
        <w:t>*</w:t>
      </w:r>
      <w:r w:rsidRPr="000D43E9">
        <w:rPr>
          <w:rFonts w:ascii="Century Schoolbook" w:hAnsi="Century Schoolbook"/>
          <w:sz w:val="26"/>
          <w:szCs w:val="26"/>
        </w:rPr>
        <w:tab/>
        <w:t>*</w:t>
      </w:r>
      <w:r w:rsidRPr="000D43E9">
        <w:rPr>
          <w:rFonts w:ascii="Century Schoolbook" w:hAnsi="Century Schoolbook"/>
          <w:sz w:val="26"/>
          <w:szCs w:val="26"/>
        </w:rPr>
        <w:tab/>
        <w:t>*</w:t>
      </w:r>
    </w:p>
    <w:p w14:paraId="69EB05A5" w14:textId="606C3244" w:rsidR="002F4B2B" w:rsidRDefault="009A7CC9" w:rsidP="000D43E9">
      <w:pPr>
        <w:spacing w:line="288" w:lineRule="auto"/>
        <w:rPr>
          <w:rFonts w:ascii="Century Schoolbook" w:hAnsi="Century Schoolbook"/>
          <w:sz w:val="26"/>
          <w:szCs w:val="26"/>
        </w:rPr>
      </w:pPr>
      <w:r w:rsidRPr="000D43E9">
        <w:rPr>
          <w:rFonts w:ascii="Century Schoolbook" w:hAnsi="Century Schoolbook"/>
          <w:sz w:val="26"/>
          <w:szCs w:val="26"/>
        </w:rPr>
        <w:tab/>
      </w:r>
      <w:r w:rsidRPr="000D43E9">
        <w:rPr>
          <w:rFonts w:ascii="Century Schoolbook" w:hAnsi="Century Schoolbook"/>
          <w:sz w:val="26"/>
          <w:szCs w:val="26"/>
        </w:rPr>
        <w:t xml:space="preserve">What happened to A.L. in this case is undeniably tragic.  </w:t>
      </w:r>
      <w:r w:rsidR="00843463">
        <w:rPr>
          <w:rFonts w:ascii="Century Schoolbook" w:hAnsi="Century Schoolbook"/>
          <w:sz w:val="26"/>
          <w:szCs w:val="26"/>
        </w:rPr>
        <w:t>However, w</w:t>
      </w:r>
      <w:r w:rsidRPr="000D43E9">
        <w:rPr>
          <w:rFonts w:ascii="Century Schoolbook" w:hAnsi="Century Schoolbook"/>
          <w:sz w:val="26"/>
          <w:szCs w:val="26"/>
        </w:rPr>
        <w:t xml:space="preserve">ere we to accept A.L.’s position that a regional center is liable for sexual assault committed </w:t>
      </w:r>
      <w:r w:rsidR="009D235A">
        <w:rPr>
          <w:rFonts w:ascii="Century Schoolbook" w:hAnsi="Century Schoolbook"/>
          <w:sz w:val="26"/>
          <w:szCs w:val="26"/>
        </w:rPr>
        <w:t>against</w:t>
      </w:r>
      <w:r w:rsidRPr="000D43E9">
        <w:rPr>
          <w:rFonts w:ascii="Century Schoolbook" w:hAnsi="Century Schoolbook"/>
          <w:sz w:val="26"/>
          <w:szCs w:val="26"/>
        </w:rPr>
        <w:t xml:space="preserve"> </w:t>
      </w:r>
      <w:r w:rsidR="00843463">
        <w:rPr>
          <w:rFonts w:ascii="Century Schoolbook" w:hAnsi="Century Schoolbook"/>
          <w:sz w:val="26"/>
          <w:szCs w:val="26"/>
        </w:rPr>
        <w:t>a</w:t>
      </w:r>
      <w:r w:rsidRPr="000D43E9">
        <w:rPr>
          <w:rFonts w:ascii="Century Schoolbook" w:hAnsi="Century Schoolbook"/>
          <w:sz w:val="26"/>
          <w:szCs w:val="26"/>
        </w:rPr>
        <w:t xml:space="preserve"> consumer by </w:t>
      </w:r>
      <w:r w:rsidR="00843463">
        <w:rPr>
          <w:rFonts w:ascii="Century Schoolbook" w:hAnsi="Century Schoolbook"/>
          <w:sz w:val="26"/>
          <w:szCs w:val="26"/>
        </w:rPr>
        <w:t>a</w:t>
      </w:r>
      <w:r w:rsidRPr="000D43E9">
        <w:rPr>
          <w:rFonts w:ascii="Century Schoolbook" w:hAnsi="Century Schoolbook"/>
          <w:sz w:val="26"/>
          <w:szCs w:val="26"/>
        </w:rPr>
        <w:t xml:space="preserve"> vendor</w:t>
      </w:r>
      <w:r w:rsidR="00843463">
        <w:rPr>
          <w:rFonts w:ascii="Century Schoolbook" w:hAnsi="Century Schoolbook"/>
          <w:sz w:val="26"/>
          <w:szCs w:val="26"/>
        </w:rPr>
        <w:t>’</w:t>
      </w:r>
      <w:r w:rsidRPr="000D43E9">
        <w:rPr>
          <w:rFonts w:ascii="Century Schoolbook" w:hAnsi="Century Schoolbook"/>
          <w:sz w:val="26"/>
          <w:szCs w:val="26"/>
        </w:rPr>
        <w:t xml:space="preserve">s employee based </w:t>
      </w:r>
      <w:r w:rsidR="00843463">
        <w:rPr>
          <w:rFonts w:ascii="Century Schoolbook" w:hAnsi="Century Schoolbook"/>
          <w:sz w:val="26"/>
          <w:szCs w:val="26"/>
        </w:rPr>
        <w:t>only</w:t>
      </w:r>
      <w:r w:rsidR="00843463" w:rsidRPr="000D43E9">
        <w:rPr>
          <w:rFonts w:ascii="Century Schoolbook" w:hAnsi="Century Schoolbook"/>
          <w:sz w:val="26"/>
          <w:szCs w:val="26"/>
        </w:rPr>
        <w:t xml:space="preserve"> </w:t>
      </w:r>
      <w:r w:rsidRPr="000D43E9">
        <w:rPr>
          <w:rFonts w:ascii="Century Schoolbook" w:hAnsi="Century Schoolbook"/>
          <w:sz w:val="26"/>
          <w:szCs w:val="26"/>
        </w:rPr>
        <w:t xml:space="preserve">on a center’s alleged negligence in not </w:t>
      </w:r>
      <w:r w:rsidRPr="000D43E9">
        <w:rPr>
          <w:rFonts w:ascii="Century Schoolbook" w:hAnsi="Century Schoolbook"/>
          <w:sz w:val="26"/>
          <w:szCs w:val="26"/>
        </w:rPr>
        <w:t xml:space="preserve">monitoring the vendor closely enough, we would effectively convert regional centers into insurers of all harm to consumers and, because they are neither funded nor staffed to undertake that vast liability, would effectively shut those centers down.  This, </w:t>
      </w:r>
      <w:r w:rsidRPr="000D43E9">
        <w:rPr>
          <w:rFonts w:ascii="Century Schoolbook" w:hAnsi="Century Schoolbook"/>
          <w:sz w:val="26"/>
          <w:szCs w:val="26"/>
        </w:rPr>
        <w:t xml:space="preserve">too, would be </w:t>
      </w:r>
      <w:r w:rsidR="0087645A">
        <w:rPr>
          <w:rFonts w:ascii="Century Schoolbook" w:hAnsi="Century Schoolbook"/>
          <w:sz w:val="26"/>
          <w:szCs w:val="26"/>
        </w:rPr>
        <w:t>devastating</w:t>
      </w:r>
      <w:r w:rsidR="00843463">
        <w:rPr>
          <w:rFonts w:ascii="Century Schoolbook" w:hAnsi="Century Schoolbook"/>
          <w:sz w:val="26"/>
          <w:szCs w:val="26"/>
        </w:rPr>
        <w:t xml:space="preserve">, albeit for a different reason—namely, </w:t>
      </w:r>
      <w:r w:rsidRPr="000D43E9">
        <w:rPr>
          <w:rFonts w:ascii="Century Schoolbook" w:hAnsi="Century Schoolbook"/>
          <w:sz w:val="26"/>
          <w:szCs w:val="26"/>
        </w:rPr>
        <w:t xml:space="preserve">because it would deny essential </w:t>
      </w:r>
      <w:r w:rsidR="0072145E">
        <w:rPr>
          <w:rFonts w:ascii="Century Schoolbook" w:hAnsi="Century Schoolbook"/>
          <w:sz w:val="26"/>
          <w:szCs w:val="26"/>
        </w:rPr>
        <w:t xml:space="preserve">services and </w:t>
      </w:r>
      <w:r w:rsidRPr="000D43E9">
        <w:rPr>
          <w:rFonts w:ascii="Century Schoolbook" w:hAnsi="Century Schoolbook"/>
          <w:sz w:val="26"/>
          <w:szCs w:val="26"/>
        </w:rPr>
        <w:t>support to the entire population of developmentally disabled persons who rely upon those services to live fulfilling and meaningful lives.  Our Le</w:t>
      </w:r>
      <w:r w:rsidRPr="000D43E9">
        <w:rPr>
          <w:rFonts w:ascii="Century Schoolbook" w:hAnsi="Century Schoolbook"/>
          <w:sz w:val="26"/>
          <w:szCs w:val="26"/>
        </w:rPr>
        <w:t xml:space="preserve">gislature has the power to restructure the system for the provision of services </w:t>
      </w:r>
      <w:r w:rsidR="0072145E">
        <w:rPr>
          <w:rFonts w:ascii="Century Schoolbook" w:hAnsi="Century Schoolbook"/>
          <w:sz w:val="26"/>
          <w:szCs w:val="26"/>
        </w:rPr>
        <w:t xml:space="preserve">and support </w:t>
      </w:r>
      <w:r w:rsidRPr="000D43E9">
        <w:rPr>
          <w:rFonts w:ascii="Century Schoolbook" w:hAnsi="Century Schoolbook"/>
          <w:sz w:val="26"/>
          <w:szCs w:val="26"/>
        </w:rPr>
        <w:t xml:space="preserve">under the </w:t>
      </w:r>
      <w:proofErr w:type="spellStart"/>
      <w:r w:rsidRPr="000D43E9">
        <w:rPr>
          <w:rFonts w:ascii="Century Schoolbook" w:hAnsi="Century Schoolbook"/>
          <w:sz w:val="26"/>
          <w:szCs w:val="26"/>
        </w:rPr>
        <w:t>Lanterman</w:t>
      </w:r>
      <w:proofErr w:type="spellEnd"/>
      <w:r w:rsidRPr="000D43E9">
        <w:rPr>
          <w:rFonts w:ascii="Century Schoolbook" w:hAnsi="Century Schoolbook"/>
          <w:sz w:val="26"/>
          <w:szCs w:val="26"/>
        </w:rPr>
        <w:t xml:space="preserve"> Act; unless and until it does, we will not use tort law to do so.</w:t>
      </w:r>
    </w:p>
    <w:p w14:paraId="68CC6FE2" w14:textId="77777777" w:rsidR="00EE1159" w:rsidRDefault="00EE1159" w:rsidP="000D43E9">
      <w:pPr>
        <w:spacing w:line="288" w:lineRule="auto"/>
        <w:rPr>
          <w:rFonts w:ascii="Century Schoolbook" w:hAnsi="Century Schoolbook"/>
          <w:sz w:val="26"/>
          <w:szCs w:val="26"/>
        </w:rPr>
      </w:pPr>
    </w:p>
    <w:p w14:paraId="034D38CF" w14:textId="77777777" w:rsidR="00EE1159" w:rsidRDefault="00EE1159" w:rsidP="000D43E9">
      <w:pPr>
        <w:spacing w:line="288" w:lineRule="auto"/>
        <w:rPr>
          <w:rFonts w:ascii="Century Schoolbook" w:hAnsi="Century Schoolbook"/>
          <w:sz w:val="26"/>
          <w:szCs w:val="26"/>
        </w:rPr>
      </w:pPr>
    </w:p>
    <w:p w14:paraId="517E8600" w14:textId="77777777" w:rsidR="00EE1159" w:rsidRDefault="00EE1159" w:rsidP="000D43E9">
      <w:pPr>
        <w:spacing w:line="288" w:lineRule="auto"/>
        <w:rPr>
          <w:rFonts w:ascii="Century Schoolbook" w:hAnsi="Century Schoolbook"/>
          <w:sz w:val="26"/>
          <w:szCs w:val="26"/>
        </w:rPr>
      </w:pPr>
    </w:p>
    <w:p w14:paraId="078F6629" w14:textId="77777777" w:rsidR="00EE1159" w:rsidRDefault="00EE1159" w:rsidP="000D43E9">
      <w:pPr>
        <w:spacing w:line="288" w:lineRule="auto"/>
        <w:rPr>
          <w:rFonts w:ascii="Century Schoolbook" w:hAnsi="Century Schoolbook"/>
          <w:sz w:val="26"/>
          <w:szCs w:val="26"/>
        </w:rPr>
      </w:pPr>
    </w:p>
    <w:p w14:paraId="50C6A15A" w14:textId="77777777" w:rsidR="00EE1159" w:rsidRDefault="00EE1159" w:rsidP="000D43E9">
      <w:pPr>
        <w:spacing w:line="288" w:lineRule="auto"/>
        <w:rPr>
          <w:rFonts w:ascii="Century Schoolbook" w:hAnsi="Century Schoolbook"/>
          <w:sz w:val="26"/>
          <w:szCs w:val="26"/>
        </w:rPr>
      </w:pPr>
    </w:p>
    <w:p w14:paraId="28EDC422" w14:textId="77777777" w:rsidR="00EE1159" w:rsidRDefault="00EE1159" w:rsidP="000D43E9">
      <w:pPr>
        <w:spacing w:line="288" w:lineRule="auto"/>
        <w:rPr>
          <w:rFonts w:ascii="Century Schoolbook" w:hAnsi="Century Schoolbook"/>
          <w:sz w:val="26"/>
          <w:szCs w:val="26"/>
        </w:rPr>
      </w:pPr>
    </w:p>
    <w:p w14:paraId="3C40AC82" w14:textId="77777777" w:rsidR="00EE1159" w:rsidRDefault="00EE1159" w:rsidP="000D43E9">
      <w:pPr>
        <w:spacing w:line="288" w:lineRule="auto"/>
        <w:rPr>
          <w:rFonts w:ascii="Century Schoolbook" w:hAnsi="Century Schoolbook"/>
          <w:sz w:val="26"/>
          <w:szCs w:val="26"/>
        </w:rPr>
      </w:pPr>
    </w:p>
    <w:p w14:paraId="454CB23B" w14:textId="77777777" w:rsidR="00EE1159" w:rsidRPr="000D43E9" w:rsidRDefault="00EE1159" w:rsidP="000D43E9">
      <w:pPr>
        <w:spacing w:line="288" w:lineRule="auto"/>
        <w:rPr>
          <w:rFonts w:ascii="Century Schoolbook" w:hAnsi="Century Schoolbook"/>
          <w:sz w:val="26"/>
          <w:szCs w:val="26"/>
        </w:rPr>
      </w:pPr>
    </w:p>
    <w:p w14:paraId="7BE09D40" w14:textId="77777777" w:rsidR="00C46631" w:rsidRPr="000D43E9" w:rsidRDefault="009A7CC9" w:rsidP="000D43E9">
      <w:pPr>
        <w:spacing w:line="288" w:lineRule="auto"/>
        <w:jc w:val="center"/>
        <w:rPr>
          <w:rFonts w:ascii="Century Schoolbook" w:hAnsi="Century Schoolbook"/>
          <w:b/>
          <w:bCs/>
          <w:sz w:val="26"/>
          <w:szCs w:val="26"/>
        </w:rPr>
      </w:pPr>
      <w:r w:rsidRPr="000D43E9">
        <w:rPr>
          <w:rFonts w:ascii="Century Schoolbook" w:hAnsi="Century Schoolbook"/>
          <w:b/>
          <w:bCs/>
          <w:sz w:val="26"/>
          <w:szCs w:val="26"/>
        </w:rPr>
        <w:lastRenderedPageBreak/>
        <w:t>DISPOSITION</w:t>
      </w:r>
    </w:p>
    <w:p w14:paraId="72FD8AF2" w14:textId="24D8E0B1" w:rsidR="00C46631" w:rsidRPr="000D43E9" w:rsidRDefault="009A7CC9" w:rsidP="000D43E9">
      <w:pPr>
        <w:spacing w:line="288" w:lineRule="auto"/>
        <w:ind w:firstLine="720"/>
        <w:rPr>
          <w:rFonts w:ascii="Century Schoolbook" w:hAnsi="Century Schoolbook"/>
          <w:sz w:val="26"/>
          <w:szCs w:val="26"/>
        </w:rPr>
      </w:pPr>
      <w:r w:rsidRPr="000D43E9">
        <w:rPr>
          <w:rFonts w:ascii="Century Schoolbook" w:hAnsi="Century Schoolbook"/>
          <w:sz w:val="26"/>
          <w:szCs w:val="26"/>
        </w:rPr>
        <w:t xml:space="preserve">The judgment is affirmed.  The Regional Center is </w:t>
      </w:r>
      <w:r w:rsidRPr="000D43E9">
        <w:rPr>
          <w:rFonts w:ascii="Century Schoolbook" w:hAnsi="Century Schoolbook"/>
          <w:sz w:val="26"/>
          <w:szCs w:val="26"/>
        </w:rPr>
        <w:t xml:space="preserve">entitled to its costs on appeal. </w:t>
      </w:r>
    </w:p>
    <w:p w14:paraId="36BC07DD" w14:textId="24F4A4C3" w:rsidR="001528F1" w:rsidRPr="001528F1" w:rsidRDefault="009A7CC9" w:rsidP="009D48F1">
      <w:pPr>
        <w:ind w:firstLine="720"/>
        <w:rPr>
          <w:rFonts w:ascii="Century Schoolbook" w:eastAsia="Calibri" w:hAnsi="Century Schoolbook"/>
          <w:sz w:val="26"/>
          <w:szCs w:val="26"/>
        </w:rPr>
      </w:pPr>
      <w:r>
        <w:rPr>
          <w:rFonts w:ascii="Century Schoolbook" w:eastAsia="Calibri" w:hAnsi="Century Schoolbook"/>
          <w:b/>
          <w:bCs/>
          <w:sz w:val="26"/>
          <w:szCs w:val="26"/>
          <w:u w:val="single"/>
        </w:rPr>
        <w:t>CERTIFIED FOR PUBLICATION</w:t>
      </w:r>
      <w:r w:rsidRPr="001528F1">
        <w:rPr>
          <w:rFonts w:ascii="Century Schoolbook" w:eastAsia="Calibri" w:hAnsi="Century Schoolbook"/>
          <w:sz w:val="26"/>
          <w:szCs w:val="26"/>
        </w:rPr>
        <w:t>.</w:t>
      </w:r>
    </w:p>
    <w:p w14:paraId="668687C5" w14:textId="77777777" w:rsidR="001528F1" w:rsidRPr="001528F1" w:rsidRDefault="001528F1" w:rsidP="009D48F1">
      <w:pPr>
        <w:ind w:firstLine="720"/>
        <w:rPr>
          <w:rFonts w:ascii="Century Schoolbook" w:eastAsia="Calibri" w:hAnsi="Century Schoolbook"/>
          <w:sz w:val="26"/>
          <w:szCs w:val="26"/>
        </w:rPr>
      </w:pPr>
    </w:p>
    <w:p w14:paraId="52136C47" w14:textId="77777777" w:rsidR="001528F1" w:rsidRPr="001528F1" w:rsidRDefault="001528F1" w:rsidP="009D48F1">
      <w:pPr>
        <w:ind w:firstLine="720"/>
        <w:rPr>
          <w:rFonts w:ascii="Century Schoolbook" w:eastAsia="Calibri" w:hAnsi="Century Schoolbook"/>
          <w:sz w:val="26"/>
          <w:szCs w:val="26"/>
        </w:rPr>
      </w:pPr>
    </w:p>
    <w:p w14:paraId="4E2DC638" w14:textId="77777777" w:rsidR="001528F1" w:rsidRPr="001528F1" w:rsidRDefault="009A7CC9" w:rsidP="009D48F1">
      <w:pPr>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______________________, J.</w:t>
      </w:r>
    </w:p>
    <w:p w14:paraId="01DB64B4" w14:textId="31D15117" w:rsidR="001528F1" w:rsidRPr="001528F1" w:rsidRDefault="009A7CC9" w:rsidP="009D48F1">
      <w:pPr>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HOFFSTADT</w:t>
      </w:r>
    </w:p>
    <w:p w14:paraId="58B30DD4" w14:textId="77777777" w:rsidR="001528F1" w:rsidRPr="001528F1" w:rsidRDefault="009A7CC9" w:rsidP="009D48F1">
      <w:pPr>
        <w:widowControl w:val="0"/>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14:paraId="68265FF2" w14:textId="77777777" w:rsidR="001528F1" w:rsidRPr="001528F1" w:rsidRDefault="001528F1" w:rsidP="009D48F1">
      <w:pPr>
        <w:widowControl w:val="0"/>
        <w:rPr>
          <w:rFonts w:ascii="Century Schoolbook" w:eastAsia="Century Schoolbook" w:hAnsi="Century Schoolbook" w:cs="Century Schoolbook"/>
          <w:color w:val="000000"/>
          <w:sz w:val="26"/>
          <w:szCs w:val="26"/>
        </w:rPr>
      </w:pPr>
    </w:p>
    <w:p w14:paraId="233BC745" w14:textId="77777777" w:rsidR="001528F1" w:rsidRPr="001528F1" w:rsidRDefault="001528F1" w:rsidP="009D48F1">
      <w:pPr>
        <w:widowControl w:val="0"/>
        <w:rPr>
          <w:rFonts w:ascii="Century Schoolbook" w:eastAsia="Century Schoolbook" w:hAnsi="Century Schoolbook" w:cs="Century Schoolbook"/>
          <w:color w:val="000000"/>
          <w:sz w:val="26"/>
          <w:szCs w:val="26"/>
        </w:rPr>
      </w:pPr>
    </w:p>
    <w:p w14:paraId="47585B50" w14:textId="1E5F2214" w:rsidR="001528F1" w:rsidRPr="001528F1" w:rsidRDefault="009A7CC9" w:rsidP="009D48F1">
      <w:pPr>
        <w:widowControl w:val="0"/>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 xml:space="preserve">_________________________, </w:t>
      </w:r>
      <w:r w:rsidR="00227B2E">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14:paraId="23B3DD36" w14:textId="1B441826" w:rsidR="001528F1" w:rsidRPr="001528F1" w:rsidRDefault="009A7CC9" w:rsidP="009D48F1">
      <w:pPr>
        <w:widowControl w:val="0"/>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 </w:t>
      </w:r>
      <w:r w:rsidR="006A24EF">
        <w:rPr>
          <w:rFonts w:ascii="Century Schoolbook" w:eastAsia="Century Schoolbook" w:hAnsi="Century Schoolbook" w:cs="Century Schoolbook"/>
          <w:color w:val="000000"/>
          <w:sz w:val="26"/>
          <w:szCs w:val="26"/>
        </w:rPr>
        <w:t>LUI</w:t>
      </w:r>
    </w:p>
    <w:p w14:paraId="463A2F97" w14:textId="77777777" w:rsidR="001528F1" w:rsidRPr="001528F1" w:rsidRDefault="001528F1" w:rsidP="009D48F1">
      <w:pPr>
        <w:widowControl w:val="0"/>
        <w:rPr>
          <w:rFonts w:ascii="Century Schoolbook" w:eastAsia="Century Schoolbook" w:hAnsi="Century Schoolbook" w:cs="Century Schoolbook"/>
          <w:color w:val="000000"/>
          <w:sz w:val="26"/>
          <w:szCs w:val="26"/>
        </w:rPr>
      </w:pPr>
    </w:p>
    <w:p w14:paraId="41409EEE" w14:textId="77777777" w:rsidR="001528F1" w:rsidRPr="001528F1" w:rsidRDefault="001528F1" w:rsidP="009D48F1">
      <w:pPr>
        <w:widowControl w:val="0"/>
        <w:rPr>
          <w:rFonts w:ascii="Century Schoolbook" w:eastAsia="Century Schoolbook" w:hAnsi="Century Schoolbook" w:cs="Century Schoolbook"/>
          <w:color w:val="000000"/>
          <w:sz w:val="26"/>
          <w:szCs w:val="26"/>
        </w:rPr>
      </w:pPr>
    </w:p>
    <w:p w14:paraId="671DD997" w14:textId="77777777" w:rsidR="001528F1" w:rsidRPr="001528F1" w:rsidRDefault="009A7CC9" w:rsidP="009D48F1">
      <w:pPr>
        <w:widowControl w:val="0"/>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 J.</w:t>
      </w:r>
    </w:p>
    <w:p w14:paraId="204E120E" w14:textId="30DAAE6D" w:rsidR="003710FF" w:rsidRDefault="009A7CC9" w:rsidP="009D48F1">
      <w:pPr>
        <w:rPr>
          <w:rFonts w:ascii="Century Schoolbook" w:hAnsi="Century Schoolbook"/>
          <w:sz w:val="26"/>
          <w:szCs w:val="26"/>
        </w:rPr>
      </w:pPr>
      <w:r>
        <w:rPr>
          <w:rFonts w:ascii="Century Schoolbook" w:eastAsia="Century Schoolbook" w:hAnsi="Century Schoolbook" w:cs="Century Schoolbook"/>
          <w:sz w:val="26"/>
          <w:szCs w:val="26"/>
        </w:rPr>
        <w:t xml:space="preserve"> </w:t>
      </w:r>
      <w:r w:rsidR="006A24EF">
        <w:rPr>
          <w:rFonts w:ascii="Century Schoolbook" w:eastAsia="Century Schoolbook" w:hAnsi="Century Schoolbook" w:cs="Century Schoolbook"/>
          <w:sz w:val="26"/>
          <w:szCs w:val="26"/>
        </w:rPr>
        <w:t>ASHMANN-GERST</w:t>
      </w:r>
      <w:bookmarkEnd w:id="0"/>
    </w:p>
    <w:sectPr w:rsidR="003710FF" w:rsidSect="00C21DA9">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BF82" w14:textId="77777777" w:rsidR="009A7CC9" w:rsidRDefault="009A7CC9">
      <w:r>
        <w:separator/>
      </w:r>
    </w:p>
  </w:endnote>
  <w:endnote w:type="continuationSeparator" w:id="0">
    <w:p w14:paraId="6AF34A08" w14:textId="77777777" w:rsidR="009A7CC9" w:rsidRDefault="009A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77613"/>
      <w:docPartObj>
        <w:docPartGallery w:val="Page Numbers (Bottom of Page)"/>
        <w:docPartUnique/>
      </w:docPartObj>
    </w:sdtPr>
    <w:sdtEndPr>
      <w:rPr>
        <w:rFonts w:ascii="Century Schoolbook" w:hAnsi="Century Schoolbook"/>
        <w:noProof/>
        <w:sz w:val="26"/>
        <w:szCs w:val="26"/>
      </w:rPr>
    </w:sdtEndPr>
    <w:sdtContent>
      <w:p w14:paraId="74596096" w14:textId="2F2807F3" w:rsidR="001F0B32" w:rsidRPr="00F560FD" w:rsidRDefault="009A7CC9">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14:paraId="6D857418" w14:textId="77777777" w:rsidR="001F0B32" w:rsidRDefault="001F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D171" w14:textId="50624BBC" w:rsidR="00C21DA9" w:rsidRPr="00ED7C99" w:rsidRDefault="009A7CC9" w:rsidP="00ED7C99">
      <w:r>
        <w:continuationSeparator/>
      </w:r>
    </w:p>
  </w:footnote>
  <w:footnote w:type="continuationSeparator" w:id="0">
    <w:p w14:paraId="211B8EB8" w14:textId="77777777" w:rsidR="00C21DA9" w:rsidRDefault="009A7CC9" w:rsidP="00DA5C42">
      <w:r>
        <w:continuationSeparator/>
      </w:r>
    </w:p>
  </w:footnote>
  <w:footnote w:id="1">
    <w:p w14:paraId="42585B78" w14:textId="77777777" w:rsidR="002F4B2B" w:rsidRPr="00873BA2" w:rsidRDefault="009A7CC9" w:rsidP="002F4B2B">
      <w:pPr>
        <w:pStyle w:val="FootnoteText"/>
        <w:rPr>
          <w:rFonts w:ascii="Century Schoolbook" w:hAnsi="Century Schoolbook"/>
          <w:sz w:val="26"/>
          <w:szCs w:val="26"/>
        </w:rPr>
      </w:pPr>
      <w:r w:rsidRPr="00CC76C9">
        <w:rPr>
          <w:rStyle w:val="FootnoteReference"/>
          <w:rFonts w:ascii="Century Schoolbook" w:hAnsi="Century Schoolbook"/>
          <w:b/>
          <w:bCs/>
          <w:sz w:val="20"/>
          <w:vertAlign w:val="baseline"/>
        </w:rPr>
        <w:footnoteRef/>
      </w:r>
      <w:r w:rsidRPr="00CC76C9">
        <w:rPr>
          <w:rFonts w:ascii="Century Schoolbook" w:hAnsi="Century Schoolbook"/>
          <w:b/>
          <w:bCs/>
        </w:rPr>
        <w:t xml:space="preserve"> </w:t>
      </w:r>
      <w:r>
        <w:tab/>
      </w:r>
      <w:r w:rsidRPr="00873BA2">
        <w:rPr>
          <w:rFonts w:ascii="Century Schoolbook" w:hAnsi="Century Schoolbook"/>
          <w:sz w:val="26"/>
          <w:szCs w:val="26"/>
        </w:rPr>
        <w:t>All further statutory references are to the Welfare and Institutions Code unless otherwise indicated.</w:t>
      </w:r>
    </w:p>
  </w:footnote>
  <w:footnote w:id="2">
    <w:p w14:paraId="0490D12D" w14:textId="2055EFF7" w:rsidR="002F4B2B" w:rsidRPr="00474AFD"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474AFD">
        <w:rPr>
          <w:rFonts w:ascii="Century Schoolbook" w:hAnsi="Century Schoolbook"/>
          <w:sz w:val="26"/>
          <w:szCs w:val="26"/>
        </w:rPr>
        <w:t xml:space="preserve">Five </w:t>
      </w:r>
      <w:r>
        <w:rPr>
          <w:rFonts w:ascii="Century Schoolbook" w:hAnsi="Century Schoolbook"/>
          <w:sz w:val="26"/>
          <w:szCs w:val="26"/>
        </w:rPr>
        <w:t xml:space="preserve">of the </w:t>
      </w:r>
      <w:r w:rsidRPr="00474AFD">
        <w:rPr>
          <w:rFonts w:ascii="Century Schoolbook" w:hAnsi="Century Schoolbook"/>
          <w:sz w:val="26"/>
          <w:szCs w:val="26"/>
        </w:rPr>
        <w:t xml:space="preserve">complaints </w:t>
      </w:r>
      <w:r>
        <w:rPr>
          <w:rFonts w:ascii="Century Schoolbook" w:hAnsi="Century Schoolbook"/>
          <w:sz w:val="26"/>
          <w:szCs w:val="26"/>
        </w:rPr>
        <w:t xml:space="preserve">during that </w:t>
      </w:r>
      <w:r w:rsidR="004B652D">
        <w:rPr>
          <w:rFonts w:ascii="Century Schoolbook" w:hAnsi="Century Schoolbook"/>
          <w:sz w:val="26"/>
          <w:szCs w:val="26"/>
        </w:rPr>
        <w:t>period</w:t>
      </w:r>
      <w:r>
        <w:rPr>
          <w:rFonts w:ascii="Century Schoolbook" w:hAnsi="Century Schoolbook"/>
          <w:sz w:val="26"/>
          <w:szCs w:val="26"/>
        </w:rPr>
        <w:t xml:space="preserve"> </w:t>
      </w:r>
      <w:r w:rsidRPr="00474AFD">
        <w:rPr>
          <w:rFonts w:ascii="Century Schoolbook" w:hAnsi="Century Schoolbook"/>
          <w:sz w:val="26"/>
          <w:szCs w:val="26"/>
        </w:rPr>
        <w:t xml:space="preserve">dealt with consumers causing physical injury to one another or to </w:t>
      </w:r>
      <w:r w:rsidRPr="00474AFD">
        <w:rPr>
          <w:rFonts w:ascii="Century Schoolbook" w:hAnsi="Century Schoolbook"/>
          <w:sz w:val="26"/>
          <w:szCs w:val="26"/>
        </w:rPr>
        <w:t>themselves, and one dealt with a driver pulling back the waistband of a consumer’s pants to show a</w:t>
      </w:r>
      <w:r w:rsidR="0062796D">
        <w:rPr>
          <w:rFonts w:ascii="Century Schoolbook" w:hAnsi="Century Schoolbook"/>
          <w:sz w:val="26"/>
          <w:szCs w:val="26"/>
        </w:rPr>
        <w:t>n education program</w:t>
      </w:r>
      <w:r w:rsidRPr="00474AFD">
        <w:rPr>
          <w:rFonts w:ascii="Century Schoolbook" w:hAnsi="Century Schoolbook"/>
          <w:sz w:val="26"/>
          <w:szCs w:val="26"/>
        </w:rPr>
        <w:t xml:space="preserve"> vendor that the consumer had defecated in his pants when the </w:t>
      </w:r>
      <w:r w:rsidR="004B652D">
        <w:rPr>
          <w:rFonts w:ascii="Century Schoolbook" w:hAnsi="Century Schoolbook"/>
          <w:sz w:val="26"/>
          <w:szCs w:val="26"/>
        </w:rPr>
        <w:t>program</w:t>
      </w:r>
      <w:r w:rsidR="004B652D" w:rsidRPr="00474AFD">
        <w:rPr>
          <w:rFonts w:ascii="Century Schoolbook" w:hAnsi="Century Schoolbook"/>
          <w:sz w:val="26"/>
          <w:szCs w:val="26"/>
        </w:rPr>
        <w:t xml:space="preserve"> </w:t>
      </w:r>
      <w:r w:rsidRPr="00474AFD">
        <w:rPr>
          <w:rFonts w:ascii="Century Schoolbook" w:hAnsi="Century Schoolbook"/>
          <w:sz w:val="26"/>
          <w:szCs w:val="26"/>
        </w:rPr>
        <w:t xml:space="preserve">vendor refused to believe the driver.  </w:t>
      </w:r>
      <w:r w:rsidR="00AB417E">
        <w:rPr>
          <w:rFonts w:ascii="Century Schoolbook" w:hAnsi="Century Schoolbook"/>
          <w:sz w:val="26"/>
          <w:szCs w:val="26"/>
        </w:rPr>
        <w:t>A</w:t>
      </w:r>
      <w:r>
        <w:rPr>
          <w:rFonts w:ascii="Century Schoolbook" w:hAnsi="Century Schoolbook"/>
          <w:sz w:val="26"/>
          <w:szCs w:val="26"/>
        </w:rPr>
        <w:t>fter</w:t>
      </w:r>
      <w:r w:rsidRPr="00474AFD">
        <w:rPr>
          <w:rFonts w:ascii="Century Schoolbook" w:hAnsi="Century Schoolbook"/>
          <w:sz w:val="26"/>
          <w:szCs w:val="26"/>
        </w:rPr>
        <w:t xml:space="preserve"> </w:t>
      </w:r>
      <w:r w:rsidR="004B652D">
        <w:rPr>
          <w:rFonts w:ascii="Century Schoolbook" w:hAnsi="Century Schoolbook"/>
          <w:sz w:val="26"/>
          <w:szCs w:val="26"/>
        </w:rPr>
        <w:t xml:space="preserve">the </w:t>
      </w:r>
      <w:r w:rsidRPr="00474AFD">
        <w:rPr>
          <w:rFonts w:ascii="Century Schoolbook" w:hAnsi="Century Schoolbook"/>
          <w:sz w:val="26"/>
          <w:szCs w:val="26"/>
        </w:rPr>
        <w:t>incident at issue in</w:t>
      </w:r>
      <w:r w:rsidRPr="00474AFD">
        <w:rPr>
          <w:rFonts w:ascii="Century Schoolbook" w:hAnsi="Century Schoolbook"/>
          <w:sz w:val="26"/>
          <w:szCs w:val="26"/>
        </w:rPr>
        <w:t xml:space="preserve"> this case, the Regional Center received a February 2020 complaint that a consumer </w:t>
      </w:r>
      <w:r w:rsidR="00EE277C">
        <w:rPr>
          <w:rFonts w:ascii="Century Schoolbook" w:hAnsi="Century Schoolbook"/>
          <w:sz w:val="26"/>
          <w:szCs w:val="26"/>
        </w:rPr>
        <w:t xml:space="preserve">required three stitches after </w:t>
      </w:r>
      <w:r w:rsidRPr="00474AFD">
        <w:rPr>
          <w:rFonts w:ascii="Century Schoolbook" w:hAnsi="Century Schoolbook"/>
          <w:sz w:val="26"/>
          <w:szCs w:val="26"/>
        </w:rPr>
        <w:t xml:space="preserve">a Round Trip bus </w:t>
      </w:r>
      <w:r w:rsidR="00EE277C">
        <w:rPr>
          <w:rFonts w:ascii="Century Schoolbook" w:hAnsi="Century Schoolbook"/>
          <w:sz w:val="26"/>
          <w:szCs w:val="26"/>
        </w:rPr>
        <w:t>driver observed an abrasion on his head</w:t>
      </w:r>
      <w:r w:rsidRPr="00474AFD">
        <w:rPr>
          <w:rFonts w:ascii="Century Schoolbook" w:hAnsi="Century Schoolbook"/>
          <w:sz w:val="26"/>
          <w:szCs w:val="26"/>
        </w:rPr>
        <w:t xml:space="preserve"> and a March 2020 complaint from a woman who said she had heard from one of her friends</w:t>
      </w:r>
      <w:r w:rsidRPr="00474AFD">
        <w:rPr>
          <w:rFonts w:ascii="Century Schoolbook" w:hAnsi="Century Schoolbook"/>
          <w:sz w:val="26"/>
          <w:szCs w:val="26"/>
        </w:rPr>
        <w:t xml:space="preserve"> that the friend’s relative had been groped by a Round Trip bus driver.</w:t>
      </w:r>
    </w:p>
  </w:footnote>
  <w:footnote w:id="3">
    <w:p w14:paraId="432334E7" w14:textId="21BD5027" w:rsidR="002F4B2B" w:rsidRPr="007A4321"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00450901">
        <w:rPr>
          <w:rFonts w:ascii="Century Schoolbook" w:hAnsi="Century Schoolbook"/>
          <w:sz w:val="26"/>
          <w:szCs w:val="26"/>
        </w:rPr>
        <w:t>In t</w:t>
      </w:r>
      <w:r w:rsidRPr="007A4321">
        <w:rPr>
          <w:rFonts w:ascii="Century Schoolbook" w:hAnsi="Century Schoolbook"/>
          <w:sz w:val="26"/>
          <w:szCs w:val="26"/>
        </w:rPr>
        <w:t>he operative complaint</w:t>
      </w:r>
      <w:r w:rsidR="00450901">
        <w:rPr>
          <w:rFonts w:ascii="Century Schoolbook" w:hAnsi="Century Schoolbook"/>
          <w:sz w:val="26"/>
          <w:szCs w:val="26"/>
        </w:rPr>
        <w:t xml:space="preserve">, A.L. </w:t>
      </w:r>
      <w:r w:rsidRPr="007A4321">
        <w:rPr>
          <w:rFonts w:ascii="Century Schoolbook" w:hAnsi="Century Schoolbook"/>
          <w:sz w:val="26"/>
          <w:szCs w:val="26"/>
        </w:rPr>
        <w:t xml:space="preserve">also sued Round Trip and Ocampo for (1) battery, (2) negligence, (3) violations of the </w:t>
      </w:r>
      <w:r w:rsidR="00EC2929">
        <w:rPr>
          <w:rFonts w:ascii="Century Schoolbook" w:hAnsi="Century Schoolbook"/>
          <w:sz w:val="26"/>
          <w:szCs w:val="26"/>
        </w:rPr>
        <w:t xml:space="preserve">Tom </w:t>
      </w:r>
      <w:r w:rsidRPr="007A4321">
        <w:rPr>
          <w:rFonts w:ascii="Century Schoolbook" w:hAnsi="Century Schoolbook"/>
          <w:sz w:val="26"/>
          <w:szCs w:val="26"/>
        </w:rPr>
        <w:t xml:space="preserve">Bane </w:t>
      </w:r>
      <w:r w:rsidR="00EC2929">
        <w:rPr>
          <w:rFonts w:ascii="Century Schoolbook" w:hAnsi="Century Schoolbook"/>
          <w:sz w:val="26"/>
          <w:szCs w:val="26"/>
        </w:rPr>
        <w:t xml:space="preserve">Civil Rights </w:t>
      </w:r>
      <w:r w:rsidRPr="007A4321">
        <w:rPr>
          <w:rFonts w:ascii="Century Schoolbook" w:hAnsi="Century Schoolbook"/>
          <w:sz w:val="26"/>
          <w:szCs w:val="26"/>
        </w:rPr>
        <w:t xml:space="preserve">Act (Civ. Code, §§ 52.1, 52), and </w:t>
      </w:r>
      <w:r w:rsidRPr="007A4321">
        <w:rPr>
          <w:rFonts w:ascii="Century Schoolbook" w:hAnsi="Century Schoolbook"/>
          <w:sz w:val="26"/>
          <w:szCs w:val="26"/>
        </w:rPr>
        <w:t>(4) violations of the Ralph</w:t>
      </w:r>
      <w:r w:rsidR="00EC2929">
        <w:rPr>
          <w:rFonts w:ascii="Century Schoolbook" w:hAnsi="Century Schoolbook"/>
          <w:sz w:val="26"/>
          <w:szCs w:val="26"/>
        </w:rPr>
        <w:t xml:space="preserve"> Civil Rights</w:t>
      </w:r>
      <w:r w:rsidRPr="007A4321">
        <w:rPr>
          <w:rFonts w:ascii="Century Schoolbook" w:hAnsi="Century Schoolbook"/>
          <w:sz w:val="26"/>
          <w:szCs w:val="26"/>
        </w:rPr>
        <w:t xml:space="preserve"> Act</w:t>
      </w:r>
      <w:r w:rsidR="00EC2929">
        <w:rPr>
          <w:rFonts w:ascii="Century Schoolbook" w:hAnsi="Century Schoolbook"/>
          <w:sz w:val="26"/>
          <w:szCs w:val="26"/>
        </w:rPr>
        <w:t xml:space="preserve"> of 1976</w:t>
      </w:r>
      <w:r w:rsidRPr="007A4321">
        <w:rPr>
          <w:rFonts w:ascii="Century Schoolbook" w:hAnsi="Century Schoolbook"/>
          <w:sz w:val="26"/>
          <w:szCs w:val="26"/>
        </w:rPr>
        <w:t xml:space="preserve"> (</w:t>
      </w:r>
      <w:r w:rsidRPr="007A4321">
        <w:rPr>
          <w:rFonts w:ascii="Century Schoolbook" w:hAnsi="Century Schoolbook"/>
          <w:i/>
          <w:iCs/>
          <w:sz w:val="26"/>
          <w:szCs w:val="26"/>
        </w:rPr>
        <w:t>id.</w:t>
      </w:r>
      <w:r w:rsidRPr="007A4321">
        <w:rPr>
          <w:rFonts w:ascii="Century Schoolbook" w:hAnsi="Century Schoolbook"/>
          <w:sz w:val="26"/>
          <w:szCs w:val="26"/>
        </w:rPr>
        <w:t>, § 51.7).</w:t>
      </w:r>
    </w:p>
  </w:footnote>
  <w:footnote w:id="4">
    <w:p w14:paraId="2652B873" w14:textId="76B8A229" w:rsidR="00AB417E"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7A4321">
        <w:rPr>
          <w:rFonts w:ascii="Century Schoolbook" w:hAnsi="Century Schoolbook"/>
          <w:sz w:val="26"/>
          <w:szCs w:val="26"/>
        </w:rPr>
        <w:t>By this time, the trial court had overruled a demurrer on the same ground.</w:t>
      </w:r>
    </w:p>
    <w:p w14:paraId="184B4CCB" w14:textId="77777777" w:rsidR="00013EEA" w:rsidRPr="007A4321" w:rsidRDefault="00013EEA" w:rsidP="002F4B2B">
      <w:pPr>
        <w:pStyle w:val="FootnoteText"/>
        <w:rPr>
          <w:rFonts w:ascii="Century Schoolbook" w:hAnsi="Century Schoolbook"/>
          <w:sz w:val="26"/>
          <w:szCs w:val="26"/>
        </w:rPr>
      </w:pPr>
    </w:p>
  </w:footnote>
  <w:footnote w:id="5">
    <w:p w14:paraId="6456DF04" w14:textId="6CEFC623" w:rsidR="002F4B2B" w:rsidRPr="00610A42"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t xml:space="preserve"> </w:t>
      </w:r>
      <w:r>
        <w:tab/>
      </w:r>
      <w:r w:rsidRPr="00610A42">
        <w:rPr>
          <w:rFonts w:ascii="Century Schoolbook" w:hAnsi="Century Schoolbook"/>
          <w:sz w:val="26"/>
          <w:szCs w:val="26"/>
        </w:rPr>
        <w:t xml:space="preserve">The trial court had initially granted summary judgment for Round </w:t>
      </w:r>
      <w:proofErr w:type="gramStart"/>
      <w:r w:rsidRPr="00610A42">
        <w:rPr>
          <w:rFonts w:ascii="Century Schoolbook" w:hAnsi="Century Schoolbook"/>
          <w:sz w:val="26"/>
          <w:szCs w:val="26"/>
        </w:rPr>
        <w:t>Trip, but</w:t>
      </w:r>
      <w:proofErr w:type="gramEnd"/>
      <w:r w:rsidRPr="00610A42">
        <w:rPr>
          <w:rFonts w:ascii="Century Schoolbook" w:hAnsi="Century Schoolbook"/>
          <w:sz w:val="26"/>
          <w:szCs w:val="26"/>
        </w:rPr>
        <w:t xml:space="preserve"> granted </w:t>
      </w:r>
      <w:r w:rsidR="00D86C60">
        <w:rPr>
          <w:rFonts w:ascii="Century Schoolbook" w:hAnsi="Century Schoolbook"/>
          <w:sz w:val="26"/>
          <w:szCs w:val="26"/>
        </w:rPr>
        <w:t xml:space="preserve">plaintiff’s motion for </w:t>
      </w:r>
      <w:r w:rsidRPr="00610A42">
        <w:rPr>
          <w:rFonts w:ascii="Century Schoolbook" w:hAnsi="Century Schoolbook"/>
          <w:sz w:val="26"/>
          <w:szCs w:val="26"/>
        </w:rPr>
        <w:t xml:space="preserve">a new trial </w:t>
      </w:r>
      <w:r w:rsidR="00D86C60">
        <w:rPr>
          <w:rFonts w:ascii="Century Schoolbook" w:hAnsi="Century Schoolbook"/>
          <w:sz w:val="26"/>
          <w:szCs w:val="26"/>
        </w:rPr>
        <w:t xml:space="preserve">as to </w:t>
      </w:r>
      <w:r w:rsidRPr="00610A42">
        <w:rPr>
          <w:rFonts w:ascii="Century Schoolbook" w:hAnsi="Century Schoolbook"/>
          <w:sz w:val="26"/>
          <w:szCs w:val="26"/>
        </w:rPr>
        <w:t>that judgment.</w:t>
      </w:r>
    </w:p>
  </w:footnote>
  <w:footnote w:id="6">
    <w:p w14:paraId="3310E780" w14:textId="77777777" w:rsidR="002F4B2B" w:rsidRPr="00C80CFA"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C80CFA">
        <w:rPr>
          <w:rFonts w:ascii="Century Schoolbook" w:hAnsi="Century Schoolbook"/>
          <w:sz w:val="26"/>
          <w:szCs w:val="26"/>
        </w:rPr>
        <w:t xml:space="preserve">As a result, we will not address the parties’ arguments regarding </w:t>
      </w:r>
      <w:r>
        <w:rPr>
          <w:rFonts w:ascii="Century Schoolbook" w:hAnsi="Century Schoolbook"/>
          <w:sz w:val="26"/>
          <w:szCs w:val="26"/>
        </w:rPr>
        <w:t xml:space="preserve">alleged errors in the </w:t>
      </w:r>
      <w:r w:rsidRPr="00C80CFA">
        <w:rPr>
          <w:rFonts w:ascii="Century Schoolbook" w:hAnsi="Century Schoolbook"/>
          <w:sz w:val="26"/>
          <w:szCs w:val="26"/>
        </w:rPr>
        <w:t>trial court’s reasoning</w:t>
      </w:r>
      <w:r>
        <w:rPr>
          <w:rFonts w:ascii="Century Schoolbook" w:hAnsi="Century Schoolbook"/>
          <w:sz w:val="26"/>
          <w:szCs w:val="26"/>
        </w:rPr>
        <w:t>.</w:t>
      </w:r>
    </w:p>
  </w:footnote>
  <w:footnote w:id="7">
    <w:p w14:paraId="2A8DE242" w14:textId="3C12D8D5" w:rsidR="002F4B2B" w:rsidRPr="00D2093C"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D2093C">
        <w:rPr>
          <w:rFonts w:ascii="Century Schoolbook" w:hAnsi="Century Schoolbook"/>
          <w:sz w:val="26"/>
          <w:szCs w:val="26"/>
        </w:rPr>
        <w:t>Those services</w:t>
      </w:r>
      <w:r w:rsidR="00F21B39">
        <w:rPr>
          <w:rFonts w:ascii="Century Schoolbook" w:hAnsi="Century Schoolbook"/>
          <w:sz w:val="26"/>
          <w:szCs w:val="26"/>
        </w:rPr>
        <w:t xml:space="preserve"> and support</w:t>
      </w:r>
      <w:r w:rsidRPr="00D2093C">
        <w:rPr>
          <w:rFonts w:ascii="Century Schoolbook" w:hAnsi="Century Schoolbook"/>
          <w:sz w:val="26"/>
          <w:szCs w:val="26"/>
        </w:rPr>
        <w:t xml:space="preserve"> include, but are not limited, to “diagnosis, evaluation, treatment, personal care, daycare, domiciliary care, special living arrangements, physical, occupational, and speech therapy, training, education, supported and sheltered employment, mental health s</w:t>
      </w:r>
      <w:r w:rsidRPr="00D2093C">
        <w:rPr>
          <w:rFonts w:ascii="Century Schoolbook" w:hAnsi="Century Schoolbook"/>
          <w:sz w:val="26"/>
          <w:szCs w:val="26"/>
        </w:rPr>
        <w:t xml:space="preserve">ervices, recreation, counseling of the [consumer] and </w:t>
      </w:r>
      <w:r w:rsidR="008C7CF7">
        <w:rPr>
          <w:rFonts w:ascii="Century Schoolbook" w:hAnsi="Century Schoolbook"/>
          <w:sz w:val="26"/>
          <w:szCs w:val="26"/>
        </w:rPr>
        <w:t xml:space="preserve">of </w:t>
      </w:r>
      <w:r w:rsidRPr="00D2093C">
        <w:rPr>
          <w:rFonts w:ascii="Century Schoolbook" w:hAnsi="Century Schoolbook"/>
          <w:sz w:val="26"/>
          <w:szCs w:val="26"/>
        </w:rPr>
        <w:t>the [consumer’s] family, protective and other social and sociolegal services, information and referral services, follow-along services, adaptive equipment and supplies, advocacy assistance, including</w:t>
      </w:r>
      <w:r w:rsidRPr="00D2093C">
        <w:rPr>
          <w:rFonts w:ascii="Century Schoolbook" w:hAnsi="Century Schoolbook"/>
          <w:sz w:val="26"/>
          <w:szCs w:val="26"/>
        </w:rPr>
        <w:t xml:space="preserve"> self-advocacy training, facilitation and peer advocates, assessment, assistance in locating a home, childcare, behavior training and behavior modification programs, camping, community integration services, community support, daily living skills training, </w:t>
      </w:r>
      <w:r w:rsidRPr="00D2093C">
        <w:rPr>
          <w:rFonts w:ascii="Century Schoolbook" w:hAnsi="Century Schoolbook"/>
          <w:sz w:val="26"/>
          <w:szCs w:val="26"/>
        </w:rPr>
        <w:t xml:space="preserve">emergency and crisis intervention, facilitating circles of support, habilitation, homemaker services, infant stimulation programs, paid roommates, paid neighbors, respite, short-term out-of-home care, social skills training, specialized medical and dental </w:t>
      </w:r>
      <w:r w:rsidRPr="00D2093C">
        <w:rPr>
          <w:rFonts w:ascii="Century Schoolbook" w:hAnsi="Century Schoolbook"/>
          <w:sz w:val="26"/>
          <w:szCs w:val="26"/>
        </w:rPr>
        <w:t>care, telehealth services and supports</w:t>
      </w:r>
      <w:r w:rsidR="007D6C39">
        <w:rPr>
          <w:rFonts w:ascii="Century Schoolbook" w:hAnsi="Century Schoolbook"/>
          <w:sz w:val="26"/>
          <w:szCs w:val="26"/>
        </w:rPr>
        <w:t>,</w:t>
      </w:r>
      <w:r w:rsidRPr="00D2093C">
        <w:rPr>
          <w:rFonts w:ascii="Century Schoolbook" w:hAnsi="Century Schoolbook"/>
          <w:sz w:val="26"/>
          <w:szCs w:val="26"/>
        </w:rPr>
        <w:t xml:space="preserve"> . . . supported living arrangements, technical and financial assistance, travel training, training for parents of [consumers], </w:t>
      </w:r>
      <w:r w:rsidR="007D6C39">
        <w:rPr>
          <w:rFonts w:ascii="Century Schoolbook" w:hAnsi="Century Schoolbook"/>
          <w:sz w:val="26"/>
          <w:szCs w:val="26"/>
        </w:rPr>
        <w:t xml:space="preserve">training for [consumers who are] parents . . . , </w:t>
      </w:r>
      <w:r w:rsidRPr="00D2093C">
        <w:rPr>
          <w:rFonts w:ascii="Century Schoolbook" w:hAnsi="Century Schoolbook"/>
          <w:sz w:val="26"/>
          <w:szCs w:val="26"/>
        </w:rPr>
        <w:t xml:space="preserve">vouchers, </w:t>
      </w:r>
      <w:r w:rsidRPr="00D2093C">
        <w:rPr>
          <w:rFonts w:ascii="Century Schoolbook" w:hAnsi="Century Schoolbook"/>
          <w:i/>
          <w:iCs/>
          <w:sz w:val="26"/>
          <w:szCs w:val="26"/>
        </w:rPr>
        <w:t>and transportation services ne</w:t>
      </w:r>
      <w:r w:rsidRPr="00D2093C">
        <w:rPr>
          <w:rFonts w:ascii="Century Schoolbook" w:hAnsi="Century Schoolbook"/>
          <w:i/>
          <w:iCs/>
          <w:sz w:val="26"/>
          <w:szCs w:val="26"/>
        </w:rPr>
        <w:t>cessary to ensure delivery of services to [consumers]</w:t>
      </w:r>
      <w:r w:rsidRPr="00D2093C">
        <w:rPr>
          <w:rFonts w:ascii="Century Schoolbook" w:hAnsi="Century Schoolbook"/>
          <w:sz w:val="26"/>
          <w:szCs w:val="26"/>
        </w:rPr>
        <w:t>.”  (§ 4512, subd. (b)</w:t>
      </w:r>
      <w:r>
        <w:rPr>
          <w:rFonts w:ascii="Century Schoolbook" w:hAnsi="Century Schoolbook"/>
          <w:sz w:val="26"/>
          <w:szCs w:val="26"/>
        </w:rPr>
        <w:t>, italics added</w:t>
      </w:r>
      <w:r w:rsidRPr="00D2093C">
        <w:rPr>
          <w:rFonts w:ascii="Century Schoolbook" w:hAnsi="Century Schoolbook"/>
          <w:sz w:val="26"/>
          <w:szCs w:val="26"/>
        </w:rPr>
        <w:t>.)</w:t>
      </w:r>
    </w:p>
  </w:footnote>
  <w:footnote w:id="8">
    <w:p w14:paraId="202DBFC4" w14:textId="60D97350" w:rsidR="002F4B2B" w:rsidRPr="003D6149" w:rsidRDefault="009A7CC9" w:rsidP="002F4B2B">
      <w:pPr>
        <w:pStyle w:val="FootnoteText"/>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3D6149">
        <w:rPr>
          <w:rFonts w:ascii="Century Schoolbook" w:hAnsi="Century Schoolbook"/>
          <w:sz w:val="26"/>
          <w:szCs w:val="26"/>
        </w:rPr>
        <w:t xml:space="preserve">The conclusion is the same even if we view a regional center’s coordination of services and support as </w:t>
      </w:r>
      <w:r w:rsidRPr="003D6149">
        <w:rPr>
          <w:rFonts w:ascii="Century Schoolbook" w:hAnsi="Century Schoolbook"/>
          <w:i/>
          <w:iCs/>
          <w:sz w:val="26"/>
          <w:szCs w:val="26"/>
        </w:rPr>
        <w:t>misfeasance</w:t>
      </w:r>
      <w:r w:rsidRPr="003D6149">
        <w:rPr>
          <w:rFonts w:ascii="Century Schoolbook" w:hAnsi="Century Schoolbook"/>
          <w:sz w:val="26"/>
          <w:szCs w:val="26"/>
        </w:rPr>
        <w:t xml:space="preserve">, for </w:t>
      </w:r>
      <w:r>
        <w:rPr>
          <w:rFonts w:ascii="Century Schoolbook" w:hAnsi="Century Schoolbook"/>
          <w:sz w:val="26"/>
          <w:szCs w:val="26"/>
        </w:rPr>
        <w:t>an</w:t>
      </w:r>
      <w:r w:rsidRPr="003D6149">
        <w:rPr>
          <w:rFonts w:ascii="Century Schoolbook" w:hAnsi="Century Schoolbook"/>
          <w:sz w:val="26"/>
          <w:szCs w:val="26"/>
        </w:rPr>
        <w:t xml:space="preserve"> </w:t>
      </w:r>
      <w:r>
        <w:rPr>
          <w:rFonts w:ascii="Century Schoolbook" w:hAnsi="Century Schoolbook"/>
          <w:sz w:val="26"/>
          <w:szCs w:val="26"/>
        </w:rPr>
        <w:t xml:space="preserve">affirmative </w:t>
      </w:r>
      <w:r w:rsidRPr="003D6149">
        <w:rPr>
          <w:rFonts w:ascii="Century Schoolbook" w:hAnsi="Century Schoolbook"/>
          <w:sz w:val="26"/>
          <w:szCs w:val="26"/>
        </w:rPr>
        <w:t xml:space="preserve">act </w:t>
      </w:r>
      <w:r>
        <w:rPr>
          <w:rFonts w:ascii="Century Schoolbook" w:hAnsi="Century Schoolbook"/>
          <w:sz w:val="26"/>
          <w:szCs w:val="26"/>
        </w:rPr>
        <w:t>that places a c</w:t>
      </w:r>
      <w:r w:rsidRPr="003D6149">
        <w:rPr>
          <w:rFonts w:ascii="Century Schoolbook" w:hAnsi="Century Schoolbook"/>
          <w:sz w:val="26"/>
          <w:szCs w:val="26"/>
        </w:rPr>
        <w:t>onsume</w:t>
      </w:r>
      <w:r w:rsidRPr="003D6149">
        <w:rPr>
          <w:rFonts w:ascii="Century Schoolbook" w:hAnsi="Century Schoolbook"/>
          <w:sz w:val="26"/>
          <w:szCs w:val="26"/>
        </w:rPr>
        <w:t xml:space="preserve">r in </w:t>
      </w:r>
      <w:r w:rsidR="00757633">
        <w:rPr>
          <w:rFonts w:ascii="Century Schoolbook" w:hAnsi="Century Schoolbook"/>
          <w:sz w:val="26"/>
          <w:szCs w:val="26"/>
        </w:rPr>
        <w:t>“</w:t>
      </w:r>
      <w:r w:rsidRPr="003D6149">
        <w:rPr>
          <w:rFonts w:ascii="Century Schoolbook" w:hAnsi="Century Schoolbook"/>
          <w:sz w:val="26"/>
          <w:szCs w:val="26"/>
        </w:rPr>
        <w:t>peril” also gives rise to a duty to protect.  (</w:t>
      </w:r>
      <w:r w:rsidRPr="003D6149">
        <w:rPr>
          <w:rFonts w:ascii="Century Schoolbook" w:hAnsi="Century Schoolbook"/>
          <w:i/>
          <w:iCs/>
          <w:sz w:val="26"/>
          <w:szCs w:val="26"/>
        </w:rPr>
        <w:t>Jane Doe No. 1 v. Uber Technologies, Inc.</w:t>
      </w:r>
      <w:r w:rsidRPr="003D6149">
        <w:rPr>
          <w:rFonts w:ascii="Century Schoolbook" w:hAnsi="Century Schoolbook"/>
          <w:sz w:val="26"/>
          <w:szCs w:val="26"/>
        </w:rPr>
        <w:t xml:space="preserve"> (2022) 79 Cal.App.5th 410, 424-425; </w:t>
      </w:r>
      <w:r w:rsidRPr="003D6149">
        <w:rPr>
          <w:rFonts w:ascii="Century Schoolbook" w:hAnsi="Century Schoolbook"/>
          <w:i/>
          <w:iCs/>
          <w:sz w:val="26"/>
          <w:szCs w:val="26"/>
        </w:rPr>
        <w:t>McHenry v. Asylum Entertainment Delaware, LLC</w:t>
      </w:r>
      <w:r w:rsidRPr="003D6149">
        <w:rPr>
          <w:rFonts w:ascii="Century Schoolbook" w:hAnsi="Century Schoolbook"/>
          <w:sz w:val="26"/>
          <w:szCs w:val="26"/>
        </w:rPr>
        <w:t xml:space="preserve"> (2020) 46 Cal.App.5th 469, 485.)</w:t>
      </w:r>
    </w:p>
  </w:footnote>
  <w:footnote w:id="9">
    <w:p w14:paraId="376407D4" w14:textId="05524F57" w:rsidR="00177720" w:rsidRDefault="009A7CC9">
      <w:pPr>
        <w:pStyle w:val="FootnoteText"/>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0D43E9">
        <w:rPr>
          <w:rFonts w:ascii="Century Schoolbook" w:hAnsi="Century Schoolbook" w:cs="Times New Roman"/>
          <w:sz w:val="26"/>
          <w:szCs w:val="26"/>
        </w:rPr>
        <w:t xml:space="preserve">Although inadequate oversight of individuals entrusted with </w:t>
      </w:r>
      <w:r w:rsidRPr="00A76FEF">
        <w:rPr>
          <w:rFonts w:ascii="Century Schoolbook" w:hAnsi="Century Schoolbook" w:cs="Times New Roman"/>
          <w:i/>
          <w:iCs/>
          <w:sz w:val="26"/>
          <w:szCs w:val="26"/>
        </w:rPr>
        <w:t>children</w:t>
      </w:r>
      <w:r w:rsidRPr="000D43E9">
        <w:rPr>
          <w:rFonts w:ascii="Century Schoolbook" w:hAnsi="Century Schoolbook" w:cs="Times New Roman"/>
          <w:sz w:val="26"/>
          <w:szCs w:val="26"/>
        </w:rPr>
        <w:t xml:space="preserve"> has generally be</w:t>
      </w:r>
      <w:r>
        <w:rPr>
          <w:rFonts w:ascii="Century Schoolbook" w:hAnsi="Century Schoolbook"/>
          <w:sz w:val="26"/>
          <w:szCs w:val="26"/>
        </w:rPr>
        <w:t>en</w:t>
      </w:r>
      <w:r w:rsidRPr="000D43E9">
        <w:rPr>
          <w:rFonts w:ascii="Century Schoolbook" w:hAnsi="Century Schoolbook" w:cs="Times New Roman"/>
          <w:sz w:val="26"/>
          <w:szCs w:val="26"/>
        </w:rPr>
        <w:t xml:space="preserve"> viewed as sufficiently likely to result in the sexual abuse of children (e.g., </w:t>
      </w:r>
      <w:r w:rsidRPr="000D43E9">
        <w:rPr>
          <w:rFonts w:ascii="Century Schoolbook" w:hAnsi="Century Schoolbook" w:cs="Times New Roman"/>
          <w:i/>
          <w:iCs/>
          <w:sz w:val="26"/>
          <w:szCs w:val="26"/>
        </w:rPr>
        <w:t>Doe v. Roman Catholic Archbishop of L</w:t>
      </w:r>
      <w:r w:rsidR="00BA692F">
        <w:rPr>
          <w:rFonts w:ascii="Century Schoolbook" w:hAnsi="Century Schoolbook" w:cs="Times New Roman"/>
          <w:i/>
          <w:iCs/>
          <w:sz w:val="26"/>
          <w:szCs w:val="26"/>
        </w:rPr>
        <w:t xml:space="preserve">os </w:t>
      </w:r>
      <w:r w:rsidRPr="000D43E9">
        <w:rPr>
          <w:rFonts w:ascii="Century Schoolbook" w:hAnsi="Century Schoolbook" w:cs="Times New Roman"/>
          <w:i/>
          <w:iCs/>
          <w:sz w:val="26"/>
          <w:szCs w:val="26"/>
        </w:rPr>
        <w:t>A</w:t>
      </w:r>
      <w:r w:rsidR="00BA692F">
        <w:rPr>
          <w:rFonts w:ascii="Century Schoolbook" w:hAnsi="Century Schoolbook" w:cs="Times New Roman"/>
          <w:i/>
          <w:iCs/>
          <w:sz w:val="26"/>
          <w:szCs w:val="26"/>
        </w:rPr>
        <w:t>ngeles</w:t>
      </w:r>
      <w:r w:rsidRPr="000D43E9">
        <w:rPr>
          <w:rFonts w:ascii="Century Schoolbook" w:hAnsi="Century Schoolbook" w:cs="Times New Roman"/>
          <w:i/>
          <w:iCs/>
          <w:sz w:val="26"/>
          <w:szCs w:val="26"/>
        </w:rPr>
        <w:t xml:space="preserve"> </w:t>
      </w:r>
      <w:r w:rsidRPr="000D43E9">
        <w:rPr>
          <w:rFonts w:ascii="Century Schoolbook" w:hAnsi="Century Schoolbook" w:cs="Times New Roman"/>
          <w:sz w:val="26"/>
          <w:szCs w:val="26"/>
        </w:rPr>
        <w:t>(2021) 70 Cal.App.5th 657, 664-665, 676 (</w:t>
      </w:r>
      <w:r w:rsidRPr="000D43E9">
        <w:rPr>
          <w:rFonts w:ascii="Century Schoolbook" w:hAnsi="Century Schoolbook" w:cs="Times New Roman"/>
          <w:i/>
          <w:iCs/>
          <w:sz w:val="26"/>
          <w:szCs w:val="26"/>
        </w:rPr>
        <w:t>Roman Catholic Archbishop</w:t>
      </w:r>
      <w:r w:rsidRPr="000D43E9">
        <w:rPr>
          <w:rFonts w:ascii="Century Schoolbook" w:hAnsi="Century Schoolbook" w:cs="Times New Roman"/>
          <w:sz w:val="26"/>
          <w:szCs w:val="26"/>
        </w:rPr>
        <w:t xml:space="preserve">); </w:t>
      </w:r>
      <w:r w:rsidRPr="000D43E9">
        <w:rPr>
          <w:rFonts w:ascii="Century Schoolbook" w:hAnsi="Century Schoolbook" w:cs="Times New Roman"/>
          <w:i/>
          <w:iCs/>
          <w:sz w:val="26"/>
          <w:szCs w:val="26"/>
        </w:rPr>
        <w:t xml:space="preserve">Doe v. Lawndale Elementary School Dist. </w:t>
      </w:r>
      <w:r w:rsidRPr="000D43E9">
        <w:rPr>
          <w:rFonts w:ascii="Century Schoolbook" w:hAnsi="Century Schoolbook" w:cs="Times New Roman"/>
          <w:sz w:val="26"/>
          <w:szCs w:val="26"/>
        </w:rPr>
        <w:t>(2021) 72 Cal.App.5th 113, 132 (</w:t>
      </w:r>
      <w:r w:rsidRPr="000D43E9">
        <w:rPr>
          <w:rFonts w:ascii="Century Schoolbook" w:hAnsi="Century Schoolbook" w:cs="Times New Roman"/>
          <w:i/>
          <w:iCs/>
          <w:sz w:val="26"/>
          <w:szCs w:val="26"/>
        </w:rPr>
        <w:t>Lawndale</w:t>
      </w:r>
      <w:r w:rsidRPr="000D43E9">
        <w:rPr>
          <w:rFonts w:ascii="Century Schoolbook" w:hAnsi="Century Schoolbook" w:cs="Times New Roman"/>
          <w:sz w:val="26"/>
          <w:szCs w:val="26"/>
        </w:rPr>
        <w:t xml:space="preserve">); </w:t>
      </w:r>
      <w:r w:rsidRPr="000D43E9">
        <w:rPr>
          <w:rFonts w:ascii="Century Schoolbook" w:hAnsi="Century Schoolbook" w:cs="Times New Roman"/>
          <w:i/>
          <w:iCs/>
          <w:sz w:val="26"/>
          <w:szCs w:val="26"/>
        </w:rPr>
        <w:t>Doe v. United States Youth Soccer Assn., Inc.</w:t>
      </w:r>
      <w:r w:rsidRPr="000D43E9">
        <w:rPr>
          <w:rFonts w:ascii="Century Schoolbook" w:hAnsi="Century Schoolbook" w:cs="Times New Roman"/>
          <w:sz w:val="26"/>
          <w:szCs w:val="26"/>
        </w:rPr>
        <w:t xml:space="preserve"> (2017) 8 Cal.App.5th 1118, 1135 (</w:t>
      </w:r>
      <w:r w:rsidRPr="000D43E9">
        <w:rPr>
          <w:rFonts w:ascii="Century Schoolbook" w:hAnsi="Century Schoolbook" w:cs="Times New Roman"/>
          <w:i/>
          <w:iCs/>
          <w:sz w:val="26"/>
          <w:szCs w:val="26"/>
        </w:rPr>
        <w:t>Youth Soccer</w:t>
      </w:r>
      <w:r w:rsidRPr="000D43E9">
        <w:rPr>
          <w:rFonts w:ascii="Century Schoolbook" w:hAnsi="Century Schoolbook" w:cs="Times New Roman"/>
          <w:sz w:val="26"/>
          <w:szCs w:val="26"/>
        </w:rPr>
        <w:t xml:space="preserve">); </w:t>
      </w:r>
      <w:r w:rsidRPr="000D43E9">
        <w:rPr>
          <w:rFonts w:ascii="Century Schoolbook" w:hAnsi="Century Schoolbook" w:cs="Times New Roman"/>
          <w:i/>
          <w:iCs/>
          <w:sz w:val="26"/>
          <w:szCs w:val="26"/>
        </w:rPr>
        <w:t>J</w:t>
      </w:r>
      <w:r w:rsidR="004A18C8">
        <w:rPr>
          <w:rFonts w:ascii="Century Schoolbook" w:hAnsi="Century Schoolbook" w:cs="Times New Roman"/>
          <w:i/>
          <w:iCs/>
          <w:sz w:val="26"/>
          <w:szCs w:val="26"/>
        </w:rPr>
        <w:t>ua</w:t>
      </w:r>
      <w:r w:rsidRPr="000D43E9">
        <w:rPr>
          <w:rFonts w:ascii="Century Schoolbook" w:hAnsi="Century Schoolbook" w:cs="Times New Roman"/>
          <w:i/>
          <w:iCs/>
          <w:sz w:val="26"/>
          <w:szCs w:val="26"/>
        </w:rPr>
        <w:t xml:space="preserve">rez v. Boy Scouts of America, Inc. </w:t>
      </w:r>
      <w:r w:rsidRPr="000D43E9">
        <w:rPr>
          <w:rFonts w:ascii="Century Schoolbook" w:hAnsi="Century Schoolbook" w:cs="Times New Roman"/>
          <w:sz w:val="26"/>
          <w:szCs w:val="26"/>
        </w:rPr>
        <w:t>(2000) 81 Cal</w:t>
      </w:r>
      <w:r w:rsidRPr="000D43E9">
        <w:rPr>
          <w:rFonts w:ascii="Century Schoolbook" w:hAnsi="Century Schoolbook" w:cs="Times New Roman"/>
          <w:sz w:val="26"/>
          <w:szCs w:val="26"/>
        </w:rPr>
        <w:t>.App.4th 3</w:t>
      </w:r>
      <w:r>
        <w:rPr>
          <w:rFonts w:ascii="Century Schoolbook" w:hAnsi="Century Schoolbook"/>
          <w:sz w:val="26"/>
          <w:szCs w:val="26"/>
        </w:rPr>
        <w:t>7</w:t>
      </w:r>
      <w:r w:rsidRPr="000D43E9">
        <w:rPr>
          <w:rFonts w:ascii="Century Schoolbook" w:hAnsi="Century Schoolbook" w:cs="Times New Roman"/>
          <w:sz w:val="26"/>
          <w:szCs w:val="26"/>
        </w:rPr>
        <w:t xml:space="preserve">7, 398, 404, overruled on other grounds by </w:t>
      </w:r>
      <w:r w:rsidRPr="000D43E9">
        <w:rPr>
          <w:rFonts w:ascii="Century Schoolbook" w:hAnsi="Century Schoolbook" w:cs="Times New Roman"/>
          <w:i/>
          <w:iCs/>
          <w:sz w:val="26"/>
          <w:szCs w:val="26"/>
        </w:rPr>
        <w:t>Brown</w:t>
      </w:r>
      <w:r w:rsidRPr="00865D49">
        <w:rPr>
          <w:rFonts w:ascii="Century Schoolbook" w:hAnsi="Century Schoolbook" w:cs="Times New Roman"/>
          <w:sz w:val="26"/>
          <w:szCs w:val="26"/>
        </w:rPr>
        <w:t>,</w:t>
      </w:r>
      <w:r w:rsidRPr="000D43E9">
        <w:rPr>
          <w:rFonts w:ascii="Century Schoolbook" w:hAnsi="Century Schoolbook" w:cs="Times New Roman"/>
          <w:i/>
          <w:iCs/>
          <w:sz w:val="26"/>
          <w:szCs w:val="26"/>
        </w:rPr>
        <w:t xml:space="preserve"> supra</w:t>
      </w:r>
      <w:r w:rsidRPr="000D43E9">
        <w:rPr>
          <w:rFonts w:ascii="Century Schoolbook" w:hAnsi="Century Schoolbook" w:cs="Times New Roman"/>
          <w:sz w:val="26"/>
          <w:szCs w:val="26"/>
        </w:rPr>
        <w:t xml:space="preserve">, 11 Cal.5th 204), and although developmentally disabled </w:t>
      </w:r>
      <w:r w:rsidRPr="00A76FEF">
        <w:rPr>
          <w:rFonts w:ascii="Century Schoolbook" w:hAnsi="Century Schoolbook" w:cs="Times New Roman"/>
          <w:i/>
          <w:iCs/>
          <w:sz w:val="26"/>
          <w:szCs w:val="26"/>
        </w:rPr>
        <w:t>adults</w:t>
      </w:r>
      <w:r w:rsidRPr="000D43E9">
        <w:rPr>
          <w:rFonts w:ascii="Century Schoolbook" w:hAnsi="Century Schoolbook" w:cs="Times New Roman"/>
          <w:sz w:val="26"/>
          <w:szCs w:val="26"/>
        </w:rPr>
        <w:t xml:space="preserve"> </w:t>
      </w:r>
      <w:r w:rsidR="00FA159A">
        <w:rPr>
          <w:rFonts w:ascii="Century Schoolbook" w:hAnsi="Century Schoolbook" w:cs="Times New Roman"/>
          <w:sz w:val="26"/>
          <w:szCs w:val="26"/>
        </w:rPr>
        <w:t xml:space="preserve">may be </w:t>
      </w:r>
      <w:r w:rsidRPr="000D43E9">
        <w:rPr>
          <w:rFonts w:ascii="Century Schoolbook" w:hAnsi="Century Schoolbook" w:cs="Times New Roman"/>
          <w:sz w:val="26"/>
          <w:szCs w:val="26"/>
        </w:rPr>
        <w:t xml:space="preserve">to some extent </w:t>
      </w:r>
      <w:r w:rsidR="0087645A">
        <w:rPr>
          <w:rFonts w:ascii="Century Schoolbook" w:hAnsi="Century Schoolbook" w:cs="Times New Roman"/>
          <w:sz w:val="26"/>
          <w:szCs w:val="26"/>
        </w:rPr>
        <w:t>analogous</w:t>
      </w:r>
      <w:r w:rsidR="0087645A" w:rsidRPr="000D43E9">
        <w:rPr>
          <w:rFonts w:ascii="Century Schoolbook" w:hAnsi="Century Schoolbook" w:cs="Times New Roman"/>
          <w:sz w:val="26"/>
          <w:szCs w:val="26"/>
        </w:rPr>
        <w:t xml:space="preserve"> </w:t>
      </w:r>
      <w:r w:rsidRPr="000D43E9">
        <w:rPr>
          <w:rFonts w:ascii="Century Schoolbook" w:hAnsi="Century Schoolbook" w:cs="Times New Roman"/>
          <w:sz w:val="26"/>
          <w:szCs w:val="26"/>
        </w:rPr>
        <w:t xml:space="preserve">to children in terms of being more vulnerable to abuse than adults without such disabilities, developmentally disabled adults </w:t>
      </w:r>
      <w:r w:rsidR="00B26B57">
        <w:rPr>
          <w:rFonts w:ascii="Century Schoolbook" w:hAnsi="Century Schoolbook" w:cs="Times New Roman"/>
          <w:sz w:val="26"/>
          <w:szCs w:val="26"/>
        </w:rPr>
        <w:t>possess a broad range of cognitive abilities</w:t>
      </w:r>
      <w:r w:rsidR="00977919">
        <w:rPr>
          <w:rFonts w:ascii="Century Schoolbook" w:hAnsi="Century Schoolbook" w:cs="Times New Roman"/>
          <w:sz w:val="26"/>
          <w:szCs w:val="26"/>
        </w:rPr>
        <w:t>,</w:t>
      </w:r>
      <w:r w:rsidRPr="000D43E9">
        <w:rPr>
          <w:rFonts w:ascii="Century Schoolbook" w:hAnsi="Century Schoolbook" w:cs="Times New Roman"/>
          <w:sz w:val="26"/>
          <w:szCs w:val="26"/>
        </w:rPr>
        <w:t xml:space="preserve"> and the record in this case contains no evidence supporting the proposition that dev</w:t>
      </w:r>
      <w:r w:rsidRPr="000D43E9">
        <w:rPr>
          <w:rFonts w:ascii="Century Schoolbook" w:hAnsi="Century Schoolbook" w:cs="Times New Roman"/>
          <w:sz w:val="26"/>
          <w:szCs w:val="26"/>
        </w:rPr>
        <w:t xml:space="preserve">elopmentally disabled adults as a population are as likely as children to be sexually assaulted while in the care of others.  </w:t>
      </w:r>
    </w:p>
  </w:footnote>
  <w:footnote w:id="10">
    <w:p w14:paraId="1622881D" w14:textId="669BB8AE" w:rsidR="002F4B2B" w:rsidRPr="0035316E"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35316E">
        <w:rPr>
          <w:rFonts w:ascii="Century Schoolbook" w:hAnsi="Century Schoolbook"/>
          <w:sz w:val="26"/>
          <w:szCs w:val="26"/>
        </w:rPr>
        <w:t>Indeed, because a consumer’s family members can also be vendors (Cal. Code Regs</w:t>
      </w:r>
      <w:r w:rsidR="001675C7">
        <w:rPr>
          <w:rFonts w:ascii="Century Schoolbook" w:hAnsi="Century Schoolbook"/>
          <w:sz w:val="26"/>
          <w:szCs w:val="26"/>
        </w:rPr>
        <w:t>.</w:t>
      </w:r>
      <w:r w:rsidRPr="0035316E">
        <w:rPr>
          <w:rFonts w:ascii="Century Schoolbook" w:hAnsi="Century Schoolbook"/>
          <w:sz w:val="26"/>
          <w:szCs w:val="26"/>
        </w:rPr>
        <w:t>, tit. 17, § 54326, subd. (a)), this would ren</w:t>
      </w:r>
      <w:r w:rsidRPr="0035316E">
        <w:rPr>
          <w:rFonts w:ascii="Century Schoolbook" w:hAnsi="Century Schoolbook"/>
          <w:sz w:val="26"/>
          <w:szCs w:val="26"/>
        </w:rPr>
        <w:t xml:space="preserve">der a regional center liable for sexual assault committed by a consumer’s family members.  </w:t>
      </w:r>
    </w:p>
  </w:footnote>
  <w:footnote w:id="11">
    <w:p w14:paraId="45CC8612" w14:textId="399FD3A6" w:rsidR="002F4B2B" w:rsidRPr="007B682A"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7B682A">
        <w:rPr>
          <w:rFonts w:ascii="Century Schoolbook" w:hAnsi="Century Schoolbook"/>
          <w:sz w:val="26"/>
          <w:szCs w:val="26"/>
        </w:rPr>
        <w:t xml:space="preserve">The facts of this case are a vivid example.  The Regional Center </w:t>
      </w:r>
      <w:r w:rsidRPr="007B682A">
        <w:rPr>
          <w:rFonts w:ascii="Century Schoolbook" w:hAnsi="Century Schoolbook"/>
          <w:i/>
          <w:iCs/>
          <w:sz w:val="26"/>
          <w:szCs w:val="26"/>
        </w:rPr>
        <w:t>did</w:t>
      </w:r>
      <w:r w:rsidRPr="007B682A">
        <w:rPr>
          <w:rFonts w:ascii="Century Schoolbook" w:hAnsi="Century Schoolbook"/>
          <w:sz w:val="26"/>
          <w:szCs w:val="26"/>
        </w:rPr>
        <w:t xml:space="preserve"> provide training to Round Trip’s employees on consumer abuse and neglect on one occasion, </w:t>
      </w:r>
      <w:r>
        <w:rPr>
          <w:rFonts w:ascii="Century Schoolbook" w:hAnsi="Century Schoolbook"/>
          <w:sz w:val="26"/>
          <w:szCs w:val="26"/>
        </w:rPr>
        <w:t>an</w:t>
      </w:r>
      <w:r>
        <w:rPr>
          <w:rFonts w:ascii="Century Schoolbook" w:hAnsi="Century Schoolbook"/>
          <w:sz w:val="26"/>
          <w:szCs w:val="26"/>
        </w:rPr>
        <w:t>d</w:t>
      </w:r>
      <w:r w:rsidRPr="007B682A">
        <w:rPr>
          <w:rFonts w:ascii="Century Schoolbook" w:hAnsi="Century Schoolbook"/>
          <w:sz w:val="26"/>
          <w:szCs w:val="26"/>
        </w:rPr>
        <w:t xml:space="preserve"> contractually obligated Round Trip to provide it to any of its employees who did not attend that training.  The Regional Center also obligated Round Trip’s employees to receive a copy of its policies regarding protecting consumers, and Round Trip’s recor</w:t>
      </w:r>
      <w:r w:rsidRPr="007B682A">
        <w:rPr>
          <w:rFonts w:ascii="Century Schoolbook" w:hAnsi="Century Schoolbook"/>
          <w:sz w:val="26"/>
          <w:szCs w:val="26"/>
        </w:rPr>
        <w:t xml:space="preserve">ds indicate that it gave a copy of that policy to Ocampo.  Ocampo later said he did not attend any training; he also said he lied about receiving a copy of the policy and </w:t>
      </w:r>
      <w:r>
        <w:rPr>
          <w:rFonts w:ascii="Century Schoolbook" w:hAnsi="Century Schoolbook"/>
          <w:sz w:val="26"/>
          <w:szCs w:val="26"/>
        </w:rPr>
        <w:t>never</w:t>
      </w:r>
      <w:r w:rsidRPr="007B682A">
        <w:rPr>
          <w:rFonts w:ascii="Century Schoolbook" w:hAnsi="Century Schoolbook"/>
          <w:sz w:val="26"/>
          <w:szCs w:val="26"/>
        </w:rPr>
        <w:t xml:space="preserve"> underst</w:t>
      </w:r>
      <w:r>
        <w:rPr>
          <w:rFonts w:ascii="Century Schoolbook" w:hAnsi="Century Schoolbook"/>
          <w:sz w:val="26"/>
          <w:szCs w:val="26"/>
        </w:rPr>
        <w:t>ood</w:t>
      </w:r>
      <w:r w:rsidRPr="007B682A">
        <w:rPr>
          <w:rFonts w:ascii="Century Schoolbook" w:hAnsi="Century Schoolbook"/>
          <w:sz w:val="26"/>
          <w:szCs w:val="26"/>
        </w:rPr>
        <w:t xml:space="preserve"> it</w:t>
      </w:r>
      <w:r>
        <w:rPr>
          <w:rFonts w:ascii="Century Schoolbook" w:hAnsi="Century Schoolbook"/>
          <w:sz w:val="26"/>
          <w:szCs w:val="26"/>
        </w:rPr>
        <w:t xml:space="preserve"> due to </w:t>
      </w:r>
      <w:r w:rsidR="000B55B7">
        <w:rPr>
          <w:rFonts w:ascii="Century Schoolbook" w:hAnsi="Century Schoolbook"/>
          <w:sz w:val="26"/>
          <w:szCs w:val="26"/>
        </w:rPr>
        <w:t xml:space="preserve">the policy not being in his native </w:t>
      </w:r>
      <w:r>
        <w:rPr>
          <w:rFonts w:ascii="Century Schoolbook" w:hAnsi="Century Schoolbook"/>
          <w:sz w:val="26"/>
          <w:szCs w:val="26"/>
        </w:rPr>
        <w:t>language.  T</w:t>
      </w:r>
      <w:r w:rsidRPr="007B682A">
        <w:rPr>
          <w:rFonts w:ascii="Century Schoolbook" w:hAnsi="Century Schoolbook"/>
          <w:sz w:val="26"/>
          <w:szCs w:val="26"/>
        </w:rPr>
        <w:t xml:space="preserve">he only way for the Regional Center to be sure that every vendor employee is trained </w:t>
      </w:r>
      <w:r>
        <w:rPr>
          <w:rFonts w:ascii="Century Schoolbook" w:hAnsi="Century Schoolbook"/>
          <w:sz w:val="26"/>
          <w:szCs w:val="26"/>
        </w:rPr>
        <w:t xml:space="preserve">would be </w:t>
      </w:r>
      <w:r w:rsidRPr="007B682A">
        <w:rPr>
          <w:rFonts w:ascii="Century Schoolbook" w:hAnsi="Century Schoolbook"/>
          <w:sz w:val="26"/>
          <w:szCs w:val="26"/>
        </w:rPr>
        <w:t xml:space="preserve">to interview them individually to ensure </w:t>
      </w:r>
      <w:r>
        <w:rPr>
          <w:rFonts w:ascii="Century Schoolbook" w:hAnsi="Century Schoolbook"/>
          <w:sz w:val="26"/>
          <w:szCs w:val="26"/>
        </w:rPr>
        <w:t xml:space="preserve">both </w:t>
      </w:r>
      <w:r w:rsidRPr="007B682A">
        <w:rPr>
          <w:rFonts w:ascii="Century Schoolbook" w:hAnsi="Century Schoolbook"/>
          <w:sz w:val="26"/>
          <w:szCs w:val="26"/>
        </w:rPr>
        <w:t xml:space="preserve">their receipt and </w:t>
      </w:r>
      <w:r>
        <w:rPr>
          <w:rFonts w:ascii="Century Schoolbook" w:hAnsi="Century Schoolbook"/>
          <w:sz w:val="26"/>
          <w:szCs w:val="26"/>
        </w:rPr>
        <w:t xml:space="preserve">their </w:t>
      </w:r>
      <w:r w:rsidRPr="007B682A">
        <w:rPr>
          <w:rFonts w:ascii="Century Schoolbook" w:hAnsi="Century Schoolbook"/>
          <w:sz w:val="26"/>
          <w:szCs w:val="26"/>
        </w:rPr>
        <w:t>comprehension of its anti-abuse policies.  Gi</w:t>
      </w:r>
      <w:r w:rsidRPr="007B682A">
        <w:rPr>
          <w:rFonts w:ascii="Century Schoolbook" w:hAnsi="Century Schoolbook"/>
          <w:sz w:val="26"/>
          <w:szCs w:val="26"/>
        </w:rPr>
        <w:t>ven the sheer number of employees employed by the dozens if not hundreds of vendors in the 4</w:t>
      </w:r>
      <w:r w:rsidR="002F5516">
        <w:rPr>
          <w:rFonts w:ascii="Century Schoolbook" w:hAnsi="Century Schoolbook"/>
          <w:sz w:val="26"/>
          <w:szCs w:val="26"/>
        </w:rPr>
        <w:t>8</w:t>
      </w:r>
      <w:r w:rsidRPr="007B682A">
        <w:rPr>
          <w:rFonts w:ascii="Century Schoolbook" w:hAnsi="Century Schoolbook"/>
          <w:sz w:val="26"/>
          <w:szCs w:val="26"/>
        </w:rPr>
        <w:t xml:space="preserve"> different categories of services that regional centers provide, this burden</w:t>
      </w:r>
      <w:r>
        <w:rPr>
          <w:rFonts w:ascii="Century Schoolbook" w:hAnsi="Century Schoolbook"/>
          <w:sz w:val="26"/>
          <w:szCs w:val="26"/>
        </w:rPr>
        <w:t xml:space="preserve"> of ensuring merely that every vendor employee </w:t>
      </w:r>
      <w:r>
        <w:rPr>
          <w:rFonts w:ascii="Century Schoolbook" w:hAnsi="Century Schoolbook"/>
          <w:i/>
          <w:iCs/>
          <w:sz w:val="26"/>
          <w:szCs w:val="26"/>
        </w:rPr>
        <w:t>understood</w:t>
      </w:r>
      <w:r>
        <w:rPr>
          <w:rFonts w:ascii="Century Schoolbook" w:hAnsi="Century Schoolbook"/>
          <w:sz w:val="26"/>
          <w:szCs w:val="26"/>
        </w:rPr>
        <w:t xml:space="preserve"> the anti-abuse policy</w:t>
      </w:r>
      <w:r w:rsidRPr="007B682A">
        <w:rPr>
          <w:rFonts w:ascii="Century Schoolbook" w:hAnsi="Century Schoolbook"/>
          <w:sz w:val="26"/>
          <w:szCs w:val="26"/>
        </w:rPr>
        <w:t xml:space="preserve"> is anyt</w:t>
      </w:r>
      <w:r w:rsidRPr="007B682A">
        <w:rPr>
          <w:rFonts w:ascii="Century Schoolbook" w:hAnsi="Century Schoolbook"/>
          <w:sz w:val="26"/>
          <w:szCs w:val="26"/>
        </w:rPr>
        <w:t>hing but “minimal.”</w:t>
      </w:r>
    </w:p>
  </w:footnote>
  <w:footnote w:id="12">
    <w:p w14:paraId="5DAC87E4" w14:textId="41BA5E66" w:rsidR="00C5051D" w:rsidRPr="009D48F1" w:rsidRDefault="009A7CC9">
      <w:pPr>
        <w:pStyle w:val="FootnoteText"/>
        <w:rPr>
          <w:rFonts w:ascii="Century Schoolbook" w:hAnsi="Century Schoolbook"/>
          <w:sz w:val="26"/>
          <w:szCs w:val="26"/>
        </w:rPr>
      </w:pPr>
      <w:r w:rsidRPr="009D48F1">
        <w:rPr>
          <w:rStyle w:val="FootnoteReference"/>
          <w:rFonts w:ascii="Century Schoolbook" w:hAnsi="Century Schoolbook"/>
          <w:b/>
          <w:bCs/>
          <w:sz w:val="20"/>
          <w:vertAlign w:val="baseline"/>
        </w:rPr>
        <w:footnoteRef/>
      </w:r>
      <w:r w:rsidRPr="009D48F1">
        <w:rPr>
          <w:rFonts w:ascii="Century Schoolbook" w:hAnsi="Century Schoolbook"/>
          <w:b/>
          <w:bCs/>
        </w:rPr>
        <w:t xml:space="preserve"> </w:t>
      </w:r>
      <w:r>
        <w:tab/>
      </w:r>
      <w:r w:rsidRPr="009D48F1">
        <w:rPr>
          <w:rFonts w:ascii="Century Schoolbook" w:hAnsi="Century Schoolbook"/>
          <w:sz w:val="26"/>
          <w:szCs w:val="26"/>
        </w:rPr>
        <w:t xml:space="preserve">For much the same reason, we reject A.L.’s argument—raised for the first time at oral argument—that the likelihood that a jury might apportion more fault to a vendor than to a </w:t>
      </w:r>
      <w:proofErr w:type="gramStart"/>
      <w:r w:rsidRPr="009D48F1">
        <w:rPr>
          <w:rFonts w:ascii="Century Schoolbook" w:hAnsi="Century Schoolbook"/>
          <w:sz w:val="26"/>
          <w:szCs w:val="26"/>
        </w:rPr>
        <w:t>regional center counsels</w:t>
      </w:r>
      <w:proofErr w:type="gramEnd"/>
      <w:r w:rsidRPr="009D48F1">
        <w:rPr>
          <w:rFonts w:ascii="Century Schoolbook" w:hAnsi="Century Schoolbook"/>
          <w:sz w:val="26"/>
          <w:szCs w:val="26"/>
        </w:rPr>
        <w:t xml:space="preserve"> in favor of imposing liability</w:t>
      </w:r>
      <w:r>
        <w:rPr>
          <w:rFonts w:ascii="Century Schoolbook" w:hAnsi="Century Schoolbook"/>
          <w:sz w:val="26"/>
          <w:szCs w:val="26"/>
        </w:rPr>
        <w:t xml:space="preserve"> a</w:t>
      </w:r>
      <w:r>
        <w:rPr>
          <w:rFonts w:ascii="Century Schoolbook" w:hAnsi="Century Schoolbook"/>
          <w:sz w:val="26"/>
          <w:szCs w:val="26"/>
        </w:rPr>
        <w:t>gainst the regional center</w:t>
      </w:r>
      <w:r w:rsidRPr="009D48F1">
        <w:rPr>
          <w:rFonts w:ascii="Century Schoolbook" w:hAnsi="Century Schoolbook"/>
          <w:sz w:val="26"/>
          <w:szCs w:val="26"/>
        </w:rPr>
        <w:t xml:space="preserve">.  There </w:t>
      </w:r>
      <w:proofErr w:type="gramStart"/>
      <w:r w:rsidRPr="009D48F1">
        <w:rPr>
          <w:rFonts w:ascii="Century Schoolbook" w:hAnsi="Century Schoolbook"/>
          <w:sz w:val="26"/>
          <w:szCs w:val="26"/>
        </w:rPr>
        <w:t>is</w:t>
      </w:r>
      <w:proofErr w:type="gramEnd"/>
      <w:r w:rsidRPr="009D48F1">
        <w:rPr>
          <w:rFonts w:ascii="Century Schoolbook" w:hAnsi="Century Schoolbook"/>
          <w:sz w:val="26"/>
          <w:szCs w:val="26"/>
        </w:rPr>
        <w:t xml:space="preserve"> no guarantee </w:t>
      </w:r>
      <w:r>
        <w:rPr>
          <w:rFonts w:ascii="Century Schoolbook" w:hAnsi="Century Schoolbook"/>
          <w:sz w:val="26"/>
          <w:szCs w:val="26"/>
        </w:rPr>
        <w:t>juries w</w:t>
      </w:r>
      <w:r w:rsidRPr="009D48F1">
        <w:rPr>
          <w:rFonts w:ascii="Century Schoolbook" w:hAnsi="Century Schoolbook"/>
          <w:sz w:val="26"/>
          <w:szCs w:val="26"/>
        </w:rPr>
        <w:t>ould do that</w:t>
      </w:r>
      <w:r>
        <w:rPr>
          <w:rFonts w:ascii="Century Schoolbook" w:hAnsi="Century Schoolbook"/>
          <w:sz w:val="26"/>
          <w:szCs w:val="26"/>
        </w:rPr>
        <w:t xml:space="preserve">; </w:t>
      </w:r>
      <w:r w:rsidRPr="009D48F1">
        <w:rPr>
          <w:rFonts w:ascii="Century Schoolbook" w:hAnsi="Century Schoolbook"/>
          <w:sz w:val="26"/>
          <w:szCs w:val="26"/>
        </w:rPr>
        <w:t xml:space="preserve">more to the point, the possibility that regional centers might be </w:t>
      </w:r>
      <w:r>
        <w:rPr>
          <w:rFonts w:ascii="Century Schoolbook" w:hAnsi="Century Schoolbook"/>
          <w:sz w:val="26"/>
          <w:szCs w:val="26"/>
        </w:rPr>
        <w:t xml:space="preserve">deemed to be </w:t>
      </w:r>
      <w:r w:rsidRPr="009D48F1">
        <w:rPr>
          <w:rFonts w:ascii="Century Schoolbook" w:hAnsi="Century Schoolbook"/>
          <w:sz w:val="26"/>
          <w:szCs w:val="26"/>
        </w:rPr>
        <w:t>less liable than vendors is not an argument for</w:t>
      </w:r>
      <w:r>
        <w:rPr>
          <w:rFonts w:ascii="Century Schoolbook" w:hAnsi="Century Schoolbook"/>
          <w:sz w:val="26"/>
          <w:szCs w:val="26"/>
        </w:rPr>
        <w:t xml:space="preserve"> imposing l</w:t>
      </w:r>
      <w:r w:rsidRPr="009D48F1">
        <w:rPr>
          <w:rFonts w:ascii="Century Schoolbook" w:hAnsi="Century Schoolbook"/>
          <w:sz w:val="26"/>
          <w:szCs w:val="26"/>
        </w:rPr>
        <w:t xml:space="preserve">iability </w:t>
      </w:r>
      <w:r>
        <w:rPr>
          <w:rFonts w:ascii="Century Schoolbook" w:hAnsi="Century Schoolbook"/>
          <w:sz w:val="26"/>
          <w:szCs w:val="26"/>
        </w:rPr>
        <w:t xml:space="preserve">on regional centers </w:t>
      </w:r>
      <w:r w:rsidRPr="009D48F1">
        <w:rPr>
          <w:rFonts w:ascii="Century Schoolbook" w:hAnsi="Century Schoolbook"/>
          <w:sz w:val="26"/>
          <w:szCs w:val="26"/>
        </w:rPr>
        <w:t>in the first plac</w:t>
      </w:r>
      <w:r w:rsidRPr="009D48F1">
        <w:rPr>
          <w:rFonts w:ascii="Century Schoolbook" w:hAnsi="Century Schoolbook"/>
          <w:sz w:val="26"/>
          <w:szCs w:val="26"/>
        </w:rPr>
        <w:t>e.</w:t>
      </w:r>
    </w:p>
  </w:footnote>
  <w:footnote w:id="13">
    <w:p w14:paraId="52402998" w14:textId="0A974192" w:rsidR="002F4B2B" w:rsidRPr="002E128F"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2E128F">
        <w:rPr>
          <w:rFonts w:ascii="Century Schoolbook" w:hAnsi="Century Schoolbook"/>
          <w:sz w:val="26"/>
          <w:szCs w:val="26"/>
        </w:rPr>
        <w:t xml:space="preserve">Because state law requires vendors to conduct criminal background checks on their employees, and because A.L.’s operative complaint does not seek to impose liability due to the failure to conduct such checks, we have no occasion to examine </w:t>
      </w:r>
      <w:r w:rsidRPr="002E128F">
        <w:rPr>
          <w:rFonts w:ascii="Century Schoolbook" w:hAnsi="Century Schoolbook"/>
          <w:sz w:val="26"/>
          <w:szCs w:val="26"/>
        </w:rPr>
        <w:t>whether a regional center would have any liability for failing to ensure that such checks are conducted</w:t>
      </w:r>
      <w:r w:rsidR="00071A2C">
        <w:rPr>
          <w:rFonts w:ascii="Century Schoolbook" w:hAnsi="Century Schoolbook"/>
          <w:sz w:val="26"/>
          <w:szCs w:val="26"/>
        </w:rPr>
        <w:t xml:space="preserve"> by a vendor</w:t>
      </w:r>
      <w:r w:rsidRPr="002E128F">
        <w:rPr>
          <w:rFonts w:ascii="Century Schoolbook" w:hAnsi="Century Schoolbook"/>
          <w:sz w:val="26"/>
          <w:szCs w:val="26"/>
        </w:rPr>
        <w:t>.</w:t>
      </w:r>
      <w:r>
        <w:rPr>
          <w:rFonts w:ascii="Century Schoolbook" w:hAnsi="Century Schoolbook"/>
          <w:sz w:val="26"/>
          <w:szCs w:val="26"/>
        </w:rPr>
        <w:t xml:space="preserve">  (Cf. </w:t>
      </w:r>
      <w:r>
        <w:rPr>
          <w:rFonts w:ascii="Century Schoolbook" w:hAnsi="Century Schoolbook"/>
          <w:i/>
          <w:iCs/>
          <w:sz w:val="26"/>
          <w:szCs w:val="26"/>
        </w:rPr>
        <w:t>Youth Soccer</w:t>
      </w:r>
      <w:r w:rsidRPr="00A76FEF">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8 Cal.App.5th at p. 1129 [imposing liability on youth soccer organization for failing to require background chec</w:t>
      </w:r>
      <w:r>
        <w:rPr>
          <w:rFonts w:ascii="Century Schoolbook" w:hAnsi="Century Schoolbook"/>
          <w:sz w:val="26"/>
          <w:szCs w:val="26"/>
        </w:rPr>
        <w:t>ks].)</w:t>
      </w:r>
    </w:p>
  </w:footnote>
  <w:footnote w:id="14">
    <w:p w14:paraId="028889E2" w14:textId="6C80B02F" w:rsidR="002F4B2B" w:rsidRPr="00A20609" w:rsidRDefault="009A7CC9" w:rsidP="002F4B2B">
      <w:pPr>
        <w:pStyle w:val="FootnoteText"/>
        <w:rPr>
          <w:rFonts w:ascii="Century Schoolbook" w:hAnsi="Century Schoolbook"/>
          <w:sz w:val="26"/>
          <w:szCs w:val="26"/>
        </w:rPr>
      </w:pPr>
      <w:r w:rsidRPr="00A76FEF">
        <w:rPr>
          <w:rStyle w:val="FootnoteReference"/>
          <w:rFonts w:ascii="Century Schoolbook" w:hAnsi="Century Schoolbook"/>
          <w:b/>
          <w:bCs/>
          <w:sz w:val="20"/>
          <w:vertAlign w:val="baseline"/>
        </w:rPr>
        <w:footnoteRef/>
      </w:r>
      <w:r w:rsidRPr="00A76FEF">
        <w:rPr>
          <w:rFonts w:ascii="Century Schoolbook" w:hAnsi="Century Schoolbook"/>
          <w:b/>
          <w:bCs/>
        </w:rPr>
        <w:t xml:space="preserve"> </w:t>
      </w:r>
      <w:r>
        <w:tab/>
      </w:r>
      <w:r w:rsidRPr="00A20609">
        <w:rPr>
          <w:rFonts w:ascii="Century Schoolbook" w:hAnsi="Century Schoolbook"/>
          <w:sz w:val="26"/>
          <w:szCs w:val="26"/>
        </w:rPr>
        <w:t xml:space="preserve">We do not disagree with the </w:t>
      </w:r>
      <w:r w:rsidRPr="00A20609">
        <w:rPr>
          <w:rFonts w:ascii="Century Schoolbook" w:hAnsi="Century Schoolbook"/>
          <w:i/>
          <w:iCs/>
          <w:sz w:val="26"/>
          <w:szCs w:val="26"/>
        </w:rPr>
        <w:t>outcomes</w:t>
      </w:r>
      <w:r w:rsidRPr="00A20609">
        <w:rPr>
          <w:rFonts w:ascii="Century Schoolbook" w:hAnsi="Century Schoolbook"/>
          <w:sz w:val="26"/>
          <w:szCs w:val="26"/>
        </w:rPr>
        <w:t xml:space="preserve"> of </w:t>
      </w:r>
      <w:r w:rsidRPr="00A20609">
        <w:rPr>
          <w:rFonts w:ascii="Century Schoolbook" w:hAnsi="Century Schoolbook"/>
          <w:i/>
          <w:iCs/>
          <w:sz w:val="26"/>
          <w:szCs w:val="26"/>
        </w:rPr>
        <w:t>Roman Catholic Archbishop</w:t>
      </w:r>
      <w:r w:rsidRPr="00A20609">
        <w:rPr>
          <w:rFonts w:ascii="Century Schoolbook" w:hAnsi="Century Schoolbook"/>
          <w:sz w:val="26"/>
          <w:szCs w:val="26"/>
        </w:rPr>
        <w:t xml:space="preserve"> or </w:t>
      </w:r>
      <w:r w:rsidRPr="00A20609">
        <w:rPr>
          <w:rFonts w:ascii="Century Schoolbook" w:hAnsi="Century Schoolbook"/>
          <w:i/>
          <w:iCs/>
          <w:sz w:val="26"/>
          <w:szCs w:val="26"/>
        </w:rPr>
        <w:t>Lawndale</w:t>
      </w:r>
      <w:r w:rsidRPr="00A20609">
        <w:rPr>
          <w:rFonts w:ascii="Century Schoolbook" w:hAnsi="Century Schoolbook"/>
          <w:sz w:val="26"/>
          <w:szCs w:val="26"/>
        </w:rPr>
        <w:t xml:space="preserve">, which ground their duties to protect on the defendant’s control over the sexual offender and the premises—which are important facts missing from the </w:t>
      </w:r>
      <w:r w:rsidR="002C2342">
        <w:rPr>
          <w:rFonts w:ascii="Century Schoolbook" w:hAnsi="Century Schoolbook"/>
          <w:sz w:val="26"/>
          <w:szCs w:val="26"/>
        </w:rPr>
        <w:t>duty question</w:t>
      </w:r>
      <w:r w:rsidR="002C2342" w:rsidRPr="00A20609">
        <w:rPr>
          <w:rFonts w:ascii="Century Schoolbook" w:hAnsi="Century Schoolbook"/>
          <w:sz w:val="26"/>
          <w:szCs w:val="26"/>
        </w:rPr>
        <w:t xml:space="preserve"> </w:t>
      </w:r>
      <w:r w:rsidRPr="00A20609">
        <w:rPr>
          <w:rFonts w:ascii="Century Schoolbook" w:hAnsi="Century Schoolbook"/>
          <w:sz w:val="26"/>
          <w:szCs w:val="26"/>
        </w:rPr>
        <w:t>prese</w:t>
      </w:r>
      <w:r w:rsidRPr="00A20609">
        <w:rPr>
          <w:rFonts w:ascii="Century Schoolbook" w:hAnsi="Century Schoolbook"/>
          <w:sz w:val="26"/>
          <w:szCs w:val="26"/>
        </w:rPr>
        <w:t>nted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BDF"/>
    <w:multiLevelType w:val="hybridMultilevel"/>
    <w:tmpl w:val="9DA653EC"/>
    <w:lvl w:ilvl="0" w:tplc="6DA834F4">
      <w:start w:val="1"/>
      <w:numFmt w:val="bullet"/>
      <w:lvlText w:val="-"/>
      <w:lvlJc w:val="left"/>
      <w:pPr>
        <w:ind w:left="720" w:hanging="360"/>
      </w:pPr>
      <w:rPr>
        <w:rFonts w:ascii="Century Schoolbook" w:eastAsiaTheme="minorHAnsi" w:hAnsi="Century Schoolbook" w:cstheme="minorBidi" w:hint="default"/>
      </w:rPr>
    </w:lvl>
    <w:lvl w:ilvl="1" w:tplc="D5D6FD90" w:tentative="1">
      <w:start w:val="1"/>
      <w:numFmt w:val="bullet"/>
      <w:lvlText w:val="o"/>
      <w:lvlJc w:val="left"/>
      <w:pPr>
        <w:ind w:left="1440" w:hanging="360"/>
      </w:pPr>
      <w:rPr>
        <w:rFonts w:ascii="Courier New" w:hAnsi="Courier New" w:cs="Courier New" w:hint="default"/>
      </w:rPr>
    </w:lvl>
    <w:lvl w:ilvl="2" w:tplc="42A07C8A" w:tentative="1">
      <w:start w:val="1"/>
      <w:numFmt w:val="bullet"/>
      <w:lvlText w:val=""/>
      <w:lvlJc w:val="left"/>
      <w:pPr>
        <w:ind w:left="2160" w:hanging="360"/>
      </w:pPr>
      <w:rPr>
        <w:rFonts w:ascii="Wingdings" w:hAnsi="Wingdings" w:hint="default"/>
      </w:rPr>
    </w:lvl>
    <w:lvl w:ilvl="3" w:tplc="401E2CF0" w:tentative="1">
      <w:start w:val="1"/>
      <w:numFmt w:val="bullet"/>
      <w:lvlText w:val=""/>
      <w:lvlJc w:val="left"/>
      <w:pPr>
        <w:ind w:left="2880" w:hanging="360"/>
      </w:pPr>
      <w:rPr>
        <w:rFonts w:ascii="Symbol" w:hAnsi="Symbol" w:hint="default"/>
      </w:rPr>
    </w:lvl>
    <w:lvl w:ilvl="4" w:tplc="5D40E83C" w:tentative="1">
      <w:start w:val="1"/>
      <w:numFmt w:val="bullet"/>
      <w:lvlText w:val="o"/>
      <w:lvlJc w:val="left"/>
      <w:pPr>
        <w:ind w:left="3600" w:hanging="360"/>
      </w:pPr>
      <w:rPr>
        <w:rFonts w:ascii="Courier New" w:hAnsi="Courier New" w:cs="Courier New" w:hint="default"/>
      </w:rPr>
    </w:lvl>
    <w:lvl w:ilvl="5" w:tplc="F2E013A2" w:tentative="1">
      <w:start w:val="1"/>
      <w:numFmt w:val="bullet"/>
      <w:lvlText w:val=""/>
      <w:lvlJc w:val="left"/>
      <w:pPr>
        <w:ind w:left="4320" w:hanging="360"/>
      </w:pPr>
      <w:rPr>
        <w:rFonts w:ascii="Wingdings" w:hAnsi="Wingdings" w:hint="default"/>
      </w:rPr>
    </w:lvl>
    <w:lvl w:ilvl="6" w:tplc="7EA024DE" w:tentative="1">
      <w:start w:val="1"/>
      <w:numFmt w:val="bullet"/>
      <w:lvlText w:val=""/>
      <w:lvlJc w:val="left"/>
      <w:pPr>
        <w:ind w:left="5040" w:hanging="360"/>
      </w:pPr>
      <w:rPr>
        <w:rFonts w:ascii="Symbol" w:hAnsi="Symbol" w:hint="default"/>
      </w:rPr>
    </w:lvl>
    <w:lvl w:ilvl="7" w:tplc="B64C36C2" w:tentative="1">
      <w:start w:val="1"/>
      <w:numFmt w:val="bullet"/>
      <w:lvlText w:val="o"/>
      <w:lvlJc w:val="left"/>
      <w:pPr>
        <w:ind w:left="5760" w:hanging="360"/>
      </w:pPr>
      <w:rPr>
        <w:rFonts w:ascii="Courier New" w:hAnsi="Courier New" w:cs="Courier New" w:hint="default"/>
      </w:rPr>
    </w:lvl>
    <w:lvl w:ilvl="8" w:tplc="3490DC42" w:tentative="1">
      <w:start w:val="1"/>
      <w:numFmt w:val="bullet"/>
      <w:lvlText w:val=""/>
      <w:lvlJc w:val="left"/>
      <w:pPr>
        <w:ind w:left="6480" w:hanging="360"/>
      </w:pPr>
      <w:rPr>
        <w:rFonts w:ascii="Wingdings" w:hAnsi="Wingdings" w:hint="default"/>
      </w:rPr>
    </w:lvl>
  </w:abstractNum>
  <w:abstractNum w:abstractNumId="1" w15:restartNumberingAfterBreak="0">
    <w:nsid w:val="19B141DE"/>
    <w:multiLevelType w:val="hybridMultilevel"/>
    <w:tmpl w:val="0AF48530"/>
    <w:lvl w:ilvl="0" w:tplc="985A22E2">
      <w:start w:val="1290"/>
      <w:numFmt w:val="bullet"/>
      <w:lvlText w:val="-"/>
      <w:lvlJc w:val="left"/>
      <w:pPr>
        <w:ind w:left="720" w:hanging="360"/>
      </w:pPr>
      <w:rPr>
        <w:rFonts w:ascii="Century Schoolbook" w:eastAsiaTheme="minorHAnsi" w:hAnsi="Century Schoolbook" w:cstheme="minorBidi" w:hint="default"/>
      </w:rPr>
    </w:lvl>
    <w:lvl w:ilvl="1" w:tplc="7BD2B48A">
      <w:start w:val="1"/>
      <w:numFmt w:val="bullet"/>
      <w:lvlText w:val="o"/>
      <w:lvlJc w:val="left"/>
      <w:pPr>
        <w:ind w:left="1440" w:hanging="360"/>
      </w:pPr>
      <w:rPr>
        <w:rFonts w:ascii="Courier New" w:hAnsi="Courier New" w:cs="Courier New" w:hint="default"/>
      </w:rPr>
    </w:lvl>
    <w:lvl w:ilvl="2" w:tplc="C452F49C">
      <w:start w:val="1"/>
      <w:numFmt w:val="bullet"/>
      <w:lvlText w:val=""/>
      <w:lvlJc w:val="left"/>
      <w:pPr>
        <w:ind w:left="2160" w:hanging="360"/>
      </w:pPr>
      <w:rPr>
        <w:rFonts w:ascii="Wingdings" w:hAnsi="Wingdings" w:hint="default"/>
      </w:rPr>
    </w:lvl>
    <w:lvl w:ilvl="3" w:tplc="9E5E2392">
      <w:start w:val="1"/>
      <w:numFmt w:val="bullet"/>
      <w:lvlText w:val=""/>
      <w:lvlJc w:val="left"/>
      <w:pPr>
        <w:ind w:left="2880" w:hanging="360"/>
      </w:pPr>
      <w:rPr>
        <w:rFonts w:ascii="Symbol" w:hAnsi="Symbol" w:hint="default"/>
      </w:rPr>
    </w:lvl>
    <w:lvl w:ilvl="4" w:tplc="170C7CF8" w:tentative="1">
      <w:start w:val="1"/>
      <w:numFmt w:val="bullet"/>
      <w:lvlText w:val="o"/>
      <w:lvlJc w:val="left"/>
      <w:pPr>
        <w:ind w:left="3600" w:hanging="360"/>
      </w:pPr>
      <w:rPr>
        <w:rFonts w:ascii="Courier New" w:hAnsi="Courier New" w:cs="Courier New" w:hint="default"/>
      </w:rPr>
    </w:lvl>
    <w:lvl w:ilvl="5" w:tplc="95AC8FF0" w:tentative="1">
      <w:start w:val="1"/>
      <w:numFmt w:val="bullet"/>
      <w:lvlText w:val=""/>
      <w:lvlJc w:val="left"/>
      <w:pPr>
        <w:ind w:left="4320" w:hanging="360"/>
      </w:pPr>
      <w:rPr>
        <w:rFonts w:ascii="Wingdings" w:hAnsi="Wingdings" w:hint="default"/>
      </w:rPr>
    </w:lvl>
    <w:lvl w:ilvl="6" w:tplc="7528F3C8" w:tentative="1">
      <w:start w:val="1"/>
      <w:numFmt w:val="bullet"/>
      <w:lvlText w:val=""/>
      <w:lvlJc w:val="left"/>
      <w:pPr>
        <w:ind w:left="5040" w:hanging="360"/>
      </w:pPr>
      <w:rPr>
        <w:rFonts w:ascii="Symbol" w:hAnsi="Symbol" w:hint="default"/>
      </w:rPr>
    </w:lvl>
    <w:lvl w:ilvl="7" w:tplc="03E247D0" w:tentative="1">
      <w:start w:val="1"/>
      <w:numFmt w:val="bullet"/>
      <w:lvlText w:val="o"/>
      <w:lvlJc w:val="left"/>
      <w:pPr>
        <w:ind w:left="5760" w:hanging="360"/>
      </w:pPr>
      <w:rPr>
        <w:rFonts w:ascii="Courier New" w:hAnsi="Courier New" w:cs="Courier New" w:hint="default"/>
      </w:rPr>
    </w:lvl>
    <w:lvl w:ilvl="8" w:tplc="55E49596" w:tentative="1">
      <w:start w:val="1"/>
      <w:numFmt w:val="bullet"/>
      <w:lvlText w:val=""/>
      <w:lvlJc w:val="left"/>
      <w:pPr>
        <w:ind w:left="6480" w:hanging="360"/>
      </w:pPr>
      <w:rPr>
        <w:rFonts w:ascii="Wingdings" w:hAnsi="Wingdings" w:hint="default"/>
      </w:rPr>
    </w:lvl>
  </w:abstractNum>
  <w:abstractNum w:abstractNumId="2" w15:restartNumberingAfterBreak="0">
    <w:nsid w:val="630C1587"/>
    <w:multiLevelType w:val="hybridMultilevel"/>
    <w:tmpl w:val="FCA042A8"/>
    <w:lvl w:ilvl="0" w:tplc="512C8A9A">
      <w:start w:val="1"/>
      <w:numFmt w:val="upperRoman"/>
      <w:lvlText w:val="%1."/>
      <w:lvlJc w:val="left"/>
      <w:pPr>
        <w:ind w:left="1080" w:hanging="720"/>
      </w:pPr>
      <w:rPr>
        <w:rFonts w:hint="default"/>
      </w:rPr>
    </w:lvl>
    <w:lvl w:ilvl="1" w:tplc="D5B28FF8" w:tentative="1">
      <w:start w:val="1"/>
      <w:numFmt w:val="lowerLetter"/>
      <w:lvlText w:val="%2."/>
      <w:lvlJc w:val="left"/>
      <w:pPr>
        <w:ind w:left="1440" w:hanging="360"/>
      </w:pPr>
    </w:lvl>
    <w:lvl w:ilvl="2" w:tplc="A5C86E2E" w:tentative="1">
      <w:start w:val="1"/>
      <w:numFmt w:val="lowerRoman"/>
      <w:lvlText w:val="%3."/>
      <w:lvlJc w:val="right"/>
      <w:pPr>
        <w:ind w:left="2160" w:hanging="180"/>
      </w:pPr>
    </w:lvl>
    <w:lvl w:ilvl="3" w:tplc="52306940" w:tentative="1">
      <w:start w:val="1"/>
      <w:numFmt w:val="decimal"/>
      <w:lvlText w:val="%4."/>
      <w:lvlJc w:val="left"/>
      <w:pPr>
        <w:ind w:left="2880" w:hanging="360"/>
      </w:pPr>
    </w:lvl>
    <w:lvl w:ilvl="4" w:tplc="173CBBD0" w:tentative="1">
      <w:start w:val="1"/>
      <w:numFmt w:val="lowerLetter"/>
      <w:lvlText w:val="%5."/>
      <w:lvlJc w:val="left"/>
      <w:pPr>
        <w:ind w:left="3600" w:hanging="360"/>
      </w:pPr>
    </w:lvl>
    <w:lvl w:ilvl="5" w:tplc="AB12776A" w:tentative="1">
      <w:start w:val="1"/>
      <w:numFmt w:val="lowerRoman"/>
      <w:lvlText w:val="%6."/>
      <w:lvlJc w:val="right"/>
      <w:pPr>
        <w:ind w:left="4320" w:hanging="180"/>
      </w:pPr>
    </w:lvl>
    <w:lvl w:ilvl="6" w:tplc="83FCE3D8" w:tentative="1">
      <w:start w:val="1"/>
      <w:numFmt w:val="decimal"/>
      <w:lvlText w:val="%7."/>
      <w:lvlJc w:val="left"/>
      <w:pPr>
        <w:ind w:left="5040" w:hanging="360"/>
      </w:pPr>
    </w:lvl>
    <w:lvl w:ilvl="7" w:tplc="9BA81B6A" w:tentative="1">
      <w:start w:val="1"/>
      <w:numFmt w:val="lowerLetter"/>
      <w:lvlText w:val="%8."/>
      <w:lvlJc w:val="left"/>
      <w:pPr>
        <w:ind w:left="5760" w:hanging="360"/>
      </w:pPr>
    </w:lvl>
    <w:lvl w:ilvl="8" w:tplc="317E4000" w:tentative="1">
      <w:start w:val="1"/>
      <w:numFmt w:val="lowerRoman"/>
      <w:lvlText w:val="%9."/>
      <w:lvlJc w:val="right"/>
      <w:pPr>
        <w:ind w:left="6480" w:hanging="180"/>
      </w:pPr>
    </w:lvl>
  </w:abstractNum>
  <w:abstractNum w:abstractNumId="3" w15:restartNumberingAfterBreak="0">
    <w:nsid w:val="755E5DEE"/>
    <w:multiLevelType w:val="hybridMultilevel"/>
    <w:tmpl w:val="CA940AB6"/>
    <w:lvl w:ilvl="0" w:tplc="CDE2E568">
      <w:start w:val="1"/>
      <w:numFmt w:val="decimal"/>
      <w:lvlText w:val="%1."/>
      <w:lvlJc w:val="left"/>
      <w:pPr>
        <w:ind w:left="2160" w:hanging="720"/>
      </w:pPr>
      <w:rPr>
        <w:rFonts w:hint="default"/>
      </w:rPr>
    </w:lvl>
    <w:lvl w:ilvl="1" w:tplc="447CCD02">
      <w:start w:val="1"/>
      <w:numFmt w:val="lowerLetter"/>
      <w:lvlText w:val="%2."/>
      <w:lvlJc w:val="left"/>
      <w:pPr>
        <w:ind w:left="2520" w:hanging="360"/>
      </w:pPr>
    </w:lvl>
    <w:lvl w:ilvl="2" w:tplc="5AF03BA6" w:tentative="1">
      <w:start w:val="1"/>
      <w:numFmt w:val="lowerRoman"/>
      <w:lvlText w:val="%3."/>
      <w:lvlJc w:val="right"/>
      <w:pPr>
        <w:ind w:left="3240" w:hanging="180"/>
      </w:pPr>
    </w:lvl>
    <w:lvl w:ilvl="3" w:tplc="C9ECED98" w:tentative="1">
      <w:start w:val="1"/>
      <w:numFmt w:val="decimal"/>
      <w:lvlText w:val="%4."/>
      <w:lvlJc w:val="left"/>
      <w:pPr>
        <w:ind w:left="3960" w:hanging="360"/>
      </w:pPr>
    </w:lvl>
    <w:lvl w:ilvl="4" w:tplc="6AE08D90" w:tentative="1">
      <w:start w:val="1"/>
      <w:numFmt w:val="lowerLetter"/>
      <w:lvlText w:val="%5."/>
      <w:lvlJc w:val="left"/>
      <w:pPr>
        <w:ind w:left="4680" w:hanging="360"/>
      </w:pPr>
    </w:lvl>
    <w:lvl w:ilvl="5" w:tplc="3DAE85B6" w:tentative="1">
      <w:start w:val="1"/>
      <w:numFmt w:val="lowerRoman"/>
      <w:lvlText w:val="%6."/>
      <w:lvlJc w:val="right"/>
      <w:pPr>
        <w:ind w:left="5400" w:hanging="180"/>
      </w:pPr>
    </w:lvl>
    <w:lvl w:ilvl="6" w:tplc="3320A940" w:tentative="1">
      <w:start w:val="1"/>
      <w:numFmt w:val="decimal"/>
      <w:lvlText w:val="%7."/>
      <w:lvlJc w:val="left"/>
      <w:pPr>
        <w:ind w:left="6120" w:hanging="360"/>
      </w:pPr>
    </w:lvl>
    <w:lvl w:ilvl="7" w:tplc="9BB29F0C" w:tentative="1">
      <w:start w:val="1"/>
      <w:numFmt w:val="lowerLetter"/>
      <w:lvlText w:val="%8."/>
      <w:lvlJc w:val="left"/>
      <w:pPr>
        <w:ind w:left="6840" w:hanging="360"/>
      </w:pPr>
    </w:lvl>
    <w:lvl w:ilvl="8" w:tplc="0F00F4BE" w:tentative="1">
      <w:start w:val="1"/>
      <w:numFmt w:val="lowerRoman"/>
      <w:lvlText w:val="%9."/>
      <w:lvlJc w:val="right"/>
      <w:pPr>
        <w:ind w:left="7560" w:hanging="180"/>
      </w:pPr>
    </w:lvl>
  </w:abstractNum>
  <w:num w:numId="1" w16cid:durableId="2017264373">
    <w:abstractNumId w:val="0"/>
  </w:num>
  <w:num w:numId="2" w16cid:durableId="704521345">
    <w:abstractNumId w:val="3"/>
  </w:num>
  <w:num w:numId="3" w16cid:durableId="1976791830">
    <w:abstractNumId w:val="1"/>
  </w:num>
  <w:num w:numId="4" w16cid:durableId="28889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002AF"/>
    <w:rsid w:val="000004C8"/>
    <w:rsid w:val="00000826"/>
    <w:rsid w:val="00000A0B"/>
    <w:rsid w:val="00002255"/>
    <w:rsid w:val="00002532"/>
    <w:rsid w:val="0000291C"/>
    <w:rsid w:val="000029DE"/>
    <w:rsid w:val="00002D66"/>
    <w:rsid w:val="00002DEC"/>
    <w:rsid w:val="0000375F"/>
    <w:rsid w:val="00003B6D"/>
    <w:rsid w:val="00004B3E"/>
    <w:rsid w:val="00004B7A"/>
    <w:rsid w:val="00004CFC"/>
    <w:rsid w:val="00004CFE"/>
    <w:rsid w:val="0000532D"/>
    <w:rsid w:val="00005340"/>
    <w:rsid w:val="0000592D"/>
    <w:rsid w:val="00005E71"/>
    <w:rsid w:val="00005FBE"/>
    <w:rsid w:val="00006833"/>
    <w:rsid w:val="00006A32"/>
    <w:rsid w:val="00006EE3"/>
    <w:rsid w:val="000074A0"/>
    <w:rsid w:val="000078C0"/>
    <w:rsid w:val="00007D92"/>
    <w:rsid w:val="0001002C"/>
    <w:rsid w:val="000103E0"/>
    <w:rsid w:val="0001088C"/>
    <w:rsid w:val="00010921"/>
    <w:rsid w:val="00010CC4"/>
    <w:rsid w:val="00010E09"/>
    <w:rsid w:val="00011098"/>
    <w:rsid w:val="00011184"/>
    <w:rsid w:val="00011229"/>
    <w:rsid w:val="000116BD"/>
    <w:rsid w:val="00012405"/>
    <w:rsid w:val="00012446"/>
    <w:rsid w:val="000125D1"/>
    <w:rsid w:val="0001262B"/>
    <w:rsid w:val="00012B51"/>
    <w:rsid w:val="0001352B"/>
    <w:rsid w:val="00013953"/>
    <w:rsid w:val="00013EEA"/>
    <w:rsid w:val="00015D6F"/>
    <w:rsid w:val="00015F54"/>
    <w:rsid w:val="0001622B"/>
    <w:rsid w:val="00016392"/>
    <w:rsid w:val="00016E3A"/>
    <w:rsid w:val="00016E4B"/>
    <w:rsid w:val="00017625"/>
    <w:rsid w:val="0001766D"/>
    <w:rsid w:val="0001795B"/>
    <w:rsid w:val="00017CFD"/>
    <w:rsid w:val="0002016D"/>
    <w:rsid w:val="000217D2"/>
    <w:rsid w:val="00021A89"/>
    <w:rsid w:val="00021C01"/>
    <w:rsid w:val="000223F8"/>
    <w:rsid w:val="000227D1"/>
    <w:rsid w:val="00022952"/>
    <w:rsid w:val="00022A18"/>
    <w:rsid w:val="00022B79"/>
    <w:rsid w:val="000233C4"/>
    <w:rsid w:val="00023512"/>
    <w:rsid w:val="00023A85"/>
    <w:rsid w:val="00023D41"/>
    <w:rsid w:val="000243B7"/>
    <w:rsid w:val="000245A9"/>
    <w:rsid w:val="000245B3"/>
    <w:rsid w:val="000247C4"/>
    <w:rsid w:val="0002481B"/>
    <w:rsid w:val="00024B6A"/>
    <w:rsid w:val="00024C52"/>
    <w:rsid w:val="000250FD"/>
    <w:rsid w:val="000251A3"/>
    <w:rsid w:val="000252C8"/>
    <w:rsid w:val="0002540C"/>
    <w:rsid w:val="00025C58"/>
    <w:rsid w:val="000265D6"/>
    <w:rsid w:val="00026D41"/>
    <w:rsid w:val="000276DD"/>
    <w:rsid w:val="0002793C"/>
    <w:rsid w:val="00027EFB"/>
    <w:rsid w:val="00030271"/>
    <w:rsid w:val="000303B7"/>
    <w:rsid w:val="00030707"/>
    <w:rsid w:val="000309E3"/>
    <w:rsid w:val="00030A2F"/>
    <w:rsid w:val="00030A82"/>
    <w:rsid w:val="00030C5B"/>
    <w:rsid w:val="000315DA"/>
    <w:rsid w:val="00031C35"/>
    <w:rsid w:val="00031C3E"/>
    <w:rsid w:val="00031E7E"/>
    <w:rsid w:val="00032104"/>
    <w:rsid w:val="00032530"/>
    <w:rsid w:val="000329E2"/>
    <w:rsid w:val="00032A48"/>
    <w:rsid w:val="00032A9C"/>
    <w:rsid w:val="00032B0B"/>
    <w:rsid w:val="000333E0"/>
    <w:rsid w:val="00033549"/>
    <w:rsid w:val="000335D4"/>
    <w:rsid w:val="000335E0"/>
    <w:rsid w:val="00034001"/>
    <w:rsid w:val="00034D2E"/>
    <w:rsid w:val="000351B8"/>
    <w:rsid w:val="000353AD"/>
    <w:rsid w:val="0003556A"/>
    <w:rsid w:val="0003686E"/>
    <w:rsid w:val="00036DA5"/>
    <w:rsid w:val="000370C6"/>
    <w:rsid w:val="0003777C"/>
    <w:rsid w:val="00040022"/>
    <w:rsid w:val="00040063"/>
    <w:rsid w:val="00040407"/>
    <w:rsid w:val="00040664"/>
    <w:rsid w:val="00040C36"/>
    <w:rsid w:val="0004129E"/>
    <w:rsid w:val="00042603"/>
    <w:rsid w:val="00042816"/>
    <w:rsid w:val="00042B8B"/>
    <w:rsid w:val="000431ED"/>
    <w:rsid w:val="00043243"/>
    <w:rsid w:val="000433DF"/>
    <w:rsid w:val="000438C4"/>
    <w:rsid w:val="00043917"/>
    <w:rsid w:val="00044A45"/>
    <w:rsid w:val="00044AF8"/>
    <w:rsid w:val="00044E2E"/>
    <w:rsid w:val="000455F2"/>
    <w:rsid w:val="00045A47"/>
    <w:rsid w:val="00046072"/>
    <w:rsid w:val="000462E8"/>
    <w:rsid w:val="000470AB"/>
    <w:rsid w:val="00047585"/>
    <w:rsid w:val="00047715"/>
    <w:rsid w:val="0005007D"/>
    <w:rsid w:val="00050911"/>
    <w:rsid w:val="00050B05"/>
    <w:rsid w:val="00050B54"/>
    <w:rsid w:val="00050CFD"/>
    <w:rsid w:val="000515D1"/>
    <w:rsid w:val="00051965"/>
    <w:rsid w:val="00052128"/>
    <w:rsid w:val="00052330"/>
    <w:rsid w:val="000528A5"/>
    <w:rsid w:val="000528B0"/>
    <w:rsid w:val="00052CA3"/>
    <w:rsid w:val="00052CF9"/>
    <w:rsid w:val="00052FF2"/>
    <w:rsid w:val="00053C6F"/>
    <w:rsid w:val="00053E94"/>
    <w:rsid w:val="00054008"/>
    <w:rsid w:val="0005411D"/>
    <w:rsid w:val="0005463A"/>
    <w:rsid w:val="00054F12"/>
    <w:rsid w:val="000554B2"/>
    <w:rsid w:val="000554EB"/>
    <w:rsid w:val="0005605C"/>
    <w:rsid w:val="000561B8"/>
    <w:rsid w:val="00056EC6"/>
    <w:rsid w:val="00057224"/>
    <w:rsid w:val="000572E9"/>
    <w:rsid w:val="0005758D"/>
    <w:rsid w:val="000577AA"/>
    <w:rsid w:val="000579B7"/>
    <w:rsid w:val="00057A33"/>
    <w:rsid w:val="0006089D"/>
    <w:rsid w:val="00060B44"/>
    <w:rsid w:val="00060B6C"/>
    <w:rsid w:val="00061010"/>
    <w:rsid w:val="0006123B"/>
    <w:rsid w:val="00062301"/>
    <w:rsid w:val="0006294A"/>
    <w:rsid w:val="00062F1D"/>
    <w:rsid w:val="00062F75"/>
    <w:rsid w:val="00063053"/>
    <w:rsid w:val="00063137"/>
    <w:rsid w:val="0006317E"/>
    <w:rsid w:val="00063296"/>
    <w:rsid w:val="00063B56"/>
    <w:rsid w:val="00063CAD"/>
    <w:rsid w:val="00063DE3"/>
    <w:rsid w:val="00064BB2"/>
    <w:rsid w:val="00064EE3"/>
    <w:rsid w:val="000656E4"/>
    <w:rsid w:val="000658C4"/>
    <w:rsid w:val="00065AAE"/>
    <w:rsid w:val="00065C9D"/>
    <w:rsid w:val="00065E1B"/>
    <w:rsid w:val="0006601F"/>
    <w:rsid w:val="000661E6"/>
    <w:rsid w:val="0006629D"/>
    <w:rsid w:val="000663D0"/>
    <w:rsid w:val="00066786"/>
    <w:rsid w:val="000673DA"/>
    <w:rsid w:val="000674AB"/>
    <w:rsid w:val="00067772"/>
    <w:rsid w:val="000708A0"/>
    <w:rsid w:val="000709C8"/>
    <w:rsid w:val="0007115F"/>
    <w:rsid w:val="00071A2C"/>
    <w:rsid w:val="00071B5C"/>
    <w:rsid w:val="00071C19"/>
    <w:rsid w:val="00072972"/>
    <w:rsid w:val="00072E0A"/>
    <w:rsid w:val="00072F07"/>
    <w:rsid w:val="0007358A"/>
    <w:rsid w:val="0007385A"/>
    <w:rsid w:val="00073D2F"/>
    <w:rsid w:val="00073FB2"/>
    <w:rsid w:val="00074712"/>
    <w:rsid w:val="0007510C"/>
    <w:rsid w:val="0007571A"/>
    <w:rsid w:val="000759E0"/>
    <w:rsid w:val="00075DD8"/>
    <w:rsid w:val="00076610"/>
    <w:rsid w:val="0007781C"/>
    <w:rsid w:val="00077EEE"/>
    <w:rsid w:val="000800B5"/>
    <w:rsid w:val="0008036C"/>
    <w:rsid w:val="000803DA"/>
    <w:rsid w:val="000806BF"/>
    <w:rsid w:val="00080C2F"/>
    <w:rsid w:val="0008102D"/>
    <w:rsid w:val="0008112B"/>
    <w:rsid w:val="00081538"/>
    <w:rsid w:val="000816D4"/>
    <w:rsid w:val="000816F3"/>
    <w:rsid w:val="000817AD"/>
    <w:rsid w:val="00081DC3"/>
    <w:rsid w:val="000821EE"/>
    <w:rsid w:val="0008236C"/>
    <w:rsid w:val="00082389"/>
    <w:rsid w:val="00082534"/>
    <w:rsid w:val="000826FD"/>
    <w:rsid w:val="00082BAC"/>
    <w:rsid w:val="00082D58"/>
    <w:rsid w:val="00082D8F"/>
    <w:rsid w:val="000831DD"/>
    <w:rsid w:val="0008332B"/>
    <w:rsid w:val="0008362C"/>
    <w:rsid w:val="00083648"/>
    <w:rsid w:val="00083887"/>
    <w:rsid w:val="000838B7"/>
    <w:rsid w:val="00083B12"/>
    <w:rsid w:val="00083FA2"/>
    <w:rsid w:val="00084146"/>
    <w:rsid w:val="000848B2"/>
    <w:rsid w:val="00084F56"/>
    <w:rsid w:val="000858B2"/>
    <w:rsid w:val="000858BC"/>
    <w:rsid w:val="000859A6"/>
    <w:rsid w:val="000859C6"/>
    <w:rsid w:val="00085E64"/>
    <w:rsid w:val="00086003"/>
    <w:rsid w:val="00086221"/>
    <w:rsid w:val="00086411"/>
    <w:rsid w:val="0008684D"/>
    <w:rsid w:val="00086895"/>
    <w:rsid w:val="00086DD7"/>
    <w:rsid w:val="000875D0"/>
    <w:rsid w:val="00087930"/>
    <w:rsid w:val="00087B54"/>
    <w:rsid w:val="00087DB7"/>
    <w:rsid w:val="00090E25"/>
    <w:rsid w:val="0009105B"/>
    <w:rsid w:val="00091166"/>
    <w:rsid w:val="0009151E"/>
    <w:rsid w:val="000917B1"/>
    <w:rsid w:val="00091C3C"/>
    <w:rsid w:val="00092275"/>
    <w:rsid w:val="00092551"/>
    <w:rsid w:val="0009271D"/>
    <w:rsid w:val="000934ED"/>
    <w:rsid w:val="0009365F"/>
    <w:rsid w:val="00093AE8"/>
    <w:rsid w:val="00093C9A"/>
    <w:rsid w:val="00093EF0"/>
    <w:rsid w:val="0009413C"/>
    <w:rsid w:val="00094415"/>
    <w:rsid w:val="00094771"/>
    <w:rsid w:val="00094847"/>
    <w:rsid w:val="00094867"/>
    <w:rsid w:val="000949F8"/>
    <w:rsid w:val="00094D7F"/>
    <w:rsid w:val="00094E04"/>
    <w:rsid w:val="00094E49"/>
    <w:rsid w:val="0009512E"/>
    <w:rsid w:val="00095334"/>
    <w:rsid w:val="00095660"/>
    <w:rsid w:val="00095E9B"/>
    <w:rsid w:val="00096574"/>
    <w:rsid w:val="000967D4"/>
    <w:rsid w:val="00096E64"/>
    <w:rsid w:val="000973D9"/>
    <w:rsid w:val="000978C7"/>
    <w:rsid w:val="00097B9E"/>
    <w:rsid w:val="000A0011"/>
    <w:rsid w:val="000A02FC"/>
    <w:rsid w:val="000A0436"/>
    <w:rsid w:val="000A192D"/>
    <w:rsid w:val="000A1E3A"/>
    <w:rsid w:val="000A1E7C"/>
    <w:rsid w:val="000A2571"/>
    <w:rsid w:val="000A2EEA"/>
    <w:rsid w:val="000A31BF"/>
    <w:rsid w:val="000A3347"/>
    <w:rsid w:val="000A387A"/>
    <w:rsid w:val="000A3EB2"/>
    <w:rsid w:val="000A4539"/>
    <w:rsid w:val="000A49D3"/>
    <w:rsid w:val="000A4A85"/>
    <w:rsid w:val="000A52C5"/>
    <w:rsid w:val="000A569F"/>
    <w:rsid w:val="000A63CF"/>
    <w:rsid w:val="000A70F2"/>
    <w:rsid w:val="000A7244"/>
    <w:rsid w:val="000A7BA9"/>
    <w:rsid w:val="000B02B0"/>
    <w:rsid w:val="000B0341"/>
    <w:rsid w:val="000B03E7"/>
    <w:rsid w:val="000B08D0"/>
    <w:rsid w:val="000B0C98"/>
    <w:rsid w:val="000B0C9C"/>
    <w:rsid w:val="000B0E5C"/>
    <w:rsid w:val="000B1027"/>
    <w:rsid w:val="000B18B8"/>
    <w:rsid w:val="000B18D8"/>
    <w:rsid w:val="000B1AFF"/>
    <w:rsid w:val="000B2255"/>
    <w:rsid w:val="000B25B4"/>
    <w:rsid w:val="000B2AA7"/>
    <w:rsid w:val="000B3108"/>
    <w:rsid w:val="000B38C0"/>
    <w:rsid w:val="000B3DF4"/>
    <w:rsid w:val="000B406A"/>
    <w:rsid w:val="000B4286"/>
    <w:rsid w:val="000B42E9"/>
    <w:rsid w:val="000B45D4"/>
    <w:rsid w:val="000B49DD"/>
    <w:rsid w:val="000B4CAC"/>
    <w:rsid w:val="000B4F36"/>
    <w:rsid w:val="000B504E"/>
    <w:rsid w:val="000B51BD"/>
    <w:rsid w:val="000B549A"/>
    <w:rsid w:val="000B5565"/>
    <w:rsid w:val="000B55B7"/>
    <w:rsid w:val="000B5E5E"/>
    <w:rsid w:val="000B62D8"/>
    <w:rsid w:val="000B6A94"/>
    <w:rsid w:val="000B6AE6"/>
    <w:rsid w:val="000B6C30"/>
    <w:rsid w:val="000B6F63"/>
    <w:rsid w:val="000B6F95"/>
    <w:rsid w:val="000B7149"/>
    <w:rsid w:val="000B788E"/>
    <w:rsid w:val="000B7A7D"/>
    <w:rsid w:val="000C091B"/>
    <w:rsid w:val="000C098B"/>
    <w:rsid w:val="000C09BC"/>
    <w:rsid w:val="000C0AFB"/>
    <w:rsid w:val="000C0FFC"/>
    <w:rsid w:val="000C1785"/>
    <w:rsid w:val="000C17FF"/>
    <w:rsid w:val="000C20A3"/>
    <w:rsid w:val="000C25E7"/>
    <w:rsid w:val="000C2D17"/>
    <w:rsid w:val="000C2E0D"/>
    <w:rsid w:val="000C33EC"/>
    <w:rsid w:val="000C3727"/>
    <w:rsid w:val="000C3777"/>
    <w:rsid w:val="000C377F"/>
    <w:rsid w:val="000C3EA2"/>
    <w:rsid w:val="000C4351"/>
    <w:rsid w:val="000C46B8"/>
    <w:rsid w:val="000C4BE6"/>
    <w:rsid w:val="000C4C40"/>
    <w:rsid w:val="000C58E9"/>
    <w:rsid w:val="000C595F"/>
    <w:rsid w:val="000C65C6"/>
    <w:rsid w:val="000C6799"/>
    <w:rsid w:val="000C67EF"/>
    <w:rsid w:val="000C703A"/>
    <w:rsid w:val="000C7174"/>
    <w:rsid w:val="000C7A35"/>
    <w:rsid w:val="000C7F75"/>
    <w:rsid w:val="000D0AB9"/>
    <w:rsid w:val="000D1012"/>
    <w:rsid w:val="000D1369"/>
    <w:rsid w:val="000D173F"/>
    <w:rsid w:val="000D18C1"/>
    <w:rsid w:val="000D18E0"/>
    <w:rsid w:val="000D25F4"/>
    <w:rsid w:val="000D27CD"/>
    <w:rsid w:val="000D2931"/>
    <w:rsid w:val="000D2BB6"/>
    <w:rsid w:val="000D3077"/>
    <w:rsid w:val="000D34D7"/>
    <w:rsid w:val="000D38EC"/>
    <w:rsid w:val="000D3B5E"/>
    <w:rsid w:val="000D3D19"/>
    <w:rsid w:val="000D41E5"/>
    <w:rsid w:val="000D43E9"/>
    <w:rsid w:val="000D4872"/>
    <w:rsid w:val="000D558F"/>
    <w:rsid w:val="000D5E80"/>
    <w:rsid w:val="000D66E2"/>
    <w:rsid w:val="000D6819"/>
    <w:rsid w:val="000D699F"/>
    <w:rsid w:val="000D7110"/>
    <w:rsid w:val="000D7565"/>
    <w:rsid w:val="000D7884"/>
    <w:rsid w:val="000D7FE6"/>
    <w:rsid w:val="000E003B"/>
    <w:rsid w:val="000E03E6"/>
    <w:rsid w:val="000E0660"/>
    <w:rsid w:val="000E0764"/>
    <w:rsid w:val="000E087C"/>
    <w:rsid w:val="000E0E48"/>
    <w:rsid w:val="000E0FA5"/>
    <w:rsid w:val="000E12E7"/>
    <w:rsid w:val="000E151E"/>
    <w:rsid w:val="000E16D9"/>
    <w:rsid w:val="000E1D1D"/>
    <w:rsid w:val="000E2C13"/>
    <w:rsid w:val="000E3A42"/>
    <w:rsid w:val="000E3B21"/>
    <w:rsid w:val="000E3C79"/>
    <w:rsid w:val="000E41D7"/>
    <w:rsid w:val="000E41F5"/>
    <w:rsid w:val="000E434F"/>
    <w:rsid w:val="000E4FDB"/>
    <w:rsid w:val="000E556B"/>
    <w:rsid w:val="000E5DBE"/>
    <w:rsid w:val="000E6680"/>
    <w:rsid w:val="000E6789"/>
    <w:rsid w:val="000E691F"/>
    <w:rsid w:val="000E6B70"/>
    <w:rsid w:val="000E6F92"/>
    <w:rsid w:val="000E72EB"/>
    <w:rsid w:val="000E753E"/>
    <w:rsid w:val="000E75C3"/>
    <w:rsid w:val="000E79A2"/>
    <w:rsid w:val="000E7F83"/>
    <w:rsid w:val="000F0AB6"/>
    <w:rsid w:val="000F0BC0"/>
    <w:rsid w:val="000F1168"/>
    <w:rsid w:val="000F1B7B"/>
    <w:rsid w:val="000F27E1"/>
    <w:rsid w:val="000F2839"/>
    <w:rsid w:val="000F28FA"/>
    <w:rsid w:val="000F2AFF"/>
    <w:rsid w:val="000F2C9A"/>
    <w:rsid w:val="000F2E63"/>
    <w:rsid w:val="000F3D86"/>
    <w:rsid w:val="000F3DDF"/>
    <w:rsid w:val="000F3DFF"/>
    <w:rsid w:val="000F4655"/>
    <w:rsid w:val="000F4A1F"/>
    <w:rsid w:val="000F4CEA"/>
    <w:rsid w:val="000F4EF4"/>
    <w:rsid w:val="000F58DE"/>
    <w:rsid w:val="000F6103"/>
    <w:rsid w:val="000F61D1"/>
    <w:rsid w:val="000F6509"/>
    <w:rsid w:val="000F6F1F"/>
    <w:rsid w:val="000F74CE"/>
    <w:rsid w:val="000F7859"/>
    <w:rsid w:val="000F7C3D"/>
    <w:rsid w:val="000F7E22"/>
    <w:rsid w:val="0010027F"/>
    <w:rsid w:val="0010045C"/>
    <w:rsid w:val="001010E4"/>
    <w:rsid w:val="00101FBC"/>
    <w:rsid w:val="001021D5"/>
    <w:rsid w:val="0010237E"/>
    <w:rsid w:val="0010247C"/>
    <w:rsid w:val="00102817"/>
    <w:rsid w:val="00102989"/>
    <w:rsid w:val="00102B28"/>
    <w:rsid w:val="00103399"/>
    <w:rsid w:val="00103407"/>
    <w:rsid w:val="001037F2"/>
    <w:rsid w:val="00103C8D"/>
    <w:rsid w:val="00103DCD"/>
    <w:rsid w:val="00103DF2"/>
    <w:rsid w:val="00103E46"/>
    <w:rsid w:val="00104AAF"/>
    <w:rsid w:val="00104CAD"/>
    <w:rsid w:val="00104FCE"/>
    <w:rsid w:val="00104FE8"/>
    <w:rsid w:val="0010575B"/>
    <w:rsid w:val="001059B9"/>
    <w:rsid w:val="00105EE4"/>
    <w:rsid w:val="00106239"/>
    <w:rsid w:val="00106B6A"/>
    <w:rsid w:val="00106DA4"/>
    <w:rsid w:val="001074AC"/>
    <w:rsid w:val="0010765D"/>
    <w:rsid w:val="001079A8"/>
    <w:rsid w:val="00107E87"/>
    <w:rsid w:val="0011047C"/>
    <w:rsid w:val="00110833"/>
    <w:rsid w:val="00110933"/>
    <w:rsid w:val="0011137A"/>
    <w:rsid w:val="001114EE"/>
    <w:rsid w:val="00111ADE"/>
    <w:rsid w:val="00111C8A"/>
    <w:rsid w:val="00112399"/>
    <w:rsid w:val="001128D2"/>
    <w:rsid w:val="001128E5"/>
    <w:rsid w:val="00113092"/>
    <w:rsid w:val="00113404"/>
    <w:rsid w:val="001138C9"/>
    <w:rsid w:val="00113F1E"/>
    <w:rsid w:val="001144A0"/>
    <w:rsid w:val="00114BB2"/>
    <w:rsid w:val="0011579A"/>
    <w:rsid w:val="00115A8D"/>
    <w:rsid w:val="00115D24"/>
    <w:rsid w:val="001163F5"/>
    <w:rsid w:val="0011728A"/>
    <w:rsid w:val="00117997"/>
    <w:rsid w:val="00117F0D"/>
    <w:rsid w:val="00120105"/>
    <w:rsid w:val="00120245"/>
    <w:rsid w:val="001204DF"/>
    <w:rsid w:val="0012051E"/>
    <w:rsid w:val="0012070B"/>
    <w:rsid w:val="00120831"/>
    <w:rsid w:val="001208E1"/>
    <w:rsid w:val="00120D02"/>
    <w:rsid w:val="00120E7E"/>
    <w:rsid w:val="00120EFB"/>
    <w:rsid w:val="001210CD"/>
    <w:rsid w:val="0012158C"/>
    <w:rsid w:val="00121D80"/>
    <w:rsid w:val="0012257F"/>
    <w:rsid w:val="00122647"/>
    <w:rsid w:val="00122973"/>
    <w:rsid w:val="00122B98"/>
    <w:rsid w:val="00122DF1"/>
    <w:rsid w:val="00123267"/>
    <w:rsid w:val="0012341A"/>
    <w:rsid w:val="00124354"/>
    <w:rsid w:val="0012493A"/>
    <w:rsid w:val="00125429"/>
    <w:rsid w:val="001257A8"/>
    <w:rsid w:val="0012611D"/>
    <w:rsid w:val="00126193"/>
    <w:rsid w:val="00127540"/>
    <w:rsid w:val="00127C28"/>
    <w:rsid w:val="00127F1F"/>
    <w:rsid w:val="0013021E"/>
    <w:rsid w:val="0013040A"/>
    <w:rsid w:val="0013051D"/>
    <w:rsid w:val="001308C6"/>
    <w:rsid w:val="00130A4E"/>
    <w:rsid w:val="00130B00"/>
    <w:rsid w:val="00130C8F"/>
    <w:rsid w:val="001314CB"/>
    <w:rsid w:val="0013168D"/>
    <w:rsid w:val="001325EC"/>
    <w:rsid w:val="00132ACF"/>
    <w:rsid w:val="00132D98"/>
    <w:rsid w:val="00132FA1"/>
    <w:rsid w:val="00133456"/>
    <w:rsid w:val="00133731"/>
    <w:rsid w:val="001339FF"/>
    <w:rsid w:val="00134850"/>
    <w:rsid w:val="0013523C"/>
    <w:rsid w:val="00135989"/>
    <w:rsid w:val="00135A09"/>
    <w:rsid w:val="00135E79"/>
    <w:rsid w:val="00136BC0"/>
    <w:rsid w:val="00136BEF"/>
    <w:rsid w:val="00137246"/>
    <w:rsid w:val="00137352"/>
    <w:rsid w:val="00137436"/>
    <w:rsid w:val="001376E6"/>
    <w:rsid w:val="001378B6"/>
    <w:rsid w:val="0014023B"/>
    <w:rsid w:val="00140425"/>
    <w:rsid w:val="0014095C"/>
    <w:rsid w:val="00140BBE"/>
    <w:rsid w:val="00140C45"/>
    <w:rsid w:val="00140DF7"/>
    <w:rsid w:val="00140E72"/>
    <w:rsid w:val="00140F58"/>
    <w:rsid w:val="00140FB8"/>
    <w:rsid w:val="00142003"/>
    <w:rsid w:val="00142006"/>
    <w:rsid w:val="001420F6"/>
    <w:rsid w:val="001426A2"/>
    <w:rsid w:val="001426D6"/>
    <w:rsid w:val="00142705"/>
    <w:rsid w:val="00143170"/>
    <w:rsid w:val="001440D7"/>
    <w:rsid w:val="00144324"/>
    <w:rsid w:val="001445E9"/>
    <w:rsid w:val="00144C2B"/>
    <w:rsid w:val="001457E1"/>
    <w:rsid w:val="0014599A"/>
    <w:rsid w:val="001459D5"/>
    <w:rsid w:val="0014628D"/>
    <w:rsid w:val="001469A2"/>
    <w:rsid w:val="00146AF5"/>
    <w:rsid w:val="00146FE3"/>
    <w:rsid w:val="001470AC"/>
    <w:rsid w:val="001473AB"/>
    <w:rsid w:val="001479C7"/>
    <w:rsid w:val="00147C47"/>
    <w:rsid w:val="001502E6"/>
    <w:rsid w:val="001503D7"/>
    <w:rsid w:val="0015082A"/>
    <w:rsid w:val="00150910"/>
    <w:rsid w:val="00150C5D"/>
    <w:rsid w:val="00151221"/>
    <w:rsid w:val="001516B7"/>
    <w:rsid w:val="001519CB"/>
    <w:rsid w:val="00151AC5"/>
    <w:rsid w:val="001522D2"/>
    <w:rsid w:val="001523DB"/>
    <w:rsid w:val="001528F1"/>
    <w:rsid w:val="00152CA2"/>
    <w:rsid w:val="00153028"/>
    <w:rsid w:val="00153167"/>
    <w:rsid w:val="001534D2"/>
    <w:rsid w:val="00153672"/>
    <w:rsid w:val="00154BB1"/>
    <w:rsid w:val="00155422"/>
    <w:rsid w:val="001558EC"/>
    <w:rsid w:val="001559BB"/>
    <w:rsid w:val="00156246"/>
    <w:rsid w:val="001566F6"/>
    <w:rsid w:val="00156AC8"/>
    <w:rsid w:val="001575D2"/>
    <w:rsid w:val="0015762A"/>
    <w:rsid w:val="00157665"/>
    <w:rsid w:val="00157666"/>
    <w:rsid w:val="00157AA8"/>
    <w:rsid w:val="00157EC3"/>
    <w:rsid w:val="0016009A"/>
    <w:rsid w:val="0016068C"/>
    <w:rsid w:val="0016071E"/>
    <w:rsid w:val="00160820"/>
    <w:rsid w:val="001623DB"/>
    <w:rsid w:val="00163305"/>
    <w:rsid w:val="0016378E"/>
    <w:rsid w:val="001638A1"/>
    <w:rsid w:val="00163AF4"/>
    <w:rsid w:val="00163E64"/>
    <w:rsid w:val="00164009"/>
    <w:rsid w:val="001649FE"/>
    <w:rsid w:val="00164A65"/>
    <w:rsid w:val="00164DAB"/>
    <w:rsid w:val="00164E93"/>
    <w:rsid w:val="00164F86"/>
    <w:rsid w:val="0016561E"/>
    <w:rsid w:val="00166A08"/>
    <w:rsid w:val="00166B44"/>
    <w:rsid w:val="00166BF2"/>
    <w:rsid w:val="00167049"/>
    <w:rsid w:val="0016725E"/>
    <w:rsid w:val="00167342"/>
    <w:rsid w:val="001675C7"/>
    <w:rsid w:val="00167836"/>
    <w:rsid w:val="00167CC7"/>
    <w:rsid w:val="001703CD"/>
    <w:rsid w:val="00170C1A"/>
    <w:rsid w:val="00170D37"/>
    <w:rsid w:val="0017114B"/>
    <w:rsid w:val="001713D5"/>
    <w:rsid w:val="00171621"/>
    <w:rsid w:val="001725F6"/>
    <w:rsid w:val="001729C5"/>
    <w:rsid w:val="00172C79"/>
    <w:rsid w:val="00172CDD"/>
    <w:rsid w:val="00172D01"/>
    <w:rsid w:val="00173F79"/>
    <w:rsid w:val="00174373"/>
    <w:rsid w:val="0017450E"/>
    <w:rsid w:val="00174D38"/>
    <w:rsid w:val="001756E3"/>
    <w:rsid w:val="00175A84"/>
    <w:rsid w:val="0017634A"/>
    <w:rsid w:val="00176432"/>
    <w:rsid w:val="00176660"/>
    <w:rsid w:val="001768F9"/>
    <w:rsid w:val="00176A4A"/>
    <w:rsid w:val="00177207"/>
    <w:rsid w:val="00177720"/>
    <w:rsid w:val="0017781D"/>
    <w:rsid w:val="00180C3B"/>
    <w:rsid w:val="0018225C"/>
    <w:rsid w:val="0018234E"/>
    <w:rsid w:val="0018255C"/>
    <w:rsid w:val="001825BE"/>
    <w:rsid w:val="00182B8F"/>
    <w:rsid w:val="00182DCE"/>
    <w:rsid w:val="001833E6"/>
    <w:rsid w:val="001834F1"/>
    <w:rsid w:val="0018351F"/>
    <w:rsid w:val="00183F6C"/>
    <w:rsid w:val="00184527"/>
    <w:rsid w:val="00184542"/>
    <w:rsid w:val="00184E7D"/>
    <w:rsid w:val="00184FD9"/>
    <w:rsid w:val="00184FEE"/>
    <w:rsid w:val="0018501E"/>
    <w:rsid w:val="0018524E"/>
    <w:rsid w:val="00185563"/>
    <w:rsid w:val="001858EB"/>
    <w:rsid w:val="00185FBE"/>
    <w:rsid w:val="00186347"/>
    <w:rsid w:val="00186756"/>
    <w:rsid w:val="00186791"/>
    <w:rsid w:val="00186C4C"/>
    <w:rsid w:val="0018749E"/>
    <w:rsid w:val="0018779C"/>
    <w:rsid w:val="00187897"/>
    <w:rsid w:val="00187ABD"/>
    <w:rsid w:val="00190C4D"/>
    <w:rsid w:val="00190CE3"/>
    <w:rsid w:val="001911C8"/>
    <w:rsid w:val="00191C61"/>
    <w:rsid w:val="001920A6"/>
    <w:rsid w:val="001922D9"/>
    <w:rsid w:val="00192364"/>
    <w:rsid w:val="001924CA"/>
    <w:rsid w:val="00192954"/>
    <w:rsid w:val="00193518"/>
    <w:rsid w:val="00193585"/>
    <w:rsid w:val="00193B36"/>
    <w:rsid w:val="00194450"/>
    <w:rsid w:val="0019468A"/>
    <w:rsid w:val="00194833"/>
    <w:rsid w:val="00194C98"/>
    <w:rsid w:val="00194D6D"/>
    <w:rsid w:val="00194DA2"/>
    <w:rsid w:val="001952DC"/>
    <w:rsid w:val="001952F0"/>
    <w:rsid w:val="00195308"/>
    <w:rsid w:val="0019555A"/>
    <w:rsid w:val="001959B5"/>
    <w:rsid w:val="00195CBF"/>
    <w:rsid w:val="00195D9B"/>
    <w:rsid w:val="00195FCC"/>
    <w:rsid w:val="00195FEF"/>
    <w:rsid w:val="001964B8"/>
    <w:rsid w:val="00197320"/>
    <w:rsid w:val="0019736B"/>
    <w:rsid w:val="001973AA"/>
    <w:rsid w:val="00197793"/>
    <w:rsid w:val="001A0A7B"/>
    <w:rsid w:val="001A0CD8"/>
    <w:rsid w:val="001A0E79"/>
    <w:rsid w:val="001A1853"/>
    <w:rsid w:val="001A239E"/>
    <w:rsid w:val="001A3111"/>
    <w:rsid w:val="001A37C6"/>
    <w:rsid w:val="001A3A10"/>
    <w:rsid w:val="001A4143"/>
    <w:rsid w:val="001A41B1"/>
    <w:rsid w:val="001A4339"/>
    <w:rsid w:val="001A4921"/>
    <w:rsid w:val="001A4974"/>
    <w:rsid w:val="001A52BD"/>
    <w:rsid w:val="001A5DCC"/>
    <w:rsid w:val="001A6302"/>
    <w:rsid w:val="001A698B"/>
    <w:rsid w:val="001A6A7B"/>
    <w:rsid w:val="001A6B44"/>
    <w:rsid w:val="001A6D41"/>
    <w:rsid w:val="001A768E"/>
    <w:rsid w:val="001A769D"/>
    <w:rsid w:val="001A7B96"/>
    <w:rsid w:val="001A7C88"/>
    <w:rsid w:val="001B056F"/>
    <w:rsid w:val="001B0627"/>
    <w:rsid w:val="001B0838"/>
    <w:rsid w:val="001B0E22"/>
    <w:rsid w:val="001B0FF8"/>
    <w:rsid w:val="001B175C"/>
    <w:rsid w:val="001B1807"/>
    <w:rsid w:val="001B19C9"/>
    <w:rsid w:val="001B1D78"/>
    <w:rsid w:val="001B27AE"/>
    <w:rsid w:val="001B2803"/>
    <w:rsid w:val="001B3617"/>
    <w:rsid w:val="001B3639"/>
    <w:rsid w:val="001B37BF"/>
    <w:rsid w:val="001B3BD9"/>
    <w:rsid w:val="001B3ED5"/>
    <w:rsid w:val="001B41E3"/>
    <w:rsid w:val="001B42B4"/>
    <w:rsid w:val="001B43DB"/>
    <w:rsid w:val="001B4405"/>
    <w:rsid w:val="001B48C8"/>
    <w:rsid w:val="001B4A8A"/>
    <w:rsid w:val="001B5020"/>
    <w:rsid w:val="001B50E3"/>
    <w:rsid w:val="001B5748"/>
    <w:rsid w:val="001B5992"/>
    <w:rsid w:val="001B5C0A"/>
    <w:rsid w:val="001B5E97"/>
    <w:rsid w:val="001B637D"/>
    <w:rsid w:val="001B63C8"/>
    <w:rsid w:val="001B6739"/>
    <w:rsid w:val="001B6C54"/>
    <w:rsid w:val="001B6D9A"/>
    <w:rsid w:val="001B6E76"/>
    <w:rsid w:val="001B71EA"/>
    <w:rsid w:val="001B7543"/>
    <w:rsid w:val="001B7B09"/>
    <w:rsid w:val="001C073E"/>
    <w:rsid w:val="001C0DAE"/>
    <w:rsid w:val="001C122E"/>
    <w:rsid w:val="001C186A"/>
    <w:rsid w:val="001C254B"/>
    <w:rsid w:val="001C2A27"/>
    <w:rsid w:val="001C2A9C"/>
    <w:rsid w:val="001C3462"/>
    <w:rsid w:val="001C3619"/>
    <w:rsid w:val="001C3691"/>
    <w:rsid w:val="001C37CF"/>
    <w:rsid w:val="001C3ABB"/>
    <w:rsid w:val="001C43AA"/>
    <w:rsid w:val="001C58E6"/>
    <w:rsid w:val="001C5BAF"/>
    <w:rsid w:val="001C5C19"/>
    <w:rsid w:val="001C6459"/>
    <w:rsid w:val="001C6706"/>
    <w:rsid w:val="001C6F2A"/>
    <w:rsid w:val="001C72A2"/>
    <w:rsid w:val="001D03EE"/>
    <w:rsid w:val="001D0551"/>
    <w:rsid w:val="001D1442"/>
    <w:rsid w:val="001D17D9"/>
    <w:rsid w:val="001D234F"/>
    <w:rsid w:val="001D2713"/>
    <w:rsid w:val="001D29E7"/>
    <w:rsid w:val="001D2A13"/>
    <w:rsid w:val="001D377F"/>
    <w:rsid w:val="001D38CB"/>
    <w:rsid w:val="001D424A"/>
    <w:rsid w:val="001D43EB"/>
    <w:rsid w:val="001D5A16"/>
    <w:rsid w:val="001D5F5D"/>
    <w:rsid w:val="001D6113"/>
    <w:rsid w:val="001D63A2"/>
    <w:rsid w:val="001D66B9"/>
    <w:rsid w:val="001D68C8"/>
    <w:rsid w:val="001D69C9"/>
    <w:rsid w:val="001D6C6C"/>
    <w:rsid w:val="001D7538"/>
    <w:rsid w:val="001E051F"/>
    <w:rsid w:val="001E0571"/>
    <w:rsid w:val="001E0A0E"/>
    <w:rsid w:val="001E0E50"/>
    <w:rsid w:val="001E0F1A"/>
    <w:rsid w:val="001E1953"/>
    <w:rsid w:val="001E1E72"/>
    <w:rsid w:val="001E3276"/>
    <w:rsid w:val="001E37E4"/>
    <w:rsid w:val="001E3C2F"/>
    <w:rsid w:val="001E3EEA"/>
    <w:rsid w:val="001E4369"/>
    <w:rsid w:val="001E489F"/>
    <w:rsid w:val="001E4A6D"/>
    <w:rsid w:val="001E4DFC"/>
    <w:rsid w:val="001E4E4B"/>
    <w:rsid w:val="001E4F80"/>
    <w:rsid w:val="001E57DB"/>
    <w:rsid w:val="001E59EB"/>
    <w:rsid w:val="001E5A81"/>
    <w:rsid w:val="001E5AC1"/>
    <w:rsid w:val="001E7336"/>
    <w:rsid w:val="001E7DA8"/>
    <w:rsid w:val="001F04B0"/>
    <w:rsid w:val="001F04C7"/>
    <w:rsid w:val="001F0ACF"/>
    <w:rsid w:val="001F0B32"/>
    <w:rsid w:val="001F0C7F"/>
    <w:rsid w:val="001F1064"/>
    <w:rsid w:val="001F12C3"/>
    <w:rsid w:val="001F1BF0"/>
    <w:rsid w:val="001F1C06"/>
    <w:rsid w:val="001F1EF7"/>
    <w:rsid w:val="001F1F07"/>
    <w:rsid w:val="001F2273"/>
    <w:rsid w:val="001F22EC"/>
    <w:rsid w:val="001F2355"/>
    <w:rsid w:val="001F2643"/>
    <w:rsid w:val="001F26D9"/>
    <w:rsid w:val="001F2834"/>
    <w:rsid w:val="001F3064"/>
    <w:rsid w:val="001F30ED"/>
    <w:rsid w:val="001F31A0"/>
    <w:rsid w:val="001F38D6"/>
    <w:rsid w:val="001F3CFB"/>
    <w:rsid w:val="001F3FC1"/>
    <w:rsid w:val="001F457C"/>
    <w:rsid w:val="001F4CC8"/>
    <w:rsid w:val="001F4CF1"/>
    <w:rsid w:val="001F4D8D"/>
    <w:rsid w:val="001F50A0"/>
    <w:rsid w:val="001F560A"/>
    <w:rsid w:val="001F5696"/>
    <w:rsid w:val="001F637B"/>
    <w:rsid w:val="001F63AE"/>
    <w:rsid w:val="001F7581"/>
    <w:rsid w:val="001F7FD2"/>
    <w:rsid w:val="0020011D"/>
    <w:rsid w:val="0020016B"/>
    <w:rsid w:val="00200247"/>
    <w:rsid w:val="002007AF"/>
    <w:rsid w:val="00200A98"/>
    <w:rsid w:val="00200B83"/>
    <w:rsid w:val="00201116"/>
    <w:rsid w:val="0020165F"/>
    <w:rsid w:val="0020224C"/>
    <w:rsid w:val="002023D1"/>
    <w:rsid w:val="00202F16"/>
    <w:rsid w:val="0020347E"/>
    <w:rsid w:val="00203556"/>
    <w:rsid w:val="0020364B"/>
    <w:rsid w:val="00203739"/>
    <w:rsid w:val="002037BB"/>
    <w:rsid w:val="00203B15"/>
    <w:rsid w:val="002043C9"/>
    <w:rsid w:val="002045E8"/>
    <w:rsid w:val="00204BA5"/>
    <w:rsid w:val="00204F01"/>
    <w:rsid w:val="002054F1"/>
    <w:rsid w:val="0020550A"/>
    <w:rsid w:val="002057EB"/>
    <w:rsid w:val="0020594B"/>
    <w:rsid w:val="00205F09"/>
    <w:rsid w:val="0020630C"/>
    <w:rsid w:val="00206757"/>
    <w:rsid w:val="00206A58"/>
    <w:rsid w:val="00206A9A"/>
    <w:rsid w:val="00206C64"/>
    <w:rsid w:val="00207BAA"/>
    <w:rsid w:val="00207CF1"/>
    <w:rsid w:val="00207DC4"/>
    <w:rsid w:val="00207F90"/>
    <w:rsid w:val="0021010F"/>
    <w:rsid w:val="0021074F"/>
    <w:rsid w:val="0021075A"/>
    <w:rsid w:val="00211B3F"/>
    <w:rsid w:val="00211E61"/>
    <w:rsid w:val="00212108"/>
    <w:rsid w:val="002128CF"/>
    <w:rsid w:val="00212F5D"/>
    <w:rsid w:val="0021365D"/>
    <w:rsid w:val="002138FA"/>
    <w:rsid w:val="00213AF8"/>
    <w:rsid w:val="00213C42"/>
    <w:rsid w:val="00213DC1"/>
    <w:rsid w:val="00214051"/>
    <w:rsid w:val="0021410B"/>
    <w:rsid w:val="002144A9"/>
    <w:rsid w:val="00214831"/>
    <w:rsid w:val="00214FCC"/>
    <w:rsid w:val="002150A7"/>
    <w:rsid w:val="00215A7B"/>
    <w:rsid w:val="00215BE7"/>
    <w:rsid w:val="00215D66"/>
    <w:rsid w:val="00215FE1"/>
    <w:rsid w:val="002167B5"/>
    <w:rsid w:val="00216894"/>
    <w:rsid w:val="00216E18"/>
    <w:rsid w:val="00216EAC"/>
    <w:rsid w:val="002175EF"/>
    <w:rsid w:val="002177F3"/>
    <w:rsid w:val="00217A9A"/>
    <w:rsid w:val="00217BF9"/>
    <w:rsid w:val="002205B4"/>
    <w:rsid w:val="002207EC"/>
    <w:rsid w:val="002208CF"/>
    <w:rsid w:val="00220E27"/>
    <w:rsid w:val="002213AA"/>
    <w:rsid w:val="00221734"/>
    <w:rsid w:val="00221931"/>
    <w:rsid w:val="00221BCF"/>
    <w:rsid w:val="002222D9"/>
    <w:rsid w:val="002225B7"/>
    <w:rsid w:val="002231B6"/>
    <w:rsid w:val="00223C88"/>
    <w:rsid w:val="0022408F"/>
    <w:rsid w:val="00224269"/>
    <w:rsid w:val="002245C2"/>
    <w:rsid w:val="002246C4"/>
    <w:rsid w:val="00224741"/>
    <w:rsid w:val="00224873"/>
    <w:rsid w:val="00224C17"/>
    <w:rsid w:val="002254F2"/>
    <w:rsid w:val="00225E31"/>
    <w:rsid w:val="00226123"/>
    <w:rsid w:val="00226457"/>
    <w:rsid w:val="00226A03"/>
    <w:rsid w:val="00226D6F"/>
    <w:rsid w:val="00226EF6"/>
    <w:rsid w:val="00226F31"/>
    <w:rsid w:val="002272DA"/>
    <w:rsid w:val="002275A6"/>
    <w:rsid w:val="0022775F"/>
    <w:rsid w:val="00227B2E"/>
    <w:rsid w:val="002300AF"/>
    <w:rsid w:val="002303EA"/>
    <w:rsid w:val="0023044B"/>
    <w:rsid w:val="00230466"/>
    <w:rsid w:val="00230645"/>
    <w:rsid w:val="00230DA5"/>
    <w:rsid w:val="002310C8"/>
    <w:rsid w:val="002317D7"/>
    <w:rsid w:val="00231B31"/>
    <w:rsid w:val="00231EC7"/>
    <w:rsid w:val="002327B6"/>
    <w:rsid w:val="0023298E"/>
    <w:rsid w:val="00232AF1"/>
    <w:rsid w:val="00232CF6"/>
    <w:rsid w:val="00232EC2"/>
    <w:rsid w:val="00232FD1"/>
    <w:rsid w:val="002337D1"/>
    <w:rsid w:val="00233995"/>
    <w:rsid w:val="00234353"/>
    <w:rsid w:val="002348F6"/>
    <w:rsid w:val="00234F40"/>
    <w:rsid w:val="00235516"/>
    <w:rsid w:val="002356E9"/>
    <w:rsid w:val="00235E36"/>
    <w:rsid w:val="00235E50"/>
    <w:rsid w:val="002361E7"/>
    <w:rsid w:val="0023686E"/>
    <w:rsid w:val="00236B43"/>
    <w:rsid w:val="00236B98"/>
    <w:rsid w:val="00236BEA"/>
    <w:rsid w:val="0023702C"/>
    <w:rsid w:val="00237075"/>
    <w:rsid w:val="002374FD"/>
    <w:rsid w:val="00240DDA"/>
    <w:rsid w:val="0024100A"/>
    <w:rsid w:val="00241884"/>
    <w:rsid w:val="002418B1"/>
    <w:rsid w:val="002422C1"/>
    <w:rsid w:val="00242332"/>
    <w:rsid w:val="002424E3"/>
    <w:rsid w:val="0024254D"/>
    <w:rsid w:val="002425D0"/>
    <w:rsid w:val="00243912"/>
    <w:rsid w:val="00244276"/>
    <w:rsid w:val="00244478"/>
    <w:rsid w:val="00244801"/>
    <w:rsid w:val="00244BEF"/>
    <w:rsid w:val="002451F4"/>
    <w:rsid w:val="00245508"/>
    <w:rsid w:val="002457BD"/>
    <w:rsid w:val="0024586B"/>
    <w:rsid w:val="0024603B"/>
    <w:rsid w:val="002463A7"/>
    <w:rsid w:val="00246D6D"/>
    <w:rsid w:val="00247574"/>
    <w:rsid w:val="0024774A"/>
    <w:rsid w:val="00247B40"/>
    <w:rsid w:val="00247C13"/>
    <w:rsid w:val="00247DB1"/>
    <w:rsid w:val="00250734"/>
    <w:rsid w:val="00250755"/>
    <w:rsid w:val="00250C4E"/>
    <w:rsid w:val="00250EFE"/>
    <w:rsid w:val="002513AC"/>
    <w:rsid w:val="00251F9B"/>
    <w:rsid w:val="0025256A"/>
    <w:rsid w:val="00252E18"/>
    <w:rsid w:val="00253D73"/>
    <w:rsid w:val="002541C8"/>
    <w:rsid w:val="002546B9"/>
    <w:rsid w:val="00254D49"/>
    <w:rsid w:val="002556FD"/>
    <w:rsid w:val="00255B5D"/>
    <w:rsid w:val="00255E0D"/>
    <w:rsid w:val="002564DC"/>
    <w:rsid w:val="00256605"/>
    <w:rsid w:val="00256B73"/>
    <w:rsid w:val="00256D57"/>
    <w:rsid w:val="00257C8C"/>
    <w:rsid w:val="002603F6"/>
    <w:rsid w:val="0026075C"/>
    <w:rsid w:val="002609DD"/>
    <w:rsid w:val="002611AE"/>
    <w:rsid w:val="00261401"/>
    <w:rsid w:val="002615F8"/>
    <w:rsid w:val="0026194D"/>
    <w:rsid w:val="00262503"/>
    <w:rsid w:val="00262D03"/>
    <w:rsid w:val="00263065"/>
    <w:rsid w:val="002640FC"/>
    <w:rsid w:val="0026416B"/>
    <w:rsid w:val="00264266"/>
    <w:rsid w:val="002642F0"/>
    <w:rsid w:val="00264824"/>
    <w:rsid w:val="00264A13"/>
    <w:rsid w:val="002652B7"/>
    <w:rsid w:val="00265822"/>
    <w:rsid w:val="00265CCD"/>
    <w:rsid w:val="00265FD6"/>
    <w:rsid w:val="00266050"/>
    <w:rsid w:val="00266850"/>
    <w:rsid w:val="002702C9"/>
    <w:rsid w:val="002702F2"/>
    <w:rsid w:val="002703DF"/>
    <w:rsid w:val="002705AC"/>
    <w:rsid w:val="00270CF9"/>
    <w:rsid w:val="00271475"/>
    <w:rsid w:val="00271BA5"/>
    <w:rsid w:val="00271D4E"/>
    <w:rsid w:val="00272100"/>
    <w:rsid w:val="00272635"/>
    <w:rsid w:val="0027276D"/>
    <w:rsid w:val="00272E64"/>
    <w:rsid w:val="00273208"/>
    <w:rsid w:val="0027350A"/>
    <w:rsid w:val="002735B3"/>
    <w:rsid w:val="00273D67"/>
    <w:rsid w:val="002745D4"/>
    <w:rsid w:val="002749A7"/>
    <w:rsid w:val="00274E6F"/>
    <w:rsid w:val="00275661"/>
    <w:rsid w:val="00275A12"/>
    <w:rsid w:val="00275FE5"/>
    <w:rsid w:val="00276201"/>
    <w:rsid w:val="0027635A"/>
    <w:rsid w:val="002763AE"/>
    <w:rsid w:val="0027655F"/>
    <w:rsid w:val="00276A0C"/>
    <w:rsid w:val="002771E0"/>
    <w:rsid w:val="00277E92"/>
    <w:rsid w:val="00277F46"/>
    <w:rsid w:val="0028084F"/>
    <w:rsid w:val="00280A0D"/>
    <w:rsid w:val="0028135C"/>
    <w:rsid w:val="002815D8"/>
    <w:rsid w:val="002816E8"/>
    <w:rsid w:val="00281747"/>
    <w:rsid w:val="00281CEB"/>
    <w:rsid w:val="002829ED"/>
    <w:rsid w:val="00283AF0"/>
    <w:rsid w:val="00284253"/>
    <w:rsid w:val="002846A2"/>
    <w:rsid w:val="00284CEF"/>
    <w:rsid w:val="002852E0"/>
    <w:rsid w:val="002853DF"/>
    <w:rsid w:val="002855E9"/>
    <w:rsid w:val="00285BC8"/>
    <w:rsid w:val="00286249"/>
    <w:rsid w:val="00286BBF"/>
    <w:rsid w:val="00286F14"/>
    <w:rsid w:val="0028724E"/>
    <w:rsid w:val="002877ED"/>
    <w:rsid w:val="00290381"/>
    <w:rsid w:val="002905EB"/>
    <w:rsid w:val="00291006"/>
    <w:rsid w:val="002920B1"/>
    <w:rsid w:val="00292C69"/>
    <w:rsid w:val="00292FE6"/>
    <w:rsid w:val="002933A8"/>
    <w:rsid w:val="00293A1C"/>
    <w:rsid w:val="00294293"/>
    <w:rsid w:val="00294579"/>
    <w:rsid w:val="00294BC3"/>
    <w:rsid w:val="00294F99"/>
    <w:rsid w:val="002952A7"/>
    <w:rsid w:val="00295A0E"/>
    <w:rsid w:val="0029605E"/>
    <w:rsid w:val="00296172"/>
    <w:rsid w:val="002961FA"/>
    <w:rsid w:val="0029629A"/>
    <w:rsid w:val="002963A9"/>
    <w:rsid w:val="00296898"/>
    <w:rsid w:val="00297078"/>
    <w:rsid w:val="00297332"/>
    <w:rsid w:val="00297586"/>
    <w:rsid w:val="002976F9"/>
    <w:rsid w:val="00297E53"/>
    <w:rsid w:val="002A0570"/>
    <w:rsid w:val="002A066F"/>
    <w:rsid w:val="002A071C"/>
    <w:rsid w:val="002A093D"/>
    <w:rsid w:val="002A0C93"/>
    <w:rsid w:val="002A1166"/>
    <w:rsid w:val="002A119A"/>
    <w:rsid w:val="002A184F"/>
    <w:rsid w:val="002A1968"/>
    <w:rsid w:val="002A2089"/>
    <w:rsid w:val="002A28DE"/>
    <w:rsid w:val="002A2FBD"/>
    <w:rsid w:val="002A3266"/>
    <w:rsid w:val="002A33C9"/>
    <w:rsid w:val="002A3415"/>
    <w:rsid w:val="002A39B3"/>
    <w:rsid w:val="002A3BEF"/>
    <w:rsid w:val="002A3CFA"/>
    <w:rsid w:val="002A3E50"/>
    <w:rsid w:val="002A3F92"/>
    <w:rsid w:val="002A4BE5"/>
    <w:rsid w:val="002A5321"/>
    <w:rsid w:val="002A576A"/>
    <w:rsid w:val="002A5D6B"/>
    <w:rsid w:val="002A66A5"/>
    <w:rsid w:val="002A6761"/>
    <w:rsid w:val="002A712C"/>
    <w:rsid w:val="002A7DBE"/>
    <w:rsid w:val="002A7E62"/>
    <w:rsid w:val="002A7F87"/>
    <w:rsid w:val="002B014B"/>
    <w:rsid w:val="002B0532"/>
    <w:rsid w:val="002B071C"/>
    <w:rsid w:val="002B198F"/>
    <w:rsid w:val="002B2210"/>
    <w:rsid w:val="002B36C9"/>
    <w:rsid w:val="002B4827"/>
    <w:rsid w:val="002B484A"/>
    <w:rsid w:val="002B53BD"/>
    <w:rsid w:val="002B5FEA"/>
    <w:rsid w:val="002B6058"/>
    <w:rsid w:val="002B6233"/>
    <w:rsid w:val="002B6664"/>
    <w:rsid w:val="002B6EA7"/>
    <w:rsid w:val="002B6ECE"/>
    <w:rsid w:val="002B71F7"/>
    <w:rsid w:val="002B7229"/>
    <w:rsid w:val="002B74C8"/>
    <w:rsid w:val="002B7758"/>
    <w:rsid w:val="002B7E73"/>
    <w:rsid w:val="002C0BE5"/>
    <w:rsid w:val="002C0C66"/>
    <w:rsid w:val="002C0C8A"/>
    <w:rsid w:val="002C0DCA"/>
    <w:rsid w:val="002C1705"/>
    <w:rsid w:val="002C1C8F"/>
    <w:rsid w:val="002C1D25"/>
    <w:rsid w:val="002C1D92"/>
    <w:rsid w:val="002C226C"/>
    <w:rsid w:val="002C2342"/>
    <w:rsid w:val="002C2780"/>
    <w:rsid w:val="002C3004"/>
    <w:rsid w:val="002C34DE"/>
    <w:rsid w:val="002C3E81"/>
    <w:rsid w:val="002C4A41"/>
    <w:rsid w:val="002C4BBC"/>
    <w:rsid w:val="002C4FBE"/>
    <w:rsid w:val="002C512B"/>
    <w:rsid w:val="002C598B"/>
    <w:rsid w:val="002C59F7"/>
    <w:rsid w:val="002C607A"/>
    <w:rsid w:val="002C6282"/>
    <w:rsid w:val="002C6BA2"/>
    <w:rsid w:val="002C6D2B"/>
    <w:rsid w:val="002C718F"/>
    <w:rsid w:val="002C742A"/>
    <w:rsid w:val="002C7AAB"/>
    <w:rsid w:val="002C7CAD"/>
    <w:rsid w:val="002C7D3E"/>
    <w:rsid w:val="002C7E02"/>
    <w:rsid w:val="002C7E20"/>
    <w:rsid w:val="002D03A2"/>
    <w:rsid w:val="002D0A48"/>
    <w:rsid w:val="002D0B39"/>
    <w:rsid w:val="002D169E"/>
    <w:rsid w:val="002D1975"/>
    <w:rsid w:val="002D23E4"/>
    <w:rsid w:val="002D25B4"/>
    <w:rsid w:val="002D2B43"/>
    <w:rsid w:val="002D2EA1"/>
    <w:rsid w:val="002D2F30"/>
    <w:rsid w:val="002D35A3"/>
    <w:rsid w:val="002D450F"/>
    <w:rsid w:val="002D4B4F"/>
    <w:rsid w:val="002D4D10"/>
    <w:rsid w:val="002D4D22"/>
    <w:rsid w:val="002D5180"/>
    <w:rsid w:val="002D5602"/>
    <w:rsid w:val="002D58F7"/>
    <w:rsid w:val="002D5A1E"/>
    <w:rsid w:val="002D5DF2"/>
    <w:rsid w:val="002D657A"/>
    <w:rsid w:val="002D6A9B"/>
    <w:rsid w:val="002D6E78"/>
    <w:rsid w:val="002D7068"/>
    <w:rsid w:val="002D7C84"/>
    <w:rsid w:val="002E0B90"/>
    <w:rsid w:val="002E0C81"/>
    <w:rsid w:val="002E0D02"/>
    <w:rsid w:val="002E0DE9"/>
    <w:rsid w:val="002E128F"/>
    <w:rsid w:val="002E191A"/>
    <w:rsid w:val="002E1ABA"/>
    <w:rsid w:val="002E1AC4"/>
    <w:rsid w:val="002E1BED"/>
    <w:rsid w:val="002E1D23"/>
    <w:rsid w:val="002E23AF"/>
    <w:rsid w:val="002E2408"/>
    <w:rsid w:val="002E2426"/>
    <w:rsid w:val="002E2A6B"/>
    <w:rsid w:val="002E3411"/>
    <w:rsid w:val="002E3726"/>
    <w:rsid w:val="002E4181"/>
    <w:rsid w:val="002E449A"/>
    <w:rsid w:val="002E56D8"/>
    <w:rsid w:val="002E58FD"/>
    <w:rsid w:val="002E5EB9"/>
    <w:rsid w:val="002E61D4"/>
    <w:rsid w:val="002E67FB"/>
    <w:rsid w:val="002E6893"/>
    <w:rsid w:val="002E6958"/>
    <w:rsid w:val="002E6F3F"/>
    <w:rsid w:val="002E73A9"/>
    <w:rsid w:val="002E73DD"/>
    <w:rsid w:val="002E7508"/>
    <w:rsid w:val="002E76AF"/>
    <w:rsid w:val="002E77AE"/>
    <w:rsid w:val="002E7D79"/>
    <w:rsid w:val="002E7F73"/>
    <w:rsid w:val="002F010B"/>
    <w:rsid w:val="002F0A71"/>
    <w:rsid w:val="002F121C"/>
    <w:rsid w:val="002F17D9"/>
    <w:rsid w:val="002F1A8A"/>
    <w:rsid w:val="002F1BE2"/>
    <w:rsid w:val="002F2423"/>
    <w:rsid w:val="002F327E"/>
    <w:rsid w:val="002F47B1"/>
    <w:rsid w:val="002F4B2B"/>
    <w:rsid w:val="002F4DE4"/>
    <w:rsid w:val="002F531A"/>
    <w:rsid w:val="002F5516"/>
    <w:rsid w:val="002F5748"/>
    <w:rsid w:val="002F5E65"/>
    <w:rsid w:val="002F5F66"/>
    <w:rsid w:val="002F6BFF"/>
    <w:rsid w:val="002F7130"/>
    <w:rsid w:val="002F7297"/>
    <w:rsid w:val="002F748B"/>
    <w:rsid w:val="002F7610"/>
    <w:rsid w:val="002F77F3"/>
    <w:rsid w:val="002F7C0C"/>
    <w:rsid w:val="003001EA"/>
    <w:rsid w:val="003002B7"/>
    <w:rsid w:val="00300340"/>
    <w:rsid w:val="0030038D"/>
    <w:rsid w:val="003005FB"/>
    <w:rsid w:val="0030104D"/>
    <w:rsid w:val="003017C3"/>
    <w:rsid w:val="00301983"/>
    <w:rsid w:val="00301EDD"/>
    <w:rsid w:val="00301F48"/>
    <w:rsid w:val="00302312"/>
    <w:rsid w:val="00302415"/>
    <w:rsid w:val="003028DD"/>
    <w:rsid w:val="00302CCC"/>
    <w:rsid w:val="00302F42"/>
    <w:rsid w:val="003035F1"/>
    <w:rsid w:val="00303DE1"/>
    <w:rsid w:val="00304111"/>
    <w:rsid w:val="0030452E"/>
    <w:rsid w:val="00304678"/>
    <w:rsid w:val="00304A2E"/>
    <w:rsid w:val="00304AD7"/>
    <w:rsid w:val="00304EA9"/>
    <w:rsid w:val="00305409"/>
    <w:rsid w:val="00305A0C"/>
    <w:rsid w:val="00305DCB"/>
    <w:rsid w:val="00305E1A"/>
    <w:rsid w:val="00305E5B"/>
    <w:rsid w:val="00305F85"/>
    <w:rsid w:val="0030640A"/>
    <w:rsid w:val="003071DA"/>
    <w:rsid w:val="00307AE2"/>
    <w:rsid w:val="003106D0"/>
    <w:rsid w:val="00310B9F"/>
    <w:rsid w:val="00311409"/>
    <w:rsid w:val="00311735"/>
    <w:rsid w:val="00311C86"/>
    <w:rsid w:val="00311DFC"/>
    <w:rsid w:val="0031352A"/>
    <w:rsid w:val="00313734"/>
    <w:rsid w:val="003139FC"/>
    <w:rsid w:val="0031427E"/>
    <w:rsid w:val="00314EC8"/>
    <w:rsid w:val="00314F76"/>
    <w:rsid w:val="00316125"/>
    <w:rsid w:val="00316C08"/>
    <w:rsid w:val="00316EC6"/>
    <w:rsid w:val="003170E7"/>
    <w:rsid w:val="00317292"/>
    <w:rsid w:val="0031730B"/>
    <w:rsid w:val="00320430"/>
    <w:rsid w:val="003207B9"/>
    <w:rsid w:val="00320B8A"/>
    <w:rsid w:val="00320FCB"/>
    <w:rsid w:val="00321100"/>
    <w:rsid w:val="00321D35"/>
    <w:rsid w:val="00321D8F"/>
    <w:rsid w:val="00321E8E"/>
    <w:rsid w:val="00322011"/>
    <w:rsid w:val="003220CA"/>
    <w:rsid w:val="00322302"/>
    <w:rsid w:val="00322988"/>
    <w:rsid w:val="00322BF0"/>
    <w:rsid w:val="00322DB2"/>
    <w:rsid w:val="003230B0"/>
    <w:rsid w:val="00323278"/>
    <w:rsid w:val="0032333E"/>
    <w:rsid w:val="003235AA"/>
    <w:rsid w:val="003238B4"/>
    <w:rsid w:val="00323BCB"/>
    <w:rsid w:val="00323C99"/>
    <w:rsid w:val="00323DCA"/>
    <w:rsid w:val="003243C3"/>
    <w:rsid w:val="00324982"/>
    <w:rsid w:val="00324AA6"/>
    <w:rsid w:val="00324BB6"/>
    <w:rsid w:val="00324BE5"/>
    <w:rsid w:val="00325CF3"/>
    <w:rsid w:val="003265E1"/>
    <w:rsid w:val="00326F4D"/>
    <w:rsid w:val="00327067"/>
    <w:rsid w:val="00327A69"/>
    <w:rsid w:val="00327FBE"/>
    <w:rsid w:val="003300E5"/>
    <w:rsid w:val="003309CD"/>
    <w:rsid w:val="003309DA"/>
    <w:rsid w:val="00330CAC"/>
    <w:rsid w:val="00330F9A"/>
    <w:rsid w:val="003315F8"/>
    <w:rsid w:val="00331788"/>
    <w:rsid w:val="00331C50"/>
    <w:rsid w:val="00331EEE"/>
    <w:rsid w:val="003322F1"/>
    <w:rsid w:val="00332B55"/>
    <w:rsid w:val="0033361F"/>
    <w:rsid w:val="0033386D"/>
    <w:rsid w:val="00333BC9"/>
    <w:rsid w:val="003344B4"/>
    <w:rsid w:val="00335165"/>
    <w:rsid w:val="003352B2"/>
    <w:rsid w:val="00335395"/>
    <w:rsid w:val="00335480"/>
    <w:rsid w:val="00335539"/>
    <w:rsid w:val="00335CFF"/>
    <w:rsid w:val="00335EC9"/>
    <w:rsid w:val="0033638E"/>
    <w:rsid w:val="00336A0E"/>
    <w:rsid w:val="00336F31"/>
    <w:rsid w:val="00336F41"/>
    <w:rsid w:val="003371F6"/>
    <w:rsid w:val="003375D7"/>
    <w:rsid w:val="00340394"/>
    <w:rsid w:val="00340614"/>
    <w:rsid w:val="003411A8"/>
    <w:rsid w:val="003412DB"/>
    <w:rsid w:val="0034140F"/>
    <w:rsid w:val="00341992"/>
    <w:rsid w:val="00341A99"/>
    <w:rsid w:val="003427AD"/>
    <w:rsid w:val="00342DAB"/>
    <w:rsid w:val="0034355B"/>
    <w:rsid w:val="00343625"/>
    <w:rsid w:val="00343AB2"/>
    <w:rsid w:val="00343C84"/>
    <w:rsid w:val="00343FFE"/>
    <w:rsid w:val="00344F81"/>
    <w:rsid w:val="003454D1"/>
    <w:rsid w:val="003455D8"/>
    <w:rsid w:val="003456E8"/>
    <w:rsid w:val="00345922"/>
    <w:rsid w:val="00345B5D"/>
    <w:rsid w:val="00345CA0"/>
    <w:rsid w:val="00345E7B"/>
    <w:rsid w:val="003460F3"/>
    <w:rsid w:val="00346298"/>
    <w:rsid w:val="0034647B"/>
    <w:rsid w:val="0034676C"/>
    <w:rsid w:val="00346829"/>
    <w:rsid w:val="00346EDB"/>
    <w:rsid w:val="003470DF"/>
    <w:rsid w:val="00347352"/>
    <w:rsid w:val="00347406"/>
    <w:rsid w:val="00347554"/>
    <w:rsid w:val="00347A0F"/>
    <w:rsid w:val="00347B30"/>
    <w:rsid w:val="003500E5"/>
    <w:rsid w:val="003501DB"/>
    <w:rsid w:val="003502DF"/>
    <w:rsid w:val="00350842"/>
    <w:rsid w:val="00350E06"/>
    <w:rsid w:val="00350F80"/>
    <w:rsid w:val="0035104E"/>
    <w:rsid w:val="003516BC"/>
    <w:rsid w:val="00351A65"/>
    <w:rsid w:val="003522AC"/>
    <w:rsid w:val="0035255E"/>
    <w:rsid w:val="00352782"/>
    <w:rsid w:val="00352A7A"/>
    <w:rsid w:val="0035316E"/>
    <w:rsid w:val="003533F1"/>
    <w:rsid w:val="003544B8"/>
    <w:rsid w:val="003548A6"/>
    <w:rsid w:val="003549D2"/>
    <w:rsid w:val="00355500"/>
    <w:rsid w:val="00355E14"/>
    <w:rsid w:val="003561BB"/>
    <w:rsid w:val="003563F7"/>
    <w:rsid w:val="003563FD"/>
    <w:rsid w:val="003567EF"/>
    <w:rsid w:val="00356988"/>
    <w:rsid w:val="00356DD9"/>
    <w:rsid w:val="00356DEA"/>
    <w:rsid w:val="0035724A"/>
    <w:rsid w:val="003574C1"/>
    <w:rsid w:val="003575E8"/>
    <w:rsid w:val="00357734"/>
    <w:rsid w:val="00360084"/>
    <w:rsid w:val="0036016B"/>
    <w:rsid w:val="00360E12"/>
    <w:rsid w:val="00360F01"/>
    <w:rsid w:val="00361023"/>
    <w:rsid w:val="00361245"/>
    <w:rsid w:val="0036182B"/>
    <w:rsid w:val="00361A96"/>
    <w:rsid w:val="00361B55"/>
    <w:rsid w:val="00361D7A"/>
    <w:rsid w:val="00361DAA"/>
    <w:rsid w:val="0036201C"/>
    <w:rsid w:val="00362040"/>
    <w:rsid w:val="003620BF"/>
    <w:rsid w:val="00364285"/>
    <w:rsid w:val="003643E8"/>
    <w:rsid w:val="00364824"/>
    <w:rsid w:val="00364DA5"/>
    <w:rsid w:val="00364E2E"/>
    <w:rsid w:val="00364F8E"/>
    <w:rsid w:val="00365991"/>
    <w:rsid w:val="00365A2A"/>
    <w:rsid w:val="00365ABC"/>
    <w:rsid w:val="00365F9C"/>
    <w:rsid w:val="00366E00"/>
    <w:rsid w:val="003675FD"/>
    <w:rsid w:val="00367986"/>
    <w:rsid w:val="003703EF"/>
    <w:rsid w:val="0037077C"/>
    <w:rsid w:val="00370877"/>
    <w:rsid w:val="00370902"/>
    <w:rsid w:val="00370B08"/>
    <w:rsid w:val="00370DD5"/>
    <w:rsid w:val="00370F44"/>
    <w:rsid w:val="003710FF"/>
    <w:rsid w:val="00371A67"/>
    <w:rsid w:val="00371F59"/>
    <w:rsid w:val="00372D49"/>
    <w:rsid w:val="00372E2E"/>
    <w:rsid w:val="0037383A"/>
    <w:rsid w:val="00373A4C"/>
    <w:rsid w:val="00373AF1"/>
    <w:rsid w:val="00373C23"/>
    <w:rsid w:val="003740D2"/>
    <w:rsid w:val="00374636"/>
    <w:rsid w:val="003749CF"/>
    <w:rsid w:val="00374DD3"/>
    <w:rsid w:val="00374F64"/>
    <w:rsid w:val="00374FA0"/>
    <w:rsid w:val="0037501E"/>
    <w:rsid w:val="00375BD6"/>
    <w:rsid w:val="00375F62"/>
    <w:rsid w:val="0037611D"/>
    <w:rsid w:val="003764F8"/>
    <w:rsid w:val="003772BF"/>
    <w:rsid w:val="003803B1"/>
    <w:rsid w:val="0038049D"/>
    <w:rsid w:val="00380536"/>
    <w:rsid w:val="0038073C"/>
    <w:rsid w:val="00380D28"/>
    <w:rsid w:val="003812A1"/>
    <w:rsid w:val="0038181C"/>
    <w:rsid w:val="003819FD"/>
    <w:rsid w:val="00381B42"/>
    <w:rsid w:val="00382DB8"/>
    <w:rsid w:val="003835B4"/>
    <w:rsid w:val="00383A9B"/>
    <w:rsid w:val="0038410A"/>
    <w:rsid w:val="00384547"/>
    <w:rsid w:val="003845C9"/>
    <w:rsid w:val="00385BDB"/>
    <w:rsid w:val="00385CE4"/>
    <w:rsid w:val="00385F26"/>
    <w:rsid w:val="003860D9"/>
    <w:rsid w:val="003861F1"/>
    <w:rsid w:val="00386D26"/>
    <w:rsid w:val="00386F10"/>
    <w:rsid w:val="003871BA"/>
    <w:rsid w:val="0038740D"/>
    <w:rsid w:val="003874D2"/>
    <w:rsid w:val="003878E5"/>
    <w:rsid w:val="00387B2C"/>
    <w:rsid w:val="00387D40"/>
    <w:rsid w:val="00387E72"/>
    <w:rsid w:val="00387F7E"/>
    <w:rsid w:val="00387FC4"/>
    <w:rsid w:val="00390433"/>
    <w:rsid w:val="0039051F"/>
    <w:rsid w:val="00391240"/>
    <w:rsid w:val="003914B6"/>
    <w:rsid w:val="00391BD0"/>
    <w:rsid w:val="00391DBF"/>
    <w:rsid w:val="0039221C"/>
    <w:rsid w:val="00392234"/>
    <w:rsid w:val="003922D8"/>
    <w:rsid w:val="00392913"/>
    <w:rsid w:val="00392B73"/>
    <w:rsid w:val="0039303E"/>
    <w:rsid w:val="00393483"/>
    <w:rsid w:val="00393A30"/>
    <w:rsid w:val="00393A99"/>
    <w:rsid w:val="00393C5F"/>
    <w:rsid w:val="00393D78"/>
    <w:rsid w:val="003940C3"/>
    <w:rsid w:val="003946CD"/>
    <w:rsid w:val="00394851"/>
    <w:rsid w:val="00394ACC"/>
    <w:rsid w:val="00394D6D"/>
    <w:rsid w:val="00395152"/>
    <w:rsid w:val="00395956"/>
    <w:rsid w:val="00396A5B"/>
    <w:rsid w:val="003972CC"/>
    <w:rsid w:val="003972F5"/>
    <w:rsid w:val="0039779B"/>
    <w:rsid w:val="00397906"/>
    <w:rsid w:val="00397D2A"/>
    <w:rsid w:val="00397D79"/>
    <w:rsid w:val="00397EA6"/>
    <w:rsid w:val="003A00CD"/>
    <w:rsid w:val="003A0706"/>
    <w:rsid w:val="003A0A7C"/>
    <w:rsid w:val="003A0BD5"/>
    <w:rsid w:val="003A0DF2"/>
    <w:rsid w:val="003A0ED9"/>
    <w:rsid w:val="003A164C"/>
    <w:rsid w:val="003A1D4C"/>
    <w:rsid w:val="003A27D8"/>
    <w:rsid w:val="003A31A4"/>
    <w:rsid w:val="003A33B6"/>
    <w:rsid w:val="003A3EEF"/>
    <w:rsid w:val="003A42E5"/>
    <w:rsid w:val="003A44BC"/>
    <w:rsid w:val="003A47CA"/>
    <w:rsid w:val="003A4C0F"/>
    <w:rsid w:val="003A5057"/>
    <w:rsid w:val="003A540F"/>
    <w:rsid w:val="003A54F0"/>
    <w:rsid w:val="003A5B66"/>
    <w:rsid w:val="003A5EA1"/>
    <w:rsid w:val="003A6D08"/>
    <w:rsid w:val="003A6F6E"/>
    <w:rsid w:val="003A75F1"/>
    <w:rsid w:val="003A76CE"/>
    <w:rsid w:val="003A7E37"/>
    <w:rsid w:val="003B0034"/>
    <w:rsid w:val="003B0047"/>
    <w:rsid w:val="003B0136"/>
    <w:rsid w:val="003B0284"/>
    <w:rsid w:val="003B039B"/>
    <w:rsid w:val="003B048F"/>
    <w:rsid w:val="003B07D7"/>
    <w:rsid w:val="003B0BCA"/>
    <w:rsid w:val="003B0EE1"/>
    <w:rsid w:val="003B0F70"/>
    <w:rsid w:val="003B16E3"/>
    <w:rsid w:val="003B198D"/>
    <w:rsid w:val="003B1C0D"/>
    <w:rsid w:val="003B1F06"/>
    <w:rsid w:val="003B2050"/>
    <w:rsid w:val="003B22EA"/>
    <w:rsid w:val="003B2795"/>
    <w:rsid w:val="003B2841"/>
    <w:rsid w:val="003B28ED"/>
    <w:rsid w:val="003B2E36"/>
    <w:rsid w:val="003B3576"/>
    <w:rsid w:val="003B3BCB"/>
    <w:rsid w:val="003B3FAC"/>
    <w:rsid w:val="003B4455"/>
    <w:rsid w:val="003B44AE"/>
    <w:rsid w:val="003B49CB"/>
    <w:rsid w:val="003B4A51"/>
    <w:rsid w:val="003B50B6"/>
    <w:rsid w:val="003B553C"/>
    <w:rsid w:val="003B5674"/>
    <w:rsid w:val="003B591E"/>
    <w:rsid w:val="003B5A93"/>
    <w:rsid w:val="003B6481"/>
    <w:rsid w:val="003B6E52"/>
    <w:rsid w:val="003B7045"/>
    <w:rsid w:val="003B759C"/>
    <w:rsid w:val="003B7745"/>
    <w:rsid w:val="003B7E26"/>
    <w:rsid w:val="003C01B8"/>
    <w:rsid w:val="003C0234"/>
    <w:rsid w:val="003C049E"/>
    <w:rsid w:val="003C13CF"/>
    <w:rsid w:val="003C1424"/>
    <w:rsid w:val="003C1568"/>
    <w:rsid w:val="003C1970"/>
    <w:rsid w:val="003C1B6B"/>
    <w:rsid w:val="003C2132"/>
    <w:rsid w:val="003C2182"/>
    <w:rsid w:val="003C23ED"/>
    <w:rsid w:val="003C2778"/>
    <w:rsid w:val="003C2847"/>
    <w:rsid w:val="003C2878"/>
    <w:rsid w:val="003C2E27"/>
    <w:rsid w:val="003C33A8"/>
    <w:rsid w:val="003C33F3"/>
    <w:rsid w:val="003C3D1D"/>
    <w:rsid w:val="003C46CA"/>
    <w:rsid w:val="003C5134"/>
    <w:rsid w:val="003C5173"/>
    <w:rsid w:val="003C56EB"/>
    <w:rsid w:val="003C58C0"/>
    <w:rsid w:val="003C5A27"/>
    <w:rsid w:val="003C5EBC"/>
    <w:rsid w:val="003C5F04"/>
    <w:rsid w:val="003C6054"/>
    <w:rsid w:val="003C6116"/>
    <w:rsid w:val="003C636C"/>
    <w:rsid w:val="003C6621"/>
    <w:rsid w:val="003C67F0"/>
    <w:rsid w:val="003C6919"/>
    <w:rsid w:val="003C6990"/>
    <w:rsid w:val="003C6EAD"/>
    <w:rsid w:val="003C730D"/>
    <w:rsid w:val="003C7518"/>
    <w:rsid w:val="003C7645"/>
    <w:rsid w:val="003C7C8C"/>
    <w:rsid w:val="003C7FE3"/>
    <w:rsid w:val="003D029C"/>
    <w:rsid w:val="003D06AA"/>
    <w:rsid w:val="003D0868"/>
    <w:rsid w:val="003D0D1D"/>
    <w:rsid w:val="003D0E4E"/>
    <w:rsid w:val="003D12A7"/>
    <w:rsid w:val="003D155B"/>
    <w:rsid w:val="003D1885"/>
    <w:rsid w:val="003D1A54"/>
    <w:rsid w:val="003D215C"/>
    <w:rsid w:val="003D2329"/>
    <w:rsid w:val="003D24DE"/>
    <w:rsid w:val="003D24E5"/>
    <w:rsid w:val="003D2577"/>
    <w:rsid w:val="003D2714"/>
    <w:rsid w:val="003D2C94"/>
    <w:rsid w:val="003D3012"/>
    <w:rsid w:val="003D303F"/>
    <w:rsid w:val="003D34BA"/>
    <w:rsid w:val="003D3669"/>
    <w:rsid w:val="003D3BB7"/>
    <w:rsid w:val="003D403D"/>
    <w:rsid w:val="003D46D7"/>
    <w:rsid w:val="003D4824"/>
    <w:rsid w:val="003D48D8"/>
    <w:rsid w:val="003D4C15"/>
    <w:rsid w:val="003D53F9"/>
    <w:rsid w:val="003D544D"/>
    <w:rsid w:val="003D5769"/>
    <w:rsid w:val="003D6149"/>
    <w:rsid w:val="003D62B6"/>
    <w:rsid w:val="003D67A9"/>
    <w:rsid w:val="003D69A9"/>
    <w:rsid w:val="003D7003"/>
    <w:rsid w:val="003D7569"/>
    <w:rsid w:val="003D76ED"/>
    <w:rsid w:val="003D7717"/>
    <w:rsid w:val="003D79BD"/>
    <w:rsid w:val="003E0189"/>
    <w:rsid w:val="003E079B"/>
    <w:rsid w:val="003E0BEF"/>
    <w:rsid w:val="003E1C9A"/>
    <w:rsid w:val="003E2295"/>
    <w:rsid w:val="003E2584"/>
    <w:rsid w:val="003E26DD"/>
    <w:rsid w:val="003E2F84"/>
    <w:rsid w:val="003E32B2"/>
    <w:rsid w:val="003E39F6"/>
    <w:rsid w:val="003E3F2D"/>
    <w:rsid w:val="003E41F5"/>
    <w:rsid w:val="003E4374"/>
    <w:rsid w:val="003E4415"/>
    <w:rsid w:val="003E46C3"/>
    <w:rsid w:val="003E4C6F"/>
    <w:rsid w:val="003E5121"/>
    <w:rsid w:val="003E5353"/>
    <w:rsid w:val="003E598E"/>
    <w:rsid w:val="003E5F2D"/>
    <w:rsid w:val="003E6656"/>
    <w:rsid w:val="003E6714"/>
    <w:rsid w:val="003E6DE5"/>
    <w:rsid w:val="003E74D6"/>
    <w:rsid w:val="003E75AC"/>
    <w:rsid w:val="003E76EF"/>
    <w:rsid w:val="003E7727"/>
    <w:rsid w:val="003E7EAC"/>
    <w:rsid w:val="003F029E"/>
    <w:rsid w:val="003F03E7"/>
    <w:rsid w:val="003F0A5B"/>
    <w:rsid w:val="003F0B10"/>
    <w:rsid w:val="003F1474"/>
    <w:rsid w:val="003F17CC"/>
    <w:rsid w:val="003F18E2"/>
    <w:rsid w:val="003F1AC1"/>
    <w:rsid w:val="003F1BDF"/>
    <w:rsid w:val="003F1D80"/>
    <w:rsid w:val="003F202B"/>
    <w:rsid w:val="003F22AD"/>
    <w:rsid w:val="003F2C93"/>
    <w:rsid w:val="003F2F25"/>
    <w:rsid w:val="003F3242"/>
    <w:rsid w:val="003F3305"/>
    <w:rsid w:val="003F3BB5"/>
    <w:rsid w:val="003F420E"/>
    <w:rsid w:val="003F47D6"/>
    <w:rsid w:val="003F4874"/>
    <w:rsid w:val="003F4B5E"/>
    <w:rsid w:val="003F4B9C"/>
    <w:rsid w:val="003F4C6B"/>
    <w:rsid w:val="003F4D10"/>
    <w:rsid w:val="003F4F31"/>
    <w:rsid w:val="003F522A"/>
    <w:rsid w:val="003F56A1"/>
    <w:rsid w:val="003F583A"/>
    <w:rsid w:val="003F58CF"/>
    <w:rsid w:val="003F5E18"/>
    <w:rsid w:val="003F5FB7"/>
    <w:rsid w:val="003F617A"/>
    <w:rsid w:val="003F6475"/>
    <w:rsid w:val="003F683E"/>
    <w:rsid w:val="003F6FC2"/>
    <w:rsid w:val="003F7192"/>
    <w:rsid w:val="003F745B"/>
    <w:rsid w:val="003F7CB3"/>
    <w:rsid w:val="003F7F86"/>
    <w:rsid w:val="003F7FA7"/>
    <w:rsid w:val="0040022F"/>
    <w:rsid w:val="004004D9"/>
    <w:rsid w:val="00400978"/>
    <w:rsid w:val="00400D9D"/>
    <w:rsid w:val="00400F9E"/>
    <w:rsid w:val="00401296"/>
    <w:rsid w:val="004013BA"/>
    <w:rsid w:val="004013E6"/>
    <w:rsid w:val="00401C6E"/>
    <w:rsid w:val="00402264"/>
    <w:rsid w:val="004026BE"/>
    <w:rsid w:val="00402FEC"/>
    <w:rsid w:val="00403302"/>
    <w:rsid w:val="004034CD"/>
    <w:rsid w:val="00403B6D"/>
    <w:rsid w:val="00403C02"/>
    <w:rsid w:val="0040446A"/>
    <w:rsid w:val="004045DC"/>
    <w:rsid w:val="00404B1D"/>
    <w:rsid w:val="00404D57"/>
    <w:rsid w:val="00404D8C"/>
    <w:rsid w:val="0040503B"/>
    <w:rsid w:val="004054BA"/>
    <w:rsid w:val="004054FF"/>
    <w:rsid w:val="0040559D"/>
    <w:rsid w:val="0040560F"/>
    <w:rsid w:val="00406183"/>
    <w:rsid w:val="004064E8"/>
    <w:rsid w:val="00406534"/>
    <w:rsid w:val="0040678B"/>
    <w:rsid w:val="00407381"/>
    <w:rsid w:val="004079B2"/>
    <w:rsid w:val="00407A7D"/>
    <w:rsid w:val="00407D92"/>
    <w:rsid w:val="00407EB0"/>
    <w:rsid w:val="00407FC7"/>
    <w:rsid w:val="004102FB"/>
    <w:rsid w:val="004103E4"/>
    <w:rsid w:val="00410E0C"/>
    <w:rsid w:val="00410F62"/>
    <w:rsid w:val="00411168"/>
    <w:rsid w:val="00412570"/>
    <w:rsid w:val="004125C6"/>
    <w:rsid w:val="0041273A"/>
    <w:rsid w:val="00412EDA"/>
    <w:rsid w:val="004138AE"/>
    <w:rsid w:val="0041464C"/>
    <w:rsid w:val="00414AC4"/>
    <w:rsid w:val="00414C8D"/>
    <w:rsid w:val="00414CF3"/>
    <w:rsid w:val="00414EDF"/>
    <w:rsid w:val="00415435"/>
    <w:rsid w:val="00415528"/>
    <w:rsid w:val="0041566C"/>
    <w:rsid w:val="004156E4"/>
    <w:rsid w:val="00415D54"/>
    <w:rsid w:val="0041619F"/>
    <w:rsid w:val="0041640B"/>
    <w:rsid w:val="0041660D"/>
    <w:rsid w:val="00416F1A"/>
    <w:rsid w:val="004174D0"/>
    <w:rsid w:val="004174E1"/>
    <w:rsid w:val="004176C4"/>
    <w:rsid w:val="00417934"/>
    <w:rsid w:val="00421D4D"/>
    <w:rsid w:val="00421ED2"/>
    <w:rsid w:val="00421F71"/>
    <w:rsid w:val="0042210D"/>
    <w:rsid w:val="00422867"/>
    <w:rsid w:val="00422AC8"/>
    <w:rsid w:val="004232CD"/>
    <w:rsid w:val="004235C1"/>
    <w:rsid w:val="0042362B"/>
    <w:rsid w:val="00423735"/>
    <w:rsid w:val="00423D00"/>
    <w:rsid w:val="00423D95"/>
    <w:rsid w:val="004240D4"/>
    <w:rsid w:val="00424176"/>
    <w:rsid w:val="004241B9"/>
    <w:rsid w:val="0042429F"/>
    <w:rsid w:val="004252E8"/>
    <w:rsid w:val="0042592C"/>
    <w:rsid w:val="00425BF6"/>
    <w:rsid w:val="00425DAD"/>
    <w:rsid w:val="004264F3"/>
    <w:rsid w:val="0042673B"/>
    <w:rsid w:val="00426A9B"/>
    <w:rsid w:val="00426C82"/>
    <w:rsid w:val="004273AD"/>
    <w:rsid w:val="00427730"/>
    <w:rsid w:val="00427D14"/>
    <w:rsid w:val="00427D1C"/>
    <w:rsid w:val="00427FED"/>
    <w:rsid w:val="0043031B"/>
    <w:rsid w:val="00430496"/>
    <w:rsid w:val="0043088B"/>
    <w:rsid w:val="00430F25"/>
    <w:rsid w:val="0043118D"/>
    <w:rsid w:val="0043151C"/>
    <w:rsid w:val="00431611"/>
    <w:rsid w:val="004319D2"/>
    <w:rsid w:val="00431E95"/>
    <w:rsid w:val="00432109"/>
    <w:rsid w:val="0043251D"/>
    <w:rsid w:val="00432A30"/>
    <w:rsid w:val="00432B88"/>
    <w:rsid w:val="00432E3E"/>
    <w:rsid w:val="004333AC"/>
    <w:rsid w:val="00433A7E"/>
    <w:rsid w:val="00433B25"/>
    <w:rsid w:val="00433EA7"/>
    <w:rsid w:val="00434004"/>
    <w:rsid w:val="00434214"/>
    <w:rsid w:val="004344E3"/>
    <w:rsid w:val="00434930"/>
    <w:rsid w:val="00434C4E"/>
    <w:rsid w:val="004350A6"/>
    <w:rsid w:val="00435419"/>
    <w:rsid w:val="004354CC"/>
    <w:rsid w:val="004354DF"/>
    <w:rsid w:val="00435BBA"/>
    <w:rsid w:val="00435FB8"/>
    <w:rsid w:val="0043613F"/>
    <w:rsid w:val="004362C3"/>
    <w:rsid w:val="0043643B"/>
    <w:rsid w:val="00436960"/>
    <w:rsid w:val="00436C55"/>
    <w:rsid w:val="00436D82"/>
    <w:rsid w:val="004375B0"/>
    <w:rsid w:val="004379BC"/>
    <w:rsid w:val="004401FD"/>
    <w:rsid w:val="004404FF"/>
    <w:rsid w:val="004407AC"/>
    <w:rsid w:val="00440E22"/>
    <w:rsid w:val="00441539"/>
    <w:rsid w:val="00441DEF"/>
    <w:rsid w:val="0044218C"/>
    <w:rsid w:val="00442A58"/>
    <w:rsid w:val="00442A85"/>
    <w:rsid w:val="00442AE9"/>
    <w:rsid w:val="00442EF6"/>
    <w:rsid w:val="00443032"/>
    <w:rsid w:val="004430D1"/>
    <w:rsid w:val="00443139"/>
    <w:rsid w:val="004434B4"/>
    <w:rsid w:val="004447DC"/>
    <w:rsid w:val="00444825"/>
    <w:rsid w:val="00444B92"/>
    <w:rsid w:val="00444F21"/>
    <w:rsid w:val="00445289"/>
    <w:rsid w:val="00445A12"/>
    <w:rsid w:val="00445DE7"/>
    <w:rsid w:val="00445E02"/>
    <w:rsid w:val="00446248"/>
    <w:rsid w:val="00446953"/>
    <w:rsid w:val="00446B0F"/>
    <w:rsid w:val="00446CF1"/>
    <w:rsid w:val="00446D19"/>
    <w:rsid w:val="0044714F"/>
    <w:rsid w:val="004471B7"/>
    <w:rsid w:val="0044720D"/>
    <w:rsid w:val="00447872"/>
    <w:rsid w:val="00447F9D"/>
    <w:rsid w:val="004506D0"/>
    <w:rsid w:val="00450901"/>
    <w:rsid w:val="00450C38"/>
    <w:rsid w:val="00450C79"/>
    <w:rsid w:val="00450D91"/>
    <w:rsid w:val="00451474"/>
    <w:rsid w:val="0045152F"/>
    <w:rsid w:val="00451548"/>
    <w:rsid w:val="00451A94"/>
    <w:rsid w:val="00452266"/>
    <w:rsid w:val="00452AB5"/>
    <w:rsid w:val="00452BDB"/>
    <w:rsid w:val="00453353"/>
    <w:rsid w:val="00453402"/>
    <w:rsid w:val="004536F9"/>
    <w:rsid w:val="00453892"/>
    <w:rsid w:val="00453B5C"/>
    <w:rsid w:val="00453E7D"/>
    <w:rsid w:val="00454805"/>
    <w:rsid w:val="00454E0F"/>
    <w:rsid w:val="00455962"/>
    <w:rsid w:val="00455ADA"/>
    <w:rsid w:val="004563A3"/>
    <w:rsid w:val="00456912"/>
    <w:rsid w:val="00456F77"/>
    <w:rsid w:val="00456FB7"/>
    <w:rsid w:val="00457069"/>
    <w:rsid w:val="00457304"/>
    <w:rsid w:val="004573E3"/>
    <w:rsid w:val="004574C4"/>
    <w:rsid w:val="004574E9"/>
    <w:rsid w:val="004578E3"/>
    <w:rsid w:val="00457BB2"/>
    <w:rsid w:val="00457BC9"/>
    <w:rsid w:val="004602B6"/>
    <w:rsid w:val="0046091B"/>
    <w:rsid w:val="004613C2"/>
    <w:rsid w:val="00461538"/>
    <w:rsid w:val="004615B7"/>
    <w:rsid w:val="0046191E"/>
    <w:rsid w:val="00461F72"/>
    <w:rsid w:val="004621F1"/>
    <w:rsid w:val="0046220B"/>
    <w:rsid w:val="004625AE"/>
    <w:rsid w:val="004625C9"/>
    <w:rsid w:val="0046267A"/>
    <w:rsid w:val="00463952"/>
    <w:rsid w:val="004639C4"/>
    <w:rsid w:val="004645C7"/>
    <w:rsid w:val="00464916"/>
    <w:rsid w:val="004649FD"/>
    <w:rsid w:val="00464FD0"/>
    <w:rsid w:val="00465040"/>
    <w:rsid w:val="00465088"/>
    <w:rsid w:val="00465948"/>
    <w:rsid w:val="00465AF8"/>
    <w:rsid w:val="00465D7C"/>
    <w:rsid w:val="00466515"/>
    <w:rsid w:val="004665CA"/>
    <w:rsid w:val="00466779"/>
    <w:rsid w:val="00467277"/>
    <w:rsid w:val="004676BC"/>
    <w:rsid w:val="0046783A"/>
    <w:rsid w:val="004705B3"/>
    <w:rsid w:val="00470A88"/>
    <w:rsid w:val="00470FFC"/>
    <w:rsid w:val="00471BF2"/>
    <w:rsid w:val="00471C4E"/>
    <w:rsid w:val="00472017"/>
    <w:rsid w:val="004720CC"/>
    <w:rsid w:val="00472547"/>
    <w:rsid w:val="004726D0"/>
    <w:rsid w:val="00472824"/>
    <w:rsid w:val="00472827"/>
    <w:rsid w:val="00472EEC"/>
    <w:rsid w:val="00473098"/>
    <w:rsid w:val="00473A24"/>
    <w:rsid w:val="00473DC1"/>
    <w:rsid w:val="00473EFF"/>
    <w:rsid w:val="004743C2"/>
    <w:rsid w:val="004749A4"/>
    <w:rsid w:val="00474AFD"/>
    <w:rsid w:val="00474BA4"/>
    <w:rsid w:val="00474CAB"/>
    <w:rsid w:val="00475031"/>
    <w:rsid w:val="00475188"/>
    <w:rsid w:val="004754AF"/>
    <w:rsid w:val="0047575F"/>
    <w:rsid w:val="00475EB3"/>
    <w:rsid w:val="004769AA"/>
    <w:rsid w:val="00476B8B"/>
    <w:rsid w:val="004772F1"/>
    <w:rsid w:val="00477957"/>
    <w:rsid w:val="00477A03"/>
    <w:rsid w:val="00477BF6"/>
    <w:rsid w:val="00477DD1"/>
    <w:rsid w:val="00480179"/>
    <w:rsid w:val="00480C49"/>
    <w:rsid w:val="004818FF"/>
    <w:rsid w:val="00481EC8"/>
    <w:rsid w:val="00481F87"/>
    <w:rsid w:val="0048203B"/>
    <w:rsid w:val="00482141"/>
    <w:rsid w:val="00482149"/>
    <w:rsid w:val="004821E5"/>
    <w:rsid w:val="004822F4"/>
    <w:rsid w:val="00482379"/>
    <w:rsid w:val="004825B7"/>
    <w:rsid w:val="00482C82"/>
    <w:rsid w:val="00482E32"/>
    <w:rsid w:val="00482E4B"/>
    <w:rsid w:val="00483272"/>
    <w:rsid w:val="00483A0E"/>
    <w:rsid w:val="00483AFB"/>
    <w:rsid w:val="00483BCE"/>
    <w:rsid w:val="00483EB4"/>
    <w:rsid w:val="004844BF"/>
    <w:rsid w:val="0048475C"/>
    <w:rsid w:val="00484815"/>
    <w:rsid w:val="00484875"/>
    <w:rsid w:val="00484BD5"/>
    <w:rsid w:val="00484F44"/>
    <w:rsid w:val="004851A9"/>
    <w:rsid w:val="004855A8"/>
    <w:rsid w:val="00486135"/>
    <w:rsid w:val="004865EA"/>
    <w:rsid w:val="004867D3"/>
    <w:rsid w:val="00486CEE"/>
    <w:rsid w:val="00487157"/>
    <w:rsid w:val="00487810"/>
    <w:rsid w:val="00487831"/>
    <w:rsid w:val="004879AF"/>
    <w:rsid w:val="00487FEB"/>
    <w:rsid w:val="004900C9"/>
    <w:rsid w:val="004903F5"/>
    <w:rsid w:val="00490645"/>
    <w:rsid w:val="00490720"/>
    <w:rsid w:val="00490DB4"/>
    <w:rsid w:val="00491C45"/>
    <w:rsid w:val="00491D0A"/>
    <w:rsid w:val="00492D0C"/>
    <w:rsid w:val="00492E8E"/>
    <w:rsid w:val="00492EA2"/>
    <w:rsid w:val="00493795"/>
    <w:rsid w:val="00493CC7"/>
    <w:rsid w:val="00493DE1"/>
    <w:rsid w:val="00493F1C"/>
    <w:rsid w:val="0049414F"/>
    <w:rsid w:val="0049465F"/>
    <w:rsid w:val="00495073"/>
    <w:rsid w:val="004953C4"/>
    <w:rsid w:val="00495E49"/>
    <w:rsid w:val="0049603A"/>
    <w:rsid w:val="004960F3"/>
    <w:rsid w:val="00496152"/>
    <w:rsid w:val="0049623E"/>
    <w:rsid w:val="00496436"/>
    <w:rsid w:val="00496701"/>
    <w:rsid w:val="00496DB4"/>
    <w:rsid w:val="0049701A"/>
    <w:rsid w:val="004975D5"/>
    <w:rsid w:val="004975EB"/>
    <w:rsid w:val="00497625"/>
    <w:rsid w:val="00497739"/>
    <w:rsid w:val="00497872"/>
    <w:rsid w:val="00497F79"/>
    <w:rsid w:val="00497FF4"/>
    <w:rsid w:val="004A0180"/>
    <w:rsid w:val="004A0572"/>
    <w:rsid w:val="004A05A2"/>
    <w:rsid w:val="004A08C2"/>
    <w:rsid w:val="004A0ABA"/>
    <w:rsid w:val="004A18C8"/>
    <w:rsid w:val="004A1C81"/>
    <w:rsid w:val="004A1E03"/>
    <w:rsid w:val="004A20B3"/>
    <w:rsid w:val="004A2D9B"/>
    <w:rsid w:val="004A3CD0"/>
    <w:rsid w:val="004A3D21"/>
    <w:rsid w:val="004A414C"/>
    <w:rsid w:val="004A4559"/>
    <w:rsid w:val="004A4D14"/>
    <w:rsid w:val="004A4D1B"/>
    <w:rsid w:val="004A504F"/>
    <w:rsid w:val="004A5099"/>
    <w:rsid w:val="004A5239"/>
    <w:rsid w:val="004A52EB"/>
    <w:rsid w:val="004A5A0F"/>
    <w:rsid w:val="004A5B05"/>
    <w:rsid w:val="004A5CF9"/>
    <w:rsid w:val="004A616E"/>
    <w:rsid w:val="004A6213"/>
    <w:rsid w:val="004A66F3"/>
    <w:rsid w:val="004A68A6"/>
    <w:rsid w:val="004A73FE"/>
    <w:rsid w:val="004A74D6"/>
    <w:rsid w:val="004A76FC"/>
    <w:rsid w:val="004A77F6"/>
    <w:rsid w:val="004A7A4D"/>
    <w:rsid w:val="004A7D51"/>
    <w:rsid w:val="004B0126"/>
    <w:rsid w:val="004B0893"/>
    <w:rsid w:val="004B13E0"/>
    <w:rsid w:val="004B1667"/>
    <w:rsid w:val="004B1814"/>
    <w:rsid w:val="004B21F2"/>
    <w:rsid w:val="004B2DED"/>
    <w:rsid w:val="004B356A"/>
    <w:rsid w:val="004B378D"/>
    <w:rsid w:val="004B399B"/>
    <w:rsid w:val="004B3E22"/>
    <w:rsid w:val="004B4059"/>
    <w:rsid w:val="004B4315"/>
    <w:rsid w:val="004B48C4"/>
    <w:rsid w:val="004B4B1E"/>
    <w:rsid w:val="004B51A7"/>
    <w:rsid w:val="004B51FB"/>
    <w:rsid w:val="004B57A2"/>
    <w:rsid w:val="004B61B1"/>
    <w:rsid w:val="004B6297"/>
    <w:rsid w:val="004B6458"/>
    <w:rsid w:val="004B652D"/>
    <w:rsid w:val="004B65B4"/>
    <w:rsid w:val="004B667C"/>
    <w:rsid w:val="004B68DF"/>
    <w:rsid w:val="004B6958"/>
    <w:rsid w:val="004B6A0D"/>
    <w:rsid w:val="004B6B7E"/>
    <w:rsid w:val="004B6D9D"/>
    <w:rsid w:val="004B7370"/>
    <w:rsid w:val="004B749F"/>
    <w:rsid w:val="004B7EA8"/>
    <w:rsid w:val="004C019E"/>
    <w:rsid w:val="004C0728"/>
    <w:rsid w:val="004C0C34"/>
    <w:rsid w:val="004C11EF"/>
    <w:rsid w:val="004C14AA"/>
    <w:rsid w:val="004C1580"/>
    <w:rsid w:val="004C1A3B"/>
    <w:rsid w:val="004C222A"/>
    <w:rsid w:val="004C2434"/>
    <w:rsid w:val="004C2499"/>
    <w:rsid w:val="004C25D9"/>
    <w:rsid w:val="004C2F84"/>
    <w:rsid w:val="004C3167"/>
    <w:rsid w:val="004C3351"/>
    <w:rsid w:val="004C350F"/>
    <w:rsid w:val="004C3591"/>
    <w:rsid w:val="004C3C4E"/>
    <w:rsid w:val="004C3E3D"/>
    <w:rsid w:val="004C4370"/>
    <w:rsid w:val="004C4434"/>
    <w:rsid w:val="004C4B62"/>
    <w:rsid w:val="004C4C60"/>
    <w:rsid w:val="004C4E1E"/>
    <w:rsid w:val="004C4FBF"/>
    <w:rsid w:val="004C54DD"/>
    <w:rsid w:val="004C5E43"/>
    <w:rsid w:val="004C6989"/>
    <w:rsid w:val="004C69A7"/>
    <w:rsid w:val="004C709D"/>
    <w:rsid w:val="004C715E"/>
    <w:rsid w:val="004C7784"/>
    <w:rsid w:val="004C7A02"/>
    <w:rsid w:val="004D099F"/>
    <w:rsid w:val="004D15BD"/>
    <w:rsid w:val="004D21A8"/>
    <w:rsid w:val="004D2374"/>
    <w:rsid w:val="004D237C"/>
    <w:rsid w:val="004D281E"/>
    <w:rsid w:val="004D2B32"/>
    <w:rsid w:val="004D2BAE"/>
    <w:rsid w:val="004D2C92"/>
    <w:rsid w:val="004D355B"/>
    <w:rsid w:val="004D3B56"/>
    <w:rsid w:val="004D3F0B"/>
    <w:rsid w:val="004D47CA"/>
    <w:rsid w:val="004D49AD"/>
    <w:rsid w:val="004D4BE1"/>
    <w:rsid w:val="004D5536"/>
    <w:rsid w:val="004D5569"/>
    <w:rsid w:val="004D55B5"/>
    <w:rsid w:val="004D562C"/>
    <w:rsid w:val="004D5D94"/>
    <w:rsid w:val="004D5FD0"/>
    <w:rsid w:val="004D68BE"/>
    <w:rsid w:val="004D69C2"/>
    <w:rsid w:val="004D70A8"/>
    <w:rsid w:val="004D7265"/>
    <w:rsid w:val="004D7895"/>
    <w:rsid w:val="004D7B0A"/>
    <w:rsid w:val="004D7B30"/>
    <w:rsid w:val="004E0A8F"/>
    <w:rsid w:val="004E0C80"/>
    <w:rsid w:val="004E0D23"/>
    <w:rsid w:val="004E0DE5"/>
    <w:rsid w:val="004E0E16"/>
    <w:rsid w:val="004E1144"/>
    <w:rsid w:val="004E125A"/>
    <w:rsid w:val="004E14A6"/>
    <w:rsid w:val="004E14F3"/>
    <w:rsid w:val="004E16AE"/>
    <w:rsid w:val="004E1A5E"/>
    <w:rsid w:val="004E204E"/>
    <w:rsid w:val="004E21D4"/>
    <w:rsid w:val="004E2486"/>
    <w:rsid w:val="004E2A54"/>
    <w:rsid w:val="004E2AA6"/>
    <w:rsid w:val="004E3044"/>
    <w:rsid w:val="004E30FD"/>
    <w:rsid w:val="004E3885"/>
    <w:rsid w:val="004E38B6"/>
    <w:rsid w:val="004E43A8"/>
    <w:rsid w:val="004E4786"/>
    <w:rsid w:val="004E4813"/>
    <w:rsid w:val="004E48C7"/>
    <w:rsid w:val="004E4B9A"/>
    <w:rsid w:val="004E4E87"/>
    <w:rsid w:val="004E5273"/>
    <w:rsid w:val="004E52EB"/>
    <w:rsid w:val="004E5638"/>
    <w:rsid w:val="004E56E7"/>
    <w:rsid w:val="004E5A64"/>
    <w:rsid w:val="004E681A"/>
    <w:rsid w:val="004F10AC"/>
    <w:rsid w:val="004F1E1C"/>
    <w:rsid w:val="004F258E"/>
    <w:rsid w:val="004F25F1"/>
    <w:rsid w:val="004F2CE3"/>
    <w:rsid w:val="004F3663"/>
    <w:rsid w:val="004F38D7"/>
    <w:rsid w:val="004F3CF1"/>
    <w:rsid w:val="004F444F"/>
    <w:rsid w:val="004F466C"/>
    <w:rsid w:val="004F4BEF"/>
    <w:rsid w:val="004F4BF1"/>
    <w:rsid w:val="004F4E8D"/>
    <w:rsid w:val="004F5487"/>
    <w:rsid w:val="004F5F1A"/>
    <w:rsid w:val="004F61A3"/>
    <w:rsid w:val="004F6BCF"/>
    <w:rsid w:val="004F6D94"/>
    <w:rsid w:val="004F76E1"/>
    <w:rsid w:val="004F78FF"/>
    <w:rsid w:val="004F7D16"/>
    <w:rsid w:val="004F7D9B"/>
    <w:rsid w:val="005004EF"/>
    <w:rsid w:val="00500846"/>
    <w:rsid w:val="00500A35"/>
    <w:rsid w:val="00500B49"/>
    <w:rsid w:val="005015DC"/>
    <w:rsid w:val="00501B48"/>
    <w:rsid w:val="00501BBE"/>
    <w:rsid w:val="00501C27"/>
    <w:rsid w:val="00502145"/>
    <w:rsid w:val="005024A0"/>
    <w:rsid w:val="00502735"/>
    <w:rsid w:val="005028F1"/>
    <w:rsid w:val="00502B42"/>
    <w:rsid w:val="0050321E"/>
    <w:rsid w:val="0050357C"/>
    <w:rsid w:val="0050358B"/>
    <w:rsid w:val="0050384A"/>
    <w:rsid w:val="00503D47"/>
    <w:rsid w:val="005049AA"/>
    <w:rsid w:val="00504B66"/>
    <w:rsid w:val="00504D09"/>
    <w:rsid w:val="00505023"/>
    <w:rsid w:val="00506096"/>
    <w:rsid w:val="005062A6"/>
    <w:rsid w:val="005063B0"/>
    <w:rsid w:val="00506712"/>
    <w:rsid w:val="00506760"/>
    <w:rsid w:val="0050685D"/>
    <w:rsid w:val="00506A7D"/>
    <w:rsid w:val="00506D77"/>
    <w:rsid w:val="00506E6C"/>
    <w:rsid w:val="00506F5E"/>
    <w:rsid w:val="0051022A"/>
    <w:rsid w:val="005103DD"/>
    <w:rsid w:val="00510798"/>
    <w:rsid w:val="005108D3"/>
    <w:rsid w:val="00510B12"/>
    <w:rsid w:val="00510EB5"/>
    <w:rsid w:val="00510FE4"/>
    <w:rsid w:val="00511765"/>
    <w:rsid w:val="005118BF"/>
    <w:rsid w:val="00511EB0"/>
    <w:rsid w:val="00512BC3"/>
    <w:rsid w:val="00512C44"/>
    <w:rsid w:val="00512CFA"/>
    <w:rsid w:val="00513430"/>
    <w:rsid w:val="00513503"/>
    <w:rsid w:val="0051362E"/>
    <w:rsid w:val="00513939"/>
    <w:rsid w:val="00514374"/>
    <w:rsid w:val="00514433"/>
    <w:rsid w:val="00514571"/>
    <w:rsid w:val="00514966"/>
    <w:rsid w:val="00514999"/>
    <w:rsid w:val="00514AD4"/>
    <w:rsid w:val="005153BD"/>
    <w:rsid w:val="0051597B"/>
    <w:rsid w:val="00515A9A"/>
    <w:rsid w:val="00515AD2"/>
    <w:rsid w:val="00515B5C"/>
    <w:rsid w:val="00515BF7"/>
    <w:rsid w:val="00516493"/>
    <w:rsid w:val="00516722"/>
    <w:rsid w:val="00517358"/>
    <w:rsid w:val="0051757A"/>
    <w:rsid w:val="00517598"/>
    <w:rsid w:val="0051770D"/>
    <w:rsid w:val="00517806"/>
    <w:rsid w:val="00517CE2"/>
    <w:rsid w:val="005202D1"/>
    <w:rsid w:val="00520762"/>
    <w:rsid w:val="00521186"/>
    <w:rsid w:val="005211E0"/>
    <w:rsid w:val="005215BA"/>
    <w:rsid w:val="00521EC6"/>
    <w:rsid w:val="00522317"/>
    <w:rsid w:val="00522C47"/>
    <w:rsid w:val="00522F3E"/>
    <w:rsid w:val="0052378D"/>
    <w:rsid w:val="00524193"/>
    <w:rsid w:val="00524792"/>
    <w:rsid w:val="00525136"/>
    <w:rsid w:val="005255E9"/>
    <w:rsid w:val="00525CC0"/>
    <w:rsid w:val="00525EAA"/>
    <w:rsid w:val="005267BC"/>
    <w:rsid w:val="00526FB6"/>
    <w:rsid w:val="00527D2B"/>
    <w:rsid w:val="00527EDF"/>
    <w:rsid w:val="0053011B"/>
    <w:rsid w:val="00530889"/>
    <w:rsid w:val="005309AC"/>
    <w:rsid w:val="00530B25"/>
    <w:rsid w:val="00531845"/>
    <w:rsid w:val="00531901"/>
    <w:rsid w:val="00531A98"/>
    <w:rsid w:val="00531C3E"/>
    <w:rsid w:val="005322E8"/>
    <w:rsid w:val="00532624"/>
    <w:rsid w:val="00532943"/>
    <w:rsid w:val="005331E5"/>
    <w:rsid w:val="00533CBB"/>
    <w:rsid w:val="00533D56"/>
    <w:rsid w:val="00533EC1"/>
    <w:rsid w:val="00534432"/>
    <w:rsid w:val="005347AF"/>
    <w:rsid w:val="005350C0"/>
    <w:rsid w:val="00535174"/>
    <w:rsid w:val="005357A9"/>
    <w:rsid w:val="00535D01"/>
    <w:rsid w:val="00535F84"/>
    <w:rsid w:val="0053611C"/>
    <w:rsid w:val="00536308"/>
    <w:rsid w:val="0053648F"/>
    <w:rsid w:val="00536507"/>
    <w:rsid w:val="00536773"/>
    <w:rsid w:val="0053694B"/>
    <w:rsid w:val="005369E7"/>
    <w:rsid w:val="00536C18"/>
    <w:rsid w:val="00536D5E"/>
    <w:rsid w:val="00537077"/>
    <w:rsid w:val="00537C8F"/>
    <w:rsid w:val="0054023E"/>
    <w:rsid w:val="00540AFE"/>
    <w:rsid w:val="005412BE"/>
    <w:rsid w:val="0054134F"/>
    <w:rsid w:val="005419C7"/>
    <w:rsid w:val="005426A6"/>
    <w:rsid w:val="005427DE"/>
    <w:rsid w:val="00542C67"/>
    <w:rsid w:val="005431B3"/>
    <w:rsid w:val="0054358C"/>
    <w:rsid w:val="00543762"/>
    <w:rsid w:val="0054388B"/>
    <w:rsid w:val="00543A0A"/>
    <w:rsid w:val="00544107"/>
    <w:rsid w:val="0054445B"/>
    <w:rsid w:val="0054447E"/>
    <w:rsid w:val="005450B1"/>
    <w:rsid w:val="005451AC"/>
    <w:rsid w:val="005457FA"/>
    <w:rsid w:val="005463A1"/>
    <w:rsid w:val="005467C8"/>
    <w:rsid w:val="00546BF4"/>
    <w:rsid w:val="00546D17"/>
    <w:rsid w:val="00546EEC"/>
    <w:rsid w:val="00547231"/>
    <w:rsid w:val="0054741E"/>
    <w:rsid w:val="00547D49"/>
    <w:rsid w:val="005501CB"/>
    <w:rsid w:val="0055028B"/>
    <w:rsid w:val="005504D5"/>
    <w:rsid w:val="005507A1"/>
    <w:rsid w:val="0055095E"/>
    <w:rsid w:val="00550A43"/>
    <w:rsid w:val="00550AB3"/>
    <w:rsid w:val="0055104C"/>
    <w:rsid w:val="005512B9"/>
    <w:rsid w:val="005513CA"/>
    <w:rsid w:val="005517B2"/>
    <w:rsid w:val="005517E1"/>
    <w:rsid w:val="00551E97"/>
    <w:rsid w:val="00551F25"/>
    <w:rsid w:val="00552A95"/>
    <w:rsid w:val="00552D43"/>
    <w:rsid w:val="00553C92"/>
    <w:rsid w:val="00553CA3"/>
    <w:rsid w:val="00553CB1"/>
    <w:rsid w:val="00554725"/>
    <w:rsid w:val="005552F2"/>
    <w:rsid w:val="0055556F"/>
    <w:rsid w:val="00555970"/>
    <w:rsid w:val="00555D9D"/>
    <w:rsid w:val="00556075"/>
    <w:rsid w:val="00556146"/>
    <w:rsid w:val="005567D9"/>
    <w:rsid w:val="00556DD0"/>
    <w:rsid w:val="00557251"/>
    <w:rsid w:val="0055766F"/>
    <w:rsid w:val="00557A81"/>
    <w:rsid w:val="00557DB4"/>
    <w:rsid w:val="00557DC7"/>
    <w:rsid w:val="00560332"/>
    <w:rsid w:val="00560564"/>
    <w:rsid w:val="005608CF"/>
    <w:rsid w:val="00560BF8"/>
    <w:rsid w:val="00561245"/>
    <w:rsid w:val="00561542"/>
    <w:rsid w:val="00561AAE"/>
    <w:rsid w:val="0056207B"/>
    <w:rsid w:val="005623A7"/>
    <w:rsid w:val="005623A9"/>
    <w:rsid w:val="005626FF"/>
    <w:rsid w:val="00562AE3"/>
    <w:rsid w:val="00562CBA"/>
    <w:rsid w:val="00562FF7"/>
    <w:rsid w:val="00563649"/>
    <w:rsid w:val="005637D5"/>
    <w:rsid w:val="00563B5D"/>
    <w:rsid w:val="00563DC4"/>
    <w:rsid w:val="0056427D"/>
    <w:rsid w:val="005642EE"/>
    <w:rsid w:val="005647AB"/>
    <w:rsid w:val="00564B66"/>
    <w:rsid w:val="005651FB"/>
    <w:rsid w:val="005656E2"/>
    <w:rsid w:val="00565C6C"/>
    <w:rsid w:val="00565F62"/>
    <w:rsid w:val="00566102"/>
    <w:rsid w:val="005662FA"/>
    <w:rsid w:val="005667A2"/>
    <w:rsid w:val="005668F5"/>
    <w:rsid w:val="005669E8"/>
    <w:rsid w:val="00566F02"/>
    <w:rsid w:val="0056774A"/>
    <w:rsid w:val="00567AE7"/>
    <w:rsid w:val="00567AFB"/>
    <w:rsid w:val="00567F60"/>
    <w:rsid w:val="00570586"/>
    <w:rsid w:val="00570886"/>
    <w:rsid w:val="00570B52"/>
    <w:rsid w:val="00570C17"/>
    <w:rsid w:val="00570C5A"/>
    <w:rsid w:val="00570CF0"/>
    <w:rsid w:val="00570D6A"/>
    <w:rsid w:val="00571023"/>
    <w:rsid w:val="005711AE"/>
    <w:rsid w:val="00571464"/>
    <w:rsid w:val="00571B81"/>
    <w:rsid w:val="00571E7B"/>
    <w:rsid w:val="00572078"/>
    <w:rsid w:val="00572534"/>
    <w:rsid w:val="005726CB"/>
    <w:rsid w:val="00572BED"/>
    <w:rsid w:val="005731BE"/>
    <w:rsid w:val="005738B4"/>
    <w:rsid w:val="00573A8D"/>
    <w:rsid w:val="00573D00"/>
    <w:rsid w:val="00574073"/>
    <w:rsid w:val="0057437E"/>
    <w:rsid w:val="00574597"/>
    <w:rsid w:val="00574720"/>
    <w:rsid w:val="0057482E"/>
    <w:rsid w:val="00574E65"/>
    <w:rsid w:val="00574F12"/>
    <w:rsid w:val="005755DA"/>
    <w:rsid w:val="0057585D"/>
    <w:rsid w:val="00575FF3"/>
    <w:rsid w:val="0057659E"/>
    <w:rsid w:val="00576F87"/>
    <w:rsid w:val="00577113"/>
    <w:rsid w:val="0057745C"/>
    <w:rsid w:val="00577698"/>
    <w:rsid w:val="0057792F"/>
    <w:rsid w:val="00577E09"/>
    <w:rsid w:val="00577FA8"/>
    <w:rsid w:val="005800D9"/>
    <w:rsid w:val="00580E1B"/>
    <w:rsid w:val="00581132"/>
    <w:rsid w:val="005814BA"/>
    <w:rsid w:val="005818DE"/>
    <w:rsid w:val="00581A74"/>
    <w:rsid w:val="00581C2D"/>
    <w:rsid w:val="0058205B"/>
    <w:rsid w:val="005820EF"/>
    <w:rsid w:val="00582302"/>
    <w:rsid w:val="0058284F"/>
    <w:rsid w:val="005835C3"/>
    <w:rsid w:val="005835F7"/>
    <w:rsid w:val="00583FDC"/>
    <w:rsid w:val="0058412E"/>
    <w:rsid w:val="005844D2"/>
    <w:rsid w:val="005845D1"/>
    <w:rsid w:val="0058493E"/>
    <w:rsid w:val="00584A2B"/>
    <w:rsid w:val="00584C6B"/>
    <w:rsid w:val="00584EEC"/>
    <w:rsid w:val="00585069"/>
    <w:rsid w:val="005850F9"/>
    <w:rsid w:val="00585301"/>
    <w:rsid w:val="005857A6"/>
    <w:rsid w:val="00585C5B"/>
    <w:rsid w:val="00585DBE"/>
    <w:rsid w:val="00585E4C"/>
    <w:rsid w:val="005861CC"/>
    <w:rsid w:val="005862FD"/>
    <w:rsid w:val="0058672B"/>
    <w:rsid w:val="00586D86"/>
    <w:rsid w:val="00586F21"/>
    <w:rsid w:val="005871F5"/>
    <w:rsid w:val="005878CA"/>
    <w:rsid w:val="005879EE"/>
    <w:rsid w:val="00590800"/>
    <w:rsid w:val="00590864"/>
    <w:rsid w:val="00590B9C"/>
    <w:rsid w:val="00591021"/>
    <w:rsid w:val="00591141"/>
    <w:rsid w:val="00591148"/>
    <w:rsid w:val="0059121D"/>
    <w:rsid w:val="0059122B"/>
    <w:rsid w:val="00591989"/>
    <w:rsid w:val="00591F79"/>
    <w:rsid w:val="00592278"/>
    <w:rsid w:val="005924B2"/>
    <w:rsid w:val="005926BD"/>
    <w:rsid w:val="005932A8"/>
    <w:rsid w:val="00593740"/>
    <w:rsid w:val="00593B27"/>
    <w:rsid w:val="00594987"/>
    <w:rsid w:val="00594B1B"/>
    <w:rsid w:val="00594EA4"/>
    <w:rsid w:val="00594FEC"/>
    <w:rsid w:val="005955DA"/>
    <w:rsid w:val="00595893"/>
    <w:rsid w:val="00595CB2"/>
    <w:rsid w:val="00595D7D"/>
    <w:rsid w:val="00596096"/>
    <w:rsid w:val="00596DB0"/>
    <w:rsid w:val="00596DE8"/>
    <w:rsid w:val="00596E65"/>
    <w:rsid w:val="005970EC"/>
    <w:rsid w:val="00597157"/>
    <w:rsid w:val="00597637"/>
    <w:rsid w:val="005A0059"/>
    <w:rsid w:val="005A0062"/>
    <w:rsid w:val="005A075A"/>
    <w:rsid w:val="005A0F88"/>
    <w:rsid w:val="005A10CE"/>
    <w:rsid w:val="005A1704"/>
    <w:rsid w:val="005A1722"/>
    <w:rsid w:val="005A18F5"/>
    <w:rsid w:val="005A1961"/>
    <w:rsid w:val="005A3FBC"/>
    <w:rsid w:val="005A4805"/>
    <w:rsid w:val="005A5137"/>
    <w:rsid w:val="005A52E4"/>
    <w:rsid w:val="005A56B2"/>
    <w:rsid w:val="005A5B09"/>
    <w:rsid w:val="005A5B3F"/>
    <w:rsid w:val="005A612A"/>
    <w:rsid w:val="005A63D8"/>
    <w:rsid w:val="005A65C5"/>
    <w:rsid w:val="005A755E"/>
    <w:rsid w:val="005A76AF"/>
    <w:rsid w:val="005A7C9D"/>
    <w:rsid w:val="005B0575"/>
    <w:rsid w:val="005B0787"/>
    <w:rsid w:val="005B0799"/>
    <w:rsid w:val="005B0F9A"/>
    <w:rsid w:val="005B10D1"/>
    <w:rsid w:val="005B193D"/>
    <w:rsid w:val="005B1A4F"/>
    <w:rsid w:val="005B1C0B"/>
    <w:rsid w:val="005B2E48"/>
    <w:rsid w:val="005B2EEE"/>
    <w:rsid w:val="005B336B"/>
    <w:rsid w:val="005B357D"/>
    <w:rsid w:val="005B370F"/>
    <w:rsid w:val="005B38DE"/>
    <w:rsid w:val="005B3B96"/>
    <w:rsid w:val="005B3DEC"/>
    <w:rsid w:val="005B4124"/>
    <w:rsid w:val="005B4485"/>
    <w:rsid w:val="005B450E"/>
    <w:rsid w:val="005B45E0"/>
    <w:rsid w:val="005B4BB1"/>
    <w:rsid w:val="005B4F71"/>
    <w:rsid w:val="005B5115"/>
    <w:rsid w:val="005B51EC"/>
    <w:rsid w:val="005B57EF"/>
    <w:rsid w:val="005B5B9A"/>
    <w:rsid w:val="005B5C83"/>
    <w:rsid w:val="005B5DA5"/>
    <w:rsid w:val="005B61F4"/>
    <w:rsid w:val="005B6E5C"/>
    <w:rsid w:val="005B74EE"/>
    <w:rsid w:val="005B795A"/>
    <w:rsid w:val="005B7E2D"/>
    <w:rsid w:val="005C07D0"/>
    <w:rsid w:val="005C081F"/>
    <w:rsid w:val="005C08B4"/>
    <w:rsid w:val="005C098C"/>
    <w:rsid w:val="005C0FB3"/>
    <w:rsid w:val="005C10D5"/>
    <w:rsid w:val="005C12CD"/>
    <w:rsid w:val="005C1886"/>
    <w:rsid w:val="005C19E9"/>
    <w:rsid w:val="005C1DE1"/>
    <w:rsid w:val="005C2179"/>
    <w:rsid w:val="005C2374"/>
    <w:rsid w:val="005C2820"/>
    <w:rsid w:val="005C2BFA"/>
    <w:rsid w:val="005C3B19"/>
    <w:rsid w:val="005C3EBA"/>
    <w:rsid w:val="005C4E40"/>
    <w:rsid w:val="005C528E"/>
    <w:rsid w:val="005C529D"/>
    <w:rsid w:val="005C550B"/>
    <w:rsid w:val="005C5A7C"/>
    <w:rsid w:val="005C5AE6"/>
    <w:rsid w:val="005C5D27"/>
    <w:rsid w:val="005C6454"/>
    <w:rsid w:val="005C65B5"/>
    <w:rsid w:val="005C6663"/>
    <w:rsid w:val="005C6A18"/>
    <w:rsid w:val="005C6F2D"/>
    <w:rsid w:val="005C7610"/>
    <w:rsid w:val="005C770E"/>
    <w:rsid w:val="005C7AC1"/>
    <w:rsid w:val="005C7C91"/>
    <w:rsid w:val="005C7F00"/>
    <w:rsid w:val="005D00ED"/>
    <w:rsid w:val="005D0157"/>
    <w:rsid w:val="005D01FA"/>
    <w:rsid w:val="005D20C1"/>
    <w:rsid w:val="005D26F5"/>
    <w:rsid w:val="005D3309"/>
    <w:rsid w:val="005D3804"/>
    <w:rsid w:val="005D3D91"/>
    <w:rsid w:val="005D451C"/>
    <w:rsid w:val="005D4E0D"/>
    <w:rsid w:val="005D51F5"/>
    <w:rsid w:val="005D59B6"/>
    <w:rsid w:val="005D67D5"/>
    <w:rsid w:val="005D6B91"/>
    <w:rsid w:val="005D6D8D"/>
    <w:rsid w:val="005D7247"/>
    <w:rsid w:val="005D7368"/>
    <w:rsid w:val="005D7401"/>
    <w:rsid w:val="005E000D"/>
    <w:rsid w:val="005E0591"/>
    <w:rsid w:val="005E099A"/>
    <w:rsid w:val="005E16A8"/>
    <w:rsid w:val="005E1791"/>
    <w:rsid w:val="005E1BE7"/>
    <w:rsid w:val="005E21B5"/>
    <w:rsid w:val="005E2B0A"/>
    <w:rsid w:val="005E2CC0"/>
    <w:rsid w:val="005E3035"/>
    <w:rsid w:val="005E3122"/>
    <w:rsid w:val="005E3A59"/>
    <w:rsid w:val="005E3DC6"/>
    <w:rsid w:val="005E4552"/>
    <w:rsid w:val="005E493E"/>
    <w:rsid w:val="005E5311"/>
    <w:rsid w:val="005E5DC9"/>
    <w:rsid w:val="005E621B"/>
    <w:rsid w:val="005E64A1"/>
    <w:rsid w:val="005E6589"/>
    <w:rsid w:val="005E769F"/>
    <w:rsid w:val="005E770E"/>
    <w:rsid w:val="005E7B13"/>
    <w:rsid w:val="005E7F3F"/>
    <w:rsid w:val="005F037B"/>
    <w:rsid w:val="005F04EE"/>
    <w:rsid w:val="005F17AF"/>
    <w:rsid w:val="005F188E"/>
    <w:rsid w:val="005F1A36"/>
    <w:rsid w:val="005F267C"/>
    <w:rsid w:val="005F29B7"/>
    <w:rsid w:val="005F2B25"/>
    <w:rsid w:val="005F2B50"/>
    <w:rsid w:val="005F328A"/>
    <w:rsid w:val="005F4507"/>
    <w:rsid w:val="005F47F5"/>
    <w:rsid w:val="005F5001"/>
    <w:rsid w:val="005F569C"/>
    <w:rsid w:val="005F574C"/>
    <w:rsid w:val="005F5EE4"/>
    <w:rsid w:val="005F6191"/>
    <w:rsid w:val="005F61D4"/>
    <w:rsid w:val="005F6289"/>
    <w:rsid w:val="005F692A"/>
    <w:rsid w:val="005F7302"/>
    <w:rsid w:val="005F7576"/>
    <w:rsid w:val="005F7630"/>
    <w:rsid w:val="005F7771"/>
    <w:rsid w:val="005F7C57"/>
    <w:rsid w:val="005F7E12"/>
    <w:rsid w:val="006005E7"/>
    <w:rsid w:val="00600987"/>
    <w:rsid w:val="00600A4A"/>
    <w:rsid w:val="00600DC8"/>
    <w:rsid w:val="00601630"/>
    <w:rsid w:val="00601CB8"/>
    <w:rsid w:val="00602063"/>
    <w:rsid w:val="0060233D"/>
    <w:rsid w:val="006028C8"/>
    <w:rsid w:val="006028DF"/>
    <w:rsid w:val="00602E83"/>
    <w:rsid w:val="006031BB"/>
    <w:rsid w:val="00603687"/>
    <w:rsid w:val="006038CC"/>
    <w:rsid w:val="0060416D"/>
    <w:rsid w:val="00604332"/>
    <w:rsid w:val="006048A1"/>
    <w:rsid w:val="006049A7"/>
    <w:rsid w:val="00604EE1"/>
    <w:rsid w:val="0060513A"/>
    <w:rsid w:val="006056D4"/>
    <w:rsid w:val="00605CBF"/>
    <w:rsid w:val="00605D69"/>
    <w:rsid w:val="00605E6B"/>
    <w:rsid w:val="00606105"/>
    <w:rsid w:val="006066BD"/>
    <w:rsid w:val="006067D5"/>
    <w:rsid w:val="006073B3"/>
    <w:rsid w:val="006074B6"/>
    <w:rsid w:val="006109B2"/>
    <w:rsid w:val="00610A12"/>
    <w:rsid w:val="00610A42"/>
    <w:rsid w:val="00610DD6"/>
    <w:rsid w:val="00611286"/>
    <w:rsid w:val="006112E5"/>
    <w:rsid w:val="0061182E"/>
    <w:rsid w:val="0061187F"/>
    <w:rsid w:val="00611AFC"/>
    <w:rsid w:val="00612318"/>
    <w:rsid w:val="006126BC"/>
    <w:rsid w:val="00612A9E"/>
    <w:rsid w:val="00612DAB"/>
    <w:rsid w:val="006130A0"/>
    <w:rsid w:val="006130D9"/>
    <w:rsid w:val="006131D7"/>
    <w:rsid w:val="00613829"/>
    <w:rsid w:val="00613AF9"/>
    <w:rsid w:val="00613F76"/>
    <w:rsid w:val="006142E8"/>
    <w:rsid w:val="00614B19"/>
    <w:rsid w:val="00614E4B"/>
    <w:rsid w:val="00614F30"/>
    <w:rsid w:val="0061518F"/>
    <w:rsid w:val="0061557F"/>
    <w:rsid w:val="00615632"/>
    <w:rsid w:val="00615681"/>
    <w:rsid w:val="006158C7"/>
    <w:rsid w:val="00615941"/>
    <w:rsid w:val="00615EBB"/>
    <w:rsid w:val="006162E4"/>
    <w:rsid w:val="00616544"/>
    <w:rsid w:val="0061679E"/>
    <w:rsid w:val="00617427"/>
    <w:rsid w:val="0061756E"/>
    <w:rsid w:val="006175F5"/>
    <w:rsid w:val="006179C8"/>
    <w:rsid w:val="00617DAA"/>
    <w:rsid w:val="00620146"/>
    <w:rsid w:val="00620698"/>
    <w:rsid w:val="00620C1D"/>
    <w:rsid w:val="00620E7C"/>
    <w:rsid w:val="00621580"/>
    <w:rsid w:val="006217CA"/>
    <w:rsid w:val="00621E47"/>
    <w:rsid w:val="00622275"/>
    <w:rsid w:val="006226A5"/>
    <w:rsid w:val="0062372B"/>
    <w:rsid w:val="006237CA"/>
    <w:rsid w:val="006239DE"/>
    <w:rsid w:val="00623FE1"/>
    <w:rsid w:val="0062427A"/>
    <w:rsid w:val="0062484B"/>
    <w:rsid w:val="00624F00"/>
    <w:rsid w:val="00625268"/>
    <w:rsid w:val="00625662"/>
    <w:rsid w:val="00625850"/>
    <w:rsid w:val="00625D0E"/>
    <w:rsid w:val="00626038"/>
    <w:rsid w:val="00626201"/>
    <w:rsid w:val="0062626C"/>
    <w:rsid w:val="006264BC"/>
    <w:rsid w:val="00626543"/>
    <w:rsid w:val="00626821"/>
    <w:rsid w:val="00626A8D"/>
    <w:rsid w:val="00626B40"/>
    <w:rsid w:val="00626E3F"/>
    <w:rsid w:val="006270B9"/>
    <w:rsid w:val="006272D1"/>
    <w:rsid w:val="0062796D"/>
    <w:rsid w:val="00630040"/>
    <w:rsid w:val="0063058F"/>
    <w:rsid w:val="006305FD"/>
    <w:rsid w:val="00630B10"/>
    <w:rsid w:val="00630BE0"/>
    <w:rsid w:val="0063121A"/>
    <w:rsid w:val="0063124E"/>
    <w:rsid w:val="0063131E"/>
    <w:rsid w:val="00631CE1"/>
    <w:rsid w:val="00631E1B"/>
    <w:rsid w:val="0063208D"/>
    <w:rsid w:val="00632379"/>
    <w:rsid w:val="006341AB"/>
    <w:rsid w:val="00634ED4"/>
    <w:rsid w:val="0063539A"/>
    <w:rsid w:val="0063542C"/>
    <w:rsid w:val="006355C5"/>
    <w:rsid w:val="006356FC"/>
    <w:rsid w:val="0063616B"/>
    <w:rsid w:val="00636749"/>
    <w:rsid w:val="00636CF6"/>
    <w:rsid w:val="00636D31"/>
    <w:rsid w:val="0064023F"/>
    <w:rsid w:val="00640663"/>
    <w:rsid w:val="00641E0F"/>
    <w:rsid w:val="00642435"/>
    <w:rsid w:val="00642B13"/>
    <w:rsid w:val="00642E14"/>
    <w:rsid w:val="00643458"/>
    <w:rsid w:val="00643E03"/>
    <w:rsid w:val="00643FB4"/>
    <w:rsid w:val="00644112"/>
    <w:rsid w:val="0064415A"/>
    <w:rsid w:val="0064492F"/>
    <w:rsid w:val="00645172"/>
    <w:rsid w:val="00645F77"/>
    <w:rsid w:val="00646008"/>
    <w:rsid w:val="0064610A"/>
    <w:rsid w:val="0065078F"/>
    <w:rsid w:val="006507AC"/>
    <w:rsid w:val="0065091C"/>
    <w:rsid w:val="00650A22"/>
    <w:rsid w:val="0065102D"/>
    <w:rsid w:val="006511D6"/>
    <w:rsid w:val="00651476"/>
    <w:rsid w:val="00651501"/>
    <w:rsid w:val="006515E0"/>
    <w:rsid w:val="00651677"/>
    <w:rsid w:val="00652018"/>
    <w:rsid w:val="006521F5"/>
    <w:rsid w:val="00652F65"/>
    <w:rsid w:val="00653119"/>
    <w:rsid w:val="00653279"/>
    <w:rsid w:val="0065357F"/>
    <w:rsid w:val="006536B5"/>
    <w:rsid w:val="00653CA4"/>
    <w:rsid w:val="00654AFB"/>
    <w:rsid w:val="00654D51"/>
    <w:rsid w:val="00654F11"/>
    <w:rsid w:val="00655A83"/>
    <w:rsid w:val="00656115"/>
    <w:rsid w:val="0065611B"/>
    <w:rsid w:val="0065682D"/>
    <w:rsid w:val="00656DF5"/>
    <w:rsid w:val="00656F7E"/>
    <w:rsid w:val="006601AD"/>
    <w:rsid w:val="006601E1"/>
    <w:rsid w:val="00660645"/>
    <w:rsid w:val="006612FA"/>
    <w:rsid w:val="00661438"/>
    <w:rsid w:val="00661469"/>
    <w:rsid w:val="00662B51"/>
    <w:rsid w:val="00662CBC"/>
    <w:rsid w:val="00662D90"/>
    <w:rsid w:val="00662E6C"/>
    <w:rsid w:val="006630F4"/>
    <w:rsid w:val="00663429"/>
    <w:rsid w:val="006634AA"/>
    <w:rsid w:val="00663AF2"/>
    <w:rsid w:val="00663C21"/>
    <w:rsid w:val="00664132"/>
    <w:rsid w:val="00664F06"/>
    <w:rsid w:val="0066504E"/>
    <w:rsid w:val="00665991"/>
    <w:rsid w:val="006659C6"/>
    <w:rsid w:val="00665D6F"/>
    <w:rsid w:val="00665D74"/>
    <w:rsid w:val="006661B0"/>
    <w:rsid w:val="00666A28"/>
    <w:rsid w:val="00666BD2"/>
    <w:rsid w:val="00666E7A"/>
    <w:rsid w:val="0066720A"/>
    <w:rsid w:val="00667719"/>
    <w:rsid w:val="00667747"/>
    <w:rsid w:val="00667B69"/>
    <w:rsid w:val="00667F48"/>
    <w:rsid w:val="0067067E"/>
    <w:rsid w:val="006709BF"/>
    <w:rsid w:val="00670A01"/>
    <w:rsid w:val="00670AFB"/>
    <w:rsid w:val="00670B78"/>
    <w:rsid w:val="0067103B"/>
    <w:rsid w:val="006715F6"/>
    <w:rsid w:val="0067195E"/>
    <w:rsid w:val="00671C62"/>
    <w:rsid w:val="00672354"/>
    <w:rsid w:val="006729A0"/>
    <w:rsid w:val="00673D5A"/>
    <w:rsid w:val="00674753"/>
    <w:rsid w:val="00675125"/>
    <w:rsid w:val="0067581A"/>
    <w:rsid w:val="006758F2"/>
    <w:rsid w:val="00675AAC"/>
    <w:rsid w:val="006764EA"/>
    <w:rsid w:val="00676B7D"/>
    <w:rsid w:val="00677172"/>
    <w:rsid w:val="00680E04"/>
    <w:rsid w:val="0068117B"/>
    <w:rsid w:val="00681865"/>
    <w:rsid w:val="0068196E"/>
    <w:rsid w:val="0068210A"/>
    <w:rsid w:val="00682577"/>
    <w:rsid w:val="00682745"/>
    <w:rsid w:val="00682E07"/>
    <w:rsid w:val="0068325B"/>
    <w:rsid w:val="00683344"/>
    <w:rsid w:val="00683CC7"/>
    <w:rsid w:val="006840DD"/>
    <w:rsid w:val="006845D1"/>
    <w:rsid w:val="00684B5A"/>
    <w:rsid w:val="00684D87"/>
    <w:rsid w:val="0068525B"/>
    <w:rsid w:val="00685575"/>
    <w:rsid w:val="00685742"/>
    <w:rsid w:val="0068593A"/>
    <w:rsid w:val="00685A1C"/>
    <w:rsid w:val="00685F97"/>
    <w:rsid w:val="006861D2"/>
    <w:rsid w:val="00686687"/>
    <w:rsid w:val="00686E03"/>
    <w:rsid w:val="00687321"/>
    <w:rsid w:val="00687FBE"/>
    <w:rsid w:val="006900B2"/>
    <w:rsid w:val="006902DC"/>
    <w:rsid w:val="006903B8"/>
    <w:rsid w:val="0069068B"/>
    <w:rsid w:val="00690702"/>
    <w:rsid w:val="00690721"/>
    <w:rsid w:val="00690A94"/>
    <w:rsid w:val="00691443"/>
    <w:rsid w:val="00691837"/>
    <w:rsid w:val="00691914"/>
    <w:rsid w:val="00691AD6"/>
    <w:rsid w:val="006920AF"/>
    <w:rsid w:val="006927B0"/>
    <w:rsid w:val="00692833"/>
    <w:rsid w:val="006929CB"/>
    <w:rsid w:val="00692C19"/>
    <w:rsid w:val="00693289"/>
    <w:rsid w:val="006933F0"/>
    <w:rsid w:val="00693869"/>
    <w:rsid w:val="00693929"/>
    <w:rsid w:val="00693CA2"/>
    <w:rsid w:val="006942CB"/>
    <w:rsid w:val="006944A1"/>
    <w:rsid w:val="006944B1"/>
    <w:rsid w:val="006944C5"/>
    <w:rsid w:val="00694810"/>
    <w:rsid w:val="00694986"/>
    <w:rsid w:val="00694AF6"/>
    <w:rsid w:val="00694D3E"/>
    <w:rsid w:val="00694E1D"/>
    <w:rsid w:val="00695074"/>
    <w:rsid w:val="006956E9"/>
    <w:rsid w:val="00695709"/>
    <w:rsid w:val="0069599E"/>
    <w:rsid w:val="00695E25"/>
    <w:rsid w:val="00695ECF"/>
    <w:rsid w:val="00697137"/>
    <w:rsid w:val="0069723C"/>
    <w:rsid w:val="00697358"/>
    <w:rsid w:val="006977EC"/>
    <w:rsid w:val="006978B6"/>
    <w:rsid w:val="006979F7"/>
    <w:rsid w:val="00697AFB"/>
    <w:rsid w:val="006A013E"/>
    <w:rsid w:val="006A0155"/>
    <w:rsid w:val="006A02D2"/>
    <w:rsid w:val="006A086D"/>
    <w:rsid w:val="006A0D57"/>
    <w:rsid w:val="006A0E19"/>
    <w:rsid w:val="006A0EA1"/>
    <w:rsid w:val="006A1CBF"/>
    <w:rsid w:val="006A1CE7"/>
    <w:rsid w:val="006A24EF"/>
    <w:rsid w:val="006A250C"/>
    <w:rsid w:val="006A273E"/>
    <w:rsid w:val="006A2AB2"/>
    <w:rsid w:val="006A2C50"/>
    <w:rsid w:val="006A2EA2"/>
    <w:rsid w:val="006A325C"/>
    <w:rsid w:val="006A381B"/>
    <w:rsid w:val="006A4067"/>
    <w:rsid w:val="006A40F2"/>
    <w:rsid w:val="006A4267"/>
    <w:rsid w:val="006A44EC"/>
    <w:rsid w:val="006A4549"/>
    <w:rsid w:val="006A480E"/>
    <w:rsid w:val="006A494D"/>
    <w:rsid w:val="006A4CFD"/>
    <w:rsid w:val="006A5C13"/>
    <w:rsid w:val="006A5D0E"/>
    <w:rsid w:val="006A5DCD"/>
    <w:rsid w:val="006A6190"/>
    <w:rsid w:val="006A6220"/>
    <w:rsid w:val="006A68A8"/>
    <w:rsid w:val="006A6A44"/>
    <w:rsid w:val="006A6D84"/>
    <w:rsid w:val="006A6E85"/>
    <w:rsid w:val="006A6F2F"/>
    <w:rsid w:val="006A77ED"/>
    <w:rsid w:val="006A7C7C"/>
    <w:rsid w:val="006B05C3"/>
    <w:rsid w:val="006B066F"/>
    <w:rsid w:val="006B0785"/>
    <w:rsid w:val="006B098F"/>
    <w:rsid w:val="006B0FE4"/>
    <w:rsid w:val="006B0FFF"/>
    <w:rsid w:val="006B106E"/>
    <w:rsid w:val="006B1274"/>
    <w:rsid w:val="006B19EB"/>
    <w:rsid w:val="006B1E11"/>
    <w:rsid w:val="006B1E1D"/>
    <w:rsid w:val="006B2702"/>
    <w:rsid w:val="006B2C6B"/>
    <w:rsid w:val="006B30F4"/>
    <w:rsid w:val="006B3124"/>
    <w:rsid w:val="006B3595"/>
    <w:rsid w:val="006B4047"/>
    <w:rsid w:val="006B4260"/>
    <w:rsid w:val="006B42F0"/>
    <w:rsid w:val="006B4529"/>
    <w:rsid w:val="006B4B72"/>
    <w:rsid w:val="006B5BAA"/>
    <w:rsid w:val="006B5DC5"/>
    <w:rsid w:val="006B6564"/>
    <w:rsid w:val="006B65DC"/>
    <w:rsid w:val="006B69F4"/>
    <w:rsid w:val="006B6FAD"/>
    <w:rsid w:val="006B7234"/>
    <w:rsid w:val="006C07E9"/>
    <w:rsid w:val="006C092C"/>
    <w:rsid w:val="006C0930"/>
    <w:rsid w:val="006C0B6B"/>
    <w:rsid w:val="006C0B94"/>
    <w:rsid w:val="006C12D4"/>
    <w:rsid w:val="006C1BD1"/>
    <w:rsid w:val="006C20D8"/>
    <w:rsid w:val="006C2303"/>
    <w:rsid w:val="006C234F"/>
    <w:rsid w:val="006C237D"/>
    <w:rsid w:val="006C28DB"/>
    <w:rsid w:val="006C3059"/>
    <w:rsid w:val="006C3196"/>
    <w:rsid w:val="006C3B92"/>
    <w:rsid w:val="006C3F83"/>
    <w:rsid w:val="006C432A"/>
    <w:rsid w:val="006C543E"/>
    <w:rsid w:val="006C55D0"/>
    <w:rsid w:val="006C59A7"/>
    <w:rsid w:val="006C5FF5"/>
    <w:rsid w:val="006C627D"/>
    <w:rsid w:val="006C63A9"/>
    <w:rsid w:val="006C6427"/>
    <w:rsid w:val="006C6D91"/>
    <w:rsid w:val="006C6ECB"/>
    <w:rsid w:val="006C6FA6"/>
    <w:rsid w:val="006C72EE"/>
    <w:rsid w:val="006C7699"/>
    <w:rsid w:val="006D01DE"/>
    <w:rsid w:val="006D07A4"/>
    <w:rsid w:val="006D085D"/>
    <w:rsid w:val="006D0D3E"/>
    <w:rsid w:val="006D10EE"/>
    <w:rsid w:val="006D211C"/>
    <w:rsid w:val="006D2214"/>
    <w:rsid w:val="006D2561"/>
    <w:rsid w:val="006D257E"/>
    <w:rsid w:val="006D2AAE"/>
    <w:rsid w:val="006D3704"/>
    <w:rsid w:val="006D3AAC"/>
    <w:rsid w:val="006D3F68"/>
    <w:rsid w:val="006D4088"/>
    <w:rsid w:val="006D40ED"/>
    <w:rsid w:val="006D40F6"/>
    <w:rsid w:val="006D45E2"/>
    <w:rsid w:val="006D4B38"/>
    <w:rsid w:val="006D4BD5"/>
    <w:rsid w:val="006D5005"/>
    <w:rsid w:val="006D5571"/>
    <w:rsid w:val="006D5B4E"/>
    <w:rsid w:val="006D5C3C"/>
    <w:rsid w:val="006D5D53"/>
    <w:rsid w:val="006D611C"/>
    <w:rsid w:val="006D6F41"/>
    <w:rsid w:val="006D74C4"/>
    <w:rsid w:val="006D75BA"/>
    <w:rsid w:val="006D7693"/>
    <w:rsid w:val="006D7CC6"/>
    <w:rsid w:val="006D7F8A"/>
    <w:rsid w:val="006E0567"/>
    <w:rsid w:val="006E0DC9"/>
    <w:rsid w:val="006E1383"/>
    <w:rsid w:val="006E270A"/>
    <w:rsid w:val="006E2BEC"/>
    <w:rsid w:val="006E2FD5"/>
    <w:rsid w:val="006E335D"/>
    <w:rsid w:val="006E3473"/>
    <w:rsid w:val="006E3AD7"/>
    <w:rsid w:val="006E46C4"/>
    <w:rsid w:val="006E4AD1"/>
    <w:rsid w:val="006E4D83"/>
    <w:rsid w:val="006E4FC5"/>
    <w:rsid w:val="006E4FDB"/>
    <w:rsid w:val="006E528B"/>
    <w:rsid w:val="006E5B98"/>
    <w:rsid w:val="006E5EFB"/>
    <w:rsid w:val="006E6462"/>
    <w:rsid w:val="006E65AC"/>
    <w:rsid w:val="006E6616"/>
    <w:rsid w:val="006E74DD"/>
    <w:rsid w:val="006E762C"/>
    <w:rsid w:val="006E77DA"/>
    <w:rsid w:val="006E7A87"/>
    <w:rsid w:val="006E7FB3"/>
    <w:rsid w:val="006F0084"/>
    <w:rsid w:val="006F0798"/>
    <w:rsid w:val="006F07C5"/>
    <w:rsid w:val="006F0EEF"/>
    <w:rsid w:val="006F1260"/>
    <w:rsid w:val="006F15C8"/>
    <w:rsid w:val="006F1695"/>
    <w:rsid w:val="006F16C8"/>
    <w:rsid w:val="006F1C7A"/>
    <w:rsid w:val="006F1C89"/>
    <w:rsid w:val="006F1D25"/>
    <w:rsid w:val="006F2C6E"/>
    <w:rsid w:val="006F327F"/>
    <w:rsid w:val="006F38B3"/>
    <w:rsid w:val="006F3AC9"/>
    <w:rsid w:val="006F3D29"/>
    <w:rsid w:val="006F4258"/>
    <w:rsid w:val="006F4A00"/>
    <w:rsid w:val="006F5113"/>
    <w:rsid w:val="006F5189"/>
    <w:rsid w:val="006F55BB"/>
    <w:rsid w:val="006F5E95"/>
    <w:rsid w:val="006F606C"/>
    <w:rsid w:val="006F666E"/>
    <w:rsid w:val="006F69B6"/>
    <w:rsid w:val="006F716F"/>
    <w:rsid w:val="006F7898"/>
    <w:rsid w:val="006F79A7"/>
    <w:rsid w:val="00700294"/>
    <w:rsid w:val="00701272"/>
    <w:rsid w:val="00701F69"/>
    <w:rsid w:val="0070201A"/>
    <w:rsid w:val="0070204B"/>
    <w:rsid w:val="00702185"/>
    <w:rsid w:val="00702869"/>
    <w:rsid w:val="00702883"/>
    <w:rsid w:val="00703239"/>
    <w:rsid w:val="007034A3"/>
    <w:rsid w:val="00703D04"/>
    <w:rsid w:val="007049C6"/>
    <w:rsid w:val="0070504F"/>
    <w:rsid w:val="007054B7"/>
    <w:rsid w:val="00705BF6"/>
    <w:rsid w:val="00705F43"/>
    <w:rsid w:val="00705FD1"/>
    <w:rsid w:val="00706D41"/>
    <w:rsid w:val="00706DFD"/>
    <w:rsid w:val="00707736"/>
    <w:rsid w:val="0071023E"/>
    <w:rsid w:val="00710A44"/>
    <w:rsid w:val="00710D2E"/>
    <w:rsid w:val="00710F0A"/>
    <w:rsid w:val="007114D0"/>
    <w:rsid w:val="00711537"/>
    <w:rsid w:val="007124B7"/>
    <w:rsid w:val="00712C77"/>
    <w:rsid w:val="00713026"/>
    <w:rsid w:val="00713315"/>
    <w:rsid w:val="0071334B"/>
    <w:rsid w:val="007133F2"/>
    <w:rsid w:val="00713CC0"/>
    <w:rsid w:val="007145DE"/>
    <w:rsid w:val="007147A6"/>
    <w:rsid w:val="00714911"/>
    <w:rsid w:val="00714A47"/>
    <w:rsid w:val="0071513C"/>
    <w:rsid w:val="007151F1"/>
    <w:rsid w:val="00715499"/>
    <w:rsid w:val="007157B5"/>
    <w:rsid w:val="007157F0"/>
    <w:rsid w:val="00715C7D"/>
    <w:rsid w:val="00715E81"/>
    <w:rsid w:val="007160DE"/>
    <w:rsid w:val="007166B7"/>
    <w:rsid w:val="007169AB"/>
    <w:rsid w:val="00717455"/>
    <w:rsid w:val="00717D67"/>
    <w:rsid w:val="00717F80"/>
    <w:rsid w:val="0072042C"/>
    <w:rsid w:val="00720645"/>
    <w:rsid w:val="00720CEF"/>
    <w:rsid w:val="00720E77"/>
    <w:rsid w:val="0072145E"/>
    <w:rsid w:val="00721E8F"/>
    <w:rsid w:val="00721E93"/>
    <w:rsid w:val="00721F95"/>
    <w:rsid w:val="00721FB2"/>
    <w:rsid w:val="00722171"/>
    <w:rsid w:val="0072236C"/>
    <w:rsid w:val="00722C78"/>
    <w:rsid w:val="00722DB2"/>
    <w:rsid w:val="00723076"/>
    <w:rsid w:val="00723A4C"/>
    <w:rsid w:val="00723BB1"/>
    <w:rsid w:val="00723C97"/>
    <w:rsid w:val="00723F1A"/>
    <w:rsid w:val="0072461D"/>
    <w:rsid w:val="00724863"/>
    <w:rsid w:val="007253B8"/>
    <w:rsid w:val="007259FA"/>
    <w:rsid w:val="00725A06"/>
    <w:rsid w:val="00725ACA"/>
    <w:rsid w:val="00726014"/>
    <w:rsid w:val="00726194"/>
    <w:rsid w:val="007261A5"/>
    <w:rsid w:val="0072653F"/>
    <w:rsid w:val="007268C5"/>
    <w:rsid w:val="007268E8"/>
    <w:rsid w:val="00726956"/>
    <w:rsid w:val="00726AC8"/>
    <w:rsid w:val="00726ACD"/>
    <w:rsid w:val="00726D45"/>
    <w:rsid w:val="00726E5F"/>
    <w:rsid w:val="00727E69"/>
    <w:rsid w:val="007314B2"/>
    <w:rsid w:val="00731A8E"/>
    <w:rsid w:val="00731B0C"/>
    <w:rsid w:val="0073217F"/>
    <w:rsid w:val="0073280F"/>
    <w:rsid w:val="007335D1"/>
    <w:rsid w:val="0073370D"/>
    <w:rsid w:val="007337B1"/>
    <w:rsid w:val="007337EA"/>
    <w:rsid w:val="00733EC8"/>
    <w:rsid w:val="00733FD4"/>
    <w:rsid w:val="00734164"/>
    <w:rsid w:val="007344CC"/>
    <w:rsid w:val="0073459C"/>
    <w:rsid w:val="007350A7"/>
    <w:rsid w:val="00735FD1"/>
    <w:rsid w:val="007363D6"/>
    <w:rsid w:val="0073659B"/>
    <w:rsid w:val="007366F5"/>
    <w:rsid w:val="00736882"/>
    <w:rsid w:val="007376CF"/>
    <w:rsid w:val="00737939"/>
    <w:rsid w:val="00740026"/>
    <w:rsid w:val="0074019B"/>
    <w:rsid w:val="00740657"/>
    <w:rsid w:val="00740AC0"/>
    <w:rsid w:val="00740BF3"/>
    <w:rsid w:val="00741386"/>
    <w:rsid w:val="00741B25"/>
    <w:rsid w:val="007423D7"/>
    <w:rsid w:val="00742829"/>
    <w:rsid w:val="007429D6"/>
    <w:rsid w:val="00742F8A"/>
    <w:rsid w:val="00742FEE"/>
    <w:rsid w:val="0074321B"/>
    <w:rsid w:val="007433FE"/>
    <w:rsid w:val="0074411D"/>
    <w:rsid w:val="0074428D"/>
    <w:rsid w:val="00744475"/>
    <w:rsid w:val="007446F9"/>
    <w:rsid w:val="007447A8"/>
    <w:rsid w:val="007448B9"/>
    <w:rsid w:val="00744A1A"/>
    <w:rsid w:val="00744B29"/>
    <w:rsid w:val="00744F4C"/>
    <w:rsid w:val="007451CA"/>
    <w:rsid w:val="0074537B"/>
    <w:rsid w:val="00745435"/>
    <w:rsid w:val="00745630"/>
    <w:rsid w:val="0074599E"/>
    <w:rsid w:val="00745DF7"/>
    <w:rsid w:val="00745FA3"/>
    <w:rsid w:val="007460BC"/>
    <w:rsid w:val="007461BA"/>
    <w:rsid w:val="007465E1"/>
    <w:rsid w:val="0074667C"/>
    <w:rsid w:val="00746F56"/>
    <w:rsid w:val="00747554"/>
    <w:rsid w:val="007479CB"/>
    <w:rsid w:val="00747AAE"/>
    <w:rsid w:val="00750605"/>
    <w:rsid w:val="00750796"/>
    <w:rsid w:val="00750EBE"/>
    <w:rsid w:val="007517EC"/>
    <w:rsid w:val="0075217D"/>
    <w:rsid w:val="00752A11"/>
    <w:rsid w:val="00752AB3"/>
    <w:rsid w:val="00752C6A"/>
    <w:rsid w:val="00752D2B"/>
    <w:rsid w:val="00752E04"/>
    <w:rsid w:val="007531DB"/>
    <w:rsid w:val="0075365E"/>
    <w:rsid w:val="007539C1"/>
    <w:rsid w:val="007545F1"/>
    <w:rsid w:val="007547DA"/>
    <w:rsid w:val="00755088"/>
    <w:rsid w:val="007550D9"/>
    <w:rsid w:val="00755EDA"/>
    <w:rsid w:val="00755EFE"/>
    <w:rsid w:val="0075605C"/>
    <w:rsid w:val="0075622F"/>
    <w:rsid w:val="007562A1"/>
    <w:rsid w:val="0075634A"/>
    <w:rsid w:val="00756564"/>
    <w:rsid w:val="00756BC1"/>
    <w:rsid w:val="00756D02"/>
    <w:rsid w:val="00756E45"/>
    <w:rsid w:val="00757206"/>
    <w:rsid w:val="00757574"/>
    <w:rsid w:val="00757633"/>
    <w:rsid w:val="007579AD"/>
    <w:rsid w:val="007579DE"/>
    <w:rsid w:val="00757ED9"/>
    <w:rsid w:val="0076097B"/>
    <w:rsid w:val="00760A4D"/>
    <w:rsid w:val="00760AF0"/>
    <w:rsid w:val="00761748"/>
    <w:rsid w:val="007629E1"/>
    <w:rsid w:val="00763236"/>
    <w:rsid w:val="0076330B"/>
    <w:rsid w:val="00763341"/>
    <w:rsid w:val="007642C5"/>
    <w:rsid w:val="00764594"/>
    <w:rsid w:val="00764719"/>
    <w:rsid w:val="00764930"/>
    <w:rsid w:val="00764DF4"/>
    <w:rsid w:val="00764E8B"/>
    <w:rsid w:val="00764FC1"/>
    <w:rsid w:val="00765FAD"/>
    <w:rsid w:val="00766319"/>
    <w:rsid w:val="007663D1"/>
    <w:rsid w:val="00766873"/>
    <w:rsid w:val="00766910"/>
    <w:rsid w:val="007672A9"/>
    <w:rsid w:val="007673A3"/>
    <w:rsid w:val="007676B7"/>
    <w:rsid w:val="00767762"/>
    <w:rsid w:val="00767C49"/>
    <w:rsid w:val="00770DF9"/>
    <w:rsid w:val="00770E21"/>
    <w:rsid w:val="00771594"/>
    <w:rsid w:val="00771727"/>
    <w:rsid w:val="007717B3"/>
    <w:rsid w:val="00771C0C"/>
    <w:rsid w:val="007726AF"/>
    <w:rsid w:val="00773323"/>
    <w:rsid w:val="007735A6"/>
    <w:rsid w:val="00773895"/>
    <w:rsid w:val="00773D89"/>
    <w:rsid w:val="00773E4B"/>
    <w:rsid w:val="0077430C"/>
    <w:rsid w:val="00774331"/>
    <w:rsid w:val="00774553"/>
    <w:rsid w:val="00774977"/>
    <w:rsid w:val="00774EE4"/>
    <w:rsid w:val="00775193"/>
    <w:rsid w:val="007751F9"/>
    <w:rsid w:val="00775850"/>
    <w:rsid w:val="00775B18"/>
    <w:rsid w:val="00775E64"/>
    <w:rsid w:val="0077677B"/>
    <w:rsid w:val="00776A0C"/>
    <w:rsid w:val="00777292"/>
    <w:rsid w:val="0077766D"/>
    <w:rsid w:val="007779DE"/>
    <w:rsid w:val="00777AF3"/>
    <w:rsid w:val="00777CFC"/>
    <w:rsid w:val="007802EB"/>
    <w:rsid w:val="00780B7B"/>
    <w:rsid w:val="00781094"/>
    <w:rsid w:val="007810EF"/>
    <w:rsid w:val="007810F7"/>
    <w:rsid w:val="0078137B"/>
    <w:rsid w:val="00781814"/>
    <w:rsid w:val="00782473"/>
    <w:rsid w:val="0078274F"/>
    <w:rsid w:val="00782D78"/>
    <w:rsid w:val="00783999"/>
    <w:rsid w:val="00783F58"/>
    <w:rsid w:val="00784500"/>
    <w:rsid w:val="00784643"/>
    <w:rsid w:val="00784849"/>
    <w:rsid w:val="00784AB9"/>
    <w:rsid w:val="00784B5E"/>
    <w:rsid w:val="00784CB3"/>
    <w:rsid w:val="00784DC6"/>
    <w:rsid w:val="00785020"/>
    <w:rsid w:val="00785281"/>
    <w:rsid w:val="007855BF"/>
    <w:rsid w:val="007855EB"/>
    <w:rsid w:val="007857F7"/>
    <w:rsid w:val="00785C84"/>
    <w:rsid w:val="007862E5"/>
    <w:rsid w:val="0078703A"/>
    <w:rsid w:val="007873C5"/>
    <w:rsid w:val="007875AE"/>
    <w:rsid w:val="00787602"/>
    <w:rsid w:val="00787B65"/>
    <w:rsid w:val="007906E5"/>
    <w:rsid w:val="0079151C"/>
    <w:rsid w:val="00791A01"/>
    <w:rsid w:val="0079200E"/>
    <w:rsid w:val="00792036"/>
    <w:rsid w:val="007920FE"/>
    <w:rsid w:val="00793209"/>
    <w:rsid w:val="0079364A"/>
    <w:rsid w:val="007947D0"/>
    <w:rsid w:val="007950B0"/>
    <w:rsid w:val="00795164"/>
    <w:rsid w:val="0079583E"/>
    <w:rsid w:val="00795C52"/>
    <w:rsid w:val="007973C4"/>
    <w:rsid w:val="00797903"/>
    <w:rsid w:val="00797AF6"/>
    <w:rsid w:val="007A0094"/>
    <w:rsid w:val="007A0FD1"/>
    <w:rsid w:val="007A12D0"/>
    <w:rsid w:val="007A134C"/>
    <w:rsid w:val="007A1D69"/>
    <w:rsid w:val="007A2874"/>
    <w:rsid w:val="007A32A4"/>
    <w:rsid w:val="007A3444"/>
    <w:rsid w:val="007A371B"/>
    <w:rsid w:val="007A37E6"/>
    <w:rsid w:val="007A38BE"/>
    <w:rsid w:val="007A4321"/>
    <w:rsid w:val="007A4CDD"/>
    <w:rsid w:val="007A545E"/>
    <w:rsid w:val="007A5968"/>
    <w:rsid w:val="007A5AC7"/>
    <w:rsid w:val="007A5B4B"/>
    <w:rsid w:val="007A5BFF"/>
    <w:rsid w:val="007A5C95"/>
    <w:rsid w:val="007A6999"/>
    <w:rsid w:val="007A6A33"/>
    <w:rsid w:val="007A6F1D"/>
    <w:rsid w:val="007A71F2"/>
    <w:rsid w:val="007A720D"/>
    <w:rsid w:val="007A767D"/>
    <w:rsid w:val="007A78E5"/>
    <w:rsid w:val="007A7C18"/>
    <w:rsid w:val="007A7C81"/>
    <w:rsid w:val="007B0549"/>
    <w:rsid w:val="007B0F69"/>
    <w:rsid w:val="007B10B4"/>
    <w:rsid w:val="007B14B4"/>
    <w:rsid w:val="007B1D13"/>
    <w:rsid w:val="007B1F4B"/>
    <w:rsid w:val="007B20C0"/>
    <w:rsid w:val="007B26A0"/>
    <w:rsid w:val="007B29A9"/>
    <w:rsid w:val="007B2A20"/>
    <w:rsid w:val="007B321A"/>
    <w:rsid w:val="007B352C"/>
    <w:rsid w:val="007B3538"/>
    <w:rsid w:val="007B35CD"/>
    <w:rsid w:val="007B3ACA"/>
    <w:rsid w:val="007B46A4"/>
    <w:rsid w:val="007B4B33"/>
    <w:rsid w:val="007B4CBD"/>
    <w:rsid w:val="007B4F89"/>
    <w:rsid w:val="007B4FE0"/>
    <w:rsid w:val="007B5AC2"/>
    <w:rsid w:val="007B5FFF"/>
    <w:rsid w:val="007B6465"/>
    <w:rsid w:val="007B682A"/>
    <w:rsid w:val="007B69F1"/>
    <w:rsid w:val="007B6FE8"/>
    <w:rsid w:val="007B720F"/>
    <w:rsid w:val="007B7ECD"/>
    <w:rsid w:val="007B7F15"/>
    <w:rsid w:val="007C0012"/>
    <w:rsid w:val="007C01A0"/>
    <w:rsid w:val="007C01D1"/>
    <w:rsid w:val="007C025C"/>
    <w:rsid w:val="007C0A06"/>
    <w:rsid w:val="007C0E6A"/>
    <w:rsid w:val="007C122D"/>
    <w:rsid w:val="007C1368"/>
    <w:rsid w:val="007C1935"/>
    <w:rsid w:val="007C1B71"/>
    <w:rsid w:val="007C1D41"/>
    <w:rsid w:val="007C21F4"/>
    <w:rsid w:val="007C2782"/>
    <w:rsid w:val="007C2E39"/>
    <w:rsid w:val="007C2F98"/>
    <w:rsid w:val="007C2FF1"/>
    <w:rsid w:val="007C34C3"/>
    <w:rsid w:val="007C36EB"/>
    <w:rsid w:val="007C3853"/>
    <w:rsid w:val="007C4036"/>
    <w:rsid w:val="007C4A9F"/>
    <w:rsid w:val="007C4B1E"/>
    <w:rsid w:val="007C4CC3"/>
    <w:rsid w:val="007C5408"/>
    <w:rsid w:val="007C5BAC"/>
    <w:rsid w:val="007C6972"/>
    <w:rsid w:val="007C6A87"/>
    <w:rsid w:val="007C6FDF"/>
    <w:rsid w:val="007C700D"/>
    <w:rsid w:val="007C7112"/>
    <w:rsid w:val="007C7231"/>
    <w:rsid w:val="007C73D6"/>
    <w:rsid w:val="007C795D"/>
    <w:rsid w:val="007C7F1E"/>
    <w:rsid w:val="007D044F"/>
    <w:rsid w:val="007D0C70"/>
    <w:rsid w:val="007D13DB"/>
    <w:rsid w:val="007D1D87"/>
    <w:rsid w:val="007D1DE2"/>
    <w:rsid w:val="007D1FCA"/>
    <w:rsid w:val="007D1FF8"/>
    <w:rsid w:val="007D33ED"/>
    <w:rsid w:val="007D3B8E"/>
    <w:rsid w:val="007D3D8D"/>
    <w:rsid w:val="007D47B3"/>
    <w:rsid w:val="007D4850"/>
    <w:rsid w:val="007D4AB3"/>
    <w:rsid w:val="007D4AF1"/>
    <w:rsid w:val="007D4C57"/>
    <w:rsid w:val="007D4FEC"/>
    <w:rsid w:val="007D590C"/>
    <w:rsid w:val="007D5CA8"/>
    <w:rsid w:val="007D5CD9"/>
    <w:rsid w:val="007D5E54"/>
    <w:rsid w:val="007D6B32"/>
    <w:rsid w:val="007D6C39"/>
    <w:rsid w:val="007D72E1"/>
    <w:rsid w:val="007D744A"/>
    <w:rsid w:val="007D7D95"/>
    <w:rsid w:val="007E0000"/>
    <w:rsid w:val="007E0025"/>
    <w:rsid w:val="007E086C"/>
    <w:rsid w:val="007E0A23"/>
    <w:rsid w:val="007E0AA1"/>
    <w:rsid w:val="007E0CB6"/>
    <w:rsid w:val="007E0DAD"/>
    <w:rsid w:val="007E0F0B"/>
    <w:rsid w:val="007E0FF3"/>
    <w:rsid w:val="007E1595"/>
    <w:rsid w:val="007E1723"/>
    <w:rsid w:val="007E1742"/>
    <w:rsid w:val="007E176B"/>
    <w:rsid w:val="007E1EC8"/>
    <w:rsid w:val="007E20EB"/>
    <w:rsid w:val="007E237B"/>
    <w:rsid w:val="007E260D"/>
    <w:rsid w:val="007E2B7D"/>
    <w:rsid w:val="007E2B82"/>
    <w:rsid w:val="007E2E41"/>
    <w:rsid w:val="007E3048"/>
    <w:rsid w:val="007E335B"/>
    <w:rsid w:val="007E3832"/>
    <w:rsid w:val="007E3A57"/>
    <w:rsid w:val="007E3DBC"/>
    <w:rsid w:val="007E3FA7"/>
    <w:rsid w:val="007E3FE3"/>
    <w:rsid w:val="007E49D1"/>
    <w:rsid w:val="007E4CEB"/>
    <w:rsid w:val="007E5FED"/>
    <w:rsid w:val="007E6278"/>
    <w:rsid w:val="007E708A"/>
    <w:rsid w:val="007E70C0"/>
    <w:rsid w:val="007E71FE"/>
    <w:rsid w:val="007E72FB"/>
    <w:rsid w:val="007E79F5"/>
    <w:rsid w:val="007E7C44"/>
    <w:rsid w:val="007F0A44"/>
    <w:rsid w:val="007F0CF7"/>
    <w:rsid w:val="007F0D98"/>
    <w:rsid w:val="007F0E99"/>
    <w:rsid w:val="007F1554"/>
    <w:rsid w:val="007F199E"/>
    <w:rsid w:val="007F1A9A"/>
    <w:rsid w:val="007F1C02"/>
    <w:rsid w:val="007F1C1F"/>
    <w:rsid w:val="007F1C4E"/>
    <w:rsid w:val="007F1F03"/>
    <w:rsid w:val="007F2381"/>
    <w:rsid w:val="007F2AE0"/>
    <w:rsid w:val="007F2B49"/>
    <w:rsid w:val="007F34D8"/>
    <w:rsid w:val="007F3B71"/>
    <w:rsid w:val="007F5237"/>
    <w:rsid w:val="007F56F1"/>
    <w:rsid w:val="007F627E"/>
    <w:rsid w:val="007F6816"/>
    <w:rsid w:val="007F6862"/>
    <w:rsid w:val="007F6888"/>
    <w:rsid w:val="007F6990"/>
    <w:rsid w:val="007F69C5"/>
    <w:rsid w:val="007F6C86"/>
    <w:rsid w:val="007F6F80"/>
    <w:rsid w:val="007F749C"/>
    <w:rsid w:val="007F7773"/>
    <w:rsid w:val="007F7880"/>
    <w:rsid w:val="007F7898"/>
    <w:rsid w:val="007F7C82"/>
    <w:rsid w:val="007F7D4D"/>
    <w:rsid w:val="00800694"/>
    <w:rsid w:val="0080069B"/>
    <w:rsid w:val="008008A3"/>
    <w:rsid w:val="00800926"/>
    <w:rsid w:val="00800E94"/>
    <w:rsid w:val="00800F65"/>
    <w:rsid w:val="00801056"/>
    <w:rsid w:val="008014D9"/>
    <w:rsid w:val="00801D65"/>
    <w:rsid w:val="008022BA"/>
    <w:rsid w:val="00803008"/>
    <w:rsid w:val="00803286"/>
    <w:rsid w:val="00803795"/>
    <w:rsid w:val="00804915"/>
    <w:rsid w:val="00804AAA"/>
    <w:rsid w:val="008050B8"/>
    <w:rsid w:val="008053A2"/>
    <w:rsid w:val="008059C8"/>
    <w:rsid w:val="00805C0C"/>
    <w:rsid w:val="00806629"/>
    <w:rsid w:val="00806816"/>
    <w:rsid w:val="00807027"/>
    <w:rsid w:val="008071AD"/>
    <w:rsid w:val="00807287"/>
    <w:rsid w:val="00807378"/>
    <w:rsid w:val="00807534"/>
    <w:rsid w:val="00807543"/>
    <w:rsid w:val="008105EF"/>
    <w:rsid w:val="00810734"/>
    <w:rsid w:val="00810747"/>
    <w:rsid w:val="00810DCE"/>
    <w:rsid w:val="00811EF8"/>
    <w:rsid w:val="008120E2"/>
    <w:rsid w:val="00812A1D"/>
    <w:rsid w:val="00812B61"/>
    <w:rsid w:val="00812EA6"/>
    <w:rsid w:val="00813462"/>
    <w:rsid w:val="00813ABA"/>
    <w:rsid w:val="00813C4E"/>
    <w:rsid w:val="0081434E"/>
    <w:rsid w:val="00814990"/>
    <w:rsid w:val="00814A59"/>
    <w:rsid w:val="00814B6F"/>
    <w:rsid w:val="00815081"/>
    <w:rsid w:val="0081551B"/>
    <w:rsid w:val="008161B9"/>
    <w:rsid w:val="00816681"/>
    <w:rsid w:val="00817568"/>
    <w:rsid w:val="00817DD4"/>
    <w:rsid w:val="008201C0"/>
    <w:rsid w:val="0082030A"/>
    <w:rsid w:val="00820331"/>
    <w:rsid w:val="008205CA"/>
    <w:rsid w:val="0082086E"/>
    <w:rsid w:val="008209B8"/>
    <w:rsid w:val="00820B6E"/>
    <w:rsid w:val="00820D29"/>
    <w:rsid w:val="00820DA1"/>
    <w:rsid w:val="00820F78"/>
    <w:rsid w:val="00820FBC"/>
    <w:rsid w:val="00821D0E"/>
    <w:rsid w:val="00821F72"/>
    <w:rsid w:val="008220CF"/>
    <w:rsid w:val="00822D29"/>
    <w:rsid w:val="0082349E"/>
    <w:rsid w:val="0082358D"/>
    <w:rsid w:val="00823606"/>
    <w:rsid w:val="008239BA"/>
    <w:rsid w:val="00823C3E"/>
    <w:rsid w:val="0082438A"/>
    <w:rsid w:val="008245AE"/>
    <w:rsid w:val="008246E9"/>
    <w:rsid w:val="00824C7C"/>
    <w:rsid w:val="00824E65"/>
    <w:rsid w:val="00825341"/>
    <w:rsid w:val="0082552A"/>
    <w:rsid w:val="00825604"/>
    <w:rsid w:val="0082596E"/>
    <w:rsid w:val="00825B71"/>
    <w:rsid w:val="00825BFB"/>
    <w:rsid w:val="00825F5B"/>
    <w:rsid w:val="008263E9"/>
    <w:rsid w:val="008272C3"/>
    <w:rsid w:val="008274D5"/>
    <w:rsid w:val="00827640"/>
    <w:rsid w:val="00827A9E"/>
    <w:rsid w:val="00830779"/>
    <w:rsid w:val="0083127B"/>
    <w:rsid w:val="0083190E"/>
    <w:rsid w:val="00831AA6"/>
    <w:rsid w:val="0083254F"/>
    <w:rsid w:val="008326E7"/>
    <w:rsid w:val="008329CF"/>
    <w:rsid w:val="0083320A"/>
    <w:rsid w:val="0083338B"/>
    <w:rsid w:val="0083352A"/>
    <w:rsid w:val="00833683"/>
    <w:rsid w:val="00833A4C"/>
    <w:rsid w:val="00833AD6"/>
    <w:rsid w:val="00834063"/>
    <w:rsid w:val="008345B8"/>
    <w:rsid w:val="00834A6E"/>
    <w:rsid w:val="00834B34"/>
    <w:rsid w:val="008353EB"/>
    <w:rsid w:val="00835826"/>
    <w:rsid w:val="0083611E"/>
    <w:rsid w:val="00836893"/>
    <w:rsid w:val="00836945"/>
    <w:rsid w:val="00836ABB"/>
    <w:rsid w:val="00837291"/>
    <w:rsid w:val="00837525"/>
    <w:rsid w:val="00837528"/>
    <w:rsid w:val="00837FBC"/>
    <w:rsid w:val="00840138"/>
    <w:rsid w:val="008404A5"/>
    <w:rsid w:val="00840600"/>
    <w:rsid w:val="00840E75"/>
    <w:rsid w:val="0084124F"/>
    <w:rsid w:val="0084193D"/>
    <w:rsid w:val="00842938"/>
    <w:rsid w:val="00842AC8"/>
    <w:rsid w:val="00843463"/>
    <w:rsid w:val="0084370F"/>
    <w:rsid w:val="00843939"/>
    <w:rsid w:val="00843C20"/>
    <w:rsid w:val="00843E25"/>
    <w:rsid w:val="00844123"/>
    <w:rsid w:val="00844693"/>
    <w:rsid w:val="00844C8D"/>
    <w:rsid w:val="00844EAD"/>
    <w:rsid w:val="00845518"/>
    <w:rsid w:val="0084564F"/>
    <w:rsid w:val="0084590B"/>
    <w:rsid w:val="00845C81"/>
    <w:rsid w:val="00845EBC"/>
    <w:rsid w:val="008468D0"/>
    <w:rsid w:val="00846CAD"/>
    <w:rsid w:val="008475A1"/>
    <w:rsid w:val="00847A00"/>
    <w:rsid w:val="00851133"/>
    <w:rsid w:val="008514E0"/>
    <w:rsid w:val="00851AB7"/>
    <w:rsid w:val="00851FB0"/>
    <w:rsid w:val="008520A1"/>
    <w:rsid w:val="00853018"/>
    <w:rsid w:val="00854E41"/>
    <w:rsid w:val="00855673"/>
    <w:rsid w:val="00855A3F"/>
    <w:rsid w:val="00855CA1"/>
    <w:rsid w:val="008564A7"/>
    <w:rsid w:val="00857109"/>
    <w:rsid w:val="008571D6"/>
    <w:rsid w:val="00857690"/>
    <w:rsid w:val="00857791"/>
    <w:rsid w:val="00857830"/>
    <w:rsid w:val="00857A7A"/>
    <w:rsid w:val="00857ED9"/>
    <w:rsid w:val="0086014D"/>
    <w:rsid w:val="0086035C"/>
    <w:rsid w:val="00860496"/>
    <w:rsid w:val="00860577"/>
    <w:rsid w:val="00860A27"/>
    <w:rsid w:val="00860C51"/>
    <w:rsid w:val="008610BD"/>
    <w:rsid w:val="00861174"/>
    <w:rsid w:val="00861260"/>
    <w:rsid w:val="00861346"/>
    <w:rsid w:val="00861595"/>
    <w:rsid w:val="00861FFA"/>
    <w:rsid w:val="008628C2"/>
    <w:rsid w:val="00862E88"/>
    <w:rsid w:val="008631CF"/>
    <w:rsid w:val="0086329F"/>
    <w:rsid w:val="008633DB"/>
    <w:rsid w:val="0086386A"/>
    <w:rsid w:val="00863BF6"/>
    <w:rsid w:val="00863C0B"/>
    <w:rsid w:val="0086455C"/>
    <w:rsid w:val="00864B1F"/>
    <w:rsid w:val="00864B88"/>
    <w:rsid w:val="00864B97"/>
    <w:rsid w:val="00864F52"/>
    <w:rsid w:val="00865155"/>
    <w:rsid w:val="0086539F"/>
    <w:rsid w:val="00865766"/>
    <w:rsid w:val="00865B38"/>
    <w:rsid w:val="00865D49"/>
    <w:rsid w:val="00865E36"/>
    <w:rsid w:val="00866437"/>
    <w:rsid w:val="008669DD"/>
    <w:rsid w:val="00866DA2"/>
    <w:rsid w:val="00866F40"/>
    <w:rsid w:val="00867081"/>
    <w:rsid w:val="00867482"/>
    <w:rsid w:val="0086750F"/>
    <w:rsid w:val="00867553"/>
    <w:rsid w:val="008679C6"/>
    <w:rsid w:val="00867A1C"/>
    <w:rsid w:val="00867C9C"/>
    <w:rsid w:val="00867D99"/>
    <w:rsid w:val="0087044E"/>
    <w:rsid w:val="00870901"/>
    <w:rsid w:val="00870E41"/>
    <w:rsid w:val="00870F76"/>
    <w:rsid w:val="0087132F"/>
    <w:rsid w:val="00871EA5"/>
    <w:rsid w:val="008721A8"/>
    <w:rsid w:val="00872764"/>
    <w:rsid w:val="0087286F"/>
    <w:rsid w:val="00873BA2"/>
    <w:rsid w:val="00873BE1"/>
    <w:rsid w:val="00873DE4"/>
    <w:rsid w:val="008741CD"/>
    <w:rsid w:val="008743F9"/>
    <w:rsid w:val="00874412"/>
    <w:rsid w:val="0087461D"/>
    <w:rsid w:val="0087486D"/>
    <w:rsid w:val="00874B2D"/>
    <w:rsid w:val="00874DE8"/>
    <w:rsid w:val="00874FF2"/>
    <w:rsid w:val="00875208"/>
    <w:rsid w:val="00875488"/>
    <w:rsid w:val="008756AA"/>
    <w:rsid w:val="00875CDD"/>
    <w:rsid w:val="00875D0B"/>
    <w:rsid w:val="008763B6"/>
    <w:rsid w:val="0087645A"/>
    <w:rsid w:val="008770D0"/>
    <w:rsid w:val="00877275"/>
    <w:rsid w:val="008773B6"/>
    <w:rsid w:val="00877987"/>
    <w:rsid w:val="00877DB2"/>
    <w:rsid w:val="00877FA9"/>
    <w:rsid w:val="00880021"/>
    <w:rsid w:val="008802E2"/>
    <w:rsid w:val="0088091D"/>
    <w:rsid w:val="00880BCA"/>
    <w:rsid w:val="00880D0F"/>
    <w:rsid w:val="00880F23"/>
    <w:rsid w:val="008813ED"/>
    <w:rsid w:val="00881865"/>
    <w:rsid w:val="008818EA"/>
    <w:rsid w:val="008819D2"/>
    <w:rsid w:val="00881CD2"/>
    <w:rsid w:val="0088203C"/>
    <w:rsid w:val="0088234E"/>
    <w:rsid w:val="00882511"/>
    <w:rsid w:val="008829E6"/>
    <w:rsid w:val="00882B01"/>
    <w:rsid w:val="00882D22"/>
    <w:rsid w:val="00884147"/>
    <w:rsid w:val="00884332"/>
    <w:rsid w:val="0088453D"/>
    <w:rsid w:val="00884B92"/>
    <w:rsid w:val="00884BFB"/>
    <w:rsid w:val="008850FE"/>
    <w:rsid w:val="00885126"/>
    <w:rsid w:val="00886067"/>
    <w:rsid w:val="00886EC6"/>
    <w:rsid w:val="00887418"/>
    <w:rsid w:val="00887FF2"/>
    <w:rsid w:val="008900F4"/>
    <w:rsid w:val="008902B4"/>
    <w:rsid w:val="0089031A"/>
    <w:rsid w:val="00890498"/>
    <w:rsid w:val="00890CAE"/>
    <w:rsid w:val="00890FB6"/>
    <w:rsid w:val="008910B1"/>
    <w:rsid w:val="008921F3"/>
    <w:rsid w:val="0089235E"/>
    <w:rsid w:val="00892496"/>
    <w:rsid w:val="008926A9"/>
    <w:rsid w:val="00892A62"/>
    <w:rsid w:val="00892AC4"/>
    <w:rsid w:val="0089303E"/>
    <w:rsid w:val="0089337A"/>
    <w:rsid w:val="00893BBC"/>
    <w:rsid w:val="00893F8A"/>
    <w:rsid w:val="00894232"/>
    <w:rsid w:val="008946E9"/>
    <w:rsid w:val="00894AD6"/>
    <w:rsid w:val="00894CEE"/>
    <w:rsid w:val="00894D0D"/>
    <w:rsid w:val="00895016"/>
    <w:rsid w:val="0089506C"/>
    <w:rsid w:val="008950CC"/>
    <w:rsid w:val="008951B0"/>
    <w:rsid w:val="00895FB7"/>
    <w:rsid w:val="00895FE7"/>
    <w:rsid w:val="00896CEA"/>
    <w:rsid w:val="00896D55"/>
    <w:rsid w:val="00897530"/>
    <w:rsid w:val="0089765D"/>
    <w:rsid w:val="008A01A4"/>
    <w:rsid w:val="008A0329"/>
    <w:rsid w:val="008A06B6"/>
    <w:rsid w:val="008A0D9B"/>
    <w:rsid w:val="008A0F7A"/>
    <w:rsid w:val="008A0F7F"/>
    <w:rsid w:val="008A0FF6"/>
    <w:rsid w:val="008A0FFA"/>
    <w:rsid w:val="008A1350"/>
    <w:rsid w:val="008A13DA"/>
    <w:rsid w:val="008A1593"/>
    <w:rsid w:val="008A1637"/>
    <w:rsid w:val="008A17C9"/>
    <w:rsid w:val="008A1FA5"/>
    <w:rsid w:val="008A2087"/>
    <w:rsid w:val="008A254B"/>
    <w:rsid w:val="008A2560"/>
    <w:rsid w:val="008A2831"/>
    <w:rsid w:val="008A32AF"/>
    <w:rsid w:val="008A364D"/>
    <w:rsid w:val="008A3684"/>
    <w:rsid w:val="008A3DFD"/>
    <w:rsid w:val="008A4644"/>
    <w:rsid w:val="008A49CB"/>
    <w:rsid w:val="008A549E"/>
    <w:rsid w:val="008A54BD"/>
    <w:rsid w:val="008A5587"/>
    <w:rsid w:val="008A561D"/>
    <w:rsid w:val="008A5B68"/>
    <w:rsid w:val="008A5CC5"/>
    <w:rsid w:val="008A5F35"/>
    <w:rsid w:val="008A6178"/>
    <w:rsid w:val="008A6228"/>
    <w:rsid w:val="008A68BB"/>
    <w:rsid w:val="008A6D1D"/>
    <w:rsid w:val="008A75FA"/>
    <w:rsid w:val="008A7726"/>
    <w:rsid w:val="008A7D34"/>
    <w:rsid w:val="008A7F62"/>
    <w:rsid w:val="008B09BC"/>
    <w:rsid w:val="008B0ECB"/>
    <w:rsid w:val="008B0F72"/>
    <w:rsid w:val="008B1192"/>
    <w:rsid w:val="008B154A"/>
    <w:rsid w:val="008B167A"/>
    <w:rsid w:val="008B1867"/>
    <w:rsid w:val="008B19A1"/>
    <w:rsid w:val="008B21CD"/>
    <w:rsid w:val="008B21F9"/>
    <w:rsid w:val="008B34C8"/>
    <w:rsid w:val="008B397F"/>
    <w:rsid w:val="008B3AD6"/>
    <w:rsid w:val="008B3CA9"/>
    <w:rsid w:val="008B3E5B"/>
    <w:rsid w:val="008B41C5"/>
    <w:rsid w:val="008B43F9"/>
    <w:rsid w:val="008B43FA"/>
    <w:rsid w:val="008B4F42"/>
    <w:rsid w:val="008B52BF"/>
    <w:rsid w:val="008B567E"/>
    <w:rsid w:val="008B57C5"/>
    <w:rsid w:val="008B67F3"/>
    <w:rsid w:val="008B68D2"/>
    <w:rsid w:val="008B6BFE"/>
    <w:rsid w:val="008B730A"/>
    <w:rsid w:val="008B731A"/>
    <w:rsid w:val="008B7D0E"/>
    <w:rsid w:val="008B7D19"/>
    <w:rsid w:val="008B7D78"/>
    <w:rsid w:val="008B7E08"/>
    <w:rsid w:val="008C00C1"/>
    <w:rsid w:val="008C0354"/>
    <w:rsid w:val="008C04D8"/>
    <w:rsid w:val="008C0708"/>
    <w:rsid w:val="008C0A3E"/>
    <w:rsid w:val="008C12F3"/>
    <w:rsid w:val="008C1738"/>
    <w:rsid w:val="008C2355"/>
    <w:rsid w:val="008C2432"/>
    <w:rsid w:val="008C3386"/>
    <w:rsid w:val="008C33D4"/>
    <w:rsid w:val="008C35B1"/>
    <w:rsid w:val="008C3721"/>
    <w:rsid w:val="008C3B38"/>
    <w:rsid w:val="008C446C"/>
    <w:rsid w:val="008C45B4"/>
    <w:rsid w:val="008C46CA"/>
    <w:rsid w:val="008C46ED"/>
    <w:rsid w:val="008C476D"/>
    <w:rsid w:val="008C47A6"/>
    <w:rsid w:val="008C49C1"/>
    <w:rsid w:val="008C4FCB"/>
    <w:rsid w:val="008C5DBD"/>
    <w:rsid w:val="008C692F"/>
    <w:rsid w:val="008C6D13"/>
    <w:rsid w:val="008C6D55"/>
    <w:rsid w:val="008C7488"/>
    <w:rsid w:val="008C7575"/>
    <w:rsid w:val="008C7A0B"/>
    <w:rsid w:val="008C7CF7"/>
    <w:rsid w:val="008C7D3B"/>
    <w:rsid w:val="008D0261"/>
    <w:rsid w:val="008D0ADC"/>
    <w:rsid w:val="008D0C75"/>
    <w:rsid w:val="008D0D69"/>
    <w:rsid w:val="008D0E38"/>
    <w:rsid w:val="008D0EFD"/>
    <w:rsid w:val="008D1112"/>
    <w:rsid w:val="008D16CF"/>
    <w:rsid w:val="008D1832"/>
    <w:rsid w:val="008D1A38"/>
    <w:rsid w:val="008D1FC8"/>
    <w:rsid w:val="008D208E"/>
    <w:rsid w:val="008D24E0"/>
    <w:rsid w:val="008D2595"/>
    <w:rsid w:val="008D2747"/>
    <w:rsid w:val="008D2758"/>
    <w:rsid w:val="008D294F"/>
    <w:rsid w:val="008D2FCD"/>
    <w:rsid w:val="008D3036"/>
    <w:rsid w:val="008D30F1"/>
    <w:rsid w:val="008D39CF"/>
    <w:rsid w:val="008D3D5C"/>
    <w:rsid w:val="008D435F"/>
    <w:rsid w:val="008D4583"/>
    <w:rsid w:val="008D45DA"/>
    <w:rsid w:val="008D48C1"/>
    <w:rsid w:val="008D4B16"/>
    <w:rsid w:val="008D4D3E"/>
    <w:rsid w:val="008D4FE9"/>
    <w:rsid w:val="008D53FC"/>
    <w:rsid w:val="008D5992"/>
    <w:rsid w:val="008D5BA6"/>
    <w:rsid w:val="008D6556"/>
    <w:rsid w:val="008D6D23"/>
    <w:rsid w:val="008D6D47"/>
    <w:rsid w:val="008D708B"/>
    <w:rsid w:val="008D742D"/>
    <w:rsid w:val="008D7EA1"/>
    <w:rsid w:val="008E00E0"/>
    <w:rsid w:val="008E0F2C"/>
    <w:rsid w:val="008E10F0"/>
    <w:rsid w:val="008E14FF"/>
    <w:rsid w:val="008E159F"/>
    <w:rsid w:val="008E17B2"/>
    <w:rsid w:val="008E1B21"/>
    <w:rsid w:val="008E1D26"/>
    <w:rsid w:val="008E2911"/>
    <w:rsid w:val="008E2C10"/>
    <w:rsid w:val="008E2D6B"/>
    <w:rsid w:val="008E2DFA"/>
    <w:rsid w:val="008E31BF"/>
    <w:rsid w:val="008E32C6"/>
    <w:rsid w:val="008E36A2"/>
    <w:rsid w:val="008E4E21"/>
    <w:rsid w:val="008E676E"/>
    <w:rsid w:val="008E67AB"/>
    <w:rsid w:val="008E6E10"/>
    <w:rsid w:val="008E7698"/>
    <w:rsid w:val="008E77EF"/>
    <w:rsid w:val="008E79F3"/>
    <w:rsid w:val="008E7A0E"/>
    <w:rsid w:val="008F045D"/>
    <w:rsid w:val="008F09D2"/>
    <w:rsid w:val="008F0E04"/>
    <w:rsid w:val="008F1323"/>
    <w:rsid w:val="008F13AD"/>
    <w:rsid w:val="008F1942"/>
    <w:rsid w:val="008F1B99"/>
    <w:rsid w:val="008F1DD8"/>
    <w:rsid w:val="008F1F18"/>
    <w:rsid w:val="008F227A"/>
    <w:rsid w:val="008F2448"/>
    <w:rsid w:val="008F26A8"/>
    <w:rsid w:val="008F2700"/>
    <w:rsid w:val="008F27C0"/>
    <w:rsid w:val="008F2924"/>
    <w:rsid w:val="008F2981"/>
    <w:rsid w:val="008F2E69"/>
    <w:rsid w:val="008F2F46"/>
    <w:rsid w:val="008F3250"/>
    <w:rsid w:val="008F354C"/>
    <w:rsid w:val="008F38F5"/>
    <w:rsid w:val="008F3BE2"/>
    <w:rsid w:val="008F4023"/>
    <w:rsid w:val="008F4426"/>
    <w:rsid w:val="008F46D6"/>
    <w:rsid w:val="008F4AAF"/>
    <w:rsid w:val="008F4E93"/>
    <w:rsid w:val="008F4EC5"/>
    <w:rsid w:val="008F4EDD"/>
    <w:rsid w:val="008F50DB"/>
    <w:rsid w:val="008F557C"/>
    <w:rsid w:val="008F5597"/>
    <w:rsid w:val="008F5617"/>
    <w:rsid w:val="008F6C24"/>
    <w:rsid w:val="008F6D00"/>
    <w:rsid w:val="008F6FD3"/>
    <w:rsid w:val="008F71A4"/>
    <w:rsid w:val="008F730B"/>
    <w:rsid w:val="008F7485"/>
    <w:rsid w:val="008F7498"/>
    <w:rsid w:val="009003EE"/>
    <w:rsid w:val="0090074E"/>
    <w:rsid w:val="009007D1"/>
    <w:rsid w:val="00900DE4"/>
    <w:rsid w:val="009012E1"/>
    <w:rsid w:val="009013C8"/>
    <w:rsid w:val="00901D1F"/>
    <w:rsid w:val="00902070"/>
    <w:rsid w:val="00902896"/>
    <w:rsid w:val="00902988"/>
    <w:rsid w:val="00902AF2"/>
    <w:rsid w:val="00902BA3"/>
    <w:rsid w:val="00902DCD"/>
    <w:rsid w:val="00903724"/>
    <w:rsid w:val="00903D9F"/>
    <w:rsid w:val="00903FCD"/>
    <w:rsid w:val="009040CB"/>
    <w:rsid w:val="0090426D"/>
    <w:rsid w:val="00904651"/>
    <w:rsid w:val="0090465C"/>
    <w:rsid w:val="00904E09"/>
    <w:rsid w:val="00905025"/>
    <w:rsid w:val="00905527"/>
    <w:rsid w:val="0090567D"/>
    <w:rsid w:val="00905773"/>
    <w:rsid w:val="00905877"/>
    <w:rsid w:val="009062BD"/>
    <w:rsid w:val="00906E00"/>
    <w:rsid w:val="00906E9A"/>
    <w:rsid w:val="00907868"/>
    <w:rsid w:val="009107B6"/>
    <w:rsid w:val="00910BA8"/>
    <w:rsid w:val="00910C08"/>
    <w:rsid w:val="00911530"/>
    <w:rsid w:val="009116C4"/>
    <w:rsid w:val="00911ABF"/>
    <w:rsid w:val="00911DCE"/>
    <w:rsid w:val="00911E70"/>
    <w:rsid w:val="009125B0"/>
    <w:rsid w:val="009125EF"/>
    <w:rsid w:val="00912A9C"/>
    <w:rsid w:val="00912C62"/>
    <w:rsid w:val="00912D6A"/>
    <w:rsid w:val="00913246"/>
    <w:rsid w:val="00913546"/>
    <w:rsid w:val="009140A5"/>
    <w:rsid w:val="009140F5"/>
    <w:rsid w:val="00914315"/>
    <w:rsid w:val="009146FA"/>
    <w:rsid w:val="0091495E"/>
    <w:rsid w:val="00914971"/>
    <w:rsid w:val="00914A98"/>
    <w:rsid w:val="00914E9A"/>
    <w:rsid w:val="00914EEC"/>
    <w:rsid w:val="00915BB6"/>
    <w:rsid w:val="00915CDF"/>
    <w:rsid w:val="00915E23"/>
    <w:rsid w:val="00916952"/>
    <w:rsid w:val="00917121"/>
    <w:rsid w:val="0091736C"/>
    <w:rsid w:val="00917682"/>
    <w:rsid w:val="00917925"/>
    <w:rsid w:val="00917A2A"/>
    <w:rsid w:val="00917BCD"/>
    <w:rsid w:val="00917BEE"/>
    <w:rsid w:val="00920FE7"/>
    <w:rsid w:val="009210B3"/>
    <w:rsid w:val="009210F3"/>
    <w:rsid w:val="00921504"/>
    <w:rsid w:val="00921514"/>
    <w:rsid w:val="00921D36"/>
    <w:rsid w:val="00921D3A"/>
    <w:rsid w:val="009222A1"/>
    <w:rsid w:val="00922796"/>
    <w:rsid w:val="009228EF"/>
    <w:rsid w:val="00922D74"/>
    <w:rsid w:val="00922D96"/>
    <w:rsid w:val="009234F2"/>
    <w:rsid w:val="00923761"/>
    <w:rsid w:val="00923C94"/>
    <w:rsid w:val="0092413A"/>
    <w:rsid w:val="0092434B"/>
    <w:rsid w:val="00925262"/>
    <w:rsid w:val="009258E8"/>
    <w:rsid w:val="0092682F"/>
    <w:rsid w:val="009268F5"/>
    <w:rsid w:val="009270A5"/>
    <w:rsid w:val="0092740F"/>
    <w:rsid w:val="0092771A"/>
    <w:rsid w:val="00927C24"/>
    <w:rsid w:val="009305AF"/>
    <w:rsid w:val="009310F5"/>
    <w:rsid w:val="0093131E"/>
    <w:rsid w:val="009318AE"/>
    <w:rsid w:val="00932141"/>
    <w:rsid w:val="0093217F"/>
    <w:rsid w:val="00932C52"/>
    <w:rsid w:val="00932D31"/>
    <w:rsid w:val="00933052"/>
    <w:rsid w:val="00933066"/>
    <w:rsid w:val="009331CB"/>
    <w:rsid w:val="009331FC"/>
    <w:rsid w:val="00933745"/>
    <w:rsid w:val="00933989"/>
    <w:rsid w:val="00933E00"/>
    <w:rsid w:val="00934060"/>
    <w:rsid w:val="00934F4C"/>
    <w:rsid w:val="00934FBD"/>
    <w:rsid w:val="00935924"/>
    <w:rsid w:val="00935B51"/>
    <w:rsid w:val="00935CB2"/>
    <w:rsid w:val="00935FE5"/>
    <w:rsid w:val="00935FFC"/>
    <w:rsid w:val="009362F5"/>
    <w:rsid w:val="00936BB4"/>
    <w:rsid w:val="00936F51"/>
    <w:rsid w:val="009379FA"/>
    <w:rsid w:val="0094012C"/>
    <w:rsid w:val="0094026B"/>
    <w:rsid w:val="0094051A"/>
    <w:rsid w:val="00940BF2"/>
    <w:rsid w:val="0094113A"/>
    <w:rsid w:val="0094171A"/>
    <w:rsid w:val="009417B8"/>
    <w:rsid w:val="00941C0F"/>
    <w:rsid w:val="009428B7"/>
    <w:rsid w:val="009429B3"/>
    <w:rsid w:val="00942AE8"/>
    <w:rsid w:val="00942BE4"/>
    <w:rsid w:val="00942D2A"/>
    <w:rsid w:val="00942E57"/>
    <w:rsid w:val="009430B3"/>
    <w:rsid w:val="0094342B"/>
    <w:rsid w:val="00943B05"/>
    <w:rsid w:val="00943C73"/>
    <w:rsid w:val="00943D88"/>
    <w:rsid w:val="00944671"/>
    <w:rsid w:val="009447D7"/>
    <w:rsid w:val="00944D45"/>
    <w:rsid w:val="00944E3C"/>
    <w:rsid w:val="0094504B"/>
    <w:rsid w:val="00945253"/>
    <w:rsid w:val="00945780"/>
    <w:rsid w:val="00945A71"/>
    <w:rsid w:val="00945B26"/>
    <w:rsid w:val="009461AE"/>
    <w:rsid w:val="00946C4A"/>
    <w:rsid w:val="00946CDD"/>
    <w:rsid w:val="00946CE7"/>
    <w:rsid w:val="009477B2"/>
    <w:rsid w:val="00947CE7"/>
    <w:rsid w:val="00947E95"/>
    <w:rsid w:val="00950009"/>
    <w:rsid w:val="0095037C"/>
    <w:rsid w:val="00950D21"/>
    <w:rsid w:val="00951245"/>
    <w:rsid w:val="00951F5E"/>
    <w:rsid w:val="0095201B"/>
    <w:rsid w:val="0095229D"/>
    <w:rsid w:val="00952992"/>
    <w:rsid w:val="00952E7E"/>
    <w:rsid w:val="00953001"/>
    <w:rsid w:val="00953223"/>
    <w:rsid w:val="00953557"/>
    <w:rsid w:val="0095454C"/>
    <w:rsid w:val="00954644"/>
    <w:rsid w:val="0095474C"/>
    <w:rsid w:val="009554E0"/>
    <w:rsid w:val="00955564"/>
    <w:rsid w:val="00955D47"/>
    <w:rsid w:val="00955E12"/>
    <w:rsid w:val="00955E3D"/>
    <w:rsid w:val="00956215"/>
    <w:rsid w:val="00956B3D"/>
    <w:rsid w:val="009570B2"/>
    <w:rsid w:val="00957407"/>
    <w:rsid w:val="00957AA6"/>
    <w:rsid w:val="0096029B"/>
    <w:rsid w:val="00960664"/>
    <w:rsid w:val="00960B1A"/>
    <w:rsid w:val="00960C4D"/>
    <w:rsid w:val="00961C5E"/>
    <w:rsid w:val="009623CC"/>
    <w:rsid w:val="00962613"/>
    <w:rsid w:val="00962C75"/>
    <w:rsid w:val="00962CE3"/>
    <w:rsid w:val="00962DB5"/>
    <w:rsid w:val="00963259"/>
    <w:rsid w:val="00963366"/>
    <w:rsid w:val="009633D2"/>
    <w:rsid w:val="009636ED"/>
    <w:rsid w:val="00963A41"/>
    <w:rsid w:val="009648F5"/>
    <w:rsid w:val="00964AA4"/>
    <w:rsid w:val="00964BAF"/>
    <w:rsid w:val="00964F4E"/>
    <w:rsid w:val="009651B6"/>
    <w:rsid w:val="00965A90"/>
    <w:rsid w:val="00965CAB"/>
    <w:rsid w:val="00966214"/>
    <w:rsid w:val="00966338"/>
    <w:rsid w:val="0096718F"/>
    <w:rsid w:val="00967B1D"/>
    <w:rsid w:val="00967C14"/>
    <w:rsid w:val="00967C26"/>
    <w:rsid w:val="0097044B"/>
    <w:rsid w:val="00971325"/>
    <w:rsid w:val="009714A2"/>
    <w:rsid w:val="00971C27"/>
    <w:rsid w:val="00972747"/>
    <w:rsid w:val="00972951"/>
    <w:rsid w:val="00972B01"/>
    <w:rsid w:val="00972BA9"/>
    <w:rsid w:val="00972D28"/>
    <w:rsid w:val="00972D8D"/>
    <w:rsid w:val="00972FCD"/>
    <w:rsid w:val="00973982"/>
    <w:rsid w:val="009742FC"/>
    <w:rsid w:val="0097478E"/>
    <w:rsid w:val="00974E45"/>
    <w:rsid w:val="00974F8B"/>
    <w:rsid w:val="00975398"/>
    <w:rsid w:val="0097570C"/>
    <w:rsid w:val="009757EC"/>
    <w:rsid w:val="00975E74"/>
    <w:rsid w:val="00975FA9"/>
    <w:rsid w:val="00976D44"/>
    <w:rsid w:val="00977300"/>
    <w:rsid w:val="00977919"/>
    <w:rsid w:val="00977C17"/>
    <w:rsid w:val="00977C45"/>
    <w:rsid w:val="0098025E"/>
    <w:rsid w:val="00980DFE"/>
    <w:rsid w:val="00980E14"/>
    <w:rsid w:val="00981C00"/>
    <w:rsid w:val="00982FC2"/>
    <w:rsid w:val="0098337B"/>
    <w:rsid w:val="00983383"/>
    <w:rsid w:val="009833A7"/>
    <w:rsid w:val="009839E3"/>
    <w:rsid w:val="00984745"/>
    <w:rsid w:val="00984B0D"/>
    <w:rsid w:val="00984CC6"/>
    <w:rsid w:val="00984F4D"/>
    <w:rsid w:val="00985DD5"/>
    <w:rsid w:val="00985E8C"/>
    <w:rsid w:val="009862EE"/>
    <w:rsid w:val="0098680F"/>
    <w:rsid w:val="00986854"/>
    <w:rsid w:val="009868B0"/>
    <w:rsid w:val="00986A18"/>
    <w:rsid w:val="00987A77"/>
    <w:rsid w:val="00990937"/>
    <w:rsid w:val="00990941"/>
    <w:rsid w:val="00990AF7"/>
    <w:rsid w:val="00990C13"/>
    <w:rsid w:val="0099106B"/>
    <w:rsid w:val="00991C2B"/>
    <w:rsid w:val="00991D2F"/>
    <w:rsid w:val="009927DA"/>
    <w:rsid w:val="0099285D"/>
    <w:rsid w:val="00992FE8"/>
    <w:rsid w:val="0099315F"/>
    <w:rsid w:val="009939A0"/>
    <w:rsid w:val="00993A3A"/>
    <w:rsid w:val="00993B2F"/>
    <w:rsid w:val="00993C25"/>
    <w:rsid w:val="00994042"/>
    <w:rsid w:val="00994620"/>
    <w:rsid w:val="00994A72"/>
    <w:rsid w:val="00994A75"/>
    <w:rsid w:val="00995340"/>
    <w:rsid w:val="0099617E"/>
    <w:rsid w:val="0099650D"/>
    <w:rsid w:val="00996C89"/>
    <w:rsid w:val="00996E47"/>
    <w:rsid w:val="0099777E"/>
    <w:rsid w:val="009977E5"/>
    <w:rsid w:val="00997DF5"/>
    <w:rsid w:val="009A091B"/>
    <w:rsid w:val="009A0BC1"/>
    <w:rsid w:val="009A14BB"/>
    <w:rsid w:val="009A1D4B"/>
    <w:rsid w:val="009A2B0E"/>
    <w:rsid w:val="009A3673"/>
    <w:rsid w:val="009A3B12"/>
    <w:rsid w:val="009A3C9D"/>
    <w:rsid w:val="009A4488"/>
    <w:rsid w:val="009A48B2"/>
    <w:rsid w:val="009A5030"/>
    <w:rsid w:val="009A61D8"/>
    <w:rsid w:val="009A699D"/>
    <w:rsid w:val="009A6AB0"/>
    <w:rsid w:val="009A7218"/>
    <w:rsid w:val="009A73B4"/>
    <w:rsid w:val="009A7A80"/>
    <w:rsid w:val="009A7CBE"/>
    <w:rsid w:val="009A7CC9"/>
    <w:rsid w:val="009A7EEC"/>
    <w:rsid w:val="009B0051"/>
    <w:rsid w:val="009B07D5"/>
    <w:rsid w:val="009B1643"/>
    <w:rsid w:val="009B1892"/>
    <w:rsid w:val="009B1941"/>
    <w:rsid w:val="009B2211"/>
    <w:rsid w:val="009B25F7"/>
    <w:rsid w:val="009B2680"/>
    <w:rsid w:val="009B2734"/>
    <w:rsid w:val="009B29BD"/>
    <w:rsid w:val="009B2C70"/>
    <w:rsid w:val="009B2D6B"/>
    <w:rsid w:val="009B2DA5"/>
    <w:rsid w:val="009B37B1"/>
    <w:rsid w:val="009B399E"/>
    <w:rsid w:val="009B3CE1"/>
    <w:rsid w:val="009B3D49"/>
    <w:rsid w:val="009B49AD"/>
    <w:rsid w:val="009B5A0D"/>
    <w:rsid w:val="009B6147"/>
    <w:rsid w:val="009B6238"/>
    <w:rsid w:val="009B6285"/>
    <w:rsid w:val="009B67D7"/>
    <w:rsid w:val="009B6F53"/>
    <w:rsid w:val="009B6FBE"/>
    <w:rsid w:val="009C00F2"/>
    <w:rsid w:val="009C02C2"/>
    <w:rsid w:val="009C038E"/>
    <w:rsid w:val="009C0AD6"/>
    <w:rsid w:val="009C160A"/>
    <w:rsid w:val="009C1B30"/>
    <w:rsid w:val="009C1E18"/>
    <w:rsid w:val="009C1E50"/>
    <w:rsid w:val="009C1FE5"/>
    <w:rsid w:val="009C206B"/>
    <w:rsid w:val="009C2D2F"/>
    <w:rsid w:val="009C3331"/>
    <w:rsid w:val="009C3742"/>
    <w:rsid w:val="009C3A70"/>
    <w:rsid w:val="009C3AB3"/>
    <w:rsid w:val="009C3CCB"/>
    <w:rsid w:val="009C3CEE"/>
    <w:rsid w:val="009C3D0E"/>
    <w:rsid w:val="009C41EA"/>
    <w:rsid w:val="009C4A5B"/>
    <w:rsid w:val="009C52DE"/>
    <w:rsid w:val="009C69E7"/>
    <w:rsid w:val="009C6AD7"/>
    <w:rsid w:val="009C6F37"/>
    <w:rsid w:val="009C736F"/>
    <w:rsid w:val="009C7820"/>
    <w:rsid w:val="009D0017"/>
    <w:rsid w:val="009D043B"/>
    <w:rsid w:val="009D0541"/>
    <w:rsid w:val="009D06AF"/>
    <w:rsid w:val="009D0729"/>
    <w:rsid w:val="009D0C63"/>
    <w:rsid w:val="009D1211"/>
    <w:rsid w:val="009D13B8"/>
    <w:rsid w:val="009D1566"/>
    <w:rsid w:val="009D15EA"/>
    <w:rsid w:val="009D1679"/>
    <w:rsid w:val="009D19A4"/>
    <w:rsid w:val="009D1C85"/>
    <w:rsid w:val="009D1D31"/>
    <w:rsid w:val="009D235A"/>
    <w:rsid w:val="009D24C1"/>
    <w:rsid w:val="009D2620"/>
    <w:rsid w:val="009D2823"/>
    <w:rsid w:val="009D28B1"/>
    <w:rsid w:val="009D294B"/>
    <w:rsid w:val="009D2E7B"/>
    <w:rsid w:val="009D2F19"/>
    <w:rsid w:val="009D31EA"/>
    <w:rsid w:val="009D4092"/>
    <w:rsid w:val="009D484C"/>
    <w:rsid w:val="009D48F1"/>
    <w:rsid w:val="009D498F"/>
    <w:rsid w:val="009D4A5B"/>
    <w:rsid w:val="009D4BE2"/>
    <w:rsid w:val="009D4C94"/>
    <w:rsid w:val="009D5384"/>
    <w:rsid w:val="009D570A"/>
    <w:rsid w:val="009D5747"/>
    <w:rsid w:val="009D5AA8"/>
    <w:rsid w:val="009D63A6"/>
    <w:rsid w:val="009D66B4"/>
    <w:rsid w:val="009D6840"/>
    <w:rsid w:val="009D6B80"/>
    <w:rsid w:val="009D6F77"/>
    <w:rsid w:val="009D7465"/>
    <w:rsid w:val="009D7492"/>
    <w:rsid w:val="009E007D"/>
    <w:rsid w:val="009E031A"/>
    <w:rsid w:val="009E0672"/>
    <w:rsid w:val="009E0AD3"/>
    <w:rsid w:val="009E0E78"/>
    <w:rsid w:val="009E1B89"/>
    <w:rsid w:val="009E220F"/>
    <w:rsid w:val="009E22A0"/>
    <w:rsid w:val="009E293A"/>
    <w:rsid w:val="009E3557"/>
    <w:rsid w:val="009E3A4C"/>
    <w:rsid w:val="009E3D24"/>
    <w:rsid w:val="009E3EA0"/>
    <w:rsid w:val="009E40F3"/>
    <w:rsid w:val="009E43C7"/>
    <w:rsid w:val="009E45D6"/>
    <w:rsid w:val="009E46B8"/>
    <w:rsid w:val="009E4CD5"/>
    <w:rsid w:val="009E5AB5"/>
    <w:rsid w:val="009E5AD1"/>
    <w:rsid w:val="009E63A6"/>
    <w:rsid w:val="009E647C"/>
    <w:rsid w:val="009E6BFF"/>
    <w:rsid w:val="009E6EB9"/>
    <w:rsid w:val="009E7844"/>
    <w:rsid w:val="009E7F4B"/>
    <w:rsid w:val="009F022F"/>
    <w:rsid w:val="009F0630"/>
    <w:rsid w:val="009F0C51"/>
    <w:rsid w:val="009F1305"/>
    <w:rsid w:val="009F159D"/>
    <w:rsid w:val="009F16AC"/>
    <w:rsid w:val="009F1CCB"/>
    <w:rsid w:val="009F243B"/>
    <w:rsid w:val="009F259E"/>
    <w:rsid w:val="009F2A1F"/>
    <w:rsid w:val="009F31EE"/>
    <w:rsid w:val="009F3210"/>
    <w:rsid w:val="009F3478"/>
    <w:rsid w:val="009F38FD"/>
    <w:rsid w:val="009F421C"/>
    <w:rsid w:val="009F4491"/>
    <w:rsid w:val="009F4BB0"/>
    <w:rsid w:val="009F528B"/>
    <w:rsid w:val="009F5647"/>
    <w:rsid w:val="009F59BD"/>
    <w:rsid w:val="009F5EB5"/>
    <w:rsid w:val="009F5FFC"/>
    <w:rsid w:val="009F62F9"/>
    <w:rsid w:val="009F6510"/>
    <w:rsid w:val="009F655A"/>
    <w:rsid w:val="009F6EF4"/>
    <w:rsid w:val="009F7C88"/>
    <w:rsid w:val="009F7F73"/>
    <w:rsid w:val="00A0016D"/>
    <w:rsid w:val="00A0018F"/>
    <w:rsid w:val="00A00D19"/>
    <w:rsid w:val="00A00FE8"/>
    <w:rsid w:val="00A011A3"/>
    <w:rsid w:val="00A012FF"/>
    <w:rsid w:val="00A0151A"/>
    <w:rsid w:val="00A01A6E"/>
    <w:rsid w:val="00A01A6F"/>
    <w:rsid w:val="00A01B4D"/>
    <w:rsid w:val="00A01DC7"/>
    <w:rsid w:val="00A01E04"/>
    <w:rsid w:val="00A0208C"/>
    <w:rsid w:val="00A020CC"/>
    <w:rsid w:val="00A028B0"/>
    <w:rsid w:val="00A02ABC"/>
    <w:rsid w:val="00A032C4"/>
    <w:rsid w:val="00A034BD"/>
    <w:rsid w:val="00A03EDD"/>
    <w:rsid w:val="00A043AA"/>
    <w:rsid w:val="00A046E8"/>
    <w:rsid w:val="00A0536E"/>
    <w:rsid w:val="00A069B1"/>
    <w:rsid w:val="00A06A34"/>
    <w:rsid w:val="00A06DD6"/>
    <w:rsid w:val="00A07019"/>
    <w:rsid w:val="00A07228"/>
    <w:rsid w:val="00A0728C"/>
    <w:rsid w:val="00A07483"/>
    <w:rsid w:val="00A07600"/>
    <w:rsid w:val="00A07795"/>
    <w:rsid w:val="00A0782D"/>
    <w:rsid w:val="00A0798A"/>
    <w:rsid w:val="00A07E46"/>
    <w:rsid w:val="00A1022F"/>
    <w:rsid w:val="00A104AC"/>
    <w:rsid w:val="00A10A3A"/>
    <w:rsid w:val="00A10AF4"/>
    <w:rsid w:val="00A11195"/>
    <w:rsid w:val="00A11663"/>
    <w:rsid w:val="00A117D0"/>
    <w:rsid w:val="00A11DAC"/>
    <w:rsid w:val="00A12914"/>
    <w:rsid w:val="00A12D18"/>
    <w:rsid w:val="00A12E7D"/>
    <w:rsid w:val="00A13FFA"/>
    <w:rsid w:val="00A144B6"/>
    <w:rsid w:val="00A14DF5"/>
    <w:rsid w:val="00A15734"/>
    <w:rsid w:val="00A15CAC"/>
    <w:rsid w:val="00A15DA9"/>
    <w:rsid w:val="00A1623E"/>
    <w:rsid w:val="00A1641E"/>
    <w:rsid w:val="00A165D9"/>
    <w:rsid w:val="00A167AA"/>
    <w:rsid w:val="00A16814"/>
    <w:rsid w:val="00A16CCF"/>
    <w:rsid w:val="00A16DBD"/>
    <w:rsid w:val="00A16DD0"/>
    <w:rsid w:val="00A171C8"/>
    <w:rsid w:val="00A171C9"/>
    <w:rsid w:val="00A17318"/>
    <w:rsid w:val="00A1759F"/>
    <w:rsid w:val="00A17630"/>
    <w:rsid w:val="00A1764C"/>
    <w:rsid w:val="00A179AF"/>
    <w:rsid w:val="00A17C27"/>
    <w:rsid w:val="00A20062"/>
    <w:rsid w:val="00A20288"/>
    <w:rsid w:val="00A202D4"/>
    <w:rsid w:val="00A20609"/>
    <w:rsid w:val="00A20696"/>
    <w:rsid w:val="00A20B8C"/>
    <w:rsid w:val="00A214B7"/>
    <w:rsid w:val="00A21AF7"/>
    <w:rsid w:val="00A21C99"/>
    <w:rsid w:val="00A22431"/>
    <w:rsid w:val="00A224D2"/>
    <w:rsid w:val="00A22646"/>
    <w:rsid w:val="00A22A63"/>
    <w:rsid w:val="00A22C96"/>
    <w:rsid w:val="00A23095"/>
    <w:rsid w:val="00A23582"/>
    <w:rsid w:val="00A2393B"/>
    <w:rsid w:val="00A23CDF"/>
    <w:rsid w:val="00A2412D"/>
    <w:rsid w:val="00A2458D"/>
    <w:rsid w:val="00A247B4"/>
    <w:rsid w:val="00A247E5"/>
    <w:rsid w:val="00A24DA7"/>
    <w:rsid w:val="00A24FE2"/>
    <w:rsid w:val="00A251BA"/>
    <w:rsid w:val="00A25530"/>
    <w:rsid w:val="00A26178"/>
    <w:rsid w:val="00A2639F"/>
    <w:rsid w:val="00A264E2"/>
    <w:rsid w:val="00A265A1"/>
    <w:rsid w:val="00A26B5B"/>
    <w:rsid w:val="00A26D30"/>
    <w:rsid w:val="00A271F0"/>
    <w:rsid w:val="00A2732F"/>
    <w:rsid w:val="00A278A7"/>
    <w:rsid w:val="00A27EAD"/>
    <w:rsid w:val="00A27F8F"/>
    <w:rsid w:val="00A304E5"/>
    <w:rsid w:val="00A30635"/>
    <w:rsid w:val="00A306E0"/>
    <w:rsid w:val="00A30894"/>
    <w:rsid w:val="00A308EA"/>
    <w:rsid w:val="00A30C74"/>
    <w:rsid w:val="00A30D1B"/>
    <w:rsid w:val="00A30F56"/>
    <w:rsid w:val="00A31141"/>
    <w:rsid w:val="00A311C8"/>
    <w:rsid w:val="00A32E2D"/>
    <w:rsid w:val="00A32EC5"/>
    <w:rsid w:val="00A33479"/>
    <w:rsid w:val="00A334C1"/>
    <w:rsid w:val="00A33601"/>
    <w:rsid w:val="00A33D9F"/>
    <w:rsid w:val="00A33DCA"/>
    <w:rsid w:val="00A34565"/>
    <w:rsid w:val="00A34D47"/>
    <w:rsid w:val="00A34F1C"/>
    <w:rsid w:val="00A3590C"/>
    <w:rsid w:val="00A35EC3"/>
    <w:rsid w:val="00A36993"/>
    <w:rsid w:val="00A36C94"/>
    <w:rsid w:val="00A36E7C"/>
    <w:rsid w:val="00A37F76"/>
    <w:rsid w:val="00A406F6"/>
    <w:rsid w:val="00A40B3C"/>
    <w:rsid w:val="00A41AF0"/>
    <w:rsid w:val="00A41ECC"/>
    <w:rsid w:val="00A42486"/>
    <w:rsid w:val="00A42FB6"/>
    <w:rsid w:val="00A43475"/>
    <w:rsid w:val="00A43BBF"/>
    <w:rsid w:val="00A43BFF"/>
    <w:rsid w:val="00A43E0F"/>
    <w:rsid w:val="00A445E1"/>
    <w:rsid w:val="00A454B9"/>
    <w:rsid w:val="00A458F6"/>
    <w:rsid w:val="00A45A41"/>
    <w:rsid w:val="00A45AEE"/>
    <w:rsid w:val="00A461C3"/>
    <w:rsid w:val="00A4620B"/>
    <w:rsid w:val="00A46335"/>
    <w:rsid w:val="00A46358"/>
    <w:rsid w:val="00A46C65"/>
    <w:rsid w:val="00A473E4"/>
    <w:rsid w:val="00A475B6"/>
    <w:rsid w:val="00A478A7"/>
    <w:rsid w:val="00A47C7D"/>
    <w:rsid w:val="00A47F06"/>
    <w:rsid w:val="00A5058A"/>
    <w:rsid w:val="00A50CD8"/>
    <w:rsid w:val="00A50EA4"/>
    <w:rsid w:val="00A511FA"/>
    <w:rsid w:val="00A515C6"/>
    <w:rsid w:val="00A51E3E"/>
    <w:rsid w:val="00A5210D"/>
    <w:rsid w:val="00A52CEF"/>
    <w:rsid w:val="00A52F15"/>
    <w:rsid w:val="00A53026"/>
    <w:rsid w:val="00A53330"/>
    <w:rsid w:val="00A539E4"/>
    <w:rsid w:val="00A53A4D"/>
    <w:rsid w:val="00A53D30"/>
    <w:rsid w:val="00A54034"/>
    <w:rsid w:val="00A5413C"/>
    <w:rsid w:val="00A54BB6"/>
    <w:rsid w:val="00A553BF"/>
    <w:rsid w:val="00A565BA"/>
    <w:rsid w:val="00A56BAD"/>
    <w:rsid w:val="00A57269"/>
    <w:rsid w:val="00A576B8"/>
    <w:rsid w:val="00A5778E"/>
    <w:rsid w:val="00A579F8"/>
    <w:rsid w:val="00A57DFE"/>
    <w:rsid w:val="00A607D7"/>
    <w:rsid w:val="00A6096B"/>
    <w:rsid w:val="00A61155"/>
    <w:rsid w:val="00A61206"/>
    <w:rsid w:val="00A61967"/>
    <w:rsid w:val="00A622E7"/>
    <w:rsid w:val="00A623F7"/>
    <w:rsid w:val="00A62496"/>
    <w:rsid w:val="00A62A08"/>
    <w:rsid w:val="00A62A4B"/>
    <w:rsid w:val="00A62B83"/>
    <w:rsid w:val="00A62E0A"/>
    <w:rsid w:val="00A6378D"/>
    <w:rsid w:val="00A639A4"/>
    <w:rsid w:val="00A64237"/>
    <w:rsid w:val="00A6467D"/>
    <w:rsid w:val="00A6473E"/>
    <w:rsid w:val="00A648E7"/>
    <w:rsid w:val="00A64B27"/>
    <w:rsid w:val="00A64C41"/>
    <w:rsid w:val="00A6539B"/>
    <w:rsid w:val="00A65528"/>
    <w:rsid w:val="00A66AEE"/>
    <w:rsid w:val="00A66E1F"/>
    <w:rsid w:val="00A66F57"/>
    <w:rsid w:val="00A679CE"/>
    <w:rsid w:val="00A67AA3"/>
    <w:rsid w:val="00A67D16"/>
    <w:rsid w:val="00A67E07"/>
    <w:rsid w:val="00A70606"/>
    <w:rsid w:val="00A70C94"/>
    <w:rsid w:val="00A70F8A"/>
    <w:rsid w:val="00A719CC"/>
    <w:rsid w:val="00A72276"/>
    <w:rsid w:val="00A72969"/>
    <w:rsid w:val="00A72DBD"/>
    <w:rsid w:val="00A73571"/>
    <w:rsid w:val="00A73793"/>
    <w:rsid w:val="00A741FE"/>
    <w:rsid w:val="00A7434A"/>
    <w:rsid w:val="00A7514E"/>
    <w:rsid w:val="00A751A8"/>
    <w:rsid w:val="00A75421"/>
    <w:rsid w:val="00A75543"/>
    <w:rsid w:val="00A759E9"/>
    <w:rsid w:val="00A75D1B"/>
    <w:rsid w:val="00A75F03"/>
    <w:rsid w:val="00A75F2C"/>
    <w:rsid w:val="00A760FF"/>
    <w:rsid w:val="00A76798"/>
    <w:rsid w:val="00A76FEF"/>
    <w:rsid w:val="00A77D6B"/>
    <w:rsid w:val="00A77E80"/>
    <w:rsid w:val="00A77FF2"/>
    <w:rsid w:val="00A8002F"/>
    <w:rsid w:val="00A803AF"/>
    <w:rsid w:val="00A80ABA"/>
    <w:rsid w:val="00A80D21"/>
    <w:rsid w:val="00A80EC6"/>
    <w:rsid w:val="00A811B1"/>
    <w:rsid w:val="00A8127E"/>
    <w:rsid w:val="00A81BD7"/>
    <w:rsid w:val="00A81D40"/>
    <w:rsid w:val="00A82828"/>
    <w:rsid w:val="00A829CC"/>
    <w:rsid w:val="00A82A0B"/>
    <w:rsid w:val="00A82EA6"/>
    <w:rsid w:val="00A82F8D"/>
    <w:rsid w:val="00A832DB"/>
    <w:rsid w:val="00A839AE"/>
    <w:rsid w:val="00A83A78"/>
    <w:rsid w:val="00A83D4D"/>
    <w:rsid w:val="00A83FBC"/>
    <w:rsid w:val="00A8458F"/>
    <w:rsid w:val="00A84AFE"/>
    <w:rsid w:val="00A84D76"/>
    <w:rsid w:val="00A854E1"/>
    <w:rsid w:val="00A85C95"/>
    <w:rsid w:val="00A864AD"/>
    <w:rsid w:val="00A86B32"/>
    <w:rsid w:val="00A872E1"/>
    <w:rsid w:val="00A87A92"/>
    <w:rsid w:val="00A87F00"/>
    <w:rsid w:val="00A87F45"/>
    <w:rsid w:val="00A90410"/>
    <w:rsid w:val="00A905B3"/>
    <w:rsid w:val="00A90642"/>
    <w:rsid w:val="00A90D7F"/>
    <w:rsid w:val="00A90DBB"/>
    <w:rsid w:val="00A91563"/>
    <w:rsid w:val="00A916FC"/>
    <w:rsid w:val="00A91A3E"/>
    <w:rsid w:val="00A91E2D"/>
    <w:rsid w:val="00A920D8"/>
    <w:rsid w:val="00A925B0"/>
    <w:rsid w:val="00A929EB"/>
    <w:rsid w:val="00A9377B"/>
    <w:rsid w:val="00A93822"/>
    <w:rsid w:val="00A93834"/>
    <w:rsid w:val="00A93E58"/>
    <w:rsid w:val="00A947B5"/>
    <w:rsid w:val="00A94911"/>
    <w:rsid w:val="00A957A7"/>
    <w:rsid w:val="00A95CFD"/>
    <w:rsid w:val="00A96104"/>
    <w:rsid w:val="00A96482"/>
    <w:rsid w:val="00A966C3"/>
    <w:rsid w:val="00A9670C"/>
    <w:rsid w:val="00A96F20"/>
    <w:rsid w:val="00A975F2"/>
    <w:rsid w:val="00A9788A"/>
    <w:rsid w:val="00A97AAA"/>
    <w:rsid w:val="00A97DAC"/>
    <w:rsid w:val="00A97E21"/>
    <w:rsid w:val="00A97EB6"/>
    <w:rsid w:val="00AA026B"/>
    <w:rsid w:val="00AA0971"/>
    <w:rsid w:val="00AA1DE5"/>
    <w:rsid w:val="00AA259D"/>
    <w:rsid w:val="00AA2A79"/>
    <w:rsid w:val="00AA2D71"/>
    <w:rsid w:val="00AA3E34"/>
    <w:rsid w:val="00AA3F3D"/>
    <w:rsid w:val="00AA41B4"/>
    <w:rsid w:val="00AA422D"/>
    <w:rsid w:val="00AA435D"/>
    <w:rsid w:val="00AA4599"/>
    <w:rsid w:val="00AA46A9"/>
    <w:rsid w:val="00AA4E91"/>
    <w:rsid w:val="00AA5206"/>
    <w:rsid w:val="00AA5A70"/>
    <w:rsid w:val="00AA5E8B"/>
    <w:rsid w:val="00AA5FE7"/>
    <w:rsid w:val="00AA6073"/>
    <w:rsid w:val="00AA6539"/>
    <w:rsid w:val="00AA65D7"/>
    <w:rsid w:val="00AA69BA"/>
    <w:rsid w:val="00AA6CB9"/>
    <w:rsid w:val="00AA6CFA"/>
    <w:rsid w:val="00AA6E04"/>
    <w:rsid w:val="00AA6EF7"/>
    <w:rsid w:val="00AA73B4"/>
    <w:rsid w:val="00AB030A"/>
    <w:rsid w:val="00AB0691"/>
    <w:rsid w:val="00AB0927"/>
    <w:rsid w:val="00AB09B1"/>
    <w:rsid w:val="00AB0EDD"/>
    <w:rsid w:val="00AB1095"/>
    <w:rsid w:val="00AB144B"/>
    <w:rsid w:val="00AB14C7"/>
    <w:rsid w:val="00AB15F9"/>
    <w:rsid w:val="00AB1E8D"/>
    <w:rsid w:val="00AB2BC1"/>
    <w:rsid w:val="00AB32F7"/>
    <w:rsid w:val="00AB3359"/>
    <w:rsid w:val="00AB360D"/>
    <w:rsid w:val="00AB417E"/>
    <w:rsid w:val="00AB4825"/>
    <w:rsid w:val="00AB48BC"/>
    <w:rsid w:val="00AB50D2"/>
    <w:rsid w:val="00AB58B9"/>
    <w:rsid w:val="00AB58FD"/>
    <w:rsid w:val="00AB5F73"/>
    <w:rsid w:val="00AB5F9B"/>
    <w:rsid w:val="00AB60B5"/>
    <w:rsid w:val="00AB619F"/>
    <w:rsid w:val="00AB66DB"/>
    <w:rsid w:val="00AB74EC"/>
    <w:rsid w:val="00AB770E"/>
    <w:rsid w:val="00AB7A1C"/>
    <w:rsid w:val="00AC07BC"/>
    <w:rsid w:val="00AC0AE8"/>
    <w:rsid w:val="00AC0D20"/>
    <w:rsid w:val="00AC0EC2"/>
    <w:rsid w:val="00AC14EC"/>
    <w:rsid w:val="00AC1A51"/>
    <w:rsid w:val="00AC213C"/>
    <w:rsid w:val="00AC27DB"/>
    <w:rsid w:val="00AC34FC"/>
    <w:rsid w:val="00AC3959"/>
    <w:rsid w:val="00AC3980"/>
    <w:rsid w:val="00AC4830"/>
    <w:rsid w:val="00AC4BCC"/>
    <w:rsid w:val="00AC5095"/>
    <w:rsid w:val="00AC58DD"/>
    <w:rsid w:val="00AC5AAC"/>
    <w:rsid w:val="00AC5BB4"/>
    <w:rsid w:val="00AC6D62"/>
    <w:rsid w:val="00AD0668"/>
    <w:rsid w:val="00AD08A4"/>
    <w:rsid w:val="00AD0F5B"/>
    <w:rsid w:val="00AD101C"/>
    <w:rsid w:val="00AD157C"/>
    <w:rsid w:val="00AD15AA"/>
    <w:rsid w:val="00AD1613"/>
    <w:rsid w:val="00AD16F9"/>
    <w:rsid w:val="00AD1706"/>
    <w:rsid w:val="00AD175F"/>
    <w:rsid w:val="00AD2181"/>
    <w:rsid w:val="00AD27DE"/>
    <w:rsid w:val="00AD3007"/>
    <w:rsid w:val="00AD341B"/>
    <w:rsid w:val="00AD3951"/>
    <w:rsid w:val="00AD3FF3"/>
    <w:rsid w:val="00AD42DD"/>
    <w:rsid w:val="00AD4440"/>
    <w:rsid w:val="00AD4830"/>
    <w:rsid w:val="00AD48D5"/>
    <w:rsid w:val="00AD4ACB"/>
    <w:rsid w:val="00AD531F"/>
    <w:rsid w:val="00AD5B41"/>
    <w:rsid w:val="00AD63C9"/>
    <w:rsid w:val="00AD6685"/>
    <w:rsid w:val="00AD70A6"/>
    <w:rsid w:val="00AD719E"/>
    <w:rsid w:val="00AD71C3"/>
    <w:rsid w:val="00AD735A"/>
    <w:rsid w:val="00AD7573"/>
    <w:rsid w:val="00AD78F9"/>
    <w:rsid w:val="00AD79A9"/>
    <w:rsid w:val="00AE07C2"/>
    <w:rsid w:val="00AE08A6"/>
    <w:rsid w:val="00AE08B9"/>
    <w:rsid w:val="00AE14D5"/>
    <w:rsid w:val="00AE1953"/>
    <w:rsid w:val="00AE2126"/>
    <w:rsid w:val="00AE218F"/>
    <w:rsid w:val="00AE25D2"/>
    <w:rsid w:val="00AE260D"/>
    <w:rsid w:val="00AE280A"/>
    <w:rsid w:val="00AE286F"/>
    <w:rsid w:val="00AE2A42"/>
    <w:rsid w:val="00AE2A5B"/>
    <w:rsid w:val="00AE2F7D"/>
    <w:rsid w:val="00AE2FE2"/>
    <w:rsid w:val="00AE315C"/>
    <w:rsid w:val="00AE32BA"/>
    <w:rsid w:val="00AE3456"/>
    <w:rsid w:val="00AE3694"/>
    <w:rsid w:val="00AE38EE"/>
    <w:rsid w:val="00AE3FA2"/>
    <w:rsid w:val="00AE4630"/>
    <w:rsid w:val="00AE4890"/>
    <w:rsid w:val="00AE4E11"/>
    <w:rsid w:val="00AE5491"/>
    <w:rsid w:val="00AE595A"/>
    <w:rsid w:val="00AE59B3"/>
    <w:rsid w:val="00AE5F35"/>
    <w:rsid w:val="00AE5F7C"/>
    <w:rsid w:val="00AE631C"/>
    <w:rsid w:val="00AE6414"/>
    <w:rsid w:val="00AE64E8"/>
    <w:rsid w:val="00AE65F2"/>
    <w:rsid w:val="00AE66A7"/>
    <w:rsid w:val="00AE67CB"/>
    <w:rsid w:val="00AE7111"/>
    <w:rsid w:val="00AE7F8C"/>
    <w:rsid w:val="00AE7FD0"/>
    <w:rsid w:val="00AF03D0"/>
    <w:rsid w:val="00AF0934"/>
    <w:rsid w:val="00AF0B99"/>
    <w:rsid w:val="00AF0C37"/>
    <w:rsid w:val="00AF0F28"/>
    <w:rsid w:val="00AF1211"/>
    <w:rsid w:val="00AF158A"/>
    <w:rsid w:val="00AF1758"/>
    <w:rsid w:val="00AF19F7"/>
    <w:rsid w:val="00AF2A4E"/>
    <w:rsid w:val="00AF2F32"/>
    <w:rsid w:val="00AF316D"/>
    <w:rsid w:val="00AF3308"/>
    <w:rsid w:val="00AF36A6"/>
    <w:rsid w:val="00AF391A"/>
    <w:rsid w:val="00AF42B4"/>
    <w:rsid w:val="00AF445D"/>
    <w:rsid w:val="00AF4C91"/>
    <w:rsid w:val="00AF55C6"/>
    <w:rsid w:val="00AF55D9"/>
    <w:rsid w:val="00AF562D"/>
    <w:rsid w:val="00AF686A"/>
    <w:rsid w:val="00AF73D2"/>
    <w:rsid w:val="00AF7C23"/>
    <w:rsid w:val="00B000A2"/>
    <w:rsid w:val="00B00195"/>
    <w:rsid w:val="00B004EE"/>
    <w:rsid w:val="00B00657"/>
    <w:rsid w:val="00B0148C"/>
    <w:rsid w:val="00B03539"/>
    <w:rsid w:val="00B035D9"/>
    <w:rsid w:val="00B036EE"/>
    <w:rsid w:val="00B043F7"/>
    <w:rsid w:val="00B04CA5"/>
    <w:rsid w:val="00B04F5F"/>
    <w:rsid w:val="00B053B9"/>
    <w:rsid w:val="00B054F5"/>
    <w:rsid w:val="00B05688"/>
    <w:rsid w:val="00B05CFE"/>
    <w:rsid w:val="00B05FFF"/>
    <w:rsid w:val="00B06058"/>
    <w:rsid w:val="00B061CD"/>
    <w:rsid w:val="00B06230"/>
    <w:rsid w:val="00B069A5"/>
    <w:rsid w:val="00B06CAE"/>
    <w:rsid w:val="00B06E56"/>
    <w:rsid w:val="00B07167"/>
    <w:rsid w:val="00B073CC"/>
    <w:rsid w:val="00B073E9"/>
    <w:rsid w:val="00B075FA"/>
    <w:rsid w:val="00B076DE"/>
    <w:rsid w:val="00B107D5"/>
    <w:rsid w:val="00B10B02"/>
    <w:rsid w:val="00B10C6A"/>
    <w:rsid w:val="00B10D1A"/>
    <w:rsid w:val="00B10F7C"/>
    <w:rsid w:val="00B10FAD"/>
    <w:rsid w:val="00B11150"/>
    <w:rsid w:val="00B111BB"/>
    <w:rsid w:val="00B1142D"/>
    <w:rsid w:val="00B1193E"/>
    <w:rsid w:val="00B12195"/>
    <w:rsid w:val="00B1224B"/>
    <w:rsid w:val="00B1239F"/>
    <w:rsid w:val="00B12813"/>
    <w:rsid w:val="00B12BE8"/>
    <w:rsid w:val="00B13107"/>
    <w:rsid w:val="00B131DE"/>
    <w:rsid w:val="00B1347D"/>
    <w:rsid w:val="00B13AE0"/>
    <w:rsid w:val="00B13D5D"/>
    <w:rsid w:val="00B1485B"/>
    <w:rsid w:val="00B149BE"/>
    <w:rsid w:val="00B14CC5"/>
    <w:rsid w:val="00B14D6D"/>
    <w:rsid w:val="00B15656"/>
    <w:rsid w:val="00B156EE"/>
    <w:rsid w:val="00B1595E"/>
    <w:rsid w:val="00B159BC"/>
    <w:rsid w:val="00B15C44"/>
    <w:rsid w:val="00B163DD"/>
    <w:rsid w:val="00B1676F"/>
    <w:rsid w:val="00B16AD1"/>
    <w:rsid w:val="00B17130"/>
    <w:rsid w:val="00B17883"/>
    <w:rsid w:val="00B17967"/>
    <w:rsid w:val="00B17A6D"/>
    <w:rsid w:val="00B2029D"/>
    <w:rsid w:val="00B202BB"/>
    <w:rsid w:val="00B20FCC"/>
    <w:rsid w:val="00B20FD3"/>
    <w:rsid w:val="00B219D2"/>
    <w:rsid w:val="00B21D48"/>
    <w:rsid w:val="00B21E54"/>
    <w:rsid w:val="00B2217E"/>
    <w:rsid w:val="00B224CD"/>
    <w:rsid w:val="00B230C2"/>
    <w:rsid w:val="00B2313D"/>
    <w:rsid w:val="00B23297"/>
    <w:rsid w:val="00B23684"/>
    <w:rsid w:val="00B23C53"/>
    <w:rsid w:val="00B240A7"/>
    <w:rsid w:val="00B24893"/>
    <w:rsid w:val="00B2489B"/>
    <w:rsid w:val="00B24B59"/>
    <w:rsid w:val="00B24D4E"/>
    <w:rsid w:val="00B25055"/>
    <w:rsid w:val="00B252C9"/>
    <w:rsid w:val="00B25444"/>
    <w:rsid w:val="00B255BC"/>
    <w:rsid w:val="00B257A3"/>
    <w:rsid w:val="00B259B6"/>
    <w:rsid w:val="00B25B09"/>
    <w:rsid w:val="00B25BBD"/>
    <w:rsid w:val="00B25BDA"/>
    <w:rsid w:val="00B25E72"/>
    <w:rsid w:val="00B26535"/>
    <w:rsid w:val="00B26665"/>
    <w:rsid w:val="00B26B57"/>
    <w:rsid w:val="00B26CE2"/>
    <w:rsid w:val="00B26CF7"/>
    <w:rsid w:val="00B276CF"/>
    <w:rsid w:val="00B276EB"/>
    <w:rsid w:val="00B27A4D"/>
    <w:rsid w:val="00B27C8C"/>
    <w:rsid w:val="00B27FB3"/>
    <w:rsid w:val="00B3168B"/>
    <w:rsid w:val="00B31748"/>
    <w:rsid w:val="00B31A31"/>
    <w:rsid w:val="00B31D31"/>
    <w:rsid w:val="00B32323"/>
    <w:rsid w:val="00B32436"/>
    <w:rsid w:val="00B32B39"/>
    <w:rsid w:val="00B32F3F"/>
    <w:rsid w:val="00B33245"/>
    <w:rsid w:val="00B33768"/>
    <w:rsid w:val="00B33CA5"/>
    <w:rsid w:val="00B34269"/>
    <w:rsid w:val="00B355FC"/>
    <w:rsid w:val="00B35C18"/>
    <w:rsid w:val="00B35C1B"/>
    <w:rsid w:val="00B36008"/>
    <w:rsid w:val="00B360DE"/>
    <w:rsid w:val="00B361D8"/>
    <w:rsid w:val="00B36829"/>
    <w:rsid w:val="00B369CF"/>
    <w:rsid w:val="00B37A23"/>
    <w:rsid w:val="00B37C1F"/>
    <w:rsid w:val="00B37DF2"/>
    <w:rsid w:val="00B37F4F"/>
    <w:rsid w:val="00B403FA"/>
    <w:rsid w:val="00B40545"/>
    <w:rsid w:val="00B414BD"/>
    <w:rsid w:val="00B414C0"/>
    <w:rsid w:val="00B4181D"/>
    <w:rsid w:val="00B418E7"/>
    <w:rsid w:val="00B41C01"/>
    <w:rsid w:val="00B41F30"/>
    <w:rsid w:val="00B4256A"/>
    <w:rsid w:val="00B42BE1"/>
    <w:rsid w:val="00B42C9B"/>
    <w:rsid w:val="00B43090"/>
    <w:rsid w:val="00B4323C"/>
    <w:rsid w:val="00B432F5"/>
    <w:rsid w:val="00B434F6"/>
    <w:rsid w:val="00B43801"/>
    <w:rsid w:val="00B4405D"/>
    <w:rsid w:val="00B44500"/>
    <w:rsid w:val="00B448E3"/>
    <w:rsid w:val="00B449A9"/>
    <w:rsid w:val="00B44C78"/>
    <w:rsid w:val="00B44FF7"/>
    <w:rsid w:val="00B45326"/>
    <w:rsid w:val="00B45401"/>
    <w:rsid w:val="00B45805"/>
    <w:rsid w:val="00B4646D"/>
    <w:rsid w:val="00B464E8"/>
    <w:rsid w:val="00B46508"/>
    <w:rsid w:val="00B465E2"/>
    <w:rsid w:val="00B471BC"/>
    <w:rsid w:val="00B47661"/>
    <w:rsid w:val="00B47C91"/>
    <w:rsid w:val="00B47EE3"/>
    <w:rsid w:val="00B50069"/>
    <w:rsid w:val="00B50F2F"/>
    <w:rsid w:val="00B50FF2"/>
    <w:rsid w:val="00B5249B"/>
    <w:rsid w:val="00B52572"/>
    <w:rsid w:val="00B527C0"/>
    <w:rsid w:val="00B52854"/>
    <w:rsid w:val="00B5289A"/>
    <w:rsid w:val="00B528DC"/>
    <w:rsid w:val="00B52DB7"/>
    <w:rsid w:val="00B531CB"/>
    <w:rsid w:val="00B531F3"/>
    <w:rsid w:val="00B53968"/>
    <w:rsid w:val="00B53B0F"/>
    <w:rsid w:val="00B541A6"/>
    <w:rsid w:val="00B542FB"/>
    <w:rsid w:val="00B54D56"/>
    <w:rsid w:val="00B55052"/>
    <w:rsid w:val="00B555DD"/>
    <w:rsid w:val="00B55A56"/>
    <w:rsid w:val="00B55C87"/>
    <w:rsid w:val="00B55D63"/>
    <w:rsid w:val="00B56852"/>
    <w:rsid w:val="00B56C29"/>
    <w:rsid w:val="00B56C97"/>
    <w:rsid w:val="00B60004"/>
    <w:rsid w:val="00B600FB"/>
    <w:rsid w:val="00B60550"/>
    <w:rsid w:val="00B606B9"/>
    <w:rsid w:val="00B60CF2"/>
    <w:rsid w:val="00B61024"/>
    <w:rsid w:val="00B6142C"/>
    <w:rsid w:val="00B61729"/>
    <w:rsid w:val="00B61BE8"/>
    <w:rsid w:val="00B6323C"/>
    <w:rsid w:val="00B63808"/>
    <w:rsid w:val="00B63B85"/>
    <w:rsid w:val="00B63BBD"/>
    <w:rsid w:val="00B63D2E"/>
    <w:rsid w:val="00B63D4F"/>
    <w:rsid w:val="00B644F9"/>
    <w:rsid w:val="00B64E5B"/>
    <w:rsid w:val="00B65595"/>
    <w:rsid w:val="00B65841"/>
    <w:rsid w:val="00B65855"/>
    <w:rsid w:val="00B65F3E"/>
    <w:rsid w:val="00B660A2"/>
    <w:rsid w:val="00B66183"/>
    <w:rsid w:val="00B661F4"/>
    <w:rsid w:val="00B669D9"/>
    <w:rsid w:val="00B66AE7"/>
    <w:rsid w:val="00B6712C"/>
    <w:rsid w:val="00B6757B"/>
    <w:rsid w:val="00B67D40"/>
    <w:rsid w:val="00B702ED"/>
    <w:rsid w:val="00B70A26"/>
    <w:rsid w:val="00B71490"/>
    <w:rsid w:val="00B71790"/>
    <w:rsid w:val="00B71FC1"/>
    <w:rsid w:val="00B721B9"/>
    <w:rsid w:val="00B727CD"/>
    <w:rsid w:val="00B72B87"/>
    <w:rsid w:val="00B73387"/>
    <w:rsid w:val="00B73432"/>
    <w:rsid w:val="00B73916"/>
    <w:rsid w:val="00B73A49"/>
    <w:rsid w:val="00B74014"/>
    <w:rsid w:val="00B74461"/>
    <w:rsid w:val="00B74DFA"/>
    <w:rsid w:val="00B74F3F"/>
    <w:rsid w:val="00B753F6"/>
    <w:rsid w:val="00B755CF"/>
    <w:rsid w:val="00B75913"/>
    <w:rsid w:val="00B75A2C"/>
    <w:rsid w:val="00B75C39"/>
    <w:rsid w:val="00B75EF0"/>
    <w:rsid w:val="00B7638F"/>
    <w:rsid w:val="00B763EC"/>
    <w:rsid w:val="00B765AA"/>
    <w:rsid w:val="00B76DAC"/>
    <w:rsid w:val="00B77103"/>
    <w:rsid w:val="00B77188"/>
    <w:rsid w:val="00B77813"/>
    <w:rsid w:val="00B7785E"/>
    <w:rsid w:val="00B779F2"/>
    <w:rsid w:val="00B80756"/>
    <w:rsid w:val="00B80963"/>
    <w:rsid w:val="00B80A46"/>
    <w:rsid w:val="00B80AED"/>
    <w:rsid w:val="00B80D2C"/>
    <w:rsid w:val="00B810F9"/>
    <w:rsid w:val="00B811E2"/>
    <w:rsid w:val="00B8120D"/>
    <w:rsid w:val="00B81C54"/>
    <w:rsid w:val="00B81FBB"/>
    <w:rsid w:val="00B8204F"/>
    <w:rsid w:val="00B82402"/>
    <w:rsid w:val="00B82B2B"/>
    <w:rsid w:val="00B834AE"/>
    <w:rsid w:val="00B835B7"/>
    <w:rsid w:val="00B83850"/>
    <w:rsid w:val="00B84123"/>
    <w:rsid w:val="00B8419C"/>
    <w:rsid w:val="00B842B0"/>
    <w:rsid w:val="00B843FC"/>
    <w:rsid w:val="00B84507"/>
    <w:rsid w:val="00B84B07"/>
    <w:rsid w:val="00B84CE4"/>
    <w:rsid w:val="00B84EB2"/>
    <w:rsid w:val="00B852A1"/>
    <w:rsid w:val="00B852E9"/>
    <w:rsid w:val="00B85DC6"/>
    <w:rsid w:val="00B85F7F"/>
    <w:rsid w:val="00B86C83"/>
    <w:rsid w:val="00B871CE"/>
    <w:rsid w:val="00B90344"/>
    <w:rsid w:val="00B903F3"/>
    <w:rsid w:val="00B904D5"/>
    <w:rsid w:val="00B9051D"/>
    <w:rsid w:val="00B90B89"/>
    <w:rsid w:val="00B91161"/>
    <w:rsid w:val="00B91372"/>
    <w:rsid w:val="00B91507"/>
    <w:rsid w:val="00B9168E"/>
    <w:rsid w:val="00B91FF8"/>
    <w:rsid w:val="00B928B5"/>
    <w:rsid w:val="00B93231"/>
    <w:rsid w:val="00B933A2"/>
    <w:rsid w:val="00B93577"/>
    <w:rsid w:val="00B936B5"/>
    <w:rsid w:val="00B9406A"/>
    <w:rsid w:val="00B94614"/>
    <w:rsid w:val="00B948AE"/>
    <w:rsid w:val="00B94BA9"/>
    <w:rsid w:val="00B94CAA"/>
    <w:rsid w:val="00B94EB6"/>
    <w:rsid w:val="00B95374"/>
    <w:rsid w:val="00B957BE"/>
    <w:rsid w:val="00B95DF7"/>
    <w:rsid w:val="00B96199"/>
    <w:rsid w:val="00B96AA0"/>
    <w:rsid w:val="00B96EE9"/>
    <w:rsid w:val="00B97F62"/>
    <w:rsid w:val="00BA02F2"/>
    <w:rsid w:val="00BA1031"/>
    <w:rsid w:val="00BA164A"/>
    <w:rsid w:val="00BA18C6"/>
    <w:rsid w:val="00BA18FB"/>
    <w:rsid w:val="00BA1F00"/>
    <w:rsid w:val="00BA2235"/>
    <w:rsid w:val="00BA257E"/>
    <w:rsid w:val="00BA26FF"/>
    <w:rsid w:val="00BA28CB"/>
    <w:rsid w:val="00BA3043"/>
    <w:rsid w:val="00BA30B9"/>
    <w:rsid w:val="00BA31C1"/>
    <w:rsid w:val="00BA39F5"/>
    <w:rsid w:val="00BA3F6D"/>
    <w:rsid w:val="00BA4058"/>
    <w:rsid w:val="00BA4E3E"/>
    <w:rsid w:val="00BA4E4D"/>
    <w:rsid w:val="00BA540A"/>
    <w:rsid w:val="00BA55A3"/>
    <w:rsid w:val="00BA5853"/>
    <w:rsid w:val="00BA5925"/>
    <w:rsid w:val="00BA5CC7"/>
    <w:rsid w:val="00BA6081"/>
    <w:rsid w:val="00BA617E"/>
    <w:rsid w:val="00BA6812"/>
    <w:rsid w:val="00BA692F"/>
    <w:rsid w:val="00BA6A0C"/>
    <w:rsid w:val="00BA6C32"/>
    <w:rsid w:val="00BA6CBB"/>
    <w:rsid w:val="00BA6F53"/>
    <w:rsid w:val="00BA74FD"/>
    <w:rsid w:val="00BB08A5"/>
    <w:rsid w:val="00BB0EF5"/>
    <w:rsid w:val="00BB10B4"/>
    <w:rsid w:val="00BB11AB"/>
    <w:rsid w:val="00BB171E"/>
    <w:rsid w:val="00BB19D7"/>
    <w:rsid w:val="00BB2005"/>
    <w:rsid w:val="00BB20BA"/>
    <w:rsid w:val="00BB2215"/>
    <w:rsid w:val="00BB2AB0"/>
    <w:rsid w:val="00BB30C0"/>
    <w:rsid w:val="00BB3293"/>
    <w:rsid w:val="00BB333B"/>
    <w:rsid w:val="00BB38AA"/>
    <w:rsid w:val="00BB40BF"/>
    <w:rsid w:val="00BB4228"/>
    <w:rsid w:val="00BB5253"/>
    <w:rsid w:val="00BB57B7"/>
    <w:rsid w:val="00BB59CF"/>
    <w:rsid w:val="00BB5ECA"/>
    <w:rsid w:val="00BB6640"/>
    <w:rsid w:val="00BB6746"/>
    <w:rsid w:val="00BB67D3"/>
    <w:rsid w:val="00BB69FB"/>
    <w:rsid w:val="00BB6BDC"/>
    <w:rsid w:val="00BB72D6"/>
    <w:rsid w:val="00BB77E6"/>
    <w:rsid w:val="00BB79ED"/>
    <w:rsid w:val="00BB7A0E"/>
    <w:rsid w:val="00BC047A"/>
    <w:rsid w:val="00BC0687"/>
    <w:rsid w:val="00BC0D41"/>
    <w:rsid w:val="00BC0D97"/>
    <w:rsid w:val="00BC0FE2"/>
    <w:rsid w:val="00BC0FFA"/>
    <w:rsid w:val="00BC11C2"/>
    <w:rsid w:val="00BC11FC"/>
    <w:rsid w:val="00BC1339"/>
    <w:rsid w:val="00BC1AD7"/>
    <w:rsid w:val="00BC20E4"/>
    <w:rsid w:val="00BC2136"/>
    <w:rsid w:val="00BC2526"/>
    <w:rsid w:val="00BC2C87"/>
    <w:rsid w:val="00BC30AF"/>
    <w:rsid w:val="00BC36CF"/>
    <w:rsid w:val="00BC420B"/>
    <w:rsid w:val="00BC47D5"/>
    <w:rsid w:val="00BC4D3D"/>
    <w:rsid w:val="00BC4E80"/>
    <w:rsid w:val="00BC4FAF"/>
    <w:rsid w:val="00BC5318"/>
    <w:rsid w:val="00BC55EB"/>
    <w:rsid w:val="00BC6174"/>
    <w:rsid w:val="00BC6585"/>
    <w:rsid w:val="00BC65FF"/>
    <w:rsid w:val="00BC70E3"/>
    <w:rsid w:val="00BC730C"/>
    <w:rsid w:val="00BC78B1"/>
    <w:rsid w:val="00BD012D"/>
    <w:rsid w:val="00BD0404"/>
    <w:rsid w:val="00BD06D1"/>
    <w:rsid w:val="00BD0D2E"/>
    <w:rsid w:val="00BD0D79"/>
    <w:rsid w:val="00BD11E9"/>
    <w:rsid w:val="00BD1544"/>
    <w:rsid w:val="00BD1A61"/>
    <w:rsid w:val="00BD1EC6"/>
    <w:rsid w:val="00BD1F33"/>
    <w:rsid w:val="00BD2103"/>
    <w:rsid w:val="00BD231F"/>
    <w:rsid w:val="00BD26D4"/>
    <w:rsid w:val="00BD2A87"/>
    <w:rsid w:val="00BD37EC"/>
    <w:rsid w:val="00BD3938"/>
    <w:rsid w:val="00BD41BE"/>
    <w:rsid w:val="00BD450F"/>
    <w:rsid w:val="00BD5341"/>
    <w:rsid w:val="00BD5456"/>
    <w:rsid w:val="00BD571B"/>
    <w:rsid w:val="00BD58F2"/>
    <w:rsid w:val="00BD5BE1"/>
    <w:rsid w:val="00BD5BF6"/>
    <w:rsid w:val="00BD608B"/>
    <w:rsid w:val="00BD6139"/>
    <w:rsid w:val="00BD6216"/>
    <w:rsid w:val="00BD636E"/>
    <w:rsid w:val="00BD660A"/>
    <w:rsid w:val="00BD6E5D"/>
    <w:rsid w:val="00BD6EF6"/>
    <w:rsid w:val="00BD7094"/>
    <w:rsid w:val="00BD71AD"/>
    <w:rsid w:val="00BD78DE"/>
    <w:rsid w:val="00BD7C71"/>
    <w:rsid w:val="00BD7DCC"/>
    <w:rsid w:val="00BD7FD6"/>
    <w:rsid w:val="00BE0E3E"/>
    <w:rsid w:val="00BE106C"/>
    <w:rsid w:val="00BE179F"/>
    <w:rsid w:val="00BE2452"/>
    <w:rsid w:val="00BE2BF3"/>
    <w:rsid w:val="00BE2C55"/>
    <w:rsid w:val="00BE2EBD"/>
    <w:rsid w:val="00BE32EE"/>
    <w:rsid w:val="00BE360C"/>
    <w:rsid w:val="00BE3E21"/>
    <w:rsid w:val="00BE544F"/>
    <w:rsid w:val="00BE5D1B"/>
    <w:rsid w:val="00BE655F"/>
    <w:rsid w:val="00BE6C0E"/>
    <w:rsid w:val="00BE6E8B"/>
    <w:rsid w:val="00BE6E95"/>
    <w:rsid w:val="00BE6EC9"/>
    <w:rsid w:val="00BE71D4"/>
    <w:rsid w:val="00BE7684"/>
    <w:rsid w:val="00BE77A9"/>
    <w:rsid w:val="00BF053C"/>
    <w:rsid w:val="00BF076E"/>
    <w:rsid w:val="00BF0905"/>
    <w:rsid w:val="00BF0942"/>
    <w:rsid w:val="00BF0962"/>
    <w:rsid w:val="00BF0AA8"/>
    <w:rsid w:val="00BF0D2D"/>
    <w:rsid w:val="00BF1382"/>
    <w:rsid w:val="00BF13A1"/>
    <w:rsid w:val="00BF13C8"/>
    <w:rsid w:val="00BF2089"/>
    <w:rsid w:val="00BF2103"/>
    <w:rsid w:val="00BF2599"/>
    <w:rsid w:val="00BF31F9"/>
    <w:rsid w:val="00BF3BCC"/>
    <w:rsid w:val="00BF45CA"/>
    <w:rsid w:val="00BF4B0F"/>
    <w:rsid w:val="00BF4E12"/>
    <w:rsid w:val="00BF4F66"/>
    <w:rsid w:val="00BF52E9"/>
    <w:rsid w:val="00BF57E7"/>
    <w:rsid w:val="00BF591D"/>
    <w:rsid w:val="00BF5D27"/>
    <w:rsid w:val="00BF5D93"/>
    <w:rsid w:val="00BF5F87"/>
    <w:rsid w:val="00BF66F3"/>
    <w:rsid w:val="00BF66F5"/>
    <w:rsid w:val="00BF6B07"/>
    <w:rsid w:val="00BF738F"/>
    <w:rsid w:val="00BF7767"/>
    <w:rsid w:val="00BF7B41"/>
    <w:rsid w:val="00BF7B8F"/>
    <w:rsid w:val="00C0007E"/>
    <w:rsid w:val="00C002E6"/>
    <w:rsid w:val="00C005AC"/>
    <w:rsid w:val="00C006B6"/>
    <w:rsid w:val="00C007C0"/>
    <w:rsid w:val="00C00AC7"/>
    <w:rsid w:val="00C0115E"/>
    <w:rsid w:val="00C011CC"/>
    <w:rsid w:val="00C01531"/>
    <w:rsid w:val="00C0169C"/>
    <w:rsid w:val="00C019BB"/>
    <w:rsid w:val="00C01BA7"/>
    <w:rsid w:val="00C0208D"/>
    <w:rsid w:val="00C0213D"/>
    <w:rsid w:val="00C02620"/>
    <w:rsid w:val="00C0301A"/>
    <w:rsid w:val="00C0367C"/>
    <w:rsid w:val="00C03C75"/>
    <w:rsid w:val="00C03D22"/>
    <w:rsid w:val="00C03D87"/>
    <w:rsid w:val="00C03F28"/>
    <w:rsid w:val="00C04514"/>
    <w:rsid w:val="00C04BED"/>
    <w:rsid w:val="00C04DFF"/>
    <w:rsid w:val="00C04F4B"/>
    <w:rsid w:val="00C053F7"/>
    <w:rsid w:val="00C0565D"/>
    <w:rsid w:val="00C05753"/>
    <w:rsid w:val="00C05E83"/>
    <w:rsid w:val="00C06395"/>
    <w:rsid w:val="00C06A05"/>
    <w:rsid w:val="00C06A62"/>
    <w:rsid w:val="00C07371"/>
    <w:rsid w:val="00C07823"/>
    <w:rsid w:val="00C07869"/>
    <w:rsid w:val="00C079EA"/>
    <w:rsid w:val="00C07AAA"/>
    <w:rsid w:val="00C10320"/>
    <w:rsid w:val="00C107DE"/>
    <w:rsid w:val="00C108EB"/>
    <w:rsid w:val="00C10CD1"/>
    <w:rsid w:val="00C10DD8"/>
    <w:rsid w:val="00C111BA"/>
    <w:rsid w:val="00C113F1"/>
    <w:rsid w:val="00C11599"/>
    <w:rsid w:val="00C11D05"/>
    <w:rsid w:val="00C11D68"/>
    <w:rsid w:val="00C1265F"/>
    <w:rsid w:val="00C12E54"/>
    <w:rsid w:val="00C13DE4"/>
    <w:rsid w:val="00C14494"/>
    <w:rsid w:val="00C14D9B"/>
    <w:rsid w:val="00C14E45"/>
    <w:rsid w:val="00C150FB"/>
    <w:rsid w:val="00C15B39"/>
    <w:rsid w:val="00C15FEF"/>
    <w:rsid w:val="00C16799"/>
    <w:rsid w:val="00C1690C"/>
    <w:rsid w:val="00C16F03"/>
    <w:rsid w:val="00C16F2F"/>
    <w:rsid w:val="00C173C0"/>
    <w:rsid w:val="00C17A5F"/>
    <w:rsid w:val="00C17ADB"/>
    <w:rsid w:val="00C20069"/>
    <w:rsid w:val="00C201AB"/>
    <w:rsid w:val="00C20217"/>
    <w:rsid w:val="00C20C00"/>
    <w:rsid w:val="00C2101E"/>
    <w:rsid w:val="00C2106A"/>
    <w:rsid w:val="00C210D0"/>
    <w:rsid w:val="00C212A7"/>
    <w:rsid w:val="00C217FF"/>
    <w:rsid w:val="00C21AE9"/>
    <w:rsid w:val="00C21D88"/>
    <w:rsid w:val="00C21DA9"/>
    <w:rsid w:val="00C22196"/>
    <w:rsid w:val="00C22262"/>
    <w:rsid w:val="00C2236E"/>
    <w:rsid w:val="00C22478"/>
    <w:rsid w:val="00C226CC"/>
    <w:rsid w:val="00C22A12"/>
    <w:rsid w:val="00C22B67"/>
    <w:rsid w:val="00C22F2A"/>
    <w:rsid w:val="00C23151"/>
    <w:rsid w:val="00C23192"/>
    <w:rsid w:val="00C23300"/>
    <w:rsid w:val="00C2359A"/>
    <w:rsid w:val="00C23CD6"/>
    <w:rsid w:val="00C23CFD"/>
    <w:rsid w:val="00C2425B"/>
    <w:rsid w:val="00C2429B"/>
    <w:rsid w:val="00C24A4C"/>
    <w:rsid w:val="00C24C3D"/>
    <w:rsid w:val="00C24D5A"/>
    <w:rsid w:val="00C24E44"/>
    <w:rsid w:val="00C251CB"/>
    <w:rsid w:val="00C25207"/>
    <w:rsid w:val="00C253D6"/>
    <w:rsid w:val="00C257EF"/>
    <w:rsid w:val="00C26644"/>
    <w:rsid w:val="00C26821"/>
    <w:rsid w:val="00C26F2B"/>
    <w:rsid w:val="00C2704F"/>
    <w:rsid w:val="00C276A9"/>
    <w:rsid w:val="00C277BA"/>
    <w:rsid w:val="00C27C56"/>
    <w:rsid w:val="00C30164"/>
    <w:rsid w:val="00C309E0"/>
    <w:rsid w:val="00C316ED"/>
    <w:rsid w:val="00C31836"/>
    <w:rsid w:val="00C31E5F"/>
    <w:rsid w:val="00C31F00"/>
    <w:rsid w:val="00C32BB5"/>
    <w:rsid w:val="00C32CF8"/>
    <w:rsid w:val="00C330FF"/>
    <w:rsid w:val="00C331AC"/>
    <w:rsid w:val="00C331FD"/>
    <w:rsid w:val="00C33989"/>
    <w:rsid w:val="00C33FE7"/>
    <w:rsid w:val="00C341A0"/>
    <w:rsid w:val="00C34616"/>
    <w:rsid w:val="00C3461F"/>
    <w:rsid w:val="00C34FB1"/>
    <w:rsid w:val="00C34FD9"/>
    <w:rsid w:val="00C3559C"/>
    <w:rsid w:val="00C35A37"/>
    <w:rsid w:val="00C36018"/>
    <w:rsid w:val="00C3603A"/>
    <w:rsid w:val="00C36668"/>
    <w:rsid w:val="00C366B8"/>
    <w:rsid w:val="00C36AA8"/>
    <w:rsid w:val="00C370F6"/>
    <w:rsid w:val="00C373BA"/>
    <w:rsid w:val="00C37487"/>
    <w:rsid w:val="00C376EB"/>
    <w:rsid w:val="00C37AF8"/>
    <w:rsid w:val="00C37E28"/>
    <w:rsid w:val="00C37E64"/>
    <w:rsid w:val="00C400F2"/>
    <w:rsid w:val="00C4082D"/>
    <w:rsid w:val="00C40A0B"/>
    <w:rsid w:val="00C40A79"/>
    <w:rsid w:val="00C40BAF"/>
    <w:rsid w:val="00C40BEB"/>
    <w:rsid w:val="00C40D4D"/>
    <w:rsid w:val="00C40DCB"/>
    <w:rsid w:val="00C414AF"/>
    <w:rsid w:val="00C41C13"/>
    <w:rsid w:val="00C41DCC"/>
    <w:rsid w:val="00C424C3"/>
    <w:rsid w:val="00C429AA"/>
    <w:rsid w:val="00C43008"/>
    <w:rsid w:val="00C4302C"/>
    <w:rsid w:val="00C43479"/>
    <w:rsid w:val="00C43D5F"/>
    <w:rsid w:val="00C43DC2"/>
    <w:rsid w:val="00C4457A"/>
    <w:rsid w:val="00C44DA0"/>
    <w:rsid w:val="00C45397"/>
    <w:rsid w:val="00C45AA0"/>
    <w:rsid w:val="00C46631"/>
    <w:rsid w:val="00C473C1"/>
    <w:rsid w:val="00C478A1"/>
    <w:rsid w:val="00C47E06"/>
    <w:rsid w:val="00C47E1D"/>
    <w:rsid w:val="00C47F3F"/>
    <w:rsid w:val="00C5000E"/>
    <w:rsid w:val="00C5009E"/>
    <w:rsid w:val="00C50331"/>
    <w:rsid w:val="00C5051D"/>
    <w:rsid w:val="00C50CCE"/>
    <w:rsid w:val="00C5140B"/>
    <w:rsid w:val="00C51D6C"/>
    <w:rsid w:val="00C51E6B"/>
    <w:rsid w:val="00C5220D"/>
    <w:rsid w:val="00C522A0"/>
    <w:rsid w:val="00C52512"/>
    <w:rsid w:val="00C5262E"/>
    <w:rsid w:val="00C52A84"/>
    <w:rsid w:val="00C52F05"/>
    <w:rsid w:val="00C53199"/>
    <w:rsid w:val="00C531C8"/>
    <w:rsid w:val="00C534FD"/>
    <w:rsid w:val="00C53FB7"/>
    <w:rsid w:val="00C54C9C"/>
    <w:rsid w:val="00C54D4E"/>
    <w:rsid w:val="00C551B2"/>
    <w:rsid w:val="00C555D6"/>
    <w:rsid w:val="00C55791"/>
    <w:rsid w:val="00C557E9"/>
    <w:rsid w:val="00C55FF9"/>
    <w:rsid w:val="00C562CB"/>
    <w:rsid w:val="00C5657E"/>
    <w:rsid w:val="00C5692D"/>
    <w:rsid w:val="00C57508"/>
    <w:rsid w:val="00C57D4D"/>
    <w:rsid w:val="00C57DC1"/>
    <w:rsid w:val="00C600BF"/>
    <w:rsid w:val="00C60B4F"/>
    <w:rsid w:val="00C61285"/>
    <w:rsid w:val="00C614C5"/>
    <w:rsid w:val="00C61816"/>
    <w:rsid w:val="00C61FBE"/>
    <w:rsid w:val="00C62040"/>
    <w:rsid w:val="00C62129"/>
    <w:rsid w:val="00C625C2"/>
    <w:rsid w:val="00C62779"/>
    <w:rsid w:val="00C63A9B"/>
    <w:rsid w:val="00C63F5C"/>
    <w:rsid w:val="00C6403F"/>
    <w:rsid w:val="00C6486E"/>
    <w:rsid w:val="00C648B9"/>
    <w:rsid w:val="00C6543A"/>
    <w:rsid w:val="00C65527"/>
    <w:rsid w:val="00C657DA"/>
    <w:rsid w:val="00C65966"/>
    <w:rsid w:val="00C65C3A"/>
    <w:rsid w:val="00C65FD5"/>
    <w:rsid w:val="00C6607A"/>
    <w:rsid w:val="00C66792"/>
    <w:rsid w:val="00C668EC"/>
    <w:rsid w:val="00C66AF2"/>
    <w:rsid w:val="00C66D44"/>
    <w:rsid w:val="00C67B75"/>
    <w:rsid w:val="00C67E6E"/>
    <w:rsid w:val="00C7011F"/>
    <w:rsid w:val="00C701FC"/>
    <w:rsid w:val="00C7054D"/>
    <w:rsid w:val="00C706FA"/>
    <w:rsid w:val="00C70FD7"/>
    <w:rsid w:val="00C71352"/>
    <w:rsid w:val="00C71451"/>
    <w:rsid w:val="00C71F2B"/>
    <w:rsid w:val="00C71F92"/>
    <w:rsid w:val="00C72829"/>
    <w:rsid w:val="00C72CA4"/>
    <w:rsid w:val="00C73426"/>
    <w:rsid w:val="00C735C1"/>
    <w:rsid w:val="00C73EE0"/>
    <w:rsid w:val="00C73F83"/>
    <w:rsid w:val="00C74159"/>
    <w:rsid w:val="00C74198"/>
    <w:rsid w:val="00C74841"/>
    <w:rsid w:val="00C74C64"/>
    <w:rsid w:val="00C753DE"/>
    <w:rsid w:val="00C754AD"/>
    <w:rsid w:val="00C75A9E"/>
    <w:rsid w:val="00C75B7F"/>
    <w:rsid w:val="00C7606B"/>
    <w:rsid w:val="00C76626"/>
    <w:rsid w:val="00C766B7"/>
    <w:rsid w:val="00C76743"/>
    <w:rsid w:val="00C7689F"/>
    <w:rsid w:val="00C76DFB"/>
    <w:rsid w:val="00C771D6"/>
    <w:rsid w:val="00C772D1"/>
    <w:rsid w:val="00C77380"/>
    <w:rsid w:val="00C775A9"/>
    <w:rsid w:val="00C77B2F"/>
    <w:rsid w:val="00C77FF2"/>
    <w:rsid w:val="00C80002"/>
    <w:rsid w:val="00C80034"/>
    <w:rsid w:val="00C80CFA"/>
    <w:rsid w:val="00C81378"/>
    <w:rsid w:val="00C81498"/>
    <w:rsid w:val="00C81596"/>
    <w:rsid w:val="00C81F43"/>
    <w:rsid w:val="00C8228E"/>
    <w:rsid w:val="00C83489"/>
    <w:rsid w:val="00C8361E"/>
    <w:rsid w:val="00C8378A"/>
    <w:rsid w:val="00C84437"/>
    <w:rsid w:val="00C84D6F"/>
    <w:rsid w:val="00C8585E"/>
    <w:rsid w:val="00C85ACA"/>
    <w:rsid w:val="00C85B19"/>
    <w:rsid w:val="00C86265"/>
    <w:rsid w:val="00C869B1"/>
    <w:rsid w:val="00C873A8"/>
    <w:rsid w:val="00C879C0"/>
    <w:rsid w:val="00C87BB0"/>
    <w:rsid w:val="00C9004C"/>
    <w:rsid w:val="00C904C5"/>
    <w:rsid w:val="00C90D2F"/>
    <w:rsid w:val="00C9156B"/>
    <w:rsid w:val="00C91E1E"/>
    <w:rsid w:val="00C9267A"/>
    <w:rsid w:val="00C93133"/>
    <w:rsid w:val="00C9375A"/>
    <w:rsid w:val="00C937B7"/>
    <w:rsid w:val="00C939E1"/>
    <w:rsid w:val="00C93C3C"/>
    <w:rsid w:val="00C93C69"/>
    <w:rsid w:val="00C946B7"/>
    <w:rsid w:val="00C946FF"/>
    <w:rsid w:val="00C94EB5"/>
    <w:rsid w:val="00C95082"/>
    <w:rsid w:val="00C95397"/>
    <w:rsid w:val="00C95668"/>
    <w:rsid w:val="00C95780"/>
    <w:rsid w:val="00C959D1"/>
    <w:rsid w:val="00C95E48"/>
    <w:rsid w:val="00C964E2"/>
    <w:rsid w:val="00C9676F"/>
    <w:rsid w:val="00C969A6"/>
    <w:rsid w:val="00C969F1"/>
    <w:rsid w:val="00C96A5A"/>
    <w:rsid w:val="00C96B88"/>
    <w:rsid w:val="00C96CDE"/>
    <w:rsid w:val="00C96EC1"/>
    <w:rsid w:val="00C97045"/>
    <w:rsid w:val="00C971A7"/>
    <w:rsid w:val="00C976E9"/>
    <w:rsid w:val="00C97A6A"/>
    <w:rsid w:val="00C97EE3"/>
    <w:rsid w:val="00CA0851"/>
    <w:rsid w:val="00CA0B5B"/>
    <w:rsid w:val="00CA17F4"/>
    <w:rsid w:val="00CA23C9"/>
    <w:rsid w:val="00CA2581"/>
    <w:rsid w:val="00CA29BB"/>
    <w:rsid w:val="00CA2CAA"/>
    <w:rsid w:val="00CA3052"/>
    <w:rsid w:val="00CA3275"/>
    <w:rsid w:val="00CA331A"/>
    <w:rsid w:val="00CA3361"/>
    <w:rsid w:val="00CA33CC"/>
    <w:rsid w:val="00CA368D"/>
    <w:rsid w:val="00CA3853"/>
    <w:rsid w:val="00CA42E9"/>
    <w:rsid w:val="00CA44FC"/>
    <w:rsid w:val="00CA4688"/>
    <w:rsid w:val="00CA547C"/>
    <w:rsid w:val="00CA5E16"/>
    <w:rsid w:val="00CA620F"/>
    <w:rsid w:val="00CA69EC"/>
    <w:rsid w:val="00CA7320"/>
    <w:rsid w:val="00CB00BB"/>
    <w:rsid w:val="00CB01BF"/>
    <w:rsid w:val="00CB0822"/>
    <w:rsid w:val="00CB0CAE"/>
    <w:rsid w:val="00CB0DEA"/>
    <w:rsid w:val="00CB13B3"/>
    <w:rsid w:val="00CB20AA"/>
    <w:rsid w:val="00CB2DBB"/>
    <w:rsid w:val="00CB2F63"/>
    <w:rsid w:val="00CB341F"/>
    <w:rsid w:val="00CB35E0"/>
    <w:rsid w:val="00CB4A1C"/>
    <w:rsid w:val="00CB4FAD"/>
    <w:rsid w:val="00CB5033"/>
    <w:rsid w:val="00CB5190"/>
    <w:rsid w:val="00CB5752"/>
    <w:rsid w:val="00CB66AC"/>
    <w:rsid w:val="00CB6710"/>
    <w:rsid w:val="00CB6737"/>
    <w:rsid w:val="00CB74A4"/>
    <w:rsid w:val="00CB76EB"/>
    <w:rsid w:val="00CB77C9"/>
    <w:rsid w:val="00CB7EB4"/>
    <w:rsid w:val="00CB7FA1"/>
    <w:rsid w:val="00CC0344"/>
    <w:rsid w:val="00CC0A63"/>
    <w:rsid w:val="00CC0BEB"/>
    <w:rsid w:val="00CC11BB"/>
    <w:rsid w:val="00CC1382"/>
    <w:rsid w:val="00CC2279"/>
    <w:rsid w:val="00CC29F7"/>
    <w:rsid w:val="00CC318A"/>
    <w:rsid w:val="00CC3348"/>
    <w:rsid w:val="00CC342B"/>
    <w:rsid w:val="00CC350B"/>
    <w:rsid w:val="00CC36F0"/>
    <w:rsid w:val="00CC39C8"/>
    <w:rsid w:val="00CC3AA3"/>
    <w:rsid w:val="00CC3C17"/>
    <w:rsid w:val="00CC3D55"/>
    <w:rsid w:val="00CC44EF"/>
    <w:rsid w:val="00CC4AD7"/>
    <w:rsid w:val="00CC4FB4"/>
    <w:rsid w:val="00CC513E"/>
    <w:rsid w:val="00CC57D9"/>
    <w:rsid w:val="00CC60B2"/>
    <w:rsid w:val="00CC65C4"/>
    <w:rsid w:val="00CC68A0"/>
    <w:rsid w:val="00CC76C9"/>
    <w:rsid w:val="00CC797D"/>
    <w:rsid w:val="00CC7F8F"/>
    <w:rsid w:val="00CD0014"/>
    <w:rsid w:val="00CD044A"/>
    <w:rsid w:val="00CD0552"/>
    <w:rsid w:val="00CD085B"/>
    <w:rsid w:val="00CD0888"/>
    <w:rsid w:val="00CD08D5"/>
    <w:rsid w:val="00CD0A6A"/>
    <w:rsid w:val="00CD149C"/>
    <w:rsid w:val="00CD1900"/>
    <w:rsid w:val="00CD1B5B"/>
    <w:rsid w:val="00CD1B81"/>
    <w:rsid w:val="00CD1D7E"/>
    <w:rsid w:val="00CD2302"/>
    <w:rsid w:val="00CD27A7"/>
    <w:rsid w:val="00CD28C0"/>
    <w:rsid w:val="00CD3779"/>
    <w:rsid w:val="00CD39EC"/>
    <w:rsid w:val="00CD47BB"/>
    <w:rsid w:val="00CD49F0"/>
    <w:rsid w:val="00CD523B"/>
    <w:rsid w:val="00CD570F"/>
    <w:rsid w:val="00CD63A9"/>
    <w:rsid w:val="00CD6468"/>
    <w:rsid w:val="00CD650A"/>
    <w:rsid w:val="00CD66C7"/>
    <w:rsid w:val="00CD6E9C"/>
    <w:rsid w:val="00CD7577"/>
    <w:rsid w:val="00CD78BE"/>
    <w:rsid w:val="00CD7AAE"/>
    <w:rsid w:val="00CD7EE6"/>
    <w:rsid w:val="00CE06CA"/>
    <w:rsid w:val="00CE0DAD"/>
    <w:rsid w:val="00CE124F"/>
    <w:rsid w:val="00CE13F5"/>
    <w:rsid w:val="00CE17DF"/>
    <w:rsid w:val="00CE18D0"/>
    <w:rsid w:val="00CE21D3"/>
    <w:rsid w:val="00CE2464"/>
    <w:rsid w:val="00CE2811"/>
    <w:rsid w:val="00CE2926"/>
    <w:rsid w:val="00CE2FB4"/>
    <w:rsid w:val="00CE339D"/>
    <w:rsid w:val="00CE3702"/>
    <w:rsid w:val="00CE39D0"/>
    <w:rsid w:val="00CE4322"/>
    <w:rsid w:val="00CE4650"/>
    <w:rsid w:val="00CE47D0"/>
    <w:rsid w:val="00CE48C4"/>
    <w:rsid w:val="00CE4A6B"/>
    <w:rsid w:val="00CE5AF0"/>
    <w:rsid w:val="00CE5B36"/>
    <w:rsid w:val="00CE6166"/>
    <w:rsid w:val="00CE6349"/>
    <w:rsid w:val="00CE6862"/>
    <w:rsid w:val="00CE6EEE"/>
    <w:rsid w:val="00CE7D5E"/>
    <w:rsid w:val="00CF0095"/>
    <w:rsid w:val="00CF01F8"/>
    <w:rsid w:val="00CF0304"/>
    <w:rsid w:val="00CF093F"/>
    <w:rsid w:val="00CF0DF5"/>
    <w:rsid w:val="00CF1164"/>
    <w:rsid w:val="00CF1526"/>
    <w:rsid w:val="00CF16B2"/>
    <w:rsid w:val="00CF1999"/>
    <w:rsid w:val="00CF21E9"/>
    <w:rsid w:val="00CF229D"/>
    <w:rsid w:val="00CF23EC"/>
    <w:rsid w:val="00CF2861"/>
    <w:rsid w:val="00CF291C"/>
    <w:rsid w:val="00CF2E09"/>
    <w:rsid w:val="00CF30A7"/>
    <w:rsid w:val="00CF333F"/>
    <w:rsid w:val="00CF3735"/>
    <w:rsid w:val="00CF3C43"/>
    <w:rsid w:val="00CF3C55"/>
    <w:rsid w:val="00CF42D6"/>
    <w:rsid w:val="00CF496A"/>
    <w:rsid w:val="00CF4CFC"/>
    <w:rsid w:val="00CF5AFB"/>
    <w:rsid w:val="00CF5DFF"/>
    <w:rsid w:val="00CF5E7C"/>
    <w:rsid w:val="00CF60C0"/>
    <w:rsid w:val="00CF6178"/>
    <w:rsid w:val="00CF6A28"/>
    <w:rsid w:val="00CF6B7D"/>
    <w:rsid w:val="00CF6C79"/>
    <w:rsid w:val="00CF71A6"/>
    <w:rsid w:val="00CF7265"/>
    <w:rsid w:val="00CF7790"/>
    <w:rsid w:val="00D007E7"/>
    <w:rsid w:val="00D00F6A"/>
    <w:rsid w:val="00D01377"/>
    <w:rsid w:val="00D0182B"/>
    <w:rsid w:val="00D01B62"/>
    <w:rsid w:val="00D01DF0"/>
    <w:rsid w:val="00D021EB"/>
    <w:rsid w:val="00D0234B"/>
    <w:rsid w:val="00D023AF"/>
    <w:rsid w:val="00D03401"/>
    <w:rsid w:val="00D035ED"/>
    <w:rsid w:val="00D0414F"/>
    <w:rsid w:val="00D0421C"/>
    <w:rsid w:val="00D04A41"/>
    <w:rsid w:val="00D052D4"/>
    <w:rsid w:val="00D0579C"/>
    <w:rsid w:val="00D061CA"/>
    <w:rsid w:val="00D06502"/>
    <w:rsid w:val="00D066E5"/>
    <w:rsid w:val="00D06AC5"/>
    <w:rsid w:val="00D06BA2"/>
    <w:rsid w:val="00D0752C"/>
    <w:rsid w:val="00D07734"/>
    <w:rsid w:val="00D07791"/>
    <w:rsid w:val="00D077D3"/>
    <w:rsid w:val="00D079FE"/>
    <w:rsid w:val="00D07C28"/>
    <w:rsid w:val="00D07D84"/>
    <w:rsid w:val="00D10829"/>
    <w:rsid w:val="00D10F5A"/>
    <w:rsid w:val="00D115A1"/>
    <w:rsid w:val="00D120A2"/>
    <w:rsid w:val="00D12629"/>
    <w:rsid w:val="00D128FE"/>
    <w:rsid w:val="00D12AD4"/>
    <w:rsid w:val="00D12CCB"/>
    <w:rsid w:val="00D13426"/>
    <w:rsid w:val="00D1343A"/>
    <w:rsid w:val="00D13EA7"/>
    <w:rsid w:val="00D146F4"/>
    <w:rsid w:val="00D147FA"/>
    <w:rsid w:val="00D14FBA"/>
    <w:rsid w:val="00D150C6"/>
    <w:rsid w:val="00D15194"/>
    <w:rsid w:val="00D15215"/>
    <w:rsid w:val="00D152B6"/>
    <w:rsid w:val="00D1588B"/>
    <w:rsid w:val="00D1618B"/>
    <w:rsid w:val="00D1660B"/>
    <w:rsid w:val="00D17274"/>
    <w:rsid w:val="00D205D8"/>
    <w:rsid w:val="00D2093C"/>
    <w:rsid w:val="00D210A3"/>
    <w:rsid w:val="00D21833"/>
    <w:rsid w:val="00D21B12"/>
    <w:rsid w:val="00D21B30"/>
    <w:rsid w:val="00D21C39"/>
    <w:rsid w:val="00D21DE8"/>
    <w:rsid w:val="00D227A2"/>
    <w:rsid w:val="00D22C03"/>
    <w:rsid w:val="00D23310"/>
    <w:rsid w:val="00D23AF2"/>
    <w:rsid w:val="00D241E5"/>
    <w:rsid w:val="00D24C4E"/>
    <w:rsid w:val="00D25BDE"/>
    <w:rsid w:val="00D25FF8"/>
    <w:rsid w:val="00D26410"/>
    <w:rsid w:val="00D269AA"/>
    <w:rsid w:val="00D26B30"/>
    <w:rsid w:val="00D26D58"/>
    <w:rsid w:val="00D2762E"/>
    <w:rsid w:val="00D27788"/>
    <w:rsid w:val="00D2792F"/>
    <w:rsid w:val="00D27961"/>
    <w:rsid w:val="00D27A39"/>
    <w:rsid w:val="00D27DB5"/>
    <w:rsid w:val="00D3029F"/>
    <w:rsid w:val="00D3113B"/>
    <w:rsid w:val="00D31224"/>
    <w:rsid w:val="00D319FB"/>
    <w:rsid w:val="00D31D95"/>
    <w:rsid w:val="00D3217D"/>
    <w:rsid w:val="00D329B4"/>
    <w:rsid w:val="00D32A9B"/>
    <w:rsid w:val="00D32AFC"/>
    <w:rsid w:val="00D32C29"/>
    <w:rsid w:val="00D32D42"/>
    <w:rsid w:val="00D33900"/>
    <w:rsid w:val="00D33CB2"/>
    <w:rsid w:val="00D34083"/>
    <w:rsid w:val="00D34112"/>
    <w:rsid w:val="00D34598"/>
    <w:rsid w:val="00D347AC"/>
    <w:rsid w:val="00D35051"/>
    <w:rsid w:val="00D351F9"/>
    <w:rsid w:val="00D3531D"/>
    <w:rsid w:val="00D35576"/>
    <w:rsid w:val="00D3583C"/>
    <w:rsid w:val="00D358B4"/>
    <w:rsid w:val="00D36510"/>
    <w:rsid w:val="00D3652F"/>
    <w:rsid w:val="00D36751"/>
    <w:rsid w:val="00D36756"/>
    <w:rsid w:val="00D370B4"/>
    <w:rsid w:val="00D3714F"/>
    <w:rsid w:val="00D37284"/>
    <w:rsid w:val="00D3743B"/>
    <w:rsid w:val="00D3749B"/>
    <w:rsid w:val="00D37C09"/>
    <w:rsid w:val="00D40094"/>
    <w:rsid w:val="00D400F5"/>
    <w:rsid w:val="00D401B0"/>
    <w:rsid w:val="00D40246"/>
    <w:rsid w:val="00D40DAB"/>
    <w:rsid w:val="00D40E15"/>
    <w:rsid w:val="00D41361"/>
    <w:rsid w:val="00D415B2"/>
    <w:rsid w:val="00D41BBA"/>
    <w:rsid w:val="00D42049"/>
    <w:rsid w:val="00D422A1"/>
    <w:rsid w:val="00D42366"/>
    <w:rsid w:val="00D42DFE"/>
    <w:rsid w:val="00D42E17"/>
    <w:rsid w:val="00D42F04"/>
    <w:rsid w:val="00D42F9A"/>
    <w:rsid w:val="00D43177"/>
    <w:rsid w:val="00D4364C"/>
    <w:rsid w:val="00D440A7"/>
    <w:rsid w:val="00D44248"/>
    <w:rsid w:val="00D44669"/>
    <w:rsid w:val="00D4471E"/>
    <w:rsid w:val="00D452ED"/>
    <w:rsid w:val="00D455DB"/>
    <w:rsid w:val="00D46222"/>
    <w:rsid w:val="00D4747B"/>
    <w:rsid w:val="00D4774A"/>
    <w:rsid w:val="00D478C2"/>
    <w:rsid w:val="00D47C39"/>
    <w:rsid w:val="00D47D02"/>
    <w:rsid w:val="00D47D8D"/>
    <w:rsid w:val="00D47FA9"/>
    <w:rsid w:val="00D501CA"/>
    <w:rsid w:val="00D50340"/>
    <w:rsid w:val="00D507FD"/>
    <w:rsid w:val="00D5081E"/>
    <w:rsid w:val="00D511EF"/>
    <w:rsid w:val="00D512DA"/>
    <w:rsid w:val="00D51905"/>
    <w:rsid w:val="00D51FD3"/>
    <w:rsid w:val="00D52124"/>
    <w:rsid w:val="00D5221D"/>
    <w:rsid w:val="00D5225E"/>
    <w:rsid w:val="00D52727"/>
    <w:rsid w:val="00D52872"/>
    <w:rsid w:val="00D52A45"/>
    <w:rsid w:val="00D52CFD"/>
    <w:rsid w:val="00D52D34"/>
    <w:rsid w:val="00D52E1C"/>
    <w:rsid w:val="00D532A6"/>
    <w:rsid w:val="00D5392B"/>
    <w:rsid w:val="00D53A73"/>
    <w:rsid w:val="00D53F3B"/>
    <w:rsid w:val="00D53F5D"/>
    <w:rsid w:val="00D540D3"/>
    <w:rsid w:val="00D54220"/>
    <w:rsid w:val="00D54888"/>
    <w:rsid w:val="00D54904"/>
    <w:rsid w:val="00D55197"/>
    <w:rsid w:val="00D55445"/>
    <w:rsid w:val="00D557B7"/>
    <w:rsid w:val="00D5588C"/>
    <w:rsid w:val="00D5599D"/>
    <w:rsid w:val="00D55FFD"/>
    <w:rsid w:val="00D56DFC"/>
    <w:rsid w:val="00D56F26"/>
    <w:rsid w:val="00D57183"/>
    <w:rsid w:val="00D573DF"/>
    <w:rsid w:val="00D575D7"/>
    <w:rsid w:val="00D57D7A"/>
    <w:rsid w:val="00D57FD5"/>
    <w:rsid w:val="00D60259"/>
    <w:rsid w:val="00D60327"/>
    <w:rsid w:val="00D60426"/>
    <w:rsid w:val="00D6097A"/>
    <w:rsid w:val="00D61334"/>
    <w:rsid w:val="00D615BA"/>
    <w:rsid w:val="00D61785"/>
    <w:rsid w:val="00D62BC2"/>
    <w:rsid w:val="00D62BE3"/>
    <w:rsid w:val="00D6324B"/>
    <w:rsid w:val="00D63346"/>
    <w:rsid w:val="00D63470"/>
    <w:rsid w:val="00D63C9C"/>
    <w:rsid w:val="00D63CBE"/>
    <w:rsid w:val="00D640A9"/>
    <w:rsid w:val="00D6412A"/>
    <w:rsid w:val="00D64FCC"/>
    <w:rsid w:val="00D65290"/>
    <w:rsid w:val="00D65516"/>
    <w:rsid w:val="00D657DA"/>
    <w:rsid w:val="00D65C93"/>
    <w:rsid w:val="00D65EEE"/>
    <w:rsid w:val="00D65F25"/>
    <w:rsid w:val="00D65FC0"/>
    <w:rsid w:val="00D66186"/>
    <w:rsid w:val="00D6652F"/>
    <w:rsid w:val="00D66DC5"/>
    <w:rsid w:val="00D66DE0"/>
    <w:rsid w:val="00D66EF8"/>
    <w:rsid w:val="00D67128"/>
    <w:rsid w:val="00D67337"/>
    <w:rsid w:val="00D674C4"/>
    <w:rsid w:val="00D6772F"/>
    <w:rsid w:val="00D67EE6"/>
    <w:rsid w:val="00D70044"/>
    <w:rsid w:val="00D7251C"/>
    <w:rsid w:val="00D72523"/>
    <w:rsid w:val="00D7266D"/>
    <w:rsid w:val="00D72E49"/>
    <w:rsid w:val="00D72F02"/>
    <w:rsid w:val="00D72FF9"/>
    <w:rsid w:val="00D73765"/>
    <w:rsid w:val="00D739DB"/>
    <w:rsid w:val="00D73A6D"/>
    <w:rsid w:val="00D73A7E"/>
    <w:rsid w:val="00D73A9F"/>
    <w:rsid w:val="00D74033"/>
    <w:rsid w:val="00D7490B"/>
    <w:rsid w:val="00D74CD1"/>
    <w:rsid w:val="00D754F8"/>
    <w:rsid w:val="00D75E1F"/>
    <w:rsid w:val="00D75E9D"/>
    <w:rsid w:val="00D75EB3"/>
    <w:rsid w:val="00D75F53"/>
    <w:rsid w:val="00D7614D"/>
    <w:rsid w:val="00D76247"/>
    <w:rsid w:val="00D76760"/>
    <w:rsid w:val="00D76A55"/>
    <w:rsid w:val="00D77F48"/>
    <w:rsid w:val="00D8043B"/>
    <w:rsid w:val="00D804E1"/>
    <w:rsid w:val="00D80B46"/>
    <w:rsid w:val="00D81349"/>
    <w:rsid w:val="00D81367"/>
    <w:rsid w:val="00D81534"/>
    <w:rsid w:val="00D81AAC"/>
    <w:rsid w:val="00D827E0"/>
    <w:rsid w:val="00D82A7D"/>
    <w:rsid w:val="00D83504"/>
    <w:rsid w:val="00D83763"/>
    <w:rsid w:val="00D8453C"/>
    <w:rsid w:val="00D84B96"/>
    <w:rsid w:val="00D852B4"/>
    <w:rsid w:val="00D8549D"/>
    <w:rsid w:val="00D858E3"/>
    <w:rsid w:val="00D85E92"/>
    <w:rsid w:val="00D86C32"/>
    <w:rsid w:val="00D86C60"/>
    <w:rsid w:val="00D874C4"/>
    <w:rsid w:val="00D877F3"/>
    <w:rsid w:val="00D87DF6"/>
    <w:rsid w:val="00D90737"/>
    <w:rsid w:val="00D90BEF"/>
    <w:rsid w:val="00D91002"/>
    <w:rsid w:val="00D91FA5"/>
    <w:rsid w:val="00D92943"/>
    <w:rsid w:val="00D92A8A"/>
    <w:rsid w:val="00D92AB8"/>
    <w:rsid w:val="00D933A4"/>
    <w:rsid w:val="00D93D25"/>
    <w:rsid w:val="00D94188"/>
    <w:rsid w:val="00D94846"/>
    <w:rsid w:val="00D94EF4"/>
    <w:rsid w:val="00D95004"/>
    <w:rsid w:val="00D95370"/>
    <w:rsid w:val="00D95D20"/>
    <w:rsid w:val="00D9622D"/>
    <w:rsid w:val="00D9658D"/>
    <w:rsid w:val="00D96E25"/>
    <w:rsid w:val="00D96FEA"/>
    <w:rsid w:val="00D97911"/>
    <w:rsid w:val="00D97A11"/>
    <w:rsid w:val="00D97E6C"/>
    <w:rsid w:val="00DA0168"/>
    <w:rsid w:val="00DA040F"/>
    <w:rsid w:val="00DA0797"/>
    <w:rsid w:val="00DA0B2A"/>
    <w:rsid w:val="00DA0C12"/>
    <w:rsid w:val="00DA10B7"/>
    <w:rsid w:val="00DA1CA8"/>
    <w:rsid w:val="00DA2213"/>
    <w:rsid w:val="00DA28DB"/>
    <w:rsid w:val="00DA29A1"/>
    <w:rsid w:val="00DA2E82"/>
    <w:rsid w:val="00DA3463"/>
    <w:rsid w:val="00DA35F8"/>
    <w:rsid w:val="00DA3D72"/>
    <w:rsid w:val="00DA447B"/>
    <w:rsid w:val="00DA46E8"/>
    <w:rsid w:val="00DA5C42"/>
    <w:rsid w:val="00DA61F9"/>
    <w:rsid w:val="00DA66CF"/>
    <w:rsid w:val="00DA76A5"/>
    <w:rsid w:val="00DA7C98"/>
    <w:rsid w:val="00DA7FFD"/>
    <w:rsid w:val="00DB02E2"/>
    <w:rsid w:val="00DB040F"/>
    <w:rsid w:val="00DB134A"/>
    <w:rsid w:val="00DB18E8"/>
    <w:rsid w:val="00DB1A45"/>
    <w:rsid w:val="00DB1EC3"/>
    <w:rsid w:val="00DB2302"/>
    <w:rsid w:val="00DB2544"/>
    <w:rsid w:val="00DB2984"/>
    <w:rsid w:val="00DB3015"/>
    <w:rsid w:val="00DB39D6"/>
    <w:rsid w:val="00DB41BC"/>
    <w:rsid w:val="00DB43A4"/>
    <w:rsid w:val="00DB4439"/>
    <w:rsid w:val="00DB48CD"/>
    <w:rsid w:val="00DB50C8"/>
    <w:rsid w:val="00DB5477"/>
    <w:rsid w:val="00DB553A"/>
    <w:rsid w:val="00DB578F"/>
    <w:rsid w:val="00DB5810"/>
    <w:rsid w:val="00DB5C84"/>
    <w:rsid w:val="00DB5FAA"/>
    <w:rsid w:val="00DB6B15"/>
    <w:rsid w:val="00DB6BD2"/>
    <w:rsid w:val="00DB6D8B"/>
    <w:rsid w:val="00DB7B77"/>
    <w:rsid w:val="00DB7C00"/>
    <w:rsid w:val="00DB7D6C"/>
    <w:rsid w:val="00DB7FCC"/>
    <w:rsid w:val="00DC008C"/>
    <w:rsid w:val="00DC06AA"/>
    <w:rsid w:val="00DC07A9"/>
    <w:rsid w:val="00DC115C"/>
    <w:rsid w:val="00DC135B"/>
    <w:rsid w:val="00DC1EE8"/>
    <w:rsid w:val="00DC236F"/>
    <w:rsid w:val="00DC32B2"/>
    <w:rsid w:val="00DC340D"/>
    <w:rsid w:val="00DC35E4"/>
    <w:rsid w:val="00DC36EA"/>
    <w:rsid w:val="00DC3764"/>
    <w:rsid w:val="00DC384B"/>
    <w:rsid w:val="00DC3FFA"/>
    <w:rsid w:val="00DC40D0"/>
    <w:rsid w:val="00DC430F"/>
    <w:rsid w:val="00DC450A"/>
    <w:rsid w:val="00DC45BC"/>
    <w:rsid w:val="00DC4C14"/>
    <w:rsid w:val="00DC50A2"/>
    <w:rsid w:val="00DC55AC"/>
    <w:rsid w:val="00DC61C4"/>
    <w:rsid w:val="00DC6BDA"/>
    <w:rsid w:val="00DC6E30"/>
    <w:rsid w:val="00DC7C3C"/>
    <w:rsid w:val="00DD0218"/>
    <w:rsid w:val="00DD0621"/>
    <w:rsid w:val="00DD06FB"/>
    <w:rsid w:val="00DD1237"/>
    <w:rsid w:val="00DD14E5"/>
    <w:rsid w:val="00DD163B"/>
    <w:rsid w:val="00DD1AC4"/>
    <w:rsid w:val="00DD2DE3"/>
    <w:rsid w:val="00DD2FCB"/>
    <w:rsid w:val="00DD44FB"/>
    <w:rsid w:val="00DD4544"/>
    <w:rsid w:val="00DD4999"/>
    <w:rsid w:val="00DD631F"/>
    <w:rsid w:val="00DD6E59"/>
    <w:rsid w:val="00DD723A"/>
    <w:rsid w:val="00DD74B9"/>
    <w:rsid w:val="00DD7912"/>
    <w:rsid w:val="00DE01FD"/>
    <w:rsid w:val="00DE069E"/>
    <w:rsid w:val="00DE0705"/>
    <w:rsid w:val="00DE0EE1"/>
    <w:rsid w:val="00DE1B2B"/>
    <w:rsid w:val="00DE1C15"/>
    <w:rsid w:val="00DE20FB"/>
    <w:rsid w:val="00DE2136"/>
    <w:rsid w:val="00DE24B1"/>
    <w:rsid w:val="00DE2C94"/>
    <w:rsid w:val="00DE2F69"/>
    <w:rsid w:val="00DE358B"/>
    <w:rsid w:val="00DE37B0"/>
    <w:rsid w:val="00DE4385"/>
    <w:rsid w:val="00DE46A4"/>
    <w:rsid w:val="00DE4AA1"/>
    <w:rsid w:val="00DE4D6E"/>
    <w:rsid w:val="00DE54FC"/>
    <w:rsid w:val="00DE5C81"/>
    <w:rsid w:val="00DE5E86"/>
    <w:rsid w:val="00DE616C"/>
    <w:rsid w:val="00DE6478"/>
    <w:rsid w:val="00DE6BE0"/>
    <w:rsid w:val="00DE788E"/>
    <w:rsid w:val="00DF09E8"/>
    <w:rsid w:val="00DF0AEF"/>
    <w:rsid w:val="00DF0B44"/>
    <w:rsid w:val="00DF0BA7"/>
    <w:rsid w:val="00DF198E"/>
    <w:rsid w:val="00DF19F5"/>
    <w:rsid w:val="00DF2184"/>
    <w:rsid w:val="00DF21CB"/>
    <w:rsid w:val="00DF24E0"/>
    <w:rsid w:val="00DF24EB"/>
    <w:rsid w:val="00DF2538"/>
    <w:rsid w:val="00DF2B07"/>
    <w:rsid w:val="00DF2EDE"/>
    <w:rsid w:val="00DF31AD"/>
    <w:rsid w:val="00DF3709"/>
    <w:rsid w:val="00DF3906"/>
    <w:rsid w:val="00DF3B92"/>
    <w:rsid w:val="00DF3BD8"/>
    <w:rsid w:val="00DF3C72"/>
    <w:rsid w:val="00DF3ED5"/>
    <w:rsid w:val="00DF40E5"/>
    <w:rsid w:val="00DF453D"/>
    <w:rsid w:val="00DF47B0"/>
    <w:rsid w:val="00DF4A25"/>
    <w:rsid w:val="00DF4BAA"/>
    <w:rsid w:val="00DF503D"/>
    <w:rsid w:val="00DF505A"/>
    <w:rsid w:val="00DF508E"/>
    <w:rsid w:val="00DF5979"/>
    <w:rsid w:val="00DF5A01"/>
    <w:rsid w:val="00DF5E6C"/>
    <w:rsid w:val="00DF604B"/>
    <w:rsid w:val="00DF6FC0"/>
    <w:rsid w:val="00DF706A"/>
    <w:rsid w:val="00DF779A"/>
    <w:rsid w:val="00DF7986"/>
    <w:rsid w:val="00DF7CE3"/>
    <w:rsid w:val="00E005BD"/>
    <w:rsid w:val="00E00672"/>
    <w:rsid w:val="00E0077D"/>
    <w:rsid w:val="00E0081D"/>
    <w:rsid w:val="00E008BF"/>
    <w:rsid w:val="00E01937"/>
    <w:rsid w:val="00E01A14"/>
    <w:rsid w:val="00E02050"/>
    <w:rsid w:val="00E025AA"/>
    <w:rsid w:val="00E0275E"/>
    <w:rsid w:val="00E02CC8"/>
    <w:rsid w:val="00E02DA2"/>
    <w:rsid w:val="00E02FC5"/>
    <w:rsid w:val="00E03E19"/>
    <w:rsid w:val="00E03F7F"/>
    <w:rsid w:val="00E042BC"/>
    <w:rsid w:val="00E04A7C"/>
    <w:rsid w:val="00E04B1F"/>
    <w:rsid w:val="00E04BFD"/>
    <w:rsid w:val="00E05F33"/>
    <w:rsid w:val="00E064B4"/>
    <w:rsid w:val="00E064CE"/>
    <w:rsid w:val="00E06E12"/>
    <w:rsid w:val="00E073A4"/>
    <w:rsid w:val="00E0777C"/>
    <w:rsid w:val="00E07E8B"/>
    <w:rsid w:val="00E10391"/>
    <w:rsid w:val="00E10543"/>
    <w:rsid w:val="00E10D1B"/>
    <w:rsid w:val="00E11646"/>
    <w:rsid w:val="00E119B2"/>
    <w:rsid w:val="00E11BFA"/>
    <w:rsid w:val="00E121C8"/>
    <w:rsid w:val="00E12301"/>
    <w:rsid w:val="00E127D3"/>
    <w:rsid w:val="00E1294D"/>
    <w:rsid w:val="00E12F56"/>
    <w:rsid w:val="00E134F2"/>
    <w:rsid w:val="00E1355D"/>
    <w:rsid w:val="00E1397C"/>
    <w:rsid w:val="00E1424C"/>
    <w:rsid w:val="00E14DE3"/>
    <w:rsid w:val="00E14E1A"/>
    <w:rsid w:val="00E15362"/>
    <w:rsid w:val="00E15B03"/>
    <w:rsid w:val="00E15DA5"/>
    <w:rsid w:val="00E15E45"/>
    <w:rsid w:val="00E15E59"/>
    <w:rsid w:val="00E16117"/>
    <w:rsid w:val="00E16B3F"/>
    <w:rsid w:val="00E16B87"/>
    <w:rsid w:val="00E173A3"/>
    <w:rsid w:val="00E17A2B"/>
    <w:rsid w:val="00E20179"/>
    <w:rsid w:val="00E201D2"/>
    <w:rsid w:val="00E20801"/>
    <w:rsid w:val="00E20803"/>
    <w:rsid w:val="00E20A40"/>
    <w:rsid w:val="00E217D4"/>
    <w:rsid w:val="00E21D4B"/>
    <w:rsid w:val="00E21EA2"/>
    <w:rsid w:val="00E220D7"/>
    <w:rsid w:val="00E22543"/>
    <w:rsid w:val="00E229D3"/>
    <w:rsid w:val="00E22B25"/>
    <w:rsid w:val="00E22C90"/>
    <w:rsid w:val="00E23BAB"/>
    <w:rsid w:val="00E24045"/>
    <w:rsid w:val="00E244D3"/>
    <w:rsid w:val="00E24A00"/>
    <w:rsid w:val="00E24A6B"/>
    <w:rsid w:val="00E24CBC"/>
    <w:rsid w:val="00E2531C"/>
    <w:rsid w:val="00E2578D"/>
    <w:rsid w:val="00E25BFC"/>
    <w:rsid w:val="00E25DFE"/>
    <w:rsid w:val="00E26B2E"/>
    <w:rsid w:val="00E27304"/>
    <w:rsid w:val="00E27BBD"/>
    <w:rsid w:val="00E27D42"/>
    <w:rsid w:val="00E27FB0"/>
    <w:rsid w:val="00E30BA5"/>
    <w:rsid w:val="00E3115B"/>
    <w:rsid w:val="00E311FC"/>
    <w:rsid w:val="00E3218E"/>
    <w:rsid w:val="00E3236E"/>
    <w:rsid w:val="00E3262A"/>
    <w:rsid w:val="00E32BF7"/>
    <w:rsid w:val="00E32EB6"/>
    <w:rsid w:val="00E33223"/>
    <w:rsid w:val="00E33785"/>
    <w:rsid w:val="00E33C95"/>
    <w:rsid w:val="00E33F32"/>
    <w:rsid w:val="00E3415F"/>
    <w:rsid w:val="00E34214"/>
    <w:rsid w:val="00E342B1"/>
    <w:rsid w:val="00E3474B"/>
    <w:rsid w:val="00E34C3B"/>
    <w:rsid w:val="00E368C8"/>
    <w:rsid w:val="00E36D82"/>
    <w:rsid w:val="00E36E81"/>
    <w:rsid w:val="00E371DD"/>
    <w:rsid w:val="00E3769B"/>
    <w:rsid w:val="00E37AF6"/>
    <w:rsid w:val="00E402BB"/>
    <w:rsid w:val="00E405E6"/>
    <w:rsid w:val="00E406D3"/>
    <w:rsid w:val="00E40C5C"/>
    <w:rsid w:val="00E40DC4"/>
    <w:rsid w:val="00E4150C"/>
    <w:rsid w:val="00E4167E"/>
    <w:rsid w:val="00E4183D"/>
    <w:rsid w:val="00E41CC9"/>
    <w:rsid w:val="00E41DC9"/>
    <w:rsid w:val="00E420DE"/>
    <w:rsid w:val="00E426A4"/>
    <w:rsid w:val="00E4300D"/>
    <w:rsid w:val="00E431E2"/>
    <w:rsid w:val="00E435D0"/>
    <w:rsid w:val="00E4377E"/>
    <w:rsid w:val="00E43E4C"/>
    <w:rsid w:val="00E4439A"/>
    <w:rsid w:val="00E44D81"/>
    <w:rsid w:val="00E44E7A"/>
    <w:rsid w:val="00E45041"/>
    <w:rsid w:val="00E4514D"/>
    <w:rsid w:val="00E4517E"/>
    <w:rsid w:val="00E452BD"/>
    <w:rsid w:val="00E4531F"/>
    <w:rsid w:val="00E45A32"/>
    <w:rsid w:val="00E45AA4"/>
    <w:rsid w:val="00E4617F"/>
    <w:rsid w:val="00E46A6C"/>
    <w:rsid w:val="00E46A79"/>
    <w:rsid w:val="00E46D03"/>
    <w:rsid w:val="00E47891"/>
    <w:rsid w:val="00E501A8"/>
    <w:rsid w:val="00E50525"/>
    <w:rsid w:val="00E50679"/>
    <w:rsid w:val="00E50C66"/>
    <w:rsid w:val="00E514A7"/>
    <w:rsid w:val="00E51BCA"/>
    <w:rsid w:val="00E52333"/>
    <w:rsid w:val="00E54018"/>
    <w:rsid w:val="00E5434A"/>
    <w:rsid w:val="00E549F7"/>
    <w:rsid w:val="00E54CD4"/>
    <w:rsid w:val="00E5562A"/>
    <w:rsid w:val="00E557D9"/>
    <w:rsid w:val="00E55867"/>
    <w:rsid w:val="00E563F2"/>
    <w:rsid w:val="00E56644"/>
    <w:rsid w:val="00E5695A"/>
    <w:rsid w:val="00E56F70"/>
    <w:rsid w:val="00E57132"/>
    <w:rsid w:val="00E57A65"/>
    <w:rsid w:val="00E57A6B"/>
    <w:rsid w:val="00E57BB6"/>
    <w:rsid w:val="00E57BE4"/>
    <w:rsid w:val="00E57D7E"/>
    <w:rsid w:val="00E6020B"/>
    <w:rsid w:val="00E60258"/>
    <w:rsid w:val="00E61458"/>
    <w:rsid w:val="00E624E3"/>
    <w:rsid w:val="00E6255D"/>
    <w:rsid w:val="00E625AE"/>
    <w:rsid w:val="00E62BB1"/>
    <w:rsid w:val="00E640C9"/>
    <w:rsid w:val="00E640F7"/>
    <w:rsid w:val="00E6458A"/>
    <w:rsid w:val="00E64615"/>
    <w:rsid w:val="00E64E8B"/>
    <w:rsid w:val="00E65A47"/>
    <w:rsid w:val="00E66023"/>
    <w:rsid w:val="00E666A1"/>
    <w:rsid w:val="00E666D7"/>
    <w:rsid w:val="00E6695A"/>
    <w:rsid w:val="00E66B1B"/>
    <w:rsid w:val="00E66EE6"/>
    <w:rsid w:val="00E670B1"/>
    <w:rsid w:val="00E6724E"/>
    <w:rsid w:val="00E674F2"/>
    <w:rsid w:val="00E7097D"/>
    <w:rsid w:val="00E71455"/>
    <w:rsid w:val="00E718E3"/>
    <w:rsid w:val="00E720B0"/>
    <w:rsid w:val="00E7274A"/>
    <w:rsid w:val="00E734F0"/>
    <w:rsid w:val="00E7356A"/>
    <w:rsid w:val="00E73DBB"/>
    <w:rsid w:val="00E73F4B"/>
    <w:rsid w:val="00E74410"/>
    <w:rsid w:val="00E744F7"/>
    <w:rsid w:val="00E74689"/>
    <w:rsid w:val="00E74B83"/>
    <w:rsid w:val="00E7530B"/>
    <w:rsid w:val="00E753C6"/>
    <w:rsid w:val="00E75678"/>
    <w:rsid w:val="00E7589D"/>
    <w:rsid w:val="00E75C05"/>
    <w:rsid w:val="00E7636E"/>
    <w:rsid w:val="00E768E5"/>
    <w:rsid w:val="00E76949"/>
    <w:rsid w:val="00E76969"/>
    <w:rsid w:val="00E76DB1"/>
    <w:rsid w:val="00E80216"/>
    <w:rsid w:val="00E80484"/>
    <w:rsid w:val="00E80A7D"/>
    <w:rsid w:val="00E812F4"/>
    <w:rsid w:val="00E81429"/>
    <w:rsid w:val="00E81982"/>
    <w:rsid w:val="00E81BB5"/>
    <w:rsid w:val="00E821DE"/>
    <w:rsid w:val="00E824F9"/>
    <w:rsid w:val="00E8275F"/>
    <w:rsid w:val="00E82B42"/>
    <w:rsid w:val="00E8353E"/>
    <w:rsid w:val="00E83557"/>
    <w:rsid w:val="00E83599"/>
    <w:rsid w:val="00E83B33"/>
    <w:rsid w:val="00E83E58"/>
    <w:rsid w:val="00E84210"/>
    <w:rsid w:val="00E84C2D"/>
    <w:rsid w:val="00E851BA"/>
    <w:rsid w:val="00E8548E"/>
    <w:rsid w:val="00E85791"/>
    <w:rsid w:val="00E86010"/>
    <w:rsid w:val="00E862A6"/>
    <w:rsid w:val="00E862B4"/>
    <w:rsid w:val="00E86809"/>
    <w:rsid w:val="00E86EC5"/>
    <w:rsid w:val="00E86EF6"/>
    <w:rsid w:val="00E87082"/>
    <w:rsid w:val="00E8733F"/>
    <w:rsid w:val="00E87392"/>
    <w:rsid w:val="00E87525"/>
    <w:rsid w:val="00E87755"/>
    <w:rsid w:val="00E87BCB"/>
    <w:rsid w:val="00E87CA7"/>
    <w:rsid w:val="00E87CBB"/>
    <w:rsid w:val="00E90019"/>
    <w:rsid w:val="00E90151"/>
    <w:rsid w:val="00E90740"/>
    <w:rsid w:val="00E90B09"/>
    <w:rsid w:val="00E91210"/>
    <w:rsid w:val="00E91370"/>
    <w:rsid w:val="00E915B9"/>
    <w:rsid w:val="00E91641"/>
    <w:rsid w:val="00E91717"/>
    <w:rsid w:val="00E917AF"/>
    <w:rsid w:val="00E91AE9"/>
    <w:rsid w:val="00E91F69"/>
    <w:rsid w:val="00E92A13"/>
    <w:rsid w:val="00E92B8E"/>
    <w:rsid w:val="00E92C64"/>
    <w:rsid w:val="00E93AC9"/>
    <w:rsid w:val="00E93C3E"/>
    <w:rsid w:val="00E93CFF"/>
    <w:rsid w:val="00E94B43"/>
    <w:rsid w:val="00E94C42"/>
    <w:rsid w:val="00E951B7"/>
    <w:rsid w:val="00E952D9"/>
    <w:rsid w:val="00E9545A"/>
    <w:rsid w:val="00E9549C"/>
    <w:rsid w:val="00E9576A"/>
    <w:rsid w:val="00E958E8"/>
    <w:rsid w:val="00E9612F"/>
    <w:rsid w:val="00E96A5E"/>
    <w:rsid w:val="00E973DB"/>
    <w:rsid w:val="00E97D7E"/>
    <w:rsid w:val="00EA03B8"/>
    <w:rsid w:val="00EA05CE"/>
    <w:rsid w:val="00EA0BD7"/>
    <w:rsid w:val="00EA0F8A"/>
    <w:rsid w:val="00EA1CE1"/>
    <w:rsid w:val="00EA21F1"/>
    <w:rsid w:val="00EA289B"/>
    <w:rsid w:val="00EA29D0"/>
    <w:rsid w:val="00EA2BD4"/>
    <w:rsid w:val="00EA2D86"/>
    <w:rsid w:val="00EA40B9"/>
    <w:rsid w:val="00EA44C0"/>
    <w:rsid w:val="00EA4B39"/>
    <w:rsid w:val="00EA4B7F"/>
    <w:rsid w:val="00EA542F"/>
    <w:rsid w:val="00EA5435"/>
    <w:rsid w:val="00EA551F"/>
    <w:rsid w:val="00EA5983"/>
    <w:rsid w:val="00EA5A38"/>
    <w:rsid w:val="00EA5A78"/>
    <w:rsid w:val="00EA5CE1"/>
    <w:rsid w:val="00EA60C0"/>
    <w:rsid w:val="00EA64EA"/>
    <w:rsid w:val="00EA6931"/>
    <w:rsid w:val="00EA6B10"/>
    <w:rsid w:val="00EA6B14"/>
    <w:rsid w:val="00EA6B51"/>
    <w:rsid w:val="00EA7593"/>
    <w:rsid w:val="00EA75D6"/>
    <w:rsid w:val="00EA7862"/>
    <w:rsid w:val="00EA7D86"/>
    <w:rsid w:val="00EA7D8E"/>
    <w:rsid w:val="00EA7E25"/>
    <w:rsid w:val="00EB01AA"/>
    <w:rsid w:val="00EB0578"/>
    <w:rsid w:val="00EB0D83"/>
    <w:rsid w:val="00EB0E34"/>
    <w:rsid w:val="00EB0F74"/>
    <w:rsid w:val="00EB1A3B"/>
    <w:rsid w:val="00EB1A8C"/>
    <w:rsid w:val="00EB1D9D"/>
    <w:rsid w:val="00EB2043"/>
    <w:rsid w:val="00EB20E0"/>
    <w:rsid w:val="00EB264C"/>
    <w:rsid w:val="00EB265F"/>
    <w:rsid w:val="00EB275A"/>
    <w:rsid w:val="00EB2D3F"/>
    <w:rsid w:val="00EB3354"/>
    <w:rsid w:val="00EB3391"/>
    <w:rsid w:val="00EB3ACC"/>
    <w:rsid w:val="00EB3C29"/>
    <w:rsid w:val="00EB3C7F"/>
    <w:rsid w:val="00EB444A"/>
    <w:rsid w:val="00EB53A2"/>
    <w:rsid w:val="00EB5F28"/>
    <w:rsid w:val="00EB64A9"/>
    <w:rsid w:val="00EB6757"/>
    <w:rsid w:val="00EB681E"/>
    <w:rsid w:val="00EB6E4C"/>
    <w:rsid w:val="00EB7026"/>
    <w:rsid w:val="00EB70A0"/>
    <w:rsid w:val="00EB71E6"/>
    <w:rsid w:val="00EB748E"/>
    <w:rsid w:val="00EB7905"/>
    <w:rsid w:val="00EB79A8"/>
    <w:rsid w:val="00EB7C2E"/>
    <w:rsid w:val="00EC070B"/>
    <w:rsid w:val="00EC093B"/>
    <w:rsid w:val="00EC1A3A"/>
    <w:rsid w:val="00EC1C2B"/>
    <w:rsid w:val="00EC290E"/>
    <w:rsid w:val="00EC2929"/>
    <w:rsid w:val="00EC317B"/>
    <w:rsid w:val="00EC34BC"/>
    <w:rsid w:val="00EC3A9B"/>
    <w:rsid w:val="00EC3BD7"/>
    <w:rsid w:val="00EC3D44"/>
    <w:rsid w:val="00EC4754"/>
    <w:rsid w:val="00EC4E00"/>
    <w:rsid w:val="00EC4E36"/>
    <w:rsid w:val="00EC505D"/>
    <w:rsid w:val="00EC5530"/>
    <w:rsid w:val="00EC567E"/>
    <w:rsid w:val="00EC59F9"/>
    <w:rsid w:val="00EC647A"/>
    <w:rsid w:val="00EC654B"/>
    <w:rsid w:val="00EC6688"/>
    <w:rsid w:val="00EC675F"/>
    <w:rsid w:val="00EC6AAF"/>
    <w:rsid w:val="00EC6ABC"/>
    <w:rsid w:val="00EC6B24"/>
    <w:rsid w:val="00EC7037"/>
    <w:rsid w:val="00EC73FB"/>
    <w:rsid w:val="00EC7DC2"/>
    <w:rsid w:val="00ED0319"/>
    <w:rsid w:val="00ED052D"/>
    <w:rsid w:val="00ED06AF"/>
    <w:rsid w:val="00ED06FC"/>
    <w:rsid w:val="00ED09CE"/>
    <w:rsid w:val="00ED0BBB"/>
    <w:rsid w:val="00ED0C5D"/>
    <w:rsid w:val="00ED0DA7"/>
    <w:rsid w:val="00ED11B4"/>
    <w:rsid w:val="00ED1632"/>
    <w:rsid w:val="00ED21CA"/>
    <w:rsid w:val="00ED2477"/>
    <w:rsid w:val="00ED2CA3"/>
    <w:rsid w:val="00ED2EA6"/>
    <w:rsid w:val="00ED2F22"/>
    <w:rsid w:val="00ED3446"/>
    <w:rsid w:val="00ED34C9"/>
    <w:rsid w:val="00ED374F"/>
    <w:rsid w:val="00ED3C00"/>
    <w:rsid w:val="00ED3D72"/>
    <w:rsid w:val="00ED554A"/>
    <w:rsid w:val="00ED593A"/>
    <w:rsid w:val="00ED5D8C"/>
    <w:rsid w:val="00ED6121"/>
    <w:rsid w:val="00ED657D"/>
    <w:rsid w:val="00ED68BF"/>
    <w:rsid w:val="00ED7228"/>
    <w:rsid w:val="00ED72DB"/>
    <w:rsid w:val="00ED7306"/>
    <w:rsid w:val="00ED73C4"/>
    <w:rsid w:val="00ED780F"/>
    <w:rsid w:val="00ED7C55"/>
    <w:rsid w:val="00ED7C99"/>
    <w:rsid w:val="00ED7D11"/>
    <w:rsid w:val="00EE033A"/>
    <w:rsid w:val="00EE0666"/>
    <w:rsid w:val="00EE0683"/>
    <w:rsid w:val="00EE0FAE"/>
    <w:rsid w:val="00EE1146"/>
    <w:rsid w:val="00EE1159"/>
    <w:rsid w:val="00EE15B8"/>
    <w:rsid w:val="00EE1728"/>
    <w:rsid w:val="00EE1C4E"/>
    <w:rsid w:val="00EE2265"/>
    <w:rsid w:val="00EE22AF"/>
    <w:rsid w:val="00EE277C"/>
    <w:rsid w:val="00EE27EC"/>
    <w:rsid w:val="00EE2973"/>
    <w:rsid w:val="00EE2A5C"/>
    <w:rsid w:val="00EE2F76"/>
    <w:rsid w:val="00EE3654"/>
    <w:rsid w:val="00EE3CAF"/>
    <w:rsid w:val="00EE3E5E"/>
    <w:rsid w:val="00EE3EAC"/>
    <w:rsid w:val="00EE406C"/>
    <w:rsid w:val="00EE4419"/>
    <w:rsid w:val="00EE44CC"/>
    <w:rsid w:val="00EE4713"/>
    <w:rsid w:val="00EE4DB1"/>
    <w:rsid w:val="00EE584C"/>
    <w:rsid w:val="00EE5D0C"/>
    <w:rsid w:val="00EE6388"/>
    <w:rsid w:val="00EE64D7"/>
    <w:rsid w:val="00EE65F4"/>
    <w:rsid w:val="00EE6A3B"/>
    <w:rsid w:val="00EE79B8"/>
    <w:rsid w:val="00EE7C62"/>
    <w:rsid w:val="00EE7D51"/>
    <w:rsid w:val="00EF004C"/>
    <w:rsid w:val="00EF00C9"/>
    <w:rsid w:val="00EF03FF"/>
    <w:rsid w:val="00EF126E"/>
    <w:rsid w:val="00EF1425"/>
    <w:rsid w:val="00EF1D32"/>
    <w:rsid w:val="00EF1E50"/>
    <w:rsid w:val="00EF2C43"/>
    <w:rsid w:val="00EF2DA7"/>
    <w:rsid w:val="00EF2FAD"/>
    <w:rsid w:val="00EF327B"/>
    <w:rsid w:val="00EF442E"/>
    <w:rsid w:val="00EF4575"/>
    <w:rsid w:val="00EF458F"/>
    <w:rsid w:val="00EF4AFB"/>
    <w:rsid w:val="00EF4B9D"/>
    <w:rsid w:val="00EF4E75"/>
    <w:rsid w:val="00EF509A"/>
    <w:rsid w:val="00EF515E"/>
    <w:rsid w:val="00EF6285"/>
    <w:rsid w:val="00EF6B01"/>
    <w:rsid w:val="00EF6C09"/>
    <w:rsid w:val="00EF6E9D"/>
    <w:rsid w:val="00EF72FC"/>
    <w:rsid w:val="00EF757D"/>
    <w:rsid w:val="00EF7644"/>
    <w:rsid w:val="00EF7725"/>
    <w:rsid w:val="00EF772A"/>
    <w:rsid w:val="00EF7796"/>
    <w:rsid w:val="00F004F6"/>
    <w:rsid w:val="00F00981"/>
    <w:rsid w:val="00F00B84"/>
    <w:rsid w:val="00F010E1"/>
    <w:rsid w:val="00F0168C"/>
    <w:rsid w:val="00F027FB"/>
    <w:rsid w:val="00F0288A"/>
    <w:rsid w:val="00F02A36"/>
    <w:rsid w:val="00F0345A"/>
    <w:rsid w:val="00F03D4F"/>
    <w:rsid w:val="00F0437A"/>
    <w:rsid w:val="00F04554"/>
    <w:rsid w:val="00F046C6"/>
    <w:rsid w:val="00F04C52"/>
    <w:rsid w:val="00F050A7"/>
    <w:rsid w:val="00F058C0"/>
    <w:rsid w:val="00F05E64"/>
    <w:rsid w:val="00F05F62"/>
    <w:rsid w:val="00F06376"/>
    <w:rsid w:val="00F0645D"/>
    <w:rsid w:val="00F0654A"/>
    <w:rsid w:val="00F06964"/>
    <w:rsid w:val="00F07350"/>
    <w:rsid w:val="00F07427"/>
    <w:rsid w:val="00F0752A"/>
    <w:rsid w:val="00F075A5"/>
    <w:rsid w:val="00F077F6"/>
    <w:rsid w:val="00F0793A"/>
    <w:rsid w:val="00F1004E"/>
    <w:rsid w:val="00F106A7"/>
    <w:rsid w:val="00F109DC"/>
    <w:rsid w:val="00F11446"/>
    <w:rsid w:val="00F11BAD"/>
    <w:rsid w:val="00F11EA3"/>
    <w:rsid w:val="00F11EC3"/>
    <w:rsid w:val="00F11F76"/>
    <w:rsid w:val="00F1243A"/>
    <w:rsid w:val="00F124B9"/>
    <w:rsid w:val="00F1266B"/>
    <w:rsid w:val="00F12FF9"/>
    <w:rsid w:val="00F13313"/>
    <w:rsid w:val="00F141BF"/>
    <w:rsid w:val="00F14579"/>
    <w:rsid w:val="00F14888"/>
    <w:rsid w:val="00F14E55"/>
    <w:rsid w:val="00F15022"/>
    <w:rsid w:val="00F152AA"/>
    <w:rsid w:val="00F1548B"/>
    <w:rsid w:val="00F154A2"/>
    <w:rsid w:val="00F155F4"/>
    <w:rsid w:val="00F15BA2"/>
    <w:rsid w:val="00F15C91"/>
    <w:rsid w:val="00F16021"/>
    <w:rsid w:val="00F1620D"/>
    <w:rsid w:val="00F163A3"/>
    <w:rsid w:val="00F163CC"/>
    <w:rsid w:val="00F168BC"/>
    <w:rsid w:val="00F16D05"/>
    <w:rsid w:val="00F16EA1"/>
    <w:rsid w:val="00F17214"/>
    <w:rsid w:val="00F17332"/>
    <w:rsid w:val="00F174AC"/>
    <w:rsid w:val="00F179A3"/>
    <w:rsid w:val="00F17B2C"/>
    <w:rsid w:val="00F2002A"/>
    <w:rsid w:val="00F20AA8"/>
    <w:rsid w:val="00F21B39"/>
    <w:rsid w:val="00F21FFB"/>
    <w:rsid w:val="00F222C5"/>
    <w:rsid w:val="00F22865"/>
    <w:rsid w:val="00F2286E"/>
    <w:rsid w:val="00F23432"/>
    <w:rsid w:val="00F23747"/>
    <w:rsid w:val="00F23913"/>
    <w:rsid w:val="00F23B2C"/>
    <w:rsid w:val="00F2487A"/>
    <w:rsid w:val="00F24ABC"/>
    <w:rsid w:val="00F24D29"/>
    <w:rsid w:val="00F25101"/>
    <w:rsid w:val="00F2534B"/>
    <w:rsid w:val="00F256C1"/>
    <w:rsid w:val="00F256F6"/>
    <w:rsid w:val="00F260CF"/>
    <w:rsid w:val="00F262A0"/>
    <w:rsid w:val="00F266FC"/>
    <w:rsid w:val="00F26A13"/>
    <w:rsid w:val="00F26C2B"/>
    <w:rsid w:val="00F26EB2"/>
    <w:rsid w:val="00F27731"/>
    <w:rsid w:val="00F27AFD"/>
    <w:rsid w:val="00F27C8A"/>
    <w:rsid w:val="00F304A5"/>
    <w:rsid w:val="00F30774"/>
    <w:rsid w:val="00F30B2C"/>
    <w:rsid w:val="00F315BC"/>
    <w:rsid w:val="00F316DD"/>
    <w:rsid w:val="00F3187E"/>
    <w:rsid w:val="00F32115"/>
    <w:rsid w:val="00F32436"/>
    <w:rsid w:val="00F32976"/>
    <w:rsid w:val="00F32C74"/>
    <w:rsid w:val="00F33866"/>
    <w:rsid w:val="00F33AB3"/>
    <w:rsid w:val="00F33EFA"/>
    <w:rsid w:val="00F34A61"/>
    <w:rsid w:val="00F34AC5"/>
    <w:rsid w:val="00F35226"/>
    <w:rsid w:val="00F354D0"/>
    <w:rsid w:val="00F35740"/>
    <w:rsid w:val="00F35C21"/>
    <w:rsid w:val="00F35DA4"/>
    <w:rsid w:val="00F35DA6"/>
    <w:rsid w:val="00F35E60"/>
    <w:rsid w:val="00F362E2"/>
    <w:rsid w:val="00F3635C"/>
    <w:rsid w:val="00F364F6"/>
    <w:rsid w:val="00F367D4"/>
    <w:rsid w:val="00F36822"/>
    <w:rsid w:val="00F36CDE"/>
    <w:rsid w:val="00F3785F"/>
    <w:rsid w:val="00F4027C"/>
    <w:rsid w:val="00F41403"/>
    <w:rsid w:val="00F417E1"/>
    <w:rsid w:val="00F419C7"/>
    <w:rsid w:val="00F41A25"/>
    <w:rsid w:val="00F41CD8"/>
    <w:rsid w:val="00F41F84"/>
    <w:rsid w:val="00F420E5"/>
    <w:rsid w:val="00F427D4"/>
    <w:rsid w:val="00F42913"/>
    <w:rsid w:val="00F4303C"/>
    <w:rsid w:val="00F437BC"/>
    <w:rsid w:val="00F43836"/>
    <w:rsid w:val="00F43957"/>
    <w:rsid w:val="00F43B57"/>
    <w:rsid w:val="00F44424"/>
    <w:rsid w:val="00F44AD9"/>
    <w:rsid w:val="00F44B9D"/>
    <w:rsid w:val="00F44F71"/>
    <w:rsid w:val="00F459C3"/>
    <w:rsid w:val="00F45C14"/>
    <w:rsid w:val="00F45C20"/>
    <w:rsid w:val="00F45C8C"/>
    <w:rsid w:val="00F46104"/>
    <w:rsid w:val="00F46924"/>
    <w:rsid w:val="00F46DE5"/>
    <w:rsid w:val="00F46ECC"/>
    <w:rsid w:val="00F46F29"/>
    <w:rsid w:val="00F4713C"/>
    <w:rsid w:val="00F50752"/>
    <w:rsid w:val="00F5082F"/>
    <w:rsid w:val="00F50837"/>
    <w:rsid w:val="00F50DB4"/>
    <w:rsid w:val="00F519EF"/>
    <w:rsid w:val="00F51DDA"/>
    <w:rsid w:val="00F51F42"/>
    <w:rsid w:val="00F52048"/>
    <w:rsid w:val="00F5230D"/>
    <w:rsid w:val="00F52AAA"/>
    <w:rsid w:val="00F52D5E"/>
    <w:rsid w:val="00F532AC"/>
    <w:rsid w:val="00F53377"/>
    <w:rsid w:val="00F537D7"/>
    <w:rsid w:val="00F53A4F"/>
    <w:rsid w:val="00F53CC4"/>
    <w:rsid w:val="00F53CE6"/>
    <w:rsid w:val="00F5416A"/>
    <w:rsid w:val="00F547A1"/>
    <w:rsid w:val="00F5492F"/>
    <w:rsid w:val="00F54CD8"/>
    <w:rsid w:val="00F55141"/>
    <w:rsid w:val="00F55D6E"/>
    <w:rsid w:val="00F55FEF"/>
    <w:rsid w:val="00F560FD"/>
    <w:rsid w:val="00F5644C"/>
    <w:rsid w:val="00F5651E"/>
    <w:rsid w:val="00F56728"/>
    <w:rsid w:val="00F569FE"/>
    <w:rsid w:val="00F56B66"/>
    <w:rsid w:val="00F56C65"/>
    <w:rsid w:val="00F56E56"/>
    <w:rsid w:val="00F56F6F"/>
    <w:rsid w:val="00F57924"/>
    <w:rsid w:val="00F6001B"/>
    <w:rsid w:val="00F6074B"/>
    <w:rsid w:val="00F609F1"/>
    <w:rsid w:val="00F609F6"/>
    <w:rsid w:val="00F60D7F"/>
    <w:rsid w:val="00F61D1F"/>
    <w:rsid w:val="00F6243F"/>
    <w:rsid w:val="00F626AC"/>
    <w:rsid w:val="00F629DA"/>
    <w:rsid w:val="00F62A15"/>
    <w:rsid w:val="00F637E0"/>
    <w:rsid w:val="00F63972"/>
    <w:rsid w:val="00F63E54"/>
    <w:rsid w:val="00F64029"/>
    <w:rsid w:val="00F6402F"/>
    <w:rsid w:val="00F641C0"/>
    <w:rsid w:val="00F65377"/>
    <w:rsid w:val="00F654C8"/>
    <w:rsid w:val="00F65BED"/>
    <w:rsid w:val="00F65CFD"/>
    <w:rsid w:val="00F66388"/>
    <w:rsid w:val="00F665A2"/>
    <w:rsid w:val="00F66A0C"/>
    <w:rsid w:val="00F66D31"/>
    <w:rsid w:val="00F67721"/>
    <w:rsid w:val="00F67CA2"/>
    <w:rsid w:val="00F706E9"/>
    <w:rsid w:val="00F70CCE"/>
    <w:rsid w:val="00F71025"/>
    <w:rsid w:val="00F719ED"/>
    <w:rsid w:val="00F724D9"/>
    <w:rsid w:val="00F72F6E"/>
    <w:rsid w:val="00F733A4"/>
    <w:rsid w:val="00F73934"/>
    <w:rsid w:val="00F73EB6"/>
    <w:rsid w:val="00F74139"/>
    <w:rsid w:val="00F74D8D"/>
    <w:rsid w:val="00F75192"/>
    <w:rsid w:val="00F757CA"/>
    <w:rsid w:val="00F75879"/>
    <w:rsid w:val="00F75C70"/>
    <w:rsid w:val="00F760B8"/>
    <w:rsid w:val="00F76342"/>
    <w:rsid w:val="00F7645F"/>
    <w:rsid w:val="00F767DB"/>
    <w:rsid w:val="00F7691D"/>
    <w:rsid w:val="00F770BF"/>
    <w:rsid w:val="00F779B6"/>
    <w:rsid w:val="00F77F0E"/>
    <w:rsid w:val="00F802F6"/>
    <w:rsid w:val="00F8035F"/>
    <w:rsid w:val="00F804E7"/>
    <w:rsid w:val="00F8082B"/>
    <w:rsid w:val="00F8144D"/>
    <w:rsid w:val="00F814F1"/>
    <w:rsid w:val="00F81A36"/>
    <w:rsid w:val="00F81C52"/>
    <w:rsid w:val="00F82041"/>
    <w:rsid w:val="00F82249"/>
    <w:rsid w:val="00F828BF"/>
    <w:rsid w:val="00F82B11"/>
    <w:rsid w:val="00F832EB"/>
    <w:rsid w:val="00F8369D"/>
    <w:rsid w:val="00F83B17"/>
    <w:rsid w:val="00F842B7"/>
    <w:rsid w:val="00F8468B"/>
    <w:rsid w:val="00F84F1E"/>
    <w:rsid w:val="00F858C3"/>
    <w:rsid w:val="00F86242"/>
    <w:rsid w:val="00F862AF"/>
    <w:rsid w:val="00F867B4"/>
    <w:rsid w:val="00F86B49"/>
    <w:rsid w:val="00F8714C"/>
    <w:rsid w:val="00F8730D"/>
    <w:rsid w:val="00F87433"/>
    <w:rsid w:val="00F87636"/>
    <w:rsid w:val="00F90183"/>
    <w:rsid w:val="00F904A8"/>
    <w:rsid w:val="00F90627"/>
    <w:rsid w:val="00F9086E"/>
    <w:rsid w:val="00F90ACA"/>
    <w:rsid w:val="00F914BC"/>
    <w:rsid w:val="00F91BEB"/>
    <w:rsid w:val="00F91C4B"/>
    <w:rsid w:val="00F925FD"/>
    <w:rsid w:val="00F926B1"/>
    <w:rsid w:val="00F928F1"/>
    <w:rsid w:val="00F92B56"/>
    <w:rsid w:val="00F92BC9"/>
    <w:rsid w:val="00F92C97"/>
    <w:rsid w:val="00F92ECF"/>
    <w:rsid w:val="00F9389E"/>
    <w:rsid w:val="00F94078"/>
    <w:rsid w:val="00F94817"/>
    <w:rsid w:val="00F94D3B"/>
    <w:rsid w:val="00F9559D"/>
    <w:rsid w:val="00F95654"/>
    <w:rsid w:val="00F96BC4"/>
    <w:rsid w:val="00F96C56"/>
    <w:rsid w:val="00F96E56"/>
    <w:rsid w:val="00F97935"/>
    <w:rsid w:val="00F97BE9"/>
    <w:rsid w:val="00F97C80"/>
    <w:rsid w:val="00FA02B9"/>
    <w:rsid w:val="00FA09CF"/>
    <w:rsid w:val="00FA1288"/>
    <w:rsid w:val="00FA131F"/>
    <w:rsid w:val="00FA13FA"/>
    <w:rsid w:val="00FA159A"/>
    <w:rsid w:val="00FA1D86"/>
    <w:rsid w:val="00FA2001"/>
    <w:rsid w:val="00FA2540"/>
    <w:rsid w:val="00FA2BDF"/>
    <w:rsid w:val="00FA35D9"/>
    <w:rsid w:val="00FA3AD2"/>
    <w:rsid w:val="00FA4476"/>
    <w:rsid w:val="00FA4609"/>
    <w:rsid w:val="00FA4953"/>
    <w:rsid w:val="00FA4B86"/>
    <w:rsid w:val="00FA5663"/>
    <w:rsid w:val="00FA5BBA"/>
    <w:rsid w:val="00FA5C2D"/>
    <w:rsid w:val="00FA62E6"/>
    <w:rsid w:val="00FA6305"/>
    <w:rsid w:val="00FA6386"/>
    <w:rsid w:val="00FA6464"/>
    <w:rsid w:val="00FA6517"/>
    <w:rsid w:val="00FA6733"/>
    <w:rsid w:val="00FA67D6"/>
    <w:rsid w:val="00FA6D76"/>
    <w:rsid w:val="00FA6DF3"/>
    <w:rsid w:val="00FA7324"/>
    <w:rsid w:val="00FB132F"/>
    <w:rsid w:val="00FB181C"/>
    <w:rsid w:val="00FB1E30"/>
    <w:rsid w:val="00FB2424"/>
    <w:rsid w:val="00FB3044"/>
    <w:rsid w:val="00FB39EC"/>
    <w:rsid w:val="00FB3BF8"/>
    <w:rsid w:val="00FB3CF5"/>
    <w:rsid w:val="00FB3ECC"/>
    <w:rsid w:val="00FB41ED"/>
    <w:rsid w:val="00FB4566"/>
    <w:rsid w:val="00FB5062"/>
    <w:rsid w:val="00FB50E6"/>
    <w:rsid w:val="00FB51F4"/>
    <w:rsid w:val="00FB586F"/>
    <w:rsid w:val="00FB5CA7"/>
    <w:rsid w:val="00FB60A3"/>
    <w:rsid w:val="00FB634B"/>
    <w:rsid w:val="00FB6B54"/>
    <w:rsid w:val="00FB6C89"/>
    <w:rsid w:val="00FB6EAA"/>
    <w:rsid w:val="00FB76D8"/>
    <w:rsid w:val="00FB7E45"/>
    <w:rsid w:val="00FB7F59"/>
    <w:rsid w:val="00FB7FDF"/>
    <w:rsid w:val="00FC0191"/>
    <w:rsid w:val="00FC06FB"/>
    <w:rsid w:val="00FC0837"/>
    <w:rsid w:val="00FC09EF"/>
    <w:rsid w:val="00FC0DA7"/>
    <w:rsid w:val="00FC0F4F"/>
    <w:rsid w:val="00FC10D2"/>
    <w:rsid w:val="00FC11A6"/>
    <w:rsid w:val="00FC2684"/>
    <w:rsid w:val="00FC2AA7"/>
    <w:rsid w:val="00FC3107"/>
    <w:rsid w:val="00FC3DE0"/>
    <w:rsid w:val="00FC3F15"/>
    <w:rsid w:val="00FC46D6"/>
    <w:rsid w:val="00FC4713"/>
    <w:rsid w:val="00FC4A18"/>
    <w:rsid w:val="00FC4A2B"/>
    <w:rsid w:val="00FC4E81"/>
    <w:rsid w:val="00FC4F78"/>
    <w:rsid w:val="00FC546B"/>
    <w:rsid w:val="00FC59F9"/>
    <w:rsid w:val="00FC5B51"/>
    <w:rsid w:val="00FC5E4F"/>
    <w:rsid w:val="00FC61BD"/>
    <w:rsid w:val="00FC6364"/>
    <w:rsid w:val="00FC678E"/>
    <w:rsid w:val="00FC6BC6"/>
    <w:rsid w:val="00FC6EE1"/>
    <w:rsid w:val="00FC7383"/>
    <w:rsid w:val="00FC78C7"/>
    <w:rsid w:val="00FC7AE7"/>
    <w:rsid w:val="00FD0119"/>
    <w:rsid w:val="00FD01B6"/>
    <w:rsid w:val="00FD01CA"/>
    <w:rsid w:val="00FD071F"/>
    <w:rsid w:val="00FD0B87"/>
    <w:rsid w:val="00FD1635"/>
    <w:rsid w:val="00FD1705"/>
    <w:rsid w:val="00FD17B8"/>
    <w:rsid w:val="00FD1B2A"/>
    <w:rsid w:val="00FD1B7C"/>
    <w:rsid w:val="00FD1BFC"/>
    <w:rsid w:val="00FD1EC0"/>
    <w:rsid w:val="00FD26B6"/>
    <w:rsid w:val="00FD27CC"/>
    <w:rsid w:val="00FD2DC7"/>
    <w:rsid w:val="00FD3055"/>
    <w:rsid w:val="00FD3294"/>
    <w:rsid w:val="00FD3398"/>
    <w:rsid w:val="00FD3495"/>
    <w:rsid w:val="00FD3950"/>
    <w:rsid w:val="00FD3BA9"/>
    <w:rsid w:val="00FD4588"/>
    <w:rsid w:val="00FD4AA6"/>
    <w:rsid w:val="00FD4B1B"/>
    <w:rsid w:val="00FD4F11"/>
    <w:rsid w:val="00FD5107"/>
    <w:rsid w:val="00FD5167"/>
    <w:rsid w:val="00FD581E"/>
    <w:rsid w:val="00FD5962"/>
    <w:rsid w:val="00FD5B55"/>
    <w:rsid w:val="00FD5CEC"/>
    <w:rsid w:val="00FD6237"/>
    <w:rsid w:val="00FD6321"/>
    <w:rsid w:val="00FD67C6"/>
    <w:rsid w:val="00FD69BD"/>
    <w:rsid w:val="00FD7034"/>
    <w:rsid w:val="00FD7059"/>
    <w:rsid w:val="00FD7063"/>
    <w:rsid w:val="00FD774D"/>
    <w:rsid w:val="00FD7EE5"/>
    <w:rsid w:val="00FD7F3E"/>
    <w:rsid w:val="00FE05DB"/>
    <w:rsid w:val="00FE08D7"/>
    <w:rsid w:val="00FE0ACA"/>
    <w:rsid w:val="00FE0C2B"/>
    <w:rsid w:val="00FE1143"/>
    <w:rsid w:val="00FE19CE"/>
    <w:rsid w:val="00FE1D9C"/>
    <w:rsid w:val="00FE226A"/>
    <w:rsid w:val="00FE298F"/>
    <w:rsid w:val="00FE2D31"/>
    <w:rsid w:val="00FE2D33"/>
    <w:rsid w:val="00FE3A77"/>
    <w:rsid w:val="00FE4005"/>
    <w:rsid w:val="00FE4125"/>
    <w:rsid w:val="00FE4AFF"/>
    <w:rsid w:val="00FE4E79"/>
    <w:rsid w:val="00FE50E8"/>
    <w:rsid w:val="00FE5169"/>
    <w:rsid w:val="00FE5336"/>
    <w:rsid w:val="00FE59A2"/>
    <w:rsid w:val="00FE5BD5"/>
    <w:rsid w:val="00FE5D59"/>
    <w:rsid w:val="00FE6315"/>
    <w:rsid w:val="00FE644A"/>
    <w:rsid w:val="00FE7315"/>
    <w:rsid w:val="00FE7EBD"/>
    <w:rsid w:val="00FF08EF"/>
    <w:rsid w:val="00FF0A74"/>
    <w:rsid w:val="00FF0CA3"/>
    <w:rsid w:val="00FF17EC"/>
    <w:rsid w:val="00FF2563"/>
    <w:rsid w:val="00FF2619"/>
    <w:rsid w:val="00FF2789"/>
    <w:rsid w:val="00FF3283"/>
    <w:rsid w:val="00FF39F7"/>
    <w:rsid w:val="00FF3E97"/>
    <w:rsid w:val="00FF3F69"/>
    <w:rsid w:val="00FF4286"/>
    <w:rsid w:val="00FF47C1"/>
    <w:rsid w:val="00FF5255"/>
    <w:rsid w:val="00FF593D"/>
    <w:rsid w:val="00FF5E97"/>
    <w:rsid w:val="00FF5EF3"/>
    <w:rsid w:val="00FF6273"/>
    <w:rsid w:val="00FF6848"/>
    <w:rsid w:val="00FF6AE3"/>
    <w:rsid w:val="00FF6C6D"/>
    <w:rsid w:val="00FF6EF7"/>
    <w:rsid w:val="00FF75DA"/>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D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6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078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C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C42"/>
    <w:rPr>
      <w:sz w:val="20"/>
      <w:szCs w:val="20"/>
    </w:rPr>
  </w:style>
  <w:style w:type="character" w:styleId="FootnoteReference">
    <w:name w:val="footnote reference"/>
    <w:basedOn w:val="DefaultParagraphFont"/>
    <w:uiPriority w:val="99"/>
    <w:semiHidden/>
    <w:unhideWhenUsed/>
    <w:rsid w:val="00DA5C42"/>
    <w:rPr>
      <w:sz w:val="26"/>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paragraph" w:styleId="ListParagraph">
    <w:name w:val="List Paragraph"/>
    <w:basedOn w:val="Normal"/>
    <w:uiPriority w:val="34"/>
    <w:qFormat/>
    <w:rsid w:val="00C173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173C0"/>
    <w:rPr>
      <w:color w:val="0000FF"/>
      <w:u w:val="single"/>
    </w:rPr>
  </w:style>
  <w:style w:type="character" w:styleId="Emphasis">
    <w:name w:val="Emphasis"/>
    <w:basedOn w:val="DefaultParagraphFont"/>
    <w:uiPriority w:val="20"/>
    <w:qFormat/>
    <w:rsid w:val="00C173C0"/>
    <w:rPr>
      <w:i/>
      <w:iCs/>
    </w:rPr>
  </w:style>
  <w:style w:type="paragraph" w:styleId="BalloonText">
    <w:name w:val="Balloon Text"/>
    <w:basedOn w:val="Normal"/>
    <w:link w:val="BalloonTextChar"/>
    <w:uiPriority w:val="99"/>
    <w:semiHidden/>
    <w:unhideWhenUsed/>
    <w:rsid w:val="0031352A"/>
    <w:rPr>
      <w:rFonts w:eastAsiaTheme="minorHAnsi"/>
      <w:sz w:val="18"/>
      <w:szCs w:val="18"/>
    </w:rPr>
  </w:style>
  <w:style w:type="character" w:customStyle="1" w:styleId="BalloonTextChar">
    <w:name w:val="Balloon Text Char"/>
    <w:basedOn w:val="DefaultParagraphFont"/>
    <w:link w:val="BalloonText"/>
    <w:uiPriority w:val="99"/>
    <w:semiHidden/>
    <w:rsid w:val="0031352A"/>
    <w:rPr>
      <w:rFonts w:ascii="Times New Roman" w:hAnsi="Times New Roman" w:cs="Times New Roman"/>
      <w:sz w:val="18"/>
      <w:szCs w:val="18"/>
    </w:rPr>
  </w:style>
  <w:style w:type="character" w:customStyle="1" w:styleId="Heading6Char">
    <w:name w:val="Heading 6 Char"/>
    <w:basedOn w:val="DefaultParagraphFont"/>
    <w:link w:val="Heading6"/>
    <w:uiPriority w:val="9"/>
    <w:rsid w:val="00C078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07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6790</Words>
  <Characters>36109</Characters>
  <Application>Microsoft Office Word</Application>
  <DocSecurity>0</DocSecurity>
  <Lines>776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2024-05-30T18:33:00Z</dcterms:created>
  <dcterms:modified xsi:type="dcterms:W3CDTF">2024-05-30T18:33:00Z</dcterms:modified>
  <cp:category/>
</cp:coreProperties>
</file>