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A3FF1" w:rsidRPr="00BC6F23" w:rsidP="00CA3FF1" w14:paraId="1F873BC5" w14:textId="73C94AE1">
      <w:pPr>
        <w:rPr>
          <w:bCs/>
          <w:sz w:val="20"/>
        </w:rPr>
      </w:pPr>
      <w:r w:rsidRPr="00BC6F23">
        <w:rPr>
          <w:bCs/>
          <w:sz w:val="20"/>
        </w:rPr>
        <w:t>Filed 5/17/24</w:t>
      </w:r>
    </w:p>
    <w:p w:rsidR="00460335" w:rsidRPr="000D386D" w:rsidP="00460335" w14:paraId="18A6F080" w14:textId="77777777">
      <w:pPr>
        <w:jc w:val="center"/>
        <w:rPr>
          <w:bCs/>
          <w:szCs w:val="26"/>
        </w:rPr>
      </w:pPr>
      <w:r>
        <w:rPr>
          <w:b/>
          <w:szCs w:val="26"/>
        </w:rPr>
        <w:t xml:space="preserve">CERTIFIED FOR </w:t>
      </w:r>
      <w:r w:rsidRPr="00460335">
        <w:rPr>
          <w:b/>
          <w:szCs w:val="26"/>
        </w:rPr>
        <w:t>PUBLICATION</w:t>
      </w:r>
    </w:p>
    <w:p w:rsidR="00460335" w:rsidRPr="000D386D" w:rsidP="00460335" w14:paraId="7F13B2C1" w14:textId="77777777">
      <w:pPr>
        <w:jc w:val="center"/>
        <w:rPr>
          <w:bCs/>
          <w:szCs w:val="26"/>
        </w:rPr>
      </w:pPr>
    </w:p>
    <w:p w:rsidR="00032B4F" w:rsidRPr="00712178" w:rsidP="00032B4F" w14:paraId="29B0AB87" w14:textId="77777777">
      <w:pPr>
        <w:jc w:val="center"/>
      </w:pPr>
      <w:r w:rsidRPr="00712178">
        <w:t>IN THE COURT OF APPEAL OF THE STATE OF CALIFORNIA</w:t>
      </w:r>
    </w:p>
    <w:p w:rsidR="00032B4F" w:rsidRPr="00712178" w:rsidP="00032B4F" w14:paraId="79B12DE2" w14:textId="77777777">
      <w:pPr>
        <w:jc w:val="center"/>
      </w:pPr>
    </w:p>
    <w:p w:rsidR="00032B4F" w:rsidRPr="00712178" w:rsidP="00032B4F" w14:paraId="1D3A411F" w14:textId="77777777">
      <w:pPr>
        <w:jc w:val="center"/>
      </w:pPr>
      <w:r w:rsidRPr="00712178">
        <w:t>SECOND APPELLATE DISTRICT</w:t>
      </w:r>
    </w:p>
    <w:p w:rsidR="00032B4F" w:rsidRPr="00712178" w:rsidP="00032B4F" w14:paraId="5EE10C37" w14:textId="77777777">
      <w:pPr>
        <w:jc w:val="center"/>
      </w:pPr>
    </w:p>
    <w:p w:rsidR="00032B4F" w:rsidRPr="000D386D" w:rsidP="00032B4F" w14:paraId="7A9E7E88" w14:textId="77777777">
      <w:pPr>
        <w:jc w:val="center"/>
        <w:rPr>
          <w:rStyle w:val="FootnoteReference"/>
          <w:vertAlign w:val="baseline"/>
        </w:rPr>
      </w:pPr>
      <w:r w:rsidRPr="00712178">
        <w:t>DIVISION THREE</w:t>
      </w:r>
    </w:p>
    <w:p w:rsidR="00032B4F" w:rsidRPr="00712178" w:rsidP="00032B4F" w14:paraId="2D691E78" w14:textId="77777777">
      <w:pPr>
        <w:jc w:val="center"/>
      </w:pPr>
    </w:p>
    <w:tbl>
      <w:tblPr>
        <w:tblW w:w="10080" w:type="dxa"/>
        <w:tblInd w:w="0" w:type="dxa"/>
        <w:tblLayout w:type="fixed"/>
        <w:tblCellMar>
          <w:top w:w="0" w:type="dxa"/>
          <w:left w:w="108" w:type="dxa"/>
          <w:bottom w:w="0" w:type="dxa"/>
          <w:right w:w="108" w:type="dxa"/>
        </w:tblCellMar>
        <w:tblLook w:val="0000"/>
      </w:tblPr>
      <w:tblGrid>
        <w:gridCol w:w="4680"/>
        <w:gridCol w:w="5400"/>
      </w:tblGrid>
      <w:tr w14:paraId="273173DA" w14:textId="77777777" w:rsidTr="00BC18BF">
        <w:tblPrEx>
          <w:tblW w:w="10080" w:type="dxa"/>
          <w:tblInd w:w="0" w:type="dxa"/>
          <w:tblLayout w:type="fixed"/>
          <w:tblCellMar>
            <w:top w:w="0" w:type="dxa"/>
            <w:left w:w="108" w:type="dxa"/>
            <w:bottom w:w="0" w:type="dxa"/>
            <w:right w:w="108" w:type="dxa"/>
          </w:tblCellMar>
          <w:tblLook w:val="0000"/>
        </w:tblPrEx>
        <w:tc>
          <w:tcPr>
            <w:tcW w:w="4680" w:type="dxa"/>
            <w:tcBorders>
              <w:bottom w:val="single" w:sz="6" w:space="0" w:color="auto"/>
              <w:right w:val="single" w:sz="6" w:space="0" w:color="auto"/>
            </w:tcBorders>
          </w:tcPr>
          <w:p w:rsidR="00032B4F" w:rsidRPr="00712178" w:rsidP="00120288" w14:paraId="34C2AD33" w14:textId="5ED837D0">
            <w:pPr>
              <w:spacing w:after="0" w:line="288" w:lineRule="auto"/>
              <w:rPr>
                <w:rStyle w:val="DefaultParagraphFont"/>
                <w:rFonts w:ascii="Century Schoolbook" w:hAnsi="Century Schoolbook" w:eastAsiaTheme="minorHAnsi"/>
                <w:sz w:val="26"/>
                <w:lang w:val="en-US" w:eastAsia="en-US" w:bidi="ar-SA"/>
              </w:rPr>
            </w:pPr>
            <w:r>
              <w:rPr>
                <w:rFonts w:ascii="Century Schoolbook" w:hAnsi="Century Schoolbook" w:eastAsiaTheme="minorHAnsi"/>
                <w:sz w:val="26"/>
                <w:lang w:val="en-US" w:eastAsia="en-US" w:bidi="ar-SA"/>
              </w:rPr>
              <w:t>ABDU LKADER AL SHIKHA</w:t>
            </w:r>
            <w:r w:rsidRPr="00712178">
              <w:rPr>
                <w:rFonts w:ascii="Century Schoolbook" w:hAnsi="Century Schoolbook" w:eastAsiaTheme="minorHAnsi"/>
                <w:sz w:val="26"/>
                <w:lang w:val="en-US" w:eastAsia="en-US" w:bidi="ar-SA"/>
              </w:rPr>
              <w:t>,</w:t>
            </w:r>
          </w:p>
          <w:p w:rsidR="00032B4F" w:rsidRPr="00712178" w:rsidP="00120288" w14:paraId="2B7B3B92" w14:textId="77777777">
            <w:pPr>
              <w:spacing w:after="0" w:line="288" w:lineRule="auto"/>
              <w:rPr>
                <w:rStyle w:val="DefaultParagraphFont"/>
                <w:rFonts w:ascii="Century Schoolbook" w:hAnsi="Century Schoolbook" w:eastAsiaTheme="minorHAnsi"/>
                <w:sz w:val="26"/>
                <w:lang w:val="en-US" w:eastAsia="en-US" w:bidi="ar-SA"/>
              </w:rPr>
            </w:pPr>
          </w:p>
          <w:p w:rsidR="00032B4F" w:rsidRPr="00712178" w:rsidP="00120288" w14:paraId="31A912CD" w14:textId="433E9596">
            <w:pPr>
              <w:spacing w:after="0" w:line="288" w:lineRule="auto"/>
              <w:rPr>
                <w:rStyle w:val="DefaultParagraphFont"/>
                <w:rFonts w:ascii="Century Schoolbook" w:hAnsi="Century Schoolbook" w:eastAsiaTheme="minorHAnsi"/>
                <w:sz w:val="26"/>
                <w:lang w:val="en-US" w:eastAsia="en-US" w:bidi="ar-SA"/>
              </w:rPr>
            </w:pPr>
            <w:r w:rsidRPr="00712178">
              <w:rPr>
                <w:rFonts w:ascii="Century Schoolbook" w:hAnsi="Century Schoolbook" w:eastAsiaTheme="minorHAnsi"/>
                <w:sz w:val="26"/>
                <w:lang w:val="en-US" w:eastAsia="en-US" w:bidi="ar-SA"/>
              </w:rPr>
              <w:tab/>
              <w:t>P</w:t>
            </w:r>
            <w:r w:rsidR="00C83707">
              <w:rPr>
                <w:rFonts w:ascii="Century Schoolbook" w:hAnsi="Century Schoolbook" w:eastAsiaTheme="minorHAnsi"/>
                <w:sz w:val="26"/>
                <w:lang w:val="en-US" w:eastAsia="en-US" w:bidi="ar-SA"/>
              </w:rPr>
              <w:t xml:space="preserve">laintiff and </w:t>
            </w:r>
            <w:r w:rsidR="0024042E">
              <w:rPr>
                <w:rFonts w:ascii="Century Schoolbook" w:hAnsi="Century Schoolbook" w:eastAsiaTheme="minorHAnsi"/>
                <w:sz w:val="26"/>
                <w:lang w:val="en-US" w:eastAsia="en-US" w:bidi="ar-SA"/>
              </w:rPr>
              <w:t>Appellant</w:t>
            </w:r>
            <w:r w:rsidRPr="00712178">
              <w:rPr>
                <w:rFonts w:ascii="Century Schoolbook" w:hAnsi="Century Schoolbook" w:eastAsiaTheme="minorHAnsi"/>
                <w:sz w:val="26"/>
                <w:lang w:val="en-US" w:eastAsia="en-US" w:bidi="ar-SA"/>
              </w:rPr>
              <w:t>,</w:t>
            </w:r>
          </w:p>
          <w:p w:rsidR="00032B4F" w:rsidRPr="00712178" w:rsidP="00120288" w14:paraId="3E43163E" w14:textId="77777777">
            <w:pPr>
              <w:spacing w:after="0" w:line="288" w:lineRule="auto"/>
              <w:rPr>
                <w:rStyle w:val="DefaultParagraphFont"/>
                <w:rFonts w:ascii="Century Schoolbook" w:hAnsi="Century Schoolbook" w:eastAsiaTheme="minorHAnsi"/>
                <w:sz w:val="26"/>
                <w:lang w:val="en-US" w:eastAsia="en-US" w:bidi="ar-SA"/>
              </w:rPr>
            </w:pPr>
          </w:p>
          <w:p w:rsidR="00032B4F" w:rsidRPr="00712178" w:rsidP="00120288" w14:paraId="2EB92536" w14:textId="77777777">
            <w:pPr>
              <w:spacing w:after="0" w:line="288" w:lineRule="auto"/>
              <w:rPr>
                <w:rStyle w:val="DefaultParagraphFont"/>
                <w:rFonts w:ascii="Century Schoolbook" w:hAnsi="Century Schoolbook" w:eastAsiaTheme="minorHAnsi"/>
                <w:sz w:val="26"/>
                <w:lang w:val="en-US" w:eastAsia="en-US" w:bidi="ar-SA"/>
              </w:rPr>
            </w:pPr>
            <w:r w:rsidRPr="00712178">
              <w:rPr>
                <w:rFonts w:ascii="Century Schoolbook" w:hAnsi="Century Schoolbook" w:eastAsiaTheme="minorHAnsi"/>
                <w:sz w:val="26"/>
                <w:lang w:val="en-US" w:eastAsia="en-US" w:bidi="ar-SA"/>
              </w:rPr>
              <w:tab/>
              <w:t>v.</w:t>
            </w:r>
          </w:p>
          <w:p w:rsidR="00032B4F" w:rsidRPr="00712178" w:rsidP="00120288" w14:paraId="0FD5568C" w14:textId="77777777">
            <w:pPr>
              <w:spacing w:after="0" w:line="288" w:lineRule="auto"/>
              <w:rPr>
                <w:rStyle w:val="DefaultParagraphFont"/>
                <w:rFonts w:ascii="Century Schoolbook" w:hAnsi="Century Schoolbook" w:eastAsiaTheme="minorHAnsi"/>
                <w:sz w:val="26"/>
                <w:lang w:val="en-US" w:eastAsia="en-US" w:bidi="ar-SA"/>
              </w:rPr>
            </w:pPr>
          </w:p>
          <w:p w:rsidR="00032B4F" w:rsidRPr="00712178" w:rsidP="00120288" w14:paraId="0665E8BE" w14:textId="06948B0C">
            <w:pPr>
              <w:spacing w:after="0" w:line="288" w:lineRule="auto"/>
              <w:rPr>
                <w:rStyle w:val="DefaultParagraphFont"/>
                <w:rFonts w:ascii="Century Schoolbook" w:hAnsi="Century Schoolbook" w:eastAsiaTheme="minorHAnsi"/>
                <w:sz w:val="26"/>
                <w:lang w:val="en-US" w:eastAsia="en-US" w:bidi="ar-SA"/>
              </w:rPr>
            </w:pPr>
            <w:r>
              <w:rPr>
                <w:rFonts w:ascii="Century Schoolbook" w:hAnsi="Century Schoolbook" w:eastAsiaTheme="minorHAnsi"/>
                <w:sz w:val="26"/>
                <w:lang w:val="en-US" w:eastAsia="en-US" w:bidi="ar-SA"/>
              </w:rPr>
              <w:t>LYFT</w:t>
            </w:r>
            <w:r w:rsidR="00BC18BF">
              <w:rPr>
                <w:rFonts w:ascii="Century Schoolbook" w:hAnsi="Century Schoolbook" w:eastAsiaTheme="minorHAnsi"/>
                <w:sz w:val="26"/>
                <w:lang w:val="en-US" w:eastAsia="en-US" w:bidi="ar-SA"/>
              </w:rPr>
              <w:t>, INC</w:t>
            </w:r>
            <w:r w:rsidR="001365EB">
              <w:rPr>
                <w:rFonts w:ascii="Century Schoolbook" w:hAnsi="Century Schoolbook" w:eastAsiaTheme="minorHAnsi"/>
                <w:sz w:val="26"/>
                <w:lang w:val="en-US" w:eastAsia="en-US" w:bidi="ar-SA"/>
              </w:rPr>
              <w:t>.</w:t>
            </w:r>
            <w:r w:rsidR="00646F26">
              <w:rPr>
                <w:rFonts w:ascii="Century Schoolbook" w:hAnsi="Century Schoolbook" w:eastAsiaTheme="minorHAnsi"/>
                <w:sz w:val="26"/>
                <w:lang w:val="en-US" w:eastAsia="en-US" w:bidi="ar-SA"/>
              </w:rPr>
              <w:t>,</w:t>
            </w:r>
          </w:p>
          <w:p w:rsidR="00032B4F" w:rsidRPr="00712178" w:rsidP="00120288" w14:paraId="0E9E7720" w14:textId="77777777">
            <w:pPr>
              <w:spacing w:after="0" w:line="288" w:lineRule="auto"/>
              <w:rPr>
                <w:rStyle w:val="DefaultParagraphFont"/>
                <w:rFonts w:ascii="Century Schoolbook" w:hAnsi="Century Schoolbook" w:eastAsiaTheme="minorHAnsi"/>
                <w:sz w:val="26"/>
                <w:lang w:val="en-US" w:eastAsia="en-US" w:bidi="ar-SA"/>
              </w:rPr>
            </w:pPr>
          </w:p>
          <w:p w:rsidR="00032B4F" w:rsidP="00120288" w14:paraId="704CBFA5" w14:textId="235F88D3">
            <w:pPr>
              <w:spacing w:after="0" w:line="288" w:lineRule="auto"/>
              <w:rPr>
                <w:rStyle w:val="DefaultParagraphFont"/>
                <w:rFonts w:ascii="Century Schoolbook" w:hAnsi="Century Schoolbook" w:eastAsiaTheme="minorHAnsi"/>
                <w:sz w:val="26"/>
                <w:lang w:val="en-US" w:eastAsia="en-US" w:bidi="ar-SA"/>
              </w:rPr>
            </w:pPr>
            <w:r w:rsidRPr="00712178">
              <w:rPr>
                <w:rFonts w:ascii="Century Schoolbook" w:hAnsi="Century Schoolbook" w:eastAsiaTheme="minorHAnsi"/>
                <w:sz w:val="26"/>
                <w:lang w:val="en-US" w:eastAsia="en-US" w:bidi="ar-SA"/>
              </w:rPr>
              <w:tab/>
            </w:r>
            <w:r w:rsidR="00C83707">
              <w:rPr>
                <w:rFonts w:ascii="Century Schoolbook" w:hAnsi="Century Schoolbook" w:eastAsiaTheme="minorHAnsi"/>
                <w:sz w:val="26"/>
                <w:lang w:val="en-US" w:eastAsia="en-US" w:bidi="ar-SA"/>
              </w:rPr>
              <w:t xml:space="preserve">Defendant and </w:t>
            </w:r>
            <w:r w:rsidR="005D6079">
              <w:rPr>
                <w:rFonts w:ascii="Century Schoolbook" w:hAnsi="Century Schoolbook" w:eastAsiaTheme="minorHAnsi"/>
                <w:sz w:val="26"/>
                <w:lang w:val="en-US" w:eastAsia="en-US" w:bidi="ar-SA"/>
              </w:rPr>
              <w:t>Respondent</w:t>
            </w:r>
            <w:r w:rsidR="00C83707">
              <w:rPr>
                <w:rFonts w:ascii="Century Schoolbook" w:hAnsi="Century Schoolbook" w:eastAsiaTheme="minorHAnsi"/>
                <w:sz w:val="26"/>
                <w:lang w:val="en-US" w:eastAsia="en-US" w:bidi="ar-SA"/>
              </w:rPr>
              <w:t>.</w:t>
            </w:r>
          </w:p>
          <w:p w:rsidR="00032B4F" w:rsidRPr="00712178" w:rsidP="00120288" w14:paraId="4B60FF8C" w14:textId="77777777">
            <w:pPr>
              <w:spacing w:after="0" w:line="288" w:lineRule="auto"/>
              <w:rPr>
                <w:rStyle w:val="DefaultParagraphFont"/>
                <w:rFonts w:ascii="Century Schoolbook" w:hAnsi="Century Schoolbook" w:eastAsiaTheme="minorHAnsi"/>
                <w:sz w:val="26"/>
                <w:lang w:val="en-US" w:eastAsia="en-US" w:bidi="ar-SA"/>
              </w:rPr>
            </w:pPr>
          </w:p>
        </w:tc>
        <w:tc>
          <w:tcPr>
            <w:tcW w:w="5400" w:type="dxa"/>
            <w:tcBorders>
              <w:left w:val="nil"/>
            </w:tcBorders>
          </w:tcPr>
          <w:p w:rsidR="00032B4F" w:rsidRPr="00712178" w:rsidP="00120288" w14:paraId="63387932" w14:textId="7CBB6297">
            <w:pPr>
              <w:spacing w:after="0" w:line="288" w:lineRule="auto"/>
              <w:ind w:left="450"/>
              <w:rPr>
                <w:rStyle w:val="DefaultParagraphFont"/>
                <w:rFonts w:ascii="Century Schoolbook" w:hAnsi="Century Schoolbook" w:eastAsiaTheme="minorHAnsi"/>
                <w:sz w:val="26"/>
                <w:lang w:val="en-US" w:eastAsia="en-US" w:bidi="ar-SA"/>
              </w:rPr>
            </w:pPr>
            <w:bookmarkStart w:id="0" w:name="_Hlk166849511"/>
            <w:r>
              <w:rPr>
                <w:rFonts w:ascii="Century Schoolbook" w:hAnsi="Century Schoolbook" w:eastAsiaTheme="minorHAnsi"/>
                <w:sz w:val="26"/>
                <w:lang w:val="en-US" w:eastAsia="en-US" w:bidi="ar-SA"/>
              </w:rPr>
              <w:t>B</w:t>
            </w:r>
            <w:r w:rsidR="005557FB">
              <w:rPr>
                <w:rFonts w:ascii="Century Schoolbook" w:hAnsi="Century Schoolbook" w:eastAsiaTheme="minorHAnsi"/>
                <w:sz w:val="26"/>
                <w:lang w:val="en-US" w:eastAsia="en-US" w:bidi="ar-SA"/>
              </w:rPr>
              <w:t>3</w:t>
            </w:r>
            <w:r w:rsidR="00BC18BF">
              <w:rPr>
                <w:rFonts w:ascii="Century Schoolbook" w:hAnsi="Century Schoolbook" w:eastAsiaTheme="minorHAnsi"/>
                <w:sz w:val="26"/>
                <w:lang w:val="en-US" w:eastAsia="en-US" w:bidi="ar-SA"/>
              </w:rPr>
              <w:t>2</w:t>
            </w:r>
            <w:r w:rsidR="009763CA">
              <w:rPr>
                <w:rFonts w:ascii="Century Schoolbook" w:hAnsi="Century Schoolbook" w:eastAsiaTheme="minorHAnsi"/>
                <w:sz w:val="26"/>
                <w:lang w:val="en-US" w:eastAsia="en-US" w:bidi="ar-SA"/>
              </w:rPr>
              <w:t>1882</w:t>
            </w:r>
          </w:p>
          <w:bookmarkEnd w:id="0"/>
          <w:p w:rsidR="00032B4F" w:rsidRPr="00712178" w:rsidP="00120288" w14:paraId="088E5D1E" w14:textId="77777777">
            <w:pPr>
              <w:spacing w:after="0" w:line="288" w:lineRule="auto"/>
              <w:rPr>
                <w:rStyle w:val="DefaultParagraphFont"/>
                <w:rFonts w:ascii="Century Schoolbook" w:hAnsi="Century Schoolbook" w:eastAsiaTheme="minorHAnsi"/>
                <w:sz w:val="26"/>
                <w:lang w:val="en-US" w:eastAsia="en-US" w:bidi="ar-SA"/>
              </w:rPr>
            </w:pPr>
          </w:p>
          <w:p w:rsidR="00032B4F" w:rsidRPr="00712178" w:rsidP="00120288" w14:paraId="5896F53B" w14:textId="77777777">
            <w:pPr>
              <w:spacing w:after="0" w:line="288" w:lineRule="auto"/>
              <w:ind w:firstLine="450"/>
              <w:rPr>
                <w:rStyle w:val="DefaultParagraphFont"/>
                <w:rFonts w:ascii="Century Schoolbook" w:hAnsi="Century Schoolbook" w:eastAsiaTheme="minorHAnsi"/>
                <w:sz w:val="26"/>
                <w:lang w:val="en-US" w:eastAsia="en-US" w:bidi="ar-SA"/>
              </w:rPr>
            </w:pPr>
            <w:r w:rsidRPr="00712178">
              <w:rPr>
                <w:rFonts w:ascii="Century Schoolbook" w:hAnsi="Century Schoolbook" w:eastAsiaTheme="minorHAnsi"/>
                <w:sz w:val="26"/>
                <w:lang w:val="en-US" w:eastAsia="en-US" w:bidi="ar-SA"/>
              </w:rPr>
              <w:t>(Los Angeles County</w:t>
            </w:r>
          </w:p>
          <w:p w:rsidR="00032B4F" w:rsidRPr="00712178" w:rsidP="00120288" w14:paraId="324AAE27" w14:textId="67355A26">
            <w:pPr>
              <w:spacing w:after="0" w:line="288" w:lineRule="auto"/>
              <w:ind w:firstLine="450"/>
              <w:rPr>
                <w:rStyle w:val="DefaultParagraphFont"/>
                <w:rFonts w:ascii="Century Schoolbook" w:hAnsi="Century Schoolbook" w:eastAsiaTheme="minorHAnsi"/>
                <w:sz w:val="26"/>
                <w:lang w:val="en-US" w:eastAsia="en-US" w:bidi="ar-SA"/>
              </w:rPr>
            </w:pPr>
            <w:r w:rsidRPr="00712178">
              <w:rPr>
                <w:rFonts w:ascii="Century Schoolbook" w:hAnsi="Century Schoolbook" w:eastAsiaTheme="minorHAnsi"/>
                <w:sz w:val="26"/>
                <w:lang w:val="en-US" w:eastAsia="en-US" w:bidi="ar-SA"/>
              </w:rPr>
              <w:t>Super. Ct. No.</w:t>
            </w:r>
            <w:r w:rsidR="001B033F">
              <w:rPr>
                <w:rFonts w:ascii="Century Schoolbook" w:hAnsi="Century Schoolbook" w:eastAsiaTheme="minorHAnsi"/>
                <w:sz w:val="26"/>
                <w:lang w:val="en-US" w:eastAsia="en-US" w:bidi="ar-SA"/>
              </w:rPr>
              <w:t xml:space="preserve"> </w:t>
            </w:r>
            <w:r w:rsidR="00E74CE7">
              <w:rPr>
                <w:rStyle w:val="right"/>
                <w:rFonts w:ascii="Century Schoolbook" w:hAnsi="Century Schoolbook" w:eastAsiaTheme="minorHAnsi"/>
                <w:sz w:val="26"/>
                <w:lang w:val="en-US" w:eastAsia="en-US" w:bidi="ar-SA"/>
              </w:rPr>
              <w:t>20STCV14928</w:t>
            </w:r>
            <w:r w:rsidRPr="00712178">
              <w:rPr>
                <w:rFonts w:ascii="Century Schoolbook" w:hAnsi="Century Schoolbook" w:eastAsiaTheme="minorHAnsi"/>
                <w:sz w:val="26"/>
                <w:lang w:val="en-US" w:eastAsia="en-US" w:bidi="ar-SA"/>
              </w:rPr>
              <w:t>)</w:t>
            </w:r>
          </w:p>
          <w:p w:rsidR="00032B4F" w:rsidRPr="00712178" w:rsidP="00120288" w14:paraId="7607E036" w14:textId="77777777">
            <w:pPr>
              <w:spacing w:after="0" w:line="288" w:lineRule="auto"/>
              <w:rPr>
                <w:rStyle w:val="DefaultParagraphFont"/>
                <w:rFonts w:ascii="Century Schoolbook" w:hAnsi="Century Schoolbook" w:eastAsiaTheme="minorHAnsi"/>
                <w:sz w:val="26"/>
                <w:lang w:val="en-US" w:eastAsia="en-US" w:bidi="ar-SA"/>
              </w:rPr>
            </w:pPr>
          </w:p>
        </w:tc>
      </w:tr>
    </w:tbl>
    <w:p w:rsidR="00032B4F" w:rsidRPr="00712178" w:rsidP="00032B4F" w14:paraId="2F362BF7" w14:textId="77777777">
      <w:pPr>
        <w:spacing w:line="360" w:lineRule="auto"/>
      </w:pPr>
    </w:p>
    <w:p w:rsidR="00032B4F" w:rsidP="00032B4F" w14:paraId="4C417E4B" w14:textId="7CCFE8FB">
      <w:r w:rsidRPr="00712178">
        <w:tab/>
        <w:t>APPEAL fro</w:t>
      </w:r>
      <w:r w:rsidRPr="00483CD5">
        <w:t>m a</w:t>
      </w:r>
      <w:r w:rsidRPr="00483CD5" w:rsidR="00245D00">
        <w:t xml:space="preserve"> judgment</w:t>
      </w:r>
      <w:r w:rsidRPr="00483CD5">
        <w:t xml:space="preserve"> of</w:t>
      </w:r>
      <w:r w:rsidRPr="00712178">
        <w:t xml:space="preserve"> the Superior Court of Los</w:t>
      </w:r>
      <w:r w:rsidR="00855A93">
        <w:t> </w:t>
      </w:r>
      <w:r w:rsidRPr="00712178">
        <w:t xml:space="preserve">Angeles County, </w:t>
      </w:r>
      <w:r w:rsidR="00277C86">
        <w:t>Peter A. Hernandez</w:t>
      </w:r>
      <w:r w:rsidRPr="00B4688A">
        <w:t>, Judge.  Affirmed.</w:t>
      </w:r>
    </w:p>
    <w:p w:rsidR="00485DEE" w:rsidRPr="00712178" w:rsidP="00485DEE" w14:paraId="0796DBBD" w14:textId="6198505D">
      <w:pPr>
        <w:ind w:firstLine="720"/>
      </w:pPr>
      <w:r>
        <w:t>McLachlan Law</w:t>
      </w:r>
      <w:r w:rsidR="00BC6F23">
        <w:t xml:space="preserve"> and</w:t>
      </w:r>
      <w:r w:rsidR="007B1EAB">
        <w:t xml:space="preserve"> </w:t>
      </w:r>
      <w:r>
        <w:t>Michael D. McLachlan</w:t>
      </w:r>
      <w:r w:rsidR="00E07406">
        <w:t xml:space="preserve"> </w:t>
      </w:r>
      <w:r>
        <w:t xml:space="preserve">for </w:t>
      </w:r>
      <w:r w:rsidR="007F1F3B">
        <w:t>Plaintiff and Appellant</w:t>
      </w:r>
      <w:r>
        <w:t>.</w:t>
      </w:r>
    </w:p>
    <w:p w:rsidR="00032B4F" w:rsidP="00032B4F" w14:paraId="4CF7EF1D" w14:textId="229DCD68">
      <w:r w:rsidRPr="00712178">
        <w:tab/>
      </w:r>
      <w:r w:rsidR="007E69C8">
        <w:t>Horvitz &amp; Levy</w:t>
      </w:r>
      <w:r w:rsidR="007F11EE">
        <w:t>, Jason R. Litt, Rebecca G. Powell;</w:t>
      </w:r>
      <w:r w:rsidR="0032742D">
        <w:t xml:space="preserve"> </w:t>
      </w:r>
      <w:r w:rsidR="00D031DF">
        <w:t>Sheppard Mullin Richter &amp; Hampton, Paul S. Cowie, Rachel J. Moroski and Nina Montazeri</w:t>
      </w:r>
      <w:r w:rsidR="009664F6">
        <w:t xml:space="preserve"> </w:t>
      </w:r>
      <w:r w:rsidRPr="00712178">
        <w:t xml:space="preserve">for </w:t>
      </w:r>
      <w:r w:rsidR="00485DEE">
        <w:t>Defendant</w:t>
      </w:r>
      <w:r w:rsidR="00452390">
        <w:t xml:space="preserve"> </w:t>
      </w:r>
      <w:r w:rsidR="00485DEE">
        <w:t>and Respondent</w:t>
      </w:r>
      <w:r w:rsidRPr="00712178">
        <w:t>.</w:t>
      </w:r>
    </w:p>
    <w:p w:rsidR="00460335" w:rsidP="00032B4F" w14:paraId="72D91E8C" w14:textId="77777777"/>
    <w:p w:rsidR="001D08D3" w:rsidRPr="00E94151" w:rsidP="00120288" w14:paraId="17CEB039" w14:textId="77777777">
      <w:pPr>
        <w:jc w:val="center"/>
        <w:rPr>
          <w:bCs/>
          <w:szCs w:val="26"/>
        </w:rPr>
      </w:pPr>
      <w:r w:rsidRPr="00E94151">
        <w:rPr>
          <w:bCs/>
          <w:szCs w:val="26"/>
        </w:rPr>
        <w:t>‗‗‗‗‗‗‗‗‗‗‗‗‗‗‗‗‗‗‗‗‗‗‗‗‗‗‗‗</w:t>
      </w:r>
    </w:p>
    <w:p w:rsidR="00647DEF" w:rsidP="00460335" w14:paraId="67868D26" w14:textId="2897B376">
      <w:pPr>
        <w:keepNext/>
        <w:keepLines/>
        <w:widowControl w:val="0"/>
      </w:pPr>
      <w:r>
        <w:tab/>
      </w:r>
      <w:r w:rsidR="000E6293">
        <w:t xml:space="preserve">Abdu Lkader Al </w:t>
      </w:r>
      <w:r w:rsidR="00C43D73">
        <w:t xml:space="preserve">Shikha </w:t>
      </w:r>
      <w:r w:rsidR="00853081">
        <w:t xml:space="preserve">was </w:t>
      </w:r>
      <w:r w:rsidR="006209C9">
        <w:t>working as a</w:t>
      </w:r>
      <w:r w:rsidR="00EB5F50">
        <w:t xml:space="preserve"> Lyft </w:t>
      </w:r>
      <w:r w:rsidR="006209C9">
        <w:t xml:space="preserve">driver </w:t>
      </w:r>
      <w:r w:rsidR="00077F05">
        <w:t>when</w:t>
      </w:r>
      <w:r w:rsidR="00FD220C">
        <w:t xml:space="preserve"> </w:t>
      </w:r>
      <w:r w:rsidR="005A0F6E">
        <w:t xml:space="preserve">a passenger </w:t>
      </w:r>
      <w:r w:rsidR="002C51C9">
        <w:t xml:space="preserve">attacked him, </w:t>
      </w:r>
      <w:r w:rsidR="005A0F6E">
        <w:t>stabb</w:t>
      </w:r>
      <w:r w:rsidR="002C51C9">
        <w:t>ing</w:t>
      </w:r>
      <w:r w:rsidR="005A0F6E">
        <w:t xml:space="preserve"> </w:t>
      </w:r>
      <w:r w:rsidR="00FD220C">
        <w:t>his hand and legs</w:t>
      </w:r>
      <w:r w:rsidR="00EB5F50">
        <w:t>.</w:t>
      </w:r>
      <w:r w:rsidR="00342319">
        <w:t xml:space="preserve">  The attack was sudden and unprovoked.  </w:t>
      </w:r>
      <w:r w:rsidR="002767A9">
        <w:t>Un</w:t>
      </w:r>
      <w:r w:rsidR="00897225">
        <w:t>be</w:t>
      </w:r>
      <w:r w:rsidR="006E382E">
        <w:t>known</w:t>
      </w:r>
      <w:r w:rsidR="00DE115A">
        <w:t>st</w:t>
      </w:r>
      <w:r w:rsidR="002767A9">
        <w:t xml:space="preserve"> to Al Shikha, the</w:t>
      </w:r>
      <w:r w:rsidR="009306BC">
        <w:t xml:space="preserve"> passenger had </w:t>
      </w:r>
      <w:r w:rsidR="001C0182">
        <w:t>a criminal record.</w:t>
      </w:r>
      <w:r w:rsidR="00634B85">
        <w:t xml:space="preserve">  </w:t>
      </w:r>
      <w:r w:rsidR="00077F05">
        <w:t xml:space="preserve">Although Lyft </w:t>
      </w:r>
      <w:r w:rsidR="00481843">
        <w:t xml:space="preserve">conducts criminal background checks on </w:t>
      </w:r>
      <w:r w:rsidR="00800FCF">
        <w:t xml:space="preserve">its </w:t>
      </w:r>
      <w:r w:rsidR="005E44C9">
        <w:t>drivers</w:t>
      </w:r>
      <w:r w:rsidR="0058129B">
        <w:t>,</w:t>
      </w:r>
      <w:r w:rsidR="00B96819">
        <w:t xml:space="preserve"> </w:t>
      </w:r>
      <w:r w:rsidR="0058129B">
        <w:t xml:space="preserve">it does not </w:t>
      </w:r>
      <w:r w:rsidR="005E44C9">
        <w:t>similarly screen</w:t>
      </w:r>
      <w:r w:rsidR="0058129B">
        <w:t xml:space="preserve"> passengers.  </w:t>
      </w:r>
      <w:r w:rsidR="004D6A8E">
        <w:t>Al Shikha sued Lyft for negligence</w:t>
      </w:r>
      <w:r w:rsidR="00AF279D">
        <w:t xml:space="preserve"> based on the </w:t>
      </w:r>
      <w:r w:rsidR="003973E2">
        <w:t>rideshare company</w:t>
      </w:r>
      <w:r w:rsidR="00AF279D">
        <w:t xml:space="preserve">’s failure to conduct </w:t>
      </w:r>
      <w:r w:rsidR="00347559">
        <w:t>criminal background check</w:t>
      </w:r>
      <w:r w:rsidR="007C62DD">
        <w:t>s</w:t>
      </w:r>
      <w:r w:rsidR="00E40D49">
        <w:t xml:space="preserve"> on</w:t>
      </w:r>
      <w:r w:rsidR="002C3AA7">
        <w:t xml:space="preserve"> all</w:t>
      </w:r>
      <w:r w:rsidR="00E40D49">
        <w:t xml:space="preserve"> passengers</w:t>
      </w:r>
      <w:r w:rsidR="0082080D">
        <w:t xml:space="preserve">. </w:t>
      </w:r>
      <w:r w:rsidR="00CB146C">
        <w:t xml:space="preserve"> </w:t>
      </w:r>
      <w:r w:rsidR="00A27374">
        <w:t>The trial court granted Lyft’s motion for judgment on the pleadings</w:t>
      </w:r>
      <w:r w:rsidR="00B31093">
        <w:t>.</w:t>
      </w:r>
    </w:p>
    <w:p w:rsidR="00452390" w:rsidRPr="00712178" w:rsidP="00460335" w14:paraId="6FB13BEC" w14:textId="2C847FEF">
      <w:pPr>
        <w:keepNext/>
        <w:keepLines/>
        <w:widowControl w:val="0"/>
        <w:ind w:firstLine="720"/>
      </w:pPr>
      <w:r>
        <w:t xml:space="preserve">We conclude </w:t>
      </w:r>
      <w:r w:rsidR="00491A27">
        <w:t xml:space="preserve">Al Shikha has not established that </w:t>
      </w:r>
      <w:r w:rsidRPr="00491A27" w:rsidR="00AC4C99">
        <w:t>Lyft</w:t>
      </w:r>
      <w:r w:rsidRPr="00491A27" w:rsidR="00650969">
        <w:t xml:space="preserve">’s </w:t>
      </w:r>
      <w:r w:rsidR="00A724CD">
        <w:t>legal</w:t>
      </w:r>
      <w:r w:rsidRPr="00A724CD" w:rsidR="006F04E0">
        <w:t xml:space="preserve"> </w:t>
      </w:r>
      <w:r w:rsidRPr="00A724CD" w:rsidR="00697F8D">
        <w:t>duty</w:t>
      </w:r>
      <w:r w:rsidRPr="00491A27" w:rsidR="00697F8D">
        <w:t xml:space="preserve"> to </w:t>
      </w:r>
      <w:r w:rsidR="000D013E">
        <w:t xml:space="preserve">its </w:t>
      </w:r>
      <w:r w:rsidRPr="00491A27" w:rsidR="00C27F12">
        <w:t>drivers extend</w:t>
      </w:r>
      <w:r w:rsidR="00491A27">
        <w:t xml:space="preserve">s </w:t>
      </w:r>
      <w:r w:rsidRPr="00491A27" w:rsidR="00C27F12">
        <w:t xml:space="preserve">to </w:t>
      </w:r>
      <w:r w:rsidRPr="00491A27" w:rsidR="00697F8D">
        <w:t>conduct</w:t>
      </w:r>
      <w:r w:rsidRPr="00491A27" w:rsidR="00C27F12">
        <w:t>ing</w:t>
      </w:r>
      <w:r w:rsidRPr="00491A27" w:rsidR="00697F8D">
        <w:t xml:space="preserve"> </w:t>
      </w:r>
      <w:r w:rsidRPr="00491A27" w:rsidR="00B31093">
        <w:t xml:space="preserve">criminal </w:t>
      </w:r>
      <w:r w:rsidRPr="00491A27" w:rsidR="00697F8D">
        <w:t xml:space="preserve">background checks on all </w:t>
      </w:r>
      <w:r w:rsidRPr="00491A27" w:rsidR="00F9158E">
        <w:t>riders</w:t>
      </w:r>
      <w:r w:rsidR="00253194">
        <w:t xml:space="preserve"> seeking to use the service</w:t>
      </w:r>
      <w:r w:rsidRPr="00491A27" w:rsidR="00F9158E">
        <w:t>.</w:t>
      </w:r>
      <w:r w:rsidR="004206F3">
        <w:t xml:space="preserve">  </w:t>
      </w:r>
      <w:r w:rsidR="00B57FDF">
        <w:t>We therefore affirm the trial court judgment.</w:t>
      </w:r>
    </w:p>
    <w:p w:rsidR="0026200E" w:rsidRPr="00CB6C6F" w:rsidP="00CB6C6F" w14:paraId="41094256" w14:textId="4738A4C5">
      <w:pPr>
        <w:pStyle w:val="Heading11"/>
        <w:spacing w:before="0" w:after="0"/>
      </w:pPr>
      <w:r w:rsidRPr="00340B4C">
        <w:t>FACTUAL AND PROCEDURAL BACKGROUND</w:t>
      </w:r>
      <w:r>
        <w:rPr>
          <w:rStyle w:val="FootnoteReference"/>
          <w:b/>
          <w:bCs/>
        </w:rPr>
        <w:footnoteReference w:id="3"/>
      </w:r>
    </w:p>
    <w:p w:rsidR="002A4770" w:rsidP="008C6800" w14:paraId="3863AF99" w14:textId="544C577E">
      <w:pPr>
        <w:pStyle w:val="Heading21"/>
        <w:spacing w:before="0" w:after="0"/>
        <w:ind w:left="0" w:firstLine="720"/>
        <w:rPr>
          <w:b w:val="0"/>
          <w:bCs/>
        </w:rPr>
      </w:pPr>
      <w:r>
        <w:rPr>
          <w:b w:val="0"/>
          <w:bCs/>
        </w:rPr>
        <w:t xml:space="preserve">In February 2020, Al Shikha </w:t>
      </w:r>
      <w:r w:rsidR="00921C01">
        <w:rPr>
          <w:b w:val="0"/>
          <w:bCs/>
        </w:rPr>
        <w:t xml:space="preserve">was </w:t>
      </w:r>
      <w:r w:rsidR="002E0441">
        <w:rPr>
          <w:b w:val="0"/>
          <w:bCs/>
        </w:rPr>
        <w:t>working</w:t>
      </w:r>
      <w:r w:rsidR="00045540">
        <w:rPr>
          <w:b w:val="0"/>
          <w:bCs/>
        </w:rPr>
        <w:t xml:space="preserve"> as a Lyft driver when </w:t>
      </w:r>
      <w:r w:rsidR="00264C62">
        <w:rPr>
          <w:b w:val="0"/>
          <w:bCs/>
        </w:rPr>
        <w:t xml:space="preserve">he </w:t>
      </w:r>
      <w:r w:rsidR="00A735A5">
        <w:rPr>
          <w:b w:val="0"/>
          <w:bCs/>
        </w:rPr>
        <w:t>accepted a ride</w:t>
      </w:r>
      <w:r w:rsidR="006F5175">
        <w:rPr>
          <w:b w:val="0"/>
          <w:bCs/>
        </w:rPr>
        <w:t xml:space="preserve"> request</w:t>
      </w:r>
      <w:r w:rsidR="00A735A5">
        <w:rPr>
          <w:b w:val="0"/>
          <w:bCs/>
        </w:rPr>
        <w:t xml:space="preserve"> </w:t>
      </w:r>
      <w:r w:rsidR="000B3819">
        <w:rPr>
          <w:b w:val="0"/>
          <w:bCs/>
        </w:rPr>
        <w:t xml:space="preserve">through the Lyft app </w:t>
      </w:r>
      <w:r w:rsidR="00A735A5">
        <w:rPr>
          <w:b w:val="0"/>
          <w:bCs/>
        </w:rPr>
        <w:t xml:space="preserve">from </w:t>
      </w:r>
      <w:r w:rsidR="00264C62">
        <w:rPr>
          <w:b w:val="0"/>
          <w:bCs/>
        </w:rPr>
        <w:t>passenger Ricky A. Alvarez</w:t>
      </w:r>
      <w:r w:rsidR="005A2EC3">
        <w:rPr>
          <w:b w:val="0"/>
          <w:bCs/>
        </w:rPr>
        <w:t xml:space="preserve">.  </w:t>
      </w:r>
      <w:r w:rsidR="00774137">
        <w:rPr>
          <w:b w:val="0"/>
          <w:bCs/>
        </w:rPr>
        <w:t>During the ride, and w</w:t>
      </w:r>
      <w:r w:rsidR="00A52D77">
        <w:rPr>
          <w:b w:val="0"/>
          <w:bCs/>
        </w:rPr>
        <w:t>ithout any warning or provocation,</w:t>
      </w:r>
      <w:r w:rsidR="00EF18C1">
        <w:rPr>
          <w:b w:val="0"/>
          <w:bCs/>
        </w:rPr>
        <w:t xml:space="preserve"> </w:t>
      </w:r>
      <w:r w:rsidR="001E6DA9">
        <w:rPr>
          <w:b w:val="0"/>
          <w:bCs/>
        </w:rPr>
        <w:t xml:space="preserve">Alvarez </w:t>
      </w:r>
      <w:r w:rsidR="00B505B7">
        <w:rPr>
          <w:b w:val="0"/>
          <w:bCs/>
        </w:rPr>
        <w:t>repeatedly stabbed Al Shikha</w:t>
      </w:r>
      <w:r w:rsidR="00420901">
        <w:rPr>
          <w:b w:val="0"/>
          <w:bCs/>
        </w:rPr>
        <w:t xml:space="preserve">, </w:t>
      </w:r>
      <w:r w:rsidR="00510682">
        <w:rPr>
          <w:b w:val="0"/>
          <w:bCs/>
        </w:rPr>
        <w:t xml:space="preserve">causing lacerations to </w:t>
      </w:r>
      <w:r w:rsidR="00143A79">
        <w:rPr>
          <w:b w:val="0"/>
          <w:bCs/>
        </w:rPr>
        <w:t>Al Shikha’s</w:t>
      </w:r>
      <w:r w:rsidR="00510682">
        <w:rPr>
          <w:b w:val="0"/>
          <w:bCs/>
        </w:rPr>
        <w:t xml:space="preserve"> left hand and both legs.</w:t>
      </w:r>
      <w:r w:rsidR="006C249D">
        <w:rPr>
          <w:b w:val="0"/>
          <w:bCs/>
        </w:rPr>
        <w:t xml:space="preserve">  </w:t>
      </w:r>
      <w:r>
        <w:rPr>
          <w:b w:val="0"/>
          <w:bCs/>
        </w:rPr>
        <w:t xml:space="preserve">In </w:t>
      </w:r>
      <w:r w:rsidR="00B80D68">
        <w:rPr>
          <w:b w:val="0"/>
          <w:bCs/>
        </w:rPr>
        <w:t xml:space="preserve">April </w:t>
      </w:r>
      <w:r>
        <w:rPr>
          <w:b w:val="0"/>
          <w:bCs/>
        </w:rPr>
        <w:t xml:space="preserve">2020, Al Shikha filed a complaint asserting three causes of action against Lyft: (1) failure to provide workers’ compensation </w:t>
      </w:r>
      <w:r>
        <w:rPr>
          <w:b w:val="0"/>
          <w:bCs/>
        </w:rPr>
        <w:t>insurance; (2) negligence; and (3) failure to provide a safe place of employment.</w:t>
      </w:r>
      <w:r>
        <w:rPr>
          <w:rStyle w:val="FootnoteReference"/>
          <w:b/>
          <w:bCs/>
        </w:rPr>
        <w:footnoteReference w:id="4"/>
      </w:r>
    </w:p>
    <w:p w:rsidR="00B860CA" w:rsidP="00A90C7A" w14:paraId="29DECE83" w14:textId="59F95D38">
      <w:pPr>
        <w:pStyle w:val="Heading21"/>
        <w:spacing w:before="0" w:after="0"/>
        <w:ind w:left="0" w:firstLine="720"/>
        <w:rPr>
          <w:b w:val="0"/>
          <w:bCs/>
        </w:rPr>
      </w:pPr>
      <w:r w:rsidRPr="00244DA6">
        <w:rPr>
          <w:b w:val="0"/>
          <w:bCs/>
        </w:rPr>
        <w:t xml:space="preserve">It is undisputed that </w:t>
      </w:r>
      <w:r w:rsidRPr="00650F18" w:rsidR="00C80AB5">
        <w:rPr>
          <w:b w:val="0"/>
          <w:bCs/>
        </w:rPr>
        <w:t>Public Utilities Code section 5445.2 and Business and Professions Code section 7458</w:t>
      </w:r>
      <w:r w:rsidR="007D4EEB">
        <w:rPr>
          <w:b w:val="0"/>
          <w:bCs/>
        </w:rPr>
        <w:t xml:space="preserve"> require </w:t>
      </w:r>
      <w:r w:rsidRPr="00244DA6">
        <w:rPr>
          <w:b w:val="0"/>
          <w:bCs/>
        </w:rPr>
        <w:t>Lyft to conduct background checks on drivers.</w:t>
      </w:r>
      <w:r w:rsidR="007D4EEB">
        <w:rPr>
          <w:b w:val="0"/>
          <w:bCs/>
        </w:rPr>
        <w:t xml:space="preserve">  </w:t>
      </w:r>
      <w:r w:rsidRPr="00244DA6">
        <w:rPr>
          <w:b w:val="0"/>
          <w:bCs/>
        </w:rPr>
        <w:t xml:space="preserve">The California Public Utilities Commission </w:t>
      </w:r>
      <w:r w:rsidR="009A3C16">
        <w:rPr>
          <w:b w:val="0"/>
          <w:bCs/>
        </w:rPr>
        <w:t xml:space="preserve">has </w:t>
      </w:r>
      <w:r w:rsidRPr="00244DA6" w:rsidR="009A3C16">
        <w:rPr>
          <w:b w:val="0"/>
          <w:bCs/>
        </w:rPr>
        <w:t xml:space="preserve">issued </w:t>
      </w:r>
      <w:r w:rsidRPr="00244DA6">
        <w:rPr>
          <w:b w:val="0"/>
          <w:bCs/>
        </w:rPr>
        <w:t xml:space="preserve">Lyft </w:t>
      </w:r>
      <w:r w:rsidRPr="00244DA6" w:rsidR="009A3C16">
        <w:rPr>
          <w:b w:val="0"/>
          <w:bCs/>
        </w:rPr>
        <w:t xml:space="preserve">a permit to operate </w:t>
      </w:r>
      <w:r w:rsidRPr="00244DA6">
        <w:rPr>
          <w:b w:val="0"/>
          <w:bCs/>
        </w:rPr>
        <w:t>as a Transportation Network Company (TNC) in California.  Public Utilities Code section 5445.2</w:t>
      </w:r>
      <w:r w:rsidR="003454FE">
        <w:rPr>
          <w:b w:val="0"/>
          <w:bCs/>
        </w:rPr>
        <w:t xml:space="preserve">, subdivision </w:t>
      </w:r>
      <w:r w:rsidR="00360F9C">
        <w:rPr>
          <w:b w:val="0"/>
          <w:bCs/>
        </w:rPr>
        <w:t>(a)(1),</w:t>
      </w:r>
      <w:r w:rsidRPr="00244DA6">
        <w:rPr>
          <w:b w:val="0"/>
          <w:bCs/>
        </w:rPr>
        <w:t xml:space="preserve"> provides that TNCs must conduct, or have a third party conduct, “a local and national criminal background check for each participating driver</w:t>
      </w:r>
      <w:r w:rsidR="00813E36">
        <w:rPr>
          <w:b w:val="0"/>
          <w:bCs/>
        </w:rPr>
        <w:t> </w:t>
      </w:r>
      <w:r w:rsidR="00316DC2">
        <w:rPr>
          <w:b w:val="0"/>
          <w:bCs/>
        </w:rPr>
        <w:t>. . . .</w:t>
      </w:r>
      <w:r w:rsidRPr="00244DA6">
        <w:rPr>
          <w:b w:val="0"/>
          <w:bCs/>
        </w:rPr>
        <w:t>”</w:t>
      </w:r>
    </w:p>
    <w:p w:rsidR="00A90C7A" w:rsidRPr="00227B92" w:rsidP="00244DA6" w14:paraId="3948413B" w14:textId="5BD4DF82">
      <w:pPr>
        <w:pStyle w:val="Heading21"/>
        <w:spacing w:before="0" w:after="0"/>
        <w:ind w:left="0" w:firstLine="720"/>
        <w:rPr>
          <w:bCs/>
        </w:rPr>
      </w:pPr>
      <w:r>
        <w:rPr>
          <w:b w:val="0"/>
          <w:bCs/>
        </w:rPr>
        <w:t>Public Utilities Code section 5445.2</w:t>
      </w:r>
      <w:r w:rsidR="0080317A">
        <w:rPr>
          <w:b w:val="0"/>
          <w:bCs/>
        </w:rPr>
        <w:t xml:space="preserve"> </w:t>
      </w:r>
      <w:r w:rsidRPr="00244DA6">
        <w:rPr>
          <w:b w:val="0"/>
          <w:bCs/>
        </w:rPr>
        <w:t xml:space="preserve">prohibits </w:t>
      </w:r>
      <w:r w:rsidR="00C202E7">
        <w:rPr>
          <w:b w:val="0"/>
          <w:bCs/>
        </w:rPr>
        <w:t xml:space="preserve">TNCs </w:t>
      </w:r>
      <w:r w:rsidR="007D29FA">
        <w:rPr>
          <w:b w:val="0"/>
          <w:bCs/>
        </w:rPr>
        <w:t xml:space="preserve">from employing, contracting with, or retaining drivers </w:t>
      </w:r>
      <w:r w:rsidRPr="00244DA6">
        <w:rPr>
          <w:b w:val="0"/>
          <w:bCs/>
        </w:rPr>
        <w:t>with certain convictions</w:t>
      </w:r>
      <w:r w:rsidR="00D16B6C">
        <w:rPr>
          <w:b w:val="0"/>
          <w:bCs/>
        </w:rPr>
        <w:t>.  The disqualifying convictions</w:t>
      </w:r>
      <w:r w:rsidR="00CB5473">
        <w:rPr>
          <w:b w:val="0"/>
          <w:bCs/>
        </w:rPr>
        <w:t xml:space="preserve"> includ</w:t>
      </w:r>
      <w:r w:rsidR="00D16B6C">
        <w:rPr>
          <w:b w:val="0"/>
          <w:bCs/>
        </w:rPr>
        <w:t xml:space="preserve">e </w:t>
      </w:r>
      <w:r w:rsidR="00CB5473">
        <w:rPr>
          <w:b w:val="0"/>
          <w:bCs/>
        </w:rPr>
        <w:t>violent felonies within the meaning</w:t>
      </w:r>
      <w:r w:rsidR="00596B82">
        <w:rPr>
          <w:b w:val="0"/>
          <w:bCs/>
        </w:rPr>
        <w:t xml:space="preserve"> of</w:t>
      </w:r>
      <w:r w:rsidR="00CB5473">
        <w:rPr>
          <w:b w:val="0"/>
          <w:bCs/>
        </w:rPr>
        <w:t xml:space="preserve"> Penal Code section</w:t>
      </w:r>
      <w:r w:rsidR="00027595">
        <w:rPr>
          <w:b w:val="0"/>
          <w:bCs/>
        </w:rPr>
        <w:t> </w:t>
      </w:r>
      <w:r w:rsidR="00CB5473">
        <w:rPr>
          <w:b w:val="0"/>
          <w:bCs/>
        </w:rPr>
        <w:t xml:space="preserve">667.5, </w:t>
      </w:r>
      <w:r w:rsidR="00D046E1">
        <w:rPr>
          <w:b w:val="0"/>
          <w:bCs/>
        </w:rPr>
        <w:t>human trafficking under Penal Code section 236.1, and several terrorism-related offenses</w:t>
      </w:r>
      <w:r w:rsidR="00A564A7">
        <w:rPr>
          <w:b w:val="0"/>
          <w:bCs/>
        </w:rPr>
        <w:t xml:space="preserve">.  Other enumerated </w:t>
      </w:r>
      <w:r w:rsidRPr="00244DA6">
        <w:rPr>
          <w:b w:val="0"/>
          <w:bCs/>
        </w:rPr>
        <w:t xml:space="preserve">convictions </w:t>
      </w:r>
      <w:r w:rsidR="007560D2">
        <w:rPr>
          <w:b w:val="0"/>
          <w:bCs/>
        </w:rPr>
        <w:t>preclude an individual from driving for a TNC</w:t>
      </w:r>
      <w:r w:rsidRPr="00244DA6">
        <w:rPr>
          <w:b w:val="0"/>
          <w:bCs/>
        </w:rPr>
        <w:t xml:space="preserve"> if the</w:t>
      </w:r>
      <w:r w:rsidR="007560D2">
        <w:rPr>
          <w:b w:val="0"/>
          <w:bCs/>
        </w:rPr>
        <w:t xml:space="preserve"> </w:t>
      </w:r>
      <w:r w:rsidR="00D16B6C">
        <w:rPr>
          <w:b w:val="0"/>
          <w:bCs/>
        </w:rPr>
        <w:t xml:space="preserve">offense </w:t>
      </w:r>
      <w:r w:rsidRPr="00244DA6">
        <w:rPr>
          <w:b w:val="0"/>
          <w:bCs/>
        </w:rPr>
        <w:t xml:space="preserve">occurred </w:t>
      </w:r>
      <w:r w:rsidR="00174E00">
        <w:rPr>
          <w:b w:val="0"/>
          <w:bCs/>
        </w:rPr>
        <w:t>with</w:t>
      </w:r>
      <w:r w:rsidRPr="00244DA6">
        <w:rPr>
          <w:b w:val="0"/>
          <w:bCs/>
        </w:rPr>
        <w:t>in the p</w:t>
      </w:r>
      <w:r w:rsidR="00174E00">
        <w:rPr>
          <w:b w:val="0"/>
          <w:bCs/>
        </w:rPr>
        <w:t>revious</w:t>
      </w:r>
      <w:r w:rsidRPr="00244DA6">
        <w:rPr>
          <w:b w:val="0"/>
          <w:bCs/>
        </w:rPr>
        <w:t xml:space="preserve"> seven years</w:t>
      </w:r>
      <w:r w:rsidR="003B7195">
        <w:rPr>
          <w:b w:val="0"/>
          <w:bCs/>
        </w:rPr>
        <w:t>.  The list includes</w:t>
      </w:r>
      <w:r w:rsidR="0077622C">
        <w:rPr>
          <w:b w:val="0"/>
          <w:bCs/>
        </w:rPr>
        <w:t xml:space="preserve"> driving </w:t>
      </w:r>
      <w:r w:rsidRPr="00BA0EBE" w:rsidR="0077622C">
        <w:rPr>
          <w:b w:val="0"/>
          <w:bCs/>
        </w:rPr>
        <w:t>under the influence of alcohol or drugs and several bribery offenses</w:t>
      </w:r>
      <w:r w:rsidRPr="00BA0EBE">
        <w:rPr>
          <w:b w:val="0"/>
          <w:bCs/>
        </w:rPr>
        <w:t>.  (Pub. Util. Code</w:t>
      </w:r>
      <w:r w:rsidRPr="00BA0EBE" w:rsidR="007C35C6">
        <w:rPr>
          <w:b w:val="0"/>
          <w:bCs/>
        </w:rPr>
        <w:t>,</w:t>
      </w:r>
      <w:r w:rsidRPr="00BA0EBE">
        <w:rPr>
          <w:b w:val="0"/>
          <w:bCs/>
        </w:rPr>
        <w:t xml:space="preserve"> § 5445</w:t>
      </w:r>
      <w:r w:rsidRPr="00BA0EBE" w:rsidR="00646746">
        <w:rPr>
          <w:b w:val="0"/>
          <w:bCs/>
        </w:rPr>
        <w:t>.2</w:t>
      </w:r>
      <w:r w:rsidRPr="00BA0EBE">
        <w:rPr>
          <w:b w:val="0"/>
          <w:bCs/>
        </w:rPr>
        <w:t>, subd. (a)(2)–(3).)</w:t>
      </w:r>
      <w:r w:rsidRPr="00244DA6">
        <w:rPr>
          <w:b w:val="0"/>
          <w:bCs/>
        </w:rPr>
        <w:t xml:space="preserve">  Business and Professions Code section 7458 also requires</w:t>
      </w:r>
      <w:r w:rsidR="00C62DE8">
        <w:rPr>
          <w:b w:val="0"/>
          <w:bCs/>
        </w:rPr>
        <w:t xml:space="preserve"> TNCs to conduct</w:t>
      </w:r>
      <w:r w:rsidRPr="00244DA6">
        <w:rPr>
          <w:b w:val="0"/>
          <w:bCs/>
        </w:rPr>
        <w:t xml:space="preserve"> a criminal background check for each </w:t>
      </w:r>
      <w:r w:rsidR="00523D4C">
        <w:rPr>
          <w:b w:val="0"/>
          <w:bCs/>
        </w:rPr>
        <w:t>“</w:t>
      </w:r>
      <w:r w:rsidRPr="00244DA6">
        <w:rPr>
          <w:b w:val="0"/>
          <w:bCs/>
        </w:rPr>
        <w:t>app-based driver</w:t>
      </w:r>
      <w:r w:rsidR="00EA3618">
        <w:rPr>
          <w:b w:val="0"/>
          <w:bCs/>
        </w:rPr>
        <w:t>,</w:t>
      </w:r>
      <w:r w:rsidR="00523D4C">
        <w:rPr>
          <w:b w:val="0"/>
          <w:bCs/>
        </w:rPr>
        <w:t>”</w:t>
      </w:r>
      <w:r w:rsidR="009C19F9">
        <w:rPr>
          <w:b w:val="0"/>
          <w:bCs/>
        </w:rPr>
        <w:t xml:space="preserve"> and </w:t>
      </w:r>
      <w:r w:rsidR="00EA3618">
        <w:rPr>
          <w:b w:val="0"/>
          <w:bCs/>
        </w:rPr>
        <w:t xml:space="preserve">forbids TNCs from using drivers who have specific prior convictions.  </w:t>
      </w:r>
      <w:r w:rsidRPr="00244DA6">
        <w:rPr>
          <w:b w:val="0"/>
          <w:bCs/>
        </w:rPr>
        <w:t>(Bus. &amp; Prof. Code, § 7458, subd</w:t>
      </w:r>
      <w:r w:rsidR="00917129">
        <w:rPr>
          <w:b w:val="0"/>
          <w:bCs/>
        </w:rPr>
        <w:t>s</w:t>
      </w:r>
      <w:r w:rsidRPr="00244DA6">
        <w:rPr>
          <w:b w:val="0"/>
          <w:bCs/>
        </w:rPr>
        <w:t>.</w:t>
      </w:r>
      <w:r w:rsidR="00917129">
        <w:rPr>
          <w:b w:val="0"/>
          <w:bCs/>
        </w:rPr>
        <w:t xml:space="preserve"> (a)</w:t>
      </w:r>
      <w:r w:rsidR="00B12BCF">
        <w:rPr>
          <w:b w:val="0"/>
          <w:bCs/>
        </w:rPr>
        <w:t xml:space="preserve"> &amp;</w:t>
      </w:r>
      <w:r w:rsidR="00917129">
        <w:rPr>
          <w:b w:val="0"/>
          <w:bCs/>
        </w:rPr>
        <w:t xml:space="preserve"> </w:t>
      </w:r>
      <w:r w:rsidRPr="00244DA6">
        <w:rPr>
          <w:b w:val="0"/>
          <w:bCs/>
        </w:rPr>
        <w:t>(c).)  I</w:t>
      </w:r>
      <w:r w:rsidR="00771FF5">
        <w:rPr>
          <w:b w:val="0"/>
          <w:bCs/>
        </w:rPr>
        <w:t>n addition to the disqualifying convictions</w:t>
      </w:r>
      <w:r w:rsidRPr="00244DA6">
        <w:rPr>
          <w:b w:val="0"/>
          <w:bCs/>
        </w:rPr>
        <w:t xml:space="preserve"> listed in Public Utilities Code section 5445</w:t>
      </w:r>
      <w:r w:rsidR="00B00347">
        <w:rPr>
          <w:b w:val="0"/>
          <w:bCs/>
        </w:rPr>
        <w:t>.2</w:t>
      </w:r>
      <w:r w:rsidR="00771FF5">
        <w:rPr>
          <w:b w:val="0"/>
          <w:bCs/>
        </w:rPr>
        <w:t>, the provision</w:t>
      </w:r>
      <w:r w:rsidRPr="00244DA6">
        <w:rPr>
          <w:b w:val="0"/>
          <w:bCs/>
        </w:rPr>
        <w:t xml:space="preserve"> adds “serious felonies” </w:t>
      </w:r>
      <w:r w:rsidR="000C3AB0">
        <w:rPr>
          <w:b w:val="0"/>
          <w:bCs/>
        </w:rPr>
        <w:t xml:space="preserve">(Pen. Code, </w:t>
      </w:r>
      <w:r w:rsidRPr="000C3AB0" w:rsidR="000C3AB0">
        <w:rPr>
          <w:b w:val="0"/>
          <w:bCs/>
        </w:rPr>
        <w:t>§</w:t>
      </w:r>
      <w:r w:rsidR="000C3AB0">
        <w:rPr>
          <w:b w:val="0"/>
          <w:bCs/>
        </w:rPr>
        <w:t xml:space="preserve"> </w:t>
      </w:r>
      <w:r w:rsidRPr="00244DA6" w:rsidR="000C3AB0">
        <w:rPr>
          <w:b w:val="0"/>
          <w:bCs/>
        </w:rPr>
        <w:t>1192.7, subd</w:t>
      </w:r>
      <w:r w:rsidR="000C3AB0">
        <w:rPr>
          <w:b w:val="0"/>
          <w:bCs/>
        </w:rPr>
        <w:t xml:space="preserve">. </w:t>
      </w:r>
      <w:r w:rsidRPr="00244DA6" w:rsidR="000C3AB0">
        <w:rPr>
          <w:b w:val="0"/>
          <w:bCs/>
        </w:rPr>
        <w:t>(c)</w:t>
      </w:r>
      <w:r w:rsidR="000C3AB0">
        <w:rPr>
          <w:b w:val="0"/>
          <w:bCs/>
        </w:rPr>
        <w:t xml:space="preserve">) </w:t>
      </w:r>
      <w:r w:rsidRPr="00244DA6">
        <w:rPr>
          <w:b w:val="0"/>
          <w:bCs/>
        </w:rPr>
        <w:t>and “any hate crimes”</w:t>
      </w:r>
      <w:r w:rsidR="000C3AB0">
        <w:rPr>
          <w:b w:val="0"/>
          <w:bCs/>
        </w:rPr>
        <w:t xml:space="preserve"> (Pen. Code, </w:t>
      </w:r>
      <w:r w:rsidRPr="000C3AB0" w:rsidR="000C3AB0">
        <w:rPr>
          <w:b w:val="0"/>
          <w:bCs/>
        </w:rPr>
        <w:t>§</w:t>
      </w:r>
      <w:r w:rsidR="00CD0EDD">
        <w:rPr>
          <w:b w:val="0"/>
          <w:bCs/>
        </w:rPr>
        <w:t> </w:t>
      </w:r>
      <w:r w:rsidR="000C3AB0">
        <w:rPr>
          <w:b w:val="0"/>
          <w:bCs/>
        </w:rPr>
        <w:t>422.55).</w:t>
      </w:r>
    </w:p>
    <w:p w:rsidR="00DF580B" w:rsidP="00DF580B" w14:paraId="61A31757" w14:textId="11BED604">
      <w:pPr>
        <w:pStyle w:val="Heading21"/>
        <w:spacing w:before="0" w:after="0"/>
        <w:ind w:left="0" w:firstLine="720"/>
        <w:rPr>
          <w:b w:val="0"/>
          <w:bCs/>
        </w:rPr>
      </w:pPr>
      <w:r>
        <w:rPr>
          <w:b w:val="0"/>
          <w:bCs/>
        </w:rPr>
        <w:t xml:space="preserve">The complaint alleges Alvarez has a “long history of criminal convictions,” </w:t>
      </w:r>
      <w:r w:rsidR="00771FF5">
        <w:rPr>
          <w:b w:val="0"/>
          <w:bCs/>
        </w:rPr>
        <w:t>including</w:t>
      </w:r>
      <w:r>
        <w:rPr>
          <w:b w:val="0"/>
          <w:bCs/>
        </w:rPr>
        <w:t xml:space="preserve"> </w:t>
      </w:r>
      <w:r w:rsidR="00771FF5">
        <w:rPr>
          <w:b w:val="0"/>
          <w:bCs/>
        </w:rPr>
        <w:t>“</w:t>
      </w:r>
      <w:r>
        <w:rPr>
          <w:b w:val="0"/>
          <w:bCs/>
        </w:rPr>
        <w:t>charges for drugs, theft, and illegal weapons</w:t>
      </w:r>
      <w:r w:rsidR="009C27CA">
        <w:rPr>
          <w:b w:val="0"/>
          <w:bCs/>
        </w:rPr>
        <w:t xml:space="preserve"> charges, all of which are a matter of public record</w:t>
      </w:r>
      <w:r>
        <w:rPr>
          <w:b w:val="0"/>
          <w:bCs/>
        </w:rPr>
        <w:t>.”  There are no other allegations about the nature of Alvarez’s convictions or his criminal history.</w:t>
      </w:r>
    </w:p>
    <w:p w:rsidR="003573A4" w:rsidP="00DF580B" w14:paraId="2AF448FE" w14:textId="4709914F">
      <w:pPr>
        <w:pStyle w:val="Heading21"/>
        <w:spacing w:before="0" w:after="0"/>
        <w:ind w:left="0" w:firstLine="720"/>
        <w:rPr>
          <w:b w:val="0"/>
          <w:bCs/>
        </w:rPr>
      </w:pPr>
      <w:r>
        <w:rPr>
          <w:b w:val="0"/>
          <w:bCs/>
        </w:rPr>
        <w:t xml:space="preserve">According to the complaint, Lyft has a “contractual pre-existing relationship” with its passengers, so it has the “opportunity” to conduct background checks on them before they summon a ride.  </w:t>
      </w:r>
      <w:r w:rsidR="00915ADC">
        <w:rPr>
          <w:b w:val="0"/>
          <w:bCs/>
        </w:rPr>
        <w:t xml:space="preserve">Lyft </w:t>
      </w:r>
      <w:r w:rsidR="00F4649B">
        <w:rPr>
          <w:b w:val="0"/>
          <w:bCs/>
        </w:rPr>
        <w:t xml:space="preserve">knows that </w:t>
      </w:r>
      <w:r w:rsidR="009C36AB">
        <w:rPr>
          <w:b w:val="0"/>
          <w:bCs/>
        </w:rPr>
        <w:t xml:space="preserve">passengers have committed crimes against </w:t>
      </w:r>
      <w:r w:rsidR="00F4649B">
        <w:rPr>
          <w:b w:val="0"/>
          <w:bCs/>
        </w:rPr>
        <w:t xml:space="preserve">drivers for Lyft, Uber, taxicabs, and </w:t>
      </w:r>
      <w:r w:rsidR="00A576CB">
        <w:rPr>
          <w:b w:val="0"/>
          <w:bCs/>
        </w:rPr>
        <w:t>common carrier</w:t>
      </w:r>
      <w:r w:rsidR="00E6110B">
        <w:rPr>
          <w:b w:val="0"/>
          <w:bCs/>
        </w:rPr>
        <w:t>s</w:t>
      </w:r>
      <w:r w:rsidR="000E7DE0">
        <w:rPr>
          <w:b w:val="0"/>
          <w:bCs/>
        </w:rPr>
        <w:t>.</w:t>
      </w:r>
      <w:r>
        <w:rPr>
          <w:b w:val="0"/>
          <w:bCs/>
        </w:rPr>
        <w:t xml:space="preserve"> </w:t>
      </w:r>
      <w:r w:rsidRPr="00BF3CBB" w:rsidR="00BF3CBB">
        <w:rPr>
          <w:b w:val="0"/>
          <w:bCs/>
        </w:rPr>
        <w:t xml:space="preserve"> </w:t>
      </w:r>
      <w:r w:rsidR="000E7DE0">
        <w:rPr>
          <w:b w:val="0"/>
          <w:bCs/>
        </w:rPr>
        <w:t xml:space="preserve">However, </w:t>
      </w:r>
      <w:r w:rsidR="00E6110B">
        <w:rPr>
          <w:b w:val="0"/>
          <w:bCs/>
        </w:rPr>
        <w:t>Lyft</w:t>
      </w:r>
      <w:r w:rsidR="000E7DE0">
        <w:rPr>
          <w:b w:val="0"/>
          <w:bCs/>
        </w:rPr>
        <w:t xml:space="preserve"> does not conduct “basic, inexpensive public record background checks on passengers to determine whether they </w:t>
      </w:r>
      <w:r w:rsidR="0058594C">
        <w:rPr>
          <w:b w:val="0"/>
          <w:bCs/>
        </w:rPr>
        <w:t>pose a risk of harm to drivers (or to obtain consent from drivers that they may be transporting a known criminal).”</w:t>
      </w:r>
      <w:r w:rsidR="00BF3CBB">
        <w:rPr>
          <w:b w:val="0"/>
          <w:bCs/>
        </w:rPr>
        <w:t xml:space="preserve">  </w:t>
      </w:r>
      <w:r w:rsidR="009F02EC">
        <w:rPr>
          <w:b w:val="0"/>
          <w:bCs/>
        </w:rPr>
        <w:t>The</w:t>
      </w:r>
      <w:r w:rsidR="00BF5421">
        <w:rPr>
          <w:b w:val="0"/>
          <w:bCs/>
        </w:rPr>
        <w:t xml:space="preserve"> </w:t>
      </w:r>
      <w:r w:rsidR="00A745C7">
        <w:rPr>
          <w:b w:val="0"/>
          <w:bCs/>
        </w:rPr>
        <w:t xml:space="preserve">complaint asserts that if Lyft had conducted a background check on Alvarez, it would have known of his criminal background, and it “should have </w:t>
      </w:r>
      <w:r w:rsidR="00AE3888">
        <w:rPr>
          <w:b w:val="0"/>
          <w:bCs/>
        </w:rPr>
        <w:t xml:space="preserve">advised [Al Shikha] of </w:t>
      </w:r>
      <w:r w:rsidR="00447C74">
        <w:rPr>
          <w:b w:val="0"/>
          <w:bCs/>
        </w:rPr>
        <w:t>[</w:t>
      </w:r>
      <w:r w:rsidR="00AE3888">
        <w:rPr>
          <w:b w:val="0"/>
          <w:bCs/>
        </w:rPr>
        <w:t>the</w:t>
      </w:r>
      <w:r w:rsidR="00447C74">
        <w:rPr>
          <w:b w:val="0"/>
          <w:bCs/>
        </w:rPr>
        <w:t>]</w:t>
      </w:r>
      <w:r w:rsidR="00AE3888">
        <w:rPr>
          <w:b w:val="0"/>
          <w:bCs/>
        </w:rPr>
        <w:t xml:space="preserve"> same.”</w:t>
      </w:r>
    </w:p>
    <w:p w:rsidR="00B74B3B" w:rsidP="00AF6584" w14:paraId="51409E24" w14:textId="24225C29">
      <w:pPr>
        <w:pStyle w:val="Heading21"/>
        <w:spacing w:before="0" w:after="0"/>
        <w:ind w:left="0" w:firstLine="720"/>
        <w:rPr>
          <w:b w:val="0"/>
          <w:bCs/>
        </w:rPr>
      </w:pPr>
      <w:r>
        <w:rPr>
          <w:b w:val="0"/>
          <w:bCs/>
        </w:rPr>
        <w:t xml:space="preserve">Lyft moved for judgment on the pleadings </w:t>
      </w:r>
      <w:r w:rsidR="00023BEC">
        <w:rPr>
          <w:b w:val="0"/>
          <w:bCs/>
        </w:rPr>
        <w:t xml:space="preserve">on </w:t>
      </w:r>
      <w:r w:rsidR="0043018A">
        <w:rPr>
          <w:b w:val="0"/>
          <w:bCs/>
        </w:rPr>
        <w:t>the</w:t>
      </w:r>
      <w:r w:rsidR="00364D1E">
        <w:rPr>
          <w:b w:val="0"/>
          <w:bCs/>
        </w:rPr>
        <w:t xml:space="preserve"> first two </w:t>
      </w:r>
      <w:r w:rsidR="008570B3">
        <w:rPr>
          <w:b w:val="0"/>
          <w:bCs/>
        </w:rPr>
        <w:t>causes</w:t>
      </w:r>
      <w:r w:rsidR="00364D1E">
        <w:rPr>
          <w:b w:val="0"/>
          <w:bCs/>
        </w:rPr>
        <w:t xml:space="preserve"> of action, asserting</w:t>
      </w:r>
      <w:r w:rsidR="00023BEC">
        <w:rPr>
          <w:b w:val="0"/>
          <w:bCs/>
        </w:rPr>
        <w:t xml:space="preserve"> it </w:t>
      </w:r>
      <w:r w:rsidR="008815A0">
        <w:rPr>
          <w:b w:val="0"/>
          <w:bCs/>
        </w:rPr>
        <w:t>had no</w:t>
      </w:r>
      <w:r w:rsidR="00023BEC">
        <w:rPr>
          <w:b w:val="0"/>
          <w:bCs/>
        </w:rPr>
        <w:t xml:space="preserve"> legal duty to conduct background checks on </w:t>
      </w:r>
      <w:r w:rsidR="0043018A">
        <w:rPr>
          <w:b w:val="0"/>
          <w:bCs/>
        </w:rPr>
        <w:t>passengers</w:t>
      </w:r>
      <w:r w:rsidR="00026219">
        <w:rPr>
          <w:b w:val="0"/>
          <w:bCs/>
        </w:rPr>
        <w:t xml:space="preserve"> and therefore </w:t>
      </w:r>
      <w:r w:rsidR="006C04F1">
        <w:rPr>
          <w:b w:val="0"/>
          <w:bCs/>
        </w:rPr>
        <w:t>was</w:t>
      </w:r>
      <w:r w:rsidR="00026219">
        <w:rPr>
          <w:b w:val="0"/>
          <w:bCs/>
        </w:rPr>
        <w:t xml:space="preserve"> not negligent</w:t>
      </w:r>
      <w:r w:rsidR="00BC338D">
        <w:rPr>
          <w:b w:val="0"/>
          <w:bCs/>
        </w:rPr>
        <w:t>.</w:t>
      </w:r>
      <w:r w:rsidR="00EC762B">
        <w:rPr>
          <w:b w:val="0"/>
          <w:bCs/>
        </w:rPr>
        <w:t xml:space="preserve"> </w:t>
      </w:r>
      <w:r w:rsidR="00246A57">
        <w:rPr>
          <w:b w:val="0"/>
          <w:bCs/>
        </w:rPr>
        <w:t xml:space="preserve"> </w:t>
      </w:r>
      <w:r>
        <w:rPr>
          <w:b w:val="0"/>
          <w:bCs/>
        </w:rPr>
        <w:t>Al Shikha opposed the motion.  He argued</w:t>
      </w:r>
      <w:r w:rsidR="00E65355">
        <w:rPr>
          <w:b w:val="0"/>
          <w:bCs/>
        </w:rPr>
        <w:t>, in part, that the motion impermissibly asked the court to make factual determinations.  He did not seek leave to amend the complaint.</w:t>
      </w:r>
    </w:p>
    <w:p w:rsidR="00DC423D" w:rsidP="008815A0" w14:paraId="0210193E" w14:textId="2A531942">
      <w:pPr>
        <w:pStyle w:val="Heading21"/>
        <w:spacing w:before="0" w:after="0"/>
        <w:ind w:left="0" w:firstLine="720"/>
        <w:rPr>
          <w:b w:val="0"/>
          <w:bCs/>
        </w:rPr>
      </w:pPr>
      <w:r>
        <w:rPr>
          <w:b w:val="0"/>
          <w:bCs/>
        </w:rPr>
        <w:t xml:space="preserve">The trial court </w:t>
      </w:r>
      <w:r w:rsidR="00364D1E">
        <w:rPr>
          <w:b w:val="0"/>
          <w:bCs/>
        </w:rPr>
        <w:t xml:space="preserve">granted </w:t>
      </w:r>
      <w:r w:rsidR="00CE0F20">
        <w:rPr>
          <w:b w:val="0"/>
          <w:bCs/>
        </w:rPr>
        <w:t>Lyft’s</w:t>
      </w:r>
      <w:r w:rsidR="00364D1E">
        <w:rPr>
          <w:b w:val="0"/>
          <w:bCs/>
        </w:rPr>
        <w:t xml:space="preserve"> motion.  </w:t>
      </w:r>
      <w:r w:rsidR="00074649">
        <w:rPr>
          <w:b w:val="0"/>
          <w:bCs/>
        </w:rPr>
        <w:t>The court</w:t>
      </w:r>
      <w:r w:rsidR="00364D1E">
        <w:rPr>
          <w:b w:val="0"/>
          <w:bCs/>
        </w:rPr>
        <w:t xml:space="preserve"> </w:t>
      </w:r>
      <w:r w:rsidR="00824DEA">
        <w:rPr>
          <w:b w:val="0"/>
          <w:bCs/>
        </w:rPr>
        <w:t>concluded</w:t>
      </w:r>
      <w:r w:rsidR="008570B3">
        <w:rPr>
          <w:b w:val="0"/>
          <w:bCs/>
        </w:rPr>
        <w:t xml:space="preserve"> Al Shikha could not </w:t>
      </w:r>
      <w:r w:rsidR="00D75B88">
        <w:rPr>
          <w:b w:val="0"/>
          <w:bCs/>
        </w:rPr>
        <w:t xml:space="preserve">establish a claim for negligence as a matter of law because Lyft </w:t>
      </w:r>
      <w:r w:rsidR="000C34F9">
        <w:rPr>
          <w:b w:val="0"/>
          <w:bCs/>
        </w:rPr>
        <w:t>lacked</w:t>
      </w:r>
      <w:r w:rsidR="00D75B88">
        <w:rPr>
          <w:b w:val="0"/>
          <w:bCs/>
        </w:rPr>
        <w:t xml:space="preserve"> </w:t>
      </w:r>
      <w:r w:rsidR="000C34F9">
        <w:rPr>
          <w:b w:val="0"/>
          <w:bCs/>
        </w:rPr>
        <w:t>either</w:t>
      </w:r>
      <w:r w:rsidR="00D75B88">
        <w:rPr>
          <w:b w:val="0"/>
          <w:bCs/>
        </w:rPr>
        <w:t xml:space="preserve"> a statutory </w:t>
      </w:r>
      <w:r w:rsidR="000C34F9">
        <w:rPr>
          <w:b w:val="0"/>
          <w:bCs/>
        </w:rPr>
        <w:t>or a</w:t>
      </w:r>
      <w:r w:rsidR="00D75B88">
        <w:rPr>
          <w:b w:val="0"/>
          <w:bCs/>
        </w:rPr>
        <w:t xml:space="preserve"> common law duty to conduct </w:t>
      </w:r>
      <w:r w:rsidR="00E57B71">
        <w:rPr>
          <w:b w:val="0"/>
          <w:bCs/>
        </w:rPr>
        <w:t xml:space="preserve">criminal </w:t>
      </w:r>
      <w:r w:rsidR="00D75B88">
        <w:rPr>
          <w:b w:val="0"/>
          <w:bCs/>
        </w:rPr>
        <w:t xml:space="preserve">background checks on passengers.  </w:t>
      </w:r>
      <w:r w:rsidR="008F4D27">
        <w:rPr>
          <w:b w:val="0"/>
          <w:bCs/>
        </w:rPr>
        <w:t>The court</w:t>
      </w:r>
      <w:r w:rsidR="00D75B88">
        <w:rPr>
          <w:b w:val="0"/>
          <w:bCs/>
        </w:rPr>
        <w:t xml:space="preserve"> also </w:t>
      </w:r>
      <w:r w:rsidR="00E57B71">
        <w:rPr>
          <w:b w:val="0"/>
          <w:bCs/>
        </w:rPr>
        <w:t>determined</w:t>
      </w:r>
      <w:r w:rsidR="00D75B88">
        <w:rPr>
          <w:b w:val="0"/>
          <w:bCs/>
        </w:rPr>
        <w:t xml:space="preserve"> that </w:t>
      </w:r>
      <w:r w:rsidR="00232703">
        <w:rPr>
          <w:b w:val="0"/>
          <w:bCs/>
        </w:rPr>
        <w:t xml:space="preserve">the </w:t>
      </w:r>
      <w:r w:rsidR="000407EC">
        <w:rPr>
          <w:b w:val="0"/>
          <w:bCs/>
        </w:rPr>
        <w:t>Investigative Consumer</w:t>
      </w:r>
      <w:r w:rsidR="00F26577">
        <w:rPr>
          <w:b w:val="0"/>
          <w:bCs/>
        </w:rPr>
        <w:t xml:space="preserve"> Reporting </w:t>
      </w:r>
      <w:r w:rsidRPr="00F26577" w:rsidR="00F26577">
        <w:rPr>
          <w:b w:val="0"/>
          <w:bCs/>
        </w:rPr>
        <w:t>Agencies Act (</w:t>
      </w:r>
      <w:r w:rsidRPr="00F26577" w:rsidR="00232703">
        <w:rPr>
          <w:b w:val="0"/>
          <w:bCs/>
        </w:rPr>
        <w:t>ICRAA</w:t>
      </w:r>
      <w:r w:rsidRPr="00F26577" w:rsidR="00F26577">
        <w:rPr>
          <w:b w:val="0"/>
          <w:bCs/>
        </w:rPr>
        <w:t xml:space="preserve">) </w:t>
      </w:r>
      <w:r w:rsidRPr="00F26577" w:rsidR="00232703">
        <w:rPr>
          <w:b w:val="0"/>
          <w:bCs/>
        </w:rPr>
        <w:t>prohibit</w:t>
      </w:r>
      <w:r w:rsidR="000835A6">
        <w:rPr>
          <w:b w:val="0"/>
          <w:bCs/>
        </w:rPr>
        <w:t>s</w:t>
      </w:r>
      <w:r w:rsidR="00232703">
        <w:rPr>
          <w:b w:val="0"/>
          <w:bCs/>
        </w:rPr>
        <w:t xml:space="preserve"> Lyft from conducting background checks on passengers.</w:t>
      </w:r>
      <w:r w:rsidR="004B6DFA">
        <w:rPr>
          <w:b w:val="0"/>
          <w:bCs/>
        </w:rPr>
        <w:t xml:space="preserve">  </w:t>
      </w:r>
      <w:r w:rsidR="00547477">
        <w:rPr>
          <w:b w:val="0"/>
          <w:bCs/>
        </w:rPr>
        <w:t xml:space="preserve">Finally, </w:t>
      </w:r>
      <w:r w:rsidR="008F4D27">
        <w:rPr>
          <w:b w:val="0"/>
          <w:bCs/>
        </w:rPr>
        <w:t>the court</w:t>
      </w:r>
      <w:r w:rsidR="00547477">
        <w:rPr>
          <w:b w:val="0"/>
          <w:bCs/>
        </w:rPr>
        <w:t xml:space="preserve"> </w:t>
      </w:r>
      <w:r w:rsidR="005A00D9">
        <w:rPr>
          <w:b w:val="0"/>
          <w:bCs/>
        </w:rPr>
        <w:t>reasoned</w:t>
      </w:r>
      <w:r w:rsidR="004B6DFA">
        <w:rPr>
          <w:b w:val="0"/>
          <w:bCs/>
        </w:rPr>
        <w:t xml:space="preserve"> that </w:t>
      </w:r>
      <w:r w:rsidR="00BA10C8">
        <w:rPr>
          <w:b w:val="0"/>
          <w:bCs/>
        </w:rPr>
        <w:t xml:space="preserve">Lyft </w:t>
      </w:r>
      <w:r w:rsidR="00410380">
        <w:rPr>
          <w:b w:val="0"/>
          <w:bCs/>
        </w:rPr>
        <w:t>had rebutted the presumption of negligence</w:t>
      </w:r>
      <w:r w:rsidR="00B6249C">
        <w:rPr>
          <w:b w:val="0"/>
          <w:bCs/>
        </w:rPr>
        <w:t xml:space="preserve">, thus defeating the claim that it was liable for failing to </w:t>
      </w:r>
      <w:r w:rsidR="00CC793C">
        <w:rPr>
          <w:b w:val="0"/>
          <w:bCs/>
        </w:rPr>
        <w:t xml:space="preserve">provide </w:t>
      </w:r>
      <w:r w:rsidR="00D904D8">
        <w:rPr>
          <w:b w:val="0"/>
          <w:bCs/>
        </w:rPr>
        <w:t xml:space="preserve">Al Shikha </w:t>
      </w:r>
      <w:r w:rsidR="00CC793C">
        <w:rPr>
          <w:b w:val="0"/>
          <w:bCs/>
        </w:rPr>
        <w:t>workers</w:t>
      </w:r>
      <w:r w:rsidR="00731A40">
        <w:rPr>
          <w:b w:val="0"/>
          <w:bCs/>
        </w:rPr>
        <w:t>’</w:t>
      </w:r>
      <w:r w:rsidR="00CC793C">
        <w:rPr>
          <w:b w:val="0"/>
          <w:bCs/>
        </w:rPr>
        <w:t xml:space="preserve"> compensation insurance.</w:t>
      </w:r>
    </w:p>
    <w:p w:rsidR="00BA7454" w:rsidRPr="00A5344D" w:rsidP="00A5344D" w14:paraId="6C70339E" w14:textId="1BD6E8F2">
      <w:pPr>
        <w:pStyle w:val="Heading21"/>
        <w:spacing w:before="0" w:after="0"/>
        <w:ind w:left="0" w:firstLine="720"/>
        <w:rPr>
          <w:b w:val="0"/>
          <w:bCs/>
        </w:rPr>
      </w:pPr>
      <w:r>
        <w:rPr>
          <w:b w:val="0"/>
          <w:bCs/>
        </w:rPr>
        <w:t xml:space="preserve">In </w:t>
      </w:r>
      <w:r w:rsidR="006B5324">
        <w:rPr>
          <w:b w:val="0"/>
          <w:bCs/>
        </w:rPr>
        <w:t>May</w:t>
      </w:r>
      <w:r>
        <w:rPr>
          <w:b w:val="0"/>
          <w:bCs/>
        </w:rPr>
        <w:t xml:space="preserve"> 202</w:t>
      </w:r>
      <w:r w:rsidR="006B5324">
        <w:rPr>
          <w:b w:val="0"/>
          <w:bCs/>
        </w:rPr>
        <w:t>2</w:t>
      </w:r>
      <w:r>
        <w:rPr>
          <w:b w:val="0"/>
          <w:bCs/>
        </w:rPr>
        <w:t>, t</w:t>
      </w:r>
      <w:r w:rsidR="00CE0F20">
        <w:rPr>
          <w:b w:val="0"/>
          <w:bCs/>
        </w:rPr>
        <w:t>he trial court issued a judgment of dismissal</w:t>
      </w:r>
      <w:r>
        <w:rPr>
          <w:b w:val="0"/>
          <w:bCs/>
        </w:rPr>
        <w:t xml:space="preserve">.  </w:t>
      </w:r>
      <w:r w:rsidR="00DE3601">
        <w:rPr>
          <w:b w:val="0"/>
          <w:bCs/>
        </w:rPr>
        <w:t>Al Shikha timely</w:t>
      </w:r>
      <w:r>
        <w:rPr>
          <w:b w:val="0"/>
          <w:bCs/>
        </w:rPr>
        <w:t xml:space="preserve"> </w:t>
      </w:r>
      <w:r w:rsidR="00A5344D">
        <w:rPr>
          <w:b w:val="0"/>
          <w:bCs/>
        </w:rPr>
        <w:t>appealed</w:t>
      </w:r>
      <w:r>
        <w:rPr>
          <w:b w:val="0"/>
          <w:bCs/>
        </w:rPr>
        <w:t>.</w:t>
      </w:r>
    </w:p>
    <w:p w:rsidR="000F703C" w:rsidRPr="00243F27" w:rsidP="00CD0EDD" w14:paraId="17A53397" w14:textId="0D34EE97">
      <w:pPr>
        <w:pStyle w:val="Heading11"/>
        <w:spacing w:before="0" w:after="0"/>
      </w:pPr>
      <w:r>
        <w:t>DISCUSSION</w:t>
      </w:r>
    </w:p>
    <w:p w:rsidR="007B21FE" w:rsidP="005A776B" w14:paraId="7E73E558" w14:textId="10EA3C0B">
      <w:pPr>
        <w:pStyle w:val="Heading21"/>
        <w:keepNext/>
        <w:keepLines/>
        <w:numPr>
          <w:ilvl w:val="0"/>
          <w:numId w:val="15"/>
        </w:numPr>
        <w:spacing w:before="0" w:after="0"/>
        <w:ind w:left="720"/>
      </w:pPr>
      <w:r>
        <w:t>Standard of Review</w:t>
      </w:r>
    </w:p>
    <w:p w:rsidR="00177EB7" w:rsidRPr="004C5343" w:rsidP="00246A57" w14:paraId="709F49B2" w14:textId="3F39C1B5">
      <w:pPr>
        <w:pStyle w:val="Heading21"/>
        <w:spacing w:before="0" w:after="0"/>
        <w:ind w:left="0" w:firstLine="720"/>
        <w:rPr>
          <w:b w:val="0"/>
          <w:bCs/>
        </w:rPr>
      </w:pPr>
      <w:r w:rsidRPr="00002577">
        <w:rPr>
          <w:b w:val="0"/>
          <w:bCs/>
        </w:rPr>
        <w:t xml:space="preserve">A judgment on the pleadings in favor of </w:t>
      </w:r>
      <w:r w:rsidR="00BB0378">
        <w:rPr>
          <w:b w:val="0"/>
          <w:bCs/>
        </w:rPr>
        <w:t>a</w:t>
      </w:r>
      <w:r w:rsidRPr="00002577">
        <w:rPr>
          <w:b w:val="0"/>
          <w:bCs/>
        </w:rPr>
        <w:t xml:space="preserve"> defendant is appropriate when the complaint fails to allege facts sufficient to state a cause of action.</w:t>
      </w:r>
      <w:r w:rsidR="008B3696">
        <w:rPr>
          <w:b w:val="0"/>
          <w:bCs/>
        </w:rPr>
        <w:t xml:space="preserve">  </w:t>
      </w:r>
      <w:r w:rsidRPr="00002577">
        <w:rPr>
          <w:b w:val="0"/>
          <w:bCs/>
        </w:rPr>
        <w:t>(Code Civ. Proc., § 438, subd. (c)(3)(B)(ii).)</w:t>
      </w:r>
      <w:r w:rsidR="008B3696">
        <w:rPr>
          <w:b w:val="0"/>
          <w:bCs/>
        </w:rPr>
        <w:t xml:space="preserve">  “</w:t>
      </w:r>
      <w:r w:rsidRPr="004860CA" w:rsidR="008B3696">
        <w:rPr>
          <w:b w:val="0"/>
          <w:bCs/>
        </w:rPr>
        <w:t>In reviewing an order granting or denying a motion for judgment on the pleadings, we accept as true all material allegations in the complaint</w:t>
      </w:r>
      <w:r w:rsidR="008B3696">
        <w:rPr>
          <w:b w:val="0"/>
          <w:bCs/>
        </w:rPr>
        <w:t>”</w:t>
      </w:r>
      <w:r w:rsidR="00B24DD1">
        <w:rPr>
          <w:b w:val="0"/>
          <w:bCs/>
        </w:rPr>
        <w:t xml:space="preserve"> </w:t>
      </w:r>
      <w:r w:rsidR="008B3696">
        <w:rPr>
          <w:b w:val="0"/>
          <w:bCs/>
        </w:rPr>
        <w:t>(</w:t>
      </w:r>
      <w:r w:rsidRPr="00671710" w:rsidR="008B3696">
        <w:rPr>
          <w:b w:val="0"/>
          <w:bCs/>
          <w:i/>
          <w:iCs/>
        </w:rPr>
        <w:t xml:space="preserve">National Shooting </w:t>
      </w:r>
      <w:r w:rsidRPr="005B367D" w:rsidR="008B3696">
        <w:rPr>
          <w:b w:val="0"/>
          <w:bCs/>
          <w:i/>
          <w:iCs/>
        </w:rPr>
        <w:t>Sports</w:t>
      </w:r>
      <w:r w:rsidR="005B367D">
        <w:rPr>
          <w:b w:val="0"/>
          <w:bCs/>
        </w:rPr>
        <w:t xml:space="preserve">, </w:t>
      </w:r>
      <w:r w:rsidRPr="005B367D" w:rsidR="005B367D">
        <w:rPr>
          <w:b w:val="0"/>
          <w:bCs/>
          <w:i/>
          <w:iCs/>
        </w:rPr>
        <w:t>supra</w:t>
      </w:r>
      <w:r w:rsidR="005B367D">
        <w:rPr>
          <w:b w:val="0"/>
          <w:bCs/>
        </w:rPr>
        <w:t xml:space="preserve">, </w:t>
      </w:r>
      <w:r w:rsidRPr="005B367D" w:rsidR="008B3696">
        <w:rPr>
          <w:b w:val="0"/>
          <w:bCs/>
        </w:rPr>
        <w:t>5</w:t>
      </w:r>
      <w:r w:rsidRPr="004860CA" w:rsidR="008B3696">
        <w:rPr>
          <w:b w:val="0"/>
          <w:bCs/>
        </w:rPr>
        <w:t xml:space="preserve"> Cal.5th </w:t>
      </w:r>
      <w:r w:rsidR="005B367D">
        <w:rPr>
          <w:b w:val="0"/>
          <w:bCs/>
        </w:rPr>
        <w:t>at pp.</w:t>
      </w:r>
      <w:r w:rsidR="00143F3A">
        <w:rPr>
          <w:b w:val="0"/>
          <w:bCs/>
        </w:rPr>
        <w:t> </w:t>
      </w:r>
      <w:r w:rsidRPr="004860CA" w:rsidR="008B3696">
        <w:rPr>
          <w:b w:val="0"/>
          <w:bCs/>
        </w:rPr>
        <w:t>432–433</w:t>
      </w:r>
      <w:r w:rsidR="008B3696">
        <w:rPr>
          <w:b w:val="0"/>
          <w:bCs/>
        </w:rPr>
        <w:t>)</w:t>
      </w:r>
      <w:r w:rsidR="00074649">
        <w:rPr>
          <w:b w:val="0"/>
          <w:bCs/>
        </w:rPr>
        <w:t xml:space="preserve">, </w:t>
      </w:r>
      <w:r w:rsidR="0046264C">
        <w:rPr>
          <w:b w:val="0"/>
          <w:bCs/>
        </w:rPr>
        <w:t xml:space="preserve">but not contentions, deductions, or </w:t>
      </w:r>
      <w:r w:rsidR="00987867">
        <w:rPr>
          <w:b w:val="0"/>
          <w:bCs/>
        </w:rPr>
        <w:t>conclusions</w:t>
      </w:r>
      <w:r w:rsidR="0046264C">
        <w:rPr>
          <w:b w:val="0"/>
          <w:bCs/>
        </w:rPr>
        <w:t xml:space="preserve"> of law</w:t>
      </w:r>
      <w:r w:rsidR="00F332A5">
        <w:rPr>
          <w:b w:val="0"/>
          <w:bCs/>
        </w:rPr>
        <w:t xml:space="preserve"> </w:t>
      </w:r>
      <w:r w:rsidRPr="00987867" w:rsidR="00987867">
        <w:rPr>
          <w:b w:val="0"/>
          <w:bCs/>
        </w:rPr>
        <w:t>(</w:t>
      </w:r>
      <w:r w:rsidRPr="00462094" w:rsidR="00987867">
        <w:rPr>
          <w:b w:val="0"/>
          <w:bCs/>
          <w:i/>
          <w:iCs/>
        </w:rPr>
        <w:t>Adams v. Bank of America, N.A.</w:t>
      </w:r>
      <w:r w:rsidR="0012653D">
        <w:rPr>
          <w:b w:val="0"/>
          <w:bCs/>
        </w:rPr>
        <w:t xml:space="preserve"> (2020) </w:t>
      </w:r>
      <w:r w:rsidRPr="00987867" w:rsidR="00987867">
        <w:rPr>
          <w:b w:val="0"/>
          <w:bCs/>
        </w:rPr>
        <w:t>51 Cal.App.5th</w:t>
      </w:r>
      <w:r w:rsidR="000C1746">
        <w:rPr>
          <w:b w:val="0"/>
          <w:bCs/>
        </w:rPr>
        <w:t xml:space="preserve"> 666, </w:t>
      </w:r>
      <w:r w:rsidRPr="00987867" w:rsidR="00987867">
        <w:rPr>
          <w:b w:val="0"/>
          <w:bCs/>
        </w:rPr>
        <w:t>670–671</w:t>
      </w:r>
      <w:r w:rsidR="00A40585">
        <w:rPr>
          <w:b w:val="0"/>
          <w:bCs/>
        </w:rPr>
        <w:t xml:space="preserve"> (</w:t>
      </w:r>
      <w:r w:rsidR="00A40585">
        <w:rPr>
          <w:b w:val="0"/>
          <w:bCs/>
          <w:i/>
          <w:iCs/>
        </w:rPr>
        <w:t>Adams</w:t>
      </w:r>
      <w:r w:rsidR="00A40585">
        <w:rPr>
          <w:b w:val="0"/>
          <w:bCs/>
        </w:rPr>
        <w:t>)</w:t>
      </w:r>
      <w:r w:rsidRPr="00987867" w:rsidR="00987867">
        <w:rPr>
          <w:b w:val="0"/>
          <w:bCs/>
        </w:rPr>
        <w:t>)</w:t>
      </w:r>
      <w:r w:rsidR="005B032A">
        <w:rPr>
          <w:b w:val="0"/>
          <w:bCs/>
        </w:rPr>
        <w:t>.</w:t>
      </w:r>
      <w:r w:rsidRPr="00407C89" w:rsidR="00407C89">
        <w:rPr>
          <w:b w:val="0"/>
          <w:bCs/>
        </w:rPr>
        <w:t xml:space="preserve"> </w:t>
      </w:r>
      <w:r w:rsidR="004967F0">
        <w:rPr>
          <w:b w:val="0"/>
          <w:bCs/>
        </w:rPr>
        <w:t xml:space="preserve"> </w:t>
      </w:r>
      <w:r w:rsidR="008112D3">
        <w:rPr>
          <w:b w:val="0"/>
          <w:bCs/>
        </w:rPr>
        <w:t xml:space="preserve">We independently review the trial court’s ruling.  If the ruling is correct on any applicable theory of law, we will affirm.  </w:t>
      </w:r>
      <w:r w:rsidRPr="00F33681" w:rsidR="00407C89">
        <w:rPr>
          <w:b w:val="0"/>
          <w:bCs/>
        </w:rPr>
        <w:t>(</w:t>
      </w:r>
      <w:r w:rsidRPr="00F33681" w:rsidR="00407C89">
        <w:rPr>
          <w:b w:val="0"/>
          <w:bCs/>
          <w:i/>
          <w:iCs/>
        </w:rPr>
        <w:t>Tukes v. Richard</w:t>
      </w:r>
      <w:r w:rsidRPr="00F33681" w:rsidR="00407C89">
        <w:rPr>
          <w:b w:val="0"/>
          <w:bCs/>
        </w:rPr>
        <w:t xml:space="preserve"> (2022) 81 Cal.App.5th 1, 18–19</w:t>
      </w:r>
      <w:r w:rsidR="00407C89">
        <w:rPr>
          <w:b w:val="0"/>
          <w:bCs/>
        </w:rPr>
        <w:t>.)</w:t>
      </w:r>
    </w:p>
    <w:p w:rsidR="00A80D70" w:rsidP="005A776B" w14:paraId="22FC55DE" w14:textId="77777777">
      <w:pPr>
        <w:pStyle w:val="Heading21"/>
        <w:keepNext/>
        <w:keepLines/>
        <w:numPr>
          <w:ilvl w:val="0"/>
          <w:numId w:val="15"/>
        </w:numPr>
        <w:spacing w:before="0" w:after="0"/>
        <w:ind w:left="720"/>
      </w:pPr>
      <w:r>
        <w:t>Request for Judicial Notice</w:t>
      </w:r>
    </w:p>
    <w:p w:rsidR="00A80D70" w:rsidP="00A80D70" w14:paraId="4576DD3F" w14:textId="02527E3A">
      <w:pPr>
        <w:pStyle w:val="Heading21"/>
        <w:spacing w:before="0" w:after="0"/>
        <w:ind w:left="0" w:firstLine="720"/>
        <w:rPr>
          <w:b w:val="0"/>
          <w:bCs/>
        </w:rPr>
      </w:pPr>
      <w:r>
        <w:rPr>
          <w:b w:val="0"/>
          <w:bCs/>
        </w:rPr>
        <w:t>As an initial matter, w</w:t>
      </w:r>
      <w:r w:rsidRPr="00243F27">
        <w:rPr>
          <w:b w:val="0"/>
          <w:bCs/>
        </w:rPr>
        <w:t xml:space="preserve">e </w:t>
      </w:r>
      <w:r w:rsidR="00AB71BA">
        <w:rPr>
          <w:b w:val="0"/>
          <w:bCs/>
        </w:rPr>
        <w:t>consider</w:t>
      </w:r>
      <w:r w:rsidRPr="00243F27">
        <w:rPr>
          <w:b w:val="0"/>
          <w:bCs/>
        </w:rPr>
        <w:t xml:space="preserve"> Al Shikha’s request that we take judicial notice of three documents: </w:t>
      </w:r>
      <w:r>
        <w:rPr>
          <w:b w:val="0"/>
          <w:bCs/>
        </w:rPr>
        <w:t xml:space="preserve">(1) </w:t>
      </w:r>
      <w:r w:rsidRPr="00243F27">
        <w:rPr>
          <w:b w:val="0"/>
          <w:bCs/>
        </w:rPr>
        <w:t>Lyft’s Terms of Service</w:t>
      </w:r>
      <w:r>
        <w:rPr>
          <w:b w:val="0"/>
          <w:bCs/>
        </w:rPr>
        <w:t>,</w:t>
      </w:r>
      <w:r w:rsidRPr="00243F27">
        <w:rPr>
          <w:b w:val="0"/>
          <w:bCs/>
        </w:rPr>
        <w:t xml:space="preserve"> </w:t>
      </w:r>
      <w:r>
        <w:rPr>
          <w:b w:val="0"/>
          <w:bCs/>
        </w:rPr>
        <w:t>found on its</w:t>
      </w:r>
      <w:r w:rsidRPr="00243F27">
        <w:rPr>
          <w:b w:val="0"/>
          <w:bCs/>
        </w:rPr>
        <w:t xml:space="preserve"> website</w:t>
      </w:r>
      <w:r>
        <w:rPr>
          <w:b w:val="0"/>
          <w:bCs/>
        </w:rPr>
        <w:t>;</w:t>
      </w:r>
      <w:r w:rsidRPr="00243F27">
        <w:rPr>
          <w:b w:val="0"/>
          <w:bCs/>
        </w:rPr>
        <w:t xml:space="preserve"> </w:t>
      </w:r>
      <w:r>
        <w:rPr>
          <w:b w:val="0"/>
          <w:bCs/>
        </w:rPr>
        <w:t>(2) s</w:t>
      </w:r>
      <w:r w:rsidRPr="00243F27">
        <w:rPr>
          <w:b w:val="0"/>
          <w:bCs/>
        </w:rPr>
        <w:t>afety</w:t>
      </w:r>
      <w:r>
        <w:rPr>
          <w:b w:val="0"/>
          <w:bCs/>
        </w:rPr>
        <w:t xml:space="preserve">-related </w:t>
      </w:r>
      <w:r w:rsidR="00AB71BA">
        <w:rPr>
          <w:b w:val="0"/>
          <w:bCs/>
        </w:rPr>
        <w:t>information from</w:t>
      </w:r>
      <w:r>
        <w:rPr>
          <w:b w:val="0"/>
          <w:bCs/>
        </w:rPr>
        <w:t xml:space="preserve"> </w:t>
      </w:r>
      <w:r w:rsidRPr="00243F27">
        <w:rPr>
          <w:b w:val="0"/>
          <w:bCs/>
        </w:rPr>
        <w:t>Lyft’s website</w:t>
      </w:r>
      <w:r w:rsidR="00D34EEB">
        <w:rPr>
          <w:b w:val="0"/>
          <w:bCs/>
        </w:rPr>
        <w:t>;</w:t>
      </w:r>
      <w:r w:rsidRPr="00243F27">
        <w:rPr>
          <w:b w:val="0"/>
          <w:bCs/>
        </w:rPr>
        <w:t xml:space="preserve"> and </w:t>
      </w:r>
      <w:r>
        <w:rPr>
          <w:b w:val="0"/>
          <w:bCs/>
        </w:rPr>
        <w:t xml:space="preserve">(3) </w:t>
      </w:r>
      <w:r w:rsidRPr="00243F27">
        <w:rPr>
          <w:b w:val="0"/>
          <w:bCs/>
        </w:rPr>
        <w:t xml:space="preserve">Lyft’s Community Safety Report, which </w:t>
      </w:r>
      <w:r w:rsidR="000C7A49">
        <w:rPr>
          <w:b w:val="0"/>
          <w:bCs/>
        </w:rPr>
        <w:t xml:space="preserve">Al Shikha </w:t>
      </w:r>
      <w:r w:rsidRPr="00243F27">
        <w:rPr>
          <w:b w:val="0"/>
          <w:bCs/>
        </w:rPr>
        <w:t>obtained from a</w:t>
      </w:r>
      <w:r>
        <w:rPr>
          <w:b w:val="0"/>
          <w:bCs/>
        </w:rPr>
        <w:t xml:space="preserve"> </w:t>
      </w:r>
      <w:r w:rsidRPr="00243F27">
        <w:rPr>
          <w:b w:val="0"/>
          <w:bCs/>
        </w:rPr>
        <w:t>website</w:t>
      </w:r>
      <w:r w:rsidR="00E758A6">
        <w:rPr>
          <w:b w:val="0"/>
          <w:bCs/>
        </w:rPr>
        <w:t xml:space="preserve"> of unknown origin</w:t>
      </w:r>
      <w:r w:rsidRPr="00243F27">
        <w:rPr>
          <w:b w:val="0"/>
          <w:bCs/>
        </w:rPr>
        <w:t xml:space="preserve">. </w:t>
      </w:r>
      <w:r w:rsidR="0018454E">
        <w:rPr>
          <w:b w:val="0"/>
          <w:bCs/>
        </w:rPr>
        <w:t xml:space="preserve"> </w:t>
      </w:r>
      <w:r w:rsidRPr="0018454E" w:rsidR="0018454E">
        <w:rPr>
          <w:b w:val="0"/>
          <w:bCs/>
        </w:rPr>
        <w:t>Lyft has opposed the request for judicial notice.</w:t>
      </w:r>
    </w:p>
    <w:p w:rsidR="00DB7E9F" w:rsidP="00A80D70" w14:paraId="3A11B089" w14:textId="0695277C">
      <w:pPr>
        <w:pStyle w:val="Heading21"/>
        <w:spacing w:before="0" w:after="0"/>
        <w:ind w:left="0" w:firstLine="720"/>
        <w:rPr>
          <w:b w:val="0"/>
          <w:bCs/>
        </w:rPr>
      </w:pPr>
      <w:r>
        <w:rPr>
          <w:b w:val="0"/>
          <w:bCs/>
        </w:rPr>
        <w:t xml:space="preserve">Al Shikha fails to provide a valid statutory basis for this court to take judicial notice of the documents.  He cites </w:t>
      </w:r>
      <w:r w:rsidRPr="00E95CB4">
        <w:rPr>
          <w:b w:val="0"/>
          <w:bCs/>
        </w:rPr>
        <w:t>Evidence Code section 452, subdivision (d), which authorizes us to take judicial notice of court records</w:t>
      </w:r>
      <w:r>
        <w:rPr>
          <w:b w:val="0"/>
          <w:bCs/>
        </w:rPr>
        <w:t>, but there</w:t>
      </w:r>
      <w:r w:rsidRPr="00E95CB4">
        <w:rPr>
          <w:b w:val="0"/>
          <w:bCs/>
        </w:rPr>
        <w:t xml:space="preserve"> is no indication these documents are court records.  </w:t>
      </w:r>
      <w:r>
        <w:rPr>
          <w:b w:val="0"/>
          <w:bCs/>
        </w:rPr>
        <w:t xml:space="preserve">Further, while Al Shikha recognizes that </w:t>
      </w:r>
      <w:r w:rsidRPr="00243F27">
        <w:rPr>
          <w:b w:val="0"/>
          <w:bCs/>
        </w:rPr>
        <w:t>“</w:t>
      </w:r>
      <w:r w:rsidR="002F1233">
        <w:rPr>
          <w:b w:val="0"/>
          <w:bCs/>
        </w:rPr>
        <w:t>[</w:t>
      </w:r>
      <w:r w:rsidRPr="00243F27">
        <w:rPr>
          <w:b w:val="0"/>
          <w:bCs/>
        </w:rPr>
        <w:t>w</w:t>
      </w:r>
      <w:r w:rsidR="007146B3">
        <w:rPr>
          <w:b w:val="0"/>
          <w:bCs/>
        </w:rPr>
        <w:t>]</w:t>
      </w:r>
      <w:r w:rsidRPr="00243F27">
        <w:rPr>
          <w:b w:val="0"/>
          <w:bCs/>
        </w:rPr>
        <w:t xml:space="preserve">e may not take judicial notice of the truth of </w:t>
      </w:r>
      <w:r w:rsidR="007146B3">
        <w:rPr>
          <w:b w:val="0"/>
          <w:bCs/>
        </w:rPr>
        <w:t xml:space="preserve">the </w:t>
      </w:r>
      <w:r w:rsidRPr="00243F27">
        <w:rPr>
          <w:b w:val="0"/>
          <w:bCs/>
        </w:rPr>
        <w:t>contents of a website” (</w:t>
      </w:r>
      <w:r w:rsidRPr="00243F27">
        <w:rPr>
          <w:b w:val="0"/>
          <w:bCs/>
          <w:i/>
          <w:iCs/>
        </w:rPr>
        <w:t xml:space="preserve">LG Chem, Ltd. </w:t>
      </w:r>
      <w:r w:rsidR="00B46D78">
        <w:rPr>
          <w:b w:val="0"/>
          <w:bCs/>
          <w:i/>
          <w:iCs/>
        </w:rPr>
        <w:t>v</w:t>
      </w:r>
      <w:r w:rsidRPr="00243F27">
        <w:rPr>
          <w:b w:val="0"/>
          <w:bCs/>
          <w:i/>
          <w:iCs/>
        </w:rPr>
        <w:t xml:space="preserve">. Superior Court </w:t>
      </w:r>
      <w:r w:rsidRPr="00243F27">
        <w:rPr>
          <w:b w:val="0"/>
          <w:bCs/>
        </w:rPr>
        <w:t>(2022) 80 Cal.App.5th 348, 362, fn. 7)</w:t>
      </w:r>
      <w:r>
        <w:rPr>
          <w:b w:val="0"/>
          <w:bCs/>
        </w:rPr>
        <w:t>, he nonetheless requests that we</w:t>
      </w:r>
      <w:r w:rsidR="007C2D17">
        <w:rPr>
          <w:b w:val="0"/>
          <w:bCs/>
        </w:rPr>
        <w:t xml:space="preserve"> </w:t>
      </w:r>
      <w:r>
        <w:rPr>
          <w:b w:val="0"/>
          <w:bCs/>
        </w:rPr>
        <w:t>take judicial notice of the truth of portions of the documents.  For example, he asserts the</w:t>
      </w:r>
      <w:r w:rsidRPr="00243F27">
        <w:rPr>
          <w:b w:val="0"/>
          <w:bCs/>
        </w:rPr>
        <w:t xml:space="preserve"> Terms of Service</w:t>
      </w:r>
      <w:r>
        <w:rPr>
          <w:b w:val="0"/>
          <w:bCs/>
        </w:rPr>
        <w:t xml:space="preserve"> demonstrate that Lyft </w:t>
      </w:r>
      <w:r w:rsidRPr="00243F27">
        <w:rPr>
          <w:b w:val="0"/>
          <w:bCs/>
        </w:rPr>
        <w:t>“can (and now does) obtain rider consent for background checks</w:t>
      </w:r>
      <w:r>
        <w:rPr>
          <w:b w:val="0"/>
          <w:bCs/>
        </w:rPr>
        <w:t>.</w:t>
      </w:r>
      <w:r w:rsidRPr="00243F27">
        <w:rPr>
          <w:b w:val="0"/>
          <w:bCs/>
        </w:rPr>
        <w:t>”</w:t>
      </w:r>
      <w:r>
        <w:rPr>
          <w:b w:val="0"/>
          <w:bCs/>
        </w:rPr>
        <w:t xml:space="preserve">  Similarly, he asserts the proffered documents are relevant to demonstrate</w:t>
      </w:r>
      <w:r w:rsidRPr="00243F27">
        <w:rPr>
          <w:b w:val="0"/>
          <w:bCs/>
        </w:rPr>
        <w:t xml:space="preserve"> Lyft’s </w:t>
      </w:r>
      <w:r>
        <w:rPr>
          <w:b w:val="0"/>
          <w:bCs/>
        </w:rPr>
        <w:t>“</w:t>
      </w:r>
      <w:r w:rsidRPr="00243F27">
        <w:rPr>
          <w:b w:val="0"/>
          <w:bCs/>
        </w:rPr>
        <w:t>knowledge of and general state of mind regarding safety</w:t>
      </w:r>
      <w:r>
        <w:rPr>
          <w:b w:val="0"/>
          <w:bCs/>
        </w:rPr>
        <w:t xml:space="preserve"> issues</w:t>
      </w:r>
      <w:r w:rsidR="00562F4F">
        <w:rPr>
          <w:b w:val="0"/>
          <w:bCs/>
        </w:rPr>
        <w:t xml:space="preserve"> </w:t>
      </w:r>
      <w:r>
        <w:rPr>
          <w:b w:val="0"/>
          <w:bCs/>
        </w:rPr>
        <w:t>.</w:t>
      </w:r>
      <w:r w:rsidR="00562F4F">
        <w:rPr>
          <w:b w:val="0"/>
          <w:bCs/>
        </w:rPr>
        <w:t xml:space="preserve"> . . .</w:t>
      </w:r>
      <w:r>
        <w:rPr>
          <w:b w:val="0"/>
          <w:bCs/>
        </w:rPr>
        <w:t xml:space="preserve">”  </w:t>
      </w:r>
      <w:r w:rsidR="00833EF5">
        <w:rPr>
          <w:b w:val="0"/>
          <w:bCs/>
        </w:rPr>
        <w:t xml:space="preserve">However, </w:t>
      </w:r>
      <w:r>
        <w:rPr>
          <w:b w:val="0"/>
          <w:bCs/>
        </w:rPr>
        <w:t>“</w:t>
      </w:r>
      <w:r w:rsidR="00833EF5">
        <w:rPr>
          <w:b w:val="0"/>
          <w:bCs/>
        </w:rPr>
        <w:t>[t]</w:t>
      </w:r>
      <w:r w:rsidRPr="00243F27">
        <w:rPr>
          <w:b w:val="0"/>
          <w:bCs/>
        </w:rPr>
        <w:t xml:space="preserve">he contents of </w:t>
      </w:r>
      <w:r w:rsidR="005A4B9F">
        <w:rPr>
          <w:b w:val="0"/>
          <w:bCs/>
        </w:rPr>
        <w:t xml:space="preserve">. . . </w:t>
      </w:r>
      <w:r w:rsidRPr="00243F27">
        <w:rPr>
          <w:b w:val="0"/>
          <w:bCs/>
        </w:rPr>
        <w:t xml:space="preserve">Web sites </w:t>
      </w:r>
      <w:r>
        <w:rPr>
          <w:b w:val="0"/>
          <w:bCs/>
        </w:rPr>
        <w:t>.</w:t>
      </w:r>
      <w:r w:rsidR="00EB1E4C">
        <w:rPr>
          <w:b w:val="0"/>
          <w:bCs/>
        </w:rPr>
        <w:t> </w:t>
      </w:r>
      <w:r>
        <w:rPr>
          <w:b w:val="0"/>
          <w:bCs/>
        </w:rPr>
        <w:t>.</w:t>
      </w:r>
      <w:r w:rsidR="00EB1E4C">
        <w:rPr>
          <w:b w:val="0"/>
          <w:bCs/>
        </w:rPr>
        <w:t> </w:t>
      </w:r>
      <w:r>
        <w:rPr>
          <w:b w:val="0"/>
          <w:bCs/>
        </w:rPr>
        <w:t>.</w:t>
      </w:r>
      <w:r w:rsidRPr="00243F27">
        <w:rPr>
          <w:b w:val="0"/>
          <w:bCs/>
        </w:rPr>
        <w:t xml:space="preserve"> are ‘</w:t>
      </w:r>
      <w:r w:rsidR="0068156C">
        <w:rPr>
          <w:b w:val="0"/>
          <w:bCs/>
        </w:rPr>
        <w:t>plainly</w:t>
      </w:r>
      <w:r w:rsidRPr="00243F27" w:rsidR="0068156C">
        <w:rPr>
          <w:b w:val="0"/>
          <w:bCs/>
        </w:rPr>
        <w:t xml:space="preserve"> </w:t>
      </w:r>
      <w:r w:rsidRPr="00243F27">
        <w:rPr>
          <w:b w:val="0"/>
          <w:bCs/>
        </w:rPr>
        <w:t xml:space="preserve">subject to interpretation and for that reason not subject to judicial notice.’ </w:t>
      </w:r>
      <w:r w:rsidR="00EB1E4C">
        <w:rPr>
          <w:b w:val="0"/>
          <w:bCs/>
        </w:rPr>
        <w:t xml:space="preserve"> </w:t>
      </w:r>
      <w:r w:rsidRPr="00243F27">
        <w:rPr>
          <w:b w:val="0"/>
          <w:bCs/>
        </w:rPr>
        <w:t>[Citation.]”  (</w:t>
      </w:r>
      <w:r w:rsidRPr="00243F27">
        <w:rPr>
          <w:b w:val="0"/>
          <w:bCs/>
          <w:i/>
          <w:iCs/>
        </w:rPr>
        <w:t>Ragland v. U.S. Bank National Assn.</w:t>
      </w:r>
      <w:r w:rsidRPr="00243F27">
        <w:rPr>
          <w:b w:val="0"/>
          <w:bCs/>
        </w:rPr>
        <w:t xml:space="preserve"> (2012) 209 Cal.App.4th 182, 194.)</w:t>
      </w:r>
    </w:p>
    <w:p w:rsidR="00A80D70" w:rsidP="00A80D70" w14:paraId="7C128B2E" w14:textId="11A724C1">
      <w:pPr>
        <w:pStyle w:val="Heading21"/>
        <w:spacing w:before="0" w:after="0"/>
        <w:ind w:left="0" w:firstLine="720"/>
        <w:rPr>
          <w:b w:val="0"/>
          <w:bCs/>
        </w:rPr>
      </w:pPr>
      <w:r>
        <w:rPr>
          <w:b w:val="0"/>
          <w:bCs/>
        </w:rPr>
        <w:t xml:space="preserve">We additionally note that Al Shikha </w:t>
      </w:r>
      <w:r w:rsidR="00833EF5">
        <w:rPr>
          <w:b w:val="0"/>
          <w:bCs/>
        </w:rPr>
        <w:t>neither asked</w:t>
      </w:r>
      <w:r>
        <w:rPr>
          <w:b w:val="0"/>
          <w:bCs/>
        </w:rPr>
        <w:t xml:space="preserve"> the trial court to take judicial notice of these documents </w:t>
      </w:r>
      <w:r w:rsidR="00833EF5">
        <w:rPr>
          <w:b w:val="0"/>
          <w:bCs/>
        </w:rPr>
        <w:t>n</w:t>
      </w:r>
      <w:r>
        <w:rPr>
          <w:b w:val="0"/>
          <w:bCs/>
        </w:rPr>
        <w:t>or present</w:t>
      </w:r>
      <w:r w:rsidR="00833EF5">
        <w:rPr>
          <w:b w:val="0"/>
          <w:bCs/>
        </w:rPr>
        <w:t>ed</w:t>
      </w:r>
      <w:r>
        <w:rPr>
          <w:b w:val="0"/>
          <w:bCs/>
        </w:rPr>
        <w:t xml:space="preserve"> them in any form below.  “</w:t>
      </w:r>
      <w:r w:rsidRPr="00243F27">
        <w:rPr>
          <w:b w:val="0"/>
          <w:bCs/>
        </w:rPr>
        <w:t xml:space="preserve">Reviewing courts generally do not take judicial </w:t>
      </w:r>
      <w:r>
        <w:rPr>
          <w:b w:val="0"/>
          <w:bCs/>
        </w:rPr>
        <w:t>notice</w:t>
      </w:r>
      <w:r w:rsidRPr="00243F27">
        <w:rPr>
          <w:b w:val="0"/>
          <w:bCs/>
        </w:rPr>
        <w:t xml:space="preserve"> of </w:t>
      </w:r>
      <w:r>
        <w:rPr>
          <w:b w:val="0"/>
          <w:bCs/>
        </w:rPr>
        <w:t>evidence</w:t>
      </w:r>
      <w:r w:rsidRPr="00243F27">
        <w:rPr>
          <w:b w:val="0"/>
          <w:bCs/>
        </w:rPr>
        <w:t xml:space="preserve"> not presented to the trial court</w:t>
      </w:r>
      <w:r>
        <w:rPr>
          <w:b w:val="0"/>
          <w:bCs/>
        </w:rPr>
        <w:t>.”</w:t>
      </w:r>
      <w:r w:rsidRPr="00243F27">
        <w:rPr>
          <w:b w:val="0"/>
          <w:bCs/>
        </w:rPr>
        <w:t xml:space="preserve">  </w:t>
      </w:r>
      <w:r>
        <w:rPr>
          <w:b w:val="0"/>
          <w:bCs/>
        </w:rPr>
        <w:t>(</w:t>
      </w:r>
      <w:r w:rsidRPr="00F45E95">
        <w:rPr>
          <w:b w:val="0"/>
          <w:bCs/>
          <w:i/>
          <w:iCs/>
        </w:rPr>
        <w:t>Vons Companies, Inc. v. Seabest Foods, Inc.</w:t>
      </w:r>
      <w:r w:rsidRPr="00F45E95">
        <w:rPr>
          <w:b w:val="0"/>
          <w:bCs/>
        </w:rPr>
        <w:t xml:space="preserve"> (1996) 14 Cal.4th 434, 444</w:t>
      </w:r>
      <w:r>
        <w:rPr>
          <w:b w:val="0"/>
          <w:bCs/>
        </w:rPr>
        <w:t>, fn. 3.)  “I</w:t>
      </w:r>
      <w:r w:rsidRPr="00E07798">
        <w:rPr>
          <w:b w:val="0"/>
          <w:bCs/>
        </w:rPr>
        <w:t xml:space="preserve">n exceptional circumstances, an appellate court can, but is not required </w:t>
      </w:r>
      <w:r w:rsidR="00F32989">
        <w:rPr>
          <w:b w:val="0"/>
          <w:bCs/>
        </w:rPr>
        <w:t>t</w:t>
      </w:r>
      <w:r w:rsidRPr="00E07798">
        <w:rPr>
          <w:b w:val="0"/>
          <w:bCs/>
        </w:rPr>
        <w:t>o, take judicial notice of material that was not presented to the trial court in the first instance.</w:t>
      </w:r>
      <w:r>
        <w:rPr>
          <w:b w:val="0"/>
          <w:bCs/>
        </w:rPr>
        <w:t>”  (</w:t>
      </w:r>
      <w:r w:rsidRPr="00E95CB4">
        <w:rPr>
          <w:b w:val="0"/>
          <w:bCs/>
          <w:i/>
          <w:iCs/>
        </w:rPr>
        <w:t>Adams</w:t>
      </w:r>
      <w:r w:rsidRPr="00534867" w:rsidR="000C617E">
        <w:rPr>
          <w:b w:val="0"/>
          <w:bCs/>
        </w:rPr>
        <w:t>,</w:t>
      </w:r>
      <w:r w:rsidR="000C617E">
        <w:rPr>
          <w:b w:val="0"/>
          <w:bCs/>
          <w:i/>
          <w:iCs/>
        </w:rPr>
        <w:t xml:space="preserve"> supra</w:t>
      </w:r>
      <w:r w:rsidRPr="00534867" w:rsidR="000C617E">
        <w:rPr>
          <w:b w:val="0"/>
          <w:bCs/>
        </w:rPr>
        <w:t>,</w:t>
      </w:r>
      <w:r w:rsidR="000C617E">
        <w:rPr>
          <w:b w:val="0"/>
          <w:bCs/>
          <w:i/>
          <w:iCs/>
        </w:rPr>
        <w:t xml:space="preserve"> </w:t>
      </w:r>
      <w:r w:rsidRPr="00E95CB4">
        <w:rPr>
          <w:b w:val="0"/>
          <w:bCs/>
        </w:rPr>
        <w:t xml:space="preserve">51 Cal.App.5th </w:t>
      </w:r>
      <w:r w:rsidR="000C617E">
        <w:rPr>
          <w:b w:val="0"/>
          <w:bCs/>
        </w:rPr>
        <w:t xml:space="preserve">at p. </w:t>
      </w:r>
      <w:r w:rsidRPr="00E95CB4">
        <w:rPr>
          <w:b w:val="0"/>
          <w:bCs/>
        </w:rPr>
        <w:t>67</w:t>
      </w:r>
      <w:r w:rsidR="00615990">
        <w:rPr>
          <w:b w:val="0"/>
          <w:bCs/>
        </w:rPr>
        <w:t>3</w:t>
      </w:r>
      <w:r>
        <w:rPr>
          <w:b w:val="0"/>
          <w:bCs/>
        </w:rPr>
        <w:t>, fn. 4</w:t>
      </w:r>
      <w:r w:rsidRPr="00E95CB4">
        <w:rPr>
          <w:b w:val="0"/>
          <w:bCs/>
        </w:rPr>
        <w:t>.</w:t>
      </w:r>
      <w:r>
        <w:rPr>
          <w:b w:val="0"/>
          <w:bCs/>
        </w:rPr>
        <w:t xml:space="preserve">)  </w:t>
      </w:r>
      <w:r w:rsidRPr="00243F27">
        <w:rPr>
          <w:b w:val="0"/>
          <w:bCs/>
        </w:rPr>
        <w:t xml:space="preserve">Al Shikha </w:t>
      </w:r>
      <w:r>
        <w:rPr>
          <w:b w:val="0"/>
          <w:bCs/>
        </w:rPr>
        <w:t>presents no such exceptional circumstances here.</w:t>
      </w:r>
    </w:p>
    <w:p w:rsidR="00A80D70" w:rsidP="00A80D70" w14:paraId="6E7266FC" w14:textId="7CE70A9C">
      <w:pPr>
        <w:pStyle w:val="Heading21"/>
        <w:spacing w:before="0" w:after="0"/>
        <w:ind w:left="0" w:firstLine="720"/>
        <w:rPr>
          <w:b w:val="0"/>
          <w:bCs/>
        </w:rPr>
      </w:pPr>
      <w:r>
        <w:rPr>
          <w:b w:val="0"/>
          <w:bCs/>
        </w:rPr>
        <w:t>We deny the request for judicial notice.</w:t>
      </w:r>
    </w:p>
    <w:p w:rsidR="00F916FB" w:rsidP="005A776B" w14:paraId="2280DC96" w14:textId="5B69F1FB">
      <w:pPr>
        <w:pStyle w:val="Heading21"/>
        <w:keepNext/>
        <w:numPr>
          <w:ilvl w:val="0"/>
          <w:numId w:val="15"/>
        </w:numPr>
        <w:spacing w:before="0" w:after="0"/>
        <w:ind w:left="720"/>
      </w:pPr>
      <w:r>
        <w:t>The Duty to Protect Others from Third</w:t>
      </w:r>
      <w:r w:rsidR="000F7B60">
        <w:t xml:space="preserve"> </w:t>
      </w:r>
      <w:r>
        <w:t>Party Conduct</w:t>
      </w:r>
    </w:p>
    <w:p w:rsidR="00F11A3D" w:rsidP="006E6907" w14:paraId="71C245A2" w14:textId="6EDCBFA9">
      <w:pPr>
        <w:pStyle w:val="Heading21"/>
        <w:spacing w:before="0" w:after="0"/>
        <w:ind w:left="0" w:firstLine="720"/>
        <w:rPr>
          <w:b w:val="0"/>
          <w:bCs/>
        </w:rPr>
      </w:pPr>
      <w:r>
        <w:rPr>
          <w:b w:val="0"/>
          <w:bCs/>
        </w:rPr>
        <w:t>“</w:t>
      </w:r>
      <w:r w:rsidR="0089427B">
        <w:rPr>
          <w:b w:val="0"/>
          <w:bCs/>
        </w:rPr>
        <w:t>T</w:t>
      </w:r>
      <w:r w:rsidRPr="00215C4A" w:rsidR="00215C4A">
        <w:rPr>
          <w:b w:val="0"/>
          <w:bCs/>
        </w:rPr>
        <w:t xml:space="preserve">o establish a cause of action for negligence, the plaintiff must show that the </w:t>
      </w:r>
      <w:r>
        <w:rPr>
          <w:b w:val="0"/>
          <w:bCs/>
        </w:rPr>
        <w:t>‘</w:t>
      </w:r>
      <w:r w:rsidRPr="00215C4A" w:rsidR="00215C4A">
        <w:rPr>
          <w:b w:val="0"/>
          <w:bCs/>
        </w:rPr>
        <w:t>defendant had a duty to use due care, that he breached that duty, and that the breach was the proximate or legal cause of the resulting injury.</w:t>
      </w:r>
      <w:r>
        <w:rPr>
          <w:b w:val="0"/>
          <w:bCs/>
        </w:rPr>
        <w:t>’</w:t>
      </w:r>
      <w:r w:rsidR="00D52F04">
        <w:rPr>
          <w:b w:val="0"/>
          <w:bCs/>
        </w:rPr>
        <w:t xml:space="preserve">  [Citation.]  </w:t>
      </w:r>
      <w:r w:rsidRPr="00215C4A" w:rsidR="00215C4A">
        <w:rPr>
          <w:b w:val="0"/>
          <w:bCs/>
        </w:rPr>
        <w:t>Recovery for negligence depends as a threshold matter on the existence of a legal duty of care.</w:t>
      </w:r>
      <w:r>
        <w:rPr>
          <w:b w:val="0"/>
          <w:bCs/>
        </w:rPr>
        <w:t>”</w:t>
      </w:r>
      <w:r w:rsidR="00860BB8">
        <w:rPr>
          <w:b w:val="0"/>
          <w:bCs/>
        </w:rPr>
        <w:t xml:space="preserve">  </w:t>
      </w:r>
      <w:r>
        <w:rPr>
          <w:b w:val="0"/>
          <w:bCs/>
        </w:rPr>
        <w:t>(</w:t>
      </w:r>
      <w:r w:rsidRPr="00490735">
        <w:rPr>
          <w:b w:val="0"/>
          <w:bCs/>
          <w:i/>
          <w:iCs/>
        </w:rPr>
        <w:t>Brown v. USA Taekwondo</w:t>
      </w:r>
      <w:r w:rsidRPr="00490735">
        <w:rPr>
          <w:b w:val="0"/>
          <w:bCs/>
        </w:rPr>
        <w:t xml:space="preserve"> (2021) 11 Cal.5th 204, 213</w:t>
      </w:r>
      <w:r>
        <w:rPr>
          <w:b w:val="0"/>
          <w:bCs/>
        </w:rPr>
        <w:t xml:space="preserve"> (</w:t>
      </w:r>
      <w:r w:rsidRPr="00490735">
        <w:rPr>
          <w:b w:val="0"/>
          <w:bCs/>
          <w:i/>
          <w:iCs/>
        </w:rPr>
        <w:t>Brown</w:t>
      </w:r>
      <w:r>
        <w:rPr>
          <w:b w:val="0"/>
          <w:bCs/>
        </w:rPr>
        <w:t>).)</w:t>
      </w:r>
      <w:r w:rsidR="0004204D">
        <w:rPr>
          <w:b w:val="0"/>
          <w:bCs/>
        </w:rPr>
        <w:t xml:space="preserve">  “</w:t>
      </w:r>
      <w:r w:rsidRPr="00215C4A" w:rsidR="00215C4A">
        <w:rPr>
          <w:b w:val="0"/>
          <w:bCs/>
        </w:rPr>
        <w:t>Whether a duty exists is a question of law to be resolved by the court</w:t>
      </w:r>
      <w:r w:rsidR="0004204D">
        <w:rPr>
          <w:b w:val="0"/>
          <w:bCs/>
        </w:rPr>
        <w:t>.”  (</w:t>
      </w:r>
      <w:r w:rsidRPr="00AA156C" w:rsidR="00AA156C">
        <w:rPr>
          <w:b w:val="0"/>
          <w:bCs/>
          <w:i/>
          <w:iCs/>
        </w:rPr>
        <w:t>Ibid</w:t>
      </w:r>
      <w:r w:rsidR="00AA156C">
        <w:rPr>
          <w:b w:val="0"/>
          <w:bCs/>
        </w:rPr>
        <w:t>.</w:t>
      </w:r>
      <w:r w:rsidR="00DE1D34">
        <w:rPr>
          <w:b w:val="0"/>
          <w:bCs/>
        </w:rPr>
        <w:t>)</w:t>
      </w:r>
    </w:p>
    <w:p w:rsidR="000D0290" w:rsidRPr="00EE0CC5" w:rsidP="00EE0CC5" w14:paraId="7F3394D4" w14:textId="20841F42">
      <w:pPr>
        <w:pStyle w:val="Heading21"/>
        <w:spacing w:before="0" w:after="0"/>
        <w:ind w:left="0" w:firstLine="720"/>
      </w:pPr>
      <w:r w:rsidRPr="00601C08">
        <w:rPr>
          <w:b w:val="0"/>
          <w:bCs/>
        </w:rPr>
        <w:t xml:space="preserve">“In general, each person has a duty to act with reasonable care under the circumstances.” </w:t>
      </w:r>
      <w:r w:rsidR="00095177">
        <w:rPr>
          <w:b w:val="0"/>
          <w:bCs/>
        </w:rPr>
        <w:t xml:space="preserve"> </w:t>
      </w:r>
      <w:r w:rsidRPr="00601C08">
        <w:rPr>
          <w:b w:val="0"/>
          <w:bCs/>
        </w:rPr>
        <w:t>(</w:t>
      </w:r>
      <w:r w:rsidRPr="001B154E">
        <w:rPr>
          <w:b w:val="0"/>
          <w:bCs/>
          <w:i/>
          <w:iCs/>
        </w:rPr>
        <w:t>Regents</w:t>
      </w:r>
      <w:r>
        <w:rPr>
          <w:b w:val="0"/>
          <w:bCs/>
          <w:i/>
          <w:iCs/>
        </w:rPr>
        <w:t xml:space="preserve"> of University of California v. Superior Court</w:t>
      </w:r>
      <w:r>
        <w:rPr>
          <w:b w:val="0"/>
          <w:bCs/>
        </w:rPr>
        <w:t xml:space="preserve"> (2018) </w:t>
      </w:r>
      <w:r w:rsidRPr="001B154E">
        <w:rPr>
          <w:b w:val="0"/>
          <w:bCs/>
        </w:rPr>
        <w:t xml:space="preserve">4 Cal.5th </w:t>
      </w:r>
      <w:r>
        <w:rPr>
          <w:b w:val="0"/>
          <w:bCs/>
        </w:rPr>
        <w:t>607,</w:t>
      </w:r>
      <w:r w:rsidRPr="001B154E">
        <w:rPr>
          <w:b w:val="0"/>
          <w:bCs/>
        </w:rPr>
        <w:t xml:space="preserve"> 6</w:t>
      </w:r>
      <w:r>
        <w:rPr>
          <w:b w:val="0"/>
          <w:bCs/>
        </w:rPr>
        <w:t>19 (</w:t>
      </w:r>
      <w:r w:rsidRPr="001B154E">
        <w:rPr>
          <w:b w:val="0"/>
          <w:bCs/>
          <w:i/>
          <w:iCs/>
        </w:rPr>
        <w:t>Regents</w:t>
      </w:r>
      <w:r w:rsidRPr="00D43FB9" w:rsidR="007C2D17">
        <w:rPr>
          <w:b w:val="0"/>
          <w:bCs/>
        </w:rPr>
        <w:t>)</w:t>
      </w:r>
      <w:r>
        <w:rPr>
          <w:b w:val="0"/>
          <w:bCs/>
        </w:rPr>
        <w:t xml:space="preserve">.) </w:t>
      </w:r>
      <w:r w:rsidR="00624A3C">
        <w:rPr>
          <w:b w:val="0"/>
          <w:bCs/>
        </w:rPr>
        <w:t xml:space="preserve"> </w:t>
      </w:r>
      <w:r w:rsidRPr="00601C08">
        <w:rPr>
          <w:b w:val="0"/>
          <w:bCs/>
        </w:rPr>
        <w:t xml:space="preserve">“However, ‘one owes no duty to control the conduct of another, nor to warn those endangered by such conduct.’ </w:t>
      </w:r>
      <w:r w:rsidR="00534867">
        <w:rPr>
          <w:b w:val="0"/>
          <w:bCs/>
        </w:rPr>
        <w:t xml:space="preserve"> </w:t>
      </w:r>
      <w:r w:rsidR="00C252EB">
        <w:rPr>
          <w:b w:val="0"/>
          <w:bCs/>
        </w:rPr>
        <w:t>[Citation.]</w:t>
      </w:r>
      <w:r w:rsidRPr="00601C08">
        <w:rPr>
          <w:b w:val="0"/>
          <w:bCs/>
        </w:rPr>
        <w:t xml:space="preserve">” </w:t>
      </w:r>
      <w:r w:rsidR="00534867">
        <w:rPr>
          <w:b w:val="0"/>
          <w:bCs/>
        </w:rPr>
        <w:t xml:space="preserve"> </w:t>
      </w:r>
      <w:r w:rsidRPr="00601C08">
        <w:rPr>
          <w:b w:val="0"/>
          <w:bCs/>
        </w:rPr>
        <w:t>(</w:t>
      </w:r>
      <w:r w:rsidRPr="002F1827">
        <w:rPr>
          <w:b w:val="0"/>
          <w:bCs/>
          <w:i/>
          <w:iCs/>
        </w:rPr>
        <w:t>Ibid</w:t>
      </w:r>
      <w:r w:rsidRPr="00534867">
        <w:rPr>
          <w:b w:val="0"/>
          <w:bCs/>
        </w:rPr>
        <w:t>.</w:t>
      </w:r>
      <w:r w:rsidRPr="00601C08">
        <w:rPr>
          <w:b w:val="0"/>
          <w:bCs/>
        </w:rPr>
        <w:t xml:space="preserve">; accord, </w:t>
      </w:r>
      <w:r w:rsidRPr="00BB15C8">
        <w:rPr>
          <w:b w:val="0"/>
          <w:bCs/>
          <w:i/>
          <w:iCs/>
        </w:rPr>
        <w:t>Delgado v. Trax Bar &amp; Grill</w:t>
      </w:r>
      <w:r w:rsidRPr="00601C08">
        <w:rPr>
          <w:b w:val="0"/>
          <w:bCs/>
        </w:rPr>
        <w:t xml:space="preserve"> (2005) 36 Cal.4th 224, 235.)</w:t>
      </w:r>
      <w:r>
        <w:rPr>
          <w:b w:val="0"/>
          <w:bCs/>
        </w:rPr>
        <w:t xml:space="preserve">  </w:t>
      </w:r>
      <w:r w:rsidR="006E7062">
        <w:rPr>
          <w:b w:val="0"/>
          <w:bCs/>
        </w:rPr>
        <w:t xml:space="preserve">While </w:t>
      </w:r>
      <w:r w:rsidRPr="001B154E" w:rsidR="006E7062">
        <w:rPr>
          <w:b w:val="0"/>
          <w:bCs/>
        </w:rPr>
        <w:t>“there is generally no duty to protect others from the conduct of third parties</w:t>
      </w:r>
      <w:r w:rsidR="006E7062">
        <w:rPr>
          <w:b w:val="0"/>
          <w:bCs/>
        </w:rPr>
        <w:t>[,]</w:t>
      </w:r>
      <w:r w:rsidRPr="001B154E" w:rsidR="006E7062">
        <w:rPr>
          <w:b w:val="0"/>
          <w:bCs/>
        </w:rPr>
        <w:t xml:space="preserve"> </w:t>
      </w:r>
      <w:r w:rsidR="006E7062">
        <w:rPr>
          <w:b w:val="0"/>
          <w:bCs/>
        </w:rPr>
        <w:t>[t]</w:t>
      </w:r>
      <w:r w:rsidRPr="001B154E" w:rsidR="006E7062">
        <w:rPr>
          <w:b w:val="0"/>
          <w:bCs/>
        </w:rPr>
        <w:t xml:space="preserve">he </w:t>
      </w:r>
      <w:r w:rsidR="006E7062">
        <w:rPr>
          <w:b w:val="0"/>
          <w:bCs/>
        </w:rPr>
        <w:t>‘</w:t>
      </w:r>
      <w:r w:rsidRPr="001B154E" w:rsidR="006E7062">
        <w:rPr>
          <w:b w:val="0"/>
          <w:bCs/>
        </w:rPr>
        <w:t>special relationship</w:t>
      </w:r>
      <w:r w:rsidR="006E7062">
        <w:rPr>
          <w:b w:val="0"/>
          <w:bCs/>
        </w:rPr>
        <w:t>’</w:t>
      </w:r>
      <w:r w:rsidRPr="001B154E" w:rsidR="006E7062">
        <w:rPr>
          <w:b w:val="0"/>
          <w:bCs/>
        </w:rPr>
        <w:t xml:space="preserve"> doctrine is an exception to this general rule.</w:t>
      </w:r>
      <w:r w:rsidR="006E7062">
        <w:rPr>
          <w:b w:val="0"/>
          <w:bCs/>
        </w:rPr>
        <w:t>”  (</w:t>
      </w:r>
      <w:r w:rsidRPr="001B154E" w:rsidR="006E7062">
        <w:rPr>
          <w:b w:val="0"/>
          <w:bCs/>
          <w:i/>
          <w:iCs/>
        </w:rPr>
        <w:t>Regents</w:t>
      </w:r>
      <w:r w:rsidR="000A705D">
        <w:rPr>
          <w:b w:val="0"/>
          <w:bCs/>
        </w:rPr>
        <w:t>,</w:t>
      </w:r>
      <w:r w:rsidRPr="001B154E" w:rsidR="006E7062">
        <w:rPr>
          <w:b w:val="0"/>
          <w:bCs/>
        </w:rPr>
        <w:t xml:space="preserve"> </w:t>
      </w:r>
      <w:r w:rsidR="006872A1">
        <w:rPr>
          <w:b w:val="0"/>
          <w:bCs/>
        </w:rPr>
        <w:t xml:space="preserve">at p. </w:t>
      </w:r>
      <w:r w:rsidRPr="001B154E" w:rsidR="006E7062">
        <w:rPr>
          <w:b w:val="0"/>
          <w:bCs/>
        </w:rPr>
        <w:t>627</w:t>
      </w:r>
      <w:r w:rsidR="006E7062">
        <w:rPr>
          <w:b w:val="0"/>
          <w:bCs/>
        </w:rPr>
        <w:t xml:space="preserve">.)  </w:t>
      </w:r>
      <w:r w:rsidRPr="003A3DF5" w:rsidR="00B705FA">
        <w:rPr>
          <w:b w:val="0"/>
          <w:bCs/>
        </w:rPr>
        <w:t>“</w:t>
      </w:r>
      <w:r w:rsidR="00085AFB">
        <w:rPr>
          <w:b w:val="0"/>
          <w:bCs/>
        </w:rPr>
        <w:t>I</w:t>
      </w:r>
      <w:r w:rsidRPr="003A3DF5" w:rsidR="00B705FA">
        <w:rPr>
          <w:b w:val="0"/>
          <w:bCs/>
        </w:rPr>
        <w:t xml:space="preserve">n a case involving harm caused by a third party, a person may have an affirmative duty to protect the victim of another’s harm if that person is in what the law calls a ‘special relationship’ with either the victim or the person who created the harm.”  </w:t>
      </w:r>
      <w:r w:rsidRPr="003A3DF5" w:rsidR="00CD516A">
        <w:rPr>
          <w:b w:val="0"/>
          <w:bCs/>
        </w:rPr>
        <w:t>(</w:t>
      </w:r>
      <w:r w:rsidRPr="003A3DF5" w:rsidR="00B705FA">
        <w:rPr>
          <w:b w:val="0"/>
          <w:bCs/>
          <w:i/>
          <w:iCs/>
        </w:rPr>
        <w:t>Brown</w:t>
      </w:r>
      <w:r w:rsidRPr="003A3DF5" w:rsidR="00CD516A">
        <w:rPr>
          <w:b w:val="0"/>
          <w:bCs/>
        </w:rPr>
        <w:t xml:space="preserve">, </w:t>
      </w:r>
      <w:r w:rsidRPr="003A3DF5" w:rsidR="00CD516A">
        <w:rPr>
          <w:b w:val="0"/>
          <w:bCs/>
          <w:i/>
          <w:iCs/>
        </w:rPr>
        <w:t>supra</w:t>
      </w:r>
      <w:r w:rsidRPr="003A3DF5" w:rsidR="00CD516A">
        <w:rPr>
          <w:b w:val="0"/>
          <w:bCs/>
        </w:rPr>
        <w:t xml:space="preserve">, </w:t>
      </w:r>
      <w:r w:rsidRPr="003A3DF5" w:rsidR="00B705FA">
        <w:rPr>
          <w:b w:val="0"/>
          <w:bCs/>
        </w:rPr>
        <w:t xml:space="preserve">11 Cal.5th </w:t>
      </w:r>
      <w:r w:rsidRPr="003A3DF5" w:rsidR="00CD516A">
        <w:rPr>
          <w:b w:val="0"/>
          <w:bCs/>
        </w:rPr>
        <w:t>at p.</w:t>
      </w:r>
      <w:r w:rsidRPr="003A3DF5" w:rsidR="00B705FA">
        <w:rPr>
          <w:b w:val="0"/>
          <w:bCs/>
        </w:rPr>
        <w:t xml:space="preserve"> 21</w:t>
      </w:r>
      <w:r w:rsidRPr="003A3DF5" w:rsidR="00CD516A">
        <w:rPr>
          <w:b w:val="0"/>
          <w:bCs/>
        </w:rPr>
        <w:t>5.)</w:t>
      </w:r>
      <w:r w:rsidRPr="003A3DF5" w:rsidR="00D751A6">
        <w:rPr>
          <w:b w:val="0"/>
          <w:bCs/>
        </w:rPr>
        <w:t xml:space="preserve">  A “special relationship between the defendant and the victim is one that </w:t>
      </w:r>
      <w:r w:rsidRPr="003A3DF5" w:rsidR="00945AA0">
        <w:rPr>
          <w:b w:val="0"/>
          <w:bCs/>
        </w:rPr>
        <w:t>‘</w:t>
      </w:r>
      <w:r w:rsidRPr="003A3DF5" w:rsidR="00D751A6">
        <w:rPr>
          <w:b w:val="0"/>
          <w:bCs/>
        </w:rPr>
        <w:t>gives the victim a right to expect</w:t>
      </w:r>
      <w:r w:rsidRPr="003A3DF5" w:rsidR="00945AA0">
        <w:rPr>
          <w:b w:val="0"/>
          <w:bCs/>
        </w:rPr>
        <w:t>’</w:t>
      </w:r>
      <w:r w:rsidRPr="003A3DF5" w:rsidR="00D751A6">
        <w:rPr>
          <w:b w:val="0"/>
          <w:bCs/>
        </w:rPr>
        <w:t xml:space="preserve"> protection from the defendant</w:t>
      </w:r>
      <w:r w:rsidR="009305ED">
        <w:rPr>
          <w:b w:val="0"/>
          <w:bCs/>
        </w:rPr>
        <w:t xml:space="preserve"> . . . </w:t>
      </w:r>
      <w:r w:rsidRPr="003A3DF5" w:rsidR="00945AA0">
        <w:rPr>
          <w:b w:val="0"/>
          <w:bCs/>
        </w:rPr>
        <w:t>.”</w:t>
      </w:r>
      <w:r w:rsidR="00AE5D1F">
        <w:rPr>
          <w:b w:val="0"/>
          <w:bCs/>
        </w:rPr>
        <w:t xml:space="preserve">  </w:t>
      </w:r>
      <w:r w:rsidRPr="003A3DF5" w:rsidR="00945AA0">
        <w:rPr>
          <w:b w:val="0"/>
          <w:bCs/>
        </w:rPr>
        <w:t>(</w:t>
      </w:r>
      <w:r w:rsidRPr="003A3DF5" w:rsidR="00945AA0">
        <w:rPr>
          <w:b w:val="0"/>
          <w:bCs/>
          <w:i/>
          <w:iCs/>
        </w:rPr>
        <w:t>Id</w:t>
      </w:r>
      <w:r w:rsidRPr="001A71C7" w:rsidR="00945AA0">
        <w:rPr>
          <w:b w:val="0"/>
          <w:bCs/>
        </w:rPr>
        <w:t xml:space="preserve">. </w:t>
      </w:r>
      <w:r w:rsidRPr="003A3DF5" w:rsidR="00945AA0">
        <w:rPr>
          <w:b w:val="0"/>
          <w:bCs/>
        </w:rPr>
        <w:t>at p. 216.)</w:t>
      </w:r>
      <w:r w:rsidRPr="003A3DF5" w:rsidR="003A3DF5">
        <w:rPr>
          <w:b w:val="0"/>
          <w:bCs/>
        </w:rPr>
        <w:t xml:space="preserve">  </w:t>
      </w:r>
      <w:r w:rsidR="003A3DF5">
        <w:rPr>
          <w:b w:val="0"/>
          <w:bCs/>
        </w:rPr>
        <w:t>“</w:t>
      </w:r>
      <w:r w:rsidRPr="003A3DF5" w:rsidR="003A3DF5">
        <w:rPr>
          <w:b w:val="0"/>
          <w:bCs/>
        </w:rPr>
        <w:t xml:space="preserve">The existence of such a special relationship puts the defendant in a unique position to protect the plaintiff from injury. </w:t>
      </w:r>
      <w:r w:rsidR="00225F73">
        <w:rPr>
          <w:b w:val="0"/>
          <w:bCs/>
        </w:rPr>
        <w:t xml:space="preserve"> </w:t>
      </w:r>
      <w:r w:rsidRPr="003A3DF5" w:rsidR="003A3DF5">
        <w:rPr>
          <w:b w:val="0"/>
          <w:bCs/>
        </w:rPr>
        <w:t>The law requires the defendant to use this position accordingly.</w:t>
      </w:r>
      <w:r w:rsidR="003A3DF5">
        <w:rPr>
          <w:b w:val="0"/>
          <w:bCs/>
        </w:rPr>
        <w:t>”  (</w:t>
      </w:r>
      <w:r w:rsidRPr="003A3DF5" w:rsidR="003A3DF5">
        <w:rPr>
          <w:b w:val="0"/>
          <w:bCs/>
          <w:i/>
          <w:iCs/>
        </w:rPr>
        <w:t>I</w:t>
      </w:r>
      <w:r w:rsidR="005B46A2">
        <w:rPr>
          <w:b w:val="0"/>
          <w:bCs/>
          <w:i/>
          <w:iCs/>
        </w:rPr>
        <w:t>bi</w:t>
      </w:r>
      <w:r w:rsidRPr="003A3DF5" w:rsidR="003A3DF5">
        <w:rPr>
          <w:b w:val="0"/>
          <w:bCs/>
          <w:i/>
          <w:iCs/>
        </w:rPr>
        <w:t>d</w:t>
      </w:r>
      <w:r w:rsidR="003A3DF5">
        <w:rPr>
          <w:b w:val="0"/>
          <w:bCs/>
        </w:rPr>
        <w:t>.)</w:t>
      </w:r>
    </w:p>
    <w:p w:rsidR="000A5ADC" w:rsidP="000B119A" w14:paraId="398C576D" w14:textId="4AC7A751">
      <w:pPr>
        <w:pStyle w:val="Heading21"/>
        <w:spacing w:before="0" w:after="0"/>
        <w:ind w:left="0" w:firstLine="720"/>
        <w:rPr>
          <w:b w:val="0"/>
          <w:bCs/>
        </w:rPr>
      </w:pPr>
      <w:r>
        <w:rPr>
          <w:b w:val="0"/>
          <w:bCs/>
        </w:rPr>
        <w:t>If the court determines there is a special relationship between the parties</w:t>
      </w:r>
      <w:r w:rsidR="004067CA">
        <w:rPr>
          <w:b w:val="0"/>
          <w:bCs/>
        </w:rPr>
        <w:t>,</w:t>
      </w:r>
      <w:r w:rsidRPr="00FA4CD9">
        <w:rPr>
          <w:b w:val="0"/>
          <w:bCs/>
        </w:rPr>
        <w:t xml:space="preserve"> </w:t>
      </w:r>
      <w:r w:rsidR="004067CA">
        <w:rPr>
          <w:b w:val="0"/>
          <w:bCs/>
        </w:rPr>
        <w:t>“</w:t>
      </w:r>
      <w:r w:rsidRPr="00FA4CD9">
        <w:rPr>
          <w:b w:val="0"/>
          <w:bCs/>
        </w:rPr>
        <w:t>or some other set of circumstances giving rise to an affirmative duty to protect</w:t>
      </w:r>
      <w:r w:rsidR="004067CA">
        <w:rPr>
          <w:b w:val="0"/>
          <w:bCs/>
        </w:rPr>
        <w:t>,</w:t>
      </w:r>
      <w:r w:rsidR="00861BD7">
        <w:rPr>
          <w:b w:val="0"/>
          <w:bCs/>
        </w:rPr>
        <w:t>” the court must then</w:t>
      </w:r>
      <w:r w:rsidR="004067CA">
        <w:rPr>
          <w:b w:val="0"/>
          <w:bCs/>
        </w:rPr>
        <w:t xml:space="preserve"> </w:t>
      </w:r>
      <w:r w:rsidR="00861BD7">
        <w:rPr>
          <w:b w:val="0"/>
          <w:bCs/>
        </w:rPr>
        <w:t>“</w:t>
      </w:r>
      <w:r w:rsidRPr="00FA4CD9">
        <w:rPr>
          <w:b w:val="0"/>
          <w:bCs/>
        </w:rPr>
        <w:t xml:space="preserve">consult the factors described in </w:t>
      </w:r>
      <w:r w:rsidRPr="00800602">
        <w:rPr>
          <w:b w:val="0"/>
          <w:bCs/>
          <w:i/>
          <w:iCs/>
        </w:rPr>
        <w:t>Rowland</w:t>
      </w:r>
      <w:r w:rsidRPr="00FA4CD9">
        <w:rPr>
          <w:b w:val="0"/>
          <w:bCs/>
        </w:rPr>
        <w:t xml:space="preserve"> </w:t>
      </w:r>
      <w:r>
        <w:rPr>
          <w:b w:val="0"/>
          <w:bCs/>
        </w:rPr>
        <w:t>[</w:t>
      </w:r>
      <w:r w:rsidRPr="00E95CB4">
        <w:rPr>
          <w:b w:val="0"/>
          <w:i/>
          <w:iCs/>
        </w:rPr>
        <w:t>v. Christian</w:t>
      </w:r>
      <w:r w:rsidRPr="00E95CB4">
        <w:rPr>
          <w:b w:val="0"/>
        </w:rPr>
        <w:t xml:space="preserve"> (1968) 69 Cal.2d 108 (</w:t>
      </w:r>
      <w:r w:rsidRPr="00E95CB4">
        <w:rPr>
          <w:b w:val="0"/>
          <w:i/>
          <w:iCs/>
        </w:rPr>
        <w:t>Rowland</w:t>
      </w:r>
      <w:r w:rsidRPr="00E95CB4">
        <w:rPr>
          <w:b w:val="0"/>
        </w:rPr>
        <w:t>)</w:t>
      </w:r>
      <w:r>
        <w:rPr>
          <w:b w:val="0"/>
        </w:rPr>
        <w:t xml:space="preserve">] </w:t>
      </w:r>
      <w:r w:rsidRPr="00FA4CD9">
        <w:rPr>
          <w:b w:val="0"/>
          <w:bCs/>
        </w:rPr>
        <w:t>to determine whether relevant policy considerations counsel limiting that duty.</w:t>
      </w:r>
      <w:r>
        <w:rPr>
          <w:b w:val="0"/>
          <w:bCs/>
        </w:rPr>
        <w:t xml:space="preserve">”  </w:t>
      </w:r>
      <w:r w:rsidRPr="0089427B">
        <w:rPr>
          <w:b w:val="0"/>
          <w:bCs/>
        </w:rPr>
        <w:t>(</w:t>
      </w:r>
      <w:r w:rsidRPr="00490735">
        <w:rPr>
          <w:b w:val="0"/>
          <w:bCs/>
          <w:i/>
          <w:iCs/>
        </w:rPr>
        <w:t>Brown</w:t>
      </w:r>
      <w:r w:rsidRPr="00646D8A">
        <w:rPr>
          <w:b w:val="0"/>
          <w:bCs/>
        </w:rPr>
        <w:t>,</w:t>
      </w:r>
      <w:r>
        <w:rPr>
          <w:b w:val="0"/>
          <w:bCs/>
          <w:i/>
          <w:iCs/>
        </w:rPr>
        <w:t xml:space="preserve"> supra</w:t>
      </w:r>
      <w:r w:rsidRPr="00646D8A">
        <w:rPr>
          <w:b w:val="0"/>
          <w:bCs/>
        </w:rPr>
        <w:t>,</w:t>
      </w:r>
      <w:r>
        <w:rPr>
          <w:b w:val="0"/>
          <w:bCs/>
          <w:i/>
          <w:iCs/>
        </w:rPr>
        <w:t xml:space="preserve"> </w:t>
      </w:r>
      <w:r>
        <w:rPr>
          <w:b w:val="0"/>
          <w:bCs/>
        </w:rPr>
        <w:t>11 Cal.5th at p. 2</w:t>
      </w:r>
      <w:r w:rsidR="00861BD7">
        <w:rPr>
          <w:b w:val="0"/>
          <w:bCs/>
        </w:rPr>
        <w:t>09</w:t>
      </w:r>
      <w:r w:rsidRPr="0089427B">
        <w:rPr>
          <w:b w:val="0"/>
          <w:bCs/>
        </w:rPr>
        <w:t>.)</w:t>
      </w:r>
    </w:p>
    <w:p w:rsidR="00B705FA" w:rsidRPr="00411B1E" w:rsidP="000B119A" w14:paraId="7E0B04D4" w14:textId="23CAE7FF">
      <w:pPr>
        <w:pStyle w:val="Heading21"/>
        <w:spacing w:before="0" w:after="0"/>
        <w:ind w:left="0" w:firstLine="720"/>
        <w:rPr>
          <w:b w:val="0"/>
          <w:bCs/>
        </w:rPr>
      </w:pPr>
      <w:r>
        <w:rPr>
          <w:b w:val="0"/>
          <w:bCs/>
        </w:rPr>
        <w:t xml:space="preserve">Lyft concedes that </w:t>
      </w:r>
      <w:r w:rsidR="00D677D2">
        <w:rPr>
          <w:b w:val="0"/>
          <w:bCs/>
        </w:rPr>
        <w:t>it</w:t>
      </w:r>
      <w:r w:rsidR="00863116">
        <w:rPr>
          <w:b w:val="0"/>
          <w:bCs/>
        </w:rPr>
        <w:t xml:space="preserve"> </w:t>
      </w:r>
      <w:r w:rsidR="006F17D8">
        <w:rPr>
          <w:b w:val="0"/>
          <w:bCs/>
        </w:rPr>
        <w:t>was in</w:t>
      </w:r>
      <w:r>
        <w:rPr>
          <w:b w:val="0"/>
          <w:bCs/>
        </w:rPr>
        <w:t xml:space="preserve"> a special relationship </w:t>
      </w:r>
      <w:r w:rsidR="006E6907">
        <w:rPr>
          <w:b w:val="0"/>
          <w:bCs/>
        </w:rPr>
        <w:t>with Al Sh</w:t>
      </w:r>
      <w:r w:rsidR="00E41DD6">
        <w:rPr>
          <w:b w:val="0"/>
          <w:bCs/>
        </w:rPr>
        <w:t>ikha</w:t>
      </w:r>
      <w:r w:rsidR="0083371C">
        <w:rPr>
          <w:b w:val="0"/>
          <w:bCs/>
        </w:rPr>
        <w:t xml:space="preserve"> when </w:t>
      </w:r>
      <w:r w:rsidR="0060153C">
        <w:rPr>
          <w:b w:val="0"/>
          <w:bCs/>
        </w:rPr>
        <w:t>the attack occurred</w:t>
      </w:r>
      <w:r w:rsidR="00E41DD6">
        <w:rPr>
          <w:b w:val="0"/>
          <w:bCs/>
        </w:rPr>
        <w:t>.</w:t>
      </w:r>
      <w:r>
        <w:rPr>
          <w:rStyle w:val="FootnoteReference"/>
          <w:b/>
          <w:bCs/>
        </w:rPr>
        <w:footnoteReference w:id="5"/>
      </w:r>
      <w:r w:rsidR="00AE5D1F">
        <w:rPr>
          <w:b w:val="0"/>
          <w:bCs/>
        </w:rPr>
        <w:t xml:space="preserve">  </w:t>
      </w:r>
      <w:r w:rsidR="00070007">
        <w:rPr>
          <w:b w:val="0"/>
          <w:bCs/>
        </w:rPr>
        <w:t xml:space="preserve">We </w:t>
      </w:r>
      <w:r w:rsidR="000B119A">
        <w:rPr>
          <w:b w:val="0"/>
          <w:bCs/>
        </w:rPr>
        <w:t xml:space="preserve">therefore </w:t>
      </w:r>
      <w:r w:rsidR="00F769AC">
        <w:rPr>
          <w:b w:val="0"/>
          <w:bCs/>
        </w:rPr>
        <w:t xml:space="preserve">must consider whether the </w:t>
      </w:r>
      <w:r w:rsidR="00F769AC">
        <w:rPr>
          <w:b w:val="0"/>
          <w:bCs/>
          <w:i/>
          <w:iCs/>
        </w:rPr>
        <w:t>Rowland</w:t>
      </w:r>
      <w:r w:rsidR="00F769AC">
        <w:rPr>
          <w:b w:val="0"/>
          <w:bCs/>
        </w:rPr>
        <w:t xml:space="preserve"> factors indicate the duty </w:t>
      </w:r>
      <w:r w:rsidR="006F17D8">
        <w:rPr>
          <w:b w:val="0"/>
          <w:bCs/>
        </w:rPr>
        <w:t xml:space="preserve">arising out of that special relationship </w:t>
      </w:r>
      <w:r w:rsidR="00F769AC">
        <w:rPr>
          <w:b w:val="0"/>
          <w:bCs/>
        </w:rPr>
        <w:t>should be limited.</w:t>
      </w:r>
    </w:p>
    <w:p w:rsidR="00F916FB" w:rsidP="005A776B" w14:paraId="482B4CEE" w14:textId="282EB40C">
      <w:pPr>
        <w:pStyle w:val="Heading21"/>
        <w:numPr>
          <w:ilvl w:val="0"/>
          <w:numId w:val="15"/>
        </w:numPr>
        <w:spacing w:before="0" w:after="0"/>
        <w:ind w:left="720"/>
      </w:pPr>
      <w:r>
        <w:t xml:space="preserve">The </w:t>
      </w:r>
      <w:r w:rsidRPr="00411B1E" w:rsidR="006B2352">
        <w:rPr>
          <w:i/>
          <w:iCs/>
        </w:rPr>
        <w:t>Rowland</w:t>
      </w:r>
      <w:r w:rsidR="006B2352">
        <w:t xml:space="preserve"> Factors </w:t>
      </w:r>
      <w:r w:rsidR="000835CB">
        <w:t xml:space="preserve">Favor </w:t>
      </w:r>
      <w:r w:rsidR="007911BC">
        <w:t>Limiting the Duty of Care</w:t>
      </w:r>
      <w:r w:rsidR="006018C2">
        <w:t xml:space="preserve"> to Exclude an Obligation to Conduct Criminal Background Checks on All </w:t>
      </w:r>
      <w:r w:rsidR="005E2353">
        <w:t>Passengers</w:t>
      </w:r>
    </w:p>
    <w:p w:rsidR="000D75A6" w:rsidP="00283BFA" w14:paraId="2326F74B" w14:textId="5A4DF1F0">
      <w:pPr>
        <w:pStyle w:val="Heading21"/>
        <w:spacing w:before="0" w:after="0"/>
        <w:ind w:left="0" w:firstLine="720"/>
        <w:rPr>
          <w:b w:val="0"/>
          <w:bCs/>
        </w:rPr>
      </w:pPr>
      <w:r>
        <w:rPr>
          <w:b w:val="0"/>
          <w:bCs/>
        </w:rPr>
        <w:t>E</w:t>
      </w:r>
      <w:r w:rsidR="00DD0561">
        <w:rPr>
          <w:b w:val="0"/>
          <w:bCs/>
        </w:rPr>
        <w:t>ven where there is a special relationship</w:t>
      </w:r>
      <w:r>
        <w:rPr>
          <w:b w:val="0"/>
          <w:bCs/>
        </w:rPr>
        <w:t>, the general rule of duty may be limited</w:t>
      </w:r>
      <w:r w:rsidR="00B70974">
        <w:rPr>
          <w:b w:val="0"/>
          <w:bCs/>
        </w:rPr>
        <w:t xml:space="preserve"> if </w:t>
      </w:r>
      <w:r w:rsidR="00F131BB">
        <w:rPr>
          <w:b w:val="0"/>
          <w:bCs/>
        </w:rPr>
        <w:t>“</w:t>
      </w:r>
      <w:r w:rsidR="00B70974">
        <w:rPr>
          <w:b w:val="0"/>
          <w:bCs/>
        </w:rPr>
        <w:t>policy considerations clearly require an exception.”</w:t>
      </w:r>
      <w:r w:rsidR="00F862D9">
        <w:rPr>
          <w:b w:val="0"/>
          <w:bCs/>
        </w:rPr>
        <w:t xml:space="preserve">  (</w:t>
      </w:r>
      <w:r w:rsidRPr="00AE7F2D" w:rsidR="00AE7F2D">
        <w:rPr>
          <w:b w:val="0"/>
          <w:bCs/>
          <w:i/>
          <w:iCs/>
        </w:rPr>
        <w:t>Regents</w:t>
      </w:r>
      <w:r w:rsidR="00AE7F2D">
        <w:rPr>
          <w:b w:val="0"/>
          <w:bCs/>
        </w:rPr>
        <w:t xml:space="preserve">, </w:t>
      </w:r>
      <w:r w:rsidRPr="00AE7F2D" w:rsidR="00AE7F2D">
        <w:rPr>
          <w:b w:val="0"/>
          <w:bCs/>
          <w:i/>
          <w:iCs/>
        </w:rPr>
        <w:t>supra</w:t>
      </w:r>
      <w:r w:rsidR="00AE7F2D">
        <w:rPr>
          <w:b w:val="0"/>
          <w:bCs/>
        </w:rPr>
        <w:t xml:space="preserve">, </w:t>
      </w:r>
      <w:r w:rsidRPr="00AE7F2D" w:rsidR="00AE7F2D">
        <w:rPr>
          <w:b w:val="0"/>
          <w:bCs/>
        </w:rPr>
        <w:t>4</w:t>
      </w:r>
      <w:r w:rsidRPr="001B154E" w:rsidR="00AE7F2D">
        <w:rPr>
          <w:b w:val="0"/>
          <w:bCs/>
        </w:rPr>
        <w:t xml:space="preserve"> Cal.5th </w:t>
      </w:r>
      <w:r w:rsidR="00F862D9">
        <w:rPr>
          <w:b w:val="0"/>
          <w:bCs/>
        </w:rPr>
        <w:t>at p. 628</w:t>
      </w:r>
      <w:r w:rsidR="005626DD">
        <w:rPr>
          <w:b w:val="0"/>
          <w:bCs/>
        </w:rPr>
        <w:t>.)</w:t>
      </w:r>
      <w:r w:rsidR="005C2DE2">
        <w:rPr>
          <w:b w:val="0"/>
          <w:bCs/>
        </w:rPr>
        <w:t xml:space="preserve">  The </w:t>
      </w:r>
      <w:r w:rsidRPr="00F804E4" w:rsidR="005C2DE2">
        <w:rPr>
          <w:b w:val="0"/>
          <w:bCs/>
          <w:i/>
          <w:iCs/>
        </w:rPr>
        <w:t>Rowland</w:t>
      </w:r>
      <w:r w:rsidRPr="00F804E4" w:rsidR="005C2DE2">
        <w:rPr>
          <w:b w:val="0"/>
          <w:bCs/>
        </w:rPr>
        <w:t xml:space="preserve"> factors are “a means for deciding whether to limit a duty derived from other sources.” </w:t>
      </w:r>
      <w:r w:rsidR="006907AA">
        <w:rPr>
          <w:b w:val="0"/>
          <w:bCs/>
        </w:rPr>
        <w:t xml:space="preserve"> </w:t>
      </w:r>
      <w:r w:rsidRPr="00F804E4" w:rsidR="005C2DE2">
        <w:rPr>
          <w:b w:val="0"/>
          <w:bCs/>
        </w:rPr>
        <w:t>(</w:t>
      </w:r>
      <w:r w:rsidRPr="00F804E4" w:rsidR="005C2DE2">
        <w:rPr>
          <w:b w:val="0"/>
          <w:bCs/>
          <w:i/>
          <w:iCs/>
        </w:rPr>
        <w:t>Brown</w:t>
      </w:r>
      <w:r w:rsidRPr="00F804E4" w:rsidR="005C2DE2">
        <w:rPr>
          <w:b w:val="0"/>
          <w:bCs/>
        </w:rPr>
        <w:t xml:space="preserve">, </w:t>
      </w:r>
      <w:r w:rsidRPr="00F22A8E" w:rsidR="005C2DE2">
        <w:rPr>
          <w:b w:val="0"/>
          <w:bCs/>
          <w:i/>
          <w:iCs/>
        </w:rPr>
        <w:t>supra</w:t>
      </w:r>
      <w:r w:rsidRPr="00F804E4" w:rsidR="005C2DE2">
        <w:rPr>
          <w:b w:val="0"/>
          <w:bCs/>
        </w:rPr>
        <w:t>, 11 Cal.5th at p. 217.)</w:t>
      </w:r>
    </w:p>
    <w:p w:rsidR="008C1203" w:rsidP="00283BFA" w14:paraId="22930979" w14:textId="1921E2EE">
      <w:pPr>
        <w:pStyle w:val="Heading21"/>
        <w:spacing w:before="0" w:after="0"/>
        <w:ind w:left="0" w:firstLine="720"/>
        <w:rPr>
          <w:b w:val="0"/>
          <w:bCs/>
        </w:rPr>
      </w:pPr>
      <w:r>
        <w:rPr>
          <w:b w:val="0"/>
          <w:bCs/>
        </w:rPr>
        <w:t>“</w:t>
      </w:r>
      <w:r w:rsidRPr="007532A6">
        <w:rPr>
          <w:b w:val="0"/>
          <w:bCs/>
        </w:rPr>
        <w:t>To depart from the general principle that all persons owe a duty of care to avoid injuring others</w:t>
      </w:r>
      <w:r w:rsidR="00A71312">
        <w:rPr>
          <w:b w:val="0"/>
          <w:bCs/>
        </w:rPr>
        <w:t xml:space="preserve"> . . . </w:t>
      </w:r>
      <w:r w:rsidR="009A14C9">
        <w:rPr>
          <w:b w:val="0"/>
          <w:bCs/>
        </w:rPr>
        <w:t>‘</w:t>
      </w:r>
      <w:r w:rsidRPr="007532A6">
        <w:rPr>
          <w:b w:val="0"/>
          <w:bCs/>
        </w:rPr>
        <w:t>involves the balancing of a number of considerations</w:t>
      </w:r>
      <w:r w:rsidR="003500B4">
        <w:rPr>
          <w:b w:val="0"/>
          <w:bCs/>
        </w:rPr>
        <w:t>’</w:t>
      </w:r>
      <w:r w:rsidRPr="007532A6">
        <w:rPr>
          <w:b w:val="0"/>
          <w:bCs/>
        </w:rPr>
        <w:t xml:space="preserve">: </w:t>
      </w:r>
      <w:r w:rsidR="003500B4">
        <w:rPr>
          <w:b w:val="0"/>
          <w:bCs/>
        </w:rPr>
        <w:t>‘</w:t>
      </w:r>
      <w:r w:rsidRPr="007532A6">
        <w:rPr>
          <w:b w:val="0"/>
          <w:bCs/>
        </w:rPr>
        <w:t>the foreseeability of harm to the plaintiff, the degree of certainty that the plaintiff suffered injury, the closeness of the connection between the defendant</w:t>
      </w:r>
      <w:r w:rsidR="00BA1F6B">
        <w:rPr>
          <w:b w:val="0"/>
          <w:bCs/>
        </w:rPr>
        <w:t>’</w:t>
      </w:r>
      <w:r w:rsidRPr="007532A6">
        <w:rPr>
          <w:b w:val="0"/>
          <w:bCs/>
        </w:rPr>
        <w:t>s conduct and the injury suffered, the moral blame attached to the defendant</w:t>
      </w:r>
      <w:r w:rsidR="003500B4">
        <w:rPr>
          <w:b w:val="0"/>
          <w:bCs/>
        </w:rPr>
        <w:t>’</w:t>
      </w:r>
      <w:r w:rsidRPr="007532A6">
        <w:rPr>
          <w:b w:val="0"/>
          <w:bCs/>
        </w:rPr>
        <w:t>s conduct, the policy of preventing future harm, the extent of the burden to the defendant and consequences to the community of imposing a duty to exercise care with resulting liability for breach, and the availability, cost, and prevalence of insurance for the risk involved.</w:t>
      </w:r>
      <w:r w:rsidR="00561A9B">
        <w:rPr>
          <w:b w:val="0"/>
          <w:bCs/>
        </w:rPr>
        <w:t xml:space="preserve">’ </w:t>
      </w:r>
      <w:r w:rsidR="004D133B">
        <w:rPr>
          <w:b w:val="0"/>
          <w:bCs/>
        </w:rPr>
        <w:t xml:space="preserve"> [Citation.]</w:t>
      </w:r>
      <w:r w:rsidRPr="007532A6">
        <w:rPr>
          <w:b w:val="0"/>
          <w:bCs/>
        </w:rPr>
        <w:t xml:space="preserve">” </w:t>
      </w:r>
      <w:r w:rsidR="008E51AE">
        <w:rPr>
          <w:b w:val="0"/>
          <w:bCs/>
        </w:rPr>
        <w:t xml:space="preserve"> </w:t>
      </w:r>
      <w:r w:rsidR="009A7B7A">
        <w:rPr>
          <w:b w:val="0"/>
          <w:bCs/>
        </w:rPr>
        <w:t>(</w:t>
      </w:r>
      <w:r w:rsidRPr="00F804E4" w:rsidR="004D133B">
        <w:rPr>
          <w:b w:val="0"/>
          <w:bCs/>
          <w:i/>
          <w:iCs/>
        </w:rPr>
        <w:t>Brown</w:t>
      </w:r>
      <w:r w:rsidRPr="00F804E4" w:rsidR="004D133B">
        <w:rPr>
          <w:b w:val="0"/>
          <w:bCs/>
        </w:rPr>
        <w:t xml:space="preserve">, </w:t>
      </w:r>
      <w:r w:rsidRPr="00F22A8E" w:rsidR="004D133B">
        <w:rPr>
          <w:b w:val="0"/>
          <w:bCs/>
          <w:i/>
          <w:iCs/>
        </w:rPr>
        <w:t>supra</w:t>
      </w:r>
      <w:r w:rsidRPr="00F804E4" w:rsidR="004D133B">
        <w:rPr>
          <w:b w:val="0"/>
          <w:bCs/>
        </w:rPr>
        <w:t xml:space="preserve">, 11 Cal.5th at p. </w:t>
      </w:r>
      <w:r w:rsidR="004D133B">
        <w:rPr>
          <w:b w:val="0"/>
          <w:bCs/>
        </w:rPr>
        <w:t>217</w:t>
      </w:r>
      <w:r w:rsidR="007F320B">
        <w:rPr>
          <w:b w:val="0"/>
          <w:bCs/>
        </w:rPr>
        <w:t xml:space="preserve">, </w:t>
      </w:r>
      <w:r w:rsidR="00D72879">
        <w:rPr>
          <w:b w:val="0"/>
          <w:bCs/>
        </w:rPr>
        <w:t xml:space="preserve">citing </w:t>
      </w:r>
      <w:r w:rsidRPr="00D72879">
        <w:rPr>
          <w:b w:val="0"/>
          <w:bCs/>
          <w:i/>
          <w:iCs/>
        </w:rPr>
        <w:t>Rowland</w:t>
      </w:r>
      <w:r w:rsidRPr="007532A6">
        <w:rPr>
          <w:b w:val="0"/>
          <w:bCs/>
        </w:rPr>
        <w:t xml:space="preserve">, </w:t>
      </w:r>
      <w:r w:rsidRPr="00D72879">
        <w:rPr>
          <w:b w:val="0"/>
          <w:bCs/>
          <w:i/>
          <w:iCs/>
        </w:rPr>
        <w:t>supra</w:t>
      </w:r>
      <w:r w:rsidRPr="007532A6">
        <w:rPr>
          <w:b w:val="0"/>
          <w:bCs/>
        </w:rPr>
        <w:t>, 69 Cal.2d at pp. 112–113</w:t>
      </w:r>
      <w:r w:rsidR="00D72879">
        <w:rPr>
          <w:b w:val="0"/>
          <w:bCs/>
        </w:rPr>
        <w:t>; accord</w:t>
      </w:r>
      <w:r w:rsidR="001A71C7">
        <w:rPr>
          <w:b w:val="0"/>
          <w:bCs/>
        </w:rPr>
        <w:t>,</w:t>
      </w:r>
      <w:r w:rsidR="00D72879">
        <w:rPr>
          <w:b w:val="0"/>
          <w:bCs/>
        </w:rPr>
        <w:t xml:space="preserve"> </w:t>
      </w:r>
      <w:r w:rsidRPr="00D71670" w:rsidR="00D71670">
        <w:rPr>
          <w:b w:val="0"/>
          <w:bCs/>
          <w:i/>
          <w:iCs/>
        </w:rPr>
        <w:t>Kuciemba v. Victory Woodworks, Inc.</w:t>
      </w:r>
      <w:r w:rsidRPr="00D71670" w:rsidR="00D71670">
        <w:rPr>
          <w:b w:val="0"/>
          <w:bCs/>
        </w:rPr>
        <w:t xml:space="preserve"> (2023) 14 Cal.5th 993, 1021</w:t>
      </w:r>
      <w:r w:rsidR="0091418C">
        <w:rPr>
          <w:b w:val="0"/>
          <w:bCs/>
        </w:rPr>
        <w:t xml:space="preserve"> (</w:t>
      </w:r>
      <w:r w:rsidRPr="00D71670" w:rsidR="0091418C">
        <w:rPr>
          <w:b w:val="0"/>
          <w:bCs/>
          <w:i/>
          <w:iCs/>
        </w:rPr>
        <w:t>Kuciemba</w:t>
      </w:r>
      <w:r w:rsidR="0091418C">
        <w:rPr>
          <w:b w:val="0"/>
          <w:bCs/>
        </w:rPr>
        <w:t>)</w:t>
      </w:r>
      <w:r w:rsidR="008E50CD">
        <w:rPr>
          <w:b w:val="0"/>
          <w:bCs/>
        </w:rPr>
        <w:t>.</w:t>
      </w:r>
      <w:r w:rsidR="00C203F8">
        <w:rPr>
          <w:b w:val="0"/>
          <w:bCs/>
        </w:rPr>
        <w:t>)</w:t>
      </w:r>
    </w:p>
    <w:p w:rsidR="005C2DE2" w:rsidRPr="004F11E2" w:rsidP="00D27378" w14:paraId="43B70820" w14:textId="0083B554">
      <w:pPr>
        <w:pStyle w:val="Heading21"/>
        <w:spacing w:before="0" w:after="0"/>
        <w:ind w:left="0" w:firstLine="720"/>
        <w:rPr>
          <w:b w:val="0"/>
          <w:bCs/>
        </w:rPr>
      </w:pPr>
      <w:r>
        <w:rPr>
          <w:b w:val="0"/>
          <w:bCs/>
        </w:rPr>
        <w:t xml:space="preserve">As our Supreme Court </w:t>
      </w:r>
      <w:r w:rsidR="00D36AC9">
        <w:rPr>
          <w:b w:val="0"/>
          <w:bCs/>
        </w:rPr>
        <w:t xml:space="preserve">has </w:t>
      </w:r>
      <w:r>
        <w:rPr>
          <w:b w:val="0"/>
          <w:bCs/>
        </w:rPr>
        <w:t>explained, these</w:t>
      </w:r>
      <w:r w:rsidR="00094FE4">
        <w:rPr>
          <w:b w:val="0"/>
          <w:bCs/>
        </w:rPr>
        <w:t xml:space="preserve"> </w:t>
      </w:r>
      <w:r w:rsidR="00217334">
        <w:rPr>
          <w:b w:val="0"/>
          <w:bCs/>
        </w:rPr>
        <w:t>“</w:t>
      </w:r>
      <w:r w:rsidRPr="00217334" w:rsidR="00217334">
        <w:rPr>
          <w:b w:val="0"/>
          <w:bCs/>
          <w:i/>
          <w:iCs/>
        </w:rPr>
        <w:t>Rowland</w:t>
      </w:r>
      <w:r w:rsidRPr="00217334" w:rsidR="00217334">
        <w:rPr>
          <w:b w:val="0"/>
          <w:bCs/>
        </w:rPr>
        <w:t xml:space="preserve"> factors fall into two categories. </w:t>
      </w:r>
      <w:r w:rsidR="001A71C7">
        <w:rPr>
          <w:b w:val="0"/>
          <w:bCs/>
        </w:rPr>
        <w:t xml:space="preserve"> </w:t>
      </w:r>
      <w:r w:rsidRPr="00217334" w:rsidR="00217334">
        <w:rPr>
          <w:b w:val="0"/>
          <w:bCs/>
        </w:rPr>
        <w:t xml:space="preserve">The first group involves foreseeability and the related concepts of certainty and the connection between plaintiff and defendant. </w:t>
      </w:r>
      <w:r w:rsidR="001A71C7">
        <w:rPr>
          <w:b w:val="0"/>
          <w:bCs/>
        </w:rPr>
        <w:t xml:space="preserve"> </w:t>
      </w:r>
      <w:r w:rsidRPr="00217334" w:rsidR="00217334">
        <w:rPr>
          <w:b w:val="0"/>
          <w:bCs/>
        </w:rPr>
        <w:t xml:space="preserve">The second embraces the public policy concerns of moral blame, preventing future harm, burden, and insurance availability. </w:t>
      </w:r>
      <w:r w:rsidR="001A71C7">
        <w:rPr>
          <w:b w:val="0"/>
          <w:bCs/>
        </w:rPr>
        <w:t xml:space="preserve"> </w:t>
      </w:r>
      <w:r w:rsidRPr="00217334" w:rsidR="00217334">
        <w:rPr>
          <w:b w:val="0"/>
          <w:bCs/>
        </w:rPr>
        <w:t>The policy analysis evaluates whether certain kinds of plaintiffs or injuries should be excluded from relief.</w:t>
      </w:r>
      <w:r w:rsidR="00217334">
        <w:rPr>
          <w:b w:val="0"/>
          <w:bCs/>
        </w:rPr>
        <w:t>”  (</w:t>
      </w:r>
      <w:r w:rsidRPr="008E50CD" w:rsidR="00420F43">
        <w:rPr>
          <w:b w:val="0"/>
          <w:bCs/>
          <w:i/>
          <w:iCs/>
        </w:rPr>
        <w:t>Regents</w:t>
      </w:r>
      <w:r w:rsidR="00420F43">
        <w:rPr>
          <w:b w:val="0"/>
          <w:bCs/>
        </w:rPr>
        <w:t xml:space="preserve">, </w:t>
      </w:r>
      <w:r w:rsidRPr="008E50CD" w:rsidR="00420F43">
        <w:rPr>
          <w:b w:val="0"/>
          <w:bCs/>
          <w:i/>
          <w:iCs/>
        </w:rPr>
        <w:t>supra</w:t>
      </w:r>
      <w:r w:rsidR="00420F43">
        <w:rPr>
          <w:b w:val="0"/>
          <w:bCs/>
        </w:rPr>
        <w:t xml:space="preserve">, </w:t>
      </w:r>
      <w:r w:rsidRPr="008E50CD" w:rsidR="00420F43">
        <w:rPr>
          <w:b w:val="0"/>
          <w:bCs/>
        </w:rPr>
        <w:t xml:space="preserve">4 Cal.5th </w:t>
      </w:r>
      <w:r w:rsidR="00420F43">
        <w:rPr>
          <w:b w:val="0"/>
          <w:bCs/>
        </w:rPr>
        <w:t>at p.</w:t>
      </w:r>
      <w:r w:rsidR="001A71C7">
        <w:rPr>
          <w:b w:val="0"/>
          <w:bCs/>
        </w:rPr>
        <w:t> </w:t>
      </w:r>
      <w:r w:rsidRPr="008E50CD" w:rsidR="00420F43">
        <w:rPr>
          <w:b w:val="0"/>
          <w:bCs/>
        </w:rPr>
        <w:t>62</w:t>
      </w:r>
      <w:r w:rsidR="00420F43">
        <w:rPr>
          <w:b w:val="0"/>
          <w:bCs/>
        </w:rPr>
        <w:t>9</w:t>
      </w:r>
      <w:r w:rsidR="009C1735">
        <w:rPr>
          <w:b w:val="0"/>
          <w:bCs/>
        </w:rPr>
        <w:t xml:space="preserve">; </w:t>
      </w:r>
      <w:r w:rsidRPr="00D71670" w:rsidR="009C1735">
        <w:rPr>
          <w:b w:val="0"/>
          <w:bCs/>
          <w:i/>
          <w:iCs/>
        </w:rPr>
        <w:t>Kuciemba</w:t>
      </w:r>
      <w:r w:rsidR="009C1735">
        <w:rPr>
          <w:b w:val="0"/>
          <w:bCs/>
        </w:rPr>
        <w:t xml:space="preserve">, </w:t>
      </w:r>
      <w:r w:rsidRPr="00B252FA" w:rsidR="009C1735">
        <w:rPr>
          <w:b w:val="0"/>
          <w:bCs/>
          <w:i/>
          <w:iCs/>
        </w:rPr>
        <w:t>supra</w:t>
      </w:r>
      <w:r w:rsidR="009C1735">
        <w:rPr>
          <w:b w:val="0"/>
          <w:bCs/>
        </w:rPr>
        <w:t>, 14 Cal.5th at p.</w:t>
      </w:r>
      <w:r w:rsidR="008F0CA6">
        <w:rPr>
          <w:b w:val="0"/>
          <w:bCs/>
        </w:rPr>
        <w:t xml:space="preserve"> 1021</w:t>
      </w:r>
      <w:r w:rsidRPr="00C36F49" w:rsidR="00217334">
        <w:rPr>
          <w:b w:val="0"/>
          <w:bCs/>
        </w:rPr>
        <w:t>.</w:t>
      </w:r>
      <w:r w:rsidR="00217334">
        <w:rPr>
          <w:b w:val="0"/>
          <w:bCs/>
        </w:rPr>
        <w:t>)</w:t>
      </w:r>
    </w:p>
    <w:p w:rsidR="0038702B" w:rsidP="00C67214" w14:paraId="4915D29C" w14:textId="02A6F71F">
      <w:pPr>
        <w:pStyle w:val="Heading21"/>
        <w:spacing w:before="0" w:after="0"/>
        <w:ind w:left="0" w:firstLine="720"/>
        <w:rPr>
          <w:b w:val="0"/>
          <w:bCs/>
        </w:rPr>
      </w:pPr>
      <w:r>
        <w:rPr>
          <w:b w:val="0"/>
          <w:bCs/>
        </w:rPr>
        <w:t xml:space="preserve">We consider the </w:t>
      </w:r>
      <w:r w:rsidRPr="0038702B">
        <w:rPr>
          <w:b w:val="0"/>
          <w:bCs/>
          <w:i/>
          <w:iCs/>
        </w:rPr>
        <w:t>Rowland</w:t>
      </w:r>
      <w:r>
        <w:rPr>
          <w:b w:val="0"/>
          <w:bCs/>
        </w:rPr>
        <w:t xml:space="preserve"> factors at “ ‘a relatively broad level of factual generality.’  [Citation.]”  (</w:t>
      </w:r>
      <w:r w:rsidRPr="008E50CD">
        <w:rPr>
          <w:b w:val="0"/>
          <w:bCs/>
          <w:i/>
          <w:iCs/>
        </w:rPr>
        <w:t>Regents</w:t>
      </w:r>
      <w:r>
        <w:rPr>
          <w:b w:val="0"/>
          <w:bCs/>
        </w:rPr>
        <w:t xml:space="preserve">, </w:t>
      </w:r>
      <w:r w:rsidRPr="008E50CD">
        <w:rPr>
          <w:b w:val="0"/>
          <w:bCs/>
          <w:i/>
          <w:iCs/>
        </w:rPr>
        <w:t>supra</w:t>
      </w:r>
      <w:r>
        <w:rPr>
          <w:b w:val="0"/>
          <w:bCs/>
        </w:rPr>
        <w:t xml:space="preserve">, </w:t>
      </w:r>
      <w:r w:rsidRPr="008E50CD">
        <w:rPr>
          <w:b w:val="0"/>
          <w:bCs/>
        </w:rPr>
        <w:t xml:space="preserve">4 Cal.5th </w:t>
      </w:r>
      <w:r>
        <w:rPr>
          <w:b w:val="0"/>
          <w:bCs/>
        </w:rPr>
        <w:t>at p.</w:t>
      </w:r>
      <w:r w:rsidRPr="008E50CD">
        <w:rPr>
          <w:b w:val="0"/>
          <w:bCs/>
        </w:rPr>
        <w:t xml:space="preserve"> 628</w:t>
      </w:r>
      <w:r>
        <w:rPr>
          <w:b w:val="0"/>
          <w:bCs/>
        </w:rPr>
        <w:t>;</w:t>
      </w:r>
      <w:r w:rsidRPr="0091418C">
        <w:rPr>
          <w:b w:val="0"/>
          <w:bCs/>
          <w:i/>
          <w:iCs/>
        </w:rPr>
        <w:t xml:space="preserve"> </w:t>
      </w:r>
      <w:r w:rsidR="00FB0370">
        <w:rPr>
          <w:b w:val="0"/>
          <w:bCs/>
        </w:rPr>
        <w:t xml:space="preserve">accord, </w:t>
      </w:r>
      <w:r w:rsidRPr="00D71670">
        <w:rPr>
          <w:b w:val="0"/>
          <w:bCs/>
          <w:i/>
          <w:iCs/>
        </w:rPr>
        <w:t>Kuciemba</w:t>
      </w:r>
      <w:r>
        <w:rPr>
          <w:b w:val="0"/>
          <w:bCs/>
        </w:rPr>
        <w:t xml:space="preserve">, </w:t>
      </w:r>
      <w:r w:rsidRPr="003345F4">
        <w:rPr>
          <w:b w:val="0"/>
          <w:bCs/>
          <w:i/>
          <w:iCs/>
        </w:rPr>
        <w:t>supra</w:t>
      </w:r>
      <w:r>
        <w:rPr>
          <w:b w:val="0"/>
          <w:bCs/>
        </w:rPr>
        <w:t>, 14 Cal.5th at p. 1021.)  Therefore, “we determine</w:t>
      </w:r>
      <w:r w:rsidRPr="00B26840">
        <w:rPr>
          <w:b w:val="0"/>
          <w:bCs/>
        </w:rPr>
        <w:t xml:space="preserve"> </w:t>
      </w:r>
      <w:r>
        <w:rPr>
          <w:b w:val="0"/>
          <w:bCs/>
        </w:rPr>
        <w:t>‘</w:t>
      </w:r>
      <w:r w:rsidRPr="00B26840">
        <w:rPr>
          <w:b w:val="0"/>
          <w:bCs/>
        </w:rPr>
        <w:t>not whether they support an exception to the general duty of reasonable care on the facts of the particular case before us, but whether carving out an entire category of cases from that general duty rule is justified by clear considerations of policy.</w:t>
      </w:r>
      <w:r>
        <w:rPr>
          <w:b w:val="0"/>
          <w:bCs/>
        </w:rPr>
        <w:t xml:space="preserve">’  [Citation.] </w:t>
      </w:r>
      <w:r w:rsidR="001A71C7">
        <w:rPr>
          <w:b w:val="0"/>
          <w:bCs/>
        </w:rPr>
        <w:t xml:space="preserve"> </w:t>
      </w:r>
      <w:r w:rsidRPr="00B26840">
        <w:rPr>
          <w:b w:val="0"/>
          <w:bCs/>
        </w:rPr>
        <w:t>In other words, the duty analysis is categorical, not case</w:t>
      </w:r>
      <w:r w:rsidR="00AF2290">
        <w:rPr>
          <w:b w:val="0"/>
          <w:bCs/>
        </w:rPr>
        <w:t xml:space="preserve"> </w:t>
      </w:r>
      <w:r w:rsidRPr="00B26840">
        <w:rPr>
          <w:b w:val="0"/>
          <w:bCs/>
        </w:rPr>
        <w:t>specific.</w:t>
      </w:r>
      <w:r>
        <w:rPr>
          <w:b w:val="0"/>
          <w:bCs/>
        </w:rPr>
        <w:t>”  (</w:t>
      </w:r>
      <w:r w:rsidRPr="008E50CD">
        <w:rPr>
          <w:b w:val="0"/>
          <w:bCs/>
          <w:i/>
          <w:iCs/>
        </w:rPr>
        <w:t>Regents</w:t>
      </w:r>
      <w:r>
        <w:rPr>
          <w:b w:val="0"/>
          <w:bCs/>
        </w:rPr>
        <w:t>, at p. 629.)</w:t>
      </w:r>
    </w:p>
    <w:p w:rsidR="005B123D" w:rsidRPr="0037157E" w:rsidP="0001761E" w14:paraId="494E8DBE" w14:textId="4B7248EC">
      <w:pPr>
        <w:pStyle w:val="Heading21"/>
        <w:spacing w:before="0" w:after="0"/>
        <w:ind w:left="0" w:firstLine="720"/>
        <w:rPr>
          <w:b w:val="0"/>
          <w:bCs/>
        </w:rPr>
      </w:pPr>
      <w:r>
        <w:rPr>
          <w:b w:val="0"/>
          <w:bCs/>
        </w:rPr>
        <w:t xml:space="preserve">Before analyzing the </w:t>
      </w:r>
      <w:r w:rsidRPr="00C67214">
        <w:rPr>
          <w:b w:val="0"/>
          <w:bCs/>
          <w:i/>
          <w:iCs/>
        </w:rPr>
        <w:t>Rowland</w:t>
      </w:r>
      <w:r>
        <w:rPr>
          <w:b w:val="0"/>
          <w:bCs/>
        </w:rPr>
        <w:t xml:space="preserve"> factors</w:t>
      </w:r>
      <w:r w:rsidR="00F83140">
        <w:rPr>
          <w:b w:val="0"/>
          <w:bCs/>
        </w:rPr>
        <w:t xml:space="preserve">, we must identify the specific </w:t>
      </w:r>
      <w:r w:rsidR="009B2E9D">
        <w:rPr>
          <w:b w:val="0"/>
          <w:bCs/>
        </w:rPr>
        <w:t>duty</w:t>
      </w:r>
      <w:r w:rsidR="00F83140">
        <w:rPr>
          <w:b w:val="0"/>
          <w:bCs/>
        </w:rPr>
        <w:t xml:space="preserve"> Al</w:t>
      </w:r>
      <w:r w:rsidR="000871A9">
        <w:rPr>
          <w:b w:val="0"/>
          <w:bCs/>
        </w:rPr>
        <w:t xml:space="preserve"> </w:t>
      </w:r>
      <w:r w:rsidR="00F83140">
        <w:rPr>
          <w:b w:val="0"/>
          <w:bCs/>
        </w:rPr>
        <w:t xml:space="preserve">Shikha </w:t>
      </w:r>
      <w:r w:rsidR="00286C8D">
        <w:rPr>
          <w:b w:val="0"/>
          <w:bCs/>
        </w:rPr>
        <w:t xml:space="preserve">asserts Lyft </w:t>
      </w:r>
      <w:r>
        <w:rPr>
          <w:b w:val="0"/>
          <w:bCs/>
        </w:rPr>
        <w:t>should</w:t>
      </w:r>
      <w:r w:rsidR="00286C8D">
        <w:rPr>
          <w:b w:val="0"/>
          <w:bCs/>
        </w:rPr>
        <w:t xml:space="preserve"> </w:t>
      </w:r>
      <w:r w:rsidR="00BA19AA">
        <w:rPr>
          <w:b w:val="0"/>
          <w:bCs/>
        </w:rPr>
        <w:t>under</w:t>
      </w:r>
      <w:r w:rsidR="00286C8D">
        <w:rPr>
          <w:b w:val="0"/>
          <w:bCs/>
        </w:rPr>
        <w:t>take.  (</w:t>
      </w:r>
      <w:r w:rsidRPr="00006754" w:rsidR="00286C8D">
        <w:rPr>
          <w:b w:val="0"/>
          <w:bCs/>
          <w:i/>
          <w:iCs/>
        </w:rPr>
        <w:t>Castaneda v. Olsher</w:t>
      </w:r>
      <w:r w:rsidRPr="00286C8D" w:rsidR="00286C8D">
        <w:rPr>
          <w:b w:val="0"/>
          <w:bCs/>
        </w:rPr>
        <w:t xml:space="preserve"> (2007) 41 Cal.4th 1205, 1214</w:t>
      </w:r>
      <w:r w:rsidR="00FC777C">
        <w:rPr>
          <w:b w:val="0"/>
          <w:bCs/>
        </w:rPr>
        <w:t xml:space="preserve"> (</w:t>
      </w:r>
      <w:r w:rsidRPr="00006754" w:rsidR="00FC777C">
        <w:rPr>
          <w:b w:val="0"/>
          <w:bCs/>
          <w:i/>
          <w:iCs/>
        </w:rPr>
        <w:t>Castaneda</w:t>
      </w:r>
      <w:r w:rsidR="00FC777C">
        <w:rPr>
          <w:b w:val="0"/>
          <w:bCs/>
        </w:rPr>
        <w:t>)</w:t>
      </w:r>
      <w:r w:rsidR="00286C8D">
        <w:rPr>
          <w:b w:val="0"/>
          <w:bCs/>
        </w:rPr>
        <w:t xml:space="preserve">.)  </w:t>
      </w:r>
      <w:r w:rsidR="00C60AC7">
        <w:rPr>
          <w:b w:val="0"/>
          <w:bCs/>
        </w:rPr>
        <w:t>The complaint alleges Lyft has a duty to conduct</w:t>
      </w:r>
      <w:r w:rsidR="000B2FA5">
        <w:rPr>
          <w:b w:val="0"/>
          <w:bCs/>
        </w:rPr>
        <w:t xml:space="preserve"> “basic, inexpensive public record background checks on passengers to determine whether they pose a risk of harm to drivers (or to obtain consent from drivers that they may be transporting a known criminal).”  </w:t>
      </w:r>
      <w:r w:rsidR="00C60AC7">
        <w:rPr>
          <w:b w:val="0"/>
          <w:bCs/>
        </w:rPr>
        <w:t xml:space="preserve">On </w:t>
      </w:r>
      <w:r w:rsidR="00D21D91">
        <w:rPr>
          <w:b w:val="0"/>
          <w:bCs/>
        </w:rPr>
        <w:t>appeal, Al Shi</w:t>
      </w:r>
      <w:r w:rsidR="009F04E4">
        <w:rPr>
          <w:b w:val="0"/>
          <w:bCs/>
        </w:rPr>
        <w:t xml:space="preserve">kha </w:t>
      </w:r>
      <w:r w:rsidR="00C60AC7">
        <w:rPr>
          <w:b w:val="0"/>
          <w:bCs/>
        </w:rPr>
        <w:t>argues</w:t>
      </w:r>
      <w:r w:rsidR="006E4586">
        <w:rPr>
          <w:b w:val="0"/>
          <w:bCs/>
        </w:rPr>
        <w:t xml:space="preserve"> Lyft </w:t>
      </w:r>
      <w:r w:rsidR="005572B0">
        <w:rPr>
          <w:b w:val="0"/>
          <w:bCs/>
        </w:rPr>
        <w:t>i</w:t>
      </w:r>
      <w:r w:rsidR="006E4586">
        <w:rPr>
          <w:b w:val="0"/>
          <w:bCs/>
        </w:rPr>
        <w:t>s required to “either warn drivers about riders with serious criminal histories</w:t>
      </w:r>
      <w:r w:rsidR="00E77F0A">
        <w:rPr>
          <w:b w:val="0"/>
          <w:bCs/>
        </w:rPr>
        <w:t>[</w:t>
      </w:r>
      <w:r w:rsidR="001A71C7">
        <w:rPr>
          <w:b w:val="0"/>
          <w:bCs/>
        </w:rPr>
        <w:t xml:space="preserve"> </w:t>
      </w:r>
      <w:r w:rsidR="00E77F0A">
        <w:rPr>
          <w:b w:val="0"/>
          <w:bCs/>
        </w:rPr>
        <w:t>]</w:t>
      </w:r>
      <w:r w:rsidR="006E4586">
        <w:rPr>
          <w:b w:val="0"/>
          <w:bCs/>
        </w:rPr>
        <w:t xml:space="preserve"> or otherwise exclude such ride</w:t>
      </w:r>
      <w:r w:rsidR="00E77F0A">
        <w:rPr>
          <w:b w:val="0"/>
          <w:bCs/>
        </w:rPr>
        <w:t>rs</w:t>
      </w:r>
      <w:r w:rsidR="006E4586">
        <w:rPr>
          <w:b w:val="0"/>
          <w:bCs/>
        </w:rPr>
        <w:t xml:space="preserve"> from its network.”</w:t>
      </w:r>
      <w:r w:rsidR="009B2E9D">
        <w:rPr>
          <w:b w:val="0"/>
          <w:bCs/>
        </w:rPr>
        <w:t xml:space="preserve">  </w:t>
      </w:r>
      <w:r w:rsidR="009766B9">
        <w:rPr>
          <w:b w:val="0"/>
          <w:bCs/>
        </w:rPr>
        <w:t>He</w:t>
      </w:r>
      <w:r w:rsidR="00D63F3D">
        <w:rPr>
          <w:b w:val="0"/>
          <w:bCs/>
        </w:rPr>
        <w:t xml:space="preserve"> </w:t>
      </w:r>
      <w:r w:rsidR="00D73F1C">
        <w:rPr>
          <w:b w:val="0"/>
          <w:bCs/>
        </w:rPr>
        <w:t xml:space="preserve">further </w:t>
      </w:r>
      <w:r w:rsidR="008C650E">
        <w:rPr>
          <w:b w:val="0"/>
          <w:bCs/>
        </w:rPr>
        <w:t>asserts</w:t>
      </w:r>
      <w:r w:rsidR="00D63F3D">
        <w:rPr>
          <w:b w:val="0"/>
          <w:bCs/>
        </w:rPr>
        <w:t xml:space="preserve"> </w:t>
      </w:r>
      <w:r w:rsidRPr="00B85BFE" w:rsidR="00D63F3D">
        <w:rPr>
          <w:b w:val="0"/>
          <w:bCs/>
        </w:rPr>
        <w:t xml:space="preserve">that </w:t>
      </w:r>
      <w:r w:rsidR="003312DD">
        <w:rPr>
          <w:b w:val="0"/>
          <w:bCs/>
        </w:rPr>
        <w:t>Lyft should exclude</w:t>
      </w:r>
      <w:r w:rsidR="00957B2E">
        <w:rPr>
          <w:b w:val="0"/>
          <w:bCs/>
        </w:rPr>
        <w:t xml:space="preserve"> </w:t>
      </w:r>
      <w:r w:rsidR="00475DEE">
        <w:rPr>
          <w:b w:val="0"/>
          <w:bCs/>
        </w:rPr>
        <w:t>or warn drivers about passengers who have been convicted of any of the crimes that would prevent individuals from driving for a TNC pursuant to</w:t>
      </w:r>
      <w:r w:rsidRPr="00B85BFE" w:rsidR="00166DB1">
        <w:rPr>
          <w:b w:val="0"/>
          <w:bCs/>
        </w:rPr>
        <w:t xml:space="preserve"> Business and Professions Code section 745</w:t>
      </w:r>
      <w:r w:rsidRPr="00B85BFE" w:rsidR="00611880">
        <w:rPr>
          <w:b w:val="0"/>
          <w:bCs/>
        </w:rPr>
        <w:t>8</w:t>
      </w:r>
      <w:r w:rsidRPr="00B85BFE" w:rsidR="001A4E56">
        <w:rPr>
          <w:b w:val="0"/>
          <w:bCs/>
        </w:rPr>
        <w:t xml:space="preserve"> and Public Utilities Code section 5445.2</w:t>
      </w:r>
      <w:r w:rsidRPr="00B85BFE" w:rsidR="00FA1AF1">
        <w:rPr>
          <w:b w:val="0"/>
          <w:bCs/>
        </w:rPr>
        <w:t>.</w:t>
      </w:r>
      <w:r w:rsidR="0076094A">
        <w:rPr>
          <w:b w:val="0"/>
          <w:bCs/>
        </w:rPr>
        <w:t xml:space="preserve"> </w:t>
      </w:r>
      <w:r w:rsidR="00D63F3D">
        <w:rPr>
          <w:b w:val="0"/>
          <w:bCs/>
        </w:rPr>
        <w:t xml:space="preserve"> </w:t>
      </w:r>
      <w:r w:rsidRPr="00EC30B7" w:rsidR="00EC30B7">
        <w:rPr>
          <w:b w:val="0"/>
          <w:bCs/>
        </w:rPr>
        <w:t xml:space="preserve">Al Shikha suggests Lyft could </w:t>
      </w:r>
      <w:r w:rsidR="00B158C6">
        <w:rPr>
          <w:b w:val="0"/>
          <w:bCs/>
        </w:rPr>
        <w:t xml:space="preserve">simply </w:t>
      </w:r>
      <w:r w:rsidRPr="00EC30B7" w:rsidR="00EC30B7">
        <w:rPr>
          <w:b w:val="0"/>
          <w:bCs/>
        </w:rPr>
        <w:t xml:space="preserve">warn drivers that a potential rider did not pass a criminal background screening.  </w:t>
      </w:r>
      <w:r w:rsidR="009047B2">
        <w:rPr>
          <w:b w:val="0"/>
          <w:bCs/>
        </w:rPr>
        <w:t>According to Al Shikha, o</w:t>
      </w:r>
      <w:r w:rsidRPr="00EC30B7" w:rsidR="00EC30B7">
        <w:rPr>
          <w:b w:val="0"/>
          <w:bCs/>
        </w:rPr>
        <w:t>nce warned, “[t]he driver then has the choice of accepting the ride or not.”</w:t>
      </w:r>
    </w:p>
    <w:p w:rsidR="00C65DFF" w:rsidRPr="0018350E" w:rsidP="00CD0EDD" w14:paraId="2C0DCF1B" w14:textId="29B6F05E">
      <w:pPr>
        <w:pStyle w:val="Heading21"/>
        <w:numPr>
          <w:ilvl w:val="0"/>
          <w:numId w:val="16"/>
        </w:numPr>
        <w:spacing w:before="0" w:after="0"/>
        <w:ind w:left="0" w:firstLine="720"/>
      </w:pPr>
      <w:r>
        <w:t>Sliding-</w:t>
      </w:r>
      <w:r w:rsidR="00354F0C">
        <w:t>scale balancing formula</w:t>
      </w:r>
    </w:p>
    <w:p w:rsidR="00594DCD" w:rsidP="009479E3" w14:paraId="589A2101" w14:textId="67692BEF">
      <w:pPr>
        <w:pStyle w:val="Heading21"/>
        <w:spacing w:before="0" w:after="0"/>
        <w:ind w:left="0" w:firstLine="720"/>
        <w:rPr>
          <w:b w:val="0"/>
          <w:bCs/>
        </w:rPr>
      </w:pPr>
      <w:r w:rsidRPr="00A91C31">
        <w:rPr>
          <w:b w:val="0"/>
          <w:bCs/>
        </w:rPr>
        <w:t>“</w:t>
      </w:r>
      <w:r w:rsidRPr="00A91C31" w:rsidR="000C5242">
        <w:rPr>
          <w:b w:val="0"/>
          <w:bCs/>
        </w:rPr>
        <w:t xml:space="preserve"> ‘</w:t>
      </w:r>
      <w:r w:rsidRPr="00A91C31" w:rsidR="00454A57">
        <w:rPr>
          <w:b w:val="0"/>
          <w:bCs/>
        </w:rPr>
        <w:t>T</w:t>
      </w:r>
      <w:r w:rsidRPr="00A91C31" w:rsidR="000C5242">
        <w:rPr>
          <w:b w:val="0"/>
          <w:bCs/>
        </w:rPr>
        <w:t xml:space="preserve">he most important factor to consider in determining whether to create an exception to the general duty to exercise ordinary care </w:t>
      </w:r>
      <w:r w:rsidR="008E373C">
        <w:rPr>
          <w:b w:val="0"/>
          <w:bCs/>
        </w:rPr>
        <w:t>. . .</w:t>
      </w:r>
      <w:r w:rsidRPr="00A91C31" w:rsidR="000C5242">
        <w:rPr>
          <w:b w:val="0"/>
          <w:bCs/>
        </w:rPr>
        <w:t xml:space="preserve"> is whether the injury in question was </w:t>
      </w:r>
      <w:r w:rsidRPr="00B155E4" w:rsidR="000C5242">
        <w:rPr>
          <w:b w:val="0"/>
          <w:bCs/>
          <w:i/>
          <w:iCs/>
        </w:rPr>
        <w:t>foreseeable</w:t>
      </w:r>
      <w:r w:rsidRPr="00A91C31" w:rsidR="000C5242">
        <w:rPr>
          <w:b w:val="0"/>
          <w:bCs/>
        </w:rPr>
        <w:t xml:space="preserve">.’ </w:t>
      </w:r>
      <w:r w:rsidR="001A71C7">
        <w:rPr>
          <w:b w:val="0"/>
          <w:bCs/>
        </w:rPr>
        <w:t xml:space="preserve"> </w:t>
      </w:r>
      <w:r w:rsidRPr="00A91C31" w:rsidR="000C5242">
        <w:rPr>
          <w:b w:val="0"/>
          <w:bCs/>
        </w:rPr>
        <w:t>[Citations.]”  (</w:t>
      </w:r>
      <w:r w:rsidRPr="00A91C31" w:rsidR="000C5242">
        <w:rPr>
          <w:b w:val="0"/>
          <w:bCs/>
          <w:i/>
          <w:iCs/>
        </w:rPr>
        <w:t>Regents</w:t>
      </w:r>
      <w:r w:rsidRPr="00A91C31" w:rsidR="000C5242">
        <w:rPr>
          <w:b w:val="0"/>
          <w:bCs/>
        </w:rPr>
        <w:t xml:space="preserve">, </w:t>
      </w:r>
      <w:r w:rsidRPr="00A91C31" w:rsidR="005C42D8">
        <w:rPr>
          <w:b w:val="0"/>
          <w:bCs/>
          <w:i/>
          <w:iCs/>
        </w:rPr>
        <w:t>supra</w:t>
      </w:r>
      <w:r w:rsidRPr="00A91C31" w:rsidR="005C42D8">
        <w:rPr>
          <w:b w:val="0"/>
          <w:bCs/>
        </w:rPr>
        <w:t>, 4 Cal.5th at p. 629.)</w:t>
      </w:r>
      <w:r w:rsidR="009479E3">
        <w:rPr>
          <w:b w:val="0"/>
          <w:bCs/>
        </w:rPr>
        <w:t xml:space="preserve">  </w:t>
      </w:r>
      <w:r w:rsidR="001E0198">
        <w:rPr>
          <w:b w:val="0"/>
          <w:bCs/>
        </w:rPr>
        <w:t>I</w:t>
      </w:r>
      <w:r w:rsidR="00B15CAB">
        <w:rPr>
          <w:b w:val="0"/>
          <w:bCs/>
        </w:rPr>
        <w:t xml:space="preserve">n assessing </w:t>
      </w:r>
      <w:r w:rsidR="008D76F5">
        <w:rPr>
          <w:b w:val="0"/>
          <w:bCs/>
        </w:rPr>
        <w:t xml:space="preserve">the </w:t>
      </w:r>
      <w:r w:rsidR="008D76F5">
        <w:rPr>
          <w:b w:val="0"/>
          <w:bCs/>
          <w:i/>
          <w:iCs/>
        </w:rPr>
        <w:t xml:space="preserve">Rowland </w:t>
      </w:r>
      <w:r w:rsidR="008D76F5">
        <w:rPr>
          <w:b w:val="0"/>
          <w:bCs/>
        </w:rPr>
        <w:t xml:space="preserve">factors in cases involving </w:t>
      </w:r>
      <w:r w:rsidR="00710654">
        <w:rPr>
          <w:b w:val="0"/>
          <w:bCs/>
        </w:rPr>
        <w:t xml:space="preserve">a defendant’s duty </w:t>
      </w:r>
      <w:r w:rsidR="001E24A1">
        <w:rPr>
          <w:b w:val="0"/>
          <w:bCs/>
        </w:rPr>
        <w:t xml:space="preserve">to prevent </w:t>
      </w:r>
      <w:r w:rsidR="008D76F5">
        <w:rPr>
          <w:b w:val="0"/>
          <w:bCs/>
        </w:rPr>
        <w:t>third</w:t>
      </w:r>
      <w:r w:rsidR="005559DD">
        <w:rPr>
          <w:b w:val="0"/>
          <w:bCs/>
        </w:rPr>
        <w:t xml:space="preserve"> </w:t>
      </w:r>
      <w:r w:rsidR="008D76F5">
        <w:rPr>
          <w:b w:val="0"/>
          <w:bCs/>
        </w:rPr>
        <w:t>party criminal conduct, courts have</w:t>
      </w:r>
      <w:r w:rsidR="00190DC0">
        <w:rPr>
          <w:b w:val="0"/>
          <w:bCs/>
        </w:rPr>
        <w:t xml:space="preserve"> </w:t>
      </w:r>
      <w:r w:rsidR="00A33CB9">
        <w:rPr>
          <w:b w:val="0"/>
          <w:bCs/>
        </w:rPr>
        <w:t xml:space="preserve">employed a </w:t>
      </w:r>
      <w:r w:rsidR="004142FF">
        <w:rPr>
          <w:b w:val="0"/>
          <w:bCs/>
        </w:rPr>
        <w:t>“sliding</w:t>
      </w:r>
      <w:r w:rsidR="00656652">
        <w:rPr>
          <w:b w:val="0"/>
          <w:bCs/>
        </w:rPr>
        <w:t>-scale balancing formula</w:t>
      </w:r>
      <w:r w:rsidR="00743B00">
        <w:rPr>
          <w:b w:val="0"/>
          <w:bCs/>
        </w:rPr>
        <w:t>.</w:t>
      </w:r>
      <w:r w:rsidR="00656652">
        <w:rPr>
          <w:b w:val="0"/>
          <w:bCs/>
        </w:rPr>
        <w:t xml:space="preserve">” </w:t>
      </w:r>
      <w:r w:rsidR="00743B00">
        <w:rPr>
          <w:b w:val="0"/>
          <w:bCs/>
        </w:rPr>
        <w:t xml:space="preserve"> </w:t>
      </w:r>
      <w:r w:rsidR="00656652">
        <w:rPr>
          <w:b w:val="0"/>
          <w:bCs/>
        </w:rPr>
        <w:t>(</w:t>
      </w:r>
      <w:r w:rsidR="00656652">
        <w:rPr>
          <w:b w:val="0"/>
          <w:bCs/>
          <w:i/>
          <w:iCs/>
        </w:rPr>
        <w:t>Hanouchian v. Steele</w:t>
      </w:r>
      <w:r w:rsidR="00656652">
        <w:rPr>
          <w:b w:val="0"/>
          <w:bCs/>
        </w:rPr>
        <w:t xml:space="preserve"> (2020) 51 </w:t>
      </w:r>
      <w:r w:rsidRPr="00656652" w:rsidR="00656652">
        <w:rPr>
          <w:b w:val="0"/>
          <w:bCs/>
        </w:rPr>
        <w:t xml:space="preserve">Cal.App.5th </w:t>
      </w:r>
      <w:r w:rsidR="000E5C12">
        <w:rPr>
          <w:b w:val="0"/>
          <w:bCs/>
        </w:rPr>
        <w:t>99, 109</w:t>
      </w:r>
      <w:r w:rsidR="005B254E">
        <w:rPr>
          <w:b w:val="0"/>
          <w:bCs/>
        </w:rPr>
        <w:t xml:space="preserve"> (</w:t>
      </w:r>
      <w:r w:rsidR="005B254E">
        <w:rPr>
          <w:b w:val="0"/>
          <w:bCs/>
          <w:i/>
          <w:iCs/>
        </w:rPr>
        <w:t>Hanouchian</w:t>
      </w:r>
      <w:r w:rsidR="005B254E">
        <w:rPr>
          <w:b w:val="0"/>
          <w:bCs/>
        </w:rPr>
        <w:t>)</w:t>
      </w:r>
      <w:r w:rsidR="000E5C12">
        <w:rPr>
          <w:b w:val="0"/>
          <w:bCs/>
        </w:rPr>
        <w:t>.</w:t>
      </w:r>
      <w:r w:rsidR="00050B0B">
        <w:rPr>
          <w:b w:val="0"/>
          <w:bCs/>
        </w:rPr>
        <w:t>)</w:t>
      </w:r>
    </w:p>
    <w:p w:rsidR="007377CF" w:rsidRPr="00244DA6" w:rsidP="00244DA6" w14:paraId="5D493C94" w14:textId="7C9C9C83">
      <w:pPr>
        <w:pStyle w:val="Heading21"/>
        <w:spacing w:before="0" w:after="0"/>
        <w:ind w:left="0" w:firstLine="720"/>
        <w:rPr>
          <w:bCs/>
        </w:rPr>
      </w:pPr>
      <w:r>
        <w:rPr>
          <w:b w:val="0"/>
          <w:bCs/>
        </w:rPr>
        <w:t xml:space="preserve">As the California Supreme Court explained in </w:t>
      </w:r>
      <w:r w:rsidRPr="00E95CB4" w:rsidR="005279AC">
        <w:rPr>
          <w:b w:val="0"/>
          <w:bCs/>
          <w:i/>
          <w:iCs/>
        </w:rPr>
        <w:t>Verdugo v. Target Corp.</w:t>
      </w:r>
      <w:r w:rsidRPr="00E95CB4" w:rsidR="005279AC">
        <w:rPr>
          <w:b w:val="0"/>
          <w:bCs/>
        </w:rPr>
        <w:t xml:space="preserve"> (2014) 59 Cal.4th 312</w:t>
      </w:r>
      <w:r w:rsidR="00DD0447">
        <w:rPr>
          <w:b w:val="0"/>
          <w:bCs/>
        </w:rPr>
        <w:t xml:space="preserve"> (</w:t>
      </w:r>
      <w:r w:rsidR="00DD0447">
        <w:rPr>
          <w:b w:val="0"/>
          <w:bCs/>
          <w:i/>
          <w:iCs/>
        </w:rPr>
        <w:t>Verdugo</w:t>
      </w:r>
      <w:r w:rsidR="00DD0447">
        <w:rPr>
          <w:b w:val="0"/>
          <w:bCs/>
        </w:rPr>
        <w:t>)</w:t>
      </w:r>
      <w:r w:rsidRPr="00E95CB4" w:rsidR="005279AC">
        <w:rPr>
          <w:b w:val="0"/>
          <w:bCs/>
        </w:rPr>
        <w:t xml:space="preserve">, </w:t>
      </w:r>
      <w:r>
        <w:rPr>
          <w:b w:val="0"/>
          <w:bCs/>
        </w:rPr>
        <w:t>“</w:t>
      </w:r>
      <w:r w:rsidRPr="00244DA6">
        <w:rPr>
          <w:b w:val="0"/>
          <w:bCs/>
        </w:rPr>
        <w:t>In evaluating whether a business is under a duty to provide precautionary measures to protect patrons against potential third</w:t>
      </w:r>
      <w:r w:rsidR="00AF4EB7">
        <w:rPr>
          <w:b w:val="0"/>
          <w:bCs/>
        </w:rPr>
        <w:t xml:space="preserve"> </w:t>
      </w:r>
      <w:r w:rsidRPr="00244DA6">
        <w:rPr>
          <w:b w:val="0"/>
          <w:bCs/>
        </w:rPr>
        <w:t xml:space="preserve">party criminal conduct, past California cases generally have looked primarily to a number of factors, including (1) the degree of foreseeability that the danger will arise on the </w:t>
      </w:r>
      <w:r w:rsidRPr="00244DA6" w:rsidR="00C1034A">
        <w:rPr>
          <w:b w:val="0"/>
          <w:bCs/>
        </w:rPr>
        <w:t>business</w:t>
      </w:r>
      <w:r w:rsidR="00C1034A">
        <w:rPr>
          <w:b w:val="0"/>
          <w:bCs/>
        </w:rPr>
        <w:t>’</w:t>
      </w:r>
      <w:r w:rsidRPr="00244DA6" w:rsidR="00C1034A">
        <w:rPr>
          <w:b w:val="0"/>
          <w:bCs/>
        </w:rPr>
        <w:t xml:space="preserve">s </w:t>
      </w:r>
      <w:r w:rsidRPr="00244DA6">
        <w:rPr>
          <w:b w:val="0"/>
          <w:bCs/>
        </w:rPr>
        <w:t>premises and (2) the relative burden that providing a particular precautionary measure will place upon the business.</w:t>
      </w:r>
      <w:r w:rsidR="001A71C7">
        <w:rPr>
          <w:b w:val="0"/>
          <w:bCs/>
        </w:rPr>
        <w:t xml:space="preserve"> </w:t>
      </w:r>
      <w:r w:rsidRPr="00244DA6">
        <w:rPr>
          <w:b w:val="0"/>
          <w:bCs/>
        </w:rPr>
        <w:t xml:space="preserve"> </w:t>
      </w:r>
      <w:r w:rsidR="00556021">
        <w:rPr>
          <w:b w:val="0"/>
          <w:bCs/>
        </w:rPr>
        <w:t>[Citations.]</w:t>
      </w:r>
      <w:r w:rsidRPr="00244DA6">
        <w:rPr>
          <w:b w:val="0"/>
          <w:bCs/>
        </w:rPr>
        <w:t xml:space="preserve"> </w:t>
      </w:r>
      <w:r w:rsidR="00556021">
        <w:rPr>
          <w:b w:val="0"/>
          <w:bCs/>
        </w:rPr>
        <w:t xml:space="preserve"> </w:t>
      </w:r>
      <w:r w:rsidRPr="00244DA6">
        <w:rPr>
          <w:b w:val="0"/>
          <w:bCs/>
        </w:rPr>
        <w:t xml:space="preserve">If the relative burden of providing a particular precautionary safety or security measure is onerous rather than minimal, the governing cases have held that absent a showing of a </w:t>
      </w:r>
      <w:r w:rsidR="00556021">
        <w:rPr>
          <w:b w:val="0"/>
          <w:bCs/>
        </w:rPr>
        <w:t>‘</w:t>
      </w:r>
      <w:r w:rsidRPr="00244DA6">
        <w:rPr>
          <w:b w:val="0"/>
          <w:bCs/>
        </w:rPr>
        <w:t>heightened</w:t>
      </w:r>
      <w:r w:rsidR="00556021">
        <w:rPr>
          <w:b w:val="0"/>
          <w:bCs/>
        </w:rPr>
        <w:t xml:space="preserve">’ </w:t>
      </w:r>
      <w:r w:rsidRPr="00244DA6">
        <w:rPr>
          <w:b w:val="0"/>
          <w:bCs/>
        </w:rPr>
        <w:t xml:space="preserve">or </w:t>
      </w:r>
      <w:r w:rsidR="00556021">
        <w:rPr>
          <w:b w:val="0"/>
          <w:bCs/>
        </w:rPr>
        <w:t>‘</w:t>
      </w:r>
      <w:r w:rsidRPr="00244DA6">
        <w:rPr>
          <w:b w:val="0"/>
          <w:bCs/>
        </w:rPr>
        <w:t>high degree</w:t>
      </w:r>
      <w:r w:rsidR="00556021">
        <w:rPr>
          <w:b w:val="0"/>
          <w:bCs/>
        </w:rPr>
        <w:t>’</w:t>
      </w:r>
      <w:r w:rsidRPr="00244DA6">
        <w:rPr>
          <w:b w:val="0"/>
          <w:bCs/>
        </w:rPr>
        <w:t xml:space="preserve"> of foreseeability of the danger in question, it is not appropriate for courts to recognize or impose a common law duty to provide the measure. </w:t>
      </w:r>
      <w:r w:rsidR="001A71C7">
        <w:rPr>
          <w:b w:val="0"/>
          <w:bCs/>
        </w:rPr>
        <w:t xml:space="preserve"> </w:t>
      </w:r>
      <w:r w:rsidR="00556021">
        <w:rPr>
          <w:b w:val="0"/>
          <w:bCs/>
        </w:rPr>
        <w:t>[Citations.]</w:t>
      </w:r>
      <w:r w:rsidRPr="00244DA6">
        <w:rPr>
          <w:b w:val="0"/>
          <w:bCs/>
        </w:rPr>
        <w:t xml:space="preserve"> </w:t>
      </w:r>
      <w:r w:rsidR="00556021">
        <w:rPr>
          <w:b w:val="0"/>
          <w:bCs/>
        </w:rPr>
        <w:t xml:space="preserve"> </w:t>
      </w:r>
      <w:r w:rsidRPr="00244DA6">
        <w:rPr>
          <w:b w:val="0"/>
          <w:bCs/>
        </w:rPr>
        <w:t>These decisions implicitly recognize that, in the absence of such heightened foreseeability, the determination whether a business (or businesses in general) should be required to provide a costly or burdensome precautionary safety measure to protect against potential future third</w:t>
      </w:r>
      <w:r w:rsidR="006C3FA4">
        <w:rPr>
          <w:b w:val="0"/>
          <w:bCs/>
        </w:rPr>
        <w:t xml:space="preserve"> </w:t>
      </w:r>
      <w:r w:rsidRPr="00244DA6">
        <w:rPr>
          <w:b w:val="0"/>
          <w:bCs/>
        </w:rPr>
        <w:t>party criminal conduct should more appropriately be made by the Legislature rather than by a jury applying a general reasonableness standard in a particular case.</w:t>
      </w:r>
      <w:r w:rsidR="00556021">
        <w:rPr>
          <w:b w:val="0"/>
          <w:bCs/>
        </w:rPr>
        <w:t>”  (</w:t>
      </w:r>
      <w:r w:rsidR="00DD0447">
        <w:rPr>
          <w:b w:val="0"/>
          <w:bCs/>
          <w:i/>
          <w:iCs/>
        </w:rPr>
        <w:t>Id</w:t>
      </w:r>
      <w:r w:rsidRPr="001A71C7" w:rsidR="00DD0447">
        <w:rPr>
          <w:b w:val="0"/>
          <w:bCs/>
        </w:rPr>
        <w:t>.</w:t>
      </w:r>
      <w:r w:rsidR="00316621">
        <w:rPr>
          <w:b w:val="0"/>
          <w:bCs/>
          <w:i/>
          <w:iCs/>
        </w:rPr>
        <w:t xml:space="preserve"> </w:t>
      </w:r>
      <w:r w:rsidR="00316621">
        <w:rPr>
          <w:b w:val="0"/>
          <w:bCs/>
        </w:rPr>
        <w:t>at pp.</w:t>
      </w:r>
      <w:r w:rsidRPr="00244DA6">
        <w:rPr>
          <w:b w:val="0"/>
          <w:bCs/>
        </w:rPr>
        <w:t xml:space="preserve"> 338–339</w:t>
      </w:r>
      <w:r w:rsidR="00556021">
        <w:rPr>
          <w:b w:val="0"/>
          <w:bCs/>
        </w:rPr>
        <w:t>.)</w:t>
      </w:r>
    </w:p>
    <w:p w:rsidR="00CB6295" w:rsidP="008E6C8A" w14:paraId="5ADEC69D" w14:textId="6C55B4C9">
      <w:pPr>
        <w:pStyle w:val="Heading21"/>
        <w:spacing w:before="0" w:after="0"/>
        <w:ind w:left="0" w:firstLine="720"/>
        <w:rPr>
          <w:b w:val="0"/>
          <w:bCs/>
        </w:rPr>
      </w:pPr>
      <w:r>
        <w:rPr>
          <w:b w:val="0"/>
          <w:bCs/>
        </w:rPr>
        <w:t xml:space="preserve">Thus, for example, </w:t>
      </w:r>
      <w:r w:rsidR="003235A3">
        <w:rPr>
          <w:b w:val="0"/>
          <w:bCs/>
        </w:rPr>
        <w:t xml:space="preserve">in </w:t>
      </w:r>
      <w:r w:rsidR="00984AA4">
        <w:rPr>
          <w:b w:val="0"/>
          <w:bCs/>
          <w:i/>
          <w:iCs/>
        </w:rPr>
        <w:t xml:space="preserve">Ann M. v. Pacific Plaza Shopping Center </w:t>
      </w:r>
      <w:r w:rsidR="00984AA4">
        <w:rPr>
          <w:b w:val="0"/>
          <w:bCs/>
        </w:rPr>
        <w:t xml:space="preserve">(1993) </w:t>
      </w:r>
      <w:r w:rsidR="000239A6">
        <w:rPr>
          <w:b w:val="0"/>
          <w:bCs/>
        </w:rPr>
        <w:t xml:space="preserve">6 </w:t>
      </w:r>
      <w:r w:rsidRPr="000239A6" w:rsidR="000239A6">
        <w:rPr>
          <w:b w:val="0"/>
          <w:bCs/>
        </w:rPr>
        <w:t xml:space="preserve">Cal.4th </w:t>
      </w:r>
      <w:r w:rsidR="000239A6">
        <w:rPr>
          <w:b w:val="0"/>
          <w:bCs/>
        </w:rPr>
        <w:t>666</w:t>
      </w:r>
      <w:r w:rsidR="003E2477">
        <w:rPr>
          <w:b w:val="0"/>
          <w:bCs/>
        </w:rPr>
        <w:t xml:space="preserve"> (</w:t>
      </w:r>
      <w:r w:rsidR="003E2477">
        <w:rPr>
          <w:b w:val="0"/>
          <w:bCs/>
          <w:i/>
          <w:iCs/>
        </w:rPr>
        <w:t>Ann M.</w:t>
      </w:r>
      <w:r w:rsidR="003E2477">
        <w:rPr>
          <w:b w:val="0"/>
          <w:bCs/>
        </w:rPr>
        <w:t>),</w:t>
      </w:r>
      <w:r w:rsidRPr="003E2477" w:rsidR="003E2477">
        <w:rPr>
          <w:b w:val="0"/>
          <w:bCs/>
        </w:rPr>
        <w:t xml:space="preserve"> </w:t>
      </w:r>
      <w:r w:rsidR="003E2477">
        <w:rPr>
          <w:b w:val="0"/>
          <w:bCs/>
        </w:rPr>
        <w:t xml:space="preserve">disapproved of on </w:t>
      </w:r>
      <w:r w:rsidR="00B9364E">
        <w:rPr>
          <w:b w:val="0"/>
          <w:bCs/>
        </w:rPr>
        <w:t>an</w:t>
      </w:r>
      <w:r w:rsidR="003E2477">
        <w:rPr>
          <w:b w:val="0"/>
          <w:bCs/>
        </w:rPr>
        <w:t xml:space="preserve">other ground by </w:t>
      </w:r>
      <w:r w:rsidRPr="00E95CB4" w:rsidR="003E2477">
        <w:rPr>
          <w:b w:val="0"/>
          <w:bCs/>
          <w:i/>
          <w:iCs/>
        </w:rPr>
        <w:t>Reid v. Google, Inc.</w:t>
      </w:r>
      <w:r w:rsidRPr="00E1443D" w:rsidR="003E2477">
        <w:rPr>
          <w:b w:val="0"/>
          <w:bCs/>
        </w:rPr>
        <w:t xml:space="preserve"> (2010) 50 Cal.4th 512</w:t>
      </w:r>
      <w:r w:rsidR="000F52A7">
        <w:rPr>
          <w:b w:val="0"/>
          <w:bCs/>
        </w:rPr>
        <w:t xml:space="preserve"> at page</w:t>
      </w:r>
      <w:r w:rsidR="006E2254">
        <w:rPr>
          <w:b w:val="0"/>
          <w:bCs/>
        </w:rPr>
        <w:t xml:space="preserve"> </w:t>
      </w:r>
      <w:r w:rsidR="0028351C">
        <w:rPr>
          <w:b w:val="0"/>
          <w:bCs/>
        </w:rPr>
        <w:t>527</w:t>
      </w:r>
      <w:r w:rsidR="0003165D">
        <w:rPr>
          <w:b w:val="0"/>
          <w:bCs/>
        </w:rPr>
        <w:t>,</w:t>
      </w:r>
      <w:r w:rsidR="0028351C">
        <w:rPr>
          <w:b w:val="0"/>
          <w:bCs/>
        </w:rPr>
        <w:t xml:space="preserve"> </w:t>
      </w:r>
      <w:r w:rsidR="000F52A7">
        <w:rPr>
          <w:b w:val="0"/>
          <w:bCs/>
        </w:rPr>
        <w:t>footnote</w:t>
      </w:r>
      <w:r w:rsidR="0028351C">
        <w:rPr>
          <w:b w:val="0"/>
          <w:bCs/>
        </w:rPr>
        <w:t xml:space="preserve"> 5</w:t>
      </w:r>
      <w:r w:rsidR="000239A6">
        <w:rPr>
          <w:b w:val="0"/>
          <w:bCs/>
        </w:rPr>
        <w:t xml:space="preserve">, </w:t>
      </w:r>
      <w:r w:rsidR="00BA15D2">
        <w:rPr>
          <w:b w:val="0"/>
          <w:bCs/>
        </w:rPr>
        <w:t xml:space="preserve">an unknown assailant raped </w:t>
      </w:r>
      <w:r w:rsidR="000239A6">
        <w:rPr>
          <w:b w:val="0"/>
          <w:bCs/>
        </w:rPr>
        <w:t>the plaintiff</w:t>
      </w:r>
      <w:r w:rsidR="00BA15D2">
        <w:rPr>
          <w:b w:val="0"/>
          <w:bCs/>
        </w:rPr>
        <w:t xml:space="preserve"> </w:t>
      </w:r>
      <w:r w:rsidR="00F51F49">
        <w:rPr>
          <w:b w:val="0"/>
          <w:bCs/>
        </w:rPr>
        <w:t xml:space="preserve">at the store </w:t>
      </w:r>
      <w:r w:rsidR="00013727">
        <w:rPr>
          <w:b w:val="0"/>
          <w:bCs/>
        </w:rPr>
        <w:t>where she worked</w:t>
      </w:r>
      <w:r w:rsidR="00F51F49">
        <w:rPr>
          <w:b w:val="0"/>
          <w:bCs/>
        </w:rPr>
        <w:t xml:space="preserve">.  The plaintiff sued the </w:t>
      </w:r>
      <w:r w:rsidR="008F2EF1">
        <w:rPr>
          <w:b w:val="0"/>
          <w:bCs/>
        </w:rPr>
        <w:t xml:space="preserve">defendant </w:t>
      </w:r>
      <w:r w:rsidR="000239A6">
        <w:rPr>
          <w:b w:val="0"/>
          <w:bCs/>
        </w:rPr>
        <w:t xml:space="preserve">owner of </w:t>
      </w:r>
      <w:r w:rsidR="00F51F49">
        <w:rPr>
          <w:b w:val="0"/>
          <w:bCs/>
        </w:rPr>
        <w:t>the</w:t>
      </w:r>
      <w:r w:rsidR="000239A6">
        <w:rPr>
          <w:b w:val="0"/>
          <w:bCs/>
        </w:rPr>
        <w:t xml:space="preserve"> shopping center</w:t>
      </w:r>
      <w:r w:rsidR="00B736A6">
        <w:rPr>
          <w:b w:val="0"/>
          <w:bCs/>
        </w:rPr>
        <w:t xml:space="preserve">, </w:t>
      </w:r>
      <w:r w:rsidR="00CC0CB5">
        <w:rPr>
          <w:b w:val="0"/>
          <w:bCs/>
        </w:rPr>
        <w:t xml:space="preserve">alleging </w:t>
      </w:r>
      <w:r w:rsidR="00B42B76">
        <w:rPr>
          <w:b w:val="0"/>
          <w:bCs/>
        </w:rPr>
        <w:t xml:space="preserve">the defendant was negligent for failing to provide security patrols in the </w:t>
      </w:r>
      <w:r w:rsidR="008F2EF1">
        <w:rPr>
          <w:b w:val="0"/>
          <w:bCs/>
        </w:rPr>
        <w:t xml:space="preserve">shopping center’s </w:t>
      </w:r>
      <w:r w:rsidR="00B42B76">
        <w:rPr>
          <w:b w:val="0"/>
          <w:bCs/>
        </w:rPr>
        <w:t>common areas.  (</w:t>
      </w:r>
      <w:r w:rsidR="00350592">
        <w:rPr>
          <w:b w:val="0"/>
          <w:bCs/>
          <w:i/>
          <w:iCs/>
        </w:rPr>
        <w:t>Ann M</w:t>
      </w:r>
      <w:r w:rsidRPr="00D43FB9" w:rsidR="00350592">
        <w:rPr>
          <w:b w:val="0"/>
          <w:bCs/>
        </w:rPr>
        <w:t>.</w:t>
      </w:r>
      <w:r w:rsidR="00A84FFB">
        <w:rPr>
          <w:b w:val="0"/>
          <w:bCs/>
        </w:rPr>
        <w:t>,</w:t>
      </w:r>
      <w:r w:rsidR="00B42B76">
        <w:rPr>
          <w:b w:val="0"/>
          <w:bCs/>
        </w:rPr>
        <w:t xml:space="preserve"> at pp.</w:t>
      </w:r>
      <w:r w:rsidR="00DE078A">
        <w:rPr>
          <w:b w:val="0"/>
          <w:bCs/>
        </w:rPr>
        <w:t xml:space="preserve"> 671,</w:t>
      </w:r>
      <w:r w:rsidR="00B42B76">
        <w:rPr>
          <w:b w:val="0"/>
          <w:bCs/>
        </w:rPr>
        <w:t xml:space="preserve"> 673</w:t>
      </w:r>
      <w:r w:rsidR="00DE078A">
        <w:rPr>
          <w:b w:val="0"/>
          <w:bCs/>
        </w:rPr>
        <w:t>.)</w:t>
      </w:r>
      <w:r w:rsidR="000D2E47">
        <w:rPr>
          <w:b w:val="0"/>
          <w:bCs/>
        </w:rPr>
        <w:t xml:space="preserve">  Our high court determined that although the defendant </w:t>
      </w:r>
      <w:r w:rsidR="00F15279">
        <w:rPr>
          <w:b w:val="0"/>
          <w:bCs/>
        </w:rPr>
        <w:t xml:space="preserve">owed a duty of care to the plaintiff due to </w:t>
      </w:r>
      <w:r w:rsidR="00062741">
        <w:rPr>
          <w:b w:val="0"/>
          <w:bCs/>
        </w:rPr>
        <w:t xml:space="preserve">the landowner-tenant and landowner-patron relationship, </w:t>
      </w:r>
      <w:r w:rsidR="004C62D0">
        <w:rPr>
          <w:b w:val="0"/>
          <w:bCs/>
        </w:rPr>
        <w:t>that duty was limited</w:t>
      </w:r>
      <w:r w:rsidR="00D478F9">
        <w:rPr>
          <w:b w:val="0"/>
          <w:bCs/>
        </w:rPr>
        <w:t>.</w:t>
      </w:r>
    </w:p>
    <w:p w:rsidR="00D474DF" w:rsidP="008E6C8A" w14:paraId="5281CCF2" w14:textId="157C2ADA">
      <w:pPr>
        <w:pStyle w:val="Heading21"/>
        <w:spacing w:before="0" w:after="0"/>
        <w:ind w:left="0" w:firstLine="720"/>
        <w:rPr>
          <w:b w:val="0"/>
          <w:bCs/>
        </w:rPr>
      </w:pPr>
      <w:r>
        <w:rPr>
          <w:b w:val="0"/>
          <w:bCs/>
        </w:rPr>
        <w:t>The court explained t</w:t>
      </w:r>
      <w:r w:rsidR="00991503">
        <w:rPr>
          <w:b w:val="0"/>
          <w:bCs/>
        </w:rPr>
        <w:t xml:space="preserve">hat the scope of a landlord’s duty to provide protection from </w:t>
      </w:r>
      <w:r w:rsidR="004767DC">
        <w:rPr>
          <w:b w:val="0"/>
          <w:bCs/>
        </w:rPr>
        <w:t>foreseeable third party crime “is determined by a balancing of ‘foreseeability’ of the criminal acts against the ‘burdensomeness, vagueness, and efficacy</w:t>
      </w:r>
      <w:r w:rsidR="00C56127">
        <w:rPr>
          <w:b w:val="0"/>
          <w:bCs/>
        </w:rPr>
        <w:t>’ of the proposed security measures.”  (</w:t>
      </w:r>
      <w:r w:rsidR="00872879">
        <w:rPr>
          <w:b w:val="0"/>
          <w:bCs/>
          <w:i/>
          <w:iCs/>
        </w:rPr>
        <w:t>Ann M.</w:t>
      </w:r>
      <w:r w:rsidR="00872879">
        <w:rPr>
          <w:b w:val="0"/>
          <w:bCs/>
        </w:rPr>
        <w:t xml:space="preserve">, </w:t>
      </w:r>
      <w:r w:rsidRPr="00B50354" w:rsidR="00872879">
        <w:rPr>
          <w:b w:val="0"/>
          <w:bCs/>
          <w:i/>
          <w:iCs/>
        </w:rPr>
        <w:t>supra</w:t>
      </w:r>
      <w:r w:rsidR="00872879">
        <w:rPr>
          <w:b w:val="0"/>
          <w:bCs/>
        </w:rPr>
        <w:t xml:space="preserve">, 6 </w:t>
      </w:r>
      <w:r w:rsidRPr="000239A6" w:rsidR="00872879">
        <w:rPr>
          <w:b w:val="0"/>
          <w:bCs/>
        </w:rPr>
        <w:t xml:space="preserve">Cal.4th </w:t>
      </w:r>
      <w:r w:rsidR="00C56127">
        <w:rPr>
          <w:b w:val="0"/>
          <w:bCs/>
        </w:rPr>
        <w:t>at p.</w:t>
      </w:r>
      <w:r w:rsidR="009479E3">
        <w:rPr>
          <w:b w:val="0"/>
          <w:bCs/>
        </w:rPr>
        <w:t> </w:t>
      </w:r>
      <w:r w:rsidR="00C56127">
        <w:rPr>
          <w:b w:val="0"/>
          <w:bCs/>
        </w:rPr>
        <w:t xml:space="preserve">679.)  </w:t>
      </w:r>
      <w:r w:rsidR="004C345A">
        <w:rPr>
          <w:b w:val="0"/>
          <w:bCs/>
        </w:rPr>
        <w:t>T</w:t>
      </w:r>
      <w:r w:rsidR="00466EEE">
        <w:rPr>
          <w:b w:val="0"/>
          <w:bCs/>
        </w:rPr>
        <w:t xml:space="preserve">he court concluded hiring security guards </w:t>
      </w:r>
      <w:r w:rsidR="005F09AE">
        <w:rPr>
          <w:b w:val="0"/>
          <w:bCs/>
        </w:rPr>
        <w:t xml:space="preserve">would rarely be a minimal burden.  Not only are the monetary costs “not insignificant,” </w:t>
      </w:r>
      <w:r w:rsidR="004006AA">
        <w:rPr>
          <w:b w:val="0"/>
          <w:bCs/>
        </w:rPr>
        <w:t>“the obligation to provide patrols adequate to deter criminal conduct is not well</w:t>
      </w:r>
      <w:r w:rsidR="005A3B44">
        <w:rPr>
          <w:b w:val="0"/>
          <w:bCs/>
        </w:rPr>
        <w:t xml:space="preserve"> </w:t>
      </w:r>
      <w:r w:rsidR="004006AA">
        <w:rPr>
          <w:b w:val="0"/>
          <w:bCs/>
        </w:rPr>
        <w:t>defined.</w:t>
      </w:r>
      <w:r w:rsidRPr="00C5694F" w:rsidR="00C5694F">
        <w:rPr>
          <w:rFonts w:ascii="Verdana" w:hAnsi="Verdana"/>
          <w:b w:val="0"/>
          <w:color w:val="212121"/>
          <w:sz w:val="18"/>
          <w:szCs w:val="18"/>
          <w:bdr w:val="none" w:sz="0" w:space="0" w:color="auto" w:frame="1"/>
          <w:shd w:val="clear" w:color="auto" w:fill="FFFFFF"/>
        </w:rPr>
        <w:t xml:space="preserve"> </w:t>
      </w:r>
      <w:r w:rsidR="00C5694F">
        <w:rPr>
          <w:rFonts w:ascii="Verdana" w:hAnsi="Verdana"/>
          <w:b w:val="0"/>
          <w:color w:val="212121"/>
          <w:sz w:val="18"/>
          <w:szCs w:val="18"/>
          <w:bdr w:val="none" w:sz="0" w:space="0" w:color="auto" w:frame="1"/>
          <w:shd w:val="clear" w:color="auto" w:fill="FFFFFF"/>
        </w:rPr>
        <w:t xml:space="preserve"> </w:t>
      </w:r>
      <w:r w:rsidR="00C5694F">
        <w:rPr>
          <w:b w:val="0"/>
          <w:bCs/>
        </w:rPr>
        <w:t>‘</w:t>
      </w:r>
      <w:r w:rsidRPr="00C5694F" w:rsidR="00C5694F">
        <w:rPr>
          <w:b w:val="0"/>
          <w:bCs/>
        </w:rPr>
        <w:t xml:space="preserve">No one really knows why people commit crime, hence no one really knows what is </w:t>
      </w:r>
      <w:r w:rsidR="0055232D">
        <w:rPr>
          <w:b w:val="0"/>
          <w:bCs/>
        </w:rPr>
        <w:t>“</w:t>
      </w:r>
      <w:r w:rsidRPr="00C5694F" w:rsidR="00C5694F">
        <w:rPr>
          <w:b w:val="0"/>
          <w:bCs/>
        </w:rPr>
        <w:t>adequate</w:t>
      </w:r>
      <w:r w:rsidR="0055232D">
        <w:rPr>
          <w:b w:val="0"/>
          <w:bCs/>
        </w:rPr>
        <w:t>”</w:t>
      </w:r>
      <w:r w:rsidRPr="00C5694F" w:rsidR="00C5694F">
        <w:rPr>
          <w:b w:val="0"/>
          <w:bCs/>
        </w:rPr>
        <w:t xml:space="preserve"> deterrence in any given situation.</w:t>
      </w:r>
      <w:r w:rsidR="00C5694F">
        <w:rPr>
          <w:b w:val="0"/>
          <w:bCs/>
        </w:rPr>
        <w:t>’</w:t>
      </w:r>
      <w:r w:rsidRPr="00C5694F" w:rsidR="00C5694F">
        <w:rPr>
          <w:b w:val="0"/>
          <w:bCs/>
        </w:rPr>
        <w:t xml:space="preserve"> </w:t>
      </w:r>
      <w:r w:rsidR="009479E3">
        <w:rPr>
          <w:b w:val="0"/>
          <w:bCs/>
        </w:rPr>
        <w:t xml:space="preserve"> </w:t>
      </w:r>
      <w:r w:rsidR="00C5694F">
        <w:rPr>
          <w:b w:val="0"/>
          <w:bCs/>
        </w:rPr>
        <w:t xml:space="preserve">[Citation.]  </w:t>
      </w:r>
      <w:r w:rsidRPr="00C5694F" w:rsidR="00C5694F">
        <w:rPr>
          <w:b w:val="0"/>
          <w:bCs/>
        </w:rPr>
        <w:t xml:space="preserve">Finally, the social costs of imposing a duty on landowners to hire private police forces are also not insignificant. </w:t>
      </w:r>
      <w:r w:rsidR="009479E3">
        <w:rPr>
          <w:b w:val="0"/>
          <w:bCs/>
        </w:rPr>
        <w:t xml:space="preserve"> </w:t>
      </w:r>
      <w:r w:rsidR="0055232D">
        <w:rPr>
          <w:b w:val="0"/>
          <w:bCs/>
        </w:rPr>
        <w:t>[Citation.]</w:t>
      </w:r>
      <w:r w:rsidRPr="00C5694F" w:rsidR="0055232D">
        <w:rPr>
          <w:b w:val="0"/>
          <w:bCs/>
        </w:rPr>
        <w:t xml:space="preserve"> </w:t>
      </w:r>
      <w:r w:rsidR="009479E3">
        <w:rPr>
          <w:b w:val="0"/>
          <w:bCs/>
        </w:rPr>
        <w:t xml:space="preserve"> </w:t>
      </w:r>
      <w:r w:rsidRPr="00C5694F" w:rsidR="00C5694F">
        <w:rPr>
          <w:b w:val="0"/>
          <w:bCs/>
        </w:rPr>
        <w:t>For these reasons, we conclude that</w:t>
      </w:r>
      <w:r w:rsidRPr="00C5694F" w:rsidR="0055232D">
        <w:rPr>
          <w:b w:val="0"/>
          <w:bCs/>
        </w:rPr>
        <w:t xml:space="preserve"> </w:t>
      </w:r>
      <w:r w:rsidRPr="00C5694F" w:rsidR="00C5694F">
        <w:rPr>
          <w:b w:val="0"/>
          <w:bCs/>
        </w:rPr>
        <w:t>a high degree of foreseeability is required</w:t>
      </w:r>
      <w:bookmarkStart w:id="1" w:name="PAGE_7050"/>
      <w:bookmarkEnd w:id="1"/>
      <w:r w:rsidR="009479E3">
        <w:rPr>
          <w:b w:val="0"/>
          <w:bCs/>
        </w:rPr>
        <w:t xml:space="preserve"> </w:t>
      </w:r>
      <w:r w:rsidRPr="00C5694F" w:rsidR="00C5694F">
        <w:rPr>
          <w:b w:val="0"/>
          <w:bCs/>
        </w:rPr>
        <w:t xml:space="preserve">in order to find that the scope of a </w:t>
      </w:r>
      <w:r w:rsidRPr="00C5694F" w:rsidR="008027D9">
        <w:rPr>
          <w:b w:val="0"/>
          <w:bCs/>
        </w:rPr>
        <w:t>landlord</w:t>
      </w:r>
      <w:r w:rsidR="008027D9">
        <w:rPr>
          <w:b w:val="0"/>
          <w:bCs/>
        </w:rPr>
        <w:t>’</w:t>
      </w:r>
      <w:r w:rsidRPr="00C5694F" w:rsidR="008027D9">
        <w:rPr>
          <w:b w:val="0"/>
          <w:bCs/>
        </w:rPr>
        <w:t xml:space="preserve">s </w:t>
      </w:r>
      <w:r w:rsidRPr="00C5694F" w:rsidR="00C5694F">
        <w:rPr>
          <w:b w:val="0"/>
          <w:bCs/>
        </w:rPr>
        <w:t>duty of care includes the hiring of security guards.</w:t>
      </w:r>
      <w:r w:rsidR="009479E3">
        <w:rPr>
          <w:b w:val="0"/>
          <w:bCs/>
        </w:rPr>
        <w:t xml:space="preserve">  </w:t>
      </w:r>
      <w:r w:rsidRPr="00C5694F" w:rsidR="00C5694F">
        <w:rPr>
          <w:b w:val="0"/>
          <w:bCs/>
        </w:rPr>
        <w:t xml:space="preserve">We further conclude that the requisite degree of foreseeability rarely, if ever, can be proven in the absence of prior similar incidents of violent crime on the </w:t>
      </w:r>
      <w:r w:rsidRPr="00C5694F" w:rsidR="00832482">
        <w:rPr>
          <w:b w:val="0"/>
          <w:bCs/>
        </w:rPr>
        <w:t>landowner</w:t>
      </w:r>
      <w:r w:rsidR="00832482">
        <w:rPr>
          <w:b w:val="0"/>
          <w:bCs/>
        </w:rPr>
        <w:t>’</w:t>
      </w:r>
      <w:r w:rsidRPr="00C5694F" w:rsidR="00832482">
        <w:rPr>
          <w:b w:val="0"/>
          <w:bCs/>
        </w:rPr>
        <w:t xml:space="preserve">s </w:t>
      </w:r>
      <w:r w:rsidRPr="00C5694F" w:rsidR="00C5694F">
        <w:rPr>
          <w:b w:val="0"/>
          <w:bCs/>
        </w:rPr>
        <w:t>premises.</w:t>
      </w:r>
      <w:r w:rsidR="009479E3">
        <w:rPr>
          <w:b w:val="0"/>
          <w:bCs/>
        </w:rPr>
        <w:t xml:space="preserve"> </w:t>
      </w:r>
      <w:r w:rsidRPr="00C5694F" w:rsidR="005F5046">
        <w:rPr>
          <w:b w:val="0"/>
          <w:bCs/>
        </w:rPr>
        <w:t xml:space="preserve"> </w:t>
      </w:r>
      <w:r w:rsidRPr="00C5694F" w:rsidR="00C5694F">
        <w:rPr>
          <w:b w:val="0"/>
          <w:bCs/>
        </w:rPr>
        <w:t>To hold otherwise</w:t>
      </w:r>
      <w:r w:rsidR="001A71C7">
        <w:rPr>
          <w:b w:val="0"/>
          <w:bCs/>
        </w:rPr>
        <w:t xml:space="preserve"> </w:t>
      </w:r>
      <w:r w:rsidRPr="00C5694F" w:rsidR="00C5694F">
        <w:rPr>
          <w:b w:val="0"/>
          <w:bCs/>
        </w:rPr>
        <w:t>would be to impose an unfair burden upon landlords and,</w:t>
      </w:r>
      <w:r w:rsidR="001A71C7">
        <w:rPr>
          <w:b w:val="0"/>
          <w:bCs/>
        </w:rPr>
        <w:t xml:space="preserve"> </w:t>
      </w:r>
      <w:r w:rsidRPr="00C5694F" w:rsidR="00C5694F">
        <w:rPr>
          <w:b w:val="0"/>
          <w:bCs/>
        </w:rPr>
        <w:t>in effect, would force landlords to become the insurers of public safety, contrary to well-established policy in this state.</w:t>
      </w:r>
      <w:r w:rsidR="00AF0CBE">
        <w:rPr>
          <w:b w:val="0"/>
          <w:bCs/>
        </w:rPr>
        <w:t>”  (</w:t>
      </w:r>
      <w:r w:rsidR="00AF0CBE">
        <w:rPr>
          <w:b w:val="0"/>
          <w:bCs/>
          <w:i/>
          <w:iCs/>
        </w:rPr>
        <w:t>Ibid</w:t>
      </w:r>
      <w:r w:rsidRPr="001A71C7" w:rsidR="00AF0CBE">
        <w:rPr>
          <w:b w:val="0"/>
          <w:bCs/>
        </w:rPr>
        <w:t>.</w:t>
      </w:r>
      <w:r w:rsidR="00AF0CBE">
        <w:rPr>
          <w:b w:val="0"/>
          <w:bCs/>
        </w:rPr>
        <w:t>)</w:t>
      </w:r>
    </w:p>
    <w:p w:rsidR="005B4FE3" w:rsidP="008E6C8A" w14:paraId="751A8CE3" w14:textId="4815AA07">
      <w:pPr>
        <w:pStyle w:val="Heading21"/>
        <w:spacing w:before="0" w:after="0"/>
        <w:ind w:left="0" w:firstLine="720"/>
        <w:rPr>
          <w:b w:val="0"/>
          <w:bCs/>
        </w:rPr>
      </w:pPr>
      <w:r>
        <w:rPr>
          <w:b w:val="0"/>
          <w:bCs/>
        </w:rPr>
        <w:t>Th</w:t>
      </w:r>
      <w:r w:rsidR="00BA51A4">
        <w:rPr>
          <w:b w:val="0"/>
          <w:bCs/>
        </w:rPr>
        <w:t xml:space="preserve">e plaintiff </w:t>
      </w:r>
      <w:r w:rsidR="004C345A">
        <w:rPr>
          <w:b w:val="0"/>
          <w:bCs/>
        </w:rPr>
        <w:t xml:space="preserve">in </w:t>
      </w:r>
      <w:r w:rsidR="004C345A">
        <w:rPr>
          <w:b w:val="0"/>
          <w:bCs/>
          <w:i/>
          <w:iCs/>
        </w:rPr>
        <w:t>Ann M.</w:t>
      </w:r>
      <w:r w:rsidR="004C345A">
        <w:rPr>
          <w:b w:val="0"/>
          <w:bCs/>
        </w:rPr>
        <w:t xml:space="preserve"> </w:t>
      </w:r>
      <w:r w:rsidR="00BA51A4">
        <w:rPr>
          <w:b w:val="0"/>
          <w:bCs/>
        </w:rPr>
        <w:t>failed to establish the requisite high degree o</w:t>
      </w:r>
      <w:r w:rsidR="004C345A">
        <w:rPr>
          <w:b w:val="0"/>
          <w:bCs/>
        </w:rPr>
        <w:t>f</w:t>
      </w:r>
      <w:r w:rsidR="00BA51A4">
        <w:rPr>
          <w:b w:val="0"/>
          <w:bCs/>
        </w:rPr>
        <w:t xml:space="preserve"> foreseeability </w:t>
      </w:r>
      <w:r w:rsidR="000B732C">
        <w:rPr>
          <w:b w:val="0"/>
          <w:bCs/>
        </w:rPr>
        <w:t>since there was no evidence the defendant was aware of prior assaults and robberies at the shopping center</w:t>
      </w:r>
      <w:r w:rsidR="00247C8E">
        <w:rPr>
          <w:b w:val="0"/>
          <w:bCs/>
        </w:rPr>
        <w:t xml:space="preserve"> and </w:t>
      </w:r>
      <w:r w:rsidR="00D718C4">
        <w:rPr>
          <w:b w:val="0"/>
          <w:bCs/>
        </w:rPr>
        <w:t xml:space="preserve">prior </w:t>
      </w:r>
      <w:r w:rsidR="00696495">
        <w:rPr>
          <w:b w:val="0"/>
          <w:bCs/>
        </w:rPr>
        <w:t xml:space="preserve">reported </w:t>
      </w:r>
      <w:r w:rsidR="00D718C4">
        <w:rPr>
          <w:b w:val="0"/>
          <w:bCs/>
        </w:rPr>
        <w:t xml:space="preserve">incidents </w:t>
      </w:r>
      <w:r w:rsidR="004C345A">
        <w:rPr>
          <w:b w:val="0"/>
          <w:bCs/>
        </w:rPr>
        <w:t xml:space="preserve">of crime </w:t>
      </w:r>
      <w:r w:rsidR="00D718C4">
        <w:rPr>
          <w:b w:val="0"/>
          <w:bCs/>
        </w:rPr>
        <w:t>were not similar to the assault the plaintiff suffered</w:t>
      </w:r>
      <w:r w:rsidR="00247C8E">
        <w:rPr>
          <w:b w:val="0"/>
          <w:bCs/>
        </w:rPr>
        <w:t>.  Evidence that transients were present near the shopping center and statistical rates of crime in the surrounding area also</w:t>
      </w:r>
      <w:r w:rsidR="003C6F79">
        <w:rPr>
          <w:b w:val="0"/>
          <w:bCs/>
        </w:rPr>
        <w:t xml:space="preserve"> failed to satisfy the plaintiff’s burden to show a high degree of foreseeability</w:t>
      </w:r>
      <w:r w:rsidR="00D474DF">
        <w:rPr>
          <w:b w:val="0"/>
          <w:bCs/>
        </w:rPr>
        <w:t xml:space="preserve">. </w:t>
      </w:r>
      <w:r>
        <w:rPr>
          <w:b w:val="0"/>
          <w:bCs/>
        </w:rPr>
        <w:t xml:space="preserve"> </w:t>
      </w:r>
      <w:r w:rsidR="00D474DF">
        <w:rPr>
          <w:b w:val="0"/>
          <w:bCs/>
        </w:rPr>
        <w:t>(</w:t>
      </w:r>
      <w:r w:rsidR="005A3B44">
        <w:rPr>
          <w:b w:val="0"/>
          <w:bCs/>
          <w:i/>
          <w:iCs/>
        </w:rPr>
        <w:t>Ann M.</w:t>
      </w:r>
      <w:r w:rsidR="005A3B44">
        <w:rPr>
          <w:b w:val="0"/>
          <w:bCs/>
        </w:rPr>
        <w:t xml:space="preserve">, </w:t>
      </w:r>
      <w:r w:rsidRPr="00B50354" w:rsidR="005A3B44">
        <w:rPr>
          <w:b w:val="0"/>
          <w:bCs/>
          <w:i/>
          <w:iCs/>
        </w:rPr>
        <w:t>supra</w:t>
      </w:r>
      <w:r w:rsidR="005A3B44">
        <w:rPr>
          <w:b w:val="0"/>
          <w:bCs/>
        </w:rPr>
        <w:t xml:space="preserve">, 6 </w:t>
      </w:r>
      <w:r w:rsidRPr="000239A6" w:rsidR="005A3B44">
        <w:rPr>
          <w:b w:val="0"/>
          <w:bCs/>
        </w:rPr>
        <w:t xml:space="preserve">Cal.4th </w:t>
      </w:r>
      <w:r w:rsidR="00D474DF">
        <w:rPr>
          <w:b w:val="0"/>
          <w:bCs/>
        </w:rPr>
        <w:t>at pp. 679</w:t>
      </w:r>
      <w:r w:rsidR="009479E3">
        <w:rPr>
          <w:b w:val="0"/>
          <w:bCs/>
        </w:rPr>
        <w:t>–</w:t>
      </w:r>
      <w:r w:rsidR="00D474DF">
        <w:rPr>
          <w:b w:val="0"/>
          <w:bCs/>
        </w:rPr>
        <w:t>680.)</w:t>
      </w:r>
    </w:p>
    <w:p w:rsidR="007B67FE" w:rsidRPr="004218A8" w:rsidP="008E6C8A" w14:paraId="293CC84F" w14:textId="73BCC6DF">
      <w:pPr>
        <w:pStyle w:val="Heading21"/>
        <w:spacing w:before="0" w:after="0"/>
        <w:ind w:left="0" w:firstLine="720"/>
        <w:rPr>
          <w:b w:val="0"/>
          <w:bCs/>
        </w:rPr>
      </w:pPr>
      <w:r>
        <w:rPr>
          <w:b w:val="0"/>
          <w:bCs/>
        </w:rPr>
        <w:t xml:space="preserve">In </w:t>
      </w:r>
      <w:r w:rsidR="003047B8">
        <w:rPr>
          <w:b w:val="0"/>
          <w:bCs/>
          <w:i/>
          <w:iCs/>
        </w:rPr>
        <w:t>S</w:t>
      </w:r>
      <w:r w:rsidR="0081271B">
        <w:rPr>
          <w:b w:val="0"/>
          <w:bCs/>
          <w:i/>
          <w:iCs/>
        </w:rPr>
        <w:t>haron P. v. Arman, Ltd.</w:t>
      </w:r>
      <w:r w:rsidR="0081271B">
        <w:rPr>
          <w:b w:val="0"/>
          <w:bCs/>
        </w:rPr>
        <w:t xml:space="preserve"> (</w:t>
      </w:r>
      <w:r w:rsidR="002D3CF0">
        <w:rPr>
          <w:b w:val="0"/>
          <w:bCs/>
        </w:rPr>
        <w:t xml:space="preserve">1999) 21 </w:t>
      </w:r>
      <w:r w:rsidRPr="002D3CF0" w:rsidR="002D3CF0">
        <w:rPr>
          <w:b w:val="0"/>
          <w:bCs/>
        </w:rPr>
        <w:t xml:space="preserve">Cal.4th </w:t>
      </w:r>
      <w:r w:rsidR="002D3CF0">
        <w:rPr>
          <w:b w:val="0"/>
          <w:bCs/>
        </w:rPr>
        <w:t>1181</w:t>
      </w:r>
      <w:r w:rsidR="00B9364E">
        <w:rPr>
          <w:b w:val="0"/>
          <w:bCs/>
        </w:rPr>
        <w:t xml:space="preserve"> (</w:t>
      </w:r>
      <w:r w:rsidR="00B9364E">
        <w:rPr>
          <w:b w:val="0"/>
          <w:bCs/>
          <w:i/>
          <w:iCs/>
        </w:rPr>
        <w:t>Sharon P.</w:t>
      </w:r>
      <w:r w:rsidR="00B9364E">
        <w:rPr>
          <w:b w:val="0"/>
          <w:bCs/>
        </w:rPr>
        <w:t>),</w:t>
      </w:r>
      <w:r w:rsidRPr="00B9364E" w:rsidR="00B9364E">
        <w:rPr>
          <w:b w:val="0"/>
          <w:bCs/>
        </w:rPr>
        <w:t xml:space="preserve"> </w:t>
      </w:r>
      <w:r w:rsidR="00B9364E">
        <w:rPr>
          <w:b w:val="0"/>
          <w:bCs/>
        </w:rPr>
        <w:t>disapproved of on</w:t>
      </w:r>
      <w:r w:rsidR="00D14D7E">
        <w:rPr>
          <w:b w:val="0"/>
          <w:bCs/>
        </w:rPr>
        <w:t xml:space="preserve"> </w:t>
      </w:r>
      <w:r w:rsidR="00FD7105">
        <w:rPr>
          <w:b w:val="0"/>
          <w:bCs/>
        </w:rPr>
        <w:t xml:space="preserve">other </w:t>
      </w:r>
      <w:r w:rsidR="00B9364E">
        <w:rPr>
          <w:b w:val="0"/>
          <w:bCs/>
        </w:rPr>
        <w:t>ground</w:t>
      </w:r>
      <w:r w:rsidR="00D14D7E">
        <w:rPr>
          <w:b w:val="0"/>
          <w:bCs/>
        </w:rPr>
        <w:t>s</w:t>
      </w:r>
      <w:r w:rsidR="00B9364E">
        <w:rPr>
          <w:b w:val="0"/>
          <w:bCs/>
        </w:rPr>
        <w:t xml:space="preserve"> by </w:t>
      </w:r>
      <w:r w:rsidRPr="00E95CB4" w:rsidR="00B9364E">
        <w:rPr>
          <w:b w:val="0"/>
          <w:bCs/>
          <w:i/>
          <w:iCs/>
        </w:rPr>
        <w:t>Reid v. Google</w:t>
      </w:r>
      <w:r w:rsidRPr="001A71C7" w:rsidR="00B9364E">
        <w:rPr>
          <w:b w:val="0"/>
          <w:bCs/>
        </w:rPr>
        <w:t>,</w:t>
      </w:r>
      <w:r w:rsidR="00E1693E">
        <w:rPr>
          <w:b w:val="0"/>
          <w:bCs/>
        </w:rPr>
        <w:t xml:space="preserve"> </w:t>
      </w:r>
      <w:r w:rsidR="00E1693E">
        <w:rPr>
          <w:b w:val="0"/>
          <w:bCs/>
          <w:i/>
          <w:iCs/>
        </w:rPr>
        <w:t>Inc.</w:t>
      </w:r>
      <w:r w:rsidRPr="00FF2040" w:rsidR="00FF2040">
        <w:rPr>
          <w:b w:val="0"/>
          <w:bCs/>
        </w:rPr>
        <w:t>,</w:t>
      </w:r>
      <w:r w:rsidR="00BB660C">
        <w:rPr>
          <w:b w:val="0"/>
          <w:bCs/>
        </w:rPr>
        <w:t xml:space="preserve"> </w:t>
      </w:r>
      <w:r w:rsidR="00BB660C">
        <w:rPr>
          <w:b w:val="0"/>
          <w:bCs/>
          <w:i/>
          <w:iCs/>
        </w:rPr>
        <w:t>supra</w:t>
      </w:r>
      <w:r w:rsidRPr="00D43FB9" w:rsidR="00BB660C">
        <w:rPr>
          <w:b w:val="0"/>
          <w:bCs/>
        </w:rPr>
        <w:t>,</w:t>
      </w:r>
      <w:r w:rsidR="00FF2040">
        <w:rPr>
          <w:b w:val="0"/>
          <w:bCs/>
        </w:rPr>
        <w:t xml:space="preserve"> </w:t>
      </w:r>
      <w:r w:rsidRPr="00E1443D" w:rsidR="00B9364E">
        <w:rPr>
          <w:b w:val="0"/>
          <w:bCs/>
        </w:rPr>
        <w:t xml:space="preserve">50 Cal.4th </w:t>
      </w:r>
      <w:r w:rsidR="00BB660C">
        <w:rPr>
          <w:b w:val="0"/>
          <w:bCs/>
        </w:rPr>
        <w:t>at p</w:t>
      </w:r>
      <w:r w:rsidR="00137F89">
        <w:rPr>
          <w:b w:val="0"/>
          <w:bCs/>
        </w:rPr>
        <w:t>age</w:t>
      </w:r>
      <w:r w:rsidR="00BF76D0">
        <w:rPr>
          <w:b w:val="0"/>
          <w:bCs/>
        </w:rPr>
        <w:t xml:space="preserve"> </w:t>
      </w:r>
      <w:r w:rsidR="00341D8E">
        <w:rPr>
          <w:b w:val="0"/>
          <w:bCs/>
        </w:rPr>
        <w:t xml:space="preserve">527, footnote 5, </w:t>
      </w:r>
      <w:r w:rsidR="00D14D7E">
        <w:rPr>
          <w:b w:val="0"/>
          <w:bCs/>
        </w:rPr>
        <w:t xml:space="preserve">and </w:t>
      </w:r>
      <w:r w:rsidR="00D14D7E">
        <w:rPr>
          <w:b w:val="0"/>
          <w:bCs/>
          <w:i/>
          <w:iCs/>
        </w:rPr>
        <w:t>Aguilar v. Atlantic Richfield Co.</w:t>
      </w:r>
      <w:r w:rsidR="00D14D7E">
        <w:rPr>
          <w:b w:val="0"/>
          <w:bCs/>
        </w:rPr>
        <w:t xml:space="preserve"> (2001) </w:t>
      </w:r>
      <w:r w:rsidR="00706BCA">
        <w:rPr>
          <w:b w:val="0"/>
          <w:bCs/>
        </w:rPr>
        <w:t xml:space="preserve">25 </w:t>
      </w:r>
      <w:r w:rsidRPr="00706BCA" w:rsidR="00706BCA">
        <w:rPr>
          <w:b w:val="0"/>
          <w:bCs/>
        </w:rPr>
        <w:t xml:space="preserve">Cal.4th </w:t>
      </w:r>
      <w:r w:rsidR="00706BCA">
        <w:rPr>
          <w:b w:val="0"/>
          <w:bCs/>
        </w:rPr>
        <w:t>826</w:t>
      </w:r>
      <w:r w:rsidR="006D22A1">
        <w:rPr>
          <w:b w:val="0"/>
          <w:bCs/>
        </w:rPr>
        <w:t xml:space="preserve"> at page </w:t>
      </w:r>
      <w:r w:rsidR="00706BCA">
        <w:rPr>
          <w:b w:val="0"/>
          <w:bCs/>
        </w:rPr>
        <w:t>853</w:t>
      </w:r>
      <w:r w:rsidR="00910D12">
        <w:rPr>
          <w:b w:val="0"/>
          <w:bCs/>
        </w:rPr>
        <w:t>, f</w:t>
      </w:r>
      <w:r w:rsidR="001D2A34">
        <w:rPr>
          <w:b w:val="0"/>
          <w:bCs/>
        </w:rPr>
        <w:t>oot</w:t>
      </w:r>
      <w:r w:rsidR="00910D12">
        <w:rPr>
          <w:b w:val="0"/>
          <w:bCs/>
        </w:rPr>
        <w:t>n</w:t>
      </w:r>
      <w:r w:rsidR="001D2A34">
        <w:rPr>
          <w:b w:val="0"/>
          <w:bCs/>
        </w:rPr>
        <w:t>ote</w:t>
      </w:r>
      <w:r w:rsidR="00603C9F">
        <w:rPr>
          <w:b w:val="0"/>
          <w:bCs/>
        </w:rPr>
        <w:t> </w:t>
      </w:r>
      <w:r w:rsidR="00354742">
        <w:rPr>
          <w:b w:val="0"/>
          <w:bCs/>
        </w:rPr>
        <w:t>19</w:t>
      </w:r>
      <w:r w:rsidR="002D3CF0">
        <w:rPr>
          <w:b w:val="0"/>
          <w:bCs/>
        </w:rPr>
        <w:t xml:space="preserve">, our high court again considered the scope of a landlord’s duty </w:t>
      </w:r>
      <w:r w:rsidR="00103BDC">
        <w:rPr>
          <w:b w:val="0"/>
          <w:bCs/>
        </w:rPr>
        <w:t>to prevent third</w:t>
      </w:r>
      <w:r w:rsidR="00EE5FAC">
        <w:rPr>
          <w:b w:val="0"/>
          <w:bCs/>
        </w:rPr>
        <w:t xml:space="preserve"> </w:t>
      </w:r>
      <w:r w:rsidR="00103BDC">
        <w:rPr>
          <w:b w:val="0"/>
          <w:bCs/>
        </w:rPr>
        <w:t xml:space="preserve">party criminal conduct.  </w:t>
      </w:r>
      <w:r w:rsidR="004105CD">
        <w:rPr>
          <w:b w:val="0"/>
          <w:bCs/>
        </w:rPr>
        <w:t xml:space="preserve">An unknown assailant </w:t>
      </w:r>
      <w:r w:rsidR="00026C0C">
        <w:rPr>
          <w:b w:val="0"/>
          <w:bCs/>
        </w:rPr>
        <w:t xml:space="preserve">sexually </w:t>
      </w:r>
      <w:r w:rsidR="004105CD">
        <w:rPr>
          <w:b w:val="0"/>
          <w:bCs/>
        </w:rPr>
        <w:t xml:space="preserve">assaulted the plaintiff at gunpoint in the defendants’ </w:t>
      </w:r>
      <w:r w:rsidR="00A92120">
        <w:rPr>
          <w:b w:val="0"/>
          <w:bCs/>
        </w:rPr>
        <w:t xml:space="preserve">underground </w:t>
      </w:r>
      <w:r w:rsidR="004105CD">
        <w:rPr>
          <w:b w:val="0"/>
          <w:bCs/>
        </w:rPr>
        <w:t>parking garage.</w:t>
      </w:r>
      <w:r w:rsidR="00FE3F55">
        <w:rPr>
          <w:b w:val="0"/>
          <w:bCs/>
        </w:rPr>
        <w:t xml:space="preserve">  (</w:t>
      </w:r>
      <w:r w:rsidR="009F36AD">
        <w:rPr>
          <w:b w:val="0"/>
          <w:bCs/>
          <w:i/>
          <w:iCs/>
        </w:rPr>
        <w:t>Sharon P.</w:t>
      </w:r>
      <w:r w:rsidRPr="00603C9F" w:rsidR="00B22854">
        <w:rPr>
          <w:b w:val="0"/>
          <w:bCs/>
        </w:rPr>
        <w:t>,</w:t>
      </w:r>
      <w:r w:rsidR="009F36AD">
        <w:rPr>
          <w:b w:val="0"/>
          <w:bCs/>
          <w:i/>
          <w:iCs/>
        </w:rPr>
        <w:t xml:space="preserve"> </w:t>
      </w:r>
      <w:r w:rsidR="00FE3F55">
        <w:rPr>
          <w:b w:val="0"/>
          <w:bCs/>
        </w:rPr>
        <w:t>at p.</w:t>
      </w:r>
      <w:r w:rsidR="00603C9F">
        <w:rPr>
          <w:b w:val="0"/>
          <w:bCs/>
        </w:rPr>
        <w:t> </w:t>
      </w:r>
      <w:r w:rsidR="00133394">
        <w:rPr>
          <w:b w:val="0"/>
          <w:bCs/>
        </w:rPr>
        <w:t xml:space="preserve">1185.)  The plaintiff alleged the </w:t>
      </w:r>
      <w:r w:rsidR="006679C1">
        <w:rPr>
          <w:b w:val="0"/>
          <w:bCs/>
        </w:rPr>
        <w:t xml:space="preserve">violent attack was sufficiently foreseeable to impose a duty on defendants to adopt </w:t>
      </w:r>
      <w:r w:rsidR="004C5F29">
        <w:rPr>
          <w:b w:val="0"/>
          <w:bCs/>
        </w:rPr>
        <w:t xml:space="preserve">various </w:t>
      </w:r>
      <w:r w:rsidR="005C295A">
        <w:rPr>
          <w:b w:val="0"/>
          <w:bCs/>
        </w:rPr>
        <w:t>safety measures, such as</w:t>
      </w:r>
      <w:r w:rsidR="002D5F83">
        <w:rPr>
          <w:b w:val="0"/>
          <w:bCs/>
        </w:rPr>
        <w:t xml:space="preserve"> security guards,</w:t>
      </w:r>
      <w:r w:rsidR="005C295A">
        <w:rPr>
          <w:b w:val="0"/>
          <w:bCs/>
        </w:rPr>
        <w:t xml:space="preserve"> bright lights, working security cameras, and period</w:t>
      </w:r>
      <w:r w:rsidR="00CE1FBF">
        <w:rPr>
          <w:b w:val="0"/>
          <w:bCs/>
        </w:rPr>
        <w:t xml:space="preserve">ic </w:t>
      </w:r>
      <w:r w:rsidR="00200918">
        <w:rPr>
          <w:b w:val="0"/>
          <w:bCs/>
        </w:rPr>
        <w:t>walk-throughs</w:t>
      </w:r>
      <w:r w:rsidR="00CE1FBF">
        <w:rPr>
          <w:b w:val="0"/>
          <w:bCs/>
        </w:rPr>
        <w:t xml:space="preserve"> by defendants’ employees.  (</w:t>
      </w:r>
      <w:r w:rsidR="00CE1FBF">
        <w:rPr>
          <w:b w:val="0"/>
          <w:bCs/>
          <w:i/>
          <w:iCs/>
        </w:rPr>
        <w:t>Id</w:t>
      </w:r>
      <w:r w:rsidRPr="001A71C7" w:rsidR="00CE1FBF">
        <w:rPr>
          <w:b w:val="0"/>
          <w:bCs/>
        </w:rPr>
        <w:t>.</w:t>
      </w:r>
      <w:r w:rsidR="00CE1FBF">
        <w:rPr>
          <w:b w:val="0"/>
          <w:bCs/>
        </w:rPr>
        <w:t xml:space="preserve"> at p.</w:t>
      </w:r>
      <w:r w:rsidR="000723CC">
        <w:rPr>
          <w:b w:val="0"/>
          <w:bCs/>
        </w:rPr>
        <w:t> </w:t>
      </w:r>
      <w:r w:rsidR="005F774A">
        <w:rPr>
          <w:b w:val="0"/>
          <w:bCs/>
        </w:rPr>
        <w:t>1189.)</w:t>
      </w:r>
      <w:r w:rsidR="007E4240">
        <w:rPr>
          <w:b w:val="0"/>
          <w:bCs/>
        </w:rPr>
        <w:t xml:space="preserve">  The plaintiff asserted </w:t>
      </w:r>
      <w:r w:rsidR="00A92120">
        <w:rPr>
          <w:b w:val="0"/>
          <w:bCs/>
        </w:rPr>
        <w:t xml:space="preserve">prior robberies of the bank on the first floor of the building, </w:t>
      </w:r>
      <w:r w:rsidR="005C0B2B">
        <w:rPr>
          <w:b w:val="0"/>
          <w:bCs/>
        </w:rPr>
        <w:t>crimes</w:t>
      </w:r>
      <w:r w:rsidR="004218A8">
        <w:rPr>
          <w:b w:val="0"/>
          <w:bCs/>
        </w:rPr>
        <w:t xml:space="preserve"> </w:t>
      </w:r>
      <w:r w:rsidR="005C0B2B">
        <w:rPr>
          <w:b w:val="0"/>
          <w:bCs/>
        </w:rPr>
        <w:t xml:space="preserve">in the </w:t>
      </w:r>
      <w:r w:rsidR="004218A8">
        <w:rPr>
          <w:b w:val="0"/>
          <w:bCs/>
        </w:rPr>
        <w:t>neighborhood</w:t>
      </w:r>
      <w:r w:rsidR="005C0B2B">
        <w:rPr>
          <w:b w:val="0"/>
          <w:bCs/>
        </w:rPr>
        <w:t xml:space="preserve"> surrounding the building</w:t>
      </w:r>
      <w:r w:rsidR="00587ECF">
        <w:rPr>
          <w:b w:val="0"/>
          <w:bCs/>
        </w:rPr>
        <w:t xml:space="preserve">, and the deteriorated, </w:t>
      </w:r>
      <w:r w:rsidR="004218A8">
        <w:rPr>
          <w:b w:val="0"/>
          <w:bCs/>
        </w:rPr>
        <w:t>dark condition of the garage, including non-functioning security cameras</w:t>
      </w:r>
      <w:r w:rsidR="004C5F29">
        <w:rPr>
          <w:b w:val="0"/>
          <w:bCs/>
        </w:rPr>
        <w:t>, all demonstrated the foreseeability of a violent crime occurring in the garage</w:t>
      </w:r>
      <w:r w:rsidR="004218A8">
        <w:rPr>
          <w:b w:val="0"/>
          <w:bCs/>
        </w:rPr>
        <w:t>.  (</w:t>
      </w:r>
      <w:r w:rsidR="004218A8">
        <w:rPr>
          <w:b w:val="0"/>
          <w:bCs/>
          <w:i/>
          <w:iCs/>
        </w:rPr>
        <w:t>Id</w:t>
      </w:r>
      <w:r w:rsidRPr="001A71C7" w:rsidR="004218A8">
        <w:rPr>
          <w:b w:val="0"/>
          <w:bCs/>
        </w:rPr>
        <w:t>.</w:t>
      </w:r>
      <w:r w:rsidR="004218A8">
        <w:rPr>
          <w:b w:val="0"/>
          <w:bCs/>
        </w:rPr>
        <w:t xml:space="preserve"> at p</w:t>
      </w:r>
      <w:r w:rsidR="000F1FC9">
        <w:rPr>
          <w:b w:val="0"/>
          <w:bCs/>
        </w:rPr>
        <w:t>p.</w:t>
      </w:r>
      <w:r w:rsidR="000723CC">
        <w:rPr>
          <w:b w:val="0"/>
          <w:bCs/>
        </w:rPr>
        <w:t> </w:t>
      </w:r>
      <w:r w:rsidR="000F1FC9">
        <w:rPr>
          <w:b w:val="0"/>
          <w:bCs/>
        </w:rPr>
        <w:t>1186, 1189.)</w:t>
      </w:r>
    </w:p>
    <w:p w:rsidR="005F774A" w:rsidRPr="00B33122" w:rsidP="008E6C8A" w14:paraId="5D123C5A" w14:textId="032E7B1E">
      <w:pPr>
        <w:pStyle w:val="Heading21"/>
        <w:spacing w:before="0" w:after="0"/>
        <w:ind w:left="0" w:firstLine="720"/>
        <w:rPr>
          <w:b w:val="0"/>
          <w:bCs/>
        </w:rPr>
      </w:pPr>
      <w:r>
        <w:rPr>
          <w:b w:val="0"/>
          <w:bCs/>
        </w:rPr>
        <w:t>F</w:t>
      </w:r>
      <w:r w:rsidR="00072831">
        <w:rPr>
          <w:b w:val="0"/>
          <w:bCs/>
        </w:rPr>
        <w:t xml:space="preserve">ollowing the reasoning of </w:t>
      </w:r>
      <w:r w:rsidR="00072831">
        <w:rPr>
          <w:b w:val="0"/>
          <w:bCs/>
          <w:i/>
          <w:iCs/>
        </w:rPr>
        <w:t>Ann M.</w:t>
      </w:r>
      <w:r w:rsidR="00072831">
        <w:rPr>
          <w:b w:val="0"/>
          <w:bCs/>
        </w:rPr>
        <w:t xml:space="preserve">, </w:t>
      </w:r>
      <w:r>
        <w:rPr>
          <w:b w:val="0"/>
          <w:bCs/>
        </w:rPr>
        <w:t xml:space="preserve">our high court </w:t>
      </w:r>
      <w:r w:rsidR="00072831">
        <w:rPr>
          <w:b w:val="0"/>
          <w:bCs/>
        </w:rPr>
        <w:t xml:space="preserve">concluded </w:t>
      </w:r>
      <w:r w:rsidR="00264F74">
        <w:rPr>
          <w:b w:val="0"/>
          <w:bCs/>
        </w:rPr>
        <w:t>the plaintiff did not establish the high level of foreseeability necessary to impose a duty to hire security guards.</w:t>
      </w:r>
      <w:r w:rsidR="0070620F">
        <w:rPr>
          <w:b w:val="0"/>
          <w:bCs/>
        </w:rPr>
        <w:t xml:space="preserve">  The court reasoned that the prior </w:t>
      </w:r>
      <w:r w:rsidR="004C5F29">
        <w:rPr>
          <w:b w:val="0"/>
          <w:bCs/>
        </w:rPr>
        <w:t xml:space="preserve">bank </w:t>
      </w:r>
      <w:r w:rsidR="0070620F">
        <w:rPr>
          <w:b w:val="0"/>
          <w:bCs/>
        </w:rPr>
        <w:t xml:space="preserve">robberies were not sufficiently similar to the sexual assault </w:t>
      </w:r>
      <w:r w:rsidR="00AD42C6">
        <w:rPr>
          <w:b w:val="0"/>
          <w:bCs/>
        </w:rPr>
        <w:t xml:space="preserve">on </w:t>
      </w:r>
      <w:r w:rsidR="00AF59DF">
        <w:rPr>
          <w:b w:val="0"/>
          <w:bCs/>
        </w:rPr>
        <w:t xml:space="preserve">the </w:t>
      </w:r>
      <w:r w:rsidR="00AD42C6">
        <w:rPr>
          <w:b w:val="0"/>
          <w:bCs/>
        </w:rPr>
        <w:t>plaintiff to justify such an obligation, and the statistical crime rate in the area around the building also did not establish the requisite foreseeability.  (</w:t>
      </w:r>
      <w:r w:rsidR="00E616AD">
        <w:rPr>
          <w:b w:val="0"/>
          <w:bCs/>
          <w:i/>
          <w:iCs/>
        </w:rPr>
        <w:t>Sharon P.</w:t>
      </w:r>
      <w:r w:rsidRPr="00603C9F" w:rsidR="00556615">
        <w:rPr>
          <w:b w:val="0"/>
          <w:bCs/>
        </w:rPr>
        <w:t>,</w:t>
      </w:r>
      <w:r w:rsidR="00556615">
        <w:rPr>
          <w:b w:val="0"/>
          <w:bCs/>
          <w:i/>
          <w:iCs/>
        </w:rPr>
        <w:t xml:space="preserve"> supra</w:t>
      </w:r>
      <w:r w:rsidRPr="00B74B86" w:rsidR="00556615">
        <w:rPr>
          <w:b w:val="0"/>
          <w:bCs/>
        </w:rPr>
        <w:t>,</w:t>
      </w:r>
      <w:r w:rsidRPr="00B74B86" w:rsidR="00AD42C6">
        <w:rPr>
          <w:b w:val="0"/>
          <w:bCs/>
          <w:i/>
          <w:iCs/>
        </w:rPr>
        <w:t xml:space="preserve"> </w:t>
      </w:r>
      <w:r w:rsidR="00556615">
        <w:rPr>
          <w:b w:val="0"/>
          <w:bCs/>
        </w:rPr>
        <w:t xml:space="preserve">21 </w:t>
      </w:r>
      <w:r w:rsidRPr="002D3CF0" w:rsidR="00556615">
        <w:rPr>
          <w:b w:val="0"/>
          <w:bCs/>
        </w:rPr>
        <w:t xml:space="preserve">Cal.4th </w:t>
      </w:r>
      <w:r w:rsidR="00AD42C6">
        <w:rPr>
          <w:b w:val="0"/>
          <w:bCs/>
        </w:rPr>
        <w:t>at p. 1191.)</w:t>
      </w:r>
      <w:r w:rsidR="00C53C6E">
        <w:rPr>
          <w:b w:val="0"/>
          <w:bCs/>
        </w:rPr>
        <w:t xml:space="preserve">  As to the other measures the plaintiff proposed, the court concluded: “</w:t>
      </w:r>
      <w:r w:rsidRPr="00B33122" w:rsidR="00B33122">
        <w:rPr>
          <w:b w:val="0"/>
          <w:bCs/>
        </w:rPr>
        <w:t>It is difficult to quarrel with the abstract proposition that the provision of improved lighting and maintenance, operational surveillance</w:t>
      </w:r>
      <w:r w:rsidR="001A71C7">
        <w:rPr>
          <w:b w:val="0"/>
          <w:bCs/>
        </w:rPr>
        <w:t xml:space="preserve"> </w:t>
      </w:r>
      <w:r w:rsidRPr="00B33122" w:rsidR="00B33122">
        <w:rPr>
          <w:b w:val="0"/>
          <w:bCs/>
        </w:rPr>
        <w:t xml:space="preserve">cameras and periodic walk-throughs of the tenant garage owned and operated by defendants might have diminished the risk of criminal attacks occurring in the garage. </w:t>
      </w:r>
      <w:r w:rsidR="004152B8">
        <w:rPr>
          <w:b w:val="0"/>
          <w:bCs/>
        </w:rPr>
        <w:t xml:space="preserve"> </w:t>
      </w:r>
      <w:r w:rsidRPr="00B33122" w:rsidR="00B33122">
        <w:rPr>
          <w:b w:val="0"/>
          <w:bCs/>
        </w:rPr>
        <w:t>But absent any prior similar incidents or other indications of a reasonably foreseeable risk of violent criminal assaults in that location, we cannot conclude defendants were required to secure the area against such crime.</w:t>
      </w:r>
      <w:r w:rsidR="00B33122">
        <w:rPr>
          <w:b w:val="0"/>
          <w:bCs/>
        </w:rPr>
        <w:t>”  (</w:t>
      </w:r>
      <w:r w:rsidR="00B33122">
        <w:rPr>
          <w:b w:val="0"/>
          <w:bCs/>
          <w:i/>
          <w:iCs/>
        </w:rPr>
        <w:t>Id</w:t>
      </w:r>
      <w:r w:rsidRPr="001A71C7" w:rsidR="00B33122">
        <w:rPr>
          <w:b w:val="0"/>
          <w:bCs/>
        </w:rPr>
        <w:t>.</w:t>
      </w:r>
      <w:r w:rsidR="00B33122">
        <w:rPr>
          <w:b w:val="0"/>
          <w:bCs/>
        </w:rPr>
        <w:t xml:space="preserve"> at p.</w:t>
      </w:r>
      <w:r w:rsidR="00632084">
        <w:rPr>
          <w:b w:val="0"/>
          <w:bCs/>
        </w:rPr>
        <w:t> </w:t>
      </w:r>
      <w:r w:rsidR="00B33122">
        <w:rPr>
          <w:b w:val="0"/>
          <w:bCs/>
        </w:rPr>
        <w:t>1199.)</w:t>
      </w:r>
    </w:p>
    <w:p w:rsidR="00C144F9" w:rsidP="008E6C8A" w14:paraId="66E6D1DD" w14:textId="43803005">
      <w:pPr>
        <w:pStyle w:val="Heading21"/>
        <w:spacing w:before="0" w:after="0"/>
        <w:ind w:left="0" w:firstLine="720"/>
        <w:rPr>
          <w:b w:val="0"/>
          <w:bCs/>
        </w:rPr>
      </w:pPr>
      <w:r>
        <w:rPr>
          <w:b w:val="0"/>
          <w:bCs/>
        </w:rPr>
        <w:t xml:space="preserve">Perhaps most relevant </w:t>
      </w:r>
      <w:r w:rsidR="003F128B">
        <w:rPr>
          <w:b w:val="0"/>
          <w:bCs/>
        </w:rPr>
        <w:t xml:space="preserve">for this case, </w:t>
      </w:r>
      <w:r w:rsidR="000F7D41">
        <w:rPr>
          <w:b w:val="0"/>
          <w:bCs/>
        </w:rPr>
        <w:t xml:space="preserve">in </w:t>
      </w:r>
      <w:r w:rsidR="000F7D41">
        <w:rPr>
          <w:b w:val="0"/>
          <w:bCs/>
          <w:i/>
          <w:iCs/>
        </w:rPr>
        <w:t>Castaneda</w:t>
      </w:r>
      <w:r w:rsidR="006F57D9">
        <w:rPr>
          <w:b w:val="0"/>
          <w:bCs/>
        </w:rPr>
        <w:t xml:space="preserve">, the plaintiff </w:t>
      </w:r>
      <w:r w:rsidR="008222EA">
        <w:rPr>
          <w:b w:val="0"/>
          <w:bCs/>
        </w:rPr>
        <w:t xml:space="preserve">was injured by a stray </w:t>
      </w:r>
      <w:r w:rsidR="00664131">
        <w:rPr>
          <w:b w:val="0"/>
          <w:bCs/>
        </w:rPr>
        <w:t xml:space="preserve">bullet during a gang-related </w:t>
      </w:r>
      <w:r w:rsidR="00C21112">
        <w:rPr>
          <w:b w:val="0"/>
          <w:bCs/>
        </w:rPr>
        <w:t>confrontation at the mobile home park where he lived.  (</w:t>
      </w:r>
      <w:r w:rsidR="000E56FA">
        <w:rPr>
          <w:b w:val="0"/>
          <w:bCs/>
          <w:i/>
          <w:iCs/>
        </w:rPr>
        <w:t>Castaneda</w:t>
      </w:r>
      <w:r w:rsidRPr="001A71C7" w:rsidR="000E56FA">
        <w:rPr>
          <w:b w:val="0"/>
          <w:bCs/>
        </w:rPr>
        <w:t>,</w:t>
      </w:r>
      <w:r w:rsidR="000E56FA">
        <w:rPr>
          <w:b w:val="0"/>
          <w:bCs/>
          <w:i/>
          <w:iCs/>
        </w:rPr>
        <w:t xml:space="preserve"> </w:t>
      </w:r>
      <w:r w:rsidR="00803A69">
        <w:rPr>
          <w:b w:val="0"/>
          <w:bCs/>
          <w:i/>
          <w:iCs/>
        </w:rPr>
        <w:t>supra</w:t>
      </w:r>
      <w:r w:rsidRPr="001A71C7" w:rsidR="00803A69">
        <w:rPr>
          <w:b w:val="0"/>
          <w:bCs/>
        </w:rPr>
        <w:t>,</w:t>
      </w:r>
      <w:r w:rsidR="00803A69">
        <w:rPr>
          <w:b w:val="0"/>
          <w:bCs/>
          <w:i/>
          <w:iCs/>
        </w:rPr>
        <w:t xml:space="preserve"> </w:t>
      </w:r>
      <w:r w:rsidR="00803A69">
        <w:rPr>
          <w:b w:val="0"/>
          <w:bCs/>
        </w:rPr>
        <w:t xml:space="preserve">41 </w:t>
      </w:r>
      <w:r w:rsidRPr="00803A69" w:rsidR="00803A69">
        <w:rPr>
          <w:b w:val="0"/>
          <w:bCs/>
        </w:rPr>
        <w:t>Cal.4th</w:t>
      </w:r>
      <w:r w:rsidR="00C21112">
        <w:rPr>
          <w:b w:val="0"/>
          <w:bCs/>
        </w:rPr>
        <w:t xml:space="preserve"> at pp. 1211</w:t>
      </w:r>
      <w:r w:rsidR="00632084">
        <w:rPr>
          <w:b w:val="0"/>
          <w:bCs/>
        </w:rPr>
        <w:t>–</w:t>
      </w:r>
      <w:r w:rsidR="00C21112">
        <w:rPr>
          <w:b w:val="0"/>
          <w:bCs/>
        </w:rPr>
        <w:t>1212.)  He sued the landlo</w:t>
      </w:r>
      <w:r w:rsidR="00D51BCE">
        <w:rPr>
          <w:b w:val="0"/>
          <w:bCs/>
        </w:rPr>
        <w:t>rds, arguing they had a duty not to rent to gang members</w:t>
      </w:r>
      <w:r w:rsidR="001A2C5A">
        <w:rPr>
          <w:b w:val="0"/>
          <w:bCs/>
        </w:rPr>
        <w:t>,</w:t>
      </w:r>
      <w:r w:rsidR="00D51BCE">
        <w:rPr>
          <w:b w:val="0"/>
          <w:bCs/>
        </w:rPr>
        <w:t xml:space="preserve"> or </w:t>
      </w:r>
      <w:r w:rsidR="00AF59DF">
        <w:rPr>
          <w:b w:val="0"/>
          <w:bCs/>
        </w:rPr>
        <w:t xml:space="preserve">a duty </w:t>
      </w:r>
      <w:r w:rsidR="00D51BCE">
        <w:rPr>
          <w:b w:val="0"/>
          <w:bCs/>
        </w:rPr>
        <w:t xml:space="preserve">to evict </w:t>
      </w:r>
      <w:r w:rsidR="001A2C5A">
        <w:rPr>
          <w:b w:val="0"/>
          <w:bCs/>
        </w:rPr>
        <w:t>gang members</w:t>
      </w:r>
      <w:r w:rsidR="00D51BCE">
        <w:rPr>
          <w:b w:val="0"/>
          <w:bCs/>
        </w:rPr>
        <w:t xml:space="preserve"> when they harassed other tenants.  (</w:t>
      </w:r>
      <w:r w:rsidR="00D51BCE">
        <w:rPr>
          <w:b w:val="0"/>
          <w:bCs/>
          <w:i/>
          <w:iCs/>
        </w:rPr>
        <w:t>Id</w:t>
      </w:r>
      <w:r w:rsidRPr="001A71C7" w:rsidR="00D51BCE">
        <w:rPr>
          <w:b w:val="0"/>
          <w:bCs/>
        </w:rPr>
        <w:t>.</w:t>
      </w:r>
      <w:r w:rsidR="00D51BCE">
        <w:rPr>
          <w:b w:val="0"/>
          <w:bCs/>
        </w:rPr>
        <w:t xml:space="preserve"> at p. 1209.)  The plaintiff’s argument included the claim that</w:t>
      </w:r>
      <w:r w:rsidR="00C92865">
        <w:rPr>
          <w:b w:val="0"/>
          <w:bCs/>
        </w:rPr>
        <w:t xml:space="preserve"> if a rental applicant </w:t>
      </w:r>
      <w:r w:rsidR="00C718D5">
        <w:rPr>
          <w:b w:val="0"/>
          <w:bCs/>
        </w:rPr>
        <w:t>appeared to be a gang member, the landlords should obtain the applicant’s cri</w:t>
      </w:r>
      <w:r w:rsidR="005F62B3">
        <w:rPr>
          <w:b w:val="0"/>
          <w:bCs/>
        </w:rPr>
        <w:t>minal record</w:t>
      </w:r>
      <w:r w:rsidR="007424C7">
        <w:rPr>
          <w:b w:val="0"/>
          <w:bCs/>
        </w:rPr>
        <w:t xml:space="preserve"> </w:t>
      </w:r>
      <w:r w:rsidR="00AF59DF">
        <w:rPr>
          <w:b w:val="0"/>
          <w:bCs/>
        </w:rPr>
        <w:t>to determine if</w:t>
      </w:r>
      <w:r w:rsidR="00CA3DC2">
        <w:rPr>
          <w:b w:val="0"/>
          <w:bCs/>
        </w:rPr>
        <w:t xml:space="preserve"> the applicant was in fact </w:t>
      </w:r>
      <w:r w:rsidR="00FD77FF">
        <w:rPr>
          <w:b w:val="0"/>
          <w:bCs/>
        </w:rPr>
        <w:t>gang involved</w:t>
      </w:r>
      <w:r w:rsidR="007424C7">
        <w:rPr>
          <w:b w:val="0"/>
          <w:bCs/>
        </w:rPr>
        <w:t>.  (</w:t>
      </w:r>
      <w:r w:rsidR="007424C7">
        <w:rPr>
          <w:b w:val="0"/>
          <w:bCs/>
          <w:i/>
          <w:iCs/>
        </w:rPr>
        <w:t>Id</w:t>
      </w:r>
      <w:r w:rsidRPr="001A71C7" w:rsidR="007424C7">
        <w:rPr>
          <w:b w:val="0"/>
          <w:bCs/>
        </w:rPr>
        <w:t>.</w:t>
      </w:r>
      <w:r w:rsidR="007424C7">
        <w:rPr>
          <w:b w:val="0"/>
          <w:bCs/>
        </w:rPr>
        <w:t xml:space="preserve"> at p.</w:t>
      </w:r>
      <w:r w:rsidR="001A71C7">
        <w:rPr>
          <w:b w:val="0"/>
          <w:bCs/>
        </w:rPr>
        <w:t> </w:t>
      </w:r>
      <w:r w:rsidR="007424C7">
        <w:rPr>
          <w:b w:val="0"/>
          <w:bCs/>
        </w:rPr>
        <w:t>1217.)</w:t>
      </w:r>
    </w:p>
    <w:p w:rsidR="00120428" w:rsidRPr="003F6FF4" w:rsidP="00120428" w14:paraId="6715622D" w14:textId="5E9C70D4">
      <w:pPr>
        <w:pStyle w:val="Heading21"/>
        <w:spacing w:before="0" w:after="0"/>
        <w:ind w:left="0" w:firstLine="720"/>
        <w:rPr>
          <w:b w:val="0"/>
          <w:bCs/>
        </w:rPr>
      </w:pPr>
      <w:r>
        <w:rPr>
          <w:b w:val="0"/>
          <w:bCs/>
        </w:rPr>
        <w:t xml:space="preserve">The </w:t>
      </w:r>
      <w:r w:rsidR="00B60991">
        <w:rPr>
          <w:b w:val="0"/>
          <w:bCs/>
          <w:i/>
          <w:iCs/>
        </w:rPr>
        <w:t xml:space="preserve">Castaneda </w:t>
      </w:r>
      <w:r>
        <w:rPr>
          <w:b w:val="0"/>
          <w:bCs/>
        </w:rPr>
        <w:t xml:space="preserve">court </w:t>
      </w:r>
      <w:r w:rsidR="00E85C63">
        <w:rPr>
          <w:b w:val="0"/>
          <w:bCs/>
        </w:rPr>
        <w:t xml:space="preserve">acknowledged the dangers of </w:t>
      </w:r>
      <w:r w:rsidR="00DA1977">
        <w:rPr>
          <w:b w:val="0"/>
          <w:bCs/>
        </w:rPr>
        <w:t xml:space="preserve">violent street </w:t>
      </w:r>
      <w:r w:rsidR="00A46CE2">
        <w:rPr>
          <w:b w:val="0"/>
          <w:bCs/>
        </w:rPr>
        <w:t>gangs,</w:t>
      </w:r>
      <w:r w:rsidR="00DA1977">
        <w:rPr>
          <w:b w:val="0"/>
          <w:bCs/>
        </w:rPr>
        <w:t xml:space="preserve"> and that gang activity </w:t>
      </w:r>
      <w:r w:rsidR="00773671">
        <w:rPr>
          <w:b w:val="0"/>
          <w:bCs/>
        </w:rPr>
        <w:t>can often subject residents a</w:t>
      </w:r>
      <w:r w:rsidR="00F22A02">
        <w:rPr>
          <w:b w:val="0"/>
          <w:bCs/>
        </w:rPr>
        <w:t>t a</w:t>
      </w:r>
      <w:r w:rsidR="00773671">
        <w:rPr>
          <w:b w:val="0"/>
          <w:bCs/>
        </w:rPr>
        <w:t xml:space="preserve"> particular location to </w:t>
      </w:r>
      <w:r w:rsidR="006E5A66">
        <w:rPr>
          <w:b w:val="0"/>
          <w:bCs/>
        </w:rPr>
        <w:t>“unacceptable levels of fear and risk.”  (</w:t>
      </w:r>
      <w:r w:rsidR="002E6898">
        <w:rPr>
          <w:b w:val="0"/>
          <w:bCs/>
          <w:i/>
          <w:iCs/>
        </w:rPr>
        <w:t>Castaneda</w:t>
      </w:r>
      <w:r w:rsidRPr="001A71C7" w:rsidR="002E6898">
        <w:rPr>
          <w:b w:val="0"/>
          <w:bCs/>
        </w:rPr>
        <w:t>,</w:t>
      </w:r>
      <w:r w:rsidR="002E6898">
        <w:rPr>
          <w:b w:val="0"/>
          <w:bCs/>
          <w:i/>
          <w:iCs/>
        </w:rPr>
        <w:t xml:space="preserve"> supra</w:t>
      </w:r>
      <w:r w:rsidRPr="001A71C7" w:rsidR="002E6898">
        <w:rPr>
          <w:b w:val="0"/>
          <w:bCs/>
        </w:rPr>
        <w:t>,</w:t>
      </w:r>
      <w:r w:rsidR="002E6898">
        <w:rPr>
          <w:b w:val="0"/>
          <w:bCs/>
          <w:i/>
          <w:iCs/>
        </w:rPr>
        <w:t xml:space="preserve"> </w:t>
      </w:r>
      <w:r w:rsidR="002E6898">
        <w:rPr>
          <w:b w:val="0"/>
          <w:bCs/>
        </w:rPr>
        <w:t xml:space="preserve">41 </w:t>
      </w:r>
      <w:r w:rsidRPr="00803A69" w:rsidR="002E6898">
        <w:rPr>
          <w:b w:val="0"/>
          <w:bCs/>
        </w:rPr>
        <w:t>Cal.4th</w:t>
      </w:r>
      <w:r w:rsidR="002E6898">
        <w:rPr>
          <w:b w:val="0"/>
          <w:bCs/>
        </w:rPr>
        <w:t xml:space="preserve"> </w:t>
      </w:r>
      <w:r w:rsidR="006E5A66">
        <w:rPr>
          <w:b w:val="0"/>
          <w:bCs/>
        </w:rPr>
        <w:t xml:space="preserve">at p. 1216.)  However, because </w:t>
      </w:r>
      <w:r w:rsidR="008F58A7">
        <w:rPr>
          <w:b w:val="0"/>
          <w:bCs/>
        </w:rPr>
        <w:t>the duty the plaintiff proposed</w:t>
      </w:r>
      <w:r w:rsidR="00944F83">
        <w:rPr>
          <w:b w:val="0"/>
          <w:bCs/>
        </w:rPr>
        <w:t>—withhold</w:t>
      </w:r>
      <w:r>
        <w:rPr>
          <w:b w:val="0"/>
          <w:bCs/>
        </w:rPr>
        <w:t>ing</w:t>
      </w:r>
      <w:r w:rsidR="00944F83">
        <w:rPr>
          <w:b w:val="0"/>
          <w:bCs/>
        </w:rPr>
        <w:t xml:space="preserve"> rental units from </w:t>
      </w:r>
      <w:r w:rsidR="00202F79">
        <w:rPr>
          <w:b w:val="0"/>
          <w:bCs/>
        </w:rPr>
        <w:t>actual or perceived</w:t>
      </w:r>
      <w:r w:rsidR="00944F83">
        <w:rPr>
          <w:b w:val="0"/>
          <w:bCs/>
        </w:rPr>
        <w:t xml:space="preserve"> gang members—was </w:t>
      </w:r>
      <w:r w:rsidR="003344C5">
        <w:rPr>
          <w:b w:val="0"/>
          <w:bCs/>
        </w:rPr>
        <w:t>of an “extraordinarily burdensome nature” and had significant social costs, the court concluded that “</w:t>
      </w:r>
      <w:r w:rsidR="00695658">
        <w:rPr>
          <w:b w:val="0"/>
          <w:bCs/>
        </w:rPr>
        <w:t>[</w:t>
      </w:r>
      <w:r w:rsidR="003344C5">
        <w:rPr>
          <w:b w:val="0"/>
          <w:bCs/>
        </w:rPr>
        <w:t>a</w:t>
      </w:r>
      <w:r w:rsidR="00695658">
        <w:rPr>
          <w:b w:val="0"/>
          <w:bCs/>
        </w:rPr>
        <w:t>]</w:t>
      </w:r>
      <w:r w:rsidR="003344C5">
        <w:rPr>
          <w:b w:val="0"/>
          <w:bCs/>
        </w:rPr>
        <w:t xml:space="preserve">bsent circumstances showing extraordinary foreseeability,” it would decline to </w:t>
      </w:r>
      <w:r w:rsidR="000C4751">
        <w:rPr>
          <w:b w:val="0"/>
          <w:bCs/>
        </w:rPr>
        <w:t>recognize such a duty.  (</w:t>
      </w:r>
      <w:r w:rsidRPr="003C4843" w:rsidR="000C4751">
        <w:rPr>
          <w:b w:val="0"/>
          <w:bCs/>
          <w:i/>
          <w:iCs/>
        </w:rPr>
        <w:t>Id</w:t>
      </w:r>
      <w:r w:rsidRPr="001A71C7" w:rsidR="000C4751">
        <w:rPr>
          <w:b w:val="0"/>
          <w:bCs/>
        </w:rPr>
        <w:t xml:space="preserve">. </w:t>
      </w:r>
      <w:r w:rsidR="000C4751">
        <w:rPr>
          <w:b w:val="0"/>
          <w:bCs/>
        </w:rPr>
        <w:t>at pp.</w:t>
      </w:r>
      <w:r w:rsidR="001A71C7">
        <w:rPr>
          <w:b w:val="0"/>
          <w:bCs/>
        </w:rPr>
        <w:t> </w:t>
      </w:r>
      <w:r w:rsidR="000C4751">
        <w:rPr>
          <w:b w:val="0"/>
          <w:bCs/>
        </w:rPr>
        <w:t>1218, 1216.)</w:t>
      </w:r>
      <w:r w:rsidR="0023018A">
        <w:rPr>
          <w:b w:val="0"/>
          <w:bCs/>
        </w:rPr>
        <w:t xml:space="preserve">  </w:t>
      </w:r>
      <w:r w:rsidR="00202F79">
        <w:rPr>
          <w:b w:val="0"/>
          <w:bCs/>
        </w:rPr>
        <w:t>In assessing</w:t>
      </w:r>
      <w:r w:rsidR="0023018A">
        <w:rPr>
          <w:b w:val="0"/>
          <w:bCs/>
        </w:rPr>
        <w:t xml:space="preserve"> the burden of obtaining criminal histories of </w:t>
      </w:r>
      <w:r w:rsidR="004D4576">
        <w:rPr>
          <w:b w:val="0"/>
          <w:bCs/>
        </w:rPr>
        <w:t>applicants</w:t>
      </w:r>
      <w:r w:rsidR="003C4FAC">
        <w:rPr>
          <w:b w:val="0"/>
          <w:bCs/>
        </w:rPr>
        <w:t xml:space="preserve"> whe</w:t>
      </w:r>
      <w:r w:rsidR="008E3643">
        <w:rPr>
          <w:b w:val="0"/>
          <w:bCs/>
        </w:rPr>
        <w:t xml:space="preserve">n </w:t>
      </w:r>
      <w:r w:rsidR="003F2197">
        <w:rPr>
          <w:b w:val="0"/>
          <w:bCs/>
        </w:rPr>
        <w:t xml:space="preserve">a landlord suspected </w:t>
      </w:r>
      <w:r w:rsidR="00DA5CDF">
        <w:rPr>
          <w:b w:val="0"/>
          <w:bCs/>
        </w:rPr>
        <w:t xml:space="preserve">the </w:t>
      </w:r>
      <w:r w:rsidR="008E3643">
        <w:rPr>
          <w:b w:val="0"/>
          <w:bCs/>
        </w:rPr>
        <w:t>potential tenant</w:t>
      </w:r>
      <w:r w:rsidR="00C01A60">
        <w:rPr>
          <w:b w:val="0"/>
          <w:bCs/>
        </w:rPr>
        <w:t>s</w:t>
      </w:r>
      <w:r w:rsidR="008E3643">
        <w:rPr>
          <w:b w:val="0"/>
          <w:bCs/>
        </w:rPr>
        <w:t xml:space="preserve"> </w:t>
      </w:r>
      <w:r w:rsidR="00D56A02">
        <w:rPr>
          <w:b w:val="0"/>
          <w:bCs/>
        </w:rPr>
        <w:t>might be</w:t>
      </w:r>
      <w:r w:rsidR="003F2197">
        <w:rPr>
          <w:b w:val="0"/>
          <w:bCs/>
        </w:rPr>
        <w:t xml:space="preserve"> gang member</w:t>
      </w:r>
      <w:r w:rsidR="00C01A60">
        <w:rPr>
          <w:b w:val="0"/>
          <w:bCs/>
        </w:rPr>
        <w:t>s</w:t>
      </w:r>
      <w:r w:rsidR="003F2197">
        <w:rPr>
          <w:b w:val="0"/>
          <w:bCs/>
        </w:rPr>
        <w:t xml:space="preserve">, the court noted that requiring such screening would </w:t>
      </w:r>
      <w:r w:rsidR="005F6918">
        <w:rPr>
          <w:b w:val="0"/>
          <w:bCs/>
        </w:rPr>
        <w:t>expose landlords to potential liability for failing to conduct a sufficient inquiry</w:t>
      </w:r>
      <w:r w:rsidR="0005408D">
        <w:rPr>
          <w:b w:val="0"/>
          <w:bCs/>
        </w:rPr>
        <w:t>, or for misjudging the criminal record as not reflecting a strong propensity for gang violence if such violence later occurred.  (</w:t>
      </w:r>
      <w:r w:rsidRPr="003C4843" w:rsidR="0005408D">
        <w:rPr>
          <w:b w:val="0"/>
          <w:bCs/>
          <w:i/>
          <w:iCs/>
        </w:rPr>
        <w:t>Id</w:t>
      </w:r>
      <w:r w:rsidRPr="001A71C7" w:rsidR="0005408D">
        <w:rPr>
          <w:b w:val="0"/>
          <w:bCs/>
        </w:rPr>
        <w:t>.</w:t>
      </w:r>
      <w:r w:rsidR="0005408D">
        <w:rPr>
          <w:b w:val="0"/>
          <w:bCs/>
        </w:rPr>
        <w:t xml:space="preserve"> at p. 1217.)</w:t>
      </w:r>
      <w:r w:rsidR="003C4843">
        <w:rPr>
          <w:b w:val="0"/>
          <w:bCs/>
        </w:rPr>
        <w:t xml:space="preserve">  The court </w:t>
      </w:r>
      <w:r w:rsidR="009A14C9">
        <w:rPr>
          <w:b w:val="0"/>
          <w:bCs/>
        </w:rPr>
        <w:t xml:space="preserve">also </w:t>
      </w:r>
      <w:r w:rsidR="003C4843">
        <w:rPr>
          <w:b w:val="0"/>
          <w:bCs/>
        </w:rPr>
        <w:t>noted “liability for discrimination</w:t>
      </w:r>
      <w:r w:rsidR="00D50B90">
        <w:rPr>
          <w:b w:val="0"/>
          <w:bCs/>
        </w:rPr>
        <w:t xml:space="preserve"> </w:t>
      </w:r>
      <w:r w:rsidR="00EE7E2F">
        <w:rPr>
          <w:b w:val="0"/>
          <w:bCs/>
        </w:rPr>
        <w:t>could arise if the landlord treated applicants differently, depending on their ethnicity, family composition, or appearance, either in deciding whether to obtain a criminal history or in deciding what prior convictions and arrests would disqualify an applicant.”</w:t>
      </w:r>
      <w:r w:rsidR="003F6FF4">
        <w:rPr>
          <w:b w:val="0"/>
          <w:bCs/>
        </w:rPr>
        <w:t xml:space="preserve">  (</w:t>
      </w:r>
      <w:r w:rsidR="003F6FF4">
        <w:rPr>
          <w:b w:val="0"/>
          <w:bCs/>
          <w:i/>
          <w:iCs/>
        </w:rPr>
        <w:t>Ibid</w:t>
      </w:r>
      <w:r w:rsidRPr="001A71C7" w:rsidR="003F6FF4">
        <w:rPr>
          <w:b w:val="0"/>
          <w:bCs/>
        </w:rPr>
        <w:t>.</w:t>
      </w:r>
      <w:r w:rsidR="003F6FF4">
        <w:rPr>
          <w:b w:val="0"/>
          <w:bCs/>
        </w:rPr>
        <w:t>)</w:t>
      </w:r>
    </w:p>
    <w:p w:rsidR="00B60991" w:rsidP="00120428" w14:paraId="7A26884C" w14:textId="548B2DA6">
      <w:pPr>
        <w:pStyle w:val="Heading21"/>
        <w:spacing w:before="0" w:after="0"/>
        <w:ind w:left="0" w:firstLine="720"/>
        <w:rPr>
          <w:b w:val="0"/>
          <w:bCs/>
        </w:rPr>
      </w:pPr>
      <w:r>
        <w:rPr>
          <w:b w:val="0"/>
          <w:bCs/>
        </w:rPr>
        <w:t>The court further explained: “</w:t>
      </w:r>
      <w:r w:rsidR="00120428">
        <w:rPr>
          <w:b w:val="0"/>
          <w:bCs/>
        </w:rPr>
        <w:t xml:space="preserve">The alternative </w:t>
      </w:r>
      <w:r w:rsidR="00D72580">
        <w:rPr>
          <w:b w:val="0"/>
          <w:bCs/>
        </w:rPr>
        <w:t>[to selectively obtaining applicant criminal histories</w:t>
      </w:r>
      <w:r w:rsidRPr="004D6A6B" w:rsidR="00D72580">
        <w:rPr>
          <w:b w:val="0"/>
          <w:bCs/>
        </w:rPr>
        <w:t>]</w:t>
      </w:r>
      <w:r w:rsidR="00D72580">
        <w:rPr>
          <w:b w:val="0"/>
          <w:bCs/>
        </w:rPr>
        <w:t>—o</w:t>
      </w:r>
      <w:r w:rsidRPr="00244DA6">
        <w:rPr>
          <w:b w:val="0"/>
          <w:bCs/>
        </w:rPr>
        <w:t xml:space="preserve">btaining full histories on all applicants and their families, and refusing to rent to anyone with arrests or convictions for any crime that could have involved a gang—would involve significant expense and delay for the landlord and unfairly deprive many Californians of housing. </w:t>
      </w:r>
      <w:r w:rsidR="001A71C7">
        <w:rPr>
          <w:b w:val="0"/>
          <w:bCs/>
        </w:rPr>
        <w:t xml:space="preserve"> </w:t>
      </w:r>
      <w:r w:rsidRPr="00244DA6">
        <w:rPr>
          <w:b w:val="0"/>
          <w:bCs/>
        </w:rPr>
        <w:t>Nor is the proposed screening likely to be especially effective; juvenile court records, which are generally confidential by law (Welf. &amp; Inst.</w:t>
      </w:r>
      <w:r w:rsidR="0079056A">
        <w:rPr>
          <w:b w:val="0"/>
          <w:bCs/>
        </w:rPr>
        <w:t xml:space="preserve"> </w:t>
      </w:r>
      <w:r w:rsidRPr="00244DA6">
        <w:rPr>
          <w:b w:val="0"/>
          <w:bCs/>
        </w:rPr>
        <w:t xml:space="preserve">Code, § 827), are presumably not available through the services plaintiff recommends, and even adult criminal records do not necessarily reflect the circumstances of the crime from which a landlord could reliably decide whether renting to the applicant poses a threat of gang violence. </w:t>
      </w:r>
      <w:r w:rsidR="001A71C7">
        <w:rPr>
          <w:b w:val="0"/>
          <w:bCs/>
        </w:rPr>
        <w:t xml:space="preserve"> </w:t>
      </w:r>
      <w:r w:rsidRPr="00244DA6">
        <w:rPr>
          <w:b w:val="0"/>
          <w:bCs/>
        </w:rPr>
        <w:t>We decline to impose such a burdensome, dubiously effective and socially questionable obligation on landlords, at least absent circumstances making gang violence extraordinarily foreseeable.</w:t>
      </w:r>
      <w:r w:rsidR="00D72580">
        <w:rPr>
          <w:b w:val="0"/>
          <w:bCs/>
        </w:rPr>
        <w:t>”  (</w:t>
      </w:r>
      <w:r w:rsidR="0041177A">
        <w:rPr>
          <w:b w:val="0"/>
          <w:bCs/>
          <w:i/>
          <w:iCs/>
        </w:rPr>
        <w:t>Castaneda</w:t>
      </w:r>
      <w:r w:rsidRPr="001A71C7" w:rsidR="0041177A">
        <w:rPr>
          <w:b w:val="0"/>
          <w:bCs/>
        </w:rPr>
        <w:t>,</w:t>
      </w:r>
      <w:r w:rsidR="0041177A">
        <w:rPr>
          <w:b w:val="0"/>
          <w:bCs/>
          <w:i/>
          <w:iCs/>
        </w:rPr>
        <w:t xml:space="preserve"> supra</w:t>
      </w:r>
      <w:r w:rsidRPr="001A71C7" w:rsidR="0041177A">
        <w:rPr>
          <w:b w:val="0"/>
          <w:bCs/>
        </w:rPr>
        <w:t>,</w:t>
      </w:r>
      <w:r w:rsidR="0041177A">
        <w:rPr>
          <w:b w:val="0"/>
          <w:bCs/>
          <w:i/>
          <w:iCs/>
        </w:rPr>
        <w:t xml:space="preserve"> </w:t>
      </w:r>
      <w:r w:rsidR="0041177A">
        <w:rPr>
          <w:b w:val="0"/>
          <w:bCs/>
        </w:rPr>
        <w:t xml:space="preserve">41 </w:t>
      </w:r>
      <w:r w:rsidRPr="00803A69" w:rsidR="0041177A">
        <w:rPr>
          <w:b w:val="0"/>
          <w:bCs/>
        </w:rPr>
        <w:t>Cal.4th</w:t>
      </w:r>
      <w:r w:rsidR="00D72580">
        <w:rPr>
          <w:b w:val="0"/>
          <w:bCs/>
        </w:rPr>
        <w:t xml:space="preserve"> at p. </w:t>
      </w:r>
      <w:r w:rsidR="005701BF">
        <w:rPr>
          <w:b w:val="0"/>
          <w:bCs/>
        </w:rPr>
        <w:t>1217.)</w:t>
      </w:r>
    </w:p>
    <w:p w:rsidR="00400BFC" w:rsidP="00120428" w14:paraId="148598CA" w14:textId="4A34D3F1">
      <w:pPr>
        <w:pStyle w:val="Heading21"/>
        <w:spacing w:before="0" w:after="0"/>
        <w:ind w:left="0" w:firstLine="720"/>
        <w:rPr>
          <w:b w:val="0"/>
          <w:bCs/>
        </w:rPr>
      </w:pPr>
      <w:r>
        <w:rPr>
          <w:b w:val="0"/>
          <w:bCs/>
        </w:rPr>
        <w:t>Numerous courts of appeal have similarly</w:t>
      </w:r>
      <w:r w:rsidR="00A92013">
        <w:rPr>
          <w:b w:val="0"/>
          <w:bCs/>
        </w:rPr>
        <w:t xml:space="preserve"> considered </w:t>
      </w:r>
      <w:r w:rsidR="006B2DA6">
        <w:rPr>
          <w:b w:val="0"/>
          <w:bCs/>
        </w:rPr>
        <w:t>the degree of foreseeability and the relative burden of proposed precautionary measures in determining whether the scope of a defendant’s duty of care should be extended to require such measures.</w:t>
      </w:r>
      <w:r w:rsidR="00945D1F">
        <w:rPr>
          <w:b w:val="0"/>
          <w:bCs/>
        </w:rPr>
        <w:t xml:space="preserve">  In </w:t>
      </w:r>
      <w:r w:rsidR="00945D1F">
        <w:rPr>
          <w:b w:val="0"/>
          <w:bCs/>
          <w:i/>
          <w:iCs/>
        </w:rPr>
        <w:t>Hanouchian</w:t>
      </w:r>
      <w:r w:rsidR="0047328C">
        <w:rPr>
          <w:b w:val="0"/>
          <w:bCs/>
        </w:rPr>
        <w:t xml:space="preserve">, </w:t>
      </w:r>
      <w:r w:rsidR="00EF2E22">
        <w:rPr>
          <w:b w:val="0"/>
          <w:bCs/>
        </w:rPr>
        <w:t xml:space="preserve">two men attacked the plaintiff without provocation or warning at a sorority party at the defendants’ off-campus residence.  </w:t>
      </w:r>
      <w:r w:rsidR="00C41545">
        <w:rPr>
          <w:b w:val="0"/>
          <w:bCs/>
        </w:rPr>
        <w:t>A panel of t</w:t>
      </w:r>
      <w:r w:rsidR="00490464">
        <w:rPr>
          <w:b w:val="0"/>
          <w:bCs/>
        </w:rPr>
        <w:t xml:space="preserve">his court considered whether the defendants’ duty of care </w:t>
      </w:r>
      <w:r w:rsidR="003E3F2A">
        <w:rPr>
          <w:b w:val="0"/>
          <w:bCs/>
        </w:rPr>
        <w:t xml:space="preserve">to the plaintiff as an invitee </w:t>
      </w:r>
      <w:r w:rsidR="004D2C91">
        <w:rPr>
          <w:b w:val="0"/>
          <w:bCs/>
        </w:rPr>
        <w:t xml:space="preserve">encompassed </w:t>
      </w:r>
      <w:r w:rsidR="008153D6">
        <w:rPr>
          <w:b w:val="0"/>
          <w:bCs/>
        </w:rPr>
        <w:t xml:space="preserve">an obligation to take precautionary measures, including screening guests entering the event, </w:t>
      </w:r>
      <w:r w:rsidR="005705A9">
        <w:rPr>
          <w:b w:val="0"/>
          <w:bCs/>
        </w:rPr>
        <w:t xml:space="preserve">permitting </w:t>
      </w:r>
      <w:r w:rsidR="00506AB0">
        <w:rPr>
          <w:b w:val="0"/>
          <w:bCs/>
        </w:rPr>
        <w:t>check-ins by university police</w:t>
      </w:r>
      <w:r w:rsidR="005705A9">
        <w:rPr>
          <w:b w:val="0"/>
          <w:bCs/>
        </w:rPr>
        <w:t xml:space="preserve">, and </w:t>
      </w:r>
      <w:r w:rsidR="00DA370D">
        <w:rPr>
          <w:b w:val="0"/>
          <w:bCs/>
        </w:rPr>
        <w:t>hiring private security</w:t>
      </w:r>
      <w:r w:rsidR="00506AB0">
        <w:rPr>
          <w:b w:val="0"/>
          <w:bCs/>
        </w:rPr>
        <w:t>.  (</w:t>
      </w:r>
      <w:r w:rsidRPr="00D14D29" w:rsidR="00D1696C">
        <w:rPr>
          <w:b w:val="0"/>
          <w:bCs/>
          <w:i/>
          <w:iCs/>
        </w:rPr>
        <w:t>Hanouchian</w:t>
      </w:r>
      <w:r w:rsidR="00D14D29">
        <w:rPr>
          <w:b w:val="0"/>
          <w:bCs/>
        </w:rPr>
        <w:t xml:space="preserve">, </w:t>
      </w:r>
      <w:r w:rsidRPr="00B50354" w:rsidR="00D14D29">
        <w:rPr>
          <w:b w:val="0"/>
          <w:bCs/>
          <w:i/>
          <w:iCs/>
        </w:rPr>
        <w:t>supra</w:t>
      </w:r>
      <w:r w:rsidR="00D14D29">
        <w:rPr>
          <w:b w:val="0"/>
          <w:bCs/>
        </w:rPr>
        <w:t>,</w:t>
      </w:r>
      <w:r w:rsidR="00506AB0">
        <w:rPr>
          <w:b w:val="0"/>
          <w:bCs/>
        </w:rPr>
        <w:t xml:space="preserve"> </w:t>
      </w:r>
      <w:r w:rsidR="00D14D29">
        <w:rPr>
          <w:b w:val="0"/>
          <w:bCs/>
        </w:rPr>
        <w:t xml:space="preserve">51 </w:t>
      </w:r>
      <w:r w:rsidRPr="00656652" w:rsidR="00D14D29">
        <w:rPr>
          <w:b w:val="0"/>
          <w:bCs/>
        </w:rPr>
        <w:t xml:space="preserve">Cal.App.5th </w:t>
      </w:r>
      <w:r w:rsidR="00506AB0">
        <w:rPr>
          <w:b w:val="0"/>
          <w:bCs/>
        </w:rPr>
        <w:t xml:space="preserve">at p. </w:t>
      </w:r>
      <w:r w:rsidR="00915BF2">
        <w:rPr>
          <w:b w:val="0"/>
          <w:bCs/>
        </w:rPr>
        <w:t>109.)</w:t>
      </w:r>
    </w:p>
    <w:p w:rsidR="004D0ED4" w:rsidP="00120428" w14:paraId="1FB4B076" w14:textId="02EA03CE">
      <w:pPr>
        <w:pStyle w:val="Heading21"/>
        <w:spacing w:before="0" w:after="0"/>
        <w:ind w:left="0" w:firstLine="720"/>
        <w:rPr>
          <w:b w:val="0"/>
          <w:bCs/>
        </w:rPr>
      </w:pPr>
      <w:r>
        <w:rPr>
          <w:b w:val="0"/>
          <w:bCs/>
        </w:rPr>
        <w:t>The court</w:t>
      </w:r>
      <w:r w:rsidR="005F14F7">
        <w:rPr>
          <w:b w:val="0"/>
          <w:bCs/>
        </w:rPr>
        <w:t xml:space="preserve"> concluded </w:t>
      </w:r>
      <w:r w:rsidR="00DA370D">
        <w:rPr>
          <w:b w:val="0"/>
          <w:bCs/>
        </w:rPr>
        <w:t>these</w:t>
      </w:r>
      <w:r w:rsidR="006D3955">
        <w:rPr>
          <w:b w:val="0"/>
          <w:bCs/>
        </w:rPr>
        <w:t xml:space="preserve"> three proposed measures </w:t>
      </w:r>
      <w:r w:rsidR="00DA370D">
        <w:rPr>
          <w:b w:val="0"/>
          <w:bCs/>
        </w:rPr>
        <w:t xml:space="preserve">in particular would be </w:t>
      </w:r>
      <w:r w:rsidR="006D3955">
        <w:rPr>
          <w:b w:val="0"/>
          <w:bCs/>
        </w:rPr>
        <w:t>highly burdensome</w:t>
      </w:r>
      <w:r w:rsidR="007567F7">
        <w:rPr>
          <w:b w:val="0"/>
          <w:bCs/>
        </w:rPr>
        <w:t xml:space="preserve">, requiring a heightened degree of foreseeability.  </w:t>
      </w:r>
      <w:r w:rsidR="00DF098E">
        <w:rPr>
          <w:b w:val="0"/>
          <w:bCs/>
        </w:rPr>
        <w:t>The complaint asserte</w:t>
      </w:r>
      <w:r w:rsidR="003F77AA">
        <w:rPr>
          <w:b w:val="0"/>
          <w:bCs/>
        </w:rPr>
        <w:t xml:space="preserve">d </w:t>
      </w:r>
      <w:r w:rsidR="00163B79">
        <w:rPr>
          <w:b w:val="0"/>
          <w:bCs/>
        </w:rPr>
        <w:t xml:space="preserve">the </w:t>
      </w:r>
      <w:r w:rsidR="003F77AA">
        <w:rPr>
          <w:b w:val="0"/>
          <w:bCs/>
        </w:rPr>
        <w:t xml:space="preserve">defendants were aware of past violent incidents at university fraternal organization </w:t>
      </w:r>
      <w:r w:rsidR="0092546B">
        <w:rPr>
          <w:b w:val="0"/>
          <w:bCs/>
        </w:rPr>
        <w:t>events</w:t>
      </w:r>
      <w:r w:rsidR="00063CF6">
        <w:rPr>
          <w:b w:val="0"/>
          <w:bCs/>
        </w:rPr>
        <w:t>.  B</w:t>
      </w:r>
      <w:r w:rsidR="0092546B">
        <w:rPr>
          <w:b w:val="0"/>
          <w:bCs/>
        </w:rPr>
        <w:t>ut</w:t>
      </w:r>
      <w:r w:rsidR="003F77AA">
        <w:rPr>
          <w:b w:val="0"/>
          <w:bCs/>
        </w:rPr>
        <w:t xml:space="preserve"> </w:t>
      </w:r>
      <w:r w:rsidR="00063CF6">
        <w:rPr>
          <w:b w:val="0"/>
          <w:bCs/>
        </w:rPr>
        <w:t xml:space="preserve">it </w:t>
      </w:r>
      <w:r w:rsidR="003F77AA">
        <w:rPr>
          <w:b w:val="0"/>
          <w:bCs/>
        </w:rPr>
        <w:t>did not allege the</w:t>
      </w:r>
      <w:r w:rsidR="00063CF6">
        <w:rPr>
          <w:b w:val="0"/>
          <w:bCs/>
        </w:rPr>
        <w:t xml:space="preserve"> defendants</w:t>
      </w:r>
      <w:r w:rsidR="003F77AA">
        <w:rPr>
          <w:b w:val="0"/>
          <w:bCs/>
        </w:rPr>
        <w:t xml:space="preserve"> were a</w:t>
      </w:r>
      <w:r w:rsidR="00E91F4A">
        <w:rPr>
          <w:b w:val="0"/>
          <w:bCs/>
        </w:rPr>
        <w:t xml:space="preserve">ware of prior similar incidents at </w:t>
      </w:r>
      <w:r w:rsidR="00063CF6">
        <w:rPr>
          <w:b w:val="0"/>
          <w:bCs/>
        </w:rPr>
        <w:t>their</w:t>
      </w:r>
      <w:r w:rsidR="00E91F4A">
        <w:rPr>
          <w:b w:val="0"/>
          <w:bCs/>
        </w:rPr>
        <w:t xml:space="preserve"> sorority specifically, or that the defendants had actual knowledge of the perpetrators’ violent propensities that would have warranted their exclusion from the party.  </w:t>
      </w:r>
      <w:r w:rsidR="002820A0">
        <w:rPr>
          <w:b w:val="0"/>
          <w:bCs/>
        </w:rPr>
        <w:t xml:space="preserve">The plaintiff’s complaint thus failed to allege facts sufficient to establish the requisite foreseeability of violent attacks like the one he suffered.  </w:t>
      </w:r>
      <w:r w:rsidR="00E91F4A">
        <w:rPr>
          <w:b w:val="0"/>
          <w:bCs/>
        </w:rPr>
        <w:t>(</w:t>
      </w:r>
      <w:r w:rsidRPr="00D14D29" w:rsidR="00FC3E47">
        <w:rPr>
          <w:b w:val="0"/>
          <w:bCs/>
          <w:i/>
          <w:iCs/>
        </w:rPr>
        <w:t>Hanouchian</w:t>
      </w:r>
      <w:r w:rsidR="00FC3E47">
        <w:rPr>
          <w:b w:val="0"/>
          <w:bCs/>
        </w:rPr>
        <w:t xml:space="preserve">, </w:t>
      </w:r>
      <w:r w:rsidRPr="00591370" w:rsidR="00FC3E47">
        <w:rPr>
          <w:b w:val="0"/>
          <w:bCs/>
          <w:i/>
          <w:iCs/>
        </w:rPr>
        <w:t>supra</w:t>
      </w:r>
      <w:r w:rsidR="00FC3E47">
        <w:rPr>
          <w:b w:val="0"/>
          <w:bCs/>
        </w:rPr>
        <w:t xml:space="preserve">, 51 </w:t>
      </w:r>
      <w:r w:rsidRPr="00656652" w:rsidR="00FC3E47">
        <w:rPr>
          <w:b w:val="0"/>
          <w:bCs/>
        </w:rPr>
        <w:t xml:space="preserve">Cal.App.5th </w:t>
      </w:r>
      <w:r w:rsidR="00E91F4A">
        <w:rPr>
          <w:b w:val="0"/>
          <w:bCs/>
        </w:rPr>
        <w:t xml:space="preserve">at p. </w:t>
      </w:r>
      <w:r w:rsidR="00671486">
        <w:rPr>
          <w:b w:val="0"/>
          <w:bCs/>
        </w:rPr>
        <w:t>113.)</w:t>
      </w:r>
    </w:p>
    <w:p w:rsidR="00710615" w:rsidP="00120428" w14:paraId="16168BC0" w14:textId="59893FEC">
      <w:pPr>
        <w:pStyle w:val="Heading21"/>
        <w:spacing w:before="0" w:after="0"/>
        <w:ind w:left="0" w:firstLine="720"/>
        <w:rPr>
          <w:b w:val="0"/>
          <w:bCs/>
        </w:rPr>
      </w:pPr>
      <w:r>
        <w:rPr>
          <w:b w:val="0"/>
          <w:bCs/>
        </w:rPr>
        <w:t>Other courts have reached similar conclusions in circumstances involving sudden, unexpected</w:t>
      </w:r>
      <w:r w:rsidR="001F3CA3">
        <w:rPr>
          <w:b w:val="0"/>
          <w:bCs/>
        </w:rPr>
        <w:t>,</w:t>
      </w:r>
      <w:r>
        <w:rPr>
          <w:b w:val="0"/>
          <w:bCs/>
        </w:rPr>
        <w:t xml:space="preserve"> violent criminal conduct.  </w:t>
      </w:r>
      <w:r w:rsidR="00945D1F">
        <w:rPr>
          <w:b w:val="0"/>
          <w:bCs/>
        </w:rPr>
        <w:t>(</w:t>
      </w:r>
      <w:r>
        <w:rPr>
          <w:b w:val="0"/>
          <w:bCs/>
        </w:rPr>
        <w:t xml:space="preserve">E.g., </w:t>
      </w:r>
      <w:r w:rsidR="00992A58">
        <w:rPr>
          <w:b w:val="0"/>
          <w:bCs/>
          <w:i/>
          <w:iCs/>
        </w:rPr>
        <w:t>Williams v. Fremont Corners</w:t>
      </w:r>
      <w:r w:rsidR="001E0714">
        <w:rPr>
          <w:b w:val="0"/>
          <w:bCs/>
          <w:i/>
          <w:iCs/>
        </w:rPr>
        <w:t>, Inc.</w:t>
      </w:r>
      <w:r w:rsidR="00992A58">
        <w:rPr>
          <w:b w:val="0"/>
          <w:bCs/>
        </w:rPr>
        <w:t xml:space="preserve"> (2019) 37 </w:t>
      </w:r>
      <w:r w:rsidRPr="00992A58" w:rsidR="00992A58">
        <w:rPr>
          <w:b w:val="0"/>
          <w:bCs/>
        </w:rPr>
        <w:t xml:space="preserve">Cal.App.5th </w:t>
      </w:r>
      <w:r w:rsidR="00796AFC">
        <w:rPr>
          <w:b w:val="0"/>
          <w:bCs/>
        </w:rPr>
        <w:t>654</w:t>
      </w:r>
      <w:r>
        <w:rPr>
          <w:b w:val="0"/>
          <w:bCs/>
        </w:rPr>
        <w:t xml:space="preserve"> (</w:t>
      </w:r>
      <w:r>
        <w:rPr>
          <w:b w:val="0"/>
          <w:bCs/>
          <w:i/>
          <w:iCs/>
        </w:rPr>
        <w:t>Williams</w:t>
      </w:r>
      <w:r>
        <w:rPr>
          <w:b w:val="0"/>
          <w:bCs/>
        </w:rPr>
        <w:t>)</w:t>
      </w:r>
      <w:r w:rsidR="00792626">
        <w:rPr>
          <w:b w:val="0"/>
          <w:bCs/>
        </w:rPr>
        <w:t xml:space="preserve"> [plaintiff attacked in parking lot of bar</w:t>
      </w:r>
      <w:r w:rsidR="00420829">
        <w:rPr>
          <w:b w:val="0"/>
          <w:bCs/>
        </w:rPr>
        <w:t>; insufficiently foreseeable to warrant preventative measures of uncertain efficacy</w:t>
      </w:r>
      <w:r w:rsidR="00944BC0">
        <w:rPr>
          <w:b w:val="0"/>
          <w:bCs/>
        </w:rPr>
        <w:t>]</w:t>
      </w:r>
      <w:r w:rsidR="00420829">
        <w:rPr>
          <w:b w:val="0"/>
          <w:bCs/>
        </w:rPr>
        <w:t xml:space="preserve">; </w:t>
      </w:r>
      <w:r w:rsidR="00420829">
        <w:rPr>
          <w:b w:val="0"/>
          <w:bCs/>
          <w:i/>
          <w:iCs/>
        </w:rPr>
        <w:t>Melton v. Boustred</w:t>
      </w:r>
      <w:r w:rsidR="00420829">
        <w:rPr>
          <w:b w:val="0"/>
          <w:bCs/>
        </w:rPr>
        <w:t xml:space="preserve"> (2010) 183 </w:t>
      </w:r>
      <w:r w:rsidRPr="00420829" w:rsidR="00420829">
        <w:rPr>
          <w:b w:val="0"/>
          <w:bCs/>
        </w:rPr>
        <w:t xml:space="preserve">Cal.App.4th </w:t>
      </w:r>
      <w:r w:rsidR="00860033">
        <w:rPr>
          <w:b w:val="0"/>
          <w:bCs/>
        </w:rPr>
        <w:t>521</w:t>
      </w:r>
      <w:r w:rsidR="000C7048">
        <w:rPr>
          <w:b w:val="0"/>
          <w:bCs/>
        </w:rPr>
        <w:t xml:space="preserve"> </w:t>
      </w:r>
      <w:r w:rsidR="00860033">
        <w:rPr>
          <w:b w:val="0"/>
          <w:bCs/>
        </w:rPr>
        <w:t xml:space="preserve">[plaintiffs attacked at a party by unknown assailants; hiring security guards and restricting guest list would pose significant burden and attack </w:t>
      </w:r>
      <w:r w:rsidR="00203446">
        <w:rPr>
          <w:b w:val="0"/>
          <w:bCs/>
        </w:rPr>
        <w:t xml:space="preserve">was </w:t>
      </w:r>
      <w:r w:rsidR="00860033">
        <w:rPr>
          <w:b w:val="0"/>
          <w:bCs/>
        </w:rPr>
        <w:t>not reasonably foreseeable</w:t>
      </w:r>
      <w:r w:rsidR="00BA4417">
        <w:rPr>
          <w:b w:val="0"/>
          <w:bCs/>
        </w:rPr>
        <w:t>]</w:t>
      </w:r>
      <w:r w:rsidR="00945D1F">
        <w:rPr>
          <w:b w:val="0"/>
          <w:bCs/>
        </w:rPr>
        <w:t>.)</w:t>
      </w:r>
    </w:p>
    <w:p w:rsidR="009E2093" w:rsidRPr="00244DA6" w:rsidP="00603C9F" w14:paraId="311D482F" w14:textId="6F0B94F1">
      <w:pPr>
        <w:pStyle w:val="Heading21"/>
        <w:keepNext/>
        <w:keepLines/>
        <w:widowControl w:val="0"/>
        <w:numPr>
          <w:ilvl w:val="0"/>
          <w:numId w:val="25"/>
        </w:numPr>
        <w:spacing w:before="0" w:after="0"/>
        <w:ind w:hanging="720"/>
      </w:pPr>
      <w:r>
        <w:t>Conducting criminal background checks on all passengers would be highly burdensome</w:t>
      </w:r>
    </w:p>
    <w:p w:rsidR="00751245" w:rsidP="00D43D75" w14:paraId="53A8FC43" w14:textId="16F164AB">
      <w:pPr>
        <w:pStyle w:val="Heading21"/>
        <w:keepNext/>
        <w:keepLines/>
        <w:widowControl w:val="0"/>
        <w:spacing w:before="0" w:after="0"/>
        <w:ind w:left="0" w:firstLine="720"/>
        <w:rPr>
          <w:b w:val="0"/>
          <w:bCs/>
        </w:rPr>
      </w:pPr>
      <w:r>
        <w:rPr>
          <w:b w:val="0"/>
          <w:bCs/>
        </w:rPr>
        <w:t xml:space="preserve">Al Shikha contends conducting criminal background checks on all potential </w:t>
      </w:r>
      <w:r w:rsidR="003726E6">
        <w:rPr>
          <w:b w:val="0"/>
          <w:bCs/>
        </w:rPr>
        <w:t>rideshare</w:t>
      </w:r>
      <w:r>
        <w:rPr>
          <w:b w:val="0"/>
          <w:bCs/>
        </w:rPr>
        <w:t xml:space="preserve"> passengers would entail minimal costs</w:t>
      </w:r>
      <w:r w:rsidR="009B333D">
        <w:rPr>
          <w:b w:val="0"/>
          <w:bCs/>
        </w:rPr>
        <w:t xml:space="preserve"> and </w:t>
      </w:r>
      <w:r w:rsidR="008C2AF8">
        <w:rPr>
          <w:b w:val="0"/>
          <w:bCs/>
        </w:rPr>
        <w:t xml:space="preserve">would not be </w:t>
      </w:r>
      <w:r w:rsidR="00701E0C">
        <w:rPr>
          <w:b w:val="0"/>
          <w:bCs/>
        </w:rPr>
        <w:t>highly burdensome</w:t>
      </w:r>
      <w:r w:rsidR="009B333D">
        <w:rPr>
          <w:b w:val="0"/>
          <w:bCs/>
        </w:rPr>
        <w:t>.  Lyft</w:t>
      </w:r>
      <w:r w:rsidR="00701E0C">
        <w:rPr>
          <w:b w:val="0"/>
          <w:bCs/>
        </w:rPr>
        <w:t>, in contrast,</w:t>
      </w:r>
      <w:r w:rsidR="008C2AF8">
        <w:rPr>
          <w:b w:val="0"/>
          <w:bCs/>
        </w:rPr>
        <w:t xml:space="preserve"> </w:t>
      </w:r>
      <w:r w:rsidR="00D63058">
        <w:rPr>
          <w:b w:val="0"/>
          <w:bCs/>
        </w:rPr>
        <w:t>asserts</w:t>
      </w:r>
      <w:r w:rsidR="008C2AF8">
        <w:rPr>
          <w:b w:val="0"/>
          <w:bCs/>
        </w:rPr>
        <w:t xml:space="preserve"> the obligation would </w:t>
      </w:r>
      <w:r w:rsidR="00595F49">
        <w:rPr>
          <w:b w:val="0"/>
          <w:bCs/>
        </w:rPr>
        <w:t>impose significant financial and social burdens</w:t>
      </w:r>
      <w:r w:rsidR="00E84053">
        <w:rPr>
          <w:b w:val="0"/>
          <w:bCs/>
        </w:rPr>
        <w:t xml:space="preserve">.  Lyft argues </w:t>
      </w:r>
      <w:r w:rsidR="008F5090">
        <w:rPr>
          <w:b w:val="0"/>
          <w:bCs/>
        </w:rPr>
        <w:t>screening each passenger would require a “huge and unwieldy infrastructure</w:t>
      </w:r>
      <w:r w:rsidR="00CC34F3">
        <w:rPr>
          <w:b w:val="0"/>
          <w:bCs/>
        </w:rPr>
        <w:t xml:space="preserve">”; that it would expose Lyft to liability because there is no guarantee it would successfully identify people inclined to violence; </w:t>
      </w:r>
      <w:r w:rsidR="00460B6C">
        <w:rPr>
          <w:b w:val="0"/>
          <w:bCs/>
        </w:rPr>
        <w:t xml:space="preserve">it would be impossible for </w:t>
      </w:r>
      <w:r w:rsidR="0053185C">
        <w:rPr>
          <w:b w:val="0"/>
          <w:bCs/>
        </w:rPr>
        <w:t xml:space="preserve">passengers to </w:t>
      </w:r>
      <w:r w:rsidR="00186474">
        <w:rPr>
          <w:b w:val="0"/>
          <w:bCs/>
        </w:rPr>
        <w:t>download and sign</w:t>
      </w:r>
      <w:r w:rsidR="000E5714">
        <w:rPr>
          <w:b w:val="0"/>
          <w:bCs/>
        </w:rPr>
        <w:t xml:space="preserve"> </w:t>
      </w:r>
      <w:r w:rsidR="00186474">
        <w:rPr>
          <w:b w:val="0"/>
          <w:bCs/>
        </w:rPr>
        <w:t>up for the app at the time a ride is needed</w:t>
      </w:r>
      <w:r w:rsidR="005764B8">
        <w:rPr>
          <w:b w:val="0"/>
          <w:bCs/>
        </w:rPr>
        <w:t>;</w:t>
      </w:r>
      <w:r w:rsidR="00186474">
        <w:rPr>
          <w:b w:val="0"/>
          <w:bCs/>
        </w:rPr>
        <w:t xml:space="preserve"> </w:t>
      </w:r>
      <w:r w:rsidR="00377FF6">
        <w:rPr>
          <w:b w:val="0"/>
          <w:bCs/>
        </w:rPr>
        <w:t xml:space="preserve">it would burden those </w:t>
      </w:r>
      <w:r w:rsidR="00D56A02">
        <w:rPr>
          <w:b w:val="0"/>
          <w:bCs/>
        </w:rPr>
        <w:t>with</w:t>
      </w:r>
      <w:r w:rsidR="00377FF6">
        <w:rPr>
          <w:b w:val="0"/>
          <w:bCs/>
        </w:rPr>
        <w:t xml:space="preserve"> criminal histories who are not inclined to violence but still need</w:t>
      </w:r>
      <w:r w:rsidR="00EF2B65">
        <w:rPr>
          <w:b w:val="0"/>
          <w:bCs/>
        </w:rPr>
        <w:t xml:space="preserve"> transportation; it would unfairly discriminate against broad segments of the population; </w:t>
      </w:r>
      <w:r w:rsidR="00B02CC4">
        <w:rPr>
          <w:b w:val="0"/>
          <w:bCs/>
        </w:rPr>
        <w:t>it would have an “unfair or even unlawful</w:t>
      </w:r>
      <w:r w:rsidR="00292B9C">
        <w:rPr>
          <w:b w:val="0"/>
          <w:bCs/>
        </w:rPr>
        <w:t>[</w:t>
      </w:r>
      <w:r w:rsidR="00B02CC4">
        <w:rPr>
          <w:b w:val="0"/>
          <w:bCs/>
        </w:rPr>
        <w:t>ly</w:t>
      </w:r>
      <w:r w:rsidR="00292B9C">
        <w:rPr>
          <w:b w:val="0"/>
          <w:bCs/>
        </w:rPr>
        <w:t>]</w:t>
      </w:r>
      <w:r w:rsidR="00B02CC4">
        <w:rPr>
          <w:b w:val="0"/>
          <w:bCs/>
        </w:rPr>
        <w:t xml:space="preserve"> discriminatory effect on minorities and marginalized populations”; and it would conf</w:t>
      </w:r>
      <w:r>
        <w:rPr>
          <w:b w:val="0"/>
          <w:bCs/>
        </w:rPr>
        <w:t>lict with the strong public policy of maintaining consumer privacy.</w:t>
      </w:r>
    </w:p>
    <w:p w:rsidR="00697049" w:rsidP="009B2934" w14:paraId="350C22FB" w14:textId="664165D7">
      <w:pPr>
        <w:pStyle w:val="Heading21"/>
        <w:spacing w:before="0" w:after="0"/>
        <w:ind w:left="0" w:firstLine="720"/>
        <w:rPr>
          <w:b w:val="0"/>
          <w:bCs/>
        </w:rPr>
      </w:pPr>
      <w:r>
        <w:rPr>
          <w:b w:val="0"/>
          <w:bCs/>
        </w:rPr>
        <w:t xml:space="preserve">As </w:t>
      </w:r>
      <w:r w:rsidR="00BA4417">
        <w:rPr>
          <w:b w:val="0"/>
          <w:bCs/>
        </w:rPr>
        <w:t xml:space="preserve">the court determined </w:t>
      </w:r>
      <w:r>
        <w:rPr>
          <w:b w:val="0"/>
          <w:bCs/>
        </w:rPr>
        <w:t xml:space="preserve">in </w:t>
      </w:r>
      <w:r>
        <w:rPr>
          <w:b w:val="0"/>
          <w:bCs/>
          <w:i/>
          <w:iCs/>
        </w:rPr>
        <w:t>Castaneda</w:t>
      </w:r>
      <w:r>
        <w:rPr>
          <w:b w:val="0"/>
          <w:bCs/>
        </w:rPr>
        <w:t xml:space="preserve">, we </w:t>
      </w:r>
      <w:r w:rsidR="00BA4417">
        <w:rPr>
          <w:b w:val="0"/>
          <w:bCs/>
        </w:rPr>
        <w:t xml:space="preserve">similarly </w:t>
      </w:r>
      <w:r>
        <w:rPr>
          <w:b w:val="0"/>
          <w:bCs/>
        </w:rPr>
        <w:t xml:space="preserve">conclude </w:t>
      </w:r>
      <w:r w:rsidR="004D4576">
        <w:rPr>
          <w:b w:val="0"/>
          <w:bCs/>
        </w:rPr>
        <w:t xml:space="preserve">here </w:t>
      </w:r>
      <w:r w:rsidR="00CE2731">
        <w:rPr>
          <w:b w:val="0"/>
          <w:bCs/>
        </w:rPr>
        <w:t>that c</w:t>
      </w:r>
      <w:r w:rsidR="00CD6D3F">
        <w:rPr>
          <w:b w:val="0"/>
          <w:bCs/>
        </w:rPr>
        <w:t xml:space="preserve">onducting criminal background checks on all rideshare passengers </w:t>
      </w:r>
      <w:r>
        <w:rPr>
          <w:b w:val="0"/>
          <w:bCs/>
        </w:rPr>
        <w:t>would be</w:t>
      </w:r>
      <w:r w:rsidR="00CE2731">
        <w:rPr>
          <w:b w:val="0"/>
          <w:bCs/>
        </w:rPr>
        <w:t xml:space="preserve"> “</w:t>
      </w:r>
      <w:r w:rsidRPr="00A23198" w:rsidR="00CE2731">
        <w:rPr>
          <w:b w:val="0"/>
          <w:bCs/>
        </w:rPr>
        <w:t>a burdensome, dubiously effective and socially questionable obligation</w:t>
      </w:r>
      <w:r w:rsidR="00B44EFC">
        <w:rPr>
          <w:b w:val="0"/>
          <w:bCs/>
        </w:rPr>
        <w:t xml:space="preserve"> </w:t>
      </w:r>
      <w:r w:rsidR="00DD3D77">
        <w:rPr>
          <w:b w:val="0"/>
          <w:bCs/>
        </w:rPr>
        <w:t>.</w:t>
      </w:r>
      <w:r w:rsidR="00B44EFC">
        <w:rPr>
          <w:b w:val="0"/>
          <w:bCs/>
        </w:rPr>
        <w:t xml:space="preserve"> . . .</w:t>
      </w:r>
      <w:r w:rsidR="00DD3D77">
        <w:rPr>
          <w:b w:val="0"/>
          <w:bCs/>
        </w:rPr>
        <w:t>”  (</w:t>
      </w:r>
      <w:r w:rsidR="00DD3D77">
        <w:rPr>
          <w:b w:val="0"/>
          <w:bCs/>
          <w:i/>
          <w:iCs/>
        </w:rPr>
        <w:t>Castaneda</w:t>
      </w:r>
      <w:r w:rsidRPr="00D43D75" w:rsidR="00DD3D77">
        <w:rPr>
          <w:b w:val="0"/>
          <w:bCs/>
        </w:rPr>
        <w:t>,</w:t>
      </w:r>
      <w:r w:rsidR="00DD3D77">
        <w:rPr>
          <w:b w:val="0"/>
          <w:bCs/>
          <w:i/>
          <w:iCs/>
        </w:rPr>
        <w:t xml:space="preserve"> supra</w:t>
      </w:r>
      <w:r w:rsidRPr="00D43D75" w:rsidR="00DD3D77">
        <w:rPr>
          <w:b w:val="0"/>
          <w:bCs/>
        </w:rPr>
        <w:t>,</w:t>
      </w:r>
      <w:r w:rsidR="00DD3D77">
        <w:rPr>
          <w:b w:val="0"/>
          <w:bCs/>
        </w:rPr>
        <w:t xml:space="preserve"> </w:t>
      </w:r>
      <w:r w:rsidRPr="00286C8D" w:rsidR="009F6DEA">
        <w:rPr>
          <w:b w:val="0"/>
          <w:bCs/>
        </w:rPr>
        <w:t>41 Cal.4th</w:t>
      </w:r>
      <w:r w:rsidR="009F6DEA">
        <w:rPr>
          <w:b w:val="0"/>
          <w:bCs/>
        </w:rPr>
        <w:t xml:space="preserve"> at p. 1217.)</w:t>
      </w:r>
    </w:p>
    <w:p w:rsidR="00405F3B" w:rsidP="009B2934" w14:paraId="0CBB6F79" w14:textId="4DBCB7E3">
      <w:pPr>
        <w:pStyle w:val="Heading21"/>
        <w:spacing w:before="0" w:after="0"/>
        <w:ind w:left="0" w:firstLine="720"/>
        <w:rPr>
          <w:b w:val="0"/>
          <w:bCs/>
        </w:rPr>
      </w:pPr>
      <w:r>
        <w:rPr>
          <w:b w:val="0"/>
          <w:bCs/>
        </w:rPr>
        <w:t xml:space="preserve">Because of the procedural posture of this case, </w:t>
      </w:r>
      <w:r w:rsidR="00AD4800">
        <w:rPr>
          <w:b w:val="0"/>
          <w:bCs/>
        </w:rPr>
        <w:t xml:space="preserve">there was no evidence before the </w:t>
      </w:r>
      <w:r w:rsidR="00697049">
        <w:rPr>
          <w:b w:val="0"/>
          <w:bCs/>
        </w:rPr>
        <w:t xml:space="preserve">trial </w:t>
      </w:r>
      <w:r w:rsidR="00AD4800">
        <w:rPr>
          <w:b w:val="0"/>
          <w:bCs/>
        </w:rPr>
        <w:t xml:space="preserve">court regarding </w:t>
      </w:r>
      <w:r w:rsidR="00B60AA6">
        <w:rPr>
          <w:b w:val="0"/>
          <w:bCs/>
        </w:rPr>
        <w:t xml:space="preserve">the actual costs or conceivable logistics of </w:t>
      </w:r>
      <w:r w:rsidR="00C14C1D">
        <w:rPr>
          <w:b w:val="0"/>
          <w:bCs/>
        </w:rPr>
        <w:t xml:space="preserve">Lyft conducting a </w:t>
      </w:r>
      <w:r w:rsidR="002848D5">
        <w:rPr>
          <w:b w:val="0"/>
          <w:bCs/>
        </w:rPr>
        <w:t xml:space="preserve">criminal </w:t>
      </w:r>
      <w:r w:rsidR="00C14C1D">
        <w:rPr>
          <w:b w:val="0"/>
          <w:bCs/>
        </w:rPr>
        <w:t xml:space="preserve">background check on every passenger who </w:t>
      </w:r>
      <w:r w:rsidR="00CF2369">
        <w:rPr>
          <w:b w:val="0"/>
          <w:bCs/>
        </w:rPr>
        <w:t>seeks to use the platform.</w:t>
      </w:r>
      <w:r w:rsidR="00C14C1D">
        <w:rPr>
          <w:b w:val="0"/>
          <w:bCs/>
        </w:rPr>
        <w:t xml:space="preserve"> </w:t>
      </w:r>
      <w:r w:rsidR="00CF2369">
        <w:rPr>
          <w:b w:val="0"/>
          <w:bCs/>
        </w:rPr>
        <w:t xml:space="preserve"> </w:t>
      </w:r>
      <w:r w:rsidR="009B2934">
        <w:rPr>
          <w:b w:val="0"/>
          <w:bCs/>
        </w:rPr>
        <w:t xml:space="preserve">However, accepting as true the complaint’s allegation that Lyft could </w:t>
      </w:r>
      <w:r w:rsidR="00F26CA0">
        <w:rPr>
          <w:b w:val="0"/>
          <w:bCs/>
        </w:rPr>
        <w:t xml:space="preserve">conduct criminal </w:t>
      </w:r>
      <w:r w:rsidR="009B2934">
        <w:rPr>
          <w:b w:val="0"/>
          <w:bCs/>
        </w:rPr>
        <w:t>background check</w:t>
      </w:r>
      <w:r w:rsidR="00F26CA0">
        <w:rPr>
          <w:b w:val="0"/>
          <w:bCs/>
        </w:rPr>
        <w:t>s</w:t>
      </w:r>
      <w:r w:rsidR="009B2934">
        <w:rPr>
          <w:b w:val="0"/>
          <w:bCs/>
        </w:rPr>
        <w:t xml:space="preserve"> on passengers “for very little cost if it chose to do so,” </w:t>
      </w:r>
      <w:r w:rsidR="00EA175C">
        <w:rPr>
          <w:b w:val="0"/>
          <w:bCs/>
        </w:rPr>
        <w:t xml:space="preserve">that </w:t>
      </w:r>
      <w:r w:rsidR="009B2934">
        <w:rPr>
          <w:b w:val="0"/>
          <w:bCs/>
        </w:rPr>
        <w:t>allegation does not end the analysis.</w:t>
      </w:r>
    </w:p>
    <w:p w:rsidR="009B2934" w:rsidRPr="00083AD3" w:rsidP="005172D2" w14:paraId="44C44CE6" w14:textId="002E1CF4">
      <w:pPr>
        <w:pStyle w:val="Heading21"/>
        <w:spacing w:before="0" w:after="0"/>
        <w:ind w:left="0" w:firstLine="720"/>
        <w:rPr>
          <w:b w:val="0"/>
          <w:bCs/>
        </w:rPr>
      </w:pPr>
      <w:r w:rsidRPr="005B527C">
        <w:rPr>
          <w:b w:val="0"/>
          <w:bCs/>
        </w:rPr>
        <w:t xml:space="preserve">To the extent Al Shikha has alleged or now argues that Lyft’s duty is </w:t>
      </w:r>
      <w:r w:rsidR="004820A3">
        <w:rPr>
          <w:b w:val="0"/>
          <w:bCs/>
        </w:rPr>
        <w:t>not only</w:t>
      </w:r>
      <w:r w:rsidR="00FA286C">
        <w:rPr>
          <w:b w:val="0"/>
          <w:bCs/>
        </w:rPr>
        <w:t xml:space="preserve"> to</w:t>
      </w:r>
      <w:r w:rsidR="004820A3">
        <w:rPr>
          <w:b w:val="0"/>
          <w:bCs/>
        </w:rPr>
        <w:t xml:space="preserve"> conduct criminal background check</w:t>
      </w:r>
      <w:r w:rsidR="00F4533D">
        <w:rPr>
          <w:b w:val="0"/>
          <w:bCs/>
        </w:rPr>
        <w:t>s</w:t>
      </w:r>
      <w:r w:rsidR="004820A3">
        <w:rPr>
          <w:b w:val="0"/>
          <w:bCs/>
        </w:rPr>
        <w:t xml:space="preserve"> but also to </w:t>
      </w:r>
      <w:r w:rsidRPr="005B527C">
        <w:rPr>
          <w:b w:val="0"/>
          <w:bCs/>
        </w:rPr>
        <w:t>either exclude passenger</w:t>
      </w:r>
      <w:r w:rsidR="004820A3">
        <w:rPr>
          <w:b w:val="0"/>
          <w:bCs/>
        </w:rPr>
        <w:t>s</w:t>
      </w:r>
      <w:r w:rsidRPr="005B527C">
        <w:rPr>
          <w:b w:val="0"/>
          <w:bCs/>
        </w:rPr>
        <w:t xml:space="preserve"> with </w:t>
      </w:r>
      <w:r w:rsidR="004820A3">
        <w:rPr>
          <w:b w:val="0"/>
          <w:bCs/>
        </w:rPr>
        <w:t xml:space="preserve">certain </w:t>
      </w:r>
      <w:r w:rsidRPr="005B527C">
        <w:rPr>
          <w:b w:val="0"/>
          <w:bCs/>
        </w:rPr>
        <w:t>criminal histor</w:t>
      </w:r>
      <w:r w:rsidR="000C479E">
        <w:rPr>
          <w:b w:val="0"/>
          <w:bCs/>
        </w:rPr>
        <w:t>ies</w:t>
      </w:r>
      <w:r w:rsidRPr="005B527C">
        <w:rPr>
          <w:b w:val="0"/>
          <w:bCs/>
        </w:rPr>
        <w:t xml:space="preserve">, or </w:t>
      </w:r>
      <w:r w:rsidR="00A04C8E">
        <w:rPr>
          <w:b w:val="0"/>
          <w:bCs/>
        </w:rPr>
        <w:t xml:space="preserve">to </w:t>
      </w:r>
      <w:r w:rsidRPr="005B527C">
        <w:rPr>
          <w:b w:val="0"/>
          <w:bCs/>
        </w:rPr>
        <w:t xml:space="preserve">warn drivers </w:t>
      </w:r>
      <w:r w:rsidR="00A04C8E">
        <w:rPr>
          <w:b w:val="0"/>
          <w:bCs/>
        </w:rPr>
        <w:t>about such passengers</w:t>
      </w:r>
      <w:r w:rsidRPr="005B527C">
        <w:rPr>
          <w:b w:val="0"/>
          <w:bCs/>
        </w:rPr>
        <w:t xml:space="preserve">, the burden would still be significant.  </w:t>
      </w:r>
      <w:r w:rsidR="00216E79">
        <w:rPr>
          <w:b w:val="0"/>
          <w:bCs/>
        </w:rPr>
        <w:t>Beyond simply obtaining a criminal history</w:t>
      </w:r>
      <w:r>
        <w:rPr>
          <w:b w:val="0"/>
          <w:bCs/>
        </w:rPr>
        <w:t>, some form of analysis would be necessary to identify what specific prior convictions</w:t>
      </w:r>
      <w:r w:rsidR="00B40153">
        <w:rPr>
          <w:b w:val="0"/>
          <w:bCs/>
        </w:rPr>
        <w:t xml:space="preserve"> appear in a passenger’s criminal history</w:t>
      </w:r>
      <w:r>
        <w:rPr>
          <w:b w:val="0"/>
          <w:bCs/>
        </w:rPr>
        <w:t xml:space="preserve">.  </w:t>
      </w:r>
      <w:r w:rsidR="00BC6CB1">
        <w:rPr>
          <w:b w:val="0"/>
          <w:bCs/>
        </w:rPr>
        <w:t xml:space="preserve">(See </w:t>
      </w:r>
      <w:r w:rsidR="00E74847">
        <w:rPr>
          <w:b w:val="0"/>
          <w:bCs/>
          <w:i/>
          <w:iCs/>
        </w:rPr>
        <w:t>Sharon P.</w:t>
      </w:r>
      <w:r w:rsidRPr="00D43D75" w:rsidR="00BC6CB1">
        <w:rPr>
          <w:b w:val="0"/>
          <w:bCs/>
        </w:rPr>
        <w:t>,</w:t>
      </w:r>
      <w:r w:rsidR="00BC6CB1">
        <w:rPr>
          <w:b w:val="0"/>
          <w:bCs/>
          <w:i/>
          <w:iCs/>
        </w:rPr>
        <w:t xml:space="preserve"> supra</w:t>
      </w:r>
      <w:r w:rsidRPr="00D43D75" w:rsidR="00BC6CB1">
        <w:rPr>
          <w:b w:val="0"/>
          <w:bCs/>
        </w:rPr>
        <w:t>,</w:t>
      </w:r>
      <w:r w:rsidR="00BC6CB1">
        <w:rPr>
          <w:b w:val="0"/>
          <w:bCs/>
          <w:i/>
          <w:iCs/>
        </w:rPr>
        <w:t xml:space="preserve"> </w:t>
      </w:r>
      <w:r w:rsidR="002041FA">
        <w:rPr>
          <w:b w:val="0"/>
          <w:bCs/>
        </w:rPr>
        <w:t xml:space="preserve">21 </w:t>
      </w:r>
      <w:r w:rsidRPr="002041FA" w:rsidR="002041FA">
        <w:rPr>
          <w:b w:val="0"/>
          <w:bCs/>
        </w:rPr>
        <w:t xml:space="preserve">Cal.4th </w:t>
      </w:r>
      <w:r w:rsidR="002041FA">
        <w:rPr>
          <w:b w:val="0"/>
          <w:bCs/>
        </w:rPr>
        <w:t>at p. 1196</w:t>
      </w:r>
      <w:r w:rsidR="009B73C7">
        <w:rPr>
          <w:b w:val="0"/>
          <w:bCs/>
        </w:rPr>
        <w:t xml:space="preserve"> [questionable that surveillance cameras would be less burdensome than hiring </w:t>
      </w:r>
      <w:r w:rsidR="00617FF1">
        <w:rPr>
          <w:b w:val="0"/>
          <w:bCs/>
        </w:rPr>
        <w:t>security guards</w:t>
      </w:r>
      <w:r w:rsidR="00F47FFA">
        <w:rPr>
          <w:b w:val="0"/>
          <w:bCs/>
        </w:rPr>
        <w:t xml:space="preserve"> since</w:t>
      </w:r>
      <w:r w:rsidR="009B73C7">
        <w:rPr>
          <w:b w:val="0"/>
          <w:bCs/>
        </w:rPr>
        <w:t xml:space="preserve"> they “</w:t>
      </w:r>
      <w:r w:rsidR="00F47FFA">
        <w:rPr>
          <w:b w:val="0"/>
          <w:bCs/>
        </w:rPr>
        <w:t>may be ineffectual to protect against crime unless there are employees who are available to continuously monitor video transmissions and respond effective</w:t>
      </w:r>
      <w:r w:rsidR="00FA286C">
        <w:rPr>
          <w:b w:val="0"/>
          <w:bCs/>
        </w:rPr>
        <w:t>ly</w:t>
      </w:r>
      <w:r w:rsidR="00F47FFA">
        <w:rPr>
          <w:b w:val="0"/>
          <w:bCs/>
        </w:rPr>
        <w:t xml:space="preserve"> when suspicious or criminal behavior is observed”</w:t>
      </w:r>
      <w:r w:rsidR="00BC6CB1">
        <w:rPr>
          <w:b w:val="0"/>
          <w:bCs/>
        </w:rPr>
        <w:t>]</w:t>
      </w:r>
      <w:r w:rsidR="009B73C7">
        <w:rPr>
          <w:b w:val="0"/>
          <w:bCs/>
        </w:rPr>
        <w:t xml:space="preserve">.)  </w:t>
      </w:r>
      <w:r w:rsidR="00F4533D">
        <w:rPr>
          <w:b w:val="0"/>
          <w:bCs/>
        </w:rPr>
        <w:t>Moreover, Al Shikha’s assertion that</w:t>
      </w:r>
      <w:r w:rsidR="00201047">
        <w:rPr>
          <w:b w:val="0"/>
          <w:bCs/>
        </w:rPr>
        <w:t xml:space="preserve"> Lyft would incur </w:t>
      </w:r>
      <w:r w:rsidR="00F4533D">
        <w:rPr>
          <w:b w:val="0"/>
          <w:bCs/>
        </w:rPr>
        <w:t xml:space="preserve">only </w:t>
      </w:r>
      <w:r w:rsidR="00201047">
        <w:rPr>
          <w:b w:val="0"/>
          <w:bCs/>
        </w:rPr>
        <w:t>insignificant a</w:t>
      </w:r>
      <w:r w:rsidR="004146A6">
        <w:rPr>
          <w:b w:val="0"/>
          <w:bCs/>
        </w:rPr>
        <w:t xml:space="preserve">dditional </w:t>
      </w:r>
      <w:r w:rsidR="007B272E">
        <w:rPr>
          <w:b w:val="0"/>
          <w:bCs/>
        </w:rPr>
        <w:t>cost</w:t>
      </w:r>
      <w:r w:rsidR="00201047">
        <w:rPr>
          <w:b w:val="0"/>
          <w:bCs/>
        </w:rPr>
        <w:t>s</w:t>
      </w:r>
      <w:r w:rsidR="004146A6">
        <w:rPr>
          <w:b w:val="0"/>
          <w:bCs/>
        </w:rPr>
        <w:t xml:space="preserve"> since </w:t>
      </w:r>
      <w:r w:rsidR="00201047">
        <w:rPr>
          <w:b w:val="0"/>
          <w:bCs/>
        </w:rPr>
        <w:t xml:space="preserve">it </w:t>
      </w:r>
      <w:r w:rsidR="004146A6">
        <w:rPr>
          <w:b w:val="0"/>
          <w:bCs/>
        </w:rPr>
        <w:t>already obtains criminal background checks of drivers</w:t>
      </w:r>
      <w:r w:rsidR="007B272E">
        <w:rPr>
          <w:b w:val="0"/>
          <w:bCs/>
        </w:rPr>
        <w:t>,</w:t>
      </w:r>
      <w:r w:rsidR="00C80B45">
        <w:rPr>
          <w:b w:val="0"/>
          <w:bCs/>
        </w:rPr>
        <w:t xml:space="preserve"> appear</w:t>
      </w:r>
      <w:r w:rsidR="005172D2">
        <w:rPr>
          <w:b w:val="0"/>
          <w:bCs/>
        </w:rPr>
        <w:t>s</w:t>
      </w:r>
      <w:r w:rsidR="00C80B45">
        <w:rPr>
          <w:b w:val="0"/>
          <w:bCs/>
        </w:rPr>
        <w:t xml:space="preserve"> to </w:t>
      </w:r>
      <w:r w:rsidR="00863D4A">
        <w:rPr>
          <w:b w:val="0"/>
          <w:bCs/>
        </w:rPr>
        <w:t xml:space="preserve">ignore the </w:t>
      </w:r>
      <w:r w:rsidR="0067455B">
        <w:rPr>
          <w:b w:val="0"/>
          <w:bCs/>
        </w:rPr>
        <w:t xml:space="preserve">much larger </w:t>
      </w:r>
      <w:r w:rsidR="00863D4A">
        <w:rPr>
          <w:b w:val="0"/>
          <w:bCs/>
        </w:rPr>
        <w:t xml:space="preserve">volume of criminal background checks that would be </w:t>
      </w:r>
      <w:r w:rsidR="00BC4843">
        <w:rPr>
          <w:b w:val="0"/>
          <w:bCs/>
        </w:rPr>
        <w:t>necessary</w:t>
      </w:r>
      <w:r w:rsidR="0067455B">
        <w:rPr>
          <w:b w:val="0"/>
          <w:bCs/>
        </w:rPr>
        <w:t xml:space="preserve"> to screen every potential passenger</w:t>
      </w:r>
      <w:r w:rsidR="00A9490C">
        <w:rPr>
          <w:b w:val="0"/>
          <w:bCs/>
        </w:rPr>
        <w:t>.</w:t>
      </w:r>
      <w:r>
        <w:rPr>
          <w:rStyle w:val="FootnoteReference"/>
          <w:b/>
          <w:bCs/>
        </w:rPr>
        <w:footnoteReference w:id="6"/>
      </w:r>
      <w:r w:rsidR="000B3C8E">
        <w:rPr>
          <w:b w:val="0"/>
          <w:bCs/>
        </w:rPr>
        <w:t xml:space="preserve">  (</w:t>
      </w:r>
      <w:r w:rsidR="000B3C8E">
        <w:rPr>
          <w:b w:val="0"/>
          <w:bCs/>
          <w:i/>
          <w:iCs/>
        </w:rPr>
        <w:t>Castaneda</w:t>
      </w:r>
      <w:r w:rsidRPr="00D43D75" w:rsidR="000B3C8E">
        <w:rPr>
          <w:b w:val="0"/>
          <w:bCs/>
        </w:rPr>
        <w:t>,</w:t>
      </w:r>
      <w:r w:rsidR="000B3C8E">
        <w:rPr>
          <w:b w:val="0"/>
          <w:bCs/>
          <w:i/>
          <w:iCs/>
        </w:rPr>
        <w:t xml:space="preserve"> supra</w:t>
      </w:r>
      <w:r w:rsidRPr="00D43D75" w:rsidR="000B3C8E">
        <w:rPr>
          <w:b w:val="0"/>
          <w:bCs/>
        </w:rPr>
        <w:t>,</w:t>
      </w:r>
      <w:r w:rsidR="000B3C8E">
        <w:rPr>
          <w:b w:val="0"/>
          <w:bCs/>
        </w:rPr>
        <w:t xml:space="preserve"> 41 </w:t>
      </w:r>
      <w:r w:rsidRPr="000B3C8E" w:rsidR="000B3C8E">
        <w:rPr>
          <w:b w:val="0"/>
          <w:bCs/>
        </w:rPr>
        <w:t xml:space="preserve">Cal.4th </w:t>
      </w:r>
      <w:r w:rsidR="000B3C8E">
        <w:rPr>
          <w:b w:val="0"/>
          <w:bCs/>
        </w:rPr>
        <w:t xml:space="preserve">at p. 1217 [obtaining full criminal histories on all applicants and their families would involve “significant expense and delay”]; </w:t>
      </w:r>
      <w:r w:rsidR="000B3C8E">
        <w:rPr>
          <w:b w:val="0"/>
          <w:bCs/>
          <w:i/>
          <w:iCs/>
        </w:rPr>
        <w:t>Hanouchian</w:t>
      </w:r>
      <w:r w:rsidRPr="00D43D75" w:rsidR="000B3C8E">
        <w:rPr>
          <w:b w:val="0"/>
          <w:bCs/>
        </w:rPr>
        <w:t>,</w:t>
      </w:r>
      <w:r w:rsidR="000B3C8E">
        <w:rPr>
          <w:b w:val="0"/>
          <w:bCs/>
          <w:i/>
          <w:iCs/>
        </w:rPr>
        <w:t xml:space="preserve"> supra</w:t>
      </w:r>
      <w:r w:rsidRPr="00D43D75" w:rsidR="000B3C8E">
        <w:rPr>
          <w:b w:val="0"/>
          <w:bCs/>
        </w:rPr>
        <w:t>,</w:t>
      </w:r>
      <w:r w:rsidR="000B3C8E">
        <w:rPr>
          <w:b w:val="0"/>
          <w:bCs/>
        </w:rPr>
        <w:t xml:space="preserve"> </w:t>
      </w:r>
      <w:r w:rsidR="00C518D5">
        <w:rPr>
          <w:b w:val="0"/>
          <w:bCs/>
        </w:rPr>
        <w:t xml:space="preserve">51 </w:t>
      </w:r>
      <w:r w:rsidRPr="00C518D5" w:rsidR="00C518D5">
        <w:rPr>
          <w:b w:val="0"/>
          <w:bCs/>
        </w:rPr>
        <w:t xml:space="preserve">Cal.App.5th </w:t>
      </w:r>
      <w:r w:rsidR="00C518D5">
        <w:rPr>
          <w:b w:val="0"/>
          <w:bCs/>
        </w:rPr>
        <w:t>at pp. 109</w:t>
      </w:r>
      <w:r w:rsidR="00632084">
        <w:rPr>
          <w:b w:val="0"/>
          <w:bCs/>
        </w:rPr>
        <w:t>–</w:t>
      </w:r>
      <w:r w:rsidR="00C518D5">
        <w:rPr>
          <w:b w:val="0"/>
          <w:bCs/>
        </w:rPr>
        <w:t>110 [screening party guests is highly burdensome measure].)</w:t>
      </w:r>
    </w:p>
    <w:p w:rsidR="00F119D4" w:rsidP="009B2934" w14:paraId="6770B75B" w14:textId="3D9C74D1">
      <w:pPr>
        <w:pStyle w:val="Heading21"/>
        <w:spacing w:before="0" w:after="0"/>
        <w:ind w:left="0" w:firstLine="720"/>
        <w:rPr>
          <w:b w:val="0"/>
          <w:bCs/>
        </w:rPr>
      </w:pPr>
      <w:r>
        <w:rPr>
          <w:b w:val="0"/>
          <w:bCs/>
        </w:rPr>
        <w:t>Even assuming there w</w:t>
      </w:r>
      <w:r w:rsidR="007A41F5">
        <w:rPr>
          <w:b w:val="0"/>
          <w:bCs/>
        </w:rPr>
        <w:t>ould be</w:t>
      </w:r>
      <w:r>
        <w:rPr>
          <w:b w:val="0"/>
          <w:bCs/>
        </w:rPr>
        <w:t xml:space="preserve"> no </w:t>
      </w:r>
      <w:r w:rsidR="00C8655D">
        <w:rPr>
          <w:b w:val="0"/>
          <w:bCs/>
        </w:rPr>
        <w:t>significant financial or logistical burdens</w:t>
      </w:r>
      <w:r w:rsidR="002000B6">
        <w:rPr>
          <w:b w:val="0"/>
          <w:bCs/>
        </w:rPr>
        <w:t xml:space="preserve"> associated with conducting a criminal background check on every rideshare passenger</w:t>
      </w:r>
      <w:r w:rsidR="009B2934">
        <w:rPr>
          <w:b w:val="0"/>
          <w:bCs/>
        </w:rPr>
        <w:t>, t</w:t>
      </w:r>
      <w:r w:rsidRPr="00266F82" w:rsidR="009B2934">
        <w:rPr>
          <w:b w:val="0"/>
          <w:bCs/>
        </w:rPr>
        <w:t xml:space="preserve">here are significant negative </w:t>
      </w:r>
      <w:r>
        <w:rPr>
          <w:b w:val="0"/>
          <w:bCs/>
        </w:rPr>
        <w:t>social costs to</w:t>
      </w:r>
      <w:r w:rsidRPr="00266F82" w:rsidR="009B2934">
        <w:rPr>
          <w:b w:val="0"/>
          <w:bCs/>
        </w:rPr>
        <w:t xml:space="preserve"> </w:t>
      </w:r>
      <w:r w:rsidR="009B2934">
        <w:rPr>
          <w:b w:val="0"/>
          <w:bCs/>
        </w:rPr>
        <w:t>creating an obligation to obtain criminal histories of potential patrons to exclude them from participating in a widely available service.  In 2017, the Legislature explained</w:t>
      </w:r>
      <w:r w:rsidR="00437FDA">
        <w:rPr>
          <w:b w:val="0"/>
          <w:bCs/>
        </w:rPr>
        <w:t xml:space="preserve"> that</w:t>
      </w:r>
      <w:r w:rsidR="009B2934">
        <w:rPr>
          <w:b w:val="0"/>
          <w:bCs/>
        </w:rPr>
        <w:t xml:space="preserve"> “[r]oughly seven million Californians, or nearly one in three adults, have an arrest or conviction record .</w:t>
      </w:r>
      <w:r w:rsidR="00632084">
        <w:rPr>
          <w:b w:val="0"/>
          <w:bCs/>
        </w:rPr>
        <w:t> </w:t>
      </w:r>
      <w:r w:rsidR="009B2934">
        <w:rPr>
          <w:b w:val="0"/>
          <w:bCs/>
        </w:rPr>
        <w:t xml:space="preserve">. . .”  </w:t>
      </w:r>
      <w:r w:rsidRPr="00300146" w:rsidR="009B2934">
        <w:rPr>
          <w:b w:val="0"/>
          <w:bCs/>
        </w:rPr>
        <w:t>(</w:t>
      </w:r>
      <w:r w:rsidRPr="00C149B3" w:rsidR="009B2934">
        <w:rPr>
          <w:b w:val="0"/>
          <w:bCs/>
        </w:rPr>
        <w:t xml:space="preserve">Assem. Bill </w:t>
      </w:r>
      <w:r w:rsidR="0007733A">
        <w:rPr>
          <w:b w:val="0"/>
          <w:bCs/>
        </w:rPr>
        <w:t xml:space="preserve">No. </w:t>
      </w:r>
      <w:r w:rsidRPr="00C149B3" w:rsidR="009B2934">
        <w:rPr>
          <w:b w:val="0"/>
          <w:bCs/>
        </w:rPr>
        <w:t>1008 (2017</w:t>
      </w:r>
      <w:r w:rsidR="00D43D75">
        <w:rPr>
          <w:b w:val="0"/>
          <w:bCs/>
        </w:rPr>
        <w:t>–</w:t>
      </w:r>
      <w:r w:rsidRPr="00C149B3" w:rsidR="009B2934">
        <w:rPr>
          <w:b w:val="0"/>
          <w:bCs/>
        </w:rPr>
        <w:t xml:space="preserve">2018 Reg. Sess.) § 1, </w:t>
      </w:r>
      <w:r w:rsidR="009B2934">
        <w:rPr>
          <w:b w:val="0"/>
          <w:bCs/>
        </w:rPr>
        <w:t>subd.</w:t>
      </w:r>
      <w:r w:rsidR="00D43D75">
        <w:rPr>
          <w:b w:val="0"/>
          <w:bCs/>
        </w:rPr>
        <w:t> </w:t>
      </w:r>
      <w:r w:rsidR="009B2934">
        <w:rPr>
          <w:b w:val="0"/>
          <w:bCs/>
        </w:rPr>
        <w:t>(f).</w:t>
      </w:r>
      <w:r w:rsidRPr="00300146" w:rsidR="009B2934">
        <w:rPr>
          <w:b w:val="0"/>
          <w:bCs/>
        </w:rPr>
        <w:t>)</w:t>
      </w:r>
      <w:r w:rsidR="009B2934">
        <w:rPr>
          <w:b w:val="0"/>
          <w:bCs/>
        </w:rPr>
        <w:t xml:space="preserve">  </w:t>
      </w:r>
      <w:r w:rsidR="00935680">
        <w:rPr>
          <w:b w:val="0"/>
          <w:bCs/>
        </w:rPr>
        <w:t>And i</w:t>
      </w:r>
      <w:r w:rsidR="009B2934">
        <w:rPr>
          <w:b w:val="0"/>
          <w:bCs/>
        </w:rPr>
        <w:t xml:space="preserve">n areas such as employment and housing, national, state, and local governments have taken steps to </w:t>
      </w:r>
      <w:r w:rsidRPr="00862F1E" w:rsidR="009B2934">
        <w:rPr>
          <w:b w:val="0"/>
          <w:bCs/>
          <w:i/>
          <w:iCs/>
        </w:rPr>
        <w:t>limit</w:t>
      </w:r>
      <w:r w:rsidR="009B2934">
        <w:rPr>
          <w:b w:val="0"/>
          <w:bCs/>
        </w:rPr>
        <w:t xml:space="preserve"> </w:t>
      </w:r>
      <w:r>
        <w:rPr>
          <w:b w:val="0"/>
          <w:bCs/>
        </w:rPr>
        <w:t xml:space="preserve">the </w:t>
      </w:r>
      <w:r w:rsidR="009B2934">
        <w:rPr>
          <w:b w:val="0"/>
          <w:bCs/>
        </w:rPr>
        <w:t xml:space="preserve">use of criminal </w:t>
      </w:r>
      <w:r w:rsidR="00113BE9">
        <w:rPr>
          <w:b w:val="0"/>
          <w:bCs/>
        </w:rPr>
        <w:t>history</w:t>
      </w:r>
      <w:r w:rsidR="009B2934">
        <w:rPr>
          <w:b w:val="0"/>
          <w:bCs/>
        </w:rPr>
        <w:t xml:space="preserve"> as a basis to </w:t>
      </w:r>
      <w:r w:rsidR="00C521E1">
        <w:rPr>
          <w:b w:val="0"/>
          <w:bCs/>
        </w:rPr>
        <w:t>exclude</w:t>
      </w:r>
      <w:r w:rsidR="009B2934">
        <w:rPr>
          <w:b w:val="0"/>
          <w:bCs/>
        </w:rPr>
        <w:t xml:space="preserve"> individuals.</w:t>
      </w:r>
    </w:p>
    <w:p w:rsidR="00773F10" w:rsidP="009B2934" w14:paraId="523FE104" w14:textId="47895C7F">
      <w:pPr>
        <w:pStyle w:val="Heading21"/>
        <w:spacing w:before="0" w:after="0"/>
        <w:ind w:left="0" w:firstLine="720"/>
        <w:rPr>
          <w:b w:val="0"/>
          <w:bCs/>
        </w:rPr>
      </w:pPr>
      <w:r>
        <w:rPr>
          <w:b w:val="0"/>
          <w:bCs/>
        </w:rPr>
        <w:t>Our state</w:t>
      </w:r>
      <w:r w:rsidR="009B2934">
        <w:rPr>
          <w:b w:val="0"/>
          <w:bCs/>
        </w:rPr>
        <w:t xml:space="preserve"> Legislature, for example, has joined federal agencies and numerous states, counties, and cities, in enacting legislation or regulations </w:t>
      </w:r>
      <w:r w:rsidR="00862F1E">
        <w:rPr>
          <w:b w:val="0"/>
          <w:bCs/>
        </w:rPr>
        <w:t>restricting</w:t>
      </w:r>
      <w:r w:rsidR="009B2934">
        <w:rPr>
          <w:b w:val="0"/>
          <w:bCs/>
        </w:rPr>
        <w:t xml:space="preserve"> the use of criminal histories in employment decisions.  </w:t>
      </w:r>
      <w:r w:rsidRPr="00300146" w:rsidR="009B2934">
        <w:rPr>
          <w:b w:val="0"/>
          <w:bCs/>
        </w:rPr>
        <w:t>(</w:t>
      </w:r>
      <w:r w:rsidRPr="00C149B3" w:rsidR="009B2934">
        <w:rPr>
          <w:b w:val="0"/>
          <w:bCs/>
        </w:rPr>
        <w:t xml:space="preserve">Assem. Bill </w:t>
      </w:r>
      <w:r w:rsidR="0007733A">
        <w:rPr>
          <w:b w:val="0"/>
          <w:bCs/>
        </w:rPr>
        <w:t xml:space="preserve">No. </w:t>
      </w:r>
      <w:r w:rsidRPr="00C149B3" w:rsidR="009B2934">
        <w:rPr>
          <w:b w:val="0"/>
          <w:bCs/>
        </w:rPr>
        <w:t>1008 (2017</w:t>
      </w:r>
      <w:r w:rsidR="00D43D75">
        <w:rPr>
          <w:b w:val="0"/>
          <w:bCs/>
        </w:rPr>
        <w:t>–</w:t>
      </w:r>
      <w:r w:rsidRPr="00C149B3" w:rsidR="009B2934">
        <w:rPr>
          <w:b w:val="0"/>
          <w:bCs/>
        </w:rPr>
        <w:t xml:space="preserve">2018 Reg. Sess.) § 1, </w:t>
      </w:r>
      <w:r w:rsidR="009B2934">
        <w:rPr>
          <w:b w:val="0"/>
          <w:bCs/>
        </w:rPr>
        <w:t>subds. (a)</w:t>
      </w:r>
      <w:r w:rsidRPr="00887C0A" w:rsidR="00887C0A">
        <w:rPr>
          <w:b w:val="0"/>
          <w:bCs/>
        </w:rPr>
        <w:t>–</w:t>
      </w:r>
      <w:r w:rsidRPr="00887C0A" w:rsidR="009B2934">
        <w:rPr>
          <w:b w:val="0"/>
          <w:bCs/>
        </w:rPr>
        <w:t>(</w:t>
      </w:r>
      <w:r w:rsidR="009B2934">
        <w:rPr>
          <w:b w:val="0"/>
          <w:bCs/>
        </w:rPr>
        <w:t>c)</w:t>
      </w:r>
      <w:r w:rsidR="00862F1E">
        <w:rPr>
          <w:b w:val="0"/>
          <w:bCs/>
        </w:rPr>
        <w:t xml:space="preserve">.)  Under </w:t>
      </w:r>
      <w:r w:rsidR="009B2934">
        <w:rPr>
          <w:b w:val="0"/>
          <w:bCs/>
        </w:rPr>
        <w:t>Gov</w:t>
      </w:r>
      <w:r w:rsidR="006E0ADC">
        <w:rPr>
          <w:b w:val="0"/>
          <w:bCs/>
        </w:rPr>
        <w:t xml:space="preserve">ernment </w:t>
      </w:r>
      <w:r w:rsidR="009B2934">
        <w:rPr>
          <w:b w:val="0"/>
          <w:bCs/>
        </w:rPr>
        <w:t xml:space="preserve">Code </w:t>
      </w:r>
      <w:r w:rsidR="006E0ADC">
        <w:rPr>
          <w:b w:val="0"/>
          <w:bCs/>
        </w:rPr>
        <w:t>section</w:t>
      </w:r>
      <w:r w:rsidR="00820DB0">
        <w:rPr>
          <w:b w:val="0"/>
          <w:bCs/>
        </w:rPr>
        <w:t> </w:t>
      </w:r>
      <w:r w:rsidR="009B2934">
        <w:rPr>
          <w:b w:val="0"/>
          <w:bCs/>
        </w:rPr>
        <w:t>12952</w:t>
      </w:r>
      <w:r w:rsidR="00862F1E">
        <w:rPr>
          <w:b w:val="0"/>
          <w:bCs/>
        </w:rPr>
        <w:t xml:space="preserve">, the Fair Chance Act, </w:t>
      </w:r>
      <w:r w:rsidR="0036275B">
        <w:rPr>
          <w:b w:val="0"/>
          <w:bCs/>
        </w:rPr>
        <w:t>employers generally may not ask about a job candidate’s criminal history before making a conditional job offer.</w:t>
      </w:r>
      <w:r w:rsidR="00945700">
        <w:rPr>
          <w:b w:val="0"/>
          <w:bCs/>
        </w:rPr>
        <w:t xml:space="preserve">  (Gov. Code, </w:t>
      </w:r>
      <w:r w:rsidRPr="00945700" w:rsidR="00945700">
        <w:rPr>
          <w:b w:val="0"/>
          <w:bCs/>
        </w:rPr>
        <w:t xml:space="preserve">§ </w:t>
      </w:r>
      <w:r w:rsidR="00945700">
        <w:rPr>
          <w:b w:val="0"/>
          <w:bCs/>
        </w:rPr>
        <w:t>12952, subd. (a)(1),(2).)</w:t>
      </w:r>
      <w:r w:rsidR="0036275B">
        <w:rPr>
          <w:b w:val="0"/>
          <w:bCs/>
        </w:rPr>
        <w:t xml:space="preserve">  </w:t>
      </w:r>
      <w:r w:rsidR="00FD14E9">
        <w:rPr>
          <w:b w:val="0"/>
          <w:bCs/>
        </w:rPr>
        <w:t>Further, t</w:t>
      </w:r>
      <w:r w:rsidR="0036275B">
        <w:rPr>
          <w:b w:val="0"/>
          <w:bCs/>
        </w:rPr>
        <w:t>o reject an app</w:t>
      </w:r>
      <w:r w:rsidR="00A1538B">
        <w:rPr>
          <w:b w:val="0"/>
          <w:bCs/>
        </w:rPr>
        <w:t xml:space="preserve">licant based on criminal background, the employer must “make an individualized assessment of whether the applicant’s conviction history has a direct and adverse relationship with the specific duties of the job that justify denying the applicant the position.”  (Gov. Code, </w:t>
      </w:r>
      <w:r w:rsidRPr="00A1538B" w:rsidR="00A1538B">
        <w:rPr>
          <w:b w:val="0"/>
          <w:bCs/>
        </w:rPr>
        <w:t xml:space="preserve">§ </w:t>
      </w:r>
      <w:r w:rsidR="00A1538B">
        <w:rPr>
          <w:b w:val="0"/>
          <w:bCs/>
        </w:rPr>
        <w:t>12952, subd.</w:t>
      </w:r>
      <w:r w:rsidR="00632084">
        <w:rPr>
          <w:b w:val="0"/>
          <w:bCs/>
        </w:rPr>
        <w:t> </w:t>
      </w:r>
      <w:r w:rsidR="00A1538B">
        <w:rPr>
          <w:b w:val="0"/>
          <w:bCs/>
        </w:rPr>
        <w:t>(c)(1)(A).)</w:t>
      </w:r>
    </w:p>
    <w:p w:rsidR="009B2934" w:rsidP="009B2934" w14:paraId="39C6E8F9" w14:textId="7D18AFC2">
      <w:pPr>
        <w:pStyle w:val="Heading21"/>
        <w:spacing w:before="0" w:after="0"/>
        <w:ind w:left="0" w:firstLine="720"/>
        <w:rPr>
          <w:rFonts w:eastAsia="Times New Roman"/>
          <w:b w:val="0"/>
          <w:bCs/>
        </w:rPr>
      </w:pPr>
      <w:r>
        <w:rPr>
          <w:rFonts w:eastAsia="Times New Roman"/>
          <w:b w:val="0"/>
          <w:bCs/>
        </w:rPr>
        <w:t xml:space="preserve">Similarly, cities across the country have enacted ordinances curtailing or imposing restrictions on </w:t>
      </w:r>
      <w:r w:rsidR="00AF28A8">
        <w:rPr>
          <w:rFonts w:eastAsia="Times New Roman"/>
          <w:b w:val="0"/>
          <w:bCs/>
        </w:rPr>
        <w:t xml:space="preserve">a landlord’s ability to </w:t>
      </w:r>
      <w:r>
        <w:rPr>
          <w:rFonts w:eastAsia="Times New Roman"/>
          <w:b w:val="0"/>
          <w:bCs/>
        </w:rPr>
        <w:t>ask</w:t>
      </w:r>
      <w:r w:rsidR="00AF28A8">
        <w:rPr>
          <w:rFonts w:eastAsia="Times New Roman"/>
          <w:b w:val="0"/>
          <w:bCs/>
        </w:rPr>
        <w:t xml:space="preserve"> </w:t>
      </w:r>
      <w:r>
        <w:rPr>
          <w:rFonts w:eastAsia="Times New Roman"/>
          <w:b w:val="0"/>
          <w:bCs/>
        </w:rPr>
        <w:t xml:space="preserve">housing applicants about their criminal histories or </w:t>
      </w:r>
      <w:r w:rsidR="00AF6DA9">
        <w:rPr>
          <w:rFonts w:eastAsia="Times New Roman"/>
          <w:b w:val="0"/>
          <w:bCs/>
        </w:rPr>
        <w:t xml:space="preserve">to </w:t>
      </w:r>
      <w:r>
        <w:rPr>
          <w:rFonts w:eastAsia="Times New Roman"/>
          <w:b w:val="0"/>
          <w:bCs/>
        </w:rPr>
        <w:t>us</w:t>
      </w:r>
      <w:r w:rsidR="00AF6DA9">
        <w:rPr>
          <w:rFonts w:eastAsia="Times New Roman"/>
          <w:b w:val="0"/>
          <w:bCs/>
        </w:rPr>
        <w:t>e</w:t>
      </w:r>
      <w:r>
        <w:rPr>
          <w:rFonts w:eastAsia="Times New Roman"/>
          <w:b w:val="0"/>
          <w:bCs/>
        </w:rPr>
        <w:t xml:space="preserve"> criminal history as a basis to deny a housing application.  </w:t>
      </w:r>
      <w:r w:rsidR="00773F10">
        <w:rPr>
          <w:rFonts w:eastAsia="Times New Roman"/>
          <w:b w:val="0"/>
          <w:bCs/>
        </w:rPr>
        <w:t xml:space="preserve">As in the area of employment, many of these ordinances require an individualized assessment before a landlord may deny housing based on the applicant’s criminal history.  </w:t>
      </w:r>
      <w:r>
        <w:rPr>
          <w:rFonts w:eastAsia="Times New Roman"/>
          <w:b w:val="0"/>
          <w:bCs/>
        </w:rPr>
        <w:t xml:space="preserve">(See </w:t>
      </w:r>
      <w:r>
        <w:rPr>
          <w:rFonts w:eastAsia="Times New Roman"/>
          <w:b w:val="0"/>
          <w:bCs/>
          <w:i/>
          <w:iCs/>
        </w:rPr>
        <w:t>Yim v. City of Seattle</w:t>
      </w:r>
      <w:r>
        <w:rPr>
          <w:rFonts w:eastAsia="Times New Roman"/>
          <w:b w:val="0"/>
          <w:bCs/>
        </w:rPr>
        <w:t xml:space="preserve"> (9th Cir. 2023) 63 F.4th 783, 790, 79</w:t>
      </w:r>
      <w:r w:rsidR="006716BC">
        <w:rPr>
          <w:rFonts w:eastAsia="Times New Roman"/>
          <w:b w:val="0"/>
          <w:bCs/>
        </w:rPr>
        <w:t>7</w:t>
      </w:r>
      <w:r w:rsidR="00053ECC">
        <w:rPr>
          <w:rFonts w:eastAsia="Times New Roman"/>
          <w:b w:val="0"/>
          <w:bCs/>
        </w:rPr>
        <w:t xml:space="preserve"> </w:t>
      </w:r>
      <w:r w:rsidR="00AF6DA9">
        <w:rPr>
          <w:rFonts w:eastAsia="Times New Roman"/>
          <w:b w:val="0"/>
          <w:bCs/>
        </w:rPr>
        <w:t>(</w:t>
      </w:r>
      <w:r w:rsidR="00AF6DA9">
        <w:rPr>
          <w:rFonts w:eastAsia="Times New Roman"/>
          <w:b w:val="0"/>
          <w:bCs/>
          <w:i/>
          <w:iCs/>
        </w:rPr>
        <w:t>Yim</w:t>
      </w:r>
      <w:r w:rsidR="00AF6DA9">
        <w:rPr>
          <w:rFonts w:eastAsia="Times New Roman"/>
          <w:b w:val="0"/>
          <w:bCs/>
        </w:rPr>
        <w:t xml:space="preserve">) </w:t>
      </w:r>
      <w:r w:rsidR="00053ECC">
        <w:rPr>
          <w:rFonts w:eastAsia="Times New Roman"/>
          <w:b w:val="0"/>
          <w:bCs/>
        </w:rPr>
        <w:t>[</w:t>
      </w:r>
      <w:r w:rsidR="00532BC0">
        <w:rPr>
          <w:rFonts w:eastAsia="Times New Roman"/>
          <w:b w:val="0"/>
          <w:bCs/>
        </w:rPr>
        <w:t xml:space="preserve">referencing such ordinances in </w:t>
      </w:r>
      <w:r w:rsidR="00775C30">
        <w:rPr>
          <w:rFonts w:eastAsia="Times New Roman"/>
          <w:b w:val="0"/>
          <w:bCs/>
        </w:rPr>
        <w:t>Berkel</w:t>
      </w:r>
      <w:r w:rsidR="004718C8">
        <w:rPr>
          <w:rFonts w:eastAsia="Times New Roman"/>
          <w:b w:val="0"/>
          <w:bCs/>
        </w:rPr>
        <w:t>e</w:t>
      </w:r>
      <w:r w:rsidR="00775C30">
        <w:rPr>
          <w:rFonts w:eastAsia="Times New Roman"/>
          <w:b w:val="0"/>
          <w:bCs/>
        </w:rPr>
        <w:t>y,</w:t>
      </w:r>
      <w:r w:rsidR="00A9192D">
        <w:rPr>
          <w:rFonts w:eastAsia="Times New Roman"/>
          <w:b w:val="0"/>
          <w:bCs/>
        </w:rPr>
        <w:t xml:space="preserve"> Oakland, </w:t>
      </w:r>
      <w:r w:rsidR="00AF28A8">
        <w:rPr>
          <w:rFonts w:eastAsia="Times New Roman"/>
          <w:b w:val="0"/>
          <w:bCs/>
        </w:rPr>
        <w:t xml:space="preserve">San Francisco, </w:t>
      </w:r>
      <w:r w:rsidR="00A9192D">
        <w:rPr>
          <w:rFonts w:eastAsia="Times New Roman"/>
          <w:b w:val="0"/>
          <w:bCs/>
        </w:rPr>
        <w:t>Ann Arbor,</w:t>
      </w:r>
      <w:r w:rsidR="00775C30">
        <w:rPr>
          <w:rFonts w:eastAsia="Times New Roman"/>
          <w:b w:val="0"/>
          <w:bCs/>
        </w:rPr>
        <w:t xml:space="preserve"> </w:t>
      </w:r>
      <w:r w:rsidR="00FA342A">
        <w:rPr>
          <w:rFonts w:eastAsia="Times New Roman"/>
          <w:b w:val="0"/>
          <w:bCs/>
        </w:rPr>
        <w:t>Seattle, Detroit, Portland, Minneapolis, Cook County, Washington</w:t>
      </w:r>
      <w:r w:rsidR="0007733A">
        <w:rPr>
          <w:rFonts w:eastAsia="Times New Roman"/>
          <w:b w:val="0"/>
          <w:bCs/>
        </w:rPr>
        <w:t>,</w:t>
      </w:r>
      <w:r w:rsidR="00FA342A">
        <w:rPr>
          <w:rFonts w:eastAsia="Times New Roman"/>
          <w:b w:val="0"/>
          <w:bCs/>
        </w:rPr>
        <w:t xml:space="preserve"> D.C., and New Jersey]</w:t>
      </w:r>
      <w:r>
        <w:rPr>
          <w:rFonts w:eastAsia="Times New Roman"/>
          <w:b w:val="0"/>
          <w:bCs/>
        </w:rPr>
        <w:t>.)</w:t>
      </w:r>
    </w:p>
    <w:p w:rsidR="00BC022E" w:rsidP="009B2934" w14:paraId="36A8B17F" w14:textId="4F866CB8">
      <w:pPr>
        <w:pStyle w:val="Heading21"/>
        <w:spacing w:before="0" w:after="0"/>
        <w:ind w:left="0" w:firstLine="720"/>
        <w:rPr>
          <w:b w:val="0"/>
          <w:bCs/>
        </w:rPr>
      </w:pPr>
      <w:r>
        <w:rPr>
          <w:rFonts w:eastAsia="Times New Roman"/>
          <w:b w:val="0"/>
          <w:bCs/>
        </w:rPr>
        <w:t>Further, a</w:t>
      </w:r>
      <w:r w:rsidR="009B2934">
        <w:rPr>
          <w:rFonts w:eastAsia="Times New Roman"/>
          <w:b w:val="0"/>
          <w:bCs/>
        </w:rPr>
        <w:t>s the Ninth Circuit Court of Appeals explained in evaluating one such</w:t>
      </w:r>
      <w:r>
        <w:rPr>
          <w:rFonts w:eastAsia="Times New Roman"/>
          <w:b w:val="0"/>
          <w:bCs/>
        </w:rPr>
        <w:t xml:space="preserve"> housing</w:t>
      </w:r>
      <w:r w:rsidR="009B2934">
        <w:rPr>
          <w:rFonts w:eastAsia="Times New Roman"/>
          <w:b w:val="0"/>
          <w:bCs/>
        </w:rPr>
        <w:t xml:space="preserve"> ordinance in Seattle, “</w:t>
      </w:r>
      <w:r w:rsidR="002D5E7E">
        <w:rPr>
          <w:rFonts w:eastAsia="Times New Roman"/>
          <w:b w:val="0"/>
          <w:bCs/>
        </w:rPr>
        <w:t>I</w:t>
      </w:r>
      <w:r w:rsidR="009B2934">
        <w:rPr>
          <w:rFonts w:eastAsia="Times New Roman"/>
          <w:b w:val="0"/>
          <w:bCs/>
        </w:rPr>
        <w:t xml:space="preserve">n the United States, people of color are significantly more likely to have a criminal history than their white counterparts.  Discriminatory law enforcement practices have resulted in people of color being ‘arrested, convicted and incarcerated at rates [that are] disproportionate to their share of the general population.’ </w:t>
      </w:r>
      <w:r w:rsidR="009136DE">
        <w:rPr>
          <w:rFonts w:eastAsia="Times New Roman"/>
          <w:b w:val="0"/>
          <w:bCs/>
        </w:rPr>
        <w:t xml:space="preserve"> </w:t>
      </w:r>
      <w:r w:rsidR="00F07178">
        <w:rPr>
          <w:rFonts w:eastAsia="Times New Roman"/>
          <w:b w:val="0"/>
          <w:bCs/>
        </w:rPr>
        <w:t>[</w:t>
      </w:r>
      <w:r w:rsidR="00FC7D32">
        <w:rPr>
          <w:rFonts w:eastAsia="Times New Roman"/>
          <w:b w:val="0"/>
          <w:bCs/>
        </w:rPr>
        <w:t>F</w:t>
      </w:r>
      <w:r w:rsidR="00F07178">
        <w:rPr>
          <w:rFonts w:eastAsia="Times New Roman"/>
          <w:b w:val="0"/>
          <w:bCs/>
        </w:rPr>
        <w:t>n.</w:t>
      </w:r>
      <w:r w:rsidR="00FC7D32">
        <w:rPr>
          <w:rFonts w:eastAsia="Times New Roman"/>
          <w:b w:val="0"/>
          <w:bCs/>
        </w:rPr>
        <w:t xml:space="preserve"> omitted.</w:t>
      </w:r>
      <w:r w:rsidR="00F07178">
        <w:rPr>
          <w:rFonts w:eastAsia="Times New Roman"/>
          <w:b w:val="0"/>
          <w:bCs/>
        </w:rPr>
        <w:t>]</w:t>
      </w:r>
      <w:r w:rsidR="00FC7D32">
        <w:rPr>
          <w:rFonts w:eastAsia="Times New Roman"/>
          <w:b w:val="0"/>
          <w:bCs/>
        </w:rPr>
        <w:t xml:space="preserve">  </w:t>
      </w:r>
      <w:r w:rsidR="009136DE">
        <w:rPr>
          <w:rFonts w:eastAsia="Times New Roman"/>
          <w:b w:val="0"/>
          <w:bCs/>
        </w:rPr>
        <w:t xml:space="preserve">[¶] </w:t>
      </w:r>
      <w:r w:rsidR="009B2934">
        <w:rPr>
          <w:rFonts w:eastAsia="Times New Roman"/>
          <w:b w:val="0"/>
          <w:bCs/>
        </w:rPr>
        <w:t xml:space="preserve">. </w:t>
      </w:r>
      <w:r w:rsidRPr="003A485E" w:rsidR="009B2934">
        <w:rPr>
          <w:rFonts w:eastAsia="Times New Roman"/>
          <w:b w:val="0"/>
          <w:bCs/>
        </w:rPr>
        <w:t>. .</w:t>
      </w:r>
      <w:r w:rsidR="009B2934">
        <w:rPr>
          <w:rFonts w:eastAsia="Times New Roman"/>
          <w:b w:val="0"/>
          <w:bCs/>
        </w:rPr>
        <w:t xml:space="preserve"> </w:t>
      </w:r>
      <w:r w:rsidR="0007120A">
        <w:rPr>
          <w:rFonts w:eastAsia="Times New Roman"/>
          <w:b w:val="0"/>
          <w:bCs/>
        </w:rPr>
        <w:t xml:space="preserve">[¶]  </w:t>
      </w:r>
      <w:r w:rsidR="009B2934">
        <w:rPr>
          <w:rFonts w:eastAsia="Times New Roman"/>
          <w:b w:val="0"/>
          <w:bCs/>
        </w:rPr>
        <w:t xml:space="preserve">The </w:t>
      </w:r>
      <w:r w:rsidRPr="00B36A59" w:rsidR="009B2934">
        <w:rPr>
          <w:b w:val="0"/>
          <w:bCs/>
        </w:rPr>
        <w:t>correlation between race and criminal history can result in both unintentional and intentional discrimination</w:t>
      </w:r>
      <w:r w:rsidR="009B2934">
        <w:rPr>
          <w:b w:val="0"/>
          <w:bCs/>
        </w:rPr>
        <w:t xml:space="preserve"> on the part of landlords who take account of criminal history.</w:t>
      </w:r>
      <w:r w:rsidRPr="00B36A59" w:rsidR="009B2934">
        <w:rPr>
          <w:b w:val="0"/>
          <w:bCs/>
        </w:rPr>
        <w:t xml:space="preserve">  A landlord with a policy of not renting to tenants with a criminal history might not bear any racial animus, but the policy could nevertheless disproportionately exclude people of color.</w:t>
      </w:r>
      <w:r w:rsidR="009B2934">
        <w:rPr>
          <w:b w:val="0"/>
          <w:bCs/>
        </w:rPr>
        <w:t xml:space="preserve">  On the flip side, a landlord who does not wish to rent to non-white tenants could mask discriminatory intent with a ‘policy’ of declining to rent to tenants with a criminal history.</w:t>
      </w:r>
      <w:r w:rsidRPr="00B36A59" w:rsidR="009B2934">
        <w:rPr>
          <w:b w:val="0"/>
          <w:bCs/>
        </w:rPr>
        <w:t>”</w:t>
      </w:r>
      <w:r w:rsidR="009B2934">
        <w:rPr>
          <w:b w:val="0"/>
          <w:bCs/>
        </w:rPr>
        <w:t xml:space="preserve">  (</w:t>
      </w:r>
      <w:r w:rsidR="009B2934">
        <w:rPr>
          <w:b w:val="0"/>
          <w:bCs/>
          <w:i/>
          <w:iCs/>
        </w:rPr>
        <w:t>Yim</w:t>
      </w:r>
      <w:r w:rsidRPr="00E875AE" w:rsidR="009B2934">
        <w:rPr>
          <w:b w:val="0"/>
          <w:bCs/>
        </w:rPr>
        <w:t>,</w:t>
      </w:r>
      <w:r w:rsidR="009B2934">
        <w:rPr>
          <w:b w:val="0"/>
          <w:bCs/>
          <w:i/>
          <w:iCs/>
        </w:rPr>
        <w:t xml:space="preserve"> supra</w:t>
      </w:r>
      <w:r w:rsidRPr="00E875AE" w:rsidR="009B2934">
        <w:rPr>
          <w:b w:val="0"/>
          <w:bCs/>
        </w:rPr>
        <w:t>,</w:t>
      </w:r>
      <w:r w:rsidR="009B2934">
        <w:rPr>
          <w:b w:val="0"/>
          <w:bCs/>
        </w:rPr>
        <w:t xml:space="preserve"> 63 F.4th at pp.</w:t>
      </w:r>
      <w:r w:rsidR="00E875AE">
        <w:rPr>
          <w:b w:val="0"/>
          <w:bCs/>
        </w:rPr>
        <w:t> </w:t>
      </w:r>
      <w:r w:rsidR="009B2934">
        <w:rPr>
          <w:b w:val="0"/>
          <w:bCs/>
        </w:rPr>
        <w:t>788</w:t>
      </w:r>
      <w:r w:rsidR="00632084">
        <w:rPr>
          <w:b w:val="0"/>
          <w:bCs/>
        </w:rPr>
        <w:t>–</w:t>
      </w:r>
      <w:r w:rsidR="009B2934">
        <w:rPr>
          <w:b w:val="0"/>
          <w:bCs/>
        </w:rPr>
        <w:t xml:space="preserve">789; see </w:t>
      </w:r>
      <w:bookmarkStart w:id="2" w:name="_Hlk166238264"/>
      <w:r w:rsidRPr="009A0DE9" w:rsidR="009B2934">
        <w:rPr>
          <w:b w:val="0"/>
          <w:bCs/>
          <w:i/>
          <w:iCs/>
        </w:rPr>
        <w:t>Mandala v. NTT Data, Inc.</w:t>
      </w:r>
      <w:r w:rsidRPr="009A0DE9" w:rsidR="009B2934">
        <w:rPr>
          <w:b w:val="0"/>
          <w:bCs/>
        </w:rPr>
        <w:t xml:space="preserve"> (2d Cir. 2020) 975 F.3d 202</w:t>
      </w:r>
      <w:bookmarkEnd w:id="2"/>
      <w:r w:rsidRPr="009A0DE9" w:rsidR="009B2934">
        <w:rPr>
          <w:b w:val="0"/>
          <w:bCs/>
        </w:rPr>
        <w:t xml:space="preserve">, 220 </w:t>
      </w:r>
      <w:r w:rsidR="001762DC">
        <w:rPr>
          <w:b w:val="0"/>
          <w:bCs/>
        </w:rPr>
        <w:t>(</w:t>
      </w:r>
      <w:r w:rsidR="001762DC">
        <w:rPr>
          <w:b w:val="0"/>
          <w:bCs/>
          <w:i/>
          <w:iCs/>
        </w:rPr>
        <w:t>Mandala</w:t>
      </w:r>
      <w:r w:rsidR="00340411">
        <w:rPr>
          <w:b w:val="0"/>
          <w:bCs/>
        </w:rPr>
        <w:t xml:space="preserve">) </w:t>
      </w:r>
      <w:r w:rsidRPr="009A0DE9" w:rsidR="009B2934">
        <w:rPr>
          <w:b w:val="0"/>
          <w:bCs/>
        </w:rPr>
        <w:t>(dis. opn. of Chin, J.)</w:t>
      </w:r>
      <w:r w:rsidR="009B2934">
        <w:rPr>
          <w:b w:val="0"/>
          <w:bCs/>
        </w:rPr>
        <w:t xml:space="preserve"> </w:t>
      </w:r>
      <w:r w:rsidRPr="009A0DE9" w:rsidR="009B2934">
        <w:rPr>
          <w:b w:val="0"/>
          <w:bCs/>
        </w:rPr>
        <w:t>[“</w:t>
      </w:r>
      <w:r w:rsidR="00BC6DA8">
        <w:rPr>
          <w:b w:val="0"/>
          <w:bCs/>
        </w:rPr>
        <w:t>A</w:t>
      </w:r>
      <w:r w:rsidRPr="009A0DE9" w:rsidR="009B2934">
        <w:rPr>
          <w:b w:val="0"/>
          <w:bCs/>
        </w:rPr>
        <w:t>s scholars and the EEOC have recognized, criminal history screens can have a substantial adverse disparate impact based on race”</w:t>
      </w:r>
      <w:r w:rsidR="009B2934">
        <w:rPr>
          <w:b w:val="0"/>
          <w:bCs/>
        </w:rPr>
        <w:t>].)</w:t>
      </w:r>
    </w:p>
    <w:p w:rsidR="009B2934" w:rsidRPr="00814BF7" w:rsidP="009B2934" w14:paraId="1EE474FF" w14:textId="76D17E9B">
      <w:pPr>
        <w:pStyle w:val="Heading21"/>
        <w:spacing w:before="0" w:after="0"/>
        <w:ind w:left="0" w:firstLine="720"/>
        <w:rPr>
          <w:b w:val="0"/>
          <w:bCs/>
        </w:rPr>
      </w:pPr>
      <w:r>
        <w:rPr>
          <w:b w:val="0"/>
          <w:bCs/>
        </w:rPr>
        <w:t xml:space="preserve">A duty to conduct criminal background checks on all rideshare passengers would raise similar concerns </w:t>
      </w:r>
      <w:r w:rsidR="00340411">
        <w:rPr>
          <w:b w:val="0"/>
          <w:bCs/>
        </w:rPr>
        <w:t>about overbreadth,</w:t>
      </w:r>
      <w:r>
        <w:rPr>
          <w:b w:val="0"/>
          <w:bCs/>
        </w:rPr>
        <w:t xml:space="preserve"> </w:t>
      </w:r>
      <w:r w:rsidR="00493148">
        <w:rPr>
          <w:b w:val="0"/>
          <w:bCs/>
        </w:rPr>
        <w:t xml:space="preserve">the </w:t>
      </w:r>
      <w:r>
        <w:rPr>
          <w:b w:val="0"/>
          <w:bCs/>
        </w:rPr>
        <w:t xml:space="preserve">disproportionate exclusion </w:t>
      </w:r>
      <w:r w:rsidR="00493148">
        <w:rPr>
          <w:b w:val="0"/>
          <w:bCs/>
        </w:rPr>
        <w:t xml:space="preserve">of </w:t>
      </w:r>
      <w:r w:rsidR="0000525E">
        <w:rPr>
          <w:b w:val="0"/>
          <w:bCs/>
        </w:rPr>
        <w:t xml:space="preserve">certain racial </w:t>
      </w:r>
      <w:r w:rsidR="009C627C">
        <w:rPr>
          <w:b w:val="0"/>
          <w:bCs/>
        </w:rPr>
        <w:t>groups</w:t>
      </w:r>
      <w:r>
        <w:rPr>
          <w:b w:val="0"/>
          <w:bCs/>
        </w:rPr>
        <w:t xml:space="preserve">, </w:t>
      </w:r>
      <w:r w:rsidR="00814BF7">
        <w:rPr>
          <w:b w:val="0"/>
          <w:bCs/>
        </w:rPr>
        <w:t>and</w:t>
      </w:r>
      <w:r>
        <w:rPr>
          <w:b w:val="0"/>
          <w:bCs/>
        </w:rPr>
        <w:t xml:space="preserve"> the masking of discriminatory intent.  The </w:t>
      </w:r>
      <w:r w:rsidR="009C627C">
        <w:rPr>
          <w:b w:val="0"/>
          <w:bCs/>
        </w:rPr>
        <w:t>risk of</w:t>
      </w:r>
      <w:r>
        <w:rPr>
          <w:b w:val="0"/>
          <w:bCs/>
        </w:rPr>
        <w:t xml:space="preserve"> </w:t>
      </w:r>
      <w:r w:rsidR="00B960A7">
        <w:rPr>
          <w:b w:val="0"/>
          <w:bCs/>
        </w:rPr>
        <w:t xml:space="preserve">invidious </w:t>
      </w:r>
      <w:r>
        <w:rPr>
          <w:b w:val="0"/>
          <w:bCs/>
        </w:rPr>
        <w:t xml:space="preserve">discrimination would be a particular concern if Lyft’s obligation was to exclude passengers based on an ill-defined category of having a “serious” criminal history, or if individual drivers were tasked with making their own risk assessments </w:t>
      </w:r>
      <w:r w:rsidR="009C627C">
        <w:rPr>
          <w:b w:val="0"/>
          <w:bCs/>
        </w:rPr>
        <w:t>based on minimal information about</w:t>
      </w:r>
      <w:r>
        <w:rPr>
          <w:b w:val="0"/>
          <w:bCs/>
        </w:rPr>
        <w:t xml:space="preserve"> a passenger’s criminal history.</w:t>
      </w:r>
      <w:r w:rsidR="007A41F5">
        <w:rPr>
          <w:b w:val="0"/>
          <w:bCs/>
        </w:rPr>
        <w:t xml:space="preserve">  In</w:t>
      </w:r>
      <w:r w:rsidR="003F1676">
        <w:rPr>
          <w:b w:val="0"/>
          <w:bCs/>
        </w:rPr>
        <w:t>deed, in</w:t>
      </w:r>
      <w:r w:rsidR="007A41F5">
        <w:rPr>
          <w:b w:val="0"/>
          <w:bCs/>
        </w:rPr>
        <w:t xml:space="preserve"> areas such as employment, </w:t>
      </w:r>
      <w:r w:rsidR="003C0DD7">
        <w:rPr>
          <w:b w:val="0"/>
          <w:bCs/>
        </w:rPr>
        <w:t xml:space="preserve">the racially disproportionate impact of the use of criminal background checks as a screening tool has led to </w:t>
      </w:r>
      <w:r w:rsidR="00636D87">
        <w:rPr>
          <w:b w:val="0"/>
          <w:bCs/>
        </w:rPr>
        <w:t>governmental scrutiny and litigation against some private companies</w:t>
      </w:r>
      <w:r w:rsidR="005330A3">
        <w:rPr>
          <w:b w:val="0"/>
          <w:bCs/>
        </w:rPr>
        <w:t>.  (S</w:t>
      </w:r>
      <w:r w:rsidR="00F342F7">
        <w:rPr>
          <w:b w:val="0"/>
          <w:bCs/>
        </w:rPr>
        <w:t xml:space="preserve">ee </w:t>
      </w:r>
      <w:r w:rsidR="0005636C">
        <w:rPr>
          <w:b w:val="0"/>
          <w:bCs/>
          <w:i/>
          <w:iCs/>
        </w:rPr>
        <w:t>Mandala</w:t>
      </w:r>
      <w:r w:rsidRPr="00E875AE" w:rsidR="0005636C">
        <w:rPr>
          <w:b w:val="0"/>
          <w:bCs/>
        </w:rPr>
        <w:t>,</w:t>
      </w:r>
      <w:r w:rsidR="0005636C">
        <w:rPr>
          <w:b w:val="0"/>
          <w:bCs/>
          <w:i/>
          <w:iCs/>
        </w:rPr>
        <w:t xml:space="preserve"> supra</w:t>
      </w:r>
      <w:r w:rsidRPr="00E875AE" w:rsidR="0005636C">
        <w:rPr>
          <w:b w:val="0"/>
          <w:bCs/>
        </w:rPr>
        <w:t xml:space="preserve">, </w:t>
      </w:r>
      <w:r w:rsidR="008C6044">
        <w:rPr>
          <w:b w:val="0"/>
          <w:bCs/>
        </w:rPr>
        <w:t>975 F.3d at p. 217, fn. 3 (dis. opn. of Chin, J.</w:t>
      </w:r>
      <w:r w:rsidR="00340411">
        <w:rPr>
          <w:b w:val="0"/>
          <w:bCs/>
        </w:rPr>
        <w:t>)</w:t>
      </w:r>
      <w:r w:rsidR="008C6044">
        <w:rPr>
          <w:b w:val="0"/>
          <w:bCs/>
        </w:rPr>
        <w:t xml:space="preserve"> [collecting cases </w:t>
      </w:r>
      <w:r w:rsidR="00576EE7">
        <w:rPr>
          <w:b w:val="0"/>
          <w:bCs/>
        </w:rPr>
        <w:t xml:space="preserve">in which courts denied motions to dismiss claims challenging </w:t>
      </w:r>
      <w:r w:rsidR="00AF7D03">
        <w:rPr>
          <w:b w:val="0"/>
          <w:bCs/>
        </w:rPr>
        <w:t>criminal background checks as having</w:t>
      </w:r>
      <w:r w:rsidR="001F7B6A">
        <w:rPr>
          <w:b w:val="0"/>
          <w:bCs/>
        </w:rPr>
        <w:t xml:space="preserve"> an</w:t>
      </w:r>
      <w:r w:rsidR="00AF7D03">
        <w:rPr>
          <w:b w:val="0"/>
          <w:bCs/>
        </w:rPr>
        <w:t xml:space="preserve"> </w:t>
      </w:r>
      <w:r w:rsidR="000E15F2">
        <w:rPr>
          <w:b w:val="0"/>
          <w:bCs/>
        </w:rPr>
        <w:t xml:space="preserve">unlawful </w:t>
      </w:r>
      <w:r w:rsidR="00AF7D03">
        <w:rPr>
          <w:b w:val="0"/>
          <w:bCs/>
        </w:rPr>
        <w:t>disparate impact based on race]</w:t>
      </w:r>
      <w:r w:rsidR="002207B9">
        <w:rPr>
          <w:b w:val="0"/>
          <w:bCs/>
        </w:rPr>
        <w:t>;</w:t>
      </w:r>
      <w:r w:rsidR="00255ABD">
        <w:rPr>
          <w:b w:val="0"/>
          <w:bCs/>
        </w:rPr>
        <w:t xml:space="preserve"> </w:t>
      </w:r>
      <w:r w:rsidR="000A5EFD">
        <w:rPr>
          <w:b w:val="0"/>
          <w:bCs/>
        </w:rPr>
        <w:t xml:space="preserve">see generally </w:t>
      </w:r>
      <w:r w:rsidR="000A5EFD">
        <w:rPr>
          <w:b w:val="0"/>
          <w:bCs/>
          <w:i/>
          <w:iCs/>
        </w:rPr>
        <w:t>EEOC v. Freeman</w:t>
      </w:r>
      <w:r w:rsidR="000A5EFD">
        <w:rPr>
          <w:b w:val="0"/>
          <w:bCs/>
        </w:rPr>
        <w:t xml:space="preserve"> (</w:t>
      </w:r>
      <w:r w:rsidR="00A62320">
        <w:rPr>
          <w:b w:val="0"/>
          <w:bCs/>
        </w:rPr>
        <w:t>D.Md</w:t>
      </w:r>
      <w:r w:rsidR="00FB2E72">
        <w:rPr>
          <w:b w:val="0"/>
          <w:bCs/>
        </w:rPr>
        <w:t>.</w:t>
      </w:r>
      <w:r w:rsidR="00A62320">
        <w:rPr>
          <w:b w:val="0"/>
          <w:bCs/>
        </w:rPr>
        <w:t xml:space="preserve"> </w:t>
      </w:r>
      <w:r w:rsidR="00CD47D3">
        <w:rPr>
          <w:b w:val="0"/>
          <w:bCs/>
        </w:rPr>
        <w:t>2013</w:t>
      </w:r>
      <w:r w:rsidR="00352215">
        <w:rPr>
          <w:b w:val="0"/>
          <w:bCs/>
        </w:rPr>
        <w:t xml:space="preserve">) </w:t>
      </w:r>
      <w:r w:rsidR="00631641">
        <w:rPr>
          <w:b w:val="0"/>
          <w:bCs/>
        </w:rPr>
        <w:t xml:space="preserve">961 F.Supp.2d 783; </w:t>
      </w:r>
      <w:r w:rsidR="00631641">
        <w:rPr>
          <w:b w:val="0"/>
          <w:bCs/>
          <w:i/>
          <w:iCs/>
        </w:rPr>
        <w:t>EEOC v. Peoplemark, Inc.</w:t>
      </w:r>
      <w:r w:rsidR="00631641">
        <w:rPr>
          <w:b w:val="0"/>
          <w:bCs/>
        </w:rPr>
        <w:t xml:space="preserve"> (</w:t>
      </w:r>
      <w:r w:rsidR="00700237">
        <w:rPr>
          <w:b w:val="0"/>
          <w:bCs/>
        </w:rPr>
        <w:t xml:space="preserve">W.D.Mich. </w:t>
      </w:r>
      <w:r w:rsidR="00AB4039">
        <w:rPr>
          <w:b w:val="0"/>
          <w:bCs/>
        </w:rPr>
        <w:t xml:space="preserve">Mar. 31, </w:t>
      </w:r>
      <w:r w:rsidR="00700237">
        <w:rPr>
          <w:b w:val="0"/>
          <w:bCs/>
        </w:rPr>
        <w:t>2011</w:t>
      </w:r>
      <w:r w:rsidR="00AB4039">
        <w:rPr>
          <w:b w:val="0"/>
          <w:bCs/>
        </w:rPr>
        <w:t>,</w:t>
      </w:r>
      <w:r w:rsidR="00700237">
        <w:rPr>
          <w:b w:val="0"/>
          <w:bCs/>
        </w:rPr>
        <w:t xml:space="preserve"> No. 1:08-cv-907</w:t>
      </w:r>
      <w:r w:rsidR="00AF7D03">
        <w:rPr>
          <w:b w:val="0"/>
          <w:bCs/>
        </w:rPr>
        <w:t>)</w:t>
      </w:r>
      <w:r w:rsidR="003530A8">
        <w:rPr>
          <w:b w:val="0"/>
          <w:bCs/>
        </w:rPr>
        <w:t xml:space="preserve"> 2011 WL 1707281.)</w:t>
      </w:r>
      <w:r w:rsidR="004337A4">
        <w:rPr>
          <w:b w:val="0"/>
          <w:bCs/>
        </w:rPr>
        <w:t xml:space="preserve">  Requiring Lyft to conduct criminal background checks on every </w:t>
      </w:r>
      <w:r w:rsidR="00814BF7">
        <w:rPr>
          <w:b w:val="0"/>
          <w:bCs/>
        </w:rPr>
        <w:t>passenger</w:t>
      </w:r>
      <w:r w:rsidR="004337A4">
        <w:rPr>
          <w:b w:val="0"/>
          <w:bCs/>
        </w:rPr>
        <w:t xml:space="preserve"> seeking to use the service would </w:t>
      </w:r>
      <w:r w:rsidR="006F2297">
        <w:rPr>
          <w:b w:val="0"/>
          <w:bCs/>
        </w:rPr>
        <w:t xml:space="preserve">be </w:t>
      </w:r>
      <w:r w:rsidR="004337A4">
        <w:rPr>
          <w:b w:val="0"/>
          <w:bCs/>
        </w:rPr>
        <w:t>inconsistent with public polic</w:t>
      </w:r>
      <w:r w:rsidR="005330D4">
        <w:rPr>
          <w:b w:val="0"/>
          <w:bCs/>
        </w:rPr>
        <w:t>ies</w:t>
      </w:r>
      <w:r w:rsidR="004337A4">
        <w:rPr>
          <w:b w:val="0"/>
          <w:bCs/>
        </w:rPr>
        <w:t xml:space="preserve"> moving away from </w:t>
      </w:r>
      <w:r w:rsidR="005C6D7A">
        <w:rPr>
          <w:b w:val="0"/>
          <w:bCs/>
        </w:rPr>
        <w:t>generalized</w:t>
      </w:r>
      <w:r w:rsidR="004337A4">
        <w:rPr>
          <w:b w:val="0"/>
          <w:bCs/>
        </w:rPr>
        <w:t>, non-specific use of criminal history as a means of excluding individuals.</w:t>
      </w:r>
      <w:r>
        <w:rPr>
          <w:rStyle w:val="FootnoteReference"/>
          <w:b/>
          <w:bCs/>
        </w:rPr>
        <w:footnoteReference w:id="7"/>
      </w:r>
      <w:r w:rsidR="00814BF7">
        <w:rPr>
          <w:b w:val="0"/>
          <w:bCs/>
        </w:rPr>
        <w:t xml:space="preserve">  (See </w:t>
      </w:r>
      <w:r w:rsidR="00814BF7">
        <w:rPr>
          <w:b w:val="0"/>
          <w:bCs/>
          <w:i/>
          <w:iCs/>
        </w:rPr>
        <w:t>Ann M.</w:t>
      </w:r>
      <w:r w:rsidRPr="003B7FB2" w:rsidR="00814BF7">
        <w:rPr>
          <w:b w:val="0"/>
          <w:bCs/>
        </w:rPr>
        <w:t>,</w:t>
      </w:r>
      <w:r w:rsidR="00814BF7">
        <w:rPr>
          <w:b w:val="0"/>
          <w:bCs/>
          <w:i/>
          <w:iCs/>
        </w:rPr>
        <w:t xml:space="preserve"> supra</w:t>
      </w:r>
      <w:r w:rsidRPr="003B7FB2" w:rsidR="00814BF7">
        <w:rPr>
          <w:b w:val="0"/>
          <w:bCs/>
        </w:rPr>
        <w:t>,</w:t>
      </w:r>
      <w:r w:rsidR="00814BF7">
        <w:rPr>
          <w:b w:val="0"/>
          <w:bCs/>
        </w:rPr>
        <w:t xml:space="preserve"> 6 </w:t>
      </w:r>
      <w:r w:rsidRPr="00814BF7" w:rsidR="00814BF7">
        <w:rPr>
          <w:b w:val="0"/>
          <w:bCs/>
        </w:rPr>
        <w:t xml:space="preserve">Cal.4th </w:t>
      </w:r>
      <w:r w:rsidR="00814BF7">
        <w:rPr>
          <w:b w:val="0"/>
          <w:bCs/>
        </w:rPr>
        <w:t>at p. 679 [burden of providing security patrols include</w:t>
      </w:r>
      <w:r w:rsidR="00BC6DA8">
        <w:rPr>
          <w:b w:val="0"/>
          <w:bCs/>
        </w:rPr>
        <w:t>d</w:t>
      </w:r>
      <w:r w:rsidR="00814BF7">
        <w:rPr>
          <w:b w:val="0"/>
          <w:bCs/>
        </w:rPr>
        <w:t xml:space="preserve"> that the obligation was not well-defined].)</w:t>
      </w:r>
    </w:p>
    <w:p w:rsidR="005D69A4" w:rsidP="009B2934" w14:paraId="5613A3DD" w14:textId="2863EADF">
      <w:pPr>
        <w:pStyle w:val="Heading21"/>
        <w:spacing w:before="0" w:after="0"/>
        <w:ind w:left="0" w:firstLine="720"/>
        <w:rPr>
          <w:b w:val="0"/>
          <w:bCs/>
        </w:rPr>
      </w:pPr>
      <w:r>
        <w:rPr>
          <w:b w:val="0"/>
          <w:bCs/>
        </w:rPr>
        <w:t xml:space="preserve">An obligation to conduct criminal background checks on every potential passenger would additionally raise concerns regarding consumer privacy, another area in which the Legislature has enacted laws to </w:t>
      </w:r>
      <w:r w:rsidR="00254B68">
        <w:rPr>
          <w:b w:val="0"/>
          <w:bCs/>
        </w:rPr>
        <w:t>restrict, rather than expand, the use of consumer information.</w:t>
      </w:r>
      <w:r w:rsidR="00544A13">
        <w:rPr>
          <w:b w:val="0"/>
          <w:bCs/>
        </w:rPr>
        <w:t xml:space="preserve">  </w:t>
      </w:r>
      <w:r w:rsidRPr="00244DA6" w:rsidR="00544A13">
        <w:rPr>
          <w:b w:val="0"/>
          <w:bCs/>
        </w:rPr>
        <w:t xml:space="preserve">The </w:t>
      </w:r>
      <w:r w:rsidR="00544A13">
        <w:rPr>
          <w:b w:val="0"/>
          <w:bCs/>
        </w:rPr>
        <w:t xml:space="preserve">Legislature enacted </w:t>
      </w:r>
      <w:r w:rsidRPr="00244DA6" w:rsidR="00544A13">
        <w:rPr>
          <w:b w:val="0"/>
          <w:bCs/>
        </w:rPr>
        <w:t>ICRAA out of concern for consumer privacy and the increasing risks of identity theft.  (Civ. Code</w:t>
      </w:r>
      <w:r w:rsidR="003B7FB2">
        <w:rPr>
          <w:b w:val="0"/>
          <w:bCs/>
        </w:rPr>
        <w:t>,</w:t>
      </w:r>
      <w:r w:rsidRPr="00244DA6" w:rsidR="00544A13">
        <w:rPr>
          <w:b w:val="0"/>
          <w:bCs/>
        </w:rPr>
        <w:t xml:space="preserve"> § 1786.)  Civil </w:t>
      </w:r>
      <w:r w:rsidR="007902F4">
        <w:rPr>
          <w:b w:val="0"/>
          <w:bCs/>
        </w:rPr>
        <w:t>C</w:t>
      </w:r>
      <w:r w:rsidRPr="00244DA6" w:rsidR="007902F4">
        <w:rPr>
          <w:b w:val="0"/>
          <w:bCs/>
        </w:rPr>
        <w:t xml:space="preserve">ode </w:t>
      </w:r>
      <w:r w:rsidRPr="00244DA6" w:rsidR="00544A13">
        <w:rPr>
          <w:b w:val="0"/>
          <w:bCs/>
        </w:rPr>
        <w:t xml:space="preserve">section 1786.12 enumerates the specific, limited circumstances </w:t>
      </w:r>
      <w:r w:rsidR="00B52697">
        <w:rPr>
          <w:b w:val="0"/>
          <w:bCs/>
        </w:rPr>
        <w:t>in which</w:t>
      </w:r>
      <w:r w:rsidRPr="00244DA6" w:rsidR="00544A13">
        <w:rPr>
          <w:b w:val="0"/>
          <w:bCs/>
        </w:rPr>
        <w:t xml:space="preserve"> an investigating consumer reporting agency may furnish an “investigative consumer report.”</w:t>
      </w:r>
      <w:r>
        <w:rPr>
          <w:rStyle w:val="FootnoteReference"/>
          <w:b/>
          <w:bCs/>
        </w:rPr>
        <w:footnoteReference w:id="8"/>
      </w:r>
      <w:r w:rsidRPr="00244DA6" w:rsidR="00544A13">
        <w:rPr>
          <w:b w:val="0"/>
          <w:bCs/>
        </w:rPr>
        <w:t xml:space="preserve">  </w:t>
      </w:r>
      <w:r w:rsidR="000A409F">
        <w:rPr>
          <w:b w:val="0"/>
          <w:bCs/>
        </w:rPr>
        <w:t>Further, a</w:t>
      </w:r>
      <w:r w:rsidRPr="00244DA6" w:rsidR="00544A13">
        <w:rPr>
          <w:b w:val="0"/>
          <w:bCs/>
        </w:rPr>
        <w:t xml:space="preserve"> report may not include records of conviction that antedate the report by more than seven years</w:t>
      </w:r>
      <w:r w:rsidR="008523C8">
        <w:rPr>
          <w:b w:val="0"/>
          <w:bCs/>
        </w:rPr>
        <w:t>, and it may not include expunged conviction</w:t>
      </w:r>
      <w:r w:rsidR="00F914B8">
        <w:rPr>
          <w:b w:val="0"/>
          <w:bCs/>
        </w:rPr>
        <w:t>s or arrests that did not result in a conviction</w:t>
      </w:r>
      <w:r w:rsidRPr="00244DA6" w:rsidR="00544A13">
        <w:rPr>
          <w:b w:val="0"/>
          <w:bCs/>
        </w:rPr>
        <w:t>.  (Civ. Code, § 1786.18, subd. (a)(7).)</w:t>
      </w:r>
    </w:p>
    <w:p w:rsidR="003632F1" w:rsidRPr="008C6044" w:rsidP="009B2934" w14:paraId="729C89F8" w14:textId="1239974C">
      <w:pPr>
        <w:pStyle w:val="Heading21"/>
        <w:spacing w:before="0" w:after="0"/>
        <w:ind w:left="0" w:firstLine="720"/>
        <w:rPr>
          <w:b w:val="0"/>
          <w:bCs/>
        </w:rPr>
      </w:pPr>
      <w:r>
        <w:rPr>
          <w:b w:val="0"/>
          <w:bCs/>
        </w:rPr>
        <w:t>The parties</w:t>
      </w:r>
      <w:r w:rsidR="004C4C81">
        <w:rPr>
          <w:b w:val="0"/>
          <w:bCs/>
        </w:rPr>
        <w:t xml:space="preserve"> </w:t>
      </w:r>
      <w:r>
        <w:rPr>
          <w:b w:val="0"/>
          <w:bCs/>
        </w:rPr>
        <w:t xml:space="preserve">dispute whether ICRAA </w:t>
      </w:r>
      <w:r w:rsidR="00CE1DD9">
        <w:rPr>
          <w:b w:val="0"/>
          <w:bCs/>
        </w:rPr>
        <w:t>would prohibit Lyft from obtaining criminal history reports about passengers</w:t>
      </w:r>
      <w:r w:rsidR="00282BAF">
        <w:rPr>
          <w:b w:val="0"/>
          <w:bCs/>
        </w:rPr>
        <w:t xml:space="preserve">.  </w:t>
      </w:r>
      <w:r w:rsidR="00C91991">
        <w:rPr>
          <w:b w:val="0"/>
          <w:bCs/>
        </w:rPr>
        <w:t xml:space="preserve">Lyft asserts the law allows such reports only in the statute’s limited, enumerated circumstances.  (Civ. Code, </w:t>
      </w:r>
      <w:r w:rsidRPr="00C91991" w:rsidR="00C91991">
        <w:rPr>
          <w:b w:val="0"/>
          <w:bCs/>
        </w:rPr>
        <w:t xml:space="preserve">§ </w:t>
      </w:r>
      <w:r w:rsidR="00EC4B23">
        <w:rPr>
          <w:b w:val="0"/>
          <w:bCs/>
        </w:rPr>
        <w:t>1786.12.)</w:t>
      </w:r>
      <w:r w:rsidR="00C91991">
        <w:rPr>
          <w:b w:val="0"/>
          <w:bCs/>
        </w:rPr>
        <w:t xml:space="preserve"> </w:t>
      </w:r>
      <w:r w:rsidR="00EC4B23">
        <w:rPr>
          <w:b w:val="0"/>
          <w:bCs/>
        </w:rPr>
        <w:t xml:space="preserve"> </w:t>
      </w:r>
      <w:r w:rsidR="00282BAF">
        <w:rPr>
          <w:b w:val="0"/>
          <w:bCs/>
        </w:rPr>
        <w:t xml:space="preserve">Al </w:t>
      </w:r>
      <w:r w:rsidR="003726E6">
        <w:rPr>
          <w:b w:val="0"/>
          <w:bCs/>
        </w:rPr>
        <w:t>Shikha</w:t>
      </w:r>
      <w:r w:rsidR="00282BAF">
        <w:rPr>
          <w:b w:val="0"/>
          <w:bCs/>
        </w:rPr>
        <w:t xml:space="preserve"> a</w:t>
      </w:r>
      <w:r w:rsidR="00EC4B23">
        <w:rPr>
          <w:b w:val="0"/>
          <w:bCs/>
        </w:rPr>
        <w:t>rgues</w:t>
      </w:r>
      <w:r w:rsidR="00282BAF">
        <w:rPr>
          <w:b w:val="0"/>
          <w:bCs/>
        </w:rPr>
        <w:t xml:space="preserve"> </w:t>
      </w:r>
      <w:r w:rsidR="00B52697">
        <w:rPr>
          <w:b w:val="0"/>
          <w:bCs/>
        </w:rPr>
        <w:t>Lyft could simply</w:t>
      </w:r>
      <w:r w:rsidR="000D6597">
        <w:rPr>
          <w:b w:val="0"/>
          <w:bCs/>
        </w:rPr>
        <w:t xml:space="preserve"> </w:t>
      </w:r>
      <w:r w:rsidR="00BA431E">
        <w:rPr>
          <w:b w:val="0"/>
          <w:bCs/>
        </w:rPr>
        <w:t>includ</w:t>
      </w:r>
      <w:r w:rsidR="005C7460">
        <w:rPr>
          <w:b w:val="0"/>
          <w:bCs/>
        </w:rPr>
        <w:t>e</w:t>
      </w:r>
      <w:r w:rsidR="00BA431E">
        <w:rPr>
          <w:b w:val="0"/>
          <w:bCs/>
        </w:rPr>
        <w:t xml:space="preserve"> a provision in the Lyft terms of service requiring passenger</w:t>
      </w:r>
      <w:r w:rsidR="00B248FB">
        <w:rPr>
          <w:b w:val="0"/>
          <w:bCs/>
        </w:rPr>
        <w:t>s to consent to criminal background checks</w:t>
      </w:r>
      <w:r w:rsidR="005C7460">
        <w:rPr>
          <w:b w:val="0"/>
          <w:bCs/>
        </w:rPr>
        <w:t>, thus complying with Civil Code section 1786.12</w:t>
      </w:r>
      <w:r w:rsidR="00AC6E5F">
        <w:rPr>
          <w:b w:val="0"/>
          <w:bCs/>
        </w:rPr>
        <w:t>, subdivision</w:t>
      </w:r>
      <w:r w:rsidR="00CF7BF8">
        <w:rPr>
          <w:b w:val="0"/>
          <w:bCs/>
        </w:rPr>
        <w:t> </w:t>
      </w:r>
      <w:r w:rsidR="00AC6E5F">
        <w:rPr>
          <w:b w:val="0"/>
          <w:bCs/>
        </w:rPr>
        <w:t xml:space="preserve">(c), which allows reports to be </w:t>
      </w:r>
      <w:r w:rsidR="009928F4">
        <w:rPr>
          <w:b w:val="0"/>
          <w:bCs/>
        </w:rPr>
        <w:t>furnish</w:t>
      </w:r>
      <w:r w:rsidR="00AC6E5F">
        <w:rPr>
          <w:b w:val="0"/>
          <w:bCs/>
        </w:rPr>
        <w:t xml:space="preserve">ed </w:t>
      </w:r>
      <w:r w:rsidR="00B72B0D">
        <w:rPr>
          <w:b w:val="0"/>
          <w:bCs/>
        </w:rPr>
        <w:t>“</w:t>
      </w:r>
      <w:r w:rsidR="00D0344A">
        <w:rPr>
          <w:b w:val="0"/>
          <w:bCs/>
        </w:rPr>
        <w:t>[</w:t>
      </w:r>
      <w:r w:rsidR="00B72B0D">
        <w:rPr>
          <w:b w:val="0"/>
          <w:bCs/>
        </w:rPr>
        <w:t>i</w:t>
      </w:r>
      <w:r w:rsidR="00D0344A">
        <w:rPr>
          <w:b w:val="0"/>
          <w:bCs/>
        </w:rPr>
        <w:t>]</w:t>
      </w:r>
      <w:r w:rsidR="00B72B0D">
        <w:rPr>
          <w:b w:val="0"/>
          <w:bCs/>
        </w:rPr>
        <w:t>n accordance with the written instructions of the consumer to whom it relates</w:t>
      </w:r>
      <w:r w:rsidR="00B52697">
        <w:rPr>
          <w:b w:val="0"/>
          <w:bCs/>
        </w:rPr>
        <w:t>.</w:t>
      </w:r>
      <w:r w:rsidR="00B72B0D">
        <w:rPr>
          <w:b w:val="0"/>
          <w:bCs/>
        </w:rPr>
        <w:t>”</w:t>
      </w:r>
      <w:r w:rsidR="00B52697">
        <w:rPr>
          <w:b w:val="0"/>
          <w:bCs/>
        </w:rPr>
        <w:t xml:space="preserve"> </w:t>
      </w:r>
      <w:r w:rsidR="00B248FB">
        <w:rPr>
          <w:b w:val="0"/>
          <w:bCs/>
        </w:rPr>
        <w:t xml:space="preserve"> </w:t>
      </w:r>
      <w:r w:rsidR="00351B60">
        <w:rPr>
          <w:b w:val="0"/>
          <w:bCs/>
        </w:rPr>
        <w:t>We need not resolve th</w:t>
      </w:r>
      <w:r w:rsidR="00F360A5">
        <w:rPr>
          <w:b w:val="0"/>
          <w:bCs/>
        </w:rPr>
        <w:t>e</w:t>
      </w:r>
      <w:r w:rsidR="00351B60">
        <w:rPr>
          <w:b w:val="0"/>
          <w:bCs/>
        </w:rPr>
        <w:t xml:space="preserve"> dispute</w:t>
      </w:r>
      <w:r w:rsidR="00BB0B62">
        <w:rPr>
          <w:b w:val="0"/>
          <w:bCs/>
        </w:rPr>
        <w:t xml:space="preserve"> here</w:t>
      </w:r>
      <w:r w:rsidR="00F019A2">
        <w:rPr>
          <w:b w:val="0"/>
          <w:bCs/>
        </w:rPr>
        <w:t>.  E</w:t>
      </w:r>
      <w:r w:rsidR="00BB0B62">
        <w:rPr>
          <w:b w:val="0"/>
          <w:bCs/>
        </w:rPr>
        <w:t xml:space="preserve">ven if </w:t>
      </w:r>
      <w:r w:rsidR="00CA6FFC">
        <w:rPr>
          <w:b w:val="0"/>
          <w:bCs/>
        </w:rPr>
        <w:t>not prohibited</w:t>
      </w:r>
      <w:r w:rsidR="0049293F">
        <w:rPr>
          <w:b w:val="0"/>
          <w:bCs/>
        </w:rPr>
        <w:t xml:space="preserve"> </w:t>
      </w:r>
      <w:r w:rsidR="00EC4B23">
        <w:rPr>
          <w:b w:val="0"/>
          <w:bCs/>
        </w:rPr>
        <w:t>by ICRAA</w:t>
      </w:r>
      <w:r w:rsidR="00CA6FFC">
        <w:rPr>
          <w:b w:val="0"/>
          <w:bCs/>
        </w:rPr>
        <w:t xml:space="preserve">, </w:t>
      </w:r>
      <w:r w:rsidR="00491303">
        <w:rPr>
          <w:b w:val="0"/>
          <w:bCs/>
        </w:rPr>
        <w:t xml:space="preserve">imposing an obligation </w:t>
      </w:r>
      <w:r w:rsidR="004B33D1">
        <w:rPr>
          <w:b w:val="0"/>
          <w:bCs/>
        </w:rPr>
        <w:t xml:space="preserve">on Lyft </w:t>
      </w:r>
      <w:r w:rsidR="00491303">
        <w:rPr>
          <w:b w:val="0"/>
          <w:bCs/>
        </w:rPr>
        <w:t xml:space="preserve">to </w:t>
      </w:r>
      <w:r w:rsidR="004F6CBE">
        <w:rPr>
          <w:b w:val="0"/>
          <w:bCs/>
        </w:rPr>
        <w:t xml:space="preserve">conduct criminal background checks on a </w:t>
      </w:r>
      <w:r w:rsidR="00641779">
        <w:rPr>
          <w:b w:val="0"/>
          <w:bCs/>
        </w:rPr>
        <w:t>vast number of individuals</w:t>
      </w:r>
      <w:r w:rsidR="002D532E">
        <w:rPr>
          <w:b w:val="0"/>
          <w:bCs/>
        </w:rPr>
        <w:t>,</w:t>
      </w:r>
      <w:r w:rsidR="00641779">
        <w:rPr>
          <w:b w:val="0"/>
          <w:bCs/>
        </w:rPr>
        <w:t xml:space="preserve"> </w:t>
      </w:r>
      <w:r w:rsidR="00F019A2">
        <w:rPr>
          <w:b w:val="0"/>
          <w:bCs/>
        </w:rPr>
        <w:t>as a condition of engaging in an activity akin to hailing a taxi</w:t>
      </w:r>
      <w:r w:rsidR="002D532E">
        <w:rPr>
          <w:b w:val="0"/>
          <w:bCs/>
        </w:rPr>
        <w:t>,</w:t>
      </w:r>
      <w:r w:rsidR="00F019A2">
        <w:rPr>
          <w:b w:val="0"/>
          <w:bCs/>
        </w:rPr>
        <w:t xml:space="preserve"> would </w:t>
      </w:r>
      <w:r w:rsidR="000178AC">
        <w:rPr>
          <w:b w:val="0"/>
          <w:bCs/>
        </w:rPr>
        <w:t>significantly imp</w:t>
      </w:r>
      <w:r w:rsidR="00A83B53">
        <w:rPr>
          <w:b w:val="0"/>
          <w:bCs/>
        </w:rPr>
        <w:t>licate</w:t>
      </w:r>
      <w:r w:rsidR="000178AC">
        <w:rPr>
          <w:b w:val="0"/>
          <w:bCs/>
        </w:rPr>
        <w:t xml:space="preserve"> the law’s underlying concerns related to consumer privacy</w:t>
      </w:r>
      <w:r w:rsidR="00D56BC3">
        <w:rPr>
          <w:b w:val="0"/>
          <w:bCs/>
        </w:rPr>
        <w:t>, relevancy, and confidentiality.  (Civ. Code</w:t>
      </w:r>
      <w:r w:rsidR="00CF7BF8">
        <w:rPr>
          <w:b w:val="0"/>
          <w:bCs/>
        </w:rPr>
        <w:t>,</w:t>
      </w:r>
      <w:r w:rsidR="00D56BC3">
        <w:rPr>
          <w:b w:val="0"/>
          <w:bCs/>
        </w:rPr>
        <w:t xml:space="preserve"> </w:t>
      </w:r>
      <w:r w:rsidRPr="00D56BC3" w:rsidR="00D56BC3">
        <w:rPr>
          <w:b w:val="0"/>
          <w:bCs/>
        </w:rPr>
        <w:t xml:space="preserve">§ </w:t>
      </w:r>
      <w:r w:rsidR="00D56BC3">
        <w:rPr>
          <w:b w:val="0"/>
          <w:bCs/>
        </w:rPr>
        <w:t>1786, subds. (</w:t>
      </w:r>
      <w:r w:rsidR="00A56F94">
        <w:rPr>
          <w:b w:val="0"/>
          <w:bCs/>
        </w:rPr>
        <w:t>b)</w:t>
      </w:r>
      <w:r w:rsidR="007D7211">
        <w:rPr>
          <w:b w:val="0"/>
          <w:bCs/>
        </w:rPr>
        <w:t xml:space="preserve"> &amp; </w:t>
      </w:r>
      <w:r w:rsidR="00A56F94">
        <w:rPr>
          <w:b w:val="0"/>
          <w:bCs/>
        </w:rPr>
        <w:t>(f).)</w:t>
      </w:r>
    </w:p>
    <w:p w:rsidR="009B2934" w:rsidRPr="003E7498" w:rsidP="009B2934" w14:paraId="3D691AA0" w14:textId="3533BE17">
      <w:pPr>
        <w:pStyle w:val="Heading21"/>
        <w:spacing w:before="0" w:after="0"/>
        <w:ind w:left="0" w:firstLine="720"/>
        <w:rPr>
          <w:b w:val="0"/>
          <w:bCs/>
        </w:rPr>
      </w:pPr>
      <w:r>
        <w:rPr>
          <w:b w:val="0"/>
          <w:bCs/>
        </w:rPr>
        <w:t xml:space="preserve">The measures Al </w:t>
      </w:r>
      <w:r w:rsidR="00D523BB">
        <w:rPr>
          <w:b w:val="0"/>
          <w:bCs/>
        </w:rPr>
        <w:t>Shikha</w:t>
      </w:r>
      <w:r>
        <w:rPr>
          <w:b w:val="0"/>
          <w:bCs/>
        </w:rPr>
        <w:t xml:space="preserve"> proposes would thus create potential liability for Lyft</w:t>
      </w:r>
      <w:r w:rsidR="00CE669F">
        <w:rPr>
          <w:b w:val="0"/>
          <w:bCs/>
        </w:rPr>
        <w:t xml:space="preserve"> </w:t>
      </w:r>
      <w:r>
        <w:rPr>
          <w:b w:val="0"/>
          <w:bCs/>
        </w:rPr>
        <w:t xml:space="preserve">related to privacy concerns </w:t>
      </w:r>
      <w:r w:rsidR="00A83B53">
        <w:rPr>
          <w:b w:val="0"/>
          <w:bCs/>
        </w:rPr>
        <w:t xml:space="preserve">and </w:t>
      </w:r>
      <w:r>
        <w:rPr>
          <w:b w:val="0"/>
          <w:bCs/>
        </w:rPr>
        <w:t>dis</w:t>
      </w:r>
      <w:r w:rsidR="0030406F">
        <w:rPr>
          <w:b w:val="0"/>
          <w:bCs/>
        </w:rPr>
        <w:t>parate</w:t>
      </w:r>
      <w:r w:rsidR="005F58B1">
        <w:rPr>
          <w:b w:val="0"/>
          <w:bCs/>
        </w:rPr>
        <w:t xml:space="preserve"> impact</w:t>
      </w:r>
      <w:r w:rsidR="00AF4E0D">
        <w:rPr>
          <w:b w:val="0"/>
          <w:bCs/>
        </w:rPr>
        <w:t>.  In addition</w:t>
      </w:r>
      <w:r>
        <w:rPr>
          <w:b w:val="0"/>
          <w:bCs/>
        </w:rPr>
        <w:t xml:space="preserve">, </w:t>
      </w:r>
      <w:r w:rsidR="00AF4E0D">
        <w:rPr>
          <w:b w:val="0"/>
          <w:bCs/>
        </w:rPr>
        <w:t>like the landlord</w:t>
      </w:r>
      <w:r w:rsidR="004E7F95">
        <w:rPr>
          <w:b w:val="0"/>
          <w:bCs/>
        </w:rPr>
        <w:t>s</w:t>
      </w:r>
      <w:r w:rsidR="00F66FF9">
        <w:rPr>
          <w:b w:val="0"/>
          <w:bCs/>
        </w:rPr>
        <w:t xml:space="preserve"> </w:t>
      </w:r>
      <w:r>
        <w:rPr>
          <w:b w:val="0"/>
          <w:bCs/>
        </w:rPr>
        <w:t xml:space="preserve">in </w:t>
      </w:r>
      <w:r>
        <w:rPr>
          <w:b w:val="0"/>
          <w:bCs/>
          <w:i/>
          <w:iCs/>
        </w:rPr>
        <w:t>Castaneda</w:t>
      </w:r>
      <w:r w:rsidRPr="00CF7BF8">
        <w:rPr>
          <w:b w:val="0"/>
          <w:bCs/>
        </w:rPr>
        <w:t>,</w:t>
      </w:r>
      <w:r>
        <w:rPr>
          <w:b w:val="0"/>
          <w:bCs/>
          <w:i/>
          <w:iCs/>
        </w:rPr>
        <w:t xml:space="preserve"> </w:t>
      </w:r>
      <w:r>
        <w:rPr>
          <w:b w:val="0"/>
          <w:bCs/>
        </w:rPr>
        <w:t xml:space="preserve">Lyft similarly would face potential liability for personal injuries if it </w:t>
      </w:r>
      <w:r w:rsidR="00C127DA">
        <w:rPr>
          <w:b w:val="0"/>
          <w:bCs/>
        </w:rPr>
        <w:t xml:space="preserve">is alleged to have </w:t>
      </w:r>
      <w:r>
        <w:rPr>
          <w:b w:val="0"/>
          <w:bCs/>
        </w:rPr>
        <w:t>failed to conduct a sufficiently search</w:t>
      </w:r>
      <w:r w:rsidR="001F4111">
        <w:rPr>
          <w:b w:val="0"/>
          <w:bCs/>
        </w:rPr>
        <w:t>ing</w:t>
      </w:r>
      <w:r>
        <w:rPr>
          <w:b w:val="0"/>
          <w:bCs/>
        </w:rPr>
        <w:t xml:space="preserve"> inquiry, misjudged </w:t>
      </w:r>
      <w:r w:rsidR="004E7F95">
        <w:rPr>
          <w:b w:val="0"/>
          <w:bCs/>
        </w:rPr>
        <w:t>a passenger’s</w:t>
      </w:r>
      <w:r>
        <w:rPr>
          <w:b w:val="0"/>
          <w:bCs/>
        </w:rPr>
        <w:t xml:space="preserve"> record as not constituting a “serious” criminal history if </w:t>
      </w:r>
      <w:r w:rsidR="00831F40">
        <w:rPr>
          <w:b w:val="0"/>
          <w:bCs/>
        </w:rPr>
        <w:t xml:space="preserve">that passenger later engaged in </w:t>
      </w:r>
      <w:r>
        <w:rPr>
          <w:b w:val="0"/>
          <w:bCs/>
        </w:rPr>
        <w:t>violence, or failed to conduct sufficiently frequent background checks on repeat riders.</w:t>
      </w:r>
      <w:r w:rsidR="00356B7F">
        <w:rPr>
          <w:b w:val="0"/>
          <w:bCs/>
        </w:rPr>
        <w:t xml:space="preserve">  </w:t>
      </w:r>
      <w:r w:rsidR="00024041">
        <w:rPr>
          <w:b w:val="0"/>
          <w:bCs/>
        </w:rPr>
        <w:t>(</w:t>
      </w:r>
      <w:r w:rsidR="00024041">
        <w:rPr>
          <w:b w:val="0"/>
          <w:bCs/>
          <w:i/>
          <w:iCs/>
        </w:rPr>
        <w:t>Castaneda</w:t>
      </w:r>
      <w:r w:rsidRPr="00CF7BF8" w:rsidR="00024041">
        <w:rPr>
          <w:b w:val="0"/>
          <w:bCs/>
        </w:rPr>
        <w:t>,</w:t>
      </w:r>
      <w:r w:rsidR="00024041">
        <w:rPr>
          <w:b w:val="0"/>
          <w:bCs/>
          <w:i/>
          <w:iCs/>
        </w:rPr>
        <w:t xml:space="preserve"> supra</w:t>
      </w:r>
      <w:r w:rsidRPr="00CF7BF8" w:rsidR="00024041">
        <w:rPr>
          <w:b w:val="0"/>
          <w:bCs/>
        </w:rPr>
        <w:t>,</w:t>
      </w:r>
      <w:r w:rsidR="00024041">
        <w:rPr>
          <w:b w:val="0"/>
          <w:bCs/>
          <w:i/>
          <w:iCs/>
        </w:rPr>
        <w:t xml:space="preserve"> </w:t>
      </w:r>
      <w:r w:rsidR="00024041">
        <w:rPr>
          <w:b w:val="0"/>
          <w:bCs/>
        </w:rPr>
        <w:t xml:space="preserve">41 </w:t>
      </w:r>
      <w:r w:rsidRPr="00024041" w:rsidR="00024041">
        <w:rPr>
          <w:b w:val="0"/>
          <w:bCs/>
        </w:rPr>
        <w:t xml:space="preserve">Cal.4th </w:t>
      </w:r>
      <w:r w:rsidR="00024041">
        <w:rPr>
          <w:b w:val="0"/>
          <w:bCs/>
        </w:rPr>
        <w:t>at p.</w:t>
      </w:r>
      <w:r w:rsidR="00CF7BF8">
        <w:rPr>
          <w:b w:val="0"/>
          <w:bCs/>
        </w:rPr>
        <w:t> </w:t>
      </w:r>
      <w:r w:rsidR="00024041">
        <w:rPr>
          <w:b w:val="0"/>
          <w:bCs/>
        </w:rPr>
        <w:t xml:space="preserve">1217.)  </w:t>
      </w:r>
      <w:r w:rsidR="00F66FF9">
        <w:rPr>
          <w:b w:val="0"/>
          <w:bCs/>
        </w:rPr>
        <w:t>This potential liability is illustrated by the</w:t>
      </w:r>
      <w:r w:rsidR="00625416">
        <w:rPr>
          <w:b w:val="0"/>
          <w:bCs/>
        </w:rPr>
        <w:t xml:space="preserve"> litigation </w:t>
      </w:r>
      <w:r w:rsidR="002A3D2A">
        <w:rPr>
          <w:b w:val="0"/>
          <w:bCs/>
        </w:rPr>
        <w:t xml:space="preserve">rideshare companies have faced </w:t>
      </w:r>
      <w:r w:rsidR="009779F3">
        <w:rPr>
          <w:b w:val="0"/>
          <w:bCs/>
        </w:rPr>
        <w:t xml:space="preserve">from passengers alleging the companies </w:t>
      </w:r>
      <w:r w:rsidR="000E5684">
        <w:rPr>
          <w:b w:val="0"/>
          <w:bCs/>
        </w:rPr>
        <w:t>failed</w:t>
      </w:r>
      <w:r w:rsidR="00625416">
        <w:rPr>
          <w:b w:val="0"/>
          <w:bCs/>
        </w:rPr>
        <w:t xml:space="preserve"> to </w:t>
      </w:r>
      <w:r w:rsidR="00A12751">
        <w:rPr>
          <w:b w:val="0"/>
          <w:bCs/>
        </w:rPr>
        <w:t>obtain</w:t>
      </w:r>
      <w:r w:rsidR="00625416">
        <w:rPr>
          <w:b w:val="0"/>
          <w:bCs/>
        </w:rPr>
        <w:t xml:space="preserve"> sufficiently thorough </w:t>
      </w:r>
      <w:r w:rsidR="00A12751">
        <w:rPr>
          <w:b w:val="0"/>
          <w:bCs/>
        </w:rPr>
        <w:t>criminal background checks</w:t>
      </w:r>
      <w:r w:rsidR="002A3D2A">
        <w:rPr>
          <w:b w:val="0"/>
          <w:bCs/>
        </w:rPr>
        <w:t xml:space="preserve"> on drivers</w:t>
      </w:r>
      <w:r w:rsidR="00625416">
        <w:rPr>
          <w:b w:val="0"/>
          <w:bCs/>
        </w:rPr>
        <w:t xml:space="preserve">.  </w:t>
      </w:r>
      <w:r w:rsidR="00DB502C">
        <w:rPr>
          <w:b w:val="0"/>
          <w:bCs/>
        </w:rPr>
        <w:t xml:space="preserve">(E.g., </w:t>
      </w:r>
      <w:r w:rsidR="00A12751">
        <w:rPr>
          <w:b w:val="0"/>
          <w:bCs/>
          <w:i/>
          <w:iCs/>
        </w:rPr>
        <w:t>Doe v. Uber Technologies, Inc.</w:t>
      </w:r>
      <w:r w:rsidR="00A12751">
        <w:rPr>
          <w:b w:val="0"/>
          <w:bCs/>
        </w:rPr>
        <w:t xml:space="preserve"> (N.D.Ca</w:t>
      </w:r>
      <w:r w:rsidR="00CB0F15">
        <w:rPr>
          <w:b w:val="0"/>
          <w:bCs/>
        </w:rPr>
        <w:t>l</w:t>
      </w:r>
      <w:r w:rsidR="00A12751">
        <w:rPr>
          <w:b w:val="0"/>
          <w:bCs/>
        </w:rPr>
        <w:t xml:space="preserve">. 2016) </w:t>
      </w:r>
      <w:r w:rsidR="00263083">
        <w:rPr>
          <w:b w:val="0"/>
          <w:bCs/>
        </w:rPr>
        <w:t xml:space="preserve">184 F.Supp.3d 774, 788 [negligent hiring </w:t>
      </w:r>
      <w:r w:rsidR="00024041">
        <w:rPr>
          <w:b w:val="0"/>
          <w:bCs/>
        </w:rPr>
        <w:t xml:space="preserve">claim of </w:t>
      </w:r>
      <w:r w:rsidR="00263083">
        <w:rPr>
          <w:b w:val="0"/>
          <w:bCs/>
        </w:rPr>
        <w:t>plaintiff</w:t>
      </w:r>
      <w:r w:rsidR="00A5656E">
        <w:rPr>
          <w:b w:val="0"/>
          <w:bCs/>
        </w:rPr>
        <w:t xml:space="preserve"> sexually assaulted by driver; court found plaintiff sufficiently alleged </w:t>
      </w:r>
      <w:r w:rsidR="00263083">
        <w:rPr>
          <w:b w:val="0"/>
          <w:bCs/>
        </w:rPr>
        <w:t xml:space="preserve">Uber </w:t>
      </w:r>
      <w:r w:rsidR="00A5656E">
        <w:rPr>
          <w:b w:val="0"/>
          <w:bCs/>
        </w:rPr>
        <w:t>was negligent in part because</w:t>
      </w:r>
      <w:r w:rsidR="004F672A">
        <w:rPr>
          <w:b w:val="0"/>
          <w:bCs/>
        </w:rPr>
        <w:t xml:space="preserve"> a criminal</w:t>
      </w:r>
      <w:r w:rsidR="00A5656E">
        <w:rPr>
          <w:b w:val="0"/>
          <w:bCs/>
        </w:rPr>
        <w:t xml:space="preserve"> </w:t>
      </w:r>
      <w:r w:rsidR="00263083">
        <w:rPr>
          <w:b w:val="0"/>
          <w:bCs/>
        </w:rPr>
        <w:t xml:space="preserve">background check did not capture </w:t>
      </w:r>
      <w:r w:rsidR="004F672A">
        <w:rPr>
          <w:b w:val="0"/>
          <w:bCs/>
        </w:rPr>
        <w:t xml:space="preserve">the </w:t>
      </w:r>
      <w:r w:rsidR="00A5656E">
        <w:rPr>
          <w:b w:val="0"/>
          <w:bCs/>
        </w:rPr>
        <w:t xml:space="preserve">driver’s </w:t>
      </w:r>
      <w:r w:rsidR="00263083">
        <w:rPr>
          <w:b w:val="0"/>
          <w:bCs/>
        </w:rPr>
        <w:t>prior assault conviction</w:t>
      </w:r>
      <w:r w:rsidR="00A5656E">
        <w:rPr>
          <w:b w:val="0"/>
          <w:bCs/>
        </w:rPr>
        <w:t xml:space="preserve">]; </w:t>
      </w:r>
      <w:r w:rsidR="00AC60D0">
        <w:rPr>
          <w:b w:val="0"/>
          <w:bCs/>
        </w:rPr>
        <w:t xml:space="preserve">see </w:t>
      </w:r>
      <w:r w:rsidR="003E7498">
        <w:rPr>
          <w:b w:val="0"/>
          <w:bCs/>
        </w:rPr>
        <w:t xml:space="preserve">Schoenbaum, </w:t>
      </w:r>
      <w:r w:rsidR="003E7498">
        <w:rPr>
          <w:b w:val="0"/>
          <w:bCs/>
          <w:i/>
          <w:iCs/>
        </w:rPr>
        <w:t>Gender and the Sharing Economy</w:t>
      </w:r>
      <w:r w:rsidR="009F6E4B">
        <w:rPr>
          <w:b w:val="0"/>
          <w:bCs/>
        </w:rPr>
        <w:t xml:space="preserve"> (2016)</w:t>
      </w:r>
      <w:r w:rsidR="003E7498">
        <w:rPr>
          <w:b w:val="0"/>
          <w:bCs/>
        </w:rPr>
        <w:t xml:space="preserve"> 43 Fordham Urb</w:t>
      </w:r>
      <w:r w:rsidR="008559E3">
        <w:rPr>
          <w:b w:val="0"/>
          <w:bCs/>
        </w:rPr>
        <w:t>.</w:t>
      </w:r>
      <w:r w:rsidR="003E7498">
        <w:rPr>
          <w:b w:val="0"/>
          <w:bCs/>
        </w:rPr>
        <w:t xml:space="preserve"> L</w:t>
      </w:r>
      <w:r w:rsidR="008559E3">
        <w:rPr>
          <w:b w:val="0"/>
          <w:bCs/>
        </w:rPr>
        <w:t>.</w:t>
      </w:r>
      <w:r w:rsidR="003E7498">
        <w:rPr>
          <w:b w:val="0"/>
          <w:bCs/>
        </w:rPr>
        <w:t xml:space="preserve">J. 1023, 1061 </w:t>
      </w:r>
      <w:r w:rsidR="000530EE">
        <w:rPr>
          <w:b w:val="0"/>
          <w:bCs/>
        </w:rPr>
        <w:t>(</w:t>
      </w:r>
      <w:r w:rsidR="008559E3">
        <w:rPr>
          <w:b w:val="0"/>
          <w:bCs/>
        </w:rPr>
        <w:t xml:space="preserve">hereafter </w:t>
      </w:r>
      <w:r w:rsidR="000530EE">
        <w:rPr>
          <w:b w:val="0"/>
          <w:bCs/>
        </w:rPr>
        <w:t xml:space="preserve">Schoenbaum) </w:t>
      </w:r>
      <w:r w:rsidR="003E7498">
        <w:rPr>
          <w:b w:val="0"/>
          <w:bCs/>
        </w:rPr>
        <w:t xml:space="preserve">[noting </w:t>
      </w:r>
      <w:r w:rsidR="008471D1">
        <w:rPr>
          <w:b w:val="0"/>
          <w:bCs/>
        </w:rPr>
        <w:t>criticism of ridesharing firms for incomplete background checks after finding drivers with criminal histories].)</w:t>
      </w:r>
    </w:p>
    <w:p w:rsidR="00D215D8" w:rsidRPr="00C93121" w:rsidP="009B2934" w14:paraId="6C164FC4" w14:textId="136B3E35">
      <w:pPr>
        <w:pStyle w:val="Heading21"/>
        <w:spacing w:before="0" w:after="0"/>
        <w:ind w:left="0" w:firstLine="720"/>
        <w:rPr>
          <w:b w:val="0"/>
          <w:bCs/>
        </w:rPr>
      </w:pPr>
      <w:r>
        <w:rPr>
          <w:b w:val="0"/>
          <w:bCs/>
        </w:rPr>
        <w:t xml:space="preserve">Moreover, </w:t>
      </w:r>
      <w:r w:rsidR="002A4E1F">
        <w:rPr>
          <w:b w:val="0"/>
          <w:bCs/>
        </w:rPr>
        <w:t xml:space="preserve">the </w:t>
      </w:r>
      <w:r w:rsidR="002A4E1F">
        <w:rPr>
          <w:b w:val="0"/>
          <w:bCs/>
          <w:i/>
          <w:iCs/>
        </w:rPr>
        <w:t>Castaneda</w:t>
      </w:r>
      <w:r w:rsidR="002A4E1F">
        <w:rPr>
          <w:b w:val="0"/>
          <w:bCs/>
        </w:rPr>
        <w:t xml:space="preserve"> court’s skepticism regarding the effectiveness of </w:t>
      </w:r>
      <w:r w:rsidR="00C06681">
        <w:rPr>
          <w:b w:val="0"/>
          <w:bCs/>
        </w:rPr>
        <w:t xml:space="preserve">screening based on criminal records </w:t>
      </w:r>
      <w:r w:rsidR="00382074">
        <w:rPr>
          <w:b w:val="0"/>
          <w:bCs/>
        </w:rPr>
        <w:t>remains applicable here.</w:t>
      </w:r>
      <w:r w:rsidR="00C06681">
        <w:rPr>
          <w:b w:val="0"/>
          <w:bCs/>
        </w:rPr>
        <w:t xml:space="preserve">  In addition to the concerns the </w:t>
      </w:r>
      <w:r w:rsidR="00C06681">
        <w:rPr>
          <w:b w:val="0"/>
          <w:bCs/>
          <w:i/>
          <w:iCs/>
        </w:rPr>
        <w:t>Castaneda</w:t>
      </w:r>
      <w:r w:rsidR="00C06681">
        <w:rPr>
          <w:b w:val="0"/>
          <w:bCs/>
        </w:rPr>
        <w:t xml:space="preserve"> court identified—that juvenile records w</w:t>
      </w:r>
      <w:r w:rsidR="008559E3">
        <w:rPr>
          <w:b w:val="0"/>
          <w:bCs/>
        </w:rPr>
        <w:t>ould</w:t>
      </w:r>
      <w:r w:rsidR="00C06681">
        <w:rPr>
          <w:b w:val="0"/>
          <w:bCs/>
        </w:rPr>
        <w:t xml:space="preserve"> likely not be included, and adult records do not necessarily reflect the circumstances of past crimes sufficient to reliably allow a defendant to determine whether </w:t>
      </w:r>
      <w:r w:rsidR="00E30880">
        <w:rPr>
          <w:b w:val="0"/>
          <w:bCs/>
        </w:rPr>
        <w:t xml:space="preserve">an </w:t>
      </w:r>
      <w:r w:rsidR="00C06681">
        <w:rPr>
          <w:b w:val="0"/>
          <w:bCs/>
        </w:rPr>
        <w:t xml:space="preserve">individual poses a threat of </w:t>
      </w:r>
      <w:r w:rsidR="008559E3">
        <w:rPr>
          <w:b w:val="0"/>
          <w:bCs/>
        </w:rPr>
        <w:t xml:space="preserve">a specific type of </w:t>
      </w:r>
      <w:r w:rsidR="00C06681">
        <w:rPr>
          <w:b w:val="0"/>
          <w:bCs/>
        </w:rPr>
        <w:t>violence—</w:t>
      </w:r>
      <w:r w:rsidR="00225E1D">
        <w:rPr>
          <w:b w:val="0"/>
          <w:bCs/>
        </w:rPr>
        <w:t xml:space="preserve">criticisms have also been levied that </w:t>
      </w:r>
      <w:r w:rsidR="004016E2">
        <w:rPr>
          <w:b w:val="0"/>
          <w:bCs/>
        </w:rPr>
        <w:t xml:space="preserve">some forms of </w:t>
      </w:r>
      <w:r w:rsidR="00C06681">
        <w:rPr>
          <w:b w:val="0"/>
          <w:bCs/>
        </w:rPr>
        <w:t xml:space="preserve">criminal background checks </w:t>
      </w:r>
      <w:r w:rsidR="00362C8E">
        <w:rPr>
          <w:b w:val="0"/>
          <w:bCs/>
        </w:rPr>
        <w:t>are frequently</w:t>
      </w:r>
      <w:r w:rsidR="006975A3">
        <w:rPr>
          <w:b w:val="0"/>
          <w:bCs/>
        </w:rPr>
        <w:t xml:space="preserve"> </w:t>
      </w:r>
      <w:r w:rsidR="00C06681">
        <w:rPr>
          <w:b w:val="0"/>
          <w:bCs/>
        </w:rPr>
        <w:t>incomplete and inaccurate.  (E.g.,</w:t>
      </w:r>
      <w:r w:rsidR="00F369A3">
        <w:rPr>
          <w:b w:val="0"/>
          <w:bCs/>
        </w:rPr>
        <w:t xml:space="preserve"> </w:t>
      </w:r>
      <w:r w:rsidR="00C26D8C">
        <w:rPr>
          <w:b w:val="0"/>
          <w:bCs/>
          <w:i/>
          <w:iCs/>
        </w:rPr>
        <w:t xml:space="preserve">Herring v. U.S. </w:t>
      </w:r>
      <w:r w:rsidR="00C26D8C">
        <w:rPr>
          <w:b w:val="0"/>
          <w:bCs/>
        </w:rPr>
        <w:t xml:space="preserve">(2009) 555 U.S. 135, </w:t>
      </w:r>
      <w:r w:rsidR="006F466A">
        <w:rPr>
          <w:b w:val="0"/>
          <w:bCs/>
        </w:rPr>
        <w:t xml:space="preserve">155 (dis. opn. </w:t>
      </w:r>
      <w:r w:rsidR="00EA7F5D">
        <w:rPr>
          <w:b w:val="0"/>
          <w:bCs/>
        </w:rPr>
        <w:t xml:space="preserve">of </w:t>
      </w:r>
      <w:r w:rsidR="006F466A">
        <w:rPr>
          <w:b w:val="0"/>
          <w:bCs/>
        </w:rPr>
        <w:t>Ginsburg, J.) [</w:t>
      </w:r>
      <w:r w:rsidR="00774C12">
        <w:rPr>
          <w:b w:val="0"/>
          <w:bCs/>
        </w:rPr>
        <w:t xml:space="preserve">noting </w:t>
      </w:r>
      <w:r w:rsidR="00A36622">
        <w:rPr>
          <w:b w:val="0"/>
          <w:bCs/>
        </w:rPr>
        <w:t>risk of error stemming from criminal records databases “is not slim,” and amici “warn[ed] that law enforcement databases are insufficiently monitored and often out of date”];</w:t>
      </w:r>
      <w:r w:rsidR="006F466A">
        <w:rPr>
          <w:b w:val="0"/>
          <w:bCs/>
        </w:rPr>
        <w:t xml:space="preserve"> </w:t>
      </w:r>
      <w:r w:rsidR="00A4184E">
        <w:rPr>
          <w:b w:val="0"/>
          <w:bCs/>
          <w:i/>
          <w:iCs/>
        </w:rPr>
        <w:t xml:space="preserve">Henderson v. Source for Public Data, L.P. </w:t>
      </w:r>
      <w:r w:rsidR="00A4184E">
        <w:rPr>
          <w:b w:val="0"/>
          <w:bCs/>
        </w:rPr>
        <w:t xml:space="preserve">(4th Cir. 2022) 53 F.4th 110 [plaintiffs sued </w:t>
      </w:r>
      <w:r w:rsidR="0001240D">
        <w:rPr>
          <w:b w:val="0"/>
          <w:bCs/>
        </w:rPr>
        <w:t>data company</w:t>
      </w:r>
      <w:r w:rsidR="008559E3">
        <w:rPr>
          <w:b w:val="0"/>
          <w:bCs/>
        </w:rPr>
        <w:t xml:space="preserve"> </w:t>
      </w:r>
      <w:r w:rsidR="0001240D">
        <w:rPr>
          <w:b w:val="0"/>
          <w:bCs/>
        </w:rPr>
        <w:t xml:space="preserve">for </w:t>
      </w:r>
      <w:r w:rsidR="006B09FE">
        <w:rPr>
          <w:b w:val="0"/>
          <w:bCs/>
        </w:rPr>
        <w:t>including in</w:t>
      </w:r>
      <w:r w:rsidR="0001240D">
        <w:rPr>
          <w:b w:val="0"/>
          <w:bCs/>
        </w:rPr>
        <w:t xml:space="preserve">accurate </w:t>
      </w:r>
      <w:r w:rsidR="006B09FE">
        <w:rPr>
          <w:b w:val="0"/>
          <w:bCs/>
        </w:rPr>
        <w:t xml:space="preserve">and misleading </w:t>
      </w:r>
      <w:r w:rsidR="0001240D">
        <w:rPr>
          <w:b w:val="0"/>
          <w:bCs/>
        </w:rPr>
        <w:t>information in criminal background check reports</w:t>
      </w:r>
      <w:r w:rsidR="00C94306">
        <w:rPr>
          <w:b w:val="0"/>
          <w:bCs/>
        </w:rPr>
        <w:t xml:space="preserve">]; </w:t>
      </w:r>
      <w:r w:rsidRPr="00421819" w:rsidR="000530EE">
        <w:rPr>
          <w:b w:val="0"/>
          <w:bCs/>
        </w:rPr>
        <w:t>Schoenbaum</w:t>
      </w:r>
      <w:r w:rsidR="000530EE">
        <w:rPr>
          <w:b w:val="0"/>
          <w:bCs/>
        </w:rPr>
        <w:t xml:space="preserve">, </w:t>
      </w:r>
      <w:r w:rsidR="000530EE">
        <w:rPr>
          <w:b w:val="0"/>
          <w:bCs/>
          <w:i/>
          <w:iCs/>
        </w:rPr>
        <w:t>supra</w:t>
      </w:r>
      <w:r w:rsidR="000530EE">
        <w:rPr>
          <w:b w:val="0"/>
          <w:bCs/>
        </w:rPr>
        <w:t xml:space="preserve">, </w:t>
      </w:r>
      <w:r w:rsidR="00762096">
        <w:rPr>
          <w:b w:val="0"/>
          <w:bCs/>
        </w:rPr>
        <w:t xml:space="preserve">43 Fordham Urb. L.J. </w:t>
      </w:r>
      <w:r w:rsidR="000530EE">
        <w:rPr>
          <w:b w:val="0"/>
          <w:bCs/>
        </w:rPr>
        <w:t>at p.</w:t>
      </w:r>
      <w:r w:rsidR="00421819">
        <w:rPr>
          <w:b w:val="0"/>
          <w:bCs/>
        </w:rPr>
        <w:t> </w:t>
      </w:r>
      <w:r w:rsidR="000530EE">
        <w:rPr>
          <w:b w:val="0"/>
          <w:bCs/>
        </w:rPr>
        <w:t>1061</w:t>
      </w:r>
      <w:r w:rsidR="000E3527">
        <w:rPr>
          <w:b w:val="0"/>
          <w:bCs/>
        </w:rPr>
        <w:t xml:space="preserve">; </w:t>
      </w:r>
      <w:r w:rsidR="0007315C">
        <w:rPr>
          <w:b w:val="0"/>
          <w:bCs/>
        </w:rPr>
        <w:t>Logan</w:t>
      </w:r>
      <w:r w:rsidR="00762096">
        <w:rPr>
          <w:b w:val="0"/>
          <w:bCs/>
        </w:rPr>
        <w:t xml:space="preserve"> </w:t>
      </w:r>
      <w:r w:rsidR="0007315C">
        <w:rPr>
          <w:b w:val="0"/>
          <w:bCs/>
        </w:rPr>
        <w:t xml:space="preserve">&amp; Ferguson, </w:t>
      </w:r>
      <w:r w:rsidR="0007315C">
        <w:rPr>
          <w:b w:val="0"/>
          <w:bCs/>
          <w:i/>
          <w:iCs/>
        </w:rPr>
        <w:t>Policing Criminal Justice Data</w:t>
      </w:r>
      <w:r w:rsidR="00AB4034">
        <w:rPr>
          <w:b w:val="0"/>
          <w:bCs/>
        </w:rPr>
        <w:t xml:space="preserve"> (2016)</w:t>
      </w:r>
      <w:r w:rsidR="0007315C">
        <w:rPr>
          <w:b w:val="0"/>
          <w:bCs/>
        </w:rPr>
        <w:t xml:space="preserve"> 101 Minn. L.R</w:t>
      </w:r>
      <w:r w:rsidR="00EF32E7">
        <w:rPr>
          <w:b w:val="0"/>
          <w:bCs/>
        </w:rPr>
        <w:t>ev</w:t>
      </w:r>
      <w:r w:rsidR="0007315C">
        <w:rPr>
          <w:b w:val="0"/>
          <w:bCs/>
        </w:rPr>
        <w:t>. 541,</w:t>
      </w:r>
      <w:r w:rsidR="007852F5">
        <w:rPr>
          <w:b w:val="0"/>
          <w:bCs/>
        </w:rPr>
        <w:t xml:space="preserve"> </w:t>
      </w:r>
      <w:r w:rsidR="00945908">
        <w:rPr>
          <w:b w:val="0"/>
          <w:bCs/>
        </w:rPr>
        <w:t>559</w:t>
      </w:r>
      <w:r w:rsidR="00421819">
        <w:rPr>
          <w:b w:val="0"/>
          <w:bCs/>
        </w:rPr>
        <w:t>–</w:t>
      </w:r>
      <w:r w:rsidR="00945908">
        <w:rPr>
          <w:b w:val="0"/>
          <w:bCs/>
        </w:rPr>
        <w:t>563 [describing widespread problems with criminal history record</w:t>
      </w:r>
      <w:r w:rsidR="001825BF">
        <w:rPr>
          <w:b w:val="0"/>
          <w:bCs/>
        </w:rPr>
        <w:t xml:space="preserve">s containing inaccurate and incomplete information; leading to private sector companies issuing </w:t>
      </w:r>
      <w:r w:rsidR="004E2500">
        <w:rPr>
          <w:b w:val="0"/>
          <w:bCs/>
        </w:rPr>
        <w:t>reports with errors such as mismatched reports, reporting expunged records, incomplete dispositions</w:t>
      </w:r>
      <w:r w:rsidR="00EF32E7">
        <w:rPr>
          <w:b w:val="0"/>
          <w:bCs/>
        </w:rPr>
        <w:t xml:space="preserve">; </w:t>
      </w:r>
      <w:r w:rsidR="004E2500">
        <w:rPr>
          <w:b w:val="0"/>
          <w:bCs/>
        </w:rPr>
        <w:t>private reports “are known to present significant risk of mismatching individuals to records</w:t>
      </w:r>
      <w:r w:rsidR="00C5144D">
        <w:rPr>
          <w:b w:val="0"/>
          <w:bCs/>
        </w:rPr>
        <w:t>”]</w:t>
      </w:r>
      <w:r w:rsidR="00A4184E">
        <w:rPr>
          <w:b w:val="0"/>
          <w:bCs/>
        </w:rPr>
        <w:t>.)</w:t>
      </w:r>
      <w:r w:rsidR="00C949A7">
        <w:rPr>
          <w:b w:val="0"/>
          <w:bCs/>
        </w:rPr>
        <w:t xml:space="preserve">  </w:t>
      </w:r>
      <w:r w:rsidR="00AC02C8">
        <w:rPr>
          <w:b w:val="0"/>
          <w:bCs/>
        </w:rPr>
        <w:t xml:space="preserve">Not only may </w:t>
      </w:r>
      <w:r w:rsidR="00693A21">
        <w:rPr>
          <w:b w:val="0"/>
          <w:bCs/>
        </w:rPr>
        <w:t xml:space="preserve">incorrect reports be ineffective in screening out passengers likely to commit violence, Lyft </w:t>
      </w:r>
      <w:r w:rsidR="00232B85">
        <w:rPr>
          <w:b w:val="0"/>
          <w:bCs/>
        </w:rPr>
        <w:t>could face liability for inaccurate screenings</w:t>
      </w:r>
      <w:r w:rsidR="003027EC">
        <w:rPr>
          <w:b w:val="0"/>
          <w:bCs/>
        </w:rPr>
        <w:t xml:space="preserve">, both from </w:t>
      </w:r>
      <w:r w:rsidR="001C7E7A">
        <w:rPr>
          <w:b w:val="0"/>
          <w:bCs/>
        </w:rPr>
        <w:t xml:space="preserve">drivers harmed and </w:t>
      </w:r>
      <w:r w:rsidR="00960AF3">
        <w:rPr>
          <w:b w:val="0"/>
          <w:bCs/>
        </w:rPr>
        <w:t xml:space="preserve">potentially from </w:t>
      </w:r>
      <w:r w:rsidR="001C7E7A">
        <w:rPr>
          <w:b w:val="0"/>
          <w:bCs/>
        </w:rPr>
        <w:t>customers denied rides based on incorrect information.</w:t>
      </w:r>
      <w:r w:rsidR="008817D5">
        <w:rPr>
          <w:b w:val="0"/>
          <w:bCs/>
        </w:rPr>
        <w:t xml:space="preserve">  Finally, Lyft points out that the rideshare platform allows</w:t>
      </w:r>
      <w:r w:rsidR="004D0973">
        <w:rPr>
          <w:b w:val="0"/>
          <w:bCs/>
        </w:rPr>
        <w:t xml:space="preserve"> users to obtain rides for other individuals</w:t>
      </w:r>
      <w:r w:rsidR="004A12BA">
        <w:rPr>
          <w:b w:val="0"/>
          <w:bCs/>
        </w:rPr>
        <w:t xml:space="preserve"> and to share rides</w:t>
      </w:r>
      <w:r w:rsidR="004D0973">
        <w:rPr>
          <w:b w:val="0"/>
          <w:bCs/>
        </w:rPr>
        <w:t xml:space="preserve">.  </w:t>
      </w:r>
      <w:r w:rsidR="00BD27B2">
        <w:rPr>
          <w:b w:val="0"/>
          <w:bCs/>
        </w:rPr>
        <w:t>The</w:t>
      </w:r>
      <w:r w:rsidR="008355E0">
        <w:rPr>
          <w:b w:val="0"/>
          <w:bCs/>
        </w:rPr>
        <w:t xml:space="preserve"> criminal background check procedure Al Shikha </w:t>
      </w:r>
      <w:r w:rsidR="00BD27B2">
        <w:rPr>
          <w:b w:val="0"/>
          <w:bCs/>
        </w:rPr>
        <w:t>proposes would miss such additional passengers altogether</w:t>
      </w:r>
      <w:r w:rsidR="000C0D02">
        <w:rPr>
          <w:b w:val="0"/>
          <w:bCs/>
        </w:rPr>
        <w:t>.</w:t>
      </w:r>
    </w:p>
    <w:p w:rsidR="009B2934" w:rsidP="009B2934" w14:paraId="042F4A9D" w14:textId="250B6AD0">
      <w:pPr>
        <w:pStyle w:val="Heading21"/>
        <w:spacing w:before="0" w:after="0"/>
        <w:ind w:left="0" w:firstLine="720"/>
        <w:rPr>
          <w:b w:val="0"/>
          <w:bCs/>
        </w:rPr>
      </w:pPr>
      <w:r>
        <w:rPr>
          <w:b w:val="0"/>
          <w:bCs/>
        </w:rPr>
        <w:t xml:space="preserve">In short, construing Lyft’s duty to drivers to include an obligation to </w:t>
      </w:r>
      <w:r w:rsidR="00045112">
        <w:rPr>
          <w:b w:val="0"/>
          <w:bCs/>
        </w:rPr>
        <w:t>conduct</w:t>
      </w:r>
      <w:r>
        <w:rPr>
          <w:b w:val="0"/>
          <w:bCs/>
        </w:rPr>
        <w:t xml:space="preserve"> a criminal background check on all </w:t>
      </w:r>
      <w:r w:rsidR="00F90F27">
        <w:rPr>
          <w:b w:val="0"/>
          <w:bCs/>
        </w:rPr>
        <w:t>riders</w:t>
      </w:r>
      <w:r w:rsidR="00117D52">
        <w:rPr>
          <w:b w:val="0"/>
          <w:bCs/>
        </w:rPr>
        <w:t>,</w:t>
      </w:r>
      <w:r>
        <w:rPr>
          <w:b w:val="0"/>
          <w:bCs/>
        </w:rPr>
        <w:t xml:space="preserve"> for the purpose of excluding some subset of </w:t>
      </w:r>
      <w:r w:rsidR="00F90F27">
        <w:rPr>
          <w:b w:val="0"/>
          <w:bCs/>
        </w:rPr>
        <w:t>them</w:t>
      </w:r>
      <w:r>
        <w:rPr>
          <w:b w:val="0"/>
          <w:bCs/>
        </w:rPr>
        <w:t xml:space="preserve"> based on their criminal histories</w:t>
      </w:r>
      <w:r w:rsidR="00117D52">
        <w:rPr>
          <w:b w:val="0"/>
          <w:bCs/>
        </w:rPr>
        <w:t>,</w:t>
      </w:r>
      <w:r>
        <w:rPr>
          <w:b w:val="0"/>
          <w:bCs/>
        </w:rPr>
        <w:t xml:space="preserve"> </w:t>
      </w:r>
      <w:r w:rsidR="00D30929">
        <w:rPr>
          <w:b w:val="0"/>
          <w:bCs/>
        </w:rPr>
        <w:t xml:space="preserve">is an </w:t>
      </w:r>
      <w:r>
        <w:rPr>
          <w:b w:val="0"/>
          <w:bCs/>
        </w:rPr>
        <w:t>extremely burdensome</w:t>
      </w:r>
      <w:r w:rsidR="00D30929">
        <w:rPr>
          <w:b w:val="0"/>
          <w:bCs/>
        </w:rPr>
        <w:t xml:space="preserve"> precautionary measure.</w:t>
      </w:r>
    </w:p>
    <w:p w:rsidR="00117D52" w:rsidRPr="00B50354" w:rsidP="00632084" w14:paraId="04D8752F" w14:textId="7A4ACEE9">
      <w:pPr>
        <w:pStyle w:val="Heading21"/>
        <w:numPr>
          <w:ilvl w:val="0"/>
          <w:numId w:val="25"/>
        </w:numPr>
        <w:spacing w:before="0" w:after="0"/>
        <w:ind w:hanging="720"/>
      </w:pPr>
      <w:r>
        <w:t>Al Shikha has not established heightened foreseeability</w:t>
      </w:r>
    </w:p>
    <w:p w:rsidR="006236BE" w:rsidP="009B2934" w14:paraId="1EDFFC4B" w14:textId="4B3FD1A1">
      <w:pPr>
        <w:pStyle w:val="Heading21"/>
        <w:spacing w:before="0" w:after="0"/>
        <w:ind w:left="0" w:firstLine="720"/>
        <w:rPr>
          <w:b w:val="0"/>
          <w:bCs/>
        </w:rPr>
      </w:pPr>
      <w:r>
        <w:rPr>
          <w:b w:val="0"/>
          <w:bCs/>
        </w:rPr>
        <w:t xml:space="preserve">Al </w:t>
      </w:r>
      <w:r w:rsidR="00D523BB">
        <w:rPr>
          <w:b w:val="0"/>
          <w:bCs/>
        </w:rPr>
        <w:t>Shikha</w:t>
      </w:r>
      <w:r>
        <w:rPr>
          <w:b w:val="0"/>
          <w:bCs/>
        </w:rPr>
        <w:t xml:space="preserve"> has not established the heightened foreseeability </w:t>
      </w:r>
      <w:r w:rsidR="00C36736">
        <w:rPr>
          <w:b w:val="0"/>
          <w:bCs/>
        </w:rPr>
        <w:t>necessary for the imposition of such a duty.</w:t>
      </w:r>
      <w:r w:rsidR="00BB65C5">
        <w:rPr>
          <w:b w:val="0"/>
          <w:bCs/>
        </w:rPr>
        <w:t xml:space="preserve">  </w:t>
      </w:r>
      <w:r>
        <w:rPr>
          <w:b w:val="0"/>
          <w:bCs/>
        </w:rPr>
        <w:t>In determining whether a plaintiff has made a showing of heightened foreseeability, courts have considered whether there were prior similar incidents of violent crime (</w:t>
      </w:r>
      <w:r>
        <w:rPr>
          <w:b w:val="0"/>
          <w:bCs/>
          <w:i/>
          <w:iCs/>
        </w:rPr>
        <w:t>Wiener v. Southcoast Childcare Centers</w:t>
      </w:r>
      <w:r w:rsidR="00BB02A8">
        <w:rPr>
          <w:b w:val="0"/>
          <w:bCs/>
          <w:i/>
          <w:iCs/>
        </w:rPr>
        <w:t>, Inc.</w:t>
      </w:r>
      <w:r>
        <w:rPr>
          <w:b w:val="0"/>
          <w:bCs/>
          <w:i/>
          <w:iCs/>
        </w:rPr>
        <w:t xml:space="preserve"> </w:t>
      </w:r>
      <w:r>
        <w:rPr>
          <w:b w:val="0"/>
          <w:bCs/>
        </w:rPr>
        <w:t xml:space="preserve">(2004) 32 </w:t>
      </w:r>
      <w:r w:rsidRPr="007454DA">
        <w:rPr>
          <w:b w:val="0"/>
          <w:bCs/>
        </w:rPr>
        <w:t xml:space="preserve">Cal.4th </w:t>
      </w:r>
      <w:r>
        <w:rPr>
          <w:b w:val="0"/>
          <w:bCs/>
        </w:rPr>
        <w:t>1138, 1150</w:t>
      </w:r>
      <w:r w:rsidR="002B6581">
        <w:rPr>
          <w:b w:val="0"/>
          <w:bCs/>
        </w:rPr>
        <w:t xml:space="preserve"> (</w:t>
      </w:r>
      <w:r w:rsidR="002B6581">
        <w:rPr>
          <w:b w:val="0"/>
          <w:bCs/>
          <w:i/>
          <w:iCs/>
        </w:rPr>
        <w:t>Wiener</w:t>
      </w:r>
      <w:r w:rsidR="002B6581">
        <w:rPr>
          <w:b w:val="0"/>
          <w:bCs/>
        </w:rPr>
        <w:t>)</w:t>
      </w:r>
      <w:r>
        <w:rPr>
          <w:b w:val="0"/>
          <w:bCs/>
        </w:rPr>
        <w:t xml:space="preserve">; </w:t>
      </w:r>
      <w:r>
        <w:rPr>
          <w:b w:val="0"/>
          <w:bCs/>
          <w:i/>
          <w:iCs/>
        </w:rPr>
        <w:t>Ann M.</w:t>
      </w:r>
      <w:r w:rsidRPr="00421819">
        <w:rPr>
          <w:b w:val="0"/>
          <w:bCs/>
        </w:rPr>
        <w:t>,</w:t>
      </w:r>
      <w:r>
        <w:rPr>
          <w:b w:val="0"/>
          <w:bCs/>
          <w:i/>
          <w:iCs/>
        </w:rPr>
        <w:t xml:space="preserve"> supra</w:t>
      </w:r>
      <w:r w:rsidRPr="00421819">
        <w:rPr>
          <w:b w:val="0"/>
          <w:bCs/>
        </w:rPr>
        <w:t>,</w:t>
      </w:r>
      <w:r>
        <w:rPr>
          <w:b w:val="0"/>
          <w:bCs/>
          <w:i/>
          <w:iCs/>
        </w:rPr>
        <w:t xml:space="preserve"> </w:t>
      </w:r>
      <w:r>
        <w:rPr>
          <w:b w:val="0"/>
          <w:bCs/>
        </w:rPr>
        <w:t xml:space="preserve">6 </w:t>
      </w:r>
      <w:r w:rsidRPr="00F760D7">
        <w:rPr>
          <w:b w:val="0"/>
          <w:bCs/>
        </w:rPr>
        <w:t xml:space="preserve">Cal.4th </w:t>
      </w:r>
      <w:r>
        <w:rPr>
          <w:b w:val="0"/>
          <w:bCs/>
        </w:rPr>
        <w:t>at p. 679</w:t>
      </w:r>
      <w:r w:rsidR="00F90F27">
        <w:rPr>
          <w:b w:val="0"/>
          <w:bCs/>
        </w:rPr>
        <w:t>)</w:t>
      </w:r>
      <w:r>
        <w:rPr>
          <w:b w:val="0"/>
          <w:bCs/>
        </w:rPr>
        <w:t>, or whether the defendant had actual knowledge of the perpetrator’s violent propensities (</w:t>
      </w:r>
      <w:r>
        <w:rPr>
          <w:b w:val="0"/>
          <w:bCs/>
          <w:i/>
          <w:iCs/>
        </w:rPr>
        <w:t>Hanouchian</w:t>
      </w:r>
      <w:r w:rsidRPr="00421819" w:rsidR="001609C0">
        <w:rPr>
          <w:b w:val="0"/>
          <w:bCs/>
        </w:rPr>
        <w:t>,</w:t>
      </w:r>
      <w:r w:rsidR="001609C0">
        <w:rPr>
          <w:b w:val="0"/>
          <w:bCs/>
          <w:i/>
          <w:iCs/>
        </w:rPr>
        <w:t xml:space="preserve"> supra</w:t>
      </w:r>
      <w:r w:rsidRPr="00421819" w:rsidR="001609C0">
        <w:rPr>
          <w:b w:val="0"/>
          <w:bCs/>
        </w:rPr>
        <w:t>,</w:t>
      </w:r>
      <w:r w:rsidR="001609C0">
        <w:rPr>
          <w:b w:val="0"/>
          <w:bCs/>
          <w:i/>
          <w:iCs/>
        </w:rPr>
        <w:t xml:space="preserve"> </w:t>
      </w:r>
      <w:r>
        <w:rPr>
          <w:b w:val="0"/>
          <w:bCs/>
        </w:rPr>
        <w:t xml:space="preserve">51 </w:t>
      </w:r>
      <w:r w:rsidRPr="000C1ACF">
        <w:rPr>
          <w:b w:val="0"/>
          <w:bCs/>
        </w:rPr>
        <w:t xml:space="preserve">Cal.App.5th </w:t>
      </w:r>
      <w:r w:rsidR="001609C0">
        <w:rPr>
          <w:b w:val="0"/>
          <w:bCs/>
        </w:rPr>
        <w:t>at pp.</w:t>
      </w:r>
      <w:r w:rsidR="00600A94">
        <w:rPr>
          <w:b w:val="0"/>
          <w:bCs/>
        </w:rPr>
        <w:t xml:space="preserve"> </w:t>
      </w:r>
      <w:r>
        <w:rPr>
          <w:b w:val="0"/>
          <w:bCs/>
        </w:rPr>
        <w:t>112</w:t>
      </w:r>
      <w:r w:rsidR="00421819">
        <w:rPr>
          <w:b w:val="0"/>
          <w:bCs/>
        </w:rPr>
        <w:t>–</w:t>
      </w:r>
      <w:r>
        <w:rPr>
          <w:b w:val="0"/>
          <w:bCs/>
        </w:rPr>
        <w:t xml:space="preserve">113; </w:t>
      </w:r>
      <w:r>
        <w:rPr>
          <w:b w:val="0"/>
          <w:bCs/>
          <w:i/>
          <w:iCs/>
        </w:rPr>
        <w:t>Margaret W. v. Kelley R.</w:t>
      </w:r>
      <w:r>
        <w:rPr>
          <w:b w:val="0"/>
          <w:bCs/>
        </w:rPr>
        <w:t xml:space="preserve"> (2006) 139 </w:t>
      </w:r>
      <w:r w:rsidRPr="00DC5799">
        <w:rPr>
          <w:b w:val="0"/>
          <w:bCs/>
        </w:rPr>
        <w:t xml:space="preserve">Cal.App.4th </w:t>
      </w:r>
      <w:r>
        <w:rPr>
          <w:b w:val="0"/>
          <w:bCs/>
        </w:rPr>
        <w:t>141, 153, 158 [no showing of foreseeability where defendant did not know the plaintiff’s assailants and no evidence the assailants had propensity to commit sexual assaults])</w:t>
      </w:r>
      <w:r w:rsidR="00AA12BA">
        <w:rPr>
          <w:b w:val="0"/>
          <w:bCs/>
        </w:rPr>
        <w:t>.</w:t>
      </w:r>
    </w:p>
    <w:p w:rsidR="00C946D1" w:rsidRPr="002D532E" w:rsidP="009B2934" w14:paraId="6201B30D" w14:textId="6AC94FCF">
      <w:pPr>
        <w:pStyle w:val="Heading21"/>
        <w:spacing w:before="0" w:after="0"/>
        <w:ind w:left="0" w:firstLine="720"/>
        <w:rPr>
          <w:b w:val="0"/>
          <w:bCs/>
        </w:rPr>
      </w:pPr>
      <w:r>
        <w:rPr>
          <w:b w:val="0"/>
          <w:bCs/>
        </w:rPr>
        <w:t xml:space="preserve">Al </w:t>
      </w:r>
      <w:r w:rsidR="0042768F">
        <w:rPr>
          <w:b w:val="0"/>
          <w:bCs/>
        </w:rPr>
        <w:t>Shikha’s</w:t>
      </w:r>
      <w:r>
        <w:rPr>
          <w:b w:val="0"/>
          <w:bCs/>
        </w:rPr>
        <w:t xml:space="preserve"> complaint alleges only that </w:t>
      </w:r>
      <w:r w:rsidR="00131BD2">
        <w:rPr>
          <w:b w:val="0"/>
          <w:bCs/>
        </w:rPr>
        <w:t xml:space="preserve">“it is well known by Lyft that many drivers for Lyft and Uber, as well as taxicab drivers and other similar </w:t>
      </w:r>
      <w:r w:rsidR="00E02919">
        <w:rPr>
          <w:b w:val="0"/>
          <w:bCs/>
        </w:rPr>
        <w:t xml:space="preserve">common carriers, have fallen victim to serious crimes committed </w:t>
      </w:r>
      <w:r w:rsidR="00CB0D33">
        <w:rPr>
          <w:b w:val="0"/>
          <w:bCs/>
        </w:rPr>
        <w:t>b</w:t>
      </w:r>
      <w:r w:rsidR="00E02919">
        <w:rPr>
          <w:b w:val="0"/>
          <w:bCs/>
        </w:rPr>
        <w:t>y passengers in the years prior to the Incident</w:t>
      </w:r>
      <w:r w:rsidR="00954B8B">
        <w:rPr>
          <w:b w:val="0"/>
          <w:bCs/>
        </w:rPr>
        <w:t xml:space="preserve"> . . . .”  </w:t>
      </w:r>
      <w:r w:rsidR="00C6018E">
        <w:rPr>
          <w:b w:val="0"/>
          <w:bCs/>
        </w:rPr>
        <w:t xml:space="preserve">This allegation does not reflect a heightened foreseeability that passengers will perpetrate </w:t>
      </w:r>
      <w:r w:rsidR="0042768F">
        <w:rPr>
          <w:b w:val="0"/>
          <w:bCs/>
        </w:rPr>
        <w:t>violence on</w:t>
      </w:r>
      <w:r w:rsidR="00C6018E">
        <w:rPr>
          <w:b w:val="0"/>
          <w:bCs/>
        </w:rPr>
        <w:t xml:space="preserve"> drivers in particular.  A</w:t>
      </w:r>
      <w:r w:rsidR="00C57229">
        <w:rPr>
          <w:b w:val="0"/>
          <w:bCs/>
        </w:rPr>
        <w:t xml:space="preserve">s the California Supreme Court explained in </w:t>
      </w:r>
      <w:r w:rsidR="00C57229">
        <w:rPr>
          <w:b w:val="0"/>
          <w:bCs/>
          <w:i/>
          <w:iCs/>
        </w:rPr>
        <w:t>Wiener</w:t>
      </w:r>
      <w:r w:rsidR="00C57229">
        <w:rPr>
          <w:b w:val="0"/>
          <w:bCs/>
        </w:rPr>
        <w:t xml:space="preserve">, </w:t>
      </w:r>
      <w:r w:rsidR="00D633AE">
        <w:rPr>
          <w:b w:val="0"/>
          <w:bCs/>
        </w:rPr>
        <w:t>“it is difficult if not impossible in today’s society to predict when a criminal might strike.  Also, if a criminal decides on a particular goal or victim, it is extremely difficult to remove his every means for achieving that goal.”  (</w:t>
      </w:r>
      <w:r w:rsidR="00D633AE">
        <w:rPr>
          <w:b w:val="0"/>
          <w:bCs/>
          <w:i/>
          <w:iCs/>
        </w:rPr>
        <w:t>Wiener</w:t>
      </w:r>
      <w:r w:rsidRPr="00421819" w:rsidR="00D633AE">
        <w:rPr>
          <w:b w:val="0"/>
          <w:bCs/>
        </w:rPr>
        <w:t>,</w:t>
      </w:r>
      <w:r w:rsidR="00D633AE">
        <w:rPr>
          <w:b w:val="0"/>
          <w:bCs/>
          <w:i/>
          <w:iCs/>
        </w:rPr>
        <w:t xml:space="preserve"> supra</w:t>
      </w:r>
      <w:r w:rsidRPr="00421819" w:rsidR="00D633AE">
        <w:rPr>
          <w:b w:val="0"/>
          <w:bCs/>
        </w:rPr>
        <w:t>,</w:t>
      </w:r>
      <w:r w:rsidR="00C22622">
        <w:rPr>
          <w:b w:val="0"/>
          <w:bCs/>
          <w:i/>
          <w:iCs/>
        </w:rPr>
        <w:t xml:space="preserve"> </w:t>
      </w:r>
      <w:r w:rsidRPr="00244DA6" w:rsidR="00FE74D0">
        <w:rPr>
          <w:b w:val="0"/>
          <w:bCs/>
        </w:rPr>
        <w:t xml:space="preserve">32 Cal.4th </w:t>
      </w:r>
      <w:r w:rsidR="00FE74D0">
        <w:rPr>
          <w:b w:val="0"/>
          <w:bCs/>
        </w:rPr>
        <w:t>at p. 1150.)</w:t>
      </w:r>
      <w:r w:rsidR="00421819">
        <w:rPr>
          <w:b w:val="0"/>
          <w:bCs/>
        </w:rPr>
        <w:t xml:space="preserve"> </w:t>
      </w:r>
      <w:r w:rsidR="00FE74D0">
        <w:rPr>
          <w:b w:val="0"/>
          <w:bCs/>
        </w:rPr>
        <w:t xml:space="preserve"> </w:t>
      </w:r>
      <w:r w:rsidR="00283F84">
        <w:rPr>
          <w:b w:val="0"/>
          <w:bCs/>
        </w:rPr>
        <w:t>That passenger crime against drivers has occurred, standing alone, is insufficient to demonstrate heightened foreseeability.</w:t>
      </w:r>
      <w:r w:rsidR="002D532E">
        <w:rPr>
          <w:b w:val="0"/>
          <w:bCs/>
        </w:rPr>
        <w:t xml:space="preserve">  (See </w:t>
      </w:r>
      <w:r w:rsidR="002D532E">
        <w:rPr>
          <w:b w:val="0"/>
          <w:bCs/>
          <w:i/>
          <w:iCs/>
        </w:rPr>
        <w:t>Sharon P.</w:t>
      </w:r>
      <w:r w:rsidRPr="00421819" w:rsidR="002D532E">
        <w:rPr>
          <w:b w:val="0"/>
          <w:bCs/>
        </w:rPr>
        <w:t>,</w:t>
      </w:r>
      <w:r w:rsidR="002D532E">
        <w:rPr>
          <w:b w:val="0"/>
          <w:bCs/>
          <w:i/>
          <w:iCs/>
        </w:rPr>
        <w:t xml:space="preserve"> supra</w:t>
      </w:r>
      <w:r w:rsidRPr="00421819" w:rsidR="002D532E">
        <w:rPr>
          <w:b w:val="0"/>
          <w:bCs/>
        </w:rPr>
        <w:t>,</w:t>
      </w:r>
      <w:r w:rsidR="002D532E">
        <w:rPr>
          <w:b w:val="0"/>
          <w:bCs/>
        </w:rPr>
        <w:t xml:space="preserve"> 21 </w:t>
      </w:r>
      <w:r w:rsidRPr="002D532E" w:rsidR="002D532E">
        <w:rPr>
          <w:b w:val="0"/>
          <w:bCs/>
        </w:rPr>
        <w:t xml:space="preserve">Cal.4th </w:t>
      </w:r>
      <w:r w:rsidR="002D532E">
        <w:rPr>
          <w:b w:val="0"/>
          <w:bCs/>
        </w:rPr>
        <w:t>at p.</w:t>
      </w:r>
      <w:r w:rsidR="00421819">
        <w:rPr>
          <w:b w:val="0"/>
          <w:bCs/>
        </w:rPr>
        <w:t> </w:t>
      </w:r>
      <w:r w:rsidR="002D532E">
        <w:rPr>
          <w:b w:val="0"/>
          <w:bCs/>
        </w:rPr>
        <w:t xml:space="preserve">1191; </w:t>
      </w:r>
      <w:r w:rsidR="002D532E">
        <w:rPr>
          <w:b w:val="0"/>
          <w:bCs/>
          <w:i/>
          <w:iCs/>
        </w:rPr>
        <w:t>Hanouchian</w:t>
      </w:r>
      <w:r w:rsidRPr="00421819" w:rsidR="002D532E">
        <w:rPr>
          <w:b w:val="0"/>
          <w:bCs/>
        </w:rPr>
        <w:t>,</w:t>
      </w:r>
      <w:r w:rsidR="002D532E">
        <w:rPr>
          <w:b w:val="0"/>
          <w:bCs/>
          <w:i/>
          <w:iCs/>
        </w:rPr>
        <w:t xml:space="preserve"> supra</w:t>
      </w:r>
      <w:r w:rsidRPr="00421819" w:rsidR="002D532E">
        <w:rPr>
          <w:b w:val="0"/>
          <w:bCs/>
        </w:rPr>
        <w:t>,</w:t>
      </w:r>
      <w:r w:rsidR="002D532E">
        <w:rPr>
          <w:b w:val="0"/>
          <w:bCs/>
        </w:rPr>
        <w:t xml:space="preserve"> 51 </w:t>
      </w:r>
      <w:r w:rsidRPr="002D532E" w:rsidR="002D532E">
        <w:rPr>
          <w:b w:val="0"/>
          <w:bCs/>
        </w:rPr>
        <w:t xml:space="preserve">Cal.App.5th </w:t>
      </w:r>
      <w:r w:rsidR="002D532E">
        <w:rPr>
          <w:b w:val="0"/>
          <w:bCs/>
        </w:rPr>
        <w:t>at p. 113.)</w:t>
      </w:r>
    </w:p>
    <w:p w:rsidR="00A56794" w:rsidP="00524785" w14:paraId="0FE4E1E0" w14:textId="2C597E5D">
      <w:pPr>
        <w:pStyle w:val="Heading21"/>
        <w:spacing w:before="0" w:after="0"/>
        <w:ind w:left="0" w:firstLine="720"/>
        <w:rPr>
          <w:b w:val="0"/>
          <w:bCs/>
        </w:rPr>
      </w:pPr>
      <w:r>
        <w:rPr>
          <w:b w:val="0"/>
          <w:bCs/>
        </w:rPr>
        <w:t xml:space="preserve">On appeal, </w:t>
      </w:r>
      <w:r w:rsidR="008F665A">
        <w:rPr>
          <w:b w:val="0"/>
          <w:bCs/>
        </w:rPr>
        <w:t>Al Shikha contends</w:t>
      </w:r>
      <w:r w:rsidR="009A0AD5">
        <w:rPr>
          <w:b w:val="0"/>
          <w:bCs/>
        </w:rPr>
        <w:t xml:space="preserve"> the heightened</w:t>
      </w:r>
      <w:r w:rsidR="008F665A">
        <w:rPr>
          <w:b w:val="0"/>
          <w:bCs/>
        </w:rPr>
        <w:t xml:space="preserve"> </w:t>
      </w:r>
      <w:r w:rsidR="008538F0">
        <w:rPr>
          <w:b w:val="0"/>
          <w:bCs/>
        </w:rPr>
        <w:t xml:space="preserve">foreseeability </w:t>
      </w:r>
      <w:r w:rsidR="009A0AD5">
        <w:rPr>
          <w:b w:val="0"/>
          <w:bCs/>
        </w:rPr>
        <w:t xml:space="preserve">of </w:t>
      </w:r>
      <w:r w:rsidR="00362AD8">
        <w:rPr>
          <w:b w:val="0"/>
          <w:bCs/>
        </w:rPr>
        <w:t xml:space="preserve">riders perpetrating crime on drivers </w:t>
      </w:r>
      <w:r w:rsidR="008538F0">
        <w:rPr>
          <w:b w:val="0"/>
          <w:bCs/>
        </w:rPr>
        <w:t xml:space="preserve">is </w:t>
      </w:r>
      <w:r w:rsidRPr="00904B7B" w:rsidR="008538F0">
        <w:rPr>
          <w:b w:val="0"/>
          <w:bCs/>
        </w:rPr>
        <w:t xml:space="preserve">demonstrated by </w:t>
      </w:r>
      <w:r w:rsidRPr="00904B7B" w:rsidR="00A57EA9">
        <w:rPr>
          <w:b w:val="0"/>
          <w:bCs/>
        </w:rPr>
        <w:t>the fact that Lyft</w:t>
      </w:r>
      <w:r w:rsidR="00A57EA9">
        <w:rPr>
          <w:b w:val="0"/>
          <w:bCs/>
        </w:rPr>
        <w:t xml:space="preserve"> </w:t>
      </w:r>
      <w:r w:rsidR="00423E27">
        <w:rPr>
          <w:b w:val="0"/>
          <w:bCs/>
        </w:rPr>
        <w:t>“dedicates</w:t>
      </w:r>
      <w:r w:rsidR="00DE13F1">
        <w:rPr>
          <w:b w:val="0"/>
          <w:bCs/>
        </w:rPr>
        <w:t xml:space="preserve"> many sections of its website and much of its policies and rules to driver/safety issues”; that Lyft “has a dedicated team of Safety Specialists who track and respond to reports of crimes committed during rides”; and </w:t>
      </w:r>
      <w:r w:rsidR="0099151E">
        <w:rPr>
          <w:b w:val="0"/>
          <w:bCs/>
        </w:rPr>
        <w:t xml:space="preserve">by </w:t>
      </w:r>
      <w:r w:rsidR="00A55294">
        <w:rPr>
          <w:b w:val="0"/>
          <w:bCs/>
        </w:rPr>
        <w:t xml:space="preserve">Lyft’s Community Safety Report, which Al Shikha contends </w:t>
      </w:r>
      <w:r w:rsidR="0017681F">
        <w:rPr>
          <w:b w:val="0"/>
          <w:bCs/>
        </w:rPr>
        <w:t>reported 10 fatal physical assaults in the years 2017 to 2019</w:t>
      </w:r>
      <w:r w:rsidR="000E4D54">
        <w:rPr>
          <w:b w:val="0"/>
          <w:bCs/>
        </w:rPr>
        <w:t xml:space="preserve">, and 4,158 sexual assaults, in data that does not </w:t>
      </w:r>
      <w:r w:rsidR="00153EDB">
        <w:rPr>
          <w:b w:val="0"/>
          <w:bCs/>
        </w:rPr>
        <w:t>indicate whether the victims were riders or drivers.</w:t>
      </w:r>
    </w:p>
    <w:p w:rsidR="006344B2" w:rsidP="00524785" w14:paraId="425C478D" w14:textId="4AA6AFB6">
      <w:pPr>
        <w:pStyle w:val="Heading21"/>
        <w:spacing w:before="0" w:after="0"/>
        <w:ind w:left="0" w:firstLine="720"/>
        <w:rPr>
          <w:b w:val="0"/>
          <w:bCs/>
        </w:rPr>
      </w:pPr>
      <w:r>
        <w:rPr>
          <w:b w:val="0"/>
          <w:bCs/>
        </w:rPr>
        <w:t xml:space="preserve">As noted above, </w:t>
      </w:r>
      <w:r w:rsidR="000B6317">
        <w:rPr>
          <w:b w:val="0"/>
          <w:bCs/>
        </w:rPr>
        <w:t xml:space="preserve">Al Shikha did not present </w:t>
      </w:r>
      <w:r>
        <w:rPr>
          <w:b w:val="0"/>
          <w:bCs/>
        </w:rPr>
        <w:t xml:space="preserve">these </w:t>
      </w:r>
      <w:r w:rsidR="000B6317">
        <w:rPr>
          <w:b w:val="0"/>
          <w:bCs/>
        </w:rPr>
        <w:t xml:space="preserve">documents </w:t>
      </w:r>
      <w:r>
        <w:rPr>
          <w:b w:val="0"/>
          <w:bCs/>
        </w:rPr>
        <w:t xml:space="preserve">to the trial </w:t>
      </w:r>
      <w:r w:rsidR="00FD77FF">
        <w:rPr>
          <w:b w:val="0"/>
          <w:bCs/>
        </w:rPr>
        <w:t>court,</w:t>
      </w:r>
      <w:r>
        <w:rPr>
          <w:b w:val="0"/>
          <w:bCs/>
        </w:rPr>
        <w:t xml:space="preserve"> and we have concluded there is no basis for us to take judicial notice of the materials.  Yet, even if these </w:t>
      </w:r>
      <w:r w:rsidR="00076178">
        <w:rPr>
          <w:b w:val="0"/>
          <w:bCs/>
        </w:rPr>
        <w:t>were facts alleged in Al Shikha’s complaint, we would conclude they do not establish heightened foreseeability of the</w:t>
      </w:r>
      <w:r w:rsidR="00824D95">
        <w:rPr>
          <w:b w:val="0"/>
          <w:bCs/>
        </w:rPr>
        <w:t xml:space="preserve"> type of attack that occurred in this case.  An allegation that Lyft has policies regarding </w:t>
      </w:r>
      <w:r w:rsidR="00DB0BDE">
        <w:rPr>
          <w:b w:val="0"/>
          <w:bCs/>
        </w:rPr>
        <w:t>safety issues and has a team to respond to reports of crime indicates nothing about prior incidents similar to the attack in this case</w:t>
      </w:r>
      <w:r w:rsidR="001616A9">
        <w:rPr>
          <w:b w:val="0"/>
          <w:bCs/>
        </w:rPr>
        <w:t xml:space="preserve">.  Similarly, </w:t>
      </w:r>
      <w:r w:rsidR="00C87C3E">
        <w:rPr>
          <w:b w:val="0"/>
          <w:bCs/>
        </w:rPr>
        <w:t xml:space="preserve">an allegation of 10 </w:t>
      </w:r>
      <w:r w:rsidR="004D3FF5">
        <w:rPr>
          <w:b w:val="0"/>
          <w:bCs/>
        </w:rPr>
        <w:t xml:space="preserve">fatal </w:t>
      </w:r>
      <w:r w:rsidR="00C87C3E">
        <w:rPr>
          <w:b w:val="0"/>
          <w:bCs/>
        </w:rPr>
        <w:t xml:space="preserve">physical assaults </w:t>
      </w:r>
      <w:r w:rsidR="004D3FF5">
        <w:rPr>
          <w:b w:val="0"/>
          <w:bCs/>
        </w:rPr>
        <w:t xml:space="preserve">in a three-year period and over an unknown number of rides, or </w:t>
      </w:r>
      <w:r w:rsidR="002317EC">
        <w:rPr>
          <w:b w:val="0"/>
          <w:bCs/>
        </w:rPr>
        <w:t>4,158 sexual assaults when it is unknown how many of the victims</w:t>
      </w:r>
      <w:r w:rsidR="007C13D1">
        <w:rPr>
          <w:b w:val="0"/>
          <w:bCs/>
        </w:rPr>
        <w:t xml:space="preserve"> </w:t>
      </w:r>
      <w:r w:rsidR="002317EC">
        <w:rPr>
          <w:b w:val="0"/>
          <w:bCs/>
        </w:rPr>
        <w:t xml:space="preserve">were drivers, fails to establish </w:t>
      </w:r>
      <w:r w:rsidR="00026104">
        <w:rPr>
          <w:b w:val="0"/>
          <w:bCs/>
        </w:rPr>
        <w:t>the kind of “extraordinary fores</w:t>
      </w:r>
      <w:r w:rsidR="0023139C">
        <w:rPr>
          <w:b w:val="0"/>
          <w:bCs/>
        </w:rPr>
        <w:t xml:space="preserve">eeability” necessary for the imposition of </w:t>
      </w:r>
      <w:r w:rsidR="00EF4602">
        <w:rPr>
          <w:b w:val="0"/>
          <w:bCs/>
        </w:rPr>
        <w:t>the</w:t>
      </w:r>
      <w:r w:rsidR="0023139C">
        <w:rPr>
          <w:b w:val="0"/>
          <w:bCs/>
        </w:rPr>
        <w:t xml:space="preserve"> extremely burdensome and questionably effective </w:t>
      </w:r>
      <w:r w:rsidR="00977487">
        <w:rPr>
          <w:b w:val="0"/>
          <w:bCs/>
        </w:rPr>
        <w:t>crime prevention measure</w:t>
      </w:r>
      <w:r w:rsidR="00EF4602">
        <w:rPr>
          <w:b w:val="0"/>
          <w:bCs/>
        </w:rPr>
        <w:t>s Al Shikha proposes.</w:t>
      </w:r>
      <w:r w:rsidR="002E7F90">
        <w:rPr>
          <w:b w:val="0"/>
          <w:bCs/>
        </w:rPr>
        <w:t xml:space="preserve">  (</w:t>
      </w:r>
      <w:r w:rsidR="002E7F90">
        <w:rPr>
          <w:b w:val="0"/>
          <w:bCs/>
          <w:i/>
          <w:iCs/>
        </w:rPr>
        <w:t>Sharon P.</w:t>
      </w:r>
      <w:r w:rsidRPr="00421819" w:rsidR="002E7F90">
        <w:rPr>
          <w:b w:val="0"/>
          <w:bCs/>
        </w:rPr>
        <w:t>,</w:t>
      </w:r>
      <w:r w:rsidR="002E7F90">
        <w:rPr>
          <w:b w:val="0"/>
          <w:bCs/>
          <w:i/>
          <w:iCs/>
        </w:rPr>
        <w:t xml:space="preserve"> supra</w:t>
      </w:r>
      <w:r w:rsidRPr="00421819" w:rsidR="002E7F90">
        <w:rPr>
          <w:b w:val="0"/>
          <w:bCs/>
        </w:rPr>
        <w:t xml:space="preserve">, </w:t>
      </w:r>
      <w:r w:rsidR="002E7F90">
        <w:rPr>
          <w:b w:val="0"/>
          <w:bCs/>
        </w:rPr>
        <w:t xml:space="preserve">21 </w:t>
      </w:r>
      <w:r w:rsidRPr="002E7F90" w:rsidR="002E7F90">
        <w:rPr>
          <w:b w:val="0"/>
          <w:bCs/>
        </w:rPr>
        <w:t xml:space="preserve">Cal.4th </w:t>
      </w:r>
      <w:r w:rsidR="002E7F90">
        <w:rPr>
          <w:b w:val="0"/>
          <w:bCs/>
        </w:rPr>
        <w:t xml:space="preserve">at p. 1199; </w:t>
      </w:r>
      <w:r w:rsidR="002E7F90">
        <w:rPr>
          <w:b w:val="0"/>
          <w:bCs/>
          <w:i/>
          <w:iCs/>
        </w:rPr>
        <w:t>Ann M.</w:t>
      </w:r>
      <w:r w:rsidRPr="00421819" w:rsidR="002E7F90">
        <w:rPr>
          <w:b w:val="0"/>
          <w:bCs/>
        </w:rPr>
        <w:t>,</w:t>
      </w:r>
      <w:r w:rsidR="002E7F90">
        <w:rPr>
          <w:b w:val="0"/>
          <w:bCs/>
          <w:i/>
          <w:iCs/>
        </w:rPr>
        <w:t xml:space="preserve"> supra</w:t>
      </w:r>
      <w:r w:rsidRPr="00421819" w:rsidR="002E7F90">
        <w:rPr>
          <w:b w:val="0"/>
          <w:bCs/>
        </w:rPr>
        <w:t>,</w:t>
      </w:r>
      <w:r w:rsidR="002E7F90">
        <w:rPr>
          <w:b w:val="0"/>
          <w:bCs/>
        </w:rPr>
        <w:t xml:space="preserve"> 6 </w:t>
      </w:r>
      <w:r w:rsidRPr="002E7F90" w:rsidR="002E7F90">
        <w:rPr>
          <w:b w:val="0"/>
          <w:bCs/>
        </w:rPr>
        <w:t xml:space="preserve">Cal.4th </w:t>
      </w:r>
      <w:r w:rsidR="002E7F90">
        <w:rPr>
          <w:b w:val="0"/>
          <w:bCs/>
        </w:rPr>
        <w:t>at p. 679.)</w:t>
      </w:r>
    </w:p>
    <w:p w:rsidR="00E1443D" w:rsidP="00E1443D" w14:paraId="1C3EA9B3" w14:textId="6392EBF6">
      <w:pPr>
        <w:pStyle w:val="Heading21"/>
        <w:spacing w:before="0" w:after="0"/>
        <w:ind w:left="0" w:firstLine="720"/>
        <w:rPr>
          <w:b w:val="0"/>
          <w:bCs/>
        </w:rPr>
      </w:pPr>
      <w:r>
        <w:rPr>
          <w:b w:val="0"/>
          <w:bCs/>
        </w:rPr>
        <w:t xml:space="preserve">Al Shikha additionally </w:t>
      </w:r>
      <w:r w:rsidR="00F6228E">
        <w:rPr>
          <w:b w:val="0"/>
          <w:bCs/>
        </w:rPr>
        <w:t xml:space="preserve">argues data from Uber safety reports demonstrates the foreseeability of passenger attacks on drivers similar to </w:t>
      </w:r>
      <w:r w:rsidR="00A42C7A">
        <w:rPr>
          <w:b w:val="0"/>
          <w:bCs/>
        </w:rPr>
        <w:t xml:space="preserve">this case.  He cites </w:t>
      </w:r>
      <w:r w:rsidRPr="00244DA6" w:rsidR="00365B08">
        <w:rPr>
          <w:b w:val="0"/>
          <w:bCs/>
          <w:i/>
          <w:iCs/>
        </w:rPr>
        <w:t>Tchakounte v. Uber Technologies, Inc.</w:t>
      </w:r>
      <w:r w:rsidRPr="00244DA6" w:rsidR="00365B08">
        <w:rPr>
          <w:b w:val="0"/>
          <w:bCs/>
        </w:rPr>
        <w:t xml:space="preserve"> (D.Md., Feb. 3, 2022, No. CCB-20-3028) 2022 WL 326727 (</w:t>
      </w:r>
      <w:r w:rsidRPr="00244DA6" w:rsidR="00365B08">
        <w:rPr>
          <w:b w:val="0"/>
          <w:bCs/>
          <w:i/>
          <w:iCs/>
        </w:rPr>
        <w:t>Tchakounte</w:t>
      </w:r>
      <w:r w:rsidRPr="00244DA6" w:rsidR="00365B08">
        <w:rPr>
          <w:b w:val="0"/>
          <w:bCs/>
        </w:rPr>
        <w:t xml:space="preserve">), </w:t>
      </w:r>
      <w:r w:rsidR="00813C4C">
        <w:rPr>
          <w:b w:val="0"/>
          <w:bCs/>
        </w:rPr>
        <w:t xml:space="preserve">in which </w:t>
      </w:r>
      <w:r w:rsidR="00475A47">
        <w:rPr>
          <w:b w:val="0"/>
          <w:bCs/>
        </w:rPr>
        <w:t xml:space="preserve">the plaintiffs presented </w:t>
      </w:r>
      <w:r w:rsidR="00F33760">
        <w:rPr>
          <w:b w:val="0"/>
          <w:bCs/>
        </w:rPr>
        <w:t>an Uber safety report</w:t>
      </w:r>
      <w:r w:rsidR="00475A47">
        <w:rPr>
          <w:b w:val="0"/>
          <w:bCs/>
        </w:rPr>
        <w:t xml:space="preserve"> </w:t>
      </w:r>
      <w:r w:rsidR="003726E6">
        <w:rPr>
          <w:b w:val="0"/>
          <w:bCs/>
        </w:rPr>
        <w:t>indicating</w:t>
      </w:r>
      <w:r w:rsidR="00813C4C">
        <w:rPr>
          <w:b w:val="0"/>
          <w:bCs/>
        </w:rPr>
        <w:t xml:space="preserve"> </w:t>
      </w:r>
      <w:r w:rsidRPr="00244DA6" w:rsidR="00365B08">
        <w:rPr>
          <w:b w:val="0"/>
          <w:bCs/>
        </w:rPr>
        <w:t xml:space="preserve">that </w:t>
      </w:r>
      <w:r w:rsidRPr="00244DA6" w:rsidR="00655F5D">
        <w:rPr>
          <w:b w:val="0"/>
          <w:bCs/>
        </w:rPr>
        <w:t>for the years 2017 and 2018, “[Uber] drivers experienced fatal violence almost as frequently as riders did.”</w:t>
      </w:r>
      <w:r w:rsidRPr="00244DA6" w:rsidR="0043137D">
        <w:rPr>
          <w:b w:val="0"/>
          <w:bCs/>
        </w:rPr>
        <w:t xml:space="preserve">  (</w:t>
      </w:r>
      <w:r w:rsidRPr="00244DA6" w:rsidR="0043137D">
        <w:rPr>
          <w:b w:val="0"/>
          <w:bCs/>
          <w:i/>
          <w:iCs/>
        </w:rPr>
        <w:t>Id</w:t>
      </w:r>
      <w:r w:rsidRPr="00895302" w:rsidR="0043137D">
        <w:rPr>
          <w:b w:val="0"/>
          <w:bCs/>
        </w:rPr>
        <w:t>.</w:t>
      </w:r>
      <w:r w:rsidRPr="00244DA6" w:rsidR="0043137D">
        <w:rPr>
          <w:b w:val="0"/>
          <w:bCs/>
          <w:i/>
          <w:iCs/>
        </w:rPr>
        <w:t xml:space="preserve"> </w:t>
      </w:r>
      <w:r w:rsidRPr="00244DA6" w:rsidR="0043137D">
        <w:rPr>
          <w:b w:val="0"/>
          <w:bCs/>
        </w:rPr>
        <w:t xml:space="preserve">at </w:t>
      </w:r>
      <w:r w:rsidR="000E6CFC">
        <w:rPr>
          <w:b w:val="0"/>
          <w:bCs/>
        </w:rPr>
        <w:t xml:space="preserve">p. </w:t>
      </w:r>
      <w:r w:rsidRPr="00244DA6" w:rsidR="0043137D">
        <w:rPr>
          <w:b w:val="0"/>
          <w:bCs/>
        </w:rPr>
        <w:t>*</w:t>
      </w:r>
      <w:r w:rsidR="00E0102E">
        <w:rPr>
          <w:b w:val="0"/>
          <w:bCs/>
        </w:rPr>
        <w:t>2</w:t>
      </w:r>
      <w:r w:rsidRPr="00244DA6" w:rsidR="0043137D">
        <w:rPr>
          <w:b w:val="0"/>
          <w:bCs/>
        </w:rPr>
        <w:t>.)  Yet, Al Shikha ignores that the</w:t>
      </w:r>
      <w:r w:rsidRPr="00814CB6" w:rsidR="00814CB6">
        <w:rPr>
          <w:b w:val="0"/>
          <w:bCs/>
        </w:rPr>
        <w:t xml:space="preserve"> </w:t>
      </w:r>
      <w:r w:rsidRPr="00244DA6" w:rsidR="00814CB6">
        <w:rPr>
          <w:b w:val="0"/>
          <w:bCs/>
          <w:i/>
          <w:iCs/>
        </w:rPr>
        <w:t>Tchakounte</w:t>
      </w:r>
      <w:r w:rsidRPr="00244DA6" w:rsidR="0043137D">
        <w:rPr>
          <w:b w:val="0"/>
          <w:bCs/>
        </w:rPr>
        <w:t xml:space="preserve"> court concluded </w:t>
      </w:r>
      <w:r w:rsidRPr="00244DA6" w:rsidR="001728F1">
        <w:rPr>
          <w:b w:val="0"/>
          <w:bCs/>
        </w:rPr>
        <w:t xml:space="preserve">the </w:t>
      </w:r>
      <w:r w:rsidR="00B6729F">
        <w:rPr>
          <w:b w:val="0"/>
          <w:bCs/>
        </w:rPr>
        <w:t xml:space="preserve">safety report </w:t>
      </w:r>
      <w:r w:rsidRPr="00244DA6" w:rsidR="001728F1">
        <w:rPr>
          <w:b w:val="0"/>
          <w:bCs/>
        </w:rPr>
        <w:t>data was insufficient to establish foreseeability in that case.  The court explained</w:t>
      </w:r>
      <w:r w:rsidRPr="00244DA6" w:rsidR="004150A1">
        <w:rPr>
          <w:b w:val="0"/>
          <w:bCs/>
        </w:rPr>
        <w:t xml:space="preserve">: </w:t>
      </w:r>
      <w:r w:rsidR="00814CB6">
        <w:rPr>
          <w:b w:val="0"/>
          <w:bCs/>
        </w:rPr>
        <w:t>“</w:t>
      </w:r>
      <w:r w:rsidRPr="00244DA6" w:rsidR="002C0A43">
        <w:rPr>
          <w:b w:val="0"/>
          <w:bCs/>
        </w:rPr>
        <w:t xml:space="preserve">Assuming the Safety Report shows Uber was aware of fatal assaults on drivers at the time of Mr. </w:t>
      </w:r>
      <w:r w:rsidRPr="00244DA6" w:rsidR="00B76FF8">
        <w:rPr>
          <w:b w:val="0"/>
          <w:bCs/>
        </w:rPr>
        <w:t>Tchakounte</w:t>
      </w:r>
      <w:r w:rsidR="00B76FF8">
        <w:rPr>
          <w:b w:val="0"/>
          <w:bCs/>
        </w:rPr>
        <w:t>’</w:t>
      </w:r>
      <w:r w:rsidRPr="00244DA6" w:rsidR="00B76FF8">
        <w:rPr>
          <w:b w:val="0"/>
          <w:bCs/>
        </w:rPr>
        <w:t xml:space="preserve">s </w:t>
      </w:r>
      <w:r w:rsidRPr="00244DA6" w:rsidR="002C0A43">
        <w:rPr>
          <w:b w:val="0"/>
          <w:bCs/>
        </w:rPr>
        <w:t>murder, the risk of a fatal injury was extremely low: 7 of the 750,000 Uber drivers in 2018 (0.00093%) experienced a fatal assault.</w:t>
      </w:r>
      <w:r w:rsidR="00895302">
        <w:rPr>
          <w:b w:val="0"/>
          <w:bCs/>
        </w:rPr>
        <w:t xml:space="preserve"> </w:t>
      </w:r>
      <w:r w:rsidRPr="00244DA6" w:rsidR="002C0A43">
        <w:rPr>
          <w:b w:val="0"/>
          <w:bCs/>
        </w:rPr>
        <w:t xml:space="preserve"> This falls far short of analogs in other tort liability contexts, where courts have looked for relatively higher incidences of harm before finding harm foreseeable. </w:t>
      </w:r>
      <w:r w:rsidR="00895302">
        <w:rPr>
          <w:b w:val="0"/>
          <w:bCs/>
        </w:rPr>
        <w:t xml:space="preserve"> </w:t>
      </w:r>
      <w:r w:rsidR="00814CB6">
        <w:rPr>
          <w:b w:val="0"/>
          <w:bCs/>
        </w:rPr>
        <w:t xml:space="preserve">[Citation.]  </w:t>
      </w:r>
      <w:r w:rsidRPr="00244DA6" w:rsidR="002C0A43">
        <w:rPr>
          <w:b w:val="0"/>
          <w:bCs/>
        </w:rPr>
        <w:t>To find that Uber should have foreseen such a low-probability event would be to hold Uber liable as an insurer of its drivers</w:t>
      </w:r>
      <w:r w:rsidR="00780AF1">
        <w:rPr>
          <w:b w:val="0"/>
          <w:bCs/>
        </w:rPr>
        <w:t>’</w:t>
      </w:r>
      <w:r w:rsidRPr="00244DA6" w:rsidR="002C0A43">
        <w:rPr>
          <w:b w:val="0"/>
          <w:bCs/>
        </w:rPr>
        <w:t xml:space="preserve"> safety.</w:t>
      </w:r>
      <w:r w:rsidR="00814CB6">
        <w:rPr>
          <w:b w:val="0"/>
          <w:bCs/>
        </w:rPr>
        <w:t>”  (</w:t>
      </w:r>
      <w:r w:rsidR="00814CB6">
        <w:rPr>
          <w:b w:val="0"/>
          <w:bCs/>
          <w:i/>
          <w:iCs/>
        </w:rPr>
        <w:t>Id</w:t>
      </w:r>
      <w:r w:rsidRPr="00895302" w:rsidR="00814CB6">
        <w:rPr>
          <w:b w:val="0"/>
          <w:bCs/>
        </w:rPr>
        <w:t>.</w:t>
      </w:r>
      <w:r w:rsidR="00814CB6">
        <w:rPr>
          <w:b w:val="0"/>
          <w:bCs/>
        </w:rPr>
        <w:t xml:space="preserve"> at p. *</w:t>
      </w:r>
      <w:r w:rsidR="005C77C7">
        <w:rPr>
          <w:b w:val="0"/>
          <w:bCs/>
        </w:rPr>
        <w:t>7</w:t>
      </w:r>
      <w:r w:rsidR="00C40BC0">
        <w:rPr>
          <w:b w:val="0"/>
          <w:bCs/>
        </w:rPr>
        <w:t xml:space="preserve">, fns. </w:t>
      </w:r>
      <w:r w:rsidR="003F30FF">
        <w:rPr>
          <w:b w:val="0"/>
          <w:bCs/>
        </w:rPr>
        <w:t>o</w:t>
      </w:r>
      <w:r w:rsidR="00C40BC0">
        <w:rPr>
          <w:b w:val="0"/>
          <w:bCs/>
        </w:rPr>
        <w:t>mitted</w:t>
      </w:r>
      <w:r w:rsidR="005C77C7">
        <w:rPr>
          <w:b w:val="0"/>
          <w:bCs/>
        </w:rPr>
        <w:t>.)</w:t>
      </w:r>
    </w:p>
    <w:p w:rsidR="003F3525" w:rsidRPr="002F1787" w:rsidP="003F3525" w14:paraId="10817552" w14:textId="7082B781">
      <w:pPr>
        <w:pStyle w:val="Heading21"/>
        <w:spacing w:before="0" w:after="0"/>
        <w:ind w:left="0" w:firstLine="720"/>
        <w:rPr>
          <w:b w:val="0"/>
          <w:bCs/>
        </w:rPr>
      </w:pPr>
      <w:r w:rsidRPr="005C1242">
        <w:rPr>
          <w:b w:val="0"/>
          <w:bCs/>
        </w:rPr>
        <w:t xml:space="preserve">Al Shikha </w:t>
      </w:r>
      <w:r>
        <w:rPr>
          <w:b w:val="0"/>
          <w:bCs/>
        </w:rPr>
        <w:t xml:space="preserve">also relies on </w:t>
      </w:r>
      <w:r w:rsidRPr="00250709">
        <w:rPr>
          <w:b w:val="0"/>
          <w:bCs/>
          <w:i/>
          <w:iCs/>
        </w:rPr>
        <w:t>Tarasoff v. Regents of University of California</w:t>
      </w:r>
      <w:r w:rsidRPr="00FD2C5D">
        <w:rPr>
          <w:b w:val="0"/>
          <w:bCs/>
        </w:rPr>
        <w:t xml:space="preserve"> (1976) 17 Cal.3d 425</w:t>
      </w:r>
      <w:r>
        <w:rPr>
          <w:b w:val="0"/>
          <w:bCs/>
        </w:rPr>
        <w:t xml:space="preserve">.  </w:t>
      </w:r>
      <w:r w:rsidRPr="00692209">
        <w:rPr>
          <w:b w:val="0"/>
          <w:bCs/>
          <w:i/>
          <w:iCs/>
        </w:rPr>
        <w:t>Tarasoff</w:t>
      </w:r>
      <w:r>
        <w:rPr>
          <w:b w:val="0"/>
          <w:bCs/>
        </w:rPr>
        <w:t xml:space="preserve"> concerned a therapist </w:t>
      </w:r>
      <w:r w:rsidR="002D0817">
        <w:rPr>
          <w:b w:val="0"/>
          <w:bCs/>
        </w:rPr>
        <w:t>whose</w:t>
      </w:r>
      <w:r>
        <w:rPr>
          <w:b w:val="0"/>
          <w:bCs/>
        </w:rPr>
        <w:t xml:space="preserve"> patient confided </w:t>
      </w:r>
      <w:r w:rsidR="002D0817">
        <w:rPr>
          <w:b w:val="0"/>
          <w:bCs/>
        </w:rPr>
        <w:t xml:space="preserve">that he </w:t>
      </w:r>
      <w:r>
        <w:rPr>
          <w:b w:val="0"/>
          <w:bCs/>
        </w:rPr>
        <w:t>inten</w:t>
      </w:r>
      <w:r w:rsidR="008831E0">
        <w:rPr>
          <w:b w:val="0"/>
          <w:bCs/>
        </w:rPr>
        <w:t>d</w:t>
      </w:r>
      <w:r w:rsidR="002D0817">
        <w:rPr>
          <w:b w:val="0"/>
          <w:bCs/>
        </w:rPr>
        <w:t>ed</w:t>
      </w:r>
      <w:r>
        <w:rPr>
          <w:b w:val="0"/>
          <w:bCs/>
        </w:rPr>
        <w:t xml:space="preserve"> to kill a particular person</w:t>
      </w:r>
      <w:r w:rsidR="008831E0">
        <w:rPr>
          <w:b w:val="0"/>
          <w:bCs/>
        </w:rPr>
        <w:t xml:space="preserve"> and the duty the therapist owed to that person</w:t>
      </w:r>
      <w:r w:rsidR="002C0CC6">
        <w:rPr>
          <w:b w:val="0"/>
          <w:bCs/>
        </w:rPr>
        <w:t xml:space="preserve">.  The court </w:t>
      </w:r>
      <w:r>
        <w:rPr>
          <w:b w:val="0"/>
          <w:bCs/>
        </w:rPr>
        <w:t>held that a therapist who determines a patient poses a serious risk of violence to another</w:t>
      </w:r>
      <w:r w:rsidR="00DD2DF8">
        <w:rPr>
          <w:b w:val="0"/>
          <w:bCs/>
        </w:rPr>
        <w:t xml:space="preserve"> has a legal duty to</w:t>
      </w:r>
      <w:r>
        <w:rPr>
          <w:b w:val="0"/>
          <w:bCs/>
        </w:rPr>
        <w:t xml:space="preserve"> warn the potential victim or others of the specific threat.  (</w:t>
      </w:r>
      <w:r w:rsidRPr="00A36180">
        <w:rPr>
          <w:b w:val="0"/>
          <w:bCs/>
          <w:i/>
          <w:iCs/>
        </w:rPr>
        <w:t>Id</w:t>
      </w:r>
      <w:r w:rsidRPr="00895302">
        <w:rPr>
          <w:b w:val="0"/>
          <w:bCs/>
        </w:rPr>
        <w:t>.</w:t>
      </w:r>
      <w:r>
        <w:rPr>
          <w:b w:val="0"/>
          <w:bCs/>
        </w:rPr>
        <w:t xml:space="preserve"> at p. 431.)  The court’s ruling was limited to a therapist with knowledge of a specific threat; it did not hold that therapists must screen all clients for potential threats.  </w:t>
      </w:r>
      <w:r w:rsidR="003544E5">
        <w:rPr>
          <w:b w:val="0"/>
          <w:bCs/>
        </w:rPr>
        <w:t xml:space="preserve">The court explained that </w:t>
      </w:r>
      <w:r w:rsidR="00986198">
        <w:rPr>
          <w:b w:val="0"/>
          <w:bCs/>
        </w:rPr>
        <w:t xml:space="preserve">the plaintiffs’ complaint alleged the defendants predicted the patient would kill </w:t>
      </w:r>
      <w:r w:rsidR="00C671F6">
        <w:rPr>
          <w:b w:val="0"/>
          <w:bCs/>
        </w:rPr>
        <w:t xml:space="preserve">the victim and </w:t>
      </w:r>
      <w:r w:rsidR="001038F8">
        <w:rPr>
          <w:b w:val="0"/>
          <w:bCs/>
        </w:rPr>
        <w:t xml:space="preserve">they </w:t>
      </w:r>
      <w:r w:rsidR="00C671F6">
        <w:rPr>
          <w:b w:val="0"/>
          <w:bCs/>
        </w:rPr>
        <w:t xml:space="preserve">were negligent in failing to warn of the danger.  </w:t>
      </w:r>
      <w:r>
        <w:rPr>
          <w:b w:val="0"/>
          <w:bCs/>
        </w:rPr>
        <w:t xml:space="preserve">The duty Al Shikha proposes is much broader than that in </w:t>
      </w:r>
      <w:r w:rsidRPr="00692209">
        <w:rPr>
          <w:b w:val="0"/>
          <w:bCs/>
          <w:i/>
          <w:iCs/>
        </w:rPr>
        <w:t>Tarasoff</w:t>
      </w:r>
      <w:r w:rsidR="003544E5">
        <w:rPr>
          <w:b w:val="0"/>
          <w:bCs/>
        </w:rPr>
        <w:t xml:space="preserve"> and </w:t>
      </w:r>
      <w:r w:rsidR="00C1045D">
        <w:rPr>
          <w:b w:val="0"/>
          <w:bCs/>
        </w:rPr>
        <w:t xml:space="preserve">it </w:t>
      </w:r>
      <w:r w:rsidR="003544E5">
        <w:rPr>
          <w:b w:val="0"/>
          <w:bCs/>
        </w:rPr>
        <w:t>concerns a f</w:t>
      </w:r>
      <w:r w:rsidR="00997EA9">
        <w:rPr>
          <w:b w:val="0"/>
          <w:bCs/>
        </w:rPr>
        <w:t xml:space="preserve">ar </w:t>
      </w:r>
      <w:r w:rsidR="00454028">
        <w:rPr>
          <w:b w:val="0"/>
          <w:bCs/>
        </w:rPr>
        <w:t xml:space="preserve">more generic and </w:t>
      </w:r>
      <w:r w:rsidR="003544E5">
        <w:rPr>
          <w:b w:val="0"/>
          <w:bCs/>
        </w:rPr>
        <w:t>less foreseeable harm</w:t>
      </w:r>
      <w:r>
        <w:rPr>
          <w:b w:val="0"/>
          <w:bCs/>
        </w:rPr>
        <w:t>.</w:t>
      </w:r>
    </w:p>
    <w:p w:rsidR="00603D73" w:rsidP="003F3525" w14:paraId="59B909A8" w14:textId="182E4067">
      <w:pPr>
        <w:pStyle w:val="Heading21"/>
        <w:spacing w:before="0" w:after="0"/>
        <w:ind w:left="0" w:firstLine="720"/>
        <w:rPr>
          <w:b w:val="0"/>
          <w:bCs/>
        </w:rPr>
      </w:pPr>
      <w:r>
        <w:rPr>
          <w:b w:val="0"/>
          <w:bCs/>
        </w:rPr>
        <w:t xml:space="preserve">Al Shikha’s </w:t>
      </w:r>
      <w:r w:rsidR="00460E53">
        <w:rPr>
          <w:b w:val="0"/>
          <w:bCs/>
        </w:rPr>
        <w:t>reliance on</w:t>
      </w:r>
      <w:r>
        <w:rPr>
          <w:b w:val="0"/>
          <w:bCs/>
        </w:rPr>
        <w:t xml:space="preserve"> </w:t>
      </w:r>
      <w:r w:rsidRPr="00FC64B1">
        <w:rPr>
          <w:b w:val="0"/>
          <w:bCs/>
          <w:i/>
          <w:iCs/>
        </w:rPr>
        <w:t>Duffy v. City of Oceanside</w:t>
      </w:r>
      <w:r w:rsidRPr="00FC64B1">
        <w:rPr>
          <w:b w:val="0"/>
          <w:bCs/>
        </w:rPr>
        <w:t xml:space="preserve"> (1986) 179 Cal.App.3d 666</w:t>
      </w:r>
      <w:r w:rsidR="00101E40">
        <w:rPr>
          <w:b w:val="0"/>
          <w:bCs/>
        </w:rPr>
        <w:t xml:space="preserve"> (</w:t>
      </w:r>
      <w:r w:rsidRPr="00FC64B1" w:rsidR="00101E40">
        <w:rPr>
          <w:b w:val="0"/>
          <w:bCs/>
          <w:i/>
          <w:iCs/>
        </w:rPr>
        <w:t>Duffy</w:t>
      </w:r>
      <w:r w:rsidR="00101E40">
        <w:rPr>
          <w:b w:val="0"/>
          <w:bCs/>
        </w:rPr>
        <w:t>)</w:t>
      </w:r>
      <w:r w:rsidR="0014329D">
        <w:rPr>
          <w:b w:val="0"/>
          <w:bCs/>
        </w:rPr>
        <w:t>,</w:t>
      </w:r>
      <w:r>
        <w:rPr>
          <w:b w:val="0"/>
          <w:bCs/>
        </w:rPr>
        <w:t xml:space="preserve"> is similarly misplaced.  </w:t>
      </w:r>
      <w:r w:rsidR="00454028">
        <w:rPr>
          <w:b w:val="0"/>
          <w:bCs/>
        </w:rPr>
        <w:t xml:space="preserve">In </w:t>
      </w:r>
      <w:r w:rsidR="00454028">
        <w:rPr>
          <w:b w:val="0"/>
          <w:bCs/>
          <w:i/>
          <w:iCs/>
        </w:rPr>
        <w:t>Duffy</w:t>
      </w:r>
      <w:r>
        <w:rPr>
          <w:b w:val="0"/>
          <w:bCs/>
        </w:rPr>
        <w:t xml:space="preserve">, the court held that a city had a duty to warn its employee that another employee </w:t>
      </w:r>
      <w:r w:rsidR="00460E53">
        <w:rPr>
          <w:b w:val="0"/>
          <w:bCs/>
        </w:rPr>
        <w:t xml:space="preserve">(Larroque) </w:t>
      </w:r>
      <w:r>
        <w:rPr>
          <w:b w:val="0"/>
          <w:bCs/>
        </w:rPr>
        <w:t xml:space="preserve">was a parolee who had served </w:t>
      </w:r>
      <w:r w:rsidR="00E40D8C">
        <w:rPr>
          <w:b w:val="0"/>
          <w:bCs/>
        </w:rPr>
        <w:t xml:space="preserve">time in </w:t>
      </w:r>
      <w:r>
        <w:rPr>
          <w:b w:val="0"/>
          <w:bCs/>
        </w:rPr>
        <w:t>prison for kidnapping, rape, and sexual assault.  (</w:t>
      </w:r>
      <w:r w:rsidRPr="002C6801">
        <w:rPr>
          <w:b w:val="0"/>
          <w:bCs/>
          <w:i/>
          <w:iCs/>
        </w:rPr>
        <w:t>Id</w:t>
      </w:r>
      <w:r w:rsidRPr="00895302">
        <w:rPr>
          <w:b w:val="0"/>
          <w:bCs/>
        </w:rPr>
        <w:t>.</w:t>
      </w:r>
      <w:r>
        <w:rPr>
          <w:b w:val="0"/>
          <w:bCs/>
        </w:rPr>
        <w:t xml:space="preserve"> at p.</w:t>
      </w:r>
      <w:r w:rsidR="00895302">
        <w:rPr>
          <w:b w:val="0"/>
          <w:bCs/>
        </w:rPr>
        <w:t> </w:t>
      </w:r>
      <w:r>
        <w:rPr>
          <w:b w:val="0"/>
          <w:bCs/>
        </w:rPr>
        <w:t xml:space="preserve">669.)  The victim had informed the city that </w:t>
      </w:r>
      <w:r w:rsidR="00E40D8C">
        <w:rPr>
          <w:b w:val="0"/>
          <w:bCs/>
        </w:rPr>
        <w:t xml:space="preserve">Larroque </w:t>
      </w:r>
      <w:r>
        <w:rPr>
          <w:b w:val="0"/>
          <w:bCs/>
        </w:rPr>
        <w:t xml:space="preserve">was sexually harassing her, yet the city did not warn her of </w:t>
      </w:r>
      <w:r w:rsidR="00E40D8C">
        <w:rPr>
          <w:b w:val="0"/>
          <w:bCs/>
        </w:rPr>
        <w:t xml:space="preserve">his </w:t>
      </w:r>
      <w:r>
        <w:rPr>
          <w:b w:val="0"/>
          <w:bCs/>
        </w:rPr>
        <w:t>relevant criminal history.  (</w:t>
      </w:r>
      <w:r w:rsidRPr="00151C3D">
        <w:rPr>
          <w:b w:val="0"/>
          <w:bCs/>
          <w:i/>
          <w:iCs/>
        </w:rPr>
        <w:t>Id</w:t>
      </w:r>
      <w:r w:rsidRPr="00895302">
        <w:rPr>
          <w:b w:val="0"/>
          <w:bCs/>
        </w:rPr>
        <w:t>.</w:t>
      </w:r>
      <w:r>
        <w:rPr>
          <w:b w:val="0"/>
          <w:bCs/>
        </w:rPr>
        <w:t xml:space="preserve"> at p. 675.)  </w:t>
      </w:r>
      <w:r w:rsidR="00454028">
        <w:rPr>
          <w:b w:val="0"/>
          <w:bCs/>
        </w:rPr>
        <w:t>Larroque</w:t>
      </w:r>
      <w:r w:rsidR="005C34C6">
        <w:rPr>
          <w:b w:val="0"/>
          <w:bCs/>
        </w:rPr>
        <w:t xml:space="preserve"> subsequently</w:t>
      </w:r>
      <w:r w:rsidR="00454028">
        <w:rPr>
          <w:b w:val="0"/>
          <w:bCs/>
        </w:rPr>
        <w:t xml:space="preserve"> kidnapped and killed the victim.  (</w:t>
      </w:r>
      <w:r w:rsidR="00454028">
        <w:rPr>
          <w:b w:val="0"/>
          <w:bCs/>
          <w:i/>
          <w:iCs/>
        </w:rPr>
        <w:t>Id</w:t>
      </w:r>
      <w:r w:rsidRPr="00895302" w:rsidR="00454028">
        <w:rPr>
          <w:b w:val="0"/>
          <w:bCs/>
        </w:rPr>
        <w:t xml:space="preserve">. </w:t>
      </w:r>
      <w:r w:rsidR="00454028">
        <w:rPr>
          <w:b w:val="0"/>
          <w:bCs/>
        </w:rPr>
        <w:t xml:space="preserve">at p. </w:t>
      </w:r>
      <w:r w:rsidR="00D37FCC">
        <w:rPr>
          <w:b w:val="0"/>
          <w:bCs/>
        </w:rPr>
        <w:t xml:space="preserve">669.)  </w:t>
      </w:r>
      <w:r w:rsidR="005B0285">
        <w:rPr>
          <w:b w:val="0"/>
          <w:bCs/>
        </w:rPr>
        <w:t>T</w:t>
      </w:r>
      <w:r>
        <w:rPr>
          <w:b w:val="0"/>
          <w:bCs/>
        </w:rPr>
        <w:t>hese specific facts created a triable issue as to negligence.  (</w:t>
      </w:r>
      <w:r>
        <w:rPr>
          <w:b w:val="0"/>
          <w:bCs/>
          <w:i/>
          <w:iCs/>
        </w:rPr>
        <w:t>Id</w:t>
      </w:r>
      <w:r w:rsidR="00D37FCC">
        <w:rPr>
          <w:b w:val="0"/>
          <w:bCs/>
        </w:rPr>
        <w:t>. at p. 675</w:t>
      </w:r>
      <w:r w:rsidR="00895302">
        <w:rPr>
          <w:b w:val="0"/>
          <w:bCs/>
        </w:rPr>
        <w:t>.</w:t>
      </w:r>
      <w:r>
        <w:rPr>
          <w:b w:val="0"/>
          <w:bCs/>
        </w:rPr>
        <w:t>)</w:t>
      </w:r>
    </w:p>
    <w:p w:rsidR="003F3525" w:rsidP="003F3525" w14:paraId="707061AC" w14:textId="3F1F1708">
      <w:pPr>
        <w:pStyle w:val="Heading21"/>
        <w:spacing w:before="0" w:after="0"/>
        <w:ind w:left="0" w:firstLine="720"/>
        <w:rPr>
          <w:b w:val="0"/>
          <w:bCs/>
        </w:rPr>
      </w:pPr>
      <w:r>
        <w:rPr>
          <w:b w:val="0"/>
          <w:bCs/>
        </w:rPr>
        <w:t>However, the court explicitly refused to impose a broad duty, explaining that “</w:t>
      </w:r>
      <w:r w:rsidR="0058586E">
        <w:rPr>
          <w:b w:val="0"/>
          <w:bCs/>
        </w:rPr>
        <w:t>[w]</w:t>
      </w:r>
      <w:r w:rsidRPr="00E03451">
        <w:rPr>
          <w:b w:val="0"/>
          <w:bCs/>
        </w:rPr>
        <w:t>ere the substance of plaintiffs</w:t>
      </w:r>
      <w:r>
        <w:rPr>
          <w:b w:val="0"/>
          <w:bCs/>
        </w:rPr>
        <w:t>’</w:t>
      </w:r>
      <w:r w:rsidRPr="00E03451">
        <w:rPr>
          <w:b w:val="0"/>
          <w:bCs/>
        </w:rPr>
        <w:t xml:space="preserve"> complaint simply that the City was obliged to warn all female employees who might come in contact with Larroque of his prior criminal conduct, we would be unpersuaded. </w:t>
      </w:r>
      <w:r>
        <w:rPr>
          <w:b w:val="0"/>
          <w:bCs/>
        </w:rPr>
        <w:t>. . .</w:t>
      </w:r>
      <w:r w:rsidRPr="00E03451">
        <w:rPr>
          <w:b w:val="0"/>
          <w:bCs/>
        </w:rPr>
        <w:t xml:space="preserve"> </w:t>
      </w:r>
      <w:r w:rsidR="00895302">
        <w:rPr>
          <w:b w:val="0"/>
          <w:bCs/>
        </w:rPr>
        <w:t xml:space="preserve"> </w:t>
      </w:r>
      <w:r w:rsidRPr="00E03451">
        <w:rPr>
          <w:b w:val="0"/>
          <w:bCs/>
        </w:rPr>
        <w:t>The mere fact that Larroque had been convicted of assaults on two women at least seven years earlier—for which he had served time in prison and been treated in a mental hospital—</w:t>
      </w:r>
      <w:r w:rsidRPr="007A4ACB">
        <w:rPr>
          <w:b w:val="0"/>
          <w:bCs/>
        </w:rPr>
        <w:t>gives rise to an insufficiently strong inference that he would repeat similar criminal behavior</w:t>
      </w:r>
      <w:r w:rsidRPr="00E03451">
        <w:rPr>
          <w:b w:val="0"/>
          <w:bCs/>
        </w:rPr>
        <w:t xml:space="preserve">. </w:t>
      </w:r>
      <w:r w:rsidR="00895302">
        <w:rPr>
          <w:b w:val="0"/>
          <w:bCs/>
        </w:rPr>
        <w:t xml:space="preserve"> </w:t>
      </w:r>
      <w:r w:rsidRPr="00E03451">
        <w:rPr>
          <w:b w:val="0"/>
          <w:bCs/>
        </w:rPr>
        <w:t>Balanced against this are the negative effects of a warning to fellow employees.</w:t>
      </w:r>
      <w:r>
        <w:rPr>
          <w:b w:val="0"/>
          <w:bCs/>
        </w:rPr>
        <w:t>”</w:t>
      </w:r>
      <w:r>
        <w:rPr>
          <w:rStyle w:val="FootnoteReference"/>
          <w:b/>
          <w:bCs/>
        </w:rPr>
        <w:footnoteReference w:id="9"/>
      </w:r>
      <w:r>
        <w:rPr>
          <w:b w:val="0"/>
          <w:bCs/>
        </w:rPr>
        <w:t xml:space="preserve">  (</w:t>
      </w:r>
      <w:r w:rsidRPr="00101E40" w:rsidR="00101E40">
        <w:rPr>
          <w:b w:val="0"/>
          <w:bCs/>
          <w:i/>
          <w:iCs/>
        </w:rPr>
        <w:t>Duffy</w:t>
      </w:r>
      <w:r w:rsidR="00101E40">
        <w:rPr>
          <w:b w:val="0"/>
          <w:bCs/>
        </w:rPr>
        <w:t xml:space="preserve">, </w:t>
      </w:r>
      <w:r w:rsidRPr="00B50354" w:rsidR="00101E40">
        <w:rPr>
          <w:b w:val="0"/>
          <w:bCs/>
          <w:i/>
          <w:iCs/>
        </w:rPr>
        <w:t>supra</w:t>
      </w:r>
      <w:r w:rsidR="00101E40">
        <w:rPr>
          <w:b w:val="0"/>
          <w:bCs/>
        </w:rPr>
        <w:t xml:space="preserve">, </w:t>
      </w:r>
      <w:r w:rsidRPr="00101E40" w:rsidR="00101E40">
        <w:rPr>
          <w:b w:val="0"/>
          <w:bCs/>
        </w:rPr>
        <w:t>179</w:t>
      </w:r>
      <w:r w:rsidRPr="00FC64B1" w:rsidR="00101E40">
        <w:rPr>
          <w:b w:val="0"/>
          <w:bCs/>
        </w:rPr>
        <w:t xml:space="preserve"> Cal.App.3d </w:t>
      </w:r>
      <w:r>
        <w:rPr>
          <w:b w:val="0"/>
          <w:bCs/>
        </w:rPr>
        <w:t>at p.</w:t>
      </w:r>
      <w:r w:rsidR="00287A13">
        <w:rPr>
          <w:b w:val="0"/>
          <w:bCs/>
        </w:rPr>
        <w:t> </w:t>
      </w:r>
      <w:r>
        <w:rPr>
          <w:b w:val="0"/>
          <w:bCs/>
        </w:rPr>
        <w:t>674.)</w:t>
      </w:r>
    </w:p>
    <w:p w:rsidR="00C22622" w:rsidRPr="00244DA6" w:rsidP="00102792" w14:paraId="610CB602" w14:textId="3B5A13AC">
      <w:pPr>
        <w:pStyle w:val="Heading21"/>
        <w:spacing w:before="0" w:after="0"/>
        <w:ind w:left="0" w:firstLine="720"/>
        <w:rPr>
          <w:b w:val="0"/>
          <w:bCs/>
        </w:rPr>
      </w:pPr>
      <w:r>
        <w:rPr>
          <w:b w:val="0"/>
          <w:bCs/>
        </w:rPr>
        <w:t xml:space="preserve">As the California Supreme Court recognized </w:t>
      </w:r>
      <w:r w:rsidR="000724F8">
        <w:rPr>
          <w:b w:val="0"/>
          <w:bCs/>
        </w:rPr>
        <w:t>over 30 years ago, “</w:t>
      </w:r>
      <w:r w:rsidR="00AE3121">
        <w:rPr>
          <w:b w:val="0"/>
          <w:bCs/>
        </w:rPr>
        <w:t>U</w:t>
      </w:r>
      <w:r w:rsidRPr="00E1443D" w:rsidR="00E1443D">
        <w:rPr>
          <w:b w:val="0"/>
          <w:bCs/>
        </w:rPr>
        <w:t>nfortunately, random, violent crime is endemic in today</w:t>
      </w:r>
      <w:r w:rsidR="00C87AB1">
        <w:rPr>
          <w:b w:val="0"/>
          <w:bCs/>
        </w:rPr>
        <w:t>’</w:t>
      </w:r>
      <w:r w:rsidRPr="00E1443D" w:rsidR="00E1443D">
        <w:rPr>
          <w:b w:val="0"/>
          <w:bCs/>
        </w:rPr>
        <w:t xml:space="preserve">s society. </w:t>
      </w:r>
      <w:r w:rsidR="00895302">
        <w:rPr>
          <w:b w:val="0"/>
          <w:bCs/>
        </w:rPr>
        <w:t xml:space="preserve"> </w:t>
      </w:r>
      <w:r w:rsidRPr="00E1443D" w:rsidR="00E1443D">
        <w:rPr>
          <w:b w:val="0"/>
          <w:bCs/>
        </w:rPr>
        <w:t>It is difficult, if not impossible, to envision any locale open to the public where the occurrence of violent crime seems improbable.</w:t>
      </w:r>
      <w:r w:rsidR="000724F8">
        <w:rPr>
          <w:b w:val="0"/>
          <w:bCs/>
        </w:rPr>
        <w:t>”  (</w:t>
      </w:r>
      <w:r w:rsidRPr="00244DA6" w:rsidR="00E1443D">
        <w:rPr>
          <w:b w:val="0"/>
          <w:bCs/>
          <w:i/>
          <w:iCs/>
        </w:rPr>
        <w:t>Ann M.</w:t>
      </w:r>
      <w:r w:rsidRPr="00895302" w:rsidR="0050467A">
        <w:rPr>
          <w:b w:val="0"/>
          <w:bCs/>
        </w:rPr>
        <w:t xml:space="preserve">, </w:t>
      </w:r>
      <w:r w:rsidR="0050467A">
        <w:rPr>
          <w:b w:val="0"/>
          <w:bCs/>
          <w:i/>
          <w:iCs/>
        </w:rPr>
        <w:t>supra</w:t>
      </w:r>
      <w:r w:rsidRPr="00895302" w:rsidR="0050467A">
        <w:rPr>
          <w:b w:val="0"/>
          <w:bCs/>
        </w:rPr>
        <w:t>,</w:t>
      </w:r>
      <w:r w:rsidR="0050467A">
        <w:rPr>
          <w:b w:val="0"/>
          <w:bCs/>
          <w:i/>
          <w:iCs/>
        </w:rPr>
        <w:t xml:space="preserve"> </w:t>
      </w:r>
      <w:r w:rsidRPr="00E1443D" w:rsidR="00E1443D">
        <w:rPr>
          <w:b w:val="0"/>
          <w:bCs/>
        </w:rPr>
        <w:t xml:space="preserve">6 Cal.4th </w:t>
      </w:r>
      <w:r w:rsidR="0050467A">
        <w:rPr>
          <w:b w:val="0"/>
          <w:bCs/>
        </w:rPr>
        <w:t xml:space="preserve">at p. </w:t>
      </w:r>
      <w:r w:rsidRPr="00E1443D" w:rsidR="00E1443D">
        <w:rPr>
          <w:b w:val="0"/>
          <w:bCs/>
        </w:rPr>
        <w:t>678</w:t>
      </w:r>
      <w:r w:rsidR="000724F8">
        <w:rPr>
          <w:b w:val="0"/>
          <w:bCs/>
        </w:rPr>
        <w:t>.)</w:t>
      </w:r>
      <w:r w:rsidRPr="00E1443D" w:rsidR="00E1443D">
        <w:rPr>
          <w:b w:val="0"/>
          <w:bCs/>
        </w:rPr>
        <w:t xml:space="preserve"> </w:t>
      </w:r>
      <w:r w:rsidR="000724F8">
        <w:rPr>
          <w:b w:val="0"/>
          <w:bCs/>
        </w:rPr>
        <w:t xml:space="preserve"> </w:t>
      </w:r>
      <w:r w:rsidR="002717F4">
        <w:rPr>
          <w:b w:val="0"/>
          <w:bCs/>
        </w:rPr>
        <w:t>Al Shikha’s</w:t>
      </w:r>
      <w:r w:rsidR="001420DB">
        <w:rPr>
          <w:b w:val="0"/>
          <w:bCs/>
        </w:rPr>
        <w:t xml:space="preserve"> complaint identifies nothing about Lyft’s operations </w:t>
      </w:r>
      <w:r w:rsidR="0054745D">
        <w:rPr>
          <w:b w:val="0"/>
          <w:bCs/>
        </w:rPr>
        <w:t xml:space="preserve">or the </w:t>
      </w:r>
      <w:r w:rsidR="00A46AB8">
        <w:rPr>
          <w:b w:val="0"/>
          <w:bCs/>
        </w:rPr>
        <w:t>individuals</w:t>
      </w:r>
      <w:r w:rsidR="0054745D">
        <w:rPr>
          <w:b w:val="0"/>
          <w:bCs/>
        </w:rPr>
        <w:t xml:space="preserve"> who use the </w:t>
      </w:r>
      <w:r w:rsidR="00A31F86">
        <w:rPr>
          <w:b w:val="0"/>
          <w:bCs/>
        </w:rPr>
        <w:t>service</w:t>
      </w:r>
      <w:r w:rsidR="0054745D">
        <w:rPr>
          <w:b w:val="0"/>
          <w:bCs/>
        </w:rPr>
        <w:t xml:space="preserve"> that indicates a heightened foreseeability that riders will engage in unprovoked attacks on drivers.</w:t>
      </w:r>
      <w:r w:rsidR="00957348">
        <w:rPr>
          <w:b w:val="0"/>
          <w:bCs/>
        </w:rPr>
        <w:t xml:space="preserve">  Nothing in the complaint </w:t>
      </w:r>
      <w:r w:rsidR="00634D3E">
        <w:rPr>
          <w:b w:val="0"/>
          <w:bCs/>
        </w:rPr>
        <w:t xml:space="preserve">alleges or </w:t>
      </w:r>
      <w:r w:rsidR="00957348">
        <w:rPr>
          <w:b w:val="0"/>
          <w:bCs/>
        </w:rPr>
        <w:t xml:space="preserve">suggests the risk of an attack is higher </w:t>
      </w:r>
      <w:r w:rsidR="00FA1840">
        <w:rPr>
          <w:b w:val="0"/>
          <w:bCs/>
        </w:rPr>
        <w:t>during a</w:t>
      </w:r>
      <w:r w:rsidR="00015822">
        <w:rPr>
          <w:b w:val="0"/>
          <w:bCs/>
        </w:rPr>
        <w:t xml:space="preserve"> rideshare</w:t>
      </w:r>
      <w:r w:rsidR="00541010">
        <w:rPr>
          <w:b w:val="0"/>
          <w:bCs/>
        </w:rPr>
        <w:t xml:space="preserve"> ride than in any other setting in which strangers interact.  (</w:t>
      </w:r>
      <w:r w:rsidR="00541010">
        <w:rPr>
          <w:b w:val="0"/>
          <w:bCs/>
          <w:i/>
          <w:iCs/>
        </w:rPr>
        <w:t>Verdugo</w:t>
      </w:r>
      <w:r w:rsidRPr="00895302" w:rsidR="00541010">
        <w:rPr>
          <w:b w:val="0"/>
          <w:bCs/>
        </w:rPr>
        <w:t>,</w:t>
      </w:r>
      <w:r w:rsidR="00541010">
        <w:rPr>
          <w:b w:val="0"/>
          <w:bCs/>
          <w:i/>
          <w:iCs/>
        </w:rPr>
        <w:t xml:space="preserve"> supra</w:t>
      </w:r>
      <w:r w:rsidRPr="00895302" w:rsidR="00541010">
        <w:rPr>
          <w:b w:val="0"/>
          <w:bCs/>
        </w:rPr>
        <w:t>,</w:t>
      </w:r>
      <w:r w:rsidR="00541010">
        <w:rPr>
          <w:b w:val="0"/>
          <w:bCs/>
        </w:rPr>
        <w:t xml:space="preserve"> </w:t>
      </w:r>
      <w:r w:rsidR="00717DEF">
        <w:rPr>
          <w:b w:val="0"/>
          <w:bCs/>
        </w:rPr>
        <w:t xml:space="preserve">59 </w:t>
      </w:r>
      <w:r w:rsidRPr="00717DEF" w:rsidR="00717DEF">
        <w:rPr>
          <w:b w:val="0"/>
          <w:bCs/>
        </w:rPr>
        <w:t xml:space="preserve">Cal.4th </w:t>
      </w:r>
      <w:r w:rsidR="00717DEF">
        <w:rPr>
          <w:b w:val="0"/>
          <w:bCs/>
        </w:rPr>
        <w:t>at p. 340</w:t>
      </w:r>
      <w:r w:rsidR="00102792">
        <w:rPr>
          <w:b w:val="0"/>
          <w:bCs/>
        </w:rPr>
        <w:t xml:space="preserve"> [</w:t>
      </w:r>
      <w:r w:rsidR="00971882">
        <w:rPr>
          <w:b w:val="0"/>
          <w:bCs/>
        </w:rPr>
        <w:t xml:space="preserve">that </w:t>
      </w:r>
      <w:r w:rsidR="00803BBA">
        <w:rPr>
          <w:b w:val="0"/>
          <w:bCs/>
        </w:rPr>
        <w:t>occasional incidents of sudden cardiac arrest may have occurred at Target stores</w:t>
      </w:r>
      <w:r w:rsidR="00971882">
        <w:rPr>
          <w:b w:val="0"/>
          <w:bCs/>
        </w:rPr>
        <w:t xml:space="preserve"> would not demonstrate heightened foreseeability</w:t>
      </w:r>
      <w:r w:rsidR="00692BCA">
        <w:rPr>
          <w:b w:val="0"/>
          <w:bCs/>
        </w:rPr>
        <w:t>; complaint did not identify any risk that such occurrence was greater at Target than any other location open to public]</w:t>
      </w:r>
      <w:r w:rsidR="00717DEF">
        <w:rPr>
          <w:b w:val="0"/>
          <w:bCs/>
        </w:rPr>
        <w:t>.)</w:t>
      </w:r>
      <w:r w:rsidR="00DB7048">
        <w:rPr>
          <w:b w:val="0"/>
          <w:bCs/>
        </w:rPr>
        <w:t xml:space="preserve">  “[A] general knowledge of the </w:t>
      </w:r>
      <w:r w:rsidR="00DB7048">
        <w:rPr>
          <w:b w:val="0"/>
          <w:bCs/>
          <w:i/>
          <w:iCs/>
        </w:rPr>
        <w:t>possibility</w:t>
      </w:r>
      <w:r w:rsidR="00DB7048">
        <w:rPr>
          <w:b w:val="0"/>
          <w:bCs/>
        </w:rPr>
        <w:t xml:space="preserve"> of violent criminal conduct is not in itself enough to create a duty under California law</w:t>
      </w:r>
      <w:r w:rsidR="009717F5">
        <w:rPr>
          <w:b w:val="0"/>
          <w:bCs/>
        </w:rPr>
        <w:t xml:space="preserve"> . . . .”  </w:t>
      </w:r>
      <w:r w:rsidR="00DB7048">
        <w:rPr>
          <w:b w:val="0"/>
          <w:bCs/>
        </w:rPr>
        <w:t>(</w:t>
      </w:r>
      <w:r w:rsidR="00DB7048">
        <w:rPr>
          <w:b w:val="0"/>
          <w:bCs/>
          <w:i/>
          <w:iCs/>
        </w:rPr>
        <w:t>Williams</w:t>
      </w:r>
      <w:r w:rsidRPr="00895302" w:rsidR="00446BC5">
        <w:rPr>
          <w:b w:val="0"/>
          <w:bCs/>
        </w:rPr>
        <w:t>,</w:t>
      </w:r>
      <w:r w:rsidR="00446BC5">
        <w:rPr>
          <w:b w:val="0"/>
          <w:bCs/>
          <w:i/>
          <w:iCs/>
        </w:rPr>
        <w:t xml:space="preserve"> supra</w:t>
      </w:r>
      <w:r w:rsidRPr="00895302" w:rsidR="00446BC5">
        <w:rPr>
          <w:b w:val="0"/>
          <w:bCs/>
        </w:rPr>
        <w:t>,</w:t>
      </w:r>
      <w:r w:rsidR="00446BC5">
        <w:rPr>
          <w:b w:val="0"/>
          <w:bCs/>
          <w:i/>
          <w:iCs/>
        </w:rPr>
        <w:t xml:space="preserve"> </w:t>
      </w:r>
      <w:r w:rsidR="00DB7048">
        <w:rPr>
          <w:b w:val="0"/>
          <w:bCs/>
        </w:rPr>
        <w:t xml:space="preserve">37 </w:t>
      </w:r>
      <w:r w:rsidRPr="00DB7048" w:rsidR="00DB7048">
        <w:rPr>
          <w:b w:val="0"/>
          <w:bCs/>
        </w:rPr>
        <w:t xml:space="preserve">Cal.App.5th </w:t>
      </w:r>
      <w:r w:rsidR="00446BC5">
        <w:rPr>
          <w:b w:val="0"/>
          <w:bCs/>
        </w:rPr>
        <w:t xml:space="preserve">at p. </w:t>
      </w:r>
      <w:r w:rsidR="00E14189">
        <w:rPr>
          <w:b w:val="0"/>
          <w:bCs/>
        </w:rPr>
        <w:t>668.)</w:t>
      </w:r>
      <w:r w:rsidR="00E42D75">
        <w:rPr>
          <w:b w:val="0"/>
          <w:bCs/>
        </w:rPr>
        <w:t xml:space="preserve">  </w:t>
      </w:r>
      <w:r w:rsidR="00CE4421">
        <w:rPr>
          <w:b w:val="0"/>
          <w:bCs/>
        </w:rPr>
        <w:t xml:space="preserve">We conclude as the court did in </w:t>
      </w:r>
      <w:r w:rsidR="00CE4421">
        <w:rPr>
          <w:b w:val="0"/>
          <w:bCs/>
          <w:i/>
          <w:iCs/>
        </w:rPr>
        <w:t>Castaneda</w:t>
      </w:r>
      <w:r w:rsidR="00CE4421">
        <w:rPr>
          <w:b w:val="0"/>
          <w:bCs/>
        </w:rPr>
        <w:t xml:space="preserve"> that “</w:t>
      </w:r>
      <w:r w:rsidR="002755FA">
        <w:rPr>
          <w:b w:val="0"/>
          <w:bCs/>
        </w:rPr>
        <w:t xml:space="preserve">[g]iven </w:t>
      </w:r>
      <w:r w:rsidR="00CE4421">
        <w:rPr>
          <w:b w:val="0"/>
          <w:bCs/>
        </w:rPr>
        <w:t>the extraordinarily burdensome nature of the duty plaintiff seeks to impose and its likely social cost, . . . much greater foreseeability than that demonstrated here would be required to recognize the duty” to obtain criminal background reports on all passengers.</w:t>
      </w:r>
      <w:r w:rsidR="004D51C2">
        <w:rPr>
          <w:b w:val="0"/>
          <w:bCs/>
        </w:rPr>
        <w:t xml:space="preserve">  (</w:t>
      </w:r>
      <w:r w:rsidR="004D51C2">
        <w:rPr>
          <w:b w:val="0"/>
          <w:bCs/>
          <w:i/>
          <w:iCs/>
        </w:rPr>
        <w:t>C</w:t>
      </w:r>
      <w:r w:rsidR="008900B4">
        <w:rPr>
          <w:b w:val="0"/>
          <w:bCs/>
          <w:i/>
          <w:iCs/>
        </w:rPr>
        <w:t>astaneda</w:t>
      </w:r>
      <w:r w:rsidRPr="00895302" w:rsidR="008900B4">
        <w:rPr>
          <w:b w:val="0"/>
          <w:bCs/>
        </w:rPr>
        <w:t>,</w:t>
      </w:r>
      <w:r w:rsidR="008900B4">
        <w:rPr>
          <w:b w:val="0"/>
          <w:bCs/>
          <w:i/>
          <w:iCs/>
        </w:rPr>
        <w:t xml:space="preserve"> supra</w:t>
      </w:r>
      <w:r w:rsidRPr="00895302" w:rsidR="008900B4">
        <w:rPr>
          <w:b w:val="0"/>
          <w:bCs/>
        </w:rPr>
        <w:t>,</w:t>
      </w:r>
      <w:r w:rsidR="008900B4">
        <w:rPr>
          <w:b w:val="0"/>
          <w:bCs/>
        </w:rPr>
        <w:t xml:space="preserve"> 41 </w:t>
      </w:r>
      <w:r w:rsidRPr="008900B4" w:rsidR="008900B4">
        <w:rPr>
          <w:b w:val="0"/>
          <w:bCs/>
        </w:rPr>
        <w:t xml:space="preserve">Cal.4th </w:t>
      </w:r>
      <w:r w:rsidR="008900B4">
        <w:rPr>
          <w:b w:val="0"/>
          <w:bCs/>
        </w:rPr>
        <w:t>at p. 1218.)</w:t>
      </w:r>
    </w:p>
    <w:p w:rsidR="00A547D8" w:rsidP="00DA4E25" w14:paraId="4CCF6888" w14:textId="7671DCC8">
      <w:pPr>
        <w:pStyle w:val="Heading21"/>
        <w:numPr>
          <w:ilvl w:val="0"/>
          <w:numId w:val="16"/>
        </w:numPr>
        <w:spacing w:before="0" w:after="0"/>
        <w:ind w:left="1440" w:hanging="720"/>
        <w:rPr>
          <w:b w:val="0"/>
          <w:bCs/>
        </w:rPr>
      </w:pPr>
      <w:r w:rsidRPr="00227B92">
        <w:t xml:space="preserve">Setting aside the heightened foreseeability test, the </w:t>
      </w:r>
      <w:r w:rsidRPr="00227B92">
        <w:rPr>
          <w:i/>
          <w:iCs/>
        </w:rPr>
        <w:t>Rowland</w:t>
      </w:r>
      <w:r w:rsidRPr="00227B92">
        <w:t xml:space="preserve"> factors still support a limitation of the duty</w:t>
      </w:r>
    </w:p>
    <w:p w:rsidR="00C05329" w:rsidP="008E6C8A" w14:paraId="226E086D" w14:textId="65631D6F">
      <w:pPr>
        <w:pStyle w:val="Heading21"/>
        <w:spacing w:before="0" w:after="0"/>
        <w:ind w:left="0" w:firstLine="720"/>
        <w:rPr>
          <w:b w:val="0"/>
          <w:bCs/>
        </w:rPr>
      </w:pPr>
      <w:r>
        <w:rPr>
          <w:b w:val="0"/>
          <w:bCs/>
        </w:rPr>
        <w:t>Al Shi</w:t>
      </w:r>
      <w:r w:rsidR="00B0147C">
        <w:rPr>
          <w:b w:val="0"/>
          <w:bCs/>
        </w:rPr>
        <w:t xml:space="preserve">kha </w:t>
      </w:r>
      <w:r w:rsidR="002717F4">
        <w:rPr>
          <w:b w:val="0"/>
          <w:bCs/>
        </w:rPr>
        <w:t xml:space="preserve">also </w:t>
      </w:r>
      <w:r w:rsidR="00B0147C">
        <w:rPr>
          <w:b w:val="0"/>
          <w:bCs/>
        </w:rPr>
        <w:t>relies on</w:t>
      </w:r>
      <w:r w:rsidR="002717F4">
        <w:rPr>
          <w:b w:val="0"/>
          <w:bCs/>
        </w:rPr>
        <w:t xml:space="preserve"> the California Supreme Court’s decision in</w:t>
      </w:r>
      <w:r w:rsidR="00B0147C">
        <w:rPr>
          <w:b w:val="0"/>
          <w:bCs/>
        </w:rPr>
        <w:t xml:space="preserve"> </w:t>
      </w:r>
      <w:r w:rsidR="00776EA4">
        <w:rPr>
          <w:b w:val="0"/>
          <w:bCs/>
          <w:i/>
          <w:iCs/>
        </w:rPr>
        <w:t>Regents</w:t>
      </w:r>
      <w:r w:rsidR="00776EA4">
        <w:rPr>
          <w:b w:val="0"/>
          <w:bCs/>
        </w:rPr>
        <w:t xml:space="preserve"> to support his arguments.  </w:t>
      </w:r>
      <w:r w:rsidR="00BE73FE">
        <w:rPr>
          <w:b w:val="0"/>
          <w:bCs/>
        </w:rPr>
        <w:t>A</w:t>
      </w:r>
      <w:r w:rsidR="00125F72">
        <w:rPr>
          <w:b w:val="0"/>
          <w:bCs/>
        </w:rPr>
        <w:t xml:space="preserve">lthough </w:t>
      </w:r>
      <w:r w:rsidR="00125F72">
        <w:rPr>
          <w:b w:val="0"/>
          <w:bCs/>
          <w:i/>
          <w:iCs/>
        </w:rPr>
        <w:t>Regents</w:t>
      </w:r>
      <w:r w:rsidR="00125F72">
        <w:rPr>
          <w:b w:val="0"/>
          <w:bCs/>
        </w:rPr>
        <w:t xml:space="preserve"> involved third</w:t>
      </w:r>
      <w:r w:rsidR="00EE5FAC">
        <w:rPr>
          <w:b w:val="0"/>
          <w:bCs/>
        </w:rPr>
        <w:t xml:space="preserve"> </w:t>
      </w:r>
      <w:r w:rsidR="00125F72">
        <w:rPr>
          <w:b w:val="0"/>
          <w:bCs/>
        </w:rPr>
        <w:t xml:space="preserve">party criminal conduct, the court did not </w:t>
      </w:r>
      <w:r w:rsidR="00182A9D">
        <w:rPr>
          <w:b w:val="0"/>
          <w:bCs/>
        </w:rPr>
        <w:t xml:space="preserve">expressly </w:t>
      </w:r>
      <w:r w:rsidR="00F16414">
        <w:rPr>
          <w:b w:val="0"/>
          <w:bCs/>
        </w:rPr>
        <w:t>employ the sliding scale, heightened foreseeability analysis.</w:t>
      </w:r>
      <w:r w:rsidRPr="00391D4A" w:rsidR="001D1883">
        <w:rPr>
          <w:b w:val="0"/>
          <w:bCs/>
        </w:rPr>
        <w:t xml:space="preserve"> </w:t>
      </w:r>
      <w:r w:rsidR="0024152B">
        <w:rPr>
          <w:b w:val="0"/>
          <w:bCs/>
        </w:rPr>
        <w:t xml:space="preserve"> </w:t>
      </w:r>
      <w:r w:rsidR="0078592A">
        <w:rPr>
          <w:b w:val="0"/>
          <w:bCs/>
        </w:rPr>
        <w:t xml:space="preserve">Yet, </w:t>
      </w:r>
      <w:r w:rsidR="00984474">
        <w:rPr>
          <w:b w:val="0"/>
          <w:bCs/>
        </w:rPr>
        <w:t xml:space="preserve">the framework described in </w:t>
      </w:r>
      <w:r w:rsidRPr="00C05329" w:rsidR="00984474">
        <w:rPr>
          <w:b w:val="0"/>
          <w:bCs/>
          <w:i/>
          <w:iCs/>
        </w:rPr>
        <w:t>Regents</w:t>
      </w:r>
      <w:r w:rsidR="00700BE7">
        <w:rPr>
          <w:b w:val="0"/>
          <w:bCs/>
        </w:rPr>
        <w:t xml:space="preserve"> similarly leads to the conclusion that </w:t>
      </w:r>
      <w:r>
        <w:rPr>
          <w:b w:val="0"/>
          <w:bCs/>
        </w:rPr>
        <w:t xml:space="preserve">the </w:t>
      </w:r>
      <w:r>
        <w:rPr>
          <w:b w:val="0"/>
          <w:bCs/>
          <w:i/>
          <w:iCs/>
        </w:rPr>
        <w:t xml:space="preserve">Rowland </w:t>
      </w:r>
      <w:r>
        <w:rPr>
          <w:b w:val="0"/>
          <w:bCs/>
        </w:rPr>
        <w:t>factors weigh in favor of limiting the duty Lyft owes drivers to exclude an obligation to conduct criminal background checks on all passengers.</w:t>
      </w:r>
      <w:r>
        <w:rPr>
          <w:rStyle w:val="FootnoteReference"/>
          <w:b/>
          <w:bCs/>
        </w:rPr>
        <w:footnoteReference w:id="10"/>
      </w:r>
    </w:p>
    <w:p w:rsidR="003A1C93" w:rsidP="008E6C8A" w14:paraId="346E3BEB" w14:textId="1CF643B2">
      <w:pPr>
        <w:pStyle w:val="Heading21"/>
        <w:spacing w:before="0" w:after="0"/>
        <w:ind w:left="0" w:firstLine="720"/>
        <w:rPr>
          <w:b w:val="0"/>
          <w:bCs/>
        </w:rPr>
      </w:pPr>
      <w:r w:rsidRPr="00984474">
        <w:rPr>
          <w:b w:val="0"/>
          <w:bCs/>
        </w:rPr>
        <w:t>I</w:t>
      </w:r>
      <w:r w:rsidRPr="00984474" w:rsidR="001D1883">
        <w:rPr>
          <w:b w:val="0"/>
          <w:bCs/>
        </w:rPr>
        <w:t>n</w:t>
      </w:r>
      <w:r w:rsidRPr="00391D4A" w:rsidR="001D1883">
        <w:rPr>
          <w:b w:val="0"/>
          <w:bCs/>
        </w:rPr>
        <w:t xml:space="preserve"> </w:t>
      </w:r>
      <w:r w:rsidRPr="001F3512" w:rsidR="001D1883">
        <w:rPr>
          <w:b w:val="0"/>
          <w:bCs/>
          <w:i/>
          <w:iCs/>
        </w:rPr>
        <w:t>Regents</w:t>
      </w:r>
      <w:r>
        <w:rPr>
          <w:b w:val="0"/>
          <w:bCs/>
        </w:rPr>
        <w:t>,</w:t>
      </w:r>
      <w:r w:rsidRPr="00391D4A" w:rsidR="001D1883">
        <w:rPr>
          <w:b w:val="0"/>
          <w:bCs/>
        </w:rPr>
        <w:t xml:space="preserve"> </w:t>
      </w:r>
      <w:r w:rsidR="008B0272">
        <w:rPr>
          <w:b w:val="0"/>
          <w:bCs/>
        </w:rPr>
        <w:t>our Supreme Court</w:t>
      </w:r>
      <w:r w:rsidRPr="00391D4A" w:rsidR="00E72789">
        <w:rPr>
          <w:b w:val="0"/>
          <w:bCs/>
        </w:rPr>
        <w:t xml:space="preserve"> considered whether the University of California </w:t>
      </w:r>
      <w:r w:rsidRPr="00391D4A" w:rsidR="00A50E31">
        <w:rPr>
          <w:b w:val="0"/>
          <w:bCs/>
        </w:rPr>
        <w:t xml:space="preserve">was negligent for failing to adopt measures to protect a student </w:t>
      </w:r>
      <w:r w:rsidR="00A208D1">
        <w:rPr>
          <w:b w:val="0"/>
          <w:bCs/>
        </w:rPr>
        <w:t>who was</w:t>
      </w:r>
      <w:r w:rsidRPr="00391D4A" w:rsidR="00863B95">
        <w:rPr>
          <w:b w:val="0"/>
          <w:bCs/>
        </w:rPr>
        <w:t xml:space="preserve"> stabbed </w:t>
      </w:r>
      <w:r w:rsidRPr="00391D4A" w:rsidR="00E537B3">
        <w:rPr>
          <w:b w:val="0"/>
          <w:bCs/>
        </w:rPr>
        <w:t xml:space="preserve">during </w:t>
      </w:r>
      <w:r w:rsidR="00E537B3">
        <w:rPr>
          <w:b w:val="0"/>
          <w:bCs/>
        </w:rPr>
        <w:t xml:space="preserve">class </w:t>
      </w:r>
      <w:r w:rsidR="00A208D1">
        <w:rPr>
          <w:b w:val="0"/>
          <w:bCs/>
        </w:rPr>
        <w:t>by another student</w:t>
      </w:r>
      <w:r w:rsidR="004E27CE">
        <w:rPr>
          <w:b w:val="0"/>
          <w:bCs/>
        </w:rPr>
        <w:t xml:space="preserve"> with known </w:t>
      </w:r>
      <w:r w:rsidR="00E80275">
        <w:rPr>
          <w:b w:val="0"/>
          <w:bCs/>
        </w:rPr>
        <w:t>mental health issues</w:t>
      </w:r>
      <w:r w:rsidR="00A208D1">
        <w:rPr>
          <w:b w:val="0"/>
          <w:bCs/>
        </w:rPr>
        <w:t>.  The court</w:t>
      </w:r>
      <w:r w:rsidRPr="00391D4A" w:rsidR="00ED3BD2">
        <w:rPr>
          <w:b w:val="0"/>
          <w:bCs/>
        </w:rPr>
        <w:t xml:space="preserve"> </w:t>
      </w:r>
      <w:r w:rsidR="00CF19D8">
        <w:rPr>
          <w:b w:val="0"/>
          <w:bCs/>
        </w:rPr>
        <w:t xml:space="preserve">considered each </w:t>
      </w:r>
      <w:r w:rsidR="00CF19D8">
        <w:rPr>
          <w:b w:val="0"/>
          <w:bCs/>
          <w:i/>
          <w:iCs/>
        </w:rPr>
        <w:t>Rowland</w:t>
      </w:r>
      <w:r w:rsidR="00CF19D8">
        <w:rPr>
          <w:b w:val="0"/>
          <w:bCs/>
        </w:rPr>
        <w:t xml:space="preserve"> factor individually and concluded</w:t>
      </w:r>
      <w:r w:rsidRPr="00391D4A" w:rsidR="00ED3BD2">
        <w:rPr>
          <w:b w:val="0"/>
          <w:bCs/>
        </w:rPr>
        <w:t xml:space="preserve"> the </w:t>
      </w:r>
      <w:r w:rsidR="008B0272">
        <w:rPr>
          <w:b w:val="0"/>
          <w:bCs/>
        </w:rPr>
        <w:t>university</w:t>
      </w:r>
      <w:r w:rsidRPr="00391D4A" w:rsidR="00ED3BD2">
        <w:rPr>
          <w:b w:val="0"/>
          <w:bCs/>
        </w:rPr>
        <w:t xml:space="preserve"> had a duty of care to protect </w:t>
      </w:r>
      <w:r w:rsidRPr="00391D4A" w:rsidR="00863B95">
        <w:rPr>
          <w:b w:val="0"/>
          <w:bCs/>
        </w:rPr>
        <w:t>its</w:t>
      </w:r>
      <w:r w:rsidRPr="00391D4A" w:rsidR="00ED3BD2">
        <w:rPr>
          <w:b w:val="0"/>
          <w:bCs/>
        </w:rPr>
        <w:t xml:space="preserve"> student</w:t>
      </w:r>
      <w:r w:rsidRPr="00391D4A" w:rsidR="00863B95">
        <w:rPr>
          <w:b w:val="0"/>
          <w:bCs/>
        </w:rPr>
        <w:t>s</w:t>
      </w:r>
      <w:r w:rsidRPr="00391D4A" w:rsidR="00ED3BD2">
        <w:rPr>
          <w:b w:val="0"/>
          <w:bCs/>
        </w:rPr>
        <w:t xml:space="preserve"> from foreseeable violence</w:t>
      </w:r>
      <w:r w:rsidRPr="00391D4A" w:rsidR="006D4F59">
        <w:rPr>
          <w:b w:val="0"/>
          <w:bCs/>
        </w:rPr>
        <w:t xml:space="preserve"> during curricular activities</w:t>
      </w:r>
      <w:r w:rsidRPr="00391D4A" w:rsidR="00863B95">
        <w:rPr>
          <w:b w:val="0"/>
          <w:bCs/>
        </w:rPr>
        <w:t>.</w:t>
      </w:r>
      <w:r w:rsidRPr="00391D4A" w:rsidR="006D4F59">
        <w:rPr>
          <w:b w:val="0"/>
          <w:bCs/>
        </w:rPr>
        <w:t xml:space="preserve">  (</w:t>
      </w:r>
      <w:r w:rsidRPr="00391D4A" w:rsidR="00E56DCF">
        <w:rPr>
          <w:b w:val="0"/>
          <w:bCs/>
          <w:i/>
          <w:iCs/>
        </w:rPr>
        <w:t>Regents</w:t>
      </w:r>
      <w:r w:rsidRPr="00391D4A" w:rsidR="00E56DCF">
        <w:rPr>
          <w:b w:val="0"/>
          <w:bCs/>
        </w:rPr>
        <w:t xml:space="preserve">, </w:t>
      </w:r>
      <w:r w:rsidRPr="00391D4A" w:rsidR="00E56DCF">
        <w:rPr>
          <w:b w:val="0"/>
          <w:bCs/>
          <w:i/>
          <w:iCs/>
        </w:rPr>
        <w:t>supra</w:t>
      </w:r>
      <w:r w:rsidRPr="00391D4A" w:rsidR="00E56DCF">
        <w:rPr>
          <w:b w:val="0"/>
          <w:bCs/>
        </w:rPr>
        <w:t xml:space="preserve">, 4 Cal.5th at </w:t>
      </w:r>
      <w:r w:rsidRPr="00391D4A" w:rsidR="006D4F59">
        <w:rPr>
          <w:b w:val="0"/>
          <w:bCs/>
        </w:rPr>
        <w:t>p. 613.)</w:t>
      </w:r>
    </w:p>
    <w:p w:rsidR="008E6C8A" w:rsidP="008E6C8A" w14:paraId="1AFC41D0" w14:textId="27C5DDA0">
      <w:pPr>
        <w:pStyle w:val="Heading21"/>
        <w:spacing w:before="0" w:after="0"/>
        <w:ind w:left="0" w:firstLine="720"/>
        <w:rPr>
          <w:b w:val="0"/>
          <w:bCs/>
        </w:rPr>
      </w:pPr>
      <w:r>
        <w:rPr>
          <w:b w:val="0"/>
          <w:bCs/>
        </w:rPr>
        <w:t>T</w:t>
      </w:r>
      <w:r w:rsidR="00A208D1">
        <w:rPr>
          <w:b w:val="0"/>
          <w:bCs/>
        </w:rPr>
        <w:t>he</w:t>
      </w:r>
      <w:r w:rsidRPr="00391D4A" w:rsidR="006D4F59">
        <w:rPr>
          <w:b w:val="0"/>
          <w:bCs/>
        </w:rPr>
        <w:t xml:space="preserve"> </w:t>
      </w:r>
      <w:r>
        <w:rPr>
          <w:b w:val="0"/>
          <w:bCs/>
          <w:i/>
          <w:iCs/>
        </w:rPr>
        <w:t xml:space="preserve">Regents </w:t>
      </w:r>
      <w:r w:rsidR="00A208D1">
        <w:rPr>
          <w:b w:val="0"/>
          <w:bCs/>
        </w:rPr>
        <w:t>c</w:t>
      </w:r>
      <w:r w:rsidRPr="00391D4A" w:rsidR="006D4F59">
        <w:rPr>
          <w:b w:val="0"/>
          <w:bCs/>
        </w:rPr>
        <w:t xml:space="preserve">ourt </w:t>
      </w:r>
      <w:r w:rsidRPr="00391D4A" w:rsidR="004548CD">
        <w:rPr>
          <w:b w:val="0"/>
          <w:bCs/>
        </w:rPr>
        <w:t xml:space="preserve">explained the foreseeability inquiry was not </w:t>
      </w:r>
      <w:r w:rsidRPr="00391D4A" w:rsidR="00DA5F90">
        <w:rPr>
          <w:b w:val="0"/>
          <w:bCs/>
        </w:rPr>
        <w:t>whether the particular student’s injury was reasonably foreseeable in light of the</w:t>
      </w:r>
      <w:r w:rsidR="00183B03">
        <w:rPr>
          <w:b w:val="0"/>
          <w:bCs/>
        </w:rPr>
        <w:t xml:space="preserve"> prior</w:t>
      </w:r>
      <w:r w:rsidRPr="00391D4A" w:rsidR="00DA5F90">
        <w:rPr>
          <w:b w:val="0"/>
          <w:bCs/>
        </w:rPr>
        <w:t xml:space="preserve"> </w:t>
      </w:r>
      <w:r w:rsidRPr="00391D4A" w:rsidR="00A377E6">
        <w:rPr>
          <w:b w:val="0"/>
          <w:bCs/>
        </w:rPr>
        <w:t xml:space="preserve">conduct of the </w:t>
      </w:r>
      <w:r w:rsidR="00397D98">
        <w:rPr>
          <w:b w:val="0"/>
          <w:bCs/>
        </w:rPr>
        <w:t>specific</w:t>
      </w:r>
      <w:r w:rsidRPr="00391D4A" w:rsidR="00DA5F90">
        <w:rPr>
          <w:b w:val="0"/>
          <w:bCs/>
        </w:rPr>
        <w:t xml:space="preserve"> </w:t>
      </w:r>
      <w:r w:rsidRPr="00391D4A" w:rsidR="00A377E6">
        <w:rPr>
          <w:b w:val="0"/>
          <w:bCs/>
        </w:rPr>
        <w:t xml:space="preserve">student who </w:t>
      </w:r>
      <w:r w:rsidR="00E73999">
        <w:rPr>
          <w:b w:val="0"/>
          <w:bCs/>
        </w:rPr>
        <w:t>injured</w:t>
      </w:r>
      <w:r w:rsidRPr="00391D4A" w:rsidR="00A377E6">
        <w:rPr>
          <w:b w:val="0"/>
          <w:bCs/>
        </w:rPr>
        <w:t xml:space="preserve"> her</w:t>
      </w:r>
      <w:r w:rsidR="00B4013B">
        <w:rPr>
          <w:b w:val="0"/>
          <w:bCs/>
        </w:rPr>
        <w:t>,</w:t>
      </w:r>
      <w:r w:rsidR="00E80275">
        <w:rPr>
          <w:b w:val="0"/>
          <w:bCs/>
        </w:rPr>
        <w:t xml:space="preserve"> </w:t>
      </w:r>
      <w:r w:rsidR="00971752">
        <w:rPr>
          <w:b w:val="0"/>
          <w:bCs/>
        </w:rPr>
        <w:t>but “</w:t>
      </w:r>
      <w:r w:rsidRPr="00971752" w:rsidR="00971752">
        <w:rPr>
          <w:b w:val="0"/>
          <w:bCs/>
        </w:rPr>
        <w:t>whether a reasonable university could foresee that its negligent failure to control a potentially violent student, or to warn students who were foreseeable targets of his ire, could result in harm to one of those students.</w:t>
      </w:r>
      <w:r w:rsidR="00971752">
        <w:rPr>
          <w:b w:val="0"/>
          <w:bCs/>
        </w:rPr>
        <w:t>”  (</w:t>
      </w:r>
      <w:r w:rsidRPr="00391D4A" w:rsidR="00193564">
        <w:rPr>
          <w:b w:val="0"/>
          <w:bCs/>
          <w:i/>
          <w:iCs/>
        </w:rPr>
        <w:t>Regents</w:t>
      </w:r>
      <w:r w:rsidRPr="00391D4A" w:rsidR="00193564">
        <w:rPr>
          <w:b w:val="0"/>
          <w:bCs/>
        </w:rPr>
        <w:t xml:space="preserve">, </w:t>
      </w:r>
      <w:r w:rsidRPr="00391D4A" w:rsidR="00193564">
        <w:rPr>
          <w:b w:val="0"/>
          <w:bCs/>
          <w:i/>
          <w:iCs/>
        </w:rPr>
        <w:t>supra</w:t>
      </w:r>
      <w:r w:rsidRPr="00391D4A" w:rsidR="00193564">
        <w:rPr>
          <w:b w:val="0"/>
          <w:bCs/>
        </w:rPr>
        <w:t>, 4 Cal.5th</w:t>
      </w:r>
      <w:r w:rsidR="00971752">
        <w:rPr>
          <w:b w:val="0"/>
          <w:bCs/>
        </w:rPr>
        <w:t xml:space="preserve"> at p. 6</w:t>
      </w:r>
      <w:r w:rsidR="009D2B31">
        <w:rPr>
          <w:b w:val="0"/>
          <w:bCs/>
        </w:rPr>
        <w:t>29</w:t>
      </w:r>
      <w:r w:rsidR="00791387">
        <w:rPr>
          <w:b w:val="0"/>
          <w:bCs/>
        </w:rPr>
        <w:t>.</w:t>
      </w:r>
      <w:r w:rsidR="00971752">
        <w:rPr>
          <w:b w:val="0"/>
          <w:bCs/>
        </w:rPr>
        <w:t>)</w:t>
      </w:r>
      <w:r w:rsidR="00196DDB">
        <w:rPr>
          <w:b w:val="0"/>
          <w:bCs/>
        </w:rPr>
        <w:t xml:space="preserve">  </w:t>
      </w:r>
      <w:r w:rsidR="00EA2B40">
        <w:rPr>
          <w:b w:val="0"/>
          <w:bCs/>
        </w:rPr>
        <w:t xml:space="preserve">The court then considered </w:t>
      </w:r>
      <w:r w:rsidR="006C13CE">
        <w:rPr>
          <w:b w:val="0"/>
          <w:bCs/>
        </w:rPr>
        <w:t xml:space="preserve">examples </w:t>
      </w:r>
      <w:r w:rsidR="000D6A67">
        <w:rPr>
          <w:b w:val="0"/>
          <w:bCs/>
        </w:rPr>
        <w:t xml:space="preserve">of </w:t>
      </w:r>
      <w:r w:rsidR="00044D60">
        <w:rPr>
          <w:b w:val="0"/>
          <w:bCs/>
        </w:rPr>
        <w:t xml:space="preserve">violent attacks </w:t>
      </w:r>
      <w:r w:rsidR="000D6A67">
        <w:rPr>
          <w:b w:val="0"/>
          <w:bCs/>
        </w:rPr>
        <w:t>at other universities</w:t>
      </w:r>
      <w:r w:rsidR="00602EAE">
        <w:rPr>
          <w:b w:val="0"/>
          <w:bCs/>
        </w:rPr>
        <w:t xml:space="preserve"> and </w:t>
      </w:r>
      <w:r w:rsidRPr="00822D5F" w:rsidR="00602EAE">
        <w:rPr>
          <w:b w:val="0"/>
          <w:bCs/>
        </w:rPr>
        <w:t>concluded,</w:t>
      </w:r>
      <w:r w:rsidRPr="00822D5F" w:rsidR="00C33993">
        <w:rPr>
          <w:b w:val="0"/>
          <w:bCs/>
        </w:rPr>
        <w:t xml:space="preserve"> “particularly</w:t>
      </w:r>
      <w:r w:rsidRPr="00C33993" w:rsidR="00C33993">
        <w:rPr>
          <w:b w:val="0"/>
          <w:bCs/>
        </w:rPr>
        <w:t xml:space="preserve"> after the Virginia Tech shootings focused national attention on the issue, colleges have been alert to the possibility that students, particularly those with mental health issues, may lash out violently against those around them.</w:t>
      </w:r>
      <w:r w:rsidR="008270CD">
        <w:rPr>
          <w:b w:val="0"/>
          <w:bCs/>
        </w:rPr>
        <w:t>”  (</w:t>
      </w:r>
      <w:r w:rsidRPr="00A72195" w:rsidR="008270CD">
        <w:rPr>
          <w:b w:val="0"/>
          <w:bCs/>
          <w:i/>
          <w:iCs/>
        </w:rPr>
        <w:t>Id</w:t>
      </w:r>
      <w:r w:rsidRPr="00F977DB" w:rsidR="008270CD">
        <w:rPr>
          <w:b w:val="0"/>
          <w:bCs/>
        </w:rPr>
        <w:t>.</w:t>
      </w:r>
      <w:r w:rsidR="008270CD">
        <w:rPr>
          <w:b w:val="0"/>
          <w:bCs/>
        </w:rPr>
        <w:t xml:space="preserve"> at </w:t>
      </w:r>
      <w:r w:rsidR="002327CA">
        <w:rPr>
          <w:b w:val="0"/>
          <w:bCs/>
        </w:rPr>
        <w:t xml:space="preserve">p. </w:t>
      </w:r>
      <w:r w:rsidR="008270CD">
        <w:rPr>
          <w:b w:val="0"/>
          <w:bCs/>
        </w:rPr>
        <w:t>630.)</w:t>
      </w:r>
    </w:p>
    <w:p w:rsidR="003858BA" w:rsidP="008E6C8A" w14:paraId="5A719CBB" w14:textId="016E514C">
      <w:pPr>
        <w:pStyle w:val="Heading21"/>
        <w:spacing w:before="0" w:after="0"/>
        <w:ind w:left="0" w:firstLine="720"/>
        <w:rPr>
          <w:b w:val="0"/>
          <w:bCs/>
        </w:rPr>
      </w:pPr>
      <w:r>
        <w:rPr>
          <w:b w:val="0"/>
          <w:bCs/>
        </w:rPr>
        <w:t xml:space="preserve">Taken </w:t>
      </w:r>
      <w:r w:rsidR="00A208D1">
        <w:rPr>
          <w:b w:val="0"/>
          <w:bCs/>
        </w:rPr>
        <w:t>at a similar level of generality</w:t>
      </w:r>
      <w:r>
        <w:rPr>
          <w:b w:val="0"/>
          <w:bCs/>
        </w:rPr>
        <w:t>,</w:t>
      </w:r>
      <w:r w:rsidR="00F5228D">
        <w:rPr>
          <w:b w:val="0"/>
          <w:bCs/>
        </w:rPr>
        <w:t xml:space="preserve"> </w:t>
      </w:r>
      <w:r w:rsidR="00666465">
        <w:rPr>
          <w:b w:val="0"/>
          <w:bCs/>
        </w:rPr>
        <w:t xml:space="preserve">the question </w:t>
      </w:r>
      <w:r w:rsidR="00EE7883">
        <w:rPr>
          <w:b w:val="0"/>
          <w:bCs/>
        </w:rPr>
        <w:t xml:space="preserve">presented here </w:t>
      </w:r>
      <w:r w:rsidR="00B72B78">
        <w:rPr>
          <w:b w:val="0"/>
          <w:bCs/>
        </w:rPr>
        <w:t>is</w:t>
      </w:r>
      <w:r>
        <w:rPr>
          <w:b w:val="0"/>
          <w:bCs/>
        </w:rPr>
        <w:t xml:space="preserve"> whether </w:t>
      </w:r>
      <w:r w:rsidR="005E72DF">
        <w:rPr>
          <w:b w:val="0"/>
          <w:bCs/>
        </w:rPr>
        <w:t>a</w:t>
      </w:r>
      <w:r w:rsidR="00C23CCE">
        <w:rPr>
          <w:b w:val="0"/>
          <w:bCs/>
        </w:rPr>
        <w:t xml:space="preserve"> reasonable</w:t>
      </w:r>
      <w:r w:rsidR="005E72DF">
        <w:rPr>
          <w:b w:val="0"/>
          <w:bCs/>
        </w:rPr>
        <w:t xml:space="preserve"> rideshare company </w:t>
      </w:r>
      <w:r w:rsidR="00C23CCE">
        <w:rPr>
          <w:b w:val="0"/>
          <w:bCs/>
        </w:rPr>
        <w:t xml:space="preserve">could foresee that its failure </w:t>
      </w:r>
      <w:r w:rsidRPr="001D1883" w:rsidR="00C23CCE">
        <w:rPr>
          <w:b w:val="0"/>
          <w:bCs/>
        </w:rPr>
        <w:t>to perform criminal background checks</w:t>
      </w:r>
      <w:r w:rsidR="006F0DBD">
        <w:rPr>
          <w:b w:val="0"/>
          <w:bCs/>
        </w:rPr>
        <w:t xml:space="preserve"> on all passengers</w:t>
      </w:r>
      <w:r w:rsidR="00AB40BC">
        <w:rPr>
          <w:b w:val="0"/>
          <w:bCs/>
        </w:rPr>
        <w:t xml:space="preserve"> </w:t>
      </w:r>
      <w:r w:rsidRPr="001D1883" w:rsidR="00C23CCE">
        <w:rPr>
          <w:b w:val="0"/>
          <w:bCs/>
        </w:rPr>
        <w:t xml:space="preserve">could result in </w:t>
      </w:r>
      <w:r w:rsidR="007137FC">
        <w:rPr>
          <w:b w:val="0"/>
          <w:bCs/>
        </w:rPr>
        <w:t>a passenger harming a</w:t>
      </w:r>
      <w:r w:rsidRPr="001D1883" w:rsidR="00C23CCE">
        <w:rPr>
          <w:b w:val="0"/>
          <w:bCs/>
        </w:rPr>
        <w:t xml:space="preserve"> driver</w:t>
      </w:r>
      <w:r w:rsidR="002D5C90">
        <w:rPr>
          <w:b w:val="0"/>
          <w:bCs/>
        </w:rPr>
        <w:t>.</w:t>
      </w:r>
      <w:r w:rsidR="00FB0AC5">
        <w:rPr>
          <w:b w:val="0"/>
          <w:bCs/>
        </w:rPr>
        <w:t xml:space="preserve"> </w:t>
      </w:r>
      <w:r w:rsidR="00F977DB">
        <w:rPr>
          <w:b w:val="0"/>
          <w:bCs/>
        </w:rPr>
        <w:t xml:space="preserve"> </w:t>
      </w:r>
      <w:r w:rsidR="00FB0AC5">
        <w:rPr>
          <w:b w:val="0"/>
          <w:bCs/>
        </w:rPr>
        <w:t xml:space="preserve">Al Shikha’s complaint sufficiently alleges that </w:t>
      </w:r>
      <w:r w:rsidR="00560F4F">
        <w:rPr>
          <w:b w:val="0"/>
          <w:bCs/>
        </w:rPr>
        <w:t xml:space="preserve">passengers </w:t>
      </w:r>
      <w:r w:rsidR="00B72B78">
        <w:rPr>
          <w:b w:val="0"/>
          <w:bCs/>
        </w:rPr>
        <w:t xml:space="preserve">have </w:t>
      </w:r>
      <w:r w:rsidR="00560F4F">
        <w:rPr>
          <w:b w:val="0"/>
          <w:bCs/>
        </w:rPr>
        <w:t>commit</w:t>
      </w:r>
      <w:r w:rsidR="00B72B78">
        <w:rPr>
          <w:b w:val="0"/>
          <w:bCs/>
        </w:rPr>
        <w:t>ted</w:t>
      </w:r>
      <w:r w:rsidR="00560F4F">
        <w:rPr>
          <w:b w:val="0"/>
          <w:bCs/>
        </w:rPr>
        <w:t xml:space="preserve"> crimes against Lyft drivers</w:t>
      </w:r>
      <w:r w:rsidR="0037597D">
        <w:rPr>
          <w:b w:val="0"/>
          <w:bCs/>
        </w:rPr>
        <w:t xml:space="preserve"> prior to this incident</w:t>
      </w:r>
      <w:r w:rsidR="00774E4E">
        <w:rPr>
          <w:b w:val="0"/>
          <w:bCs/>
        </w:rPr>
        <w:t xml:space="preserve">, thus that such attacks may happen is </w:t>
      </w:r>
      <w:r w:rsidR="00CF23B7">
        <w:rPr>
          <w:b w:val="0"/>
          <w:bCs/>
        </w:rPr>
        <w:t xml:space="preserve">reasonably </w:t>
      </w:r>
      <w:r w:rsidR="00C25907">
        <w:rPr>
          <w:b w:val="0"/>
          <w:bCs/>
        </w:rPr>
        <w:t xml:space="preserve">foreseeable.  Yet, it is far less clear that such attacks are a foreseeable consequence of Lyft failing to conduct </w:t>
      </w:r>
      <w:r w:rsidR="007F6D2F">
        <w:rPr>
          <w:b w:val="0"/>
          <w:bCs/>
        </w:rPr>
        <w:t xml:space="preserve">criminal </w:t>
      </w:r>
      <w:r w:rsidR="00C25907">
        <w:rPr>
          <w:b w:val="0"/>
          <w:bCs/>
        </w:rPr>
        <w:t>background checks on all potential passengers.</w:t>
      </w:r>
      <w:r w:rsidR="00FE3F67">
        <w:rPr>
          <w:b w:val="0"/>
          <w:bCs/>
        </w:rPr>
        <w:t xml:space="preserve">  </w:t>
      </w:r>
      <w:r w:rsidR="003C32B7">
        <w:rPr>
          <w:b w:val="0"/>
          <w:bCs/>
        </w:rPr>
        <w:t xml:space="preserve">There is no allegation, for example, that </w:t>
      </w:r>
      <w:r w:rsidR="004F22E9">
        <w:rPr>
          <w:b w:val="0"/>
          <w:bCs/>
        </w:rPr>
        <w:t xml:space="preserve">it is passengers with </w:t>
      </w:r>
      <w:r w:rsidR="002476E3">
        <w:rPr>
          <w:b w:val="0"/>
          <w:bCs/>
        </w:rPr>
        <w:t xml:space="preserve">“serious” criminal histories, or </w:t>
      </w:r>
      <w:r w:rsidR="004F22E9">
        <w:rPr>
          <w:b w:val="0"/>
          <w:bCs/>
        </w:rPr>
        <w:t xml:space="preserve">prior convictions </w:t>
      </w:r>
      <w:r w:rsidR="00363F8D">
        <w:rPr>
          <w:b w:val="0"/>
          <w:bCs/>
        </w:rPr>
        <w:t xml:space="preserve">enumerated in </w:t>
      </w:r>
      <w:r w:rsidRPr="00B85BFE" w:rsidR="00583F60">
        <w:rPr>
          <w:b w:val="0"/>
          <w:bCs/>
        </w:rPr>
        <w:t>Public Utilities Code section 5445.2</w:t>
      </w:r>
      <w:r w:rsidR="00583F60">
        <w:rPr>
          <w:b w:val="0"/>
          <w:bCs/>
        </w:rPr>
        <w:t xml:space="preserve"> </w:t>
      </w:r>
      <w:r w:rsidR="002476E3">
        <w:rPr>
          <w:b w:val="0"/>
          <w:bCs/>
        </w:rPr>
        <w:t xml:space="preserve">or Business and Professions Code section 7458, </w:t>
      </w:r>
      <w:r w:rsidR="001A0B32">
        <w:rPr>
          <w:b w:val="0"/>
          <w:bCs/>
        </w:rPr>
        <w:t>who have committed crimes against driver</w:t>
      </w:r>
      <w:r w:rsidR="00812013">
        <w:rPr>
          <w:b w:val="0"/>
          <w:bCs/>
        </w:rPr>
        <w:t>s in the past</w:t>
      </w:r>
      <w:r w:rsidR="00583F60">
        <w:rPr>
          <w:b w:val="0"/>
          <w:bCs/>
        </w:rPr>
        <w:t xml:space="preserve">.  Indeed, while we consider foreseeability at a general level rather than based on the facts of this particular case, it is not clear </w:t>
      </w:r>
      <w:r w:rsidR="00ED02CE">
        <w:rPr>
          <w:b w:val="0"/>
          <w:bCs/>
        </w:rPr>
        <w:t xml:space="preserve">from the complaint’s allegations </w:t>
      </w:r>
      <w:r w:rsidR="00583F60">
        <w:rPr>
          <w:b w:val="0"/>
          <w:bCs/>
        </w:rPr>
        <w:t xml:space="preserve">that </w:t>
      </w:r>
      <w:r w:rsidR="00FA0AEE">
        <w:rPr>
          <w:b w:val="0"/>
          <w:bCs/>
        </w:rPr>
        <w:t>Alvarez</w:t>
      </w:r>
      <w:r w:rsidR="00C16E62">
        <w:rPr>
          <w:b w:val="0"/>
          <w:bCs/>
        </w:rPr>
        <w:t xml:space="preserve"> had </w:t>
      </w:r>
      <w:r w:rsidR="003D0322">
        <w:rPr>
          <w:b w:val="0"/>
          <w:bCs/>
        </w:rPr>
        <w:t xml:space="preserve">a “serious criminal history,” or prior </w:t>
      </w:r>
      <w:r w:rsidR="00C16E62">
        <w:rPr>
          <w:b w:val="0"/>
          <w:bCs/>
        </w:rPr>
        <w:t>convictions t</w:t>
      </w:r>
      <w:r>
        <w:rPr>
          <w:b w:val="0"/>
          <w:bCs/>
        </w:rPr>
        <w:t xml:space="preserve">hat would </w:t>
      </w:r>
      <w:r w:rsidR="0037597D">
        <w:rPr>
          <w:b w:val="0"/>
          <w:bCs/>
        </w:rPr>
        <w:t xml:space="preserve">disqualify </w:t>
      </w:r>
      <w:r w:rsidR="002E031C">
        <w:rPr>
          <w:b w:val="0"/>
          <w:bCs/>
        </w:rPr>
        <w:t>a person from driving for a TNC</w:t>
      </w:r>
      <w:r>
        <w:rPr>
          <w:b w:val="0"/>
          <w:bCs/>
        </w:rPr>
        <w:t>.</w:t>
      </w:r>
    </w:p>
    <w:p w:rsidR="00C02027" w:rsidRPr="00864928" w:rsidP="00EF52BA" w14:paraId="514C4F13" w14:textId="5B4A97F4">
      <w:pPr>
        <w:pStyle w:val="Heading21"/>
        <w:spacing w:before="0" w:after="0"/>
        <w:ind w:left="0" w:firstLine="720"/>
        <w:rPr>
          <w:b w:val="0"/>
          <w:bCs/>
        </w:rPr>
      </w:pPr>
      <w:r>
        <w:rPr>
          <w:b w:val="0"/>
          <w:bCs/>
        </w:rPr>
        <w:t>Th</w:t>
      </w:r>
      <w:r w:rsidR="007B1D3B">
        <w:rPr>
          <w:b w:val="0"/>
          <w:bCs/>
        </w:rPr>
        <w:t xml:space="preserve">is case thus stands in contrast </w:t>
      </w:r>
      <w:r w:rsidR="006F66AD">
        <w:rPr>
          <w:b w:val="0"/>
          <w:bCs/>
        </w:rPr>
        <w:t xml:space="preserve">to those in which courts have found </w:t>
      </w:r>
      <w:r w:rsidR="008E6C24">
        <w:rPr>
          <w:b w:val="0"/>
          <w:bCs/>
        </w:rPr>
        <w:t>“</w:t>
      </w:r>
      <w:r w:rsidR="0030437F">
        <w:rPr>
          <w:b w:val="0"/>
          <w:bCs/>
        </w:rPr>
        <w:t xml:space="preserve"> ‘ “</w:t>
      </w:r>
      <w:r w:rsidR="008E6C24">
        <w:rPr>
          <w:b w:val="0"/>
          <w:bCs/>
        </w:rPr>
        <w:t>the category of negligent conduct at issue is sufficiently likely to result in the kind of harm experienced that liability may appropriately be imposed</w:t>
      </w:r>
      <w:r w:rsidR="0030437F">
        <w:rPr>
          <w:b w:val="0"/>
          <w:bCs/>
        </w:rPr>
        <w:t xml:space="preserve"> . . . .” ’ </w:t>
      </w:r>
      <w:r w:rsidR="00C35409">
        <w:rPr>
          <w:b w:val="0"/>
          <w:bCs/>
        </w:rPr>
        <w:t xml:space="preserve"> [Citations.]</w:t>
      </w:r>
      <w:r w:rsidR="0030437F">
        <w:rPr>
          <w:b w:val="0"/>
          <w:bCs/>
        </w:rPr>
        <w:t>”  (</w:t>
      </w:r>
      <w:r w:rsidR="0030437F">
        <w:rPr>
          <w:b w:val="0"/>
          <w:bCs/>
          <w:i/>
          <w:iCs/>
        </w:rPr>
        <w:t>Regents</w:t>
      </w:r>
      <w:r w:rsidRPr="00F977DB" w:rsidR="0030437F">
        <w:rPr>
          <w:b w:val="0"/>
          <w:bCs/>
        </w:rPr>
        <w:t>,</w:t>
      </w:r>
      <w:r w:rsidR="0030437F">
        <w:rPr>
          <w:b w:val="0"/>
          <w:bCs/>
          <w:i/>
          <w:iCs/>
        </w:rPr>
        <w:t xml:space="preserve"> supra</w:t>
      </w:r>
      <w:r w:rsidRPr="00F977DB" w:rsidR="0030437F">
        <w:rPr>
          <w:b w:val="0"/>
          <w:bCs/>
        </w:rPr>
        <w:t>,</w:t>
      </w:r>
      <w:r w:rsidR="0030437F">
        <w:rPr>
          <w:b w:val="0"/>
          <w:bCs/>
        </w:rPr>
        <w:t xml:space="preserve"> </w:t>
      </w:r>
      <w:r w:rsidR="005B5F1C">
        <w:rPr>
          <w:b w:val="0"/>
          <w:bCs/>
        </w:rPr>
        <w:t xml:space="preserve">4 Cal.5th </w:t>
      </w:r>
      <w:r w:rsidR="00130CB4">
        <w:rPr>
          <w:b w:val="0"/>
          <w:bCs/>
        </w:rPr>
        <w:t>at p. 629</w:t>
      </w:r>
      <w:r w:rsidR="005B5F1C">
        <w:rPr>
          <w:b w:val="0"/>
          <w:bCs/>
        </w:rPr>
        <w:t>.)</w:t>
      </w:r>
      <w:r w:rsidR="009C58B4">
        <w:rPr>
          <w:b w:val="0"/>
          <w:bCs/>
        </w:rPr>
        <w:t xml:space="preserve">  In </w:t>
      </w:r>
      <w:r w:rsidR="009C58B4">
        <w:rPr>
          <w:b w:val="0"/>
          <w:bCs/>
          <w:i/>
          <w:iCs/>
        </w:rPr>
        <w:t>Regents</w:t>
      </w:r>
      <w:r w:rsidR="009C58B4">
        <w:rPr>
          <w:b w:val="0"/>
          <w:bCs/>
        </w:rPr>
        <w:t xml:space="preserve">, for example, the </w:t>
      </w:r>
      <w:r w:rsidR="00360BA5">
        <w:rPr>
          <w:b w:val="0"/>
          <w:bCs/>
        </w:rPr>
        <w:t xml:space="preserve">court </w:t>
      </w:r>
      <w:r w:rsidR="00EF52BA">
        <w:rPr>
          <w:b w:val="0"/>
          <w:bCs/>
        </w:rPr>
        <w:t>considered</w:t>
      </w:r>
      <w:r>
        <w:rPr>
          <w:b w:val="0"/>
          <w:bCs/>
        </w:rPr>
        <w:t xml:space="preserve"> </w:t>
      </w:r>
      <w:r w:rsidR="00993074">
        <w:rPr>
          <w:b w:val="0"/>
          <w:bCs/>
        </w:rPr>
        <w:t xml:space="preserve">situations in which a university is on notice about a particular student’s potential to be violent, or </w:t>
      </w:r>
      <w:r w:rsidR="005F1651">
        <w:rPr>
          <w:b w:val="0"/>
          <w:bCs/>
        </w:rPr>
        <w:t>a student’s mental illness that may predispose the student to commit a violent act</w:t>
      </w:r>
      <w:r w:rsidR="00E47183">
        <w:rPr>
          <w:b w:val="0"/>
          <w:bCs/>
        </w:rPr>
        <w:t xml:space="preserve">.  Here, Al Shikha does not allege </w:t>
      </w:r>
      <w:r w:rsidR="00ED3A50">
        <w:rPr>
          <w:b w:val="0"/>
          <w:bCs/>
        </w:rPr>
        <w:t xml:space="preserve">the obligation to conduct criminal background checks arises out of any knowledge or awareness about particular passengers, that </w:t>
      </w:r>
      <w:r w:rsidR="00D21331">
        <w:rPr>
          <w:b w:val="0"/>
          <w:bCs/>
        </w:rPr>
        <w:t xml:space="preserve">passengers with certain criminal histories are predisposed or more likely to commit violent acts against drivers, or </w:t>
      </w:r>
      <w:r w:rsidR="009E2E70">
        <w:rPr>
          <w:b w:val="0"/>
          <w:bCs/>
        </w:rPr>
        <w:t xml:space="preserve">that Lyft is on notice of anything other than that passengers have committed crimes against drivers.  This falls far short of the </w:t>
      </w:r>
      <w:r w:rsidR="00864928">
        <w:rPr>
          <w:b w:val="0"/>
          <w:bCs/>
        </w:rPr>
        <w:t xml:space="preserve">foreseeability present in </w:t>
      </w:r>
      <w:r w:rsidR="00864928">
        <w:rPr>
          <w:b w:val="0"/>
          <w:bCs/>
          <w:i/>
          <w:iCs/>
        </w:rPr>
        <w:t>Regents.</w:t>
      </w:r>
    </w:p>
    <w:p w:rsidR="00E866CC" w:rsidP="008E6C8A" w14:paraId="332267C6" w14:textId="2110A1E0">
      <w:pPr>
        <w:pStyle w:val="Heading21"/>
        <w:spacing w:before="0" w:after="0"/>
        <w:ind w:left="0" w:firstLine="720"/>
        <w:rPr>
          <w:b w:val="0"/>
          <w:bCs/>
        </w:rPr>
      </w:pPr>
      <w:r>
        <w:rPr>
          <w:b w:val="0"/>
          <w:bCs/>
        </w:rPr>
        <w:t xml:space="preserve">Similarly, in </w:t>
      </w:r>
      <w:r>
        <w:rPr>
          <w:b w:val="0"/>
          <w:bCs/>
          <w:i/>
          <w:iCs/>
        </w:rPr>
        <w:t xml:space="preserve">Brown </w:t>
      </w:r>
      <w:r w:rsidR="006D6697">
        <w:rPr>
          <w:b w:val="0"/>
          <w:bCs/>
          <w:i/>
          <w:iCs/>
        </w:rPr>
        <w:t xml:space="preserve">v. </w:t>
      </w:r>
      <w:r w:rsidR="005E01D2">
        <w:rPr>
          <w:b w:val="0"/>
          <w:bCs/>
          <w:i/>
          <w:iCs/>
        </w:rPr>
        <w:t xml:space="preserve">USA Taekwondo </w:t>
      </w:r>
      <w:r w:rsidR="005E01D2">
        <w:rPr>
          <w:b w:val="0"/>
          <w:bCs/>
        </w:rPr>
        <w:t xml:space="preserve">(2019) </w:t>
      </w:r>
      <w:r w:rsidR="00D57994">
        <w:rPr>
          <w:b w:val="0"/>
          <w:bCs/>
        </w:rPr>
        <w:t xml:space="preserve">40 </w:t>
      </w:r>
      <w:r w:rsidRPr="00D57994" w:rsidR="00D57994">
        <w:rPr>
          <w:b w:val="0"/>
          <w:bCs/>
        </w:rPr>
        <w:t xml:space="preserve">Cal.App.5th </w:t>
      </w:r>
      <w:r w:rsidR="00D57994">
        <w:rPr>
          <w:b w:val="0"/>
          <w:bCs/>
        </w:rPr>
        <w:t xml:space="preserve">1077, </w:t>
      </w:r>
      <w:r w:rsidRPr="00644942" w:rsidR="00D57994">
        <w:rPr>
          <w:b w:val="0"/>
          <w:bCs/>
        </w:rPr>
        <w:t>aff</w:t>
      </w:r>
      <w:r w:rsidR="00644942">
        <w:rPr>
          <w:b w:val="0"/>
          <w:bCs/>
        </w:rPr>
        <w:t>irme</w:t>
      </w:r>
      <w:r w:rsidRPr="00644942" w:rsidR="00D57994">
        <w:rPr>
          <w:b w:val="0"/>
          <w:bCs/>
        </w:rPr>
        <w:t>d</w:t>
      </w:r>
      <w:r w:rsidR="00D57994">
        <w:rPr>
          <w:b w:val="0"/>
          <w:bCs/>
        </w:rPr>
        <w:t xml:space="preserve"> </w:t>
      </w:r>
      <w:r w:rsidR="007C5CA5">
        <w:rPr>
          <w:b w:val="0"/>
          <w:bCs/>
        </w:rPr>
        <w:t xml:space="preserve">in part by </w:t>
      </w:r>
      <w:r w:rsidR="00CF3436">
        <w:rPr>
          <w:b w:val="0"/>
          <w:bCs/>
          <w:i/>
          <w:iCs/>
        </w:rPr>
        <w:t>Brown</w:t>
      </w:r>
      <w:r w:rsidRPr="00F13253" w:rsidR="00B159E2">
        <w:rPr>
          <w:b w:val="0"/>
          <w:bCs/>
        </w:rPr>
        <w:t>,</w:t>
      </w:r>
      <w:r w:rsidR="00B159E2">
        <w:rPr>
          <w:b w:val="0"/>
          <w:bCs/>
        </w:rPr>
        <w:t xml:space="preserve"> </w:t>
      </w:r>
      <w:r w:rsidRPr="00F13253" w:rsidR="00B159E2">
        <w:rPr>
          <w:b w:val="0"/>
          <w:bCs/>
          <w:i/>
          <w:iCs/>
        </w:rPr>
        <w:t>supra</w:t>
      </w:r>
      <w:r w:rsidR="00B159E2">
        <w:rPr>
          <w:b w:val="0"/>
          <w:bCs/>
        </w:rPr>
        <w:t>,</w:t>
      </w:r>
      <w:r w:rsidR="00CF3436">
        <w:rPr>
          <w:b w:val="0"/>
          <w:bCs/>
          <w:i/>
          <w:iCs/>
        </w:rPr>
        <w:t xml:space="preserve"> </w:t>
      </w:r>
      <w:r w:rsidR="00CF3436">
        <w:rPr>
          <w:b w:val="0"/>
          <w:bCs/>
        </w:rPr>
        <w:t xml:space="preserve">11 </w:t>
      </w:r>
      <w:r w:rsidRPr="000F4F54" w:rsidR="000F4F54">
        <w:rPr>
          <w:b w:val="0"/>
          <w:bCs/>
        </w:rPr>
        <w:t>Cal.</w:t>
      </w:r>
      <w:r w:rsidR="000F4F54">
        <w:rPr>
          <w:b w:val="0"/>
          <w:bCs/>
        </w:rPr>
        <w:t>5</w:t>
      </w:r>
      <w:r w:rsidRPr="000F4F54" w:rsidR="000F4F54">
        <w:rPr>
          <w:b w:val="0"/>
          <w:bCs/>
        </w:rPr>
        <w:t>th</w:t>
      </w:r>
      <w:r w:rsidR="000F4F54">
        <w:rPr>
          <w:b w:val="0"/>
          <w:bCs/>
        </w:rPr>
        <w:t xml:space="preserve"> 204</w:t>
      </w:r>
      <w:r w:rsidR="00431413">
        <w:rPr>
          <w:b w:val="0"/>
          <w:bCs/>
        </w:rPr>
        <w:t xml:space="preserve">, the court found </w:t>
      </w:r>
      <w:r w:rsidR="00404EB7">
        <w:rPr>
          <w:b w:val="0"/>
          <w:bCs/>
        </w:rPr>
        <w:t>sexual abuse was a foreseeable harm ar</w:t>
      </w:r>
      <w:r w:rsidR="0024716B">
        <w:rPr>
          <w:b w:val="0"/>
          <w:bCs/>
        </w:rPr>
        <w:t xml:space="preserve">ising out </w:t>
      </w:r>
      <w:r w:rsidR="00407575">
        <w:rPr>
          <w:b w:val="0"/>
          <w:bCs/>
        </w:rPr>
        <w:t xml:space="preserve">of </w:t>
      </w:r>
      <w:r w:rsidR="004B05AB">
        <w:rPr>
          <w:b w:val="0"/>
          <w:bCs/>
        </w:rPr>
        <w:t xml:space="preserve">the </w:t>
      </w:r>
      <w:r w:rsidR="00A87392">
        <w:rPr>
          <w:b w:val="0"/>
          <w:bCs/>
        </w:rPr>
        <w:t>failure o</w:t>
      </w:r>
      <w:r w:rsidR="0021132D">
        <w:rPr>
          <w:b w:val="0"/>
          <w:bCs/>
        </w:rPr>
        <w:t xml:space="preserve">f a national </w:t>
      </w:r>
      <w:r w:rsidR="00F909CD">
        <w:rPr>
          <w:b w:val="0"/>
          <w:bCs/>
        </w:rPr>
        <w:t xml:space="preserve">governing body for an Olympic sport to </w:t>
      </w:r>
      <w:r w:rsidR="00CA4ADB">
        <w:rPr>
          <w:b w:val="0"/>
          <w:bCs/>
        </w:rPr>
        <w:t>implement or enforce any policies to protect at</w:t>
      </w:r>
      <w:r w:rsidR="0024716B">
        <w:rPr>
          <w:b w:val="0"/>
          <w:bCs/>
        </w:rPr>
        <w:t xml:space="preserve">hletes from such abuse.  The plaintiffs’ complaint alleged </w:t>
      </w:r>
      <w:r w:rsidR="002D361D">
        <w:rPr>
          <w:b w:val="0"/>
          <w:bCs/>
        </w:rPr>
        <w:t xml:space="preserve">that in the years prior to the incidents underlying the complaint, </w:t>
      </w:r>
      <w:r w:rsidR="00053D72">
        <w:rPr>
          <w:b w:val="0"/>
          <w:bCs/>
        </w:rPr>
        <w:t>sexual abuse of young athletes by coaches was so rampant that the organization had purchased insurance to cover coach sexual abuse.  A</w:t>
      </w:r>
      <w:r w:rsidR="00F524A4">
        <w:rPr>
          <w:b w:val="0"/>
          <w:bCs/>
        </w:rPr>
        <w:t xml:space="preserve"> national team coach was caught having sex with a young female athlete</w:t>
      </w:r>
      <w:r w:rsidR="00053D72">
        <w:rPr>
          <w:b w:val="0"/>
          <w:bCs/>
        </w:rPr>
        <w:t>.  And,</w:t>
      </w:r>
      <w:r w:rsidR="003E75F7">
        <w:rPr>
          <w:b w:val="0"/>
          <w:bCs/>
        </w:rPr>
        <w:t xml:space="preserve"> on two prior occasions</w:t>
      </w:r>
      <w:r w:rsidR="009A6EA1">
        <w:rPr>
          <w:b w:val="0"/>
          <w:bCs/>
        </w:rPr>
        <w:t>,</w:t>
      </w:r>
      <w:r w:rsidR="003E75F7">
        <w:rPr>
          <w:b w:val="0"/>
          <w:bCs/>
        </w:rPr>
        <w:t xml:space="preserve"> athletes were raped at an Olympic training center</w:t>
      </w:r>
      <w:r w:rsidR="00A76E4C">
        <w:rPr>
          <w:b w:val="0"/>
          <w:bCs/>
        </w:rPr>
        <w:t>.</w:t>
      </w:r>
      <w:r w:rsidR="00B9473C">
        <w:rPr>
          <w:b w:val="0"/>
          <w:bCs/>
        </w:rPr>
        <w:t xml:space="preserve">  (</w:t>
      </w:r>
      <w:r w:rsidR="00871694">
        <w:rPr>
          <w:b w:val="0"/>
          <w:bCs/>
          <w:i/>
          <w:iCs/>
        </w:rPr>
        <w:t>Brown v. USA Taekwondo</w:t>
      </w:r>
      <w:r w:rsidRPr="001E0E94" w:rsidR="00871694">
        <w:rPr>
          <w:b w:val="0"/>
          <w:bCs/>
        </w:rPr>
        <w:t>,</w:t>
      </w:r>
      <w:r w:rsidR="00871694">
        <w:rPr>
          <w:b w:val="0"/>
          <w:bCs/>
          <w:i/>
          <w:iCs/>
        </w:rPr>
        <w:t xml:space="preserve"> </w:t>
      </w:r>
      <w:r w:rsidR="00B9473C">
        <w:rPr>
          <w:b w:val="0"/>
          <w:bCs/>
        </w:rPr>
        <w:t>at p.</w:t>
      </w:r>
      <w:r w:rsidR="00F977DB">
        <w:rPr>
          <w:b w:val="0"/>
          <w:bCs/>
        </w:rPr>
        <w:t> </w:t>
      </w:r>
      <w:r w:rsidR="0085135A">
        <w:rPr>
          <w:b w:val="0"/>
          <w:bCs/>
        </w:rPr>
        <w:t>1097.)</w:t>
      </w:r>
    </w:p>
    <w:p w:rsidR="003F0D5B" w:rsidRPr="00141A96" w:rsidP="008E6C8A" w14:paraId="59DB5D0E" w14:textId="51800732">
      <w:pPr>
        <w:pStyle w:val="Heading21"/>
        <w:spacing w:before="0" w:after="0"/>
        <w:ind w:left="0" w:firstLine="720"/>
        <w:rPr>
          <w:b w:val="0"/>
          <w:bCs/>
        </w:rPr>
      </w:pPr>
      <w:r>
        <w:rPr>
          <w:b w:val="0"/>
          <w:bCs/>
        </w:rPr>
        <w:t>Here, there are no s</w:t>
      </w:r>
      <w:r w:rsidR="003D691C">
        <w:rPr>
          <w:b w:val="0"/>
          <w:bCs/>
        </w:rPr>
        <w:t xml:space="preserve">imilar allegations that relate to the category of </w:t>
      </w:r>
      <w:r w:rsidR="00A45EDD">
        <w:rPr>
          <w:b w:val="0"/>
          <w:bCs/>
        </w:rPr>
        <w:t>negligent conduct at issue—the failure to obtain criminal histories of potential riders and to exclude riders with criminal backgrounds from using Lyft.</w:t>
      </w:r>
      <w:r w:rsidR="00CD6F52">
        <w:rPr>
          <w:b w:val="0"/>
          <w:bCs/>
        </w:rPr>
        <w:t xml:space="preserve">  </w:t>
      </w:r>
      <w:r w:rsidR="007E5C05">
        <w:rPr>
          <w:b w:val="0"/>
          <w:bCs/>
        </w:rPr>
        <w:t xml:space="preserve">As </w:t>
      </w:r>
      <w:r w:rsidR="00165267">
        <w:rPr>
          <w:b w:val="0"/>
          <w:bCs/>
        </w:rPr>
        <w:t xml:space="preserve">one court reasoned in the context of an unprovoked school shooting by a teacher’s </w:t>
      </w:r>
      <w:r w:rsidR="002036B8">
        <w:rPr>
          <w:b w:val="0"/>
          <w:bCs/>
        </w:rPr>
        <w:t>spouse</w:t>
      </w:r>
      <w:r w:rsidR="00141A96">
        <w:rPr>
          <w:b w:val="0"/>
          <w:bCs/>
        </w:rPr>
        <w:t xml:space="preserve">, “ ‘It is undeniable that shootings and other forms of violence can and do happen in the workplace [and on school grounds].  But for foreseeability in the context of a duty to protect, “[m]ore than a mere possibility of occurrence is required since, with hindsight, everything is foreseeable.” ’ </w:t>
      </w:r>
      <w:r w:rsidR="00F977DB">
        <w:rPr>
          <w:b w:val="0"/>
          <w:bCs/>
        </w:rPr>
        <w:t xml:space="preserve"> </w:t>
      </w:r>
      <w:r w:rsidR="00141A96">
        <w:rPr>
          <w:b w:val="0"/>
          <w:bCs/>
        </w:rPr>
        <w:t xml:space="preserve">[Citation.]  This case presented nothing more than a ‘ “mere possibility of occurrence.” ’ </w:t>
      </w:r>
      <w:r w:rsidR="00F977DB">
        <w:rPr>
          <w:b w:val="0"/>
          <w:bCs/>
        </w:rPr>
        <w:t xml:space="preserve"> </w:t>
      </w:r>
      <w:r w:rsidR="00141A96">
        <w:rPr>
          <w:b w:val="0"/>
          <w:bCs/>
        </w:rPr>
        <w:t>[Citation.]”  (</w:t>
      </w:r>
      <w:r w:rsidR="00141A96">
        <w:rPr>
          <w:b w:val="0"/>
          <w:bCs/>
          <w:i/>
          <w:iCs/>
        </w:rPr>
        <w:t>C.I. v. San Bernardino City Unified School Dist.</w:t>
      </w:r>
      <w:r w:rsidRPr="0010620A" w:rsidR="0010620A">
        <w:rPr>
          <w:b w:val="0"/>
          <w:bCs/>
        </w:rPr>
        <w:t xml:space="preserve"> </w:t>
      </w:r>
      <w:r w:rsidR="0010620A">
        <w:rPr>
          <w:b w:val="0"/>
          <w:bCs/>
        </w:rPr>
        <w:t xml:space="preserve">(2022) 82 </w:t>
      </w:r>
      <w:r w:rsidRPr="008D7952" w:rsidR="0010620A">
        <w:rPr>
          <w:b w:val="0"/>
          <w:bCs/>
        </w:rPr>
        <w:t xml:space="preserve">Cal.App.5th </w:t>
      </w:r>
      <w:r w:rsidR="0010620A">
        <w:rPr>
          <w:b w:val="0"/>
          <w:bCs/>
        </w:rPr>
        <w:t xml:space="preserve">974, </w:t>
      </w:r>
      <w:r w:rsidR="00141A96">
        <w:rPr>
          <w:b w:val="0"/>
          <w:bCs/>
        </w:rPr>
        <w:t>985</w:t>
      </w:r>
      <w:r w:rsidR="004D5720">
        <w:rPr>
          <w:b w:val="0"/>
          <w:bCs/>
        </w:rPr>
        <w:t xml:space="preserve"> (</w:t>
      </w:r>
      <w:r w:rsidR="004D5720">
        <w:rPr>
          <w:b w:val="0"/>
          <w:bCs/>
          <w:i/>
          <w:iCs/>
        </w:rPr>
        <w:t>C.I.</w:t>
      </w:r>
      <w:r w:rsidR="004D5720">
        <w:rPr>
          <w:b w:val="0"/>
          <w:bCs/>
        </w:rPr>
        <w:t>)</w:t>
      </w:r>
      <w:r w:rsidR="00141A96">
        <w:rPr>
          <w:b w:val="0"/>
          <w:bCs/>
        </w:rPr>
        <w:t>.)</w:t>
      </w:r>
    </w:p>
    <w:p w:rsidR="002E7EE7" w:rsidP="00DE53A2" w14:paraId="78C799BC" w14:textId="0447EEF2">
      <w:pPr>
        <w:pStyle w:val="Heading21"/>
        <w:spacing w:before="0" w:after="0"/>
        <w:ind w:left="0" w:firstLine="720"/>
        <w:rPr>
          <w:b w:val="0"/>
          <w:bCs/>
        </w:rPr>
      </w:pPr>
      <w:r>
        <w:rPr>
          <w:b w:val="0"/>
          <w:bCs/>
        </w:rPr>
        <w:t>The second foreseeability factor</w:t>
      </w:r>
      <w:r w:rsidR="008E14E7">
        <w:rPr>
          <w:b w:val="0"/>
          <w:bCs/>
        </w:rPr>
        <w:t>,</w:t>
      </w:r>
      <w:r>
        <w:rPr>
          <w:b w:val="0"/>
          <w:bCs/>
        </w:rPr>
        <w:t xml:space="preserve"> </w:t>
      </w:r>
      <w:r w:rsidR="0098415C">
        <w:rPr>
          <w:b w:val="0"/>
          <w:bCs/>
        </w:rPr>
        <w:t>“</w:t>
      </w:r>
      <w:r w:rsidRPr="00E90CDB" w:rsidR="00E90CDB">
        <w:rPr>
          <w:b w:val="0"/>
          <w:bCs/>
        </w:rPr>
        <w:t>the degree of certainty that the plaintiff suffered injury</w:t>
      </w:r>
      <w:r w:rsidR="0098415C">
        <w:rPr>
          <w:b w:val="0"/>
          <w:bCs/>
        </w:rPr>
        <w:t>” (</w:t>
      </w:r>
      <w:r w:rsidR="0098415C">
        <w:rPr>
          <w:b w:val="0"/>
          <w:bCs/>
          <w:i/>
          <w:iCs/>
        </w:rPr>
        <w:t>Rowland</w:t>
      </w:r>
      <w:r w:rsidRPr="00F977DB" w:rsidR="0098415C">
        <w:rPr>
          <w:b w:val="0"/>
          <w:bCs/>
        </w:rPr>
        <w:t xml:space="preserve">, </w:t>
      </w:r>
      <w:r w:rsidR="0098415C">
        <w:rPr>
          <w:b w:val="0"/>
          <w:bCs/>
          <w:i/>
          <w:iCs/>
        </w:rPr>
        <w:t>supra</w:t>
      </w:r>
      <w:r w:rsidRPr="00F977DB" w:rsidR="0098415C">
        <w:rPr>
          <w:b w:val="0"/>
          <w:bCs/>
        </w:rPr>
        <w:t>,</w:t>
      </w:r>
      <w:r w:rsidR="0098415C">
        <w:rPr>
          <w:b w:val="0"/>
          <w:bCs/>
          <w:i/>
          <w:iCs/>
        </w:rPr>
        <w:t xml:space="preserve"> </w:t>
      </w:r>
      <w:r w:rsidR="0098415C">
        <w:rPr>
          <w:b w:val="0"/>
          <w:bCs/>
        </w:rPr>
        <w:t>69 Cal.2d at p.</w:t>
      </w:r>
      <w:r w:rsidR="00F977DB">
        <w:rPr>
          <w:b w:val="0"/>
          <w:bCs/>
        </w:rPr>
        <w:t> </w:t>
      </w:r>
      <w:r w:rsidR="0098415C">
        <w:rPr>
          <w:b w:val="0"/>
          <w:bCs/>
        </w:rPr>
        <w:t xml:space="preserve">113), is not at issue here.  </w:t>
      </w:r>
      <w:r w:rsidR="009E3435">
        <w:rPr>
          <w:b w:val="0"/>
          <w:bCs/>
        </w:rPr>
        <w:t>It is undisputed Al Shikha suffered harm from Alvarez’s attack.</w:t>
      </w:r>
      <w:r w:rsidR="00FA1DAD">
        <w:rPr>
          <w:b w:val="0"/>
          <w:bCs/>
        </w:rPr>
        <w:t xml:space="preserve">  (</w:t>
      </w:r>
      <w:r w:rsidRPr="0088749A" w:rsidR="00FA1DAD">
        <w:rPr>
          <w:b w:val="0"/>
          <w:bCs/>
          <w:i/>
          <w:iCs/>
        </w:rPr>
        <w:t>Regents</w:t>
      </w:r>
      <w:r w:rsidR="00FA1DAD">
        <w:rPr>
          <w:b w:val="0"/>
          <w:bCs/>
        </w:rPr>
        <w:t xml:space="preserve">, </w:t>
      </w:r>
      <w:r w:rsidRPr="0088749A" w:rsidR="00FA1DAD">
        <w:rPr>
          <w:b w:val="0"/>
          <w:bCs/>
          <w:i/>
          <w:iCs/>
        </w:rPr>
        <w:t>supra</w:t>
      </w:r>
      <w:r w:rsidR="00FA1DAD">
        <w:rPr>
          <w:b w:val="0"/>
          <w:bCs/>
        </w:rPr>
        <w:t>,</w:t>
      </w:r>
      <w:r w:rsidRPr="00E90CDB" w:rsidR="00FA1DAD">
        <w:rPr>
          <w:b w:val="0"/>
          <w:bCs/>
        </w:rPr>
        <w:t xml:space="preserve"> 4 Cal.5th </w:t>
      </w:r>
      <w:r w:rsidR="00FA1DAD">
        <w:rPr>
          <w:b w:val="0"/>
          <w:bCs/>
        </w:rPr>
        <w:t>at p.</w:t>
      </w:r>
      <w:r w:rsidR="00F977DB">
        <w:rPr>
          <w:b w:val="0"/>
          <w:bCs/>
        </w:rPr>
        <w:t> </w:t>
      </w:r>
      <w:r w:rsidRPr="00E90CDB" w:rsidR="00FA1DAD">
        <w:rPr>
          <w:b w:val="0"/>
          <w:bCs/>
        </w:rPr>
        <w:t>630</w:t>
      </w:r>
      <w:r w:rsidR="00FA1DAD">
        <w:rPr>
          <w:b w:val="0"/>
          <w:bCs/>
        </w:rPr>
        <w:t>;</w:t>
      </w:r>
      <w:r w:rsidRPr="00FA1DAD" w:rsidR="00FA1DAD">
        <w:rPr>
          <w:b w:val="0"/>
          <w:bCs/>
          <w:i/>
          <w:iCs/>
        </w:rPr>
        <w:t xml:space="preserve"> </w:t>
      </w:r>
      <w:r w:rsidRPr="009137EF" w:rsidR="00FA1DAD">
        <w:rPr>
          <w:b w:val="0"/>
          <w:bCs/>
          <w:i/>
          <w:iCs/>
        </w:rPr>
        <w:t>Kuciemba</w:t>
      </w:r>
      <w:r w:rsidR="00FA1DAD">
        <w:rPr>
          <w:b w:val="0"/>
          <w:bCs/>
        </w:rPr>
        <w:t xml:space="preserve">, </w:t>
      </w:r>
      <w:r w:rsidRPr="009137EF" w:rsidR="00FA1DAD">
        <w:rPr>
          <w:b w:val="0"/>
          <w:bCs/>
          <w:i/>
          <w:iCs/>
        </w:rPr>
        <w:t>supra</w:t>
      </w:r>
      <w:r w:rsidR="00FA1DAD">
        <w:rPr>
          <w:b w:val="0"/>
          <w:bCs/>
        </w:rPr>
        <w:t xml:space="preserve">, </w:t>
      </w:r>
      <w:r w:rsidRPr="009137EF" w:rsidR="00FA1DAD">
        <w:rPr>
          <w:b w:val="0"/>
          <w:bCs/>
        </w:rPr>
        <w:t xml:space="preserve">14 Cal.5th </w:t>
      </w:r>
      <w:r w:rsidR="00FA1DAD">
        <w:rPr>
          <w:b w:val="0"/>
          <w:bCs/>
        </w:rPr>
        <w:t>at p.</w:t>
      </w:r>
      <w:r w:rsidRPr="009137EF" w:rsidR="00FA1DAD">
        <w:rPr>
          <w:b w:val="0"/>
          <w:bCs/>
        </w:rPr>
        <w:t xml:space="preserve"> 1023</w:t>
      </w:r>
      <w:r w:rsidR="00FA1DAD">
        <w:rPr>
          <w:b w:val="0"/>
          <w:bCs/>
        </w:rPr>
        <w:t xml:space="preserve"> [this factor does not apply to personal injury claims that are tangible].)</w:t>
      </w:r>
    </w:p>
    <w:p w:rsidR="0083587B" w:rsidP="009E124E" w14:paraId="273C6E4A" w14:textId="4E42E2F3">
      <w:pPr>
        <w:pStyle w:val="Heading21"/>
        <w:spacing w:before="0" w:after="0"/>
        <w:ind w:left="0" w:firstLine="720"/>
        <w:rPr>
          <w:b w:val="0"/>
          <w:bCs/>
        </w:rPr>
      </w:pPr>
      <w:r>
        <w:rPr>
          <w:b w:val="0"/>
          <w:bCs/>
        </w:rPr>
        <w:t xml:space="preserve">The third foreseeability factor is </w:t>
      </w:r>
      <w:r w:rsidRPr="00D85706" w:rsidR="00D85706">
        <w:rPr>
          <w:b w:val="0"/>
          <w:bCs/>
        </w:rPr>
        <w:t>“</w:t>
      </w:r>
      <w:r w:rsidR="0023750C">
        <w:rPr>
          <w:b w:val="0"/>
          <w:bCs/>
        </w:rPr>
        <w:t xml:space="preserve"> ‘</w:t>
      </w:r>
      <w:r w:rsidRPr="00D85706" w:rsidR="00D85706">
        <w:rPr>
          <w:b w:val="0"/>
          <w:bCs/>
        </w:rPr>
        <w:t xml:space="preserve">the </w:t>
      </w:r>
      <w:r w:rsidRPr="001E0E94" w:rsidR="00D85706">
        <w:rPr>
          <w:b w:val="0"/>
          <w:bCs/>
          <w:i/>
          <w:iCs/>
        </w:rPr>
        <w:t>closeness of the connection</w:t>
      </w:r>
      <w:r w:rsidRPr="00D85706" w:rsidR="00D85706">
        <w:rPr>
          <w:b w:val="0"/>
          <w:bCs/>
        </w:rPr>
        <w:t xml:space="preserve"> between the defendant</w:t>
      </w:r>
      <w:r w:rsidR="007B20C5">
        <w:rPr>
          <w:b w:val="0"/>
          <w:bCs/>
        </w:rPr>
        <w:t>’</w:t>
      </w:r>
      <w:r w:rsidRPr="00D85706" w:rsidR="00D85706">
        <w:rPr>
          <w:b w:val="0"/>
          <w:bCs/>
        </w:rPr>
        <w:t>s conduct and the injury suffered.</w:t>
      </w:r>
      <w:r w:rsidR="0023750C">
        <w:rPr>
          <w:b w:val="0"/>
          <w:bCs/>
        </w:rPr>
        <w:t xml:space="preserve">’ </w:t>
      </w:r>
      <w:r w:rsidR="00611469">
        <w:rPr>
          <w:b w:val="0"/>
          <w:bCs/>
        </w:rPr>
        <w:t xml:space="preserve"> [Citation.]</w:t>
      </w:r>
      <w:r w:rsidRPr="00D85706" w:rsidR="00D85706">
        <w:rPr>
          <w:b w:val="0"/>
          <w:bCs/>
        </w:rPr>
        <w:t>”</w:t>
      </w:r>
      <w:r w:rsidR="0023750C">
        <w:rPr>
          <w:b w:val="0"/>
          <w:bCs/>
        </w:rPr>
        <w:t xml:space="preserve">  (</w:t>
      </w:r>
      <w:r w:rsidRPr="0088749A" w:rsidR="0023750C">
        <w:rPr>
          <w:b w:val="0"/>
          <w:bCs/>
          <w:i/>
          <w:iCs/>
        </w:rPr>
        <w:t>Regents</w:t>
      </w:r>
      <w:r w:rsidR="0023750C">
        <w:rPr>
          <w:b w:val="0"/>
          <w:bCs/>
        </w:rPr>
        <w:t xml:space="preserve">, </w:t>
      </w:r>
      <w:r w:rsidRPr="0088749A" w:rsidR="0023750C">
        <w:rPr>
          <w:b w:val="0"/>
          <w:bCs/>
          <w:i/>
          <w:iCs/>
        </w:rPr>
        <w:t>supra</w:t>
      </w:r>
      <w:r w:rsidR="0023750C">
        <w:rPr>
          <w:b w:val="0"/>
          <w:bCs/>
        </w:rPr>
        <w:t>,</w:t>
      </w:r>
      <w:r w:rsidRPr="00E90CDB" w:rsidR="0023750C">
        <w:rPr>
          <w:b w:val="0"/>
          <w:bCs/>
        </w:rPr>
        <w:t xml:space="preserve"> 4 Cal.5th </w:t>
      </w:r>
      <w:r w:rsidR="0023750C">
        <w:rPr>
          <w:b w:val="0"/>
          <w:bCs/>
        </w:rPr>
        <w:t>at p.</w:t>
      </w:r>
      <w:r w:rsidRPr="00E90CDB" w:rsidR="0023750C">
        <w:rPr>
          <w:b w:val="0"/>
          <w:bCs/>
        </w:rPr>
        <w:t xml:space="preserve"> 630</w:t>
      </w:r>
      <w:r w:rsidR="0023750C">
        <w:rPr>
          <w:b w:val="0"/>
          <w:bCs/>
        </w:rPr>
        <w:t xml:space="preserve">, citing </w:t>
      </w:r>
      <w:r w:rsidRPr="0023750C" w:rsidR="00D85706">
        <w:rPr>
          <w:b w:val="0"/>
          <w:bCs/>
          <w:i/>
          <w:iCs/>
        </w:rPr>
        <w:t>Rowland</w:t>
      </w:r>
      <w:r w:rsidRPr="00D85706" w:rsidR="00D85706">
        <w:rPr>
          <w:b w:val="0"/>
          <w:bCs/>
        </w:rPr>
        <w:t xml:space="preserve">, </w:t>
      </w:r>
      <w:r w:rsidRPr="0023750C" w:rsidR="00D85706">
        <w:rPr>
          <w:b w:val="0"/>
          <w:bCs/>
          <w:i/>
          <w:iCs/>
        </w:rPr>
        <w:t>supra</w:t>
      </w:r>
      <w:r w:rsidRPr="00D85706" w:rsidR="00D85706">
        <w:rPr>
          <w:b w:val="0"/>
          <w:bCs/>
        </w:rPr>
        <w:t>, 69 Cal.2d at p. 113</w:t>
      </w:r>
      <w:r w:rsidR="0023750C">
        <w:rPr>
          <w:b w:val="0"/>
          <w:bCs/>
        </w:rPr>
        <w:t>.)</w:t>
      </w:r>
      <w:r w:rsidR="00BD3DAF">
        <w:rPr>
          <w:b w:val="0"/>
          <w:bCs/>
        </w:rPr>
        <w:t xml:space="preserve">  </w:t>
      </w:r>
      <w:r w:rsidR="007078C8">
        <w:rPr>
          <w:b w:val="0"/>
          <w:bCs/>
        </w:rPr>
        <w:t xml:space="preserve">The factor </w:t>
      </w:r>
      <w:r w:rsidR="00F405A8">
        <w:rPr>
          <w:b w:val="0"/>
          <w:bCs/>
        </w:rPr>
        <w:t>concerns whether there is a “causal nexus” between the defendant’s conduct and the inj</w:t>
      </w:r>
      <w:r w:rsidR="008D7952">
        <w:rPr>
          <w:b w:val="0"/>
          <w:bCs/>
        </w:rPr>
        <w:t>ury suffered.  (</w:t>
      </w:r>
      <w:r w:rsidR="008D7952">
        <w:rPr>
          <w:b w:val="0"/>
          <w:bCs/>
          <w:i/>
          <w:iCs/>
        </w:rPr>
        <w:t>C.I.</w:t>
      </w:r>
      <w:r w:rsidRPr="00F977DB" w:rsidR="004D5720">
        <w:rPr>
          <w:b w:val="0"/>
          <w:bCs/>
        </w:rPr>
        <w:t>,</w:t>
      </w:r>
      <w:r w:rsidR="004D5720">
        <w:rPr>
          <w:b w:val="0"/>
          <w:bCs/>
          <w:i/>
          <w:iCs/>
        </w:rPr>
        <w:t xml:space="preserve"> supra</w:t>
      </w:r>
      <w:r w:rsidRPr="00F977DB" w:rsidR="004D5720">
        <w:rPr>
          <w:b w:val="0"/>
          <w:bCs/>
        </w:rPr>
        <w:t>,</w:t>
      </w:r>
      <w:r w:rsidR="004D5720">
        <w:rPr>
          <w:b w:val="0"/>
          <w:bCs/>
          <w:i/>
          <w:iCs/>
        </w:rPr>
        <w:t xml:space="preserve"> </w:t>
      </w:r>
      <w:r w:rsidR="008D7952">
        <w:rPr>
          <w:b w:val="0"/>
          <w:bCs/>
        </w:rPr>
        <w:t xml:space="preserve">82 </w:t>
      </w:r>
      <w:r w:rsidRPr="008D7952" w:rsidR="008D7952">
        <w:rPr>
          <w:b w:val="0"/>
          <w:bCs/>
        </w:rPr>
        <w:t xml:space="preserve">Cal.App.5th </w:t>
      </w:r>
      <w:r w:rsidR="004D5720">
        <w:rPr>
          <w:b w:val="0"/>
          <w:bCs/>
        </w:rPr>
        <w:t>at p.</w:t>
      </w:r>
      <w:r w:rsidR="000C7255">
        <w:rPr>
          <w:b w:val="0"/>
          <w:bCs/>
        </w:rPr>
        <w:t> </w:t>
      </w:r>
      <w:r w:rsidR="00CB642D">
        <w:rPr>
          <w:b w:val="0"/>
          <w:bCs/>
        </w:rPr>
        <w:t>98</w:t>
      </w:r>
      <w:r w:rsidR="000C7255">
        <w:rPr>
          <w:b w:val="0"/>
          <w:bCs/>
        </w:rPr>
        <w:t>6</w:t>
      </w:r>
      <w:r w:rsidR="00CB642D">
        <w:rPr>
          <w:b w:val="0"/>
          <w:bCs/>
        </w:rPr>
        <w:t>.)</w:t>
      </w:r>
      <w:r w:rsidR="008D7952">
        <w:rPr>
          <w:b w:val="0"/>
          <w:bCs/>
        </w:rPr>
        <w:t xml:space="preserve"> </w:t>
      </w:r>
      <w:r w:rsidR="00CB642D">
        <w:rPr>
          <w:b w:val="0"/>
          <w:bCs/>
        </w:rPr>
        <w:t xml:space="preserve"> </w:t>
      </w:r>
      <w:r>
        <w:rPr>
          <w:b w:val="0"/>
          <w:bCs/>
        </w:rPr>
        <w:t>This prong is “</w:t>
      </w:r>
      <w:r w:rsidR="00F977DB">
        <w:rPr>
          <w:b w:val="0"/>
          <w:bCs/>
        </w:rPr>
        <w:t> </w:t>
      </w:r>
      <w:r>
        <w:rPr>
          <w:b w:val="0"/>
          <w:bCs/>
        </w:rPr>
        <w:t>‘strongly related to the question of foreseeability itself’</w:t>
      </w:r>
      <w:r w:rsidR="00F977DB">
        <w:rPr>
          <w:b w:val="0"/>
          <w:bCs/>
        </w:rPr>
        <w:t> </w:t>
      </w:r>
      <w:r>
        <w:rPr>
          <w:b w:val="0"/>
          <w:bCs/>
        </w:rPr>
        <w:t xml:space="preserve">”; however, unlike the foreseeability consideration it “ ‘accounts for </w:t>
      </w:r>
      <w:r w:rsidR="00C508D3">
        <w:rPr>
          <w:b w:val="0"/>
          <w:bCs/>
        </w:rPr>
        <w:t>[</w:t>
      </w:r>
      <w:r>
        <w:rPr>
          <w:b w:val="0"/>
          <w:bCs/>
        </w:rPr>
        <w:t>the</w:t>
      </w:r>
      <w:r w:rsidR="00C508D3">
        <w:rPr>
          <w:b w:val="0"/>
          <w:bCs/>
        </w:rPr>
        <w:t>]</w:t>
      </w:r>
      <w:r>
        <w:rPr>
          <w:b w:val="0"/>
          <w:bCs/>
        </w:rPr>
        <w:t xml:space="preserve"> third party’ ” conduct.</w:t>
      </w:r>
      <w:r w:rsidR="00B65409">
        <w:rPr>
          <w:b w:val="0"/>
          <w:bCs/>
        </w:rPr>
        <w:t xml:space="preserve">  </w:t>
      </w:r>
      <w:r>
        <w:rPr>
          <w:b w:val="0"/>
          <w:bCs/>
        </w:rPr>
        <w:t>(</w:t>
      </w:r>
      <w:r w:rsidRPr="003F774C">
        <w:rPr>
          <w:b w:val="0"/>
          <w:bCs/>
          <w:i/>
          <w:iCs/>
        </w:rPr>
        <w:t>Kuciemba</w:t>
      </w:r>
      <w:r>
        <w:rPr>
          <w:b w:val="0"/>
          <w:bCs/>
        </w:rPr>
        <w:t xml:space="preserve">, </w:t>
      </w:r>
      <w:r w:rsidRPr="003F774C">
        <w:rPr>
          <w:b w:val="0"/>
          <w:bCs/>
          <w:i/>
          <w:iCs/>
        </w:rPr>
        <w:t>supra</w:t>
      </w:r>
      <w:r>
        <w:rPr>
          <w:b w:val="0"/>
          <w:bCs/>
        </w:rPr>
        <w:t xml:space="preserve">, 14 Cal.5th at </w:t>
      </w:r>
      <w:r w:rsidR="00B65409">
        <w:rPr>
          <w:b w:val="0"/>
          <w:bCs/>
        </w:rPr>
        <w:t>p.</w:t>
      </w:r>
      <w:r w:rsidR="00F977DB">
        <w:rPr>
          <w:b w:val="0"/>
          <w:bCs/>
        </w:rPr>
        <w:t> </w:t>
      </w:r>
      <w:r>
        <w:rPr>
          <w:b w:val="0"/>
          <w:bCs/>
        </w:rPr>
        <w:t>1023.)  If “ ‘the third party’s intervening conduct is foreseeable or derivative of the defendant’s, then that conduct does not “ ‘diminish the closeness of the connection between the defendant</w:t>
      </w:r>
      <w:r w:rsidR="00FD63ED">
        <w:rPr>
          <w:b w:val="0"/>
          <w:bCs/>
        </w:rPr>
        <w:t>[</w:t>
      </w:r>
      <w:r>
        <w:rPr>
          <w:b w:val="0"/>
          <w:bCs/>
        </w:rPr>
        <w:t>’s</w:t>
      </w:r>
      <w:r w:rsidR="00FD63ED">
        <w:rPr>
          <w:b w:val="0"/>
          <w:bCs/>
        </w:rPr>
        <w:t>]</w:t>
      </w:r>
      <w:r>
        <w:rPr>
          <w:b w:val="0"/>
          <w:bCs/>
        </w:rPr>
        <w:t xml:space="preserve"> conduct and plaintiff’s injury.</w:t>
      </w:r>
      <w:r w:rsidR="00B56667">
        <w:rPr>
          <w:b w:val="0"/>
          <w:bCs/>
        </w:rPr>
        <w:t>’</w:t>
      </w:r>
      <w:r w:rsidR="00FD63ED">
        <w:rPr>
          <w:b w:val="0"/>
          <w:bCs/>
        </w:rPr>
        <w:t> ” </w:t>
      </w:r>
      <w:r w:rsidR="004425D5">
        <w:rPr>
          <w:b w:val="0"/>
          <w:bCs/>
        </w:rPr>
        <w:t xml:space="preserve">’ </w:t>
      </w:r>
      <w:r w:rsidR="00BF1396">
        <w:rPr>
          <w:b w:val="0"/>
          <w:bCs/>
        </w:rPr>
        <w:t xml:space="preserve"> [Citations.]</w:t>
      </w:r>
      <w:r w:rsidR="004425D5">
        <w:rPr>
          <w:b w:val="0"/>
          <w:bCs/>
        </w:rPr>
        <w:t>”</w:t>
      </w:r>
      <w:r>
        <w:rPr>
          <w:b w:val="0"/>
          <w:bCs/>
        </w:rPr>
        <w:t xml:space="preserve">  (</w:t>
      </w:r>
      <w:r w:rsidRPr="003A1F78">
        <w:rPr>
          <w:b w:val="0"/>
          <w:bCs/>
          <w:i/>
          <w:iCs/>
        </w:rPr>
        <w:t>Id</w:t>
      </w:r>
      <w:r w:rsidRPr="005C215A">
        <w:rPr>
          <w:b w:val="0"/>
          <w:bCs/>
        </w:rPr>
        <w:t>.</w:t>
      </w:r>
      <w:r>
        <w:rPr>
          <w:b w:val="0"/>
          <w:bCs/>
        </w:rPr>
        <w:t xml:space="preserve"> at pp.</w:t>
      </w:r>
      <w:r w:rsidR="00F977DB">
        <w:rPr>
          <w:b w:val="0"/>
          <w:bCs/>
        </w:rPr>
        <w:t> </w:t>
      </w:r>
      <w:r>
        <w:rPr>
          <w:b w:val="0"/>
          <w:bCs/>
        </w:rPr>
        <w:t>1023</w:t>
      </w:r>
      <w:r w:rsidRPr="00B32188" w:rsidR="00CF004D">
        <w:rPr>
          <w:rFonts w:eastAsia="Times New Roman"/>
          <w:b w:val="0"/>
          <w:bCs/>
        </w:rPr>
        <w:t>–</w:t>
      </w:r>
      <w:r>
        <w:rPr>
          <w:b w:val="0"/>
          <w:bCs/>
        </w:rPr>
        <w:t xml:space="preserve">1024; </w:t>
      </w:r>
      <w:r w:rsidRPr="0088749A">
        <w:rPr>
          <w:b w:val="0"/>
          <w:bCs/>
          <w:i/>
          <w:iCs/>
        </w:rPr>
        <w:t>Regents</w:t>
      </w:r>
      <w:r>
        <w:rPr>
          <w:b w:val="0"/>
          <w:bCs/>
        </w:rPr>
        <w:t>, at p.</w:t>
      </w:r>
      <w:r w:rsidRPr="00E90CDB">
        <w:rPr>
          <w:b w:val="0"/>
          <w:bCs/>
        </w:rPr>
        <w:t xml:space="preserve"> 63</w:t>
      </w:r>
      <w:r w:rsidR="00B61F3C">
        <w:rPr>
          <w:b w:val="0"/>
          <w:bCs/>
        </w:rPr>
        <w:t>1</w:t>
      </w:r>
      <w:r>
        <w:rPr>
          <w:b w:val="0"/>
          <w:bCs/>
        </w:rPr>
        <w:t xml:space="preserve"> [when the immediate cause of injury is a third</w:t>
      </w:r>
      <w:r w:rsidR="00EE5FAC">
        <w:rPr>
          <w:b w:val="0"/>
          <w:bCs/>
        </w:rPr>
        <w:t xml:space="preserve"> </w:t>
      </w:r>
      <w:r>
        <w:rPr>
          <w:b w:val="0"/>
          <w:bCs/>
        </w:rPr>
        <w:t>party’s conduct, “ ‘</w:t>
      </w:r>
      <w:r w:rsidRPr="00F53582">
        <w:rPr>
          <w:b w:val="0"/>
          <w:bCs/>
        </w:rPr>
        <w:t>the touchstone of the analysis is the foreseeability of that intervening conduct</w:t>
      </w:r>
      <w:r>
        <w:rPr>
          <w:b w:val="0"/>
          <w:bCs/>
        </w:rPr>
        <w:t xml:space="preserve">’ </w:t>
      </w:r>
      <w:r w:rsidRPr="00F53582">
        <w:rPr>
          <w:b w:val="0"/>
          <w:bCs/>
        </w:rPr>
        <w:t>”</w:t>
      </w:r>
      <w:r>
        <w:rPr>
          <w:b w:val="0"/>
          <w:bCs/>
        </w:rPr>
        <w:t>].)</w:t>
      </w:r>
      <w:r w:rsidR="008A7BD1">
        <w:rPr>
          <w:b w:val="0"/>
          <w:bCs/>
        </w:rPr>
        <w:t xml:space="preserve">  In </w:t>
      </w:r>
      <w:r w:rsidR="008A7BD1">
        <w:rPr>
          <w:b w:val="0"/>
          <w:bCs/>
          <w:i/>
          <w:iCs/>
        </w:rPr>
        <w:t>Regents</w:t>
      </w:r>
      <w:r w:rsidR="008A7BD1">
        <w:rPr>
          <w:b w:val="0"/>
          <w:bCs/>
        </w:rPr>
        <w:t>, the</w:t>
      </w:r>
      <w:r w:rsidR="00603A92">
        <w:rPr>
          <w:b w:val="0"/>
          <w:bCs/>
        </w:rPr>
        <w:t xml:space="preserve"> court</w:t>
      </w:r>
      <w:r w:rsidR="004C1BF4">
        <w:rPr>
          <w:b w:val="0"/>
          <w:bCs/>
        </w:rPr>
        <w:t xml:space="preserve"> </w:t>
      </w:r>
      <w:r w:rsidR="00174A27">
        <w:rPr>
          <w:b w:val="0"/>
          <w:bCs/>
        </w:rPr>
        <w:t>found a causal connection between</w:t>
      </w:r>
      <w:r w:rsidR="008A7BD1">
        <w:rPr>
          <w:b w:val="0"/>
          <w:bCs/>
        </w:rPr>
        <w:t xml:space="preserve"> a </w:t>
      </w:r>
      <w:r w:rsidR="00603A92">
        <w:rPr>
          <w:b w:val="0"/>
          <w:bCs/>
        </w:rPr>
        <w:t>university</w:t>
      </w:r>
      <w:r w:rsidR="008A7BD1">
        <w:rPr>
          <w:b w:val="0"/>
          <w:bCs/>
        </w:rPr>
        <w:t xml:space="preserve">’s failure to warn or protect foreseeable victims once the school </w:t>
      </w:r>
      <w:r w:rsidR="00174A27">
        <w:rPr>
          <w:b w:val="0"/>
          <w:bCs/>
        </w:rPr>
        <w:t>is on notice that a student is at risk to commit violence, and the injuries a victim suffers as a result of that violence.</w:t>
      </w:r>
      <w:r w:rsidR="007F5E88">
        <w:rPr>
          <w:b w:val="0"/>
          <w:bCs/>
        </w:rPr>
        <w:t xml:space="preserve">  (</w:t>
      </w:r>
      <w:r w:rsidRPr="0088749A" w:rsidR="00DA178E">
        <w:rPr>
          <w:b w:val="0"/>
          <w:bCs/>
          <w:i/>
          <w:iCs/>
        </w:rPr>
        <w:t>Regents</w:t>
      </w:r>
      <w:r w:rsidR="00DA178E">
        <w:rPr>
          <w:b w:val="0"/>
          <w:bCs/>
        </w:rPr>
        <w:t xml:space="preserve">, </w:t>
      </w:r>
      <w:r w:rsidR="007F5E88">
        <w:rPr>
          <w:b w:val="0"/>
          <w:bCs/>
        </w:rPr>
        <w:t>at p. 631.)</w:t>
      </w:r>
    </w:p>
    <w:p w:rsidR="002E2BE4" w:rsidP="00722CB9" w14:paraId="6920E3DF" w14:textId="7727A700">
      <w:pPr>
        <w:pStyle w:val="Heading21"/>
        <w:spacing w:before="0" w:after="0"/>
        <w:ind w:left="0" w:firstLine="720"/>
        <w:rPr>
          <w:b w:val="0"/>
          <w:bCs/>
        </w:rPr>
      </w:pPr>
      <w:r>
        <w:rPr>
          <w:b w:val="0"/>
          <w:bCs/>
        </w:rPr>
        <w:t xml:space="preserve">In contrast, </w:t>
      </w:r>
      <w:r w:rsidR="0068508B">
        <w:rPr>
          <w:b w:val="0"/>
          <w:bCs/>
        </w:rPr>
        <w:t xml:space="preserve">here </w:t>
      </w:r>
      <w:r>
        <w:rPr>
          <w:b w:val="0"/>
          <w:bCs/>
        </w:rPr>
        <w:t xml:space="preserve">there </w:t>
      </w:r>
      <w:r w:rsidR="0068508B">
        <w:rPr>
          <w:b w:val="0"/>
          <w:bCs/>
        </w:rPr>
        <w:t xml:space="preserve">is minimal causal nexus between </w:t>
      </w:r>
      <w:r w:rsidR="00FA7D0B">
        <w:rPr>
          <w:b w:val="0"/>
          <w:bCs/>
        </w:rPr>
        <w:t xml:space="preserve">Lyft’s failure to </w:t>
      </w:r>
      <w:r w:rsidR="00230F19">
        <w:rPr>
          <w:b w:val="0"/>
          <w:bCs/>
        </w:rPr>
        <w:t>obtain background checks on all potential passengers and</w:t>
      </w:r>
      <w:r w:rsidR="008D3BA1">
        <w:rPr>
          <w:b w:val="0"/>
          <w:bCs/>
        </w:rPr>
        <w:t xml:space="preserve"> </w:t>
      </w:r>
      <w:r w:rsidR="002252AD">
        <w:rPr>
          <w:b w:val="0"/>
          <w:bCs/>
        </w:rPr>
        <w:t>a</w:t>
      </w:r>
      <w:r w:rsidR="008D3BA1">
        <w:rPr>
          <w:b w:val="0"/>
          <w:bCs/>
        </w:rPr>
        <w:t xml:space="preserve"> passenger</w:t>
      </w:r>
      <w:r w:rsidR="00FC5FAC">
        <w:rPr>
          <w:b w:val="0"/>
          <w:bCs/>
        </w:rPr>
        <w:t xml:space="preserve"> perpetrating violence against a driver.</w:t>
      </w:r>
      <w:r w:rsidR="009F66D1">
        <w:rPr>
          <w:b w:val="0"/>
          <w:bCs/>
        </w:rPr>
        <w:t xml:space="preserve">  As the court explained in </w:t>
      </w:r>
      <w:r w:rsidR="009F66D1">
        <w:rPr>
          <w:b w:val="0"/>
          <w:bCs/>
          <w:i/>
          <w:iCs/>
        </w:rPr>
        <w:t>Castaneda</w:t>
      </w:r>
      <w:r w:rsidR="009F66D1">
        <w:rPr>
          <w:b w:val="0"/>
          <w:bCs/>
        </w:rPr>
        <w:t xml:space="preserve">, </w:t>
      </w:r>
      <w:r w:rsidR="00055B45">
        <w:rPr>
          <w:b w:val="0"/>
          <w:bCs/>
        </w:rPr>
        <w:t xml:space="preserve">the utility of </w:t>
      </w:r>
      <w:r w:rsidR="00E2304F">
        <w:rPr>
          <w:b w:val="0"/>
          <w:bCs/>
        </w:rPr>
        <w:t xml:space="preserve">criminal </w:t>
      </w:r>
      <w:r w:rsidR="00055B45">
        <w:rPr>
          <w:b w:val="0"/>
          <w:bCs/>
        </w:rPr>
        <w:t xml:space="preserve">background checks in identifying those likely to commit violence is </w:t>
      </w:r>
      <w:r w:rsidR="004B5556">
        <w:rPr>
          <w:b w:val="0"/>
          <w:bCs/>
        </w:rPr>
        <w:t>limited and questionable</w:t>
      </w:r>
      <w:r w:rsidR="00D43D20">
        <w:rPr>
          <w:b w:val="0"/>
          <w:bCs/>
        </w:rPr>
        <w:t>.</w:t>
      </w:r>
      <w:r w:rsidRPr="006773D4" w:rsidR="00055B45">
        <w:rPr>
          <w:b w:val="0"/>
          <w:bCs/>
        </w:rPr>
        <w:t xml:space="preserve"> </w:t>
      </w:r>
      <w:r w:rsidR="00D43D20">
        <w:rPr>
          <w:b w:val="0"/>
          <w:bCs/>
        </w:rPr>
        <w:t xml:space="preserve"> </w:t>
      </w:r>
      <w:r w:rsidRPr="00633FE1" w:rsidR="00055B45">
        <w:rPr>
          <w:b w:val="0"/>
          <w:bCs/>
        </w:rPr>
        <w:t>(</w:t>
      </w:r>
      <w:r w:rsidRPr="00633FE1" w:rsidR="00055B45">
        <w:rPr>
          <w:b w:val="0"/>
          <w:bCs/>
          <w:i/>
          <w:iCs/>
        </w:rPr>
        <w:t>Castaneda</w:t>
      </w:r>
      <w:r w:rsidRPr="00633FE1" w:rsidR="00055B45">
        <w:rPr>
          <w:b w:val="0"/>
          <w:bCs/>
        </w:rPr>
        <w:t xml:space="preserve">, </w:t>
      </w:r>
      <w:r w:rsidRPr="00633FE1" w:rsidR="00055B45">
        <w:rPr>
          <w:b w:val="0"/>
          <w:bCs/>
          <w:i/>
          <w:iCs/>
        </w:rPr>
        <w:t>supra</w:t>
      </w:r>
      <w:r w:rsidRPr="00633FE1" w:rsidR="00055B45">
        <w:rPr>
          <w:b w:val="0"/>
          <w:bCs/>
        </w:rPr>
        <w:t>, 41 Cal.4th at p. 1217.)</w:t>
      </w:r>
      <w:r w:rsidR="004B5556">
        <w:rPr>
          <w:b w:val="0"/>
          <w:bCs/>
        </w:rPr>
        <w:t xml:space="preserve">  </w:t>
      </w:r>
      <w:r w:rsidR="00E2304F">
        <w:rPr>
          <w:b w:val="0"/>
          <w:bCs/>
        </w:rPr>
        <w:t>C</w:t>
      </w:r>
      <w:r w:rsidR="00A94CA0">
        <w:rPr>
          <w:b w:val="0"/>
          <w:bCs/>
        </w:rPr>
        <w:t>riminal background check reports o</w:t>
      </w:r>
      <w:r w:rsidR="00E86CBF">
        <w:rPr>
          <w:b w:val="0"/>
          <w:bCs/>
        </w:rPr>
        <w:t>n</w:t>
      </w:r>
      <w:r w:rsidR="00A94CA0">
        <w:rPr>
          <w:b w:val="0"/>
          <w:bCs/>
        </w:rPr>
        <w:t xml:space="preserve"> every </w:t>
      </w:r>
      <w:r w:rsidR="00E86CBF">
        <w:rPr>
          <w:b w:val="0"/>
          <w:bCs/>
        </w:rPr>
        <w:t xml:space="preserve">prospective rider </w:t>
      </w:r>
      <w:r w:rsidR="00A94CA0">
        <w:rPr>
          <w:b w:val="0"/>
          <w:bCs/>
        </w:rPr>
        <w:t xml:space="preserve">would not necessarily provide information from which either Lyft or individual drivers could reliably decide whether a potential passenger poses a threat of </w:t>
      </w:r>
      <w:r w:rsidR="00D61256">
        <w:rPr>
          <w:b w:val="0"/>
          <w:bCs/>
        </w:rPr>
        <w:t>violence to the driver.</w:t>
      </w:r>
    </w:p>
    <w:p w:rsidR="00EE6A35" w:rsidP="0092039E" w14:paraId="04BB331A" w14:textId="761147E0">
      <w:pPr>
        <w:pStyle w:val="Heading21"/>
        <w:spacing w:before="0" w:after="0"/>
        <w:ind w:left="0" w:firstLine="720"/>
        <w:rPr>
          <w:b w:val="0"/>
          <w:bCs/>
        </w:rPr>
      </w:pPr>
      <w:r w:rsidRPr="00C456EF">
        <w:rPr>
          <w:b w:val="0"/>
          <w:bCs/>
          <w:i/>
          <w:iCs/>
        </w:rPr>
        <w:t xml:space="preserve">Doe v. United States Youth Soccer </w:t>
      </w:r>
      <w:r w:rsidR="000D29EF">
        <w:rPr>
          <w:b w:val="0"/>
          <w:bCs/>
          <w:i/>
          <w:iCs/>
        </w:rPr>
        <w:t>Association</w:t>
      </w:r>
      <w:r w:rsidR="00511736">
        <w:rPr>
          <w:b w:val="0"/>
          <w:bCs/>
          <w:i/>
          <w:iCs/>
        </w:rPr>
        <w:t>, Inc.</w:t>
      </w:r>
      <w:r w:rsidR="008F37F5">
        <w:rPr>
          <w:b w:val="0"/>
          <w:bCs/>
        </w:rPr>
        <w:t xml:space="preserve"> (</w:t>
      </w:r>
      <w:r w:rsidR="00BC6D6B">
        <w:rPr>
          <w:b w:val="0"/>
          <w:bCs/>
        </w:rPr>
        <w:t xml:space="preserve">2017) </w:t>
      </w:r>
      <w:r w:rsidR="0095057C">
        <w:rPr>
          <w:b w:val="0"/>
          <w:bCs/>
        </w:rPr>
        <w:t xml:space="preserve">8 </w:t>
      </w:r>
      <w:r w:rsidRPr="0095057C" w:rsidR="0095057C">
        <w:rPr>
          <w:b w:val="0"/>
          <w:bCs/>
        </w:rPr>
        <w:t xml:space="preserve">Cal.App.5th </w:t>
      </w:r>
      <w:r w:rsidR="0095057C">
        <w:rPr>
          <w:b w:val="0"/>
          <w:bCs/>
        </w:rPr>
        <w:t>1118</w:t>
      </w:r>
      <w:r w:rsidR="00E1583A">
        <w:rPr>
          <w:b w:val="0"/>
          <w:bCs/>
        </w:rPr>
        <w:t xml:space="preserve"> (</w:t>
      </w:r>
      <w:r w:rsidR="00E1583A">
        <w:rPr>
          <w:b w:val="0"/>
          <w:bCs/>
          <w:i/>
          <w:iCs/>
        </w:rPr>
        <w:t>Doe</w:t>
      </w:r>
      <w:r w:rsidR="00E1583A">
        <w:rPr>
          <w:b w:val="0"/>
          <w:bCs/>
        </w:rPr>
        <w:t>)</w:t>
      </w:r>
      <w:r w:rsidR="0095057C">
        <w:rPr>
          <w:b w:val="0"/>
          <w:bCs/>
        </w:rPr>
        <w:t>, thus provides a helpful contrast.</w:t>
      </w:r>
      <w:r>
        <w:rPr>
          <w:rStyle w:val="FootnoteReference"/>
          <w:b/>
          <w:bCs/>
        </w:rPr>
        <w:footnoteReference w:id="11"/>
      </w:r>
      <w:r w:rsidR="0095057C">
        <w:rPr>
          <w:b w:val="0"/>
          <w:bCs/>
        </w:rPr>
        <w:t xml:space="preserve">  In </w:t>
      </w:r>
      <w:r w:rsidR="0095057C">
        <w:rPr>
          <w:b w:val="0"/>
          <w:bCs/>
          <w:i/>
          <w:iCs/>
        </w:rPr>
        <w:t>Doe</w:t>
      </w:r>
      <w:r w:rsidR="0095057C">
        <w:rPr>
          <w:b w:val="0"/>
          <w:bCs/>
        </w:rPr>
        <w:t xml:space="preserve">, the </w:t>
      </w:r>
      <w:r w:rsidR="00655224">
        <w:rPr>
          <w:b w:val="0"/>
          <w:bCs/>
        </w:rPr>
        <w:t>plaintiff alleged the defendant youth soccer associations and soccer leag</w:t>
      </w:r>
      <w:r w:rsidR="000830E0">
        <w:rPr>
          <w:b w:val="0"/>
          <w:bCs/>
        </w:rPr>
        <w:t>ue</w:t>
      </w:r>
      <w:r w:rsidR="00655224">
        <w:rPr>
          <w:b w:val="0"/>
          <w:bCs/>
        </w:rPr>
        <w:t xml:space="preserve"> were</w:t>
      </w:r>
      <w:r w:rsidR="0095057C">
        <w:rPr>
          <w:b w:val="0"/>
          <w:bCs/>
        </w:rPr>
        <w:t xml:space="preserve"> negligent</w:t>
      </w:r>
      <w:r w:rsidR="00A513E1">
        <w:rPr>
          <w:b w:val="0"/>
          <w:bCs/>
        </w:rPr>
        <w:t xml:space="preserve"> in</w:t>
      </w:r>
      <w:r w:rsidR="0095057C">
        <w:rPr>
          <w:b w:val="0"/>
          <w:bCs/>
        </w:rPr>
        <w:t xml:space="preserve"> </w:t>
      </w:r>
      <w:r w:rsidR="000830E0">
        <w:rPr>
          <w:b w:val="0"/>
          <w:bCs/>
        </w:rPr>
        <w:t xml:space="preserve">failing </w:t>
      </w:r>
      <w:r w:rsidR="0095057C">
        <w:rPr>
          <w:b w:val="0"/>
          <w:bCs/>
        </w:rPr>
        <w:t>to conduct criminal background checks on youth soccer coaches.</w:t>
      </w:r>
      <w:r w:rsidR="008904FE">
        <w:rPr>
          <w:b w:val="0"/>
          <w:bCs/>
        </w:rPr>
        <w:t xml:space="preserve">  </w:t>
      </w:r>
      <w:r w:rsidR="00BD46AE">
        <w:rPr>
          <w:b w:val="0"/>
          <w:bCs/>
        </w:rPr>
        <w:t xml:space="preserve">A youth coach </w:t>
      </w:r>
      <w:r w:rsidR="00923A53">
        <w:rPr>
          <w:b w:val="0"/>
          <w:bCs/>
        </w:rPr>
        <w:t xml:space="preserve">sexually abused the plaintiff, a </w:t>
      </w:r>
      <w:r w:rsidR="005D793B">
        <w:rPr>
          <w:b w:val="0"/>
          <w:bCs/>
        </w:rPr>
        <w:t>12-year-old soccer player</w:t>
      </w:r>
      <w:r w:rsidR="00340F5C">
        <w:rPr>
          <w:b w:val="0"/>
          <w:bCs/>
        </w:rPr>
        <w:t>,</w:t>
      </w:r>
      <w:r w:rsidR="008E69D4">
        <w:rPr>
          <w:b w:val="0"/>
          <w:bCs/>
        </w:rPr>
        <w:t xml:space="preserve"> and the categori</w:t>
      </w:r>
      <w:r w:rsidR="008C138B">
        <w:rPr>
          <w:b w:val="0"/>
          <w:bCs/>
        </w:rPr>
        <w:t>c</w:t>
      </w:r>
      <w:r w:rsidR="008E69D4">
        <w:rPr>
          <w:b w:val="0"/>
          <w:bCs/>
        </w:rPr>
        <w:t xml:space="preserve">al harm alleged </w:t>
      </w:r>
      <w:r w:rsidR="007A5D69">
        <w:rPr>
          <w:b w:val="0"/>
          <w:bCs/>
        </w:rPr>
        <w:t xml:space="preserve">was </w:t>
      </w:r>
      <w:r w:rsidR="008563C9">
        <w:rPr>
          <w:b w:val="0"/>
          <w:bCs/>
        </w:rPr>
        <w:t>coaches’</w:t>
      </w:r>
      <w:r w:rsidR="00195868">
        <w:rPr>
          <w:b w:val="0"/>
          <w:bCs/>
        </w:rPr>
        <w:t xml:space="preserve"> sexual abuse of</w:t>
      </w:r>
      <w:r w:rsidR="00254E6F">
        <w:rPr>
          <w:b w:val="0"/>
          <w:bCs/>
        </w:rPr>
        <w:t xml:space="preserve"> </w:t>
      </w:r>
      <w:r w:rsidR="001019EF">
        <w:rPr>
          <w:b w:val="0"/>
          <w:bCs/>
        </w:rPr>
        <w:t>youth soccer</w:t>
      </w:r>
      <w:r w:rsidR="00DF3F62">
        <w:rPr>
          <w:b w:val="0"/>
          <w:bCs/>
        </w:rPr>
        <w:t xml:space="preserve"> </w:t>
      </w:r>
      <w:r w:rsidR="00195868">
        <w:rPr>
          <w:b w:val="0"/>
          <w:bCs/>
        </w:rPr>
        <w:t>player</w:t>
      </w:r>
      <w:r w:rsidR="008563C9">
        <w:rPr>
          <w:b w:val="0"/>
          <w:bCs/>
        </w:rPr>
        <w:t>s</w:t>
      </w:r>
      <w:r w:rsidR="00F95929">
        <w:rPr>
          <w:b w:val="0"/>
          <w:bCs/>
        </w:rPr>
        <w:t>.</w:t>
      </w:r>
      <w:r w:rsidR="008563C9">
        <w:rPr>
          <w:b w:val="0"/>
          <w:bCs/>
        </w:rPr>
        <w:t xml:space="preserve">  (</w:t>
      </w:r>
      <w:r w:rsidR="00AF2F53">
        <w:rPr>
          <w:b w:val="0"/>
          <w:i/>
          <w:iCs/>
        </w:rPr>
        <w:t>Id</w:t>
      </w:r>
      <w:r w:rsidRPr="002702A3" w:rsidR="00AF2F53">
        <w:rPr>
          <w:b w:val="0"/>
        </w:rPr>
        <w:t>.</w:t>
      </w:r>
      <w:r w:rsidRPr="002702A3" w:rsidR="008563C9">
        <w:rPr>
          <w:b w:val="0"/>
        </w:rPr>
        <w:t xml:space="preserve"> </w:t>
      </w:r>
      <w:r w:rsidRPr="00D45EFE" w:rsidR="008563C9">
        <w:rPr>
          <w:b w:val="0"/>
        </w:rPr>
        <w:t>at p</w:t>
      </w:r>
      <w:r w:rsidR="00340F5C">
        <w:rPr>
          <w:b w:val="0"/>
        </w:rPr>
        <w:t>p</w:t>
      </w:r>
      <w:r w:rsidRPr="00D45EFE" w:rsidR="008563C9">
        <w:rPr>
          <w:b w:val="0"/>
        </w:rPr>
        <w:t xml:space="preserve">. </w:t>
      </w:r>
      <w:r w:rsidR="00340F5C">
        <w:rPr>
          <w:b w:val="0"/>
        </w:rPr>
        <w:t xml:space="preserve">1123, </w:t>
      </w:r>
      <w:r w:rsidRPr="00D45EFE" w:rsidR="008563C9">
        <w:rPr>
          <w:b w:val="0"/>
        </w:rPr>
        <w:t>1136</w:t>
      </w:r>
      <w:r w:rsidR="008563C9">
        <w:rPr>
          <w:b w:val="0"/>
        </w:rPr>
        <w:t>.)</w:t>
      </w:r>
      <w:r w:rsidR="008563C9">
        <w:rPr>
          <w:b w:val="0"/>
          <w:bCs/>
        </w:rPr>
        <w:t xml:space="preserve">  </w:t>
      </w:r>
      <w:r w:rsidR="00F95929">
        <w:rPr>
          <w:b w:val="0"/>
          <w:bCs/>
        </w:rPr>
        <w:t xml:space="preserve">The </w:t>
      </w:r>
      <w:r w:rsidR="001019EF">
        <w:rPr>
          <w:b w:val="0"/>
          <w:bCs/>
        </w:rPr>
        <w:t xml:space="preserve">Court of Appeal </w:t>
      </w:r>
      <w:r w:rsidR="00F95929">
        <w:rPr>
          <w:b w:val="0"/>
          <w:bCs/>
        </w:rPr>
        <w:t>reasoned that</w:t>
      </w:r>
      <w:r w:rsidR="00195868">
        <w:rPr>
          <w:b w:val="0"/>
          <w:bCs/>
        </w:rPr>
        <w:t xml:space="preserve"> a </w:t>
      </w:r>
      <w:r w:rsidR="002E0D8C">
        <w:rPr>
          <w:b w:val="0"/>
          <w:bCs/>
        </w:rPr>
        <w:t xml:space="preserve">criminal </w:t>
      </w:r>
      <w:r w:rsidR="00195868">
        <w:rPr>
          <w:b w:val="0"/>
          <w:bCs/>
        </w:rPr>
        <w:t xml:space="preserve">background check would have revealed the </w:t>
      </w:r>
      <w:r w:rsidR="008C138B">
        <w:rPr>
          <w:b w:val="0"/>
          <w:bCs/>
        </w:rPr>
        <w:t xml:space="preserve">offending </w:t>
      </w:r>
      <w:r w:rsidR="00254E6F">
        <w:rPr>
          <w:b w:val="0"/>
          <w:bCs/>
        </w:rPr>
        <w:t>coach</w:t>
      </w:r>
      <w:r w:rsidR="00F95929">
        <w:rPr>
          <w:b w:val="0"/>
          <w:bCs/>
        </w:rPr>
        <w:t>’</w:t>
      </w:r>
      <w:r w:rsidR="00254E6F">
        <w:rPr>
          <w:b w:val="0"/>
          <w:bCs/>
        </w:rPr>
        <w:t>s</w:t>
      </w:r>
      <w:r w:rsidR="00195868">
        <w:rPr>
          <w:b w:val="0"/>
          <w:bCs/>
        </w:rPr>
        <w:t xml:space="preserve"> prior conviction for domestic violence, so he likely would not have been hired</w:t>
      </w:r>
      <w:r w:rsidR="00E86CBF">
        <w:rPr>
          <w:b w:val="0"/>
          <w:bCs/>
        </w:rPr>
        <w:t>.  T</w:t>
      </w:r>
      <w:r w:rsidR="00F95929">
        <w:rPr>
          <w:b w:val="0"/>
          <w:bCs/>
        </w:rPr>
        <w:t>he background check</w:t>
      </w:r>
      <w:r w:rsidR="00195868">
        <w:rPr>
          <w:b w:val="0"/>
          <w:bCs/>
        </w:rPr>
        <w:t xml:space="preserve"> would </w:t>
      </w:r>
      <w:r w:rsidR="00E86CBF">
        <w:rPr>
          <w:b w:val="0"/>
          <w:bCs/>
        </w:rPr>
        <w:t xml:space="preserve">therefore </w:t>
      </w:r>
      <w:r w:rsidR="00195868">
        <w:rPr>
          <w:b w:val="0"/>
          <w:bCs/>
        </w:rPr>
        <w:t xml:space="preserve">have </w:t>
      </w:r>
      <w:r w:rsidR="00F95929">
        <w:rPr>
          <w:b w:val="0"/>
          <w:bCs/>
        </w:rPr>
        <w:t xml:space="preserve">prevented the abuse of </w:t>
      </w:r>
      <w:r w:rsidR="00195868">
        <w:rPr>
          <w:b w:val="0"/>
          <w:bCs/>
        </w:rPr>
        <w:t>the pla</w:t>
      </w:r>
      <w:r w:rsidR="005A716D">
        <w:rPr>
          <w:b w:val="0"/>
          <w:bCs/>
        </w:rPr>
        <w:t>intiff</w:t>
      </w:r>
      <w:r w:rsidR="00195868">
        <w:rPr>
          <w:b w:val="0"/>
          <w:bCs/>
        </w:rPr>
        <w:t>.</w:t>
      </w:r>
      <w:r w:rsidR="008563C9">
        <w:rPr>
          <w:b w:val="0"/>
          <w:bCs/>
        </w:rPr>
        <w:t xml:space="preserve">  (</w:t>
      </w:r>
      <w:r w:rsidRPr="008563C9" w:rsidR="008563C9">
        <w:rPr>
          <w:b w:val="0"/>
          <w:bCs/>
          <w:i/>
          <w:iCs/>
        </w:rPr>
        <w:t>Id</w:t>
      </w:r>
      <w:r w:rsidRPr="002702A3" w:rsidR="008563C9">
        <w:rPr>
          <w:b w:val="0"/>
          <w:bCs/>
        </w:rPr>
        <w:t>.</w:t>
      </w:r>
      <w:r w:rsidR="00A94553">
        <w:rPr>
          <w:b w:val="0"/>
          <w:bCs/>
        </w:rPr>
        <w:t xml:space="preserve"> at pp. 1136–1137.</w:t>
      </w:r>
      <w:r w:rsidR="008563C9">
        <w:rPr>
          <w:b w:val="0"/>
        </w:rPr>
        <w:t>)</w:t>
      </w:r>
      <w:r>
        <w:rPr>
          <w:b w:val="0"/>
        </w:rPr>
        <w:t xml:space="preserve">  The connection between the plaintiff’s harm and the </w:t>
      </w:r>
      <w:r w:rsidR="00D57F36">
        <w:rPr>
          <w:b w:val="0"/>
        </w:rPr>
        <w:t xml:space="preserve">defendants’ </w:t>
      </w:r>
      <w:r>
        <w:rPr>
          <w:b w:val="0"/>
        </w:rPr>
        <w:t>failure to conduct a criminal background check was close.</w:t>
      </w:r>
    </w:p>
    <w:p w:rsidR="00C062D7" w:rsidP="0092039E" w14:paraId="1DD878BC" w14:textId="6A59E740">
      <w:pPr>
        <w:pStyle w:val="Heading21"/>
        <w:spacing w:before="0" w:after="0"/>
        <w:ind w:left="0" w:firstLine="720"/>
        <w:rPr>
          <w:b w:val="0"/>
          <w:bCs/>
        </w:rPr>
      </w:pPr>
      <w:r>
        <w:rPr>
          <w:b w:val="0"/>
          <w:bCs/>
        </w:rPr>
        <w:t>T</w:t>
      </w:r>
      <w:r w:rsidR="00630854">
        <w:rPr>
          <w:b w:val="0"/>
          <w:bCs/>
        </w:rPr>
        <w:t xml:space="preserve">he sexual abuse of youth soccer players was </w:t>
      </w:r>
      <w:r>
        <w:rPr>
          <w:b w:val="0"/>
          <w:bCs/>
        </w:rPr>
        <w:t xml:space="preserve">also </w:t>
      </w:r>
      <w:r w:rsidR="00630854">
        <w:rPr>
          <w:b w:val="0"/>
          <w:bCs/>
        </w:rPr>
        <w:t xml:space="preserve">a foreseeable harm resulting from the </w:t>
      </w:r>
      <w:r w:rsidR="00A17C9D">
        <w:rPr>
          <w:b w:val="0"/>
          <w:bCs/>
        </w:rPr>
        <w:t>defendants’</w:t>
      </w:r>
      <w:r w:rsidR="00400D5C">
        <w:rPr>
          <w:b w:val="0"/>
          <w:bCs/>
        </w:rPr>
        <w:t xml:space="preserve"> failure to screen the criminal backgrounds of coaches in light of </w:t>
      </w:r>
      <w:r w:rsidR="000E3DAB">
        <w:rPr>
          <w:b w:val="0"/>
          <w:bCs/>
        </w:rPr>
        <w:t xml:space="preserve">the </w:t>
      </w:r>
      <w:r w:rsidR="00AF402F">
        <w:rPr>
          <w:b w:val="0"/>
          <w:bCs/>
        </w:rPr>
        <w:t>defendants</w:t>
      </w:r>
      <w:r w:rsidR="006D1850">
        <w:rPr>
          <w:b w:val="0"/>
          <w:bCs/>
        </w:rPr>
        <w:t>’</w:t>
      </w:r>
      <w:r w:rsidR="00AF402F">
        <w:rPr>
          <w:b w:val="0"/>
          <w:bCs/>
        </w:rPr>
        <w:t xml:space="preserve"> </w:t>
      </w:r>
      <w:r w:rsidR="000E3DAB">
        <w:rPr>
          <w:b w:val="0"/>
          <w:bCs/>
        </w:rPr>
        <w:t xml:space="preserve">awareness of </w:t>
      </w:r>
      <w:r w:rsidR="00081A42">
        <w:rPr>
          <w:b w:val="0"/>
          <w:bCs/>
        </w:rPr>
        <w:t xml:space="preserve">the steady annual rate of </w:t>
      </w:r>
      <w:r w:rsidR="00985345">
        <w:rPr>
          <w:b w:val="0"/>
          <w:bCs/>
        </w:rPr>
        <w:t xml:space="preserve">incidents of physical and sexual abuse of youth soccer players; </w:t>
      </w:r>
      <w:r w:rsidR="00140979">
        <w:rPr>
          <w:b w:val="0"/>
          <w:bCs/>
        </w:rPr>
        <w:t xml:space="preserve">the </w:t>
      </w:r>
      <w:r w:rsidR="00A17C9D">
        <w:rPr>
          <w:b w:val="0"/>
          <w:bCs/>
        </w:rPr>
        <w:t>defendants’</w:t>
      </w:r>
      <w:r w:rsidR="00140979">
        <w:rPr>
          <w:b w:val="0"/>
          <w:bCs/>
        </w:rPr>
        <w:t xml:space="preserve"> awareness that “</w:t>
      </w:r>
      <w:r w:rsidR="00A17C9D">
        <w:rPr>
          <w:b w:val="0"/>
          <w:bCs/>
        </w:rPr>
        <w:t>sexual predators were drawn to their organization in order to exploit children”</w:t>
      </w:r>
      <w:r w:rsidR="00140979">
        <w:rPr>
          <w:b w:val="0"/>
          <w:bCs/>
        </w:rPr>
        <w:t xml:space="preserve">; </w:t>
      </w:r>
      <w:r w:rsidR="00F53E5E">
        <w:rPr>
          <w:b w:val="0"/>
          <w:bCs/>
        </w:rPr>
        <w:t xml:space="preserve">and </w:t>
      </w:r>
      <w:r w:rsidR="00975F98">
        <w:rPr>
          <w:b w:val="0"/>
          <w:bCs/>
        </w:rPr>
        <w:t xml:space="preserve">because the founder of the </w:t>
      </w:r>
      <w:r w:rsidR="00C80C19">
        <w:rPr>
          <w:b w:val="0"/>
          <w:bCs/>
        </w:rPr>
        <w:t xml:space="preserve">defendant league was charged with multiple felony child molestation offenses the </w:t>
      </w:r>
      <w:r w:rsidR="0060242D">
        <w:rPr>
          <w:b w:val="0"/>
          <w:bCs/>
        </w:rPr>
        <w:t>year before the offending coach applied for a position with the league.</w:t>
      </w:r>
      <w:r w:rsidR="00997678">
        <w:rPr>
          <w:b w:val="0"/>
          <w:bCs/>
        </w:rPr>
        <w:t xml:space="preserve">  (</w:t>
      </w:r>
      <w:r w:rsidRPr="00357AE6" w:rsidR="0084144B">
        <w:rPr>
          <w:b w:val="0"/>
          <w:bCs/>
          <w:i/>
          <w:iCs/>
        </w:rPr>
        <w:t>Doe</w:t>
      </w:r>
      <w:r w:rsidRPr="00357AE6" w:rsidR="0084144B">
        <w:rPr>
          <w:b w:val="0"/>
          <w:bCs/>
        </w:rPr>
        <w:t>,</w:t>
      </w:r>
      <w:r w:rsidRPr="00357AE6" w:rsidR="0084144B">
        <w:rPr>
          <w:b w:val="0"/>
          <w:bCs/>
          <w:i/>
          <w:iCs/>
        </w:rPr>
        <w:t xml:space="preserve"> supra</w:t>
      </w:r>
      <w:r w:rsidRPr="00357AE6" w:rsidR="0084144B">
        <w:rPr>
          <w:b w:val="0"/>
          <w:bCs/>
        </w:rPr>
        <w:t>, 8 Cal.App.5th</w:t>
      </w:r>
      <w:r w:rsidRPr="00357AE6" w:rsidR="0084144B">
        <w:rPr>
          <w:b w:val="0"/>
          <w:bCs/>
          <w:i/>
          <w:iCs/>
        </w:rPr>
        <w:t xml:space="preserve"> </w:t>
      </w:r>
      <w:r w:rsidR="00997678">
        <w:rPr>
          <w:b w:val="0"/>
          <w:bCs/>
        </w:rPr>
        <w:t>at p.</w:t>
      </w:r>
      <w:r w:rsidR="0075099E">
        <w:rPr>
          <w:b w:val="0"/>
          <w:bCs/>
        </w:rPr>
        <w:t> </w:t>
      </w:r>
      <w:r w:rsidR="0084144B">
        <w:rPr>
          <w:b w:val="0"/>
          <w:bCs/>
        </w:rPr>
        <w:t>1135</w:t>
      </w:r>
      <w:r w:rsidR="00D72BFA">
        <w:rPr>
          <w:b w:val="0"/>
          <w:bCs/>
        </w:rPr>
        <w:t>;</w:t>
      </w:r>
      <w:r w:rsidR="0084144B">
        <w:rPr>
          <w:b w:val="0"/>
          <w:bCs/>
        </w:rPr>
        <w:t xml:space="preserve"> </w:t>
      </w:r>
      <w:r w:rsidR="00D72BFA">
        <w:rPr>
          <w:b w:val="0"/>
          <w:bCs/>
        </w:rPr>
        <w:t xml:space="preserve">see </w:t>
      </w:r>
      <w:r w:rsidR="00D72BFA">
        <w:rPr>
          <w:b w:val="0"/>
          <w:bCs/>
          <w:i/>
          <w:iCs/>
        </w:rPr>
        <w:t>id</w:t>
      </w:r>
      <w:r w:rsidRPr="00357AE6" w:rsidR="00D72BFA">
        <w:rPr>
          <w:b w:val="0"/>
          <w:bCs/>
        </w:rPr>
        <w:t>.</w:t>
      </w:r>
      <w:r w:rsidR="00D72BFA">
        <w:rPr>
          <w:b w:val="0"/>
          <w:bCs/>
          <w:i/>
          <w:iCs/>
        </w:rPr>
        <w:t xml:space="preserve"> </w:t>
      </w:r>
      <w:r w:rsidR="00D72BFA">
        <w:rPr>
          <w:b w:val="0"/>
          <w:bCs/>
        </w:rPr>
        <w:t>at pp. </w:t>
      </w:r>
      <w:r w:rsidR="00997678">
        <w:rPr>
          <w:b w:val="0"/>
          <w:bCs/>
        </w:rPr>
        <w:t xml:space="preserve">1126, </w:t>
      </w:r>
      <w:r w:rsidR="00FC77FB">
        <w:rPr>
          <w:b w:val="0"/>
          <w:bCs/>
        </w:rPr>
        <w:t>1132</w:t>
      </w:r>
      <w:r w:rsidR="002702A3">
        <w:rPr>
          <w:b w:val="0"/>
          <w:bCs/>
        </w:rPr>
        <w:t>–</w:t>
      </w:r>
      <w:r w:rsidR="00FC77FB">
        <w:rPr>
          <w:b w:val="0"/>
          <w:bCs/>
        </w:rPr>
        <w:t>1133.)</w:t>
      </w:r>
    </w:p>
    <w:p w:rsidR="00C16289" w:rsidRPr="0036650D" w:rsidP="0092039E" w14:paraId="58FD1124" w14:textId="3A2049A0">
      <w:pPr>
        <w:pStyle w:val="Heading21"/>
        <w:spacing w:before="0" w:after="0"/>
        <w:ind w:left="0" w:firstLine="720"/>
        <w:rPr>
          <w:b w:val="0"/>
          <w:bCs/>
        </w:rPr>
      </w:pPr>
      <w:r>
        <w:rPr>
          <w:b w:val="0"/>
          <w:bCs/>
        </w:rPr>
        <w:t xml:space="preserve">Here, </w:t>
      </w:r>
      <w:r w:rsidR="00081A42">
        <w:rPr>
          <w:b w:val="0"/>
          <w:bCs/>
        </w:rPr>
        <w:t>the complaint does not allege</w:t>
      </w:r>
      <w:r>
        <w:rPr>
          <w:b w:val="0"/>
          <w:bCs/>
        </w:rPr>
        <w:t xml:space="preserve"> that </w:t>
      </w:r>
      <w:r w:rsidR="00521AA4">
        <w:rPr>
          <w:b w:val="0"/>
          <w:bCs/>
        </w:rPr>
        <w:t xml:space="preserve">individuals likely to commit </w:t>
      </w:r>
      <w:r w:rsidR="00AF2D94">
        <w:rPr>
          <w:b w:val="0"/>
          <w:bCs/>
        </w:rPr>
        <w:t>unprovoked violent assaults are drawn in particular to rideshare</w:t>
      </w:r>
      <w:r w:rsidR="00AD1733">
        <w:rPr>
          <w:b w:val="0"/>
          <w:bCs/>
        </w:rPr>
        <w:t xml:space="preserve"> services, or that prior </w:t>
      </w:r>
      <w:r w:rsidR="00081A42">
        <w:rPr>
          <w:b w:val="0"/>
          <w:bCs/>
        </w:rPr>
        <w:t xml:space="preserve">violent </w:t>
      </w:r>
      <w:r w:rsidR="00AD1733">
        <w:rPr>
          <w:b w:val="0"/>
          <w:bCs/>
        </w:rPr>
        <w:t>incidents involved individuals with any particular type of criminal record, or a criminal record at all.</w:t>
      </w:r>
      <w:r w:rsidR="00AE36DE">
        <w:rPr>
          <w:b w:val="0"/>
          <w:bCs/>
        </w:rPr>
        <w:t xml:space="preserve">  Even</w:t>
      </w:r>
      <w:r w:rsidR="00124407">
        <w:rPr>
          <w:b w:val="0"/>
          <w:bCs/>
        </w:rPr>
        <w:t xml:space="preserve"> considering the facts of </w:t>
      </w:r>
      <w:r w:rsidR="00AE36DE">
        <w:rPr>
          <w:b w:val="0"/>
          <w:bCs/>
        </w:rPr>
        <w:t xml:space="preserve">this case, </w:t>
      </w:r>
      <w:r w:rsidR="00564A3F">
        <w:rPr>
          <w:b w:val="0"/>
          <w:bCs/>
        </w:rPr>
        <w:t xml:space="preserve">Al Shikha has not alleged that Alvarez had a criminal history that involved assaultive or violent conduct.  </w:t>
      </w:r>
      <w:r w:rsidR="00434F94">
        <w:rPr>
          <w:b w:val="0"/>
          <w:bCs/>
        </w:rPr>
        <w:t xml:space="preserve">Unlike the sexual abuse of the </w:t>
      </w:r>
      <w:r w:rsidRPr="00E1583A" w:rsidR="00E1583A">
        <w:rPr>
          <w:b w:val="0"/>
          <w:bCs/>
          <w:i/>
          <w:iCs/>
        </w:rPr>
        <w:t>Doe</w:t>
      </w:r>
      <w:r w:rsidR="00E1583A">
        <w:rPr>
          <w:b w:val="0"/>
          <w:bCs/>
        </w:rPr>
        <w:t xml:space="preserve"> plaintiff, t</w:t>
      </w:r>
      <w:r w:rsidRPr="00E1583A" w:rsidR="00564A3F">
        <w:rPr>
          <w:b w:val="0"/>
          <w:bCs/>
        </w:rPr>
        <w:t>h</w:t>
      </w:r>
      <w:r w:rsidRPr="00E1583A" w:rsidR="00CF2A3B">
        <w:rPr>
          <w:b w:val="0"/>
          <w:bCs/>
        </w:rPr>
        <w:t>e</w:t>
      </w:r>
      <w:r w:rsidR="00CF2A3B">
        <w:rPr>
          <w:b w:val="0"/>
          <w:bCs/>
        </w:rPr>
        <w:t xml:space="preserve"> injury suff</w:t>
      </w:r>
      <w:r w:rsidR="00B61488">
        <w:rPr>
          <w:b w:val="0"/>
          <w:bCs/>
        </w:rPr>
        <w:t>ered here is “connected only distantly and indirectly</w:t>
      </w:r>
      <w:r w:rsidR="00654A30">
        <w:rPr>
          <w:b w:val="0"/>
          <w:bCs/>
        </w:rPr>
        <w:t>” to Lyft’s alleged negligent act</w:t>
      </w:r>
      <w:r w:rsidR="001F02EF">
        <w:rPr>
          <w:b w:val="0"/>
          <w:bCs/>
        </w:rPr>
        <w:t>s.  (</w:t>
      </w:r>
      <w:r w:rsidR="001F02EF">
        <w:rPr>
          <w:b w:val="0"/>
          <w:bCs/>
          <w:i/>
          <w:iCs/>
        </w:rPr>
        <w:t>Regents</w:t>
      </w:r>
      <w:r w:rsidRPr="002702A3" w:rsidR="001F02EF">
        <w:rPr>
          <w:b w:val="0"/>
          <w:bCs/>
        </w:rPr>
        <w:t>,</w:t>
      </w:r>
      <w:r w:rsidR="001F02EF">
        <w:rPr>
          <w:b w:val="0"/>
          <w:bCs/>
          <w:i/>
          <w:iCs/>
        </w:rPr>
        <w:t xml:space="preserve"> supra</w:t>
      </w:r>
      <w:r w:rsidRPr="002702A3" w:rsidR="001F02EF">
        <w:rPr>
          <w:b w:val="0"/>
          <w:bCs/>
        </w:rPr>
        <w:t xml:space="preserve">, </w:t>
      </w:r>
      <w:r w:rsidR="001F02EF">
        <w:rPr>
          <w:b w:val="0"/>
          <w:bCs/>
        </w:rPr>
        <w:t>4 Cal.5th at p. 630.)</w:t>
      </w:r>
      <w:r w:rsidR="0036650D">
        <w:rPr>
          <w:b w:val="0"/>
          <w:bCs/>
        </w:rPr>
        <w:t xml:space="preserve">  The </w:t>
      </w:r>
      <w:r w:rsidR="0036650D">
        <w:rPr>
          <w:b w:val="0"/>
          <w:bCs/>
          <w:i/>
          <w:iCs/>
        </w:rPr>
        <w:t>Rowland</w:t>
      </w:r>
      <w:r w:rsidR="0036650D">
        <w:t xml:space="preserve"> </w:t>
      </w:r>
      <w:r w:rsidR="0036650D">
        <w:rPr>
          <w:b w:val="0"/>
          <w:bCs/>
        </w:rPr>
        <w:t>foreseeability factors do not weigh in favor of recognizing a duty to conduct criminal background checks on all riders.</w:t>
      </w:r>
    </w:p>
    <w:p w:rsidR="003F7BF8" w:rsidRPr="00AF21E2" w:rsidP="0092039E" w14:paraId="782E4D47" w14:textId="600D27C7">
      <w:pPr>
        <w:pStyle w:val="Heading21"/>
        <w:spacing w:before="0" w:after="0"/>
        <w:ind w:left="0" w:firstLine="720"/>
        <w:rPr>
          <w:b w:val="0"/>
          <w:bCs/>
        </w:rPr>
      </w:pPr>
      <w:r>
        <w:rPr>
          <w:b w:val="0"/>
          <w:bCs/>
        </w:rPr>
        <w:t xml:space="preserve">Whether considering the </w:t>
      </w:r>
      <w:r w:rsidR="002B4C26">
        <w:rPr>
          <w:b w:val="0"/>
          <w:bCs/>
        </w:rPr>
        <w:t xml:space="preserve">question of duty under the sliding-scale balancing framework described in </w:t>
      </w:r>
      <w:r w:rsidR="002B4C26">
        <w:rPr>
          <w:b w:val="0"/>
          <w:bCs/>
          <w:i/>
          <w:iCs/>
        </w:rPr>
        <w:t>Verdugo</w:t>
      </w:r>
      <w:r w:rsidR="002B4C26">
        <w:rPr>
          <w:b w:val="0"/>
          <w:bCs/>
        </w:rPr>
        <w:t xml:space="preserve"> and other prior cases, or </w:t>
      </w:r>
      <w:r w:rsidR="008141A5">
        <w:rPr>
          <w:b w:val="0"/>
          <w:bCs/>
        </w:rPr>
        <w:t xml:space="preserve">as explained in </w:t>
      </w:r>
      <w:r w:rsidR="008141A5">
        <w:rPr>
          <w:b w:val="0"/>
          <w:bCs/>
          <w:i/>
          <w:iCs/>
        </w:rPr>
        <w:t>Regents</w:t>
      </w:r>
      <w:r w:rsidR="008141A5">
        <w:rPr>
          <w:b w:val="0"/>
          <w:bCs/>
        </w:rPr>
        <w:t xml:space="preserve">, the answer here is the same.  Al Shikha’s complaint failed to allege facts </w:t>
      </w:r>
      <w:r w:rsidR="00547EA0">
        <w:rPr>
          <w:b w:val="0"/>
          <w:bCs/>
        </w:rPr>
        <w:t xml:space="preserve">demonstrating </w:t>
      </w:r>
      <w:r w:rsidR="00D24761">
        <w:rPr>
          <w:b w:val="0"/>
          <w:bCs/>
        </w:rPr>
        <w:t xml:space="preserve">the type of harm he suffered was </w:t>
      </w:r>
      <w:r w:rsidR="00F6028C">
        <w:rPr>
          <w:b w:val="0"/>
          <w:bCs/>
        </w:rPr>
        <w:t xml:space="preserve">highly foreseeable, or that </w:t>
      </w:r>
      <w:r w:rsidR="00633895">
        <w:rPr>
          <w:b w:val="0"/>
          <w:bCs/>
        </w:rPr>
        <w:t>the failure to conduct criminal background checks</w:t>
      </w:r>
      <w:r w:rsidR="000409B6">
        <w:rPr>
          <w:b w:val="0"/>
          <w:bCs/>
        </w:rPr>
        <w:t xml:space="preserve"> on all passengers</w:t>
      </w:r>
      <w:r w:rsidR="00633895">
        <w:rPr>
          <w:b w:val="0"/>
          <w:bCs/>
        </w:rPr>
        <w:t xml:space="preserve"> </w:t>
      </w:r>
      <w:r w:rsidR="000409B6">
        <w:rPr>
          <w:b w:val="0"/>
          <w:bCs/>
        </w:rPr>
        <w:t>is sufficiently likely to result in a violent, unprovoked attack on a driver</w:t>
      </w:r>
      <w:r w:rsidR="007B3B7B">
        <w:rPr>
          <w:b w:val="0"/>
          <w:bCs/>
        </w:rPr>
        <w:t>,</w:t>
      </w:r>
      <w:r w:rsidR="000409B6">
        <w:rPr>
          <w:b w:val="0"/>
          <w:bCs/>
        </w:rPr>
        <w:t xml:space="preserve"> </w:t>
      </w:r>
      <w:r w:rsidR="004B2157">
        <w:rPr>
          <w:b w:val="0"/>
          <w:bCs/>
        </w:rPr>
        <w:t xml:space="preserve">such </w:t>
      </w:r>
      <w:r w:rsidR="00E70A0A">
        <w:rPr>
          <w:b w:val="0"/>
          <w:bCs/>
        </w:rPr>
        <w:t>that liability may be imposed.</w:t>
      </w:r>
      <w:r w:rsidR="00D02D4F">
        <w:rPr>
          <w:b w:val="0"/>
          <w:bCs/>
        </w:rPr>
        <w:t xml:space="preserve">  </w:t>
      </w:r>
      <w:r w:rsidR="00D55BE3">
        <w:rPr>
          <w:b w:val="0"/>
          <w:bCs/>
        </w:rPr>
        <w:t xml:space="preserve">“Given that ‘[f]oreseeability and the extent </w:t>
      </w:r>
      <w:r w:rsidR="001E7F98">
        <w:rPr>
          <w:b w:val="0"/>
          <w:bCs/>
        </w:rPr>
        <w:t>of the burden to the defendant are ordinarily’ considered the ‘crucial’ considerations in evaluating legal duty (</w:t>
      </w:r>
      <w:r w:rsidR="001E7F98">
        <w:rPr>
          <w:b w:val="0"/>
          <w:bCs/>
          <w:i/>
          <w:iCs/>
        </w:rPr>
        <w:t>Castaneda</w:t>
      </w:r>
      <w:r w:rsidRPr="002702A3" w:rsidR="001E7F98">
        <w:rPr>
          <w:b w:val="0"/>
          <w:bCs/>
        </w:rPr>
        <w:t>,</w:t>
      </w:r>
      <w:r w:rsidR="001E7F98">
        <w:rPr>
          <w:b w:val="0"/>
          <w:bCs/>
          <w:i/>
          <w:iCs/>
        </w:rPr>
        <w:t xml:space="preserve"> supra</w:t>
      </w:r>
      <w:r w:rsidRPr="002702A3" w:rsidR="001E7F98">
        <w:rPr>
          <w:b w:val="0"/>
          <w:bCs/>
        </w:rPr>
        <w:t>,</w:t>
      </w:r>
      <w:r w:rsidR="001E7F98">
        <w:rPr>
          <w:b w:val="0"/>
          <w:bCs/>
        </w:rPr>
        <w:t xml:space="preserve"> 41 </w:t>
      </w:r>
      <w:r w:rsidRPr="001E7F98" w:rsidR="001E7F98">
        <w:rPr>
          <w:b w:val="0"/>
          <w:bCs/>
        </w:rPr>
        <w:t xml:space="preserve">Cal.4th </w:t>
      </w:r>
      <w:r w:rsidR="001E7F98">
        <w:rPr>
          <w:b w:val="0"/>
          <w:bCs/>
        </w:rPr>
        <w:t xml:space="preserve">at p. 1213), it is unnecessary here to separately review the remaining </w:t>
      </w:r>
      <w:r w:rsidR="001E7F98">
        <w:rPr>
          <w:b w:val="0"/>
          <w:bCs/>
          <w:i/>
          <w:iCs/>
        </w:rPr>
        <w:t>Rowland</w:t>
      </w:r>
      <w:r w:rsidR="001E7F98">
        <w:rPr>
          <w:b w:val="0"/>
          <w:bCs/>
        </w:rPr>
        <w:t xml:space="preserve"> factors.</w:t>
      </w:r>
      <w:r w:rsidR="002702A3">
        <w:rPr>
          <w:b w:val="0"/>
          <w:bCs/>
        </w:rPr>
        <w:t xml:space="preserve"> </w:t>
      </w:r>
      <w:r w:rsidR="00705641">
        <w:rPr>
          <w:b w:val="0"/>
          <w:bCs/>
        </w:rPr>
        <w:t xml:space="preserve"> [Citation.]”  (</w:t>
      </w:r>
      <w:r w:rsidR="00705641">
        <w:rPr>
          <w:b w:val="0"/>
          <w:bCs/>
          <w:i/>
          <w:iCs/>
        </w:rPr>
        <w:t>Williams</w:t>
      </w:r>
      <w:r w:rsidRPr="002702A3" w:rsidR="00705641">
        <w:rPr>
          <w:b w:val="0"/>
          <w:bCs/>
        </w:rPr>
        <w:t>,</w:t>
      </w:r>
      <w:r w:rsidR="00705641">
        <w:rPr>
          <w:b w:val="0"/>
          <w:bCs/>
          <w:i/>
          <w:iCs/>
        </w:rPr>
        <w:t xml:space="preserve"> supra</w:t>
      </w:r>
      <w:r w:rsidRPr="002702A3" w:rsidR="00705641">
        <w:rPr>
          <w:b w:val="0"/>
          <w:bCs/>
        </w:rPr>
        <w:t>,</w:t>
      </w:r>
      <w:r w:rsidR="00705641">
        <w:rPr>
          <w:b w:val="0"/>
          <w:bCs/>
        </w:rPr>
        <w:t xml:space="preserve"> 37 </w:t>
      </w:r>
      <w:r w:rsidRPr="00705641" w:rsidR="00705641">
        <w:rPr>
          <w:b w:val="0"/>
          <w:bCs/>
        </w:rPr>
        <w:t xml:space="preserve">Cal.App.5th </w:t>
      </w:r>
      <w:r w:rsidR="00705641">
        <w:rPr>
          <w:b w:val="0"/>
          <w:bCs/>
        </w:rPr>
        <w:t>at p. 673;</w:t>
      </w:r>
      <w:r w:rsidR="0097422A">
        <w:rPr>
          <w:b w:val="0"/>
          <w:bCs/>
        </w:rPr>
        <w:t xml:space="preserve"> </w:t>
      </w:r>
      <w:r w:rsidRPr="009C220B" w:rsidR="009C220B">
        <w:rPr>
          <w:b w:val="0"/>
          <w:bCs/>
          <w:i/>
          <w:iCs/>
        </w:rPr>
        <w:t>Kuciemba</w:t>
      </w:r>
      <w:r w:rsidRPr="002702A3" w:rsidR="009C220B">
        <w:rPr>
          <w:b w:val="0"/>
          <w:bCs/>
        </w:rPr>
        <w:t>,</w:t>
      </w:r>
      <w:r w:rsidRPr="009C220B" w:rsidR="009C220B">
        <w:rPr>
          <w:b w:val="0"/>
          <w:bCs/>
          <w:i/>
          <w:iCs/>
        </w:rPr>
        <w:t xml:space="preserve"> supra</w:t>
      </w:r>
      <w:r w:rsidRPr="0097422A" w:rsidR="009C220B">
        <w:rPr>
          <w:b w:val="0"/>
          <w:bCs/>
        </w:rPr>
        <w:t>, 14 Cal.5th at p. 1025</w:t>
      </w:r>
      <w:r w:rsidR="009C220B">
        <w:rPr>
          <w:b w:val="0"/>
          <w:bCs/>
        </w:rPr>
        <w:t xml:space="preserve"> [</w:t>
      </w:r>
      <w:r w:rsidRPr="0097422A" w:rsidR="0097422A">
        <w:rPr>
          <w:b w:val="0"/>
          <w:bCs/>
        </w:rPr>
        <w:t xml:space="preserve">the policy factors serve to assess whether, </w:t>
      </w:r>
      <w:r w:rsidRPr="009C220B" w:rsidR="0097422A">
        <w:rPr>
          <w:b w:val="0"/>
          <w:bCs/>
          <w:i/>
          <w:iCs/>
        </w:rPr>
        <w:t>despite</w:t>
      </w:r>
      <w:r w:rsidRPr="0097422A" w:rsidR="0097422A">
        <w:rPr>
          <w:b w:val="0"/>
          <w:bCs/>
        </w:rPr>
        <w:t xml:space="preserve"> the foreseeability factors weighing in favor of recognizing a duty of care, public policy requires a different result</w:t>
      </w:r>
      <w:r w:rsidR="009C220B">
        <w:rPr>
          <w:b w:val="0"/>
          <w:bCs/>
        </w:rPr>
        <w:t>]</w:t>
      </w:r>
      <w:r w:rsidRPr="0097422A" w:rsidR="0097422A">
        <w:rPr>
          <w:b w:val="0"/>
          <w:bCs/>
        </w:rPr>
        <w:t>;</w:t>
      </w:r>
      <w:r w:rsidR="00705641">
        <w:rPr>
          <w:b w:val="0"/>
          <w:bCs/>
        </w:rPr>
        <w:t xml:space="preserve"> </w:t>
      </w:r>
      <w:r w:rsidR="00705641">
        <w:rPr>
          <w:b w:val="0"/>
          <w:bCs/>
          <w:i/>
          <w:iCs/>
        </w:rPr>
        <w:t>Hanouchian</w:t>
      </w:r>
      <w:r w:rsidRPr="002702A3" w:rsidR="00705641">
        <w:rPr>
          <w:b w:val="0"/>
          <w:bCs/>
        </w:rPr>
        <w:t>,</w:t>
      </w:r>
      <w:r w:rsidR="00705641">
        <w:rPr>
          <w:b w:val="0"/>
          <w:bCs/>
          <w:i/>
          <w:iCs/>
        </w:rPr>
        <w:t xml:space="preserve"> supra</w:t>
      </w:r>
      <w:r w:rsidRPr="002702A3" w:rsidR="00705641">
        <w:rPr>
          <w:b w:val="0"/>
          <w:bCs/>
        </w:rPr>
        <w:t>,</w:t>
      </w:r>
      <w:r w:rsidRPr="002702A3" w:rsidR="00AF21E2">
        <w:rPr>
          <w:b w:val="0"/>
          <w:bCs/>
        </w:rPr>
        <w:t xml:space="preserve"> </w:t>
      </w:r>
      <w:r w:rsidR="00AF21E2">
        <w:rPr>
          <w:b w:val="0"/>
          <w:bCs/>
        </w:rPr>
        <w:t xml:space="preserve">51 </w:t>
      </w:r>
      <w:r w:rsidRPr="00AF21E2" w:rsidR="00AF21E2">
        <w:rPr>
          <w:b w:val="0"/>
          <w:bCs/>
        </w:rPr>
        <w:t xml:space="preserve">Cal.App.5th </w:t>
      </w:r>
      <w:r w:rsidR="00AF21E2">
        <w:rPr>
          <w:b w:val="0"/>
          <w:bCs/>
        </w:rPr>
        <w:t>at pp.</w:t>
      </w:r>
      <w:r w:rsidR="00974706">
        <w:rPr>
          <w:b w:val="0"/>
          <w:bCs/>
        </w:rPr>
        <w:t xml:space="preserve"> </w:t>
      </w:r>
      <w:r w:rsidR="00AF21E2">
        <w:rPr>
          <w:b w:val="0"/>
          <w:bCs/>
        </w:rPr>
        <w:t>113</w:t>
      </w:r>
      <w:r w:rsidRPr="00B32188" w:rsidR="00A15A55">
        <w:rPr>
          <w:bCs/>
        </w:rPr>
        <w:t>–</w:t>
      </w:r>
      <w:r w:rsidR="00AF21E2">
        <w:rPr>
          <w:b w:val="0"/>
          <w:bCs/>
        </w:rPr>
        <w:t>114.)</w:t>
      </w:r>
    </w:p>
    <w:p w:rsidR="001C5694" w:rsidP="002702A3" w14:paraId="10FA61D5" w14:textId="51C3E136">
      <w:pPr>
        <w:pStyle w:val="Heading21"/>
        <w:keepNext/>
        <w:keepLines/>
        <w:widowControl w:val="0"/>
        <w:spacing w:before="0" w:after="0"/>
        <w:jc w:val="center"/>
      </w:pPr>
      <w:r w:rsidRPr="00996A1B">
        <w:t>DISPOSITION</w:t>
      </w:r>
    </w:p>
    <w:p w:rsidR="00B20310" w:rsidRPr="00227B92" w:rsidP="002702A3" w14:paraId="27A846A0" w14:textId="7AE2668B">
      <w:pPr>
        <w:pStyle w:val="Heading21"/>
        <w:keepNext/>
        <w:keepLines/>
        <w:widowControl w:val="0"/>
        <w:spacing w:before="0" w:after="0"/>
        <w:ind w:left="0" w:firstLine="720"/>
        <w:rPr>
          <w:bCs/>
        </w:rPr>
      </w:pPr>
      <w:r w:rsidRPr="00244DA6">
        <w:rPr>
          <w:b w:val="0"/>
          <w:bCs/>
        </w:rPr>
        <w:t xml:space="preserve">The judgment is affirmed.  </w:t>
      </w:r>
      <w:r w:rsidRPr="00244DA6" w:rsidR="00CF23F2">
        <w:rPr>
          <w:b w:val="0"/>
          <w:bCs/>
        </w:rPr>
        <w:t>Lyft is awarded its costs on appeal.</w:t>
      </w:r>
    </w:p>
    <w:p w:rsidR="00032B4F" w:rsidRPr="00712178" w:rsidP="002702A3" w14:paraId="6E1FE8F3" w14:textId="7B7AA9EB">
      <w:pPr>
        <w:keepNext/>
        <w:keepLines/>
        <w:widowControl w:val="0"/>
        <w:contextualSpacing/>
        <w:rPr>
          <w:b/>
          <w:bCs/>
          <w:szCs w:val="26"/>
        </w:rPr>
      </w:pPr>
      <w:r w:rsidRPr="00712178">
        <w:rPr>
          <w:bCs/>
          <w:szCs w:val="26"/>
        </w:rPr>
        <w:tab/>
      </w:r>
      <w:r w:rsidR="002A7C49">
        <w:rPr>
          <w:b/>
          <w:bCs/>
          <w:szCs w:val="26"/>
        </w:rPr>
        <w:t>CERTIFIED FOR PUBLICATION</w:t>
      </w:r>
    </w:p>
    <w:p w:rsidR="00032B4F" w:rsidRPr="00DA4E25" w:rsidP="002702A3" w14:paraId="5938A930" w14:textId="77777777">
      <w:pPr>
        <w:keepNext/>
        <w:keepLines/>
        <w:widowControl w:val="0"/>
        <w:rPr>
          <w:szCs w:val="26"/>
        </w:rPr>
      </w:pPr>
    </w:p>
    <w:p w:rsidR="00032B4F" w:rsidRPr="00DA4E25" w:rsidP="002702A3" w14:paraId="6DBF7A77" w14:textId="77777777">
      <w:pPr>
        <w:keepNext/>
        <w:keepLines/>
        <w:widowControl w:val="0"/>
        <w:rPr>
          <w:szCs w:val="26"/>
        </w:rPr>
      </w:pPr>
    </w:p>
    <w:p w:rsidR="00032B4F" w:rsidP="002702A3" w14:paraId="65CA13E0" w14:textId="77777777">
      <w:pPr>
        <w:keepNext/>
        <w:keepLines/>
        <w:widowControl w:val="0"/>
        <w:rPr>
          <w:bCs/>
          <w:szCs w:val="26"/>
        </w:rPr>
      </w:pPr>
    </w:p>
    <w:p w:rsidR="00DA4E25" w:rsidRPr="00712178" w:rsidP="002702A3" w14:paraId="17B555B6" w14:textId="77777777">
      <w:pPr>
        <w:keepNext/>
        <w:keepLines/>
        <w:widowControl w:val="0"/>
        <w:rPr>
          <w:bCs/>
          <w:szCs w:val="26"/>
        </w:rPr>
      </w:pPr>
    </w:p>
    <w:p w:rsidR="00032B4F" w:rsidRPr="00712178" w:rsidP="002702A3" w14:paraId="146960E7" w14:textId="1FB3CCC4">
      <w:pPr>
        <w:keepNext/>
        <w:keepLines/>
        <w:widowControl w:val="0"/>
      </w:pPr>
      <w:r w:rsidRPr="00712178">
        <w:rPr>
          <w:bCs/>
          <w:szCs w:val="26"/>
        </w:rPr>
        <w:tab/>
      </w:r>
      <w:r w:rsidRPr="00712178">
        <w:rPr>
          <w:bCs/>
          <w:szCs w:val="26"/>
        </w:rPr>
        <w:tab/>
      </w:r>
      <w:r w:rsidRPr="00712178">
        <w:rPr>
          <w:bCs/>
          <w:szCs w:val="26"/>
        </w:rPr>
        <w:tab/>
      </w:r>
      <w:r w:rsidRPr="00712178">
        <w:rPr>
          <w:bCs/>
          <w:szCs w:val="26"/>
        </w:rPr>
        <w:tab/>
      </w:r>
      <w:r w:rsidRPr="00712178">
        <w:rPr>
          <w:bCs/>
          <w:szCs w:val="26"/>
        </w:rPr>
        <w:tab/>
      </w:r>
      <w:r w:rsidRPr="00712178">
        <w:rPr>
          <w:bCs/>
          <w:szCs w:val="26"/>
        </w:rPr>
        <w:tab/>
      </w:r>
      <w:r w:rsidRPr="00712178">
        <w:rPr>
          <w:bCs/>
          <w:szCs w:val="26"/>
        </w:rPr>
        <w:tab/>
      </w:r>
      <w:r w:rsidR="00556277">
        <w:t>ADAMS</w:t>
      </w:r>
      <w:r w:rsidRPr="00712178">
        <w:t>, J.</w:t>
      </w:r>
    </w:p>
    <w:p w:rsidR="00032B4F" w:rsidRPr="00712178" w:rsidP="002702A3" w14:paraId="29B7404E" w14:textId="77777777">
      <w:pPr>
        <w:keepNext/>
        <w:keepLines/>
        <w:widowControl w:val="0"/>
        <w:rPr>
          <w:bCs/>
          <w:szCs w:val="26"/>
        </w:rPr>
      </w:pPr>
    </w:p>
    <w:p w:rsidR="00032B4F" w:rsidRPr="00712178" w:rsidP="002702A3" w14:paraId="762AC7A0" w14:textId="77777777">
      <w:pPr>
        <w:keepNext/>
        <w:keepLines/>
        <w:widowControl w:val="0"/>
        <w:rPr>
          <w:bCs/>
          <w:szCs w:val="26"/>
        </w:rPr>
      </w:pPr>
    </w:p>
    <w:p w:rsidR="00032B4F" w:rsidRPr="00712178" w:rsidP="002702A3" w14:paraId="6239366A" w14:textId="77777777">
      <w:pPr>
        <w:keepNext/>
        <w:keepLines/>
        <w:widowControl w:val="0"/>
        <w:rPr>
          <w:bCs/>
          <w:szCs w:val="26"/>
        </w:rPr>
      </w:pPr>
      <w:r w:rsidRPr="00712178">
        <w:rPr>
          <w:bCs/>
          <w:szCs w:val="26"/>
        </w:rPr>
        <w:t>We concur:</w:t>
      </w:r>
    </w:p>
    <w:p w:rsidR="00032B4F" w:rsidRPr="00712178" w:rsidP="002702A3" w14:paraId="47E972EC" w14:textId="77777777">
      <w:pPr>
        <w:keepNext/>
        <w:keepLines/>
        <w:widowControl w:val="0"/>
        <w:rPr>
          <w:bCs/>
          <w:szCs w:val="26"/>
        </w:rPr>
      </w:pPr>
    </w:p>
    <w:p w:rsidR="00032B4F" w:rsidRPr="00712178" w:rsidP="002702A3" w14:paraId="61EAAF95" w14:textId="77777777">
      <w:pPr>
        <w:keepNext/>
        <w:keepLines/>
        <w:widowControl w:val="0"/>
        <w:rPr>
          <w:bCs/>
          <w:szCs w:val="26"/>
        </w:rPr>
      </w:pPr>
    </w:p>
    <w:p w:rsidR="00032B4F" w:rsidRPr="00712178" w:rsidP="002702A3" w14:paraId="035EDDE5" w14:textId="77777777">
      <w:pPr>
        <w:keepNext/>
        <w:keepLines/>
        <w:widowControl w:val="0"/>
        <w:rPr>
          <w:bCs/>
          <w:szCs w:val="26"/>
        </w:rPr>
      </w:pPr>
    </w:p>
    <w:p w:rsidR="00032B4F" w:rsidRPr="00712178" w:rsidP="002702A3" w14:paraId="697349D8" w14:textId="77777777">
      <w:pPr>
        <w:keepNext/>
        <w:keepLines/>
        <w:widowControl w:val="0"/>
        <w:rPr>
          <w:bCs/>
          <w:szCs w:val="26"/>
        </w:rPr>
      </w:pPr>
    </w:p>
    <w:p w:rsidR="00032B4F" w:rsidRPr="00712178" w:rsidP="002702A3" w14:paraId="06E4D164" w14:textId="0ED6F2C3">
      <w:pPr>
        <w:keepNext/>
        <w:keepLines/>
        <w:widowControl w:val="0"/>
      </w:pPr>
      <w:r w:rsidRPr="00712178">
        <w:rPr>
          <w:bCs/>
          <w:szCs w:val="26"/>
        </w:rPr>
        <w:tab/>
      </w:r>
      <w:r w:rsidRPr="00712178">
        <w:rPr>
          <w:bCs/>
          <w:szCs w:val="26"/>
        </w:rPr>
        <w:tab/>
      </w:r>
      <w:r w:rsidRPr="00712178">
        <w:rPr>
          <w:bCs/>
          <w:szCs w:val="26"/>
        </w:rPr>
        <w:tab/>
      </w:r>
      <w:r w:rsidR="00BC18BF">
        <w:rPr>
          <w:bCs/>
          <w:szCs w:val="26"/>
        </w:rPr>
        <w:t>EDMON</w:t>
      </w:r>
      <w:r w:rsidRPr="00712178">
        <w:t>,</w:t>
      </w:r>
      <w:r w:rsidR="00556277">
        <w:t xml:space="preserve"> P.</w:t>
      </w:r>
      <w:r w:rsidRPr="00712178">
        <w:t xml:space="preserve"> J.</w:t>
      </w:r>
    </w:p>
    <w:p w:rsidR="00032B4F" w:rsidRPr="00712178" w:rsidP="00556277" w14:paraId="1341AEB7" w14:textId="77777777">
      <w:pPr>
        <w:keepNext/>
        <w:keepLines/>
        <w:widowControl w:val="0"/>
      </w:pPr>
    </w:p>
    <w:p w:rsidR="00032B4F" w:rsidRPr="00712178" w:rsidP="00556277" w14:paraId="59D85D99" w14:textId="77777777">
      <w:pPr>
        <w:keepNext/>
        <w:keepLines/>
        <w:widowControl w:val="0"/>
      </w:pPr>
    </w:p>
    <w:p w:rsidR="00032B4F" w:rsidRPr="00712178" w:rsidP="00556277" w14:paraId="72FF1C15" w14:textId="77777777">
      <w:pPr>
        <w:keepNext/>
        <w:keepLines/>
        <w:widowControl w:val="0"/>
      </w:pPr>
    </w:p>
    <w:p w:rsidR="00032B4F" w:rsidRPr="00712178" w:rsidP="00287A13" w14:paraId="3FE54611" w14:textId="77777777">
      <w:pPr>
        <w:pStyle w:val="FootnoteText"/>
      </w:pPr>
    </w:p>
    <w:p w:rsidR="0052118E" w:rsidP="00556277" w14:paraId="705BBD35" w14:textId="32DB2C94">
      <w:pPr>
        <w:keepNext/>
        <w:keepLines/>
        <w:widowControl w:val="0"/>
      </w:pPr>
      <w:r w:rsidRPr="00712178">
        <w:tab/>
      </w:r>
      <w:r w:rsidRPr="00712178">
        <w:tab/>
      </w:r>
      <w:r w:rsidRPr="00712178">
        <w:tab/>
      </w:r>
      <w:r w:rsidR="00646F26">
        <w:t>EGERTON</w:t>
      </w:r>
      <w:r w:rsidR="006930A0">
        <w:t>,</w:t>
      </w:r>
      <w:r w:rsidR="0034281F">
        <w:t xml:space="preserve"> </w:t>
      </w:r>
      <w:r w:rsidRPr="00712178">
        <w:t>J.</w:t>
      </w:r>
    </w:p>
    <w:sectPr w:rsidSect="009D26D6">
      <w:headerReference w:type="even" r:id="rId9"/>
      <w:headerReference w:type="default" r:id="rId10"/>
      <w:footerReference w:type="even" r:id="rId11"/>
      <w:footerReference w:type="default" r:id="rId12"/>
      <w:headerReference w:type="first" r:id="rId13"/>
      <w:footerReference w:type="first" r:id="rId14"/>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1DD0" w14:paraId="65E0D9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33930086"/>
      <w:docPartObj>
        <w:docPartGallery w:val="Page Numbers (Bottom of Page)"/>
        <w:docPartUnique/>
      </w:docPartObj>
    </w:sdtPr>
    <w:sdtEndPr>
      <w:rPr>
        <w:noProof/>
      </w:rPr>
    </w:sdtEndPr>
    <w:sdtContent>
      <w:p w:rsidR="00CA1A5E" w14:paraId="218D5C11" w14:textId="77777777">
        <w:pPr>
          <w:pStyle w:val="Footer"/>
          <w:jc w:val="center"/>
        </w:pPr>
        <w:r>
          <w:fldChar w:fldCharType="begin"/>
        </w:r>
        <w:r>
          <w:instrText xml:space="preserve"> PAGE   \* MERGEFORMAT </w:instrText>
        </w:r>
        <w:r>
          <w:fldChar w:fldCharType="separate"/>
        </w:r>
        <w:r w:rsidR="00C83707">
          <w:rPr>
            <w:noProof/>
          </w:rPr>
          <w:t>38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1A5E" w14:paraId="547F8A8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3239" w:rsidP="00032B4F" w14:paraId="04C0FCB1" w14:textId="77777777">
      <w:pPr>
        <w:spacing w:line="240" w:lineRule="auto"/>
      </w:pPr>
      <w:r>
        <w:separator/>
      </w:r>
    </w:p>
  </w:footnote>
  <w:footnote w:type="continuationSeparator" w:id="1">
    <w:p w:rsidR="00903239" w:rsidP="00032B4F" w14:paraId="05C285D6" w14:textId="77777777">
      <w:pPr>
        <w:spacing w:line="240" w:lineRule="auto"/>
      </w:pPr>
      <w:r>
        <w:continuationSeparator/>
      </w:r>
    </w:p>
  </w:footnote>
  <w:footnote w:type="continuationNotice" w:id="2">
    <w:p w:rsidR="00903239" w14:paraId="7EEF1814" w14:textId="77777777">
      <w:pPr>
        <w:spacing w:line="240" w:lineRule="auto"/>
      </w:pPr>
    </w:p>
  </w:footnote>
  <w:footnote w:id="3">
    <w:p w:rsidR="007A0534" w:rsidP="00287A13" w14:paraId="6316078F" w14:textId="0B71378D">
      <w:pPr>
        <w:pStyle w:val="FootnoteText"/>
      </w:pPr>
      <w:r>
        <w:rPr>
          <w:rStyle w:val="FootnoteReference"/>
        </w:rPr>
        <w:footnoteRef/>
      </w:r>
      <w:r>
        <w:t xml:space="preserve"> </w:t>
      </w:r>
      <w:r>
        <w:tab/>
      </w:r>
      <w:r w:rsidR="00333F81">
        <w:t xml:space="preserve">Consistent with the standard of review, we assume the truth of </w:t>
      </w:r>
      <w:r w:rsidR="00A52D77">
        <w:t>the</w:t>
      </w:r>
      <w:r w:rsidR="008E026A">
        <w:t xml:space="preserve"> properly pleaded</w:t>
      </w:r>
      <w:r w:rsidR="00A52D77">
        <w:t xml:space="preserve"> </w:t>
      </w:r>
      <w:r w:rsidR="00333F81">
        <w:t>allegations stated in Al Shikha’s complaint.</w:t>
      </w:r>
      <w:r w:rsidR="005B367D">
        <w:t xml:space="preserve">  (</w:t>
      </w:r>
      <w:r w:rsidRPr="00671710" w:rsidR="005B367D">
        <w:rPr>
          <w:i/>
          <w:iCs/>
        </w:rPr>
        <w:t xml:space="preserve">National Shooting Sports Foundation, Inc. v. State </w:t>
      </w:r>
      <w:r w:rsidR="00D00395">
        <w:rPr>
          <w:i/>
          <w:iCs/>
        </w:rPr>
        <w:t xml:space="preserve">of California </w:t>
      </w:r>
      <w:r w:rsidRPr="004860CA" w:rsidR="005B367D">
        <w:t>(2018) 5 Cal.5th 428, 432–433</w:t>
      </w:r>
      <w:r w:rsidR="005B367D">
        <w:t xml:space="preserve"> (</w:t>
      </w:r>
      <w:r w:rsidRPr="00671710" w:rsidR="005B367D">
        <w:rPr>
          <w:i/>
          <w:iCs/>
        </w:rPr>
        <w:t>National Shooting Sports</w:t>
      </w:r>
      <w:r w:rsidR="005B367D">
        <w:t>).)</w:t>
      </w:r>
    </w:p>
    <w:p w:rsidR="00B16A07" w:rsidP="00287A13" w14:paraId="67CDA938" w14:textId="77777777">
      <w:pPr>
        <w:pStyle w:val="FootnoteText"/>
      </w:pPr>
    </w:p>
  </w:footnote>
  <w:footnote w:id="4">
    <w:p w:rsidR="00034710" w:rsidP="00287A13" w14:paraId="131F30E4" w14:textId="0F155B40">
      <w:pPr>
        <w:pStyle w:val="FootnoteText"/>
      </w:pPr>
      <w:r>
        <w:rPr>
          <w:rStyle w:val="FootnoteReference"/>
        </w:rPr>
        <w:footnoteRef/>
      </w:r>
      <w:r>
        <w:t xml:space="preserve"> </w:t>
      </w:r>
      <w:r>
        <w:tab/>
      </w:r>
      <w:r w:rsidR="00BE2370">
        <w:rPr>
          <w:bCs/>
        </w:rPr>
        <w:t xml:space="preserve">Al Shikha voluntarily dismissed the third cause of action. </w:t>
      </w:r>
      <w:r w:rsidR="00CD0EDD">
        <w:rPr>
          <w:bCs/>
        </w:rPr>
        <w:t xml:space="preserve"> </w:t>
      </w:r>
      <w:r>
        <w:t xml:space="preserve">The complaint </w:t>
      </w:r>
      <w:r w:rsidR="00BE2370">
        <w:t xml:space="preserve">also </w:t>
      </w:r>
      <w:r w:rsidR="00D16B6C">
        <w:t>includes</w:t>
      </w:r>
      <w:r>
        <w:t xml:space="preserve"> a fourth cause of action for battery against Alvarez, who is not a party to this appeal.</w:t>
      </w:r>
    </w:p>
  </w:footnote>
  <w:footnote w:id="5">
    <w:p w:rsidR="000B119A" w:rsidRPr="002E48F3" w:rsidP="005A776B" w14:paraId="3959A942" w14:textId="78AC4621">
      <w:pPr>
        <w:pStyle w:val="Heading21"/>
        <w:spacing w:before="0" w:after="0" w:line="240" w:lineRule="auto"/>
        <w:ind w:left="0" w:firstLine="0"/>
        <w:contextualSpacing/>
        <w:rPr>
          <w:b w:val="0"/>
          <w:bCs/>
        </w:rPr>
      </w:pPr>
      <w:r w:rsidRPr="005A776B">
        <w:rPr>
          <w:rStyle w:val="FootnoteReference"/>
          <w:b/>
          <w:bCs/>
        </w:rPr>
        <w:footnoteRef/>
      </w:r>
      <w:r w:rsidRPr="005A776B">
        <w:rPr>
          <w:b w:val="0"/>
          <w:bCs/>
        </w:rPr>
        <w:t xml:space="preserve"> </w:t>
      </w:r>
      <w:r>
        <w:tab/>
      </w:r>
      <w:r>
        <w:rPr>
          <w:b w:val="0"/>
          <w:bCs/>
        </w:rPr>
        <w:t xml:space="preserve">Al Shikha argues the special relationship is based on employment. </w:t>
      </w:r>
      <w:r w:rsidR="001A71C7">
        <w:rPr>
          <w:b w:val="0"/>
          <w:bCs/>
        </w:rPr>
        <w:t xml:space="preserve"> </w:t>
      </w:r>
      <w:r>
        <w:rPr>
          <w:b w:val="0"/>
          <w:bCs/>
        </w:rPr>
        <w:t xml:space="preserve">Lyft does not concede Al Shikha was or is an </w:t>
      </w:r>
      <w:r w:rsidR="00E826D6">
        <w:rPr>
          <w:b w:val="0"/>
          <w:bCs/>
        </w:rPr>
        <w:t>employee</w:t>
      </w:r>
      <w:r w:rsidR="006C544C">
        <w:rPr>
          <w:b w:val="0"/>
          <w:bCs/>
        </w:rPr>
        <w:t>,</w:t>
      </w:r>
      <w:r w:rsidR="00E826D6">
        <w:rPr>
          <w:b w:val="0"/>
          <w:bCs/>
        </w:rPr>
        <w:t xml:space="preserve"> but</w:t>
      </w:r>
      <w:r w:rsidR="00D36AC9">
        <w:rPr>
          <w:b w:val="0"/>
          <w:bCs/>
        </w:rPr>
        <w:t xml:space="preserve"> acknowledges</w:t>
      </w:r>
      <w:r>
        <w:rPr>
          <w:b w:val="0"/>
          <w:bCs/>
        </w:rPr>
        <w:t xml:space="preserve"> a special relationship may arise from an independent contractor or other type of</w:t>
      </w:r>
      <w:r w:rsidR="004F73DE">
        <w:rPr>
          <w:b w:val="0"/>
          <w:bCs/>
        </w:rPr>
        <w:t xml:space="preserve"> </w:t>
      </w:r>
      <w:r>
        <w:rPr>
          <w:b w:val="0"/>
          <w:bCs/>
        </w:rPr>
        <w:t xml:space="preserve">relationship.  Because of Lyft’s concession, we need not </w:t>
      </w:r>
      <w:r w:rsidR="00D36AC9">
        <w:rPr>
          <w:b w:val="0"/>
          <w:bCs/>
        </w:rPr>
        <w:t>address whether Al Shikha was L</w:t>
      </w:r>
      <w:r w:rsidR="006F17D8">
        <w:rPr>
          <w:b w:val="0"/>
          <w:bCs/>
        </w:rPr>
        <w:t>y</w:t>
      </w:r>
      <w:r w:rsidR="00D36AC9">
        <w:rPr>
          <w:b w:val="0"/>
          <w:bCs/>
        </w:rPr>
        <w:t>ft</w:t>
      </w:r>
      <w:r w:rsidR="00224F57">
        <w:rPr>
          <w:b w:val="0"/>
          <w:bCs/>
        </w:rPr>
        <w:t>’s</w:t>
      </w:r>
      <w:r w:rsidR="00D36AC9">
        <w:rPr>
          <w:b w:val="0"/>
          <w:bCs/>
        </w:rPr>
        <w:t xml:space="preserve"> </w:t>
      </w:r>
      <w:r w:rsidR="00647422">
        <w:rPr>
          <w:b w:val="0"/>
          <w:bCs/>
        </w:rPr>
        <w:t xml:space="preserve">employee </w:t>
      </w:r>
      <w:r w:rsidR="00D36AC9">
        <w:rPr>
          <w:b w:val="0"/>
          <w:bCs/>
        </w:rPr>
        <w:t xml:space="preserve">at the time of the </w:t>
      </w:r>
      <w:r w:rsidR="003F3DE1">
        <w:rPr>
          <w:b w:val="0"/>
          <w:bCs/>
        </w:rPr>
        <w:t>incident</w:t>
      </w:r>
      <w:r>
        <w:rPr>
          <w:b w:val="0"/>
          <w:bCs/>
        </w:rPr>
        <w:t>.</w:t>
      </w:r>
    </w:p>
  </w:footnote>
  <w:footnote w:id="6">
    <w:p w:rsidR="0069566D" w:rsidP="00287A13" w14:paraId="4146F117" w14:textId="579F61F5">
      <w:pPr>
        <w:pStyle w:val="FootnoteText"/>
      </w:pPr>
      <w:r>
        <w:rPr>
          <w:rStyle w:val="FootnoteReference"/>
        </w:rPr>
        <w:footnoteRef/>
      </w:r>
      <w:r>
        <w:t xml:space="preserve"> </w:t>
      </w:r>
      <w:r w:rsidR="003F52EF">
        <w:tab/>
      </w:r>
      <w:r>
        <w:t xml:space="preserve">Further, to the extent Al Shikha suggests Lyft should exclude or warn of passengers with any type of criminal history, the </w:t>
      </w:r>
      <w:r w:rsidR="003E116A">
        <w:t>measure would be extremely overinclusive</w:t>
      </w:r>
      <w:r w:rsidR="001F06F0">
        <w:t xml:space="preserve">.  This </w:t>
      </w:r>
      <w:r w:rsidR="003E116A">
        <w:t>would create a different</w:t>
      </w:r>
      <w:r w:rsidR="001F06F0">
        <w:t xml:space="preserve"> </w:t>
      </w:r>
      <w:r w:rsidR="007A5737">
        <w:t>heavy</w:t>
      </w:r>
      <w:r w:rsidR="003E116A">
        <w:t xml:space="preserve"> burden</w:t>
      </w:r>
      <w:r w:rsidR="00A5507E">
        <w:t xml:space="preserve"> in that </w:t>
      </w:r>
      <w:r w:rsidR="003E116A">
        <w:t>a significant number of passengers</w:t>
      </w:r>
      <w:r w:rsidR="00A5507E">
        <w:t xml:space="preserve"> would be </w:t>
      </w:r>
      <w:r w:rsidR="007269A0">
        <w:t xml:space="preserve">subject to exclusion </w:t>
      </w:r>
      <w:r w:rsidR="00A5507E">
        <w:t xml:space="preserve">from using </w:t>
      </w:r>
      <w:r w:rsidR="00940CC7">
        <w:t xml:space="preserve">the </w:t>
      </w:r>
      <w:r w:rsidR="00A5507E">
        <w:t>rideshare service</w:t>
      </w:r>
      <w:r w:rsidR="00940CC7">
        <w:t>,</w:t>
      </w:r>
      <w:r w:rsidR="003E116A">
        <w:t xml:space="preserve"> no matter how </w:t>
      </w:r>
      <w:r w:rsidR="00444417">
        <w:t>unrelated</w:t>
      </w:r>
      <w:r w:rsidR="003E116A">
        <w:t xml:space="preserve"> their criminal histories </w:t>
      </w:r>
      <w:r w:rsidR="007A5737">
        <w:t>a</w:t>
      </w:r>
      <w:r w:rsidR="003E116A">
        <w:t xml:space="preserve">re to a predisposition to </w:t>
      </w:r>
      <w:r w:rsidR="00493E30">
        <w:t>commit violent attacks on a driver</w:t>
      </w:r>
      <w:r w:rsidR="00D216F9">
        <w:t xml:space="preserve">.  Even if </w:t>
      </w:r>
      <w:r w:rsidRPr="00B74B86" w:rsidR="00824E6E">
        <w:t>the</w:t>
      </w:r>
      <w:r w:rsidR="00824E6E">
        <w:t xml:space="preserve"> obligation were limited to excluding or warning about passengers with </w:t>
      </w:r>
      <w:r w:rsidR="007A5737">
        <w:t>prior convictions</w:t>
      </w:r>
      <w:r w:rsidR="00824E6E">
        <w:t xml:space="preserve"> that would prohibit them from driving on a rideshare platform, the list of </w:t>
      </w:r>
      <w:r w:rsidR="00BF69D4">
        <w:t xml:space="preserve">disqualifying </w:t>
      </w:r>
      <w:r w:rsidR="00824E6E">
        <w:t xml:space="preserve">convictions includes numerous offenses that would appear to have no </w:t>
      </w:r>
      <w:r w:rsidR="00021937">
        <w:t>predictive value in determining whether</w:t>
      </w:r>
      <w:r w:rsidR="00824E6E">
        <w:t xml:space="preserve"> a passenger </w:t>
      </w:r>
      <w:r w:rsidR="00021937">
        <w:t>is likely to</w:t>
      </w:r>
      <w:r w:rsidR="00824E6E">
        <w:t xml:space="preserve"> perpetrate violence on a driver.  (</w:t>
      </w:r>
      <w:r w:rsidR="00BF69D4">
        <w:t>See</w:t>
      </w:r>
      <w:r w:rsidR="00143C99">
        <w:t>,</w:t>
      </w:r>
      <w:r w:rsidR="00BF69D4">
        <w:t xml:space="preserve"> e.g., </w:t>
      </w:r>
      <w:r w:rsidR="008B2A0B">
        <w:t>Pub. Util. Code</w:t>
      </w:r>
      <w:r w:rsidR="00690256">
        <w:t>,</w:t>
      </w:r>
      <w:r w:rsidR="00460C01">
        <w:t xml:space="preserve"> § 5445.2, subd.</w:t>
      </w:r>
      <w:r w:rsidR="00632084">
        <w:t> </w:t>
      </w:r>
      <w:r w:rsidR="00DA3150">
        <w:t>(a)(3)(C),</w:t>
      </w:r>
      <w:r w:rsidR="002D5E7E">
        <w:t xml:space="preserve"> </w:t>
      </w:r>
      <w:r w:rsidR="00DA3150">
        <w:t>(D)</w:t>
      </w:r>
      <w:r w:rsidR="00BF69D4">
        <w:t xml:space="preserve"> [</w:t>
      </w:r>
      <w:r w:rsidR="00266634">
        <w:t>driving under the influence</w:t>
      </w:r>
      <w:r w:rsidR="0003053B">
        <w:t xml:space="preserve">; </w:t>
      </w:r>
      <w:r w:rsidR="00592DC3">
        <w:t xml:space="preserve">giving or offering a bribe to an executive officer (Pen. Code, § 67); </w:t>
      </w:r>
      <w:r w:rsidR="005127B1">
        <w:t>false personation (Pen. Code, § 530</w:t>
      </w:r>
      <w:r w:rsidR="002D5E7E">
        <w:t>)</w:t>
      </w:r>
      <w:r w:rsidR="00250472">
        <w:t>]</w:t>
      </w:r>
      <w:r w:rsidR="00DA3150">
        <w:t>.)</w:t>
      </w:r>
    </w:p>
  </w:footnote>
  <w:footnote w:id="7">
    <w:p w:rsidR="004337A4" w:rsidP="00287A13" w14:paraId="568D00EF" w14:textId="6E121450">
      <w:pPr>
        <w:pStyle w:val="FootnoteText"/>
      </w:pPr>
      <w:r>
        <w:rPr>
          <w:rStyle w:val="FootnoteReference"/>
        </w:rPr>
        <w:footnoteRef/>
      </w:r>
      <w:r>
        <w:t xml:space="preserve"> </w:t>
      </w:r>
      <w:r w:rsidR="003F52EF">
        <w:tab/>
      </w:r>
      <w:r>
        <w:t xml:space="preserve">We do not suggest that using a rideshare service is equal in importance to obtaining employment or housing.  However, the public policies underlying recent laws and ordinances aimed at restricting the use of criminal background checks are relevant as they appear to reflect a growing </w:t>
      </w:r>
      <w:r w:rsidR="000E5008">
        <w:t>concern about</w:t>
      </w:r>
      <w:r>
        <w:t xml:space="preserve"> the undesirable effects of excluding individuals from participating in aspects of society based on criminal history alone.</w:t>
      </w:r>
    </w:p>
    <w:p w:rsidR="000174F7" w:rsidP="00287A13" w14:paraId="1BA09132" w14:textId="77777777">
      <w:pPr>
        <w:pStyle w:val="FootnoteText"/>
      </w:pPr>
    </w:p>
  </w:footnote>
  <w:footnote w:id="8">
    <w:p w:rsidR="00544A13" w:rsidP="00287A13" w14:paraId="45CF02A9" w14:textId="12F73508">
      <w:pPr>
        <w:pStyle w:val="FootnoteText"/>
      </w:pPr>
      <w:r>
        <w:rPr>
          <w:rStyle w:val="FootnoteReference"/>
        </w:rPr>
        <w:footnoteRef/>
      </w:r>
      <w:r>
        <w:t xml:space="preserve"> </w:t>
      </w:r>
      <w:r>
        <w:tab/>
        <w:t xml:space="preserve">Although </w:t>
      </w:r>
      <w:r w:rsidR="005569E2">
        <w:t>ICRAA does not use the term “criminal background check</w:t>
      </w:r>
      <w:r>
        <w:t>,</w:t>
      </w:r>
      <w:r w:rsidR="005569E2">
        <w:t>”</w:t>
      </w:r>
      <w:r>
        <w:t xml:space="preserve"> the parties and the trial court appeared to assume </w:t>
      </w:r>
      <w:r w:rsidR="005569E2">
        <w:t xml:space="preserve">the </w:t>
      </w:r>
      <w:r w:rsidR="000A409F">
        <w:t xml:space="preserve">background </w:t>
      </w:r>
      <w:r>
        <w:t xml:space="preserve">checks Al </w:t>
      </w:r>
      <w:r w:rsidR="00912858">
        <w:t>Shikha</w:t>
      </w:r>
      <w:r>
        <w:t xml:space="preserve"> proposed would constitute “investigative consumer reports.”  We have no reason to question this assumption.  (See </w:t>
      </w:r>
      <w:r>
        <w:rPr>
          <w:i/>
          <w:iCs/>
        </w:rPr>
        <w:t xml:space="preserve">Kemp v. Superior Court </w:t>
      </w:r>
      <w:r>
        <w:t xml:space="preserve">(2022) 86 Cal.App.5th 981, 992 [a conviction touches on </w:t>
      </w:r>
      <w:r w:rsidR="00ED00ED">
        <w:t xml:space="preserve">a </w:t>
      </w:r>
      <w:r>
        <w:t>person’s character and credit worthiness and therefore is subject to regulation under ICRAA]</w:t>
      </w:r>
      <w:r w:rsidR="00ED00ED">
        <w:t xml:space="preserve">; </w:t>
      </w:r>
      <w:r w:rsidR="006126F7">
        <w:rPr>
          <w:bCs/>
        </w:rPr>
        <w:t>Pub</w:t>
      </w:r>
      <w:r w:rsidR="00ED00ED">
        <w:rPr>
          <w:bCs/>
        </w:rPr>
        <w:t>.</w:t>
      </w:r>
      <w:r w:rsidR="006126F7">
        <w:rPr>
          <w:bCs/>
        </w:rPr>
        <w:t xml:space="preserve"> Util</w:t>
      </w:r>
      <w:r w:rsidR="00ED00ED">
        <w:rPr>
          <w:bCs/>
        </w:rPr>
        <w:t>.</w:t>
      </w:r>
      <w:r w:rsidR="006126F7">
        <w:rPr>
          <w:bCs/>
        </w:rPr>
        <w:t xml:space="preserve"> Code</w:t>
      </w:r>
      <w:r w:rsidR="00ED00ED">
        <w:rPr>
          <w:bCs/>
        </w:rPr>
        <w:t xml:space="preserve">, </w:t>
      </w:r>
      <w:r w:rsidRPr="00ED00ED" w:rsidR="00ED00ED">
        <w:rPr>
          <w:bCs/>
        </w:rPr>
        <w:t>§</w:t>
      </w:r>
      <w:r w:rsidR="003B7FB2">
        <w:rPr>
          <w:bCs/>
        </w:rPr>
        <w:t> </w:t>
      </w:r>
      <w:r w:rsidR="006126F7">
        <w:rPr>
          <w:bCs/>
        </w:rPr>
        <w:t>5445.2</w:t>
      </w:r>
      <w:r w:rsidR="005972AD">
        <w:rPr>
          <w:bCs/>
        </w:rPr>
        <w:t>, subd. (c)</w:t>
      </w:r>
      <w:r w:rsidR="00827E03">
        <w:rPr>
          <w:bCs/>
        </w:rPr>
        <w:t>(1)</w:t>
      </w:r>
      <w:r w:rsidR="00ED00ED">
        <w:rPr>
          <w:bCs/>
        </w:rPr>
        <w:t xml:space="preserve"> [</w:t>
      </w:r>
      <w:r w:rsidR="00294408">
        <w:rPr>
          <w:bCs/>
        </w:rPr>
        <w:t xml:space="preserve">regarding </w:t>
      </w:r>
      <w:r>
        <w:rPr>
          <w:bCs/>
        </w:rPr>
        <w:t>criminal background chec</w:t>
      </w:r>
      <w:r w:rsidR="00ED00ED">
        <w:rPr>
          <w:bCs/>
        </w:rPr>
        <w:t>ks</w:t>
      </w:r>
      <w:r>
        <w:rPr>
          <w:bCs/>
        </w:rPr>
        <w:t xml:space="preserve"> for drivers</w:t>
      </w:r>
      <w:r w:rsidR="00ED00ED">
        <w:rPr>
          <w:bCs/>
        </w:rPr>
        <w:t xml:space="preserve">; </w:t>
      </w:r>
      <w:r>
        <w:rPr>
          <w:bCs/>
        </w:rPr>
        <w:t>an “investigative consumer report” may be furnished for a driver</w:t>
      </w:r>
      <w:r w:rsidR="00294408">
        <w:rPr>
          <w:bCs/>
        </w:rPr>
        <w:t>].</w:t>
      </w:r>
      <w:r w:rsidR="00D06E42">
        <w:rPr>
          <w:bCs/>
        </w:rPr>
        <w:t>)</w:t>
      </w:r>
    </w:p>
  </w:footnote>
  <w:footnote w:id="9">
    <w:p w:rsidR="00BB4E1F" w:rsidP="00287A13" w14:paraId="27C88A16" w14:textId="70C14E02">
      <w:pPr>
        <w:pStyle w:val="FootnoteText"/>
      </w:pPr>
      <w:r>
        <w:rPr>
          <w:rStyle w:val="FootnoteReference"/>
        </w:rPr>
        <w:footnoteRef/>
      </w:r>
      <w:r>
        <w:t xml:space="preserve"> </w:t>
      </w:r>
      <w:r w:rsidR="00B00A81">
        <w:tab/>
      </w:r>
      <w:r>
        <w:t xml:space="preserve">The court elaborated on these “negative effects”: </w:t>
      </w:r>
      <w:r w:rsidR="003B4B89">
        <w:t>“</w:t>
      </w:r>
      <w:r w:rsidRPr="00244DA6" w:rsidR="003B4B89">
        <w:t xml:space="preserve">Not only would such a warning have caused perhaps unnecessary anxiety for those warned but, more importantly, knowledge of </w:t>
      </w:r>
      <w:r w:rsidRPr="00244DA6" w:rsidR="00B00A81">
        <w:t>Larroque</w:t>
      </w:r>
      <w:r w:rsidR="00B00A81">
        <w:t>’</w:t>
      </w:r>
      <w:r w:rsidRPr="00244DA6" w:rsidR="00B00A81">
        <w:t xml:space="preserve">s </w:t>
      </w:r>
      <w:r w:rsidRPr="00244DA6" w:rsidR="003B4B89">
        <w:t xml:space="preserve">past by his co-workers might have prejudiced any chance he had to lead a normal life. </w:t>
      </w:r>
      <w:r w:rsidR="00895302">
        <w:t xml:space="preserve"> </w:t>
      </w:r>
      <w:r w:rsidRPr="00244DA6" w:rsidR="003B4B89">
        <w:t xml:space="preserve">Even if such a warning did not cause his fellow employees to ostracize Larroque, he would have been </w:t>
      </w:r>
      <w:r w:rsidR="00B67740">
        <w:t>‘</w:t>
      </w:r>
      <w:r w:rsidRPr="00244DA6" w:rsidR="003B4B89">
        <w:t>different</w:t>
      </w:r>
      <w:r w:rsidR="00B67740">
        <w:t>’</w:t>
      </w:r>
      <w:r w:rsidRPr="00244DA6" w:rsidR="003B4B89">
        <w:t xml:space="preserve"> and treated accordingly. </w:t>
      </w:r>
      <w:r w:rsidR="00895302">
        <w:t xml:space="preserve"> </w:t>
      </w:r>
      <w:r w:rsidRPr="00244DA6" w:rsidR="003B4B89">
        <w:t xml:space="preserve">There is a serious danger that a warning will become a self-fulfilling prophecy, stigmatizing the parolee and causing him to be reminded he is not normal. </w:t>
      </w:r>
      <w:r w:rsidR="00895302">
        <w:t xml:space="preserve"> </w:t>
      </w:r>
      <w:r w:rsidR="00B67740">
        <w:t>[Citation.]</w:t>
      </w:r>
      <w:r w:rsidRPr="00244DA6" w:rsidR="003B4B89">
        <w:t xml:space="preserve"> </w:t>
      </w:r>
      <w:r w:rsidR="00B67740">
        <w:t xml:space="preserve"> </w:t>
      </w:r>
      <w:r w:rsidRPr="00244DA6" w:rsidR="003B4B89">
        <w:t>We thus do not say that the decision to employ a parolee does not involve any risk but only that the benefits to be gained by warning of that risk do not outweigh the burdens thereby engendered.</w:t>
      </w:r>
      <w:r w:rsidR="00B67740">
        <w:t>”  (</w:t>
      </w:r>
      <w:r w:rsidRPr="00244DA6" w:rsidR="003B4B89">
        <w:rPr>
          <w:i/>
          <w:iCs/>
        </w:rPr>
        <w:t>Duffy</w:t>
      </w:r>
      <w:r w:rsidRPr="00895302" w:rsidR="00B67740">
        <w:t>,</w:t>
      </w:r>
      <w:r w:rsidR="00B67740">
        <w:rPr>
          <w:i/>
          <w:iCs/>
        </w:rPr>
        <w:t xml:space="preserve"> supra</w:t>
      </w:r>
      <w:r w:rsidRPr="00895302" w:rsidR="00B67740">
        <w:t>,</w:t>
      </w:r>
      <w:r w:rsidRPr="00895302" w:rsidR="003B4B89">
        <w:t xml:space="preserve"> </w:t>
      </w:r>
      <w:r w:rsidRPr="00244DA6" w:rsidR="003B4B89">
        <w:t xml:space="preserve">179 Cal.App.3d </w:t>
      </w:r>
      <w:r w:rsidR="00B67740">
        <w:t xml:space="preserve">at p. </w:t>
      </w:r>
      <w:r w:rsidRPr="00244DA6" w:rsidR="003B4B89">
        <w:t>674</w:t>
      </w:r>
      <w:r w:rsidR="00B67740">
        <w:t>.)</w:t>
      </w:r>
      <w:r w:rsidR="00F57F0E">
        <w:t xml:space="preserve">  Th</w:t>
      </w:r>
      <w:r w:rsidR="00DE7F07">
        <w:t>o</w:t>
      </w:r>
      <w:r w:rsidR="00F57F0E">
        <w:t>se burdens are also relevant here.</w:t>
      </w:r>
      <w:r w:rsidR="00472B6E">
        <w:t xml:space="preserve">  (See </w:t>
      </w:r>
      <w:r w:rsidR="00472B6E">
        <w:rPr>
          <w:i/>
          <w:iCs/>
        </w:rPr>
        <w:t>Tchakounte</w:t>
      </w:r>
      <w:r w:rsidRPr="00895302" w:rsidR="00472B6E">
        <w:t>,</w:t>
      </w:r>
      <w:r w:rsidR="00472B6E">
        <w:rPr>
          <w:i/>
          <w:iCs/>
        </w:rPr>
        <w:t xml:space="preserve"> supra</w:t>
      </w:r>
      <w:r w:rsidRPr="00895302" w:rsidR="00472B6E">
        <w:t>,</w:t>
      </w:r>
      <w:r w:rsidR="00472B6E">
        <w:t xml:space="preserve"> </w:t>
      </w:r>
      <w:r w:rsidR="005A68F0">
        <w:t>2022 WL</w:t>
      </w:r>
      <w:r w:rsidR="00CA4046">
        <w:t xml:space="preserve"> 326727, at p. *9 [duty to screen all </w:t>
      </w:r>
      <w:r w:rsidR="00D35D7E">
        <w:t xml:space="preserve">rideshare </w:t>
      </w:r>
      <w:r w:rsidR="00CA4046">
        <w:t xml:space="preserve">passengers would </w:t>
      </w:r>
      <w:r w:rsidR="00DD1CA0">
        <w:t>carry significant implications for formerly incarcerated people’s participation in society</w:t>
      </w:r>
      <w:r w:rsidR="00AC3E4E">
        <w:t>].)</w:t>
      </w:r>
    </w:p>
  </w:footnote>
  <w:footnote w:id="10">
    <w:p w:rsidR="002717F4" w:rsidRPr="006E5A9D" w:rsidP="00287A13" w14:paraId="3A9E0E06" w14:textId="4B857D1F">
      <w:pPr>
        <w:pStyle w:val="FootnoteText"/>
      </w:pPr>
      <w:r>
        <w:rPr>
          <w:rStyle w:val="FootnoteReference"/>
        </w:rPr>
        <w:footnoteRef/>
      </w:r>
      <w:r>
        <w:t xml:space="preserve"> </w:t>
      </w:r>
      <w:r w:rsidR="00631DDA">
        <w:tab/>
      </w:r>
      <w:r>
        <w:t xml:space="preserve">We note that the sliding-scale balancing test essentially considers both </w:t>
      </w:r>
      <w:r w:rsidR="0077132B">
        <w:t xml:space="preserve">(1) </w:t>
      </w:r>
      <w:r>
        <w:t xml:space="preserve">the </w:t>
      </w:r>
      <w:r>
        <w:rPr>
          <w:i/>
          <w:iCs/>
        </w:rPr>
        <w:t>Rowland</w:t>
      </w:r>
      <w:r>
        <w:t xml:space="preserve"> foreseeability factors and </w:t>
      </w:r>
      <w:r w:rsidR="0077132B">
        <w:t>(2)</w:t>
      </w:r>
      <w:r w:rsidR="00AF5B01">
        <w:t> </w:t>
      </w:r>
      <w:r>
        <w:t xml:space="preserve">the policy factors of preventing future harm and the extent of the burden to the defendant and consequences to the community of imposing a duty to exercise care with </w:t>
      </w:r>
      <w:r w:rsidR="00B100E4">
        <w:t>resulting liability for breach.</w:t>
      </w:r>
    </w:p>
  </w:footnote>
  <w:footnote w:id="11">
    <w:p w:rsidR="00050478" w:rsidRPr="00EF77C1" w:rsidP="00287A13" w14:paraId="55CAFB6F" w14:textId="0F9E1D5A">
      <w:pPr>
        <w:pStyle w:val="FootnoteText"/>
      </w:pPr>
      <w:r>
        <w:rPr>
          <w:rStyle w:val="FootnoteReference"/>
        </w:rPr>
        <w:footnoteRef/>
      </w:r>
      <w:r>
        <w:t xml:space="preserve"> </w:t>
      </w:r>
      <w:r w:rsidR="00993E63">
        <w:tab/>
      </w:r>
      <w:r>
        <w:t xml:space="preserve">Although the </w:t>
      </w:r>
      <w:r>
        <w:rPr>
          <w:i/>
          <w:iCs/>
        </w:rPr>
        <w:t>Doe</w:t>
      </w:r>
      <w:r>
        <w:t xml:space="preserve"> court applied the sliding-scale balancing test and found the </w:t>
      </w:r>
      <w:r w:rsidR="00B73349">
        <w:t xml:space="preserve">complaint </w:t>
      </w:r>
      <w:r>
        <w:t xml:space="preserve">did not establish heightened foreseeability, the court nonetheless concluded </w:t>
      </w:r>
      <w:r w:rsidR="00EF1747">
        <w:t>the</w:t>
      </w:r>
      <w:r w:rsidR="00EF77C1">
        <w:t xml:space="preserve"> sexual abuse of youth soccer players </w:t>
      </w:r>
      <w:r w:rsidR="00EF1747">
        <w:t xml:space="preserve">by coaches </w:t>
      </w:r>
      <w:r w:rsidR="00EF77C1">
        <w:t xml:space="preserve">was reasonably foreseeable.  The court therefore considered the other </w:t>
      </w:r>
      <w:r w:rsidR="00EF77C1">
        <w:rPr>
          <w:i/>
          <w:iCs/>
        </w:rPr>
        <w:t>Rowland</w:t>
      </w:r>
      <w:r w:rsidR="00EF77C1">
        <w:t xml:space="preserve"> factors.  The court also </w:t>
      </w:r>
      <w:r w:rsidR="00526231">
        <w:t>determin</w:t>
      </w:r>
      <w:r w:rsidR="00EF77C1">
        <w:t xml:space="preserve">ed </w:t>
      </w:r>
      <w:r w:rsidR="00526231">
        <w:t xml:space="preserve">that </w:t>
      </w:r>
      <w:r w:rsidR="00EF77C1">
        <w:t>conducting criminal background checks on youth soccer coaches would not be overly burdensome.  Other youth soccer organizations were already conducting such criminal background checks and, pursuant to Penal Code section</w:t>
      </w:r>
      <w:r w:rsidR="002702A3">
        <w:t> </w:t>
      </w:r>
      <w:r w:rsidR="00EF77C1">
        <w:t>11105.3, the defendant organizations could obtain criminal background checks in California for free.  (</w:t>
      </w:r>
      <w:r w:rsidR="00E1583A">
        <w:rPr>
          <w:i/>
          <w:iCs/>
        </w:rPr>
        <w:t>Doe</w:t>
      </w:r>
      <w:r w:rsidRPr="002702A3" w:rsidR="00EF77C1">
        <w:t>,</w:t>
      </w:r>
      <w:r w:rsidR="00EF77C1">
        <w:rPr>
          <w:i/>
          <w:iCs/>
        </w:rPr>
        <w:t xml:space="preserve"> supra</w:t>
      </w:r>
      <w:r w:rsidRPr="002702A3" w:rsidR="00EF77C1">
        <w:t>,</w:t>
      </w:r>
      <w:r w:rsidR="00EF77C1">
        <w:t xml:space="preserve"> 8 Cal.App.5th at p. 1136.)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1DD0" w14:paraId="261977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1DD0" w14:paraId="523DAAA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1DD0" w14:paraId="5FDA13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40267C24"/>
    <w:lvl w:ilvl="0">
      <w:start w:val="1"/>
      <w:numFmt w:val="decimal"/>
      <w:lvlText w:val="%1."/>
      <w:lvlJc w:val="left"/>
      <w:pPr>
        <w:tabs>
          <w:tab w:val="num" w:pos="1800"/>
        </w:tabs>
        <w:ind w:left="1800" w:hanging="360"/>
      </w:pPr>
    </w:lvl>
  </w:abstractNum>
  <w:abstractNum w:abstractNumId="1">
    <w:nsid w:val="FFFFFF7D"/>
    <w:multiLevelType w:val="singleLevel"/>
    <w:tmpl w:val="558AE88E"/>
    <w:lvl w:ilvl="0">
      <w:start w:val="1"/>
      <w:numFmt w:val="decimal"/>
      <w:lvlText w:val="%1."/>
      <w:lvlJc w:val="left"/>
      <w:pPr>
        <w:tabs>
          <w:tab w:val="num" w:pos="1440"/>
        </w:tabs>
        <w:ind w:left="1440" w:hanging="360"/>
      </w:pPr>
    </w:lvl>
  </w:abstractNum>
  <w:abstractNum w:abstractNumId="2">
    <w:nsid w:val="FFFFFF7E"/>
    <w:multiLevelType w:val="singleLevel"/>
    <w:tmpl w:val="C37C0440"/>
    <w:lvl w:ilvl="0">
      <w:start w:val="1"/>
      <w:numFmt w:val="decimal"/>
      <w:lvlText w:val="%1."/>
      <w:lvlJc w:val="left"/>
      <w:pPr>
        <w:tabs>
          <w:tab w:val="num" w:pos="1080"/>
        </w:tabs>
        <w:ind w:left="1080" w:hanging="360"/>
      </w:pPr>
    </w:lvl>
  </w:abstractNum>
  <w:abstractNum w:abstractNumId="3">
    <w:nsid w:val="FFFFFF7F"/>
    <w:multiLevelType w:val="singleLevel"/>
    <w:tmpl w:val="E8A83D0E"/>
    <w:lvl w:ilvl="0">
      <w:start w:val="1"/>
      <w:numFmt w:val="decimal"/>
      <w:lvlText w:val="%1."/>
      <w:lvlJc w:val="left"/>
      <w:pPr>
        <w:tabs>
          <w:tab w:val="num" w:pos="720"/>
        </w:tabs>
        <w:ind w:left="720" w:hanging="360"/>
      </w:pPr>
    </w:lvl>
  </w:abstractNum>
  <w:abstractNum w:abstractNumId="4">
    <w:nsid w:val="FFFFFF80"/>
    <w:multiLevelType w:val="singleLevel"/>
    <w:tmpl w:val="188ADB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2D5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8A2C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9AA5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58D856"/>
    <w:lvl w:ilvl="0">
      <w:start w:val="1"/>
      <w:numFmt w:val="decimal"/>
      <w:lvlText w:val="%1."/>
      <w:lvlJc w:val="left"/>
      <w:pPr>
        <w:tabs>
          <w:tab w:val="num" w:pos="360"/>
        </w:tabs>
        <w:ind w:left="360" w:hanging="360"/>
      </w:pPr>
    </w:lvl>
  </w:abstractNum>
  <w:abstractNum w:abstractNumId="9">
    <w:nsid w:val="FFFFFF89"/>
    <w:multiLevelType w:val="singleLevel"/>
    <w:tmpl w:val="2272D438"/>
    <w:lvl w:ilvl="0">
      <w:start w:val="1"/>
      <w:numFmt w:val="bullet"/>
      <w:lvlText w:val=""/>
      <w:lvlJc w:val="left"/>
      <w:pPr>
        <w:tabs>
          <w:tab w:val="num" w:pos="360"/>
        </w:tabs>
        <w:ind w:left="360" w:hanging="360"/>
      </w:pPr>
      <w:rPr>
        <w:rFonts w:ascii="Symbol" w:hAnsi="Symbol" w:hint="default"/>
      </w:rPr>
    </w:lvl>
  </w:abstractNum>
  <w:abstractNum w:abstractNumId="10">
    <w:nsid w:val="07520F26"/>
    <w:multiLevelType w:val="hybridMultilevel"/>
    <w:tmpl w:val="27741420"/>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1">
    <w:nsid w:val="0CC92914"/>
    <w:multiLevelType w:val="hybridMultilevel"/>
    <w:tmpl w:val="9C1AF7A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04E0820"/>
    <w:multiLevelType w:val="hybridMultilevel"/>
    <w:tmpl w:val="CDC23A7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2E73E70"/>
    <w:multiLevelType w:val="hybridMultilevel"/>
    <w:tmpl w:val="713C97F2"/>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27900662"/>
    <w:multiLevelType w:val="hybridMultilevel"/>
    <w:tmpl w:val="221281D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95264BB"/>
    <w:multiLevelType w:val="hybridMultilevel"/>
    <w:tmpl w:val="91E8DB5A"/>
    <w:lvl w:ilvl="0">
      <w:start w:val="1"/>
      <w:numFmt w:val="decimal"/>
      <w:lvlText w:val="%1."/>
      <w:lvlJc w:val="left"/>
      <w:pPr>
        <w:ind w:left="1120" w:hanging="360"/>
      </w:pPr>
      <w:rPr>
        <w:rFonts w:hint="default"/>
      </w:rPr>
    </w:lvl>
    <w:lvl w:ilvl="1" w:tentative="1">
      <w:start w:val="1"/>
      <w:numFmt w:val="lowerLetter"/>
      <w:lvlText w:val="%2."/>
      <w:lvlJc w:val="left"/>
      <w:pPr>
        <w:ind w:left="1840" w:hanging="360"/>
      </w:pPr>
    </w:lvl>
    <w:lvl w:ilvl="2" w:tentative="1">
      <w:start w:val="1"/>
      <w:numFmt w:val="lowerRoman"/>
      <w:lvlText w:val="%3."/>
      <w:lvlJc w:val="right"/>
      <w:pPr>
        <w:ind w:left="2560" w:hanging="180"/>
      </w:pPr>
    </w:lvl>
    <w:lvl w:ilvl="3" w:tentative="1">
      <w:start w:val="1"/>
      <w:numFmt w:val="decimal"/>
      <w:lvlText w:val="%4."/>
      <w:lvlJc w:val="left"/>
      <w:pPr>
        <w:ind w:left="3280" w:hanging="360"/>
      </w:pPr>
    </w:lvl>
    <w:lvl w:ilvl="4" w:tentative="1">
      <w:start w:val="1"/>
      <w:numFmt w:val="lowerLetter"/>
      <w:lvlText w:val="%5."/>
      <w:lvlJc w:val="left"/>
      <w:pPr>
        <w:ind w:left="4000" w:hanging="360"/>
      </w:pPr>
    </w:lvl>
    <w:lvl w:ilvl="5" w:tentative="1">
      <w:start w:val="1"/>
      <w:numFmt w:val="lowerRoman"/>
      <w:lvlText w:val="%6."/>
      <w:lvlJc w:val="right"/>
      <w:pPr>
        <w:ind w:left="4720" w:hanging="180"/>
      </w:pPr>
    </w:lvl>
    <w:lvl w:ilvl="6" w:tentative="1">
      <w:start w:val="1"/>
      <w:numFmt w:val="decimal"/>
      <w:lvlText w:val="%7."/>
      <w:lvlJc w:val="left"/>
      <w:pPr>
        <w:ind w:left="5440" w:hanging="360"/>
      </w:pPr>
    </w:lvl>
    <w:lvl w:ilvl="7" w:tentative="1">
      <w:start w:val="1"/>
      <w:numFmt w:val="lowerLetter"/>
      <w:lvlText w:val="%8."/>
      <w:lvlJc w:val="left"/>
      <w:pPr>
        <w:ind w:left="6160" w:hanging="360"/>
      </w:pPr>
    </w:lvl>
    <w:lvl w:ilvl="8" w:tentative="1">
      <w:start w:val="1"/>
      <w:numFmt w:val="lowerRoman"/>
      <w:lvlText w:val="%9."/>
      <w:lvlJc w:val="right"/>
      <w:pPr>
        <w:ind w:left="6880" w:hanging="180"/>
      </w:pPr>
    </w:lvl>
  </w:abstractNum>
  <w:abstractNum w:abstractNumId="16">
    <w:nsid w:val="33893F3F"/>
    <w:multiLevelType w:val="hybridMultilevel"/>
    <w:tmpl w:val="CF6AD62C"/>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2AB533D"/>
    <w:multiLevelType w:val="hybridMultilevel"/>
    <w:tmpl w:val="AC189B0A"/>
    <w:lvl w:ilvl="0">
      <w:start w:val="1"/>
      <w:numFmt w:val="upperRoman"/>
      <w:lvlText w:val="%1."/>
      <w:lvlJc w:val="left"/>
      <w:pPr>
        <w:ind w:left="1440" w:hanging="7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93F38E5"/>
    <w:multiLevelType w:val="hybridMultilevel"/>
    <w:tmpl w:val="C87A98DE"/>
    <w:lvl w:ilvl="0">
      <w:start w:val="1"/>
      <w:numFmt w:val="decimal"/>
      <w:lvlText w:val="%1."/>
      <w:lvlJc w:val="left"/>
      <w:pPr>
        <w:ind w:left="760" w:hanging="40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C0E0474"/>
    <w:multiLevelType w:val="hybridMultilevel"/>
    <w:tmpl w:val="A140ACF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2C231E9"/>
    <w:multiLevelType w:val="hybridMultilevel"/>
    <w:tmpl w:val="E5347A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B5B08AF"/>
    <w:multiLevelType w:val="hybridMultilevel"/>
    <w:tmpl w:val="A5566912"/>
    <w:lvl w:ilvl="0">
      <w:start w:val="1"/>
      <w:numFmt w:val="upperLetter"/>
      <w:lvlText w:val="%1."/>
      <w:lvlJc w:val="left"/>
      <w:pPr>
        <w:ind w:left="1800" w:hanging="360"/>
      </w:pPr>
      <w:rPr>
        <w:rFonts w:hint="default"/>
        <w:b/>
        <w:b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5DF12C3F"/>
    <w:multiLevelType w:val="hybridMultilevel"/>
    <w:tmpl w:val="709809B6"/>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6F6960E5"/>
    <w:multiLevelType w:val="hybridMultilevel"/>
    <w:tmpl w:val="709809B6"/>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735543CC"/>
    <w:multiLevelType w:val="hybridMultilevel"/>
    <w:tmpl w:val="49800C5C"/>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1"/>
  </w:num>
  <w:num w:numId="14">
    <w:abstractNumId w:val="12"/>
  </w:num>
  <w:num w:numId="15">
    <w:abstractNumId w:val="14"/>
  </w:num>
  <w:num w:numId="16">
    <w:abstractNumId w:val="21"/>
  </w:num>
  <w:num w:numId="17">
    <w:abstractNumId w:val="23"/>
  </w:num>
  <w:num w:numId="18">
    <w:abstractNumId w:val="22"/>
  </w:num>
  <w:num w:numId="19">
    <w:abstractNumId w:val="10"/>
  </w:num>
  <w:num w:numId="20">
    <w:abstractNumId w:val="20"/>
  </w:num>
  <w:num w:numId="21">
    <w:abstractNumId w:val="17"/>
  </w:num>
  <w:num w:numId="22">
    <w:abstractNumId w:val="19"/>
  </w:num>
  <w:num w:numId="23">
    <w:abstractNumId w:val="18"/>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B4F"/>
    <w:rsid w:val="00000850"/>
    <w:rsid w:val="000013B8"/>
    <w:rsid w:val="00001517"/>
    <w:rsid w:val="00002577"/>
    <w:rsid w:val="00002CF0"/>
    <w:rsid w:val="00003DC3"/>
    <w:rsid w:val="00003FA1"/>
    <w:rsid w:val="00004BD0"/>
    <w:rsid w:val="00004DC9"/>
    <w:rsid w:val="00004F1B"/>
    <w:rsid w:val="0000525E"/>
    <w:rsid w:val="00005504"/>
    <w:rsid w:val="00006754"/>
    <w:rsid w:val="00006A6F"/>
    <w:rsid w:val="00006E6D"/>
    <w:rsid w:val="000070C3"/>
    <w:rsid w:val="000073A4"/>
    <w:rsid w:val="00007F13"/>
    <w:rsid w:val="00010790"/>
    <w:rsid w:val="000109AE"/>
    <w:rsid w:val="00010BBA"/>
    <w:rsid w:val="000115E6"/>
    <w:rsid w:val="00011787"/>
    <w:rsid w:val="0001240D"/>
    <w:rsid w:val="00012C70"/>
    <w:rsid w:val="00012DE8"/>
    <w:rsid w:val="00013656"/>
    <w:rsid w:val="00013727"/>
    <w:rsid w:val="00013E67"/>
    <w:rsid w:val="0001418D"/>
    <w:rsid w:val="000145C4"/>
    <w:rsid w:val="00014C8F"/>
    <w:rsid w:val="00015822"/>
    <w:rsid w:val="00015D90"/>
    <w:rsid w:val="00016F33"/>
    <w:rsid w:val="00017383"/>
    <w:rsid w:val="000174F7"/>
    <w:rsid w:val="0001761E"/>
    <w:rsid w:val="000178AC"/>
    <w:rsid w:val="00017EDF"/>
    <w:rsid w:val="00020341"/>
    <w:rsid w:val="0002035C"/>
    <w:rsid w:val="00020686"/>
    <w:rsid w:val="0002097D"/>
    <w:rsid w:val="00020C5A"/>
    <w:rsid w:val="00020E04"/>
    <w:rsid w:val="00020F26"/>
    <w:rsid w:val="00021462"/>
    <w:rsid w:val="00021937"/>
    <w:rsid w:val="00022064"/>
    <w:rsid w:val="000229B6"/>
    <w:rsid w:val="00022BD5"/>
    <w:rsid w:val="000239A6"/>
    <w:rsid w:val="00023BEC"/>
    <w:rsid w:val="00024041"/>
    <w:rsid w:val="000242A3"/>
    <w:rsid w:val="0002471D"/>
    <w:rsid w:val="00025480"/>
    <w:rsid w:val="00026104"/>
    <w:rsid w:val="00026219"/>
    <w:rsid w:val="0002632D"/>
    <w:rsid w:val="00026A08"/>
    <w:rsid w:val="00026C0C"/>
    <w:rsid w:val="00026F9E"/>
    <w:rsid w:val="00027242"/>
    <w:rsid w:val="00027455"/>
    <w:rsid w:val="00027595"/>
    <w:rsid w:val="000278C5"/>
    <w:rsid w:val="00027BD1"/>
    <w:rsid w:val="00030225"/>
    <w:rsid w:val="0003053B"/>
    <w:rsid w:val="0003137F"/>
    <w:rsid w:val="0003165D"/>
    <w:rsid w:val="000322CE"/>
    <w:rsid w:val="00032515"/>
    <w:rsid w:val="00032689"/>
    <w:rsid w:val="00032B4F"/>
    <w:rsid w:val="00032C62"/>
    <w:rsid w:val="00032CDE"/>
    <w:rsid w:val="00033379"/>
    <w:rsid w:val="00033CDA"/>
    <w:rsid w:val="00034710"/>
    <w:rsid w:val="00034F0B"/>
    <w:rsid w:val="0003526A"/>
    <w:rsid w:val="000366CF"/>
    <w:rsid w:val="000369E0"/>
    <w:rsid w:val="00036B36"/>
    <w:rsid w:val="00036E8F"/>
    <w:rsid w:val="000371E0"/>
    <w:rsid w:val="000407EC"/>
    <w:rsid w:val="000409B6"/>
    <w:rsid w:val="00040B11"/>
    <w:rsid w:val="00041B89"/>
    <w:rsid w:val="0004204D"/>
    <w:rsid w:val="0004264B"/>
    <w:rsid w:val="0004367A"/>
    <w:rsid w:val="00043C67"/>
    <w:rsid w:val="00043DA9"/>
    <w:rsid w:val="00044B4C"/>
    <w:rsid w:val="00044D60"/>
    <w:rsid w:val="00045112"/>
    <w:rsid w:val="00045540"/>
    <w:rsid w:val="000456A7"/>
    <w:rsid w:val="00045B16"/>
    <w:rsid w:val="00045E47"/>
    <w:rsid w:val="00046062"/>
    <w:rsid w:val="00046A51"/>
    <w:rsid w:val="00046F4B"/>
    <w:rsid w:val="00050478"/>
    <w:rsid w:val="00050738"/>
    <w:rsid w:val="00050B0B"/>
    <w:rsid w:val="00050F16"/>
    <w:rsid w:val="000514ED"/>
    <w:rsid w:val="00051AE8"/>
    <w:rsid w:val="00051BF2"/>
    <w:rsid w:val="000530EE"/>
    <w:rsid w:val="000531AA"/>
    <w:rsid w:val="00053D72"/>
    <w:rsid w:val="00053ECC"/>
    <w:rsid w:val="0005408D"/>
    <w:rsid w:val="0005429B"/>
    <w:rsid w:val="000546A5"/>
    <w:rsid w:val="000546CD"/>
    <w:rsid w:val="00055B45"/>
    <w:rsid w:val="00055D5F"/>
    <w:rsid w:val="0005619B"/>
    <w:rsid w:val="0005636C"/>
    <w:rsid w:val="00057A02"/>
    <w:rsid w:val="00057AD1"/>
    <w:rsid w:val="00060603"/>
    <w:rsid w:val="00060BDB"/>
    <w:rsid w:val="00061A6F"/>
    <w:rsid w:val="00061B58"/>
    <w:rsid w:val="00062181"/>
    <w:rsid w:val="0006231B"/>
    <w:rsid w:val="00062741"/>
    <w:rsid w:val="00062AC3"/>
    <w:rsid w:val="00062EA8"/>
    <w:rsid w:val="00062F7F"/>
    <w:rsid w:val="000630F0"/>
    <w:rsid w:val="0006327E"/>
    <w:rsid w:val="000635B4"/>
    <w:rsid w:val="00063CF6"/>
    <w:rsid w:val="00063EEB"/>
    <w:rsid w:val="0006450D"/>
    <w:rsid w:val="0006486D"/>
    <w:rsid w:val="00064A3F"/>
    <w:rsid w:val="00064D41"/>
    <w:rsid w:val="000650E5"/>
    <w:rsid w:val="000650EF"/>
    <w:rsid w:val="0006636A"/>
    <w:rsid w:val="000668F1"/>
    <w:rsid w:val="000668FF"/>
    <w:rsid w:val="00066A5D"/>
    <w:rsid w:val="00066AC4"/>
    <w:rsid w:val="00067D19"/>
    <w:rsid w:val="00070007"/>
    <w:rsid w:val="0007073D"/>
    <w:rsid w:val="00070952"/>
    <w:rsid w:val="0007120A"/>
    <w:rsid w:val="000723CC"/>
    <w:rsid w:val="000724F8"/>
    <w:rsid w:val="00072831"/>
    <w:rsid w:val="00073094"/>
    <w:rsid w:val="0007315C"/>
    <w:rsid w:val="000743BF"/>
    <w:rsid w:val="00074649"/>
    <w:rsid w:val="000748DD"/>
    <w:rsid w:val="00074F35"/>
    <w:rsid w:val="000750FB"/>
    <w:rsid w:val="000752B9"/>
    <w:rsid w:val="00075719"/>
    <w:rsid w:val="00076178"/>
    <w:rsid w:val="000763D4"/>
    <w:rsid w:val="0007644D"/>
    <w:rsid w:val="00076691"/>
    <w:rsid w:val="000766AF"/>
    <w:rsid w:val="00076CFD"/>
    <w:rsid w:val="0007733A"/>
    <w:rsid w:val="000777B4"/>
    <w:rsid w:val="00077F05"/>
    <w:rsid w:val="00080288"/>
    <w:rsid w:val="000804E1"/>
    <w:rsid w:val="000811D4"/>
    <w:rsid w:val="00081A42"/>
    <w:rsid w:val="00081CF8"/>
    <w:rsid w:val="00082B1B"/>
    <w:rsid w:val="00082F8E"/>
    <w:rsid w:val="000830E0"/>
    <w:rsid w:val="00083493"/>
    <w:rsid w:val="000835A6"/>
    <w:rsid w:val="000835CB"/>
    <w:rsid w:val="00083758"/>
    <w:rsid w:val="00083AD3"/>
    <w:rsid w:val="00084CD7"/>
    <w:rsid w:val="0008549E"/>
    <w:rsid w:val="00085888"/>
    <w:rsid w:val="00085AFB"/>
    <w:rsid w:val="00086043"/>
    <w:rsid w:val="00086498"/>
    <w:rsid w:val="000869CD"/>
    <w:rsid w:val="000871A9"/>
    <w:rsid w:val="000877D5"/>
    <w:rsid w:val="00087B7D"/>
    <w:rsid w:val="00090926"/>
    <w:rsid w:val="00090BD6"/>
    <w:rsid w:val="00091610"/>
    <w:rsid w:val="00091E69"/>
    <w:rsid w:val="0009202D"/>
    <w:rsid w:val="0009224A"/>
    <w:rsid w:val="00092DD3"/>
    <w:rsid w:val="00093132"/>
    <w:rsid w:val="00093737"/>
    <w:rsid w:val="00093EB0"/>
    <w:rsid w:val="000946E5"/>
    <w:rsid w:val="00094892"/>
    <w:rsid w:val="00094A45"/>
    <w:rsid w:val="00094FE4"/>
    <w:rsid w:val="00095177"/>
    <w:rsid w:val="0009544F"/>
    <w:rsid w:val="00095D71"/>
    <w:rsid w:val="00096306"/>
    <w:rsid w:val="000972F1"/>
    <w:rsid w:val="0009738C"/>
    <w:rsid w:val="00097978"/>
    <w:rsid w:val="00097A0C"/>
    <w:rsid w:val="00097A23"/>
    <w:rsid w:val="000A0FF4"/>
    <w:rsid w:val="000A154A"/>
    <w:rsid w:val="000A1D97"/>
    <w:rsid w:val="000A22C7"/>
    <w:rsid w:val="000A24ED"/>
    <w:rsid w:val="000A2D60"/>
    <w:rsid w:val="000A2DBC"/>
    <w:rsid w:val="000A34F6"/>
    <w:rsid w:val="000A3FF1"/>
    <w:rsid w:val="000A409F"/>
    <w:rsid w:val="000A4590"/>
    <w:rsid w:val="000A497E"/>
    <w:rsid w:val="000A5352"/>
    <w:rsid w:val="000A593D"/>
    <w:rsid w:val="000A5ADC"/>
    <w:rsid w:val="000A5EFD"/>
    <w:rsid w:val="000A6E19"/>
    <w:rsid w:val="000A705D"/>
    <w:rsid w:val="000A7361"/>
    <w:rsid w:val="000A752B"/>
    <w:rsid w:val="000B0DFB"/>
    <w:rsid w:val="000B119A"/>
    <w:rsid w:val="000B157D"/>
    <w:rsid w:val="000B1C8A"/>
    <w:rsid w:val="000B2615"/>
    <w:rsid w:val="000B2B36"/>
    <w:rsid w:val="000B2FA5"/>
    <w:rsid w:val="000B33B9"/>
    <w:rsid w:val="000B3657"/>
    <w:rsid w:val="000B3819"/>
    <w:rsid w:val="000B38AB"/>
    <w:rsid w:val="000B3C8E"/>
    <w:rsid w:val="000B3E53"/>
    <w:rsid w:val="000B4690"/>
    <w:rsid w:val="000B4734"/>
    <w:rsid w:val="000B48F9"/>
    <w:rsid w:val="000B5263"/>
    <w:rsid w:val="000B570B"/>
    <w:rsid w:val="000B5832"/>
    <w:rsid w:val="000B5A5A"/>
    <w:rsid w:val="000B61E7"/>
    <w:rsid w:val="000B6317"/>
    <w:rsid w:val="000B63D7"/>
    <w:rsid w:val="000B68E1"/>
    <w:rsid w:val="000B6B05"/>
    <w:rsid w:val="000B705B"/>
    <w:rsid w:val="000B732C"/>
    <w:rsid w:val="000B74D6"/>
    <w:rsid w:val="000B7BC6"/>
    <w:rsid w:val="000C007E"/>
    <w:rsid w:val="000C01D9"/>
    <w:rsid w:val="000C0D02"/>
    <w:rsid w:val="000C1746"/>
    <w:rsid w:val="000C1801"/>
    <w:rsid w:val="000C197A"/>
    <w:rsid w:val="000C1ACF"/>
    <w:rsid w:val="000C1D3E"/>
    <w:rsid w:val="000C3108"/>
    <w:rsid w:val="000C34F9"/>
    <w:rsid w:val="000C3AB0"/>
    <w:rsid w:val="000C3C34"/>
    <w:rsid w:val="000C3D2C"/>
    <w:rsid w:val="000C450F"/>
    <w:rsid w:val="000C4751"/>
    <w:rsid w:val="000C479E"/>
    <w:rsid w:val="000C5242"/>
    <w:rsid w:val="000C5875"/>
    <w:rsid w:val="000C58CD"/>
    <w:rsid w:val="000C604D"/>
    <w:rsid w:val="000C617E"/>
    <w:rsid w:val="000C6661"/>
    <w:rsid w:val="000C6B4D"/>
    <w:rsid w:val="000C7048"/>
    <w:rsid w:val="000C7255"/>
    <w:rsid w:val="000C7A49"/>
    <w:rsid w:val="000C7D7E"/>
    <w:rsid w:val="000D013E"/>
    <w:rsid w:val="000D0290"/>
    <w:rsid w:val="000D0F63"/>
    <w:rsid w:val="000D1517"/>
    <w:rsid w:val="000D2630"/>
    <w:rsid w:val="000D27D2"/>
    <w:rsid w:val="000D29EF"/>
    <w:rsid w:val="000D2AF6"/>
    <w:rsid w:val="000D2E47"/>
    <w:rsid w:val="000D31DE"/>
    <w:rsid w:val="000D369F"/>
    <w:rsid w:val="000D386D"/>
    <w:rsid w:val="000D3CD4"/>
    <w:rsid w:val="000D4A9A"/>
    <w:rsid w:val="000D5060"/>
    <w:rsid w:val="000D647D"/>
    <w:rsid w:val="000D6597"/>
    <w:rsid w:val="000D6A67"/>
    <w:rsid w:val="000D75A6"/>
    <w:rsid w:val="000D75DD"/>
    <w:rsid w:val="000E078A"/>
    <w:rsid w:val="000E15F2"/>
    <w:rsid w:val="000E240A"/>
    <w:rsid w:val="000E2F5B"/>
    <w:rsid w:val="000E340B"/>
    <w:rsid w:val="000E3527"/>
    <w:rsid w:val="000E3762"/>
    <w:rsid w:val="000E3A12"/>
    <w:rsid w:val="000E3BF7"/>
    <w:rsid w:val="000E3DAB"/>
    <w:rsid w:val="000E3F56"/>
    <w:rsid w:val="000E3FC6"/>
    <w:rsid w:val="000E4D54"/>
    <w:rsid w:val="000E5008"/>
    <w:rsid w:val="000E5684"/>
    <w:rsid w:val="000E569D"/>
    <w:rsid w:val="000E56FA"/>
    <w:rsid w:val="000E5714"/>
    <w:rsid w:val="000E5BE6"/>
    <w:rsid w:val="000E5C12"/>
    <w:rsid w:val="000E60E4"/>
    <w:rsid w:val="000E6293"/>
    <w:rsid w:val="000E63E0"/>
    <w:rsid w:val="000E6CFC"/>
    <w:rsid w:val="000E7DE0"/>
    <w:rsid w:val="000F0E51"/>
    <w:rsid w:val="000F11C5"/>
    <w:rsid w:val="000F1A45"/>
    <w:rsid w:val="000F1B57"/>
    <w:rsid w:val="000F1D21"/>
    <w:rsid w:val="000F1FC9"/>
    <w:rsid w:val="000F26E7"/>
    <w:rsid w:val="000F2794"/>
    <w:rsid w:val="000F27D0"/>
    <w:rsid w:val="000F3E68"/>
    <w:rsid w:val="000F4E40"/>
    <w:rsid w:val="000F4F54"/>
    <w:rsid w:val="000F52A7"/>
    <w:rsid w:val="000F67FC"/>
    <w:rsid w:val="000F6975"/>
    <w:rsid w:val="000F6AFA"/>
    <w:rsid w:val="000F703C"/>
    <w:rsid w:val="000F7B60"/>
    <w:rsid w:val="000F7D41"/>
    <w:rsid w:val="00100035"/>
    <w:rsid w:val="001002FC"/>
    <w:rsid w:val="0010063C"/>
    <w:rsid w:val="00100673"/>
    <w:rsid w:val="00100BF9"/>
    <w:rsid w:val="00100D85"/>
    <w:rsid w:val="00100FD3"/>
    <w:rsid w:val="00101177"/>
    <w:rsid w:val="0010132B"/>
    <w:rsid w:val="00101810"/>
    <w:rsid w:val="001019EF"/>
    <w:rsid w:val="00101E40"/>
    <w:rsid w:val="001024FA"/>
    <w:rsid w:val="00102610"/>
    <w:rsid w:val="001026DB"/>
    <w:rsid w:val="00102792"/>
    <w:rsid w:val="00102EF7"/>
    <w:rsid w:val="00103161"/>
    <w:rsid w:val="001033D2"/>
    <w:rsid w:val="001038B6"/>
    <w:rsid w:val="001038F8"/>
    <w:rsid w:val="00103B19"/>
    <w:rsid w:val="00103BDC"/>
    <w:rsid w:val="00105235"/>
    <w:rsid w:val="001059C7"/>
    <w:rsid w:val="00105BE4"/>
    <w:rsid w:val="001060EE"/>
    <w:rsid w:val="0010620A"/>
    <w:rsid w:val="00106740"/>
    <w:rsid w:val="00110EFF"/>
    <w:rsid w:val="0011110D"/>
    <w:rsid w:val="00111250"/>
    <w:rsid w:val="0011305A"/>
    <w:rsid w:val="001131B4"/>
    <w:rsid w:val="001131FA"/>
    <w:rsid w:val="0011341B"/>
    <w:rsid w:val="00113832"/>
    <w:rsid w:val="00113B57"/>
    <w:rsid w:val="00113BE9"/>
    <w:rsid w:val="001140A1"/>
    <w:rsid w:val="00114401"/>
    <w:rsid w:val="0011441D"/>
    <w:rsid w:val="0011553C"/>
    <w:rsid w:val="00115C52"/>
    <w:rsid w:val="00116736"/>
    <w:rsid w:val="0011743E"/>
    <w:rsid w:val="00117BB0"/>
    <w:rsid w:val="00117D52"/>
    <w:rsid w:val="00120288"/>
    <w:rsid w:val="00120428"/>
    <w:rsid w:val="00121027"/>
    <w:rsid w:val="00121352"/>
    <w:rsid w:val="001218B4"/>
    <w:rsid w:val="00121FAE"/>
    <w:rsid w:val="00122908"/>
    <w:rsid w:val="0012414B"/>
    <w:rsid w:val="00124407"/>
    <w:rsid w:val="0012492D"/>
    <w:rsid w:val="00125900"/>
    <w:rsid w:val="00125F72"/>
    <w:rsid w:val="001260FB"/>
    <w:rsid w:val="00126402"/>
    <w:rsid w:val="00126461"/>
    <w:rsid w:val="0012653D"/>
    <w:rsid w:val="0012665F"/>
    <w:rsid w:val="00127DC7"/>
    <w:rsid w:val="0013006E"/>
    <w:rsid w:val="001303EA"/>
    <w:rsid w:val="0013044B"/>
    <w:rsid w:val="00130B35"/>
    <w:rsid w:val="00130CB4"/>
    <w:rsid w:val="00130D16"/>
    <w:rsid w:val="0013192F"/>
    <w:rsid w:val="00131BD2"/>
    <w:rsid w:val="00132301"/>
    <w:rsid w:val="00132E29"/>
    <w:rsid w:val="00133394"/>
    <w:rsid w:val="001333CB"/>
    <w:rsid w:val="00133476"/>
    <w:rsid w:val="001336FA"/>
    <w:rsid w:val="00134273"/>
    <w:rsid w:val="00134A63"/>
    <w:rsid w:val="00135076"/>
    <w:rsid w:val="001356BE"/>
    <w:rsid w:val="00135FD2"/>
    <w:rsid w:val="001365EB"/>
    <w:rsid w:val="00136CF0"/>
    <w:rsid w:val="00136D10"/>
    <w:rsid w:val="0013728C"/>
    <w:rsid w:val="00137572"/>
    <w:rsid w:val="00137A54"/>
    <w:rsid w:val="00137BEC"/>
    <w:rsid w:val="00137D2B"/>
    <w:rsid w:val="00137F89"/>
    <w:rsid w:val="00140448"/>
    <w:rsid w:val="0014084B"/>
    <w:rsid w:val="00140979"/>
    <w:rsid w:val="0014155E"/>
    <w:rsid w:val="0014178D"/>
    <w:rsid w:val="00141A96"/>
    <w:rsid w:val="001420DB"/>
    <w:rsid w:val="001427C2"/>
    <w:rsid w:val="001428D1"/>
    <w:rsid w:val="0014329D"/>
    <w:rsid w:val="001432F8"/>
    <w:rsid w:val="00143667"/>
    <w:rsid w:val="00143A79"/>
    <w:rsid w:val="00143BA8"/>
    <w:rsid w:val="00143C99"/>
    <w:rsid w:val="00143F3A"/>
    <w:rsid w:val="00144A77"/>
    <w:rsid w:val="00144B30"/>
    <w:rsid w:val="00144C2E"/>
    <w:rsid w:val="001453A3"/>
    <w:rsid w:val="001456E9"/>
    <w:rsid w:val="0014629A"/>
    <w:rsid w:val="001466C5"/>
    <w:rsid w:val="0015168C"/>
    <w:rsid w:val="00151C3D"/>
    <w:rsid w:val="00152645"/>
    <w:rsid w:val="00153CB3"/>
    <w:rsid w:val="00153EDB"/>
    <w:rsid w:val="00155B8B"/>
    <w:rsid w:val="00156504"/>
    <w:rsid w:val="00156C42"/>
    <w:rsid w:val="00156D4C"/>
    <w:rsid w:val="0015761F"/>
    <w:rsid w:val="00157D0B"/>
    <w:rsid w:val="00157E43"/>
    <w:rsid w:val="00157F86"/>
    <w:rsid w:val="001609C0"/>
    <w:rsid w:val="00160EA6"/>
    <w:rsid w:val="001616A9"/>
    <w:rsid w:val="001620BF"/>
    <w:rsid w:val="0016281A"/>
    <w:rsid w:val="00163601"/>
    <w:rsid w:val="00163894"/>
    <w:rsid w:val="00163B79"/>
    <w:rsid w:val="0016435F"/>
    <w:rsid w:val="00164F13"/>
    <w:rsid w:val="00165127"/>
    <w:rsid w:val="00165267"/>
    <w:rsid w:val="00165DD9"/>
    <w:rsid w:val="0016609F"/>
    <w:rsid w:val="00166D51"/>
    <w:rsid w:val="00166DB1"/>
    <w:rsid w:val="00167697"/>
    <w:rsid w:val="00167EDB"/>
    <w:rsid w:val="0017020A"/>
    <w:rsid w:val="001708C0"/>
    <w:rsid w:val="00171287"/>
    <w:rsid w:val="0017160E"/>
    <w:rsid w:val="001728F1"/>
    <w:rsid w:val="00172A81"/>
    <w:rsid w:val="0017310E"/>
    <w:rsid w:val="001734C2"/>
    <w:rsid w:val="001737A1"/>
    <w:rsid w:val="001738AF"/>
    <w:rsid w:val="00174825"/>
    <w:rsid w:val="00174A27"/>
    <w:rsid w:val="00174E00"/>
    <w:rsid w:val="0017544D"/>
    <w:rsid w:val="0017575F"/>
    <w:rsid w:val="0017628B"/>
    <w:rsid w:val="001762DC"/>
    <w:rsid w:val="00176544"/>
    <w:rsid w:val="0017681F"/>
    <w:rsid w:val="00176F8F"/>
    <w:rsid w:val="00177A72"/>
    <w:rsid w:val="00177E93"/>
    <w:rsid w:val="00177EB7"/>
    <w:rsid w:val="00180090"/>
    <w:rsid w:val="00180274"/>
    <w:rsid w:val="00180F84"/>
    <w:rsid w:val="001810FE"/>
    <w:rsid w:val="00181D98"/>
    <w:rsid w:val="00182082"/>
    <w:rsid w:val="001825BF"/>
    <w:rsid w:val="00182A9D"/>
    <w:rsid w:val="00182BA4"/>
    <w:rsid w:val="0018318D"/>
    <w:rsid w:val="0018350E"/>
    <w:rsid w:val="00183B03"/>
    <w:rsid w:val="00183FE7"/>
    <w:rsid w:val="00184479"/>
    <w:rsid w:val="00184523"/>
    <w:rsid w:val="0018454E"/>
    <w:rsid w:val="0018459D"/>
    <w:rsid w:val="00184646"/>
    <w:rsid w:val="00184AD1"/>
    <w:rsid w:val="00184B54"/>
    <w:rsid w:val="0018555F"/>
    <w:rsid w:val="001859C7"/>
    <w:rsid w:val="00185FA9"/>
    <w:rsid w:val="00186474"/>
    <w:rsid w:val="00186760"/>
    <w:rsid w:val="001867EF"/>
    <w:rsid w:val="0018754C"/>
    <w:rsid w:val="001878C6"/>
    <w:rsid w:val="00190BF3"/>
    <w:rsid w:val="00190DC0"/>
    <w:rsid w:val="00191571"/>
    <w:rsid w:val="00192423"/>
    <w:rsid w:val="00192BF4"/>
    <w:rsid w:val="00192DE3"/>
    <w:rsid w:val="00193003"/>
    <w:rsid w:val="0019324F"/>
    <w:rsid w:val="00193564"/>
    <w:rsid w:val="00193E21"/>
    <w:rsid w:val="001941D6"/>
    <w:rsid w:val="00194D14"/>
    <w:rsid w:val="001956E6"/>
    <w:rsid w:val="00195868"/>
    <w:rsid w:val="00196DDB"/>
    <w:rsid w:val="001972E2"/>
    <w:rsid w:val="001A081B"/>
    <w:rsid w:val="001A0B32"/>
    <w:rsid w:val="001A1B63"/>
    <w:rsid w:val="001A1EE2"/>
    <w:rsid w:val="001A2968"/>
    <w:rsid w:val="001A2B57"/>
    <w:rsid w:val="001A2C5A"/>
    <w:rsid w:val="001A33D5"/>
    <w:rsid w:val="001A3FD2"/>
    <w:rsid w:val="001A4E56"/>
    <w:rsid w:val="001A7185"/>
    <w:rsid w:val="001A7198"/>
    <w:rsid w:val="001A71C7"/>
    <w:rsid w:val="001B033F"/>
    <w:rsid w:val="001B112E"/>
    <w:rsid w:val="001B1530"/>
    <w:rsid w:val="001B153A"/>
    <w:rsid w:val="001B154E"/>
    <w:rsid w:val="001B1776"/>
    <w:rsid w:val="001B19AF"/>
    <w:rsid w:val="001B2298"/>
    <w:rsid w:val="001B22CE"/>
    <w:rsid w:val="001B2915"/>
    <w:rsid w:val="001B3DD0"/>
    <w:rsid w:val="001B3E9D"/>
    <w:rsid w:val="001B49EC"/>
    <w:rsid w:val="001B5C7B"/>
    <w:rsid w:val="001B5E74"/>
    <w:rsid w:val="001B5F15"/>
    <w:rsid w:val="001B697D"/>
    <w:rsid w:val="001B6D7B"/>
    <w:rsid w:val="001C0182"/>
    <w:rsid w:val="001C0277"/>
    <w:rsid w:val="001C0356"/>
    <w:rsid w:val="001C0773"/>
    <w:rsid w:val="001C0DE6"/>
    <w:rsid w:val="001C0F80"/>
    <w:rsid w:val="001C1A77"/>
    <w:rsid w:val="001C1B01"/>
    <w:rsid w:val="001C1B97"/>
    <w:rsid w:val="001C1F74"/>
    <w:rsid w:val="001C43D7"/>
    <w:rsid w:val="001C4D50"/>
    <w:rsid w:val="001C5694"/>
    <w:rsid w:val="001C56F1"/>
    <w:rsid w:val="001C637B"/>
    <w:rsid w:val="001C6DDC"/>
    <w:rsid w:val="001C7209"/>
    <w:rsid w:val="001C7659"/>
    <w:rsid w:val="001C7E63"/>
    <w:rsid w:val="001C7E7A"/>
    <w:rsid w:val="001D055C"/>
    <w:rsid w:val="001D05F0"/>
    <w:rsid w:val="001D08D3"/>
    <w:rsid w:val="001D139E"/>
    <w:rsid w:val="001D1762"/>
    <w:rsid w:val="001D1883"/>
    <w:rsid w:val="001D2474"/>
    <w:rsid w:val="001D2648"/>
    <w:rsid w:val="001D29E1"/>
    <w:rsid w:val="001D2A34"/>
    <w:rsid w:val="001D36FF"/>
    <w:rsid w:val="001D47DC"/>
    <w:rsid w:val="001D4CBB"/>
    <w:rsid w:val="001D4DB5"/>
    <w:rsid w:val="001D575F"/>
    <w:rsid w:val="001D58F5"/>
    <w:rsid w:val="001D62E2"/>
    <w:rsid w:val="001D65B5"/>
    <w:rsid w:val="001D6ABA"/>
    <w:rsid w:val="001D6E44"/>
    <w:rsid w:val="001D7ED7"/>
    <w:rsid w:val="001E0196"/>
    <w:rsid w:val="001E0198"/>
    <w:rsid w:val="001E0714"/>
    <w:rsid w:val="001E0D3A"/>
    <w:rsid w:val="001E0E94"/>
    <w:rsid w:val="001E1AF7"/>
    <w:rsid w:val="001E243C"/>
    <w:rsid w:val="001E24A1"/>
    <w:rsid w:val="001E2844"/>
    <w:rsid w:val="001E338E"/>
    <w:rsid w:val="001E3B8E"/>
    <w:rsid w:val="001E3C25"/>
    <w:rsid w:val="001E443B"/>
    <w:rsid w:val="001E4BC6"/>
    <w:rsid w:val="001E4FA4"/>
    <w:rsid w:val="001E5498"/>
    <w:rsid w:val="001E5C30"/>
    <w:rsid w:val="001E5F42"/>
    <w:rsid w:val="001E5FF7"/>
    <w:rsid w:val="001E62CD"/>
    <w:rsid w:val="001E6B18"/>
    <w:rsid w:val="001E6DA9"/>
    <w:rsid w:val="001E7169"/>
    <w:rsid w:val="001E7F6C"/>
    <w:rsid w:val="001E7F98"/>
    <w:rsid w:val="001F02EF"/>
    <w:rsid w:val="001F06F0"/>
    <w:rsid w:val="001F078E"/>
    <w:rsid w:val="001F0D40"/>
    <w:rsid w:val="001F15C3"/>
    <w:rsid w:val="001F1756"/>
    <w:rsid w:val="001F17A9"/>
    <w:rsid w:val="001F1A23"/>
    <w:rsid w:val="001F2258"/>
    <w:rsid w:val="001F26FF"/>
    <w:rsid w:val="001F2D38"/>
    <w:rsid w:val="001F3049"/>
    <w:rsid w:val="001F3512"/>
    <w:rsid w:val="001F3CA3"/>
    <w:rsid w:val="001F4111"/>
    <w:rsid w:val="001F4B14"/>
    <w:rsid w:val="001F4BB4"/>
    <w:rsid w:val="001F4FC2"/>
    <w:rsid w:val="001F5375"/>
    <w:rsid w:val="001F5C2F"/>
    <w:rsid w:val="001F5CCF"/>
    <w:rsid w:val="001F6F4F"/>
    <w:rsid w:val="001F7096"/>
    <w:rsid w:val="001F73F9"/>
    <w:rsid w:val="001F7B6A"/>
    <w:rsid w:val="002000B6"/>
    <w:rsid w:val="00200918"/>
    <w:rsid w:val="00200F16"/>
    <w:rsid w:val="00201047"/>
    <w:rsid w:val="002010D4"/>
    <w:rsid w:val="002011C5"/>
    <w:rsid w:val="002016B7"/>
    <w:rsid w:val="00201C18"/>
    <w:rsid w:val="00201EE8"/>
    <w:rsid w:val="00202653"/>
    <w:rsid w:val="00202D7E"/>
    <w:rsid w:val="00202F79"/>
    <w:rsid w:val="002033DB"/>
    <w:rsid w:val="00203422"/>
    <w:rsid w:val="00203446"/>
    <w:rsid w:val="002036B8"/>
    <w:rsid w:val="002041FA"/>
    <w:rsid w:val="00204608"/>
    <w:rsid w:val="00204F8B"/>
    <w:rsid w:val="002054A8"/>
    <w:rsid w:val="0020562C"/>
    <w:rsid w:val="0020677A"/>
    <w:rsid w:val="00206842"/>
    <w:rsid w:val="0020710A"/>
    <w:rsid w:val="002071F0"/>
    <w:rsid w:val="0020764C"/>
    <w:rsid w:val="002101CC"/>
    <w:rsid w:val="002106F3"/>
    <w:rsid w:val="00210987"/>
    <w:rsid w:val="00210BF1"/>
    <w:rsid w:val="0021132D"/>
    <w:rsid w:val="0021137B"/>
    <w:rsid w:val="0021160B"/>
    <w:rsid w:val="00211DCA"/>
    <w:rsid w:val="00212677"/>
    <w:rsid w:val="00212B0D"/>
    <w:rsid w:val="0021313D"/>
    <w:rsid w:val="0021323A"/>
    <w:rsid w:val="00215C4A"/>
    <w:rsid w:val="00216DEC"/>
    <w:rsid w:val="00216E79"/>
    <w:rsid w:val="00217334"/>
    <w:rsid w:val="0021756C"/>
    <w:rsid w:val="00217816"/>
    <w:rsid w:val="00217A59"/>
    <w:rsid w:val="00217FAE"/>
    <w:rsid w:val="00220427"/>
    <w:rsid w:val="002207B9"/>
    <w:rsid w:val="002217C1"/>
    <w:rsid w:val="00221892"/>
    <w:rsid w:val="00221A52"/>
    <w:rsid w:val="00222173"/>
    <w:rsid w:val="00222690"/>
    <w:rsid w:val="00222DF8"/>
    <w:rsid w:val="00222F59"/>
    <w:rsid w:val="002234CF"/>
    <w:rsid w:val="002237DB"/>
    <w:rsid w:val="00223821"/>
    <w:rsid w:val="00223999"/>
    <w:rsid w:val="002246B9"/>
    <w:rsid w:val="00224A2F"/>
    <w:rsid w:val="00224F57"/>
    <w:rsid w:val="002252AD"/>
    <w:rsid w:val="00225E1D"/>
    <w:rsid w:val="00225F73"/>
    <w:rsid w:val="00225F80"/>
    <w:rsid w:val="002261DE"/>
    <w:rsid w:val="002268DE"/>
    <w:rsid w:val="00226C6E"/>
    <w:rsid w:val="0022731F"/>
    <w:rsid w:val="002274F6"/>
    <w:rsid w:val="0022774A"/>
    <w:rsid w:val="002277BA"/>
    <w:rsid w:val="00227B92"/>
    <w:rsid w:val="0023018A"/>
    <w:rsid w:val="00230894"/>
    <w:rsid w:val="00230F19"/>
    <w:rsid w:val="0023139C"/>
    <w:rsid w:val="002317EC"/>
    <w:rsid w:val="00231BD2"/>
    <w:rsid w:val="00232703"/>
    <w:rsid w:val="002327CA"/>
    <w:rsid w:val="00232B85"/>
    <w:rsid w:val="00232CD0"/>
    <w:rsid w:val="00233BFF"/>
    <w:rsid w:val="00234979"/>
    <w:rsid w:val="00235E00"/>
    <w:rsid w:val="002361FA"/>
    <w:rsid w:val="00236C1E"/>
    <w:rsid w:val="00236CEF"/>
    <w:rsid w:val="0023713A"/>
    <w:rsid w:val="0023750C"/>
    <w:rsid w:val="0024042E"/>
    <w:rsid w:val="00240C4F"/>
    <w:rsid w:val="00240E49"/>
    <w:rsid w:val="0024152B"/>
    <w:rsid w:val="002419C0"/>
    <w:rsid w:val="00242B46"/>
    <w:rsid w:val="00243D0C"/>
    <w:rsid w:val="00243F27"/>
    <w:rsid w:val="0024439A"/>
    <w:rsid w:val="00244597"/>
    <w:rsid w:val="00244B8F"/>
    <w:rsid w:val="00244DA6"/>
    <w:rsid w:val="00244DB6"/>
    <w:rsid w:val="00245178"/>
    <w:rsid w:val="00245482"/>
    <w:rsid w:val="00245D00"/>
    <w:rsid w:val="00245E58"/>
    <w:rsid w:val="00246A57"/>
    <w:rsid w:val="00246E9E"/>
    <w:rsid w:val="0024716B"/>
    <w:rsid w:val="00247420"/>
    <w:rsid w:val="002476E3"/>
    <w:rsid w:val="00247C8E"/>
    <w:rsid w:val="00250038"/>
    <w:rsid w:val="002500A6"/>
    <w:rsid w:val="00250268"/>
    <w:rsid w:val="00250472"/>
    <w:rsid w:val="00250646"/>
    <w:rsid w:val="00250709"/>
    <w:rsid w:val="00251F55"/>
    <w:rsid w:val="00252494"/>
    <w:rsid w:val="00253048"/>
    <w:rsid w:val="00253194"/>
    <w:rsid w:val="00253D1F"/>
    <w:rsid w:val="00253ED9"/>
    <w:rsid w:val="0025442C"/>
    <w:rsid w:val="00254B68"/>
    <w:rsid w:val="00254B72"/>
    <w:rsid w:val="00254E6F"/>
    <w:rsid w:val="0025525B"/>
    <w:rsid w:val="0025583F"/>
    <w:rsid w:val="00255864"/>
    <w:rsid w:val="00255ABD"/>
    <w:rsid w:val="00257C20"/>
    <w:rsid w:val="00257F27"/>
    <w:rsid w:val="002600EF"/>
    <w:rsid w:val="0026200E"/>
    <w:rsid w:val="00262B5F"/>
    <w:rsid w:val="00263083"/>
    <w:rsid w:val="00263422"/>
    <w:rsid w:val="00263694"/>
    <w:rsid w:val="00263E02"/>
    <w:rsid w:val="00263E6E"/>
    <w:rsid w:val="00264150"/>
    <w:rsid w:val="00264199"/>
    <w:rsid w:val="00264843"/>
    <w:rsid w:val="00264C62"/>
    <w:rsid w:val="00264F74"/>
    <w:rsid w:val="0026590E"/>
    <w:rsid w:val="00266471"/>
    <w:rsid w:val="002665E8"/>
    <w:rsid w:val="00266634"/>
    <w:rsid w:val="00266866"/>
    <w:rsid w:val="00266E64"/>
    <w:rsid w:val="00266F82"/>
    <w:rsid w:val="002672B1"/>
    <w:rsid w:val="002675B2"/>
    <w:rsid w:val="00267670"/>
    <w:rsid w:val="00267742"/>
    <w:rsid w:val="002677DC"/>
    <w:rsid w:val="00267FF1"/>
    <w:rsid w:val="002700A8"/>
    <w:rsid w:val="002702A3"/>
    <w:rsid w:val="002709BC"/>
    <w:rsid w:val="002709EE"/>
    <w:rsid w:val="002717F4"/>
    <w:rsid w:val="00271E10"/>
    <w:rsid w:val="00272173"/>
    <w:rsid w:val="0027241E"/>
    <w:rsid w:val="002737D9"/>
    <w:rsid w:val="00273D3A"/>
    <w:rsid w:val="00273EBE"/>
    <w:rsid w:val="00273F9E"/>
    <w:rsid w:val="00274480"/>
    <w:rsid w:val="002744E2"/>
    <w:rsid w:val="0027452A"/>
    <w:rsid w:val="00274594"/>
    <w:rsid w:val="0027480C"/>
    <w:rsid w:val="0027525A"/>
    <w:rsid w:val="002755FA"/>
    <w:rsid w:val="00275C85"/>
    <w:rsid w:val="0027630D"/>
    <w:rsid w:val="002766CC"/>
    <w:rsid w:val="002767A9"/>
    <w:rsid w:val="002769F8"/>
    <w:rsid w:val="00276C7F"/>
    <w:rsid w:val="00277C86"/>
    <w:rsid w:val="00277E59"/>
    <w:rsid w:val="00280204"/>
    <w:rsid w:val="00280455"/>
    <w:rsid w:val="002806F8"/>
    <w:rsid w:val="00281BE6"/>
    <w:rsid w:val="002820A0"/>
    <w:rsid w:val="00282623"/>
    <w:rsid w:val="00282BAF"/>
    <w:rsid w:val="00282FE7"/>
    <w:rsid w:val="00283087"/>
    <w:rsid w:val="0028351C"/>
    <w:rsid w:val="00283657"/>
    <w:rsid w:val="00283BFA"/>
    <w:rsid w:val="00283F84"/>
    <w:rsid w:val="00284629"/>
    <w:rsid w:val="002848D5"/>
    <w:rsid w:val="002848D8"/>
    <w:rsid w:val="00284CF6"/>
    <w:rsid w:val="00284D74"/>
    <w:rsid w:val="00284ECF"/>
    <w:rsid w:val="002851D9"/>
    <w:rsid w:val="002856BF"/>
    <w:rsid w:val="00285A41"/>
    <w:rsid w:val="00285C94"/>
    <w:rsid w:val="00286577"/>
    <w:rsid w:val="00286C8D"/>
    <w:rsid w:val="00286E36"/>
    <w:rsid w:val="0028722C"/>
    <w:rsid w:val="00287495"/>
    <w:rsid w:val="0028768F"/>
    <w:rsid w:val="00287A13"/>
    <w:rsid w:val="00290B9D"/>
    <w:rsid w:val="00290C71"/>
    <w:rsid w:val="00291D20"/>
    <w:rsid w:val="00291D9D"/>
    <w:rsid w:val="00291E1D"/>
    <w:rsid w:val="002920D4"/>
    <w:rsid w:val="00292B9C"/>
    <w:rsid w:val="002937AB"/>
    <w:rsid w:val="0029380D"/>
    <w:rsid w:val="00293A7B"/>
    <w:rsid w:val="00293CE0"/>
    <w:rsid w:val="00293E5C"/>
    <w:rsid w:val="00294408"/>
    <w:rsid w:val="00295D6F"/>
    <w:rsid w:val="00296134"/>
    <w:rsid w:val="002961BB"/>
    <w:rsid w:val="00297BFF"/>
    <w:rsid w:val="00297C20"/>
    <w:rsid w:val="002A0106"/>
    <w:rsid w:val="002A013F"/>
    <w:rsid w:val="002A1585"/>
    <w:rsid w:val="002A160F"/>
    <w:rsid w:val="002A1767"/>
    <w:rsid w:val="002A1B2D"/>
    <w:rsid w:val="002A1C77"/>
    <w:rsid w:val="002A2837"/>
    <w:rsid w:val="002A286C"/>
    <w:rsid w:val="002A29E6"/>
    <w:rsid w:val="002A34BB"/>
    <w:rsid w:val="002A3506"/>
    <w:rsid w:val="002A36B0"/>
    <w:rsid w:val="002A3D2A"/>
    <w:rsid w:val="002A4770"/>
    <w:rsid w:val="002A499A"/>
    <w:rsid w:val="002A4D5A"/>
    <w:rsid w:val="002A4E1F"/>
    <w:rsid w:val="002A58DD"/>
    <w:rsid w:val="002A5EFD"/>
    <w:rsid w:val="002A609B"/>
    <w:rsid w:val="002A62BA"/>
    <w:rsid w:val="002A62BC"/>
    <w:rsid w:val="002A64D6"/>
    <w:rsid w:val="002A64FD"/>
    <w:rsid w:val="002A6E24"/>
    <w:rsid w:val="002A7C49"/>
    <w:rsid w:val="002B01B5"/>
    <w:rsid w:val="002B0653"/>
    <w:rsid w:val="002B14A2"/>
    <w:rsid w:val="002B1B1E"/>
    <w:rsid w:val="002B262C"/>
    <w:rsid w:val="002B2659"/>
    <w:rsid w:val="002B27BE"/>
    <w:rsid w:val="002B4C26"/>
    <w:rsid w:val="002B5217"/>
    <w:rsid w:val="002B5603"/>
    <w:rsid w:val="002B655A"/>
    <w:rsid w:val="002B6581"/>
    <w:rsid w:val="002B78F2"/>
    <w:rsid w:val="002B7AA4"/>
    <w:rsid w:val="002C01FC"/>
    <w:rsid w:val="002C0381"/>
    <w:rsid w:val="002C0A19"/>
    <w:rsid w:val="002C0A43"/>
    <w:rsid w:val="002C0CC6"/>
    <w:rsid w:val="002C1579"/>
    <w:rsid w:val="002C1768"/>
    <w:rsid w:val="002C37BE"/>
    <w:rsid w:val="002C38F1"/>
    <w:rsid w:val="002C3AA7"/>
    <w:rsid w:val="002C432E"/>
    <w:rsid w:val="002C475E"/>
    <w:rsid w:val="002C4E86"/>
    <w:rsid w:val="002C51C9"/>
    <w:rsid w:val="002C59A8"/>
    <w:rsid w:val="002C6801"/>
    <w:rsid w:val="002C7A3D"/>
    <w:rsid w:val="002C7D2B"/>
    <w:rsid w:val="002D0017"/>
    <w:rsid w:val="002D00D2"/>
    <w:rsid w:val="002D0817"/>
    <w:rsid w:val="002D0856"/>
    <w:rsid w:val="002D0E45"/>
    <w:rsid w:val="002D107B"/>
    <w:rsid w:val="002D1C54"/>
    <w:rsid w:val="002D285E"/>
    <w:rsid w:val="002D361D"/>
    <w:rsid w:val="002D3CF0"/>
    <w:rsid w:val="002D3ED3"/>
    <w:rsid w:val="002D431F"/>
    <w:rsid w:val="002D4445"/>
    <w:rsid w:val="002D532E"/>
    <w:rsid w:val="002D5454"/>
    <w:rsid w:val="002D5B4B"/>
    <w:rsid w:val="002D5C90"/>
    <w:rsid w:val="002D5E7E"/>
    <w:rsid w:val="002D5F83"/>
    <w:rsid w:val="002D6817"/>
    <w:rsid w:val="002D72FC"/>
    <w:rsid w:val="002D7C9F"/>
    <w:rsid w:val="002E031C"/>
    <w:rsid w:val="002E0441"/>
    <w:rsid w:val="002E0D8C"/>
    <w:rsid w:val="002E1D1D"/>
    <w:rsid w:val="002E2261"/>
    <w:rsid w:val="002E24DE"/>
    <w:rsid w:val="002E2BE4"/>
    <w:rsid w:val="002E34D3"/>
    <w:rsid w:val="002E36EA"/>
    <w:rsid w:val="002E40D2"/>
    <w:rsid w:val="002E48F3"/>
    <w:rsid w:val="002E4B36"/>
    <w:rsid w:val="002E5AC2"/>
    <w:rsid w:val="002E5B3F"/>
    <w:rsid w:val="002E5C5B"/>
    <w:rsid w:val="002E5D76"/>
    <w:rsid w:val="002E6647"/>
    <w:rsid w:val="002E6898"/>
    <w:rsid w:val="002E69BE"/>
    <w:rsid w:val="002E7027"/>
    <w:rsid w:val="002E789D"/>
    <w:rsid w:val="002E7EE7"/>
    <w:rsid w:val="002E7F90"/>
    <w:rsid w:val="002F021E"/>
    <w:rsid w:val="002F0848"/>
    <w:rsid w:val="002F0C86"/>
    <w:rsid w:val="002F1233"/>
    <w:rsid w:val="002F1787"/>
    <w:rsid w:val="002F1827"/>
    <w:rsid w:val="002F2DD2"/>
    <w:rsid w:val="002F307A"/>
    <w:rsid w:val="002F3354"/>
    <w:rsid w:val="002F3503"/>
    <w:rsid w:val="002F3C98"/>
    <w:rsid w:val="002F3CC0"/>
    <w:rsid w:val="002F3D19"/>
    <w:rsid w:val="002F44FD"/>
    <w:rsid w:val="002F4A1B"/>
    <w:rsid w:val="002F517F"/>
    <w:rsid w:val="002F580F"/>
    <w:rsid w:val="002F60C5"/>
    <w:rsid w:val="002F6A75"/>
    <w:rsid w:val="002F6E5F"/>
    <w:rsid w:val="002F71D1"/>
    <w:rsid w:val="00300146"/>
    <w:rsid w:val="00300740"/>
    <w:rsid w:val="003009A1"/>
    <w:rsid w:val="003010A1"/>
    <w:rsid w:val="003013B0"/>
    <w:rsid w:val="003017BB"/>
    <w:rsid w:val="00301C59"/>
    <w:rsid w:val="003021F6"/>
    <w:rsid w:val="003024FD"/>
    <w:rsid w:val="003027EC"/>
    <w:rsid w:val="00302BC2"/>
    <w:rsid w:val="0030406F"/>
    <w:rsid w:val="0030437F"/>
    <w:rsid w:val="003047B8"/>
    <w:rsid w:val="0030496C"/>
    <w:rsid w:val="00305051"/>
    <w:rsid w:val="003052A5"/>
    <w:rsid w:val="003057B7"/>
    <w:rsid w:val="00306350"/>
    <w:rsid w:val="003063B9"/>
    <w:rsid w:val="00306433"/>
    <w:rsid w:val="0030717C"/>
    <w:rsid w:val="003075B1"/>
    <w:rsid w:val="003101B0"/>
    <w:rsid w:val="003101DE"/>
    <w:rsid w:val="003106C2"/>
    <w:rsid w:val="00310CCE"/>
    <w:rsid w:val="00310E54"/>
    <w:rsid w:val="003116AA"/>
    <w:rsid w:val="00311C7F"/>
    <w:rsid w:val="0031245C"/>
    <w:rsid w:val="00312519"/>
    <w:rsid w:val="00312522"/>
    <w:rsid w:val="00312588"/>
    <w:rsid w:val="00313109"/>
    <w:rsid w:val="00313240"/>
    <w:rsid w:val="003139A7"/>
    <w:rsid w:val="00313B89"/>
    <w:rsid w:val="00313DF0"/>
    <w:rsid w:val="00314FD5"/>
    <w:rsid w:val="003154E4"/>
    <w:rsid w:val="00316621"/>
    <w:rsid w:val="00316BF2"/>
    <w:rsid w:val="00316DC2"/>
    <w:rsid w:val="003176B9"/>
    <w:rsid w:val="00317F33"/>
    <w:rsid w:val="00320012"/>
    <w:rsid w:val="003211B4"/>
    <w:rsid w:val="00321BFB"/>
    <w:rsid w:val="00323094"/>
    <w:rsid w:val="00323372"/>
    <w:rsid w:val="003235A3"/>
    <w:rsid w:val="00323B71"/>
    <w:rsid w:val="0032415E"/>
    <w:rsid w:val="003241E8"/>
    <w:rsid w:val="003246C1"/>
    <w:rsid w:val="00324E21"/>
    <w:rsid w:val="00326096"/>
    <w:rsid w:val="003263D6"/>
    <w:rsid w:val="0032666B"/>
    <w:rsid w:val="003267E4"/>
    <w:rsid w:val="00326A2D"/>
    <w:rsid w:val="00326DB3"/>
    <w:rsid w:val="00327269"/>
    <w:rsid w:val="0032742D"/>
    <w:rsid w:val="0032743B"/>
    <w:rsid w:val="00327892"/>
    <w:rsid w:val="0032789C"/>
    <w:rsid w:val="003302EC"/>
    <w:rsid w:val="00330944"/>
    <w:rsid w:val="00330BE0"/>
    <w:rsid w:val="00330EA9"/>
    <w:rsid w:val="003312DD"/>
    <w:rsid w:val="00331513"/>
    <w:rsid w:val="00331F40"/>
    <w:rsid w:val="00332874"/>
    <w:rsid w:val="00333F7A"/>
    <w:rsid w:val="00333F81"/>
    <w:rsid w:val="003343DA"/>
    <w:rsid w:val="003344C5"/>
    <w:rsid w:val="003345D6"/>
    <w:rsid w:val="003345E4"/>
    <w:rsid w:val="003345F4"/>
    <w:rsid w:val="00334D4A"/>
    <w:rsid w:val="0033504C"/>
    <w:rsid w:val="00337286"/>
    <w:rsid w:val="00337A78"/>
    <w:rsid w:val="003400AE"/>
    <w:rsid w:val="00340411"/>
    <w:rsid w:val="00340B4C"/>
    <w:rsid w:val="00340F5C"/>
    <w:rsid w:val="00341633"/>
    <w:rsid w:val="00341B33"/>
    <w:rsid w:val="00341D8E"/>
    <w:rsid w:val="00342319"/>
    <w:rsid w:val="0034281F"/>
    <w:rsid w:val="00342CAC"/>
    <w:rsid w:val="003439B0"/>
    <w:rsid w:val="00344ABC"/>
    <w:rsid w:val="00344BBC"/>
    <w:rsid w:val="003454FE"/>
    <w:rsid w:val="003459DD"/>
    <w:rsid w:val="00345E65"/>
    <w:rsid w:val="00345FC2"/>
    <w:rsid w:val="00346E39"/>
    <w:rsid w:val="00346ED0"/>
    <w:rsid w:val="00347559"/>
    <w:rsid w:val="003500B4"/>
    <w:rsid w:val="00350592"/>
    <w:rsid w:val="0035069A"/>
    <w:rsid w:val="00351B60"/>
    <w:rsid w:val="00351FC7"/>
    <w:rsid w:val="00352215"/>
    <w:rsid w:val="003526DA"/>
    <w:rsid w:val="00352D82"/>
    <w:rsid w:val="003530A8"/>
    <w:rsid w:val="003531D0"/>
    <w:rsid w:val="0035364A"/>
    <w:rsid w:val="003538B9"/>
    <w:rsid w:val="00354079"/>
    <w:rsid w:val="003544E5"/>
    <w:rsid w:val="00354742"/>
    <w:rsid w:val="00354A7B"/>
    <w:rsid w:val="00354E33"/>
    <w:rsid w:val="00354EF6"/>
    <w:rsid w:val="00354F0C"/>
    <w:rsid w:val="00355E52"/>
    <w:rsid w:val="00356836"/>
    <w:rsid w:val="00356B7F"/>
    <w:rsid w:val="00356F3B"/>
    <w:rsid w:val="003570A5"/>
    <w:rsid w:val="003573A4"/>
    <w:rsid w:val="003576C1"/>
    <w:rsid w:val="00357936"/>
    <w:rsid w:val="00357AE6"/>
    <w:rsid w:val="00360BA5"/>
    <w:rsid w:val="00360F9C"/>
    <w:rsid w:val="0036134D"/>
    <w:rsid w:val="00361F4F"/>
    <w:rsid w:val="003622F3"/>
    <w:rsid w:val="00362755"/>
    <w:rsid w:val="0036275B"/>
    <w:rsid w:val="00362AD8"/>
    <w:rsid w:val="00362C8E"/>
    <w:rsid w:val="00362C93"/>
    <w:rsid w:val="00362DA1"/>
    <w:rsid w:val="003632F1"/>
    <w:rsid w:val="00363F8D"/>
    <w:rsid w:val="00364287"/>
    <w:rsid w:val="003649C9"/>
    <w:rsid w:val="00364BC3"/>
    <w:rsid w:val="00364D1E"/>
    <w:rsid w:val="00364D3A"/>
    <w:rsid w:val="00365B08"/>
    <w:rsid w:val="00366311"/>
    <w:rsid w:val="003663B9"/>
    <w:rsid w:val="0036650D"/>
    <w:rsid w:val="0037062E"/>
    <w:rsid w:val="00370984"/>
    <w:rsid w:val="0037157E"/>
    <w:rsid w:val="003718BF"/>
    <w:rsid w:val="003726E6"/>
    <w:rsid w:val="003730BE"/>
    <w:rsid w:val="003733E5"/>
    <w:rsid w:val="00373678"/>
    <w:rsid w:val="00373D0B"/>
    <w:rsid w:val="00373DC2"/>
    <w:rsid w:val="00374A8D"/>
    <w:rsid w:val="0037597D"/>
    <w:rsid w:val="00375D8E"/>
    <w:rsid w:val="00375E9B"/>
    <w:rsid w:val="00376268"/>
    <w:rsid w:val="00376584"/>
    <w:rsid w:val="00376995"/>
    <w:rsid w:val="00377102"/>
    <w:rsid w:val="003776D0"/>
    <w:rsid w:val="003779C5"/>
    <w:rsid w:val="00377C2B"/>
    <w:rsid w:val="00377FF6"/>
    <w:rsid w:val="00380AF8"/>
    <w:rsid w:val="00380B3E"/>
    <w:rsid w:val="0038129B"/>
    <w:rsid w:val="00381A6F"/>
    <w:rsid w:val="00381C26"/>
    <w:rsid w:val="00381F5C"/>
    <w:rsid w:val="00382074"/>
    <w:rsid w:val="00382362"/>
    <w:rsid w:val="00382544"/>
    <w:rsid w:val="003826F5"/>
    <w:rsid w:val="00382F67"/>
    <w:rsid w:val="00383193"/>
    <w:rsid w:val="00383CC3"/>
    <w:rsid w:val="003840E1"/>
    <w:rsid w:val="00384793"/>
    <w:rsid w:val="00384E20"/>
    <w:rsid w:val="00384FF0"/>
    <w:rsid w:val="0038553B"/>
    <w:rsid w:val="003858BA"/>
    <w:rsid w:val="0038596E"/>
    <w:rsid w:val="00386312"/>
    <w:rsid w:val="00386B2E"/>
    <w:rsid w:val="0038702B"/>
    <w:rsid w:val="0038798A"/>
    <w:rsid w:val="00387FF5"/>
    <w:rsid w:val="00390671"/>
    <w:rsid w:val="00391017"/>
    <w:rsid w:val="00391742"/>
    <w:rsid w:val="00391D4A"/>
    <w:rsid w:val="003922ED"/>
    <w:rsid w:val="00392734"/>
    <w:rsid w:val="00392787"/>
    <w:rsid w:val="00392904"/>
    <w:rsid w:val="0039326A"/>
    <w:rsid w:val="00393632"/>
    <w:rsid w:val="00393DE2"/>
    <w:rsid w:val="0039486F"/>
    <w:rsid w:val="00395A58"/>
    <w:rsid w:val="003969EA"/>
    <w:rsid w:val="003973E2"/>
    <w:rsid w:val="00397D98"/>
    <w:rsid w:val="003A0A76"/>
    <w:rsid w:val="003A12A0"/>
    <w:rsid w:val="003A1543"/>
    <w:rsid w:val="003A1C93"/>
    <w:rsid w:val="003A1ED3"/>
    <w:rsid w:val="003A1F78"/>
    <w:rsid w:val="003A20EF"/>
    <w:rsid w:val="003A285C"/>
    <w:rsid w:val="003A2A47"/>
    <w:rsid w:val="003A380B"/>
    <w:rsid w:val="003A3DF5"/>
    <w:rsid w:val="003A4048"/>
    <w:rsid w:val="003A4600"/>
    <w:rsid w:val="003A485E"/>
    <w:rsid w:val="003A4AB1"/>
    <w:rsid w:val="003A4B03"/>
    <w:rsid w:val="003A706E"/>
    <w:rsid w:val="003A76C5"/>
    <w:rsid w:val="003A7726"/>
    <w:rsid w:val="003A7AAF"/>
    <w:rsid w:val="003A7B99"/>
    <w:rsid w:val="003B1315"/>
    <w:rsid w:val="003B1695"/>
    <w:rsid w:val="003B1F36"/>
    <w:rsid w:val="003B25BD"/>
    <w:rsid w:val="003B308A"/>
    <w:rsid w:val="003B3F00"/>
    <w:rsid w:val="003B4B89"/>
    <w:rsid w:val="003B4FCA"/>
    <w:rsid w:val="003B589B"/>
    <w:rsid w:val="003B5D28"/>
    <w:rsid w:val="003B5F49"/>
    <w:rsid w:val="003B6382"/>
    <w:rsid w:val="003B7195"/>
    <w:rsid w:val="003B7FB2"/>
    <w:rsid w:val="003C038B"/>
    <w:rsid w:val="003C0DD7"/>
    <w:rsid w:val="003C0E54"/>
    <w:rsid w:val="003C18EA"/>
    <w:rsid w:val="003C1B16"/>
    <w:rsid w:val="003C1EC2"/>
    <w:rsid w:val="003C20FE"/>
    <w:rsid w:val="003C292D"/>
    <w:rsid w:val="003C32B7"/>
    <w:rsid w:val="003C3585"/>
    <w:rsid w:val="003C4843"/>
    <w:rsid w:val="003C4FAC"/>
    <w:rsid w:val="003C5369"/>
    <w:rsid w:val="003C5D8D"/>
    <w:rsid w:val="003C5E16"/>
    <w:rsid w:val="003C64AD"/>
    <w:rsid w:val="003C6753"/>
    <w:rsid w:val="003C6F79"/>
    <w:rsid w:val="003C7014"/>
    <w:rsid w:val="003C7044"/>
    <w:rsid w:val="003C73B2"/>
    <w:rsid w:val="003C7791"/>
    <w:rsid w:val="003C77E7"/>
    <w:rsid w:val="003C7FF6"/>
    <w:rsid w:val="003D0322"/>
    <w:rsid w:val="003D0BAC"/>
    <w:rsid w:val="003D11F0"/>
    <w:rsid w:val="003D1E37"/>
    <w:rsid w:val="003D1E7F"/>
    <w:rsid w:val="003D1E81"/>
    <w:rsid w:val="003D26A5"/>
    <w:rsid w:val="003D33C4"/>
    <w:rsid w:val="003D3A7C"/>
    <w:rsid w:val="003D3FAA"/>
    <w:rsid w:val="003D41E0"/>
    <w:rsid w:val="003D4601"/>
    <w:rsid w:val="003D4B6A"/>
    <w:rsid w:val="003D5C06"/>
    <w:rsid w:val="003D5E30"/>
    <w:rsid w:val="003D691C"/>
    <w:rsid w:val="003D6EE5"/>
    <w:rsid w:val="003D6F4C"/>
    <w:rsid w:val="003D7E12"/>
    <w:rsid w:val="003E002D"/>
    <w:rsid w:val="003E116A"/>
    <w:rsid w:val="003E1819"/>
    <w:rsid w:val="003E1B25"/>
    <w:rsid w:val="003E1C27"/>
    <w:rsid w:val="003E1EE7"/>
    <w:rsid w:val="003E2477"/>
    <w:rsid w:val="003E2844"/>
    <w:rsid w:val="003E2A57"/>
    <w:rsid w:val="003E32AD"/>
    <w:rsid w:val="003E3608"/>
    <w:rsid w:val="003E39F9"/>
    <w:rsid w:val="003E3A69"/>
    <w:rsid w:val="003E3F2A"/>
    <w:rsid w:val="003E4083"/>
    <w:rsid w:val="003E417A"/>
    <w:rsid w:val="003E50B5"/>
    <w:rsid w:val="003E536E"/>
    <w:rsid w:val="003E56F1"/>
    <w:rsid w:val="003E5762"/>
    <w:rsid w:val="003E58F3"/>
    <w:rsid w:val="003E6955"/>
    <w:rsid w:val="003E6EE2"/>
    <w:rsid w:val="003E7498"/>
    <w:rsid w:val="003E75F7"/>
    <w:rsid w:val="003F0C84"/>
    <w:rsid w:val="003F0D5B"/>
    <w:rsid w:val="003F128B"/>
    <w:rsid w:val="003F1676"/>
    <w:rsid w:val="003F1AD8"/>
    <w:rsid w:val="003F1D44"/>
    <w:rsid w:val="003F2197"/>
    <w:rsid w:val="003F2C42"/>
    <w:rsid w:val="003F2CF6"/>
    <w:rsid w:val="003F2D49"/>
    <w:rsid w:val="003F30FF"/>
    <w:rsid w:val="003F3189"/>
    <w:rsid w:val="003F334F"/>
    <w:rsid w:val="003F3525"/>
    <w:rsid w:val="003F371E"/>
    <w:rsid w:val="003F3DE1"/>
    <w:rsid w:val="003F4AAB"/>
    <w:rsid w:val="003F4BDE"/>
    <w:rsid w:val="003F4CB9"/>
    <w:rsid w:val="003F4DB7"/>
    <w:rsid w:val="003F5271"/>
    <w:rsid w:val="003F52EF"/>
    <w:rsid w:val="003F5377"/>
    <w:rsid w:val="003F53D2"/>
    <w:rsid w:val="003F5507"/>
    <w:rsid w:val="003F65E2"/>
    <w:rsid w:val="003F6D58"/>
    <w:rsid w:val="003F6FF4"/>
    <w:rsid w:val="003F73CE"/>
    <w:rsid w:val="003F75A7"/>
    <w:rsid w:val="003F774C"/>
    <w:rsid w:val="003F77AA"/>
    <w:rsid w:val="003F7972"/>
    <w:rsid w:val="003F7BE5"/>
    <w:rsid w:val="003F7BF8"/>
    <w:rsid w:val="00400387"/>
    <w:rsid w:val="004004F0"/>
    <w:rsid w:val="004006AA"/>
    <w:rsid w:val="00400BFC"/>
    <w:rsid w:val="00400D5C"/>
    <w:rsid w:val="0040144E"/>
    <w:rsid w:val="004016E2"/>
    <w:rsid w:val="00401952"/>
    <w:rsid w:val="004020AC"/>
    <w:rsid w:val="004023BA"/>
    <w:rsid w:val="0040264E"/>
    <w:rsid w:val="00402B07"/>
    <w:rsid w:val="004035A5"/>
    <w:rsid w:val="00403798"/>
    <w:rsid w:val="0040436F"/>
    <w:rsid w:val="00404EB7"/>
    <w:rsid w:val="00404FDB"/>
    <w:rsid w:val="00405F3B"/>
    <w:rsid w:val="004063AC"/>
    <w:rsid w:val="004067CA"/>
    <w:rsid w:val="00406F00"/>
    <w:rsid w:val="00407575"/>
    <w:rsid w:val="004079C6"/>
    <w:rsid w:val="00407C89"/>
    <w:rsid w:val="00407CA2"/>
    <w:rsid w:val="00407FCD"/>
    <w:rsid w:val="00410380"/>
    <w:rsid w:val="004105CD"/>
    <w:rsid w:val="004113CD"/>
    <w:rsid w:val="004116A0"/>
    <w:rsid w:val="0041177A"/>
    <w:rsid w:val="00411B1E"/>
    <w:rsid w:val="00411D41"/>
    <w:rsid w:val="0041264A"/>
    <w:rsid w:val="00412D38"/>
    <w:rsid w:val="004133D3"/>
    <w:rsid w:val="00413C42"/>
    <w:rsid w:val="004142FF"/>
    <w:rsid w:val="004146A6"/>
    <w:rsid w:val="004146D5"/>
    <w:rsid w:val="00414F5E"/>
    <w:rsid w:val="004150A1"/>
    <w:rsid w:val="004152B8"/>
    <w:rsid w:val="00415F48"/>
    <w:rsid w:val="0041645D"/>
    <w:rsid w:val="0041677E"/>
    <w:rsid w:val="00416F0C"/>
    <w:rsid w:val="00416FDD"/>
    <w:rsid w:val="00420303"/>
    <w:rsid w:val="0042040A"/>
    <w:rsid w:val="004206F3"/>
    <w:rsid w:val="00420829"/>
    <w:rsid w:val="00420901"/>
    <w:rsid w:val="00420F43"/>
    <w:rsid w:val="00421819"/>
    <w:rsid w:val="004218A8"/>
    <w:rsid w:val="00421F97"/>
    <w:rsid w:val="00423B51"/>
    <w:rsid w:val="00423E27"/>
    <w:rsid w:val="00425086"/>
    <w:rsid w:val="00427515"/>
    <w:rsid w:val="0042768F"/>
    <w:rsid w:val="0043018A"/>
    <w:rsid w:val="00430352"/>
    <w:rsid w:val="0043137D"/>
    <w:rsid w:val="004313F4"/>
    <w:rsid w:val="00431413"/>
    <w:rsid w:val="00431F0A"/>
    <w:rsid w:val="004323E0"/>
    <w:rsid w:val="00432FB7"/>
    <w:rsid w:val="004332C4"/>
    <w:rsid w:val="00433417"/>
    <w:rsid w:val="00433678"/>
    <w:rsid w:val="004337A4"/>
    <w:rsid w:val="00433A7D"/>
    <w:rsid w:val="00433D60"/>
    <w:rsid w:val="00433E56"/>
    <w:rsid w:val="00434F94"/>
    <w:rsid w:val="00435239"/>
    <w:rsid w:val="00435E7E"/>
    <w:rsid w:val="00436579"/>
    <w:rsid w:val="004368F8"/>
    <w:rsid w:val="0043720E"/>
    <w:rsid w:val="00437FDA"/>
    <w:rsid w:val="00440DBA"/>
    <w:rsid w:val="00440EE6"/>
    <w:rsid w:val="0044156D"/>
    <w:rsid w:val="004417F0"/>
    <w:rsid w:val="00442208"/>
    <w:rsid w:val="004425D5"/>
    <w:rsid w:val="00442968"/>
    <w:rsid w:val="00442BA1"/>
    <w:rsid w:val="00443BA4"/>
    <w:rsid w:val="00443C15"/>
    <w:rsid w:val="00443EAB"/>
    <w:rsid w:val="00444417"/>
    <w:rsid w:val="00444DB3"/>
    <w:rsid w:val="004450EA"/>
    <w:rsid w:val="00445667"/>
    <w:rsid w:val="00446012"/>
    <w:rsid w:val="0044619E"/>
    <w:rsid w:val="0044685E"/>
    <w:rsid w:val="00446BC5"/>
    <w:rsid w:val="00446E21"/>
    <w:rsid w:val="00447463"/>
    <w:rsid w:val="0044746B"/>
    <w:rsid w:val="0044796D"/>
    <w:rsid w:val="00447C74"/>
    <w:rsid w:val="00447D33"/>
    <w:rsid w:val="00450543"/>
    <w:rsid w:val="0045092E"/>
    <w:rsid w:val="0045109B"/>
    <w:rsid w:val="00451807"/>
    <w:rsid w:val="00452390"/>
    <w:rsid w:val="0045282E"/>
    <w:rsid w:val="004528A8"/>
    <w:rsid w:val="00453A61"/>
    <w:rsid w:val="00454002"/>
    <w:rsid w:val="00454028"/>
    <w:rsid w:val="004548CD"/>
    <w:rsid w:val="0045495A"/>
    <w:rsid w:val="00454A57"/>
    <w:rsid w:val="00455035"/>
    <w:rsid w:val="00455381"/>
    <w:rsid w:val="0045553D"/>
    <w:rsid w:val="00455E8F"/>
    <w:rsid w:val="004560BC"/>
    <w:rsid w:val="00456CD8"/>
    <w:rsid w:val="00460335"/>
    <w:rsid w:val="0046044D"/>
    <w:rsid w:val="004605DA"/>
    <w:rsid w:val="00460AB5"/>
    <w:rsid w:val="00460B6C"/>
    <w:rsid w:val="00460C01"/>
    <w:rsid w:val="00460D46"/>
    <w:rsid w:val="00460E53"/>
    <w:rsid w:val="004614BE"/>
    <w:rsid w:val="00461695"/>
    <w:rsid w:val="004618F8"/>
    <w:rsid w:val="00461997"/>
    <w:rsid w:val="00462094"/>
    <w:rsid w:val="0046264C"/>
    <w:rsid w:val="0046276A"/>
    <w:rsid w:val="00462AE9"/>
    <w:rsid w:val="00463E02"/>
    <w:rsid w:val="00463E35"/>
    <w:rsid w:val="00464B6A"/>
    <w:rsid w:val="00465115"/>
    <w:rsid w:val="00465C27"/>
    <w:rsid w:val="00465D97"/>
    <w:rsid w:val="00466E65"/>
    <w:rsid w:val="00466E73"/>
    <w:rsid w:val="00466EEE"/>
    <w:rsid w:val="004675CD"/>
    <w:rsid w:val="00467BA1"/>
    <w:rsid w:val="004708AA"/>
    <w:rsid w:val="00470C8A"/>
    <w:rsid w:val="00471129"/>
    <w:rsid w:val="004718C8"/>
    <w:rsid w:val="0047296D"/>
    <w:rsid w:val="00472B6E"/>
    <w:rsid w:val="0047328C"/>
    <w:rsid w:val="0047351D"/>
    <w:rsid w:val="00473F5A"/>
    <w:rsid w:val="004740E6"/>
    <w:rsid w:val="004743DE"/>
    <w:rsid w:val="00474C40"/>
    <w:rsid w:val="00475694"/>
    <w:rsid w:val="00475A47"/>
    <w:rsid w:val="00475CC9"/>
    <w:rsid w:val="00475DEE"/>
    <w:rsid w:val="00476027"/>
    <w:rsid w:val="004767DC"/>
    <w:rsid w:val="00476E3F"/>
    <w:rsid w:val="004776CA"/>
    <w:rsid w:val="00477B19"/>
    <w:rsid w:val="004811A0"/>
    <w:rsid w:val="0048138C"/>
    <w:rsid w:val="004813B4"/>
    <w:rsid w:val="004815B7"/>
    <w:rsid w:val="00481659"/>
    <w:rsid w:val="00481843"/>
    <w:rsid w:val="004820A3"/>
    <w:rsid w:val="00482AB2"/>
    <w:rsid w:val="00482FFD"/>
    <w:rsid w:val="0048316B"/>
    <w:rsid w:val="00483CD5"/>
    <w:rsid w:val="00484474"/>
    <w:rsid w:val="0048496D"/>
    <w:rsid w:val="00484A73"/>
    <w:rsid w:val="00485382"/>
    <w:rsid w:val="004854E0"/>
    <w:rsid w:val="0048577A"/>
    <w:rsid w:val="00485881"/>
    <w:rsid w:val="00485CAD"/>
    <w:rsid w:val="00485DEE"/>
    <w:rsid w:val="00486033"/>
    <w:rsid w:val="004860CA"/>
    <w:rsid w:val="00486458"/>
    <w:rsid w:val="004866C6"/>
    <w:rsid w:val="00486A02"/>
    <w:rsid w:val="00490464"/>
    <w:rsid w:val="00490735"/>
    <w:rsid w:val="004907A8"/>
    <w:rsid w:val="004909A3"/>
    <w:rsid w:val="00491303"/>
    <w:rsid w:val="00491A27"/>
    <w:rsid w:val="0049201A"/>
    <w:rsid w:val="004927B3"/>
    <w:rsid w:val="0049293F"/>
    <w:rsid w:val="0049302E"/>
    <w:rsid w:val="00493080"/>
    <w:rsid w:val="00493148"/>
    <w:rsid w:val="0049369F"/>
    <w:rsid w:val="00493DAB"/>
    <w:rsid w:val="00493E30"/>
    <w:rsid w:val="004949BE"/>
    <w:rsid w:val="0049530B"/>
    <w:rsid w:val="00495AE0"/>
    <w:rsid w:val="00495E9E"/>
    <w:rsid w:val="00496623"/>
    <w:rsid w:val="004967F0"/>
    <w:rsid w:val="0049691C"/>
    <w:rsid w:val="00497248"/>
    <w:rsid w:val="00497EB3"/>
    <w:rsid w:val="00497F00"/>
    <w:rsid w:val="004A05CB"/>
    <w:rsid w:val="004A07B4"/>
    <w:rsid w:val="004A12BA"/>
    <w:rsid w:val="004A139A"/>
    <w:rsid w:val="004A14DE"/>
    <w:rsid w:val="004A2807"/>
    <w:rsid w:val="004A394F"/>
    <w:rsid w:val="004A408E"/>
    <w:rsid w:val="004A45BD"/>
    <w:rsid w:val="004A4904"/>
    <w:rsid w:val="004A5523"/>
    <w:rsid w:val="004A580F"/>
    <w:rsid w:val="004A5BB5"/>
    <w:rsid w:val="004A6F80"/>
    <w:rsid w:val="004A70A8"/>
    <w:rsid w:val="004A76DD"/>
    <w:rsid w:val="004A7C6A"/>
    <w:rsid w:val="004B05AB"/>
    <w:rsid w:val="004B0627"/>
    <w:rsid w:val="004B07BE"/>
    <w:rsid w:val="004B0A89"/>
    <w:rsid w:val="004B0C57"/>
    <w:rsid w:val="004B0D73"/>
    <w:rsid w:val="004B1ECA"/>
    <w:rsid w:val="004B2157"/>
    <w:rsid w:val="004B2524"/>
    <w:rsid w:val="004B2876"/>
    <w:rsid w:val="004B33D1"/>
    <w:rsid w:val="004B366F"/>
    <w:rsid w:val="004B3AE2"/>
    <w:rsid w:val="004B3BC8"/>
    <w:rsid w:val="004B4896"/>
    <w:rsid w:val="004B5556"/>
    <w:rsid w:val="004B648E"/>
    <w:rsid w:val="004B6DFA"/>
    <w:rsid w:val="004B70E9"/>
    <w:rsid w:val="004B761E"/>
    <w:rsid w:val="004B790D"/>
    <w:rsid w:val="004B7EED"/>
    <w:rsid w:val="004C0084"/>
    <w:rsid w:val="004C13C1"/>
    <w:rsid w:val="004C1BF4"/>
    <w:rsid w:val="004C1CBF"/>
    <w:rsid w:val="004C23D4"/>
    <w:rsid w:val="004C2552"/>
    <w:rsid w:val="004C2882"/>
    <w:rsid w:val="004C2A35"/>
    <w:rsid w:val="004C3378"/>
    <w:rsid w:val="004C345A"/>
    <w:rsid w:val="004C44B9"/>
    <w:rsid w:val="004C4C81"/>
    <w:rsid w:val="004C515F"/>
    <w:rsid w:val="004C5343"/>
    <w:rsid w:val="004C5403"/>
    <w:rsid w:val="004C57E8"/>
    <w:rsid w:val="004C5F29"/>
    <w:rsid w:val="004C62D0"/>
    <w:rsid w:val="004C63E7"/>
    <w:rsid w:val="004C6DED"/>
    <w:rsid w:val="004C781C"/>
    <w:rsid w:val="004C7C83"/>
    <w:rsid w:val="004C7D8C"/>
    <w:rsid w:val="004D0129"/>
    <w:rsid w:val="004D0241"/>
    <w:rsid w:val="004D08CC"/>
    <w:rsid w:val="004D0973"/>
    <w:rsid w:val="004D0CD6"/>
    <w:rsid w:val="004D0CEA"/>
    <w:rsid w:val="004D0ED4"/>
    <w:rsid w:val="004D0FE3"/>
    <w:rsid w:val="004D133B"/>
    <w:rsid w:val="004D2C91"/>
    <w:rsid w:val="004D3041"/>
    <w:rsid w:val="004D3D04"/>
    <w:rsid w:val="004D3F15"/>
    <w:rsid w:val="004D3FF5"/>
    <w:rsid w:val="004D4576"/>
    <w:rsid w:val="004D4720"/>
    <w:rsid w:val="004D47C3"/>
    <w:rsid w:val="004D48F2"/>
    <w:rsid w:val="004D49B8"/>
    <w:rsid w:val="004D4CA7"/>
    <w:rsid w:val="004D51C2"/>
    <w:rsid w:val="004D521F"/>
    <w:rsid w:val="004D5720"/>
    <w:rsid w:val="004D6A6B"/>
    <w:rsid w:val="004D6A8E"/>
    <w:rsid w:val="004D7A1E"/>
    <w:rsid w:val="004D7CCE"/>
    <w:rsid w:val="004E0B60"/>
    <w:rsid w:val="004E1060"/>
    <w:rsid w:val="004E1283"/>
    <w:rsid w:val="004E2500"/>
    <w:rsid w:val="004E27CE"/>
    <w:rsid w:val="004E2879"/>
    <w:rsid w:val="004E2DFA"/>
    <w:rsid w:val="004E471D"/>
    <w:rsid w:val="004E4C0A"/>
    <w:rsid w:val="004E56F1"/>
    <w:rsid w:val="004E5964"/>
    <w:rsid w:val="004E5A0E"/>
    <w:rsid w:val="004E60A1"/>
    <w:rsid w:val="004E6B1A"/>
    <w:rsid w:val="004E6C50"/>
    <w:rsid w:val="004E7288"/>
    <w:rsid w:val="004E7C07"/>
    <w:rsid w:val="004E7F95"/>
    <w:rsid w:val="004F0789"/>
    <w:rsid w:val="004F09E5"/>
    <w:rsid w:val="004F11E2"/>
    <w:rsid w:val="004F161A"/>
    <w:rsid w:val="004F1934"/>
    <w:rsid w:val="004F1B41"/>
    <w:rsid w:val="004F1DD0"/>
    <w:rsid w:val="004F22E9"/>
    <w:rsid w:val="004F26EC"/>
    <w:rsid w:val="004F31D9"/>
    <w:rsid w:val="004F3910"/>
    <w:rsid w:val="004F4799"/>
    <w:rsid w:val="004F4901"/>
    <w:rsid w:val="004F4B67"/>
    <w:rsid w:val="004F54C7"/>
    <w:rsid w:val="004F5B59"/>
    <w:rsid w:val="004F5C4E"/>
    <w:rsid w:val="004F5FB6"/>
    <w:rsid w:val="004F5FC8"/>
    <w:rsid w:val="004F647F"/>
    <w:rsid w:val="004F672A"/>
    <w:rsid w:val="004F6CBE"/>
    <w:rsid w:val="004F6F40"/>
    <w:rsid w:val="004F73DE"/>
    <w:rsid w:val="004F7CDD"/>
    <w:rsid w:val="00500781"/>
    <w:rsid w:val="005009A9"/>
    <w:rsid w:val="00500DD3"/>
    <w:rsid w:val="00501954"/>
    <w:rsid w:val="0050417E"/>
    <w:rsid w:val="005041CF"/>
    <w:rsid w:val="0050455E"/>
    <w:rsid w:val="0050467A"/>
    <w:rsid w:val="005054B5"/>
    <w:rsid w:val="005056F4"/>
    <w:rsid w:val="00505B53"/>
    <w:rsid w:val="00505E57"/>
    <w:rsid w:val="0050663A"/>
    <w:rsid w:val="00506AB0"/>
    <w:rsid w:val="005076BF"/>
    <w:rsid w:val="0050785A"/>
    <w:rsid w:val="00507972"/>
    <w:rsid w:val="00510682"/>
    <w:rsid w:val="00510831"/>
    <w:rsid w:val="00511486"/>
    <w:rsid w:val="005114F8"/>
    <w:rsid w:val="00511736"/>
    <w:rsid w:val="00511C16"/>
    <w:rsid w:val="005122C0"/>
    <w:rsid w:val="005125FF"/>
    <w:rsid w:val="005127B1"/>
    <w:rsid w:val="00512E64"/>
    <w:rsid w:val="00513C43"/>
    <w:rsid w:val="00514544"/>
    <w:rsid w:val="0051459A"/>
    <w:rsid w:val="0051636E"/>
    <w:rsid w:val="00516434"/>
    <w:rsid w:val="0051728C"/>
    <w:rsid w:val="005172D2"/>
    <w:rsid w:val="005176A0"/>
    <w:rsid w:val="005177FC"/>
    <w:rsid w:val="00517E9B"/>
    <w:rsid w:val="00520CA7"/>
    <w:rsid w:val="0052118E"/>
    <w:rsid w:val="0052146D"/>
    <w:rsid w:val="005215D6"/>
    <w:rsid w:val="00521AA4"/>
    <w:rsid w:val="00522210"/>
    <w:rsid w:val="005222D9"/>
    <w:rsid w:val="005223AF"/>
    <w:rsid w:val="00522544"/>
    <w:rsid w:val="00522ADD"/>
    <w:rsid w:val="005232E6"/>
    <w:rsid w:val="0052383B"/>
    <w:rsid w:val="00523D4C"/>
    <w:rsid w:val="00523F10"/>
    <w:rsid w:val="00524785"/>
    <w:rsid w:val="00525034"/>
    <w:rsid w:val="00525984"/>
    <w:rsid w:val="00525A4B"/>
    <w:rsid w:val="00525DEE"/>
    <w:rsid w:val="00526231"/>
    <w:rsid w:val="00526409"/>
    <w:rsid w:val="0052696D"/>
    <w:rsid w:val="00526DAE"/>
    <w:rsid w:val="00527556"/>
    <w:rsid w:val="005279AC"/>
    <w:rsid w:val="00527A82"/>
    <w:rsid w:val="00527BB2"/>
    <w:rsid w:val="00527CB4"/>
    <w:rsid w:val="00527FC7"/>
    <w:rsid w:val="00527FED"/>
    <w:rsid w:val="0053185C"/>
    <w:rsid w:val="00531979"/>
    <w:rsid w:val="0053202F"/>
    <w:rsid w:val="00532BC0"/>
    <w:rsid w:val="00532F40"/>
    <w:rsid w:val="005330A3"/>
    <w:rsid w:val="005330D4"/>
    <w:rsid w:val="0053325E"/>
    <w:rsid w:val="00533677"/>
    <w:rsid w:val="0053384C"/>
    <w:rsid w:val="00533B67"/>
    <w:rsid w:val="005343F8"/>
    <w:rsid w:val="00534867"/>
    <w:rsid w:val="00534AFE"/>
    <w:rsid w:val="00535CC7"/>
    <w:rsid w:val="0053614F"/>
    <w:rsid w:val="00536E64"/>
    <w:rsid w:val="00537403"/>
    <w:rsid w:val="00537446"/>
    <w:rsid w:val="005406ED"/>
    <w:rsid w:val="0054074C"/>
    <w:rsid w:val="00540775"/>
    <w:rsid w:val="00541010"/>
    <w:rsid w:val="00541C3C"/>
    <w:rsid w:val="0054294F"/>
    <w:rsid w:val="00542DC1"/>
    <w:rsid w:val="00542F02"/>
    <w:rsid w:val="0054302D"/>
    <w:rsid w:val="0054310C"/>
    <w:rsid w:val="00543145"/>
    <w:rsid w:val="00543327"/>
    <w:rsid w:val="0054419F"/>
    <w:rsid w:val="005441BD"/>
    <w:rsid w:val="00544A13"/>
    <w:rsid w:val="00544A4E"/>
    <w:rsid w:val="005452A4"/>
    <w:rsid w:val="0054531C"/>
    <w:rsid w:val="005456F4"/>
    <w:rsid w:val="0054571C"/>
    <w:rsid w:val="00545B24"/>
    <w:rsid w:val="00545BF0"/>
    <w:rsid w:val="00545BF4"/>
    <w:rsid w:val="0054627A"/>
    <w:rsid w:val="00546456"/>
    <w:rsid w:val="00546D79"/>
    <w:rsid w:val="00546F3E"/>
    <w:rsid w:val="0054745D"/>
    <w:rsid w:val="00547477"/>
    <w:rsid w:val="005478BE"/>
    <w:rsid w:val="00547EA0"/>
    <w:rsid w:val="00547FEB"/>
    <w:rsid w:val="005502FF"/>
    <w:rsid w:val="00550AEF"/>
    <w:rsid w:val="00551215"/>
    <w:rsid w:val="00551245"/>
    <w:rsid w:val="0055144E"/>
    <w:rsid w:val="00551B81"/>
    <w:rsid w:val="00551D6E"/>
    <w:rsid w:val="0055232D"/>
    <w:rsid w:val="005526A9"/>
    <w:rsid w:val="00552F44"/>
    <w:rsid w:val="0055346B"/>
    <w:rsid w:val="0055396C"/>
    <w:rsid w:val="00554525"/>
    <w:rsid w:val="00554F3C"/>
    <w:rsid w:val="005557FB"/>
    <w:rsid w:val="005559DD"/>
    <w:rsid w:val="00555E44"/>
    <w:rsid w:val="00556021"/>
    <w:rsid w:val="00556277"/>
    <w:rsid w:val="00556615"/>
    <w:rsid w:val="005569E2"/>
    <w:rsid w:val="005572B0"/>
    <w:rsid w:val="005573AD"/>
    <w:rsid w:val="00557804"/>
    <w:rsid w:val="00557E9E"/>
    <w:rsid w:val="005603D0"/>
    <w:rsid w:val="00560EDD"/>
    <w:rsid w:val="00560F4F"/>
    <w:rsid w:val="00560FB9"/>
    <w:rsid w:val="00561088"/>
    <w:rsid w:val="005618FC"/>
    <w:rsid w:val="00561A9B"/>
    <w:rsid w:val="00561E5C"/>
    <w:rsid w:val="005626DD"/>
    <w:rsid w:val="00562A15"/>
    <w:rsid w:val="00562F4F"/>
    <w:rsid w:val="00564936"/>
    <w:rsid w:val="00564A3F"/>
    <w:rsid w:val="00565178"/>
    <w:rsid w:val="0056552D"/>
    <w:rsid w:val="005655D9"/>
    <w:rsid w:val="0056591B"/>
    <w:rsid w:val="0056616B"/>
    <w:rsid w:val="00566424"/>
    <w:rsid w:val="005670D6"/>
    <w:rsid w:val="00567184"/>
    <w:rsid w:val="005672CA"/>
    <w:rsid w:val="005701BF"/>
    <w:rsid w:val="005705A9"/>
    <w:rsid w:val="00570D4E"/>
    <w:rsid w:val="00571416"/>
    <w:rsid w:val="00571B34"/>
    <w:rsid w:val="00571DE8"/>
    <w:rsid w:val="0057276E"/>
    <w:rsid w:val="00572A33"/>
    <w:rsid w:val="00573080"/>
    <w:rsid w:val="00573C6C"/>
    <w:rsid w:val="00574013"/>
    <w:rsid w:val="00574041"/>
    <w:rsid w:val="005745B0"/>
    <w:rsid w:val="005747E9"/>
    <w:rsid w:val="005748D9"/>
    <w:rsid w:val="00575912"/>
    <w:rsid w:val="00575AE6"/>
    <w:rsid w:val="00575BF2"/>
    <w:rsid w:val="00575EFD"/>
    <w:rsid w:val="005762EC"/>
    <w:rsid w:val="005764B8"/>
    <w:rsid w:val="00576EE7"/>
    <w:rsid w:val="0057728A"/>
    <w:rsid w:val="00577F17"/>
    <w:rsid w:val="00577F98"/>
    <w:rsid w:val="00580514"/>
    <w:rsid w:val="00580BBC"/>
    <w:rsid w:val="00581099"/>
    <w:rsid w:val="0058129B"/>
    <w:rsid w:val="00581FBF"/>
    <w:rsid w:val="00582AD6"/>
    <w:rsid w:val="00582ED2"/>
    <w:rsid w:val="005830CE"/>
    <w:rsid w:val="005833B3"/>
    <w:rsid w:val="005834C0"/>
    <w:rsid w:val="00583581"/>
    <w:rsid w:val="00583B54"/>
    <w:rsid w:val="00583F60"/>
    <w:rsid w:val="005843BF"/>
    <w:rsid w:val="00584DFB"/>
    <w:rsid w:val="005855FC"/>
    <w:rsid w:val="0058586E"/>
    <w:rsid w:val="0058594C"/>
    <w:rsid w:val="00586AA3"/>
    <w:rsid w:val="0058720A"/>
    <w:rsid w:val="00587ECF"/>
    <w:rsid w:val="00591370"/>
    <w:rsid w:val="00591C2C"/>
    <w:rsid w:val="00591C6D"/>
    <w:rsid w:val="005920CB"/>
    <w:rsid w:val="005921BF"/>
    <w:rsid w:val="00592950"/>
    <w:rsid w:val="00592DC3"/>
    <w:rsid w:val="00594069"/>
    <w:rsid w:val="00594DCD"/>
    <w:rsid w:val="00595B3A"/>
    <w:rsid w:val="00595F49"/>
    <w:rsid w:val="005962BA"/>
    <w:rsid w:val="00596918"/>
    <w:rsid w:val="00596B82"/>
    <w:rsid w:val="00596F23"/>
    <w:rsid w:val="005972AD"/>
    <w:rsid w:val="005977AB"/>
    <w:rsid w:val="005978E2"/>
    <w:rsid w:val="00597C97"/>
    <w:rsid w:val="00597F10"/>
    <w:rsid w:val="005A0039"/>
    <w:rsid w:val="005A00D9"/>
    <w:rsid w:val="005A01DD"/>
    <w:rsid w:val="005A05E0"/>
    <w:rsid w:val="005A0D6C"/>
    <w:rsid w:val="005A0F6E"/>
    <w:rsid w:val="005A1488"/>
    <w:rsid w:val="005A1AAB"/>
    <w:rsid w:val="005A1C19"/>
    <w:rsid w:val="005A2E4D"/>
    <w:rsid w:val="005A2EC3"/>
    <w:rsid w:val="005A3222"/>
    <w:rsid w:val="005A33A6"/>
    <w:rsid w:val="005A3449"/>
    <w:rsid w:val="005A3B44"/>
    <w:rsid w:val="005A4586"/>
    <w:rsid w:val="005A4B9F"/>
    <w:rsid w:val="005A55C5"/>
    <w:rsid w:val="005A63AE"/>
    <w:rsid w:val="005A68BA"/>
    <w:rsid w:val="005A68F0"/>
    <w:rsid w:val="005A6979"/>
    <w:rsid w:val="005A6E26"/>
    <w:rsid w:val="005A716D"/>
    <w:rsid w:val="005A72D6"/>
    <w:rsid w:val="005A776B"/>
    <w:rsid w:val="005B0285"/>
    <w:rsid w:val="005B032A"/>
    <w:rsid w:val="005B0666"/>
    <w:rsid w:val="005B123D"/>
    <w:rsid w:val="005B15F8"/>
    <w:rsid w:val="005B1A89"/>
    <w:rsid w:val="005B1CD6"/>
    <w:rsid w:val="005B254E"/>
    <w:rsid w:val="005B2A45"/>
    <w:rsid w:val="005B3172"/>
    <w:rsid w:val="005B367D"/>
    <w:rsid w:val="005B3887"/>
    <w:rsid w:val="005B3993"/>
    <w:rsid w:val="005B43AB"/>
    <w:rsid w:val="005B46A2"/>
    <w:rsid w:val="005B4BBF"/>
    <w:rsid w:val="005B4FE3"/>
    <w:rsid w:val="005B527C"/>
    <w:rsid w:val="005B5DA6"/>
    <w:rsid w:val="005B5F1C"/>
    <w:rsid w:val="005B6209"/>
    <w:rsid w:val="005B6503"/>
    <w:rsid w:val="005B71C1"/>
    <w:rsid w:val="005B77EB"/>
    <w:rsid w:val="005C0256"/>
    <w:rsid w:val="005C06C2"/>
    <w:rsid w:val="005C07FE"/>
    <w:rsid w:val="005C0B2B"/>
    <w:rsid w:val="005C1242"/>
    <w:rsid w:val="005C1766"/>
    <w:rsid w:val="005C1B82"/>
    <w:rsid w:val="005C215A"/>
    <w:rsid w:val="005C295A"/>
    <w:rsid w:val="005C2DE2"/>
    <w:rsid w:val="005C33A1"/>
    <w:rsid w:val="005C34C6"/>
    <w:rsid w:val="005C42D8"/>
    <w:rsid w:val="005C52EB"/>
    <w:rsid w:val="005C596E"/>
    <w:rsid w:val="005C5BF7"/>
    <w:rsid w:val="005C5C69"/>
    <w:rsid w:val="005C67AC"/>
    <w:rsid w:val="005C6D7A"/>
    <w:rsid w:val="005C71BA"/>
    <w:rsid w:val="005C7289"/>
    <w:rsid w:val="005C730F"/>
    <w:rsid w:val="005C7460"/>
    <w:rsid w:val="005C7740"/>
    <w:rsid w:val="005C77C7"/>
    <w:rsid w:val="005C7824"/>
    <w:rsid w:val="005D17CB"/>
    <w:rsid w:val="005D1993"/>
    <w:rsid w:val="005D1A10"/>
    <w:rsid w:val="005D2B01"/>
    <w:rsid w:val="005D2CB8"/>
    <w:rsid w:val="005D5600"/>
    <w:rsid w:val="005D5B0C"/>
    <w:rsid w:val="005D5B9B"/>
    <w:rsid w:val="005D6079"/>
    <w:rsid w:val="005D61BF"/>
    <w:rsid w:val="005D668E"/>
    <w:rsid w:val="005D69A4"/>
    <w:rsid w:val="005D75EF"/>
    <w:rsid w:val="005D793B"/>
    <w:rsid w:val="005D7FDA"/>
    <w:rsid w:val="005E01D2"/>
    <w:rsid w:val="005E0D2E"/>
    <w:rsid w:val="005E1D9E"/>
    <w:rsid w:val="005E2353"/>
    <w:rsid w:val="005E23B4"/>
    <w:rsid w:val="005E418D"/>
    <w:rsid w:val="005E44C9"/>
    <w:rsid w:val="005E4CEF"/>
    <w:rsid w:val="005E5107"/>
    <w:rsid w:val="005E564A"/>
    <w:rsid w:val="005E6338"/>
    <w:rsid w:val="005E662D"/>
    <w:rsid w:val="005E72DF"/>
    <w:rsid w:val="005E76C2"/>
    <w:rsid w:val="005E7889"/>
    <w:rsid w:val="005E7C81"/>
    <w:rsid w:val="005F0343"/>
    <w:rsid w:val="005F09AE"/>
    <w:rsid w:val="005F14DD"/>
    <w:rsid w:val="005F14F7"/>
    <w:rsid w:val="005F1651"/>
    <w:rsid w:val="005F16BA"/>
    <w:rsid w:val="005F1DED"/>
    <w:rsid w:val="005F239D"/>
    <w:rsid w:val="005F27FE"/>
    <w:rsid w:val="005F285B"/>
    <w:rsid w:val="005F2B75"/>
    <w:rsid w:val="005F31B5"/>
    <w:rsid w:val="005F3664"/>
    <w:rsid w:val="005F45D2"/>
    <w:rsid w:val="005F4745"/>
    <w:rsid w:val="005F5046"/>
    <w:rsid w:val="005F58B1"/>
    <w:rsid w:val="005F62B3"/>
    <w:rsid w:val="005F6604"/>
    <w:rsid w:val="005F6918"/>
    <w:rsid w:val="005F6B86"/>
    <w:rsid w:val="005F774A"/>
    <w:rsid w:val="005F7C26"/>
    <w:rsid w:val="005F7E4B"/>
    <w:rsid w:val="00600A94"/>
    <w:rsid w:val="006010B5"/>
    <w:rsid w:val="0060153C"/>
    <w:rsid w:val="006018C2"/>
    <w:rsid w:val="00601C08"/>
    <w:rsid w:val="00602150"/>
    <w:rsid w:val="0060242D"/>
    <w:rsid w:val="00602D95"/>
    <w:rsid w:val="00602EAE"/>
    <w:rsid w:val="00603A92"/>
    <w:rsid w:val="00603C9F"/>
    <w:rsid w:val="00603D73"/>
    <w:rsid w:val="00603E60"/>
    <w:rsid w:val="00603F78"/>
    <w:rsid w:val="006049EC"/>
    <w:rsid w:val="00604EAA"/>
    <w:rsid w:val="0060626F"/>
    <w:rsid w:val="00606DFC"/>
    <w:rsid w:val="006102B3"/>
    <w:rsid w:val="006108CA"/>
    <w:rsid w:val="00610CD0"/>
    <w:rsid w:val="00611158"/>
    <w:rsid w:val="00611469"/>
    <w:rsid w:val="00611508"/>
    <w:rsid w:val="00611880"/>
    <w:rsid w:val="006125CC"/>
    <w:rsid w:val="0061264D"/>
    <w:rsid w:val="006126F7"/>
    <w:rsid w:val="00612770"/>
    <w:rsid w:val="006130E8"/>
    <w:rsid w:val="006137CA"/>
    <w:rsid w:val="0061392B"/>
    <w:rsid w:val="00613B54"/>
    <w:rsid w:val="006140E8"/>
    <w:rsid w:val="00614458"/>
    <w:rsid w:val="00615990"/>
    <w:rsid w:val="0061681F"/>
    <w:rsid w:val="00616D29"/>
    <w:rsid w:val="00617939"/>
    <w:rsid w:val="00617E6A"/>
    <w:rsid w:val="00617FF1"/>
    <w:rsid w:val="006209C9"/>
    <w:rsid w:val="0062263B"/>
    <w:rsid w:val="00623028"/>
    <w:rsid w:val="006232E5"/>
    <w:rsid w:val="0062366D"/>
    <w:rsid w:val="006236BE"/>
    <w:rsid w:val="006236C4"/>
    <w:rsid w:val="00623EF4"/>
    <w:rsid w:val="0062417C"/>
    <w:rsid w:val="00624A3C"/>
    <w:rsid w:val="0062527B"/>
    <w:rsid w:val="00625416"/>
    <w:rsid w:val="00625DCE"/>
    <w:rsid w:val="00625FAE"/>
    <w:rsid w:val="00626351"/>
    <w:rsid w:val="0062781E"/>
    <w:rsid w:val="00630439"/>
    <w:rsid w:val="00630854"/>
    <w:rsid w:val="00630BA7"/>
    <w:rsid w:val="00631641"/>
    <w:rsid w:val="00631AF5"/>
    <w:rsid w:val="00631DDA"/>
    <w:rsid w:val="00632084"/>
    <w:rsid w:val="00632892"/>
    <w:rsid w:val="00632FAC"/>
    <w:rsid w:val="00633121"/>
    <w:rsid w:val="00633895"/>
    <w:rsid w:val="00633FE1"/>
    <w:rsid w:val="006344B2"/>
    <w:rsid w:val="00634B12"/>
    <w:rsid w:val="00634B85"/>
    <w:rsid w:val="00634D2B"/>
    <w:rsid w:val="00634D3E"/>
    <w:rsid w:val="0063653B"/>
    <w:rsid w:val="00636D87"/>
    <w:rsid w:val="00637784"/>
    <w:rsid w:val="00637BBF"/>
    <w:rsid w:val="006401E2"/>
    <w:rsid w:val="006402F2"/>
    <w:rsid w:val="00640367"/>
    <w:rsid w:val="00640752"/>
    <w:rsid w:val="00640877"/>
    <w:rsid w:val="00640A2C"/>
    <w:rsid w:val="006411AE"/>
    <w:rsid w:val="00641779"/>
    <w:rsid w:val="00641C80"/>
    <w:rsid w:val="00641F7A"/>
    <w:rsid w:val="006422B0"/>
    <w:rsid w:val="0064273D"/>
    <w:rsid w:val="0064345E"/>
    <w:rsid w:val="00644942"/>
    <w:rsid w:val="00646746"/>
    <w:rsid w:val="00646D8A"/>
    <w:rsid w:val="00646F26"/>
    <w:rsid w:val="0064729C"/>
    <w:rsid w:val="00647422"/>
    <w:rsid w:val="00647B95"/>
    <w:rsid w:val="00647DEF"/>
    <w:rsid w:val="00650831"/>
    <w:rsid w:val="00650969"/>
    <w:rsid w:val="00650F18"/>
    <w:rsid w:val="00651149"/>
    <w:rsid w:val="006518D4"/>
    <w:rsid w:val="00651A91"/>
    <w:rsid w:val="00651D46"/>
    <w:rsid w:val="00651D83"/>
    <w:rsid w:val="0065220A"/>
    <w:rsid w:val="006529B9"/>
    <w:rsid w:val="0065312A"/>
    <w:rsid w:val="00653189"/>
    <w:rsid w:val="006539DC"/>
    <w:rsid w:val="00654A30"/>
    <w:rsid w:val="00654FED"/>
    <w:rsid w:val="00655224"/>
    <w:rsid w:val="00655F5D"/>
    <w:rsid w:val="00656121"/>
    <w:rsid w:val="00656652"/>
    <w:rsid w:val="00657BC6"/>
    <w:rsid w:val="00657CC6"/>
    <w:rsid w:val="00660D60"/>
    <w:rsid w:val="0066105F"/>
    <w:rsid w:val="0066108D"/>
    <w:rsid w:val="00661B62"/>
    <w:rsid w:val="00662C6B"/>
    <w:rsid w:val="0066316E"/>
    <w:rsid w:val="00663572"/>
    <w:rsid w:val="00663A7C"/>
    <w:rsid w:val="00664131"/>
    <w:rsid w:val="006646E6"/>
    <w:rsid w:val="00665EDB"/>
    <w:rsid w:val="00666465"/>
    <w:rsid w:val="00666547"/>
    <w:rsid w:val="00666709"/>
    <w:rsid w:val="00666729"/>
    <w:rsid w:val="0066672C"/>
    <w:rsid w:val="00666C63"/>
    <w:rsid w:val="00666D41"/>
    <w:rsid w:val="006675F7"/>
    <w:rsid w:val="006679C1"/>
    <w:rsid w:val="006679E9"/>
    <w:rsid w:val="00667BD6"/>
    <w:rsid w:val="0067015C"/>
    <w:rsid w:val="00670E0C"/>
    <w:rsid w:val="006713F3"/>
    <w:rsid w:val="00671486"/>
    <w:rsid w:val="006716BC"/>
    <w:rsid w:val="00671710"/>
    <w:rsid w:val="00671C3D"/>
    <w:rsid w:val="00671E0F"/>
    <w:rsid w:val="00672BCA"/>
    <w:rsid w:val="006740C4"/>
    <w:rsid w:val="0067455B"/>
    <w:rsid w:val="00674C37"/>
    <w:rsid w:val="006752BE"/>
    <w:rsid w:val="006759D9"/>
    <w:rsid w:val="00675B48"/>
    <w:rsid w:val="006765A1"/>
    <w:rsid w:val="00676D61"/>
    <w:rsid w:val="006773D4"/>
    <w:rsid w:val="0068007F"/>
    <w:rsid w:val="00680700"/>
    <w:rsid w:val="00680736"/>
    <w:rsid w:val="00680C70"/>
    <w:rsid w:val="0068156C"/>
    <w:rsid w:val="00682D79"/>
    <w:rsid w:val="006838ED"/>
    <w:rsid w:val="00683B8A"/>
    <w:rsid w:val="00683FD4"/>
    <w:rsid w:val="00684DE8"/>
    <w:rsid w:val="00684E5C"/>
    <w:rsid w:val="0068508B"/>
    <w:rsid w:val="0068548E"/>
    <w:rsid w:val="00685BBB"/>
    <w:rsid w:val="00685FA9"/>
    <w:rsid w:val="006860DC"/>
    <w:rsid w:val="006865BD"/>
    <w:rsid w:val="00686B88"/>
    <w:rsid w:val="0068706C"/>
    <w:rsid w:val="006872A1"/>
    <w:rsid w:val="006874BC"/>
    <w:rsid w:val="00687952"/>
    <w:rsid w:val="006879FD"/>
    <w:rsid w:val="00687A89"/>
    <w:rsid w:val="00690256"/>
    <w:rsid w:val="006902A0"/>
    <w:rsid w:val="006907AA"/>
    <w:rsid w:val="00691548"/>
    <w:rsid w:val="00691D26"/>
    <w:rsid w:val="00692209"/>
    <w:rsid w:val="00692BCA"/>
    <w:rsid w:val="006930A0"/>
    <w:rsid w:val="00693A21"/>
    <w:rsid w:val="00693F95"/>
    <w:rsid w:val="006941BD"/>
    <w:rsid w:val="00694225"/>
    <w:rsid w:val="006945AF"/>
    <w:rsid w:val="006947D7"/>
    <w:rsid w:val="006948E6"/>
    <w:rsid w:val="00695658"/>
    <w:rsid w:val="0069566D"/>
    <w:rsid w:val="00695989"/>
    <w:rsid w:val="006962FE"/>
    <w:rsid w:val="00696495"/>
    <w:rsid w:val="006964B0"/>
    <w:rsid w:val="00697049"/>
    <w:rsid w:val="00697156"/>
    <w:rsid w:val="006975A3"/>
    <w:rsid w:val="006977D2"/>
    <w:rsid w:val="00697B4F"/>
    <w:rsid w:val="00697F8D"/>
    <w:rsid w:val="006A050C"/>
    <w:rsid w:val="006A08BB"/>
    <w:rsid w:val="006A0A63"/>
    <w:rsid w:val="006A0CCB"/>
    <w:rsid w:val="006A0E99"/>
    <w:rsid w:val="006A103E"/>
    <w:rsid w:val="006A1D7C"/>
    <w:rsid w:val="006A229A"/>
    <w:rsid w:val="006A2CC7"/>
    <w:rsid w:val="006A2F99"/>
    <w:rsid w:val="006A3076"/>
    <w:rsid w:val="006A35B1"/>
    <w:rsid w:val="006A35C3"/>
    <w:rsid w:val="006A40BB"/>
    <w:rsid w:val="006A487D"/>
    <w:rsid w:val="006A48B8"/>
    <w:rsid w:val="006A4F7D"/>
    <w:rsid w:val="006A7030"/>
    <w:rsid w:val="006A725E"/>
    <w:rsid w:val="006A73CE"/>
    <w:rsid w:val="006B0499"/>
    <w:rsid w:val="006B0604"/>
    <w:rsid w:val="006B09FE"/>
    <w:rsid w:val="006B147F"/>
    <w:rsid w:val="006B1855"/>
    <w:rsid w:val="006B1F0B"/>
    <w:rsid w:val="006B2352"/>
    <w:rsid w:val="006B2DA6"/>
    <w:rsid w:val="006B3346"/>
    <w:rsid w:val="006B3F63"/>
    <w:rsid w:val="006B4474"/>
    <w:rsid w:val="006B4C6D"/>
    <w:rsid w:val="006B5308"/>
    <w:rsid w:val="006B5324"/>
    <w:rsid w:val="006B5594"/>
    <w:rsid w:val="006B5AF3"/>
    <w:rsid w:val="006B64F0"/>
    <w:rsid w:val="006B6A83"/>
    <w:rsid w:val="006B76EF"/>
    <w:rsid w:val="006B77CB"/>
    <w:rsid w:val="006C000B"/>
    <w:rsid w:val="006C0125"/>
    <w:rsid w:val="006C04F1"/>
    <w:rsid w:val="006C0837"/>
    <w:rsid w:val="006C10FA"/>
    <w:rsid w:val="006C13CE"/>
    <w:rsid w:val="006C18C6"/>
    <w:rsid w:val="006C249D"/>
    <w:rsid w:val="006C3874"/>
    <w:rsid w:val="006C3A43"/>
    <w:rsid w:val="006C3FA4"/>
    <w:rsid w:val="006C405F"/>
    <w:rsid w:val="006C544C"/>
    <w:rsid w:val="006C5B6B"/>
    <w:rsid w:val="006C625C"/>
    <w:rsid w:val="006C6D00"/>
    <w:rsid w:val="006C7659"/>
    <w:rsid w:val="006C7A17"/>
    <w:rsid w:val="006C7CCE"/>
    <w:rsid w:val="006D03B2"/>
    <w:rsid w:val="006D098D"/>
    <w:rsid w:val="006D0EBD"/>
    <w:rsid w:val="006D1850"/>
    <w:rsid w:val="006D1AE1"/>
    <w:rsid w:val="006D22A1"/>
    <w:rsid w:val="006D31CB"/>
    <w:rsid w:val="006D3955"/>
    <w:rsid w:val="006D420A"/>
    <w:rsid w:val="006D42E8"/>
    <w:rsid w:val="006D465F"/>
    <w:rsid w:val="006D4869"/>
    <w:rsid w:val="006D4BDC"/>
    <w:rsid w:val="006D4F59"/>
    <w:rsid w:val="006D5054"/>
    <w:rsid w:val="006D6697"/>
    <w:rsid w:val="006D6B94"/>
    <w:rsid w:val="006D7C94"/>
    <w:rsid w:val="006E05D0"/>
    <w:rsid w:val="006E0ADC"/>
    <w:rsid w:val="006E0CF2"/>
    <w:rsid w:val="006E141F"/>
    <w:rsid w:val="006E18E2"/>
    <w:rsid w:val="006E1AD2"/>
    <w:rsid w:val="006E1E8E"/>
    <w:rsid w:val="006E2254"/>
    <w:rsid w:val="006E2472"/>
    <w:rsid w:val="006E382E"/>
    <w:rsid w:val="006E4586"/>
    <w:rsid w:val="006E4595"/>
    <w:rsid w:val="006E45FF"/>
    <w:rsid w:val="006E4887"/>
    <w:rsid w:val="006E5A66"/>
    <w:rsid w:val="006E5A9D"/>
    <w:rsid w:val="006E6907"/>
    <w:rsid w:val="006E7062"/>
    <w:rsid w:val="006E7336"/>
    <w:rsid w:val="006E7ED7"/>
    <w:rsid w:val="006F04E0"/>
    <w:rsid w:val="006F0B74"/>
    <w:rsid w:val="006F0DA4"/>
    <w:rsid w:val="006F0DBD"/>
    <w:rsid w:val="006F1201"/>
    <w:rsid w:val="006F17D8"/>
    <w:rsid w:val="006F1C06"/>
    <w:rsid w:val="006F2297"/>
    <w:rsid w:val="006F2782"/>
    <w:rsid w:val="006F2831"/>
    <w:rsid w:val="006F2C1F"/>
    <w:rsid w:val="006F3EA7"/>
    <w:rsid w:val="006F41EC"/>
    <w:rsid w:val="006F466A"/>
    <w:rsid w:val="006F4934"/>
    <w:rsid w:val="006F5056"/>
    <w:rsid w:val="006F5175"/>
    <w:rsid w:val="006F57D9"/>
    <w:rsid w:val="006F5BF9"/>
    <w:rsid w:val="006F66AD"/>
    <w:rsid w:val="006F74D7"/>
    <w:rsid w:val="00700237"/>
    <w:rsid w:val="00700BE7"/>
    <w:rsid w:val="00700C5D"/>
    <w:rsid w:val="00701A9A"/>
    <w:rsid w:val="00701BAB"/>
    <w:rsid w:val="00701E0C"/>
    <w:rsid w:val="00702C4B"/>
    <w:rsid w:val="00704922"/>
    <w:rsid w:val="00705641"/>
    <w:rsid w:val="0070610D"/>
    <w:rsid w:val="0070620F"/>
    <w:rsid w:val="00706BCA"/>
    <w:rsid w:val="007076AB"/>
    <w:rsid w:val="007078C8"/>
    <w:rsid w:val="00710615"/>
    <w:rsid w:val="00710654"/>
    <w:rsid w:val="00711168"/>
    <w:rsid w:val="007116D3"/>
    <w:rsid w:val="0071177E"/>
    <w:rsid w:val="00711A87"/>
    <w:rsid w:val="00711CC4"/>
    <w:rsid w:val="00712178"/>
    <w:rsid w:val="0071217C"/>
    <w:rsid w:val="007125C3"/>
    <w:rsid w:val="007125E9"/>
    <w:rsid w:val="0071295F"/>
    <w:rsid w:val="007137FC"/>
    <w:rsid w:val="00713ECE"/>
    <w:rsid w:val="007146B3"/>
    <w:rsid w:val="007148C9"/>
    <w:rsid w:val="00714BD0"/>
    <w:rsid w:val="007150DA"/>
    <w:rsid w:val="00715369"/>
    <w:rsid w:val="00715959"/>
    <w:rsid w:val="0071676F"/>
    <w:rsid w:val="00716D3F"/>
    <w:rsid w:val="00717124"/>
    <w:rsid w:val="00717585"/>
    <w:rsid w:val="00717730"/>
    <w:rsid w:val="00717DEF"/>
    <w:rsid w:val="00722015"/>
    <w:rsid w:val="00722651"/>
    <w:rsid w:val="00722CB9"/>
    <w:rsid w:val="0072399D"/>
    <w:rsid w:val="0072507A"/>
    <w:rsid w:val="0072534B"/>
    <w:rsid w:val="00725D30"/>
    <w:rsid w:val="00725E61"/>
    <w:rsid w:val="007263DC"/>
    <w:rsid w:val="007269A0"/>
    <w:rsid w:val="00730A48"/>
    <w:rsid w:val="00731A40"/>
    <w:rsid w:val="00731B11"/>
    <w:rsid w:val="007327E5"/>
    <w:rsid w:val="00732B84"/>
    <w:rsid w:val="007331A8"/>
    <w:rsid w:val="0073326C"/>
    <w:rsid w:val="00735452"/>
    <w:rsid w:val="00735C34"/>
    <w:rsid w:val="00735F29"/>
    <w:rsid w:val="007363B8"/>
    <w:rsid w:val="007369B0"/>
    <w:rsid w:val="00737560"/>
    <w:rsid w:val="0073767A"/>
    <w:rsid w:val="00737680"/>
    <w:rsid w:val="007377CF"/>
    <w:rsid w:val="00737E76"/>
    <w:rsid w:val="00737F1B"/>
    <w:rsid w:val="00740753"/>
    <w:rsid w:val="00740D22"/>
    <w:rsid w:val="00741170"/>
    <w:rsid w:val="00741C47"/>
    <w:rsid w:val="00741DDC"/>
    <w:rsid w:val="007424C7"/>
    <w:rsid w:val="00742785"/>
    <w:rsid w:val="00743398"/>
    <w:rsid w:val="00743A6F"/>
    <w:rsid w:val="00743B00"/>
    <w:rsid w:val="00743B23"/>
    <w:rsid w:val="00743C2A"/>
    <w:rsid w:val="00744065"/>
    <w:rsid w:val="007440AE"/>
    <w:rsid w:val="00744786"/>
    <w:rsid w:val="00744E45"/>
    <w:rsid w:val="007454DA"/>
    <w:rsid w:val="007468D6"/>
    <w:rsid w:val="00746A37"/>
    <w:rsid w:val="00746A83"/>
    <w:rsid w:val="0075099E"/>
    <w:rsid w:val="00750C97"/>
    <w:rsid w:val="00751245"/>
    <w:rsid w:val="007514C3"/>
    <w:rsid w:val="00751C73"/>
    <w:rsid w:val="0075262B"/>
    <w:rsid w:val="0075276C"/>
    <w:rsid w:val="00752855"/>
    <w:rsid w:val="0075319C"/>
    <w:rsid w:val="007532A6"/>
    <w:rsid w:val="007534EA"/>
    <w:rsid w:val="00753BD4"/>
    <w:rsid w:val="00753D77"/>
    <w:rsid w:val="007544C2"/>
    <w:rsid w:val="00754D1F"/>
    <w:rsid w:val="00755FB5"/>
    <w:rsid w:val="007560D2"/>
    <w:rsid w:val="00756212"/>
    <w:rsid w:val="007565D6"/>
    <w:rsid w:val="007567F7"/>
    <w:rsid w:val="00757233"/>
    <w:rsid w:val="0076094A"/>
    <w:rsid w:val="007612B9"/>
    <w:rsid w:val="007614C3"/>
    <w:rsid w:val="00762096"/>
    <w:rsid w:val="00762CC4"/>
    <w:rsid w:val="00763D3C"/>
    <w:rsid w:val="00764D18"/>
    <w:rsid w:val="00765921"/>
    <w:rsid w:val="0076592C"/>
    <w:rsid w:val="0076642A"/>
    <w:rsid w:val="007666C4"/>
    <w:rsid w:val="00767108"/>
    <w:rsid w:val="007678F6"/>
    <w:rsid w:val="00767F14"/>
    <w:rsid w:val="00767FA5"/>
    <w:rsid w:val="007709EC"/>
    <w:rsid w:val="0077132B"/>
    <w:rsid w:val="00771FF5"/>
    <w:rsid w:val="0077232E"/>
    <w:rsid w:val="00772ACC"/>
    <w:rsid w:val="00772ADE"/>
    <w:rsid w:val="0077366B"/>
    <w:rsid w:val="00773671"/>
    <w:rsid w:val="00773F10"/>
    <w:rsid w:val="00774137"/>
    <w:rsid w:val="007744D1"/>
    <w:rsid w:val="00774C12"/>
    <w:rsid w:val="00774DE0"/>
    <w:rsid w:val="00774E4E"/>
    <w:rsid w:val="00775394"/>
    <w:rsid w:val="007753FA"/>
    <w:rsid w:val="00775C30"/>
    <w:rsid w:val="007761C8"/>
    <w:rsid w:val="0077622C"/>
    <w:rsid w:val="0077662E"/>
    <w:rsid w:val="00776EA4"/>
    <w:rsid w:val="0077724A"/>
    <w:rsid w:val="00777264"/>
    <w:rsid w:val="007778B1"/>
    <w:rsid w:val="00777DDB"/>
    <w:rsid w:val="00777F0C"/>
    <w:rsid w:val="00780380"/>
    <w:rsid w:val="00780AF1"/>
    <w:rsid w:val="00780C7F"/>
    <w:rsid w:val="00781529"/>
    <w:rsid w:val="007816A3"/>
    <w:rsid w:val="00782922"/>
    <w:rsid w:val="00782FCA"/>
    <w:rsid w:val="00783082"/>
    <w:rsid w:val="0078464D"/>
    <w:rsid w:val="007852F5"/>
    <w:rsid w:val="00785535"/>
    <w:rsid w:val="0078592A"/>
    <w:rsid w:val="007860A5"/>
    <w:rsid w:val="00786237"/>
    <w:rsid w:val="00786671"/>
    <w:rsid w:val="007869C5"/>
    <w:rsid w:val="00786CC3"/>
    <w:rsid w:val="00787138"/>
    <w:rsid w:val="007876A1"/>
    <w:rsid w:val="00787D5A"/>
    <w:rsid w:val="007901B8"/>
    <w:rsid w:val="007902F4"/>
    <w:rsid w:val="0079056A"/>
    <w:rsid w:val="00790C4F"/>
    <w:rsid w:val="007911BC"/>
    <w:rsid w:val="00791387"/>
    <w:rsid w:val="007917C8"/>
    <w:rsid w:val="00792626"/>
    <w:rsid w:val="00792B21"/>
    <w:rsid w:val="0079372F"/>
    <w:rsid w:val="00794143"/>
    <w:rsid w:val="007942FE"/>
    <w:rsid w:val="00794725"/>
    <w:rsid w:val="00794D71"/>
    <w:rsid w:val="00795C99"/>
    <w:rsid w:val="00796238"/>
    <w:rsid w:val="00796AFC"/>
    <w:rsid w:val="007974BB"/>
    <w:rsid w:val="00797BC8"/>
    <w:rsid w:val="007A0534"/>
    <w:rsid w:val="007A0CD6"/>
    <w:rsid w:val="007A1A7C"/>
    <w:rsid w:val="007A1EFC"/>
    <w:rsid w:val="007A21E4"/>
    <w:rsid w:val="007A27DB"/>
    <w:rsid w:val="007A331B"/>
    <w:rsid w:val="007A3396"/>
    <w:rsid w:val="007A351B"/>
    <w:rsid w:val="007A3691"/>
    <w:rsid w:val="007A3BAE"/>
    <w:rsid w:val="007A41F5"/>
    <w:rsid w:val="007A428A"/>
    <w:rsid w:val="007A42BA"/>
    <w:rsid w:val="007A4ACB"/>
    <w:rsid w:val="007A5148"/>
    <w:rsid w:val="007A5208"/>
    <w:rsid w:val="007A5737"/>
    <w:rsid w:val="007A5D69"/>
    <w:rsid w:val="007A5F72"/>
    <w:rsid w:val="007A6640"/>
    <w:rsid w:val="007A67E1"/>
    <w:rsid w:val="007A753A"/>
    <w:rsid w:val="007A79E6"/>
    <w:rsid w:val="007A7A66"/>
    <w:rsid w:val="007B02C7"/>
    <w:rsid w:val="007B04F9"/>
    <w:rsid w:val="007B1309"/>
    <w:rsid w:val="007B1D3B"/>
    <w:rsid w:val="007B1D46"/>
    <w:rsid w:val="007B1EAB"/>
    <w:rsid w:val="007B1F19"/>
    <w:rsid w:val="007B1F87"/>
    <w:rsid w:val="007B20C5"/>
    <w:rsid w:val="007B21FE"/>
    <w:rsid w:val="007B270F"/>
    <w:rsid w:val="007B272E"/>
    <w:rsid w:val="007B2D67"/>
    <w:rsid w:val="007B2EC3"/>
    <w:rsid w:val="007B3B7B"/>
    <w:rsid w:val="007B4086"/>
    <w:rsid w:val="007B44A6"/>
    <w:rsid w:val="007B527B"/>
    <w:rsid w:val="007B5AC7"/>
    <w:rsid w:val="007B5BD6"/>
    <w:rsid w:val="007B67FE"/>
    <w:rsid w:val="007B6896"/>
    <w:rsid w:val="007C040B"/>
    <w:rsid w:val="007C0D21"/>
    <w:rsid w:val="007C0D48"/>
    <w:rsid w:val="007C10D5"/>
    <w:rsid w:val="007C13D1"/>
    <w:rsid w:val="007C14F4"/>
    <w:rsid w:val="007C20CC"/>
    <w:rsid w:val="007C236F"/>
    <w:rsid w:val="007C2371"/>
    <w:rsid w:val="007C248F"/>
    <w:rsid w:val="007C256C"/>
    <w:rsid w:val="007C2657"/>
    <w:rsid w:val="007C2D16"/>
    <w:rsid w:val="007C2D17"/>
    <w:rsid w:val="007C2D2A"/>
    <w:rsid w:val="007C35C6"/>
    <w:rsid w:val="007C368E"/>
    <w:rsid w:val="007C3B48"/>
    <w:rsid w:val="007C3DE2"/>
    <w:rsid w:val="007C40A0"/>
    <w:rsid w:val="007C420C"/>
    <w:rsid w:val="007C468A"/>
    <w:rsid w:val="007C4D5F"/>
    <w:rsid w:val="007C559A"/>
    <w:rsid w:val="007C5CA5"/>
    <w:rsid w:val="007C62DD"/>
    <w:rsid w:val="007C6A38"/>
    <w:rsid w:val="007C7B85"/>
    <w:rsid w:val="007C7F30"/>
    <w:rsid w:val="007D0726"/>
    <w:rsid w:val="007D09D7"/>
    <w:rsid w:val="007D1C24"/>
    <w:rsid w:val="007D29C7"/>
    <w:rsid w:val="007D29FA"/>
    <w:rsid w:val="007D2D63"/>
    <w:rsid w:val="007D2F7A"/>
    <w:rsid w:val="007D3570"/>
    <w:rsid w:val="007D35B1"/>
    <w:rsid w:val="007D3B6A"/>
    <w:rsid w:val="007D3CFF"/>
    <w:rsid w:val="007D459A"/>
    <w:rsid w:val="007D464F"/>
    <w:rsid w:val="007D4EEB"/>
    <w:rsid w:val="007D5061"/>
    <w:rsid w:val="007D5C5C"/>
    <w:rsid w:val="007D5FE9"/>
    <w:rsid w:val="007D6677"/>
    <w:rsid w:val="007D6F72"/>
    <w:rsid w:val="007D7211"/>
    <w:rsid w:val="007D7DAD"/>
    <w:rsid w:val="007E0232"/>
    <w:rsid w:val="007E05AE"/>
    <w:rsid w:val="007E20CB"/>
    <w:rsid w:val="007E352A"/>
    <w:rsid w:val="007E3677"/>
    <w:rsid w:val="007E3F58"/>
    <w:rsid w:val="007E4240"/>
    <w:rsid w:val="007E4CBB"/>
    <w:rsid w:val="007E525D"/>
    <w:rsid w:val="007E5C05"/>
    <w:rsid w:val="007E6555"/>
    <w:rsid w:val="007E69C8"/>
    <w:rsid w:val="007E6A51"/>
    <w:rsid w:val="007E6D25"/>
    <w:rsid w:val="007E7513"/>
    <w:rsid w:val="007E79C9"/>
    <w:rsid w:val="007F0321"/>
    <w:rsid w:val="007F0401"/>
    <w:rsid w:val="007F0DD2"/>
    <w:rsid w:val="007F0E0F"/>
    <w:rsid w:val="007F11EE"/>
    <w:rsid w:val="007F1F3B"/>
    <w:rsid w:val="007F2A22"/>
    <w:rsid w:val="007F2B41"/>
    <w:rsid w:val="007F2BCE"/>
    <w:rsid w:val="007F2ED1"/>
    <w:rsid w:val="007F31C9"/>
    <w:rsid w:val="007F320B"/>
    <w:rsid w:val="007F3D18"/>
    <w:rsid w:val="007F4902"/>
    <w:rsid w:val="007F4D3B"/>
    <w:rsid w:val="007F5E88"/>
    <w:rsid w:val="007F6789"/>
    <w:rsid w:val="007F6D2F"/>
    <w:rsid w:val="007F6DCA"/>
    <w:rsid w:val="007F7918"/>
    <w:rsid w:val="007F7D12"/>
    <w:rsid w:val="00800602"/>
    <w:rsid w:val="00800E25"/>
    <w:rsid w:val="00800F1E"/>
    <w:rsid w:val="00800FCF"/>
    <w:rsid w:val="00801D5E"/>
    <w:rsid w:val="008027D9"/>
    <w:rsid w:val="0080317A"/>
    <w:rsid w:val="00803A69"/>
    <w:rsid w:val="00803BBA"/>
    <w:rsid w:val="00803D89"/>
    <w:rsid w:val="00804B93"/>
    <w:rsid w:val="00804BDA"/>
    <w:rsid w:val="00805767"/>
    <w:rsid w:val="00805E58"/>
    <w:rsid w:val="00807BD3"/>
    <w:rsid w:val="00807E2C"/>
    <w:rsid w:val="008104AE"/>
    <w:rsid w:val="00810DFC"/>
    <w:rsid w:val="0081106C"/>
    <w:rsid w:val="008112D3"/>
    <w:rsid w:val="00811626"/>
    <w:rsid w:val="00812013"/>
    <w:rsid w:val="0081212B"/>
    <w:rsid w:val="00812178"/>
    <w:rsid w:val="0081231B"/>
    <w:rsid w:val="0081241D"/>
    <w:rsid w:val="0081265D"/>
    <w:rsid w:val="0081271B"/>
    <w:rsid w:val="00813615"/>
    <w:rsid w:val="00813C4C"/>
    <w:rsid w:val="00813E36"/>
    <w:rsid w:val="008141A1"/>
    <w:rsid w:val="008141A5"/>
    <w:rsid w:val="00814310"/>
    <w:rsid w:val="00814BBD"/>
    <w:rsid w:val="00814BF7"/>
    <w:rsid w:val="00814CB6"/>
    <w:rsid w:val="008153D6"/>
    <w:rsid w:val="008154CC"/>
    <w:rsid w:val="00816182"/>
    <w:rsid w:val="0081667E"/>
    <w:rsid w:val="00816B7D"/>
    <w:rsid w:val="008171A2"/>
    <w:rsid w:val="0081787E"/>
    <w:rsid w:val="008178A3"/>
    <w:rsid w:val="00817AE9"/>
    <w:rsid w:val="00817B7D"/>
    <w:rsid w:val="00817C22"/>
    <w:rsid w:val="008205D2"/>
    <w:rsid w:val="0082080D"/>
    <w:rsid w:val="00820DB0"/>
    <w:rsid w:val="00820DCF"/>
    <w:rsid w:val="00820F87"/>
    <w:rsid w:val="00821594"/>
    <w:rsid w:val="00821632"/>
    <w:rsid w:val="00821A15"/>
    <w:rsid w:val="00821C28"/>
    <w:rsid w:val="008222EA"/>
    <w:rsid w:val="00822D5F"/>
    <w:rsid w:val="0082325E"/>
    <w:rsid w:val="00823942"/>
    <w:rsid w:val="008239C1"/>
    <w:rsid w:val="00823DD9"/>
    <w:rsid w:val="00824065"/>
    <w:rsid w:val="00824900"/>
    <w:rsid w:val="00824D95"/>
    <w:rsid w:val="00824DEA"/>
    <w:rsid w:val="00824E6E"/>
    <w:rsid w:val="008258EE"/>
    <w:rsid w:val="00825991"/>
    <w:rsid w:val="00825B09"/>
    <w:rsid w:val="008270CD"/>
    <w:rsid w:val="008276AD"/>
    <w:rsid w:val="00827739"/>
    <w:rsid w:val="00827E03"/>
    <w:rsid w:val="00831DD2"/>
    <w:rsid w:val="00831F40"/>
    <w:rsid w:val="00831F8D"/>
    <w:rsid w:val="0083205C"/>
    <w:rsid w:val="00832482"/>
    <w:rsid w:val="008327EF"/>
    <w:rsid w:val="00832B18"/>
    <w:rsid w:val="00832C94"/>
    <w:rsid w:val="0083371C"/>
    <w:rsid w:val="00833EF5"/>
    <w:rsid w:val="008344A6"/>
    <w:rsid w:val="008345FB"/>
    <w:rsid w:val="00834D70"/>
    <w:rsid w:val="008355E0"/>
    <w:rsid w:val="0083587B"/>
    <w:rsid w:val="00835D51"/>
    <w:rsid w:val="00835D5D"/>
    <w:rsid w:val="008360C6"/>
    <w:rsid w:val="00837548"/>
    <w:rsid w:val="0083758D"/>
    <w:rsid w:val="0083795C"/>
    <w:rsid w:val="00837BC9"/>
    <w:rsid w:val="00837BE6"/>
    <w:rsid w:val="008407BF"/>
    <w:rsid w:val="0084144B"/>
    <w:rsid w:val="00841FB0"/>
    <w:rsid w:val="0084250B"/>
    <w:rsid w:val="00843211"/>
    <w:rsid w:val="00845355"/>
    <w:rsid w:val="00847007"/>
    <w:rsid w:val="008471D1"/>
    <w:rsid w:val="008474EA"/>
    <w:rsid w:val="00850F60"/>
    <w:rsid w:val="0085135A"/>
    <w:rsid w:val="008523C8"/>
    <w:rsid w:val="00853081"/>
    <w:rsid w:val="008530B0"/>
    <w:rsid w:val="00853667"/>
    <w:rsid w:val="008538F0"/>
    <w:rsid w:val="00853CC3"/>
    <w:rsid w:val="0085405D"/>
    <w:rsid w:val="00854488"/>
    <w:rsid w:val="00854F48"/>
    <w:rsid w:val="0085532B"/>
    <w:rsid w:val="008559E3"/>
    <w:rsid w:val="00855A93"/>
    <w:rsid w:val="00856067"/>
    <w:rsid w:val="008563C9"/>
    <w:rsid w:val="00856496"/>
    <w:rsid w:val="00856678"/>
    <w:rsid w:val="00856BF4"/>
    <w:rsid w:val="00856E62"/>
    <w:rsid w:val="00856FAA"/>
    <w:rsid w:val="00856FB4"/>
    <w:rsid w:val="008570B3"/>
    <w:rsid w:val="00857D2D"/>
    <w:rsid w:val="00860033"/>
    <w:rsid w:val="0086023E"/>
    <w:rsid w:val="00860586"/>
    <w:rsid w:val="00860BB8"/>
    <w:rsid w:val="00860F9E"/>
    <w:rsid w:val="0086104F"/>
    <w:rsid w:val="008616BD"/>
    <w:rsid w:val="00861A7F"/>
    <w:rsid w:val="00861BD7"/>
    <w:rsid w:val="00861F95"/>
    <w:rsid w:val="00862F1E"/>
    <w:rsid w:val="00863116"/>
    <w:rsid w:val="00863390"/>
    <w:rsid w:val="00863452"/>
    <w:rsid w:val="00863B95"/>
    <w:rsid w:val="00863D4A"/>
    <w:rsid w:val="00864928"/>
    <w:rsid w:val="00864A9E"/>
    <w:rsid w:val="0086654F"/>
    <w:rsid w:val="00866C6B"/>
    <w:rsid w:val="00866E78"/>
    <w:rsid w:val="0086706D"/>
    <w:rsid w:val="008671A6"/>
    <w:rsid w:val="0086733F"/>
    <w:rsid w:val="008673BE"/>
    <w:rsid w:val="00867ECE"/>
    <w:rsid w:val="0087016E"/>
    <w:rsid w:val="00871694"/>
    <w:rsid w:val="008718A5"/>
    <w:rsid w:val="0087197C"/>
    <w:rsid w:val="00871E0A"/>
    <w:rsid w:val="00872879"/>
    <w:rsid w:val="0087290D"/>
    <w:rsid w:val="00872B51"/>
    <w:rsid w:val="00873BD9"/>
    <w:rsid w:val="00874022"/>
    <w:rsid w:val="008743B8"/>
    <w:rsid w:val="0087445F"/>
    <w:rsid w:val="00874649"/>
    <w:rsid w:val="008749BC"/>
    <w:rsid w:val="00874A29"/>
    <w:rsid w:val="00875873"/>
    <w:rsid w:val="00877150"/>
    <w:rsid w:val="008771F6"/>
    <w:rsid w:val="00877336"/>
    <w:rsid w:val="00877626"/>
    <w:rsid w:val="00877AFB"/>
    <w:rsid w:val="00880E96"/>
    <w:rsid w:val="00880F20"/>
    <w:rsid w:val="00881594"/>
    <w:rsid w:val="008815A0"/>
    <w:rsid w:val="008817D5"/>
    <w:rsid w:val="0088289C"/>
    <w:rsid w:val="00882DE2"/>
    <w:rsid w:val="008831E0"/>
    <w:rsid w:val="00883A23"/>
    <w:rsid w:val="008846DB"/>
    <w:rsid w:val="008856BB"/>
    <w:rsid w:val="0088612D"/>
    <w:rsid w:val="0088641B"/>
    <w:rsid w:val="0088749A"/>
    <w:rsid w:val="00887C0A"/>
    <w:rsid w:val="00887FE9"/>
    <w:rsid w:val="008900B4"/>
    <w:rsid w:val="0089024F"/>
    <w:rsid w:val="008902F3"/>
    <w:rsid w:val="008904FE"/>
    <w:rsid w:val="00890D15"/>
    <w:rsid w:val="00891E3E"/>
    <w:rsid w:val="00891ECA"/>
    <w:rsid w:val="00892C4A"/>
    <w:rsid w:val="00892F81"/>
    <w:rsid w:val="008940B6"/>
    <w:rsid w:val="0089427B"/>
    <w:rsid w:val="0089434C"/>
    <w:rsid w:val="00894C0C"/>
    <w:rsid w:val="00895302"/>
    <w:rsid w:val="00896584"/>
    <w:rsid w:val="00897225"/>
    <w:rsid w:val="008A08A7"/>
    <w:rsid w:val="008A0F8F"/>
    <w:rsid w:val="008A1A4E"/>
    <w:rsid w:val="008A2133"/>
    <w:rsid w:val="008A248E"/>
    <w:rsid w:val="008A2D13"/>
    <w:rsid w:val="008A2E4C"/>
    <w:rsid w:val="008A3F1C"/>
    <w:rsid w:val="008A4EA3"/>
    <w:rsid w:val="008A514E"/>
    <w:rsid w:val="008A54D1"/>
    <w:rsid w:val="008A691D"/>
    <w:rsid w:val="008A6AA8"/>
    <w:rsid w:val="008A7074"/>
    <w:rsid w:val="008A7BD1"/>
    <w:rsid w:val="008A7C49"/>
    <w:rsid w:val="008A7E43"/>
    <w:rsid w:val="008B0272"/>
    <w:rsid w:val="008B0BF1"/>
    <w:rsid w:val="008B16B5"/>
    <w:rsid w:val="008B199E"/>
    <w:rsid w:val="008B2A0B"/>
    <w:rsid w:val="008B2DD1"/>
    <w:rsid w:val="008B3696"/>
    <w:rsid w:val="008B3C74"/>
    <w:rsid w:val="008B3DE8"/>
    <w:rsid w:val="008B54B7"/>
    <w:rsid w:val="008B5E44"/>
    <w:rsid w:val="008B6C89"/>
    <w:rsid w:val="008B70E0"/>
    <w:rsid w:val="008B7105"/>
    <w:rsid w:val="008B7C32"/>
    <w:rsid w:val="008C0AD0"/>
    <w:rsid w:val="008C0E43"/>
    <w:rsid w:val="008C1203"/>
    <w:rsid w:val="008C138B"/>
    <w:rsid w:val="008C2049"/>
    <w:rsid w:val="008C26D1"/>
    <w:rsid w:val="008C26D8"/>
    <w:rsid w:val="008C2AF8"/>
    <w:rsid w:val="008C2F81"/>
    <w:rsid w:val="008C33F2"/>
    <w:rsid w:val="008C6044"/>
    <w:rsid w:val="008C61CF"/>
    <w:rsid w:val="008C650E"/>
    <w:rsid w:val="008C669E"/>
    <w:rsid w:val="008C6800"/>
    <w:rsid w:val="008C69D9"/>
    <w:rsid w:val="008D0232"/>
    <w:rsid w:val="008D0AD1"/>
    <w:rsid w:val="008D183B"/>
    <w:rsid w:val="008D1A69"/>
    <w:rsid w:val="008D25B8"/>
    <w:rsid w:val="008D35CB"/>
    <w:rsid w:val="008D3600"/>
    <w:rsid w:val="008D3BA1"/>
    <w:rsid w:val="008D4290"/>
    <w:rsid w:val="008D43B6"/>
    <w:rsid w:val="008D49D4"/>
    <w:rsid w:val="008D56C4"/>
    <w:rsid w:val="008D595B"/>
    <w:rsid w:val="008D5BDD"/>
    <w:rsid w:val="008D64E9"/>
    <w:rsid w:val="008D67F2"/>
    <w:rsid w:val="008D6EE6"/>
    <w:rsid w:val="008D738D"/>
    <w:rsid w:val="008D76F5"/>
    <w:rsid w:val="008D7872"/>
    <w:rsid w:val="008D7952"/>
    <w:rsid w:val="008D7BB6"/>
    <w:rsid w:val="008E026A"/>
    <w:rsid w:val="008E066F"/>
    <w:rsid w:val="008E082B"/>
    <w:rsid w:val="008E0D21"/>
    <w:rsid w:val="008E0DD3"/>
    <w:rsid w:val="008E14E7"/>
    <w:rsid w:val="008E1DA2"/>
    <w:rsid w:val="008E3643"/>
    <w:rsid w:val="008E373C"/>
    <w:rsid w:val="008E380B"/>
    <w:rsid w:val="008E3AEC"/>
    <w:rsid w:val="008E3DF1"/>
    <w:rsid w:val="008E4811"/>
    <w:rsid w:val="008E50CD"/>
    <w:rsid w:val="008E51AE"/>
    <w:rsid w:val="008E5C47"/>
    <w:rsid w:val="008E67F9"/>
    <w:rsid w:val="008E69D4"/>
    <w:rsid w:val="008E6ADF"/>
    <w:rsid w:val="008E6C24"/>
    <w:rsid w:val="008E6C8A"/>
    <w:rsid w:val="008E7385"/>
    <w:rsid w:val="008E773A"/>
    <w:rsid w:val="008E7F85"/>
    <w:rsid w:val="008F0289"/>
    <w:rsid w:val="008F081B"/>
    <w:rsid w:val="008F0835"/>
    <w:rsid w:val="008F084A"/>
    <w:rsid w:val="008F0CA6"/>
    <w:rsid w:val="008F0D29"/>
    <w:rsid w:val="008F1051"/>
    <w:rsid w:val="008F1364"/>
    <w:rsid w:val="008F2466"/>
    <w:rsid w:val="008F2EF1"/>
    <w:rsid w:val="008F37F5"/>
    <w:rsid w:val="008F3E54"/>
    <w:rsid w:val="008F3E71"/>
    <w:rsid w:val="008F46FB"/>
    <w:rsid w:val="008F4D27"/>
    <w:rsid w:val="008F5090"/>
    <w:rsid w:val="008F53DC"/>
    <w:rsid w:val="008F5842"/>
    <w:rsid w:val="008F58A7"/>
    <w:rsid w:val="008F58D3"/>
    <w:rsid w:val="008F665A"/>
    <w:rsid w:val="008F69CD"/>
    <w:rsid w:val="008F7182"/>
    <w:rsid w:val="008F71BE"/>
    <w:rsid w:val="008F75F5"/>
    <w:rsid w:val="008F7620"/>
    <w:rsid w:val="009004CF"/>
    <w:rsid w:val="009008FA"/>
    <w:rsid w:val="00901D98"/>
    <w:rsid w:val="009021F0"/>
    <w:rsid w:val="009023B8"/>
    <w:rsid w:val="00902E37"/>
    <w:rsid w:val="00903164"/>
    <w:rsid w:val="00903239"/>
    <w:rsid w:val="009032F1"/>
    <w:rsid w:val="009044D6"/>
    <w:rsid w:val="00904648"/>
    <w:rsid w:val="009047A1"/>
    <w:rsid w:val="009047B2"/>
    <w:rsid w:val="00904B24"/>
    <w:rsid w:val="00904B7B"/>
    <w:rsid w:val="00904E98"/>
    <w:rsid w:val="0090560A"/>
    <w:rsid w:val="0090677E"/>
    <w:rsid w:val="00907246"/>
    <w:rsid w:val="00907AD6"/>
    <w:rsid w:val="00907EEE"/>
    <w:rsid w:val="00910D12"/>
    <w:rsid w:val="00910E56"/>
    <w:rsid w:val="009114FA"/>
    <w:rsid w:val="00911D39"/>
    <w:rsid w:val="00912325"/>
    <w:rsid w:val="00912544"/>
    <w:rsid w:val="00912858"/>
    <w:rsid w:val="00912B14"/>
    <w:rsid w:val="00912B83"/>
    <w:rsid w:val="00912B9C"/>
    <w:rsid w:val="009136DE"/>
    <w:rsid w:val="009137EF"/>
    <w:rsid w:val="0091389B"/>
    <w:rsid w:val="00913CF6"/>
    <w:rsid w:val="0091418C"/>
    <w:rsid w:val="00915ADC"/>
    <w:rsid w:val="00915BF2"/>
    <w:rsid w:val="00916254"/>
    <w:rsid w:val="00917129"/>
    <w:rsid w:val="0091735B"/>
    <w:rsid w:val="0091746E"/>
    <w:rsid w:val="00917BDE"/>
    <w:rsid w:val="0092039E"/>
    <w:rsid w:val="0092040B"/>
    <w:rsid w:val="009211EC"/>
    <w:rsid w:val="009215DC"/>
    <w:rsid w:val="00921C01"/>
    <w:rsid w:val="009223FD"/>
    <w:rsid w:val="00922D6A"/>
    <w:rsid w:val="00923A53"/>
    <w:rsid w:val="0092537B"/>
    <w:rsid w:val="0092542F"/>
    <w:rsid w:val="0092546B"/>
    <w:rsid w:val="00925B3D"/>
    <w:rsid w:val="00926236"/>
    <w:rsid w:val="00926C13"/>
    <w:rsid w:val="00926CB0"/>
    <w:rsid w:val="009279D1"/>
    <w:rsid w:val="00927B27"/>
    <w:rsid w:val="009305ED"/>
    <w:rsid w:val="009306BC"/>
    <w:rsid w:val="00930A6E"/>
    <w:rsid w:val="00930EFC"/>
    <w:rsid w:val="009310E5"/>
    <w:rsid w:val="009315C3"/>
    <w:rsid w:val="00931A20"/>
    <w:rsid w:val="00931A3A"/>
    <w:rsid w:val="009327B3"/>
    <w:rsid w:val="009339D7"/>
    <w:rsid w:val="00933B23"/>
    <w:rsid w:val="00935680"/>
    <w:rsid w:val="009358F7"/>
    <w:rsid w:val="0093662D"/>
    <w:rsid w:val="00936875"/>
    <w:rsid w:val="00936A7E"/>
    <w:rsid w:val="00936B91"/>
    <w:rsid w:val="0093732A"/>
    <w:rsid w:val="009375CF"/>
    <w:rsid w:val="00937CC3"/>
    <w:rsid w:val="00937F8E"/>
    <w:rsid w:val="00940849"/>
    <w:rsid w:val="00940CC7"/>
    <w:rsid w:val="00940E82"/>
    <w:rsid w:val="009413D5"/>
    <w:rsid w:val="00941EA1"/>
    <w:rsid w:val="00942698"/>
    <w:rsid w:val="00942BA0"/>
    <w:rsid w:val="00942D12"/>
    <w:rsid w:val="00943DF8"/>
    <w:rsid w:val="00944068"/>
    <w:rsid w:val="00944BC0"/>
    <w:rsid w:val="00944EB4"/>
    <w:rsid w:val="00944F83"/>
    <w:rsid w:val="00945700"/>
    <w:rsid w:val="009457E1"/>
    <w:rsid w:val="00945908"/>
    <w:rsid w:val="00945AA0"/>
    <w:rsid w:val="00945D1F"/>
    <w:rsid w:val="009464C1"/>
    <w:rsid w:val="0094677A"/>
    <w:rsid w:val="009469AD"/>
    <w:rsid w:val="00946A72"/>
    <w:rsid w:val="00946B4D"/>
    <w:rsid w:val="0094738A"/>
    <w:rsid w:val="00947782"/>
    <w:rsid w:val="009479E3"/>
    <w:rsid w:val="0095049C"/>
    <w:rsid w:val="0095057C"/>
    <w:rsid w:val="00951AD1"/>
    <w:rsid w:val="00952C85"/>
    <w:rsid w:val="00952DAB"/>
    <w:rsid w:val="00952E18"/>
    <w:rsid w:val="00954247"/>
    <w:rsid w:val="00954B8B"/>
    <w:rsid w:val="00955381"/>
    <w:rsid w:val="009566E0"/>
    <w:rsid w:val="00956A3D"/>
    <w:rsid w:val="00957348"/>
    <w:rsid w:val="00957550"/>
    <w:rsid w:val="0095774D"/>
    <w:rsid w:val="00957B25"/>
    <w:rsid w:val="00957B2E"/>
    <w:rsid w:val="00960AF3"/>
    <w:rsid w:val="00961175"/>
    <w:rsid w:val="009614A1"/>
    <w:rsid w:val="00961553"/>
    <w:rsid w:val="00961E16"/>
    <w:rsid w:val="009631E6"/>
    <w:rsid w:val="0096338B"/>
    <w:rsid w:val="00963486"/>
    <w:rsid w:val="00964595"/>
    <w:rsid w:val="00964CE8"/>
    <w:rsid w:val="00964DC7"/>
    <w:rsid w:val="00965668"/>
    <w:rsid w:val="00965A40"/>
    <w:rsid w:val="00965B49"/>
    <w:rsid w:val="009664F6"/>
    <w:rsid w:val="009702FE"/>
    <w:rsid w:val="0097131D"/>
    <w:rsid w:val="009713D5"/>
    <w:rsid w:val="00971752"/>
    <w:rsid w:val="009717F5"/>
    <w:rsid w:val="00971882"/>
    <w:rsid w:val="0097196E"/>
    <w:rsid w:val="00971F75"/>
    <w:rsid w:val="00972515"/>
    <w:rsid w:val="00972711"/>
    <w:rsid w:val="00972926"/>
    <w:rsid w:val="009729DB"/>
    <w:rsid w:val="00972E38"/>
    <w:rsid w:val="0097314D"/>
    <w:rsid w:val="00973524"/>
    <w:rsid w:val="0097422A"/>
    <w:rsid w:val="0097445D"/>
    <w:rsid w:val="00974650"/>
    <w:rsid w:val="00974706"/>
    <w:rsid w:val="009749FA"/>
    <w:rsid w:val="00974CA8"/>
    <w:rsid w:val="00974DD4"/>
    <w:rsid w:val="00975234"/>
    <w:rsid w:val="00975B01"/>
    <w:rsid w:val="00975DC4"/>
    <w:rsid w:val="00975F98"/>
    <w:rsid w:val="009763CA"/>
    <w:rsid w:val="009766B9"/>
    <w:rsid w:val="009768E6"/>
    <w:rsid w:val="00976CD5"/>
    <w:rsid w:val="00976ED2"/>
    <w:rsid w:val="0097717D"/>
    <w:rsid w:val="00977487"/>
    <w:rsid w:val="0097785A"/>
    <w:rsid w:val="009779F3"/>
    <w:rsid w:val="00977D77"/>
    <w:rsid w:val="00981B05"/>
    <w:rsid w:val="009820E0"/>
    <w:rsid w:val="00982140"/>
    <w:rsid w:val="00982147"/>
    <w:rsid w:val="00982745"/>
    <w:rsid w:val="00982B56"/>
    <w:rsid w:val="0098343A"/>
    <w:rsid w:val="00983D8C"/>
    <w:rsid w:val="0098415C"/>
    <w:rsid w:val="00984245"/>
    <w:rsid w:val="0098435C"/>
    <w:rsid w:val="00984474"/>
    <w:rsid w:val="009847DA"/>
    <w:rsid w:val="00984AA4"/>
    <w:rsid w:val="00984DBB"/>
    <w:rsid w:val="009851F1"/>
    <w:rsid w:val="00985345"/>
    <w:rsid w:val="009859C5"/>
    <w:rsid w:val="00985B1B"/>
    <w:rsid w:val="00986166"/>
    <w:rsid w:val="00986198"/>
    <w:rsid w:val="0098656F"/>
    <w:rsid w:val="009865B3"/>
    <w:rsid w:val="00987423"/>
    <w:rsid w:val="00987867"/>
    <w:rsid w:val="00990B63"/>
    <w:rsid w:val="00990DB4"/>
    <w:rsid w:val="00991011"/>
    <w:rsid w:val="009913D6"/>
    <w:rsid w:val="00991503"/>
    <w:rsid w:val="0099151E"/>
    <w:rsid w:val="00991724"/>
    <w:rsid w:val="00991D9A"/>
    <w:rsid w:val="00992014"/>
    <w:rsid w:val="009928F4"/>
    <w:rsid w:val="00992A58"/>
    <w:rsid w:val="00993074"/>
    <w:rsid w:val="00993283"/>
    <w:rsid w:val="00993A06"/>
    <w:rsid w:val="00993A67"/>
    <w:rsid w:val="00993E63"/>
    <w:rsid w:val="009945B2"/>
    <w:rsid w:val="009954C3"/>
    <w:rsid w:val="00995698"/>
    <w:rsid w:val="00996A1B"/>
    <w:rsid w:val="00996DA1"/>
    <w:rsid w:val="00996F43"/>
    <w:rsid w:val="00996FE5"/>
    <w:rsid w:val="00997678"/>
    <w:rsid w:val="00997CB4"/>
    <w:rsid w:val="00997CCC"/>
    <w:rsid w:val="00997EA9"/>
    <w:rsid w:val="00997F99"/>
    <w:rsid w:val="009A05BC"/>
    <w:rsid w:val="009A06A3"/>
    <w:rsid w:val="009A0709"/>
    <w:rsid w:val="009A0720"/>
    <w:rsid w:val="009A0834"/>
    <w:rsid w:val="009A09DB"/>
    <w:rsid w:val="009A0AD5"/>
    <w:rsid w:val="009A0DE9"/>
    <w:rsid w:val="009A14C9"/>
    <w:rsid w:val="009A1F8E"/>
    <w:rsid w:val="009A28A5"/>
    <w:rsid w:val="009A29AC"/>
    <w:rsid w:val="009A3434"/>
    <w:rsid w:val="009A391F"/>
    <w:rsid w:val="009A3C16"/>
    <w:rsid w:val="009A3CE6"/>
    <w:rsid w:val="009A3EA5"/>
    <w:rsid w:val="009A42D9"/>
    <w:rsid w:val="009A4500"/>
    <w:rsid w:val="009A4C0F"/>
    <w:rsid w:val="009A5C33"/>
    <w:rsid w:val="009A6307"/>
    <w:rsid w:val="009A649E"/>
    <w:rsid w:val="009A6B93"/>
    <w:rsid w:val="009A6EA1"/>
    <w:rsid w:val="009A7056"/>
    <w:rsid w:val="009A720A"/>
    <w:rsid w:val="009A7A02"/>
    <w:rsid w:val="009A7B7A"/>
    <w:rsid w:val="009B0B19"/>
    <w:rsid w:val="009B1415"/>
    <w:rsid w:val="009B17B8"/>
    <w:rsid w:val="009B1850"/>
    <w:rsid w:val="009B1B00"/>
    <w:rsid w:val="009B1FE6"/>
    <w:rsid w:val="009B2034"/>
    <w:rsid w:val="009B2934"/>
    <w:rsid w:val="009B2C3F"/>
    <w:rsid w:val="009B2E9D"/>
    <w:rsid w:val="009B2EC3"/>
    <w:rsid w:val="009B333D"/>
    <w:rsid w:val="009B398A"/>
    <w:rsid w:val="009B3B67"/>
    <w:rsid w:val="009B4C39"/>
    <w:rsid w:val="009B4D39"/>
    <w:rsid w:val="009B5029"/>
    <w:rsid w:val="009B5337"/>
    <w:rsid w:val="009B5378"/>
    <w:rsid w:val="009B63BE"/>
    <w:rsid w:val="009B6C9C"/>
    <w:rsid w:val="009B6CAF"/>
    <w:rsid w:val="009B73C7"/>
    <w:rsid w:val="009C00A6"/>
    <w:rsid w:val="009C03C0"/>
    <w:rsid w:val="009C08E4"/>
    <w:rsid w:val="009C0F66"/>
    <w:rsid w:val="009C1735"/>
    <w:rsid w:val="009C19F9"/>
    <w:rsid w:val="009C1AA8"/>
    <w:rsid w:val="009C2043"/>
    <w:rsid w:val="009C2115"/>
    <w:rsid w:val="009C220B"/>
    <w:rsid w:val="009C27CA"/>
    <w:rsid w:val="009C28BA"/>
    <w:rsid w:val="009C3015"/>
    <w:rsid w:val="009C328A"/>
    <w:rsid w:val="009C3679"/>
    <w:rsid w:val="009C36AB"/>
    <w:rsid w:val="009C52E7"/>
    <w:rsid w:val="009C58B4"/>
    <w:rsid w:val="009C627C"/>
    <w:rsid w:val="009C67E0"/>
    <w:rsid w:val="009C6B79"/>
    <w:rsid w:val="009C7701"/>
    <w:rsid w:val="009C7A5A"/>
    <w:rsid w:val="009D07E2"/>
    <w:rsid w:val="009D0883"/>
    <w:rsid w:val="009D2076"/>
    <w:rsid w:val="009D233B"/>
    <w:rsid w:val="009D25D2"/>
    <w:rsid w:val="009D2659"/>
    <w:rsid w:val="009D26D6"/>
    <w:rsid w:val="009D2B31"/>
    <w:rsid w:val="009D3462"/>
    <w:rsid w:val="009D458B"/>
    <w:rsid w:val="009D4D38"/>
    <w:rsid w:val="009D593B"/>
    <w:rsid w:val="009D66D5"/>
    <w:rsid w:val="009D6C1B"/>
    <w:rsid w:val="009D7612"/>
    <w:rsid w:val="009E083D"/>
    <w:rsid w:val="009E08F2"/>
    <w:rsid w:val="009E0E88"/>
    <w:rsid w:val="009E124E"/>
    <w:rsid w:val="009E2093"/>
    <w:rsid w:val="009E219A"/>
    <w:rsid w:val="009E2D90"/>
    <w:rsid w:val="009E2E70"/>
    <w:rsid w:val="009E3435"/>
    <w:rsid w:val="009E429E"/>
    <w:rsid w:val="009E4317"/>
    <w:rsid w:val="009E4F14"/>
    <w:rsid w:val="009E5AB1"/>
    <w:rsid w:val="009E5C46"/>
    <w:rsid w:val="009E6FA7"/>
    <w:rsid w:val="009E73CC"/>
    <w:rsid w:val="009E7ADE"/>
    <w:rsid w:val="009F02EC"/>
    <w:rsid w:val="009F04E4"/>
    <w:rsid w:val="009F06F8"/>
    <w:rsid w:val="009F0DC1"/>
    <w:rsid w:val="009F1100"/>
    <w:rsid w:val="009F19A2"/>
    <w:rsid w:val="009F19A9"/>
    <w:rsid w:val="009F23A3"/>
    <w:rsid w:val="009F2F7C"/>
    <w:rsid w:val="009F305D"/>
    <w:rsid w:val="009F36AD"/>
    <w:rsid w:val="009F3A58"/>
    <w:rsid w:val="009F4AEE"/>
    <w:rsid w:val="009F5B62"/>
    <w:rsid w:val="009F5DD6"/>
    <w:rsid w:val="009F636D"/>
    <w:rsid w:val="009F66D1"/>
    <w:rsid w:val="009F6794"/>
    <w:rsid w:val="009F6928"/>
    <w:rsid w:val="009F6D0B"/>
    <w:rsid w:val="009F6DEA"/>
    <w:rsid w:val="009F6E4B"/>
    <w:rsid w:val="009F7AA4"/>
    <w:rsid w:val="00A0082A"/>
    <w:rsid w:val="00A00911"/>
    <w:rsid w:val="00A0097A"/>
    <w:rsid w:val="00A00A9E"/>
    <w:rsid w:val="00A00DCE"/>
    <w:rsid w:val="00A01460"/>
    <w:rsid w:val="00A017F4"/>
    <w:rsid w:val="00A01AC0"/>
    <w:rsid w:val="00A01DDA"/>
    <w:rsid w:val="00A01E13"/>
    <w:rsid w:val="00A02201"/>
    <w:rsid w:val="00A02E29"/>
    <w:rsid w:val="00A03986"/>
    <w:rsid w:val="00A04102"/>
    <w:rsid w:val="00A0437D"/>
    <w:rsid w:val="00A044DD"/>
    <w:rsid w:val="00A049B9"/>
    <w:rsid w:val="00A04A49"/>
    <w:rsid w:val="00A04B6A"/>
    <w:rsid w:val="00A04C8E"/>
    <w:rsid w:val="00A04D9C"/>
    <w:rsid w:val="00A055E7"/>
    <w:rsid w:val="00A060F0"/>
    <w:rsid w:val="00A063BB"/>
    <w:rsid w:val="00A06726"/>
    <w:rsid w:val="00A068FC"/>
    <w:rsid w:val="00A06F20"/>
    <w:rsid w:val="00A073CF"/>
    <w:rsid w:val="00A07907"/>
    <w:rsid w:val="00A07CEF"/>
    <w:rsid w:val="00A07E39"/>
    <w:rsid w:val="00A10665"/>
    <w:rsid w:val="00A10D01"/>
    <w:rsid w:val="00A10D7F"/>
    <w:rsid w:val="00A116B0"/>
    <w:rsid w:val="00A116B1"/>
    <w:rsid w:val="00A1238E"/>
    <w:rsid w:val="00A12751"/>
    <w:rsid w:val="00A12BF7"/>
    <w:rsid w:val="00A1360C"/>
    <w:rsid w:val="00A13907"/>
    <w:rsid w:val="00A139CF"/>
    <w:rsid w:val="00A13F5C"/>
    <w:rsid w:val="00A13FCB"/>
    <w:rsid w:val="00A14C9C"/>
    <w:rsid w:val="00A1538B"/>
    <w:rsid w:val="00A1544D"/>
    <w:rsid w:val="00A155F2"/>
    <w:rsid w:val="00A15A55"/>
    <w:rsid w:val="00A1607A"/>
    <w:rsid w:val="00A1644E"/>
    <w:rsid w:val="00A168ED"/>
    <w:rsid w:val="00A17586"/>
    <w:rsid w:val="00A17A9D"/>
    <w:rsid w:val="00A17C9D"/>
    <w:rsid w:val="00A20096"/>
    <w:rsid w:val="00A208D1"/>
    <w:rsid w:val="00A20AA3"/>
    <w:rsid w:val="00A20C9B"/>
    <w:rsid w:val="00A21097"/>
    <w:rsid w:val="00A21304"/>
    <w:rsid w:val="00A21BFD"/>
    <w:rsid w:val="00A21F67"/>
    <w:rsid w:val="00A22625"/>
    <w:rsid w:val="00A23198"/>
    <w:rsid w:val="00A231AE"/>
    <w:rsid w:val="00A2349C"/>
    <w:rsid w:val="00A23951"/>
    <w:rsid w:val="00A23CA6"/>
    <w:rsid w:val="00A23FAB"/>
    <w:rsid w:val="00A24753"/>
    <w:rsid w:val="00A2488A"/>
    <w:rsid w:val="00A24EF3"/>
    <w:rsid w:val="00A25DF9"/>
    <w:rsid w:val="00A269DC"/>
    <w:rsid w:val="00A26B42"/>
    <w:rsid w:val="00A27374"/>
    <w:rsid w:val="00A305A8"/>
    <w:rsid w:val="00A309FB"/>
    <w:rsid w:val="00A30D80"/>
    <w:rsid w:val="00A30F97"/>
    <w:rsid w:val="00A317CD"/>
    <w:rsid w:val="00A3186A"/>
    <w:rsid w:val="00A31AA0"/>
    <w:rsid w:val="00A31F86"/>
    <w:rsid w:val="00A32041"/>
    <w:rsid w:val="00A33516"/>
    <w:rsid w:val="00A33CB9"/>
    <w:rsid w:val="00A33CE8"/>
    <w:rsid w:val="00A342D5"/>
    <w:rsid w:val="00A34428"/>
    <w:rsid w:val="00A34F76"/>
    <w:rsid w:val="00A352F3"/>
    <w:rsid w:val="00A356F7"/>
    <w:rsid w:val="00A35AC9"/>
    <w:rsid w:val="00A36180"/>
    <w:rsid w:val="00A361FF"/>
    <w:rsid w:val="00A363BD"/>
    <w:rsid w:val="00A36622"/>
    <w:rsid w:val="00A36F17"/>
    <w:rsid w:val="00A377E6"/>
    <w:rsid w:val="00A404DC"/>
    <w:rsid w:val="00A40585"/>
    <w:rsid w:val="00A40ABF"/>
    <w:rsid w:val="00A40AD1"/>
    <w:rsid w:val="00A40C6F"/>
    <w:rsid w:val="00A40FAE"/>
    <w:rsid w:val="00A41472"/>
    <w:rsid w:val="00A4184E"/>
    <w:rsid w:val="00A429F3"/>
    <w:rsid w:val="00A42B0D"/>
    <w:rsid w:val="00A42C7A"/>
    <w:rsid w:val="00A43122"/>
    <w:rsid w:val="00A438A2"/>
    <w:rsid w:val="00A43BA6"/>
    <w:rsid w:val="00A43FF9"/>
    <w:rsid w:val="00A45E8D"/>
    <w:rsid w:val="00A45EDD"/>
    <w:rsid w:val="00A469CB"/>
    <w:rsid w:val="00A46AB8"/>
    <w:rsid w:val="00A46CE2"/>
    <w:rsid w:val="00A47BA1"/>
    <w:rsid w:val="00A5074B"/>
    <w:rsid w:val="00A50E31"/>
    <w:rsid w:val="00A513E1"/>
    <w:rsid w:val="00A51561"/>
    <w:rsid w:val="00A5185F"/>
    <w:rsid w:val="00A52D77"/>
    <w:rsid w:val="00A53023"/>
    <w:rsid w:val="00A5344D"/>
    <w:rsid w:val="00A53518"/>
    <w:rsid w:val="00A537BF"/>
    <w:rsid w:val="00A53F5E"/>
    <w:rsid w:val="00A5404D"/>
    <w:rsid w:val="00A54396"/>
    <w:rsid w:val="00A547D8"/>
    <w:rsid w:val="00A54F01"/>
    <w:rsid w:val="00A5507E"/>
    <w:rsid w:val="00A55294"/>
    <w:rsid w:val="00A555E2"/>
    <w:rsid w:val="00A55B73"/>
    <w:rsid w:val="00A55C08"/>
    <w:rsid w:val="00A55FFE"/>
    <w:rsid w:val="00A561BA"/>
    <w:rsid w:val="00A564A7"/>
    <w:rsid w:val="00A564F4"/>
    <w:rsid w:val="00A56547"/>
    <w:rsid w:val="00A5656E"/>
    <w:rsid w:val="00A56794"/>
    <w:rsid w:val="00A56F94"/>
    <w:rsid w:val="00A576CB"/>
    <w:rsid w:val="00A57B8D"/>
    <w:rsid w:val="00A57CD9"/>
    <w:rsid w:val="00A57EA9"/>
    <w:rsid w:val="00A60C63"/>
    <w:rsid w:val="00A60E35"/>
    <w:rsid w:val="00A61854"/>
    <w:rsid w:val="00A62320"/>
    <w:rsid w:val="00A62D34"/>
    <w:rsid w:val="00A63B13"/>
    <w:rsid w:val="00A6488F"/>
    <w:rsid w:val="00A65B77"/>
    <w:rsid w:val="00A66396"/>
    <w:rsid w:val="00A6660D"/>
    <w:rsid w:val="00A66690"/>
    <w:rsid w:val="00A6688A"/>
    <w:rsid w:val="00A669EF"/>
    <w:rsid w:val="00A67044"/>
    <w:rsid w:val="00A67595"/>
    <w:rsid w:val="00A70F66"/>
    <w:rsid w:val="00A71312"/>
    <w:rsid w:val="00A71AC0"/>
    <w:rsid w:val="00A72195"/>
    <w:rsid w:val="00A724CD"/>
    <w:rsid w:val="00A72814"/>
    <w:rsid w:val="00A728BA"/>
    <w:rsid w:val="00A72CCB"/>
    <w:rsid w:val="00A72FE5"/>
    <w:rsid w:val="00A735A5"/>
    <w:rsid w:val="00A739A4"/>
    <w:rsid w:val="00A73E70"/>
    <w:rsid w:val="00A745C7"/>
    <w:rsid w:val="00A745D6"/>
    <w:rsid w:val="00A7569B"/>
    <w:rsid w:val="00A76DE5"/>
    <w:rsid w:val="00A76E4C"/>
    <w:rsid w:val="00A76EEE"/>
    <w:rsid w:val="00A771FD"/>
    <w:rsid w:val="00A801C5"/>
    <w:rsid w:val="00A80D70"/>
    <w:rsid w:val="00A811B0"/>
    <w:rsid w:val="00A821A8"/>
    <w:rsid w:val="00A8247B"/>
    <w:rsid w:val="00A82AB1"/>
    <w:rsid w:val="00A83374"/>
    <w:rsid w:val="00A83AE8"/>
    <w:rsid w:val="00A83B53"/>
    <w:rsid w:val="00A83BED"/>
    <w:rsid w:val="00A83C75"/>
    <w:rsid w:val="00A8421E"/>
    <w:rsid w:val="00A84FFB"/>
    <w:rsid w:val="00A850F0"/>
    <w:rsid w:val="00A8638E"/>
    <w:rsid w:val="00A86AD4"/>
    <w:rsid w:val="00A86CCC"/>
    <w:rsid w:val="00A86EB4"/>
    <w:rsid w:val="00A87301"/>
    <w:rsid w:val="00A87392"/>
    <w:rsid w:val="00A87610"/>
    <w:rsid w:val="00A87A89"/>
    <w:rsid w:val="00A87C6F"/>
    <w:rsid w:val="00A87CC7"/>
    <w:rsid w:val="00A90C7A"/>
    <w:rsid w:val="00A90D11"/>
    <w:rsid w:val="00A90E57"/>
    <w:rsid w:val="00A9192D"/>
    <w:rsid w:val="00A9197E"/>
    <w:rsid w:val="00A91C31"/>
    <w:rsid w:val="00A91DC7"/>
    <w:rsid w:val="00A92013"/>
    <w:rsid w:val="00A92120"/>
    <w:rsid w:val="00A92127"/>
    <w:rsid w:val="00A922EC"/>
    <w:rsid w:val="00A92722"/>
    <w:rsid w:val="00A93177"/>
    <w:rsid w:val="00A94113"/>
    <w:rsid w:val="00A942B1"/>
    <w:rsid w:val="00A94553"/>
    <w:rsid w:val="00A9490C"/>
    <w:rsid w:val="00A94CA0"/>
    <w:rsid w:val="00A9554A"/>
    <w:rsid w:val="00A970A3"/>
    <w:rsid w:val="00A97B6C"/>
    <w:rsid w:val="00AA0328"/>
    <w:rsid w:val="00AA0F55"/>
    <w:rsid w:val="00AA12BA"/>
    <w:rsid w:val="00AA14B4"/>
    <w:rsid w:val="00AA156C"/>
    <w:rsid w:val="00AA1B05"/>
    <w:rsid w:val="00AA20D7"/>
    <w:rsid w:val="00AA2BEE"/>
    <w:rsid w:val="00AA399B"/>
    <w:rsid w:val="00AA3CD2"/>
    <w:rsid w:val="00AA449A"/>
    <w:rsid w:val="00AA4C37"/>
    <w:rsid w:val="00AA4C77"/>
    <w:rsid w:val="00AA51A6"/>
    <w:rsid w:val="00AA54A8"/>
    <w:rsid w:val="00AA60CC"/>
    <w:rsid w:val="00AA620C"/>
    <w:rsid w:val="00AA6395"/>
    <w:rsid w:val="00AA6EBF"/>
    <w:rsid w:val="00AA7A9D"/>
    <w:rsid w:val="00AB08D4"/>
    <w:rsid w:val="00AB0B63"/>
    <w:rsid w:val="00AB1C88"/>
    <w:rsid w:val="00AB290F"/>
    <w:rsid w:val="00AB35F7"/>
    <w:rsid w:val="00AB4034"/>
    <w:rsid w:val="00AB4039"/>
    <w:rsid w:val="00AB40BC"/>
    <w:rsid w:val="00AB4162"/>
    <w:rsid w:val="00AB432B"/>
    <w:rsid w:val="00AB449A"/>
    <w:rsid w:val="00AB5963"/>
    <w:rsid w:val="00AB5D5D"/>
    <w:rsid w:val="00AB5E78"/>
    <w:rsid w:val="00AB6264"/>
    <w:rsid w:val="00AB66BE"/>
    <w:rsid w:val="00AB70E6"/>
    <w:rsid w:val="00AB71BA"/>
    <w:rsid w:val="00AB78C8"/>
    <w:rsid w:val="00AB7EAD"/>
    <w:rsid w:val="00AB7F0F"/>
    <w:rsid w:val="00AC02C8"/>
    <w:rsid w:val="00AC0D51"/>
    <w:rsid w:val="00AC1457"/>
    <w:rsid w:val="00AC17E0"/>
    <w:rsid w:val="00AC1813"/>
    <w:rsid w:val="00AC1876"/>
    <w:rsid w:val="00AC2227"/>
    <w:rsid w:val="00AC2B19"/>
    <w:rsid w:val="00AC33AA"/>
    <w:rsid w:val="00AC3993"/>
    <w:rsid w:val="00AC3E4E"/>
    <w:rsid w:val="00AC3F41"/>
    <w:rsid w:val="00AC4C99"/>
    <w:rsid w:val="00AC4DE4"/>
    <w:rsid w:val="00AC4F78"/>
    <w:rsid w:val="00AC527A"/>
    <w:rsid w:val="00AC5940"/>
    <w:rsid w:val="00AC5B59"/>
    <w:rsid w:val="00AC5B80"/>
    <w:rsid w:val="00AC5ED0"/>
    <w:rsid w:val="00AC60D0"/>
    <w:rsid w:val="00AC61B5"/>
    <w:rsid w:val="00AC62B1"/>
    <w:rsid w:val="00AC692C"/>
    <w:rsid w:val="00AC6E5F"/>
    <w:rsid w:val="00AC6F11"/>
    <w:rsid w:val="00AC75DB"/>
    <w:rsid w:val="00AD0D62"/>
    <w:rsid w:val="00AD1523"/>
    <w:rsid w:val="00AD1733"/>
    <w:rsid w:val="00AD199E"/>
    <w:rsid w:val="00AD240F"/>
    <w:rsid w:val="00AD275D"/>
    <w:rsid w:val="00AD288D"/>
    <w:rsid w:val="00AD35CE"/>
    <w:rsid w:val="00AD394F"/>
    <w:rsid w:val="00AD3FB2"/>
    <w:rsid w:val="00AD42C6"/>
    <w:rsid w:val="00AD4800"/>
    <w:rsid w:val="00AD4B96"/>
    <w:rsid w:val="00AD59F4"/>
    <w:rsid w:val="00AD5DF9"/>
    <w:rsid w:val="00AD6085"/>
    <w:rsid w:val="00AD640C"/>
    <w:rsid w:val="00AD6B6D"/>
    <w:rsid w:val="00AD791E"/>
    <w:rsid w:val="00AE024E"/>
    <w:rsid w:val="00AE13A7"/>
    <w:rsid w:val="00AE172B"/>
    <w:rsid w:val="00AE1B91"/>
    <w:rsid w:val="00AE1F16"/>
    <w:rsid w:val="00AE2EAA"/>
    <w:rsid w:val="00AE3121"/>
    <w:rsid w:val="00AE36DE"/>
    <w:rsid w:val="00AE372D"/>
    <w:rsid w:val="00AE3888"/>
    <w:rsid w:val="00AE3BB6"/>
    <w:rsid w:val="00AE41CB"/>
    <w:rsid w:val="00AE42D8"/>
    <w:rsid w:val="00AE4B92"/>
    <w:rsid w:val="00AE4F64"/>
    <w:rsid w:val="00AE5803"/>
    <w:rsid w:val="00AE5BEB"/>
    <w:rsid w:val="00AE5D1F"/>
    <w:rsid w:val="00AE6A0A"/>
    <w:rsid w:val="00AE6D6B"/>
    <w:rsid w:val="00AE7186"/>
    <w:rsid w:val="00AE7661"/>
    <w:rsid w:val="00AE7E77"/>
    <w:rsid w:val="00AE7F2D"/>
    <w:rsid w:val="00AF016D"/>
    <w:rsid w:val="00AF0825"/>
    <w:rsid w:val="00AF0BA1"/>
    <w:rsid w:val="00AF0C00"/>
    <w:rsid w:val="00AF0CBE"/>
    <w:rsid w:val="00AF176E"/>
    <w:rsid w:val="00AF1DF7"/>
    <w:rsid w:val="00AF209C"/>
    <w:rsid w:val="00AF211A"/>
    <w:rsid w:val="00AF21E2"/>
    <w:rsid w:val="00AF2290"/>
    <w:rsid w:val="00AF279D"/>
    <w:rsid w:val="00AF288E"/>
    <w:rsid w:val="00AF28A8"/>
    <w:rsid w:val="00AF2940"/>
    <w:rsid w:val="00AF2D94"/>
    <w:rsid w:val="00AF2F53"/>
    <w:rsid w:val="00AF305A"/>
    <w:rsid w:val="00AF35A7"/>
    <w:rsid w:val="00AF3683"/>
    <w:rsid w:val="00AF3720"/>
    <w:rsid w:val="00AF402F"/>
    <w:rsid w:val="00AF4320"/>
    <w:rsid w:val="00AF435E"/>
    <w:rsid w:val="00AF493C"/>
    <w:rsid w:val="00AF4E0D"/>
    <w:rsid w:val="00AF4EB7"/>
    <w:rsid w:val="00AF588D"/>
    <w:rsid w:val="00AF59DF"/>
    <w:rsid w:val="00AF5ABD"/>
    <w:rsid w:val="00AF5B01"/>
    <w:rsid w:val="00AF617B"/>
    <w:rsid w:val="00AF630F"/>
    <w:rsid w:val="00AF656B"/>
    <w:rsid w:val="00AF6584"/>
    <w:rsid w:val="00AF6DA9"/>
    <w:rsid w:val="00AF7807"/>
    <w:rsid w:val="00AF7D03"/>
    <w:rsid w:val="00B00347"/>
    <w:rsid w:val="00B00A81"/>
    <w:rsid w:val="00B00B35"/>
    <w:rsid w:val="00B0147C"/>
    <w:rsid w:val="00B0188A"/>
    <w:rsid w:val="00B018FE"/>
    <w:rsid w:val="00B02417"/>
    <w:rsid w:val="00B02CC4"/>
    <w:rsid w:val="00B0340A"/>
    <w:rsid w:val="00B035A6"/>
    <w:rsid w:val="00B0487A"/>
    <w:rsid w:val="00B0516C"/>
    <w:rsid w:val="00B05280"/>
    <w:rsid w:val="00B0621A"/>
    <w:rsid w:val="00B06B23"/>
    <w:rsid w:val="00B073AC"/>
    <w:rsid w:val="00B077AF"/>
    <w:rsid w:val="00B07CAA"/>
    <w:rsid w:val="00B100E4"/>
    <w:rsid w:val="00B106C9"/>
    <w:rsid w:val="00B106FA"/>
    <w:rsid w:val="00B10BB1"/>
    <w:rsid w:val="00B10ED4"/>
    <w:rsid w:val="00B10EDA"/>
    <w:rsid w:val="00B111EC"/>
    <w:rsid w:val="00B11928"/>
    <w:rsid w:val="00B1192D"/>
    <w:rsid w:val="00B119FA"/>
    <w:rsid w:val="00B11F6E"/>
    <w:rsid w:val="00B122D6"/>
    <w:rsid w:val="00B12BCF"/>
    <w:rsid w:val="00B131FC"/>
    <w:rsid w:val="00B13311"/>
    <w:rsid w:val="00B135C4"/>
    <w:rsid w:val="00B13636"/>
    <w:rsid w:val="00B13854"/>
    <w:rsid w:val="00B142CD"/>
    <w:rsid w:val="00B14AAB"/>
    <w:rsid w:val="00B155E4"/>
    <w:rsid w:val="00B15867"/>
    <w:rsid w:val="00B158C6"/>
    <w:rsid w:val="00B158D0"/>
    <w:rsid w:val="00B15928"/>
    <w:rsid w:val="00B159E2"/>
    <w:rsid w:val="00B15CAB"/>
    <w:rsid w:val="00B15CCD"/>
    <w:rsid w:val="00B16300"/>
    <w:rsid w:val="00B169AA"/>
    <w:rsid w:val="00B16A07"/>
    <w:rsid w:val="00B16DD6"/>
    <w:rsid w:val="00B17434"/>
    <w:rsid w:val="00B1747A"/>
    <w:rsid w:val="00B20310"/>
    <w:rsid w:val="00B209CA"/>
    <w:rsid w:val="00B20CC6"/>
    <w:rsid w:val="00B20CEB"/>
    <w:rsid w:val="00B21022"/>
    <w:rsid w:val="00B21567"/>
    <w:rsid w:val="00B22373"/>
    <w:rsid w:val="00B227D2"/>
    <w:rsid w:val="00B22810"/>
    <w:rsid w:val="00B22854"/>
    <w:rsid w:val="00B2336E"/>
    <w:rsid w:val="00B237E8"/>
    <w:rsid w:val="00B23B64"/>
    <w:rsid w:val="00B24076"/>
    <w:rsid w:val="00B24223"/>
    <w:rsid w:val="00B2486F"/>
    <w:rsid w:val="00B248FB"/>
    <w:rsid w:val="00B24DD1"/>
    <w:rsid w:val="00B252FA"/>
    <w:rsid w:val="00B26840"/>
    <w:rsid w:val="00B269BC"/>
    <w:rsid w:val="00B27B21"/>
    <w:rsid w:val="00B3021F"/>
    <w:rsid w:val="00B30F29"/>
    <w:rsid w:val="00B31093"/>
    <w:rsid w:val="00B313F9"/>
    <w:rsid w:val="00B3161E"/>
    <w:rsid w:val="00B316BD"/>
    <w:rsid w:val="00B31A5C"/>
    <w:rsid w:val="00B31DC9"/>
    <w:rsid w:val="00B32188"/>
    <w:rsid w:val="00B32D85"/>
    <w:rsid w:val="00B33122"/>
    <w:rsid w:val="00B3340D"/>
    <w:rsid w:val="00B337B0"/>
    <w:rsid w:val="00B337C2"/>
    <w:rsid w:val="00B341B5"/>
    <w:rsid w:val="00B342EF"/>
    <w:rsid w:val="00B34BD7"/>
    <w:rsid w:val="00B356FB"/>
    <w:rsid w:val="00B358A9"/>
    <w:rsid w:val="00B36A59"/>
    <w:rsid w:val="00B36B23"/>
    <w:rsid w:val="00B36D8D"/>
    <w:rsid w:val="00B374F6"/>
    <w:rsid w:val="00B37EE6"/>
    <w:rsid w:val="00B400C2"/>
    <w:rsid w:val="00B4013B"/>
    <w:rsid w:val="00B40153"/>
    <w:rsid w:val="00B4128E"/>
    <w:rsid w:val="00B412C9"/>
    <w:rsid w:val="00B41E98"/>
    <w:rsid w:val="00B41F2A"/>
    <w:rsid w:val="00B41F2C"/>
    <w:rsid w:val="00B427CD"/>
    <w:rsid w:val="00B42B76"/>
    <w:rsid w:val="00B42B8A"/>
    <w:rsid w:val="00B43E63"/>
    <w:rsid w:val="00B43FFB"/>
    <w:rsid w:val="00B44988"/>
    <w:rsid w:val="00B44E6D"/>
    <w:rsid w:val="00B44EFC"/>
    <w:rsid w:val="00B450C3"/>
    <w:rsid w:val="00B4550A"/>
    <w:rsid w:val="00B45FDA"/>
    <w:rsid w:val="00B4617C"/>
    <w:rsid w:val="00B46822"/>
    <w:rsid w:val="00B4688A"/>
    <w:rsid w:val="00B46B90"/>
    <w:rsid w:val="00B46BE1"/>
    <w:rsid w:val="00B46C0E"/>
    <w:rsid w:val="00B46D78"/>
    <w:rsid w:val="00B46E53"/>
    <w:rsid w:val="00B50354"/>
    <w:rsid w:val="00B505B7"/>
    <w:rsid w:val="00B51213"/>
    <w:rsid w:val="00B51333"/>
    <w:rsid w:val="00B51364"/>
    <w:rsid w:val="00B5148A"/>
    <w:rsid w:val="00B52697"/>
    <w:rsid w:val="00B539DA"/>
    <w:rsid w:val="00B53D0A"/>
    <w:rsid w:val="00B53E2B"/>
    <w:rsid w:val="00B53E78"/>
    <w:rsid w:val="00B553C0"/>
    <w:rsid w:val="00B553D7"/>
    <w:rsid w:val="00B55412"/>
    <w:rsid w:val="00B565D9"/>
    <w:rsid w:val="00B56667"/>
    <w:rsid w:val="00B5703E"/>
    <w:rsid w:val="00B57B06"/>
    <w:rsid w:val="00B57FDF"/>
    <w:rsid w:val="00B60991"/>
    <w:rsid w:val="00B60AA6"/>
    <w:rsid w:val="00B61488"/>
    <w:rsid w:val="00B618FB"/>
    <w:rsid w:val="00B6198E"/>
    <w:rsid w:val="00B61F3C"/>
    <w:rsid w:val="00B6249C"/>
    <w:rsid w:val="00B628E1"/>
    <w:rsid w:val="00B62AA2"/>
    <w:rsid w:val="00B62D4F"/>
    <w:rsid w:val="00B62E4A"/>
    <w:rsid w:val="00B636A8"/>
    <w:rsid w:val="00B63AB1"/>
    <w:rsid w:val="00B64909"/>
    <w:rsid w:val="00B649DD"/>
    <w:rsid w:val="00B65409"/>
    <w:rsid w:val="00B65C3A"/>
    <w:rsid w:val="00B66422"/>
    <w:rsid w:val="00B66BD0"/>
    <w:rsid w:val="00B66C2F"/>
    <w:rsid w:val="00B66DE1"/>
    <w:rsid w:val="00B6729F"/>
    <w:rsid w:val="00B67740"/>
    <w:rsid w:val="00B67CF6"/>
    <w:rsid w:val="00B70271"/>
    <w:rsid w:val="00B703D4"/>
    <w:rsid w:val="00B705FA"/>
    <w:rsid w:val="00B7079C"/>
    <w:rsid w:val="00B70974"/>
    <w:rsid w:val="00B70B15"/>
    <w:rsid w:val="00B7106D"/>
    <w:rsid w:val="00B713B0"/>
    <w:rsid w:val="00B7171C"/>
    <w:rsid w:val="00B718AF"/>
    <w:rsid w:val="00B7286F"/>
    <w:rsid w:val="00B72B0D"/>
    <w:rsid w:val="00B72B78"/>
    <w:rsid w:val="00B72B90"/>
    <w:rsid w:val="00B73349"/>
    <w:rsid w:val="00B736A6"/>
    <w:rsid w:val="00B73827"/>
    <w:rsid w:val="00B73A1F"/>
    <w:rsid w:val="00B73D80"/>
    <w:rsid w:val="00B7434B"/>
    <w:rsid w:val="00B748CC"/>
    <w:rsid w:val="00B748DE"/>
    <w:rsid w:val="00B74B3B"/>
    <w:rsid w:val="00B74B86"/>
    <w:rsid w:val="00B75537"/>
    <w:rsid w:val="00B75833"/>
    <w:rsid w:val="00B75934"/>
    <w:rsid w:val="00B76438"/>
    <w:rsid w:val="00B76FF8"/>
    <w:rsid w:val="00B770E4"/>
    <w:rsid w:val="00B8043F"/>
    <w:rsid w:val="00B80D68"/>
    <w:rsid w:val="00B81796"/>
    <w:rsid w:val="00B81DE1"/>
    <w:rsid w:val="00B81F2D"/>
    <w:rsid w:val="00B82FE3"/>
    <w:rsid w:val="00B8315D"/>
    <w:rsid w:val="00B83321"/>
    <w:rsid w:val="00B83887"/>
    <w:rsid w:val="00B83AD6"/>
    <w:rsid w:val="00B84035"/>
    <w:rsid w:val="00B851D3"/>
    <w:rsid w:val="00B85551"/>
    <w:rsid w:val="00B85BFE"/>
    <w:rsid w:val="00B85CE9"/>
    <w:rsid w:val="00B8606E"/>
    <w:rsid w:val="00B860CA"/>
    <w:rsid w:val="00B86373"/>
    <w:rsid w:val="00B86C21"/>
    <w:rsid w:val="00B86E3C"/>
    <w:rsid w:val="00B87BB3"/>
    <w:rsid w:val="00B87CC6"/>
    <w:rsid w:val="00B87E56"/>
    <w:rsid w:val="00B9063E"/>
    <w:rsid w:val="00B90C2B"/>
    <w:rsid w:val="00B9183B"/>
    <w:rsid w:val="00B92418"/>
    <w:rsid w:val="00B924CE"/>
    <w:rsid w:val="00B930A2"/>
    <w:rsid w:val="00B9359A"/>
    <w:rsid w:val="00B9364E"/>
    <w:rsid w:val="00B9387F"/>
    <w:rsid w:val="00B9422B"/>
    <w:rsid w:val="00B9473C"/>
    <w:rsid w:val="00B94A56"/>
    <w:rsid w:val="00B9547A"/>
    <w:rsid w:val="00B95809"/>
    <w:rsid w:val="00B9602C"/>
    <w:rsid w:val="00B960A7"/>
    <w:rsid w:val="00B963CF"/>
    <w:rsid w:val="00B965E6"/>
    <w:rsid w:val="00B96819"/>
    <w:rsid w:val="00B97524"/>
    <w:rsid w:val="00B9781D"/>
    <w:rsid w:val="00B97B9F"/>
    <w:rsid w:val="00BA05B3"/>
    <w:rsid w:val="00BA0962"/>
    <w:rsid w:val="00BA0BE8"/>
    <w:rsid w:val="00BA0E10"/>
    <w:rsid w:val="00BA0EBE"/>
    <w:rsid w:val="00BA10C8"/>
    <w:rsid w:val="00BA11B8"/>
    <w:rsid w:val="00BA1398"/>
    <w:rsid w:val="00BA15D2"/>
    <w:rsid w:val="00BA19AA"/>
    <w:rsid w:val="00BA1CC0"/>
    <w:rsid w:val="00BA1D90"/>
    <w:rsid w:val="00BA1F6B"/>
    <w:rsid w:val="00BA2337"/>
    <w:rsid w:val="00BA2739"/>
    <w:rsid w:val="00BA2E1E"/>
    <w:rsid w:val="00BA30D5"/>
    <w:rsid w:val="00BA3A38"/>
    <w:rsid w:val="00BA3C72"/>
    <w:rsid w:val="00BA3D0C"/>
    <w:rsid w:val="00BA3DEE"/>
    <w:rsid w:val="00BA431E"/>
    <w:rsid w:val="00BA43CD"/>
    <w:rsid w:val="00BA4417"/>
    <w:rsid w:val="00BA51A4"/>
    <w:rsid w:val="00BA51D4"/>
    <w:rsid w:val="00BA72FE"/>
    <w:rsid w:val="00BA7454"/>
    <w:rsid w:val="00BA79DF"/>
    <w:rsid w:val="00BB02A8"/>
    <w:rsid w:val="00BB02F8"/>
    <w:rsid w:val="00BB0378"/>
    <w:rsid w:val="00BB04AB"/>
    <w:rsid w:val="00BB0B62"/>
    <w:rsid w:val="00BB1129"/>
    <w:rsid w:val="00BB15C8"/>
    <w:rsid w:val="00BB1D16"/>
    <w:rsid w:val="00BB21FA"/>
    <w:rsid w:val="00BB2214"/>
    <w:rsid w:val="00BB35D6"/>
    <w:rsid w:val="00BB396E"/>
    <w:rsid w:val="00BB4886"/>
    <w:rsid w:val="00BB4E1F"/>
    <w:rsid w:val="00BB6198"/>
    <w:rsid w:val="00BB64E4"/>
    <w:rsid w:val="00BB65C5"/>
    <w:rsid w:val="00BB660C"/>
    <w:rsid w:val="00BB7087"/>
    <w:rsid w:val="00BB7140"/>
    <w:rsid w:val="00BB7A92"/>
    <w:rsid w:val="00BB7CA1"/>
    <w:rsid w:val="00BC022E"/>
    <w:rsid w:val="00BC0536"/>
    <w:rsid w:val="00BC157A"/>
    <w:rsid w:val="00BC16DE"/>
    <w:rsid w:val="00BC18BF"/>
    <w:rsid w:val="00BC2188"/>
    <w:rsid w:val="00BC2255"/>
    <w:rsid w:val="00BC2B71"/>
    <w:rsid w:val="00BC2CC1"/>
    <w:rsid w:val="00BC2D9B"/>
    <w:rsid w:val="00BC31AD"/>
    <w:rsid w:val="00BC338D"/>
    <w:rsid w:val="00BC3685"/>
    <w:rsid w:val="00BC42B1"/>
    <w:rsid w:val="00BC4843"/>
    <w:rsid w:val="00BC6326"/>
    <w:rsid w:val="00BC6A52"/>
    <w:rsid w:val="00BC6CB1"/>
    <w:rsid w:val="00BC6D6B"/>
    <w:rsid w:val="00BC6DA8"/>
    <w:rsid w:val="00BC6F23"/>
    <w:rsid w:val="00BC7366"/>
    <w:rsid w:val="00BC7CDF"/>
    <w:rsid w:val="00BC7DD8"/>
    <w:rsid w:val="00BD04C7"/>
    <w:rsid w:val="00BD0605"/>
    <w:rsid w:val="00BD07BC"/>
    <w:rsid w:val="00BD0AA8"/>
    <w:rsid w:val="00BD0D4D"/>
    <w:rsid w:val="00BD1506"/>
    <w:rsid w:val="00BD1B15"/>
    <w:rsid w:val="00BD1E55"/>
    <w:rsid w:val="00BD2560"/>
    <w:rsid w:val="00BD27B2"/>
    <w:rsid w:val="00BD27F2"/>
    <w:rsid w:val="00BD2B9D"/>
    <w:rsid w:val="00BD3072"/>
    <w:rsid w:val="00BD3DAF"/>
    <w:rsid w:val="00BD4407"/>
    <w:rsid w:val="00BD46AE"/>
    <w:rsid w:val="00BD509E"/>
    <w:rsid w:val="00BD5892"/>
    <w:rsid w:val="00BD695F"/>
    <w:rsid w:val="00BD7C88"/>
    <w:rsid w:val="00BD7E8C"/>
    <w:rsid w:val="00BE0022"/>
    <w:rsid w:val="00BE1917"/>
    <w:rsid w:val="00BE19FA"/>
    <w:rsid w:val="00BE2370"/>
    <w:rsid w:val="00BE2A17"/>
    <w:rsid w:val="00BE2E51"/>
    <w:rsid w:val="00BE30B7"/>
    <w:rsid w:val="00BE319A"/>
    <w:rsid w:val="00BE36B4"/>
    <w:rsid w:val="00BE381C"/>
    <w:rsid w:val="00BE38A0"/>
    <w:rsid w:val="00BE43B4"/>
    <w:rsid w:val="00BE4817"/>
    <w:rsid w:val="00BE4893"/>
    <w:rsid w:val="00BE5185"/>
    <w:rsid w:val="00BE51B2"/>
    <w:rsid w:val="00BE53C2"/>
    <w:rsid w:val="00BE5B78"/>
    <w:rsid w:val="00BE64B8"/>
    <w:rsid w:val="00BE6A62"/>
    <w:rsid w:val="00BE6BB3"/>
    <w:rsid w:val="00BE73FE"/>
    <w:rsid w:val="00BE7730"/>
    <w:rsid w:val="00BF029D"/>
    <w:rsid w:val="00BF03AB"/>
    <w:rsid w:val="00BF0A66"/>
    <w:rsid w:val="00BF1396"/>
    <w:rsid w:val="00BF3758"/>
    <w:rsid w:val="00BF3CBB"/>
    <w:rsid w:val="00BF4D73"/>
    <w:rsid w:val="00BF5421"/>
    <w:rsid w:val="00BF5AD2"/>
    <w:rsid w:val="00BF61C1"/>
    <w:rsid w:val="00BF6702"/>
    <w:rsid w:val="00BF69D4"/>
    <w:rsid w:val="00BF7333"/>
    <w:rsid w:val="00BF76D0"/>
    <w:rsid w:val="00BF7F39"/>
    <w:rsid w:val="00BF7FD3"/>
    <w:rsid w:val="00C000DF"/>
    <w:rsid w:val="00C00D8E"/>
    <w:rsid w:val="00C01A60"/>
    <w:rsid w:val="00C02027"/>
    <w:rsid w:val="00C0243C"/>
    <w:rsid w:val="00C024CE"/>
    <w:rsid w:val="00C02C3B"/>
    <w:rsid w:val="00C034FD"/>
    <w:rsid w:val="00C042C7"/>
    <w:rsid w:val="00C044C7"/>
    <w:rsid w:val="00C04AB1"/>
    <w:rsid w:val="00C05329"/>
    <w:rsid w:val="00C05699"/>
    <w:rsid w:val="00C05B4B"/>
    <w:rsid w:val="00C05C17"/>
    <w:rsid w:val="00C06182"/>
    <w:rsid w:val="00C062D7"/>
    <w:rsid w:val="00C06681"/>
    <w:rsid w:val="00C074EE"/>
    <w:rsid w:val="00C07E81"/>
    <w:rsid w:val="00C1034A"/>
    <w:rsid w:val="00C1045D"/>
    <w:rsid w:val="00C115D3"/>
    <w:rsid w:val="00C11659"/>
    <w:rsid w:val="00C11A24"/>
    <w:rsid w:val="00C11A66"/>
    <w:rsid w:val="00C1275E"/>
    <w:rsid w:val="00C127DA"/>
    <w:rsid w:val="00C12BE7"/>
    <w:rsid w:val="00C12F03"/>
    <w:rsid w:val="00C130C9"/>
    <w:rsid w:val="00C13537"/>
    <w:rsid w:val="00C13B29"/>
    <w:rsid w:val="00C13BB7"/>
    <w:rsid w:val="00C141A5"/>
    <w:rsid w:val="00C144F9"/>
    <w:rsid w:val="00C149B3"/>
    <w:rsid w:val="00C14C1D"/>
    <w:rsid w:val="00C15210"/>
    <w:rsid w:val="00C15590"/>
    <w:rsid w:val="00C158C0"/>
    <w:rsid w:val="00C16289"/>
    <w:rsid w:val="00C16E62"/>
    <w:rsid w:val="00C16E7C"/>
    <w:rsid w:val="00C17206"/>
    <w:rsid w:val="00C172E8"/>
    <w:rsid w:val="00C17B53"/>
    <w:rsid w:val="00C20173"/>
    <w:rsid w:val="00C202E7"/>
    <w:rsid w:val="00C203F8"/>
    <w:rsid w:val="00C20759"/>
    <w:rsid w:val="00C2086A"/>
    <w:rsid w:val="00C20C46"/>
    <w:rsid w:val="00C20DE2"/>
    <w:rsid w:val="00C21112"/>
    <w:rsid w:val="00C21842"/>
    <w:rsid w:val="00C22488"/>
    <w:rsid w:val="00C22622"/>
    <w:rsid w:val="00C22BAB"/>
    <w:rsid w:val="00C2320E"/>
    <w:rsid w:val="00C2333D"/>
    <w:rsid w:val="00C23834"/>
    <w:rsid w:val="00C23CCE"/>
    <w:rsid w:val="00C24121"/>
    <w:rsid w:val="00C24ED0"/>
    <w:rsid w:val="00C252EB"/>
    <w:rsid w:val="00C25907"/>
    <w:rsid w:val="00C25A58"/>
    <w:rsid w:val="00C25E71"/>
    <w:rsid w:val="00C25E98"/>
    <w:rsid w:val="00C25F71"/>
    <w:rsid w:val="00C26561"/>
    <w:rsid w:val="00C26A44"/>
    <w:rsid w:val="00C26AAC"/>
    <w:rsid w:val="00C26D8C"/>
    <w:rsid w:val="00C279DF"/>
    <w:rsid w:val="00C27A0C"/>
    <w:rsid w:val="00C27F12"/>
    <w:rsid w:val="00C319FC"/>
    <w:rsid w:val="00C32400"/>
    <w:rsid w:val="00C33413"/>
    <w:rsid w:val="00C33993"/>
    <w:rsid w:val="00C33C9E"/>
    <w:rsid w:val="00C344CB"/>
    <w:rsid w:val="00C345F7"/>
    <w:rsid w:val="00C34664"/>
    <w:rsid w:val="00C34969"/>
    <w:rsid w:val="00C34B49"/>
    <w:rsid w:val="00C34BF8"/>
    <w:rsid w:val="00C35409"/>
    <w:rsid w:val="00C359E5"/>
    <w:rsid w:val="00C35C4E"/>
    <w:rsid w:val="00C363F0"/>
    <w:rsid w:val="00C366DA"/>
    <w:rsid w:val="00C36736"/>
    <w:rsid w:val="00C369E0"/>
    <w:rsid w:val="00C36CB0"/>
    <w:rsid w:val="00C36E4B"/>
    <w:rsid w:val="00C36F49"/>
    <w:rsid w:val="00C37810"/>
    <w:rsid w:val="00C37887"/>
    <w:rsid w:val="00C37A77"/>
    <w:rsid w:val="00C40BC0"/>
    <w:rsid w:val="00C41545"/>
    <w:rsid w:val="00C42B71"/>
    <w:rsid w:val="00C43918"/>
    <w:rsid w:val="00C43B69"/>
    <w:rsid w:val="00C43D73"/>
    <w:rsid w:val="00C43F4C"/>
    <w:rsid w:val="00C43FBE"/>
    <w:rsid w:val="00C4456F"/>
    <w:rsid w:val="00C4495A"/>
    <w:rsid w:val="00C456EF"/>
    <w:rsid w:val="00C45767"/>
    <w:rsid w:val="00C45BF5"/>
    <w:rsid w:val="00C45E99"/>
    <w:rsid w:val="00C468DC"/>
    <w:rsid w:val="00C46EA2"/>
    <w:rsid w:val="00C4750D"/>
    <w:rsid w:val="00C47722"/>
    <w:rsid w:val="00C47728"/>
    <w:rsid w:val="00C47855"/>
    <w:rsid w:val="00C50499"/>
    <w:rsid w:val="00C5075B"/>
    <w:rsid w:val="00C507FD"/>
    <w:rsid w:val="00C508D3"/>
    <w:rsid w:val="00C50E75"/>
    <w:rsid w:val="00C510B5"/>
    <w:rsid w:val="00C5144D"/>
    <w:rsid w:val="00C518D5"/>
    <w:rsid w:val="00C51B14"/>
    <w:rsid w:val="00C521E1"/>
    <w:rsid w:val="00C52755"/>
    <w:rsid w:val="00C52B60"/>
    <w:rsid w:val="00C53C6E"/>
    <w:rsid w:val="00C53E5A"/>
    <w:rsid w:val="00C5411A"/>
    <w:rsid w:val="00C543B7"/>
    <w:rsid w:val="00C545B4"/>
    <w:rsid w:val="00C546CC"/>
    <w:rsid w:val="00C55096"/>
    <w:rsid w:val="00C556DF"/>
    <w:rsid w:val="00C55973"/>
    <w:rsid w:val="00C55D69"/>
    <w:rsid w:val="00C56127"/>
    <w:rsid w:val="00C5694F"/>
    <w:rsid w:val="00C57229"/>
    <w:rsid w:val="00C5778A"/>
    <w:rsid w:val="00C6011E"/>
    <w:rsid w:val="00C6018E"/>
    <w:rsid w:val="00C60AC7"/>
    <w:rsid w:val="00C614A1"/>
    <w:rsid w:val="00C61A83"/>
    <w:rsid w:val="00C62319"/>
    <w:rsid w:val="00C62383"/>
    <w:rsid w:val="00C624CB"/>
    <w:rsid w:val="00C626EF"/>
    <w:rsid w:val="00C62DE8"/>
    <w:rsid w:val="00C62EC8"/>
    <w:rsid w:val="00C63241"/>
    <w:rsid w:val="00C63963"/>
    <w:rsid w:val="00C64C4B"/>
    <w:rsid w:val="00C64E21"/>
    <w:rsid w:val="00C65636"/>
    <w:rsid w:val="00C65DFF"/>
    <w:rsid w:val="00C66740"/>
    <w:rsid w:val="00C66EFE"/>
    <w:rsid w:val="00C671F6"/>
    <w:rsid w:val="00C67214"/>
    <w:rsid w:val="00C6796F"/>
    <w:rsid w:val="00C67DE1"/>
    <w:rsid w:val="00C67EBB"/>
    <w:rsid w:val="00C7049D"/>
    <w:rsid w:val="00C70647"/>
    <w:rsid w:val="00C70699"/>
    <w:rsid w:val="00C70968"/>
    <w:rsid w:val="00C70CC0"/>
    <w:rsid w:val="00C711A4"/>
    <w:rsid w:val="00C718D5"/>
    <w:rsid w:val="00C72030"/>
    <w:rsid w:val="00C72456"/>
    <w:rsid w:val="00C72789"/>
    <w:rsid w:val="00C72815"/>
    <w:rsid w:val="00C72DB2"/>
    <w:rsid w:val="00C731FC"/>
    <w:rsid w:val="00C73678"/>
    <w:rsid w:val="00C755D2"/>
    <w:rsid w:val="00C760A4"/>
    <w:rsid w:val="00C76172"/>
    <w:rsid w:val="00C76AF4"/>
    <w:rsid w:val="00C76D43"/>
    <w:rsid w:val="00C76E18"/>
    <w:rsid w:val="00C8075F"/>
    <w:rsid w:val="00C8088B"/>
    <w:rsid w:val="00C80AB5"/>
    <w:rsid w:val="00C80B45"/>
    <w:rsid w:val="00C80C19"/>
    <w:rsid w:val="00C8114A"/>
    <w:rsid w:val="00C823F6"/>
    <w:rsid w:val="00C82E94"/>
    <w:rsid w:val="00C83707"/>
    <w:rsid w:val="00C848AF"/>
    <w:rsid w:val="00C8655D"/>
    <w:rsid w:val="00C86689"/>
    <w:rsid w:val="00C866ED"/>
    <w:rsid w:val="00C876A7"/>
    <w:rsid w:val="00C87AB1"/>
    <w:rsid w:val="00C87C3E"/>
    <w:rsid w:val="00C9053B"/>
    <w:rsid w:val="00C909F2"/>
    <w:rsid w:val="00C912BB"/>
    <w:rsid w:val="00C91991"/>
    <w:rsid w:val="00C92865"/>
    <w:rsid w:val="00C93072"/>
    <w:rsid w:val="00C93121"/>
    <w:rsid w:val="00C93F01"/>
    <w:rsid w:val="00C93FEE"/>
    <w:rsid w:val="00C94279"/>
    <w:rsid w:val="00C94306"/>
    <w:rsid w:val="00C943DF"/>
    <w:rsid w:val="00C94545"/>
    <w:rsid w:val="00C946D1"/>
    <w:rsid w:val="00C949A7"/>
    <w:rsid w:val="00C950F1"/>
    <w:rsid w:val="00C95CC1"/>
    <w:rsid w:val="00C97CE3"/>
    <w:rsid w:val="00C97FD6"/>
    <w:rsid w:val="00CA0197"/>
    <w:rsid w:val="00CA0233"/>
    <w:rsid w:val="00CA070C"/>
    <w:rsid w:val="00CA07B5"/>
    <w:rsid w:val="00CA0C7B"/>
    <w:rsid w:val="00CA143A"/>
    <w:rsid w:val="00CA1A5E"/>
    <w:rsid w:val="00CA288D"/>
    <w:rsid w:val="00CA2E3F"/>
    <w:rsid w:val="00CA322D"/>
    <w:rsid w:val="00CA3683"/>
    <w:rsid w:val="00CA3C12"/>
    <w:rsid w:val="00CA3DC2"/>
    <w:rsid w:val="00CA3FF1"/>
    <w:rsid w:val="00CA4046"/>
    <w:rsid w:val="00CA4ADB"/>
    <w:rsid w:val="00CA5A9E"/>
    <w:rsid w:val="00CA5CF9"/>
    <w:rsid w:val="00CA6FFC"/>
    <w:rsid w:val="00CA7091"/>
    <w:rsid w:val="00CA711F"/>
    <w:rsid w:val="00CA77B4"/>
    <w:rsid w:val="00CA7B45"/>
    <w:rsid w:val="00CB0109"/>
    <w:rsid w:val="00CB01FB"/>
    <w:rsid w:val="00CB0ABE"/>
    <w:rsid w:val="00CB0CC1"/>
    <w:rsid w:val="00CB0D33"/>
    <w:rsid w:val="00CB0DB3"/>
    <w:rsid w:val="00CB0F15"/>
    <w:rsid w:val="00CB146C"/>
    <w:rsid w:val="00CB1D06"/>
    <w:rsid w:val="00CB1D89"/>
    <w:rsid w:val="00CB2781"/>
    <w:rsid w:val="00CB2B2A"/>
    <w:rsid w:val="00CB36FD"/>
    <w:rsid w:val="00CB48DA"/>
    <w:rsid w:val="00CB5473"/>
    <w:rsid w:val="00CB5A9C"/>
    <w:rsid w:val="00CB5EA3"/>
    <w:rsid w:val="00CB5EA6"/>
    <w:rsid w:val="00CB6295"/>
    <w:rsid w:val="00CB642D"/>
    <w:rsid w:val="00CB6456"/>
    <w:rsid w:val="00CB64CC"/>
    <w:rsid w:val="00CB6C6F"/>
    <w:rsid w:val="00CB6CFE"/>
    <w:rsid w:val="00CC0624"/>
    <w:rsid w:val="00CC0CB5"/>
    <w:rsid w:val="00CC1864"/>
    <w:rsid w:val="00CC2419"/>
    <w:rsid w:val="00CC2E7B"/>
    <w:rsid w:val="00CC34F3"/>
    <w:rsid w:val="00CC4233"/>
    <w:rsid w:val="00CC4312"/>
    <w:rsid w:val="00CC43D6"/>
    <w:rsid w:val="00CC4B96"/>
    <w:rsid w:val="00CC4E7F"/>
    <w:rsid w:val="00CC5384"/>
    <w:rsid w:val="00CC5D20"/>
    <w:rsid w:val="00CC5FE2"/>
    <w:rsid w:val="00CC67B3"/>
    <w:rsid w:val="00CC6A81"/>
    <w:rsid w:val="00CC7624"/>
    <w:rsid w:val="00CC78E8"/>
    <w:rsid w:val="00CC793C"/>
    <w:rsid w:val="00CD03F2"/>
    <w:rsid w:val="00CD0D67"/>
    <w:rsid w:val="00CD0EDD"/>
    <w:rsid w:val="00CD107D"/>
    <w:rsid w:val="00CD129A"/>
    <w:rsid w:val="00CD17AC"/>
    <w:rsid w:val="00CD2488"/>
    <w:rsid w:val="00CD4517"/>
    <w:rsid w:val="00CD47D3"/>
    <w:rsid w:val="00CD516A"/>
    <w:rsid w:val="00CD585A"/>
    <w:rsid w:val="00CD5C3B"/>
    <w:rsid w:val="00CD6920"/>
    <w:rsid w:val="00CD6ACE"/>
    <w:rsid w:val="00CD6D3F"/>
    <w:rsid w:val="00CD6F52"/>
    <w:rsid w:val="00CD70B3"/>
    <w:rsid w:val="00CD7871"/>
    <w:rsid w:val="00CE0F20"/>
    <w:rsid w:val="00CE1DD9"/>
    <w:rsid w:val="00CE1FBF"/>
    <w:rsid w:val="00CE2731"/>
    <w:rsid w:val="00CE2A1F"/>
    <w:rsid w:val="00CE3A52"/>
    <w:rsid w:val="00CE3C2E"/>
    <w:rsid w:val="00CE3DEE"/>
    <w:rsid w:val="00CE41ED"/>
    <w:rsid w:val="00CE4421"/>
    <w:rsid w:val="00CE5778"/>
    <w:rsid w:val="00CE669F"/>
    <w:rsid w:val="00CE6C68"/>
    <w:rsid w:val="00CE6E1D"/>
    <w:rsid w:val="00CE751C"/>
    <w:rsid w:val="00CE7CD4"/>
    <w:rsid w:val="00CF004D"/>
    <w:rsid w:val="00CF0264"/>
    <w:rsid w:val="00CF0742"/>
    <w:rsid w:val="00CF10C3"/>
    <w:rsid w:val="00CF1285"/>
    <w:rsid w:val="00CF1417"/>
    <w:rsid w:val="00CF19D8"/>
    <w:rsid w:val="00CF1A84"/>
    <w:rsid w:val="00CF1DC3"/>
    <w:rsid w:val="00CF2369"/>
    <w:rsid w:val="00CF23B7"/>
    <w:rsid w:val="00CF23F2"/>
    <w:rsid w:val="00CF24A6"/>
    <w:rsid w:val="00CF2A3B"/>
    <w:rsid w:val="00CF2C29"/>
    <w:rsid w:val="00CF3436"/>
    <w:rsid w:val="00CF53C6"/>
    <w:rsid w:val="00CF556A"/>
    <w:rsid w:val="00CF59A6"/>
    <w:rsid w:val="00CF5B79"/>
    <w:rsid w:val="00CF6674"/>
    <w:rsid w:val="00CF6F53"/>
    <w:rsid w:val="00CF719E"/>
    <w:rsid w:val="00CF798A"/>
    <w:rsid w:val="00CF7BF8"/>
    <w:rsid w:val="00CF7E2F"/>
    <w:rsid w:val="00D00395"/>
    <w:rsid w:val="00D007CD"/>
    <w:rsid w:val="00D0109C"/>
    <w:rsid w:val="00D0125F"/>
    <w:rsid w:val="00D0198C"/>
    <w:rsid w:val="00D02557"/>
    <w:rsid w:val="00D025A1"/>
    <w:rsid w:val="00D02D4F"/>
    <w:rsid w:val="00D031DF"/>
    <w:rsid w:val="00D0344A"/>
    <w:rsid w:val="00D03828"/>
    <w:rsid w:val="00D03CED"/>
    <w:rsid w:val="00D03FA1"/>
    <w:rsid w:val="00D04029"/>
    <w:rsid w:val="00D0447A"/>
    <w:rsid w:val="00D046E1"/>
    <w:rsid w:val="00D04C2B"/>
    <w:rsid w:val="00D04D1E"/>
    <w:rsid w:val="00D06E42"/>
    <w:rsid w:val="00D06F77"/>
    <w:rsid w:val="00D07530"/>
    <w:rsid w:val="00D0768D"/>
    <w:rsid w:val="00D07BAE"/>
    <w:rsid w:val="00D07D94"/>
    <w:rsid w:val="00D10698"/>
    <w:rsid w:val="00D10911"/>
    <w:rsid w:val="00D10F85"/>
    <w:rsid w:val="00D1194F"/>
    <w:rsid w:val="00D12524"/>
    <w:rsid w:val="00D128D4"/>
    <w:rsid w:val="00D137F6"/>
    <w:rsid w:val="00D139DF"/>
    <w:rsid w:val="00D13DB1"/>
    <w:rsid w:val="00D14D29"/>
    <w:rsid w:val="00D14D7E"/>
    <w:rsid w:val="00D16771"/>
    <w:rsid w:val="00D1696C"/>
    <w:rsid w:val="00D16B6C"/>
    <w:rsid w:val="00D174FB"/>
    <w:rsid w:val="00D17928"/>
    <w:rsid w:val="00D17D9B"/>
    <w:rsid w:val="00D17F46"/>
    <w:rsid w:val="00D17F70"/>
    <w:rsid w:val="00D20D38"/>
    <w:rsid w:val="00D211B3"/>
    <w:rsid w:val="00D21331"/>
    <w:rsid w:val="00D215D8"/>
    <w:rsid w:val="00D216F9"/>
    <w:rsid w:val="00D21D91"/>
    <w:rsid w:val="00D2201B"/>
    <w:rsid w:val="00D220D0"/>
    <w:rsid w:val="00D22225"/>
    <w:rsid w:val="00D22B77"/>
    <w:rsid w:val="00D22BE8"/>
    <w:rsid w:val="00D230B0"/>
    <w:rsid w:val="00D238B2"/>
    <w:rsid w:val="00D23F54"/>
    <w:rsid w:val="00D243DB"/>
    <w:rsid w:val="00D24761"/>
    <w:rsid w:val="00D25319"/>
    <w:rsid w:val="00D25521"/>
    <w:rsid w:val="00D258CE"/>
    <w:rsid w:val="00D2682E"/>
    <w:rsid w:val="00D27368"/>
    <w:rsid w:val="00D27378"/>
    <w:rsid w:val="00D30929"/>
    <w:rsid w:val="00D30F78"/>
    <w:rsid w:val="00D31608"/>
    <w:rsid w:val="00D31865"/>
    <w:rsid w:val="00D31F92"/>
    <w:rsid w:val="00D32482"/>
    <w:rsid w:val="00D3254B"/>
    <w:rsid w:val="00D328B5"/>
    <w:rsid w:val="00D32EAD"/>
    <w:rsid w:val="00D34660"/>
    <w:rsid w:val="00D34C4A"/>
    <w:rsid w:val="00D34C91"/>
    <w:rsid w:val="00D34EEB"/>
    <w:rsid w:val="00D34F2A"/>
    <w:rsid w:val="00D35CE5"/>
    <w:rsid w:val="00D35D7E"/>
    <w:rsid w:val="00D35D8C"/>
    <w:rsid w:val="00D36AC9"/>
    <w:rsid w:val="00D37F14"/>
    <w:rsid w:val="00D37FCC"/>
    <w:rsid w:val="00D4045F"/>
    <w:rsid w:val="00D41134"/>
    <w:rsid w:val="00D4269E"/>
    <w:rsid w:val="00D42879"/>
    <w:rsid w:val="00D428D0"/>
    <w:rsid w:val="00D42B2C"/>
    <w:rsid w:val="00D4353E"/>
    <w:rsid w:val="00D43D20"/>
    <w:rsid w:val="00D43D75"/>
    <w:rsid w:val="00D43FB9"/>
    <w:rsid w:val="00D44522"/>
    <w:rsid w:val="00D44BD5"/>
    <w:rsid w:val="00D44F90"/>
    <w:rsid w:val="00D45EFE"/>
    <w:rsid w:val="00D462B3"/>
    <w:rsid w:val="00D463FD"/>
    <w:rsid w:val="00D46C74"/>
    <w:rsid w:val="00D46FD8"/>
    <w:rsid w:val="00D47377"/>
    <w:rsid w:val="00D474DF"/>
    <w:rsid w:val="00D478F9"/>
    <w:rsid w:val="00D47D93"/>
    <w:rsid w:val="00D503AB"/>
    <w:rsid w:val="00D50AED"/>
    <w:rsid w:val="00D50B90"/>
    <w:rsid w:val="00D51571"/>
    <w:rsid w:val="00D51BCE"/>
    <w:rsid w:val="00D5233E"/>
    <w:rsid w:val="00D523BB"/>
    <w:rsid w:val="00D52F04"/>
    <w:rsid w:val="00D544F8"/>
    <w:rsid w:val="00D54930"/>
    <w:rsid w:val="00D554A8"/>
    <w:rsid w:val="00D55BE3"/>
    <w:rsid w:val="00D56059"/>
    <w:rsid w:val="00D56537"/>
    <w:rsid w:val="00D56A02"/>
    <w:rsid w:val="00D56BC3"/>
    <w:rsid w:val="00D56E90"/>
    <w:rsid w:val="00D57630"/>
    <w:rsid w:val="00D57994"/>
    <w:rsid w:val="00D57F36"/>
    <w:rsid w:val="00D60273"/>
    <w:rsid w:val="00D60741"/>
    <w:rsid w:val="00D60F08"/>
    <w:rsid w:val="00D61113"/>
    <w:rsid w:val="00D61256"/>
    <w:rsid w:val="00D614B9"/>
    <w:rsid w:val="00D61F16"/>
    <w:rsid w:val="00D63058"/>
    <w:rsid w:val="00D633AE"/>
    <w:rsid w:val="00D63A6F"/>
    <w:rsid w:val="00D63F3D"/>
    <w:rsid w:val="00D640A6"/>
    <w:rsid w:val="00D64302"/>
    <w:rsid w:val="00D64312"/>
    <w:rsid w:val="00D64AAF"/>
    <w:rsid w:val="00D6555F"/>
    <w:rsid w:val="00D65608"/>
    <w:rsid w:val="00D65BC0"/>
    <w:rsid w:val="00D677D2"/>
    <w:rsid w:val="00D702CF"/>
    <w:rsid w:val="00D70642"/>
    <w:rsid w:val="00D70FE7"/>
    <w:rsid w:val="00D71427"/>
    <w:rsid w:val="00D71670"/>
    <w:rsid w:val="00D716FC"/>
    <w:rsid w:val="00D718A4"/>
    <w:rsid w:val="00D718C4"/>
    <w:rsid w:val="00D71FCC"/>
    <w:rsid w:val="00D72580"/>
    <w:rsid w:val="00D72879"/>
    <w:rsid w:val="00D728E3"/>
    <w:rsid w:val="00D72A68"/>
    <w:rsid w:val="00D72BFA"/>
    <w:rsid w:val="00D73BFA"/>
    <w:rsid w:val="00D73F1C"/>
    <w:rsid w:val="00D7468B"/>
    <w:rsid w:val="00D7494B"/>
    <w:rsid w:val="00D74D95"/>
    <w:rsid w:val="00D751A6"/>
    <w:rsid w:val="00D758FF"/>
    <w:rsid w:val="00D75B88"/>
    <w:rsid w:val="00D75E32"/>
    <w:rsid w:val="00D75FDC"/>
    <w:rsid w:val="00D769C9"/>
    <w:rsid w:val="00D77052"/>
    <w:rsid w:val="00D7752B"/>
    <w:rsid w:val="00D77546"/>
    <w:rsid w:val="00D777EE"/>
    <w:rsid w:val="00D80D55"/>
    <w:rsid w:val="00D80E62"/>
    <w:rsid w:val="00D81DBD"/>
    <w:rsid w:val="00D83F4D"/>
    <w:rsid w:val="00D84230"/>
    <w:rsid w:val="00D8467E"/>
    <w:rsid w:val="00D84900"/>
    <w:rsid w:val="00D85706"/>
    <w:rsid w:val="00D864BD"/>
    <w:rsid w:val="00D8686E"/>
    <w:rsid w:val="00D86AFA"/>
    <w:rsid w:val="00D86BD5"/>
    <w:rsid w:val="00D870BA"/>
    <w:rsid w:val="00D87313"/>
    <w:rsid w:val="00D873DA"/>
    <w:rsid w:val="00D90286"/>
    <w:rsid w:val="00D904D8"/>
    <w:rsid w:val="00D90A2F"/>
    <w:rsid w:val="00D9124D"/>
    <w:rsid w:val="00D91DD5"/>
    <w:rsid w:val="00D91F8B"/>
    <w:rsid w:val="00D9243E"/>
    <w:rsid w:val="00D93CAB"/>
    <w:rsid w:val="00D94300"/>
    <w:rsid w:val="00D9439D"/>
    <w:rsid w:val="00D947FE"/>
    <w:rsid w:val="00D95BA6"/>
    <w:rsid w:val="00D96048"/>
    <w:rsid w:val="00D96A46"/>
    <w:rsid w:val="00D97226"/>
    <w:rsid w:val="00D9730B"/>
    <w:rsid w:val="00D976DA"/>
    <w:rsid w:val="00D97D52"/>
    <w:rsid w:val="00D97EB3"/>
    <w:rsid w:val="00DA0109"/>
    <w:rsid w:val="00DA0F6F"/>
    <w:rsid w:val="00DA178E"/>
    <w:rsid w:val="00DA1977"/>
    <w:rsid w:val="00DA238C"/>
    <w:rsid w:val="00DA3150"/>
    <w:rsid w:val="00DA32D3"/>
    <w:rsid w:val="00DA342A"/>
    <w:rsid w:val="00DA370D"/>
    <w:rsid w:val="00DA4294"/>
    <w:rsid w:val="00DA4E25"/>
    <w:rsid w:val="00DA4F73"/>
    <w:rsid w:val="00DA5100"/>
    <w:rsid w:val="00DA5CDF"/>
    <w:rsid w:val="00DA5F90"/>
    <w:rsid w:val="00DA60F3"/>
    <w:rsid w:val="00DA6567"/>
    <w:rsid w:val="00DA75F2"/>
    <w:rsid w:val="00DA7B2F"/>
    <w:rsid w:val="00DA7DE2"/>
    <w:rsid w:val="00DB02A8"/>
    <w:rsid w:val="00DB09BC"/>
    <w:rsid w:val="00DB0BDE"/>
    <w:rsid w:val="00DB1D5F"/>
    <w:rsid w:val="00DB27CA"/>
    <w:rsid w:val="00DB360B"/>
    <w:rsid w:val="00DB3C42"/>
    <w:rsid w:val="00DB4154"/>
    <w:rsid w:val="00DB41E7"/>
    <w:rsid w:val="00DB4299"/>
    <w:rsid w:val="00DB502C"/>
    <w:rsid w:val="00DB5508"/>
    <w:rsid w:val="00DB582F"/>
    <w:rsid w:val="00DB5921"/>
    <w:rsid w:val="00DB6514"/>
    <w:rsid w:val="00DB7017"/>
    <w:rsid w:val="00DB7048"/>
    <w:rsid w:val="00DB7AB7"/>
    <w:rsid w:val="00DB7E73"/>
    <w:rsid w:val="00DB7E9F"/>
    <w:rsid w:val="00DC0118"/>
    <w:rsid w:val="00DC16AD"/>
    <w:rsid w:val="00DC21EB"/>
    <w:rsid w:val="00DC225F"/>
    <w:rsid w:val="00DC22FC"/>
    <w:rsid w:val="00DC2887"/>
    <w:rsid w:val="00DC2D86"/>
    <w:rsid w:val="00DC30F9"/>
    <w:rsid w:val="00DC423A"/>
    <w:rsid w:val="00DC423D"/>
    <w:rsid w:val="00DC4498"/>
    <w:rsid w:val="00DC4B09"/>
    <w:rsid w:val="00DC5460"/>
    <w:rsid w:val="00DC5799"/>
    <w:rsid w:val="00DC5FBE"/>
    <w:rsid w:val="00DC61F1"/>
    <w:rsid w:val="00DC62ED"/>
    <w:rsid w:val="00DC66E5"/>
    <w:rsid w:val="00DC6764"/>
    <w:rsid w:val="00DC68C3"/>
    <w:rsid w:val="00DC6DD5"/>
    <w:rsid w:val="00DC7DD1"/>
    <w:rsid w:val="00DD01A9"/>
    <w:rsid w:val="00DD0204"/>
    <w:rsid w:val="00DD0419"/>
    <w:rsid w:val="00DD0447"/>
    <w:rsid w:val="00DD0561"/>
    <w:rsid w:val="00DD0763"/>
    <w:rsid w:val="00DD0C3C"/>
    <w:rsid w:val="00DD1646"/>
    <w:rsid w:val="00DD16BB"/>
    <w:rsid w:val="00DD17EB"/>
    <w:rsid w:val="00DD1CA0"/>
    <w:rsid w:val="00DD2C95"/>
    <w:rsid w:val="00DD2DF8"/>
    <w:rsid w:val="00DD2FDE"/>
    <w:rsid w:val="00DD332D"/>
    <w:rsid w:val="00DD365B"/>
    <w:rsid w:val="00DD3B74"/>
    <w:rsid w:val="00DD3D77"/>
    <w:rsid w:val="00DD49AE"/>
    <w:rsid w:val="00DD4B79"/>
    <w:rsid w:val="00DD4C4B"/>
    <w:rsid w:val="00DD4D38"/>
    <w:rsid w:val="00DD5BD8"/>
    <w:rsid w:val="00DD6742"/>
    <w:rsid w:val="00DD71DE"/>
    <w:rsid w:val="00DD72C3"/>
    <w:rsid w:val="00DD7501"/>
    <w:rsid w:val="00DE078A"/>
    <w:rsid w:val="00DE0804"/>
    <w:rsid w:val="00DE09DC"/>
    <w:rsid w:val="00DE0E96"/>
    <w:rsid w:val="00DE1046"/>
    <w:rsid w:val="00DE115A"/>
    <w:rsid w:val="00DE1342"/>
    <w:rsid w:val="00DE1395"/>
    <w:rsid w:val="00DE13F1"/>
    <w:rsid w:val="00DE18EB"/>
    <w:rsid w:val="00DE18F6"/>
    <w:rsid w:val="00DE1905"/>
    <w:rsid w:val="00DE1C03"/>
    <w:rsid w:val="00DE1D34"/>
    <w:rsid w:val="00DE225A"/>
    <w:rsid w:val="00DE314B"/>
    <w:rsid w:val="00DE3601"/>
    <w:rsid w:val="00DE3CA8"/>
    <w:rsid w:val="00DE49C4"/>
    <w:rsid w:val="00DE52D5"/>
    <w:rsid w:val="00DE53A2"/>
    <w:rsid w:val="00DE55C8"/>
    <w:rsid w:val="00DE57DD"/>
    <w:rsid w:val="00DE57E4"/>
    <w:rsid w:val="00DE6AD9"/>
    <w:rsid w:val="00DE6E61"/>
    <w:rsid w:val="00DE6E8E"/>
    <w:rsid w:val="00DE7D45"/>
    <w:rsid w:val="00DE7F07"/>
    <w:rsid w:val="00DF0087"/>
    <w:rsid w:val="00DF034C"/>
    <w:rsid w:val="00DF055B"/>
    <w:rsid w:val="00DF056C"/>
    <w:rsid w:val="00DF098E"/>
    <w:rsid w:val="00DF0EAF"/>
    <w:rsid w:val="00DF1FFB"/>
    <w:rsid w:val="00DF2136"/>
    <w:rsid w:val="00DF29F6"/>
    <w:rsid w:val="00DF317F"/>
    <w:rsid w:val="00DF32B1"/>
    <w:rsid w:val="00DF3831"/>
    <w:rsid w:val="00DF3F62"/>
    <w:rsid w:val="00DF4129"/>
    <w:rsid w:val="00DF41F8"/>
    <w:rsid w:val="00DF46C9"/>
    <w:rsid w:val="00DF4CD4"/>
    <w:rsid w:val="00DF4F06"/>
    <w:rsid w:val="00DF5664"/>
    <w:rsid w:val="00DF580B"/>
    <w:rsid w:val="00DF5CCB"/>
    <w:rsid w:val="00DF6A6D"/>
    <w:rsid w:val="00DF74EA"/>
    <w:rsid w:val="00DF7FD1"/>
    <w:rsid w:val="00E00009"/>
    <w:rsid w:val="00E0018E"/>
    <w:rsid w:val="00E006C1"/>
    <w:rsid w:val="00E00E6B"/>
    <w:rsid w:val="00E0102E"/>
    <w:rsid w:val="00E016EB"/>
    <w:rsid w:val="00E01C93"/>
    <w:rsid w:val="00E01D22"/>
    <w:rsid w:val="00E02919"/>
    <w:rsid w:val="00E02C84"/>
    <w:rsid w:val="00E03451"/>
    <w:rsid w:val="00E034B6"/>
    <w:rsid w:val="00E0458A"/>
    <w:rsid w:val="00E05149"/>
    <w:rsid w:val="00E052CE"/>
    <w:rsid w:val="00E05582"/>
    <w:rsid w:val="00E0559D"/>
    <w:rsid w:val="00E057CB"/>
    <w:rsid w:val="00E06979"/>
    <w:rsid w:val="00E06ED0"/>
    <w:rsid w:val="00E07406"/>
    <w:rsid w:val="00E0754E"/>
    <w:rsid w:val="00E07798"/>
    <w:rsid w:val="00E077CE"/>
    <w:rsid w:val="00E119F9"/>
    <w:rsid w:val="00E13D3E"/>
    <w:rsid w:val="00E14189"/>
    <w:rsid w:val="00E1443D"/>
    <w:rsid w:val="00E15501"/>
    <w:rsid w:val="00E1583A"/>
    <w:rsid w:val="00E163FD"/>
    <w:rsid w:val="00E1657D"/>
    <w:rsid w:val="00E1664D"/>
    <w:rsid w:val="00E1693E"/>
    <w:rsid w:val="00E170CE"/>
    <w:rsid w:val="00E2074F"/>
    <w:rsid w:val="00E2075A"/>
    <w:rsid w:val="00E20A99"/>
    <w:rsid w:val="00E20EA1"/>
    <w:rsid w:val="00E22191"/>
    <w:rsid w:val="00E22530"/>
    <w:rsid w:val="00E2304F"/>
    <w:rsid w:val="00E230FB"/>
    <w:rsid w:val="00E232C0"/>
    <w:rsid w:val="00E24163"/>
    <w:rsid w:val="00E24D47"/>
    <w:rsid w:val="00E258A5"/>
    <w:rsid w:val="00E25A79"/>
    <w:rsid w:val="00E2666E"/>
    <w:rsid w:val="00E26BAB"/>
    <w:rsid w:val="00E27DDD"/>
    <w:rsid w:val="00E30880"/>
    <w:rsid w:val="00E30931"/>
    <w:rsid w:val="00E30B5E"/>
    <w:rsid w:val="00E31F8A"/>
    <w:rsid w:val="00E32306"/>
    <w:rsid w:val="00E32504"/>
    <w:rsid w:val="00E32F07"/>
    <w:rsid w:val="00E3335C"/>
    <w:rsid w:val="00E33AF0"/>
    <w:rsid w:val="00E33CDF"/>
    <w:rsid w:val="00E33DE4"/>
    <w:rsid w:val="00E33F4B"/>
    <w:rsid w:val="00E3518B"/>
    <w:rsid w:val="00E3533F"/>
    <w:rsid w:val="00E3553C"/>
    <w:rsid w:val="00E35EAD"/>
    <w:rsid w:val="00E36132"/>
    <w:rsid w:val="00E37634"/>
    <w:rsid w:val="00E37C2B"/>
    <w:rsid w:val="00E4020A"/>
    <w:rsid w:val="00E407B3"/>
    <w:rsid w:val="00E40D49"/>
    <w:rsid w:val="00E40D8C"/>
    <w:rsid w:val="00E418E3"/>
    <w:rsid w:val="00E4190C"/>
    <w:rsid w:val="00E41D79"/>
    <w:rsid w:val="00E41DD6"/>
    <w:rsid w:val="00E426E2"/>
    <w:rsid w:val="00E42D75"/>
    <w:rsid w:val="00E42E45"/>
    <w:rsid w:val="00E43783"/>
    <w:rsid w:val="00E44498"/>
    <w:rsid w:val="00E44E51"/>
    <w:rsid w:val="00E46BBA"/>
    <w:rsid w:val="00E47183"/>
    <w:rsid w:val="00E47387"/>
    <w:rsid w:val="00E4740D"/>
    <w:rsid w:val="00E47B63"/>
    <w:rsid w:val="00E5011F"/>
    <w:rsid w:val="00E501E2"/>
    <w:rsid w:val="00E50827"/>
    <w:rsid w:val="00E508EA"/>
    <w:rsid w:val="00E50DBE"/>
    <w:rsid w:val="00E50FEE"/>
    <w:rsid w:val="00E514D8"/>
    <w:rsid w:val="00E51518"/>
    <w:rsid w:val="00E537B3"/>
    <w:rsid w:val="00E54246"/>
    <w:rsid w:val="00E5432A"/>
    <w:rsid w:val="00E54809"/>
    <w:rsid w:val="00E54D62"/>
    <w:rsid w:val="00E5513B"/>
    <w:rsid w:val="00E55916"/>
    <w:rsid w:val="00E55BD8"/>
    <w:rsid w:val="00E566C9"/>
    <w:rsid w:val="00E56DCF"/>
    <w:rsid w:val="00E577BA"/>
    <w:rsid w:val="00E57B71"/>
    <w:rsid w:val="00E60356"/>
    <w:rsid w:val="00E604DC"/>
    <w:rsid w:val="00E60550"/>
    <w:rsid w:val="00E60E2C"/>
    <w:rsid w:val="00E6110B"/>
    <w:rsid w:val="00E612D7"/>
    <w:rsid w:val="00E6161E"/>
    <w:rsid w:val="00E616AD"/>
    <w:rsid w:val="00E62584"/>
    <w:rsid w:val="00E62C2B"/>
    <w:rsid w:val="00E62C7C"/>
    <w:rsid w:val="00E6318F"/>
    <w:rsid w:val="00E63290"/>
    <w:rsid w:val="00E63E84"/>
    <w:rsid w:val="00E63EE8"/>
    <w:rsid w:val="00E64ECE"/>
    <w:rsid w:val="00E64F4A"/>
    <w:rsid w:val="00E64F91"/>
    <w:rsid w:val="00E65355"/>
    <w:rsid w:val="00E65EB2"/>
    <w:rsid w:val="00E66287"/>
    <w:rsid w:val="00E67B5F"/>
    <w:rsid w:val="00E7046C"/>
    <w:rsid w:val="00E70A0A"/>
    <w:rsid w:val="00E70F68"/>
    <w:rsid w:val="00E7142E"/>
    <w:rsid w:val="00E7152C"/>
    <w:rsid w:val="00E7179A"/>
    <w:rsid w:val="00E71900"/>
    <w:rsid w:val="00E71C99"/>
    <w:rsid w:val="00E71F2A"/>
    <w:rsid w:val="00E7230F"/>
    <w:rsid w:val="00E72789"/>
    <w:rsid w:val="00E731CE"/>
    <w:rsid w:val="00E735F6"/>
    <w:rsid w:val="00E73999"/>
    <w:rsid w:val="00E73FF6"/>
    <w:rsid w:val="00E74318"/>
    <w:rsid w:val="00E74847"/>
    <w:rsid w:val="00E74B00"/>
    <w:rsid w:val="00E74CE7"/>
    <w:rsid w:val="00E74DCC"/>
    <w:rsid w:val="00E751C4"/>
    <w:rsid w:val="00E75252"/>
    <w:rsid w:val="00E75275"/>
    <w:rsid w:val="00E758A6"/>
    <w:rsid w:val="00E75D88"/>
    <w:rsid w:val="00E76CA3"/>
    <w:rsid w:val="00E77384"/>
    <w:rsid w:val="00E77489"/>
    <w:rsid w:val="00E77F0A"/>
    <w:rsid w:val="00E8023C"/>
    <w:rsid w:val="00E80275"/>
    <w:rsid w:val="00E8095E"/>
    <w:rsid w:val="00E80BDA"/>
    <w:rsid w:val="00E81BF2"/>
    <w:rsid w:val="00E82405"/>
    <w:rsid w:val="00E826D6"/>
    <w:rsid w:val="00E84053"/>
    <w:rsid w:val="00E84C3A"/>
    <w:rsid w:val="00E8523F"/>
    <w:rsid w:val="00E85946"/>
    <w:rsid w:val="00E85C63"/>
    <w:rsid w:val="00E85F52"/>
    <w:rsid w:val="00E86117"/>
    <w:rsid w:val="00E8646F"/>
    <w:rsid w:val="00E866CC"/>
    <w:rsid w:val="00E8699B"/>
    <w:rsid w:val="00E86CBF"/>
    <w:rsid w:val="00E875AE"/>
    <w:rsid w:val="00E8789D"/>
    <w:rsid w:val="00E87BE0"/>
    <w:rsid w:val="00E90644"/>
    <w:rsid w:val="00E90CDB"/>
    <w:rsid w:val="00E91197"/>
    <w:rsid w:val="00E9122D"/>
    <w:rsid w:val="00E91CF7"/>
    <w:rsid w:val="00E91F4A"/>
    <w:rsid w:val="00E9318F"/>
    <w:rsid w:val="00E93C49"/>
    <w:rsid w:val="00E94151"/>
    <w:rsid w:val="00E9473C"/>
    <w:rsid w:val="00E951B2"/>
    <w:rsid w:val="00E95A31"/>
    <w:rsid w:val="00E95CB4"/>
    <w:rsid w:val="00E9653A"/>
    <w:rsid w:val="00E96A8D"/>
    <w:rsid w:val="00E96E99"/>
    <w:rsid w:val="00E96F79"/>
    <w:rsid w:val="00E97F7E"/>
    <w:rsid w:val="00EA0151"/>
    <w:rsid w:val="00EA0B11"/>
    <w:rsid w:val="00EA0C41"/>
    <w:rsid w:val="00EA160F"/>
    <w:rsid w:val="00EA175C"/>
    <w:rsid w:val="00EA2201"/>
    <w:rsid w:val="00EA2B40"/>
    <w:rsid w:val="00EA2DC5"/>
    <w:rsid w:val="00EA3618"/>
    <w:rsid w:val="00EA4368"/>
    <w:rsid w:val="00EA52BF"/>
    <w:rsid w:val="00EA5EAB"/>
    <w:rsid w:val="00EA6408"/>
    <w:rsid w:val="00EA7840"/>
    <w:rsid w:val="00EA7F5D"/>
    <w:rsid w:val="00EB0E14"/>
    <w:rsid w:val="00EB1277"/>
    <w:rsid w:val="00EB1324"/>
    <w:rsid w:val="00EB140F"/>
    <w:rsid w:val="00EB1E4C"/>
    <w:rsid w:val="00EB2075"/>
    <w:rsid w:val="00EB277A"/>
    <w:rsid w:val="00EB283B"/>
    <w:rsid w:val="00EB2A82"/>
    <w:rsid w:val="00EB2C83"/>
    <w:rsid w:val="00EB37DA"/>
    <w:rsid w:val="00EB3807"/>
    <w:rsid w:val="00EB3B99"/>
    <w:rsid w:val="00EB3E78"/>
    <w:rsid w:val="00EB4A1C"/>
    <w:rsid w:val="00EB4D7B"/>
    <w:rsid w:val="00EB51C8"/>
    <w:rsid w:val="00EB5304"/>
    <w:rsid w:val="00EB5864"/>
    <w:rsid w:val="00EB5AAA"/>
    <w:rsid w:val="00EB5B1A"/>
    <w:rsid w:val="00EB5BA3"/>
    <w:rsid w:val="00EB5BEA"/>
    <w:rsid w:val="00EB5F50"/>
    <w:rsid w:val="00EB63CE"/>
    <w:rsid w:val="00EB6FFB"/>
    <w:rsid w:val="00EB77A7"/>
    <w:rsid w:val="00EB7B5D"/>
    <w:rsid w:val="00EB7B7A"/>
    <w:rsid w:val="00EB7E9C"/>
    <w:rsid w:val="00EB7EE2"/>
    <w:rsid w:val="00EC00B0"/>
    <w:rsid w:val="00EC00DC"/>
    <w:rsid w:val="00EC0365"/>
    <w:rsid w:val="00EC060E"/>
    <w:rsid w:val="00EC084B"/>
    <w:rsid w:val="00EC08D0"/>
    <w:rsid w:val="00EC0A89"/>
    <w:rsid w:val="00EC0E28"/>
    <w:rsid w:val="00EC0E36"/>
    <w:rsid w:val="00EC1672"/>
    <w:rsid w:val="00EC25E9"/>
    <w:rsid w:val="00EC2842"/>
    <w:rsid w:val="00EC30B7"/>
    <w:rsid w:val="00EC36D6"/>
    <w:rsid w:val="00EC38B2"/>
    <w:rsid w:val="00EC4383"/>
    <w:rsid w:val="00EC4B23"/>
    <w:rsid w:val="00EC4BDE"/>
    <w:rsid w:val="00EC5901"/>
    <w:rsid w:val="00EC593F"/>
    <w:rsid w:val="00EC5CC5"/>
    <w:rsid w:val="00EC646A"/>
    <w:rsid w:val="00EC73D0"/>
    <w:rsid w:val="00EC762B"/>
    <w:rsid w:val="00EC7DBD"/>
    <w:rsid w:val="00ED00ED"/>
    <w:rsid w:val="00ED02CE"/>
    <w:rsid w:val="00ED0752"/>
    <w:rsid w:val="00ED08EA"/>
    <w:rsid w:val="00ED16EF"/>
    <w:rsid w:val="00ED17B4"/>
    <w:rsid w:val="00ED1A33"/>
    <w:rsid w:val="00ED1D92"/>
    <w:rsid w:val="00ED2282"/>
    <w:rsid w:val="00ED234D"/>
    <w:rsid w:val="00ED2A15"/>
    <w:rsid w:val="00ED2D97"/>
    <w:rsid w:val="00ED2DED"/>
    <w:rsid w:val="00ED3A50"/>
    <w:rsid w:val="00ED3B6E"/>
    <w:rsid w:val="00ED3BD2"/>
    <w:rsid w:val="00ED3C6F"/>
    <w:rsid w:val="00ED42E5"/>
    <w:rsid w:val="00ED46AC"/>
    <w:rsid w:val="00ED4C88"/>
    <w:rsid w:val="00ED50E1"/>
    <w:rsid w:val="00ED50F8"/>
    <w:rsid w:val="00ED5BC8"/>
    <w:rsid w:val="00ED70E7"/>
    <w:rsid w:val="00ED76E3"/>
    <w:rsid w:val="00EE0789"/>
    <w:rsid w:val="00EE0CC5"/>
    <w:rsid w:val="00EE0EEE"/>
    <w:rsid w:val="00EE1CDF"/>
    <w:rsid w:val="00EE1E24"/>
    <w:rsid w:val="00EE3387"/>
    <w:rsid w:val="00EE46FA"/>
    <w:rsid w:val="00EE4751"/>
    <w:rsid w:val="00EE4C0C"/>
    <w:rsid w:val="00EE521A"/>
    <w:rsid w:val="00EE56F3"/>
    <w:rsid w:val="00EE5D56"/>
    <w:rsid w:val="00EE5FAC"/>
    <w:rsid w:val="00EE5FE6"/>
    <w:rsid w:val="00EE6A35"/>
    <w:rsid w:val="00EE7883"/>
    <w:rsid w:val="00EE7E2F"/>
    <w:rsid w:val="00EF00E8"/>
    <w:rsid w:val="00EF03CA"/>
    <w:rsid w:val="00EF056A"/>
    <w:rsid w:val="00EF076A"/>
    <w:rsid w:val="00EF0C98"/>
    <w:rsid w:val="00EF0F19"/>
    <w:rsid w:val="00EF1431"/>
    <w:rsid w:val="00EF1747"/>
    <w:rsid w:val="00EF18C1"/>
    <w:rsid w:val="00EF18F7"/>
    <w:rsid w:val="00EF1BF5"/>
    <w:rsid w:val="00EF2B65"/>
    <w:rsid w:val="00EF2E22"/>
    <w:rsid w:val="00EF2EB9"/>
    <w:rsid w:val="00EF2FB6"/>
    <w:rsid w:val="00EF32E7"/>
    <w:rsid w:val="00EF3583"/>
    <w:rsid w:val="00EF3810"/>
    <w:rsid w:val="00EF3847"/>
    <w:rsid w:val="00EF3B5F"/>
    <w:rsid w:val="00EF3CE3"/>
    <w:rsid w:val="00EF4602"/>
    <w:rsid w:val="00EF46D8"/>
    <w:rsid w:val="00EF47F3"/>
    <w:rsid w:val="00EF515E"/>
    <w:rsid w:val="00EF52BA"/>
    <w:rsid w:val="00EF62CF"/>
    <w:rsid w:val="00EF68FA"/>
    <w:rsid w:val="00EF77C1"/>
    <w:rsid w:val="00EF7C4D"/>
    <w:rsid w:val="00EF7CED"/>
    <w:rsid w:val="00F00215"/>
    <w:rsid w:val="00F019A2"/>
    <w:rsid w:val="00F01AFC"/>
    <w:rsid w:val="00F028F4"/>
    <w:rsid w:val="00F02E08"/>
    <w:rsid w:val="00F039ED"/>
    <w:rsid w:val="00F04DF4"/>
    <w:rsid w:val="00F050D6"/>
    <w:rsid w:val="00F05B41"/>
    <w:rsid w:val="00F06747"/>
    <w:rsid w:val="00F07178"/>
    <w:rsid w:val="00F07834"/>
    <w:rsid w:val="00F1077F"/>
    <w:rsid w:val="00F10B5C"/>
    <w:rsid w:val="00F10BA1"/>
    <w:rsid w:val="00F10DBB"/>
    <w:rsid w:val="00F1141C"/>
    <w:rsid w:val="00F119D4"/>
    <w:rsid w:val="00F11A3D"/>
    <w:rsid w:val="00F131BB"/>
    <w:rsid w:val="00F13253"/>
    <w:rsid w:val="00F134E6"/>
    <w:rsid w:val="00F148C7"/>
    <w:rsid w:val="00F14AA6"/>
    <w:rsid w:val="00F15279"/>
    <w:rsid w:val="00F155DB"/>
    <w:rsid w:val="00F15F94"/>
    <w:rsid w:val="00F16414"/>
    <w:rsid w:val="00F17621"/>
    <w:rsid w:val="00F17B91"/>
    <w:rsid w:val="00F20900"/>
    <w:rsid w:val="00F226F8"/>
    <w:rsid w:val="00F22A02"/>
    <w:rsid w:val="00F22A8E"/>
    <w:rsid w:val="00F239EE"/>
    <w:rsid w:val="00F23F82"/>
    <w:rsid w:val="00F253FE"/>
    <w:rsid w:val="00F25951"/>
    <w:rsid w:val="00F25DCF"/>
    <w:rsid w:val="00F261F2"/>
    <w:rsid w:val="00F26577"/>
    <w:rsid w:val="00F269E3"/>
    <w:rsid w:val="00F26CA0"/>
    <w:rsid w:val="00F26EB1"/>
    <w:rsid w:val="00F30079"/>
    <w:rsid w:val="00F32592"/>
    <w:rsid w:val="00F32989"/>
    <w:rsid w:val="00F332A5"/>
    <w:rsid w:val="00F33636"/>
    <w:rsid w:val="00F33681"/>
    <w:rsid w:val="00F33760"/>
    <w:rsid w:val="00F3393B"/>
    <w:rsid w:val="00F342B3"/>
    <w:rsid w:val="00F342F7"/>
    <w:rsid w:val="00F346A8"/>
    <w:rsid w:val="00F347EE"/>
    <w:rsid w:val="00F3502B"/>
    <w:rsid w:val="00F35C88"/>
    <w:rsid w:val="00F360A5"/>
    <w:rsid w:val="00F36214"/>
    <w:rsid w:val="00F369A3"/>
    <w:rsid w:val="00F36E98"/>
    <w:rsid w:val="00F371D9"/>
    <w:rsid w:val="00F373C8"/>
    <w:rsid w:val="00F374B9"/>
    <w:rsid w:val="00F37F48"/>
    <w:rsid w:val="00F403A4"/>
    <w:rsid w:val="00F405A8"/>
    <w:rsid w:val="00F40679"/>
    <w:rsid w:val="00F41CA6"/>
    <w:rsid w:val="00F422CD"/>
    <w:rsid w:val="00F424E9"/>
    <w:rsid w:val="00F42720"/>
    <w:rsid w:val="00F42867"/>
    <w:rsid w:val="00F437E2"/>
    <w:rsid w:val="00F43B50"/>
    <w:rsid w:val="00F43B61"/>
    <w:rsid w:val="00F43E05"/>
    <w:rsid w:val="00F4503F"/>
    <w:rsid w:val="00F4533D"/>
    <w:rsid w:val="00F457D3"/>
    <w:rsid w:val="00F45D73"/>
    <w:rsid w:val="00F45E95"/>
    <w:rsid w:val="00F4649B"/>
    <w:rsid w:val="00F46D77"/>
    <w:rsid w:val="00F47FFA"/>
    <w:rsid w:val="00F51457"/>
    <w:rsid w:val="00F51471"/>
    <w:rsid w:val="00F514A0"/>
    <w:rsid w:val="00F5183B"/>
    <w:rsid w:val="00F51F49"/>
    <w:rsid w:val="00F5209D"/>
    <w:rsid w:val="00F5222F"/>
    <w:rsid w:val="00F5228D"/>
    <w:rsid w:val="00F524A4"/>
    <w:rsid w:val="00F52773"/>
    <w:rsid w:val="00F52B1C"/>
    <w:rsid w:val="00F52C6E"/>
    <w:rsid w:val="00F530BD"/>
    <w:rsid w:val="00F53203"/>
    <w:rsid w:val="00F53582"/>
    <w:rsid w:val="00F53E5E"/>
    <w:rsid w:val="00F547D3"/>
    <w:rsid w:val="00F54BAD"/>
    <w:rsid w:val="00F5520B"/>
    <w:rsid w:val="00F55307"/>
    <w:rsid w:val="00F55739"/>
    <w:rsid w:val="00F55D99"/>
    <w:rsid w:val="00F561FD"/>
    <w:rsid w:val="00F5646F"/>
    <w:rsid w:val="00F57137"/>
    <w:rsid w:val="00F57B62"/>
    <w:rsid w:val="00F57F0E"/>
    <w:rsid w:val="00F6000E"/>
    <w:rsid w:val="00F60133"/>
    <w:rsid w:val="00F6028C"/>
    <w:rsid w:val="00F604AD"/>
    <w:rsid w:val="00F6107B"/>
    <w:rsid w:val="00F61181"/>
    <w:rsid w:val="00F61318"/>
    <w:rsid w:val="00F613CF"/>
    <w:rsid w:val="00F61BF0"/>
    <w:rsid w:val="00F62136"/>
    <w:rsid w:val="00F6220B"/>
    <w:rsid w:val="00F6228E"/>
    <w:rsid w:val="00F626C8"/>
    <w:rsid w:val="00F62D42"/>
    <w:rsid w:val="00F62D79"/>
    <w:rsid w:val="00F64B2E"/>
    <w:rsid w:val="00F650B6"/>
    <w:rsid w:val="00F657AC"/>
    <w:rsid w:val="00F66A42"/>
    <w:rsid w:val="00F66FF9"/>
    <w:rsid w:val="00F671F7"/>
    <w:rsid w:val="00F676B6"/>
    <w:rsid w:val="00F67C9C"/>
    <w:rsid w:val="00F70D27"/>
    <w:rsid w:val="00F721EB"/>
    <w:rsid w:val="00F7241A"/>
    <w:rsid w:val="00F73F28"/>
    <w:rsid w:val="00F73FF5"/>
    <w:rsid w:val="00F7475F"/>
    <w:rsid w:val="00F74FE5"/>
    <w:rsid w:val="00F7505C"/>
    <w:rsid w:val="00F750B7"/>
    <w:rsid w:val="00F755E7"/>
    <w:rsid w:val="00F75AFB"/>
    <w:rsid w:val="00F75D15"/>
    <w:rsid w:val="00F760D7"/>
    <w:rsid w:val="00F769AC"/>
    <w:rsid w:val="00F774FA"/>
    <w:rsid w:val="00F77D67"/>
    <w:rsid w:val="00F804E4"/>
    <w:rsid w:val="00F810D0"/>
    <w:rsid w:val="00F82051"/>
    <w:rsid w:val="00F83140"/>
    <w:rsid w:val="00F83471"/>
    <w:rsid w:val="00F8541A"/>
    <w:rsid w:val="00F8580A"/>
    <w:rsid w:val="00F85B93"/>
    <w:rsid w:val="00F862D9"/>
    <w:rsid w:val="00F864F0"/>
    <w:rsid w:val="00F86A77"/>
    <w:rsid w:val="00F872E9"/>
    <w:rsid w:val="00F909CD"/>
    <w:rsid w:val="00F90F27"/>
    <w:rsid w:val="00F91295"/>
    <w:rsid w:val="00F914B8"/>
    <w:rsid w:val="00F9155F"/>
    <w:rsid w:val="00F9158E"/>
    <w:rsid w:val="00F916FB"/>
    <w:rsid w:val="00F91B49"/>
    <w:rsid w:val="00F91DF3"/>
    <w:rsid w:val="00F920F6"/>
    <w:rsid w:val="00F939C2"/>
    <w:rsid w:val="00F93AB3"/>
    <w:rsid w:val="00F94016"/>
    <w:rsid w:val="00F94074"/>
    <w:rsid w:val="00F94A07"/>
    <w:rsid w:val="00F95187"/>
    <w:rsid w:val="00F95929"/>
    <w:rsid w:val="00F95CB9"/>
    <w:rsid w:val="00F969E0"/>
    <w:rsid w:val="00F9717B"/>
    <w:rsid w:val="00F971C9"/>
    <w:rsid w:val="00F973BA"/>
    <w:rsid w:val="00F975B2"/>
    <w:rsid w:val="00F977DB"/>
    <w:rsid w:val="00F979FB"/>
    <w:rsid w:val="00FA047F"/>
    <w:rsid w:val="00FA0AEE"/>
    <w:rsid w:val="00FA16F7"/>
    <w:rsid w:val="00FA1840"/>
    <w:rsid w:val="00FA1943"/>
    <w:rsid w:val="00FA19EB"/>
    <w:rsid w:val="00FA1AF1"/>
    <w:rsid w:val="00FA1DAD"/>
    <w:rsid w:val="00FA1FF0"/>
    <w:rsid w:val="00FA286C"/>
    <w:rsid w:val="00FA298F"/>
    <w:rsid w:val="00FA3121"/>
    <w:rsid w:val="00FA342A"/>
    <w:rsid w:val="00FA3962"/>
    <w:rsid w:val="00FA4232"/>
    <w:rsid w:val="00FA43AB"/>
    <w:rsid w:val="00FA4625"/>
    <w:rsid w:val="00FA4814"/>
    <w:rsid w:val="00FA4CD9"/>
    <w:rsid w:val="00FA5791"/>
    <w:rsid w:val="00FA57E1"/>
    <w:rsid w:val="00FA5CB7"/>
    <w:rsid w:val="00FA6803"/>
    <w:rsid w:val="00FA6F8C"/>
    <w:rsid w:val="00FA70D5"/>
    <w:rsid w:val="00FA7195"/>
    <w:rsid w:val="00FA7765"/>
    <w:rsid w:val="00FA79D3"/>
    <w:rsid w:val="00FA7BD2"/>
    <w:rsid w:val="00FA7D0B"/>
    <w:rsid w:val="00FB0022"/>
    <w:rsid w:val="00FB0370"/>
    <w:rsid w:val="00FB0AC5"/>
    <w:rsid w:val="00FB0EC4"/>
    <w:rsid w:val="00FB1157"/>
    <w:rsid w:val="00FB1ADA"/>
    <w:rsid w:val="00FB283D"/>
    <w:rsid w:val="00FB2B48"/>
    <w:rsid w:val="00FB2E72"/>
    <w:rsid w:val="00FB3A60"/>
    <w:rsid w:val="00FB4CB4"/>
    <w:rsid w:val="00FB5ADC"/>
    <w:rsid w:val="00FB6BEF"/>
    <w:rsid w:val="00FB72F2"/>
    <w:rsid w:val="00FB79F0"/>
    <w:rsid w:val="00FC0CD1"/>
    <w:rsid w:val="00FC1118"/>
    <w:rsid w:val="00FC115E"/>
    <w:rsid w:val="00FC18BE"/>
    <w:rsid w:val="00FC37DC"/>
    <w:rsid w:val="00FC3E47"/>
    <w:rsid w:val="00FC4194"/>
    <w:rsid w:val="00FC429D"/>
    <w:rsid w:val="00FC4524"/>
    <w:rsid w:val="00FC4875"/>
    <w:rsid w:val="00FC4A3A"/>
    <w:rsid w:val="00FC4B1E"/>
    <w:rsid w:val="00FC55C1"/>
    <w:rsid w:val="00FC5FA1"/>
    <w:rsid w:val="00FC5FAC"/>
    <w:rsid w:val="00FC64B1"/>
    <w:rsid w:val="00FC6CD0"/>
    <w:rsid w:val="00FC777C"/>
    <w:rsid w:val="00FC77FB"/>
    <w:rsid w:val="00FC78D8"/>
    <w:rsid w:val="00FC7BBD"/>
    <w:rsid w:val="00FC7D32"/>
    <w:rsid w:val="00FC7F41"/>
    <w:rsid w:val="00FD03BB"/>
    <w:rsid w:val="00FD085D"/>
    <w:rsid w:val="00FD0C94"/>
    <w:rsid w:val="00FD14E9"/>
    <w:rsid w:val="00FD19D9"/>
    <w:rsid w:val="00FD220C"/>
    <w:rsid w:val="00FD2C5D"/>
    <w:rsid w:val="00FD2CE1"/>
    <w:rsid w:val="00FD4366"/>
    <w:rsid w:val="00FD5408"/>
    <w:rsid w:val="00FD556C"/>
    <w:rsid w:val="00FD5D2C"/>
    <w:rsid w:val="00FD5E32"/>
    <w:rsid w:val="00FD63ED"/>
    <w:rsid w:val="00FD6672"/>
    <w:rsid w:val="00FD6D4A"/>
    <w:rsid w:val="00FD7105"/>
    <w:rsid w:val="00FD725C"/>
    <w:rsid w:val="00FD72E9"/>
    <w:rsid w:val="00FD7496"/>
    <w:rsid w:val="00FD77FF"/>
    <w:rsid w:val="00FD7A2F"/>
    <w:rsid w:val="00FD7E5A"/>
    <w:rsid w:val="00FE0B9B"/>
    <w:rsid w:val="00FE0DC5"/>
    <w:rsid w:val="00FE1FB1"/>
    <w:rsid w:val="00FE2AD2"/>
    <w:rsid w:val="00FE3F55"/>
    <w:rsid w:val="00FE3F67"/>
    <w:rsid w:val="00FE41A0"/>
    <w:rsid w:val="00FE4416"/>
    <w:rsid w:val="00FE456A"/>
    <w:rsid w:val="00FE4B3C"/>
    <w:rsid w:val="00FE525C"/>
    <w:rsid w:val="00FE5320"/>
    <w:rsid w:val="00FE57BE"/>
    <w:rsid w:val="00FE5ABE"/>
    <w:rsid w:val="00FE6704"/>
    <w:rsid w:val="00FE690F"/>
    <w:rsid w:val="00FE74D0"/>
    <w:rsid w:val="00FF14D1"/>
    <w:rsid w:val="00FF1CB3"/>
    <w:rsid w:val="00FF2040"/>
    <w:rsid w:val="00FF239C"/>
    <w:rsid w:val="00FF2D25"/>
    <w:rsid w:val="00FF330F"/>
    <w:rsid w:val="00FF35B7"/>
    <w:rsid w:val="00FF38FA"/>
    <w:rsid w:val="00FF39D3"/>
    <w:rsid w:val="00FF3CE4"/>
    <w:rsid w:val="00FF41D3"/>
    <w:rsid w:val="00FF4249"/>
    <w:rsid w:val="00FF4391"/>
    <w:rsid w:val="00FF523B"/>
    <w:rsid w:val="00FF59D9"/>
    <w:rsid w:val="00FF7744"/>
    <w:rsid w:val="778A784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B4F"/>
    <w:pPr>
      <w:spacing w:after="0"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A1A7C"/>
    <w:rPr>
      <w:rFonts w:ascii="Century Schoolbook" w:hAnsi="Century Schoolbook"/>
      <w:b/>
      <w:sz w:val="26"/>
      <w:vertAlign w:val="superscript"/>
    </w:rPr>
  </w:style>
  <w:style w:type="paragraph" w:styleId="FootnoteText">
    <w:name w:val="footnote text"/>
    <w:basedOn w:val="Normal"/>
    <w:link w:val="FootnoteTextChar"/>
    <w:autoRedefine/>
    <w:qFormat/>
    <w:rsid w:val="00287A13"/>
    <w:pPr>
      <w:spacing w:line="240" w:lineRule="auto"/>
    </w:pPr>
    <w:rPr>
      <w:rFonts w:eastAsia="Times New Roman" w:cstheme="minorBidi"/>
    </w:rPr>
  </w:style>
  <w:style w:type="character" w:customStyle="1" w:styleId="FootnoteTextChar">
    <w:name w:val="Footnote Text Char"/>
    <w:basedOn w:val="DefaultParagraphFont"/>
    <w:link w:val="FootnoteText"/>
    <w:rsid w:val="00287A13"/>
    <w:rPr>
      <w:rFonts w:ascii="Century Schoolbook" w:eastAsia="Times New Roman" w:hAnsi="Century Schoolbook" w:cstheme="minorBidi"/>
      <w:sz w:val="26"/>
    </w:rPr>
  </w:style>
  <w:style w:type="paragraph" w:styleId="BodyText">
    <w:name w:val="Body Text"/>
    <w:aliases w:val="Ken"/>
    <w:basedOn w:val="Normal"/>
    <w:link w:val="BodyTextChar"/>
    <w:uiPriority w:val="99"/>
    <w:semiHidden/>
    <w:unhideWhenUsed/>
    <w:qFormat/>
    <w:rsid w:val="00B87CC6"/>
    <w:pPr>
      <w:spacing w:line="480" w:lineRule="auto"/>
      <w:ind w:firstLine="720"/>
    </w:pPr>
    <w:rPr>
      <w:szCs w:val="22"/>
    </w:rPr>
  </w:style>
  <w:style w:type="character" w:customStyle="1" w:styleId="BodyTextChar">
    <w:name w:val="Body Text Char"/>
    <w:aliases w:val="Ken Char"/>
    <w:basedOn w:val="DefaultParagraphFont"/>
    <w:link w:val="BodyText"/>
    <w:uiPriority w:val="99"/>
    <w:semiHidden/>
    <w:rsid w:val="00B87CC6"/>
    <w:rPr>
      <w:rFonts w:ascii="Times New Roman" w:hAnsi="Times New Roman"/>
      <w:sz w:val="26"/>
      <w:szCs w:val="22"/>
    </w:rPr>
  </w:style>
  <w:style w:type="paragraph" w:styleId="BodyText2">
    <w:name w:val="Body Text 2"/>
    <w:aliases w:val="KEN BODY TEXT"/>
    <w:basedOn w:val="Normal"/>
    <w:link w:val="BodyText2Char"/>
    <w:uiPriority w:val="99"/>
    <w:semiHidden/>
    <w:unhideWhenUsed/>
    <w:qFormat/>
    <w:rsid w:val="006902A0"/>
    <w:pPr>
      <w:spacing w:line="480" w:lineRule="auto"/>
      <w:ind w:firstLine="720"/>
    </w:pPr>
    <w:rPr>
      <w:szCs w:val="22"/>
    </w:rPr>
  </w:style>
  <w:style w:type="character" w:customStyle="1" w:styleId="BodyText2Char">
    <w:name w:val="Body Text 2 Char"/>
    <w:aliases w:val="KEN BODY TEXT Char"/>
    <w:basedOn w:val="DefaultParagraphFont"/>
    <w:link w:val="BodyText2"/>
    <w:uiPriority w:val="99"/>
    <w:semiHidden/>
    <w:rsid w:val="006902A0"/>
    <w:rPr>
      <w:rFonts w:ascii="Times New Roman" w:hAnsi="Times New Roman"/>
      <w:sz w:val="26"/>
      <w:szCs w:val="22"/>
    </w:rPr>
  </w:style>
  <w:style w:type="paragraph" w:styleId="Footer">
    <w:name w:val="footer"/>
    <w:basedOn w:val="Normal"/>
    <w:link w:val="FooterChar"/>
    <w:uiPriority w:val="99"/>
    <w:unhideWhenUsed/>
    <w:rsid w:val="00032B4F"/>
    <w:pPr>
      <w:tabs>
        <w:tab w:val="center" w:pos="4680"/>
        <w:tab w:val="right" w:pos="9360"/>
      </w:tabs>
      <w:spacing w:line="240" w:lineRule="auto"/>
    </w:pPr>
  </w:style>
  <w:style w:type="character" w:customStyle="1" w:styleId="FooterChar">
    <w:name w:val="Footer Char"/>
    <w:basedOn w:val="DefaultParagraphFont"/>
    <w:link w:val="Footer"/>
    <w:uiPriority w:val="99"/>
    <w:rsid w:val="00032B4F"/>
    <w:rPr>
      <w:rFonts w:ascii="Century Schoolbook" w:hAnsi="Century Schoolbook"/>
      <w:sz w:val="26"/>
    </w:rPr>
  </w:style>
  <w:style w:type="paragraph" w:styleId="Header">
    <w:name w:val="header"/>
    <w:basedOn w:val="Normal"/>
    <w:link w:val="HeaderChar"/>
    <w:uiPriority w:val="99"/>
    <w:unhideWhenUsed/>
    <w:rsid w:val="00032B4F"/>
    <w:pPr>
      <w:tabs>
        <w:tab w:val="center" w:pos="4680"/>
        <w:tab w:val="right" w:pos="9360"/>
      </w:tabs>
      <w:spacing w:line="240" w:lineRule="auto"/>
    </w:pPr>
  </w:style>
  <w:style w:type="character" w:customStyle="1" w:styleId="HeaderChar">
    <w:name w:val="Header Char"/>
    <w:basedOn w:val="DefaultParagraphFont"/>
    <w:link w:val="Header"/>
    <w:uiPriority w:val="99"/>
    <w:rsid w:val="00032B4F"/>
    <w:rPr>
      <w:rFonts w:ascii="Century Schoolbook" w:hAnsi="Century Schoolbook"/>
      <w:sz w:val="26"/>
    </w:rPr>
  </w:style>
  <w:style w:type="paragraph" w:customStyle="1" w:styleId="Style1">
    <w:name w:val="Style1"/>
    <w:basedOn w:val="Normal"/>
    <w:link w:val="Style1Char"/>
    <w:qFormat/>
    <w:rsid w:val="004D3041"/>
    <w:rPr>
      <w:bCs/>
      <w:szCs w:val="26"/>
    </w:rPr>
  </w:style>
  <w:style w:type="paragraph" w:customStyle="1" w:styleId="Heading11">
    <w:name w:val="Heading 11"/>
    <w:basedOn w:val="Style1"/>
    <w:link w:val="Heading1Char"/>
    <w:qFormat/>
    <w:rsid w:val="00122908"/>
    <w:pPr>
      <w:spacing w:before="120" w:after="120"/>
      <w:jc w:val="center"/>
    </w:pPr>
    <w:rPr>
      <w:b/>
      <w:bCs w:val="0"/>
    </w:rPr>
  </w:style>
  <w:style w:type="paragraph" w:customStyle="1" w:styleId="Heading21">
    <w:name w:val="Heading 21"/>
    <w:basedOn w:val="Normal"/>
    <w:link w:val="Heading2Char"/>
    <w:qFormat/>
    <w:rsid w:val="008B2DD1"/>
    <w:pPr>
      <w:spacing w:before="120" w:after="120"/>
      <w:ind w:left="720" w:hanging="720"/>
    </w:pPr>
    <w:rPr>
      <w:b/>
      <w:szCs w:val="26"/>
    </w:rPr>
  </w:style>
  <w:style w:type="character" w:customStyle="1" w:styleId="Style1Char">
    <w:name w:val="Style1 Char"/>
    <w:basedOn w:val="DefaultParagraphFont"/>
    <w:link w:val="Style1"/>
    <w:rsid w:val="00122908"/>
    <w:rPr>
      <w:rFonts w:ascii="Century Schoolbook" w:hAnsi="Century Schoolbook"/>
      <w:bCs/>
      <w:sz w:val="26"/>
      <w:szCs w:val="26"/>
    </w:rPr>
  </w:style>
  <w:style w:type="character" w:customStyle="1" w:styleId="Heading1Char">
    <w:name w:val="Heading 1 Char"/>
    <w:basedOn w:val="Style1Char"/>
    <w:link w:val="Heading11"/>
    <w:rsid w:val="00122908"/>
    <w:rPr>
      <w:rFonts w:ascii="Century Schoolbook" w:hAnsi="Century Schoolbook"/>
      <w:b/>
      <w:bCs w:val="0"/>
      <w:sz w:val="26"/>
      <w:szCs w:val="26"/>
    </w:rPr>
  </w:style>
  <w:style w:type="character" w:customStyle="1" w:styleId="Heading2Char">
    <w:name w:val="Heading 2 Char"/>
    <w:basedOn w:val="DefaultParagraphFont"/>
    <w:link w:val="Heading21"/>
    <w:rsid w:val="008B2DD1"/>
    <w:rPr>
      <w:rFonts w:ascii="Century Schoolbook" w:hAnsi="Century Schoolbook"/>
      <w:b/>
      <w:sz w:val="26"/>
      <w:szCs w:val="26"/>
    </w:rPr>
  </w:style>
  <w:style w:type="paragraph" w:customStyle="1" w:styleId="Heading31">
    <w:name w:val="Heading 31"/>
    <w:basedOn w:val="Normal"/>
    <w:link w:val="Heading3Char"/>
    <w:qFormat/>
    <w:rsid w:val="006F1201"/>
    <w:pPr>
      <w:spacing w:before="120" w:after="120"/>
      <w:ind w:left="1440" w:hanging="720"/>
    </w:pPr>
    <w:rPr>
      <w:b/>
      <w:szCs w:val="26"/>
    </w:rPr>
  </w:style>
  <w:style w:type="paragraph" w:customStyle="1" w:styleId="Heading41">
    <w:name w:val="Heading 41"/>
    <w:basedOn w:val="Normal"/>
    <w:link w:val="Heading4Char"/>
    <w:qFormat/>
    <w:rsid w:val="00855A93"/>
    <w:pPr>
      <w:spacing w:before="120" w:after="120"/>
      <w:ind w:left="2160" w:hanging="720"/>
    </w:pPr>
    <w:rPr>
      <w:b/>
      <w:szCs w:val="26"/>
    </w:rPr>
  </w:style>
  <w:style w:type="character" w:customStyle="1" w:styleId="Heading3Char">
    <w:name w:val="Heading 3 Char"/>
    <w:basedOn w:val="DefaultParagraphFont"/>
    <w:link w:val="Heading31"/>
    <w:rsid w:val="006F1201"/>
    <w:rPr>
      <w:rFonts w:ascii="Century Schoolbook" w:hAnsi="Century Schoolbook"/>
      <w:b/>
      <w:sz w:val="26"/>
      <w:szCs w:val="26"/>
    </w:rPr>
  </w:style>
  <w:style w:type="character" w:customStyle="1" w:styleId="Heading4Char">
    <w:name w:val="Heading 4 Char"/>
    <w:basedOn w:val="DefaultParagraphFont"/>
    <w:link w:val="Heading41"/>
    <w:rsid w:val="00855A93"/>
    <w:rPr>
      <w:rFonts w:ascii="Century Schoolbook" w:hAnsi="Century Schoolbook"/>
      <w:b/>
      <w:sz w:val="26"/>
      <w:szCs w:val="26"/>
    </w:rPr>
  </w:style>
  <w:style w:type="character" w:customStyle="1" w:styleId="right">
    <w:name w:val="right"/>
    <w:basedOn w:val="DefaultParagraphFont"/>
    <w:rsid w:val="005557FB"/>
  </w:style>
  <w:style w:type="character" w:styleId="Emphasis">
    <w:name w:val="Emphasis"/>
    <w:basedOn w:val="DefaultParagraphFont"/>
    <w:uiPriority w:val="20"/>
    <w:qFormat/>
    <w:rsid w:val="007D5C5C"/>
    <w:rPr>
      <w:i/>
      <w:iCs/>
    </w:rPr>
  </w:style>
  <w:style w:type="character" w:customStyle="1" w:styleId="cohl">
    <w:name w:val="co_hl"/>
    <w:basedOn w:val="DefaultParagraphFont"/>
    <w:rsid w:val="005B123D"/>
  </w:style>
  <w:style w:type="character" w:customStyle="1" w:styleId="costarpage">
    <w:name w:val="co_starpage"/>
    <w:basedOn w:val="DefaultParagraphFont"/>
    <w:rsid w:val="005B123D"/>
  </w:style>
  <w:style w:type="paragraph" w:styleId="ListParagraph">
    <w:name w:val="List Paragraph"/>
    <w:basedOn w:val="Normal"/>
    <w:uiPriority w:val="34"/>
    <w:qFormat/>
    <w:rsid w:val="00786671"/>
    <w:pPr>
      <w:ind w:left="720"/>
      <w:contextualSpacing/>
    </w:pPr>
  </w:style>
  <w:style w:type="character" w:styleId="Hyperlink">
    <w:name w:val="Hyperlink"/>
    <w:basedOn w:val="DefaultParagraphFont"/>
    <w:uiPriority w:val="99"/>
    <w:unhideWhenUsed/>
    <w:rsid w:val="00FA7765"/>
    <w:rPr>
      <w:color w:val="0000FF" w:themeColor="hyperlink"/>
      <w:u w:val="single"/>
    </w:rPr>
  </w:style>
  <w:style w:type="character" w:customStyle="1" w:styleId="UnresolvedMention1">
    <w:name w:val="Unresolved Mention1"/>
    <w:basedOn w:val="DefaultParagraphFont"/>
    <w:uiPriority w:val="99"/>
    <w:semiHidden/>
    <w:unhideWhenUsed/>
    <w:rsid w:val="00FA7765"/>
    <w:rPr>
      <w:color w:val="605E5C"/>
      <w:shd w:val="clear" w:color="auto" w:fill="E1DFDD"/>
    </w:rPr>
  </w:style>
  <w:style w:type="character" w:customStyle="1" w:styleId="coconcept5366">
    <w:name w:val="co_concept_53_66"/>
    <w:basedOn w:val="DefaultParagraphFont"/>
    <w:rsid w:val="00E25A79"/>
  </w:style>
  <w:style w:type="character" w:styleId="Strong">
    <w:name w:val="Strong"/>
    <w:basedOn w:val="DefaultParagraphFont"/>
    <w:uiPriority w:val="22"/>
    <w:qFormat/>
    <w:rsid w:val="00351FC7"/>
    <w:rPr>
      <w:b/>
      <w:bCs/>
    </w:rPr>
  </w:style>
  <w:style w:type="character" w:customStyle="1" w:styleId="coconcept5457">
    <w:name w:val="co_concept_54_57"/>
    <w:basedOn w:val="DefaultParagraphFont"/>
    <w:rsid w:val="00E47B63"/>
  </w:style>
  <w:style w:type="character" w:customStyle="1" w:styleId="coconcept18">
    <w:name w:val="co_concept_1_8"/>
    <w:basedOn w:val="DefaultParagraphFont"/>
    <w:rsid w:val="00E47B63"/>
  </w:style>
  <w:style w:type="character" w:customStyle="1" w:styleId="coconcept1016">
    <w:name w:val="co_concept_10_16"/>
    <w:basedOn w:val="DefaultParagraphFont"/>
    <w:rsid w:val="00E47B63"/>
  </w:style>
  <w:style w:type="character" w:customStyle="1" w:styleId="coconcept3243">
    <w:name w:val="co_concept_32_43"/>
    <w:basedOn w:val="DefaultParagraphFont"/>
    <w:rsid w:val="00E47B63"/>
  </w:style>
  <w:style w:type="character" w:customStyle="1" w:styleId="coconcept4549">
    <w:name w:val="co_concept_45_49"/>
    <w:basedOn w:val="DefaultParagraphFont"/>
    <w:rsid w:val="00E47B63"/>
  </w:style>
  <w:style w:type="character" w:customStyle="1" w:styleId="coconcept4552">
    <w:name w:val="co_concept_45_52"/>
    <w:basedOn w:val="DefaultParagraphFont"/>
    <w:rsid w:val="00E47B63"/>
  </w:style>
  <w:style w:type="character" w:customStyle="1" w:styleId="opiniondissent">
    <w:name w:val="opiniondissent"/>
    <w:basedOn w:val="DefaultParagraphFont"/>
    <w:rsid w:val="00062EA8"/>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10BB1"/>
    <w:pPr>
      <w:spacing w:after="0"/>
    </w:pPr>
    <w:rPr>
      <w:rFonts w:ascii="Century Schoolbook" w:hAnsi="Century Schoolbook"/>
      <w:sz w:val="26"/>
    </w:rPr>
  </w:style>
  <w:style w:type="character" w:styleId="CommentReference">
    <w:name w:val="annotation reference"/>
    <w:basedOn w:val="DefaultParagraphFont"/>
    <w:uiPriority w:val="99"/>
    <w:semiHidden/>
    <w:unhideWhenUsed/>
    <w:rsid w:val="00364BC3"/>
    <w:rPr>
      <w:sz w:val="16"/>
      <w:szCs w:val="16"/>
    </w:rPr>
  </w:style>
  <w:style w:type="paragraph" w:styleId="CommentText">
    <w:name w:val="annotation text"/>
    <w:basedOn w:val="Normal"/>
    <w:link w:val="CommentTextChar"/>
    <w:uiPriority w:val="99"/>
    <w:unhideWhenUsed/>
    <w:rsid w:val="00364BC3"/>
    <w:pPr>
      <w:spacing w:line="240" w:lineRule="auto"/>
    </w:pPr>
    <w:rPr>
      <w:sz w:val="20"/>
    </w:rPr>
  </w:style>
  <w:style w:type="character" w:customStyle="1" w:styleId="CommentTextChar">
    <w:name w:val="Comment Text Char"/>
    <w:basedOn w:val="DefaultParagraphFont"/>
    <w:link w:val="CommentText"/>
    <w:uiPriority w:val="99"/>
    <w:rsid w:val="00364BC3"/>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364BC3"/>
    <w:rPr>
      <w:b/>
      <w:bCs/>
    </w:rPr>
  </w:style>
  <w:style w:type="character" w:customStyle="1" w:styleId="CommentSubjectChar">
    <w:name w:val="Comment Subject Char"/>
    <w:basedOn w:val="CommentTextChar"/>
    <w:link w:val="CommentSubject"/>
    <w:uiPriority w:val="99"/>
    <w:semiHidden/>
    <w:rsid w:val="00364BC3"/>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5FEFB5FBC8414AA8510CB1A8803C39" ma:contentTypeVersion="9" ma:contentTypeDescription="Create a new document." ma:contentTypeScope="" ma:versionID="6f68115b3c0b788efbe7a7469a71db74">
  <xsd:schema xmlns:xsd="http://www.w3.org/2001/XMLSchema" xmlns:xs="http://www.w3.org/2001/XMLSchema" xmlns:p="http://schemas.microsoft.com/office/2006/metadata/properties" xmlns:ns3="9476a598-a6ba-4fbf-a93d-4a20a6adae20" xmlns:ns4="452f9366-d973-4b72-9c24-5e30e3b2765d" targetNamespace="http://schemas.microsoft.com/office/2006/metadata/properties" ma:root="true" ma:fieldsID="4fed6b1723456b4124283c1b0447c20f" ns3:_="" ns4:_="">
    <xsd:import namespace="9476a598-a6ba-4fbf-a93d-4a20a6adae20"/>
    <xsd:import namespace="452f9366-d973-4b72-9c24-5e30e3b276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6a598-a6ba-4fbf-a93d-4a20a6ada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f9366-d973-4b72-9c24-5e30e3b276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3C536-046B-4066-B144-7CF0E47B94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A4F5DE-EBC6-4F53-AEF8-8661A23B26DA}">
  <ds:schemaRefs>
    <ds:schemaRef ds:uri="http://schemas.microsoft.com/sharepoint/v3/contenttype/forms"/>
  </ds:schemaRefs>
</ds:datastoreItem>
</file>

<file path=customXml/itemProps3.xml><?xml version="1.0" encoding="utf-8"?>
<ds:datastoreItem xmlns:ds="http://schemas.openxmlformats.org/officeDocument/2006/customXml" ds:itemID="{F2165A5F-784C-4019-A16B-23E416E5950C}">
  <ds:schemaRefs>
    <ds:schemaRef ds:uri="http://schemas.openxmlformats.org/officeDocument/2006/bibliography"/>
  </ds:schemaRefs>
</ds:datastoreItem>
</file>

<file path=customXml/itemProps4.xml><?xml version="1.0" encoding="utf-8"?>
<ds:datastoreItem xmlns:ds="http://schemas.openxmlformats.org/officeDocument/2006/customXml" ds:itemID="{4E1DFF43-E52A-463C-8497-1CEA5364C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6a598-a6ba-4fbf-a93d-4a20a6adae20"/>
    <ds:schemaRef ds:uri="452f9366-d973-4b72-9c24-5e30e3b27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8853</Words>
  <Characters>50468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2024-05-17T21:54:42Z</dcterms:created>
  <dcterms:modified xsi:type="dcterms:W3CDTF">2024-05-17T21:54:42Z</dcterms:modified>
</cp:coreProperties>
</file>