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453CA" w:rsidRPr="007324EB" w:rsidP="007324EB" w14:paraId="47BD0B81" w14:textId="565E307D">
      <w:pPr>
        <w:spacing w:line="288" w:lineRule="auto"/>
        <w:rPr>
          <w:rFonts w:ascii="Century Schoolbook" w:eastAsia="Calibri" w:hAnsi="Century Schoolbook"/>
          <w:bCs/>
          <w:sz w:val="20"/>
          <w:szCs w:val="20"/>
        </w:rPr>
      </w:pPr>
      <w:r>
        <w:rPr>
          <w:rFonts w:ascii="Century Schoolbook" w:eastAsia="Calibri" w:hAnsi="Century Schoolbook"/>
          <w:bCs/>
          <w:sz w:val="20"/>
          <w:szCs w:val="20"/>
        </w:rPr>
        <w:t>Filed 3/28/24</w:t>
      </w:r>
    </w:p>
    <w:p w:rsidR="00D370B4" w:rsidRPr="00D370B4" w:rsidP="002B3A3C" w14:paraId="26A24885" w14:textId="413274F1">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rsidR="009A7218" w:rsidRPr="009A7218" w:rsidP="002B3A3C" w14:paraId="1B92DE46" w14:textId="77777777">
      <w:pPr>
        <w:spacing w:line="288" w:lineRule="auto"/>
        <w:jc w:val="center"/>
        <w:rPr>
          <w:rFonts w:ascii="Century Schoolbook" w:eastAsia="Calibri" w:hAnsi="Century Schoolbook"/>
          <w:sz w:val="26"/>
        </w:rPr>
      </w:pPr>
    </w:p>
    <w:p w:rsidR="009A7218" w:rsidRPr="009A7218" w:rsidP="002B3A3C" w14:paraId="6C65E19E"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rsidR="009A7218" w:rsidRPr="009A7218" w:rsidP="002B3A3C" w14:paraId="1B8D6176" w14:textId="77777777">
      <w:pPr>
        <w:spacing w:line="288" w:lineRule="auto"/>
        <w:jc w:val="center"/>
        <w:rPr>
          <w:rFonts w:ascii="Century Schoolbook" w:eastAsia="Calibri" w:hAnsi="Century Schoolbook"/>
          <w:sz w:val="26"/>
        </w:rPr>
      </w:pPr>
    </w:p>
    <w:p w:rsidR="009A7218" w:rsidRPr="009A7218" w:rsidP="002B3A3C" w14:paraId="19E0B779"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rsidR="009A7218" w:rsidRPr="009A7218" w:rsidP="002B3A3C" w14:paraId="5CEB5AFF" w14:textId="77777777">
      <w:pPr>
        <w:spacing w:line="288" w:lineRule="auto"/>
        <w:jc w:val="center"/>
        <w:rPr>
          <w:rFonts w:ascii="Century Schoolbook" w:eastAsia="Calibri" w:hAnsi="Century Schoolbook"/>
          <w:sz w:val="26"/>
        </w:rPr>
      </w:pPr>
    </w:p>
    <w:p w:rsidR="009A7218" w:rsidRPr="009A7218" w:rsidP="002B3A3C" w14:paraId="4C0ED1C3" w14:textId="17ACFE9A">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rsidR="009A7218" w:rsidRPr="009A7218" w:rsidP="002B3A3C" w14:paraId="4E21B25C" w14:textId="77777777">
      <w:pPr>
        <w:spacing w:line="288" w:lineRule="auto"/>
        <w:rPr>
          <w:rFonts w:ascii="Century Schoolbook" w:eastAsia="Calibri" w:hAnsi="Century Schoolbook"/>
          <w:sz w:val="26"/>
        </w:rPr>
      </w:pPr>
    </w:p>
    <w:tbl>
      <w:tblPr>
        <w:tblW w:w="0" w:type="auto"/>
        <w:tblInd w:w="0" w:type="dxa"/>
        <w:tblLayout w:type="fixed"/>
        <w:tblCellMar>
          <w:top w:w="0" w:type="dxa"/>
          <w:left w:w="108" w:type="dxa"/>
          <w:bottom w:w="0" w:type="dxa"/>
          <w:right w:w="108" w:type="dxa"/>
        </w:tblCellMar>
        <w:tblLook w:val="0000"/>
      </w:tblPr>
      <w:tblGrid>
        <w:gridCol w:w="4068"/>
        <w:gridCol w:w="4068"/>
      </w:tblGrid>
      <w:tr w14:paraId="5A127FF3" w14:textId="77777777" w:rsidTr="00AF7E07">
        <w:tblPrEx>
          <w:tblW w:w="0" w:type="auto"/>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9A7218" w:rsidRPr="009A7218" w:rsidP="002B3A3C" w14:paraId="7DC4416B" w14:textId="0502C9D9">
            <w:pPr>
              <w:spacing w:after="0" w:line="288" w:lineRule="auto"/>
              <w:rPr>
                <w:rStyle w:val="DefaultParagraphFont"/>
                <w:rFonts w:ascii="Century Schoolbook" w:eastAsia="Calibri" w:hAnsi="Century Schoolbook" w:cs="Times New Roman"/>
                <w:sz w:val="26"/>
                <w:szCs w:val="24"/>
                <w:lang w:val="en-US" w:eastAsia="en-US" w:bidi="ar-SA"/>
              </w:rPr>
            </w:pPr>
            <w:r>
              <w:rPr>
                <w:rFonts w:ascii="Century Schoolbook" w:eastAsia="Calibri" w:hAnsi="Century Schoolbook" w:cs="Times New Roman"/>
                <w:sz w:val="26"/>
                <w:szCs w:val="24"/>
                <w:lang w:val="en-US" w:eastAsia="en-US" w:bidi="ar-SA"/>
              </w:rPr>
              <w:t>AIDS HEALTHCARE FOUNDATION et al.</w:t>
            </w:r>
            <w:r w:rsidR="003D24DE">
              <w:rPr>
                <w:rFonts w:ascii="Century Schoolbook" w:eastAsia="Calibri" w:hAnsi="Century Schoolbook" w:cs="Times New Roman"/>
                <w:sz w:val="26"/>
                <w:szCs w:val="24"/>
                <w:lang w:val="en-US" w:eastAsia="en-US" w:bidi="ar-SA"/>
              </w:rPr>
              <w:t>,</w:t>
            </w:r>
          </w:p>
          <w:p w:rsidR="009A7218" w:rsidRPr="009A7218" w:rsidP="002B3A3C" w14:paraId="6D0EA971" w14:textId="77777777">
            <w:pPr>
              <w:spacing w:after="0" w:line="288" w:lineRule="auto"/>
              <w:rPr>
                <w:rStyle w:val="DefaultParagraphFont"/>
                <w:rFonts w:ascii="Century Schoolbook" w:eastAsia="Calibri" w:hAnsi="Century Schoolbook" w:cs="Times New Roman"/>
                <w:sz w:val="26"/>
                <w:szCs w:val="24"/>
                <w:lang w:val="en-US" w:eastAsia="en-US" w:bidi="ar-SA"/>
              </w:rPr>
            </w:pPr>
          </w:p>
          <w:p w:rsidR="009A7218" w:rsidRPr="00E66023" w:rsidP="002B3A3C" w14:paraId="668752C1" w14:textId="2681A4D4">
            <w:pPr>
              <w:spacing w:after="0" w:line="288" w:lineRule="auto"/>
              <w:rPr>
                <w:rStyle w:val="DefaultParagraphFont"/>
                <w:rFonts w:ascii="Century Schoolbook" w:eastAsia="Calibri" w:hAnsi="Century Schoolbook" w:cs="Times New Roman"/>
                <w:sz w:val="26"/>
                <w:szCs w:val="24"/>
                <w:lang w:val="en-US" w:eastAsia="en-US" w:bidi="ar-SA"/>
              </w:rPr>
            </w:pPr>
            <w:r w:rsidRPr="009A7218">
              <w:rPr>
                <w:rFonts w:ascii="Century Schoolbook" w:eastAsia="Calibri" w:hAnsi="Century Schoolbook" w:cs="Times New Roman"/>
                <w:sz w:val="26"/>
                <w:szCs w:val="24"/>
                <w:lang w:val="en-US" w:eastAsia="en-US" w:bidi="ar-SA"/>
              </w:rPr>
              <w:tab/>
            </w:r>
            <w:r w:rsidRPr="004D0747" w:rsidR="001479C7">
              <w:rPr>
                <w:rFonts w:ascii="Century Schoolbook" w:eastAsia="Calibri" w:hAnsi="Century Schoolbook" w:cs="Times New Roman"/>
                <w:sz w:val="26"/>
                <w:szCs w:val="24"/>
                <w:lang w:val="en-US" w:eastAsia="en-US" w:bidi="ar-SA"/>
              </w:rPr>
              <w:t>Plaintiff</w:t>
            </w:r>
            <w:r w:rsidRPr="004D0747" w:rsidR="004B1089">
              <w:rPr>
                <w:rFonts w:ascii="Century Schoolbook" w:eastAsia="Calibri" w:hAnsi="Century Schoolbook" w:cs="Times New Roman"/>
                <w:sz w:val="26"/>
                <w:szCs w:val="24"/>
                <w:lang w:val="en-US" w:eastAsia="en-US" w:bidi="ar-SA"/>
              </w:rPr>
              <w:t>s</w:t>
            </w:r>
            <w:r w:rsidRPr="004D0747" w:rsidR="00500B49">
              <w:rPr>
                <w:rFonts w:ascii="Century Schoolbook" w:eastAsia="Calibri" w:hAnsi="Century Schoolbook" w:cs="Times New Roman"/>
                <w:sz w:val="26"/>
                <w:szCs w:val="24"/>
                <w:lang w:val="en-US" w:eastAsia="en-US" w:bidi="ar-SA"/>
              </w:rPr>
              <w:t xml:space="preserve"> </w:t>
            </w:r>
            <w:r w:rsidRPr="004D0747" w:rsidR="00321100">
              <w:rPr>
                <w:rFonts w:ascii="Century Schoolbook" w:eastAsia="Calibri" w:hAnsi="Century Schoolbook" w:cs="Times New Roman"/>
                <w:sz w:val="26"/>
                <w:szCs w:val="24"/>
                <w:lang w:val="en-US" w:eastAsia="en-US" w:bidi="ar-SA"/>
              </w:rPr>
              <w:t>and</w:t>
            </w:r>
            <w:r w:rsidRPr="008036E2" w:rsidR="00321100">
              <w:rPr>
                <w:rFonts w:ascii="Century Schoolbook" w:eastAsia="Calibri" w:hAnsi="Century Schoolbook" w:cs="Times New Roman"/>
                <w:sz w:val="26"/>
                <w:szCs w:val="24"/>
                <w:lang w:val="en-US" w:eastAsia="en-US" w:bidi="ar-SA"/>
              </w:rPr>
              <w:t xml:space="preserve"> Appellant</w:t>
            </w:r>
            <w:r w:rsidRPr="008036E2" w:rsidR="004B1089">
              <w:rPr>
                <w:rFonts w:ascii="Century Schoolbook" w:eastAsia="Calibri" w:hAnsi="Century Schoolbook" w:cs="Times New Roman"/>
                <w:sz w:val="26"/>
                <w:szCs w:val="24"/>
                <w:lang w:val="en-US" w:eastAsia="en-US" w:bidi="ar-SA"/>
              </w:rPr>
              <w:t>s</w:t>
            </w:r>
            <w:r w:rsidRPr="00E66023">
              <w:rPr>
                <w:rFonts w:ascii="Century Schoolbook" w:eastAsia="Calibri" w:hAnsi="Century Schoolbook" w:cs="Times New Roman"/>
                <w:sz w:val="26"/>
                <w:szCs w:val="24"/>
                <w:lang w:val="en-US" w:eastAsia="en-US" w:bidi="ar-SA"/>
              </w:rPr>
              <w:t>,</w:t>
            </w:r>
          </w:p>
          <w:p w:rsidR="009A7218" w:rsidRPr="00E66023" w:rsidP="002B3A3C" w14:paraId="707E95F2" w14:textId="77777777">
            <w:pPr>
              <w:spacing w:after="0" w:line="288" w:lineRule="auto"/>
              <w:rPr>
                <w:rStyle w:val="DefaultParagraphFont"/>
                <w:rFonts w:ascii="Century Schoolbook" w:eastAsia="Calibri" w:hAnsi="Century Schoolbook" w:cs="Times New Roman"/>
                <w:sz w:val="26"/>
                <w:szCs w:val="24"/>
                <w:lang w:val="en-US" w:eastAsia="en-US" w:bidi="ar-SA"/>
              </w:rPr>
            </w:pPr>
          </w:p>
          <w:p w:rsidR="009A7218" w:rsidRPr="00E66023" w:rsidP="002B3A3C" w14:paraId="434B4AF7" w14:textId="77777777">
            <w:pPr>
              <w:spacing w:after="0" w:line="288" w:lineRule="auto"/>
              <w:rPr>
                <w:rStyle w:val="DefaultParagraphFont"/>
                <w:rFonts w:ascii="Century Schoolbook" w:eastAsia="Calibri" w:hAnsi="Century Schoolbook" w:cs="Times New Roman"/>
                <w:sz w:val="26"/>
                <w:szCs w:val="24"/>
                <w:lang w:val="en-US" w:eastAsia="en-US" w:bidi="ar-SA"/>
              </w:rPr>
            </w:pPr>
            <w:r w:rsidRPr="00E66023">
              <w:rPr>
                <w:rFonts w:ascii="Century Schoolbook" w:eastAsia="Calibri" w:hAnsi="Century Schoolbook" w:cs="Times New Roman"/>
                <w:sz w:val="26"/>
                <w:szCs w:val="24"/>
                <w:lang w:val="en-US" w:eastAsia="en-US" w:bidi="ar-SA"/>
              </w:rPr>
              <w:tab/>
              <w:t>v.</w:t>
            </w:r>
          </w:p>
          <w:p w:rsidR="009A7218" w:rsidRPr="00E66023" w:rsidP="002B3A3C" w14:paraId="3A87CEDB" w14:textId="77777777">
            <w:pPr>
              <w:spacing w:after="0" w:line="288" w:lineRule="auto"/>
              <w:rPr>
                <w:rStyle w:val="DefaultParagraphFont"/>
                <w:rFonts w:ascii="Century Schoolbook" w:eastAsia="Calibri" w:hAnsi="Century Schoolbook" w:cs="Times New Roman"/>
                <w:sz w:val="26"/>
                <w:szCs w:val="24"/>
                <w:lang w:val="en-US" w:eastAsia="en-US" w:bidi="ar-SA"/>
              </w:rPr>
            </w:pPr>
          </w:p>
          <w:p w:rsidR="009A7218" w:rsidRPr="00E66023" w:rsidP="002B3A3C" w14:paraId="07177B55" w14:textId="232E14B6">
            <w:pPr>
              <w:spacing w:after="0" w:line="288" w:lineRule="auto"/>
              <w:rPr>
                <w:rStyle w:val="DefaultParagraphFont"/>
                <w:rFonts w:ascii="Century Schoolbook" w:eastAsia="Calibri" w:hAnsi="Century Schoolbook" w:cs="Times New Roman"/>
                <w:sz w:val="26"/>
                <w:szCs w:val="24"/>
                <w:lang w:val="en-US" w:eastAsia="en-US" w:bidi="ar-SA"/>
              </w:rPr>
            </w:pPr>
            <w:r>
              <w:rPr>
                <w:rFonts w:ascii="Century Schoolbook" w:eastAsia="Calibri" w:hAnsi="Century Schoolbook" w:cs="Times New Roman"/>
                <w:sz w:val="26"/>
                <w:szCs w:val="24"/>
                <w:lang w:val="en-US" w:eastAsia="en-US" w:bidi="ar-SA"/>
              </w:rPr>
              <w:t>ROB BONTA, as Attorney General, etc.</w:t>
            </w:r>
            <w:r w:rsidRPr="00E66023" w:rsidR="001F1F07">
              <w:rPr>
                <w:rFonts w:ascii="Century Schoolbook" w:eastAsia="Calibri" w:hAnsi="Century Schoolbook" w:cs="Times New Roman"/>
                <w:sz w:val="26"/>
                <w:szCs w:val="24"/>
                <w:lang w:val="en-US" w:eastAsia="en-US" w:bidi="ar-SA"/>
              </w:rPr>
              <w:t>,</w:t>
            </w:r>
            <w:r>
              <w:rPr>
                <w:rFonts w:ascii="Century Schoolbook" w:eastAsia="Calibri" w:hAnsi="Century Schoolbook" w:cs="Times New Roman"/>
                <w:sz w:val="26"/>
                <w:szCs w:val="24"/>
                <w:lang w:val="en-US" w:eastAsia="en-US" w:bidi="ar-SA"/>
              </w:rPr>
              <w:t xml:space="preserve"> et al.,</w:t>
            </w:r>
          </w:p>
          <w:p w:rsidR="009A7218" w:rsidRPr="00E66023" w:rsidP="002B3A3C" w14:paraId="2AE32234" w14:textId="77777777">
            <w:pPr>
              <w:spacing w:after="0" w:line="288" w:lineRule="auto"/>
              <w:rPr>
                <w:rStyle w:val="DefaultParagraphFont"/>
                <w:rFonts w:ascii="Century Schoolbook" w:eastAsia="Calibri" w:hAnsi="Century Schoolbook" w:cs="Times New Roman"/>
                <w:sz w:val="26"/>
                <w:szCs w:val="24"/>
                <w:lang w:val="en-US" w:eastAsia="en-US" w:bidi="ar-SA"/>
              </w:rPr>
            </w:pPr>
          </w:p>
          <w:p w:rsidR="009A7218" w:rsidRPr="009A7218" w:rsidP="002B3A3C" w14:paraId="66A3F2D0" w14:textId="3E89CACB">
            <w:pPr>
              <w:spacing w:after="0" w:line="288" w:lineRule="auto"/>
              <w:rPr>
                <w:rStyle w:val="DefaultParagraphFont"/>
                <w:rFonts w:ascii="Century Schoolbook" w:eastAsia="Calibri" w:hAnsi="Century Schoolbook" w:cs="Times New Roman"/>
                <w:sz w:val="26"/>
                <w:szCs w:val="24"/>
                <w:lang w:val="en-US" w:eastAsia="en-US" w:bidi="ar-SA"/>
              </w:rPr>
            </w:pPr>
            <w:r w:rsidRPr="00E66023">
              <w:rPr>
                <w:rFonts w:ascii="Century Schoolbook" w:eastAsia="Calibri" w:hAnsi="Century Schoolbook" w:cs="Times New Roman"/>
                <w:sz w:val="26"/>
                <w:szCs w:val="24"/>
                <w:lang w:val="en-US" w:eastAsia="en-US" w:bidi="ar-SA"/>
              </w:rPr>
              <w:tab/>
            </w:r>
            <w:r w:rsidRPr="004D0747">
              <w:rPr>
                <w:rFonts w:ascii="Century Schoolbook" w:eastAsia="Calibri" w:hAnsi="Century Schoolbook" w:cs="Times New Roman"/>
                <w:sz w:val="26"/>
                <w:szCs w:val="24"/>
                <w:lang w:val="en-US" w:eastAsia="en-US" w:bidi="ar-SA"/>
              </w:rPr>
              <w:t>Defendant</w:t>
            </w:r>
            <w:r w:rsidRPr="004D0747" w:rsidR="004B1089">
              <w:rPr>
                <w:rFonts w:ascii="Century Schoolbook" w:eastAsia="Calibri" w:hAnsi="Century Schoolbook" w:cs="Times New Roman"/>
                <w:sz w:val="26"/>
                <w:szCs w:val="24"/>
                <w:lang w:val="en-US" w:eastAsia="en-US" w:bidi="ar-SA"/>
              </w:rPr>
              <w:t>s</w:t>
            </w:r>
            <w:r w:rsidRPr="004D0747" w:rsidR="001479C7">
              <w:rPr>
                <w:rFonts w:ascii="Century Schoolbook" w:eastAsia="Calibri" w:hAnsi="Century Schoolbook" w:cs="Times New Roman"/>
                <w:sz w:val="26"/>
                <w:szCs w:val="24"/>
                <w:lang w:val="en-US" w:eastAsia="en-US" w:bidi="ar-SA"/>
              </w:rPr>
              <w:t xml:space="preserve"> </w:t>
            </w:r>
            <w:r w:rsidRPr="004D0747">
              <w:rPr>
                <w:rFonts w:ascii="Century Schoolbook" w:eastAsia="Calibri" w:hAnsi="Century Schoolbook" w:cs="Times New Roman"/>
                <w:sz w:val="26"/>
                <w:szCs w:val="24"/>
                <w:lang w:val="en-US" w:eastAsia="en-US" w:bidi="ar-SA"/>
              </w:rPr>
              <w:t xml:space="preserve">and </w:t>
            </w:r>
            <w:r w:rsidRPr="004D0747" w:rsidR="001F1F07">
              <w:rPr>
                <w:rFonts w:ascii="Century Schoolbook" w:eastAsia="Calibri" w:hAnsi="Century Schoolbook" w:cs="Times New Roman"/>
                <w:sz w:val="26"/>
                <w:szCs w:val="24"/>
                <w:lang w:val="en-US" w:eastAsia="en-US" w:bidi="ar-SA"/>
              </w:rPr>
              <w:t>Respondent</w:t>
            </w:r>
            <w:r w:rsidRPr="004D0747" w:rsidR="004B1089">
              <w:rPr>
                <w:rFonts w:ascii="Century Schoolbook" w:eastAsia="Calibri" w:hAnsi="Century Schoolbook" w:cs="Times New Roman"/>
                <w:sz w:val="26"/>
                <w:szCs w:val="24"/>
                <w:lang w:val="en-US" w:eastAsia="en-US" w:bidi="ar-SA"/>
              </w:rPr>
              <w:t>s</w:t>
            </w:r>
            <w:r w:rsidRPr="004D0747">
              <w:rPr>
                <w:rFonts w:ascii="Century Schoolbook" w:eastAsia="Calibri" w:hAnsi="Century Schoolbook" w:cs="Times New Roman"/>
                <w:sz w:val="26"/>
                <w:szCs w:val="24"/>
                <w:lang w:val="en-US" w:eastAsia="en-US" w:bidi="ar-SA"/>
              </w:rPr>
              <w:t>.</w:t>
            </w:r>
          </w:p>
          <w:p w:rsidR="009A7218" w:rsidRPr="009A7218" w:rsidP="002B3A3C" w14:paraId="3AA7122B" w14:textId="77777777">
            <w:pPr>
              <w:spacing w:after="0" w:line="288" w:lineRule="auto"/>
              <w:rPr>
                <w:rStyle w:val="DefaultParagraphFont"/>
                <w:rFonts w:ascii="Century Schoolbook" w:eastAsia="Calibri" w:hAnsi="Century Schoolbook" w:cs="Times New Roman"/>
                <w:sz w:val="26"/>
                <w:szCs w:val="24"/>
                <w:lang w:val="en-US" w:eastAsia="en-US" w:bidi="ar-SA"/>
              </w:rPr>
            </w:pPr>
          </w:p>
        </w:tc>
        <w:tc>
          <w:tcPr>
            <w:tcW w:w="4068" w:type="dxa"/>
            <w:tcBorders>
              <w:left w:val="single" w:sz="4" w:space="0" w:color="auto"/>
            </w:tcBorders>
            <w:shd w:val="clear" w:color="auto" w:fill="auto"/>
          </w:tcPr>
          <w:p w:rsidR="009A7218" w:rsidRPr="009A7218" w:rsidP="002B3A3C" w14:paraId="3670D815" w14:textId="4AB2888B">
            <w:pPr>
              <w:spacing w:after="0" w:line="288" w:lineRule="auto"/>
              <w:rPr>
                <w:rStyle w:val="DefaultParagraphFont"/>
                <w:rFonts w:ascii="Century Schoolbook" w:eastAsia="Calibri" w:hAnsi="Century Schoolbook" w:cs="Times New Roman"/>
                <w:sz w:val="26"/>
                <w:szCs w:val="24"/>
                <w:lang w:val="en-US" w:eastAsia="en-US" w:bidi="ar-SA"/>
              </w:rPr>
            </w:pPr>
            <w:r w:rsidRPr="009A7218">
              <w:rPr>
                <w:rFonts w:ascii="Century Schoolbook" w:eastAsia="Calibri" w:hAnsi="Century Schoolbook" w:cs="Times New Roman"/>
                <w:sz w:val="26"/>
                <w:szCs w:val="24"/>
                <w:lang w:val="en-US" w:eastAsia="en-US" w:bidi="ar-SA"/>
              </w:rPr>
              <w:t xml:space="preserve">      </w:t>
            </w:r>
            <w:bookmarkStart w:id="0" w:name="_Hlk162593486"/>
            <w:r w:rsidRPr="004B1089" w:rsidR="004B1089">
              <w:rPr>
                <w:rFonts w:ascii="Century Schoolbook" w:eastAsia="Calibri" w:hAnsi="Century Schoolbook" w:cs="Times New Roman"/>
                <w:sz w:val="26"/>
                <w:szCs w:val="24"/>
                <w:lang w:val="en-US" w:eastAsia="en-US" w:bidi="ar-SA"/>
              </w:rPr>
              <w:t>B321875</w:t>
            </w:r>
            <w:bookmarkEnd w:id="0"/>
          </w:p>
          <w:p w:rsidR="009A7218" w:rsidRPr="009A7218" w:rsidP="002B3A3C" w14:paraId="221E7D04" w14:textId="77777777">
            <w:pPr>
              <w:spacing w:after="0" w:line="288" w:lineRule="auto"/>
              <w:rPr>
                <w:rStyle w:val="DefaultParagraphFont"/>
                <w:rFonts w:ascii="Century Schoolbook" w:eastAsia="Calibri" w:hAnsi="Century Schoolbook" w:cs="Times New Roman"/>
                <w:sz w:val="26"/>
                <w:szCs w:val="24"/>
                <w:lang w:val="en-US" w:eastAsia="en-US" w:bidi="ar-SA"/>
              </w:rPr>
            </w:pPr>
          </w:p>
          <w:p w:rsidR="009A7218" w:rsidRPr="00A72DBD" w:rsidP="002B3A3C" w14:paraId="06AEBEB3" w14:textId="77777777">
            <w:pPr>
              <w:spacing w:after="0" w:line="288" w:lineRule="auto"/>
              <w:rPr>
                <w:rStyle w:val="DefaultParagraphFont"/>
                <w:rFonts w:ascii="Century Schoolbook" w:eastAsia="Calibri" w:hAnsi="Century Schoolbook" w:cs="Times New Roman"/>
                <w:sz w:val="26"/>
                <w:szCs w:val="24"/>
                <w:lang w:val="en-US" w:eastAsia="en-US" w:bidi="ar-SA"/>
              </w:rPr>
            </w:pPr>
            <w:r w:rsidRPr="009A7218">
              <w:rPr>
                <w:rFonts w:ascii="Century Schoolbook" w:eastAsia="Calibri" w:hAnsi="Century Schoolbook" w:cs="Times New Roman"/>
                <w:sz w:val="26"/>
                <w:szCs w:val="24"/>
                <w:lang w:val="en-US" w:eastAsia="en-US" w:bidi="ar-SA"/>
              </w:rPr>
              <w:t xml:space="preserve">      </w:t>
            </w:r>
            <w:r w:rsidRPr="00A72DBD">
              <w:rPr>
                <w:rFonts w:ascii="Century Schoolbook" w:eastAsia="Calibri" w:hAnsi="Century Schoolbook" w:cs="Times New Roman"/>
                <w:sz w:val="26"/>
                <w:szCs w:val="24"/>
                <w:lang w:val="en-US" w:eastAsia="en-US" w:bidi="ar-SA"/>
              </w:rPr>
              <w:t>(Los Angeles County</w:t>
            </w:r>
          </w:p>
          <w:p w:rsidR="009A7218" w:rsidRPr="009A7218" w:rsidP="002B3A3C" w14:paraId="78D68E00" w14:textId="4237809A">
            <w:pPr>
              <w:spacing w:after="0" w:line="288" w:lineRule="auto"/>
              <w:ind w:left="421" w:hanging="421"/>
              <w:rPr>
                <w:rStyle w:val="DefaultParagraphFont"/>
                <w:rFonts w:ascii="Century Schoolbook" w:eastAsia="Calibri" w:hAnsi="Century Schoolbook" w:cs="Times New Roman"/>
                <w:sz w:val="26"/>
                <w:szCs w:val="24"/>
                <w:lang w:val="en-US" w:eastAsia="en-US" w:bidi="ar-SA"/>
              </w:rPr>
            </w:pPr>
            <w:r w:rsidRPr="00A72DBD">
              <w:rPr>
                <w:rFonts w:ascii="Century Schoolbook" w:eastAsia="Calibri" w:hAnsi="Century Schoolbook" w:cs="Times New Roman"/>
                <w:sz w:val="26"/>
                <w:szCs w:val="24"/>
                <w:lang w:val="en-US" w:eastAsia="en-US" w:bidi="ar-SA"/>
              </w:rPr>
              <w:t xml:space="preserve">      Super. Ct. No. </w:t>
            </w:r>
            <w:r w:rsidRPr="004B1089" w:rsidR="004B1089">
              <w:rPr>
                <w:rFonts w:ascii="Century Schoolbook" w:eastAsia="Calibri" w:hAnsi="Century Schoolbook" w:cs="Times New Roman"/>
                <w:sz w:val="26"/>
                <w:szCs w:val="24"/>
                <w:lang w:val="en-US" w:eastAsia="en-US" w:bidi="ar-SA"/>
              </w:rPr>
              <w:t>21STCP03149</w:t>
            </w:r>
            <w:r w:rsidRPr="009A7218">
              <w:rPr>
                <w:rFonts w:ascii="Century Schoolbook" w:eastAsia="Calibri" w:hAnsi="Century Schoolbook" w:cs="Times New Roman"/>
                <w:sz w:val="26"/>
                <w:szCs w:val="24"/>
                <w:lang w:val="en-US" w:eastAsia="en-US" w:bidi="ar-SA"/>
              </w:rPr>
              <w:t>)</w:t>
            </w:r>
          </w:p>
        </w:tc>
      </w:tr>
    </w:tbl>
    <w:p w:rsidR="009A7218" w:rsidRPr="009A7218" w:rsidP="002B3A3C" w14:paraId="12C36120" w14:textId="77777777">
      <w:pPr>
        <w:spacing w:line="288" w:lineRule="auto"/>
        <w:rPr>
          <w:rFonts w:ascii="Century Schoolbook" w:eastAsia="Calibri" w:hAnsi="Century Schoolbook"/>
          <w:sz w:val="26"/>
        </w:rPr>
      </w:pPr>
    </w:p>
    <w:p w:rsidR="009A7218" w:rsidRPr="009A7218" w:rsidP="002B3A3C" w14:paraId="6C71C5EA" w14:textId="27CD6CA4">
      <w:pPr>
        <w:spacing w:line="288" w:lineRule="auto"/>
        <w:ind w:firstLine="720"/>
        <w:rPr>
          <w:rFonts w:ascii="Century Schoolbook" w:hAnsi="Century Schoolbook"/>
          <w:sz w:val="26"/>
          <w:szCs w:val="26"/>
        </w:rPr>
      </w:pPr>
      <w:r w:rsidRPr="00ED0BBB">
        <w:rPr>
          <w:rFonts w:ascii="Century Schoolbook" w:hAnsi="Century Schoolbook"/>
          <w:sz w:val="26"/>
          <w:szCs w:val="26"/>
        </w:rPr>
        <w:t xml:space="preserve">APPEAL </w:t>
      </w:r>
      <w:r w:rsidRPr="007900F8">
        <w:rPr>
          <w:rFonts w:ascii="Century Schoolbook" w:hAnsi="Century Schoolbook"/>
          <w:sz w:val="26"/>
          <w:szCs w:val="26"/>
        </w:rPr>
        <w:t xml:space="preserve">from </w:t>
      </w:r>
      <w:r w:rsidRPr="008036E2" w:rsidR="00C2429B">
        <w:rPr>
          <w:rFonts w:ascii="Century Schoolbook" w:hAnsi="Century Schoolbook"/>
          <w:sz w:val="26"/>
          <w:szCs w:val="26"/>
        </w:rPr>
        <w:t>a</w:t>
      </w:r>
      <w:r w:rsidRPr="008036E2" w:rsidR="007900F8">
        <w:rPr>
          <w:rFonts w:ascii="Century Schoolbook" w:hAnsi="Century Schoolbook"/>
          <w:sz w:val="26"/>
          <w:szCs w:val="26"/>
        </w:rPr>
        <w:t xml:space="preserve"> judgment</w:t>
      </w:r>
      <w:r w:rsidRPr="00ED0BBB" w:rsidR="003D24DE">
        <w:rPr>
          <w:rFonts w:ascii="Century Schoolbook" w:hAnsi="Century Schoolbook"/>
          <w:sz w:val="26"/>
          <w:szCs w:val="26"/>
        </w:rPr>
        <w:t xml:space="preserve"> </w:t>
      </w:r>
      <w:r w:rsidRPr="00ED0BBB">
        <w:rPr>
          <w:rFonts w:ascii="Century Schoolbook" w:hAnsi="Century Schoolbook"/>
          <w:sz w:val="26"/>
          <w:szCs w:val="26"/>
        </w:rPr>
        <w:t>of the</w:t>
      </w:r>
      <w:r w:rsidRPr="009A7218">
        <w:rPr>
          <w:rFonts w:ascii="Century Schoolbook" w:hAnsi="Century Schoolbook"/>
          <w:sz w:val="26"/>
          <w:szCs w:val="26"/>
        </w:rPr>
        <w:t xml:space="preserve"> Superior Court of Los Angeles </w:t>
      </w:r>
      <w:r w:rsidRPr="000949F8">
        <w:rPr>
          <w:rFonts w:ascii="Century Schoolbook" w:hAnsi="Century Schoolbook"/>
          <w:sz w:val="26"/>
          <w:szCs w:val="26"/>
        </w:rPr>
        <w:t xml:space="preserve">County, </w:t>
      </w:r>
      <w:r w:rsidRPr="004B1089" w:rsidR="004B1089">
        <w:rPr>
          <w:rFonts w:ascii="Century Schoolbook" w:hAnsi="Century Schoolbook"/>
          <w:sz w:val="26"/>
          <w:szCs w:val="26"/>
        </w:rPr>
        <w:t>James C. Chalfant</w:t>
      </w:r>
      <w:r w:rsidRPr="000949F8">
        <w:rPr>
          <w:rFonts w:ascii="Century Schoolbook" w:hAnsi="Century Schoolbook"/>
          <w:sz w:val="26"/>
          <w:szCs w:val="26"/>
        </w:rPr>
        <w:t>, Judge.</w:t>
      </w:r>
      <w:r w:rsidRPr="009A7218">
        <w:rPr>
          <w:rFonts w:ascii="Century Schoolbook" w:hAnsi="Century Schoolbook"/>
          <w:sz w:val="26"/>
          <w:szCs w:val="26"/>
        </w:rPr>
        <w:t xml:space="preserve">  </w:t>
      </w:r>
      <w:r w:rsidR="00950287">
        <w:rPr>
          <w:rFonts w:ascii="Century Schoolbook" w:hAnsi="Century Schoolbook"/>
          <w:sz w:val="26"/>
          <w:szCs w:val="26"/>
        </w:rPr>
        <w:t>Affirmed</w:t>
      </w:r>
      <w:r w:rsidRPr="00562CBA" w:rsidR="00E87392">
        <w:rPr>
          <w:rFonts w:ascii="Century Schoolbook" w:hAnsi="Century Schoolbook"/>
          <w:sz w:val="26"/>
          <w:szCs w:val="26"/>
        </w:rPr>
        <w:t>.</w:t>
      </w:r>
    </w:p>
    <w:p w:rsidR="009A7218" w:rsidRPr="009A7218" w:rsidP="002B3A3C" w14:paraId="63C2922C" w14:textId="77777777">
      <w:pPr>
        <w:spacing w:line="288" w:lineRule="auto"/>
        <w:rPr>
          <w:rFonts w:ascii="Century Schoolbook" w:hAnsi="Century Schoolbook"/>
          <w:sz w:val="26"/>
          <w:szCs w:val="26"/>
        </w:rPr>
      </w:pPr>
      <w:r w:rsidRPr="009A7218">
        <w:rPr>
          <w:rFonts w:ascii="Century Schoolbook" w:hAnsi="Century Schoolbook"/>
          <w:sz w:val="26"/>
          <w:szCs w:val="26"/>
        </w:rPr>
        <w:tab/>
      </w:r>
    </w:p>
    <w:p w:rsidR="00C2429B" w:rsidP="002B3A3C" w14:paraId="752C0650" w14:textId="7643C7E6">
      <w:pPr>
        <w:spacing w:line="288" w:lineRule="auto"/>
        <w:ind w:firstLine="720"/>
        <w:rPr>
          <w:rFonts w:ascii="Century Schoolbook" w:hAnsi="Century Schoolbook"/>
          <w:sz w:val="26"/>
          <w:szCs w:val="26"/>
        </w:rPr>
      </w:pPr>
      <w:r w:rsidRPr="00AF5B7B">
        <w:rPr>
          <w:rFonts w:ascii="Century Schoolbook" w:hAnsi="Century Schoolbook"/>
          <w:sz w:val="26"/>
          <w:szCs w:val="26"/>
        </w:rPr>
        <w:t>Michael W. Webb</w:t>
      </w:r>
      <w:r w:rsidRPr="00AF5B7B" w:rsidR="00AF5B7B">
        <w:rPr>
          <w:rFonts w:ascii="Century Schoolbook" w:hAnsi="Century Schoolbook"/>
          <w:sz w:val="26"/>
          <w:szCs w:val="26"/>
        </w:rPr>
        <w:t>, City Attorney</w:t>
      </w:r>
      <w:r w:rsidRPr="00AF5B7B">
        <w:rPr>
          <w:rFonts w:ascii="Century Schoolbook" w:hAnsi="Century Schoolbook"/>
          <w:sz w:val="26"/>
          <w:szCs w:val="26"/>
        </w:rPr>
        <w:t>;</w:t>
      </w:r>
      <w:r>
        <w:rPr>
          <w:rFonts w:ascii="Century Schoolbook" w:hAnsi="Century Schoolbook"/>
          <w:sz w:val="26"/>
          <w:szCs w:val="26"/>
        </w:rPr>
        <w:t xml:space="preserve"> </w:t>
      </w:r>
      <w:r w:rsidRPr="00715738">
        <w:rPr>
          <w:rFonts w:ascii="Century Schoolbook" w:hAnsi="Century Schoolbook"/>
          <w:sz w:val="26"/>
          <w:szCs w:val="26"/>
        </w:rPr>
        <w:t xml:space="preserve">Strumwasser &amp; Woocher, Beverly </w:t>
      </w:r>
      <w:r w:rsidR="004D0747">
        <w:rPr>
          <w:rFonts w:ascii="Century Schoolbook" w:hAnsi="Century Schoolbook"/>
          <w:sz w:val="26"/>
          <w:szCs w:val="26"/>
        </w:rPr>
        <w:t>G</w:t>
      </w:r>
      <w:r w:rsidRPr="00715738">
        <w:rPr>
          <w:rFonts w:ascii="Century Schoolbook" w:hAnsi="Century Schoolbook"/>
          <w:sz w:val="26"/>
          <w:szCs w:val="26"/>
        </w:rPr>
        <w:t>rossman Palmer</w:t>
      </w:r>
      <w:r>
        <w:rPr>
          <w:rFonts w:ascii="Century Schoolbook" w:hAnsi="Century Schoolbook"/>
          <w:sz w:val="26"/>
          <w:szCs w:val="26"/>
        </w:rPr>
        <w:t xml:space="preserve"> and</w:t>
      </w:r>
      <w:r w:rsidRPr="00715738">
        <w:rPr>
          <w:rFonts w:ascii="Century Schoolbook" w:hAnsi="Century Schoolbook"/>
          <w:sz w:val="26"/>
          <w:szCs w:val="26"/>
        </w:rPr>
        <w:t xml:space="preserve"> Julia Michel</w:t>
      </w:r>
      <w:r>
        <w:rPr>
          <w:rFonts w:ascii="Century Schoolbook" w:hAnsi="Century Schoolbook"/>
          <w:sz w:val="26"/>
          <w:szCs w:val="26"/>
        </w:rPr>
        <w:t xml:space="preserve"> </w:t>
      </w:r>
      <w:r w:rsidRPr="008871C8">
        <w:rPr>
          <w:rFonts w:ascii="Century Schoolbook" w:hAnsi="Century Schoolbook"/>
          <w:sz w:val="26"/>
          <w:szCs w:val="26"/>
        </w:rPr>
        <w:t xml:space="preserve">for </w:t>
      </w:r>
      <w:r w:rsidRPr="004D0747" w:rsidR="001479C7">
        <w:rPr>
          <w:rFonts w:ascii="Century Schoolbook" w:hAnsi="Century Schoolbook"/>
          <w:sz w:val="26"/>
          <w:szCs w:val="26"/>
        </w:rPr>
        <w:t>Plaintiff</w:t>
      </w:r>
      <w:r w:rsidRPr="004D0747" w:rsidR="008871C8">
        <w:rPr>
          <w:rFonts w:ascii="Century Schoolbook" w:hAnsi="Century Schoolbook"/>
          <w:sz w:val="26"/>
          <w:szCs w:val="26"/>
        </w:rPr>
        <w:t>s</w:t>
      </w:r>
      <w:r w:rsidRPr="004D0747">
        <w:rPr>
          <w:rFonts w:ascii="Century Schoolbook" w:hAnsi="Century Schoolbook"/>
          <w:sz w:val="26"/>
          <w:szCs w:val="26"/>
        </w:rPr>
        <w:t xml:space="preserve"> and</w:t>
      </w:r>
      <w:r w:rsidRPr="008871C8">
        <w:rPr>
          <w:rFonts w:ascii="Century Schoolbook" w:hAnsi="Century Schoolbook"/>
          <w:sz w:val="26"/>
          <w:szCs w:val="26"/>
        </w:rPr>
        <w:t xml:space="preserve"> Appellant</w:t>
      </w:r>
      <w:r w:rsidRPr="008871C8" w:rsidR="008871C8">
        <w:rPr>
          <w:rFonts w:ascii="Century Schoolbook" w:hAnsi="Century Schoolbook"/>
          <w:sz w:val="26"/>
          <w:szCs w:val="26"/>
        </w:rPr>
        <w:t>s</w:t>
      </w:r>
      <w:r w:rsidRPr="008871C8">
        <w:rPr>
          <w:rFonts w:ascii="Century Schoolbook" w:hAnsi="Century Schoolbook"/>
          <w:sz w:val="26"/>
          <w:szCs w:val="26"/>
        </w:rPr>
        <w:t>.</w:t>
      </w:r>
    </w:p>
    <w:p w:rsidR="009C7A74" w:rsidP="00D0414F" w14:paraId="7ABF7970" w14:textId="77777777">
      <w:pPr>
        <w:spacing w:line="288" w:lineRule="auto"/>
        <w:ind w:firstLine="720"/>
        <w:rPr>
          <w:rFonts w:ascii="Century Schoolbook" w:hAnsi="Century Schoolbook"/>
          <w:sz w:val="26"/>
          <w:szCs w:val="26"/>
        </w:rPr>
      </w:pPr>
    </w:p>
    <w:p w:rsidR="009C7A74" w:rsidRPr="004B1089" w:rsidP="00D0414F" w14:paraId="633952B6" w14:textId="79C7C9DE">
      <w:pPr>
        <w:spacing w:line="288" w:lineRule="auto"/>
        <w:ind w:firstLine="720"/>
        <w:rPr>
          <w:rFonts w:ascii="Century Schoolbook" w:hAnsi="Century Schoolbook"/>
          <w:sz w:val="26"/>
          <w:szCs w:val="26"/>
          <w:highlight w:val="yellow"/>
        </w:rPr>
      </w:pPr>
      <w:r>
        <w:rPr>
          <w:rFonts w:ascii="Century Schoolbook" w:hAnsi="Century Schoolbook"/>
          <w:sz w:val="26"/>
          <w:szCs w:val="26"/>
        </w:rPr>
        <w:t>Law Offices of Stuart M. Flashman and Stuart M. Flashman for Livable California and Thousand Friends of Martinez as Amici Curiae on behalf of Plaintiffs and Appellants.</w:t>
      </w:r>
    </w:p>
    <w:p w:rsidR="004754AF" w:rsidRPr="004B1089" w:rsidP="00D0414F" w14:paraId="52984056" w14:textId="47A70285">
      <w:pPr>
        <w:spacing w:line="288" w:lineRule="auto"/>
        <w:ind w:firstLine="720"/>
        <w:rPr>
          <w:rFonts w:ascii="Century Schoolbook" w:hAnsi="Century Schoolbook"/>
          <w:sz w:val="26"/>
          <w:szCs w:val="26"/>
          <w:highlight w:val="yellow"/>
        </w:rPr>
      </w:pPr>
    </w:p>
    <w:p w:rsidR="004754AF" w:rsidP="00D0414F" w14:paraId="6D188F31" w14:textId="3F6BCAD2">
      <w:pPr>
        <w:spacing w:line="288" w:lineRule="auto"/>
        <w:ind w:firstLine="720"/>
        <w:rPr>
          <w:rFonts w:ascii="Century Schoolbook" w:hAnsi="Century Schoolbook"/>
          <w:sz w:val="26"/>
          <w:szCs w:val="26"/>
        </w:rPr>
      </w:pPr>
      <w:r w:rsidRPr="00715738">
        <w:rPr>
          <w:rFonts w:ascii="Century Schoolbook" w:hAnsi="Century Schoolbook"/>
          <w:sz w:val="26"/>
          <w:szCs w:val="26"/>
        </w:rPr>
        <w:t>R</w:t>
      </w:r>
      <w:r w:rsidR="00715738">
        <w:rPr>
          <w:rFonts w:ascii="Century Schoolbook" w:hAnsi="Century Schoolbook"/>
          <w:sz w:val="26"/>
          <w:szCs w:val="26"/>
        </w:rPr>
        <w:t>ob Bonta, Attorney General, Thomas S. Patterson, Assistant Attorney General, Benjamin M. Glickman</w:t>
      </w:r>
      <w:r w:rsidR="00B0164F">
        <w:rPr>
          <w:rFonts w:ascii="Century Schoolbook" w:hAnsi="Century Schoolbook"/>
          <w:sz w:val="26"/>
          <w:szCs w:val="26"/>
        </w:rPr>
        <w:t xml:space="preserve"> and </w:t>
      </w:r>
      <w:r w:rsidR="00715738">
        <w:rPr>
          <w:rFonts w:ascii="Century Schoolbook" w:hAnsi="Century Schoolbook"/>
          <w:sz w:val="26"/>
          <w:szCs w:val="26"/>
        </w:rPr>
        <w:t>Seth E. Goldstein, Deputy Attorney</w:t>
      </w:r>
      <w:r w:rsidR="00B0164F">
        <w:rPr>
          <w:rFonts w:ascii="Century Schoolbook" w:hAnsi="Century Schoolbook"/>
          <w:sz w:val="26"/>
          <w:szCs w:val="26"/>
        </w:rPr>
        <w:t>s</w:t>
      </w:r>
      <w:r w:rsidR="00715738">
        <w:rPr>
          <w:rFonts w:ascii="Century Schoolbook" w:hAnsi="Century Schoolbook"/>
          <w:sz w:val="26"/>
          <w:szCs w:val="26"/>
        </w:rPr>
        <w:t xml:space="preserve"> </w:t>
      </w:r>
      <w:r w:rsidRPr="008871C8" w:rsidR="00715738">
        <w:rPr>
          <w:rFonts w:ascii="Century Schoolbook" w:hAnsi="Century Schoolbook"/>
          <w:sz w:val="26"/>
          <w:szCs w:val="26"/>
        </w:rPr>
        <w:t>General</w:t>
      </w:r>
      <w:r w:rsidRPr="008871C8" w:rsidR="008871C8">
        <w:rPr>
          <w:rFonts w:ascii="Century Schoolbook" w:hAnsi="Century Schoolbook"/>
          <w:sz w:val="26"/>
          <w:szCs w:val="26"/>
        </w:rPr>
        <w:t xml:space="preserve">, </w:t>
      </w:r>
      <w:r w:rsidRPr="004D0747">
        <w:rPr>
          <w:rFonts w:ascii="Century Schoolbook" w:hAnsi="Century Schoolbook"/>
          <w:sz w:val="26"/>
          <w:szCs w:val="26"/>
        </w:rPr>
        <w:t>for Defendant</w:t>
      </w:r>
      <w:r w:rsidRPr="004D0747" w:rsidR="008871C8">
        <w:rPr>
          <w:rFonts w:ascii="Century Schoolbook" w:hAnsi="Century Schoolbook"/>
          <w:sz w:val="26"/>
          <w:szCs w:val="26"/>
        </w:rPr>
        <w:t>s</w:t>
      </w:r>
      <w:r w:rsidRPr="004D0747">
        <w:rPr>
          <w:rFonts w:ascii="Century Schoolbook" w:hAnsi="Century Schoolbook"/>
          <w:sz w:val="26"/>
          <w:szCs w:val="26"/>
        </w:rPr>
        <w:t xml:space="preserve"> and</w:t>
      </w:r>
      <w:r w:rsidRPr="008871C8">
        <w:rPr>
          <w:rFonts w:ascii="Century Schoolbook" w:hAnsi="Century Schoolbook"/>
          <w:sz w:val="26"/>
          <w:szCs w:val="26"/>
        </w:rPr>
        <w:t xml:space="preserve"> Respondent</w:t>
      </w:r>
      <w:r w:rsidRPr="008871C8" w:rsidR="008871C8">
        <w:rPr>
          <w:rFonts w:ascii="Century Schoolbook" w:hAnsi="Century Schoolbook"/>
          <w:sz w:val="26"/>
          <w:szCs w:val="26"/>
        </w:rPr>
        <w:t>s</w:t>
      </w:r>
      <w:r w:rsidRPr="008871C8">
        <w:rPr>
          <w:rFonts w:ascii="Century Schoolbook" w:hAnsi="Century Schoolbook"/>
          <w:sz w:val="26"/>
          <w:szCs w:val="26"/>
        </w:rPr>
        <w:t>.</w:t>
      </w:r>
    </w:p>
    <w:p w:rsidR="009A7218" w:rsidRPr="009A7218" w:rsidP="00D0414F" w14:paraId="4C16BE05" w14:textId="3AEB98EE">
      <w:pPr>
        <w:spacing w:line="288" w:lineRule="auto"/>
        <w:rPr>
          <w:rFonts w:ascii="Century Schoolbook" w:hAnsi="Century Schoolbook"/>
          <w:sz w:val="26"/>
          <w:szCs w:val="26"/>
        </w:rPr>
      </w:pPr>
    </w:p>
    <w:p w:rsidR="009A7218" w:rsidRPr="00E92B8E" w:rsidP="00D0414F" w14:paraId="4B1ED400" w14:textId="00F974FD">
      <w:pPr>
        <w:spacing w:line="288" w:lineRule="auto"/>
        <w:jc w:val="center"/>
        <w:rPr>
          <w:rFonts w:ascii="Century Schoolbook" w:hAnsi="Century Schoolbook"/>
          <w:sz w:val="26"/>
          <w:szCs w:val="26"/>
        </w:rPr>
      </w:pPr>
      <w:r w:rsidRPr="009A7218">
        <w:rPr>
          <w:rFonts w:ascii="Century Schoolbook" w:hAnsi="Century Schoolbook"/>
          <w:sz w:val="26"/>
          <w:szCs w:val="26"/>
        </w:rPr>
        <w:t>* * * * * *</w:t>
      </w:r>
    </w:p>
    <w:p w:rsidR="00941CD5" w:rsidP="004F3A3C" w14:paraId="24F84E97" w14:textId="077A4AA7">
      <w:pPr>
        <w:spacing w:line="288" w:lineRule="auto"/>
        <w:rPr>
          <w:rFonts w:ascii="Century Schoolbook" w:hAnsi="Century Schoolbook"/>
          <w:sz w:val="26"/>
          <w:szCs w:val="26"/>
        </w:rPr>
      </w:pPr>
      <w:bookmarkStart w:id="1" w:name="_Hlk122494658"/>
      <w:r>
        <w:rPr>
          <w:rFonts w:ascii="Century Schoolbook" w:hAnsi="Century Schoolbook"/>
          <w:sz w:val="26"/>
          <w:szCs w:val="26"/>
        </w:rPr>
        <w:tab/>
      </w:r>
      <w:r w:rsidRPr="004F3A3C" w:rsidR="004F3A3C">
        <w:rPr>
          <w:rFonts w:ascii="Century Schoolbook" w:hAnsi="Century Schoolbook"/>
          <w:sz w:val="26"/>
          <w:szCs w:val="26"/>
        </w:rPr>
        <w:t xml:space="preserve">In response to a “severe shortage of housing at all income levels in this state,” our Legislature enacted Senate Bill </w:t>
      </w:r>
      <w:r w:rsidR="007D0660">
        <w:rPr>
          <w:rFonts w:ascii="Century Schoolbook" w:hAnsi="Century Schoolbook"/>
          <w:sz w:val="26"/>
          <w:szCs w:val="26"/>
        </w:rPr>
        <w:t xml:space="preserve">No. </w:t>
      </w:r>
      <w:r w:rsidRPr="004F3A3C" w:rsidR="004F3A3C">
        <w:rPr>
          <w:rFonts w:ascii="Century Schoolbook" w:hAnsi="Century Schoolbook"/>
          <w:sz w:val="26"/>
          <w:szCs w:val="26"/>
        </w:rPr>
        <w:t>10</w:t>
      </w:r>
      <w:r w:rsidR="007D0660">
        <w:rPr>
          <w:rFonts w:ascii="Century Schoolbook" w:hAnsi="Century Schoolbook"/>
          <w:sz w:val="26"/>
          <w:szCs w:val="26"/>
        </w:rPr>
        <w:t xml:space="preserve"> (2021-2022 Reg. Sess.) (Senate Bill 10)</w:t>
      </w:r>
      <w:r w:rsidRPr="004F3A3C" w:rsidR="004F3A3C">
        <w:rPr>
          <w:rFonts w:ascii="Century Schoolbook" w:hAnsi="Century Schoolbook"/>
          <w:sz w:val="26"/>
          <w:szCs w:val="26"/>
        </w:rPr>
        <w:t xml:space="preserve">, which grants counties and cities </w:t>
      </w:r>
      <w:r>
        <w:rPr>
          <w:rFonts w:ascii="Century Schoolbook" w:hAnsi="Century Schoolbook"/>
          <w:sz w:val="26"/>
          <w:szCs w:val="26"/>
        </w:rPr>
        <w:t>some</w:t>
      </w:r>
      <w:r w:rsidRPr="004F3A3C" w:rsidR="004F3A3C">
        <w:rPr>
          <w:rFonts w:ascii="Century Schoolbook" w:hAnsi="Century Schoolbook"/>
          <w:sz w:val="26"/>
          <w:szCs w:val="26"/>
        </w:rPr>
        <w:t xml:space="preserve"> discretion, on a parcel-by-parcel basis, to </w:t>
      </w:r>
      <w:r w:rsidR="00E31BDF">
        <w:rPr>
          <w:rFonts w:ascii="Century Schoolbook" w:hAnsi="Century Schoolbook"/>
          <w:sz w:val="26"/>
          <w:szCs w:val="26"/>
        </w:rPr>
        <w:t>supersede</w:t>
      </w:r>
      <w:r w:rsidRPr="004F3A3C" w:rsidR="004F3A3C">
        <w:rPr>
          <w:rFonts w:ascii="Century Schoolbook" w:hAnsi="Century Schoolbook"/>
          <w:sz w:val="26"/>
          <w:szCs w:val="26"/>
        </w:rPr>
        <w:t xml:space="preserve"> local hous</w:t>
      </w:r>
      <w:r>
        <w:rPr>
          <w:rFonts w:ascii="Century Schoolbook" w:hAnsi="Century Schoolbook"/>
          <w:sz w:val="26"/>
          <w:szCs w:val="26"/>
        </w:rPr>
        <w:t>ing</w:t>
      </w:r>
      <w:r w:rsidRPr="004F3A3C" w:rsidR="004F3A3C">
        <w:rPr>
          <w:rFonts w:ascii="Century Schoolbook" w:hAnsi="Century Schoolbook"/>
          <w:sz w:val="26"/>
          <w:szCs w:val="26"/>
        </w:rPr>
        <w:t xml:space="preserve"> density caps</w:t>
      </w:r>
      <w:r>
        <w:rPr>
          <w:rFonts w:ascii="Century Schoolbook" w:hAnsi="Century Schoolbook"/>
          <w:sz w:val="26"/>
          <w:szCs w:val="26"/>
        </w:rPr>
        <w:t xml:space="preserve">, </w:t>
      </w:r>
      <w:r w:rsidR="00C20DC1">
        <w:rPr>
          <w:rFonts w:ascii="Century Schoolbook" w:hAnsi="Century Schoolbook"/>
          <w:sz w:val="26"/>
          <w:szCs w:val="26"/>
        </w:rPr>
        <w:t xml:space="preserve">even if those </w:t>
      </w:r>
      <w:r w:rsidRPr="004F3A3C" w:rsidR="004F3A3C">
        <w:rPr>
          <w:rFonts w:ascii="Century Schoolbook" w:hAnsi="Century Schoolbook"/>
          <w:sz w:val="26"/>
          <w:szCs w:val="26"/>
        </w:rPr>
        <w:t xml:space="preserve">caps </w:t>
      </w:r>
      <w:r w:rsidR="00C20DC1">
        <w:rPr>
          <w:rFonts w:ascii="Century Schoolbook" w:hAnsi="Century Schoolbook"/>
          <w:sz w:val="26"/>
          <w:szCs w:val="26"/>
        </w:rPr>
        <w:t xml:space="preserve">had been </w:t>
      </w:r>
      <w:r w:rsidRPr="004F3A3C" w:rsidR="004F3A3C">
        <w:rPr>
          <w:rFonts w:ascii="Century Schoolbook" w:hAnsi="Century Schoolbook"/>
          <w:sz w:val="26"/>
          <w:szCs w:val="26"/>
        </w:rPr>
        <w:t>adopted by voter initiative.  (</w:t>
      </w:r>
      <w:r w:rsidR="007A5CDF">
        <w:rPr>
          <w:rFonts w:ascii="Century Schoolbook" w:hAnsi="Century Schoolbook"/>
          <w:sz w:val="26"/>
          <w:szCs w:val="26"/>
        </w:rPr>
        <w:t>Gov. Code, § 65913.5; Stats. 2021, ch. 163, § 1.</w:t>
      </w:r>
      <w:r w:rsidRPr="004F3A3C" w:rsidR="004F3A3C">
        <w:rPr>
          <w:rFonts w:ascii="Century Schoolbook" w:hAnsi="Century Schoolbook"/>
          <w:sz w:val="26"/>
          <w:szCs w:val="26"/>
        </w:rPr>
        <w:t>)</w:t>
      </w:r>
      <w:r>
        <w:rPr>
          <w:rStyle w:val="FootnoteReference"/>
          <w:rFonts w:ascii="Century Schoolbook" w:hAnsi="Century Schoolbook"/>
          <w:b/>
          <w:bCs/>
          <w:szCs w:val="26"/>
        </w:rPr>
        <w:footnoteReference w:id="2"/>
      </w:r>
      <w:r w:rsidRPr="004F3A3C" w:rsidR="004F3A3C">
        <w:rPr>
          <w:rFonts w:ascii="Century Schoolbook" w:hAnsi="Century Schoolbook"/>
          <w:sz w:val="26"/>
          <w:szCs w:val="26"/>
        </w:rPr>
        <w:t xml:space="preserve">  Does this </w:t>
      </w:r>
      <w:r w:rsidR="006B04D0">
        <w:rPr>
          <w:rFonts w:ascii="Century Schoolbook" w:hAnsi="Century Schoolbook"/>
          <w:sz w:val="26"/>
          <w:szCs w:val="26"/>
        </w:rPr>
        <w:t>legislation</w:t>
      </w:r>
      <w:r w:rsidRPr="004F3A3C" w:rsidR="006B04D0">
        <w:rPr>
          <w:rFonts w:ascii="Century Schoolbook" w:hAnsi="Century Schoolbook"/>
          <w:sz w:val="26"/>
          <w:szCs w:val="26"/>
        </w:rPr>
        <w:t xml:space="preserve"> </w:t>
      </w:r>
      <w:r w:rsidRPr="004F3A3C" w:rsidR="004F3A3C">
        <w:rPr>
          <w:rFonts w:ascii="Century Schoolbook" w:hAnsi="Century Schoolbook"/>
          <w:sz w:val="26"/>
          <w:szCs w:val="26"/>
        </w:rPr>
        <w:t xml:space="preserve">violate the initiative power enshrined in </w:t>
      </w:r>
      <w:r w:rsidR="00F2041F">
        <w:rPr>
          <w:rFonts w:ascii="Century Schoolbook" w:hAnsi="Century Schoolbook"/>
          <w:sz w:val="26"/>
          <w:szCs w:val="26"/>
        </w:rPr>
        <w:t>a</w:t>
      </w:r>
      <w:r w:rsidR="007A5CDF">
        <w:rPr>
          <w:rFonts w:ascii="Century Schoolbook" w:hAnsi="Century Schoolbook"/>
          <w:sz w:val="26"/>
          <w:szCs w:val="26"/>
        </w:rPr>
        <w:t xml:space="preserve">rticle II, section 11 of </w:t>
      </w:r>
      <w:r w:rsidR="006B04D0">
        <w:rPr>
          <w:rFonts w:ascii="Century Schoolbook" w:hAnsi="Century Schoolbook"/>
          <w:sz w:val="26"/>
          <w:szCs w:val="26"/>
        </w:rPr>
        <w:t>the California</w:t>
      </w:r>
      <w:r w:rsidR="007A5CDF">
        <w:rPr>
          <w:rFonts w:ascii="Century Schoolbook" w:hAnsi="Century Schoolbook"/>
          <w:sz w:val="26"/>
          <w:szCs w:val="26"/>
        </w:rPr>
        <w:t xml:space="preserve"> Constitution?  </w:t>
      </w:r>
      <w:r w:rsidRPr="004F3A3C" w:rsidR="004F3A3C">
        <w:rPr>
          <w:rFonts w:ascii="Century Schoolbook" w:hAnsi="Century Schoolbook"/>
          <w:sz w:val="26"/>
          <w:szCs w:val="26"/>
        </w:rPr>
        <w:t>We conclude that</w:t>
      </w:r>
      <w:r>
        <w:rPr>
          <w:rFonts w:ascii="Century Schoolbook" w:hAnsi="Century Schoolbook"/>
          <w:sz w:val="26"/>
          <w:szCs w:val="26"/>
        </w:rPr>
        <w:t xml:space="preserve"> it does not</w:t>
      </w:r>
      <w:r w:rsidR="007A5CDF">
        <w:rPr>
          <w:rFonts w:ascii="Century Schoolbook" w:hAnsi="Century Schoolbook"/>
          <w:sz w:val="26"/>
          <w:szCs w:val="26"/>
        </w:rPr>
        <w:t xml:space="preserve">.  We so conclude </w:t>
      </w:r>
      <w:r>
        <w:rPr>
          <w:rFonts w:ascii="Century Schoolbook" w:hAnsi="Century Schoolbook"/>
          <w:sz w:val="26"/>
          <w:szCs w:val="26"/>
        </w:rPr>
        <w:t>because the housing</w:t>
      </w:r>
      <w:r w:rsidRPr="004F3A3C" w:rsidR="004F3A3C">
        <w:rPr>
          <w:rFonts w:ascii="Century Schoolbook" w:hAnsi="Century Schoolbook"/>
          <w:sz w:val="26"/>
          <w:szCs w:val="26"/>
        </w:rPr>
        <w:t xml:space="preserve"> shortage is a matter of statewide concern, </w:t>
      </w:r>
      <w:r w:rsidR="00C20DC1">
        <w:rPr>
          <w:rFonts w:ascii="Century Schoolbook" w:hAnsi="Century Schoolbook"/>
          <w:sz w:val="26"/>
          <w:szCs w:val="26"/>
        </w:rPr>
        <w:t xml:space="preserve">because </w:t>
      </w:r>
      <w:r>
        <w:rPr>
          <w:rFonts w:ascii="Century Schoolbook" w:hAnsi="Century Schoolbook"/>
          <w:sz w:val="26"/>
          <w:szCs w:val="26"/>
        </w:rPr>
        <w:t>Senate Bill 10 conflicts with</w:t>
      </w:r>
      <w:r w:rsidR="00C20DC1">
        <w:rPr>
          <w:rFonts w:ascii="Century Schoolbook" w:hAnsi="Century Schoolbook"/>
          <w:sz w:val="26"/>
          <w:szCs w:val="26"/>
        </w:rPr>
        <w:t xml:space="preserve"> (</w:t>
      </w:r>
      <w:r>
        <w:rPr>
          <w:rFonts w:ascii="Century Schoolbook" w:hAnsi="Century Schoolbook"/>
          <w:sz w:val="26"/>
          <w:szCs w:val="26"/>
        </w:rPr>
        <w:t>and hence preempts</w:t>
      </w:r>
      <w:r w:rsidR="00C20DC1">
        <w:rPr>
          <w:rFonts w:ascii="Century Schoolbook" w:hAnsi="Century Schoolbook"/>
          <w:sz w:val="26"/>
          <w:szCs w:val="26"/>
        </w:rPr>
        <w:t xml:space="preserve">) </w:t>
      </w:r>
      <w:r>
        <w:rPr>
          <w:rFonts w:ascii="Century Schoolbook" w:hAnsi="Century Schoolbook"/>
          <w:sz w:val="26"/>
          <w:szCs w:val="26"/>
        </w:rPr>
        <w:t xml:space="preserve">local initiatives that </w:t>
      </w:r>
      <w:r w:rsidR="007A5CDF">
        <w:rPr>
          <w:rFonts w:ascii="Century Schoolbook" w:hAnsi="Century Schoolbook"/>
          <w:sz w:val="26"/>
          <w:szCs w:val="26"/>
        </w:rPr>
        <w:t xml:space="preserve">make </w:t>
      </w:r>
      <w:r>
        <w:rPr>
          <w:rFonts w:ascii="Century Schoolbook" w:hAnsi="Century Schoolbook"/>
          <w:sz w:val="26"/>
          <w:szCs w:val="26"/>
        </w:rPr>
        <w:t>housing density caps</w:t>
      </w:r>
      <w:r w:rsidR="007A5CDF">
        <w:rPr>
          <w:rFonts w:ascii="Century Schoolbook" w:hAnsi="Century Schoolbook"/>
          <w:sz w:val="26"/>
          <w:szCs w:val="26"/>
        </w:rPr>
        <w:t xml:space="preserve"> mandatory</w:t>
      </w:r>
      <w:r>
        <w:rPr>
          <w:rFonts w:ascii="Century Schoolbook" w:hAnsi="Century Schoolbook"/>
          <w:sz w:val="26"/>
          <w:szCs w:val="26"/>
        </w:rPr>
        <w:t xml:space="preserve">, and </w:t>
      </w:r>
      <w:r w:rsidR="00C20DC1">
        <w:rPr>
          <w:rFonts w:ascii="Century Schoolbook" w:hAnsi="Century Schoolbook"/>
          <w:sz w:val="26"/>
          <w:szCs w:val="26"/>
        </w:rPr>
        <w:t xml:space="preserve">because </w:t>
      </w:r>
      <w:r>
        <w:rPr>
          <w:rFonts w:ascii="Century Schoolbook" w:hAnsi="Century Schoolbook"/>
          <w:sz w:val="26"/>
          <w:szCs w:val="26"/>
        </w:rPr>
        <w:t>Senate Bill 10’s</w:t>
      </w:r>
      <w:r w:rsidR="00C20DC1">
        <w:rPr>
          <w:rFonts w:ascii="Century Schoolbook" w:hAnsi="Century Schoolbook"/>
          <w:sz w:val="26"/>
          <w:szCs w:val="26"/>
        </w:rPr>
        <w:t xml:space="preserve"> more narrowly tailored </w:t>
      </w:r>
      <w:r>
        <w:rPr>
          <w:rFonts w:ascii="Century Schoolbook" w:hAnsi="Century Schoolbook"/>
          <w:sz w:val="26"/>
          <w:szCs w:val="26"/>
        </w:rPr>
        <w:t xml:space="preserve">mechanism of </w:t>
      </w:r>
      <w:r w:rsidR="006B04D0">
        <w:rPr>
          <w:rFonts w:ascii="Century Schoolbook" w:hAnsi="Century Schoolbook"/>
          <w:sz w:val="26"/>
          <w:szCs w:val="26"/>
        </w:rPr>
        <w:t xml:space="preserve">cloaking </w:t>
      </w:r>
      <w:r>
        <w:rPr>
          <w:rFonts w:ascii="Century Schoolbook" w:hAnsi="Century Schoolbook"/>
          <w:sz w:val="26"/>
          <w:szCs w:val="26"/>
        </w:rPr>
        <w:t>counties and cities</w:t>
      </w:r>
      <w:r w:rsidR="007A5CDF">
        <w:rPr>
          <w:rFonts w:ascii="Century Schoolbook" w:hAnsi="Century Schoolbook"/>
          <w:sz w:val="26"/>
          <w:szCs w:val="26"/>
        </w:rPr>
        <w:t xml:space="preserve"> in</w:t>
      </w:r>
      <w:r>
        <w:rPr>
          <w:rFonts w:ascii="Century Schoolbook" w:hAnsi="Century Schoolbook"/>
          <w:sz w:val="26"/>
          <w:szCs w:val="26"/>
        </w:rPr>
        <w:t xml:space="preserve"> the mantle of state preemptive authority so that </w:t>
      </w:r>
      <w:r w:rsidRPr="00941CD5">
        <w:rPr>
          <w:rFonts w:ascii="Century Schoolbook" w:hAnsi="Century Schoolbook"/>
          <w:i/>
          <w:iCs/>
          <w:sz w:val="26"/>
          <w:szCs w:val="26"/>
        </w:rPr>
        <w:t>they</w:t>
      </w:r>
      <w:r>
        <w:rPr>
          <w:rFonts w:ascii="Century Schoolbook" w:hAnsi="Century Schoolbook"/>
          <w:sz w:val="26"/>
          <w:szCs w:val="26"/>
        </w:rPr>
        <w:t xml:space="preserve"> may decide whether to </w:t>
      </w:r>
      <w:r w:rsidR="00E31BDF">
        <w:rPr>
          <w:rFonts w:ascii="Century Schoolbook" w:hAnsi="Century Schoolbook"/>
          <w:sz w:val="26"/>
          <w:szCs w:val="26"/>
        </w:rPr>
        <w:t>supersede</w:t>
      </w:r>
      <w:r>
        <w:rPr>
          <w:rFonts w:ascii="Century Schoolbook" w:hAnsi="Century Schoolbook"/>
          <w:sz w:val="26"/>
          <w:szCs w:val="26"/>
        </w:rPr>
        <w:t xml:space="preserve"> a local density cap on a parcel-by-parcel basis—rather than </w:t>
      </w:r>
      <w:r w:rsidR="00C20DC1">
        <w:rPr>
          <w:rFonts w:ascii="Century Schoolbook" w:hAnsi="Century Schoolbook"/>
          <w:sz w:val="26"/>
          <w:szCs w:val="26"/>
        </w:rPr>
        <w:t xml:space="preserve">effecting a wholesale </w:t>
      </w:r>
      <w:r>
        <w:rPr>
          <w:rFonts w:ascii="Century Schoolbook" w:hAnsi="Century Schoolbook"/>
          <w:sz w:val="26"/>
          <w:szCs w:val="26"/>
        </w:rPr>
        <w:t>invalidati</w:t>
      </w:r>
      <w:r w:rsidR="00C20DC1">
        <w:rPr>
          <w:rFonts w:ascii="Century Schoolbook" w:hAnsi="Century Schoolbook"/>
          <w:sz w:val="26"/>
          <w:szCs w:val="26"/>
        </w:rPr>
        <w:t>on of</w:t>
      </w:r>
      <w:r>
        <w:rPr>
          <w:rFonts w:ascii="Century Schoolbook" w:hAnsi="Century Schoolbook"/>
          <w:sz w:val="26"/>
          <w:szCs w:val="26"/>
        </w:rPr>
        <w:t xml:space="preserve"> all local density caps</w:t>
      </w:r>
      <w:r w:rsidR="00C20DC1">
        <w:rPr>
          <w:rFonts w:ascii="Century Schoolbook" w:hAnsi="Century Schoolbook"/>
          <w:sz w:val="26"/>
          <w:szCs w:val="26"/>
        </w:rPr>
        <w:t xml:space="preserve"> in every county and city</w:t>
      </w:r>
      <w:r>
        <w:rPr>
          <w:rFonts w:ascii="Century Schoolbook" w:hAnsi="Century Schoolbook"/>
          <w:sz w:val="26"/>
          <w:szCs w:val="26"/>
        </w:rPr>
        <w:t>—</w:t>
      </w:r>
      <w:r w:rsidR="00C20DC1">
        <w:rPr>
          <w:rFonts w:ascii="Century Schoolbook" w:hAnsi="Century Schoolbook"/>
          <w:sz w:val="26"/>
          <w:szCs w:val="26"/>
        </w:rPr>
        <w:t xml:space="preserve">is </w:t>
      </w:r>
      <w:r w:rsidR="007A5CDF">
        <w:rPr>
          <w:rFonts w:ascii="Century Schoolbook" w:hAnsi="Century Schoolbook"/>
          <w:sz w:val="26"/>
          <w:szCs w:val="26"/>
        </w:rPr>
        <w:t xml:space="preserve">not </w:t>
      </w:r>
      <w:r w:rsidR="00C20DC1">
        <w:rPr>
          <w:rFonts w:ascii="Century Schoolbook" w:hAnsi="Century Schoolbook"/>
          <w:sz w:val="26"/>
          <w:szCs w:val="26"/>
        </w:rPr>
        <w:t>constitutionally p</w:t>
      </w:r>
      <w:r w:rsidR="007A5CDF">
        <w:rPr>
          <w:rFonts w:ascii="Century Schoolbook" w:hAnsi="Century Schoolbook"/>
          <w:sz w:val="26"/>
          <w:szCs w:val="26"/>
        </w:rPr>
        <w:t>roblematic</w:t>
      </w:r>
      <w:r w:rsidR="00C20DC1">
        <w:rPr>
          <w:rFonts w:ascii="Century Schoolbook" w:hAnsi="Century Schoolbook"/>
          <w:sz w:val="26"/>
          <w:szCs w:val="26"/>
        </w:rPr>
        <w:t>.  We accordingly reject th</w:t>
      </w:r>
      <w:r w:rsidR="006B04D0">
        <w:rPr>
          <w:rFonts w:ascii="Century Schoolbook" w:hAnsi="Century Schoolbook"/>
          <w:sz w:val="26"/>
          <w:szCs w:val="26"/>
        </w:rPr>
        <w:t>e</w:t>
      </w:r>
      <w:r w:rsidR="00C20DC1">
        <w:rPr>
          <w:rFonts w:ascii="Century Schoolbook" w:hAnsi="Century Schoolbook"/>
          <w:sz w:val="26"/>
          <w:szCs w:val="26"/>
        </w:rPr>
        <w:t xml:space="preserve"> facial challenge to the constitutionality of Senate Bill 10, and affirm the trial court’s order denying the petition for a writ of mandate.</w:t>
      </w:r>
    </w:p>
    <w:p w:rsidR="00B1193E" w:rsidRPr="004E0897" w:rsidP="00D0414F" w14:paraId="31D5085F" w14:textId="31E5D9AF">
      <w:pPr>
        <w:spacing w:line="288" w:lineRule="auto"/>
        <w:jc w:val="center"/>
        <w:rPr>
          <w:rFonts w:ascii="Century Schoolbook" w:hAnsi="Century Schoolbook"/>
          <w:b/>
          <w:bCs/>
          <w:sz w:val="26"/>
          <w:szCs w:val="26"/>
        </w:rPr>
      </w:pPr>
      <w:r>
        <w:rPr>
          <w:rFonts w:ascii="Century Schoolbook" w:hAnsi="Century Schoolbook"/>
          <w:b/>
          <w:bCs/>
          <w:sz w:val="26"/>
          <w:szCs w:val="26"/>
        </w:rPr>
        <w:t>FACTS AND PROCEDURAL BACKGROUND</w:t>
      </w:r>
    </w:p>
    <w:p w:rsidR="004B5ED4" w:rsidP="00950287" w14:paraId="1B20FF3F" w14:textId="71B2C69C">
      <w:pPr>
        <w:spacing w:line="288" w:lineRule="auto"/>
        <w:rPr>
          <w:rFonts w:ascii="Century Schoolbook" w:hAnsi="Century Schoolbook"/>
          <w:b/>
          <w:bCs/>
          <w:sz w:val="26"/>
          <w:szCs w:val="26"/>
        </w:rPr>
      </w:pPr>
      <w:r w:rsidRPr="00950287">
        <w:rPr>
          <w:rFonts w:ascii="Century Schoolbook" w:hAnsi="Century Schoolbook"/>
          <w:b/>
          <w:bCs/>
          <w:sz w:val="26"/>
          <w:szCs w:val="26"/>
        </w:rPr>
        <w:t>I.</w:t>
      </w:r>
      <w:r w:rsidRPr="00950287">
        <w:rPr>
          <w:rFonts w:ascii="Century Schoolbook" w:hAnsi="Century Schoolbook"/>
          <w:b/>
          <w:bCs/>
          <w:sz w:val="26"/>
          <w:szCs w:val="26"/>
        </w:rPr>
        <w:tab/>
      </w:r>
      <w:r>
        <w:rPr>
          <w:rFonts w:ascii="Century Schoolbook" w:hAnsi="Century Schoolbook"/>
          <w:b/>
          <w:bCs/>
          <w:sz w:val="26"/>
          <w:szCs w:val="26"/>
        </w:rPr>
        <w:t>Senate Bill 10, On Its Face</w:t>
      </w:r>
    </w:p>
    <w:p w:rsidR="00526946" w:rsidP="00631D3A" w14:paraId="4055152C" w14:textId="5F07043D">
      <w:pPr>
        <w:spacing w:line="288" w:lineRule="auto"/>
        <w:rPr>
          <w:rFonts w:ascii="Century Schoolbook" w:hAnsi="Century Schoolbook"/>
          <w:sz w:val="26"/>
          <w:szCs w:val="26"/>
        </w:rPr>
      </w:pPr>
      <w:r>
        <w:rPr>
          <w:rFonts w:ascii="Century Schoolbook" w:hAnsi="Century Schoolbook"/>
          <w:b/>
          <w:bCs/>
          <w:sz w:val="26"/>
          <w:szCs w:val="26"/>
        </w:rPr>
        <w:tab/>
      </w:r>
      <w:r>
        <w:rPr>
          <w:rFonts w:ascii="Century Schoolbook" w:hAnsi="Century Schoolbook"/>
          <w:sz w:val="26"/>
          <w:szCs w:val="26"/>
        </w:rPr>
        <w:t xml:space="preserve">By its plain text, Senate Bill 10 </w:t>
      </w:r>
      <w:r w:rsidR="003D277E">
        <w:rPr>
          <w:rFonts w:ascii="Century Schoolbook" w:hAnsi="Century Schoolbook"/>
          <w:sz w:val="26"/>
          <w:szCs w:val="26"/>
        </w:rPr>
        <w:t>autho</w:t>
      </w:r>
      <w:r w:rsidR="00631D3A">
        <w:rPr>
          <w:rFonts w:ascii="Century Schoolbook" w:hAnsi="Century Schoolbook"/>
          <w:sz w:val="26"/>
          <w:szCs w:val="26"/>
        </w:rPr>
        <w:t>rizes</w:t>
      </w:r>
      <w:r w:rsidR="008A1FF5">
        <w:rPr>
          <w:rFonts w:ascii="Century Schoolbook" w:hAnsi="Century Schoolbook"/>
          <w:sz w:val="26"/>
          <w:szCs w:val="26"/>
        </w:rPr>
        <w:t xml:space="preserve"> local legislative bodies, </w:t>
      </w:r>
      <w:r>
        <w:rPr>
          <w:rFonts w:ascii="Century Schoolbook" w:hAnsi="Century Schoolbook"/>
          <w:sz w:val="26"/>
          <w:szCs w:val="26"/>
        </w:rPr>
        <w:t>including</w:t>
      </w:r>
      <w:r w:rsidR="008A1FF5">
        <w:rPr>
          <w:rFonts w:ascii="Century Schoolbook" w:hAnsi="Century Schoolbook"/>
          <w:sz w:val="26"/>
          <w:szCs w:val="26"/>
        </w:rPr>
        <w:t xml:space="preserve"> those of</w:t>
      </w:r>
      <w:r>
        <w:rPr>
          <w:rFonts w:ascii="Century Schoolbook" w:hAnsi="Century Schoolbook"/>
          <w:sz w:val="26"/>
          <w:szCs w:val="26"/>
        </w:rPr>
        <w:t xml:space="preserve"> “charter cities,” to “adopt an ordinance to zone a parcel for up to 10 units of residential density per parcel” as long as (1) “the parcel is located in” either (a) “[a] transit-rich area</w:t>
      </w:r>
      <w:r w:rsidR="007E119A">
        <w:rPr>
          <w:rFonts w:ascii="Century Schoolbook" w:hAnsi="Century Schoolbook"/>
          <w:sz w:val="26"/>
          <w:szCs w:val="26"/>
        </w:rPr>
        <w:t>,</w:t>
      </w:r>
      <w:r>
        <w:rPr>
          <w:rFonts w:ascii="Century Schoolbook" w:hAnsi="Century Schoolbook"/>
          <w:sz w:val="26"/>
          <w:szCs w:val="26"/>
        </w:rPr>
        <w:t xml:space="preserve">” or (b) “[a]n urban infill site”; (2) the parcel is </w:t>
      </w:r>
      <w:r>
        <w:rPr>
          <w:rFonts w:ascii="Century Schoolbook" w:hAnsi="Century Schoolbook"/>
          <w:i/>
          <w:iCs/>
          <w:sz w:val="26"/>
          <w:szCs w:val="26"/>
        </w:rPr>
        <w:t>not</w:t>
      </w:r>
      <w:r>
        <w:rPr>
          <w:rFonts w:ascii="Century Schoolbook" w:hAnsi="Century Schoolbook"/>
          <w:sz w:val="26"/>
          <w:szCs w:val="26"/>
        </w:rPr>
        <w:t xml:space="preserve"> located in “a very high fire hazard severity zone”</w:t>
      </w:r>
      <w:r w:rsidR="007D1827">
        <w:rPr>
          <w:rFonts w:ascii="Century Schoolbook" w:hAnsi="Century Schoolbook"/>
          <w:sz w:val="26"/>
          <w:szCs w:val="26"/>
        </w:rPr>
        <w:t xml:space="preserve">; and (3) the local </w:t>
      </w:r>
      <w:r w:rsidR="008A1FF5">
        <w:rPr>
          <w:rFonts w:ascii="Century Schoolbook" w:hAnsi="Century Schoolbook"/>
          <w:sz w:val="26"/>
          <w:szCs w:val="26"/>
        </w:rPr>
        <w:t xml:space="preserve">legislative body </w:t>
      </w:r>
      <w:r w:rsidR="007D1827">
        <w:rPr>
          <w:rFonts w:ascii="Century Schoolbook" w:hAnsi="Century Schoolbook"/>
          <w:sz w:val="26"/>
          <w:szCs w:val="26"/>
        </w:rPr>
        <w:t>“find[s] that the increased density . . . is consistent with [its] obligation to affirmatively further fair housing.”</w:t>
      </w:r>
      <w:r>
        <w:rPr>
          <w:rFonts w:ascii="Century Schoolbook" w:hAnsi="Century Schoolbook"/>
          <w:sz w:val="26"/>
          <w:szCs w:val="26"/>
        </w:rPr>
        <w:t xml:space="preserve">  (§ 65913.5, subds. </w:t>
      </w:r>
      <w:r w:rsidR="007D0660">
        <w:rPr>
          <w:rFonts w:ascii="Century Schoolbook" w:hAnsi="Century Schoolbook"/>
          <w:sz w:val="26"/>
          <w:szCs w:val="26"/>
        </w:rPr>
        <w:t xml:space="preserve">(f), </w:t>
      </w:r>
      <w:r>
        <w:rPr>
          <w:rFonts w:ascii="Century Schoolbook" w:hAnsi="Century Schoolbook"/>
          <w:sz w:val="26"/>
          <w:szCs w:val="26"/>
        </w:rPr>
        <w:t>(a)(1), (a)(4)(A)</w:t>
      </w:r>
      <w:r w:rsidR="00206D45">
        <w:rPr>
          <w:rFonts w:ascii="Century Schoolbook" w:hAnsi="Century Schoolbook"/>
          <w:sz w:val="26"/>
          <w:szCs w:val="26"/>
        </w:rPr>
        <w:t xml:space="preserve"> &amp;</w:t>
      </w:r>
      <w:r w:rsidR="007D1827">
        <w:rPr>
          <w:rFonts w:ascii="Century Schoolbook" w:hAnsi="Century Schoolbook"/>
          <w:sz w:val="26"/>
          <w:szCs w:val="26"/>
        </w:rPr>
        <w:t xml:space="preserve"> (b)(3); see </w:t>
      </w:r>
      <w:r w:rsidR="007D1827">
        <w:rPr>
          <w:rFonts w:ascii="Century Schoolbook" w:hAnsi="Century Schoolbook"/>
          <w:i/>
          <w:iCs/>
          <w:sz w:val="26"/>
          <w:szCs w:val="26"/>
        </w:rPr>
        <w:t>id.</w:t>
      </w:r>
      <w:r w:rsidR="007D1827">
        <w:rPr>
          <w:rFonts w:ascii="Century Schoolbook" w:hAnsi="Century Schoolbook"/>
          <w:sz w:val="26"/>
          <w:szCs w:val="26"/>
        </w:rPr>
        <w:t xml:space="preserve">, subds. </w:t>
      </w:r>
      <w:r w:rsidR="0045512D">
        <w:rPr>
          <w:rFonts w:ascii="Century Schoolbook" w:hAnsi="Century Schoolbook"/>
          <w:sz w:val="26"/>
          <w:szCs w:val="26"/>
        </w:rPr>
        <w:t>(e)(2) &amp; (e)(3) [defining “[t]ransit-rich area” and “[u]rban infill site”].)</w:t>
      </w:r>
      <w:r>
        <w:rPr>
          <w:rFonts w:ascii="Century Schoolbook" w:hAnsi="Century Schoolbook"/>
          <w:sz w:val="26"/>
          <w:szCs w:val="26"/>
        </w:rPr>
        <w:t xml:space="preserve"> </w:t>
      </w:r>
      <w:r w:rsidR="007D1827">
        <w:rPr>
          <w:rFonts w:ascii="Century Schoolbook" w:hAnsi="Century Schoolbook"/>
          <w:sz w:val="26"/>
          <w:szCs w:val="26"/>
        </w:rPr>
        <w:t xml:space="preserve"> </w:t>
      </w:r>
      <w:r w:rsidR="003D277E">
        <w:rPr>
          <w:rFonts w:ascii="Century Schoolbook" w:hAnsi="Century Schoolbook"/>
          <w:sz w:val="26"/>
          <w:szCs w:val="26"/>
        </w:rPr>
        <w:t xml:space="preserve">What is more, Senate Bill </w:t>
      </w:r>
      <w:r w:rsidR="00631D3A">
        <w:rPr>
          <w:rFonts w:ascii="Century Schoolbook" w:hAnsi="Century Schoolbook"/>
          <w:sz w:val="26"/>
          <w:szCs w:val="26"/>
        </w:rPr>
        <w:t xml:space="preserve">10 </w:t>
      </w:r>
      <w:r w:rsidR="003D277E">
        <w:rPr>
          <w:rFonts w:ascii="Century Schoolbook" w:hAnsi="Century Schoolbook"/>
          <w:sz w:val="26"/>
          <w:szCs w:val="26"/>
        </w:rPr>
        <w:t xml:space="preserve">empowers </w:t>
      </w:r>
      <w:r w:rsidR="009D4AA5">
        <w:rPr>
          <w:rFonts w:ascii="Century Schoolbook" w:hAnsi="Century Schoolbook"/>
          <w:sz w:val="26"/>
          <w:szCs w:val="26"/>
        </w:rPr>
        <w:t xml:space="preserve">legislative bodies </w:t>
      </w:r>
      <w:r w:rsidR="003D277E">
        <w:rPr>
          <w:rFonts w:ascii="Century Schoolbook" w:hAnsi="Century Schoolbook"/>
          <w:sz w:val="26"/>
          <w:szCs w:val="26"/>
        </w:rPr>
        <w:t xml:space="preserve">to enact </w:t>
      </w:r>
      <w:r w:rsidR="007D1827">
        <w:rPr>
          <w:rFonts w:ascii="Century Schoolbook" w:hAnsi="Century Schoolbook"/>
          <w:sz w:val="26"/>
          <w:szCs w:val="26"/>
        </w:rPr>
        <w:t xml:space="preserve">such parcel-specific </w:t>
      </w:r>
      <w:r w:rsidR="003D277E">
        <w:rPr>
          <w:rFonts w:ascii="Century Schoolbook" w:hAnsi="Century Schoolbook"/>
          <w:sz w:val="26"/>
          <w:szCs w:val="26"/>
        </w:rPr>
        <w:t xml:space="preserve">zoning </w:t>
      </w:r>
      <w:r w:rsidR="007D1827">
        <w:rPr>
          <w:rFonts w:ascii="Century Schoolbook" w:hAnsi="Century Schoolbook"/>
          <w:sz w:val="26"/>
          <w:szCs w:val="26"/>
        </w:rPr>
        <w:t>ordinances</w:t>
      </w:r>
      <w:r>
        <w:rPr>
          <w:rFonts w:ascii="Century Schoolbook" w:hAnsi="Century Schoolbook"/>
          <w:sz w:val="26"/>
          <w:szCs w:val="26"/>
        </w:rPr>
        <w:t xml:space="preserve"> </w:t>
      </w:r>
      <w:r w:rsidR="00631D3A">
        <w:rPr>
          <w:rFonts w:ascii="Century Schoolbook" w:hAnsi="Century Schoolbook"/>
          <w:sz w:val="26"/>
          <w:szCs w:val="26"/>
        </w:rPr>
        <w:t>“</w:t>
      </w:r>
      <w:r>
        <w:rPr>
          <w:rFonts w:ascii="Century Schoolbook" w:hAnsi="Century Schoolbook"/>
          <w:sz w:val="26"/>
          <w:szCs w:val="26"/>
        </w:rPr>
        <w:t xml:space="preserve">[n]otwithstanding any local restrictions” on </w:t>
      </w:r>
      <w:r w:rsidR="006B04D0">
        <w:rPr>
          <w:rFonts w:ascii="Century Schoolbook" w:hAnsi="Century Schoolbook"/>
          <w:sz w:val="26"/>
          <w:szCs w:val="26"/>
        </w:rPr>
        <w:t xml:space="preserve">housing </w:t>
      </w:r>
      <w:r>
        <w:rPr>
          <w:rFonts w:ascii="Century Schoolbook" w:hAnsi="Century Schoolbook"/>
          <w:sz w:val="26"/>
          <w:szCs w:val="26"/>
        </w:rPr>
        <w:t xml:space="preserve">density limits, </w:t>
      </w:r>
      <w:r w:rsidR="007D1827">
        <w:rPr>
          <w:rFonts w:ascii="Century Schoolbook" w:hAnsi="Century Schoolbook"/>
          <w:sz w:val="26"/>
          <w:szCs w:val="26"/>
        </w:rPr>
        <w:t xml:space="preserve">whether </w:t>
      </w:r>
      <w:r w:rsidR="003D277E">
        <w:rPr>
          <w:rFonts w:ascii="Century Schoolbook" w:hAnsi="Century Schoolbook"/>
          <w:sz w:val="26"/>
          <w:szCs w:val="26"/>
        </w:rPr>
        <w:t xml:space="preserve">those limits were </w:t>
      </w:r>
      <w:r w:rsidR="007D1827">
        <w:rPr>
          <w:rFonts w:ascii="Century Schoolbook" w:hAnsi="Century Schoolbook"/>
          <w:sz w:val="26"/>
          <w:szCs w:val="26"/>
        </w:rPr>
        <w:t xml:space="preserve">enacted by ordinance or </w:t>
      </w:r>
      <w:r w:rsidR="00363ADD">
        <w:rPr>
          <w:rFonts w:ascii="Century Schoolbook" w:hAnsi="Century Schoolbook"/>
          <w:sz w:val="26"/>
          <w:szCs w:val="26"/>
        </w:rPr>
        <w:t xml:space="preserve">adopted </w:t>
      </w:r>
      <w:r w:rsidR="003D277E">
        <w:rPr>
          <w:rFonts w:ascii="Century Schoolbook" w:hAnsi="Century Schoolbook"/>
          <w:sz w:val="26"/>
          <w:szCs w:val="26"/>
        </w:rPr>
        <w:t>by l</w:t>
      </w:r>
      <w:r w:rsidR="007D1827">
        <w:rPr>
          <w:rFonts w:ascii="Century Schoolbook" w:hAnsi="Century Schoolbook"/>
          <w:sz w:val="26"/>
          <w:szCs w:val="26"/>
        </w:rPr>
        <w:t xml:space="preserve">ocal </w:t>
      </w:r>
      <w:r w:rsidR="003D277E">
        <w:rPr>
          <w:rFonts w:ascii="Century Schoolbook" w:hAnsi="Century Schoolbook"/>
          <w:sz w:val="26"/>
          <w:szCs w:val="26"/>
        </w:rPr>
        <w:t xml:space="preserve">voter </w:t>
      </w:r>
      <w:r w:rsidR="007D1827">
        <w:rPr>
          <w:rFonts w:ascii="Century Schoolbook" w:hAnsi="Century Schoolbook"/>
          <w:sz w:val="26"/>
          <w:szCs w:val="26"/>
        </w:rPr>
        <w:t>initiative, except</w:t>
      </w:r>
      <w:r w:rsidR="00631D3A">
        <w:rPr>
          <w:rFonts w:ascii="Century Schoolbook" w:hAnsi="Century Schoolbook"/>
          <w:sz w:val="26"/>
          <w:szCs w:val="26"/>
        </w:rPr>
        <w:t xml:space="preserve"> that Senate Bill 10 does not empower them to supersede </w:t>
      </w:r>
      <w:r>
        <w:rPr>
          <w:rFonts w:ascii="Century Schoolbook" w:hAnsi="Century Schoolbook"/>
          <w:sz w:val="26"/>
          <w:szCs w:val="26"/>
        </w:rPr>
        <w:t>“initiative</w:t>
      </w:r>
      <w:r w:rsidR="007D1827">
        <w:rPr>
          <w:rFonts w:ascii="Century Schoolbook" w:hAnsi="Century Schoolbook"/>
          <w:sz w:val="26"/>
          <w:szCs w:val="26"/>
        </w:rPr>
        <w:t>[s] that</w:t>
      </w:r>
      <w:r>
        <w:rPr>
          <w:rFonts w:ascii="Century Schoolbook" w:hAnsi="Century Schoolbook"/>
          <w:sz w:val="26"/>
          <w:szCs w:val="26"/>
        </w:rPr>
        <w:t xml:space="preserve"> designate</w:t>
      </w:r>
      <w:r w:rsidR="007D1827">
        <w:rPr>
          <w:rFonts w:ascii="Century Schoolbook" w:hAnsi="Century Schoolbook"/>
          <w:sz w:val="26"/>
          <w:szCs w:val="26"/>
        </w:rPr>
        <w:t>[]</w:t>
      </w:r>
      <w:r>
        <w:rPr>
          <w:rFonts w:ascii="Century Schoolbook" w:hAnsi="Century Schoolbook"/>
          <w:sz w:val="26"/>
          <w:szCs w:val="26"/>
        </w:rPr>
        <w:t xml:space="preserve"> publicly owned land as open-space land . . . or for park or recreational purposes.”  (</w:t>
      </w:r>
      <w:r>
        <w:rPr>
          <w:rFonts w:ascii="Century Schoolbook" w:hAnsi="Century Schoolbook"/>
          <w:i/>
          <w:iCs/>
          <w:sz w:val="26"/>
          <w:szCs w:val="26"/>
        </w:rPr>
        <w:t>Id.</w:t>
      </w:r>
      <w:r>
        <w:rPr>
          <w:rFonts w:ascii="Century Schoolbook" w:hAnsi="Century Schoolbook"/>
          <w:sz w:val="26"/>
          <w:szCs w:val="26"/>
        </w:rPr>
        <w:t>, subds. (a)(1)</w:t>
      </w:r>
      <w:r w:rsidR="00206D45">
        <w:rPr>
          <w:rFonts w:ascii="Century Schoolbook" w:hAnsi="Century Schoolbook"/>
          <w:sz w:val="26"/>
          <w:szCs w:val="26"/>
        </w:rPr>
        <w:t xml:space="preserve"> &amp;</w:t>
      </w:r>
      <w:r>
        <w:rPr>
          <w:rFonts w:ascii="Century Schoolbook" w:hAnsi="Century Schoolbook"/>
          <w:sz w:val="26"/>
          <w:szCs w:val="26"/>
        </w:rPr>
        <w:t xml:space="preserve"> (a)(4)(B).)  </w:t>
      </w:r>
      <w:r w:rsidR="00631D3A">
        <w:rPr>
          <w:rFonts w:ascii="Century Schoolbook" w:hAnsi="Century Schoolbook"/>
          <w:sz w:val="26"/>
          <w:szCs w:val="26"/>
        </w:rPr>
        <w:t xml:space="preserve">In other words, Senate Bill 10 grants local </w:t>
      </w:r>
      <w:r w:rsidR="009D4AA5">
        <w:rPr>
          <w:rFonts w:ascii="Century Schoolbook" w:hAnsi="Century Schoolbook"/>
          <w:sz w:val="26"/>
          <w:szCs w:val="26"/>
        </w:rPr>
        <w:t xml:space="preserve">legislative bodies </w:t>
      </w:r>
      <w:r w:rsidR="00631D3A">
        <w:rPr>
          <w:rFonts w:ascii="Century Schoolbook" w:hAnsi="Century Schoolbook"/>
          <w:sz w:val="26"/>
          <w:szCs w:val="26"/>
        </w:rPr>
        <w:t>discretion whether to supersede local caps on housing density:  It takes a simple majority to supersede a housing</w:t>
      </w:r>
      <w:r w:rsidR="009D4AA5">
        <w:rPr>
          <w:rFonts w:ascii="Century Schoolbook" w:hAnsi="Century Schoolbook"/>
          <w:sz w:val="26"/>
          <w:szCs w:val="26"/>
        </w:rPr>
        <w:t xml:space="preserve"> </w:t>
      </w:r>
      <w:r w:rsidR="00631D3A">
        <w:rPr>
          <w:rFonts w:ascii="Century Schoolbook" w:hAnsi="Century Schoolbook"/>
          <w:sz w:val="26"/>
          <w:szCs w:val="26"/>
        </w:rPr>
        <w:t xml:space="preserve">density cap enacted by a local </w:t>
      </w:r>
      <w:r w:rsidR="00631D3A">
        <w:rPr>
          <w:rFonts w:ascii="Century Schoolbook" w:hAnsi="Century Schoolbook"/>
          <w:i/>
          <w:iCs/>
          <w:sz w:val="26"/>
          <w:szCs w:val="26"/>
        </w:rPr>
        <w:t>ordinance</w:t>
      </w:r>
      <w:r w:rsidR="00631D3A">
        <w:rPr>
          <w:rFonts w:ascii="Century Schoolbook" w:hAnsi="Century Schoolbook"/>
          <w:sz w:val="26"/>
          <w:szCs w:val="26"/>
        </w:rPr>
        <w:t xml:space="preserve">, but a supermajority, two-thirds vote to supersede a cap </w:t>
      </w:r>
      <w:r w:rsidR="00363ADD">
        <w:rPr>
          <w:rFonts w:ascii="Century Schoolbook" w:hAnsi="Century Schoolbook"/>
          <w:sz w:val="26"/>
          <w:szCs w:val="26"/>
        </w:rPr>
        <w:t>adopted</w:t>
      </w:r>
      <w:r w:rsidR="00631D3A">
        <w:rPr>
          <w:rFonts w:ascii="Century Schoolbook" w:hAnsi="Century Schoolbook"/>
          <w:sz w:val="26"/>
          <w:szCs w:val="26"/>
        </w:rPr>
        <w:t xml:space="preserve"> by a local </w:t>
      </w:r>
      <w:r w:rsidRPr="00631D3A" w:rsidR="00631D3A">
        <w:rPr>
          <w:rFonts w:ascii="Century Schoolbook" w:hAnsi="Century Schoolbook"/>
          <w:i/>
          <w:iCs/>
          <w:sz w:val="26"/>
          <w:szCs w:val="26"/>
        </w:rPr>
        <w:t>voter initiative</w:t>
      </w:r>
      <w:r w:rsidR="00631D3A">
        <w:rPr>
          <w:rFonts w:ascii="Century Schoolbook" w:hAnsi="Century Schoolbook"/>
          <w:sz w:val="26"/>
          <w:szCs w:val="26"/>
        </w:rPr>
        <w:t>.  (</w:t>
      </w:r>
      <w:r w:rsidR="00F9541D">
        <w:rPr>
          <w:rFonts w:ascii="Century Schoolbook" w:hAnsi="Century Schoolbook"/>
          <w:i/>
          <w:iCs/>
          <w:sz w:val="26"/>
          <w:szCs w:val="26"/>
        </w:rPr>
        <w:t>Id.</w:t>
      </w:r>
      <w:r w:rsidR="00631D3A">
        <w:rPr>
          <w:rFonts w:ascii="Century Schoolbook" w:hAnsi="Century Schoolbook"/>
          <w:sz w:val="26"/>
          <w:szCs w:val="26"/>
        </w:rPr>
        <w:t>, subd. (b)(4).)</w:t>
      </w:r>
    </w:p>
    <w:p w:rsidR="00631D3A" w:rsidRPr="00631D3A" w:rsidP="00631D3A" w14:paraId="215E83E5" w14:textId="0D2409D1">
      <w:pPr>
        <w:spacing w:line="288" w:lineRule="auto"/>
        <w:rPr>
          <w:rFonts w:ascii="Century Schoolbook" w:hAnsi="Century Schoolbook"/>
          <w:sz w:val="26"/>
          <w:szCs w:val="26"/>
        </w:rPr>
      </w:pPr>
      <w:r>
        <w:rPr>
          <w:rFonts w:ascii="Century Schoolbook" w:hAnsi="Century Schoolbook"/>
          <w:sz w:val="26"/>
          <w:szCs w:val="26"/>
        </w:rPr>
        <w:tab/>
        <w:t>Section 65913.5 is a temporary measure; it sunsets on December 31, 2028.  (</w:t>
      </w:r>
      <w:r>
        <w:rPr>
          <w:rFonts w:ascii="Century Schoolbook" w:hAnsi="Century Schoolbook"/>
          <w:i/>
          <w:iCs/>
          <w:sz w:val="26"/>
          <w:szCs w:val="26"/>
        </w:rPr>
        <w:t>Id.</w:t>
      </w:r>
      <w:r>
        <w:rPr>
          <w:rFonts w:ascii="Century Schoolbook" w:hAnsi="Century Schoolbook"/>
          <w:sz w:val="26"/>
          <w:szCs w:val="26"/>
        </w:rPr>
        <w:t>, subd. (a)(2).)</w:t>
      </w:r>
      <w:r>
        <w:rPr>
          <w:rStyle w:val="FootnoteReference"/>
          <w:rFonts w:ascii="Century Schoolbook" w:hAnsi="Century Schoolbook"/>
          <w:b/>
          <w:bCs/>
          <w:szCs w:val="26"/>
        </w:rPr>
        <w:footnoteReference w:id="3"/>
      </w:r>
    </w:p>
    <w:p w:rsidR="00526946" w:rsidRPr="008F626C" w:rsidP="00950287" w14:paraId="7FCDE805" w14:textId="3A64E581">
      <w:pPr>
        <w:spacing w:line="288" w:lineRule="auto"/>
        <w:rPr>
          <w:rFonts w:ascii="Century Schoolbook" w:hAnsi="Century Schoolbook"/>
          <w:b/>
          <w:bCs/>
          <w:sz w:val="26"/>
          <w:szCs w:val="26"/>
        </w:rPr>
      </w:pPr>
      <w:r>
        <w:rPr>
          <w:rFonts w:ascii="Century Schoolbook" w:hAnsi="Century Schoolbook"/>
          <w:b/>
          <w:bCs/>
          <w:sz w:val="26"/>
          <w:szCs w:val="26"/>
        </w:rPr>
        <w:t>II.</w:t>
      </w:r>
      <w:r>
        <w:rPr>
          <w:rFonts w:ascii="Century Schoolbook" w:hAnsi="Century Schoolbook"/>
          <w:b/>
          <w:bCs/>
          <w:sz w:val="26"/>
          <w:szCs w:val="26"/>
        </w:rPr>
        <w:tab/>
        <w:t>This Lawsuit</w:t>
      </w:r>
    </w:p>
    <w:p w:rsidR="00005099" w:rsidP="008F626C" w14:paraId="1CEBF699" w14:textId="5EB2347A">
      <w:pPr>
        <w:spacing w:line="288" w:lineRule="auto"/>
        <w:ind w:firstLine="720"/>
        <w:rPr>
          <w:rFonts w:ascii="Century Schoolbook" w:hAnsi="Century Schoolbook"/>
          <w:sz w:val="26"/>
          <w:szCs w:val="26"/>
        </w:rPr>
      </w:pPr>
      <w:r>
        <w:rPr>
          <w:rFonts w:ascii="Century Schoolbook" w:hAnsi="Century Schoolbook"/>
          <w:sz w:val="26"/>
          <w:szCs w:val="26"/>
        </w:rPr>
        <w:t xml:space="preserve">Six days </w:t>
      </w:r>
      <w:r w:rsidRPr="00950287">
        <w:rPr>
          <w:rFonts w:ascii="Century Schoolbook" w:hAnsi="Century Schoolbook"/>
          <w:sz w:val="26"/>
          <w:szCs w:val="26"/>
        </w:rPr>
        <w:t xml:space="preserve">after the Governor signed </w:t>
      </w:r>
      <w:r>
        <w:rPr>
          <w:rFonts w:ascii="Century Schoolbook" w:hAnsi="Century Schoolbook"/>
          <w:sz w:val="26"/>
          <w:szCs w:val="26"/>
        </w:rPr>
        <w:t>Senate Bill</w:t>
      </w:r>
      <w:r w:rsidRPr="00950287">
        <w:rPr>
          <w:rFonts w:ascii="Century Schoolbook" w:hAnsi="Century Schoolbook"/>
          <w:sz w:val="26"/>
          <w:szCs w:val="26"/>
        </w:rPr>
        <w:t xml:space="preserve"> 10 into law,</w:t>
      </w:r>
      <w:r w:rsidR="00AB7845">
        <w:rPr>
          <w:rFonts w:ascii="Century Schoolbook" w:hAnsi="Century Schoolbook"/>
          <w:sz w:val="26"/>
          <w:szCs w:val="26"/>
        </w:rPr>
        <w:t xml:space="preserve"> </w:t>
      </w:r>
      <w:r w:rsidRPr="00950287">
        <w:rPr>
          <w:rFonts w:ascii="Century Schoolbook" w:hAnsi="Century Schoolbook"/>
          <w:sz w:val="26"/>
          <w:szCs w:val="26"/>
        </w:rPr>
        <w:t xml:space="preserve">AIDS Healthcare Foundation—a nonprofit organization </w:t>
      </w:r>
      <w:r>
        <w:rPr>
          <w:rFonts w:ascii="Century Schoolbook" w:hAnsi="Century Schoolbook"/>
          <w:sz w:val="26"/>
          <w:szCs w:val="26"/>
        </w:rPr>
        <w:t>which</w:t>
      </w:r>
      <w:r w:rsidRPr="00950287">
        <w:rPr>
          <w:rFonts w:ascii="Century Schoolbook" w:hAnsi="Century Schoolbook"/>
          <w:sz w:val="26"/>
          <w:szCs w:val="26"/>
        </w:rPr>
        <w:t xml:space="preserve"> “has been engaged in” the initiative process in California for decades and “expended financial resources” lobbying to remove the initiative</w:t>
      </w:r>
      <w:r w:rsidR="000E765F">
        <w:rPr>
          <w:rFonts w:ascii="Century Schoolbook" w:hAnsi="Century Schoolbook"/>
          <w:sz w:val="26"/>
          <w:szCs w:val="26"/>
        </w:rPr>
        <w:t>-</w:t>
      </w:r>
      <w:r w:rsidRPr="00950287">
        <w:rPr>
          <w:rFonts w:ascii="Century Schoolbook" w:hAnsi="Century Schoolbook"/>
          <w:sz w:val="26"/>
          <w:szCs w:val="26"/>
        </w:rPr>
        <w:t>override provisions of S</w:t>
      </w:r>
      <w:r w:rsidR="00BC6A25">
        <w:rPr>
          <w:rFonts w:ascii="Century Schoolbook" w:hAnsi="Century Schoolbook"/>
          <w:sz w:val="26"/>
          <w:szCs w:val="26"/>
        </w:rPr>
        <w:t>enate Bill</w:t>
      </w:r>
      <w:r w:rsidRPr="00950287">
        <w:rPr>
          <w:rFonts w:ascii="Century Schoolbook" w:hAnsi="Century Schoolbook"/>
          <w:sz w:val="26"/>
          <w:szCs w:val="26"/>
        </w:rPr>
        <w:t xml:space="preserve"> 10—</w:t>
      </w:r>
      <w:r w:rsidR="00AB7845">
        <w:rPr>
          <w:rFonts w:ascii="Century Schoolbook" w:hAnsi="Century Schoolbook"/>
          <w:sz w:val="26"/>
          <w:szCs w:val="26"/>
        </w:rPr>
        <w:t xml:space="preserve">filed a petition </w:t>
      </w:r>
      <w:r w:rsidRPr="00950287" w:rsidR="00AB7845">
        <w:rPr>
          <w:rFonts w:ascii="Century Schoolbook" w:hAnsi="Century Schoolbook"/>
          <w:sz w:val="26"/>
          <w:szCs w:val="26"/>
        </w:rPr>
        <w:t xml:space="preserve">for writ of mandate against the State of California and its Attorney General (collectively, the State). </w:t>
      </w:r>
      <w:r w:rsidR="00AB7845">
        <w:rPr>
          <w:rFonts w:ascii="Century Schoolbook" w:hAnsi="Century Schoolbook"/>
          <w:sz w:val="26"/>
          <w:szCs w:val="26"/>
        </w:rPr>
        <w:t xml:space="preserve"> </w:t>
      </w:r>
      <w:r w:rsidR="004B55D4">
        <w:rPr>
          <w:rFonts w:ascii="Century Schoolbook" w:hAnsi="Century Schoolbook"/>
          <w:sz w:val="26"/>
          <w:szCs w:val="26"/>
        </w:rPr>
        <w:t xml:space="preserve">The </w:t>
      </w:r>
      <w:r w:rsidR="008574CC">
        <w:rPr>
          <w:rFonts w:ascii="Century Schoolbook" w:hAnsi="Century Schoolbook"/>
          <w:sz w:val="26"/>
          <w:szCs w:val="26"/>
        </w:rPr>
        <w:t>Ci</w:t>
      </w:r>
      <w:r w:rsidR="004B55D4">
        <w:rPr>
          <w:rFonts w:ascii="Century Schoolbook" w:hAnsi="Century Schoolbook"/>
          <w:sz w:val="26"/>
          <w:szCs w:val="26"/>
        </w:rPr>
        <w:t>ty of Redondo Beach,</w:t>
      </w:r>
      <w:r w:rsidR="008574CC">
        <w:rPr>
          <w:rFonts w:ascii="Century Schoolbook" w:hAnsi="Century Schoolbook"/>
          <w:sz w:val="26"/>
          <w:szCs w:val="26"/>
        </w:rPr>
        <w:t xml:space="preserve"> whose voters had previously adopted an initiative curtailing the</w:t>
      </w:r>
      <w:r w:rsidR="006B04D0">
        <w:rPr>
          <w:rFonts w:ascii="Century Schoolbook" w:hAnsi="Century Schoolbook"/>
          <w:sz w:val="26"/>
          <w:szCs w:val="26"/>
        </w:rPr>
        <w:t>ir</w:t>
      </w:r>
      <w:r w:rsidR="008574CC">
        <w:rPr>
          <w:rFonts w:ascii="Century Schoolbook" w:hAnsi="Century Schoolbook"/>
          <w:sz w:val="26"/>
          <w:szCs w:val="26"/>
        </w:rPr>
        <w:t xml:space="preserve"> </w:t>
      </w:r>
      <w:r w:rsidR="006B04D0">
        <w:rPr>
          <w:rFonts w:ascii="Century Schoolbook" w:hAnsi="Century Schoolbook"/>
          <w:sz w:val="26"/>
          <w:szCs w:val="26"/>
        </w:rPr>
        <w:t>c</w:t>
      </w:r>
      <w:r w:rsidR="008574CC">
        <w:rPr>
          <w:rFonts w:ascii="Century Schoolbook" w:hAnsi="Century Schoolbook"/>
          <w:sz w:val="26"/>
          <w:szCs w:val="26"/>
        </w:rPr>
        <w:t xml:space="preserve">ity </w:t>
      </w:r>
      <w:r w:rsidR="006B04D0">
        <w:rPr>
          <w:rFonts w:ascii="Century Schoolbook" w:hAnsi="Century Schoolbook"/>
          <w:sz w:val="26"/>
          <w:szCs w:val="26"/>
        </w:rPr>
        <w:t>c</w:t>
      </w:r>
      <w:r w:rsidR="008574CC">
        <w:rPr>
          <w:rFonts w:ascii="Century Schoolbook" w:hAnsi="Century Schoolbook"/>
          <w:sz w:val="26"/>
          <w:szCs w:val="26"/>
        </w:rPr>
        <w:t xml:space="preserve">ouncil’s power to enact parcel-specific ordinances allowing for higher housing density without voter approval, joined as an additional petitioner in the operative first amended petition.  That petition </w:t>
      </w:r>
      <w:r w:rsidR="00363ADD">
        <w:rPr>
          <w:rFonts w:ascii="Century Schoolbook" w:hAnsi="Century Schoolbook"/>
          <w:sz w:val="26"/>
          <w:szCs w:val="26"/>
        </w:rPr>
        <w:t>seeks</w:t>
      </w:r>
      <w:r w:rsidRPr="00950287">
        <w:rPr>
          <w:rFonts w:ascii="Century Schoolbook" w:hAnsi="Century Schoolbook"/>
          <w:sz w:val="26"/>
          <w:szCs w:val="26"/>
        </w:rPr>
        <w:t xml:space="preserve"> an injunction commanding the State to cease enforcement of S</w:t>
      </w:r>
      <w:r w:rsidR="008574CC">
        <w:rPr>
          <w:rFonts w:ascii="Century Schoolbook" w:hAnsi="Century Schoolbook"/>
          <w:sz w:val="26"/>
          <w:szCs w:val="26"/>
        </w:rPr>
        <w:t>enate Bill 1</w:t>
      </w:r>
      <w:r w:rsidRPr="00950287">
        <w:rPr>
          <w:rFonts w:ascii="Century Schoolbook" w:hAnsi="Century Schoolbook"/>
          <w:sz w:val="26"/>
          <w:szCs w:val="26"/>
        </w:rPr>
        <w:t>0</w:t>
      </w:r>
      <w:r w:rsidR="008574CC">
        <w:rPr>
          <w:rFonts w:ascii="Century Schoolbook" w:hAnsi="Century Schoolbook"/>
          <w:sz w:val="26"/>
          <w:szCs w:val="26"/>
        </w:rPr>
        <w:t xml:space="preserve"> </w:t>
      </w:r>
      <w:r w:rsidRPr="00950287">
        <w:rPr>
          <w:rFonts w:ascii="Century Schoolbook" w:hAnsi="Century Schoolbook"/>
          <w:sz w:val="26"/>
          <w:szCs w:val="26"/>
        </w:rPr>
        <w:t xml:space="preserve">as well as a declaration that </w:t>
      </w:r>
      <w:r w:rsidR="008574CC">
        <w:rPr>
          <w:rFonts w:ascii="Century Schoolbook" w:hAnsi="Century Schoolbook"/>
          <w:sz w:val="26"/>
          <w:szCs w:val="26"/>
        </w:rPr>
        <w:t xml:space="preserve">its </w:t>
      </w:r>
      <w:r w:rsidRPr="00950287">
        <w:rPr>
          <w:rFonts w:ascii="Century Schoolbook" w:hAnsi="Century Schoolbook"/>
          <w:sz w:val="26"/>
          <w:szCs w:val="26"/>
        </w:rPr>
        <w:t xml:space="preserve">provisions </w:t>
      </w:r>
      <w:r w:rsidR="008574CC">
        <w:rPr>
          <w:rFonts w:ascii="Century Schoolbook" w:hAnsi="Century Schoolbook"/>
          <w:sz w:val="26"/>
          <w:szCs w:val="26"/>
        </w:rPr>
        <w:t xml:space="preserve">granting </w:t>
      </w:r>
      <w:r w:rsidRPr="00950287">
        <w:rPr>
          <w:rFonts w:ascii="Century Schoolbook" w:hAnsi="Century Schoolbook"/>
          <w:sz w:val="26"/>
          <w:szCs w:val="26"/>
        </w:rPr>
        <w:t xml:space="preserve">local </w:t>
      </w:r>
      <w:r>
        <w:rPr>
          <w:rFonts w:ascii="Century Schoolbook" w:hAnsi="Century Schoolbook"/>
          <w:sz w:val="26"/>
          <w:szCs w:val="26"/>
        </w:rPr>
        <w:t>legislative</w:t>
      </w:r>
      <w:r w:rsidRPr="00950287">
        <w:rPr>
          <w:rFonts w:ascii="Century Schoolbook" w:hAnsi="Century Schoolbook"/>
          <w:sz w:val="26"/>
          <w:szCs w:val="26"/>
        </w:rPr>
        <w:t xml:space="preserve"> bodies </w:t>
      </w:r>
      <w:r w:rsidR="00363ADD">
        <w:rPr>
          <w:rFonts w:ascii="Century Schoolbook" w:hAnsi="Century Schoolbook"/>
          <w:sz w:val="26"/>
          <w:szCs w:val="26"/>
        </w:rPr>
        <w:t xml:space="preserve">the discretion </w:t>
      </w:r>
      <w:r w:rsidRPr="00950287">
        <w:rPr>
          <w:rFonts w:ascii="Century Schoolbook" w:hAnsi="Century Schoolbook"/>
          <w:sz w:val="26"/>
          <w:szCs w:val="26"/>
        </w:rPr>
        <w:t xml:space="preserve">to supersede housing density </w:t>
      </w:r>
      <w:r w:rsidR="006B04D0">
        <w:rPr>
          <w:rFonts w:ascii="Century Schoolbook" w:hAnsi="Century Schoolbook"/>
          <w:sz w:val="26"/>
          <w:szCs w:val="26"/>
        </w:rPr>
        <w:t>caps</w:t>
      </w:r>
      <w:r w:rsidRPr="00950287" w:rsidR="006B04D0">
        <w:rPr>
          <w:rFonts w:ascii="Century Schoolbook" w:hAnsi="Century Schoolbook"/>
          <w:sz w:val="26"/>
          <w:szCs w:val="26"/>
        </w:rPr>
        <w:t xml:space="preserve"> </w:t>
      </w:r>
      <w:r w:rsidRPr="00950287">
        <w:rPr>
          <w:rFonts w:ascii="Century Schoolbook" w:hAnsi="Century Schoolbook"/>
          <w:sz w:val="26"/>
          <w:szCs w:val="26"/>
        </w:rPr>
        <w:t xml:space="preserve">in local initiatives </w:t>
      </w:r>
      <w:r>
        <w:rPr>
          <w:rFonts w:ascii="Century Schoolbook" w:hAnsi="Century Schoolbook"/>
          <w:sz w:val="26"/>
          <w:szCs w:val="26"/>
        </w:rPr>
        <w:t xml:space="preserve">“eviscerate[] </w:t>
      </w:r>
      <w:r w:rsidRPr="00950287">
        <w:rPr>
          <w:rFonts w:ascii="Century Schoolbook" w:hAnsi="Century Schoolbook"/>
          <w:sz w:val="26"/>
          <w:szCs w:val="26"/>
        </w:rPr>
        <w:t xml:space="preserve">the fundamental protection against subsequent legislative amendment of initiatives without a vote of the people.”     </w:t>
      </w:r>
    </w:p>
    <w:p w:rsidR="004B69D4" w:rsidP="00005099" w14:paraId="1B4BAC66" w14:textId="3A7687D6">
      <w:pPr>
        <w:spacing w:line="288" w:lineRule="auto"/>
        <w:rPr>
          <w:rFonts w:ascii="Century Schoolbook" w:hAnsi="Century Schoolbook"/>
          <w:sz w:val="26"/>
          <w:szCs w:val="26"/>
        </w:rPr>
      </w:pPr>
      <w:r w:rsidRPr="00950287">
        <w:rPr>
          <w:rFonts w:ascii="Century Schoolbook" w:hAnsi="Century Schoolbook"/>
          <w:b/>
          <w:bCs/>
          <w:sz w:val="26"/>
          <w:szCs w:val="26"/>
        </w:rPr>
        <w:tab/>
      </w:r>
      <w:r w:rsidRPr="00950287">
        <w:rPr>
          <w:rFonts w:ascii="Century Schoolbook" w:hAnsi="Century Schoolbook"/>
          <w:sz w:val="26"/>
          <w:szCs w:val="26"/>
        </w:rPr>
        <w:t xml:space="preserve">Following briefing on the petition and a hearing, the trial court issued a 20-page decision denying the writ </w:t>
      </w:r>
      <w:r w:rsidR="00CD44BB">
        <w:rPr>
          <w:rFonts w:ascii="Century Schoolbook" w:hAnsi="Century Schoolbook"/>
          <w:sz w:val="26"/>
          <w:szCs w:val="26"/>
        </w:rPr>
        <w:t xml:space="preserve">of mandate </w:t>
      </w:r>
      <w:r w:rsidRPr="00950287">
        <w:rPr>
          <w:rFonts w:ascii="Century Schoolbook" w:hAnsi="Century Schoolbook"/>
          <w:sz w:val="26"/>
          <w:szCs w:val="26"/>
        </w:rPr>
        <w:t>petition</w:t>
      </w:r>
      <w:r>
        <w:rPr>
          <w:rFonts w:ascii="Century Schoolbook" w:hAnsi="Century Schoolbook"/>
          <w:sz w:val="26"/>
          <w:szCs w:val="26"/>
        </w:rPr>
        <w:t xml:space="preserve"> and upholding Senate Bill 10 as a constitutionally valid exercise of the Legislature’s power</w:t>
      </w:r>
      <w:r w:rsidRPr="00950287">
        <w:rPr>
          <w:rFonts w:ascii="Century Schoolbook" w:hAnsi="Century Schoolbook"/>
          <w:sz w:val="26"/>
          <w:szCs w:val="26"/>
        </w:rPr>
        <w:t>.</w:t>
      </w:r>
      <w:r w:rsidR="004E1ACE">
        <w:rPr>
          <w:rFonts w:ascii="Century Schoolbook" w:hAnsi="Century Schoolbook"/>
          <w:sz w:val="26"/>
          <w:szCs w:val="26"/>
        </w:rPr>
        <w:t xml:space="preserve">  After concluding petitioner</w:t>
      </w:r>
      <w:r w:rsidR="009D4AA5">
        <w:rPr>
          <w:rFonts w:ascii="Century Schoolbook" w:hAnsi="Century Schoolbook"/>
          <w:sz w:val="26"/>
          <w:szCs w:val="26"/>
        </w:rPr>
        <w:t>s</w:t>
      </w:r>
      <w:r w:rsidR="004E1ACE">
        <w:rPr>
          <w:rFonts w:ascii="Century Schoolbook" w:hAnsi="Century Schoolbook"/>
          <w:sz w:val="26"/>
          <w:szCs w:val="26"/>
        </w:rPr>
        <w:t xml:space="preserve">’ facial challenge to Senate Bill 10 was ripe, the court ruled that section 65913.5 did not unconstitutionally invade the initiative power because (1) the Legislature </w:t>
      </w:r>
      <w:r>
        <w:rPr>
          <w:rFonts w:ascii="Century Schoolbook" w:hAnsi="Century Schoolbook"/>
          <w:sz w:val="26"/>
          <w:szCs w:val="26"/>
        </w:rPr>
        <w:t xml:space="preserve">possesses the power to invalidate existing local voter initiatives and to preclude the enactment of new voter initiatives, and (2) Senate Bill 10 </w:t>
      </w:r>
      <w:r w:rsidR="00363ADD">
        <w:rPr>
          <w:rFonts w:ascii="Century Schoolbook" w:hAnsi="Century Schoolbook"/>
          <w:sz w:val="26"/>
          <w:szCs w:val="26"/>
        </w:rPr>
        <w:t>merely</w:t>
      </w:r>
      <w:r>
        <w:rPr>
          <w:rFonts w:ascii="Century Schoolbook" w:hAnsi="Century Schoolbook"/>
          <w:sz w:val="26"/>
          <w:szCs w:val="26"/>
        </w:rPr>
        <w:t xml:space="preserve"> takes the smaller step of allowing local legislative bodies to “override such initiatives upon a two-thirds vote</w:t>
      </w:r>
      <w:r w:rsidR="009A790B">
        <w:rPr>
          <w:rFonts w:ascii="Century Schoolbook" w:hAnsi="Century Schoolbook"/>
          <w:sz w:val="26"/>
          <w:szCs w:val="26"/>
        </w:rPr>
        <w:t>.</w:t>
      </w:r>
      <w:r>
        <w:rPr>
          <w:rFonts w:ascii="Century Schoolbook" w:hAnsi="Century Schoolbook"/>
          <w:sz w:val="26"/>
          <w:szCs w:val="26"/>
        </w:rPr>
        <w:t>”</w:t>
      </w:r>
    </w:p>
    <w:p w:rsidR="00950287" w:rsidRPr="00950287" w:rsidP="00950287" w14:paraId="22567387" w14:textId="1309399B">
      <w:pPr>
        <w:spacing w:line="288" w:lineRule="auto"/>
        <w:rPr>
          <w:rFonts w:ascii="Century Schoolbook" w:hAnsi="Century Schoolbook"/>
          <w:b/>
          <w:bCs/>
          <w:sz w:val="26"/>
          <w:szCs w:val="26"/>
        </w:rPr>
      </w:pPr>
      <w:r>
        <w:rPr>
          <w:rFonts w:ascii="Century Schoolbook" w:hAnsi="Century Schoolbook"/>
          <w:b/>
          <w:bCs/>
          <w:sz w:val="26"/>
          <w:szCs w:val="26"/>
        </w:rPr>
        <w:t>III</w:t>
      </w:r>
      <w:r w:rsidRPr="00950287">
        <w:rPr>
          <w:rFonts w:ascii="Century Schoolbook" w:hAnsi="Century Schoolbook"/>
          <w:b/>
          <w:bCs/>
          <w:sz w:val="26"/>
          <w:szCs w:val="26"/>
        </w:rPr>
        <w:t>.</w:t>
      </w:r>
      <w:r w:rsidRPr="00950287">
        <w:rPr>
          <w:rFonts w:ascii="Century Schoolbook" w:hAnsi="Century Schoolbook"/>
          <w:b/>
          <w:bCs/>
          <w:sz w:val="26"/>
          <w:szCs w:val="26"/>
        </w:rPr>
        <w:tab/>
        <w:t>The Appeal</w:t>
      </w:r>
    </w:p>
    <w:p w:rsidR="00950287" w:rsidRPr="00950287" w:rsidP="00950287" w14:paraId="699ACFD2" w14:textId="47312261">
      <w:pPr>
        <w:spacing w:line="288" w:lineRule="auto"/>
        <w:rPr>
          <w:rFonts w:ascii="Century Schoolbook" w:hAnsi="Century Schoolbook"/>
          <w:i/>
          <w:iCs/>
          <w:sz w:val="26"/>
          <w:szCs w:val="26"/>
        </w:rPr>
      </w:pPr>
      <w:r w:rsidRPr="00950287">
        <w:rPr>
          <w:rFonts w:ascii="Century Schoolbook" w:hAnsi="Century Schoolbook"/>
          <w:b/>
          <w:bCs/>
          <w:sz w:val="26"/>
          <w:szCs w:val="26"/>
        </w:rPr>
        <w:tab/>
      </w:r>
      <w:r w:rsidRPr="00950287">
        <w:rPr>
          <w:rFonts w:ascii="Century Schoolbook" w:hAnsi="Century Schoolbook"/>
          <w:sz w:val="26"/>
          <w:szCs w:val="26"/>
        </w:rPr>
        <w:t xml:space="preserve">Following the entry of judgment for the State, petitioners timely appealed.  </w:t>
      </w:r>
    </w:p>
    <w:p w:rsidR="006C63A9" w:rsidRPr="009D7E1F" w:rsidP="009D7E1F" w14:paraId="307FFC86" w14:textId="326C0B52">
      <w:pPr>
        <w:spacing w:line="288" w:lineRule="auto"/>
        <w:jc w:val="center"/>
        <w:rPr>
          <w:rFonts w:ascii="Century Schoolbook" w:hAnsi="Century Schoolbook"/>
          <w:b/>
          <w:bCs/>
          <w:sz w:val="26"/>
          <w:szCs w:val="26"/>
        </w:rPr>
      </w:pPr>
      <w:r>
        <w:rPr>
          <w:rFonts w:ascii="Century Schoolbook" w:hAnsi="Century Schoolbook"/>
          <w:b/>
          <w:bCs/>
          <w:sz w:val="26"/>
          <w:szCs w:val="26"/>
        </w:rPr>
        <w:t>DISCUSSION</w:t>
      </w:r>
    </w:p>
    <w:p w:rsidR="008278D7" w:rsidP="00BD5754" w14:paraId="3E5192E9" w14:textId="51109A60">
      <w:pPr>
        <w:spacing w:line="288" w:lineRule="auto"/>
        <w:rPr>
          <w:rFonts w:ascii="Century Schoolbook" w:eastAsia="Calibri" w:hAnsi="Century Schoolbook"/>
          <w:sz w:val="26"/>
          <w:szCs w:val="22"/>
        </w:rPr>
      </w:pPr>
      <w:r>
        <w:rPr>
          <w:rFonts w:ascii="Century Schoolbook" w:hAnsi="Century Schoolbook"/>
          <w:b/>
          <w:bCs/>
          <w:sz w:val="26"/>
          <w:szCs w:val="26"/>
        </w:rPr>
        <w:tab/>
      </w:r>
      <w:r>
        <w:rPr>
          <w:rFonts w:ascii="Century Schoolbook" w:hAnsi="Century Schoolbook"/>
          <w:sz w:val="26"/>
          <w:szCs w:val="26"/>
        </w:rPr>
        <w:t>On appeal, petition</w:t>
      </w:r>
      <w:r w:rsidR="00E702C6">
        <w:rPr>
          <w:rFonts w:ascii="Century Schoolbook" w:hAnsi="Century Schoolbook"/>
          <w:sz w:val="26"/>
          <w:szCs w:val="26"/>
        </w:rPr>
        <w:t>er</w:t>
      </w:r>
      <w:r>
        <w:rPr>
          <w:rFonts w:ascii="Century Schoolbook" w:hAnsi="Century Schoolbook"/>
          <w:sz w:val="26"/>
          <w:szCs w:val="26"/>
        </w:rPr>
        <w:t xml:space="preserve">s chiefly argue that Senate Bill 10, on its face, constitutes an unconstitutional affront to </w:t>
      </w:r>
      <w:r w:rsidR="00B83540">
        <w:rPr>
          <w:rFonts w:ascii="Century Schoolbook" w:hAnsi="Century Schoolbook"/>
          <w:sz w:val="26"/>
          <w:szCs w:val="26"/>
        </w:rPr>
        <w:t xml:space="preserve">the power of local voters to enact local laws by initiative because </w:t>
      </w:r>
      <w:r>
        <w:rPr>
          <w:rFonts w:ascii="Century Schoolbook" w:hAnsi="Century Schoolbook"/>
          <w:sz w:val="26"/>
          <w:szCs w:val="26"/>
        </w:rPr>
        <w:t>section 65913.5</w:t>
      </w:r>
      <w:r w:rsidR="00B83540">
        <w:rPr>
          <w:rFonts w:ascii="Century Schoolbook" w:hAnsi="Century Schoolbook"/>
          <w:sz w:val="26"/>
          <w:szCs w:val="26"/>
        </w:rPr>
        <w:t xml:space="preserve"> grants local legislative bodies limited discretion, on a parcel-by-parcel basis, to supersede local housing density caps—even those adopted by local voter initiative.  Because a facial challenge to a statute’s constitutionality </w:t>
      </w:r>
      <w:r>
        <w:rPr>
          <w:rFonts w:ascii="Century Schoolbook" w:hAnsi="Century Schoolbook"/>
          <w:sz w:val="26"/>
          <w:szCs w:val="26"/>
        </w:rPr>
        <w:t>focuses</w:t>
      </w:r>
      <w:r w:rsidR="00B83540">
        <w:rPr>
          <w:rFonts w:ascii="Century Schoolbook" w:hAnsi="Century Schoolbook"/>
          <w:sz w:val="26"/>
          <w:szCs w:val="26"/>
        </w:rPr>
        <w:t xml:space="preserve"> </w:t>
      </w:r>
      <w:r w:rsidR="006B04D0">
        <w:rPr>
          <w:rFonts w:ascii="Century Schoolbook" w:hAnsi="Century Schoolbook"/>
          <w:sz w:val="26"/>
          <w:szCs w:val="26"/>
        </w:rPr>
        <w:t xml:space="preserve">on </w:t>
      </w:r>
      <w:r w:rsidR="00B83540">
        <w:rPr>
          <w:rFonts w:ascii="Century Schoolbook" w:hAnsi="Century Schoolbook"/>
          <w:sz w:val="26"/>
          <w:szCs w:val="26"/>
        </w:rPr>
        <w:t>the statute’s text rather than its application in a particular case, “a facial challenge is generally ripe the moment the challenged [law] is passed.”  (</w:t>
      </w:r>
      <w:r w:rsidRPr="008722BB" w:rsidR="00AE0BF2">
        <w:rPr>
          <w:rFonts w:ascii="Century Schoolbook" w:hAnsi="Century Schoolbook"/>
          <w:i/>
          <w:iCs/>
          <w:sz w:val="26"/>
          <w:szCs w:val="26"/>
        </w:rPr>
        <w:t>Bronco Wine Co. v. Jolly</w:t>
      </w:r>
      <w:r w:rsidRPr="00AE0BF2" w:rsidR="00AE0BF2">
        <w:rPr>
          <w:rFonts w:ascii="Century Schoolbook" w:hAnsi="Century Schoolbook"/>
          <w:sz w:val="26"/>
          <w:szCs w:val="26"/>
        </w:rPr>
        <w:t xml:space="preserve"> (2005) 129 Cal.App.4th 988, 1034</w:t>
      </w:r>
      <w:r w:rsidR="00AE0BF2">
        <w:rPr>
          <w:rFonts w:ascii="Century Schoolbook" w:hAnsi="Century Schoolbook"/>
          <w:sz w:val="26"/>
          <w:szCs w:val="26"/>
        </w:rPr>
        <w:t xml:space="preserve">; </w:t>
      </w:r>
      <w:r w:rsidRPr="00B83540" w:rsidR="00B83540">
        <w:rPr>
          <w:rFonts w:ascii="Century Schoolbook" w:eastAsia="Calibri" w:hAnsi="Century Schoolbook"/>
          <w:i/>
          <w:iCs/>
          <w:sz w:val="26"/>
          <w:szCs w:val="22"/>
        </w:rPr>
        <w:t xml:space="preserve">Keystone Bituminous Coal Assn. v. DeBenedictis </w:t>
      </w:r>
      <w:r w:rsidRPr="00B83540" w:rsidR="00B83540">
        <w:rPr>
          <w:rFonts w:ascii="Century Schoolbook" w:eastAsia="Calibri" w:hAnsi="Century Schoolbook"/>
          <w:sz w:val="26"/>
          <w:szCs w:val="22"/>
        </w:rPr>
        <w:t>(1987) 480 U.S. 470, 493-494</w:t>
      </w:r>
      <w:r w:rsidR="0019252C">
        <w:rPr>
          <w:rFonts w:ascii="Century Schoolbook" w:eastAsia="Calibri" w:hAnsi="Century Schoolbook"/>
          <w:sz w:val="26"/>
          <w:szCs w:val="22"/>
        </w:rPr>
        <w:t xml:space="preserve">; </w:t>
      </w:r>
      <w:r w:rsidRPr="0019252C" w:rsidR="0019252C">
        <w:rPr>
          <w:rFonts w:ascii="Century Schoolbook" w:eastAsia="Calibri" w:hAnsi="Century Schoolbook"/>
          <w:i/>
          <w:iCs/>
          <w:sz w:val="26"/>
          <w:szCs w:val="22"/>
        </w:rPr>
        <w:t xml:space="preserve">Today’s Fresh Start, Inc. v. Los Angeles County Office of Education </w:t>
      </w:r>
      <w:r w:rsidRPr="0019252C" w:rsidR="0019252C">
        <w:rPr>
          <w:rFonts w:ascii="Century Schoolbook" w:eastAsia="Calibri" w:hAnsi="Century Schoolbook"/>
          <w:sz w:val="26"/>
          <w:szCs w:val="22"/>
        </w:rPr>
        <w:t xml:space="preserve">(2013) 57 Cal.4th 197, 218; </w:t>
      </w:r>
      <w:r w:rsidRPr="0019252C" w:rsidR="0019252C">
        <w:rPr>
          <w:rFonts w:ascii="Century Schoolbook" w:eastAsia="Calibri" w:hAnsi="Century Schoolbook"/>
          <w:i/>
          <w:iCs/>
          <w:sz w:val="26"/>
          <w:szCs w:val="22"/>
        </w:rPr>
        <w:t xml:space="preserve">Del Oro Hills v. City of Oceanside </w:t>
      </w:r>
      <w:r w:rsidRPr="0019252C" w:rsidR="0019252C">
        <w:rPr>
          <w:rFonts w:ascii="Century Schoolbook" w:eastAsia="Calibri" w:hAnsi="Century Schoolbook"/>
          <w:sz w:val="26"/>
          <w:szCs w:val="22"/>
        </w:rPr>
        <w:t>(1995) 31 Cal.App.4th 1060, 1076.)</w:t>
      </w:r>
      <w:r w:rsidRPr="00B83540" w:rsidR="00B83540">
        <w:rPr>
          <w:rFonts w:ascii="Century Schoolbook" w:eastAsia="Calibri" w:hAnsi="Century Schoolbook"/>
          <w:sz w:val="26"/>
          <w:szCs w:val="22"/>
        </w:rPr>
        <w:t xml:space="preserve"> </w:t>
      </w:r>
      <w:r>
        <w:rPr>
          <w:rFonts w:ascii="Century Schoolbook" w:eastAsia="Calibri" w:hAnsi="Century Schoolbook"/>
          <w:sz w:val="26"/>
          <w:szCs w:val="22"/>
        </w:rPr>
        <w:t xml:space="preserve"> We therefore reject the State’s </w:t>
      </w:r>
      <w:r w:rsidR="006B04D0">
        <w:rPr>
          <w:rFonts w:ascii="Century Schoolbook" w:eastAsia="Calibri" w:hAnsi="Century Schoolbook"/>
          <w:sz w:val="26"/>
          <w:szCs w:val="22"/>
        </w:rPr>
        <w:t xml:space="preserve">threshold </w:t>
      </w:r>
      <w:r>
        <w:rPr>
          <w:rFonts w:ascii="Century Schoolbook" w:eastAsia="Calibri" w:hAnsi="Century Schoolbook"/>
          <w:sz w:val="26"/>
          <w:szCs w:val="22"/>
        </w:rPr>
        <w:t>argument that petitioners’ challenge is unripe.</w:t>
      </w:r>
    </w:p>
    <w:p w:rsidR="008278D7" w:rsidP="00BD5754" w14:paraId="2CF3C4F8" w14:textId="2E5A5241">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A statute is unconstitutional on its face if it violates the pertinent constitutional provisions </w:t>
      </w:r>
      <w:r w:rsidRPr="007E3E4B">
        <w:rPr>
          <w:rFonts w:ascii="Century Schoolbook" w:eastAsia="Calibri" w:hAnsi="Century Schoolbook"/>
          <w:i/>
          <w:iCs/>
          <w:sz w:val="26"/>
          <w:szCs w:val="22"/>
        </w:rPr>
        <w:t>either</w:t>
      </w:r>
      <w:r>
        <w:rPr>
          <w:rFonts w:ascii="Century Schoolbook" w:eastAsia="Calibri" w:hAnsi="Century Schoolbook"/>
          <w:sz w:val="26"/>
          <w:szCs w:val="22"/>
        </w:rPr>
        <w:t xml:space="preserve"> “inevitably” </w:t>
      </w:r>
      <w:r w:rsidRPr="007E3E4B">
        <w:rPr>
          <w:rFonts w:ascii="Century Schoolbook" w:eastAsia="Calibri" w:hAnsi="Century Schoolbook"/>
          <w:i/>
          <w:iCs/>
          <w:sz w:val="26"/>
          <w:szCs w:val="22"/>
        </w:rPr>
        <w:t>or</w:t>
      </w:r>
      <w:r>
        <w:rPr>
          <w:rFonts w:ascii="Century Schoolbook" w:eastAsia="Calibri" w:hAnsi="Century Schoolbook"/>
          <w:sz w:val="26"/>
          <w:szCs w:val="22"/>
        </w:rPr>
        <w:t xml:space="preserve"> “</w:t>
      </w:r>
      <w:r w:rsidR="00AE0BF2">
        <w:rPr>
          <w:rFonts w:ascii="Century Schoolbook" w:eastAsia="Calibri" w:hAnsi="Century Schoolbook"/>
          <w:sz w:val="26"/>
          <w:szCs w:val="22"/>
        </w:rPr>
        <w:t>‘</w:t>
      </w:r>
      <w:r>
        <w:rPr>
          <w:rFonts w:ascii="Century Schoolbook" w:eastAsia="Calibri" w:hAnsi="Century Schoolbook"/>
          <w:sz w:val="26"/>
          <w:szCs w:val="22"/>
        </w:rPr>
        <w:t xml:space="preserve">in the . . . </w:t>
      </w:r>
      <w:r w:rsidRPr="008722BB">
        <w:rPr>
          <w:rFonts w:ascii="Century Schoolbook" w:eastAsia="Calibri" w:hAnsi="Century Schoolbook"/>
          <w:i/>
          <w:iCs/>
          <w:sz w:val="26"/>
          <w:szCs w:val="22"/>
        </w:rPr>
        <w:t>great majority</w:t>
      </w:r>
      <w:r>
        <w:rPr>
          <w:rFonts w:ascii="Century Schoolbook" w:eastAsia="Calibri" w:hAnsi="Century Schoolbook"/>
          <w:sz w:val="26"/>
          <w:szCs w:val="22"/>
        </w:rPr>
        <w:t xml:space="preserve"> of cases</w:t>
      </w:r>
      <w:r w:rsidR="00AE0BF2">
        <w:rPr>
          <w:rFonts w:ascii="Century Schoolbook" w:eastAsia="Calibri" w:hAnsi="Century Schoolbook"/>
          <w:sz w:val="26"/>
          <w:szCs w:val="22"/>
        </w:rPr>
        <w:t>’</w:t>
      </w:r>
      <w:r w:rsidR="007E3E4B">
        <w:rPr>
          <w:rFonts w:ascii="Century Schoolbook" w:eastAsia="Calibri" w:hAnsi="Century Schoolbook"/>
          <w:sz w:val="26"/>
          <w:szCs w:val="22"/>
        </w:rPr>
        <w:t>”</w:t>
      </w:r>
      <w:r>
        <w:rPr>
          <w:rFonts w:ascii="Century Schoolbook" w:eastAsia="Calibri" w:hAnsi="Century Schoolbook"/>
          <w:sz w:val="26"/>
          <w:szCs w:val="22"/>
        </w:rPr>
        <w:t xml:space="preserve"> (</w:t>
      </w:r>
      <w:r>
        <w:rPr>
          <w:rFonts w:ascii="Century Schoolbook" w:eastAsia="Calibri" w:hAnsi="Century Schoolbook"/>
          <w:i/>
          <w:iCs/>
          <w:sz w:val="26"/>
          <w:szCs w:val="22"/>
        </w:rPr>
        <w:t>Pacific Legal Foundation v. Brown</w:t>
      </w:r>
      <w:r>
        <w:rPr>
          <w:rFonts w:ascii="Century Schoolbook" w:eastAsia="Calibri" w:hAnsi="Century Schoolbook"/>
          <w:sz w:val="26"/>
          <w:szCs w:val="22"/>
        </w:rPr>
        <w:t xml:space="preserve"> (1981) 29 Cal.3d 168, 180-181; </w:t>
      </w:r>
      <w:r>
        <w:rPr>
          <w:rFonts w:ascii="Century Schoolbook" w:eastAsia="Calibri" w:hAnsi="Century Schoolbook"/>
          <w:i/>
          <w:iCs/>
          <w:sz w:val="26"/>
          <w:szCs w:val="22"/>
        </w:rPr>
        <w:t>Guardianship of Ann S.</w:t>
      </w:r>
      <w:r>
        <w:rPr>
          <w:rFonts w:ascii="Century Schoolbook" w:eastAsia="Calibri" w:hAnsi="Century Schoolbook"/>
          <w:sz w:val="26"/>
          <w:szCs w:val="22"/>
        </w:rPr>
        <w:t xml:space="preserve"> (2009) 45 Cal.4th 1110</w:t>
      </w:r>
      <w:r w:rsidR="009D4AA5">
        <w:rPr>
          <w:rFonts w:ascii="Century Schoolbook" w:eastAsia="Calibri" w:hAnsi="Century Schoolbook"/>
          <w:sz w:val="26"/>
          <w:szCs w:val="22"/>
        </w:rPr>
        <w:t>,</w:t>
      </w:r>
      <w:r>
        <w:rPr>
          <w:rFonts w:ascii="Century Schoolbook" w:eastAsia="Calibri" w:hAnsi="Century Schoolbook"/>
          <w:sz w:val="26"/>
          <w:szCs w:val="22"/>
        </w:rPr>
        <w:t xml:space="preserve"> 1126</w:t>
      </w:r>
      <w:r w:rsidR="007E3E4B">
        <w:rPr>
          <w:rFonts w:ascii="Century Schoolbook" w:eastAsia="Calibri" w:hAnsi="Century Schoolbook"/>
          <w:sz w:val="26"/>
          <w:szCs w:val="22"/>
        </w:rPr>
        <w:t>); our Supreme Court has yet to “settle on a precise formulation” of the test for facial invalidity (</w:t>
      </w:r>
      <w:r w:rsidR="007E3E4B">
        <w:rPr>
          <w:rFonts w:ascii="Century Schoolbook" w:eastAsia="Calibri" w:hAnsi="Century Schoolbook"/>
          <w:i/>
          <w:iCs/>
          <w:sz w:val="26"/>
          <w:szCs w:val="22"/>
        </w:rPr>
        <w:t>T-Mobile West LLC v. City &amp; County of San Francisco</w:t>
      </w:r>
      <w:r w:rsidR="007E3E4B">
        <w:rPr>
          <w:rFonts w:ascii="Century Schoolbook" w:eastAsia="Calibri" w:hAnsi="Century Schoolbook"/>
          <w:sz w:val="26"/>
          <w:szCs w:val="22"/>
        </w:rPr>
        <w:t xml:space="preserve"> (2019) 6 Cal.5th 1107, 1117, fn. 6).  Under either formulation, </w:t>
      </w:r>
      <w:r w:rsidR="00363ADD">
        <w:rPr>
          <w:rFonts w:ascii="Century Schoolbook" w:eastAsia="Calibri" w:hAnsi="Century Schoolbook"/>
          <w:sz w:val="26"/>
          <w:szCs w:val="22"/>
        </w:rPr>
        <w:t xml:space="preserve">however, </w:t>
      </w:r>
      <w:r w:rsidR="007E3E4B">
        <w:rPr>
          <w:rFonts w:ascii="Century Schoolbook" w:eastAsia="Calibri" w:hAnsi="Century Schoolbook"/>
          <w:sz w:val="26"/>
          <w:szCs w:val="22"/>
        </w:rPr>
        <w:t>i</w:t>
      </w:r>
      <w:r>
        <w:rPr>
          <w:rFonts w:ascii="Century Schoolbook" w:eastAsia="Calibri" w:hAnsi="Century Schoolbook"/>
          <w:sz w:val="26"/>
          <w:szCs w:val="22"/>
        </w:rPr>
        <w:t>t is not enough to show that the statute “might operate unconstitutionally under some conceivable set of circumstances.”  (</w:t>
      </w:r>
      <w:r>
        <w:rPr>
          <w:rFonts w:ascii="Century Schoolbook" w:eastAsia="Calibri" w:hAnsi="Century Schoolbook"/>
          <w:i/>
          <w:iCs/>
          <w:sz w:val="26"/>
          <w:szCs w:val="22"/>
        </w:rPr>
        <w:t xml:space="preserve">United States v. Salerno </w:t>
      </w:r>
      <w:r>
        <w:rPr>
          <w:rFonts w:ascii="Century Schoolbook" w:eastAsia="Calibri" w:hAnsi="Century Schoolbook"/>
          <w:sz w:val="26"/>
          <w:szCs w:val="22"/>
        </w:rPr>
        <w:t>(1987) 481 U.S. 739, 745</w:t>
      </w:r>
      <w:r w:rsidR="001C0FF0">
        <w:rPr>
          <w:rFonts w:ascii="Century Schoolbook" w:eastAsia="Calibri" w:hAnsi="Century Schoolbook"/>
          <w:sz w:val="26"/>
          <w:szCs w:val="22"/>
        </w:rPr>
        <w:t xml:space="preserve"> (</w:t>
      </w:r>
      <w:r w:rsidR="001C0FF0">
        <w:rPr>
          <w:rFonts w:ascii="Century Schoolbook" w:eastAsia="Calibri" w:hAnsi="Century Schoolbook"/>
          <w:i/>
          <w:iCs/>
          <w:sz w:val="26"/>
          <w:szCs w:val="22"/>
        </w:rPr>
        <w:t>Salerno</w:t>
      </w:r>
      <w:r w:rsidR="001C0FF0">
        <w:rPr>
          <w:rFonts w:ascii="Century Schoolbook" w:eastAsia="Calibri" w:hAnsi="Century Schoolbook"/>
          <w:sz w:val="26"/>
          <w:szCs w:val="22"/>
        </w:rPr>
        <w:t>)</w:t>
      </w:r>
      <w:r>
        <w:rPr>
          <w:rFonts w:ascii="Century Schoolbook" w:eastAsia="Calibri" w:hAnsi="Century Schoolbook"/>
          <w:sz w:val="26"/>
          <w:szCs w:val="22"/>
        </w:rPr>
        <w:t xml:space="preserve">; </w:t>
      </w:r>
      <w:r>
        <w:rPr>
          <w:rFonts w:ascii="Century Schoolbook" w:eastAsia="Calibri" w:hAnsi="Century Schoolbook"/>
          <w:i/>
          <w:iCs/>
          <w:sz w:val="26"/>
          <w:szCs w:val="22"/>
        </w:rPr>
        <w:t>Rental Housing Owners Assn. of Southern Alameda County, Inc. v. City of Hayward</w:t>
      </w:r>
      <w:r>
        <w:rPr>
          <w:rFonts w:ascii="Century Schoolbook" w:eastAsia="Calibri" w:hAnsi="Century Schoolbook"/>
          <w:sz w:val="26"/>
          <w:szCs w:val="22"/>
        </w:rPr>
        <w:t xml:space="preserve"> (2011) 200 Cal.App.4th 81, 90.)</w:t>
      </w:r>
      <w:r w:rsidR="00C07EA9">
        <w:rPr>
          <w:rFonts w:ascii="Century Schoolbook" w:eastAsia="Calibri" w:hAnsi="Century Schoolbook"/>
          <w:sz w:val="26"/>
          <w:szCs w:val="22"/>
        </w:rPr>
        <w:t xml:space="preserve">  We presume that statutes are constitutional, and a party attacking the constitutional validity of a statute bears the burden of overcoming that presumption by </w:t>
      </w:r>
      <w:r w:rsidR="00363ADD">
        <w:rPr>
          <w:rFonts w:ascii="Century Schoolbook" w:eastAsia="Calibri" w:hAnsi="Century Schoolbook"/>
          <w:sz w:val="26"/>
          <w:szCs w:val="22"/>
        </w:rPr>
        <w:t>“</w:t>
      </w:r>
      <w:r w:rsidR="00E12DE6">
        <w:rPr>
          <w:rFonts w:ascii="Century Schoolbook" w:eastAsia="Calibri" w:hAnsi="Century Schoolbook"/>
          <w:sz w:val="26"/>
          <w:szCs w:val="22"/>
        </w:rPr>
        <w:t>‘“</w:t>
      </w:r>
      <w:r w:rsidR="00363ADD">
        <w:rPr>
          <w:rFonts w:ascii="Century Schoolbook" w:eastAsia="Calibri" w:hAnsi="Century Schoolbook"/>
          <w:sz w:val="26"/>
          <w:szCs w:val="22"/>
        </w:rPr>
        <w:t>clearly, positively</w:t>
      </w:r>
      <w:r w:rsidR="00E12DE6">
        <w:rPr>
          <w:rFonts w:ascii="Century Schoolbook" w:eastAsia="Calibri" w:hAnsi="Century Schoolbook"/>
          <w:sz w:val="26"/>
          <w:szCs w:val="22"/>
        </w:rPr>
        <w:t>,</w:t>
      </w:r>
      <w:r w:rsidR="00363ADD">
        <w:rPr>
          <w:rFonts w:ascii="Century Schoolbook" w:eastAsia="Calibri" w:hAnsi="Century Schoolbook"/>
          <w:sz w:val="26"/>
          <w:szCs w:val="22"/>
        </w:rPr>
        <w:t xml:space="preserve"> and unmistakably</w:t>
      </w:r>
      <w:r w:rsidR="00E12DE6">
        <w:rPr>
          <w:rFonts w:ascii="Century Schoolbook" w:eastAsia="Calibri" w:hAnsi="Century Schoolbook"/>
          <w:sz w:val="26"/>
          <w:szCs w:val="22"/>
        </w:rPr>
        <w:t>”’</w:t>
      </w:r>
      <w:r w:rsidR="00363ADD">
        <w:rPr>
          <w:rFonts w:ascii="Century Schoolbook" w:eastAsia="Calibri" w:hAnsi="Century Schoolbook"/>
          <w:sz w:val="26"/>
          <w:szCs w:val="22"/>
        </w:rPr>
        <w:t xml:space="preserve">” </w:t>
      </w:r>
      <w:r w:rsidR="00C07EA9">
        <w:rPr>
          <w:rFonts w:ascii="Century Schoolbook" w:eastAsia="Calibri" w:hAnsi="Century Schoolbook"/>
          <w:sz w:val="26"/>
          <w:szCs w:val="22"/>
        </w:rPr>
        <w:t>demonstrating the invalidity of the statute</w:t>
      </w:r>
      <w:r w:rsidR="00363ADD">
        <w:rPr>
          <w:rFonts w:ascii="Century Schoolbook" w:eastAsia="Calibri" w:hAnsi="Century Schoolbook"/>
          <w:sz w:val="26"/>
          <w:szCs w:val="22"/>
        </w:rPr>
        <w:t xml:space="preserve">.  </w:t>
      </w:r>
      <w:r w:rsidR="00C07EA9">
        <w:rPr>
          <w:rFonts w:ascii="Century Schoolbook" w:eastAsia="Calibri" w:hAnsi="Century Schoolbook"/>
          <w:sz w:val="26"/>
          <w:szCs w:val="22"/>
        </w:rPr>
        <w:t>(</w:t>
      </w:r>
      <w:r w:rsidR="00C07EA9">
        <w:rPr>
          <w:rFonts w:ascii="Century Schoolbook" w:eastAsia="Calibri" w:hAnsi="Century Schoolbook"/>
          <w:i/>
          <w:iCs/>
          <w:sz w:val="26"/>
          <w:szCs w:val="22"/>
        </w:rPr>
        <w:t>Voters for Responsible Retirement v. Board of Supervisors</w:t>
      </w:r>
      <w:r w:rsidR="00C07EA9">
        <w:rPr>
          <w:rFonts w:ascii="Century Schoolbook" w:eastAsia="Calibri" w:hAnsi="Century Schoolbook"/>
          <w:sz w:val="26"/>
          <w:szCs w:val="22"/>
        </w:rPr>
        <w:t xml:space="preserve"> (1994) 8 Cal.4th 765, 780 (</w:t>
      </w:r>
      <w:r w:rsidR="00C07EA9">
        <w:rPr>
          <w:rFonts w:ascii="Century Schoolbook" w:eastAsia="Calibri" w:hAnsi="Century Schoolbook"/>
          <w:i/>
          <w:iCs/>
          <w:sz w:val="26"/>
          <w:szCs w:val="22"/>
        </w:rPr>
        <w:t>V</w:t>
      </w:r>
      <w:r w:rsidR="00E8145A">
        <w:rPr>
          <w:rFonts w:ascii="Century Schoolbook" w:eastAsia="Calibri" w:hAnsi="Century Schoolbook"/>
          <w:i/>
          <w:iCs/>
          <w:sz w:val="26"/>
          <w:szCs w:val="22"/>
        </w:rPr>
        <w:t>oters</w:t>
      </w:r>
      <w:r w:rsidR="00745F8E">
        <w:rPr>
          <w:rFonts w:ascii="Century Schoolbook" w:eastAsia="Calibri" w:hAnsi="Century Schoolbook"/>
          <w:i/>
          <w:iCs/>
          <w:sz w:val="26"/>
          <w:szCs w:val="22"/>
        </w:rPr>
        <w:t xml:space="preserve"> for Responsible Retirement</w:t>
      </w:r>
      <w:r w:rsidR="00C07EA9">
        <w:rPr>
          <w:rFonts w:ascii="Century Schoolbook" w:eastAsia="Calibri" w:hAnsi="Century Schoolbook"/>
          <w:sz w:val="26"/>
          <w:szCs w:val="22"/>
        </w:rPr>
        <w:t>).)  We independently review whether a statute is unconstitutional (</w:t>
      </w:r>
      <w:r w:rsidR="00E90A6A">
        <w:rPr>
          <w:rFonts w:ascii="Century Schoolbook" w:eastAsia="Calibri" w:hAnsi="Century Schoolbook"/>
          <w:i/>
          <w:iCs/>
          <w:sz w:val="26"/>
          <w:szCs w:val="22"/>
        </w:rPr>
        <w:t xml:space="preserve">Vergara v. State of California </w:t>
      </w:r>
      <w:r w:rsidR="00E90A6A">
        <w:rPr>
          <w:rFonts w:ascii="Century Schoolbook" w:eastAsia="Calibri" w:hAnsi="Century Schoolbook"/>
          <w:sz w:val="26"/>
          <w:szCs w:val="22"/>
        </w:rPr>
        <w:t>(2016) 246 Cal.App.4th 619, 642</w:t>
      </w:r>
      <w:r w:rsidR="00C07EA9">
        <w:rPr>
          <w:rFonts w:ascii="Century Schoolbook" w:eastAsia="Calibri" w:hAnsi="Century Schoolbook"/>
          <w:sz w:val="26"/>
          <w:szCs w:val="22"/>
        </w:rPr>
        <w:t>), and hence review the trial court’s ruling rather than its reasoning (</w:t>
      </w:r>
      <w:r w:rsidR="00E90A6A">
        <w:rPr>
          <w:rFonts w:ascii="Century Schoolbook" w:eastAsia="Calibri" w:hAnsi="Century Schoolbook"/>
          <w:i/>
          <w:iCs/>
          <w:sz w:val="26"/>
          <w:szCs w:val="22"/>
        </w:rPr>
        <w:t>Rutgard v. City of Los Angeles</w:t>
      </w:r>
      <w:r w:rsidR="00E90A6A">
        <w:rPr>
          <w:rFonts w:ascii="Century Schoolbook" w:eastAsia="Calibri" w:hAnsi="Century Schoolbook"/>
          <w:sz w:val="26"/>
          <w:szCs w:val="22"/>
        </w:rPr>
        <w:t xml:space="preserve"> (2020) 52 Cal.App.5th 815, 825</w:t>
      </w:r>
      <w:r w:rsidR="00C07EA9">
        <w:rPr>
          <w:rFonts w:ascii="Century Schoolbook" w:eastAsia="Calibri" w:hAnsi="Century Schoolbook"/>
          <w:sz w:val="26"/>
          <w:szCs w:val="22"/>
        </w:rPr>
        <w:t>).</w:t>
      </w:r>
    </w:p>
    <w:p w:rsidR="0019252C" w:rsidP="00BD5754" w14:paraId="08E00DDE" w14:textId="3AD92130">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Because the parties’ briefing focuses on specific sub-issues and often conflates what we view as distinct questions, we approach the </w:t>
      </w:r>
      <w:r w:rsidR="006B04D0">
        <w:rPr>
          <w:rFonts w:ascii="Century Schoolbook" w:eastAsia="Calibri" w:hAnsi="Century Schoolbook"/>
          <w:sz w:val="26"/>
          <w:szCs w:val="22"/>
        </w:rPr>
        <w:t xml:space="preserve">issue </w:t>
      </w:r>
      <w:r>
        <w:rPr>
          <w:rFonts w:ascii="Century Schoolbook" w:eastAsia="Calibri" w:hAnsi="Century Schoolbook"/>
          <w:sz w:val="26"/>
          <w:szCs w:val="22"/>
        </w:rPr>
        <w:t xml:space="preserve">of Senate Bill 10’s constitutionality </w:t>
      </w:r>
      <w:r w:rsidR="00E90A6A">
        <w:rPr>
          <w:rFonts w:ascii="Century Schoolbook" w:eastAsia="Calibri" w:hAnsi="Century Schoolbook"/>
          <w:sz w:val="26"/>
          <w:szCs w:val="22"/>
        </w:rPr>
        <w:t xml:space="preserve">through </w:t>
      </w:r>
      <w:r>
        <w:rPr>
          <w:rFonts w:ascii="Century Schoolbook" w:eastAsia="Calibri" w:hAnsi="Century Schoolbook"/>
          <w:sz w:val="26"/>
          <w:szCs w:val="22"/>
        </w:rPr>
        <w:t>a step-by-step</w:t>
      </w:r>
      <w:r w:rsidR="004B3AE2">
        <w:rPr>
          <w:rFonts w:ascii="Century Schoolbook" w:eastAsia="Calibri" w:hAnsi="Century Schoolbook"/>
          <w:sz w:val="26"/>
          <w:szCs w:val="22"/>
        </w:rPr>
        <w:t>, cascading</w:t>
      </w:r>
      <w:r>
        <w:rPr>
          <w:rFonts w:ascii="Century Schoolbook" w:eastAsia="Calibri" w:hAnsi="Century Schoolbook"/>
          <w:sz w:val="26"/>
          <w:szCs w:val="22"/>
        </w:rPr>
        <w:t xml:space="preserve"> analysis that, in our view, fully addresses the parties’ argument</w:t>
      </w:r>
      <w:r w:rsidR="00E90A6A">
        <w:rPr>
          <w:rFonts w:ascii="Century Schoolbook" w:eastAsia="Calibri" w:hAnsi="Century Schoolbook"/>
          <w:sz w:val="26"/>
          <w:szCs w:val="22"/>
        </w:rPr>
        <w:t>s</w:t>
      </w:r>
      <w:r>
        <w:rPr>
          <w:rFonts w:ascii="Century Schoolbook" w:eastAsia="Calibri" w:hAnsi="Century Schoolbook"/>
          <w:sz w:val="26"/>
          <w:szCs w:val="22"/>
        </w:rPr>
        <w:t xml:space="preserve"> while also presenting a framework for addressing </w:t>
      </w:r>
      <w:r w:rsidR="00355B15">
        <w:rPr>
          <w:rFonts w:ascii="Century Schoolbook" w:eastAsia="Calibri" w:hAnsi="Century Schoolbook"/>
          <w:sz w:val="26"/>
          <w:szCs w:val="22"/>
        </w:rPr>
        <w:t xml:space="preserve">the </w:t>
      </w:r>
      <w:r>
        <w:rPr>
          <w:rFonts w:ascii="Century Schoolbook" w:eastAsia="Calibri" w:hAnsi="Century Schoolbook"/>
          <w:sz w:val="26"/>
          <w:szCs w:val="22"/>
        </w:rPr>
        <w:t>constitutional challenges</w:t>
      </w:r>
      <w:r w:rsidR="00355B15">
        <w:rPr>
          <w:rFonts w:ascii="Century Schoolbook" w:eastAsia="Calibri" w:hAnsi="Century Schoolbook"/>
          <w:sz w:val="26"/>
          <w:szCs w:val="22"/>
        </w:rPr>
        <w:t xml:space="preserve"> presented in this case</w:t>
      </w:r>
      <w:r>
        <w:rPr>
          <w:rFonts w:ascii="Century Schoolbook" w:eastAsia="Calibri" w:hAnsi="Century Schoolbook"/>
          <w:sz w:val="26"/>
          <w:szCs w:val="22"/>
        </w:rPr>
        <w:t>.  Specifically, we ask:</w:t>
      </w:r>
    </w:p>
    <w:p w:rsidR="0019252C" w:rsidP="00BD5754" w14:paraId="5B8723B7" w14:textId="2911F4C8">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(1)  </w:t>
      </w:r>
      <w:r w:rsidR="008D2C52">
        <w:rPr>
          <w:rFonts w:ascii="Century Schoolbook" w:eastAsia="Calibri" w:hAnsi="Century Schoolbook"/>
          <w:sz w:val="26"/>
          <w:szCs w:val="22"/>
        </w:rPr>
        <w:tab/>
        <w:t xml:space="preserve">When </w:t>
      </w:r>
      <w:r w:rsidR="00005EB5">
        <w:rPr>
          <w:rFonts w:ascii="Century Schoolbook" w:eastAsia="Calibri" w:hAnsi="Century Schoolbook"/>
          <w:sz w:val="26"/>
          <w:szCs w:val="22"/>
        </w:rPr>
        <w:t>can</w:t>
      </w:r>
      <w:r w:rsidR="008D2C52">
        <w:rPr>
          <w:rFonts w:ascii="Century Schoolbook" w:eastAsia="Calibri" w:hAnsi="Century Schoolbook"/>
          <w:sz w:val="26"/>
          <w:szCs w:val="22"/>
        </w:rPr>
        <w:t xml:space="preserve"> our Legislature displace local laws affecting zoning and land use, including the local laws of charter cities?</w:t>
      </w:r>
    </w:p>
    <w:p w:rsidR="00005EB5" w:rsidP="00BD5754" w14:paraId="1AB4E38A" w14:textId="29FEDADD">
      <w:pPr>
        <w:spacing w:line="288" w:lineRule="auto"/>
        <w:rPr>
          <w:rFonts w:ascii="Century Schoolbook" w:eastAsia="Calibri" w:hAnsi="Century Schoolbook"/>
          <w:sz w:val="26"/>
          <w:szCs w:val="22"/>
        </w:rPr>
      </w:pPr>
      <w:r>
        <w:rPr>
          <w:rFonts w:ascii="Century Schoolbook" w:eastAsia="Calibri" w:hAnsi="Century Schoolbook"/>
          <w:sz w:val="26"/>
          <w:szCs w:val="22"/>
        </w:rPr>
        <w:tab/>
        <w:t>(2)</w:t>
      </w:r>
      <w:r>
        <w:rPr>
          <w:rFonts w:ascii="Century Schoolbook" w:eastAsia="Calibri" w:hAnsi="Century Schoolbook"/>
          <w:sz w:val="26"/>
          <w:szCs w:val="22"/>
        </w:rPr>
        <w:tab/>
      </w:r>
      <w:r w:rsidR="001F018C">
        <w:rPr>
          <w:rFonts w:ascii="Century Schoolbook" w:eastAsia="Calibri" w:hAnsi="Century Schoolbook"/>
          <w:sz w:val="26"/>
          <w:szCs w:val="22"/>
        </w:rPr>
        <w:t>Has</w:t>
      </w:r>
      <w:r w:rsidR="00B20126">
        <w:rPr>
          <w:rFonts w:ascii="Century Schoolbook" w:eastAsia="Calibri" w:hAnsi="Century Schoolbook"/>
          <w:sz w:val="26"/>
          <w:szCs w:val="22"/>
        </w:rPr>
        <w:t xml:space="preserve"> Senate Bill 10 </w:t>
      </w:r>
      <w:r>
        <w:rPr>
          <w:rFonts w:ascii="Century Schoolbook" w:eastAsia="Calibri" w:hAnsi="Century Schoolbook"/>
          <w:sz w:val="26"/>
          <w:szCs w:val="22"/>
        </w:rPr>
        <w:t>displace</w:t>
      </w:r>
      <w:r w:rsidR="001F018C">
        <w:rPr>
          <w:rFonts w:ascii="Century Schoolbook" w:eastAsia="Calibri" w:hAnsi="Century Schoolbook"/>
          <w:sz w:val="26"/>
          <w:szCs w:val="22"/>
        </w:rPr>
        <w:t>d</w:t>
      </w:r>
      <w:r>
        <w:rPr>
          <w:rFonts w:ascii="Century Schoolbook" w:eastAsia="Calibri" w:hAnsi="Century Schoolbook"/>
          <w:sz w:val="26"/>
          <w:szCs w:val="22"/>
        </w:rPr>
        <w:t xml:space="preserve"> local laws </w:t>
      </w:r>
      <w:r w:rsidR="009D1D64">
        <w:rPr>
          <w:rFonts w:ascii="Century Schoolbook" w:eastAsia="Calibri" w:hAnsi="Century Schoolbook"/>
          <w:sz w:val="26"/>
          <w:szCs w:val="22"/>
        </w:rPr>
        <w:t xml:space="preserve">setting </w:t>
      </w:r>
      <w:r>
        <w:rPr>
          <w:rFonts w:ascii="Century Schoolbook" w:eastAsia="Calibri" w:hAnsi="Century Schoolbook"/>
          <w:sz w:val="26"/>
          <w:szCs w:val="22"/>
        </w:rPr>
        <w:t>hous</w:t>
      </w:r>
      <w:r w:rsidR="006B04D0">
        <w:rPr>
          <w:rFonts w:ascii="Century Schoolbook" w:eastAsia="Calibri" w:hAnsi="Century Schoolbook"/>
          <w:sz w:val="26"/>
          <w:szCs w:val="22"/>
        </w:rPr>
        <w:t>ing</w:t>
      </w:r>
      <w:r>
        <w:rPr>
          <w:rFonts w:ascii="Century Schoolbook" w:eastAsia="Calibri" w:hAnsi="Century Schoolbook"/>
          <w:sz w:val="26"/>
          <w:szCs w:val="22"/>
        </w:rPr>
        <w:t xml:space="preserve"> density caps, which requires us to ask:</w:t>
      </w:r>
    </w:p>
    <w:p w:rsidR="00005EB5" w:rsidP="00BD5754" w14:paraId="0FCD920E" w14:textId="581F14B0">
      <w:pPr>
        <w:spacing w:line="288" w:lineRule="auto"/>
        <w:rPr>
          <w:rFonts w:ascii="Century Schoolbook" w:eastAsia="Calibri" w:hAnsi="Century Schoolbook"/>
          <w:sz w:val="26"/>
          <w:szCs w:val="22"/>
        </w:rPr>
      </w:pPr>
      <w:r>
        <w:rPr>
          <w:rFonts w:ascii="Century Schoolbook" w:eastAsia="Calibri" w:hAnsi="Century Schoolbook"/>
          <w:sz w:val="26"/>
          <w:szCs w:val="22"/>
        </w:rPr>
        <w:tab/>
      </w:r>
      <w:r>
        <w:rPr>
          <w:rFonts w:ascii="Century Schoolbook" w:eastAsia="Calibri" w:hAnsi="Century Schoolbook"/>
          <w:sz w:val="26"/>
          <w:szCs w:val="22"/>
        </w:rPr>
        <w:tab/>
        <w:t>(a)</w:t>
      </w:r>
      <w:r>
        <w:rPr>
          <w:rFonts w:ascii="Century Schoolbook" w:eastAsia="Calibri" w:hAnsi="Century Schoolbook"/>
          <w:sz w:val="26"/>
          <w:szCs w:val="22"/>
        </w:rPr>
        <w:tab/>
        <w:t xml:space="preserve">Has Senate Bill 10 displaced those caps under </w:t>
      </w:r>
      <w:r w:rsidR="00E90A6A">
        <w:rPr>
          <w:rFonts w:ascii="Century Schoolbook" w:eastAsia="Calibri" w:hAnsi="Century Schoolbook"/>
          <w:sz w:val="26"/>
          <w:szCs w:val="22"/>
        </w:rPr>
        <w:t xml:space="preserve">the law </w:t>
      </w:r>
      <w:r>
        <w:rPr>
          <w:rFonts w:ascii="Century Schoolbook" w:eastAsia="Calibri" w:hAnsi="Century Schoolbook"/>
          <w:sz w:val="26"/>
          <w:szCs w:val="22"/>
        </w:rPr>
        <w:t>governing preemption of local laws by state law?</w:t>
      </w:r>
    </w:p>
    <w:p w:rsidR="00005EB5" w:rsidP="00BD5754" w14:paraId="1104475A" w14:textId="311F2375">
      <w:pPr>
        <w:spacing w:line="288" w:lineRule="auto"/>
        <w:rPr>
          <w:rFonts w:ascii="Century Schoolbook" w:eastAsia="Calibri" w:hAnsi="Century Schoolbook"/>
          <w:sz w:val="26"/>
          <w:szCs w:val="22"/>
        </w:rPr>
      </w:pPr>
      <w:r>
        <w:rPr>
          <w:rFonts w:ascii="Century Schoolbook" w:eastAsia="Calibri" w:hAnsi="Century Schoolbook"/>
          <w:sz w:val="26"/>
          <w:szCs w:val="22"/>
        </w:rPr>
        <w:tab/>
      </w:r>
      <w:r>
        <w:rPr>
          <w:rFonts w:ascii="Century Schoolbook" w:eastAsia="Calibri" w:hAnsi="Century Schoolbook"/>
          <w:sz w:val="26"/>
          <w:szCs w:val="22"/>
        </w:rPr>
        <w:tab/>
        <w:t>(b)</w:t>
      </w:r>
      <w:r>
        <w:rPr>
          <w:rFonts w:ascii="Century Schoolbook" w:eastAsia="Calibri" w:hAnsi="Century Schoolbook"/>
          <w:sz w:val="26"/>
          <w:szCs w:val="22"/>
        </w:rPr>
        <w:tab/>
        <w:t>Has Senate Bill 10 satisfied the more exacting standard for preempti</w:t>
      </w:r>
      <w:r w:rsidR="009D4AA5">
        <w:rPr>
          <w:rFonts w:ascii="Century Schoolbook" w:eastAsia="Calibri" w:hAnsi="Century Schoolbook"/>
          <w:sz w:val="26"/>
          <w:szCs w:val="22"/>
        </w:rPr>
        <w:t>on of</w:t>
      </w:r>
      <w:r>
        <w:rPr>
          <w:rFonts w:ascii="Century Schoolbook" w:eastAsia="Calibri" w:hAnsi="Century Schoolbook"/>
          <w:sz w:val="26"/>
          <w:szCs w:val="22"/>
        </w:rPr>
        <w:t xml:space="preserve"> local voter initiatives?</w:t>
      </w:r>
    </w:p>
    <w:p w:rsidR="00005EB5" w:rsidP="00BD5754" w14:paraId="550FC857" w14:textId="2E848686">
      <w:pPr>
        <w:spacing w:line="288" w:lineRule="auto"/>
        <w:rPr>
          <w:rFonts w:ascii="Century Schoolbook" w:eastAsia="Calibri" w:hAnsi="Century Schoolbook"/>
          <w:sz w:val="26"/>
          <w:szCs w:val="22"/>
        </w:rPr>
      </w:pPr>
      <w:r>
        <w:rPr>
          <w:rFonts w:ascii="Century Schoolbook" w:eastAsia="Calibri" w:hAnsi="Century Schoolbook"/>
          <w:sz w:val="26"/>
          <w:szCs w:val="22"/>
        </w:rPr>
        <w:tab/>
        <w:t>(3)</w:t>
      </w:r>
      <w:r>
        <w:rPr>
          <w:rFonts w:ascii="Century Schoolbook" w:eastAsia="Calibri" w:hAnsi="Century Schoolbook"/>
          <w:sz w:val="26"/>
          <w:szCs w:val="22"/>
        </w:rPr>
        <w:tab/>
        <w:t>Can our Legislature validly exercise its preemptive power by imbuing local legislative bodies with the discretion to decide whe</w:t>
      </w:r>
      <w:r w:rsidR="004B3AE2">
        <w:rPr>
          <w:rFonts w:ascii="Century Schoolbook" w:eastAsia="Calibri" w:hAnsi="Century Schoolbook"/>
          <w:sz w:val="26"/>
          <w:szCs w:val="22"/>
        </w:rPr>
        <w:t xml:space="preserve">ther to exercise that power </w:t>
      </w:r>
      <w:r w:rsidR="00E90A6A">
        <w:rPr>
          <w:rFonts w:ascii="Century Schoolbook" w:eastAsia="Calibri" w:hAnsi="Century Schoolbook"/>
          <w:sz w:val="26"/>
          <w:szCs w:val="22"/>
        </w:rPr>
        <w:t>on a parcel-by-parcel basis?</w:t>
      </w:r>
    </w:p>
    <w:p w:rsidR="00E90A6A" w:rsidRPr="00E90A6A" w:rsidP="00BD5754" w14:paraId="7869D22D" w14:textId="12A00ACF">
      <w:pPr>
        <w:spacing w:line="288" w:lineRule="auto"/>
        <w:rPr>
          <w:rFonts w:ascii="Century Schoolbook" w:eastAsia="Calibri" w:hAnsi="Century Schoolbook"/>
          <w:b/>
          <w:bCs/>
          <w:sz w:val="26"/>
          <w:szCs w:val="22"/>
        </w:rPr>
      </w:pPr>
      <w:r>
        <w:rPr>
          <w:rFonts w:ascii="Century Schoolbook" w:eastAsia="Calibri" w:hAnsi="Century Schoolbook"/>
          <w:sz w:val="26"/>
          <w:szCs w:val="22"/>
        </w:rPr>
        <w:tab/>
        <w:t>(4)</w:t>
      </w:r>
      <w:r>
        <w:rPr>
          <w:rFonts w:ascii="Century Schoolbook" w:eastAsia="Calibri" w:hAnsi="Century Schoolbook"/>
          <w:sz w:val="26"/>
          <w:szCs w:val="22"/>
        </w:rPr>
        <w:tab/>
      </w:r>
      <w:r w:rsidR="003B7D12">
        <w:rPr>
          <w:rFonts w:ascii="Century Schoolbook" w:eastAsia="Calibri" w:hAnsi="Century Schoolbook"/>
          <w:sz w:val="26"/>
          <w:szCs w:val="22"/>
        </w:rPr>
        <w:t>Do</w:t>
      </w:r>
      <w:r>
        <w:rPr>
          <w:rFonts w:ascii="Century Schoolbook" w:eastAsia="Calibri" w:hAnsi="Century Schoolbook"/>
          <w:sz w:val="26"/>
          <w:szCs w:val="22"/>
        </w:rPr>
        <w:t xml:space="preserve"> earlier enacted </w:t>
      </w:r>
      <w:r w:rsidR="003B7D12">
        <w:rPr>
          <w:rFonts w:ascii="Century Schoolbook" w:eastAsia="Calibri" w:hAnsi="Century Schoolbook"/>
          <w:sz w:val="26"/>
          <w:szCs w:val="22"/>
        </w:rPr>
        <w:t>voter initiative</w:t>
      </w:r>
      <w:r>
        <w:rPr>
          <w:rFonts w:ascii="Century Schoolbook" w:eastAsia="Calibri" w:hAnsi="Century Schoolbook"/>
          <w:sz w:val="26"/>
          <w:szCs w:val="22"/>
        </w:rPr>
        <w:t>s</w:t>
      </w:r>
      <w:r w:rsidR="003B7D12">
        <w:rPr>
          <w:rFonts w:ascii="Century Schoolbook" w:eastAsia="Calibri" w:hAnsi="Century Schoolbook"/>
          <w:sz w:val="26"/>
          <w:szCs w:val="22"/>
        </w:rPr>
        <w:t xml:space="preserve"> constitute a preemptive exercise of the local legislative body’s discretion</w:t>
      </w:r>
      <w:r>
        <w:rPr>
          <w:rFonts w:ascii="Century Schoolbook" w:eastAsia="Calibri" w:hAnsi="Century Schoolbook"/>
          <w:sz w:val="26"/>
          <w:szCs w:val="22"/>
        </w:rPr>
        <w:t xml:space="preserve"> under Senate Bill 10, such that the body lacks the power to supersede such initiatives?</w:t>
      </w:r>
      <w:r>
        <w:rPr>
          <w:rFonts w:ascii="Century Schoolbook" w:eastAsia="Calibri" w:hAnsi="Century Schoolbook"/>
          <w:sz w:val="26"/>
          <w:szCs w:val="22"/>
        </w:rPr>
        <w:br/>
      </w:r>
      <w:r>
        <w:rPr>
          <w:rFonts w:ascii="Century Schoolbook" w:eastAsia="Calibri" w:hAnsi="Century Schoolbook"/>
          <w:b/>
          <w:bCs/>
          <w:sz w:val="26"/>
          <w:szCs w:val="22"/>
        </w:rPr>
        <w:t>I.</w:t>
      </w:r>
      <w:r>
        <w:rPr>
          <w:rFonts w:ascii="Century Schoolbook" w:eastAsia="Calibri" w:hAnsi="Century Schoolbook"/>
          <w:b/>
          <w:bCs/>
          <w:sz w:val="26"/>
          <w:szCs w:val="22"/>
        </w:rPr>
        <w:tab/>
        <w:t>When Can Our Legislature Displace Local Laws Affecting Zoning and Land Use, Including the Local Laws of Charter Cities?</w:t>
      </w:r>
    </w:p>
    <w:p w:rsidR="0066538D" w:rsidP="00BD5754" w14:paraId="674AEDF1" w14:textId="505831F5">
      <w:pPr>
        <w:spacing w:line="288" w:lineRule="auto"/>
        <w:rPr>
          <w:rFonts w:ascii="Century Schoolbook" w:eastAsia="Calibri" w:hAnsi="Century Schoolbook"/>
          <w:sz w:val="26"/>
          <w:szCs w:val="22"/>
        </w:rPr>
      </w:pPr>
      <w:r>
        <w:rPr>
          <w:rFonts w:ascii="Century Schoolbook" w:eastAsia="Calibri" w:hAnsi="Century Schoolbook"/>
          <w:sz w:val="26"/>
          <w:szCs w:val="22"/>
        </w:rPr>
        <w:tab/>
      </w:r>
      <w:r w:rsidR="007121BB">
        <w:rPr>
          <w:rFonts w:ascii="Century Schoolbook" w:eastAsia="Calibri" w:hAnsi="Century Schoolbook"/>
          <w:sz w:val="26"/>
          <w:szCs w:val="22"/>
        </w:rPr>
        <w:t>The State of California is divided into 58 counties (</w:t>
      </w:r>
      <w:r w:rsidR="00194CC3">
        <w:rPr>
          <w:rFonts w:ascii="Century Schoolbook" w:eastAsia="Calibri" w:hAnsi="Century Schoolbook"/>
          <w:sz w:val="26"/>
          <w:szCs w:val="22"/>
        </w:rPr>
        <w:t>Cal. Const., art. XI, § 1</w:t>
      </w:r>
      <w:r w:rsidR="007121BB">
        <w:rPr>
          <w:rFonts w:ascii="Century Schoolbook" w:eastAsia="Calibri" w:hAnsi="Century Schoolbook"/>
          <w:sz w:val="26"/>
          <w:szCs w:val="22"/>
        </w:rPr>
        <w:t>); within those counties are</w:t>
      </w:r>
      <w:r w:rsidR="00F51D1D">
        <w:rPr>
          <w:rFonts w:ascii="Century Schoolbook" w:eastAsia="Calibri" w:hAnsi="Century Schoolbook"/>
          <w:sz w:val="26"/>
          <w:szCs w:val="22"/>
        </w:rPr>
        <w:t xml:space="preserve"> </w:t>
      </w:r>
      <w:r w:rsidR="00363ADD">
        <w:rPr>
          <w:rFonts w:ascii="Century Schoolbook" w:eastAsia="Calibri" w:hAnsi="Century Schoolbook"/>
          <w:sz w:val="26"/>
          <w:szCs w:val="22"/>
        </w:rPr>
        <w:t xml:space="preserve">currently </w:t>
      </w:r>
      <w:r w:rsidR="00F51D1D">
        <w:rPr>
          <w:rFonts w:ascii="Century Schoolbook" w:eastAsia="Calibri" w:hAnsi="Century Schoolbook"/>
          <w:sz w:val="26"/>
          <w:szCs w:val="22"/>
        </w:rPr>
        <w:t xml:space="preserve">482 </w:t>
      </w:r>
      <w:r w:rsidR="007121BB">
        <w:rPr>
          <w:rFonts w:ascii="Century Schoolbook" w:eastAsia="Calibri" w:hAnsi="Century Schoolbook"/>
          <w:sz w:val="26"/>
          <w:szCs w:val="22"/>
        </w:rPr>
        <w:t>cities (</w:t>
      </w:r>
      <w:r w:rsidR="00F51D1D">
        <w:rPr>
          <w:rFonts w:ascii="Century Schoolbook" w:eastAsia="Calibri" w:hAnsi="Century Schoolbook"/>
          <w:i/>
          <w:iCs/>
          <w:sz w:val="26"/>
          <w:szCs w:val="22"/>
        </w:rPr>
        <w:t>id.</w:t>
      </w:r>
      <w:r w:rsidR="00F51D1D">
        <w:rPr>
          <w:rFonts w:ascii="Century Schoolbook" w:eastAsia="Calibri" w:hAnsi="Century Schoolbook"/>
          <w:sz w:val="26"/>
          <w:szCs w:val="22"/>
        </w:rPr>
        <w:t xml:space="preserve">, </w:t>
      </w:r>
      <w:r w:rsidR="00E65BC8">
        <w:rPr>
          <w:rFonts w:ascii="Century Schoolbook" w:eastAsia="Calibri" w:hAnsi="Century Schoolbook"/>
          <w:sz w:val="26"/>
          <w:szCs w:val="22"/>
        </w:rPr>
        <w:t>a</w:t>
      </w:r>
      <w:r w:rsidR="00F51D1D">
        <w:rPr>
          <w:rFonts w:ascii="Century Schoolbook" w:eastAsia="Calibri" w:hAnsi="Century Schoolbook"/>
          <w:sz w:val="26"/>
          <w:szCs w:val="22"/>
        </w:rPr>
        <w:t>rt. XI, § 2</w:t>
      </w:r>
      <w:r w:rsidR="007121BB">
        <w:rPr>
          <w:rFonts w:ascii="Century Schoolbook" w:eastAsia="Calibri" w:hAnsi="Century Schoolbook"/>
          <w:sz w:val="26"/>
          <w:szCs w:val="22"/>
        </w:rPr>
        <w:t xml:space="preserve">).  Our </w:t>
      </w:r>
      <w:r w:rsidR="00471776">
        <w:rPr>
          <w:rFonts w:ascii="Century Schoolbook" w:eastAsia="Calibri" w:hAnsi="Century Schoolbook"/>
          <w:sz w:val="26"/>
          <w:szCs w:val="22"/>
        </w:rPr>
        <w:t>s</w:t>
      </w:r>
      <w:r w:rsidR="007121BB">
        <w:rPr>
          <w:rFonts w:ascii="Century Schoolbook" w:eastAsia="Calibri" w:hAnsi="Century Schoolbook"/>
          <w:sz w:val="26"/>
          <w:szCs w:val="22"/>
        </w:rPr>
        <w:t xml:space="preserve">tate’s Constitution </w:t>
      </w:r>
      <w:r w:rsidR="00DF22A5">
        <w:rPr>
          <w:rFonts w:ascii="Century Schoolbook" w:eastAsia="Calibri" w:hAnsi="Century Schoolbook"/>
          <w:sz w:val="26"/>
          <w:szCs w:val="22"/>
        </w:rPr>
        <w:t xml:space="preserve">grants </w:t>
      </w:r>
      <w:r w:rsidR="007121BB">
        <w:rPr>
          <w:rFonts w:ascii="Century Schoolbook" w:eastAsia="Calibri" w:hAnsi="Century Schoolbook"/>
          <w:sz w:val="26"/>
          <w:szCs w:val="22"/>
        </w:rPr>
        <w:t xml:space="preserve">state laws enacted by our Legislature supremacy over </w:t>
      </w:r>
      <w:r w:rsidR="00200EE2">
        <w:rPr>
          <w:rFonts w:ascii="Century Schoolbook" w:eastAsia="Calibri" w:hAnsi="Century Schoolbook"/>
          <w:sz w:val="26"/>
          <w:szCs w:val="22"/>
        </w:rPr>
        <w:t xml:space="preserve">nearly all </w:t>
      </w:r>
      <w:r w:rsidR="007121BB">
        <w:rPr>
          <w:rFonts w:ascii="Century Schoolbook" w:eastAsia="Calibri" w:hAnsi="Century Schoolbook"/>
          <w:sz w:val="26"/>
          <w:szCs w:val="22"/>
        </w:rPr>
        <w:t>ordinances adopted by the more local government entities such as counties and cities.  (Cal. Const., art XI, § 7 [“A county or city may make and enforce within its limits all local, police, sanitary</w:t>
      </w:r>
      <w:r w:rsidR="00DD07BE">
        <w:rPr>
          <w:rFonts w:ascii="Century Schoolbook" w:eastAsia="Calibri" w:hAnsi="Century Schoolbook"/>
          <w:sz w:val="26"/>
          <w:szCs w:val="22"/>
        </w:rPr>
        <w:t>,</w:t>
      </w:r>
      <w:r w:rsidR="007121BB">
        <w:rPr>
          <w:rFonts w:ascii="Century Schoolbook" w:eastAsia="Calibri" w:hAnsi="Century Schoolbook"/>
          <w:sz w:val="26"/>
          <w:szCs w:val="22"/>
        </w:rPr>
        <w:t xml:space="preserve"> and other ordinances and regulations </w:t>
      </w:r>
      <w:r w:rsidR="007121BB">
        <w:rPr>
          <w:rFonts w:ascii="Century Schoolbook" w:eastAsia="Calibri" w:hAnsi="Century Schoolbook"/>
          <w:i/>
          <w:iCs/>
          <w:sz w:val="26"/>
          <w:szCs w:val="22"/>
        </w:rPr>
        <w:t>not in conflict with general laws</w:t>
      </w:r>
      <w:r w:rsidR="007121BB">
        <w:rPr>
          <w:rFonts w:ascii="Century Schoolbook" w:eastAsia="Calibri" w:hAnsi="Century Schoolbook"/>
          <w:sz w:val="26"/>
          <w:szCs w:val="22"/>
        </w:rPr>
        <w:t xml:space="preserve">” </w:t>
      </w:r>
      <w:r w:rsidR="00FA431D">
        <w:rPr>
          <w:rFonts w:ascii="Century Schoolbook" w:eastAsia="Calibri" w:hAnsi="Century Schoolbook"/>
          <w:sz w:val="26"/>
          <w:szCs w:val="22"/>
        </w:rPr>
        <w:t>(</w:t>
      </w:r>
      <w:r w:rsidR="007121BB">
        <w:rPr>
          <w:rFonts w:ascii="Century Schoolbook" w:eastAsia="Calibri" w:hAnsi="Century Schoolbook"/>
          <w:sz w:val="26"/>
          <w:szCs w:val="22"/>
        </w:rPr>
        <w:t>italics added</w:t>
      </w:r>
      <w:r w:rsidR="00FA431D">
        <w:rPr>
          <w:rFonts w:ascii="Century Schoolbook" w:eastAsia="Calibri" w:hAnsi="Century Schoolbook"/>
          <w:sz w:val="26"/>
          <w:szCs w:val="22"/>
        </w:rPr>
        <w:t>)]</w:t>
      </w:r>
      <w:r w:rsidR="007121BB">
        <w:rPr>
          <w:rFonts w:ascii="Century Schoolbook" w:eastAsia="Calibri" w:hAnsi="Century Schoolbook"/>
          <w:sz w:val="26"/>
          <w:szCs w:val="22"/>
        </w:rPr>
        <w:t>.)</w:t>
      </w:r>
    </w:p>
    <w:p w:rsidR="0066538D" w:rsidP="0066538D" w14:paraId="4C5C831D" w14:textId="2D580D14">
      <w:pPr>
        <w:spacing w:line="288" w:lineRule="auto"/>
        <w:ind w:firstLine="720"/>
        <w:rPr>
          <w:rFonts w:ascii="Century Schoolbook" w:eastAsia="Calibri" w:hAnsi="Century Schoolbook"/>
          <w:sz w:val="26"/>
          <w:szCs w:val="22"/>
        </w:rPr>
      </w:pPr>
      <w:r>
        <w:rPr>
          <w:rFonts w:ascii="Century Schoolbook" w:eastAsia="Calibri" w:hAnsi="Century Schoolbook"/>
          <w:sz w:val="26"/>
          <w:szCs w:val="22"/>
        </w:rPr>
        <w:t>But there is a wrinkle</w:t>
      </w:r>
      <w:r w:rsidR="00194CC3">
        <w:rPr>
          <w:rFonts w:ascii="Century Schoolbook" w:eastAsia="Calibri" w:hAnsi="Century Schoolbook"/>
          <w:sz w:val="26"/>
          <w:szCs w:val="22"/>
        </w:rPr>
        <w:t xml:space="preserve">: </w:t>
      </w:r>
      <w:r>
        <w:rPr>
          <w:rFonts w:ascii="Century Schoolbook" w:eastAsia="Calibri" w:hAnsi="Century Schoolbook"/>
          <w:sz w:val="26"/>
          <w:szCs w:val="22"/>
        </w:rPr>
        <w:t xml:space="preserve"> Our </w:t>
      </w:r>
      <w:r w:rsidR="006B04D0">
        <w:rPr>
          <w:rFonts w:ascii="Century Schoolbook" w:eastAsia="Calibri" w:hAnsi="Century Schoolbook"/>
          <w:sz w:val="26"/>
          <w:szCs w:val="22"/>
        </w:rPr>
        <w:t>C</w:t>
      </w:r>
      <w:r>
        <w:rPr>
          <w:rFonts w:ascii="Century Schoolbook" w:eastAsia="Calibri" w:hAnsi="Century Schoolbook"/>
          <w:sz w:val="26"/>
          <w:szCs w:val="22"/>
        </w:rPr>
        <w:t xml:space="preserve">onstitution grants counties and cities the right to operate as </w:t>
      </w:r>
      <w:r>
        <w:rPr>
          <w:rFonts w:ascii="Century Schoolbook" w:eastAsia="Calibri" w:hAnsi="Century Schoolbook"/>
          <w:i/>
          <w:iCs/>
          <w:sz w:val="26"/>
          <w:szCs w:val="22"/>
        </w:rPr>
        <w:t>“charter</w:t>
      </w:r>
      <w:r>
        <w:rPr>
          <w:rFonts w:ascii="Century Schoolbook" w:eastAsia="Calibri" w:hAnsi="Century Schoolbook"/>
          <w:sz w:val="26"/>
          <w:szCs w:val="22"/>
        </w:rPr>
        <w:t xml:space="preserve"> counties” or “</w:t>
      </w:r>
      <w:r>
        <w:rPr>
          <w:rFonts w:ascii="Century Schoolbook" w:eastAsia="Calibri" w:hAnsi="Century Schoolbook"/>
          <w:i/>
          <w:iCs/>
          <w:sz w:val="26"/>
          <w:szCs w:val="22"/>
        </w:rPr>
        <w:t xml:space="preserve">charter </w:t>
      </w:r>
      <w:r>
        <w:rPr>
          <w:rFonts w:ascii="Century Schoolbook" w:eastAsia="Calibri" w:hAnsi="Century Schoolbook"/>
          <w:sz w:val="26"/>
          <w:szCs w:val="22"/>
        </w:rPr>
        <w:t>cities</w:t>
      </w:r>
      <w:r w:rsidR="00194CC3">
        <w:rPr>
          <w:rFonts w:ascii="Century Schoolbook" w:eastAsia="Calibri" w:hAnsi="Century Schoolbook"/>
          <w:sz w:val="26"/>
          <w:szCs w:val="22"/>
        </w:rPr>
        <w:t>,” if they so choose</w:t>
      </w:r>
      <w:r w:rsidR="00FD6677">
        <w:rPr>
          <w:rFonts w:ascii="Century Schoolbook" w:eastAsia="Calibri" w:hAnsi="Century Schoolbook"/>
          <w:sz w:val="26"/>
          <w:szCs w:val="22"/>
        </w:rPr>
        <w:t xml:space="preserve">. </w:t>
      </w:r>
      <w:r w:rsidR="00F51D1D">
        <w:rPr>
          <w:rFonts w:ascii="Century Schoolbook" w:eastAsia="Calibri" w:hAnsi="Century Schoolbook"/>
          <w:sz w:val="26"/>
          <w:szCs w:val="22"/>
        </w:rPr>
        <w:t xml:space="preserve"> (Cal. Const., art. XI, § 3(a).)  Status as a charter county or charter city </w:t>
      </w:r>
      <w:r w:rsidR="00194CC3">
        <w:rPr>
          <w:rFonts w:ascii="Century Schoolbook" w:eastAsia="Calibri" w:hAnsi="Century Schoolbook"/>
          <w:sz w:val="26"/>
          <w:szCs w:val="22"/>
        </w:rPr>
        <w:t xml:space="preserve">grants </w:t>
      </w:r>
      <w:r w:rsidR="00F51D1D">
        <w:rPr>
          <w:rFonts w:ascii="Century Schoolbook" w:eastAsia="Calibri" w:hAnsi="Century Schoolbook"/>
          <w:sz w:val="26"/>
          <w:szCs w:val="22"/>
        </w:rPr>
        <w:t xml:space="preserve">those local </w:t>
      </w:r>
      <w:r w:rsidR="00194CC3">
        <w:rPr>
          <w:rFonts w:ascii="Century Schoolbook" w:eastAsia="Calibri" w:hAnsi="Century Schoolbook"/>
          <w:sz w:val="26"/>
          <w:szCs w:val="22"/>
        </w:rPr>
        <w:t>entities the power of “home rule</w:t>
      </w:r>
      <w:r w:rsidR="00F51D1D">
        <w:rPr>
          <w:rFonts w:ascii="Century Schoolbook" w:eastAsia="Calibri" w:hAnsi="Century Schoolbook"/>
          <w:sz w:val="26"/>
          <w:szCs w:val="22"/>
        </w:rPr>
        <w:t>,</w:t>
      </w:r>
      <w:r w:rsidR="00194CC3">
        <w:rPr>
          <w:rFonts w:ascii="Century Schoolbook" w:eastAsia="Calibri" w:hAnsi="Century Schoolbook"/>
          <w:sz w:val="26"/>
          <w:szCs w:val="22"/>
        </w:rPr>
        <w:t>” and hence greater autonomy to enact laws vis-à-vis the state</w:t>
      </w:r>
      <w:r w:rsidR="00F51D1D">
        <w:rPr>
          <w:rFonts w:ascii="Century Schoolbook" w:eastAsia="Calibri" w:hAnsi="Century Schoolbook"/>
          <w:sz w:val="26"/>
          <w:szCs w:val="22"/>
        </w:rPr>
        <w:t>.  (</w:t>
      </w:r>
      <w:r w:rsidR="00194CC3">
        <w:rPr>
          <w:rFonts w:ascii="Century Schoolbook" w:eastAsia="Calibri" w:hAnsi="Century Schoolbook"/>
          <w:sz w:val="26"/>
          <w:szCs w:val="22"/>
        </w:rPr>
        <w:t>Cal. Const., art. XI, §</w:t>
      </w:r>
      <w:r w:rsidR="00F51D1D">
        <w:rPr>
          <w:rFonts w:ascii="Century Schoolbook" w:eastAsia="Calibri" w:hAnsi="Century Schoolbook"/>
          <w:sz w:val="26"/>
          <w:szCs w:val="22"/>
        </w:rPr>
        <w:t xml:space="preserve">§ </w:t>
      </w:r>
      <w:r>
        <w:rPr>
          <w:rFonts w:ascii="Century Schoolbook" w:eastAsia="Calibri" w:hAnsi="Century Schoolbook"/>
          <w:sz w:val="26"/>
          <w:szCs w:val="22"/>
        </w:rPr>
        <w:t>3(a), 4</w:t>
      </w:r>
      <w:r w:rsidR="00F51D1D">
        <w:rPr>
          <w:rFonts w:ascii="Century Schoolbook" w:eastAsia="Calibri" w:hAnsi="Century Schoolbook"/>
          <w:sz w:val="26"/>
          <w:szCs w:val="22"/>
        </w:rPr>
        <w:t xml:space="preserve">(g) [charter counties], </w:t>
      </w:r>
      <w:r w:rsidR="00194CC3">
        <w:rPr>
          <w:rFonts w:ascii="Century Schoolbook" w:eastAsia="Calibri" w:hAnsi="Century Schoolbook"/>
          <w:sz w:val="26"/>
          <w:szCs w:val="22"/>
        </w:rPr>
        <w:t>5(a)</w:t>
      </w:r>
      <w:r w:rsidR="00F51D1D">
        <w:rPr>
          <w:rFonts w:ascii="Century Schoolbook" w:eastAsia="Calibri" w:hAnsi="Century Schoolbook"/>
          <w:sz w:val="26"/>
          <w:szCs w:val="22"/>
        </w:rPr>
        <w:t xml:space="preserve"> [charter cities]</w:t>
      </w:r>
      <w:r w:rsidR="00194CC3">
        <w:rPr>
          <w:rFonts w:ascii="Century Schoolbook" w:eastAsia="Calibri" w:hAnsi="Century Schoolbook"/>
          <w:sz w:val="26"/>
          <w:szCs w:val="22"/>
        </w:rPr>
        <w:t xml:space="preserve">; </w:t>
      </w:r>
      <w:r w:rsidR="00194CC3">
        <w:rPr>
          <w:rFonts w:ascii="Century Schoolbook" w:eastAsia="Calibri" w:hAnsi="Century Schoolbook"/>
          <w:i/>
          <w:iCs/>
          <w:sz w:val="26"/>
          <w:szCs w:val="22"/>
        </w:rPr>
        <w:t>Baggett v. Gates</w:t>
      </w:r>
      <w:r w:rsidR="00194CC3">
        <w:rPr>
          <w:rFonts w:ascii="Century Schoolbook" w:eastAsia="Calibri" w:hAnsi="Century Schoolbook"/>
          <w:sz w:val="26"/>
          <w:szCs w:val="22"/>
        </w:rPr>
        <w:t xml:space="preserve"> (1982) 32 Cal.3d 128, 135-136</w:t>
      </w:r>
      <w:r w:rsidR="00876C9F">
        <w:rPr>
          <w:rFonts w:ascii="Century Schoolbook" w:eastAsia="Calibri" w:hAnsi="Century Schoolbook"/>
          <w:sz w:val="26"/>
          <w:szCs w:val="22"/>
        </w:rPr>
        <w:t xml:space="preserve"> (</w:t>
      </w:r>
      <w:r w:rsidR="00876C9F">
        <w:rPr>
          <w:rFonts w:ascii="Century Schoolbook" w:eastAsia="Calibri" w:hAnsi="Century Schoolbook"/>
          <w:i/>
          <w:iCs/>
          <w:sz w:val="26"/>
          <w:szCs w:val="22"/>
        </w:rPr>
        <w:t>Baggett</w:t>
      </w:r>
      <w:r w:rsidR="00876C9F">
        <w:rPr>
          <w:rFonts w:ascii="Century Schoolbook" w:eastAsia="Calibri" w:hAnsi="Century Schoolbook"/>
          <w:sz w:val="26"/>
          <w:szCs w:val="22"/>
        </w:rPr>
        <w:t>)</w:t>
      </w:r>
      <w:r w:rsidR="00194CC3">
        <w:rPr>
          <w:rFonts w:ascii="Century Schoolbook" w:eastAsia="Calibri" w:hAnsi="Century Schoolbook"/>
          <w:sz w:val="26"/>
          <w:szCs w:val="22"/>
        </w:rPr>
        <w:t>.)</w:t>
      </w:r>
      <w:r w:rsidR="00F51D1D">
        <w:rPr>
          <w:rFonts w:ascii="Century Schoolbook" w:eastAsia="Calibri" w:hAnsi="Century Schoolbook"/>
          <w:sz w:val="26"/>
          <w:szCs w:val="22"/>
        </w:rPr>
        <w:t xml:space="preserve">  </w:t>
      </w:r>
      <w:r w:rsidR="00194CC3">
        <w:rPr>
          <w:rFonts w:ascii="Century Schoolbook" w:eastAsia="Calibri" w:hAnsi="Century Schoolbook"/>
          <w:sz w:val="26"/>
          <w:szCs w:val="22"/>
        </w:rPr>
        <w:t xml:space="preserve">Thus, our Legislature’s power to supersede local laws depends on whether the local law </w:t>
      </w:r>
      <w:r w:rsidR="00756DD2">
        <w:rPr>
          <w:rFonts w:ascii="Century Schoolbook" w:eastAsia="Calibri" w:hAnsi="Century Schoolbook"/>
          <w:sz w:val="26"/>
          <w:szCs w:val="22"/>
        </w:rPr>
        <w:t>was adopted by a</w:t>
      </w:r>
      <w:r w:rsidR="00194CC3">
        <w:rPr>
          <w:rFonts w:ascii="Century Schoolbook" w:eastAsia="Calibri" w:hAnsi="Century Schoolbook"/>
          <w:sz w:val="26"/>
          <w:szCs w:val="22"/>
        </w:rPr>
        <w:t xml:space="preserve"> </w:t>
      </w:r>
      <w:r w:rsidR="00194CC3">
        <w:rPr>
          <w:rFonts w:ascii="Century Schoolbook" w:eastAsia="Calibri" w:hAnsi="Century Schoolbook"/>
          <w:i/>
          <w:iCs/>
          <w:sz w:val="26"/>
          <w:szCs w:val="22"/>
        </w:rPr>
        <w:t>charter</w:t>
      </w:r>
      <w:r w:rsidR="00194CC3">
        <w:rPr>
          <w:rFonts w:ascii="Century Schoolbook" w:eastAsia="Calibri" w:hAnsi="Century Schoolbook"/>
          <w:sz w:val="26"/>
          <w:szCs w:val="22"/>
        </w:rPr>
        <w:t xml:space="preserve"> county or city.  A state law supersedes </w:t>
      </w:r>
      <w:r w:rsidR="00F51D1D">
        <w:rPr>
          <w:rFonts w:ascii="Century Schoolbook" w:eastAsia="Calibri" w:hAnsi="Century Schoolbook"/>
          <w:sz w:val="26"/>
          <w:szCs w:val="22"/>
        </w:rPr>
        <w:t xml:space="preserve">ordinances </w:t>
      </w:r>
      <w:r w:rsidR="00756DD2">
        <w:rPr>
          <w:rFonts w:ascii="Century Schoolbook" w:eastAsia="Calibri" w:hAnsi="Century Schoolbook"/>
          <w:sz w:val="26"/>
          <w:szCs w:val="22"/>
        </w:rPr>
        <w:t>adopted</w:t>
      </w:r>
      <w:r w:rsidR="00F51D1D">
        <w:rPr>
          <w:rFonts w:ascii="Century Schoolbook" w:eastAsia="Calibri" w:hAnsi="Century Schoolbook"/>
          <w:sz w:val="26"/>
          <w:szCs w:val="22"/>
        </w:rPr>
        <w:t xml:space="preserve"> by </w:t>
      </w:r>
      <w:r w:rsidR="00194CC3">
        <w:rPr>
          <w:rFonts w:ascii="Century Schoolbook" w:eastAsia="Calibri" w:hAnsi="Century Schoolbook"/>
          <w:sz w:val="26"/>
          <w:szCs w:val="22"/>
        </w:rPr>
        <w:t xml:space="preserve">a </w:t>
      </w:r>
      <w:r w:rsidR="00F51D1D">
        <w:rPr>
          <w:rFonts w:ascii="Century Schoolbook" w:eastAsia="Calibri" w:hAnsi="Century Schoolbook"/>
          <w:sz w:val="26"/>
          <w:szCs w:val="22"/>
        </w:rPr>
        <w:t xml:space="preserve">non-charter </w:t>
      </w:r>
      <w:r w:rsidR="00194CC3">
        <w:rPr>
          <w:rFonts w:ascii="Century Schoolbook" w:eastAsia="Calibri" w:hAnsi="Century Schoolbook"/>
          <w:sz w:val="26"/>
          <w:szCs w:val="22"/>
        </w:rPr>
        <w:t xml:space="preserve">county or city </w:t>
      </w:r>
      <w:r w:rsidR="00756DD2">
        <w:rPr>
          <w:rFonts w:ascii="Century Schoolbook" w:eastAsia="Calibri" w:hAnsi="Century Schoolbook"/>
          <w:sz w:val="26"/>
          <w:szCs w:val="22"/>
        </w:rPr>
        <w:t xml:space="preserve">upon a showing that the two </w:t>
      </w:r>
      <w:r w:rsidR="00194CC3">
        <w:rPr>
          <w:rFonts w:ascii="Century Schoolbook" w:eastAsia="Calibri" w:hAnsi="Century Schoolbook"/>
          <w:sz w:val="26"/>
          <w:szCs w:val="22"/>
        </w:rPr>
        <w:t>“conflict” (</w:t>
      </w:r>
      <w:r w:rsidR="00F51D1D">
        <w:rPr>
          <w:rFonts w:ascii="Century Schoolbook" w:eastAsia="Calibri" w:hAnsi="Century Schoolbook"/>
          <w:sz w:val="26"/>
          <w:szCs w:val="22"/>
        </w:rPr>
        <w:t xml:space="preserve">Cal. Const., art. XI, § 7; </w:t>
      </w:r>
      <w:r w:rsidR="00194CC3">
        <w:rPr>
          <w:rFonts w:ascii="Century Schoolbook" w:eastAsia="Calibri" w:hAnsi="Century Schoolbook"/>
          <w:i/>
          <w:iCs/>
          <w:sz w:val="26"/>
          <w:szCs w:val="22"/>
        </w:rPr>
        <w:t>Sherwin-Williams Co. v. City of Los Angeles</w:t>
      </w:r>
      <w:r w:rsidR="00194CC3">
        <w:rPr>
          <w:rFonts w:ascii="Century Schoolbook" w:eastAsia="Calibri" w:hAnsi="Century Schoolbook"/>
          <w:sz w:val="26"/>
          <w:szCs w:val="22"/>
        </w:rPr>
        <w:t xml:space="preserve"> (1993) 4 Cal.4th 893, 897 (</w:t>
      </w:r>
      <w:r w:rsidR="00194CC3">
        <w:rPr>
          <w:rFonts w:ascii="Century Schoolbook" w:eastAsia="Calibri" w:hAnsi="Century Schoolbook"/>
          <w:i/>
          <w:iCs/>
          <w:sz w:val="26"/>
          <w:szCs w:val="22"/>
        </w:rPr>
        <w:t>Sherwin-Williams</w:t>
      </w:r>
      <w:r w:rsidR="00194CC3">
        <w:rPr>
          <w:rFonts w:ascii="Century Schoolbook" w:eastAsia="Calibri" w:hAnsi="Century Schoolbook"/>
          <w:sz w:val="26"/>
          <w:szCs w:val="22"/>
        </w:rPr>
        <w:t>))</w:t>
      </w:r>
      <w:r w:rsidR="00F51D1D">
        <w:rPr>
          <w:rFonts w:ascii="Century Schoolbook" w:eastAsia="Calibri" w:hAnsi="Century Schoolbook"/>
          <w:sz w:val="26"/>
          <w:szCs w:val="22"/>
        </w:rPr>
        <w:t xml:space="preserve">, but a state law supersedes </w:t>
      </w:r>
      <w:r w:rsidR="00756DD2">
        <w:rPr>
          <w:rFonts w:ascii="Century Schoolbook" w:eastAsia="Calibri" w:hAnsi="Century Schoolbook"/>
          <w:sz w:val="26"/>
          <w:szCs w:val="22"/>
        </w:rPr>
        <w:t>an</w:t>
      </w:r>
      <w:r w:rsidR="00F51D1D">
        <w:rPr>
          <w:rFonts w:ascii="Century Schoolbook" w:eastAsia="Calibri" w:hAnsi="Century Schoolbook"/>
          <w:sz w:val="26"/>
          <w:szCs w:val="22"/>
        </w:rPr>
        <w:t xml:space="preserve"> ordinance</w:t>
      </w:r>
      <w:r w:rsidR="00756DD2">
        <w:rPr>
          <w:rFonts w:ascii="Century Schoolbook" w:eastAsia="Calibri" w:hAnsi="Century Schoolbook"/>
          <w:sz w:val="26"/>
          <w:szCs w:val="22"/>
        </w:rPr>
        <w:t xml:space="preserve"> </w:t>
      </w:r>
      <w:r w:rsidR="00F51D1D">
        <w:rPr>
          <w:rFonts w:ascii="Century Schoolbook" w:eastAsia="Calibri" w:hAnsi="Century Schoolbook"/>
          <w:sz w:val="26"/>
          <w:szCs w:val="22"/>
        </w:rPr>
        <w:t xml:space="preserve">enacted by a charter </w:t>
      </w:r>
      <w:r w:rsidR="00756DD2">
        <w:rPr>
          <w:rFonts w:ascii="Century Schoolbook" w:eastAsia="Calibri" w:hAnsi="Century Schoolbook"/>
          <w:i/>
          <w:iCs/>
          <w:sz w:val="26"/>
          <w:szCs w:val="22"/>
        </w:rPr>
        <w:t>city</w:t>
      </w:r>
      <w:r>
        <w:rPr>
          <w:rStyle w:val="FootnoteReference"/>
          <w:rFonts w:ascii="Century Schoolbook" w:eastAsia="Calibri" w:hAnsi="Century Schoolbook"/>
          <w:b/>
          <w:bCs/>
          <w:szCs w:val="22"/>
        </w:rPr>
        <w:footnoteReference w:id="4"/>
      </w:r>
      <w:r w:rsidRPr="008722BB">
        <w:rPr>
          <w:rFonts w:ascii="Century Schoolbook" w:eastAsia="Calibri" w:hAnsi="Century Schoolbook"/>
          <w:b/>
          <w:bCs/>
          <w:sz w:val="26"/>
          <w:szCs w:val="22"/>
        </w:rPr>
        <w:t xml:space="preserve"> </w:t>
      </w:r>
      <w:r w:rsidR="00F51D1D">
        <w:rPr>
          <w:rFonts w:ascii="Century Schoolbook" w:eastAsia="Calibri" w:hAnsi="Century Schoolbook"/>
          <w:sz w:val="26"/>
          <w:szCs w:val="22"/>
        </w:rPr>
        <w:t xml:space="preserve">as to “municipal affairs” only if </w:t>
      </w:r>
      <w:r>
        <w:rPr>
          <w:rFonts w:ascii="Century Schoolbook" w:eastAsia="Calibri" w:hAnsi="Century Schoolbook"/>
          <w:sz w:val="26"/>
          <w:szCs w:val="22"/>
        </w:rPr>
        <w:t xml:space="preserve">the two conflict </w:t>
      </w:r>
      <w:r>
        <w:rPr>
          <w:rFonts w:ascii="Century Schoolbook" w:eastAsia="Calibri" w:hAnsi="Century Schoolbook"/>
          <w:i/>
          <w:iCs/>
          <w:sz w:val="26"/>
          <w:szCs w:val="22"/>
        </w:rPr>
        <w:t xml:space="preserve">and </w:t>
      </w:r>
      <w:r w:rsidR="00F51D1D">
        <w:rPr>
          <w:rFonts w:ascii="Century Schoolbook" w:eastAsia="Calibri" w:hAnsi="Century Schoolbook"/>
          <w:sz w:val="26"/>
          <w:szCs w:val="22"/>
        </w:rPr>
        <w:t xml:space="preserve">(1) “the subject </w:t>
      </w:r>
      <w:r w:rsidR="002A10CC">
        <w:rPr>
          <w:rFonts w:ascii="Century Schoolbook" w:eastAsia="Calibri" w:hAnsi="Century Schoolbook"/>
          <w:sz w:val="26"/>
          <w:szCs w:val="22"/>
        </w:rPr>
        <w:t xml:space="preserve">matter </w:t>
      </w:r>
      <w:r w:rsidR="00F51D1D">
        <w:rPr>
          <w:rFonts w:ascii="Century Schoolbook" w:eastAsia="Calibri" w:hAnsi="Century Schoolbook"/>
          <w:sz w:val="26"/>
          <w:szCs w:val="22"/>
        </w:rPr>
        <w:t>of the [state] law is of statewide</w:t>
      </w:r>
      <w:r>
        <w:rPr>
          <w:rFonts w:ascii="Century Schoolbook" w:eastAsia="Calibri" w:hAnsi="Century Schoolbook"/>
          <w:sz w:val="26"/>
          <w:szCs w:val="22"/>
        </w:rPr>
        <w:t>” or “regional” “</w:t>
      </w:r>
      <w:r w:rsidR="00F51D1D">
        <w:rPr>
          <w:rFonts w:ascii="Century Schoolbook" w:eastAsia="Calibri" w:hAnsi="Century Schoolbook"/>
          <w:sz w:val="26"/>
          <w:szCs w:val="22"/>
        </w:rPr>
        <w:t>concern”</w:t>
      </w:r>
      <w:r>
        <w:rPr>
          <w:rFonts w:ascii="Century Schoolbook" w:eastAsia="Calibri" w:hAnsi="Century Schoolbook"/>
          <w:sz w:val="26"/>
          <w:szCs w:val="22"/>
        </w:rPr>
        <w:t xml:space="preserve"> (</w:t>
      </w:r>
      <w:r>
        <w:rPr>
          <w:rFonts w:ascii="Century Schoolbook" w:eastAsia="Calibri" w:hAnsi="Century Schoolbook"/>
          <w:i/>
          <w:iCs/>
          <w:sz w:val="26"/>
          <w:szCs w:val="22"/>
        </w:rPr>
        <w:t xml:space="preserve">Professional Fire Fighters, Inc. v. Los Angeles </w:t>
      </w:r>
      <w:r>
        <w:rPr>
          <w:rFonts w:ascii="Century Schoolbook" w:eastAsia="Calibri" w:hAnsi="Century Schoolbook"/>
          <w:sz w:val="26"/>
          <w:szCs w:val="22"/>
        </w:rPr>
        <w:t>(1963</w:t>
      </w:r>
      <w:r w:rsidR="009D4AA5">
        <w:rPr>
          <w:rFonts w:ascii="Century Schoolbook" w:eastAsia="Calibri" w:hAnsi="Century Schoolbook"/>
          <w:sz w:val="26"/>
          <w:szCs w:val="22"/>
        </w:rPr>
        <w:t>)</w:t>
      </w:r>
      <w:r>
        <w:rPr>
          <w:rFonts w:ascii="Century Schoolbook" w:eastAsia="Calibri" w:hAnsi="Century Schoolbook"/>
          <w:sz w:val="26"/>
          <w:szCs w:val="22"/>
        </w:rPr>
        <w:t xml:space="preserve"> 60 Cal.2d 276, 292; </w:t>
      </w:r>
      <w:r>
        <w:rPr>
          <w:rFonts w:ascii="Century Schoolbook" w:eastAsia="Calibri" w:hAnsi="Century Schoolbook"/>
          <w:i/>
          <w:iCs/>
          <w:sz w:val="26"/>
          <w:szCs w:val="22"/>
        </w:rPr>
        <w:t xml:space="preserve">Committee of Seven Thousand v. Superior Court </w:t>
      </w:r>
      <w:r>
        <w:rPr>
          <w:rFonts w:ascii="Century Schoolbook" w:eastAsia="Calibri" w:hAnsi="Century Schoolbook"/>
          <w:sz w:val="26"/>
          <w:szCs w:val="22"/>
        </w:rPr>
        <w:t>(1988) 45 Cal.3d 491, 500, 505, 510 (</w:t>
      </w:r>
      <w:r w:rsidRPr="00B45987" w:rsidR="00EA6CC6">
        <w:rPr>
          <w:rFonts w:ascii="Century Schoolbook" w:eastAsia="Calibri" w:hAnsi="Century Schoolbook"/>
          <w:i/>
          <w:iCs/>
          <w:sz w:val="26"/>
          <w:szCs w:val="22"/>
        </w:rPr>
        <w:t>Committee of</w:t>
      </w:r>
      <w:r w:rsidR="00EA6CC6">
        <w:rPr>
          <w:rFonts w:ascii="Century Schoolbook" w:eastAsia="Calibri" w:hAnsi="Century Schoolbook"/>
          <w:sz w:val="26"/>
          <w:szCs w:val="22"/>
        </w:rPr>
        <w:t xml:space="preserve"> </w:t>
      </w:r>
      <w:r w:rsidR="00346478">
        <w:rPr>
          <w:rFonts w:ascii="Century Schoolbook" w:eastAsia="Calibri" w:hAnsi="Century Schoolbook"/>
          <w:i/>
          <w:iCs/>
          <w:sz w:val="26"/>
          <w:szCs w:val="22"/>
        </w:rPr>
        <w:t>Seven Thousand</w:t>
      </w:r>
      <w:r>
        <w:rPr>
          <w:rFonts w:ascii="Century Schoolbook" w:eastAsia="Calibri" w:hAnsi="Century Schoolbook"/>
          <w:sz w:val="26"/>
          <w:szCs w:val="22"/>
        </w:rPr>
        <w:t xml:space="preserve">); </w:t>
      </w:r>
      <w:r>
        <w:rPr>
          <w:rFonts w:ascii="Century Schoolbook" w:eastAsia="Calibri" w:hAnsi="Century Schoolbook"/>
          <w:i/>
          <w:iCs/>
          <w:sz w:val="26"/>
          <w:szCs w:val="22"/>
        </w:rPr>
        <w:t xml:space="preserve">DeVita v. County of Napa </w:t>
      </w:r>
      <w:r>
        <w:rPr>
          <w:rFonts w:ascii="Century Schoolbook" w:eastAsia="Calibri" w:hAnsi="Century Schoolbook"/>
          <w:sz w:val="26"/>
          <w:szCs w:val="22"/>
        </w:rPr>
        <w:t>(1995) 9 Cal.4th 763, 783-784 (</w:t>
      </w:r>
      <w:r>
        <w:rPr>
          <w:rFonts w:ascii="Century Schoolbook" w:eastAsia="Calibri" w:hAnsi="Century Schoolbook"/>
          <w:i/>
          <w:iCs/>
          <w:sz w:val="26"/>
          <w:szCs w:val="22"/>
        </w:rPr>
        <w:t>DeVita</w:t>
      </w:r>
      <w:r>
        <w:rPr>
          <w:rFonts w:ascii="Century Schoolbook" w:eastAsia="Calibri" w:hAnsi="Century Schoolbook"/>
          <w:sz w:val="26"/>
          <w:szCs w:val="22"/>
        </w:rPr>
        <w:t xml:space="preserve">); </w:t>
      </w:r>
      <w:r w:rsidR="00626398">
        <w:rPr>
          <w:rFonts w:ascii="Century Schoolbook" w:eastAsia="Calibri" w:hAnsi="Century Schoolbook"/>
          <w:i/>
          <w:iCs/>
          <w:sz w:val="26"/>
          <w:szCs w:val="22"/>
        </w:rPr>
        <w:t xml:space="preserve">City of </w:t>
      </w:r>
      <w:r>
        <w:rPr>
          <w:rFonts w:ascii="Century Schoolbook" w:eastAsia="Calibri" w:hAnsi="Century Schoolbook"/>
          <w:i/>
          <w:iCs/>
          <w:sz w:val="26"/>
          <w:szCs w:val="22"/>
        </w:rPr>
        <w:t xml:space="preserve">Santa Clara v. Von Raesfeld </w:t>
      </w:r>
      <w:r>
        <w:rPr>
          <w:rFonts w:ascii="Century Schoolbook" w:eastAsia="Calibri" w:hAnsi="Century Schoolbook"/>
          <w:sz w:val="26"/>
          <w:szCs w:val="22"/>
        </w:rPr>
        <w:t>(1970) 3 Cal.3d 239, 245-246 (</w:t>
      </w:r>
      <w:r>
        <w:rPr>
          <w:rFonts w:ascii="Century Schoolbook" w:eastAsia="Calibri" w:hAnsi="Century Schoolbook"/>
          <w:i/>
          <w:iCs/>
          <w:sz w:val="26"/>
          <w:szCs w:val="22"/>
        </w:rPr>
        <w:t>Von Raesfeld</w:t>
      </w:r>
      <w:r>
        <w:rPr>
          <w:rFonts w:ascii="Century Schoolbook" w:eastAsia="Calibri" w:hAnsi="Century Schoolbook"/>
          <w:sz w:val="26"/>
          <w:szCs w:val="22"/>
        </w:rPr>
        <w:t>)</w:t>
      </w:r>
      <w:r w:rsidR="00254E96">
        <w:rPr>
          <w:rFonts w:ascii="Century Schoolbook" w:eastAsia="Calibri" w:hAnsi="Century Schoolbook"/>
          <w:sz w:val="26"/>
          <w:szCs w:val="22"/>
        </w:rPr>
        <w:t>)</w:t>
      </w:r>
      <w:r>
        <w:rPr>
          <w:rFonts w:ascii="Century Schoolbook" w:eastAsia="Calibri" w:hAnsi="Century Schoolbook"/>
          <w:sz w:val="26"/>
          <w:szCs w:val="22"/>
        </w:rPr>
        <w:t xml:space="preserve">; </w:t>
      </w:r>
      <w:r w:rsidR="00F51D1D">
        <w:rPr>
          <w:rFonts w:ascii="Century Schoolbook" w:eastAsia="Calibri" w:hAnsi="Century Schoolbook"/>
          <w:sz w:val="26"/>
          <w:szCs w:val="22"/>
        </w:rPr>
        <w:t>and (2) the state law “is reasonably related to [the] resolution” of that concern</w:t>
      </w:r>
      <w:r>
        <w:rPr>
          <w:rFonts w:ascii="Century Schoolbook" w:eastAsia="Calibri" w:hAnsi="Century Schoolbook"/>
          <w:sz w:val="26"/>
          <w:szCs w:val="22"/>
        </w:rPr>
        <w:t xml:space="preserve"> (</w:t>
      </w:r>
      <w:r>
        <w:rPr>
          <w:rFonts w:ascii="Century Schoolbook" w:eastAsia="Calibri" w:hAnsi="Century Schoolbook"/>
          <w:i/>
          <w:iCs/>
          <w:sz w:val="26"/>
          <w:szCs w:val="22"/>
        </w:rPr>
        <w:t>California Fed</w:t>
      </w:r>
      <w:r w:rsidR="006B7012">
        <w:rPr>
          <w:rFonts w:ascii="Century Schoolbook" w:eastAsia="Calibri" w:hAnsi="Century Schoolbook"/>
          <w:i/>
          <w:iCs/>
          <w:sz w:val="26"/>
          <w:szCs w:val="22"/>
        </w:rPr>
        <w:t>eral</w:t>
      </w:r>
      <w:r>
        <w:rPr>
          <w:rFonts w:ascii="Century Schoolbook" w:eastAsia="Calibri" w:hAnsi="Century Schoolbook"/>
          <w:i/>
          <w:iCs/>
          <w:sz w:val="26"/>
          <w:szCs w:val="22"/>
        </w:rPr>
        <w:t xml:space="preserve"> Savings &amp; Loan Assn. v. City of Los Angeles </w:t>
      </w:r>
      <w:r>
        <w:rPr>
          <w:rFonts w:ascii="Century Schoolbook" w:eastAsia="Calibri" w:hAnsi="Century Schoolbook"/>
          <w:sz w:val="26"/>
          <w:szCs w:val="22"/>
        </w:rPr>
        <w:t xml:space="preserve">(1991) 54 Cal.3d 1, 17; </w:t>
      </w:r>
      <w:r>
        <w:rPr>
          <w:rFonts w:ascii="Century Schoolbook" w:eastAsia="Calibri" w:hAnsi="Century Schoolbook"/>
          <w:i/>
          <w:iCs/>
          <w:sz w:val="26"/>
          <w:szCs w:val="22"/>
        </w:rPr>
        <w:t xml:space="preserve">City of Los Angeles v. California </w:t>
      </w:r>
      <w:r>
        <w:rPr>
          <w:rFonts w:ascii="Century Schoolbook" w:eastAsia="Calibri" w:hAnsi="Century Schoolbook"/>
          <w:sz w:val="26"/>
          <w:szCs w:val="22"/>
        </w:rPr>
        <w:t>(1982) 138 Cal.App.3d 526, 533</w:t>
      </w:r>
      <w:r w:rsidR="00EB67A0">
        <w:rPr>
          <w:rFonts w:ascii="Century Schoolbook" w:eastAsia="Calibri" w:hAnsi="Century Schoolbook"/>
          <w:sz w:val="26"/>
          <w:szCs w:val="22"/>
        </w:rPr>
        <w:t xml:space="preserve"> (</w:t>
      </w:r>
      <w:r w:rsidR="00EB67A0">
        <w:rPr>
          <w:rFonts w:ascii="Century Schoolbook" w:eastAsia="Calibri" w:hAnsi="Century Schoolbook"/>
          <w:i/>
          <w:iCs/>
          <w:sz w:val="26"/>
          <w:szCs w:val="22"/>
        </w:rPr>
        <w:t>City of Los Angeles</w:t>
      </w:r>
      <w:r w:rsidR="00EB67A0">
        <w:rPr>
          <w:rFonts w:ascii="Century Schoolbook" w:eastAsia="Calibri" w:hAnsi="Century Schoolbook"/>
          <w:sz w:val="26"/>
          <w:szCs w:val="22"/>
        </w:rPr>
        <w:t>)</w:t>
      </w:r>
      <w:r>
        <w:rPr>
          <w:rFonts w:ascii="Century Schoolbook" w:eastAsia="Calibri" w:hAnsi="Century Schoolbook"/>
          <w:sz w:val="26"/>
          <w:szCs w:val="22"/>
        </w:rPr>
        <w:t xml:space="preserve"> [state law may “impinge upon local control only to the limited degree necessary to further legitimate state interests”]).</w:t>
      </w:r>
      <w:r>
        <w:rPr>
          <w:rStyle w:val="FootnoteReference"/>
          <w:rFonts w:ascii="Century Schoolbook" w:eastAsia="Calibri" w:hAnsi="Century Schoolbook"/>
          <w:b/>
          <w:bCs/>
          <w:szCs w:val="22"/>
        </w:rPr>
        <w:footnoteReference w:id="5"/>
      </w:r>
    </w:p>
    <w:p w:rsidR="00725F2A" w:rsidP="00BD5754" w14:paraId="30487826" w14:textId="0B202CAC">
      <w:pPr>
        <w:spacing w:line="288" w:lineRule="auto"/>
        <w:rPr>
          <w:rFonts w:ascii="Century Schoolbook" w:eastAsia="Calibri" w:hAnsi="Century Schoolbook"/>
          <w:sz w:val="26"/>
          <w:szCs w:val="22"/>
        </w:rPr>
      </w:pPr>
      <w:r>
        <w:rPr>
          <w:rFonts w:ascii="Century Schoolbook" w:eastAsia="Calibri" w:hAnsi="Century Schoolbook"/>
          <w:sz w:val="26"/>
          <w:szCs w:val="22"/>
        </w:rPr>
        <w:tab/>
        <w:t>Whether the subject of a state law is a matter of statewide or regional concern is ultimately a question for the courts.  (</w:t>
      </w:r>
      <w:r>
        <w:rPr>
          <w:rFonts w:ascii="Century Schoolbook" w:eastAsia="Calibri" w:hAnsi="Century Schoolbook"/>
          <w:i/>
          <w:iCs/>
          <w:sz w:val="26"/>
          <w:szCs w:val="22"/>
        </w:rPr>
        <w:t xml:space="preserve">Bishop v. San Jose </w:t>
      </w:r>
      <w:r>
        <w:rPr>
          <w:rFonts w:ascii="Century Schoolbook" w:eastAsia="Calibri" w:hAnsi="Century Schoolbook"/>
          <w:sz w:val="26"/>
          <w:szCs w:val="22"/>
        </w:rPr>
        <w:t>(1969) 1 Cal.3d 56, 63</w:t>
      </w:r>
      <w:r w:rsidR="00E23261">
        <w:rPr>
          <w:rFonts w:ascii="Century Schoolbook" w:eastAsia="Calibri" w:hAnsi="Century Schoolbook"/>
          <w:sz w:val="26"/>
          <w:szCs w:val="22"/>
        </w:rPr>
        <w:t xml:space="preserve">, overruled on another ground in </w:t>
      </w:r>
      <w:r w:rsidRPr="008722BB" w:rsidR="00E23261">
        <w:rPr>
          <w:rFonts w:ascii="Century Schoolbook" w:eastAsia="Calibri" w:hAnsi="Century Schoolbook"/>
          <w:i/>
          <w:iCs/>
          <w:sz w:val="26"/>
          <w:szCs w:val="22"/>
        </w:rPr>
        <w:t>Mendoza v. Fonseca McElroy Grinding Co., Inc.</w:t>
      </w:r>
      <w:r w:rsidR="00E23261">
        <w:rPr>
          <w:rFonts w:ascii="Century Schoolbook" w:eastAsia="Calibri" w:hAnsi="Century Schoolbook"/>
          <w:sz w:val="26"/>
          <w:szCs w:val="22"/>
        </w:rPr>
        <w:t xml:space="preserve"> (2021) 11 Cal.5th 1118</w:t>
      </w:r>
      <w:r>
        <w:rPr>
          <w:rFonts w:ascii="Century Schoolbook" w:eastAsia="Calibri" w:hAnsi="Century Schoolbook"/>
          <w:sz w:val="26"/>
          <w:szCs w:val="22"/>
        </w:rPr>
        <w:t xml:space="preserve">.)  In </w:t>
      </w:r>
      <w:r w:rsidR="00200EE2">
        <w:rPr>
          <w:rFonts w:ascii="Century Schoolbook" w:eastAsia="Calibri" w:hAnsi="Century Schoolbook"/>
          <w:sz w:val="26"/>
          <w:szCs w:val="22"/>
        </w:rPr>
        <w:t xml:space="preserve">addressing </w:t>
      </w:r>
      <w:r>
        <w:rPr>
          <w:rFonts w:ascii="Century Schoolbook" w:eastAsia="Calibri" w:hAnsi="Century Schoolbook"/>
          <w:sz w:val="26"/>
          <w:szCs w:val="22"/>
        </w:rPr>
        <w:t xml:space="preserve">this </w:t>
      </w:r>
      <w:r w:rsidR="00200EE2">
        <w:rPr>
          <w:rFonts w:ascii="Century Schoolbook" w:eastAsia="Calibri" w:hAnsi="Century Schoolbook"/>
          <w:sz w:val="26"/>
          <w:szCs w:val="22"/>
        </w:rPr>
        <w:t>question</w:t>
      </w:r>
      <w:r>
        <w:rPr>
          <w:rFonts w:ascii="Century Schoolbook" w:eastAsia="Calibri" w:hAnsi="Century Schoolbook"/>
          <w:sz w:val="26"/>
          <w:szCs w:val="22"/>
        </w:rPr>
        <w:t xml:space="preserve">, a </w:t>
      </w:r>
      <w:r w:rsidR="00703D66">
        <w:rPr>
          <w:rFonts w:ascii="Century Schoolbook" w:eastAsia="Calibri" w:hAnsi="Century Schoolbook"/>
          <w:sz w:val="26"/>
          <w:szCs w:val="22"/>
        </w:rPr>
        <w:t xml:space="preserve">state </w:t>
      </w:r>
      <w:r>
        <w:rPr>
          <w:rFonts w:ascii="Century Schoolbook" w:eastAsia="Calibri" w:hAnsi="Century Schoolbook"/>
          <w:sz w:val="26"/>
          <w:szCs w:val="22"/>
        </w:rPr>
        <w:t xml:space="preserve">law is more likely to be one of statewide or regional concern if (1) the law’s subject has been traditionally regulated at the state rather than local level, bearing in mind that what </w:t>
      </w:r>
      <w:r w:rsidR="00C652D3">
        <w:rPr>
          <w:rFonts w:ascii="Century Schoolbook" w:eastAsia="Calibri" w:hAnsi="Century Schoolbook"/>
          <w:sz w:val="26"/>
          <w:szCs w:val="22"/>
        </w:rPr>
        <w:t>constitutes a</w:t>
      </w:r>
      <w:r>
        <w:rPr>
          <w:rFonts w:ascii="Century Schoolbook" w:eastAsia="Calibri" w:hAnsi="Century Schoolbook"/>
          <w:sz w:val="26"/>
          <w:szCs w:val="22"/>
        </w:rPr>
        <w:t xml:space="preserve"> statewide </w:t>
      </w:r>
      <w:r w:rsidR="00C652D3">
        <w:rPr>
          <w:rFonts w:ascii="Century Schoolbook" w:eastAsia="Calibri" w:hAnsi="Century Schoolbook"/>
          <w:sz w:val="26"/>
          <w:szCs w:val="22"/>
        </w:rPr>
        <w:t xml:space="preserve">concern </w:t>
      </w:r>
      <w:r>
        <w:rPr>
          <w:rFonts w:ascii="Century Schoolbook" w:eastAsia="Calibri" w:hAnsi="Century Schoolbook"/>
          <w:sz w:val="26"/>
          <w:szCs w:val="22"/>
        </w:rPr>
        <w:t xml:space="preserve">can evolve over time </w:t>
      </w:r>
      <w:r w:rsidR="00723D4B">
        <w:rPr>
          <w:rFonts w:ascii="Century Schoolbook" w:eastAsia="Calibri" w:hAnsi="Century Schoolbook"/>
          <w:sz w:val="26"/>
          <w:szCs w:val="22"/>
        </w:rPr>
        <w:t>“in response to changing conditions in society”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sidRPr="008722BB" w:rsidR="00723D4B">
        <w:rPr>
          <w:rFonts w:ascii="Century Schoolbook" w:eastAsia="Calibri" w:hAnsi="Century Schoolbook"/>
          <w:sz w:val="26"/>
          <w:szCs w:val="22"/>
        </w:rPr>
        <w:t xml:space="preserve">, </w:t>
      </w:r>
      <w:r w:rsidR="00723D4B">
        <w:rPr>
          <w:rFonts w:ascii="Century Schoolbook" w:eastAsia="Calibri" w:hAnsi="Century Schoolbook"/>
          <w:i/>
          <w:iCs/>
          <w:sz w:val="26"/>
          <w:szCs w:val="22"/>
        </w:rPr>
        <w:t>supra</w:t>
      </w:r>
      <w:r w:rsidR="00723D4B">
        <w:rPr>
          <w:rFonts w:ascii="Century Schoolbook" w:eastAsia="Calibri" w:hAnsi="Century Schoolbook"/>
          <w:sz w:val="26"/>
          <w:szCs w:val="22"/>
        </w:rPr>
        <w:t xml:space="preserve">, 45 Cal.3d at p. 505; </w:t>
      </w:r>
      <w:r w:rsidR="00723D4B">
        <w:rPr>
          <w:rFonts w:ascii="Century Schoolbook" w:eastAsia="Calibri" w:hAnsi="Century Schoolbook"/>
          <w:i/>
          <w:iCs/>
          <w:sz w:val="26"/>
          <w:szCs w:val="22"/>
        </w:rPr>
        <w:t xml:space="preserve">Pacific Tel. &amp; Tel. Co. v. City &amp; County of San Francisco </w:t>
      </w:r>
      <w:r w:rsidR="00723D4B">
        <w:rPr>
          <w:rFonts w:ascii="Century Schoolbook" w:eastAsia="Calibri" w:hAnsi="Century Schoolbook"/>
          <w:sz w:val="26"/>
          <w:szCs w:val="22"/>
        </w:rPr>
        <w:t xml:space="preserve">(1959) 51 Cal.2d 766, 771; </w:t>
      </w:r>
      <w:r w:rsidR="00723D4B">
        <w:rPr>
          <w:rFonts w:ascii="Century Schoolbook" w:eastAsia="Calibri" w:hAnsi="Century Schoolbook"/>
          <w:i/>
          <w:iCs/>
          <w:sz w:val="26"/>
          <w:szCs w:val="22"/>
        </w:rPr>
        <w:t>Von Raesfeld</w:t>
      </w:r>
      <w:r w:rsidRPr="008722BB" w:rsidR="00723D4B">
        <w:rPr>
          <w:rFonts w:ascii="Century Schoolbook" w:eastAsia="Calibri" w:hAnsi="Century Schoolbook"/>
          <w:sz w:val="26"/>
          <w:szCs w:val="22"/>
        </w:rPr>
        <w:t>,</w:t>
      </w:r>
      <w:r w:rsidR="00723D4B">
        <w:rPr>
          <w:rFonts w:ascii="Century Schoolbook" w:eastAsia="Calibri" w:hAnsi="Century Schoolbook"/>
          <w:i/>
          <w:iCs/>
          <w:sz w:val="26"/>
          <w:szCs w:val="22"/>
        </w:rPr>
        <w:t xml:space="preserve"> supra</w:t>
      </w:r>
      <w:r w:rsidR="00723D4B">
        <w:rPr>
          <w:rFonts w:ascii="Century Schoolbook" w:eastAsia="Calibri" w:hAnsi="Century Schoolbook"/>
          <w:sz w:val="26"/>
          <w:szCs w:val="22"/>
        </w:rPr>
        <w:t>, 3 Cal.3d at p. 246</w:t>
      </w:r>
      <w:r>
        <w:rPr>
          <w:rFonts w:ascii="Century Schoolbook" w:eastAsia="Calibri" w:hAnsi="Century Schoolbook"/>
          <w:sz w:val="26"/>
          <w:szCs w:val="22"/>
        </w:rPr>
        <w:t>)</w:t>
      </w:r>
      <w:r w:rsidR="00FA2EB8">
        <w:rPr>
          <w:rFonts w:ascii="Century Schoolbook" w:eastAsia="Calibri" w:hAnsi="Century Schoolbook"/>
          <w:sz w:val="26"/>
          <w:szCs w:val="22"/>
        </w:rPr>
        <w:t>;</w:t>
      </w:r>
      <w:r>
        <w:rPr>
          <w:rFonts w:ascii="Century Schoolbook" w:eastAsia="Calibri" w:hAnsi="Century Schoolbook"/>
          <w:sz w:val="26"/>
          <w:szCs w:val="22"/>
        </w:rPr>
        <w:t xml:space="preserve"> (2) the law is one of “broad general application” rather than “narrow and particularized” (</w:t>
      </w:r>
      <w:r w:rsidR="00723D4B">
        <w:rPr>
          <w:rFonts w:ascii="Century Schoolbook" w:eastAsia="Calibri" w:hAnsi="Century Schoolbook"/>
          <w:i/>
          <w:iCs/>
          <w:sz w:val="26"/>
          <w:szCs w:val="22"/>
        </w:rPr>
        <w:t>State Building &amp; Constr</w:t>
      </w:r>
      <w:r w:rsidR="006A3CD0">
        <w:rPr>
          <w:rFonts w:ascii="Century Schoolbook" w:eastAsia="Calibri" w:hAnsi="Century Schoolbook"/>
          <w:i/>
          <w:iCs/>
          <w:sz w:val="26"/>
          <w:szCs w:val="22"/>
        </w:rPr>
        <w:t>uction</w:t>
      </w:r>
      <w:r w:rsidR="00723D4B">
        <w:rPr>
          <w:rFonts w:ascii="Century Schoolbook" w:eastAsia="Calibri" w:hAnsi="Century Schoolbook"/>
          <w:i/>
          <w:iCs/>
          <w:sz w:val="26"/>
          <w:szCs w:val="22"/>
        </w:rPr>
        <w:t xml:space="preserve"> Trades Council of California v. City of Vista </w:t>
      </w:r>
      <w:r w:rsidR="00723D4B">
        <w:rPr>
          <w:rFonts w:ascii="Century Schoolbook" w:eastAsia="Calibri" w:hAnsi="Century Schoolbook"/>
          <w:sz w:val="26"/>
          <w:szCs w:val="22"/>
        </w:rPr>
        <w:t>(2012) 54 Cal.4th 547, 564</w:t>
      </w:r>
      <w:r>
        <w:rPr>
          <w:rFonts w:ascii="Century Schoolbook" w:eastAsia="Calibri" w:hAnsi="Century Schoolbook"/>
          <w:sz w:val="26"/>
          <w:szCs w:val="22"/>
        </w:rPr>
        <w:t>)</w:t>
      </w:r>
      <w:r w:rsidR="00FA2EB8">
        <w:rPr>
          <w:rFonts w:ascii="Century Schoolbook" w:eastAsia="Calibri" w:hAnsi="Century Schoolbook"/>
          <w:sz w:val="26"/>
          <w:szCs w:val="22"/>
        </w:rPr>
        <w:t>;</w:t>
      </w:r>
      <w:r>
        <w:rPr>
          <w:rFonts w:ascii="Century Schoolbook" w:eastAsia="Calibri" w:hAnsi="Century Schoolbook"/>
          <w:sz w:val="26"/>
          <w:szCs w:val="22"/>
        </w:rPr>
        <w:t xml:space="preserve"> </w:t>
      </w:r>
      <w:r w:rsidR="007E119A">
        <w:rPr>
          <w:rFonts w:ascii="Century Schoolbook" w:eastAsia="Calibri" w:hAnsi="Century Schoolbook"/>
          <w:sz w:val="26"/>
          <w:szCs w:val="22"/>
        </w:rPr>
        <w:t xml:space="preserve">or </w:t>
      </w:r>
      <w:r>
        <w:rPr>
          <w:rFonts w:ascii="Century Schoolbook" w:eastAsia="Calibri" w:hAnsi="Century Schoolbook"/>
          <w:sz w:val="26"/>
          <w:szCs w:val="22"/>
        </w:rPr>
        <w:t>(3) our Legislature has declared the law to entail issues of statewide concern, as such a declaration—while not dispositive—is entitled to “great weight” (</w:t>
      </w:r>
      <w:r w:rsidR="00723D4B">
        <w:rPr>
          <w:rFonts w:ascii="Century Schoolbook" w:eastAsia="Calibri" w:hAnsi="Century Schoolbook"/>
          <w:i/>
          <w:iCs/>
          <w:sz w:val="26"/>
          <w:szCs w:val="22"/>
        </w:rPr>
        <w:t>Vista</w:t>
      </w:r>
      <w:r w:rsidR="00723D4B">
        <w:rPr>
          <w:rFonts w:ascii="Century Schoolbook" w:eastAsia="Calibri" w:hAnsi="Century Schoolbook"/>
          <w:sz w:val="26"/>
          <w:szCs w:val="22"/>
        </w:rPr>
        <w:t xml:space="preserve">, at p. 565; </w:t>
      </w:r>
      <w:r w:rsidR="00723D4B">
        <w:rPr>
          <w:rFonts w:ascii="Century Schoolbook" w:eastAsia="Calibri" w:hAnsi="Century Schoolbook"/>
          <w:i/>
          <w:iCs/>
          <w:sz w:val="26"/>
          <w:szCs w:val="22"/>
        </w:rPr>
        <w:t>Bishop</w:t>
      </w:r>
      <w:r w:rsidR="00723D4B">
        <w:rPr>
          <w:rFonts w:ascii="Century Schoolbook" w:eastAsia="Calibri" w:hAnsi="Century Schoolbook"/>
          <w:sz w:val="26"/>
          <w:szCs w:val="22"/>
        </w:rPr>
        <w:t>, at p. 63</w:t>
      </w:r>
      <w:r>
        <w:rPr>
          <w:rFonts w:ascii="Century Schoolbook" w:eastAsia="Calibri" w:hAnsi="Century Schoolbook"/>
          <w:sz w:val="26"/>
          <w:szCs w:val="22"/>
        </w:rPr>
        <w:t>).  Close questions are to be resolved in favor of the validity of the state law.  (</w:t>
      </w:r>
      <w:r w:rsidR="00723D4B">
        <w:rPr>
          <w:rFonts w:ascii="Century Schoolbook" w:eastAsia="Calibri" w:hAnsi="Century Schoolbook"/>
          <w:i/>
          <w:iCs/>
          <w:sz w:val="26"/>
          <w:szCs w:val="22"/>
        </w:rPr>
        <w:t>Baggett</w:t>
      </w:r>
      <w:r w:rsidRPr="008722BB" w:rsidR="00723D4B">
        <w:rPr>
          <w:rFonts w:ascii="Century Schoolbook" w:eastAsia="Calibri" w:hAnsi="Century Schoolbook"/>
          <w:sz w:val="26"/>
          <w:szCs w:val="22"/>
        </w:rPr>
        <w:t xml:space="preserve">, </w:t>
      </w:r>
      <w:r w:rsidR="00723D4B">
        <w:rPr>
          <w:rFonts w:ascii="Century Schoolbook" w:eastAsia="Calibri" w:hAnsi="Century Schoolbook"/>
          <w:i/>
          <w:iCs/>
          <w:sz w:val="26"/>
          <w:szCs w:val="22"/>
        </w:rPr>
        <w:t>supra</w:t>
      </w:r>
      <w:r w:rsidR="00723D4B">
        <w:rPr>
          <w:rFonts w:ascii="Century Schoolbook" w:eastAsia="Calibri" w:hAnsi="Century Schoolbook"/>
          <w:sz w:val="26"/>
          <w:szCs w:val="22"/>
        </w:rPr>
        <w:t>, 32 Cal.3d at p. 140</w:t>
      </w:r>
      <w:r w:rsidR="000602CA">
        <w:rPr>
          <w:rFonts w:ascii="Century Schoolbook" w:eastAsia="Calibri" w:hAnsi="Century Schoolbook"/>
          <w:sz w:val="26"/>
          <w:szCs w:val="22"/>
        </w:rPr>
        <w:t>.</w:t>
      </w:r>
      <w:r>
        <w:rPr>
          <w:rFonts w:ascii="Century Schoolbook" w:eastAsia="Calibri" w:hAnsi="Century Schoolbook"/>
          <w:sz w:val="26"/>
          <w:szCs w:val="22"/>
        </w:rPr>
        <w:t xml:space="preserve">)  </w:t>
      </w:r>
    </w:p>
    <w:p w:rsidR="00725F2A" w:rsidP="00BD5754" w14:paraId="0CF1AEAB" w14:textId="14F0A1E8">
      <w:pPr>
        <w:spacing w:line="288" w:lineRule="auto"/>
        <w:rPr>
          <w:rFonts w:ascii="Century Schoolbook" w:eastAsia="Calibri" w:hAnsi="Century Schoolbook"/>
          <w:sz w:val="26"/>
          <w:szCs w:val="22"/>
        </w:rPr>
      </w:pPr>
      <w:r>
        <w:rPr>
          <w:rFonts w:ascii="Century Schoolbook" w:eastAsia="Calibri" w:hAnsi="Century Schoolbook"/>
          <w:sz w:val="26"/>
          <w:szCs w:val="22"/>
        </w:rPr>
        <w:tab/>
      </w:r>
      <w:r w:rsidR="005405EE">
        <w:rPr>
          <w:rFonts w:ascii="Century Schoolbook" w:eastAsia="Calibri" w:hAnsi="Century Schoolbook"/>
          <w:sz w:val="26"/>
          <w:szCs w:val="22"/>
        </w:rPr>
        <w:t>Our Legislature in enacting Senate Bill 10 affirmatively declared that the “provision of adequate housing, in light of the severe shortage of housing at all income levels in this state, is a matter of statewide concern.”  (§ 65913.5, subd. (f).)  Petitioners did not attack this declaration before the trial court, but they—and amic</w:t>
      </w:r>
      <w:r w:rsidR="00F924E0">
        <w:rPr>
          <w:rFonts w:ascii="Century Schoolbook" w:eastAsia="Calibri" w:hAnsi="Century Schoolbook"/>
          <w:sz w:val="26"/>
          <w:szCs w:val="22"/>
        </w:rPr>
        <w:t>i curiae</w:t>
      </w:r>
      <w:r w:rsidR="00CF6A45">
        <w:rPr>
          <w:rFonts w:ascii="Century Schoolbook" w:eastAsia="Calibri" w:hAnsi="Century Schoolbook"/>
          <w:sz w:val="26"/>
          <w:szCs w:val="22"/>
        </w:rPr>
        <w:t xml:space="preserve"> Livable California and Thousand Friends of Martinez (amici</w:t>
      </w:r>
      <w:r w:rsidR="00F924E0">
        <w:rPr>
          <w:rFonts w:ascii="Century Schoolbook" w:eastAsia="Calibri" w:hAnsi="Century Schoolbook"/>
          <w:sz w:val="26"/>
          <w:szCs w:val="22"/>
        </w:rPr>
        <w:t xml:space="preserve"> curiae</w:t>
      </w:r>
      <w:r w:rsidR="00CF6A45">
        <w:rPr>
          <w:rFonts w:ascii="Century Schoolbook" w:eastAsia="Calibri" w:hAnsi="Century Schoolbook"/>
          <w:sz w:val="26"/>
          <w:szCs w:val="22"/>
        </w:rPr>
        <w:t>)</w:t>
      </w:r>
      <w:r w:rsidR="005405EE">
        <w:rPr>
          <w:rFonts w:ascii="Century Schoolbook" w:eastAsia="Calibri" w:hAnsi="Century Schoolbook"/>
          <w:sz w:val="26"/>
          <w:szCs w:val="22"/>
        </w:rPr>
        <w:t xml:space="preserve">—do so for the first time on appeal.  </w:t>
      </w:r>
      <w:r w:rsidR="001E09A2">
        <w:rPr>
          <w:rFonts w:ascii="Century Schoolbook" w:eastAsia="Calibri" w:hAnsi="Century Schoolbook"/>
          <w:sz w:val="26"/>
          <w:szCs w:val="22"/>
        </w:rPr>
        <w:t>(</w:t>
      </w:r>
      <w:r w:rsidR="001E09A2">
        <w:rPr>
          <w:rFonts w:ascii="Century Schoolbook" w:eastAsia="Calibri" w:hAnsi="Century Schoolbook"/>
          <w:i/>
          <w:iCs/>
          <w:sz w:val="26"/>
          <w:szCs w:val="22"/>
        </w:rPr>
        <w:t xml:space="preserve">Newton v. Clemons </w:t>
      </w:r>
      <w:r w:rsidR="001E09A2">
        <w:rPr>
          <w:rFonts w:ascii="Century Schoolbook" w:eastAsia="Calibri" w:hAnsi="Century Schoolbook"/>
          <w:sz w:val="26"/>
          <w:szCs w:val="22"/>
        </w:rPr>
        <w:t>(2003) 110 Cal.App.4th 1, 11 [“‘issues raised for the first time on appeal which were</w:t>
      </w:r>
      <w:r w:rsidR="00A55C97">
        <w:rPr>
          <w:rFonts w:ascii="Century Schoolbook" w:eastAsia="Calibri" w:hAnsi="Century Schoolbook"/>
          <w:sz w:val="26"/>
          <w:szCs w:val="22"/>
        </w:rPr>
        <w:t xml:space="preserve"> </w:t>
      </w:r>
      <w:r w:rsidR="001E09A2">
        <w:rPr>
          <w:rFonts w:ascii="Century Schoolbook" w:eastAsia="Calibri" w:hAnsi="Century Schoolbook"/>
          <w:sz w:val="26"/>
          <w:szCs w:val="22"/>
        </w:rPr>
        <w:t xml:space="preserve">not litigated in the trial court are waived’”].)  </w:t>
      </w:r>
      <w:r w:rsidR="005405EE">
        <w:rPr>
          <w:rFonts w:ascii="Century Schoolbook" w:eastAsia="Calibri" w:hAnsi="Century Schoolbook"/>
          <w:sz w:val="26"/>
          <w:szCs w:val="22"/>
        </w:rPr>
        <w:t xml:space="preserve">Because the issue is squarely presented, we will overlook the </w:t>
      </w:r>
      <w:r w:rsidR="001E09A2">
        <w:rPr>
          <w:rFonts w:ascii="Century Schoolbook" w:eastAsia="Calibri" w:hAnsi="Century Schoolbook"/>
          <w:sz w:val="26"/>
          <w:szCs w:val="22"/>
        </w:rPr>
        <w:t>waiver</w:t>
      </w:r>
      <w:r w:rsidR="005405EE">
        <w:rPr>
          <w:rFonts w:ascii="Century Schoolbook" w:eastAsia="Calibri" w:hAnsi="Century Schoolbook"/>
          <w:sz w:val="26"/>
          <w:szCs w:val="22"/>
        </w:rPr>
        <w:t>.</w:t>
      </w:r>
    </w:p>
    <w:p w:rsidR="005405EE" w:rsidP="00BD5754" w14:paraId="5E2CDECD" w14:textId="18D507D9">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We hold that the shortage of housing in California addressed by Senate Bill 10 is a matter of statewide concern, and that the statute’s grant of discretion to local legislative bodies to supersede locally enacted housing density caps is reasonably related to addressing that concern.  </w:t>
      </w:r>
    </w:p>
    <w:p w:rsidR="005405EE" w:rsidP="005405EE" w14:paraId="65D2D1CF" w14:textId="5E0E1AF4">
      <w:pPr>
        <w:spacing w:line="288" w:lineRule="auto"/>
        <w:ind w:firstLine="720"/>
        <w:rPr>
          <w:rFonts w:ascii="Century Schoolbook" w:eastAsia="Calibri" w:hAnsi="Century Schoolbook"/>
          <w:sz w:val="26"/>
          <w:szCs w:val="22"/>
        </w:rPr>
      </w:pPr>
      <w:r>
        <w:rPr>
          <w:rFonts w:ascii="Century Schoolbook" w:eastAsia="Calibri" w:hAnsi="Century Schoolbook"/>
          <w:sz w:val="26"/>
          <w:szCs w:val="22"/>
        </w:rPr>
        <w:t>We reach this conclusion for several reasons.</w:t>
      </w:r>
    </w:p>
    <w:p w:rsidR="00B36D92" w:rsidP="00BD5754" w14:paraId="1862CD83" w14:textId="5EEF2E22">
      <w:pPr>
        <w:spacing w:line="288" w:lineRule="auto"/>
        <w:rPr>
          <w:rFonts w:ascii="Century Schoolbook" w:eastAsia="Calibri" w:hAnsi="Century Schoolbook"/>
          <w:sz w:val="26"/>
          <w:szCs w:val="22"/>
        </w:rPr>
      </w:pPr>
      <w:r>
        <w:rPr>
          <w:rFonts w:ascii="Century Schoolbook" w:eastAsia="Calibri" w:hAnsi="Century Schoolbook"/>
          <w:sz w:val="26"/>
          <w:szCs w:val="22"/>
        </w:rPr>
        <w:tab/>
        <w:t>First, although the subjects of land use and zoning have “</w:t>
      </w:r>
      <w:r w:rsidR="002A10CC">
        <w:rPr>
          <w:rFonts w:ascii="Century Schoolbook" w:eastAsia="Calibri" w:hAnsi="Century Schoolbook"/>
          <w:sz w:val="26"/>
          <w:szCs w:val="22"/>
        </w:rPr>
        <w:t>‘</w:t>
      </w:r>
      <w:r>
        <w:rPr>
          <w:rFonts w:ascii="Century Schoolbook" w:eastAsia="Calibri" w:hAnsi="Century Schoolbook"/>
          <w:sz w:val="26"/>
          <w:szCs w:val="22"/>
        </w:rPr>
        <w:t>historically</w:t>
      </w:r>
      <w:r w:rsidR="002A10CC">
        <w:rPr>
          <w:rFonts w:ascii="Century Schoolbook" w:eastAsia="Calibri" w:hAnsi="Century Schoolbook"/>
          <w:sz w:val="26"/>
          <w:szCs w:val="22"/>
        </w:rPr>
        <w:t>’</w:t>
      </w:r>
      <w:r>
        <w:rPr>
          <w:rFonts w:ascii="Century Schoolbook" w:eastAsia="Calibri" w:hAnsi="Century Schoolbook"/>
          <w:sz w:val="26"/>
          <w:szCs w:val="22"/>
        </w:rPr>
        <w:t>” and “traditionally” “</w:t>
      </w:r>
      <w:r w:rsidR="006105D5">
        <w:rPr>
          <w:rFonts w:ascii="Century Schoolbook" w:eastAsia="Calibri" w:hAnsi="Century Schoolbook"/>
          <w:sz w:val="26"/>
          <w:szCs w:val="22"/>
        </w:rPr>
        <w:t>‘</w:t>
      </w:r>
      <w:r>
        <w:rPr>
          <w:rFonts w:ascii="Century Schoolbook" w:eastAsia="Calibri" w:hAnsi="Century Schoolbook"/>
          <w:sz w:val="26"/>
          <w:szCs w:val="22"/>
        </w:rPr>
        <w:t>been a function of local government under the grant of police power</w:t>
      </w:r>
      <w:r w:rsidR="006105D5">
        <w:rPr>
          <w:rFonts w:ascii="Century Schoolbook" w:eastAsia="Calibri" w:hAnsi="Century Schoolbook"/>
          <w:sz w:val="26"/>
          <w:szCs w:val="22"/>
        </w:rPr>
        <w:t>’</w:t>
      </w:r>
      <w:r>
        <w:rPr>
          <w:rFonts w:ascii="Century Schoolbook" w:eastAsia="Calibri" w:hAnsi="Century Schoolbook"/>
          <w:sz w:val="26"/>
          <w:szCs w:val="22"/>
        </w:rPr>
        <w:t>” to those governments by our Constitution (</w:t>
      </w:r>
      <w:r>
        <w:rPr>
          <w:rFonts w:ascii="Century Schoolbook" w:eastAsia="Calibri" w:hAnsi="Century Schoolbook"/>
          <w:i/>
          <w:iCs/>
          <w:sz w:val="26"/>
          <w:szCs w:val="22"/>
        </w:rPr>
        <w:t>DeVita</w:t>
      </w:r>
      <w:r>
        <w:rPr>
          <w:rFonts w:ascii="Century Schoolbook" w:eastAsia="Calibri" w:hAnsi="Century Schoolbook"/>
          <w:sz w:val="26"/>
          <w:szCs w:val="22"/>
        </w:rPr>
        <w:t xml:space="preserve">, </w:t>
      </w:r>
      <w:r>
        <w:rPr>
          <w:rFonts w:ascii="Century Schoolbook" w:eastAsia="Calibri" w:hAnsi="Century Schoolbook"/>
          <w:i/>
          <w:iCs/>
          <w:sz w:val="26"/>
          <w:szCs w:val="22"/>
        </w:rPr>
        <w:t>supra</w:t>
      </w:r>
      <w:r>
        <w:rPr>
          <w:rFonts w:ascii="Century Schoolbook" w:eastAsia="Calibri" w:hAnsi="Century Schoolbook"/>
          <w:sz w:val="26"/>
          <w:szCs w:val="22"/>
        </w:rPr>
        <w:t xml:space="preserve">, 9 Cal.4th at p. 782; </w:t>
      </w:r>
      <w:r w:rsidR="006105D5">
        <w:rPr>
          <w:rFonts w:ascii="Century Schoolbook" w:eastAsia="Calibri" w:hAnsi="Century Schoolbook"/>
          <w:i/>
          <w:iCs/>
          <w:sz w:val="26"/>
          <w:szCs w:val="22"/>
        </w:rPr>
        <w:t>City of Los Angeles</w:t>
      </w:r>
      <w:r w:rsidR="006105D5">
        <w:rPr>
          <w:rFonts w:ascii="Century Schoolbook" w:eastAsia="Calibri" w:hAnsi="Century Schoolbook"/>
          <w:sz w:val="26"/>
          <w:szCs w:val="22"/>
        </w:rPr>
        <w:t xml:space="preserve">, </w:t>
      </w:r>
      <w:r w:rsidR="006105D5">
        <w:rPr>
          <w:rFonts w:ascii="Century Schoolbook" w:eastAsia="Calibri" w:hAnsi="Century Schoolbook"/>
          <w:i/>
          <w:iCs/>
          <w:sz w:val="26"/>
          <w:szCs w:val="22"/>
        </w:rPr>
        <w:t>supra</w:t>
      </w:r>
      <w:r w:rsidR="006105D5">
        <w:rPr>
          <w:rFonts w:ascii="Century Schoolbook" w:eastAsia="Calibri" w:hAnsi="Century Schoolbook"/>
          <w:sz w:val="26"/>
          <w:szCs w:val="22"/>
        </w:rPr>
        <w:t xml:space="preserve">, 138 Cal.App.3d at p. 533; </w:t>
      </w:r>
      <w:r>
        <w:rPr>
          <w:rFonts w:ascii="Century Schoolbook" w:eastAsia="Calibri" w:hAnsi="Century Schoolbook"/>
          <w:i/>
          <w:iCs/>
          <w:sz w:val="26"/>
          <w:szCs w:val="22"/>
        </w:rPr>
        <w:t>City of Morgan Hill v. Bushey</w:t>
      </w:r>
      <w:r>
        <w:rPr>
          <w:rFonts w:ascii="Century Schoolbook" w:eastAsia="Calibri" w:hAnsi="Century Schoolbook"/>
          <w:sz w:val="26"/>
          <w:szCs w:val="22"/>
        </w:rPr>
        <w:t xml:space="preserve"> (2018) 5 Cal.5th 1068, 1079 (</w:t>
      </w:r>
      <w:r>
        <w:rPr>
          <w:rFonts w:ascii="Century Schoolbook" w:eastAsia="Calibri" w:hAnsi="Century Schoolbook"/>
          <w:i/>
          <w:iCs/>
          <w:sz w:val="26"/>
          <w:szCs w:val="22"/>
        </w:rPr>
        <w:t>City of Morgan Hill</w:t>
      </w:r>
      <w:r>
        <w:rPr>
          <w:rFonts w:ascii="Century Schoolbook" w:eastAsia="Calibri" w:hAnsi="Century Schoolbook"/>
          <w:sz w:val="26"/>
          <w:szCs w:val="22"/>
        </w:rPr>
        <w:t xml:space="preserve">)), the </w:t>
      </w:r>
      <w:r w:rsidR="00B5627D">
        <w:rPr>
          <w:rFonts w:ascii="Century Schoolbook" w:eastAsia="Calibri" w:hAnsi="Century Schoolbook"/>
          <w:sz w:val="26"/>
          <w:szCs w:val="22"/>
        </w:rPr>
        <w:t>sub-</w:t>
      </w:r>
      <w:r>
        <w:rPr>
          <w:rFonts w:ascii="Century Schoolbook" w:eastAsia="Calibri" w:hAnsi="Century Schoolbook"/>
          <w:sz w:val="26"/>
          <w:szCs w:val="22"/>
        </w:rPr>
        <w:t>issue of ensuring affordable housing has been a matter of statewide concern</w:t>
      </w:r>
      <w:r w:rsidR="00CF6A45">
        <w:rPr>
          <w:rFonts w:ascii="Century Schoolbook" w:eastAsia="Calibri" w:hAnsi="Century Schoolbook"/>
          <w:sz w:val="26"/>
          <w:szCs w:val="22"/>
        </w:rPr>
        <w:t xml:space="preserve"> for nearly six decades</w:t>
      </w:r>
      <w:r>
        <w:rPr>
          <w:rFonts w:ascii="Century Schoolbook" w:eastAsia="Calibri" w:hAnsi="Century Schoolbook"/>
          <w:sz w:val="26"/>
          <w:szCs w:val="22"/>
        </w:rPr>
        <w:t xml:space="preserve">.  Senate Bill 10 was not our Legislature’s </w:t>
      </w:r>
      <w:r w:rsidR="00B5627D">
        <w:rPr>
          <w:rFonts w:ascii="Century Schoolbook" w:eastAsia="Calibri" w:hAnsi="Century Schoolbook"/>
          <w:sz w:val="26"/>
          <w:szCs w:val="22"/>
        </w:rPr>
        <w:t xml:space="preserve">first foray into this sub-issue; to the contrary, Senate Bill 10 is the latest in a long </w:t>
      </w:r>
      <w:r w:rsidR="00703D66">
        <w:rPr>
          <w:rFonts w:ascii="Century Schoolbook" w:eastAsia="Calibri" w:hAnsi="Century Schoolbook"/>
          <w:sz w:val="26"/>
          <w:szCs w:val="22"/>
        </w:rPr>
        <w:t>line</w:t>
      </w:r>
      <w:r w:rsidR="00B5627D">
        <w:rPr>
          <w:rFonts w:ascii="Century Schoolbook" w:eastAsia="Calibri" w:hAnsi="Century Schoolbook"/>
          <w:sz w:val="26"/>
          <w:szCs w:val="22"/>
        </w:rPr>
        <w:t xml:space="preserve"> of state laws mandating that local governments address the availability and affordability of housing.  In 1965, our Legislature enacted section 65300, which obligates local governments to “adopt a comprehensive, long-term general plan” with a “housing element designed to promote adequate housing.”  (§ 65300 et seq.; Stats. 1965, ch. 1880, § 5</w:t>
      </w:r>
      <w:r w:rsidR="00F22B32">
        <w:rPr>
          <w:rFonts w:ascii="Century Schoolbook" w:eastAsia="Calibri" w:hAnsi="Century Schoolbook"/>
          <w:sz w:val="26"/>
          <w:szCs w:val="22"/>
        </w:rPr>
        <w:t xml:space="preserve">; </w:t>
      </w:r>
      <w:r w:rsidR="00F22B32">
        <w:rPr>
          <w:rFonts w:ascii="Century Schoolbook" w:eastAsia="Calibri" w:hAnsi="Century Schoolbook"/>
          <w:i/>
          <w:iCs/>
          <w:sz w:val="26"/>
          <w:szCs w:val="22"/>
        </w:rPr>
        <w:t xml:space="preserve">California Renters Legal Advocacy &amp; Education Fund v. City of San Mateo </w:t>
      </w:r>
      <w:r w:rsidR="00F22B32">
        <w:rPr>
          <w:rFonts w:ascii="Century Schoolbook" w:eastAsia="Calibri" w:hAnsi="Century Schoolbook"/>
          <w:sz w:val="26"/>
          <w:szCs w:val="22"/>
        </w:rPr>
        <w:t>(2021) 68 Cal.App.5th 820, 834 (</w:t>
      </w:r>
      <w:r w:rsidR="00F22B32">
        <w:rPr>
          <w:rFonts w:ascii="Century Schoolbook" w:eastAsia="Calibri" w:hAnsi="Century Schoolbook"/>
          <w:i/>
          <w:iCs/>
          <w:sz w:val="26"/>
          <w:szCs w:val="22"/>
        </w:rPr>
        <w:t>California Renters</w:t>
      </w:r>
      <w:r w:rsidR="00F22B32">
        <w:rPr>
          <w:rFonts w:ascii="Century Schoolbook" w:eastAsia="Calibri" w:hAnsi="Century Schoolbook"/>
          <w:sz w:val="26"/>
          <w:szCs w:val="22"/>
        </w:rPr>
        <w:t>)</w:t>
      </w:r>
      <w:r w:rsidR="0023437D">
        <w:rPr>
          <w:rFonts w:ascii="Century Schoolbook" w:eastAsia="Calibri" w:hAnsi="Century Schoolbook"/>
          <w:sz w:val="26"/>
          <w:szCs w:val="22"/>
        </w:rPr>
        <w:t>.</w:t>
      </w:r>
      <w:r w:rsidR="00B5627D">
        <w:rPr>
          <w:rFonts w:ascii="Century Schoolbook" w:eastAsia="Calibri" w:hAnsi="Century Schoolbook"/>
          <w:sz w:val="26"/>
          <w:szCs w:val="22"/>
        </w:rPr>
        <w:t xml:space="preserve">)  When that proved insufficient, our Legislature </w:t>
      </w:r>
      <w:r w:rsidR="00EB67A0">
        <w:rPr>
          <w:rFonts w:ascii="Century Schoolbook" w:eastAsia="Calibri" w:hAnsi="Century Schoolbook"/>
          <w:sz w:val="26"/>
          <w:szCs w:val="22"/>
        </w:rPr>
        <w:t xml:space="preserve">in 1980 </w:t>
      </w:r>
      <w:r w:rsidR="00B5627D">
        <w:rPr>
          <w:rFonts w:ascii="Century Schoolbook" w:eastAsia="Calibri" w:hAnsi="Century Schoolbook"/>
          <w:sz w:val="26"/>
          <w:szCs w:val="22"/>
        </w:rPr>
        <w:t xml:space="preserve">enacted </w:t>
      </w:r>
      <w:r w:rsidR="00EB67A0">
        <w:rPr>
          <w:rFonts w:ascii="Century Schoolbook" w:eastAsia="Calibri" w:hAnsi="Century Schoolbook"/>
          <w:sz w:val="26"/>
          <w:szCs w:val="22"/>
        </w:rPr>
        <w:t xml:space="preserve">the </w:t>
      </w:r>
      <w:r w:rsidR="00E5241C">
        <w:rPr>
          <w:rFonts w:ascii="Century Schoolbook" w:eastAsia="Calibri" w:hAnsi="Century Schoolbook"/>
          <w:sz w:val="26"/>
          <w:szCs w:val="22"/>
        </w:rPr>
        <w:t>“</w:t>
      </w:r>
      <w:r w:rsidR="00B5627D">
        <w:rPr>
          <w:rFonts w:ascii="Century Schoolbook" w:eastAsia="Calibri" w:hAnsi="Century Schoolbook"/>
          <w:sz w:val="26"/>
          <w:szCs w:val="22"/>
        </w:rPr>
        <w:t>Housing Element Law</w:t>
      </w:r>
      <w:r w:rsidR="0057546A">
        <w:rPr>
          <w:rFonts w:ascii="Century Schoolbook" w:eastAsia="Calibri" w:hAnsi="Century Schoolbook"/>
          <w:sz w:val="26"/>
          <w:szCs w:val="22"/>
        </w:rPr>
        <w:t>,</w:t>
      </w:r>
      <w:r w:rsidR="00E5241C">
        <w:rPr>
          <w:rFonts w:ascii="Century Schoolbook" w:eastAsia="Calibri" w:hAnsi="Century Schoolbook"/>
          <w:sz w:val="26"/>
          <w:szCs w:val="22"/>
        </w:rPr>
        <w:t>”</w:t>
      </w:r>
      <w:r w:rsidR="0057546A">
        <w:rPr>
          <w:rFonts w:ascii="Century Schoolbook" w:eastAsia="Calibri" w:hAnsi="Century Schoolbook"/>
          <w:sz w:val="26"/>
          <w:szCs w:val="22"/>
        </w:rPr>
        <w:t xml:space="preserve"> which </w:t>
      </w:r>
      <w:r w:rsidR="00B5627D">
        <w:rPr>
          <w:rFonts w:ascii="Century Schoolbook" w:eastAsia="Calibri" w:hAnsi="Century Schoolbook"/>
          <w:sz w:val="26"/>
          <w:szCs w:val="22"/>
        </w:rPr>
        <w:t>obligate</w:t>
      </w:r>
      <w:r>
        <w:rPr>
          <w:rFonts w:ascii="Century Schoolbook" w:eastAsia="Calibri" w:hAnsi="Century Schoolbook"/>
          <w:sz w:val="26"/>
          <w:szCs w:val="22"/>
        </w:rPr>
        <w:t>s local governments to “</w:t>
      </w:r>
      <w:r w:rsidR="00F86658">
        <w:rPr>
          <w:rFonts w:ascii="Century Schoolbook" w:eastAsia="Calibri" w:hAnsi="Century Schoolbook"/>
          <w:sz w:val="26"/>
          <w:szCs w:val="22"/>
        </w:rPr>
        <w:t>‘</w:t>
      </w:r>
      <w:r>
        <w:rPr>
          <w:rFonts w:ascii="Century Schoolbook" w:eastAsia="Calibri" w:hAnsi="Century Schoolbook"/>
          <w:sz w:val="26"/>
          <w:szCs w:val="22"/>
        </w:rPr>
        <w:t>analyze and quantify the . . . locality’s share of the regional ho</w:t>
      </w:r>
      <w:r w:rsidR="00BF53DF">
        <w:rPr>
          <w:rFonts w:ascii="Century Schoolbook" w:eastAsia="Calibri" w:hAnsi="Century Schoolbook"/>
          <w:sz w:val="26"/>
          <w:szCs w:val="22"/>
        </w:rPr>
        <w:t>u</w:t>
      </w:r>
      <w:r>
        <w:rPr>
          <w:rFonts w:ascii="Century Schoolbook" w:eastAsia="Calibri" w:hAnsi="Century Schoolbook"/>
          <w:sz w:val="26"/>
          <w:szCs w:val="22"/>
        </w:rPr>
        <w:t>sing need</w:t>
      </w:r>
      <w:r w:rsidR="00F86658">
        <w:rPr>
          <w:rFonts w:ascii="Century Schoolbook" w:eastAsia="Calibri" w:hAnsi="Century Schoolbook"/>
          <w:sz w:val="26"/>
          <w:szCs w:val="22"/>
        </w:rPr>
        <w:t>’</w:t>
      </w:r>
      <w:r>
        <w:rPr>
          <w:rFonts w:ascii="Century Schoolbook" w:eastAsia="Calibri" w:hAnsi="Century Schoolbook"/>
          <w:sz w:val="26"/>
          <w:szCs w:val="22"/>
        </w:rPr>
        <w:t>” and then to submit</w:t>
      </w:r>
      <w:r w:rsidR="00703D66">
        <w:rPr>
          <w:rFonts w:ascii="Century Schoolbook" w:eastAsia="Calibri" w:hAnsi="Century Schoolbook"/>
          <w:sz w:val="26"/>
          <w:szCs w:val="22"/>
        </w:rPr>
        <w:t xml:space="preserve"> for approval, to the state’s Department of Housing and Community Development,</w:t>
      </w:r>
      <w:r>
        <w:rPr>
          <w:rFonts w:ascii="Century Schoolbook" w:eastAsia="Calibri" w:hAnsi="Century Schoolbook"/>
          <w:sz w:val="26"/>
          <w:szCs w:val="22"/>
        </w:rPr>
        <w:t xml:space="preserve"> a multiyear schedule of actions that the local governments will undertak</w:t>
      </w:r>
      <w:r w:rsidR="00703D66">
        <w:rPr>
          <w:rFonts w:ascii="Century Schoolbook" w:eastAsia="Calibri" w:hAnsi="Century Schoolbook"/>
          <w:sz w:val="26"/>
          <w:szCs w:val="22"/>
        </w:rPr>
        <w:t>e</w:t>
      </w:r>
      <w:r>
        <w:rPr>
          <w:rFonts w:ascii="Century Schoolbook" w:eastAsia="Calibri" w:hAnsi="Century Schoolbook"/>
          <w:sz w:val="26"/>
          <w:szCs w:val="22"/>
        </w:rPr>
        <w:t xml:space="preserve"> to meet those needs</w:t>
      </w:r>
      <w:r w:rsidR="0057546A">
        <w:rPr>
          <w:rFonts w:ascii="Century Schoolbook" w:eastAsia="Calibri" w:hAnsi="Century Schoolbook"/>
          <w:sz w:val="26"/>
          <w:szCs w:val="22"/>
        </w:rPr>
        <w:t>; the Legislature also</w:t>
      </w:r>
      <w:r w:rsidR="00EB67A0">
        <w:rPr>
          <w:rFonts w:ascii="Century Schoolbook" w:eastAsia="Calibri" w:hAnsi="Century Schoolbook"/>
          <w:sz w:val="26"/>
          <w:szCs w:val="22"/>
        </w:rPr>
        <w:t xml:space="preserve"> that year</w:t>
      </w:r>
      <w:r w:rsidR="0057546A">
        <w:rPr>
          <w:rFonts w:ascii="Century Schoolbook" w:eastAsia="Calibri" w:hAnsi="Century Schoolbook"/>
          <w:sz w:val="26"/>
          <w:szCs w:val="22"/>
        </w:rPr>
        <w:t xml:space="preserve"> enacted the </w:t>
      </w:r>
      <w:r w:rsidR="00E5241C">
        <w:rPr>
          <w:rFonts w:ascii="Century Schoolbook" w:eastAsia="Calibri" w:hAnsi="Century Schoolbook"/>
          <w:sz w:val="26"/>
          <w:szCs w:val="22"/>
        </w:rPr>
        <w:t>“</w:t>
      </w:r>
      <w:r w:rsidR="0057546A">
        <w:rPr>
          <w:rFonts w:ascii="Century Schoolbook" w:eastAsia="Calibri" w:hAnsi="Century Schoolbook"/>
          <w:sz w:val="26"/>
          <w:szCs w:val="22"/>
        </w:rPr>
        <w:t>Least Cost Zoning Law,</w:t>
      </w:r>
      <w:r w:rsidR="00E5241C">
        <w:rPr>
          <w:rFonts w:ascii="Century Schoolbook" w:eastAsia="Calibri" w:hAnsi="Century Schoolbook"/>
          <w:sz w:val="26"/>
          <w:szCs w:val="22"/>
        </w:rPr>
        <w:t>”</w:t>
      </w:r>
      <w:r w:rsidR="0057546A">
        <w:rPr>
          <w:rFonts w:ascii="Century Schoolbook" w:eastAsia="Calibri" w:hAnsi="Century Schoolbook"/>
          <w:sz w:val="26"/>
          <w:szCs w:val="22"/>
        </w:rPr>
        <w:t xml:space="preserve"> which obligates local governments to “zone sufficient vaca</w:t>
      </w:r>
      <w:r w:rsidR="00BF53DF">
        <w:rPr>
          <w:rFonts w:ascii="Century Schoolbook" w:eastAsia="Calibri" w:hAnsi="Century Schoolbook"/>
          <w:sz w:val="26"/>
          <w:szCs w:val="22"/>
        </w:rPr>
        <w:t>nt</w:t>
      </w:r>
      <w:r w:rsidR="0057546A">
        <w:rPr>
          <w:rFonts w:ascii="Century Schoolbook" w:eastAsia="Calibri" w:hAnsi="Century Schoolbook"/>
          <w:sz w:val="26"/>
          <w:szCs w:val="22"/>
        </w:rPr>
        <w:t xml:space="preserve"> land for residential use . . . to meet ho</w:t>
      </w:r>
      <w:r w:rsidR="00BF53DF">
        <w:rPr>
          <w:rFonts w:ascii="Century Schoolbook" w:eastAsia="Calibri" w:hAnsi="Century Schoolbook"/>
          <w:sz w:val="26"/>
          <w:szCs w:val="22"/>
        </w:rPr>
        <w:t>u</w:t>
      </w:r>
      <w:r w:rsidR="0057546A">
        <w:rPr>
          <w:rFonts w:ascii="Century Schoolbook" w:eastAsia="Calibri" w:hAnsi="Century Schoolbook"/>
          <w:sz w:val="26"/>
          <w:szCs w:val="22"/>
        </w:rPr>
        <w:t>sing needs for all income categories</w:t>
      </w:r>
      <w:r>
        <w:rPr>
          <w:rFonts w:ascii="Century Schoolbook" w:eastAsia="Calibri" w:hAnsi="Century Schoolbook"/>
          <w:sz w:val="26"/>
          <w:szCs w:val="22"/>
        </w:rPr>
        <w:t>.</w:t>
      </w:r>
      <w:r w:rsidR="0057546A">
        <w:rPr>
          <w:rFonts w:ascii="Century Schoolbook" w:eastAsia="Calibri" w:hAnsi="Century Schoolbook"/>
          <w:sz w:val="26"/>
          <w:szCs w:val="22"/>
        </w:rPr>
        <w:t>”</w:t>
      </w:r>
      <w:r>
        <w:rPr>
          <w:rFonts w:ascii="Century Schoolbook" w:eastAsia="Calibri" w:hAnsi="Century Schoolbook"/>
          <w:sz w:val="26"/>
          <w:szCs w:val="22"/>
        </w:rPr>
        <w:t xml:space="preserve">  (§§ 65580</w:t>
      </w:r>
      <w:r w:rsidR="003B2E14">
        <w:rPr>
          <w:rFonts w:ascii="Century Schoolbook" w:eastAsia="Calibri" w:hAnsi="Century Schoolbook"/>
          <w:sz w:val="26"/>
          <w:szCs w:val="22"/>
        </w:rPr>
        <w:t xml:space="preserve"> et seq.</w:t>
      </w:r>
      <w:r w:rsidR="00835253">
        <w:rPr>
          <w:rFonts w:ascii="Century Schoolbook" w:eastAsia="Calibri" w:hAnsi="Century Schoolbook"/>
          <w:sz w:val="26"/>
          <w:szCs w:val="22"/>
        </w:rPr>
        <w:t xml:space="preserve">, </w:t>
      </w:r>
      <w:r>
        <w:rPr>
          <w:rFonts w:ascii="Century Schoolbook" w:eastAsia="Calibri" w:hAnsi="Century Schoolbook"/>
          <w:sz w:val="26"/>
          <w:szCs w:val="22"/>
        </w:rPr>
        <w:t>65913</w:t>
      </w:r>
      <w:r w:rsidR="0057546A">
        <w:rPr>
          <w:rFonts w:ascii="Century Schoolbook" w:eastAsia="Calibri" w:hAnsi="Century Schoolbook"/>
          <w:sz w:val="26"/>
          <w:szCs w:val="22"/>
        </w:rPr>
        <w:t>.1</w:t>
      </w:r>
      <w:r>
        <w:rPr>
          <w:rFonts w:ascii="Century Schoolbook" w:eastAsia="Calibri" w:hAnsi="Century Schoolbook"/>
          <w:sz w:val="26"/>
          <w:szCs w:val="22"/>
        </w:rPr>
        <w:t xml:space="preserve">; </w:t>
      </w:r>
      <w:r w:rsidR="007A4061">
        <w:rPr>
          <w:rFonts w:ascii="Century Schoolbook" w:eastAsia="Calibri" w:hAnsi="Century Schoolbook"/>
          <w:i/>
          <w:iCs/>
          <w:sz w:val="26"/>
          <w:szCs w:val="22"/>
        </w:rPr>
        <w:t>California Renters</w:t>
      </w:r>
      <w:r w:rsidR="007A4061">
        <w:rPr>
          <w:rFonts w:ascii="Century Schoolbook" w:eastAsia="Calibri" w:hAnsi="Century Schoolbook"/>
          <w:sz w:val="26"/>
          <w:szCs w:val="22"/>
        </w:rPr>
        <w:t xml:space="preserve">, at p. 834; </w:t>
      </w:r>
      <w:r>
        <w:rPr>
          <w:rFonts w:ascii="Century Schoolbook" w:eastAsia="Calibri" w:hAnsi="Century Schoolbook"/>
          <w:i/>
          <w:iCs/>
          <w:sz w:val="26"/>
          <w:szCs w:val="22"/>
        </w:rPr>
        <w:t>Fonseca v. City of Gilroy</w:t>
      </w:r>
      <w:r>
        <w:rPr>
          <w:rFonts w:ascii="Century Schoolbook" w:eastAsia="Calibri" w:hAnsi="Century Schoolbook"/>
          <w:sz w:val="26"/>
          <w:szCs w:val="22"/>
        </w:rPr>
        <w:t xml:space="preserve"> (2007) 148 Cal.App.4th 1174, 1182-118</w:t>
      </w:r>
      <w:r w:rsidR="004A7CD9">
        <w:rPr>
          <w:rFonts w:ascii="Century Schoolbook" w:eastAsia="Calibri" w:hAnsi="Century Schoolbook"/>
          <w:sz w:val="26"/>
          <w:szCs w:val="22"/>
        </w:rPr>
        <w:t>6</w:t>
      </w:r>
      <w:r>
        <w:rPr>
          <w:rFonts w:ascii="Century Schoolbook" w:eastAsia="Calibri" w:hAnsi="Century Schoolbook"/>
          <w:sz w:val="26"/>
          <w:szCs w:val="22"/>
        </w:rPr>
        <w:t xml:space="preserve"> [describing both laws].)  When th</w:t>
      </w:r>
      <w:r w:rsidR="0057546A">
        <w:rPr>
          <w:rFonts w:ascii="Century Schoolbook" w:eastAsia="Calibri" w:hAnsi="Century Schoolbook"/>
          <w:sz w:val="26"/>
          <w:szCs w:val="22"/>
        </w:rPr>
        <w:t>ose</w:t>
      </w:r>
      <w:r>
        <w:rPr>
          <w:rFonts w:ascii="Century Schoolbook" w:eastAsia="Calibri" w:hAnsi="Century Schoolbook"/>
          <w:sz w:val="26"/>
          <w:szCs w:val="22"/>
        </w:rPr>
        <w:t xml:space="preserve"> proved insufficient, our Legislature </w:t>
      </w:r>
      <w:r w:rsidR="00EB67A0">
        <w:rPr>
          <w:rFonts w:ascii="Century Schoolbook" w:eastAsia="Calibri" w:hAnsi="Century Schoolbook"/>
          <w:sz w:val="26"/>
          <w:szCs w:val="22"/>
        </w:rPr>
        <w:t xml:space="preserve">in 1982 </w:t>
      </w:r>
      <w:r>
        <w:rPr>
          <w:rFonts w:ascii="Century Schoolbook" w:eastAsia="Calibri" w:hAnsi="Century Schoolbook"/>
          <w:sz w:val="26"/>
          <w:szCs w:val="22"/>
        </w:rPr>
        <w:t xml:space="preserve">enacted the Housing </w:t>
      </w:r>
      <w:r w:rsidR="00CF6A45">
        <w:rPr>
          <w:rFonts w:ascii="Century Schoolbook" w:eastAsia="Calibri" w:hAnsi="Century Schoolbook"/>
          <w:sz w:val="26"/>
          <w:szCs w:val="22"/>
        </w:rPr>
        <w:t>Accountability</w:t>
      </w:r>
      <w:r>
        <w:rPr>
          <w:rFonts w:ascii="Century Schoolbook" w:eastAsia="Calibri" w:hAnsi="Century Schoolbook"/>
          <w:sz w:val="26"/>
          <w:szCs w:val="22"/>
        </w:rPr>
        <w:t xml:space="preserve"> Act</w:t>
      </w:r>
      <w:r w:rsidR="009F2F1E">
        <w:rPr>
          <w:rFonts w:ascii="Century Schoolbook" w:eastAsia="Calibri" w:hAnsi="Century Schoolbook"/>
          <w:sz w:val="26"/>
          <w:szCs w:val="22"/>
        </w:rPr>
        <w:t xml:space="preserve"> (§ 65589.5)</w:t>
      </w:r>
      <w:r w:rsidR="0057546A">
        <w:rPr>
          <w:rFonts w:ascii="Century Schoolbook" w:eastAsia="Calibri" w:hAnsi="Century Schoolbook"/>
          <w:sz w:val="26"/>
          <w:szCs w:val="22"/>
        </w:rPr>
        <w:t xml:space="preserve">, which </w:t>
      </w:r>
      <w:r>
        <w:rPr>
          <w:rFonts w:ascii="Century Schoolbook" w:eastAsia="Calibri" w:hAnsi="Century Schoolbook"/>
          <w:sz w:val="26"/>
          <w:szCs w:val="22"/>
        </w:rPr>
        <w:t xml:space="preserve">obligates local governments to approve plans </w:t>
      </w:r>
      <w:r w:rsidR="0057546A">
        <w:rPr>
          <w:rFonts w:ascii="Century Schoolbook" w:eastAsia="Calibri" w:hAnsi="Century Schoolbook"/>
          <w:sz w:val="26"/>
          <w:szCs w:val="22"/>
        </w:rPr>
        <w:t xml:space="preserve">for housing developments </w:t>
      </w:r>
      <w:r>
        <w:rPr>
          <w:rFonts w:ascii="Century Schoolbook" w:eastAsia="Calibri" w:hAnsi="Century Schoolbook"/>
          <w:sz w:val="26"/>
          <w:szCs w:val="22"/>
        </w:rPr>
        <w:t>unless they find a “specific,</w:t>
      </w:r>
      <w:r w:rsidR="00CF6A45">
        <w:rPr>
          <w:rFonts w:ascii="Century Schoolbook" w:eastAsia="Calibri" w:hAnsi="Century Schoolbook"/>
          <w:sz w:val="26"/>
          <w:szCs w:val="22"/>
        </w:rPr>
        <w:t xml:space="preserve"> </w:t>
      </w:r>
      <w:r>
        <w:rPr>
          <w:rFonts w:ascii="Century Schoolbook" w:eastAsia="Calibri" w:hAnsi="Century Schoolbook"/>
          <w:sz w:val="26"/>
          <w:szCs w:val="22"/>
        </w:rPr>
        <w:t>adverse, and unavoidable impact on public health or safety.”  (§ 65</w:t>
      </w:r>
      <w:r w:rsidR="00C55665">
        <w:rPr>
          <w:rFonts w:ascii="Century Schoolbook" w:eastAsia="Calibri" w:hAnsi="Century Schoolbook"/>
          <w:sz w:val="26"/>
          <w:szCs w:val="22"/>
        </w:rPr>
        <w:t>5</w:t>
      </w:r>
      <w:r>
        <w:rPr>
          <w:rFonts w:ascii="Century Schoolbook" w:eastAsia="Calibri" w:hAnsi="Century Schoolbook"/>
          <w:sz w:val="26"/>
          <w:szCs w:val="22"/>
        </w:rPr>
        <w:t>89.5</w:t>
      </w:r>
      <w:r w:rsidR="00CF6A45">
        <w:rPr>
          <w:rFonts w:ascii="Century Schoolbook" w:eastAsia="Calibri" w:hAnsi="Century Schoolbook"/>
          <w:sz w:val="26"/>
          <w:szCs w:val="22"/>
        </w:rPr>
        <w:t xml:space="preserve">, subd. (j); </w:t>
      </w:r>
      <w:r w:rsidR="00CF6A45">
        <w:rPr>
          <w:rFonts w:ascii="Century Schoolbook" w:eastAsia="Calibri" w:hAnsi="Century Schoolbook"/>
          <w:i/>
          <w:iCs/>
          <w:sz w:val="26"/>
          <w:szCs w:val="22"/>
        </w:rPr>
        <w:t>California Renters</w:t>
      </w:r>
      <w:r w:rsidR="00CF6A45">
        <w:rPr>
          <w:rFonts w:ascii="Century Schoolbook" w:eastAsia="Calibri" w:hAnsi="Century Schoolbook"/>
          <w:sz w:val="26"/>
          <w:szCs w:val="22"/>
        </w:rPr>
        <w:t xml:space="preserve">, </w:t>
      </w:r>
      <w:r w:rsidR="00F22B32">
        <w:rPr>
          <w:rFonts w:ascii="Century Schoolbook" w:eastAsia="Calibri" w:hAnsi="Century Schoolbook"/>
          <w:sz w:val="26"/>
          <w:szCs w:val="22"/>
        </w:rPr>
        <w:t xml:space="preserve">at p. </w:t>
      </w:r>
      <w:r w:rsidR="00CF6A45">
        <w:rPr>
          <w:rFonts w:ascii="Century Schoolbook" w:eastAsia="Calibri" w:hAnsi="Century Schoolbook"/>
          <w:sz w:val="26"/>
          <w:szCs w:val="22"/>
        </w:rPr>
        <w:t>835.</w:t>
      </w:r>
      <w:r>
        <w:rPr>
          <w:rFonts w:ascii="Century Schoolbook" w:eastAsia="Calibri" w:hAnsi="Century Schoolbook"/>
          <w:sz w:val="26"/>
          <w:szCs w:val="22"/>
        </w:rPr>
        <w:t xml:space="preserve">)  Because </w:t>
      </w:r>
      <w:r w:rsidR="00CF6A45">
        <w:rPr>
          <w:rFonts w:ascii="Century Schoolbook" w:eastAsia="Calibri" w:hAnsi="Century Schoolbook"/>
          <w:sz w:val="26"/>
          <w:szCs w:val="22"/>
        </w:rPr>
        <w:t xml:space="preserve">all of these laws are still </w:t>
      </w:r>
      <w:r>
        <w:rPr>
          <w:rFonts w:ascii="Century Schoolbook" w:eastAsia="Calibri" w:hAnsi="Century Schoolbook"/>
          <w:sz w:val="26"/>
          <w:szCs w:val="22"/>
        </w:rPr>
        <w:t xml:space="preserve">proving insufficient due to local laws capping housing density, our Legislature enacted Senate Bill 10 to give </w:t>
      </w:r>
      <w:r w:rsidR="00BF53DF">
        <w:rPr>
          <w:rFonts w:ascii="Century Schoolbook" w:eastAsia="Calibri" w:hAnsi="Century Schoolbook"/>
          <w:sz w:val="26"/>
          <w:szCs w:val="22"/>
        </w:rPr>
        <w:t xml:space="preserve">local </w:t>
      </w:r>
      <w:r>
        <w:rPr>
          <w:rFonts w:ascii="Century Schoolbook" w:eastAsia="Calibri" w:hAnsi="Century Schoolbook"/>
          <w:sz w:val="26"/>
          <w:szCs w:val="22"/>
        </w:rPr>
        <w:t xml:space="preserve">governments </w:t>
      </w:r>
      <w:r w:rsidR="00703D66">
        <w:rPr>
          <w:rFonts w:ascii="Century Schoolbook" w:eastAsia="Calibri" w:hAnsi="Century Schoolbook"/>
          <w:sz w:val="26"/>
          <w:szCs w:val="22"/>
        </w:rPr>
        <w:t xml:space="preserve">an additional </w:t>
      </w:r>
      <w:r>
        <w:rPr>
          <w:rFonts w:ascii="Century Schoolbook" w:eastAsia="Calibri" w:hAnsi="Century Schoolbook"/>
          <w:sz w:val="26"/>
          <w:szCs w:val="22"/>
        </w:rPr>
        <w:t>tool</w:t>
      </w:r>
      <w:r w:rsidR="00703D66">
        <w:rPr>
          <w:rFonts w:ascii="Century Schoolbook" w:eastAsia="Calibri" w:hAnsi="Century Schoolbook"/>
          <w:sz w:val="26"/>
          <w:szCs w:val="22"/>
        </w:rPr>
        <w:t xml:space="preserve"> </w:t>
      </w:r>
      <w:r>
        <w:rPr>
          <w:rFonts w:ascii="Century Schoolbook" w:eastAsia="Calibri" w:hAnsi="Century Schoolbook"/>
          <w:sz w:val="26"/>
          <w:szCs w:val="22"/>
        </w:rPr>
        <w:t>to carry into effect the pressing concern of housing supply and affordability that has been a matter of statewide concern for decades</w:t>
      </w:r>
      <w:r w:rsidR="0057546A">
        <w:rPr>
          <w:rFonts w:ascii="Century Schoolbook" w:eastAsia="Calibri" w:hAnsi="Century Schoolbook"/>
          <w:sz w:val="26"/>
          <w:szCs w:val="22"/>
        </w:rPr>
        <w:t>.</w:t>
      </w:r>
    </w:p>
    <w:p w:rsidR="00B944AA" w:rsidP="00B944AA" w14:paraId="500253E5" w14:textId="0F7C20FB">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Second, we independently </w:t>
      </w:r>
      <w:r w:rsidR="00703D66">
        <w:rPr>
          <w:rFonts w:ascii="Century Schoolbook" w:eastAsia="Calibri" w:hAnsi="Century Schoolbook"/>
          <w:sz w:val="26"/>
          <w:szCs w:val="22"/>
        </w:rPr>
        <w:t>find a sufficient factual and policy basis for</w:t>
      </w:r>
      <w:r>
        <w:rPr>
          <w:rFonts w:ascii="Century Schoolbook" w:eastAsia="Calibri" w:hAnsi="Century Schoolbook"/>
          <w:sz w:val="26"/>
          <w:szCs w:val="22"/>
        </w:rPr>
        <w:t xml:space="preserve"> our Legislature’s repeated findings over the years that the issue of assuring an adequate supply of affordable housing is one of statewide or regional concern (§</w:t>
      </w:r>
      <w:r w:rsidR="00B6035C">
        <w:rPr>
          <w:rFonts w:ascii="Century Schoolbook" w:eastAsia="Calibri" w:hAnsi="Century Schoolbook"/>
          <w:sz w:val="26"/>
          <w:szCs w:val="22"/>
        </w:rPr>
        <w:t>§</w:t>
      </w:r>
      <w:r>
        <w:rPr>
          <w:rFonts w:ascii="Century Schoolbook" w:eastAsia="Calibri" w:hAnsi="Century Schoolbook"/>
          <w:sz w:val="26"/>
          <w:szCs w:val="22"/>
        </w:rPr>
        <w:t xml:space="preserve"> 65913.5, subd. (f)</w:t>
      </w:r>
      <w:r w:rsidR="00B6035C">
        <w:rPr>
          <w:rFonts w:ascii="Century Schoolbook" w:eastAsia="Calibri" w:hAnsi="Century Schoolbook"/>
          <w:sz w:val="26"/>
          <w:szCs w:val="22"/>
        </w:rPr>
        <w:t>, 65</w:t>
      </w:r>
      <w:r w:rsidR="00C47F18">
        <w:rPr>
          <w:rFonts w:ascii="Century Schoolbook" w:eastAsia="Calibri" w:hAnsi="Century Schoolbook"/>
          <w:sz w:val="26"/>
          <w:szCs w:val="22"/>
        </w:rPr>
        <w:t>5</w:t>
      </w:r>
      <w:r w:rsidR="00B6035C">
        <w:rPr>
          <w:rFonts w:ascii="Century Schoolbook" w:eastAsia="Calibri" w:hAnsi="Century Schoolbook"/>
          <w:sz w:val="26"/>
          <w:szCs w:val="22"/>
        </w:rPr>
        <w:t xml:space="preserve">80, subd. (a) [“the availability of housing is of vital statewide importance”], </w:t>
      </w:r>
      <w:r>
        <w:rPr>
          <w:rFonts w:ascii="Century Schoolbook" w:eastAsia="Calibri" w:hAnsi="Century Schoolbook"/>
          <w:sz w:val="26"/>
          <w:szCs w:val="22"/>
        </w:rPr>
        <w:t xml:space="preserve">65589.5, subd. (g) </w:t>
      </w:r>
      <w:r w:rsidR="00206D45">
        <w:rPr>
          <w:rFonts w:ascii="Century Schoolbook" w:eastAsia="Calibri" w:hAnsi="Century Schoolbook"/>
          <w:sz w:val="26"/>
          <w:szCs w:val="22"/>
        </w:rPr>
        <w:t>[</w:t>
      </w:r>
      <w:r>
        <w:rPr>
          <w:rFonts w:ascii="Century Schoolbook" w:eastAsia="Calibri" w:hAnsi="Century Schoolbook"/>
          <w:sz w:val="26"/>
          <w:szCs w:val="22"/>
        </w:rPr>
        <w:t xml:space="preserve">“the Legislature finds that the lack of housing . . . is a critical statewide problem”]), </w:t>
      </w:r>
      <w:r w:rsidR="00CF1F22">
        <w:rPr>
          <w:rFonts w:ascii="Century Schoolbook" w:eastAsia="Calibri" w:hAnsi="Century Schoolbook"/>
          <w:sz w:val="26"/>
          <w:szCs w:val="22"/>
        </w:rPr>
        <w:t xml:space="preserve">even though it might </w:t>
      </w:r>
      <w:r w:rsidR="003F10DD">
        <w:rPr>
          <w:rFonts w:ascii="Century Schoolbook" w:eastAsia="Calibri" w:hAnsi="Century Schoolbook"/>
          <w:sz w:val="26"/>
          <w:szCs w:val="22"/>
        </w:rPr>
        <w:t>appear to be</w:t>
      </w:r>
      <w:r w:rsidR="00CF1F22">
        <w:rPr>
          <w:rFonts w:ascii="Century Schoolbook" w:eastAsia="Calibri" w:hAnsi="Century Schoolbook"/>
          <w:sz w:val="26"/>
          <w:szCs w:val="22"/>
        </w:rPr>
        <w:t xml:space="preserve"> a </w:t>
      </w:r>
      <w:r w:rsidR="009D6EAD">
        <w:rPr>
          <w:rFonts w:ascii="Century Schoolbook" w:eastAsia="Calibri" w:hAnsi="Century Schoolbook"/>
          <w:sz w:val="26"/>
          <w:szCs w:val="22"/>
        </w:rPr>
        <w:t xml:space="preserve">local </w:t>
      </w:r>
      <w:r w:rsidR="00CF1F22">
        <w:rPr>
          <w:rFonts w:ascii="Century Schoolbook" w:eastAsia="Calibri" w:hAnsi="Century Schoolbook"/>
          <w:sz w:val="26"/>
          <w:szCs w:val="22"/>
        </w:rPr>
        <w:t xml:space="preserve">issue at first blush.  </w:t>
      </w:r>
      <w:r w:rsidR="003F10DD">
        <w:rPr>
          <w:rFonts w:ascii="Century Schoolbook" w:eastAsia="Calibri" w:hAnsi="Century Schoolbook"/>
          <w:sz w:val="26"/>
          <w:szCs w:val="22"/>
        </w:rPr>
        <w:t>To begin, there is a direct link between the affordability of housing and the supply of housing.  Under basic economic principles, prices go</w:t>
      </w:r>
      <w:r w:rsidR="00BF53DF">
        <w:rPr>
          <w:rFonts w:ascii="Century Schoolbook" w:eastAsia="Calibri" w:hAnsi="Century Schoolbook"/>
          <w:sz w:val="26"/>
          <w:szCs w:val="22"/>
        </w:rPr>
        <w:t xml:space="preserve"> up</w:t>
      </w:r>
      <w:r w:rsidR="003F10DD">
        <w:rPr>
          <w:rFonts w:ascii="Century Schoolbook" w:eastAsia="Calibri" w:hAnsi="Century Schoolbook"/>
          <w:sz w:val="26"/>
          <w:szCs w:val="22"/>
        </w:rPr>
        <w:t xml:space="preserve"> when demand exceeds </w:t>
      </w:r>
      <w:r>
        <w:rPr>
          <w:rFonts w:ascii="Century Schoolbook" w:eastAsia="Calibri" w:hAnsi="Century Schoolbook"/>
          <w:sz w:val="26"/>
          <w:szCs w:val="22"/>
        </w:rPr>
        <w:t>s</w:t>
      </w:r>
      <w:r w:rsidR="003F10DD">
        <w:rPr>
          <w:rFonts w:ascii="Century Schoolbook" w:eastAsia="Calibri" w:hAnsi="Century Schoolbook"/>
          <w:sz w:val="26"/>
          <w:szCs w:val="22"/>
        </w:rPr>
        <w:t>upply.  Thus, the rise in housing prices at every income level</w:t>
      </w:r>
      <w:r w:rsidR="00703D66">
        <w:rPr>
          <w:rFonts w:ascii="Century Schoolbook" w:eastAsia="Calibri" w:hAnsi="Century Schoolbook"/>
          <w:sz w:val="26"/>
          <w:szCs w:val="22"/>
        </w:rPr>
        <w:t xml:space="preserve"> in California</w:t>
      </w:r>
      <w:r w:rsidR="003F10DD">
        <w:rPr>
          <w:rFonts w:ascii="Century Schoolbook" w:eastAsia="Calibri" w:hAnsi="Century Schoolbook"/>
          <w:sz w:val="26"/>
          <w:szCs w:val="22"/>
        </w:rPr>
        <w:t xml:space="preserve"> is</w:t>
      </w:r>
      <w:r>
        <w:rPr>
          <w:rFonts w:ascii="Century Schoolbook" w:eastAsia="Calibri" w:hAnsi="Century Schoolbook"/>
          <w:sz w:val="26"/>
          <w:szCs w:val="22"/>
        </w:rPr>
        <w:t xml:space="preserve"> logically</w:t>
      </w:r>
      <w:r w:rsidR="003F10DD">
        <w:rPr>
          <w:rFonts w:ascii="Century Schoolbook" w:eastAsia="Calibri" w:hAnsi="Century Schoolbook"/>
          <w:sz w:val="26"/>
          <w:szCs w:val="22"/>
        </w:rPr>
        <w:t xml:space="preserve"> linked to the insufficient supply of hous</w:t>
      </w:r>
      <w:r w:rsidR="00E86549">
        <w:rPr>
          <w:rFonts w:ascii="Century Schoolbook" w:eastAsia="Calibri" w:hAnsi="Century Schoolbook"/>
          <w:sz w:val="26"/>
          <w:szCs w:val="22"/>
        </w:rPr>
        <w:t>ing</w:t>
      </w:r>
      <w:r w:rsidR="003F10DD">
        <w:rPr>
          <w:rFonts w:ascii="Century Schoolbook" w:eastAsia="Calibri" w:hAnsi="Century Schoolbook"/>
          <w:sz w:val="26"/>
          <w:szCs w:val="22"/>
        </w:rPr>
        <w:t xml:space="preserve"> at all of those income levels.  </w:t>
      </w:r>
      <w:r>
        <w:rPr>
          <w:rFonts w:ascii="Century Schoolbook" w:eastAsia="Calibri" w:hAnsi="Century Schoolbook"/>
          <w:sz w:val="26"/>
          <w:szCs w:val="22"/>
        </w:rPr>
        <w:t xml:space="preserve">(Accord, </w:t>
      </w:r>
      <w:r>
        <w:rPr>
          <w:rFonts w:ascii="Century Schoolbook" w:eastAsia="Calibri" w:hAnsi="Century Schoolbook"/>
          <w:i/>
          <w:iCs/>
          <w:sz w:val="26"/>
          <w:szCs w:val="22"/>
        </w:rPr>
        <w:t>California Renters</w:t>
      </w:r>
      <w:r w:rsidRPr="008722BB">
        <w:rPr>
          <w:rFonts w:ascii="Century Schoolbook" w:eastAsia="Calibri" w:hAnsi="Century Schoolbook"/>
          <w:sz w:val="26"/>
          <w:szCs w:val="22"/>
        </w:rPr>
        <w:t>,</w:t>
      </w:r>
      <w:r>
        <w:rPr>
          <w:rFonts w:ascii="Century Schoolbook" w:eastAsia="Calibri" w:hAnsi="Century Schoolbook"/>
          <w:i/>
          <w:iCs/>
          <w:sz w:val="26"/>
          <w:szCs w:val="22"/>
        </w:rPr>
        <w:t xml:space="preserve"> supra</w:t>
      </w:r>
      <w:r>
        <w:rPr>
          <w:rFonts w:ascii="Century Schoolbook" w:eastAsia="Calibri" w:hAnsi="Century Schoolbook"/>
          <w:sz w:val="26"/>
          <w:szCs w:val="22"/>
        </w:rPr>
        <w:t xml:space="preserve">, 68 Cal.App.5th at p. 848 [“a shortage of housing in our state has led to escalating costs that for many have rendered adequate shelter unaffordable”].)  </w:t>
      </w:r>
      <w:r w:rsidR="003F10DD">
        <w:rPr>
          <w:rFonts w:ascii="Century Schoolbook" w:eastAsia="Calibri" w:hAnsi="Century Schoolbook"/>
          <w:sz w:val="26"/>
          <w:szCs w:val="22"/>
        </w:rPr>
        <w:t>What is more,</w:t>
      </w:r>
      <w:r>
        <w:rPr>
          <w:rFonts w:ascii="Century Schoolbook" w:eastAsia="Calibri" w:hAnsi="Century Schoolbook"/>
          <w:sz w:val="26"/>
          <w:szCs w:val="22"/>
        </w:rPr>
        <w:t xml:space="preserve"> the task of ensuring a great supply of hous</w:t>
      </w:r>
      <w:r w:rsidR="00BF53DF">
        <w:rPr>
          <w:rFonts w:ascii="Century Schoolbook" w:eastAsia="Calibri" w:hAnsi="Century Schoolbook"/>
          <w:sz w:val="26"/>
          <w:szCs w:val="22"/>
        </w:rPr>
        <w:t>ing</w:t>
      </w:r>
      <w:r>
        <w:rPr>
          <w:rFonts w:ascii="Century Schoolbook" w:eastAsia="Calibri" w:hAnsi="Century Schoolbook"/>
          <w:sz w:val="26"/>
          <w:szCs w:val="22"/>
        </w:rPr>
        <w:t xml:space="preserve"> is one that is logically handled at the state level.  That is because local governments are susceptible to “not in my backyard” (or NIMBY) </w:t>
      </w:r>
      <w:r w:rsidR="00703D66">
        <w:rPr>
          <w:rFonts w:ascii="Century Schoolbook" w:eastAsia="Calibri" w:hAnsi="Century Schoolbook"/>
          <w:sz w:val="26"/>
          <w:szCs w:val="22"/>
        </w:rPr>
        <w:t>pressure</w:t>
      </w:r>
      <w:r>
        <w:rPr>
          <w:rFonts w:ascii="Century Schoolbook" w:eastAsia="Calibri" w:hAnsi="Century Schoolbook"/>
          <w:sz w:val="26"/>
          <w:szCs w:val="22"/>
        </w:rPr>
        <w:t xml:space="preserve">:  Local residents do not want to live near </w:t>
      </w:r>
      <w:r w:rsidR="003F10DD">
        <w:rPr>
          <w:rFonts w:ascii="Century Schoolbook" w:eastAsia="Calibri" w:hAnsi="Century Schoolbook"/>
          <w:sz w:val="26"/>
          <w:szCs w:val="22"/>
        </w:rPr>
        <w:t xml:space="preserve">high-density housing, </w:t>
      </w:r>
      <w:r>
        <w:rPr>
          <w:rFonts w:ascii="Century Schoolbook" w:eastAsia="Calibri" w:hAnsi="Century Schoolbook"/>
          <w:sz w:val="26"/>
          <w:szCs w:val="22"/>
        </w:rPr>
        <w:t xml:space="preserve">so they elect local officials hostile to such housing or lobby heavily against such housing, figuring that </w:t>
      </w:r>
      <w:r>
        <w:rPr>
          <w:rFonts w:ascii="Century Schoolbook" w:eastAsia="Calibri" w:hAnsi="Century Schoolbook"/>
          <w:i/>
          <w:iCs/>
          <w:sz w:val="26"/>
          <w:szCs w:val="22"/>
        </w:rPr>
        <w:t xml:space="preserve">some other local government </w:t>
      </w:r>
      <w:r>
        <w:rPr>
          <w:rFonts w:ascii="Century Schoolbook" w:eastAsia="Calibri" w:hAnsi="Century Schoolbook"/>
          <w:sz w:val="26"/>
          <w:szCs w:val="22"/>
        </w:rPr>
        <w:t>will approve higher-density projects (§ 65589.5, subd. (a)(1)(D) [“Many local governments do not give adequate attention to the economic, environmental, and social costs of decisions that result in disapproval of housing development projects</w:t>
      </w:r>
      <w:r w:rsidR="00861B1A">
        <w:rPr>
          <w:rFonts w:ascii="Century Schoolbook" w:eastAsia="Calibri" w:hAnsi="Century Schoolbook"/>
          <w:sz w:val="26"/>
          <w:szCs w:val="22"/>
        </w:rPr>
        <w:t>”</w:t>
      </w:r>
      <w:r>
        <w:rPr>
          <w:rFonts w:ascii="Century Schoolbook" w:eastAsia="Calibri" w:hAnsi="Century Schoolbook"/>
          <w:sz w:val="26"/>
          <w:szCs w:val="22"/>
        </w:rPr>
        <w:t xml:space="preserve">]; </w:t>
      </w:r>
      <w:r>
        <w:rPr>
          <w:rFonts w:ascii="Century Schoolbook" w:eastAsia="Calibri" w:hAnsi="Century Schoolbook"/>
          <w:i/>
          <w:iCs/>
          <w:sz w:val="26"/>
          <w:szCs w:val="22"/>
        </w:rPr>
        <w:t>California Renters</w:t>
      </w:r>
      <w:r>
        <w:rPr>
          <w:rFonts w:ascii="Century Schoolbook" w:eastAsia="Calibri" w:hAnsi="Century Schoolbook"/>
          <w:sz w:val="26"/>
          <w:szCs w:val="22"/>
        </w:rPr>
        <w:t>, at p. 83</w:t>
      </w:r>
      <w:r w:rsidR="0023437D">
        <w:rPr>
          <w:rFonts w:ascii="Century Schoolbook" w:eastAsia="Calibri" w:hAnsi="Century Schoolbook"/>
          <w:sz w:val="26"/>
          <w:szCs w:val="22"/>
        </w:rPr>
        <w:t>5</w:t>
      </w:r>
      <w:r>
        <w:rPr>
          <w:rFonts w:ascii="Century Schoolbook" w:eastAsia="Calibri" w:hAnsi="Century Schoolbook"/>
          <w:sz w:val="26"/>
          <w:szCs w:val="22"/>
        </w:rPr>
        <w:t xml:space="preserve"> [attributing “shortfall” in housing “to community resistance to new hosing, facilitated by laws allowing cities and counties to control when and where development occurs”]); because local governments would not address the housing shortage if left to their own devices, state intervention is sensible—if not outright necessary</w:t>
      </w:r>
      <w:r w:rsidR="00B6035C">
        <w:rPr>
          <w:rFonts w:ascii="Century Schoolbook" w:eastAsia="Calibri" w:hAnsi="Century Schoolbook"/>
          <w:sz w:val="26"/>
          <w:szCs w:val="22"/>
        </w:rPr>
        <w:t xml:space="preserve"> (accord, </w:t>
      </w:r>
      <w:r w:rsidR="00B6035C">
        <w:rPr>
          <w:rFonts w:ascii="Century Schoolbook" w:eastAsia="Calibri" w:hAnsi="Century Schoolbook"/>
          <w:i/>
          <w:iCs/>
          <w:sz w:val="26"/>
          <w:szCs w:val="22"/>
        </w:rPr>
        <w:t>Von Raesfeld</w:t>
      </w:r>
      <w:r w:rsidRPr="008722BB" w:rsidR="00B6035C">
        <w:rPr>
          <w:rFonts w:ascii="Century Schoolbook" w:eastAsia="Calibri" w:hAnsi="Century Schoolbook"/>
          <w:sz w:val="26"/>
          <w:szCs w:val="22"/>
        </w:rPr>
        <w:t>,</w:t>
      </w:r>
      <w:r w:rsidR="00B6035C">
        <w:rPr>
          <w:rFonts w:ascii="Century Schoolbook" w:eastAsia="Calibri" w:hAnsi="Century Schoolbook"/>
          <w:i/>
          <w:iCs/>
          <w:sz w:val="26"/>
          <w:szCs w:val="22"/>
        </w:rPr>
        <w:t xml:space="preserve"> supra</w:t>
      </w:r>
      <w:r w:rsidR="00B6035C">
        <w:rPr>
          <w:rFonts w:ascii="Century Schoolbook" w:eastAsia="Calibri" w:hAnsi="Century Schoolbook"/>
          <w:sz w:val="26"/>
          <w:szCs w:val="22"/>
        </w:rPr>
        <w:t>, 3 Cal.3d at p. 247 [where issue requires cooperation of multiple cities to solve, it is a matter of statewide concern]).</w:t>
      </w:r>
    </w:p>
    <w:p w:rsidR="00B6035C" w:rsidP="00B944AA" w14:paraId="3169C13F" w14:textId="3D2DD91F">
      <w:pPr>
        <w:spacing w:line="288" w:lineRule="auto"/>
        <w:rPr>
          <w:rFonts w:ascii="Century Schoolbook" w:eastAsia="Calibri" w:hAnsi="Century Schoolbook"/>
          <w:sz w:val="26"/>
          <w:szCs w:val="22"/>
        </w:rPr>
      </w:pPr>
      <w:r>
        <w:rPr>
          <w:rFonts w:ascii="Century Schoolbook" w:eastAsia="Calibri" w:hAnsi="Century Schoolbook"/>
          <w:sz w:val="26"/>
          <w:szCs w:val="22"/>
        </w:rPr>
        <w:tab/>
        <w:t>Not surprisingly, our Legislature in enacting Senate Bill 10 cited the same two reasons—the economic link between housing prices and hous</w:t>
      </w:r>
      <w:r w:rsidR="00A6503C">
        <w:rPr>
          <w:rFonts w:ascii="Century Schoolbook" w:eastAsia="Calibri" w:hAnsi="Century Schoolbook"/>
          <w:sz w:val="26"/>
          <w:szCs w:val="22"/>
        </w:rPr>
        <w:t>ing</w:t>
      </w:r>
      <w:r>
        <w:rPr>
          <w:rFonts w:ascii="Century Schoolbook" w:eastAsia="Calibri" w:hAnsi="Century Schoolbook"/>
          <w:sz w:val="26"/>
          <w:szCs w:val="22"/>
        </w:rPr>
        <w:t xml:space="preserve"> supply as well as NIMBY </w:t>
      </w:r>
      <w:r w:rsidR="00703D66">
        <w:rPr>
          <w:rFonts w:ascii="Century Schoolbook" w:eastAsia="Calibri" w:hAnsi="Century Schoolbook"/>
          <w:sz w:val="26"/>
          <w:szCs w:val="22"/>
        </w:rPr>
        <w:t>pressures</w:t>
      </w:r>
      <w:r>
        <w:rPr>
          <w:rFonts w:ascii="Century Schoolbook" w:eastAsia="Calibri" w:hAnsi="Century Schoolbook"/>
          <w:sz w:val="26"/>
          <w:szCs w:val="22"/>
        </w:rPr>
        <w:t xml:space="preserve">—in explaining why the issue of </w:t>
      </w:r>
      <w:r w:rsidR="003C64CD">
        <w:rPr>
          <w:rFonts w:ascii="Century Schoolbook" w:eastAsia="Calibri" w:hAnsi="Century Schoolbook"/>
          <w:sz w:val="26"/>
          <w:szCs w:val="22"/>
        </w:rPr>
        <w:t xml:space="preserve">an affordable </w:t>
      </w:r>
      <w:r>
        <w:rPr>
          <w:rFonts w:ascii="Century Schoolbook" w:eastAsia="Calibri" w:hAnsi="Century Schoolbook"/>
          <w:sz w:val="26"/>
          <w:szCs w:val="22"/>
        </w:rPr>
        <w:t>housing supply is one of statewide concern.</w:t>
      </w:r>
      <w:r>
        <w:rPr>
          <w:rStyle w:val="FootnoteReference"/>
          <w:rFonts w:ascii="Century Schoolbook" w:eastAsia="Calibri" w:hAnsi="Century Schoolbook"/>
          <w:b/>
          <w:bCs/>
          <w:szCs w:val="22"/>
        </w:rPr>
        <w:footnoteReference w:id="6"/>
      </w:r>
      <w:r>
        <w:rPr>
          <w:rFonts w:ascii="Century Schoolbook" w:eastAsia="Calibri" w:hAnsi="Century Schoolbook"/>
          <w:sz w:val="26"/>
          <w:szCs w:val="22"/>
        </w:rPr>
        <w:t xml:space="preserve">  Regarding economics, the Legislature noted that “[a] major cause of </w:t>
      </w:r>
      <w:r w:rsidR="00665A23">
        <w:rPr>
          <w:rFonts w:ascii="Century Schoolbook" w:eastAsia="Calibri" w:hAnsi="Century Schoolbook"/>
          <w:sz w:val="26"/>
          <w:szCs w:val="22"/>
        </w:rPr>
        <w:t>[</w:t>
      </w:r>
      <w:r>
        <w:rPr>
          <w:rFonts w:ascii="Century Schoolbook" w:eastAsia="Calibri" w:hAnsi="Century Schoolbook"/>
          <w:sz w:val="26"/>
          <w:szCs w:val="22"/>
        </w:rPr>
        <w:t>the</w:t>
      </w:r>
      <w:r w:rsidR="00665A23">
        <w:rPr>
          <w:rFonts w:ascii="Century Schoolbook" w:eastAsia="Calibri" w:hAnsi="Century Schoolbook"/>
          <w:sz w:val="26"/>
          <w:szCs w:val="22"/>
        </w:rPr>
        <w:t>]</w:t>
      </w:r>
      <w:r>
        <w:rPr>
          <w:rFonts w:ascii="Century Schoolbook" w:eastAsia="Calibri" w:hAnsi="Century Schoolbook"/>
          <w:sz w:val="26"/>
          <w:szCs w:val="22"/>
        </w:rPr>
        <w:t xml:space="preserve"> housing crisis is the mismatch between the supply and demand for housing.”</w:t>
      </w:r>
      <w:r w:rsidR="009F7A62">
        <w:rPr>
          <w:rFonts w:ascii="Century Schoolbook" w:eastAsia="Calibri" w:hAnsi="Century Schoolbook"/>
          <w:sz w:val="26"/>
          <w:szCs w:val="22"/>
        </w:rPr>
        <w:t xml:space="preserve">  (</w:t>
      </w:r>
      <w:r w:rsidRPr="00950287" w:rsidR="004F5737">
        <w:rPr>
          <w:rFonts w:ascii="Century Schoolbook" w:hAnsi="Century Schoolbook"/>
          <w:sz w:val="26"/>
          <w:szCs w:val="26"/>
        </w:rPr>
        <w:t>Assem. Com. on Housing and Community Development, Rep. on S</w:t>
      </w:r>
      <w:r w:rsidR="00083122">
        <w:rPr>
          <w:rFonts w:ascii="Century Schoolbook" w:hAnsi="Century Schoolbook"/>
          <w:sz w:val="26"/>
          <w:szCs w:val="26"/>
        </w:rPr>
        <w:t>en. Bill No.</w:t>
      </w:r>
      <w:r w:rsidRPr="00950287" w:rsidR="004F5737">
        <w:rPr>
          <w:rFonts w:ascii="Century Schoolbook" w:hAnsi="Century Schoolbook"/>
          <w:sz w:val="26"/>
          <w:szCs w:val="26"/>
        </w:rPr>
        <w:t xml:space="preserve"> 10</w:t>
      </w:r>
      <w:r w:rsidR="00083122">
        <w:rPr>
          <w:rFonts w:ascii="Century Schoolbook" w:hAnsi="Century Schoolbook"/>
          <w:sz w:val="26"/>
          <w:szCs w:val="26"/>
        </w:rPr>
        <w:t xml:space="preserve"> (2021-2022 Reg. Sess.)</w:t>
      </w:r>
      <w:r w:rsidRPr="00950287" w:rsidR="004F5737">
        <w:rPr>
          <w:rFonts w:ascii="Century Schoolbook" w:hAnsi="Century Schoolbook"/>
          <w:sz w:val="26"/>
          <w:szCs w:val="26"/>
        </w:rPr>
        <w:t xml:space="preserve"> </w:t>
      </w:r>
      <w:r w:rsidR="00F94CB8">
        <w:rPr>
          <w:rFonts w:ascii="Century Schoolbook" w:hAnsi="Century Schoolbook"/>
          <w:sz w:val="26"/>
          <w:szCs w:val="26"/>
        </w:rPr>
        <w:t xml:space="preserve">as amended </w:t>
      </w:r>
      <w:r w:rsidRPr="00950287" w:rsidR="004F5737">
        <w:rPr>
          <w:rFonts w:ascii="Century Schoolbook" w:hAnsi="Century Schoolbook"/>
          <w:sz w:val="26"/>
          <w:szCs w:val="26"/>
        </w:rPr>
        <w:t xml:space="preserve">June </w:t>
      </w:r>
      <w:r w:rsidR="00F94CB8">
        <w:rPr>
          <w:rFonts w:ascii="Century Schoolbook" w:hAnsi="Century Schoolbook"/>
          <w:sz w:val="26"/>
          <w:szCs w:val="26"/>
        </w:rPr>
        <w:t>14</w:t>
      </w:r>
      <w:r w:rsidRPr="00950287" w:rsidR="004F5737">
        <w:rPr>
          <w:rFonts w:ascii="Century Schoolbook" w:hAnsi="Century Schoolbook"/>
          <w:sz w:val="26"/>
          <w:szCs w:val="26"/>
        </w:rPr>
        <w:t xml:space="preserve">, 2021, p. </w:t>
      </w:r>
      <w:r w:rsidR="004F5737">
        <w:rPr>
          <w:rFonts w:ascii="Century Schoolbook" w:hAnsi="Century Schoolbook"/>
          <w:sz w:val="26"/>
          <w:szCs w:val="26"/>
        </w:rPr>
        <w:t>4</w:t>
      </w:r>
      <w:r w:rsidR="009F7A62">
        <w:rPr>
          <w:rFonts w:ascii="Century Schoolbook" w:eastAsia="Calibri" w:hAnsi="Century Schoolbook"/>
          <w:sz w:val="26"/>
          <w:szCs w:val="22"/>
        </w:rPr>
        <w:t>.)</w:t>
      </w:r>
      <w:r>
        <w:rPr>
          <w:rFonts w:ascii="Century Schoolbook" w:eastAsia="Calibri" w:hAnsi="Century Schoolbook"/>
          <w:sz w:val="26"/>
          <w:szCs w:val="22"/>
        </w:rPr>
        <w:t xml:space="preserve"> </w:t>
      </w:r>
      <w:r w:rsidR="00703D66">
        <w:rPr>
          <w:rFonts w:ascii="Century Schoolbook" w:eastAsia="Calibri" w:hAnsi="Century Schoolbook"/>
          <w:sz w:val="26"/>
          <w:szCs w:val="22"/>
        </w:rPr>
        <w:t xml:space="preserve"> </w:t>
      </w:r>
      <w:r>
        <w:rPr>
          <w:rFonts w:ascii="Century Schoolbook" w:eastAsia="Calibri" w:hAnsi="Century Schoolbook"/>
          <w:sz w:val="26"/>
          <w:szCs w:val="22"/>
        </w:rPr>
        <w:t xml:space="preserve">Regarding the NIMBY problem and the need for state intervention, the Legislature noted that “a major factor” contributing to the “state’s lack of housing production” is that “local </w:t>
      </w:r>
      <w:r w:rsidR="009851B9">
        <w:rPr>
          <w:rFonts w:ascii="Century Schoolbook" w:eastAsia="Calibri" w:hAnsi="Century Schoolbook"/>
          <w:sz w:val="26"/>
          <w:szCs w:val="22"/>
        </w:rPr>
        <w:t xml:space="preserve">. . . </w:t>
      </w:r>
      <w:r>
        <w:rPr>
          <w:rFonts w:ascii="Century Schoolbook" w:eastAsia="Calibri" w:hAnsi="Century Schoolbook"/>
          <w:sz w:val="26"/>
          <w:szCs w:val="22"/>
        </w:rPr>
        <w:t xml:space="preserve">governments are quick to respond to vocal community members who may not want new neighbors.” </w:t>
      </w:r>
      <w:r w:rsidR="009F7A62">
        <w:rPr>
          <w:rFonts w:ascii="Century Schoolbook" w:eastAsia="Calibri" w:hAnsi="Century Schoolbook"/>
          <w:sz w:val="26"/>
          <w:szCs w:val="22"/>
        </w:rPr>
        <w:t>(</w:t>
      </w:r>
      <w:r w:rsidRPr="00950287" w:rsidR="004F5737">
        <w:rPr>
          <w:rFonts w:ascii="Century Schoolbook" w:hAnsi="Century Schoolbook"/>
          <w:sz w:val="26"/>
          <w:szCs w:val="26"/>
        </w:rPr>
        <w:t>Sen. Com. on Governance and Finance, Rep. on S</w:t>
      </w:r>
      <w:r w:rsidR="00083122">
        <w:rPr>
          <w:rFonts w:ascii="Century Schoolbook" w:hAnsi="Century Schoolbook"/>
          <w:sz w:val="26"/>
          <w:szCs w:val="26"/>
        </w:rPr>
        <w:t>en. Bill No.</w:t>
      </w:r>
      <w:r w:rsidRPr="00950287" w:rsidR="004F5737">
        <w:rPr>
          <w:rFonts w:ascii="Century Schoolbook" w:hAnsi="Century Schoolbook"/>
          <w:sz w:val="26"/>
          <w:szCs w:val="26"/>
        </w:rPr>
        <w:t xml:space="preserve"> 10 </w:t>
      </w:r>
      <w:r w:rsidR="00083122">
        <w:rPr>
          <w:rFonts w:ascii="Century Schoolbook" w:hAnsi="Century Schoolbook"/>
          <w:sz w:val="26"/>
          <w:szCs w:val="26"/>
        </w:rPr>
        <w:t>(2021-2022 Reg. Sess.)</w:t>
      </w:r>
      <w:r w:rsidRPr="00950287" w:rsidR="00083122">
        <w:rPr>
          <w:rFonts w:ascii="Century Schoolbook" w:hAnsi="Century Schoolbook"/>
          <w:sz w:val="26"/>
          <w:szCs w:val="26"/>
        </w:rPr>
        <w:t xml:space="preserve"> </w:t>
      </w:r>
      <w:r w:rsidR="004D1AEC">
        <w:rPr>
          <w:rFonts w:ascii="Century Schoolbook" w:hAnsi="Century Schoolbook"/>
          <w:sz w:val="26"/>
          <w:szCs w:val="26"/>
        </w:rPr>
        <w:t xml:space="preserve">as amended </w:t>
      </w:r>
      <w:r w:rsidRPr="00950287" w:rsidR="004F5737">
        <w:rPr>
          <w:rFonts w:ascii="Century Schoolbook" w:hAnsi="Century Schoolbook"/>
          <w:sz w:val="26"/>
          <w:szCs w:val="26"/>
        </w:rPr>
        <w:t xml:space="preserve">April </w:t>
      </w:r>
      <w:r w:rsidR="004D1AEC">
        <w:rPr>
          <w:rFonts w:ascii="Century Schoolbook" w:hAnsi="Century Schoolbook"/>
          <w:sz w:val="26"/>
          <w:szCs w:val="26"/>
        </w:rPr>
        <w:t>13</w:t>
      </w:r>
      <w:r w:rsidRPr="00950287" w:rsidR="004F5737">
        <w:rPr>
          <w:rFonts w:ascii="Century Schoolbook" w:hAnsi="Century Schoolbook"/>
          <w:sz w:val="26"/>
          <w:szCs w:val="26"/>
        </w:rPr>
        <w:t>, 2021, pp. 2-3</w:t>
      </w:r>
      <w:r w:rsidR="009F7A62">
        <w:rPr>
          <w:rFonts w:ascii="Century Schoolbook" w:eastAsia="Calibri" w:hAnsi="Century Schoolbook"/>
          <w:sz w:val="26"/>
          <w:szCs w:val="22"/>
        </w:rPr>
        <w:t>.)</w:t>
      </w:r>
    </w:p>
    <w:p w:rsidR="00B6035C" w:rsidP="00B944AA" w14:paraId="10408B7A" w14:textId="7108D2B2">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Petitioners and their amici </w:t>
      </w:r>
      <w:r w:rsidR="00F924E0">
        <w:rPr>
          <w:rFonts w:ascii="Century Schoolbook" w:eastAsia="Calibri" w:hAnsi="Century Schoolbook"/>
          <w:sz w:val="26"/>
          <w:szCs w:val="22"/>
        </w:rPr>
        <w:t xml:space="preserve">curiae </w:t>
      </w:r>
      <w:r>
        <w:rPr>
          <w:rFonts w:ascii="Century Schoolbook" w:eastAsia="Calibri" w:hAnsi="Century Schoolbook"/>
          <w:sz w:val="26"/>
          <w:szCs w:val="22"/>
        </w:rPr>
        <w:t xml:space="preserve">resist our conclusion that Senate Bill 10 addresses an issue of statewide concern with what boils down to two arguments.  First, they argue that it is dangerous to blindly defer to our Legislature’s </w:t>
      </w:r>
      <w:r w:rsidR="00287F4E">
        <w:rPr>
          <w:rFonts w:ascii="Century Schoolbook" w:eastAsia="Calibri" w:hAnsi="Century Schoolbook"/>
          <w:sz w:val="26"/>
          <w:szCs w:val="22"/>
        </w:rPr>
        <w:t>finding</w:t>
      </w:r>
      <w:r>
        <w:rPr>
          <w:rFonts w:ascii="Century Schoolbook" w:eastAsia="Calibri" w:hAnsi="Century Schoolbook"/>
          <w:sz w:val="26"/>
          <w:szCs w:val="22"/>
        </w:rPr>
        <w:t xml:space="preserve"> that an issue is one of statewide concern.  We agree, which is why we have </w:t>
      </w:r>
      <w:r w:rsidR="00287F4E">
        <w:rPr>
          <w:rFonts w:ascii="Century Schoolbook" w:eastAsia="Calibri" w:hAnsi="Century Schoolbook"/>
          <w:sz w:val="26"/>
          <w:szCs w:val="22"/>
        </w:rPr>
        <w:t xml:space="preserve">given that finding great weight but nonetheless </w:t>
      </w:r>
      <w:r>
        <w:rPr>
          <w:rFonts w:ascii="Century Schoolbook" w:eastAsia="Calibri" w:hAnsi="Century Schoolbook"/>
          <w:sz w:val="26"/>
          <w:szCs w:val="22"/>
        </w:rPr>
        <w:t xml:space="preserve">independently examined the </w:t>
      </w:r>
      <w:r w:rsidR="00287F4E">
        <w:rPr>
          <w:rFonts w:ascii="Century Schoolbook" w:eastAsia="Calibri" w:hAnsi="Century Schoolbook"/>
          <w:sz w:val="26"/>
          <w:szCs w:val="22"/>
        </w:rPr>
        <w:t>reasons behind the finding in this case before concluding that it is supported.  Second, amici</w:t>
      </w:r>
      <w:r w:rsidR="00F924E0">
        <w:rPr>
          <w:rFonts w:ascii="Century Schoolbook" w:eastAsia="Calibri" w:hAnsi="Century Schoolbook"/>
          <w:sz w:val="26"/>
          <w:szCs w:val="22"/>
        </w:rPr>
        <w:t xml:space="preserve"> curiae</w:t>
      </w:r>
      <w:r w:rsidR="00287F4E">
        <w:rPr>
          <w:rFonts w:ascii="Century Schoolbook" w:eastAsia="Calibri" w:hAnsi="Century Schoolbook"/>
          <w:sz w:val="26"/>
          <w:szCs w:val="22"/>
        </w:rPr>
        <w:t xml:space="preserve"> argue that the Legislature </w:t>
      </w:r>
      <w:r w:rsidR="009F7A62">
        <w:rPr>
          <w:rFonts w:ascii="Century Schoolbook" w:eastAsia="Calibri" w:hAnsi="Century Schoolbook"/>
          <w:sz w:val="26"/>
          <w:szCs w:val="22"/>
        </w:rPr>
        <w:t>did</w:t>
      </w:r>
      <w:r w:rsidR="00287F4E">
        <w:rPr>
          <w:rFonts w:ascii="Century Schoolbook" w:eastAsia="Calibri" w:hAnsi="Century Schoolbook"/>
          <w:sz w:val="26"/>
          <w:szCs w:val="22"/>
        </w:rPr>
        <w:t xml:space="preserve"> not produce </w:t>
      </w:r>
      <w:r w:rsidR="00703D66">
        <w:rPr>
          <w:rFonts w:ascii="Century Schoolbook" w:eastAsia="Calibri" w:hAnsi="Century Schoolbook"/>
          <w:sz w:val="26"/>
          <w:szCs w:val="22"/>
        </w:rPr>
        <w:t xml:space="preserve">a </w:t>
      </w:r>
      <w:r w:rsidR="00287F4E">
        <w:rPr>
          <w:rFonts w:ascii="Century Schoolbook" w:eastAsia="Calibri" w:hAnsi="Century Schoolbook"/>
          <w:sz w:val="26"/>
          <w:szCs w:val="22"/>
        </w:rPr>
        <w:t xml:space="preserve">sufficient </w:t>
      </w:r>
      <w:r w:rsidR="009F7A62">
        <w:rPr>
          <w:rFonts w:ascii="Century Schoolbook" w:eastAsia="Calibri" w:hAnsi="Century Schoolbook"/>
          <w:sz w:val="26"/>
          <w:szCs w:val="22"/>
        </w:rPr>
        <w:t>evidentiary record t</w:t>
      </w:r>
      <w:r w:rsidR="00287F4E">
        <w:rPr>
          <w:rFonts w:ascii="Century Schoolbook" w:eastAsia="Calibri" w:hAnsi="Century Schoolbook"/>
          <w:sz w:val="26"/>
          <w:szCs w:val="22"/>
        </w:rPr>
        <w:t xml:space="preserve">o establish that there is a shortage as to </w:t>
      </w:r>
      <w:r w:rsidR="00287F4E">
        <w:rPr>
          <w:rFonts w:ascii="Century Schoolbook" w:eastAsia="Calibri" w:hAnsi="Century Schoolbook"/>
          <w:i/>
          <w:iCs/>
          <w:sz w:val="26"/>
          <w:szCs w:val="22"/>
        </w:rPr>
        <w:t>all</w:t>
      </w:r>
      <w:r w:rsidR="00287F4E">
        <w:rPr>
          <w:rFonts w:ascii="Century Schoolbook" w:eastAsia="Calibri" w:hAnsi="Century Schoolbook"/>
          <w:sz w:val="26"/>
          <w:szCs w:val="22"/>
        </w:rPr>
        <w:t xml:space="preserve"> housing, rather than a shortage of </w:t>
      </w:r>
      <w:r w:rsidR="00287F4E">
        <w:rPr>
          <w:rFonts w:ascii="Century Schoolbook" w:eastAsia="Calibri" w:hAnsi="Century Schoolbook"/>
          <w:i/>
          <w:iCs/>
          <w:sz w:val="26"/>
          <w:szCs w:val="22"/>
        </w:rPr>
        <w:t xml:space="preserve">affordable </w:t>
      </w:r>
      <w:r w:rsidR="00287F4E">
        <w:rPr>
          <w:rFonts w:ascii="Century Schoolbook" w:eastAsia="Calibri" w:hAnsi="Century Schoolbook"/>
          <w:sz w:val="26"/>
          <w:szCs w:val="22"/>
        </w:rPr>
        <w:t xml:space="preserve">housing.  To the extent </w:t>
      </w:r>
      <w:r w:rsidR="009F7A62">
        <w:rPr>
          <w:rFonts w:ascii="Century Schoolbook" w:eastAsia="Calibri" w:hAnsi="Century Schoolbook"/>
          <w:sz w:val="26"/>
          <w:szCs w:val="22"/>
        </w:rPr>
        <w:t xml:space="preserve">amici </w:t>
      </w:r>
      <w:r w:rsidR="00F924E0">
        <w:rPr>
          <w:rFonts w:ascii="Century Schoolbook" w:eastAsia="Calibri" w:hAnsi="Century Schoolbook"/>
          <w:sz w:val="26"/>
          <w:szCs w:val="22"/>
        </w:rPr>
        <w:t xml:space="preserve">curiae </w:t>
      </w:r>
      <w:r w:rsidR="009F7A62">
        <w:rPr>
          <w:rFonts w:ascii="Century Schoolbook" w:eastAsia="Calibri" w:hAnsi="Century Schoolbook"/>
          <w:sz w:val="26"/>
          <w:szCs w:val="22"/>
        </w:rPr>
        <w:t>are asserting that the Legislature</w:t>
      </w:r>
      <w:r w:rsidR="00703D66">
        <w:rPr>
          <w:rFonts w:ascii="Century Schoolbook" w:eastAsia="Calibri" w:hAnsi="Century Schoolbook"/>
          <w:sz w:val="26"/>
          <w:szCs w:val="22"/>
        </w:rPr>
        <w:t xml:space="preserve">’s findings are sufficient only if preceded by a </w:t>
      </w:r>
      <w:r w:rsidR="009F7A62">
        <w:rPr>
          <w:rFonts w:ascii="Century Schoolbook" w:eastAsia="Calibri" w:hAnsi="Century Schoolbook"/>
          <w:sz w:val="26"/>
          <w:szCs w:val="22"/>
        </w:rPr>
        <w:t>court-like proceeding supported by evidence, we disagree; our Legislature may not make findings that are arbitrary, irrational</w:t>
      </w:r>
      <w:r w:rsidR="009D1D64">
        <w:rPr>
          <w:rFonts w:ascii="Century Schoolbook" w:eastAsia="Calibri" w:hAnsi="Century Schoolbook"/>
          <w:sz w:val="26"/>
          <w:szCs w:val="22"/>
        </w:rPr>
        <w:t>,</w:t>
      </w:r>
      <w:r w:rsidR="009F7A62">
        <w:rPr>
          <w:rFonts w:ascii="Century Schoolbook" w:eastAsia="Calibri" w:hAnsi="Century Schoolbook"/>
          <w:sz w:val="26"/>
          <w:szCs w:val="22"/>
        </w:rPr>
        <w:t xml:space="preserve"> or based on speculation (</w:t>
      </w:r>
      <w:r w:rsidR="009F7A62">
        <w:rPr>
          <w:rFonts w:ascii="Century Schoolbook" w:eastAsia="Calibri" w:hAnsi="Century Schoolbook"/>
          <w:i/>
          <w:iCs/>
          <w:sz w:val="26"/>
          <w:szCs w:val="22"/>
        </w:rPr>
        <w:t xml:space="preserve">American Academy of Pediatrics v. Lungren </w:t>
      </w:r>
      <w:r w:rsidR="009F7A62">
        <w:rPr>
          <w:rFonts w:ascii="Century Schoolbook" w:eastAsia="Calibri" w:hAnsi="Century Schoolbook"/>
          <w:sz w:val="26"/>
          <w:szCs w:val="22"/>
        </w:rPr>
        <w:t xml:space="preserve">(1997) 16 Cal.4th 307, 349-350, 357-358), but </w:t>
      </w:r>
      <w:r w:rsidR="00D4219D">
        <w:rPr>
          <w:rFonts w:ascii="Century Schoolbook" w:eastAsia="Calibri" w:hAnsi="Century Schoolbook"/>
          <w:sz w:val="26"/>
          <w:szCs w:val="22"/>
        </w:rPr>
        <w:t xml:space="preserve">our Legislature </w:t>
      </w:r>
      <w:r w:rsidR="00703D66">
        <w:rPr>
          <w:rFonts w:ascii="Century Schoolbook" w:eastAsia="Calibri" w:hAnsi="Century Schoolbook"/>
          <w:sz w:val="26"/>
          <w:szCs w:val="22"/>
        </w:rPr>
        <w:t xml:space="preserve">is not a court and thus </w:t>
      </w:r>
      <w:r w:rsidR="009F7A62">
        <w:rPr>
          <w:rFonts w:ascii="Century Schoolbook" w:eastAsia="Calibri" w:hAnsi="Century Schoolbook"/>
          <w:sz w:val="26"/>
          <w:szCs w:val="22"/>
        </w:rPr>
        <w:t xml:space="preserve">has </w:t>
      </w:r>
      <w:r w:rsidR="00AF173C">
        <w:rPr>
          <w:rFonts w:ascii="Century Schoolbook" w:eastAsia="Calibri" w:hAnsi="Century Schoolbook"/>
          <w:sz w:val="26"/>
          <w:szCs w:val="22"/>
        </w:rPr>
        <w:t xml:space="preserve">the </w:t>
      </w:r>
      <w:r w:rsidR="009F7A62">
        <w:rPr>
          <w:rFonts w:ascii="Century Schoolbook" w:eastAsia="Calibri" w:hAnsi="Century Schoolbook"/>
          <w:sz w:val="26"/>
          <w:szCs w:val="22"/>
        </w:rPr>
        <w:t xml:space="preserve">greater latitude necessary to consider not only evidence adduced at legislative hearings, but also to consider policy and other practical considerations.  Further, and as we note above, the increase in housing prices at </w:t>
      </w:r>
      <w:r w:rsidR="009F7A62">
        <w:rPr>
          <w:rFonts w:ascii="Century Schoolbook" w:eastAsia="Calibri" w:hAnsi="Century Schoolbook"/>
          <w:i/>
          <w:iCs/>
          <w:sz w:val="26"/>
          <w:szCs w:val="22"/>
        </w:rPr>
        <w:t>all</w:t>
      </w:r>
      <w:r w:rsidR="009F7A62">
        <w:rPr>
          <w:rFonts w:ascii="Century Schoolbook" w:eastAsia="Calibri" w:hAnsi="Century Schoolbook"/>
          <w:sz w:val="26"/>
          <w:szCs w:val="22"/>
        </w:rPr>
        <w:t xml:space="preserve"> levels reasonably supports the Legislature’s finding that there is a shortage of ho</w:t>
      </w:r>
      <w:r w:rsidR="009D1D64">
        <w:rPr>
          <w:rFonts w:ascii="Century Schoolbook" w:eastAsia="Calibri" w:hAnsi="Century Schoolbook"/>
          <w:sz w:val="26"/>
          <w:szCs w:val="22"/>
        </w:rPr>
        <w:t>u</w:t>
      </w:r>
      <w:r w:rsidR="009F7A62">
        <w:rPr>
          <w:rFonts w:ascii="Century Schoolbook" w:eastAsia="Calibri" w:hAnsi="Century Schoolbook"/>
          <w:sz w:val="26"/>
          <w:szCs w:val="22"/>
        </w:rPr>
        <w:t xml:space="preserve">sing at </w:t>
      </w:r>
      <w:r w:rsidRPr="00703D66" w:rsidR="009F7A62">
        <w:rPr>
          <w:rFonts w:ascii="Century Schoolbook" w:eastAsia="Calibri" w:hAnsi="Century Schoolbook"/>
          <w:i/>
          <w:iCs/>
          <w:sz w:val="26"/>
          <w:szCs w:val="22"/>
        </w:rPr>
        <w:t>all</w:t>
      </w:r>
      <w:r w:rsidR="009F7A62">
        <w:rPr>
          <w:rFonts w:ascii="Century Schoolbook" w:eastAsia="Calibri" w:hAnsi="Century Schoolbook"/>
          <w:sz w:val="26"/>
          <w:szCs w:val="22"/>
        </w:rPr>
        <w:t xml:space="preserve"> of those levels.</w:t>
      </w:r>
    </w:p>
    <w:p w:rsidR="005F6B31" w:rsidP="00B944AA" w14:paraId="7AE24BC8" w14:textId="7955F197">
      <w:pPr>
        <w:spacing w:line="288" w:lineRule="auto"/>
        <w:rPr>
          <w:rFonts w:ascii="Century Schoolbook" w:eastAsia="Calibri" w:hAnsi="Century Schoolbook"/>
          <w:b/>
          <w:bCs/>
          <w:sz w:val="26"/>
          <w:szCs w:val="22"/>
        </w:rPr>
      </w:pPr>
      <w:r>
        <w:rPr>
          <w:rFonts w:ascii="Century Schoolbook" w:eastAsia="Calibri" w:hAnsi="Century Schoolbook"/>
          <w:b/>
          <w:bCs/>
          <w:sz w:val="26"/>
          <w:szCs w:val="22"/>
        </w:rPr>
        <w:t>II.</w:t>
      </w:r>
      <w:r>
        <w:rPr>
          <w:rFonts w:ascii="Century Schoolbook" w:eastAsia="Calibri" w:hAnsi="Century Schoolbook"/>
          <w:b/>
          <w:bCs/>
          <w:sz w:val="26"/>
          <w:szCs w:val="22"/>
        </w:rPr>
        <w:tab/>
      </w:r>
      <w:r w:rsidR="001F018C">
        <w:rPr>
          <w:rFonts w:ascii="Century Schoolbook" w:eastAsia="Calibri" w:hAnsi="Century Schoolbook"/>
          <w:b/>
          <w:bCs/>
          <w:sz w:val="26"/>
          <w:szCs w:val="22"/>
        </w:rPr>
        <w:t>Has</w:t>
      </w:r>
      <w:r>
        <w:rPr>
          <w:rFonts w:ascii="Century Schoolbook" w:eastAsia="Calibri" w:hAnsi="Century Schoolbook"/>
          <w:b/>
          <w:bCs/>
          <w:sz w:val="26"/>
          <w:szCs w:val="22"/>
        </w:rPr>
        <w:t xml:space="preserve"> Senate Bill 10 Displace</w:t>
      </w:r>
      <w:r w:rsidR="001F018C">
        <w:rPr>
          <w:rFonts w:ascii="Century Schoolbook" w:eastAsia="Calibri" w:hAnsi="Century Schoolbook"/>
          <w:b/>
          <w:bCs/>
          <w:sz w:val="26"/>
          <w:szCs w:val="22"/>
        </w:rPr>
        <w:t>d</w:t>
      </w:r>
      <w:r>
        <w:rPr>
          <w:rFonts w:ascii="Century Schoolbook" w:eastAsia="Calibri" w:hAnsi="Century Schoolbook"/>
          <w:b/>
          <w:bCs/>
          <w:sz w:val="26"/>
          <w:szCs w:val="22"/>
        </w:rPr>
        <w:t xml:space="preserve"> Local Laws </w:t>
      </w:r>
      <w:r w:rsidR="009D1D64">
        <w:rPr>
          <w:rFonts w:ascii="Century Schoolbook" w:eastAsia="Calibri" w:hAnsi="Century Schoolbook"/>
          <w:b/>
          <w:bCs/>
          <w:sz w:val="26"/>
          <w:szCs w:val="22"/>
        </w:rPr>
        <w:t xml:space="preserve">Setting </w:t>
      </w:r>
      <w:r>
        <w:rPr>
          <w:rFonts w:ascii="Century Schoolbook" w:eastAsia="Calibri" w:hAnsi="Century Schoolbook"/>
          <w:b/>
          <w:bCs/>
          <w:sz w:val="26"/>
          <w:szCs w:val="22"/>
        </w:rPr>
        <w:t>Housing Density Caps?</w:t>
      </w:r>
    </w:p>
    <w:p w:rsidR="005F6B31" w:rsidRPr="005F6B31" w:rsidP="00B944AA" w14:paraId="15CADBB3" w14:textId="7C92AB39">
      <w:pPr>
        <w:spacing w:line="288" w:lineRule="auto"/>
        <w:rPr>
          <w:rFonts w:ascii="Century Schoolbook" w:eastAsia="Calibri" w:hAnsi="Century Schoolbook"/>
          <w:b/>
          <w:bCs/>
          <w:i/>
          <w:iCs/>
          <w:sz w:val="26"/>
          <w:szCs w:val="22"/>
        </w:rPr>
      </w:pPr>
      <w:r>
        <w:rPr>
          <w:rFonts w:ascii="Century Schoolbook" w:eastAsia="Calibri" w:hAnsi="Century Schoolbook"/>
          <w:b/>
          <w:bCs/>
          <w:sz w:val="26"/>
          <w:szCs w:val="22"/>
        </w:rPr>
        <w:tab/>
        <w:t>A.</w:t>
      </w:r>
      <w:r>
        <w:rPr>
          <w:rFonts w:ascii="Century Schoolbook" w:eastAsia="Calibri" w:hAnsi="Century Schoolbook"/>
          <w:b/>
          <w:bCs/>
          <w:sz w:val="26"/>
          <w:szCs w:val="22"/>
        </w:rPr>
        <w:tab/>
      </w:r>
      <w:r>
        <w:rPr>
          <w:rFonts w:ascii="Century Schoolbook" w:eastAsia="Calibri" w:hAnsi="Century Schoolbook"/>
          <w:b/>
          <w:bCs/>
          <w:i/>
          <w:iCs/>
          <w:sz w:val="26"/>
          <w:szCs w:val="22"/>
        </w:rPr>
        <w:t xml:space="preserve">Has Senate Bill 10 displaced those caps under the </w:t>
      </w:r>
      <w:r w:rsidR="00D0776A">
        <w:rPr>
          <w:rFonts w:ascii="Century Schoolbook" w:eastAsia="Calibri" w:hAnsi="Century Schoolbook"/>
          <w:b/>
          <w:bCs/>
          <w:i/>
          <w:iCs/>
          <w:sz w:val="26"/>
          <w:szCs w:val="22"/>
        </w:rPr>
        <w:t>law</w:t>
      </w:r>
      <w:r w:rsidR="00BF53DF">
        <w:rPr>
          <w:rFonts w:ascii="Century Schoolbook" w:eastAsia="Calibri" w:hAnsi="Century Schoolbook"/>
          <w:b/>
          <w:bCs/>
          <w:i/>
          <w:iCs/>
          <w:sz w:val="26"/>
          <w:szCs w:val="22"/>
        </w:rPr>
        <w:t xml:space="preserve"> </w:t>
      </w:r>
      <w:r>
        <w:rPr>
          <w:rFonts w:ascii="Century Schoolbook" w:eastAsia="Calibri" w:hAnsi="Century Schoolbook"/>
          <w:b/>
          <w:bCs/>
          <w:i/>
          <w:iCs/>
          <w:sz w:val="26"/>
          <w:szCs w:val="22"/>
        </w:rPr>
        <w:t>governing preemption of local laws by state law?</w:t>
      </w:r>
    </w:p>
    <w:p w:rsidR="00D95E92" w:rsidP="00B944AA" w14:paraId="54B3FC9C" w14:textId="3D6BD538">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Our Legislature may displace ordinances enacted by local governments either </w:t>
      </w:r>
      <w:r>
        <w:rPr>
          <w:rFonts w:ascii="Century Schoolbook" w:eastAsia="Calibri" w:hAnsi="Century Schoolbook"/>
          <w:i/>
          <w:iCs/>
          <w:sz w:val="26"/>
          <w:szCs w:val="22"/>
        </w:rPr>
        <w:t>expressly</w:t>
      </w:r>
      <w:r>
        <w:rPr>
          <w:rFonts w:ascii="Century Schoolbook" w:eastAsia="Calibri" w:hAnsi="Century Schoolbook"/>
          <w:sz w:val="26"/>
          <w:szCs w:val="22"/>
        </w:rPr>
        <w:t xml:space="preserve"> or </w:t>
      </w:r>
      <w:r>
        <w:rPr>
          <w:rFonts w:ascii="Century Schoolbook" w:eastAsia="Calibri" w:hAnsi="Century Schoolbook"/>
          <w:i/>
          <w:iCs/>
          <w:sz w:val="26"/>
          <w:szCs w:val="22"/>
        </w:rPr>
        <w:t xml:space="preserve">by implication.  </w:t>
      </w:r>
      <w:r>
        <w:rPr>
          <w:rFonts w:ascii="Century Schoolbook" w:eastAsia="Calibri" w:hAnsi="Century Schoolbook"/>
          <w:sz w:val="26"/>
          <w:szCs w:val="22"/>
        </w:rPr>
        <w:t>(</w:t>
      </w:r>
      <w:r>
        <w:rPr>
          <w:rFonts w:ascii="Century Schoolbook" w:eastAsia="Calibri" w:hAnsi="Century Schoolbook"/>
          <w:i/>
          <w:iCs/>
          <w:sz w:val="26"/>
          <w:szCs w:val="22"/>
        </w:rPr>
        <w:t>Sherwin-Williams</w:t>
      </w:r>
      <w:r>
        <w:rPr>
          <w:rFonts w:ascii="Century Schoolbook" w:eastAsia="Calibri" w:hAnsi="Century Schoolbook"/>
          <w:sz w:val="26"/>
          <w:szCs w:val="22"/>
        </w:rPr>
        <w:t xml:space="preserve">, </w:t>
      </w:r>
      <w:r>
        <w:rPr>
          <w:rFonts w:ascii="Century Schoolbook" w:eastAsia="Calibri" w:hAnsi="Century Schoolbook"/>
          <w:i/>
          <w:iCs/>
          <w:sz w:val="26"/>
          <w:szCs w:val="22"/>
        </w:rPr>
        <w:t>supra</w:t>
      </w:r>
      <w:r>
        <w:rPr>
          <w:rFonts w:ascii="Century Schoolbook" w:eastAsia="Calibri" w:hAnsi="Century Schoolbook"/>
          <w:sz w:val="26"/>
          <w:szCs w:val="22"/>
        </w:rPr>
        <w:t>, 4 Cal.4th at p. 897.)  The Legislature impliedly preempts—and thus invalidates—“local legislation” if that legislation (1) “is ‘duplicative’” of the state law, (2) contradicts or is inimical to the state law, or (3) addresses “an area that is ‘fully occupied’ by” state law “when the Legislature has expressly manifested its intent to ‘fully occupy’ the area.”  (</w:t>
      </w:r>
      <w:r>
        <w:rPr>
          <w:rFonts w:ascii="Century Schoolbook" w:eastAsia="Calibri" w:hAnsi="Century Schoolbook"/>
          <w:i/>
          <w:iCs/>
          <w:sz w:val="26"/>
          <w:szCs w:val="22"/>
        </w:rPr>
        <w:t>Id.</w:t>
      </w:r>
      <w:r>
        <w:rPr>
          <w:rFonts w:ascii="Century Schoolbook" w:eastAsia="Calibri" w:hAnsi="Century Schoolbook"/>
          <w:sz w:val="26"/>
          <w:szCs w:val="22"/>
        </w:rPr>
        <w:t xml:space="preserve">, at pp. 897-898; </w:t>
      </w:r>
      <w:r>
        <w:rPr>
          <w:rFonts w:ascii="Century Schoolbook" w:eastAsia="Calibri" w:hAnsi="Century Schoolbook"/>
          <w:i/>
          <w:iCs/>
          <w:sz w:val="26"/>
          <w:szCs w:val="22"/>
        </w:rPr>
        <w:t>Chevron U</w:t>
      </w:r>
      <w:r w:rsidR="009D1D64">
        <w:rPr>
          <w:rFonts w:ascii="Century Schoolbook" w:eastAsia="Calibri" w:hAnsi="Century Schoolbook"/>
          <w:i/>
          <w:iCs/>
          <w:sz w:val="26"/>
          <w:szCs w:val="22"/>
        </w:rPr>
        <w:t>.</w:t>
      </w:r>
      <w:r>
        <w:rPr>
          <w:rFonts w:ascii="Century Schoolbook" w:eastAsia="Calibri" w:hAnsi="Century Schoolbook"/>
          <w:i/>
          <w:iCs/>
          <w:sz w:val="26"/>
          <w:szCs w:val="22"/>
        </w:rPr>
        <w:t>S</w:t>
      </w:r>
      <w:r w:rsidR="009D1D64">
        <w:rPr>
          <w:rFonts w:ascii="Century Schoolbook" w:eastAsia="Calibri" w:hAnsi="Century Schoolbook"/>
          <w:i/>
          <w:iCs/>
          <w:sz w:val="26"/>
          <w:szCs w:val="22"/>
        </w:rPr>
        <w:t>.</w:t>
      </w:r>
      <w:r>
        <w:rPr>
          <w:rFonts w:ascii="Century Schoolbook" w:eastAsia="Calibri" w:hAnsi="Century Schoolbook"/>
          <w:i/>
          <w:iCs/>
          <w:sz w:val="26"/>
          <w:szCs w:val="22"/>
        </w:rPr>
        <w:t>A</w:t>
      </w:r>
      <w:r w:rsidR="009D1D64">
        <w:rPr>
          <w:rFonts w:ascii="Century Schoolbook" w:eastAsia="Calibri" w:hAnsi="Century Schoolbook"/>
          <w:i/>
          <w:iCs/>
          <w:sz w:val="26"/>
          <w:szCs w:val="22"/>
        </w:rPr>
        <w:t>.</w:t>
      </w:r>
      <w:r>
        <w:rPr>
          <w:rFonts w:ascii="Century Schoolbook" w:eastAsia="Calibri" w:hAnsi="Century Schoolbook"/>
          <w:i/>
          <w:iCs/>
          <w:sz w:val="26"/>
          <w:szCs w:val="22"/>
        </w:rPr>
        <w:t xml:space="preserve"> Inc. v. County of Monterey</w:t>
      </w:r>
      <w:r>
        <w:rPr>
          <w:rFonts w:ascii="Century Schoolbook" w:eastAsia="Calibri" w:hAnsi="Century Schoolbook"/>
          <w:sz w:val="26"/>
          <w:szCs w:val="22"/>
        </w:rPr>
        <w:t xml:space="preserve"> (2023) 15 Cal.5th 135, 142 (</w:t>
      </w:r>
      <w:r>
        <w:rPr>
          <w:rFonts w:ascii="Century Schoolbook" w:eastAsia="Calibri" w:hAnsi="Century Schoolbook"/>
          <w:i/>
          <w:iCs/>
          <w:sz w:val="26"/>
          <w:szCs w:val="22"/>
        </w:rPr>
        <w:t>Chevron</w:t>
      </w:r>
      <w:r>
        <w:rPr>
          <w:rFonts w:ascii="Century Schoolbook" w:eastAsia="Calibri" w:hAnsi="Century Schoolbook"/>
          <w:sz w:val="26"/>
          <w:szCs w:val="22"/>
        </w:rPr>
        <w:t xml:space="preserve">); </w:t>
      </w:r>
      <w:r>
        <w:rPr>
          <w:rFonts w:ascii="Century Schoolbook" w:eastAsia="Calibri" w:hAnsi="Century Schoolbook"/>
          <w:i/>
          <w:iCs/>
          <w:sz w:val="26"/>
          <w:szCs w:val="22"/>
        </w:rPr>
        <w:t>American Financial Services Assn. v. City of Oakland</w:t>
      </w:r>
      <w:r>
        <w:rPr>
          <w:rFonts w:ascii="Century Schoolbook" w:eastAsia="Calibri" w:hAnsi="Century Schoolbook"/>
          <w:sz w:val="26"/>
          <w:szCs w:val="22"/>
        </w:rPr>
        <w:t xml:space="preserve"> (2005) 34 Cal.4th 1239, 1251-1252.)</w:t>
      </w:r>
    </w:p>
    <w:p w:rsidR="00D95E92" w:rsidP="00B944AA" w14:paraId="35C40E91" w14:textId="6CDFA267">
      <w:pPr>
        <w:spacing w:line="288" w:lineRule="auto"/>
        <w:rPr>
          <w:rFonts w:ascii="Century Schoolbook" w:eastAsia="Calibri" w:hAnsi="Century Schoolbook"/>
          <w:sz w:val="26"/>
          <w:szCs w:val="22"/>
        </w:rPr>
      </w:pPr>
      <w:r>
        <w:rPr>
          <w:rFonts w:ascii="Century Schoolbook" w:eastAsia="Calibri" w:hAnsi="Century Schoolbook"/>
          <w:sz w:val="26"/>
          <w:szCs w:val="22"/>
        </w:rPr>
        <w:tab/>
        <w:t>A local law contradicts and is inimical to</w:t>
      </w:r>
      <w:r w:rsidR="00F134DB">
        <w:rPr>
          <w:rFonts w:ascii="Century Schoolbook" w:eastAsia="Calibri" w:hAnsi="Century Schoolbook"/>
          <w:sz w:val="26"/>
          <w:szCs w:val="22"/>
        </w:rPr>
        <w:t>—and therefore conflicts with—</w:t>
      </w:r>
      <w:r>
        <w:rPr>
          <w:rFonts w:ascii="Century Schoolbook" w:eastAsia="Calibri" w:hAnsi="Century Schoolbook"/>
          <w:sz w:val="26"/>
          <w:szCs w:val="22"/>
        </w:rPr>
        <w:t xml:space="preserve">a state law in two situations pertinent here.  First, a local law contradicts a state law when the local law says, “You </w:t>
      </w:r>
      <w:r>
        <w:rPr>
          <w:rFonts w:ascii="Century Schoolbook" w:eastAsia="Calibri" w:hAnsi="Century Schoolbook"/>
          <w:i/>
          <w:iCs/>
          <w:sz w:val="26"/>
          <w:szCs w:val="22"/>
        </w:rPr>
        <w:t xml:space="preserve">cannot </w:t>
      </w:r>
      <w:r>
        <w:rPr>
          <w:rFonts w:ascii="Century Schoolbook" w:eastAsia="Calibri" w:hAnsi="Century Schoolbook"/>
          <w:sz w:val="26"/>
          <w:szCs w:val="22"/>
        </w:rPr>
        <w:t>do X</w:t>
      </w:r>
      <w:r w:rsidR="00554686">
        <w:rPr>
          <w:rFonts w:ascii="Century Schoolbook" w:eastAsia="Calibri" w:hAnsi="Century Schoolbook"/>
          <w:sz w:val="26"/>
          <w:szCs w:val="22"/>
        </w:rPr>
        <w:t>,</w:t>
      </w:r>
      <w:r>
        <w:rPr>
          <w:rFonts w:ascii="Century Schoolbook" w:eastAsia="Calibri" w:hAnsi="Century Schoolbook"/>
          <w:sz w:val="26"/>
          <w:szCs w:val="22"/>
        </w:rPr>
        <w:t xml:space="preserve">” and the state law says, “You </w:t>
      </w:r>
      <w:r>
        <w:rPr>
          <w:rFonts w:ascii="Century Schoolbook" w:eastAsia="Calibri" w:hAnsi="Century Schoolbook"/>
          <w:i/>
          <w:iCs/>
          <w:sz w:val="26"/>
          <w:szCs w:val="22"/>
        </w:rPr>
        <w:t>must</w:t>
      </w:r>
      <w:r>
        <w:rPr>
          <w:rFonts w:ascii="Century Schoolbook" w:eastAsia="Calibri" w:hAnsi="Century Schoolbook"/>
          <w:sz w:val="26"/>
          <w:szCs w:val="22"/>
        </w:rPr>
        <w:t xml:space="preserve"> do X.”  In this situation, the local law is preempted because “the [local] ordinance directly . . . prohibits what the state enactment </w:t>
      </w:r>
      <w:r>
        <w:rPr>
          <w:rFonts w:ascii="Century Schoolbook" w:eastAsia="Calibri" w:hAnsi="Century Schoolbook"/>
          <w:i/>
          <w:iCs/>
          <w:sz w:val="26"/>
          <w:szCs w:val="22"/>
        </w:rPr>
        <w:t>demands.</w:t>
      </w:r>
      <w:r>
        <w:rPr>
          <w:rFonts w:ascii="Century Schoolbook" w:eastAsia="Calibri" w:hAnsi="Century Schoolbook"/>
          <w:sz w:val="26"/>
          <w:szCs w:val="22"/>
        </w:rPr>
        <w:t xml:space="preserve">” </w:t>
      </w:r>
      <w:r w:rsidR="00C3393B">
        <w:rPr>
          <w:rFonts w:ascii="Century Schoolbook" w:eastAsia="Calibri" w:hAnsi="Century Schoolbook"/>
          <w:sz w:val="26"/>
          <w:szCs w:val="22"/>
        </w:rPr>
        <w:t xml:space="preserve"> (</w:t>
      </w:r>
      <w:r w:rsidR="00C3393B">
        <w:rPr>
          <w:rFonts w:ascii="Century Schoolbook" w:eastAsia="Calibri" w:hAnsi="Century Schoolbook"/>
          <w:i/>
          <w:iCs/>
          <w:sz w:val="26"/>
          <w:szCs w:val="22"/>
        </w:rPr>
        <w:t>City of Riverside v. Inland Empire Patients Health &amp; Wellness Center, Inc.</w:t>
      </w:r>
      <w:r w:rsidR="00C3393B">
        <w:rPr>
          <w:rFonts w:ascii="Century Schoolbook" w:eastAsia="Calibri" w:hAnsi="Century Schoolbook"/>
          <w:sz w:val="26"/>
          <w:szCs w:val="22"/>
        </w:rPr>
        <w:t xml:space="preserve"> (2013) 56 Cal.4th 729, 743 (</w:t>
      </w:r>
      <w:r w:rsidR="00C3393B">
        <w:rPr>
          <w:rFonts w:ascii="Century Schoolbook" w:eastAsia="Calibri" w:hAnsi="Century Schoolbook"/>
          <w:i/>
          <w:iCs/>
          <w:sz w:val="26"/>
          <w:szCs w:val="22"/>
        </w:rPr>
        <w:t>City of Riverside</w:t>
      </w:r>
      <w:r w:rsidR="00C3393B">
        <w:rPr>
          <w:rFonts w:ascii="Century Schoolbook" w:eastAsia="Calibri" w:hAnsi="Century Schoolbook"/>
          <w:sz w:val="26"/>
          <w:szCs w:val="22"/>
        </w:rPr>
        <w:t>)</w:t>
      </w:r>
      <w:r w:rsidR="00703D66">
        <w:rPr>
          <w:rFonts w:ascii="Century Schoolbook" w:eastAsia="Calibri" w:hAnsi="Century Schoolbook"/>
          <w:sz w:val="26"/>
          <w:szCs w:val="22"/>
        </w:rPr>
        <w:t>, italics added</w:t>
      </w:r>
      <w:r w:rsidR="00C3393B">
        <w:rPr>
          <w:rFonts w:ascii="Century Schoolbook" w:eastAsia="Calibri" w:hAnsi="Century Schoolbook"/>
          <w:sz w:val="26"/>
          <w:szCs w:val="22"/>
        </w:rPr>
        <w:t>.)</w:t>
      </w:r>
      <w:r>
        <w:rPr>
          <w:rStyle w:val="FootnoteReference"/>
          <w:rFonts w:ascii="Century Schoolbook" w:eastAsia="Calibri" w:hAnsi="Century Schoolbook"/>
          <w:b/>
          <w:bCs/>
          <w:szCs w:val="22"/>
        </w:rPr>
        <w:footnoteReference w:id="7"/>
      </w:r>
      <w:r w:rsidR="00C3393B">
        <w:rPr>
          <w:rFonts w:ascii="Century Schoolbook" w:eastAsia="Calibri" w:hAnsi="Century Schoolbook"/>
          <w:sz w:val="26"/>
          <w:szCs w:val="22"/>
        </w:rPr>
        <w:t xml:space="preserve">  Second, a local law contradicts a state law when the local law says, “You </w:t>
      </w:r>
      <w:r w:rsidR="00C3393B">
        <w:rPr>
          <w:rFonts w:ascii="Century Schoolbook" w:eastAsia="Calibri" w:hAnsi="Century Schoolbook"/>
          <w:i/>
          <w:iCs/>
          <w:sz w:val="26"/>
          <w:szCs w:val="22"/>
        </w:rPr>
        <w:t>cannot</w:t>
      </w:r>
      <w:r w:rsidR="00C3393B">
        <w:rPr>
          <w:rFonts w:ascii="Century Schoolbook" w:eastAsia="Calibri" w:hAnsi="Century Schoolbook"/>
          <w:sz w:val="26"/>
          <w:szCs w:val="22"/>
        </w:rPr>
        <w:t xml:space="preserve"> do X</w:t>
      </w:r>
      <w:r w:rsidR="00554686">
        <w:rPr>
          <w:rFonts w:ascii="Century Schoolbook" w:eastAsia="Calibri" w:hAnsi="Century Schoolbook"/>
          <w:sz w:val="26"/>
          <w:szCs w:val="22"/>
        </w:rPr>
        <w:t>,</w:t>
      </w:r>
      <w:r w:rsidR="00C3393B">
        <w:rPr>
          <w:rFonts w:ascii="Century Schoolbook" w:eastAsia="Calibri" w:hAnsi="Century Schoolbook"/>
          <w:sz w:val="26"/>
          <w:szCs w:val="22"/>
        </w:rPr>
        <w:t>” and the state law says, “You have the option of doing X, Y</w:t>
      </w:r>
      <w:r w:rsidR="00575657">
        <w:rPr>
          <w:rFonts w:ascii="Century Schoolbook" w:eastAsia="Calibri" w:hAnsi="Century Schoolbook"/>
          <w:sz w:val="26"/>
          <w:szCs w:val="22"/>
        </w:rPr>
        <w:t>,</w:t>
      </w:r>
      <w:r w:rsidR="00C3393B">
        <w:rPr>
          <w:rFonts w:ascii="Century Schoolbook" w:eastAsia="Calibri" w:hAnsi="Century Schoolbook"/>
          <w:sz w:val="26"/>
          <w:szCs w:val="22"/>
        </w:rPr>
        <w:t xml:space="preserve"> or Z.”  In this situation, the local law is preempted because </w:t>
      </w:r>
      <w:r w:rsidR="00794387">
        <w:rPr>
          <w:rFonts w:ascii="Century Schoolbook" w:eastAsia="Calibri" w:hAnsi="Century Schoolbook"/>
          <w:sz w:val="26"/>
          <w:szCs w:val="22"/>
        </w:rPr>
        <w:t xml:space="preserve">the </w:t>
      </w:r>
      <w:r w:rsidR="00854534">
        <w:rPr>
          <w:rFonts w:ascii="Century Schoolbook" w:eastAsia="Calibri" w:hAnsi="Century Schoolbook"/>
          <w:sz w:val="26"/>
          <w:szCs w:val="22"/>
        </w:rPr>
        <w:t>“‘</w:t>
      </w:r>
      <w:r w:rsidR="00794387">
        <w:rPr>
          <w:rFonts w:ascii="Century Schoolbook" w:eastAsia="Calibri" w:hAnsi="Century Schoolbook"/>
          <w:sz w:val="26"/>
          <w:szCs w:val="22"/>
        </w:rPr>
        <w:t xml:space="preserve">local [ordinance] prohibits . . . what the [state] statute </w:t>
      </w:r>
      <w:r w:rsidRPr="00703D66" w:rsidR="00794387">
        <w:rPr>
          <w:rFonts w:ascii="Century Schoolbook" w:eastAsia="Calibri" w:hAnsi="Century Schoolbook"/>
          <w:i/>
          <w:iCs/>
          <w:sz w:val="26"/>
          <w:szCs w:val="22"/>
        </w:rPr>
        <w:t>permits or authorizes</w:t>
      </w:r>
      <w:r w:rsidR="00794387">
        <w:rPr>
          <w:rFonts w:ascii="Century Schoolbook" w:eastAsia="Calibri" w:hAnsi="Century Schoolbook"/>
          <w:sz w:val="26"/>
          <w:szCs w:val="22"/>
        </w:rPr>
        <w:t>.</w:t>
      </w:r>
      <w:r w:rsidR="00854534">
        <w:rPr>
          <w:rFonts w:ascii="Century Schoolbook" w:eastAsia="Calibri" w:hAnsi="Century Schoolbook"/>
          <w:sz w:val="26"/>
          <w:szCs w:val="22"/>
        </w:rPr>
        <w:t>’</w:t>
      </w:r>
      <w:r w:rsidR="00794387">
        <w:rPr>
          <w:rFonts w:ascii="Century Schoolbook" w:eastAsia="Calibri" w:hAnsi="Century Schoolbook"/>
          <w:sz w:val="26"/>
          <w:szCs w:val="22"/>
        </w:rPr>
        <w:t>”  (</w:t>
      </w:r>
      <w:r w:rsidR="00794387">
        <w:rPr>
          <w:rFonts w:ascii="Century Schoolbook" w:eastAsia="Calibri" w:hAnsi="Century Schoolbook"/>
          <w:i/>
          <w:iCs/>
          <w:sz w:val="26"/>
          <w:szCs w:val="22"/>
        </w:rPr>
        <w:t>Chevron</w:t>
      </w:r>
      <w:r w:rsidRPr="008722BB" w:rsidR="00794387">
        <w:rPr>
          <w:rFonts w:ascii="Century Schoolbook" w:eastAsia="Calibri" w:hAnsi="Century Schoolbook"/>
          <w:sz w:val="26"/>
          <w:szCs w:val="22"/>
        </w:rPr>
        <w:t xml:space="preserve">, </w:t>
      </w:r>
      <w:r w:rsidR="00794387">
        <w:rPr>
          <w:rFonts w:ascii="Century Schoolbook" w:eastAsia="Calibri" w:hAnsi="Century Schoolbook"/>
          <w:i/>
          <w:iCs/>
          <w:sz w:val="26"/>
          <w:szCs w:val="22"/>
        </w:rPr>
        <w:t>supra</w:t>
      </w:r>
      <w:r w:rsidR="00794387">
        <w:rPr>
          <w:rFonts w:ascii="Century Schoolbook" w:eastAsia="Calibri" w:hAnsi="Century Schoolbook"/>
          <w:sz w:val="26"/>
          <w:szCs w:val="22"/>
        </w:rPr>
        <w:t>, 15 Cal.5th at p. 149</w:t>
      </w:r>
      <w:r w:rsidR="00703D66">
        <w:rPr>
          <w:rFonts w:ascii="Century Schoolbook" w:eastAsia="Calibri" w:hAnsi="Century Schoolbook"/>
          <w:sz w:val="26"/>
          <w:szCs w:val="22"/>
        </w:rPr>
        <w:t>, italics added</w:t>
      </w:r>
      <w:r w:rsidR="00794387">
        <w:rPr>
          <w:rFonts w:ascii="Century Schoolbook" w:eastAsia="Calibri" w:hAnsi="Century Schoolbook"/>
          <w:sz w:val="26"/>
          <w:szCs w:val="22"/>
        </w:rPr>
        <w:t xml:space="preserve">.)  </w:t>
      </w:r>
    </w:p>
    <w:p w:rsidR="00F55501" w:rsidRPr="00BE7B1D" w:rsidP="00B944AA" w14:paraId="13556FDD" w14:textId="25E2D17E">
      <w:pPr>
        <w:spacing w:line="288" w:lineRule="auto"/>
        <w:rPr>
          <w:rFonts w:ascii="Century Schoolbook" w:eastAsia="Calibri" w:hAnsi="Century Schoolbook"/>
          <w:sz w:val="26"/>
          <w:szCs w:val="22"/>
        </w:rPr>
      </w:pPr>
      <w:r>
        <w:rPr>
          <w:rFonts w:ascii="Century Schoolbook" w:eastAsia="Calibri" w:hAnsi="Century Schoolbook"/>
          <w:sz w:val="26"/>
          <w:szCs w:val="22"/>
        </w:rPr>
        <w:tab/>
      </w:r>
      <w:r w:rsidR="00A67528">
        <w:rPr>
          <w:rFonts w:ascii="Century Schoolbook" w:eastAsia="Calibri" w:hAnsi="Century Schoolbook"/>
          <w:sz w:val="26"/>
          <w:szCs w:val="22"/>
        </w:rPr>
        <w:t xml:space="preserve">We hold that </w:t>
      </w:r>
      <w:r>
        <w:rPr>
          <w:rFonts w:ascii="Century Schoolbook" w:eastAsia="Calibri" w:hAnsi="Century Schoolbook"/>
          <w:sz w:val="26"/>
          <w:szCs w:val="22"/>
        </w:rPr>
        <w:t xml:space="preserve">Senate Bill </w:t>
      </w:r>
      <w:r w:rsidR="00A67528">
        <w:rPr>
          <w:rFonts w:ascii="Century Schoolbook" w:eastAsia="Calibri" w:hAnsi="Century Schoolbook"/>
          <w:sz w:val="26"/>
          <w:szCs w:val="22"/>
        </w:rPr>
        <w:t xml:space="preserve">10 </w:t>
      </w:r>
      <w:r>
        <w:rPr>
          <w:rFonts w:ascii="Century Schoolbook" w:eastAsia="Calibri" w:hAnsi="Century Schoolbook"/>
          <w:sz w:val="26"/>
          <w:szCs w:val="22"/>
        </w:rPr>
        <w:t xml:space="preserve">effects a limited preemption of local housing density caps.  Given that section 65913.5 explicitly grants local legislative bodies the power to supersede local housing density caps under certain circumstances, there is a good argument to be made that Senate Bill 10 expressly preempts those caps.  We need not confront that issue, however, because local housing destiny caps conflict with and are inimical to Senate Bill 10.  That is because those caps tell the local legislative body, “You cannot do X [where X is approving a project that exceeds the locally enacted housing density cap],” while Senate Bill 10 tells the local legislative body, “You have the option of doing X [opting to exceed the cap] or doing Y [opting not to exceed the cap].”  In this situation, the local housing caps “prohibit” what Senate Bill 10 “permits or authorizes.”  </w:t>
      </w:r>
      <w:r w:rsidR="00BE7B1D">
        <w:rPr>
          <w:rFonts w:ascii="Century Schoolbook" w:eastAsia="Calibri" w:hAnsi="Century Schoolbook"/>
          <w:sz w:val="26"/>
          <w:szCs w:val="22"/>
        </w:rPr>
        <w:t>This is analogous to the analysis in</w:t>
      </w:r>
      <w:r w:rsidR="00BE7B1D">
        <w:rPr>
          <w:rFonts w:ascii="Century Schoolbook" w:eastAsia="Calibri" w:hAnsi="Century Schoolbook"/>
          <w:i/>
          <w:iCs/>
          <w:sz w:val="26"/>
          <w:szCs w:val="22"/>
        </w:rPr>
        <w:t xml:space="preserve"> Chevron</w:t>
      </w:r>
      <w:r w:rsidR="00BE7B1D">
        <w:rPr>
          <w:rFonts w:ascii="Century Schoolbook" w:eastAsia="Calibri" w:hAnsi="Century Schoolbook"/>
          <w:sz w:val="26"/>
          <w:szCs w:val="22"/>
        </w:rPr>
        <w:t xml:space="preserve">, where the </w:t>
      </w:r>
      <w:r w:rsidR="00575657">
        <w:rPr>
          <w:rFonts w:ascii="Century Schoolbook" w:eastAsia="Calibri" w:hAnsi="Century Schoolbook"/>
          <w:sz w:val="26"/>
          <w:szCs w:val="22"/>
        </w:rPr>
        <w:t>Supreme C</w:t>
      </w:r>
      <w:r w:rsidR="00BE7B1D">
        <w:rPr>
          <w:rFonts w:ascii="Century Schoolbook" w:eastAsia="Calibri" w:hAnsi="Century Schoolbook"/>
          <w:sz w:val="26"/>
          <w:szCs w:val="22"/>
        </w:rPr>
        <w:t>ourt held that a state statute that granted a “state supervisor” the power to “approv</w:t>
      </w:r>
      <w:r w:rsidR="00BF53DF">
        <w:rPr>
          <w:rFonts w:ascii="Century Schoolbook" w:eastAsia="Calibri" w:hAnsi="Century Schoolbook"/>
          <w:sz w:val="26"/>
          <w:szCs w:val="22"/>
        </w:rPr>
        <w:t>e</w:t>
      </w:r>
      <w:r w:rsidR="00BE7B1D">
        <w:rPr>
          <w:rFonts w:ascii="Century Schoolbook" w:eastAsia="Calibri" w:hAnsi="Century Schoolbook"/>
          <w:sz w:val="26"/>
          <w:szCs w:val="22"/>
        </w:rPr>
        <w:t xml:space="preserve"> all production methods” of recovering underground minerals conflicted with a local ordinance because the local ordinance took some of those “methods off the table.”  (</w:t>
      </w:r>
      <w:r w:rsidR="00BE7B1D">
        <w:rPr>
          <w:rFonts w:ascii="Century Schoolbook" w:eastAsia="Calibri" w:hAnsi="Century Schoolbook"/>
          <w:i/>
          <w:iCs/>
          <w:sz w:val="26"/>
          <w:szCs w:val="22"/>
        </w:rPr>
        <w:t>Chevron</w:t>
      </w:r>
      <w:r w:rsidRPr="008722BB" w:rsidR="00BE7B1D">
        <w:rPr>
          <w:rFonts w:ascii="Century Schoolbook" w:eastAsia="Calibri" w:hAnsi="Century Schoolbook"/>
          <w:sz w:val="26"/>
          <w:szCs w:val="22"/>
        </w:rPr>
        <w:t>,</w:t>
      </w:r>
      <w:r w:rsidR="00BE7B1D">
        <w:rPr>
          <w:rFonts w:ascii="Century Schoolbook" w:eastAsia="Calibri" w:hAnsi="Century Schoolbook"/>
          <w:i/>
          <w:iCs/>
          <w:sz w:val="26"/>
          <w:szCs w:val="22"/>
        </w:rPr>
        <w:t xml:space="preserve"> supra</w:t>
      </w:r>
      <w:r w:rsidR="00BE7B1D">
        <w:rPr>
          <w:rFonts w:ascii="Century Schoolbook" w:eastAsia="Calibri" w:hAnsi="Century Schoolbook"/>
          <w:sz w:val="26"/>
          <w:szCs w:val="22"/>
        </w:rPr>
        <w:t>, 15 Cal.5th at p. 149.)</w:t>
      </w:r>
    </w:p>
    <w:p w:rsidR="00F55501" w:rsidP="00B944AA" w14:paraId="6E30E354" w14:textId="59286718">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Petitioners resist </w:t>
      </w:r>
      <w:r w:rsidR="00A67528">
        <w:rPr>
          <w:rFonts w:ascii="Century Schoolbook" w:eastAsia="Calibri" w:hAnsi="Century Schoolbook"/>
          <w:sz w:val="26"/>
          <w:szCs w:val="22"/>
        </w:rPr>
        <w:t>our</w:t>
      </w:r>
      <w:r>
        <w:rPr>
          <w:rFonts w:ascii="Century Schoolbook" w:eastAsia="Calibri" w:hAnsi="Century Schoolbook"/>
          <w:sz w:val="26"/>
          <w:szCs w:val="22"/>
        </w:rPr>
        <w:t xml:space="preserve"> conclusion with what boils down to four arguments.</w:t>
      </w:r>
    </w:p>
    <w:p w:rsidR="00A67528" w:rsidP="00B944AA" w14:paraId="723AABB2" w14:textId="2079681C">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First, they assert that </w:t>
      </w:r>
      <w:r>
        <w:rPr>
          <w:rFonts w:ascii="Century Schoolbook" w:eastAsia="Calibri" w:hAnsi="Century Schoolbook"/>
          <w:i/>
          <w:iCs/>
          <w:sz w:val="26"/>
          <w:szCs w:val="22"/>
        </w:rPr>
        <w:t>Citizens for Planning Responsibly v. County of San Luis Obispo</w:t>
      </w:r>
      <w:r>
        <w:rPr>
          <w:rFonts w:ascii="Century Schoolbook" w:eastAsia="Calibri" w:hAnsi="Century Schoolbook"/>
          <w:sz w:val="26"/>
          <w:szCs w:val="22"/>
        </w:rPr>
        <w:t xml:space="preserve"> (2009) 176 Cal.App.4th 357 supplies the </w:t>
      </w:r>
      <w:r w:rsidR="00F5414C">
        <w:rPr>
          <w:rFonts w:ascii="Century Schoolbook" w:eastAsia="Calibri" w:hAnsi="Century Schoolbook"/>
          <w:sz w:val="26"/>
          <w:szCs w:val="22"/>
        </w:rPr>
        <w:t xml:space="preserve">sole </w:t>
      </w:r>
      <w:r>
        <w:rPr>
          <w:rFonts w:ascii="Century Schoolbook" w:eastAsia="Calibri" w:hAnsi="Century Schoolbook"/>
          <w:sz w:val="26"/>
          <w:szCs w:val="22"/>
        </w:rPr>
        <w:t xml:space="preserve">test for assessing preemption of local initiatives, and that none </w:t>
      </w:r>
      <w:r w:rsidR="00554686">
        <w:rPr>
          <w:rFonts w:ascii="Century Schoolbook" w:eastAsia="Calibri" w:hAnsi="Century Schoolbook"/>
          <w:sz w:val="26"/>
          <w:szCs w:val="22"/>
        </w:rPr>
        <w:t xml:space="preserve">of </w:t>
      </w:r>
      <w:r>
        <w:rPr>
          <w:rFonts w:ascii="Century Schoolbook" w:eastAsia="Calibri" w:hAnsi="Century Schoolbook"/>
          <w:sz w:val="26"/>
          <w:szCs w:val="22"/>
        </w:rPr>
        <w:t>its three tests for preemption—namely, (1) the Legislature has occupied the field, (2) the Legislature is exclusively delegating the power to enact laws to the local legislative body and shutting down the power to enact local voter initiatives entirely, or (3) the exercise of the initiative power “would impermissibly interfere with an essential governmental function”</w:t>
      </w:r>
      <w:r w:rsidR="00575657">
        <w:rPr>
          <w:rFonts w:ascii="Century Schoolbook" w:eastAsia="Calibri" w:hAnsi="Century Schoolbook"/>
          <w:sz w:val="26"/>
          <w:szCs w:val="22"/>
        </w:rPr>
        <w:t>—appl</w:t>
      </w:r>
      <w:r w:rsidR="00D4219D">
        <w:rPr>
          <w:rFonts w:ascii="Century Schoolbook" w:eastAsia="Calibri" w:hAnsi="Century Schoolbook"/>
          <w:sz w:val="26"/>
          <w:szCs w:val="22"/>
        </w:rPr>
        <w:t>ies</w:t>
      </w:r>
      <w:r w:rsidR="00575657">
        <w:rPr>
          <w:rFonts w:ascii="Century Schoolbook" w:eastAsia="Calibri" w:hAnsi="Century Schoolbook"/>
          <w:sz w:val="26"/>
          <w:szCs w:val="22"/>
        </w:rPr>
        <w:t>.</w:t>
      </w:r>
      <w:r>
        <w:rPr>
          <w:rFonts w:ascii="Century Schoolbook" w:eastAsia="Calibri" w:hAnsi="Century Schoolbook"/>
          <w:sz w:val="26"/>
          <w:szCs w:val="22"/>
        </w:rPr>
        <w:t xml:space="preserve">  (</w:t>
      </w:r>
      <w:r>
        <w:rPr>
          <w:rFonts w:ascii="Century Schoolbook" w:eastAsia="Calibri" w:hAnsi="Century Schoolbook"/>
          <w:i/>
          <w:iCs/>
          <w:sz w:val="26"/>
          <w:szCs w:val="22"/>
        </w:rPr>
        <w:t>Id.</w:t>
      </w:r>
      <w:r>
        <w:rPr>
          <w:rFonts w:ascii="Century Schoolbook" w:eastAsia="Calibri" w:hAnsi="Century Schoolbook"/>
          <w:sz w:val="26"/>
          <w:szCs w:val="22"/>
        </w:rPr>
        <w:t xml:space="preserve"> at p. 371.)  Thus, </w:t>
      </w:r>
      <w:r w:rsidR="00F5414C">
        <w:rPr>
          <w:rFonts w:ascii="Century Schoolbook" w:eastAsia="Calibri" w:hAnsi="Century Schoolbook"/>
          <w:sz w:val="26"/>
          <w:szCs w:val="22"/>
        </w:rPr>
        <w:t>petitioners</w:t>
      </w:r>
      <w:r>
        <w:rPr>
          <w:rFonts w:ascii="Century Schoolbook" w:eastAsia="Calibri" w:hAnsi="Century Schoolbook"/>
          <w:sz w:val="26"/>
          <w:szCs w:val="22"/>
        </w:rPr>
        <w:t xml:space="preserve"> seem to reason, implied preemption due to a conflict between the laws is not a viable type of preemption.  We disagree.  </w:t>
      </w:r>
      <w:r>
        <w:rPr>
          <w:rFonts w:ascii="Century Schoolbook" w:eastAsia="Calibri" w:hAnsi="Century Schoolbook"/>
          <w:i/>
          <w:iCs/>
          <w:sz w:val="26"/>
          <w:szCs w:val="22"/>
        </w:rPr>
        <w:t xml:space="preserve">Citizens for Planning Responsibly </w:t>
      </w:r>
      <w:r>
        <w:rPr>
          <w:rFonts w:ascii="Century Schoolbook" w:eastAsia="Calibri" w:hAnsi="Century Schoolbook"/>
          <w:sz w:val="26"/>
          <w:szCs w:val="22"/>
        </w:rPr>
        <w:t xml:space="preserve">does not displace the test for preemption set forth by our Supreme Court, particularly when other Supreme Court precedent </w:t>
      </w:r>
      <w:r w:rsidR="00F5414C">
        <w:rPr>
          <w:rFonts w:ascii="Century Schoolbook" w:eastAsia="Calibri" w:hAnsi="Century Schoolbook"/>
          <w:sz w:val="26"/>
          <w:szCs w:val="22"/>
        </w:rPr>
        <w:t xml:space="preserve">(which we address in the next subsection) </w:t>
      </w:r>
      <w:r>
        <w:rPr>
          <w:rFonts w:ascii="Century Schoolbook" w:eastAsia="Calibri" w:hAnsi="Century Schoolbook"/>
          <w:sz w:val="26"/>
          <w:szCs w:val="22"/>
        </w:rPr>
        <w:t>directly addresses what our Legislature must do to preempt the local initiative power.</w:t>
      </w:r>
    </w:p>
    <w:p w:rsidR="00D77739" w:rsidP="00D77739" w14:paraId="0F7C97B1" w14:textId="22EF45DE">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Second, petitioners contend that local housing density caps do not conflict with Senate Bill 10 because Senate Bill 10 does not </w:t>
      </w:r>
      <w:r>
        <w:rPr>
          <w:rFonts w:ascii="Century Schoolbook" w:eastAsia="Calibri" w:hAnsi="Century Schoolbook"/>
          <w:i/>
          <w:iCs/>
          <w:sz w:val="26"/>
          <w:szCs w:val="22"/>
        </w:rPr>
        <w:t>demand</w:t>
      </w:r>
      <w:r>
        <w:rPr>
          <w:rFonts w:ascii="Century Schoolbook" w:eastAsia="Calibri" w:hAnsi="Century Schoolbook"/>
          <w:sz w:val="26"/>
          <w:szCs w:val="22"/>
        </w:rPr>
        <w:t xml:space="preserve"> what the caps </w:t>
      </w:r>
      <w:r w:rsidR="00D4219D">
        <w:rPr>
          <w:rFonts w:ascii="Century Schoolbook" w:eastAsia="Calibri" w:hAnsi="Century Schoolbook"/>
          <w:sz w:val="26"/>
          <w:szCs w:val="22"/>
        </w:rPr>
        <w:t xml:space="preserve">prohibit; Senate Bill 10 </w:t>
      </w:r>
      <w:r>
        <w:rPr>
          <w:rFonts w:ascii="Century Schoolbook" w:eastAsia="Calibri" w:hAnsi="Century Schoolbook"/>
          <w:sz w:val="26"/>
          <w:szCs w:val="22"/>
        </w:rPr>
        <w:t xml:space="preserve">does not </w:t>
      </w:r>
      <w:r>
        <w:rPr>
          <w:rFonts w:ascii="Century Schoolbook" w:eastAsia="Calibri" w:hAnsi="Century Schoolbook"/>
          <w:i/>
          <w:iCs/>
          <w:sz w:val="26"/>
          <w:szCs w:val="22"/>
        </w:rPr>
        <w:t>require</w:t>
      </w:r>
      <w:r>
        <w:rPr>
          <w:rFonts w:ascii="Century Schoolbook" w:eastAsia="Calibri" w:hAnsi="Century Schoolbook"/>
          <w:sz w:val="26"/>
          <w:szCs w:val="22"/>
        </w:rPr>
        <w:t xml:space="preserve"> local legislative bodies to supersede the density caps</w:t>
      </w:r>
      <w:r w:rsidR="00D4219D">
        <w:rPr>
          <w:rFonts w:ascii="Century Schoolbook" w:eastAsia="Calibri" w:hAnsi="Century Schoolbook"/>
          <w:sz w:val="26"/>
          <w:szCs w:val="22"/>
        </w:rPr>
        <w:t xml:space="preserve">, petitioners explain, but rather just </w:t>
      </w:r>
      <w:r>
        <w:rPr>
          <w:rFonts w:ascii="Century Schoolbook" w:eastAsia="Calibri" w:hAnsi="Century Schoolbook"/>
          <w:sz w:val="26"/>
          <w:szCs w:val="22"/>
        </w:rPr>
        <w:t xml:space="preserve">gives them the discretion to do so.  This contention lacks merit for </w:t>
      </w:r>
      <w:r w:rsidR="00CC4213">
        <w:rPr>
          <w:rFonts w:ascii="Century Schoolbook" w:eastAsia="Calibri" w:hAnsi="Century Schoolbook"/>
          <w:sz w:val="26"/>
          <w:szCs w:val="22"/>
        </w:rPr>
        <w:t>two</w:t>
      </w:r>
      <w:r>
        <w:rPr>
          <w:rFonts w:ascii="Century Schoolbook" w:eastAsia="Calibri" w:hAnsi="Century Schoolbook"/>
          <w:sz w:val="26"/>
          <w:szCs w:val="22"/>
        </w:rPr>
        <w:t xml:space="preserve"> reasons.  To begin, this contention treats the first </w:t>
      </w:r>
      <w:r w:rsidR="00B37DB5">
        <w:rPr>
          <w:rFonts w:ascii="Century Schoolbook" w:eastAsia="Calibri" w:hAnsi="Century Schoolbook"/>
          <w:sz w:val="26"/>
          <w:szCs w:val="22"/>
        </w:rPr>
        <w:t xml:space="preserve">type of </w:t>
      </w:r>
      <w:r>
        <w:rPr>
          <w:rFonts w:ascii="Century Schoolbook" w:eastAsia="Calibri" w:hAnsi="Century Schoolbook"/>
          <w:sz w:val="26"/>
          <w:szCs w:val="22"/>
        </w:rPr>
        <w:t>conflict preemption</w:t>
      </w:r>
      <w:r w:rsidR="00536AB9">
        <w:rPr>
          <w:rFonts w:ascii="Century Schoolbook" w:eastAsia="Calibri" w:hAnsi="Century Schoolbook"/>
          <w:sz w:val="26"/>
          <w:szCs w:val="22"/>
        </w:rPr>
        <w:t xml:space="preserve">—that is, </w:t>
      </w:r>
      <w:r w:rsidR="00580876">
        <w:rPr>
          <w:rFonts w:ascii="Century Schoolbook" w:eastAsia="Calibri" w:hAnsi="Century Schoolbook"/>
          <w:sz w:val="26"/>
          <w:szCs w:val="22"/>
        </w:rPr>
        <w:t xml:space="preserve">when the local law says, </w:t>
      </w:r>
      <w:r w:rsidR="00536AB9">
        <w:rPr>
          <w:rFonts w:ascii="Century Schoolbook" w:eastAsia="Calibri" w:hAnsi="Century Schoolbook"/>
          <w:sz w:val="26"/>
          <w:szCs w:val="22"/>
        </w:rPr>
        <w:t xml:space="preserve">“You </w:t>
      </w:r>
      <w:r w:rsidR="00536AB9">
        <w:rPr>
          <w:rFonts w:ascii="Century Schoolbook" w:eastAsia="Calibri" w:hAnsi="Century Schoolbook"/>
          <w:i/>
          <w:iCs/>
          <w:sz w:val="26"/>
          <w:szCs w:val="22"/>
        </w:rPr>
        <w:t xml:space="preserve">cannot </w:t>
      </w:r>
      <w:r w:rsidR="00536AB9">
        <w:rPr>
          <w:rFonts w:ascii="Century Schoolbook" w:eastAsia="Calibri" w:hAnsi="Century Schoolbook"/>
          <w:sz w:val="26"/>
          <w:szCs w:val="22"/>
        </w:rPr>
        <w:t>do X</w:t>
      </w:r>
      <w:r w:rsidR="00704141">
        <w:rPr>
          <w:rFonts w:ascii="Century Schoolbook" w:eastAsia="Calibri" w:hAnsi="Century Schoolbook"/>
          <w:sz w:val="26"/>
          <w:szCs w:val="22"/>
        </w:rPr>
        <w:t>,</w:t>
      </w:r>
      <w:r w:rsidR="00536AB9">
        <w:rPr>
          <w:rFonts w:ascii="Century Schoolbook" w:eastAsia="Calibri" w:hAnsi="Century Schoolbook"/>
          <w:sz w:val="26"/>
          <w:szCs w:val="22"/>
        </w:rPr>
        <w:t xml:space="preserve">” </w:t>
      </w:r>
      <w:r w:rsidR="00580876">
        <w:rPr>
          <w:rFonts w:ascii="Century Schoolbook" w:eastAsia="Calibri" w:hAnsi="Century Schoolbook"/>
          <w:sz w:val="26"/>
          <w:szCs w:val="22"/>
        </w:rPr>
        <w:t xml:space="preserve">and the state law says, </w:t>
      </w:r>
      <w:r w:rsidR="00536AB9">
        <w:rPr>
          <w:rFonts w:ascii="Century Schoolbook" w:eastAsia="Calibri" w:hAnsi="Century Schoolbook"/>
          <w:sz w:val="26"/>
          <w:szCs w:val="22"/>
        </w:rPr>
        <w:t xml:space="preserve">“You </w:t>
      </w:r>
      <w:r w:rsidR="00536AB9">
        <w:rPr>
          <w:rFonts w:ascii="Century Schoolbook" w:eastAsia="Calibri" w:hAnsi="Century Schoolbook"/>
          <w:i/>
          <w:iCs/>
          <w:sz w:val="26"/>
          <w:szCs w:val="22"/>
        </w:rPr>
        <w:t>must</w:t>
      </w:r>
      <w:r w:rsidR="00536AB9">
        <w:rPr>
          <w:rFonts w:ascii="Century Schoolbook" w:eastAsia="Calibri" w:hAnsi="Century Schoolbook"/>
          <w:sz w:val="26"/>
          <w:szCs w:val="22"/>
        </w:rPr>
        <w:t xml:space="preserve"> do X”—</w:t>
      </w:r>
      <w:r>
        <w:rPr>
          <w:rFonts w:ascii="Century Schoolbook" w:eastAsia="Calibri" w:hAnsi="Century Schoolbook"/>
          <w:sz w:val="26"/>
          <w:szCs w:val="22"/>
        </w:rPr>
        <w:t xml:space="preserve"> as if it is the </w:t>
      </w:r>
      <w:r>
        <w:rPr>
          <w:rFonts w:ascii="Century Schoolbook" w:eastAsia="Calibri" w:hAnsi="Century Schoolbook"/>
          <w:i/>
          <w:iCs/>
          <w:sz w:val="26"/>
          <w:szCs w:val="22"/>
        </w:rPr>
        <w:t>only</w:t>
      </w:r>
      <w:r>
        <w:rPr>
          <w:rFonts w:ascii="Century Schoolbook" w:eastAsia="Calibri" w:hAnsi="Century Schoolbook"/>
          <w:sz w:val="26"/>
          <w:szCs w:val="22"/>
        </w:rPr>
        <w:t xml:space="preserve"> </w:t>
      </w:r>
      <w:r w:rsidR="00B37DB5">
        <w:rPr>
          <w:rFonts w:ascii="Century Schoolbook" w:eastAsia="Calibri" w:hAnsi="Century Schoolbook"/>
          <w:sz w:val="26"/>
          <w:szCs w:val="22"/>
        </w:rPr>
        <w:t>type of</w:t>
      </w:r>
      <w:r>
        <w:rPr>
          <w:rFonts w:ascii="Century Schoolbook" w:eastAsia="Calibri" w:hAnsi="Century Schoolbook"/>
          <w:sz w:val="26"/>
          <w:szCs w:val="22"/>
        </w:rPr>
        <w:t xml:space="preserve"> conflict preemption; as explained above, it is not.  Although </w:t>
      </w:r>
      <w:r>
        <w:rPr>
          <w:rFonts w:ascii="Century Schoolbook" w:eastAsia="Calibri" w:hAnsi="Century Schoolbook"/>
          <w:i/>
          <w:iCs/>
          <w:sz w:val="26"/>
          <w:szCs w:val="22"/>
        </w:rPr>
        <w:t xml:space="preserve">City of Riverside </w:t>
      </w:r>
      <w:r>
        <w:rPr>
          <w:rFonts w:ascii="Century Schoolbook" w:eastAsia="Calibri" w:hAnsi="Century Schoolbook"/>
          <w:sz w:val="26"/>
          <w:szCs w:val="22"/>
        </w:rPr>
        <w:t xml:space="preserve">articulated that first </w:t>
      </w:r>
      <w:r w:rsidR="00B37DB5">
        <w:rPr>
          <w:rFonts w:ascii="Century Schoolbook" w:eastAsia="Calibri" w:hAnsi="Century Schoolbook"/>
          <w:sz w:val="26"/>
          <w:szCs w:val="22"/>
        </w:rPr>
        <w:t>type</w:t>
      </w:r>
      <w:r>
        <w:rPr>
          <w:rFonts w:ascii="Century Schoolbook" w:eastAsia="Calibri" w:hAnsi="Century Schoolbook"/>
          <w:sz w:val="26"/>
          <w:szCs w:val="22"/>
        </w:rPr>
        <w:t xml:space="preserve">, </w:t>
      </w:r>
      <w:r>
        <w:rPr>
          <w:rFonts w:ascii="Century Schoolbook" w:eastAsia="Calibri" w:hAnsi="Century Schoolbook"/>
          <w:i/>
          <w:iCs/>
          <w:sz w:val="26"/>
          <w:szCs w:val="22"/>
        </w:rPr>
        <w:t>Chevron</w:t>
      </w:r>
      <w:r>
        <w:rPr>
          <w:rFonts w:ascii="Century Schoolbook" w:eastAsia="Calibri" w:hAnsi="Century Schoolbook"/>
          <w:sz w:val="26"/>
          <w:szCs w:val="22"/>
        </w:rPr>
        <w:t xml:space="preserve"> explicitly disclaimed that </w:t>
      </w:r>
      <w:r>
        <w:rPr>
          <w:rFonts w:ascii="Century Schoolbook" w:eastAsia="Calibri" w:hAnsi="Century Schoolbook"/>
          <w:i/>
          <w:iCs/>
          <w:sz w:val="26"/>
          <w:szCs w:val="22"/>
        </w:rPr>
        <w:t>City of Riverside’s</w:t>
      </w:r>
      <w:r>
        <w:rPr>
          <w:rFonts w:ascii="Century Schoolbook" w:eastAsia="Calibri" w:hAnsi="Century Schoolbook"/>
          <w:sz w:val="26"/>
          <w:szCs w:val="22"/>
        </w:rPr>
        <w:t xml:space="preserve"> articulation was the sole </w:t>
      </w:r>
      <w:r w:rsidR="00B37DB5">
        <w:rPr>
          <w:rFonts w:ascii="Century Schoolbook" w:eastAsia="Calibri" w:hAnsi="Century Schoolbook"/>
          <w:sz w:val="26"/>
          <w:szCs w:val="22"/>
        </w:rPr>
        <w:t xml:space="preserve">type </w:t>
      </w:r>
      <w:r w:rsidR="00D4219D">
        <w:rPr>
          <w:rFonts w:ascii="Century Schoolbook" w:eastAsia="Calibri" w:hAnsi="Century Schoolbook"/>
          <w:sz w:val="26"/>
          <w:szCs w:val="22"/>
        </w:rPr>
        <w:t xml:space="preserve">of conflict preemption </w:t>
      </w:r>
      <w:r w:rsidR="00F5414C">
        <w:rPr>
          <w:rFonts w:ascii="Century Schoolbook" w:eastAsia="Calibri" w:hAnsi="Century Schoolbook"/>
          <w:sz w:val="26"/>
          <w:szCs w:val="22"/>
        </w:rPr>
        <w:t xml:space="preserve">because, as </w:t>
      </w:r>
      <w:r w:rsidR="00F5414C">
        <w:rPr>
          <w:rFonts w:ascii="Century Schoolbook" w:eastAsia="Calibri" w:hAnsi="Century Schoolbook"/>
          <w:i/>
          <w:iCs/>
          <w:sz w:val="26"/>
          <w:szCs w:val="22"/>
        </w:rPr>
        <w:t>Chevron</w:t>
      </w:r>
      <w:r w:rsidR="00F5414C">
        <w:rPr>
          <w:rFonts w:ascii="Century Schoolbook" w:eastAsia="Calibri" w:hAnsi="Century Schoolbook"/>
          <w:sz w:val="26"/>
          <w:szCs w:val="22"/>
        </w:rPr>
        <w:t xml:space="preserve"> explained,</w:t>
      </w:r>
      <w:r>
        <w:rPr>
          <w:rFonts w:ascii="Century Schoolbook" w:eastAsia="Calibri" w:hAnsi="Century Schoolbook"/>
          <w:sz w:val="26"/>
          <w:szCs w:val="22"/>
        </w:rPr>
        <w:t xml:space="preserve"> </w:t>
      </w:r>
      <w:r w:rsidR="00D4219D">
        <w:rPr>
          <w:rFonts w:ascii="Century Schoolbook" w:eastAsia="Calibri" w:hAnsi="Century Schoolbook"/>
          <w:sz w:val="26"/>
          <w:szCs w:val="22"/>
        </w:rPr>
        <w:t xml:space="preserve">that articulation </w:t>
      </w:r>
      <w:r>
        <w:rPr>
          <w:rFonts w:ascii="Century Schoolbook" w:eastAsia="Calibri" w:hAnsi="Century Schoolbook"/>
          <w:sz w:val="26"/>
          <w:szCs w:val="22"/>
        </w:rPr>
        <w:t>would “</w:t>
      </w:r>
      <w:r w:rsidR="00C756C2">
        <w:rPr>
          <w:rFonts w:ascii="Century Schoolbook" w:eastAsia="Calibri" w:hAnsi="Century Schoolbook"/>
          <w:sz w:val="26"/>
          <w:szCs w:val="22"/>
        </w:rPr>
        <w:t>‘</w:t>
      </w:r>
      <w:r>
        <w:rPr>
          <w:rFonts w:ascii="Century Schoolbook" w:eastAsia="Calibri" w:hAnsi="Century Schoolbook"/>
          <w:sz w:val="26"/>
          <w:szCs w:val="22"/>
        </w:rPr>
        <w:t>improperly limit the scope of the preemption inquiry.</w:t>
      </w:r>
      <w:r w:rsidR="00C756C2">
        <w:rPr>
          <w:rFonts w:ascii="Century Schoolbook" w:eastAsia="Calibri" w:hAnsi="Century Schoolbook"/>
          <w:sz w:val="26"/>
          <w:szCs w:val="22"/>
        </w:rPr>
        <w:t>’</w:t>
      </w:r>
      <w:r>
        <w:rPr>
          <w:rFonts w:ascii="Century Schoolbook" w:eastAsia="Calibri" w:hAnsi="Century Schoolbook"/>
          <w:sz w:val="26"/>
          <w:szCs w:val="22"/>
        </w:rPr>
        <w:t>”  (</w:t>
      </w:r>
      <w:r>
        <w:rPr>
          <w:rFonts w:ascii="Century Schoolbook" w:eastAsia="Calibri" w:hAnsi="Century Schoolbook"/>
          <w:i/>
          <w:iCs/>
          <w:sz w:val="26"/>
          <w:szCs w:val="22"/>
        </w:rPr>
        <w:t>Chevron</w:t>
      </w:r>
      <w:r w:rsidRPr="008722BB">
        <w:rPr>
          <w:rFonts w:ascii="Century Schoolbook" w:eastAsia="Calibri" w:hAnsi="Century Schoolbook"/>
          <w:sz w:val="26"/>
          <w:szCs w:val="22"/>
        </w:rPr>
        <w:t>,</w:t>
      </w:r>
      <w:r>
        <w:rPr>
          <w:rFonts w:ascii="Century Schoolbook" w:eastAsia="Calibri" w:hAnsi="Century Schoolbook"/>
          <w:i/>
          <w:iCs/>
          <w:sz w:val="26"/>
          <w:szCs w:val="22"/>
        </w:rPr>
        <w:t xml:space="preserve"> supra</w:t>
      </w:r>
      <w:r>
        <w:rPr>
          <w:rFonts w:ascii="Century Schoolbook" w:eastAsia="Calibri" w:hAnsi="Century Schoolbook"/>
          <w:sz w:val="26"/>
          <w:szCs w:val="22"/>
        </w:rPr>
        <w:t>, 15 Cal.5th at p. 14</w:t>
      </w:r>
      <w:r w:rsidR="00C756C2">
        <w:rPr>
          <w:rFonts w:ascii="Century Schoolbook" w:eastAsia="Calibri" w:hAnsi="Century Schoolbook"/>
          <w:sz w:val="26"/>
          <w:szCs w:val="22"/>
        </w:rPr>
        <w:t>8</w:t>
      </w:r>
      <w:r>
        <w:rPr>
          <w:rFonts w:ascii="Century Schoolbook" w:eastAsia="Calibri" w:hAnsi="Century Schoolbook"/>
          <w:sz w:val="26"/>
          <w:szCs w:val="22"/>
        </w:rPr>
        <w:t xml:space="preserve">.)  </w:t>
      </w:r>
      <w:r w:rsidR="00CC4213">
        <w:rPr>
          <w:rFonts w:ascii="Century Schoolbook" w:eastAsia="Calibri" w:hAnsi="Century Schoolbook"/>
          <w:sz w:val="26"/>
          <w:szCs w:val="22"/>
        </w:rPr>
        <w:t xml:space="preserve">Petitioners urge that we cannot read </w:t>
      </w:r>
      <w:r w:rsidR="00CC4213">
        <w:rPr>
          <w:rFonts w:ascii="Century Schoolbook" w:eastAsia="Calibri" w:hAnsi="Century Schoolbook"/>
          <w:i/>
          <w:iCs/>
          <w:sz w:val="26"/>
          <w:szCs w:val="22"/>
        </w:rPr>
        <w:t>Chevron</w:t>
      </w:r>
      <w:r w:rsidR="00CC4213">
        <w:rPr>
          <w:rFonts w:ascii="Century Schoolbook" w:eastAsia="Calibri" w:hAnsi="Century Schoolbook"/>
          <w:sz w:val="26"/>
          <w:szCs w:val="22"/>
        </w:rPr>
        <w:t xml:space="preserve"> to eclipse </w:t>
      </w:r>
      <w:r w:rsidR="00CC4213">
        <w:rPr>
          <w:rFonts w:ascii="Century Schoolbook" w:eastAsia="Calibri" w:hAnsi="Century Schoolbook"/>
          <w:i/>
          <w:iCs/>
          <w:sz w:val="26"/>
          <w:szCs w:val="22"/>
        </w:rPr>
        <w:t>City of Riverside</w:t>
      </w:r>
      <w:r w:rsidR="00CC4213">
        <w:rPr>
          <w:rFonts w:ascii="Century Schoolbook" w:eastAsia="Calibri" w:hAnsi="Century Schoolbook"/>
          <w:sz w:val="26"/>
          <w:szCs w:val="22"/>
        </w:rPr>
        <w:t xml:space="preserve"> because </w:t>
      </w:r>
      <w:r w:rsidR="00CC4213">
        <w:rPr>
          <w:rFonts w:ascii="Century Schoolbook" w:eastAsia="Calibri" w:hAnsi="Century Schoolbook"/>
          <w:i/>
          <w:iCs/>
          <w:sz w:val="26"/>
          <w:szCs w:val="22"/>
        </w:rPr>
        <w:t>City of Riverside</w:t>
      </w:r>
      <w:r w:rsidR="00CC4213">
        <w:rPr>
          <w:rFonts w:ascii="Century Schoolbook" w:eastAsia="Calibri" w:hAnsi="Century Schoolbook"/>
          <w:sz w:val="26"/>
          <w:szCs w:val="22"/>
        </w:rPr>
        <w:t xml:space="preserve"> addressed a different issue (namely, a “</w:t>
      </w:r>
      <w:r w:rsidRPr="00B45987" w:rsidR="00CC4213">
        <w:rPr>
          <w:rFonts w:ascii="Century Schoolbook" w:eastAsia="Calibri" w:hAnsi="Century Schoolbook"/>
          <w:i/>
          <w:iCs/>
          <w:sz w:val="26"/>
          <w:szCs w:val="22"/>
        </w:rPr>
        <w:t>vertical</w:t>
      </w:r>
      <w:r w:rsidR="00CC4213">
        <w:rPr>
          <w:rFonts w:ascii="Century Schoolbook" w:eastAsia="Calibri" w:hAnsi="Century Schoolbook"/>
          <w:sz w:val="26"/>
          <w:szCs w:val="22"/>
        </w:rPr>
        <w:t xml:space="preserve"> </w:t>
      </w:r>
      <w:r w:rsidRPr="00B45987" w:rsidR="00CC4213">
        <w:rPr>
          <w:rFonts w:ascii="Century Schoolbook" w:eastAsia="Calibri" w:hAnsi="Century Schoolbook"/>
          <w:i/>
          <w:iCs/>
          <w:sz w:val="26"/>
          <w:szCs w:val="22"/>
        </w:rPr>
        <w:t>conflict</w:t>
      </w:r>
      <w:r w:rsidR="00CC4213">
        <w:rPr>
          <w:rFonts w:ascii="Century Schoolbook" w:eastAsia="Calibri" w:hAnsi="Century Schoolbook"/>
          <w:sz w:val="26"/>
          <w:szCs w:val="22"/>
        </w:rPr>
        <w:t>” between the state and the local legislative body).  We disagree</w:t>
      </w:r>
      <w:r w:rsidR="00F5414C">
        <w:rPr>
          <w:rFonts w:ascii="Century Schoolbook" w:eastAsia="Calibri" w:hAnsi="Century Schoolbook"/>
          <w:sz w:val="26"/>
          <w:szCs w:val="22"/>
        </w:rPr>
        <w:t>:  B</w:t>
      </w:r>
      <w:r w:rsidR="00CC4213">
        <w:rPr>
          <w:rFonts w:ascii="Century Schoolbook" w:eastAsia="Calibri" w:hAnsi="Century Schoolbook"/>
          <w:sz w:val="26"/>
          <w:szCs w:val="22"/>
        </w:rPr>
        <w:t xml:space="preserve">oth </w:t>
      </w:r>
      <w:r w:rsidR="00CC4213">
        <w:rPr>
          <w:rFonts w:ascii="Century Schoolbook" w:eastAsia="Calibri" w:hAnsi="Century Schoolbook"/>
          <w:i/>
          <w:iCs/>
          <w:sz w:val="26"/>
          <w:szCs w:val="22"/>
        </w:rPr>
        <w:t>City of Riverside</w:t>
      </w:r>
      <w:r w:rsidR="00CC4213">
        <w:rPr>
          <w:rFonts w:ascii="Century Schoolbook" w:eastAsia="Calibri" w:hAnsi="Century Schoolbook"/>
          <w:sz w:val="26"/>
          <w:szCs w:val="22"/>
        </w:rPr>
        <w:t xml:space="preserve"> and </w:t>
      </w:r>
      <w:r w:rsidR="00CC4213">
        <w:rPr>
          <w:rFonts w:ascii="Century Schoolbook" w:eastAsia="Calibri" w:hAnsi="Century Schoolbook"/>
          <w:i/>
          <w:iCs/>
          <w:sz w:val="26"/>
          <w:szCs w:val="22"/>
        </w:rPr>
        <w:t>Chevron</w:t>
      </w:r>
      <w:r w:rsidR="00CC4213">
        <w:rPr>
          <w:rFonts w:ascii="Century Schoolbook" w:eastAsia="Calibri" w:hAnsi="Century Schoolbook"/>
          <w:sz w:val="26"/>
          <w:szCs w:val="22"/>
        </w:rPr>
        <w:t xml:space="preserve"> defined when a state law preempts a local law, which is precisely the issue here—</w:t>
      </w:r>
      <w:r w:rsidR="00F5414C">
        <w:rPr>
          <w:rFonts w:ascii="Century Schoolbook" w:eastAsia="Calibri" w:hAnsi="Century Schoolbook"/>
          <w:sz w:val="26"/>
          <w:szCs w:val="22"/>
        </w:rPr>
        <w:t xml:space="preserve">namely, </w:t>
      </w:r>
      <w:r w:rsidR="00CC4213">
        <w:rPr>
          <w:rFonts w:ascii="Century Schoolbook" w:eastAsia="Calibri" w:hAnsi="Century Schoolbook"/>
          <w:sz w:val="26"/>
          <w:szCs w:val="22"/>
        </w:rPr>
        <w:t xml:space="preserve">whether Senate Bill 10 preempts local housing density caps.  </w:t>
      </w:r>
      <w:r w:rsidR="00D4219D">
        <w:rPr>
          <w:rFonts w:ascii="Century Schoolbook" w:eastAsia="Calibri" w:hAnsi="Century Schoolbook"/>
          <w:sz w:val="26"/>
          <w:szCs w:val="22"/>
        </w:rPr>
        <w:t xml:space="preserve">And </w:t>
      </w:r>
      <w:r w:rsidR="00CC4213">
        <w:rPr>
          <w:rFonts w:ascii="Century Schoolbook" w:eastAsia="Calibri" w:hAnsi="Century Schoolbook"/>
          <w:sz w:val="26"/>
          <w:szCs w:val="22"/>
        </w:rPr>
        <w:t>even if we were to apply</w:t>
      </w:r>
      <w:r w:rsidR="00F5414C">
        <w:rPr>
          <w:rFonts w:ascii="Century Schoolbook" w:eastAsia="Calibri" w:hAnsi="Century Schoolbook"/>
          <w:sz w:val="26"/>
          <w:szCs w:val="22"/>
        </w:rPr>
        <w:t xml:space="preserve"> the first </w:t>
      </w:r>
      <w:r w:rsidR="00B37DB5">
        <w:rPr>
          <w:rFonts w:ascii="Century Schoolbook" w:eastAsia="Calibri" w:hAnsi="Century Schoolbook"/>
          <w:sz w:val="26"/>
          <w:szCs w:val="22"/>
        </w:rPr>
        <w:t xml:space="preserve">type of </w:t>
      </w:r>
      <w:r w:rsidR="00F5414C">
        <w:rPr>
          <w:rFonts w:ascii="Century Schoolbook" w:eastAsia="Calibri" w:hAnsi="Century Schoolbook"/>
          <w:sz w:val="26"/>
          <w:szCs w:val="22"/>
        </w:rPr>
        <w:t>conflict preempt</w:t>
      </w:r>
      <w:r w:rsidR="00B37DB5">
        <w:rPr>
          <w:rFonts w:ascii="Century Schoolbook" w:eastAsia="Calibri" w:hAnsi="Century Schoolbook"/>
          <w:sz w:val="26"/>
          <w:szCs w:val="22"/>
        </w:rPr>
        <w:t>ion</w:t>
      </w:r>
      <w:r w:rsidR="00F5414C">
        <w:rPr>
          <w:rFonts w:ascii="Century Schoolbook" w:eastAsia="Calibri" w:hAnsi="Century Schoolbook"/>
          <w:sz w:val="26"/>
          <w:szCs w:val="22"/>
        </w:rPr>
        <w:t xml:space="preserve"> set forth in</w:t>
      </w:r>
      <w:r w:rsidR="00CC4213">
        <w:rPr>
          <w:rFonts w:ascii="Century Schoolbook" w:eastAsia="Calibri" w:hAnsi="Century Schoolbook"/>
          <w:sz w:val="26"/>
          <w:szCs w:val="22"/>
        </w:rPr>
        <w:t xml:space="preserve"> </w:t>
      </w:r>
      <w:r w:rsidR="00CC4213">
        <w:rPr>
          <w:rFonts w:ascii="Century Schoolbook" w:eastAsia="Calibri" w:hAnsi="Century Schoolbook"/>
          <w:i/>
          <w:iCs/>
          <w:sz w:val="26"/>
          <w:szCs w:val="22"/>
        </w:rPr>
        <w:t>City of Riverside</w:t>
      </w:r>
      <w:r w:rsidR="00CC4213">
        <w:rPr>
          <w:rFonts w:ascii="Century Schoolbook" w:eastAsia="Calibri" w:hAnsi="Century Schoolbook"/>
          <w:sz w:val="26"/>
          <w:szCs w:val="22"/>
        </w:rPr>
        <w:t xml:space="preserve">, local housing density caps would still conflict with Senate Bill 10 </w:t>
      </w:r>
      <w:r w:rsidR="00207201">
        <w:rPr>
          <w:rFonts w:ascii="Century Schoolbook" w:eastAsia="Calibri" w:hAnsi="Century Schoolbook"/>
          <w:sz w:val="26"/>
          <w:szCs w:val="22"/>
        </w:rPr>
        <w:t xml:space="preserve">because that </w:t>
      </w:r>
      <w:r w:rsidR="00F5414C">
        <w:rPr>
          <w:rFonts w:ascii="Century Schoolbook" w:eastAsia="Calibri" w:hAnsi="Century Schoolbook"/>
          <w:sz w:val="26"/>
          <w:szCs w:val="22"/>
        </w:rPr>
        <w:t xml:space="preserve">first </w:t>
      </w:r>
      <w:r w:rsidR="00B37DB5">
        <w:rPr>
          <w:rFonts w:ascii="Century Schoolbook" w:eastAsia="Calibri" w:hAnsi="Century Schoolbook"/>
          <w:sz w:val="26"/>
          <w:szCs w:val="22"/>
        </w:rPr>
        <w:t xml:space="preserve">type </w:t>
      </w:r>
      <w:r w:rsidR="00207201">
        <w:rPr>
          <w:rFonts w:ascii="Century Schoolbook" w:eastAsia="Calibri" w:hAnsi="Century Schoolbook"/>
          <w:sz w:val="26"/>
          <w:szCs w:val="22"/>
        </w:rPr>
        <w:t xml:space="preserve">has an exception recognizing that a “local regulation” is preempted “when a [state] statute or statutory scheme seeks to promote a certain activity and, at the same time, permits more stringent local regulation of that activity” </w:t>
      </w:r>
      <w:r w:rsidR="00B36DAB">
        <w:rPr>
          <w:rFonts w:ascii="Century Schoolbook" w:eastAsia="Calibri" w:hAnsi="Century Schoolbook"/>
          <w:sz w:val="26"/>
          <w:szCs w:val="22"/>
        </w:rPr>
        <w:t xml:space="preserve">should </w:t>
      </w:r>
      <w:r w:rsidR="00207201">
        <w:rPr>
          <w:rFonts w:ascii="Century Schoolbook" w:eastAsia="Calibri" w:hAnsi="Century Schoolbook"/>
          <w:sz w:val="26"/>
          <w:szCs w:val="22"/>
        </w:rPr>
        <w:t xml:space="preserve">the “local regulation” </w:t>
      </w:r>
      <w:r w:rsidR="00B36DAB">
        <w:rPr>
          <w:rFonts w:ascii="Century Schoolbook" w:eastAsia="Calibri" w:hAnsi="Century Schoolbook"/>
          <w:sz w:val="26"/>
          <w:szCs w:val="22"/>
        </w:rPr>
        <w:t>be</w:t>
      </w:r>
      <w:r w:rsidR="00207201">
        <w:rPr>
          <w:rFonts w:ascii="Century Schoolbook" w:eastAsia="Calibri" w:hAnsi="Century Schoolbook"/>
          <w:sz w:val="26"/>
          <w:szCs w:val="22"/>
        </w:rPr>
        <w:t xml:space="preserve"> “used to completely ban the activity or otherwise frustrate the statute’s purpose.”  (</w:t>
      </w:r>
      <w:r w:rsidR="00207201">
        <w:rPr>
          <w:rFonts w:ascii="Century Schoolbook" w:eastAsia="Calibri" w:hAnsi="Century Schoolbook"/>
          <w:i/>
          <w:iCs/>
          <w:sz w:val="26"/>
          <w:szCs w:val="22"/>
        </w:rPr>
        <w:t xml:space="preserve">Great Western Shows v. County of Los Angeles </w:t>
      </w:r>
      <w:r w:rsidR="00207201">
        <w:rPr>
          <w:rFonts w:ascii="Century Schoolbook" w:eastAsia="Calibri" w:hAnsi="Century Schoolbook"/>
          <w:sz w:val="26"/>
          <w:szCs w:val="22"/>
        </w:rPr>
        <w:t>(2002) 27 Cal.4th 853, 867</w:t>
      </w:r>
      <w:r w:rsidR="00B8524B">
        <w:rPr>
          <w:rFonts w:ascii="Century Schoolbook" w:eastAsia="Calibri" w:hAnsi="Century Schoolbook"/>
          <w:sz w:val="26"/>
          <w:szCs w:val="22"/>
        </w:rPr>
        <w:t>-868</w:t>
      </w:r>
      <w:r w:rsidR="00207201">
        <w:rPr>
          <w:rFonts w:ascii="Century Schoolbook" w:eastAsia="Calibri" w:hAnsi="Century Schoolbook"/>
          <w:sz w:val="26"/>
          <w:szCs w:val="22"/>
        </w:rPr>
        <w:t xml:space="preserve">; </w:t>
      </w:r>
      <w:r w:rsidR="00207201">
        <w:rPr>
          <w:rFonts w:ascii="Century Schoolbook" w:eastAsia="Calibri" w:hAnsi="Century Schoolbook"/>
          <w:i/>
          <w:iCs/>
          <w:sz w:val="26"/>
          <w:szCs w:val="22"/>
        </w:rPr>
        <w:t>City of Riverside</w:t>
      </w:r>
      <w:r w:rsidR="00207201">
        <w:rPr>
          <w:rFonts w:ascii="Century Schoolbook" w:eastAsia="Calibri" w:hAnsi="Century Schoolbook"/>
          <w:sz w:val="26"/>
          <w:szCs w:val="22"/>
        </w:rPr>
        <w:t xml:space="preserve">, 56 Cal.4th at p. 758; </w:t>
      </w:r>
      <w:r w:rsidR="00207201">
        <w:rPr>
          <w:rFonts w:ascii="Century Schoolbook" w:eastAsia="Calibri" w:hAnsi="Century Schoolbook"/>
          <w:i/>
          <w:iCs/>
          <w:sz w:val="26"/>
          <w:szCs w:val="22"/>
        </w:rPr>
        <w:t>Chevron</w:t>
      </w:r>
      <w:r w:rsidRPr="008722BB" w:rsidR="00207201">
        <w:rPr>
          <w:rFonts w:ascii="Century Schoolbook" w:eastAsia="Calibri" w:hAnsi="Century Schoolbook"/>
          <w:sz w:val="26"/>
          <w:szCs w:val="22"/>
        </w:rPr>
        <w:t>,</w:t>
      </w:r>
      <w:r w:rsidR="00207201">
        <w:rPr>
          <w:rFonts w:ascii="Century Schoolbook" w:eastAsia="Calibri" w:hAnsi="Century Schoolbook"/>
          <w:i/>
          <w:iCs/>
          <w:sz w:val="26"/>
          <w:szCs w:val="22"/>
        </w:rPr>
        <w:t xml:space="preserve"> </w:t>
      </w:r>
      <w:r w:rsidR="00207201">
        <w:rPr>
          <w:rFonts w:ascii="Century Schoolbook" w:eastAsia="Calibri" w:hAnsi="Century Schoolbook"/>
          <w:sz w:val="26"/>
          <w:szCs w:val="22"/>
        </w:rPr>
        <w:t>at p. 149.)  That exception applies here because Senate Bill 10 seeks to promote higher density housing projects and allows for “more stringent local regulation” of ho</w:t>
      </w:r>
      <w:r w:rsidR="00735583">
        <w:rPr>
          <w:rFonts w:ascii="Century Schoolbook" w:eastAsia="Calibri" w:hAnsi="Century Schoolbook"/>
          <w:sz w:val="26"/>
          <w:szCs w:val="22"/>
        </w:rPr>
        <w:t>u</w:t>
      </w:r>
      <w:r w:rsidR="00207201">
        <w:rPr>
          <w:rFonts w:ascii="Century Schoolbook" w:eastAsia="Calibri" w:hAnsi="Century Schoolbook"/>
          <w:sz w:val="26"/>
          <w:szCs w:val="22"/>
        </w:rPr>
        <w:t>sing projects, but local housing density caps are being used to “frustrate the statu</w:t>
      </w:r>
      <w:r w:rsidR="00735583">
        <w:rPr>
          <w:rFonts w:ascii="Century Schoolbook" w:eastAsia="Calibri" w:hAnsi="Century Schoolbook"/>
          <w:sz w:val="26"/>
          <w:szCs w:val="22"/>
        </w:rPr>
        <w:t>t</w:t>
      </w:r>
      <w:r w:rsidR="00207201">
        <w:rPr>
          <w:rFonts w:ascii="Century Schoolbook" w:eastAsia="Calibri" w:hAnsi="Century Schoolbook"/>
          <w:sz w:val="26"/>
          <w:szCs w:val="22"/>
        </w:rPr>
        <w:t xml:space="preserve">e’s purpose.”  </w:t>
      </w:r>
    </w:p>
    <w:p w:rsidR="00522397" w:rsidP="0053497D" w14:paraId="6F89EC03" w14:textId="6E81B346">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Third, petitioners argue that </w:t>
      </w:r>
      <w:r w:rsidR="0053497D">
        <w:rPr>
          <w:rFonts w:ascii="Century Schoolbook" w:eastAsia="Calibri" w:hAnsi="Century Schoolbook"/>
          <w:sz w:val="26"/>
          <w:szCs w:val="22"/>
        </w:rPr>
        <w:t xml:space="preserve">Senate Bill 10 will not always alter the </w:t>
      </w:r>
      <w:r w:rsidR="0053497D">
        <w:rPr>
          <w:rFonts w:ascii="Century Schoolbook" w:eastAsia="Calibri" w:hAnsi="Century Schoolbook"/>
          <w:i/>
          <w:iCs/>
          <w:sz w:val="26"/>
          <w:szCs w:val="22"/>
        </w:rPr>
        <w:t>outcome</w:t>
      </w:r>
      <w:r w:rsidR="0053497D">
        <w:rPr>
          <w:rFonts w:ascii="Century Schoolbook" w:eastAsia="Calibri" w:hAnsi="Century Schoolbook"/>
          <w:sz w:val="26"/>
          <w:szCs w:val="22"/>
        </w:rPr>
        <w:t xml:space="preserve"> of individual zoning decisions because a local legislative body might elect </w:t>
      </w:r>
      <w:r w:rsidR="0053497D">
        <w:rPr>
          <w:rFonts w:ascii="Century Schoolbook" w:eastAsia="Calibri" w:hAnsi="Century Schoolbook"/>
          <w:i/>
          <w:iCs/>
          <w:sz w:val="26"/>
          <w:szCs w:val="22"/>
        </w:rPr>
        <w:t>not</w:t>
      </w:r>
      <w:r w:rsidR="0053497D">
        <w:rPr>
          <w:rFonts w:ascii="Century Schoolbook" w:eastAsia="Calibri" w:hAnsi="Century Schoolbook"/>
          <w:sz w:val="26"/>
          <w:szCs w:val="22"/>
        </w:rPr>
        <w:t xml:space="preserve"> to supersede a local housing density cap.  </w:t>
      </w:r>
      <w:r w:rsidR="00BE7B1D">
        <w:rPr>
          <w:rFonts w:ascii="Century Schoolbook" w:eastAsia="Calibri" w:hAnsi="Century Schoolbook"/>
          <w:sz w:val="26"/>
          <w:szCs w:val="22"/>
        </w:rPr>
        <w:t>This is true, but irrelevant.  By granting local legislative bodies the discretion whether to supersede local housing density caps, there will</w:t>
      </w:r>
      <w:r w:rsidR="00915F50">
        <w:rPr>
          <w:rFonts w:ascii="Century Schoolbook" w:eastAsia="Calibri" w:hAnsi="Century Schoolbook"/>
          <w:sz w:val="26"/>
          <w:szCs w:val="22"/>
        </w:rPr>
        <w:t>,</w:t>
      </w:r>
      <w:r w:rsidR="00BE7B1D">
        <w:rPr>
          <w:rFonts w:ascii="Century Schoolbook" w:eastAsia="Calibri" w:hAnsi="Century Schoolbook"/>
          <w:sz w:val="26"/>
          <w:szCs w:val="22"/>
        </w:rPr>
        <w:t xml:space="preserve"> </w:t>
      </w:r>
      <w:r w:rsidR="0053497D">
        <w:rPr>
          <w:rFonts w:ascii="Century Schoolbook" w:eastAsia="Calibri" w:hAnsi="Century Schoolbook"/>
          <w:sz w:val="26"/>
          <w:szCs w:val="22"/>
        </w:rPr>
        <w:t>by definition</w:t>
      </w:r>
      <w:r w:rsidR="00915F50">
        <w:rPr>
          <w:rFonts w:ascii="Century Schoolbook" w:eastAsia="Calibri" w:hAnsi="Century Schoolbook"/>
          <w:sz w:val="26"/>
          <w:szCs w:val="22"/>
        </w:rPr>
        <w:t>,</w:t>
      </w:r>
      <w:r w:rsidR="00BE7B1D">
        <w:rPr>
          <w:rFonts w:ascii="Century Schoolbook" w:eastAsia="Calibri" w:hAnsi="Century Schoolbook"/>
          <w:sz w:val="26"/>
          <w:szCs w:val="22"/>
        </w:rPr>
        <w:t xml:space="preserve"> be instances in which a local legislative body making a decision as to </w:t>
      </w:r>
      <w:r w:rsidR="00735583">
        <w:rPr>
          <w:rFonts w:ascii="Century Schoolbook" w:eastAsia="Calibri" w:hAnsi="Century Schoolbook"/>
          <w:sz w:val="26"/>
          <w:szCs w:val="22"/>
        </w:rPr>
        <w:t xml:space="preserve">a </w:t>
      </w:r>
      <w:r w:rsidR="00BE7B1D">
        <w:rPr>
          <w:rFonts w:ascii="Century Schoolbook" w:eastAsia="Calibri" w:hAnsi="Century Schoolbook"/>
          <w:sz w:val="26"/>
          <w:szCs w:val="22"/>
        </w:rPr>
        <w:t>specific parcel will elect not to supersede the applicable density cap and</w:t>
      </w:r>
      <w:r w:rsidR="003260B7">
        <w:rPr>
          <w:rFonts w:ascii="Century Schoolbook" w:eastAsia="Calibri" w:hAnsi="Century Schoolbook"/>
          <w:sz w:val="26"/>
          <w:szCs w:val="22"/>
        </w:rPr>
        <w:t>,</w:t>
      </w:r>
      <w:r w:rsidR="00BE7B1D">
        <w:rPr>
          <w:rFonts w:ascii="Century Schoolbook" w:eastAsia="Calibri" w:hAnsi="Century Schoolbook"/>
          <w:sz w:val="26"/>
          <w:szCs w:val="22"/>
        </w:rPr>
        <w:t xml:space="preserve"> hence</w:t>
      </w:r>
      <w:r w:rsidR="00915F50">
        <w:rPr>
          <w:rFonts w:ascii="Century Schoolbook" w:eastAsia="Calibri" w:hAnsi="Century Schoolbook"/>
          <w:sz w:val="26"/>
          <w:szCs w:val="22"/>
        </w:rPr>
        <w:t>,</w:t>
      </w:r>
      <w:r w:rsidR="00BE7B1D">
        <w:rPr>
          <w:rFonts w:ascii="Century Schoolbook" w:eastAsia="Calibri" w:hAnsi="Century Schoolbook"/>
          <w:sz w:val="26"/>
          <w:szCs w:val="22"/>
        </w:rPr>
        <w:t xml:space="preserve"> Senate Bill 10 will not always change the outcome of those parcel-by-parcel decisions.  But this result merely reflects the existence of the discretion Senate Bill 10 confers; it does </w:t>
      </w:r>
      <w:r w:rsidR="00BE7B1D">
        <w:rPr>
          <w:rFonts w:ascii="Century Schoolbook" w:eastAsia="Calibri" w:hAnsi="Century Schoolbook"/>
          <w:i/>
          <w:iCs/>
          <w:sz w:val="26"/>
          <w:szCs w:val="22"/>
        </w:rPr>
        <w:t>not</w:t>
      </w:r>
      <w:r w:rsidR="00BE7B1D">
        <w:rPr>
          <w:rFonts w:ascii="Century Schoolbook" w:eastAsia="Calibri" w:hAnsi="Century Schoolbook"/>
          <w:sz w:val="26"/>
          <w:szCs w:val="22"/>
        </w:rPr>
        <w:t xml:space="preserve"> somehow erase the fundamental conflict between a local legislative body having </w:t>
      </w:r>
      <w:r w:rsidR="00BE7B1D">
        <w:rPr>
          <w:rFonts w:ascii="Century Schoolbook" w:eastAsia="Calibri" w:hAnsi="Century Schoolbook"/>
          <w:i/>
          <w:iCs/>
          <w:sz w:val="26"/>
          <w:szCs w:val="22"/>
        </w:rPr>
        <w:t>some</w:t>
      </w:r>
      <w:r w:rsidR="00BE7B1D">
        <w:rPr>
          <w:rFonts w:ascii="Century Schoolbook" w:eastAsia="Calibri" w:hAnsi="Century Schoolbook"/>
          <w:sz w:val="26"/>
          <w:szCs w:val="22"/>
        </w:rPr>
        <w:t xml:space="preserve"> discretion to supersede those caps (as it does under Senate Bill 10) and having </w:t>
      </w:r>
      <w:r w:rsidR="00BE7B1D">
        <w:rPr>
          <w:rFonts w:ascii="Century Schoolbook" w:eastAsia="Calibri" w:hAnsi="Century Schoolbook"/>
          <w:i/>
          <w:iCs/>
          <w:sz w:val="26"/>
          <w:szCs w:val="22"/>
        </w:rPr>
        <w:t>no</w:t>
      </w:r>
      <w:r w:rsidR="00BE7B1D">
        <w:rPr>
          <w:rFonts w:ascii="Century Schoolbook" w:eastAsia="Calibri" w:hAnsi="Century Schoolbook"/>
          <w:sz w:val="26"/>
          <w:szCs w:val="22"/>
        </w:rPr>
        <w:t xml:space="preserve"> discretion to supersede (as it does under the local law).  </w:t>
      </w:r>
      <w:r>
        <w:rPr>
          <w:rFonts w:ascii="Century Schoolbook" w:eastAsia="Calibri" w:hAnsi="Century Schoolbook"/>
          <w:sz w:val="26"/>
          <w:szCs w:val="22"/>
        </w:rPr>
        <w:t xml:space="preserve">And because the local caps prohibit what Senate Bill 10 authorizes—that is, the discretion to supersede—there is a conflict regardless of whether the outcomes might be different </w:t>
      </w:r>
      <w:r w:rsidR="0053497D">
        <w:rPr>
          <w:rFonts w:ascii="Century Schoolbook" w:eastAsia="Calibri" w:hAnsi="Century Schoolbook"/>
          <w:sz w:val="26"/>
          <w:szCs w:val="22"/>
        </w:rPr>
        <w:t>for</w:t>
      </w:r>
      <w:r>
        <w:rPr>
          <w:rFonts w:ascii="Century Schoolbook" w:eastAsia="Calibri" w:hAnsi="Century Schoolbook"/>
          <w:sz w:val="26"/>
          <w:szCs w:val="22"/>
        </w:rPr>
        <w:t xml:space="preserve"> any given </w:t>
      </w:r>
      <w:r w:rsidR="0053497D">
        <w:rPr>
          <w:rFonts w:ascii="Century Schoolbook" w:eastAsia="Calibri" w:hAnsi="Century Schoolbook"/>
          <w:sz w:val="26"/>
          <w:szCs w:val="22"/>
        </w:rPr>
        <w:t>zoning decision</w:t>
      </w:r>
      <w:r>
        <w:rPr>
          <w:rFonts w:ascii="Century Schoolbook" w:eastAsia="Calibri" w:hAnsi="Century Schoolbook"/>
          <w:sz w:val="26"/>
          <w:szCs w:val="22"/>
        </w:rPr>
        <w:t>.</w:t>
      </w:r>
    </w:p>
    <w:p w:rsidR="00522397" w:rsidP="00D77739" w14:paraId="44067E20" w14:textId="5669282A">
      <w:pPr>
        <w:spacing w:line="288" w:lineRule="auto"/>
        <w:rPr>
          <w:rFonts w:ascii="Century Schoolbook" w:eastAsia="Calibri" w:hAnsi="Century Schoolbook"/>
          <w:sz w:val="26"/>
          <w:szCs w:val="22"/>
        </w:rPr>
      </w:pPr>
      <w:r>
        <w:rPr>
          <w:rFonts w:ascii="Century Schoolbook" w:eastAsia="Calibri" w:hAnsi="Century Schoolbook"/>
          <w:sz w:val="26"/>
          <w:szCs w:val="22"/>
        </w:rPr>
        <w:tab/>
      </w:r>
      <w:r w:rsidR="00735583">
        <w:rPr>
          <w:rFonts w:ascii="Century Schoolbook" w:eastAsia="Calibri" w:hAnsi="Century Schoolbook"/>
          <w:sz w:val="26"/>
          <w:szCs w:val="22"/>
        </w:rPr>
        <w:t>Fourth and l</w:t>
      </w:r>
      <w:r>
        <w:rPr>
          <w:rFonts w:ascii="Century Schoolbook" w:eastAsia="Calibri" w:hAnsi="Century Schoolbook"/>
          <w:sz w:val="26"/>
          <w:szCs w:val="22"/>
        </w:rPr>
        <w:t xml:space="preserve">astly, petitioners posit that there </w:t>
      </w:r>
      <w:r w:rsidR="00DE74CB">
        <w:rPr>
          <w:rFonts w:ascii="Century Schoolbook" w:eastAsia="Calibri" w:hAnsi="Century Schoolbook"/>
          <w:sz w:val="26"/>
          <w:szCs w:val="22"/>
        </w:rPr>
        <w:t xml:space="preserve">need not be a conflict between Senate Bill 10 and initiative-based housing density </w:t>
      </w:r>
      <w:r w:rsidR="00735583">
        <w:rPr>
          <w:rFonts w:ascii="Century Schoolbook" w:eastAsia="Calibri" w:hAnsi="Century Schoolbook"/>
          <w:sz w:val="26"/>
          <w:szCs w:val="22"/>
        </w:rPr>
        <w:t xml:space="preserve">caps </w:t>
      </w:r>
      <w:r>
        <w:rPr>
          <w:rFonts w:ascii="Century Schoolbook" w:eastAsia="Calibri" w:hAnsi="Century Schoolbook"/>
          <w:sz w:val="26"/>
          <w:szCs w:val="22"/>
        </w:rPr>
        <w:t xml:space="preserve">because it is possible to ask </w:t>
      </w:r>
      <w:r w:rsidRPr="00DE74CB">
        <w:rPr>
          <w:rFonts w:ascii="Century Schoolbook" w:eastAsia="Calibri" w:hAnsi="Century Schoolbook"/>
          <w:i/>
          <w:iCs/>
          <w:sz w:val="26"/>
          <w:szCs w:val="22"/>
        </w:rPr>
        <w:t>the local electorate</w:t>
      </w:r>
      <w:r>
        <w:rPr>
          <w:rFonts w:ascii="Century Schoolbook" w:eastAsia="Calibri" w:hAnsi="Century Schoolbook"/>
          <w:sz w:val="26"/>
          <w:szCs w:val="22"/>
        </w:rPr>
        <w:t xml:space="preserve"> whether to supersede an initiative-based housing density cap, thereby sidestepping any conflict.  This position utterly ignores that </w:t>
      </w:r>
      <w:r w:rsidR="00B37DB5">
        <w:rPr>
          <w:rFonts w:ascii="Century Schoolbook" w:eastAsia="Calibri" w:hAnsi="Century Schoolbook"/>
          <w:sz w:val="26"/>
          <w:szCs w:val="22"/>
        </w:rPr>
        <w:t>a main</w:t>
      </w:r>
      <w:r w:rsidR="00DE74CB">
        <w:rPr>
          <w:rFonts w:ascii="Century Schoolbook" w:eastAsia="Calibri" w:hAnsi="Century Schoolbook"/>
          <w:sz w:val="26"/>
          <w:szCs w:val="22"/>
        </w:rPr>
        <w:t xml:space="preserve"> </w:t>
      </w:r>
      <w:r>
        <w:rPr>
          <w:rFonts w:ascii="Century Schoolbook" w:eastAsia="Calibri" w:hAnsi="Century Schoolbook"/>
          <w:sz w:val="26"/>
          <w:szCs w:val="22"/>
        </w:rPr>
        <w:t xml:space="preserve">reason our Legislature enacted Senate Bill 10 is because local electorates were </w:t>
      </w:r>
      <w:r>
        <w:rPr>
          <w:rFonts w:ascii="Century Schoolbook" w:eastAsia="Calibri" w:hAnsi="Century Schoolbook"/>
          <w:i/>
          <w:iCs/>
          <w:sz w:val="26"/>
          <w:szCs w:val="22"/>
        </w:rPr>
        <w:t>blocking</w:t>
      </w:r>
      <w:r>
        <w:rPr>
          <w:rFonts w:ascii="Century Schoolbook" w:eastAsia="Calibri" w:hAnsi="Century Schoolbook"/>
          <w:sz w:val="26"/>
          <w:szCs w:val="22"/>
        </w:rPr>
        <w:t xml:space="preserve"> attempts to increase housing density.  Petitioners’ suggestion that Senate Bill 10’s mechanism can be swapped out for “letting the voters decide” on a parcel-by-parcel basis would perpetuate th</w:t>
      </w:r>
      <w:r w:rsidR="00CF5FE5">
        <w:rPr>
          <w:rFonts w:ascii="Century Schoolbook" w:eastAsia="Calibri" w:hAnsi="Century Schoolbook"/>
          <w:sz w:val="26"/>
          <w:szCs w:val="22"/>
        </w:rPr>
        <w:t>e</w:t>
      </w:r>
      <w:r>
        <w:rPr>
          <w:rFonts w:ascii="Century Schoolbook" w:eastAsia="Calibri" w:hAnsi="Century Schoolbook"/>
          <w:sz w:val="26"/>
          <w:szCs w:val="22"/>
        </w:rPr>
        <w:t xml:space="preserve"> </w:t>
      </w:r>
      <w:r w:rsidR="00CF5FE5">
        <w:rPr>
          <w:rFonts w:ascii="Century Schoolbook" w:eastAsia="Calibri" w:hAnsi="Century Schoolbook"/>
          <w:sz w:val="26"/>
          <w:szCs w:val="22"/>
        </w:rPr>
        <w:t xml:space="preserve">existing </w:t>
      </w:r>
      <w:r>
        <w:rPr>
          <w:rFonts w:ascii="Century Schoolbook" w:eastAsia="Calibri" w:hAnsi="Century Schoolbook"/>
          <w:sz w:val="26"/>
          <w:szCs w:val="22"/>
        </w:rPr>
        <w:t xml:space="preserve">paralysis and completely frustrate </w:t>
      </w:r>
      <w:r w:rsidR="00735583">
        <w:rPr>
          <w:rFonts w:ascii="Century Schoolbook" w:eastAsia="Calibri" w:hAnsi="Century Schoolbook"/>
          <w:sz w:val="26"/>
          <w:szCs w:val="22"/>
        </w:rPr>
        <w:t>a main</w:t>
      </w:r>
      <w:r>
        <w:rPr>
          <w:rFonts w:ascii="Century Schoolbook" w:eastAsia="Calibri" w:hAnsi="Century Schoolbook"/>
          <w:sz w:val="26"/>
          <w:szCs w:val="22"/>
        </w:rPr>
        <w:t xml:space="preserve"> reason for Senate Bill 10’s enactment.  We respectfully decline petitioners’ invitation to neuter Senate Bill 10.</w:t>
      </w:r>
    </w:p>
    <w:p w:rsidR="00522397" w:rsidP="00D77739" w14:paraId="797C78DF" w14:textId="1B36C2AE">
      <w:pPr>
        <w:spacing w:line="288" w:lineRule="auto"/>
        <w:rPr>
          <w:rFonts w:ascii="Century Schoolbook" w:eastAsia="Calibri" w:hAnsi="Century Schoolbook"/>
          <w:sz w:val="26"/>
          <w:szCs w:val="22"/>
        </w:rPr>
      </w:pPr>
      <w:r>
        <w:rPr>
          <w:rFonts w:ascii="Century Schoolbook" w:eastAsia="Calibri" w:hAnsi="Century Schoolbook"/>
          <w:sz w:val="26"/>
          <w:szCs w:val="22"/>
        </w:rPr>
        <w:tab/>
      </w:r>
      <w:r>
        <w:rPr>
          <w:rFonts w:ascii="Century Schoolbook" w:eastAsia="Calibri" w:hAnsi="Century Schoolbook"/>
          <w:b/>
          <w:bCs/>
          <w:sz w:val="26"/>
          <w:szCs w:val="22"/>
        </w:rPr>
        <w:t>B.</w:t>
      </w:r>
      <w:r>
        <w:rPr>
          <w:rFonts w:ascii="Century Schoolbook" w:eastAsia="Calibri" w:hAnsi="Century Schoolbook"/>
          <w:b/>
          <w:bCs/>
          <w:sz w:val="26"/>
          <w:szCs w:val="22"/>
        </w:rPr>
        <w:tab/>
      </w:r>
      <w:r>
        <w:rPr>
          <w:rFonts w:ascii="Century Schoolbook" w:eastAsia="Calibri" w:hAnsi="Century Schoolbook"/>
          <w:b/>
          <w:bCs/>
          <w:i/>
          <w:iCs/>
          <w:sz w:val="26"/>
          <w:szCs w:val="22"/>
        </w:rPr>
        <w:t>Has Senate Bill 10 satisfied the more exacting standard for preempti</w:t>
      </w:r>
      <w:r w:rsidR="00B37DB5">
        <w:rPr>
          <w:rFonts w:ascii="Century Schoolbook" w:eastAsia="Calibri" w:hAnsi="Century Schoolbook"/>
          <w:b/>
          <w:bCs/>
          <w:i/>
          <w:iCs/>
          <w:sz w:val="26"/>
          <w:szCs w:val="22"/>
        </w:rPr>
        <w:t>on</w:t>
      </w:r>
      <w:r>
        <w:rPr>
          <w:rFonts w:ascii="Century Schoolbook" w:eastAsia="Calibri" w:hAnsi="Century Schoolbook"/>
          <w:b/>
          <w:bCs/>
          <w:i/>
          <w:iCs/>
          <w:sz w:val="26"/>
          <w:szCs w:val="22"/>
        </w:rPr>
        <w:t xml:space="preserve"> </w:t>
      </w:r>
      <w:r w:rsidR="00B37DB5">
        <w:rPr>
          <w:rFonts w:ascii="Century Schoolbook" w:eastAsia="Calibri" w:hAnsi="Century Schoolbook"/>
          <w:b/>
          <w:bCs/>
          <w:i/>
          <w:iCs/>
          <w:sz w:val="26"/>
          <w:szCs w:val="22"/>
        </w:rPr>
        <w:t xml:space="preserve">of </w:t>
      </w:r>
      <w:r>
        <w:rPr>
          <w:rFonts w:ascii="Century Schoolbook" w:eastAsia="Calibri" w:hAnsi="Century Schoolbook"/>
          <w:b/>
          <w:bCs/>
          <w:i/>
          <w:iCs/>
          <w:sz w:val="26"/>
          <w:szCs w:val="22"/>
        </w:rPr>
        <w:t>local voter initiatives?</w:t>
      </w:r>
    </w:p>
    <w:p w:rsidR="00B37B4A" w:rsidP="00D77739" w14:paraId="3C7F6277" w14:textId="0C90B63B">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For over a century, our state Constitution has enshrined the power </w:t>
      </w:r>
      <w:r w:rsidR="00152223">
        <w:rPr>
          <w:rFonts w:ascii="Century Schoolbook" w:eastAsia="Calibri" w:hAnsi="Century Schoolbook"/>
          <w:sz w:val="26"/>
          <w:szCs w:val="22"/>
        </w:rPr>
        <w:t>of</w:t>
      </w:r>
      <w:r>
        <w:rPr>
          <w:rFonts w:ascii="Century Schoolbook" w:eastAsia="Calibri" w:hAnsi="Century Schoolbook"/>
          <w:sz w:val="26"/>
          <w:szCs w:val="22"/>
        </w:rPr>
        <w:t xml:space="preserve"> the voters in counties and cities to enact local laws by voter initiative.  (Cal. Const., art. II, § 11 [“Initiative and referendum powers may be exercised by the electors of each city or county”]; </w:t>
      </w:r>
      <w:r>
        <w:rPr>
          <w:rFonts w:ascii="Century Schoolbook" w:eastAsia="Calibri" w:hAnsi="Century Schoolbook"/>
          <w:i/>
          <w:iCs/>
          <w:sz w:val="26"/>
          <w:szCs w:val="22"/>
        </w:rPr>
        <w:t>Perry v. Brown</w:t>
      </w:r>
      <w:r>
        <w:rPr>
          <w:rFonts w:ascii="Century Schoolbook" w:eastAsia="Calibri" w:hAnsi="Century Schoolbook"/>
          <w:sz w:val="26"/>
          <w:szCs w:val="22"/>
        </w:rPr>
        <w:t xml:space="preserve"> (2011) 52 Cal.4th 1116, 1140-1141; </w:t>
      </w:r>
      <w:r>
        <w:rPr>
          <w:rFonts w:ascii="Century Schoolbook" w:eastAsia="Calibri" w:hAnsi="Century Schoolbook"/>
          <w:i/>
          <w:iCs/>
          <w:sz w:val="26"/>
          <w:szCs w:val="22"/>
        </w:rPr>
        <w:t>V</w:t>
      </w:r>
      <w:r w:rsidR="00A474D7">
        <w:rPr>
          <w:rFonts w:ascii="Century Schoolbook" w:eastAsia="Calibri" w:hAnsi="Century Schoolbook"/>
          <w:i/>
          <w:iCs/>
          <w:sz w:val="26"/>
          <w:szCs w:val="22"/>
        </w:rPr>
        <w:t>oters</w:t>
      </w:r>
      <w:r w:rsidR="00650A02">
        <w:rPr>
          <w:rFonts w:ascii="Century Schoolbook" w:eastAsia="Calibri" w:hAnsi="Century Schoolbook"/>
          <w:i/>
          <w:iCs/>
          <w:sz w:val="26"/>
          <w:szCs w:val="22"/>
        </w:rPr>
        <w:t xml:space="preserve"> for Responsible Retirement</w:t>
      </w:r>
      <w:r w:rsidRPr="008722BB">
        <w:rPr>
          <w:rFonts w:ascii="Century Schoolbook" w:eastAsia="Calibri" w:hAnsi="Century Schoolbook"/>
          <w:sz w:val="26"/>
          <w:szCs w:val="22"/>
        </w:rPr>
        <w:t>,</w:t>
      </w:r>
      <w:r>
        <w:rPr>
          <w:rFonts w:ascii="Century Schoolbook" w:eastAsia="Calibri" w:hAnsi="Century Schoolbook"/>
          <w:i/>
          <w:iCs/>
          <w:sz w:val="26"/>
          <w:szCs w:val="22"/>
        </w:rPr>
        <w:t xml:space="preserve"> supra</w:t>
      </w:r>
      <w:r>
        <w:rPr>
          <w:rFonts w:ascii="Century Schoolbook" w:eastAsia="Calibri" w:hAnsi="Century Schoolbook"/>
          <w:sz w:val="26"/>
          <w:szCs w:val="22"/>
        </w:rPr>
        <w:t>, 8 Cal.4th at p. 776.)</w:t>
      </w:r>
      <w:r>
        <w:rPr>
          <w:rStyle w:val="FootnoteReference"/>
          <w:rFonts w:ascii="Century Schoolbook" w:eastAsia="Calibri" w:hAnsi="Century Schoolbook"/>
          <w:b/>
          <w:bCs/>
          <w:szCs w:val="22"/>
        </w:rPr>
        <w:footnoteReference w:id="8"/>
      </w:r>
      <w:r w:rsidRPr="008722BB">
        <w:rPr>
          <w:rFonts w:ascii="Century Schoolbook" w:eastAsia="Calibri" w:hAnsi="Century Schoolbook"/>
          <w:b/>
          <w:bCs/>
          <w:sz w:val="26"/>
          <w:szCs w:val="22"/>
        </w:rPr>
        <w:t xml:space="preserve"> </w:t>
      </w:r>
      <w:r>
        <w:rPr>
          <w:rFonts w:ascii="Century Schoolbook" w:eastAsia="Calibri" w:hAnsi="Century Schoolbook"/>
          <w:sz w:val="26"/>
          <w:szCs w:val="22"/>
        </w:rPr>
        <w:t xml:space="preserve"> This power exists to “afford the people the ability to propose and </w:t>
      </w:r>
      <w:r w:rsidR="00C6449E">
        <w:rPr>
          <w:rFonts w:ascii="Century Schoolbook" w:eastAsia="Calibri" w:hAnsi="Century Schoolbook"/>
          <w:sz w:val="26"/>
          <w:szCs w:val="22"/>
        </w:rPr>
        <w:t xml:space="preserve">to </w:t>
      </w:r>
      <w:r>
        <w:rPr>
          <w:rFonts w:ascii="Century Schoolbook" w:eastAsia="Calibri" w:hAnsi="Century Schoolbook"/>
          <w:sz w:val="26"/>
          <w:szCs w:val="22"/>
        </w:rPr>
        <w:t xml:space="preserve">adopt” laws “that their elected public officials </w:t>
      </w:r>
      <w:r w:rsidR="00C6449E">
        <w:rPr>
          <w:rFonts w:ascii="Century Schoolbook" w:eastAsia="Calibri" w:hAnsi="Century Schoolbook"/>
          <w:sz w:val="26"/>
          <w:szCs w:val="22"/>
        </w:rPr>
        <w:t xml:space="preserve">had </w:t>
      </w:r>
      <w:r>
        <w:rPr>
          <w:rFonts w:ascii="Century Schoolbook" w:eastAsia="Calibri" w:hAnsi="Century Schoolbook"/>
          <w:sz w:val="26"/>
          <w:szCs w:val="22"/>
        </w:rPr>
        <w:t>refused or declined to adopt.”  (</w:t>
      </w:r>
      <w:r>
        <w:rPr>
          <w:rFonts w:ascii="Century Schoolbook" w:eastAsia="Calibri" w:hAnsi="Century Schoolbook"/>
          <w:i/>
          <w:iCs/>
          <w:sz w:val="26"/>
          <w:szCs w:val="22"/>
        </w:rPr>
        <w:t>Perry</w:t>
      </w:r>
      <w:r>
        <w:rPr>
          <w:rFonts w:ascii="Century Schoolbook" w:eastAsia="Calibri" w:hAnsi="Century Schoolbook"/>
          <w:sz w:val="26"/>
          <w:szCs w:val="22"/>
        </w:rPr>
        <w:t>, at p. 1140.)  Unlike laws enacted through the usual legislative process, laws enacted by voter initiative may be altered only in accord with the terms for amendment set forth in the initiative or, if none are set forth, by a further vote of the electorate.  (</w:t>
      </w:r>
      <w:r w:rsidR="00835253">
        <w:rPr>
          <w:rFonts w:ascii="Century Schoolbook" w:eastAsia="Calibri" w:hAnsi="Century Schoolbook"/>
          <w:sz w:val="26"/>
          <w:szCs w:val="22"/>
        </w:rPr>
        <w:t xml:space="preserve">Elec. Code, § 9217; </w:t>
      </w:r>
      <w:r>
        <w:rPr>
          <w:rFonts w:ascii="Century Schoolbook" w:eastAsia="Calibri" w:hAnsi="Century Schoolbook"/>
          <w:i/>
          <w:iCs/>
          <w:sz w:val="26"/>
          <w:szCs w:val="22"/>
        </w:rPr>
        <w:t>Rossi v. Brown</w:t>
      </w:r>
      <w:r>
        <w:rPr>
          <w:rFonts w:ascii="Century Schoolbook" w:eastAsia="Calibri" w:hAnsi="Century Schoolbook"/>
          <w:sz w:val="26"/>
          <w:szCs w:val="22"/>
        </w:rPr>
        <w:t xml:space="preserve"> (1995) 9 Cal.4th 688, 715-716;</w:t>
      </w:r>
      <w:r w:rsidR="0067175E">
        <w:rPr>
          <w:rFonts w:ascii="Century Schoolbook" w:eastAsia="Calibri" w:hAnsi="Century Schoolbook"/>
          <w:sz w:val="26"/>
          <w:szCs w:val="22"/>
        </w:rPr>
        <w:t xml:space="preserve"> </w:t>
      </w:r>
      <w:r w:rsidR="0067175E">
        <w:rPr>
          <w:rFonts w:ascii="Century Schoolbook" w:eastAsia="Calibri" w:hAnsi="Century Schoolbook"/>
          <w:i/>
          <w:iCs/>
          <w:sz w:val="26"/>
          <w:szCs w:val="22"/>
        </w:rPr>
        <w:t>Brookside Investments, Ltd. v. City of El Monte</w:t>
      </w:r>
      <w:r w:rsidR="0067175E">
        <w:rPr>
          <w:rFonts w:ascii="Century Schoolbook" w:eastAsia="Calibri" w:hAnsi="Century Schoolbook"/>
          <w:sz w:val="26"/>
          <w:szCs w:val="22"/>
        </w:rPr>
        <w:t xml:space="preserve"> (2016) 5 Cal.App.5th 540, 551-552; </w:t>
      </w:r>
      <w:r>
        <w:rPr>
          <w:rFonts w:ascii="Century Schoolbook" w:eastAsia="Calibri" w:hAnsi="Century Schoolbook"/>
          <w:sz w:val="26"/>
          <w:szCs w:val="22"/>
        </w:rPr>
        <w:t>accord, Cal. Const., art. II, § 10, subd. (c)</w:t>
      </w:r>
      <w:r w:rsidR="000F5C45">
        <w:rPr>
          <w:rFonts w:ascii="Century Schoolbook" w:eastAsia="Calibri" w:hAnsi="Century Schoolbook"/>
          <w:sz w:val="26"/>
          <w:szCs w:val="22"/>
        </w:rPr>
        <w:t xml:space="preserve">; </w:t>
      </w:r>
      <w:r w:rsidR="000F5C45">
        <w:rPr>
          <w:rFonts w:ascii="Century Schoolbook" w:eastAsia="Calibri" w:hAnsi="Century Schoolbook"/>
          <w:i/>
          <w:iCs/>
          <w:sz w:val="26"/>
          <w:szCs w:val="22"/>
        </w:rPr>
        <w:t>Amwest Sur</w:t>
      </w:r>
      <w:r w:rsidR="00316510">
        <w:rPr>
          <w:rFonts w:ascii="Century Schoolbook" w:eastAsia="Calibri" w:hAnsi="Century Schoolbook"/>
          <w:i/>
          <w:iCs/>
          <w:sz w:val="26"/>
          <w:szCs w:val="22"/>
        </w:rPr>
        <w:t>ety</w:t>
      </w:r>
      <w:r w:rsidR="000F5C45">
        <w:rPr>
          <w:rFonts w:ascii="Century Schoolbook" w:eastAsia="Calibri" w:hAnsi="Century Schoolbook"/>
          <w:i/>
          <w:iCs/>
          <w:sz w:val="26"/>
          <w:szCs w:val="22"/>
        </w:rPr>
        <w:t xml:space="preserve"> Ins. Co. v. Wilson</w:t>
      </w:r>
      <w:r w:rsidR="000F5C45">
        <w:rPr>
          <w:rFonts w:ascii="Century Schoolbook" w:eastAsia="Calibri" w:hAnsi="Century Schoolbook"/>
          <w:sz w:val="26"/>
          <w:szCs w:val="22"/>
        </w:rPr>
        <w:t xml:space="preserve"> (1995</w:t>
      </w:r>
      <w:r w:rsidR="00351257">
        <w:rPr>
          <w:rFonts w:ascii="Century Schoolbook" w:eastAsia="Calibri" w:hAnsi="Century Schoolbook"/>
          <w:sz w:val="26"/>
          <w:szCs w:val="22"/>
        </w:rPr>
        <w:t>)</w:t>
      </w:r>
      <w:r w:rsidR="000F5C45">
        <w:rPr>
          <w:rFonts w:ascii="Century Schoolbook" w:eastAsia="Calibri" w:hAnsi="Century Schoolbook"/>
          <w:sz w:val="26"/>
          <w:szCs w:val="22"/>
        </w:rPr>
        <w:t xml:space="preserve"> 11 Cal.4th 1243, 1251.)</w:t>
      </w:r>
      <w:r w:rsidR="0067175E">
        <w:rPr>
          <w:rFonts w:ascii="Century Schoolbook" w:eastAsia="Calibri" w:hAnsi="Century Schoolbook"/>
          <w:sz w:val="26"/>
          <w:szCs w:val="22"/>
        </w:rPr>
        <w:t xml:space="preserve">  Given its importance in our constitutional scheme, any doubts about the initiative power are to be “</w:t>
      </w:r>
      <w:r w:rsidR="00CD3AAC">
        <w:rPr>
          <w:rFonts w:ascii="Century Schoolbook" w:eastAsia="Calibri" w:hAnsi="Century Schoolbook"/>
          <w:sz w:val="26"/>
          <w:szCs w:val="22"/>
        </w:rPr>
        <w:t>‘“</w:t>
      </w:r>
      <w:r w:rsidR="0067175E">
        <w:rPr>
          <w:rFonts w:ascii="Century Schoolbook" w:eastAsia="Calibri" w:hAnsi="Century Schoolbook"/>
          <w:sz w:val="26"/>
          <w:szCs w:val="22"/>
        </w:rPr>
        <w:t>reasonably . . . resolved in favor of</w:t>
      </w:r>
      <w:r w:rsidR="00CD3AAC">
        <w:rPr>
          <w:rFonts w:ascii="Century Schoolbook" w:eastAsia="Calibri" w:hAnsi="Century Schoolbook"/>
          <w:sz w:val="26"/>
          <w:szCs w:val="22"/>
        </w:rPr>
        <w:t>”’</w:t>
      </w:r>
      <w:r w:rsidR="0067175E">
        <w:rPr>
          <w:rFonts w:ascii="Century Schoolbook" w:eastAsia="Calibri" w:hAnsi="Century Schoolbook"/>
          <w:sz w:val="26"/>
          <w:szCs w:val="22"/>
        </w:rPr>
        <w:t>” that power.  (</w:t>
      </w:r>
      <w:r w:rsidR="00CD3AAC">
        <w:rPr>
          <w:rFonts w:ascii="Century Schoolbook" w:eastAsia="Calibri" w:hAnsi="Century Schoolbook"/>
          <w:i/>
          <w:iCs/>
          <w:sz w:val="26"/>
          <w:szCs w:val="22"/>
        </w:rPr>
        <w:t>Voters</w:t>
      </w:r>
      <w:r w:rsidR="00650A02">
        <w:rPr>
          <w:rFonts w:ascii="Century Schoolbook" w:eastAsia="Calibri" w:hAnsi="Century Schoolbook"/>
          <w:i/>
          <w:iCs/>
          <w:sz w:val="26"/>
          <w:szCs w:val="22"/>
        </w:rPr>
        <w:t xml:space="preserve"> for Responsible Retirement</w:t>
      </w:r>
      <w:r w:rsidRPr="008722BB" w:rsidR="0067175E">
        <w:rPr>
          <w:rFonts w:ascii="Century Schoolbook" w:eastAsia="Calibri" w:hAnsi="Century Schoolbook"/>
          <w:sz w:val="26"/>
          <w:szCs w:val="22"/>
        </w:rPr>
        <w:t>,</w:t>
      </w:r>
      <w:r w:rsidR="00CD3AAC">
        <w:rPr>
          <w:rFonts w:ascii="Century Schoolbook" w:eastAsia="Calibri" w:hAnsi="Century Schoolbook"/>
          <w:sz w:val="26"/>
          <w:szCs w:val="22"/>
        </w:rPr>
        <w:t xml:space="preserve"> </w:t>
      </w:r>
      <w:r w:rsidR="0067175E">
        <w:rPr>
          <w:rFonts w:ascii="Century Schoolbook" w:eastAsia="Calibri" w:hAnsi="Century Schoolbook"/>
          <w:sz w:val="26"/>
          <w:szCs w:val="22"/>
        </w:rPr>
        <w:t>at p</w:t>
      </w:r>
      <w:r w:rsidR="005B4DBE">
        <w:rPr>
          <w:rFonts w:ascii="Century Schoolbook" w:eastAsia="Calibri" w:hAnsi="Century Schoolbook"/>
          <w:sz w:val="26"/>
          <w:szCs w:val="22"/>
        </w:rPr>
        <w:t>p</w:t>
      </w:r>
      <w:r w:rsidR="0067175E">
        <w:rPr>
          <w:rFonts w:ascii="Century Schoolbook" w:eastAsia="Calibri" w:hAnsi="Century Schoolbook"/>
          <w:sz w:val="26"/>
          <w:szCs w:val="22"/>
        </w:rPr>
        <w:t xml:space="preserve">. 776-777; </w:t>
      </w:r>
      <w:r w:rsidR="0067175E">
        <w:rPr>
          <w:rFonts w:ascii="Century Schoolbook" w:eastAsia="Calibri" w:hAnsi="Century Schoolbook"/>
          <w:i/>
          <w:iCs/>
          <w:sz w:val="26"/>
          <w:szCs w:val="22"/>
        </w:rPr>
        <w:t>Associated Home Builders</w:t>
      </w:r>
      <w:r w:rsidR="00AB573E">
        <w:rPr>
          <w:rFonts w:ascii="Century Schoolbook" w:eastAsia="Calibri" w:hAnsi="Century Schoolbook"/>
          <w:i/>
          <w:iCs/>
          <w:sz w:val="26"/>
          <w:szCs w:val="22"/>
        </w:rPr>
        <w:t xml:space="preserve"> etc.</w:t>
      </w:r>
      <w:r w:rsidR="0067175E">
        <w:rPr>
          <w:rFonts w:ascii="Century Schoolbook" w:eastAsia="Calibri" w:hAnsi="Century Schoolbook"/>
          <w:i/>
          <w:iCs/>
          <w:sz w:val="26"/>
          <w:szCs w:val="22"/>
        </w:rPr>
        <w:t>, Inc. v. City of Livermore</w:t>
      </w:r>
      <w:r w:rsidR="0067175E">
        <w:rPr>
          <w:rFonts w:ascii="Century Schoolbook" w:eastAsia="Calibri" w:hAnsi="Century Schoolbook"/>
          <w:sz w:val="26"/>
          <w:szCs w:val="22"/>
        </w:rPr>
        <w:t xml:space="preserve"> (1976) 18 Cal.3d 582, 591.)</w:t>
      </w:r>
    </w:p>
    <w:p w:rsidR="0067175E" w:rsidRPr="003B610C" w:rsidP="00D77739" w14:paraId="68F75609" w14:textId="1BE8D63B">
      <w:pPr>
        <w:spacing w:line="288" w:lineRule="auto"/>
        <w:rPr>
          <w:rFonts w:ascii="Century Schoolbook" w:eastAsia="Calibri" w:hAnsi="Century Schoolbook"/>
          <w:sz w:val="26"/>
          <w:szCs w:val="22"/>
        </w:rPr>
      </w:pPr>
      <w:r>
        <w:rPr>
          <w:rFonts w:ascii="Century Schoolbook" w:eastAsia="Calibri" w:hAnsi="Century Schoolbook"/>
          <w:sz w:val="26"/>
          <w:szCs w:val="22"/>
        </w:rPr>
        <w:tab/>
        <w:t>Contrary to what petitioners assert after proffering a detailed exegesis on the initiative power, our Legislature may preempt local laws adopted through the initiative power.  In deference to the presumption in favor of the exercise of that power, however, a state statute preempt</w:t>
      </w:r>
      <w:r w:rsidR="00DE74CB">
        <w:rPr>
          <w:rFonts w:ascii="Century Schoolbook" w:eastAsia="Calibri" w:hAnsi="Century Schoolbook"/>
          <w:sz w:val="26"/>
          <w:szCs w:val="22"/>
        </w:rPr>
        <w:t>s</w:t>
      </w:r>
      <w:r>
        <w:rPr>
          <w:rFonts w:ascii="Century Schoolbook" w:eastAsia="Calibri" w:hAnsi="Century Schoolbook"/>
          <w:sz w:val="26"/>
          <w:szCs w:val="22"/>
        </w:rPr>
        <w:t xml:space="preserve"> local laws adopted through initiative only if there is a “</w:t>
      </w:r>
      <w:r w:rsidR="00AE61BF">
        <w:rPr>
          <w:rFonts w:ascii="Century Schoolbook" w:eastAsia="Calibri" w:hAnsi="Century Schoolbook"/>
          <w:sz w:val="26"/>
          <w:szCs w:val="22"/>
        </w:rPr>
        <w:t>‘</w:t>
      </w:r>
      <w:r>
        <w:rPr>
          <w:rFonts w:ascii="Century Schoolbook" w:eastAsia="Calibri" w:hAnsi="Century Schoolbook"/>
          <w:sz w:val="26"/>
          <w:szCs w:val="22"/>
        </w:rPr>
        <w:t>clear showing</w:t>
      </w:r>
      <w:r w:rsidR="00AE61BF">
        <w:rPr>
          <w:rFonts w:ascii="Century Schoolbook" w:eastAsia="Calibri" w:hAnsi="Century Schoolbook"/>
          <w:sz w:val="26"/>
          <w:szCs w:val="22"/>
        </w:rPr>
        <w:t>’</w:t>
      </w:r>
      <w:r>
        <w:rPr>
          <w:rFonts w:ascii="Century Schoolbook" w:eastAsia="Calibri" w:hAnsi="Century Schoolbook"/>
          <w:sz w:val="26"/>
          <w:szCs w:val="22"/>
        </w:rPr>
        <w:t xml:space="preserve">” </w:t>
      </w:r>
      <w:r w:rsidR="003B610C">
        <w:rPr>
          <w:rFonts w:ascii="Century Schoolbook" w:eastAsia="Calibri" w:hAnsi="Century Schoolbook"/>
          <w:sz w:val="26"/>
          <w:szCs w:val="22"/>
        </w:rPr>
        <w:t xml:space="preserve">or “definite indication” </w:t>
      </w:r>
      <w:r>
        <w:rPr>
          <w:rFonts w:ascii="Century Schoolbook" w:eastAsia="Calibri" w:hAnsi="Century Schoolbook"/>
          <w:sz w:val="26"/>
          <w:szCs w:val="22"/>
        </w:rPr>
        <w:t>of legislative intent to do so.  (</w:t>
      </w:r>
      <w:r w:rsidR="00AE61BF">
        <w:rPr>
          <w:rFonts w:ascii="Century Schoolbook" w:eastAsia="Calibri" w:hAnsi="Century Schoolbook"/>
          <w:i/>
          <w:iCs/>
          <w:sz w:val="26"/>
          <w:szCs w:val="22"/>
        </w:rPr>
        <w:t>DeVita</w:t>
      </w:r>
      <w:r w:rsidRPr="003B48BB" w:rsidR="00AE61BF">
        <w:rPr>
          <w:rFonts w:ascii="Century Schoolbook" w:eastAsia="Calibri" w:hAnsi="Century Schoolbook"/>
          <w:sz w:val="26"/>
          <w:szCs w:val="22"/>
        </w:rPr>
        <w:t>,</w:t>
      </w:r>
      <w:r w:rsidR="00AE61BF">
        <w:rPr>
          <w:rFonts w:ascii="Century Schoolbook" w:eastAsia="Calibri" w:hAnsi="Century Schoolbook"/>
          <w:i/>
          <w:iCs/>
          <w:sz w:val="26"/>
          <w:szCs w:val="22"/>
        </w:rPr>
        <w:t xml:space="preserve"> supra</w:t>
      </w:r>
      <w:r w:rsidR="00AE61BF">
        <w:rPr>
          <w:rFonts w:ascii="Century Schoolbook" w:eastAsia="Calibri" w:hAnsi="Century Schoolbook"/>
          <w:sz w:val="26"/>
          <w:szCs w:val="22"/>
        </w:rPr>
        <w:t xml:space="preserve">, 9 Cal.4th at pp. 775-776; </w:t>
      </w:r>
      <w:r w:rsidR="003B610C">
        <w:rPr>
          <w:rFonts w:ascii="Century Schoolbook" w:eastAsia="Calibri" w:hAnsi="Century Schoolbook"/>
          <w:i/>
          <w:iCs/>
          <w:sz w:val="26"/>
          <w:szCs w:val="22"/>
        </w:rPr>
        <w:t>City of Morgan Hill</w:t>
      </w:r>
      <w:r w:rsidR="003B610C">
        <w:rPr>
          <w:rFonts w:ascii="Century Schoolbook" w:eastAsia="Calibri" w:hAnsi="Century Schoolbook"/>
          <w:sz w:val="26"/>
          <w:szCs w:val="22"/>
        </w:rPr>
        <w:t xml:space="preserve">, </w:t>
      </w:r>
      <w:r w:rsidR="003B610C">
        <w:rPr>
          <w:rFonts w:ascii="Century Schoolbook" w:eastAsia="Calibri" w:hAnsi="Century Schoolbook"/>
          <w:i/>
          <w:iCs/>
          <w:sz w:val="26"/>
          <w:szCs w:val="22"/>
        </w:rPr>
        <w:t>supra</w:t>
      </w:r>
      <w:r w:rsidR="003B610C">
        <w:rPr>
          <w:rFonts w:ascii="Century Schoolbook" w:eastAsia="Calibri" w:hAnsi="Century Schoolbook"/>
          <w:sz w:val="26"/>
          <w:szCs w:val="22"/>
        </w:rPr>
        <w:t>, 5 Cal.5th at p. 1079</w:t>
      </w:r>
      <w:r w:rsidR="008C0ECD">
        <w:rPr>
          <w:rFonts w:ascii="Century Schoolbook" w:eastAsia="Calibri" w:hAnsi="Century Schoolbook"/>
          <w:sz w:val="26"/>
          <w:szCs w:val="22"/>
        </w:rPr>
        <w:t>.)</w:t>
      </w:r>
    </w:p>
    <w:p w:rsidR="0060246F" w:rsidP="00D77739" w14:paraId="303C5D13" w14:textId="4E6F612F">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In enacting </w:t>
      </w:r>
      <w:r>
        <w:rPr>
          <w:rFonts w:ascii="Century Schoolbook" w:eastAsia="Calibri" w:hAnsi="Century Schoolbook"/>
          <w:sz w:val="26"/>
          <w:szCs w:val="22"/>
        </w:rPr>
        <w:tab/>
        <w:t xml:space="preserve">Senate Bill 10, our Legislature clearly showed and definitely indicated its intent to displace local housing density caps adopted through local voter initiative.  Section 65913.5 explicitly grants </w:t>
      </w:r>
      <w:r w:rsidR="00C76517">
        <w:rPr>
          <w:rFonts w:ascii="Century Schoolbook" w:eastAsia="Calibri" w:hAnsi="Century Schoolbook"/>
          <w:sz w:val="26"/>
          <w:szCs w:val="22"/>
        </w:rPr>
        <w:t xml:space="preserve">local legislative bodies </w:t>
      </w:r>
      <w:r>
        <w:rPr>
          <w:rFonts w:ascii="Century Schoolbook" w:eastAsia="Calibri" w:hAnsi="Century Schoolbook"/>
          <w:sz w:val="26"/>
          <w:szCs w:val="22"/>
        </w:rPr>
        <w:t xml:space="preserve">the power to “adopt an ordinance to zone a parcel for up to 10 units of residential density per parcel” “[n]otwithstanding any local restrictions . . . including . . . </w:t>
      </w:r>
      <w:r>
        <w:rPr>
          <w:rFonts w:ascii="Century Schoolbook" w:eastAsia="Calibri" w:hAnsi="Century Schoolbook"/>
          <w:i/>
          <w:iCs/>
          <w:sz w:val="26"/>
          <w:szCs w:val="22"/>
        </w:rPr>
        <w:t>restrictions enacted by local initiative.</w:t>
      </w:r>
      <w:r>
        <w:rPr>
          <w:rFonts w:ascii="Century Schoolbook" w:eastAsia="Calibri" w:hAnsi="Century Schoolbook"/>
          <w:sz w:val="26"/>
          <w:szCs w:val="22"/>
        </w:rPr>
        <w:t xml:space="preserve">”  (§ 65915.3, subd. (a)(1), italics added.)  Indeed, section 65913.5 even goes so far as to erect a separate and higher procedural requirement for </w:t>
      </w:r>
      <w:r w:rsidR="005A4EA5">
        <w:rPr>
          <w:rFonts w:ascii="Century Schoolbook" w:eastAsia="Calibri" w:hAnsi="Century Schoolbook"/>
          <w:sz w:val="26"/>
          <w:szCs w:val="22"/>
        </w:rPr>
        <w:t>superseding</w:t>
      </w:r>
      <w:r>
        <w:rPr>
          <w:rFonts w:ascii="Century Schoolbook" w:eastAsia="Calibri" w:hAnsi="Century Schoolbook"/>
          <w:sz w:val="26"/>
          <w:szCs w:val="22"/>
        </w:rPr>
        <w:t xml:space="preserve"> an initiative-based housing density cap than for </w:t>
      </w:r>
      <w:r w:rsidR="005A4EA5">
        <w:rPr>
          <w:rFonts w:ascii="Century Schoolbook" w:eastAsia="Calibri" w:hAnsi="Century Schoolbook"/>
          <w:sz w:val="26"/>
          <w:szCs w:val="22"/>
        </w:rPr>
        <w:t>superseding</w:t>
      </w:r>
      <w:r>
        <w:rPr>
          <w:rFonts w:ascii="Century Schoolbook" w:eastAsia="Calibri" w:hAnsi="Century Schoolbook"/>
          <w:sz w:val="26"/>
          <w:szCs w:val="22"/>
        </w:rPr>
        <w:t xml:space="preserve"> a legislatively enacted cap—namely, a two-thirds vote rather than a simple majority.  (</w:t>
      </w:r>
      <w:r>
        <w:rPr>
          <w:rFonts w:ascii="Century Schoolbook" w:eastAsia="Calibri" w:hAnsi="Century Schoolbook"/>
          <w:i/>
          <w:iCs/>
          <w:sz w:val="26"/>
          <w:szCs w:val="22"/>
        </w:rPr>
        <w:t>Id.</w:t>
      </w:r>
      <w:r>
        <w:rPr>
          <w:rFonts w:ascii="Century Schoolbook" w:eastAsia="Calibri" w:hAnsi="Century Schoolbook"/>
          <w:sz w:val="26"/>
          <w:szCs w:val="22"/>
        </w:rPr>
        <w:t>, subd. (b)(4).)  These provision</w:t>
      </w:r>
      <w:r w:rsidR="008C0ECD">
        <w:rPr>
          <w:rFonts w:ascii="Century Schoolbook" w:eastAsia="Calibri" w:hAnsi="Century Schoolbook"/>
          <w:sz w:val="26"/>
          <w:szCs w:val="22"/>
        </w:rPr>
        <w:t>s</w:t>
      </w:r>
      <w:r>
        <w:rPr>
          <w:rFonts w:ascii="Century Schoolbook" w:eastAsia="Calibri" w:hAnsi="Century Schoolbook"/>
          <w:sz w:val="26"/>
          <w:szCs w:val="22"/>
        </w:rPr>
        <w:t xml:space="preserve"> leave no doubt that our Legislature explicitly contemplated that Senate Bill 10 would be use</w:t>
      </w:r>
      <w:r w:rsidR="005A4EA5">
        <w:rPr>
          <w:rFonts w:ascii="Century Schoolbook" w:eastAsia="Calibri" w:hAnsi="Century Schoolbook"/>
          <w:sz w:val="26"/>
          <w:szCs w:val="22"/>
        </w:rPr>
        <w:t>d</w:t>
      </w:r>
      <w:r>
        <w:rPr>
          <w:rFonts w:ascii="Century Schoolbook" w:eastAsia="Calibri" w:hAnsi="Century Schoolbook"/>
          <w:sz w:val="26"/>
          <w:szCs w:val="22"/>
        </w:rPr>
        <w:t xml:space="preserve"> to supersede local voter initiatives.</w:t>
      </w:r>
    </w:p>
    <w:p w:rsidR="0060246F" w:rsidP="00D77739" w14:paraId="74C1471A" w14:textId="21F03A6B">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Petitioners respond with </w:t>
      </w:r>
      <w:r w:rsidR="001C359D">
        <w:rPr>
          <w:rFonts w:ascii="Century Schoolbook" w:eastAsia="Calibri" w:hAnsi="Century Schoolbook"/>
          <w:sz w:val="26"/>
          <w:szCs w:val="22"/>
        </w:rPr>
        <w:t xml:space="preserve">two </w:t>
      </w:r>
      <w:r>
        <w:rPr>
          <w:rFonts w:ascii="Century Schoolbook" w:eastAsia="Calibri" w:hAnsi="Century Schoolbook"/>
          <w:sz w:val="26"/>
          <w:szCs w:val="22"/>
        </w:rPr>
        <w:t>arguments.</w:t>
      </w:r>
    </w:p>
    <w:p w:rsidR="0060246F" w:rsidP="00D77739" w14:paraId="52B687BA" w14:textId="209BB9EB">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First, they </w:t>
      </w:r>
      <w:r w:rsidR="008C0ECD">
        <w:rPr>
          <w:rFonts w:ascii="Century Schoolbook" w:eastAsia="Calibri" w:hAnsi="Century Schoolbook"/>
          <w:sz w:val="26"/>
          <w:szCs w:val="22"/>
        </w:rPr>
        <w:t xml:space="preserve">seem to suggest that the power of voter initiative is so powerful, so fundamental, and so foundational that our Legislature can </w:t>
      </w:r>
      <w:r w:rsidR="008C0ECD">
        <w:rPr>
          <w:rFonts w:ascii="Century Schoolbook" w:eastAsia="Calibri" w:hAnsi="Century Schoolbook"/>
          <w:i/>
          <w:iCs/>
          <w:sz w:val="26"/>
          <w:szCs w:val="22"/>
        </w:rPr>
        <w:t>never</w:t>
      </w:r>
      <w:r w:rsidR="008C0ECD">
        <w:rPr>
          <w:rFonts w:ascii="Century Schoolbook" w:eastAsia="Calibri" w:hAnsi="Century Schoolbook"/>
          <w:sz w:val="26"/>
          <w:szCs w:val="22"/>
        </w:rPr>
        <w:t xml:space="preserve"> preempt local laws enacted by voter initiative.  </w:t>
      </w:r>
      <w:r w:rsidR="001A2C8B">
        <w:rPr>
          <w:rFonts w:ascii="Century Schoolbook" w:eastAsia="Calibri" w:hAnsi="Century Schoolbook"/>
          <w:sz w:val="26"/>
          <w:szCs w:val="22"/>
        </w:rPr>
        <w:t xml:space="preserve">Relatedly, they assert that the </w:t>
      </w:r>
      <w:r w:rsidR="001A2C8B">
        <w:rPr>
          <w:rFonts w:ascii="Century Schoolbook" w:eastAsia="Calibri" w:hAnsi="Century Schoolbook"/>
          <w:i/>
          <w:iCs/>
          <w:sz w:val="26"/>
          <w:szCs w:val="22"/>
        </w:rPr>
        <w:t xml:space="preserve">constitutional </w:t>
      </w:r>
      <w:r w:rsidR="001A2C8B">
        <w:rPr>
          <w:rFonts w:ascii="Century Schoolbook" w:eastAsia="Calibri" w:hAnsi="Century Schoolbook"/>
          <w:sz w:val="26"/>
          <w:szCs w:val="22"/>
        </w:rPr>
        <w:t>nature of the initiative power means that no</w:t>
      </w:r>
      <w:r w:rsidR="005A4EA5">
        <w:rPr>
          <w:rFonts w:ascii="Century Schoolbook" w:eastAsia="Calibri" w:hAnsi="Century Schoolbook"/>
          <w:sz w:val="26"/>
          <w:szCs w:val="22"/>
        </w:rPr>
        <w:t xml:space="preserve"> mere</w:t>
      </w:r>
      <w:r w:rsidR="001A2C8B">
        <w:rPr>
          <w:rFonts w:ascii="Century Schoolbook" w:eastAsia="Calibri" w:hAnsi="Century Schoolbook"/>
          <w:sz w:val="26"/>
          <w:szCs w:val="22"/>
        </w:rPr>
        <w:t xml:space="preserve"> </w:t>
      </w:r>
      <w:r w:rsidR="001A2C8B">
        <w:rPr>
          <w:rFonts w:ascii="Century Schoolbook" w:eastAsia="Calibri" w:hAnsi="Century Schoolbook"/>
          <w:i/>
          <w:iCs/>
          <w:sz w:val="26"/>
          <w:szCs w:val="22"/>
        </w:rPr>
        <w:t>statute</w:t>
      </w:r>
      <w:r w:rsidR="001A2C8B">
        <w:rPr>
          <w:rFonts w:ascii="Century Schoolbook" w:eastAsia="Calibri" w:hAnsi="Century Schoolbook"/>
          <w:sz w:val="26"/>
          <w:szCs w:val="22"/>
        </w:rPr>
        <w:t xml:space="preserve"> can override </w:t>
      </w:r>
      <w:r w:rsidR="005A4EA5">
        <w:rPr>
          <w:rFonts w:ascii="Century Schoolbook" w:eastAsia="Calibri" w:hAnsi="Century Schoolbook"/>
          <w:sz w:val="26"/>
          <w:szCs w:val="22"/>
        </w:rPr>
        <w:t>that power</w:t>
      </w:r>
      <w:r w:rsidR="001A2C8B">
        <w:rPr>
          <w:rFonts w:ascii="Century Schoolbook" w:eastAsia="Calibri" w:hAnsi="Century Schoolbook"/>
          <w:sz w:val="26"/>
          <w:szCs w:val="22"/>
        </w:rPr>
        <w:t xml:space="preserve"> because the Constitution trumps any statute.  </w:t>
      </w:r>
      <w:r w:rsidR="00351257">
        <w:rPr>
          <w:rFonts w:ascii="Century Schoolbook" w:eastAsia="Calibri" w:hAnsi="Century Schoolbook"/>
          <w:sz w:val="26"/>
          <w:szCs w:val="22"/>
        </w:rPr>
        <w:t xml:space="preserve">As the precedent detailed above indicates, petitioners </w:t>
      </w:r>
      <w:r w:rsidR="008C0ECD">
        <w:rPr>
          <w:rFonts w:ascii="Century Schoolbook" w:eastAsia="Calibri" w:hAnsi="Century Schoolbook"/>
          <w:sz w:val="26"/>
          <w:szCs w:val="22"/>
        </w:rPr>
        <w:t xml:space="preserve">are </w:t>
      </w:r>
      <w:r w:rsidR="005F3EC9">
        <w:rPr>
          <w:rFonts w:ascii="Century Schoolbook" w:eastAsia="Calibri" w:hAnsi="Century Schoolbook"/>
          <w:sz w:val="26"/>
          <w:szCs w:val="22"/>
        </w:rPr>
        <w:t xml:space="preserve">just plain </w:t>
      </w:r>
      <w:r w:rsidR="008C0ECD">
        <w:rPr>
          <w:rFonts w:ascii="Century Schoolbook" w:eastAsia="Calibri" w:hAnsi="Century Schoolbook"/>
          <w:sz w:val="26"/>
          <w:szCs w:val="22"/>
        </w:rPr>
        <w:t>wrong</w:t>
      </w:r>
      <w:r w:rsidR="005A4EA5">
        <w:rPr>
          <w:rFonts w:ascii="Century Schoolbook" w:eastAsia="Calibri" w:hAnsi="Century Schoolbook"/>
          <w:sz w:val="26"/>
          <w:szCs w:val="22"/>
        </w:rPr>
        <w:t xml:space="preserve"> that local laws adopted by initiative may never be preempted by state law</w:t>
      </w:r>
      <w:r w:rsidR="005F3EC9">
        <w:rPr>
          <w:rFonts w:ascii="Century Schoolbook" w:eastAsia="Calibri" w:hAnsi="Century Schoolbook"/>
          <w:sz w:val="26"/>
          <w:szCs w:val="22"/>
        </w:rPr>
        <w:t>.  Further,</w:t>
      </w:r>
      <w:r w:rsidR="001A2C8B">
        <w:rPr>
          <w:rFonts w:ascii="Century Schoolbook" w:eastAsia="Calibri" w:hAnsi="Century Schoolbook"/>
          <w:sz w:val="26"/>
          <w:szCs w:val="22"/>
        </w:rPr>
        <w:t xml:space="preserve"> this is not a competition between a constitutional provision and a statute; to the contrary, and as our </w:t>
      </w:r>
      <w:r w:rsidR="005F3EC9">
        <w:rPr>
          <w:rFonts w:ascii="Century Schoolbook" w:eastAsia="Calibri" w:hAnsi="Century Schoolbook"/>
          <w:sz w:val="26"/>
          <w:szCs w:val="22"/>
        </w:rPr>
        <w:t xml:space="preserve">Supreme Court has </w:t>
      </w:r>
      <w:r w:rsidR="001A2C8B">
        <w:rPr>
          <w:rFonts w:ascii="Century Schoolbook" w:eastAsia="Calibri" w:hAnsi="Century Schoolbook"/>
          <w:sz w:val="26"/>
          <w:szCs w:val="22"/>
        </w:rPr>
        <w:t xml:space="preserve">explained, </w:t>
      </w:r>
      <w:r w:rsidR="005F3EC9">
        <w:rPr>
          <w:rFonts w:ascii="Century Schoolbook" w:eastAsia="Calibri" w:hAnsi="Century Schoolbook"/>
          <w:sz w:val="26"/>
          <w:szCs w:val="22"/>
        </w:rPr>
        <w:t xml:space="preserve">the Legislature’s power to preempt initiative-enacted local laws </w:t>
      </w:r>
      <w:r w:rsidR="001A2C8B">
        <w:rPr>
          <w:rFonts w:ascii="Century Schoolbook" w:eastAsia="Calibri" w:hAnsi="Century Schoolbook"/>
          <w:sz w:val="26"/>
          <w:szCs w:val="22"/>
        </w:rPr>
        <w:t xml:space="preserve">is </w:t>
      </w:r>
      <w:r w:rsidR="005A4EA5">
        <w:rPr>
          <w:rFonts w:ascii="Century Schoolbook" w:eastAsia="Calibri" w:hAnsi="Century Schoolbook"/>
          <w:i/>
          <w:iCs/>
          <w:sz w:val="26"/>
          <w:szCs w:val="22"/>
        </w:rPr>
        <w:t>also</w:t>
      </w:r>
      <w:r w:rsidR="001A2C8B">
        <w:rPr>
          <w:rFonts w:ascii="Century Schoolbook" w:eastAsia="Calibri" w:hAnsi="Century Schoolbook"/>
          <w:i/>
          <w:iCs/>
          <w:sz w:val="26"/>
          <w:szCs w:val="22"/>
        </w:rPr>
        <w:t xml:space="preserve"> </w:t>
      </w:r>
      <w:r w:rsidR="001A2C8B">
        <w:rPr>
          <w:rFonts w:ascii="Century Schoolbook" w:eastAsia="Calibri" w:hAnsi="Century Schoolbook"/>
          <w:sz w:val="26"/>
          <w:szCs w:val="22"/>
        </w:rPr>
        <w:t>constitutional</w:t>
      </w:r>
      <w:r w:rsidR="005A4EA5">
        <w:rPr>
          <w:rFonts w:ascii="Century Schoolbook" w:eastAsia="Calibri" w:hAnsi="Century Schoolbook"/>
          <w:sz w:val="26"/>
          <w:szCs w:val="22"/>
        </w:rPr>
        <w:t xml:space="preserve"> in nature</w:t>
      </w:r>
      <w:r w:rsidR="001A2C8B">
        <w:rPr>
          <w:rFonts w:ascii="Century Schoolbook" w:eastAsia="Calibri" w:hAnsi="Century Schoolbook"/>
          <w:sz w:val="26"/>
          <w:szCs w:val="22"/>
        </w:rPr>
        <w:t xml:space="preserve">, </w:t>
      </w:r>
      <w:r w:rsidR="008C0ECD">
        <w:rPr>
          <w:rFonts w:ascii="Century Schoolbook" w:eastAsia="Calibri" w:hAnsi="Century Schoolbook"/>
          <w:sz w:val="26"/>
          <w:szCs w:val="22"/>
        </w:rPr>
        <w:t>“deriv</w:t>
      </w:r>
      <w:r w:rsidR="001A2C8B">
        <w:rPr>
          <w:rFonts w:ascii="Century Schoolbook" w:eastAsia="Calibri" w:hAnsi="Century Schoolbook"/>
          <w:sz w:val="26"/>
          <w:szCs w:val="22"/>
        </w:rPr>
        <w:t>[ing]</w:t>
      </w:r>
      <w:r w:rsidR="008C0ECD">
        <w:rPr>
          <w:rFonts w:ascii="Century Schoolbook" w:eastAsia="Calibri" w:hAnsi="Century Schoolbook"/>
          <w:sz w:val="26"/>
          <w:szCs w:val="22"/>
        </w:rPr>
        <w:t xml:space="preserve"> not only from the exceptions found implicitly” in</w:t>
      </w:r>
      <w:r w:rsidR="000A2374">
        <w:rPr>
          <w:rFonts w:ascii="Century Schoolbook" w:eastAsia="Calibri" w:hAnsi="Century Schoolbook"/>
          <w:sz w:val="26"/>
          <w:szCs w:val="22"/>
        </w:rPr>
        <w:t xml:space="preserve"> </w:t>
      </w:r>
      <w:r w:rsidR="00F2041F">
        <w:rPr>
          <w:rFonts w:ascii="Century Schoolbook" w:eastAsia="Calibri" w:hAnsi="Century Schoolbook"/>
          <w:sz w:val="26"/>
          <w:szCs w:val="22"/>
        </w:rPr>
        <w:t>a</w:t>
      </w:r>
      <w:r w:rsidR="000A2374">
        <w:rPr>
          <w:rFonts w:ascii="Century Schoolbook" w:eastAsia="Calibri" w:hAnsi="Century Schoolbook"/>
          <w:sz w:val="26"/>
          <w:szCs w:val="22"/>
        </w:rPr>
        <w:t xml:space="preserve">rticle II, section 11 of the state Constitution </w:t>
      </w:r>
      <w:r w:rsidR="008C0ECD">
        <w:rPr>
          <w:rFonts w:ascii="Century Schoolbook" w:eastAsia="Calibri" w:hAnsi="Century Schoolbook"/>
          <w:sz w:val="26"/>
          <w:szCs w:val="22"/>
        </w:rPr>
        <w:t>conferring the local initiative power, “but also from [the Legislature’s] power to enact general laws of statewide importance that override local legislation”</w:t>
      </w:r>
      <w:r w:rsidR="001A2C8B">
        <w:rPr>
          <w:rFonts w:ascii="Century Schoolbook" w:eastAsia="Calibri" w:hAnsi="Century Schoolbook"/>
          <w:sz w:val="26"/>
          <w:szCs w:val="22"/>
        </w:rPr>
        <w:t xml:space="preserve"> as set forth in </w:t>
      </w:r>
      <w:r w:rsidR="00F2041F">
        <w:rPr>
          <w:rFonts w:ascii="Century Schoolbook" w:eastAsia="Calibri" w:hAnsi="Century Schoolbook"/>
          <w:sz w:val="26"/>
          <w:szCs w:val="22"/>
        </w:rPr>
        <w:t>a</w:t>
      </w:r>
      <w:r w:rsidR="000A2374">
        <w:rPr>
          <w:rFonts w:ascii="Century Schoolbook" w:eastAsia="Calibri" w:hAnsi="Century Schoolbook"/>
          <w:sz w:val="26"/>
          <w:szCs w:val="22"/>
        </w:rPr>
        <w:t xml:space="preserve">rticle </w:t>
      </w:r>
      <w:r w:rsidR="00B200A0">
        <w:rPr>
          <w:rFonts w:ascii="Century Schoolbook" w:eastAsia="Calibri" w:hAnsi="Century Schoolbook"/>
          <w:sz w:val="26"/>
          <w:szCs w:val="22"/>
        </w:rPr>
        <w:t>XI</w:t>
      </w:r>
      <w:r w:rsidR="000A2374">
        <w:rPr>
          <w:rFonts w:ascii="Century Schoolbook" w:eastAsia="Calibri" w:hAnsi="Century Schoolbook"/>
          <w:sz w:val="26"/>
          <w:szCs w:val="22"/>
        </w:rPr>
        <w:t xml:space="preserve">, section </w:t>
      </w:r>
      <w:r w:rsidR="00B200A0">
        <w:rPr>
          <w:rFonts w:ascii="Century Schoolbook" w:eastAsia="Calibri" w:hAnsi="Century Schoolbook"/>
          <w:sz w:val="26"/>
          <w:szCs w:val="22"/>
        </w:rPr>
        <w:t>7</w:t>
      </w:r>
      <w:r w:rsidR="000A2374">
        <w:rPr>
          <w:rFonts w:ascii="Century Schoolbook" w:eastAsia="Calibri" w:hAnsi="Century Schoolbook"/>
          <w:sz w:val="26"/>
          <w:szCs w:val="22"/>
        </w:rPr>
        <w:t xml:space="preserve"> of the </w:t>
      </w:r>
      <w:r w:rsidR="001A2C8B">
        <w:rPr>
          <w:rFonts w:ascii="Century Schoolbook" w:eastAsia="Calibri" w:hAnsi="Century Schoolbook"/>
          <w:sz w:val="26"/>
          <w:szCs w:val="22"/>
        </w:rPr>
        <w:t xml:space="preserve">state </w:t>
      </w:r>
      <w:r w:rsidR="000A2374">
        <w:rPr>
          <w:rFonts w:ascii="Century Schoolbook" w:eastAsia="Calibri" w:hAnsi="Century Schoolbook"/>
          <w:sz w:val="26"/>
          <w:szCs w:val="22"/>
        </w:rPr>
        <w:t>C</w:t>
      </w:r>
      <w:r w:rsidR="001A2C8B">
        <w:rPr>
          <w:rFonts w:ascii="Century Schoolbook" w:eastAsia="Calibri" w:hAnsi="Century Schoolbook"/>
          <w:sz w:val="26"/>
          <w:szCs w:val="22"/>
        </w:rPr>
        <w:t>onstitution.</w:t>
      </w:r>
      <w:r w:rsidR="008C0ECD">
        <w:rPr>
          <w:rFonts w:ascii="Century Schoolbook" w:eastAsia="Calibri" w:hAnsi="Century Schoolbook"/>
          <w:sz w:val="26"/>
          <w:szCs w:val="22"/>
        </w:rPr>
        <w:t xml:space="preserve">  (</w:t>
      </w:r>
      <w:r w:rsidR="008C0ECD">
        <w:rPr>
          <w:rFonts w:ascii="Century Schoolbook" w:eastAsia="Calibri" w:hAnsi="Century Schoolbook"/>
          <w:i/>
          <w:iCs/>
          <w:sz w:val="26"/>
          <w:szCs w:val="22"/>
        </w:rPr>
        <w:t>V</w:t>
      </w:r>
      <w:r w:rsidR="00A474D7">
        <w:rPr>
          <w:rFonts w:ascii="Century Schoolbook" w:eastAsia="Calibri" w:hAnsi="Century Schoolbook"/>
          <w:i/>
          <w:iCs/>
          <w:sz w:val="26"/>
          <w:szCs w:val="22"/>
        </w:rPr>
        <w:t>oters</w:t>
      </w:r>
      <w:r w:rsidR="00650A02">
        <w:rPr>
          <w:rFonts w:ascii="Century Schoolbook" w:eastAsia="Calibri" w:hAnsi="Century Schoolbook"/>
          <w:i/>
          <w:iCs/>
          <w:sz w:val="26"/>
          <w:szCs w:val="22"/>
        </w:rPr>
        <w:t xml:space="preserve"> for Responsible Retirement</w:t>
      </w:r>
      <w:r w:rsidRPr="008722BB" w:rsidR="008C0ECD">
        <w:rPr>
          <w:rFonts w:ascii="Century Schoolbook" w:eastAsia="Calibri" w:hAnsi="Century Schoolbook"/>
          <w:sz w:val="26"/>
          <w:szCs w:val="22"/>
        </w:rPr>
        <w:t xml:space="preserve">, </w:t>
      </w:r>
      <w:r w:rsidR="008C0ECD">
        <w:rPr>
          <w:rFonts w:ascii="Century Schoolbook" w:eastAsia="Calibri" w:hAnsi="Century Schoolbook"/>
          <w:i/>
          <w:iCs/>
          <w:sz w:val="26"/>
          <w:szCs w:val="22"/>
        </w:rPr>
        <w:t>supra</w:t>
      </w:r>
      <w:r w:rsidR="008C0ECD">
        <w:rPr>
          <w:rFonts w:ascii="Century Schoolbook" w:eastAsia="Calibri" w:hAnsi="Century Schoolbook"/>
          <w:sz w:val="26"/>
          <w:szCs w:val="22"/>
        </w:rPr>
        <w:t>, 8 Cal.4th at p. 779.)</w:t>
      </w:r>
      <w:r w:rsidR="00CB10D2">
        <w:rPr>
          <w:rFonts w:ascii="Century Schoolbook" w:eastAsia="Calibri" w:hAnsi="Century Schoolbook"/>
          <w:sz w:val="26"/>
          <w:szCs w:val="22"/>
        </w:rPr>
        <w:t xml:space="preserve">  </w:t>
      </w:r>
    </w:p>
    <w:p w:rsidR="000A2374" w:rsidP="00D77739" w14:paraId="611A5A37" w14:textId="1F177025">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Second, petitioners argue that </w:t>
      </w:r>
      <w:r w:rsidR="001A2C8B">
        <w:rPr>
          <w:rFonts w:ascii="Century Schoolbook" w:eastAsia="Calibri" w:hAnsi="Century Schoolbook"/>
          <w:sz w:val="26"/>
          <w:szCs w:val="22"/>
        </w:rPr>
        <w:t xml:space="preserve">the “exclusive delegation” doctrine discussed in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sidRPr="008722BB" w:rsidR="001A2C8B">
        <w:rPr>
          <w:rFonts w:ascii="Century Schoolbook" w:eastAsia="Calibri" w:hAnsi="Century Schoolbook"/>
          <w:sz w:val="26"/>
          <w:szCs w:val="22"/>
        </w:rPr>
        <w:t>,</w:t>
      </w:r>
      <w:r w:rsidR="001A2C8B">
        <w:rPr>
          <w:rFonts w:ascii="Century Schoolbook" w:eastAsia="Calibri" w:hAnsi="Century Schoolbook"/>
          <w:i/>
          <w:iCs/>
          <w:sz w:val="26"/>
          <w:szCs w:val="22"/>
        </w:rPr>
        <w:t xml:space="preserve"> su</w:t>
      </w:r>
      <w:r w:rsidR="00351257">
        <w:rPr>
          <w:rFonts w:ascii="Century Schoolbook" w:eastAsia="Calibri" w:hAnsi="Century Schoolbook"/>
          <w:i/>
          <w:iCs/>
          <w:sz w:val="26"/>
          <w:szCs w:val="22"/>
        </w:rPr>
        <w:t>pr</w:t>
      </w:r>
      <w:r w:rsidR="001A2C8B">
        <w:rPr>
          <w:rFonts w:ascii="Century Schoolbook" w:eastAsia="Calibri" w:hAnsi="Century Schoolbook"/>
          <w:i/>
          <w:iCs/>
          <w:sz w:val="26"/>
          <w:szCs w:val="22"/>
        </w:rPr>
        <w:t>a</w:t>
      </w:r>
      <w:r w:rsidR="001A2C8B">
        <w:rPr>
          <w:rFonts w:ascii="Century Schoolbook" w:eastAsia="Calibri" w:hAnsi="Century Schoolbook"/>
          <w:sz w:val="26"/>
          <w:szCs w:val="22"/>
        </w:rPr>
        <w:t xml:space="preserve">, 45 Cal.3d 491 does not apply to Senate Bill 10 because (1) Senate Bill 10 does not divest local voters of the power to enact housing density caps by initiative, and hence does not exclusively delegate to local legislative bodies the </w:t>
      </w:r>
      <w:r w:rsidR="005A4EA5">
        <w:rPr>
          <w:rFonts w:ascii="Century Schoolbook" w:eastAsia="Calibri" w:hAnsi="Century Schoolbook"/>
          <w:sz w:val="26"/>
          <w:szCs w:val="22"/>
        </w:rPr>
        <w:t xml:space="preserve">exclusive </w:t>
      </w:r>
      <w:r w:rsidR="001A2C8B">
        <w:rPr>
          <w:rFonts w:ascii="Century Schoolbook" w:eastAsia="Calibri" w:hAnsi="Century Schoolbook"/>
          <w:sz w:val="26"/>
          <w:szCs w:val="22"/>
        </w:rPr>
        <w:t xml:space="preserve">power </w:t>
      </w:r>
      <w:r w:rsidR="005A4EA5">
        <w:rPr>
          <w:rFonts w:ascii="Century Schoolbook" w:eastAsia="Calibri" w:hAnsi="Century Schoolbook"/>
          <w:sz w:val="26"/>
          <w:szCs w:val="22"/>
        </w:rPr>
        <w:t>over housing</w:t>
      </w:r>
      <w:r w:rsidR="001A2C8B">
        <w:rPr>
          <w:rFonts w:ascii="Century Schoolbook" w:eastAsia="Calibri" w:hAnsi="Century Schoolbook"/>
          <w:sz w:val="26"/>
          <w:szCs w:val="22"/>
        </w:rPr>
        <w:t xml:space="preserve"> density caps</w:t>
      </w:r>
      <w:r w:rsidR="00351257">
        <w:rPr>
          <w:rFonts w:ascii="Century Schoolbook" w:eastAsia="Calibri" w:hAnsi="Century Schoolbook"/>
          <w:sz w:val="26"/>
          <w:szCs w:val="22"/>
        </w:rPr>
        <w:t>;</w:t>
      </w:r>
      <w:r w:rsidR="001A2C8B">
        <w:rPr>
          <w:rFonts w:ascii="Century Schoolbook" w:eastAsia="Calibri" w:hAnsi="Century Schoolbook"/>
          <w:sz w:val="26"/>
          <w:szCs w:val="22"/>
        </w:rPr>
        <w:t xml:space="preserve"> and (2) the power of voter initiative is </w:t>
      </w:r>
      <w:r w:rsidR="00C76517">
        <w:rPr>
          <w:rFonts w:ascii="Century Schoolbook" w:eastAsia="Calibri" w:hAnsi="Century Schoolbook"/>
          <w:sz w:val="26"/>
          <w:szCs w:val="22"/>
        </w:rPr>
        <w:t>“</w:t>
      </w:r>
      <w:r w:rsidR="001A2C8B">
        <w:rPr>
          <w:rFonts w:ascii="Century Schoolbook" w:eastAsia="Calibri" w:hAnsi="Century Schoolbook"/>
          <w:sz w:val="26"/>
          <w:szCs w:val="22"/>
        </w:rPr>
        <w:t xml:space="preserve">an inherent </w:t>
      </w:r>
      <w:r w:rsidR="001A2C8B">
        <w:rPr>
          <w:rFonts w:ascii="Century Schoolbook" w:eastAsia="Calibri" w:hAnsi="Century Schoolbook"/>
          <w:i/>
          <w:iCs/>
          <w:sz w:val="26"/>
          <w:szCs w:val="22"/>
        </w:rPr>
        <w:t xml:space="preserve">preexisting </w:t>
      </w:r>
      <w:r w:rsidR="001A2C8B">
        <w:rPr>
          <w:rFonts w:ascii="Century Schoolbook" w:eastAsia="Calibri" w:hAnsi="Century Schoolbook"/>
          <w:sz w:val="26"/>
          <w:szCs w:val="22"/>
        </w:rPr>
        <w:t xml:space="preserve">power” that belongs </w:t>
      </w:r>
      <w:r w:rsidR="001A2C8B">
        <w:rPr>
          <w:rFonts w:ascii="Century Schoolbook" w:eastAsia="Calibri" w:hAnsi="Century Schoolbook"/>
          <w:i/>
          <w:iCs/>
          <w:sz w:val="26"/>
          <w:szCs w:val="22"/>
        </w:rPr>
        <w:t>to the voters</w:t>
      </w:r>
      <w:r w:rsidR="001A2C8B">
        <w:rPr>
          <w:rFonts w:ascii="Century Schoolbook" w:eastAsia="Calibri" w:hAnsi="Century Schoolbook"/>
          <w:sz w:val="26"/>
          <w:szCs w:val="22"/>
        </w:rPr>
        <w:t xml:space="preserve"> (</w:t>
      </w:r>
      <w:r w:rsidR="001A2C8B">
        <w:rPr>
          <w:rFonts w:ascii="Century Schoolbook" w:eastAsia="Calibri" w:hAnsi="Century Schoolbook"/>
          <w:i/>
          <w:iCs/>
          <w:sz w:val="26"/>
          <w:szCs w:val="22"/>
        </w:rPr>
        <w:t>City of Riverside</w:t>
      </w:r>
      <w:r w:rsidRPr="008722BB" w:rsidR="001A2C8B">
        <w:rPr>
          <w:rFonts w:ascii="Century Schoolbook" w:eastAsia="Calibri" w:hAnsi="Century Schoolbook"/>
          <w:sz w:val="26"/>
          <w:szCs w:val="22"/>
        </w:rPr>
        <w:t>,</w:t>
      </w:r>
      <w:r w:rsidR="001A2C8B">
        <w:rPr>
          <w:rFonts w:ascii="Century Schoolbook" w:eastAsia="Calibri" w:hAnsi="Century Schoolbook"/>
          <w:i/>
          <w:iCs/>
          <w:sz w:val="26"/>
          <w:szCs w:val="22"/>
        </w:rPr>
        <w:t xml:space="preserve"> supra</w:t>
      </w:r>
      <w:r w:rsidR="001A2C8B">
        <w:rPr>
          <w:rFonts w:ascii="Century Schoolbook" w:eastAsia="Calibri" w:hAnsi="Century Schoolbook"/>
          <w:sz w:val="26"/>
          <w:szCs w:val="22"/>
        </w:rPr>
        <w:t>, 56 Cal.4th at p. 754, fn. 8), such that it</w:t>
      </w:r>
      <w:r w:rsidR="005A4EA5">
        <w:rPr>
          <w:rFonts w:ascii="Century Schoolbook" w:eastAsia="Calibri" w:hAnsi="Century Schoolbook"/>
          <w:sz w:val="26"/>
          <w:szCs w:val="22"/>
        </w:rPr>
        <w:t xml:space="preserve"> can never </w:t>
      </w:r>
      <w:r w:rsidR="001A2C8B">
        <w:rPr>
          <w:rFonts w:ascii="Century Schoolbook" w:eastAsia="Calibri" w:hAnsi="Century Schoolbook"/>
          <w:sz w:val="26"/>
          <w:szCs w:val="22"/>
        </w:rPr>
        <w:t>be taken away from the voters and then redelegated to the local legislative bodies.  We agree with petitioners that Senate Bill 10 does not deprive local voters of the power to adopt initiatives regulating housing density;</w:t>
      </w:r>
      <w:r>
        <w:rPr>
          <w:rStyle w:val="FootnoteReference"/>
          <w:rFonts w:ascii="Century Schoolbook" w:eastAsia="Calibri" w:hAnsi="Century Schoolbook"/>
          <w:b/>
          <w:bCs/>
          <w:szCs w:val="22"/>
        </w:rPr>
        <w:footnoteReference w:id="9"/>
      </w:r>
      <w:r>
        <w:rPr>
          <w:rFonts w:ascii="Century Schoolbook" w:eastAsia="Calibri" w:hAnsi="Century Schoolbook"/>
          <w:sz w:val="26"/>
          <w:szCs w:val="22"/>
        </w:rPr>
        <w:t xml:space="preserve"> </w:t>
      </w:r>
      <w:r w:rsidR="001A2C8B">
        <w:rPr>
          <w:rFonts w:ascii="Century Schoolbook" w:eastAsia="Calibri" w:hAnsi="Century Schoolbook"/>
          <w:sz w:val="26"/>
          <w:szCs w:val="22"/>
        </w:rPr>
        <w:t xml:space="preserve">instead, </w:t>
      </w:r>
      <w:r w:rsidR="00351257">
        <w:rPr>
          <w:rFonts w:ascii="Century Schoolbook" w:eastAsia="Calibri" w:hAnsi="Century Schoolbook"/>
          <w:sz w:val="26"/>
          <w:szCs w:val="22"/>
        </w:rPr>
        <w:t>it</w:t>
      </w:r>
      <w:r w:rsidR="001A2C8B">
        <w:rPr>
          <w:rFonts w:ascii="Century Schoolbook" w:eastAsia="Calibri" w:hAnsi="Century Schoolbook"/>
          <w:sz w:val="26"/>
          <w:szCs w:val="22"/>
        </w:rPr>
        <w:t xml:space="preserve"> grants local legislative bodies </w:t>
      </w:r>
      <w:r w:rsidR="005A4EA5">
        <w:rPr>
          <w:rFonts w:ascii="Century Schoolbook" w:eastAsia="Calibri" w:hAnsi="Century Schoolbook"/>
          <w:sz w:val="26"/>
          <w:szCs w:val="22"/>
        </w:rPr>
        <w:t>a limited</w:t>
      </w:r>
      <w:r w:rsidR="001A2C8B">
        <w:rPr>
          <w:rFonts w:ascii="Century Schoolbook" w:eastAsia="Calibri" w:hAnsi="Century Schoolbook"/>
          <w:sz w:val="26"/>
          <w:szCs w:val="22"/>
        </w:rPr>
        <w:t xml:space="preserve"> power to supersede </w:t>
      </w:r>
      <w:r w:rsidR="001A2C8B">
        <w:rPr>
          <w:rFonts w:ascii="Century Schoolbook" w:eastAsia="Calibri" w:hAnsi="Century Schoolbook"/>
          <w:i/>
          <w:iCs/>
          <w:sz w:val="26"/>
          <w:szCs w:val="22"/>
        </w:rPr>
        <w:t>all</w:t>
      </w:r>
      <w:r w:rsidR="001A2C8B">
        <w:rPr>
          <w:rFonts w:ascii="Century Schoolbook" w:eastAsia="Calibri" w:hAnsi="Century Schoolbook"/>
          <w:sz w:val="26"/>
          <w:szCs w:val="22"/>
        </w:rPr>
        <w:t xml:space="preserve"> local housing density </w:t>
      </w:r>
      <w:r w:rsidR="00C76517">
        <w:rPr>
          <w:rFonts w:ascii="Century Schoolbook" w:eastAsia="Calibri" w:hAnsi="Century Schoolbook"/>
          <w:sz w:val="26"/>
          <w:szCs w:val="22"/>
        </w:rPr>
        <w:t>caps</w:t>
      </w:r>
      <w:r w:rsidR="001A2C8B">
        <w:rPr>
          <w:rFonts w:ascii="Century Schoolbook" w:eastAsia="Calibri" w:hAnsi="Century Schoolbook"/>
          <w:sz w:val="26"/>
          <w:szCs w:val="22"/>
        </w:rPr>
        <w:t>, whether enacted by ordinance or by voter initiative</w:t>
      </w:r>
      <w:r w:rsidR="005A4EA5">
        <w:rPr>
          <w:rFonts w:ascii="Century Schoolbook" w:eastAsia="Calibri" w:hAnsi="Century Schoolbook"/>
          <w:sz w:val="26"/>
          <w:szCs w:val="22"/>
        </w:rPr>
        <w:t xml:space="preserve">—and, pertinent here, </w:t>
      </w:r>
      <w:r w:rsidR="001A2C8B">
        <w:rPr>
          <w:rFonts w:ascii="Century Schoolbook" w:eastAsia="Calibri" w:hAnsi="Century Schoolbook"/>
          <w:sz w:val="26"/>
          <w:szCs w:val="22"/>
        </w:rPr>
        <w:t xml:space="preserve">whether those ordinances and initiatives were enacted before </w:t>
      </w:r>
      <w:r w:rsidRPr="005A4EA5" w:rsidR="001A2C8B">
        <w:rPr>
          <w:rFonts w:ascii="Century Schoolbook" w:eastAsia="Calibri" w:hAnsi="Century Schoolbook"/>
          <w:i/>
          <w:iCs/>
          <w:sz w:val="26"/>
          <w:szCs w:val="22"/>
        </w:rPr>
        <w:t>or after</w:t>
      </w:r>
      <w:r w:rsidR="001A2C8B">
        <w:rPr>
          <w:rFonts w:ascii="Century Schoolbook" w:eastAsia="Calibri" w:hAnsi="Century Schoolbook"/>
          <w:sz w:val="26"/>
          <w:szCs w:val="22"/>
        </w:rPr>
        <w:t xml:space="preserve"> Senate Bill 10</w:t>
      </w:r>
      <w:r w:rsidR="005A4EA5">
        <w:rPr>
          <w:rFonts w:ascii="Century Schoolbook" w:eastAsia="Calibri" w:hAnsi="Century Schoolbook"/>
          <w:sz w:val="26"/>
          <w:szCs w:val="22"/>
        </w:rPr>
        <w:t xml:space="preserve"> came into being</w:t>
      </w:r>
      <w:r w:rsidR="001A2C8B">
        <w:rPr>
          <w:rFonts w:ascii="Century Schoolbook" w:eastAsia="Calibri" w:hAnsi="Century Schoolbook"/>
          <w:sz w:val="26"/>
          <w:szCs w:val="22"/>
        </w:rPr>
        <w:t>.</w:t>
      </w:r>
      <w:r>
        <w:rPr>
          <w:rFonts w:ascii="Century Schoolbook" w:eastAsia="Calibri" w:hAnsi="Century Schoolbook"/>
          <w:sz w:val="26"/>
          <w:szCs w:val="22"/>
        </w:rPr>
        <w:t xml:space="preserve"> </w:t>
      </w:r>
      <w:r w:rsidR="001A2C8B">
        <w:rPr>
          <w:rFonts w:ascii="Century Schoolbook" w:eastAsia="Calibri" w:hAnsi="Century Schoolbook"/>
          <w:sz w:val="26"/>
          <w:szCs w:val="22"/>
        </w:rPr>
        <w:t xml:space="preserve"> To the extent petitioners are asserting that </w:t>
      </w:r>
      <w:r w:rsidR="005A4EA5">
        <w:rPr>
          <w:rFonts w:ascii="Century Schoolbook" w:eastAsia="Calibri" w:hAnsi="Century Schoolbook"/>
          <w:sz w:val="26"/>
          <w:szCs w:val="22"/>
        </w:rPr>
        <w:t xml:space="preserve">the </w:t>
      </w:r>
      <w:r>
        <w:rPr>
          <w:rFonts w:ascii="Century Schoolbook" w:eastAsia="Calibri" w:hAnsi="Century Schoolbook"/>
          <w:sz w:val="26"/>
          <w:szCs w:val="22"/>
        </w:rPr>
        <w:t>power of initiative that inheres in the voters can never be preempted, they are, again, wrong on the law.</w:t>
      </w:r>
    </w:p>
    <w:p w:rsidR="00ED0DA1" w:rsidRPr="00366DF5" w:rsidP="00ED0DA1" w14:paraId="6233EB0E" w14:textId="5247B18F">
      <w:pPr>
        <w:spacing w:line="288" w:lineRule="auto"/>
        <w:rPr>
          <w:rFonts w:ascii="Century Schoolbook" w:eastAsia="Calibri" w:hAnsi="Century Schoolbook"/>
          <w:sz w:val="26"/>
          <w:szCs w:val="22"/>
        </w:rPr>
      </w:pPr>
      <w:r w:rsidRPr="00366DF5">
        <w:rPr>
          <w:rFonts w:ascii="Century Schoolbook" w:eastAsia="Calibri" w:hAnsi="Century Schoolbook"/>
          <w:b/>
          <w:bCs/>
          <w:sz w:val="26"/>
          <w:szCs w:val="22"/>
        </w:rPr>
        <w:t>III.</w:t>
      </w:r>
      <w:r w:rsidRPr="00366DF5">
        <w:rPr>
          <w:rFonts w:ascii="Century Schoolbook" w:eastAsia="Calibri" w:hAnsi="Century Schoolbook"/>
          <w:b/>
          <w:bCs/>
          <w:sz w:val="26"/>
          <w:szCs w:val="22"/>
        </w:rPr>
        <w:tab/>
      </w:r>
      <w:r w:rsidRPr="008722BB">
        <w:rPr>
          <w:rFonts w:ascii="Century Schoolbook" w:eastAsia="Calibri" w:hAnsi="Century Schoolbook"/>
          <w:b/>
          <w:bCs/>
          <w:sz w:val="26"/>
          <w:szCs w:val="22"/>
        </w:rPr>
        <w:t xml:space="preserve">Can </w:t>
      </w:r>
      <w:r w:rsidR="005465CB">
        <w:rPr>
          <w:rFonts w:ascii="Century Schoolbook" w:eastAsia="Calibri" w:hAnsi="Century Schoolbook"/>
          <w:b/>
          <w:bCs/>
          <w:sz w:val="26"/>
          <w:szCs w:val="22"/>
        </w:rPr>
        <w:t>our</w:t>
      </w:r>
      <w:r w:rsidRPr="008722BB">
        <w:rPr>
          <w:rFonts w:ascii="Century Schoolbook" w:eastAsia="Calibri" w:hAnsi="Century Schoolbook"/>
          <w:b/>
          <w:bCs/>
          <w:sz w:val="26"/>
          <w:szCs w:val="22"/>
        </w:rPr>
        <w:t xml:space="preserve"> Legislature </w:t>
      </w:r>
      <w:r w:rsidRPr="008722BB" w:rsidR="00366DF5">
        <w:rPr>
          <w:rFonts w:ascii="Century Schoolbook" w:eastAsia="Calibri" w:hAnsi="Century Schoolbook"/>
          <w:b/>
          <w:bCs/>
          <w:sz w:val="26"/>
          <w:szCs w:val="22"/>
        </w:rPr>
        <w:t>V</w:t>
      </w:r>
      <w:r w:rsidRPr="008722BB">
        <w:rPr>
          <w:rFonts w:ascii="Century Schoolbook" w:eastAsia="Calibri" w:hAnsi="Century Schoolbook"/>
          <w:b/>
          <w:bCs/>
          <w:sz w:val="26"/>
          <w:szCs w:val="22"/>
        </w:rPr>
        <w:t xml:space="preserve">alidly </w:t>
      </w:r>
      <w:r w:rsidRPr="008722BB" w:rsidR="00366DF5">
        <w:rPr>
          <w:rFonts w:ascii="Century Schoolbook" w:eastAsia="Calibri" w:hAnsi="Century Schoolbook"/>
          <w:b/>
          <w:bCs/>
          <w:sz w:val="26"/>
          <w:szCs w:val="22"/>
        </w:rPr>
        <w:t>E</w:t>
      </w:r>
      <w:r w:rsidRPr="008722BB">
        <w:rPr>
          <w:rFonts w:ascii="Century Schoolbook" w:eastAsia="Calibri" w:hAnsi="Century Schoolbook"/>
          <w:b/>
          <w:bCs/>
          <w:sz w:val="26"/>
          <w:szCs w:val="22"/>
        </w:rPr>
        <w:t xml:space="preserve">xercise </w:t>
      </w:r>
      <w:r w:rsidRPr="008722BB" w:rsidR="00366DF5">
        <w:rPr>
          <w:rFonts w:ascii="Century Schoolbook" w:eastAsia="Calibri" w:hAnsi="Century Schoolbook"/>
          <w:b/>
          <w:bCs/>
          <w:sz w:val="26"/>
          <w:szCs w:val="22"/>
        </w:rPr>
        <w:t>I</w:t>
      </w:r>
      <w:r w:rsidRPr="008722BB">
        <w:rPr>
          <w:rFonts w:ascii="Century Schoolbook" w:eastAsia="Calibri" w:hAnsi="Century Schoolbook"/>
          <w:b/>
          <w:bCs/>
          <w:sz w:val="26"/>
          <w:szCs w:val="22"/>
        </w:rPr>
        <w:t xml:space="preserve">ts </w:t>
      </w:r>
      <w:r w:rsidRPr="008722BB" w:rsidR="00366DF5">
        <w:rPr>
          <w:rFonts w:ascii="Century Schoolbook" w:eastAsia="Calibri" w:hAnsi="Century Schoolbook"/>
          <w:b/>
          <w:bCs/>
          <w:sz w:val="26"/>
          <w:szCs w:val="22"/>
        </w:rPr>
        <w:t>P</w:t>
      </w:r>
      <w:r w:rsidRPr="008722BB">
        <w:rPr>
          <w:rFonts w:ascii="Century Schoolbook" w:eastAsia="Calibri" w:hAnsi="Century Schoolbook"/>
          <w:b/>
          <w:bCs/>
          <w:sz w:val="26"/>
          <w:szCs w:val="22"/>
        </w:rPr>
        <w:t xml:space="preserve">reemptive </w:t>
      </w:r>
      <w:r w:rsidRPr="008722BB" w:rsidR="00366DF5">
        <w:rPr>
          <w:rFonts w:ascii="Century Schoolbook" w:eastAsia="Calibri" w:hAnsi="Century Schoolbook"/>
          <w:b/>
          <w:bCs/>
          <w:sz w:val="26"/>
          <w:szCs w:val="22"/>
        </w:rPr>
        <w:t>P</w:t>
      </w:r>
      <w:r w:rsidRPr="008722BB">
        <w:rPr>
          <w:rFonts w:ascii="Century Schoolbook" w:eastAsia="Calibri" w:hAnsi="Century Schoolbook"/>
          <w:b/>
          <w:bCs/>
          <w:sz w:val="26"/>
          <w:szCs w:val="22"/>
        </w:rPr>
        <w:t xml:space="preserve">ower by </w:t>
      </w:r>
      <w:r w:rsidRPr="008722BB" w:rsidR="00366DF5">
        <w:rPr>
          <w:rFonts w:ascii="Century Schoolbook" w:eastAsia="Calibri" w:hAnsi="Century Schoolbook"/>
          <w:b/>
          <w:bCs/>
          <w:sz w:val="26"/>
          <w:szCs w:val="22"/>
        </w:rPr>
        <w:t>I</w:t>
      </w:r>
      <w:r w:rsidRPr="008722BB">
        <w:rPr>
          <w:rFonts w:ascii="Century Schoolbook" w:eastAsia="Calibri" w:hAnsi="Century Schoolbook"/>
          <w:b/>
          <w:bCs/>
          <w:sz w:val="26"/>
          <w:szCs w:val="22"/>
        </w:rPr>
        <w:t xml:space="preserve">mbuing </w:t>
      </w:r>
      <w:r w:rsidRPr="008722BB" w:rsidR="00366DF5">
        <w:rPr>
          <w:rFonts w:ascii="Century Schoolbook" w:eastAsia="Calibri" w:hAnsi="Century Schoolbook"/>
          <w:b/>
          <w:bCs/>
          <w:sz w:val="26"/>
          <w:szCs w:val="22"/>
        </w:rPr>
        <w:t>L</w:t>
      </w:r>
      <w:r w:rsidRPr="008722BB">
        <w:rPr>
          <w:rFonts w:ascii="Century Schoolbook" w:eastAsia="Calibri" w:hAnsi="Century Schoolbook"/>
          <w:b/>
          <w:bCs/>
          <w:sz w:val="26"/>
          <w:szCs w:val="22"/>
        </w:rPr>
        <w:t xml:space="preserve">ocal </w:t>
      </w:r>
      <w:r w:rsidRPr="008722BB" w:rsidR="00366DF5">
        <w:rPr>
          <w:rFonts w:ascii="Century Schoolbook" w:eastAsia="Calibri" w:hAnsi="Century Schoolbook"/>
          <w:b/>
          <w:bCs/>
          <w:sz w:val="26"/>
          <w:szCs w:val="22"/>
        </w:rPr>
        <w:t>L</w:t>
      </w:r>
      <w:r w:rsidRPr="008722BB">
        <w:rPr>
          <w:rFonts w:ascii="Century Schoolbook" w:eastAsia="Calibri" w:hAnsi="Century Schoolbook"/>
          <w:b/>
          <w:bCs/>
          <w:sz w:val="26"/>
          <w:szCs w:val="22"/>
        </w:rPr>
        <w:t xml:space="preserve">egislative </w:t>
      </w:r>
      <w:r w:rsidRPr="008722BB" w:rsidR="00366DF5">
        <w:rPr>
          <w:rFonts w:ascii="Century Schoolbook" w:eastAsia="Calibri" w:hAnsi="Century Schoolbook"/>
          <w:b/>
          <w:bCs/>
          <w:sz w:val="26"/>
          <w:szCs w:val="22"/>
        </w:rPr>
        <w:t>B</w:t>
      </w:r>
      <w:r w:rsidRPr="008722BB">
        <w:rPr>
          <w:rFonts w:ascii="Century Schoolbook" w:eastAsia="Calibri" w:hAnsi="Century Schoolbook"/>
          <w:b/>
          <w:bCs/>
          <w:sz w:val="26"/>
          <w:szCs w:val="22"/>
        </w:rPr>
        <w:t xml:space="preserve">odies </w:t>
      </w:r>
      <w:r w:rsidR="00580876">
        <w:rPr>
          <w:rFonts w:ascii="Century Schoolbook" w:eastAsia="Calibri" w:hAnsi="Century Schoolbook"/>
          <w:b/>
          <w:bCs/>
          <w:sz w:val="26"/>
          <w:szCs w:val="22"/>
        </w:rPr>
        <w:t>With</w:t>
      </w:r>
      <w:r w:rsidRPr="008722BB">
        <w:rPr>
          <w:rFonts w:ascii="Century Schoolbook" w:eastAsia="Calibri" w:hAnsi="Century Schoolbook"/>
          <w:b/>
          <w:bCs/>
          <w:sz w:val="26"/>
          <w:szCs w:val="22"/>
        </w:rPr>
        <w:t xml:space="preserve"> the </w:t>
      </w:r>
      <w:r w:rsidRPr="008722BB" w:rsidR="00366DF5">
        <w:rPr>
          <w:rFonts w:ascii="Century Schoolbook" w:eastAsia="Calibri" w:hAnsi="Century Schoolbook"/>
          <w:b/>
          <w:bCs/>
          <w:sz w:val="26"/>
          <w:szCs w:val="22"/>
        </w:rPr>
        <w:t>D</w:t>
      </w:r>
      <w:r w:rsidRPr="008722BB">
        <w:rPr>
          <w:rFonts w:ascii="Century Schoolbook" w:eastAsia="Calibri" w:hAnsi="Century Schoolbook"/>
          <w:b/>
          <w:bCs/>
          <w:sz w:val="26"/>
          <w:szCs w:val="22"/>
        </w:rPr>
        <w:t xml:space="preserve">iscretion to </w:t>
      </w:r>
      <w:r w:rsidRPr="008722BB" w:rsidR="00366DF5">
        <w:rPr>
          <w:rFonts w:ascii="Century Schoolbook" w:eastAsia="Calibri" w:hAnsi="Century Schoolbook"/>
          <w:b/>
          <w:bCs/>
          <w:sz w:val="26"/>
          <w:szCs w:val="22"/>
        </w:rPr>
        <w:t>D</w:t>
      </w:r>
      <w:r w:rsidRPr="008722BB">
        <w:rPr>
          <w:rFonts w:ascii="Century Schoolbook" w:eastAsia="Calibri" w:hAnsi="Century Schoolbook"/>
          <w:b/>
          <w:bCs/>
          <w:sz w:val="26"/>
          <w:szCs w:val="22"/>
        </w:rPr>
        <w:t xml:space="preserve">ecide </w:t>
      </w:r>
      <w:r w:rsidRPr="008722BB" w:rsidR="00366DF5">
        <w:rPr>
          <w:rFonts w:ascii="Century Schoolbook" w:eastAsia="Calibri" w:hAnsi="Century Schoolbook"/>
          <w:b/>
          <w:bCs/>
          <w:sz w:val="26"/>
          <w:szCs w:val="22"/>
        </w:rPr>
        <w:t>W</w:t>
      </w:r>
      <w:r w:rsidRPr="008722BB">
        <w:rPr>
          <w:rFonts w:ascii="Century Schoolbook" w:eastAsia="Calibri" w:hAnsi="Century Schoolbook"/>
          <w:b/>
          <w:bCs/>
          <w:sz w:val="26"/>
          <w:szCs w:val="22"/>
        </w:rPr>
        <w:t xml:space="preserve">hether to </w:t>
      </w:r>
      <w:r w:rsidRPr="008722BB" w:rsidR="00366DF5">
        <w:rPr>
          <w:rFonts w:ascii="Century Schoolbook" w:eastAsia="Calibri" w:hAnsi="Century Schoolbook"/>
          <w:b/>
          <w:bCs/>
          <w:sz w:val="26"/>
          <w:szCs w:val="22"/>
        </w:rPr>
        <w:t>E</w:t>
      </w:r>
      <w:r w:rsidRPr="008722BB">
        <w:rPr>
          <w:rFonts w:ascii="Century Schoolbook" w:eastAsia="Calibri" w:hAnsi="Century Schoolbook"/>
          <w:b/>
          <w:bCs/>
          <w:sz w:val="26"/>
          <w:szCs w:val="22"/>
        </w:rPr>
        <w:t>xercise</w:t>
      </w:r>
      <w:r w:rsidR="00580876">
        <w:rPr>
          <w:rFonts w:ascii="Century Schoolbook" w:eastAsia="Calibri" w:hAnsi="Century Schoolbook"/>
          <w:b/>
          <w:bCs/>
          <w:sz w:val="26"/>
          <w:szCs w:val="22"/>
        </w:rPr>
        <w:t xml:space="preserve"> Th</w:t>
      </w:r>
      <w:r w:rsidR="00C76517">
        <w:rPr>
          <w:rFonts w:ascii="Century Schoolbook" w:eastAsia="Calibri" w:hAnsi="Century Schoolbook"/>
          <w:b/>
          <w:bCs/>
          <w:sz w:val="26"/>
          <w:szCs w:val="22"/>
        </w:rPr>
        <w:t>at</w:t>
      </w:r>
      <w:r w:rsidRPr="008722BB">
        <w:rPr>
          <w:rFonts w:ascii="Century Schoolbook" w:eastAsia="Calibri" w:hAnsi="Century Schoolbook"/>
          <w:b/>
          <w:bCs/>
          <w:sz w:val="26"/>
          <w:szCs w:val="22"/>
        </w:rPr>
        <w:t xml:space="preserve"> </w:t>
      </w:r>
      <w:r w:rsidRPr="008722BB" w:rsidR="00366DF5">
        <w:rPr>
          <w:rFonts w:ascii="Century Schoolbook" w:eastAsia="Calibri" w:hAnsi="Century Schoolbook"/>
          <w:b/>
          <w:bCs/>
          <w:sz w:val="26"/>
          <w:szCs w:val="22"/>
        </w:rPr>
        <w:t>P</w:t>
      </w:r>
      <w:r w:rsidRPr="008722BB">
        <w:rPr>
          <w:rFonts w:ascii="Century Schoolbook" w:eastAsia="Calibri" w:hAnsi="Century Schoolbook"/>
          <w:b/>
          <w:bCs/>
          <w:sz w:val="26"/>
          <w:szCs w:val="22"/>
        </w:rPr>
        <w:t xml:space="preserve">ower on a </w:t>
      </w:r>
      <w:r w:rsidRPr="008722BB" w:rsidR="00366DF5">
        <w:rPr>
          <w:rFonts w:ascii="Century Schoolbook" w:eastAsia="Calibri" w:hAnsi="Century Schoolbook"/>
          <w:b/>
          <w:bCs/>
          <w:sz w:val="26"/>
          <w:szCs w:val="22"/>
        </w:rPr>
        <w:t>P</w:t>
      </w:r>
      <w:r w:rsidRPr="008722BB">
        <w:rPr>
          <w:rFonts w:ascii="Century Schoolbook" w:eastAsia="Calibri" w:hAnsi="Century Schoolbook"/>
          <w:b/>
          <w:bCs/>
          <w:sz w:val="26"/>
          <w:szCs w:val="22"/>
        </w:rPr>
        <w:t>arcel-by-</w:t>
      </w:r>
      <w:r w:rsidRPr="008722BB" w:rsidR="00366DF5">
        <w:rPr>
          <w:rFonts w:ascii="Century Schoolbook" w:eastAsia="Calibri" w:hAnsi="Century Schoolbook"/>
          <w:b/>
          <w:bCs/>
          <w:sz w:val="26"/>
          <w:szCs w:val="22"/>
        </w:rPr>
        <w:t>P</w:t>
      </w:r>
      <w:r w:rsidRPr="008722BB">
        <w:rPr>
          <w:rFonts w:ascii="Century Schoolbook" w:eastAsia="Calibri" w:hAnsi="Century Schoolbook"/>
          <w:b/>
          <w:bCs/>
          <w:sz w:val="26"/>
          <w:szCs w:val="22"/>
        </w:rPr>
        <w:t xml:space="preserve">arcel </w:t>
      </w:r>
      <w:r w:rsidRPr="008722BB" w:rsidR="00366DF5">
        <w:rPr>
          <w:rFonts w:ascii="Century Schoolbook" w:eastAsia="Calibri" w:hAnsi="Century Schoolbook"/>
          <w:b/>
          <w:bCs/>
          <w:sz w:val="26"/>
          <w:szCs w:val="22"/>
        </w:rPr>
        <w:t>B</w:t>
      </w:r>
      <w:r w:rsidRPr="008722BB">
        <w:rPr>
          <w:rFonts w:ascii="Century Schoolbook" w:eastAsia="Calibri" w:hAnsi="Century Schoolbook"/>
          <w:b/>
          <w:bCs/>
          <w:sz w:val="26"/>
          <w:szCs w:val="22"/>
        </w:rPr>
        <w:t>asis?</w:t>
      </w:r>
    </w:p>
    <w:p w:rsidR="00EE7DB8" w:rsidP="00D77739" w14:paraId="750EA6FB" w14:textId="5EED8808">
      <w:pPr>
        <w:spacing w:line="288" w:lineRule="auto"/>
        <w:rPr>
          <w:rFonts w:ascii="Century Schoolbook" w:eastAsia="Calibri" w:hAnsi="Century Schoolbook"/>
          <w:sz w:val="26"/>
          <w:szCs w:val="22"/>
        </w:rPr>
      </w:pPr>
      <w:r>
        <w:rPr>
          <w:rFonts w:ascii="Century Schoolbook" w:eastAsia="Calibri" w:hAnsi="Century Schoolbook"/>
          <w:sz w:val="26"/>
          <w:szCs w:val="22"/>
        </w:rPr>
        <w:tab/>
        <w:t>In light of the analysis set forth above,</w:t>
      </w:r>
      <w:r w:rsidR="00603BF0">
        <w:rPr>
          <w:rFonts w:ascii="Century Schoolbook" w:eastAsia="Calibri" w:hAnsi="Century Schoolbook"/>
          <w:sz w:val="26"/>
          <w:szCs w:val="22"/>
        </w:rPr>
        <w:t xml:space="preserve"> and as petitioners agreed at oral argument,</w:t>
      </w:r>
      <w:r>
        <w:rPr>
          <w:rFonts w:ascii="Century Schoolbook" w:eastAsia="Calibri" w:hAnsi="Century Schoolbook"/>
          <w:sz w:val="26"/>
          <w:szCs w:val="22"/>
        </w:rPr>
        <w:t xml:space="preserve"> our Legislature could have validly exercised its preemption power to </w:t>
      </w:r>
      <w:r w:rsidR="00C42B1A">
        <w:rPr>
          <w:rFonts w:ascii="Century Schoolbook" w:eastAsia="Calibri" w:hAnsi="Century Schoolbook"/>
          <w:sz w:val="26"/>
          <w:szCs w:val="22"/>
        </w:rPr>
        <w:t>effect</w:t>
      </w:r>
      <w:r>
        <w:rPr>
          <w:rFonts w:ascii="Century Schoolbook" w:eastAsia="Calibri" w:hAnsi="Century Schoolbook"/>
          <w:sz w:val="26"/>
          <w:szCs w:val="22"/>
        </w:rPr>
        <w:t xml:space="preserve"> an across-the-board nullification of all local housing density caps across the state.  But Senate Bill 10 </w:t>
      </w:r>
      <w:r w:rsidR="00C42B1A">
        <w:rPr>
          <w:rFonts w:ascii="Century Schoolbook" w:eastAsia="Calibri" w:hAnsi="Century Schoolbook"/>
          <w:sz w:val="26"/>
          <w:szCs w:val="22"/>
        </w:rPr>
        <w:t>does</w:t>
      </w:r>
      <w:r>
        <w:rPr>
          <w:rFonts w:ascii="Century Schoolbook" w:eastAsia="Calibri" w:hAnsi="Century Schoolbook"/>
          <w:sz w:val="26"/>
          <w:szCs w:val="22"/>
        </w:rPr>
        <w:t xml:space="preserve"> not take such a drastic, sweeping step.  Instead, it t</w:t>
      </w:r>
      <w:r w:rsidR="00C42B1A">
        <w:rPr>
          <w:rFonts w:ascii="Century Schoolbook" w:eastAsia="Calibri" w:hAnsi="Century Schoolbook"/>
          <w:sz w:val="26"/>
          <w:szCs w:val="22"/>
        </w:rPr>
        <w:t>akes</w:t>
      </w:r>
      <w:r>
        <w:rPr>
          <w:rFonts w:ascii="Century Schoolbook" w:eastAsia="Calibri" w:hAnsi="Century Schoolbook"/>
          <w:sz w:val="26"/>
          <w:szCs w:val="22"/>
        </w:rPr>
        <w:t xml:space="preserve"> the more modest and novel approach of </w:t>
      </w:r>
      <w:r w:rsidR="00C76517">
        <w:rPr>
          <w:rFonts w:ascii="Century Schoolbook" w:eastAsia="Calibri" w:hAnsi="Century Schoolbook"/>
          <w:sz w:val="26"/>
          <w:szCs w:val="22"/>
        </w:rPr>
        <w:t xml:space="preserve">cloaking </w:t>
      </w:r>
      <w:r>
        <w:rPr>
          <w:rFonts w:ascii="Century Schoolbook" w:eastAsia="Calibri" w:hAnsi="Century Schoolbook"/>
          <w:sz w:val="26"/>
          <w:szCs w:val="22"/>
        </w:rPr>
        <w:t xml:space="preserve">local legislative bodies with the mantle of state authority by granting those bodies </w:t>
      </w:r>
      <w:r w:rsidR="00C42B1A">
        <w:rPr>
          <w:rFonts w:ascii="Century Schoolbook" w:eastAsia="Calibri" w:hAnsi="Century Schoolbook"/>
          <w:sz w:val="26"/>
          <w:szCs w:val="22"/>
        </w:rPr>
        <w:t>some</w:t>
      </w:r>
      <w:r>
        <w:rPr>
          <w:rFonts w:ascii="Century Schoolbook" w:eastAsia="Calibri" w:hAnsi="Century Schoolbook"/>
          <w:sz w:val="26"/>
          <w:szCs w:val="22"/>
        </w:rPr>
        <w:t xml:space="preserve"> discretion </w:t>
      </w:r>
      <w:r w:rsidR="00395420">
        <w:rPr>
          <w:rFonts w:ascii="Century Schoolbook" w:eastAsia="Calibri" w:hAnsi="Century Schoolbook"/>
          <w:sz w:val="26"/>
          <w:szCs w:val="22"/>
        </w:rPr>
        <w:t xml:space="preserve">on </w:t>
      </w:r>
      <w:r>
        <w:rPr>
          <w:rFonts w:ascii="Century Schoolbook" w:eastAsia="Calibri" w:hAnsi="Century Schoolbook"/>
          <w:sz w:val="26"/>
          <w:szCs w:val="22"/>
        </w:rPr>
        <w:t xml:space="preserve">whether to supersede local laws, including those adopted by voter initiative.  Does this more restrained approach render Senate Bill 10 unconstitutional?  </w:t>
      </w:r>
    </w:p>
    <w:p w:rsidR="00EE7DB8" w:rsidP="00D77739" w14:paraId="0932994F" w14:textId="505813B0">
      <w:pPr>
        <w:spacing w:line="288" w:lineRule="auto"/>
        <w:rPr>
          <w:rFonts w:ascii="Century Schoolbook" w:eastAsia="Calibri" w:hAnsi="Century Schoolbook"/>
          <w:sz w:val="26"/>
          <w:szCs w:val="22"/>
        </w:rPr>
      </w:pPr>
      <w:r>
        <w:rPr>
          <w:rFonts w:ascii="Century Schoolbook" w:eastAsia="Calibri" w:hAnsi="Century Schoolbook"/>
          <w:sz w:val="26"/>
          <w:szCs w:val="22"/>
        </w:rPr>
        <w:tab/>
        <w:t>We conclude it does not.  Apart from the general notion that the Legislature’s power to undertake a greater act (such as wiping out all local housing density caps) typically means it has the power to undertake lesser acts (such as allowing local bodies to decide whether to wipe out those caps on a parcel-by-parcel basis) (</w:t>
      </w:r>
      <w:r w:rsidR="00175833">
        <w:rPr>
          <w:rFonts w:ascii="Century Schoolbook" w:eastAsia="Calibri" w:hAnsi="Century Schoolbook"/>
          <w:sz w:val="26"/>
          <w:szCs w:val="22"/>
        </w:rPr>
        <w:t xml:space="preserve">see, e.g., </w:t>
      </w:r>
      <w:r w:rsidR="00175833">
        <w:rPr>
          <w:rFonts w:ascii="Century Schoolbook" w:eastAsia="Calibri" w:hAnsi="Century Schoolbook"/>
          <w:i/>
          <w:iCs/>
          <w:sz w:val="26"/>
          <w:szCs w:val="22"/>
        </w:rPr>
        <w:t>Von Raesfeld</w:t>
      </w:r>
      <w:r w:rsidRPr="008722BB" w:rsidR="00175833">
        <w:rPr>
          <w:rFonts w:ascii="Century Schoolbook" w:eastAsia="Calibri" w:hAnsi="Century Schoolbook"/>
          <w:sz w:val="26"/>
          <w:szCs w:val="22"/>
        </w:rPr>
        <w:t>,</w:t>
      </w:r>
      <w:r w:rsidR="00175833">
        <w:rPr>
          <w:rFonts w:ascii="Century Schoolbook" w:eastAsia="Calibri" w:hAnsi="Century Schoolbook"/>
          <w:i/>
          <w:iCs/>
          <w:sz w:val="26"/>
          <w:szCs w:val="22"/>
        </w:rPr>
        <w:t xml:space="preserve"> supra</w:t>
      </w:r>
      <w:r w:rsidR="00175833">
        <w:rPr>
          <w:rFonts w:ascii="Century Schoolbook" w:eastAsia="Calibri" w:hAnsi="Century Schoolbook"/>
          <w:sz w:val="26"/>
          <w:szCs w:val="22"/>
        </w:rPr>
        <w:t>, 3 Cal.3d at p. 248</w:t>
      </w:r>
      <w:r>
        <w:rPr>
          <w:rFonts w:ascii="Century Schoolbook" w:eastAsia="Calibri" w:hAnsi="Century Schoolbook"/>
          <w:sz w:val="26"/>
          <w:szCs w:val="22"/>
        </w:rPr>
        <w:t xml:space="preserve">), we conclude that Senate Bill 10’s delegation of preemptive power to local legislative bodies is constitutionally permissible for </w:t>
      </w:r>
      <w:r w:rsidR="00603BF0">
        <w:rPr>
          <w:rFonts w:ascii="Century Schoolbook" w:eastAsia="Calibri" w:hAnsi="Century Schoolbook"/>
          <w:sz w:val="26"/>
          <w:szCs w:val="22"/>
        </w:rPr>
        <w:t xml:space="preserve">three </w:t>
      </w:r>
      <w:r>
        <w:rPr>
          <w:rFonts w:ascii="Century Schoolbook" w:eastAsia="Calibri" w:hAnsi="Century Schoolbook"/>
          <w:sz w:val="26"/>
          <w:szCs w:val="22"/>
        </w:rPr>
        <w:t>reasons.</w:t>
      </w:r>
    </w:p>
    <w:p w:rsidR="00B428FA" w:rsidP="00D77739" w14:paraId="1E392AC0" w14:textId="0545643F">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First, </w:t>
      </w:r>
      <w:r w:rsidR="00175833">
        <w:rPr>
          <w:rFonts w:ascii="Century Schoolbook" w:eastAsia="Calibri" w:hAnsi="Century Schoolbook"/>
          <w:sz w:val="26"/>
          <w:szCs w:val="22"/>
        </w:rPr>
        <w:t xml:space="preserve">the weight of precedent </w:t>
      </w:r>
      <w:r w:rsidRPr="00175833" w:rsidR="00175833">
        <w:rPr>
          <w:rFonts w:ascii="Century Schoolbook" w:eastAsia="Calibri" w:hAnsi="Century Schoolbook"/>
          <w:i/>
          <w:iCs/>
          <w:sz w:val="26"/>
          <w:szCs w:val="22"/>
        </w:rPr>
        <w:t>supports</w:t>
      </w:r>
      <w:r w:rsidR="00175833">
        <w:rPr>
          <w:rFonts w:ascii="Century Schoolbook" w:eastAsia="Calibri" w:hAnsi="Century Schoolbook"/>
          <w:sz w:val="26"/>
          <w:szCs w:val="22"/>
        </w:rPr>
        <w:t xml:space="preserve"> (but does not </w:t>
      </w:r>
      <w:r w:rsidR="00175833">
        <w:rPr>
          <w:rFonts w:ascii="Century Schoolbook" w:eastAsia="Calibri" w:hAnsi="Century Schoolbook"/>
          <w:i/>
          <w:iCs/>
          <w:sz w:val="26"/>
          <w:szCs w:val="22"/>
        </w:rPr>
        <w:t>dictate</w:t>
      </w:r>
      <w:r w:rsidR="00175833">
        <w:rPr>
          <w:rFonts w:ascii="Century Schoolbook" w:eastAsia="Calibri" w:hAnsi="Century Schoolbook"/>
          <w:sz w:val="26"/>
          <w:szCs w:val="22"/>
        </w:rPr>
        <w:t xml:space="preserve">) this result.  In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sidR="00175833">
        <w:rPr>
          <w:rFonts w:ascii="Century Schoolbook" w:eastAsia="Calibri" w:hAnsi="Century Schoolbook"/>
          <w:sz w:val="26"/>
          <w:szCs w:val="22"/>
        </w:rPr>
        <w:t xml:space="preserve">, </w:t>
      </w:r>
      <w:r w:rsidR="00175833">
        <w:rPr>
          <w:rFonts w:ascii="Century Schoolbook" w:eastAsia="Calibri" w:hAnsi="Century Schoolbook"/>
          <w:i/>
          <w:iCs/>
          <w:sz w:val="26"/>
          <w:szCs w:val="22"/>
        </w:rPr>
        <w:t>supra</w:t>
      </w:r>
      <w:r w:rsidR="00175833">
        <w:rPr>
          <w:rFonts w:ascii="Century Schoolbook" w:eastAsia="Calibri" w:hAnsi="Century Schoolbook"/>
          <w:sz w:val="26"/>
          <w:szCs w:val="22"/>
        </w:rPr>
        <w:t xml:space="preserve">, 45 Cal.3d 491, a state statute granted local legislative bodies the power to impose development fees to fund the construction of major traffic corridors running between cities and, in tandem, barred the adoption of local initiatives prohibiting such fees.  In rejecting a constitutional challenge to this statute, our Supreme Court </w:t>
      </w:r>
      <w:r>
        <w:rPr>
          <w:rFonts w:ascii="Century Schoolbook" w:eastAsia="Calibri" w:hAnsi="Century Schoolbook"/>
          <w:sz w:val="26"/>
          <w:szCs w:val="22"/>
        </w:rPr>
        <w:t>noted that “[i]n matters of statewide concern,” the state has the option of either “preempt[ing] the entire field to the exclusion of all local control” or “grant[ing] some measure of local control and autonomy” while “impos[in</w:t>
      </w:r>
      <w:r w:rsidR="00E9566B">
        <w:rPr>
          <w:rFonts w:ascii="Century Schoolbook" w:eastAsia="Calibri" w:hAnsi="Century Schoolbook"/>
          <w:sz w:val="26"/>
          <w:szCs w:val="22"/>
        </w:rPr>
        <w:t>g</w:t>
      </w:r>
      <w:r>
        <w:rPr>
          <w:rFonts w:ascii="Century Schoolbook" w:eastAsia="Calibri" w:hAnsi="Century Schoolbook"/>
          <w:sz w:val="26"/>
          <w:szCs w:val="22"/>
        </w:rPr>
        <w:t>] procedural restrictions on the exercise of the power granted, including the authority to bar the exercise of the initiative” power.  (</w:t>
      </w:r>
      <w:r>
        <w:rPr>
          <w:rFonts w:ascii="Century Schoolbook" w:eastAsia="Calibri" w:hAnsi="Century Schoolbook"/>
          <w:i/>
          <w:iCs/>
          <w:sz w:val="26"/>
          <w:szCs w:val="22"/>
        </w:rPr>
        <w:t>Id.</w:t>
      </w:r>
      <w:r>
        <w:rPr>
          <w:rFonts w:ascii="Century Schoolbook" w:eastAsia="Calibri" w:hAnsi="Century Schoolbook"/>
          <w:sz w:val="26"/>
          <w:szCs w:val="22"/>
        </w:rPr>
        <w:t xml:space="preserve"> at p. 511.)  Although the statute in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Pr>
          <w:rFonts w:ascii="Century Schoolbook" w:eastAsia="Calibri" w:hAnsi="Century Schoolbook"/>
          <w:sz w:val="26"/>
          <w:szCs w:val="22"/>
        </w:rPr>
        <w:t xml:space="preserve"> is not identical to Senate Bill 10 because Senate Bill 10 does not divest local voters of their initiative power</w:t>
      </w:r>
      <w:r w:rsidR="00C42B1A">
        <w:rPr>
          <w:rFonts w:ascii="Century Schoolbook" w:eastAsia="Calibri" w:hAnsi="Century Schoolbook"/>
          <w:sz w:val="26"/>
          <w:szCs w:val="22"/>
        </w:rPr>
        <w:t xml:space="preserve"> when it come</w:t>
      </w:r>
      <w:r w:rsidR="009A63FA">
        <w:rPr>
          <w:rFonts w:ascii="Century Schoolbook" w:eastAsia="Calibri" w:hAnsi="Century Schoolbook"/>
          <w:sz w:val="26"/>
          <w:szCs w:val="22"/>
        </w:rPr>
        <w:t>s</w:t>
      </w:r>
      <w:r w:rsidR="00C42B1A">
        <w:rPr>
          <w:rFonts w:ascii="Century Schoolbook" w:eastAsia="Calibri" w:hAnsi="Century Schoolbook"/>
          <w:sz w:val="26"/>
          <w:szCs w:val="22"/>
        </w:rPr>
        <w:t xml:space="preserve"> to housing density caps</w:t>
      </w:r>
      <w:r>
        <w:rPr>
          <w:rFonts w:ascii="Century Schoolbook" w:eastAsia="Calibri" w:hAnsi="Century Schoolbook"/>
          <w:sz w:val="26"/>
          <w:szCs w:val="22"/>
        </w:rPr>
        <w:t xml:space="preserve">,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Pr>
          <w:rFonts w:ascii="Century Schoolbook" w:eastAsia="Calibri" w:hAnsi="Century Schoolbook"/>
          <w:sz w:val="26"/>
          <w:szCs w:val="22"/>
        </w:rPr>
        <w:t xml:space="preserve"> does support the notion that our Legislature may delegate to local legislative bodies discretion </w:t>
      </w:r>
      <w:r w:rsidR="009254FB">
        <w:rPr>
          <w:rFonts w:ascii="Century Schoolbook" w:eastAsia="Calibri" w:hAnsi="Century Schoolbook"/>
          <w:sz w:val="26"/>
          <w:szCs w:val="22"/>
        </w:rPr>
        <w:t xml:space="preserve">on </w:t>
      </w:r>
      <w:r>
        <w:rPr>
          <w:rFonts w:ascii="Century Schoolbook" w:eastAsia="Calibri" w:hAnsi="Century Schoolbook"/>
          <w:sz w:val="26"/>
          <w:szCs w:val="22"/>
        </w:rPr>
        <w:t xml:space="preserve">how to act (that is, to impose construction fees or not impose construction fees) while simultaneously superseding any voter initiatives that would interfere with that discretion.  Along similar lines, in </w:t>
      </w:r>
      <w:r>
        <w:rPr>
          <w:rFonts w:ascii="Century Schoolbook" w:eastAsia="Calibri" w:hAnsi="Century Schoolbook"/>
          <w:i/>
          <w:iCs/>
          <w:sz w:val="26"/>
          <w:szCs w:val="22"/>
        </w:rPr>
        <w:t>Von Raesfeld</w:t>
      </w:r>
      <w:r w:rsidRPr="008722BB">
        <w:rPr>
          <w:rFonts w:ascii="Century Schoolbook" w:eastAsia="Calibri" w:hAnsi="Century Schoolbook"/>
          <w:sz w:val="26"/>
          <w:szCs w:val="22"/>
        </w:rPr>
        <w:t>,</w:t>
      </w:r>
      <w:r>
        <w:rPr>
          <w:rFonts w:ascii="Century Schoolbook" w:eastAsia="Calibri" w:hAnsi="Century Schoolbook"/>
          <w:i/>
          <w:iCs/>
          <w:sz w:val="26"/>
          <w:szCs w:val="22"/>
        </w:rPr>
        <w:t xml:space="preserve"> supra</w:t>
      </w:r>
      <w:r>
        <w:rPr>
          <w:rFonts w:ascii="Century Schoolbook" w:eastAsia="Calibri" w:hAnsi="Century Schoolbook"/>
          <w:sz w:val="26"/>
          <w:szCs w:val="22"/>
        </w:rPr>
        <w:t xml:space="preserve">, </w:t>
      </w:r>
      <w:r w:rsidR="008D0733">
        <w:rPr>
          <w:rFonts w:ascii="Century Schoolbook" w:eastAsia="Calibri" w:hAnsi="Century Schoolbook"/>
          <w:sz w:val="26"/>
          <w:szCs w:val="22"/>
        </w:rPr>
        <w:t xml:space="preserve">3 Cal.3d 239, </w:t>
      </w:r>
      <w:r>
        <w:rPr>
          <w:rFonts w:ascii="Century Schoolbook" w:eastAsia="Calibri" w:hAnsi="Century Schoolbook"/>
          <w:sz w:val="26"/>
          <w:szCs w:val="22"/>
        </w:rPr>
        <w:t>a state statute granted cities the power to issue construction bonds for sewage projects at a 7</w:t>
      </w:r>
      <w:r w:rsidR="004F3267">
        <w:rPr>
          <w:rFonts w:ascii="Century Schoolbook" w:eastAsia="Calibri" w:hAnsi="Century Schoolbook"/>
          <w:sz w:val="26"/>
          <w:szCs w:val="22"/>
        </w:rPr>
        <w:t>-</w:t>
      </w:r>
      <w:r>
        <w:rPr>
          <w:rFonts w:ascii="Century Schoolbook" w:eastAsia="Calibri" w:hAnsi="Century Schoolbook"/>
          <w:sz w:val="26"/>
          <w:szCs w:val="22"/>
        </w:rPr>
        <w:t>percent interest rate notwithstanding local laws requiring a city-wi</w:t>
      </w:r>
      <w:r w:rsidR="00C42B1A">
        <w:rPr>
          <w:rFonts w:ascii="Century Schoolbook" w:eastAsia="Calibri" w:hAnsi="Century Schoolbook"/>
          <w:sz w:val="26"/>
          <w:szCs w:val="22"/>
        </w:rPr>
        <w:t>d</w:t>
      </w:r>
      <w:r>
        <w:rPr>
          <w:rFonts w:ascii="Century Schoolbook" w:eastAsia="Calibri" w:hAnsi="Century Schoolbook"/>
          <w:sz w:val="26"/>
          <w:szCs w:val="22"/>
        </w:rPr>
        <w:t xml:space="preserve">e “bond election” regarding the issuance and interest rate of such bonds.  </w:t>
      </w:r>
      <w:r w:rsidR="00D4495E">
        <w:rPr>
          <w:rFonts w:ascii="Century Schoolbook" w:eastAsia="Calibri" w:hAnsi="Century Schoolbook"/>
          <w:sz w:val="26"/>
          <w:szCs w:val="22"/>
        </w:rPr>
        <w:t>(</w:t>
      </w:r>
      <w:r w:rsidR="00D4495E">
        <w:rPr>
          <w:rFonts w:ascii="Century Schoolbook" w:eastAsia="Calibri" w:hAnsi="Century Schoolbook"/>
          <w:i/>
          <w:iCs/>
          <w:sz w:val="26"/>
          <w:szCs w:val="22"/>
        </w:rPr>
        <w:t>Id.</w:t>
      </w:r>
      <w:r w:rsidR="00D4495E">
        <w:rPr>
          <w:rFonts w:ascii="Century Schoolbook" w:eastAsia="Calibri" w:hAnsi="Century Schoolbook"/>
          <w:sz w:val="26"/>
          <w:szCs w:val="22"/>
        </w:rPr>
        <w:t xml:space="preserve"> at p. 248.)  </w:t>
      </w:r>
      <w:r>
        <w:rPr>
          <w:rFonts w:ascii="Century Schoolbook" w:eastAsia="Calibri" w:hAnsi="Century Schoolbook"/>
          <w:sz w:val="26"/>
          <w:szCs w:val="22"/>
        </w:rPr>
        <w:t xml:space="preserve">In rejecting a constitutional challenge to this statute, our Supreme Court noted that the Legislature’s power to “eliminate entirely the [local] requirement of voter approval of the . . . bonds </w:t>
      </w:r>
      <w:r w:rsidR="00D4495E">
        <w:rPr>
          <w:rFonts w:ascii="Century Schoolbook" w:eastAsia="Calibri" w:hAnsi="Century Schoolbook"/>
          <w:sz w:val="26"/>
          <w:szCs w:val="22"/>
        </w:rPr>
        <w:t>in</w:t>
      </w:r>
      <w:r>
        <w:rPr>
          <w:rFonts w:ascii="Century Schoolbook" w:eastAsia="Calibri" w:hAnsi="Century Schoolbook"/>
          <w:sz w:val="26"/>
          <w:szCs w:val="22"/>
        </w:rPr>
        <w:t xml:space="preserve"> issue” necessarily included the </w:t>
      </w:r>
      <w:r w:rsidR="004F3267">
        <w:rPr>
          <w:rFonts w:ascii="Century Schoolbook" w:eastAsia="Calibri" w:hAnsi="Century Schoolbook"/>
          <w:sz w:val="26"/>
          <w:szCs w:val="22"/>
        </w:rPr>
        <w:t>“</w:t>
      </w:r>
      <w:r>
        <w:rPr>
          <w:rFonts w:ascii="Century Schoolbook" w:eastAsia="Calibri" w:hAnsi="Century Schoolbook"/>
          <w:sz w:val="26"/>
          <w:szCs w:val="22"/>
        </w:rPr>
        <w:t>lesser act” of granting the city’s legislative body the power to issue bonds at the rate authorized by the state statute.  (</w:t>
      </w:r>
      <w:r>
        <w:rPr>
          <w:rFonts w:ascii="Century Schoolbook" w:eastAsia="Calibri" w:hAnsi="Century Schoolbook"/>
          <w:i/>
          <w:iCs/>
          <w:sz w:val="26"/>
          <w:szCs w:val="22"/>
        </w:rPr>
        <w:t>I</w:t>
      </w:r>
      <w:r w:rsidR="00D4495E">
        <w:rPr>
          <w:rFonts w:ascii="Century Schoolbook" w:eastAsia="Calibri" w:hAnsi="Century Schoolbook"/>
          <w:i/>
          <w:iCs/>
          <w:sz w:val="26"/>
          <w:szCs w:val="22"/>
        </w:rPr>
        <w:t>bi</w:t>
      </w:r>
      <w:r>
        <w:rPr>
          <w:rFonts w:ascii="Century Schoolbook" w:eastAsia="Calibri" w:hAnsi="Century Schoolbook"/>
          <w:i/>
          <w:iCs/>
          <w:sz w:val="26"/>
          <w:szCs w:val="22"/>
        </w:rPr>
        <w:t>d.</w:t>
      </w:r>
      <w:r>
        <w:rPr>
          <w:rFonts w:ascii="Century Schoolbook" w:eastAsia="Calibri" w:hAnsi="Century Schoolbook"/>
          <w:sz w:val="26"/>
          <w:szCs w:val="22"/>
        </w:rPr>
        <w:t xml:space="preserve">)  Although the statute in </w:t>
      </w:r>
      <w:r>
        <w:rPr>
          <w:rFonts w:ascii="Century Schoolbook" w:eastAsia="Calibri" w:hAnsi="Century Schoolbook"/>
          <w:i/>
          <w:iCs/>
          <w:sz w:val="26"/>
          <w:szCs w:val="22"/>
        </w:rPr>
        <w:t>Von Raesfeld</w:t>
      </w:r>
      <w:r>
        <w:rPr>
          <w:rFonts w:ascii="Century Schoolbook" w:eastAsia="Calibri" w:hAnsi="Century Schoolbook"/>
          <w:sz w:val="26"/>
          <w:szCs w:val="22"/>
        </w:rPr>
        <w:t xml:space="preserve"> is not identical to Senate Bill 10 because </w:t>
      </w:r>
      <w:r w:rsidR="00BC65BA">
        <w:rPr>
          <w:rFonts w:ascii="Century Schoolbook" w:eastAsia="Calibri" w:hAnsi="Century Schoolbook"/>
          <w:i/>
          <w:iCs/>
          <w:sz w:val="26"/>
          <w:szCs w:val="22"/>
        </w:rPr>
        <w:t>Von Raesfeld</w:t>
      </w:r>
      <w:r w:rsidR="00BC65BA">
        <w:rPr>
          <w:rFonts w:ascii="Century Schoolbook" w:eastAsia="Calibri" w:hAnsi="Century Schoolbook"/>
          <w:sz w:val="26"/>
          <w:szCs w:val="22"/>
        </w:rPr>
        <w:t xml:space="preserve"> did not involve a voter initiative, </w:t>
      </w:r>
      <w:r w:rsidR="00BC65BA">
        <w:rPr>
          <w:rFonts w:ascii="Century Schoolbook" w:eastAsia="Calibri" w:hAnsi="Century Schoolbook"/>
          <w:i/>
          <w:iCs/>
          <w:sz w:val="26"/>
          <w:szCs w:val="22"/>
        </w:rPr>
        <w:t>Von Raesfeld</w:t>
      </w:r>
      <w:r w:rsidR="00BC65BA">
        <w:rPr>
          <w:rFonts w:ascii="Century Schoolbook" w:eastAsia="Calibri" w:hAnsi="Century Schoolbook"/>
          <w:sz w:val="26"/>
          <w:szCs w:val="22"/>
        </w:rPr>
        <w:t xml:space="preserve"> does support the notion that our Legislature may delegate to local legislative bodies discretion </w:t>
      </w:r>
      <w:r w:rsidR="009254FB">
        <w:rPr>
          <w:rFonts w:ascii="Century Schoolbook" w:eastAsia="Calibri" w:hAnsi="Century Schoolbook"/>
          <w:sz w:val="26"/>
          <w:szCs w:val="22"/>
        </w:rPr>
        <w:t xml:space="preserve">on </w:t>
      </w:r>
      <w:r w:rsidR="00BC65BA">
        <w:rPr>
          <w:rFonts w:ascii="Century Schoolbook" w:eastAsia="Calibri" w:hAnsi="Century Schoolbook"/>
          <w:sz w:val="26"/>
          <w:szCs w:val="22"/>
        </w:rPr>
        <w:t>how to act (that is, to issue bonds with a higher interest rate or impose them at the rate approved by the voters during a bond election) while simultaneously superseding any local ordinances that would interfere with that discretion.</w:t>
      </w:r>
      <w:r w:rsidR="00185978">
        <w:rPr>
          <w:rFonts w:ascii="Century Schoolbook" w:eastAsia="Calibri" w:hAnsi="Century Schoolbook"/>
          <w:sz w:val="26"/>
          <w:szCs w:val="22"/>
        </w:rPr>
        <w:t xml:space="preserve"> </w:t>
      </w:r>
    </w:p>
    <w:p w:rsidR="00603BF0" w:rsidP="00D77739" w14:paraId="09F66E70" w14:textId="77777777">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Second, imbuing local legislative bodies with the discretion </w:t>
      </w:r>
      <w:r w:rsidR="00395420">
        <w:rPr>
          <w:rFonts w:ascii="Century Schoolbook" w:eastAsia="Calibri" w:hAnsi="Century Schoolbook"/>
          <w:sz w:val="26"/>
          <w:szCs w:val="22"/>
        </w:rPr>
        <w:t xml:space="preserve">on </w:t>
      </w:r>
      <w:r>
        <w:rPr>
          <w:rFonts w:ascii="Century Schoolbook" w:eastAsia="Calibri" w:hAnsi="Century Schoolbook"/>
          <w:sz w:val="26"/>
          <w:szCs w:val="22"/>
        </w:rPr>
        <w:t xml:space="preserve">whether to supersede local housing density </w:t>
      </w:r>
      <w:r w:rsidR="00AA0B7B">
        <w:rPr>
          <w:rFonts w:ascii="Century Schoolbook" w:eastAsia="Calibri" w:hAnsi="Century Schoolbook"/>
          <w:sz w:val="26"/>
          <w:szCs w:val="22"/>
        </w:rPr>
        <w:t xml:space="preserve">caps </w:t>
      </w:r>
      <w:r>
        <w:rPr>
          <w:rFonts w:ascii="Century Schoolbook" w:eastAsia="Calibri" w:hAnsi="Century Schoolbook"/>
          <w:sz w:val="26"/>
          <w:szCs w:val="22"/>
        </w:rPr>
        <w:t xml:space="preserve">is ostensibly </w:t>
      </w:r>
      <w:r>
        <w:rPr>
          <w:rFonts w:ascii="Century Schoolbook" w:eastAsia="Calibri" w:hAnsi="Century Schoolbook"/>
          <w:i/>
          <w:iCs/>
          <w:sz w:val="26"/>
          <w:szCs w:val="22"/>
        </w:rPr>
        <w:t>more</w:t>
      </w:r>
      <w:r>
        <w:rPr>
          <w:rFonts w:ascii="Century Schoolbook" w:eastAsia="Calibri" w:hAnsi="Century Schoolbook"/>
          <w:sz w:val="26"/>
          <w:szCs w:val="22"/>
        </w:rPr>
        <w:t xml:space="preserve"> solicitous of the initiative power than a wholesale invalidation of all local caps in the state.  Senate Bill 10 is a case in point.  </w:t>
      </w:r>
      <w:r w:rsidR="00FF227A">
        <w:rPr>
          <w:rFonts w:ascii="Century Schoolbook" w:eastAsia="Calibri" w:hAnsi="Century Schoolbook"/>
          <w:sz w:val="26"/>
          <w:szCs w:val="22"/>
        </w:rPr>
        <w:t xml:space="preserve">Senate Bill 10 does not nullify all local housing density caps in the state.  It does not bar local voters from enacting new housing density caps through the initiative power.  </w:t>
      </w:r>
      <w:r w:rsidR="00BB5876">
        <w:rPr>
          <w:rFonts w:ascii="Century Schoolbook" w:eastAsia="Calibri" w:hAnsi="Century Schoolbook"/>
          <w:sz w:val="26"/>
          <w:szCs w:val="22"/>
        </w:rPr>
        <w:t xml:space="preserve">The discretion it grants to local legislative bodies to supersede local housing density caps may only be exercised in </w:t>
      </w:r>
      <w:r w:rsidR="00FF227A">
        <w:rPr>
          <w:rFonts w:ascii="Century Schoolbook" w:eastAsia="Calibri" w:hAnsi="Century Schoolbook"/>
          <w:sz w:val="26"/>
          <w:szCs w:val="22"/>
        </w:rPr>
        <w:t>“transit-rich area</w:t>
      </w:r>
      <w:r w:rsidR="00C0506B">
        <w:rPr>
          <w:rFonts w:ascii="Century Schoolbook" w:eastAsia="Calibri" w:hAnsi="Century Schoolbook"/>
          <w:sz w:val="26"/>
          <w:szCs w:val="22"/>
        </w:rPr>
        <w:t>[</w:t>
      </w:r>
      <w:r w:rsidR="00FF227A">
        <w:rPr>
          <w:rFonts w:ascii="Century Schoolbook" w:eastAsia="Calibri" w:hAnsi="Century Schoolbook"/>
          <w:sz w:val="26"/>
          <w:szCs w:val="22"/>
        </w:rPr>
        <w:t>s</w:t>
      </w:r>
      <w:r w:rsidR="00C0506B">
        <w:rPr>
          <w:rFonts w:ascii="Century Schoolbook" w:eastAsia="Calibri" w:hAnsi="Century Schoolbook"/>
          <w:sz w:val="26"/>
          <w:szCs w:val="22"/>
        </w:rPr>
        <w:t>]</w:t>
      </w:r>
      <w:r w:rsidR="00FF227A">
        <w:rPr>
          <w:rFonts w:ascii="Century Schoolbook" w:eastAsia="Calibri" w:hAnsi="Century Schoolbook"/>
          <w:sz w:val="26"/>
          <w:szCs w:val="22"/>
        </w:rPr>
        <w:t>” and “urban</w:t>
      </w:r>
      <w:r w:rsidR="00C0506B">
        <w:rPr>
          <w:rFonts w:ascii="Century Schoolbook" w:eastAsia="Calibri" w:hAnsi="Century Schoolbook"/>
          <w:sz w:val="26"/>
          <w:szCs w:val="22"/>
        </w:rPr>
        <w:t xml:space="preserve"> in</w:t>
      </w:r>
      <w:r w:rsidR="00FF227A">
        <w:rPr>
          <w:rFonts w:ascii="Century Schoolbook" w:eastAsia="Calibri" w:hAnsi="Century Schoolbook"/>
          <w:sz w:val="26"/>
          <w:szCs w:val="22"/>
        </w:rPr>
        <w:t>fill site</w:t>
      </w:r>
      <w:r w:rsidR="00C0506B">
        <w:rPr>
          <w:rFonts w:ascii="Century Schoolbook" w:eastAsia="Calibri" w:hAnsi="Century Schoolbook"/>
          <w:sz w:val="26"/>
          <w:szCs w:val="22"/>
        </w:rPr>
        <w:t>[</w:t>
      </w:r>
      <w:r w:rsidR="00FF227A">
        <w:rPr>
          <w:rFonts w:ascii="Century Schoolbook" w:eastAsia="Calibri" w:hAnsi="Century Schoolbook"/>
          <w:sz w:val="26"/>
          <w:szCs w:val="22"/>
        </w:rPr>
        <w:t>s</w:t>
      </w:r>
      <w:r w:rsidR="00C0506B">
        <w:rPr>
          <w:rFonts w:ascii="Century Schoolbook" w:eastAsia="Calibri" w:hAnsi="Century Schoolbook"/>
          <w:sz w:val="26"/>
          <w:szCs w:val="22"/>
        </w:rPr>
        <w:t>]</w:t>
      </w:r>
      <w:r w:rsidR="00FF227A">
        <w:rPr>
          <w:rFonts w:ascii="Century Schoolbook" w:eastAsia="Calibri" w:hAnsi="Century Schoolbook"/>
          <w:sz w:val="26"/>
          <w:szCs w:val="22"/>
        </w:rPr>
        <w:t>” that are not in “very high fire severity zone[s].”  (</w:t>
      </w:r>
      <w:r w:rsidR="00885F57">
        <w:rPr>
          <w:rFonts w:ascii="Century Schoolbook" w:eastAsia="Calibri" w:hAnsi="Century Schoolbook"/>
          <w:sz w:val="26"/>
          <w:szCs w:val="22"/>
        </w:rPr>
        <w:t>§ 65913.5, subds. (a)(1), (a)(4)(A)</w:t>
      </w:r>
      <w:r w:rsidR="00206D45">
        <w:rPr>
          <w:rFonts w:ascii="Century Schoolbook" w:eastAsia="Calibri" w:hAnsi="Century Schoolbook"/>
          <w:sz w:val="26"/>
          <w:szCs w:val="22"/>
        </w:rPr>
        <w:t xml:space="preserve"> &amp;</w:t>
      </w:r>
      <w:r w:rsidR="00885F57">
        <w:rPr>
          <w:rFonts w:ascii="Century Schoolbook" w:eastAsia="Calibri" w:hAnsi="Century Schoolbook"/>
          <w:sz w:val="26"/>
          <w:szCs w:val="22"/>
        </w:rPr>
        <w:t xml:space="preserve"> (b)(3).)  </w:t>
      </w:r>
      <w:r w:rsidR="00BB5876">
        <w:rPr>
          <w:rFonts w:ascii="Century Schoolbook" w:eastAsia="Calibri" w:hAnsi="Century Schoolbook"/>
          <w:sz w:val="26"/>
          <w:szCs w:val="22"/>
        </w:rPr>
        <w:t xml:space="preserve">That discretion only permits the local legislative body to deviate </w:t>
      </w:r>
      <w:r w:rsidR="007E57B2">
        <w:rPr>
          <w:rFonts w:ascii="Century Schoolbook" w:eastAsia="Calibri" w:hAnsi="Century Schoolbook"/>
          <w:sz w:val="26"/>
          <w:szCs w:val="22"/>
        </w:rPr>
        <w:t xml:space="preserve">from existing local caps </w:t>
      </w:r>
      <w:r w:rsidR="00BB5876">
        <w:rPr>
          <w:rFonts w:ascii="Century Schoolbook" w:eastAsia="Calibri" w:hAnsi="Century Schoolbook"/>
          <w:sz w:val="26"/>
          <w:szCs w:val="22"/>
        </w:rPr>
        <w:t>“up to 10 units of residential density per parcel.”  (</w:t>
      </w:r>
      <w:r w:rsidR="00BB5876">
        <w:rPr>
          <w:rFonts w:ascii="Century Schoolbook" w:eastAsia="Calibri" w:hAnsi="Century Schoolbook"/>
          <w:i/>
          <w:iCs/>
          <w:sz w:val="26"/>
          <w:szCs w:val="22"/>
        </w:rPr>
        <w:t>Id.</w:t>
      </w:r>
      <w:r w:rsidR="00BB5876">
        <w:rPr>
          <w:rFonts w:ascii="Century Schoolbook" w:eastAsia="Calibri" w:hAnsi="Century Schoolbook"/>
          <w:sz w:val="26"/>
          <w:szCs w:val="22"/>
        </w:rPr>
        <w:t xml:space="preserve">, subd. (a)(1).)  That discretion does not exist </w:t>
      </w:r>
      <w:r w:rsidR="00BB5876">
        <w:rPr>
          <w:rFonts w:ascii="Century Schoolbook" w:eastAsia="Calibri" w:hAnsi="Century Schoolbook"/>
          <w:i/>
          <w:iCs/>
          <w:sz w:val="26"/>
          <w:szCs w:val="22"/>
        </w:rPr>
        <w:t xml:space="preserve">at all </w:t>
      </w:r>
      <w:r w:rsidR="00BB5876">
        <w:rPr>
          <w:rFonts w:ascii="Century Schoolbook" w:eastAsia="Calibri" w:hAnsi="Century Schoolbook"/>
          <w:sz w:val="26"/>
          <w:szCs w:val="22"/>
        </w:rPr>
        <w:t xml:space="preserve">against voter initiatives </w:t>
      </w:r>
      <w:r w:rsidR="007E57B2">
        <w:rPr>
          <w:rFonts w:ascii="Century Schoolbook" w:eastAsia="Calibri" w:hAnsi="Century Schoolbook"/>
          <w:sz w:val="26"/>
          <w:szCs w:val="22"/>
        </w:rPr>
        <w:t>“</w:t>
      </w:r>
      <w:r w:rsidR="00BB5876">
        <w:rPr>
          <w:rFonts w:ascii="Century Schoolbook" w:eastAsia="Calibri" w:hAnsi="Century Schoolbook"/>
          <w:sz w:val="26"/>
          <w:szCs w:val="22"/>
        </w:rPr>
        <w:t>designat[ing] publicly owned land as open-space land . . . or for park or recreational purposes,” and exists against all other initiative-based caps only if two-thirds of the local legislative body votes to supersede.  (</w:t>
      </w:r>
      <w:r w:rsidR="00BB5876">
        <w:rPr>
          <w:rFonts w:ascii="Century Schoolbook" w:eastAsia="Calibri" w:hAnsi="Century Schoolbook"/>
          <w:i/>
          <w:iCs/>
          <w:sz w:val="26"/>
          <w:szCs w:val="22"/>
        </w:rPr>
        <w:t>Id.</w:t>
      </w:r>
      <w:r w:rsidR="00BB5876">
        <w:rPr>
          <w:rFonts w:ascii="Century Schoolbook" w:eastAsia="Calibri" w:hAnsi="Century Schoolbook"/>
          <w:sz w:val="26"/>
          <w:szCs w:val="22"/>
        </w:rPr>
        <w:t>, subd</w:t>
      </w:r>
      <w:r w:rsidR="00206D45">
        <w:rPr>
          <w:rFonts w:ascii="Century Schoolbook" w:eastAsia="Calibri" w:hAnsi="Century Schoolbook"/>
          <w:sz w:val="26"/>
          <w:szCs w:val="22"/>
        </w:rPr>
        <w:t>s</w:t>
      </w:r>
      <w:r w:rsidR="00BB5876">
        <w:rPr>
          <w:rFonts w:ascii="Century Schoolbook" w:eastAsia="Calibri" w:hAnsi="Century Schoolbook"/>
          <w:sz w:val="26"/>
          <w:szCs w:val="22"/>
        </w:rPr>
        <w:t>. (a)(1), (a)(4)(B)</w:t>
      </w:r>
      <w:r w:rsidR="00206D45">
        <w:rPr>
          <w:rFonts w:ascii="Century Schoolbook" w:eastAsia="Calibri" w:hAnsi="Century Schoolbook"/>
          <w:sz w:val="26"/>
          <w:szCs w:val="22"/>
        </w:rPr>
        <w:t xml:space="preserve"> &amp;</w:t>
      </w:r>
      <w:r w:rsidR="00BB5876">
        <w:rPr>
          <w:rFonts w:ascii="Century Schoolbook" w:eastAsia="Calibri" w:hAnsi="Century Schoolbook"/>
          <w:sz w:val="26"/>
          <w:szCs w:val="22"/>
        </w:rPr>
        <w:t xml:space="preserve"> (b)(4).)  If a state statute nullifying dozens if not hundreds of local initiative-based housing density caps is constitutional despite its affront to the local initiative power, it is difficult to see how Senate Bill 1</w:t>
      </w:r>
      <w:r w:rsidR="004B2AB7">
        <w:rPr>
          <w:rFonts w:ascii="Century Schoolbook" w:eastAsia="Calibri" w:hAnsi="Century Schoolbook"/>
          <w:sz w:val="26"/>
          <w:szCs w:val="22"/>
        </w:rPr>
        <w:t xml:space="preserve">0—which has a far less expansive effect on initiative-based caps and hence poses a </w:t>
      </w:r>
      <w:r w:rsidR="007E57B2">
        <w:rPr>
          <w:rFonts w:ascii="Century Schoolbook" w:eastAsia="Calibri" w:hAnsi="Century Schoolbook"/>
          <w:sz w:val="26"/>
          <w:szCs w:val="22"/>
        </w:rPr>
        <w:t xml:space="preserve">demonstrably lesser </w:t>
      </w:r>
      <w:r w:rsidR="004B2AB7">
        <w:rPr>
          <w:rFonts w:ascii="Century Schoolbook" w:eastAsia="Calibri" w:hAnsi="Century Schoolbook"/>
          <w:sz w:val="26"/>
          <w:szCs w:val="22"/>
        </w:rPr>
        <w:t xml:space="preserve">affront to the initiative power—is somehow </w:t>
      </w:r>
      <w:r w:rsidR="004B2AB7">
        <w:rPr>
          <w:rFonts w:ascii="Century Schoolbook" w:eastAsia="Calibri" w:hAnsi="Century Schoolbook"/>
          <w:i/>
          <w:iCs/>
          <w:sz w:val="26"/>
          <w:szCs w:val="22"/>
        </w:rPr>
        <w:t xml:space="preserve">more </w:t>
      </w:r>
      <w:r w:rsidR="004B2AB7">
        <w:rPr>
          <w:rFonts w:ascii="Century Schoolbook" w:eastAsia="Calibri" w:hAnsi="Century Schoolbook"/>
          <w:sz w:val="26"/>
          <w:szCs w:val="22"/>
        </w:rPr>
        <w:t>constitutionally offensive.</w:t>
      </w:r>
    </w:p>
    <w:p w:rsidR="004B2AB7" w:rsidP="00D77739" w14:paraId="274EAE36" w14:textId="75DF710C">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Third and lastly, the net </w:t>
      </w:r>
      <w:r>
        <w:rPr>
          <w:rFonts w:ascii="Century Schoolbook" w:eastAsia="Calibri" w:hAnsi="Century Schoolbook"/>
          <w:i/>
          <w:iCs/>
          <w:sz w:val="26"/>
          <w:szCs w:val="22"/>
        </w:rPr>
        <w:t>effect</w:t>
      </w:r>
      <w:r>
        <w:rPr>
          <w:rFonts w:ascii="Century Schoolbook" w:eastAsia="Calibri" w:hAnsi="Century Schoolbook"/>
          <w:sz w:val="26"/>
          <w:szCs w:val="22"/>
        </w:rPr>
        <w:t xml:space="preserve"> of Senate Bill 10 is not constitutionally offensive.  The Legislature could have passed a state law that preempts all local housing density caps (including those adopted by local voter initiative), </w:t>
      </w:r>
      <w:r w:rsidR="00942676">
        <w:rPr>
          <w:rFonts w:ascii="Century Schoolbook" w:eastAsia="Calibri" w:hAnsi="Century Schoolbook"/>
          <w:sz w:val="26"/>
          <w:szCs w:val="22"/>
        </w:rPr>
        <w:t xml:space="preserve">but grants </w:t>
      </w:r>
      <w:r>
        <w:rPr>
          <w:rFonts w:ascii="Century Schoolbook" w:eastAsia="Calibri" w:hAnsi="Century Schoolbook"/>
          <w:sz w:val="26"/>
          <w:szCs w:val="22"/>
        </w:rPr>
        <w:t>local legislative bod</w:t>
      </w:r>
      <w:r w:rsidR="00942676">
        <w:rPr>
          <w:rFonts w:ascii="Century Schoolbook" w:eastAsia="Calibri" w:hAnsi="Century Schoolbook"/>
          <w:sz w:val="26"/>
          <w:szCs w:val="22"/>
        </w:rPr>
        <w:t>ies</w:t>
      </w:r>
      <w:r>
        <w:rPr>
          <w:rFonts w:ascii="Century Schoolbook" w:eastAsia="Calibri" w:hAnsi="Century Schoolbook"/>
          <w:sz w:val="26"/>
          <w:szCs w:val="22"/>
        </w:rPr>
        <w:t xml:space="preserve"> </w:t>
      </w:r>
      <w:r w:rsidR="00942676">
        <w:rPr>
          <w:rFonts w:ascii="Century Schoolbook" w:eastAsia="Calibri" w:hAnsi="Century Schoolbook"/>
          <w:sz w:val="26"/>
          <w:szCs w:val="22"/>
        </w:rPr>
        <w:t xml:space="preserve">the power to decide </w:t>
      </w:r>
      <w:r>
        <w:rPr>
          <w:rFonts w:ascii="Century Schoolbook" w:eastAsia="Calibri" w:hAnsi="Century Schoolbook"/>
          <w:sz w:val="26"/>
          <w:szCs w:val="22"/>
        </w:rPr>
        <w:t xml:space="preserve">whether to resurrect—and hence whether to apply—the preempted (and hence defunct) local ordinances or initiatives </w:t>
      </w:r>
      <w:r w:rsidR="003A2CE0">
        <w:rPr>
          <w:rFonts w:ascii="Century Schoolbook" w:eastAsia="Calibri" w:hAnsi="Century Schoolbook"/>
          <w:sz w:val="26"/>
          <w:szCs w:val="22"/>
        </w:rPr>
        <w:t xml:space="preserve">when considering </w:t>
      </w:r>
      <w:r>
        <w:rPr>
          <w:rFonts w:ascii="Century Schoolbook" w:eastAsia="Calibri" w:hAnsi="Century Schoolbook"/>
          <w:sz w:val="26"/>
          <w:szCs w:val="22"/>
        </w:rPr>
        <w:t xml:space="preserve">a particular zoning application.  At oral argument, petitioners agreed such a law would </w:t>
      </w:r>
      <w:r w:rsidRPr="00007039">
        <w:rPr>
          <w:rFonts w:ascii="Century Schoolbook" w:eastAsia="Calibri" w:hAnsi="Century Schoolbook"/>
          <w:i/>
          <w:iCs/>
          <w:sz w:val="26"/>
          <w:szCs w:val="22"/>
        </w:rPr>
        <w:t>not</w:t>
      </w:r>
      <w:r>
        <w:rPr>
          <w:rFonts w:ascii="Century Schoolbook" w:eastAsia="Calibri" w:hAnsi="Century Schoolbook"/>
          <w:sz w:val="26"/>
          <w:szCs w:val="22"/>
        </w:rPr>
        <w:t xml:space="preserve"> be unconstitutional.  But Senate Bill 10 has the same net effect because it also gra</w:t>
      </w:r>
      <w:r w:rsidR="00942676">
        <w:rPr>
          <w:rFonts w:ascii="Century Schoolbook" w:eastAsia="Calibri" w:hAnsi="Century Schoolbook"/>
          <w:sz w:val="26"/>
          <w:szCs w:val="22"/>
        </w:rPr>
        <w:t>n</w:t>
      </w:r>
      <w:r>
        <w:rPr>
          <w:rFonts w:ascii="Century Schoolbook" w:eastAsia="Calibri" w:hAnsi="Century Schoolbook"/>
          <w:sz w:val="26"/>
          <w:szCs w:val="22"/>
        </w:rPr>
        <w:t>ts local legislative bodies the power to decide whether to supersede—and hence whether to apply—local ordinances or initiatives when considering</w:t>
      </w:r>
      <w:r w:rsidR="003A2CE0">
        <w:rPr>
          <w:rFonts w:ascii="Century Schoolbook" w:eastAsia="Calibri" w:hAnsi="Century Schoolbook"/>
          <w:sz w:val="26"/>
          <w:szCs w:val="22"/>
        </w:rPr>
        <w:t xml:space="preserve"> a</w:t>
      </w:r>
      <w:r>
        <w:rPr>
          <w:rFonts w:ascii="Century Schoolbook" w:eastAsia="Calibri" w:hAnsi="Century Schoolbook"/>
          <w:sz w:val="26"/>
          <w:szCs w:val="22"/>
        </w:rPr>
        <w:t xml:space="preserve"> particular zoning application.  Where Senate Bill 10 differs from the hypothetical law is that </w:t>
      </w:r>
      <w:r w:rsidR="003A2CE0">
        <w:rPr>
          <w:rFonts w:ascii="Century Schoolbook" w:eastAsia="Calibri" w:hAnsi="Century Schoolbook"/>
          <w:sz w:val="26"/>
          <w:szCs w:val="22"/>
        </w:rPr>
        <w:t>the Legislature left</w:t>
      </w:r>
      <w:r>
        <w:rPr>
          <w:rFonts w:ascii="Century Schoolbook" w:eastAsia="Calibri" w:hAnsi="Century Schoolbook"/>
          <w:sz w:val="26"/>
          <w:szCs w:val="22"/>
        </w:rPr>
        <w:t xml:space="preserve"> local voter initiatives intact unless and until they are superseded in a particular </w:t>
      </w:r>
      <w:r w:rsidR="003A2CE0">
        <w:rPr>
          <w:rFonts w:ascii="Century Schoolbook" w:eastAsia="Calibri" w:hAnsi="Century Schoolbook"/>
          <w:sz w:val="26"/>
          <w:szCs w:val="22"/>
        </w:rPr>
        <w:t>zoning decision</w:t>
      </w:r>
      <w:r>
        <w:rPr>
          <w:rFonts w:ascii="Century Schoolbook" w:eastAsia="Calibri" w:hAnsi="Century Schoolbook"/>
          <w:sz w:val="26"/>
          <w:szCs w:val="22"/>
        </w:rPr>
        <w:t xml:space="preserve"> rather than invalidating all </w:t>
      </w:r>
      <w:r w:rsidR="003A2CE0">
        <w:rPr>
          <w:rFonts w:ascii="Century Schoolbook" w:eastAsia="Calibri" w:hAnsi="Century Schoolbook"/>
          <w:sz w:val="26"/>
          <w:szCs w:val="22"/>
        </w:rPr>
        <w:t xml:space="preserve">local </w:t>
      </w:r>
      <w:r>
        <w:rPr>
          <w:rFonts w:ascii="Century Schoolbook" w:eastAsia="Calibri" w:hAnsi="Century Schoolbook"/>
          <w:sz w:val="26"/>
          <w:szCs w:val="22"/>
        </w:rPr>
        <w:t xml:space="preserve">voter initiatives and then leaving it to the local legislative bodies whether to resurrect them.  In that regard, Senate Bill 10 is once again </w:t>
      </w:r>
      <w:r>
        <w:rPr>
          <w:rFonts w:ascii="Century Schoolbook" w:eastAsia="Calibri" w:hAnsi="Century Schoolbook"/>
          <w:i/>
          <w:iCs/>
          <w:sz w:val="26"/>
          <w:szCs w:val="22"/>
        </w:rPr>
        <w:t>more</w:t>
      </w:r>
      <w:r>
        <w:rPr>
          <w:rFonts w:ascii="Century Schoolbook" w:eastAsia="Calibri" w:hAnsi="Century Schoolbook"/>
          <w:sz w:val="26"/>
          <w:szCs w:val="22"/>
        </w:rPr>
        <w:t xml:space="preserve"> solicitous of the initiative power.  Petitioners urge</w:t>
      </w:r>
      <w:r w:rsidR="008D4ED0">
        <w:rPr>
          <w:rFonts w:ascii="Century Schoolbook" w:eastAsia="Calibri" w:hAnsi="Century Schoolbook"/>
          <w:sz w:val="26"/>
          <w:szCs w:val="22"/>
        </w:rPr>
        <w:t>d at oral argument</w:t>
      </w:r>
      <w:r>
        <w:rPr>
          <w:rFonts w:ascii="Century Schoolbook" w:eastAsia="Calibri" w:hAnsi="Century Schoolbook"/>
          <w:sz w:val="26"/>
          <w:szCs w:val="22"/>
        </w:rPr>
        <w:t xml:space="preserve"> that Senate Bill 10’s mechanism for achieving this effect constitutes a greater affront to the “status” of the local initiative power than the hypothetical </w:t>
      </w:r>
      <w:r w:rsidR="003A2CE0">
        <w:rPr>
          <w:rFonts w:ascii="Century Schoolbook" w:eastAsia="Calibri" w:hAnsi="Century Schoolbook"/>
          <w:sz w:val="26"/>
          <w:szCs w:val="22"/>
        </w:rPr>
        <w:t>law</w:t>
      </w:r>
      <w:r>
        <w:rPr>
          <w:rFonts w:ascii="Century Schoolbook" w:eastAsia="Calibri" w:hAnsi="Century Schoolbook"/>
          <w:sz w:val="26"/>
          <w:szCs w:val="22"/>
        </w:rPr>
        <w:t>, but we decline to invalidate a statute based on its affront to the status of the initiative power when its net effect is less offensive to that power than other mechanisms posing an allegedly lesser affront.</w:t>
      </w:r>
    </w:p>
    <w:p w:rsidR="004B2AB7" w:rsidP="00D77739" w14:paraId="4E8C556A" w14:textId="03C791E2">
      <w:pPr>
        <w:spacing w:line="288" w:lineRule="auto"/>
        <w:rPr>
          <w:rFonts w:ascii="Century Schoolbook" w:eastAsia="Calibri" w:hAnsi="Century Schoolbook"/>
          <w:sz w:val="26"/>
          <w:szCs w:val="22"/>
        </w:rPr>
      </w:pPr>
      <w:r>
        <w:rPr>
          <w:rFonts w:ascii="Century Schoolbook" w:eastAsia="Calibri" w:hAnsi="Century Schoolbook"/>
          <w:sz w:val="26"/>
          <w:szCs w:val="22"/>
        </w:rPr>
        <w:tab/>
        <w:t>Petitioners offer four arguments in response.</w:t>
      </w:r>
    </w:p>
    <w:p w:rsidR="004B2AB7" w:rsidP="00D77739" w14:paraId="41224F68" w14:textId="620284FA">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First, they argue that neither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 xml:space="preserve">Seven Thousand </w:t>
      </w:r>
      <w:r w:rsidR="00612F98">
        <w:rPr>
          <w:rFonts w:ascii="Century Schoolbook" w:eastAsia="Calibri" w:hAnsi="Century Schoolbook"/>
          <w:sz w:val="26"/>
          <w:szCs w:val="22"/>
        </w:rPr>
        <w:t>nor</w:t>
      </w:r>
      <w:r>
        <w:rPr>
          <w:rFonts w:ascii="Century Schoolbook" w:eastAsia="Calibri" w:hAnsi="Century Schoolbook"/>
          <w:sz w:val="26"/>
          <w:szCs w:val="22"/>
        </w:rPr>
        <w:t xml:space="preserve"> </w:t>
      </w:r>
      <w:r>
        <w:rPr>
          <w:rFonts w:ascii="Century Schoolbook" w:eastAsia="Calibri" w:hAnsi="Century Schoolbook"/>
          <w:i/>
          <w:iCs/>
          <w:sz w:val="26"/>
          <w:szCs w:val="22"/>
        </w:rPr>
        <w:t>Von Ra</w:t>
      </w:r>
      <w:r w:rsidR="00AA0B7B">
        <w:rPr>
          <w:rFonts w:ascii="Century Schoolbook" w:eastAsia="Calibri" w:hAnsi="Century Schoolbook"/>
          <w:i/>
          <w:iCs/>
          <w:sz w:val="26"/>
          <w:szCs w:val="22"/>
        </w:rPr>
        <w:t>e</w:t>
      </w:r>
      <w:r>
        <w:rPr>
          <w:rFonts w:ascii="Century Schoolbook" w:eastAsia="Calibri" w:hAnsi="Century Schoolbook"/>
          <w:i/>
          <w:iCs/>
          <w:sz w:val="26"/>
          <w:szCs w:val="22"/>
        </w:rPr>
        <w:t>sfeld</w:t>
      </w:r>
      <w:r>
        <w:rPr>
          <w:rFonts w:ascii="Century Schoolbook" w:eastAsia="Calibri" w:hAnsi="Century Schoolbook"/>
          <w:sz w:val="26"/>
          <w:szCs w:val="22"/>
        </w:rPr>
        <w:t xml:space="preserve"> are directly on point because neither involves a statute like Senate Bill 10, which imbues local legislative bodies with the discretion to invalidate local laws, including those adopted by voter initiative.  We agree, as we have acknowledged above.  But that does not rob </w:t>
      </w:r>
      <w:r w:rsidR="00910D79">
        <w:rPr>
          <w:rFonts w:ascii="Century Schoolbook" w:eastAsia="Calibri" w:hAnsi="Century Schoolbook"/>
          <w:sz w:val="26"/>
          <w:szCs w:val="22"/>
        </w:rPr>
        <w:t>those cases</w:t>
      </w:r>
      <w:r>
        <w:rPr>
          <w:rFonts w:ascii="Century Schoolbook" w:eastAsia="Calibri" w:hAnsi="Century Schoolbook"/>
          <w:sz w:val="26"/>
          <w:szCs w:val="22"/>
        </w:rPr>
        <w:t xml:space="preserve"> of their persuasive force by analogy.  </w:t>
      </w:r>
    </w:p>
    <w:p w:rsidR="00E817E7" w:rsidRPr="00E817E7" w:rsidP="00D77739" w14:paraId="744D19A7" w14:textId="5319805C">
      <w:pPr>
        <w:spacing w:line="288" w:lineRule="auto"/>
        <w:rPr>
          <w:rFonts w:ascii="Century Schoolbook" w:eastAsia="Calibri" w:hAnsi="Century Schoolbook"/>
          <w:sz w:val="26"/>
          <w:szCs w:val="22"/>
        </w:rPr>
      </w:pPr>
      <w:r>
        <w:rPr>
          <w:rFonts w:ascii="Century Schoolbook" w:eastAsia="Calibri" w:hAnsi="Century Schoolbook"/>
          <w:sz w:val="26"/>
          <w:szCs w:val="22"/>
        </w:rPr>
        <w:tab/>
        <w:t>Second, petition</w:t>
      </w:r>
      <w:r w:rsidR="00612F98">
        <w:rPr>
          <w:rFonts w:ascii="Century Schoolbook" w:eastAsia="Calibri" w:hAnsi="Century Schoolbook"/>
          <w:sz w:val="26"/>
          <w:szCs w:val="22"/>
        </w:rPr>
        <w:t>er</w:t>
      </w:r>
      <w:r>
        <w:rPr>
          <w:rFonts w:ascii="Century Schoolbook" w:eastAsia="Calibri" w:hAnsi="Century Schoolbook"/>
          <w:sz w:val="26"/>
          <w:szCs w:val="22"/>
        </w:rPr>
        <w:t xml:space="preserve">s </w:t>
      </w:r>
      <w:r w:rsidR="00612F98">
        <w:rPr>
          <w:rFonts w:ascii="Century Schoolbook" w:eastAsia="Calibri" w:hAnsi="Century Schoolbook"/>
          <w:sz w:val="26"/>
          <w:szCs w:val="22"/>
        </w:rPr>
        <w:t>maintain</w:t>
      </w:r>
      <w:r>
        <w:rPr>
          <w:rFonts w:ascii="Century Schoolbook" w:eastAsia="Calibri" w:hAnsi="Century Schoolbook"/>
          <w:sz w:val="26"/>
          <w:szCs w:val="22"/>
        </w:rPr>
        <w:t xml:space="preserve"> that </w:t>
      </w:r>
      <w:r w:rsidR="00612F98">
        <w:rPr>
          <w:rFonts w:ascii="Century Schoolbook" w:eastAsia="Calibri" w:hAnsi="Century Schoolbook"/>
          <w:sz w:val="26"/>
          <w:szCs w:val="22"/>
        </w:rPr>
        <w:t xml:space="preserve">Senate Bill 10’s grant of discretion is </w:t>
      </w:r>
      <w:r w:rsidR="00612F98">
        <w:rPr>
          <w:rFonts w:ascii="Century Schoolbook" w:eastAsia="Calibri" w:hAnsi="Century Schoolbook"/>
          <w:i/>
          <w:iCs/>
          <w:sz w:val="26"/>
          <w:szCs w:val="22"/>
        </w:rPr>
        <w:t>more</w:t>
      </w:r>
      <w:r w:rsidR="00612F98">
        <w:rPr>
          <w:rFonts w:ascii="Century Schoolbook" w:eastAsia="Calibri" w:hAnsi="Century Schoolbook"/>
          <w:sz w:val="26"/>
          <w:szCs w:val="22"/>
        </w:rPr>
        <w:t xml:space="preserve"> constitutionally offensive</w:t>
      </w:r>
      <w:r w:rsidR="004F3E6E">
        <w:rPr>
          <w:rFonts w:ascii="Century Schoolbook" w:eastAsia="Calibri" w:hAnsi="Century Schoolbook"/>
          <w:sz w:val="26"/>
          <w:szCs w:val="22"/>
        </w:rPr>
        <w:t xml:space="preserve"> than an outright ban</w:t>
      </w:r>
      <w:r w:rsidR="00612F98">
        <w:rPr>
          <w:rFonts w:ascii="Century Schoolbook" w:eastAsia="Calibri" w:hAnsi="Century Schoolbook"/>
          <w:sz w:val="26"/>
          <w:szCs w:val="22"/>
        </w:rPr>
        <w:t xml:space="preserve"> because </w:t>
      </w:r>
      <w:r w:rsidR="004F3E6E">
        <w:rPr>
          <w:rFonts w:ascii="Century Schoolbook" w:eastAsia="Calibri" w:hAnsi="Century Schoolbook"/>
          <w:sz w:val="26"/>
          <w:szCs w:val="22"/>
        </w:rPr>
        <w:t>discretion</w:t>
      </w:r>
      <w:r w:rsidR="00612F98">
        <w:rPr>
          <w:rFonts w:ascii="Century Schoolbook" w:eastAsia="Calibri" w:hAnsi="Century Schoolbook"/>
          <w:sz w:val="26"/>
          <w:szCs w:val="22"/>
        </w:rPr>
        <w:t xml:space="preserve"> effective</w:t>
      </w:r>
      <w:r w:rsidR="004F3E6E">
        <w:rPr>
          <w:rFonts w:ascii="Century Schoolbook" w:eastAsia="Calibri" w:hAnsi="Century Schoolbook"/>
          <w:sz w:val="26"/>
          <w:szCs w:val="22"/>
        </w:rPr>
        <w:t>ly</w:t>
      </w:r>
      <w:r w:rsidR="00612F98">
        <w:rPr>
          <w:rFonts w:ascii="Century Schoolbook" w:eastAsia="Calibri" w:hAnsi="Century Schoolbook"/>
          <w:sz w:val="26"/>
          <w:szCs w:val="22"/>
        </w:rPr>
        <w:t xml:space="preserve"> pits the local legislative body against the local voters, and the </w:t>
      </w:r>
      <w:r w:rsidR="004F3E6E">
        <w:rPr>
          <w:rFonts w:ascii="Century Schoolbook" w:eastAsia="Calibri" w:hAnsi="Century Schoolbook"/>
          <w:sz w:val="26"/>
          <w:szCs w:val="22"/>
        </w:rPr>
        <w:t xml:space="preserve">state Constitution dictates that the </w:t>
      </w:r>
      <w:r w:rsidR="00612F98">
        <w:rPr>
          <w:rFonts w:ascii="Century Schoolbook" w:eastAsia="Calibri" w:hAnsi="Century Schoolbook"/>
          <w:sz w:val="26"/>
          <w:szCs w:val="22"/>
        </w:rPr>
        <w:t xml:space="preserve">local voters should prevail in that battle.  </w:t>
      </w:r>
      <w:r w:rsidR="004F3E6E">
        <w:rPr>
          <w:rFonts w:ascii="Century Schoolbook" w:eastAsia="Calibri" w:hAnsi="Century Schoolbook"/>
          <w:sz w:val="26"/>
          <w:szCs w:val="22"/>
        </w:rPr>
        <w:t xml:space="preserve">A local legislative body should be able to invalidate a local voter initiative, petitioners continue in the same vein, only if the Legislature </w:t>
      </w:r>
      <w:r w:rsidR="004F3E6E">
        <w:rPr>
          <w:rFonts w:ascii="Century Schoolbook" w:eastAsia="Calibri" w:hAnsi="Century Schoolbook"/>
          <w:i/>
          <w:iCs/>
          <w:sz w:val="26"/>
          <w:szCs w:val="22"/>
        </w:rPr>
        <w:t>completely</w:t>
      </w:r>
      <w:r w:rsidR="004F3E6E">
        <w:rPr>
          <w:rFonts w:ascii="Century Schoolbook" w:eastAsia="Calibri" w:hAnsi="Century Schoolbook"/>
          <w:sz w:val="26"/>
          <w:szCs w:val="22"/>
        </w:rPr>
        <w:t xml:space="preserve"> </w:t>
      </w:r>
      <w:r w:rsidRPr="004F3E6E" w:rsidR="004F3E6E">
        <w:rPr>
          <w:rFonts w:ascii="Century Schoolbook" w:eastAsia="Calibri" w:hAnsi="Century Schoolbook"/>
          <w:i/>
          <w:iCs/>
          <w:sz w:val="26"/>
          <w:szCs w:val="22"/>
        </w:rPr>
        <w:t>negates</w:t>
      </w:r>
      <w:r w:rsidR="004F3E6E">
        <w:rPr>
          <w:rFonts w:ascii="Century Schoolbook" w:eastAsia="Calibri" w:hAnsi="Century Schoolbook"/>
          <w:sz w:val="26"/>
          <w:szCs w:val="22"/>
        </w:rPr>
        <w:t xml:space="preserve"> the voters’ power to invoke the initiative power and </w:t>
      </w:r>
      <w:r w:rsidR="004F3E6E">
        <w:rPr>
          <w:rFonts w:ascii="Century Schoolbook" w:eastAsia="Calibri" w:hAnsi="Century Schoolbook"/>
          <w:i/>
          <w:iCs/>
          <w:sz w:val="26"/>
          <w:szCs w:val="22"/>
        </w:rPr>
        <w:t>exclusively</w:t>
      </w:r>
      <w:r w:rsidR="004F3E6E">
        <w:rPr>
          <w:rFonts w:ascii="Century Schoolbook" w:eastAsia="Calibri" w:hAnsi="Century Schoolbook"/>
          <w:sz w:val="26"/>
          <w:szCs w:val="22"/>
        </w:rPr>
        <w:t xml:space="preserve"> </w:t>
      </w:r>
      <w:r w:rsidRPr="004F3E6E" w:rsidR="004F3E6E">
        <w:rPr>
          <w:rFonts w:ascii="Century Schoolbook" w:eastAsia="Calibri" w:hAnsi="Century Schoolbook"/>
          <w:i/>
          <w:iCs/>
          <w:sz w:val="26"/>
          <w:szCs w:val="22"/>
        </w:rPr>
        <w:t>delegates</w:t>
      </w:r>
      <w:r w:rsidR="004F3E6E">
        <w:rPr>
          <w:rFonts w:ascii="Century Schoolbook" w:eastAsia="Calibri" w:hAnsi="Century Schoolbook"/>
          <w:sz w:val="26"/>
          <w:szCs w:val="22"/>
        </w:rPr>
        <w:t xml:space="preserve"> the power to legislate to the local legislative body, as the state statute did in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sidR="004F3E6E">
        <w:rPr>
          <w:rFonts w:ascii="Century Schoolbook" w:eastAsia="Calibri" w:hAnsi="Century Schoolbook"/>
          <w:sz w:val="26"/>
          <w:szCs w:val="22"/>
        </w:rPr>
        <w:t>.</w:t>
      </w:r>
      <w:r>
        <w:rPr>
          <w:rStyle w:val="FootnoteReference"/>
          <w:rFonts w:ascii="Century Schoolbook" w:eastAsia="Calibri" w:hAnsi="Century Schoolbook"/>
          <w:b/>
          <w:bCs/>
          <w:szCs w:val="22"/>
        </w:rPr>
        <w:footnoteReference w:id="10"/>
      </w:r>
      <w:r w:rsidR="004F3E6E">
        <w:rPr>
          <w:rFonts w:ascii="Century Schoolbook" w:eastAsia="Calibri" w:hAnsi="Century Schoolbook"/>
          <w:sz w:val="26"/>
          <w:szCs w:val="22"/>
        </w:rPr>
        <w:t xml:space="preserve">  This argument ignores that the local legislat</w:t>
      </w:r>
      <w:r w:rsidR="00C02AF1">
        <w:rPr>
          <w:rFonts w:ascii="Century Schoolbook" w:eastAsia="Calibri" w:hAnsi="Century Schoolbook"/>
          <w:sz w:val="26"/>
          <w:szCs w:val="22"/>
        </w:rPr>
        <w:t>ive bod</w:t>
      </w:r>
      <w:r w:rsidR="009A63FA">
        <w:rPr>
          <w:rFonts w:ascii="Century Schoolbook" w:eastAsia="Calibri" w:hAnsi="Century Schoolbook"/>
          <w:sz w:val="26"/>
          <w:szCs w:val="22"/>
        </w:rPr>
        <w:t>y</w:t>
      </w:r>
      <w:r w:rsidR="004F3E6E">
        <w:rPr>
          <w:rFonts w:ascii="Century Schoolbook" w:eastAsia="Calibri" w:hAnsi="Century Schoolbook"/>
          <w:sz w:val="26"/>
          <w:szCs w:val="22"/>
        </w:rPr>
        <w:t xml:space="preserve"> in this instance is wearing the mantle of state preemptive power, and hence it is </w:t>
      </w:r>
      <w:r w:rsidR="004F3E6E">
        <w:rPr>
          <w:rFonts w:ascii="Century Schoolbook" w:eastAsia="Calibri" w:hAnsi="Century Schoolbook"/>
          <w:i/>
          <w:iCs/>
          <w:sz w:val="26"/>
          <w:szCs w:val="22"/>
        </w:rPr>
        <w:t>not</w:t>
      </w:r>
      <w:r w:rsidR="004F3E6E">
        <w:rPr>
          <w:rFonts w:ascii="Century Schoolbook" w:eastAsia="Calibri" w:hAnsi="Century Schoolbook"/>
          <w:sz w:val="26"/>
          <w:szCs w:val="22"/>
        </w:rPr>
        <w:t xml:space="preserve"> pitting “local” against “local” but rather “state” against “local”—and the Constitution dictates that the state should prevail in </w:t>
      </w:r>
      <w:r w:rsidR="004F3E6E">
        <w:rPr>
          <w:rFonts w:ascii="Century Schoolbook" w:eastAsia="Calibri" w:hAnsi="Century Schoolbook"/>
          <w:i/>
          <w:iCs/>
          <w:sz w:val="26"/>
          <w:szCs w:val="22"/>
        </w:rPr>
        <w:t>that</w:t>
      </w:r>
      <w:r w:rsidR="004F3E6E">
        <w:rPr>
          <w:rFonts w:ascii="Century Schoolbook" w:eastAsia="Calibri" w:hAnsi="Century Schoolbook"/>
          <w:sz w:val="26"/>
          <w:szCs w:val="22"/>
        </w:rPr>
        <w:t xml:space="preserve"> battle.</w:t>
      </w:r>
      <w:r w:rsidR="00474D70">
        <w:rPr>
          <w:rFonts w:ascii="Century Schoolbook" w:eastAsia="Calibri" w:hAnsi="Century Schoolbook"/>
          <w:sz w:val="26"/>
          <w:szCs w:val="22"/>
        </w:rPr>
        <w:t xml:space="preserve">  And we have already explained why</w:t>
      </w:r>
      <w:r>
        <w:rPr>
          <w:rFonts w:ascii="Century Schoolbook" w:eastAsia="Calibri" w:hAnsi="Century Schoolbook"/>
          <w:sz w:val="26"/>
          <w:szCs w:val="22"/>
        </w:rPr>
        <w:t xml:space="preserve">, in our view, it makes no sense to condemn Senate Bill 10 as an unconstitutional violation of the initiative power merely because it takes the lesser step of not </w:t>
      </w:r>
      <w:r>
        <w:rPr>
          <w:rFonts w:ascii="Century Schoolbook" w:eastAsia="Calibri" w:hAnsi="Century Schoolbook"/>
          <w:i/>
          <w:iCs/>
          <w:sz w:val="26"/>
          <w:szCs w:val="22"/>
        </w:rPr>
        <w:t>completely</w:t>
      </w:r>
      <w:r>
        <w:rPr>
          <w:rFonts w:ascii="Century Schoolbook" w:eastAsia="Calibri" w:hAnsi="Century Schoolbook"/>
          <w:sz w:val="26"/>
          <w:szCs w:val="22"/>
        </w:rPr>
        <w:t xml:space="preserve"> depriving local voters of that power (as did the statute in </w:t>
      </w:r>
      <w:r w:rsidRPr="004375DA" w:rsidR="00EA6CC6">
        <w:rPr>
          <w:rFonts w:ascii="Century Schoolbook" w:eastAsia="Calibri" w:hAnsi="Century Schoolbook"/>
          <w:i/>
          <w:iCs/>
          <w:sz w:val="26"/>
          <w:szCs w:val="22"/>
        </w:rPr>
        <w:t>Committee of</w:t>
      </w:r>
      <w:r w:rsidR="00EA6CC6">
        <w:rPr>
          <w:rFonts w:ascii="Century Schoolbook" w:eastAsia="Calibri" w:hAnsi="Century Schoolbook"/>
          <w:i/>
          <w:iCs/>
          <w:sz w:val="26"/>
          <w:szCs w:val="22"/>
        </w:rPr>
        <w:t xml:space="preserve"> </w:t>
      </w:r>
      <w:r w:rsidR="00346478">
        <w:rPr>
          <w:rFonts w:ascii="Century Schoolbook" w:eastAsia="Calibri" w:hAnsi="Century Schoolbook"/>
          <w:i/>
          <w:iCs/>
          <w:sz w:val="26"/>
          <w:szCs w:val="22"/>
        </w:rPr>
        <w:t>Seven Thousand</w:t>
      </w:r>
      <w:r>
        <w:rPr>
          <w:rFonts w:ascii="Century Schoolbook" w:eastAsia="Calibri" w:hAnsi="Century Schoolbook"/>
          <w:sz w:val="26"/>
          <w:szCs w:val="22"/>
        </w:rPr>
        <w:t>).</w:t>
      </w:r>
    </w:p>
    <w:p w:rsidR="00766F3A" w:rsidP="00D77739" w14:paraId="1A669A17" w14:textId="529EF861">
      <w:pPr>
        <w:spacing w:line="288" w:lineRule="auto"/>
        <w:rPr>
          <w:rFonts w:ascii="Century Schoolbook" w:eastAsia="Calibri" w:hAnsi="Century Schoolbook"/>
          <w:sz w:val="26"/>
          <w:szCs w:val="22"/>
        </w:rPr>
      </w:pPr>
      <w:r>
        <w:rPr>
          <w:rFonts w:ascii="Century Schoolbook" w:eastAsia="Calibri" w:hAnsi="Century Schoolbook"/>
          <w:sz w:val="26"/>
          <w:szCs w:val="22"/>
        </w:rPr>
        <w:tab/>
        <w:t xml:space="preserve">Third, petitioners assert that upholding Senate Bill 10 will pave the path to the invalidation of all local </w:t>
      </w:r>
      <w:r w:rsidR="00E817E7">
        <w:rPr>
          <w:rFonts w:ascii="Century Schoolbook" w:eastAsia="Calibri" w:hAnsi="Century Schoolbook"/>
          <w:sz w:val="26"/>
          <w:szCs w:val="22"/>
        </w:rPr>
        <w:t xml:space="preserve">voter </w:t>
      </w:r>
      <w:r>
        <w:rPr>
          <w:rFonts w:ascii="Century Schoolbook" w:eastAsia="Calibri" w:hAnsi="Century Schoolbook"/>
          <w:sz w:val="26"/>
          <w:szCs w:val="22"/>
        </w:rPr>
        <w:t>initiatives.  Given the gamut of constitutional analysis that a state statute affecting local initiatives must run—as this opinion vividly illustrates—we disagree that the proverbial sky is falling.</w:t>
      </w:r>
    </w:p>
    <w:p w:rsidR="0048579F" w:rsidP="00D77739" w14:paraId="34966FC9" w14:textId="63292977">
      <w:pPr>
        <w:spacing w:line="288" w:lineRule="auto"/>
        <w:rPr>
          <w:rFonts w:ascii="Century Schoolbook" w:eastAsia="Calibri" w:hAnsi="Century Schoolbook"/>
          <w:sz w:val="26"/>
          <w:szCs w:val="22"/>
        </w:rPr>
      </w:pPr>
      <w:r>
        <w:rPr>
          <w:rFonts w:ascii="Century Schoolbook" w:eastAsia="Calibri" w:hAnsi="Century Schoolbook"/>
          <w:sz w:val="26"/>
          <w:szCs w:val="22"/>
        </w:rPr>
        <w:tab/>
        <w:t>Fourth and lastly, petitioners argue that granting local legislative bodies the discretion to supersede voter initiatives setting caps on housing density will lead to poorer decisionmaking on a parcel-by-parcel basis because elected legislative bodies are more likely to be captured by local politics</w:t>
      </w:r>
      <w:r w:rsidR="00A272FE">
        <w:rPr>
          <w:rFonts w:ascii="Century Schoolbook" w:eastAsia="Calibri" w:hAnsi="Century Schoolbook"/>
          <w:sz w:val="26"/>
          <w:szCs w:val="22"/>
        </w:rPr>
        <w:t xml:space="preserve"> than the electorate as a whole</w:t>
      </w:r>
      <w:r>
        <w:rPr>
          <w:rFonts w:ascii="Century Schoolbook" w:eastAsia="Calibri" w:hAnsi="Century Schoolbook"/>
          <w:sz w:val="26"/>
          <w:szCs w:val="22"/>
        </w:rPr>
        <w:t>.  Petitioners remind us that the</w:t>
      </w:r>
      <w:r w:rsidR="007462E7">
        <w:rPr>
          <w:rFonts w:ascii="Century Schoolbook" w:eastAsia="Calibri" w:hAnsi="Century Schoolbook"/>
          <w:sz w:val="26"/>
          <w:szCs w:val="22"/>
        </w:rPr>
        <w:t xml:space="preserve"> very purpose of the</w:t>
      </w:r>
      <w:r>
        <w:rPr>
          <w:rFonts w:ascii="Century Schoolbook" w:eastAsia="Calibri" w:hAnsi="Century Schoolbook"/>
          <w:sz w:val="26"/>
          <w:szCs w:val="22"/>
        </w:rPr>
        <w:t xml:space="preserve"> voter initiative power</w:t>
      </w:r>
      <w:r w:rsidR="007462E7">
        <w:rPr>
          <w:rFonts w:ascii="Century Schoolbook" w:eastAsia="Calibri" w:hAnsi="Century Schoolbook"/>
          <w:sz w:val="26"/>
          <w:szCs w:val="22"/>
        </w:rPr>
        <w:t xml:space="preserve"> is to </w:t>
      </w:r>
      <w:r>
        <w:rPr>
          <w:rFonts w:ascii="Century Schoolbook" w:eastAsia="Calibri" w:hAnsi="Century Schoolbook"/>
          <w:sz w:val="26"/>
          <w:szCs w:val="22"/>
        </w:rPr>
        <w:t xml:space="preserve">blunt the </w:t>
      </w:r>
      <w:r w:rsidR="007462E7">
        <w:rPr>
          <w:rFonts w:ascii="Century Schoolbook" w:eastAsia="Calibri" w:hAnsi="Century Schoolbook"/>
          <w:sz w:val="26"/>
          <w:szCs w:val="22"/>
        </w:rPr>
        <w:t>impact</w:t>
      </w:r>
      <w:r>
        <w:rPr>
          <w:rFonts w:ascii="Century Schoolbook" w:eastAsia="Calibri" w:hAnsi="Century Schoolbook"/>
          <w:sz w:val="26"/>
          <w:szCs w:val="22"/>
        </w:rPr>
        <w:t xml:space="preserve"> of </w:t>
      </w:r>
      <w:r w:rsidR="007462E7">
        <w:rPr>
          <w:rFonts w:ascii="Century Schoolbook" w:eastAsia="Calibri" w:hAnsi="Century Schoolbook"/>
          <w:sz w:val="26"/>
          <w:szCs w:val="22"/>
        </w:rPr>
        <w:t>elected politicians being “hostile” toward the will of the voters.  (</w:t>
      </w:r>
      <w:r w:rsidR="007462E7">
        <w:rPr>
          <w:rFonts w:ascii="Century Schoolbook" w:eastAsia="Calibri" w:hAnsi="Century Schoolbook"/>
          <w:i/>
          <w:iCs/>
          <w:sz w:val="26"/>
          <w:szCs w:val="22"/>
        </w:rPr>
        <w:t>DeVita</w:t>
      </w:r>
      <w:r w:rsidRPr="008722BB" w:rsidR="007462E7">
        <w:rPr>
          <w:rFonts w:ascii="Century Schoolbook" w:eastAsia="Calibri" w:hAnsi="Century Schoolbook"/>
          <w:sz w:val="26"/>
          <w:szCs w:val="22"/>
        </w:rPr>
        <w:t>,</w:t>
      </w:r>
      <w:r w:rsidR="007462E7">
        <w:rPr>
          <w:rFonts w:ascii="Century Schoolbook" w:eastAsia="Calibri" w:hAnsi="Century Schoolbook"/>
          <w:i/>
          <w:iCs/>
          <w:sz w:val="26"/>
          <w:szCs w:val="22"/>
        </w:rPr>
        <w:t xml:space="preserve"> </w:t>
      </w:r>
      <w:r w:rsidRPr="007462E7" w:rsidR="007462E7">
        <w:rPr>
          <w:rFonts w:ascii="Century Schoolbook" w:eastAsia="Calibri" w:hAnsi="Century Schoolbook"/>
          <w:sz w:val="26"/>
          <w:szCs w:val="22"/>
        </w:rPr>
        <w:t>supra</w:t>
      </w:r>
      <w:r w:rsidR="007462E7">
        <w:rPr>
          <w:rFonts w:ascii="Century Schoolbook" w:eastAsia="Calibri" w:hAnsi="Century Schoolbook"/>
          <w:sz w:val="26"/>
          <w:szCs w:val="22"/>
        </w:rPr>
        <w:t xml:space="preserve">, 9 Cal.4th at p. 788.)  These are viable policy reasons why enacting a statute like Senate Bill 10 might be ill advised, but it is not a reason to declare it facially unconstitutional.  </w:t>
      </w:r>
      <w:r w:rsidR="00C004BA">
        <w:rPr>
          <w:rFonts w:ascii="Century Schoolbook" w:eastAsia="Calibri" w:hAnsi="Century Schoolbook"/>
          <w:sz w:val="26"/>
          <w:szCs w:val="22"/>
        </w:rPr>
        <w:t>(</w:t>
      </w:r>
      <w:r w:rsidR="00C004BA">
        <w:rPr>
          <w:rFonts w:ascii="Century Schoolbook" w:eastAsia="Calibri" w:hAnsi="Century Schoolbook"/>
          <w:i/>
          <w:iCs/>
          <w:sz w:val="26"/>
          <w:szCs w:val="22"/>
        </w:rPr>
        <w:t>Marin Healthcare Dist.</w:t>
      </w:r>
      <w:r w:rsidR="00153625">
        <w:rPr>
          <w:rFonts w:ascii="Century Schoolbook" w:eastAsia="Calibri" w:hAnsi="Century Schoolbook"/>
          <w:i/>
          <w:iCs/>
          <w:sz w:val="26"/>
          <w:szCs w:val="22"/>
        </w:rPr>
        <w:t xml:space="preserve"> v. Sutter Health</w:t>
      </w:r>
      <w:r w:rsidR="00C004BA">
        <w:rPr>
          <w:rFonts w:ascii="Century Schoolbook" w:eastAsia="Calibri" w:hAnsi="Century Schoolbook"/>
          <w:i/>
          <w:iCs/>
          <w:sz w:val="26"/>
          <w:szCs w:val="22"/>
        </w:rPr>
        <w:t xml:space="preserve"> </w:t>
      </w:r>
      <w:r w:rsidR="00C004BA">
        <w:rPr>
          <w:rFonts w:ascii="Century Schoolbook" w:eastAsia="Calibri" w:hAnsi="Century Schoolbook"/>
          <w:sz w:val="26"/>
          <w:szCs w:val="22"/>
        </w:rPr>
        <w:t>(</w:t>
      </w:r>
      <w:r w:rsidR="00153625">
        <w:rPr>
          <w:rFonts w:ascii="Century Schoolbook" w:eastAsia="Calibri" w:hAnsi="Century Schoolbook"/>
          <w:sz w:val="26"/>
          <w:szCs w:val="22"/>
        </w:rPr>
        <w:t>2002</w:t>
      </w:r>
      <w:r w:rsidR="00C004BA">
        <w:rPr>
          <w:rFonts w:ascii="Century Schoolbook" w:eastAsia="Calibri" w:hAnsi="Century Schoolbook"/>
          <w:sz w:val="26"/>
          <w:szCs w:val="22"/>
        </w:rPr>
        <w:t xml:space="preserve">) 103 Cal.App.4th </w:t>
      </w:r>
      <w:r w:rsidR="00153625">
        <w:rPr>
          <w:rFonts w:ascii="Century Schoolbook" w:eastAsia="Calibri" w:hAnsi="Century Schoolbook"/>
          <w:sz w:val="26"/>
          <w:szCs w:val="22"/>
        </w:rPr>
        <w:t>861</w:t>
      </w:r>
      <w:r w:rsidR="00C004BA">
        <w:rPr>
          <w:rFonts w:ascii="Century Schoolbook" w:eastAsia="Calibri" w:hAnsi="Century Schoolbook"/>
          <w:sz w:val="26"/>
          <w:szCs w:val="22"/>
        </w:rPr>
        <w:t>, 8</w:t>
      </w:r>
      <w:r w:rsidR="00153625">
        <w:rPr>
          <w:rFonts w:ascii="Century Schoolbook" w:eastAsia="Calibri" w:hAnsi="Century Schoolbook"/>
          <w:sz w:val="26"/>
          <w:szCs w:val="22"/>
        </w:rPr>
        <w:t>72</w:t>
      </w:r>
      <w:r w:rsidR="00C004BA">
        <w:rPr>
          <w:rFonts w:ascii="Century Schoolbook" w:eastAsia="Calibri" w:hAnsi="Century Schoolbook"/>
          <w:sz w:val="26"/>
          <w:szCs w:val="22"/>
        </w:rPr>
        <w:t xml:space="preserve"> [“as a court, we must defer to the Legislature’s </w:t>
      </w:r>
      <w:r w:rsidR="00153625">
        <w:rPr>
          <w:rFonts w:ascii="Century Schoolbook" w:eastAsia="Calibri" w:hAnsi="Century Schoolbook"/>
          <w:sz w:val="26"/>
          <w:szCs w:val="22"/>
        </w:rPr>
        <w:t>judgment</w:t>
      </w:r>
      <w:r w:rsidR="00C004BA">
        <w:rPr>
          <w:rFonts w:ascii="Century Schoolbook" w:eastAsia="Calibri" w:hAnsi="Century Schoolbook"/>
          <w:sz w:val="26"/>
          <w:szCs w:val="22"/>
        </w:rPr>
        <w:t xml:space="preserve"> on which . . . policies to adopt”].)  </w:t>
      </w:r>
      <w:r w:rsidR="007462E7">
        <w:rPr>
          <w:rFonts w:ascii="Century Schoolbook" w:eastAsia="Calibri" w:hAnsi="Century Schoolbook"/>
          <w:sz w:val="26"/>
          <w:szCs w:val="22"/>
        </w:rPr>
        <w:t xml:space="preserve">Indeed, the Legislature ostensibly had these very same policy concerns in mind when it fixed a higher threshold for superseding initiative-based housing density caps than for superseding caps enacted by the local legislative body.  And to the extent a local legislative body’s decision with respect to a specific parcel is ill advised, the parties aggrieved by that decision can seek </w:t>
      </w:r>
      <w:r w:rsidR="001C0FF0">
        <w:rPr>
          <w:rFonts w:ascii="Century Schoolbook" w:eastAsia="Calibri" w:hAnsi="Century Schoolbook"/>
          <w:sz w:val="26"/>
          <w:szCs w:val="22"/>
        </w:rPr>
        <w:t>administrative and judicial review; but</w:t>
      </w:r>
      <w:r w:rsidR="00A272FE">
        <w:rPr>
          <w:rFonts w:ascii="Century Schoolbook" w:eastAsia="Calibri" w:hAnsi="Century Schoolbook"/>
          <w:sz w:val="26"/>
          <w:szCs w:val="22"/>
        </w:rPr>
        <w:t>, as noted above,</w:t>
      </w:r>
      <w:r w:rsidR="001C0FF0">
        <w:rPr>
          <w:rFonts w:ascii="Century Schoolbook" w:eastAsia="Calibri" w:hAnsi="Century Schoolbook"/>
          <w:sz w:val="26"/>
          <w:szCs w:val="22"/>
        </w:rPr>
        <w:t xml:space="preserve"> the possibility that a local legislative body might abuse its discretion in specific zoning decisions in the future is not </w:t>
      </w:r>
      <w:r w:rsidR="00AE2039">
        <w:rPr>
          <w:rFonts w:ascii="Century Schoolbook" w:eastAsia="Calibri" w:hAnsi="Century Schoolbook"/>
          <w:sz w:val="26"/>
          <w:szCs w:val="22"/>
        </w:rPr>
        <w:t xml:space="preserve">a </w:t>
      </w:r>
      <w:r w:rsidR="001C0FF0">
        <w:rPr>
          <w:rFonts w:ascii="Century Schoolbook" w:eastAsia="Calibri" w:hAnsi="Century Schoolbook"/>
          <w:sz w:val="26"/>
          <w:szCs w:val="22"/>
        </w:rPr>
        <w:t>ripe</w:t>
      </w:r>
      <w:r w:rsidR="00AE2039">
        <w:rPr>
          <w:rFonts w:ascii="Century Schoolbook" w:eastAsia="Calibri" w:hAnsi="Century Schoolbook"/>
          <w:sz w:val="26"/>
          <w:szCs w:val="22"/>
        </w:rPr>
        <w:t xml:space="preserve"> challenge</w:t>
      </w:r>
      <w:r w:rsidR="001C0FF0">
        <w:rPr>
          <w:rFonts w:ascii="Century Schoolbook" w:eastAsia="Calibri" w:hAnsi="Century Schoolbook"/>
          <w:sz w:val="26"/>
          <w:szCs w:val="22"/>
        </w:rPr>
        <w:t xml:space="preserve"> </w:t>
      </w:r>
      <w:r w:rsidR="001C0FF0">
        <w:rPr>
          <w:rFonts w:ascii="Century Schoolbook" w:eastAsia="Calibri" w:hAnsi="Century Schoolbook"/>
          <w:i/>
          <w:iCs/>
          <w:sz w:val="26"/>
          <w:szCs w:val="22"/>
        </w:rPr>
        <w:t>today</w:t>
      </w:r>
      <w:r w:rsidR="001C0FF0">
        <w:rPr>
          <w:rFonts w:ascii="Century Schoolbook" w:eastAsia="Calibri" w:hAnsi="Century Schoolbook"/>
          <w:sz w:val="26"/>
          <w:szCs w:val="22"/>
        </w:rPr>
        <w:t xml:space="preserve"> and </w:t>
      </w:r>
      <w:r w:rsidR="00AE2039">
        <w:rPr>
          <w:rFonts w:ascii="Century Schoolbook" w:eastAsia="Calibri" w:hAnsi="Century Schoolbook"/>
          <w:sz w:val="26"/>
          <w:szCs w:val="22"/>
        </w:rPr>
        <w:t xml:space="preserve">also provides </w:t>
      </w:r>
      <w:r w:rsidR="001C0FF0">
        <w:rPr>
          <w:rFonts w:ascii="Century Schoolbook" w:eastAsia="Calibri" w:hAnsi="Century Schoolbook"/>
          <w:sz w:val="26"/>
          <w:szCs w:val="22"/>
        </w:rPr>
        <w:t>no basis for striking down Senate Bill 10 on its face.  (</w:t>
      </w:r>
      <w:r w:rsidR="001C0FF0">
        <w:rPr>
          <w:rFonts w:ascii="Century Schoolbook" w:eastAsia="Calibri" w:hAnsi="Century Schoolbook"/>
          <w:i/>
          <w:iCs/>
          <w:sz w:val="26"/>
          <w:szCs w:val="22"/>
        </w:rPr>
        <w:t>Salerno</w:t>
      </w:r>
      <w:r w:rsidRPr="008722BB" w:rsidR="001C0FF0">
        <w:rPr>
          <w:rFonts w:ascii="Century Schoolbook" w:eastAsia="Calibri" w:hAnsi="Century Schoolbook"/>
          <w:sz w:val="26"/>
          <w:szCs w:val="22"/>
        </w:rPr>
        <w:t xml:space="preserve">, </w:t>
      </w:r>
      <w:r w:rsidR="001C0FF0">
        <w:rPr>
          <w:rFonts w:ascii="Century Schoolbook" w:eastAsia="Calibri" w:hAnsi="Century Schoolbook"/>
          <w:i/>
          <w:iCs/>
          <w:sz w:val="26"/>
          <w:szCs w:val="22"/>
        </w:rPr>
        <w:t>supra</w:t>
      </w:r>
      <w:r w:rsidR="001C0FF0">
        <w:rPr>
          <w:rFonts w:ascii="Century Schoolbook" w:eastAsia="Calibri" w:hAnsi="Century Schoolbook"/>
          <w:sz w:val="26"/>
          <w:szCs w:val="22"/>
        </w:rPr>
        <w:t>, 481 U.S. at p. 745.)</w:t>
      </w:r>
    </w:p>
    <w:p w:rsidR="000A35F3" w:rsidRPr="00B4093F" w:rsidP="00D77739" w14:paraId="578283CE" w14:textId="068F6A48">
      <w:pPr>
        <w:spacing w:line="288" w:lineRule="auto"/>
        <w:rPr>
          <w:rFonts w:ascii="Century Schoolbook" w:eastAsia="Calibri" w:hAnsi="Century Schoolbook"/>
          <w:sz w:val="26"/>
          <w:szCs w:val="22"/>
        </w:rPr>
      </w:pPr>
      <w:r w:rsidRPr="008722BB">
        <w:rPr>
          <w:rFonts w:ascii="Century Schoolbook" w:eastAsia="Calibri" w:hAnsi="Century Schoolbook"/>
          <w:b/>
          <w:bCs/>
          <w:sz w:val="26"/>
          <w:szCs w:val="22"/>
        </w:rPr>
        <w:t>IV.</w:t>
      </w:r>
      <w:r w:rsidRPr="00B4093F" w:rsidR="0048579F">
        <w:rPr>
          <w:rFonts w:ascii="Century Schoolbook" w:eastAsia="Calibri" w:hAnsi="Century Schoolbook"/>
          <w:sz w:val="26"/>
          <w:szCs w:val="22"/>
        </w:rPr>
        <w:tab/>
      </w:r>
      <w:r w:rsidRPr="008722BB" w:rsidR="0048579F">
        <w:rPr>
          <w:rFonts w:ascii="Century Schoolbook" w:eastAsia="Calibri" w:hAnsi="Century Schoolbook"/>
          <w:b/>
          <w:bCs/>
          <w:sz w:val="26"/>
          <w:szCs w:val="22"/>
        </w:rPr>
        <w:t xml:space="preserve">Do </w:t>
      </w:r>
      <w:r>
        <w:rPr>
          <w:rFonts w:ascii="Century Schoolbook" w:eastAsia="Calibri" w:hAnsi="Century Schoolbook"/>
          <w:b/>
          <w:bCs/>
          <w:sz w:val="26"/>
          <w:szCs w:val="22"/>
        </w:rPr>
        <w:t>E</w:t>
      </w:r>
      <w:r w:rsidRPr="008722BB" w:rsidR="0048579F">
        <w:rPr>
          <w:rFonts w:ascii="Century Schoolbook" w:eastAsia="Calibri" w:hAnsi="Century Schoolbook"/>
          <w:b/>
          <w:bCs/>
          <w:sz w:val="26"/>
          <w:szCs w:val="22"/>
        </w:rPr>
        <w:t xml:space="preserve">arlier </w:t>
      </w:r>
      <w:r>
        <w:rPr>
          <w:rFonts w:ascii="Century Schoolbook" w:eastAsia="Calibri" w:hAnsi="Century Schoolbook"/>
          <w:b/>
          <w:bCs/>
          <w:sz w:val="26"/>
          <w:szCs w:val="22"/>
        </w:rPr>
        <w:t>E</w:t>
      </w:r>
      <w:r w:rsidRPr="008722BB" w:rsidR="0048579F">
        <w:rPr>
          <w:rFonts w:ascii="Century Schoolbook" w:eastAsia="Calibri" w:hAnsi="Century Schoolbook"/>
          <w:b/>
          <w:bCs/>
          <w:sz w:val="26"/>
          <w:szCs w:val="22"/>
        </w:rPr>
        <w:t xml:space="preserve">nacted </w:t>
      </w:r>
      <w:r>
        <w:rPr>
          <w:rFonts w:ascii="Century Schoolbook" w:eastAsia="Calibri" w:hAnsi="Century Schoolbook"/>
          <w:b/>
          <w:bCs/>
          <w:sz w:val="26"/>
          <w:szCs w:val="22"/>
        </w:rPr>
        <w:t>V</w:t>
      </w:r>
      <w:r w:rsidRPr="008722BB" w:rsidR="0048579F">
        <w:rPr>
          <w:rFonts w:ascii="Century Schoolbook" w:eastAsia="Calibri" w:hAnsi="Century Schoolbook"/>
          <w:b/>
          <w:bCs/>
          <w:sz w:val="26"/>
          <w:szCs w:val="22"/>
        </w:rPr>
        <w:t xml:space="preserve">oter </w:t>
      </w:r>
      <w:r>
        <w:rPr>
          <w:rFonts w:ascii="Century Schoolbook" w:eastAsia="Calibri" w:hAnsi="Century Schoolbook"/>
          <w:b/>
          <w:bCs/>
          <w:sz w:val="26"/>
          <w:szCs w:val="22"/>
        </w:rPr>
        <w:t>I</w:t>
      </w:r>
      <w:r w:rsidRPr="008722BB" w:rsidR="0048579F">
        <w:rPr>
          <w:rFonts w:ascii="Century Schoolbook" w:eastAsia="Calibri" w:hAnsi="Century Schoolbook"/>
          <w:b/>
          <w:bCs/>
          <w:sz w:val="26"/>
          <w:szCs w:val="22"/>
        </w:rPr>
        <w:t xml:space="preserve">nitiatives </w:t>
      </w:r>
      <w:r>
        <w:rPr>
          <w:rFonts w:ascii="Century Schoolbook" w:eastAsia="Calibri" w:hAnsi="Century Schoolbook"/>
          <w:b/>
          <w:bCs/>
          <w:sz w:val="26"/>
          <w:szCs w:val="22"/>
        </w:rPr>
        <w:t>C</w:t>
      </w:r>
      <w:r w:rsidRPr="008722BB" w:rsidR="0048579F">
        <w:rPr>
          <w:rFonts w:ascii="Century Schoolbook" w:eastAsia="Calibri" w:hAnsi="Century Schoolbook"/>
          <w:b/>
          <w:bCs/>
          <w:sz w:val="26"/>
          <w:szCs w:val="22"/>
        </w:rPr>
        <w:t xml:space="preserve">onstitute a </w:t>
      </w:r>
      <w:r>
        <w:rPr>
          <w:rFonts w:ascii="Century Schoolbook" w:eastAsia="Calibri" w:hAnsi="Century Schoolbook"/>
          <w:b/>
          <w:bCs/>
          <w:sz w:val="26"/>
          <w:szCs w:val="22"/>
        </w:rPr>
        <w:t>P</w:t>
      </w:r>
      <w:r w:rsidRPr="008722BB" w:rsidR="0048579F">
        <w:rPr>
          <w:rFonts w:ascii="Century Schoolbook" w:eastAsia="Calibri" w:hAnsi="Century Schoolbook"/>
          <w:b/>
          <w:bCs/>
          <w:sz w:val="26"/>
          <w:szCs w:val="22"/>
        </w:rPr>
        <w:t xml:space="preserve">reemptive </w:t>
      </w:r>
      <w:r>
        <w:rPr>
          <w:rFonts w:ascii="Century Schoolbook" w:eastAsia="Calibri" w:hAnsi="Century Schoolbook"/>
          <w:b/>
          <w:bCs/>
          <w:sz w:val="26"/>
          <w:szCs w:val="22"/>
        </w:rPr>
        <w:t>E</w:t>
      </w:r>
      <w:r w:rsidRPr="008722BB" w:rsidR="0048579F">
        <w:rPr>
          <w:rFonts w:ascii="Century Schoolbook" w:eastAsia="Calibri" w:hAnsi="Century Schoolbook"/>
          <w:b/>
          <w:bCs/>
          <w:sz w:val="26"/>
          <w:szCs w:val="22"/>
        </w:rPr>
        <w:t xml:space="preserve">xercise of the </w:t>
      </w:r>
      <w:r>
        <w:rPr>
          <w:rFonts w:ascii="Century Schoolbook" w:eastAsia="Calibri" w:hAnsi="Century Schoolbook"/>
          <w:b/>
          <w:bCs/>
          <w:sz w:val="26"/>
          <w:szCs w:val="22"/>
        </w:rPr>
        <w:t>L</w:t>
      </w:r>
      <w:r w:rsidRPr="008722BB" w:rsidR="0048579F">
        <w:rPr>
          <w:rFonts w:ascii="Century Schoolbook" w:eastAsia="Calibri" w:hAnsi="Century Schoolbook"/>
          <w:b/>
          <w:bCs/>
          <w:sz w:val="26"/>
          <w:szCs w:val="22"/>
        </w:rPr>
        <w:t xml:space="preserve">ocal </w:t>
      </w:r>
      <w:r>
        <w:rPr>
          <w:rFonts w:ascii="Century Schoolbook" w:eastAsia="Calibri" w:hAnsi="Century Schoolbook"/>
          <w:b/>
          <w:bCs/>
          <w:sz w:val="26"/>
          <w:szCs w:val="22"/>
        </w:rPr>
        <w:t>L</w:t>
      </w:r>
      <w:r w:rsidRPr="008722BB" w:rsidR="0048579F">
        <w:rPr>
          <w:rFonts w:ascii="Century Schoolbook" w:eastAsia="Calibri" w:hAnsi="Century Schoolbook"/>
          <w:b/>
          <w:bCs/>
          <w:sz w:val="26"/>
          <w:szCs w:val="22"/>
        </w:rPr>
        <w:t xml:space="preserve">egislative </w:t>
      </w:r>
      <w:r>
        <w:rPr>
          <w:rFonts w:ascii="Century Schoolbook" w:eastAsia="Calibri" w:hAnsi="Century Schoolbook"/>
          <w:b/>
          <w:bCs/>
          <w:sz w:val="26"/>
          <w:szCs w:val="22"/>
        </w:rPr>
        <w:t>B</w:t>
      </w:r>
      <w:r w:rsidRPr="008722BB" w:rsidR="0048579F">
        <w:rPr>
          <w:rFonts w:ascii="Century Schoolbook" w:eastAsia="Calibri" w:hAnsi="Century Schoolbook"/>
          <w:b/>
          <w:bCs/>
          <w:sz w:val="26"/>
          <w:szCs w:val="22"/>
        </w:rPr>
        <w:t xml:space="preserve">ody’s </w:t>
      </w:r>
      <w:r>
        <w:rPr>
          <w:rFonts w:ascii="Century Schoolbook" w:eastAsia="Calibri" w:hAnsi="Century Schoolbook"/>
          <w:b/>
          <w:bCs/>
          <w:sz w:val="26"/>
          <w:szCs w:val="22"/>
        </w:rPr>
        <w:t>D</w:t>
      </w:r>
      <w:r w:rsidRPr="008722BB" w:rsidR="0048579F">
        <w:rPr>
          <w:rFonts w:ascii="Century Schoolbook" w:eastAsia="Calibri" w:hAnsi="Century Schoolbook"/>
          <w:b/>
          <w:bCs/>
          <w:sz w:val="26"/>
          <w:szCs w:val="22"/>
        </w:rPr>
        <w:t xml:space="preserve">iscretion </w:t>
      </w:r>
      <w:r>
        <w:rPr>
          <w:rFonts w:ascii="Century Schoolbook" w:eastAsia="Calibri" w:hAnsi="Century Schoolbook"/>
          <w:b/>
          <w:bCs/>
          <w:sz w:val="26"/>
          <w:szCs w:val="22"/>
        </w:rPr>
        <w:t>U</w:t>
      </w:r>
      <w:r w:rsidRPr="008722BB" w:rsidR="0048579F">
        <w:rPr>
          <w:rFonts w:ascii="Century Schoolbook" w:eastAsia="Calibri" w:hAnsi="Century Schoolbook"/>
          <w:b/>
          <w:bCs/>
          <w:sz w:val="26"/>
          <w:szCs w:val="22"/>
        </w:rPr>
        <w:t xml:space="preserve">nder Senate Bill 10, </w:t>
      </w:r>
      <w:r>
        <w:rPr>
          <w:rFonts w:ascii="Century Schoolbook" w:eastAsia="Calibri" w:hAnsi="Century Schoolbook"/>
          <w:b/>
          <w:bCs/>
          <w:sz w:val="26"/>
          <w:szCs w:val="22"/>
        </w:rPr>
        <w:t>S</w:t>
      </w:r>
      <w:r w:rsidRPr="008722BB" w:rsidR="0048579F">
        <w:rPr>
          <w:rFonts w:ascii="Century Schoolbook" w:eastAsia="Calibri" w:hAnsi="Century Schoolbook"/>
          <w:b/>
          <w:bCs/>
          <w:sz w:val="26"/>
          <w:szCs w:val="22"/>
        </w:rPr>
        <w:t xml:space="preserve">uch </w:t>
      </w:r>
      <w:r>
        <w:rPr>
          <w:rFonts w:ascii="Century Schoolbook" w:eastAsia="Calibri" w:hAnsi="Century Schoolbook"/>
          <w:b/>
          <w:bCs/>
          <w:sz w:val="26"/>
          <w:szCs w:val="22"/>
        </w:rPr>
        <w:t>T</w:t>
      </w:r>
      <w:r w:rsidRPr="008722BB" w:rsidR="0048579F">
        <w:rPr>
          <w:rFonts w:ascii="Century Schoolbook" w:eastAsia="Calibri" w:hAnsi="Century Schoolbook"/>
          <w:b/>
          <w:bCs/>
          <w:sz w:val="26"/>
          <w:szCs w:val="22"/>
        </w:rPr>
        <w:t xml:space="preserve">hat the </w:t>
      </w:r>
      <w:r>
        <w:rPr>
          <w:rFonts w:ascii="Century Schoolbook" w:eastAsia="Calibri" w:hAnsi="Century Schoolbook"/>
          <w:b/>
          <w:bCs/>
          <w:sz w:val="26"/>
          <w:szCs w:val="22"/>
        </w:rPr>
        <w:t>B</w:t>
      </w:r>
      <w:r w:rsidRPr="008722BB" w:rsidR="0048579F">
        <w:rPr>
          <w:rFonts w:ascii="Century Schoolbook" w:eastAsia="Calibri" w:hAnsi="Century Schoolbook"/>
          <w:b/>
          <w:bCs/>
          <w:sz w:val="26"/>
          <w:szCs w:val="22"/>
        </w:rPr>
        <w:t xml:space="preserve">ody </w:t>
      </w:r>
      <w:r>
        <w:rPr>
          <w:rFonts w:ascii="Century Schoolbook" w:eastAsia="Calibri" w:hAnsi="Century Schoolbook"/>
          <w:b/>
          <w:bCs/>
          <w:sz w:val="26"/>
          <w:szCs w:val="22"/>
        </w:rPr>
        <w:t>L</w:t>
      </w:r>
      <w:r w:rsidRPr="008722BB" w:rsidR="0048579F">
        <w:rPr>
          <w:rFonts w:ascii="Century Schoolbook" w:eastAsia="Calibri" w:hAnsi="Century Schoolbook"/>
          <w:b/>
          <w:bCs/>
          <w:sz w:val="26"/>
          <w:szCs w:val="22"/>
        </w:rPr>
        <w:t xml:space="preserve">acks the </w:t>
      </w:r>
      <w:r>
        <w:rPr>
          <w:rFonts w:ascii="Century Schoolbook" w:eastAsia="Calibri" w:hAnsi="Century Schoolbook"/>
          <w:b/>
          <w:bCs/>
          <w:sz w:val="26"/>
          <w:szCs w:val="22"/>
        </w:rPr>
        <w:t>P</w:t>
      </w:r>
      <w:r w:rsidRPr="008722BB" w:rsidR="0048579F">
        <w:rPr>
          <w:rFonts w:ascii="Century Schoolbook" w:eastAsia="Calibri" w:hAnsi="Century Schoolbook"/>
          <w:b/>
          <w:bCs/>
          <w:sz w:val="26"/>
          <w:szCs w:val="22"/>
        </w:rPr>
        <w:t xml:space="preserve">ower to </w:t>
      </w:r>
      <w:r>
        <w:rPr>
          <w:rFonts w:ascii="Century Schoolbook" w:eastAsia="Calibri" w:hAnsi="Century Schoolbook"/>
          <w:b/>
          <w:bCs/>
          <w:sz w:val="26"/>
          <w:szCs w:val="22"/>
        </w:rPr>
        <w:t>S</w:t>
      </w:r>
      <w:r w:rsidRPr="008722BB" w:rsidR="0048579F">
        <w:rPr>
          <w:rFonts w:ascii="Century Schoolbook" w:eastAsia="Calibri" w:hAnsi="Century Schoolbook"/>
          <w:b/>
          <w:bCs/>
          <w:sz w:val="26"/>
          <w:szCs w:val="22"/>
        </w:rPr>
        <w:t xml:space="preserve">upersede </w:t>
      </w:r>
      <w:r>
        <w:rPr>
          <w:rFonts w:ascii="Century Schoolbook" w:eastAsia="Calibri" w:hAnsi="Century Schoolbook"/>
          <w:b/>
          <w:bCs/>
          <w:sz w:val="26"/>
          <w:szCs w:val="22"/>
        </w:rPr>
        <w:t>S</w:t>
      </w:r>
      <w:r w:rsidRPr="008722BB" w:rsidR="0048579F">
        <w:rPr>
          <w:rFonts w:ascii="Century Schoolbook" w:eastAsia="Calibri" w:hAnsi="Century Schoolbook"/>
          <w:b/>
          <w:bCs/>
          <w:sz w:val="26"/>
          <w:szCs w:val="22"/>
        </w:rPr>
        <w:t xml:space="preserve">uch </w:t>
      </w:r>
      <w:r>
        <w:rPr>
          <w:rFonts w:ascii="Century Schoolbook" w:eastAsia="Calibri" w:hAnsi="Century Schoolbook"/>
          <w:b/>
          <w:bCs/>
          <w:sz w:val="26"/>
          <w:szCs w:val="22"/>
        </w:rPr>
        <w:t>I</w:t>
      </w:r>
      <w:r w:rsidRPr="008722BB" w:rsidR="0048579F">
        <w:rPr>
          <w:rFonts w:ascii="Century Schoolbook" w:eastAsia="Calibri" w:hAnsi="Century Schoolbook"/>
          <w:b/>
          <w:bCs/>
          <w:sz w:val="26"/>
          <w:szCs w:val="22"/>
        </w:rPr>
        <w:t>nitiatives?</w:t>
      </w:r>
      <w:r w:rsidRPr="008722BB" w:rsidR="0048579F">
        <w:rPr>
          <w:rFonts w:ascii="Century Schoolbook" w:eastAsia="Calibri" w:hAnsi="Century Schoolbook"/>
          <w:b/>
          <w:bCs/>
          <w:sz w:val="26"/>
          <w:szCs w:val="22"/>
        </w:rPr>
        <w:br/>
      </w:r>
      <w:r w:rsidRPr="00B4093F">
        <w:rPr>
          <w:rFonts w:ascii="Century Schoolbook" w:eastAsia="Calibri" w:hAnsi="Century Schoolbook"/>
          <w:sz w:val="26"/>
          <w:szCs w:val="22"/>
        </w:rPr>
        <w:tab/>
      </w:r>
      <w:r w:rsidR="008A468C">
        <w:rPr>
          <w:rFonts w:ascii="Century Schoolbook" w:eastAsia="Calibri" w:hAnsi="Century Schoolbook"/>
          <w:sz w:val="26"/>
          <w:szCs w:val="22"/>
        </w:rPr>
        <w:t xml:space="preserve">Bound up with their constitutional challenge to </w:t>
      </w:r>
      <w:r w:rsidRPr="00B4093F">
        <w:rPr>
          <w:rFonts w:ascii="Century Schoolbook" w:eastAsia="Calibri" w:hAnsi="Century Schoolbook"/>
          <w:sz w:val="26"/>
          <w:szCs w:val="22"/>
        </w:rPr>
        <w:t xml:space="preserve">Senate Bill 10, petitioners assert that the statute does not permit local legislative bodies to supersede voter initiative-based housing density caps that already exist because, in their view, the existing initiative </w:t>
      </w:r>
      <w:r w:rsidRPr="00B4093F" w:rsidR="0073039B">
        <w:rPr>
          <w:rFonts w:ascii="Century Schoolbook" w:eastAsia="Calibri" w:hAnsi="Century Schoolbook"/>
          <w:sz w:val="26"/>
          <w:szCs w:val="22"/>
        </w:rPr>
        <w:t xml:space="preserve">operates as </w:t>
      </w:r>
      <w:r w:rsidRPr="00B4093F">
        <w:rPr>
          <w:rFonts w:ascii="Century Schoolbook" w:eastAsia="Calibri" w:hAnsi="Century Schoolbook"/>
          <w:sz w:val="26"/>
          <w:szCs w:val="22"/>
        </w:rPr>
        <w:t xml:space="preserve">a preemptive decision by the local jurisdiction </w:t>
      </w:r>
      <w:r w:rsidRPr="008722BB">
        <w:rPr>
          <w:rFonts w:ascii="Century Schoolbook" w:eastAsia="Calibri" w:hAnsi="Century Schoolbook"/>
          <w:sz w:val="26"/>
          <w:szCs w:val="22"/>
        </w:rPr>
        <w:t xml:space="preserve">not </w:t>
      </w:r>
      <w:r w:rsidRPr="00B4093F">
        <w:rPr>
          <w:rFonts w:ascii="Century Schoolbook" w:eastAsia="Calibri" w:hAnsi="Century Schoolbook"/>
          <w:sz w:val="26"/>
          <w:szCs w:val="22"/>
        </w:rPr>
        <w:t xml:space="preserve">to supersede local caps under the discretion that Senate Bill 10 confers.  </w:t>
      </w:r>
    </w:p>
    <w:p w:rsidR="00A0356C" w:rsidP="00DA1F38" w14:paraId="04D419AB" w14:textId="77777777">
      <w:pPr>
        <w:spacing w:line="288" w:lineRule="auto"/>
        <w:ind w:firstLine="720"/>
        <w:rPr>
          <w:rFonts w:ascii="Century Schoolbook" w:eastAsia="Calibri" w:hAnsi="Century Schoolbook"/>
          <w:sz w:val="26"/>
          <w:szCs w:val="22"/>
        </w:rPr>
      </w:pPr>
      <w:r>
        <w:rPr>
          <w:rFonts w:ascii="Century Schoolbook" w:eastAsia="Calibri" w:hAnsi="Century Schoolbook"/>
          <w:sz w:val="26"/>
          <w:szCs w:val="22"/>
        </w:rPr>
        <w:t xml:space="preserve">We reject this construction of Senate Bill 10 for three reasons.  </w:t>
      </w:r>
    </w:p>
    <w:p w:rsidR="00A0356C" w:rsidP="00DA1F38" w14:paraId="330D8859" w14:textId="11381D14">
      <w:pPr>
        <w:spacing w:line="288" w:lineRule="auto"/>
        <w:ind w:firstLine="720"/>
        <w:rPr>
          <w:rFonts w:ascii="Century Schoolbook" w:eastAsia="Calibri" w:hAnsi="Century Schoolbook"/>
          <w:sz w:val="26"/>
          <w:szCs w:val="22"/>
        </w:rPr>
      </w:pPr>
      <w:r>
        <w:rPr>
          <w:rFonts w:ascii="Century Schoolbook" w:eastAsia="Calibri" w:hAnsi="Century Schoolbook"/>
          <w:sz w:val="26"/>
          <w:szCs w:val="22"/>
        </w:rPr>
        <w:t>First, the plain text of section 65913.5 does not have an exception for already</w:t>
      </w:r>
      <w:r w:rsidR="00B7483B">
        <w:rPr>
          <w:rFonts w:ascii="Century Schoolbook" w:eastAsia="Calibri" w:hAnsi="Century Schoolbook"/>
          <w:sz w:val="26"/>
          <w:szCs w:val="22"/>
        </w:rPr>
        <w:t>-</w:t>
      </w:r>
      <w:r>
        <w:rPr>
          <w:rFonts w:ascii="Century Schoolbook" w:eastAsia="Calibri" w:hAnsi="Century Schoolbook"/>
          <w:sz w:val="26"/>
          <w:szCs w:val="22"/>
        </w:rPr>
        <w:t>existing initiatives, and we are not permitted to effectively amend that text to add one.  (</w:t>
      </w:r>
      <w:r w:rsidR="007671FD">
        <w:rPr>
          <w:rFonts w:ascii="Century Schoolbook" w:eastAsia="Calibri" w:hAnsi="Century Schoolbook"/>
          <w:i/>
          <w:iCs/>
          <w:sz w:val="26"/>
          <w:szCs w:val="22"/>
        </w:rPr>
        <w:t>Jarman v. HCR ManorCare, Inc.</w:t>
      </w:r>
      <w:r w:rsidR="007671FD">
        <w:rPr>
          <w:rFonts w:ascii="Century Schoolbook" w:eastAsia="Calibri" w:hAnsi="Century Schoolbook"/>
          <w:sz w:val="26"/>
          <w:szCs w:val="22"/>
        </w:rPr>
        <w:t xml:space="preserve"> (2020) 10 Cal.5th 375, 392</w:t>
      </w:r>
      <w:r>
        <w:rPr>
          <w:rFonts w:ascii="Century Schoolbook" w:eastAsia="Calibri" w:hAnsi="Century Schoolbook"/>
          <w:sz w:val="26"/>
          <w:szCs w:val="22"/>
        </w:rPr>
        <w:t>.)</w:t>
      </w:r>
    </w:p>
    <w:p w:rsidR="00A0356C" w:rsidP="00DA1F38" w14:paraId="31B89D4A" w14:textId="4DFA92F6">
      <w:pPr>
        <w:spacing w:line="288" w:lineRule="auto"/>
        <w:ind w:firstLine="720"/>
        <w:rPr>
          <w:rFonts w:ascii="Century Schoolbook" w:eastAsia="Calibri" w:hAnsi="Century Schoolbook"/>
          <w:sz w:val="26"/>
          <w:szCs w:val="22"/>
        </w:rPr>
      </w:pPr>
      <w:r>
        <w:rPr>
          <w:rFonts w:ascii="Century Schoolbook" w:eastAsia="Calibri" w:hAnsi="Century Schoolbook"/>
          <w:sz w:val="26"/>
          <w:szCs w:val="22"/>
        </w:rPr>
        <w:t xml:space="preserve">Second, denying local legislative bodies the discretion to supersede existing housing density caps previously adopted by initiative would substantially </w:t>
      </w:r>
      <w:r w:rsidR="00DA1F38">
        <w:rPr>
          <w:rFonts w:ascii="Century Schoolbook" w:eastAsia="Calibri" w:hAnsi="Century Schoolbook"/>
          <w:sz w:val="26"/>
          <w:szCs w:val="22"/>
        </w:rPr>
        <w:t xml:space="preserve">narrow that discretion, </w:t>
      </w:r>
      <w:r w:rsidR="0073039B">
        <w:rPr>
          <w:rFonts w:ascii="Century Schoolbook" w:eastAsia="Calibri" w:hAnsi="Century Schoolbook"/>
          <w:sz w:val="26"/>
          <w:szCs w:val="22"/>
        </w:rPr>
        <w:t xml:space="preserve">and conferring that discretion </w:t>
      </w:r>
      <w:r w:rsidR="00DA1F38">
        <w:rPr>
          <w:rFonts w:ascii="Century Schoolbook" w:eastAsia="Calibri" w:hAnsi="Century Schoolbook"/>
          <w:sz w:val="26"/>
          <w:szCs w:val="22"/>
        </w:rPr>
        <w:t>was the chief reason the Legislature enacted Senate Bill 10</w:t>
      </w:r>
      <w:r w:rsidR="0073039B">
        <w:rPr>
          <w:rFonts w:ascii="Century Schoolbook" w:eastAsia="Calibri" w:hAnsi="Century Schoolbook"/>
          <w:sz w:val="26"/>
          <w:szCs w:val="22"/>
        </w:rPr>
        <w:t xml:space="preserve"> in the first place</w:t>
      </w:r>
      <w:r w:rsidR="00DA1F38">
        <w:rPr>
          <w:rFonts w:ascii="Century Schoolbook" w:eastAsia="Calibri" w:hAnsi="Century Schoolbook"/>
          <w:sz w:val="26"/>
          <w:szCs w:val="22"/>
        </w:rPr>
        <w:t>; we are loath to construe the statute in a way that would largely frustrate our Legislature’s purpose.  (</w:t>
      </w:r>
      <w:r w:rsidR="00146859">
        <w:rPr>
          <w:rFonts w:ascii="Century Schoolbook" w:eastAsia="Calibri" w:hAnsi="Century Schoolbook"/>
          <w:i/>
          <w:iCs/>
          <w:sz w:val="26"/>
          <w:szCs w:val="22"/>
        </w:rPr>
        <w:t xml:space="preserve">People v. Johnson </w:t>
      </w:r>
      <w:r w:rsidR="00146859">
        <w:rPr>
          <w:rFonts w:ascii="Century Schoolbook" w:eastAsia="Calibri" w:hAnsi="Century Schoolbook"/>
          <w:sz w:val="26"/>
          <w:szCs w:val="22"/>
        </w:rPr>
        <w:t>(2022) 83 Cal.App.5th 1074, 1083</w:t>
      </w:r>
      <w:r w:rsidR="0051017D">
        <w:rPr>
          <w:rFonts w:ascii="Century Schoolbook" w:eastAsia="Calibri" w:hAnsi="Century Schoolbook"/>
          <w:sz w:val="26"/>
          <w:szCs w:val="22"/>
        </w:rPr>
        <w:t>, review granted Dec. 14, 2022, S277196</w:t>
      </w:r>
      <w:r w:rsidR="00146859">
        <w:rPr>
          <w:rFonts w:ascii="Century Schoolbook" w:eastAsia="Calibri" w:hAnsi="Century Schoolbook"/>
          <w:sz w:val="26"/>
          <w:szCs w:val="22"/>
        </w:rPr>
        <w:t xml:space="preserve">; </w:t>
      </w:r>
      <w:r w:rsidR="00146859">
        <w:rPr>
          <w:rFonts w:ascii="Century Schoolbook" w:eastAsia="Calibri" w:hAnsi="Century Schoolbook"/>
          <w:i/>
          <w:iCs/>
          <w:sz w:val="26"/>
          <w:szCs w:val="22"/>
        </w:rPr>
        <w:t xml:space="preserve">Isrin v. Superior Court </w:t>
      </w:r>
      <w:r w:rsidR="00146859">
        <w:rPr>
          <w:rFonts w:ascii="Century Schoolbook" w:eastAsia="Calibri" w:hAnsi="Century Schoolbook"/>
          <w:sz w:val="26"/>
          <w:szCs w:val="22"/>
        </w:rPr>
        <w:t>(1965) 63 Cal.2d 153, 163</w:t>
      </w:r>
      <w:r w:rsidR="00DA1F38">
        <w:rPr>
          <w:rFonts w:ascii="Century Schoolbook" w:eastAsia="Calibri" w:hAnsi="Century Schoolbook"/>
          <w:sz w:val="26"/>
          <w:szCs w:val="22"/>
        </w:rPr>
        <w:t xml:space="preserve">; </w:t>
      </w:r>
      <w:r w:rsidR="00DA1F38">
        <w:rPr>
          <w:rFonts w:ascii="Century Schoolbook" w:eastAsia="Calibri" w:hAnsi="Century Schoolbook"/>
          <w:i/>
          <w:iCs/>
          <w:sz w:val="26"/>
          <w:szCs w:val="22"/>
        </w:rPr>
        <w:t>V</w:t>
      </w:r>
      <w:r w:rsidR="00A474D7">
        <w:rPr>
          <w:rFonts w:ascii="Century Schoolbook" w:eastAsia="Calibri" w:hAnsi="Century Schoolbook"/>
          <w:i/>
          <w:iCs/>
          <w:sz w:val="26"/>
          <w:szCs w:val="22"/>
        </w:rPr>
        <w:t>oters</w:t>
      </w:r>
      <w:r w:rsidR="00650A02">
        <w:rPr>
          <w:rFonts w:ascii="Century Schoolbook" w:eastAsia="Calibri" w:hAnsi="Century Schoolbook"/>
          <w:i/>
          <w:iCs/>
          <w:sz w:val="26"/>
          <w:szCs w:val="22"/>
        </w:rPr>
        <w:t xml:space="preserve"> for Responsible Retirement</w:t>
      </w:r>
      <w:r w:rsidRPr="008722BB" w:rsidR="00DA1F38">
        <w:rPr>
          <w:rFonts w:ascii="Century Schoolbook" w:eastAsia="Calibri" w:hAnsi="Century Schoolbook"/>
          <w:sz w:val="26"/>
          <w:szCs w:val="22"/>
        </w:rPr>
        <w:t>,</w:t>
      </w:r>
      <w:r w:rsidR="00DA1F38">
        <w:rPr>
          <w:rFonts w:ascii="Century Schoolbook" w:eastAsia="Calibri" w:hAnsi="Century Schoolbook"/>
          <w:i/>
          <w:iCs/>
          <w:sz w:val="26"/>
          <w:szCs w:val="22"/>
        </w:rPr>
        <w:t xml:space="preserve"> supra</w:t>
      </w:r>
      <w:r w:rsidR="00DA1F38">
        <w:rPr>
          <w:rFonts w:ascii="Century Schoolbook" w:eastAsia="Calibri" w:hAnsi="Century Schoolbook"/>
          <w:sz w:val="26"/>
          <w:szCs w:val="22"/>
        </w:rPr>
        <w:t xml:space="preserve">, 8 Cal.4th at p. 782 [declining to construe state statute to preserve local initiative power because doing so would frustrate the purpose of the statute].)  </w:t>
      </w:r>
    </w:p>
    <w:p w:rsidR="00BD5754" w:rsidRPr="00146859" w:rsidP="00146859" w14:paraId="406A7BC2" w14:textId="0F74FB28">
      <w:pPr>
        <w:spacing w:line="288" w:lineRule="auto"/>
        <w:ind w:firstLine="720"/>
        <w:rPr>
          <w:rFonts w:ascii="Century Schoolbook" w:eastAsia="Calibri" w:hAnsi="Century Schoolbook"/>
          <w:sz w:val="26"/>
          <w:szCs w:val="22"/>
        </w:rPr>
      </w:pPr>
      <w:r>
        <w:rPr>
          <w:rFonts w:ascii="Century Schoolbook" w:eastAsia="Calibri" w:hAnsi="Century Schoolbook"/>
          <w:sz w:val="26"/>
          <w:szCs w:val="22"/>
        </w:rPr>
        <w:t>Third and l</w:t>
      </w:r>
      <w:r w:rsidR="00DA1F38">
        <w:rPr>
          <w:rFonts w:ascii="Century Schoolbook" w:eastAsia="Calibri" w:hAnsi="Century Schoolbook"/>
          <w:sz w:val="26"/>
          <w:szCs w:val="22"/>
        </w:rPr>
        <w:t xml:space="preserve">astly, this construction is not supported by precedent.  To be sure, </w:t>
      </w:r>
      <w:r w:rsidR="00DA1F38">
        <w:rPr>
          <w:rFonts w:ascii="Century Schoolbook" w:eastAsia="Calibri" w:hAnsi="Century Schoolbook"/>
          <w:i/>
          <w:iCs/>
          <w:sz w:val="26"/>
          <w:szCs w:val="22"/>
        </w:rPr>
        <w:t xml:space="preserve">Higgins v. </w:t>
      </w:r>
      <w:r w:rsidR="0081202C">
        <w:rPr>
          <w:rFonts w:ascii="Century Schoolbook" w:eastAsia="Calibri" w:hAnsi="Century Schoolbook"/>
          <w:i/>
          <w:iCs/>
          <w:sz w:val="26"/>
          <w:szCs w:val="22"/>
        </w:rPr>
        <w:t xml:space="preserve">City of </w:t>
      </w:r>
      <w:r w:rsidR="00DA1F38">
        <w:rPr>
          <w:rFonts w:ascii="Century Schoolbook" w:eastAsia="Calibri" w:hAnsi="Century Schoolbook"/>
          <w:i/>
          <w:iCs/>
          <w:sz w:val="26"/>
          <w:szCs w:val="22"/>
        </w:rPr>
        <w:t>Santa Monica</w:t>
      </w:r>
      <w:r w:rsidR="00DA1F38">
        <w:rPr>
          <w:rFonts w:ascii="Century Schoolbook" w:eastAsia="Calibri" w:hAnsi="Century Schoolbook"/>
          <w:sz w:val="26"/>
          <w:szCs w:val="22"/>
        </w:rPr>
        <w:t xml:space="preserve"> (1964) 62 Cal.2d 24 might at first glance appear to support petitioners’ argument.  There, the state </w:t>
      </w:r>
      <w:r w:rsidR="00F420A8">
        <w:rPr>
          <w:rFonts w:ascii="Century Schoolbook" w:eastAsia="Calibri" w:hAnsi="Century Schoolbook"/>
          <w:sz w:val="26"/>
          <w:szCs w:val="22"/>
        </w:rPr>
        <w:t xml:space="preserve">had previously </w:t>
      </w:r>
      <w:r w:rsidR="00DA1F38">
        <w:rPr>
          <w:rFonts w:ascii="Century Schoolbook" w:eastAsia="Calibri" w:hAnsi="Century Schoolbook"/>
          <w:sz w:val="26"/>
          <w:szCs w:val="22"/>
        </w:rPr>
        <w:t xml:space="preserve">granted the City of Santa Monica authority over whether to develop its coastal tidelands, and the city’s voters </w:t>
      </w:r>
      <w:r w:rsidR="00F420A8">
        <w:rPr>
          <w:rFonts w:ascii="Century Schoolbook" w:eastAsia="Calibri" w:hAnsi="Century Schoolbook"/>
          <w:sz w:val="26"/>
          <w:szCs w:val="22"/>
        </w:rPr>
        <w:t xml:space="preserve">had previously </w:t>
      </w:r>
      <w:r w:rsidR="00DA1F38">
        <w:rPr>
          <w:rFonts w:ascii="Century Schoolbook" w:eastAsia="Calibri" w:hAnsi="Century Schoolbook"/>
          <w:sz w:val="26"/>
          <w:szCs w:val="22"/>
        </w:rPr>
        <w:t xml:space="preserve">adopted an initiative prohibiting all “drilling or prospecting for oil, gas, and other hydrocarbon substances.”  </w:t>
      </w:r>
      <w:r w:rsidR="00B4093F">
        <w:rPr>
          <w:rFonts w:ascii="Century Schoolbook" w:eastAsia="Calibri" w:hAnsi="Century Schoolbook"/>
          <w:sz w:val="26"/>
          <w:szCs w:val="22"/>
        </w:rPr>
        <w:t>(</w:t>
      </w:r>
      <w:r w:rsidR="00B4093F">
        <w:rPr>
          <w:rFonts w:ascii="Century Schoolbook" w:eastAsia="Calibri" w:hAnsi="Century Schoolbook"/>
          <w:i/>
          <w:iCs/>
          <w:sz w:val="26"/>
          <w:szCs w:val="22"/>
        </w:rPr>
        <w:t>Id.</w:t>
      </w:r>
      <w:r w:rsidR="00B4093F">
        <w:rPr>
          <w:rFonts w:ascii="Century Schoolbook" w:eastAsia="Calibri" w:hAnsi="Century Schoolbook"/>
          <w:sz w:val="26"/>
          <w:szCs w:val="22"/>
        </w:rPr>
        <w:t xml:space="preserve"> at p. 26.)  </w:t>
      </w:r>
      <w:r w:rsidR="00DA1F38">
        <w:rPr>
          <w:rFonts w:ascii="Century Schoolbook" w:eastAsia="Calibri" w:hAnsi="Century Schoolbook"/>
          <w:sz w:val="26"/>
          <w:szCs w:val="22"/>
        </w:rPr>
        <w:t xml:space="preserve">Although the state subsequently enacted a statute regulating the “mode and manner in which </w:t>
      </w:r>
      <w:r w:rsidR="00114F6F">
        <w:rPr>
          <w:rFonts w:ascii="Century Schoolbook" w:eastAsia="Calibri" w:hAnsi="Century Schoolbook"/>
          <w:sz w:val="26"/>
          <w:szCs w:val="22"/>
        </w:rPr>
        <w:t>. . .</w:t>
      </w:r>
      <w:r w:rsidR="00DA1F38">
        <w:rPr>
          <w:rFonts w:ascii="Century Schoolbook" w:eastAsia="Calibri" w:hAnsi="Century Schoolbook"/>
          <w:sz w:val="26"/>
          <w:szCs w:val="22"/>
        </w:rPr>
        <w:t xml:space="preserve"> cit</w:t>
      </w:r>
      <w:r w:rsidR="0073039B">
        <w:rPr>
          <w:rFonts w:ascii="Century Schoolbook" w:eastAsia="Calibri" w:hAnsi="Century Schoolbook"/>
          <w:sz w:val="26"/>
          <w:szCs w:val="22"/>
        </w:rPr>
        <w:t>[ies]</w:t>
      </w:r>
      <w:r w:rsidR="00DA1F38">
        <w:rPr>
          <w:rFonts w:ascii="Century Schoolbook" w:eastAsia="Calibri" w:hAnsi="Century Schoolbook"/>
          <w:sz w:val="26"/>
          <w:szCs w:val="22"/>
        </w:rPr>
        <w:t xml:space="preserve"> may execute oil leases to tide and submerge</w:t>
      </w:r>
      <w:r w:rsidR="00827BF2">
        <w:rPr>
          <w:rFonts w:ascii="Century Schoolbook" w:eastAsia="Calibri" w:hAnsi="Century Schoolbook"/>
          <w:sz w:val="26"/>
          <w:szCs w:val="22"/>
        </w:rPr>
        <w:t>d</w:t>
      </w:r>
      <w:r w:rsidR="00DA1F38">
        <w:rPr>
          <w:rFonts w:ascii="Century Schoolbook" w:eastAsia="Calibri" w:hAnsi="Century Schoolbook"/>
          <w:sz w:val="26"/>
          <w:szCs w:val="22"/>
        </w:rPr>
        <w:t xml:space="preserve"> lands,” </w:t>
      </w:r>
      <w:r w:rsidR="00DA1F38">
        <w:rPr>
          <w:rFonts w:ascii="Century Schoolbook" w:eastAsia="Calibri" w:hAnsi="Century Schoolbook"/>
          <w:i/>
          <w:iCs/>
          <w:sz w:val="26"/>
          <w:szCs w:val="22"/>
        </w:rPr>
        <w:t>Higgins</w:t>
      </w:r>
      <w:r w:rsidR="00DA1F38">
        <w:rPr>
          <w:rFonts w:ascii="Century Schoolbook" w:eastAsia="Calibri" w:hAnsi="Century Schoolbook"/>
          <w:sz w:val="26"/>
          <w:szCs w:val="22"/>
        </w:rPr>
        <w:t xml:space="preserve"> held that this statute regarding </w:t>
      </w:r>
      <w:r w:rsidR="00DA1F38">
        <w:rPr>
          <w:rFonts w:ascii="Century Schoolbook" w:eastAsia="Calibri" w:hAnsi="Century Schoolbook"/>
          <w:i/>
          <w:iCs/>
          <w:sz w:val="26"/>
          <w:szCs w:val="22"/>
        </w:rPr>
        <w:t>procedure</w:t>
      </w:r>
      <w:r w:rsidR="00DA1F38">
        <w:rPr>
          <w:rFonts w:ascii="Century Schoolbook" w:eastAsia="Calibri" w:hAnsi="Century Schoolbook"/>
          <w:sz w:val="26"/>
          <w:szCs w:val="22"/>
        </w:rPr>
        <w:t xml:space="preserve"> did not preempt local jurisdictions’ substantive decisions about </w:t>
      </w:r>
      <w:r w:rsidR="00DA1F38">
        <w:rPr>
          <w:rFonts w:ascii="Century Schoolbook" w:eastAsia="Calibri" w:hAnsi="Century Schoolbook"/>
          <w:i/>
          <w:iCs/>
          <w:sz w:val="26"/>
          <w:szCs w:val="22"/>
        </w:rPr>
        <w:t>whether</w:t>
      </w:r>
      <w:r w:rsidR="00DA1F38">
        <w:rPr>
          <w:rFonts w:ascii="Century Schoolbook" w:eastAsia="Calibri" w:hAnsi="Century Schoolbook"/>
          <w:sz w:val="26"/>
          <w:szCs w:val="22"/>
        </w:rPr>
        <w:t xml:space="preserve"> to develop those tidelands and thus did not nullify the previously enacted initiative, which continued to operate as Santa Monica’s deci</w:t>
      </w:r>
      <w:r w:rsidR="00F420A8">
        <w:rPr>
          <w:rFonts w:ascii="Century Schoolbook" w:eastAsia="Calibri" w:hAnsi="Century Schoolbook"/>
          <w:sz w:val="26"/>
          <w:szCs w:val="22"/>
        </w:rPr>
        <w:t xml:space="preserve">sion </w:t>
      </w:r>
      <w:r w:rsidR="00F420A8">
        <w:rPr>
          <w:rFonts w:ascii="Century Schoolbook" w:eastAsia="Calibri" w:hAnsi="Century Schoolbook"/>
          <w:i/>
          <w:iCs/>
          <w:sz w:val="26"/>
          <w:szCs w:val="22"/>
        </w:rPr>
        <w:t>not</w:t>
      </w:r>
      <w:r w:rsidR="00F420A8">
        <w:rPr>
          <w:rFonts w:ascii="Century Schoolbook" w:eastAsia="Calibri" w:hAnsi="Century Schoolbook"/>
          <w:sz w:val="26"/>
          <w:szCs w:val="22"/>
        </w:rPr>
        <w:t xml:space="preserve"> to develop.  (</w:t>
      </w:r>
      <w:r w:rsidR="00F420A8">
        <w:rPr>
          <w:rFonts w:ascii="Century Schoolbook" w:eastAsia="Calibri" w:hAnsi="Century Schoolbook"/>
          <w:i/>
          <w:iCs/>
          <w:sz w:val="26"/>
          <w:szCs w:val="22"/>
        </w:rPr>
        <w:t>Id.</w:t>
      </w:r>
      <w:r w:rsidR="00F420A8">
        <w:rPr>
          <w:rFonts w:ascii="Century Schoolbook" w:eastAsia="Calibri" w:hAnsi="Century Schoolbook"/>
          <w:sz w:val="26"/>
          <w:szCs w:val="22"/>
        </w:rPr>
        <w:t xml:space="preserve"> at p. 32.)</w:t>
      </w:r>
      <w:r w:rsidR="00A0356C">
        <w:rPr>
          <w:rFonts w:ascii="Century Schoolbook" w:eastAsia="Calibri" w:hAnsi="Century Schoolbook"/>
          <w:sz w:val="26"/>
          <w:szCs w:val="22"/>
        </w:rPr>
        <w:t xml:space="preserve">  But </w:t>
      </w:r>
      <w:r w:rsidR="00F420A8">
        <w:rPr>
          <w:rFonts w:ascii="Century Schoolbook" w:eastAsia="Calibri" w:hAnsi="Century Schoolbook"/>
          <w:i/>
          <w:iCs/>
          <w:sz w:val="26"/>
          <w:szCs w:val="22"/>
        </w:rPr>
        <w:t>Higgins</w:t>
      </w:r>
      <w:r w:rsidR="00F420A8">
        <w:rPr>
          <w:rFonts w:ascii="Century Schoolbook" w:eastAsia="Calibri" w:hAnsi="Century Schoolbook"/>
          <w:sz w:val="26"/>
          <w:szCs w:val="22"/>
        </w:rPr>
        <w:t xml:space="preserve"> is inapt</w:t>
      </w:r>
      <w:r w:rsidR="00A0356C">
        <w:rPr>
          <w:rFonts w:ascii="Century Schoolbook" w:eastAsia="Calibri" w:hAnsi="Century Schoolbook"/>
          <w:sz w:val="26"/>
          <w:szCs w:val="22"/>
        </w:rPr>
        <w:t xml:space="preserve">.  The statute in </w:t>
      </w:r>
      <w:r w:rsidR="00A0356C">
        <w:rPr>
          <w:rFonts w:ascii="Century Schoolbook" w:eastAsia="Calibri" w:hAnsi="Century Schoolbook"/>
          <w:i/>
          <w:iCs/>
          <w:sz w:val="26"/>
          <w:szCs w:val="22"/>
        </w:rPr>
        <w:t>Higgins</w:t>
      </w:r>
      <w:r w:rsidR="00A0356C">
        <w:rPr>
          <w:rFonts w:ascii="Century Schoolbook" w:eastAsia="Calibri" w:hAnsi="Century Schoolbook"/>
          <w:sz w:val="26"/>
          <w:szCs w:val="22"/>
        </w:rPr>
        <w:t xml:space="preserve"> was purely procedural and did not purport to alter or affect local jurisdictions’ substantive decisionmaking, such that previously made substantive decisions would logically remain unaffected.  Senate Bill 10, by contrast, expands the range of possible substantive decisions that a local jurisdiction can make by granting local legislative bodies the discretion to supersede some local density caps, and does so in light of the pressing and severe shortage of housing in California; </w:t>
      </w:r>
      <w:r w:rsidR="002D2160">
        <w:rPr>
          <w:rFonts w:ascii="Century Schoolbook" w:eastAsia="Calibri" w:hAnsi="Century Schoolbook"/>
          <w:sz w:val="26"/>
          <w:szCs w:val="22"/>
        </w:rPr>
        <w:t xml:space="preserve">treating previously made substantive decisions enacted through voter initiative as forever binding </w:t>
      </w:r>
      <w:r w:rsidR="0073039B">
        <w:rPr>
          <w:rFonts w:ascii="Century Schoolbook" w:eastAsia="Calibri" w:hAnsi="Century Schoolbook"/>
          <w:sz w:val="26"/>
          <w:szCs w:val="22"/>
        </w:rPr>
        <w:t xml:space="preserve">would frustrate Senate Bill 10’s purpose </w:t>
      </w:r>
      <w:r w:rsidR="002D2160">
        <w:rPr>
          <w:rFonts w:ascii="Century Schoolbook" w:eastAsia="Calibri" w:hAnsi="Century Schoolbook"/>
          <w:sz w:val="26"/>
          <w:szCs w:val="22"/>
        </w:rPr>
        <w:t>because the local jurisdiction should be given the opportunity to reevaluate that prior decision in light of</w:t>
      </w:r>
      <w:r w:rsidR="001B0A5F">
        <w:rPr>
          <w:rFonts w:ascii="Century Schoolbook" w:eastAsia="Calibri" w:hAnsi="Century Schoolbook"/>
          <w:sz w:val="26"/>
          <w:szCs w:val="22"/>
        </w:rPr>
        <w:t xml:space="preserve"> the</w:t>
      </w:r>
      <w:r w:rsidR="002D2160">
        <w:rPr>
          <w:rFonts w:ascii="Century Schoolbook" w:eastAsia="Calibri" w:hAnsi="Century Schoolbook"/>
          <w:sz w:val="26"/>
          <w:szCs w:val="22"/>
        </w:rPr>
        <w:t xml:space="preserve"> housing crisis, which constitutes a change of conditions.  (See, e.g., </w:t>
      </w:r>
      <w:r w:rsidR="002D2160">
        <w:rPr>
          <w:rFonts w:ascii="Century Schoolbook" w:eastAsia="Calibri" w:hAnsi="Century Schoolbook"/>
          <w:i/>
          <w:iCs/>
          <w:sz w:val="26"/>
          <w:szCs w:val="22"/>
        </w:rPr>
        <w:t>People v. Buycks</w:t>
      </w:r>
      <w:r w:rsidR="002D2160">
        <w:rPr>
          <w:rFonts w:ascii="Century Schoolbook" w:eastAsia="Calibri" w:hAnsi="Century Schoolbook"/>
          <w:sz w:val="26"/>
          <w:szCs w:val="22"/>
        </w:rPr>
        <w:t xml:space="preserve"> (2018) 5 Cal.5th 857, 893 [prior sentencing decision by trial court must be reexamined when there are “</w:t>
      </w:r>
      <w:r w:rsidR="007F2081">
        <w:rPr>
          <w:rFonts w:ascii="Century Schoolbook" w:eastAsia="Calibri" w:hAnsi="Century Schoolbook"/>
          <w:sz w:val="26"/>
          <w:szCs w:val="22"/>
        </w:rPr>
        <w:t>‘</w:t>
      </w:r>
      <w:r w:rsidR="002D2160">
        <w:rPr>
          <w:rFonts w:ascii="Century Schoolbook" w:eastAsia="Calibri" w:hAnsi="Century Schoolbook"/>
          <w:sz w:val="26"/>
          <w:szCs w:val="22"/>
        </w:rPr>
        <w:t>changed circumstances</w:t>
      </w:r>
      <w:r w:rsidR="007F2081">
        <w:rPr>
          <w:rFonts w:ascii="Century Schoolbook" w:eastAsia="Calibri" w:hAnsi="Century Schoolbook"/>
          <w:sz w:val="26"/>
          <w:szCs w:val="22"/>
        </w:rPr>
        <w:t>’</w:t>
      </w:r>
      <w:r w:rsidR="002D2160">
        <w:rPr>
          <w:rFonts w:ascii="Century Schoolbook" w:eastAsia="Calibri" w:hAnsi="Century Schoolbook"/>
          <w:sz w:val="26"/>
          <w:szCs w:val="22"/>
        </w:rPr>
        <w:t>”].)</w:t>
      </w:r>
    </w:p>
    <w:p w:rsidR="00B1193E" w:rsidRPr="00D03CA4" w:rsidP="00D0414F" w14:paraId="2772D3E7" w14:textId="2BA3A7D6">
      <w:pPr>
        <w:spacing w:line="288" w:lineRule="auto"/>
        <w:jc w:val="center"/>
        <w:rPr>
          <w:rFonts w:ascii="Century Schoolbook" w:hAnsi="Century Schoolbook"/>
          <w:b/>
          <w:bCs/>
          <w:sz w:val="26"/>
          <w:szCs w:val="26"/>
        </w:rPr>
      </w:pPr>
      <w:r>
        <w:rPr>
          <w:rFonts w:ascii="Century Schoolbook" w:hAnsi="Century Schoolbook"/>
          <w:b/>
          <w:bCs/>
          <w:sz w:val="26"/>
          <w:szCs w:val="26"/>
        </w:rPr>
        <w:t>DISPOSITION</w:t>
      </w:r>
    </w:p>
    <w:p w:rsidR="00C473C1" w:rsidP="00D0414F" w14:paraId="58619033" w14:textId="400DD6DA">
      <w:pPr>
        <w:spacing w:line="288" w:lineRule="auto"/>
        <w:ind w:firstLine="720"/>
        <w:rPr>
          <w:rFonts w:ascii="Century Schoolbook" w:hAnsi="Century Schoolbook"/>
          <w:sz w:val="26"/>
          <w:szCs w:val="26"/>
        </w:rPr>
      </w:pPr>
      <w:r>
        <w:rPr>
          <w:rFonts w:ascii="Century Schoolbook" w:hAnsi="Century Schoolbook"/>
          <w:sz w:val="26"/>
          <w:szCs w:val="26"/>
        </w:rPr>
        <w:t xml:space="preserve">The judgment is affirmed.  The State is entitled to its costs on appeal.  </w:t>
      </w:r>
    </w:p>
    <w:p w:rsidR="001528F1" w:rsidRPr="001528F1" w:rsidP="00D0414F" w14:paraId="36BC07DD" w14:textId="24F4A4C3">
      <w:pPr>
        <w:spacing w:line="288" w:lineRule="auto"/>
        <w:ind w:firstLine="720"/>
        <w:rPr>
          <w:rFonts w:ascii="Century Schoolbook" w:eastAsia="Calibri" w:hAnsi="Century Schoolbook"/>
          <w:sz w:val="26"/>
          <w:szCs w:val="26"/>
        </w:rPr>
      </w:pPr>
      <w:r>
        <w:rPr>
          <w:rFonts w:ascii="Century Schoolbook" w:eastAsia="Calibri" w:hAnsi="Century Schoolbook"/>
          <w:b/>
          <w:bCs/>
          <w:sz w:val="26"/>
          <w:szCs w:val="26"/>
          <w:u w:val="single"/>
        </w:rPr>
        <w:t>CERTIFIED FOR PUBLICATION</w:t>
      </w:r>
      <w:r w:rsidRPr="001528F1">
        <w:rPr>
          <w:rFonts w:ascii="Century Schoolbook" w:eastAsia="Calibri" w:hAnsi="Century Schoolbook"/>
          <w:sz w:val="26"/>
          <w:szCs w:val="26"/>
        </w:rPr>
        <w:t>.</w:t>
      </w:r>
    </w:p>
    <w:p w:rsidR="001528F1" w:rsidRPr="001528F1" w:rsidP="00D0414F" w14:paraId="668687C5" w14:textId="77777777">
      <w:pPr>
        <w:spacing w:line="288" w:lineRule="auto"/>
        <w:ind w:firstLine="720"/>
        <w:rPr>
          <w:rFonts w:ascii="Century Schoolbook" w:eastAsia="Calibri" w:hAnsi="Century Schoolbook"/>
          <w:sz w:val="26"/>
          <w:szCs w:val="26"/>
        </w:rPr>
      </w:pPr>
    </w:p>
    <w:p w:rsidR="001528F1" w:rsidRPr="001528F1" w:rsidP="00D0414F" w14:paraId="52136C47" w14:textId="77777777">
      <w:pPr>
        <w:spacing w:line="288" w:lineRule="auto"/>
        <w:ind w:firstLine="720"/>
        <w:rPr>
          <w:rFonts w:ascii="Century Schoolbook" w:eastAsia="Calibri" w:hAnsi="Century Schoolbook"/>
          <w:sz w:val="26"/>
          <w:szCs w:val="26"/>
        </w:rPr>
      </w:pPr>
    </w:p>
    <w:p w:rsidR="001528F1" w:rsidRPr="001528F1" w:rsidP="00D0414F" w14:paraId="4E2DC638"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______________________, J.</w:t>
      </w:r>
    </w:p>
    <w:p w:rsidR="001528F1" w:rsidRPr="001528F1" w:rsidP="00D0414F" w14:paraId="4D1A37CC" w14:textId="433B5431">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HOFFSTADT</w:t>
      </w:r>
    </w:p>
    <w:p w:rsidR="001528F1" w:rsidRPr="001528F1" w:rsidP="00D0414F" w14:paraId="01DB64B4" w14:textId="77777777">
      <w:pPr>
        <w:spacing w:line="288" w:lineRule="auto"/>
        <w:rPr>
          <w:rFonts w:ascii="Century Schoolbook" w:eastAsia="Calibri" w:hAnsi="Century Schoolbook"/>
          <w:sz w:val="26"/>
          <w:szCs w:val="26"/>
        </w:rPr>
      </w:pPr>
    </w:p>
    <w:p w:rsidR="001528F1" w:rsidRPr="001528F1" w:rsidP="00D0414F" w14:paraId="58B30DD4"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rsidR="001528F1" w:rsidRPr="001528F1" w:rsidP="00D0414F" w14:paraId="68265FF2"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233BC745"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7585B50" w14:textId="062BE8CC">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w:t>
      </w:r>
      <w:r w:rsidR="00AE07C2">
        <w:rPr>
          <w:rFonts w:ascii="Century Schoolbook" w:eastAsia="Century Schoolbook" w:hAnsi="Century Schoolbook" w:cs="Century Schoolbook"/>
          <w:color w:val="000000"/>
          <w:sz w:val="26"/>
          <w:szCs w:val="26"/>
        </w:rPr>
        <w:t xml:space="preserve"> </w:t>
      </w:r>
      <w:r w:rsidR="00227B2E">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rsidR="001528F1" w:rsidRPr="001528F1" w:rsidP="00D0414F" w14:paraId="23B3DD36" w14:textId="08C2A57C">
      <w:pPr>
        <w:widowControl w:val="0"/>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LUI</w:t>
      </w:r>
    </w:p>
    <w:p w:rsidR="001528F1" w:rsidRPr="001528F1" w:rsidP="00D0414F" w14:paraId="463A2F97"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1409EEE"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671DD997"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 J.</w:t>
      </w:r>
    </w:p>
    <w:p w:rsidR="003710FF" w:rsidP="00D0414F" w14:paraId="204E120E" w14:textId="034CA19E">
      <w:pPr>
        <w:spacing w:line="288" w:lineRule="auto"/>
        <w:rPr>
          <w:rFonts w:ascii="Century Schoolbook" w:hAnsi="Century Schoolbook"/>
          <w:sz w:val="26"/>
          <w:szCs w:val="26"/>
        </w:rPr>
      </w:pPr>
      <w:r>
        <w:rPr>
          <w:rFonts w:ascii="Century Schoolbook" w:eastAsia="Century Schoolbook" w:hAnsi="Century Schoolbook" w:cs="Century Schoolbook"/>
          <w:sz w:val="26"/>
          <w:szCs w:val="26"/>
        </w:rPr>
        <w:t>CHAVEZ</w:t>
      </w:r>
      <w:bookmarkEnd w:id="1"/>
    </w:p>
    <w:sectPr w:rsidSect="004346BD">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FB5" w14:paraId="50A56C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6077613"/>
      <w:docPartObj>
        <w:docPartGallery w:val="Page Numbers (Bottom of Page)"/>
        <w:docPartUnique/>
      </w:docPartObj>
    </w:sdtPr>
    <w:sdtEndPr>
      <w:rPr>
        <w:rFonts w:ascii="Century Schoolbook" w:hAnsi="Century Schoolbook"/>
        <w:noProof/>
        <w:sz w:val="26"/>
        <w:szCs w:val="26"/>
      </w:rPr>
    </w:sdtEndPr>
    <w:sdtContent>
      <w:p w:rsidR="001F0B32" w:rsidRPr="00F560FD" w14:paraId="74596096" w14:textId="2F2807F3">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rsidR="001F0B32" w14:paraId="6D8574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FB5" w14:paraId="450401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46BD" w:rsidRPr="00ED7C99" w:rsidP="00ED7C99" w14:paraId="7E4E8320" w14:textId="2DE0CB38">
      <w:r>
        <w:continuationSeparator/>
      </w:r>
    </w:p>
  </w:footnote>
  <w:footnote w:type="continuationSeparator" w:id="1">
    <w:p w:rsidR="004346BD" w:rsidP="00DA5C42" w14:paraId="7160F085" w14:textId="77777777">
      <w:r>
        <w:continuationSeparator/>
      </w:r>
    </w:p>
  </w:footnote>
  <w:footnote w:id="2">
    <w:p w:rsidR="007A5CDF" w:rsidRPr="007A5CDF" w14:paraId="40074600" w14:textId="00B7D417">
      <w:pPr>
        <w:pStyle w:val="FootnoteText"/>
        <w:rPr>
          <w:rFonts w:ascii="Century Schoolbook" w:hAnsi="Century Schoolbook"/>
          <w:sz w:val="26"/>
          <w:szCs w:val="26"/>
        </w:rPr>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7A5CDF">
        <w:rPr>
          <w:rFonts w:ascii="Century Schoolbook" w:hAnsi="Century Schoolbook"/>
          <w:sz w:val="26"/>
          <w:szCs w:val="26"/>
        </w:rPr>
        <w:t>All further statutory references are to the Government Code unless otherwise indicated.</w:t>
      </w:r>
    </w:p>
  </w:footnote>
  <w:footnote w:id="3">
    <w:p w:rsidR="00BD5754" w:rsidRPr="00071C96" w:rsidP="00BD5754" w14:paraId="7166D489" w14:textId="501864E5">
      <w:pPr>
        <w:pStyle w:val="FootnoteText"/>
        <w:rPr>
          <w:b/>
          <w:bCs/>
        </w:rPr>
      </w:pPr>
      <w:r w:rsidRPr="005C2187">
        <w:rPr>
          <w:rStyle w:val="FootnoteReference"/>
          <w:rFonts w:ascii="Century Schoolbook" w:hAnsi="Century Schoolbook"/>
          <w:b/>
          <w:bCs/>
          <w:sz w:val="20"/>
          <w:vertAlign w:val="baseline"/>
        </w:rPr>
        <w:footnoteRef/>
      </w:r>
      <w:r w:rsidRPr="005C2187">
        <w:rPr>
          <w:rFonts w:ascii="Century Schoolbook" w:hAnsi="Century Schoolbook"/>
          <w:b/>
          <w:bCs/>
        </w:rPr>
        <w:t xml:space="preserve"> </w:t>
      </w:r>
      <w:r>
        <w:tab/>
      </w:r>
      <w:r w:rsidRPr="00071C96">
        <w:rPr>
          <w:rFonts w:ascii="Century Schoolbook" w:hAnsi="Century Schoolbook"/>
          <w:sz w:val="26"/>
          <w:szCs w:val="26"/>
        </w:rPr>
        <w:t xml:space="preserve">Though not pertinent to the </w:t>
      </w:r>
      <w:r>
        <w:rPr>
          <w:rFonts w:ascii="Century Schoolbook" w:hAnsi="Century Schoolbook"/>
          <w:sz w:val="26"/>
          <w:szCs w:val="26"/>
        </w:rPr>
        <w:t>challenge before us</w:t>
      </w:r>
      <w:r w:rsidRPr="00071C96">
        <w:rPr>
          <w:rFonts w:ascii="Century Schoolbook" w:hAnsi="Century Schoolbook"/>
          <w:sz w:val="26"/>
          <w:szCs w:val="26"/>
        </w:rPr>
        <w:t xml:space="preserve">, </w:t>
      </w:r>
      <w:r w:rsidRPr="00950287">
        <w:rPr>
          <w:rFonts w:ascii="Century Schoolbook" w:hAnsi="Century Schoolbook"/>
          <w:sz w:val="26"/>
          <w:szCs w:val="26"/>
        </w:rPr>
        <w:t>S</w:t>
      </w:r>
      <w:r w:rsidR="00BC6A25">
        <w:rPr>
          <w:rFonts w:ascii="Century Schoolbook" w:hAnsi="Century Schoolbook"/>
          <w:sz w:val="26"/>
          <w:szCs w:val="26"/>
        </w:rPr>
        <w:t>enate Bill</w:t>
      </w:r>
      <w:r w:rsidRPr="00950287">
        <w:rPr>
          <w:rFonts w:ascii="Century Schoolbook" w:hAnsi="Century Schoolbook"/>
          <w:sz w:val="26"/>
          <w:szCs w:val="26"/>
        </w:rPr>
        <w:t xml:space="preserve"> 10 </w:t>
      </w:r>
      <w:r>
        <w:rPr>
          <w:rFonts w:ascii="Century Schoolbook" w:hAnsi="Century Schoolbook"/>
          <w:sz w:val="26"/>
          <w:szCs w:val="26"/>
        </w:rPr>
        <w:t xml:space="preserve">generally allows—with some exceptions—the local legislative </w:t>
      </w:r>
      <w:r w:rsidRPr="00950287">
        <w:rPr>
          <w:rFonts w:ascii="Century Schoolbook" w:hAnsi="Century Schoolbook"/>
          <w:sz w:val="26"/>
          <w:szCs w:val="26"/>
        </w:rPr>
        <w:t>body to bypass the California Environmental Quality Act (CEQA) (Pub. Res</w:t>
      </w:r>
      <w:r w:rsidR="00CE25B7">
        <w:rPr>
          <w:rFonts w:ascii="Century Schoolbook" w:hAnsi="Century Schoolbook"/>
          <w:sz w:val="26"/>
          <w:szCs w:val="26"/>
        </w:rPr>
        <w:t>ources</w:t>
      </w:r>
      <w:r w:rsidRPr="00950287">
        <w:rPr>
          <w:rFonts w:ascii="Century Schoolbook" w:hAnsi="Century Schoolbook"/>
          <w:sz w:val="26"/>
          <w:szCs w:val="26"/>
        </w:rPr>
        <w:t xml:space="preserve"> Code, § 21000 et seq.) </w:t>
      </w:r>
      <w:r w:rsidR="00363ADD">
        <w:rPr>
          <w:rFonts w:ascii="Century Schoolbook" w:hAnsi="Century Schoolbook"/>
          <w:sz w:val="26"/>
          <w:szCs w:val="26"/>
        </w:rPr>
        <w:t>by</w:t>
      </w:r>
      <w:r>
        <w:rPr>
          <w:rFonts w:ascii="Century Schoolbook" w:hAnsi="Century Schoolbook"/>
          <w:sz w:val="26"/>
          <w:szCs w:val="26"/>
        </w:rPr>
        <w:t xml:space="preserve"> declar</w:t>
      </w:r>
      <w:r w:rsidR="00363ADD">
        <w:rPr>
          <w:rFonts w:ascii="Century Schoolbook" w:hAnsi="Century Schoolbook"/>
          <w:sz w:val="26"/>
          <w:szCs w:val="26"/>
        </w:rPr>
        <w:t>ing</w:t>
      </w:r>
      <w:r>
        <w:rPr>
          <w:rFonts w:ascii="Century Schoolbook" w:hAnsi="Century Schoolbook"/>
          <w:sz w:val="26"/>
          <w:szCs w:val="26"/>
        </w:rPr>
        <w:t xml:space="preserve"> that an </w:t>
      </w:r>
      <w:r w:rsidRPr="00950287">
        <w:rPr>
          <w:rFonts w:ascii="Century Schoolbook" w:hAnsi="Century Schoolbook"/>
          <w:sz w:val="26"/>
          <w:szCs w:val="26"/>
        </w:rPr>
        <w:t xml:space="preserve">ordinance </w:t>
      </w:r>
      <w:r w:rsidRPr="00071C96">
        <w:rPr>
          <w:rFonts w:ascii="Century Schoolbook" w:hAnsi="Century Schoolbook"/>
          <w:sz w:val="26"/>
          <w:szCs w:val="26"/>
        </w:rPr>
        <w:t>zoning for</w:t>
      </w:r>
      <w:r w:rsidRPr="00950287">
        <w:rPr>
          <w:rFonts w:ascii="Century Schoolbook" w:hAnsi="Century Schoolbook"/>
          <w:sz w:val="26"/>
          <w:szCs w:val="26"/>
        </w:rPr>
        <w:t xml:space="preserve"> high-density </w:t>
      </w:r>
      <w:r w:rsidRPr="00071C96">
        <w:rPr>
          <w:rFonts w:ascii="Century Schoolbook" w:hAnsi="Century Schoolbook"/>
          <w:sz w:val="26"/>
          <w:szCs w:val="26"/>
        </w:rPr>
        <w:t>housing</w:t>
      </w:r>
      <w:r>
        <w:rPr>
          <w:rFonts w:ascii="Century Schoolbook" w:hAnsi="Century Schoolbook"/>
          <w:sz w:val="26"/>
          <w:szCs w:val="26"/>
        </w:rPr>
        <w:t xml:space="preserve"> under its auspices </w:t>
      </w:r>
      <w:r w:rsidR="006B04D0">
        <w:rPr>
          <w:rFonts w:ascii="Century Schoolbook" w:hAnsi="Century Schoolbook"/>
          <w:sz w:val="26"/>
          <w:szCs w:val="26"/>
        </w:rPr>
        <w:t xml:space="preserve">does </w:t>
      </w:r>
      <w:r w:rsidRPr="00950287">
        <w:rPr>
          <w:rFonts w:ascii="Century Schoolbook" w:hAnsi="Century Schoolbook"/>
          <w:sz w:val="26"/>
          <w:szCs w:val="26"/>
        </w:rPr>
        <w:t>“not constitute a ‘project’ for purposes” of CEQA.  (</w:t>
      </w:r>
      <w:r w:rsidRPr="000D1FDE" w:rsidR="000D1FDE">
        <w:rPr>
          <w:rFonts w:ascii="Century Schoolbook" w:hAnsi="Century Schoolbook"/>
          <w:sz w:val="26"/>
          <w:szCs w:val="26"/>
        </w:rPr>
        <w:t xml:space="preserve">Gov. Code, </w:t>
      </w:r>
      <w:r w:rsidRPr="00950287">
        <w:rPr>
          <w:rFonts w:ascii="Century Schoolbook" w:hAnsi="Century Schoolbook"/>
          <w:sz w:val="26"/>
          <w:szCs w:val="26"/>
        </w:rPr>
        <w:t>§ 65913.5, subd. (a)(3)</w:t>
      </w:r>
      <w:r>
        <w:rPr>
          <w:rFonts w:ascii="Century Schoolbook" w:hAnsi="Century Schoolbook"/>
          <w:sz w:val="26"/>
          <w:szCs w:val="26"/>
        </w:rPr>
        <w:t xml:space="preserve">; but see </w:t>
      </w:r>
      <w:r>
        <w:rPr>
          <w:rFonts w:ascii="Century Schoolbook" w:hAnsi="Century Schoolbook"/>
          <w:i/>
          <w:iCs/>
          <w:sz w:val="26"/>
          <w:szCs w:val="26"/>
        </w:rPr>
        <w:t>id.</w:t>
      </w:r>
      <w:r>
        <w:rPr>
          <w:rFonts w:ascii="Century Schoolbook" w:hAnsi="Century Schoolbook"/>
          <w:sz w:val="26"/>
          <w:szCs w:val="26"/>
        </w:rPr>
        <w:t>, subd. (c)</w:t>
      </w:r>
      <w:r w:rsidRPr="00950287">
        <w:rPr>
          <w:rFonts w:ascii="Century Schoolbook" w:hAnsi="Century Schoolbook"/>
          <w:sz w:val="26"/>
          <w:szCs w:val="26"/>
        </w:rPr>
        <w:t>.)</w:t>
      </w:r>
    </w:p>
  </w:footnote>
  <w:footnote w:id="4">
    <w:p w:rsidR="0066538D" w:rsidRPr="0066538D" w:rsidP="0066538D" w14:paraId="1E043202" w14:textId="77777777">
      <w:pPr>
        <w:pStyle w:val="FootnoteText"/>
        <w:rPr>
          <w:rFonts w:ascii="Century Schoolbook" w:hAnsi="Century Schoolbook"/>
          <w:sz w:val="26"/>
          <w:szCs w:val="26"/>
        </w:rPr>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66538D">
        <w:rPr>
          <w:rFonts w:ascii="Century Schoolbook" w:hAnsi="Century Schoolbook"/>
          <w:sz w:val="26"/>
          <w:szCs w:val="26"/>
        </w:rPr>
        <w:t xml:space="preserve">We focus on the rules governing charter </w:t>
      </w:r>
      <w:r w:rsidRPr="0066538D">
        <w:rPr>
          <w:rFonts w:ascii="Century Schoolbook" w:hAnsi="Century Schoolbook"/>
          <w:i/>
          <w:iCs/>
          <w:sz w:val="26"/>
          <w:szCs w:val="26"/>
        </w:rPr>
        <w:t xml:space="preserve">cities </w:t>
      </w:r>
      <w:r w:rsidRPr="0066538D">
        <w:rPr>
          <w:rFonts w:ascii="Century Schoolbook" w:hAnsi="Century Schoolbook"/>
          <w:sz w:val="26"/>
          <w:szCs w:val="26"/>
        </w:rPr>
        <w:t xml:space="preserve">because land use decisions are typically addressed by cities and because Senate Bill 10 purports to supersede only the laws of charter cities, but not charter counties.  </w:t>
      </w:r>
    </w:p>
    <w:p w:rsidR="0066538D" w:rsidRPr="00B10FA5" w:rsidP="0066538D" w14:paraId="21FF2D20" w14:textId="2E123A0F">
      <w:pPr>
        <w:pStyle w:val="FootnoteText"/>
        <w:ind w:firstLine="720"/>
      </w:pPr>
      <w:r w:rsidRPr="0066538D">
        <w:rPr>
          <w:rFonts w:ascii="Century Schoolbook" w:hAnsi="Century Schoolbook"/>
          <w:sz w:val="26"/>
          <w:szCs w:val="26"/>
        </w:rPr>
        <w:t xml:space="preserve">A state law does not supersede an ordinance enacted by a charter </w:t>
      </w:r>
      <w:r w:rsidRPr="0066538D">
        <w:rPr>
          <w:rFonts w:ascii="Century Schoolbook" w:hAnsi="Century Schoolbook"/>
          <w:i/>
          <w:iCs/>
          <w:sz w:val="26"/>
          <w:szCs w:val="26"/>
        </w:rPr>
        <w:t>county</w:t>
      </w:r>
      <w:r w:rsidRPr="0066538D">
        <w:rPr>
          <w:rFonts w:ascii="Century Schoolbook" w:hAnsi="Century Schoolbook"/>
          <w:sz w:val="26"/>
          <w:szCs w:val="26"/>
        </w:rPr>
        <w:t xml:space="preserve"> because a charter county’s ordinances are deemed to be “the law of the </w:t>
      </w:r>
      <w:r w:rsidR="00591C33">
        <w:rPr>
          <w:rFonts w:ascii="Century Schoolbook" w:hAnsi="Century Schoolbook"/>
          <w:sz w:val="26"/>
          <w:szCs w:val="26"/>
        </w:rPr>
        <w:t>[s]</w:t>
      </w:r>
      <w:r w:rsidRPr="0066538D">
        <w:rPr>
          <w:rFonts w:ascii="Century Schoolbook" w:hAnsi="Century Schoolbook"/>
          <w:sz w:val="26"/>
          <w:szCs w:val="26"/>
        </w:rPr>
        <w:t xml:space="preserve">tate and [to] have the force and effect of legislative enactments.”  (Cal. Const., art. XI, § 3(a); </w:t>
      </w:r>
      <w:r w:rsidRPr="0066538D">
        <w:rPr>
          <w:rFonts w:ascii="Century Schoolbook" w:hAnsi="Century Schoolbook"/>
          <w:i/>
          <w:iCs/>
          <w:sz w:val="26"/>
          <w:szCs w:val="26"/>
        </w:rPr>
        <w:t xml:space="preserve">Holmgren v. County of Los Angeles </w:t>
      </w:r>
      <w:r w:rsidRPr="0066538D">
        <w:rPr>
          <w:rFonts w:ascii="Century Schoolbook" w:hAnsi="Century Schoolbook"/>
          <w:sz w:val="26"/>
          <w:szCs w:val="26"/>
        </w:rPr>
        <w:t xml:space="preserve">(2008) 159 Cal.App.4th 593, 601.)  As to matters of employee compensation, a charter county’s law </w:t>
      </w:r>
      <w:r w:rsidRPr="00363ADD">
        <w:rPr>
          <w:rFonts w:ascii="Century Schoolbook" w:hAnsi="Century Schoolbook"/>
          <w:i/>
          <w:iCs/>
          <w:sz w:val="26"/>
          <w:szCs w:val="26"/>
        </w:rPr>
        <w:t>supersedes</w:t>
      </w:r>
      <w:r w:rsidRPr="0066538D">
        <w:rPr>
          <w:rFonts w:ascii="Century Schoolbook" w:hAnsi="Century Schoolbook"/>
          <w:sz w:val="26"/>
          <w:szCs w:val="26"/>
        </w:rPr>
        <w:t xml:space="preserve"> state law.  (Cal. Const.</w:t>
      </w:r>
      <w:r w:rsidR="00613A22">
        <w:rPr>
          <w:rFonts w:ascii="Century Schoolbook" w:hAnsi="Century Schoolbook"/>
          <w:sz w:val="26"/>
          <w:szCs w:val="26"/>
        </w:rPr>
        <w:t>,</w:t>
      </w:r>
      <w:r w:rsidRPr="0066538D">
        <w:rPr>
          <w:rFonts w:ascii="Century Schoolbook" w:hAnsi="Century Schoolbook"/>
          <w:sz w:val="26"/>
          <w:szCs w:val="26"/>
        </w:rPr>
        <w:t xml:space="preserve"> art. XI, § 4(g); </w:t>
      </w:r>
      <w:r w:rsidRPr="0066538D">
        <w:rPr>
          <w:rFonts w:ascii="Century Schoolbook" w:hAnsi="Century Schoolbook"/>
          <w:i/>
          <w:iCs/>
          <w:sz w:val="26"/>
          <w:szCs w:val="26"/>
        </w:rPr>
        <w:t xml:space="preserve">Association for Los Angeles Deputy Sheriffs v. County of Los Angeles </w:t>
      </w:r>
      <w:r w:rsidRPr="0066538D">
        <w:rPr>
          <w:rFonts w:ascii="Century Schoolbook" w:hAnsi="Century Schoolbook"/>
          <w:sz w:val="26"/>
          <w:szCs w:val="26"/>
        </w:rPr>
        <w:t>(2021) 60 Cal.App.5th 327, 338.)</w:t>
      </w:r>
    </w:p>
  </w:footnote>
  <w:footnote w:id="5">
    <w:p w:rsidR="0066538D" w:rsidRPr="00DC1BDC" w14:paraId="006E1929" w14:textId="7840990D">
      <w:pPr>
        <w:pStyle w:val="FootnoteText"/>
        <w:rPr>
          <w:rFonts w:ascii="Century Schoolbook" w:hAnsi="Century Schoolbook"/>
          <w:sz w:val="26"/>
          <w:szCs w:val="26"/>
        </w:rPr>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DC1BDC" w:rsidR="00DC1BDC">
        <w:rPr>
          <w:rFonts w:ascii="Century Schoolbook" w:hAnsi="Century Schoolbook"/>
          <w:sz w:val="26"/>
          <w:szCs w:val="26"/>
        </w:rPr>
        <w:t xml:space="preserve">There is an exception to this rule:  Ordinances adopted by a charter city addressing a variety of topics involving the organization of the city’s officers, elections, police force, and issues of compensation are even more insulated from state oversight.  (Cal. Const., art. XI, § 5(b).)  Because Senate Bill 10 does not implicate any of these topics, this exception is irrelevant. </w:t>
      </w:r>
    </w:p>
  </w:footnote>
  <w:footnote w:id="6">
    <w:p w:rsidR="00B6035C" w:rsidRPr="00B6035C" w14:paraId="7D0985A5" w14:textId="05F7E1B0">
      <w:pPr>
        <w:pStyle w:val="FootnoteText"/>
        <w:rPr>
          <w:rFonts w:ascii="Century Schoolbook" w:hAnsi="Century Schoolbook"/>
          <w:sz w:val="26"/>
          <w:szCs w:val="26"/>
        </w:rPr>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B6035C">
        <w:rPr>
          <w:rFonts w:ascii="Century Schoolbook" w:hAnsi="Century Schoolbook"/>
          <w:sz w:val="26"/>
          <w:szCs w:val="26"/>
        </w:rPr>
        <w:t>We may take judicial notice of this legislative history.  (Evid. Code, §§ 452, subd. (c), 459.)</w:t>
      </w:r>
    </w:p>
  </w:footnote>
  <w:footnote w:id="7">
    <w:p w:rsidR="00C3393B" w:rsidRPr="00C3393B" w:rsidP="009B1F67" w14:paraId="0CC91813" w14:textId="0C4A2812">
      <w:pPr>
        <w:pStyle w:val="FootnoteText"/>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C3393B">
        <w:rPr>
          <w:rFonts w:ascii="Century Schoolbook" w:hAnsi="Century Schoolbook"/>
          <w:sz w:val="26"/>
          <w:szCs w:val="26"/>
        </w:rPr>
        <w:t>This type of preemption also exists in the inverse situation where the local law says</w:t>
      </w:r>
      <w:r w:rsidR="00703D66">
        <w:rPr>
          <w:rFonts w:ascii="Century Schoolbook" w:hAnsi="Century Schoolbook"/>
          <w:sz w:val="26"/>
          <w:szCs w:val="26"/>
        </w:rPr>
        <w:t>,</w:t>
      </w:r>
      <w:r w:rsidRPr="00C3393B">
        <w:rPr>
          <w:rFonts w:ascii="Century Schoolbook" w:hAnsi="Century Schoolbook"/>
          <w:sz w:val="26"/>
          <w:szCs w:val="26"/>
        </w:rPr>
        <w:t xml:space="preserve"> “You </w:t>
      </w:r>
      <w:r w:rsidRPr="00C3393B">
        <w:rPr>
          <w:rFonts w:ascii="Century Schoolbook" w:hAnsi="Century Schoolbook"/>
          <w:i/>
          <w:iCs/>
          <w:sz w:val="26"/>
          <w:szCs w:val="26"/>
        </w:rPr>
        <w:t>must</w:t>
      </w:r>
      <w:r w:rsidRPr="00C3393B">
        <w:rPr>
          <w:rFonts w:ascii="Century Schoolbook" w:hAnsi="Century Schoolbook"/>
          <w:sz w:val="26"/>
          <w:szCs w:val="26"/>
        </w:rPr>
        <w:t xml:space="preserve"> do X</w:t>
      </w:r>
      <w:r w:rsidR="00554686">
        <w:rPr>
          <w:rFonts w:ascii="Century Schoolbook" w:hAnsi="Century Schoolbook"/>
          <w:sz w:val="26"/>
          <w:szCs w:val="26"/>
        </w:rPr>
        <w:t>,</w:t>
      </w:r>
      <w:r w:rsidRPr="00C3393B">
        <w:rPr>
          <w:rFonts w:ascii="Century Schoolbook" w:hAnsi="Century Schoolbook"/>
          <w:sz w:val="26"/>
          <w:szCs w:val="26"/>
        </w:rPr>
        <w:t xml:space="preserve">” and the state law says, “You </w:t>
      </w:r>
      <w:r w:rsidRPr="00C3393B">
        <w:rPr>
          <w:rFonts w:ascii="Century Schoolbook" w:hAnsi="Century Schoolbook"/>
          <w:i/>
          <w:iCs/>
          <w:sz w:val="26"/>
          <w:szCs w:val="26"/>
        </w:rPr>
        <w:t>cannot</w:t>
      </w:r>
      <w:r w:rsidRPr="00C3393B">
        <w:rPr>
          <w:rFonts w:ascii="Century Schoolbook" w:hAnsi="Century Schoolbook"/>
          <w:sz w:val="26"/>
          <w:szCs w:val="26"/>
        </w:rPr>
        <w:t xml:space="preserve"> do X.”  (</w:t>
      </w:r>
      <w:r w:rsidR="002B3A3C">
        <w:rPr>
          <w:rFonts w:ascii="Century Schoolbook" w:eastAsia="Calibri" w:hAnsi="Century Schoolbook"/>
          <w:i/>
          <w:iCs/>
          <w:sz w:val="26"/>
          <w:szCs w:val="22"/>
        </w:rPr>
        <w:t>City of Riverside</w:t>
      </w:r>
      <w:r w:rsidRPr="00040BB3" w:rsidR="002B3A3C">
        <w:rPr>
          <w:rFonts w:ascii="Century Schoolbook" w:eastAsia="Calibri" w:hAnsi="Century Schoolbook"/>
          <w:sz w:val="26"/>
          <w:szCs w:val="22"/>
        </w:rPr>
        <w:t>,</w:t>
      </w:r>
      <w:r w:rsidR="002B3A3C">
        <w:rPr>
          <w:rFonts w:ascii="Century Schoolbook" w:eastAsia="Calibri" w:hAnsi="Century Schoolbook"/>
          <w:i/>
          <w:iCs/>
          <w:sz w:val="26"/>
          <w:szCs w:val="22"/>
        </w:rPr>
        <w:t xml:space="preserve"> supra</w:t>
      </w:r>
      <w:r w:rsidR="002B3A3C">
        <w:rPr>
          <w:rFonts w:ascii="Century Schoolbook" w:eastAsia="Calibri" w:hAnsi="Century Schoolbook"/>
          <w:sz w:val="26"/>
          <w:szCs w:val="22"/>
        </w:rPr>
        <w:t>, 56 Cal.4th at p.</w:t>
      </w:r>
      <w:r w:rsidR="00D4219D">
        <w:rPr>
          <w:rFonts w:ascii="Century Schoolbook" w:eastAsia="Calibri" w:hAnsi="Century Schoolbook"/>
          <w:sz w:val="26"/>
          <w:szCs w:val="22"/>
        </w:rPr>
        <w:t xml:space="preserve"> </w:t>
      </w:r>
      <w:r w:rsidR="00A51348">
        <w:rPr>
          <w:rFonts w:ascii="Century Schoolbook" w:eastAsia="Calibri" w:hAnsi="Century Schoolbook"/>
          <w:sz w:val="26"/>
          <w:szCs w:val="22"/>
        </w:rPr>
        <w:t>743.</w:t>
      </w:r>
      <w:r w:rsidRPr="00C3393B">
        <w:rPr>
          <w:rFonts w:ascii="Century Schoolbook" w:hAnsi="Century Schoolbook"/>
          <w:sz w:val="26"/>
          <w:szCs w:val="26"/>
        </w:rPr>
        <w:t>)</w:t>
      </w:r>
    </w:p>
  </w:footnote>
  <w:footnote w:id="8">
    <w:p w:rsidR="00B37B4A" w:rsidRPr="00B37B4A" w14:paraId="0B2364D7" w14:textId="714CA94E">
      <w:pPr>
        <w:pStyle w:val="FootnoteText"/>
        <w:rPr>
          <w:rFonts w:ascii="Century Schoolbook" w:hAnsi="Century Schoolbook"/>
          <w:sz w:val="26"/>
          <w:szCs w:val="26"/>
        </w:rPr>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B37B4A">
        <w:rPr>
          <w:rFonts w:ascii="Century Schoolbook" w:hAnsi="Century Schoolbook"/>
          <w:sz w:val="26"/>
          <w:szCs w:val="26"/>
        </w:rPr>
        <w:t xml:space="preserve">Voters also have the power to enact </w:t>
      </w:r>
      <w:r w:rsidRPr="00B37B4A">
        <w:rPr>
          <w:rFonts w:ascii="Century Schoolbook" w:hAnsi="Century Schoolbook"/>
          <w:i/>
          <w:iCs/>
          <w:sz w:val="26"/>
          <w:szCs w:val="26"/>
        </w:rPr>
        <w:t>state</w:t>
      </w:r>
      <w:r w:rsidRPr="00B37B4A">
        <w:rPr>
          <w:rFonts w:ascii="Century Schoolbook" w:hAnsi="Century Schoolbook"/>
          <w:sz w:val="26"/>
          <w:szCs w:val="26"/>
        </w:rPr>
        <w:t xml:space="preserve"> laws by initiative. (Cal. Const., art. II, § 8.)</w:t>
      </w:r>
    </w:p>
  </w:footnote>
  <w:footnote w:id="9">
    <w:p w:rsidR="000A2374" w:rsidRPr="001A2C8B" w:rsidP="000A2374" w14:paraId="72C874C7" w14:textId="77777777">
      <w:pPr>
        <w:pStyle w:val="FootnoteText"/>
        <w:rPr>
          <w:rFonts w:ascii="Century Schoolbook" w:hAnsi="Century Schoolbook"/>
          <w:sz w:val="26"/>
          <w:szCs w:val="26"/>
        </w:rPr>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1A2C8B">
        <w:rPr>
          <w:rFonts w:ascii="Century Schoolbook" w:hAnsi="Century Schoolbook"/>
          <w:sz w:val="26"/>
          <w:szCs w:val="26"/>
        </w:rPr>
        <w:t>We therefore disagree with the trial court’s ruling on this point.</w:t>
      </w:r>
    </w:p>
  </w:footnote>
  <w:footnote w:id="10">
    <w:p w:rsidR="004F3E6E" w:rsidRPr="004F3E6E" w14:paraId="60A6F17A" w14:textId="705745A2">
      <w:pPr>
        <w:pStyle w:val="FootnoteText"/>
      </w:pPr>
      <w:r w:rsidRPr="008722BB">
        <w:rPr>
          <w:rStyle w:val="FootnoteReference"/>
          <w:rFonts w:ascii="Century Schoolbook" w:hAnsi="Century Schoolbook"/>
          <w:b/>
          <w:bCs/>
          <w:sz w:val="20"/>
          <w:vertAlign w:val="baseline"/>
        </w:rPr>
        <w:footnoteRef/>
      </w:r>
      <w:r w:rsidRPr="008722BB">
        <w:rPr>
          <w:rFonts w:ascii="Century Schoolbook" w:hAnsi="Century Schoolbook"/>
          <w:b/>
          <w:bCs/>
        </w:rPr>
        <w:t xml:space="preserve"> </w:t>
      </w:r>
      <w:r>
        <w:tab/>
      </w:r>
      <w:r w:rsidRPr="004F3E6E">
        <w:rPr>
          <w:rFonts w:ascii="Century Schoolbook" w:hAnsi="Century Schoolbook"/>
          <w:sz w:val="26"/>
          <w:szCs w:val="26"/>
        </w:rPr>
        <w:t xml:space="preserve">We note that this argument is logically incompatible with petitioners’ other argument, discussed above, that the local initiative power can </w:t>
      </w:r>
      <w:r w:rsidRPr="004F3E6E">
        <w:rPr>
          <w:rFonts w:ascii="Century Schoolbook" w:hAnsi="Century Schoolbook"/>
          <w:i/>
          <w:iCs/>
          <w:sz w:val="26"/>
          <w:szCs w:val="26"/>
        </w:rPr>
        <w:t>never</w:t>
      </w:r>
      <w:r w:rsidRPr="004F3E6E">
        <w:rPr>
          <w:rFonts w:ascii="Century Schoolbook" w:hAnsi="Century Schoolbook"/>
          <w:sz w:val="26"/>
          <w:szCs w:val="26"/>
        </w:rPr>
        <w:t xml:space="preserve"> be delegated because it inheres in the voters.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FB5" w14:paraId="6FDC7E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FB5" w14:paraId="0A3DC5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FB5" w14:paraId="5CA066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343BDF"/>
    <w:multiLevelType w:val="hybridMultilevel"/>
    <w:tmpl w:val="9DA653EC"/>
    <w:lvl w:ilvl="0">
      <w:start w:val="1"/>
      <w:numFmt w:val="bullet"/>
      <w:lvlText w:val="-"/>
      <w:lvlJc w:val="left"/>
      <w:pPr>
        <w:ind w:left="720" w:hanging="360"/>
      </w:pPr>
      <w:rPr>
        <w:rFonts w:ascii="Century Schoolbook" w:hAnsi="Century Schoolbook"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B141DE"/>
    <w:multiLevelType w:val="hybridMultilevel"/>
    <w:tmpl w:val="0AF48530"/>
    <w:lvl w:ilvl="0">
      <w:start w:val="1290"/>
      <w:numFmt w:val="bullet"/>
      <w:lvlText w:val="-"/>
      <w:lvlJc w:val="left"/>
      <w:pPr>
        <w:ind w:left="720" w:hanging="360"/>
      </w:pPr>
      <w:rPr>
        <w:rFonts w:ascii="Century Schoolbook" w:hAnsi="Century School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55E5DEE"/>
    <w:multiLevelType w:val="hybridMultilevel"/>
    <w:tmpl w:val="CA940AB6"/>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004C8"/>
    <w:rsid w:val="00000826"/>
    <w:rsid w:val="00000A0B"/>
    <w:rsid w:val="000015F1"/>
    <w:rsid w:val="00002255"/>
    <w:rsid w:val="00002532"/>
    <w:rsid w:val="0000291C"/>
    <w:rsid w:val="000029DE"/>
    <w:rsid w:val="00002D66"/>
    <w:rsid w:val="00002DEC"/>
    <w:rsid w:val="0000375F"/>
    <w:rsid w:val="00003B6D"/>
    <w:rsid w:val="00003E3C"/>
    <w:rsid w:val="00004B3E"/>
    <w:rsid w:val="00004B7A"/>
    <w:rsid w:val="00004CFC"/>
    <w:rsid w:val="00004CFE"/>
    <w:rsid w:val="00005099"/>
    <w:rsid w:val="00005340"/>
    <w:rsid w:val="00005E71"/>
    <w:rsid w:val="00005EB5"/>
    <w:rsid w:val="00005FBE"/>
    <w:rsid w:val="00006833"/>
    <w:rsid w:val="00006A32"/>
    <w:rsid w:val="00006EE3"/>
    <w:rsid w:val="00007039"/>
    <w:rsid w:val="000074A0"/>
    <w:rsid w:val="000078C0"/>
    <w:rsid w:val="00007D92"/>
    <w:rsid w:val="0001002C"/>
    <w:rsid w:val="000103E0"/>
    <w:rsid w:val="0001088C"/>
    <w:rsid w:val="00010921"/>
    <w:rsid w:val="00010CC4"/>
    <w:rsid w:val="00010E09"/>
    <w:rsid w:val="00011022"/>
    <w:rsid w:val="00011098"/>
    <w:rsid w:val="00011184"/>
    <w:rsid w:val="00011229"/>
    <w:rsid w:val="000116BD"/>
    <w:rsid w:val="00012405"/>
    <w:rsid w:val="00012446"/>
    <w:rsid w:val="000125D1"/>
    <w:rsid w:val="0001262B"/>
    <w:rsid w:val="00012B51"/>
    <w:rsid w:val="00013953"/>
    <w:rsid w:val="00015D6F"/>
    <w:rsid w:val="00015F54"/>
    <w:rsid w:val="0001622B"/>
    <w:rsid w:val="00016392"/>
    <w:rsid w:val="00016E3A"/>
    <w:rsid w:val="00016E4B"/>
    <w:rsid w:val="00017308"/>
    <w:rsid w:val="00017625"/>
    <w:rsid w:val="0001766D"/>
    <w:rsid w:val="00017CFD"/>
    <w:rsid w:val="0002016D"/>
    <w:rsid w:val="000217D2"/>
    <w:rsid w:val="00021A89"/>
    <w:rsid w:val="00021C01"/>
    <w:rsid w:val="000223F8"/>
    <w:rsid w:val="000227D1"/>
    <w:rsid w:val="00022952"/>
    <w:rsid w:val="00022A18"/>
    <w:rsid w:val="00022B79"/>
    <w:rsid w:val="000233C4"/>
    <w:rsid w:val="00023512"/>
    <w:rsid w:val="00023A85"/>
    <w:rsid w:val="00023D41"/>
    <w:rsid w:val="000243B7"/>
    <w:rsid w:val="000245A9"/>
    <w:rsid w:val="000245B3"/>
    <w:rsid w:val="000247C4"/>
    <w:rsid w:val="0002481B"/>
    <w:rsid w:val="00024B6A"/>
    <w:rsid w:val="00024C52"/>
    <w:rsid w:val="000251A3"/>
    <w:rsid w:val="000252C8"/>
    <w:rsid w:val="0002540C"/>
    <w:rsid w:val="00025C58"/>
    <w:rsid w:val="000265D6"/>
    <w:rsid w:val="00026D41"/>
    <w:rsid w:val="0002793C"/>
    <w:rsid w:val="00027EFB"/>
    <w:rsid w:val="00030271"/>
    <w:rsid w:val="000303B7"/>
    <w:rsid w:val="00030707"/>
    <w:rsid w:val="00030A2F"/>
    <w:rsid w:val="00030A82"/>
    <w:rsid w:val="00030C5B"/>
    <w:rsid w:val="000315DA"/>
    <w:rsid w:val="00031C35"/>
    <w:rsid w:val="00031C3E"/>
    <w:rsid w:val="00031E7E"/>
    <w:rsid w:val="00032104"/>
    <w:rsid w:val="00032530"/>
    <w:rsid w:val="000329E2"/>
    <w:rsid w:val="00032A48"/>
    <w:rsid w:val="00032A9C"/>
    <w:rsid w:val="00032B0B"/>
    <w:rsid w:val="000333E0"/>
    <w:rsid w:val="00033549"/>
    <w:rsid w:val="000335D4"/>
    <w:rsid w:val="000335E0"/>
    <w:rsid w:val="00034001"/>
    <w:rsid w:val="00034D2E"/>
    <w:rsid w:val="000351B8"/>
    <w:rsid w:val="000353AD"/>
    <w:rsid w:val="0003556A"/>
    <w:rsid w:val="0003686E"/>
    <w:rsid w:val="00036DA5"/>
    <w:rsid w:val="000370C6"/>
    <w:rsid w:val="0003777C"/>
    <w:rsid w:val="00040022"/>
    <w:rsid w:val="00040063"/>
    <w:rsid w:val="00040BB3"/>
    <w:rsid w:val="00040C36"/>
    <w:rsid w:val="0004129E"/>
    <w:rsid w:val="00042603"/>
    <w:rsid w:val="00042816"/>
    <w:rsid w:val="00042B8B"/>
    <w:rsid w:val="000431ED"/>
    <w:rsid w:val="00043243"/>
    <w:rsid w:val="000433DF"/>
    <w:rsid w:val="000438C4"/>
    <w:rsid w:val="00043917"/>
    <w:rsid w:val="00044A45"/>
    <w:rsid w:val="00044AF8"/>
    <w:rsid w:val="00044E2E"/>
    <w:rsid w:val="000455F2"/>
    <w:rsid w:val="00046072"/>
    <w:rsid w:val="000462E8"/>
    <w:rsid w:val="000470AB"/>
    <w:rsid w:val="00047585"/>
    <w:rsid w:val="00047715"/>
    <w:rsid w:val="0005007D"/>
    <w:rsid w:val="00050911"/>
    <w:rsid w:val="00050B05"/>
    <w:rsid w:val="00050B54"/>
    <w:rsid w:val="00050CFD"/>
    <w:rsid w:val="000515D1"/>
    <w:rsid w:val="00051965"/>
    <w:rsid w:val="00052330"/>
    <w:rsid w:val="000528A5"/>
    <w:rsid w:val="000528B0"/>
    <w:rsid w:val="00052CA3"/>
    <w:rsid w:val="00052CF9"/>
    <w:rsid w:val="00052FF2"/>
    <w:rsid w:val="00053C6F"/>
    <w:rsid w:val="00053E94"/>
    <w:rsid w:val="00054008"/>
    <w:rsid w:val="0005411D"/>
    <w:rsid w:val="0005463A"/>
    <w:rsid w:val="00054F12"/>
    <w:rsid w:val="000554B2"/>
    <w:rsid w:val="000554EB"/>
    <w:rsid w:val="0005605C"/>
    <w:rsid w:val="000561F8"/>
    <w:rsid w:val="00056EC6"/>
    <w:rsid w:val="00057224"/>
    <w:rsid w:val="000572E9"/>
    <w:rsid w:val="0005758D"/>
    <w:rsid w:val="000579B7"/>
    <w:rsid w:val="00057A33"/>
    <w:rsid w:val="000602CA"/>
    <w:rsid w:val="0006089D"/>
    <w:rsid w:val="00060B44"/>
    <w:rsid w:val="00060B6C"/>
    <w:rsid w:val="00061010"/>
    <w:rsid w:val="00062301"/>
    <w:rsid w:val="0006294A"/>
    <w:rsid w:val="00062F1D"/>
    <w:rsid w:val="00062F75"/>
    <w:rsid w:val="00063053"/>
    <w:rsid w:val="00063137"/>
    <w:rsid w:val="0006317E"/>
    <w:rsid w:val="00063B56"/>
    <w:rsid w:val="00063CAD"/>
    <w:rsid w:val="00063DE3"/>
    <w:rsid w:val="00064BB2"/>
    <w:rsid w:val="000656E4"/>
    <w:rsid w:val="000658C4"/>
    <w:rsid w:val="00065AAE"/>
    <w:rsid w:val="00065C9D"/>
    <w:rsid w:val="00065E1B"/>
    <w:rsid w:val="0006601F"/>
    <w:rsid w:val="000661E6"/>
    <w:rsid w:val="0006629D"/>
    <w:rsid w:val="000663D0"/>
    <w:rsid w:val="00066786"/>
    <w:rsid w:val="00067772"/>
    <w:rsid w:val="000708A0"/>
    <w:rsid w:val="000709C8"/>
    <w:rsid w:val="0007115F"/>
    <w:rsid w:val="00071B5C"/>
    <w:rsid w:val="00071C19"/>
    <w:rsid w:val="00071C96"/>
    <w:rsid w:val="00072972"/>
    <w:rsid w:val="00072E0A"/>
    <w:rsid w:val="00072F07"/>
    <w:rsid w:val="00073D2F"/>
    <w:rsid w:val="00073FB2"/>
    <w:rsid w:val="00074712"/>
    <w:rsid w:val="0007510C"/>
    <w:rsid w:val="0007571A"/>
    <w:rsid w:val="000759E0"/>
    <w:rsid w:val="00075DD8"/>
    <w:rsid w:val="00076610"/>
    <w:rsid w:val="0007781C"/>
    <w:rsid w:val="00077EEE"/>
    <w:rsid w:val="000800B5"/>
    <w:rsid w:val="0008036C"/>
    <w:rsid w:val="000803DA"/>
    <w:rsid w:val="000806BF"/>
    <w:rsid w:val="00080C2F"/>
    <w:rsid w:val="0008102D"/>
    <w:rsid w:val="0008112B"/>
    <w:rsid w:val="00081538"/>
    <w:rsid w:val="000816D4"/>
    <w:rsid w:val="000816F3"/>
    <w:rsid w:val="00081DC3"/>
    <w:rsid w:val="000821EE"/>
    <w:rsid w:val="0008236C"/>
    <w:rsid w:val="00082389"/>
    <w:rsid w:val="00082534"/>
    <w:rsid w:val="000826FD"/>
    <w:rsid w:val="00082BAC"/>
    <w:rsid w:val="00082D58"/>
    <w:rsid w:val="00082D8F"/>
    <w:rsid w:val="00083122"/>
    <w:rsid w:val="000831DD"/>
    <w:rsid w:val="0008332B"/>
    <w:rsid w:val="0008362C"/>
    <w:rsid w:val="00083648"/>
    <w:rsid w:val="00083801"/>
    <w:rsid w:val="00083887"/>
    <w:rsid w:val="000838B7"/>
    <w:rsid w:val="00083B12"/>
    <w:rsid w:val="00084146"/>
    <w:rsid w:val="000848B2"/>
    <w:rsid w:val="00084F56"/>
    <w:rsid w:val="000858B2"/>
    <w:rsid w:val="000858BC"/>
    <w:rsid w:val="000859C6"/>
    <w:rsid w:val="00085E64"/>
    <w:rsid w:val="00086003"/>
    <w:rsid w:val="00086411"/>
    <w:rsid w:val="0008684D"/>
    <w:rsid w:val="00086895"/>
    <w:rsid w:val="00086DD7"/>
    <w:rsid w:val="000875D0"/>
    <w:rsid w:val="00087930"/>
    <w:rsid w:val="00087B54"/>
    <w:rsid w:val="00087DB7"/>
    <w:rsid w:val="00090E25"/>
    <w:rsid w:val="0009105B"/>
    <w:rsid w:val="00091166"/>
    <w:rsid w:val="0009151E"/>
    <w:rsid w:val="000917B1"/>
    <w:rsid w:val="00091C3C"/>
    <w:rsid w:val="00092275"/>
    <w:rsid w:val="00092551"/>
    <w:rsid w:val="0009271D"/>
    <w:rsid w:val="000934ED"/>
    <w:rsid w:val="0009365F"/>
    <w:rsid w:val="00093AE8"/>
    <w:rsid w:val="00093C9A"/>
    <w:rsid w:val="00093EF0"/>
    <w:rsid w:val="00094415"/>
    <w:rsid w:val="00094771"/>
    <w:rsid w:val="00094847"/>
    <w:rsid w:val="00094867"/>
    <w:rsid w:val="000949F8"/>
    <w:rsid w:val="00094D7F"/>
    <w:rsid w:val="00094E04"/>
    <w:rsid w:val="00094E49"/>
    <w:rsid w:val="0009512E"/>
    <w:rsid w:val="00095334"/>
    <w:rsid w:val="00095660"/>
    <w:rsid w:val="00095E9B"/>
    <w:rsid w:val="00096574"/>
    <w:rsid w:val="000967D4"/>
    <w:rsid w:val="00096E64"/>
    <w:rsid w:val="000973D9"/>
    <w:rsid w:val="000978C7"/>
    <w:rsid w:val="00097B9E"/>
    <w:rsid w:val="000A0011"/>
    <w:rsid w:val="000A02FC"/>
    <w:rsid w:val="000A0436"/>
    <w:rsid w:val="000A192D"/>
    <w:rsid w:val="000A1E3A"/>
    <w:rsid w:val="000A1E7C"/>
    <w:rsid w:val="000A2374"/>
    <w:rsid w:val="000A2571"/>
    <w:rsid w:val="000A2EEA"/>
    <w:rsid w:val="000A31BF"/>
    <w:rsid w:val="000A3347"/>
    <w:rsid w:val="000A35F3"/>
    <w:rsid w:val="000A387A"/>
    <w:rsid w:val="000A3EB2"/>
    <w:rsid w:val="000A4539"/>
    <w:rsid w:val="000A49D3"/>
    <w:rsid w:val="000A4A85"/>
    <w:rsid w:val="000A52C5"/>
    <w:rsid w:val="000A63CF"/>
    <w:rsid w:val="000A70F2"/>
    <w:rsid w:val="000A7244"/>
    <w:rsid w:val="000A7BA9"/>
    <w:rsid w:val="000B02B0"/>
    <w:rsid w:val="000B0341"/>
    <w:rsid w:val="000B03E7"/>
    <w:rsid w:val="000B08D0"/>
    <w:rsid w:val="000B0C98"/>
    <w:rsid w:val="000B0C9C"/>
    <w:rsid w:val="000B18B8"/>
    <w:rsid w:val="000B18D8"/>
    <w:rsid w:val="000B1AFF"/>
    <w:rsid w:val="000B2255"/>
    <w:rsid w:val="000B25B4"/>
    <w:rsid w:val="000B2AA7"/>
    <w:rsid w:val="000B3108"/>
    <w:rsid w:val="000B38C0"/>
    <w:rsid w:val="000B3DF4"/>
    <w:rsid w:val="000B406A"/>
    <w:rsid w:val="000B4286"/>
    <w:rsid w:val="000B42E9"/>
    <w:rsid w:val="000B45D4"/>
    <w:rsid w:val="000B49DD"/>
    <w:rsid w:val="000B4CAC"/>
    <w:rsid w:val="000B4F36"/>
    <w:rsid w:val="000B51BD"/>
    <w:rsid w:val="000B549A"/>
    <w:rsid w:val="000B5565"/>
    <w:rsid w:val="000B5E5E"/>
    <w:rsid w:val="000B62D8"/>
    <w:rsid w:val="000B6A94"/>
    <w:rsid w:val="000B6AE6"/>
    <w:rsid w:val="000B6C30"/>
    <w:rsid w:val="000B6F63"/>
    <w:rsid w:val="000B6F95"/>
    <w:rsid w:val="000B7149"/>
    <w:rsid w:val="000B788E"/>
    <w:rsid w:val="000B7A7D"/>
    <w:rsid w:val="000C091B"/>
    <w:rsid w:val="000C098B"/>
    <w:rsid w:val="000C0AFB"/>
    <w:rsid w:val="000C0FFC"/>
    <w:rsid w:val="000C1785"/>
    <w:rsid w:val="000C17FF"/>
    <w:rsid w:val="000C20A3"/>
    <w:rsid w:val="000C25E7"/>
    <w:rsid w:val="000C2E0D"/>
    <w:rsid w:val="000C33EC"/>
    <w:rsid w:val="000C35A1"/>
    <w:rsid w:val="000C3727"/>
    <w:rsid w:val="000C3777"/>
    <w:rsid w:val="000C377F"/>
    <w:rsid w:val="000C3EA2"/>
    <w:rsid w:val="000C4351"/>
    <w:rsid w:val="000C46B8"/>
    <w:rsid w:val="000C4BE6"/>
    <w:rsid w:val="000C4C40"/>
    <w:rsid w:val="000C58E9"/>
    <w:rsid w:val="000C595F"/>
    <w:rsid w:val="000C65C6"/>
    <w:rsid w:val="000C6799"/>
    <w:rsid w:val="000C67EF"/>
    <w:rsid w:val="000C6B13"/>
    <w:rsid w:val="000C703A"/>
    <w:rsid w:val="000C7174"/>
    <w:rsid w:val="000C7A35"/>
    <w:rsid w:val="000C7F75"/>
    <w:rsid w:val="000D0AB9"/>
    <w:rsid w:val="000D1012"/>
    <w:rsid w:val="000D1369"/>
    <w:rsid w:val="000D1505"/>
    <w:rsid w:val="000D18C1"/>
    <w:rsid w:val="000D18E0"/>
    <w:rsid w:val="000D1FDE"/>
    <w:rsid w:val="000D27CD"/>
    <w:rsid w:val="000D2931"/>
    <w:rsid w:val="000D2BB6"/>
    <w:rsid w:val="000D3077"/>
    <w:rsid w:val="000D34D7"/>
    <w:rsid w:val="000D38EC"/>
    <w:rsid w:val="000D3B5E"/>
    <w:rsid w:val="000D3D19"/>
    <w:rsid w:val="000D41E5"/>
    <w:rsid w:val="000D4872"/>
    <w:rsid w:val="000D558F"/>
    <w:rsid w:val="000D5E80"/>
    <w:rsid w:val="000D60EA"/>
    <w:rsid w:val="000D66E2"/>
    <w:rsid w:val="000D6819"/>
    <w:rsid w:val="000D699F"/>
    <w:rsid w:val="000D7110"/>
    <w:rsid w:val="000D7884"/>
    <w:rsid w:val="000D7FE6"/>
    <w:rsid w:val="000E003B"/>
    <w:rsid w:val="000E03E6"/>
    <w:rsid w:val="000E0660"/>
    <w:rsid w:val="000E0764"/>
    <w:rsid w:val="000E087C"/>
    <w:rsid w:val="000E0E48"/>
    <w:rsid w:val="000E12E7"/>
    <w:rsid w:val="000E151E"/>
    <w:rsid w:val="000E1D1D"/>
    <w:rsid w:val="000E26DD"/>
    <w:rsid w:val="000E2B00"/>
    <w:rsid w:val="000E2C13"/>
    <w:rsid w:val="000E3B21"/>
    <w:rsid w:val="000E3C79"/>
    <w:rsid w:val="000E41D7"/>
    <w:rsid w:val="000E41F5"/>
    <w:rsid w:val="000E434F"/>
    <w:rsid w:val="000E4665"/>
    <w:rsid w:val="000E556B"/>
    <w:rsid w:val="000E6680"/>
    <w:rsid w:val="000E6789"/>
    <w:rsid w:val="000E691F"/>
    <w:rsid w:val="000E6B70"/>
    <w:rsid w:val="000E6F92"/>
    <w:rsid w:val="000E72EB"/>
    <w:rsid w:val="000E753E"/>
    <w:rsid w:val="000E75C3"/>
    <w:rsid w:val="000E765F"/>
    <w:rsid w:val="000E79A2"/>
    <w:rsid w:val="000E7F83"/>
    <w:rsid w:val="000F0AB6"/>
    <w:rsid w:val="000F0BC0"/>
    <w:rsid w:val="000F1168"/>
    <w:rsid w:val="000F27E1"/>
    <w:rsid w:val="000F2839"/>
    <w:rsid w:val="000F2AFF"/>
    <w:rsid w:val="000F2C9A"/>
    <w:rsid w:val="000F2E63"/>
    <w:rsid w:val="000F3D86"/>
    <w:rsid w:val="000F3DDF"/>
    <w:rsid w:val="000F3DFF"/>
    <w:rsid w:val="000F4655"/>
    <w:rsid w:val="000F4A1F"/>
    <w:rsid w:val="000F4CEA"/>
    <w:rsid w:val="000F58DE"/>
    <w:rsid w:val="000F5C45"/>
    <w:rsid w:val="000F6103"/>
    <w:rsid w:val="000F61D1"/>
    <w:rsid w:val="000F6509"/>
    <w:rsid w:val="000F6F1F"/>
    <w:rsid w:val="000F74CE"/>
    <w:rsid w:val="000F7859"/>
    <w:rsid w:val="000F7C3D"/>
    <w:rsid w:val="000F7E22"/>
    <w:rsid w:val="0010027F"/>
    <w:rsid w:val="0010045C"/>
    <w:rsid w:val="001010E4"/>
    <w:rsid w:val="00101FBC"/>
    <w:rsid w:val="001021D5"/>
    <w:rsid w:val="0010237E"/>
    <w:rsid w:val="0010247C"/>
    <w:rsid w:val="00102817"/>
    <w:rsid w:val="00102989"/>
    <w:rsid w:val="00102B28"/>
    <w:rsid w:val="00103399"/>
    <w:rsid w:val="00103407"/>
    <w:rsid w:val="00103C8D"/>
    <w:rsid w:val="00103DCD"/>
    <w:rsid w:val="00103DF2"/>
    <w:rsid w:val="00103E46"/>
    <w:rsid w:val="00104AAF"/>
    <w:rsid w:val="00104CAD"/>
    <w:rsid w:val="00104FCE"/>
    <w:rsid w:val="00104FE8"/>
    <w:rsid w:val="0010575B"/>
    <w:rsid w:val="001059B9"/>
    <w:rsid w:val="00105EE4"/>
    <w:rsid w:val="00106239"/>
    <w:rsid w:val="00106B6A"/>
    <w:rsid w:val="00106DA4"/>
    <w:rsid w:val="001074AC"/>
    <w:rsid w:val="0010765D"/>
    <w:rsid w:val="001079A8"/>
    <w:rsid w:val="00107B70"/>
    <w:rsid w:val="00107E87"/>
    <w:rsid w:val="0011047C"/>
    <w:rsid w:val="00110833"/>
    <w:rsid w:val="00110933"/>
    <w:rsid w:val="0011137A"/>
    <w:rsid w:val="001114EE"/>
    <w:rsid w:val="00111883"/>
    <w:rsid w:val="00111ADE"/>
    <w:rsid w:val="00111B05"/>
    <w:rsid w:val="00111C8A"/>
    <w:rsid w:val="00112399"/>
    <w:rsid w:val="001128D2"/>
    <w:rsid w:val="001128E5"/>
    <w:rsid w:val="00112AF2"/>
    <w:rsid w:val="00113092"/>
    <w:rsid w:val="00113404"/>
    <w:rsid w:val="001138C9"/>
    <w:rsid w:val="00113F1E"/>
    <w:rsid w:val="001144A0"/>
    <w:rsid w:val="00114BB2"/>
    <w:rsid w:val="00114F6F"/>
    <w:rsid w:val="0011579A"/>
    <w:rsid w:val="00115A8D"/>
    <w:rsid w:val="00115D24"/>
    <w:rsid w:val="001163F5"/>
    <w:rsid w:val="0011728A"/>
    <w:rsid w:val="00117997"/>
    <w:rsid w:val="00120105"/>
    <w:rsid w:val="00120245"/>
    <w:rsid w:val="0012051E"/>
    <w:rsid w:val="0012070B"/>
    <w:rsid w:val="00120831"/>
    <w:rsid w:val="001208E1"/>
    <w:rsid w:val="00120D02"/>
    <w:rsid w:val="00120EFB"/>
    <w:rsid w:val="001210CD"/>
    <w:rsid w:val="0012158C"/>
    <w:rsid w:val="00121D80"/>
    <w:rsid w:val="00122647"/>
    <w:rsid w:val="00122973"/>
    <w:rsid w:val="00122B98"/>
    <w:rsid w:val="00122DF1"/>
    <w:rsid w:val="00123267"/>
    <w:rsid w:val="0012341A"/>
    <w:rsid w:val="00124354"/>
    <w:rsid w:val="0012493A"/>
    <w:rsid w:val="00125429"/>
    <w:rsid w:val="001257A8"/>
    <w:rsid w:val="00126193"/>
    <w:rsid w:val="00126D74"/>
    <w:rsid w:val="0012710D"/>
    <w:rsid w:val="00127540"/>
    <w:rsid w:val="00127C28"/>
    <w:rsid w:val="00127F1F"/>
    <w:rsid w:val="0013040A"/>
    <w:rsid w:val="0013051D"/>
    <w:rsid w:val="001308C6"/>
    <w:rsid w:val="00130A4E"/>
    <w:rsid w:val="00130B00"/>
    <w:rsid w:val="00130C8F"/>
    <w:rsid w:val="0013168D"/>
    <w:rsid w:val="001325EC"/>
    <w:rsid w:val="00132ACF"/>
    <w:rsid w:val="00132D98"/>
    <w:rsid w:val="00132FA1"/>
    <w:rsid w:val="00133731"/>
    <w:rsid w:val="001339FF"/>
    <w:rsid w:val="00134850"/>
    <w:rsid w:val="0013523C"/>
    <w:rsid w:val="00135989"/>
    <w:rsid w:val="00136BC0"/>
    <w:rsid w:val="00136BEF"/>
    <w:rsid w:val="00137246"/>
    <w:rsid w:val="00137352"/>
    <w:rsid w:val="00137436"/>
    <w:rsid w:val="001376E6"/>
    <w:rsid w:val="001378B6"/>
    <w:rsid w:val="0014023B"/>
    <w:rsid w:val="00140425"/>
    <w:rsid w:val="00140C45"/>
    <w:rsid w:val="00140DF7"/>
    <w:rsid w:val="00140E72"/>
    <w:rsid w:val="00140F58"/>
    <w:rsid w:val="00140FB8"/>
    <w:rsid w:val="00141658"/>
    <w:rsid w:val="00142003"/>
    <w:rsid w:val="00142006"/>
    <w:rsid w:val="001426A2"/>
    <w:rsid w:val="001426D6"/>
    <w:rsid w:val="00142705"/>
    <w:rsid w:val="00143170"/>
    <w:rsid w:val="001440D7"/>
    <w:rsid w:val="00144324"/>
    <w:rsid w:val="001445E9"/>
    <w:rsid w:val="00144C2B"/>
    <w:rsid w:val="001453CA"/>
    <w:rsid w:val="001457E1"/>
    <w:rsid w:val="0014599A"/>
    <w:rsid w:val="001459D5"/>
    <w:rsid w:val="00146859"/>
    <w:rsid w:val="001469A2"/>
    <w:rsid w:val="00146AF5"/>
    <w:rsid w:val="00146FE3"/>
    <w:rsid w:val="001473AB"/>
    <w:rsid w:val="001479C7"/>
    <w:rsid w:val="00147C47"/>
    <w:rsid w:val="001502E6"/>
    <w:rsid w:val="001503D7"/>
    <w:rsid w:val="0015082A"/>
    <w:rsid w:val="00150910"/>
    <w:rsid w:val="00150C5D"/>
    <w:rsid w:val="001516B7"/>
    <w:rsid w:val="001519CB"/>
    <w:rsid w:val="00151AC5"/>
    <w:rsid w:val="00152223"/>
    <w:rsid w:val="001522D2"/>
    <w:rsid w:val="001523DB"/>
    <w:rsid w:val="001528F1"/>
    <w:rsid w:val="00152CA2"/>
    <w:rsid w:val="00153028"/>
    <w:rsid w:val="00153167"/>
    <w:rsid w:val="001534D2"/>
    <w:rsid w:val="00153625"/>
    <w:rsid w:val="00153672"/>
    <w:rsid w:val="001544F8"/>
    <w:rsid w:val="00154BB1"/>
    <w:rsid w:val="00155422"/>
    <w:rsid w:val="001558EC"/>
    <w:rsid w:val="001559BB"/>
    <w:rsid w:val="00156246"/>
    <w:rsid w:val="001566F6"/>
    <w:rsid w:val="00156AC8"/>
    <w:rsid w:val="001575D2"/>
    <w:rsid w:val="0015762A"/>
    <w:rsid w:val="00157665"/>
    <w:rsid w:val="00157666"/>
    <w:rsid w:val="00157AA8"/>
    <w:rsid w:val="00157EC3"/>
    <w:rsid w:val="0016009A"/>
    <w:rsid w:val="0016068C"/>
    <w:rsid w:val="0016071E"/>
    <w:rsid w:val="00160820"/>
    <w:rsid w:val="00160ED2"/>
    <w:rsid w:val="001623DB"/>
    <w:rsid w:val="00162586"/>
    <w:rsid w:val="00163305"/>
    <w:rsid w:val="0016378E"/>
    <w:rsid w:val="001638A1"/>
    <w:rsid w:val="00163AF4"/>
    <w:rsid w:val="00163E64"/>
    <w:rsid w:val="00164009"/>
    <w:rsid w:val="001649FE"/>
    <w:rsid w:val="00164A65"/>
    <w:rsid w:val="00164DAB"/>
    <w:rsid w:val="00164E93"/>
    <w:rsid w:val="00164F86"/>
    <w:rsid w:val="0016561E"/>
    <w:rsid w:val="00166A08"/>
    <w:rsid w:val="00166B44"/>
    <w:rsid w:val="00166BF2"/>
    <w:rsid w:val="00167049"/>
    <w:rsid w:val="0016725E"/>
    <w:rsid w:val="00167836"/>
    <w:rsid w:val="00167CC7"/>
    <w:rsid w:val="00170C1A"/>
    <w:rsid w:val="00170D37"/>
    <w:rsid w:val="0017114B"/>
    <w:rsid w:val="001713D5"/>
    <w:rsid w:val="00171621"/>
    <w:rsid w:val="001725F6"/>
    <w:rsid w:val="001729C5"/>
    <w:rsid w:val="00172C79"/>
    <w:rsid w:val="00172CDD"/>
    <w:rsid w:val="00172D01"/>
    <w:rsid w:val="00173F79"/>
    <w:rsid w:val="00174373"/>
    <w:rsid w:val="0017450E"/>
    <w:rsid w:val="00174C4E"/>
    <w:rsid w:val="00174D38"/>
    <w:rsid w:val="001756E3"/>
    <w:rsid w:val="00175833"/>
    <w:rsid w:val="00175A84"/>
    <w:rsid w:val="0017634A"/>
    <w:rsid w:val="00176432"/>
    <w:rsid w:val="00176660"/>
    <w:rsid w:val="001768F9"/>
    <w:rsid w:val="00177207"/>
    <w:rsid w:val="0017781D"/>
    <w:rsid w:val="00180C3B"/>
    <w:rsid w:val="0018225C"/>
    <w:rsid w:val="0018234E"/>
    <w:rsid w:val="0018255C"/>
    <w:rsid w:val="001825BE"/>
    <w:rsid w:val="00182B8F"/>
    <w:rsid w:val="00182DCE"/>
    <w:rsid w:val="001833E6"/>
    <w:rsid w:val="001834F1"/>
    <w:rsid w:val="0018351F"/>
    <w:rsid w:val="00183F6C"/>
    <w:rsid w:val="00184542"/>
    <w:rsid w:val="00184FEE"/>
    <w:rsid w:val="0018501E"/>
    <w:rsid w:val="0018524E"/>
    <w:rsid w:val="001858EB"/>
    <w:rsid w:val="00185978"/>
    <w:rsid w:val="00185FBE"/>
    <w:rsid w:val="00186347"/>
    <w:rsid w:val="00186756"/>
    <w:rsid w:val="00186791"/>
    <w:rsid w:val="00186C4C"/>
    <w:rsid w:val="0018749E"/>
    <w:rsid w:val="0018779C"/>
    <w:rsid w:val="00187897"/>
    <w:rsid w:val="00187ABD"/>
    <w:rsid w:val="00190C4D"/>
    <w:rsid w:val="00190CE3"/>
    <w:rsid w:val="001911C8"/>
    <w:rsid w:val="00191C61"/>
    <w:rsid w:val="001920A6"/>
    <w:rsid w:val="0019218E"/>
    <w:rsid w:val="001922D9"/>
    <w:rsid w:val="00192364"/>
    <w:rsid w:val="001924CA"/>
    <w:rsid w:val="0019252C"/>
    <w:rsid w:val="00192954"/>
    <w:rsid w:val="00192D96"/>
    <w:rsid w:val="00193518"/>
    <w:rsid w:val="00193585"/>
    <w:rsid w:val="00193B36"/>
    <w:rsid w:val="00194450"/>
    <w:rsid w:val="0019468A"/>
    <w:rsid w:val="00194C98"/>
    <w:rsid w:val="00194CC3"/>
    <w:rsid w:val="00194D6D"/>
    <w:rsid w:val="00194DA2"/>
    <w:rsid w:val="001952DC"/>
    <w:rsid w:val="001952F0"/>
    <w:rsid w:val="00195308"/>
    <w:rsid w:val="0019555A"/>
    <w:rsid w:val="001959B5"/>
    <w:rsid w:val="00195CBF"/>
    <w:rsid w:val="00195D9B"/>
    <w:rsid w:val="00195FCC"/>
    <w:rsid w:val="00195FEF"/>
    <w:rsid w:val="001964B8"/>
    <w:rsid w:val="0019736B"/>
    <w:rsid w:val="001973AA"/>
    <w:rsid w:val="001A0A7B"/>
    <w:rsid w:val="001A0CD8"/>
    <w:rsid w:val="001A0E79"/>
    <w:rsid w:val="001A1853"/>
    <w:rsid w:val="001A239E"/>
    <w:rsid w:val="001A2C8B"/>
    <w:rsid w:val="001A3111"/>
    <w:rsid w:val="001A37C6"/>
    <w:rsid w:val="001A3A10"/>
    <w:rsid w:val="001A4143"/>
    <w:rsid w:val="001A41B1"/>
    <w:rsid w:val="001A4339"/>
    <w:rsid w:val="001A4921"/>
    <w:rsid w:val="001A4974"/>
    <w:rsid w:val="001A5DCC"/>
    <w:rsid w:val="001A6302"/>
    <w:rsid w:val="001A698B"/>
    <w:rsid w:val="001A6A7B"/>
    <w:rsid w:val="001A6B44"/>
    <w:rsid w:val="001A6D41"/>
    <w:rsid w:val="001A768E"/>
    <w:rsid w:val="001A769D"/>
    <w:rsid w:val="001A7B96"/>
    <w:rsid w:val="001A7C88"/>
    <w:rsid w:val="001B056F"/>
    <w:rsid w:val="001B0627"/>
    <w:rsid w:val="001B0838"/>
    <w:rsid w:val="001B0A5F"/>
    <w:rsid w:val="001B0FF8"/>
    <w:rsid w:val="001B175C"/>
    <w:rsid w:val="001B1807"/>
    <w:rsid w:val="001B19C9"/>
    <w:rsid w:val="001B27AE"/>
    <w:rsid w:val="001B2803"/>
    <w:rsid w:val="001B3617"/>
    <w:rsid w:val="001B37BF"/>
    <w:rsid w:val="001B3BD9"/>
    <w:rsid w:val="001B3ED5"/>
    <w:rsid w:val="001B41E3"/>
    <w:rsid w:val="001B42B4"/>
    <w:rsid w:val="001B4405"/>
    <w:rsid w:val="001B48C8"/>
    <w:rsid w:val="001B4A8A"/>
    <w:rsid w:val="001B5020"/>
    <w:rsid w:val="001B50E3"/>
    <w:rsid w:val="001B5748"/>
    <w:rsid w:val="001B5992"/>
    <w:rsid w:val="001B5C0A"/>
    <w:rsid w:val="001B637D"/>
    <w:rsid w:val="001B63C8"/>
    <w:rsid w:val="001B6739"/>
    <w:rsid w:val="001B6BC9"/>
    <w:rsid w:val="001B6C54"/>
    <w:rsid w:val="001B6D9A"/>
    <w:rsid w:val="001B6E76"/>
    <w:rsid w:val="001B71EA"/>
    <w:rsid w:val="001B7543"/>
    <w:rsid w:val="001B7B09"/>
    <w:rsid w:val="001C073E"/>
    <w:rsid w:val="001C0DAE"/>
    <w:rsid w:val="001C0FF0"/>
    <w:rsid w:val="001C122E"/>
    <w:rsid w:val="001C186A"/>
    <w:rsid w:val="001C254B"/>
    <w:rsid w:val="001C2A27"/>
    <w:rsid w:val="001C2A9C"/>
    <w:rsid w:val="001C3462"/>
    <w:rsid w:val="001C359D"/>
    <w:rsid w:val="001C3619"/>
    <w:rsid w:val="001C3691"/>
    <w:rsid w:val="001C37CF"/>
    <w:rsid w:val="001C3ABB"/>
    <w:rsid w:val="001C43AA"/>
    <w:rsid w:val="001C58E6"/>
    <w:rsid w:val="001C5BAF"/>
    <w:rsid w:val="001C5C19"/>
    <w:rsid w:val="001C6459"/>
    <w:rsid w:val="001C6706"/>
    <w:rsid w:val="001C6F2A"/>
    <w:rsid w:val="001C72A2"/>
    <w:rsid w:val="001D03EE"/>
    <w:rsid w:val="001D0551"/>
    <w:rsid w:val="001D1442"/>
    <w:rsid w:val="001D17D9"/>
    <w:rsid w:val="001D234F"/>
    <w:rsid w:val="001D2713"/>
    <w:rsid w:val="001D29E7"/>
    <w:rsid w:val="001D2A13"/>
    <w:rsid w:val="001D377F"/>
    <w:rsid w:val="001D38CB"/>
    <w:rsid w:val="001D424A"/>
    <w:rsid w:val="001D43EB"/>
    <w:rsid w:val="001D5A16"/>
    <w:rsid w:val="001D5AD9"/>
    <w:rsid w:val="001D5F5D"/>
    <w:rsid w:val="001D6113"/>
    <w:rsid w:val="001D63A2"/>
    <w:rsid w:val="001D66B9"/>
    <w:rsid w:val="001D69C9"/>
    <w:rsid w:val="001D6C6C"/>
    <w:rsid w:val="001D7538"/>
    <w:rsid w:val="001D7B21"/>
    <w:rsid w:val="001E051F"/>
    <w:rsid w:val="001E0571"/>
    <w:rsid w:val="001E09A2"/>
    <w:rsid w:val="001E0A0E"/>
    <w:rsid w:val="001E0E50"/>
    <w:rsid w:val="001E0F1A"/>
    <w:rsid w:val="001E1953"/>
    <w:rsid w:val="001E1E72"/>
    <w:rsid w:val="001E3276"/>
    <w:rsid w:val="001E37E4"/>
    <w:rsid w:val="001E3C2F"/>
    <w:rsid w:val="001E3EEA"/>
    <w:rsid w:val="001E4369"/>
    <w:rsid w:val="001E489F"/>
    <w:rsid w:val="001E4A6D"/>
    <w:rsid w:val="001E4DFC"/>
    <w:rsid w:val="001E4E4B"/>
    <w:rsid w:val="001E4F80"/>
    <w:rsid w:val="001E57DB"/>
    <w:rsid w:val="001E59EB"/>
    <w:rsid w:val="001E5AC1"/>
    <w:rsid w:val="001E7336"/>
    <w:rsid w:val="001E7DA8"/>
    <w:rsid w:val="001F018C"/>
    <w:rsid w:val="001F04B0"/>
    <w:rsid w:val="001F04C7"/>
    <w:rsid w:val="001F0ACF"/>
    <w:rsid w:val="001F0B32"/>
    <w:rsid w:val="001F0C7F"/>
    <w:rsid w:val="001F1064"/>
    <w:rsid w:val="001F12C3"/>
    <w:rsid w:val="001F1BF0"/>
    <w:rsid w:val="001F1C06"/>
    <w:rsid w:val="001F1EF7"/>
    <w:rsid w:val="001F1F07"/>
    <w:rsid w:val="001F2273"/>
    <w:rsid w:val="001F22EC"/>
    <w:rsid w:val="001F252F"/>
    <w:rsid w:val="001F2643"/>
    <w:rsid w:val="001F26D9"/>
    <w:rsid w:val="001F2834"/>
    <w:rsid w:val="001F29B2"/>
    <w:rsid w:val="001F3064"/>
    <w:rsid w:val="001F30ED"/>
    <w:rsid w:val="001F31A0"/>
    <w:rsid w:val="001F38D6"/>
    <w:rsid w:val="001F3CFB"/>
    <w:rsid w:val="001F3FC1"/>
    <w:rsid w:val="001F457C"/>
    <w:rsid w:val="001F4CC8"/>
    <w:rsid w:val="001F4CF1"/>
    <w:rsid w:val="001F4D8D"/>
    <w:rsid w:val="001F50A0"/>
    <w:rsid w:val="001F560A"/>
    <w:rsid w:val="001F5696"/>
    <w:rsid w:val="001F637B"/>
    <w:rsid w:val="001F63AE"/>
    <w:rsid w:val="001F7581"/>
    <w:rsid w:val="001F7FD2"/>
    <w:rsid w:val="0020011D"/>
    <w:rsid w:val="0020016B"/>
    <w:rsid w:val="002007AF"/>
    <w:rsid w:val="00200A98"/>
    <w:rsid w:val="00200B83"/>
    <w:rsid w:val="00200EE2"/>
    <w:rsid w:val="00201116"/>
    <w:rsid w:val="0020165F"/>
    <w:rsid w:val="0020224C"/>
    <w:rsid w:val="002023D1"/>
    <w:rsid w:val="00202F16"/>
    <w:rsid w:val="00202F55"/>
    <w:rsid w:val="0020347E"/>
    <w:rsid w:val="00203556"/>
    <w:rsid w:val="0020364B"/>
    <w:rsid w:val="00203739"/>
    <w:rsid w:val="00203B15"/>
    <w:rsid w:val="002043C9"/>
    <w:rsid w:val="002045E8"/>
    <w:rsid w:val="00204BA5"/>
    <w:rsid w:val="002054F1"/>
    <w:rsid w:val="0020550A"/>
    <w:rsid w:val="002057EB"/>
    <w:rsid w:val="0020594B"/>
    <w:rsid w:val="00205F09"/>
    <w:rsid w:val="0020630C"/>
    <w:rsid w:val="00206757"/>
    <w:rsid w:val="00206A58"/>
    <w:rsid w:val="00206A9A"/>
    <w:rsid w:val="00206C64"/>
    <w:rsid w:val="00206D45"/>
    <w:rsid w:val="00207201"/>
    <w:rsid w:val="00207BAA"/>
    <w:rsid w:val="00207CF1"/>
    <w:rsid w:val="00207DC4"/>
    <w:rsid w:val="00207F90"/>
    <w:rsid w:val="0021074F"/>
    <w:rsid w:val="0021075A"/>
    <w:rsid w:val="00211B3F"/>
    <w:rsid w:val="00211E61"/>
    <w:rsid w:val="00212108"/>
    <w:rsid w:val="00212F5D"/>
    <w:rsid w:val="0021365D"/>
    <w:rsid w:val="002138FA"/>
    <w:rsid w:val="00213AF8"/>
    <w:rsid w:val="00213C42"/>
    <w:rsid w:val="00213DC1"/>
    <w:rsid w:val="00214051"/>
    <w:rsid w:val="0021410B"/>
    <w:rsid w:val="002144A9"/>
    <w:rsid w:val="00214831"/>
    <w:rsid w:val="00214FCC"/>
    <w:rsid w:val="002150A7"/>
    <w:rsid w:val="00215A7B"/>
    <w:rsid w:val="00215BE7"/>
    <w:rsid w:val="00215D66"/>
    <w:rsid w:val="00215FE1"/>
    <w:rsid w:val="002167B5"/>
    <w:rsid w:val="00216894"/>
    <w:rsid w:val="00216E18"/>
    <w:rsid w:val="00216EAC"/>
    <w:rsid w:val="00217161"/>
    <w:rsid w:val="002175EF"/>
    <w:rsid w:val="002177F3"/>
    <w:rsid w:val="00217A9A"/>
    <w:rsid w:val="00217BF9"/>
    <w:rsid w:val="002205B4"/>
    <w:rsid w:val="002207EC"/>
    <w:rsid w:val="002208CF"/>
    <w:rsid w:val="00220E27"/>
    <w:rsid w:val="002213AA"/>
    <w:rsid w:val="00221931"/>
    <w:rsid w:val="00221BCF"/>
    <w:rsid w:val="002222D9"/>
    <w:rsid w:val="002225B7"/>
    <w:rsid w:val="002227BD"/>
    <w:rsid w:val="002231B6"/>
    <w:rsid w:val="00223C88"/>
    <w:rsid w:val="0022408F"/>
    <w:rsid w:val="00224269"/>
    <w:rsid w:val="002245C2"/>
    <w:rsid w:val="002246C4"/>
    <w:rsid w:val="00224741"/>
    <w:rsid w:val="00224873"/>
    <w:rsid w:val="00224C17"/>
    <w:rsid w:val="002254F2"/>
    <w:rsid w:val="00226123"/>
    <w:rsid w:val="00226457"/>
    <w:rsid w:val="00226A03"/>
    <w:rsid w:val="00226D6F"/>
    <w:rsid w:val="00226EF6"/>
    <w:rsid w:val="00226F31"/>
    <w:rsid w:val="002272DA"/>
    <w:rsid w:val="002275A6"/>
    <w:rsid w:val="0022775F"/>
    <w:rsid w:val="00227B2E"/>
    <w:rsid w:val="0023044B"/>
    <w:rsid w:val="00230466"/>
    <w:rsid w:val="00230645"/>
    <w:rsid w:val="002310C8"/>
    <w:rsid w:val="002317D7"/>
    <w:rsid w:val="00231B31"/>
    <w:rsid w:val="00231EC7"/>
    <w:rsid w:val="002327B6"/>
    <w:rsid w:val="0023298E"/>
    <w:rsid w:val="00232AF1"/>
    <w:rsid w:val="00232CF6"/>
    <w:rsid w:val="00232EC2"/>
    <w:rsid w:val="00232FD1"/>
    <w:rsid w:val="002337D1"/>
    <w:rsid w:val="00233995"/>
    <w:rsid w:val="00234353"/>
    <w:rsid w:val="0023437D"/>
    <w:rsid w:val="002348F6"/>
    <w:rsid w:val="00234F40"/>
    <w:rsid w:val="00235516"/>
    <w:rsid w:val="002355F4"/>
    <w:rsid w:val="002356E9"/>
    <w:rsid w:val="00235E36"/>
    <w:rsid w:val="00235E50"/>
    <w:rsid w:val="002361E7"/>
    <w:rsid w:val="0023686E"/>
    <w:rsid w:val="00236B43"/>
    <w:rsid w:val="00236B98"/>
    <w:rsid w:val="00236BEA"/>
    <w:rsid w:val="0023702C"/>
    <w:rsid w:val="00237075"/>
    <w:rsid w:val="002374FD"/>
    <w:rsid w:val="00240DDA"/>
    <w:rsid w:val="0024100A"/>
    <w:rsid w:val="00241884"/>
    <w:rsid w:val="002418B1"/>
    <w:rsid w:val="002422C1"/>
    <w:rsid w:val="00242332"/>
    <w:rsid w:val="002424E3"/>
    <w:rsid w:val="0024254D"/>
    <w:rsid w:val="002425D0"/>
    <w:rsid w:val="00243912"/>
    <w:rsid w:val="00244276"/>
    <w:rsid w:val="00244478"/>
    <w:rsid w:val="00244801"/>
    <w:rsid w:val="00244BEF"/>
    <w:rsid w:val="00244F33"/>
    <w:rsid w:val="002451F4"/>
    <w:rsid w:val="00245508"/>
    <w:rsid w:val="0024586B"/>
    <w:rsid w:val="0024593F"/>
    <w:rsid w:val="0024603B"/>
    <w:rsid w:val="002463A7"/>
    <w:rsid w:val="00246D6D"/>
    <w:rsid w:val="00247574"/>
    <w:rsid w:val="0024774A"/>
    <w:rsid w:val="00247B40"/>
    <w:rsid w:val="00247C13"/>
    <w:rsid w:val="00247DB1"/>
    <w:rsid w:val="00250734"/>
    <w:rsid w:val="00250755"/>
    <w:rsid w:val="00250C4E"/>
    <w:rsid w:val="00250EFE"/>
    <w:rsid w:val="002513AC"/>
    <w:rsid w:val="00251F9B"/>
    <w:rsid w:val="0025256A"/>
    <w:rsid w:val="00253D73"/>
    <w:rsid w:val="002541C8"/>
    <w:rsid w:val="002546B9"/>
    <w:rsid w:val="00254D49"/>
    <w:rsid w:val="00254E96"/>
    <w:rsid w:val="002556FD"/>
    <w:rsid w:val="00255B5D"/>
    <w:rsid w:val="00255E0D"/>
    <w:rsid w:val="002564DC"/>
    <w:rsid w:val="00256605"/>
    <w:rsid w:val="00256B73"/>
    <w:rsid w:val="00256D57"/>
    <w:rsid w:val="00257C8C"/>
    <w:rsid w:val="002603F6"/>
    <w:rsid w:val="0026075C"/>
    <w:rsid w:val="002609DD"/>
    <w:rsid w:val="00260DC8"/>
    <w:rsid w:val="002611AE"/>
    <w:rsid w:val="00261401"/>
    <w:rsid w:val="002615F8"/>
    <w:rsid w:val="0026194D"/>
    <w:rsid w:val="00262503"/>
    <w:rsid w:val="00262D03"/>
    <w:rsid w:val="00263065"/>
    <w:rsid w:val="0026347C"/>
    <w:rsid w:val="002640FC"/>
    <w:rsid w:val="0026416B"/>
    <w:rsid w:val="00264266"/>
    <w:rsid w:val="002642F0"/>
    <w:rsid w:val="00264824"/>
    <w:rsid w:val="002652B7"/>
    <w:rsid w:val="00265822"/>
    <w:rsid w:val="00265CCD"/>
    <w:rsid w:val="00265FD6"/>
    <w:rsid w:val="00266050"/>
    <w:rsid w:val="00266850"/>
    <w:rsid w:val="00270018"/>
    <w:rsid w:val="002702C9"/>
    <w:rsid w:val="002702F2"/>
    <w:rsid w:val="002703DF"/>
    <w:rsid w:val="002705AC"/>
    <w:rsid w:val="00270CF9"/>
    <w:rsid w:val="00271475"/>
    <w:rsid w:val="00271BA5"/>
    <w:rsid w:val="00271D4E"/>
    <w:rsid w:val="00272100"/>
    <w:rsid w:val="00272635"/>
    <w:rsid w:val="0027276D"/>
    <w:rsid w:val="00272E64"/>
    <w:rsid w:val="00273208"/>
    <w:rsid w:val="0027350A"/>
    <w:rsid w:val="002735B3"/>
    <w:rsid w:val="00273D67"/>
    <w:rsid w:val="002745D4"/>
    <w:rsid w:val="002749A7"/>
    <w:rsid w:val="00274E6F"/>
    <w:rsid w:val="00275661"/>
    <w:rsid w:val="00275A12"/>
    <w:rsid w:val="00276201"/>
    <w:rsid w:val="0027635A"/>
    <w:rsid w:val="0027655F"/>
    <w:rsid w:val="00276A0C"/>
    <w:rsid w:val="002771E0"/>
    <w:rsid w:val="0027785B"/>
    <w:rsid w:val="00277E92"/>
    <w:rsid w:val="00277F46"/>
    <w:rsid w:val="0028084F"/>
    <w:rsid w:val="00280A0D"/>
    <w:rsid w:val="0028135C"/>
    <w:rsid w:val="002815D8"/>
    <w:rsid w:val="002816E8"/>
    <w:rsid w:val="00281747"/>
    <w:rsid w:val="00281CEB"/>
    <w:rsid w:val="002829ED"/>
    <w:rsid w:val="00283AF0"/>
    <w:rsid w:val="00284253"/>
    <w:rsid w:val="002846A2"/>
    <w:rsid w:val="00284CEF"/>
    <w:rsid w:val="002852E0"/>
    <w:rsid w:val="002853DF"/>
    <w:rsid w:val="002855E9"/>
    <w:rsid w:val="00285BC8"/>
    <w:rsid w:val="00286249"/>
    <w:rsid w:val="00286BBF"/>
    <w:rsid w:val="00286F14"/>
    <w:rsid w:val="0028724E"/>
    <w:rsid w:val="002875D1"/>
    <w:rsid w:val="002877ED"/>
    <w:rsid w:val="00287F4E"/>
    <w:rsid w:val="00290381"/>
    <w:rsid w:val="002905EB"/>
    <w:rsid w:val="00291006"/>
    <w:rsid w:val="002911F5"/>
    <w:rsid w:val="002920B1"/>
    <w:rsid w:val="00292C69"/>
    <w:rsid w:val="00292FE6"/>
    <w:rsid w:val="002933A8"/>
    <w:rsid w:val="00293A1C"/>
    <w:rsid w:val="00294293"/>
    <w:rsid w:val="00294579"/>
    <w:rsid w:val="00294BC3"/>
    <w:rsid w:val="00294F99"/>
    <w:rsid w:val="002952A7"/>
    <w:rsid w:val="002952B1"/>
    <w:rsid w:val="00295A0E"/>
    <w:rsid w:val="00296172"/>
    <w:rsid w:val="002961FA"/>
    <w:rsid w:val="0029629A"/>
    <w:rsid w:val="002963A9"/>
    <w:rsid w:val="00296898"/>
    <w:rsid w:val="00297078"/>
    <w:rsid w:val="00297332"/>
    <w:rsid w:val="00297586"/>
    <w:rsid w:val="002976F9"/>
    <w:rsid w:val="00297E53"/>
    <w:rsid w:val="002A0570"/>
    <w:rsid w:val="002A066F"/>
    <w:rsid w:val="002A071C"/>
    <w:rsid w:val="002A093D"/>
    <w:rsid w:val="002A0C93"/>
    <w:rsid w:val="002A10CC"/>
    <w:rsid w:val="002A1166"/>
    <w:rsid w:val="002A119A"/>
    <w:rsid w:val="002A184F"/>
    <w:rsid w:val="002A1968"/>
    <w:rsid w:val="002A2089"/>
    <w:rsid w:val="002A28DE"/>
    <w:rsid w:val="002A2FBD"/>
    <w:rsid w:val="002A3266"/>
    <w:rsid w:val="002A33C9"/>
    <w:rsid w:val="002A3415"/>
    <w:rsid w:val="002A3772"/>
    <w:rsid w:val="002A39B3"/>
    <w:rsid w:val="002A3BEF"/>
    <w:rsid w:val="002A3CFA"/>
    <w:rsid w:val="002A3E50"/>
    <w:rsid w:val="002A3F92"/>
    <w:rsid w:val="002A5321"/>
    <w:rsid w:val="002A576A"/>
    <w:rsid w:val="002A5D6B"/>
    <w:rsid w:val="002A66A5"/>
    <w:rsid w:val="002A6761"/>
    <w:rsid w:val="002A712C"/>
    <w:rsid w:val="002A7DBE"/>
    <w:rsid w:val="002A7E62"/>
    <w:rsid w:val="002A7F87"/>
    <w:rsid w:val="002B014B"/>
    <w:rsid w:val="002B0532"/>
    <w:rsid w:val="002B071C"/>
    <w:rsid w:val="002B198F"/>
    <w:rsid w:val="002B2210"/>
    <w:rsid w:val="002B36C9"/>
    <w:rsid w:val="002B3A3C"/>
    <w:rsid w:val="002B4827"/>
    <w:rsid w:val="002B484A"/>
    <w:rsid w:val="002B4981"/>
    <w:rsid w:val="002B4D30"/>
    <w:rsid w:val="002B53BD"/>
    <w:rsid w:val="002B5FEA"/>
    <w:rsid w:val="002B6058"/>
    <w:rsid w:val="002B6233"/>
    <w:rsid w:val="002B6664"/>
    <w:rsid w:val="002B6ECE"/>
    <w:rsid w:val="002B71F7"/>
    <w:rsid w:val="002B7229"/>
    <w:rsid w:val="002B74C8"/>
    <w:rsid w:val="002B7758"/>
    <w:rsid w:val="002B7E73"/>
    <w:rsid w:val="002C0BE5"/>
    <w:rsid w:val="002C0C66"/>
    <w:rsid w:val="002C0C8A"/>
    <w:rsid w:val="002C0DCA"/>
    <w:rsid w:val="002C1705"/>
    <w:rsid w:val="002C1C8F"/>
    <w:rsid w:val="002C1D25"/>
    <w:rsid w:val="002C1D92"/>
    <w:rsid w:val="002C226C"/>
    <w:rsid w:val="002C24D0"/>
    <w:rsid w:val="002C2780"/>
    <w:rsid w:val="002C3004"/>
    <w:rsid w:val="002C366B"/>
    <w:rsid w:val="002C4A41"/>
    <w:rsid w:val="002C4BBC"/>
    <w:rsid w:val="002C4FBE"/>
    <w:rsid w:val="002C512B"/>
    <w:rsid w:val="002C598B"/>
    <w:rsid w:val="002C59F7"/>
    <w:rsid w:val="002C607A"/>
    <w:rsid w:val="002C6282"/>
    <w:rsid w:val="002C6BA2"/>
    <w:rsid w:val="002C6D2B"/>
    <w:rsid w:val="002C718F"/>
    <w:rsid w:val="002C742A"/>
    <w:rsid w:val="002C7AAB"/>
    <w:rsid w:val="002C7CAD"/>
    <w:rsid w:val="002C7D3E"/>
    <w:rsid w:val="002D03A2"/>
    <w:rsid w:val="002D0A48"/>
    <w:rsid w:val="002D0B39"/>
    <w:rsid w:val="002D169E"/>
    <w:rsid w:val="002D1975"/>
    <w:rsid w:val="002D1980"/>
    <w:rsid w:val="002D2160"/>
    <w:rsid w:val="002D23E4"/>
    <w:rsid w:val="002D25B4"/>
    <w:rsid w:val="002D2EA1"/>
    <w:rsid w:val="002D2F30"/>
    <w:rsid w:val="002D35A3"/>
    <w:rsid w:val="002D450F"/>
    <w:rsid w:val="002D4B4F"/>
    <w:rsid w:val="002D4D10"/>
    <w:rsid w:val="002D4D22"/>
    <w:rsid w:val="002D5180"/>
    <w:rsid w:val="002D5602"/>
    <w:rsid w:val="002D58F7"/>
    <w:rsid w:val="002D5A1E"/>
    <w:rsid w:val="002D5DF2"/>
    <w:rsid w:val="002D657A"/>
    <w:rsid w:val="002D6E78"/>
    <w:rsid w:val="002D7068"/>
    <w:rsid w:val="002D7C84"/>
    <w:rsid w:val="002D7E19"/>
    <w:rsid w:val="002E0B90"/>
    <w:rsid w:val="002E0C81"/>
    <w:rsid w:val="002E0D02"/>
    <w:rsid w:val="002E0DE9"/>
    <w:rsid w:val="002E191A"/>
    <w:rsid w:val="002E1A60"/>
    <w:rsid w:val="002E1ABA"/>
    <w:rsid w:val="002E1AC4"/>
    <w:rsid w:val="002E1BED"/>
    <w:rsid w:val="002E1D23"/>
    <w:rsid w:val="002E2408"/>
    <w:rsid w:val="002E2426"/>
    <w:rsid w:val="002E2A6B"/>
    <w:rsid w:val="002E3411"/>
    <w:rsid w:val="002E3726"/>
    <w:rsid w:val="002E4181"/>
    <w:rsid w:val="002E449A"/>
    <w:rsid w:val="002E56D8"/>
    <w:rsid w:val="002E58FD"/>
    <w:rsid w:val="002E5EB9"/>
    <w:rsid w:val="002E61D4"/>
    <w:rsid w:val="002E67FB"/>
    <w:rsid w:val="002E6893"/>
    <w:rsid w:val="002E6958"/>
    <w:rsid w:val="002E6F3F"/>
    <w:rsid w:val="002E73A9"/>
    <w:rsid w:val="002E73DD"/>
    <w:rsid w:val="002E7508"/>
    <w:rsid w:val="002E76AF"/>
    <w:rsid w:val="002E779F"/>
    <w:rsid w:val="002E77AE"/>
    <w:rsid w:val="002E7D79"/>
    <w:rsid w:val="002E7F73"/>
    <w:rsid w:val="002F010B"/>
    <w:rsid w:val="002F0A71"/>
    <w:rsid w:val="002F121C"/>
    <w:rsid w:val="002F1A8A"/>
    <w:rsid w:val="002F1BE2"/>
    <w:rsid w:val="002F2423"/>
    <w:rsid w:val="002F2D54"/>
    <w:rsid w:val="002F327E"/>
    <w:rsid w:val="002F4DE4"/>
    <w:rsid w:val="002F4FBB"/>
    <w:rsid w:val="002F531A"/>
    <w:rsid w:val="002F5748"/>
    <w:rsid w:val="002F5E65"/>
    <w:rsid w:val="002F5F66"/>
    <w:rsid w:val="002F5FFF"/>
    <w:rsid w:val="002F6BFF"/>
    <w:rsid w:val="002F6DCF"/>
    <w:rsid w:val="002F7130"/>
    <w:rsid w:val="002F7297"/>
    <w:rsid w:val="002F748B"/>
    <w:rsid w:val="002F7610"/>
    <w:rsid w:val="002F77F3"/>
    <w:rsid w:val="002F7C0C"/>
    <w:rsid w:val="003001EA"/>
    <w:rsid w:val="003002B7"/>
    <w:rsid w:val="00300340"/>
    <w:rsid w:val="0030038D"/>
    <w:rsid w:val="003005FB"/>
    <w:rsid w:val="0030104D"/>
    <w:rsid w:val="003017C3"/>
    <w:rsid w:val="00301983"/>
    <w:rsid w:val="00301EDD"/>
    <w:rsid w:val="00301F48"/>
    <w:rsid w:val="00302312"/>
    <w:rsid w:val="00302415"/>
    <w:rsid w:val="003028DD"/>
    <w:rsid w:val="00302CCC"/>
    <w:rsid w:val="00302F42"/>
    <w:rsid w:val="003035F1"/>
    <w:rsid w:val="00303DE1"/>
    <w:rsid w:val="00304111"/>
    <w:rsid w:val="0030452E"/>
    <w:rsid w:val="00304678"/>
    <w:rsid w:val="00304A2E"/>
    <w:rsid w:val="00304AD7"/>
    <w:rsid w:val="00304EA9"/>
    <w:rsid w:val="00305409"/>
    <w:rsid w:val="00305A0C"/>
    <w:rsid w:val="00305E1A"/>
    <w:rsid w:val="00305E5B"/>
    <w:rsid w:val="00305F85"/>
    <w:rsid w:val="0030640A"/>
    <w:rsid w:val="00307AE2"/>
    <w:rsid w:val="003106D0"/>
    <w:rsid w:val="0031089F"/>
    <w:rsid w:val="00311091"/>
    <w:rsid w:val="00311409"/>
    <w:rsid w:val="00311735"/>
    <w:rsid w:val="00311C86"/>
    <w:rsid w:val="00311DFC"/>
    <w:rsid w:val="0031352A"/>
    <w:rsid w:val="00313734"/>
    <w:rsid w:val="003139FC"/>
    <w:rsid w:val="0031427E"/>
    <w:rsid w:val="00314EC8"/>
    <w:rsid w:val="00314F76"/>
    <w:rsid w:val="00316125"/>
    <w:rsid w:val="00316510"/>
    <w:rsid w:val="00316C08"/>
    <w:rsid w:val="00316EC6"/>
    <w:rsid w:val="00317292"/>
    <w:rsid w:val="0031730B"/>
    <w:rsid w:val="00317AEA"/>
    <w:rsid w:val="00320430"/>
    <w:rsid w:val="003207B9"/>
    <w:rsid w:val="00320B8A"/>
    <w:rsid w:val="00321100"/>
    <w:rsid w:val="00321D35"/>
    <w:rsid w:val="00321D8F"/>
    <w:rsid w:val="00321E8E"/>
    <w:rsid w:val="00322011"/>
    <w:rsid w:val="003220CA"/>
    <w:rsid w:val="00322302"/>
    <w:rsid w:val="00322988"/>
    <w:rsid w:val="00322BF0"/>
    <w:rsid w:val="00322DB2"/>
    <w:rsid w:val="003230B0"/>
    <w:rsid w:val="00323278"/>
    <w:rsid w:val="0032333E"/>
    <w:rsid w:val="003235AA"/>
    <w:rsid w:val="003238B4"/>
    <w:rsid w:val="00323BCB"/>
    <w:rsid w:val="00323E8C"/>
    <w:rsid w:val="003243C3"/>
    <w:rsid w:val="00324982"/>
    <w:rsid w:val="00324AA6"/>
    <w:rsid w:val="00324BB6"/>
    <w:rsid w:val="00324BE5"/>
    <w:rsid w:val="00325CF3"/>
    <w:rsid w:val="003260B7"/>
    <w:rsid w:val="003265E1"/>
    <w:rsid w:val="00326F4D"/>
    <w:rsid w:val="00327067"/>
    <w:rsid w:val="00327A69"/>
    <w:rsid w:val="00327FBE"/>
    <w:rsid w:val="003300E5"/>
    <w:rsid w:val="003309CD"/>
    <w:rsid w:val="003309DA"/>
    <w:rsid w:val="00330CAC"/>
    <w:rsid w:val="00330F9A"/>
    <w:rsid w:val="003315F8"/>
    <w:rsid w:val="00331788"/>
    <w:rsid w:val="00331C50"/>
    <w:rsid w:val="00331EEE"/>
    <w:rsid w:val="003322F1"/>
    <w:rsid w:val="00332B55"/>
    <w:rsid w:val="0033361F"/>
    <w:rsid w:val="00333BC9"/>
    <w:rsid w:val="003344B4"/>
    <w:rsid w:val="00335165"/>
    <w:rsid w:val="003352B2"/>
    <w:rsid w:val="00335395"/>
    <w:rsid w:val="00335480"/>
    <w:rsid w:val="00335CFF"/>
    <w:rsid w:val="0033638E"/>
    <w:rsid w:val="0033696C"/>
    <w:rsid w:val="00336A0E"/>
    <w:rsid w:val="00336F31"/>
    <w:rsid w:val="00336F41"/>
    <w:rsid w:val="003371F6"/>
    <w:rsid w:val="003375D7"/>
    <w:rsid w:val="00340394"/>
    <w:rsid w:val="00340614"/>
    <w:rsid w:val="003411A8"/>
    <w:rsid w:val="003412DB"/>
    <w:rsid w:val="0034140F"/>
    <w:rsid w:val="00341992"/>
    <w:rsid w:val="00341A99"/>
    <w:rsid w:val="003427AD"/>
    <w:rsid w:val="00342DAB"/>
    <w:rsid w:val="0034355B"/>
    <w:rsid w:val="00343625"/>
    <w:rsid w:val="00343C84"/>
    <w:rsid w:val="00343FFE"/>
    <w:rsid w:val="00344F81"/>
    <w:rsid w:val="003454D1"/>
    <w:rsid w:val="003455D8"/>
    <w:rsid w:val="003456E8"/>
    <w:rsid w:val="00345922"/>
    <w:rsid w:val="00345B5D"/>
    <w:rsid w:val="00345CA0"/>
    <w:rsid w:val="00345E7B"/>
    <w:rsid w:val="003460F3"/>
    <w:rsid w:val="00346478"/>
    <w:rsid w:val="0034647B"/>
    <w:rsid w:val="0034676C"/>
    <w:rsid w:val="00346829"/>
    <w:rsid w:val="00346EDB"/>
    <w:rsid w:val="003470DF"/>
    <w:rsid w:val="00347352"/>
    <w:rsid w:val="00347406"/>
    <w:rsid w:val="00347554"/>
    <w:rsid w:val="00347A0F"/>
    <w:rsid w:val="00347B30"/>
    <w:rsid w:val="003500E5"/>
    <w:rsid w:val="003501DB"/>
    <w:rsid w:val="003502DF"/>
    <w:rsid w:val="00350501"/>
    <w:rsid w:val="00350842"/>
    <w:rsid w:val="00350E06"/>
    <w:rsid w:val="00350F80"/>
    <w:rsid w:val="0035104E"/>
    <w:rsid w:val="00351257"/>
    <w:rsid w:val="003516BC"/>
    <w:rsid w:val="00351A65"/>
    <w:rsid w:val="003522AC"/>
    <w:rsid w:val="0035255E"/>
    <w:rsid w:val="00352A7A"/>
    <w:rsid w:val="003533F1"/>
    <w:rsid w:val="003543B1"/>
    <w:rsid w:val="003544B8"/>
    <w:rsid w:val="003548A6"/>
    <w:rsid w:val="003549D2"/>
    <w:rsid w:val="00355500"/>
    <w:rsid w:val="00355B15"/>
    <w:rsid w:val="00355E14"/>
    <w:rsid w:val="003561BB"/>
    <w:rsid w:val="003563FD"/>
    <w:rsid w:val="003567EF"/>
    <w:rsid w:val="00356988"/>
    <w:rsid w:val="00356DD9"/>
    <w:rsid w:val="00356DEA"/>
    <w:rsid w:val="0035724A"/>
    <w:rsid w:val="003574C1"/>
    <w:rsid w:val="003575E8"/>
    <w:rsid w:val="00357734"/>
    <w:rsid w:val="00360084"/>
    <w:rsid w:val="0036016B"/>
    <w:rsid w:val="00360E12"/>
    <w:rsid w:val="00360F01"/>
    <w:rsid w:val="00361023"/>
    <w:rsid w:val="00361245"/>
    <w:rsid w:val="0036182B"/>
    <w:rsid w:val="00361A96"/>
    <w:rsid w:val="00361B55"/>
    <w:rsid w:val="00361D7A"/>
    <w:rsid w:val="00361DAA"/>
    <w:rsid w:val="0036201C"/>
    <w:rsid w:val="00362040"/>
    <w:rsid w:val="003620BF"/>
    <w:rsid w:val="00363ADD"/>
    <w:rsid w:val="00364285"/>
    <w:rsid w:val="003643E8"/>
    <w:rsid w:val="00364824"/>
    <w:rsid w:val="00364DA5"/>
    <w:rsid w:val="00364E2E"/>
    <w:rsid w:val="00364F8E"/>
    <w:rsid w:val="00365991"/>
    <w:rsid w:val="00365A2A"/>
    <w:rsid w:val="00365ABC"/>
    <w:rsid w:val="00365F9C"/>
    <w:rsid w:val="00366DF5"/>
    <w:rsid w:val="00366E00"/>
    <w:rsid w:val="003675FD"/>
    <w:rsid w:val="00367986"/>
    <w:rsid w:val="003703EF"/>
    <w:rsid w:val="0037077C"/>
    <w:rsid w:val="00370877"/>
    <w:rsid w:val="00370902"/>
    <w:rsid w:val="00370B08"/>
    <w:rsid w:val="00370DD5"/>
    <w:rsid w:val="00370F44"/>
    <w:rsid w:val="003710FF"/>
    <w:rsid w:val="00371A67"/>
    <w:rsid w:val="00371F59"/>
    <w:rsid w:val="00372D49"/>
    <w:rsid w:val="0037383A"/>
    <w:rsid w:val="00373A4C"/>
    <w:rsid w:val="00373AF1"/>
    <w:rsid w:val="00373C23"/>
    <w:rsid w:val="003740D2"/>
    <w:rsid w:val="00374636"/>
    <w:rsid w:val="003749CF"/>
    <w:rsid w:val="00374DD3"/>
    <w:rsid w:val="00374F64"/>
    <w:rsid w:val="00374FA0"/>
    <w:rsid w:val="00375BD6"/>
    <w:rsid w:val="00375F62"/>
    <w:rsid w:val="0037611D"/>
    <w:rsid w:val="003764F8"/>
    <w:rsid w:val="003772BF"/>
    <w:rsid w:val="00377879"/>
    <w:rsid w:val="003803B1"/>
    <w:rsid w:val="0038049D"/>
    <w:rsid w:val="00380536"/>
    <w:rsid w:val="0038073C"/>
    <w:rsid w:val="00380D28"/>
    <w:rsid w:val="003812A1"/>
    <w:rsid w:val="0038181C"/>
    <w:rsid w:val="00381B42"/>
    <w:rsid w:val="003821C1"/>
    <w:rsid w:val="0038259B"/>
    <w:rsid w:val="00382DB8"/>
    <w:rsid w:val="0038351A"/>
    <w:rsid w:val="003835B4"/>
    <w:rsid w:val="00383A9B"/>
    <w:rsid w:val="0038410A"/>
    <w:rsid w:val="003845C9"/>
    <w:rsid w:val="00385BDB"/>
    <w:rsid w:val="00385CE4"/>
    <w:rsid w:val="00385F26"/>
    <w:rsid w:val="003860D9"/>
    <w:rsid w:val="003861F1"/>
    <w:rsid w:val="00386D26"/>
    <w:rsid w:val="00386F10"/>
    <w:rsid w:val="003871BA"/>
    <w:rsid w:val="0038740D"/>
    <w:rsid w:val="003874D2"/>
    <w:rsid w:val="003878E5"/>
    <w:rsid w:val="00387B2C"/>
    <w:rsid w:val="00387D40"/>
    <w:rsid w:val="00387E72"/>
    <w:rsid w:val="00387F7E"/>
    <w:rsid w:val="00387FC4"/>
    <w:rsid w:val="00390433"/>
    <w:rsid w:val="0039051F"/>
    <w:rsid w:val="00391240"/>
    <w:rsid w:val="003914B6"/>
    <w:rsid w:val="00391BD0"/>
    <w:rsid w:val="00391DBF"/>
    <w:rsid w:val="00391F30"/>
    <w:rsid w:val="0039221C"/>
    <w:rsid w:val="00392234"/>
    <w:rsid w:val="003922D8"/>
    <w:rsid w:val="00392913"/>
    <w:rsid w:val="00392940"/>
    <w:rsid w:val="00392B73"/>
    <w:rsid w:val="0039303E"/>
    <w:rsid w:val="00393483"/>
    <w:rsid w:val="00393A30"/>
    <w:rsid w:val="00393A99"/>
    <w:rsid w:val="00393C5F"/>
    <w:rsid w:val="00393D78"/>
    <w:rsid w:val="003940C3"/>
    <w:rsid w:val="003946CD"/>
    <w:rsid w:val="00394851"/>
    <w:rsid w:val="00394ACC"/>
    <w:rsid w:val="00395152"/>
    <w:rsid w:val="00395420"/>
    <w:rsid w:val="00395956"/>
    <w:rsid w:val="00396A5B"/>
    <w:rsid w:val="003972CC"/>
    <w:rsid w:val="003972F5"/>
    <w:rsid w:val="0039779B"/>
    <w:rsid w:val="00397906"/>
    <w:rsid w:val="00397D2A"/>
    <w:rsid w:val="00397D79"/>
    <w:rsid w:val="00397EA6"/>
    <w:rsid w:val="003A00CD"/>
    <w:rsid w:val="003A0706"/>
    <w:rsid w:val="003A0A7C"/>
    <w:rsid w:val="003A0DF2"/>
    <w:rsid w:val="003A0ED9"/>
    <w:rsid w:val="003A164C"/>
    <w:rsid w:val="003A1D4C"/>
    <w:rsid w:val="003A27D8"/>
    <w:rsid w:val="003A2CE0"/>
    <w:rsid w:val="003A31A4"/>
    <w:rsid w:val="003A33B6"/>
    <w:rsid w:val="003A3EEF"/>
    <w:rsid w:val="003A42E5"/>
    <w:rsid w:val="003A44BC"/>
    <w:rsid w:val="003A47CA"/>
    <w:rsid w:val="003A4C0F"/>
    <w:rsid w:val="003A540F"/>
    <w:rsid w:val="003A54F0"/>
    <w:rsid w:val="003A5B66"/>
    <w:rsid w:val="003A5EA1"/>
    <w:rsid w:val="003A6D08"/>
    <w:rsid w:val="003A6F6E"/>
    <w:rsid w:val="003A75F1"/>
    <w:rsid w:val="003A76CE"/>
    <w:rsid w:val="003A7E37"/>
    <w:rsid w:val="003B0034"/>
    <w:rsid w:val="003B0136"/>
    <w:rsid w:val="003B0284"/>
    <w:rsid w:val="003B039B"/>
    <w:rsid w:val="003B048F"/>
    <w:rsid w:val="003B07D7"/>
    <w:rsid w:val="003B0BCA"/>
    <w:rsid w:val="003B0C1E"/>
    <w:rsid w:val="003B0EE1"/>
    <w:rsid w:val="003B0F70"/>
    <w:rsid w:val="003B16E3"/>
    <w:rsid w:val="003B198D"/>
    <w:rsid w:val="003B1C0D"/>
    <w:rsid w:val="003B1F06"/>
    <w:rsid w:val="003B2050"/>
    <w:rsid w:val="003B22EA"/>
    <w:rsid w:val="003B2795"/>
    <w:rsid w:val="003B2841"/>
    <w:rsid w:val="003B28ED"/>
    <w:rsid w:val="003B2E14"/>
    <w:rsid w:val="003B2E36"/>
    <w:rsid w:val="003B3BCB"/>
    <w:rsid w:val="003B4455"/>
    <w:rsid w:val="003B44AE"/>
    <w:rsid w:val="003B48BB"/>
    <w:rsid w:val="003B49CB"/>
    <w:rsid w:val="003B4A51"/>
    <w:rsid w:val="003B50B6"/>
    <w:rsid w:val="003B553C"/>
    <w:rsid w:val="003B5674"/>
    <w:rsid w:val="003B591E"/>
    <w:rsid w:val="003B5A93"/>
    <w:rsid w:val="003B610C"/>
    <w:rsid w:val="003B6481"/>
    <w:rsid w:val="003B6E52"/>
    <w:rsid w:val="003B7045"/>
    <w:rsid w:val="003B759C"/>
    <w:rsid w:val="003B7745"/>
    <w:rsid w:val="003B7A77"/>
    <w:rsid w:val="003B7D12"/>
    <w:rsid w:val="003B7E26"/>
    <w:rsid w:val="003C01B8"/>
    <w:rsid w:val="003C0234"/>
    <w:rsid w:val="003C049E"/>
    <w:rsid w:val="003C13CF"/>
    <w:rsid w:val="003C1424"/>
    <w:rsid w:val="003C1568"/>
    <w:rsid w:val="003C1970"/>
    <w:rsid w:val="003C1B6B"/>
    <w:rsid w:val="003C2132"/>
    <w:rsid w:val="003C2182"/>
    <w:rsid w:val="003C23ED"/>
    <w:rsid w:val="003C2778"/>
    <w:rsid w:val="003C2847"/>
    <w:rsid w:val="003C2878"/>
    <w:rsid w:val="003C2E27"/>
    <w:rsid w:val="003C33A8"/>
    <w:rsid w:val="003C33F3"/>
    <w:rsid w:val="003C3D1D"/>
    <w:rsid w:val="003C46CA"/>
    <w:rsid w:val="003C5134"/>
    <w:rsid w:val="003C5173"/>
    <w:rsid w:val="003C56EB"/>
    <w:rsid w:val="003C58C0"/>
    <w:rsid w:val="003C5EBC"/>
    <w:rsid w:val="003C5F04"/>
    <w:rsid w:val="003C6054"/>
    <w:rsid w:val="003C636C"/>
    <w:rsid w:val="003C64CD"/>
    <w:rsid w:val="003C6621"/>
    <w:rsid w:val="003C67F0"/>
    <w:rsid w:val="003C6919"/>
    <w:rsid w:val="003C6990"/>
    <w:rsid w:val="003C6EAD"/>
    <w:rsid w:val="003C730D"/>
    <w:rsid w:val="003C7518"/>
    <w:rsid w:val="003C7645"/>
    <w:rsid w:val="003C7C8C"/>
    <w:rsid w:val="003C7FE3"/>
    <w:rsid w:val="003D029C"/>
    <w:rsid w:val="003D0868"/>
    <w:rsid w:val="003D0D1D"/>
    <w:rsid w:val="003D0E4E"/>
    <w:rsid w:val="003D12A7"/>
    <w:rsid w:val="003D1885"/>
    <w:rsid w:val="003D1A54"/>
    <w:rsid w:val="003D215C"/>
    <w:rsid w:val="003D2329"/>
    <w:rsid w:val="003D24DE"/>
    <w:rsid w:val="003D24E5"/>
    <w:rsid w:val="003D2577"/>
    <w:rsid w:val="003D2714"/>
    <w:rsid w:val="003D277E"/>
    <w:rsid w:val="003D2C94"/>
    <w:rsid w:val="003D3012"/>
    <w:rsid w:val="003D303F"/>
    <w:rsid w:val="003D34BA"/>
    <w:rsid w:val="003D3669"/>
    <w:rsid w:val="003D403D"/>
    <w:rsid w:val="003D46D7"/>
    <w:rsid w:val="003D4824"/>
    <w:rsid w:val="003D48D8"/>
    <w:rsid w:val="003D4C15"/>
    <w:rsid w:val="003D53F9"/>
    <w:rsid w:val="003D544D"/>
    <w:rsid w:val="003D5769"/>
    <w:rsid w:val="003D62B6"/>
    <w:rsid w:val="003D67A9"/>
    <w:rsid w:val="003D69A9"/>
    <w:rsid w:val="003D7003"/>
    <w:rsid w:val="003D7569"/>
    <w:rsid w:val="003D76ED"/>
    <w:rsid w:val="003D7717"/>
    <w:rsid w:val="003E0189"/>
    <w:rsid w:val="003E079B"/>
    <w:rsid w:val="003E0BEF"/>
    <w:rsid w:val="003E1C9A"/>
    <w:rsid w:val="003E2295"/>
    <w:rsid w:val="003E2584"/>
    <w:rsid w:val="003E26DD"/>
    <w:rsid w:val="003E2F84"/>
    <w:rsid w:val="003E32B2"/>
    <w:rsid w:val="003E39F6"/>
    <w:rsid w:val="003E3F2D"/>
    <w:rsid w:val="003E41F5"/>
    <w:rsid w:val="003E4374"/>
    <w:rsid w:val="003E4415"/>
    <w:rsid w:val="003E46C3"/>
    <w:rsid w:val="003E4C6F"/>
    <w:rsid w:val="003E5121"/>
    <w:rsid w:val="003E5353"/>
    <w:rsid w:val="003E598E"/>
    <w:rsid w:val="003E5F2D"/>
    <w:rsid w:val="003E6656"/>
    <w:rsid w:val="003E6714"/>
    <w:rsid w:val="003E6DE5"/>
    <w:rsid w:val="003E74D6"/>
    <w:rsid w:val="003E75AC"/>
    <w:rsid w:val="003E76EF"/>
    <w:rsid w:val="003E7727"/>
    <w:rsid w:val="003E7EAC"/>
    <w:rsid w:val="003F029E"/>
    <w:rsid w:val="003F03E7"/>
    <w:rsid w:val="003F0A5B"/>
    <w:rsid w:val="003F0B10"/>
    <w:rsid w:val="003F10DD"/>
    <w:rsid w:val="003F1474"/>
    <w:rsid w:val="003F17CC"/>
    <w:rsid w:val="003F18E2"/>
    <w:rsid w:val="003F1AC1"/>
    <w:rsid w:val="003F1BDF"/>
    <w:rsid w:val="003F1D80"/>
    <w:rsid w:val="003F202B"/>
    <w:rsid w:val="003F22AD"/>
    <w:rsid w:val="003F2C93"/>
    <w:rsid w:val="003F2F25"/>
    <w:rsid w:val="003F3305"/>
    <w:rsid w:val="003F3BB5"/>
    <w:rsid w:val="003F420E"/>
    <w:rsid w:val="003F47D6"/>
    <w:rsid w:val="003F4874"/>
    <w:rsid w:val="003F4B5E"/>
    <w:rsid w:val="003F4B9C"/>
    <w:rsid w:val="003F4C6B"/>
    <w:rsid w:val="003F4D10"/>
    <w:rsid w:val="003F4F31"/>
    <w:rsid w:val="003F522A"/>
    <w:rsid w:val="003F56A1"/>
    <w:rsid w:val="003F583A"/>
    <w:rsid w:val="003F58CF"/>
    <w:rsid w:val="003F5E18"/>
    <w:rsid w:val="003F5FB7"/>
    <w:rsid w:val="003F617A"/>
    <w:rsid w:val="003F6475"/>
    <w:rsid w:val="003F683E"/>
    <w:rsid w:val="003F6FC2"/>
    <w:rsid w:val="003F7192"/>
    <w:rsid w:val="003F745B"/>
    <w:rsid w:val="003F7CB3"/>
    <w:rsid w:val="003F7F86"/>
    <w:rsid w:val="003F7FA7"/>
    <w:rsid w:val="004004D9"/>
    <w:rsid w:val="00400D9D"/>
    <w:rsid w:val="00400F9E"/>
    <w:rsid w:val="00401296"/>
    <w:rsid w:val="004013BA"/>
    <w:rsid w:val="004013E6"/>
    <w:rsid w:val="00401C6E"/>
    <w:rsid w:val="00402264"/>
    <w:rsid w:val="004026BE"/>
    <w:rsid w:val="00402941"/>
    <w:rsid w:val="00402FEC"/>
    <w:rsid w:val="00403302"/>
    <w:rsid w:val="004034CD"/>
    <w:rsid w:val="00403B6D"/>
    <w:rsid w:val="00403C02"/>
    <w:rsid w:val="0040446A"/>
    <w:rsid w:val="004045DC"/>
    <w:rsid w:val="00404B1D"/>
    <w:rsid w:val="00404D57"/>
    <w:rsid w:val="00404D8C"/>
    <w:rsid w:val="0040503B"/>
    <w:rsid w:val="004054BA"/>
    <w:rsid w:val="004054FF"/>
    <w:rsid w:val="0040559D"/>
    <w:rsid w:val="0040560F"/>
    <w:rsid w:val="00406183"/>
    <w:rsid w:val="004064E8"/>
    <w:rsid w:val="00406534"/>
    <w:rsid w:val="0040678B"/>
    <w:rsid w:val="00406D57"/>
    <w:rsid w:val="00407381"/>
    <w:rsid w:val="004079B2"/>
    <w:rsid w:val="00407A7D"/>
    <w:rsid w:val="00407D92"/>
    <w:rsid w:val="00407EB0"/>
    <w:rsid w:val="00407FC7"/>
    <w:rsid w:val="004102FB"/>
    <w:rsid w:val="004103E4"/>
    <w:rsid w:val="00410E0C"/>
    <w:rsid w:val="00410F62"/>
    <w:rsid w:val="00411168"/>
    <w:rsid w:val="00411D71"/>
    <w:rsid w:val="00412570"/>
    <w:rsid w:val="004125C6"/>
    <w:rsid w:val="0041273A"/>
    <w:rsid w:val="00412EDA"/>
    <w:rsid w:val="004138AE"/>
    <w:rsid w:val="0041464C"/>
    <w:rsid w:val="00414AC4"/>
    <w:rsid w:val="00414C8D"/>
    <w:rsid w:val="00414CF3"/>
    <w:rsid w:val="00414EDF"/>
    <w:rsid w:val="00415435"/>
    <w:rsid w:val="00415528"/>
    <w:rsid w:val="0041566C"/>
    <w:rsid w:val="004156E4"/>
    <w:rsid w:val="00415D54"/>
    <w:rsid w:val="0041619F"/>
    <w:rsid w:val="0041640B"/>
    <w:rsid w:val="0041660D"/>
    <w:rsid w:val="00416F1A"/>
    <w:rsid w:val="004174E1"/>
    <w:rsid w:val="004176C4"/>
    <w:rsid w:val="00417934"/>
    <w:rsid w:val="00417B06"/>
    <w:rsid w:val="00421D4D"/>
    <w:rsid w:val="00421ED2"/>
    <w:rsid w:val="00421F71"/>
    <w:rsid w:val="0042210D"/>
    <w:rsid w:val="0042221F"/>
    <w:rsid w:val="00422AC8"/>
    <w:rsid w:val="004232CD"/>
    <w:rsid w:val="004235C1"/>
    <w:rsid w:val="0042362B"/>
    <w:rsid w:val="00423735"/>
    <w:rsid w:val="00423D00"/>
    <w:rsid w:val="00423D95"/>
    <w:rsid w:val="004240D4"/>
    <w:rsid w:val="00424176"/>
    <w:rsid w:val="004241B9"/>
    <w:rsid w:val="0042429F"/>
    <w:rsid w:val="004252E8"/>
    <w:rsid w:val="0042592C"/>
    <w:rsid w:val="00425BF6"/>
    <w:rsid w:val="00425DAD"/>
    <w:rsid w:val="004264F3"/>
    <w:rsid w:val="0042673B"/>
    <w:rsid w:val="00426A9B"/>
    <w:rsid w:val="00426C82"/>
    <w:rsid w:val="004273AD"/>
    <w:rsid w:val="00427730"/>
    <w:rsid w:val="00427D14"/>
    <w:rsid w:val="00427D1C"/>
    <w:rsid w:val="00427FED"/>
    <w:rsid w:val="00430496"/>
    <w:rsid w:val="0043088B"/>
    <w:rsid w:val="00430F25"/>
    <w:rsid w:val="0043151C"/>
    <w:rsid w:val="00431611"/>
    <w:rsid w:val="004319D2"/>
    <w:rsid w:val="00432109"/>
    <w:rsid w:val="0043251D"/>
    <w:rsid w:val="00432A30"/>
    <w:rsid w:val="00432B88"/>
    <w:rsid w:val="00432E3E"/>
    <w:rsid w:val="004333AC"/>
    <w:rsid w:val="00433A7E"/>
    <w:rsid w:val="00433B25"/>
    <w:rsid w:val="00433EA7"/>
    <w:rsid w:val="00434004"/>
    <w:rsid w:val="00434214"/>
    <w:rsid w:val="004344E3"/>
    <w:rsid w:val="004346BD"/>
    <w:rsid w:val="00434930"/>
    <w:rsid w:val="00434C4E"/>
    <w:rsid w:val="004350A6"/>
    <w:rsid w:val="00435419"/>
    <w:rsid w:val="004354CC"/>
    <w:rsid w:val="004354DF"/>
    <w:rsid w:val="00435BBA"/>
    <w:rsid w:val="00435FB8"/>
    <w:rsid w:val="0043613F"/>
    <w:rsid w:val="00436176"/>
    <w:rsid w:val="004362C3"/>
    <w:rsid w:val="0043643B"/>
    <w:rsid w:val="00436960"/>
    <w:rsid w:val="00436C55"/>
    <w:rsid w:val="00436D82"/>
    <w:rsid w:val="004375B0"/>
    <w:rsid w:val="004375DA"/>
    <w:rsid w:val="004379BC"/>
    <w:rsid w:val="004401FD"/>
    <w:rsid w:val="004404FF"/>
    <w:rsid w:val="004407AC"/>
    <w:rsid w:val="00440E22"/>
    <w:rsid w:val="00441539"/>
    <w:rsid w:val="00441DEF"/>
    <w:rsid w:val="0044218C"/>
    <w:rsid w:val="00442A58"/>
    <w:rsid w:val="00442A85"/>
    <w:rsid w:val="00442AE9"/>
    <w:rsid w:val="00442EF6"/>
    <w:rsid w:val="00443032"/>
    <w:rsid w:val="004430D1"/>
    <w:rsid w:val="004434B4"/>
    <w:rsid w:val="004447DC"/>
    <w:rsid w:val="00444825"/>
    <w:rsid w:val="00444B92"/>
    <w:rsid w:val="00444F21"/>
    <w:rsid w:val="00445289"/>
    <w:rsid w:val="00445A12"/>
    <w:rsid w:val="00445DE7"/>
    <w:rsid w:val="00445E02"/>
    <w:rsid w:val="00446248"/>
    <w:rsid w:val="00446953"/>
    <w:rsid w:val="00446B0F"/>
    <w:rsid w:val="00446CF1"/>
    <w:rsid w:val="00446D19"/>
    <w:rsid w:val="00446F12"/>
    <w:rsid w:val="0044714F"/>
    <w:rsid w:val="004471B7"/>
    <w:rsid w:val="0044720D"/>
    <w:rsid w:val="00447872"/>
    <w:rsid w:val="00447F9D"/>
    <w:rsid w:val="00450C1E"/>
    <w:rsid w:val="00450C38"/>
    <w:rsid w:val="00450C79"/>
    <w:rsid w:val="00450D91"/>
    <w:rsid w:val="00451474"/>
    <w:rsid w:val="0045152F"/>
    <w:rsid w:val="00451548"/>
    <w:rsid w:val="00451A94"/>
    <w:rsid w:val="00452266"/>
    <w:rsid w:val="00452AB5"/>
    <w:rsid w:val="00452BDB"/>
    <w:rsid w:val="00453353"/>
    <w:rsid w:val="00453402"/>
    <w:rsid w:val="004536F9"/>
    <w:rsid w:val="00453892"/>
    <w:rsid w:val="00453B5C"/>
    <w:rsid w:val="00453E7D"/>
    <w:rsid w:val="00454805"/>
    <w:rsid w:val="0045480D"/>
    <w:rsid w:val="00454E0F"/>
    <w:rsid w:val="0045512D"/>
    <w:rsid w:val="00455962"/>
    <w:rsid w:val="00455ADA"/>
    <w:rsid w:val="00456912"/>
    <w:rsid w:val="00456F77"/>
    <w:rsid w:val="00456FB7"/>
    <w:rsid w:val="00457069"/>
    <w:rsid w:val="00457304"/>
    <w:rsid w:val="004573E3"/>
    <w:rsid w:val="004574C4"/>
    <w:rsid w:val="004578E3"/>
    <w:rsid w:val="00457BC9"/>
    <w:rsid w:val="00457E0A"/>
    <w:rsid w:val="004602B6"/>
    <w:rsid w:val="0046091B"/>
    <w:rsid w:val="004613C2"/>
    <w:rsid w:val="00461538"/>
    <w:rsid w:val="004615B7"/>
    <w:rsid w:val="0046191E"/>
    <w:rsid w:val="00461F72"/>
    <w:rsid w:val="004621F1"/>
    <w:rsid w:val="0046220B"/>
    <w:rsid w:val="004625AE"/>
    <w:rsid w:val="004625C9"/>
    <w:rsid w:val="00463952"/>
    <w:rsid w:val="004639C4"/>
    <w:rsid w:val="004645C7"/>
    <w:rsid w:val="00464916"/>
    <w:rsid w:val="004649FD"/>
    <w:rsid w:val="00464FD0"/>
    <w:rsid w:val="00465040"/>
    <w:rsid w:val="00465948"/>
    <w:rsid w:val="00465AF8"/>
    <w:rsid w:val="00465D7C"/>
    <w:rsid w:val="004660EE"/>
    <w:rsid w:val="00466515"/>
    <w:rsid w:val="004665CA"/>
    <w:rsid w:val="00466779"/>
    <w:rsid w:val="00467277"/>
    <w:rsid w:val="004676BC"/>
    <w:rsid w:val="0046783A"/>
    <w:rsid w:val="004705B3"/>
    <w:rsid w:val="00470A88"/>
    <w:rsid w:val="00470FFC"/>
    <w:rsid w:val="00471776"/>
    <w:rsid w:val="00471BF2"/>
    <w:rsid w:val="00471C4E"/>
    <w:rsid w:val="00472017"/>
    <w:rsid w:val="004720CC"/>
    <w:rsid w:val="00472547"/>
    <w:rsid w:val="004726D0"/>
    <w:rsid w:val="00472824"/>
    <w:rsid w:val="00472827"/>
    <w:rsid w:val="00472EEC"/>
    <w:rsid w:val="00473098"/>
    <w:rsid w:val="00473A24"/>
    <w:rsid w:val="00473DC1"/>
    <w:rsid w:val="00473EFF"/>
    <w:rsid w:val="004743C2"/>
    <w:rsid w:val="004749A4"/>
    <w:rsid w:val="00474BA4"/>
    <w:rsid w:val="00474CAB"/>
    <w:rsid w:val="00474D70"/>
    <w:rsid w:val="00475031"/>
    <w:rsid w:val="00475188"/>
    <w:rsid w:val="004754AF"/>
    <w:rsid w:val="0047575F"/>
    <w:rsid w:val="004769AA"/>
    <w:rsid w:val="00476B8B"/>
    <w:rsid w:val="004772F1"/>
    <w:rsid w:val="00477957"/>
    <w:rsid w:val="00477A03"/>
    <w:rsid w:val="00477BF6"/>
    <w:rsid w:val="00477DD1"/>
    <w:rsid w:val="00480C49"/>
    <w:rsid w:val="004818FF"/>
    <w:rsid w:val="00481EC8"/>
    <w:rsid w:val="00481F87"/>
    <w:rsid w:val="0048203B"/>
    <w:rsid w:val="00482141"/>
    <w:rsid w:val="00482149"/>
    <w:rsid w:val="004821E5"/>
    <w:rsid w:val="004822F4"/>
    <w:rsid w:val="00482396"/>
    <w:rsid w:val="004825B7"/>
    <w:rsid w:val="00482C82"/>
    <w:rsid w:val="00482E32"/>
    <w:rsid w:val="00482E4B"/>
    <w:rsid w:val="00483272"/>
    <w:rsid w:val="00483A0E"/>
    <w:rsid w:val="00483AFB"/>
    <w:rsid w:val="004844BF"/>
    <w:rsid w:val="0048475C"/>
    <w:rsid w:val="00484815"/>
    <w:rsid w:val="00484875"/>
    <w:rsid w:val="00484BD5"/>
    <w:rsid w:val="00484F44"/>
    <w:rsid w:val="004851A9"/>
    <w:rsid w:val="004855A8"/>
    <w:rsid w:val="0048579F"/>
    <w:rsid w:val="00486135"/>
    <w:rsid w:val="004865EA"/>
    <w:rsid w:val="004867D3"/>
    <w:rsid w:val="00486CEE"/>
    <w:rsid w:val="00487157"/>
    <w:rsid w:val="004875B7"/>
    <w:rsid w:val="00487810"/>
    <w:rsid w:val="00487831"/>
    <w:rsid w:val="004879AF"/>
    <w:rsid w:val="00487FEB"/>
    <w:rsid w:val="004900C9"/>
    <w:rsid w:val="004903F5"/>
    <w:rsid w:val="00490645"/>
    <w:rsid w:val="00490720"/>
    <w:rsid w:val="00490DB4"/>
    <w:rsid w:val="00491C45"/>
    <w:rsid w:val="00491D0A"/>
    <w:rsid w:val="00492D0C"/>
    <w:rsid w:val="00492EA2"/>
    <w:rsid w:val="00493795"/>
    <w:rsid w:val="00493CC7"/>
    <w:rsid w:val="00493DE1"/>
    <w:rsid w:val="00493F1C"/>
    <w:rsid w:val="0049414F"/>
    <w:rsid w:val="00495073"/>
    <w:rsid w:val="004953C4"/>
    <w:rsid w:val="00495E49"/>
    <w:rsid w:val="0049603A"/>
    <w:rsid w:val="00496152"/>
    <w:rsid w:val="0049623E"/>
    <w:rsid w:val="00496436"/>
    <w:rsid w:val="00496701"/>
    <w:rsid w:val="00496DB4"/>
    <w:rsid w:val="0049701A"/>
    <w:rsid w:val="004975D5"/>
    <w:rsid w:val="004975EB"/>
    <w:rsid w:val="00497625"/>
    <w:rsid w:val="00497739"/>
    <w:rsid w:val="00497872"/>
    <w:rsid w:val="00497F79"/>
    <w:rsid w:val="00497FF4"/>
    <w:rsid w:val="004A0180"/>
    <w:rsid w:val="004A0572"/>
    <w:rsid w:val="004A05A2"/>
    <w:rsid w:val="004A08C2"/>
    <w:rsid w:val="004A0ABA"/>
    <w:rsid w:val="004A1C81"/>
    <w:rsid w:val="004A1E03"/>
    <w:rsid w:val="004A20B3"/>
    <w:rsid w:val="004A2D9B"/>
    <w:rsid w:val="004A3CD0"/>
    <w:rsid w:val="004A3D21"/>
    <w:rsid w:val="004A414C"/>
    <w:rsid w:val="004A4559"/>
    <w:rsid w:val="004A4D14"/>
    <w:rsid w:val="004A4D1B"/>
    <w:rsid w:val="004A504F"/>
    <w:rsid w:val="004A5099"/>
    <w:rsid w:val="004A5239"/>
    <w:rsid w:val="004A52EB"/>
    <w:rsid w:val="004A5A0F"/>
    <w:rsid w:val="004A5B05"/>
    <w:rsid w:val="004A5CF9"/>
    <w:rsid w:val="004A616E"/>
    <w:rsid w:val="004A6213"/>
    <w:rsid w:val="004A66F3"/>
    <w:rsid w:val="004A68A6"/>
    <w:rsid w:val="004A73FE"/>
    <w:rsid w:val="004A74D6"/>
    <w:rsid w:val="004A76FC"/>
    <w:rsid w:val="004A77F6"/>
    <w:rsid w:val="004A7A4D"/>
    <w:rsid w:val="004A7CD9"/>
    <w:rsid w:val="004A7D51"/>
    <w:rsid w:val="004B0893"/>
    <w:rsid w:val="004B1089"/>
    <w:rsid w:val="004B13E0"/>
    <w:rsid w:val="004B1667"/>
    <w:rsid w:val="004B1814"/>
    <w:rsid w:val="004B21F2"/>
    <w:rsid w:val="004B2AB7"/>
    <w:rsid w:val="004B2DED"/>
    <w:rsid w:val="004B356A"/>
    <w:rsid w:val="004B378D"/>
    <w:rsid w:val="004B399B"/>
    <w:rsid w:val="004B3AE2"/>
    <w:rsid w:val="004B3E22"/>
    <w:rsid w:val="004B4059"/>
    <w:rsid w:val="004B4315"/>
    <w:rsid w:val="004B44CB"/>
    <w:rsid w:val="004B48C4"/>
    <w:rsid w:val="004B4B1E"/>
    <w:rsid w:val="004B51A7"/>
    <w:rsid w:val="004B51FB"/>
    <w:rsid w:val="004B55D4"/>
    <w:rsid w:val="004B57A2"/>
    <w:rsid w:val="004B5ED4"/>
    <w:rsid w:val="004B61B1"/>
    <w:rsid w:val="004B6297"/>
    <w:rsid w:val="004B6458"/>
    <w:rsid w:val="004B65B4"/>
    <w:rsid w:val="004B667C"/>
    <w:rsid w:val="004B68DF"/>
    <w:rsid w:val="004B6958"/>
    <w:rsid w:val="004B69D4"/>
    <w:rsid w:val="004B6A0D"/>
    <w:rsid w:val="004B6D9D"/>
    <w:rsid w:val="004B7370"/>
    <w:rsid w:val="004B749F"/>
    <w:rsid w:val="004B7EA8"/>
    <w:rsid w:val="004C019E"/>
    <w:rsid w:val="004C0728"/>
    <w:rsid w:val="004C11EF"/>
    <w:rsid w:val="004C14AA"/>
    <w:rsid w:val="004C1580"/>
    <w:rsid w:val="004C1A3B"/>
    <w:rsid w:val="004C222A"/>
    <w:rsid w:val="004C2434"/>
    <w:rsid w:val="004C2499"/>
    <w:rsid w:val="004C25D9"/>
    <w:rsid w:val="004C2F84"/>
    <w:rsid w:val="004C3167"/>
    <w:rsid w:val="004C3351"/>
    <w:rsid w:val="004C350F"/>
    <w:rsid w:val="004C3591"/>
    <w:rsid w:val="004C3C4E"/>
    <w:rsid w:val="004C3E3D"/>
    <w:rsid w:val="004C4370"/>
    <w:rsid w:val="004C4434"/>
    <w:rsid w:val="004C4B62"/>
    <w:rsid w:val="004C4C60"/>
    <w:rsid w:val="004C4E1E"/>
    <w:rsid w:val="004C4FBF"/>
    <w:rsid w:val="004C54DD"/>
    <w:rsid w:val="004C5E43"/>
    <w:rsid w:val="004C69A7"/>
    <w:rsid w:val="004C709D"/>
    <w:rsid w:val="004C715E"/>
    <w:rsid w:val="004C7784"/>
    <w:rsid w:val="004C7A02"/>
    <w:rsid w:val="004D0747"/>
    <w:rsid w:val="004D099F"/>
    <w:rsid w:val="004D15BD"/>
    <w:rsid w:val="004D1AEC"/>
    <w:rsid w:val="004D21A8"/>
    <w:rsid w:val="004D2374"/>
    <w:rsid w:val="004D237C"/>
    <w:rsid w:val="004D281E"/>
    <w:rsid w:val="004D2B32"/>
    <w:rsid w:val="004D2BAE"/>
    <w:rsid w:val="004D2C92"/>
    <w:rsid w:val="004D355B"/>
    <w:rsid w:val="004D3B56"/>
    <w:rsid w:val="004D3F0B"/>
    <w:rsid w:val="004D47CA"/>
    <w:rsid w:val="004D49AD"/>
    <w:rsid w:val="004D4BE1"/>
    <w:rsid w:val="004D5536"/>
    <w:rsid w:val="004D5569"/>
    <w:rsid w:val="004D55B5"/>
    <w:rsid w:val="004D562C"/>
    <w:rsid w:val="004D5D94"/>
    <w:rsid w:val="004D5FD0"/>
    <w:rsid w:val="004D68BE"/>
    <w:rsid w:val="004D69C2"/>
    <w:rsid w:val="004D70A8"/>
    <w:rsid w:val="004D7265"/>
    <w:rsid w:val="004D7895"/>
    <w:rsid w:val="004D7B0A"/>
    <w:rsid w:val="004E0897"/>
    <w:rsid w:val="004E0A8F"/>
    <w:rsid w:val="004E0C80"/>
    <w:rsid w:val="004E0D23"/>
    <w:rsid w:val="004E0D48"/>
    <w:rsid w:val="004E0DE5"/>
    <w:rsid w:val="004E0E16"/>
    <w:rsid w:val="004E1144"/>
    <w:rsid w:val="004E125A"/>
    <w:rsid w:val="004E14A6"/>
    <w:rsid w:val="004E14F3"/>
    <w:rsid w:val="004E1A5E"/>
    <w:rsid w:val="004E1ACE"/>
    <w:rsid w:val="004E204E"/>
    <w:rsid w:val="004E21D4"/>
    <w:rsid w:val="004E2A54"/>
    <w:rsid w:val="004E3044"/>
    <w:rsid w:val="004E30FD"/>
    <w:rsid w:val="004E35DC"/>
    <w:rsid w:val="004E3885"/>
    <w:rsid w:val="004E38B6"/>
    <w:rsid w:val="004E43A8"/>
    <w:rsid w:val="004E4786"/>
    <w:rsid w:val="004E4813"/>
    <w:rsid w:val="004E48C7"/>
    <w:rsid w:val="004E4B9A"/>
    <w:rsid w:val="004E4E87"/>
    <w:rsid w:val="004E5273"/>
    <w:rsid w:val="004E52EB"/>
    <w:rsid w:val="004E5638"/>
    <w:rsid w:val="004E56E7"/>
    <w:rsid w:val="004E681A"/>
    <w:rsid w:val="004F10AC"/>
    <w:rsid w:val="004F1E1C"/>
    <w:rsid w:val="004F258E"/>
    <w:rsid w:val="004F25F1"/>
    <w:rsid w:val="004F2CE3"/>
    <w:rsid w:val="004F3267"/>
    <w:rsid w:val="004F3663"/>
    <w:rsid w:val="004F38D7"/>
    <w:rsid w:val="004F3A3C"/>
    <w:rsid w:val="004F3CA6"/>
    <w:rsid w:val="004F3CF1"/>
    <w:rsid w:val="004F3E6E"/>
    <w:rsid w:val="004F444F"/>
    <w:rsid w:val="004F466C"/>
    <w:rsid w:val="004F4BEF"/>
    <w:rsid w:val="004F4BF1"/>
    <w:rsid w:val="004F4E8D"/>
    <w:rsid w:val="004F5487"/>
    <w:rsid w:val="004F5737"/>
    <w:rsid w:val="004F5F1A"/>
    <w:rsid w:val="004F61A3"/>
    <w:rsid w:val="004F6BCF"/>
    <w:rsid w:val="004F6CF1"/>
    <w:rsid w:val="004F6D94"/>
    <w:rsid w:val="004F76E1"/>
    <w:rsid w:val="004F78FF"/>
    <w:rsid w:val="004F7D16"/>
    <w:rsid w:val="004F7D9B"/>
    <w:rsid w:val="005004EF"/>
    <w:rsid w:val="00500A35"/>
    <w:rsid w:val="00500B49"/>
    <w:rsid w:val="005015DC"/>
    <w:rsid w:val="00501B48"/>
    <w:rsid w:val="00501BBE"/>
    <w:rsid w:val="00501C27"/>
    <w:rsid w:val="00502145"/>
    <w:rsid w:val="005024A0"/>
    <w:rsid w:val="00502735"/>
    <w:rsid w:val="005028F1"/>
    <w:rsid w:val="00502B42"/>
    <w:rsid w:val="0050321E"/>
    <w:rsid w:val="0050357C"/>
    <w:rsid w:val="0050358B"/>
    <w:rsid w:val="0050384A"/>
    <w:rsid w:val="00503D47"/>
    <w:rsid w:val="005049AA"/>
    <w:rsid w:val="00504B66"/>
    <w:rsid w:val="00504D09"/>
    <w:rsid w:val="00505023"/>
    <w:rsid w:val="00506096"/>
    <w:rsid w:val="005062A6"/>
    <w:rsid w:val="005063B0"/>
    <w:rsid w:val="00506712"/>
    <w:rsid w:val="00506760"/>
    <w:rsid w:val="0050685D"/>
    <w:rsid w:val="00506A7D"/>
    <w:rsid w:val="00506D77"/>
    <w:rsid w:val="00506E6C"/>
    <w:rsid w:val="00506F5E"/>
    <w:rsid w:val="0051017D"/>
    <w:rsid w:val="0051022A"/>
    <w:rsid w:val="005103DD"/>
    <w:rsid w:val="00510798"/>
    <w:rsid w:val="005108D3"/>
    <w:rsid w:val="00510B12"/>
    <w:rsid w:val="00510EB5"/>
    <w:rsid w:val="00510FE4"/>
    <w:rsid w:val="00511765"/>
    <w:rsid w:val="005118BF"/>
    <w:rsid w:val="00511EB0"/>
    <w:rsid w:val="005128E3"/>
    <w:rsid w:val="00512BC3"/>
    <w:rsid w:val="00512C44"/>
    <w:rsid w:val="00512CFA"/>
    <w:rsid w:val="00513430"/>
    <w:rsid w:val="00513503"/>
    <w:rsid w:val="0051362E"/>
    <w:rsid w:val="00513939"/>
    <w:rsid w:val="00514374"/>
    <w:rsid w:val="00514433"/>
    <w:rsid w:val="00514571"/>
    <w:rsid w:val="00514966"/>
    <w:rsid w:val="00514999"/>
    <w:rsid w:val="00514AD4"/>
    <w:rsid w:val="005153BD"/>
    <w:rsid w:val="0051597B"/>
    <w:rsid w:val="00515A9A"/>
    <w:rsid w:val="00515AD2"/>
    <w:rsid w:val="00515B5C"/>
    <w:rsid w:val="00515BF7"/>
    <w:rsid w:val="00516493"/>
    <w:rsid w:val="00516722"/>
    <w:rsid w:val="00517358"/>
    <w:rsid w:val="00517598"/>
    <w:rsid w:val="0051770D"/>
    <w:rsid w:val="00517806"/>
    <w:rsid w:val="00517CE2"/>
    <w:rsid w:val="005202D1"/>
    <w:rsid w:val="00520762"/>
    <w:rsid w:val="00521186"/>
    <w:rsid w:val="005211E0"/>
    <w:rsid w:val="00521EC6"/>
    <w:rsid w:val="00522317"/>
    <w:rsid w:val="00522397"/>
    <w:rsid w:val="00522C47"/>
    <w:rsid w:val="0052378D"/>
    <w:rsid w:val="00524193"/>
    <w:rsid w:val="00524792"/>
    <w:rsid w:val="00525136"/>
    <w:rsid w:val="005255E9"/>
    <w:rsid w:val="00525CC0"/>
    <w:rsid w:val="00525EAA"/>
    <w:rsid w:val="005267BC"/>
    <w:rsid w:val="00526946"/>
    <w:rsid w:val="00527D2B"/>
    <w:rsid w:val="00527EDF"/>
    <w:rsid w:val="0053011B"/>
    <w:rsid w:val="00530889"/>
    <w:rsid w:val="005309AC"/>
    <w:rsid w:val="00530B25"/>
    <w:rsid w:val="00531845"/>
    <w:rsid w:val="00531901"/>
    <w:rsid w:val="00531A98"/>
    <w:rsid w:val="00531C3E"/>
    <w:rsid w:val="005322E8"/>
    <w:rsid w:val="00532624"/>
    <w:rsid w:val="00532943"/>
    <w:rsid w:val="005331E5"/>
    <w:rsid w:val="00533CBB"/>
    <w:rsid w:val="00533D56"/>
    <w:rsid w:val="00533EC1"/>
    <w:rsid w:val="00534432"/>
    <w:rsid w:val="005347AF"/>
    <w:rsid w:val="0053497D"/>
    <w:rsid w:val="005350C0"/>
    <w:rsid w:val="00535174"/>
    <w:rsid w:val="005357A9"/>
    <w:rsid w:val="00535D01"/>
    <w:rsid w:val="00535F84"/>
    <w:rsid w:val="0053611C"/>
    <w:rsid w:val="00536308"/>
    <w:rsid w:val="0053648F"/>
    <w:rsid w:val="00536773"/>
    <w:rsid w:val="0053694B"/>
    <w:rsid w:val="005369E7"/>
    <w:rsid w:val="00536AB9"/>
    <w:rsid w:val="00536C18"/>
    <w:rsid w:val="00537077"/>
    <w:rsid w:val="00537214"/>
    <w:rsid w:val="00537C8F"/>
    <w:rsid w:val="005405EE"/>
    <w:rsid w:val="00540AFE"/>
    <w:rsid w:val="005412BE"/>
    <w:rsid w:val="0054134F"/>
    <w:rsid w:val="005419C7"/>
    <w:rsid w:val="00542C67"/>
    <w:rsid w:val="005431B3"/>
    <w:rsid w:val="00543762"/>
    <w:rsid w:val="0054388B"/>
    <w:rsid w:val="00543A0A"/>
    <w:rsid w:val="00544107"/>
    <w:rsid w:val="0054445B"/>
    <w:rsid w:val="0054447E"/>
    <w:rsid w:val="00544622"/>
    <w:rsid w:val="005450B1"/>
    <w:rsid w:val="005451AC"/>
    <w:rsid w:val="005457FA"/>
    <w:rsid w:val="005463A1"/>
    <w:rsid w:val="005465CB"/>
    <w:rsid w:val="005467C8"/>
    <w:rsid w:val="00546BF4"/>
    <w:rsid w:val="00546EEC"/>
    <w:rsid w:val="00547231"/>
    <w:rsid w:val="0054741E"/>
    <w:rsid w:val="00547D49"/>
    <w:rsid w:val="005501CB"/>
    <w:rsid w:val="0055028B"/>
    <w:rsid w:val="005504D5"/>
    <w:rsid w:val="0055059C"/>
    <w:rsid w:val="005507A1"/>
    <w:rsid w:val="0055095E"/>
    <w:rsid w:val="00550A43"/>
    <w:rsid w:val="00550AB3"/>
    <w:rsid w:val="0055104C"/>
    <w:rsid w:val="005512B9"/>
    <w:rsid w:val="005513CA"/>
    <w:rsid w:val="005517B2"/>
    <w:rsid w:val="005517E1"/>
    <w:rsid w:val="00551E97"/>
    <w:rsid w:val="00551F25"/>
    <w:rsid w:val="00552A95"/>
    <w:rsid w:val="00552D43"/>
    <w:rsid w:val="00553C92"/>
    <w:rsid w:val="00553CA3"/>
    <w:rsid w:val="00553CB1"/>
    <w:rsid w:val="00554686"/>
    <w:rsid w:val="00554725"/>
    <w:rsid w:val="005552F2"/>
    <w:rsid w:val="0055556F"/>
    <w:rsid w:val="00555970"/>
    <w:rsid w:val="00555D9D"/>
    <w:rsid w:val="00556075"/>
    <w:rsid w:val="00556146"/>
    <w:rsid w:val="005567D9"/>
    <w:rsid w:val="00556DD0"/>
    <w:rsid w:val="00557251"/>
    <w:rsid w:val="0055766F"/>
    <w:rsid w:val="00557A81"/>
    <w:rsid w:val="00557DB4"/>
    <w:rsid w:val="00557DC7"/>
    <w:rsid w:val="00560332"/>
    <w:rsid w:val="00560564"/>
    <w:rsid w:val="005608CF"/>
    <w:rsid w:val="00560BF8"/>
    <w:rsid w:val="00561245"/>
    <w:rsid w:val="00561542"/>
    <w:rsid w:val="00561AAE"/>
    <w:rsid w:val="0056207B"/>
    <w:rsid w:val="005623A7"/>
    <w:rsid w:val="005623A9"/>
    <w:rsid w:val="005626FF"/>
    <w:rsid w:val="00562AE3"/>
    <w:rsid w:val="00562CBA"/>
    <w:rsid w:val="00562DCF"/>
    <w:rsid w:val="00562FF7"/>
    <w:rsid w:val="00563649"/>
    <w:rsid w:val="00563B5D"/>
    <w:rsid w:val="00563DC4"/>
    <w:rsid w:val="0056427D"/>
    <w:rsid w:val="005642EE"/>
    <w:rsid w:val="005647AB"/>
    <w:rsid w:val="00564B66"/>
    <w:rsid w:val="005651FB"/>
    <w:rsid w:val="005656E2"/>
    <w:rsid w:val="00565C6C"/>
    <w:rsid w:val="00566102"/>
    <w:rsid w:val="005662FA"/>
    <w:rsid w:val="005667A2"/>
    <w:rsid w:val="005668F5"/>
    <w:rsid w:val="005669E8"/>
    <w:rsid w:val="00566F02"/>
    <w:rsid w:val="0056774A"/>
    <w:rsid w:val="00567A59"/>
    <w:rsid w:val="00567AE7"/>
    <w:rsid w:val="00567AFB"/>
    <w:rsid w:val="00567F60"/>
    <w:rsid w:val="00570586"/>
    <w:rsid w:val="00570886"/>
    <w:rsid w:val="00570B52"/>
    <w:rsid w:val="00570C17"/>
    <w:rsid w:val="00570C5A"/>
    <w:rsid w:val="00570CF0"/>
    <w:rsid w:val="00570D6A"/>
    <w:rsid w:val="00571023"/>
    <w:rsid w:val="00571464"/>
    <w:rsid w:val="00571B81"/>
    <w:rsid w:val="00571E7B"/>
    <w:rsid w:val="00572078"/>
    <w:rsid w:val="00572534"/>
    <w:rsid w:val="005726CB"/>
    <w:rsid w:val="00572BED"/>
    <w:rsid w:val="005731BE"/>
    <w:rsid w:val="005738B4"/>
    <w:rsid w:val="00573A8D"/>
    <w:rsid w:val="00573D00"/>
    <w:rsid w:val="00574073"/>
    <w:rsid w:val="0057437E"/>
    <w:rsid w:val="00574597"/>
    <w:rsid w:val="00574720"/>
    <w:rsid w:val="0057482E"/>
    <w:rsid w:val="00574F12"/>
    <w:rsid w:val="00574FB5"/>
    <w:rsid w:val="0057546A"/>
    <w:rsid w:val="005755DA"/>
    <w:rsid w:val="00575657"/>
    <w:rsid w:val="0057585D"/>
    <w:rsid w:val="00575FF3"/>
    <w:rsid w:val="0057659E"/>
    <w:rsid w:val="00576F87"/>
    <w:rsid w:val="00577113"/>
    <w:rsid w:val="0057745C"/>
    <w:rsid w:val="00577698"/>
    <w:rsid w:val="0057792F"/>
    <w:rsid w:val="00577E09"/>
    <w:rsid w:val="00577FA8"/>
    <w:rsid w:val="005800D9"/>
    <w:rsid w:val="00580876"/>
    <w:rsid w:val="00580E1B"/>
    <w:rsid w:val="00581132"/>
    <w:rsid w:val="005814BA"/>
    <w:rsid w:val="005818DE"/>
    <w:rsid w:val="00581A74"/>
    <w:rsid w:val="00581C2D"/>
    <w:rsid w:val="0058205B"/>
    <w:rsid w:val="005820EF"/>
    <w:rsid w:val="00582302"/>
    <w:rsid w:val="0058284F"/>
    <w:rsid w:val="005835C3"/>
    <w:rsid w:val="005835F7"/>
    <w:rsid w:val="00583FDC"/>
    <w:rsid w:val="0058412E"/>
    <w:rsid w:val="005844D2"/>
    <w:rsid w:val="005845D1"/>
    <w:rsid w:val="0058493E"/>
    <w:rsid w:val="00584A2B"/>
    <w:rsid w:val="00584C6B"/>
    <w:rsid w:val="00584EEC"/>
    <w:rsid w:val="00585069"/>
    <w:rsid w:val="005850F9"/>
    <w:rsid w:val="00585301"/>
    <w:rsid w:val="005857A6"/>
    <w:rsid w:val="00585C5B"/>
    <w:rsid w:val="00585DBE"/>
    <w:rsid w:val="00585E4C"/>
    <w:rsid w:val="005861CC"/>
    <w:rsid w:val="005862FD"/>
    <w:rsid w:val="0058672B"/>
    <w:rsid w:val="00586D86"/>
    <w:rsid w:val="00586F21"/>
    <w:rsid w:val="005871F5"/>
    <w:rsid w:val="005878CA"/>
    <w:rsid w:val="005879EE"/>
    <w:rsid w:val="00590800"/>
    <w:rsid w:val="00590864"/>
    <w:rsid w:val="00591021"/>
    <w:rsid w:val="00591141"/>
    <w:rsid w:val="00591148"/>
    <w:rsid w:val="0059121D"/>
    <w:rsid w:val="0059122B"/>
    <w:rsid w:val="00591989"/>
    <w:rsid w:val="00591C33"/>
    <w:rsid w:val="00591F79"/>
    <w:rsid w:val="00592278"/>
    <w:rsid w:val="005924B2"/>
    <w:rsid w:val="005926BD"/>
    <w:rsid w:val="005929A6"/>
    <w:rsid w:val="005932A8"/>
    <w:rsid w:val="00593740"/>
    <w:rsid w:val="00593B27"/>
    <w:rsid w:val="00594987"/>
    <w:rsid w:val="00594B1B"/>
    <w:rsid w:val="00594EA4"/>
    <w:rsid w:val="00594FEC"/>
    <w:rsid w:val="005955DA"/>
    <w:rsid w:val="00595893"/>
    <w:rsid w:val="00595CB2"/>
    <w:rsid w:val="00595D7D"/>
    <w:rsid w:val="00596096"/>
    <w:rsid w:val="00596DB0"/>
    <w:rsid w:val="00596E65"/>
    <w:rsid w:val="00597157"/>
    <w:rsid w:val="00597637"/>
    <w:rsid w:val="00597FFD"/>
    <w:rsid w:val="005A0059"/>
    <w:rsid w:val="005A0062"/>
    <w:rsid w:val="005A075A"/>
    <w:rsid w:val="005A0F88"/>
    <w:rsid w:val="005A10CE"/>
    <w:rsid w:val="005A1704"/>
    <w:rsid w:val="005A18F5"/>
    <w:rsid w:val="005A1961"/>
    <w:rsid w:val="005A3FBC"/>
    <w:rsid w:val="005A4805"/>
    <w:rsid w:val="005A4EA5"/>
    <w:rsid w:val="005A5137"/>
    <w:rsid w:val="005A5B09"/>
    <w:rsid w:val="005A5B3F"/>
    <w:rsid w:val="005A612A"/>
    <w:rsid w:val="005A63D8"/>
    <w:rsid w:val="005A65C5"/>
    <w:rsid w:val="005A755E"/>
    <w:rsid w:val="005A76AF"/>
    <w:rsid w:val="005A7C9D"/>
    <w:rsid w:val="005B06E9"/>
    <w:rsid w:val="005B0787"/>
    <w:rsid w:val="005B0799"/>
    <w:rsid w:val="005B0F9A"/>
    <w:rsid w:val="005B10D1"/>
    <w:rsid w:val="005B193D"/>
    <w:rsid w:val="005B1A4F"/>
    <w:rsid w:val="005B1C0B"/>
    <w:rsid w:val="005B2E48"/>
    <w:rsid w:val="005B2EEE"/>
    <w:rsid w:val="005B336B"/>
    <w:rsid w:val="005B357D"/>
    <w:rsid w:val="005B370F"/>
    <w:rsid w:val="005B38DE"/>
    <w:rsid w:val="005B3B96"/>
    <w:rsid w:val="005B3DEC"/>
    <w:rsid w:val="005B4124"/>
    <w:rsid w:val="005B450E"/>
    <w:rsid w:val="005B45E0"/>
    <w:rsid w:val="005B4BB1"/>
    <w:rsid w:val="005B4DBE"/>
    <w:rsid w:val="005B4F71"/>
    <w:rsid w:val="005B5115"/>
    <w:rsid w:val="005B51EC"/>
    <w:rsid w:val="005B57EF"/>
    <w:rsid w:val="005B5B9A"/>
    <w:rsid w:val="005B5C83"/>
    <w:rsid w:val="005B5DA5"/>
    <w:rsid w:val="005B61F4"/>
    <w:rsid w:val="005B6E5C"/>
    <w:rsid w:val="005B74EE"/>
    <w:rsid w:val="005B795A"/>
    <w:rsid w:val="005B7E2D"/>
    <w:rsid w:val="005C07D0"/>
    <w:rsid w:val="005C081F"/>
    <w:rsid w:val="005C08B4"/>
    <w:rsid w:val="005C098C"/>
    <w:rsid w:val="005C0FB3"/>
    <w:rsid w:val="005C10D5"/>
    <w:rsid w:val="005C12CD"/>
    <w:rsid w:val="005C19E9"/>
    <w:rsid w:val="005C1DE1"/>
    <w:rsid w:val="005C2179"/>
    <w:rsid w:val="005C2187"/>
    <w:rsid w:val="005C2374"/>
    <w:rsid w:val="005C2820"/>
    <w:rsid w:val="005C2BFA"/>
    <w:rsid w:val="005C3A99"/>
    <w:rsid w:val="005C3BDB"/>
    <w:rsid w:val="005C3EBA"/>
    <w:rsid w:val="005C528E"/>
    <w:rsid w:val="005C550B"/>
    <w:rsid w:val="005C5A7C"/>
    <w:rsid w:val="005C5AE6"/>
    <w:rsid w:val="005C5D27"/>
    <w:rsid w:val="005C6454"/>
    <w:rsid w:val="005C65B5"/>
    <w:rsid w:val="005C6A18"/>
    <w:rsid w:val="005C6F2D"/>
    <w:rsid w:val="005C7610"/>
    <w:rsid w:val="005C770E"/>
    <w:rsid w:val="005C7AC1"/>
    <w:rsid w:val="005C7C91"/>
    <w:rsid w:val="005C7F00"/>
    <w:rsid w:val="005D0157"/>
    <w:rsid w:val="005D01FA"/>
    <w:rsid w:val="005D20C1"/>
    <w:rsid w:val="005D26F5"/>
    <w:rsid w:val="005D3309"/>
    <w:rsid w:val="005D3804"/>
    <w:rsid w:val="005D3806"/>
    <w:rsid w:val="005D3D91"/>
    <w:rsid w:val="005D451C"/>
    <w:rsid w:val="005D4541"/>
    <w:rsid w:val="005D4E0D"/>
    <w:rsid w:val="005D51F5"/>
    <w:rsid w:val="005D67D5"/>
    <w:rsid w:val="005D6B91"/>
    <w:rsid w:val="005D6D8D"/>
    <w:rsid w:val="005D7247"/>
    <w:rsid w:val="005D7368"/>
    <w:rsid w:val="005D7401"/>
    <w:rsid w:val="005E000D"/>
    <w:rsid w:val="005E0591"/>
    <w:rsid w:val="005E099A"/>
    <w:rsid w:val="005E16A8"/>
    <w:rsid w:val="005E1791"/>
    <w:rsid w:val="005E1BE7"/>
    <w:rsid w:val="005E21B5"/>
    <w:rsid w:val="005E2B0A"/>
    <w:rsid w:val="005E2CC0"/>
    <w:rsid w:val="005E3035"/>
    <w:rsid w:val="005E3122"/>
    <w:rsid w:val="005E3A59"/>
    <w:rsid w:val="005E3DC6"/>
    <w:rsid w:val="005E4552"/>
    <w:rsid w:val="005E493E"/>
    <w:rsid w:val="005E4FDC"/>
    <w:rsid w:val="005E5311"/>
    <w:rsid w:val="005E5DC9"/>
    <w:rsid w:val="005E621B"/>
    <w:rsid w:val="005E64A1"/>
    <w:rsid w:val="005E6589"/>
    <w:rsid w:val="005E769F"/>
    <w:rsid w:val="005E770E"/>
    <w:rsid w:val="005E7B13"/>
    <w:rsid w:val="005E7F3F"/>
    <w:rsid w:val="005F037B"/>
    <w:rsid w:val="005F04EE"/>
    <w:rsid w:val="005F17AF"/>
    <w:rsid w:val="005F188E"/>
    <w:rsid w:val="005F1A36"/>
    <w:rsid w:val="005F2B25"/>
    <w:rsid w:val="005F2B50"/>
    <w:rsid w:val="005F328A"/>
    <w:rsid w:val="005F3EC9"/>
    <w:rsid w:val="005F4507"/>
    <w:rsid w:val="005F47F5"/>
    <w:rsid w:val="005F5001"/>
    <w:rsid w:val="005F569C"/>
    <w:rsid w:val="005F574C"/>
    <w:rsid w:val="005F5EE4"/>
    <w:rsid w:val="005F6191"/>
    <w:rsid w:val="005F61D4"/>
    <w:rsid w:val="005F6289"/>
    <w:rsid w:val="005F692A"/>
    <w:rsid w:val="005F6B31"/>
    <w:rsid w:val="005F7302"/>
    <w:rsid w:val="005F7576"/>
    <w:rsid w:val="005F7630"/>
    <w:rsid w:val="005F7C57"/>
    <w:rsid w:val="005F7E12"/>
    <w:rsid w:val="00600347"/>
    <w:rsid w:val="006005E7"/>
    <w:rsid w:val="00600987"/>
    <w:rsid w:val="00600A4A"/>
    <w:rsid w:val="00600DC8"/>
    <w:rsid w:val="00601630"/>
    <w:rsid w:val="00602024"/>
    <w:rsid w:val="00602063"/>
    <w:rsid w:val="0060233D"/>
    <w:rsid w:val="0060246F"/>
    <w:rsid w:val="006028C8"/>
    <w:rsid w:val="006028DF"/>
    <w:rsid w:val="00602E83"/>
    <w:rsid w:val="006031BB"/>
    <w:rsid w:val="00603687"/>
    <w:rsid w:val="006038CC"/>
    <w:rsid w:val="00603BF0"/>
    <w:rsid w:val="0060416D"/>
    <w:rsid w:val="00604332"/>
    <w:rsid w:val="006049A7"/>
    <w:rsid w:val="00604EE1"/>
    <w:rsid w:val="0060513A"/>
    <w:rsid w:val="00605CBF"/>
    <w:rsid w:val="00605D69"/>
    <w:rsid w:val="00605E6B"/>
    <w:rsid w:val="006066BD"/>
    <w:rsid w:val="006067D5"/>
    <w:rsid w:val="006073B3"/>
    <w:rsid w:val="006074B6"/>
    <w:rsid w:val="006105D5"/>
    <w:rsid w:val="006109B2"/>
    <w:rsid w:val="00610A12"/>
    <w:rsid w:val="00610DD6"/>
    <w:rsid w:val="00611286"/>
    <w:rsid w:val="006112E5"/>
    <w:rsid w:val="0061182E"/>
    <w:rsid w:val="0061187F"/>
    <w:rsid w:val="006118A3"/>
    <w:rsid w:val="00611AFC"/>
    <w:rsid w:val="006126BC"/>
    <w:rsid w:val="00612A9E"/>
    <w:rsid w:val="00612DAB"/>
    <w:rsid w:val="00612F98"/>
    <w:rsid w:val="006130A0"/>
    <w:rsid w:val="006130D9"/>
    <w:rsid w:val="006131D7"/>
    <w:rsid w:val="00613829"/>
    <w:rsid w:val="00613A22"/>
    <w:rsid w:val="00613AF9"/>
    <w:rsid w:val="00613F76"/>
    <w:rsid w:val="006142E8"/>
    <w:rsid w:val="00614E4B"/>
    <w:rsid w:val="00614F30"/>
    <w:rsid w:val="0061518F"/>
    <w:rsid w:val="0061557F"/>
    <w:rsid w:val="00615632"/>
    <w:rsid w:val="006158C7"/>
    <w:rsid w:val="00615941"/>
    <w:rsid w:val="00615EBB"/>
    <w:rsid w:val="006162E4"/>
    <w:rsid w:val="00616544"/>
    <w:rsid w:val="0061679E"/>
    <w:rsid w:val="00616B47"/>
    <w:rsid w:val="00617427"/>
    <w:rsid w:val="0061756E"/>
    <w:rsid w:val="006175F5"/>
    <w:rsid w:val="006179C8"/>
    <w:rsid w:val="00617DAA"/>
    <w:rsid w:val="00620146"/>
    <w:rsid w:val="00620698"/>
    <w:rsid w:val="00620C1D"/>
    <w:rsid w:val="00620E7C"/>
    <w:rsid w:val="00621580"/>
    <w:rsid w:val="006217CA"/>
    <w:rsid w:val="00621E47"/>
    <w:rsid w:val="00622275"/>
    <w:rsid w:val="006226A5"/>
    <w:rsid w:val="00622B8B"/>
    <w:rsid w:val="0062372B"/>
    <w:rsid w:val="006237CA"/>
    <w:rsid w:val="006239DE"/>
    <w:rsid w:val="00623FE1"/>
    <w:rsid w:val="0062427A"/>
    <w:rsid w:val="0062484B"/>
    <w:rsid w:val="00624F00"/>
    <w:rsid w:val="00625268"/>
    <w:rsid w:val="00625662"/>
    <w:rsid w:val="00625850"/>
    <w:rsid w:val="00625D0E"/>
    <w:rsid w:val="00626038"/>
    <w:rsid w:val="0062626C"/>
    <w:rsid w:val="00626398"/>
    <w:rsid w:val="006264BC"/>
    <w:rsid w:val="00626543"/>
    <w:rsid w:val="00626821"/>
    <w:rsid w:val="00626A8D"/>
    <w:rsid w:val="00626B40"/>
    <w:rsid w:val="00626E3F"/>
    <w:rsid w:val="006270B9"/>
    <w:rsid w:val="006272D1"/>
    <w:rsid w:val="00627AEA"/>
    <w:rsid w:val="00630040"/>
    <w:rsid w:val="0063058F"/>
    <w:rsid w:val="006305FD"/>
    <w:rsid w:val="00630B10"/>
    <w:rsid w:val="00630BE0"/>
    <w:rsid w:val="00631134"/>
    <w:rsid w:val="0063121A"/>
    <w:rsid w:val="0063124E"/>
    <w:rsid w:val="0063131E"/>
    <w:rsid w:val="00631CE1"/>
    <w:rsid w:val="00631D3A"/>
    <w:rsid w:val="00631E1B"/>
    <w:rsid w:val="0063208D"/>
    <w:rsid w:val="00632379"/>
    <w:rsid w:val="006341AB"/>
    <w:rsid w:val="00634ED4"/>
    <w:rsid w:val="0063539A"/>
    <w:rsid w:val="0063542C"/>
    <w:rsid w:val="006355C5"/>
    <w:rsid w:val="006356FC"/>
    <w:rsid w:val="0063616B"/>
    <w:rsid w:val="006368BB"/>
    <w:rsid w:val="00636CF6"/>
    <w:rsid w:val="00636D31"/>
    <w:rsid w:val="00636DF1"/>
    <w:rsid w:val="00637951"/>
    <w:rsid w:val="0064023F"/>
    <w:rsid w:val="00640663"/>
    <w:rsid w:val="00641E0F"/>
    <w:rsid w:val="00642435"/>
    <w:rsid w:val="00642B13"/>
    <w:rsid w:val="00642E14"/>
    <w:rsid w:val="00643458"/>
    <w:rsid w:val="00643FB4"/>
    <w:rsid w:val="00644112"/>
    <w:rsid w:val="0064415A"/>
    <w:rsid w:val="0064492F"/>
    <w:rsid w:val="00645172"/>
    <w:rsid w:val="00645F77"/>
    <w:rsid w:val="00646008"/>
    <w:rsid w:val="0064610A"/>
    <w:rsid w:val="0065078F"/>
    <w:rsid w:val="006507AC"/>
    <w:rsid w:val="0065091C"/>
    <w:rsid w:val="00650A02"/>
    <w:rsid w:val="00650A22"/>
    <w:rsid w:val="0065102D"/>
    <w:rsid w:val="006511D6"/>
    <w:rsid w:val="00651476"/>
    <w:rsid w:val="00651501"/>
    <w:rsid w:val="006515E0"/>
    <w:rsid w:val="00651677"/>
    <w:rsid w:val="00652018"/>
    <w:rsid w:val="006521F5"/>
    <w:rsid w:val="00653119"/>
    <w:rsid w:val="00653279"/>
    <w:rsid w:val="00653CA4"/>
    <w:rsid w:val="00654AFB"/>
    <w:rsid w:val="00654D51"/>
    <w:rsid w:val="00654F11"/>
    <w:rsid w:val="00655A83"/>
    <w:rsid w:val="00656115"/>
    <w:rsid w:val="0065611B"/>
    <w:rsid w:val="0065682D"/>
    <w:rsid w:val="00656DF5"/>
    <w:rsid w:val="00656F7E"/>
    <w:rsid w:val="006601AD"/>
    <w:rsid w:val="006601E1"/>
    <w:rsid w:val="00660645"/>
    <w:rsid w:val="006612FA"/>
    <w:rsid w:val="00661438"/>
    <w:rsid w:val="00661469"/>
    <w:rsid w:val="00662B51"/>
    <w:rsid w:val="00662CBC"/>
    <w:rsid w:val="00662D90"/>
    <w:rsid w:val="00662E6C"/>
    <w:rsid w:val="006630F4"/>
    <w:rsid w:val="00663429"/>
    <w:rsid w:val="006634AA"/>
    <w:rsid w:val="00663AF2"/>
    <w:rsid w:val="00663C21"/>
    <w:rsid w:val="00664132"/>
    <w:rsid w:val="0066504E"/>
    <w:rsid w:val="0066538D"/>
    <w:rsid w:val="006659C6"/>
    <w:rsid w:val="00665A23"/>
    <w:rsid w:val="00665D6F"/>
    <w:rsid w:val="00665D74"/>
    <w:rsid w:val="006661B0"/>
    <w:rsid w:val="00666BD2"/>
    <w:rsid w:val="00666E7A"/>
    <w:rsid w:val="00667719"/>
    <w:rsid w:val="00667747"/>
    <w:rsid w:val="00667B69"/>
    <w:rsid w:val="00667F48"/>
    <w:rsid w:val="0067067E"/>
    <w:rsid w:val="006709BF"/>
    <w:rsid w:val="00670A01"/>
    <w:rsid w:val="00670AFB"/>
    <w:rsid w:val="00670B78"/>
    <w:rsid w:val="0067103B"/>
    <w:rsid w:val="006715F6"/>
    <w:rsid w:val="0067175E"/>
    <w:rsid w:val="0067195E"/>
    <w:rsid w:val="00672354"/>
    <w:rsid w:val="006729A0"/>
    <w:rsid w:val="00674753"/>
    <w:rsid w:val="00675125"/>
    <w:rsid w:val="0067581A"/>
    <w:rsid w:val="006758F2"/>
    <w:rsid w:val="00675AAC"/>
    <w:rsid w:val="006764EA"/>
    <w:rsid w:val="00676B7D"/>
    <w:rsid w:val="0068117B"/>
    <w:rsid w:val="00681865"/>
    <w:rsid w:val="0068196E"/>
    <w:rsid w:val="0068210A"/>
    <w:rsid w:val="00682577"/>
    <w:rsid w:val="00682745"/>
    <w:rsid w:val="00682E07"/>
    <w:rsid w:val="0068325B"/>
    <w:rsid w:val="00683344"/>
    <w:rsid w:val="0068335E"/>
    <w:rsid w:val="00683CC7"/>
    <w:rsid w:val="006840DD"/>
    <w:rsid w:val="00684B5A"/>
    <w:rsid w:val="00684D87"/>
    <w:rsid w:val="0068525B"/>
    <w:rsid w:val="00685575"/>
    <w:rsid w:val="00685742"/>
    <w:rsid w:val="0068593A"/>
    <w:rsid w:val="00685A1C"/>
    <w:rsid w:val="00685F97"/>
    <w:rsid w:val="006861D2"/>
    <w:rsid w:val="00686687"/>
    <w:rsid w:val="00686E03"/>
    <w:rsid w:val="00687321"/>
    <w:rsid w:val="00687FBE"/>
    <w:rsid w:val="006902DC"/>
    <w:rsid w:val="006903B8"/>
    <w:rsid w:val="0069068B"/>
    <w:rsid w:val="00690702"/>
    <w:rsid w:val="00690721"/>
    <w:rsid w:val="00690A94"/>
    <w:rsid w:val="00691443"/>
    <w:rsid w:val="00691837"/>
    <w:rsid w:val="00691914"/>
    <w:rsid w:val="00691AD6"/>
    <w:rsid w:val="006920AF"/>
    <w:rsid w:val="006927B0"/>
    <w:rsid w:val="00692833"/>
    <w:rsid w:val="006929CB"/>
    <w:rsid w:val="00692C19"/>
    <w:rsid w:val="00693289"/>
    <w:rsid w:val="006933F0"/>
    <w:rsid w:val="00693869"/>
    <w:rsid w:val="00693929"/>
    <w:rsid w:val="00693BA2"/>
    <w:rsid w:val="00693CA2"/>
    <w:rsid w:val="006942CB"/>
    <w:rsid w:val="006944A1"/>
    <w:rsid w:val="006944C5"/>
    <w:rsid w:val="00694810"/>
    <w:rsid w:val="00694986"/>
    <w:rsid w:val="00694AF6"/>
    <w:rsid w:val="00694D3E"/>
    <w:rsid w:val="00694E1D"/>
    <w:rsid w:val="00695074"/>
    <w:rsid w:val="006956E9"/>
    <w:rsid w:val="00695709"/>
    <w:rsid w:val="0069599E"/>
    <w:rsid w:val="00695E25"/>
    <w:rsid w:val="00695ECF"/>
    <w:rsid w:val="00697137"/>
    <w:rsid w:val="0069723C"/>
    <w:rsid w:val="00697358"/>
    <w:rsid w:val="006977EC"/>
    <w:rsid w:val="006978B6"/>
    <w:rsid w:val="006979F7"/>
    <w:rsid w:val="00697AFB"/>
    <w:rsid w:val="006A013E"/>
    <w:rsid w:val="006A0155"/>
    <w:rsid w:val="006A02D2"/>
    <w:rsid w:val="006A086D"/>
    <w:rsid w:val="006A0D57"/>
    <w:rsid w:val="006A0E19"/>
    <w:rsid w:val="006A0EA1"/>
    <w:rsid w:val="006A1CBF"/>
    <w:rsid w:val="006A1CE7"/>
    <w:rsid w:val="006A250C"/>
    <w:rsid w:val="006A273E"/>
    <w:rsid w:val="006A2AB2"/>
    <w:rsid w:val="006A2C50"/>
    <w:rsid w:val="006A325C"/>
    <w:rsid w:val="006A381B"/>
    <w:rsid w:val="006A3CD0"/>
    <w:rsid w:val="006A4067"/>
    <w:rsid w:val="006A4267"/>
    <w:rsid w:val="006A44EC"/>
    <w:rsid w:val="006A4549"/>
    <w:rsid w:val="006A494D"/>
    <w:rsid w:val="006A4CFD"/>
    <w:rsid w:val="006A5C13"/>
    <w:rsid w:val="006A5D0E"/>
    <w:rsid w:val="006A5DCD"/>
    <w:rsid w:val="006A5FB3"/>
    <w:rsid w:val="006A6190"/>
    <w:rsid w:val="006A6220"/>
    <w:rsid w:val="006A68A8"/>
    <w:rsid w:val="006A6A44"/>
    <w:rsid w:val="006A6D84"/>
    <w:rsid w:val="006A6E85"/>
    <w:rsid w:val="006A6F2F"/>
    <w:rsid w:val="006A77ED"/>
    <w:rsid w:val="006A7C7C"/>
    <w:rsid w:val="006B04D0"/>
    <w:rsid w:val="006B05C3"/>
    <w:rsid w:val="006B066F"/>
    <w:rsid w:val="006B0785"/>
    <w:rsid w:val="006B098F"/>
    <w:rsid w:val="006B0FE4"/>
    <w:rsid w:val="006B0FFF"/>
    <w:rsid w:val="006B106E"/>
    <w:rsid w:val="006B1274"/>
    <w:rsid w:val="006B19EB"/>
    <w:rsid w:val="006B1E11"/>
    <w:rsid w:val="006B1E1D"/>
    <w:rsid w:val="006B2702"/>
    <w:rsid w:val="006B2C6B"/>
    <w:rsid w:val="006B30F4"/>
    <w:rsid w:val="006B3124"/>
    <w:rsid w:val="006B3595"/>
    <w:rsid w:val="006B3C71"/>
    <w:rsid w:val="006B4047"/>
    <w:rsid w:val="006B4260"/>
    <w:rsid w:val="006B42F0"/>
    <w:rsid w:val="006B4529"/>
    <w:rsid w:val="006B4B72"/>
    <w:rsid w:val="006B5BAA"/>
    <w:rsid w:val="006B5DC5"/>
    <w:rsid w:val="006B6564"/>
    <w:rsid w:val="006B65DC"/>
    <w:rsid w:val="006B69F4"/>
    <w:rsid w:val="006B6FAD"/>
    <w:rsid w:val="006B7012"/>
    <w:rsid w:val="006B7234"/>
    <w:rsid w:val="006C07E9"/>
    <w:rsid w:val="006C092C"/>
    <w:rsid w:val="006C0930"/>
    <w:rsid w:val="006C0B6B"/>
    <w:rsid w:val="006C0B94"/>
    <w:rsid w:val="006C12D4"/>
    <w:rsid w:val="006C1BD1"/>
    <w:rsid w:val="006C20D8"/>
    <w:rsid w:val="006C2303"/>
    <w:rsid w:val="006C234F"/>
    <w:rsid w:val="006C237D"/>
    <w:rsid w:val="006C28DB"/>
    <w:rsid w:val="006C3059"/>
    <w:rsid w:val="006C3196"/>
    <w:rsid w:val="006C3B92"/>
    <w:rsid w:val="006C3F83"/>
    <w:rsid w:val="006C432A"/>
    <w:rsid w:val="006C543E"/>
    <w:rsid w:val="006C55D0"/>
    <w:rsid w:val="006C59A7"/>
    <w:rsid w:val="006C5FF5"/>
    <w:rsid w:val="006C627D"/>
    <w:rsid w:val="006C63A9"/>
    <w:rsid w:val="006C6427"/>
    <w:rsid w:val="006C6C82"/>
    <w:rsid w:val="006C6D91"/>
    <w:rsid w:val="006C6ECB"/>
    <w:rsid w:val="006C6FA6"/>
    <w:rsid w:val="006C72EE"/>
    <w:rsid w:val="006C7699"/>
    <w:rsid w:val="006D01DE"/>
    <w:rsid w:val="006D07A4"/>
    <w:rsid w:val="006D085D"/>
    <w:rsid w:val="006D0D3E"/>
    <w:rsid w:val="006D10EE"/>
    <w:rsid w:val="006D211C"/>
    <w:rsid w:val="006D2214"/>
    <w:rsid w:val="006D2561"/>
    <w:rsid w:val="006D257E"/>
    <w:rsid w:val="006D2AAE"/>
    <w:rsid w:val="006D3704"/>
    <w:rsid w:val="006D3AAC"/>
    <w:rsid w:val="006D3F68"/>
    <w:rsid w:val="006D4088"/>
    <w:rsid w:val="006D40ED"/>
    <w:rsid w:val="006D40F6"/>
    <w:rsid w:val="006D45E2"/>
    <w:rsid w:val="006D4B38"/>
    <w:rsid w:val="006D4BD5"/>
    <w:rsid w:val="006D5005"/>
    <w:rsid w:val="006D5571"/>
    <w:rsid w:val="006D5B4E"/>
    <w:rsid w:val="006D5D53"/>
    <w:rsid w:val="006D611C"/>
    <w:rsid w:val="006D69FC"/>
    <w:rsid w:val="006D6B13"/>
    <w:rsid w:val="006D6F41"/>
    <w:rsid w:val="006D74C4"/>
    <w:rsid w:val="006D75BA"/>
    <w:rsid w:val="006D7693"/>
    <w:rsid w:val="006D7CC6"/>
    <w:rsid w:val="006E0567"/>
    <w:rsid w:val="006E1383"/>
    <w:rsid w:val="006E200E"/>
    <w:rsid w:val="006E270A"/>
    <w:rsid w:val="006E2BEC"/>
    <w:rsid w:val="006E2FD5"/>
    <w:rsid w:val="006E335D"/>
    <w:rsid w:val="006E3473"/>
    <w:rsid w:val="006E3539"/>
    <w:rsid w:val="006E3AD7"/>
    <w:rsid w:val="006E46C4"/>
    <w:rsid w:val="006E4AD1"/>
    <w:rsid w:val="006E4D83"/>
    <w:rsid w:val="006E4FC5"/>
    <w:rsid w:val="006E4FDB"/>
    <w:rsid w:val="006E528B"/>
    <w:rsid w:val="006E5B98"/>
    <w:rsid w:val="006E5EFB"/>
    <w:rsid w:val="006E6462"/>
    <w:rsid w:val="006E65AC"/>
    <w:rsid w:val="006E6616"/>
    <w:rsid w:val="006E6D5D"/>
    <w:rsid w:val="006E74DD"/>
    <w:rsid w:val="006E762C"/>
    <w:rsid w:val="006E77DA"/>
    <w:rsid w:val="006E7A87"/>
    <w:rsid w:val="006E7AD5"/>
    <w:rsid w:val="006E7FB3"/>
    <w:rsid w:val="006F0084"/>
    <w:rsid w:val="006F07C5"/>
    <w:rsid w:val="006F0EEF"/>
    <w:rsid w:val="006F113D"/>
    <w:rsid w:val="006F1260"/>
    <w:rsid w:val="006F1695"/>
    <w:rsid w:val="006F16C8"/>
    <w:rsid w:val="006F1C7A"/>
    <w:rsid w:val="006F1C89"/>
    <w:rsid w:val="006F1D25"/>
    <w:rsid w:val="006F2C6E"/>
    <w:rsid w:val="006F327F"/>
    <w:rsid w:val="006F38B3"/>
    <w:rsid w:val="006F3AC9"/>
    <w:rsid w:val="006F3D29"/>
    <w:rsid w:val="006F3ED0"/>
    <w:rsid w:val="006F4258"/>
    <w:rsid w:val="006F4A00"/>
    <w:rsid w:val="006F5113"/>
    <w:rsid w:val="006F5189"/>
    <w:rsid w:val="006F55BB"/>
    <w:rsid w:val="006F5E95"/>
    <w:rsid w:val="006F606C"/>
    <w:rsid w:val="006F666E"/>
    <w:rsid w:val="006F716F"/>
    <w:rsid w:val="006F7898"/>
    <w:rsid w:val="006F79A7"/>
    <w:rsid w:val="00700294"/>
    <w:rsid w:val="00701272"/>
    <w:rsid w:val="00701F69"/>
    <w:rsid w:val="0070201A"/>
    <w:rsid w:val="0070204B"/>
    <w:rsid w:val="00702185"/>
    <w:rsid w:val="00702883"/>
    <w:rsid w:val="00703239"/>
    <w:rsid w:val="007034A3"/>
    <w:rsid w:val="00703D04"/>
    <w:rsid w:val="00703D66"/>
    <w:rsid w:val="00704141"/>
    <w:rsid w:val="007049C6"/>
    <w:rsid w:val="0070504F"/>
    <w:rsid w:val="007054B7"/>
    <w:rsid w:val="00705BF6"/>
    <w:rsid w:val="00705F43"/>
    <w:rsid w:val="00705FD1"/>
    <w:rsid w:val="00706DFD"/>
    <w:rsid w:val="00707736"/>
    <w:rsid w:val="0071023E"/>
    <w:rsid w:val="00710A44"/>
    <w:rsid w:val="00710D2E"/>
    <w:rsid w:val="00710F0A"/>
    <w:rsid w:val="007114D0"/>
    <w:rsid w:val="00711537"/>
    <w:rsid w:val="007121BB"/>
    <w:rsid w:val="007124B7"/>
    <w:rsid w:val="00712C77"/>
    <w:rsid w:val="00713026"/>
    <w:rsid w:val="00713315"/>
    <w:rsid w:val="0071334B"/>
    <w:rsid w:val="007133F2"/>
    <w:rsid w:val="00713CC0"/>
    <w:rsid w:val="007145DE"/>
    <w:rsid w:val="007147A6"/>
    <w:rsid w:val="0071513C"/>
    <w:rsid w:val="007151F1"/>
    <w:rsid w:val="00715499"/>
    <w:rsid w:val="00715738"/>
    <w:rsid w:val="007157B5"/>
    <w:rsid w:val="007157F0"/>
    <w:rsid w:val="00715C7D"/>
    <w:rsid w:val="00715E81"/>
    <w:rsid w:val="007160DE"/>
    <w:rsid w:val="007166B7"/>
    <w:rsid w:val="007169AB"/>
    <w:rsid w:val="007171EC"/>
    <w:rsid w:val="00717455"/>
    <w:rsid w:val="00717D67"/>
    <w:rsid w:val="00717F80"/>
    <w:rsid w:val="0072042C"/>
    <w:rsid w:val="00720645"/>
    <w:rsid w:val="00720CEF"/>
    <w:rsid w:val="00720CF8"/>
    <w:rsid w:val="00720E77"/>
    <w:rsid w:val="00721E8F"/>
    <w:rsid w:val="00721E93"/>
    <w:rsid w:val="00721F95"/>
    <w:rsid w:val="00721FB2"/>
    <w:rsid w:val="00722171"/>
    <w:rsid w:val="0072236C"/>
    <w:rsid w:val="00722C78"/>
    <w:rsid w:val="00722DB2"/>
    <w:rsid w:val="00723076"/>
    <w:rsid w:val="00723A4C"/>
    <w:rsid w:val="00723BB1"/>
    <w:rsid w:val="00723C97"/>
    <w:rsid w:val="00723D4B"/>
    <w:rsid w:val="00723F1A"/>
    <w:rsid w:val="0072461D"/>
    <w:rsid w:val="00724863"/>
    <w:rsid w:val="007253B8"/>
    <w:rsid w:val="007259FA"/>
    <w:rsid w:val="00725A06"/>
    <w:rsid w:val="00725ACA"/>
    <w:rsid w:val="00725B3A"/>
    <w:rsid w:val="00725F2A"/>
    <w:rsid w:val="00726014"/>
    <w:rsid w:val="00726194"/>
    <w:rsid w:val="007261A5"/>
    <w:rsid w:val="0072653F"/>
    <w:rsid w:val="007268C5"/>
    <w:rsid w:val="007268E8"/>
    <w:rsid w:val="00726956"/>
    <w:rsid w:val="00726AC8"/>
    <w:rsid w:val="00726ACD"/>
    <w:rsid w:val="00726D45"/>
    <w:rsid w:val="00726E5F"/>
    <w:rsid w:val="00727E69"/>
    <w:rsid w:val="0073039B"/>
    <w:rsid w:val="007314B2"/>
    <w:rsid w:val="00731A8E"/>
    <w:rsid w:val="00731B0C"/>
    <w:rsid w:val="0073217F"/>
    <w:rsid w:val="007324EB"/>
    <w:rsid w:val="0073280F"/>
    <w:rsid w:val="007335D1"/>
    <w:rsid w:val="0073370D"/>
    <w:rsid w:val="007337B1"/>
    <w:rsid w:val="007337EA"/>
    <w:rsid w:val="00733EC8"/>
    <w:rsid w:val="00733FD4"/>
    <w:rsid w:val="00734164"/>
    <w:rsid w:val="007344CC"/>
    <w:rsid w:val="0073459C"/>
    <w:rsid w:val="007350A7"/>
    <w:rsid w:val="00735583"/>
    <w:rsid w:val="007359FE"/>
    <w:rsid w:val="00735FD1"/>
    <w:rsid w:val="007363D6"/>
    <w:rsid w:val="0073659B"/>
    <w:rsid w:val="007366F5"/>
    <w:rsid w:val="00736882"/>
    <w:rsid w:val="007376CF"/>
    <w:rsid w:val="00737939"/>
    <w:rsid w:val="00740026"/>
    <w:rsid w:val="0074019B"/>
    <w:rsid w:val="00740657"/>
    <w:rsid w:val="00740AC0"/>
    <w:rsid w:val="00740BF3"/>
    <w:rsid w:val="00741386"/>
    <w:rsid w:val="00741B25"/>
    <w:rsid w:val="007423D7"/>
    <w:rsid w:val="00742829"/>
    <w:rsid w:val="007429D6"/>
    <w:rsid w:val="00742F8A"/>
    <w:rsid w:val="00742FEE"/>
    <w:rsid w:val="0074321B"/>
    <w:rsid w:val="0074411D"/>
    <w:rsid w:val="0074428D"/>
    <w:rsid w:val="00744475"/>
    <w:rsid w:val="007446F9"/>
    <w:rsid w:val="007448B9"/>
    <w:rsid w:val="00744A1A"/>
    <w:rsid w:val="00744B29"/>
    <w:rsid w:val="00744F4C"/>
    <w:rsid w:val="007451CA"/>
    <w:rsid w:val="0074537B"/>
    <w:rsid w:val="00745435"/>
    <w:rsid w:val="00745630"/>
    <w:rsid w:val="0074599E"/>
    <w:rsid w:val="00745F8E"/>
    <w:rsid w:val="00745FA3"/>
    <w:rsid w:val="007460BC"/>
    <w:rsid w:val="007461BA"/>
    <w:rsid w:val="007462E7"/>
    <w:rsid w:val="007465E1"/>
    <w:rsid w:val="0074667C"/>
    <w:rsid w:val="00746F56"/>
    <w:rsid w:val="00747554"/>
    <w:rsid w:val="007479CB"/>
    <w:rsid w:val="00750605"/>
    <w:rsid w:val="00750EBE"/>
    <w:rsid w:val="007517EC"/>
    <w:rsid w:val="0075217D"/>
    <w:rsid w:val="00752A11"/>
    <w:rsid w:val="00752AB3"/>
    <w:rsid w:val="00752C6A"/>
    <w:rsid w:val="00752D2B"/>
    <w:rsid w:val="00752E04"/>
    <w:rsid w:val="007531DB"/>
    <w:rsid w:val="0075365E"/>
    <w:rsid w:val="007539C1"/>
    <w:rsid w:val="007545F1"/>
    <w:rsid w:val="007547DA"/>
    <w:rsid w:val="00755088"/>
    <w:rsid w:val="007550D9"/>
    <w:rsid w:val="00755EDA"/>
    <w:rsid w:val="00755EFE"/>
    <w:rsid w:val="0075605C"/>
    <w:rsid w:val="007560D1"/>
    <w:rsid w:val="0075622F"/>
    <w:rsid w:val="007562A1"/>
    <w:rsid w:val="0075634A"/>
    <w:rsid w:val="00756564"/>
    <w:rsid w:val="00756BC1"/>
    <w:rsid w:val="00756DD2"/>
    <w:rsid w:val="00756E45"/>
    <w:rsid w:val="00757206"/>
    <w:rsid w:val="00757574"/>
    <w:rsid w:val="007579AD"/>
    <w:rsid w:val="007579DE"/>
    <w:rsid w:val="00757ED9"/>
    <w:rsid w:val="0076097B"/>
    <w:rsid w:val="00760A4D"/>
    <w:rsid w:val="00760AF0"/>
    <w:rsid w:val="00761748"/>
    <w:rsid w:val="007629E1"/>
    <w:rsid w:val="00763236"/>
    <w:rsid w:val="0076330B"/>
    <w:rsid w:val="00763341"/>
    <w:rsid w:val="007642C5"/>
    <w:rsid w:val="00764594"/>
    <w:rsid w:val="00764719"/>
    <w:rsid w:val="00764930"/>
    <w:rsid w:val="00764DF4"/>
    <w:rsid w:val="00764E8B"/>
    <w:rsid w:val="00764FC1"/>
    <w:rsid w:val="00765FAD"/>
    <w:rsid w:val="00766319"/>
    <w:rsid w:val="007663D1"/>
    <w:rsid w:val="00766873"/>
    <w:rsid w:val="00766910"/>
    <w:rsid w:val="00766F3A"/>
    <w:rsid w:val="007671FD"/>
    <w:rsid w:val="007672A9"/>
    <w:rsid w:val="007673A3"/>
    <w:rsid w:val="00767762"/>
    <w:rsid w:val="00767C49"/>
    <w:rsid w:val="00770DF9"/>
    <w:rsid w:val="00770E21"/>
    <w:rsid w:val="00771594"/>
    <w:rsid w:val="00771727"/>
    <w:rsid w:val="007717B3"/>
    <w:rsid w:val="007726AF"/>
    <w:rsid w:val="00773323"/>
    <w:rsid w:val="007735A6"/>
    <w:rsid w:val="00773895"/>
    <w:rsid w:val="00773D89"/>
    <w:rsid w:val="00773E4B"/>
    <w:rsid w:val="00774331"/>
    <w:rsid w:val="00774553"/>
    <w:rsid w:val="00774977"/>
    <w:rsid w:val="00774EE4"/>
    <w:rsid w:val="00774F60"/>
    <w:rsid w:val="00775193"/>
    <w:rsid w:val="00775850"/>
    <w:rsid w:val="00775E64"/>
    <w:rsid w:val="0077677B"/>
    <w:rsid w:val="00776A0C"/>
    <w:rsid w:val="00776F44"/>
    <w:rsid w:val="00777292"/>
    <w:rsid w:val="0077766D"/>
    <w:rsid w:val="007779DE"/>
    <w:rsid w:val="00777AF3"/>
    <w:rsid w:val="00777CFC"/>
    <w:rsid w:val="007802EB"/>
    <w:rsid w:val="00780B7B"/>
    <w:rsid w:val="00781094"/>
    <w:rsid w:val="007810EF"/>
    <w:rsid w:val="007810F7"/>
    <w:rsid w:val="0078137B"/>
    <w:rsid w:val="00781814"/>
    <w:rsid w:val="00782473"/>
    <w:rsid w:val="0078274F"/>
    <w:rsid w:val="00782D78"/>
    <w:rsid w:val="00783999"/>
    <w:rsid w:val="00783F58"/>
    <w:rsid w:val="00784500"/>
    <w:rsid w:val="007845C7"/>
    <w:rsid w:val="00784643"/>
    <w:rsid w:val="00784849"/>
    <w:rsid w:val="00784AB9"/>
    <w:rsid w:val="00784CB3"/>
    <w:rsid w:val="00784DC6"/>
    <w:rsid w:val="00785020"/>
    <w:rsid w:val="00785281"/>
    <w:rsid w:val="007855BF"/>
    <w:rsid w:val="007855EB"/>
    <w:rsid w:val="007857F7"/>
    <w:rsid w:val="00785C84"/>
    <w:rsid w:val="007862E5"/>
    <w:rsid w:val="0078703A"/>
    <w:rsid w:val="007873C5"/>
    <w:rsid w:val="007875AE"/>
    <w:rsid w:val="00787602"/>
    <w:rsid w:val="00787B65"/>
    <w:rsid w:val="007900F8"/>
    <w:rsid w:val="0079151C"/>
    <w:rsid w:val="00791A01"/>
    <w:rsid w:val="0079200E"/>
    <w:rsid w:val="00792036"/>
    <w:rsid w:val="007922FA"/>
    <w:rsid w:val="00793209"/>
    <w:rsid w:val="0079364A"/>
    <w:rsid w:val="00794387"/>
    <w:rsid w:val="007947D0"/>
    <w:rsid w:val="00795164"/>
    <w:rsid w:val="0079583E"/>
    <w:rsid w:val="00795C52"/>
    <w:rsid w:val="007973C4"/>
    <w:rsid w:val="00797903"/>
    <w:rsid w:val="00797AF6"/>
    <w:rsid w:val="007A0094"/>
    <w:rsid w:val="007A0778"/>
    <w:rsid w:val="007A0FD1"/>
    <w:rsid w:val="007A12D0"/>
    <w:rsid w:val="007A134C"/>
    <w:rsid w:val="007A1D69"/>
    <w:rsid w:val="007A2874"/>
    <w:rsid w:val="007A32A4"/>
    <w:rsid w:val="007A3444"/>
    <w:rsid w:val="007A371B"/>
    <w:rsid w:val="007A37E6"/>
    <w:rsid w:val="007A38BE"/>
    <w:rsid w:val="007A4061"/>
    <w:rsid w:val="007A4CDD"/>
    <w:rsid w:val="007A545E"/>
    <w:rsid w:val="007A5968"/>
    <w:rsid w:val="007A5AC7"/>
    <w:rsid w:val="007A5B4B"/>
    <w:rsid w:val="007A5BFF"/>
    <w:rsid w:val="007A5C95"/>
    <w:rsid w:val="007A5CDF"/>
    <w:rsid w:val="007A6999"/>
    <w:rsid w:val="007A6A33"/>
    <w:rsid w:val="007A6F1D"/>
    <w:rsid w:val="007A71F2"/>
    <w:rsid w:val="007A720D"/>
    <w:rsid w:val="007A767D"/>
    <w:rsid w:val="007A78E5"/>
    <w:rsid w:val="007A7C18"/>
    <w:rsid w:val="007B0549"/>
    <w:rsid w:val="007B0F69"/>
    <w:rsid w:val="007B14B4"/>
    <w:rsid w:val="007B1D13"/>
    <w:rsid w:val="007B1F4B"/>
    <w:rsid w:val="007B20C0"/>
    <w:rsid w:val="007B23FD"/>
    <w:rsid w:val="007B26A0"/>
    <w:rsid w:val="007B29A9"/>
    <w:rsid w:val="007B2A20"/>
    <w:rsid w:val="007B321A"/>
    <w:rsid w:val="007B352C"/>
    <w:rsid w:val="007B3538"/>
    <w:rsid w:val="007B35CD"/>
    <w:rsid w:val="007B3ACA"/>
    <w:rsid w:val="007B46A4"/>
    <w:rsid w:val="007B4B33"/>
    <w:rsid w:val="007B4CBD"/>
    <w:rsid w:val="007B4F89"/>
    <w:rsid w:val="007B4FE0"/>
    <w:rsid w:val="007B5AC2"/>
    <w:rsid w:val="007B5FFF"/>
    <w:rsid w:val="007B6465"/>
    <w:rsid w:val="007B69F1"/>
    <w:rsid w:val="007B6FE8"/>
    <w:rsid w:val="007B720F"/>
    <w:rsid w:val="007B7ECD"/>
    <w:rsid w:val="007B7F15"/>
    <w:rsid w:val="007C0012"/>
    <w:rsid w:val="007C01A0"/>
    <w:rsid w:val="007C01D1"/>
    <w:rsid w:val="007C025C"/>
    <w:rsid w:val="007C0A06"/>
    <w:rsid w:val="007C0E6A"/>
    <w:rsid w:val="007C122D"/>
    <w:rsid w:val="007C1368"/>
    <w:rsid w:val="007C1935"/>
    <w:rsid w:val="007C1B71"/>
    <w:rsid w:val="007C1D41"/>
    <w:rsid w:val="007C21F4"/>
    <w:rsid w:val="007C2782"/>
    <w:rsid w:val="007C2E39"/>
    <w:rsid w:val="007C2F98"/>
    <w:rsid w:val="007C2FF1"/>
    <w:rsid w:val="007C34C3"/>
    <w:rsid w:val="007C36EB"/>
    <w:rsid w:val="007C3853"/>
    <w:rsid w:val="007C4036"/>
    <w:rsid w:val="007C4A9F"/>
    <w:rsid w:val="007C4B1E"/>
    <w:rsid w:val="007C4CC3"/>
    <w:rsid w:val="007C5408"/>
    <w:rsid w:val="007C5BAC"/>
    <w:rsid w:val="007C6972"/>
    <w:rsid w:val="007C6A87"/>
    <w:rsid w:val="007C6FDF"/>
    <w:rsid w:val="007C700D"/>
    <w:rsid w:val="007C7112"/>
    <w:rsid w:val="007C7231"/>
    <w:rsid w:val="007C73D6"/>
    <w:rsid w:val="007C795D"/>
    <w:rsid w:val="007C7F1E"/>
    <w:rsid w:val="007D044F"/>
    <w:rsid w:val="007D0660"/>
    <w:rsid w:val="007D0859"/>
    <w:rsid w:val="007D0C70"/>
    <w:rsid w:val="007D13DB"/>
    <w:rsid w:val="007D1827"/>
    <w:rsid w:val="007D1D87"/>
    <w:rsid w:val="007D1DE2"/>
    <w:rsid w:val="007D1FCA"/>
    <w:rsid w:val="007D1FF8"/>
    <w:rsid w:val="007D33ED"/>
    <w:rsid w:val="007D3B8E"/>
    <w:rsid w:val="007D3D8D"/>
    <w:rsid w:val="007D47B3"/>
    <w:rsid w:val="007D4840"/>
    <w:rsid w:val="007D4850"/>
    <w:rsid w:val="007D4AB3"/>
    <w:rsid w:val="007D4AF1"/>
    <w:rsid w:val="007D4C57"/>
    <w:rsid w:val="007D4FEC"/>
    <w:rsid w:val="007D5CA8"/>
    <w:rsid w:val="007D5CD9"/>
    <w:rsid w:val="007D72E1"/>
    <w:rsid w:val="007D744A"/>
    <w:rsid w:val="007D7D95"/>
    <w:rsid w:val="007E0000"/>
    <w:rsid w:val="007E0025"/>
    <w:rsid w:val="007E07E1"/>
    <w:rsid w:val="007E086C"/>
    <w:rsid w:val="007E0A23"/>
    <w:rsid w:val="007E0AA1"/>
    <w:rsid w:val="007E0CB6"/>
    <w:rsid w:val="007E0DAD"/>
    <w:rsid w:val="007E0F0B"/>
    <w:rsid w:val="007E0FF3"/>
    <w:rsid w:val="007E119A"/>
    <w:rsid w:val="007E1595"/>
    <w:rsid w:val="007E1723"/>
    <w:rsid w:val="007E1742"/>
    <w:rsid w:val="007E176B"/>
    <w:rsid w:val="007E1EC8"/>
    <w:rsid w:val="007E20EB"/>
    <w:rsid w:val="007E229A"/>
    <w:rsid w:val="007E237B"/>
    <w:rsid w:val="007E260D"/>
    <w:rsid w:val="007E2B7D"/>
    <w:rsid w:val="007E2B82"/>
    <w:rsid w:val="007E2E41"/>
    <w:rsid w:val="007E3048"/>
    <w:rsid w:val="007E335B"/>
    <w:rsid w:val="007E3832"/>
    <w:rsid w:val="007E3A57"/>
    <w:rsid w:val="007E3DBC"/>
    <w:rsid w:val="007E3E4B"/>
    <w:rsid w:val="007E3FA7"/>
    <w:rsid w:val="007E3FE3"/>
    <w:rsid w:val="007E49D1"/>
    <w:rsid w:val="007E4CEB"/>
    <w:rsid w:val="007E57B2"/>
    <w:rsid w:val="007E5FED"/>
    <w:rsid w:val="007E6278"/>
    <w:rsid w:val="007E70C0"/>
    <w:rsid w:val="007E71FE"/>
    <w:rsid w:val="007E72FB"/>
    <w:rsid w:val="007E79F5"/>
    <w:rsid w:val="007E7C44"/>
    <w:rsid w:val="007F0A44"/>
    <w:rsid w:val="007F0CF7"/>
    <w:rsid w:val="007F0D98"/>
    <w:rsid w:val="007F0E99"/>
    <w:rsid w:val="007F1554"/>
    <w:rsid w:val="007F199E"/>
    <w:rsid w:val="007F1C02"/>
    <w:rsid w:val="007F1C1F"/>
    <w:rsid w:val="007F1C4E"/>
    <w:rsid w:val="007F1F03"/>
    <w:rsid w:val="007F2081"/>
    <w:rsid w:val="007F2381"/>
    <w:rsid w:val="007F2AE0"/>
    <w:rsid w:val="007F2B49"/>
    <w:rsid w:val="007F34D8"/>
    <w:rsid w:val="007F3B71"/>
    <w:rsid w:val="007F5237"/>
    <w:rsid w:val="007F56F1"/>
    <w:rsid w:val="007F627E"/>
    <w:rsid w:val="007F6816"/>
    <w:rsid w:val="007F6862"/>
    <w:rsid w:val="007F6888"/>
    <w:rsid w:val="007F6990"/>
    <w:rsid w:val="007F69C5"/>
    <w:rsid w:val="007F6A61"/>
    <w:rsid w:val="007F6C86"/>
    <w:rsid w:val="007F6F80"/>
    <w:rsid w:val="007F749C"/>
    <w:rsid w:val="007F7773"/>
    <w:rsid w:val="007F7880"/>
    <w:rsid w:val="007F7898"/>
    <w:rsid w:val="007F7C82"/>
    <w:rsid w:val="007F7D4D"/>
    <w:rsid w:val="00800694"/>
    <w:rsid w:val="0080069B"/>
    <w:rsid w:val="008008A3"/>
    <w:rsid w:val="00800926"/>
    <w:rsid w:val="00800F65"/>
    <w:rsid w:val="00801056"/>
    <w:rsid w:val="008014D9"/>
    <w:rsid w:val="00801D65"/>
    <w:rsid w:val="008022BA"/>
    <w:rsid w:val="00803008"/>
    <w:rsid w:val="00803286"/>
    <w:rsid w:val="008036E2"/>
    <w:rsid w:val="00803795"/>
    <w:rsid w:val="00804AAA"/>
    <w:rsid w:val="008050B8"/>
    <w:rsid w:val="008053A2"/>
    <w:rsid w:val="008059C8"/>
    <w:rsid w:val="00805C0C"/>
    <w:rsid w:val="00806629"/>
    <w:rsid w:val="00806816"/>
    <w:rsid w:val="00807027"/>
    <w:rsid w:val="008071AD"/>
    <w:rsid w:val="00807287"/>
    <w:rsid w:val="00807378"/>
    <w:rsid w:val="00807534"/>
    <w:rsid w:val="00807543"/>
    <w:rsid w:val="008105EF"/>
    <w:rsid w:val="00810734"/>
    <w:rsid w:val="00810747"/>
    <w:rsid w:val="00810DCE"/>
    <w:rsid w:val="00810EE8"/>
    <w:rsid w:val="0081202C"/>
    <w:rsid w:val="008120E2"/>
    <w:rsid w:val="00812A1D"/>
    <w:rsid w:val="00812B61"/>
    <w:rsid w:val="00813462"/>
    <w:rsid w:val="00813ABA"/>
    <w:rsid w:val="00813C4E"/>
    <w:rsid w:val="0081434E"/>
    <w:rsid w:val="00814990"/>
    <w:rsid w:val="00814A59"/>
    <w:rsid w:val="00814B6F"/>
    <w:rsid w:val="00815081"/>
    <w:rsid w:val="0081551B"/>
    <w:rsid w:val="008161B9"/>
    <w:rsid w:val="00816681"/>
    <w:rsid w:val="00817568"/>
    <w:rsid w:val="00817DD4"/>
    <w:rsid w:val="008201C0"/>
    <w:rsid w:val="0082030A"/>
    <w:rsid w:val="00820331"/>
    <w:rsid w:val="008205CA"/>
    <w:rsid w:val="0082086E"/>
    <w:rsid w:val="008209B6"/>
    <w:rsid w:val="008209B8"/>
    <w:rsid w:val="00820B6E"/>
    <w:rsid w:val="00820D29"/>
    <w:rsid w:val="00820DA1"/>
    <w:rsid w:val="00820F78"/>
    <w:rsid w:val="00820FBC"/>
    <w:rsid w:val="00821530"/>
    <w:rsid w:val="00821D0E"/>
    <w:rsid w:val="00821F72"/>
    <w:rsid w:val="008220CF"/>
    <w:rsid w:val="00822D29"/>
    <w:rsid w:val="0082349E"/>
    <w:rsid w:val="0082358D"/>
    <w:rsid w:val="008235D9"/>
    <w:rsid w:val="00823606"/>
    <w:rsid w:val="008239BA"/>
    <w:rsid w:val="00823C3E"/>
    <w:rsid w:val="0082438A"/>
    <w:rsid w:val="008245AE"/>
    <w:rsid w:val="008246E9"/>
    <w:rsid w:val="00824C7C"/>
    <w:rsid w:val="00824E65"/>
    <w:rsid w:val="00825341"/>
    <w:rsid w:val="0082552A"/>
    <w:rsid w:val="00825604"/>
    <w:rsid w:val="0082596E"/>
    <w:rsid w:val="00825A2D"/>
    <w:rsid w:val="00825B71"/>
    <w:rsid w:val="00825BFB"/>
    <w:rsid w:val="00825F5B"/>
    <w:rsid w:val="008263E9"/>
    <w:rsid w:val="00826AD5"/>
    <w:rsid w:val="008272C3"/>
    <w:rsid w:val="008274D5"/>
    <w:rsid w:val="00827640"/>
    <w:rsid w:val="008278D7"/>
    <w:rsid w:val="00827A9E"/>
    <w:rsid w:val="00827BF2"/>
    <w:rsid w:val="00830779"/>
    <w:rsid w:val="0083190E"/>
    <w:rsid w:val="00831AA6"/>
    <w:rsid w:val="0083254F"/>
    <w:rsid w:val="008326E7"/>
    <w:rsid w:val="008329CF"/>
    <w:rsid w:val="0083320A"/>
    <w:rsid w:val="0083338B"/>
    <w:rsid w:val="0083352A"/>
    <w:rsid w:val="00833683"/>
    <w:rsid w:val="00833A4C"/>
    <w:rsid w:val="00833AD6"/>
    <w:rsid w:val="00834063"/>
    <w:rsid w:val="0083431C"/>
    <w:rsid w:val="008345B8"/>
    <w:rsid w:val="00834A6E"/>
    <w:rsid w:val="00834B34"/>
    <w:rsid w:val="00835253"/>
    <w:rsid w:val="008353EB"/>
    <w:rsid w:val="00835826"/>
    <w:rsid w:val="0083611E"/>
    <w:rsid w:val="00836893"/>
    <w:rsid w:val="00836945"/>
    <w:rsid w:val="00836ABB"/>
    <w:rsid w:val="00837291"/>
    <w:rsid w:val="008373CE"/>
    <w:rsid w:val="00837525"/>
    <w:rsid w:val="00837528"/>
    <w:rsid w:val="00837ADB"/>
    <w:rsid w:val="00837FBC"/>
    <w:rsid w:val="00840138"/>
    <w:rsid w:val="008404A5"/>
    <w:rsid w:val="00840600"/>
    <w:rsid w:val="00840E75"/>
    <w:rsid w:val="0084124F"/>
    <w:rsid w:val="0084193D"/>
    <w:rsid w:val="00842938"/>
    <w:rsid w:val="00842AC8"/>
    <w:rsid w:val="0084370F"/>
    <w:rsid w:val="00843939"/>
    <w:rsid w:val="00843D98"/>
    <w:rsid w:val="00843E25"/>
    <w:rsid w:val="00844123"/>
    <w:rsid w:val="00844C8D"/>
    <w:rsid w:val="00844EAD"/>
    <w:rsid w:val="00845518"/>
    <w:rsid w:val="0084564F"/>
    <w:rsid w:val="0084590B"/>
    <w:rsid w:val="00845C81"/>
    <w:rsid w:val="00845EBC"/>
    <w:rsid w:val="00846CAD"/>
    <w:rsid w:val="008475A1"/>
    <w:rsid w:val="00847A00"/>
    <w:rsid w:val="00851133"/>
    <w:rsid w:val="008514E0"/>
    <w:rsid w:val="00851AB7"/>
    <w:rsid w:val="00851FB0"/>
    <w:rsid w:val="008520A1"/>
    <w:rsid w:val="00853018"/>
    <w:rsid w:val="00854534"/>
    <w:rsid w:val="00854E41"/>
    <w:rsid w:val="00855A3F"/>
    <w:rsid w:val="00855CA1"/>
    <w:rsid w:val="008564A7"/>
    <w:rsid w:val="00856F8E"/>
    <w:rsid w:val="00857109"/>
    <w:rsid w:val="008571D6"/>
    <w:rsid w:val="008574CC"/>
    <w:rsid w:val="00857690"/>
    <w:rsid w:val="00857791"/>
    <w:rsid w:val="00857830"/>
    <w:rsid w:val="00857A7A"/>
    <w:rsid w:val="00857ED9"/>
    <w:rsid w:val="0086014D"/>
    <w:rsid w:val="0086035C"/>
    <w:rsid w:val="00860496"/>
    <w:rsid w:val="00860577"/>
    <w:rsid w:val="00860A27"/>
    <w:rsid w:val="008610BD"/>
    <w:rsid w:val="00861174"/>
    <w:rsid w:val="00861260"/>
    <w:rsid w:val="00861346"/>
    <w:rsid w:val="00861595"/>
    <w:rsid w:val="00861B1A"/>
    <w:rsid w:val="008628C2"/>
    <w:rsid w:val="00862E88"/>
    <w:rsid w:val="008631CF"/>
    <w:rsid w:val="0086329F"/>
    <w:rsid w:val="008633DB"/>
    <w:rsid w:val="0086386A"/>
    <w:rsid w:val="00863BF6"/>
    <w:rsid w:val="00863C0B"/>
    <w:rsid w:val="0086455C"/>
    <w:rsid w:val="00864B1F"/>
    <w:rsid w:val="00864B88"/>
    <w:rsid w:val="00864B97"/>
    <w:rsid w:val="00864F52"/>
    <w:rsid w:val="00865155"/>
    <w:rsid w:val="0086539F"/>
    <w:rsid w:val="00865766"/>
    <w:rsid w:val="00865B38"/>
    <w:rsid w:val="00865E36"/>
    <w:rsid w:val="00866437"/>
    <w:rsid w:val="008669DD"/>
    <w:rsid w:val="00866DA2"/>
    <w:rsid w:val="00866F40"/>
    <w:rsid w:val="00867081"/>
    <w:rsid w:val="00867482"/>
    <w:rsid w:val="0086750F"/>
    <w:rsid w:val="00867553"/>
    <w:rsid w:val="008679C6"/>
    <w:rsid w:val="00867A1C"/>
    <w:rsid w:val="00867C9C"/>
    <w:rsid w:val="00867D99"/>
    <w:rsid w:val="0087044E"/>
    <w:rsid w:val="00870901"/>
    <w:rsid w:val="00870E41"/>
    <w:rsid w:val="00870F76"/>
    <w:rsid w:val="0087132F"/>
    <w:rsid w:val="00871EA5"/>
    <w:rsid w:val="008721A8"/>
    <w:rsid w:val="008722BB"/>
    <w:rsid w:val="00872764"/>
    <w:rsid w:val="0087286F"/>
    <w:rsid w:val="00873BE1"/>
    <w:rsid w:val="00873DE4"/>
    <w:rsid w:val="008741CD"/>
    <w:rsid w:val="008743F9"/>
    <w:rsid w:val="00874412"/>
    <w:rsid w:val="0087461D"/>
    <w:rsid w:val="0087486D"/>
    <w:rsid w:val="00874B2D"/>
    <w:rsid w:val="00874DE8"/>
    <w:rsid w:val="00874FF2"/>
    <w:rsid w:val="00875208"/>
    <w:rsid w:val="00875488"/>
    <w:rsid w:val="00875CDD"/>
    <w:rsid w:val="00875D0B"/>
    <w:rsid w:val="00875E66"/>
    <w:rsid w:val="008760E7"/>
    <w:rsid w:val="008763B6"/>
    <w:rsid w:val="00876C9F"/>
    <w:rsid w:val="008770D0"/>
    <w:rsid w:val="00877275"/>
    <w:rsid w:val="008773B6"/>
    <w:rsid w:val="00877987"/>
    <w:rsid w:val="00877DB2"/>
    <w:rsid w:val="00877FA9"/>
    <w:rsid w:val="00880021"/>
    <w:rsid w:val="008802E2"/>
    <w:rsid w:val="0088091D"/>
    <w:rsid w:val="00880BCA"/>
    <w:rsid w:val="00880D0F"/>
    <w:rsid w:val="00880F23"/>
    <w:rsid w:val="008813ED"/>
    <w:rsid w:val="00881865"/>
    <w:rsid w:val="008818EA"/>
    <w:rsid w:val="008819D2"/>
    <w:rsid w:val="00881CD2"/>
    <w:rsid w:val="0088203C"/>
    <w:rsid w:val="0088234E"/>
    <w:rsid w:val="00882511"/>
    <w:rsid w:val="008827F0"/>
    <w:rsid w:val="008829E6"/>
    <w:rsid w:val="00882B01"/>
    <w:rsid w:val="00882D22"/>
    <w:rsid w:val="00884147"/>
    <w:rsid w:val="00884332"/>
    <w:rsid w:val="0088453D"/>
    <w:rsid w:val="00884B92"/>
    <w:rsid w:val="00884BFB"/>
    <w:rsid w:val="008850FE"/>
    <w:rsid w:val="00885126"/>
    <w:rsid w:val="00885F57"/>
    <w:rsid w:val="00886067"/>
    <w:rsid w:val="00886EC6"/>
    <w:rsid w:val="008871C8"/>
    <w:rsid w:val="00887418"/>
    <w:rsid w:val="00887FF2"/>
    <w:rsid w:val="008900F4"/>
    <w:rsid w:val="008902B4"/>
    <w:rsid w:val="00890498"/>
    <w:rsid w:val="00890FB6"/>
    <w:rsid w:val="008910B1"/>
    <w:rsid w:val="008921F3"/>
    <w:rsid w:val="0089235E"/>
    <w:rsid w:val="00892496"/>
    <w:rsid w:val="008926A9"/>
    <w:rsid w:val="00892A62"/>
    <w:rsid w:val="0089303E"/>
    <w:rsid w:val="0089337A"/>
    <w:rsid w:val="00893BBC"/>
    <w:rsid w:val="00893F8A"/>
    <w:rsid w:val="00894232"/>
    <w:rsid w:val="008946E9"/>
    <w:rsid w:val="00894AD6"/>
    <w:rsid w:val="00894CEE"/>
    <w:rsid w:val="00894D0D"/>
    <w:rsid w:val="00895016"/>
    <w:rsid w:val="0089506C"/>
    <w:rsid w:val="008950CC"/>
    <w:rsid w:val="008951B0"/>
    <w:rsid w:val="00895FB7"/>
    <w:rsid w:val="00895FE7"/>
    <w:rsid w:val="00896CEA"/>
    <w:rsid w:val="00896D55"/>
    <w:rsid w:val="00897530"/>
    <w:rsid w:val="0089765D"/>
    <w:rsid w:val="008A01A4"/>
    <w:rsid w:val="008A0329"/>
    <w:rsid w:val="008A06B6"/>
    <w:rsid w:val="008A0D9B"/>
    <w:rsid w:val="008A0F7A"/>
    <w:rsid w:val="008A0F7F"/>
    <w:rsid w:val="008A0FF6"/>
    <w:rsid w:val="008A0FFA"/>
    <w:rsid w:val="008A1350"/>
    <w:rsid w:val="008A13DA"/>
    <w:rsid w:val="008A1593"/>
    <w:rsid w:val="008A1637"/>
    <w:rsid w:val="008A17C9"/>
    <w:rsid w:val="008A1FA5"/>
    <w:rsid w:val="008A1FF5"/>
    <w:rsid w:val="008A2087"/>
    <w:rsid w:val="008A254B"/>
    <w:rsid w:val="008A2560"/>
    <w:rsid w:val="008A2831"/>
    <w:rsid w:val="008A32AF"/>
    <w:rsid w:val="008A364D"/>
    <w:rsid w:val="008A3684"/>
    <w:rsid w:val="008A3DFD"/>
    <w:rsid w:val="008A4644"/>
    <w:rsid w:val="008A468C"/>
    <w:rsid w:val="008A49CB"/>
    <w:rsid w:val="008A549E"/>
    <w:rsid w:val="008A54BD"/>
    <w:rsid w:val="008A5587"/>
    <w:rsid w:val="008A55EF"/>
    <w:rsid w:val="008A561D"/>
    <w:rsid w:val="008A5B68"/>
    <w:rsid w:val="008A5CC5"/>
    <w:rsid w:val="008A5F35"/>
    <w:rsid w:val="008A6178"/>
    <w:rsid w:val="008A6228"/>
    <w:rsid w:val="008A68BB"/>
    <w:rsid w:val="008A6D1D"/>
    <w:rsid w:val="008A75FA"/>
    <w:rsid w:val="008A7726"/>
    <w:rsid w:val="008A7B5E"/>
    <w:rsid w:val="008A7D34"/>
    <w:rsid w:val="008A7F62"/>
    <w:rsid w:val="008B09BC"/>
    <w:rsid w:val="008B0ECB"/>
    <w:rsid w:val="008B0F72"/>
    <w:rsid w:val="008B1192"/>
    <w:rsid w:val="008B154A"/>
    <w:rsid w:val="008B167A"/>
    <w:rsid w:val="008B1867"/>
    <w:rsid w:val="008B19A1"/>
    <w:rsid w:val="008B21CD"/>
    <w:rsid w:val="008B21F9"/>
    <w:rsid w:val="008B34C8"/>
    <w:rsid w:val="008B397F"/>
    <w:rsid w:val="008B3AD6"/>
    <w:rsid w:val="008B3E5B"/>
    <w:rsid w:val="008B41C5"/>
    <w:rsid w:val="008B43F9"/>
    <w:rsid w:val="008B43FA"/>
    <w:rsid w:val="008B4F42"/>
    <w:rsid w:val="008B4FCC"/>
    <w:rsid w:val="008B52BF"/>
    <w:rsid w:val="008B567E"/>
    <w:rsid w:val="008B57C5"/>
    <w:rsid w:val="008B5EC9"/>
    <w:rsid w:val="008B67F3"/>
    <w:rsid w:val="008B68D2"/>
    <w:rsid w:val="008B6BFE"/>
    <w:rsid w:val="008B6D93"/>
    <w:rsid w:val="008B730A"/>
    <w:rsid w:val="008B731A"/>
    <w:rsid w:val="008B7D0E"/>
    <w:rsid w:val="008B7D19"/>
    <w:rsid w:val="008B7D78"/>
    <w:rsid w:val="008B7E08"/>
    <w:rsid w:val="008C00C1"/>
    <w:rsid w:val="008C0354"/>
    <w:rsid w:val="008C04D8"/>
    <w:rsid w:val="008C0708"/>
    <w:rsid w:val="008C0A3E"/>
    <w:rsid w:val="008C0ECD"/>
    <w:rsid w:val="008C12F3"/>
    <w:rsid w:val="008C1738"/>
    <w:rsid w:val="008C2355"/>
    <w:rsid w:val="008C2432"/>
    <w:rsid w:val="008C264D"/>
    <w:rsid w:val="008C3386"/>
    <w:rsid w:val="008C33D4"/>
    <w:rsid w:val="008C35B1"/>
    <w:rsid w:val="008C3721"/>
    <w:rsid w:val="008C3B38"/>
    <w:rsid w:val="008C446C"/>
    <w:rsid w:val="008C46CA"/>
    <w:rsid w:val="008C46ED"/>
    <w:rsid w:val="008C476D"/>
    <w:rsid w:val="008C47A6"/>
    <w:rsid w:val="008C49C1"/>
    <w:rsid w:val="008C4FCB"/>
    <w:rsid w:val="008C5DBD"/>
    <w:rsid w:val="008C692F"/>
    <w:rsid w:val="008C6D13"/>
    <w:rsid w:val="008C6D55"/>
    <w:rsid w:val="008C7488"/>
    <w:rsid w:val="008C7575"/>
    <w:rsid w:val="008C7A0B"/>
    <w:rsid w:val="008D0261"/>
    <w:rsid w:val="008D0733"/>
    <w:rsid w:val="008D0ADC"/>
    <w:rsid w:val="008D0C75"/>
    <w:rsid w:val="008D0D69"/>
    <w:rsid w:val="008D0E38"/>
    <w:rsid w:val="008D0EFD"/>
    <w:rsid w:val="008D1112"/>
    <w:rsid w:val="008D16CF"/>
    <w:rsid w:val="008D1832"/>
    <w:rsid w:val="008D1A38"/>
    <w:rsid w:val="008D1FC8"/>
    <w:rsid w:val="008D208E"/>
    <w:rsid w:val="008D24E0"/>
    <w:rsid w:val="008D2595"/>
    <w:rsid w:val="008D2747"/>
    <w:rsid w:val="008D2758"/>
    <w:rsid w:val="008D294F"/>
    <w:rsid w:val="008D2C52"/>
    <w:rsid w:val="008D2FCD"/>
    <w:rsid w:val="008D3036"/>
    <w:rsid w:val="008D30F1"/>
    <w:rsid w:val="008D39CF"/>
    <w:rsid w:val="008D3D10"/>
    <w:rsid w:val="008D3D5C"/>
    <w:rsid w:val="008D4583"/>
    <w:rsid w:val="008D45DA"/>
    <w:rsid w:val="008D4B16"/>
    <w:rsid w:val="008D4D3E"/>
    <w:rsid w:val="008D4ED0"/>
    <w:rsid w:val="008D4FE9"/>
    <w:rsid w:val="008D53FC"/>
    <w:rsid w:val="008D5992"/>
    <w:rsid w:val="008D5BA6"/>
    <w:rsid w:val="008D6556"/>
    <w:rsid w:val="008D6D23"/>
    <w:rsid w:val="008D6D47"/>
    <w:rsid w:val="008D708B"/>
    <w:rsid w:val="008D742D"/>
    <w:rsid w:val="008D7EA1"/>
    <w:rsid w:val="008E00E0"/>
    <w:rsid w:val="008E0F2C"/>
    <w:rsid w:val="008E10F0"/>
    <w:rsid w:val="008E14FF"/>
    <w:rsid w:val="008E159F"/>
    <w:rsid w:val="008E17B2"/>
    <w:rsid w:val="008E1B21"/>
    <w:rsid w:val="008E1D26"/>
    <w:rsid w:val="008E2911"/>
    <w:rsid w:val="008E2C10"/>
    <w:rsid w:val="008E2D6B"/>
    <w:rsid w:val="008E2DFA"/>
    <w:rsid w:val="008E31BF"/>
    <w:rsid w:val="008E32C6"/>
    <w:rsid w:val="008E3653"/>
    <w:rsid w:val="008E36A2"/>
    <w:rsid w:val="008E3B27"/>
    <w:rsid w:val="008E4E21"/>
    <w:rsid w:val="008E676E"/>
    <w:rsid w:val="008E67AB"/>
    <w:rsid w:val="008E6E10"/>
    <w:rsid w:val="008E74E0"/>
    <w:rsid w:val="008E7698"/>
    <w:rsid w:val="008E77EF"/>
    <w:rsid w:val="008E79F3"/>
    <w:rsid w:val="008E7A0E"/>
    <w:rsid w:val="008F045D"/>
    <w:rsid w:val="008F09D2"/>
    <w:rsid w:val="008F0E04"/>
    <w:rsid w:val="008F1323"/>
    <w:rsid w:val="008F1942"/>
    <w:rsid w:val="008F1B99"/>
    <w:rsid w:val="008F1DD8"/>
    <w:rsid w:val="008F1F18"/>
    <w:rsid w:val="008F227A"/>
    <w:rsid w:val="008F2448"/>
    <w:rsid w:val="008F26A8"/>
    <w:rsid w:val="008F2700"/>
    <w:rsid w:val="008F2924"/>
    <w:rsid w:val="008F2981"/>
    <w:rsid w:val="008F2E69"/>
    <w:rsid w:val="008F2F46"/>
    <w:rsid w:val="008F3250"/>
    <w:rsid w:val="008F354C"/>
    <w:rsid w:val="008F38F5"/>
    <w:rsid w:val="008F3BE2"/>
    <w:rsid w:val="008F4023"/>
    <w:rsid w:val="008F4426"/>
    <w:rsid w:val="008F46D6"/>
    <w:rsid w:val="008F4AAF"/>
    <w:rsid w:val="008F4E93"/>
    <w:rsid w:val="008F4EC5"/>
    <w:rsid w:val="008F50DB"/>
    <w:rsid w:val="008F557C"/>
    <w:rsid w:val="008F5597"/>
    <w:rsid w:val="008F5617"/>
    <w:rsid w:val="008F626C"/>
    <w:rsid w:val="008F6C24"/>
    <w:rsid w:val="008F6D00"/>
    <w:rsid w:val="008F6FD3"/>
    <w:rsid w:val="008F71A4"/>
    <w:rsid w:val="008F730B"/>
    <w:rsid w:val="008F7485"/>
    <w:rsid w:val="008F7498"/>
    <w:rsid w:val="009003EE"/>
    <w:rsid w:val="0090074E"/>
    <w:rsid w:val="009007D1"/>
    <w:rsid w:val="00900DE4"/>
    <w:rsid w:val="009012E1"/>
    <w:rsid w:val="009013C8"/>
    <w:rsid w:val="00901D1F"/>
    <w:rsid w:val="00902070"/>
    <w:rsid w:val="00902896"/>
    <w:rsid w:val="00902988"/>
    <w:rsid w:val="00902AF2"/>
    <w:rsid w:val="00902BA3"/>
    <w:rsid w:val="00902DCD"/>
    <w:rsid w:val="00903724"/>
    <w:rsid w:val="00903D9F"/>
    <w:rsid w:val="00903FCD"/>
    <w:rsid w:val="009040CB"/>
    <w:rsid w:val="0090426D"/>
    <w:rsid w:val="00904651"/>
    <w:rsid w:val="0090465C"/>
    <w:rsid w:val="00904E09"/>
    <w:rsid w:val="00905025"/>
    <w:rsid w:val="00905527"/>
    <w:rsid w:val="0090567D"/>
    <w:rsid w:val="00905773"/>
    <w:rsid w:val="00905877"/>
    <w:rsid w:val="009062BD"/>
    <w:rsid w:val="00906E00"/>
    <w:rsid w:val="00906E9A"/>
    <w:rsid w:val="00907868"/>
    <w:rsid w:val="009107B6"/>
    <w:rsid w:val="00910BA8"/>
    <w:rsid w:val="00910C08"/>
    <w:rsid w:val="00910D79"/>
    <w:rsid w:val="00911530"/>
    <w:rsid w:val="009116C4"/>
    <w:rsid w:val="00911ABF"/>
    <w:rsid w:val="00911E70"/>
    <w:rsid w:val="009125B0"/>
    <w:rsid w:val="009125EF"/>
    <w:rsid w:val="00912A9C"/>
    <w:rsid w:val="00912C62"/>
    <w:rsid w:val="00912D6A"/>
    <w:rsid w:val="00913246"/>
    <w:rsid w:val="00913546"/>
    <w:rsid w:val="009140A5"/>
    <w:rsid w:val="009140F5"/>
    <w:rsid w:val="00914315"/>
    <w:rsid w:val="0091495E"/>
    <w:rsid w:val="00914971"/>
    <w:rsid w:val="00914A98"/>
    <w:rsid w:val="00914E9A"/>
    <w:rsid w:val="00914EEC"/>
    <w:rsid w:val="009153A3"/>
    <w:rsid w:val="00915BB6"/>
    <w:rsid w:val="00915CDF"/>
    <w:rsid w:val="00915E23"/>
    <w:rsid w:val="00915F50"/>
    <w:rsid w:val="00916952"/>
    <w:rsid w:val="00917121"/>
    <w:rsid w:val="00917682"/>
    <w:rsid w:val="00917925"/>
    <w:rsid w:val="00917A2A"/>
    <w:rsid w:val="00917BEE"/>
    <w:rsid w:val="00920FE7"/>
    <w:rsid w:val="009210B3"/>
    <w:rsid w:val="009210F3"/>
    <w:rsid w:val="00921504"/>
    <w:rsid w:val="00921514"/>
    <w:rsid w:val="00921D36"/>
    <w:rsid w:val="00921D3A"/>
    <w:rsid w:val="00922796"/>
    <w:rsid w:val="009228EF"/>
    <w:rsid w:val="00922D74"/>
    <w:rsid w:val="00922D96"/>
    <w:rsid w:val="00923761"/>
    <w:rsid w:val="00923C94"/>
    <w:rsid w:val="0092413A"/>
    <w:rsid w:val="0092434B"/>
    <w:rsid w:val="00925262"/>
    <w:rsid w:val="009254FB"/>
    <w:rsid w:val="009258E8"/>
    <w:rsid w:val="0092682F"/>
    <w:rsid w:val="009268F5"/>
    <w:rsid w:val="009270A5"/>
    <w:rsid w:val="00927340"/>
    <w:rsid w:val="0092740F"/>
    <w:rsid w:val="0092771A"/>
    <w:rsid w:val="00927C24"/>
    <w:rsid w:val="009305AF"/>
    <w:rsid w:val="009310F5"/>
    <w:rsid w:val="0093131E"/>
    <w:rsid w:val="009318AE"/>
    <w:rsid w:val="00932141"/>
    <w:rsid w:val="0093217F"/>
    <w:rsid w:val="0093273F"/>
    <w:rsid w:val="00932C52"/>
    <w:rsid w:val="00932D31"/>
    <w:rsid w:val="00933052"/>
    <w:rsid w:val="00933066"/>
    <w:rsid w:val="009331CB"/>
    <w:rsid w:val="009331FC"/>
    <w:rsid w:val="00933745"/>
    <w:rsid w:val="00933989"/>
    <w:rsid w:val="00933E00"/>
    <w:rsid w:val="00934060"/>
    <w:rsid w:val="00934F4C"/>
    <w:rsid w:val="00934FBD"/>
    <w:rsid w:val="00935924"/>
    <w:rsid w:val="00935B51"/>
    <w:rsid w:val="00935CB2"/>
    <w:rsid w:val="00935FE5"/>
    <w:rsid w:val="00935FFC"/>
    <w:rsid w:val="009362F5"/>
    <w:rsid w:val="00936F51"/>
    <w:rsid w:val="009379FA"/>
    <w:rsid w:val="0094012C"/>
    <w:rsid w:val="0094026B"/>
    <w:rsid w:val="0094051A"/>
    <w:rsid w:val="00940BF2"/>
    <w:rsid w:val="0094113A"/>
    <w:rsid w:val="009417B8"/>
    <w:rsid w:val="00941C0F"/>
    <w:rsid w:val="00941CD5"/>
    <w:rsid w:val="00942676"/>
    <w:rsid w:val="009428B7"/>
    <w:rsid w:val="00942AE8"/>
    <w:rsid w:val="00942BE4"/>
    <w:rsid w:val="00942D2A"/>
    <w:rsid w:val="00942E57"/>
    <w:rsid w:val="009430B3"/>
    <w:rsid w:val="00943B05"/>
    <w:rsid w:val="00943C73"/>
    <w:rsid w:val="00943D88"/>
    <w:rsid w:val="00943D8D"/>
    <w:rsid w:val="00944671"/>
    <w:rsid w:val="009447D7"/>
    <w:rsid w:val="00944E3C"/>
    <w:rsid w:val="0094504B"/>
    <w:rsid w:val="00945253"/>
    <w:rsid w:val="00945780"/>
    <w:rsid w:val="00945A71"/>
    <w:rsid w:val="00945B26"/>
    <w:rsid w:val="009461AE"/>
    <w:rsid w:val="00946653"/>
    <w:rsid w:val="00946C4A"/>
    <w:rsid w:val="00946CDD"/>
    <w:rsid w:val="00946CE7"/>
    <w:rsid w:val="009477B2"/>
    <w:rsid w:val="00947E95"/>
    <w:rsid w:val="00950009"/>
    <w:rsid w:val="00950287"/>
    <w:rsid w:val="0095037C"/>
    <w:rsid w:val="00950D21"/>
    <w:rsid w:val="00951245"/>
    <w:rsid w:val="00951F5E"/>
    <w:rsid w:val="0095201B"/>
    <w:rsid w:val="0095229D"/>
    <w:rsid w:val="00952992"/>
    <w:rsid w:val="00953001"/>
    <w:rsid w:val="00953223"/>
    <w:rsid w:val="00953557"/>
    <w:rsid w:val="0095454C"/>
    <w:rsid w:val="00954644"/>
    <w:rsid w:val="0095474C"/>
    <w:rsid w:val="009554E0"/>
    <w:rsid w:val="00955564"/>
    <w:rsid w:val="00955D47"/>
    <w:rsid w:val="00955E12"/>
    <w:rsid w:val="00955E3D"/>
    <w:rsid w:val="00956215"/>
    <w:rsid w:val="00956B3D"/>
    <w:rsid w:val="009570B2"/>
    <w:rsid w:val="00957407"/>
    <w:rsid w:val="00957AA6"/>
    <w:rsid w:val="0096029B"/>
    <w:rsid w:val="00960664"/>
    <w:rsid w:val="00960B1A"/>
    <w:rsid w:val="00960C4D"/>
    <w:rsid w:val="00961C5E"/>
    <w:rsid w:val="00962613"/>
    <w:rsid w:val="00962C75"/>
    <w:rsid w:val="00962CE3"/>
    <w:rsid w:val="00962DB5"/>
    <w:rsid w:val="00963259"/>
    <w:rsid w:val="00963366"/>
    <w:rsid w:val="009633D2"/>
    <w:rsid w:val="009636ED"/>
    <w:rsid w:val="00963A41"/>
    <w:rsid w:val="009648F5"/>
    <w:rsid w:val="00964AA4"/>
    <w:rsid w:val="00964BAF"/>
    <w:rsid w:val="00964F4E"/>
    <w:rsid w:val="009651B6"/>
    <w:rsid w:val="00965A90"/>
    <w:rsid w:val="00965CAB"/>
    <w:rsid w:val="00966214"/>
    <w:rsid w:val="00966338"/>
    <w:rsid w:val="0096718F"/>
    <w:rsid w:val="00967B1D"/>
    <w:rsid w:val="00967C14"/>
    <w:rsid w:val="00967C26"/>
    <w:rsid w:val="0097044B"/>
    <w:rsid w:val="00970E27"/>
    <w:rsid w:val="00971325"/>
    <w:rsid w:val="009714A2"/>
    <w:rsid w:val="00971C27"/>
    <w:rsid w:val="00972747"/>
    <w:rsid w:val="00972951"/>
    <w:rsid w:val="00972B01"/>
    <w:rsid w:val="00972BA9"/>
    <w:rsid w:val="00972D28"/>
    <w:rsid w:val="00972D8D"/>
    <w:rsid w:val="00972FCD"/>
    <w:rsid w:val="00973982"/>
    <w:rsid w:val="009742FC"/>
    <w:rsid w:val="00974E45"/>
    <w:rsid w:val="00974F8B"/>
    <w:rsid w:val="00975398"/>
    <w:rsid w:val="0097570C"/>
    <w:rsid w:val="009757EC"/>
    <w:rsid w:val="00975E74"/>
    <w:rsid w:val="00975FA9"/>
    <w:rsid w:val="00976D44"/>
    <w:rsid w:val="00977300"/>
    <w:rsid w:val="00977C17"/>
    <w:rsid w:val="00977C45"/>
    <w:rsid w:val="0098025E"/>
    <w:rsid w:val="00980DFE"/>
    <w:rsid w:val="00980E14"/>
    <w:rsid w:val="00981C00"/>
    <w:rsid w:val="00982FC2"/>
    <w:rsid w:val="0098337B"/>
    <w:rsid w:val="00983383"/>
    <w:rsid w:val="009833A7"/>
    <w:rsid w:val="009839E3"/>
    <w:rsid w:val="00984745"/>
    <w:rsid w:val="00984B0D"/>
    <w:rsid w:val="00984CC6"/>
    <w:rsid w:val="00984F4D"/>
    <w:rsid w:val="009851B9"/>
    <w:rsid w:val="00985DD5"/>
    <w:rsid w:val="00985E8C"/>
    <w:rsid w:val="009862EE"/>
    <w:rsid w:val="0098680F"/>
    <w:rsid w:val="00986854"/>
    <w:rsid w:val="009868B0"/>
    <w:rsid w:val="00986A18"/>
    <w:rsid w:val="00987A77"/>
    <w:rsid w:val="00990937"/>
    <w:rsid w:val="00990941"/>
    <w:rsid w:val="00990C13"/>
    <w:rsid w:val="0099106B"/>
    <w:rsid w:val="00991C2B"/>
    <w:rsid w:val="00991D2F"/>
    <w:rsid w:val="009927DA"/>
    <w:rsid w:val="0099285D"/>
    <w:rsid w:val="00992FE8"/>
    <w:rsid w:val="0099315F"/>
    <w:rsid w:val="009939A0"/>
    <w:rsid w:val="00993A3A"/>
    <w:rsid w:val="00993B2F"/>
    <w:rsid w:val="00993C25"/>
    <w:rsid w:val="00994042"/>
    <w:rsid w:val="00994620"/>
    <w:rsid w:val="00994A72"/>
    <w:rsid w:val="00994A75"/>
    <w:rsid w:val="00995340"/>
    <w:rsid w:val="0099617E"/>
    <w:rsid w:val="0099650D"/>
    <w:rsid w:val="00996E47"/>
    <w:rsid w:val="0099764C"/>
    <w:rsid w:val="0099777E"/>
    <w:rsid w:val="009977E5"/>
    <w:rsid w:val="00997DF5"/>
    <w:rsid w:val="009A091B"/>
    <w:rsid w:val="009A0BC1"/>
    <w:rsid w:val="009A14BB"/>
    <w:rsid w:val="009A18B7"/>
    <w:rsid w:val="009A1D4B"/>
    <w:rsid w:val="009A2ACE"/>
    <w:rsid w:val="009A2B0E"/>
    <w:rsid w:val="009A3673"/>
    <w:rsid w:val="009A3B12"/>
    <w:rsid w:val="009A3C9D"/>
    <w:rsid w:val="009A4488"/>
    <w:rsid w:val="009A48B2"/>
    <w:rsid w:val="009A5030"/>
    <w:rsid w:val="009A61D8"/>
    <w:rsid w:val="009A63FA"/>
    <w:rsid w:val="009A699D"/>
    <w:rsid w:val="009A6AB0"/>
    <w:rsid w:val="009A7218"/>
    <w:rsid w:val="009A73B4"/>
    <w:rsid w:val="009A790B"/>
    <w:rsid w:val="009A7CBE"/>
    <w:rsid w:val="009A7EEC"/>
    <w:rsid w:val="009B07D5"/>
    <w:rsid w:val="009B1643"/>
    <w:rsid w:val="009B17FD"/>
    <w:rsid w:val="009B1892"/>
    <w:rsid w:val="009B1941"/>
    <w:rsid w:val="009B1F67"/>
    <w:rsid w:val="009B2211"/>
    <w:rsid w:val="009B25F7"/>
    <w:rsid w:val="009B2680"/>
    <w:rsid w:val="009B2734"/>
    <w:rsid w:val="009B29BD"/>
    <w:rsid w:val="009B2C70"/>
    <w:rsid w:val="009B2D6B"/>
    <w:rsid w:val="009B2DA5"/>
    <w:rsid w:val="009B37B1"/>
    <w:rsid w:val="009B399E"/>
    <w:rsid w:val="009B3CE1"/>
    <w:rsid w:val="009B3D49"/>
    <w:rsid w:val="009B5A0D"/>
    <w:rsid w:val="009B6147"/>
    <w:rsid w:val="009B6238"/>
    <w:rsid w:val="009B6285"/>
    <w:rsid w:val="009B67D7"/>
    <w:rsid w:val="009B6FBE"/>
    <w:rsid w:val="009C00F2"/>
    <w:rsid w:val="009C02C2"/>
    <w:rsid w:val="009C038E"/>
    <w:rsid w:val="009C0AD6"/>
    <w:rsid w:val="009C160A"/>
    <w:rsid w:val="009C1B30"/>
    <w:rsid w:val="009C1E18"/>
    <w:rsid w:val="009C1E50"/>
    <w:rsid w:val="009C1FE5"/>
    <w:rsid w:val="009C206B"/>
    <w:rsid w:val="009C2D2F"/>
    <w:rsid w:val="009C3331"/>
    <w:rsid w:val="009C3742"/>
    <w:rsid w:val="009C3AB3"/>
    <w:rsid w:val="009C3CCB"/>
    <w:rsid w:val="009C3CEE"/>
    <w:rsid w:val="009C3D0E"/>
    <w:rsid w:val="009C41EA"/>
    <w:rsid w:val="009C4A5B"/>
    <w:rsid w:val="009C52DE"/>
    <w:rsid w:val="009C69E7"/>
    <w:rsid w:val="009C6AD7"/>
    <w:rsid w:val="009C6F37"/>
    <w:rsid w:val="009C736F"/>
    <w:rsid w:val="009C7820"/>
    <w:rsid w:val="009C7A74"/>
    <w:rsid w:val="009D0017"/>
    <w:rsid w:val="009D0329"/>
    <w:rsid w:val="009D043B"/>
    <w:rsid w:val="009D0541"/>
    <w:rsid w:val="009D0729"/>
    <w:rsid w:val="009D0C63"/>
    <w:rsid w:val="009D1211"/>
    <w:rsid w:val="009D13B8"/>
    <w:rsid w:val="009D1566"/>
    <w:rsid w:val="009D15EA"/>
    <w:rsid w:val="009D1679"/>
    <w:rsid w:val="009D19A4"/>
    <w:rsid w:val="009D1C85"/>
    <w:rsid w:val="009D1D31"/>
    <w:rsid w:val="009D1D64"/>
    <w:rsid w:val="009D24C1"/>
    <w:rsid w:val="009D2823"/>
    <w:rsid w:val="009D28B1"/>
    <w:rsid w:val="009D294B"/>
    <w:rsid w:val="009D2E7B"/>
    <w:rsid w:val="009D2F19"/>
    <w:rsid w:val="009D31EA"/>
    <w:rsid w:val="009D4092"/>
    <w:rsid w:val="009D40A4"/>
    <w:rsid w:val="009D4527"/>
    <w:rsid w:val="009D464D"/>
    <w:rsid w:val="009D484C"/>
    <w:rsid w:val="009D498F"/>
    <w:rsid w:val="009D4A5B"/>
    <w:rsid w:val="009D4AA5"/>
    <w:rsid w:val="009D4BE2"/>
    <w:rsid w:val="009D5384"/>
    <w:rsid w:val="009D570A"/>
    <w:rsid w:val="009D5747"/>
    <w:rsid w:val="009D5AA8"/>
    <w:rsid w:val="009D5D3B"/>
    <w:rsid w:val="009D63A6"/>
    <w:rsid w:val="009D66B4"/>
    <w:rsid w:val="009D6840"/>
    <w:rsid w:val="009D6B80"/>
    <w:rsid w:val="009D6EAD"/>
    <w:rsid w:val="009D6F77"/>
    <w:rsid w:val="009D7465"/>
    <w:rsid w:val="009D7492"/>
    <w:rsid w:val="009D7E1F"/>
    <w:rsid w:val="009E007D"/>
    <w:rsid w:val="009E031A"/>
    <w:rsid w:val="009E0672"/>
    <w:rsid w:val="009E0AD3"/>
    <w:rsid w:val="009E0E78"/>
    <w:rsid w:val="009E1B89"/>
    <w:rsid w:val="009E220F"/>
    <w:rsid w:val="009E22A0"/>
    <w:rsid w:val="009E22BC"/>
    <w:rsid w:val="009E293A"/>
    <w:rsid w:val="009E3557"/>
    <w:rsid w:val="009E3A4C"/>
    <w:rsid w:val="009E3D24"/>
    <w:rsid w:val="009E40F3"/>
    <w:rsid w:val="009E43C7"/>
    <w:rsid w:val="009E45D6"/>
    <w:rsid w:val="009E46B8"/>
    <w:rsid w:val="009E4CD5"/>
    <w:rsid w:val="009E5AB5"/>
    <w:rsid w:val="009E5AD1"/>
    <w:rsid w:val="009E63A6"/>
    <w:rsid w:val="009E647C"/>
    <w:rsid w:val="009E6BFF"/>
    <w:rsid w:val="009E6EB9"/>
    <w:rsid w:val="009E7844"/>
    <w:rsid w:val="009E7F4B"/>
    <w:rsid w:val="009F022F"/>
    <w:rsid w:val="009F0630"/>
    <w:rsid w:val="009F0C51"/>
    <w:rsid w:val="009F1305"/>
    <w:rsid w:val="009F159D"/>
    <w:rsid w:val="009F16AC"/>
    <w:rsid w:val="009F1CCB"/>
    <w:rsid w:val="009F243B"/>
    <w:rsid w:val="009F259E"/>
    <w:rsid w:val="009F2A1F"/>
    <w:rsid w:val="009F2F1E"/>
    <w:rsid w:val="009F31EE"/>
    <w:rsid w:val="009F3210"/>
    <w:rsid w:val="009F3478"/>
    <w:rsid w:val="009F421C"/>
    <w:rsid w:val="009F4491"/>
    <w:rsid w:val="009F4BB0"/>
    <w:rsid w:val="009F528B"/>
    <w:rsid w:val="009F5647"/>
    <w:rsid w:val="009F59BD"/>
    <w:rsid w:val="009F5EB5"/>
    <w:rsid w:val="009F5F13"/>
    <w:rsid w:val="009F5FFC"/>
    <w:rsid w:val="009F6044"/>
    <w:rsid w:val="009F62F9"/>
    <w:rsid w:val="009F6510"/>
    <w:rsid w:val="009F655A"/>
    <w:rsid w:val="009F6EF4"/>
    <w:rsid w:val="009F7A62"/>
    <w:rsid w:val="009F7C88"/>
    <w:rsid w:val="00A0016D"/>
    <w:rsid w:val="00A0018F"/>
    <w:rsid w:val="00A00D19"/>
    <w:rsid w:val="00A00FE8"/>
    <w:rsid w:val="00A012FF"/>
    <w:rsid w:val="00A0151A"/>
    <w:rsid w:val="00A01A6E"/>
    <w:rsid w:val="00A01A6F"/>
    <w:rsid w:val="00A01B4D"/>
    <w:rsid w:val="00A01DC7"/>
    <w:rsid w:val="00A01E04"/>
    <w:rsid w:val="00A0208C"/>
    <w:rsid w:val="00A020CC"/>
    <w:rsid w:val="00A028B0"/>
    <w:rsid w:val="00A02ABC"/>
    <w:rsid w:val="00A032C4"/>
    <w:rsid w:val="00A034BD"/>
    <w:rsid w:val="00A0356C"/>
    <w:rsid w:val="00A03EDD"/>
    <w:rsid w:val="00A043AA"/>
    <w:rsid w:val="00A046E8"/>
    <w:rsid w:val="00A0536E"/>
    <w:rsid w:val="00A069B1"/>
    <w:rsid w:val="00A06A34"/>
    <w:rsid w:val="00A07019"/>
    <w:rsid w:val="00A07228"/>
    <w:rsid w:val="00A0728C"/>
    <w:rsid w:val="00A07483"/>
    <w:rsid w:val="00A07600"/>
    <w:rsid w:val="00A0782D"/>
    <w:rsid w:val="00A0798A"/>
    <w:rsid w:val="00A07E46"/>
    <w:rsid w:val="00A1022F"/>
    <w:rsid w:val="00A104AC"/>
    <w:rsid w:val="00A10A3A"/>
    <w:rsid w:val="00A10AF4"/>
    <w:rsid w:val="00A11195"/>
    <w:rsid w:val="00A11663"/>
    <w:rsid w:val="00A117D0"/>
    <w:rsid w:val="00A11DAC"/>
    <w:rsid w:val="00A12914"/>
    <w:rsid w:val="00A12D18"/>
    <w:rsid w:val="00A12E7D"/>
    <w:rsid w:val="00A13FFA"/>
    <w:rsid w:val="00A144B6"/>
    <w:rsid w:val="00A14DF5"/>
    <w:rsid w:val="00A15734"/>
    <w:rsid w:val="00A15DA9"/>
    <w:rsid w:val="00A1623E"/>
    <w:rsid w:val="00A1641E"/>
    <w:rsid w:val="00A165D9"/>
    <w:rsid w:val="00A167AA"/>
    <w:rsid w:val="00A16814"/>
    <w:rsid w:val="00A16CCF"/>
    <w:rsid w:val="00A16DBD"/>
    <w:rsid w:val="00A16DD0"/>
    <w:rsid w:val="00A171C8"/>
    <w:rsid w:val="00A171C9"/>
    <w:rsid w:val="00A17318"/>
    <w:rsid w:val="00A1759F"/>
    <w:rsid w:val="00A17630"/>
    <w:rsid w:val="00A1764C"/>
    <w:rsid w:val="00A179AF"/>
    <w:rsid w:val="00A17C27"/>
    <w:rsid w:val="00A20062"/>
    <w:rsid w:val="00A20288"/>
    <w:rsid w:val="00A202D4"/>
    <w:rsid w:val="00A20696"/>
    <w:rsid w:val="00A20B8C"/>
    <w:rsid w:val="00A214B7"/>
    <w:rsid w:val="00A21AF7"/>
    <w:rsid w:val="00A22431"/>
    <w:rsid w:val="00A22646"/>
    <w:rsid w:val="00A22A63"/>
    <w:rsid w:val="00A22C96"/>
    <w:rsid w:val="00A23095"/>
    <w:rsid w:val="00A23582"/>
    <w:rsid w:val="00A2393B"/>
    <w:rsid w:val="00A2412D"/>
    <w:rsid w:val="00A2458D"/>
    <w:rsid w:val="00A247B4"/>
    <w:rsid w:val="00A247E5"/>
    <w:rsid w:val="00A24DA7"/>
    <w:rsid w:val="00A24FE2"/>
    <w:rsid w:val="00A251BA"/>
    <w:rsid w:val="00A25530"/>
    <w:rsid w:val="00A26178"/>
    <w:rsid w:val="00A2639F"/>
    <w:rsid w:val="00A264E2"/>
    <w:rsid w:val="00A265A1"/>
    <w:rsid w:val="00A26B5B"/>
    <w:rsid w:val="00A26CBD"/>
    <w:rsid w:val="00A26D30"/>
    <w:rsid w:val="00A271F0"/>
    <w:rsid w:val="00A272FE"/>
    <w:rsid w:val="00A2732F"/>
    <w:rsid w:val="00A278A7"/>
    <w:rsid w:val="00A27B5B"/>
    <w:rsid w:val="00A27EAD"/>
    <w:rsid w:val="00A27F8F"/>
    <w:rsid w:val="00A304E5"/>
    <w:rsid w:val="00A30635"/>
    <w:rsid w:val="00A306E0"/>
    <w:rsid w:val="00A30894"/>
    <w:rsid w:val="00A308EA"/>
    <w:rsid w:val="00A30C74"/>
    <w:rsid w:val="00A30D1B"/>
    <w:rsid w:val="00A30F56"/>
    <w:rsid w:val="00A31141"/>
    <w:rsid w:val="00A311C8"/>
    <w:rsid w:val="00A32E2D"/>
    <w:rsid w:val="00A32EC5"/>
    <w:rsid w:val="00A33479"/>
    <w:rsid w:val="00A334C1"/>
    <w:rsid w:val="00A33601"/>
    <w:rsid w:val="00A33D9F"/>
    <w:rsid w:val="00A33DCA"/>
    <w:rsid w:val="00A34565"/>
    <w:rsid w:val="00A34D47"/>
    <w:rsid w:val="00A34F1C"/>
    <w:rsid w:val="00A3590C"/>
    <w:rsid w:val="00A35EC3"/>
    <w:rsid w:val="00A36107"/>
    <w:rsid w:val="00A36993"/>
    <w:rsid w:val="00A36C94"/>
    <w:rsid w:val="00A36E7C"/>
    <w:rsid w:val="00A37F76"/>
    <w:rsid w:val="00A406F6"/>
    <w:rsid w:val="00A40B3C"/>
    <w:rsid w:val="00A41AF0"/>
    <w:rsid w:val="00A41ECC"/>
    <w:rsid w:val="00A42486"/>
    <w:rsid w:val="00A42FB6"/>
    <w:rsid w:val="00A43475"/>
    <w:rsid w:val="00A43BBF"/>
    <w:rsid w:val="00A43BFF"/>
    <w:rsid w:val="00A43E0F"/>
    <w:rsid w:val="00A445E1"/>
    <w:rsid w:val="00A454B9"/>
    <w:rsid w:val="00A458F6"/>
    <w:rsid w:val="00A45A41"/>
    <w:rsid w:val="00A45AEE"/>
    <w:rsid w:val="00A461C3"/>
    <w:rsid w:val="00A4620B"/>
    <w:rsid w:val="00A46335"/>
    <w:rsid w:val="00A46358"/>
    <w:rsid w:val="00A46C65"/>
    <w:rsid w:val="00A473E4"/>
    <w:rsid w:val="00A474D7"/>
    <w:rsid w:val="00A475B6"/>
    <w:rsid w:val="00A478A7"/>
    <w:rsid w:val="00A47B69"/>
    <w:rsid w:val="00A47C7D"/>
    <w:rsid w:val="00A47F06"/>
    <w:rsid w:val="00A5058A"/>
    <w:rsid w:val="00A50CD8"/>
    <w:rsid w:val="00A50EA4"/>
    <w:rsid w:val="00A511FA"/>
    <w:rsid w:val="00A51348"/>
    <w:rsid w:val="00A515C6"/>
    <w:rsid w:val="00A51E3E"/>
    <w:rsid w:val="00A5210D"/>
    <w:rsid w:val="00A52CEF"/>
    <w:rsid w:val="00A52F15"/>
    <w:rsid w:val="00A53026"/>
    <w:rsid w:val="00A53330"/>
    <w:rsid w:val="00A539E4"/>
    <w:rsid w:val="00A53A4D"/>
    <w:rsid w:val="00A53D30"/>
    <w:rsid w:val="00A54034"/>
    <w:rsid w:val="00A5481F"/>
    <w:rsid w:val="00A54BB6"/>
    <w:rsid w:val="00A55C97"/>
    <w:rsid w:val="00A565BA"/>
    <w:rsid w:val="00A56BAD"/>
    <w:rsid w:val="00A57269"/>
    <w:rsid w:val="00A576B8"/>
    <w:rsid w:val="00A5778E"/>
    <w:rsid w:val="00A57DFE"/>
    <w:rsid w:val="00A607D7"/>
    <w:rsid w:val="00A61155"/>
    <w:rsid w:val="00A61206"/>
    <w:rsid w:val="00A61565"/>
    <w:rsid w:val="00A61967"/>
    <w:rsid w:val="00A622E7"/>
    <w:rsid w:val="00A623F7"/>
    <w:rsid w:val="00A62496"/>
    <w:rsid w:val="00A62A08"/>
    <w:rsid w:val="00A62A4B"/>
    <w:rsid w:val="00A62B83"/>
    <w:rsid w:val="00A62E0A"/>
    <w:rsid w:val="00A6378D"/>
    <w:rsid w:val="00A639A4"/>
    <w:rsid w:val="00A64237"/>
    <w:rsid w:val="00A6467D"/>
    <w:rsid w:val="00A6473E"/>
    <w:rsid w:val="00A648E7"/>
    <w:rsid w:val="00A64B27"/>
    <w:rsid w:val="00A6503C"/>
    <w:rsid w:val="00A6539B"/>
    <w:rsid w:val="00A66AEE"/>
    <w:rsid w:val="00A66E1F"/>
    <w:rsid w:val="00A66F57"/>
    <w:rsid w:val="00A67528"/>
    <w:rsid w:val="00A679CE"/>
    <w:rsid w:val="00A67AA3"/>
    <w:rsid w:val="00A67D16"/>
    <w:rsid w:val="00A67E07"/>
    <w:rsid w:val="00A70606"/>
    <w:rsid w:val="00A70C94"/>
    <w:rsid w:val="00A719CC"/>
    <w:rsid w:val="00A72276"/>
    <w:rsid w:val="00A72969"/>
    <w:rsid w:val="00A72DBD"/>
    <w:rsid w:val="00A73571"/>
    <w:rsid w:val="00A73793"/>
    <w:rsid w:val="00A7434A"/>
    <w:rsid w:val="00A74B61"/>
    <w:rsid w:val="00A7514E"/>
    <w:rsid w:val="00A751A8"/>
    <w:rsid w:val="00A75421"/>
    <w:rsid w:val="00A75543"/>
    <w:rsid w:val="00A75D1B"/>
    <w:rsid w:val="00A75F03"/>
    <w:rsid w:val="00A75F2C"/>
    <w:rsid w:val="00A760FF"/>
    <w:rsid w:val="00A76798"/>
    <w:rsid w:val="00A76D64"/>
    <w:rsid w:val="00A77D6B"/>
    <w:rsid w:val="00A77E80"/>
    <w:rsid w:val="00A77FF2"/>
    <w:rsid w:val="00A8002F"/>
    <w:rsid w:val="00A803AF"/>
    <w:rsid w:val="00A80D21"/>
    <w:rsid w:val="00A80EC6"/>
    <w:rsid w:val="00A810A5"/>
    <w:rsid w:val="00A811B1"/>
    <w:rsid w:val="00A8127E"/>
    <w:rsid w:val="00A81BD7"/>
    <w:rsid w:val="00A81D40"/>
    <w:rsid w:val="00A82828"/>
    <w:rsid w:val="00A829CC"/>
    <w:rsid w:val="00A82A0B"/>
    <w:rsid w:val="00A82F8D"/>
    <w:rsid w:val="00A832DB"/>
    <w:rsid w:val="00A839AE"/>
    <w:rsid w:val="00A83A78"/>
    <w:rsid w:val="00A83FBC"/>
    <w:rsid w:val="00A8458F"/>
    <w:rsid w:val="00A84AFE"/>
    <w:rsid w:val="00A84D76"/>
    <w:rsid w:val="00A854E1"/>
    <w:rsid w:val="00A85787"/>
    <w:rsid w:val="00A85C95"/>
    <w:rsid w:val="00A85F61"/>
    <w:rsid w:val="00A864AD"/>
    <w:rsid w:val="00A86B32"/>
    <w:rsid w:val="00A872E1"/>
    <w:rsid w:val="00A87A92"/>
    <w:rsid w:val="00A87F00"/>
    <w:rsid w:val="00A87F45"/>
    <w:rsid w:val="00A90410"/>
    <w:rsid w:val="00A905B3"/>
    <w:rsid w:val="00A90642"/>
    <w:rsid w:val="00A90D7F"/>
    <w:rsid w:val="00A90DBB"/>
    <w:rsid w:val="00A91563"/>
    <w:rsid w:val="00A916FC"/>
    <w:rsid w:val="00A91A3E"/>
    <w:rsid w:val="00A91E2D"/>
    <w:rsid w:val="00A920D8"/>
    <w:rsid w:val="00A925B0"/>
    <w:rsid w:val="00A929EB"/>
    <w:rsid w:val="00A9377B"/>
    <w:rsid w:val="00A93822"/>
    <w:rsid w:val="00A93834"/>
    <w:rsid w:val="00A93E58"/>
    <w:rsid w:val="00A94911"/>
    <w:rsid w:val="00A95781"/>
    <w:rsid w:val="00A957A7"/>
    <w:rsid w:val="00A95CFD"/>
    <w:rsid w:val="00A96104"/>
    <w:rsid w:val="00A96482"/>
    <w:rsid w:val="00A9670C"/>
    <w:rsid w:val="00A96F20"/>
    <w:rsid w:val="00A975F2"/>
    <w:rsid w:val="00A9788A"/>
    <w:rsid w:val="00A97AAA"/>
    <w:rsid w:val="00A97DAC"/>
    <w:rsid w:val="00A97E21"/>
    <w:rsid w:val="00A97EB6"/>
    <w:rsid w:val="00AA026B"/>
    <w:rsid w:val="00AA0690"/>
    <w:rsid w:val="00AA0971"/>
    <w:rsid w:val="00AA0B7B"/>
    <w:rsid w:val="00AA1DE5"/>
    <w:rsid w:val="00AA259D"/>
    <w:rsid w:val="00AA2A79"/>
    <w:rsid w:val="00AA2D71"/>
    <w:rsid w:val="00AA3E34"/>
    <w:rsid w:val="00AA3F3D"/>
    <w:rsid w:val="00AA41B4"/>
    <w:rsid w:val="00AA422D"/>
    <w:rsid w:val="00AA435D"/>
    <w:rsid w:val="00AA4599"/>
    <w:rsid w:val="00AA46A9"/>
    <w:rsid w:val="00AA4E91"/>
    <w:rsid w:val="00AA5206"/>
    <w:rsid w:val="00AA5A70"/>
    <w:rsid w:val="00AA5E8B"/>
    <w:rsid w:val="00AA5FE7"/>
    <w:rsid w:val="00AA6073"/>
    <w:rsid w:val="00AA6539"/>
    <w:rsid w:val="00AA6566"/>
    <w:rsid w:val="00AA69BA"/>
    <w:rsid w:val="00AA6CFA"/>
    <w:rsid w:val="00AA6E04"/>
    <w:rsid w:val="00AA6EF7"/>
    <w:rsid w:val="00AA73B4"/>
    <w:rsid w:val="00AA7BB2"/>
    <w:rsid w:val="00AB030A"/>
    <w:rsid w:val="00AB0691"/>
    <w:rsid w:val="00AB0927"/>
    <w:rsid w:val="00AB09B1"/>
    <w:rsid w:val="00AB0EDD"/>
    <w:rsid w:val="00AB1095"/>
    <w:rsid w:val="00AB144B"/>
    <w:rsid w:val="00AB14C7"/>
    <w:rsid w:val="00AB15F9"/>
    <w:rsid w:val="00AB1E8D"/>
    <w:rsid w:val="00AB2BC1"/>
    <w:rsid w:val="00AB32F7"/>
    <w:rsid w:val="00AB3359"/>
    <w:rsid w:val="00AB360D"/>
    <w:rsid w:val="00AB4825"/>
    <w:rsid w:val="00AB48BC"/>
    <w:rsid w:val="00AB4ED1"/>
    <w:rsid w:val="00AB50D2"/>
    <w:rsid w:val="00AB573E"/>
    <w:rsid w:val="00AB58B9"/>
    <w:rsid w:val="00AB58FD"/>
    <w:rsid w:val="00AB5F73"/>
    <w:rsid w:val="00AB5F9B"/>
    <w:rsid w:val="00AB60B5"/>
    <w:rsid w:val="00AB619F"/>
    <w:rsid w:val="00AB66DB"/>
    <w:rsid w:val="00AB74EC"/>
    <w:rsid w:val="00AB770E"/>
    <w:rsid w:val="00AB7845"/>
    <w:rsid w:val="00AB7A1C"/>
    <w:rsid w:val="00AC07BC"/>
    <w:rsid w:val="00AC0D20"/>
    <w:rsid w:val="00AC0EC2"/>
    <w:rsid w:val="00AC14EC"/>
    <w:rsid w:val="00AC1A51"/>
    <w:rsid w:val="00AC213C"/>
    <w:rsid w:val="00AC27DB"/>
    <w:rsid w:val="00AC34FC"/>
    <w:rsid w:val="00AC3959"/>
    <w:rsid w:val="00AC3980"/>
    <w:rsid w:val="00AC4830"/>
    <w:rsid w:val="00AC4BCC"/>
    <w:rsid w:val="00AC5095"/>
    <w:rsid w:val="00AC58DD"/>
    <w:rsid w:val="00AC5AAC"/>
    <w:rsid w:val="00AC5BB4"/>
    <w:rsid w:val="00AC6D62"/>
    <w:rsid w:val="00AD0668"/>
    <w:rsid w:val="00AD08A4"/>
    <w:rsid w:val="00AD0F5B"/>
    <w:rsid w:val="00AD101C"/>
    <w:rsid w:val="00AD157C"/>
    <w:rsid w:val="00AD15AA"/>
    <w:rsid w:val="00AD1613"/>
    <w:rsid w:val="00AD16F9"/>
    <w:rsid w:val="00AD1706"/>
    <w:rsid w:val="00AD175F"/>
    <w:rsid w:val="00AD27DE"/>
    <w:rsid w:val="00AD3007"/>
    <w:rsid w:val="00AD341B"/>
    <w:rsid w:val="00AD3951"/>
    <w:rsid w:val="00AD3FF3"/>
    <w:rsid w:val="00AD42DD"/>
    <w:rsid w:val="00AD4440"/>
    <w:rsid w:val="00AD4830"/>
    <w:rsid w:val="00AD48D5"/>
    <w:rsid w:val="00AD4ACB"/>
    <w:rsid w:val="00AD63C9"/>
    <w:rsid w:val="00AD70A6"/>
    <w:rsid w:val="00AD719E"/>
    <w:rsid w:val="00AD71C3"/>
    <w:rsid w:val="00AD735A"/>
    <w:rsid w:val="00AD7573"/>
    <w:rsid w:val="00AD78F9"/>
    <w:rsid w:val="00AD79A9"/>
    <w:rsid w:val="00AE07C2"/>
    <w:rsid w:val="00AE08B9"/>
    <w:rsid w:val="00AE0BF2"/>
    <w:rsid w:val="00AE14D5"/>
    <w:rsid w:val="00AE1953"/>
    <w:rsid w:val="00AE2039"/>
    <w:rsid w:val="00AE2126"/>
    <w:rsid w:val="00AE218F"/>
    <w:rsid w:val="00AE25D2"/>
    <w:rsid w:val="00AE260D"/>
    <w:rsid w:val="00AE280A"/>
    <w:rsid w:val="00AE286F"/>
    <w:rsid w:val="00AE2A42"/>
    <w:rsid w:val="00AE2A5B"/>
    <w:rsid w:val="00AE2F7D"/>
    <w:rsid w:val="00AE2FE2"/>
    <w:rsid w:val="00AE315C"/>
    <w:rsid w:val="00AE32BA"/>
    <w:rsid w:val="00AE3456"/>
    <w:rsid w:val="00AE3694"/>
    <w:rsid w:val="00AE38EE"/>
    <w:rsid w:val="00AE3FA2"/>
    <w:rsid w:val="00AE4630"/>
    <w:rsid w:val="00AE4890"/>
    <w:rsid w:val="00AE4E11"/>
    <w:rsid w:val="00AE5491"/>
    <w:rsid w:val="00AE595A"/>
    <w:rsid w:val="00AE59B3"/>
    <w:rsid w:val="00AE5F7C"/>
    <w:rsid w:val="00AE61BF"/>
    <w:rsid w:val="00AE631C"/>
    <w:rsid w:val="00AE6414"/>
    <w:rsid w:val="00AE65F2"/>
    <w:rsid w:val="00AE66A7"/>
    <w:rsid w:val="00AE67CB"/>
    <w:rsid w:val="00AE7111"/>
    <w:rsid w:val="00AE7F8C"/>
    <w:rsid w:val="00AE7FD0"/>
    <w:rsid w:val="00AF03D0"/>
    <w:rsid w:val="00AF0934"/>
    <w:rsid w:val="00AF0B99"/>
    <w:rsid w:val="00AF0C37"/>
    <w:rsid w:val="00AF0F28"/>
    <w:rsid w:val="00AF1211"/>
    <w:rsid w:val="00AF158A"/>
    <w:rsid w:val="00AF173C"/>
    <w:rsid w:val="00AF1758"/>
    <w:rsid w:val="00AF19F7"/>
    <w:rsid w:val="00AF2A4E"/>
    <w:rsid w:val="00AF2F32"/>
    <w:rsid w:val="00AF316D"/>
    <w:rsid w:val="00AF3308"/>
    <w:rsid w:val="00AF36A6"/>
    <w:rsid w:val="00AF391A"/>
    <w:rsid w:val="00AF42B4"/>
    <w:rsid w:val="00AF445D"/>
    <w:rsid w:val="00AF4C91"/>
    <w:rsid w:val="00AF55C6"/>
    <w:rsid w:val="00AF55D9"/>
    <w:rsid w:val="00AF562D"/>
    <w:rsid w:val="00AF5B7B"/>
    <w:rsid w:val="00AF686A"/>
    <w:rsid w:val="00AF73D2"/>
    <w:rsid w:val="00AF7C23"/>
    <w:rsid w:val="00B000A2"/>
    <w:rsid w:val="00B00195"/>
    <w:rsid w:val="00B004EE"/>
    <w:rsid w:val="00B00657"/>
    <w:rsid w:val="00B0148C"/>
    <w:rsid w:val="00B0164F"/>
    <w:rsid w:val="00B03539"/>
    <w:rsid w:val="00B035D9"/>
    <w:rsid w:val="00B036EE"/>
    <w:rsid w:val="00B043F7"/>
    <w:rsid w:val="00B04F5F"/>
    <w:rsid w:val="00B053B9"/>
    <w:rsid w:val="00B054F5"/>
    <w:rsid w:val="00B05688"/>
    <w:rsid w:val="00B05CFE"/>
    <w:rsid w:val="00B06058"/>
    <w:rsid w:val="00B061CD"/>
    <w:rsid w:val="00B06230"/>
    <w:rsid w:val="00B069A5"/>
    <w:rsid w:val="00B06CAE"/>
    <w:rsid w:val="00B06E56"/>
    <w:rsid w:val="00B07167"/>
    <w:rsid w:val="00B073CC"/>
    <w:rsid w:val="00B073E9"/>
    <w:rsid w:val="00B075FA"/>
    <w:rsid w:val="00B07693"/>
    <w:rsid w:val="00B076DE"/>
    <w:rsid w:val="00B107D5"/>
    <w:rsid w:val="00B10B02"/>
    <w:rsid w:val="00B10C6A"/>
    <w:rsid w:val="00B10D1A"/>
    <w:rsid w:val="00B10F7C"/>
    <w:rsid w:val="00B10FA5"/>
    <w:rsid w:val="00B10FAD"/>
    <w:rsid w:val="00B11150"/>
    <w:rsid w:val="00B111BB"/>
    <w:rsid w:val="00B1142D"/>
    <w:rsid w:val="00B1193E"/>
    <w:rsid w:val="00B12195"/>
    <w:rsid w:val="00B1224B"/>
    <w:rsid w:val="00B1239F"/>
    <w:rsid w:val="00B12813"/>
    <w:rsid w:val="00B12BE8"/>
    <w:rsid w:val="00B13107"/>
    <w:rsid w:val="00B1347D"/>
    <w:rsid w:val="00B13AE0"/>
    <w:rsid w:val="00B13D5D"/>
    <w:rsid w:val="00B1485B"/>
    <w:rsid w:val="00B149BE"/>
    <w:rsid w:val="00B14CC5"/>
    <w:rsid w:val="00B14D6D"/>
    <w:rsid w:val="00B15656"/>
    <w:rsid w:val="00B156EE"/>
    <w:rsid w:val="00B1595E"/>
    <w:rsid w:val="00B159BC"/>
    <w:rsid w:val="00B15C44"/>
    <w:rsid w:val="00B163DD"/>
    <w:rsid w:val="00B1676F"/>
    <w:rsid w:val="00B16AD1"/>
    <w:rsid w:val="00B17130"/>
    <w:rsid w:val="00B17967"/>
    <w:rsid w:val="00B17A6D"/>
    <w:rsid w:val="00B200A0"/>
    <w:rsid w:val="00B20126"/>
    <w:rsid w:val="00B2029D"/>
    <w:rsid w:val="00B202BB"/>
    <w:rsid w:val="00B20FCC"/>
    <w:rsid w:val="00B20FD3"/>
    <w:rsid w:val="00B219D2"/>
    <w:rsid w:val="00B21D48"/>
    <w:rsid w:val="00B2217E"/>
    <w:rsid w:val="00B224CD"/>
    <w:rsid w:val="00B2313D"/>
    <w:rsid w:val="00B23297"/>
    <w:rsid w:val="00B23684"/>
    <w:rsid w:val="00B23C53"/>
    <w:rsid w:val="00B240A7"/>
    <w:rsid w:val="00B2463C"/>
    <w:rsid w:val="00B24893"/>
    <w:rsid w:val="00B2489B"/>
    <w:rsid w:val="00B24B59"/>
    <w:rsid w:val="00B24D4E"/>
    <w:rsid w:val="00B25055"/>
    <w:rsid w:val="00B252C9"/>
    <w:rsid w:val="00B25444"/>
    <w:rsid w:val="00B255BC"/>
    <w:rsid w:val="00B257A3"/>
    <w:rsid w:val="00B259B6"/>
    <w:rsid w:val="00B25BBD"/>
    <w:rsid w:val="00B25BDA"/>
    <w:rsid w:val="00B25E72"/>
    <w:rsid w:val="00B26535"/>
    <w:rsid w:val="00B26665"/>
    <w:rsid w:val="00B269C5"/>
    <w:rsid w:val="00B26CE2"/>
    <w:rsid w:val="00B26CF7"/>
    <w:rsid w:val="00B276CF"/>
    <w:rsid w:val="00B276EB"/>
    <w:rsid w:val="00B27A4D"/>
    <w:rsid w:val="00B27C8C"/>
    <w:rsid w:val="00B27FB3"/>
    <w:rsid w:val="00B3168B"/>
    <w:rsid w:val="00B31748"/>
    <w:rsid w:val="00B31A31"/>
    <w:rsid w:val="00B31C80"/>
    <w:rsid w:val="00B31D31"/>
    <w:rsid w:val="00B32323"/>
    <w:rsid w:val="00B32436"/>
    <w:rsid w:val="00B32B39"/>
    <w:rsid w:val="00B32F3F"/>
    <w:rsid w:val="00B33245"/>
    <w:rsid w:val="00B33768"/>
    <w:rsid w:val="00B33CA5"/>
    <w:rsid w:val="00B34269"/>
    <w:rsid w:val="00B355FC"/>
    <w:rsid w:val="00B35C18"/>
    <w:rsid w:val="00B35C1B"/>
    <w:rsid w:val="00B36008"/>
    <w:rsid w:val="00B361D8"/>
    <w:rsid w:val="00B36829"/>
    <w:rsid w:val="00B369CF"/>
    <w:rsid w:val="00B36D92"/>
    <w:rsid w:val="00B36DAB"/>
    <w:rsid w:val="00B37A23"/>
    <w:rsid w:val="00B37B4A"/>
    <w:rsid w:val="00B37C1F"/>
    <w:rsid w:val="00B37DB5"/>
    <w:rsid w:val="00B37DF2"/>
    <w:rsid w:val="00B37F4F"/>
    <w:rsid w:val="00B403FA"/>
    <w:rsid w:val="00B40545"/>
    <w:rsid w:val="00B4093F"/>
    <w:rsid w:val="00B4127A"/>
    <w:rsid w:val="00B414BD"/>
    <w:rsid w:val="00B414C0"/>
    <w:rsid w:val="00B4181D"/>
    <w:rsid w:val="00B418E7"/>
    <w:rsid w:val="00B41C01"/>
    <w:rsid w:val="00B41F30"/>
    <w:rsid w:val="00B4256A"/>
    <w:rsid w:val="00B428FA"/>
    <w:rsid w:val="00B42BE1"/>
    <w:rsid w:val="00B42C9B"/>
    <w:rsid w:val="00B4323C"/>
    <w:rsid w:val="00B432F5"/>
    <w:rsid w:val="00B434F6"/>
    <w:rsid w:val="00B436E1"/>
    <w:rsid w:val="00B43801"/>
    <w:rsid w:val="00B4405D"/>
    <w:rsid w:val="00B44500"/>
    <w:rsid w:val="00B448E3"/>
    <w:rsid w:val="00B449A9"/>
    <w:rsid w:val="00B44C78"/>
    <w:rsid w:val="00B44FF7"/>
    <w:rsid w:val="00B45326"/>
    <w:rsid w:val="00B45401"/>
    <w:rsid w:val="00B45805"/>
    <w:rsid w:val="00B45987"/>
    <w:rsid w:val="00B4646D"/>
    <w:rsid w:val="00B464E8"/>
    <w:rsid w:val="00B46508"/>
    <w:rsid w:val="00B465E2"/>
    <w:rsid w:val="00B471BC"/>
    <w:rsid w:val="00B47661"/>
    <w:rsid w:val="00B47C91"/>
    <w:rsid w:val="00B47DA0"/>
    <w:rsid w:val="00B47EE3"/>
    <w:rsid w:val="00B50069"/>
    <w:rsid w:val="00B50F2F"/>
    <w:rsid w:val="00B50FF2"/>
    <w:rsid w:val="00B52572"/>
    <w:rsid w:val="00B527C0"/>
    <w:rsid w:val="00B52854"/>
    <w:rsid w:val="00B5289A"/>
    <w:rsid w:val="00B528DC"/>
    <w:rsid w:val="00B52DB7"/>
    <w:rsid w:val="00B531CB"/>
    <w:rsid w:val="00B531F3"/>
    <w:rsid w:val="00B53968"/>
    <w:rsid w:val="00B541A6"/>
    <w:rsid w:val="00B542FB"/>
    <w:rsid w:val="00B55052"/>
    <w:rsid w:val="00B55A56"/>
    <w:rsid w:val="00B55C87"/>
    <w:rsid w:val="00B55D63"/>
    <w:rsid w:val="00B5627D"/>
    <w:rsid w:val="00B56852"/>
    <w:rsid w:val="00B56C29"/>
    <w:rsid w:val="00B56C97"/>
    <w:rsid w:val="00B600FB"/>
    <w:rsid w:val="00B6035C"/>
    <w:rsid w:val="00B60550"/>
    <w:rsid w:val="00B606B9"/>
    <w:rsid w:val="00B60CF2"/>
    <w:rsid w:val="00B61024"/>
    <w:rsid w:val="00B6142C"/>
    <w:rsid w:val="00B61729"/>
    <w:rsid w:val="00B61BE8"/>
    <w:rsid w:val="00B6231B"/>
    <w:rsid w:val="00B62CBC"/>
    <w:rsid w:val="00B6323C"/>
    <w:rsid w:val="00B63808"/>
    <w:rsid w:val="00B63B85"/>
    <w:rsid w:val="00B63BBD"/>
    <w:rsid w:val="00B63D2E"/>
    <w:rsid w:val="00B63D4F"/>
    <w:rsid w:val="00B644F9"/>
    <w:rsid w:val="00B64E5B"/>
    <w:rsid w:val="00B65595"/>
    <w:rsid w:val="00B65841"/>
    <w:rsid w:val="00B65855"/>
    <w:rsid w:val="00B65F3E"/>
    <w:rsid w:val="00B660A2"/>
    <w:rsid w:val="00B66183"/>
    <w:rsid w:val="00B661F4"/>
    <w:rsid w:val="00B669D9"/>
    <w:rsid w:val="00B66AE7"/>
    <w:rsid w:val="00B6757B"/>
    <w:rsid w:val="00B67D40"/>
    <w:rsid w:val="00B702ED"/>
    <w:rsid w:val="00B70A26"/>
    <w:rsid w:val="00B70C07"/>
    <w:rsid w:val="00B71490"/>
    <w:rsid w:val="00B71790"/>
    <w:rsid w:val="00B71FC1"/>
    <w:rsid w:val="00B721B9"/>
    <w:rsid w:val="00B727CD"/>
    <w:rsid w:val="00B72B87"/>
    <w:rsid w:val="00B73387"/>
    <w:rsid w:val="00B73432"/>
    <w:rsid w:val="00B73916"/>
    <w:rsid w:val="00B73A49"/>
    <w:rsid w:val="00B74014"/>
    <w:rsid w:val="00B74461"/>
    <w:rsid w:val="00B7483B"/>
    <w:rsid w:val="00B74DFA"/>
    <w:rsid w:val="00B74F3F"/>
    <w:rsid w:val="00B753F6"/>
    <w:rsid w:val="00B755CF"/>
    <w:rsid w:val="00B75913"/>
    <w:rsid w:val="00B75A2C"/>
    <w:rsid w:val="00B75C39"/>
    <w:rsid w:val="00B75CC7"/>
    <w:rsid w:val="00B75EF0"/>
    <w:rsid w:val="00B7638F"/>
    <w:rsid w:val="00B763EC"/>
    <w:rsid w:val="00B765AA"/>
    <w:rsid w:val="00B76DAC"/>
    <w:rsid w:val="00B77103"/>
    <w:rsid w:val="00B77188"/>
    <w:rsid w:val="00B77813"/>
    <w:rsid w:val="00B7785E"/>
    <w:rsid w:val="00B779F2"/>
    <w:rsid w:val="00B80756"/>
    <w:rsid w:val="00B80963"/>
    <w:rsid w:val="00B80A46"/>
    <w:rsid w:val="00B80AED"/>
    <w:rsid w:val="00B80D2C"/>
    <w:rsid w:val="00B810F9"/>
    <w:rsid w:val="00B811E2"/>
    <w:rsid w:val="00B8120D"/>
    <w:rsid w:val="00B81C54"/>
    <w:rsid w:val="00B81FBB"/>
    <w:rsid w:val="00B82402"/>
    <w:rsid w:val="00B82B2B"/>
    <w:rsid w:val="00B834AE"/>
    <w:rsid w:val="00B83540"/>
    <w:rsid w:val="00B835B7"/>
    <w:rsid w:val="00B83850"/>
    <w:rsid w:val="00B84123"/>
    <w:rsid w:val="00B842B0"/>
    <w:rsid w:val="00B843FC"/>
    <w:rsid w:val="00B84507"/>
    <w:rsid w:val="00B84B07"/>
    <w:rsid w:val="00B84CE4"/>
    <w:rsid w:val="00B84EB2"/>
    <w:rsid w:val="00B8524B"/>
    <w:rsid w:val="00B852A1"/>
    <w:rsid w:val="00B85DC6"/>
    <w:rsid w:val="00B85F7F"/>
    <w:rsid w:val="00B86C83"/>
    <w:rsid w:val="00B9013F"/>
    <w:rsid w:val="00B90344"/>
    <w:rsid w:val="00B903F3"/>
    <w:rsid w:val="00B904D5"/>
    <w:rsid w:val="00B9051D"/>
    <w:rsid w:val="00B91161"/>
    <w:rsid w:val="00B91372"/>
    <w:rsid w:val="00B91507"/>
    <w:rsid w:val="00B9168E"/>
    <w:rsid w:val="00B91FF8"/>
    <w:rsid w:val="00B92062"/>
    <w:rsid w:val="00B928B5"/>
    <w:rsid w:val="00B93231"/>
    <w:rsid w:val="00B933A2"/>
    <w:rsid w:val="00B93577"/>
    <w:rsid w:val="00B936B5"/>
    <w:rsid w:val="00B9402D"/>
    <w:rsid w:val="00B9406A"/>
    <w:rsid w:val="00B944AA"/>
    <w:rsid w:val="00B94614"/>
    <w:rsid w:val="00B948AE"/>
    <w:rsid w:val="00B94BA9"/>
    <w:rsid w:val="00B94CAA"/>
    <w:rsid w:val="00B94EB6"/>
    <w:rsid w:val="00B95374"/>
    <w:rsid w:val="00B957BE"/>
    <w:rsid w:val="00B95D07"/>
    <w:rsid w:val="00B95DF7"/>
    <w:rsid w:val="00B96199"/>
    <w:rsid w:val="00B96AA0"/>
    <w:rsid w:val="00B96EE9"/>
    <w:rsid w:val="00B97F62"/>
    <w:rsid w:val="00BA02F2"/>
    <w:rsid w:val="00BA1031"/>
    <w:rsid w:val="00BA18C6"/>
    <w:rsid w:val="00BA18FB"/>
    <w:rsid w:val="00BA1F00"/>
    <w:rsid w:val="00BA2235"/>
    <w:rsid w:val="00BA257E"/>
    <w:rsid w:val="00BA26FF"/>
    <w:rsid w:val="00BA28CB"/>
    <w:rsid w:val="00BA3043"/>
    <w:rsid w:val="00BA30B9"/>
    <w:rsid w:val="00BA31C1"/>
    <w:rsid w:val="00BA39F5"/>
    <w:rsid w:val="00BA3F6D"/>
    <w:rsid w:val="00BA4058"/>
    <w:rsid w:val="00BA497A"/>
    <w:rsid w:val="00BA4E3E"/>
    <w:rsid w:val="00BA4E4D"/>
    <w:rsid w:val="00BA540A"/>
    <w:rsid w:val="00BA55A3"/>
    <w:rsid w:val="00BA5853"/>
    <w:rsid w:val="00BA5925"/>
    <w:rsid w:val="00BA5CC7"/>
    <w:rsid w:val="00BA6081"/>
    <w:rsid w:val="00BA617E"/>
    <w:rsid w:val="00BA6812"/>
    <w:rsid w:val="00BA6CBB"/>
    <w:rsid w:val="00BA6F53"/>
    <w:rsid w:val="00BA74FD"/>
    <w:rsid w:val="00BB08A5"/>
    <w:rsid w:val="00BB0EF5"/>
    <w:rsid w:val="00BB10B4"/>
    <w:rsid w:val="00BB11AB"/>
    <w:rsid w:val="00BB171E"/>
    <w:rsid w:val="00BB19D7"/>
    <w:rsid w:val="00BB2005"/>
    <w:rsid w:val="00BB20BA"/>
    <w:rsid w:val="00BB2215"/>
    <w:rsid w:val="00BB2AB0"/>
    <w:rsid w:val="00BB30C0"/>
    <w:rsid w:val="00BB3293"/>
    <w:rsid w:val="00BB333B"/>
    <w:rsid w:val="00BB38AA"/>
    <w:rsid w:val="00BB40BF"/>
    <w:rsid w:val="00BB4228"/>
    <w:rsid w:val="00BB5253"/>
    <w:rsid w:val="00BB57B7"/>
    <w:rsid w:val="00BB5876"/>
    <w:rsid w:val="00BB59CF"/>
    <w:rsid w:val="00BB5ECA"/>
    <w:rsid w:val="00BB6640"/>
    <w:rsid w:val="00BB6746"/>
    <w:rsid w:val="00BB67D3"/>
    <w:rsid w:val="00BB69FB"/>
    <w:rsid w:val="00BB6BDC"/>
    <w:rsid w:val="00BB77E6"/>
    <w:rsid w:val="00BB79ED"/>
    <w:rsid w:val="00BB7A0E"/>
    <w:rsid w:val="00BC047A"/>
    <w:rsid w:val="00BC0687"/>
    <w:rsid w:val="00BC0D41"/>
    <w:rsid w:val="00BC0D97"/>
    <w:rsid w:val="00BC0FE2"/>
    <w:rsid w:val="00BC0FFA"/>
    <w:rsid w:val="00BC11C2"/>
    <w:rsid w:val="00BC11FC"/>
    <w:rsid w:val="00BC1339"/>
    <w:rsid w:val="00BC1AD7"/>
    <w:rsid w:val="00BC20E4"/>
    <w:rsid w:val="00BC2136"/>
    <w:rsid w:val="00BC2526"/>
    <w:rsid w:val="00BC2810"/>
    <w:rsid w:val="00BC2C87"/>
    <w:rsid w:val="00BC30AF"/>
    <w:rsid w:val="00BC36CF"/>
    <w:rsid w:val="00BC420B"/>
    <w:rsid w:val="00BC47D5"/>
    <w:rsid w:val="00BC4D3D"/>
    <w:rsid w:val="00BC4E80"/>
    <w:rsid w:val="00BC4FAF"/>
    <w:rsid w:val="00BC5318"/>
    <w:rsid w:val="00BC55EB"/>
    <w:rsid w:val="00BC6174"/>
    <w:rsid w:val="00BC6585"/>
    <w:rsid w:val="00BC65BA"/>
    <w:rsid w:val="00BC65FF"/>
    <w:rsid w:val="00BC6A25"/>
    <w:rsid w:val="00BC70E3"/>
    <w:rsid w:val="00BC730C"/>
    <w:rsid w:val="00BC78B1"/>
    <w:rsid w:val="00BD0404"/>
    <w:rsid w:val="00BD06D1"/>
    <w:rsid w:val="00BD0D79"/>
    <w:rsid w:val="00BD11E9"/>
    <w:rsid w:val="00BD1544"/>
    <w:rsid w:val="00BD1A61"/>
    <w:rsid w:val="00BD1EC6"/>
    <w:rsid w:val="00BD1F33"/>
    <w:rsid w:val="00BD2103"/>
    <w:rsid w:val="00BD231F"/>
    <w:rsid w:val="00BD2A87"/>
    <w:rsid w:val="00BD37EC"/>
    <w:rsid w:val="00BD3938"/>
    <w:rsid w:val="00BD41BE"/>
    <w:rsid w:val="00BD450F"/>
    <w:rsid w:val="00BD5341"/>
    <w:rsid w:val="00BD5456"/>
    <w:rsid w:val="00BD571B"/>
    <w:rsid w:val="00BD5754"/>
    <w:rsid w:val="00BD58F2"/>
    <w:rsid w:val="00BD5BE1"/>
    <w:rsid w:val="00BD5BF6"/>
    <w:rsid w:val="00BD608B"/>
    <w:rsid w:val="00BD6139"/>
    <w:rsid w:val="00BD6216"/>
    <w:rsid w:val="00BD636E"/>
    <w:rsid w:val="00BD660A"/>
    <w:rsid w:val="00BD6E5D"/>
    <w:rsid w:val="00BD6EF6"/>
    <w:rsid w:val="00BD7094"/>
    <w:rsid w:val="00BD71AD"/>
    <w:rsid w:val="00BD78DE"/>
    <w:rsid w:val="00BD7C71"/>
    <w:rsid w:val="00BD7DCC"/>
    <w:rsid w:val="00BD7FD6"/>
    <w:rsid w:val="00BE0E3E"/>
    <w:rsid w:val="00BE106C"/>
    <w:rsid w:val="00BE179F"/>
    <w:rsid w:val="00BE2452"/>
    <w:rsid w:val="00BE2C55"/>
    <w:rsid w:val="00BE2EBD"/>
    <w:rsid w:val="00BE32EE"/>
    <w:rsid w:val="00BE360C"/>
    <w:rsid w:val="00BE3E21"/>
    <w:rsid w:val="00BE544F"/>
    <w:rsid w:val="00BE5D1B"/>
    <w:rsid w:val="00BE655F"/>
    <w:rsid w:val="00BE6C0E"/>
    <w:rsid w:val="00BE6E95"/>
    <w:rsid w:val="00BE6EC9"/>
    <w:rsid w:val="00BE7046"/>
    <w:rsid w:val="00BE71D4"/>
    <w:rsid w:val="00BE7684"/>
    <w:rsid w:val="00BE77A9"/>
    <w:rsid w:val="00BE7B1D"/>
    <w:rsid w:val="00BF053C"/>
    <w:rsid w:val="00BF076E"/>
    <w:rsid w:val="00BF0905"/>
    <w:rsid w:val="00BF0942"/>
    <w:rsid w:val="00BF0962"/>
    <w:rsid w:val="00BF0AA8"/>
    <w:rsid w:val="00BF13A1"/>
    <w:rsid w:val="00BF13C8"/>
    <w:rsid w:val="00BF2089"/>
    <w:rsid w:val="00BF2103"/>
    <w:rsid w:val="00BF2599"/>
    <w:rsid w:val="00BF31F9"/>
    <w:rsid w:val="00BF35CB"/>
    <w:rsid w:val="00BF3BCC"/>
    <w:rsid w:val="00BF42EA"/>
    <w:rsid w:val="00BF45CA"/>
    <w:rsid w:val="00BF4B0F"/>
    <w:rsid w:val="00BF4E12"/>
    <w:rsid w:val="00BF4F66"/>
    <w:rsid w:val="00BF52E9"/>
    <w:rsid w:val="00BF53DF"/>
    <w:rsid w:val="00BF57E7"/>
    <w:rsid w:val="00BF591D"/>
    <w:rsid w:val="00BF5AC8"/>
    <w:rsid w:val="00BF5D27"/>
    <w:rsid w:val="00BF5D93"/>
    <w:rsid w:val="00BF5F87"/>
    <w:rsid w:val="00BF66F3"/>
    <w:rsid w:val="00BF66F5"/>
    <w:rsid w:val="00BF6B07"/>
    <w:rsid w:val="00BF738F"/>
    <w:rsid w:val="00BF7767"/>
    <w:rsid w:val="00BF7B41"/>
    <w:rsid w:val="00BF7B8F"/>
    <w:rsid w:val="00C0007E"/>
    <w:rsid w:val="00C002E6"/>
    <w:rsid w:val="00C004BA"/>
    <w:rsid w:val="00C005AC"/>
    <w:rsid w:val="00C006B6"/>
    <w:rsid w:val="00C007C0"/>
    <w:rsid w:val="00C00AC7"/>
    <w:rsid w:val="00C0115E"/>
    <w:rsid w:val="00C011CC"/>
    <w:rsid w:val="00C01531"/>
    <w:rsid w:val="00C0169C"/>
    <w:rsid w:val="00C01BA7"/>
    <w:rsid w:val="00C0208D"/>
    <w:rsid w:val="00C0213D"/>
    <w:rsid w:val="00C02620"/>
    <w:rsid w:val="00C02AF1"/>
    <w:rsid w:val="00C0301A"/>
    <w:rsid w:val="00C0367C"/>
    <w:rsid w:val="00C03C75"/>
    <w:rsid w:val="00C03D22"/>
    <w:rsid w:val="00C03D87"/>
    <w:rsid w:val="00C03F28"/>
    <w:rsid w:val="00C04514"/>
    <w:rsid w:val="00C04BED"/>
    <w:rsid w:val="00C04DFF"/>
    <w:rsid w:val="00C04F4B"/>
    <w:rsid w:val="00C0506B"/>
    <w:rsid w:val="00C053F7"/>
    <w:rsid w:val="00C0565D"/>
    <w:rsid w:val="00C05E83"/>
    <w:rsid w:val="00C06395"/>
    <w:rsid w:val="00C06A05"/>
    <w:rsid w:val="00C06A62"/>
    <w:rsid w:val="00C07371"/>
    <w:rsid w:val="00C07823"/>
    <w:rsid w:val="00C07869"/>
    <w:rsid w:val="00C079EA"/>
    <w:rsid w:val="00C07AAA"/>
    <w:rsid w:val="00C07EA9"/>
    <w:rsid w:val="00C10320"/>
    <w:rsid w:val="00C107DE"/>
    <w:rsid w:val="00C108EB"/>
    <w:rsid w:val="00C10CD1"/>
    <w:rsid w:val="00C10DD8"/>
    <w:rsid w:val="00C111BA"/>
    <w:rsid w:val="00C113F1"/>
    <w:rsid w:val="00C11599"/>
    <w:rsid w:val="00C11D05"/>
    <w:rsid w:val="00C11D68"/>
    <w:rsid w:val="00C1265F"/>
    <w:rsid w:val="00C12E3D"/>
    <w:rsid w:val="00C13DE4"/>
    <w:rsid w:val="00C14494"/>
    <w:rsid w:val="00C14D9B"/>
    <w:rsid w:val="00C14E45"/>
    <w:rsid w:val="00C150FB"/>
    <w:rsid w:val="00C15B39"/>
    <w:rsid w:val="00C15FEF"/>
    <w:rsid w:val="00C16799"/>
    <w:rsid w:val="00C1690C"/>
    <w:rsid w:val="00C16F03"/>
    <w:rsid w:val="00C16F2F"/>
    <w:rsid w:val="00C173C0"/>
    <w:rsid w:val="00C17A5F"/>
    <w:rsid w:val="00C17ADB"/>
    <w:rsid w:val="00C20069"/>
    <w:rsid w:val="00C201AB"/>
    <w:rsid w:val="00C20217"/>
    <w:rsid w:val="00C20C00"/>
    <w:rsid w:val="00C20DC1"/>
    <w:rsid w:val="00C2101E"/>
    <w:rsid w:val="00C2106A"/>
    <w:rsid w:val="00C210D0"/>
    <w:rsid w:val="00C212A7"/>
    <w:rsid w:val="00C217FF"/>
    <w:rsid w:val="00C21AE9"/>
    <w:rsid w:val="00C21D88"/>
    <w:rsid w:val="00C22196"/>
    <w:rsid w:val="00C22262"/>
    <w:rsid w:val="00C2236E"/>
    <w:rsid w:val="00C22478"/>
    <w:rsid w:val="00C226CC"/>
    <w:rsid w:val="00C22B67"/>
    <w:rsid w:val="00C22F2A"/>
    <w:rsid w:val="00C23151"/>
    <w:rsid w:val="00C23192"/>
    <w:rsid w:val="00C23300"/>
    <w:rsid w:val="00C2359A"/>
    <w:rsid w:val="00C23CD6"/>
    <w:rsid w:val="00C23CFD"/>
    <w:rsid w:val="00C2429B"/>
    <w:rsid w:val="00C24355"/>
    <w:rsid w:val="00C24A4C"/>
    <w:rsid w:val="00C24C3D"/>
    <w:rsid w:val="00C24D5A"/>
    <w:rsid w:val="00C24F3A"/>
    <w:rsid w:val="00C251CB"/>
    <w:rsid w:val="00C25207"/>
    <w:rsid w:val="00C253D6"/>
    <w:rsid w:val="00C257EF"/>
    <w:rsid w:val="00C26644"/>
    <w:rsid w:val="00C267A8"/>
    <w:rsid w:val="00C26821"/>
    <w:rsid w:val="00C26F2B"/>
    <w:rsid w:val="00C2704F"/>
    <w:rsid w:val="00C276A9"/>
    <w:rsid w:val="00C27C56"/>
    <w:rsid w:val="00C30164"/>
    <w:rsid w:val="00C309E0"/>
    <w:rsid w:val="00C316ED"/>
    <w:rsid w:val="00C31836"/>
    <w:rsid w:val="00C31F00"/>
    <w:rsid w:val="00C32BB5"/>
    <w:rsid w:val="00C32CF8"/>
    <w:rsid w:val="00C331AC"/>
    <w:rsid w:val="00C331FD"/>
    <w:rsid w:val="00C3393B"/>
    <w:rsid w:val="00C33989"/>
    <w:rsid w:val="00C33FE7"/>
    <w:rsid w:val="00C341A0"/>
    <w:rsid w:val="00C34616"/>
    <w:rsid w:val="00C3461F"/>
    <w:rsid w:val="00C34FB1"/>
    <w:rsid w:val="00C3559C"/>
    <w:rsid w:val="00C35A37"/>
    <w:rsid w:val="00C36018"/>
    <w:rsid w:val="00C3603A"/>
    <w:rsid w:val="00C36668"/>
    <w:rsid w:val="00C366B8"/>
    <w:rsid w:val="00C36AA8"/>
    <w:rsid w:val="00C370F6"/>
    <w:rsid w:val="00C373BA"/>
    <w:rsid w:val="00C37487"/>
    <w:rsid w:val="00C376EB"/>
    <w:rsid w:val="00C37AF8"/>
    <w:rsid w:val="00C37E28"/>
    <w:rsid w:val="00C37E64"/>
    <w:rsid w:val="00C400F2"/>
    <w:rsid w:val="00C40A0B"/>
    <w:rsid w:val="00C40A79"/>
    <w:rsid w:val="00C40BEB"/>
    <w:rsid w:val="00C40DCB"/>
    <w:rsid w:val="00C414AF"/>
    <w:rsid w:val="00C41DCC"/>
    <w:rsid w:val="00C424C3"/>
    <w:rsid w:val="00C429AA"/>
    <w:rsid w:val="00C42B1A"/>
    <w:rsid w:val="00C43008"/>
    <w:rsid w:val="00C4302C"/>
    <w:rsid w:val="00C43479"/>
    <w:rsid w:val="00C43D5F"/>
    <w:rsid w:val="00C43DC2"/>
    <w:rsid w:val="00C4457A"/>
    <w:rsid w:val="00C44DA0"/>
    <w:rsid w:val="00C45397"/>
    <w:rsid w:val="00C45AA0"/>
    <w:rsid w:val="00C473C1"/>
    <w:rsid w:val="00C478A1"/>
    <w:rsid w:val="00C47E06"/>
    <w:rsid w:val="00C47E1D"/>
    <w:rsid w:val="00C47F18"/>
    <w:rsid w:val="00C47F3F"/>
    <w:rsid w:val="00C5000E"/>
    <w:rsid w:val="00C5009E"/>
    <w:rsid w:val="00C50331"/>
    <w:rsid w:val="00C50CCE"/>
    <w:rsid w:val="00C51D6C"/>
    <w:rsid w:val="00C51E6B"/>
    <w:rsid w:val="00C5220D"/>
    <w:rsid w:val="00C522A0"/>
    <w:rsid w:val="00C52512"/>
    <w:rsid w:val="00C5262E"/>
    <w:rsid w:val="00C52A84"/>
    <w:rsid w:val="00C52F05"/>
    <w:rsid w:val="00C53199"/>
    <w:rsid w:val="00C531C8"/>
    <w:rsid w:val="00C534FD"/>
    <w:rsid w:val="00C5371D"/>
    <w:rsid w:val="00C53FB7"/>
    <w:rsid w:val="00C54C9C"/>
    <w:rsid w:val="00C551B2"/>
    <w:rsid w:val="00C55665"/>
    <w:rsid w:val="00C55791"/>
    <w:rsid w:val="00C557E9"/>
    <w:rsid w:val="00C55FF9"/>
    <w:rsid w:val="00C562CB"/>
    <w:rsid w:val="00C5657E"/>
    <w:rsid w:val="00C5692D"/>
    <w:rsid w:val="00C57508"/>
    <w:rsid w:val="00C57D4D"/>
    <w:rsid w:val="00C57DC1"/>
    <w:rsid w:val="00C600BF"/>
    <w:rsid w:val="00C60B4F"/>
    <w:rsid w:val="00C61285"/>
    <w:rsid w:val="00C614C5"/>
    <w:rsid w:val="00C61816"/>
    <w:rsid w:val="00C61B56"/>
    <w:rsid w:val="00C61FBE"/>
    <w:rsid w:val="00C62040"/>
    <w:rsid w:val="00C625C2"/>
    <w:rsid w:val="00C62779"/>
    <w:rsid w:val="00C63A9B"/>
    <w:rsid w:val="00C63F5C"/>
    <w:rsid w:val="00C6403F"/>
    <w:rsid w:val="00C6449E"/>
    <w:rsid w:val="00C6486E"/>
    <w:rsid w:val="00C648B9"/>
    <w:rsid w:val="00C652D3"/>
    <w:rsid w:val="00C6543A"/>
    <w:rsid w:val="00C65527"/>
    <w:rsid w:val="00C657DA"/>
    <w:rsid w:val="00C65966"/>
    <w:rsid w:val="00C65C3A"/>
    <w:rsid w:val="00C65FD5"/>
    <w:rsid w:val="00C6607A"/>
    <w:rsid w:val="00C66792"/>
    <w:rsid w:val="00C668EC"/>
    <w:rsid w:val="00C66AF2"/>
    <w:rsid w:val="00C66D44"/>
    <w:rsid w:val="00C67B75"/>
    <w:rsid w:val="00C67E6E"/>
    <w:rsid w:val="00C7011F"/>
    <w:rsid w:val="00C701FC"/>
    <w:rsid w:val="00C7054D"/>
    <w:rsid w:val="00C706FA"/>
    <w:rsid w:val="00C70B3D"/>
    <w:rsid w:val="00C70FD7"/>
    <w:rsid w:val="00C71352"/>
    <w:rsid w:val="00C71451"/>
    <w:rsid w:val="00C71F2B"/>
    <w:rsid w:val="00C71F92"/>
    <w:rsid w:val="00C72CA4"/>
    <w:rsid w:val="00C73426"/>
    <w:rsid w:val="00C735C1"/>
    <w:rsid w:val="00C73EE0"/>
    <w:rsid w:val="00C73F83"/>
    <w:rsid w:val="00C74198"/>
    <w:rsid w:val="00C74841"/>
    <w:rsid w:val="00C74C64"/>
    <w:rsid w:val="00C753DE"/>
    <w:rsid w:val="00C756C2"/>
    <w:rsid w:val="00C7579B"/>
    <w:rsid w:val="00C75A9E"/>
    <w:rsid w:val="00C75B7F"/>
    <w:rsid w:val="00C7606B"/>
    <w:rsid w:val="00C76517"/>
    <w:rsid w:val="00C76626"/>
    <w:rsid w:val="00C766B7"/>
    <w:rsid w:val="00C76743"/>
    <w:rsid w:val="00C7689F"/>
    <w:rsid w:val="00C76DFB"/>
    <w:rsid w:val="00C771D6"/>
    <w:rsid w:val="00C772D1"/>
    <w:rsid w:val="00C77380"/>
    <w:rsid w:val="00C775A9"/>
    <w:rsid w:val="00C77B2F"/>
    <w:rsid w:val="00C77FF2"/>
    <w:rsid w:val="00C80002"/>
    <w:rsid w:val="00C80034"/>
    <w:rsid w:val="00C81378"/>
    <w:rsid w:val="00C81498"/>
    <w:rsid w:val="00C81596"/>
    <w:rsid w:val="00C81F43"/>
    <w:rsid w:val="00C8228E"/>
    <w:rsid w:val="00C83489"/>
    <w:rsid w:val="00C8361E"/>
    <w:rsid w:val="00C8378A"/>
    <w:rsid w:val="00C84437"/>
    <w:rsid w:val="00C84D6F"/>
    <w:rsid w:val="00C8585E"/>
    <w:rsid w:val="00C85ACA"/>
    <w:rsid w:val="00C86265"/>
    <w:rsid w:val="00C869B1"/>
    <w:rsid w:val="00C873A8"/>
    <w:rsid w:val="00C879C0"/>
    <w:rsid w:val="00C87BB0"/>
    <w:rsid w:val="00C9004C"/>
    <w:rsid w:val="00C904C5"/>
    <w:rsid w:val="00C9156B"/>
    <w:rsid w:val="00C91E1E"/>
    <w:rsid w:val="00C9267A"/>
    <w:rsid w:val="00C93133"/>
    <w:rsid w:val="00C9375A"/>
    <w:rsid w:val="00C937B7"/>
    <w:rsid w:val="00C939E1"/>
    <w:rsid w:val="00C93C3C"/>
    <w:rsid w:val="00C93C69"/>
    <w:rsid w:val="00C946B7"/>
    <w:rsid w:val="00C946FF"/>
    <w:rsid w:val="00C94EB5"/>
    <w:rsid w:val="00C95397"/>
    <w:rsid w:val="00C95668"/>
    <w:rsid w:val="00C95780"/>
    <w:rsid w:val="00C959D1"/>
    <w:rsid w:val="00C95E48"/>
    <w:rsid w:val="00C964E2"/>
    <w:rsid w:val="00C9676F"/>
    <w:rsid w:val="00C969A6"/>
    <w:rsid w:val="00C969F1"/>
    <w:rsid w:val="00C96A5A"/>
    <w:rsid w:val="00C96B88"/>
    <w:rsid w:val="00C96CDE"/>
    <w:rsid w:val="00C96EC1"/>
    <w:rsid w:val="00C97045"/>
    <w:rsid w:val="00C971A7"/>
    <w:rsid w:val="00C97A6A"/>
    <w:rsid w:val="00C97EE3"/>
    <w:rsid w:val="00CA02EA"/>
    <w:rsid w:val="00CA0851"/>
    <w:rsid w:val="00CA23C9"/>
    <w:rsid w:val="00CA2581"/>
    <w:rsid w:val="00CA2CAA"/>
    <w:rsid w:val="00CA3052"/>
    <w:rsid w:val="00CA3275"/>
    <w:rsid w:val="00CA331A"/>
    <w:rsid w:val="00CA3361"/>
    <w:rsid w:val="00CA33CC"/>
    <w:rsid w:val="00CA368D"/>
    <w:rsid w:val="00CA3853"/>
    <w:rsid w:val="00CA42E9"/>
    <w:rsid w:val="00CA4688"/>
    <w:rsid w:val="00CA547C"/>
    <w:rsid w:val="00CA5E16"/>
    <w:rsid w:val="00CA620F"/>
    <w:rsid w:val="00CA69EC"/>
    <w:rsid w:val="00CB00BB"/>
    <w:rsid w:val="00CB01BF"/>
    <w:rsid w:val="00CB0822"/>
    <w:rsid w:val="00CB0CAE"/>
    <w:rsid w:val="00CB0DEA"/>
    <w:rsid w:val="00CB0E5C"/>
    <w:rsid w:val="00CB10D2"/>
    <w:rsid w:val="00CB13B3"/>
    <w:rsid w:val="00CB20AA"/>
    <w:rsid w:val="00CB2DBB"/>
    <w:rsid w:val="00CB35E0"/>
    <w:rsid w:val="00CB4A1C"/>
    <w:rsid w:val="00CB4FAD"/>
    <w:rsid w:val="00CB5033"/>
    <w:rsid w:val="00CB5190"/>
    <w:rsid w:val="00CB5752"/>
    <w:rsid w:val="00CB70B3"/>
    <w:rsid w:val="00CB74A4"/>
    <w:rsid w:val="00CB76EB"/>
    <w:rsid w:val="00CB77C9"/>
    <w:rsid w:val="00CB7EB4"/>
    <w:rsid w:val="00CB7FA1"/>
    <w:rsid w:val="00CC0344"/>
    <w:rsid w:val="00CC0A63"/>
    <w:rsid w:val="00CC0BEB"/>
    <w:rsid w:val="00CC11BB"/>
    <w:rsid w:val="00CC12AB"/>
    <w:rsid w:val="00CC1382"/>
    <w:rsid w:val="00CC2279"/>
    <w:rsid w:val="00CC29F7"/>
    <w:rsid w:val="00CC318A"/>
    <w:rsid w:val="00CC342B"/>
    <w:rsid w:val="00CC350B"/>
    <w:rsid w:val="00CC36F0"/>
    <w:rsid w:val="00CC39C8"/>
    <w:rsid w:val="00CC3AA3"/>
    <w:rsid w:val="00CC3C17"/>
    <w:rsid w:val="00CC3D55"/>
    <w:rsid w:val="00CC4213"/>
    <w:rsid w:val="00CC44EF"/>
    <w:rsid w:val="00CC4AD7"/>
    <w:rsid w:val="00CC4FB4"/>
    <w:rsid w:val="00CC513E"/>
    <w:rsid w:val="00CC57D9"/>
    <w:rsid w:val="00CC6534"/>
    <w:rsid w:val="00CC65C4"/>
    <w:rsid w:val="00CC68A0"/>
    <w:rsid w:val="00CC797D"/>
    <w:rsid w:val="00CC7F8F"/>
    <w:rsid w:val="00CD0014"/>
    <w:rsid w:val="00CD044A"/>
    <w:rsid w:val="00CD0552"/>
    <w:rsid w:val="00CD085B"/>
    <w:rsid w:val="00CD08D5"/>
    <w:rsid w:val="00CD0A6A"/>
    <w:rsid w:val="00CD149C"/>
    <w:rsid w:val="00CD1900"/>
    <w:rsid w:val="00CD1B81"/>
    <w:rsid w:val="00CD1D7E"/>
    <w:rsid w:val="00CD2302"/>
    <w:rsid w:val="00CD27A7"/>
    <w:rsid w:val="00CD28C0"/>
    <w:rsid w:val="00CD3779"/>
    <w:rsid w:val="00CD39EC"/>
    <w:rsid w:val="00CD3AAC"/>
    <w:rsid w:val="00CD44BB"/>
    <w:rsid w:val="00CD47BB"/>
    <w:rsid w:val="00CD49F0"/>
    <w:rsid w:val="00CD523B"/>
    <w:rsid w:val="00CD570F"/>
    <w:rsid w:val="00CD63A9"/>
    <w:rsid w:val="00CD6468"/>
    <w:rsid w:val="00CD650A"/>
    <w:rsid w:val="00CD66C7"/>
    <w:rsid w:val="00CD6E9C"/>
    <w:rsid w:val="00CD7577"/>
    <w:rsid w:val="00CD78BE"/>
    <w:rsid w:val="00CD7AAE"/>
    <w:rsid w:val="00CD7EE6"/>
    <w:rsid w:val="00CE06CA"/>
    <w:rsid w:val="00CE0DAD"/>
    <w:rsid w:val="00CE124F"/>
    <w:rsid w:val="00CE13F5"/>
    <w:rsid w:val="00CE17DF"/>
    <w:rsid w:val="00CE18D0"/>
    <w:rsid w:val="00CE21D3"/>
    <w:rsid w:val="00CE2464"/>
    <w:rsid w:val="00CE25B7"/>
    <w:rsid w:val="00CE2811"/>
    <w:rsid w:val="00CE2926"/>
    <w:rsid w:val="00CE2FB4"/>
    <w:rsid w:val="00CE339D"/>
    <w:rsid w:val="00CE3702"/>
    <w:rsid w:val="00CE39D0"/>
    <w:rsid w:val="00CE4322"/>
    <w:rsid w:val="00CE4650"/>
    <w:rsid w:val="00CE47D0"/>
    <w:rsid w:val="00CE48C4"/>
    <w:rsid w:val="00CE4A6B"/>
    <w:rsid w:val="00CE5AF0"/>
    <w:rsid w:val="00CE5B36"/>
    <w:rsid w:val="00CE6166"/>
    <w:rsid w:val="00CE6349"/>
    <w:rsid w:val="00CE6862"/>
    <w:rsid w:val="00CE6EEE"/>
    <w:rsid w:val="00CE7D5E"/>
    <w:rsid w:val="00CF0095"/>
    <w:rsid w:val="00CF01F8"/>
    <w:rsid w:val="00CF0304"/>
    <w:rsid w:val="00CF093F"/>
    <w:rsid w:val="00CF0DF5"/>
    <w:rsid w:val="00CF1164"/>
    <w:rsid w:val="00CF16B2"/>
    <w:rsid w:val="00CF1999"/>
    <w:rsid w:val="00CF1F22"/>
    <w:rsid w:val="00CF21E9"/>
    <w:rsid w:val="00CF229D"/>
    <w:rsid w:val="00CF23EC"/>
    <w:rsid w:val="00CF2861"/>
    <w:rsid w:val="00CF291C"/>
    <w:rsid w:val="00CF30A7"/>
    <w:rsid w:val="00CF333F"/>
    <w:rsid w:val="00CF3735"/>
    <w:rsid w:val="00CF3C43"/>
    <w:rsid w:val="00CF3C55"/>
    <w:rsid w:val="00CF42D6"/>
    <w:rsid w:val="00CF4CFC"/>
    <w:rsid w:val="00CF4E1F"/>
    <w:rsid w:val="00CF5DFF"/>
    <w:rsid w:val="00CF5E7C"/>
    <w:rsid w:val="00CF5FE5"/>
    <w:rsid w:val="00CF60C0"/>
    <w:rsid w:val="00CF6178"/>
    <w:rsid w:val="00CF65F4"/>
    <w:rsid w:val="00CF6A28"/>
    <w:rsid w:val="00CF6A45"/>
    <w:rsid w:val="00CF6B7D"/>
    <w:rsid w:val="00CF6C79"/>
    <w:rsid w:val="00CF71A6"/>
    <w:rsid w:val="00CF7265"/>
    <w:rsid w:val="00CF7790"/>
    <w:rsid w:val="00D007E7"/>
    <w:rsid w:val="00D00F6A"/>
    <w:rsid w:val="00D01377"/>
    <w:rsid w:val="00D0182B"/>
    <w:rsid w:val="00D01B62"/>
    <w:rsid w:val="00D01DF0"/>
    <w:rsid w:val="00D021EB"/>
    <w:rsid w:val="00D0234B"/>
    <w:rsid w:val="00D023AF"/>
    <w:rsid w:val="00D03119"/>
    <w:rsid w:val="00D035ED"/>
    <w:rsid w:val="00D03CA4"/>
    <w:rsid w:val="00D040ED"/>
    <w:rsid w:val="00D0414F"/>
    <w:rsid w:val="00D0421C"/>
    <w:rsid w:val="00D04A41"/>
    <w:rsid w:val="00D052D4"/>
    <w:rsid w:val="00D0579C"/>
    <w:rsid w:val="00D061CA"/>
    <w:rsid w:val="00D06502"/>
    <w:rsid w:val="00D066E5"/>
    <w:rsid w:val="00D06AC5"/>
    <w:rsid w:val="00D06BA2"/>
    <w:rsid w:val="00D0752C"/>
    <w:rsid w:val="00D07703"/>
    <w:rsid w:val="00D07734"/>
    <w:rsid w:val="00D0776A"/>
    <w:rsid w:val="00D07791"/>
    <w:rsid w:val="00D077D3"/>
    <w:rsid w:val="00D079FE"/>
    <w:rsid w:val="00D07C28"/>
    <w:rsid w:val="00D07D84"/>
    <w:rsid w:val="00D10829"/>
    <w:rsid w:val="00D10F5A"/>
    <w:rsid w:val="00D112A5"/>
    <w:rsid w:val="00D115A1"/>
    <w:rsid w:val="00D120A2"/>
    <w:rsid w:val="00D12629"/>
    <w:rsid w:val="00D128FE"/>
    <w:rsid w:val="00D12AD4"/>
    <w:rsid w:val="00D12CCB"/>
    <w:rsid w:val="00D13426"/>
    <w:rsid w:val="00D1343A"/>
    <w:rsid w:val="00D13EA7"/>
    <w:rsid w:val="00D146F4"/>
    <w:rsid w:val="00D147FA"/>
    <w:rsid w:val="00D14FBA"/>
    <w:rsid w:val="00D150C6"/>
    <w:rsid w:val="00D15194"/>
    <w:rsid w:val="00D15215"/>
    <w:rsid w:val="00D152B6"/>
    <w:rsid w:val="00D1588B"/>
    <w:rsid w:val="00D1660B"/>
    <w:rsid w:val="00D17274"/>
    <w:rsid w:val="00D205D8"/>
    <w:rsid w:val="00D210A3"/>
    <w:rsid w:val="00D21833"/>
    <w:rsid w:val="00D21B12"/>
    <w:rsid w:val="00D21B30"/>
    <w:rsid w:val="00D21C39"/>
    <w:rsid w:val="00D21DE8"/>
    <w:rsid w:val="00D227A2"/>
    <w:rsid w:val="00D22C03"/>
    <w:rsid w:val="00D23310"/>
    <w:rsid w:val="00D23AF2"/>
    <w:rsid w:val="00D24C4E"/>
    <w:rsid w:val="00D25BDE"/>
    <w:rsid w:val="00D25FF8"/>
    <w:rsid w:val="00D26410"/>
    <w:rsid w:val="00D26B30"/>
    <w:rsid w:val="00D26D58"/>
    <w:rsid w:val="00D2762E"/>
    <w:rsid w:val="00D27788"/>
    <w:rsid w:val="00D2792F"/>
    <w:rsid w:val="00D27961"/>
    <w:rsid w:val="00D27A39"/>
    <w:rsid w:val="00D27DB5"/>
    <w:rsid w:val="00D3029F"/>
    <w:rsid w:val="00D3113B"/>
    <w:rsid w:val="00D31224"/>
    <w:rsid w:val="00D319FB"/>
    <w:rsid w:val="00D31D95"/>
    <w:rsid w:val="00D3217D"/>
    <w:rsid w:val="00D329B4"/>
    <w:rsid w:val="00D32A9B"/>
    <w:rsid w:val="00D32AFC"/>
    <w:rsid w:val="00D32C29"/>
    <w:rsid w:val="00D32D42"/>
    <w:rsid w:val="00D33900"/>
    <w:rsid w:val="00D33CB2"/>
    <w:rsid w:val="00D34083"/>
    <w:rsid w:val="00D34112"/>
    <w:rsid w:val="00D34598"/>
    <w:rsid w:val="00D347AC"/>
    <w:rsid w:val="00D35051"/>
    <w:rsid w:val="00D351F9"/>
    <w:rsid w:val="00D3531D"/>
    <w:rsid w:val="00D35576"/>
    <w:rsid w:val="00D3583C"/>
    <w:rsid w:val="00D358B4"/>
    <w:rsid w:val="00D36510"/>
    <w:rsid w:val="00D3652F"/>
    <w:rsid w:val="00D36751"/>
    <w:rsid w:val="00D36756"/>
    <w:rsid w:val="00D370B4"/>
    <w:rsid w:val="00D3714F"/>
    <w:rsid w:val="00D3743B"/>
    <w:rsid w:val="00D3749B"/>
    <w:rsid w:val="00D37C09"/>
    <w:rsid w:val="00D40094"/>
    <w:rsid w:val="00D400F5"/>
    <w:rsid w:val="00D401B0"/>
    <w:rsid w:val="00D40246"/>
    <w:rsid w:val="00D40DAB"/>
    <w:rsid w:val="00D40E15"/>
    <w:rsid w:val="00D41361"/>
    <w:rsid w:val="00D415B2"/>
    <w:rsid w:val="00D41BBA"/>
    <w:rsid w:val="00D42049"/>
    <w:rsid w:val="00D4219D"/>
    <w:rsid w:val="00D422A1"/>
    <w:rsid w:val="00D42366"/>
    <w:rsid w:val="00D42DFE"/>
    <w:rsid w:val="00D42F04"/>
    <w:rsid w:val="00D42F9A"/>
    <w:rsid w:val="00D43177"/>
    <w:rsid w:val="00D431F1"/>
    <w:rsid w:val="00D4364C"/>
    <w:rsid w:val="00D440A7"/>
    <w:rsid w:val="00D44248"/>
    <w:rsid w:val="00D44669"/>
    <w:rsid w:val="00D4471E"/>
    <w:rsid w:val="00D4495E"/>
    <w:rsid w:val="00D452ED"/>
    <w:rsid w:val="00D455DB"/>
    <w:rsid w:val="00D46222"/>
    <w:rsid w:val="00D4747B"/>
    <w:rsid w:val="00D4774A"/>
    <w:rsid w:val="00D478C2"/>
    <w:rsid w:val="00D47C39"/>
    <w:rsid w:val="00D47D02"/>
    <w:rsid w:val="00D47D8D"/>
    <w:rsid w:val="00D47FA9"/>
    <w:rsid w:val="00D501CA"/>
    <w:rsid w:val="00D50340"/>
    <w:rsid w:val="00D507FD"/>
    <w:rsid w:val="00D5081E"/>
    <w:rsid w:val="00D50982"/>
    <w:rsid w:val="00D5115F"/>
    <w:rsid w:val="00D511EF"/>
    <w:rsid w:val="00D51905"/>
    <w:rsid w:val="00D51FD3"/>
    <w:rsid w:val="00D52124"/>
    <w:rsid w:val="00D5221D"/>
    <w:rsid w:val="00D5225E"/>
    <w:rsid w:val="00D52727"/>
    <w:rsid w:val="00D52872"/>
    <w:rsid w:val="00D52CFD"/>
    <w:rsid w:val="00D52D34"/>
    <w:rsid w:val="00D52E1C"/>
    <w:rsid w:val="00D5392B"/>
    <w:rsid w:val="00D53F3B"/>
    <w:rsid w:val="00D53F5D"/>
    <w:rsid w:val="00D54220"/>
    <w:rsid w:val="00D54888"/>
    <w:rsid w:val="00D54904"/>
    <w:rsid w:val="00D55197"/>
    <w:rsid w:val="00D55445"/>
    <w:rsid w:val="00D557B7"/>
    <w:rsid w:val="00D5588C"/>
    <w:rsid w:val="00D5599D"/>
    <w:rsid w:val="00D55FFD"/>
    <w:rsid w:val="00D56DFC"/>
    <w:rsid w:val="00D56F26"/>
    <w:rsid w:val="00D57183"/>
    <w:rsid w:val="00D573DF"/>
    <w:rsid w:val="00D575D7"/>
    <w:rsid w:val="00D579AF"/>
    <w:rsid w:val="00D57D7A"/>
    <w:rsid w:val="00D57FD5"/>
    <w:rsid w:val="00D60259"/>
    <w:rsid w:val="00D60327"/>
    <w:rsid w:val="00D6097A"/>
    <w:rsid w:val="00D61334"/>
    <w:rsid w:val="00D615BA"/>
    <w:rsid w:val="00D61785"/>
    <w:rsid w:val="00D62BC2"/>
    <w:rsid w:val="00D62BE3"/>
    <w:rsid w:val="00D6324B"/>
    <w:rsid w:val="00D63346"/>
    <w:rsid w:val="00D63470"/>
    <w:rsid w:val="00D63C9C"/>
    <w:rsid w:val="00D63CBE"/>
    <w:rsid w:val="00D640A9"/>
    <w:rsid w:val="00D6412A"/>
    <w:rsid w:val="00D64FCC"/>
    <w:rsid w:val="00D65290"/>
    <w:rsid w:val="00D65516"/>
    <w:rsid w:val="00D657DA"/>
    <w:rsid w:val="00D65C93"/>
    <w:rsid w:val="00D65EEE"/>
    <w:rsid w:val="00D65F25"/>
    <w:rsid w:val="00D65FC0"/>
    <w:rsid w:val="00D66186"/>
    <w:rsid w:val="00D6652F"/>
    <w:rsid w:val="00D66B9C"/>
    <w:rsid w:val="00D66DC5"/>
    <w:rsid w:val="00D66DE0"/>
    <w:rsid w:val="00D66EF8"/>
    <w:rsid w:val="00D67128"/>
    <w:rsid w:val="00D67337"/>
    <w:rsid w:val="00D674C4"/>
    <w:rsid w:val="00D6772F"/>
    <w:rsid w:val="00D67EE6"/>
    <w:rsid w:val="00D70044"/>
    <w:rsid w:val="00D7251C"/>
    <w:rsid w:val="00D72523"/>
    <w:rsid w:val="00D7266D"/>
    <w:rsid w:val="00D72E49"/>
    <w:rsid w:val="00D72F02"/>
    <w:rsid w:val="00D72FF9"/>
    <w:rsid w:val="00D73765"/>
    <w:rsid w:val="00D739DB"/>
    <w:rsid w:val="00D73A9F"/>
    <w:rsid w:val="00D74033"/>
    <w:rsid w:val="00D7490B"/>
    <w:rsid w:val="00D74CD1"/>
    <w:rsid w:val="00D754F8"/>
    <w:rsid w:val="00D7563E"/>
    <w:rsid w:val="00D75E1F"/>
    <w:rsid w:val="00D75E9D"/>
    <w:rsid w:val="00D75EB3"/>
    <w:rsid w:val="00D75F53"/>
    <w:rsid w:val="00D7614D"/>
    <w:rsid w:val="00D76247"/>
    <w:rsid w:val="00D76760"/>
    <w:rsid w:val="00D76A55"/>
    <w:rsid w:val="00D77739"/>
    <w:rsid w:val="00D77F48"/>
    <w:rsid w:val="00D8043B"/>
    <w:rsid w:val="00D804E1"/>
    <w:rsid w:val="00D80B46"/>
    <w:rsid w:val="00D81349"/>
    <w:rsid w:val="00D81367"/>
    <w:rsid w:val="00D81AAC"/>
    <w:rsid w:val="00D82663"/>
    <w:rsid w:val="00D827E0"/>
    <w:rsid w:val="00D82A7D"/>
    <w:rsid w:val="00D83504"/>
    <w:rsid w:val="00D83763"/>
    <w:rsid w:val="00D8453C"/>
    <w:rsid w:val="00D852B4"/>
    <w:rsid w:val="00D8549D"/>
    <w:rsid w:val="00D858E3"/>
    <w:rsid w:val="00D85E92"/>
    <w:rsid w:val="00D86C32"/>
    <w:rsid w:val="00D874C4"/>
    <w:rsid w:val="00D877F3"/>
    <w:rsid w:val="00D87DF6"/>
    <w:rsid w:val="00D87FB6"/>
    <w:rsid w:val="00D90737"/>
    <w:rsid w:val="00D90BEF"/>
    <w:rsid w:val="00D91002"/>
    <w:rsid w:val="00D91FA5"/>
    <w:rsid w:val="00D92943"/>
    <w:rsid w:val="00D92A8A"/>
    <w:rsid w:val="00D92AB8"/>
    <w:rsid w:val="00D933A4"/>
    <w:rsid w:val="00D93D25"/>
    <w:rsid w:val="00D94188"/>
    <w:rsid w:val="00D94846"/>
    <w:rsid w:val="00D94EF4"/>
    <w:rsid w:val="00D95004"/>
    <w:rsid w:val="00D95370"/>
    <w:rsid w:val="00D95D20"/>
    <w:rsid w:val="00D95E92"/>
    <w:rsid w:val="00D9658D"/>
    <w:rsid w:val="00D96E25"/>
    <w:rsid w:val="00D96FEA"/>
    <w:rsid w:val="00D97911"/>
    <w:rsid w:val="00D97A11"/>
    <w:rsid w:val="00D97E6C"/>
    <w:rsid w:val="00DA0168"/>
    <w:rsid w:val="00DA040F"/>
    <w:rsid w:val="00DA0797"/>
    <w:rsid w:val="00DA0B2A"/>
    <w:rsid w:val="00DA0C12"/>
    <w:rsid w:val="00DA10B7"/>
    <w:rsid w:val="00DA173F"/>
    <w:rsid w:val="00DA1CA8"/>
    <w:rsid w:val="00DA1F38"/>
    <w:rsid w:val="00DA2213"/>
    <w:rsid w:val="00DA28DB"/>
    <w:rsid w:val="00DA29A1"/>
    <w:rsid w:val="00DA2E82"/>
    <w:rsid w:val="00DA35F8"/>
    <w:rsid w:val="00DA3D72"/>
    <w:rsid w:val="00DA447B"/>
    <w:rsid w:val="00DA5AAE"/>
    <w:rsid w:val="00DA5C42"/>
    <w:rsid w:val="00DA61F9"/>
    <w:rsid w:val="00DA66CF"/>
    <w:rsid w:val="00DA692E"/>
    <w:rsid w:val="00DA76A5"/>
    <w:rsid w:val="00DA7C98"/>
    <w:rsid w:val="00DA7FFD"/>
    <w:rsid w:val="00DB040F"/>
    <w:rsid w:val="00DB134A"/>
    <w:rsid w:val="00DB18E8"/>
    <w:rsid w:val="00DB1A45"/>
    <w:rsid w:val="00DB1EC3"/>
    <w:rsid w:val="00DB2302"/>
    <w:rsid w:val="00DB2544"/>
    <w:rsid w:val="00DB2984"/>
    <w:rsid w:val="00DB3015"/>
    <w:rsid w:val="00DB39D6"/>
    <w:rsid w:val="00DB41BC"/>
    <w:rsid w:val="00DB43A4"/>
    <w:rsid w:val="00DB4439"/>
    <w:rsid w:val="00DB48CD"/>
    <w:rsid w:val="00DB50C8"/>
    <w:rsid w:val="00DB5477"/>
    <w:rsid w:val="00DB553A"/>
    <w:rsid w:val="00DB578F"/>
    <w:rsid w:val="00DB5810"/>
    <w:rsid w:val="00DB5C84"/>
    <w:rsid w:val="00DB5FAA"/>
    <w:rsid w:val="00DB6B15"/>
    <w:rsid w:val="00DB6BD2"/>
    <w:rsid w:val="00DB6D8B"/>
    <w:rsid w:val="00DB7B77"/>
    <w:rsid w:val="00DB7C00"/>
    <w:rsid w:val="00DB7D6C"/>
    <w:rsid w:val="00DC008C"/>
    <w:rsid w:val="00DC06AA"/>
    <w:rsid w:val="00DC07A9"/>
    <w:rsid w:val="00DC115C"/>
    <w:rsid w:val="00DC135B"/>
    <w:rsid w:val="00DC1BDC"/>
    <w:rsid w:val="00DC1EE8"/>
    <w:rsid w:val="00DC236F"/>
    <w:rsid w:val="00DC32B2"/>
    <w:rsid w:val="00DC340D"/>
    <w:rsid w:val="00DC35E4"/>
    <w:rsid w:val="00DC36EA"/>
    <w:rsid w:val="00DC3764"/>
    <w:rsid w:val="00DC384B"/>
    <w:rsid w:val="00DC3E66"/>
    <w:rsid w:val="00DC40D0"/>
    <w:rsid w:val="00DC430F"/>
    <w:rsid w:val="00DC450A"/>
    <w:rsid w:val="00DC45BC"/>
    <w:rsid w:val="00DC4C14"/>
    <w:rsid w:val="00DC50A2"/>
    <w:rsid w:val="00DC55AC"/>
    <w:rsid w:val="00DC61C4"/>
    <w:rsid w:val="00DC6BDA"/>
    <w:rsid w:val="00DC6E30"/>
    <w:rsid w:val="00DC7C3C"/>
    <w:rsid w:val="00DD0218"/>
    <w:rsid w:val="00DD06FB"/>
    <w:rsid w:val="00DD07BE"/>
    <w:rsid w:val="00DD1237"/>
    <w:rsid w:val="00DD14E5"/>
    <w:rsid w:val="00DD163B"/>
    <w:rsid w:val="00DD1AC4"/>
    <w:rsid w:val="00DD2DE3"/>
    <w:rsid w:val="00DD2FCB"/>
    <w:rsid w:val="00DD44FB"/>
    <w:rsid w:val="00DD4544"/>
    <w:rsid w:val="00DD4999"/>
    <w:rsid w:val="00DD631F"/>
    <w:rsid w:val="00DD6E59"/>
    <w:rsid w:val="00DD723A"/>
    <w:rsid w:val="00DD74B9"/>
    <w:rsid w:val="00DD7912"/>
    <w:rsid w:val="00DE01FD"/>
    <w:rsid w:val="00DE069E"/>
    <w:rsid w:val="00DE0705"/>
    <w:rsid w:val="00DE0EE1"/>
    <w:rsid w:val="00DE1B2B"/>
    <w:rsid w:val="00DE1C15"/>
    <w:rsid w:val="00DE20FB"/>
    <w:rsid w:val="00DE2136"/>
    <w:rsid w:val="00DE24B1"/>
    <w:rsid w:val="00DE2C94"/>
    <w:rsid w:val="00DE2F69"/>
    <w:rsid w:val="00DE358B"/>
    <w:rsid w:val="00DE37B0"/>
    <w:rsid w:val="00DE4385"/>
    <w:rsid w:val="00DE46A4"/>
    <w:rsid w:val="00DE4AA1"/>
    <w:rsid w:val="00DE4D6E"/>
    <w:rsid w:val="00DE54FC"/>
    <w:rsid w:val="00DE5C81"/>
    <w:rsid w:val="00DE5E86"/>
    <w:rsid w:val="00DE616C"/>
    <w:rsid w:val="00DE6478"/>
    <w:rsid w:val="00DE6BE0"/>
    <w:rsid w:val="00DE74CB"/>
    <w:rsid w:val="00DF09E8"/>
    <w:rsid w:val="00DF0AEF"/>
    <w:rsid w:val="00DF0B44"/>
    <w:rsid w:val="00DF198E"/>
    <w:rsid w:val="00DF19F5"/>
    <w:rsid w:val="00DF2184"/>
    <w:rsid w:val="00DF21CB"/>
    <w:rsid w:val="00DF22A5"/>
    <w:rsid w:val="00DF24EB"/>
    <w:rsid w:val="00DF2538"/>
    <w:rsid w:val="00DF2B07"/>
    <w:rsid w:val="00DF2EDE"/>
    <w:rsid w:val="00DF31AD"/>
    <w:rsid w:val="00DF3B92"/>
    <w:rsid w:val="00DF3BD8"/>
    <w:rsid w:val="00DF3C72"/>
    <w:rsid w:val="00DF3ED5"/>
    <w:rsid w:val="00DF40E5"/>
    <w:rsid w:val="00DF453D"/>
    <w:rsid w:val="00DF47B0"/>
    <w:rsid w:val="00DF4BAA"/>
    <w:rsid w:val="00DF508E"/>
    <w:rsid w:val="00DF5979"/>
    <w:rsid w:val="00DF5A01"/>
    <w:rsid w:val="00DF5E6C"/>
    <w:rsid w:val="00DF6FC0"/>
    <w:rsid w:val="00DF706A"/>
    <w:rsid w:val="00DF779A"/>
    <w:rsid w:val="00DF7986"/>
    <w:rsid w:val="00DF7CE3"/>
    <w:rsid w:val="00E005BD"/>
    <w:rsid w:val="00E00672"/>
    <w:rsid w:val="00E0077D"/>
    <w:rsid w:val="00E0081D"/>
    <w:rsid w:val="00E008BF"/>
    <w:rsid w:val="00E01937"/>
    <w:rsid w:val="00E01A14"/>
    <w:rsid w:val="00E02050"/>
    <w:rsid w:val="00E025AA"/>
    <w:rsid w:val="00E0275E"/>
    <w:rsid w:val="00E02CC8"/>
    <w:rsid w:val="00E02FC5"/>
    <w:rsid w:val="00E03E19"/>
    <w:rsid w:val="00E04A7C"/>
    <w:rsid w:val="00E04B1F"/>
    <w:rsid w:val="00E04BFD"/>
    <w:rsid w:val="00E05F33"/>
    <w:rsid w:val="00E064B4"/>
    <w:rsid w:val="00E064CE"/>
    <w:rsid w:val="00E06E12"/>
    <w:rsid w:val="00E073A4"/>
    <w:rsid w:val="00E0777C"/>
    <w:rsid w:val="00E10391"/>
    <w:rsid w:val="00E10543"/>
    <w:rsid w:val="00E10D1B"/>
    <w:rsid w:val="00E11646"/>
    <w:rsid w:val="00E119B2"/>
    <w:rsid w:val="00E11BFA"/>
    <w:rsid w:val="00E121C8"/>
    <w:rsid w:val="00E12301"/>
    <w:rsid w:val="00E127D3"/>
    <w:rsid w:val="00E1294D"/>
    <w:rsid w:val="00E12DE6"/>
    <w:rsid w:val="00E12F56"/>
    <w:rsid w:val="00E134F2"/>
    <w:rsid w:val="00E1355D"/>
    <w:rsid w:val="00E1397C"/>
    <w:rsid w:val="00E1424C"/>
    <w:rsid w:val="00E14954"/>
    <w:rsid w:val="00E14DE3"/>
    <w:rsid w:val="00E14E1A"/>
    <w:rsid w:val="00E1517B"/>
    <w:rsid w:val="00E15362"/>
    <w:rsid w:val="00E15B03"/>
    <w:rsid w:val="00E15DA5"/>
    <w:rsid w:val="00E15E45"/>
    <w:rsid w:val="00E15E59"/>
    <w:rsid w:val="00E16117"/>
    <w:rsid w:val="00E16B3F"/>
    <w:rsid w:val="00E16B87"/>
    <w:rsid w:val="00E173A3"/>
    <w:rsid w:val="00E17A2B"/>
    <w:rsid w:val="00E20179"/>
    <w:rsid w:val="00E201D2"/>
    <w:rsid w:val="00E20801"/>
    <w:rsid w:val="00E20803"/>
    <w:rsid w:val="00E20A40"/>
    <w:rsid w:val="00E217D4"/>
    <w:rsid w:val="00E21D4B"/>
    <w:rsid w:val="00E21EA2"/>
    <w:rsid w:val="00E220D7"/>
    <w:rsid w:val="00E22543"/>
    <w:rsid w:val="00E22B25"/>
    <w:rsid w:val="00E22C90"/>
    <w:rsid w:val="00E23261"/>
    <w:rsid w:val="00E23BAB"/>
    <w:rsid w:val="00E24045"/>
    <w:rsid w:val="00E244D3"/>
    <w:rsid w:val="00E24A00"/>
    <w:rsid w:val="00E24A6B"/>
    <w:rsid w:val="00E24CBC"/>
    <w:rsid w:val="00E2531C"/>
    <w:rsid w:val="00E2578D"/>
    <w:rsid w:val="00E25DFE"/>
    <w:rsid w:val="00E26B2E"/>
    <w:rsid w:val="00E27BBD"/>
    <w:rsid w:val="00E27D42"/>
    <w:rsid w:val="00E27FB0"/>
    <w:rsid w:val="00E30BA5"/>
    <w:rsid w:val="00E3115B"/>
    <w:rsid w:val="00E311FC"/>
    <w:rsid w:val="00E31BDF"/>
    <w:rsid w:val="00E3218E"/>
    <w:rsid w:val="00E3236E"/>
    <w:rsid w:val="00E3262A"/>
    <w:rsid w:val="00E32BF7"/>
    <w:rsid w:val="00E32EB6"/>
    <w:rsid w:val="00E33223"/>
    <w:rsid w:val="00E33785"/>
    <w:rsid w:val="00E33BF7"/>
    <w:rsid w:val="00E33C95"/>
    <w:rsid w:val="00E33F32"/>
    <w:rsid w:val="00E3415F"/>
    <w:rsid w:val="00E34214"/>
    <w:rsid w:val="00E342B1"/>
    <w:rsid w:val="00E3474B"/>
    <w:rsid w:val="00E34C3B"/>
    <w:rsid w:val="00E358B1"/>
    <w:rsid w:val="00E368C8"/>
    <w:rsid w:val="00E36D82"/>
    <w:rsid w:val="00E36E81"/>
    <w:rsid w:val="00E371DD"/>
    <w:rsid w:val="00E3769B"/>
    <w:rsid w:val="00E37AF6"/>
    <w:rsid w:val="00E402BB"/>
    <w:rsid w:val="00E405E6"/>
    <w:rsid w:val="00E406D3"/>
    <w:rsid w:val="00E40C5C"/>
    <w:rsid w:val="00E40D54"/>
    <w:rsid w:val="00E40DC4"/>
    <w:rsid w:val="00E4150C"/>
    <w:rsid w:val="00E4167E"/>
    <w:rsid w:val="00E4183D"/>
    <w:rsid w:val="00E41CC9"/>
    <w:rsid w:val="00E41DC9"/>
    <w:rsid w:val="00E420DE"/>
    <w:rsid w:val="00E426A4"/>
    <w:rsid w:val="00E4300D"/>
    <w:rsid w:val="00E431E2"/>
    <w:rsid w:val="00E435D0"/>
    <w:rsid w:val="00E4377E"/>
    <w:rsid w:val="00E43E4C"/>
    <w:rsid w:val="00E4439A"/>
    <w:rsid w:val="00E44D81"/>
    <w:rsid w:val="00E44E7A"/>
    <w:rsid w:val="00E4514D"/>
    <w:rsid w:val="00E4517E"/>
    <w:rsid w:val="00E452BD"/>
    <w:rsid w:val="00E4531F"/>
    <w:rsid w:val="00E45A32"/>
    <w:rsid w:val="00E45AA4"/>
    <w:rsid w:val="00E4617F"/>
    <w:rsid w:val="00E46A6C"/>
    <w:rsid w:val="00E46A79"/>
    <w:rsid w:val="00E47891"/>
    <w:rsid w:val="00E501A8"/>
    <w:rsid w:val="00E50525"/>
    <w:rsid w:val="00E50679"/>
    <w:rsid w:val="00E514A7"/>
    <w:rsid w:val="00E51BCA"/>
    <w:rsid w:val="00E52333"/>
    <w:rsid w:val="00E5241C"/>
    <w:rsid w:val="00E53F71"/>
    <w:rsid w:val="00E54018"/>
    <w:rsid w:val="00E5434A"/>
    <w:rsid w:val="00E549F7"/>
    <w:rsid w:val="00E54CD4"/>
    <w:rsid w:val="00E5562A"/>
    <w:rsid w:val="00E557D9"/>
    <w:rsid w:val="00E55867"/>
    <w:rsid w:val="00E563F2"/>
    <w:rsid w:val="00E56644"/>
    <w:rsid w:val="00E5695A"/>
    <w:rsid w:val="00E56F70"/>
    <w:rsid w:val="00E57132"/>
    <w:rsid w:val="00E57A65"/>
    <w:rsid w:val="00E57A6B"/>
    <w:rsid w:val="00E57BB6"/>
    <w:rsid w:val="00E57BE4"/>
    <w:rsid w:val="00E57D7E"/>
    <w:rsid w:val="00E6020B"/>
    <w:rsid w:val="00E60258"/>
    <w:rsid w:val="00E61458"/>
    <w:rsid w:val="00E624E3"/>
    <w:rsid w:val="00E6255D"/>
    <w:rsid w:val="00E625AE"/>
    <w:rsid w:val="00E62BB1"/>
    <w:rsid w:val="00E640C9"/>
    <w:rsid w:val="00E640F7"/>
    <w:rsid w:val="00E6458A"/>
    <w:rsid w:val="00E64615"/>
    <w:rsid w:val="00E64E8B"/>
    <w:rsid w:val="00E65A47"/>
    <w:rsid w:val="00E65BC8"/>
    <w:rsid w:val="00E66023"/>
    <w:rsid w:val="00E666A1"/>
    <w:rsid w:val="00E666D7"/>
    <w:rsid w:val="00E6695A"/>
    <w:rsid w:val="00E66B1B"/>
    <w:rsid w:val="00E66EE6"/>
    <w:rsid w:val="00E670B1"/>
    <w:rsid w:val="00E6724E"/>
    <w:rsid w:val="00E674F2"/>
    <w:rsid w:val="00E702C6"/>
    <w:rsid w:val="00E7097D"/>
    <w:rsid w:val="00E71455"/>
    <w:rsid w:val="00E718E3"/>
    <w:rsid w:val="00E720B0"/>
    <w:rsid w:val="00E7274A"/>
    <w:rsid w:val="00E731E9"/>
    <w:rsid w:val="00E734F0"/>
    <w:rsid w:val="00E7356A"/>
    <w:rsid w:val="00E73F4B"/>
    <w:rsid w:val="00E74410"/>
    <w:rsid w:val="00E744F7"/>
    <w:rsid w:val="00E74689"/>
    <w:rsid w:val="00E74B83"/>
    <w:rsid w:val="00E7530B"/>
    <w:rsid w:val="00E753C6"/>
    <w:rsid w:val="00E75678"/>
    <w:rsid w:val="00E75C05"/>
    <w:rsid w:val="00E7636E"/>
    <w:rsid w:val="00E768E5"/>
    <w:rsid w:val="00E76949"/>
    <w:rsid w:val="00E76969"/>
    <w:rsid w:val="00E76DB1"/>
    <w:rsid w:val="00E80484"/>
    <w:rsid w:val="00E812F4"/>
    <w:rsid w:val="00E81429"/>
    <w:rsid w:val="00E8145A"/>
    <w:rsid w:val="00E817E7"/>
    <w:rsid w:val="00E81982"/>
    <w:rsid w:val="00E81BB5"/>
    <w:rsid w:val="00E821DE"/>
    <w:rsid w:val="00E824F9"/>
    <w:rsid w:val="00E8275F"/>
    <w:rsid w:val="00E8353E"/>
    <w:rsid w:val="00E83557"/>
    <w:rsid w:val="00E83599"/>
    <w:rsid w:val="00E83B33"/>
    <w:rsid w:val="00E83E58"/>
    <w:rsid w:val="00E84210"/>
    <w:rsid w:val="00E84C2D"/>
    <w:rsid w:val="00E851BA"/>
    <w:rsid w:val="00E8548E"/>
    <w:rsid w:val="00E85791"/>
    <w:rsid w:val="00E862A6"/>
    <w:rsid w:val="00E862B4"/>
    <w:rsid w:val="00E86549"/>
    <w:rsid w:val="00E86809"/>
    <w:rsid w:val="00E86EC5"/>
    <w:rsid w:val="00E86EF6"/>
    <w:rsid w:val="00E87082"/>
    <w:rsid w:val="00E8733F"/>
    <w:rsid w:val="00E87392"/>
    <w:rsid w:val="00E87525"/>
    <w:rsid w:val="00E87755"/>
    <w:rsid w:val="00E87BCB"/>
    <w:rsid w:val="00E87CA7"/>
    <w:rsid w:val="00E87CBB"/>
    <w:rsid w:val="00E90019"/>
    <w:rsid w:val="00E90740"/>
    <w:rsid w:val="00E90A6A"/>
    <w:rsid w:val="00E90B09"/>
    <w:rsid w:val="00E91210"/>
    <w:rsid w:val="00E91370"/>
    <w:rsid w:val="00E915B9"/>
    <w:rsid w:val="00E91641"/>
    <w:rsid w:val="00E91717"/>
    <w:rsid w:val="00E917AF"/>
    <w:rsid w:val="00E91AE9"/>
    <w:rsid w:val="00E92A13"/>
    <w:rsid w:val="00E92B8E"/>
    <w:rsid w:val="00E92C64"/>
    <w:rsid w:val="00E93AC2"/>
    <w:rsid w:val="00E93AC9"/>
    <w:rsid w:val="00E93C3E"/>
    <w:rsid w:val="00E93CFF"/>
    <w:rsid w:val="00E94B43"/>
    <w:rsid w:val="00E94C42"/>
    <w:rsid w:val="00E951B7"/>
    <w:rsid w:val="00E952D9"/>
    <w:rsid w:val="00E9545A"/>
    <w:rsid w:val="00E9549C"/>
    <w:rsid w:val="00E9566B"/>
    <w:rsid w:val="00E9576A"/>
    <w:rsid w:val="00E958E8"/>
    <w:rsid w:val="00E9612F"/>
    <w:rsid w:val="00E96A5E"/>
    <w:rsid w:val="00E973DB"/>
    <w:rsid w:val="00E97D7E"/>
    <w:rsid w:val="00EA03B8"/>
    <w:rsid w:val="00EA05CE"/>
    <w:rsid w:val="00EA0BD7"/>
    <w:rsid w:val="00EA0F8A"/>
    <w:rsid w:val="00EA13CB"/>
    <w:rsid w:val="00EA1CE1"/>
    <w:rsid w:val="00EA21F1"/>
    <w:rsid w:val="00EA289B"/>
    <w:rsid w:val="00EA29D0"/>
    <w:rsid w:val="00EA2BD4"/>
    <w:rsid w:val="00EA40B9"/>
    <w:rsid w:val="00EA44C0"/>
    <w:rsid w:val="00EA4B39"/>
    <w:rsid w:val="00EA4B7F"/>
    <w:rsid w:val="00EA542F"/>
    <w:rsid w:val="00EA5435"/>
    <w:rsid w:val="00EA551F"/>
    <w:rsid w:val="00EA5983"/>
    <w:rsid w:val="00EA5A38"/>
    <w:rsid w:val="00EA5A78"/>
    <w:rsid w:val="00EA60C0"/>
    <w:rsid w:val="00EA64EA"/>
    <w:rsid w:val="00EA6931"/>
    <w:rsid w:val="00EA6B10"/>
    <w:rsid w:val="00EA6B14"/>
    <w:rsid w:val="00EA6B51"/>
    <w:rsid w:val="00EA6CC6"/>
    <w:rsid w:val="00EA7593"/>
    <w:rsid w:val="00EA75D6"/>
    <w:rsid w:val="00EA7862"/>
    <w:rsid w:val="00EA7D86"/>
    <w:rsid w:val="00EA7D8E"/>
    <w:rsid w:val="00EA7E25"/>
    <w:rsid w:val="00EB01AA"/>
    <w:rsid w:val="00EB0578"/>
    <w:rsid w:val="00EB0D83"/>
    <w:rsid w:val="00EB0E34"/>
    <w:rsid w:val="00EB0F74"/>
    <w:rsid w:val="00EB1A3B"/>
    <w:rsid w:val="00EB1A8C"/>
    <w:rsid w:val="00EB1D9D"/>
    <w:rsid w:val="00EB2043"/>
    <w:rsid w:val="00EB20E0"/>
    <w:rsid w:val="00EB264C"/>
    <w:rsid w:val="00EB265F"/>
    <w:rsid w:val="00EB275A"/>
    <w:rsid w:val="00EB29DB"/>
    <w:rsid w:val="00EB2D3F"/>
    <w:rsid w:val="00EB3354"/>
    <w:rsid w:val="00EB3391"/>
    <w:rsid w:val="00EB3ACC"/>
    <w:rsid w:val="00EB3C29"/>
    <w:rsid w:val="00EB3C7F"/>
    <w:rsid w:val="00EB4050"/>
    <w:rsid w:val="00EB444A"/>
    <w:rsid w:val="00EB49BB"/>
    <w:rsid w:val="00EB4DD6"/>
    <w:rsid w:val="00EB53A2"/>
    <w:rsid w:val="00EB5F28"/>
    <w:rsid w:val="00EB6757"/>
    <w:rsid w:val="00EB67A0"/>
    <w:rsid w:val="00EB681E"/>
    <w:rsid w:val="00EB6E4C"/>
    <w:rsid w:val="00EB7026"/>
    <w:rsid w:val="00EB70A0"/>
    <w:rsid w:val="00EB71E6"/>
    <w:rsid w:val="00EB748E"/>
    <w:rsid w:val="00EB7905"/>
    <w:rsid w:val="00EB79A8"/>
    <w:rsid w:val="00EB7C2E"/>
    <w:rsid w:val="00EC070B"/>
    <w:rsid w:val="00EC093B"/>
    <w:rsid w:val="00EC1A3A"/>
    <w:rsid w:val="00EC1C2B"/>
    <w:rsid w:val="00EC290E"/>
    <w:rsid w:val="00EC317B"/>
    <w:rsid w:val="00EC3A9B"/>
    <w:rsid w:val="00EC3BD7"/>
    <w:rsid w:val="00EC3D44"/>
    <w:rsid w:val="00EC4E00"/>
    <w:rsid w:val="00EC4E36"/>
    <w:rsid w:val="00EC505D"/>
    <w:rsid w:val="00EC5530"/>
    <w:rsid w:val="00EC567E"/>
    <w:rsid w:val="00EC59F9"/>
    <w:rsid w:val="00EC647A"/>
    <w:rsid w:val="00EC654B"/>
    <w:rsid w:val="00EC6688"/>
    <w:rsid w:val="00EC675F"/>
    <w:rsid w:val="00EC6AAF"/>
    <w:rsid w:val="00EC6ABC"/>
    <w:rsid w:val="00EC6B24"/>
    <w:rsid w:val="00EC7037"/>
    <w:rsid w:val="00EC73FB"/>
    <w:rsid w:val="00EC7DC2"/>
    <w:rsid w:val="00ED0319"/>
    <w:rsid w:val="00ED052D"/>
    <w:rsid w:val="00ED06AF"/>
    <w:rsid w:val="00ED06FC"/>
    <w:rsid w:val="00ED09CE"/>
    <w:rsid w:val="00ED0BBB"/>
    <w:rsid w:val="00ED0C5D"/>
    <w:rsid w:val="00ED0DA1"/>
    <w:rsid w:val="00ED0DA7"/>
    <w:rsid w:val="00ED11B4"/>
    <w:rsid w:val="00ED1632"/>
    <w:rsid w:val="00ED21CA"/>
    <w:rsid w:val="00ED2477"/>
    <w:rsid w:val="00ED2CA3"/>
    <w:rsid w:val="00ED2EA6"/>
    <w:rsid w:val="00ED2F22"/>
    <w:rsid w:val="00ED3446"/>
    <w:rsid w:val="00ED34C9"/>
    <w:rsid w:val="00ED374F"/>
    <w:rsid w:val="00ED3C00"/>
    <w:rsid w:val="00ED4549"/>
    <w:rsid w:val="00ED554A"/>
    <w:rsid w:val="00ED593A"/>
    <w:rsid w:val="00ED5D8C"/>
    <w:rsid w:val="00ED6121"/>
    <w:rsid w:val="00ED657D"/>
    <w:rsid w:val="00ED68BF"/>
    <w:rsid w:val="00ED7228"/>
    <w:rsid w:val="00ED72DB"/>
    <w:rsid w:val="00ED7306"/>
    <w:rsid w:val="00ED73C4"/>
    <w:rsid w:val="00ED780F"/>
    <w:rsid w:val="00ED7C55"/>
    <w:rsid w:val="00ED7C99"/>
    <w:rsid w:val="00ED7D11"/>
    <w:rsid w:val="00EE033A"/>
    <w:rsid w:val="00EE0666"/>
    <w:rsid w:val="00EE0683"/>
    <w:rsid w:val="00EE0F85"/>
    <w:rsid w:val="00EE0FAE"/>
    <w:rsid w:val="00EE1146"/>
    <w:rsid w:val="00EE15B8"/>
    <w:rsid w:val="00EE1728"/>
    <w:rsid w:val="00EE1C4E"/>
    <w:rsid w:val="00EE1E9F"/>
    <w:rsid w:val="00EE2265"/>
    <w:rsid w:val="00EE22AF"/>
    <w:rsid w:val="00EE27EC"/>
    <w:rsid w:val="00EE2973"/>
    <w:rsid w:val="00EE2A5C"/>
    <w:rsid w:val="00EE2F76"/>
    <w:rsid w:val="00EE3654"/>
    <w:rsid w:val="00EE3CAF"/>
    <w:rsid w:val="00EE3E5E"/>
    <w:rsid w:val="00EE3EAC"/>
    <w:rsid w:val="00EE406C"/>
    <w:rsid w:val="00EE4419"/>
    <w:rsid w:val="00EE44CC"/>
    <w:rsid w:val="00EE4713"/>
    <w:rsid w:val="00EE4DB1"/>
    <w:rsid w:val="00EE584C"/>
    <w:rsid w:val="00EE5D0C"/>
    <w:rsid w:val="00EE6388"/>
    <w:rsid w:val="00EE64D7"/>
    <w:rsid w:val="00EE65F4"/>
    <w:rsid w:val="00EE6A3B"/>
    <w:rsid w:val="00EE79B8"/>
    <w:rsid w:val="00EE7C62"/>
    <w:rsid w:val="00EE7D51"/>
    <w:rsid w:val="00EE7DB8"/>
    <w:rsid w:val="00EF004C"/>
    <w:rsid w:val="00EF00C9"/>
    <w:rsid w:val="00EF02F3"/>
    <w:rsid w:val="00EF03FF"/>
    <w:rsid w:val="00EF1425"/>
    <w:rsid w:val="00EF1D32"/>
    <w:rsid w:val="00EF1E50"/>
    <w:rsid w:val="00EF2DA7"/>
    <w:rsid w:val="00EF2FAD"/>
    <w:rsid w:val="00EF327B"/>
    <w:rsid w:val="00EF3429"/>
    <w:rsid w:val="00EF442E"/>
    <w:rsid w:val="00EF4575"/>
    <w:rsid w:val="00EF458F"/>
    <w:rsid w:val="00EF4AFB"/>
    <w:rsid w:val="00EF4B9D"/>
    <w:rsid w:val="00EF4E75"/>
    <w:rsid w:val="00EF509A"/>
    <w:rsid w:val="00EF515E"/>
    <w:rsid w:val="00EF6285"/>
    <w:rsid w:val="00EF6B01"/>
    <w:rsid w:val="00EF6C09"/>
    <w:rsid w:val="00EF6E9D"/>
    <w:rsid w:val="00EF72FC"/>
    <w:rsid w:val="00EF757D"/>
    <w:rsid w:val="00EF7644"/>
    <w:rsid w:val="00EF7725"/>
    <w:rsid w:val="00EF772A"/>
    <w:rsid w:val="00EF7796"/>
    <w:rsid w:val="00F004F6"/>
    <w:rsid w:val="00F00981"/>
    <w:rsid w:val="00F00B84"/>
    <w:rsid w:val="00F010E1"/>
    <w:rsid w:val="00F0168C"/>
    <w:rsid w:val="00F01C56"/>
    <w:rsid w:val="00F027FB"/>
    <w:rsid w:val="00F02A36"/>
    <w:rsid w:val="00F0345A"/>
    <w:rsid w:val="00F03D4F"/>
    <w:rsid w:val="00F0437A"/>
    <w:rsid w:val="00F04554"/>
    <w:rsid w:val="00F046C6"/>
    <w:rsid w:val="00F04C52"/>
    <w:rsid w:val="00F050A7"/>
    <w:rsid w:val="00F058C0"/>
    <w:rsid w:val="00F05E64"/>
    <w:rsid w:val="00F05F62"/>
    <w:rsid w:val="00F06376"/>
    <w:rsid w:val="00F0645D"/>
    <w:rsid w:val="00F0654A"/>
    <w:rsid w:val="00F06964"/>
    <w:rsid w:val="00F07350"/>
    <w:rsid w:val="00F07427"/>
    <w:rsid w:val="00F0752A"/>
    <w:rsid w:val="00F077F6"/>
    <w:rsid w:val="00F0793A"/>
    <w:rsid w:val="00F1004E"/>
    <w:rsid w:val="00F106A7"/>
    <w:rsid w:val="00F109DC"/>
    <w:rsid w:val="00F11446"/>
    <w:rsid w:val="00F11BAD"/>
    <w:rsid w:val="00F11EA3"/>
    <w:rsid w:val="00F11F76"/>
    <w:rsid w:val="00F1243A"/>
    <w:rsid w:val="00F124B9"/>
    <w:rsid w:val="00F1266B"/>
    <w:rsid w:val="00F12FF9"/>
    <w:rsid w:val="00F13313"/>
    <w:rsid w:val="00F134DB"/>
    <w:rsid w:val="00F138C5"/>
    <w:rsid w:val="00F141BF"/>
    <w:rsid w:val="00F14579"/>
    <w:rsid w:val="00F14888"/>
    <w:rsid w:val="00F14E55"/>
    <w:rsid w:val="00F15022"/>
    <w:rsid w:val="00F152AA"/>
    <w:rsid w:val="00F1548B"/>
    <w:rsid w:val="00F154A2"/>
    <w:rsid w:val="00F155F4"/>
    <w:rsid w:val="00F15BA2"/>
    <w:rsid w:val="00F15C91"/>
    <w:rsid w:val="00F16021"/>
    <w:rsid w:val="00F1620D"/>
    <w:rsid w:val="00F163A3"/>
    <w:rsid w:val="00F163CC"/>
    <w:rsid w:val="00F168BC"/>
    <w:rsid w:val="00F16D05"/>
    <w:rsid w:val="00F16E1B"/>
    <w:rsid w:val="00F16EA1"/>
    <w:rsid w:val="00F17214"/>
    <w:rsid w:val="00F17332"/>
    <w:rsid w:val="00F174AC"/>
    <w:rsid w:val="00F179A3"/>
    <w:rsid w:val="00F17B2C"/>
    <w:rsid w:val="00F2002A"/>
    <w:rsid w:val="00F2041F"/>
    <w:rsid w:val="00F20AA8"/>
    <w:rsid w:val="00F21FFB"/>
    <w:rsid w:val="00F222C5"/>
    <w:rsid w:val="00F22865"/>
    <w:rsid w:val="00F2286E"/>
    <w:rsid w:val="00F22B32"/>
    <w:rsid w:val="00F23432"/>
    <w:rsid w:val="00F23747"/>
    <w:rsid w:val="00F23913"/>
    <w:rsid w:val="00F23B2C"/>
    <w:rsid w:val="00F2487A"/>
    <w:rsid w:val="00F24ABC"/>
    <w:rsid w:val="00F24D29"/>
    <w:rsid w:val="00F2534B"/>
    <w:rsid w:val="00F256C1"/>
    <w:rsid w:val="00F256F6"/>
    <w:rsid w:val="00F260CF"/>
    <w:rsid w:val="00F262A0"/>
    <w:rsid w:val="00F266FC"/>
    <w:rsid w:val="00F26A13"/>
    <w:rsid w:val="00F26C2B"/>
    <w:rsid w:val="00F26EB2"/>
    <w:rsid w:val="00F274C2"/>
    <w:rsid w:val="00F27731"/>
    <w:rsid w:val="00F27AFD"/>
    <w:rsid w:val="00F27C8A"/>
    <w:rsid w:val="00F304A5"/>
    <w:rsid w:val="00F30774"/>
    <w:rsid w:val="00F30B2C"/>
    <w:rsid w:val="00F315BC"/>
    <w:rsid w:val="00F316DD"/>
    <w:rsid w:val="00F3187E"/>
    <w:rsid w:val="00F32115"/>
    <w:rsid w:val="00F32436"/>
    <w:rsid w:val="00F32976"/>
    <w:rsid w:val="00F32C74"/>
    <w:rsid w:val="00F33866"/>
    <w:rsid w:val="00F33AB3"/>
    <w:rsid w:val="00F34A61"/>
    <w:rsid w:val="00F34CB9"/>
    <w:rsid w:val="00F35188"/>
    <w:rsid w:val="00F35226"/>
    <w:rsid w:val="00F354D0"/>
    <w:rsid w:val="00F35740"/>
    <w:rsid w:val="00F35C21"/>
    <w:rsid w:val="00F35DA4"/>
    <w:rsid w:val="00F35DA6"/>
    <w:rsid w:val="00F35E60"/>
    <w:rsid w:val="00F362E2"/>
    <w:rsid w:val="00F3635C"/>
    <w:rsid w:val="00F364F6"/>
    <w:rsid w:val="00F36822"/>
    <w:rsid w:val="00F36CDE"/>
    <w:rsid w:val="00F3785F"/>
    <w:rsid w:val="00F4027C"/>
    <w:rsid w:val="00F40A4A"/>
    <w:rsid w:val="00F41403"/>
    <w:rsid w:val="00F417E1"/>
    <w:rsid w:val="00F419C7"/>
    <w:rsid w:val="00F41A25"/>
    <w:rsid w:val="00F41CD8"/>
    <w:rsid w:val="00F41F84"/>
    <w:rsid w:val="00F420A8"/>
    <w:rsid w:val="00F420E5"/>
    <w:rsid w:val="00F427D4"/>
    <w:rsid w:val="00F42913"/>
    <w:rsid w:val="00F4303C"/>
    <w:rsid w:val="00F437BC"/>
    <w:rsid w:val="00F43836"/>
    <w:rsid w:val="00F43957"/>
    <w:rsid w:val="00F43B57"/>
    <w:rsid w:val="00F44424"/>
    <w:rsid w:val="00F44AD9"/>
    <w:rsid w:val="00F44B9D"/>
    <w:rsid w:val="00F44F71"/>
    <w:rsid w:val="00F459C3"/>
    <w:rsid w:val="00F45C14"/>
    <w:rsid w:val="00F45C20"/>
    <w:rsid w:val="00F45C8C"/>
    <w:rsid w:val="00F46104"/>
    <w:rsid w:val="00F46924"/>
    <w:rsid w:val="00F46DE5"/>
    <w:rsid w:val="00F46ECC"/>
    <w:rsid w:val="00F46F29"/>
    <w:rsid w:val="00F4713C"/>
    <w:rsid w:val="00F50752"/>
    <w:rsid w:val="00F5082F"/>
    <w:rsid w:val="00F50837"/>
    <w:rsid w:val="00F50DB4"/>
    <w:rsid w:val="00F519EF"/>
    <w:rsid w:val="00F51D1D"/>
    <w:rsid w:val="00F51DDA"/>
    <w:rsid w:val="00F51F42"/>
    <w:rsid w:val="00F52048"/>
    <w:rsid w:val="00F5230D"/>
    <w:rsid w:val="00F52D5E"/>
    <w:rsid w:val="00F532AC"/>
    <w:rsid w:val="00F53377"/>
    <w:rsid w:val="00F53A4F"/>
    <w:rsid w:val="00F53CBE"/>
    <w:rsid w:val="00F53CE6"/>
    <w:rsid w:val="00F5414C"/>
    <w:rsid w:val="00F5416A"/>
    <w:rsid w:val="00F547A1"/>
    <w:rsid w:val="00F5492F"/>
    <w:rsid w:val="00F55141"/>
    <w:rsid w:val="00F55501"/>
    <w:rsid w:val="00F55D6E"/>
    <w:rsid w:val="00F55FEF"/>
    <w:rsid w:val="00F560FD"/>
    <w:rsid w:val="00F5644C"/>
    <w:rsid w:val="00F5651E"/>
    <w:rsid w:val="00F56728"/>
    <w:rsid w:val="00F569FE"/>
    <w:rsid w:val="00F56B66"/>
    <w:rsid w:val="00F56C65"/>
    <w:rsid w:val="00F56E56"/>
    <w:rsid w:val="00F56F6F"/>
    <w:rsid w:val="00F57924"/>
    <w:rsid w:val="00F6001B"/>
    <w:rsid w:val="00F6074B"/>
    <w:rsid w:val="00F609F1"/>
    <w:rsid w:val="00F609F6"/>
    <w:rsid w:val="00F60D7F"/>
    <w:rsid w:val="00F61D1F"/>
    <w:rsid w:val="00F6243F"/>
    <w:rsid w:val="00F626AC"/>
    <w:rsid w:val="00F629DA"/>
    <w:rsid w:val="00F62A15"/>
    <w:rsid w:val="00F637E0"/>
    <w:rsid w:val="00F63972"/>
    <w:rsid w:val="00F63F72"/>
    <w:rsid w:val="00F64029"/>
    <w:rsid w:val="00F6402F"/>
    <w:rsid w:val="00F65377"/>
    <w:rsid w:val="00F654C8"/>
    <w:rsid w:val="00F65BED"/>
    <w:rsid w:val="00F65CFD"/>
    <w:rsid w:val="00F66388"/>
    <w:rsid w:val="00F665A2"/>
    <w:rsid w:val="00F66A0C"/>
    <w:rsid w:val="00F66D31"/>
    <w:rsid w:val="00F67721"/>
    <w:rsid w:val="00F67CA2"/>
    <w:rsid w:val="00F706E9"/>
    <w:rsid w:val="00F70CCE"/>
    <w:rsid w:val="00F71025"/>
    <w:rsid w:val="00F719ED"/>
    <w:rsid w:val="00F724D9"/>
    <w:rsid w:val="00F72F6E"/>
    <w:rsid w:val="00F733A4"/>
    <w:rsid w:val="00F73934"/>
    <w:rsid w:val="00F73EB6"/>
    <w:rsid w:val="00F74139"/>
    <w:rsid w:val="00F74D8D"/>
    <w:rsid w:val="00F75192"/>
    <w:rsid w:val="00F757CA"/>
    <w:rsid w:val="00F75879"/>
    <w:rsid w:val="00F75C70"/>
    <w:rsid w:val="00F760B8"/>
    <w:rsid w:val="00F76342"/>
    <w:rsid w:val="00F7645F"/>
    <w:rsid w:val="00F767DB"/>
    <w:rsid w:val="00F7691D"/>
    <w:rsid w:val="00F770BF"/>
    <w:rsid w:val="00F779B6"/>
    <w:rsid w:val="00F77F0E"/>
    <w:rsid w:val="00F802F6"/>
    <w:rsid w:val="00F8035F"/>
    <w:rsid w:val="00F804E7"/>
    <w:rsid w:val="00F8144D"/>
    <w:rsid w:val="00F814F1"/>
    <w:rsid w:val="00F81A36"/>
    <w:rsid w:val="00F81C52"/>
    <w:rsid w:val="00F82041"/>
    <w:rsid w:val="00F82249"/>
    <w:rsid w:val="00F82B11"/>
    <w:rsid w:val="00F832EB"/>
    <w:rsid w:val="00F8369D"/>
    <w:rsid w:val="00F83B17"/>
    <w:rsid w:val="00F842B7"/>
    <w:rsid w:val="00F8468B"/>
    <w:rsid w:val="00F84F1E"/>
    <w:rsid w:val="00F858C3"/>
    <w:rsid w:val="00F86242"/>
    <w:rsid w:val="00F862AF"/>
    <w:rsid w:val="00F86658"/>
    <w:rsid w:val="00F86B48"/>
    <w:rsid w:val="00F86B49"/>
    <w:rsid w:val="00F8714C"/>
    <w:rsid w:val="00F8730D"/>
    <w:rsid w:val="00F87433"/>
    <w:rsid w:val="00F87636"/>
    <w:rsid w:val="00F90183"/>
    <w:rsid w:val="00F904A8"/>
    <w:rsid w:val="00F90627"/>
    <w:rsid w:val="00F9086E"/>
    <w:rsid w:val="00F90ACA"/>
    <w:rsid w:val="00F914BC"/>
    <w:rsid w:val="00F91BEB"/>
    <w:rsid w:val="00F91C4B"/>
    <w:rsid w:val="00F924E0"/>
    <w:rsid w:val="00F925FD"/>
    <w:rsid w:val="00F926B1"/>
    <w:rsid w:val="00F928F1"/>
    <w:rsid w:val="00F92B56"/>
    <w:rsid w:val="00F92BC9"/>
    <w:rsid w:val="00F92C97"/>
    <w:rsid w:val="00F92ECF"/>
    <w:rsid w:val="00F94078"/>
    <w:rsid w:val="00F94817"/>
    <w:rsid w:val="00F94CB8"/>
    <w:rsid w:val="00F94D3B"/>
    <w:rsid w:val="00F9541D"/>
    <w:rsid w:val="00F9559D"/>
    <w:rsid w:val="00F95654"/>
    <w:rsid w:val="00F96BC4"/>
    <w:rsid w:val="00F96C56"/>
    <w:rsid w:val="00F96E56"/>
    <w:rsid w:val="00F96F99"/>
    <w:rsid w:val="00F97935"/>
    <w:rsid w:val="00F97C80"/>
    <w:rsid w:val="00FA02B9"/>
    <w:rsid w:val="00FA09CF"/>
    <w:rsid w:val="00FA1288"/>
    <w:rsid w:val="00FA13FA"/>
    <w:rsid w:val="00FA1D86"/>
    <w:rsid w:val="00FA2001"/>
    <w:rsid w:val="00FA2540"/>
    <w:rsid w:val="00FA2BDF"/>
    <w:rsid w:val="00FA2EB8"/>
    <w:rsid w:val="00FA35D9"/>
    <w:rsid w:val="00FA3AD2"/>
    <w:rsid w:val="00FA431D"/>
    <w:rsid w:val="00FA4476"/>
    <w:rsid w:val="00FA4609"/>
    <w:rsid w:val="00FA4953"/>
    <w:rsid w:val="00FA4B86"/>
    <w:rsid w:val="00FA5663"/>
    <w:rsid w:val="00FA5BBA"/>
    <w:rsid w:val="00FA62E6"/>
    <w:rsid w:val="00FA6305"/>
    <w:rsid w:val="00FA6386"/>
    <w:rsid w:val="00FA6464"/>
    <w:rsid w:val="00FA6517"/>
    <w:rsid w:val="00FA6733"/>
    <w:rsid w:val="00FA67D6"/>
    <w:rsid w:val="00FA6D76"/>
    <w:rsid w:val="00FA6DF3"/>
    <w:rsid w:val="00FA7324"/>
    <w:rsid w:val="00FB132F"/>
    <w:rsid w:val="00FB181C"/>
    <w:rsid w:val="00FB1E30"/>
    <w:rsid w:val="00FB2424"/>
    <w:rsid w:val="00FB3044"/>
    <w:rsid w:val="00FB3BF8"/>
    <w:rsid w:val="00FB3CF5"/>
    <w:rsid w:val="00FB3ECC"/>
    <w:rsid w:val="00FB41ED"/>
    <w:rsid w:val="00FB5062"/>
    <w:rsid w:val="00FB50E6"/>
    <w:rsid w:val="00FB51F4"/>
    <w:rsid w:val="00FB586F"/>
    <w:rsid w:val="00FB5CA7"/>
    <w:rsid w:val="00FB60A3"/>
    <w:rsid w:val="00FB634B"/>
    <w:rsid w:val="00FB6B54"/>
    <w:rsid w:val="00FB6C89"/>
    <w:rsid w:val="00FB6EAA"/>
    <w:rsid w:val="00FB76D8"/>
    <w:rsid w:val="00FB7E45"/>
    <w:rsid w:val="00FB7F59"/>
    <w:rsid w:val="00FB7FDF"/>
    <w:rsid w:val="00FC0191"/>
    <w:rsid w:val="00FC06FB"/>
    <w:rsid w:val="00FC09EF"/>
    <w:rsid w:val="00FC0DA7"/>
    <w:rsid w:val="00FC0F4F"/>
    <w:rsid w:val="00FC10D2"/>
    <w:rsid w:val="00FC11A6"/>
    <w:rsid w:val="00FC2684"/>
    <w:rsid w:val="00FC279B"/>
    <w:rsid w:val="00FC2AA7"/>
    <w:rsid w:val="00FC2F0D"/>
    <w:rsid w:val="00FC3107"/>
    <w:rsid w:val="00FC3DE0"/>
    <w:rsid w:val="00FC3F15"/>
    <w:rsid w:val="00FC46D6"/>
    <w:rsid w:val="00FC4A18"/>
    <w:rsid w:val="00FC4A2B"/>
    <w:rsid w:val="00FC4E81"/>
    <w:rsid w:val="00FC4F78"/>
    <w:rsid w:val="00FC546B"/>
    <w:rsid w:val="00FC59F9"/>
    <w:rsid w:val="00FC5B51"/>
    <w:rsid w:val="00FC5E4F"/>
    <w:rsid w:val="00FC61BD"/>
    <w:rsid w:val="00FC6364"/>
    <w:rsid w:val="00FC678E"/>
    <w:rsid w:val="00FC6BC6"/>
    <w:rsid w:val="00FC6EE1"/>
    <w:rsid w:val="00FC7383"/>
    <w:rsid w:val="00FC78C7"/>
    <w:rsid w:val="00FC7AE7"/>
    <w:rsid w:val="00FD0119"/>
    <w:rsid w:val="00FD01B6"/>
    <w:rsid w:val="00FD01CA"/>
    <w:rsid w:val="00FD071F"/>
    <w:rsid w:val="00FD0B87"/>
    <w:rsid w:val="00FD1635"/>
    <w:rsid w:val="00FD1705"/>
    <w:rsid w:val="00FD17B8"/>
    <w:rsid w:val="00FD18DB"/>
    <w:rsid w:val="00FD1B2A"/>
    <w:rsid w:val="00FD1B7C"/>
    <w:rsid w:val="00FD1BFC"/>
    <w:rsid w:val="00FD1EC0"/>
    <w:rsid w:val="00FD26B6"/>
    <w:rsid w:val="00FD27CC"/>
    <w:rsid w:val="00FD2DC7"/>
    <w:rsid w:val="00FD3055"/>
    <w:rsid w:val="00FD3294"/>
    <w:rsid w:val="00FD3398"/>
    <w:rsid w:val="00FD3495"/>
    <w:rsid w:val="00FD3950"/>
    <w:rsid w:val="00FD3BA9"/>
    <w:rsid w:val="00FD4588"/>
    <w:rsid w:val="00FD4AA6"/>
    <w:rsid w:val="00FD4B1B"/>
    <w:rsid w:val="00FD4F11"/>
    <w:rsid w:val="00FD5107"/>
    <w:rsid w:val="00FD5167"/>
    <w:rsid w:val="00FD581E"/>
    <w:rsid w:val="00FD5962"/>
    <w:rsid w:val="00FD5B55"/>
    <w:rsid w:val="00FD5CEC"/>
    <w:rsid w:val="00FD6237"/>
    <w:rsid w:val="00FD6321"/>
    <w:rsid w:val="00FD6677"/>
    <w:rsid w:val="00FD67C6"/>
    <w:rsid w:val="00FD69BD"/>
    <w:rsid w:val="00FD7034"/>
    <w:rsid w:val="00FD7059"/>
    <w:rsid w:val="00FD7063"/>
    <w:rsid w:val="00FD774D"/>
    <w:rsid w:val="00FD7EE5"/>
    <w:rsid w:val="00FD7F3E"/>
    <w:rsid w:val="00FE05DB"/>
    <w:rsid w:val="00FE0ACA"/>
    <w:rsid w:val="00FE0C2B"/>
    <w:rsid w:val="00FE1143"/>
    <w:rsid w:val="00FE1D9C"/>
    <w:rsid w:val="00FE226A"/>
    <w:rsid w:val="00FE2D31"/>
    <w:rsid w:val="00FE2D33"/>
    <w:rsid w:val="00FE3A77"/>
    <w:rsid w:val="00FE4005"/>
    <w:rsid w:val="00FE4125"/>
    <w:rsid w:val="00FE4AFF"/>
    <w:rsid w:val="00FE4E79"/>
    <w:rsid w:val="00FE50E8"/>
    <w:rsid w:val="00FE5169"/>
    <w:rsid w:val="00FE5336"/>
    <w:rsid w:val="00FE59A2"/>
    <w:rsid w:val="00FE5BD5"/>
    <w:rsid w:val="00FE5D59"/>
    <w:rsid w:val="00FE6315"/>
    <w:rsid w:val="00FE644A"/>
    <w:rsid w:val="00FE7315"/>
    <w:rsid w:val="00FE7367"/>
    <w:rsid w:val="00FE7EBD"/>
    <w:rsid w:val="00FF068E"/>
    <w:rsid w:val="00FF08EF"/>
    <w:rsid w:val="00FF0A74"/>
    <w:rsid w:val="00FF0CA3"/>
    <w:rsid w:val="00FF227A"/>
    <w:rsid w:val="00FF2563"/>
    <w:rsid w:val="00FF2619"/>
    <w:rsid w:val="00FF2789"/>
    <w:rsid w:val="00FF3283"/>
    <w:rsid w:val="00FF39F7"/>
    <w:rsid w:val="00FF3E97"/>
    <w:rsid w:val="00FF3F69"/>
    <w:rsid w:val="00FF4286"/>
    <w:rsid w:val="00FF47C1"/>
    <w:rsid w:val="00FF5255"/>
    <w:rsid w:val="00FF593D"/>
    <w:rsid w:val="00FF5E97"/>
    <w:rsid w:val="00FF5EF3"/>
    <w:rsid w:val="00FF6273"/>
    <w:rsid w:val="00FF6848"/>
    <w:rsid w:val="00FF6A13"/>
    <w:rsid w:val="00FF6AE3"/>
    <w:rsid w:val="00FF6C6D"/>
    <w:rsid w:val="00FF6EF7"/>
    <w:rsid w:val="00FF75DA"/>
    <w:rsid w:val="00FF7D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6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078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C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C42"/>
    <w:rPr>
      <w:sz w:val="20"/>
      <w:szCs w:val="20"/>
    </w:rPr>
  </w:style>
  <w:style w:type="character" w:styleId="FootnoteReference">
    <w:name w:val="footnote reference"/>
    <w:basedOn w:val="DefaultParagraphFont"/>
    <w:uiPriority w:val="99"/>
    <w:semiHidden/>
    <w:unhideWhenUsed/>
    <w:rsid w:val="00DA5C42"/>
    <w:rPr>
      <w:sz w:val="26"/>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paragraph" w:styleId="ListParagraph">
    <w:name w:val="List Paragraph"/>
    <w:basedOn w:val="Normal"/>
    <w:uiPriority w:val="34"/>
    <w:qFormat/>
    <w:rsid w:val="00C173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173C0"/>
    <w:rPr>
      <w:color w:val="0000FF"/>
      <w:u w:val="single"/>
    </w:rPr>
  </w:style>
  <w:style w:type="character" w:styleId="Emphasis">
    <w:name w:val="Emphasis"/>
    <w:basedOn w:val="DefaultParagraphFont"/>
    <w:uiPriority w:val="20"/>
    <w:qFormat/>
    <w:rsid w:val="00C173C0"/>
    <w:rPr>
      <w:i/>
      <w:iCs/>
    </w:rPr>
  </w:style>
  <w:style w:type="paragraph" w:styleId="BalloonText">
    <w:name w:val="Balloon Text"/>
    <w:basedOn w:val="Normal"/>
    <w:link w:val="BalloonTextChar"/>
    <w:uiPriority w:val="99"/>
    <w:semiHidden/>
    <w:unhideWhenUsed/>
    <w:rsid w:val="0031352A"/>
    <w:rPr>
      <w:rFonts w:eastAsiaTheme="minorHAnsi"/>
      <w:sz w:val="18"/>
      <w:szCs w:val="18"/>
    </w:rPr>
  </w:style>
  <w:style w:type="character" w:customStyle="1" w:styleId="BalloonTextChar">
    <w:name w:val="Balloon Text Char"/>
    <w:basedOn w:val="DefaultParagraphFont"/>
    <w:link w:val="BalloonText"/>
    <w:uiPriority w:val="99"/>
    <w:semiHidden/>
    <w:rsid w:val="0031352A"/>
    <w:rPr>
      <w:rFonts w:ascii="Times New Roman" w:hAnsi="Times New Roman" w:cs="Times New Roman"/>
      <w:sz w:val="18"/>
      <w:szCs w:val="18"/>
    </w:rPr>
  </w:style>
  <w:style w:type="character" w:customStyle="1" w:styleId="Heading6Char">
    <w:name w:val="Heading 6 Char"/>
    <w:basedOn w:val="DefaultParagraphFont"/>
    <w:link w:val="Heading6"/>
    <w:uiPriority w:val="9"/>
    <w:rsid w:val="00C078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07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3/28/2024</vt:lpstr>
    </vt:vector>
  </TitlesOfParts>
  <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2024-03-29T15:35:46Z</dcterms:created>
  <dcterms:modified xsi:type="dcterms:W3CDTF">2024-03-29T15:35:46Z</dcterms:modified>
</cp:coreProperties>
</file>