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2B21D" w14:textId="7855D5B9" w:rsidR="00C93C96" w:rsidRPr="00C93C96" w:rsidRDefault="00C627BF" w:rsidP="00C93C96">
      <w:pPr>
        <w:tabs>
          <w:tab w:val="left" w:pos="6030"/>
        </w:tabs>
        <w:spacing w:line="240" w:lineRule="exact"/>
        <w:ind w:right="-446"/>
        <w:rPr>
          <w:rFonts w:eastAsia="Century Schoolbook" w:cs="Century Schoolbook"/>
          <w:bCs/>
          <w:sz w:val="20"/>
          <w:szCs w:val="20"/>
        </w:rPr>
      </w:pPr>
      <w:r>
        <w:rPr>
          <w:rFonts w:eastAsia="Century Schoolbook" w:cs="Century Schoolbook"/>
          <w:bCs/>
          <w:sz w:val="20"/>
          <w:szCs w:val="20"/>
        </w:rPr>
        <w:t>Filed 5/1/24</w:t>
      </w:r>
      <w:r w:rsidR="004E26E3">
        <w:rPr>
          <w:rFonts w:eastAsia="Century Schoolbook" w:cs="Century Schoolbook"/>
          <w:bCs/>
          <w:sz w:val="20"/>
          <w:szCs w:val="20"/>
        </w:rPr>
        <w:t>; Certified for Publication 5/22/24 CA2/8</w:t>
      </w:r>
    </w:p>
    <w:p w14:paraId="07D72101" w14:textId="77777777" w:rsidR="00417E8F" w:rsidRDefault="00417E8F">
      <w:pPr>
        <w:jc w:val="center"/>
        <w:rPr>
          <w:rFonts w:eastAsia="Century Schoolbook" w:cs="Century Schoolbook"/>
          <w:b/>
          <w:szCs w:val="26"/>
        </w:rPr>
      </w:pPr>
    </w:p>
    <w:p w14:paraId="2B170AE0" w14:textId="77777777" w:rsidR="004E26E3" w:rsidRDefault="004E26E3">
      <w:pPr>
        <w:jc w:val="center"/>
        <w:rPr>
          <w:rFonts w:eastAsia="Century Schoolbook" w:cs="Century Schoolbook"/>
          <w:b/>
          <w:szCs w:val="26"/>
        </w:rPr>
      </w:pPr>
    </w:p>
    <w:p w14:paraId="2A80DD59" w14:textId="77777777" w:rsidR="004E26E3" w:rsidRDefault="004E26E3">
      <w:pPr>
        <w:jc w:val="center"/>
        <w:rPr>
          <w:rFonts w:eastAsia="Century Schoolbook" w:cs="Century Schoolbook"/>
          <w:b/>
          <w:szCs w:val="26"/>
        </w:rPr>
      </w:pPr>
    </w:p>
    <w:p w14:paraId="53E9C3E4" w14:textId="77777777" w:rsidR="004E26E3" w:rsidRDefault="004E26E3" w:rsidP="004E26E3">
      <w:pPr>
        <w:rPr>
          <w:rFonts w:ascii="Calibri" w:hAnsi="Calibri" w:cs="Calibri"/>
        </w:rPr>
      </w:pPr>
    </w:p>
    <w:p w14:paraId="6319CC59" w14:textId="77777777" w:rsidR="00417E8F" w:rsidRDefault="00C627BF" w:rsidP="00730429">
      <w:pPr>
        <w:spacing w:line="240" w:lineRule="auto"/>
        <w:jc w:val="center"/>
        <w:rPr>
          <w:rFonts w:eastAsia="Century Schoolbook" w:cs="Century Schoolbook"/>
          <w:szCs w:val="26"/>
        </w:rPr>
      </w:pPr>
      <w:r>
        <w:rPr>
          <w:rFonts w:eastAsia="Century Schoolbook" w:cs="Century Schoolbook"/>
          <w:szCs w:val="26"/>
        </w:rPr>
        <w:t>IN THE COURT OF APPEAL OF THE STATE OF CALIFORNIA</w:t>
      </w:r>
    </w:p>
    <w:p w14:paraId="6FC159E1" w14:textId="77777777" w:rsidR="00417E8F" w:rsidRDefault="00417E8F" w:rsidP="00730429">
      <w:pPr>
        <w:spacing w:line="240" w:lineRule="auto"/>
        <w:jc w:val="center"/>
        <w:rPr>
          <w:rFonts w:eastAsia="Century Schoolbook" w:cs="Century Schoolbook"/>
          <w:szCs w:val="26"/>
        </w:rPr>
      </w:pPr>
    </w:p>
    <w:p w14:paraId="67A20DFD" w14:textId="77777777" w:rsidR="00417E8F" w:rsidRDefault="00C627BF" w:rsidP="00730429">
      <w:pPr>
        <w:spacing w:line="240" w:lineRule="auto"/>
        <w:jc w:val="center"/>
        <w:rPr>
          <w:rFonts w:eastAsia="Century Schoolbook" w:cs="Century Schoolbook"/>
          <w:szCs w:val="26"/>
        </w:rPr>
      </w:pPr>
      <w:r>
        <w:rPr>
          <w:rFonts w:eastAsia="Century Schoolbook" w:cs="Century Schoolbook"/>
          <w:szCs w:val="26"/>
        </w:rPr>
        <w:t>SECOND APPELLATE DISTRICT</w:t>
      </w:r>
    </w:p>
    <w:p w14:paraId="4EFF897D" w14:textId="77777777" w:rsidR="00417E8F" w:rsidRDefault="00417E8F" w:rsidP="00730429">
      <w:pPr>
        <w:spacing w:line="240" w:lineRule="auto"/>
        <w:jc w:val="center"/>
        <w:rPr>
          <w:rFonts w:eastAsia="Century Schoolbook" w:cs="Century Schoolbook"/>
          <w:szCs w:val="26"/>
        </w:rPr>
      </w:pPr>
    </w:p>
    <w:p w14:paraId="3C4A4D70" w14:textId="77777777" w:rsidR="00417E8F" w:rsidRDefault="00C627BF" w:rsidP="00730429">
      <w:pPr>
        <w:spacing w:line="240" w:lineRule="auto"/>
        <w:jc w:val="center"/>
        <w:rPr>
          <w:rFonts w:eastAsia="Century Schoolbook" w:cs="Century Schoolbook"/>
          <w:szCs w:val="26"/>
        </w:rPr>
      </w:pPr>
      <w:r>
        <w:rPr>
          <w:rFonts w:eastAsia="Century Schoolbook" w:cs="Century Schoolbook"/>
          <w:szCs w:val="26"/>
        </w:rPr>
        <w:t>DIVISION EIGHT</w:t>
      </w:r>
    </w:p>
    <w:p w14:paraId="0989910A" w14:textId="77777777" w:rsidR="00417E8F" w:rsidRDefault="00417E8F" w:rsidP="00730429">
      <w:pPr>
        <w:spacing w:line="240" w:lineRule="auto"/>
        <w:jc w:val="center"/>
        <w:rPr>
          <w:rFonts w:eastAsia="Century Schoolbook" w:cs="Century Schoolbook"/>
          <w:szCs w:val="26"/>
        </w:rPr>
      </w:pPr>
    </w:p>
    <w:tbl>
      <w:tblPr>
        <w:tblW w:w="8655" w:type="dxa"/>
        <w:tblInd w:w="-115" w:type="dxa"/>
        <w:tblLayout w:type="fixed"/>
        <w:tblLook w:val="0000" w:firstRow="0" w:lastRow="0" w:firstColumn="0" w:lastColumn="0" w:noHBand="0" w:noVBand="0"/>
      </w:tblPr>
      <w:tblGrid>
        <w:gridCol w:w="4455"/>
        <w:gridCol w:w="4200"/>
      </w:tblGrid>
      <w:tr w:rsidR="00D10F9F" w14:paraId="18335DDB" w14:textId="77777777">
        <w:tc>
          <w:tcPr>
            <w:tcW w:w="4455" w:type="dxa"/>
            <w:tcBorders>
              <w:bottom w:val="single" w:sz="4" w:space="0" w:color="000000"/>
              <w:right w:val="single" w:sz="4" w:space="0" w:color="000000"/>
            </w:tcBorders>
            <w:shd w:val="clear" w:color="auto" w:fill="auto"/>
          </w:tcPr>
          <w:p w14:paraId="7D8DEDD1" w14:textId="77777777" w:rsidR="00417E8F" w:rsidRDefault="00C627BF" w:rsidP="00730429">
            <w:pPr>
              <w:spacing w:line="240" w:lineRule="auto"/>
              <w:rPr>
                <w:rFonts w:eastAsia="Century Schoolbook" w:cs="Century Schoolbook"/>
                <w:szCs w:val="26"/>
              </w:rPr>
            </w:pPr>
            <w:r>
              <w:rPr>
                <w:rFonts w:eastAsia="Century Schoolbook" w:cs="Century Schoolbook"/>
                <w:szCs w:val="26"/>
              </w:rPr>
              <w:t>JOHN SANDY CAMPBELL,</w:t>
            </w:r>
          </w:p>
          <w:p w14:paraId="48E96C2D" w14:textId="77777777" w:rsidR="00417E8F" w:rsidRDefault="00417E8F" w:rsidP="00730429">
            <w:pPr>
              <w:spacing w:line="240" w:lineRule="auto"/>
              <w:rPr>
                <w:rFonts w:eastAsia="Century Schoolbook" w:cs="Century Schoolbook"/>
                <w:szCs w:val="26"/>
              </w:rPr>
            </w:pPr>
          </w:p>
          <w:p w14:paraId="3DE7E0ED" w14:textId="77777777" w:rsidR="00417E8F" w:rsidRDefault="00C627BF" w:rsidP="00730429">
            <w:pPr>
              <w:spacing w:line="240" w:lineRule="auto"/>
              <w:rPr>
                <w:rFonts w:eastAsia="Century Schoolbook" w:cs="Century Schoolbook"/>
                <w:szCs w:val="26"/>
              </w:rPr>
            </w:pPr>
            <w:r>
              <w:rPr>
                <w:rFonts w:eastAsia="Century Schoolbook" w:cs="Century Schoolbook"/>
                <w:szCs w:val="26"/>
              </w:rPr>
              <w:tab/>
              <w:t>Plaintiff and Appellant,</w:t>
            </w:r>
          </w:p>
          <w:p w14:paraId="03ACB121" w14:textId="77777777" w:rsidR="00417E8F" w:rsidRDefault="00417E8F" w:rsidP="00730429">
            <w:pPr>
              <w:spacing w:line="240" w:lineRule="auto"/>
              <w:rPr>
                <w:rFonts w:eastAsia="Century Schoolbook" w:cs="Century Schoolbook"/>
                <w:szCs w:val="26"/>
              </w:rPr>
            </w:pPr>
          </w:p>
          <w:p w14:paraId="1313E7FA" w14:textId="77777777" w:rsidR="00417E8F" w:rsidRDefault="00C627BF" w:rsidP="00730429">
            <w:pPr>
              <w:spacing w:line="240" w:lineRule="auto"/>
              <w:rPr>
                <w:rFonts w:eastAsia="Century Schoolbook" w:cs="Century Schoolbook"/>
                <w:szCs w:val="26"/>
              </w:rPr>
            </w:pPr>
            <w:r>
              <w:rPr>
                <w:rFonts w:eastAsia="Century Schoolbook" w:cs="Century Schoolbook"/>
                <w:szCs w:val="26"/>
              </w:rPr>
              <w:tab/>
              <w:t>v.</w:t>
            </w:r>
          </w:p>
          <w:p w14:paraId="7DB72301" w14:textId="77777777" w:rsidR="00417E8F" w:rsidRDefault="00417E8F" w:rsidP="00730429">
            <w:pPr>
              <w:spacing w:line="240" w:lineRule="auto"/>
              <w:rPr>
                <w:rFonts w:eastAsia="Century Schoolbook" w:cs="Century Schoolbook"/>
                <w:szCs w:val="26"/>
              </w:rPr>
            </w:pPr>
          </w:p>
          <w:p w14:paraId="75C6DE9D" w14:textId="77777777" w:rsidR="00417E8F" w:rsidRDefault="00C627BF" w:rsidP="00730429">
            <w:pPr>
              <w:spacing w:line="240" w:lineRule="auto"/>
              <w:rPr>
                <w:rFonts w:eastAsia="Century Schoolbook" w:cs="Century Schoolbook"/>
                <w:szCs w:val="26"/>
              </w:rPr>
            </w:pPr>
            <w:r>
              <w:rPr>
                <w:rFonts w:eastAsia="Century Schoolbook" w:cs="Century Schoolbook"/>
                <w:szCs w:val="26"/>
              </w:rPr>
              <w:t xml:space="preserve">LOS ANGELES UNIFIED SCHOOL DISTRICT, </w:t>
            </w:r>
          </w:p>
          <w:p w14:paraId="6957139C" w14:textId="77777777" w:rsidR="00417E8F" w:rsidRDefault="00417E8F" w:rsidP="00730429">
            <w:pPr>
              <w:spacing w:line="240" w:lineRule="auto"/>
              <w:rPr>
                <w:rFonts w:eastAsia="Century Schoolbook" w:cs="Century Schoolbook"/>
                <w:szCs w:val="26"/>
              </w:rPr>
            </w:pPr>
          </w:p>
          <w:p w14:paraId="4C983B23" w14:textId="77777777" w:rsidR="00417E8F" w:rsidRDefault="00C627BF" w:rsidP="00730429">
            <w:pPr>
              <w:spacing w:line="240" w:lineRule="auto"/>
              <w:rPr>
                <w:rFonts w:eastAsia="Century Schoolbook" w:cs="Century Schoolbook"/>
                <w:szCs w:val="26"/>
              </w:rPr>
            </w:pPr>
            <w:r>
              <w:rPr>
                <w:rFonts w:eastAsia="Century Schoolbook" w:cs="Century Schoolbook"/>
                <w:szCs w:val="26"/>
              </w:rPr>
              <w:tab/>
              <w:t>Defendant and Respondent.</w:t>
            </w:r>
          </w:p>
          <w:p w14:paraId="07218409" w14:textId="77777777" w:rsidR="00417E8F" w:rsidRDefault="00417E8F" w:rsidP="00730429">
            <w:pPr>
              <w:spacing w:line="240" w:lineRule="auto"/>
              <w:rPr>
                <w:rFonts w:eastAsia="Century Schoolbook" w:cs="Century Schoolbook"/>
                <w:szCs w:val="26"/>
              </w:rPr>
            </w:pPr>
          </w:p>
        </w:tc>
        <w:tc>
          <w:tcPr>
            <w:tcW w:w="4200" w:type="dxa"/>
            <w:tcBorders>
              <w:left w:val="single" w:sz="4" w:space="0" w:color="000000"/>
            </w:tcBorders>
            <w:shd w:val="clear" w:color="auto" w:fill="auto"/>
          </w:tcPr>
          <w:p w14:paraId="2BD30A56" w14:textId="77777777" w:rsidR="00417E8F" w:rsidRDefault="00C627BF" w:rsidP="00730429">
            <w:pPr>
              <w:spacing w:line="240" w:lineRule="auto"/>
              <w:rPr>
                <w:rFonts w:eastAsia="Century Schoolbook" w:cs="Century Schoolbook"/>
                <w:szCs w:val="26"/>
              </w:rPr>
            </w:pPr>
            <w:r>
              <w:rPr>
                <w:rFonts w:eastAsia="Century Schoolbook" w:cs="Century Schoolbook"/>
                <w:szCs w:val="26"/>
              </w:rPr>
              <w:t xml:space="preserve">      B321756</w:t>
            </w:r>
          </w:p>
          <w:p w14:paraId="5A406081" w14:textId="77777777" w:rsidR="00417E8F" w:rsidRDefault="00417E8F" w:rsidP="00730429">
            <w:pPr>
              <w:spacing w:line="240" w:lineRule="auto"/>
              <w:rPr>
                <w:rFonts w:eastAsia="Century Schoolbook" w:cs="Century Schoolbook"/>
                <w:szCs w:val="26"/>
              </w:rPr>
            </w:pPr>
          </w:p>
          <w:p w14:paraId="72C317D7" w14:textId="77777777" w:rsidR="00417E8F" w:rsidRDefault="00C627BF" w:rsidP="00730429">
            <w:pPr>
              <w:spacing w:line="240" w:lineRule="auto"/>
              <w:rPr>
                <w:rFonts w:eastAsia="Century Schoolbook" w:cs="Century Schoolbook"/>
                <w:szCs w:val="26"/>
              </w:rPr>
            </w:pPr>
            <w:r>
              <w:rPr>
                <w:rFonts w:eastAsia="Century Schoolbook" w:cs="Century Schoolbook"/>
                <w:szCs w:val="26"/>
              </w:rPr>
              <w:t xml:space="preserve">      Los Angeles County</w:t>
            </w:r>
          </w:p>
          <w:p w14:paraId="41769149" w14:textId="77777777" w:rsidR="00417E8F" w:rsidRDefault="00C627BF" w:rsidP="00730429">
            <w:pPr>
              <w:spacing w:line="240" w:lineRule="auto"/>
              <w:ind w:left="450"/>
              <w:rPr>
                <w:rFonts w:eastAsia="Century Schoolbook" w:cs="Century Schoolbook"/>
                <w:szCs w:val="26"/>
              </w:rPr>
            </w:pPr>
            <w:r>
              <w:rPr>
                <w:rFonts w:eastAsia="Century Schoolbook" w:cs="Century Schoolbook"/>
                <w:szCs w:val="26"/>
              </w:rPr>
              <w:t>Super. Ct. No. 18STCV04662</w:t>
            </w:r>
          </w:p>
          <w:p w14:paraId="7CB072DC" w14:textId="77777777" w:rsidR="00417E8F" w:rsidRDefault="00417E8F" w:rsidP="00730429">
            <w:pPr>
              <w:spacing w:line="240" w:lineRule="auto"/>
              <w:rPr>
                <w:rFonts w:eastAsia="Century Schoolbook" w:cs="Century Schoolbook"/>
                <w:szCs w:val="26"/>
              </w:rPr>
            </w:pPr>
          </w:p>
        </w:tc>
      </w:tr>
    </w:tbl>
    <w:p w14:paraId="05A45ED2" w14:textId="77777777" w:rsidR="00417E8F" w:rsidRDefault="00417E8F">
      <w:pPr>
        <w:rPr>
          <w:rFonts w:eastAsia="Century Schoolbook" w:cs="Century Schoolbook"/>
          <w:szCs w:val="26"/>
        </w:rPr>
      </w:pPr>
    </w:p>
    <w:p w14:paraId="0DD663FA" w14:textId="77777777" w:rsidR="00417E8F" w:rsidRDefault="00C627BF">
      <w:pPr>
        <w:ind w:firstLine="720"/>
        <w:rPr>
          <w:rFonts w:eastAsia="Century Schoolbook" w:cs="Century Schoolbook"/>
          <w:szCs w:val="26"/>
        </w:rPr>
      </w:pPr>
      <w:r>
        <w:rPr>
          <w:rFonts w:eastAsia="Century Schoolbook" w:cs="Century Schoolbook"/>
          <w:szCs w:val="26"/>
        </w:rPr>
        <w:t>APPEAL from a judgment of the Superior Court of Los Angeles County, James C. Chalfant, Judge.  Affirmed.</w:t>
      </w:r>
    </w:p>
    <w:p w14:paraId="74C61E72" w14:textId="77777777" w:rsidR="00417E8F" w:rsidRDefault="00C627BF">
      <w:pPr>
        <w:rPr>
          <w:rFonts w:eastAsia="Century Schoolbook" w:cs="Century Schoolbook"/>
          <w:szCs w:val="26"/>
        </w:rPr>
      </w:pPr>
      <w:r>
        <w:rPr>
          <w:rFonts w:eastAsia="Century Schoolbook" w:cs="Century Schoolbook"/>
          <w:szCs w:val="26"/>
        </w:rPr>
        <w:t xml:space="preserve">     </w:t>
      </w:r>
      <w:r>
        <w:rPr>
          <w:rFonts w:eastAsia="Century Schoolbook" w:cs="Century Schoolbook"/>
          <w:szCs w:val="26"/>
        </w:rPr>
        <w:tab/>
        <w:t>John Sandy Campbell, in pro. per., for Plaintiff and Appellant.</w:t>
      </w:r>
    </w:p>
    <w:p w14:paraId="6F8AF731" w14:textId="77777777" w:rsidR="00417E8F" w:rsidRDefault="00C627BF">
      <w:pPr>
        <w:ind w:firstLine="720"/>
        <w:rPr>
          <w:rFonts w:eastAsia="Century Schoolbook" w:cs="Century Schoolbook"/>
          <w:szCs w:val="26"/>
        </w:rPr>
      </w:pPr>
      <w:r>
        <w:rPr>
          <w:rFonts w:eastAsia="Century Schoolbook" w:cs="Century Schoolbook"/>
          <w:szCs w:val="26"/>
        </w:rPr>
        <w:t>Cristina Cruz and Kelly Kim for Defendant and Respondent.</w:t>
      </w:r>
    </w:p>
    <w:p w14:paraId="413A15B3" w14:textId="77777777" w:rsidR="00417E8F" w:rsidRDefault="00C627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entury Schoolbook" w:cs="Century Schoolbook"/>
          <w:szCs w:val="26"/>
        </w:rPr>
      </w:pPr>
      <w:r>
        <w:rPr>
          <w:rFonts w:eastAsia="Century Schoolbook" w:cs="Century Schoolbook"/>
          <w:szCs w:val="26"/>
        </w:rPr>
        <w:t>____________________</w:t>
      </w:r>
      <w:r>
        <w:rPr>
          <w:rFonts w:eastAsia="Century Schoolbook" w:cs="Century Schoolbook"/>
          <w:szCs w:val="26"/>
        </w:rPr>
        <w:tab/>
      </w:r>
    </w:p>
    <w:p w14:paraId="6C5F5A74" w14:textId="3BD642BF" w:rsidR="00417E8F" w:rsidRPr="00612C33" w:rsidRDefault="00C627BF">
      <w:pPr>
        <w:ind w:firstLine="720"/>
        <w:rPr>
          <w:rFonts w:eastAsia="Century Schoolbook" w:cs="Century Schoolbook"/>
          <w:color w:val="FF0000"/>
          <w:szCs w:val="26"/>
        </w:rPr>
      </w:pPr>
      <w:r w:rsidRPr="008336B9">
        <w:rPr>
          <w:rFonts w:eastAsia="Century Schoolbook" w:cs="Century Schoolbook"/>
          <w:color w:val="000000" w:themeColor="text1"/>
          <w:szCs w:val="26"/>
        </w:rPr>
        <w:t xml:space="preserve">In a dense, 32-page decision, the Commission on Professional Competence upheld John Sandy Campbell’s dismissal from employment with the Los Angeles Unified School </w:t>
      </w:r>
      <w:r w:rsidRPr="008336B9">
        <w:rPr>
          <w:rFonts w:eastAsia="Century Schoolbook" w:cs="Century Schoolbook"/>
          <w:color w:val="000000" w:themeColor="text1"/>
          <w:szCs w:val="26"/>
        </w:rPr>
        <w:lastRenderedPageBreak/>
        <w:t>District.</w:t>
      </w:r>
      <w:r w:rsidRPr="00612C33">
        <w:rPr>
          <w:rFonts w:eastAsia="Century Schoolbook" w:cs="Century Schoolbook"/>
          <w:color w:val="FF0000"/>
          <w:szCs w:val="26"/>
        </w:rPr>
        <w:t xml:space="preserve">  </w:t>
      </w:r>
      <w:r w:rsidRPr="008336B9">
        <w:rPr>
          <w:rFonts w:eastAsia="Century Schoolbook" w:cs="Century Schoolbook"/>
          <w:color w:val="000000" w:themeColor="text1"/>
          <w:szCs w:val="26"/>
        </w:rPr>
        <w:t xml:space="preserve">Campbell challenged this decision by filing a petition for writ of mandate in the superior court.  </w:t>
      </w:r>
    </w:p>
    <w:p w14:paraId="211DF999" w14:textId="1C04F882" w:rsidR="00417E8F" w:rsidRDefault="00C627BF">
      <w:pPr>
        <w:ind w:firstLine="720"/>
        <w:rPr>
          <w:rFonts w:eastAsia="Century Schoolbook" w:cs="Century Schoolbook"/>
          <w:szCs w:val="26"/>
        </w:rPr>
      </w:pPr>
      <w:r w:rsidRPr="00864573">
        <w:rPr>
          <w:rFonts w:eastAsia="Century Schoolbook" w:cs="Century Schoolbook"/>
          <w:color w:val="000000" w:themeColor="text1"/>
          <w:szCs w:val="26"/>
        </w:rPr>
        <w:t xml:space="preserve">In a dense, 31-page ruling, the court, exercising its independent judgment, denied Campbell’s petition and upheld her dismissal.  We </w:t>
      </w:r>
      <w:r>
        <w:rPr>
          <w:rFonts w:eastAsia="Century Schoolbook" w:cs="Century Schoolbook"/>
          <w:color w:val="000000"/>
          <w:szCs w:val="26"/>
        </w:rPr>
        <w:t>affirm because Campbell has not demonstrated error.  Statutory references are to the Education Code.</w:t>
      </w:r>
    </w:p>
    <w:p w14:paraId="15FD13F6" w14:textId="25CB62F8" w:rsidR="00417E8F" w:rsidRPr="00612C33" w:rsidRDefault="00C627BF">
      <w:pPr>
        <w:ind w:firstLine="720"/>
        <w:rPr>
          <w:rFonts w:eastAsia="Century Schoolbook" w:cs="Century Schoolbook"/>
          <w:color w:val="FF0000"/>
          <w:szCs w:val="26"/>
        </w:rPr>
      </w:pPr>
      <w:r w:rsidRPr="00AE6912">
        <w:rPr>
          <w:rFonts w:eastAsia="Century Schoolbook" w:cs="Century Schoolbook"/>
          <w:color w:val="000000" w:themeColor="text1"/>
          <w:szCs w:val="26"/>
        </w:rPr>
        <w:t>Campbell worked as a Resource Specialis</w:t>
      </w:r>
      <w:r w:rsidRPr="008336B9">
        <w:rPr>
          <w:rFonts w:eastAsia="Century Schoolbook" w:cs="Century Schoolbook"/>
          <w:color w:val="000000" w:themeColor="text1"/>
          <w:szCs w:val="26"/>
        </w:rPr>
        <w:t xml:space="preserve">t Teacher at Chavez Social Justice </w:t>
      </w:r>
      <w:proofErr w:type="spellStart"/>
      <w:r w:rsidRPr="008336B9">
        <w:rPr>
          <w:rFonts w:eastAsia="Century Schoolbook" w:cs="Century Schoolbook"/>
          <w:color w:val="000000" w:themeColor="text1"/>
          <w:szCs w:val="26"/>
        </w:rPr>
        <w:t>Humanitas</w:t>
      </w:r>
      <w:proofErr w:type="spellEnd"/>
      <w:r w:rsidRPr="008336B9">
        <w:rPr>
          <w:rFonts w:eastAsia="Century Schoolbook" w:cs="Century Schoolbook"/>
          <w:color w:val="000000" w:themeColor="text1"/>
          <w:szCs w:val="26"/>
        </w:rPr>
        <w:t xml:space="preserve"> Academy from 2015 to 2017.  Her role involved developing Individualized Education Programs for students with special needs.  </w:t>
      </w:r>
    </w:p>
    <w:p w14:paraId="28F392BE" w14:textId="378E8A87" w:rsidR="00417E8F" w:rsidRPr="008336B9" w:rsidRDefault="00C627BF">
      <w:pPr>
        <w:ind w:firstLine="720"/>
        <w:rPr>
          <w:rFonts w:eastAsia="Century Schoolbook" w:cs="Century Schoolbook"/>
          <w:color w:val="000000" w:themeColor="text1"/>
          <w:szCs w:val="26"/>
        </w:rPr>
      </w:pPr>
      <w:r w:rsidRPr="00AE6912">
        <w:rPr>
          <w:rFonts w:eastAsia="Century Schoolbook" w:cs="Century Schoolbook"/>
          <w:color w:val="000000" w:themeColor="text1"/>
          <w:szCs w:val="26"/>
        </w:rPr>
        <w:t xml:space="preserve">The District maintained it appropriately dismissed Campbell because, among other things, she was </w:t>
      </w:r>
      <w:r w:rsidRPr="008336B9">
        <w:rPr>
          <w:rFonts w:eastAsia="Century Schoolbook" w:cs="Century Schoolbook"/>
          <w:color w:val="000000" w:themeColor="text1"/>
          <w:szCs w:val="26"/>
        </w:rPr>
        <w:t xml:space="preserve">excessively absent from school, which negatively affected students and staff.  </w:t>
      </w:r>
      <w:r w:rsidRPr="00AE6912">
        <w:rPr>
          <w:rFonts w:eastAsia="Century Schoolbook" w:cs="Century Schoolbook"/>
          <w:color w:val="000000" w:themeColor="text1"/>
          <w:szCs w:val="26"/>
        </w:rPr>
        <w:t>The Commission agreed</w:t>
      </w:r>
      <w:r w:rsidR="008336B9">
        <w:rPr>
          <w:rFonts w:eastAsia="Century Schoolbook" w:cs="Century Schoolbook"/>
          <w:color w:val="000000" w:themeColor="text1"/>
          <w:szCs w:val="26"/>
        </w:rPr>
        <w:t>.</w:t>
      </w:r>
    </w:p>
    <w:p w14:paraId="23515CB7" w14:textId="06A085CF" w:rsidR="00417E8F" w:rsidRDefault="00C627BF">
      <w:pPr>
        <w:widowControl w:val="0"/>
        <w:ind w:firstLine="720"/>
        <w:rPr>
          <w:rFonts w:eastAsia="Century Schoolbook" w:cs="Century Schoolbook"/>
          <w:color w:val="7030A0"/>
          <w:szCs w:val="26"/>
        </w:rPr>
      </w:pPr>
      <w:r w:rsidRPr="008336B9">
        <w:rPr>
          <w:rFonts w:eastAsia="Century Schoolbook" w:cs="Century Schoolbook"/>
          <w:color w:val="000000" w:themeColor="text1"/>
          <w:szCs w:val="26"/>
        </w:rPr>
        <w:t xml:space="preserve">The proceedings to adjudicate Campbell’s dismissal were extensive, with the administrative hearing spanning 11 days.  </w:t>
      </w:r>
      <w:r w:rsidRPr="00612C33">
        <w:rPr>
          <w:rFonts w:eastAsia="Century Schoolbook" w:cs="Century Schoolbook"/>
          <w:color w:val="000000" w:themeColor="text1"/>
          <w:szCs w:val="26"/>
        </w:rPr>
        <w:t>Campbell’s appellate brief does not present these proceedings or the evidence in any detail.  At times she provides citations to the administrative record.  Mostly</w:t>
      </w:r>
      <w:r>
        <w:rPr>
          <w:rFonts w:eastAsia="Century Schoolbook" w:cs="Century Schoolbook"/>
          <w:color w:val="000000"/>
          <w:szCs w:val="26"/>
        </w:rPr>
        <w:t xml:space="preserve">, she does not provide record citations, or she cites the Commission’s findings, her briefing to the superior court, or the court’s decision instead of citing the </w:t>
      </w:r>
      <w:r w:rsidRPr="00864573">
        <w:rPr>
          <w:rFonts w:eastAsia="Century Schoolbook" w:cs="Century Schoolbook"/>
          <w:color w:val="000000" w:themeColor="text1"/>
          <w:szCs w:val="26"/>
        </w:rPr>
        <w:t xml:space="preserve">evidence.  Campbell similarly omitted record citations at the superior court.  </w:t>
      </w:r>
    </w:p>
    <w:p w14:paraId="035E9C38" w14:textId="44E1F908" w:rsidR="00417E8F" w:rsidRPr="00612C33" w:rsidRDefault="00C627BF">
      <w:pPr>
        <w:ind w:firstLine="720"/>
        <w:rPr>
          <w:rFonts w:eastAsia="Century Schoolbook" w:cs="Century Schoolbook"/>
          <w:color w:val="7030A0"/>
          <w:szCs w:val="26"/>
        </w:rPr>
      </w:pPr>
      <w:r w:rsidRPr="00612C33">
        <w:rPr>
          <w:rFonts w:eastAsia="Century Schoolbook" w:cs="Century Schoolbook"/>
          <w:color w:val="000000" w:themeColor="text1"/>
          <w:szCs w:val="26"/>
        </w:rPr>
        <w:t>Campbell’s appellate brief says there are two issues on appeal.  She contends the superior court erred in affirming her dismissal because (1) the Commission miscited and applied the wrong statutory subdivisions at Campbell’s dismissal hearing, and (2) the court failed to apply “</w:t>
      </w:r>
      <w:r w:rsidRPr="006A4013">
        <w:rPr>
          <w:rFonts w:eastAsia="Century Schoolbook" w:cs="Century Schoolbook"/>
          <w:color w:val="000000" w:themeColor="text1"/>
          <w:szCs w:val="26"/>
        </w:rPr>
        <w:t>new” precedent (</w:t>
      </w:r>
      <w:r w:rsidRPr="006A4013">
        <w:rPr>
          <w:rFonts w:eastAsia="Century Schoolbook" w:cs="Century Schoolbook"/>
          <w:i/>
          <w:color w:val="000000" w:themeColor="text1"/>
          <w:szCs w:val="26"/>
        </w:rPr>
        <w:t xml:space="preserve">San Dieguito Union High School District v. Commission on Professional </w:t>
      </w:r>
      <w:r w:rsidRPr="006A4013">
        <w:rPr>
          <w:rFonts w:eastAsia="Century Schoolbook" w:cs="Century Schoolbook"/>
          <w:i/>
          <w:color w:val="000000" w:themeColor="text1"/>
          <w:szCs w:val="26"/>
        </w:rPr>
        <w:lastRenderedPageBreak/>
        <w:t>Competence</w:t>
      </w:r>
      <w:r w:rsidRPr="006A4013">
        <w:rPr>
          <w:rFonts w:eastAsia="Century Schoolbook" w:cs="Century Schoolbook"/>
          <w:color w:val="000000" w:themeColor="text1"/>
          <w:szCs w:val="26"/>
        </w:rPr>
        <w:t xml:space="preserve"> (1982) 135 Cal.App.3d 278 (</w:t>
      </w:r>
      <w:r w:rsidRPr="006A4013">
        <w:rPr>
          <w:rFonts w:eastAsia="Century Schoolbook" w:cs="Century Schoolbook"/>
          <w:i/>
          <w:color w:val="000000" w:themeColor="text1"/>
          <w:szCs w:val="26"/>
        </w:rPr>
        <w:t>San Dieguito</w:t>
      </w:r>
      <w:r w:rsidRPr="006A4013">
        <w:rPr>
          <w:rFonts w:eastAsia="Century Schoolbook" w:cs="Century Schoolbook"/>
          <w:color w:val="000000" w:themeColor="text1"/>
          <w:szCs w:val="26"/>
        </w:rPr>
        <w:t xml:space="preserve">)) when determining Campbell’s fitness to teach.  </w:t>
      </w:r>
    </w:p>
    <w:p w14:paraId="6F7D7B92" w14:textId="31ED234C" w:rsidR="00604BEF" w:rsidRPr="00604BEF" w:rsidRDefault="00C627BF" w:rsidP="00604BEF">
      <w:pPr>
        <w:ind w:firstLine="720"/>
        <w:rPr>
          <w:rFonts w:eastAsia="Century Schoolbook" w:cs="Century Schoolbook"/>
          <w:szCs w:val="26"/>
        </w:rPr>
      </w:pPr>
      <w:r>
        <w:rPr>
          <w:rFonts w:eastAsia="Century Schoolbook" w:cs="Century Schoolbook"/>
          <w:szCs w:val="26"/>
        </w:rPr>
        <w:t xml:space="preserve">Typically, in writ cases like this challenging a dismissal, we review the administrative decision—not the trial court’s—for abuse of discretion.  (E.g., </w:t>
      </w:r>
      <w:r>
        <w:rPr>
          <w:rFonts w:eastAsia="Century Schoolbook" w:cs="Century Schoolbook"/>
          <w:i/>
          <w:szCs w:val="26"/>
        </w:rPr>
        <w:t>Griego v. City of Barstow</w:t>
      </w:r>
      <w:r>
        <w:rPr>
          <w:rFonts w:eastAsia="Century Schoolbook" w:cs="Century Schoolbook"/>
          <w:szCs w:val="26"/>
        </w:rPr>
        <w:t xml:space="preserve"> (2023) 87 Cal.App.5th 133, 139.)  Here we address the trial court’s ruling to the </w:t>
      </w:r>
      <w:r w:rsidRPr="006A4013">
        <w:rPr>
          <w:rFonts w:eastAsia="Century Schoolbook" w:cs="Century Schoolbook"/>
          <w:color w:val="000000" w:themeColor="text1"/>
          <w:szCs w:val="26"/>
        </w:rPr>
        <w:t xml:space="preserve">extent necessary to address Campbell’s two appellate issues.  Further, while the parties agree our standard of review is abuse of discretion, to the </w:t>
      </w:r>
      <w:r>
        <w:rPr>
          <w:rFonts w:eastAsia="Century Schoolbook" w:cs="Century Schoolbook"/>
          <w:szCs w:val="26"/>
        </w:rPr>
        <w:t xml:space="preserve">extent Campbell’s appellate issues raise pure questions of law, we review them independently.  (See </w:t>
      </w:r>
      <w:proofErr w:type="spellStart"/>
      <w:r>
        <w:rPr>
          <w:rFonts w:eastAsia="Century Schoolbook" w:cs="Century Schoolbook"/>
          <w:i/>
          <w:szCs w:val="26"/>
        </w:rPr>
        <w:t>Tafti</w:t>
      </w:r>
      <w:proofErr w:type="spellEnd"/>
      <w:r>
        <w:rPr>
          <w:rFonts w:eastAsia="Century Schoolbook" w:cs="Century Schoolbook"/>
          <w:i/>
          <w:szCs w:val="26"/>
        </w:rPr>
        <w:t xml:space="preserve"> v. County of Tulare</w:t>
      </w:r>
      <w:r>
        <w:rPr>
          <w:rFonts w:eastAsia="Century Schoolbook" w:cs="Century Schoolbook"/>
          <w:szCs w:val="26"/>
        </w:rPr>
        <w:t xml:space="preserve"> (2011) 198 Cal.App.4th 891, 896.)</w:t>
      </w:r>
    </w:p>
    <w:p w14:paraId="5F9BCB9C" w14:textId="56880936" w:rsidR="00417E8F" w:rsidRDefault="00C627BF">
      <w:pPr>
        <w:ind w:firstLine="720"/>
        <w:rPr>
          <w:rFonts w:eastAsia="Century Schoolbook" w:cs="Century Schoolbook"/>
          <w:color w:val="000000"/>
          <w:szCs w:val="26"/>
        </w:rPr>
      </w:pPr>
      <w:r w:rsidRPr="006A4013">
        <w:rPr>
          <w:rFonts w:eastAsia="Century Schoolbook" w:cs="Century Schoolbook"/>
          <w:color w:val="000000" w:themeColor="text1"/>
          <w:szCs w:val="26"/>
        </w:rPr>
        <w:t xml:space="preserve">On </w:t>
      </w:r>
      <w:r w:rsidR="00604BEF" w:rsidRPr="006A4013">
        <w:rPr>
          <w:rFonts w:eastAsia="Century Schoolbook" w:cs="Century Schoolbook"/>
          <w:color w:val="000000" w:themeColor="text1"/>
          <w:szCs w:val="26"/>
        </w:rPr>
        <w:t xml:space="preserve">Campbell’s </w:t>
      </w:r>
      <w:r w:rsidRPr="006A4013">
        <w:rPr>
          <w:rFonts w:eastAsia="Century Schoolbook" w:cs="Century Schoolbook"/>
          <w:color w:val="000000" w:themeColor="text1"/>
          <w:szCs w:val="26"/>
        </w:rPr>
        <w:t xml:space="preserve">first </w:t>
      </w:r>
      <w:r w:rsidRPr="00864573">
        <w:rPr>
          <w:rFonts w:eastAsia="Century Schoolbook" w:cs="Century Schoolbook"/>
          <w:color w:val="000000" w:themeColor="text1"/>
          <w:szCs w:val="26"/>
        </w:rPr>
        <w:t xml:space="preserve">issue, the District conceded, and the superior court recognized, that the </w:t>
      </w:r>
      <w:r w:rsidRPr="006A4013">
        <w:rPr>
          <w:rFonts w:eastAsia="Century Schoolbook" w:cs="Century Schoolbook"/>
          <w:color w:val="000000" w:themeColor="text1"/>
          <w:szCs w:val="26"/>
        </w:rPr>
        <w:t>Commission cited incorrect subdivisions of section 44932 in its legal conclusions.</w:t>
      </w:r>
      <w:r w:rsidRPr="00612C33">
        <w:rPr>
          <w:rFonts w:eastAsia="Century Schoolbook" w:cs="Century Schoolbook"/>
          <w:color w:val="7030A0"/>
          <w:szCs w:val="26"/>
        </w:rPr>
        <w:t xml:space="preserve">  </w:t>
      </w:r>
      <w:r w:rsidRPr="00864573">
        <w:rPr>
          <w:rFonts w:eastAsia="Century Schoolbook" w:cs="Century Schoolbook"/>
          <w:color w:val="000000" w:themeColor="text1"/>
          <w:szCs w:val="26"/>
        </w:rPr>
        <w:t xml:space="preserve">The court properly addressed and dismissed this issue in its decision.  As the court noted, the Commission accurately listed, by name, the correct section 44932 causes for Campbell’s dismissal in these legal </w:t>
      </w:r>
      <w:r w:rsidRPr="008336B9">
        <w:rPr>
          <w:rFonts w:eastAsia="Century Schoolbook" w:cs="Century Schoolbook"/>
          <w:color w:val="000000" w:themeColor="text1"/>
          <w:szCs w:val="26"/>
        </w:rPr>
        <w:t xml:space="preserve">conclusions.  These causes were:  unprofessional conduct, evident unfitness for service, and persistent violations of school rules.  The Commission also separately and accurately defined these causes in its decision.  This adequately apprised Campbell of the bases for her dismissal.  Indeed, Campbell identified the correct statutory bases for her dismissal in her writ petition. </w:t>
      </w:r>
      <w:r w:rsidRPr="00612C33">
        <w:rPr>
          <w:rFonts w:eastAsia="Century Schoolbook" w:cs="Century Schoolbook"/>
          <w:color w:val="FF0000"/>
          <w:szCs w:val="26"/>
        </w:rPr>
        <w:t xml:space="preserve"> </w:t>
      </w:r>
    </w:p>
    <w:p w14:paraId="76DF1382" w14:textId="6AD88D8D" w:rsidR="00417E8F" w:rsidRPr="00612C33" w:rsidRDefault="00C627BF">
      <w:pPr>
        <w:ind w:firstLine="720"/>
        <w:rPr>
          <w:rFonts w:eastAsia="Century Schoolbook" w:cs="Century Schoolbook"/>
          <w:color w:val="7030A0"/>
          <w:szCs w:val="26"/>
        </w:rPr>
      </w:pPr>
      <w:r w:rsidRPr="006A4013">
        <w:rPr>
          <w:rFonts w:eastAsia="Century Schoolbook" w:cs="Century Schoolbook"/>
          <w:color w:val="000000" w:themeColor="text1"/>
          <w:szCs w:val="26"/>
        </w:rPr>
        <w:t xml:space="preserve">Campbell also appears to take issue with the Commission’s citation to section 44939, but she has not established any error here.  </w:t>
      </w:r>
    </w:p>
    <w:p w14:paraId="66FC5B62" w14:textId="7C04F64F" w:rsidR="00417E8F" w:rsidRDefault="00C627BF">
      <w:pPr>
        <w:ind w:firstLine="720"/>
        <w:rPr>
          <w:rFonts w:eastAsia="Century Schoolbook" w:cs="Century Schoolbook"/>
          <w:szCs w:val="26"/>
        </w:rPr>
      </w:pPr>
      <w:r w:rsidRPr="006A4013">
        <w:rPr>
          <w:rFonts w:eastAsia="Century Schoolbook" w:cs="Century Schoolbook"/>
          <w:color w:val="000000" w:themeColor="text1"/>
          <w:szCs w:val="26"/>
        </w:rPr>
        <w:t xml:space="preserve">Within her argument of her first appellate issue, Campbell appears to challenge the sufficiency of the evidence supporting the bases for her dismissal.  Campbell’s </w:t>
      </w:r>
      <w:r>
        <w:rPr>
          <w:rFonts w:eastAsia="Century Schoolbook" w:cs="Century Schoolbook"/>
          <w:szCs w:val="26"/>
        </w:rPr>
        <w:t xml:space="preserve">brief is inadequate for this task. </w:t>
      </w:r>
    </w:p>
    <w:p w14:paraId="7A4AB3DC" w14:textId="77777777" w:rsidR="00417E8F" w:rsidRDefault="00C627BF">
      <w:pPr>
        <w:shd w:val="clear" w:color="auto" w:fill="FFFFFF"/>
        <w:ind w:firstLine="720"/>
        <w:rPr>
          <w:rFonts w:eastAsia="Century Schoolbook" w:cs="Century Schoolbook"/>
          <w:color w:val="0070C0"/>
          <w:szCs w:val="26"/>
        </w:rPr>
      </w:pPr>
      <w:r>
        <w:rPr>
          <w:rFonts w:eastAsia="Century Schoolbook" w:cs="Century Schoolbook"/>
          <w:color w:val="000000"/>
          <w:szCs w:val="26"/>
        </w:rPr>
        <w:lastRenderedPageBreak/>
        <w:t>To prevail on a sufficiency of the evidence argument, litigants must present their cases “consistently with the substantial evidence standard of review.  That is, [they] must set forth in [their] opening brief </w:t>
      </w:r>
      <w:proofErr w:type="gramStart"/>
      <w:r>
        <w:rPr>
          <w:rFonts w:eastAsia="Century Schoolbook" w:cs="Century Schoolbook"/>
          <w:i/>
          <w:color w:val="000000"/>
          <w:szCs w:val="26"/>
        </w:rPr>
        <w:t>all</w:t>
      </w:r>
      <w:r>
        <w:rPr>
          <w:rFonts w:eastAsia="Century Schoolbook" w:cs="Century Schoolbook"/>
          <w:color w:val="000000"/>
          <w:szCs w:val="26"/>
        </w:rPr>
        <w:t> of</w:t>
      </w:r>
      <w:proofErr w:type="gramEnd"/>
      <w:r>
        <w:rPr>
          <w:rFonts w:eastAsia="Century Schoolbook" w:cs="Century Schoolbook"/>
          <w:color w:val="000000"/>
          <w:szCs w:val="26"/>
        </w:rPr>
        <w:t xml:space="preserve"> the material evidence on the disputed elements” in the light most favorable to the prevailing party, “and then must persuade us that evidence cannot reasonably support” the result reached.  (</w:t>
      </w:r>
      <w:r>
        <w:rPr>
          <w:rFonts w:eastAsia="Century Schoolbook" w:cs="Century Schoolbook"/>
          <w:i/>
          <w:color w:val="000000"/>
          <w:szCs w:val="26"/>
        </w:rPr>
        <w:t>People v. Sanghera</w:t>
      </w:r>
      <w:r>
        <w:rPr>
          <w:rFonts w:eastAsia="Century Schoolbook" w:cs="Century Schoolbook"/>
          <w:color w:val="000000"/>
          <w:szCs w:val="26"/>
        </w:rPr>
        <w:t xml:space="preserve"> (2006) 139 Cal.App.4th 1567, 1574 (</w:t>
      </w:r>
      <w:r>
        <w:rPr>
          <w:rFonts w:eastAsia="Century Schoolbook" w:cs="Century Schoolbook"/>
          <w:i/>
          <w:color w:val="000000"/>
          <w:szCs w:val="26"/>
        </w:rPr>
        <w:t>Sanghera</w:t>
      </w:r>
      <w:r>
        <w:rPr>
          <w:rFonts w:eastAsia="Century Schoolbook" w:cs="Century Schoolbook"/>
          <w:color w:val="000000"/>
          <w:szCs w:val="26"/>
        </w:rPr>
        <w:t xml:space="preserve">).)  An appellant who fails to present all the relevant </w:t>
      </w:r>
      <w:proofErr w:type="gramStart"/>
      <w:r>
        <w:rPr>
          <w:rFonts w:eastAsia="Century Schoolbook" w:cs="Century Schoolbook"/>
          <w:color w:val="000000"/>
          <w:szCs w:val="26"/>
        </w:rPr>
        <w:t>evidence, or</w:t>
      </w:r>
      <w:proofErr w:type="gramEnd"/>
      <w:r>
        <w:rPr>
          <w:rFonts w:eastAsia="Century Schoolbook" w:cs="Century Schoolbook"/>
          <w:color w:val="000000"/>
          <w:szCs w:val="26"/>
        </w:rPr>
        <w:t xml:space="preserve"> fails to present it in the light most favorable to the respondent, cannot carry her burden on a sufficiency challenge, as support for the result “may lie in the evidence [s]he ignores.”  (</w:t>
      </w:r>
      <w:r>
        <w:rPr>
          <w:rFonts w:eastAsia="Century Schoolbook" w:cs="Century Schoolbook"/>
          <w:i/>
          <w:color w:val="000000"/>
          <w:szCs w:val="26"/>
        </w:rPr>
        <w:t>Ibid.</w:t>
      </w:r>
      <w:r>
        <w:rPr>
          <w:rFonts w:eastAsia="Century Schoolbook" w:cs="Century Schoolbook"/>
          <w:color w:val="000000"/>
          <w:szCs w:val="26"/>
        </w:rPr>
        <w:t>)</w:t>
      </w:r>
    </w:p>
    <w:p w14:paraId="1EE30964" w14:textId="036A56F8" w:rsidR="00417E8F" w:rsidRDefault="00C627BF">
      <w:pPr>
        <w:shd w:val="clear" w:color="auto" w:fill="FFFFFF"/>
        <w:ind w:firstLine="720"/>
        <w:rPr>
          <w:rFonts w:eastAsia="Century Schoolbook" w:cs="Century Schoolbook"/>
          <w:color w:val="000000"/>
          <w:szCs w:val="26"/>
        </w:rPr>
      </w:pPr>
      <w:r w:rsidRPr="006A4013">
        <w:rPr>
          <w:rFonts w:eastAsia="Century Schoolbook" w:cs="Century Schoolbook"/>
          <w:color w:val="000000" w:themeColor="text1"/>
          <w:szCs w:val="26"/>
        </w:rPr>
        <w:t xml:space="preserve">Campbell did not survey the evidence at the administrative hearing and did not present it favorably to the District.  Instead of supporting her insufficiency argument with citations to the evidence, she leans on her briefing to the superior court and the court’s decision.  </w:t>
      </w:r>
      <w:r>
        <w:rPr>
          <w:rFonts w:eastAsia="Century Schoolbook" w:cs="Century Schoolbook"/>
          <w:color w:val="000000"/>
          <w:szCs w:val="26"/>
        </w:rPr>
        <w:t xml:space="preserve">We need not do appellants’ work for them and accordingly reject Campbell’s insufficiency challenge.  (See </w:t>
      </w:r>
      <w:r>
        <w:rPr>
          <w:rFonts w:eastAsia="Century Schoolbook" w:cs="Century Schoolbook"/>
          <w:i/>
          <w:color w:val="000000"/>
          <w:szCs w:val="26"/>
        </w:rPr>
        <w:t>Sanghera</w:t>
      </w:r>
      <w:r>
        <w:rPr>
          <w:rFonts w:eastAsia="Century Schoolbook" w:cs="Century Schoolbook"/>
          <w:color w:val="000000"/>
          <w:szCs w:val="26"/>
        </w:rPr>
        <w:t xml:space="preserve">, </w:t>
      </w:r>
      <w:r>
        <w:rPr>
          <w:rFonts w:eastAsia="Century Schoolbook" w:cs="Century Schoolbook"/>
          <w:i/>
          <w:color w:val="000000"/>
          <w:szCs w:val="26"/>
        </w:rPr>
        <w:t>supra</w:t>
      </w:r>
      <w:r>
        <w:rPr>
          <w:rFonts w:eastAsia="Century Schoolbook" w:cs="Century Schoolbook"/>
          <w:color w:val="000000"/>
          <w:szCs w:val="26"/>
        </w:rPr>
        <w:t>, 139 Cal.App.4th at p</w:t>
      </w:r>
      <w:r w:rsidR="004E50C4">
        <w:rPr>
          <w:rFonts w:eastAsia="Century Schoolbook" w:cs="Century Schoolbook"/>
          <w:color w:val="000000"/>
          <w:szCs w:val="26"/>
        </w:rPr>
        <w:t>p</w:t>
      </w:r>
      <w:r>
        <w:rPr>
          <w:rFonts w:eastAsia="Century Schoolbook" w:cs="Century Schoolbook"/>
          <w:color w:val="000000"/>
          <w:szCs w:val="26"/>
        </w:rPr>
        <w:t xml:space="preserve">. 1573–1574; </w:t>
      </w:r>
      <w:r>
        <w:rPr>
          <w:rFonts w:eastAsia="Century Schoolbook" w:cs="Century Schoolbook"/>
          <w:i/>
          <w:color w:val="000000"/>
          <w:szCs w:val="26"/>
        </w:rPr>
        <w:t>United Grand Corp. v. Malibu Hillbillies, LLC</w:t>
      </w:r>
      <w:r>
        <w:rPr>
          <w:rFonts w:eastAsia="Century Schoolbook" w:cs="Century Schoolbook"/>
          <w:color w:val="000000"/>
          <w:szCs w:val="26"/>
        </w:rPr>
        <w:t xml:space="preserve"> (2019) 36 Cal.App.5th 142, 153 (</w:t>
      </w:r>
      <w:r>
        <w:rPr>
          <w:rFonts w:eastAsia="Century Schoolbook" w:cs="Century Schoolbook"/>
          <w:i/>
          <w:color w:val="000000"/>
          <w:szCs w:val="26"/>
        </w:rPr>
        <w:t>Malibu Hillbillies</w:t>
      </w:r>
      <w:r>
        <w:rPr>
          <w:rFonts w:eastAsia="Century Schoolbook" w:cs="Century Schoolbook"/>
          <w:color w:val="000000"/>
          <w:szCs w:val="26"/>
        </w:rPr>
        <w:t xml:space="preserve">); see also </w:t>
      </w:r>
      <w:r>
        <w:rPr>
          <w:rFonts w:eastAsia="Century Schoolbook" w:cs="Century Schoolbook"/>
          <w:i/>
          <w:color w:val="000000"/>
          <w:szCs w:val="26"/>
        </w:rPr>
        <w:t>id.</w:t>
      </w:r>
      <w:r>
        <w:rPr>
          <w:rFonts w:eastAsia="Century Schoolbook" w:cs="Century Schoolbook"/>
          <w:color w:val="000000"/>
          <w:szCs w:val="26"/>
        </w:rPr>
        <w:t xml:space="preserve"> at p. 156 [appellate courts are not required to search the record for error].)  </w:t>
      </w:r>
    </w:p>
    <w:p w14:paraId="06EC0E95" w14:textId="656A3DD1" w:rsidR="00417E8F" w:rsidRPr="006A4013" w:rsidRDefault="00C627BF">
      <w:pPr>
        <w:shd w:val="clear" w:color="auto" w:fill="FFFFFF"/>
        <w:ind w:firstLine="720"/>
        <w:rPr>
          <w:rFonts w:eastAsia="Century Schoolbook" w:cs="Century Schoolbook"/>
          <w:color w:val="000000" w:themeColor="text1"/>
          <w:szCs w:val="26"/>
        </w:rPr>
      </w:pPr>
      <w:r w:rsidRPr="006A4013">
        <w:rPr>
          <w:rFonts w:eastAsia="Century Schoolbook" w:cs="Century Schoolbook"/>
          <w:color w:val="000000" w:themeColor="text1"/>
          <w:szCs w:val="26"/>
        </w:rPr>
        <w:t xml:space="preserve">In its response brief, the District noted the deficiencies in Campbell’s opening brief.  Yet Campbell elected not to reply.  </w:t>
      </w:r>
    </w:p>
    <w:p w14:paraId="28F82805" w14:textId="1D6099FA" w:rsidR="00417E8F" w:rsidRPr="006A4013" w:rsidRDefault="00C627BF">
      <w:pPr>
        <w:shd w:val="clear" w:color="auto" w:fill="FFFFFF"/>
        <w:ind w:firstLine="720"/>
        <w:rPr>
          <w:rFonts w:eastAsia="Century Schoolbook" w:cs="Century Schoolbook"/>
          <w:color w:val="000000" w:themeColor="text1"/>
          <w:szCs w:val="26"/>
        </w:rPr>
      </w:pPr>
      <w:r w:rsidRPr="006A4013">
        <w:rPr>
          <w:rFonts w:eastAsia="Century Schoolbook" w:cs="Century Schoolbook"/>
          <w:color w:val="000000" w:themeColor="text1"/>
          <w:szCs w:val="26"/>
        </w:rPr>
        <w:t xml:space="preserve">On the second issue, Campbell faults the superior court for relying on </w:t>
      </w:r>
      <w:r w:rsidRPr="006A4013">
        <w:rPr>
          <w:rFonts w:eastAsia="Century Schoolbook" w:cs="Century Schoolbook"/>
          <w:i/>
          <w:color w:val="000000" w:themeColor="text1"/>
          <w:szCs w:val="26"/>
        </w:rPr>
        <w:t>California School Employees Association v. Jefferson Elementary School District</w:t>
      </w:r>
      <w:r w:rsidRPr="006A4013">
        <w:rPr>
          <w:rFonts w:eastAsia="Century Schoolbook" w:cs="Century Schoolbook"/>
          <w:color w:val="000000" w:themeColor="text1"/>
          <w:szCs w:val="26"/>
        </w:rPr>
        <w:t xml:space="preserve"> (1975) 45 Cal.App.3d 683 (</w:t>
      </w:r>
      <w:r w:rsidRPr="006A4013">
        <w:rPr>
          <w:rFonts w:eastAsia="Century Schoolbook" w:cs="Century Schoolbook"/>
          <w:i/>
          <w:color w:val="000000" w:themeColor="text1"/>
          <w:szCs w:val="26"/>
        </w:rPr>
        <w:t>Jefferson Elementary</w:t>
      </w:r>
      <w:r w:rsidRPr="006A4013">
        <w:rPr>
          <w:rFonts w:eastAsia="Century Schoolbook" w:cs="Century Schoolbook"/>
          <w:color w:val="000000" w:themeColor="text1"/>
          <w:szCs w:val="26"/>
        </w:rPr>
        <w:t xml:space="preserve">) in upholding her dismissal.  </w:t>
      </w:r>
      <w:r w:rsidRPr="006A4013">
        <w:rPr>
          <w:rFonts w:eastAsia="Century Schoolbook" w:cs="Century Schoolbook"/>
          <w:i/>
          <w:color w:val="000000" w:themeColor="text1"/>
          <w:szCs w:val="26"/>
        </w:rPr>
        <w:t>Jefferson Elementary</w:t>
      </w:r>
      <w:r w:rsidRPr="006A4013">
        <w:rPr>
          <w:rFonts w:eastAsia="Century Schoolbook" w:cs="Century Schoolbook"/>
          <w:color w:val="000000" w:themeColor="text1"/>
          <w:szCs w:val="26"/>
        </w:rPr>
        <w:t xml:space="preserve"> is good law, and Campbell does not demonstrate the court’s reliance was inappropriate.  That </w:t>
      </w:r>
      <w:r>
        <w:rPr>
          <w:rFonts w:eastAsia="Century Schoolbook" w:cs="Century Schoolbook"/>
          <w:color w:val="000000"/>
          <w:szCs w:val="26"/>
        </w:rPr>
        <w:t xml:space="preserve">case, like this one, involved excessive </w:t>
      </w:r>
      <w:r>
        <w:rPr>
          <w:rFonts w:eastAsia="Century Schoolbook" w:cs="Century Schoolbook"/>
          <w:color w:val="000000"/>
          <w:szCs w:val="26"/>
        </w:rPr>
        <w:lastRenderedPageBreak/>
        <w:t xml:space="preserve">absences that increased others’ workloads and appropriately resulted in dismissal.  (See </w:t>
      </w:r>
      <w:r>
        <w:rPr>
          <w:rFonts w:eastAsia="Century Schoolbook" w:cs="Century Schoolbook"/>
          <w:i/>
          <w:color w:val="000000"/>
          <w:szCs w:val="26"/>
        </w:rPr>
        <w:t>Jefferson Elementary</w:t>
      </w:r>
      <w:r>
        <w:rPr>
          <w:rFonts w:eastAsia="Century Schoolbook" w:cs="Century Schoolbook"/>
          <w:color w:val="000000"/>
          <w:szCs w:val="26"/>
        </w:rPr>
        <w:t xml:space="preserve">, </w:t>
      </w:r>
      <w:r>
        <w:rPr>
          <w:rFonts w:eastAsia="Century Schoolbook" w:cs="Century Schoolbook"/>
          <w:i/>
          <w:color w:val="000000"/>
          <w:szCs w:val="26"/>
        </w:rPr>
        <w:t>supra</w:t>
      </w:r>
      <w:r>
        <w:rPr>
          <w:rFonts w:eastAsia="Century Schoolbook" w:cs="Century Schoolbook"/>
          <w:color w:val="000000"/>
          <w:szCs w:val="26"/>
        </w:rPr>
        <w:t xml:space="preserve">, 45 Cal.App.3d at </w:t>
      </w:r>
      <w:r w:rsidRPr="006A4013">
        <w:rPr>
          <w:rFonts w:eastAsia="Century Schoolbook" w:cs="Century Schoolbook"/>
          <w:color w:val="000000" w:themeColor="text1"/>
          <w:szCs w:val="26"/>
        </w:rPr>
        <w:t>pp. 687–689.)</w:t>
      </w:r>
    </w:p>
    <w:p w14:paraId="53242301" w14:textId="7CA9B077" w:rsidR="00417E8F" w:rsidRDefault="00C627BF">
      <w:pPr>
        <w:ind w:firstLine="720"/>
        <w:rPr>
          <w:rFonts w:eastAsia="Century Schoolbook" w:cs="Century Schoolbook"/>
          <w:color w:val="7030A0"/>
          <w:szCs w:val="26"/>
        </w:rPr>
      </w:pPr>
      <w:r w:rsidRPr="006A4013">
        <w:rPr>
          <w:rFonts w:eastAsia="Century Schoolbook" w:cs="Century Schoolbook"/>
          <w:color w:val="000000" w:themeColor="text1"/>
          <w:szCs w:val="26"/>
        </w:rPr>
        <w:t>Campbell maintains a more recent case (</w:t>
      </w:r>
      <w:r w:rsidRPr="006A4013">
        <w:rPr>
          <w:rFonts w:eastAsia="Century Schoolbook" w:cs="Century Schoolbook"/>
          <w:i/>
          <w:color w:val="000000" w:themeColor="text1"/>
          <w:szCs w:val="26"/>
        </w:rPr>
        <w:t>San Dieguito</w:t>
      </w:r>
      <w:r w:rsidRPr="006A4013">
        <w:rPr>
          <w:rFonts w:eastAsia="Century Schoolbook" w:cs="Century Schoolbook"/>
          <w:color w:val="000000" w:themeColor="text1"/>
          <w:szCs w:val="26"/>
        </w:rPr>
        <w:t xml:space="preserve">) shows the superior court erred.  Her argument seems to be the court upheld her dismissal based on the number of her absences, yet </w:t>
      </w:r>
      <w:r w:rsidRPr="006A4013">
        <w:rPr>
          <w:rFonts w:eastAsia="Century Schoolbook" w:cs="Century Schoolbook"/>
          <w:i/>
          <w:color w:val="000000" w:themeColor="text1"/>
          <w:szCs w:val="26"/>
        </w:rPr>
        <w:t>San Dieguito</w:t>
      </w:r>
      <w:r w:rsidRPr="006A4013">
        <w:rPr>
          <w:rFonts w:eastAsia="Century Schoolbook" w:cs="Century Schoolbook"/>
          <w:color w:val="000000" w:themeColor="text1"/>
          <w:szCs w:val="26"/>
        </w:rPr>
        <w:t xml:space="preserve"> says numbers alone are not determinative.  </w:t>
      </w:r>
      <w:r w:rsidRPr="00AE6912">
        <w:rPr>
          <w:rFonts w:eastAsia="Century Schoolbook" w:cs="Century Schoolbook"/>
          <w:color w:val="000000" w:themeColor="text1"/>
          <w:szCs w:val="26"/>
        </w:rPr>
        <w:t xml:space="preserve">Campbell raised this issue at the hearing on her petition, and the court explained why </w:t>
      </w:r>
      <w:r w:rsidRPr="00AE6912">
        <w:rPr>
          <w:rFonts w:eastAsia="Century Schoolbook" w:cs="Century Schoolbook"/>
          <w:i/>
          <w:color w:val="000000" w:themeColor="text1"/>
          <w:szCs w:val="26"/>
        </w:rPr>
        <w:t>San Dieguito</w:t>
      </w:r>
      <w:r w:rsidRPr="00AE6912">
        <w:rPr>
          <w:rFonts w:eastAsia="Century Schoolbook" w:cs="Century Schoolbook"/>
          <w:color w:val="000000" w:themeColor="text1"/>
          <w:szCs w:val="26"/>
        </w:rPr>
        <w:t xml:space="preserve"> is distinguishable:  the parties there had stipulated that the teacher’s absences were for reasons considered legitimate under district policy, unlike here, and that case did not involve the many directives regarding attendance and substantiation that Campbell received (and violated).  </w:t>
      </w:r>
      <w:r>
        <w:rPr>
          <w:rFonts w:eastAsia="Century Schoolbook" w:cs="Century Schoolbook"/>
          <w:color w:val="000000"/>
          <w:szCs w:val="26"/>
        </w:rPr>
        <w:t xml:space="preserve">(See </w:t>
      </w:r>
      <w:r>
        <w:rPr>
          <w:rFonts w:eastAsia="Century Schoolbook" w:cs="Century Schoolbook"/>
          <w:i/>
          <w:color w:val="000000"/>
          <w:szCs w:val="26"/>
        </w:rPr>
        <w:t>San Dieguito</w:t>
      </w:r>
      <w:r>
        <w:rPr>
          <w:rFonts w:eastAsia="Century Schoolbook" w:cs="Century Schoolbook"/>
          <w:color w:val="000000"/>
          <w:szCs w:val="26"/>
        </w:rPr>
        <w:t xml:space="preserve">, </w:t>
      </w:r>
      <w:r>
        <w:rPr>
          <w:rFonts w:eastAsia="Century Schoolbook" w:cs="Century Schoolbook"/>
          <w:i/>
          <w:color w:val="000000"/>
          <w:szCs w:val="26"/>
        </w:rPr>
        <w:t>supra</w:t>
      </w:r>
      <w:r>
        <w:rPr>
          <w:rFonts w:eastAsia="Century Schoolbook" w:cs="Century Schoolbook"/>
          <w:color w:val="000000"/>
          <w:szCs w:val="26"/>
        </w:rPr>
        <w:t>,</w:t>
      </w:r>
      <w:r>
        <w:rPr>
          <w:rFonts w:eastAsia="Century Schoolbook" w:cs="Century Schoolbook"/>
          <w:i/>
          <w:color w:val="000000"/>
          <w:szCs w:val="26"/>
        </w:rPr>
        <w:t xml:space="preserve"> </w:t>
      </w:r>
      <w:r>
        <w:rPr>
          <w:rFonts w:eastAsia="Century Schoolbook" w:cs="Century Schoolbook"/>
          <w:color w:val="000000"/>
          <w:szCs w:val="26"/>
        </w:rPr>
        <w:t>135 Cal.App.3d at pp. 282 &amp; 286–288.)</w:t>
      </w:r>
    </w:p>
    <w:p w14:paraId="2C5FB960" w14:textId="3026CBEE" w:rsidR="00417E8F" w:rsidRPr="00612C33" w:rsidRDefault="00C627BF">
      <w:pPr>
        <w:ind w:firstLine="720"/>
        <w:rPr>
          <w:rFonts w:eastAsia="Century Schoolbook" w:cs="Century Schoolbook"/>
          <w:color w:val="FF0000"/>
          <w:szCs w:val="26"/>
        </w:rPr>
      </w:pPr>
      <w:r>
        <w:rPr>
          <w:rFonts w:eastAsia="Century Schoolbook" w:cs="Century Schoolbook"/>
          <w:color w:val="000000"/>
          <w:szCs w:val="26"/>
        </w:rPr>
        <w:t xml:space="preserve">More to the point, the superior court did not uphold Campbell’s dismissal solely based on the number of her absences.  </w:t>
      </w:r>
      <w:r w:rsidRPr="008C7FA6">
        <w:rPr>
          <w:rFonts w:eastAsia="Century Schoolbook" w:cs="Century Schoolbook"/>
          <w:color w:val="000000" w:themeColor="text1"/>
          <w:szCs w:val="26"/>
        </w:rPr>
        <w:t>In its written ruling, the court stated Campbell was absent or tardy almost 38% of her workdays for the 2015</w:t>
      </w:r>
      <w:r w:rsidR="006722A8">
        <w:rPr>
          <w:rFonts w:eastAsia="Century Schoolbook" w:cs="Century Schoolbook"/>
          <w:color w:val="000000" w:themeColor="text1"/>
          <w:szCs w:val="26"/>
        </w:rPr>
        <w:t>–</w:t>
      </w:r>
      <w:r w:rsidRPr="008C7FA6">
        <w:rPr>
          <w:rFonts w:eastAsia="Century Schoolbook" w:cs="Century Schoolbook"/>
          <w:color w:val="000000" w:themeColor="text1"/>
          <w:szCs w:val="26"/>
        </w:rPr>
        <w:t>2016 school year and 45% of her workdays for the following school year.  The court observed “Campbell’s poor attendance has had a negative impact on students and burdened her fellow teachers.”  The court also pointed to conduct apart from absenteeism (and its effect on students and teachers) that justified discipline, noting the “sheer magnitude” of Campbell’s “collective failures” separated her from teachers who might fail to attend or complete something.  In upholding the penalty of dismissal</w:t>
      </w:r>
      <w:r w:rsidRPr="00AE6912">
        <w:rPr>
          <w:rFonts w:eastAsia="Century Schoolbook" w:cs="Century Schoolbook"/>
          <w:color w:val="000000" w:themeColor="text1"/>
          <w:szCs w:val="26"/>
        </w:rPr>
        <w:t>, the court recognized</w:t>
      </w:r>
      <w:proofErr w:type="gramStart"/>
      <w:r w:rsidRPr="00AE6912">
        <w:rPr>
          <w:rFonts w:eastAsia="Century Schoolbook" w:cs="Century Schoolbook"/>
          <w:color w:val="000000" w:themeColor="text1"/>
          <w:szCs w:val="26"/>
        </w:rPr>
        <w:t>:  “</w:t>
      </w:r>
      <w:proofErr w:type="gramEnd"/>
      <w:r w:rsidRPr="00AE6912">
        <w:rPr>
          <w:rFonts w:eastAsia="Century Schoolbook" w:cs="Century Schoolbook"/>
          <w:color w:val="000000" w:themeColor="text1"/>
          <w:szCs w:val="26"/>
        </w:rPr>
        <w:t xml:space="preserve">During both years, [Campbell] was notified of the adverse effects her poor attendance record had on her students in the majority of the conference memoranda issued to her.”  Campbell </w:t>
      </w:r>
      <w:r w:rsidRPr="008C7FA6">
        <w:rPr>
          <w:rFonts w:eastAsia="Century Schoolbook" w:cs="Century Schoolbook"/>
          <w:color w:val="000000" w:themeColor="text1"/>
          <w:szCs w:val="26"/>
        </w:rPr>
        <w:t xml:space="preserve">nevertheless “treated her position as a part-time job” to the detriment of her </w:t>
      </w:r>
      <w:r w:rsidRPr="008C7FA6">
        <w:rPr>
          <w:rFonts w:eastAsia="Century Schoolbook" w:cs="Century Schoolbook"/>
          <w:color w:val="000000" w:themeColor="text1"/>
          <w:szCs w:val="26"/>
        </w:rPr>
        <w:lastRenderedPageBreak/>
        <w:t xml:space="preserve">students and fellow teachers and “came to work when she did not have other matters to which she gave priority . . . in the face of repeated directives to come to work every day on a timely basis, and to stay all day.”  </w:t>
      </w:r>
    </w:p>
    <w:p w14:paraId="6F5773CF" w14:textId="1DE4E0B7" w:rsidR="00417E8F" w:rsidRDefault="00C627BF">
      <w:pPr>
        <w:ind w:firstLine="720"/>
        <w:rPr>
          <w:rFonts w:eastAsia="Century Schoolbook" w:cs="Century Schoolbook"/>
          <w:color w:val="000000"/>
          <w:szCs w:val="26"/>
        </w:rPr>
      </w:pPr>
      <w:r w:rsidRPr="006A4013">
        <w:rPr>
          <w:rFonts w:eastAsia="Century Schoolbook" w:cs="Century Schoolbook"/>
          <w:color w:val="000000" w:themeColor="text1"/>
          <w:szCs w:val="26"/>
        </w:rPr>
        <w:t xml:space="preserve">Within her argument of her second appellate issue, Campbell makes other points concerning her competence, absences, protected leave, and certifications/verifications for her absences.  Because </w:t>
      </w:r>
      <w:r>
        <w:rPr>
          <w:rFonts w:eastAsia="Century Schoolbook" w:cs="Century Schoolbook"/>
          <w:color w:val="000000"/>
          <w:szCs w:val="26"/>
        </w:rPr>
        <w:t xml:space="preserve">these points lack evidentiary citations, they are forfeited.  (See </w:t>
      </w:r>
      <w:r>
        <w:rPr>
          <w:rFonts w:eastAsia="Century Schoolbook" w:cs="Century Schoolbook"/>
          <w:i/>
          <w:color w:val="000000"/>
          <w:szCs w:val="26"/>
        </w:rPr>
        <w:t>Malibu Hillbillies</w:t>
      </w:r>
      <w:r>
        <w:rPr>
          <w:rFonts w:eastAsia="Century Schoolbook" w:cs="Century Schoolbook"/>
          <w:color w:val="000000"/>
          <w:szCs w:val="26"/>
        </w:rPr>
        <w:t xml:space="preserve">, </w:t>
      </w:r>
      <w:r>
        <w:rPr>
          <w:rFonts w:eastAsia="Century Schoolbook" w:cs="Century Schoolbook"/>
          <w:i/>
          <w:color w:val="000000"/>
          <w:szCs w:val="26"/>
        </w:rPr>
        <w:t>supra</w:t>
      </w:r>
      <w:r>
        <w:rPr>
          <w:rFonts w:eastAsia="Century Schoolbook" w:cs="Century Schoolbook"/>
          <w:color w:val="000000"/>
          <w:szCs w:val="26"/>
        </w:rPr>
        <w:t xml:space="preserve">, 36 Cal.App.5th at p. 163.)   </w:t>
      </w:r>
    </w:p>
    <w:p w14:paraId="0902C789" w14:textId="7E2CE974" w:rsidR="00417E8F" w:rsidRDefault="00C627BF">
      <w:pPr>
        <w:ind w:firstLine="720"/>
        <w:rPr>
          <w:rFonts w:eastAsia="Century Schoolbook" w:cs="Century Schoolbook"/>
          <w:color w:val="0070C0"/>
          <w:szCs w:val="26"/>
        </w:rPr>
      </w:pPr>
      <w:r w:rsidRPr="00864573">
        <w:rPr>
          <w:rFonts w:eastAsia="Century Schoolbook" w:cs="Century Schoolbook"/>
          <w:color w:val="000000" w:themeColor="text1"/>
          <w:szCs w:val="26"/>
        </w:rPr>
        <w:t xml:space="preserve">Campbell acknowledges the Commission found she was absent 52 days and partially absent/tardy 97 times over two school years.  She argues some of her tardies were extremely minor, other teachers were tardy, yet no one else was disciplined or was required to submit GPS traffic printouts when they claimed traffic caused their tardiness.  Campbell complains of other disparate treatment.  She also claims the District provided unreliable bus transportation that affected her child and caused her to be late to work, the District lost her child once, and the school’s office manager admitted to hiding Campbell’s absent/illness documents for a three-month period.  Campbell </w:t>
      </w:r>
      <w:r>
        <w:rPr>
          <w:rFonts w:eastAsia="Century Schoolbook" w:cs="Century Schoolbook"/>
          <w:color w:val="000000"/>
          <w:szCs w:val="26"/>
        </w:rPr>
        <w:t xml:space="preserve">does not show how any of this affects the total picture such that it requires overturning her dismissal.  (See </w:t>
      </w:r>
      <w:r>
        <w:rPr>
          <w:rFonts w:eastAsia="Century Schoolbook" w:cs="Century Schoolbook"/>
          <w:i/>
          <w:color w:val="000000"/>
          <w:szCs w:val="26"/>
        </w:rPr>
        <w:t>Malibu Hillbillies</w:t>
      </w:r>
      <w:r>
        <w:rPr>
          <w:rFonts w:eastAsia="Century Schoolbook" w:cs="Century Schoolbook"/>
          <w:color w:val="000000"/>
          <w:szCs w:val="26"/>
        </w:rPr>
        <w:t xml:space="preserve">, </w:t>
      </w:r>
      <w:r>
        <w:rPr>
          <w:rFonts w:eastAsia="Century Schoolbook" w:cs="Century Schoolbook"/>
          <w:i/>
          <w:color w:val="000000"/>
          <w:szCs w:val="26"/>
        </w:rPr>
        <w:t>supra</w:t>
      </w:r>
      <w:r>
        <w:rPr>
          <w:rFonts w:eastAsia="Century Schoolbook" w:cs="Century Schoolbook"/>
          <w:color w:val="000000"/>
          <w:szCs w:val="26"/>
        </w:rPr>
        <w:t xml:space="preserve">, 36 Cal.App.5th at pp. 146 &amp; 153 [appellants must supply cogent argument supported by legal analysis and record citations to demonstrate error].)   </w:t>
      </w:r>
    </w:p>
    <w:p w14:paraId="2506C2A8" w14:textId="5DC281DB" w:rsidR="0064129F" w:rsidRPr="00AE6912" w:rsidRDefault="00C627BF" w:rsidP="00AE6912">
      <w:pPr>
        <w:shd w:val="clear" w:color="auto" w:fill="FFFFFF"/>
        <w:ind w:firstLine="720"/>
        <w:rPr>
          <w:rFonts w:eastAsia="Century Schoolbook" w:cs="Century Schoolbook"/>
          <w:color w:val="000000"/>
          <w:szCs w:val="26"/>
        </w:rPr>
      </w:pPr>
      <w:r>
        <w:rPr>
          <w:rFonts w:eastAsia="Century Schoolbook" w:cs="Century Schoolbook"/>
          <w:color w:val="000000"/>
          <w:szCs w:val="26"/>
        </w:rPr>
        <w:t>Campbell had the burden of demonstrating error.  (</w:t>
      </w:r>
      <w:r>
        <w:rPr>
          <w:rFonts w:eastAsia="Century Schoolbook" w:cs="Century Schoolbook"/>
          <w:i/>
          <w:color w:val="000000"/>
          <w:szCs w:val="26"/>
        </w:rPr>
        <w:t>Jameson v. Desta</w:t>
      </w:r>
      <w:r>
        <w:rPr>
          <w:rFonts w:eastAsia="Century Schoolbook" w:cs="Century Schoolbook"/>
          <w:color w:val="000000"/>
          <w:szCs w:val="26"/>
        </w:rPr>
        <w:t xml:space="preserve"> (2018) 5 Cal.5th 594, 609.)  She failed to overcome the presumption that the result here was correct.  (</w:t>
      </w:r>
      <w:r>
        <w:rPr>
          <w:rFonts w:eastAsia="Century Schoolbook" w:cs="Century Schoolbook"/>
          <w:i/>
          <w:color w:val="000000"/>
          <w:szCs w:val="26"/>
        </w:rPr>
        <w:t>See i</w:t>
      </w:r>
      <w:r w:rsidR="007C0339">
        <w:rPr>
          <w:rFonts w:eastAsia="Century Schoolbook" w:cs="Century Schoolbook"/>
          <w:i/>
          <w:color w:val="000000"/>
          <w:szCs w:val="26"/>
        </w:rPr>
        <w:t>bi</w:t>
      </w:r>
      <w:r>
        <w:rPr>
          <w:rFonts w:eastAsia="Century Schoolbook" w:cs="Century Schoolbook"/>
          <w:i/>
          <w:color w:val="000000"/>
          <w:szCs w:val="26"/>
        </w:rPr>
        <w:t>d.</w:t>
      </w:r>
      <w:r>
        <w:rPr>
          <w:rFonts w:eastAsia="Century Schoolbook" w:cs="Century Schoolbook"/>
          <w:color w:val="000000"/>
          <w:szCs w:val="26"/>
        </w:rPr>
        <w:t>)</w:t>
      </w:r>
    </w:p>
    <w:p w14:paraId="7DECF197" w14:textId="66CB6C4D" w:rsidR="00417E8F" w:rsidRDefault="00C627BF">
      <w:pPr>
        <w:shd w:val="clear" w:color="auto" w:fill="FFFFFF"/>
        <w:jc w:val="center"/>
        <w:rPr>
          <w:rFonts w:eastAsia="Century Schoolbook" w:cs="Century Schoolbook"/>
          <w:b/>
          <w:color w:val="000000"/>
          <w:szCs w:val="26"/>
        </w:rPr>
      </w:pPr>
      <w:r>
        <w:rPr>
          <w:rFonts w:eastAsia="Century Schoolbook" w:cs="Century Schoolbook"/>
          <w:b/>
          <w:color w:val="000000"/>
          <w:szCs w:val="26"/>
        </w:rPr>
        <w:lastRenderedPageBreak/>
        <w:t>DISPOSITION</w:t>
      </w:r>
    </w:p>
    <w:p w14:paraId="05FD2838" w14:textId="4AAB56A7" w:rsidR="00417E8F" w:rsidRDefault="00C627BF">
      <w:pPr>
        <w:shd w:val="clear" w:color="auto" w:fill="FFFFFF"/>
        <w:ind w:firstLine="720"/>
        <w:rPr>
          <w:rFonts w:eastAsia="Century Schoolbook" w:cs="Century Schoolbook"/>
          <w:color w:val="000000"/>
          <w:szCs w:val="26"/>
        </w:rPr>
      </w:pPr>
      <w:r>
        <w:rPr>
          <w:rFonts w:eastAsia="Century Schoolbook" w:cs="Century Schoolbook"/>
          <w:color w:val="000000"/>
          <w:szCs w:val="26"/>
        </w:rPr>
        <w:t xml:space="preserve">We affirm the judgment and award costs to the District.  </w:t>
      </w:r>
    </w:p>
    <w:p w14:paraId="5BFC9148" w14:textId="77777777" w:rsidR="00417E8F" w:rsidRDefault="00417E8F">
      <w:pPr>
        <w:shd w:val="clear" w:color="auto" w:fill="FFFFFF"/>
        <w:ind w:firstLine="720"/>
        <w:rPr>
          <w:rFonts w:eastAsia="Century Schoolbook" w:cs="Century Schoolbook"/>
          <w:szCs w:val="26"/>
        </w:rPr>
      </w:pPr>
    </w:p>
    <w:p w14:paraId="29E89B90" w14:textId="77777777" w:rsidR="006722A8" w:rsidRDefault="006722A8">
      <w:pPr>
        <w:shd w:val="clear" w:color="auto" w:fill="FFFFFF"/>
        <w:ind w:firstLine="720"/>
        <w:rPr>
          <w:rFonts w:eastAsia="Century Schoolbook" w:cs="Century Schoolbook"/>
          <w:szCs w:val="26"/>
        </w:rPr>
      </w:pPr>
    </w:p>
    <w:p w14:paraId="5869C4D1" w14:textId="77777777" w:rsidR="006722A8" w:rsidRDefault="006722A8">
      <w:pPr>
        <w:shd w:val="clear" w:color="auto" w:fill="FFFFFF"/>
        <w:ind w:firstLine="720"/>
        <w:rPr>
          <w:rFonts w:eastAsia="Century Schoolbook" w:cs="Century Schoolbook"/>
          <w:szCs w:val="26"/>
        </w:rPr>
      </w:pPr>
    </w:p>
    <w:p w14:paraId="035E660E" w14:textId="77777777" w:rsidR="00417E8F" w:rsidRDefault="00C627BF">
      <w:pPr>
        <w:ind w:left="4320" w:firstLine="720"/>
        <w:rPr>
          <w:rFonts w:eastAsia="Century Schoolbook" w:cs="Century Schoolbook"/>
          <w:szCs w:val="26"/>
        </w:rPr>
      </w:pPr>
      <w:r>
        <w:rPr>
          <w:rFonts w:eastAsia="Century Schoolbook" w:cs="Century Schoolbook"/>
          <w:szCs w:val="26"/>
        </w:rPr>
        <w:t>WILEY, J.</w:t>
      </w:r>
    </w:p>
    <w:p w14:paraId="577DD3F8" w14:textId="77777777" w:rsidR="00417E8F" w:rsidRDefault="00417E8F">
      <w:pPr>
        <w:rPr>
          <w:rFonts w:eastAsia="Century Schoolbook" w:cs="Century Schoolbook"/>
          <w:szCs w:val="26"/>
        </w:rPr>
      </w:pPr>
    </w:p>
    <w:p w14:paraId="1139A35E" w14:textId="77777777" w:rsidR="00417E8F" w:rsidRDefault="00C627BF">
      <w:pPr>
        <w:rPr>
          <w:rFonts w:eastAsia="Century Schoolbook" w:cs="Century Schoolbook"/>
          <w:szCs w:val="26"/>
        </w:rPr>
      </w:pPr>
      <w:r>
        <w:rPr>
          <w:rFonts w:eastAsia="Century Schoolbook" w:cs="Century Schoolbook"/>
          <w:szCs w:val="26"/>
        </w:rPr>
        <w:t>We concur:  </w:t>
      </w:r>
    </w:p>
    <w:p w14:paraId="3230F8FC" w14:textId="77777777" w:rsidR="00CA697D" w:rsidRDefault="00CA697D">
      <w:pPr>
        <w:rPr>
          <w:rFonts w:eastAsia="Century Schoolbook" w:cs="Century Schoolbook"/>
          <w:szCs w:val="26"/>
        </w:rPr>
      </w:pPr>
    </w:p>
    <w:p w14:paraId="58E830F4" w14:textId="77777777" w:rsidR="00612C33" w:rsidRDefault="00612C33">
      <w:pPr>
        <w:rPr>
          <w:rFonts w:eastAsia="Century Schoolbook" w:cs="Century Schoolbook"/>
          <w:szCs w:val="26"/>
        </w:rPr>
      </w:pPr>
    </w:p>
    <w:p w14:paraId="685219FC" w14:textId="0259B625" w:rsidR="00417E8F" w:rsidRDefault="00C627BF" w:rsidP="00E044CD">
      <w:pPr>
        <w:rPr>
          <w:rFonts w:eastAsia="Century Schoolbook" w:cs="Century Schoolbook"/>
          <w:szCs w:val="26"/>
        </w:rPr>
      </w:pPr>
      <w:r>
        <w:rPr>
          <w:rFonts w:eastAsia="Century Schoolbook" w:cs="Century Schoolbook"/>
          <w:szCs w:val="26"/>
        </w:rPr>
        <w:tab/>
      </w:r>
      <w:r>
        <w:rPr>
          <w:rFonts w:eastAsia="Century Schoolbook" w:cs="Century Schoolbook"/>
          <w:szCs w:val="26"/>
        </w:rPr>
        <w:tab/>
        <w:t>STRATTON, P. J.  </w:t>
      </w:r>
    </w:p>
    <w:p w14:paraId="52CA845C" w14:textId="77777777" w:rsidR="00E044CD" w:rsidRDefault="00E044CD" w:rsidP="00E044CD">
      <w:pPr>
        <w:rPr>
          <w:rFonts w:eastAsia="Century Schoolbook" w:cs="Century Schoolbook"/>
          <w:szCs w:val="26"/>
        </w:rPr>
      </w:pPr>
    </w:p>
    <w:p w14:paraId="6530374F" w14:textId="77777777" w:rsidR="00CA697D" w:rsidRDefault="00CA697D" w:rsidP="00E044CD">
      <w:pPr>
        <w:rPr>
          <w:rFonts w:eastAsia="Century Schoolbook" w:cs="Century Schoolbook"/>
          <w:szCs w:val="26"/>
        </w:rPr>
      </w:pPr>
    </w:p>
    <w:p w14:paraId="49210241" w14:textId="77777777" w:rsidR="00612C33" w:rsidRDefault="00612C33" w:rsidP="00E044CD">
      <w:pPr>
        <w:rPr>
          <w:rFonts w:eastAsia="Century Schoolbook" w:cs="Century Schoolbook"/>
          <w:szCs w:val="26"/>
        </w:rPr>
      </w:pPr>
    </w:p>
    <w:p w14:paraId="00BEEDBA" w14:textId="77777777" w:rsidR="004E26E3" w:rsidRDefault="00C627BF" w:rsidP="00A970EA">
      <w:pPr>
        <w:ind w:left="720" w:firstLine="720"/>
        <w:rPr>
          <w:rFonts w:eastAsia="Century Schoolbook" w:cs="Century Schoolbook"/>
          <w:szCs w:val="26"/>
        </w:rPr>
        <w:sectPr w:rsidR="004E26E3" w:rsidSect="00824B5B">
          <w:headerReference w:type="even" r:id="rId7"/>
          <w:headerReference w:type="default" r:id="rId8"/>
          <w:footerReference w:type="even" r:id="rId9"/>
          <w:footerReference w:type="default" r:id="rId10"/>
          <w:headerReference w:type="first" r:id="rId11"/>
          <w:footerReference w:type="first" r:id="rId12"/>
          <w:pgSz w:w="12240" w:h="15840"/>
          <w:pgMar w:top="2160" w:right="2160" w:bottom="2160" w:left="2160" w:header="720" w:footer="720" w:gutter="0"/>
          <w:pgNumType w:start="1"/>
          <w:cols w:space="720"/>
          <w:titlePg/>
        </w:sectPr>
      </w:pPr>
      <w:r>
        <w:rPr>
          <w:rFonts w:eastAsia="Century Schoolbook" w:cs="Century Schoolbook"/>
          <w:szCs w:val="26"/>
        </w:rPr>
        <w:t xml:space="preserve">GRIMES, J.  </w:t>
      </w:r>
    </w:p>
    <w:p w14:paraId="37B2B7D0" w14:textId="77777777" w:rsidR="004E26E3" w:rsidRDefault="004E26E3" w:rsidP="004E26E3">
      <w:pPr>
        <w:spacing w:line="240" w:lineRule="auto"/>
        <w:ind w:hanging="2"/>
        <w:rPr>
          <w:rFonts w:eastAsia="Century Schoolbook" w:cs="Century Schoolbook"/>
          <w:sz w:val="20"/>
          <w:szCs w:val="20"/>
        </w:rPr>
      </w:pPr>
      <w:r>
        <w:rPr>
          <w:rFonts w:eastAsia="Century Schoolbook" w:cs="Century Schoolbook"/>
          <w:sz w:val="20"/>
          <w:szCs w:val="20"/>
        </w:rPr>
        <w:lastRenderedPageBreak/>
        <w:t xml:space="preserve">Filed </w:t>
      </w:r>
      <w:proofErr w:type="gramStart"/>
      <w:r>
        <w:rPr>
          <w:rFonts w:eastAsia="Century Schoolbook" w:cs="Century Schoolbook"/>
          <w:sz w:val="20"/>
          <w:szCs w:val="20"/>
        </w:rPr>
        <w:t>5/22/24</w:t>
      </w:r>
      <w:proofErr w:type="gramEnd"/>
    </w:p>
    <w:p w14:paraId="5E4265BA" w14:textId="77777777" w:rsidR="004E26E3" w:rsidRDefault="004E26E3" w:rsidP="004E26E3">
      <w:pPr>
        <w:spacing w:line="240" w:lineRule="auto"/>
        <w:ind w:hanging="3"/>
        <w:jc w:val="center"/>
        <w:rPr>
          <w:rFonts w:eastAsia="Century Schoolbook" w:cs="Century Schoolbook"/>
        </w:rPr>
      </w:pPr>
      <w:r>
        <w:rPr>
          <w:rFonts w:eastAsia="Century Schoolbook" w:cs="Century Schoolbook"/>
          <w:b/>
        </w:rPr>
        <w:t>CERTIFIED FOR PUBLICATION</w:t>
      </w:r>
    </w:p>
    <w:p w14:paraId="34457A98" w14:textId="77777777" w:rsidR="004E26E3" w:rsidRDefault="004E26E3" w:rsidP="004E26E3">
      <w:pPr>
        <w:spacing w:line="240" w:lineRule="auto"/>
        <w:ind w:hanging="3"/>
        <w:jc w:val="center"/>
        <w:rPr>
          <w:rFonts w:eastAsia="Century Schoolbook" w:cs="Century Schoolbook"/>
        </w:rPr>
      </w:pPr>
    </w:p>
    <w:p w14:paraId="687CF3E1" w14:textId="77777777" w:rsidR="004E26E3" w:rsidRDefault="004E26E3" w:rsidP="004E26E3">
      <w:pPr>
        <w:spacing w:line="276" w:lineRule="auto"/>
        <w:ind w:hanging="3"/>
        <w:jc w:val="center"/>
        <w:rPr>
          <w:rFonts w:eastAsia="Century Schoolbook" w:cs="Century Schoolbook"/>
        </w:rPr>
      </w:pPr>
      <w:r>
        <w:rPr>
          <w:rFonts w:eastAsia="Century Schoolbook" w:cs="Century Schoolbook"/>
        </w:rPr>
        <w:t>IN THE COURT OF APPEAL OF THE STATE OF CALIFORNIA</w:t>
      </w:r>
    </w:p>
    <w:p w14:paraId="1CA4F6B3" w14:textId="77777777" w:rsidR="004E26E3" w:rsidRDefault="004E26E3" w:rsidP="004E26E3">
      <w:pPr>
        <w:spacing w:line="276" w:lineRule="auto"/>
        <w:ind w:hanging="3"/>
        <w:jc w:val="center"/>
        <w:rPr>
          <w:rFonts w:eastAsia="Century Schoolbook" w:cs="Century Schoolbook"/>
        </w:rPr>
      </w:pPr>
    </w:p>
    <w:p w14:paraId="7F990372" w14:textId="77777777" w:rsidR="004E26E3" w:rsidRDefault="004E26E3" w:rsidP="004E26E3">
      <w:pPr>
        <w:spacing w:line="276" w:lineRule="auto"/>
        <w:ind w:hanging="3"/>
        <w:jc w:val="center"/>
        <w:rPr>
          <w:rFonts w:eastAsia="Century Schoolbook" w:cs="Century Schoolbook"/>
        </w:rPr>
      </w:pPr>
      <w:r>
        <w:rPr>
          <w:rFonts w:eastAsia="Century Schoolbook" w:cs="Century Schoolbook"/>
        </w:rPr>
        <w:t>SECOND APPELLATE DISTRICT</w:t>
      </w:r>
    </w:p>
    <w:p w14:paraId="2C262520" w14:textId="77777777" w:rsidR="004E26E3" w:rsidRDefault="004E26E3" w:rsidP="004E26E3">
      <w:pPr>
        <w:spacing w:line="276" w:lineRule="auto"/>
        <w:ind w:hanging="3"/>
        <w:jc w:val="center"/>
        <w:rPr>
          <w:rFonts w:eastAsia="Century Schoolbook" w:cs="Century Schoolbook"/>
        </w:rPr>
      </w:pPr>
    </w:p>
    <w:p w14:paraId="4E6B0814" w14:textId="77777777" w:rsidR="004E26E3" w:rsidRDefault="004E26E3" w:rsidP="004E26E3">
      <w:pPr>
        <w:spacing w:line="276" w:lineRule="auto"/>
        <w:ind w:hanging="3"/>
        <w:jc w:val="center"/>
        <w:rPr>
          <w:rFonts w:eastAsia="Century Schoolbook" w:cs="Century Schoolbook"/>
        </w:rPr>
      </w:pPr>
      <w:r>
        <w:rPr>
          <w:rFonts w:eastAsia="Century Schoolbook" w:cs="Century Schoolbook"/>
        </w:rPr>
        <w:t>DIVISION EIGHT</w:t>
      </w:r>
    </w:p>
    <w:p w14:paraId="7B21BDBB" w14:textId="77777777" w:rsidR="004E26E3" w:rsidRPr="00CA1892" w:rsidRDefault="004E26E3" w:rsidP="004E26E3">
      <w:pPr>
        <w:spacing w:line="276" w:lineRule="auto"/>
        <w:ind w:hanging="3"/>
        <w:jc w:val="center"/>
        <w:rPr>
          <w:rFonts w:eastAsia="Century Schoolbook" w:cs="Century Schoolbook"/>
        </w:rPr>
      </w:pPr>
    </w:p>
    <w:tbl>
      <w:tblPr>
        <w:tblW w:w="9013" w:type="dxa"/>
        <w:tblInd w:w="-108" w:type="dxa"/>
        <w:tblLayout w:type="fixed"/>
        <w:tblLook w:val="0000" w:firstRow="0" w:lastRow="0" w:firstColumn="0" w:lastColumn="0" w:noHBand="0" w:noVBand="0"/>
      </w:tblPr>
      <w:tblGrid>
        <w:gridCol w:w="3998"/>
        <w:gridCol w:w="5015"/>
      </w:tblGrid>
      <w:tr w:rsidR="004E26E3" w:rsidRPr="00CA1892" w14:paraId="5C7E79AB" w14:textId="77777777" w:rsidTr="002E5800">
        <w:trPr>
          <w:trHeight w:val="4365"/>
        </w:trPr>
        <w:tc>
          <w:tcPr>
            <w:tcW w:w="3998" w:type="dxa"/>
            <w:tcBorders>
              <w:top w:val="nil"/>
              <w:left w:val="nil"/>
              <w:bottom w:val="single" w:sz="4" w:space="0" w:color="000000"/>
              <w:right w:val="single" w:sz="4" w:space="0" w:color="000000"/>
            </w:tcBorders>
          </w:tcPr>
          <w:p w14:paraId="5878A04D" w14:textId="77777777" w:rsidR="004E26E3" w:rsidRDefault="004E26E3" w:rsidP="002E5800">
            <w:pPr>
              <w:spacing w:line="276" w:lineRule="auto"/>
              <w:ind w:hanging="3"/>
              <w:rPr>
                <w:rFonts w:eastAsia="Century Schoolbook" w:cs="Century Schoolbook"/>
              </w:rPr>
            </w:pPr>
          </w:p>
          <w:p w14:paraId="26AA7D12" w14:textId="77777777" w:rsidR="004E26E3" w:rsidRPr="00CA1892" w:rsidRDefault="004E26E3" w:rsidP="002E5800">
            <w:pPr>
              <w:spacing w:line="276" w:lineRule="auto"/>
              <w:ind w:hanging="3"/>
              <w:rPr>
                <w:rFonts w:eastAsia="Century Schoolbook" w:cs="Century Schoolbook"/>
                <w:color w:val="000000"/>
              </w:rPr>
            </w:pPr>
            <w:r w:rsidRPr="00CA1892">
              <w:rPr>
                <w:rFonts w:eastAsia="Century Schoolbook" w:cs="Century Schoolbook"/>
              </w:rPr>
              <w:t>JOHN SANDY CAMPBELL</w:t>
            </w:r>
            <w:r w:rsidRPr="00CA1892">
              <w:rPr>
                <w:rFonts w:eastAsia="Century Schoolbook" w:cs="Century Schoolbook"/>
                <w:color w:val="000000"/>
              </w:rPr>
              <w:t xml:space="preserve">, </w:t>
            </w:r>
          </w:p>
          <w:p w14:paraId="758CDFDF" w14:textId="77777777" w:rsidR="004E26E3" w:rsidRPr="00CA1892" w:rsidRDefault="004E26E3" w:rsidP="002E5800">
            <w:pPr>
              <w:spacing w:line="276" w:lineRule="auto"/>
              <w:ind w:hanging="3"/>
              <w:rPr>
                <w:rFonts w:eastAsia="Century Schoolbook" w:cs="Century Schoolbook"/>
                <w:color w:val="000000"/>
              </w:rPr>
            </w:pPr>
          </w:p>
          <w:p w14:paraId="38756107" w14:textId="77777777" w:rsidR="004E26E3" w:rsidRPr="00CA1892" w:rsidRDefault="004E26E3" w:rsidP="002E5800">
            <w:pPr>
              <w:spacing w:line="276" w:lineRule="auto"/>
              <w:ind w:hanging="3"/>
              <w:rPr>
                <w:rFonts w:eastAsia="Century Schoolbook" w:cs="Century Schoolbook"/>
                <w:color w:val="000000"/>
              </w:rPr>
            </w:pPr>
            <w:r>
              <w:rPr>
                <w:rFonts w:eastAsia="Century Schoolbook" w:cs="Century Schoolbook"/>
                <w:color w:val="000000"/>
              </w:rPr>
              <w:t xml:space="preserve">    </w:t>
            </w:r>
            <w:r w:rsidRPr="00CA1892">
              <w:rPr>
                <w:rFonts w:eastAsia="Century Schoolbook" w:cs="Century Schoolbook"/>
                <w:color w:val="000000"/>
              </w:rPr>
              <w:t>Plaintiff and Appellant,</w:t>
            </w:r>
          </w:p>
          <w:p w14:paraId="0A181C7E" w14:textId="77777777" w:rsidR="004E26E3" w:rsidRPr="00CA1892" w:rsidRDefault="004E26E3" w:rsidP="002E5800">
            <w:pPr>
              <w:spacing w:line="276" w:lineRule="auto"/>
              <w:ind w:hanging="3"/>
              <w:rPr>
                <w:rFonts w:eastAsia="Century Schoolbook" w:cs="Century Schoolbook"/>
                <w:color w:val="000000"/>
              </w:rPr>
            </w:pPr>
          </w:p>
          <w:p w14:paraId="5A09C42C" w14:textId="77777777" w:rsidR="004E26E3" w:rsidRPr="00CA1892" w:rsidRDefault="004E26E3" w:rsidP="002E5800">
            <w:pPr>
              <w:spacing w:line="276" w:lineRule="auto"/>
              <w:ind w:hanging="3"/>
              <w:rPr>
                <w:rFonts w:eastAsia="Century Schoolbook" w:cs="Century Schoolbook"/>
                <w:color w:val="000000"/>
              </w:rPr>
            </w:pPr>
            <w:r w:rsidRPr="00CA1892">
              <w:rPr>
                <w:rFonts w:eastAsia="Century Schoolbook" w:cs="Century Schoolbook"/>
                <w:color w:val="000000"/>
              </w:rPr>
              <w:tab/>
              <w:t>v.</w:t>
            </w:r>
          </w:p>
          <w:p w14:paraId="43B7A0E1" w14:textId="77777777" w:rsidR="004E26E3" w:rsidRPr="00CA1892" w:rsidRDefault="004E26E3" w:rsidP="002E5800">
            <w:pPr>
              <w:spacing w:line="276" w:lineRule="auto"/>
              <w:ind w:hanging="3"/>
              <w:rPr>
                <w:rFonts w:eastAsia="Century Schoolbook" w:cs="Century Schoolbook"/>
                <w:color w:val="000000"/>
              </w:rPr>
            </w:pPr>
          </w:p>
          <w:p w14:paraId="76A3A9DB" w14:textId="77777777" w:rsidR="004E26E3" w:rsidRPr="00CA1892" w:rsidRDefault="004E26E3" w:rsidP="002E5800">
            <w:pPr>
              <w:spacing w:line="276" w:lineRule="auto"/>
              <w:ind w:hanging="3"/>
              <w:rPr>
                <w:rFonts w:eastAsia="Century Schoolbook" w:cs="Century Schoolbook"/>
                <w:color w:val="000000"/>
              </w:rPr>
            </w:pPr>
            <w:r w:rsidRPr="00CA1892">
              <w:rPr>
                <w:rFonts w:eastAsia="Century Schoolbook" w:cs="Century Schoolbook"/>
              </w:rPr>
              <w:t>LOS ANGELES UNIFIED SCHOOL DISTRICT</w:t>
            </w:r>
            <w:r w:rsidRPr="00CA1892">
              <w:rPr>
                <w:rFonts w:eastAsia="Century Schoolbook" w:cs="Century Schoolbook"/>
                <w:color w:val="000000"/>
              </w:rPr>
              <w:t>,</w:t>
            </w:r>
          </w:p>
          <w:p w14:paraId="7FB839C1" w14:textId="77777777" w:rsidR="004E26E3" w:rsidRPr="00CA1892" w:rsidRDefault="004E26E3" w:rsidP="002E5800">
            <w:pPr>
              <w:spacing w:line="276" w:lineRule="auto"/>
              <w:ind w:hanging="3"/>
              <w:rPr>
                <w:rFonts w:eastAsia="Century Schoolbook" w:cs="Century Schoolbook"/>
                <w:color w:val="000000"/>
              </w:rPr>
            </w:pPr>
          </w:p>
          <w:p w14:paraId="598CA36A" w14:textId="77777777" w:rsidR="004E26E3" w:rsidRPr="00CA1892" w:rsidRDefault="004E26E3" w:rsidP="002E5800">
            <w:pPr>
              <w:spacing w:line="276" w:lineRule="auto"/>
              <w:ind w:hanging="3"/>
              <w:rPr>
                <w:rFonts w:eastAsia="Century Schoolbook" w:cs="Century Schoolbook"/>
                <w:color w:val="000000"/>
              </w:rPr>
            </w:pPr>
            <w:r>
              <w:rPr>
                <w:rFonts w:eastAsia="Century Schoolbook" w:cs="Century Schoolbook"/>
                <w:color w:val="000000"/>
              </w:rPr>
              <w:t xml:space="preserve">    </w:t>
            </w:r>
            <w:r w:rsidRPr="00CA1892">
              <w:rPr>
                <w:rFonts w:eastAsia="Century Schoolbook" w:cs="Century Schoolbook"/>
                <w:color w:val="000000"/>
              </w:rPr>
              <w:t>Defendant and Respondent.</w:t>
            </w:r>
          </w:p>
        </w:tc>
        <w:tc>
          <w:tcPr>
            <w:tcW w:w="5015" w:type="dxa"/>
            <w:tcBorders>
              <w:top w:val="nil"/>
              <w:left w:val="single" w:sz="4" w:space="0" w:color="000000"/>
              <w:bottom w:val="nil"/>
              <w:right w:val="nil"/>
            </w:tcBorders>
          </w:tcPr>
          <w:p w14:paraId="0365EE8E" w14:textId="77777777" w:rsidR="004E26E3" w:rsidRPr="00CA1892" w:rsidRDefault="004E26E3" w:rsidP="002E5800">
            <w:pPr>
              <w:ind w:hanging="3"/>
              <w:rPr>
                <w:rFonts w:eastAsia="Century Schoolbook" w:cs="Century Schoolbook"/>
                <w:color w:val="000000"/>
                <w:highlight w:val="cyan"/>
              </w:rPr>
            </w:pPr>
            <w:r w:rsidRPr="00CA1892">
              <w:rPr>
                <w:rFonts w:eastAsia="Century Schoolbook" w:cs="Century Schoolbook"/>
                <w:color w:val="000000"/>
              </w:rPr>
              <w:t xml:space="preserve">       B</w:t>
            </w:r>
            <w:r w:rsidRPr="00822538">
              <w:rPr>
                <w:rFonts w:eastAsia="Century Schoolbook" w:cs="Century Schoolbook"/>
                <w:color w:val="000000"/>
              </w:rPr>
              <w:t>321756</w:t>
            </w:r>
          </w:p>
          <w:p w14:paraId="787D7747" w14:textId="77777777" w:rsidR="004E26E3" w:rsidRPr="00CA1892" w:rsidRDefault="004E26E3" w:rsidP="002E5800">
            <w:pPr>
              <w:ind w:hanging="3"/>
              <w:rPr>
                <w:rFonts w:eastAsia="Century Schoolbook" w:cs="Century Schoolbook"/>
                <w:color w:val="000000"/>
              </w:rPr>
            </w:pPr>
          </w:p>
          <w:p w14:paraId="0055D9C1" w14:textId="77777777" w:rsidR="004E26E3" w:rsidRPr="00CA1892" w:rsidRDefault="004E26E3" w:rsidP="002E5800">
            <w:pPr>
              <w:ind w:hanging="3"/>
              <w:rPr>
                <w:rFonts w:eastAsia="Century Schoolbook" w:cs="Century Schoolbook"/>
                <w:color w:val="000000"/>
              </w:rPr>
            </w:pPr>
            <w:r w:rsidRPr="00CA1892">
              <w:rPr>
                <w:rFonts w:eastAsia="Century Schoolbook" w:cs="Century Schoolbook"/>
                <w:color w:val="000000"/>
              </w:rPr>
              <w:t xml:space="preserve">      (Los Angeles County</w:t>
            </w:r>
          </w:p>
          <w:p w14:paraId="788F776F" w14:textId="77777777" w:rsidR="004E26E3" w:rsidRPr="00CA1892" w:rsidRDefault="004E26E3" w:rsidP="002E5800">
            <w:pPr>
              <w:ind w:hanging="3"/>
              <w:rPr>
                <w:rFonts w:eastAsia="Century Schoolbook" w:cs="Century Schoolbook"/>
                <w:color w:val="000000"/>
              </w:rPr>
            </w:pPr>
            <w:r w:rsidRPr="00CA1892">
              <w:rPr>
                <w:rFonts w:eastAsia="Century Schoolbook" w:cs="Century Schoolbook"/>
                <w:color w:val="000000"/>
              </w:rPr>
              <w:t xml:space="preserve">      Super. Ct. No. </w:t>
            </w:r>
            <w:r w:rsidRPr="00822538">
              <w:rPr>
                <w:rFonts w:eastAsia="Century Schoolbook" w:cs="Century Schoolbook"/>
              </w:rPr>
              <w:t>18STCV04662</w:t>
            </w:r>
            <w:r w:rsidRPr="00CA1892">
              <w:rPr>
                <w:rFonts w:eastAsia="Century Schoolbook" w:cs="Century Schoolbook"/>
                <w:color w:val="000000"/>
              </w:rPr>
              <w:t>)</w:t>
            </w:r>
          </w:p>
          <w:p w14:paraId="32E5D19E" w14:textId="77777777" w:rsidR="004E26E3" w:rsidRPr="00CA1892" w:rsidRDefault="004E26E3" w:rsidP="002E5800">
            <w:pPr>
              <w:ind w:hanging="3"/>
              <w:rPr>
                <w:rFonts w:eastAsia="Century Schoolbook" w:cs="Century Schoolbook"/>
                <w:color w:val="000000"/>
              </w:rPr>
            </w:pPr>
          </w:p>
          <w:p w14:paraId="35A758AA" w14:textId="77777777" w:rsidR="004E26E3" w:rsidRPr="00CA1892" w:rsidRDefault="004E26E3" w:rsidP="002E5800">
            <w:pPr>
              <w:spacing w:line="240" w:lineRule="auto"/>
              <w:ind w:hanging="3"/>
              <w:jc w:val="center"/>
              <w:rPr>
                <w:rFonts w:eastAsia="Century Schoolbook" w:cs="Century Schoolbook"/>
              </w:rPr>
            </w:pPr>
            <w:r w:rsidRPr="00CA1892">
              <w:rPr>
                <w:rFonts w:eastAsia="Century Schoolbook" w:cs="Century Schoolbook"/>
                <w:b/>
              </w:rPr>
              <w:t>ORDER CERTIFYING</w:t>
            </w:r>
          </w:p>
          <w:p w14:paraId="7001496C" w14:textId="77777777" w:rsidR="004E26E3" w:rsidRPr="00CA1892" w:rsidRDefault="004E26E3" w:rsidP="002E5800">
            <w:pPr>
              <w:spacing w:line="240" w:lineRule="auto"/>
              <w:ind w:hanging="3"/>
              <w:jc w:val="center"/>
              <w:rPr>
                <w:rFonts w:eastAsia="Century Schoolbook" w:cs="Century Schoolbook"/>
              </w:rPr>
            </w:pPr>
            <w:r w:rsidRPr="00CA1892">
              <w:rPr>
                <w:rFonts w:eastAsia="Century Schoolbook" w:cs="Century Schoolbook"/>
                <w:b/>
              </w:rPr>
              <w:t>OPINION</w:t>
            </w:r>
          </w:p>
          <w:p w14:paraId="7C6AA200" w14:textId="77777777" w:rsidR="004E26E3" w:rsidRPr="00CA1892" w:rsidRDefault="004E26E3" w:rsidP="002E5800">
            <w:pPr>
              <w:spacing w:line="240" w:lineRule="auto"/>
              <w:ind w:hanging="3"/>
              <w:jc w:val="center"/>
              <w:rPr>
                <w:rFonts w:eastAsia="Century Schoolbook" w:cs="Century Schoolbook"/>
              </w:rPr>
            </w:pPr>
            <w:r w:rsidRPr="00CA1892">
              <w:rPr>
                <w:rFonts w:eastAsia="Century Schoolbook" w:cs="Century Schoolbook"/>
                <w:b/>
              </w:rPr>
              <w:t>FOR PUBLICATION</w:t>
            </w:r>
          </w:p>
          <w:p w14:paraId="21D5DE40" w14:textId="77777777" w:rsidR="004E26E3" w:rsidRPr="00CA1892" w:rsidRDefault="004E26E3" w:rsidP="002E5800">
            <w:pPr>
              <w:spacing w:line="240" w:lineRule="auto"/>
              <w:ind w:hanging="3"/>
              <w:jc w:val="center"/>
              <w:rPr>
                <w:rFonts w:eastAsia="Century Schoolbook" w:cs="Century Schoolbook"/>
              </w:rPr>
            </w:pPr>
          </w:p>
          <w:p w14:paraId="24BC07A8" w14:textId="77777777" w:rsidR="004E26E3" w:rsidRPr="00CA1892" w:rsidRDefault="004E26E3" w:rsidP="002E5800">
            <w:pPr>
              <w:spacing w:line="240" w:lineRule="auto"/>
              <w:ind w:hanging="3"/>
              <w:jc w:val="center"/>
              <w:rPr>
                <w:rFonts w:eastAsia="Century Schoolbook" w:cs="Century Schoolbook"/>
              </w:rPr>
            </w:pPr>
            <w:r w:rsidRPr="00CA1892">
              <w:rPr>
                <w:rFonts w:eastAsia="Century Schoolbook" w:cs="Century Schoolbook"/>
                <w:b/>
              </w:rPr>
              <w:t>[No change in judgment]</w:t>
            </w:r>
          </w:p>
        </w:tc>
      </w:tr>
    </w:tbl>
    <w:p w14:paraId="7B0E7374" w14:textId="77777777" w:rsidR="004E26E3" w:rsidRDefault="004E26E3" w:rsidP="004E26E3">
      <w:pPr>
        <w:spacing w:line="276" w:lineRule="auto"/>
        <w:ind w:hanging="3"/>
        <w:rPr>
          <w:rFonts w:eastAsia="Century Schoolbook" w:cs="Century Schoolbook"/>
        </w:rPr>
      </w:pPr>
    </w:p>
    <w:p w14:paraId="74701D47" w14:textId="77777777" w:rsidR="004E26E3" w:rsidRDefault="004E26E3" w:rsidP="004E26E3">
      <w:pPr>
        <w:ind w:hanging="3"/>
        <w:rPr>
          <w:rFonts w:eastAsia="Century Schoolbook" w:cs="Century Schoolbook"/>
        </w:rPr>
      </w:pPr>
      <w:r>
        <w:rPr>
          <w:rFonts w:eastAsia="Century Schoolbook" w:cs="Century Schoolbook"/>
        </w:rPr>
        <w:t>THE COURT:</w:t>
      </w:r>
    </w:p>
    <w:p w14:paraId="0C201B9E" w14:textId="77777777" w:rsidR="004E26E3" w:rsidRDefault="004E26E3" w:rsidP="004E26E3">
      <w:pPr>
        <w:ind w:firstLine="720"/>
        <w:rPr>
          <w:rFonts w:eastAsia="Century Schoolbook" w:cs="Century Schoolbook"/>
        </w:rPr>
      </w:pPr>
      <w:r>
        <w:rPr>
          <w:rFonts w:eastAsia="Century Schoolbook" w:cs="Century Schoolbook"/>
        </w:rPr>
        <w:t xml:space="preserve">The opinion in the above-entitled matter filed on May 1, 2024, was not certified for publication in the Official Reports.  For good cause, it now appears that the opinion should be published in the Official </w:t>
      </w:r>
      <w:proofErr w:type="gramStart"/>
      <w:r>
        <w:rPr>
          <w:rFonts w:eastAsia="Century Schoolbook" w:cs="Century Schoolbook"/>
        </w:rPr>
        <w:t>Reports</w:t>
      </w:r>
      <w:proofErr w:type="gramEnd"/>
      <w:r>
        <w:rPr>
          <w:rFonts w:eastAsia="Century Schoolbook" w:cs="Century Schoolbook"/>
        </w:rPr>
        <w:t xml:space="preserve"> and it is so ordered.</w:t>
      </w:r>
    </w:p>
    <w:p w14:paraId="46D02263" w14:textId="77777777" w:rsidR="004E26E3" w:rsidRDefault="004E26E3" w:rsidP="004E26E3">
      <w:pPr>
        <w:ind w:right="720" w:firstLine="720"/>
        <w:rPr>
          <w:rFonts w:eastAsia="Century Schoolbook" w:cs="Century Schoolbook"/>
        </w:rPr>
      </w:pPr>
      <w:r>
        <w:rPr>
          <w:rFonts w:eastAsia="Century Schoolbook" w:cs="Century Schoolbook"/>
        </w:rPr>
        <w:t xml:space="preserve">There is no change in the judgment.  </w:t>
      </w:r>
    </w:p>
    <w:p w14:paraId="39C40D54" w14:textId="77777777" w:rsidR="004E26E3" w:rsidRDefault="004E26E3" w:rsidP="004E26E3">
      <w:pPr>
        <w:ind w:hanging="3"/>
        <w:rPr>
          <w:rFonts w:eastAsia="Century Schoolbook" w:cs="Century Schoolbook"/>
        </w:rPr>
      </w:pPr>
    </w:p>
    <w:p w14:paraId="31400F6E" w14:textId="77777777" w:rsidR="004E26E3" w:rsidRDefault="004E26E3" w:rsidP="004E26E3">
      <w:pPr>
        <w:ind w:hanging="3"/>
        <w:rPr>
          <w:rFonts w:eastAsia="Century Schoolbook" w:cs="Century Schoolbook"/>
        </w:rPr>
      </w:pPr>
    </w:p>
    <w:p w14:paraId="019CC67B" w14:textId="77777777" w:rsidR="004E26E3" w:rsidRDefault="004E26E3" w:rsidP="004E26E3">
      <w:pPr>
        <w:spacing w:line="240" w:lineRule="auto"/>
        <w:ind w:hanging="3"/>
        <w:rPr>
          <w:rFonts w:eastAsia="Century Schoolbook" w:cs="Century Schoolbook"/>
        </w:rPr>
      </w:pPr>
      <w:r>
        <w:rPr>
          <w:rFonts w:eastAsia="Century Schoolbook" w:cs="Century Schoolbook"/>
        </w:rPr>
        <w:t>____________________________________________________________</w:t>
      </w:r>
    </w:p>
    <w:p w14:paraId="76771627" w14:textId="77777777" w:rsidR="004E26E3" w:rsidRDefault="004E26E3" w:rsidP="004E26E3">
      <w:pPr>
        <w:ind w:hanging="3"/>
        <w:rPr>
          <w:rFonts w:eastAsia="Century Schoolbook" w:cs="Century Schoolbook"/>
        </w:rPr>
      </w:pPr>
      <w:r>
        <w:rPr>
          <w:rFonts w:eastAsia="Century Schoolbook" w:cs="Century Schoolbook"/>
        </w:rPr>
        <w:t xml:space="preserve"> STRATTON, P. J.                   GRIMES, J.            </w:t>
      </w:r>
      <w:r>
        <w:rPr>
          <w:rFonts w:eastAsia="Century Schoolbook" w:cs="Century Schoolbook"/>
        </w:rPr>
        <w:tab/>
        <w:t xml:space="preserve"> WILEY, J.</w:t>
      </w:r>
    </w:p>
    <w:p w14:paraId="203F2467" w14:textId="139A92B9" w:rsidR="00682E92" w:rsidRPr="000D234C" w:rsidRDefault="00682E92" w:rsidP="00A970EA">
      <w:pPr>
        <w:ind w:left="720" w:firstLine="720"/>
        <w:rPr>
          <w:rFonts w:eastAsia="Century Schoolbook" w:cs="Century Schoolbook"/>
          <w:szCs w:val="26"/>
        </w:rPr>
      </w:pPr>
    </w:p>
    <w:sectPr w:rsidR="00682E92" w:rsidRPr="000D234C">
      <w:headerReference w:type="even" r:id="rId13"/>
      <w:headerReference w:type="default" r:id="rId14"/>
      <w:footerReference w:type="even" r:id="rId15"/>
      <w:footerReference w:type="default" r:id="rId16"/>
      <w:headerReference w:type="first" r:id="rId17"/>
      <w:footerReference w:type="first" r:id="rId18"/>
      <w:pgSz w:w="12240" w:h="15840"/>
      <w:pgMar w:top="1872" w:right="2160" w:bottom="1872" w:left="216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989A1" w14:textId="77777777" w:rsidR="00C627BF" w:rsidRDefault="00C627BF">
      <w:pPr>
        <w:spacing w:line="240" w:lineRule="auto"/>
      </w:pPr>
      <w:r>
        <w:separator/>
      </w:r>
    </w:p>
  </w:endnote>
  <w:endnote w:type="continuationSeparator" w:id="0">
    <w:p w14:paraId="3C4373A7" w14:textId="77777777" w:rsidR="00C627BF" w:rsidRDefault="00C627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5F6D1" w14:textId="22C3490F" w:rsidR="00890279" w:rsidRDefault="00C627BF">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7C0339">
      <w:rPr>
        <w:noProof/>
        <w:color w:val="000000"/>
      </w:rPr>
      <w:t>2</w:t>
    </w:r>
    <w:r>
      <w:rPr>
        <w:color w:val="000000"/>
      </w:rPr>
      <w:fldChar w:fldCharType="end"/>
    </w:r>
  </w:p>
  <w:p w14:paraId="090A77F0" w14:textId="77777777" w:rsidR="00890279" w:rsidRDefault="00890279">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5F9C9" w14:textId="77777777" w:rsidR="00890279" w:rsidRDefault="00C627BF">
    <w:pPr>
      <w:pBdr>
        <w:top w:val="nil"/>
        <w:left w:val="nil"/>
        <w:bottom w:val="nil"/>
        <w:right w:val="nil"/>
        <w:between w:val="nil"/>
      </w:pBdr>
      <w:tabs>
        <w:tab w:val="center" w:pos="4680"/>
        <w:tab w:val="right" w:pos="9360"/>
      </w:tabs>
      <w:jc w:val="center"/>
      <w:rPr>
        <w:rFonts w:eastAsia="Century Schoolbook" w:cs="Century Schoolbook"/>
        <w:color w:val="000000"/>
        <w:szCs w:val="26"/>
      </w:rPr>
    </w:pPr>
    <w:r>
      <w:rPr>
        <w:rFonts w:eastAsia="Century Schoolbook" w:cs="Century Schoolbook"/>
        <w:color w:val="000000"/>
        <w:szCs w:val="26"/>
      </w:rPr>
      <w:fldChar w:fldCharType="begin"/>
    </w:r>
    <w:r>
      <w:rPr>
        <w:rFonts w:eastAsia="Century Schoolbook" w:cs="Century Schoolbook"/>
        <w:color w:val="000000"/>
        <w:szCs w:val="26"/>
      </w:rPr>
      <w:instrText>PAGE</w:instrText>
    </w:r>
    <w:r>
      <w:rPr>
        <w:rFonts w:eastAsia="Century Schoolbook" w:cs="Century Schoolbook"/>
        <w:color w:val="000000"/>
        <w:szCs w:val="26"/>
      </w:rPr>
      <w:fldChar w:fldCharType="separate"/>
    </w:r>
    <w:r>
      <w:rPr>
        <w:rFonts w:eastAsia="Century Schoolbook" w:cs="Century Schoolbook"/>
        <w:noProof/>
        <w:color w:val="000000"/>
        <w:szCs w:val="26"/>
      </w:rPr>
      <w:t>1</w:t>
    </w:r>
    <w:r>
      <w:rPr>
        <w:rFonts w:eastAsia="Century Schoolbook" w:cs="Century Schoolbook"/>
        <w:color w:val="000000"/>
        <w:szCs w:val="26"/>
      </w:rPr>
      <w:fldChar w:fldCharType="end"/>
    </w:r>
  </w:p>
  <w:p w14:paraId="6A9C7C3E" w14:textId="77777777" w:rsidR="00890279" w:rsidRDefault="00890279">
    <w:pPr>
      <w:pBdr>
        <w:top w:val="nil"/>
        <w:left w:val="nil"/>
        <w:bottom w:val="nil"/>
        <w:right w:val="nil"/>
        <w:between w:val="nil"/>
      </w:pBdr>
      <w:tabs>
        <w:tab w:val="center" w:pos="4680"/>
        <w:tab w:val="right" w:pos="9360"/>
      </w:tabs>
      <w:rPr>
        <w:rFonts w:eastAsia="Century Schoolbook" w:cs="Century Schoolbook"/>
        <w:color w:val="000000"/>
        <w:szCs w:val="2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8688C" w14:textId="77777777" w:rsidR="000F5741" w:rsidRDefault="000F574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F2EC6" w14:textId="77777777" w:rsidR="00800A9C" w:rsidRDefault="00800A9C">
    <w:pPr>
      <w:pBdr>
        <w:top w:val="nil"/>
        <w:left w:val="nil"/>
        <w:bottom w:val="nil"/>
        <w:right w:val="nil"/>
        <w:between w:val="nil"/>
      </w:pBdr>
      <w:tabs>
        <w:tab w:val="center" w:pos="4680"/>
        <w:tab w:val="right" w:pos="9360"/>
      </w:tabs>
      <w:spacing w:line="240" w:lineRule="auto"/>
      <w:ind w:hanging="3"/>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1DB19" w14:textId="77777777" w:rsidR="00800A9C" w:rsidRDefault="00800A9C">
    <w:pPr>
      <w:pBdr>
        <w:top w:val="nil"/>
        <w:left w:val="nil"/>
        <w:bottom w:val="nil"/>
        <w:right w:val="nil"/>
        <w:between w:val="nil"/>
      </w:pBdr>
      <w:tabs>
        <w:tab w:val="center" w:pos="4680"/>
        <w:tab w:val="right" w:pos="9360"/>
      </w:tabs>
      <w:spacing w:line="240" w:lineRule="auto"/>
      <w:ind w:hanging="3"/>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249F3E1A" w14:textId="77777777" w:rsidR="00800A9C" w:rsidRDefault="00800A9C">
    <w:pPr>
      <w:pBdr>
        <w:top w:val="nil"/>
        <w:left w:val="nil"/>
        <w:bottom w:val="nil"/>
        <w:right w:val="nil"/>
        <w:between w:val="nil"/>
      </w:pBdr>
      <w:tabs>
        <w:tab w:val="center" w:pos="4680"/>
        <w:tab w:val="right" w:pos="9360"/>
      </w:tabs>
      <w:spacing w:line="240" w:lineRule="auto"/>
      <w:ind w:hanging="3"/>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CDF98" w14:textId="77777777" w:rsidR="00800A9C" w:rsidRDefault="00800A9C">
    <w:pPr>
      <w:pBdr>
        <w:top w:val="nil"/>
        <w:left w:val="nil"/>
        <w:bottom w:val="nil"/>
        <w:right w:val="nil"/>
        <w:between w:val="nil"/>
      </w:pBdr>
      <w:tabs>
        <w:tab w:val="center" w:pos="4680"/>
        <w:tab w:val="right" w:pos="9360"/>
      </w:tabs>
      <w:spacing w:line="240" w:lineRule="auto"/>
      <w:ind w:hanging="3"/>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23C6F" w14:textId="77777777" w:rsidR="00C627BF" w:rsidRDefault="00C627BF">
      <w:pPr>
        <w:spacing w:line="240" w:lineRule="auto"/>
      </w:pPr>
      <w:r>
        <w:separator/>
      </w:r>
    </w:p>
  </w:footnote>
  <w:footnote w:type="continuationSeparator" w:id="0">
    <w:p w14:paraId="146A0EB6" w14:textId="77777777" w:rsidR="00C627BF" w:rsidRDefault="00C627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8BB7E" w14:textId="77777777" w:rsidR="000F5741" w:rsidRDefault="000F57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952B0" w14:textId="77777777" w:rsidR="000F5741" w:rsidRDefault="000F57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EA53D" w14:textId="77777777" w:rsidR="000F5741" w:rsidRDefault="000F574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9BC39" w14:textId="77777777" w:rsidR="00800A9C" w:rsidRDefault="00800A9C">
    <w:pPr>
      <w:pBdr>
        <w:top w:val="nil"/>
        <w:left w:val="nil"/>
        <w:bottom w:val="nil"/>
        <w:right w:val="nil"/>
        <w:between w:val="nil"/>
      </w:pBdr>
      <w:tabs>
        <w:tab w:val="center" w:pos="4680"/>
        <w:tab w:val="right" w:pos="9360"/>
      </w:tabs>
      <w:spacing w:line="240" w:lineRule="auto"/>
      <w:ind w:hanging="3"/>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F50B4" w14:textId="77777777" w:rsidR="00800A9C" w:rsidRDefault="00800A9C">
    <w:pPr>
      <w:pBdr>
        <w:top w:val="nil"/>
        <w:left w:val="nil"/>
        <w:bottom w:val="nil"/>
        <w:right w:val="nil"/>
        <w:between w:val="nil"/>
      </w:pBdr>
      <w:tabs>
        <w:tab w:val="center" w:pos="4680"/>
        <w:tab w:val="right" w:pos="9360"/>
      </w:tabs>
      <w:spacing w:line="240" w:lineRule="auto"/>
      <w:ind w:hanging="3"/>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290CE" w14:textId="77777777" w:rsidR="00800A9C" w:rsidRDefault="00800A9C">
    <w:pPr>
      <w:pBdr>
        <w:top w:val="nil"/>
        <w:left w:val="nil"/>
        <w:bottom w:val="nil"/>
        <w:right w:val="nil"/>
        <w:between w:val="nil"/>
      </w:pBdr>
      <w:tabs>
        <w:tab w:val="center" w:pos="4680"/>
        <w:tab w:val="right" w:pos="9360"/>
      </w:tabs>
      <w:spacing w:line="240" w:lineRule="auto"/>
      <w:ind w:hanging="3"/>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71C65"/>
    <w:multiLevelType w:val="multilevel"/>
    <w:tmpl w:val="F4E214EE"/>
    <w:lvl w:ilvl="0">
      <w:start w:val="1"/>
      <w:numFmt w:val="decimal"/>
      <w:lvlText w:val=""/>
      <w:lvlJc w:val="center"/>
      <w:pPr>
        <w:ind w:left="0" w:firstLine="0"/>
      </w:pPr>
      <w:rPr>
        <w:rFonts w:ascii="Century Schoolbook" w:eastAsia="Century Schoolbook" w:hAnsi="Century Schoolbook" w:cs="Century Schoolbook"/>
        <w:b/>
        <w:i w:val="0"/>
        <w:smallCaps/>
        <w:sz w:val="26"/>
        <w:szCs w:val="26"/>
      </w:rPr>
    </w:lvl>
    <w:lvl w:ilvl="1">
      <w:start w:val="1"/>
      <w:numFmt w:val="upperLetter"/>
      <w:lvlText w:val="%2."/>
      <w:lvlJc w:val="left"/>
      <w:pPr>
        <w:ind w:left="720" w:hanging="720"/>
      </w:pPr>
      <w:rPr>
        <w:rFonts w:ascii="Century Schoolbook" w:eastAsia="Century Schoolbook" w:hAnsi="Century Schoolbook" w:cs="Century Schoolbook"/>
        <w:b w:val="0"/>
        <w:i w:val="0"/>
        <w:sz w:val="26"/>
        <w:szCs w:val="26"/>
      </w:rPr>
    </w:lvl>
    <w:lvl w:ilvl="2">
      <w:start w:val="1"/>
      <w:numFmt w:val="decimal"/>
      <w:lvlText w:val="%3."/>
      <w:lvlJc w:val="left"/>
      <w:pPr>
        <w:ind w:left="1440" w:hanging="720"/>
      </w:pPr>
      <w:rPr>
        <w:rFonts w:ascii="Century Schoolbook" w:eastAsia="Century Schoolbook" w:hAnsi="Century Schoolbook" w:cs="Century Schoolbook"/>
        <w:b w:val="0"/>
        <w:i w:val="0"/>
        <w:sz w:val="26"/>
        <w:szCs w:val="26"/>
      </w:rPr>
    </w:lvl>
    <w:lvl w:ilvl="3">
      <w:start w:val="1"/>
      <w:numFmt w:val="lowerLetter"/>
      <w:lvlText w:val="(%4)"/>
      <w:lvlJc w:val="left"/>
      <w:pPr>
        <w:ind w:left="2160" w:hanging="72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B0143A4"/>
    <w:multiLevelType w:val="multilevel"/>
    <w:tmpl w:val="465A648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16cid:durableId="253322066">
    <w:abstractNumId w:val="1"/>
  </w:num>
  <w:num w:numId="2" w16cid:durableId="1992366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547"/>
    <w:rsid w:val="00000712"/>
    <w:rsid w:val="0002784C"/>
    <w:rsid w:val="00037C1F"/>
    <w:rsid w:val="00047570"/>
    <w:rsid w:val="00063667"/>
    <w:rsid w:val="00073CBF"/>
    <w:rsid w:val="000A634B"/>
    <w:rsid w:val="000C57EE"/>
    <w:rsid w:val="000D234C"/>
    <w:rsid w:val="000D397A"/>
    <w:rsid w:val="000E7D58"/>
    <w:rsid w:val="000F4B92"/>
    <w:rsid w:val="000F5741"/>
    <w:rsid w:val="001079E6"/>
    <w:rsid w:val="00132477"/>
    <w:rsid w:val="00132E34"/>
    <w:rsid w:val="001350AD"/>
    <w:rsid w:val="00144D21"/>
    <w:rsid w:val="00152684"/>
    <w:rsid w:val="00152D2A"/>
    <w:rsid w:val="0015473F"/>
    <w:rsid w:val="00173BB4"/>
    <w:rsid w:val="0017680C"/>
    <w:rsid w:val="00180CE4"/>
    <w:rsid w:val="00193946"/>
    <w:rsid w:val="001977DD"/>
    <w:rsid w:val="001A5464"/>
    <w:rsid w:val="001A7EDD"/>
    <w:rsid w:val="001B3DA9"/>
    <w:rsid w:val="001E4575"/>
    <w:rsid w:val="001F3B22"/>
    <w:rsid w:val="00203037"/>
    <w:rsid w:val="002120D6"/>
    <w:rsid w:val="0024036B"/>
    <w:rsid w:val="002425FC"/>
    <w:rsid w:val="00273A09"/>
    <w:rsid w:val="00277D90"/>
    <w:rsid w:val="002B0774"/>
    <w:rsid w:val="002B4309"/>
    <w:rsid w:val="002D6FD5"/>
    <w:rsid w:val="002E0437"/>
    <w:rsid w:val="002E1412"/>
    <w:rsid w:val="002F3C5E"/>
    <w:rsid w:val="002F71B1"/>
    <w:rsid w:val="00303E6B"/>
    <w:rsid w:val="00311861"/>
    <w:rsid w:val="0031613C"/>
    <w:rsid w:val="003365F6"/>
    <w:rsid w:val="00342699"/>
    <w:rsid w:val="00355EA7"/>
    <w:rsid w:val="003B0423"/>
    <w:rsid w:val="003C0547"/>
    <w:rsid w:val="003D1B0E"/>
    <w:rsid w:val="003D6CDB"/>
    <w:rsid w:val="003E1073"/>
    <w:rsid w:val="003E6392"/>
    <w:rsid w:val="003F24F2"/>
    <w:rsid w:val="003F4020"/>
    <w:rsid w:val="0040390B"/>
    <w:rsid w:val="0041506F"/>
    <w:rsid w:val="00415B14"/>
    <w:rsid w:val="00417E8F"/>
    <w:rsid w:val="00433CE0"/>
    <w:rsid w:val="00443573"/>
    <w:rsid w:val="0045297E"/>
    <w:rsid w:val="004534CE"/>
    <w:rsid w:val="00454344"/>
    <w:rsid w:val="00460285"/>
    <w:rsid w:val="004657C3"/>
    <w:rsid w:val="0047027E"/>
    <w:rsid w:val="00471F0F"/>
    <w:rsid w:val="004925F4"/>
    <w:rsid w:val="0049351F"/>
    <w:rsid w:val="004A7B2C"/>
    <w:rsid w:val="004B4E0C"/>
    <w:rsid w:val="004D0DAC"/>
    <w:rsid w:val="004D1383"/>
    <w:rsid w:val="004D1B5A"/>
    <w:rsid w:val="004D77C2"/>
    <w:rsid w:val="004E26E3"/>
    <w:rsid w:val="004E50C4"/>
    <w:rsid w:val="004E6749"/>
    <w:rsid w:val="004F4FA8"/>
    <w:rsid w:val="0050254A"/>
    <w:rsid w:val="00515D98"/>
    <w:rsid w:val="00517E48"/>
    <w:rsid w:val="00527720"/>
    <w:rsid w:val="005311D5"/>
    <w:rsid w:val="0054221E"/>
    <w:rsid w:val="005533EA"/>
    <w:rsid w:val="00554520"/>
    <w:rsid w:val="00562FE3"/>
    <w:rsid w:val="00572015"/>
    <w:rsid w:val="00590FC9"/>
    <w:rsid w:val="0059206B"/>
    <w:rsid w:val="005A34CF"/>
    <w:rsid w:val="005A630F"/>
    <w:rsid w:val="005B1369"/>
    <w:rsid w:val="005B71D6"/>
    <w:rsid w:val="005F372C"/>
    <w:rsid w:val="005F7CE9"/>
    <w:rsid w:val="00604BEF"/>
    <w:rsid w:val="006065AB"/>
    <w:rsid w:val="00612C33"/>
    <w:rsid w:val="0061440E"/>
    <w:rsid w:val="00617C60"/>
    <w:rsid w:val="0064129F"/>
    <w:rsid w:val="006504C9"/>
    <w:rsid w:val="006722A8"/>
    <w:rsid w:val="0068264A"/>
    <w:rsid w:val="00682E92"/>
    <w:rsid w:val="00686491"/>
    <w:rsid w:val="006A39D1"/>
    <w:rsid w:val="006A4013"/>
    <w:rsid w:val="006A66B3"/>
    <w:rsid w:val="006C4F68"/>
    <w:rsid w:val="006E0B13"/>
    <w:rsid w:val="006E45F7"/>
    <w:rsid w:val="0071526E"/>
    <w:rsid w:val="00726CF4"/>
    <w:rsid w:val="00730429"/>
    <w:rsid w:val="00735EC6"/>
    <w:rsid w:val="00742315"/>
    <w:rsid w:val="00750AB7"/>
    <w:rsid w:val="00793539"/>
    <w:rsid w:val="007B2931"/>
    <w:rsid w:val="007B763E"/>
    <w:rsid w:val="007C0339"/>
    <w:rsid w:val="007C4566"/>
    <w:rsid w:val="007C5830"/>
    <w:rsid w:val="007C652D"/>
    <w:rsid w:val="007F1E59"/>
    <w:rsid w:val="00800669"/>
    <w:rsid w:val="00824B5B"/>
    <w:rsid w:val="008336B9"/>
    <w:rsid w:val="00833A18"/>
    <w:rsid w:val="0084549B"/>
    <w:rsid w:val="00861A57"/>
    <w:rsid w:val="00863CF3"/>
    <w:rsid w:val="00864573"/>
    <w:rsid w:val="00886309"/>
    <w:rsid w:val="00890279"/>
    <w:rsid w:val="008B135B"/>
    <w:rsid w:val="008B3AFC"/>
    <w:rsid w:val="008B54C9"/>
    <w:rsid w:val="008C7FA6"/>
    <w:rsid w:val="008D0499"/>
    <w:rsid w:val="008D5E3A"/>
    <w:rsid w:val="00916024"/>
    <w:rsid w:val="00940DBE"/>
    <w:rsid w:val="00961AA3"/>
    <w:rsid w:val="00964482"/>
    <w:rsid w:val="00966A8A"/>
    <w:rsid w:val="00977FD1"/>
    <w:rsid w:val="00982B77"/>
    <w:rsid w:val="009B4822"/>
    <w:rsid w:val="009C6162"/>
    <w:rsid w:val="009E32BD"/>
    <w:rsid w:val="009E5A98"/>
    <w:rsid w:val="00A024D6"/>
    <w:rsid w:val="00A1723F"/>
    <w:rsid w:val="00A25FA8"/>
    <w:rsid w:val="00A331B7"/>
    <w:rsid w:val="00A359EE"/>
    <w:rsid w:val="00A51105"/>
    <w:rsid w:val="00A536BB"/>
    <w:rsid w:val="00A970EA"/>
    <w:rsid w:val="00AA5A67"/>
    <w:rsid w:val="00AB415A"/>
    <w:rsid w:val="00AB764D"/>
    <w:rsid w:val="00AC2203"/>
    <w:rsid w:val="00AC6BE5"/>
    <w:rsid w:val="00AE2104"/>
    <w:rsid w:val="00AE6912"/>
    <w:rsid w:val="00B12168"/>
    <w:rsid w:val="00B21E93"/>
    <w:rsid w:val="00B3257A"/>
    <w:rsid w:val="00B326C6"/>
    <w:rsid w:val="00B6183B"/>
    <w:rsid w:val="00B64089"/>
    <w:rsid w:val="00B840E2"/>
    <w:rsid w:val="00B84A9F"/>
    <w:rsid w:val="00B858CC"/>
    <w:rsid w:val="00BA1DE3"/>
    <w:rsid w:val="00BC441F"/>
    <w:rsid w:val="00BF0D84"/>
    <w:rsid w:val="00BF76AA"/>
    <w:rsid w:val="00C00BD0"/>
    <w:rsid w:val="00C60151"/>
    <w:rsid w:val="00C627BF"/>
    <w:rsid w:val="00C93C96"/>
    <w:rsid w:val="00CA697D"/>
    <w:rsid w:val="00CB7DA9"/>
    <w:rsid w:val="00CD788A"/>
    <w:rsid w:val="00CF7B0D"/>
    <w:rsid w:val="00D10F9F"/>
    <w:rsid w:val="00D27B75"/>
    <w:rsid w:val="00D318DC"/>
    <w:rsid w:val="00D31A15"/>
    <w:rsid w:val="00D34734"/>
    <w:rsid w:val="00D36A44"/>
    <w:rsid w:val="00D413D8"/>
    <w:rsid w:val="00D44F7E"/>
    <w:rsid w:val="00D47740"/>
    <w:rsid w:val="00D56BB6"/>
    <w:rsid w:val="00D656B6"/>
    <w:rsid w:val="00D71BD8"/>
    <w:rsid w:val="00D771FA"/>
    <w:rsid w:val="00D84E80"/>
    <w:rsid w:val="00D873AB"/>
    <w:rsid w:val="00DA4154"/>
    <w:rsid w:val="00DA584E"/>
    <w:rsid w:val="00DC7627"/>
    <w:rsid w:val="00DD0347"/>
    <w:rsid w:val="00DF78C3"/>
    <w:rsid w:val="00E044CD"/>
    <w:rsid w:val="00E570F6"/>
    <w:rsid w:val="00E839A9"/>
    <w:rsid w:val="00E851B8"/>
    <w:rsid w:val="00E86160"/>
    <w:rsid w:val="00E921AB"/>
    <w:rsid w:val="00EA0731"/>
    <w:rsid w:val="00EB0742"/>
    <w:rsid w:val="00EC7572"/>
    <w:rsid w:val="00F04FF5"/>
    <w:rsid w:val="00F057D3"/>
    <w:rsid w:val="00F14CA5"/>
    <w:rsid w:val="00F2401E"/>
    <w:rsid w:val="00F30ACF"/>
    <w:rsid w:val="00F3291E"/>
    <w:rsid w:val="00F374CF"/>
    <w:rsid w:val="00F544D3"/>
    <w:rsid w:val="00F60057"/>
    <w:rsid w:val="00F62F5B"/>
    <w:rsid w:val="00F63539"/>
    <w:rsid w:val="00F71BB9"/>
    <w:rsid w:val="00F750A8"/>
    <w:rsid w:val="00F832A7"/>
    <w:rsid w:val="00FA44D2"/>
    <w:rsid w:val="00FC37E4"/>
    <w:rsid w:val="00FD6BBE"/>
    <w:rsid w:val="00FE2476"/>
    <w:rsid w:val="00FE2B34"/>
    <w:rsid w:val="00FE3AF2"/>
    <w:rsid w:val="00FE7039"/>
    <w:rsid w:val="00FF3B50"/>
    <w:rsid w:val="00FF5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FB1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88" w:lineRule="auto"/>
    </w:pPr>
    <w:rPr>
      <w:rFonts w:ascii="Century Schoolbook" w:hAnsi="Century Schoolbook"/>
      <w:sz w:val="26"/>
      <w:szCs w:val="22"/>
    </w:rPr>
  </w:style>
  <w:style w:type="paragraph" w:styleId="Heading1">
    <w:name w:val="heading 1"/>
    <w:basedOn w:val="Normal"/>
    <w:next w:val="Normal"/>
    <w:link w:val="Heading1Char"/>
    <w:uiPriority w:val="9"/>
    <w:qFormat/>
    <w:rsid w:val="0059206B"/>
    <w:pPr>
      <w:keepNext/>
      <w:jc w:val="center"/>
      <w:outlineLvl w:val="0"/>
    </w:pPr>
    <w:rPr>
      <w:rFonts w:eastAsia="Century Schoolbook" w:cs="Century Schoolbook"/>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qFormat/>
    <w:rsid w:val="003C0547"/>
    <w:pPr>
      <w:spacing w:after="120" w:line="240" w:lineRule="auto"/>
    </w:pPr>
    <w:rPr>
      <w:szCs w:val="20"/>
      <w:lang w:val="x-none" w:eastAsia="x-none"/>
    </w:rPr>
  </w:style>
  <w:style w:type="character" w:customStyle="1" w:styleId="FootnoteTextChar">
    <w:name w:val="Footnote Text Char"/>
    <w:link w:val="FootnoteText"/>
    <w:uiPriority w:val="99"/>
    <w:rsid w:val="003C0547"/>
    <w:rPr>
      <w:rFonts w:ascii="Century Schoolbook" w:hAnsi="Century Schoolbook"/>
      <w:sz w:val="26"/>
      <w:lang w:val="x-none" w:eastAsia="x-none"/>
    </w:rPr>
  </w:style>
  <w:style w:type="paragraph" w:styleId="NormalWeb">
    <w:name w:val="Normal (Web)"/>
    <w:basedOn w:val="Normal"/>
    <w:uiPriority w:val="99"/>
    <w:semiHidden/>
    <w:unhideWhenUsed/>
    <w:rsid w:val="003C0547"/>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6E45F7"/>
    <w:pPr>
      <w:tabs>
        <w:tab w:val="center" w:pos="4680"/>
        <w:tab w:val="right" w:pos="9360"/>
      </w:tabs>
      <w:spacing w:line="240" w:lineRule="auto"/>
    </w:pPr>
  </w:style>
  <w:style w:type="character" w:customStyle="1" w:styleId="HeaderChar">
    <w:name w:val="Header Char"/>
    <w:basedOn w:val="DefaultParagraphFont"/>
    <w:link w:val="Header"/>
    <w:uiPriority w:val="99"/>
    <w:rsid w:val="006E45F7"/>
    <w:rPr>
      <w:rFonts w:ascii="Century Schoolbook" w:hAnsi="Century Schoolbook"/>
      <w:sz w:val="26"/>
      <w:szCs w:val="22"/>
    </w:rPr>
  </w:style>
  <w:style w:type="paragraph" w:styleId="Footer">
    <w:name w:val="footer"/>
    <w:basedOn w:val="Normal"/>
    <w:link w:val="FooterChar"/>
    <w:uiPriority w:val="99"/>
    <w:unhideWhenUsed/>
    <w:rsid w:val="006E45F7"/>
    <w:pPr>
      <w:tabs>
        <w:tab w:val="center" w:pos="4680"/>
        <w:tab w:val="right" w:pos="9360"/>
      </w:tabs>
      <w:spacing w:line="240" w:lineRule="auto"/>
    </w:pPr>
  </w:style>
  <w:style w:type="character" w:customStyle="1" w:styleId="FooterChar">
    <w:name w:val="Footer Char"/>
    <w:basedOn w:val="DefaultParagraphFont"/>
    <w:link w:val="Footer"/>
    <w:uiPriority w:val="99"/>
    <w:rsid w:val="006E45F7"/>
    <w:rPr>
      <w:rFonts w:ascii="Century Schoolbook" w:hAnsi="Century Schoolbook"/>
      <w:sz w:val="26"/>
      <w:szCs w:val="22"/>
    </w:rPr>
  </w:style>
  <w:style w:type="character" w:styleId="PageNumber">
    <w:name w:val="page number"/>
    <w:basedOn w:val="DefaultParagraphFont"/>
    <w:uiPriority w:val="99"/>
    <w:semiHidden/>
    <w:unhideWhenUsed/>
    <w:rsid w:val="00966A8A"/>
  </w:style>
  <w:style w:type="paragraph" w:customStyle="1" w:styleId="Standard">
    <w:name w:val="Standard"/>
    <w:rsid w:val="00966A8A"/>
    <w:pPr>
      <w:widowControl w:val="0"/>
      <w:suppressAutoHyphens/>
      <w:autoSpaceDN w:val="0"/>
      <w:spacing w:line="288" w:lineRule="auto"/>
      <w:textAlignment w:val="baseline"/>
    </w:pPr>
    <w:rPr>
      <w:rFonts w:ascii="Century Schoolbook" w:eastAsia="Century Schoolbook" w:hAnsi="Century Schoolbook" w:cs="Century Schoolbook"/>
      <w:sz w:val="26"/>
      <w:szCs w:val="26"/>
      <w:lang w:eastAsia="zh-CN" w:bidi="hi-IN"/>
    </w:rPr>
  </w:style>
  <w:style w:type="character" w:customStyle="1" w:styleId="Heading1Char">
    <w:name w:val="Heading 1 Char"/>
    <w:basedOn w:val="DefaultParagraphFont"/>
    <w:link w:val="Heading1"/>
    <w:uiPriority w:val="9"/>
    <w:rsid w:val="0059206B"/>
    <w:rPr>
      <w:rFonts w:ascii="Century Schoolbook" w:eastAsia="Century Schoolbook" w:hAnsi="Century Schoolbook" w:cs="Century Schoolbook"/>
      <w:b/>
      <w:sz w:val="26"/>
      <w:szCs w:val="26"/>
    </w:rPr>
  </w:style>
  <w:style w:type="paragraph" w:styleId="Revision">
    <w:name w:val="Revision"/>
    <w:hidden/>
    <w:uiPriority w:val="99"/>
    <w:semiHidden/>
    <w:rsid w:val="004E50C4"/>
    <w:rPr>
      <w:rFonts w:ascii="Century Schoolbook" w:hAnsi="Century Schoolbook"/>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1564</Words>
  <Characters>8756</Characters>
  <Application>Microsoft Office Word</Application>
  <DocSecurity>0</DocSecurity>
  <Lines>245</Lines>
  <Paragraphs>63</Paragraphs>
  <ScaleCrop>false</ScaleCrop>
  <Manager/>
  <Company/>
  <LinksUpToDate>false</LinksUpToDate>
  <CharactersWithSpaces>10426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2024-05-22T23:00:00Z</dcterms:created>
  <dcterms:modified xsi:type="dcterms:W3CDTF">2024-05-22T23:00:00Z</dcterms:modified>
  <cp:category/>
</cp:coreProperties>
</file>