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19EE0" w14:textId="1AD1F1A4" w:rsidR="0003039B" w:rsidRPr="00A20FC5" w:rsidRDefault="00360E19" w:rsidP="00A20FC5">
      <w:pPr>
        <w:spacing w:line="240" w:lineRule="auto"/>
        <w:rPr>
          <w:bCs/>
          <w:sz w:val="20"/>
          <w:szCs w:val="20"/>
        </w:rPr>
      </w:pPr>
      <w:r>
        <w:rPr>
          <w:bCs/>
          <w:sz w:val="20"/>
          <w:szCs w:val="20"/>
        </w:rPr>
        <w:t xml:space="preserve">Filed </w:t>
      </w:r>
      <w:proofErr w:type="gramStart"/>
      <w:r>
        <w:rPr>
          <w:bCs/>
          <w:sz w:val="20"/>
          <w:szCs w:val="20"/>
        </w:rPr>
        <w:t>5/23/24</w:t>
      </w:r>
      <w:proofErr w:type="gramEnd"/>
    </w:p>
    <w:p w14:paraId="606353B7" w14:textId="77777777" w:rsidR="00AB58EA" w:rsidRDefault="00AB58EA" w:rsidP="00AB58EA">
      <w:pPr>
        <w:jc w:val="center"/>
        <w:rPr>
          <w:b/>
        </w:rPr>
      </w:pPr>
      <w:r>
        <w:rPr>
          <w:b/>
        </w:rPr>
        <w:t>CERTIFIED FOR PUBLICATION</w:t>
      </w:r>
    </w:p>
    <w:p w14:paraId="4948F5F3" w14:textId="77777777" w:rsidR="00B73177" w:rsidRPr="00B73177" w:rsidRDefault="00B73177" w:rsidP="00B73177">
      <w:pPr>
        <w:spacing w:line="240" w:lineRule="auto"/>
        <w:jc w:val="center"/>
      </w:pPr>
    </w:p>
    <w:p w14:paraId="0F104DF6" w14:textId="77777777" w:rsidR="00507011" w:rsidRDefault="00507011" w:rsidP="00AB6AE5">
      <w:pPr>
        <w:spacing w:line="240" w:lineRule="auto"/>
        <w:jc w:val="center"/>
      </w:pPr>
      <w:r>
        <w:t>IN THE COURT OF APPEAL OF THE STATE OF CALIFORNIA</w:t>
      </w:r>
    </w:p>
    <w:p w14:paraId="7F8B924E" w14:textId="77777777" w:rsidR="00507011" w:rsidRDefault="00507011" w:rsidP="00AB6AE5">
      <w:pPr>
        <w:spacing w:line="240" w:lineRule="auto"/>
        <w:jc w:val="center"/>
      </w:pPr>
    </w:p>
    <w:p w14:paraId="2878C687" w14:textId="77777777" w:rsidR="00507011" w:rsidRDefault="00507011" w:rsidP="00AB6AE5">
      <w:pPr>
        <w:spacing w:line="240" w:lineRule="auto"/>
        <w:jc w:val="center"/>
      </w:pPr>
      <w:r>
        <w:t>SECOND APPELLATE DISTRICT</w:t>
      </w:r>
    </w:p>
    <w:p w14:paraId="3C64FD30" w14:textId="77777777" w:rsidR="00507011" w:rsidRDefault="00507011" w:rsidP="00AB6AE5">
      <w:pPr>
        <w:spacing w:line="240" w:lineRule="auto"/>
        <w:jc w:val="center"/>
      </w:pPr>
    </w:p>
    <w:p w14:paraId="0951F39B" w14:textId="77777777" w:rsidR="00507011" w:rsidRDefault="00507011" w:rsidP="00AB6AE5">
      <w:pPr>
        <w:spacing w:line="240" w:lineRule="auto"/>
        <w:jc w:val="center"/>
      </w:pPr>
      <w:r>
        <w:t>DIVISION SEVEN</w:t>
      </w:r>
    </w:p>
    <w:p w14:paraId="27FB3AA1" w14:textId="77777777" w:rsidR="00507011" w:rsidRDefault="00507011" w:rsidP="00AB6AE5">
      <w:pPr>
        <w:spacing w:line="240" w:lineRule="auto"/>
        <w:jc w:val="center"/>
      </w:pPr>
    </w:p>
    <w:p w14:paraId="6C050A9A" w14:textId="77777777" w:rsidR="00507011" w:rsidRDefault="00507011" w:rsidP="00AB6AE5">
      <w:pPr>
        <w:spacing w:line="240" w:lineRule="auto"/>
        <w:jc w:val="center"/>
      </w:pPr>
    </w:p>
    <w:tbl>
      <w:tblPr>
        <w:tblW w:w="5682" w:type="pct"/>
        <w:tblCellMar>
          <w:left w:w="0" w:type="dxa"/>
          <w:right w:w="115" w:type="dxa"/>
        </w:tblCellMar>
        <w:tblLook w:val="0000" w:firstRow="0" w:lastRow="0" w:firstColumn="0" w:lastColumn="0" w:noHBand="0" w:noVBand="0"/>
      </w:tblPr>
      <w:tblGrid>
        <w:gridCol w:w="4320"/>
        <w:gridCol w:w="4680"/>
      </w:tblGrid>
      <w:tr w:rsidR="00507011" w14:paraId="5C10501C" w14:textId="77777777" w:rsidTr="00036E8C">
        <w:tc>
          <w:tcPr>
            <w:tcW w:w="2400" w:type="pct"/>
            <w:tcBorders>
              <w:right w:val="single" w:sz="4" w:space="0" w:color="auto"/>
            </w:tcBorders>
            <w:shd w:val="clear" w:color="auto" w:fill="auto"/>
          </w:tcPr>
          <w:p w14:paraId="1874A72A" w14:textId="3D2A1589" w:rsidR="00507011" w:rsidRDefault="00572205" w:rsidP="002D603A">
            <w:pPr>
              <w:spacing w:line="240" w:lineRule="auto"/>
            </w:pPr>
            <w:bookmarkStart w:id="0" w:name="_Hlk167360432"/>
            <w:r>
              <w:t>SIMPLE AVO PARADISE RANCH, LLC,</w:t>
            </w:r>
          </w:p>
          <w:bookmarkEnd w:id="0"/>
          <w:p w14:paraId="4E3DBB6B" w14:textId="77777777" w:rsidR="00507011" w:rsidRDefault="00507011" w:rsidP="00AB6AE5">
            <w:pPr>
              <w:spacing w:line="240" w:lineRule="auto"/>
            </w:pPr>
          </w:p>
          <w:p w14:paraId="314BC473" w14:textId="5BADBAD6" w:rsidR="00507011" w:rsidRDefault="00507011" w:rsidP="00AB6AE5">
            <w:pPr>
              <w:spacing w:line="240" w:lineRule="auto"/>
            </w:pPr>
            <w:r>
              <w:tab/>
              <w:t>Plaintiff and</w:t>
            </w:r>
            <w:r w:rsidR="002D603A">
              <w:t xml:space="preserve"> </w:t>
            </w:r>
            <w:r w:rsidR="00FC0263">
              <w:t>Respondent</w:t>
            </w:r>
            <w:r>
              <w:t>,</w:t>
            </w:r>
          </w:p>
          <w:p w14:paraId="42BC3BAE" w14:textId="77777777" w:rsidR="00507011" w:rsidRDefault="00507011" w:rsidP="00AB6AE5">
            <w:pPr>
              <w:spacing w:line="240" w:lineRule="auto"/>
            </w:pPr>
          </w:p>
          <w:p w14:paraId="4A4A5C20" w14:textId="77777777" w:rsidR="00507011" w:rsidRDefault="00507011" w:rsidP="00AB6AE5">
            <w:pPr>
              <w:spacing w:line="240" w:lineRule="auto"/>
            </w:pPr>
            <w:r>
              <w:tab/>
              <w:t>v.</w:t>
            </w:r>
          </w:p>
          <w:p w14:paraId="21BD1044" w14:textId="77777777" w:rsidR="00507011" w:rsidRDefault="00507011" w:rsidP="00AB6AE5">
            <w:pPr>
              <w:spacing w:line="240" w:lineRule="auto"/>
            </w:pPr>
          </w:p>
          <w:p w14:paraId="6D25D5F8" w14:textId="2BDFDBBC" w:rsidR="00507011" w:rsidRDefault="00572205" w:rsidP="00AB6AE5">
            <w:pPr>
              <w:spacing w:line="240" w:lineRule="auto"/>
            </w:pPr>
            <w:r>
              <w:t>SOUTHERN CALIFORNIA EDISON COMPANY,</w:t>
            </w:r>
          </w:p>
          <w:p w14:paraId="5F8E800E" w14:textId="77777777" w:rsidR="00507011" w:rsidRDefault="00507011" w:rsidP="00AB6AE5">
            <w:pPr>
              <w:spacing w:line="240" w:lineRule="auto"/>
            </w:pPr>
          </w:p>
          <w:p w14:paraId="78D387C0" w14:textId="505F4BBB" w:rsidR="00507011" w:rsidRDefault="00507011" w:rsidP="00AB6AE5">
            <w:pPr>
              <w:spacing w:line="240" w:lineRule="auto"/>
            </w:pPr>
            <w:r>
              <w:tab/>
              <w:t>Defendant</w:t>
            </w:r>
            <w:r w:rsidR="00026929">
              <w:t xml:space="preserve"> </w:t>
            </w:r>
            <w:r>
              <w:t>and</w:t>
            </w:r>
            <w:r w:rsidR="002D603A">
              <w:t xml:space="preserve"> </w:t>
            </w:r>
            <w:r w:rsidR="00FC0263">
              <w:t>Appellant</w:t>
            </w:r>
            <w:r>
              <w:t>.</w:t>
            </w:r>
          </w:p>
          <w:p w14:paraId="660BDBD1" w14:textId="77777777" w:rsidR="00507011" w:rsidRDefault="00507011" w:rsidP="00AB6AE5">
            <w:pPr>
              <w:spacing w:line="240" w:lineRule="auto"/>
            </w:pPr>
          </w:p>
        </w:tc>
        <w:tc>
          <w:tcPr>
            <w:tcW w:w="2600" w:type="pct"/>
            <w:tcBorders>
              <w:left w:val="single" w:sz="4" w:space="0" w:color="auto"/>
            </w:tcBorders>
            <w:shd w:val="clear" w:color="auto" w:fill="auto"/>
          </w:tcPr>
          <w:p w14:paraId="6FFCBF8F" w14:textId="77777777" w:rsidR="00507011" w:rsidRDefault="00507011" w:rsidP="00AB6AE5">
            <w:pPr>
              <w:spacing w:line="240" w:lineRule="auto"/>
            </w:pPr>
            <w:r>
              <w:t xml:space="preserve">      </w:t>
            </w:r>
            <w:r w:rsidR="00026929">
              <w:t>B</w:t>
            </w:r>
            <w:r w:rsidR="00762404">
              <w:t>320948</w:t>
            </w:r>
          </w:p>
          <w:p w14:paraId="4E4DBA99" w14:textId="77777777" w:rsidR="00507011" w:rsidRDefault="00507011" w:rsidP="00AB6AE5">
            <w:pPr>
              <w:spacing w:line="240" w:lineRule="auto"/>
            </w:pPr>
          </w:p>
          <w:p w14:paraId="16FC5DEB" w14:textId="77777777" w:rsidR="00507011" w:rsidRDefault="00507011" w:rsidP="00AB6AE5">
            <w:pPr>
              <w:spacing w:line="240" w:lineRule="auto"/>
            </w:pPr>
            <w:r>
              <w:t xml:space="preserve">      (Los Angeles County</w:t>
            </w:r>
          </w:p>
          <w:p w14:paraId="6AABCE25" w14:textId="3D280B23" w:rsidR="00507011" w:rsidRDefault="00507011" w:rsidP="00CB7999">
            <w:pPr>
              <w:spacing w:line="240" w:lineRule="auto"/>
              <w:ind w:right="-300"/>
            </w:pPr>
            <w:r>
              <w:t xml:space="preserve">      Super. Ct. </w:t>
            </w:r>
            <w:r w:rsidR="00D761C1">
              <w:t>No. </w:t>
            </w:r>
            <w:r w:rsidR="00541DD9" w:rsidRPr="00541DD9">
              <w:t>19STCV09910</w:t>
            </w:r>
            <w:r w:rsidR="00985776">
              <w:t>;</w:t>
            </w:r>
            <w:r w:rsidR="00985776">
              <w:br/>
              <w:t xml:space="preserve">      </w:t>
            </w:r>
            <w:r w:rsidR="00541DD9" w:rsidRPr="00541DD9">
              <w:t>JCCP No. 4965</w:t>
            </w:r>
            <w:r>
              <w:t>)</w:t>
            </w:r>
          </w:p>
        </w:tc>
      </w:tr>
      <w:tr w:rsidR="00541DD9" w14:paraId="5CBBB580" w14:textId="77777777" w:rsidTr="00036E8C">
        <w:tc>
          <w:tcPr>
            <w:tcW w:w="2400" w:type="pct"/>
            <w:tcBorders>
              <w:bottom w:val="single" w:sz="4" w:space="0" w:color="auto"/>
              <w:right w:val="single" w:sz="4" w:space="0" w:color="auto"/>
            </w:tcBorders>
            <w:shd w:val="clear" w:color="auto" w:fill="auto"/>
          </w:tcPr>
          <w:p w14:paraId="0C024809" w14:textId="77777777" w:rsidR="00541DD9" w:rsidRDefault="00541DD9" w:rsidP="002D603A">
            <w:pPr>
              <w:spacing w:line="240" w:lineRule="auto"/>
            </w:pPr>
          </w:p>
        </w:tc>
        <w:tc>
          <w:tcPr>
            <w:tcW w:w="2600" w:type="pct"/>
            <w:tcBorders>
              <w:left w:val="single" w:sz="4" w:space="0" w:color="auto"/>
            </w:tcBorders>
            <w:shd w:val="clear" w:color="auto" w:fill="auto"/>
          </w:tcPr>
          <w:p w14:paraId="4E924707" w14:textId="77777777" w:rsidR="00541DD9" w:rsidRDefault="00541DD9" w:rsidP="00AB6AE5">
            <w:pPr>
              <w:spacing w:line="240" w:lineRule="auto"/>
            </w:pPr>
          </w:p>
        </w:tc>
      </w:tr>
    </w:tbl>
    <w:p w14:paraId="78DE26DF" w14:textId="77777777" w:rsidR="00507011" w:rsidRDefault="00507011" w:rsidP="00275085">
      <w:pPr>
        <w:rPr>
          <w:szCs w:val="26"/>
        </w:rPr>
      </w:pPr>
    </w:p>
    <w:p w14:paraId="7D863E02" w14:textId="6E7626EB" w:rsidR="00507011" w:rsidRPr="00E0334B" w:rsidRDefault="00507011" w:rsidP="002D603A">
      <w:pPr>
        <w:ind w:firstLine="720"/>
        <w:rPr>
          <w:b/>
          <w:bCs/>
          <w:szCs w:val="26"/>
        </w:rPr>
      </w:pPr>
      <w:r>
        <w:rPr>
          <w:szCs w:val="26"/>
        </w:rPr>
        <w:t>APPEAL from</w:t>
      </w:r>
      <w:r w:rsidR="00AB611D">
        <w:rPr>
          <w:szCs w:val="26"/>
        </w:rPr>
        <w:t xml:space="preserve"> a judgment</w:t>
      </w:r>
      <w:r>
        <w:rPr>
          <w:szCs w:val="26"/>
        </w:rPr>
        <w:t xml:space="preserve"> </w:t>
      </w:r>
      <w:r w:rsidR="00572205">
        <w:rPr>
          <w:szCs w:val="26"/>
        </w:rPr>
        <w:t xml:space="preserve">and order </w:t>
      </w:r>
      <w:r>
        <w:rPr>
          <w:szCs w:val="26"/>
        </w:rPr>
        <w:t xml:space="preserve">of the Superior Court of </w:t>
      </w:r>
      <w:r w:rsidR="00CB7999">
        <w:rPr>
          <w:szCs w:val="26"/>
        </w:rPr>
        <w:t xml:space="preserve">Los Angeles </w:t>
      </w:r>
      <w:r>
        <w:rPr>
          <w:szCs w:val="26"/>
        </w:rPr>
        <w:t>County</w:t>
      </w:r>
      <w:r w:rsidR="00971287">
        <w:rPr>
          <w:szCs w:val="26"/>
        </w:rPr>
        <w:t>,</w:t>
      </w:r>
      <w:r w:rsidR="002D603A">
        <w:rPr>
          <w:szCs w:val="26"/>
        </w:rPr>
        <w:t xml:space="preserve"> </w:t>
      </w:r>
      <w:r w:rsidR="00477A57">
        <w:t>Daniel J. Buckley</w:t>
      </w:r>
      <w:r w:rsidRPr="0041136B">
        <w:rPr>
          <w:szCs w:val="26"/>
        </w:rPr>
        <w:t>, Judge.</w:t>
      </w:r>
      <w:r w:rsidR="00756D57">
        <w:rPr>
          <w:szCs w:val="26"/>
        </w:rPr>
        <w:t xml:space="preserve">  </w:t>
      </w:r>
      <w:r w:rsidR="0081499F">
        <w:rPr>
          <w:szCs w:val="26"/>
        </w:rPr>
        <w:t>Affirmed</w:t>
      </w:r>
      <w:r w:rsidR="002D603A">
        <w:rPr>
          <w:szCs w:val="26"/>
        </w:rPr>
        <w:t>.</w:t>
      </w:r>
    </w:p>
    <w:p w14:paraId="2205BC74" w14:textId="330CCCEC" w:rsidR="00507011" w:rsidRDefault="00985776" w:rsidP="00985776">
      <w:pPr>
        <w:ind w:firstLine="720"/>
        <w:rPr>
          <w:szCs w:val="26"/>
        </w:rPr>
      </w:pPr>
      <w:r>
        <w:rPr>
          <w:szCs w:val="26"/>
        </w:rPr>
        <w:t xml:space="preserve">Glynn, Finley, </w:t>
      </w:r>
      <w:proofErr w:type="spellStart"/>
      <w:r>
        <w:rPr>
          <w:szCs w:val="26"/>
        </w:rPr>
        <w:t>Morti</w:t>
      </w:r>
      <w:proofErr w:type="spellEnd"/>
      <w:r>
        <w:rPr>
          <w:szCs w:val="26"/>
        </w:rPr>
        <w:t xml:space="preserve">, Hanlon &amp; </w:t>
      </w:r>
      <w:proofErr w:type="spellStart"/>
      <w:r>
        <w:rPr>
          <w:szCs w:val="26"/>
        </w:rPr>
        <w:t>Friedenerg</w:t>
      </w:r>
      <w:proofErr w:type="spellEnd"/>
      <w:r>
        <w:rPr>
          <w:szCs w:val="26"/>
        </w:rPr>
        <w:t xml:space="preserve">, </w:t>
      </w:r>
      <w:r w:rsidRPr="00985776">
        <w:rPr>
          <w:szCs w:val="26"/>
        </w:rPr>
        <w:t>Clement L. Glynn</w:t>
      </w:r>
      <w:r>
        <w:rPr>
          <w:szCs w:val="26"/>
        </w:rPr>
        <w:t>,</w:t>
      </w:r>
      <w:r w:rsidRPr="00985776">
        <w:rPr>
          <w:szCs w:val="26"/>
        </w:rPr>
        <w:t xml:space="preserve"> James M. Hanlon, Jr.</w:t>
      </w:r>
      <w:r>
        <w:rPr>
          <w:szCs w:val="26"/>
        </w:rPr>
        <w:t xml:space="preserve"> and </w:t>
      </w:r>
      <w:r w:rsidRPr="00985776">
        <w:rPr>
          <w:szCs w:val="26"/>
        </w:rPr>
        <w:t>Adam M. Rapp</w:t>
      </w:r>
      <w:r>
        <w:rPr>
          <w:szCs w:val="26"/>
        </w:rPr>
        <w:t xml:space="preserve"> </w:t>
      </w:r>
      <w:r w:rsidR="00507011">
        <w:rPr>
          <w:szCs w:val="26"/>
        </w:rPr>
        <w:t xml:space="preserve">for </w:t>
      </w:r>
      <w:r w:rsidR="002D603A">
        <w:rPr>
          <w:szCs w:val="26"/>
        </w:rPr>
        <w:t xml:space="preserve">Plaintiff </w:t>
      </w:r>
      <w:r w:rsidR="00507011">
        <w:rPr>
          <w:szCs w:val="26"/>
        </w:rPr>
        <w:t>and</w:t>
      </w:r>
      <w:r w:rsidR="00FC0263" w:rsidRPr="00FC0263">
        <w:rPr>
          <w:szCs w:val="26"/>
        </w:rPr>
        <w:t xml:space="preserve"> </w:t>
      </w:r>
      <w:r w:rsidR="00FC0263">
        <w:rPr>
          <w:szCs w:val="26"/>
        </w:rPr>
        <w:t>Respondent</w:t>
      </w:r>
      <w:r w:rsidR="00507011">
        <w:rPr>
          <w:szCs w:val="26"/>
        </w:rPr>
        <w:t>.</w:t>
      </w:r>
    </w:p>
    <w:p w14:paraId="0D1E3A67" w14:textId="50CFF652" w:rsidR="00985776" w:rsidRDefault="00985776" w:rsidP="00985776">
      <w:pPr>
        <w:ind w:firstLine="720"/>
        <w:rPr>
          <w:szCs w:val="26"/>
        </w:rPr>
      </w:pPr>
      <w:r>
        <w:rPr>
          <w:szCs w:val="26"/>
        </w:rPr>
        <w:t xml:space="preserve">Berger Kahn, </w:t>
      </w:r>
      <w:r w:rsidRPr="00985776">
        <w:rPr>
          <w:szCs w:val="26"/>
        </w:rPr>
        <w:t xml:space="preserve">Craig S. </w:t>
      </w:r>
      <w:proofErr w:type="gramStart"/>
      <w:r w:rsidRPr="00985776">
        <w:rPr>
          <w:szCs w:val="26"/>
        </w:rPr>
        <w:t>Simon</w:t>
      </w:r>
      <w:proofErr w:type="gramEnd"/>
      <w:r>
        <w:rPr>
          <w:szCs w:val="26"/>
        </w:rPr>
        <w:t xml:space="preserve"> and </w:t>
      </w:r>
      <w:r w:rsidRPr="00985776">
        <w:rPr>
          <w:szCs w:val="26"/>
        </w:rPr>
        <w:t>Adam M. Romney</w:t>
      </w:r>
      <w:r>
        <w:rPr>
          <w:szCs w:val="26"/>
        </w:rPr>
        <w:t xml:space="preserve">; </w:t>
      </w:r>
      <w:proofErr w:type="spellStart"/>
      <w:r>
        <w:rPr>
          <w:szCs w:val="26"/>
        </w:rPr>
        <w:t>Grotefeld</w:t>
      </w:r>
      <w:proofErr w:type="spellEnd"/>
      <w:r>
        <w:rPr>
          <w:szCs w:val="26"/>
        </w:rPr>
        <w:t xml:space="preserve"> Hoffman, </w:t>
      </w:r>
      <w:r w:rsidRPr="00985776">
        <w:rPr>
          <w:szCs w:val="26"/>
        </w:rPr>
        <w:t xml:space="preserve">Mark </w:t>
      </w:r>
      <w:proofErr w:type="spellStart"/>
      <w:r w:rsidRPr="00985776">
        <w:rPr>
          <w:szCs w:val="26"/>
        </w:rPr>
        <w:t>Grotefeld</w:t>
      </w:r>
      <w:proofErr w:type="spellEnd"/>
      <w:r>
        <w:rPr>
          <w:szCs w:val="26"/>
        </w:rPr>
        <w:t xml:space="preserve">, </w:t>
      </w:r>
      <w:r w:rsidRPr="00985776">
        <w:rPr>
          <w:szCs w:val="26"/>
        </w:rPr>
        <w:t xml:space="preserve">Jordan B. </w:t>
      </w:r>
      <w:proofErr w:type="spellStart"/>
      <w:r w:rsidRPr="00985776">
        <w:rPr>
          <w:szCs w:val="26"/>
        </w:rPr>
        <w:t>Everakes</w:t>
      </w:r>
      <w:proofErr w:type="spellEnd"/>
      <w:r w:rsidRPr="00985776">
        <w:rPr>
          <w:szCs w:val="26"/>
        </w:rPr>
        <w:t xml:space="preserve"> </w:t>
      </w:r>
      <w:r>
        <w:rPr>
          <w:szCs w:val="26"/>
        </w:rPr>
        <w:t xml:space="preserve">and </w:t>
      </w:r>
      <w:r w:rsidRPr="00985776">
        <w:rPr>
          <w:szCs w:val="26"/>
        </w:rPr>
        <w:t xml:space="preserve">David J. Kestenbaum </w:t>
      </w:r>
      <w:r>
        <w:rPr>
          <w:szCs w:val="26"/>
        </w:rPr>
        <w:t xml:space="preserve">for National Association of Subrogation Professionals as </w:t>
      </w:r>
      <w:r w:rsidRPr="00985776">
        <w:rPr>
          <w:szCs w:val="26"/>
        </w:rPr>
        <w:t xml:space="preserve">Amicus Curiae on behalf of </w:t>
      </w:r>
      <w:r>
        <w:rPr>
          <w:szCs w:val="26"/>
        </w:rPr>
        <w:t xml:space="preserve">Plaintiff </w:t>
      </w:r>
      <w:r w:rsidRPr="00985776">
        <w:rPr>
          <w:szCs w:val="26"/>
        </w:rPr>
        <w:t>and Respondent</w:t>
      </w:r>
      <w:r>
        <w:rPr>
          <w:szCs w:val="26"/>
        </w:rPr>
        <w:t>.</w:t>
      </w:r>
    </w:p>
    <w:p w14:paraId="55298839" w14:textId="3AD0DBD1" w:rsidR="00985776" w:rsidRDefault="00985776" w:rsidP="00985776">
      <w:pPr>
        <w:ind w:firstLine="720"/>
        <w:rPr>
          <w:szCs w:val="26"/>
        </w:rPr>
      </w:pPr>
      <w:r>
        <w:rPr>
          <w:szCs w:val="26"/>
        </w:rPr>
        <w:lastRenderedPageBreak/>
        <w:t xml:space="preserve">Singleton Schreiber, </w:t>
      </w:r>
      <w:r w:rsidRPr="00985776">
        <w:rPr>
          <w:szCs w:val="26"/>
        </w:rPr>
        <w:t xml:space="preserve">Benjamin I. </w:t>
      </w:r>
      <w:proofErr w:type="spellStart"/>
      <w:r w:rsidRPr="00985776">
        <w:rPr>
          <w:szCs w:val="26"/>
        </w:rPr>
        <w:t>Siminou</w:t>
      </w:r>
      <w:proofErr w:type="spellEnd"/>
      <w:r>
        <w:rPr>
          <w:szCs w:val="26"/>
        </w:rPr>
        <w:t xml:space="preserve"> and </w:t>
      </w:r>
      <w:r w:rsidRPr="00985776">
        <w:rPr>
          <w:szCs w:val="26"/>
        </w:rPr>
        <w:t xml:space="preserve">Harini P. </w:t>
      </w:r>
      <w:proofErr w:type="spellStart"/>
      <w:r w:rsidRPr="00985776">
        <w:rPr>
          <w:szCs w:val="26"/>
        </w:rPr>
        <w:t>Raghupathi</w:t>
      </w:r>
      <w:proofErr w:type="spellEnd"/>
      <w:r w:rsidRPr="00985776">
        <w:rPr>
          <w:szCs w:val="26"/>
        </w:rPr>
        <w:t xml:space="preserve"> </w:t>
      </w:r>
      <w:r>
        <w:rPr>
          <w:szCs w:val="26"/>
        </w:rPr>
        <w:t>for Consumer Attorneys of California as Amicus Curiae on behalf of Plaintiff and Respondent.</w:t>
      </w:r>
    </w:p>
    <w:p w14:paraId="511B6D01" w14:textId="7B3B5D80" w:rsidR="00507011" w:rsidRDefault="00985776" w:rsidP="00985776">
      <w:pPr>
        <w:ind w:firstLine="720"/>
        <w:rPr>
          <w:szCs w:val="26"/>
        </w:rPr>
      </w:pPr>
      <w:r>
        <w:rPr>
          <w:szCs w:val="26"/>
        </w:rPr>
        <w:t>Hueston Hennigan,</w:t>
      </w:r>
      <w:r w:rsidRPr="00985776">
        <w:rPr>
          <w:rFonts w:cs="Century Schoolbook"/>
          <w:color w:val="000000"/>
          <w:szCs w:val="26"/>
        </w:rPr>
        <w:t xml:space="preserve"> </w:t>
      </w:r>
      <w:r w:rsidRPr="00985776">
        <w:rPr>
          <w:szCs w:val="26"/>
        </w:rPr>
        <w:t>John C. Hueston</w:t>
      </w:r>
      <w:r>
        <w:rPr>
          <w:szCs w:val="26"/>
        </w:rPr>
        <w:t>,</w:t>
      </w:r>
      <w:r w:rsidRPr="00985776">
        <w:rPr>
          <w:szCs w:val="26"/>
        </w:rPr>
        <w:t xml:space="preserve"> Douglas J. Dixon</w:t>
      </w:r>
      <w:r>
        <w:rPr>
          <w:szCs w:val="26"/>
        </w:rPr>
        <w:t xml:space="preserve">, </w:t>
      </w:r>
      <w:r w:rsidRPr="00985776">
        <w:rPr>
          <w:szCs w:val="26"/>
        </w:rPr>
        <w:t>Padraic W. Foran</w:t>
      </w:r>
      <w:r>
        <w:rPr>
          <w:szCs w:val="26"/>
        </w:rPr>
        <w:t xml:space="preserve">; Southern California Edison Company, </w:t>
      </w:r>
      <w:r w:rsidRPr="00985776">
        <w:rPr>
          <w:szCs w:val="26"/>
        </w:rPr>
        <w:t>Belynda</w:t>
      </w:r>
      <w:r>
        <w:rPr>
          <w:szCs w:val="26"/>
        </w:rPr>
        <w:t> </w:t>
      </w:r>
      <w:r w:rsidRPr="00985776">
        <w:rPr>
          <w:szCs w:val="26"/>
        </w:rPr>
        <w:t>S. Reck</w:t>
      </w:r>
      <w:r>
        <w:rPr>
          <w:szCs w:val="26"/>
        </w:rPr>
        <w:t xml:space="preserve">, </w:t>
      </w:r>
      <w:r w:rsidRPr="00985776">
        <w:rPr>
          <w:szCs w:val="26"/>
        </w:rPr>
        <w:t xml:space="preserve">Patricia A. </w:t>
      </w:r>
      <w:proofErr w:type="spellStart"/>
      <w:r w:rsidRPr="00985776">
        <w:rPr>
          <w:szCs w:val="26"/>
        </w:rPr>
        <w:t>Cirucci</w:t>
      </w:r>
      <w:proofErr w:type="spellEnd"/>
      <w:r w:rsidRPr="00985776">
        <w:rPr>
          <w:szCs w:val="26"/>
        </w:rPr>
        <w:t xml:space="preserve"> </w:t>
      </w:r>
      <w:r>
        <w:rPr>
          <w:szCs w:val="26"/>
        </w:rPr>
        <w:t xml:space="preserve">and </w:t>
      </w:r>
      <w:r w:rsidRPr="00985776">
        <w:rPr>
          <w:szCs w:val="26"/>
        </w:rPr>
        <w:t xml:space="preserve">Brian Cardoza </w:t>
      </w:r>
      <w:r w:rsidR="00507011">
        <w:rPr>
          <w:szCs w:val="26"/>
        </w:rPr>
        <w:t xml:space="preserve">for </w:t>
      </w:r>
      <w:r w:rsidR="002D603A">
        <w:rPr>
          <w:szCs w:val="26"/>
        </w:rPr>
        <w:t xml:space="preserve">Defendant and </w:t>
      </w:r>
      <w:r w:rsidR="00FC0263">
        <w:rPr>
          <w:szCs w:val="26"/>
        </w:rPr>
        <w:t>Appellant</w:t>
      </w:r>
      <w:r w:rsidR="00507011">
        <w:rPr>
          <w:szCs w:val="26"/>
        </w:rPr>
        <w:t>.</w:t>
      </w:r>
    </w:p>
    <w:p w14:paraId="2F7EDEAD" w14:textId="73123939" w:rsidR="00985776" w:rsidRDefault="00985776" w:rsidP="00985776">
      <w:pPr>
        <w:ind w:firstLine="720"/>
        <w:rPr>
          <w:szCs w:val="26"/>
        </w:rPr>
      </w:pPr>
      <w:r>
        <w:rPr>
          <w:szCs w:val="26"/>
        </w:rPr>
        <w:t xml:space="preserve">Vinson &amp; Elkins, </w:t>
      </w:r>
      <w:r w:rsidRPr="00985776">
        <w:rPr>
          <w:szCs w:val="26"/>
        </w:rPr>
        <w:t>Mortimer H. Hartwell</w:t>
      </w:r>
      <w:r>
        <w:rPr>
          <w:szCs w:val="26"/>
        </w:rPr>
        <w:t xml:space="preserve">, </w:t>
      </w:r>
      <w:r w:rsidRPr="00985776">
        <w:rPr>
          <w:szCs w:val="26"/>
        </w:rPr>
        <w:t xml:space="preserve">Jeremy C. </w:t>
      </w:r>
      <w:proofErr w:type="spellStart"/>
      <w:r w:rsidRPr="00985776">
        <w:rPr>
          <w:szCs w:val="26"/>
        </w:rPr>
        <w:t>Marwell</w:t>
      </w:r>
      <w:proofErr w:type="spellEnd"/>
      <w:r>
        <w:rPr>
          <w:szCs w:val="26"/>
        </w:rPr>
        <w:t xml:space="preserve"> and </w:t>
      </w:r>
      <w:r w:rsidRPr="00985776">
        <w:rPr>
          <w:szCs w:val="26"/>
        </w:rPr>
        <w:t>Nathan Campbell</w:t>
      </w:r>
      <w:r>
        <w:rPr>
          <w:szCs w:val="26"/>
        </w:rPr>
        <w:t xml:space="preserve"> for Edison Electric Institute as </w:t>
      </w:r>
      <w:r w:rsidRPr="00985776">
        <w:rPr>
          <w:szCs w:val="26"/>
        </w:rPr>
        <w:t>Amicus Curiae on behalf of</w:t>
      </w:r>
      <w:r>
        <w:rPr>
          <w:szCs w:val="26"/>
        </w:rPr>
        <w:t xml:space="preserve"> Defendant and Appellant.</w:t>
      </w:r>
    </w:p>
    <w:p w14:paraId="132F8355" w14:textId="55255D64" w:rsidR="00985776" w:rsidRDefault="00985776" w:rsidP="00985776">
      <w:pPr>
        <w:ind w:firstLine="720"/>
        <w:rPr>
          <w:szCs w:val="26"/>
        </w:rPr>
      </w:pPr>
      <w:r>
        <w:rPr>
          <w:szCs w:val="26"/>
        </w:rPr>
        <w:t xml:space="preserve">Haight Brown &amp; Bonesteel, </w:t>
      </w:r>
      <w:r w:rsidRPr="00985776">
        <w:rPr>
          <w:szCs w:val="26"/>
        </w:rPr>
        <w:t>Arezoo Jamshidi</w:t>
      </w:r>
      <w:r>
        <w:rPr>
          <w:szCs w:val="26"/>
        </w:rPr>
        <w:t>,</w:t>
      </w:r>
      <w:r w:rsidRPr="00985776">
        <w:rPr>
          <w:szCs w:val="26"/>
        </w:rPr>
        <w:t xml:space="preserve"> Kaitlyn A. Jensen</w:t>
      </w:r>
      <w:r>
        <w:rPr>
          <w:szCs w:val="26"/>
        </w:rPr>
        <w:t>,</w:t>
      </w:r>
      <w:r w:rsidRPr="00985776">
        <w:rPr>
          <w:szCs w:val="26"/>
        </w:rPr>
        <w:t xml:space="preserve"> </w:t>
      </w:r>
      <w:proofErr w:type="spellStart"/>
      <w:r w:rsidRPr="00985776">
        <w:rPr>
          <w:szCs w:val="26"/>
        </w:rPr>
        <w:t>Krsto</w:t>
      </w:r>
      <w:proofErr w:type="spellEnd"/>
      <w:r w:rsidRPr="00985776">
        <w:rPr>
          <w:szCs w:val="26"/>
        </w:rPr>
        <w:t xml:space="preserve"> </w:t>
      </w:r>
      <w:proofErr w:type="spellStart"/>
      <w:r w:rsidRPr="00985776">
        <w:rPr>
          <w:szCs w:val="26"/>
        </w:rPr>
        <w:t>Mijanovic</w:t>
      </w:r>
      <w:proofErr w:type="spellEnd"/>
      <w:r>
        <w:rPr>
          <w:szCs w:val="26"/>
        </w:rPr>
        <w:t>,</w:t>
      </w:r>
      <w:r w:rsidRPr="00985776">
        <w:rPr>
          <w:szCs w:val="26"/>
        </w:rPr>
        <w:t xml:space="preserve"> Patrick F. McIntyre </w:t>
      </w:r>
      <w:r>
        <w:rPr>
          <w:szCs w:val="26"/>
        </w:rPr>
        <w:t xml:space="preserve">and </w:t>
      </w:r>
      <w:r w:rsidRPr="00985776">
        <w:rPr>
          <w:szCs w:val="26"/>
        </w:rPr>
        <w:t xml:space="preserve">Steven </w:t>
      </w:r>
      <w:proofErr w:type="spellStart"/>
      <w:r w:rsidRPr="00985776">
        <w:rPr>
          <w:szCs w:val="26"/>
        </w:rPr>
        <w:t>Scordalakis</w:t>
      </w:r>
      <w:proofErr w:type="spellEnd"/>
      <w:r>
        <w:rPr>
          <w:szCs w:val="26"/>
        </w:rPr>
        <w:t xml:space="preserve"> for Liberty Utilities (</w:t>
      </w:r>
      <w:proofErr w:type="spellStart"/>
      <w:r>
        <w:rPr>
          <w:szCs w:val="26"/>
        </w:rPr>
        <w:t>Calpeco</w:t>
      </w:r>
      <w:proofErr w:type="spellEnd"/>
      <w:r>
        <w:rPr>
          <w:szCs w:val="26"/>
        </w:rPr>
        <w:t xml:space="preserve"> Electric) LLC as Amicus Curiae on behalf of Defendant and Appellant.</w:t>
      </w:r>
    </w:p>
    <w:p w14:paraId="38E85875" w14:textId="4363EDDB" w:rsidR="00985776" w:rsidRDefault="00985776" w:rsidP="00985776">
      <w:pPr>
        <w:ind w:firstLine="720"/>
        <w:rPr>
          <w:szCs w:val="26"/>
        </w:rPr>
      </w:pPr>
      <w:r w:rsidRPr="00985776">
        <w:rPr>
          <w:szCs w:val="26"/>
        </w:rPr>
        <w:t>Skadden, Arps, Slate, Meagher &amp; Flom</w:t>
      </w:r>
      <w:r>
        <w:rPr>
          <w:szCs w:val="26"/>
        </w:rPr>
        <w:t xml:space="preserve">, </w:t>
      </w:r>
      <w:r w:rsidRPr="00985776">
        <w:rPr>
          <w:szCs w:val="26"/>
        </w:rPr>
        <w:t>Peter B. Morrison</w:t>
      </w:r>
      <w:r>
        <w:rPr>
          <w:szCs w:val="26"/>
        </w:rPr>
        <w:t xml:space="preserve"> and</w:t>
      </w:r>
      <w:r w:rsidRPr="00985776">
        <w:rPr>
          <w:szCs w:val="26"/>
        </w:rPr>
        <w:t xml:space="preserve"> Zachary Faigen</w:t>
      </w:r>
      <w:r>
        <w:rPr>
          <w:szCs w:val="26"/>
        </w:rPr>
        <w:t xml:space="preserve">; </w:t>
      </w:r>
      <w:r w:rsidRPr="00985776">
        <w:rPr>
          <w:szCs w:val="26"/>
        </w:rPr>
        <w:t>Shay Dvoretzky</w:t>
      </w:r>
      <w:r>
        <w:rPr>
          <w:szCs w:val="26"/>
        </w:rPr>
        <w:t xml:space="preserve"> for </w:t>
      </w:r>
      <w:proofErr w:type="spellStart"/>
      <w:r>
        <w:rPr>
          <w:szCs w:val="26"/>
        </w:rPr>
        <w:t>Nextera</w:t>
      </w:r>
      <w:proofErr w:type="spellEnd"/>
      <w:r>
        <w:rPr>
          <w:szCs w:val="26"/>
        </w:rPr>
        <w:t xml:space="preserve"> Energy Resources, LLC as Amicus Curiae on behalf of Defendant and Appellant.</w:t>
      </w:r>
    </w:p>
    <w:p w14:paraId="613F6D61" w14:textId="3602AB47" w:rsidR="00985776" w:rsidRDefault="00985776" w:rsidP="00985776">
      <w:pPr>
        <w:ind w:firstLine="720"/>
        <w:rPr>
          <w:szCs w:val="26"/>
        </w:rPr>
      </w:pPr>
      <w:r>
        <w:rPr>
          <w:szCs w:val="26"/>
        </w:rPr>
        <w:t xml:space="preserve">Munger, Tolles &amp; Olson, </w:t>
      </w:r>
      <w:r w:rsidRPr="00985776">
        <w:rPr>
          <w:szCs w:val="26"/>
        </w:rPr>
        <w:t>Henry Weissmann</w:t>
      </w:r>
      <w:r>
        <w:rPr>
          <w:szCs w:val="26"/>
        </w:rPr>
        <w:t>,</w:t>
      </w:r>
      <w:r w:rsidRPr="00985776">
        <w:rPr>
          <w:szCs w:val="26"/>
        </w:rPr>
        <w:t xml:space="preserve"> Jonathan E. Altman </w:t>
      </w:r>
      <w:r>
        <w:rPr>
          <w:szCs w:val="26"/>
        </w:rPr>
        <w:t xml:space="preserve">and </w:t>
      </w:r>
      <w:r w:rsidRPr="00985776">
        <w:rPr>
          <w:szCs w:val="26"/>
        </w:rPr>
        <w:t xml:space="preserve">Anne K. Conley for Pacific Gas &amp; Electric Company, San Diego Gas &amp; Electric </w:t>
      </w:r>
      <w:proofErr w:type="gramStart"/>
      <w:r w:rsidRPr="00985776">
        <w:rPr>
          <w:szCs w:val="26"/>
        </w:rPr>
        <w:t>Company</w:t>
      </w:r>
      <w:proofErr w:type="gramEnd"/>
      <w:r w:rsidRPr="00985776">
        <w:rPr>
          <w:szCs w:val="26"/>
        </w:rPr>
        <w:t xml:space="preserve"> and PacifiCorp</w:t>
      </w:r>
      <w:r>
        <w:rPr>
          <w:szCs w:val="26"/>
        </w:rPr>
        <w:t xml:space="preserve"> as Amicus Curiae on behalf of Defendant and Appellant.</w:t>
      </w:r>
    </w:p>
    <w:p w14:paraId="2431A86A" w14:textId="77777777" w:rsidR="00507011" w:rsidRDefault="00507011" w:rsidP="00275085">
      <w:pPr>
        <w:spacing w:before="120"/>
        <w:jc w:val="center"/>
        <w:rPr>
          <w:szCs w:val="26"/>
        </w:rPr>
      </w:pPr>
      <w:r>
        <w:rPr>
          <w:szCs w:val="26"/>
        </w:rPr>
        <w:t>____</w:t>
      </w:r>
      <w:r w:rsidR="00275085">
        <w:rPr>
          <w:szCs w:val="26"/>
        </w:rPr>
        <w:t>_______</w:t>
      </w:r>
      <w:r>
        <w:rPr>
          <w:szCs w:val="26"/>
        </w:rPr>
        <w:t>_____________</w:t>
      </w:r>
    </w:p>
    <w:p w14:paraId="2016B750" w14:textId="77777777" w:rsidR="00D761C1" w:rsidRDefault="00D761C1" w:rsidP="00AB6AE5">
      <w:pPr>
        <w:jc w:val="center"/>
      </w:pPr>
    </w:p>
    <w:p w14:paraId="22833282" w14:textId="77777777" w:rsidR="008D0DF8" w:rsidRDefault="008D0DF8" w:rsidP="008D0DF8">
      <w:pPr>
        <w:keepNext/>
        <w:keepLines/>
        <w:jc w:val="center"/>
        <w:rPr>
          <w:b/>
          <w:szCs w:val="26"/>
        </w:rPr>
      </w:pPr>
      <w:r w:rsidRPr="008D0DF8">
        <w:rPr>
          <w:b/>
          <w:szCs w:val="26"/>
        </w:rPr>
        <w:lastRenderedPageBreak/>
        <w:t>INTRODUCTION</w:t>
      </w:r>
    </w:p>
    <w:p w14:paraId="1E3572C8" w14:textId="77777777" w:rsidR="00FA1DFF" w:rsidRPr="008D0DF8" w:rsidRDefault="00FA1DFF" w:rsidP="008D0DF8">
      <w:pPr>
        <w:keepNext/>
        <w:keepLines/>
        <w:jc w:val="center"/>
        <w:rPr>
          <w:b/>
          <w:szCs w:val="26"/>
        </w:rPr>
      </w:pPr>
    </w:p>
    <w:p w14:paraId="4F2729A4" w14:textId="2582BCAC" w:rsidR="00736390" w:rsidRDefault="00762404" w:rsidP="00B1337A">
      <w:pPr>
        <w:keepNext/>
        <w:keepLines/>
        <w:rPr>
          <w:bCs/>
          <w:szCs w:val="26"/>
        </w:rPr>
      </w:pPr>
      <w:r>
        <w:rPr>
          <w:b/>
          <w:szCs w:val="26"/>
        </w:rPr>
        <w:tab/>
      </w:r>
      <w:r w:rsidR="009C61CA">
        <w:rPr>
          <w:bCs/>
          <w:szCs w:val="26"/>
        </w:rPr>
        <w:t xml:space="preserve">This </w:t>
      </w:r>
      <w:r w:rsidR="00736390">
        <w:rPr>
          <w:bCs/>
          <w:szCs w:val="26"/>
        </w:rPr>
        <w:t>case</w:t>
      </w:r>
      <w:r w:rsidR="009C61CA">
        <w:rPr>
          <w:bCs/>
          <w:szCs w:val="26"/>
        </w:rPr>
        <w:t xml:space="preserve"> arises from the 2017 Thomas Fire in Southern California and is one of the hundreds of lawsuits coordinated </w:t>
      </w:r>
      <w:r w:rsidR="00A207E3">
        <w:rPr>
          <w:bCs/>
          <w:szCs w:val="26"/>
        </w:rPr>
        <w:t xml:space="preserve">in </w:t>
      </w:r>
      <w:r w:rsidR="009C61CA">
        <w:rPr>
          <w:bCs/>
          <w:szCs w:val="26"/>
        </w:rPr>
        <w:t>proceedings</w:t>
      </w:r>
      <w:r w:rsidR="00834580">
        <w:rPr>
          <w:bCs/>
          <w:szCs w:val="26"/>
        </w:rPr>
        <w:t xml:space="preserve"> involving three plaintiff </w:t>
      </w:r>
      <w:r w:rsidR="00F32B7B">
        <w:rPr>
          <w:bCs/>
          <w:szCs w:val="26"/>
        </w:rPr>
        <w:t>groups</w:t>
      </w:r>
      <w:r w:rsidR="009C61CA">
        <w:rPr>
          <w:bCs/>
          <w:szCs w:val="26"/>
        </w:rPr>
        <w:t>.</w:t>
      </w:r>
      <w:r w:rsidR="004A5C32">
        <w:rPr>
          <w:rStyle w:val="FootnoteReference"/>
          <w:bCs/>
          <w:szCs w:val="26"/>
        </w:rPr>
        <w:footnoteReference w:id="2"/>
      </w:r>
      <w:r w:rsidR="009C61CA">
        <w:rPr>
          <w:bCs/>
          <w:szCs w:val="26"/>
        </w:rPr>
        <w:t xml:space="preserve">  </w:t>
      </w:r>
      <w:r w:rsidR="00D86701">
        <w:rPr>
          <w:bCs/>
          <w:szCs w:val="26"/>
        </w:rPr>
        <w:t xml:space="preserve">Defendant and appellant </w:t>
      </w:r>
      <w:r>
        <w:rPr>
          <w:bCs/>
          <w:szCs w:val="26"/>
        </w:rPr>
        <w:t>Southern California Edison Company (SCE) appeals from a stipulated judgment entered in favor of plaintiff</w:t>
      </w:r>
      <w:r w:rsidR="00D86701">
        <w:rPr>
          <w:bCs/>
          <w:szCs w:val="26"/>
        </w:rPr>
        <w:t xml:space="preserve"> and respondent</w:t>
      </w:r>
      <w:r>
        <w:rPr>
          <w:bCs/>
          <w:szCs w:val="26"/>
        </w:rPr>
        <w:t xml:space="preserve"> Simple Avo Paradise Ranch, LLC (Simple Avo)</w:t>
      </w:r>
      <w:r w:rsidR="00834580">
        <w:rPr>
          <w:bCs/>
          <w:szCs w:val="26"/>
        </w:rPr>
        <w:t xml:space="preserve">, a member of the individual plaintiff </w:t>
      </w:r>
      <w:r w:rsidR="00EA39CD">
        <w:rPr>
          <w:bCs/>
          <w:szCs w:val="26"/>
        </w:rPr>
        <w:t>group</w:t>
      </w:r>
      <w:r>
        <w:rPr>
          <w:bCs/>
          <w:szCs w:val="26"/>
        </w:rPr>
        <w:t>.</w:t>
      </w:r>
    </w:p>
    <w:p w14:paraId="625B57F4" w14:textId="17AA35A4" w:rsidR="009223AE" w:rsidRDefault="001305AA" w:rsidP="00670CFF">
      <w:pPr>
        <w:keepNext/>
        <w:keepLines/>
        <w:rPr>
          <w:bCs/>
          <w:szCs w:val="26"/>
        </w:rPr>
      </w:pPr>
      <w:r>
        <w:rPr>
          <w:bCs/>
          <w:szCs w:val="26"/>
        </w:rPr>
        <w:tab/>
      </w:r>
      <w:r w:rsidR="00A673AF">
        <w:rPr>
          <w:bCs/>
          <w:szCs w:val="26"/>
        </w:rPr>
        <w:t>B</w:t>
      </w:r>
      <w:r w:rsidR="00834580">
        <w:rPr>
          <w:bCs/>
          <w:szCs w:val="26"/>
        </w:rPr>
        <w:t xml:space="preserve">efore Simple Avo filed </w:t>
      </w:r>
      <w:r w:rsidR="004A5C32">
        <w:rPr>
          <w:bCs/>
          <w:szCs w:val="26"/>
        </w:rPr>
        <w:t>the present</w:t>
      </w:r>
      <w:r w:rsidR="00834580">
        <w:rPr>
          <w:bCs/>
          <w:szCs w:val="26"/>
        </w:rPr>
        <w:t xml:space="preserve"> lawsuit, </w:t>
      </w:r>
      <w:r w:rsidR="00A673AF">
        <w:rPr>
          <w:bCs/>
          <w:szCs w:val="26"/>
        </w:rPr>
        <w:t xml:space="preserve">as further explained below, </w:t>
      </w:r>
      <w:r w:rsidR="00834580">
        <w:rPr>
          <w:bCs/>
          <w:szCs w:val="26"/>
        </w:rPr>
        <w:t>t</w:t>
      </w:r>
      <w:r w:rsidR="006F2365">
        <w:rPr>
          <w:bCs/>
          <w:szCs w:val="26"/>
        </w:rPr>
        <w:t>he trial court</w:t>
      </w:r>
      <w:r w:rsidR="004A5C32">
        <w:rPr>
          <w:bCs/>
          <w:szCs w:val="26"/>
        </w:rPr>
        <w:t xml:space="preserve"> had previously</w:t>
      </w:r>
      <w:r w:rsidR="006F2365">
        <w:rPr>
          <w:bCs/>
          <w:szCs w:val="26"/>
        </w:rPr>
        <w:t xml:space="preserve"> overruled SCE’s demurrer to </w:t>
      </w:r>
      <w:r w:rsidR="00FB34A2">
        <w:rPr>
          <w:bCs/>
          <w:szCs w:val="26"/>
        </w:rPr>
        <w:t>the</w:t>
      </w:r>
      <w:r w:rsidR="006F2365">
        <w:rPr>
          <w:bCs/>
          <w:szCs w:val="26"/>
        </w:rPr>
        <w:t xml:space="preserve"> cause of action for inverse condemnation</w:t>
      </w:r>
      <w:r w:rsidR="00834580">
        <w:rPr>
          <w:bCs/>
          <w:szCs w:val="26"/>
        </w:rPr>
        <w:t xml:space="preserve"> in the master complaint</w:t>
      </w:r>
      <w:r w:rsidR="004A5C32">
        <w:rPr>
          <w:bCs/>
          <w:szCs w:val="26"/>
        </w:rPr>
        <w:t>s</w:t>
      </w:r>
      <w:r w:rsidR="00834580">
        <w:rPr>
          <w:bCs/>
          <w:szCs w:val="26"/>
        </w:rPr>
        <w:t xml:space="preserve"> filed by </w:t>
      </w:r>
      <w:r w:rsidR="004A5C32">
        <w:rPr>
          <w:bCs/>
          <w:szCs w:val="26"/>
        </w:rPr>
        <w:t>each of the</w:t>
      </w:r>
      <w:r w:rsidR="00834580">
        <w:rPr>
          <w:bCs/>
          <w:szCs w:val="26"/>
        </w:rPr>
        <w:t xml:space="preserve"> plaintiff</w:t>
      </w:r>
      <w:r w:rsidR="003321A9">
        <w:rPr>
          <w:bCs/>
          <w:szCs w:val="26"/>
        </w:rPr>
        <w:t xml:space="preserve"> groups</w:t>
      </w:r>
      <w:r w:rsidR="00834580">
        <w:rPr>
          <w:bCs/>
          <w:szCs w:val="26"/>
        </w:rPr>
        <w:t xml:space="preserve">.  </w:t>
      </w:r>
      <w:r w:rsidR="00736390">
        <w:rPr>
          <w:bCs/>
          <w:szCs w:val="26"/>
        </w:rPr>
        <w:t>Simple Avo did not itself file any of the master complaints in this action, nor did it participate in the briefing</w:t>
      </w:r>
      <w:r w:rsidR="00541495">
        <w:rPr>
          <w:bCs/>
          <w:szCs w:val="26"/>
        </w:rPr>
        <w:t xml:space="preserve"> or argument</w:t>
      </w:r>
      <w:r w:rsidR="00736390">
        <w:rPr>
          <w:bCs/>
          <w:szCs w:val="26"/>
        </w:rPr>
        <w:t xml:space="preserve"> on SCE’s demurrer before the trial court.  Rather, Simple Avo checked a box on a form complaint </w:t>
      </w:r>
      <w:r w:rsidR="00AE0E91">
        <w:rPr>
          <w:bCs/>
          <w:szCs w:val="26"/>
        </w:rPr>
        <w:t>indicating</w:t>
      </w:r>
      <w:r w:rsidR="00736390">
        <w:rPr>
          <w:bCs/>
          <w:szCs w:val="26"/>
        </w:rPr>
        <w:t xml:space="preserve"> the causes of action it asserted and </w:t>
      </w:r>
      <w:r w:rsidR="004E4DB6">
        <w:rPr>
          <w:bCs/>
          <w:szCs w:val="26"/>
        </w:rPr>
        <w:t xml:space="preserve">acceded </w:t>
      </w:r>
      <w:r w:rsidR="00736390">
        <w:rPr>
          <w:bCs/>
          <w:szCs w:val="26"/>
        </w:rPr>
        <w:t>to the trial court’s demurrer ruling.</w:t>
      </w:r>
      <w:r w:rsidR="009223AE">
        <w:rPr>
          <w:bCs/>
          <w:szCs w:val="26"/>
        </w:rPr>
        <w:t xml:space="preserve">  </w:t>
      </w:r>
      <w:r w:rsidR="00736390">
        <w:rPr>
          <w:bCs/>
          <w:szCs w:val="26"/>
        </w:rPr>
        <w:t>Simple Avo and SCE subsequently settled for an undisclosed amount</w:t>
      </w:r>
      <w:r w:rsidR="00686508">
        <w:rPr>
          <w:bCs/>
          <w:szCs w:val="26"/>
        </w:rPr>
        <w:t xml:space="preserve"> </w:t>
      </w:r>
      <w:r w:rsidR="00736390">
        <w:rPr>
          <w:bCs/>
          <w:szCs w:val="26"/>
        </w:rPr>
        <w:t xml:space="preserve">and </w:t>
      </w:r>
      <w:proofErr w:type="gramStart"/>
      <w:r w:rsidR="00736390">
        <w:rPr>
          <w:bCs/>
          <w:szCs w:val="26"/>
        </w:rPr>
        <w:t>entered into</w:t>
      </w:r>
      <w:proofErr w:type="gramEnd"/>
      <w:r w:rsidR="00736390">
        <w:rPr>
          <w:bCs/>
          <w:szCs w:val="26"/>
        </w:rPr>
        <w:t xml:space="preserve"> a stipulated judgment whereby SCE would pay $1.75</w:t>
      </w:r>
      <w:r w:rsidR="002226A2">
        <w:rPr>
          <w:bCs/>
          <w:szCs w:val="26"/>
        </w:rPr>
        <w:t> </w:t>
      </w:r>
      <w:r w:rsidR="00736390">
        <w:rPr>
          <w:bCs/>
          <w:szCs w:val="26"/>
        </w:rPr>
        <w:t xml:space="preserve">million to Simple Avo on the inverse condemnation claim, subject to SCE’s appeal of the demurrer ruling.  Simple Avo dismissed all </w:t>
      </w:r>
      <w:r w:rsidR="00EE19B1">
        <w:rPr>
          <w:bCs/>
          <w:szCs w:val="26"/>
        </w:rPr>
        <w:t xml:space="preserve">its </w:t>
      </w:r>
      <w:r w:rsidR="00736390">
        <w:rPr>
          <w:bCs/>
          <w:szCs w:val="26"/>
        </w:rPr>
        <w:t>other causes of action</w:t>
      </w:r>
      <w:r w:rsidR="00686508">
        <w:rPr>
          <w:bCs/>
          <w:szCs w:val="26"/>
        </w:rPr>
        <w:t xml:space="preserve"> with prejudice</w:t>
      </w:r>
      <w:r w:rsidR="00736390">
        <w:rPr>
          <w:bCs/>
          <w:szCs w:val="26"/>
        </w:rPr>
        <w:t>.</w:t>
      </w:r>
    </w:p>
    <w:p w14:paraId="10A353B9" w14:textId="45B13FA2" w:rsidR="00231ACE" w:rsidRDefault="00736390" w:rsidP="00073AEE">
      <w:pPr>
        <w:ind w:firstLine="720"/>
        <w:rPr>
          <w:bCs/>
          <w:szCs w:val="26"/>
        </w:rPr>
      </w:pPr>
      <w:r>
        <w:rPr>
          <w:bCs/>
          <w:szCs w:val="26"/>
        </w:rPr>
        <w:t xml:space="preserve">This case presents two issues.  </w:t>
      </w:r>
      <w:r w:rsidR="00DE2B66">
        <w:rPr>
          <w:bCs/>
          <w:szCs w:val="26"/>
        </w:rPr>
        <w:t xml:space="preserve">The first is </w:t>
      </w:r>
      <w:r>
        <w:rPr>
          <w:bCs/>
          <w:szCs w:val="26"/>
        </w:rPr>
        <w:t xml:space="preserve">whether the stipulated judgment is appealable and </w:t>
      </w:r>
      <w:r w:rsidR="00EF121B">
        <w:rPr>
          <w:bCs/>
          <w:szCs w:val="26"/>
        </w:rPr>
        <w:t xml:space="preserve">whether this case </w:t>
      </w:r>
      <w:r>
        <w:rPr>
          <w:bCs/>
          <w:szCs w:val="26"/>
        </w:rPr>
        <w:t xml:space="preserve">presents a justiciable controversy.  </w:t>
      </w:r>
      <w:r w:rsidR="00670CFF">
        <w:rPr>
          <w:bCs/>
          <w:szCs w:val="26"/>
        </w:rPr>
        <w:t xml:space="preserve">Stipulated judgments are not generally appealable, </w:t>
      </w:r>
      <w:r w:rsidR="001E2FB2">
        <w:rPr>
          <w:bCs/>
          <w:szCs w:val="26"/>
        </w:rPr>
        <w:t xml:space="preserve">but the California Supreme Court has acknowledged </w:t>
      </w:r>
      <w:r w:rsidR="001E2FB2">
        <w:rPr>
          <w:bCs/>
          <w:szCs w:val="26"/>
        </w:rPr>
        <w:lastRenderedPageBreak/>
        <w:t>an exception whe</w:t>
      </w:r>
      <w:r w:rsidR="007E4FAA">
        <w:rPr>
          <w:bCs/>
          <w:szCs w:val="26"/>
        </w:rPr>
        <w:t xml:space="preserve">n </w:t>
      </w:r>
      <w:r w:rsidR="007E4FAA">
        <w:t>“</w:t>
      </w:r>
      <w:r w:rsidR="00AB58EA">
        <w:t>‘</w:t>
      </w:r>
      <w:r w:rsidR="007E4FAA">
        <w:t>consent was merely given to facilitate an appeal</w:t>
      </w:r>
      <w:r w:rsidR="00A10FBC">
        <w:t>.</w:t>
      </w:r>
      <w:r w:rsidR="007E4FAA">
        <w:t xml:space="preserve">”  </w:t>
      </w:r>
      <w:r w:rsidR="00176166">
        <w:t>(</w:t>
      </w:r>
      <w:r w:rsidR="00176166" w:rsidRPr="00EA156E">
        <w:rPr>
          <w:i/>
          <w:iCs/>
        </w:rPr>
        <w:t>Norgart</w:t>
      </w:r>
      <w:r w:rsidR="00176166">
        <w:rPr>
          <w:i/>
          <w:iCs/>
        </w:rPr>
        <w:t xml:space="preserve"> v. Upjohn Co. </w:t>
      </w:r>
      <w:r w:rsidR="00176166">
        <w:t>(1999) 21 Cal.4th 383, 400 (</w:t>
      </w:r>
      <w:r w:rsidR="00176166">
        <w:rPr>
          <w:i/>
          <w:iCs/>
        </w:rPr>
        <w:t>Norgart</w:t>
      </w:r>
      <w:r w:rsidR="00176166">
        <w:t xml:space="preserve">), </w:t>
      </w:r>
      <w:r w:rsidR="00176166" w:rsidRPr="001A4448">
        <w:t>quoting</w:t>
      </w:r>
      <w:r w:rsidR="00176166">
        <w:t xml:space="preserve"> </w:t>
      </w:r>
      <w:r w:rsidR="00176166" w:rsidRPr="00EA156E">
        <w:rPr>
          <w:i/>
          <w:iCs/>
        </w:rPr>
        <w:t>B</w:t>
      </w:r>
      <w:r w:rsidR="00176166">
        <w:rPr>
          <w:i/>
          <w:iCs/>
        </w:rPr>
        <w:t xml:space="preserve">uilding Industry Assn. v. City of Camarillo </w:t>
      </w:r>
      <w:r w:rsidR="00176166">
        <w:t>(1986) 41 Cal.3d 810, 817 (</w:t>
      </w:r>
      <w:r w:rsidR="00176166">
        <w:rPr>
          <w:i/>
          <w:iCs/>
        </w:rPr>
        <w:t>Building Industry</w:t>
      </w:r>
      <w:r w:rsidR="00176166">
        <w:t xml:space="preserve">).)  </w:t>
      </w:r>
      <w:r w:rsidR="00670CFF">
        <w:rPr>
          <w:bCs/>
          <w:szCs w:val="26"/>
        </w:rPr>
        <w:t>Over the past several decades, the courts have expanded the exception</w:t>
      </w:r>
      <w:r w:rsidR="00073AEE">
        <w:rPr>
          <w:bCs/>
          <w:szCs w:val="26"/>
        </w:rPr>
        <w:t xml:space="preserve"> and</w:t>
      </w:r>
      <w:r w:rsidR="00670CFF">
        <w:rPr>
          <w:bCs/>
          <w:szCs w:val="26"/>
        </w:rPr>
        <w:t xml:space="preserve"> allow</w:t>
      </w:r>
      <w:r w:rsidR="00073AEE">
        <w:rPr>
          <w:bCs/>
          <w:szCs w:val="26"/>
        </w:rPr>
        <w:t>ed</w:t>
      </w:r>
      <w:r w:rsidR="00670CFF">
        <w:rPr>
          <w:bCs/>
          <w:szCs w:val="26"/>
        </w:rPr>
        <w:t xml:space="preserve"> parties to </w:t>
      </w:r>
      <w:r w:rsidR="002C1192">
        <w:rPr>
          <w:bCs/>
          <w:szCs w:val="26"/>
        </w:rPr>
        <w:t xml:space="preserve">obtain immediate appellate review </w:t>
      </w:r>
      <w:r w:rsidR="00073AEE">
        <w:rPr>
          <w:bCs/>
          <w:szCs w:val="26"/>
        </w:rPr>
        <w:t xml:space="preserve">of </w:t>
      </w:r>
      <w:r w:rsidR="00670CFF">
        <w:rPr>
          <w:bCs/>
          <w:szCs w:val="26"/>
        </w:rPr>
        <w:t>summary judgments</w:t>
      </w:r>
      <w:r w:rsidR="003249FD">
        <w:rPr>
          <w:bCs/>
          <w:szCs w:val="26"/>
        </w:rPr>
        <w:t>,</w:t>
      </w:r>
      <w:r w:rsidR="00670CFF">
        <w:rPr>
          <w:bCs/>
          <w:szCs w:val="26"/>
        </w:rPr>
        <w:t xml:space="preserve"> motions in </w:t>
      </w:r>
      <w:proofErr w:type="spellStart"/>
      <w:r w:rsidR="00670CFF">
        <w:rPr>
          <w:bCs/>
          <w:szCs w:val="26"/>
        </w:rPr>
        <w:t>limine</w:t>
      </w:r>
      <w:proofErr w:type="spellEnd"/>
      <w:r w:rsidR="003249FD">
        <w:rPr>
          <w:bCs/>
          <w:szCs w:val="26"/>
        </w:rPr>
        <w:t>,</w:t>
      </w:r>
      <w:r w:rsidR="00670CFF">
        <w:rPr>
          <w:bCs/>
          <w:szCs w:val="26"/>
        </w:rPr>
        <w:t xml:space="preserve"> and just about everything in between.  Under </w:t>
      </w:r>
      <w:r w:rsidR="0093605F">
        <w:rPr>
          <w:bCs/>
          <w:i/>
          <w:iCs/>
          <w:szCs w:val="26"/>
        </w:rPr>
        <w:t>Norgart</w:t>
      </w:r>
      <w:r w:rsidR="0093605F">
        <w:rPr>
          <w:bCs/>
          <w:szCs w:val="26"/>
        </w:rPr>
        <w:t>,</w:t>
      </w:r>
      <w:r w:rsidR="0093605F">
        <w:rPr>
          <w:bCs/>
          <w:i/>
          <w:iCs/>
          <w:szCs w:val="26"/>
        </w:rPr>
        <w:t xml:space="preserve"> </w:t>
      </w:r>
      <w:r w:rsidR="00670CFF">
        <w:rPr>
          <w:bCs/>
          <w:szCs w:val="26"/>
        </w:rPr>
        <w:t xml:space="preserve">the only </w:t>
      </w:r>
      <w:r w:rsidR="0023286F">
        <w:rPr>
          <w:bCs/>
          <w:szCs w:val="26"/>
        </w:rPr>
        <w:t>requirement to invoke</w:t>
      </w:r>
      <w:r w:rsidR="00670CFF">
        <w:rPr>
          <w:bCs/>
          <w:szCs w:val="26"/>
        </w:rPr>
        <w:t xml:space="preserve"> </w:t>
      </w:r>
      <w:r w:rsidR="007605B3">
        <w:rPr>
          <w:bCs/>
          <w:szCs w:val="26"/>
        </w:rPr>
        <w:t>this</w:t>
      </w:r>
      <w:r w:rsidR="00670CFF">
        <w:rPr>
          <w:bCs/>
          <w:szCs w:val="26"/>
        </w:rPr>
        <w:t xml:space="preserve"> exception is that the parties intend to seek appellate review</w:t>
      </w:r>
      <w:r w:rsidR="0093605F">
        <w:rPr>
          <w:bCs/>
          <w:szCs w:val="26"/>
        </w:rPr>
        <w:t xml:space="preserve">.  But this by </w:t>
      </w:r>
      <w:r w:rsidR="00786E25">
        <w:rPr>
          <w:bCs/>
          <w:szCs w:val="26"/>
        </w:rPr>
        <w:t xml:space="preserve">itself </w:t>
      </w:r>
      <w:r w:rsidR="001A29F5">
        <w:rPr>
          <w:bCs/>
          <w:szCs w:val="26"/>
        </w:rPr>
        <w:t>is an insufficient constraint</w:t>
      </w:r>
      <w:r w:rsidR="00670CFF">
        <w:rPr>
          <w:bCs/>
          <w:szCs w:val="26"/>
        </w:rPr>
        <w:t xml:space="preserve">.  </w:t>
      </w:r>
      <w:r w:rsidR="003B6895">
        <w:rPr>
          <w:bCs/>
          <w:szCs w:val="26"/>
        </w:rPr>
        <w:t>Indeed</w:t>
      </w:r>
      <w:r w:rsidR="00843018">
        <w:rPr>
          <w:bCs/>
          <w:szCs w:val="26"/>
        </w:rPr>
        <w:t xml:space="preserve">, </w:t>
      </w:r>
      <w:r w:rsidR="003B6895">
        <w:rPr>
          <w:bCs/>
          <w:szCs w:val="26"/>
        </w:rPr>
        <w:t xml:space="preserve">following the reasoning of </w:t>
      </w:r>
      <w:r w:rsidR="003B6895">
        <w:rPr>
          <w:bCs/>
          <w:i/>
          <w:iCs/>
          <w:szCs w:val="26"/>
        </w:rPr>
        <w:t>Norgart</w:t>
      </w:r>
      <w:r w:rsidR="00AB58EA">
        <w:rPr>
          <w:bCs/>
          <w:szCs w:val="26"/>
        </w:rPr>
        <w:t>,</w:t>
      </w:r>
      <w:r w:rsidR="003B6895">
        <w:rPr>
          <w:bCs/>
          <w:i/>
          <w:iCs/>
          <w:szCs w:val="26"/>
        </w:rPr>
        <w:t xml:space="preserve"> </w:t>
      </w:r>
      <w:r w:rsidR="00843018">
        <w:rPr>
          <w:bCs/>
          <w:szCs w:val="26"/>
        </w:rPr>
        <w:t xml:space="preserve">we are compelled to give effect to the parties’ intent </w:t>
      </w:r>
      <w:r w:rsidR="00FB0723">
        <w:rPr>
          <w:bCs/>
          <w:szCs w:val="26"/>
        </w:rPr>
        <w:t xml:space="preserve">in this case to </w:t>
      </w:r>
      <w:r w:rsidR="00B00364">
        <w:rPr>
          <w:bCs/>
          <w:szCs w:val="26"/>
        </w:rPr>
        <w:t>obtain</w:t>
      </w:r>
      <w:r w:rsidR="00FB0723">
        <w:rPr>
          <w:bCs/>
          <w:szCs w:val="26"/>
        </w:rPr>
        <w:t xml:space="preserve"> immediate appellate review of </w:t>
      </w:r>
      <w:r w:rsidR="0042382C">
        <w:rPr>
          <w:bCs/>
          <w:szCs w:val="26"/>
        </w:rPr>
        <w:t xml:space="preserve">an overruled </w:t>
      </w:r>
      <w:r w:rsidR="00FB0723">
        <w:rPr>
          <w:bCs/>
          <w:szCs w:val="26"/>
        </w:rPr>
        <w:t>demur</w:t>
      </w:r>
      <w:r w:rsidR="00CB02E9">
        <w:rPr>
          <w:bCs/>
          <w:szCs w:val="26"/>
        </w:rPr>
        <w:t>r</w:t>
      </w:r>
      <w:r w:rsidR="00FB0723">
        <w:rPr>
          <w:bCs/>
          <w:szCs w:val="26"/>
        </w:rPr>
        <w:t xml:space="preserve">er </w:t>
      </w:r>
      <w:r w:rsidR="00BC3295">
        <w:rPr>
          <w:bCs/>
          <w:szCs w:val="26"/>
        </w:rPr>
        <w:t xml:space="preserve">(which is not generally appealable) </w:t>
      </w:r>
      <w:r w:rsidR="00FB0723">
        <w:rPr>
          <w:bCs/>
          <w:szCs w:val="26"/>
        </w:rPr>
        <w:t>in a coordinated proceeding</w:t>
      </w:r>
      <w:r w:rsidR="00A26C94">
        <w:rPr>
          <w:bCs/>
          <w:szCs w:val="26"/>
        </w:rPr>
        <w:t xml:space="preserve"> (which impacts </w:t>
      </w:r>
      <w:r w:rsidR="00D56E2E">
        <w:rPr>
          <w:bCs/>
          <w:szCs w:val="26"/>
        </w:rPr>
        <w:t>hundreds of other parties)</w:t>
      </w:r>
      <w:r w:rsidR="00DA5FF7">
        <w:rPr>
          <w:bCs/>
          <w:szCs w:val="26"/>
        </w:rPr>
        <w:t xml:space="preserve">.  </w:t>
      </w:r>
      <w:r w:rsidR="00670CFF">
        <w:rPr>
          <w:bCs/>
          <w:szCs w:val="26"/>
        </w:rPr>
        <w:t>The exception allowing appeals from stipulated judgments warrants reconsideration or refinement from our high court.  Otherwise, the exception will continue to expand and swallow the rule.</w:t>
      </w:r>
    </w:p>
    <w:p w14:paraId="0A380828" w14:textId="7919A36F" w:rsidR="00200CC7" w:rsidRDefault="00231ACE" w:rsidP="00036E8C">
      <w:pPr>
        <w:ind w:firstLine="720"/>
        <w:rPr>
          <w:szCs w:val="26"/>
        </w:rPr>
      </w:pPr>
      <w:r>
        <w:rPr>
          <w:bCs/>
          <w:szCs w:val="26"/>
        </w:rPr>
        <w:t>The second issue</w:t>
      </w:r>
      <w:r w:rsidR="003B6497">
        <w:rPr>
          <w:bCs/>
          <w:szCs w:val="26"/>
        </w:rPr>
        <w:t xml:space="preserve"> </w:t>
      </w:r>
      <w:r>
        <w:rPr>
          <w:bCs/>
          <w:szCs w:val="26"/>
        </w:rPr>
        <w:t xml:space="preserve">is </w:t>
      </w:r>
      <w:r w:rsidR="009223AE">
        <w:rPr>
          <w:bCs/>
          <w:szCs w:val="26"/>
        </w:rPr>
        <w:t>whether</w:t>
      </w:r>
      <w:r w:rsidR="00736390">
        <w:rPr>
          <w:bCs/>
          <w:szCs w:val="26"/>
        </w:rPr>
        <w:t xml:space="preserve"> the trial court err</w:t>
      </w:r>
      <w:r w:rsidR="009223AE">
        <w:rPr>
          <w:bCs/>
          <w:szCs w:val="26"/>
        </w:rPr>
        <w:t>ed</w:t>
      </w:r>
      <w:r w:rsidR="00736390">
        <w:rPr>
          <w:bCs/>
          <w:szCs w:val="26"/>
        </w:rPr>
        <w:t xml:space="preserve"> in overruling SCE’s demurrer to the inverse condemnation cause of action.  </w:t>
      </w:r>
      <w:r w:rsidR="004B25D9">
        <w:rPr>
          <w:bCs/>
          <w:szCs w:val="26"/>
        </w:rPr>
        <w:t>W</w:t>
      </w:r>
      <w:r w:rsidR="00736390">
        <w:rPr>
          <w:bCs/>
          <w:szCs w:val="26"/>
        </w:rPr>
        <w:t xml:space="preserve">e </w:t>
      </w:r>
      <w:r w:rsidR="000D2A13">
        <w:rPr>
          <w:bCs/>
          <w:szCs w:val="26"/>
        </w:rPr>
        <w:t>conclude</w:t>
      </w:r>
      <w:r w:rsidR="00736390">
        <w:rPr>
          <w:bCs/>
          <w:szCs w:val="26"/>
        </w:rPr>
        <w:t xml:space="preserve"> the stipulated judgment is </w:t>
      </w:r>
      <w:r w:rsidR="009223AE">
        <w:rPr>
          <w:bCs/>
          <w:szCs w:val="26"/>
        </w:rPr>
        <w:t>appealable and justiciable</w:t>
      </w:r>
      <w:r w:rsidR="00333E62">
        <w:rPr>
          <w:bCs/>
          <w:szCs w:val="26"/>
        </w:rPr>
        <w:t xml:space="preserve">, and that </w:t>
      </w:r>
      <w:r w:rsidR="00736390">
        <w:rPr>
          <w:bCs/>
          <w:szCs w:val="26"/>
        </w:rPr>
        <w:t xml:space="preserve">the trial court correctly overruled the demurrer.  Accordingly, we affirm. </w:t>
      </w:r>
    </w:p>
    <w:p w14:paraId="229D9DAE" w14:textId="77777777" w:rsidR="00FA1DFF" w:rsidRDefault="00FA1DFF" w:rsidP="00036E8C">
      <w:pPr>
        <w:ind w:firstLine="720"/>
        <w:rPr>
          <w:szCs w:val="26"/>
        </w:rPr>
      </w:pPr>
    </w:p>
    <w:p w14:paraId="13B6EA11" w14:textId="77777777" w:rsidR="00507011" w:rsidRPr="00215C21" w:rsidRDefault="00507011" w:rsidP="003704CC">
      <w:pPr>
        <w:pStyle w:val="Heading1"/>
      </w:pPr>
      <w:r w:rsidRPr="00001108">
        <w:t>FACTUAL AND PROCEDURAL BACKGROUND</w:t>
      </w:r>
    </w:p>
    <w:p w14:paraId="31DBAD30" w14:textId="77777777" w:rsidR="00346447" w:rsidRDefault="00346447" w:rsidP="001A4448">
      <w:pPr>
        <w:spacing w:line="276" w:lineRule="auto"/>
      </w:pPr>
    </w:p>
    <w:p w14:paraId="314EAF25" w14:textId="6DC8B44D" w:rsidR="001A4448" w:rsidRDefault="001A4448" w:rsidP="0074403B">
      <w:pPr>
        <w:spacing w:line="276" w:lineRule="auto"/>
        <w:ind w:left="720" w:hanging="720"/>
        <w:rPr>
          <w:i/>
          <w:iCs/>
        </w:rPr>
      </w:pPr>
      <w:r w:rsidRPr="001A4448">
        <w:t>A.</w:t>
      </w:r>
      <w:r w:rsidRPr="001A4448">
        <w:tab/>
      </w:r>
      <w:r w:rsidR="00F8492E">
        <w:rPr>
          <w:i/>
          <w:iCs/>
        </w:rPr>
        <w:t>Background:  The Consolidated Actions Arising from the Thomas Fire</w:t>
      </w:r>
    </w:p>
    <w:p w14:paraId="03722BEC" w14:textId="2B0BDE2A" w:rsidR="00176AAC" w:rsidRDefault="00AE0E91" w:rsidP="00E63F86">
      <w:pPr>
        <w:spacing w:line="276" w:lineRule="auto"/>
        <w:ind w:firstLine="720"/>
      </w:pPr>
      <w:r>
        <w:t>T</w:t>
      </w:r>
      <w:r w:rsidR="00F8492E" w:rsidRPr="00C147B8">
        <w:t xml:space="preserve">he 2017 Thomas </w:t>
      </w:r>
      <w:r w:rsidR="00F8492E">
        <w:t>F</w:t>
      </w:r>
      <w:r w:rsidR="00F8492E" w:rsidRPr="00C147B8">
        <w:t>ire</w:t>
      </w:r>
      <w:r w:rsidR="00F8492E">
        <w:t xml:space="preserve"> in</w:t>
      </w:r>
      <w:r w:rsidR="00A15D37">
        <w:t xml:space="preserve"> Ventura and Santa Barbara counties</w:t>
      </w:r>
      <w:r w:rsidR="00180124">
        <w:t xml:space="preserve">, </w:t>
      </w:r>
      <w:r>
        <w:t xml:space="preserve">as </w:t>
      </w:r>
      <w:r w:rsidR="00346447">
        <w:t>describ</w:t>
      </w:r>
      <w:r w:rsidR="004A46B4">
        <w:t>ed</w:t>
      </w:r>
      <w:r w:rsidR="004D3EA0">
        <w:t xml:space="preserve"> by state authorities</w:t>
      </w:r>
      <w:r>
        <w:t>,</w:t>
      </w:r>
      <w:r w:rsidR="004D3EA0">
        <w:t xml:space="preserve"> </w:t>
      </w:r>
      <w:r>
        <w:t>w</w:t>
      </w:r>
      <w:r w:rsidR="004D3EA0">
        <w:t>as</w:t>
      </w:r>
      <w:r w:rsidR="00F8492E">
        <w:t xml:space="preserve"> the largest fire in California’s modern history and the seventh most destructive.  </w:t>
      </w:r>
      <w:r w:rsidR="00F8492E">
        <w:lastRenderedPageBreak/>
        <w:t>Hundreds of lawsuits were filed</w:t>
      </w:r>
      <w:r w:rsidR="00F8492E" w:rsidRPr="00C147B8">
        <w:t xml:space="preserve"> against </w:t>
      </w:r>
      <w:r w:rsidR="00F8492E">
        <w:t>SCE and Edison International, alleging tort and inverse condemnation causes of action</w:t>
      </w:r>
      <w:r w:rsidR="007339A2">
        <w:t xml:space="preserve"> based on plaintiffs’ claims the fire was caused by downed power</w:t>
      </w:r>
      <w:r w:rsidR="00572205">
        <w:t xml:space="preserve"> </w:t>
      </w:r>
      <w:r w:rsidR="007339A2">
        <w:t>lines</w:t>
      </w:r>
      <w:r w:rsidR="00F8492E">
        <w:t xml:space="preserve">. </w:t>
      </w:r>
      <w:r w:rsidR="007339A2">
        <w:t xml:space="preserve"> </w:t>
      </w:r>
      <w:r w:rsidR="00F8492E">
        <w:t xml:space="preserve">The cases were </w:t>
      </w:r>
      <w:r w:rsidR="00EC50A8">
        <w:t>coordinated</w:t>
      </w:r>
      <w:r w:rsidR="00F8492E">
        <w:t xml:space="preserve"> in a Judicial </w:t>
      </w:r>
      <w:r w:rsidR="00C5671A">
        <w:t>Council</w:t>
      </w:r>
      <w:r w:rsidR="00F8492E">
        <w:t xml:space="preserve"> coordination proceeding and three groups of plaintiffs were formed:  individual plaintiffs, public entity plaintiffs, and subrogation plaintiffs.  On July 12, </w:t>
      </w:r>
      <w:proofErr w:type="gramStart"/>
      <w:r w:rsidR="00F8492E">
        <w:t>2018</w:t>
      </w:r>
      <w:proofErr w:type="gramEnd"/>
      <w:r w:rsidR="00F8492E">
        <w:t xml:space="preserve"> lead counsel for each of the plaintiff groups filed three master complaints. </w:t>
      </w:r>
      <w:r w:rsidR="00EB580F">
        <w:t xml:space="preserve"> </w:t>
      </w:r>
      <w:r w:rsidR="003A5820">
        <w:t>For purposes of this opinion, we are only concerned</w:t>
      </w:r>
      <w:r w:rsidR="00BE2212">
        <w:t xml:space="preserve"> with and rely only on the allegations in the individual plaintiffs’ master complaint. </w:t>
      </w:r>
    </w:p>
    <w:p w14:paraId="54E67253" w14:textId="08BE9BFC" w:rsidR="002F5D47" w:rsidRDefault="004F34FB" w:rsidP="007D43DB">
      <w:pPr>
        <w:spacing w:line="276" w:lineRule="auto"/>
        <w:ind w:firstLine="720"/>
      </w:pPr>
      <w:r>
        <w:t>As relevant here, t</w:t>
      </w:r>
      <w:r w:rsidR="00054905">
        <w:t>he master complaint</w:t>
      </w:r>
      <w:r w:rsidR="003A5820">
        <w:t xml:space="preserve"> </w:t>
      </w:r>
      <w:r w:rsidR="00054905">
        <w:t>alleged</w:t>
      </w:r>
      <w:r w:rsidR="001E67E1">
        <w:t xml:space="preserve"> </w:t>
      </w:r>
      <w:r w:rsidR="007D43DB">
        <w:t xml:space="preserve">SCE </w:t>
      </w:r>
      <w:r w:rsidR="00BF422B">
        <w:t>is</w:t>
      </w:r>
      <w:r w:rsidR="007D43DB">
        <w:t xml:space="preserve"> a “public utility”</w:t>
      </w:r>
      <w:r w:rsidR="005F7786">
        <w:t xml:space="preserve"> </w:t>
      </w:r>
      <w:r w:rsidR="003A37FB">
        <w:t>that is</w:t>
      </w:r>
      <w:r w:rsidR="005F7786">
        <w:t xml:space="preserve"> granted an exclusive franchise by the State of California to operate</w:t>
      </w:r>
      <w:r w:rsidR="009457AC">
        <w:t xml:space="preserve"> a monopoly or quasi-monopoly</w:t>
      </w:r>
      <w:r w:rsidR="007D43DB">
        <w:t xml:space="preserve"> </w:t>
      </w:r>
      <w:r w:rsidR="0036331C">
        <w:t xml:space="preserve">for </w:t>
      </w:r>
      <w:r w:rsidR="003A37FB">
        <w:t xml:space="preserve">the </w:t>
      </w:r>
      <w:r w:rsidR="0036331C">
        <w:t>distribution of electricity to the residents and businesses of Central, Coastal, and Southern California.</w:t>
      </w:r>
      <w:r w:rsidR="003A37FB">
        <w:rPr>
          <w:rStyle w:val="FootnoteReference"/>
        </w:rPr>
        <w:footnoteReference w:id="3"/>
      </w:r>
      <w:r w:rsidR="0036331C">
        <w:t xml:space="preserve"> </w:t>
      </w:r>
      <w:r w:rsidR="00EB580F">
        <w:t xml:space="preserve"> </w:t>
      </w:r>
      <w:r w:rsidR="00372BA9">
        <w:t xml:space="preserve">The master complaint alleged Edison International was SCE’s parent company and a public utility.  </w:t>
      </w:r>
      <w:r w:rsidR="00F76EA2">
        <w:t>T</w:t>
      </w:r>
      <w:r w:rsidR="0036331C">
        <w:t xml:space="preserve">he </w:t>
      </w:r>
      <w:r w:rsidR="00571A42">
        <w:t xml:space="preserve">Thomas Fire was </w:t>
      </w:r>
      <w:r w:rsidR="000C5274">
        <w:t xml:space="preserve">purportedly </w:t>
      </w:r>
      <w:r w:rsidR="00571A42">
        <w:t xml:space="preserve">sparked </w:t>
      </w:r>
      <w:r w:rsidR="002B3E46">
        <w:t xml:space="preserve">on December 4, </w:t>
      </w:r>
      <w:proofErr w:type="gramStart"/>
      <w:r w:rsidR="002B3E46">
        <w:t>2017</w:t>
      </w:r>
      <w:proofErr w:type="gramEnd"/>
      <w:r w:rsidR="002B3E46">
        <w:t xml:space="preserve"> </w:t>
      </w:r>
      <w:r w:rsidR="00571A42">
        <w:t>by unsafe electrical infrastructure owned</w:t>
      </w:r>
      <w:r w:rsidR="002F5D47">
        <w:t>, operated, and maintained</w:t>
      </w:r>
      <w:r w:rsidR="00571A42">
        <w:t xml:space="preserve"> by SCE.  Although SCE was able to temporarily de-energize its line in high fire-threat areas, it chose not to </w:t>
      </w:r>
      <w:r w:rsidR="000E24CE">
        <w:t>do so that day</w:t>
      </w:r>
      <w:r w:rsidR="00571A42">
        <w:t>.</w:t>
      </w:r>
    </w:p>
    <w:p w14:paraId="196A7453" w14:textId="24CF13C5" w:rsidR="00355FAC" w:rsidRDefault="002F5D47" w:rsidP="002A60C0">
      <w:pPr>
        <w:spacing w:line="276" w:lineRule="auto"/>
        <w:ind w:firstLine="720"/>
      </w:pPr>
      <w:r>
        <w:t xml:space="preserve">The master complaint further alleged SCE’s infrastructure had caused previous fires and that the </w:t>
      </w:r>
      <w:r w:rsidR="00572205">
        <w:t>California Public Utilities Commission (</w:t>
      </w:r>
      <w:r>
        <w:t>CPUC</w:t>
      </w:r>
      <w:r w:rsidR="00572205">
        <w:t>)</w:t>
      </w:r>
      <w:r>
        <w:t xml:space="preserve"> had levied millions of dollars in fines against SCE for its failure to mitigate the risks associated with its “ineffective vegetation management programs, unsafe </w:t>
      </w:r>
      <w:r>
        <w:lastRenderedPageBreak/>
        <w:t xml:space="preserve">equipment, and/or aging infrastructure.” </w:t>
      </w:r>
      <w:r w:rsidR="00EB580F">
        <w:t xml:space="preserve"> </w:t>
      </w:r>
      <w:r w:rsidR="002A60C0">
        <w:t xml:space="preserve">Specifically, </w:t>
      </w:r>
      <w:r w:rsidR="00971B86">
        <w:t>63.3</w:t>
      </w:r>
      <w:r w:rsidR="00EB580F">
        <w:t> </w:t>
      </w:r>
      <w:r w:rsidR="00971B86">
        <w:t>percent</w:t>
      </w:r>
      <w:r w:rsidR="001E67E1">
        <w:t xml:space="preserve"> of SCE’s electrical </w:t>
      </w:r>
      <w:r w:rsidR="00877388">
        <w:t>distribution system was comprised of overhead lines</w:t>
      </w:r>
      <w:r w:rsidR="00971B86">
        <w:t xml:space="preserve">, with most of its </w:t>
      </w:r>
      <w:r w:rsidR="001E67E1">
        <w:t>poles installed just after World War II</w:t>
      </w:r>
      <w:r w:rsidR="005254FA">
        <w:t>.  S</w:t>
      </w:r>
      <w:r w:rsidR="001E67E1">
        <w:t>CE has not brought the older poles into compliance with modern safety</w:t>
      </w:r>
      <w:r w:rsidR="00F62636">
        <w:t xml:space="preserve"> </w:t>
      </w:r>
      <w:r w:rsidR="001E67E1">
        <w:t>standards.</w:t>
      </w:r>
      <w:r w:rsidR="00F62636">
        <w:t xml:space="preserve"> </w:t>
      </w:r>
      <w:r w:rsidR="00EB580F">
        <w:t xml:space="preserve"> </w:t>
      </w:r>
      <w:r w:rsidR="00C86C97">
        <w:t xml:space="preserve">In 2014 </w:t>
      </w:r>
      <w:r w:rsidR="00150C45">
        <w:t xml:space="preserve">SCE </w:t>
      </w:r>
      <w:r w:rsidR="00C86C97">
        <w:t>allegedly proposed a program to inspect, assess, and remediate poles that d</w:t>
      </w:r>
      <w:r w:rsidR="00814304">
        <w:t>id</w:t>
      </w:r>
      <w:r w:rsidR="00C86C97">
        <w:t xml:space="preserve"> not meet current standards.</w:t>
      </w:r>
      <w:r w:rsidR="00EF7F8F">
        <w:t xml:space="preserve">  </w:t>
      </w:r>
      <w:r w:rsidR="00F1779D">
        <w:t>In</w:t>
      </w:r>
      <w:r w:rsidR="00260051">
        <w:t xml:space="preserve"> 201</w:t>
      </w:r>
      <w:r w:rsidR="00F1779D">
        <w:t>8</w:t>
      </w:r>
      <w:r w:rsidR="00260051">
        <w:t xml:space="preserve"> </w:t>
      </w:r>
      <w:r w:rsidR="006D3941">
        <w:t>SCE acknowledged it had</w:t>
      </w:r>
      <w:r w:rsidR="00814304">
        <w:t xml:space="preserve"> failed to meet </w:t>
      </w:r>
      <w:r w:rsidR="00893DA6">
        <w:t>its own</w:t>
      </w:r>
      <w:r w:rsidR="00814304">
        <w:t xml:space="preserve"> program target</w:t>
      </w:r>
      <w:r w:rsidR="00D23E84">
        <w:t>s</w:t>
      </w:r>
      <w:r w:rsidR="00814304">
        <w:t xml:space="preserve"> </w:t>
      </w:r>
      <w:r w:rsidR="004E048D">
        <w:t>for assessment</w:t>
      </w:r>
      <w:r w:rsidR="00D23E84">
        <w:t xml:space="preserve"> or </w:t>
      </w:r>
      <w:r w:rsidR="004E048D">
        <w:t>remediation</w:t>
      </w:r>
      <w:r w:rsidR="002B66A0">
        <w:t xml:space="preserve"> of its poles</w:t>
      </w:r>
      <w:r w:rsidR="00D23E84">
        <w:t xml:space="preserve">. </w:t>
      </w:r>
      <w:r w:rsidR="005F3FAE">
        <w:t xml:space="preserve"> </w:t>
      </w:r>
      <w:r w:rsidR="003327AE">
        <w:t xml:space="preserve">It extended its program from seven years to </w:t>
      </w:r>
      <w:r w:rsidR="00572205">
        <w:t xml:space="preserve">10 </w:t>
      </w:r>
      <w:r w:rsidR="003327AE">
        <w:t xml:space="preserve">years. </w:t>
      </w:r>
      <w:r w:rsidR="00A229F4">
        <w:t xml:space="preserve"> It also modified its software program</w:t>
      </w:r>
      <w:r w:rsidR="00FD618B">
        <w:t xml:space="preserve">, </w:t>
      </w:r>
      <w:r w:rsidR="002C2D28">
        <w:t>reducing the number of</w:t>
      </w:r>
      <w:r w:rsidR="00FD618B">
        <w:t xml:space="preserve"> poles in need of remediation.</w:t>
      </w:r>
    </w:p>
    <w:p w14:paraId="32A1E3E7" w14:textId="70EE9C66" w:rsidR="00F81841" w:rsidRDefault="001A4448" w:rsidP="001A4448">
      <w:pPr>
        <w:spacing w:line="276" w:lineRule="auto"/>
        <w:ind w:firstLine="720"/>
      </w:pPr>
      <w:r>
        <w:t xml:space="preserve">On August 3, </w:t>
      </w:r>
      <w:proofErr w:type="gramStart"/>
      <w:r>
        <w:t>2018</w:t>
      </w:r>
      <w:proofErr w:type="gramEnd"/>
      <w:r>
        <w:t xml:space="preserve"> SCE and Edison International demurred to the cause of action for inverse condemnation in each of the master complaints. </w:t>
      </w:r>
      <w:r w:rsidR="00EB580F">
        <w:t xml:space="preserve"> </w:t>
      </w:r>
      <w:r w:rsidR="00FA1DFF">
        <w:t>An action for inverse condemnation is “</w:t>
      </w:r>
      <w:r w:rsidR="00FA1DFF" w:rsidRPr="006F3D86">
        <w:t>an action to recover damages for injuries to private property caused by a public improvement</w:t>
      </w:r>
      <w:r w:rsidR="00FA1DFF">
        <w:t xml:space="preserve">.” </w:t>
      </w:r>
      <w:r w:rsidR="002226A2">
        <w:t xml:space="preserve"> </w:t>
      </w:r>
      <w:r w:rsidR="00FA1DFF">
        <w:t>(</w:t>
      </w:r>
      <w:r w:rsidR="00FA1DFF" w:rsidRPr="006F3D86">
        <w:rPr>
          <w:i/>
          <w:iCs/>
        </w:rPr>
        <w:t xml:space="preserve">City of Oroville v. Superior </w:t>
      </w:r>
      <w:r w:rsidR="00572205" w:rsidRPr="00C705E5">
        <w:rPr>
          <w:i/>
          <w:iCs/>
        </w:rPr>
        <w:t>Court</w:t>
      </w:r>
      <w:r w:rsidR="00572205">
        <w:t xml:space="preserve"> </w:t>
      </w:r>
      <w:r w:rsidR="00FA1DFF">
        <w:t>(2019)</w:t>
      </w:r>
      <w:r w:rsidR="00FA1DFF" w:rsidRPr="006F3D86">
        <w:t xml:space="preserve"> 7 Cal.5th 1091, 1097</w:t>
      </w:r>
      <w:r w:rsidR="00B92B0C">
        <w:t xml:space="preserve"> (</w:t>
      </w:r>
      <w:r w:rsidR="00B92B0C">
        <w:rPr>
          <w:i/>
          <w:iCs/>
        </w:rPr>
        <w:t>Oroville</w:t>
      </w:r>
      <w:r w:rsidR="00B92B0C">
        <w:t>)</w:t>
      </w:r>
      <w:r w:rsidR="00FA1DFF">
        <w:t xml:space="preserve">.)  </w:t>
      </w:r>
      <w:r w:rsidR="00F81841" w:rsidRPr="00F81841">
        <w:t xml:space="preserve">To state a claim for inverse condemnation, a plaintiff must </w:t>
      </w:r>
      <w:r w:rsidR="000D0ECA">
        <w:t>allege</w:t>
      </w:r>
      <w:r w:rsidR="00F81841" w:rsidRPr="00F81841">
        <w:t xml:space="preserve"> “</w:t>
      </w:r>
      <w:r w:rsidR="00C705E5">
        <w:t>[1</w:t>
      </w:r>
      <w:r w:rsidR="0084215C">
        <w:t>.</w:t>
      </w:r>
      <w:r w:rsidR="00C705E5">
        <w:t xml:space="preserve">] </w:t>
      </w:r>
      <w:r w:rsidR="00F81841" w:rsidRPr="00F81841">
        <w:t xml:space="preserve">a public entity </w:t>
      </w:r>
      <w:r w:rsidR="00C705E5">
        <w:t>[2</w:t>
      </w:r>
      <w:r w:rsidR="0084215C">
        <w:t>.</w:t>
      </w:r>
      <w:r w:rsidR="00C705E5">
        <w:t xml:space="preserve">] </w:t>
      </w:r>
      <w:r w:rsidR="00F81841" w:rsidRPr="00F81841">
        <w:t xml:space="preserve">has taken or damaged their property </w:t>
      </w:r>
      <w:r w:rsidR="00C705E5">
        <w:t>[3</w:t>
      </w:r>
      <w:r w:rsidR="0084215C">
        <w:t>.</w:t>
      </w:r>
      <w:r w:rsidR="00C705E5">
        <w:t xml:space="preserve">] </w:t>
      </w:r>
      <w:r w:rsidR="00F81841" w:rsidRPr="00F81841">
        <w:t>for a public use.”  (</w:t>
      </w:r>
      <w:r w:rsidR="00F81841" w:rsidRPr="00F81841">
        <w:rPr>
          <w:i/>
          <w:iCs/>
        </w:rPr>
        <w:t>Barham v. Southern Cal. Edison Co</w:t>
      </w:r>
      <w:r w:rsidR="00F81841" w:rsidRPr="00F81841">
        <w:t>. (1999) 74</w:t>
      </w:r>
      <w:r w:rsidR="002226A2">
        <w:t> </w:t>
      </w:r>
      <w:r w:rsidR="00F81841" w:rsidRPr="00F81841">
        <w:t>Cal.App.4th 744, 751 (</w:t>
      </w:r>
      <w:r w:rsidR="00F81841" w:rsidRPr="00F81841">
        <w:rPr>
          <w:i/>
          <w:iCs/>
        </w:rPr>
        <w:t>Barham</w:t>
      </w:r>
      <w:r w:rsidR="00F81841" w:rsidRPr="00F81841">
        <w:t xml:space="preserve">).) </w:t>
      </w:r>
    </w:p>
    <w:p w14:paraId="07B0EE03" w14:textId="500F2A4F" w:rsidR="00631D67" w:rsidRDefault="00FA1DFF" w:rsidP="001A4448">
      <w:pPr>
        <w:spacing w:line="276" w:lineRule="auto"/>
        <w:ind w:firstLine="720"/>
      </w:pPr>
      <w:r>
        <w:t>SCE and Edison International’s p</w:t>
      </w:r>
      <w:r w:rsidR="00631D67">
        <w:t xml:space="preserve">rincipal </w:t>
      </w:r>
      <w:r w:rsidR="00F81841">
        <w:t>argument</w:t>
      </w:r>
      <w:r w:rsidR="00DD46B2">
        <w:t xml:space="preserve"> on demurrer</w:t>
      </w:r>
      <w:r w:rsidR="00F81841">
        <w:t xml:space="preserve"> was t</w:t>
      </w:r>
      <w:r w:rsidR="00631D67">
        <w:t xml:space="preserve">hat neither defendant was a public entity able to spread </w:t>
      </w:r>
      <w:r w:rsidR="00293ACC">
        <w:t xml:space="preserve">its </w:t>
      </w:r>
      <w:r w:rsidR="00631D67">
        <w:t xml:space="preserve">losses </w:t>
      </w:r>
      <w:r w:rsidR="00341E63">
        <w:t xml:space="preserve">as </w:t>
      </w:r>
      <w:r w:rsidR="00631D67">
        <w:t>a matter of right</w:t>
      </w:r>
      <w:r w:rsidR="00341E63">
        <w:t xml:space="preserve">, </w:t>
      </w:r>
      <w:r w:rsidR="00D92C36">
        <w:t>as</w:t>
      </w:r>
      <w:r w:rsidR="00464BCD">
        <w:t>, for example,</w:t>
      </w:r>
      <w:r w:rsidR="00D92C36">
        <w:t xml:space="preserve"> </w:t>
      </w:r>
      <w:r w:rsidR="00341E63">
        <w:t>a municipality could by raising taxes</w:t>
      </w:r>
      <w:r w:rsidR="00631D67">
        <w:t xml:space="preserve">. </w:t>
      </w:r>
      <w:r w:rsidR="00293ACC">
        <w:t xml:space="preserve"> </w:t>
      </w:r>
      <w:r w:rsidR="00631D67">
        <w:t xml:space="preserve">Instead, they were privately-owned corporations that </w:t>
      </w:r>
      <w:r w:rsidR="00D92C36">
        <w:t xml:space="preserve">needed </w:t>
      </w:r>
      <w:r w:rsidR="00631D67">
        <w:t xml:space="preserve">approval from the </w:t>
      </w:r>
      <w:r w:rsidR="00293ACC">
        <w:t>CPUC</w:t>
      </w:r>
      <w:r w:rsidR="00631D67">
        <w:t xml:space="preserve"> to raise their rates. </w:t>
      </w:r>
      <w:r w:rsidR="0036482B">
        <w:t xml:space="preserve"> </w:t>
      </w:r>
      <w:r w:rsidR="006F3D86">
        <w:t xml:space="preserve">They cited a </w:t>
      </w:r>
      <w:r w:rsidR="00F32F89">
        <w:t>201</w:t>
      </w:r>
      <w:r w:rsidR="00941B84">
        <w:t>7</w:t>
      </w:r>
      <w:r w:rsidR="00F32F89">
        <w:t xml:space="preserve"> </w:t>
      </w:r>
      <w:r w:rsidR="00293ACC">
        <w:t xml:space="preserve">CPUC </w:t>
      </w:r>
      <w:r w:rsidR="006F3D86">
        <w:t>decision</w:t>
      </w:r>
      <w:r w:rsidR="007F07E9">
        <w:t xml:space="preserve"> </w:t>
      </w:r>
      <w:r w:rsidR="00D92C36">
        <w:t xml:space="preserve">rejecting the request of </w:t>
      </w:r>
      <w:r w:rsidR="006F3D86">
        <w:t>a different utility</w:t>
      </w:r>
      <w:r w:rsidR="007F07E9">
        <w:t>—San Diego Gas &amp; Electric</w:t>
      </w:r>
      <w:r w:rsidR="00DF7058">
        <w:t xml:space="preserve"> (SDG&amp;E)</w:t>
      </w:r>
      <w:r w:rsidR="007F07E9">
        <w:t>—</w:t>
      </w:r>
      <w:r w:rsidR="00D92C36">
        <w:t xml:space="preserve">to </w:t>
      </w:r>
      <w:r w:rsidR="001B4A0E">
        <w:t>rais</w:t>
      </w:r>
      <w:r w:rsidR="00D92C36">
        <w:t>e</w:t>
      </w:r>
      <w:r w:rsidR="001B4A0E">
        <w:t xml:space="preserve"> its rates to </w:t>
      </w:r>
      <w:r w:rsidR="007F07E9">
        <w:t xml:space="preserve">cover the cost of a different fire. </w:t>
      </w:r>
      <w:r w:rsidR="00EB580F">
        <w:t xml:space="preserve"> </w:t>
      </w:r>
      <w:r w:rsidR="007F07E9">
        <w:t xml:space="preserve">According to SCE and Edison International, the </w:t>
      </w:r>
      <w:r w:rsidR="00293ACC">
        <w:t xml:space="preserve">CPUC’s </w:t>
      </w:r>
      <w:r w:rsidR="007F07E9">
        <w:t>decision in th</w:t>
      </w:r>
      <w:r w:rsidR="00D92C36">
        <w:t xml:space="preserve">at </w:t>
      </w:r>
      <w:r w:rsidR="007F07E9">
        <w:t xml:space="preserve">case </w:t>
      </w:r>
      <w:r w:rsidR="00293ACC">
        <w:t>demonstrated</w:t>
      </w:r>
      <w:r w:rsidR="007F07E9">
        <w:t xml:space="preserve"> </w:t>
      </w:r>
      <w:r w:rsidR="003A5079">
        <w:t>privately-owned utility companies such as SCE</w:t>
      </w:r>
      <w:r w:rsidR="00F32F89">
        <w:t xml:space="preserve"> </w:t>
      </w:r>
      <w:r w:rsidR="006122F6">
        <w:t>lacked</w:t>
      </w:r>
      <w:r w:rsidR="009347ED">
        <w:t xml:space="preserve"> </w:t>
      </w:r>
      <w:r w:rsidR="00D92C36">
        <w:t xml:space="preserve">authority </w:t>
      </w:r>
      <w:r w:rsidR="00F32F89">
        <w:t>to spread the</w:t>
      </w:r>
      <w:r w:rsidR="007F07E9">
        <w:t xml:space="preserve"> losses</w:t>
      </w:r>
      <w:r w:rsidR="00F32F89">
        <w:t xml:space="preserve"> from the </w:t>
      </w:r>
      <w:r w:rsidR="00F32F89">
        <w:lastRenderedPageBreak/>
        <w:t>Thomas Fire</w:t>
      </w:r>
      <w:r w:rsidR="007F07E9" w:rsidRPr="00F863AE">
        <w:t>.</w:t>
      </w:r>
      <w:r w:rsidR="006F3D86">
        <w:t xml:space="preserve"> </w:t>
      </w:r>
      <w:r w:rsidR="00D92C36">
        <w:t xml:space="preserve"> </w:t>
      </w:r>
      <w:r w:rsidR="0036482B">
        <w:t xml:space="preserve">Under these circumstances, </w:t>
      </w:r>
      <w:r w:rsidR="007F07E9">
        <w:t>SCE and Edison International</w:t>
      </w:r>
      <w:r w:rsidR="00A64037">
        <w:t xml:space="preserve"> </w:t>
      </w:r>
      <w:r w:rsidR="00293ACC">
        <w:t xml:space="preserve">argued </w:t>
      </w:r>
      <w:r w:rsidR="00A64037">
        <w:t>they</w:t>
      </w:r>
      <w:r w:rsidR="007F07E9">
        <w:t xml:space="preserve"> </w:t>
      </w:r>
      <w:r w:rsidR="00F81841">
        <w:t>were not public entities subject to liability for</w:t>
      </w:r>
      <w:r w:rsidR="0036482B">
        <w:t xml:space="preserve"> inverse condemnation. </w:t>
      </w:r>
      <w:r w:rsidR="004C7F3A">
        <w:t xml:space="preserve"> SCE also demurred on the ground the master complaint failed to allege </w:t>
      </w:r>
      <w:r w:rsidR="00427FC3">
        <w:t xml:space="preserve">the remaining </w:t>
      </w:r>
      <w:r w:rsidR="00B43CD3">
        <w:t>element</w:t>
      </w:r>
      <w:r w:rsidR="00427FC3">
        <w:t>s</w:t>
      </w:r>
      <w:r w:rsidR="00B43CD3">
        <w:t xml:space="preserve"> of an inverse condemnation cause of action.</w:t>
      </w:r>
    </w:p>
    <w:p w14:paraId="3F5839CC" w14:textId="335535F0" w:rsidR="00BE72E7" w:rsidRDefault="0036482B" w:rsidP="00341E63">
      <w:pPr>
        <w:ind w:firstLine="720"/>
      </w:pPr>
      <w:r>
        <w:t xml:space="preserve">The plaintiff groups each filed </w:t>
      </w:r>
      <w:r w:rsidR="001B4A0E">
        <w:t xml:space="preserve">an </w:t>
      </w:r>
      <w:r>
        <w:t>opposition to the demurrer</w:t>
      </w:r>
      <w:r w:rsidR="00BB3D47">
        <w:t xml:space="preserve">.  </w:t>
      </w:r>
      <w:r w:rsidR="0039607F">
        <w:t>All</w:t>
      </w:r>
      <w:r w:rsidR="00E92568">
        <w:t xml:space="preserve"> three</w:t>
      </w:r>
      <w:r w:rsidR="0039607F">
        <w:t xml:space="preserve"> plaintiff groups </w:t>
      </w:r>
      <w:r w:rsidR="00D478BC">
        <w:t>relied on</w:t>
      </w:r>
      <w:r w:rsidR="006F0C74">
        <w:t xml:space="preserve"> two cases</w:t>
      </w:r>
      <w:r w:rsidR="00FB20FF">
        <w:t>—</w:t>
      </w:r>
      <w:r w:rsidR="005C4E3A" w:rsidRPr="00F54C7A">
        <w:rPr>
          <w:i/>
        </w:rPr>
        <w:t>Barham</w:t>
      </w:r>
      <w:r w:rsidR="005C4E3A">
        <w:rPr>
          <w:i/>
        </w:rPr>
        <w:t xml:space="preserve">, supra, </w:t>
      </w:r>
      <w:r w:rsidR="005C4E3A">
        <w:t>74 Cal.App.4th at page 751</w:t>
      </w:r>
      <w:r w:rsidR="00572205">
        <w:t>,</w:t>
      </w:r>
      <w:r w:rsidR="005C4E3A">
        <w:t xml:space="preserve"> and </w:t>
      </w:r>
      <w:r w:rsidR="005C4E3A" w:rsidRPr="00425144">
        <w:rPr>
          <w:i/>
        </w:rPr>
        <w:t>Pacific Bell Telephone Co. v. Southern California Edison Co.</w:t>
      </w:r>
      <w:r w:rsidR="005C4E3A">
        <w:rPr>
          <w:i/>
        </w:rPr>
        <w:t xml:space="preserve"> </w:t>
      </w:r>
      <w:r w:rsidR="005C4E3A">
        <w:t>(2012) 208</w:t>
      </w:r>
      <w:r w:rsidR="002226A2">
        <w:t> </w:t>
      </w:r>
      <w:r w:rsidR="005C4E3A">
        <w:t>Cal.App.4th 1400 (</w:t>
      </w:r>
      <w:r w:rsidR="005C4E3A" w:rsidRPr="00B00E57">
        <w:rPr>
          <w:i/>
        </w:rPr>
        <w:t>Pacific Bell</w:t>
      </w:r>
      <w:r w:rsidR="00FB20FF">
        <w:t>)—</w:t>
      </w:r>
      <w:r w:rsidR="00DB4092">
        <w:t>which</w:t>
      </w:r>
      <w:r w:rsidR="00FD17D7">
        <w:t xml:space="preserve"> </w:t>
      </w:r>
      <w:r w:rsidR="00CF320E">
        <w:t>a</w:t>
      </w:r>
      <w:r w:rsidR="006B706C">
        <w:t xml:space="preserve">ddressed </w:t>
      </w:r>
      <w:r w:rsidR="00473D9E">
        <w:t xml:space="preserve">and rejected </w:t>
      </w:r>
      <w:r w:rsidR="006B706C">
        <w:t xml:space="preserve">the precise issues raised by SCE in its demurrer.  </w:t>
      </w:r>
      <w:r w:rsidR="00473D9E">
        <w:t xml:space="preserve">Indeed, SCE was the defendant in both </w:t>
      </w:r>
      <w:r w:rsidR="005322AD">
        <w:rPr>
          <w:i/>
          <w:iCs/>
        </w:rPr>
        <w:t xml:space="preserve">Barham </w:t>
      </w:r>
      <w:r w:rsidR="005322AD">
        <w:t xml:space="preserve">and </w:t>
      </w:r>
      <w:r w:rsidR="005322AD">
        <w:rPr>
          <w:i/>
          <w:iCs/>
        </w:rPr>
        <w:t>Pacific Bell.</w:t>
      </w:r>
      <w:r w:rsidR="00473D9E">
        <w:t xml:space="preserve">  </w:t>
      </w:r>
      <w:r w:rsidR="00FB20FF">
        <w:t>The</w:t>
      </w:r>
      <w:r w:rsidR="00F24BB6">
        <w:t xml:space="preserve"> </w:t>
      </w:r>
      <w:r w:rsidR="00FB20FF">
        <w:t>individual plaintiffs</w:t>
      </w:r>
      <w:r w:rsidR="004F0A31">
        <w:t xml:space="preserve"> additionally requested </w:t>
      </w:r>
      <w:r w:rsidR="008444F3">
        <w:t xml:space="preserve">judicial notice </w:t>
      </w:r>
      <w:r w:rsidR="004E7387">
        <w:t xml:space="preserve">of </w:t>
      </w:r>
      <w:r w:rsidR="00A11044">
        <w:t>rulings by trial courts and</w:t>
      </w:r>
      <w:r w:rsidR="006679F2">
        <w:t xml:space="preserve"> orders </w:t>
      </w:r>
      <w:r w:rsidR="0021364E">
        <w:t>by the</w:t>
      </w:r>
      <w:r w:rsidR="00A11044">
        <w:t xml:space="preserve"> Courts of Appeal</w:t>
      </w:r>
      <w:r w:rsidR="008A3294">
        <w:t xml:space="preserve"> following writ petitions that</w:t>
      </w:r>
      <w:r w:rsidR="0021364E">
        <w:t xml:space="preserve"> adopt</w:t>
      </w:r>
      <w:r w:rsidR="008A3294">
        <w:t>ed the holdings in</w:t>
      </w:r>
      <w:r w:rsidR="0021364E">
        <w:t xml:space="preserve"> </w:t>
      </w:r>
      <w:r w:rsidR="0021364E">
        <w:rPr>
          <w:i/>
          <w:iCs/>
        </w:rPr>
        <w:t xml:space="preserve">Barham </w:t>
      </w:r>
      <w:r w:rsidR="0021364E">
        <w:t xml:space="preserve">and </w:t>
      </w:r>
      <w:r w:rsidR="0021364E">
        <w:rPr>
          <w:i/>
          <w:iCs/>
        </w:rPr>
        <w:t xml:space="preserve">Pacific Bell. </w:t>
      </w:r>
      <w:r w:rsidR="00245EB7">
        <w:rPr>
          <w:i/>
          <w:iCs/>
        </w:rPr>
        <w:t xml:space="preserve"> </w:t>
      </w:r>
      <w:r w:rsidR="00245EB7">
        <w:t xml:space="preserve">The trial court granted the request for judicial notice. </w:t>
      </w:r>
      <w:r w:rsidR="00EB580F">
        <w:t xml:space="preserve"> </w:t>
      </w:r>
      <w:r w:rsidR="00B467D1">
        <w:t>T</w:t>
      </w:r>
      <w:r>
        <w:t xml:space="preserve">he defendants </w:t>
      </w:r>
      <w:r w:rsidR="000276BB">
        <w:t>filed o</w:t>
      </w:r>
      <w:r w:rsidR="00951BA3">
        <w:t>ne reply brief</w:t>
      </w:r>
      <w:r w:rsidR="000276BB">
        <w:t xml:space="preserve"> in response to the three oppositions</w:t>
      </w:r>
      <w:r w:rsidR="000804F9">
        <w:t xml:space="preserve">, arguing </w:t>
      </w:r>
      <w:r w:rsidR="000804F9">
        <w:rPr>
          <w:i/>
          <w:iCs/>
        </w:rPr>
        <w:t xml:space="preserve">Barham </w:t>
      </w:r>
      <w:r w:rsidR="000804F9">
        <w:t xml:space="preserve">and </w:t>
      </w:r>
      <w:r w:rsidR="000804F9">
        <w:rPr>
          <w:i/>
          <w:iCs/>
        </w:rPr>
        <w:t xml:space="preserve">Pacific Bell </w:t>
      </w:r>
      <w:r w:rsidR="000804F9">
        <w:t>were wrongly decided</w:t>
      </w:r>
      <w:r>
        <w:t>.</w:t>
      </w:r>
    </w:p>
    <w:p w14:paraId="215CD99E" w14:textId="71C67D17" w:rsidR="00FA1DFF" w:rsidRDefault="001A4448" w:rsidP="00E85230">
      <w:pPr>
        <w:ind w:firstLine="720"/>
      </w:pPr>
      <w:r>
        <w:t xml:space="preserve">On October 4, </w:t>
      </w:r>
      <w:proofErr w:type="gramStart"/>
      <w:r>
        <w:t>2018</w:t>
      </w:r>
      <w:proofErr w:type="gramEnd"/>
      <w:r>
        <w:t xml:space="preserve"> the trial court overruled the demurrer</w:t>
      </w:r>
      <w:r w:rsidR="00B21160">
        <w:t xml:space="preserve"> on the ground</w:t>
      </w:r>
      <w:r w:rsidR="006D58A0">
        <w:t xml:space="preserve"> that</w:t>
      </w:r>
      <w:r w:rsidR="00B21160">
        <w:t xml:space="preserve"> it was bound by </w:t>
      </w:r>
      <w:r w:rsidR="00C72ACC">
        <w:rPr>
          <w:i/>
          <w:iCs/>
        </w:rPr>
        <w:t xml:space="preserve">Barham </w:t>
      </w:r>
      <w:r w:rsidR="00C72ACC">
        <w:t xml:space="preserve">and </w:t>
      </w:r>
      <w:r w:rsidR="00C72ACC">
        <w:rPr>
          <w:i/>
          <w:iCs/>
        </w:rPr>
        <w:t>Pacific Bell</w:t>
      </w:r>
      <w:r w:rsidR="00250438">
        <w:rPr>
          <w:i/>
          <w:iCs/>
        </w:rPr>
        <w:t xml:space="preserve">, </w:t>
      </w:r>
      <w:r w:rsidR="00250438">
        <w:t>which held</w:t>
      </w:r>
      <w:r w:rsidR="00B21160">
        <w:t xml:space="preserve"> </w:t>
      </w:r>
      <w:r w:rsidR="00747962">
        <w:t xml:space="preserve">that, even as a </w:t>
      </w:r>
      <w:r w:rsidR="00B21160">
        <w:t xml:space="preserve">privately-owned </w:t>
      </w:r>
      <w:r w:rsidR="00747962">
        <w:t>utility</w:t>
      </w:r>
      <w:r w:rsidR="008526B9">
        <w:t>,</w:t>
      </w:r>
      <w:r w:rsidR="00B21160">
        <w:t xml:space="preserve"> SCE could be liable </w:t>
      </w:r>
      <w:r w:rsidR="008526B9">
        <w:t>for</w:t>
      </w:r>
      <w:r w:rsidR="00B21160">
        <w:t xml:space="preserve"> inverse condemnation. </w:t>
      </w:r>
      <w:r w:rsidR="00EB580F">
        <w:t xml:space="preserve"> </w:t>
      </w:r>
      <w:r w:rsidR="008526B9">
        <w:t>T</w:t>
      </w:r>
      <w:r w:rsidR="00341E63">
        <w:t xml:space="preserve">he trial court observed </w:t>
      </w:r>
      <w:r w:rsidR="008526B9">
        <w:t xml:space="preserve">that </w:t>
      </w:r>
      <w:r w:rsidR="00341E63">
        <w:t xml:space="preserve">the </w:t>
      </w:r>
      <w:r w:rsidR="00293ACC">
        <w:t xml:space="preserve">CPUC’s </w:t>
      </w:r>
      <w:r w:rsidR="00117886">
        <w:t xml:space="preserve">2017 </w:t>
      </w:r>
      <w:r w:rsidR="00341E63">
        <w:t xml:space="preserve">decision regarding </w:t>
      </w:r>
      <w:r w:rsidR="00005092">
        <w:t xml:space="preserve">SDG&amp;E </w:t>
      </w:r>
      <w:r w:rsidR="00293ACC">
        <w:t>did not predict</w:t>
      </w:r>
      <w:r w:rsidR="00341E63">
        <w:t xml:space="preserve"> any future decision </w:t>
      </w:r>
      <w:r w:rsidR="00F8492E">
        <w:t xml:space="preserve">the CPUC </w:t>
      </w:r>
      <w:r w:rsidR="00341E63">
        <w:t xml:space="preserve">might make </w:t>
      </w:r>
      <w:r w:rsidR="00F8492E">
        <w:t>regarding</w:t>
      </w:r>
      <w:r w:rsidR="00341E63">
        <w:t xml:space="preserve"> the Thomas Fire</w:t>
      </w:r>
      <w:r w:rsidR="00293ACC">
        <w:t xml:space="preserve"> </w:t>
      </w:r>
      <w:r w:rsidR="00342AA7">
        <w:t>and</w:t>
      </w:r>
      <w:r w:rsidR="00293ACC">
        <w:t xml:space="preserve"> SCE and Edison International</w:t>
      </w:r>
      <w:r w:rsidR="00341E63">
        <w:t xml:space="preserve">.  </w:t>
      </w:r>
      <w:r w:rsidR="00342AA7">
        <w:t>It</w:t>
      </w:r>
      <w:r w:rsidR="00293ACC">
        <w:t xml:space="preserve"> reasoned</w:t>
      </w:r>
      <w:r w:rsidR="00342AA7">
        <w:t xml:space="preserve"> that</w:t>
      </w:r>
      <w:r w:rsidR="00293ACC">
        <w:t xml:space="preserve"> t</w:t>
      </w:r>
      <w:r w:rsidR="00341E63">
        <w:t xml:space="preserve">he </w:t>
      </w:r>
      <w:r w:rsidR="00293ACC">
        <w:t xml:space="preserve">CPUC’s </w:t>
      </w:r>
      <w:r w:rsidR="00341E63">
        <w:t xml:space="preserve">“fact specific” analysis </w:t>
      </w:r>
      <w:r w:rsidR="003F399F">
        <w:t>utilized in determining whether to authorize a</w:t>
      </w:r>
      <w:r w:rsidR="00341E63">
        <w:t xml:space="preserve"> rate increase </w:t>
      </w:r>
      <w:r w:rsidR="00730922">
        <w:t xml:space="preserve">meant that whether SCE could obtain such an increase </w:t>
      </w:r>
      <w:r w:rsidR="00DE4346">
        <w:t xml:space="preserve">in the future </w:t>
      </w:r>
      <w:r w:rsidR="004128BD">
        <w:t xml:space="preserve">presented </w:t>
      </w:r>
      <w:r w:rsidR="00341E63">
        <w:t xml:space="preserve">a factual dispute not appropriate </w:t>
      </w:r>
      <w:r w:rsidR="00346A21">
        <w:t>for</w:t>
      </w:r>
      <w:r w:rsidR="00341E63">
        <w:t xml:space="preserve"> demurrer. </w:t>
      </w:r>
      <w:r w:rsidR="00EB580F">
        <w:t xml:space="preserve"> </w:t>
      </w:r>
      <w:r w:rsidR="004128BD">
        <w:t>Relying on</w:t>
      </w:r>
      <w:r w:rsidR="009071EB">
        <w:t xml:space="preserve"> </w:t>
      </w:r>
      <w:r w:rsidR="00341E63" w:rsidRPr="00F31958">
        <w:rPr>
          <w:i/>
        </w:rPr>
        <w:t>Pacific Bell</w:t>
      </w:r>
      <w:r w:rsidR="009071EB">
        <w:rPr>
          <w:i/>
        </w:rPr>
        <w:t xml:space="preserve">, </w:t>
      </w:r>
      <w:r w:rsidR="009071EB">
        <w:rPr>
          <w:iCs/>
        </w:rPr>
        <w:t xml:space="preserve">the </w:t>
      </w:r>
      <w:r w:rsidR="00FB74DB">
        <w:rPr>
          <w:iCs/>
        </w:rPr>
        <w:t xml:space="preserve">trial </w:t>
      </w:r>
      <w:r w:rsidR="009071EB">
        <w:rPr>
          <w:iCs/>
        </w:rPr>
        <w:t xml:space="preserve">court </w:t>
      </w:r>
      <w:r w:rsidR="00E85230">
        <w:t>conclude</w:t>
      </w:r>
      <w:r w:rsidR="009071EB">
        <w:t>d</w:t>
      </w:r>
      <w:r w:rsidR="003D1F17">
        <w:t xml:space="preserve"> </w:t>
      </w:r>
      <w:r w:rsidR="00FB74DB">
        <w:t xml:space="preserve">that </w:t>
      </w:r>
      <w:r w:rsidR="003D1F17">
        <w:t>a</w:t>
      </w:r>
      <w:r w:rsidR="00E85230">
        <w:t xml:space="preserve"> </w:t>
      </w:r>
      <w:r w:rsidR="00F8492E">
        <w:t>utilit</w:t>
      </w:r>
      <w:r w:rsidR="00FB74DB">
        <w:t>y</w:t>
      </w:r>
      <w:r w:rsidR="00F8492E">
        <w:t>’</w:t>
      </w:r>
      <w:r w:rsidR="00FB74DB">
        <w:t>s</w:t>
      </w:r>
      <w:r w:rsidR="00F8492E">
        <w:t xml:space="preserve"> </w:t>
      </w:r>
      <w:r w:rsidR="00E85230">
        <w:t xml:space="preserve">ability to raise rates </w:t>
      </w:r>
      <w:r w:rsidR="00C170BC" w:rsidRPr="00607BE8">
        <w:t>unilaterally</w:t>
      </w:r>
      <w:r w:rsidR="00737C1C">
        <w:t xml:space="preserve"> </w:t>
      </w:r>
      <w:r w:rsidR="00FB74DB">
        <w:t xml:space="preserve">did not </w:t>
      </w:r>
      <w:r w:rsidR="00E85230" w:rsidRPr="00F516CA">
        <w:lastRenderedPageBreak/>
        <w:t xml:space="preserve">by itself </w:t>
      </w:r>
      <w:r w:rsidR="00FB74DB">
        <w:t>determine</w:t>
      </w:r>
      <w:r w:rsidR="00E85230" w:rsidRPr="00F516CA">
        <w:t xml:space="preserve"> </w:t>
      </w:r>
      <w:r w:rsidR="00FB74DB">
        <w:t>potential</w:t>
      </w:r>
      <w:r w:rsidR="00E85230" w:rsidRPr="00F516CA">
        <w:t xml:space="preserve"> liability</w:t>
      </w:r>
      <w:r w:rsidR="00E04A8F" w:rsidRPr="00F516CA">
        <w:t xml:space="preserve"> </w:t>
      </w:r>
      <w:r w:rsidR="00FB74DB">
        <w:t>for</w:t>
      </w:r>
      <w:r w:rsidR="00E04A8F" w:rsidRPr="00F516CA">
        <w:t xml:space="preserve"> inverse condemnation</w:t>
      </w:r>
      <w:r w:rsidR="00346A21">
        <w:t xml:space="preserve">.  </w:t>
      </w:r>
      <w:r w:rsidR="00E85230">
        <w:t xml:space="preserve">The trial court additionally </w:t>
      </w:r>
      <w:r w:rsidR="00667CB8">
        <w:t>determined p</w:t>
      </w:r>
      <w:r w:rsidR="00E85230">
        <w:t xml:space="preserve">laintiffs had sufficiently alleged the </w:t>
      </w:r>
      <w:r w:rsidR="0014181F">
        <w:t>damage</w:t>
      </w:r>
      <w:r w:rsidR="00EF660B">
        <w:t xml:space="preserve"> and public use</w:t>
      </w:r>
      <w:r w:rsidR="00DF07B2">
        <w:t xml:space="preserve"> </w:t>
      </w:r>
      <w:r w:rsidR="00E85230">
        <w:t>elements of an inverse condemnation cause of action.</w:t>
      </w:r>
    </w:p>
    <w:p w14:paraId="1E2F297C" w14:textId="5CCB8BCA" w:rsidR="000A7128" w:rsidRDefault="000A7128" w:rsidP="00E85230">
      <w:pPr>
        <w:ind w:firstLine="720"/>
      </w:pPr>
      <w:r>
        <w:t>SCE and Edison International filed a petition for writ of mandate seeking review of the trial court’s demurrer ruling</w:t>
      </w:r>
      <w:r w:rsidR="001A4A9B">
        <w:t>,</w:t>
      </w:r>
      <w:r>
        <w:t xml:space="preserve"> which this court denied </w:t>
      </w:r>
      <w:r w:rsidR="00C108A3">
        <w:t>in December 2018.</w:t>
      </w:r>
    </w:p>
    <w:p w14:paraId="02155785" w14:textId="77777777" w:rsidR="00E85230" w:rsidRPr="001A4448" w:rsidRDefault="00E85230" w:rsidP="00E85230">
      <w:pPr>
        <w:ind w:firstLine="720"/>
      </w:pPr>
    </w:p>
    <w:p w14:paraId="07CB49FC" w14:textId="77777777" w:rsidR="00BF4F2E" w:rsidRDefault="001A4448" w:rsidP="001A4448">
      <w:pPr>
        <w:spacing w:line="276" w:lineRule="auto"/>
        <w:rPr>
          <w:i/>
          <w:iCs/>
        </w:rPr>
      </w:pPr>
      <w:r w:rsidRPr="001A4448">
        <w:t>B.</w:t>
      </w:r>
      <w:r>
        <w:rPr>
          <w:b/>
          <w:bCs/>
        </w:rPr>
        <w:tab/>
      </w:r>
      <w:r w:rsidR="00762404" w:rsidRPr="001A4448">
        <w:rPr>
          <w:i/>
          <w:iCs/>
        </w:rPr>
        <w:t>Simple Avo’s Lawsuit</w:t>
      </w:r>
    </w:p>
    <w:p w14:paraId="23270B03" w14:textId="2ED5D75B" w:rsidR="006F1EAB" w:rsidRDefault="00EF2EBB" w:rsidP="006F1EAB">
      <w:bookmarkStart w:id="1" w:name="bookmark1"/>
      <w:bookmarkStart w:id="2" w:name="bookmark0"/>
      <w:bookmarkStart w:id="3" w:name="STATEMENT_OF_FACTS2F"/>
      <w:bookmarkEnd w:id="1"/>
      <w:bookmarkEnd w:id="2"/>
      <w:bookmarkEnd w:id="3"/>
      <w:r>
        <w:tab/>
      </w:r>
      <w:r w:rsidR="008D2E1C">
        <w:t>Simple Avo is an avocado farm owned by a private equity firm</w:t>
      </w:r>
      <w:r w:rsidR="004134A7">
        <w:t xml:space="preserve"> and other investors</w:t>
      </w:r>
      <w:r w:rsidR="008D2E1C">
        <w:t xml:space="preserve">. </w:t>
      </w:r>
      <w:r w:rsidR="00EB580F">
        <w:t xml:space="preserve"> </w:t>
      </w:r>
      <w:r w:rsidR="00504637">
        <w:t>On March 25, 2019, f</w:t>
      </w:r>
      <w:r w:rsidR="00BE72E7">
        <w:t xml:space="preserve">ive </w:t>
      </w:r>
      <w:r w:rsidR="006F1EAB">
        <w:t xml:space="preserve">months after </w:t>
      </w:r>
      <w:r w:rsidR="00BE72E7">
        <w:t xml:space="preserve">the trial court overruled </w:t>
      </w:r>
      <w:r w:rsidR="001A4448">
        <w:t>SCE and Edison International’s</w:t>
      </w:r>
      <w:r w:rsidR="006F1EAB">
        <w:t xml:space="preserve"> demurrer, Simple Avo filed </w:t>
      </w:r>
      <w:r w:rsidR="00307AC3">
        <w:t xml:space="preserve">its complaint.  It was </w:t>
      </w:r>
      <w:r w:rsidR="006F1EAB">
        <w:t>a short form complaint that adopted and incorporated the individual plaintiffs’ master complaint.</w:t>
      </w:r>
      <w:r w:rsidR="00307AC3">
        <w:t xml:space="preserve">  Simple Avo checked box</w:t>
      </w:r>
      <w:r w:rsidR="004328FA">
        <w:t>es</w:t>
      </w:r>
      <w:r w:rsidR="00307AC3">
        <w:t xml:space="preserve"> indicating</w:t>
      </w:r>
      <w:r w:rsidR="004328FA">
        <w:t>, among other things,</w:t>
      </w:r>
      <w:r w:rsidR="00307AC3">
        <w:t xml:space="preserve"> the </w:t>
      </w:r>
      <w:r w:rsidR="004328FA">
        <w:t xml:space="preserve">defendants it was suing, its insurer, damages suffered, and its </w:t>
      </w:r>
      <w:r w:rsidR="00307AC3">
        <w:t>causes of action.</w:t>
      </w:r>
      <w:r w:rsidR="006F1EAB">
        <w:t xml:space="preserve"> </w:t>
      </w:r>
      <w:r w:rsidR="00EB580F">
        <w:t xml:space="preserve"> </w:t>
      </w:r>
      <w:r w:rsidR="006F1EAB">
        <w:t xml:space="preserve">Simple Avo </w:t>
      </w:r>
      <w:r w:rsidR="004328FA">
        <w:t>“</w:t>
      </w:r>
      <w:r w:rsidR="004328FA" w:rsidRPr="004328FA">
        <w:t>agree</w:t>
      </w:r>
      <w:r w:rsidR="004328FA">
        <w:t>[d]</w:t>
      </w:r>
      <w:r w:rsidR="004328FA" w:rsidRPr="004328FA">
        <w:t xml:space="preserve"> to be bound by any rulings with respect to the pleadings</w:t>
      </w:r>
      <w:r w:rsidR="004328FA">
        <w:t xml:space="preserve">,” including </w:t>
      </w:r>
      <w:r w:rsidR="006F1EAB">
        <w:t xml:space="preserve">the trial court’s </w:t>
      </w:r>
      <w:r w:rsidR="00C170BC">
        <w:t xml:space="preserve">prior </w:t>
      </w:r>
      <w:r w:rsidR="00BE72E7">
        <w:t xml:space="preserve">demurrer </w:t>
      </w:r>
      <w:r w:rsidR="006F1EAB">
        <w:t xml:space="preserve">ruling. </w:t>
      </w:r>
      <w:r w:rsidR="00EB580F">
        <w:t xml:space="preserve"> </w:t>
      </w:r>
      <w:r w:rsidR="004328FA">
        <w:t xml:space="preserve">As such, </w:t>
      </w:r>
      <w:r w:rsidR="00307AC3">
        <w:t xml:space="preserve">SCE and Edison International did not file a demurrer to Simple Avo’s complaint, nor did Simple Avo ever defend against a demurrer.  </w:t>
      </w:r>
      <w:r w:rsidR="002C2CC7">
        <w:t xml:space="preserve">The record before us does not indicate any motion practice between the parties to this appeal.  </w:t>
      </w:r>
      <w:r w:rsidR="006F1EAB">
        <w:t>Simple Avo’s case was added to the</w:t>
      </w:r>
      <w:r w:rsidR="001A4448">
        <w:t xml:space="preserve"> Judicial </w:t>
      </w:r>
      <w:r w:rsidR="00F771A4">
        <w:t xml:space="preserve">Council </w:t>
      </w:r>
      <w:r w:rsidR="006F1EAB">
        <w:t>coordinat</w:t>
      </w:r>
      <w:r w:rsidR="001A4448">
        <w:t>ion</w:t>
      </w:r>
      <w:r w:rsidR="006F1EAB">
        <w:t xml:space="preserve"> proceedings </w:t>
      </w:r>
      <w:r w:rsidR="00BE72E7">
        <w:t>on</w:t>
      </w:r>
      <w:r w:rsidR="006F1EAB">
        <w:t xml:space="preserve"> May 7, 2019.</w:t>
      </w:r>
    </w:p>
    <w:p w14:paraId="08D3398E" w14:textId="30130F23" w:rsidR="00FA1DFF" w:rsidRDefault="006F1EAB" w:rsidP="00774C9A">
      <w:pPr>
        <w:spacing w:line="276" w:lineRule="auto"/>
        <w:ind w:firstLine="720"/>
        <w:rPr>
          <w:szCs w:val="26"/>
        </w:rPr>
      </w:pPr>
      <w:r>
        <w:t xml:space="preserve">In January 2022 </w:t>
      </w:r>
      <w:r w:rsidR="001A4448">
        <w:t>Simple Avo</w:t>
      </w:r>
      <w:r>
        <w:t xml:space="preserve"> </w:t>
      </w:r>
      <w:r w:rsidR="001A4448">
        <w:t>settled with SCE and Edison International</w:t>
      </w:r>
      <w:r>
        <w:t xml:space="preserve">.  The parties stipulated to: </w:t>
      </w:r>
      <w:r w:rsidR="00F771A4">
        <w:t xml:space="preserve"> (</w:t>
      </w:r>
      <w:r>
        <w:t>1) dismiss</w:t>
      </w:r>
      <w:r w:rsidR="00EF660B">
        <w:t xml:space="preserve"> with prejudice</w:t>
      </w:r>
      <w:r>
        <w:t xml:space="preserve"> </w:t>
      </w:r>
      <w:proofErr w:type="gramStart"/>
      <w:r w:rsidR="001A4448">
        <w:t>all of</w:t>
      </w:r>
      <w:proofErr w:type="gramEnd"/>
      <w:r w:rsidR="001A4448">
        <w:t xml:space="preserve"> </w:t>
      </w:r>
      <w:r>
        <w:t xml:space="preserve">Simple Avo’s claims against Edison International; </w:t>
      </w:r>
      <w:r w:rsidR="00F771A4">
        <w:t>(</w:t>
      </w:r>
      <w:r>
        <w:t xml:space="preserve">2) dismiss </w:t>
      </w:r>
      <w:r w:rsidR="00EF660B">
        <w:t xml:space="preserve">with prejudice </w:t>
      </w:r>
      <w:r>
        <w:t>all</w:t>
      </w:r>
      <w:r w:rsidR="001A4448">
        <w:t xml:space="preserve"> of</w:t>
      </w:r>
      <w:r>
        <w:t xml:space="preserve"> Simple Avo’s causes of action against SCE</w:t>
      </w:r>
      <w:r w:rsidR="00307AC3">
        <w:t>,</w:t>
      </w:r>
      <w:r>
        <w:t xml:space="preserve"> except for inverse condemnation; and </w:t>
      </w:r>
      <w:r w:rsidR="00F771A4">
        <w:t>(</w:t>
      </w:r>
      <w:r>
        <w:t xml:space="preserve">3) enter judgment in favor of Simple Avo on the inverse condemnation claim in the amount of $1.75 million. </w:t>
      </w:r>
      <w:r w:rsidR="00EB580F">
        <w:t xml:space="preserve"> </w:t>
      </w:r>
      <w:r>
        <w:t xml:space="preserve">The stipulation further </w:t>
      </w:r>
      <w:r w:rsidR="00307AC3">
        <w:lastRenderedPageBreak/>
        <w:t>stated</w:t>
      </w:r>
      <w:r>
        <w:t>:  “This stipulated final judgment resolving all of the claims in this case is without prejudice to the rights of SCE to appeal this final judgment, including the Court’s October 4, 2018, order denying SCE’s August 3, 2018, Demurrer</w:t>
      </w:r>
      <w:r w:rsidR="00307AC3">
        <w:t>,</w:t>
      </w:r>
      <w:r>
        <w:t>” and “Plaintiff [Simple Avo] hereby waives, pursuant to Code of Civil Procedure §</w:t>
      </w:r>
      <w:r w:rsidR="00EB580F">
        <w:t> </w:t>
      </w:r>
      <w:r>
        <w:t xml:space="preserve">995.230, any requirement that SCE post an undertaking, bond or security deposit to stay, and agrees not to enforce the Judgment pending appeal from this Judgment.” </w:t>
      </w:r>
      <w:r w:rsidR="00EB580F">
        <w:t xml:space="preserve"> </w:t>
      </w:r>
      <w:r>
        <w:t xml:space="preserve">The trial court entered </w:t>
      </w:r>
      <w:r w:rsidR="00307AC3">
        <w:t xml:space="preserve">the stipulated </w:t>
      </w:r>
      <w:r>
        <w:t>judgment and SCE timely appealed.</w:t>
      </w:r>
    </w:p>
    <w:p w14:paraId="50D91C9A" w14:textId="77777777" w:rsidR="00B923AE" w:rsidRDefault="00B923AE" w:rsidP="00B923AE">
      <w:pPr>
        <w:spacing w:line="276" w:lineRule="auto"/>
        <w:ind w:firstLine="720"/>
        <w:rPr>
          <w:szCs w:val="26"/>
        </w:rPr>
      </w:pPr>
    </w:p>
    <w:p w14:paraId="6A43B8A3" w14:textId="77777777" w:rsidR="00507011" w:rsidRDefault="00507011" w:rsidP="003704CC">
      <w:pPr>
        <w:pStyle w:val="Heading1"/>
      </w:pPr>
      <w:r w:rsidRPr="00001108">
        <w:t>DISCUSSION</w:t>
      </w:r>
    </w:p>
    <w:p w14:paraId="23CDAB7B" w14:textId="77777777" w:rsidR="00702ADC" w:rsidRDefault="00702ADC" w:rsidP="009611C9">
      <w:pPr>
        <w:ind w:firstLine="720"/>
      </w:pPr>
    </w:p>
    <w:p w14:paraId="7C6B8AB1" w14:textId="6C326342" w:rsidR="002500D3" w:rsidRDefault="002500D3" w:rsidP="002500D3">
      <w:pPr>
        <w:ind w:firstLine="720"/>
      </w:pPr>
      <w:r>
        <w:t>This case presents an unusual set of circumstances.  We first address the appealability of the parties’ stipulated judgment and conclude that</w:t>
      </w:r>
      <w:r w:rsidR="00265F98">
        <w:t xml:space="preserve">, </w:t>
      </w:r>
      <w:r>
        <w:t>while we have serious reservations about its appealability</w:t>
      </w:r>
      <w:r w:rsidR="00572205">
        <w:t>,</w:t>
      </w:r>
      <w:r>
        <w:t xml:space="preserve"> we are required to give effect to the parties’ intent to </w:t>
      </w:r>
      <w:r w:rsidR="0062048F">
        <w:t>obtain</w:t>
      </w:r>
      <w:r>
        <w:t xml:space="preserve"> appellate review of the trial </w:t>
      </w:r>
      <w:r w:rsidRPr="0022790D">
        <w:t>court’s</w:t>
      </w:r>
      <w:r>
        <w:t xml:space="preserve"> demurrer ruling.  This appeal—involving what one amicus curiae characterizes as a “cherry-pick[ed]” respondent—is at the </w:t>
      </w:r>
      <w:r w:rsidRPr="003B582F">
        <w:rPr>
          <w:rFonts w:eastAsia="Times New Roman"/>
          <w:color w:val="000000"/>
          <w:szCs w:val="26"/>
        </w:rPr>
        <w:t xml:space="preserve">outer limits of </w:t>
      </w:r>
      <w:r>
        <w:rPr>
          <w:rFonts w:eastAsia="Times New Roman"/>
          <w:color w:val="000000"/>
          <w:szCs w:val="26"/>
        </w:rPr>
        <w:t xml:space="preserve">what constitutes a justiciable case.  </w:t>
      </w:r>
      <w:r w:rsidR="002A04EF">
        <w:rPr>
          <w:rFonts w:eastAsia="Times New Roman"/>
          <w:color w:val="000000"/>
          <w:szCs w:val="26"/>
        </w:rPr>
        <w:t xml:space="preserve">As explained further below, the exception allowing appeals from stipulated judgments warrants revisiting from the California Supreme Court as the Courts of Appeal have been unable to </w:t>
      </w:r>
      <w:r w:rsidR="00B0620B">
        <w:rPr>
          <w:rFonts w:eastAsia="Times New Roman"/>
          <w:color w:val="000000"/>
          <w:szCs w:val="26"/>
        </w:rPr>
        <w:t>craft</w:t>
      </w:r>
      <w:r w:rsidR="002A04EF">
        <w:rPr>
          <w:rFonts w:eastAsia="Times New Roman"/>
          <w:color w:val="000000"/>
          <w:szCs w:val="26"/>
        </w:rPr>
        <w:t xml:space="preserve"> reasonable limits on it given the </w:t>
      </w:r>
      <w:r w:rsidR="00B922CE">
        <w:rPr>
          <w:rFonts w:eastAsia="Times New Roman"/>
          <w:color w:val="000000"/>
          <w:szCs w:val="26"/>
        </w:rPr>
        <w:t>expansive</w:t>
      </w:r>
      <w:r w:rsidR="002A04EF">
        <w:rPr>
          <w:rFonts w:eastAsia="Times New Roman"/>
          <w:color w:val="000000"/>
          <w:szCs w:val="26"/>
        </w:rPr>
        <w:t xml:space="preserve"> language with which the exception </w:t>
      </w:r>
      <w:r w:rsidR="006F6869">
        <w:rPr>
          <w:rFonts w:eastAsia="Times New Roman"/>
          <w:color w:val="000000"/>
          <w:szCs w:val="26"/>
        </w:rPr>
        <w:t>was</w:t>
      </w:r>
      <w:r w:rsidR="00F15C21">
        <w:rPr>
          <w:rFonts w:eastAsia="Times New Roman"/>
          <w:color w:val="000000"/>
          <w:szCs w:val="26"/>
        </w:rPr>
        <w:t xml:space="preserve"> </w:t>
      </w:r>
      <w:r w:rsidR="002A04EF">
        <w:rPr>
          <w:rFonts w:eastAsia="Times New Roman"/>
          <w:color w:val="000000"/>
          <w:szCs w:val="26"/>
        </w:rPr>
        <w:t>articulated</w:t>
      </w:r>
      <w:r w:rsidR="00B24024">
        <w:rPr>
          <w:rFonts w:eastAsia="Times New Roman"/>
          <w:color w:val="000000"/>
          <w:szCs w:val="26"/>
        </w:rPr>
        <w:t xml:space="preserve"> in </w:t>
      </w:r>
      <w:r w:rsidR="00B24024" w:rsidRPr="00EA156E">
        <w:rPr>
          <w:i/>
          <w:iCs/>
        </w:rPr>
        <w:t>Norgart</w:t>
      </w:r>
      <w:r w:rsidR="002A04EF">
        <w:rPr>
          <w:rFonts w:eastAsia="Times New Roman"/>
          <w:color w:val="000000"/>
          <w:szCs w:val="26"/>
        </w:rPr>
        <w:t>.</w:t>
      </w:r>
    </w:p>
    <w:p w14:paraId="44B4B385" w14:textId="57E9B33D" w:rsidR="002500D3" w:rsidRPr="00D93599" w:rsidRDefault="002500D3" w:rsidP="002500D3">
      <w:pPr>
        <w:spacing w:line="276" w:lineRule="auto"/>
        <w:ind w:firstLine="720"/>
      </w:pPr>
      <w:r>
        <w:t xml:space="preserve">As to the order on the demurrer, SCE questions the continued viability of </w:t>
      </w:r>
      <w:r>
        <w:rPr>
          <w:i/>
          <w:iCs/>
        </w:rPr>
        <w:t xml:space="preserve">Barham </w:t>
      </w:r>
      <w:r>
        <w:t xml:space="preserve">and </w:t>
      </w:r>
      <w:r>
        <w:rPr>
          <w:i/>
          <w:iCs/>
        </w:rPr>
        <w:t xml:space="preserve">Pacific </w:t>
      </w:r>
      <w:r w:rsidRPr="00A62208">
        <w:rPr>
          <w:i/>
          <w:iCs/>
        </w:rPr>
        <w:t>Bell</w:t>
      </w:r>
      <w:r>
        <w:rPr>
          <w:i/>
          <w:iCs/>
        </w:rPr>
        <w:t xml:space="preserve">.  </w:t>
      </w:r>
      <w:r>
        <w:t xml:space="preserve">It urges us to depart from their holdings in favor of a categorical rule that privately-owned utility companies, such as SCE, cannot be liable for inverse condemnation as a matter of law because they cannot unilaterally raise their rates.  SCE additionally contends that </w:t>
      </w:r>
      <w:r>
        <w:lastRenderedPageBreak/>
        <w:t xml:space="preserve">Simple Avo has not alleged other elements of the inverse condemnation cause of action.  </w:t>
      </w:r>
      <w:r w:rsidR="00572E9F">
        <w:t>At bottom,</w:t>
      </w:r>
      <w:r>
        <w:t xml:space="preserve"> the question before us is whether the master complaint sufficiently allege</w:t>
      </w:r>
      <w:r w:rsidR="00E94616">
        <w:t>s</w:t>
      </w:r>
      <w:r>
        <w:t xml:space="preserve"> inverse condemnation against SCE, and we conclude that it does.</w:t>
      </w:r>
    </w:p>
    <w:p w14:paraId="6357BBAC" w14:textId="77777777" w:rsidR="002500D3" w:rsidRDefault="002500D3" w:rsidP="002500D3">
      <w:pPr>
        <w:spacing w:line="276" w:lineRule="auto"/>
        <w:ind w:firstLine="720"/>
      </w:pPr>
    </w:p>
    <w:p w14:paraId="37C7A4D4" w14:textId="38E1754A" w:rsidR="002500D3" w:rsidRDefault="002500D3" w:rsidP="002500D3">
      <w:pPr>
        <w:pStyle w:val="Heading2"/>
      </w:pPr>
      <w:r>
        <w:t xml:space="preserve">Whether the Parties’ Stipulated Judgment </w:t>
      </w:r>
      <w:r w:rsidR="0040222F">
        <w:t>I</w:t>
      </w:r>
      <w:r>
        <w:t>s Appealable</w:t>
      </w:r>
    </w:p>
    <w:p w14:paraId="010B2FB6" w14:textId="01CC0548" w:rsidR="002500D3" w:rsidRDefault="002500D3" w:rsidP="002500D3">
      <w:pPr>
        <w:ind w:firstLine="720"/>
      </w:pPr>
      <w:r w:rsidRPr="00BA11D7">
        <w:t>Whenever a doubt exists as to whether the trial court has entered an appealable judgment, an appellate court must consider</w:t>
      </w:r>
      <w:r>
        <w:t xml:space="preserve"> </w:t>
      </w:r>
      <w:r w:rsidR="00452B19">
        <w:t>appealability</w:t>
      </w:r>
      <w:r>
        <w:t xml:space="preserve"> </w:t>
      </w:r>
      <w:r w:rsidRPr="00BA11D7">
        <w:t xml:space="preserve">on its own even </w:t>
      </w:r>
      <w:r>
        <w:t>if</w:t>
      </w:r>
      <w:r w:rsidRPr="00BA11D7">
        <w:t xml:space="preserve"> the parties have not raised the issue </w:t>
      </w:r>
      <w:r>
        <w:t>because w</w:t>
      </w:r>
      <w:r w:rsidRPr="00BA11D7">
        <w:t xml:space="preserve">e </w:t>
      </w:r>
      <w:r>
        <w:t>o</w:t>
      </w:r>
      <w:r w:rsidRPr="00BA11D7">
        <w:t>rdinarily</w:t>
      </w:r>
      <w:r>
        <w:t xml:space="preserve"> must</w:t>
      </w:r>
      <w:r w:rsidRPr="00BA11D7">
        <w:t xml:space="preserve"> dismiss an appeal from </w:t>
      </w:r>
      <w:r>
        <w:t>a</w:t>
      </w:r>
      <w:r w:rsidRPr="00BA11D7">
        <w:t xml:space="preserve"> judgment </w:t>
      </w:r>
      <w:r>
        <w:t>that is</w:t>
      </w:r>
      <w:r w:rsidRPr="00BA11D7">
        <w:t xml:space="preserve"> no</w:t>
      </w:r>
      <w:r>
        <w:t xml:space="preserve">t </w:t>
      </w:r>
      <w:r w:rsidRPr="00BA11D7">
        <w:t>appealable.</w:t>
      </w:r>
      <w:r>
        <w:t xml:space="preserve"> </w:t>
      </w:r>
      <w:r w:rsidRPr="00BA11D7">
        <w:t xml:space="preserve"> (</w:t>
      </w:r>
      <w:r>
        <w:t xml:space="preserve">See </w:t>
      </w:r>
      <w:r w:rsidRPr="00486E38">
        <w:rPr>
          <w:i/>
          <w:iCs/>
        </w:rPr>
        <w:t xml:space="preserve">Jennings v. </w:t>
      </w:r>
      <w:proofErr w:type="spellStart"/>
      <w:r w:rsidRPr="00486E38">
        <w:rPr>
          <w:i/>
          <w:iCs/>
        </w:rPr>
        <w:t>Marralle</w:t>
      </w:r>
      <w:proofErr w:type="spellEnd"/>
      <w:r w:rsidRPr="00BA11D7">
        <w:t xml:space="preserve"> (1994) 8</w:t>
      </w:r>
      <w:r w:rsidR="002226A2">
        <w:t> </w:t>
      </w:r>
      <w:r w:rsidRPr="00BA11D7">
        <w:t xml:space="preserve">Cal.4th 121, 126; </w:t>
      </w:r>
      <w:r w:rsidRPr="00486E38">
        <w:rPr>
          <w:i/>
          <w:iCs/>
        </w:rPr>
        <w:t>Baker v. Castaldi</w:t>
      </w:r>
      <w:r w:rsidRPr="00BA11D7">
        <w:t xml:space="preserve"> (2015) 235</w:t>
      </w:r>
      <w:r w:rsidR="00F771A4">
        <w:t> </w:t>
      </w:r>
      <w:r w:rsidRPr="00BA11D7">
        <w:t>Cal.App.4th 218, 222 [court requested supplemental briefing on appealability where “[n]either party raised this issue in their initial briefs”].)</w:t>
      </w:r>
      <w:r>
        <w:t xml:space="preserve">  </w:t>
      </w:r>
    </w:p>
    <w:p w14:paraId="253212AA" w14:textId="77777777" w:rsidR="002500D3" w:rsidRDefault="002500D3" w:rsidP="002500D3">
      <w:pPr>
        <w:ind w:firstLine="720"/>
      </w:pPr>
    </w:p>
    <w:p w14:paraId="0D02CA6B" w14:textId="44C58CA0" w:rsidR="002500D3" w:rsidRDefault="002500D3" w:rsidP="000A3DE2">
      <w:pPr>
        <w:widowControl w:val="0"/>
        <w:ind w:firstLine="720"/>
      </w:pPr>
      <w:r>
        <w:t>1.</w:t>
      </w:r>
      <w:r>
        <w:tab/>
      </w:r>
      <w:r w:rsidRPr="002D71E2">
        <w:rPr>
          <w:i/>
          <w:iCs/>
        </w:rPr>
        <w:t xml:space="preserve">SCE’s and </w:t>
      </w:r>
      <w:r w:rsidR="00F771A4" w:rsidRPr="002D71E2">
        <w:rPr>
          <w:i/>
          <w:iCs/>
        </w:rPr>
        <w:t>a</w:t>
      </w:r>
      <w:r w:rsidRPr="002D71E2">
        <w:rPr>
          <w:i/>
          <w:iCs/>
        </w:rPr>
        <w:t xml:space="preserve">mici </w:t>
      </w:r>
      <w:r w:rsidR="00F771A4" w:rsidRPr="002D71E2">
        <w:rPr>
          <w:i/>
          <w:iCs/>
        </w:rPr>
        <w:t>c</w:t>
      </w:r>
      <w:r w:rsidRPr="002D71E2">
        <w:rPr>
          <w:i/>
          <w:iCs/>
        </w:rPr>
        <w:t xml:space="preserve">uriae’s </w:t>
      </w:r>
      <w:r w:rsidR="00F771A4" w:rsidRPr="002D71E2">
        <w:rPr>
          <w:i/>
          <w:iCs/>
        </w:rPr>
        <w:t>b</w:t>
      </w:r>
      <w:r w:rsidRPr="002D71E2">
        <w:rPr>
          <w:i/>
          <w:iCs/>
        </w:rPr>
        <w:t xml:space="preserve">riefs on </w:t>
      </w:r>
      <w:r w:rsidR="00F771A4" w:rsidRPr="002D71E2">
        <w:rPr>
          <w:i/>
          <w:iCs/>
        </w:rPr>
        <w:t>a</w:t>
      </w:r>
      <w:r w:rsidRPr="002D71E2">
        <w:rPr>
          <w:i/>
          <w:iCs/>
        </w:rPr>
        <w:t>ppealability</w:t>
      </w:r>
    </w:p>
    <w:p w14:paraId="3F1C34DD" w14:textId="45877FC2" w:rsidR="002500D3" w:rsidRDefault="002500D3" w:rsidP="000A3DE2">
      <w:pPr>
        <w:widowControl w:val="0"/>
        <w:spacing w:line="276" w:lineRule="auto"/>
        <w:ind w:firstLine="720"/>
      </w:pPr>
      <w:r>
        <w:t xml:space="preserve">SCE’s opening brief asserted the stipulated judgment was a final judgment made appealable by Code of Civil Procedure section 904.1, subdivision (a)(1).  It acknowledged the general rule that stipulated judgments are not appealable, but argued the stipulated judgment here fell under the “well-established” exception that a party may appeal from a stipulated judgment when </w:t>
      </w:r>
      <w:r w:rsidR="00572205">
        <w:t>“</w:t>
      </w:r>
      <w:r>
        <w:t>‘consent was merely given to facilitate an appeal following adverse determination of a critical issue.’”</w:t>
      </w:r>
      <w:r w:rsidR="002226A2">
        <w:t xml:space="preserve"> </w:t>
      </w:r>
      <w:r>
        <w:t xml:space="preserve"> (</w:t>
      </w:r>
      <w:proofErr w:type="spellStart"/>
      <w:r w:rsidRPr="00EA156E">
        <w:rPr>
          <w:i/>
          <w:iCs/>
        </w:rPr>
        <w:t>Norgart</w:t>
      </w:r>
      <w:proofErr w:type="spellEnd"/>
      <w:r w:rsidR="00EB580F">
        <w:rPr>
          <w:i/>
          <w:iCs/>
        </w:rPr>
        <w:t>, supra,</w:t>
      </w:r>
      <w:r>
        <w:rPr>
          <w:i/>
          <w:iCs/>
        </w:rPr>
        <w:t xml:space="preserve"> </w:t>
      </w:r>
      <w:r>
        <w:t>21</w:t>
      </w:r>
      <w:r w:rsidR="00947FD4">
        <w:t> </w:t>
      </w:r>
      <w:r>
        <w:t xml:space="preserve">Cal.4th </w:t>
      </w:r>
      <w:r w:rsidR="00EB580F">
        <w:t xml:space="preserve">at p. </w:t>
      </w:r>
      <w:r>
        <w:t xml:space="preserve">400, </w:t>
      </w:r>
      <w:r w:rsidRPr="001A4448">
        <w:t>quoting</w:t>
      </w:r>
      <w:r>
        <w:t xml:space="preserve"> </w:t>
      </w:r>
      <w:r w:rsidRPr="00EA156E">
        <w:rPr>
          <w:i/>
          <w:iCs/>
        </w:rPr>
        <w:t>B</w:t>
      </w:r>
      <w:r>
        <w:rPr>
          <w:i/>
          <w:iCs/>
        </w:rPr>
        <w:t>uilding Industry</w:t>
      </w:r>
      <w:r w:rsidR="00EB580F">
        <w:rPr>
          <w:i/>
          <w:iCs/>
        </w:rPr>
        <w:t>, supra,</w:t>
      </w:r>
      <w:r w:rsidR="00572205">
        <w:rPr>
          <w:i/>
          <w:iCs/>
        </w:rPr>
        <w:t xml:space="preserve"> </w:t>
      </w:r>
      <w:r>
        <w:t xml:space="preserve">41 Cal.3d </w:t>
      </w:r>
      <w:r w:rsidR="007008C7">
        <w:t>at p.</w:t>
      </w:r>
      <w:r w:rsidR="00572205">
        <w:t xml:space="preserve"> </w:t>
      </w:r>
      <w:r>
        <w:t>817.)</w:t>
      </w:r>
    </w:p>
    <w:p w14:paraId="3824D724" w14:textId="64453C27" w:rsidR="002500D3" w:rsidRPr="00B42207" w:rsidRDefault="002500D3" w:rsidP="002500D3">
      <w:pPr>
        <w:spacing w:line="276" w:lineRule="auto"/>
        <w:ind w:firstLine="720"/>
        <w:rPr>
          <w:szCs w:val="26"/>
        </w:rPr>
      </w:pPr>
      <w:r>
        <w:t xml:space="preserve">Simple Avo’s respondent’s brief did not address appealability.  Instead, the National Association of Subrogation Professionals (NASP) and Consumer Attorneys of California (CAC) </w:t>
      </w:r>
      <w:r w:rsidR="00776ADD">
        <w:t>r</w:t>
      </w:r>
      <w:r w:rsidR="00C05AB9">
        <w:t>aised</w:t>
      </w:r>
      <w:r>
        <w:t xml:space="preserve"> the issue in amicus curiae briefs</w:t>
      </w:r>
      <w:r w:rsidR="004051E9">
        <w:t xml:space="preserve">, arguing the </w:t>
      </w:r>
      <w:r w:rsidR="004051E9">
        <w:lastRenderedPageBreak/>
        <w:t>stipulated judgment was not appealable</w:t>
      </w:r>
      <w:r>
        <w:t>.</w:t>
      </w:r>
      <w:r>
        <w:rPr>
          <w:rStyle w:val="FootnoteReference"/>
        </w:rPr>
        <w:footnoteReference w:id="4"/>
      </w:r>
      <w:r w:rsidRPr="00144C42">
        <w:rPr>
          <w:szCs w:val="26"/>
        </w:rPr>
        <w:t xml:space="preserve"> </w:t>
      </w:r>
      <w:r>
        <w:rPr>
          <w:szCs w:val="26"/>
        </w:rPr>
        <w:t xml:space="preserve"> </w:t>
      </w:r>
      <w:r w:rsidRPr="00192D42">
        <w:rPr>
          <w:szCs w:val="26"/>
        </w:rPr>
        <w:t>SCE</w:t>
      </w:r>
      <w:r>
        <w:rPr>
          <w:szCs w:val="26"/>
        </w:rPr>
        <w:t xml:space="preserve"> initially</w:t>
      </w:r>
      <w:r w:rsidRPr="00192D42">
        <w:rPr>
          <w:szCs w:val="26"/>
        </w:rPr>
        <w:t xml:space="preserve"> </w:t>
      </w:r>
      <w:r>
        <w:rPr>
          <w:szCs w:val="26"/>
        </w:rPr>
        <w:t>responded</w:t>
      </w:r>
      <w:r w:rsidRPr="00192D42">
        <w:rPr>
          <w:szCs w:val="26"/>
        </w:rPr>
        <w:t xml:space="preserve"> only to NASP’s amicus brief. </w:t>
      </w:r>
      <w:r w:rsidR="00EB580F">
        <w:rPr>
          <w:szCs w:val="26"/>
        </w:rPr>
        <w:t xml:space="preserve"> </w:t>
      </w:r>
      <w:r>
        <w:rPr>
          <w:szCs w:val="26"/>
        </w:rPr>
        <w:t xml:space="preserve">We asked Simple Avo and SCE to submit supplemental briefing addressing appealability, justiciability, and NASP’s and CAC’s arguments to the extent they had not already done so. </w:t>
      </w:r>
      <w:r w:rsidR="00EB580F">
        <w:rPr>
          <w:szCs w:val="26"/>
        </w:rPr>
        <w:t xml:space="preserve"> </w:t>
      </w:r>
      <w:r>
        <w:rPr>
          <w:szCs w:val="26"/>
        </w:rPr>
        <w:t>Simple Avo filed no supplemental brief.  Having already answered NASP’s amicus brief, SCE responded only to CAC’s arguments in its supplemental brief.  We granted CAC’s and NASP’s requests to appear at oral argument.</w:t>
      </w:r>
    </w:p>
    <w:p w14:paraId="785E61EE" w14:textId="77777777" w:rsidR="002500D3" w:rsidRPr="00A22B52" w:rsidRDefault="002500D3" w:rsidP="002500D3"/>
    <w:p w14:paraId="57DFF034" w14:textId="4305F583" w:rsidR="002500D3" w:rsidRPr="00501633" w:rsidRDefault="002500D3">
      <w:pPr>
        <w:pStyle w:val="Heading3"/>
      </w:pPr>
      <w:r w:rsidRPr="00501633">
        <w:t>2.</w:t>
      </w:r>
      <w:r w:rsidRPr="00501633">
        <w:tab/>
      </w:r>
      <w:r w:rsidRPr="002D71E2">
        <w:rPr>
          <w:i/>
          <w:iCs w:val="0"/>
        </w:rPr>
        <w:t xml:space="preserve">The </w:t>
      </w:r>
      <w:r w:rsidR="00F771A4" w:rsidRPr="002D71E2">
        <w:rPr>
          <w:i/>
          <w:iCs w:val="0"/>
        </w:rPr>
        <w:t>a</w:t>
      </w:r>
      <w:r w:rsidRPr="002D71E2">
        <w:rPr>
          <w:i/>
          <w:iCs w:val="0"/>
        </w:rPr>
        <w:t xml:space="preserve">ppealability of </w:t>
      </w:r>
      <w:r w:rsidR="00F771A4" w:rsidRPr="002D71E2">
        <w:rPr>
          <w:i/>
          <w:iCs w:val="0"/>
        </w:rPr>
        <w:t>s</w:t>
      </w:r>
      <w:r w:rsidRPr="002D71E2">
        <w:rPr>
          <w:i/>
          <w:iCs w:val="0"/>
        </w:rPr>
        <w:t xml:space="preserve">tipulated </w:t>
      </w:r>
      <w:r w:rsidR="00F771A4" w:rsidRPr="002D71E2">
        <w:rPr>
          <w:i/>
          <w:iCs w:val="0"/>
        </w:rPr>
        <w:t>j</w:t>
      </w:r>
      <w:r w:rsidRPr="002D71E2">
        <w:rPr>
          <w:i/>
          <w:iCs w:val="0"/>
        </w:rPr>
        <w:t>udgments</w:t>
      </w:r>
    </w:p>
    <w:p w14:paraId="450EE7C3" w14:textId="51A0F570" w:rsidR="002500D3" w:rsidRDefault="002500D3" w:rsidP="002500D3">
      <w:pPr>
        <w:spacing w:line="276" w:lineRule="auto"/>
        <w:ind w:firstLine="720"/>
      </w:pPr>
      <w:r>
        <w:t>A stipulated judgment is not generally appealable.</w:t>
      </w:r>
      <w:r w:rsidRPr="00235227">
        <w:t xml:space="preserve">  </w:t>
      </w:r>
      <w:r>
        <w:t xml:space="preserve">(See </w:t>
      </w:r>
      <w:r w:rsidRPr="00BE2CB6">
        <w:rPr>
          <w:i/>
          <w:iCs/>
        </w:rPr>
        <w:t>Norgart</w:t>
      </w:r>
      <w:r w:rsidR="00572205">
        <w:rPr>
          <w:i/>
          <w:iCs/>
        </w:rPr>
        <w:t>, supra,</w:t>
      </w:r>
      <w:r w:rsidRPr="00BE2CB6">
        <w:rPr>
          <w:i/>
          <w:iCs/>
        </w:rPr>
        <w:t xml:space="preserve"> </w:t>
      </w:r>
      <w:r>
        <w:t xml:space="preserve">21 Cal.4th </w:t>
      </w:r>
      <w:r w:rsidR="00572205">
        <w:t>at p. </w:t>
      </w:r>
      <w:r>
        <w:t xml:space="preserve">400; </w:t>
      </w:r>
      <w:r w:rsidRPr="00212994">
        <w:rPr>
          <w:i/>
          <w:iCs/>
        </w:rPr>
        <w:t xml:space="preserve">Mecham v. McKay </w:t>
      </w:r>
      <w:r w:rsidRPr="00833473">
        <w:t>(1869) 37</w:t>
      </w:r>
      <w:r w:rsidR="002226A2">
        <w:t> </w:t>
      </w:r>
      <w:r w:rsidRPr="00833473">
        <w:t>Cal. 154</w:t>
      </w:r>
      <w:r>
        <w:t>, 158</w:t>
      </w:r>
      <w:r w:rsidR="00572205">
        <w:t>-</w:t>
      </w:r>
      <w:r>
        <w:t>159 (</w:t>
      </w:r>
      <w:r>
        <w:rPr>
          <w:i/>
          <w:iCs/>
        </w:rPr>
        <w:t>Mecham</w:t>
      </w:r>
      <w:r>
        <w:t>).)  The California Supreme Court has recognized an exception to this rule when “consent was merely given to facilitate an appeal following adverse determination of a critical issue.”  (</w:t>
      </w:r>
      <w:r w:rsidRPr="00486E38">
        <w:rPr>
          <w:i/>
          <w:iCs/>
        </w:rPr>
        <w:t>Building Industry</w:t>
      </w:r>
      <w:r>
        <w:rPr>
          <w:i/>
          <w:iCs/>
        </w:rPr>
        <w:t xml:space="preserve">, supra, </w:t>
      </w:r>
      <w:r>
        <w:t>41</w:t>
      </w:r>
      <w:r w:rsidR="002226A2">
        <w:t> </w:t>
      </w:r>
      <w:r>
        <w:t xml:space="preserve">Cal.3d at p. 817; </w:t>
      </w:r>
      <w:r>
        <w:rPr>
          <w:i/>
          <w:iCs/>
        </w:rPr>
        <w:t xml:space="preserve">Norgart, </w:t>
      </w:r>
      <w:r>
        <w:t xml:space="preserve">at p. 400.)  </w:t>
      </w:r>
    </w:p>
    <w:p w14:paraId="67DDFAC1" w14:textId="5FC7DAF2" w:rsidR="002500D3" w:rsidRPr="00376540" w:rsidRDefault="002500D3" w:rsidP="002500D3">
      <w:pPr>
        <w:spacing w:line="276" w:lineRule="auto"/>
        <w:ind w:firstLine="720"/>
      </w:pPr>
      <w:r>
        <w:t xml:space="preserve">The exception originated in </w:t>
      </w:r>
      <w:r>
        <w:rPr>
          <w:i/>
          <w:iCs/>
        </w:rPr>
        <w:t xml:space="preserve">Mecham.  Mecham </w:t>
      </w:r>
      <w:r>
        <w:t>allowed an appeal to proceed from a stipulated order denying a motion for new trial.  (</w:t>
      </w:r>
      <w:r w:rsidR="00504C68">
        <w:rPr>
          <w:i/>
          <w:iCs/>
        </w:rPr>
        <w:t xml:space="preserve">Mecham, supra, </w:t>
      </w:r>
      <w:r w:rsidR="00504C68">
        <w:t xml:space="preserve">37 Cal. </w:t>
      </w:r>
      <w:r w:rsidR="00B83F08">
        <w:t>a</w:t>
      </w:r>
      <w:r>
        <w:t xml:space="preserve">t p. 158.)  The high court explained that </w:t>
      </w:r>
      <w:r w:rsidRPr="00C360D8">
        <w:t>a</w:t>
      </w:r>
      <w:r>
        <w:t>n order or</w:t>
      </w:r>
      <w:r w:rsidRPr="00C360D8">
        <w:t xml:space="preserve"> judgment entered pursuant to a stipulation is </w:t>
      </w:r>
      <w:r>
        <w:t xml:space="preserve">generally </w:t>
      </w:r>
      <w:r w:rsidRPr="00C360D8">
        <w:t>not appealable</w:t>
      </w:r>
      <w:r>
        <w:t xml:space="preserve"> </w:t>
      </w:r>
      <w:r w:rsidRPr="008F2441">
        <w:t>based “on the theory that by consenting to the judgment or order the party expressly waives all objection to it, and cannot be allowed afterwards, on appeal, to question its propriety, because by consenting to it he has abandoned all opposition or exception to it.”</w:t>
      </w:r>
      <w:r>
        <w:t xml:space="preserve"> </w:t>
      </w:r>
      <w:r w:rsidRPr="00C360D8">
        <w:t xml:space="preserve"> (</w:t>
      </w:r>
      <w:r w:rsidR="00504C68">
        <w:rPr>
          <w:i/>
          <w:iCs/>
        </w:rPr>
        <w:t>Id.</w:t>
      </w:r>
      <w:r>
        <w:t xml:space="preserve"> at pp. 158-159.)  It recognized an exception to this rule for cases where “</w:t>
      </w:r>
      <w:r w:rsidRPr="00420222">
        <w:t xml:space="preserve">consent was given only </w:t>
      </w:r>
      <w:r w:rsidRPr="00474CA3">
        <w:rPr>
          <w:i/>
          <w:iCs/>
        </w:rPr>
        <w:t>pro forma</w:t>
      </w:r>
      <w:r w:rsidRPr="00420222">
        <w:t xml:space="preserve"> to facilitate an appeal, and </w:t>
      </w:r>
      <w:r w:rsidRPr="00420222">
        <w:lastRenderedPageBreak/>
        <w:t>with the understanding on both sides that the party did not thereby intend to abandon his right to be heard on the appeal</w:t>
      </w:r>
      <w:r w:rsidRPr="00364C86">
        <w:t>.</w:t>
      </w:r>
      <w:r w:rsidRPr="00420222">
        <w:t xml:space="preserve">” </w:t>
      </w:r>
      <w:r>
        <w:t xml:space="preserve"> </w:t>
      </w:r>
      <w:r w:rsidRPr="00420222">
        <w:t>(</w:t>
      </w:r>
      <w:r w:rsidRPr="00F412F4">
        <w:rPr>
          <w:i/>
          <w:iCs/>
        </w:rPr>
        <w:t>Id</w:t>
      </w:r>
      <w:r w:rsidRPr="00420222">
        <w:t>. at p. 159.)</w:t>
      </w:r>
      <w:r w:rsidR="00376540">
        <w:t xml:space="preserve">  </w:t>
      </w:r>
    </w:p>
    <w:p w14:paraId="49E9B2ED" w14:textId="3B451518" w:rsidR="002500D3" w:rsidRDefault="002500D3" w:rsidP="002500D3">
      <w:pPr>
        <w:spacing w:line="276" w:lineRule="auto"/>
        <w:ind w:firstLine="720"/>
      </w:pPr>
      <w:r>
        <w:t xml:space="preserve">The Court next </w:t>
      </w:r>
      <w:r w:rsidR="00E9373D">
        <w:t>examined</w:t>
      </w:r>
      <w:r>
        <w:t xml:space="preserve"> the exception over 100 years later in </w:t>
      </w:r>
      <w:r>
        <w:rPr>
          <w:i/>
          <w:iCs/>
        </w:rPr>
        <w:t>Building Industry</w:t>
      </w:r>
      <w:r>
        <w:t>.</w:t>
      </w:r>
      <w:r w:rsidR="004711D0">
        <w:rPr>
          <w:rStyle w:val="FootnoteReference"/>
        </w:rPr>
        <w:footnoteReference w:id="5"/>
      </w:r>
      <w:r>
        <w:t xml:space="preserve">  It applied </w:t>
      </w:r>
      <w:r w:rsidRPr="00113484">
        <w:rPr>
          <w:i/>
          <w:iCs/>
        </w:rPr>
        <w:t>Mecham</w:t>
      </w:r>
      <w:r>
        <w:t xml:space="preserve"> to the case before it but limit</w:t>
      </w:r>
      <w:r w:rsidR="00A96D19">
        <w:t>ed</w:t>
      </w:r>
      <w:r>
        <w:t xml:space="preserve"> the exception to stipulated judgments following an “</w:t>
      </w:r>
      <w:r w:rsidRPr="000B066C">
        <w:t>adverse determination of a critical issue</w:t>
      </w:r>
      <w:r>
        <w:t>”:  “</w:t>
      </w:r>
      <w:r w:rsidRPr="000B066C">
        <w:t>If consent was merely given to facilitate an appeal following adverse determination of a critical issue, the party will not lose his right to be heard on appeal.</w:t>
      </w:r>
      <w:r>
        <w:t xml:space="preserve">” </w:t>
      </w:r>
      <w:r w:rsidRPr="00C57B68">
        <w:t xml:space="preserve"> (</w:t>
      </w:r>
      <w:r w:rsidRPr="00913F39">
        <w:rPr>
          <w:i/>
          <w:iCs/>
        </w:rPr>
        <w:t>Building Industry, supra</w:t>
      </w:r>
      <w:r w:rsidRPr="00905E18">
        <w:t>, 41</w:t>
      </w:r>
      <w:r w:rsidR="00B771BC">
        <w:t> </w:t>
      </w:r>
      <w:r w:rsidRPr="00905E18">
        <w:t xml:space="preserve">Cal.3d </w:t>
      </w:r>
      <w:r>
        <w:t>a</w:t>
      </w:r>
      <w:r w:rsidRPr="00C57B68">
        <w:t>t p.</w:t>
      </w:r>
      <w:r w:rsidR="0026431B">
        <w:t> </w:t>
      </w:r>
      <w:r w:rsidRPr="00C57B68">
        <w:t>817</w:t>
      </w:r>
      <w:r>
        <w:t xml:space="preserve">.)  </w:t>
      </w:r>
      <w:r w:rsidR="009F6E87">
        <w:t>The Court</w:t>
      </w:r>
      <w:r>
        <w:t xml:space="preserve"> also noted that “it is ‘wasteful of trial court time’ to require the plaintiff to undergo a probably unsuccessful court trial merely to obtain an appealable judgment.”  (</w:t>
      </w:r>
      <w:r>
        <w:rPr>
          <w:i/>
          <w:iCs/>
        </w:rPr>
        <w:t>Ibid.</w:t>
      </w:r>
      <w:r>
        <w:t>)  There,</w:t>
      </w:r>
      <w:r w:rsidRPr="00905E18">
        <w:t xml:space="preserve"> </w:t>
      </w:r>
      <w:r>
        <w:t>t</w:t>
      </w:r>
      <w:r w:rsidRPr="00905E18">
        <w:t xml:space="preserve">he trial court </w:t>
      </w:r>
      <w:r>
        <w:t xml:space="preserve">had </w:t>
      </w:r>
      <w:r w:rsidRPr="00905E18">
        <w:t xml:space="preserve">granted partial summary judgment </w:t>
      </w:r>
      <w:r>
        <w:t>for</w:t>
      </w:r>
      <w:r w:rsidRPr="00905E18">
        <w:t xml:space="preserve"> </w:t>
      </w:r>
      <w:r>
        <w:t>the defendant city</w:t>
      </w:r>
      <w:r w:rsidRPr="00905E18">
        <w:t xml:space="preserve">, </w:t>
      </w:r>
      <w:r>
        <w:t>ruling that despite the potential applicability of an Evidence Code section shifting the burden of proof, the</w:t>
      </w:r>
      <w:r w:rsidRPr="00905E18">
        <w:t xml:space="preserve"> plaintiff </w:t>
      </w:r>
      <w:r>
        <w:t>retained</w:t>
      </w:r>
      <w:r w:rsidRPr="00905E18">
        <w:t xml:space="preserve"> the burden of proof on its claim. </w:t>
      </w:r>
      <w:r>
        <w:t xml:space="preserve"> </w:t>
      </w:r>
      <w:r w:rsidRPr="00905E18">
        <w:t>(</w:t>
      </w:r>
      <w:r w:rsidRPr="00817262">
        <w:rPr>
          <w:i/>
          <w:iCs/>
        </w:rPr>
        <w:t>Id</w:t>
      </w:r>
      <w:r>
        <w:t xml:space="preserve">. </w:t>
      </w:r>
      <w:r w:rsidRPr="00905E18">
        <w:t xml:space="preserve">at p. 815.)  </w:t>
      </w:r>
      <w:r w:rsidRPr="00FA3D7C">
        <w:t xml:space="preserve">The plaintiff stipulated to entry of judgment </w:t>
      </w:r>
      <w:r>
        <w:t>for</w:t>
      </w:r>
      <w:r w:rsidRPr="00FA3D7C">
        <w:t xml:space="preserve"> the city</w:t>
      </w:r>
      <w:r>
        <w:t xml:space="preserve">, </w:t>
      </w:r>
      <w:r w:rsidRPr="00FA3D7C">
        <w:t>conced</w:t>
      </w:r>
      <w:r>
        <w:t>ing</w:t>
      </w:r>
      <w:r w:rsidRPr="00FA3D7C">
        <w:t xml:space="preserve"> it could not prevail if it had the burden of proof</w:t>
      </w:r>
      <w:r w:rsidRPr="00113484">
        <w:t xml:space="preserve">. </w:t>
      </w:r>
      <w:r>
        <w:t xml:space="preserve"> </w:t>
      </w:r>
      <w:r w:rsidRPr="00113484">
        <w:t>(</w:t>
      </w:r>
      <w:r w:rsidRPr="00504C68">
        <w:rPr>
          <w:i/>
          <w:iCs/>
        </w:rPr>
        <w:t>Id</w:t>
      </w:r>
      <w:r w:rsidRPr="00113484">
        <w:t>.</w:t>
      </w:r>
      <w:r w:rsidR="00504C68">
        <w:t xml:space="preserve"> at p. 816</w:t>
      </w:r>
      <w:r w:rsidR="004420ED">
        <w:t>.</w:t>
      </w:r>
      <w:r w:rsidRPr="00113484">
        <w:t>)</w:t>
      </w:r>
      <w:r>
        <w:t xml:space="preserve">  </w:t>
      </w:r>
    </w:p>
    <w:p w14:paraId="25820EC2" w14:textId="4A8F8E39" w:rsidR="002500D3" w:rsidRDefault="002500D3" w:rsidP="002500D3">
      <w:pPr>
        <w:spacing w:line="276" w:lineRule="auto"/>
        <w:ind w:firstLine="720"/>
      </w:pPr>
      <w:r>
        <w:t xml:space="preserve">The Court applied the exception in </w:t>
      </w:r>
      <w:r>
        <w:rPr>
          <w:i/>
          <w:iCs/>
        </w:rPr>
        <w:t>Connolly</w:t>
      </w:r>
      <w:r w:rsidR="00504C68">
        <w:rPr>
          <w:i/>
          <w:iCs/>
        </w:rPr>
        <w:t xml:space="preserve"> v. County of Orange </w:t>
      </w:r>
      <w:r w:rsidR="00504C68">
        <w:t>(1992) 1 Cal.4th 1105 (</w:t>
      </w:r>
      <w:r w:rsidR="00504C68">
        <w:rPr>
          <w:i/>
          <w:iCs/>
        </w:rPr>
        <w:t>Connolly</w:t>
      </w:r>
      <w:r w:rsidR="00504C68">
        <w:t>)</w:t>
      </w:r>
      <w:r>
        <w:t xml:space="preserve"> to a class action.  T</w:t>
      </w:r>
      <w:r w:rsidRPr="00DE6BC5">
        <w:t xml:space="preserve">he trial court </w:t>
      </w:r>
      <w:r>
        <w:t xml:space="preserve">had </w:t>
      </w:r>
      <w:r w:rsidRPr="00DE6BC5">
        <w:t xml:space="preserve">granted </w:t>
      </w:r>
      <w:r>
        <w:t xml:space="preserve">extraordinary writ </w:t>
      </w:r>
      <w:r w:rsidRPr="00DE6BC5">
        <w:t>relief only to the named plaintiff</w:t>
      </w:r>
      <w:r>
        <w:t>.  T</w:t>
      </w:r>
      <w:r w:rsidRPr="00DE6BC5">
        <w:t xml:space="preserve">he parties subsequently stipulated the same </w:t>
      </w:r>
      <w:r w:rsidRPr="00DE6BC5">
        <w:lastRenderedPageBreak/>
        <w:t xml:space="preserve">relief would be granted to the </w:t>
      </w:r>
      <w:r>
        <w:t xml:space="preserve">200 </w:t>
      </w:r>
      <w:r w:rsidRPr="00DE6BC5">
        <w:t>class members</w:t>
      </w:r>
      <w:r>
        <w:t xml:space="preserve">, and the trial court entered a stipulated judgment in favor of the class.  Without substantive analysis, </w:t>
      </w:r>
      <w:r>
        <w:rPr>
          <w:i/>
          <w:iCs/>
        </w:rPr>
        <w:t>Connolly</w:t>
      </w:r>
      <w:r w:rsidRPr="00DE6BC5">
        <w:t xml:space="preserve"> </w:t>
      </w:r>
      <w:r>
        <w:t xml:space="preserve">ruled </w:t>
      </w:r>
      <w:r w:rsidRPr="00DE6BC5">
        <w:t xml:space="preserve">the exception applied to </w:t>
      </w:r>
      <w:r>
        <w:t>make</w:t>
      </w:r>
      <w:r w:rsidRPr="00DE6BC5">
        <w:t xml:space="preserve"> the stipulated judgment as to the class appealable. </w:t>
      </w:r>
      <w:r>
        <w:t xml:space="preserve"> </w:t>
      </w:r>
      <w:r w:rsidRPr="00DE6BC5">
        <w:t>(</w:t>
      </w:r>
      <w:r w:rsidR="00504C68">
        <w:rPr>
          <w:i/>
          <w:iCs/>
        </w:rPr>
        <w:t>Id.</w:t>
      </w:r>
      <w:r w:rsidR="00504C68">
        <w:t xml:space="preserve"> </w:t>
      </w:r>
      <w:r w:rsidRPr="00DE6BC5">
        <w:t>at p. 1111.)</w:t>
      </w:r>
    </w:p>
    <w:p w14:paraId="097CE818" w14:textId="1CC44308" w:rsidR="002500D3" w:rsidRDefault="002500D3" w:rsidP="002500D3">
      <w:pPr>
        <w:spacing w:line="276" w:lineRule="auto"/>
        <w:ind w:firstLine="720"/>
      </w:pPr>
      <w:r>
        <w:t xml:space="preserve">The Court gave its most complete explanation of the exception in </w:t>
      </w:r>
      <w:r>
        <w:rPr>
          <w:i/>
          <w:iCs/>
        </w:rPr>
        <w:t>Norgart</w:t>
      </w:r>
      <w:r>
        <w:t>.</w:t>
      </w:r>
      <w:r>
        <w:rPr>
          <w:rStyle w:val="FootnoteReference"/>
        </w:rPr>
        <w:footnoteReference w:id="6"/>
      </w:r>
      <w:r>
        <w:t xml:space="preserve">  It reiterated the twin rationales for the exception from </w:t>
      </w:r>
      <w:r>
        <w:rPr>
          <w:i/>
          <w:iCs/>
        </w:rPr>
        <w:t xml:space="preserve">Building Industry.  </w:t>
      </w:r>
      <w:r>
        <w:t xml:space="preserve">(See </w:t>
      </w:r>
      <w:r>
        <w:rPr>
          <w:i/>
          <w:iCs/>
        </w:rPr>
        <w:t>Norgart</w:t>
      </w:r>
      <w:r>
        <w:t xml:space="preserve">, </w:t>
      </w:r>
      <w:r>
        <w:rPr>
          <w:i/>
          <w:iCs/>
        </w:rPr>
        <w:t>supra</w:t>
      </w:r>
      <w:r>
        <w:t>, 21</w:t>
      </w:r>
      <w:r w:rsidR="002226A2">
        <w:t> </w:t>
      </w:r>
      <w:r>
        <w:t xml:space="preserve">Cal.4th at p. 400.)  But </w:t>
      </w:r>
      <w:r>
        <w:rPr>
          <w:i/>
          <w:iCs/>
        </w:rPr>
        <w:t xml:space="preserve">Norgart </w:t>
      </w:r>
      <w:r>
        <w:t>abandon</w:t>
      </w:r>
      <w:r w:rsidR="00CB76B4">
        <w:t>ed</w:t>
      </w:r>
      <w:r>
        <w:t xml:space="preserve"> any requirement of an </w:t>
      </w:r>
      <w:r w:rsidRPr="000B066C">
        <w:t>adverse determination of a critical issue</w:t>
      </w:r>
      <w:r>
        <w:t xml:space="preserve"> in favor of a focus on the parties’ intent:  “any ‘</w:t>
      </w:r>
      <w:r w:rsidRPr="005D4D01">
        <w:t>adverse determination</w:t>
      </w:r>
      <w:r>
        <w:t>’ . . .</w:t>
      </w:r>
      <w:r w:rsidRPr="005D4D01">
        <w:t xml:space="preserve"> is not a legal condition that defines the exception, but only a factual circumstance that may happen to accompany, and explain, the plaintiff</w:t>
      </w:r>
      <w:r>
        <w:t>’</w:t>
      </w:r>
      <w:r w:rsidRPr="005D4D01">
        <w:t>s consent to an unfavorable judgment or order.</w:t>
      </w:r>
      <w:r>
        <w:t xml:space="preserve"> </w:t>
      </w:r>
      <w:r w:rsidRPr="005D4D01">
        <w:t xml:space="preserve"> For it is </w:t>
      </w:r>
      <w:r>
        <w:t>‘</w:t>
      </w:r>
      <w:r w:rsidRPr="005D4D01">
        <w:t>accidental</w:t>
      </w:r>
      <w:r>
        <w:t>’</w:t>
      </w:r>
      <w:r w:rsidRPr="005D4D01">
        <w:t xml:space="preserve"> </w:t>
      </w:r>
      <w:r w:rsidRPr="00994CE2">
        <w:rPr>
          <w:i/>
          <w:iCs/>
        </w:rPr>
        <w:t>why</w:t>
      </w:r>
      <w:r w:rsidRPr="005D4D01">
        <w:t xml:space="preserve"> the plaintiff might desire </w:t>
      </w:r>
      <w:r>
        <w:t>‘</w:t>
      </w:r>
      <w:r w:rsidRPr="005D4D01">
        <w:t>to facilitate an appeal.</w:t>
      </w:r>
      <w:r>
        <w:t>’  [Citation.]</w:t>
      </w:r>
      <w:r w:rsidRPr="005D4D01">
        <w:t xml:space="preserve"> </w:t>
      </w:r>
      <w:r>
        <w:t xml:space="preserve"> </w:t>
      </w:r>
      <w:r w:rsidRPr="005D4D01">
        <w:t xml:space="preserve">It is </w:t>
      </w:r>
      <w:r>
        <w:t>‘</w:t>
      </w:r>
      <w:r w:rsidRPr="005D4D01">
        <w:t>essential,</w:t>
      </w:r>
      <w:r>
        <w:t>’</w:t>
      </w:r>
      <w:r w:rsidRPr="005D4D01">
        <w:t xml:space="preserve"> however, that the plaintiff actually so desire.</w:t>
      </w:r>
      <w:r>
        <w:t>”</w:t>
      </w:r>
      <w:r>
        <w:rPr>
          <w:rStyle w:val="FootnoteReference"/>
        </w:rPr>
        <w:footnoteReference w:id="7"/>
      </w:r>
      <w:r>
        <w:t xml:space="preserve">  (</w:t>
      </w:r>
      <w:r w:rsidR="00504C68">
        <w:rPr>
          <w:i/>
          <w:iCs/>
        </w:rPr>
        <w:t xml:space="preserve">Norgart, </w:t>
      </w:r>
      <w:r>
        <w:t>at p.</w:t>
      </w:r>
      <w:r w:rsidR="00B771BC">
        <w:t> </w:t>
      </w:r>
      <w:r>
        <w:t xml:space="preserve">402.)  </w:t>
      </w:r>
      <w:r w:rsidR="00164DB2">
        <w:t xml:space="preserve">In other words, </w:t>
      </w:r>
      <w:r w:rsidR="001A556C">
        <w:t xml:space="preserve">an </w:t>
      </w:r>
      <w:r w:rsidR="00730371">
        <w:t>“</w:t>
      </w:r>
      <w:r w:rsidR="00730371" w:rsidRPr="000B066C">
        <w:t>adverse determination</w:t>
      </w:r>
      <w:r w:rsidR="00F44BEF">
        <w:t>”</w:t>
      </w:r>
      <w:r w:rsidR="00730371" w:rsidRPr="000B066C">
        <w:t xml:space="preserve"> of </w:t>
      </w:r>
      <w:r w:rsidR="00B1329A">
        <w:t>“</w:t>
      </w:r>
      <w:r w:rsidR="00730371" w:rsidRPr="000B066C">
        <w:t>a critical issue</w:t>
      </w:r>
      <w:r w:rsidR="00730371">
        <w:t>”</w:t>
      </w:r>
      <w:r w:rsidR="002E7765">
        <w:t xml:space="preserve"> are not affirmative </w:t>
      </w:r>
      <w:r w:rsidR="002E7765">
        <w:lastRenderedPageBreak/>
        <w:t>requirements or limitations on the exception, but instead</w:t>
      </w:r>
      <w:r w:rsidR="00730371">
        <w:t xml:space="preserve"> </w:t>
      </w:r>
      <w:r w:rsidR="001A556C">
        <w:t xml:space="preserve">merely </w:t>
      </w:r>
      <w:r w:rsidR="00730371">
        <w:t>describe the circumstances under which a stipulated judgment may arise</w:t>
      </w:r>
      <w:r w:rsidR="002E7765">
        <w:t>.</w:t>
      </w:r>
    </w:p>
    <w:p w14:paraId="17E09C5D" w14:textId="2D266F67" w:rsidR="002500D3" w:rsidRDefault="002500D3" w:rsidP="002500D3">
      <w:pPr>
        <w:spacing w:line="276" w:lineRule="auto"/>
        <w:ind w:firstLine="720"/>
        <w:rPr>
          <w:rFonts w:eastAsia="Times New Roman"/>
          <w:color w:val="000000"/>
          <w:szCs w:val="26"/>
        </w:rPr>
      </w:pPr>
      <w:r>
        <w:rPr>
          <w:rFonts w:eastAsia="Times New Roman"/>
          <w:color w:val="000000"/>
          <w:szCs w:val="26"/>
        </w:rPr>
        <w:t xml:space="preserve">The Courts of Appeal expanded the exception from summary judgments to cases involving motions in </w:t>
      </w:r>
      <w:proofErr w:type="spellStart"/>
      <w:r>
        <w:rPr>
          <w:rFonts w:eastAsia="Times New Roman"/>
          <w:color w:val="000000"/>
          <w:szCs w:val="26"/>
        </w:rPr>
        <w:t>limine</w:t>
      </w:r>
      <w:proofErr w:type="spellEnd"/>
      <w:r>
        <w:rPr>
          <w:rFonts w:eastAsia="Times New Roman"/>
          <w:color w:val="000000"/>
          <w:szCs w:val="26"/>
        </w:rPr>
        <w:t>, nonsuits, and judgment on the pleadings.</w:t>
      </w:r>
      <w:r w:rsidRPr="00C32D7B">
        <w:t xml:space="preserve"> </w:t>
      </w:r>
      <w:r>
        <w:t xml:space="preserve"> (See, e.g., </w:t>
      </w:r>
      <w:r w:rsidRPr="00457770">
        <w:rPr>
          <w:i/>
          <w:iCs/>
        </w:rPr>
        <w:t>Tudor Ranches, Inc. v. State Comp. Ins. Fund</w:t>
      </w:r>
      <w:r w:rsidRPr="00457770">
        <w:t xml:space="preserve"> (1998) 65 Cal.App.4th 1422</w:t>
      </w:r>
      <w:r w:rsidR="007C3457">
        <w:t>, 1431</w:t>
      </w:r>
      <w:r w:rsidR="00504C68">
        <w:t xml:space="preserve"> (</w:t>
      </w:r>
      <w:r w:rsidR="00504C68">
        <w:rPr>
          <w:i/>
          <w:iCs/>
        </w:rPr>
        <w:t>Tudor Ranches</w:t>
      </w:r>
      <w:r w:rsidR="00504C68">
        <w:t>)</w:t>
      </w:r>
      <w:r>
        <w:t xml:space="preserve"> [motion in </w:t>
      </w:r>
      <w:proofErr w:type="spellStart"/>
      <w:r>
        <w:t>limine</w:t>
      </w:r>
      <w:proofErr w:type="spellEnd"/>
      <w:r>
        <w:t xml:space="preserve">]; </w:t>
      </w:r>
      <w:proofErr w:type="spellStart"/>
      <w:r w:rsidRPr="008814CC">
        <w:rPr>
          <w:i/>
          <w:iCs/>
        </w:rPr>
        <w:t>Villano</w:t>
      </w:r>
      <w:proofErr w:type="spellEnd"/>
      <w:r w:rsidRPr="008814CC">
        <w:rPr>
          <w:i/>
          <w:iCs/>
        </w:rPr>
        <w:t xml:space="preserve"> v. Waterman Convalescent </w:t>
      </w:r>
      <w:r w:rsidR="00504C68">
        <w:rPr>
          <w:i/>
          <w:iCs/>
        </w:rPr>
        <w:t xml:space="preserve">Hospital, </w:t>
      </w:r>
      <w:r w:rsidRPr="008814CC">
        <w:rPr>
          <w:i/>
          <w:iCs/>
        </w:rPr>
        <w:t>Inc.</w:t>
      </w:r>
      <w:r w:rsidRPr="00942554">
        <w:t xml:space="preserve"> (2010) 181 Cal.App.</w:t>
      </w:r>
      <w:r w:rsidR="00B1329A">
        <w:t xml:space="preserve">4th </w:t>
      </w:r>
      <w:r w:rsidRPr="00942554">
        <w:t>1189</w:t>
      </w:r>
      <w:r>
        <w:t xml:space="preserve"> [in </w:t>
      </w:r>
      <w:proofErr w:type="spellStart"/>
      <w:r>
        <w:t>limine</w:t>
      </w:r>
      <w:proofErr w:type="spellEnd"/>
      <w:r>
        <w:t xml:space="preserve"> rulings tantamount to nonsuit]; </w:t>
      </w:r>
      <w:proofErr w:type="spellStart"/>
      <w:r w:rsidRPr="008D3805">
        <w:rPr>
          <w:i/>
          <w:iCs/>
        </w:rPr>
        <w:t>Tos</w:t>
      </w:r>
      <w:proofErr w:type="spellEnd"/>
      <w:r w:rsidRPr="008D3805">
        <w:rPr>
          <w:i/>
          <w:iCs/>
        </w:rPr>
        <w:t xml:space="preserve"> v. State</w:t>
      </w:r>
      <w:r w:rsidR="00504C68">
        <w:rPr>
          <w:i/>
          <w:iCs/>
        </w:rPr>
        <w:t xml:space="preserve"> of California</w:t>
      </w:r>
      <w:r w:rsidRPr="008D3805">
        <w:t xml:space="preserve"> (2021) 72 Cal.App.5th 184, 194</w:t>
      </w:r>
      <w:r>
        <w:t xml:space="preserve"> [judgment on the pleadings].)  </w:t>
      </w:r>
      <w:r w:rsidR="00B02FA7">
        <w:t>T</w:t>
      </w:r>
      <w:r>
        <w:t>he only limitation the courts have imposed on the exception is a requirement that the stipulated judgment adjudicate all claims.</w:t>
      </w:r>
      <w:r>
        <w:rPr>
          <w:rStyle w:val="FootnoteReference"/>
        </w:rPr>
        <w:footnoteReference w:id="8"/>
      </w:r>
    </w:p>
    <w:p w14:paraId="1EDB65BE" w14:textId="3304A017" w:rsidR="002500D3" w:rsidRPr="002B2826" w:rsidRDefault="002500D3" w:rsidP="002500D3">
      <w:pPr>
        <w:spacing w:line="276" w:lineRule="auto"/>
        <w:ind w:firstLine="720"/>
        <w:rPr>
          <w:rFonts w:eastAsia="Times New Roman"/>
          <w:color w:val="000000"/>
          <w:szCs w:val="26"/>
        </w:rPr>
      </w:pPr>
      <w:r>
        <w:rPr>
          <w:rFonts w:eastAsia="Times New Roman"/>
          <w:color w:val="000000"/>
          <w:szCs w:val="26"/>
        </w:rPr>
        <w:t>Amicus CAC proposes a limitation on the exception requiring that a stipulated judgment must follow an adverse determination that is “outcome determinative” or “dispositive.”  In its view, the overruling of SCE’s demurrer to the master complaint is not such a ruling because it does not “devastate”</w:t>
      </w:r>
      <w:r>
        <w:rPr>
          <w:rStyle w:val="FootnoteReference"/>
        </w:rPr>
        <w:footnoteReference w:id="9"/>
      </w:r>
      <w:r>
        <w:rPr>
          <w:rFonts w:eastAsia="Times New Roman"/>
          <w:color w:val="000000"/>
          <w:szCs w:val="26"/>
        </w:rPr>
        <w:t xml:space="preserve"> </w:t>
      </w:r>
      <w:r>
        <w:rPr>
          <w:rFonts w:eastAsia="Times New Roman"/>
          <w:color w:val="000000"/>
          <w:szCs w:val="26"/>
        </w:rPr>
        <w:lastRenderedPageBreak/>
        <w:t>SCE’s case on the merits and is not dispositive</w:t>
      </w:r>
      <w:r>
        <w:rPr>
          <w:rStyle w:val="FootnoteReference"/>
        </w:rPr>
        <w:footnoteReference w:id="10"/>
      </w:r>
      <w:r>
        <w:rPr>
          <w:rFonts w:eastAsia="Times New Roman"/>
          <w:color w:val="000000"/>
          <w:szCs w:val="26"/>
        </w:rPr>
        <w:t xml:space="preserve"> because SCE could still proceed to trial and prevail. </w:t>
      </w:r>
      <w:r w:rsidR="00EB580F">
        <w:rPr>
          <w:rFonts w:eastAsia="Times New Roman"/>
          <w:color w:val="000000"/>
          <w:szCs w:val="26"/>
        </w:rPr>
        <w:t xml:space="preserve"> </w:t>
      </w:r>
      <w:r>
        <w:rPr>
          <w:rFonts w:eastAsia="Times New Roman"/>
          <w:color w:val="000000"/>
          <w:szCs w:val="26"/>
        </w:rPr>
        <w:t xml:space="preserve">Although some Court of </w:t>
      </w:r>
      <w:r>
        <w:rPr>
          <w:rFonts w:eastAsia="Times New Roman"/>
          <w:color w:val="000000"/>
          <w:szCs w:val="26"/>
        </w:rPr>
        <w:lastRenderedPageBreak/>
        <w:t xml:space="preserve">Appeal decisions </w:t>
      </w:r>
      <w:r w:rsidR="0031799E">
        <w:rPr>
          <w:rFonts w:eastAsia="Times New Roman"/>
          <w:color w:val="000000"/>
          <w:szCs w:val="26"/>
        </w:rPr>
        <w:t>involve such circumstances</w:t>
      </w:r>
      <w:r w:rsidR="00E542CB">
        <w:rPr>
          <w:rFonts w:eastAsia="Times New Roman"/>
          <w:color w:val="000000"/>
          <w:szCs w:val="26"/>
        </w:rPr>
        <w:t xml:space="preserve"> or</w:t>
      </w:r>
      <w:r w:rsidR="0031799E">
        <w:rPr>
          <w:rFonts w:eastAsia="Times New Roman"/>
          <w:color w:val="000000"/>
          <w:szCs w:val="26"/>
        </w:rPr>
        <w:t xml:space="preserve"> </w:t>
      </w:r>
      <w:r w:rsidR="00334ACA">
        <w:rPr>
          <w:rFonts w:eastAsia="Times New Roman"/>
          <w:color w:val="000000"/>
          <w:szCs w:val="26"/>
        </w:rPr>
        <w:t>could be read as supporting such a rule,</w:t>
      </w:r>
      <w:r w:rsidR="00761C6C">
        <w:rPr>
          <w:rFonts w:eastAsia="Times New Roman"/>
          <w:color w:val="000000"/>
          <w:szCs w:val="26"/>
        </w:rPr>
        <w:t xml:space="preserve"> </w:t>
      </w:r>
      <w:r w:rsidR="00E542CB">
        <w:rPr>
          <w:rFonts w:eastAsia="Times New Roman"/>
          <w:color w:val="000000"/>
          <w:szCs w:val="26"/>
        </w:rPr>
        <w:t>the</w:t>
      </w:r>
      <w:r w:rsidR="003C0D8A">
        <w:rPr>
          <w:rFonts w:eastAsia="Times New Roman"/>
          <w:color w:val="000000"/>
          <w:szCs w:val="26"/>
        </w:rPr>
        <w:t xml:space="preserve">se characteristics are not </w:t>
      </w:r>
      <w:r w:rsidR="008500E3">
        <w:rPr>
          <w:rFonts w:eastAsia="Times New Roman"/>
          <w:color w:val="000000"/>
          <w:szCs w:val="26"/>
        </w:rPr>
        <w:t xml:space="preserve">affirmative </w:t>
      </w:r>
      <w:r w:rsidR="003C0D8A">
        <w:rPr>
          <w:rFonts w:eastAsia="Times New Roman"/>
          <w:color w:val="000000"/>
          <w:szCs w:val="26"/>
        </w:rPr>
        <w:t>limits on the exception but merely reflect the circumstances under which the</w:t>
      </w:r>
      <w:r w:rsidR="00F96B60">
        <w:rPr>
          <w:rFonts w:eastAsia="Times New Roman"/>
          <w:color w:val="000000"/>
          <w:szCs w:val="26"/>
        </w:rPr>
        <w:t xml:space="preserve"> cases</w:t>
      </w:r>
      <w:r w:rsidR="003C0D8A">
        <w:rPr>
          <w:rFonts w:eastAsia="Times New Roman"/>
          <w:color w:val="000000"/>
          <w:szCs w:val="26"/>
        </w:rPr>
        <w:t xml:space="preserve"> were decided.  </w:t>
      </w:r>
      <w:r w:rsidR="001D5F7A">
        <w:rPr>
          <w:rFonts w:eastAsia="Times New Roman"/>
          <w:color w:val="000000"/>
          <w:szCs w:val="26"/>
        </w:rPr>
        <w:t xml:space="preserve">Indeed, </w:t>
      </w:r>
      <w:r>
        <w:rPr>
          <w:rFonts w:eastAsia="Times New Roman"/>
          <w:i/>
          <w:iCs/>
          <w:color w:val="000000"/>
          <w:szCs w:val="26"/>
        </w:rPr>
        <w:t xml:space="preserve">Norgart </w:t>
      </w:r>
      <w:r>
        <w:rPr>
          <w:rFonts w:eastAsia="Times New Roman"/>
          <w:color w:val="000000"/>
          <w:szCs w:val="26"/>
        </w:rPr>
        <w:t>foreclose</w:t>
      </w:r>
      <w:r w:rsidR="00387928">
        <w:rPr>
          <w:rFonts w:eastAsia="Times New Roman"/>
          <w:color w:val="000000"/>
          <w:szCs w:val="26"/>
        </w:rPr>
        <w:t>s</w:t>
      </w:r>
      <w:r>
        <w:rPr>
          <w:rFonts w:eastAsia="Times New Roman"/>
          <w:color w:val="000000"/>
          <w:szCs w:val="26"/>
        </w:rPr>
        <w:t xml:space="preserve"> such limitation</w:t>
      </w:r>
      <w:r w:rsidR="001D5F7A">
        <w:rPr>
          <w:rFonts w:eastAsia="Times New Roman"/>
          <w:color w:val="000000"/>
          <w:szCs w:val="26"/>
        </w:rPr>
        <w:t>s</w:t>
      </w:r>
      <w:r>
        <w:rPr>
          <w:rFonts w:eastAsia="Times New Roman"/>
          <w:color w:val="000000"/>
          <w:szCs w:val="26"/>
        </w:rPr>
        <w:t xml:space="preserve">.  As noted above, </w:t>
      </w:r>
      <w:r>
        <w:rPr>
          <w:rFonts w:eastAsia="Times New Roman"/>
          <w:i/>
          <w:iCs/>
          <w:color w:val="000000"/>
          <w:szCs w:val="26"/>
        </w:rPr>
        <w:t xml:space="preserve">Norgart </w:t>
      </w:r>
      <w:r>
        <w:rPr>
          <w:rFonts w:eastAsia="Times New Roman"/>
          <w:color w:val="000000"/>
          <w:szCs w:val="26"/>
        </w:rPr>
        <w:t xml:space="preserve">explained that </w:t>
      </w:r>
      <w:r>
        <w:t>“any ‘</w:t>
      </w:r>
      <w:r w:rsidRPr="005D4D01">
        <w:t>adverse determination</w:t>
      </w:r>
      <w:r>
        <w:t>’</w:t>
      </w:r>
      <w:r w:rsidR="00F22D6B">
        <w:t> </w:t>
      </w:r>
      <w:r>
        <w:t>.</w:t>
      </w:r>
      <w:r w:rsidR="00F22D6B">
        <w:t> </w:t>
      </w:r>
      <w:r>
        <w:t>.</w:t>
      </w:r>
      <w:r w:rsidR="00F22D6B">
        <w:t> </w:t>
      </w:r>
      <w:r>
        <w:t>.</w:t>
      </w:r>
      <w:r w:rsidRPr="005D4D01">
        <w:t xml:space="preserve"> is not a legal condition that defines the exception, but only a factual circumstance that may happen to accompany, and explain, the plaintiff</w:t>
      </w:r>
      <w:r>
        <w:t>’</w:t>
      </w:r>
      <w:r w:rsidRPr="005D4D01">
        <w:t>s consent to an unfavorable judgment or order</w:t>
      </w:r>
      <w:r>
        <w:t>,” and it is the parties’ intent that controls.  (</w:t>
      </w:r>
      <w:r w:rsidR="009A08AA">
        <w:rPr>
          <w:i/>
          <w:iCs/>
        </w:rPr>
        <w:t xml:space="preserve">Norgart, supra, </w:t>
      </w:r>
      <w:r>
        <w:t>21 Cal.4th at p.</w:t>
      </w:r>
      <w:r w:rsidR="0026431B">
        <w:t> </w:t>
      </w:r>
      <w:r>
        <w:t xml:space="preserve">402.)  </w:t>
      </w:r>
    </w:p>
    <w:p w14:paraId="61DAE836" w14:textId="77777777" w:rsidR="002500D3" w:rsidRDefault="002500D3" w:rsidP="002500D3">
      <w:pPr>
        <w:spacing w:line="240" w:lineRule="auto"/>
        <w:ind w:left="1440" w:hanging="720"/>
        <w:rPr>
          <w:rFonts w:eastAsia="Times New Roman"/>
          <w:color w:val="000000"/>
          <w:szCs w:val="26"/>
        </w:rPr>
      </w:pPr>
    </w:p>
    <w:p w14:paraId="260B56AE" w14:textId="42A4F8D3" w:rsidR="002500D3" w:rsidRPr="00465779" w:rsidRDefault="002500D3" w:rsidP="002500D3">
      <w:pPr>
        <w:spacing w:line="240" w:lineRule="auto"/>
        <w:ind w:left="1440" w:hanging="720"/>
      </w:pPr>
      <w:r w:rsidRPr="00465779">
        <w:t>3.</w:t>
      </w:r>
      <w:r w:rsidRPr="00465779">
        <w:tab/>
      </w:r>
      <w:r w:rsidRPr="00AF6C00">
        <w:rPr>
          <w:i/>
          <w:iCs/>
        </w:rPr>
        <w:t xml:space="preserve">The </w:t>
      </w:r>
      <w:r w:rsidR="0026431B" w:rsidRPr="00AF6C00">
        <w:rPr>
          <w:i/>
          <w:iCs/>
        </w:rPr>
        <w:t>m</w:t>
      </w:r>
      <w:r w:rsidRPr="00AF6C00">
        <w:rPr>
          <w:i/>
          <w:iCs/>
        </w:rPr>
        <w:t xml:space="preserve">ootness </w:t>
      </w:r>
      <w:r w:rsidR="0026431B" w:rsidRPr="00AF6C00">
        <w:rPr>
          <w:i/>
          <w:iCs/>
        </w:rPr>
        <w:t>d</w:t>
      </w:r>
      <w:r w:rsidRPr="00AF6C00">
        <w:rPr>
          <w:i/>
          <w:iCs/>
        </w:rPr>
        <w:t xml:space="preserve">octrine and the </w:t>
      </w:r>
      <w:r w:rsidR="0026431B" w:rsidRPr="00AF6C00">
        <w:rPr>
          <w:i/>
          <w:iCs/>
        </w:rPr>
        <w:t>s</w:t>
      </w:r>
      <w:r w:rsidRPr="00AF6C00">
        <w:rPr>
          <w:i/>
          <w:iCs/>
        </w:rPr>
        <w:t xml:space="preserve">tipulated </w:t>
      </w:r>
      <w:r w:rsidR="0026431B" w:rsidRPr="00AF6C00">
        <w:rPr>
          <w:i/>
          <w:iCs/>
        </w:rPr>
        <w:t>j</w:t>
      </w:r>
      <w:r w:rsidRPr="00AF6C00">
        <w:rPr>
          <w:i/>
          <w:iCs/>
        </w:rPr>
        <w:t>udgment</w:t>
      </w:r>
    </w:p>
    <w:p w14:paraId="1C091CBE" w14:textId="77777777" w:rsidR="002500D3" w:rsidRDefault="002500D3" w:rsidP="002500D3">
      <w:pPr>
        <w:ind w:firstLine="720"/>
      </w:pPr>
      <w:r>
        <w:t>We also asked the parties to address whether this case presents a justiciable controversy.  As noted above, the stipulated judgment included a payment of $1.75 million from SCE to Simple Avo contingent on the outcome of this appeal.</w:t>
      </w:r>
    </w:p>
    <w:p w14:paraId="24A05C19" w14:textId="11C4568F" w:rsidR="002500D3" w:rsidRPr="00AA48F8" w:rsidRDefault="002500D3" w:rsidP="002500D3">
      <w:pPr>
        <w:ind w:firstLine="720"/>
      </w:pPr>
      <w:r w:rsidRPr="00D771AA">
        <w:rPr>
          <w:i/>
          <w:iCs/>
        </w:rPr>
        <w:t xml:space="preserve">Hensley v. San Diego Gas &amp; </w:t>
      </w:r>
      <w:r w:rsidR="009A08AA">
        <w:rPr>
          <w:i/>
          <w:iCs/>
        </w:rPr>
        <w:t xml:space="preserve">Electric </w:t>
      </w:r>
      <w:r w:rsidRPr="00D771AA">
        <w:rPr>
          <w:i/>
          <w:iCs/>
        </w:rPr>
        <w:t>Co.</w:t>
      </w:r>
      <w:r w:rsidRPr="00AA48F8">
        <w:t xml:space="preserve"> (2017) 7</w:t>
      </w:r>
      <w:r w:rsidR="00F22D6B">
        <w:t> </w:t>
      </w:r>
      <w:r w:rsidRPr="00AA48F8">
        <w:t>Cal.App.5th 1337</w:t>
      </w:r>
      <w:r>
        <w:t xml:space="preserve"> dealt with a similar situation</w:t>
      </w:r>
      <w:r w:rsidRPr="00AA48F8">
        <w:t xml:space="preserve">.  There, the parties agreed to a stipulated judgment where the plaintiffs received an undisclosed sum from the defendant in settlement of their claims but reserved the right to appeal the trial court’s </w:t>
      </w:r>
      <w:r w:rsidRPr="002C0DE4">
        <w:rPr>
          <w:i/>
          <w:iCs/>
        </w:rPr>
        <w:t>in</w:t>
      </w:r>
      <w:r w:rsidR="00714826">
        <w:rPr>
          <w:i/>
          <w:iCs/>
        </w:rPr>
        <w:t> </w:t>
      </w:r>
      <w:proofErr w:type="spellStart"/>
      <w:r w:rsidRPr="002C0DE4">
        <w:rPr>
          <w:i/>
          <w:iCs/>
        </w:rPr>
        <w:t>limine</w:t>
      </w:r>
      <w:proofErr w:type="spellEnd"/>
      <w:r w:rsidRPr="002C0DE4">
        <w:rPr>
          <w:i/>
          <w:iCs/>
        </w:rPr>
        <w:t xml:space="preserve"> </w:t>
      </w:r>
      <w:r w:rsidRPr="00AA48F8">
        <w:t xml:space="preserve">ruling that plaintiffs could not introduce evidence of emotional distress damages.  The parties agreed the plaintiffs would receive an additional sum from the defendant if they were successful on appeal. </w:t>
      </w:r>
      <w:r>
        <w:t xml:space="preserve"> </w:t>
      </w:r>
      <w:r w:rsidRPr="00AA48F8">
        <w:t>(</w:t>
      </w:r>
      <w:r w:rsidR="009A08AA">
        <w:rPr>
          <w:i/>
          <w:iCs/>
        </w:rPr>
        <w:t xml:space="preserve">Id. </w:t>
      </w:r>
      <w:r w:rsidRPr="009A08AA">
        <w:t>at</w:t>
      </w:r>
      <w:r w:rsidRPr="00AA48F8">
        <w:t xml:space="preserve"> p. 1342.)  </w:t>
      </w:r>
      <w:r w:rsidRPr="00D771AA">
        <w:rPr>
          <w:i/>
          <w:iCs/>
        </w:rPr>
        <w:t>Hensley</w:t>
      </w:r>
      <w:r w:rsidRPr="00AA48F8">
        <w:t xml:space="preserve"> concluded the </w:t>
      </w:r>
      <w:r>
        <w:t>case</w:t>
      </w:r>
      <w:r w:rsidRPr="00AA48F8">
        <w:t xml:space="preserve"> </w:t>
      </w:r>
      <w:r w:rsidRPr="00AA48F8">
        <w:lastRenderedPageBreak/>
        <w:t>was not moot</w:t>
      </w:r>
      <w:r>
        <w:t xml:space="preserve"> because the additional sum</w:t>
      </w:r>
      <w:r w:rsidRPr="00AA48F8">
        <w:t xml:space="preserve"> </w:t>
      </w:r>
      <w:r>
        <w:t>was</w:t>
      </w:r>
      <w:r w:rsidRPr="00AA48F8">
        <w:t xml:space="preserve"> a liquidation of the plaintiffs’ emotional distress damages.  (</w:t>
      </w:r>
      <w:r w:rsidRPr="00D771AA">
        <w:rPr>
          <w:i/>
          <w:iCs/>
        </w:rPr>
        <w:t>Id</w:t>
      </w:r>
      <w:r w:rsidRPr="00AA48F8">
        <w:t xml:space="preserve">. at p. 1345.)  </w:t>
      </w:r>
      <w:r w:rsidR="00F70779">
        <w:t xml:space="preserve">But </w:t>
      </w:r>
      <w:r>
        <w:rPr>
          <w:i/>
          <w:iCs/>
        </w:rPr>
        <w:t>Hensley</w:t>
      </w:r>
      <w:r w:rsidRPr="00AA48F8">
        <w:t xml:space="preserve"> </w:t>
      </w:r>
      <w:r w:rsidR="00F70779">
        <w:t xml:space="preserve">also stated, </w:t>
      </w:r>
      <w:r w:rsidRPr="00AA48F8">
        <w:t xml:space="preserve">“We discourage parties from reaching agreements that arbitrarily stake payments or ‘bet’ on the outcome of an appeal </w:t>
      </w:r>
      <w:proofErr w:type="gramStart"/>
      <w:r w:rsidRPr="00AA48F8">
        <w:t>so as to</w:t>
      </w:r>
      <w:proofErr w:type="gramEnd"/>
      <w:r w:rsidRPr="00AA48F8">
        <w:t xml:space="preserve"> avoid rendering their case moot, or from creating an agreement divorced from the controversy for the exclusive purpose of obtaining a decision on a matter. </w:t>
      </w:r>
      <w:r>
        <w:t xml:space="preserve"> </w:t>
      </w:r>
      <w:r w:rsidRPr="00AA48F8">
        <w:t xml:space="preserve">Where an issue left to be decided is entirely unrelated to the controversy, parties risk a finding that their settlement has mooted any appeal.” </w:t>
      </w:r>
      <w:r w:rsidR="009A08AA" w:rsidRPr="00AA48F8">
        <w:t xml:space="preserve"> (</w:t>
      </w:r>
      <w:r w:rsidR="009A08AA">
        <w:rPr>
          <w:i/>
          <w:iCs/>
        </w:rPr>
        <w:t xml:space="preserve">Id. </w:t>
      </w:r>
      <w:r w:rsidR="009A08AA" w:rsidRPr="009A08AA">
        <w:t>at</w:t>
      </w:r>
      <w:r w:rsidR="009A08AA" w:rsidRPr="00AA48F8">
        <w:t xml:space="preserve"> p. 134</w:t>
      </w:r>
      <w:r w:rsidR="009A08AA">
        <w:t>6</w:t>
      </w:r>
      <w:r w:rsidR="009A08AA" w:rsidRPr="00AA48F8">
        <w:t>.)</w:t>
      </w:r>
    </w:p>
    <w:p w14:paraId="36F9F1F7" w14:textId="5B675915" w:rsidR="002500D3" w:rsidRDefault="002500D3" w:rsidP="002500D3">
      <w:pPr>
        <w:spacing w:line="276" w:lineRule="auto"/>
        <w:ind w:firstLine="720"/>
        <w:rPr>
          <w:rFonts w:eastAsia="Times New Roman"/>
          <w:color w:val="000000"/>
          <w:szCs w:val="26"/>
        </w:rPr>
      </w:pPr>
      <w:r w:rsidRPr="00AA48F8">
        <w:t xml:space="preserve">We likewise conclude this </w:t>
      </w:r>
      <w:r>
        <w:t>case</w:t>
      </w:r>
      <w:r w:rsidRPr="00AA48F8">
        <w:t xml:space="preserve"> is not moot due to the</w:t>
      </w:r>
      <w:r>
        <w:rPr>
          <w:rFonts w:eastAsia="Times New Roman"/>
          <w:color w:val="000000"/>
          <w:szCs w:val="26"/>
        </w:rPr>
        <w:t xml:space="preserve"> potential $1.75 million payment to Simple Avo, which we deem a liquidation of its inverse condemnation damages.  But we join </w:t>
      </w:r>
      <w:r>
        <w:rPr>
          <w:rFonts w:eastAsia="Times New Roman"/>
          <w:i/>
          <w:iCs/>
          <w:color w:val="000000"/>
          <w:szCs w:val="26"/>
        </w:rPr>
        <w:t xml:space="preserve">Hensley </w:t>
      </w:r>
      <w:r>
        <w:rPr>
          <w:rFonts w:eastAsia="Times New Roman"/>
          <w:color w:val="000000"/>
          <w:szCs w:val="26"/>
        </w:rPr>
        <w:t>in discouraging such “side bets” on the outcome of an appeal for purposes of obtaining an appellate decision.</w:t>
      </w:r>
    </w:p>
    <w:p w14:paraId="2DC46421" w14:textId="77777777" w:rsidR="002500D3" w:rsidRDefault="002500D3" w:rsidP="002500D3">
      <w:pPr>
        <w:spacing w:line="276" w:lineRule="auto"/>
        <w:ind w:firstLine="720"/>
        <w:rPr>
          <w:rFonts w:eastAsia="Times New Roman"/>
          <w:color w:val="000000"/>
          <w:szCs w:val="26"/>
        </w:rPr>
      </w:pPr>
    </w:p>
    <w:p w14:paraId="6241FFD5" w14:textId="52540A91" w:rsidR="002500D3" w:rsidRPr="00465779" w:rsidRDefault="002500D3" w:rsidP="00BA2F95">
      <w:pPr>
        <w:keepNext/>
        <w:keepLines/>
        <w:spacing w:line="276" w:lineRule="auto"/>
        <w:ind w:left="1440" w:hanging="720"/>
      </w:pPr>
      <w:r w:rsidRPr="00465779">
        <w:t>4.</w:t>
      </w:r>
      <w:r w:rsidRPr="00465779">
        <w:tab/>
      </w:r>
      <w:r w:rsidRPr="00AF6C00">
        <w:rPr>
          <w:i/>
          <w:iCs/>
        </w:rPr>
        <w:t xml:space="preserve">Under </w:t>
      </w:r>
      <w:r w:rsidRPr="005808FA">
        <w:t>Norgart</w:t>
      </w:r>
      <w:r w:rsidRPr="00AF6C00">
        <w:rPr>
          <w:i/>
          <w:iCs/>
        </w:rPr>
        <w:t xml:space="preserve">, the </w:t>
      </w:r>
      <w:r w:rsidR="00714826" w:rsidRPr="00AF6C00">
        <w:rPr>
          <w:i/>
          <w:iCs/>
        </w:rPr>
        <w:t>s</w:t>
      </w:r>
      <w:r w:rsidRPr="00AF6C00">
        <w:rPr>
          <w:i/>
          <w:iCs/>
        </w:rPr>
        <w:t xml:space="preserve">tipulated </w:t>
      </w:r>
      <w:r w:rsidR="00714826" w:rsidRPr="00AF6C00">
        <w:rPr>
          <w:i/>
          <w:iCs/>
        </w:rPr>
        <w:t>j</w:t>
      </w:r>
      <w:r w:rsidRPr="00AF6C00">
        <w:rPr>
          <w:i/>
          <w:iCs/>
        </w:rPr>
        <w:t xml:space="preserve">udgment is </w:t>
      </w:r>
      <w:r w:rsidR="00714826" w:rsidRPr="00AF6C00">
        <w:rPr>
          <w:i/>
          <w:iCs/>
        </w:rPr>
        <w:t>a</w:t>
      </w:r>
      <w:r w:rsidRPr="00AF6C00">
        <w:rPr>
          <w:i/>
          <w:iCs/>
        </w:rPr>
        <w:t xml:space="preserve">ppealable, but </w:t>
      </w:r>
      <w:r w:rsidR="00714826" w:rsidRPr="00AF6C00">
        <w:rPr>
          <w:i/>
          <w:iCs/>
        </w:rPr>
        <w:t>w</w:t>
      </w:r>
      <w:r w:rsidRPr="00AF6C00">
        <w:rPr>
          <w:i/>
          <w:iCs/>
        </w:rPr>
        <w:t xml:space="preserve">e </w:t>
      </w:r>
      <w:r w:rsidR="00714826" w:rsidRPr="00AF6C00">
        <w:rPr>
          <w:i/>
          <w:iCs/>
        </w:rPr>
        <w:t>h</w:t>
      </w:r>
      <w:r w:rsidRPr="00AF6C00">
        <w:rPr>
          <w:i/>
          <w:iCs/>
        </w:rPr>
        <w:t xml:space="preserve">ave </w:t>
      </w:r>
      <w:r w:rsidR="00714826" w:rsidRPr="00AF6C00">
        <w:rPr>
          <w:i/>
          <w:iCs/>
        </w:rPr>
        <w:t>s</w:t>
      </w:r>
      <w:r w:rsidRPr="00AF6C00">
        <w:rPr>
          <w:i/>
          <w:iCs/>
        </w:rPr>
        <w:t xml:space="preserve">erious </w:t>
      </w:r>
      <w:r w:rsidR="00714826" w:rsidRPr="00AF6C00">
        <w:rPr>
          <w:i/>
          <w:iCs/>
        </w:rPr>
        <w:t>r</w:t>
      </w:r>
      <w:r w:rsidRPr="00AF6C00">
        <w:rPr>
          <w:i/>
          <w:iCs/>
        </w:rPr>
        <w:t xml:space="preserve">eservations the </w:t>
      </w:r>
      <w:r w:rsidR="00714826" w:rsidRPr="00AF6C00">
        <w:rPr>
          <w:i/>
          <w:iCs/>
        </w:rPr>
        <w:t>e</w:t>
      </w:r>
      <w:r w:rsidRPr="00AF6C00">
        <w:rPr>
          <w:i/>
          <w:iCs/>
        </w:rPr>
        <w:t xml:space="preserve">xception </w:t>
      </w:r>
      <w:r w:rsidR="00714826" w:rsidRPr="00AF6C00">
        <w:rPr>
          <w:i/>
          <w:iCs/>
        </w:rPr>
        <w:t>s</w:t>
      </w:r>
      <w:r w:rsidRPr="00AF6C00">
        <w:rPr>
          <w:i/>
          <w:iCs/>
        </w:rPr>
        <w:t xml:space="preserve">hould </w:t>
      </w:r>
      <w:r w:rsidR="00714826" w:rsidRPr="00AF6C00">
        <w:rPr>
          <w:i/>
          <w:iCs/>
        </w:rPr>
        <w:t>a</w:t>
      </w:r>
      <w:r w:rsidRPr="00AF6C00">
        <w:rPr>
          <w:i/>
          <w:iCs/>
        </w:rPr>
        <w:t xml:space="preserve">pply </w:t>
      </w:r>
      <w:r w:rsidR="00714826" w:rsidRPr="00AF6C00">
        <w:rPr>
          <w:i/>
          <w:iCs/>
        </w:rPr>
        <w:t>u</w:t>
      </w:r>
      <w:r w:rsidRPr="00AF6C00">
        <w:rPr>
          <w:i/>
          <w:iCs/>
        </w:rPr>
        <w:t xml:space="preserve">nder the </w:t>
      </w:r>
      <w:r w:rsidR="00714826" w:rsidRPr="00AF6C00">
        <w:rPr>
          <w:i/>
          <w:iCs/>
        </w:rPr>
        <w:t>c</w:t>
      </w:r>
      <w:r w:rsidRPr="00AF6C00">
        <w:rPr>
          <w:i/>
          <w:iCs/>
        </w:rPr>
        <w:t xml:space="preserve">ircumstances </w:t>
      </w:r>
      <w:r w:rsidR="00714826" w:rsidRPr="00AF6C00">
        <w:rPr>
          <w:i/>
          <w:iCs/>
        </w:rPr>
        <w:t>h</w:t>
      </w:r>
      <w:r w:rsidRPr="00AF6C00">
        <w:rPr>
          <w:i/>
          <w:iCs/>
        </w:rPr>
        <w:t>ere</w:t>
      </w:r>
    </w:p>
    <w:p w14:paraId="190070EA" w14:textId="69681E5B" w:rsidR="002500D3" w:rsidRDefault="002500D3" w:rsidP="002500D3">
      <w:pPr>
        <w:ind w:firstLine="720"/>
      </w:pPr>
      <w:r>
        <w:t xml:space="preserve">Amici </w:t>
      </w:r>
      <w:proofErr w:type="gramStart"/>
      <w:r>
        <w:t>argue</w:t>
      </w:r>
      <w:proofErr w:type="gramEnd"/>
      <w:r>
        <w:t xml:space="preserve"> that “[a]</w:t>
      </w:r>
      <w:proofErr w:type="spellStart"/>
      <w:r>
        <w:t>llowing</w:t>
      </w:r>
      <w:proofErr w:type="spellEnd"/>
      <w:r>
        <w:t xml:space="preserve"> this appeal to go forward would mark . . . an unprecedented carve-out from the rule barring appeals from consent judgments” and is an “attempt by SCE to artificially manufacture appellate jurisdiction against a Respondent of its own choosing.” </w:t>
      </w:r>
      <w:r w:rsidR="00BC5D8B">
        <w:t xml:space="preserve"> </w:t>
      </w:r>
      <w:r>
        <w:t>Specifically, NASP contends that “while California may permit parties to stipulate to an immediate appeal in certain cases, those exceptions have never been applied in the context of complex coordinated actions before a JCCP Court” and that</w:t>
      </w:r>
      <w:r w:rsidR="00EC2655">
        <w:t xml:space="preserve">, at the time it filed its brief, </w:t>
      </w:r>
      <w:r>
        <w:t xml:space="preserve">“several </w:t>
      </w:r>
      <w:r>
        <w:lastRenderedPageBreak/>
        <w:t>hundred Thomas Fire claims [</w:t>
      </w:r>
      <w:r w:rsidR="00157D4C">
        <w:t>were</w:t>
      </w:r>
      <w:r>
        <w:t>] still pending in the JCCP action.”</w:t>
      </w:r>
      <w:r>
        <w:rPr>
          <w:rStyle w:val="FootnoteReference"/>
        </w:rPr>
        <w:footnoteReference w:id="11"/>
      </w:r>
    </w:p>
    <w:p w14:paraId="40F86F04" w14:textId="67F09E3D" w:rsidR="002500D3" w:rsidRDefault="002500D3" w:rsidP="002500D3">
      <w:pPr>
        <w:ind w:firstLine="720"/>
      </w:pPr>
      <w:r>
        <w:t xml:space="preserve">We question whether the exception </w:t>
      </w:r>
      <w:r w:rsidRPr="001A022F">
        <w:t xml:space="preserve">should apply </w:t>
      </w:r>
      <w:r>
        <w:t>in a coordinated proceeding such as this one involving hundreds of remaining lawsuits and where the respondent on appeal did not participate in drafting the master complaint, did not participate in opposing the demurrer challenged on appeal, and did not otherwise actively litigate any matter before the trial court.  Of the hundreds of individual plaintiffs who settled with SCE, amici argue that only one settlement (this one) resulted in a stipulated judgment that allows SCE to appeal the trial court’s ruling on demurrer.  The $1.75 million “side bet,” although technically permissible for the reasons explained above, also gives us pause.</w:t>
      </w:r>
    </w:p>
    <w:p w14:paraId="15C7B42A" w14:textId="0058A9E0" w:rsidR="002500D3" w:rsidRPr="00560D41" w:rsidRDefault="002500D3" w:rsidP="002500D3">
      <w:pPr>
        <w:ind w:firstLine="720"/>
        <w:rPr>
          <w:szCs w:val="26"/>
        </w:rPr>
      </w:pPr>
      <w:r>
        <w:t>In addition, SCE seeks to appeal from the overruling of its demurrer even though</w:t>
      </w:r>
      <w:r w:rsidR="00FE58A2">
        <w:t xml:space="preserve"> </w:t>
      </w:r>
      <w:r w:rsidR="00161761">
        <w:t xml:space="preserve">(1) </w:t>
      </w:r>
      <w:r w:rsidR="004B3F66">
        <w:t>“an order overruling a demurrer is not directly appealable” (</w:t>
      </w:r>
      <w:r w:rsidR="0040680E" w:rsidRPr="0040680E">
        <w:rPr>
          <w:i/>
          <w:iCs/>
        </w:rPr>
        <w:t>San Diego Gas &amp; Electric Co. v. Superior Court</w:t>
      </w:r>
      <w:r w:rsidR="0040680E">
        <w:t xml:space="preserve"> (1996) 13 Cal.4th 893, 912)</w:t>
      </w:r>
      <w:r w:rsidR="00714826">
        <w:t>,</w:t>
      </w:r>
      <w:r w:rsidR="001166A6">
        <w:t xml:space="preserve"> </w:t>
      </w:r>
      <w:r w:rsidR="00161761">
        <w:t xml:space="preserve">and (2) </w:t>
      </w:r>
      <w:r>
        <w:t xml:space="preserve">it is not a foregone conclusion that it would be wasteful of trial court or litigants’ time to require SCE to proceed to trial </w:t>
      </w:r>
      <w:r w:rsidR="004A0B0F">
        <w:t xml:space="preserve">because </w:t>
      </w:r>
      <w:r w:rsidR="003607FD">
        <w:t>SCE</w:t>
      </w:r>
      <w:r w:rsidR="004A0B0F">
        <w:t xml:space="preserve"> could very well preva</w:t>
      </w:r>
      <w:r w:rsidR="000C0F5B">
        <w:t>il, obviating the need for an appeal</w:t>
      </w:r>
      <w:r>
        <w:t xml:space="preserve">.  </w:t>
      </w:r>
      <w:r w:rsidRPr="00C57B68">
        <w:t>(</w:t>
      </w:r>
      <w:r>
        <w:t xml:space="preserve">See </w:t>
      </w:r>
      <w:r w:rsidRPr="00913F39">
        <w:rPr>
          <w:i/>
          <w:iCs/>
        </w:rPr>
        <w:t>Building Industry, supra</w:t>
      </w:r>
      <w:r w:rsidRPr="00905E18">
        <w:t xml:space="preserve">, 41 Cal.3d </w:t>
      </w:r>
      <w:r>
        <w:t>a</w:t>
      </w:r>
      <w:r w:rsidRPr="00C57B68">
        <w:t>t p. 817</w:t>
      </w:r>
      <w:r>
        <w:t xml:space="preserve">.)  As the trial court noted, the 2017 CPUC decision could create a factual issue precluding inverse condemnation liability.  SCE also has other defenses on </w:t>
      </w:r>
      <w:r>
        <w:lastRenderedPageBreak/>
        <w:t xml:space="preserve">which it could prevail at trial: </w:t>
      </w:r>
      <w:r w:rsidR="00F22D6B">
        <w:t xml:space="preserve"> </w:t>
      </w:r>
      <w:r w:rsidR="003607FD">
        <w:t>(</w:t>
      </w:r>
      <w:r w:rsidRPr="00FD5863">
        <w:rPr>
          <w:szCs w:val="26"/>
        </w:rPr>
        <w:t xml:space="preserve">1) </w:t>
      </w:r>
      <w:r>
        <w:rPr>
          <w:szCs w:val="26"/>
        </w:rPr>
        <w:t xml:space="preserve">it </w:t>
      </w:r>
      <w:r w:rsidRPr="00FD5863">
        <w:rPr>
          <w:szCs w:val="26"/>
        </w:rPr>
        <w:t>did not substantially cause the alleged damage</w:t>
      </w:r>
      <w:r>
        <w:rPr>
          <w:szCs w:val="26"/>
        </w:rPr>
        <w:t>;</w:t>
      </w:r>
      <w:r w:rsidRPr="00FD5863">
        <w:rPr>
          <w:szCs w:val="26"/>
        </w:rPr>
        <w:t xml:space="preserve"> </w:t>
      </w:r>
      <w:r w:rsidR="003607FD">
        <w:rPr>
          <w:szCs w:val="26"/>
        </w:rPr>
        <w:t>(</w:t>
      </w:r>
      <w:r w:rsidRPr="00FD5863">
        <w:rPr>
          <w:szCs w:val="26"/>
        </w:rPr>
        <w:t xml:space="preserve">2) the damage from the Thomas </w:t>
      </w:r>
      <w:r>
        <w:rPr>
          <w:szCs w:val="26"/>
        </w:rPr>
        <w:t>F</w:t>
      </w:r>
      <w:r w:rsidRPr="00FD5863">
        <w:rPr>
          <w:szCs w:val="26"/>
        </w:rPr>
        <w:t>ire was not caused by an inherent risk presented by the deliberate design, construction, or maintenance of the public improvement</w:t>
      </w:r>
      <w:r>
        <w:rPr>
          <w:szCs w:val="26"/>
        </w:rPr>
        <w:t>; and</w:t>
      </w:r>
      <w:r w:rsidRPr="00FD5863">
        <w:rPr>
          <w:szCs w:val="26"/>
        </w:rPr>
        <w:t xml:space="preserve"> </w:t>
      </w:r>
      <w:r w:rsidR="003607FD">
        <w:rPr>
          <w:szCs w:val="26"/>
        </w:rPr>
        <w:t>(</w:t>
      </w:r>
      <w:r w:rsidRPr="00FD5863">
        <w:rPr>
          <w:szCs w:val="26"/>
        </w:rPr>
        <w:t xml:space="preserve">3) the destruction or damage to Simple Avo’s property was not </w:t>
      </w:r>
      <w:r>
        <w:rPr>
          <w:szCs w:val="26"/>
        </w:rPr>
        <w:t>for</w:t>
      </w:r>
      <w:r w:rsidRPr="00FD5863">
        <w:rPr>
          <w:szCs w:val="26"/>
        </w:rPr>
        <w:t xml:space="preserve"> </w:t>
      </w:r>
      <w:r>
        <w:rPr>
          <w:szCs w:val="26"/>
        </w:rPr>
        <w:t xml:space="preserve">a </w:t>
      </w:r>
      <w:r w:rsidRPr="00FD5863">
        <w:rPr>
          <w:szCs w:val="26"/>
        </w:rPr>
        <w:t>public use</w:t>
      </w:r>
      <w:r>
        <w:rPr>
          <w:szCs w:val="26"/>
        </w:rPr>
        <w:t>.</w:t>
      </w:r>
      <w:r>
        <w:rPr>
          <w:rStyle w:val="FootnoteReference"/>
          <w:szCs w:val="26"/>
        </w:rPr>
        <w:footnoteReference w:id="12"/>
      </w:r>
      <w:r>
        <w:rPr>
          <w:szCs w:val="26"/>
        </w:rPr>
        <w:t xml:space="preserve">  </w:t>
      </w:r>
    </w:p>
    <w:p w14:paraId="29575C37" w14:textId="43F71FDD" w:rsidR="002500D3" w:rsidRDefault="002500D3" w:rsidP="002500D3">
      <w:pPr>
        <w:ind w:firstLine="720"/>
      </w:pPr>
      <w:r>
        <w:t xml:space="preserve">Despite these considerations and the availability of potential </w:t>
      </w:r>
      <w:r w:rsidR="00420023">
        <w:t xml:space="preserve">meritorious </w:t>
      </w:r>
      <w:r>
        <w:t xml:space="preserve">defenses for SCE at trial, </w:t>
      </w:r>
      <w:r w:rsidRPr="0077442E">
        <w:rPr>
          <w:i/>
          <w:iCs/>
        </w:rPr>
        <w:t>Norgart</w:t>
      </w:r>
      <w:r>
        <w:t xml:space="preserve"> compels us to give effect to the </w:t>
      </w:r>
      <w:r w:rsidRPr="00027887">
        <w:t>parties’</w:t>
      </w:r>
      <w:r>
        <w:t xml:space="preserve"> stated</w:t>
      </w:r>
      <w:r w:rsidRPr="00027887">
        <w:t xml:space="preserve"> intent</w:t>
      </w:r>
      <w:r>
        <w:t xml:space="preserve"> to obtain appellate review</w:t>
      </w:r>
      <w:r w:rsidRPr="00027887">
        <w:t>.</w:t>
      </w:r>
      <w:r>
        <w:t xml:space="preserve">  </w:t>
      </w:r>
      <w:r>
        <w:rPr>
          <w:rFonts w:eastAsia="Times New Roman"/>
          <w:color w:val="000000"/>
          <w:szCs w:val="26"/>
        </w:rPr>
        <w:t>(</w:t>
      </w:r>
      <w:r w:rsidR="00626649">
        <w:rPr>
          <w:rFonts w:eastAsia="Times New Roman"/>
          <w:color w:val="000000"/>
          <w:szCs w:val="26"/>
        </w:rPr>
        <w:t xml:space="preserve">See </w:t>
      </w:r>
      <w:r w:rsidRPr="00527214">
        <w:rPr>
          <w:rFonts w:eastAsia="Times New Roman"/>
          <w:i/>
          <w:iCs/>
          <w:color w:val="000000"/>
          <w:szCs w:val="26"/>
        </w:rPr>
        <w:t>Auto Equity Sales, Inc. v. Superior Court</w:t>
      </w:r>
      <w:r w:rsidRPr="007A296F">
        <w:rPr>
          <w:rFonts w:eastAsia="Times New Roman"/>
          <w:color w:val="000000"/>
          <w:szCs w:val="26"/>
        </w:rPr>
        <w:t xml:space="preserve"> (1962) 57</w:t>
      </w:r>
      <w:r w:rsidR="000B6A47">
        <w:rPr>
          <w:rFonts w:eastAsia="Times New Roman"/>
          <w:color w:val="000000"/>
          <w:szCs w:val="26"/>
        </w:rPr>
        <w:t> </w:t>
      </w:r>
      <w:r w:rsidRPr="007A296F">
        <w:rPr>
          <w:rFonts w:eastAsia="Times New Roman"/>
          <w:color w:val="000000"/>
          <w:szCs w:val="26"/>
        </w:rPr>
        <w:t>Cal.2d 450</w:t>
      </w:r>
      <w:r w:rsidR="00984703">
        <w:rPr>
          <w:rFonts w:eastAsia="Times New Roman"/>
          <w:color w:val="000000"/>
          <w:szCs w:val="26"/>
        </w:rPr>
        <w:t>, 455</w:t>
      </w:r>
      <w:r>
        <w:rPr>
          <w:rFonts w:eastAsia="Times New Roman"/>
          <w:color w:val="000000"/>
          <w:szCs w:val="26"/>
        </w:rPr>
        <w:t xml:space="preserve">.)  </w:t>
      </w:r>
      <w:r w:rsidR="0047486B">
        <w:rPr>
          <w:rFonts w:eastAsia="Times New Roman"/>
          <w:color w:val="000000"/>
          <w:szCs w:val="26"/>
        </w:rPr>
        <w:t>We</w:t>
      </w:r>
      <w:r>
        <w:rPr>
          <w:rFonts w:eastAsia="Times New Roman"/>
          <w:color w:val="000000"/>
          <w:szCs w:val="26"/>
        </w:rPr>
        <w:t xml:space="preserve"> do </w:t>
      </w:r>
      <w:r w:rsidR="0047486B">
        <w:rPr>
          <w:rFonts w:eastAsia="Times New Roman"/>
          <w:color w:val="000000"/>
          <w:szCs w:val="26"/>
        </w:rPr>
        <w:t xml:space="preserve">not </w:t>
      </w:r>
      <w:r>
        <w:rPr>
          <w:rFonts w:eastAsia="Times New Roman"/>
          <w:color w:val="000000"/>
          <w:szCs w:val="26"/>
        </w:rPr>
        <w:t>discern</w:t>
      </w:r>
      <w:r w:rsidR="0028776B">
        <w:rPr>
          <w:rFonts w:eastAsia="Times New Roman"/>
          <w:color w:val="000000"/>
          <w:szCs w:val="26"/>
        </w:rPr>
        <w:t xml:space="preserve"> a principled basis or precedent</w:t>
      </w:r>
      <w:r>
        <w:rPr>
          <w:rFonts w:eastAsia="Times New Roman"/>
          <w:color w:val="000000"/>
          <w:szCs w:val="26"/>
        </w:rPr>
        <w:t xml:space="preserve"> to</w:t>
      </w:r>
      <w:r w:rsidR="0069632F">
        <w:rPr>
          <w:rFonts w:eastAsia="Times New Roman"/>
          <w:color w:val="000000"/>
          <w:szCs w:val="26"/>
        </w:rPr>
        <w:t xml:space="preserve"> create a rule</w:t>
      </w:r>
      <w:r>
        <w:rPr>
          <w:rFonts w:eastAsia="Times New Roman"/>
          <w:color w:val="000000"/>
          <w:szCs w:val="26"/>
        </w:rPr>
        <w:t xml:space="preserve"> carv</w:t>
      </w:r>
      <w:r w:rsidR="0069632F">
        <w:rPr>
          <w:rFonts w:eastAsia="Times New Roman"/>
          <w:color w:val="000000"/>
          <w:szCs w:val="26"/>
        </w:rPr>
        <w:t>ing</w:t>
      </w:r>
      <w:r>
        <w:rPr>
          <w:rFonts w:eastAsia="Times New Roman"/>
          <w:color w:val="000000"/>
          <w:szCs w:val="26"/>
        </w:rPr>
        <w:t xml:space="preserve"> out coordinated proceedings from the exception.  </w:t>
      </w:r>
      <w:r>
        <w:rPr>
          <w:i/>
          <w:iCs/>
        </w:rPr>
        <w:t>Connolly</w:t>
      </w:r>
      <w:r>
        <w:t xml:space="preserve">’s application of the exception to a stipulated judgment involving a plaintiff class suggests it is not improper to apply the exception in coordinated proceedings (see </w:t>
      </w:r>
      <w:r w:rsidRPr="001D4349">
        <w:rPr>
          <w:i/>
          <w:iCs/>
        </w:rPr>
        <w:t>Connolly, supra</w:t>
      </w:r>
      <w:r w:rsidRPr="00DE6BC5">
        <w:t>,</w:t>
      </w:r>
      <w:r>
        <w:t xml:space="preserve"> 1 Cal.4th</w:t>
      </w:r>
      <w:r w:rsidRPr="00DE6BC5">
        <w:t xml:space="preserve"> at p. 1111</w:t>
      </w:r>
      <w:r>
        <w:t xml:space="preserve">), and </w:t>
      </w:r>
      <w:r>
        <w:rPr>
          <w:i/>
          <w:iCs/>
        </w:rPr>
        <w:t>Norgart</w:t>
      </w:r>
      <w:r>
        <w:t xml:space="preserve">’s focus on the parties’ intent </w:t>
      </w:r>
      <w:r w:rsidR="00AC395D">
        <w:t>would</w:t>
      </w:r>
      <w:r>
        <w:t xml:space="preserve"> preclude such a rule. </w:t>
      </w:r>
    </w:p>
    <w:p w14:paraId="17798339" w14:textId="3AC67B8A" w:rsidR="002500D3" w:rsidRDefault="002500D3" w:rsidP="002500D3">
      <w:pPr>
        <w:ind w:firstLine="720"/>
      </w:pPr>
      <w:r>
        <w:t xml:space="preserve">In this light, </w:t>
      </w:r>
      <w:r>
        <w:rPr>
          <w:i/>
          <w:iCs/>
        </w:rPr>
        <w:t>Norgart</w:t>
      </w:r>
      <w:r>
        <w:t xml:space="preserve">’s singular focus on the parties’ intent to seek </w:t>
      </w:r>
      <w:r w:rsidR="00AC395D">
        <w:t xml:space="preserve">immediate </w:t>
      </w:r>
      <w:r>
        <w:t xml:space="preserve">appellate review warrants reconsideration </w:t>
      </w:r>
      <w:r w:rsidR="005364A1">
        <w:t xml:space="preserve">or refinement </w:t>
      </w:r>
      <w:r>
        <w:t>of the exception</w:t>
      </w:r>
      <w:r w:rsidR="003E4C80">
        <w:t xml:space="preserve"> authorizing appeals from stipulated judgments</w:t>
      </w:r>
      <w:r>
        <w:t xml:space="preserve"> from the California Supreme Court.  As noted above, </w:t>
      </w:r>
      <w:r>
        <w:rPr>
          <w:rFonts w:eastAsia="Times New Roman"/>
          <w:i/>
          <w:iCs/>
          <w:color w:val="000000"/>
          <w:szCs w:val="26"/>
        </w:rPr>
        <w:t xml:space="preserve">Norgart </w:t>
      </w:r>
      <w:r w:rsidRPr="00E2563C">
        <w:rPr>
          <w:rFonts w:eastAsia="Times New Roman"/>
          <w:color w:val="000000"/>
          <w:szCs w:val="26"/>
        </w:rPr>
        <w:t>dispenses with</w:t>
      </w:r>
      <w:r>
        <w:rPr>
          <w:rFonts w:eastAsia="Times New Roman"/>
          <w:color w:val="000000"/>
          <w:szCs w:val="26"/>
        </w:rPr>
        <w:t xml:space="preserve"> the adverse determination of a critical issue portion of the exception and directs that only the parties’ intent is “essential” to the inquiry.  (</w:t>
      </w:r>
      <w:r>
        <w:rPr>
          <w:rFonts w:eastAsia="Times New Roman"/>
          <w:i/>
          <w:iCs/>
          <w:color w:val="000000"/>
          <w:szCs w:val="26"/>
        </w:rPr>
        <w:t>Norgart, supra,</w:t>
      </w:r>
      <w:r>
        <w:rPr>
          <w:rFonts w:eastAsia="Times New Roman"/>
          <w:color w:val="000000"/>
          <w:szCs w:val="26"/>
        </w:rPr>
        <w:t xml:space="preserve"> 21 Cal.4th</w:t>
      </w:r>
      <w:r>
        <w:rPr>
          <w:rFonts w:eastAsia="Times New Roman"/>
          <w:i/>
          <w:iCs/>
          <w:color w:val="000000"/>
          <w:szCs w:val="26"/>
        </w:rPr>
        <w:t xml:space="preserve"> </w:t>
      </w:r>
      <w:r>
        <w:rPr>
          <w:rFonts w:eastAsia="Times New Roman"/>
          <w:color w:val="000000"/>
          <w:szCs w:val="26"/>
        </w:rPr>
        <w:t xml:space="preserve">at </w:t>
      </w:r>
      <w:r>
        <w:rPr>
          <w:rFonts w:eastAsia="Times New Roman"/>
          <w:color w:val="000000"/>
          <w:szCs w:val="26"/>
        </w:rPr>
        <w:lastRenderedPageBreak/>
        <w:t xml:space="preserve">p. 402.)  </w:t>
      </w:r>
      <w:r>
        <w:t>The requirement that a stipulated judgment must follow from an adverse determination of a critical issue</w:t>
      </w:r>
      <w:r w:rsidR="00D620BC">
        <w:t xml:space="preserve"> </w:t>
      </w:r>
      <w:r w:rsidR="00D620BC" w:rsidRPr="00C57B68">
        <w:t>(</w:t>
      </w:r>
      <w:r w:rsidR="00D620BC">
        <w:t xml:space="preserve">see </w:t>
      </w:r>
      <w:r w:rsidR="00D620BC" w:rsidRPr="00913F39">
        <w:rPr>
          <w:i/>
          <w:iCs/>
        </w:rPr>
        <w:t>Building Industry, supra</w:t>
      </w:r>
      <w:r w:rsidR="00D620BC" w:rsidRPr="00905E18">
        <w:t xml:space="preserve">, 41 Cal.3d </w:t>
      </w:r>
      <w:r w:rsidR="00D620BC">
        <w:t>a</w:t>
      </w:r>
      <w:r w:rsidR="00D620BC" w:rsidRPr="00C57B68">
        <w:t>t p. 817</w:t>
      </w:r>
      <w:r w:rsidR="00D620BC">
        <w:t xml:space="preserve">) </w:t>
      </w:r>
      <w:r w:rsidR="005B01BA">
        <w:t xml:space="preserve">that is outcome determinative </w:t>
      </w:r>
      <w:r w:rsidR="00E53602">
        <w:t>set</w:t>
      </w:r>
      <w:r w:rsidR="00BE0D5F">
        <w:t>s</w:t>
      </w:r>
      <w:r>
        <w:t xml:space="preserve"> a reasonable boundary around the exception. </w:t>
      </w:r>
      <w:r w:rsidR="00D620BC">
        <w:t xml:space="preserve"> </w:t>
      </w:r>
      <w:r w:rsidR="00D27A03">
        <w:t>But</w:t>
      </w:r>
      <w:r w:rsidR="00871156">
        <w:t>,</w:t>
      </w:r>
      <w:r w:rsidR="00D27A03">
        <w:t xml:space="preserve"> even then</w:t>
      </w:r>
      <w:r w:rsidR="00871156">
        <w:t>,</w:t>
      </w:r>
      <w:r w:rsidR="00D27A03">
        <w:t xml:space="preserve"> </w:t>
      </w:r>
      <w:r w:rsidR="00472833">
        <w:t>the meaning of</w:t>
      </w:r>
      <w:r w:rsidR="00D27A03">
        <w:t xml:space="preserve"> “a critical issue”</w:t>
      </w:r>
      <w:r w:rsidR="00472833">
        <w:t xml:space="preserve"> is relative and diffe</w:t>
      </w:r>
      <w:r w:rsidR="00AA7F2E">
        <w:t>r</w:t>
      </w:r>
      <w:r w:rsidR="00472833">
        <w:t xml:space="preserve">s </w:t>
      </w:r>
      <w:r w:rsidR="002C08B9">
        <w:t xml:space="preserve">in any given individual case.  That is why the exception has expanded from summary </w:t>
      </w:r>
      <w:r w:rsidR="00763CAC">
        <w:t xml:space="preserve">judgment motions </w:t>
      </w:r>
      <w:r w:rsidR="00032ACD">
        <w:t xml:space="preserve">to motions in </w:t>
      </w:r>
      <w:proofErr w:type="spellStart"/>
      <w:r w:rsidR="00032ACD">
        <w:t>limine</w:t>
      </w:r>
      <w:proofErr w:type="spellEnd"/>
      <w:r w:rsidR="00032ACD">
        <w:t>, and just about everything in between.</w:t>
      </w:r>
    </w:p>
    <w:p w14:paraId="2BABE1FF" w14:textId="354740B4" w:rsidR="002500D3" w:rsidRDefault="002500D3" w:rsidP="002500D3">
      <w:pPr>
        <w:ind w:firstLine="720"/>
        <w:rPr>
          <w:szCs w:val="26"/>
        </w:rPr>
      </w:pPr>
      <w:r>
        <w:t xml:space="preserve">We agree with </w:t>
      </w:r>
      <w:r w:rsidRPr="00486E38">
        <w:rPr>
          <w:i/>
          <w:iCs/>
          <w:szCs w:val="26"/>
        </w:rPr>
        <w:t>Tudor Ranches</w:t>
      </w:r>
      <w:r>
        <w:rPr>
          <w:szCs w:val="26"/>
        </w:rPr>
        <w:t xml:space="preserve"> that, </w:t>
      </w:r>
      <w:r>
        <w:t>“</w:t>
      </w:r>
      <w:r w:rsidRPr="005B0BE9">
        <w:t xml:space="preserve">without some limitation on the </w:t>
      </w:r>
      <w:r>
        <w:t xml:space="preserve">. . . </w:t>
      </w:r>
      <w:r w:rsidRPr="005B0BE9">
        <w:t xml:space="preserve">exception, a party theoretically could obtain immediate appellate review of any </w:t>
      </w:r>
      <w:r>
        <w:t>. . .</w:t>
      </w:r>
      <w:r w:rsidRPr="005B0BE9">
        <w:t xml:space="preserve"> ruling</w:t>
      </w:r>
      <w:r>
        <w:t xml:space="preserve"> . . .</w:t>
      </w:r>
      <w:r w:rsidRPr="005B0BE9">
        <w:t xml:space="preserve"> provided both parties were willing to stipulate to a judgment finally disposing of all claims</w:t>
      </w:r>
      <w:r>
        <w:t>. . . .</w:t>
      </w:r>
      <w:r w:rsidRPr="005B0BE9">
        <w:t xml:space="preserve"> </w:t>
      </w:r>
      <w:r>
        <w:t xml:space="preserve"> </w:t>
      </w:r>
      <w:r w:rsidRPr="005B0BE9">
        <w:t>Without guidance from precedent, we conclude that, if the .</w:t>
      </w:r>
      <w:r>
        <w:t xml:space="preserve"> . .</w:t>
      </w:r>
      <w:r w:rsidRPr="005B0BE9">
        <w:t xml:space="preserve"> exception is to be thus limited, the limitation should come from the Supreme Court.”</w:t>
      </w:r>
      <w:r>
        <w:t xml:space="preserve">  (</w:t>
      </w:r>
      <w:r w:rsidR="009A08AA">
        <w:rPr>
          <w:i/>
          <w:iCs/>
        </w:rPr>
        <w:t xml:space="preserve">Tudor Ranches, supra, </w:t>
      </w:r>
      <w:r w:rsidRPr="00273ECC">
        <w:rPr>
          <w:szCs w:val="26"/>
        </w:rPr>
        <w:t xml:space="preserve">65 Cal.App.4th </w:t>
      </w:r>
      <w:r>
        <w:rPr>
          <w:szCs w:val="26"/>
        </w:rPr>
        <w:t xml:space="preserve">at p. </w:t>
      </w:r>
      <w:r w:rsidRPr="009E41F5">
        <w:rPr>
          <w:szCs w:val="26"/>
        </w:rPr>
        <w:t>1431.)</w:t>
      </w:r>
      <w:r>
        <w:rPr>
          <w:szCs w:val="26"/>
        </w:rPr>
        <w:t xml:space="preserve">  Under the current state of the law, all a party needs to overcome the rule against the appealability of stipulated judgments or orders is a well-crafted stipulation demonstrating the parties’ intent </w:t>
      </w:r>
      <w:r w:rsidR="00FE42EC">
        <w:rPr>
          <w:szCs w:val="26"/>
        </w:rPr>
        <w:t xml:space="preserve">to </w:t>
      </w:r>
      <w:r>
        <w:rPr>
          <w:szCs w:val="26"/>
        </w:rPr>
        <w:t xml:space="preserve">do </w:t>
      </w:r>
      <w:r w:rsidRPr="009822D6">
        <w:rPr>
          <w:szCs w:val="26"/>
        </w:rPr>
        <w:t>so</w:t>
      </w:r>
      <w:r>
        <w:rPr>
          <w:szCs w:val="26"/>
        </w:rPr>
        <w:t>.  Without any meaningful limitation on the exception, it truly has swallowed the rule.</w:t>
      </w:r>
    </w:p>
    <w:p w14:paraId="5787C13D" w14:textId="0E0D1DA0" w:rsidR="009D167F" w:rsidRDefault="009D167F" w:rsidP="004F0F57">
      <w:pPr>
        <w:ind w:firstLine="720"/>
        <w:rPr>
          <w:rFonts w:eastAsia="Times New Roman"/>
          <w:color w:val="000000"/>
          <w:szCs w:val="26"/>
        </w:rPr>
      </w:pPr>
    </w:p>
    <w:p w14:paraId="28363C26" w14:textId="203909E4" w:rsidR="009D167F" w:rsidRDefault="00370E3C" w:rsidP="00370E3C">
      <w:pPr>
        <w:ind w:left="720" w:hanging="720"/>
        <w:rPr>
          <w:i/>
          <w:iCs/>
        </w:rPr>
      </w:pPr>
      <w:r>
        <w:t xml:space="preserve">B. </w:t>
      </w:r>
      <w:r>
        <w:tab/>
      </w:r>
      <w:r w:rsidR="00994E1F" w:rsidRPr="00370E3C">
        <w:rPr>
          <w:i/>
          <w:iCs/>
        </w:rPr>
        <w:t xml:space="preserve">The </w:t>
      </w:r>
      <w:r w:rsidR="00EA0603" w:rsidRPr="00370E3C">
        <w:rPr>
          <w:i/>
          <w:iCs/>
        </w:rPr>
        <w:t xml:space="preserve">Individual Plaintiffs’ </w:t>
      </w:r>
      <w:r w:rsidR="00994E1F" w:rsidRPr="00370E3C">
        <w:rPr>
          <w:i/>
          <w:iCs/>
        </w:rPr>
        <w:t xml:space="preserve">Master Complaint Adequately Alleged </w:t>
      </w:r>
      <w:r w:rsidR="00BE0C64">
        <w:rPr>
          <w:i/>
          <w:iCs/>
        </w:rPr>
        <w:t>a</w:t>
      </w:r>
      <w:r w:rsidR="00994E1F" w:rsidRPr="00370E3C">
        <w:rPr>
          <w:i/>
          <w:iCs/>
        </w:rPr>
        <w:t xml:space="preserve"> Claim for Inverse Condemnation</w:t>
      </w:r>
      <w:r w:rsidR="00EA0603" w:rsidRPr="00370E3C">
        <w:rPr>
          <w:i/>
          <w:iCs/>
        </w:rPr>
        <w:t xml:space="preserve"> Against SCE</w:t>
      </w:r>
    </w:p>
    <w:p w14:paraId="07233380" w14:textId="3C644EFD" w:rsidR="005D12D0" w:rsidRDefault="0072091C" w:rsidP="00C919D9">
      <w:pPr>
        <w:ind w:firstLine="720"/>
      </w:pPr>
      <w:r>
        <w:t xml:space="preserve">SCE contends </w:t>
      </w:r>
      <w:r w:rsidR="00EA0603">
        <w:t>Simple Avo failed to state a cause of action for inverse condemnation</w:t>
      </w:r>
      <w:r w:rsidR="005761B4">
        <w:t xml:space="preserve">.  </w:t>
      </w:r>
      <w:r w:rsidR="00613892">
        <w:t xml:space="preserve">SCE </w:t>
      </w:r>
      <w:r w:rsidR="00C27AEE">
        <w:t>reiterates</w:t>
      </w:r>
      <w:r w:rsidR="00613892">
        <w:t xml:space="preserve"> many of</w:t>
      </w:r>
      <w:r w:rsidR="00D40CE5">
        <w:t xml:space="preserve"> the</w:t>
      </w:r>
      <w:r w:rsidR="00613892">
        <w:t xml:space="preserve"> arguments</w:t>
      </w:r>
      <w:r w:rsidR="00D40CE5">
        <w:t xml:space="preserve"> it</w:t>
      </w:r>
      <w:r w:rsidR="00613892">
        <w:t xml:space="preserve"> </w:t>
      </w:r>
      <w:r w:rsidR="00D40CE5">
        <w:t>raised</w:t>
      </w:r>
      <w:r w:rsidR="00DE2B94">
        <w:t xml:space="preserve"> in</w:t>
      </w:r>
      <w:r w:rsidR="00613892">
        <w:t xml:space="preserve"> </w:t>
      </w:r>
      <w:r w:rsidR="00C32F44">
        <w:rPr>
          <w:i/>
          <w:iCs/>
        </w:rPr>
        <w:t xml:space="preserve">Barham </w:t>
      </w:r>
      <w:r w:rsidR="00C32F44">
        <w:t xml:space="preserve">and </w:t>
      </w:r>
      <w:r w:rsidR="00C32F44">
        <w:rPr>
          <w:i/>
          <w:iCs/>
        </w:rPr>
        <w:t>Pacific Bell</w:t>
      </w:r>
      <w:r w:rsidR="000F00F6">
        <w:rPr>
          <w:i/>
          <w:iCs/>
        </w:rPr>
        <w:t xml:space="preserve"> </w:t>
      </w:r>
      <w:r w:rsidR="000F00F6">
        <w:t xml:space="preserve">that </w:t>
      </w:r>
      <w:r w:rsidR="00C27AEE">
        <w:t>those courts</w:t>
      </w:r>
      <w:r w:rsidR="00E27B8B">
        <w:t xml:space="preserve"> </w:t>
      </w:r>
      <w:r w:rsidR="000F00F6">
        <w:t>rejected</w:t>
      </w:r>
      <w:r w:rsidR="008F2AFF">
        <w:rPr>
          <w:i/>
          <w:iCs/>
        </w:rPr>
        <w:t>.</w:t>
      </w:r>
      <w:r w:rsidR="00DE2B94">
        <w:t xml:space="preserve"> </w:t>
      </w:r>
      <w:r w:rsidR="008F2AFF">
        <w:t xml:space="preserve"> </w:t>
      </w:r>
      <w:r w:rsidR="00927B18">
        <w:t>In all events, w</w:t>
      </w:r>
      <w:r w:rsidR="001249C6">
        <w:t xml:space="preserve">e </w:t>
      </w:r>
      <w:r w:rsidR="00661545">
        <w:t>examine</w:t>
      </w:r>
      <w:r w:rsidR="001249C6">
        <w:t xml:space="preserve"> SCE’s arguments </w:t>
      </w:r>
      <w:r w:rsidR="00A9485D">
        <w:t xml:space="preserve">in the context of the case before us </w:t>
      </w:r>
      <w:r w:rsidR="00661545">
        <w:t>but</w:t>
      </w:r>
      <w:r w:rsidR="001249C6">
        <w:t xml:space="preserve"> </w:t>
      </w:r>
      <w:r w:rsidR="00954104">
        <w:t>decline</w:t>
      </w:r>
      <w:r w:rsidR="001249C6">
        <w:t xml:space="preserve"> to depart from the well-reasoned and long-standing holdings of </w:t>
      </w:r>
      <w:r w:rsidR="001249C6">
        <w:rPr>
          <w:i/>
          <w:iCs/>
        </w:rPr>
        <w:t xml:space="preserve">Barham </w:t>
      </w:r>
      <w:r w:rsidR="001249C6">
        <w:t xml:space="preserve">and </w:t>
      </w:r>
      <w:r w:rsidR="001249C6">
        <w:rPr>
          <w:i/>
          <w:iCs/>
        </w:rPr>
        <w:t>Pacific Bell</w:t>
      </w:r>
      <w:r w:rsidR="001249C6">
        <w:t xml:space="preserve">. </w:t>
      </w:r>
      <w:r w:rsidR="00E27B8B">
        <w:t xml:space="preserve"> </w:t>
      </w:r>
      <w:r w:rsidR="0061738F">
        <w:t xml:space="preserve">Further, </w:t>
      </w:r>
      <w:r w:rsidR="00222E1D">
        <w:t xml:space="preserve">we </w:t>
      </w:r>
      <w:r w:rsidR="0061738F">
        <w:lastRenderedPageBreak/>
        <w:t xml:space="preserve">are not </w:t>
      </w:r>
      <w:r w:rsidR="00222E1D">
        <w:t>persuaded</w:t>
      </w:r>
      <w:r w:rsidR="00773BF4">
        <w:t xml:space="preserve"> </w:t>
      </w:r>
      <w:r w:rsidR="0061738F">
        <w:t xml:space="preserve">that </w:t>
      </w:r>
      <w:r w:rsidR="00773BF4">
        <w:t xml:space="preserve">Simple Avo </w:t>
      </w:r>
      <w:r w:rsidR="006574BB">
        <w:t xml:space="preserve">did not </w:t>
      </w:r>
      <w:r w:rsidR="00773BF4">
        <w:t>allege t</w:t>
      </w:r>
      <w:r w:rsidR="00773BF4" w:rsidRPr="00631E6D">
        <w:t xml:space="preserve">he </w:t>
      </w:r>
      <w:r w:rsidR="00773BF4">
        <w:t>Thomas Fire</w:t>
      </w:r>
      <w:r w:rsidR="006574BB">
        <w:t xml:space="preserve"> w</w:t>
      </w:r>
      <w:r w:rsidR="00773BF4">
        <w:t xml:space="preserve">as </w:t>
      </w:r>
      <w:r w:rsidR="006574BB">
        <w:t>s</w:t>
      </w:r>
      <w:r w:rsidR="00773BF4" w:rsidRPr="00631E6D">
        <w:t xml:space="preserve">ubstantially </w:t>
      </w:r>
      <w:r w:rsidR="006574BB">
        <w:t>c</w:t>
      </w:r>
      <w:r w:rsidR="00773BF4" w:rsidRPr="00631E6D">
        <w:t xml:space="preserve">aused </w:t>
      </w:r>
      <w:r w:rsidR="006574BB">
        <w:t>b</w:t>
      </w:r>
      <w:r w:rsidR="00773BF4">
        <w:t>y</w:t>
      </w:r>
      <w:r w:rsidR="00773BF4" w:rsidRPr="00631E6D">
        <w:t xml:space="preserve"> an </w:t>
      </w:r>
      <w:r w:rsidR="006574BB">
        <w:t>i</w:t>
      </w:r>
      <w:r w:rsidR="00773BF4" w:rsidRPr="00631E6D">
        <w:t xml:space="preserve">nherent </w:t>
      </w:r>
      <w:r w:rsidR="006574BB">
        <w:t>r</w:t>
      </w:r>
      <w:r w:rsidR="00773BF4" w:rsidRPr="00631E6D">
        <w:t xml:space="preserve">isk </w:t>
      </w:r>
      <w:r w:rsidR="006574BB">
        <w:t>p</w:t>
      </w:r>
      <w:r w:rsidR="00773BF4" w:rsidRPr="00631E6D">
        <w:t xml:space="preserve">resented </w:t>
      </w:r>
      <w:r w:rsidR="006574BB">
        <w:t>b</w:t>
      </w:r>
      <w:r w:rsidR="00773BF4" w:rsidRPr="00631E6D">
        <w:t xml:space="preserve">y </w:t>
      </w:r>
      <w:r w:rsidR="00773BF4">
        <w:t>t</w:t>
      </w:r>
      <w:r w:rsidR="00773BF4" w:rsidRPr="00631E6D">
        <w:t xml:space="preserve">he </w:t>
      </w:r>
      <w:r w:rsidR="006574BB">
        <w:t>d</w:t>
      </w:r>
      <w:r w:rsidR="00773BF4" w:rsidRPr="00631E6D">
        <w:t xml:space="preserve">eliberate </w:t>
      </w:r>
      <w:r w:rsidR="006574BB">
        <w:t>d</w:t>
      </w:r>
      <w:r w:rsidR="00773BF4" w:rsidRPr="00631E6D">
        <w:t xml:space="preserve">esign, </w:t>
      </w:r>
      <w:r w:rsidR="006574BB">
        <w:t>c</w:t>
      </w:r>
      <w:r w:rsidR="00773BF4" w:rsidRPr="00631E6D">
        <w:t xml:space="preserve">onstruction, or </w:t>
      </w:r>
      <w:r w:rsidR="006574BB">
        <w:t>m</w:t>
      </w:r>
      <w:r w:rsidR="00773BF4" w:rsidRPr="00631E6D">
        <w:t xml:space="preserve">aintenance of the </w:t>
      </w:r>
      <w:r w:rsidR="006574BB">
        <w:t>p</w:t>
      </w:r>
      <w:r w:rsidR="00773BF4" w:rsidRPr="00631E6D">
        <w:t xml:space="preserve">ublic </w:t>
      </w:r>
      <w:r w:rsidR="006574BB">
        <w:t>i</w:t>
      </w:r>
      <w:r w:rsidR="00773BF4" w:rsidRPr="00631E6D">
        <w:t>mprovement</w:t>
      </w:r>
      <w:r w:rsidR="00AF2D99">
        <w:t xml:space="preserve"> as required by </w:t>
      </w:r>
      <w:r w:rsidR="00AF2D99">
        <w:rPr>
          <w:i/>
          <w:iCs/>
        </w:rPr>
        <w:t>Oroville</w:t>
      </w:r>
      <w:r w:rsidR="003853FC">
        <w:t>.</w:t>
      </w:r>
    </w:p>
    <w:p w14:paraId="54FD466F" w14:textId="77777777" w:rsidR="00370E3C" w:rsidRDefault="00370E3C" w:rsidP="00C919D9">
      <w:pPr>
        <w:ind w:firstLine="720"/>
      </w:pPr>
    </w:p>
    <w:p w14:paraId="3BE0244D" w14:textId="0DED3F3B" w:rsidR="006A13AC" w:rsidRDefault="008273E6" w:rsidP="00455C17">
      <w:pPr>
        <w:widowControl w:val="0"/>
        <w:ind w:firstLine="720"/>
      </w:pPr>
      <w:r>
        <w:t>1.</w:t>
      </w:r>
      <w:r>
        <w:tab/>
      </w:r>
      <w:r w:rsidR="006A13AC" w:rsidRPr="00871156">
        <w:rPr>
          <w:i/>
          <w:iCs/>
        </w:rPr>
        <w:t xml:space="preserve">Standard of </w:t>
      </w:r>
      <w:r w:rsidR="000B6A47" w:rsidRPr="00871156">
        <w:rPr>
          <w:i/>
          <w:iCs/>
        </w:rPr>
        <w:t>r</w:t>
      </w:r>
      <w:r w:rsidR="006A13AC" w:rsidRPr="00871156">
        <w:rPr>
          <w:i/>
          <w:iCs/>
        </w:rPr>
        <w:t>eview</w:t>
      </w:r>
      <w:r w:rsidR="00E63A1D" w:rsidRPr="00871156">
        <w:rPr>
          <w:i/>
          <w:iCs/>
        </w:rPr>
        <w:t xml:space="preserve"> </w:t>
      </w:r>
    </w:p>
    <w:p w14:paraId="320E9C21" w14:textId="0CB4B6D8" w:rsidR="006729B7" w:rsidRDefault="00DA42D7" w:rsidP="00455C17">
      <w:pPr>
        <w:widowControl w:val="0"/>
        <w:ind w:firstLine="720"/>
      </w:pPr>
      <w:r>
        <w:t>“</w:t>
      </w:r>
      <w:r w:rsidR="003C5CD0">
        <w:t xml:space="preserve">The standard of review for an order overruling a demurrer is de novo. </w:t>
      </w:r>
      <w:r w:rsidR="00270586">
        <w:t xml:space="preserve"> </w:t>
      </w:r>
      <w:r w:rsidR="003C5CD0">
        <w:t xml:space="preserve">The reviewing court accepts as true all facts properly pleaded in the complaint </w:t>
      </w:r>
      <w:proofErr w:type="gramStart"/>
      <w:r w:rsidR="003C5CD0">
        <w:t>in order to</w:t>
      </w:r>
      <w:proofErr w:type="gramEnd"/>
      <w:r w:rsidR="003C5CD0">
        <w:t xml:space="preserve"> determine whether the demurrer should be overruled. </w:t>
      </w:r>
      <w:r w:rsidR="00270586">
        <w:t xml:space="preserve"> </w:t>
      </w:r>
      <w:r>
        <w:t xml:space="preserve">[Citation.]  </w:t>
      </w:r>
      <w:r w:rsidR="003C5CD0">
        <w:t xml:space="preserve">A general demurrer will lie where the complaint </w:t>
      </w:r>
      <w:r>
        <w:t>‘</w:t>
      </w:r>
      <w:r w:rsidR="003C5CD0">
        <w:t xml:space="preserve">has included allegations that </w:t>
      </w:r>
      <w:r w:rsidR="003C5CD0" w:rsidRPr="00994CE2">
        <w:rPr>
          <w:i/>
          <w:iCs/>
        </w:rPr>
        <w:t>clearly</w:t>
      </w:r>
      <w:r w:rsidR="003C5CD0">
        <w:t xml:space="preserve"> disclose some defense or bar to recovery.</w:t>
      </w:r>
      <w:r>
        <w:t>’”  (</w:t>
      </w:r>
      <w:proofErr w:type="spellStart"/>
      <w:r w:rsidR="003C5CD0" w:rsidRPr="00DA42D7">
        <w:rPr>
          <w:i/>
          <w:iCs/>
        </w:rPr>
        <w:t>Casterson</w:t>
      </w:r>
      <w:proofErr w:type="spellEnd"/>
      <w:r w:rsidR="003C5CD0" w:rsidRPr="00DA42D7">
        <w:rPr>
          <w:i/>
          <w:iCs/>
        </w:rPr>
        <w:t xml:space="preserve"> v. Superior </w:t>
      </w:r>
      <w:r w:rsidR="00FE42EC">
        <w:rPr>
          <w:i/>
          <w:iCs/>
        </w:rPr>
        <w:t>Court</w:t>
      </w:r>
      <w:r>
        <w:t xml:space="preserve"> (2002)</w:t>
      </w:r>
      <w:r w:rsidR="003C5CD0">
        <w:t xml:space="preserve"> 101 Cal.App.4th 177, 182</w:t>
      </w:r>
      <w:r w:rsidR="00FE42EC">
        <w:t>-</w:t>
      </w:r>
      <w:r>
        <w:t>1</w:t>
      </w:r>
      <w:r w:rsidR="003C5CD0">
        <w:t>83</w:t>
      </w:r>
      <w:r w:rsidR="001C62F0">
        <w:t>; accord</w:t>
      </w:r>
      <w:r w:rsidR="00FE42EC">
        <w:t>,</w:t>
      </w:r>
      <w:r w:rsidR="001C62F0">
        <w:t xml:space="preserve"> </w:t>
      </w:r>
      <w:r w:rsidR="001C62F0" w:rsidRPr="001C62F0">
        <w:rPr>
          <w:i/>
          <w:iCs/>
        </w:rPr>
        <w:t>Mt. Hawley Ins. Co. v. Lopez</w:t>
      </w:r>
      <w:r w:rsidR="001C62F0" w:rsidRPr="001C62F0">
        <w:t xml:space="preserve"> (2013) 215 Cal.App.4th 1385, 1394</w:t>
      </w:r>
      <w:r>
        <w:t>.</w:t>
      </w:r>
      <w:r w:rsidR="003C5CD0">
        <w:t>)</w:t>
      </w:r>
      <w:r w:rsidR="00E63A1D">
        <w:t xml:space="preserve">  </w:t>
      </w:r>
      <w:r w:rsidR="00BC7EA5" w:rsidRPr="00C0020B">
        <w:t xml:space="preserve">A demurrer can be used only to challenge defects that appear on the face of the </w:t>
      </w:r>
      <w:r w:rsidR="00BC7EA5">
        <w:t>complaint</w:t>
      </w:r>
      <w:r w:rsidR="00BC7EA5" w:rsidRPr="00C0020B">
        <w:t xml:space="preserve"> or from matters outside the pleading that are judicially noticeable. </w:t>
      </w:r>
      <w:r w:rsidR="00796EBB">
        <w:t xml:space="preserve"> </w:t>
      </w:r>
      <w:r w:rsidR="00BC7EA5">
        <w:t>(</w:t>
      </w:r>
      <w:r w:rsidR="00BC7EA5" w:rsidRPr="00C0020B">
        <w:rPr>
          <w:i/>
          <w:iCs/>
        </w:rPr>
        <w:t>Blank v. Kirwan</w:t>
      </w:r>
      <w:r w:rsidR="00BC7EA5" w:rsidRPr="00C0020B">
        <w:t xml:space="preserve"> (1985) 39 C</w:t>
      </w:r>
      <w:r w:rsidR="00AB5159">
        <w:t>al.</w:t>
      </w:r>
      <w:r w:rsidR="00BC7EA5" w:rsidRPr="00C0020B">
        <w:t xml:space="preserve">3d 311, 318; </w:t>
      </w:r>
      <w:r w:rsidR="00BC7EA5" w:rsidRPr="00C0020B">
        <w:rPr>
          <w:i/>
          <w:iCs/>
        </w:rPr>
        <w:t>Donabedian v. Mercury Ins. Co</w:t>
      </w:r>
      <w:r w:rsidR="00BC7EA5" w:rsidRPr="00C0020B">
        <w:t>. (2004) 116 C</w:t>
      </w:r>
      <w:r w:rsidR="009D2249">
        <w:t>al.</w:t>
      </w:r>
      <w:r w:rsidR="00BC7EA5" w:rsidRPr="00C0020B">
        <w:t>A</w:t>
      </w:r>
      <w:r w:rsidR="009D2249">
        <w:t>pp.</w:t>
      </w:r>
      <w:r w:rsidR="00BC7EA5" w:rsidRPr="00C0020B">
        <w:t>4th 968, 994</w:t>
      </w:r>
      <w:r w:rsidR="00BC7EA5">
        <w:t xml:space="preserve">.)  </w:t>
      </w:r>
      <w:r w:rsidR="00BC7EA5" w:rsidRPr="004A70E6">
        <w:t>“To survive a demurrer, the complaint need only allege facts sufficient to state a cause of action</w:t>
      </w:r>
      <w:r w:rsidR="0038494E">
        <w:t xml:space="preserve">.”  </w:t>
      </w:r>
      <w:r w:rsidR="007F39B7">
        <w:t>(</w:t>
      </w:r>
      <w:r w:rsidR="00BC7EA5" w:rsidRPr="007F39B7">
        <w:rPr>
          <w:i/>
          <w:iCs/>
        </w:rPr>
        <w:t>C.A. v. William S. Hart Union High School Dist.</w:t>
      </w:r>
      <w:r w:rsidR="00BC7EA5" w:rsidRPr="004A70E6">
        <w:t xml:space="preserve"> (2012) 53 C</w:t>
      </w:r>
      <w:r w:rsidR="007F39B7">
        <w:t>al.</w:t>
      </w:r>
      <w:r w:rsidR="00BC7EA5" w:rsidRPr="004A70E6">
        <w:t>4th 861, 872</w:t>
      </w:r>
      <w:r w:rsidR="009D12BC">
        <w:t>.)</w:t>
      </w:r>
      <w:r w:rsidR="00BC7EA5" w:rsidRPr="00186F4D">
        <w:t xml:space="preserve"> </w:t>
      </w:r>
      <w:r w:rsidR="007A01E3">
        <w:t xml:space="preserve"> </w:t>
      </w:r>
      <w:r w:rsidR="009D12BC">
        <w:t>T</w:t>
      </w:r>
      <w:r w:rsidR="00BC7EA5" w:rsidRPr="00186F4D">
        <w:t>he demurrer admits the truth of all material facts properly pleaded</w:t>
      </w:r>
      <w:r w:rsidR="009D12BC">
        <w:t xml:space="preserve">, including </w:t>
      </w:r>
      <w:r w:rsidR="00BC7EA5" w:rsidRPr="00186F4D">
        <w:t xml:space="preserve">all ultimate facts alleged, but not contentions, deductions or conclusions of fact or law. </w:t>
      </w:r>
      <w:r w:rsidR="007A01E3">
        <w:t xml:space="preserve"> </w:t>
      </w:r>
      <w:r w:rsidR="009D12BC">
        <w:t>(</w:t>
      </w:r>
      <w:r w:rsidR="00FE42EC">
        <w:t xml:space="preserve">See </w:t>
      </w:r>
      <w:r w:rsidR="00BC7EA5" w:rsidRPr="00FE42EC">
        <w:rPr>
          <w:i/>
          <w:iCs/>
        </w:rPr>
        <w:t>290</w:t>
      </w:r>
      <w:r w:rsidR="00BC7EA5" w:rsidRPr="003222C7">
        <w:rPr>
          <w:i/>
          <w:iCs/>
        </w:rPr>
        <w:t xml:space="preserve"> Division (EAT), LLC v. City </w:t>
      </w:r>
      <w:r w:rsidR="00FE42EC">
        <w:rPr>
          <w:i/>
          <w:iCs/>
        </w:rPr>
        <w:t>and</w:t>
      </w:r>
      <w:r w:rsidR="00BC7EA5" w:rsidRPr="003222C7">
        <w:rPr>
          <w:i/>
          <w:iCs/>
        </w:rPr>
        <w:t xml:space="preserve"> County of San Francisco</w:t>
      </w:r>
      <w:r w:rsidR="00BC7EA5" w:rsidRPr="00186F4D">
        <w:t xml:space="preserve"> (2022) 86 C</w:t>
      </w:r>
      <w:r w:rsidR="003222C7">
        <w:t>al.</w:t>
      </w:r>
      <w:r w:rsidR="00BC7EA5" w:rsidRPr="00186F4D">
        <w:t>A</w:t>
      </w:r>
      <w:r w:rsidR="003222C7">
        <w:t>pp.</w:t>
      </w:r>
      <w:r w:rsidR="00BC7EA5" w:rsidRPr="00186F4D">
        <w:t>5th 439, 452</w:t>
      </w:r>
      <w:r w:rsidR="003222C7">
        <w:t>.)</w:t>
      </w:r>
    </w:p>
    <w:p w14:paraId="3E05086E" w14:textId="77777777" w:rsidR="005D7D58" w:rsidRDefault="005D7D58" w:rsidP="00DA42D7">
      <w:pPr>
        <w:ind w:firstLine="720"/>
      </w:pPr>
    </w:p>
    <w:p w14:paraId="2851BCB8" w14:textId="7CE40426" w:rsidR="005D7D58" w:rsidRDefault="005D7D58" w:rsidP="005D7D58">
      <w:pPr>
        <w:ind w:firstLine="720"/>
      </w:pPr>
      <w:r>
        <w:t>2.</w:t>
      </w:r>
      <w:r>
        <w:tab/>
      </w:r>
      <w:r w:rsidRPr="00871156">
        <w:rPr>
          <w:i/>
          <w:iCs/>
        </w:rPr>
        <w:t xml:space="preserve">Principles of </w:t>
      </w:r>
      <w:r w:rsidR="000B6A47" w:rsidRPr="00871156">
        <w:rPr>
          <w:i/>
          <w:iCs/>
        </w:rPr>
        <w:t>i</w:t>
      </w:r>
      <w:r w:rsidRPr="00871156">
        <w:rPr>
          <w:i/>
          <w:iCs/>
        </w:rPr>
        <w:t xml:space="preserve">nverse </w:t>
      </w:r>
      <w:r w:rsidR="000B6A47" w:rsidRPr="00871156">
        <w:rPr>
          <w:i/>
          <w:iCs/>
        </w:rPr>
        <w:t>c</w:t>
      </w:r>
      <w:r w:rsidRPr="00871156">
        <w:rPr>
          <w:i/>
          <w:iCs/>
        </w:rPr>
        <w:t>ondemnation</w:t>
      </w:r>
    </w:p>
    <w:p w14:paraId="298C0F49" w14:textId="56A38FA0" w:rsidR="00617EF7" w:rsidRDefault="009778D2" w:rsidP="002E5833">
      <w:pPr>
        <w:ind w:firstLine="720"/>
      </w:pPr>
      <w:r>
        <w:t xml:space="preserve">The California Supreme Court recently examined the principles underlying an inverse condemnation claim in </w:t>
      </w:r>
      <w:r w:rsidR="008D2094">
        <w:rPr>
          <w:i/>
          <w:iCs/>
        </w:rPr>
        <w:t xml:space="preserve">Oroville.  </w:t>
      </w:r>
      <w:r w:rsidR="00D10879">
        <w:lastRenderedPageBreak/>
        <w:t>“Under article I, section 19 of the California Constitution</w:t>
      </w:r>
      <w:r w:rsidR="00FE42EC">
        <w:t> . . .</w:t>
      </w:r>
      <w:r w:rsidR="00D10879">
        <w:t xml:space="preserve"> a public entity must pay the owner just compensation when it takes or damages private property for public use.</w:t>
      </w:r>
      <w:r w:rsidR="00160668">
        <w:t>”</w:t>
      </w:r>
      <w:r w:rsidR="00D10879">
        <w:t xml:space="preserve">  (</w:t>
      </w:r>
      <w:r w:rsidR="00D10879" w:rsidRPr="00D10879">
        <w:rPr>
          <w:i/>
          <w:iCs/>
        </w:rPr>
        <w:t>Oroville</w:t>
      </w:r>
      <w:r w:rsidR="00E0644E">
        <w:rPr>
          <w:i/>
          <w:iCs/>
        </w:rPr>
        <w:t>, supra,</w:t>
      </w:r>
      <w:r w:rsidR="00D10879">
        <w:t xml:space="preserve"> 7 Cal.5th </w:t>
      </w:r>
      <w:r w:rsidR="00E0644E">
        <w:t xml:space="preserve">at p. </w:t>
      </w:r>
      <w:r w:rsidR="00D10879">
        <w:t>1102</w:t>
      </w:r>
      <w:r w:rsidR="00116BE5">
        <w:t xml:space="preserve">; </w:t>
      </w:r>
      <w:r w:rsidR="00160668">
        <w:t xml:space="preserve">see </w:t>
      </w:r>
      <w:r w:rsidR="00FD4479">
        <w:t>Cal. Const.</w:t>
      </w:r>
      <w:r w:rsidR="00FE42EC">
        <w:t>,</w:t>
      </w:r>
      <w:r w:rsidR="00FD4479">
        <w:t xml:space="preserve"> </w:t>
      </w:r>
      <w:r w:rsidR="00FE42EC">
        <w:t>a</w:t>
      </w:r>
      <w:r w:rsidR="00116BE5">
        <w:t>rt. I, § 19, subd. (a) [</w:t>
      </w:r>
      <w:r w:rsidR="00FD4479">
        <w:t>“</w:t>
      </w:r>
      <w:r w:rsidR="00116BE5">
        <w:t>Private property may be taken or damaged for a public use and only when just compensation</w:t>
      </w:r>
      <w:r w:rsidR="00FE42EC">
        <w:t> </w:t>
      </w:r>
      <w:r w:rsidR="00116BE5">
        <w:t>.</w:t>
      </w:r>
      <w:r w:rsidR="00FE42EC">
        <w:t> </w:t>
      </w:r>
      <w:r w:rsidR="00116BE5">
        <w:t>.</w:t>
      </w:r>
      <w:r w:rsidR="00FE42EC">
        <w:t> </w:t>
      </w:r>
      <w:r w:rsidR="00116BE5">
        <w:t>. has first been paid to</w:t>
      </w:r>
      <w:r w:rsidR="00FE42EC">
        <w:t> </w:t>
      </w:r>
      <w:r w:rsidR="00116BE5">
        <w:t>.</w:t>
      </w:r>
      <w:r w:rsidR="00FE42EC">
        <w:t> </w:t>
      </w:r>
      <w:r w:rsidR="00116BE5">
        <w:t>.</w:t>
      </w:r>
      <w:r w:rsidR="00FE42EC">
        <w:t> </w:t>
      </w:r>
      <w:r w:rsidR="00116BE5">
        <w:t>. the owner</w:t>
      </w:r>
      <w:r w:rsidR="00FD4479">
        <w:t>”</w:t>
      </w:r>
      <w:r w:rsidR="00116BE5">
        <w:t>]</w:t>
      </w:r>
      <w:r w:rsidR="00D10879">
        <w:t>.)</w:t>
      </w:r>
      <w:r w:rsidR="003E08D3">
        <w:t xml:space="preserve">  </w:t>
      </w:r>
      <w:r w:rsidR="002A1D57">
        <w:t xml:space="preserve">This constitutional provision forms </w:t>
      </w:r>
      <w:r w:rsidR="003E08D3">
        <w:t>“</w:t>
      </w:r>
      <w:r w:rsidR="003E08D3" w:rsidRPr="003E08D3">
        <w:t xml:space="preserve">the basis for two kinds of actions: </w:t>
      </w:r>
      <w:r w:rsidR="000A59FD">
        <w:t xml:space="preserve"> </w:t>
      </w:r>
      <w:r w:rsidR="003E08D3" w:rsidRPr="003E08D3">
        <w:t>a conventional eminent domain proceeding, instituted by a public entity to acquire private property for public use; and an inverse condemnation action, initiated by a private property owner seeking compensation for a taking or damage to his or her property.</w:t>
      </w:r>
      <w:r w:rsidR="005C7AA3">
        <w:t xml:space="preserve">” </w:t>
      </w:r>
      <w:r w:rsidR="00F22D6B">
        <w:t xml:space="preserve"> </w:t>
      </w:r>
      <w:r w:rsidR="005C7AA3">
        <w:t>(</w:t>
      </w:r>
      <w:r w:rsidR="00FE42EC">
        <w:rPr>
          <w:i/>
          <w:iCs/>
        </w:rPr>
        <w:t xml:space="preserve">Oroville, </w:t>
      </w:r>
      <w:r w:rsidR="005C7AA3">
        <w:t xml:space="preserve">at p. </w:t>
      </w:r>
      <w:r w:rsidR="00266851">
        <w:t>110</w:t>
      </w:r>
      <w:r w:rsidR="00FE42EC">
        <w:t>2</w:t>
      </w:r>
      <w:r w:rsidR="00266851">
        <w:t>.)</w:t>
      </w:r>
      <w:r w:rsidR="005D4F3E">
        <w:t xml:space="preserve"> </w:t>
      </w:r>
    </w:p>
    <w:p w14:paraId="559603CA" w14:textId="3C7E9424" w:rsidR="002E5833" w:rsidRPr="00531948" w:rsidRDefault="00703599" w:rsidP="002E5833">
      <w:pPr>
        <w:ind w:firstLine="720"/>
      </w:pPr>
      <w:r>
        <w:t xml:space="preserve">The high court </w:t>
      </w:r>
      <w:r w:rsidR="002E5833">
        <w:t xml:space="preserve">identified </w:t>
      </w:r>
      <w:r w:rsidR="00255251">
        <w:t>two</w:t>
      </w:r>
      <w:r w:rsidR="002E5833">
        <w:t xml:space="preserve"> </w:t>
      </w:r>
      <w:r w:rsidR="00255251">
        <w:t xml:space="preserve">competing </w:t>
      </w:r>
      <w:r w:rsidR="002E5833">
        <w:t>concerns</w:t>
      </w:r>
      <w:r w:rsidR="00F4646E">
        <w:t xml:space="preserve"> </w:t>
      </w:r>
      <w:r w:rsidR="00763D04">
        <w:t>when</w:t>
      </w:r>
      <w:r w:rsidR="00F4646E">
        <w:t xml:space="preserve"> setting the </w:t>
      </w:r>
      <w:r w:rsidR="00B83DBC">
        <w:t>contours of</w:t>
      </w:r>
      <w:r w:rsidR="00F4646E">
        <w:t xml:space="preserve"> inverse condemnation</w:t>
      </w:r>
      <w:r w:rsidR="00B83DBC">
        <w:t xml:space="preserve"> claims</w:t>
      </w:r>
      <w:r w:rsidR="00255251">
        <w:t>:</w:t>
      </w:r>
      <w:r w:rsidR="002E5833">
        <w:t xml:space="preserve"> </w:t>
      </w:r>
      <w:r w:rsidR="00B83DBC">
        <w:t xml:space="preserve"> </w:t>
      </w:r>
      <w:r w:rsidR="00255251">
        <w:t>“</w:t>
      </w:r>
      <w:r w:rsidR="002E5833">
        <w:t>One is to pool the burden to the individual property owner and distribute throughout the community the losses resulting from the public improvement.</w:t>
      </w:r>
      <w:r w:rsidR="00FE42EC">
        <w:t xml:space="preserve"> </w:t>
      </w:r>
      <w:r w:rsidR="002E5833">
        <w:t xml:space="preserve"> </w:t>
      </w:r>
      <w:r w:rsidR="00255251">
        <w:t>[Citations.</w:t>
      </w:r>
      <w:r w:rsidR="00531948">
        <w:t>]</w:t>
      </w:r>
      <w:r w:rsidR="002E5833">
        <w:t xml:space="preserve"> </w:t>
      </w:r>
      <w:r w:rsidR="00FE42EC">
        <w:t xml:space="preserve"> </w:t>
      </w:r>
      <w:r w:rsidR="002E5833">
        <w:t xml:space="preserve">Another is to mitigate concerns that </w:t>
      </w:r>
      <w:r w:rsidR="00531948">
        <w:t>‘</w:t>
      </w:r>
      <w:r w:rsidR="002E5833">
        <w:t>compensation allowed too liberally will seriously impede, if not stop, beneficial public improvements because of the greatly increased cost.</w:t>
      </w:r>
      <w:r w:rsidR="00531948">
        <w:t>’</w:t>
      </w:r>
      <w:r w:rsidR="002E5833">
        <w:t>”</w:t>
      </w:r>
      <w:r w:rsidR="00531948">
        <w:t xml:space="preserve"> </w:t>
      </w:r>
      <w:r w:rsidR="00815C71">
        <w:t xml:space="preserve"> </w:t>
      </w:r>
      <w:r w:rsidR="00531948">
        <w:t>(</w:t>
      </w:r>
      <w:r w:rsidR="00FE42EC">
        <w:rPr>
          <w:i/>
          <w:iCs/>
        </w:rPr>
        <w:t xml:space="preserve">Oroville, supra, </w:t>
      </w:r>
      <w:r w:rsidR="00FE42EC">
        <w:t xml:space="preserve">7 Cal.5th at </w:t>
      </w:r>
      <w:r w:rsidR="00AB58EA">
        <w:t>p</w:t>
      </w:r>
      <w:r w:rsidR="00FE42EC">
        <w:t>p. 1103</w:t>
      </w:r>
      <w:r w:rsidR="00C36AB6">
        <w:t>-1104</w:t>
      </w:r>
      <w:r w:rsidR="00FE42EC">
        <w:t>.</w:t>
      </w:r>
      <w:r w:rsidR="00531948">
        <w:t>)</w:t>
      </w:r>
      <w:r w:rsidR="000B6BA3">
        <w:t xml:space="preserve">  </w:t>
      </w:r>
      <w:r w:rsidR="00A32050">
        <w:t xml:space="preserve">Neither party contends the second concern—increased cost impeding public works—is implicated here. </w:t>
      </w:r>
    </w:p>
    <w:p w14:paraId="1AAE7EB7" w14:textId="771C3638" w:rsidR="00333BDA" w:rsidRDefault="00333BDA" w:rsidP="00333BDA">
      <w:pPr>
        <w:ind w:firstLine="720"/>
      </w:pPr>
    </w:p>
    <w:p w14:paraId="5A007519" w14:textId="3716CE05" w:rsidR="00356F1D" w:rsidRDefault="005D7D58" w:rsidP="001D7873">
      <w:pPr>
        <w:spacing w:line="240" w:lineRule="auto"/>
        <w:ind w:left="1440" w:hanging="720"/>
      </w:pPr>
      <w:r>
        <w:t>3</w:t>
      </w:r>
      <w:r w:rsidR="00BD17E4">
        <w:t>.</w:t>
      </w:r>
      <w:r w:rsidR="00BD17E4">
        <w:tab/>
      </w:r>
      <w:r w:rsidR="002139AC" w:rsidRPr="00871156">
        <w:rPr>
          <w:i/>
          <w:iCs/>
        </w:rPr>
        <w:t xml:space="preserve">The </w:t>
      </w:r>
      <w:r w:rsidR="000B6A47" w:rsidRPr="00871156">
        <w:rPr>
          <w:i/>
          <w:iCs/>
        </w:rPr>
        <w:t>m</w:t>
      </w:r>
      <w:r w:rsidR="002139AC" w:rsidRPr="00871156">
        <w:rPr>
          <w:i/>
          <w:iCs/>
        </w:rPr>
        <w:t xml:space="preserve">aster </w:t>
      </w:r>
      <w:r w:rsidR="000B6A47" w:rsidRPr="00871156">
        <w:rPr>
          <w:i/>
          <w:iCs/>
        </w:rPr>
        <w:t>c</w:t>
      </w:r>
      <w:r w:rsidR="002139AC" w:rsidRPr="00871156">
        <w:rPr>
          <w:i/>
          <w:iCs/>
        </w:rPr>
        <w:t xml:space="preserve">omplaint </w:t>
      </w:r>
      <w:r w:rsidR="000B6A47" w:rsidRPr="00871156">
        <w:rPr>
          <w:i/>
          <w:iCs/>
        </w:rPr>
        <w:t>s</w:t>
      </w:r>
      <w:r w:rsidR="002139AC" w:rsidRPr="00871156">
        <w:rPr>
          <w:i/>
          <w:iCs/>
        </w:rPr>
        <w:t xml:space="preserve">ufficiently </w:t>
      </w:r>
      <w:r w:rsidR="000B6A47" w:rsidRPr="00871156">
        <w:rPr>
          <w:i/>
          <w:iCs/>
        </w:rPr>
        <w:t>a</w:t>
      </w:r>
      <w:r w:rsidR="002139AC" w:rsidRPr="00871156">
        <w:rPr>
          <w:i/>
          <w:iCs/>
        </w:rPr>
        <w:t xml:space="preserve">lleged </w:t>
      </w:r>
      <w:r w:rsidR="00952B49" w:rsidRPr="00871156">
        <w:rPr>
          <w:i/>
          <w:iCs/>
        </w:rPr>
        <w:t>SCE</w:t>
      </w:r>
      <w:r w:rsidR="00C220BB" w:rsidRPr="00871156">
        <w:rPr>
          <w:i/>
          <w:iCs/>
        </w:rPr>
        <w:t>’s</w:t>
      </w:r>
      <w:r w:rsidR="00952B49" w:rsidRPr="00871156">
        <w:rPr>
          <w:i/>
          <w:iCs/>
        </w:rPr>
        <w:t xml:space="preserve"> </w:t>
      </w:r>
      <w:r w:rsidR="000B6A47" w:rsidRPr="00871156">
        <w:rPr>
          <w:i/>
          <w:iCs/>
        </w:rPr>
        <w:t>l</w:t>
      </w:r>
      <w:r w:rsidR="005712DF" w:rsidRPr="00871156">
        <w:rPr>
          <w:i/>
          <w:iCs/>
        </w:rPr>
        <w:t>iability f</w:t>
      </w:r>
      <w:r w:rsidR="00840319" w:rsidRPr="00871156">
        <w:rPr>
          <w:i/>
          <w:iCs/>
        </w:rPr>
        <w:t xml:space="preserve">or </w:t>
      </w:r>
      <w:r w:rsidR="000B6A47" w:rsidRPr="00871156">
        <w:rPr>
          <w:i/>
          <w:iCs/>
        </w:rPr>
        <w:t>i</w:t>
      </w:r>
      <w:r w:rsidR="00840319" w:rsidRPr="00871156">
        <w:rPr>
          <w:i/>
          <w:iCs/>
        </w:rPr>
        <w:t xml:space="preserve">nverse </w:t>
      </w:r>
      <w:r w:rsidR="000B6A47" w:rsidRPr="00871156">
        <w:rPr>
          <w:i/>
          <w:iCs/>
        </w:rPr>
        <w:t>c</w:t>
      </w:r>
      <w:r w:rsidR="00840319" w:rsidRPr="00871156">
        <w:rPr>
          <w:i/>
          <w:iCs/>
        </w:rPr>
        <w:t>ondemnation</w:t>
      </w:r>
      <w:r w:rsidR="00952B49" w:rsidRPr="00871156">
        <w:rPr>
          <w:i/>
          <w:iCs/>
        </w:rPr>
        <w:t xml:space="preserve"> as a </w:t>
      </w:r>
      <w:r w:rsidR="000B6A47" w:rsidRPr="00871156">
        <w:rPr>
          <w:i/>
          <w:iCs/>
        </w:rPr>
        <w:t>p</w:t>
      </w:r>
      <w:r w:rsidR="00356F1D" w:rsidRPr="00871156">
        <w:rPr>
          <w:i/>
          <w:iCs/>
        </w:rPr>
        <w:t xml:space="preserve">ublic </w:t>
      </w:r>
      <w:r w:rsidR="000B6A47" w:rsidRPr="00871156">
        <w:rPr>
          <w:i/>
          <w:iCs/>
        </w:rPr>
        <w:t>e</w:t>
      </w:r>
      <w:r w:rsidR="00356F1D" w:rsidRPr="00871156">
        <w:rPr>
          <w:i/>
          <w:iCs/>
        </w:rPr>
        <w:t>ntity</w:t>
      </w:r>
      <w:r w:rsidR="00952B49" w:rsidRPr="00871156">
        <w:rPr>
          <w:i/>
          <w:iCs/>
        </w:rPr>
        <w:t xml:space="preserve"> </w:t>
      </w:r>
    </w:p>
    <w:p w14:paraId="0C7F4346" w14:textId="1B0FB622" w:rsidR="00196E88" w:rsidRDefault="00565A91" w:rsidP="00B01B51">
      <w:pPr>
        <w:ind w:firstLine="720"/>
      </w:pPr>
      <w:r>
        <w:t>SCE</w:t>
      </w:r>
      <w:r w:rsidR="00CC4A01">
        <w:t xml:space="preserve"> </w:t>
      </w:r>
      <w:r w:rsidR="004B30BC">
        <w:t>contends</w:t>
      </w:r>
      <w:r w:rsidR="006F7249">
        <w:t xml:space="preserve"> inverse condemnation appl</w:t>
      </w:r>
      <w:r w:rsidR="00B157A7">
        <w:t xml:space="preserve">ies only to </w:t>
      </w:r>
      <w:r w:rsidR="00FF4A0D">
        <w:t>public entit</w:t>
      </w:r>
      <w:r w:rsidR="00B157A7">
        <w:t>ies</w:t>
      </w:r>
      <w:r w:rsidR="00B67E2A">
        <w:t xml:space="preserve"> and</w:t>
      </w:r>
      <w:r w:rsidR="00391F4A">
        <w:t xml:space="preserve"> the </w:t>
      </w:r>
      <w:r w:rsidR="00B557E9">
        <w:t>m</w:t>
      </w:r>
      <w:r w:rsidR="00391F4A">
        <w:t xml:space="preserve">aster </w:t>
      </w:r>
      <w:r w:rsidR="00B557E9">
        <w:t>c</w:t>
      </w:r>
      <w:r w:rsidR="00391F4A">
        <w:t>omplaint</w:t>
      </w:r>
      <w:r w:rsidR="00720B42">
        <w:t>, a</w:t>
      </w:r>
      <w:r w:rsidR="00DF4581">
        <w:t>dopted by Simple Avo,</w:t>
      </w:r>
      <w:r w:rsidR="00391F4A">
        <w:t xml:space="preserve"> </w:t>
      </w:r>
      <w:r w:rsidR="00087966">
        <w:t>alleges</w:t>
      </w:r>
      <w:r w:rsidR="00391F4A">
        <w:t xml:space="preserve"> SCE is</w:t>
      </w:r>
      <w:r w:rsidR="00EA444C" w:rsidRPr="00EA444C">
        <w:t xml:space="preserve"> </w:t>
      </w:r>
      <w:r w:rsidR="002D03B0">
        <w:t>“</w:t>
      </w:r>
      <w:r w:rsidR="00EA444C" w:rsidRPr="00EA444C">
        <w:t>a privately owned public utility</w:t>
      </w:r>
      <w:r w:rsidR="00143962">
        <w:t>,</w:t>
      </w:r>
      <w:r w:rsidR="002D03B0">
        <w:t>”</w:t>
      </w:r>
      <w:r w:rsidR="00143962">
        <w:t xml:space="preserve"> thereby defeating </w:t>
      </w:r>
      <w:r w:rsidR="004E1648">
        <w:t>the</w:t>
      </w:r>
      <w:r w:rsidR="00143962">
        <w:t xml:space="preserve"> inverse condemnation cause of action.</w:t>
      </w:r>
      <w:r w:rsidR="002D03B0">
        <w:t xml:space="preserve"> </w:t>
      </w:r>
      <w:r w:rsidR="00BC5D8B">
        <w:t xml:space="preserve"> </w:t>
      </w:r>
      <w:r w:rsidR="002C2D81">
        <w:t xml:space="preserve">Simple Avo, relying on </w:t>
      </w:r>
      <w:r w:rsidR="00E01522" w:rsidRPr="0088038B">
        <w:rPr>
          <w:i/>
          <w:iCs/>
        </w:rPr>
        <w:t>Barham</w:t>
      </w:r>
      <w:r w:rsidR="00E01522">
        <w:rPr>
          <w:i/>
          <w:iCs/>
        </w:rPr>
        <w:t xml:space="preserve"> </w:t>
      </w:r>
      <w:r w:rsidR="00E01522">
        <w:t>and</w:t>
      </w:r>
      <w:r w:rsidR="00E01522">
        <w:rPr>
          <w:i/>
          <w:iCs/>
        </w:rPr>
        <w:t xml:space="preserve"> </w:t>
      </w:r>
      <w:r w:rsidR="0088038B">
        <w:rPr>
          <w:i/>
          <w:iCs/>
        </w:rPr>
        <w:t>Pacific Bell</w:t>
      </w:r>
      <w:r w:rsidR="001E1420">
        <w:rPr>
          <w:i/>
          <w:iCs/>
        </w:rPr>
        <w:t>,</w:t>
      </w:r>
      <w:r w:rsidR="0097724E">
        <w:rPr>
          <w:i/>
          <w:iCs/>
        </w:rPr>
        <w:t xml:space="preserve"> </w:t>
      </w:r>
      <w:r w:rsidR="0097724E">
        <w:t xml:space="preserve">asserts SCE </w:t>
      </w:r>
      <w:r w:rsidR="001E1420">
        <w:t xml:space="preserve">may be considered a public entity for purposes of </w:t>
      </w:r>
      <w:r w:rsidR="00D94800">
        <w:t xml:space="preserve">inverse condemnation. </w:t>
      </w:r>
      <w:r w:rsidR="00BC5D8B">
        <w:t xml:space="preserve"> </w:t>
      </w:r>
      <w:r w:rsidR="003E4C40">
        <w:lastRenderedPageBreak/>
        <w:t xml:space="preserve">We agree that our courts have not categorically limited inverse condemnation claims </w:t>
      </w:r>
      <w:r w:rsidR="00E55CD0">
        <w:t xml:space="preserve">as SCE </w:t>
      </w:r>
      <w:r w:rsidR="00E20F04">
        <w:t>argues</w:t>
      </w:r>
      <w:r w:rsidR="00E55CD0">
        <w:t>.</w:t>
      </w:r>
    </w:p>
    <w:p w14:paraId="3E327D93" w14:textId="77777777" w:rsidR="00AE252B" w:rsidRDefault="00AE252B" w:rsidP="00B01B51">
      <w:pPr>
        <w:ind w:firstLine="720"/>
      </w:pPr>
    </w:p>
    <w:p w14:paraId="7A9DE382" w14:textId="36E32D61" w:rsidR="00DF77A3" w:rsidRDefault="00BD17E4" w:rsidP="00BD17E4">
      <w:pPr>
        <w:ind w:left="1440"/>
        <w:rPr>
          <w:i/>
          <w:iCs/>
        </w:rPr>
      </w:pPr>
      <w:r>
        <w:rPr>
          <w:i/>
          <w:iCs/>
        </w:rPr>
        <w:t xml:space="preserve">a. </w:t>
      </w:r>
      <w:r>
        <w:rPr>
          <w:i/>
          <w:iCs/>
        </w:rPr>
        <w:tab/>
      </w:r>
      <w:r w:rsidR="00864C8C" w:rsidRPr="00BD17E4">
        <w:t>Barham</w:t>
      </w:r>
      <w:r w:rsidR="00864C8C" w:rsidRPr="00BD17E4">
        <w:rPr>
          <w:i/>
          <w:iCs/>
        </w:rPr>
        <w:t xml:space="preserve"> and</w:t>
      </w:r>
      <w:r w:rsidR="00864C8C">
        <w:t xml:space="preserve"> </w:t>
      </w:r>
      <w:r w:rsidR="00864C8C" w:rsidRPr="00BD17E4">
        <w:t xml:space="preserve">Pacific </w:t>
      </w:r>
      <w:r w:rsidR="00FE42EC">
        <w:t>Bell</w:t>
      </w:r>
    </w:p>
    <w:p w14:paraId="4353C0DF" w14:textId="6A74CE3C" w:rsidR="00713E4A" w:rsidRPr="00713E4A" w:rsidRDefault="00713E4A" w:rsidP="00805466">
      <w:pPr>
        <w:ind w:firstLine="720"/>
      </w:pPr>
      <w:r>
        <w:t xml:space="preserve">In </w:t>
      </w:r>
      <w:r w:rsidRPr="00713E4A">
        <w:rPr>
          <w:i/>
          <w:iCs/>
        </w:rPr>
        <w:t>Barham</w:t>
      </w:r>
      <w:r>
        <w:t>,</w:t>
      </w:r>
      <w:r w:rsidR="00A25CFB">
        <w:t xml:space="preserve"> </w:t>
      </w:r>
      <w:r w:rsidR="0097430D">
        <w:t>the</w:t>
      </w:r>
      <w:r>
        <w:t xml:space="preserve"> plaintiff </w:t>
      </w:r>
      <w:r w:rsidRPr="00713E4A">
        <w:t xml:space="preserve">landowners sued </w:t>
      </w:r>
      <w:r w:rsidR="00611C71">
        <w:t>SCE</w:t>
      </w:r>
      <w:r w:rsidRPr="00713E4A">
        <w:t xml:space="preserve"> for </w:t>
      </w:r>
      <w:r w:rsidR="002A0EAE">
        <w:t>d</w:t>
      </w:r>
      <w:r w:rsidRPr="00713E4A">
        <w:t xml:space="preserve">amages </w:t>
      </w:r>
      <w:r w:rsidR="00193065">
        <w:t xml:space="preserve">they </w:t>
      </w:r>
      <w:r w:rsidRPr="00713E4A">
        <w:t xml:space="preserve">sustained in a wildfire caused by a failure in </w:t>
      </w:r>
      <w:r w:rsidR="00611C71">
        <w:t>SCE’s</w:t>
      </w:r>
      <w:r w:rsidRPr="00713E4A">
        <w:t xml:space="preserve"> overhead power line equipment. </w:t>
      </w:r>
      <w:r w:rsidR="00013912">
        <w:t xml:space="preserve"> </w:t>
      </w:r>
      <w:r w:rsidRPr="00713E4A">
        <w:t>(</w:t>
      </w:r>
      <w:r w:rsidR="00403DC1">
        <w:rPr>
          <w:i/>
          <w:iCs/>
        </w:rPr>
        <w:t xml:space="preserve">Barham, supra, </w:t>
      </w:r>
      <w:r w:rsidR="00193065" w:rsidRPr="00193065">
        <w:t>74 Cal.App.4th</w:t>
      </w:r>
      <w:r w:rsidRPr="00713E4A">
        <w:t xml:space="preserve"> at p.</w:t>
      </w:r>
      <w:r w:rsidR="00F22D6B">
        <w:t> </w:t>
      </w:r>
      <w:r w:rsidRPr="00713E4A">
        <w:t>747</w:t>
      </w:r>
      <w:r w:rsidR="00611C71">
        <w:t>.</w:t>
      </w:r>
      <w:r w:rsidRPr="00713E4A">
        <w:t xml:space="preserve">) </w:t>
      </w:r>
      <w:r w:rsidR="00E94115">
        <w:t xml:space="preserve"> </w:t>
      </w:r>
      <w:r w:rsidRPr="00713E4A">
        <w:t xml:space="preserve">A jury </w:t>
      </w:r>
      <w:r w:rsidR="002F1AC8">
        <w:t xml:space="preserve">awarded </w:t>
      </w:r>
      <w:r w:rsidRPr="00713E4A">
        <w:t xml:space="preserve">the landowners damages on their </w:t>
      </w:r>
      <w:r w:rsidR="00E905D3">
        <w:t xml:space="preserve">tort </w:t>
      </w:r>
      <w:r w:rsidRPr="00713E4A">
        <w:t>causes of action, but</w:t>
      </w:r>
      <w:r w:rsidR="00E905D3">
        <w:t xml:space="preserve"> the trial court entered </w:t>
      </w:r>
      <w:r w:rsidRPr="00713E4A">
        <w:t xml:space="preserve">judgment </w:t>
      </w:r>
      <w:r w:rsidR="00E905D3">
        <w:t>f</w:t>
      </w:r>
      <w:r w:rsidRPr="00713E4A">
        <w:t xml:space="preserve">or </w:t>
      </w:r>
      <w:r w:rsidR="00611C71">
        <w:t>SCE</w:t>
      </w:r>
      <w:r w:rsidRPr="00713E4A">
        <w:t xml:space="preserve"> on the inverse condemnation cause of action.</w:t>
      </w:r>
      <w:r w:rsidR="00E94115">
        <w:t xml:space="preserve"> </w:t>
      </w:r>
      <w:r w:rsidRPr="00713E4A">
        <w:t xml:space="preserve"> (</w:t>
      </w:r>
      <w:r w:rsidRPr="00611C71">
        <w:rPr>
          <w:i/>
          <w:iCs/>
        </w:rPr>
        <w:t>Ibid</w:t>
      </w:r>
      <w:r w:rsidRPr="00713E4A">
        <w:t xml:space="preserve">.) </w:t>
      </w:r>
      <w:r w:rsidR="00E905D3">
        <w:t xml:space="preserve"> </w:t>
      </w:r>
      <w:r w:rsidRPr="00713E4A">
        <w:t>Both sides appealed</w:t>
      </w:r>
      <w:r w:rsidR="006A5E14">
        <w:t xml:space="preserve">.  </w:t>
      </w:r>
      <w:r w:rsidR="00E94115">
        <w:t xml:space="preserve">Division </w:t>
      </w:r>
      <w:r w:rsidR="00FE42EC">
        <w:t>Two</w:t>
      </w:r>
      <w:r w:rsidR="00E94115">
        <w:t xml:space="preserve"> of the </w:t>
      </w:r>
      <w:r w:rsidR="001219D4">
        <w:t xml:space="preserve">Fourth </w:t>
      </w:r>
      <w:r w:rsidR="00FE42EC">
        <w:t xml:space="preserve">Appellate </w:t>
      </w:r>
      <w:r w:rsidR="001219D4">
        <w:t xml:space="preserve">District </w:t>
      </w:r>
      <w:r w:rsidR="00CB2E2D">
        <w:t xml:space="preserve">reversed </w:t>
      </w:r>
      <w:r w:rsidRPr="00713E4A">
        <w:t>the trial court</w:t>
      </w:r>
      <w:r w:rsidR="00CB2E2D">
        <w:t xml:space="preserve">’s inverse condemnation </w:t>
      </w:r>
      <w:r w:rsidR="003E5FD9">
        <w:t>ruling</w:t>
      </w:r>
      <w:r w:rsidRPr="00713E4A">
        <w:t xml:space="preserve">. </w:t>
      </w:r>
      <w:r w:rsidR="009729EE">
        <w:t xml:space="preserve"> </w:t>
      </w:r>
      <w:r w:rsidRPr="00713E4A">
        <w:t>(</w:t>
      </w:r>
      <w:r w:rsidRPr="00611C71">
        <w:rPr>
          <w:i/>
          <w:iCs/>
        </w:rPr>
        <w:t>Id</w:t>
      </w:r>
      <w:r w:rsidRPr="00713E4A">
        <w:t>. at p. 751.)</w:t>
      </w:r>
    </w:p>
    <w:p w14:paraId="5A5AFE57" w14:textId="261E4847" w:rsidR="002F591D" w:rsidRDefault="00BC3A7D" w:rsidP="007968E9">
      <w:pPr>
        <w:ind w:firstLine="720"/>
      </w:pPr>
      <w:r>
        <w:t>As in this case, SCE</w:t>
      </w:r>
      <w:r w:rsidR="00713E4A" w:rsidRPr="00713E4A">
        <w:t xml:space="preserve"> argued it was a privately</w:t>
      </w:r>
      <w:r w:rsidR="00DB7069">
        <w:t>-</w:t>
      </w:r>
      <w:r w:rsidR="00713E4A" w:rsidRPr="00713E4A">
        <w:t>owned utility, not a public entity</w:t>
      </w:r>
      <w:r w:rsidR="000059CB">
        <w:t xml:space="preserve"> subject to </w:t>
      </w:r>
      <w:r w:rsidR="001604D6">
        <w:t>inverse condemnation</w:t>
      </w:r>
      <w:r w:rsidR="00DB7069">
        <w:t xml:space="preserve"> claims</w:t>
      </w:r>
      <w:r w:rsidR="00713E4A" w:rsidRPr="00713E4A">
        <w:t xml:space="preserve">. </w:t>
      </w:r>
      <w:r w:rsidR="009455C9">
        <w:t xml:space="preserve"> </w:t>
      </w:r>
      <w:r w:rsidR="00632698" w:rsidRPr="00713E4A">
        <w:t>(</w:t>
      </w:r>
      <w:r w:rsidR="00632698" w:rsidRPr="001F1E8F">
        <w:rPr>
          <w:i/>
          <w:iCs/>
        </w:rPr>
        <w:t>Barham, supra</w:t>
      </w:r>
      <w:r w:rsidR="00632698">
        <w:t xml:space="preserve">, 74 Cal.App.4th </w:t>
      </w:r>
      <w:r w:rsidR="00632698" w:rsidRPr="00713E4A">
        <w:t>at p</w:t>
      </w:r>
      <w:r w:rsidR="00DB7069">
        <w:t>. 752.</w:t>
      </w:r>
      <w:r w:rsidR="00632698" w:rsidRPr="00713E4A">
        <w:t>)</w:t>
      </w:r>
      <w:r w:rsidR="00DB7069">
        <w:t xml:space="preserve"> </w:t>
      </w:r>
      <w:r w:rsidR="00713E4A" w:rsidRPr="00713E4A">
        <w:t xml:space="preserve"> The court rejected this argument, </w:t>
      </w:r>
      <w:r w:rsidR="001322E8">
        <w:t xml:space="preserve">reasoning </w:t>
      </w:r>
      <w:proofErr w:type="gramStart"/>
      <w:r w:rsidR="00713E4A" w:rsidRPr="00713E4A">
        <w:t>publicly</w:t>
      </w:r>
      <w:r w:rsidR="007C6FDE">
        <w:t>-</w:t>
      </w:r>
      <w:r w:rsidR="00713E4A" w:rsidRPr="00713E4A">
        <w:t>owned</w:t>
      </w:r>
      <w:proofErr w:type="gramEnd"/>
      <w:r w:rsidR="00713E4A" w:rsidRPr="00713E4A">
        <w:t xml:space="preserve"> electrical utilities had been held liable in inverse condemnation in </w:t>
      </w:r>
      <w:r w:rsidR="0013535E">
        <w:t>“virtually identical”</w:t>
      </w:r>
      <w:r w:rsidR="00713E4A" w:rsidRPr="00713E4A">
        <w:t xml:space="preserve"> circumstances and that, under the facts presented, there was no rational basis for distinguishing </w:t>
      </w:r>
      <w:r w:rsidR="00A34A13">
        <w:t xml:space="preserve">them from privately-owned </w:t>
      </w:r>
      <w:r w:rsidR="00187559">
        <w:t>utilities</w:t>
      </w:r>
      <w:r w:rsidR="00713E4A" w:rsidRPr="00713E4A">
        <w:t xml:space="preserve">. </w:t>
      </w:r>
      <w:r w:rsidR="00D63A58">
        <w:t xml:space="preserve"> </w:t>
      </w:r>
      <w:r w:rsidR="00713E4A" w:rsidRPr="00713E4A">
        <w:t>(</w:t>
      </w:r>
      <w:r w:rsidR="00713E4A" w:rsidRPr="00B75690">
        <w:rPr>
          <w:i/>
          <w:iCs/>
        </w:rPr>
        <w:t>Id</w:t>
      </w:r>
      <w:r w:rsidR="00713E4A" w:rsidRPr="00713E4A">
        <w:t>. at p. 753.)</w:t>
      </w:r>
      <w:r w:rsidR="004D1A3A">
        <w:t xml:space="preserve">  </w:t>
      </w:r>
      <w:r w:rsidR="007968E9">
        <w:rPr>
          <w:i/>
          <w:iCs/>
        </w:rPr>
        <w:t xml:space="preserve">Barham </w:t>
      </w:r>
      <w:r w:rsidR="00187559">
        <w:t xml:space="preserve">expressly held that </w:t>
      </w:r>
      <w:r w:rsidR="007968E9">
        <w:t xml:space="preserve">“SCE may be liable in inverse condemnation as a public entity.” </w:t>
      </w:r>
      <w:r w:rsidR="00F22D6B">
        <w:t xml:space="preserve"> </w:t>
      </w:r>
      <w:r w:rsidR="007968E9">
        <w:t>(</w:t>
      </w:r>
      <w:r w:rsidR="007968E9">
        <w:rPr>
          <w:i/>
          <w:iCs/>
        </w:rPr>
        <w:t>Ibid.</w:t>
      </w:r>
      <w:r w:rsidR="007968E9">
        <w:t>)</w:t>
      </w:r>
    </w:p>
    <w:p w14:paraId="6D9C7D8A" w14:textId="40E27797" w:rsidR="000C4EC8" w:rsidRDefault="004C44FD" w:rsidP="000C4EC8">
      <w:pPr>
        <w:ind w:firstLine="720"/>
      </w:pPr>
      <w:r>
        <w:rPr>
          <w:i/>
          <w:iCs/>
        </w:rPr>
        <w:t xml:space="preserve">Barham </w:t>
      </w:r>
      <w:r w:rsidR="00187559">
        <w:t>examined</w:t>
      </w:r>
      <w:r w:rsidR="003B2F7F">
        <w:t xml:space="preserve"> the </w:t>
      </w:r>
      <w:r w:rsidR="00187559">
        <w:t xml:space="preserve">California </w:t>
      </w:r>
      <w:r w:rsidR="003B2F7F">
        <w:t>Supreme Court’s analysis in</w:t>
      </w:r>
      <w:r w:rsidR="000C4EC8">
        <w:t xml:space="preserve"> </w:t>
      </w:r>
      <w:r w:rsidR="000C4EC8" w:rsidRPr="00C0091D">
        <w:rPr>
          <w:i/>
          <w:iCs/>
        </w:rPr>
        <w:t xml:space="preserve">Gay Law Students Assn. v. Pacific Tel. &amp; Tel. Co. </w:t>
      </w:r>
      <w:r w:rsidR="000C4EC8" w:rsidRPr="00C0091D">
        <w:t>(1979) 24</w:t>
      </w:r>
      <w:r w:rsidR="00F22D6B">
        <w:t> </w:t>
      </w:r>
      <w:r w:rsidR="000C4EC8" w:rsidRPr="00C0091D">
        <w:t>Cal.3d 458</w:t>
      </w:r>
      <w:r w:rsidR="000C4EC8">
        <w:t xml:space="preserve"> (</w:t>
      </w:r>
      <w:r w:rsidR="000E4D4C">
        <w:rPr>
          <w:i/>
          <w:iCs/>
        </w:rPr>
        <w:t>GLSA</w:t>
      </w:r>
      <w:r w:rsidR="000C4EC8">
        <w:t>)</w:t>
      </w:r>
      <w:r w:rsidR="003B2F7F">
        <w:t>.  There</w:t>
      </w:r>
      <w:r w:rsidR="00E72B26">
        <w:t xml:space="preserve">, </w:t>
      </w:r>
      <w:r w:rsidR="000C4EC8">
        <w:t>the high court held</w:t>
      </w:r>
      <w:r w:rsidR="000C4EC8" w:rsidRPr="00C0091D">
        <w:t xml:space="preserve"> a </w:t>
      </w:r>
      <w:r w:rsidR="000C4EC8">
        <w:t xml:space="preserve">privately-owned </w:t>
      </w:r>
      <w:r w:rsidR="000C4EC8" w:rsidRPr="00C0091D">
        <w:t xml:space="preserve">utility </w:t>
      </w:r>
      <w:r w:rsidR="000C4EC8">
        <w:t>“</w:t>
      </w:r>
      <w:r w:rsidR="000C4EC8" w:rsidRPr="00517522">
        <w:t>to whom the state has granted a monopoly over a significant segment of the telephonic communications industry in California</w:t>
      </w:r>
      <w:r w:rsidR="000C4EC8">
        <w:t xml:space="preserve">” </w:t>
      </w:r>
      <w:r w:rsidR="00DD4142">
        <w:t>could be treated as</w:t>
      </w:r>
      <w:r w:rsidR="000C4EC8" w:rsidRPr="00C0091D">
        <w:t xml:space="preserve"> a state actor subject to the </w:t>
      </w:r>
      <w:r w:rsidR="00E0311B">
        <w:t>E</w:t>
      </w:r>
      <w:r w:rsidR="000C4EC8" w:rsidRPr="00C0091D">
        <w:t xml:space="preserve">qual </w:t>
      </w:r>
      <w:r w:rsidR="00E0311B">
        <w:t>P</w:t>
      </w:r>
      <w:r w:rsidR="000C4EC8" w:rsidRPr="00C0091D">
        <w:t xml:space="preserve">rotection </w:t>
      </w:r>
      <w:r w:rsidR="00E0311B">
        <w:t>clause</w:t>
      </w:r>
      <w:r w:rsidR="000C4EC8" w:rsidRPr="00C0091D">
        <w:t xml:space="preserve"> when hiring employees</w:t>
      </w:r>
      <w:r w:rsidR="000C4EC8">
        <w:t>.</w:t>
      </w:r>
      <w:r w:rsidR="00E0311B">
        <w:t xml:space="preserve"> </w:t>
      </w:r>
      <w:r w:rsidR="000C4EC8">
        <w:t xml:space="preserve"> (</w:t>
      </w:r>
      <w:r w:rsidR="00FE42EC">
        <w:rPr>
          <w:i/>
          <w:iCs/>
        </w:rPr>
        <w:t xml:space="preserve">Id. </w:t>
      </w:r>
      <w:r w:rsidR="000C4EC8">
        <w:t xml:space="preserve">at p. 468.)  </w:t>
      </w:r>
      <w:r w:rsidR="000C4EC8" w:rsidRPr="00C0091D">
        <w:t>The court</w:t>
      </w:r>
      <w:r w:rsidR="000C4EC8">
        <w:t xml:space="preserve"> found</w:t>
      </w:r>
      <w:r w:rsidR="000C4EC8" w:rsidRPr="00C0091D">
        <w:t xml:space="preserve">, </w:t>
      </w:r>
      <w:r w:rsidR="000C4EC8">
        <w:t>“</w:t>
      </w:r>
      <w:r w:rsidR="000C4EC8" w:rsidRPr="00C0091D">
        <w:t xml:space="preserve">the nature of the California regulatory scheme </w:t>
      </w:r>
      <w:r w:rsidR="000C4EC8" w:rsidRPr="00C0091D">
        <w:lastRenderedPageBreak/>
        <w:t xml:space="preserve">demonstrates that the state generally expects a public utility to conduct its affairs more like a governmental entity than like a private corporation.” </w:t>
      </w:r>
      <w:r w:rsidR="00600F48">
        <w:t xml:space="preserve"> </w:t>
      </w:r>
      <w:r w:rsidR="000C4EC8" w:rsidRPr="00C0091D">
        <w:t>(</w:t>
      </w:r>
      <w:r w:rsidR="000C4EC8" w:rsidRPr="00477C2D">
        <w:rPr>
          <w:i/>
          <w:iCs/>
        </w:rPr>
        <w:t>Id</w:t>
      </w:r>
      <w:r w:rsidR="000C4EC8" w:rsidRPr="00C0091D">
        <w:t xml:space="preserve">. at p. 469.) </w:t>
      </w:r>
      <w:r w:rsidR="00600F48">
        <w:t xml:space="preserve"> </w:t>
      </w:r>
      <w:r w:rsidR="000C4EC8" w:rsidRPr="005F4373">
        <w:t>The court</w:t>
      </w:r>
      <w:r w:rsidR="000C4EC8">
        <w:rPr>
          <w:i/>
          <w:iCs/>
        </w:rPr>
        <w:t xml:space="preserve"> </w:t>
      </w:r>
      <w:r w:rsidR="000C4EC8">
        <w:t>further</w:t>
      </w:r>
      <w:r w:rsidR="000C4EC8" w:rsidRPr="00C0091D">
        <w:t xml:space="preserve"> concluded, “we believe </w:t>
      </w:r>
      <w:r w:rsidR="00600F48">
        <w:t>. . .</w:t>
      </w:r>
      <w:r w:rsidR="000C4EC8" w:rsidRPr="00C0091D">
        <w:t xml:space="preserve"> that a public utility may not properly claim prerogatives of </w:t>
      </w:r>
      <w:r w:rsidR="000C4EC8">
        <w:t>‘</w:t>
      </w:r>
      <w:r w:rsidR="000C4EC8" w:rsidRPr="00C0091D">
        <w:t>private autonomy</w:t>
      </w:r>
      <w:r w:rsidR="000C4EC8">
        <w:t>’</w:t>
      </w:r>
      <w:r w:rsidR="000C4EC8" w:rsidRPr="00C0091D">
        <w:t xml:space="preserve"> that may possibly attach to a purely private business enterprise.”</w:t>
      </w:r>
      <w:r w:rsidR="00E30F8F">
        <w:rPr>
          <w:rStyle w:val="FootnoteReference"/>
        </w:rPr>
        <w:footnoteReference w:id="13"/>
      </w:r>
      <w:r w:rsidR="000C4EC8" w:rsidRPr="00C0091D">
        <w:t xml:space="preserve"> </w:t>
      </w:r>
      <w:r w:rsidR="001E1512">
        <w:t xml:space="preserve"> </w:t>
      </w:r>
      <w:r w:rsidR="000C4EC8" w:rsidRPr="00C0091D">
        <w:t>(</w:t>
      </w:r>
      <w:r w:rsidR="000C4EC8" w:rsidRPr="00FB40CD">
        <w:rPr>
          <w:i/>
          <w:iCs/>
        </w:rPr>
        <w:t>Id.</w:t>
      </w:r>
      <w:r w:rsidR="000C4EC8" w:rsidRPr="00C0091D">
        <w:t xml:space="preserve"> at p. 470.) </w:t>
      </w:r>
    </w:p>
    <w:p w14:paraId="0F00FE86" w14:textId="7FF99215" w:rsidR="00B3656A" w:rsidRDefault="002A0EAE" w:rsidP="00CD7E64">
      <w:r>
        <w:tab/>
      </w:r>
      <w:r w:rsidR="00D60149">
        <w:t xml:space="preserve">In </w:t>
      </w:r>
      <w:r w:rsidR="00D60149">
        <w:rPr>
          <w:i/>
          <w:iCs/>
        </w:rPr>
        <w:t xml:space="preserve">Pacific Bell, </w:t>
      </w:r>
      <w:r w:rsidR="00D60149">
        <w:t xml:space="preserve">the plaintiff </w:t>
      </w:r>
      <w:r w:rsidR="00E66172">
        <w:t xml:space="preserve">telephone company </w:t>
      </w:r>
      <w:r w:rsidR="00171167">
        <w:t>sued SCE for inverse condemnation</w:t>
      </w:r>
      <w:r w:rsidR="005614C1">
        <w:t>.  It</w:t>
      </w:r>
      <w:r w:rsidR="00171167">
        <w:t xml:space="preserve"> alleg</w:t>
      </w:r>
      <w:r w:rsidR="005614C1">
        <w:t>ed</w:t>
      </w:r>
      <w:r w:rsidR="00765632">
        <w:t xml:space="preserve"> its telephone cables were damaged when</w:t>
      </w:r>
      <w:r w:rsidR="00171167">
        <w:t xml:space="preserve"> </w:t>
      </w:r>
      <w:r w:rsidR="0003138B">
        <w:t>a bird fl</w:t>
      </w:r>
      <w:r w:rsidR="00E27316">
        <w:t>ew</w:t>
      </w:r>
      <w:r w:rsidR="0003138B">
        <w:t xml:space="preserve"> into a SCE power</w:t>
      </w:r>
      <w:r w:rsidR="00D61A5E">
        <w:t xml:space="preserve"> line</w:t>
      </w:r>
      <w:r w:rsidR="00E27316">
        <w:t>,</w:t>
      </w:r>
      <w:r w:rsidR="00D61A5E">
        <w:t xml:space="preserve"> caus</w:t>
      </w:r>
      <w:r w:rsidR="00FB1F59">
        <w:t>ing</w:t>
      </w:r>
      <w:r w:rsidR="00D61A5E">
        <w:t xml:space="preserve"> electricity to run down </w:t>
      </w:r>
      <w:r w:rsidR="00E66172">
        <w:t>a</w:t>
      </w:r>
      <w:r w:rsidR="00D61A5E">
        <w:t xml:space="preserve"> utility pole to</w:t>
      </w:r>
      <w:r w:rsidR="00220BA3">
        <w:t xml:space="preserve"> the underground trench </w:t>
      </w:r>
      <w:r w:rsidR="00E66172">
        <w:t>holding</w:t>
      </w:r>
      <w:r w:rsidR="005A4307">
        <w:t xml:space="preserve"> </w:t>
      </w:r>
      <w:r w:rsidR="00E66172">
        <w:t>it</w:t>
      </w:r>
      <w:r w:rsidR="009E34D7">
        <w:t xml:space="preserve">s </w:t>
      </w:r>
      <w:r w:rsidR="005A4307">
        <w:t xml:space="preserve">cables and SCE’s </w:t>
      </w:r>
      <w:r w:rsidR="009E34D7">
        <w:t>power infrastructure</w:t>
      </w:r>
      <w:r w:rsidR="005A4307">
        <w:t>.  (</w:t>
      </w:r>
      <w:r w:rsidR="005A4307">
        <w:rPr>
          <w:i/>
          <w:iCs/>
        </w:rPr>
        <w:t xml:space="preserve">Pacific Bell, supra, </w:t>
      </w:r>
      <w:r w:rsidR="001A0F43">
        <w:t xml:space="preserve">208 Cal.App.4th </w:t>
      </w:r>
      <w:r w:rsidR="005A4307">
        <w:t xml:space="preserve">at p. </w:t>
      </w:r>
      <w:r w:rsidR="00BF479C">
        <w:t>1403.)</w:t>
      </w:r>
      <w:r w:rsidR="00D61A5E">
        <w:t xml:space="preserve"> </w:t>
      </w:r>
      <w:r w:rsidR="00BF479C">
        <w:t xml:space="preserve"> </w:t>
      </w:r>
      <w:r w:rsidR="00340245">
        <w:t xml:space="preserve">After a bench trial, judgment </w:t>
      </w:r>
      <w:r w:rsidR="00340245">
        <w:lastRenderedPageBreak/>
        <w:t xml:space="preserve">was entered against SCE.  </w:t>
      </w:r>
      <w:r w:rsidR="001219D4">
        <w:t>(</w:t>
      </w:r>
      <w:r w:rsidR="001219D4">
        <w:rPr>
          <w:i/>
          <w:iCs/>
        </w:rPr>
        <w:t>Id.</w:t>
      </w:r>
      <w:r w:rsidR="001219D4">
        <w:t xml:space="preserve"> at p. 1402.)  On appeal, Division</w:t>
      </w:r>
      <w:r w:rsidR="00F22D6B">
        <w:t> </w:t>
      </w:r>
      <w:r w:rsidR="001A0F43">
        <w:t>One</w:t>
      </w:r>
      <w:r w:rsidR="00A85172">
        <w:t xml:space="preserve"> of this District</w:t>
      </w:r>
      <w:r w:rsidR="001219D4">
        <w:t xml:space="preserve"> </w:t>
      </w:r>
      <w:r w:rsidR="00AE5BC9">
        <w:t>rejected SCE’s</w:t>
      </w:r>
      <w:r w:rsidR="00C303E0">
        <w:t xml:space="preserve"> </w:t>
      </w:r>
      <w:r w:rsidR="00AE5BC9">
        <w:t>private entity</w:t>
      </w:r>
      <w:r w:rsidR="00C303E0">
        <w:t xml:space="preserve"> argument</w:t>
      </w:r>
      <w:r w:rsidR="00BF1BB6">
        <w:t xml:space="preserve">, </w:t>
      </w:r>
      <w:r w:rsidR="00C51AB4">
        <w:t>agreeing with</w:t>
      </w:r>
      <w:r w:rsidR="00BF1BB6">
        <w:t xml:space="preserve"> </w:t>
      </w:r>
      <w:r w:rsidR="00BF1BB6">
        <w:rPr>
          <w:i/>
          <w:iCs/>
        </w:rPr>
        <w:t>Barham</w:t>
      </w:r>
      <w:r w:rsidR="00021A25">
        <w:t xml:space="preserve">. </w:t>
      </w:r>
      <w:r w:rsidR="00234F25">
        <w:t xml:space="preserve"> </w:t>
      </w:r>
      <w:r w:rsidR="00C51AB4">
        <w:t>(</w:t>
      </w:r>
      <w:r w:rsidR="00C51AB4">
        <w:rPr>
          <w:i/>
          <w:iCs/>
        </w:rPr>
        <w:t>Id</w:t>
      </w:r>
      <w:r w:rsidR="00C51AB4">
        <w:t xml:space="preserve">. at p. </w:t>
      </w:r>
      <w:r w:rsidR="0099158E">
        <w:t>1404.)</w:t>
      </w:r>
      <w:r w:rsidR="00021A25">
        <w:t xml:space="preserve"> </w:t>
      </w:r>
    </w:p>
    <w:p w14:paraId="073E9BD3" w14:textId="2431616D" w:rsidR="003E6D22" w:rsidRDefault="00FB1F59" w:rsidP="001B720B">
      <w:pPr>
        <w:ind w:firstLine="720"/>
      </w:pPr>
      <w:r>
        <w:rPr>
          <w:i/>
          <w:iCs/>
        </w:rPr>
        <w:t xml:space="preserve">Pacific Bell </w:t>
      </w:r>
      <w:r w:rsidR="00525473">
        <w:t xml:space="preserve">cited </w:t>
      </w:r>
      <w:r w:rsidR="00AF7271">
        <w:t xml:space="preserve">California </w:t>
      </w:r>
      <w:r w:rsidR="00525473">
        <w:t xml:space="preserve">Supreme Court precedent </w:t>
      </w:r>
      <w:r w:rsidR="0068264B">
        <w:t>reflecting that</w:t>
      </w:r>
      <w:r w:rsidR="00525473">
        <w:t xml:space="preserve"> inverse condemnation liability could be imposed on </w:t>
      </w:r>
      <w:r w:rsidR="00597800">
        <w:t xml:space="preserve">private entities. </w:t>
      </w:r>
      <w:r w:rsidR="0068264B">
        <w:t xml:space="preserve"> </w:t>
      </w:r>
      <w:r w:rsidR="00597800">
        <w:t>(</w:t>
      </w:r>
      <w:r w:rsidR="00597800">
        <w:rPr>
          <w:i/>
          <w:iCs/>
        </w:rPr>
        <w:t xml:space="preserve">Pacific Bell, supra, </w:t>
      </w:r>
      <w:r w:rsidR="00597800">
        <w:t>208 Cal.App.4th at p.</w:t>
      </w:r>
      <w:r w:rsidR="0096297E">
        <w:t> </w:t>
      </w:r>
      <w:r w:rsidR="00597800">
        <w:t xml:space="preserve">1405.)  </w:t>
      </w:r>
      <w:r w:rsidR="00173429">
        <w:t xml:space="preserve">For example, in </w:t>
      </w:r>
      <w:proofErr w:type="spellStart"/>
      <w:r w:rsidR="001B720B" w:rsidRPr="00471142">
        <w:rPr>
          <w:i/>
          <w:iCs/>
        </w:rPr>
        <w:t>Breidert</w:t>
      </w:r>
      <w:proofErr w:type="spellEnd"/>
      <w:r w:rsidR="001B720B" w:rsidRPr="00471142">
        <w:rPr>
          <w:i/>
          <w:iCs/>
        </w:rPr>
        <w:t xml:space="preserve"> v. Southern </w:t>
      </w:r>
      <w:r w:rsidR="001A0F43">
        <w:rPr>
          <w:i/>
          <w:iCs/>
        </w:rPr>
        <w:t xml:space="preserve">Pacific </w:t>
      </w:r>
      <w:r w:rsidR="001B720B" w:rsidRPr="00471142">
        <w:rPr>
          <w:i/>
          <w:iCs/>
        </w:rPr>
        <w:t>Co.</w:t>
      </w:r>
      <w:r w:rsidR="001B720B" w:rsidRPr="00BB0E6C">
        <w:t xml:space="preserve"> (1964) 61 Cal.2d 659,</w:t>
      </w:r>
      <w:r w:rsidR="001B720B">
        <w:t xml:space="preserve"> the </w:t>
      </w:r>
      <w:r w:rsidR="001B720B" w:rsidRPr="004C44FD">
        <w:t xml:space="preserve">defendant railroad and </w:t>
      </w:r>
      <w:r w:rsidR="007520CE">
        <w:t xml:space="preserve">a local </w:t>
      </w:r>
      <w:r w:rsidR="001B720B" w:rsidRPr="004C44FD">
        <w:t xml:space="preserve">city closed a </w:t>
      </w:r>
      <w:r w:rsidR="007520CE">
        <w:t xml:space="preserve">railroad </w:t>
      </w:r>
      <w:r w:rsidR="001B720B" w:rsidRPr="004C44FD">
        <w:t>crossing</w:t>
      </w:r>
      <w:r w:rsidR="007520CE">
        <w:t>,</w:t>
      </w:r>
      <w:r w:rsidR="001B720B" w:rsidRPr="004C44FD">
        <w:t xml:space="preserve"> depriving the plaintiffs of access to a right-of-way.</w:t>
      </w:r>
      <w:r w:rsidR="007520CE">
        <w:t xml:space="preserve"> </w:t>
      </w:r>
      <w:r w:rsidR="001B720B" w:rsidRPr="004C44FD">
        <w:t xml:space="preserve"> (</w:t>
      </w:r>
      <w:r w:rsidR="001A0F43">
        <w:rPr>
          <w:i/>
          <w:iCs/>
        </w:rPr>
        <w:t xml:space="preserve">Id. </w:t>
      </w:r>
      <w:r w:rsidR="001B720B" w:rsidRPr="001A0F43">
        <w:t>at</w:t>
      </w:r>
      <w:r w:rsidR="001B720B" w:rsidRPr="004C44FD">
        <w:t xml:space="preserve"> p. 661.) </w:t>
      </w:r>
      <w:r w:rsidR="007520CE">
        <w:t xml:space="preserve"> </w:t>
      </w:r>
      <w:r w:rsidR="001B720B" w:rsidRPr="004C44FD">
        <w:t xml:space="preserve">The closure was authorized by an order of the </w:t>
      </w:r>
      <w:r w:rsidR="001B720B">
        <w:t>CPUC.  (</w:t>
      </w:r>
      <w:r w:rsidR="001B720B">
        <w:rPr>
          <w:i/>
          <w:iCs/>
        </w:rPr>
        <w:t>Id.</w:t>
      </w:r>
      <w:r w:rsidR="001B720B" w:rsidRPr="004C44FD">
        <w:t xml:space="preserve"> at p.</w:t>
      </w:r>
      <w:r w:rsidR="00F22D6B">
        <w:t> </w:t>
      </w:r>
      <w:r w:rsidR="001B720B" w:rsidRPr="004C44FD">
        <w:t>662</w:t>
      </w:r>
      <w:r w:rsidR="001B720B">
        <w:t xml:space="preserve">.)  </w:t>
      </w:r>
      <w:r w:rsidR="001B720B" w:rsidRPr="004C44FD">
        <w:t>The</w:t>
      </w:r>
      <w:r w:rsidR="001B720B">
        <w:t xml:space="preserve"> high court rejected</w:t>
      </w:r>
      <w:r w:rsidR="001B720B" w:rsidRPr="004C44FD">
        <w:t xml:space="preserve"> </w:t>
      </w:r>
      <w:r w:rsidR="001B720B">
        <w:t>the</w:t>
      </w:r>
      <w:r w:rsidR="001B720B" w:rsidRPr="004C44FD">
        <w:t xml:space="preserve"> railroad</w:t>
      </w:r>
      <w:r w:rsidR="001B720B">
        <w:t xml:space="preserve">’s contention </w:t>
      </w:r>
      <w:r w:rsidR="001B720B" w:rsidRPr="004C44FD">
        <w:t>it was “not a proper party defendant</w:t>
      </w:r>
      <w:r w:rsidR="006D0B3B">
        <w:t>”</w:t>
      </w:r>
      <w:r w:rsidR="001B720B" w:rsidRPr="004C44FD">
        <w:t xml:space="preserve"> to the inverse condemnation case. </w:t>
      </w:r>
      <w:r w:rsidR="00F22D6B">
        <w:t xml:space="preserve"> </w:t>
      </w:r>
      <w:r w:rsidR="001B720B" w:rsidRPr="004C44FD">
        <w:t>(</w:t>
      </w:r>
      <w:r w:rsidR="001B720B">
        <w:rPr>
          <w:i/>
          <w:iCs/>
        </w:rPr>
        <w:t>Ibid.</w:t>
      </w:r>
      <w:r w:rsidR="001B720B" w:rsidRPr="004C44FD">
        <w:t xml:space="preserve">) </w:t>
      </w:r>
      <w:r w:rsidR="001B720B">
        <w:t xml:space="preserve"> </w:t>
      </w:r>
      <w:r w:rsidR="006D0B3B">
        <w:t>It reasoned</w:t>
      </w:r>
      <w:r w:rsidR="001B720B">
        <w:t xml:space="preserve"> </w:t>
      </w:r>
      <w:r w:rsidR="001B720B" w:rsidRPr="004C44FD">
        <w:t>that “[s]</w:t>
      </w:r>
      <w:proofErr w:type="spellStart"/>
      <w:r w:rsidR="001B720B" w:rsidRPr="004C44FD">
        <w:t>ince</w:t>
      </w:r>
      <w:proofErr w:type="spellEnd"/>
      <w:r w:rsidR="001B720B" w:rsidRPr="004C44FD">
        <w:t xml:space="preserve"> defendant railroad was an active joint participant in closing the crossing, it is a proper party to the present litigation.” </w:t>
      </w:r>
      <w:r w:rsidR="00735E3D">
        <w:t xml:space="preserve"> </w:t>
      </w:r>
      <w:r w:rsidR="001B720B" w:rsidRPr="004C44FD">
        <w:t>(</w:t>
      </w:r>
      <w:r w:rsidR="001B720B">
        <w:rPr>
          <w:i/>
          <w:iCs/>
        </w:rPr>
        <w:t>Ibid</w:t>
      </w:r>
      <w:r w:rsidR="001B720B" w:rsidRPr="004C44FD">
        <w:t>.)</w:t>
      </w:r>
      <w:r w:rsidR="001B720B">
        <w:t xml:space="preserve">  </w:t>
      </w:r>
      <w:r w:rsidR="00A64DC3">
        <w:rPr>
          <w:i/>
          <w:iCs/>
        </w:rPr>
        <w:t>Pacific Bell</w:t>
      </w:r>
      <w:r w:rsidR="001B720B">
        <w:rPr>
          <w:i/>
          <w:iCs/>
        </w:rPr>
        <w:t xml:space="preserve"> </w:t>
      </w:r>
      <w:r w:rsidR="00AE0823">
        <w:t>rejected</w:t>
      </w:r>
      <w:r w:rsidR="001B720B">
        <w:t xml:space="preserve"> SCE’s narrow reading of </w:t>
      </w:r>
      <w:proofErr w:type="spellStart"/>
      <w:r w:rsidR="001B720B">
        <w:rPr>
          <w:i/>
          <w:iCs/>
        </w:rPr>
        <w:t>Breidert</w:t>
      </w:r>
      <w:proofErr w:type="spellEnd"/>
      <w:r w:rsidR="001B720B">
        <w:rPr>
          <w:i/>
          <w:iCs/>
        </w:rPr>
        <w:t xml:space="preserve"> </w:t>
      </w:r>
      <w:r w:rsidR="00AE0823">
        <w:t xml:space="preserve">and did not </w:t>
      </w:r>
      <w:r w:rsidR="001B720B">
        <w:t xml:space="preserve">require joint participation with a government entity for liability </w:t>
      </w:r>
      <w:r w:rsidR="00FB5BD3">
        <w:t xml:space="preserve">to attach to SCE for an </w:t>
      </w:r>
      <w:r w:rsidR="001B720B">
        <w:t>inverse condemnation</w:t>
      </w:r>
      <w:r w:rsidR="00FB5BD3">
        <w:t xml:space="preserve"> claim:  </w:t>
      </w:r>
      <w:r w:rsidR="00CA39F5">
        <w:t>“</w:t>
      </w:r>
      <w:r w:rsidR="00CA39F5" w:rsidRPr="00CA39F5">
        <w:t>While joint participation may certainly give rise to inverse condemnation liability, we do not believe it is required.</w:t>
      </w:r>
      <w:r w:rsidR="00CA39F5">
        <w:t>”</w:t>
      </w:r>
      <w:r w:rsidR="00CA39F5" w:rsidRPr="00CA39F5">
        <w:t xml:space="preserve"> </w:t>
      </w:r>
      <w:r w:rsidR="00434850">
        <w:t xml:space="preserve"> </w:t>
      </w:r>
      <w:r w:rsidR="001B720B">
        <w:t>(</w:t>
      </w:r>
      <w:r w:rsidR="00A64DC3">
        <w:rPr>
          <w:i/>
          <w:iCs/>
        </w:rPr>
        <w:t>Pacific Bell</w:t>
      </w:r>
      <w:r w:rsidR="001B720B">
        <w:rPr>
          <w:i/>
          <w:iCs/>
        </w:rPr>
        <w:t xml:space="preserve">, </w:t>
      </w:r>
      <w:r w:rsidR="001B720B">
        <w:t>at p.</w:t>
      </w:r>
      <w:r w:rsidR="0096297E">
        <w:t> </w:t>
      </w:r>
      <w:r w:rsidR="00A64DC3">
        <w:t>1405</w:t>
      </w:r>
      <w:r w:rsidR="001B720B">
        <w:t>.)</w:t>
      </w:r>
      <w:r w:rsidR="00741B7B">
        <w:t xml:space="preserve">  </w:t>
      </w:r>
    </w:p>
    <w:p w14:paraId="717A07F7" w14:textId="19C2E717" w:rsidR="001B720B" w:rsidRPr="00032809" w:rsidRDefault="003E6D22" w:rsidP="001B720B">
      <w:pPr>
        <w:ind w:firstLine="720"/>
      </w:pPr>
      <w:r>
        <w:rPr>
          <w:i/>
          <w:iCs/>
        </w:rPr>
        <w:t xml:space="preserve">Pacific Bell </w:t>
      </w:r>
      <w:r w:rsidR="00434850">
        <w:t>further</w:t>
      </w:r>
      <w:r w:rsidR="00A440F8">
        <w:t xml:space="preserve"> </w:t>
      </w:r>
      <w:r>
        <w:t>observed the</w:t>
      </w:r>
      <w:r w:rsidR="003F3645">
        <w:t xml:space="preserve"> California</w:t>
      </w:r>
      <w:r>
        <w:t xml:space="preserve"> Supreme Court </w:t>
      </w:r>
      <w:r w:rsidR="00B64450">
        <w:t xml:space="preserve">had previously </w:t>
      </w:r>
      <w:r>
        <w:t xml:space="preserve">indicated </w:t>
      </w:r>
      <w:r w:rsidR="00490A38">
        <w:t>a</w:t>
      </w:r>
      <w:r w:rsidR="00AB7D73">
        <w:t xml:space="preserve"> privately-owned utility could be liable </w:t>
      </w:r>
      <w:r w:rsidR="00490A38">
        <w:t xml:space="preserve">for </w:t>
      </w:r>
      <w:r w:rsidR="00AB7D73">
        <w:t>inverse condemnation in</w:t>
      </w:r>
      <w:r w:rsidR="00741B7B">
        <w:t xml:space="preserve"> </w:t>
      </w:r>
      <w:r w:rsidR="00741B7B" w:rsidRPr="00AB7D73">
        <w:rPr>
          <w:i/>
          <w:iCs/>
        </w:rPr>
        <w:t xml:space="preserve">Pettis v. General </w:t>
      </w:r>
      <w:r w:rsidR="001A0F43">
        <w:rPr>
          <w:i/>
          <w:iCs/>
        </w:rPr>
        <w:t xml:space="preserve">Telephone </w:t>
      </w:r>
      <w:r w:rsidR="00741B7B" w:rsidRPr="00AB7D73">
        <w:rPr>
          <w:i/>
          <w:iCs/>
        </w:rPr>
        <w:t>Co.</w:t>
      </w:r>
      <w:r w:rsidR="00741B7B" w:rsidRPr="00741B7B">
        <w:t xml:space="preserve"> (1967) 66</w:t>
      </w:r>
      <w:r w:rsidR="00F22D6B">
        <w:t> </w:t>
      </w:r>
      <w:r w:rsidR="00741B7B" w:rsidRPr="00741B7B">
        <w:t>Cal.2d 503</w:t>
      </w:r>
      <w:r w:rsidR="00C33433">
        <w:t xml:space="preserve"> (</w:t>
      </w:r>
      <w:r w:rsidR="00C33433">
        <w:rPr>
          <w:i/>
          <w:iCs/>
        </w:rPr>
        <w:t>Pettis</w:t>
      </w:r>
      <w:r w:rsidR="00C33433">
        <w:t>)</w:t>
      </w:r>
      <w:r w:rsidR="00490A38">
        <w:t xml:space="preserve">.  </w:t>
      </w:r>
      <w:r w:rsidR="00490A38">
        <w:rPr>
          <w:i/>
          <w:iCs/>
        </w:rPr>
        <w:t>Pettis</w:t>
      </w:r>
      <w:r w:rsidR="00490A38">
        <w:t xml:space="preserve"> involve</w:t>
      </w:r>
      <w:r w:rsidR="004B6B62">
        <w:t>d</w:t>
      </w:r>
      <w:r w:rsidR="00490A38">
        <w:t xml:space="preserve"> claim</w:t>
      </w:r>
      <w:r w:rsidR="004B6B62">
        <w:t>s</w:t>
      </w:r>
      <w:r w:rsidR="00490A38">
        <w:t xml:space="preserve"> against two utilities</w:t>
      </w:r>
      <w:r w:rsidR="004B6B62">
        <w:t xml:space="preserve"> </w:t>
      </w:r>
      <w:r w:rsidR="00490A38">
        <w:t>to compel removal of utility lines</w:t>
      </w:r>
      <w:r w:rsidR="00CC1E4A">
        <w:t xml:space="preserve">. </w:t>
      </w:r>
      <w:r w:rsidR="00486408">
        <w:t xml:space="preserve"> </w:t>
      </w:r>
      <w:r w:rsidR="00CC1E4A">
        <w:t>T</w:t>
      </w:r>
      <w:r w:rsidR="00CC1E4A" w:rsidRPr="00CC1E4A">
        <w:t xml:space="preserve">he defendant utilities argued the plaintiff was not entitled to injunctive relief or to quiet title against them because his property had been put to a public use and the public interest had intervened. </w:t>
      </w:r>
      <w:r w:rsidR="00486408">
        <w:t xml:space="preserve"> </w:t>
      </w:r>
      <w:r w:rsidR="00CC1E4A" w:rsidRPr="00CC1E4A">
        <w:t>(</w:t>
      </w:r>
      <w:r w:rsidR="00CC1E4A" w:rsidRPr="00502811">
        <w:rPr>
          <w:i/>
          <w:iCs/>
        </w:rPr>
        <w:t>Id.</w:t>
      </w:r>
      <w:r w:rsidR="00CC1E4A" w:rsidRPr="00CC1E4A">
        <w:t xml:space="preserve"> at pp.</w:t>
      </w:r>
      <w:r w:rsidR="00137E4E">
        <w:t> </w:t>
      </w:r>
      <w:r w:rsidR="00CC1E4A" w:rsidRPr="00CC1E4A">
        <w:t>505, 507</w:t>
      </w:r>
      <w:r w:rsidR="00502811">
        <w:t>.</w:t>
      </w:r>
      <w:r w:rsidR="00CC1E4A" w:rsidRPr="00CC1E4A">
        <w:t xml:space="preserve">) </w:t>
      </w:r>
      <w:r w:rsidR="00486408">
        <w:t xml:space="preserve"> </w:t>
      </w:r>
      <w:r w:rsidR="00CC1E4A" w:rsidRPr="00CC1E4A">
        <w:t xml:space="preserve">The </w:t>
      </w:r>
      <w:r w:rsidR="003F3645">
        <w:t>high court</w:t>
      </w:r>
      <w:r w:rsidR="00CC1E4A" w:rsidRPr="00CC1E4A">
        <w:t xml:space="preserve"> agreed that if the defendants </w:t>
      </w:r>
      <w:r w:rsidR="00CC1E4A" w:rsidRPr="00CC1E4A">
        <w:lastRenderedPageBreak/>
        <w:t>established at trial the necessity of maintaining their utility lines through the plaintiff</w:t>
      </w:r>
      <w:r w:rsidR="00BE578E">
        <w:t>’</w:t>
      </w:r>
      <w:r w:rsidR="00CC1E4A" w:rsidRPr="00CC1E4A">
        <w:t>s property, then the plaintiff would be “relegated to the remedy of damages as in inverse condemnation.”</w:t>
      </w:r>
      <w:r w:rsidR="00F22D6B">
        <w:t xml:space="preserve"> </w:t>
      </w:r>
      <w:r w:rsidR="00CC1E4A" w:rsidRPr="00CC1E4A">
        <w:t xml:space="preserve"> (</w:t>
      </w:r>
      <w:r w:rsidR="00CC1E4A" w:rsidRPr="00BE578E">
        <w:rPr>
          <w:i/>
          <w:iCs/>
        </w:rPr>
        <w:t>Id</w:t>
      </w:r>
      <w:r w:rsidR="00CC1E4A" w:rsidRPr="00CC1E4A">
        <w:t>. at p. 507</w:t>
      </w:r>
      <w:r w:rsidR="00502811">
        <w:t>.)</w:t>
      </w:r>
    </w:p>
    <w:p w14:paraId="135D865D" w14:textId="0DA5FA8A" w:rsidR="00A7373B" w:rsidRPr="00072916" w:rsidRDefault="004A1112" w:rsidP="00B3656A">
      <w:pPr>
        <w:ind w:firstLine="720"/>
      </w:pPr>
      <w:r>
        <w:rPr>
          <w:i/>
          <w:iCs/>
        </w:rPr>
        <w:t>Pacific Bell</w:t>
      </w:r>
      <w:r w:rsidR="00021A25">
        <w:t xml:space="preserve"> </w:t>
      </w:r>
      <w:r w:rsidR="0015145D">
        <w:t xml:space="preserve">also </w:t>
      </w:r>
      <w:r w:rsidR="00021A25">
        <w:t xml:space="preserve">found </w:t>
      </w:r>
      <w:r w:rsidR="00BE578E">
        <w:rPr>
          <w:i/>
          <w:iCs/>
        </w:rPr>
        <w:t>GLSA</w:t>
      </w:r>
      <w:r w:rsidR="00D1741E">
        <w:rPr>
          <w:i/>
          <w:iCs/>
        </w:rPr>
        <w:t xml:space="preserve">, </w:t>
      </w:r>
      <w:r w:rsidR="00D1741E">
        <w:t>discussed above,</w:t>
      </w:r>
      <w:r w:rsidR="009207A2">
        <w:rPr>
          <w:i/>
          <w:iCs/>
        </w:rPr>
        <w:t xml:space="preserve"> </w:t>
      </w:r>
      <w:r w:rsidR="00B84400" w:rsidRPr="00B84400">
        <w:t xml:space="preserve">and </w:t>
      </w:r>
      <w:r w:rsidR="00B84400" w:rsidRPr="005550CE">
        <w:rPr>
          <w:i/>
          <w:iCs/>
        </w:rPr>
        <w:t>Eachus</w:t>
      </w:r>
      <w:r w:rsidR="00B771BC">
        <w:rPr>
          <w:i/>
          <w:iCs/>
        </w:rPr>
        <w:t> </w:t>
      </w:r>
      <w:r w:rsidR="00B84400" w:rsidRPr="005550CE">
        <w:rPr>
          <w:i/>
          <w:iCs/>
        </w:rPr>
        <w:t xml:space="preserve">v. Los Angeles etc. Ry. Co. </w:t>
      </w:r>
      <w:r w:rsidR="00B84400" w:rsidRPr="005550CE">
        <w:t>(1894) 103 Cal. 61</w:t>
      </w:r>
      <w:r w:rsidR="00B84400">
        <w:t>4</w:t>
      </w:r>
      <w:r w:rsidR="00905D05">
        <w:t xml:space="preserve"> (</w:t>
      </w:r>
      <w:r w:rsidR="00905D05">
        <w:rPr>
          <w:i/>
          <w:iCs/>
        </w:rPr>
        <w:t>Eachus</w:t>
      </w:r>
      <w:r w:rsidR="006E4EAE">
        <w:rPr>
          <w:u w:val="single"/>
        </w:rPr>
        <w:t>)</w:t>
      </w:r>
      <w:r w:rsidR="00BE578E">
        <w:t>,</w:t>
      </w:r>
      <w:r w:rsidR="00FB1F59" w:rsidRPr="00FB1F59">
        <w:t xml:space="preserve"> </w:t>
      </w:r>
      <w:r w:rsidR="008F6A5E">
        <w:t>persuasive</w:t>
      </w:r>
      <w:r w:rsidR="00EC2C05">
        <w:t>.</w:t>
      </w:r>
      <w:r w:rsidR="00342D75">
        <w:t xml:space="preserve">  </w:t>
      </w:r>
      <w:r w:rsidR="00F67C90">
        <w:t xml:space="preserve">In </w:t>
      </w:r>
      <w:r w:rsidR="00F67C90">
        <w:rPr>
          <w:i/>
          <w:iCs/>
        </w:rPr>
        <w:t xml:space="preserve">Eachus, </w:t>
      </w:r>
      <w:r w:rsidR="00F67C90">
        <w:t xml:space="preserve">the </w:t>
      </w:r>
      <w:r w:rsidR="003F3645">
        <w:t xml:space="preserve">California </w:t>
      </w:r>
      <w:r w:rsidR="00F67C90">
        <w:t xml:space="preserve">Supreme Court </w:t>
      </w:r>
      <w:r w:rsidR="003D449D" w:rsidRPr="003D449D">
        <w:t>affirmed</w:t>
      </w:r>
      <w:r w:rsidR="003D449D">
        <w:t xml:space="preserve"> an</w:t>
      </w:r>
      <w:r w:rsidR="003D449D" w:rsidRPr="003D449D">
        <w:t xml:space="preserve"> award </w:t>
      </w:r>
      <w:r w:rsidR="003D449D">
        <w:t xml:space="preserve">of inverse condemnation damages </w:t>
      </w:r>
      <w:r w:rsidR="00D36D3A">
        <w:t>against</w:t>
      </w:r>
      <w:r w:rsidR="00342D75">
        <w:t xml:space="preserve"> a privately</w:t>
      </w:r>
      <w:r w:rsidR="00F323BC">
        <w:t xml:space="preserve"> </w:t>
      </w:r>
      <w:r w:rsidR="00342D75">
        <w:t>owned</w:t>
      </w:r>
      <w:r w:rsidR="00D36D3A">
        <w:t xml:space="preserve"> railroad company.</w:t>
      </w:r>
      <w:r w:rsidR="00E43D4F">
        <w:t xml:space="preserve">  (</w:t>
      </w:r>
      <w:r w:rsidR="00E43D4F">
        <w:rPr>
          <w:i/>
          <w:iCs/>
        </w:rPr>
        <w:t>Eachus</w:t>
      </w:r>
      <w:r w:rsidR="00E43D4F">
        <w:t>, at p</w:t>
      </w:r>
      <w:r w:rsidR="006904CB">
        <w:t>p</w:t>
      </w:r>
      <w:r w:rsidR="00E43D4F">
        <w:t>.</w:t>
      </w:r>
      <w:r w:rsidR="006904CB">
        <w:t xml:space="preserve"> 622-623</w:t>
      </w:r>
      <w:r w:rsidR="00550796">
        <w:t>.)</w:t>
      </w:r>
      <w:r w:rsidR="00D36D3A">
        <w:t xml:space="preserve">  The </w:t>
      </w:r>
      <w:r w:rsidR="008F346D">
        <w:t xml:space="preserve">city had granted the railroad company a franchise to construct a railroad </w:t>
      </w:r>
      <w:r w:rsidR="00ED5079">
        <w:t>in front of the plaintiffs’ property</w:t>
      </w:r>
      <w:r w:rsidR="00746436">
        <w:t>.</w:t>
      </w:r>
      <w:r w:rsidR="00ED5079">
        <w:t xml:space="preserve">  </w:t>
      </w:r>
      <w:r w:rsidR="00A7373B">
        <w:t>(</w:t>
      </w:r>
      <w:r w:rsidR="002178CB">
        <w:rPr>
          <w:i/>
          <w:iCs/>
        </w:rPr>
        <w:t>Id.</w:t>
      </w:r>
      <w:r w:rsidR="00A7373B">
        <w:rPr>
          <w:i/>
          <w:iCs/>
        </w:rPr>
        <w:t xml:space="preserve"> </w:t>
      </w:r>
      <w:r w:rsidR="006D6760">
        <w:t>a</w:t>
      </w:r>
      <w:r w:rsidR="00A7373B">
        <w:t xml:space="preserve">t </w:t>
      </w:r>
      <w:r w:rsidR="001A0F43">
        <w:t>p. </w:t>
      </w:r>
      <w:r w:rsidR="00A7373B">
        <w:t>61</w:t>
      </w:r>
      <w:r w:rsidR="006904CB">
        <w:t>5</w:t>
      </w:r>
      <w:r w:rsidR="00A7373B">
        <w:t xml:space="preserve">.)  </w:t>
      </w:r>
      <w:r w:rsidR="0073262A">
        <w:rPr>
          <w:i/>
          <w:iCs/>
        </w:rPr>
        <w:t xml:space="preserve">Pacific Bell </w:t>
      </w:r>
      <w:r w:rsidR="0073262A">
        <w:t xml:space="preserve">reasoned, </w:t>
      </w:r>
      <w:r w:rsidR="00072916">
        <w:t>“</w:t>
      </w:r>
      <w:r w:rsidR="0073262A" w:rsidRPr="0073262A">
        <w:t xml:space="preserve">like </w:t>
      </w:r>
      <w:r w:rsidR="009D27A4">
        <w:rPr>
          <w:i/>
          <w:iCs/>
        </w:rPr>
        <w:t xml:space="preserve">[GLSA] </w:t>
      </w:r>
      <w:r w:rsidR="0073262A" w:rsidRPr="0073262A">
        <w:t xml:space="preserve">the dispositive factor in </w:t>
      </w:r>
      <w:r w:rsidR="0073262A" w:rsidRPr="0073262A">
        <w:rPr>
          <w:i/>
          <w:iCs/>
        </w:rPr>
        <w:t>Eachus</w:t>
      </w:r>
      <w:r w:rsidR="0073262A" w:rsidRPr="0073262A">
        <w:t xml:space="preserve"> appears to be the quasi-monopolistic authority and delegated power given to the defendant by the grant of a franchise</w:t>
      </w:r>
      <w:r w:rsidR="0073262A">
        <w:t>”</w:t>
      </w:r>
      <w:r w:rsidR="00A958B7">
        <w:t xml:space="preserve"> in determining whether a </w:t>
      </w:r>
      <w:proofErr w:type="gramStart"/>
      <w:r w:rsidR="00A958B7">
        <w:t>privately-held</w:t>
      </w:r>
      <w:proofErr w:type="gramEnd"/>
      <w:r w:rsidR="00A958B7">
        <w:t xml:space="preserve"> company could be held liable for inverse condemnation.</w:t>
      </w:r>
      <w:r w:rsidR="0073262A">
        <w:t xml:space="preserve"> </w:t>
      </w:r>
      <w:r w:rsidR="00A968CE">
        <w:t xml:space="preserve"> </w:t>
      </w:r>
      <w:r w:rsidR="0073262A">
        <w:t>(</w:t>
      </w:r>
      <w:r w:rsidR="00072916">
        <w:rPr>
          <w:i/>
          <w:iCs/>
        </w:rPr>
        <w:t xml:space="preserve">Pacific Bell, supra, </w:t>
      </w:r>
      <w:r w:rsidR="00072916">
        <w:t>208 Cal.App.4th at p. 1407.)</w:t>
      </w:r>
    </w:p>
    <w:p w14:paraId="5A97E97A" w14:textId="116E9FF3" w:rsidR="002A0EAE" w:rsidRDefault="00F55F56" w:rsidP="00B3656A">
      <w:pPr>
        <w:ind w:firstLine="720"/>
      </w:pPr>
      <w:r>
        <w:rPr>
          <w:i/>
          <w:iCs/>
        </w:rPr>
        <w:t xml:space="preserve">Pacific Bell </w:t>
      </w:r>
      <w:r w:rsidR="00F67C90" w:rsidRPr="00F67C90">
        <w:t>distinguishe</w:t>
      </w:r>
      <w:r>
        <w:t xml:space="preserve">d </w:t>
      </w:r>
      <w:r w:rsidR="00D631A2">
        <w:t>the</w:t>
      </w:r>
      <w:r>
        <w:t xml:space="preserve"> </w:t>
      </w:r>
      <w:r w:rsidR="00B816F7">
        <w:t>facts</w:t>
      </w:r>
      <w:r>
        <w:t xml:space="preserve"> </w:t>
      </w:r>
      <w:r w:rsidR="00D631A2">
        <w:t xml:space="preserve">before it </w:t>
      </w:r>
      <w:r w:rsidR="00F67C90" w:rsidRPr="00F67C90">
        <w:t xml:space="preserve">from cases </w:t>
      </w:r>
      <w:r w:rsidR="005F3A5E">
        <w:t xml:space="preserve">involving </w:t>
      </w:r>
      <w:r w:rsidR="00F67C90" w:rsidRPr="00F67C90">
        <w:t xml:space="preserve">private parties who </w:t>
      </w:r>
      <w:r w:rsidR="00C22ECB">
        <w:t xml:space="preserve">did not operate under </w:t>
      </w:r>
      <w:r w:rsidR="005F3A5E">
        <w:t>a similar franchise from the</w:t>
      </w:r>
      <w:r w:rsidR="00746436">
        <w:t xml:space="preserve"> state</w:t>
      </w:r>
      <w:r>
        <w:t xml:space="preserve">. </w:t>
      </w:r>
      <w:r w:rsidR="00B816F7">
        <w:t xml:space="preserve"> </w:t>
      </w:r>
      <w:r w:rsidR="00BD27D9">
        <w:t>(</w:t>
      </w:r>
      <w:r w:rsidR="00BD27D9">
        <w:rPr>
          <w:i/>
          <w:iCs/>
        </w:rPr>
        <w:t xml:space="preserve">Pacific Bell, supra, </w:t>
      </w:r>
      <w:r w:rsidR="006B1273">
        <w:t>208 Cal.App.4th at p. 1407.)</w:t>
      </w:r>
      <w:r w:rsidR="00C002C2">
        <w:t xml:space="preserve"> </w:t>
      </w:r>
      <w:r w:rsidR="0056226C">
        <w:t xml:space="preserve"> </w:t>
      </w:r>
      <w:r w:rsidR="00D865CB">
        <w:t>“</w:t>
      </w:r>
      <w:r w:rsidR="0056226C">
        <w:t>H</w:t>
      </w:r>
      <w:r w:rsidR="00D865CB" w:rsidRPr="00D865CB">
        <w:t>ere, the government has chosen to grant a franchise and delegate the furnishing of electricity to Edison rather than operating the utility itself.</w:t>
      </w:r>
      <w:r w:rsidR="0056226C">
        <w:t xml:space="preserve"> </w:t>
      </w:r>
      <w:r w:rsidR="00D865CB" w:rsidRPr="00D865CB">
        <w:t xml:space="preserve"> Such a delegation does not remove the policy justifications underlying inverse condemnation liability:</w:t>
      </w:r>
      <w:r w:rsidR="0066609B">
        <w:t xml:space="preserve"> </w:t>
      </w:r>
      <w:r w:rsidR="00D865CB" w:rsidRPr="00D865CB">
        <w:t xml:space="preserve"> that </w:t>
      </w:r>
      <w:r w:rsidR="006054C0">
        <w:t xml:space="preserve">[injured] </w:t>
      </w:r>
      <w:r w:rsidR="00D865CB" w:rsidRPr="00D865CB">
        <w:t xml:space="preserve">individual property owners should not have to contribute disproportionately to the risks from public improvements made to benefit the </w:t>
      </w:r>
      <w:proofErr w:type="gramStart"/>
      <w:r w:rsidR="00D865CB" w:rsidRPr="00D865CB">
        <w:t>community as a whole</w:t>
      </w:r>
      <w:proofErr w:type="gramEnd"/>
      <w:r w:rsidR="00D865CB" w:rsidRPr="00D865CB">
        <w:t>.</w:t>
      </w:r>
      <w:r w:rsidR="00D865CB">
        <w:t>”</w:t>
      </w:r>
      <w:r w:rsidR="00EF2955">
        <w:rPr>
          <w:rStyle w:val="FootnoteReference"/>
        </w:rPr>
        <w:footnoteReference w:id="14"/>
      </w:r>
      <w:r w:rsidR="00D865CB">
        <w:t xml:space="preserve"> </w:t>
      </w:r>
      <w:r w:rsidR="00F22D6B">
        <w:t xml:space="preserve"> </w:t>
      </w:r>
      <w:r w:rsidR="00D865CB">
        <w:t>(</w:t>
      </w:r>
      <w:r w:rsidR="00D865CB">
        <w:rPr>
          <w:i/>
          <w:iCs/>
        </w:rPr>
        <w:t>I</w:t>
      </w:r>
      <w:r w:rsidR="001A0F43">
        <w:rPr>
          <w:i/>
          <w:iCs/>
        </w:rPr>
        <w:t>bi</w:t>
      </w:r>
      <w:r w:rsidR="00D865CB">
        <w:rPr>
          <w:i/>
          <w:iCs/>
        </w:rPr>
        <w:t>d.</w:t>
      </w:r>
      <w:r w:rsidR="00D865CB">
        <w:t>)</w:t>
      </w:r>
    </w:p>
    <w:p w14:paraId="5E51030B" w14:textId="0BEC76F2" w:rsidR="00BB02CE" w:rsidRDefault="003159FB" w:rsidP="00196E88">
      <w:r>
        <w:lastRenderedPageBreak/>
        <w:tab/>
        <w:t>SCE</w:t>
      </w:r>
      <w:r w:rsidR="00132E21">
        <w:t xml:space="preserve"> </w:t>
      </w:r>
      <w:r>
        <w:t>argu</w:t>
      </w:r>
      <w:r w:rsidR="00132E21">
        <w:t>ed</w:t>
      </w:r>
      <w:r w:rsidR="005535A3">
        <w:t xml:space="preserve"> in </w:t>
      </w:r>
      <w:r w:rsidR="005535A3">
        <w:rPr>
          <w:i/>
          <w:iCs/>
        </w:rPr>
        <w:t>Pacific Bell</w:t>
      </w:r>
      <w:r>
        <w:t xml:space="preserve">, </w:t>
      </w:r>
      <w:r w:rsidR="00132E21">
        <w:t xml:space="preserve">as it does </w:t>
      </w:r>
      <w:r w:rsidR="00243BC4">
        <w:t>in this case</w:t>
      </w:r>
      <w:r>
        <w:t>, that</w:t>
      </w:r>
      <w:r w:rsidR="00006E70">
        <w:t xml:space="preserve"> the policy behind inverse condemnation was not met because</w:t>
      </w:r>
      <w:r>
        <w:t xml:space="preserve"> </w:t>
      </w:r>
      <w:r w:rsidR="0096560B">
        <w:t xml:space="preserve">it </w:t>
      </w:r>
      <w:r w:rsidR="00006E70">
        <w:t xml:space="preserve">could not </w:t>
      </w:r>
      <w:r w:rsidR="0096560B">
        <w:t xml:space="preserve">raise rates </w:t>
      </w:r>
      <w:r w:rsidR="00006E70">
        <w:t>without</w:t>
      </w:r>
      <w:r w:rsidR="0096560B">
        <w:t xml:space="preserve"> the CPUC’s approva</w:t>
      </w:r>
      <w:r w:rsidR="00BD0C38">
        <w:t>l</w:t>
      </w:r>
      <w:r w:rsidR="00132E21">
        <w:t>.  The court was not persuaded</w:t>
      </w:r>
      <w:r w:rsidR="00B278A0">
        <w:t xml:space="preserve"> </w:t>
      </w:r>
      <w:r w:rsidR="00E47933">
        <w:t>because there</w:t>
      </w:r>
      <w:r w:rsidR="00A04526">
        <w:t xml:space="preserve"> was no evidence</w:t>
      </w:r>
      <w:r w:rsidR="008E4EB1">
        <w:t xml:space="preserve"> </w:t>
      </w:r>
      <w:r w:rsidR="00A04526">
        <w:t xml:space="preserve">the CPUC would not allow SCE to raise its rates </w:t>
      </w:r>
      <w:r w:rsidR="008E3362">
        <w:t>to pass on damages liability</w:t>
      </w:r>
      <w:r w:rsidR="0096560B">
        <w:t>.</w:t>
      </w:r>
      <w:r w:rsidR="00243BC4">
        <w:t xml:space="preserve">  </w:t>
      </w:r>
      <w:r w:rsidR="00A04526">
        <w:t>(</w:t>
      </w:r>
      <w:r w:rsidR="008C18D5">
        <w:t xml:space="preserve">See </w:t>
      </w:r>
      <w:r w:rsidR="005535A3">
        <w:rPr>
          <w:i/>
          <w:iCs/>
        </w:rPr>
        <w:t>Pacific Bell, supra,</w:t>
      </w:r>
      <w:r w:rsidR="00A04526">
        <w:t xml:space="preserve"> </w:t>
      </w:r>
      <w:r w:rsidR="00C95DC8">
        <w:t xml:space="preserve">208 Cal.App.4th </w:t>
      </w:r>
      <w:r w:rsidR="00A04526">
        <w:t>at p. 1407.)</w:t>
      </w:r>
      <w:r w:rsidR="0096560B">
        <w:t xml:space="preserve"> </w:t>
      </w:r>
      <w:r w:rsidR="009F6EB3">
        <w:t xml:space="preserve"> Additionally, t</w:t>
      </w:r>
      <w:r w:rsidR="008E3362">
        <w:t xml:space="preserve">he court </w:t>
      </w:r>
      <w:r w:rsidR="009F6EB3">
        <w:t>observed</w:t>
      </w:r>
      <w:r w:rsidR="000A33A3">
        <w:t xml:space="preserve"> “</w:t>
      </w:r>
      <w:r w:rsidR="00DC49A5" w:rsidRPr="00DC49A5">
        <w:t>the Supreme Court has stated that, although the Legislature has chosen not to do so, nothing in the Constitution prevents the Legislature from placing municipally owned utilities under the regulations of the Public Utilities Commission, including regulation of rates.</w:t>
      </w:r>
      <w:r w:rsidR="001A0F43">
        <w:t xml:space="preserve">  [Citation.]</w:t>
      </w:r>
      <w:r w:rsidR="00DC49A5" w:rsidRPr="00DC49A5">
        <w:t xml:space="preserve"> </w:t>
      </w:r>
      <w:r w:rsidR="00991645">
        <w:t xml:space="preserve"> </w:t>
      </w:r>
      <w:r w:rsidR="00DC49A5" w:rsidRPr="00DC49A5">
        <w:t>We do not believe such regulation would immunize municipal utilities from inverse condemnation liability under the theory that they were no longer able to spread the cost of public improvements.</w:t>
      </w:r>
      <w:r w:rsidR="00DC49A5">
        <w:t xml:space="preserve">” </w:t>
      </w:r>
      <w:r w:rsidR="00991645">
        <w:t xml:space="preserve"> </w:t>
      </w:r>
      <w:r w:rsidR="00DC49A5">
        <w:t>(</w:t>
      </w:r>
      <w:r w:rsidR="00016CF8">
        <w:rPr>
          <w:i/>
          <w:iCs/>
        </w:rPr>
        <w:t>Id.</w:t>
      </w:r>
      <w:r w:rsidR="00DC49A5">
        <w:t xml:space="preserve"> at p. 1407, fn. 6.)</w:t>
      </w:r>
    </w:p>
    <w:p w14:paraId="324491CC" w14:textId="77777777" w:rsidR="00331B8F" w:rsidRDefault="00331B8F" w:rsidP="00196E88"/>
    <w:p w14:paraId="4BD2CE03" w14:textId="2653DE60" w:rsidR="00D83604" w:rsidRPr="007463E9" w:rsidRDefault="00BD17E4" w:rsidP="00BD17E4">
      <w:pPr>
        <w:ind w:left="1440" w:hanging="360"/>
      </w:pPr>
      <w:r w:rsidRPr="00BD17E4">
        <w:rPr>
          <w:i/>
          <w:iCs/>
        </w:rPr>
        <w:t>b.</w:t>
      </w:r>
      <w:r w:rsidRPr="00BD17E4">
        <w:rPr>
          <w:i/>
          <w:iCs/>
        </w:rPr>
        <w:tab/>
      </w:r>
      <w:r w:rsidR="00DB02C7">
        <w:rPr>
          <w:i/>
          <w:iCs/>
        </w:rPr>
        <w:t xml:space="preserve">SCE does not </w:t>
      </w:r>
      <w:r w:rsidR="00864C77">
        <w:rPr>
          <w:i/>
          <w:iCs/>
        </w:rPr>
        <w:t xml:space="preserve">persuasively demonstrate why we should </w:t>
      </w:r>
      <w:r w:rsidR="00DB02C7">
        <w:rPr>
          <w:i/>
          <w:iCs/>
        </w:rPr>
        <w:t xml:space="preserve">depart from </w:t>
      </w:r>
      <w:r w:rsidR="007463E9">
        <w:t xml:space="preserve">Barnham </w:t>
      </w:r>
      <w:r w:rsidR="007463E9">
        <w:rPr>
          <w:i/>
          <w:iCs/>
        </w:rPr>
        <w:t>and</w:t>
      </w:r>
      <w:r w:rsidR="007463E9">
        <w:t xml:space="preserve"> Pacific Bell</w:t>
      </w:r>
    </w:p>
    <w:p w14:paraId="2DD9B1AB" w14:textId="327D1121" w:rsidR="002F18A2" w:rsidRDefault="007463E9" w:rsidP="00650587">
      <w:pPr>
        <w:ind w:firstLine="720"/>
      </w:pPr>
      <w:r>
        <w:t xml:space="preserve">The trial court </w:t>
      </w:r>
      <w:r w:rsidR="00F352B9">
        <w:t>followed</w:t>
      </w:r>
      <w:r w:rsidR="00187A8B">
        <w:t xml:space="preserve"> the well-reasoned analysis in </w:t>
      </w:r>
      <w:r w:rsidR="00187A8B" w:rsidRPr="00383434">
        <w:rPr>
          <w:i/>
          <w:iCs/>
        </w:rPr>
        <w:t>Barham</w:t>
      </w:r>
      <w:r w:rsidR="00187A8B">
        <w:t xml:space="preserve"> and </w:t>
      </w:r>
      <w:r w:rsidR="00187A8B" w:rsidRPr="00383434">
        <w:rPr>
          <w:i/>
          <w:iCs/>
        </w:rPr>
        <w:t>Pacific Bell</w:t>
      </w:r>
      <w:r w:rsidR="00F352B9">
        <w:t>.  O</w:t>
      </w:r>
      <w:r w:rsidR="006C2D82">
        <w:t>n appeal</w:t>
      </w:r>
      <w:r w:rsidR="00F352B9">
        <w:t>,</w:t>
      </w:r>
      <w:r w:rsidR="006C2D82">
        <w:t xml:space="preserve"> </w:t>
      </w:r>
      <w:r w:rsidR="0053277F">
        <w:t>SCE</w:t>
      </w:r>
      <w:r w:rsidR="006C2D82">
        <w:t xml:space="preserve"> provides no </w:t>
      </w:r>
      <w:r w:rsidR="00F352B9">
        <w:t xml:space="preserve">persuasive </w:t>
      </w:r>
      <w:r w:rsidR="006C2D82">
        <w:t>reason to depart from their holdings.</w:t>
      </w:r>
      <w:r w:rsidR="00187A8B">
        <w:t xml:space="preserve">  </w:t>
      </w:r>
    </w:p>
    <w:p w14:paraId="0502CD0D" w14:textId="2F2CC2E8" w:rsidR="00E16816" w:rsidRDefault="002F18A2" w:rsidP="00650587">
      <w:pPr>
        <w:ind w:firstLine="720"/>
      </w:pPr>
      <w:r>
        <w:lastRenderedPageBreak/>
        <w:t>T</w:t>
      </w:r>
      <w:r w:rsidR="00187A8B">
        <w:t xml:space="preserve">he </w:t>
      </w:r>
      <w:r w:rsidR="000A0C4F">
        <w:t>master complaint</w:t>
      </w:r>
      <w:r>
        <w:t xml:space="preserve"> in this case</w:t>
      </w:r>
      <w:r w:rsidR="00187A8B">
        <w:t xml:space="preserve"> alleges SCE is “a privately owned public utility, which enjoys a state-protected monopoly or quasi-monopoly, derived from its exclusive franchise provided by the State of California and is more akin to a governmental entity than a purely private entity, and runs its utility affairs like a governmental entity. </w:t>
      </w:r>
      <w:r w:rsidR="00C42B06">
        <w:t xml:space="preserve"> </w:t>
      </w:r>
      <w:r w:rsidR="00187A8B">
        <w:t>[SCE’s] monopoly is guaranteed and safeguarded by the [CPUC], which possesses the power to refuse to issue certificates of public convenience and necessity to permit potential competition to enter the market</w:t>
      </w:r>
      <w:r w:rsidR="00EE6826">
        <w:t>.</w:t>
      </w:r>
      <w:r w:rsidR="00F22D6B">
        <w:t> </w:t>
      </w:r>
      <w:r w:rsidR="00EE6826">
        <w:t>.</w:t>
      </w:r>
      <w:r w:rsidR="00F22D6B">
        <w:t> </w:t>
      </w:r>
      <w:r w:rsidR="00EE6826">
        <w:t>.</w:t>
      </w:r>
      <w:r w:rsidR="00F22D6B">
        <w:t> </w:t>
      </w:r>
      <w:r w:rsidR="00187A8B">
        <w:t xml:space="preserve">. Under the rules and regulations set forth by the </w:t>
      </w:r>
      <w:r w:rsidR="00EE6826">
        <w:t>[CPUC]</w:t>
      </w:r>
      <w:r w:rsidR="00187A8B">
        <w:t xml:space="preserve">, amounts that SCE must pay in inverse condemnation can be included in </w:t>
      </w:r>
      <w:r w:rsidR="00244811">
        <w:t xml:space="preserve">[its] </w:t>
      </w:r>
      <w:r w:rsidR="00187A8B">
        <w:t xml:space="preserve">rates and spread among the entire group of rate payers so long as </w:t>
      </w:r>
      <w:r w:rsidR="00244811">
        <w:t>[it is]</w:t>
      </w:r>
      <w:r w:rsidR="00187A8B">
        <w:t xml:space="preserve"> otherwise acting as a reasonable and prudent manager of </w:t>
      </w:r>
      <w:r w:rsidR="00244811">
        <w:t>[its]</w:t>
      </w:r>
      <w:r w:rsidR="00187A8B">
        <w:t xml:space="preserve"> electric distribution systems.” </w:t>
      </w:r>
      <w:r w:rsidR="00AA420E">
        <w:t xml:space="preserve"> </w:t>
      </w:r>
      <w:r w:rsidR="00EB54A2">
        <w:t>T</w:t>
      </w:r>
      <w:r w:rsidR="00423DD8">
        <w:t>h</w:t>
      </w:r>
      <w:r w:rsidR="00BC3660">
        <w:t xml:space="preserve">is is sufficient to allege </w:t>
      </w:r>
      <w:r w:rsidR="00187A8B">
        <w:t xml:space="preserve">SCE </w:t>
      </w:r>
      <w:r w:rsidR="00E65F03">
        <w:t>can</w:t>
      </w:r>
      <w:r w:rsidR="00187A8B">
        <w:t xml:space="preserve"> be </w:t>
      </w:r>
      <w:r w:rsidR="001E6090">
        <w:t xml:space="preserve">held </w:t>
      </w:r>
      <w:r w:rsidR="00187A8B">
        <w:t xml:space="preserve">liable </w:t>
      </w:r>
      <w:r w:rsidR="00766446">
        <w:t xml:space="preserve">for </w:t>
      </w:r>
      <w:r w:rsidR="00187A8B">
        <w:t>inverse condemnation</w:t>
      </w:r>
      <w:r w:rsidR="001E6090">
        <w:t xml:space="preserve">.  </w:t>
      </w:r>
    </w:p>
    <w:p w14:paraId="455CC856" w14:textId="5E303FD9" w:rsidR="00187A8B" w:rsidRDefault="00187A8B" w:rsidP="00F84780">
      <w:pPr>
        <w:ind w:firstLine="720"/>
      </w:pPr>
      <w:r>
        <w:t xml:space="preserve">We are not persuaded by SCE’s </w:t>
      </w:r>
      <w:r w:rsidR="00E65F03">
        <w:t>attempts to distinguish or limit</w:t>
      </w:r>
      <w:r>
        <w:t xml:space="preserve"> </w:t>
      </w:r>
      <w:r w:rsidRPr="00650587">
        <w:rPr>
          <w:i/>
          <w:iCs/>
        </w:rPr>
        <w:t>Barham</w:t>
      </w:r>
      <w:r>
        <w:t xml:space="preserve"> and </w:t>
      </w:r>
      <w:r w:rsidRPr="00650587">
        <w:rPr>
          <w:i/>
          <w:iCs/>
        </w:rPr>
        <w:t>Pacific Bell</w:t>
      </w:r>
      <w:r w:rsidR="00AE0E0D">
        <w:rPr>
          <w:i/>
          <w:iCs/>
        </w:rPr>
        <w:t xml:space="preserve">.  </w:t>
      </w:r>
      <w:r w:rsidR="004127C2">
        <w:t>SCE</w:t>
      </w:r>
      <w:r w:rsidR="00F97BB9">
        <w:t xml:space="preserve">’s primary argument is that </w:t>
      </w:r>
      <w:r w:rsidR="00C05805">
        <w:t>both cases are</w:t>
      </w:r>
      <w:r>
        <w:t xml:space="preserve"> based on </w:t>
      </w:r>
      <w:r w:rsidR="00C05805">
        <w:t>the</w:t>
      </w:r>
      <w:r>
        <w:t xml:space="preserve"> incorrect assumption that SCE could pass on its losses </w:t>
      </w:r>
      <w:r w:rsidR="00CA7929">
        <w:t xml:space="preserve">to customers </w:t>
      </w:r>
      <w:r>
        <w:t xml:space="preserve">through rate increases.  </w:t>
      </w:r>
      <w:r w:rsidR="00CD514E">
        <w:t>But, a</w:t>
      </w:r>
      <w:r>
        <w:t xml:space="preserve">ccording to SCE, the 2017 CPUC decision </w:t>
      </w:r>
      <w:r w:rsidR="00CD514E">
        <w:t xml:space="preserve">involving </w:t>
      </w:r>
      <w:r w:rsidR="00273676">
        <w:t xml:space="preserve">SDG&amp;E </w:t>
      </w:r>
      <w:r>
        <w:t xml:space="preserve">demonstrates </w:t>
      </w:r>
      <w:r w:rsidR="002E6CB3">
        <w:t>that assumption is incorrect</w:t>
      </w:r>
      <w:r w:rsidR="003E7345">
        <w:t>.</w:t>
      </w:r>
      <w:r>
        <w:t xml:space="preserve"> </w:t>
      </w:r>
      <w:r w:rsidR="00BC5D8B">
        <w:t xml:space="preserve"> </w:t>
      </w:r>
      <w:r>
        <w:t xml:space="preserve">SCE misreads </w:t>
      </w:r>
      <w:r w:rsidRPr="00650587">
        <w:rPr>
          <w:i/>
          <w:iCs/>
        </w:rPr>
        <w:t>Barham</w:t>
      </w:r>
      <w:r>
        <w:t xml:space="preserve"> and </w:t>
      </w:r>
      <w:r w:rsidRPr="00650587">
        <w:rPr>
          <w:i/>
          <w:iCs/>
        </w:rPr>
        <w:t>Pacific Bell</w:t>
      </w:r>
      <w:r>
        <w:t xml:space="preserve">.  Neither </w:t>
      </w:r>
      <w:r w:rsidR="00AE586B">
        <w:t xml:space="preserve">case </w:t>
      </w:r>
      <w:r>
        <w:t>assumed SCE had unfettered authority to raise rates</w:t>
      </w:r>
      <w:r w:rsidR="005205B6">
        <w:t xml:space="preserve"> and </w:t>
      </w:r>
      <w:r w:rsidR="006A6896" w:rsidRPr="006A6896">
        <w:rPr>
          <w:i/>
          <w:iCs/>
        </w:rPr>
        <w:t>P</w:t>
      </w:r>
      <w:r w:rsidRPr="006A6896">
        <w:rPr>
          <w:i/>
          <w:iCs/>
        </w:rPr>
        <w:t>acific Bell</w:t>
      </w:r>
      <w:r>
        <w:t xml:space="preserve"> </w:t>
      </w:r>
      <w:r w:rsidR="005205B6">
        <w:t>expressly observed</w:t>
      </w:r>
      <w:r w:rsidR="00E205C5">
        <w:t xml:space="preserve"> that </w:t>
      </w:r>
      <w:r w:rsidR="009E664A">
        <w:t xml:space="preserve">SCE “may raise rates only with the approval of California’s Public Utility Commission.” </w:t>
      </w:r>
      <w:r w:rsidR="00BF735F">
        <w:t xml:space="preserve"> </w:t>
      </w:r>
      <w:r w:rsidR="009E664A">
        <w:t>(</w:t>
      </w:r>
      <w:r w:rsidRPr="009E664A">
        <w:rPr>
          <w:i/>
          <w:iCs/>
        </w:rPr>
        <w:t>Pacific Bell, supra</w:t>
      </w:r>
      <w:r>
        <w:t xml:space="preserve">, </w:t>
      </w:r>
      <w:r w:rsidR="001A0F43">
        <w:t>208</w:t>
      </w:r>
      <w:r w:rsidR="00BC5D8B">
        <w:t> </w:t>
      </w:r>
      <w:r w:rsidR="001A0F43">
        <w:t xml:space="preserve">Cal.App.4th </w:t>
      </w:r>
      <w:r>
        <w:t>at p. 1407</w:t>
      </w:r>
      <w:r w:rsidR="00814E1A">
        <w:t xml:space="preserve">; see </w:t>
      </w:r>
      <w:r w:rsidR="00814E1A">
        <w:rPr>
          <w:i/>
          <w:iCs/>
        </w:rPr>
        <w:t xml:space="preserve">Barham, supra, </w:t>
      </w:r>
      <w:r w:rsidR="00814E1A">
        <w:t>74</w:t>
      </w:r>
      <w:r w:rsidR="00F22D6B">
        <w:t> </w:t>
      </w:r>
      <w:r w:rsidR="00814E1A">
        <w:t>Cal.App.4th at pp. 751-753.)</w:t>
      </w:r>
    </w:p>
    <w:p w14:paraId="56E98792" w14:textId="4E4723A0" w:rsidR="00026181" w:rsidRPr="00B677EC" w:rsidRDefault="001A0F43" w:rsidP="004A01D3">
      <w:pPr>
        <w:keepNext/>
        <w:keepLines/>
        <w:ind w:firstLine="720"/>
        <w:rPr>
          <w:i/>
          <w:iCs/>
        </w:rPr>
      </w:pPr>
      <w:r>
        <w:lastRenderedPageBreak/>
        <w:t>Further</w:t>
      </w:r>
      <w:r w:rsidR="00187A8B">
        <w:t xml:space="preserve">, </w:t>
      </w:r>
      <w:r w:rsidR="00187A8B" w:rsidRPr="00AD1FBE">
        <w:rPr>
          <w:i/>
          <w:iCs/>
        </w:rPr>
        <w:t>Pacific Bell</w:t>
      </w:r>
      <w:r w:rsidR="00187A8B">
        <w:t xml:space="preserve"> rejected this </w:t>
      </w:r>
      <w:r w:rsidR="00243FF1">
        <w:t xml:space="preserve">same </w:t>
      </w:r>
      <w:r w:rsidR="00187A8B">
        <w:t>argument</w:t>
      </w:r>
      <w:r w:rsidR="00243FF1">
        <w:t xml:space="preserve"> from SCE</w:t>
      </w:r>
      <w:r w:rsidR="00187A8B">
        <w:t xml:space="preserve">.  </w:t>
      </w:r>
      <w:r w:rsidR="00026181" w:rsidRPr="008C22C6">
        <w:rPr>
          <w:i/>
          <w:iCs/>
        </w:rPr>
        <w:t>Pacific Bell</w:t>
      </w:r>
      <w:r w:rsidR="00026181">
        <w:t xml:space="preserve"> reasoned that even if </w:t>
      </w:r>
      <w:r w:rsidR="00026181" w:rsidRPr="00DE7E5A">
        <w:t>the Legislature subjected municipal utilities to the same regulations as private utilities, “such regulation would [not] immunize municipal utilities from inverse condemnation liability under the theory that they were no longer able to spread the cost of public improvements.”</w:t>
      </w:r>
      <w:r w:rsidR="00026181">
        <w:t xml:space="preserve"> </w:t>
      </w:r>
      <w:r w:rsidR="00F22D6B">
        <w:t xml:space="preserve"> </w:t>
      </w:r>
      <w:r w:rsidR="00026181">
        <w:t>(</w:t>
      </w:r>
      <w:r w:rsidR="00026181" w:rsidRPr="008C22C6">
        <w:rPr>
          <w:i/>
          <w:iCs/>
        </w:rPr>
        <w:t>Pacific Bell, supra</w:t>
      </w:r>
      <w:r w:rsidR="00026181">
        <w:t xml:space="preserve">, </w:t>
      </w:r>
      <w:r>
        <w:t xml:space="preserve">208 Cal.App.4th </w:t>
      </w:r>
      <w:r w:rsidR="00026181">
        <w:t xml:space="preserve">at p. 1407, fn. 6.)  </w:t>
      </w:r>
      <w:r w:rsidR="001F6674">
        <w:t>SCE argues this was</w:t>
      </w:r>
      <w:r w:rsidR="00026181">
        <w:t xml:space="preserve"> dicta based on an assumption that a municipality can spread losses through its </w:t>
      </w:r>
      <w:r w:rsidR="00F2284A">
        <w:t>taxation</w:t>
      </w:r>
      <w:r w:rsidR="00EC2EE3">
        <w:t xml:space="preserve"> power</w:t>
      </w:r>
      <w:r w:rsidR="00026181">
        <w:t xml:space="preserve">. </w:t>
      </w:r>
      <w:r w:rsidR="00BC5D8B">
        <w:t xml:space="preserve"> </w:t>
      </w:r>
      <w:r w:rsidR="00EC2EE3">
        <w:t xml:space="preserve">But </w:t>
      </w:r>
      <w:r w:rsidR="00026181" w:rsidRPr="005D1845">
        <w:rPr>
          <w:i/>
          <w:iCs/>
        </w:rPr>
        <w:t>Pacific Bell</w:t>
      </w:r>
      <w:r w:rsidR="00026181">
        <w:t xml:space="preserve"> made no mention of </w:t>
      </w:r>
      <w:r w:rsidR="00A26BD7">
        <w:t>a</w:t>
      </w:r>
      <w:r w:rsidR="00026181">
        <w:t xml:space="preserve"> municipality’s </w:t>
      </w:r>
      <w:r w:rsidR="00A26BD7">
        <w:t>taxing powers</w:t>
      </w:r>
      <w:r w:rsidR="00207FFA">
        <w:t xml:space="preserve"> </w:t>
      </w:r>
      <w:r w:rsidR="00FB5832">
        <w:t>and instead</w:t>
      </w:r>
      <w:r w:rsidR="00A26BD7">
        <w:t xml:space="preserve"> based its analysis on </w:t>
      </w:r>
      <w:r w:rsidR="007A6284">
        <w:t xml:space="preserve">the well-established </w:t>
      </w:r>
      <w:r w:rsidR="00B677EC">
        <w:t>“</w:t>
      </w:r>
      <w:r w:rsidR="00B677EC" w:rsidRPr="00D865CB">
        <w:t>policy justifications underlying inverse condemnation liability:</w:t>
      </w:r>
      <w:r w:rsidR="007A6284">
        <w:t xml:space="preserve"> </w:t>
      </w:r>
      <w:r w:rsidR="00B677EC" w:rsidRPr="00D865CB">
        <w:t xml:space="preserve"> that individual property owners should not have to contribute disproportionately to the risks from public improvements made to benefit the community as a whole.</w:t>
      </w:r>
      <w:r w:rsidR="00B677EC">
        <w:t xml:space="preserve">” </w:t>
      </w:r>
      <w:r w:rsidR="007A6284">
        <w:t xml:space="preserve"> </w:t>
      </w:r>
      <w:r w:rsidR="00B677EC">
        <w:t>(</w:t>
      </w:r>
      <w:r>
        <w:rPr>
          <w:i/>
          <w:iCs/>
        </w:rPr>
        <w:t xml:space="preserve">Id. </w:t>
      </w:r>
      <w:r w:rsidR="00C95DC8">
        <w:t>at p. 1407.)</w:t>
      </w:r>
    </w:p>
    <w:p w14:paraId="137E71F9" w14:textId="05B5C17E" w:rsidR="00187A8B" w:rsidRDefault="00026181" w:rsidP="00AD1FBE">
      <w:pPr>
        <w:ind w:firstLine="720"/>
      </w:pPr>
      <w:r>
        <w:t xml:space="preserve">In </w:t>
      </w:r>
      <w:r w:rsidR="007A6284">
        <w:t>all events</w:t>
      </w:r>
      <w:r w:rsidR="00187A8B">
        <w:t xml:space="preserve">, the CPUC’s 2017 decision </w:t>
      </w:r>
      <w:r w:rsidR="00FB5832">
        <w:t>regarding</w:t>
      </w:r>
      <w:r w:rsidR="00187A8B">
        <w:t xml:space="preserve"> SDG&amp;E </w:t>
      </w:r>
      <w:r w:rsidR="00FB5832">
        <w:t xml:space="preserve">did not demonstrate as a matter of law that </w:t>
      </w:r>
      <w:r w:rsidR="00187A8B">
        <w:t xml:space="preserve">the CPUC would also deny a rate increase to SCE in connection with the Thomas </w:t>
      </w:r>
      <w:r w:rsidR="001A0F43">
        <w:t>F</w:t>
      </w:r>
      <w:r w:rsidR="00187A8B">
        <w:t>ire</w:t>
      </w:r>
      <w:r w:rsidR="00C75E27">
        <w:t xml:space="preserve"> </w:t>
      </w:r>
      <w:r w:rsidR="00EF324F">
        <w:t xml:space="preserve">such that </w:t>
      </w:r>
      <w:r w:rsidR="00322C67">
        <w:t>the master complaint failed to state a claim</w:t>
      </w:r>
      <w:r w:rsidR="006B3EA5">
        <w:t xml:space="preserve"> for inverse condemnation</w:t>
      </w:r>
      <w:r w:rsidR="00187A8B" w:rsidRPr="00C21078">
        <w:t xml:space="preserve">.  </w:t>
      </w:r>
      <w:r w:rsidR="001075D5" w:rsidRPr="00C21078">
        <w:t>T</w:t>
      </w:r>
      <w:r w:rsidR="00187A8B" w:rsidRPr="00C21078">
        <w:t xml:space="preserve">he trial court </w:t>
      </w:r>
      <w:r w:rsidR="001E2F71" w:rsidRPr="00C21078">
        <w:t>recognized</w:t>
      </w:r>
      <w:r w:rsidR="00187A8B" w:rsidRPr="00C21078">
        <w:t xml:space="preserve"> </w:t>
      </w:r>
      <w:r w:rsidR="00E35BB4" w:rsidRPr="00C21078">
        <w:t xml:space="preserve">that </w:t>
      </w:r>
      <w:r w:rsidR="004326D8">
        <w:t xml:space="preserve">SCE was improperly inviting it </w:t>
      </w:r>
      <w:r w:rsidR="006E1098" w:rsidRPr="00C21078">
        <w:t>to weigh a factual dispute</w:t>
      </w:r>
      <w:r w:rsidR="005D4D9F" w:rsidRPr="00C21078">
        <w:t xml:space="preserve"> on demurrer</w:t>
      </w:r>
      <w:r w:rsidR="005625F4">
        <w:t xml:space="preserve"> regarding the effect of the 2017 CPUC decision on any future requ</w:t>
      </w:r>
      <w:r w:rsidR="00F50AF0">
        <w:t>est by SCE to the CPUC relating to the Thomas Fire</w:t>
      </w:r>
      <w:r w:rsidR="005D4D9F" w:rsidRPr="00C21078">
        <w:t xml:space="preserve">.  </w:t>
      </w:r>
      <w:r w:rsidR="006E10E3">
        <w:t xml:space="preserve">As </w:t>
      </w:r>
      <w:r w:rsidR="00F62129">
        <w:t xml:space="preserve">the trial court </w:t>
      </w:r>
      <w:r w:rsidR="005D4D9F" w:rsidRPr="00C21078">
        <w:t>correctly observed, “That alone dictates a decision to overrule the demurrer.”</w:t>
      </w:r>
    </w:p>
    <w:p w14:paraId="53C6EA34" w14:textId="533A215C" w:rsidR="007F6887" w:rsidRDefault="002A6692" w:rsidP="00C7756D">
      <w:pPr>
        <w:ind w:firstLine="720"/>
      </w:pPr>
      <w:r>
        <w:t>SCE cite</w:t>
      </w:r>
      <w:r w:rsidR="00105D46">
        <w:t>s</w:t>
      </w:r>
      <w:r>
        <w:t xml:space="preserve"> no authority that disapprove</w:t>
      </w:r>
      <w:r w:rsidR="00043CF5">
        <w:t>s, overrides, or even disagrees with</w:t>
      </w:r>
      <w:r>
        <w:t xml:space="preserve"> </w:t>
      </w:r>
      <w:r>
        <w:rPr>
          <w:i/>
          <w:iCs/>
        </w:rPr>
        <w:t xml:space="preserve">Barham </w:t>
      </w:r>
      <w:r>
        <w:t xml:space="preserve">or </w:t>
      </w:r>
      <w:r>
        <w:rPr>
          <w:i/>
          <w:iCs/>
        </w:rPr>
        <w:t xml:space="preserve">Pacific Bell.  </w:t>
      </w:r>
      <w:r w:rsidR="00404993">
        <w:t xml:space="preserve">SCE </w:t>
      </w:r>
      <w:r w:rsidR="004140CA">
        <w:t xml:space="preserve">instead </w:t>
      </w:r>
      <w:r w:rsidR="00DF2248">
        <w:t xml:space="preserve">quotes </w:t>
      </w:r>
      <w:r w:rsidR="00D80B61">
        <w:t xml:space="preserve">from </w:t>
      </w:r>
      <w:r w:rsidR="007F6887" w:rsidRPr="00404993">
        <w:rPr>
          <w:i/>
          <w:iCs/>
        </w:rPr>
        <w:t>Oroville, supra</w:t>
      </w:r>
      <w:r w:rsidR="007F6887">
        <w:t xml:space="preserve">, 7 Cal.5th at p. 1102 and </w:t>
      </w:r>
      <w:r w:rsidR="007F6887" w:rsidRPr="00404993">
        <w:rPr>
          <w:i/>
          <w:iCs/>
        </w:rPr>
        <w:t>Paterno v. State of California</w:t>
      </w:r>
      <w:r w:rsidR="007F6887">
        <w:t xml:space="preserve"> (1999) 74 Cal.App.4th 68</w:t>
      </w:r>
      <w:r w:rsidR="00A63480">
        <w:t xml:space="preserve"> (</w:t>
      </w:r>
      <w:r w:rsidR="00A63480">
        <w:rPr>
          <w:i/>
          <w:iCs/>
        </w:rPr>
        <w:t>Paterno</w:t>
      </w:r>
      <w:r w:rsidR="00A63480">
        <w:t>)</w:t>
      </w:r>
      <w:r w:rsidR="00D80B61">
        <w:t>,</w:t>
      </w:r>
      <w:r w:rsidR="007F6887">
        <w:t xml:space="preserve"> for the proposition that only a </w:t>
      </w:r>
      <w:r w:rsidR="008F6339">
        <w:t>“</w:t>
      </w:r>
      <w:r w:rsidR="007F6887">
        <w:t>public entity</w:t>
      </w:r>
      <w:r w:rsidR="00AE252B">
        <w:t>”</w:t>
      </w:r>
      <w:r w:rsidR="006B124F">
        <w:t xml:space="preserve"> </w:t>
      </w:r>
      <w:r w:rsidR="007F6887">
        <w:t xml:space="preserve">may be </w:t>
      </w:r>
      <w:r w:rsidR="00D80B61">
        <w:t>liable</w:t>
      </w:r>
      <w:r w:rsidR="005030E7">
        <w:t xml:space="preserve"> for inverse </w:t>
      </w:r>
      <w:r w:rsidR="005030E7">
        <w:lastRenderedPageBreak/>
        <w:t>condemnation</w:t>
      </w:r>
      <w:r w:rsidR="007F6887">
        <w:t xml:space="preserve">. </w:t>
      </w:r>
      <w:r w:rsidR="00BC5D8B">
        <w:t xml:space="preserve"> </w:t>
      </w:r>
      <w:r w:rsidR="007F6887">
        <w:t xml:space="preserve">Neither </w:t>
      </w:r>
      <w:r w:rsidR="00227FB7">
        <w:t>case</w:t>
      </w:r>
      <w:r w:rsidR="007F6887">
        <w:t xml:space="preserve"> </w:t>
      </w:r>
      <w:r w:rsidR="00DF2248">
        <w:t xml:space="preserve">considered </w:t>
      </w:r>
      <w:r w:rsidR="00227FB7">
        <w:t>whether</w:t>
      </w:r>
      <w:r w:rsidR="00DF2248">
        <w:t xml:space="preserve"> a private entity may be </w:t>
      </w:r>
      <w:r w:rsidR="008835C5">
        <w:t xml:space="preserve">treated as a public entity for purposes of inverse condemnation.  </w:t>
      </w:r>
      <w:r w:rsidR="007F6887">
        <w:t>The</w:t>
      </w:r>
      <w:r w:rsidR="005030E7">
        <w:t xml:space="preserve"> “public entity”</w:t>
      </w:r>
      <w:r w:rsidR="007F6887">
        <w:t xml:space="preserve"> language </w:t>
      </w:r>
      <w:r w:rsidR="00A21C7D">
        <w:t xml:space="preserve">that SCE quotes </w:t>
      </w:r>
      <w:r w:rsidR="008835C5">
        <w:t xml:space="preserve">from each case </w:t>
      </w:r>
      <w:r w:rsidR="00245795">
        <w:t xml:space="preserve">merely </w:t>
      </w:r>
      <w:r w:rsidR="007F6887">
        <w:t xml:space="preserve">reflects that the defendant </w:t>
      </w:r>
      <w:r w:rsidR="00A21C7D">
        <w:t xml:space="preserve">in those cases </w:t>
      </w:r>
      <w:r w:rsidR="007F6887">
        <w:t>was a public entity</w:t>
      </w:r>
      <w:r w:rsidR="008F6339">
        <w:t>.</w:t>
      </w:r>
      <w:r w:rsidR="007F6887">
        <w:t xml:space="preserve"> </w:t>
      </w:r>
      <w:r w:rsidR="008F6339">
        <w:t xml:space="preserve"> I</w:t>
      </w:r>
      <w:r w:rsidR="007F6887">
        <w:t xml:space="preserve">n </w:t>
      </w:r>
      <w:r w:rsidR="007F6887" w:rsidRPr="008F6339">
        <w:rPr>
          <w:i/>
          <w:iCs/>
        </w:rPr>
        <w:t>Oroville</w:t>
      </w:r>
      <w:r w:rsidR="007F6887">
        <w:t xml:space="preserve">, </w:t>
      </w:r>
      <w:r w:rsidR="008F6339">
        <w:t xml:space="preserve">the defendant was </w:t>
      </w:r>
      <w:r w:rsidR="007F6887">
        <w:t xml:space="preserve">the </w:t>
      </w:r>
      <w:r w:rsidR="00C130B4">
        <w:t>C</w:t>
      </w:r>
      <w:r w:rsidR="007F6887">
        <w:t>ity of Oroville</w:t>
      </w:r>
      <w:r w:rsidR="00F62129">
        <w:t>,</w:t>
      </w:r>
      <w:r w:rsidR="007F6887">
        <w:t xml:space="preserve"> and in </w:t>
      </w:r>
      <w:r w:rsidR="007F6887" w:rsidRPr="008F6339">
        <w:rPr>
          <w:i/>
          <w:iCs/>
        </w:rPr>
        <w:t>Paterno</w:t>
      </w:r>
      <w:r w:rsidR="007F6887">
        <w:t xml:space="preserve"> the </w:t>
      </w:r>
      <w:r w:rsidR="00EA4FEC">
        <w:t>defendant was</w:t>
      </w:r>
      <w:r w:rsidR="007F6887">
        <w:t xml:space="preserve"> the State of California. </w:t>
      </w:r>
      <w:r w:rsidR="00C130B4">
        <w:t xml:space="preserve"> </w:t>
      </w:r>
      <w:r w:rsidR="007F6887">
        <w:t>(</w:t>
      </w:r>
      <w:r w:rsidR="00C130B4">
        <w:t xml:space="preserve">See </w:t>
      </w:r>
      <w:r w:rsidR="007F6887" w:rsidRPr="008F6339">
        <w:rPr>
          <w:i/>
          <w:iCs/>
        </w:rPr>
        <w:t>Oroville</w:t>
      </w:r>
      <w:r w:rsidR="007F6887">
        <w:t xml:space="preserve">, at p. 1097; </w:t>
      </w:r>
      <w:r w:rsidR="007F6887" w:rsidRPr="008F6339">
        <w:rPr>
          <w:i/>
          <w:iCs/>
        </w:rPr>
        <w:t>Paterno</w:t>
      </w:r>
      <w:r w:rsidR="007F6887">
        <w:t xml:space="preserve">, at p. 75.)  </w:t>
      </w:r>
      <w:r w:rsidR="00C7756D">
        <w:t>A decision “does not stand for a proposition not considered by the court.”</w:t>
      </w:r>
      <w:r w:rsidR="00C7756D" w:rsidRPr="00C7756D">
        <w:rPr>
          <w:i/>
          <w:iCs/>
        </w:rPr>
        <w:t xml:space="preserve"> </w:t>
      </w:r>
      <w:r w:rsidR="00C7756D">
        <w:rPr>
          <w:i/>
          <w:iCs/>
        </w:rPr>
        <w:t xml:space="preserve"> </w:t>
      </w:r>
      <w:r w:rsidR="00C7756D">
        <w:t>(</w:t>
      </w:r>
      <w:r w:rsidR="00C7756D" w:rsidRPr="00A21C7D">
        <w:rPr>
          <w:i/>
          <w:iCs/>
        </w:rPr>
        <w:t>Nolan v. City of Anaheim</w:t>
      </w:r>
      <w:r w:rsidR="00C7756D">
        <w:t xml:space="preserve"> (2004) 33</w:t>
      </w:r>
      <w:r w:rsidR="00BC5D8B">
        <w:t> </w:t>
      </w:r>
      <w:r w:rsidR="00C7756D">
        <w:t xml:space="preserve">Cal.4th 335, 343; </w:t>
      </w:r>
      <w:r w:rsidR="00A337F5">
        <w:t xml:space="preserve">see </w:t>
      </w:r>
      <w:proofErr w:type="spellStart"/>
      <w:r w:rsidR="007F6887" w:rsidRPr="00A21C7D">
        <w:rPr>
          <w:i/>
          <w:iCs/>
        </w:rPr>
        <w:t>Gogri</w:t>
      </w:r>
      <w:proofErr w:type="spellEnd"/>
      <w:r w:rsidR="007F6887" w:rsidRPr="00A21C7D">
        <w:rPr>
          <w:i/>
          <w:iCs/>
        </w:rPr>
        <w:t xml:space="preserve"> v. Jack in the Box Inc</w:t>
      </w:r>
      <w:r w:rsidR="007F6887">
        <w:t>. (2008) 166</w:t>
      </w:r>
      <w:r w:rsidR="00BC5D8B">
        <w:t> </w:t>
      </w:r>
      <w:r w:rsidR="007F6887">
        <w:t xml:space="preserve">Cal.App.4th 255, 272.)  </w:t>
      </w:r>
    </w:p>
    <w:p w14:paraId="527CD964" w14:textId="5D3F8A33" w:rsidR="00130C61" w:rsidRDefault="00372F98" w:rsidP="00DC2A98">
      <w:pPr>
        <w:ind w:firstLine="720"/>
      </w:pPr>
      <w:r w:rsidRPr="00B84049">
        <w:t xml:space="preserve">We are </w:t>
      </w:r>
      <w:r w:rsidR="00A92E6E" w:rsidRPr="00B84049">
        <w:t xml:space="preserve">also </w:t>
      </w:r>
      <w:r w:rsidRPr="00B84049">
        <w:t xml:space="preserve">not persuaded </w:t>
      </w:r>
      <w:r w:rsidR="001B70EA" w:rsidRPr="00B84049">
        <w:t>that</w:t>
      </w:r>
      <w:r w:rsidR="008E0E22" w:rsidRPr="00B84049">
        <w:t xml:space="preserve"> Simple Avo’s </w:t>
      </w:r>
      <w:r w:rsidR="00C5031F" w:rsidRPr="00B84049">
        <w:t xml:space="preserve">position </w:t>
      </w:r>
      <w:r w:rsidR="008B7D5C" w:rsidRPr="00B84049">
        <w:t xml:space="preserve">departs </w:t>
      </w:r>
      <w:r w:rsidRPr="00B84049">
        <w:t xml:space="preserve">from the </w:t>
      </w:r>
      <w:r w:rsidR="00E437A0" w:rsidRPr="00B84049">
        <w:t>cost</w:t>
      </w:r>
      <w:r w:rsidR="00ED6DCE" w:rsidRPr="00B84049">
        <w:t xml:space="preserve">-spreading rationale </w:t>
      </w:r>
      <w:r w:rsidRPr="00B84049">
        <w:t xml:space="preserve">underlying </w:t>
      </w:r>
      <w:r w:rsidR="00A92E6E" w:rsidRPr="00B84049">
        <w:t>inverse condemnation</w:t>
      </w:r>
      <w:r w:rsidR="008B7D5C" w:rsidRPr="00B84049">
        <w:t xml:space="preserve"> to a </w:t>
      </w:r>
      <w:r w:rsidR="000B3E3E" w:rsidRPr="00B84049">
        <w:t>“</w:t>
      </w:r>
      <w:r w:rsidR="008B7D5C" w:rsidRPr="00B84049">
        <w:t>cost</w:t>
      </w:r>
      <w:r w:rsidR="00DF5DF5" w:rsidRPr="00B84049">
        <w:t>-</w:t>
      </w:r>
      <w:r w:rsidR="00E437A0" w:rsidRPr="00B84049">
        <w:t>shifting</w:t>
      </w:r>
      <w:r w:rsidR="000B3E3E" w:rsidRPr="00B84049">
        <w:t>”</w:t>
      </w:r>
      <w:r w:rsidR="008B7D5C" w:rsidRPr="00B84049">
        <w:t xml:space="preserve"> one</w:t>
      </w:r>
      <w:r w:rsidR="003D6882" w:rsidRPr="00B84049">
        <w:t xml:space="preserve"> that burdens SCE </w:t>
      </w:r>
      <w:r w:rsidR="00BF4399">
        <w:t xml:space="preserve">alone </w:t>
      </w:r>
      <w:r w:rsidR="003D6882" w:rsidRPr="00B84049">
        <w:t>with liability</w:t>
      </w:r>
      <w:r w:rsidR="00ED6DCE" w:rsidRPr="00B84049">
        <w:t xml:space="preserve">. </w:t>
      </w:r>
      <w:r w:rsidR="00BC5D8B">
        <w:t xml:space="preserve"> </w:t>
      </w:r>
      <w:r w:rsidR="001F1BCE" w:rsidRPr="00171050">
        <w:t xml:space="preserve">Simple Avo’s </w:t>
      </w:r>
      <w:r w:rsidR="007E27D7" w:rsidRPr="00171050">
        <w:t>position</w:t>
      </w:r>
      <w:r w:rsidR="001F1BCE" w:rsidRPr="00171050">
        <w:t xml:space="preserve"> rests almost entirely on </w:t>
      </w:r>
      <w:r w:rsidR="001F1BCE" w:rsidRPr="00171050">
        <w:rPr>
          <w:i/>
          <w:iCs/>
        </w:rPr>
        <w:t xml:space="preserve">Barham </w:t>
      </w:r>
      <w:r w:rsidR="001F1BCE" w:rsidRPr="00171050">
        <w:t xml:space="preserve">and </w:t>
      </w:r>
      <w:r w:rsidR="001F1BCE" w:rsidRPr="00171050">
        <w:rPr>
          <w:i/>
          <w:iCs/>
        </w:rPr>
        <w:t>Pacific Bell</w:t>
      </w:r>
      <w:r w:rsidR="00972126" w:rsidRPr="00171050">
        <w:t>, which</w:t>
      </w:r>
      <w:r w:rsidR="002F76E2" w:rsidRPr="00171050">
        <w:t xml:space="preserve"> </w:t>
      </w:r>
      <w:r w:rsidR="00533ACB" w:rsidRPr="00171050">
        <w:t>are established law that we follo</w:t>
      </w:r>
      <w:r w:rsidR="0009099F" w:rsidRPr="00171050">
        <w:t>w</w:t>
      </w:r>
      <w:r w:rsidR="00972126" w:rsidRPr="00171050">
        <w:t>.</w:t>
      </w:r>
      <w:r w:rsidR="00C228A8">
        <w:t xml:space="preserve">  Further, </w:t>
      </w:r>
      <w:r w:rsidR="0015332E">
        <w:t xml:space="preserve">to the extent SCE desires to spread </w:t>
      </w:r>
      <w:r w:rsidR="00503A76">
        <w:t>its</w:t>
      </w:r>
      <w:r w:rsidR="0015332E">
        <w:t xml:space="preserve"> costs</w:t>
      </w:r>
      <w:r w:rsidR="00D20258">
        <w:t xml:space="preserve"> to utility users, it </w:t>
      </w:r>
      <w:proofErr w:type="gramStart"/>
      <w:r w:rsidR="00BF4399">
        <w:t xml:space="preserve">has the </w:t>
      </w:r>
      <w:r w:rsidR="007D72A6">
        <w:t>ability to</w:t>
      </w:r>
      <w:proofErr w:type="gramEnd"/>
      <w:r w:rsidR="007D72A6">
        <w:t xml:space="preserve"> seek a rate increase from the CPUC</w:t>
      </w:r>
      <w:r w:rsidR="008B5291">
        <w:t>,</w:t>
      </w:r>
      <w:r w:rsidR="00640E69">
        <w:t xml:space="preserve"> and </w:t>
      </w:r>
      <w:r w:rsidR="00A96C06">
        <w:t xml:space="preserve">on demurrer </w:t>
      </w:r>
      <w:r w:rsidR="00640E69">
        <w:t xml:space="preserve">we cannot </w:t>
      </w:r>
      <w:r w:rsidR="00F7500E">
        <w:t>conclude</w:t>
      </w:r>
      <w:r w:rsidR="00640E69">
        <w:t xml:space="preserve"> </w:t>
      </w:r>
      <w:r w:rsidR="00BD1FD9">
        <w:t xml:space="preserve">as a matter of law that </w:t>
      </w:r>
      <w:r w:rsidR="00A96C06">
        <w:t xml:space="preserve">the CPUC </w:t>
      </w:r>
      <w:r w:rsidR="00BD1FD9">
        <w:t>would deny such a request.</w:t>
      </w:r>
    </w:p>
    <w:p w14:paraId="65B7E843" w14:textId="77777777" w:rsidR="00DC2A98" w:rsidRDefault="00DC2A98" w:rsidP="00A95C62"/>
    <w:p w14:paraId="40942E41" w14:textId="035A15CD" w:rsidR="00A95C62" w:rsidRDefault="00A95C62" w:rsidP="00A95C62">
      <w:pPr>
        <w:ind w:left="720" w:hanging="720"/>
        <w:rPr>
          <w:i/>
          <w:iCs/>
        </w:rPr>
      </w:pPr>
      <w:r>
        <w:t xml:space="preserve">C. </w:t>
      </w:r>
      <w:r>
        <w:tab/>
      </w:r>
      <w:r>
        <w:rPr>
          <w:i/>
          <w:iCs/>
        </w:rPr>
        <w:t xml:space="preserve">The Master Complaint </w:t>
      </w:r>
      <w:r w:rsidR="00E21E55">
        <w:rPr>
          <w:i/>
          <w:iCs/>
        </w:rPr>
        <w:t>S</w:t>
      </w:r>
      <w:r w:rsidR="005447F5">
        <w:rPr>
          <w:i/>
          <w:iCs/>
        </w:rPr>
        <w:t xml:space="preserve">ufficiently </w:t>
      </w:r>
      <w:r w:rsidR="00886A54">
        <w:rPr>
          <w:i/>
          <w:iCs/>
        </w:rPr>
        <w:t>Pleaded</w:t>
      </w:r>
      <w:r w:rsidR="005447F5">
        <w:rPr>
          <w:i/>
          <w:iCs/>
        </w:rPr>
        <w:t xml:space="preserve"> an Inverse Condemnation Claim </w:t>
      </w:r>
      <w:r w:rsidR="001A0F43">
        <w:rPr>
          <w:i/>
          <w:iCs/>
        </w:rPr>
        <w:t>A</w:t>
      </w:r>
      <w:r w:rsidR="005447F5">
        <w:rPr>
          <w:i/>
          <w:iCs/>
        </w:rPr>
        <w:t xml:space="preserve">fter </w:t>
      </w:r>
      <w:r w:rsidR="00E21E55">
        <w:t>Oroville</w:t>
      </w:r>
      <w:r>
        <w:rPr>
          <w:i/>
          <w:iCs/>
        </w:rPr>
        <w:t xml:space="preserve"> </w:t>
      </w:r>
    </w:p>
    <w:p w14:paraId="603C61A2" w14:textId="62D053C8" w:rsidR="000333FE" w:rsidRDefault="004630D3" w:rsidP="00840319">
      <w:pPr>
        <w:ind w:firstLine="720"/>
        <w:rPr>
          <w:i/>
          <w:iCs/>
        </w:rPr>
      </w:pPr>
      <w:r>
        <w:t xml:space="preserve">After the trial court </w:t>
      </w:r>
      <w:r w:rsidR="000C4BB6">
        <w:t xml:space="preserve">overruled SCE’s demurrer in 2018, the California Supreme Court issued </w:t>
      </w:r>
      <w:r w:rsidR="00F967C8">
        <w:t>its</w:t>
      </w:r>
      <w:r w:rsidR="000C4BB6">
        <w:t xml:space="preserve"> decision in </w:t>
      </w:r>
      <w:r w:rsidR="000C4BB6" w:rsidRPr="00EF7D48">
        <w:rPr>
          <w:i/>
          <w:iCs/>
        </w:rPr>
        <w:t>Oroville</w:t>
      </w:r>
      <w:r w:rsidR="000D66D4">
        <w:t xml:space="preserve"> in 2019</w:t>
      </w:r>
      <w:r w:rsidR="00F967C8" w:rsidRPr="00EF7D48">
        <w:rPr>
          <w:i/>
          <w:iCs/>
        </w:rPr>
        <w:t>,</w:t>
      </w:r>
      <w:r w:rsidR="00F967C8" w:rsidRPr="00F967C8">
        <w:t xml:space="preserve"> </w:t>
      </w:r>
      <w:r w:rsidR="000C4BB6">
        <w:t>clarif</w:t>
      </w:r>
      <w:r w:rsidR="000D66D4">
        <w:t>ying</w:t>
      </w:r>
      <w:r w:rsidR="000C4BB6">
        <w:t xml:space="preserve"> </w:t>
      </w:r>
      <w:r w:rsidR="00237C8E">
        <w:t>the</w:t>
      </w:r>
      <w:r w:rsidR="000D66D4">
        <w:t xml:space="preserve"> substantial causation</w:t>
      </w:r>
      <w:r w:rsidR="00237C8E">
        <w:t xml:space="preserve"> </w:t>
      </w:r>
      <w:r w:rsidR="00840319">
        <w:t>element of</w:t>
      </w:r>
      <w:r w:rsidR="00237C8E">
        <w:t xml:space="preserve"> an inverse condemnation cause of action.</w:t>
      </w:r>
      <w:r w:rsidR="00B917A4">
        <w:t xml:space="preserve">  </w:t>
      </w:r>
      <w:r w:rsidR="00B917A4" w:rsidRPr="00EF7D48">
        <w:rPr>
          <w:i/>
          <w:iCs/>
        </w:rPr>
        <w:t xml:space="preserve">Oroville </w:t>
      </w:r>
      <w:r w:rsidR="00B917A4">
        <w:t xml:space="preserve">explained </w:t>
      </w:r>
      <w:r w:rsidR="00E90665">
        <w:t xml:space="preserve">that </w:t>
      </w:r>
      <w:r w:rsidR="00E11858">
        <w:t xml:space="preserve">liability under inverse condemnation requires </w:t>
      </w:r>
      <w:r w:rsidR="009A5D2D">
        <w:t>addressing</w:t>
      </w:r>
      <w:r w:rsidR="008D6B7B">
        <w:t xml:space="preserve"> </w:t>
      </w:r>
      <w:r w:rsidR="00E11858">
        <w:t>“</w:t>
      </w:r>
      <w:r w:rsidR="00E11858" w:rsidRPr="00E11858">
        <w:t xml:space="preserve">a fundamental question: </w:t>
      </w:r>
      <w:r w:rsidR="00E90665">
        <w:t xml:space="preserve"> </w:t>
      </w:r>
      <w:r w:rsidR="00E11858" w:rsidRPr="00E11858">
        <w:t xml:space="preserve">whether the inherent risks associated with the </w:t>
      </w:r>
      <w:r w:rsidR="008D6B7B">
        <w:t>[public</w:t>
      </w:r>
      <w:r w:rsidR="009C6CDE">
        <w:t xml:space="preserve"> </w:t>
      </w:r>
      <w:r w:rsidR="00D06C77">
        <w:t>improvement]</w:t>
      </w:r>
      <w:r w:rsidR="00E11858" w:rsidRPr="00E11858">
        <w:t xml:space="preserve">—as deliberately designed, constructed, or maintained—were the substantial cause of the damage to the </w:t>
      </w:r>
      <w:r w:rsidR="00E11858" w:rsidRPr="00E11858">
        <w:lastRenderedPageBreak/>
        <w:t>private property.</w:t>
      </w:r>
      <w:r w:rsidR="004355A5">
        <w:t>”  (</w:t>
      </w:r>
      <w:r w:rsidR="004355A5" w:rsidRPr="00EF7D48">
        <w:rPr>
          <w:i/>
          <w:iCs/>
        </w:rPr>
        <w:t xml:space="preserve">Oroville, supra, </w:t>
      </w:r>
      <w:r w:rsidR="004355A5">
        <w:t>7 Cal.5th at p. 109</w:t>
      </w:r>
      <w:r w:rsidR="00000BB6">
        <w:t>8</w:t>
      </w:r>
      <w:r w:rsidR="004355A5">
        <w:t xml:space="preserve">.) </w:t>
      </w:r>
      <w:r w:rsidR="00920020">
        <w:t xml:space="preserve"> </w:t>
      </w:r>
      <w:r w:rsidR="00E32B7A">
        <w:t xml:space="preserve">SCE </w:t>
      </w:r>
      <w:r w:rsidR="00391895">
        <w:t xml:space="preserve">argues </w:t>
      </w:r>
      <w:r w:rsidR="00752DF9">
        <w:t>Simple Avo cannot allege the inherent risk and substantial cause components</w:t>
      </w:r>
      <w:r w:rsidR="00BB6D64">
        <w:rPr>
          <w:i/>
          <w:iCs/>
        </w:rPr>
        <w:t xml:space="preserve">.  </w:t>
      </w:r>
      <w:r w:rsidR="004A7543">
        <w:t xml:space="preserve">We </w:t>
      </w:r>
      <w:r w:rsidR="002D5CFA">
        <w:t xml:space="preserve">conclude </w:t>
      </w:r>
      <w:r w:rsidR="00CD0B42">
        <w:t xml:space="preserve">the master complaint sufficiently alleges </w:t>
      </w:r>
      <w:r w:rsidR="00051A4B">
        <w:t>both</w:t>
      </w:r>
      <w:r w:rsidR="00045273" w:rsidRPr="00EF7D48">
        <w:rPr>
          <w:i/>
          <w:iCs/>
        </w:rPr>
        <w:t>.</w:t>
      </w:r>
    </w:p>
    <w:p w14:paraId="67E195E5" w14:textId="77777777" w:rsidR="00000BB6" w:rsidRDefault="00000BB6" w:rsidP="00840319">
      <w:pPr>
        <w:ind w:firstLine="720"/>
        <w:rPr>
          <w:i/>
          <w:iCs/>
        </w:rPr>
      </w:pPr>
    </w:p>
    <w:p w14:paraId="39AB9237" w14:textId="3E77CEAA" w:rsidR="00887871" w:rsidRPr="00C84CA6" w:rsidRDefault="000333FE" w:rsidP="00E21E55">
      <w:pPr>
        <w:pStyle w:val="ListParagraph"/>
        <w:numPr>
          <w:ilvl w:val="0"/>
          <w:numId w:val="48"/>
        </w:numPr>
        <w:rPr>
          <w:i/>
          <w:iCs/>
        </w:rPr>
      </w:pPr>
      <w:r>
        <w:t xml:space="preserve">Oroville </w:t>
      </w:r>
    </w:p>
    <w:p w14:paraId="4A4644DB" w14:textId="05BF72A3" w:rsidR="00565FC9" w:rsidRDefault="006241D9" w:rsidP="00812540">
      <w:pPr>
        <w:ind w:firstLine="720"/>
      </w:pPr>
      <w:r>
        <w:t xml:space="preserve">In </w:t>
      </w:r>
      <w:r>
        <w:rPr>
          <w:i/>
          <w:iCs/>
        </w:rPr>
        <w:t xml:space="preserve">Oroville, </w:t>
      </w:r>
      <w:r w:rsidR="006E575F">
        <w:t>the plaintiff dent</w:t>
      </w:r>
      <w:r w:rsidR="000C750F">
        <w:t xml:space="preserve">ists </w:t>
      </w:r>
      <w:r w:rsidR="006E575F">
        <w:t>sued the city for inverse condemnation arising out of a sewer backup</w:t>
      </w:r>
      <w:r w:rsidR="0028140F">
        <w:t xml:space="preserve"> that caused </w:t>
      </w:r>
      <w:r w:rsidR="00F61006">
        <w:t xml:space="preserve">sewage to spew from the </w:t>
      </w:r>
      <w:r w:rsidR="00C82CF5">
        <w:t>toilets, sinks, and drains</w:t>
      </w:r>
      <w:r w:rsidR="00885B07" w:rsidRPr="00885B07">
        <w:t xml:space="preserve"> </w:t>
      </w:r>
      <w:r w:rsidR="00885B07">
        <w:t>in plaintiffs’ offices</w:t>
      </w:r>
      <w:r w:rsidR="006E575F">
        <w:t>.</w:t>
      </w:r>
      <w:r w:rsidR="00C82CF5">
        <w:t xml:space="preserve"> </w:t>
      </w:r>
      <w:r w:rsidR="00077ACD">
        <w:t xml:space="preserve"> The </w:t>
      </w:r>
      <w:r w:rsidR="005509B1">
        <w:t>plaintiff</w:t>
      </w:r>
      <w:r w:rsidR="00111C15">
        <w:t>s</w:t>
      </w:r>
      <w:r w:rsidR="00077ACD">
        <w:t xml:space="preserve"> alleged the city</w:t>
      </w:r>
      <w:r w:rsidR="005509B1">
        <w:t>’s sewer system failed to function as intended.  The</w:t>
      </w:r>
      <w:r w:rsidR="00172FB9">
        <w:t xml:space="preserve"> city</w:t>
      </w:r>
      <w:r w:rsidR="005509B1">
        <w:t xml:space="preserve"> </w:t>
      </w:r>
      <w:r w:rsidR="00111C15">
        <w:t xml:space="preserve">countered </w:t>
      </w:r>
      <w:r w:rsidR="005509B1">
        <w:t>the damage occurred because the plaintiff</w:t>
      </w:r>
      <w:r w:rsidR="0020307D">
        <w:t>s</w:t>
      </w:r>
      <w:r w:rsidR="005509B1">
        <w:t xml:space="preserve"> failed to install a </w:t>
      </w:r>
      <w:proofErr w:type="gramStart"/>
      <w:r w:rsidR="005509B1">
        <w:t>legally-required</w:t>
      </w:r>
      <w:proofErr w:type="gramEnd"/>
      <w:r w:rsidR="005509B1">
        <w:t xml:space="preserve"> backwater valve that would have prevented sewage from entering their building. </w:t>
      </w:r>
      <w:r w:rsidR="00C82CF5">
        <w:t>(</w:t>
      </w:r>
      <w:r w:rsidR="00C82CF5">
        <w:rPr>
          <w:i/>
          <w:iCs/>
        </w:rPr>
        <w:t xml:space="preserve">Oroville, supra, </w:t>
      </w:r>
      <w:r w:rsidR="00C82CF5">
        <w:t xml:space="preserve">7 Cal.5th at </w:t>
      </w:r>
      <w:r w:rsidR="00A819DB">
        <w:t>p</w:t>
      </w:r>
      <w:r w:rsidR="00C82CF5">
        <w:t xml:space="preserve">p. </w:t>
      </w:r>
      <w:r w:rsidR="00931573">
        <w:t>1097</w:t>
      </w:r>
      <w:r w:rsidR="001A0F43">
        <w:t>-</w:t>
      </w:r>
      <w:r w:rsidR="003A61E2">
        <w:t>1098</w:t>
      </w:r>
      <w:r w:rsidR="00931573">
        <w:t>.)</w:t>
      </w:r>
      <w:r w:rsidR="006E575F">
        <w:t xml:space="preserve">  </w:t>
      </w:r>
    </w:p>
    <w:p w14:paraId="0E7128C1" w14:textId="74C910DF" w:rsidR="003A61E2" w:rsidRPr="00F03F9D" w:rsidRDefault="0077582E" w:rsidP="00812540">
      <w:pPr>
        <w:ind w:firstLine="720"/>
      </w:pPr>
      <w:r>
        <w:t>After denying the city’s motion for summary judgment, t</w:t>
      </w:r>
      <w:r w:rsidR="007837D1" w:rsidRPr="007837D1">
        <w:t xml:space="preserve">he trial court </w:t>
      </w:r>
      <w:r w:rsidR="000933CB">
        <w:t>made a judicial determination under Code of Civil Procedur</w:t>
      </w:r>
      <w:r w:rsidR="00A502BA">
        <w:t xml:space="preserve">e </w:t>
      </w:r>
      <w:r>
        <w:t xml:space="preserve">section 1260.040 </w:t>
      </w:r>
      <w:r w:rsidR="007837D1" w:rsidRPr="007837D1">
        <w:t xml:space="preserve">that the primary cause of the blockage in the sewer line and the backup was root intrusion, whereas </w:t>
      </w:r>
      <w:r w:rsidR="007837D1">
        <w:t>the plaintiffs</w:t>
      </w:r>
      <w:r w:rsidR="00E145C6">
        <w:t>’</w:t>
      </w:r>
      <w:r w:rsidR="007837D1" w:rsidRPr="007837D1">
        <w:t xml:space="preserve"> failure to install the backwater valve was a secondary</w:t>
      </w:r>
      <w:r w:rsidR="00063DBF">
        <w:t xml:space="preserve">, but </w:t>
      </w:r>
      <w:r w:rsidR="007837D1" w:rsidRPr="007837D1">
        <w:t>significant cause of damage</w:t>
      </w:r>
      <w:r w:rsidR="007837D1">
        <w:t>.</w:t>
      </w:r>
      <w:r>
        <w:rPr>
          <w:rStyle w:val="FootnoteReference"/>
        </w:rPr>
        <w:footnoteReference w:id="15"/>
      </w:r>
      <w:r w:rsidR="007837D1">
        <w:t xml:space="preserve">  </w:t>
      </w:r>
      <w:r w:rsidR="00FA6A42">
        <w:t>Under these circumstances, t</w:t>
      </w:r>
      <w:r w:rsidR="00F03F9D">
        <w:t xml:space="preserve">he trial court found the city liable for inverse condemnation and the Court of Appeal affirmed. </w:t>
      </w:r>
      <w:r w:rsidR="005C7585">
        <w:t xml:space="preserve"> </w:t>
      </w:r>
      <w:r w:rsidR="00F03F9D">
        <w:t>(</w:t>
      </w:r>
      <w:r w:rsidR="001A0F43">
        <w:rPr>
          <w:i/>
          <w:iCs/>
        </w:rPr>
        <w:t xml:space="preserve">Oroville, supra, </w:t>
      </w:r>
      <w:r w:rsidR="001A0F43">
        <w:t xml:space="preserve">7 Cal.5th </w:t>
      </w:r>
      <w:r w:rsidR="00F03F9D" w:rsidRPr="001A0F43">
        <w:t>at</w:t>
      </w:r>
      <w:r w:rsidR="00F03F9D">
        <w:t xml:space="preserve"> p. 1099.)</w:t>
      </w:r>
    </w:p>
    <w:p w14:paraId="6FBC1648" w14:textId="39370FBF" w:rsidR="00812540" w:rsidRDefault="00933D2F" w:rsidP="00E84332">
      <w:pPr>
        <w:keepNext/>
        <w:keepLines/>
        <w:ind w:firstLine="720"/>
      </w:pPr>
      <w:r>
        <w:lastRenderedPageBreak/>
        <w:t xml:space="preserve">The </w:t>
      </w:r>
      <w:r w:rsidR="0020307D">
        <w:t xml:space="preserve">California </w:t>
      </w:r>
      <w:r>
        <w:t>Supreme Court</w:t>
      </w:r>
      <w:r w:rsidR="003A61E2">
        <w:t xml:space="preserve"> reversed</w:t>
      </w:r>
      <w:r w:rsidR="00904D3E">
        <w:t xml:space="preserve">.  It held that liability under inverse condemnation principles requires the </w:t>
      </w:r>
      <w:r w:rsidR="00E17DE6">
        <w:t>damage to private property must be substantially caused by an inherent risk presented by the deliberate design, construction, or maintenance of the public improvement</w:t>
      </w:r>
      <w:r w:rsidR="003F5DA8">
        <w:t xml:space="preserve">.  It </w:t>
      </w:r>
      <w:r w:rsidR="00E17DE6">
        <w:t>disapprov</w:t>
      </w:r>
      <w:r w:rsidR="003F5DA8">
        <w:t>ed</w:t>
      </w:r>
      <w:r w:rsidR="00E17DE6">
        <w:t xml:space="preserve"> </w:t>
      </w:r>
      <w:r w:rsidR="00E17DE6" w:rsidRPr="00D53FF1">
        <w:rPr>
          <w:i/>
          <w:iCs/>
        </w:rPr>
        <w:t>California State Automobile Assn. v. City of Palo Alto</w:t>
      </w:r>
      <w:r w:rsidR="00E17DE6">
        <w:t xml:space="preserve"> </w:t>
      </w:r>
      <w:r w:rsidR="00DB755D">
        <w:t xml:space="preserve">(2006) </w:t>
      </w:r>
      <w:r w:rsidR="00E17DE6">
        <w:t>138</w:t>
      </w:r>
      <w:r w:rsidR="005C4A14">
        <w:t> </w:t>
      </w:r>
      <w:r w:rsidR="00E17DE6">
        <w:t>Cal.App.4th 474 (</w:t>
      </w:r>
      <w:r w:rsidR="00E17DE6">
        <w:rPr>
          <w:i/>
          <w:iCs/>
        </w:rPr>
        <w:t xml:space="preserve">Palo </w:t>
      </w:r>
      <w:r w:rsidR="00E17DE6" w:rsidRPr="00D53FF1">
        <w:rPr>
          <w:i/>
          <w:iCs/>
        </w:rPr>
        <w:t>Alto</w:t>
      </w:r>
      <w:r w:rsidR="00E17DE6">
        <w:t>)</w:t>
      </w:r>
      <w:r w:rsidR="003F5DA8">
        <w:t>,</w:t>
      </w:r>
      <w:r w:rsidR="00FA6A42">
        <w:t xml:space="preserve"> relied upon by the trial court and Court of Appeal,</w:t>
      </w:r>
      <w:r w:rsidR="003F5DA8">
        <w:t xml:space="preserve"> </w:t>
      </w:r>
      <w:r w:rsidR="008F4065">
        <w:t xml:space="preserve">on the ground </w:t>
      </w:r>
      <w:r w:rsidR="00331F45">
        <w:t xml:space="preserve">that </w:t>
      </w:r>
      <w:r w:rsidR="008F4065">
        <w:rPr>
          <w:i/>
          <w:iCs/>
        </w:rPr>
        <w:t xml:space="preserve">Palo Alto </w:t>
      </w:r>
      <w:r w:rsidR="008F4065">
        <w:t>improperly</w:t>
      </w:r>
      <w:r w:rsidR="003F5DA8">
        <w:t xml:space="preserve"> required the city to prove that other forces </w:t>
      </w:r>
      <w:r w:rsidR="002F6063">
        <w:t xml:space="preserve">(i.e., the failure to install the backwater valve) </w:t>
      </w:r>
      <w:r w:rsidR="003F5DA8">
        <w:t>alone produced the injury.</w:t>
      </w:r>
      <w:r w:rsidR="001107EB">
        <w:t xml:space="preserve"> </w:t>
      </w:r>
      <w:r w:rsidR="003F5DA8">
        <w:t xml:space="preserve"> (</w:t>
      </w:r>
      <w:r w:rsidR="00DB755D">
        <w:t xml:space="preserve">See </w:t>
      </w:r>
      <w:r w:rsidR="00B368B6">
        <w:rPr>
          <w:i/>
          <w:iCs/>
        </w:rPr>
        <w:t xml:space="preserve">Oroville, supra, </w:t>
      </w:r>
      <w:r w:rsidR="00B368B6">
        <w:t>7 Cal.5th</w:t>
      </w:r>
      <w:r w:rsidR="003F5DA8">
        <w:t xml:space="preserve"> at p.</w:t>
      </w:r>
      <w:r w:rsidR="00F72E2E">
        <w:t> </w:t>
      </w:r>
      <w:r w:rsidR="003F5DA8">
        <w:t xml:space="preserve">1101.)  </w:t>
      </w:r>
    </w:p>
    <w:p w14:paraId="2820B4EB" w14:textId="1E19606E" w:rsidR="0052718D" w:rsidRDefault="0028140F" w:rsidP="00F15E73">
      <w:pPr>
        <w:ind w:firstLine="720"/>
      </w:pPr>
      <w:r>
        <w:t>The</w:t>
      </w:r>
      <w:r w:rsidR="00623610">
        <w:t xml:space="preserve"> court</w:t>
      </w:r>
      <w:r w:rsidR="005148EE">
        <w:t xml:space="preserve"> explained</w:t>
      </w:r>
      <w:r w:rsidR="0052718D">
        <w:t>, “</w:t>
      </w:r>
      <w:r w:rsidR="0052718D" w:rsidRPr="0052718D">
        <w:t xml:space="preserve">The concepts of </w:t>
      </w:r>
      <w:r w:rsidR="0052718D">
        <w:t>‘</w:t>
      </w:r>
      <w:r w:rsidR="0052718D" w:rsidRPr="0052718D">
        <w:t>inherent risk</w:t>
      </w:r>
      <w:r w:rsidR="0052718D">
        <w:t>’</w:t>
      </w:r>
      <w:r w:rsidR="0052718D" w:rsidRPr="0052718D">
        <w:t xml:space="preserve"> and </w:t>
      </w:r>
      <w:r w:rsidR="0052718D">
        <w:t>‘</w:t>
      </w:r>
      <w:r w:rsidR="0052718D" w:rsidRPr="0052718D">
        <w:t>substantial causation</w:t>
      </w:r>
      <w:r w:rsidR="0052718D">
        <w:t>’</w:t>
      </w:r>
      <w:r w:rsidR="0052718D" w:rsidRPr="0052718D">
        <w:t xml:space="preserve"> address somewhat overlapping considerations but play distinct roles in the analysis of inverse condemnation. </w:t>
      </w:r>
      <w:r w:rsidR="004773F9">
        <w:t xml:space="preserve"> </w:t>
      </w:r>
      <w:r w:rsidR="0052718D" w:rsidRPr="0052718D">
        <w:t>And both must be present for a public entity to be liable.</w:t>
      </w:r>
      <w:r w:rsidR="0052718D">
        <w:t>”  (</w:t>
      </w:r>
      <w:r w:rsidR="00DB755D">
        <w:rPr>
          <w:i/>
          <w:iCs/>
        </w:rPr>
        <w:t xml:space="preserve">Oroville, supra, </w:t>
      </w:r>
      <w:r w:rsidR="00DB755D">
        <w:t xml:space="preserve">7 Cal.5th </w:t>
      </w:r>
      <w:r w:rsidR="0052718D">
        <w:t xml:space="preserve">at p. 1106.) </w:t>
      </w:r>
    </w:p>
    <w:p w14:paraId="4D7FFF1B" w14:textId="7CD7F0CB" w:rsidR="00C82FB7" w:rsidRPr="00F92B40" w:rsidRDefault="00BB494C" w:rsidP="00BB494C">
      <w:pPr>
        <w:ind w:firstLine="720"/>
      </w:pPr>
      <w:r>
        <w:t>T</w:t>
      </w:r>
      <w:r w:rsidR="00F25100">
        <w:t xml:space="preserve">he court </w:t>
      </w:r>
      <w:r>
        <w:t xml:space="preserve">stated the “focus” of substantial causation </w:t>
      </w:r>
      <w:r w:rsidR="00C90B86">
        <w:t>was</w:t>
      </w:r>
      <w:r>
        <w:t xml:space="preserve"> </w:t>
      </w:r>
      <w:r w:rsidR="00C90B86">
        <w:t>“</w:t>
      </w:r>
      <w:r>
        <w:t xml:space="preserve">on whether there is proof that the damages </w:t>
      </w:r>
      <w:r w:rsidR="00C90B86">
        <w:t>‘</w:t>
      </w:r>
      <w:r>
        <w:t>followed in the normal course of subsequent events</w:t>
      </w:r>
      <w:r w:rsidR="00C90B86">
        <w:t>’</w:t>
      </w:r>
      <w:r>
        <w:t xml:space="preserve"> and were </w:t>
      </w:r>
      <w:r w:rsidR="00C90B86">
        <w:t>‘</w:t>
      </w:r>
      <w:r>
        <w:t>predominantly</w:t>
      </w:r>
      <w:r w:rsidR="00C90B86">
        <w:t>’</w:t>
      </w:r>
      <w:r>
        <w:t xml:space="preserve"> produced by the improvement.</w:t>
      </w:r>
      <w:r w:rsidR="00C90B86">
        <w:t>”  (</w:t>
      </w:r>
      <w:r w:rsidRPr="00C90B86">
        <w:rPr>
          <w:i/>
          <w:iCs/>
        </w:rPr>
        <w:t>Oroville</w:t>
      </w:r>
      <w:r w:rsidR="00C90B86">
        <w:rPr>
          <w:i/>
          <w:iCs/>
        </w:rPr>
        <w:t xml:space="preserve">, supra, </w:t>
      </w:r>
      <w:r>
        <w:t xml:space="preserve">7 Cal.5th </w:t>
      </w:r>
      <w:r w:rsidR="00C90B86">
        <w:t>at p.</w:t>
      </w:r>
      <w:r w:rsidR="00F72E2E">
        <w:t> </w:t>
      </w:r>
      <w:r>
        <w:t>1108</w:t>
      </w:r>
      <w:r w:rsidR="00C90B86">
        <w:t xml:space="preserve">.) </w:t>
      </w:r>
      <w:r w:rsidR="009A0B4A">
        <w:t xml:space="preserve"> “</w:t>
      </w:r>
      <w:r w:rsidR="00ED5D4B" w:rsidRPr="00ED5D4B">
        <w:t xml:space="preserve">At the core of the test is the requirement that––even in the case of multiple concurrent causes—the injury to private property is an </w:t>
      </w:r>
      <w:r w:rsidR="009A0B4A">
        <w:t>‘</w:t>
      </w:r>
      <w:r w:rsidR="00ED5D4B" w:rsidRPr="00ED5D4B">
        <w:t>inescapable or unavoidable consequence</w:t>
      </w:r>
      <w:r w:rsidR="009A0B4A">
        <w:t>’</w:t>
      </w:r>
      <w:r w:rsidR="00ED5D4B" w:rsidRPr="00ED5D4B">
        <w:t xml:space="preserve"> of the public improvement as planned and constructed.</w:t>
      </w:r>
      <w:r w:rsidR="00ED5D4B">
        <w:t xml:space="preserve">” </w:t>
      </w:r>
      <w:r w:rsidR="00351955">
        <w:t xml:space="preserve"> </w:t>
      </w:r>
      <w:r w:rsidR="00ED5D4B">
        <w:t>(</w:t>
      </w:r>
      <w:r w:rsidR="00ED5D4B">
        <w:rPr>
          <w:i/>
          <w:iCs/>
        </w:rPr>
        <w:t>Ibid.</w:t>
      </w:r>
      <w:r w:rsidR="00ED5D4B">
        <w:t>)</w:t>
      </w:r>
      <w:r w:rsidR="004F659D">
        <w:t xml:space="preserve"> </w:t>
      </w:r>
      <w:r w:rsidR="00351955">
        <w:t xml:space="preserve"> </w:t>
      </w:r>
      <w:r w:rsidR="009C39B0">
        <w:t>Accordingly, t</w:t>
      </w:r>
      <w:r w:rsidR="002521B4">
        <w:t xml:space="preserve">he court rejected a strict liability standard for inverse condemnation claims. </w:t>
      </w:r>
      <w:r w:rsidR="000957B3">
        <w:t xml:space="preserve"> </w:t>
      </w:r>
      <w:r w:rsidR="002521B4">
        <w:t>(</w:t>
      </w:r>
      <w:r w:rsidR="002521B4">
        <w:rPr>
          <w:i/>
          <w:iCs/>
        </w:rPr>
        <w:t>I</w:t>
      </w:r>
      <w:r w:rsidR="00ED5D4B">
        <w:rPr>
          <w:i/>
          <w:iCs/>
        </w:rPr>
        <w:t>bi</w:t>
      </w:r>
      <w:r w:rsidR="002521B4">
        <w:rPr>
          <w:i/>
          <w:iCs/>
        </w:rPr>
        <w:t>d.</w:t>
      </w:r>
      <w:r w:rsidR="002521B4">
        <w:t>)</w:t>
      </w:r>
      <w:r w:rsidR="00ED5D4B">
        <w:t xml:space="preserve">  </w:t>
      </w:r>
    </w:p>
    <w:p w14:paraId="5B6B0BB2" w14:textId="54869FFF" w:rsidR="00F92B40" w:rsidRDefault="00F92B40" w:rsidP="00F92B40">
      <w:pPr>
        <w:ind w:firstLine="720"/>
      </w:pPr>
      <w:r>
        <w:rPr>
          <w:i/>
          <w:iCs/>
        </w:rPr>
        <w:t xml:space="preserve">Oroville </w:t>
      </w:r>
      <w:r>
        <w:t>further explained</w:t>
      </w:r>
      <w:r w:rsidR="009C39B0">
        <w:t>,</w:t>
      </w:r>
      <w:r w:rsidR="00857A14" w:rsidRPr="00857A14">
        <w:t xml:space="preserve"> </w:t>
      </w:r>
      <w:r w:rsidR="00857A14">
        <w:t>“</w:t>
      </w:r>
      <w:r w:rsidR="00857A14" w:rsidRPr="00857A14">
        <w:t xml:space="preserve">The inherent risk assessment—in line with the policy considerations underlying article I, section 19—avoids open-ended liability by protecting public entities from liability for private property damage that is </w:t>
      </w:r>
      <w:r w:rsidR="00857A14" w:rsidRPr="00857A14">
        <w:lastRenderedPageBreak/>
        <w:t>arguably connected to a public improvement but is not the result of the improvement</w:t>
      </w:r>
      <w:r w:rsidR="00857A14">
        <w:t>’</w:t>
      </w:r>
      <w:r w:rsidR="00857A14" w:rsidRPr="00857A14">
        <w:t>s inherent risks.</w:t>
      </w:r>
      <w:r w:rsidR="00857A14">
        <w:t>”</w:t>
      </w:r>
      <w:r w:rsidR="00857A14" w:rsidRPr="00857A14">
        <w:t xml:space="preserve"> </w:t>
      </w:r>
      <w:r w:rsidR="009C39B0">
        <w:t xml:space="preserve"> </w:t>
      </w:r>
      <w:r w:rsidR="00D22DD9">
        <w:t>(</w:t>
      </w:r>
      <w:r w:rsidR="00D22DD9">
        <w:rPr>
          <w:i/>
          <w:iCs/>
        </w:rPr>
        <w:t xml:space="preserve">Oroville, </w:t>
      </w:r>
      <w:r w:rsidR="00DB755D">
        <w:rPr>
          <w:i/>
          <w:iCs/>
        </w:rPr>
        <w:t xml:space="preserve">supra, </w:t>
      </w:r>
      <w:r w:rsidR="00DB755D">
        <w:t xml:space="preserve">7 Cal.5th </w:t>
      </w:r>
      <w:r w:rsidR="00D22DD9">
        <w:t xml:space="preserve">at p. </w:t>
      </w:r>
      <w:r w:rsidR="00A9426D">
        <w:t xml:space="preserve">1106.)  </w:t>
      </w:r>
      <w:r w:rsidR="00C05E6F">
        <w:t>The court emphasized,</w:t>
      </w:r>
      <w:r>
        <w:t xml:space="preserve"> “the ‘inherent risk’ aspect of the inverse condemnation inquiry is not limited to deliberate design or construction of the public improvement. </w:t>
      </w:r>
      <w:r w:rsidR="00766796">
        <w:t xml:space="preserve"> </w:t>
      </w:r>
      <w:r>
        <w:t xml:space="preserve">It also encompasses risks from the maintenance or continued upkeep of the public work. </w:t>
      </w:r>
      <w:r w:rsidR="00766796">
        <w:t xml:space="preserve"> </w:t>
      </w:r>
      <w:r>
        <w:t xml:space="preserve">[Citation.] </w:t>
      </w:r>
      <w:r w:rsidR="00766796">
        <w:t xml:space="preserve"> </w:t>
      </w:r>
      <w:r>
        <w:t xml:space="preserve">A public entity might construct a public improvement and then entirely neglect any kind of preventive monitoring or maintenance for the improvement. </w:t>
      </w:r>
      <w:r w:rsidR="00766796">
        <w:t xml:space="preserve"> </w:t>
      </w:r>
      <w:r>
        <w:t>[Citation.]</w:t>
      </w:r>
      <w:r w:rsidR="00766796">
        <w:t xml:space="preserve"> </w:t>
      </w:r>
      <w:r>
        <w:t xml:space="preserve"> If the public entity makes a policy choice to benefit from the cost savings from declining to pursue a reasonable maintenance program, for instance, inverse condemnation principles command ‘the corollary obligation to pay for the damages caused when the risks attending these cost-saving measures materialize.’ </w:t>
      </w:r>
      <w:r w:rsidR="00F72E2E">
        <w:t xml:space="preserve"> </w:t>
      </w:r>
      <w:r>
        <w:t xml:space="preserve">[Citation.] </w:t>
      </w:r>
      <w:r w:rsidR="00F72E2E">
        <w:t xml:space="preserve"> </w:t>
      </w:r>
      <w:r>
        <w:t xml:space="preserve">It may be sensible in some sense for a public entity to forgo regular monitoring and repair and instead adopt a ‘wait until </w:t>
      </w:r>
      <w:proofErr w:type="gramStart"/>
      <w:r>
        <w:t>it</w:t>
      </w:r>
      <w:proofErr w:type="gramEnd"/>
      <w:r>
        <w:t xml:space="preserve"> breaks’ plan of maintenance to save on the costs of imposing a monitoring system. But the damages that result from the inherent risks posed by the public entity’s maintenance plan should be spread to the community that benefits from lower costs, instead of leaving property owners adversely affected by the public entity’s choice to shoulder the burden alone.” </w:t>
      </w:r>
      <w:r w:rsidR="0063329D">
        <w:t xml:space="preserve"> </w:t>
      </w:r>
      <w:r>
        <w:t>(</w:t>
      </w:r>
      <w:r w:rsidR="005C4A14">
        <w:rPr>
          <w:i/>
          <w:iCs/>
        </w:rPr>
        <w:t>Id.</w:t>
      </w:r>
      <w:r>
        <w:rPr>
          <w:i/>
          <w:iCs/>
        </w:rPr>
        <w:t xml:space="preserve"> </w:t>
      </w:r>
      <w:r>
        <w:t xml:space="preserve">at p. 1107.)  </w:t>
      </w:r>
    </w:p>
    <w:p w14:paraId="2337C649" w14:textId="484E9351" w:rsidR="007E0D58" w:rsidRDefault="00972C7C" w:rsidP="00F15E73">
      <w:pPr>
        <w:ind w:firstLine="720"/>
      </w:pPr>
      <w:r>
        <w:rPr>
          <w:i/>
          <w:iCs/>
        </w:rPr>
        <w:t xml:space="preserve">Oroville </w:t>
      </w:r>
      <w:r w:rsidR="00623610">
        <w:t>concluded</w:t>
      </w:r>
      <w:r w:rsidR="0022683F">
        <w:t xml:space="preserve"> </w:t>
      </w:r>
      <w:r w:rsidR="00795D7D">
        <w:t>it</w:t>
      </w:r>
      <w:r w:rsidR="0022683F">
        <w:t xml:space="preserve"> was not enough for the trial court to find the primary cause of the sewage backup was </w:t>
      </w:r>
      <w:r w:rsidR="007567AF">
        <w:t>root intrusion.</w:t>
      </w:r>
      <w:r w:rsidR="00015966">
        <w:t xml:space="preserve"> </w:t>
      </w:r>
      <w:r w:rsidR="002E29B6">
        <w:t xml:space="preserve"> S</w:t>
      </w:r>
      <w:r w:rsidR="0028140F">
        <w:t xml:space="preserve">ewage backup </w:t>
      </w:r>
      <w:r w:rsidR="00933D2F">
        <w:t xml:space="preserve">was not an inherent risk of </w:t>
      </w:r>
      <w:r w:rsidR="00623610">
        <w:t xml:space="preserve">the </w:t>
      </w:r>
      <w:r w:rsidR="00933D2F">
        <w:t>city</w:t>
      </w:r>
      <w:r w:rsidR="00623610">
        <w:t>’</w:t>
      </w:r>
      <w:r w:rsidR="00933D2F">
        <w:t>s sewer system as deliberately designed and constructed</w:t>
      </w:r>
      <w:r w:rsidR="00015966">
        <w:t xml:space="preserve">.  </w:t>
      </w:r>
      <w:r w:rsidR="002E29B6">
        <w:t xml:space="preserve">Instead, the sewer system was deliberately designed to </w:t>
      </w:r>
      <w:r w:rsidR="00A9711F">
        <w:t>include the back-water valve, which t</w:t>
      </w:r>
      <w:r w:rsidR="00015966">
        <w:t xml:space="preserve">he evidence </w:t>
      </w:r>
      <w:r w:rsidR="006E4809">
        <w:t xml:space="preserve">showed </w:t>
      </w:r>
      <w:r w:rsidR="001900CA">
        <w:t xml:space="preserve">would have significantly reduced </w:t>
      </w:r>
      <w:r w:rsidR="00A9711F">
        <w:t>the risk of invasion</w:t>
      </w:r>
      <w:r w:rsidR="001900CA">
        <w:t xml:space="preserve">.  </w:t>
      </w:r>
      <w:r w:rsidR="007E0D58">
        <w:t>(</w:t>
      </w:r>
      <w:r w:rsidR="00DB755D">
        <w:t xml:space="preserve">See </w:t>
      </w:r>
      <w:r w:rsidR="007E0D58">
        <w:rPr>
          <w:i/>
          <w:iCs/>
        </w:rPr>
        <w:t xml:space="preserve">Oroville, supra, </w:t>
      </w:r>
      <w:r w:rsidR="00980A1B">
        <w:t xml:space="preserve">7 Cal.5th at </w:t>
      </w:r>
      <w:r w:rsidR="00980A1B">
        <w:lastRenderedPageBreak/>
        <w:t>p.</w:t>
      </w:r>
      <w:r w:rsidR="00F72E2E">
        <w:t> </w:t>
      </w:r>
      <w:r w:rsidR="00980A1B">
        <w:t>1111.)</w:t>
      </w:r>
      <w:r w:rsidR="00F15E73">
        <w:t xml:space="preserve">  </w:t>
      </w:r>
      <w:r w:rsidR="00AD2406">
        <w:t xml:space="preserve">Thus, </w:t>
      </w:r>
      <w:r w:rsidR="00F15E73">
        <w:t>“</w:t>
      </w:r>
      <w:r w:rsidR="00AD2406">
        <w:t>[t]</w:t>
      </w:r>
      <w:r w:rsidR="00F15E73" w:rsidRPr="00265B1E">
        <w:t xml:space="preserve">he backup of sewage into </w:t>
      </w:r>
      <w:r w:rsidR="00F15E73">
        <w:t>[the plaintiffs’]</w:t>
      </w:r>
      <w:r w:rsidR="00F15E73" w:rsidRPr="00265B1E">
        <w:t xml:space="preserve"> offices was not the necessary result or unavoidable consequence of any risk posed by the sewer system.</w:t>
      </w:r>
      <w:r w:rsidR="00F15E73">
        <w:t xml:space="preserve">” </w:t>
      </w:r>
      <w:r w:rsidR="00F72E2E">
        <w:t xml:space="preserve"> </w:t>
      </w:r>
      <w:r w:rsidR="00F15E73">
        <w:t>(</w:t>
      </w:r>
      <w:r w:rsidR="00F15E73">
        <w:rPr>
          <w:i/>
          <w:iCs/>
        </w:rPr>
        <w:t>I</w:t>
      </w:r>
      <w:r w:rsidR="00795D7D">
        <w:rPr>
          <w:i/>
          <w:iCs/>
        </w:rPr>
        <w:t>bid</w:t>
      </w:r>
      <w:r w:rsidR="00F15E73">
        <w:rPr>
          <w:i/>
          <w:iCs/>
        </w:rPr>
        <w:t>.</w:t>
      </w:r>
      <w:r w:rsidR="00F15E73">
        <w:t>)</w:t>
      </w:r>
    </w:p>
    <w:p w14:paraId="0332A3A2" w14:textId="77777777" w:rsidR="00C84CA6" w:rsidRDefault="00C84CA6" w:rsidP="00F15E73">
      <w:pPr>
        <w:ind w:firstLine="720"/>
      </w:pPr>
    </w:p>
    <w:p w14:paraId="08261BBA" w14:textId="0819CE20" w:rsidR="003F2481" w:rsidRPr="003F2481" w:rsidRDefault="003F2481" w:rsidP="003F2481">
      <w:pPr>
        <w:pStyle w:val="ListParagraph"/>
        <w:numPr>
          <w:ilvl w:val="0"/>
          <w:numId w:val="48"/>
        </w:numPr>
      </w:pPr>
      <w:r w:rsidRPr="003F2481">
        <w:rPr>
          <w:i/>
          <w:iCs/>
        </w:rPr>
        <w:t xml:space="preserve">The </w:t>
      </w:r>
      <w:r w:rsidR="005C4A14">
        <w:rPr>
          <w:i/>
          <w:iCs/>
        </w:rPr>
        <w:t>m</w:t>
      </w:r>
      <w:r w:rsidRPr="003F2481">
        <w:rPr>
          <w:i/>
          <w:iCs/>
        </w:rPr>
        <w:t xml:space="preserve">aster </w:t>
      </w:r>
      <w:r w:rsidR="005C4A14">
        <w:rPr>
          <w:i/>
          <w:iCs/>
        </w:rPr>
        <w:t>c</w:t>
      </w:r>
      <w:r w:rsidRPr="003F2481">
        <w:rPr>
          <w:i/>
          <w:iCs/>
        </w:rPr>
        <w:t xml:space="preserve">omplaint </w:t>
      </w:r>
      <w:r w:rsidR="005C4A14">
        <w:rPr>
          <w:i/>
          <w:iCs/>
        </w:rPr>
        <w:t>s</w:t>
      </w:r>
      <w:r w:rsidRPr="003F2481">
        <w:rPr>
          <w:i/>
          <w:iCs/>
        </w:rPr>
        <w:t>atisfies</w:t>
      </w:r>
      <w:r>
        <w:t xml:space="preserve"> </w:t>
      </w:r>
      <w:proofErr w:type="gramStart"/>
      <w:r>
        <w:t>Oroville</w:t>
      </w:r>
      <w:proofErr w:type="gramEnd"/>
    </w:p>
    <w:p w14:paraId="162F78D6" w14:textId="2B1919F4" w:rsidR="00E32B7A" w:rsidRPr="00C84CA6" w:rsidRDefault="00000DDF" w:rsidP="003F2481">
      <w:pPr>
        <w:pStyle w:val="ListParagraph"/>
        <w:numPr>
          <w:ilvl w:val="1"/>
          <w:numId w:val="48"/>
        </w:numPr>
        <w:rPr>
          <w:i/>
          <w:iCs/>
        </w:rPr>
      </w:pPr>
      <w:r>
        <w:rPr>
          <w:i/>
          <w:iCs/>
        </w:rPr>
        <w:t>S</w:t>
      </w:r>
      <w:r w:rsidR="00E32B7A" w:rsidRPr="00C84CA6">
        <w:rPr>
          <w:i/>
          <w:iCs/>
        </w:rPr>
        <w:t xml:space="preserve">ubstantial </w:t>
      </w:r>
      <w:r w:rsidR="00DB755D">
        <w:rPr>
          <w:i/>
          <w:iCs/>
        </w:rPr>
        <w:t>c</w:t>
      </w:r>
      <w:r w:rsidR="00E32B7A" w:rsidRPr="00C84CA6">
        <w:rPr>
          <w:i/>
          <w:iCs/>
        </w:rPr>
        <w:t>ausation</w:t>
      </w:r>
    </w:p>
    <w:p w14:paraId="404510A7" w14:textId="5537A5A3" w:rsidR="00CF518D" w:rsidRDefault="00EB18E8" w:rsidP="00CF518D">
      <w:r>
        <w:tab/>
      </w:r>
      <w:r w:rsidR="002D03D7">
        <w:t>Here, t</w:t>
      </w:r>
      <w:r w:rsidR="00795D7D">
        <w:t>he</w:t>
      </w:r>
      <w:r>
        <w:t xml:space="preserve"> </w:t>
      </w:r>
      <w:r w:rsidR="000A0C4F">
        <w:t>master complaint</w:t>
      </w:r>
      <w:r>
        <w:t xml:space="preserve"> </w:t>
      </w:r>
      <w:r w:rsidR="00B8265A">
        <w:t>alleged</w:t>
      </w:r>
      <w:r w:rsidR="00357078">
        <w:t xml:space="preserve"> that</w:t>
      </w:r>
      <w:r w:rsidR="001451E3">
        <w:t xml:space="preserve"> </w:t>
      </w:r>
      <w:r w:rsidR="00505BB1">
        <w:t>SCE knew its infrastructure was old</w:t>
      </w:r>
      <w:r w:rsidR="00314C2F">
        <w:t xml:space="preserve"> and improperly maintained for safety, yet </w:t>
      </w:r>
      <w:r w:rsidR="00225812">
        <w:t>it</w:t>
      </w:r>
      <w:r w:rsidR="00314C2F">
        <w:t xml:space="preserve"> failed to</w:t>
      </w:r>
      <w:r w:rsidR="00300952">
        <w:t xml:space="preserve"> properly assess and remediate these known risks, resulting in</w:t>
      </w:r>
      <w:r w:rsidR="00225812">
        <w:t xml:space="preserve"> the Thomas Fire and</w:t>
      </w:r>
      <w:r w:rsidR="00300952">
        <w:t xml:space="preserve"> </w:t>
      </w:r>
      <w:r w:rsidR="00ED1F9A">
        <w:t>other</w:t>
      </w:r>
      <w:r w:rsidR="00550389">
        <w:t xml:space="preserve"> wild</w:t>
      </w:r>
      <w:r w:rsidR="00ED1F9A">
        <w:t>fires</w:t>
      </w:r>
      <w:r w:rsidR="008B2BCD">
        <w:t>.</w:t>
      </w:r>
      <w:r w:rsidR="000E3E14">
        <w:t xml:space="preserve"> </w:t>
      </w:r>
      <w:r w:rsidR="00BC5D8B">
        <w:t xml:space="preserve"> </w:t>
      </w:r>
      <w:r w:rsidR="000362A4">
        <w:t>On December</w:t>
      </w:r>
      <w:r w:rsidR="00BC5D8B">
        <w:t> </w:t>
      </w:r>
      <w:r w:rsidR="000362A4">
        <w:t xml:space="preserve">4, </w:t>
      </w:r>
      <w:proofErr w:type="gramStart"/>
      <w:r w:rsidR="000362A4">
        <w:t>2017</w:t>
      </w:r>
      <w:proofErr w:type="gramEnd"/>
      <w:r w:rsidR="00225812">
        <w:t xml:space="preserve"> SCE’s electrical distribution system, including its</w:t>
      </w:r>
      <w:r w:rsidR="00FD66F5">
        <w:t xml:space="preserve"> </w:t>
      </w:r>
      <w:r w:rsidR="00225812">
        <w:t xml:space="preserve">power lines, conductors, electrical infrastructure and equipment and transformers </w:t>
      </w:r>
      <w:r w:rsidR="0080218E">
        <w:t>“</w:t>
      </w:r>
      <w:r w:rsidR="00225812">
        <w:t>arced</w:t>
      </w:r>
      <w:r w:rsidR="001F3EE4">
        <w:t>,</w:t>
      </w:r>
      <w:r w:rsidR="0080218E">
        <w:t>”</w:t>
      </w:r>
      <w:r w:rsidR="001F3EE4">
        <w:t xml:space="preserve"> igniting the Thomas Fire at two</w:t>
      </w:r>
      <w:r w:rsidR="00EC39D1">
        <w:t xml:space="preserve"> separate locations</w:t>
      </w:r>
      <w:r w:rsidR="00225812">
        <w:t>.</w:t>
      </w:r>
      <w:r w:rsidR="0049030E">
        <w:t xml:space="preserve">  </w:t>
      </w:r>
      <w:r w:rsidR="00E91519">
        <w:t xml:space="preserve">Although it had the authority to do so, SCE did not power down its </w:t>
      </w:r>
      <w:r w:rsidR="00862970">
        <w:t>electrical infrastructure</w:t>
      </w:r>
      <w:r w:rsidR="007834E8">
        <w:t xml:space="preserve"> before the Thomas Fire ignited</w:t>
      </w:r>
      <w:r w:rsidR="00DE6A20">
        <w:t>,</w:t>
      </w:r>
      <w:r w:rsidR="007834E8">
        <w:t xml:space="preserve"> despite </w:t>
      </w:r>
      <w:r w:rsidR="008C2915">
        <w:t>a</w:t>
      </w:r>
      <w:r w:rsidR="007834E8">
        <w:t xml:space="preserve"> </w:t>
      </w:r>
      <w:r w:rsidR="008C2915">
        <w:t xml:space="preserve">“Red Flag Warning” </w:t>
      </w:r>
      <w:r w:rsidR="0046179C">
        <w:t>of high winds and hazardous conditions</w:t>
      </w:r>
      <w:r w:rsidR="00672232">
        <w:t xml:space="preserve">. </w:t>
      </w:r>
      <w:r w:rsidR="00BC5D8B">
        <w:t xml:space="preserve"> </w:t>
      </w:r>
      <w:r w:rsidR="006206DF">
        <w:t>The Thomas Fire</w:t>
      </w:r>
      <w:r w:rsidR="009A50BA">
        <w:t xml:space="preserve"> burned </w:t>
      </w:r>
      <w:r w:rsidR="00C8719C">
        <w:t>more than 281,000 acres</w:t>
      </w:r>
      <w:r w:rsidR="00EC39D1">
        <w:t xml:space="preserve"> in Santa Barbara and Ventura Counties</w:t>
      </w:r>
      <w:r w:rsidR="009A5083">
        <w:t xml:space="preserve">.  </w:t>
      </w:r>
      <w:r w:rsidR="00C34992">
        <w:t xml:space="preserve">Simple </w:t>
      </w:r>
      <w:r w:rsidR="00455FAC">
        <w:t>Avo</w:t>
      </w:r>
      <w:r w:rsidR="00366138">
        <w:t xml:space="preserve"> further alleged its</w:t>
      </w:r>
      <w:r w:rsidR="00455FAC">
        <w:t xml:space="preserve"> property</w:t>
      </w:r>
      <w:r w:rsidR="00150F75">
        <w:t xml:space="preserve"> </w:t>
      </w:r>
      <w:r w:rsidR="00254FE0">
        <w:t>in Ventura w</w:t>
      </w:r>
      <w:r w:rsidR="00150F75">
        <w:t>as</w:t>
      </w:r>
      <w:r w:rsidR="00367D18">
        <w:t xml:space="preserve"> destroyed</w:t>
      </w:r>
      <w:r w:rsidR="00780965">
        <w:t xml:space="preserve"> causing damage to its crops, structures, and loss of profits</w:t>
      </w:r>
      <w:r w:rsidR="00150F75">
        <w:t xml:space="preserve">. </w:t>
      </w:r>
      <w:r w:rsidR="00BC5D8B">
        <w:t xml:space="preserve"> </w:t>
      </w:r>
      <w:r w:rsidR="004A6FCB">
        <w:t xml:space="preserve">The </w:t>
      </w:r>
      <w:r w:rsidR="000A0C4F">
        <w:t>master complaint</w:t>
      </w:r>
      <w:r w:rsidR="004A6FCB">
        <w:t xml:space="preserve"> concluded, </w:t>
      </w:r>
      <w:r w:rsidR="00910223">
        <w:t>“The above described damage to Plaintiffs’ property was legally and substantially</w:t>
      </w:r>
      <w:r w:rsidR="001A4C48">
        <w:t xml:space="preserve"> </w:t>
      </w:r>
      <w:r w:rsidR="00910223">
        <w:t>caused by the actions of SCE in their installation, ownership, operation, use, control</w:t>
      </w:r>
      <w:r w:rsidR="009E33E3">
        <w:t xml:space="preserve">, </w:t>
      </w:r>
      <w:r w:rsidR="00910223">
        <w:t>management, and/or maintenance of the electrical distribution system for a public use.</w:t>
      </w:r>
      <w:r w:rsidR="009E33E3">
        <w:t>”</w:t>
      </w:r>
    </w:p>
    <w:p w14:paraId="10A0C15B" w14:textId="31FBC933" w:rsidR="00B230F0" w:rsidRDefault="00475085" w:rsidP="00CF518D">
      <w:pPr>
        <w:ind w:firstLine="720"/>
      </w:pPr>
      <w:r>
        <w:t>Th</w:t>
      </w:r>
      <w:r w:rsidR="00791EC4">
        <w:t xml:space="preserve">ese allegations </w:t>
      </w:r>
      <w:r w:rsidR="000A0C4F">
        <w:t>a</w:t>
      </w:r>
      <w:r w:rsidR="007A6B58">
        <w:t xml:space="preserve">re sufficient to </w:t>
      </w:r>
      <w:r w:rsidR="003A56E0">
        <w:t>allege</w:t>
      </w:r>
      <w:r w:rsidR="00791EC4">
        <w:t xml:space="preserve"> </w:t>
      </w:r>
      <w:r w:rsidR="00CF518D">
        <w:t>Simple Avo’s</w:t>
      </w:r>
      <w:r w:rsidR="00791EC4">
        <w:t xml:space="preserve"> damages </w:t>
      </w:r>
      <w:r w:rsidR="00064256">
        <w:t>were “</w:t>
      </w:r>
      <w:r w:rsidR="00B72C37">
        <w:t>substantially caused</w:t>
      </w:r>
      <w:r w:rsidR="00064256">
        <w:t xml:space="preserve">” by SCE’s old and improperly maintained electrical </w:t>
      </w:r>
      <w:r w:rsidR="0032158E">
        <w:t xml:space="preserve">distribution system. </w:t>
      </w:r>
      <w:r w:rsidR="001045CA">
        <w:t xml:space="preserve"> </w:t>
      </w:r>
    </w:p>
    <w:p w14:paraId="46148A06" w14:textId="370B9A70" w:rsidR="006C755A" w:rsidRDefault="0073637E" w:rsidP="004A01D3">
      <w:pPr>
        <w:keepNext/>
        <w:keepLines/>
        <w:ind w:firstLine="720"/>
      </w:pPr>
      <w:r>
        <w:lastRenderedPageBreak/>
        <w:t xml:space="preserve">We are not persuaded by </w:t>
      </w:r>
      <w:r w:rsidR="00B230F0">
        <w:t>SCE</w:t>
      </w:r>
      <w:r>
        <w:t>’s</w:t>
      </w:r>
      <w:r w:rsidR="00B230F0">
        <w:t xml:space="preserve"> </w:t>
      </w:r>
      <w:r>
        <w:t>argument that</w:t>
      </w:r>
      <w:r w:rsidR="00B230F0">
        <w:t xml:space="preserve"> its own negligence is a concurrent cause of the Thomas Fire that absolves it of </w:t>
      </w:r>
      <w:r w:rsidR="00C610FF">
        <w:t xml:space="preserve">inverse condemnation </w:t>
      </w:r>
      <w:r w:rsidR="00B230F0">
        <w:t xml:space="preserve">liability. </w:t>
      </w:r>
      <w:r w:rsidR="00BC5D8B">
        <w:t xml:space="preserve"> </w:t>
      </w:r>
      <w:r w:rsidR="00E32B7A">
        <w:t xml:space="preserve">Seizing on one sentence in </w:t>
      </w:r>
      <w:r w:rsidR="00E32B7A" w:rsidRPr="00EF7D48">
        <w:rPr>
          <w:i/>
          <w:iCs/>
        </w:rPr>
        <w:t xml:space="preserve">Oroville </w:t>
      </w:r>
      <w:r w:rsidR="006F7298">
        <w:t>that states</w:t>
      </w:r>
      <w:r w:rsidR="000A0C4F">
        <w:t>,</w:t>
      </w:r>
      <w:r w:rsidR="00E32B7A">
        <w:t xml:space="preserve"> “</w:t>
      </w:r>
      <w:r w:rsidR="00E32B7A" w:rsidRPr="00473A5A">
        <w:t>even in the case of multiple concurrent cause</w:t>
      </w:r>
      <w:r w:rsidR="00D607F7">
        <w:t>s</w:t>
      </w:r>
      <w:r w:rsidR="00E32B7A" w:rsidRPr="00473A5A">
        <w:t xml:space="preserve">—the injury to private property </w:t>
      </w:r>
      <w:r w:rsidR="00434E9F">
        <w:t>[must be]</w:t>
      </w:r>
      <w:r w:rsidR="00E32B7A" w:rsidRPr="00473A5A">
        <w:t xml:space="preserve"> an </w:t>
      </w:r>
      <w:r w:rsidR="00E32B7A">
        <w:t>‘</w:t>
      </w:r>
      <w:r w:rsidR="00E32B7A" w:rsidRPr="00473A5A">
        <w:t>inescapable or unavoidable consequence</w:t>
      </w:r>
      <w:r w:rsidR="00E32B7A">
        <w:t>’</w:t>
      </w:r>
      <w:r w:rsidR="00E32B7A" w:rsidRPr="00473A5A">
        <w:t xml:space="preserve"> of the public improvement</w:t>
      </w:r>
      <w:r w:rsidR="00E32B7A">
        <w:t>” (</w:t>
      </w:r>
      <w:r w:rsidR="00DB755D">
        <w:rPr>
          <w:i/>
          <w:iCs/>
        </w:rPr>
        <w:t xml:space="preserve">Oroville, supra, </w:t>
      </w:r>
      <w:r w:rsidR="00306313">
        <w:t xml:space="preserve">7 Cal.5th at </w:t>
      </w:r>
      <w:r w:rsidR="00E32B7A">
        <w:t xml:space="preserve">p. 1108), SCE contends the </w:t>
      </w:r>
      <w:r w:rsidR="008C0320">
        <w:t>m</w:t>
      </w:r>
      <w:r w:rsidR="000A0C4F">
        <w:t>aster complaint</w:t>
      </w:r>
      <w:r w:rsidR="00E32B7A">
        <w:t xml:space="preserve"> does not and cannot meet this “elevated” standard. </w:t>
      </w:r>
      <w:r w:rsidR="0083241B">
        <w:t xml:space="preserve"> According to</w:t>
      </w:r>
      <w:r w:rsidR="00C94EDB">
        <w:t xml:space="preserve"> </w:t>
      </w:r>
      <w:r w:rsidR="00180544">
        <w:t>SCE</w:t>
      </w:r>
      <w:r w:rsidR="0083241B">
        <w:t>,</w:t>
      </w:r>
      <w:r w:rsidR="00180544">
        <w:t xml:space="preserve"> </w:t>
      </w:r>
      <w:r w:rsidR="0083241B">
        <w:t>t</w:t>
      </w:r>
      <w:r w:rsidR="00E32B7A">
        <w:t xml:space="preserve">he </w:t>
      </w:r>
      <w:r w:rsidR="0060050F">
        <w:t>m</w:t>
      </w:r>
      <w:r w:rsidR="000A0C4F">
        <w:t>aster complaint</w:t>
      </w:r>
      <w:r w:rsidR="00E32B7A">
        <w:t xml:space="preserve"> allege</w:t>
      </w:r>
      <w:r w:rsidR="00C94EDB">
        <w:t>d</w:t>
      </w:r>
      <w:r w:rsidR="00E32B7A">
        <w:t xml:space="preserve"> </w:t>
      </w:r>
      <w:r w:rsidR="00C94EDB">
        <w:t xml:space="preserve">SCE failed to act with reasonable care to maintain its safety equipment, supervise its employees, or manage the vegetation surrounding its equipment.  </w:t>
      </w:r>
      <w:r w:rsidR="00180544">
        <w:t>T</w:t>
      </w:r>
      <w:r w:rsidR="00E32B7A">
        <w:t>he consequences of SCE’s operation</w:t>
      </w:r>
      <w:r w:rsidR="000A0C4F">
        <w:t xml:space="preserve"> and maintenance</w:t>
      </w:r>
      <w:r w:rsidR="00E32B7A">
        <w:t xml:space="preserve"> of its electric utility (i.e., the Thomas Fire) were </w:t>
      </w:r>
      <w:r w:rsidR="008707DC">
        <w:t xml:space="preserve">therefore </w:t>
      </w:r>
      <w:r w:rsidR="00E32B7A">
        <w:t xml:space="preserve">escapable and avoidable </w:t>
      </w:r>
      <w:r w:rsidR="008707DC">
        <w:t>if not for SCE’s own negligence.</w:t>
      </w:r>
    </w:p>
    <w:p w14:paraId="54FA2DAD" w14:textId="09765848" w:rsidR="00401564" w:rsidRDefault="007A4C0D" w:rsidP="00F02B88">
      <w:pPr>
        <w:ind w:firstLine="720"/>
      </w:pPr>
      <w:r>
        <w:t xml:space="preserve">But </w:t>
      </w:r>
      <w:r w:rsidR="00B230F0">
        <w:rPr>
          <w:i/>
          <w:iCs/>
        </w:rPr>
        <w:t xml:space="preserve">Oroville </w:t>
      </w:r>
      <w:r w:rsidR="00C27CD1">
        <w:t xml:space="preserve">expressly </w:t>
      </w:r>
      <w:r w:rsidR="00B230F0">
        <w:t>reject</w:t>
      </w:r>
      <w:r w:rsidR="00363D2D">
        <w:t>ed</w:t>
      </w:r>
      <w:r w:rsidR="00B230F0">
        <w:t xml:space="preserve"> </w:t>
      </w:r>
      <w:r>
        <w:t>this</w:t>
      </w:r>
      <w:r w:rsidR="00B230F0">
        <w:t xml:space="preserve"> argument</w:t>
      </w:r>
      <w:r w:rsidR="00C27CD1">
        <w:t xml:space="preserve">:  </w:t>
      </w:r>
      <w:r w:rsidR="00B230F0">
        <w:t>“</w:t>
      </w:r>
      <w:r w:rsidR="00B230F0" w:rsidRPr="00A124C3">
        <w:t>If damage to private property is substantially caused by the inherent risks of the design or construction of a public improvement, a public entity must provide just compensation for the damage, whether it was intentional or the result of negligence by the public entity</w:t>
      </w:r>
      <w:r w:rsidR="00B230F0">
        <w:t xml:space="preserve">.” </w:t>
      </w:r>
      <w:r w:rsidR="00F72E2E">
        <w:t xml:space="preserve"> </w:t>
      </w:r>
      <w:r w:rsidR="00B230F0">
        <w:t>(</w:t>
      </w:r>
      <w:r w:rsidR="00B230F0">
        <w:rPr>
          <w:i/>
          <w:iCs/>
        </w:rPr>
        <w:t>O</w:t>
      </w:r>
      <w:r w:rsidR="00B230F0" w:rsidRPr="00A124C3">
        <w:rPr>
          <w:i/>
          <w:iCs/>
        </w:rPr>
        <w:t>roville</w:t>
      </w:r>
      <w:r w:rsidR="00B230F0">
        <w:rPr>
          <w:i/>
          <w:iCs/>
        </w:rPr>
        <w:t>, supra</w:t>
      </w:r>
      <w:r w:rsidR="00B230F0" w:rsidRPr="00A124C3">
        <w:rPr>
          <w:i/>
          <w:iCs/>
        </w:rPr>
        <w:t xml:space="preserve">, </w:t>
      </w:r>
      <w:r w:rsidR="00B230F0" w:rsidRPr="00E5567F">
        <w:t xml:space="preserve">7 Cal.5th </w:t>
      </w:r>
      <w:r w:rsidR="00B230F0">
        <w:t>at p.</w:t>
      </w:r>
      <w:r w:rsidR="00B230F0" w:rsidRPr="00E5567F">
        <w:t xml:space="preserve"> 1106</w:t>
      </w:r>
      <w:r w:rsidR="00B230F0">
        <w:t>.)</w:t>
      </w:r>
      <w:r w:rsidR="006B460A">
        <w:t xml:space="preserve"> </w:t>
      </w:r>
      <w:r w:rsidR="006F7298">
        <w:t xml:space="preserve"> </w:t>
      </w:r>
      <w:r w:rsidR="003E07A9">
        <w:t xml:space="preserve">Accordingly, </w:t>
      </w:r>
      <w:r w:rsidR="001916A8">
        <w:t xml:space="preserve">the </w:t>
      </w:r>
      <w:r w:rsidR="000A0C4F">
        <w:t>master complaint</w:t>
      </w:r>
      <w:r w:rsidR="001916A8">
        <w:t xml:space="preserve"> sufficiently alleged </w:t>
      </w:r>
      <w:r w:rsidR="006B460A">
        <w:t xml:space="preserve">SCE “substantially caused” </w:t>
      </w:r>
      <w:r w:rsidR="001916A8">
        <w:t xml:space="preserve">the damage to Simple Avo’s property.  </w:t>
      </w:r>
    </w:p>
    <w:p w14:paraId="473D37EF" w14:textId="77777777" w:rsidR="006F7298" w:rsidRDefault="006F7298" w:rsidP="00F02B88">
      <w:pPr>
        <w:ind w:firstLine="720"/>
      </w:pPr>
    </w:p>
    <w:p w14:paraId="6EC82105" w14:textId="613EF735" w:rsidR="00E32B7A" w:rsidRPr="006072AF" w:rsidRDefault="00391895" w:rsidP="003F2481">
      <w:pPr>
        <w:pStyle w:val="ListParagraph"/>
        <w:numPr>
          <w:ilvl w:val="1"/>
          <w:numId w:val="48"/>
        </w:numPr>
        <w:rPr>
          <w:i/>
          <w:iCs/>
        </w:rPr>
      </w:pPr>
      <w:r w:rsidRPr="006072AF">
        <w:rPr>
          <w:i/>
          <w:iCs/>
        </w:rPr>
        <w:t xml:space="preserve">Inherent </w:t>
      </w:r>
      <w:r w:rsidR="008F0631">
        <w:rPr>
          <w:i/>
          <w:iCs/>
        </w:rPr>
        <w:t>r</w:t>
      </w:r>
      <w:r w:rsidRPr="006072AF">
        <w:rPr>
          <w:i/>
          <w:iCs/>
        </w:rPr>
        <w:t>isk</w:t>
      </w:r>
    </w:p>
    <w:p w14:paraId="6BE775CA" w14:textId="07ED25AB" w:rsidR="0045614D" w:rsidRDefault="007E0DFF" w:rsidP="007E0DFF">
      <w:pPr>
        <w:ind w:firstLine="720"/>
      </w:pPr>
      <w:r>
        <w:t>N</w:t>
      </w:r>
      <w:r w:rsidR="0045614D">
        <w:t xml:space="preserve">ext, SCE contends </w:t>
      </w:r>
      <w:r>
        <w:t xml:space="preserve">the </w:t>
      </w:r>
      <w:r w:rsidR="000A0C4F">
        <w:t>master complaint</w:t>
      </w:r>
      <w:r>
        <w:t xml:space="preserve"> fails to plead an inherent </w:t>
      </w:r>
      <w:r w:rsidR="00315B81">
        <w:t>risk in the deliberate design, construction or maintenance of its electric distribution system</w:t>
      </w:r>
      <w:r w:rsidR="00D2460F">
        <w:t xml:space="preserve"> substantially caused Simple Avo’s damages. </w:t>
      </w:r>
      <w:r w:rsidR="00BC5D8B">
        <w:t xml:space="preserve"> </w:t>
      </w:r>
      <w:r w:rsidR="00C163E0">
        <w:t xml:space="preserve">The allegations in the </w:t>
      </w:r>
      <w:r w:rsidR="000A0C4F">
        <w:t>master complaint</w:t>
      </w:r>
      <w:r w:rsidR="00C163E0">
        <w:t xml:space="preserve"> </w:t>
      </w:r>
      <w:r w:rsidR="00EE21FA">
        <w:t xml:space="preserve">show otherwise. </w:t>
      </w:r>
    </w:p>
    <w:p w14:paraId="13F2F455" w14:textId="6F8EC2B9" w:rsidR="000A0C4F" w:rsidRDefault="00E2108A" w:rsidP="00877838">
      <w:pPr>
        <w:ind w:firstLine="720"/>
        <w:rPr>
          <w:i/>
          <w:iCs/>
        </w:rPr>
      </w:pPr>
      <w:r>
        <w:lastRenderedPageBreak/>
        <w:t>The</w:t>
      </w:r>
      <w:r w:rsidR="005237D9">
        <w:t xml:space="preserve"> </w:t>
      </w:r>
      <w:r w:rsidR="000A0C4F">
        <w:t>master complaint</w:t>
      </w:r>
      <w:r w:rsidR="005237D9">
        <w:t xml:space="preserve"> alleges</w:t>
      </w:r>
      <w:r>
        <w:t xml:space="preserve"> that</w:t>
      </w:r>
      <w:r w:rsidR="005237D9">
        <w:t xml:space="preserve"> SCE chose to forgo regular monitoring and repair of its </w:t>
      </w:r>
      <w:r w:rsidR="00921B3F">
        <w:t xml:space="preserve">aging </w:t>
      </w:r>
      <w:r w:rsidR="005237D9">
        <w:t>electric infrastructure</w:t>
      </w:r>
      <w:r w:rsidR="006B522E">
        <w:t xml:space="preserve">.  </w:t>
      </w:r>
      <w:proofErr w:type="gramStart"/>
      <w:r w:rsidR="006B522E">
        <w:t>In particular,</w:t>
      </w:r>
      <w:r w:rsidR="00EF77D6">
        <w:t xml:space="preserve"> that</w:t>
      </w:r>
      <w:proofErr w:type="gramEnd"/>
      <w:r w:rsidR="00EF77D6">
        <w:t xml:space="preserve"> </w:t>
      </w:r>
      <w:r w:rsidR="00725348">
        <w:t>SCE</w:t>
      </w:r>
      <w:r w:rsidR="00D173BD">
        <w:t xml:space="preserve"> failed to </w:t>
      </w:r>
      <w:r w:rsidR="000B1A4A">
        <w:t xml:space="preserve">meet its own target metrics </w:t>
      </w:r>
      <w:r w:rsidR="003D2161">
        <w:t xml:space="preserve">to inspect, assess, and remediate </w:t>
      </w:r>
      <w:r w:rsidR="000A5101">
        <w:t>electrical poles that</w:t>
      </w:r>
      <w:r w:rsidR="00572679">
        <w:t xml:space="preserve"> did not meet modern safety standards. </w:t>
      </w:r>
      <w:r w:rsidR="00EF77D6">
        <w:t xml:space="preserve"> </w:t>
      </w:r>
      <w:r w:rsidR="00725348">
        <w:t>SCE</w:t>
      </w:r>
      <w:r w:rsidR="006D6DB6">
        <w:t xml:space="preserve"> instead </w:t>
      </w:r>
      <w:r w:rsidR="003F6C30">
        <w:t xml:space="preserve">modified </w:t>
      </w:r>
      <w:r w:rsidR="006607C7">
        <w:t xml:space="preserve">its software to recalculate pole safety factors and reduced the percentage of poles that need remediation to 9 percent from </w:t>
      </w:r>
      <w:r w:rsidR="009B65BA">
        <w:t>its</w:t>
      </w:r>
      <w:r w:rsidR="006607C7">
        <w:t xml:space="preserve"> original estimate of 22 percent.</w:t>
      </w:r>
      <w:r w:rsidR="002F5DD4">
        <w:t xml:space="preserve">  The </w:t>
      </w:r>
      <w:r w:rsidR="000A0C4F">
        <w:t>master complaint</w:t>
      </w:r>
      <w:r w:rsidR="002F5DD4">
        <w:t xml:space="preserve"> identified other fires caused by</w:t>
      </w:r>
      <w:r w:rsidR="00572679">
        <w:t xml:space="preserve"> SCE’s electrical </w:t>
      </w:r>
      <w:r w:rsidR="006E4BAE">
        <w:t>infrastructure</w:t>
      </w:r>
      <w:r w:rsidR="00A60033">
        <w:t xml:space="preserve"> as well as the fines assessed by the CPUC against SCE for prior safety violations.</w:t>
      </w:r>
      <w:r w:rsidR="006E4BAE">
        <w:t xml:space="preserve"> </w:t>
      </w:r>
      <w:r w:rsidR="00BC5D8B">
        <w:t xml:space="preserve"> </w:t>
      </w:r>
      <w:r w:rsidR="00C60C0D">
        <w:t xml:space="preserve">The </w:t>
      </w:r>
      <w:r w:rsidR="000A0C4F">
        <w:t>master complaint</w:t>
      </w:r>
      <w:r w:rsidR="00C60C0D">
        <w:t xml:space="preserve"> </w:t>
      </w:r>
      <w:r w:rsidR="00C03D2E">
        <w:t>further allege</w:t>
      </w:r>
      <w:r w:rsidR="00E42A89">
        <w:t>d,</w:t>
      </w:r>
      <w:r w:rsidR="00C03D2E">
        <w:t xml:space="preserve"> “SCE knew about the significant risk of</w:t>
      </w:r>
      <w:r w:rsidR="00C60C0D">
        <w:t xml:space="preserve"> </w:t>
      </w:r>
      <w:r w:rsidR="00C03D2E">
        <w:t>wildfires from its ineffective vegetation management programs,</w:t>
      </w:r>
      <w:r w:rsidR="00C60C0D">
        <w:t xml:space="preserve"> </w:t>
      </w:r>
      <w:r w:rsidR="00C03D2E">
        <w:t>unsafe equipment, and/or aging infrastructure for decades before</w:t>
      </w:r>
      <w:r w:rsidR="00C60C0D">
        <w:t xml:space="preserve"> </w:t>
      </w:r>
      <w:r w:rsidR="00C03D2E">
        <w:t>the Thomas Fire</w:t>
      </w:r>
      <w:r w:rsidR="00E42A89">
        <w:t>.</w:t>
      </w:r>
      <w:r w:rsidR="00C03D2E">
        <w:t>”</w:t>
      </w:r>
      <w:r w:rsidR="001B3791">
        <w:t xml:space="preserve"> </w:t>
      </w:r>
      <w:r w:rsidR="00BC5D8B">
        <w:t xml:space="preserve"> </w:t>
      </w:r>
      <w:r w:rsidR="007A77FD">
        <w:t>Th</w:t>
      </w:r>
      <w:r w:rsidR="0097711D">
        <w:t>e</w:t>
      </w:r>
      <w:r w:rsidR="007A77FD">
        <w:t xml:space="preserve">se allegations describe </w:t>
      </w:r>
      <w:r w:rsidR="00E21A1D">
        <w:t>the</w:t>
      </w:r>
      <w:r w:rsidR="0097711D">
        <w:t xml:space="preserve"> “wait until </w:t>
      </w:r>
      <w:r w:rsidR="00E21A1D">
        <w:t xml:space="preserve">it breaks” maintenance plan set out in </w:t>
      </w:r>
      <w:r w:rsidR="00E21A1D">
        <w:rPr>
          <w:i/>
          <w:iCs/>
        </w:rPr>
        <w:t>Oroville</w:t>
      </w:r>
      <w:r w:rsidR="001A56AE">
        <w:rPr>
          <w:i/>
          <w:iCs/>
        </w:rPr>
        <w:t>.</w:t>
      </w:r>
      <w:r w:rsidR="001B3791">
        <w:rPr>
          <w:i/>
          <w:iCs/>
        </w:rPr>
        <w:t xml:space="preserve">  </w:t>
      </w:r>
    </w:p>
    <w:p w14:paraId="5A39A0D9" w14:textId="0C82ECB1" w:rsidR="001B3791" w:rsidRPr="00877838" w:rsidRDefault="00AB0BC1" w:rsidP="00877838">
      <w:pPr>
        <w:ind w:firstLine="720"/>
      </w:pPr>
      <w:r>
        <w:t xml:space="preserve">As </w:t>
      </w:r>
      <w:r w:rsidR="00ED4AD5">
        <w:t>in</w:t>
      </w:r>
      <w:r>
        <w:t xml:space="preserve"> </w:t>
      </w:r>
      <w:r>
        <w:rPr>
          <w:i/>
          <w:iCs/>
        </w:rPr>
        <w:t>Oroville</w:t>
      </w:r>
      <w:r w:rsidR="00ED4AD5" w:rsidRPr="00E36EC2">
        <w:t>’s</w:t>
      </w:r>
      <w:r w:rsidR="00ED4AD5">
        <w:rPr>
          <w:i/>
          <w:iCs/>
        </w:rPr>
        <w:t xml:space="preserve"> </w:t>
      </w:r>
      <w:r w:rsidR="00ED4AD5">
        <w:t>hypothetical</w:t>
      </w:r>
      <w:r>
        <w:rPr>
          <w:i/>
          <w:iCs/>
        </w:rPr>
        <w:t xml:space="preserve">, </w:t>
      </w:r>
      <w:r w:rsidR="001B3791">
        <w:t>SCE’s failure to meet its targe</w:t>
      </w:r>
      <w:r>
        <w:t>ts to inspect, assess, and remediate poles</w:t>
      </w:r>
      <w:r w:rsidR="00ED4AD5">
        <w:t xml:space="preserve"> </w:t>
      </w:r>
      <w:r w:rsidR="003E58D6">
        <w:t>benefits SCE in the form of cost savings</w:t>
      </w:r>
      <w:r w:rsidR="00043C80">
        <w:t xml:space="preserve">.  </w:t>
      </w:r>
      <w:r w:rsidR="001A2D1A">
        <w:t>T</w:t>
      </w:r>
      <w:r w:rsidR="00E14EE8">
        <w:t>he complaint allege</w:t>
      </w:r>
      <w:r w:rsidR="00FA2182">
        <w:t>d</w:t>
      </w:r>
      <w:r w:rsidR="00E14EE8">
        <w:t xml:space="preserve"> </w:t>
      </w:r>
      <w:r w:rsidR="00043C80">
        <w:t xml:space="preserve">SCE </w:t>
      </w:r>
      <w:r w:rsidR="002B2B3B">
        <w:t>deliberately modified its software, which resulted in a</w:t>
      </w:r>
      <w:r w:rsidR="00907276">
        <w:t xml:space="preserve"> significant</w:t>
      </w:r>
      <w:r w:rsidR="002B2B3B">
        <w:t xml:space="preserve"> reduction </w:t>
      </w:r>
      <w:r w:rsidR="00E17556">
        <w:t xml:space="preserve">of the number of poles to be remediated.  </w:t>
      </w:r>
      <w:r w:rsidR="00DD5662">
        <w:t xml:space="preserve">Because the master complaint </w:t>
      </w:r>
      <w:r w:rsidR="001A2D1A">
        <w:t>alleged</w:t>
      </w:r>
      <w:r w:rsidR="00907276">
        <w:t xml:space="preserve"> SCE</w:t>
      </w:r>
      <w:r w:rsidR="009B6DB7">
        <w:t xml:space="preserve"> </w:t>
      </w:r>
      <w:r w:rsidR="00E47886">
        <w:t xml:space="preserve">made </w:t>
      </w:r>
      <w:r w:rsidR="009B6DB7">
        <w:t>a</w:t>
      </w:r>
      <w:r w:rsidR="00907276">
        <w:t xml:space="preserve"> choice</w:t>
      </w:r>
      <w:r w:rsidR="00DC6A0F">
        <w:t xml:space="preserve"> to</w:t>
      </w:r>
      <w:r w:rsidR="00907276">
        <w:t xml:space="preserve"> </w:t>
      </w:r>
      <w:r w:rsidR="009B6DB7">
        <w:t>“</w:t>
      </w:r>
      <w:proofErr w:type="spellStart"/>
      <w:r w:rsidR="00E17556">
        <w:t>declin</w:t>
      </w:r>
      <w:proofErr w:type="spellEnd"/>
      <w:r w:rsidR="00DC6A0F">
        <w:t>[e]</w:t>
      </w:r>
      <w:r w:rsidR="00E17556">
        <w:t xml:space="preserve"> to pursue a reasonable maintenance program</w:t>
      </w:r>
      <w:r w:rsidR="00E47886">
        <w:t xml:space="preserve"> . . . </w:t>
      </w:r>
      <w:r w:rsidR="00E17556">
        <w:t>inverse condemnation principles command ‘the corollary obligation to pay for the damages caused when the risks attending these cost-saving measures materialize.</w:t>
      </w:r>
      <w:r w:rsidR="008F0631">
        <w:t>’</w:t>
      </w:r>
      <w:r w:rsidR="009B6DB7">
        <w:t xml:space="preserve">” </w:t>
      </w:r>
      <w:r w:rsidR="003B2799">
        <w:t xml:space="preserve"> </w:t>
      </w:r>
      <w:r w:rsidR="00043C80">
        <w:t>(</w:t>
      </w:r>
      <w:r w:rsidR="00043C80">
        <w:rPr>
          <w:i/>
          <w:iCs/>
        </w:rPr>
        <w:t xml:space="preserve">Oroville, supra, </w:t>
      </w:r>
      <w:r w:rsidR="00043C80">
        <w:t>7 Cal.5th at p. 1107.)</w:t>
      </w:r>
    </w:p>
    <w:p w14:paraId="5C727679" w14:textId="1F40A069" w:rsidR="00837AC9" w:rsidRDefault="000D73FC" w:rsidP="00785DA3">
      <w:pPr>
        <w:ind w:firstLine="720"/>
      </w:pPr>
      <w:r>
        <w:t>SCE</w:t>
      </w:r>
      <w:r w:rsidR="00877838">
        <w:t xml:space="preserve"> contends </w:t>
      </w:r>
      <w:r w:rsidR="005529B1">
        <w:t xml:space="preserve">there are no allegations </w:t>
      </w:r>
      <w:r w:rsidR="00877838">
        <w:t xml:space="preserve">it </w:t>
      </w:r>
      <w:r w:rsidR="005529B1">
        <w:t>made</w:t>
      </w:r>
      <w:r w:rsidR="00877838">
        <w:t xml:space="preserve"> a deliberate choice </w:t>
      </w:r>
      <w:r w:rsidR="006A57E1">
        <w:t>when it failed to meet its program goals</w:t>
      </w:r>
      <w:r w:rsidR="00787E5F">
        <w:t>, and that</w:t>
      </w:r>
      <w:r w:rsidR="000B3EE1">
        <w:t xml:space="preserve"> the</w:t>
      </w:r>
      <w:r w:rsidR="00E013B2">
        <w:t xml:space="preserve"> allegations </w:t>
      </w:r>
      <w:r w:rsidR="008505AD">
        <w:t>that it</w:t>
      </w:r>
      <w:r w:rsidR="000B3EE1">
        <w:t xml:space="preserve"> negligently failed to meet its own goals prevent</w:t>
      </w:r>
      <w:r w:rsidR="008505AD">
        <w:t xml:space="preserve"> </w:t>
      </w:r>
      <w:r w:rsidR="00471868">
        <w:t>inverse condemnation liability f</w:t>
      </w:r>
      <w:r w:rsidR="000040D5">
        <w:t>ro</w:t>
      </w:r>
      <w:r w:rsidR="00471868">
        <w:t xml:space="preserve">m attaching.  </w:t>
      </w:r>
      <w:r w:rsidR="00E13BA4" w:rsidRPr="00E13BA4">
        <w:t xml:space="preserve">We already </w:t>
      </w:r>
      <w:r w:rsidR="00E13BA4" w:rsidRPr="00E13BA4">
        <w:lastRenderedPageBreak/>
        <w:t xml:space="preserve">addressed and rejected SCE’s negligence argument above. </w:t>
      </w:r>
      <w:r w:rsidR="00E13BA4">
        <w:t xml:space="preserve"> </w:t>
      </w:r>
      <w:r w:rsidR="00067959">
        <w:t xml:space="preserve">Further, </w:t>
      </w:r>
      <w:r w:rsidR="00C63325">
        <w:t>at the pleading stage, the complaint sufficiently alleged</w:t>
      </w:r>
      <w:r w:rsidR="00FA2182">
        <w:t xml:space="preserve"> </w:t>
      </w:r>
      <w:r w:rsidR="00002DDF">
        <w:t xml:space="preserve">facts </w:t>
      </w:r>
      <w:r w:rsidR="00DF0008">
        <w:t>that</w:t>
      </w:r>
      <w:r w:rsidR="00C213CC">
        <w:t xml:space="preserve"> SCE chose to forgo regular monitoring and repair of its aging electric infrastructure</w:t>
      </w:r>
      <w:r w:rsidR="00C07810">
        <w:t xml:space="preserve">.  </w:t>
      </w:r>
    </w:p>
    <w:p w14:paraId="593F8390" w14:textId="0CD9E474" w:rsidR="00DF0D3B" w:rsidRDefault="00837AC9" w:rsidP="00785DA3">
      <w:pPr>
        <w:ind w:firstLine="720"/>
      </w:pPr>
      <w:r>
        <w:t>Accordingly, the master complaint has adequately alleged the inherent risk</w:t>
      </w:r>
      <w:r w:rsidRPr="000B3EE1">
        <w:t xml:space="preserve"> </w:t>
      </w:r>
      <w:r>
        <w:t>in the deliberate design, construction or maintenance of its electric distribution system substantially caused Simple Avo’s damages.</w:t>
      </w:r>
    </w:p>
    <w:p w14:paraId="29DE5F8B" w14:textId="77777777" w:rsidR="000A0C4F" w:rsidRPr="00DF0D3B" w:rsidRDefault="000A0C4F" w:rsidP="00785DA3">
      <w:pPr>
        <w:ind w:firstLine="720"/>
      </w:pPr>
    </w:p>
    <w:p w14:paraId="708C437F" w14:textId="43695660" w:rsidR="009B3CC5" w:rsidRPr="003A0195" w:rsidRDefault="00CC2C59" w:rsidP="00941F98">
      <w:pPr>
        <w:pStyle w:val="ListParagraph"/>
        <w:numPr>
          <w:ilvl w:val="0"/>
          <w:numId w:val="48"/>
        </w:numPr>
        <w:rPr>
          <w:i/>
          <w:iCs/>
        </w:rPr>
      </w:pPr>
      <w:r>
        <w:rPr>
          <w:i/>
          <w:iCs/>
        </w:rPr>
        <w:t xml:space="preserve">The </w:t>
      </w:r>
      <w:r w:rsidR="00A873CC">
        <w:rPr>
          <w:i/>
          <w:iCs/>
        </w:rPr>
        <w:t>m</w:t>
      </w:r>
      <w:r>
        <w:rPr>
          <w:i/>
          <w:iCs/>
        </w:rPr>
        <w:t xml:space="preserve">aster </w:t>
      </w:r>
      <w:r w:rsidR="00A873CC">
        <w:rPr>
          <w:i/>
          <w:iCs/>
        </w:rPr>
        <w:t>c</w:t>
      </w:r>
      <w:r>
        <w:rPr>
          <w:i/>
          <w:iCs/>
        </w:rPr>
        <w:t xml:space="preserve">omplaint </w:t>
      </w:r>
      <w:r w:rsidR="00A873CC">
        <w:rPr>
          <w:i/>
          <w:iCs/>
        </w:rPr>
        <w:t>s</w:t>
      </w:r>
      <w:r>
        <w:rPr>
          <w:i/>
          <w:iCs/>
        </w:rPr>
        <w:t>ufficient</w:t>
      </w:r>
      <w:r w:rsidR="0089254E">
        <w:rPr>
          <w:i/>
          <w:iCs/>
        </w:rPr>
        <w:t>ly</w:t>
      </w:r>
      <w:r>
        <w:rPr>
          <w:i/>
          <w:iCs/>
        </w:rPr>
        <w:t xml:space="preserve"> </w:t>
      </w:r>
      <w:r w:rsidR="00A873CC">
        <w:rPr>
          <w:i/>
          <w:iCs/>
        </w:rPr>
        <w:t>a</w:t>
      </w:r>
      <w:r>
        <w:rPr>
          <w:i/>
          <w:iCs/>
        </w:rPr>
        <w:t xml:space="preserve">lleges </w:t>
      </w:r>
      <w:r w:rsidR="00A873CC">
        <w:rPr>
          <w:i/>
          <w:iCs/>
        </w:rPr>
        <w:t>p</w:t>
      </w:r>
      <w:r w:rsidR="009B3CC5" w:rsidRPr="003A0195">
        <w:rPr>
          <w:i/>
          <w:iCs/>
        </w:rPr>
        <w:t xml:space="preserve">ublic </w:t>
      </w:r>
      <w:proofErr w:type="gramStart"/>
      <w:r w:rsidR="00A873CC">
        <w:rPr>
          <w:i/>
          <w:iCs/>
        </w:rPr>
        <w:t>u</w:t>
      </w:r>
      <w:r w:rsidR="009B3CC5" w:rsidRPr="003A0195">
        <w:rPr>
          <w:i/>
          <w:iCs/>
        </w:rPr>
        <w:t>se</w:t>
      </w:r>
      <w:proofErr w:type="gramEnd"/>
    </w:p>
    <w:p w14:paraId="137779BA" w14:textId="0D569804" w:rsidR="007E1C5A" w:rsidRDefault="008C7AA1" w:rsidP="006C21B0">
      <w:pPr>
        <w:ind w:firstLine="720"/>
      </w:pPr>
      <w:r>
        <w:t xml:space="preserve">SCE argues </w:t>
      </w:r>
      <w:r w:rsidR="003C2A5A">
        <w:t>that</w:t>
      </w:r>
      <w:r w:rsidR="008D058F">
        <w:t xml:space="preserve"> </w:t>
      </w:r>
      <w:r w:rsidR="008D058F" w:rsidRPr="008D058F">
        <w:t>neither the Thomas Fire itself</w:t>
      </w:r>
      <w:r w:rsidR="003C2A5A">
        <w:t>,</w:t>
      </w:r>
      <w:r w:rsidR="008D058F" w:rsidRPr="008D058F">
        <w:t xml:space="preserve"> nor any of the damage from the Thomas Fire</w:t>
      </w:r>
      <w:r w:rsidR="003C2A5A">
        <w:t>,</w:t>
      </w:r>
      <w:r w:rsidR="008D058F" w:rsidRPr="008D058F">
        <w:t xml:space="preserve"> served</w:t>
      </w:r>
      <w:r w:rsidR="008D058F">
        <w:t xml:space="preserve"> “</w:t>
      </w:r>
      <w:r>
        <w:t>the public use</w:t>
      </w:r>
      <w:r w:rsidR="008D058F">
        <w:t>”</w:t>
      </w:r>
      <w:r w:rsidR="00916DBF">
        <w:t>—a required element for inverse condemnation.</w:t>
      </w:r>
      <w:r w:rsidR="00C735AC">
        <w:t xml:space="preserve"> </w:t>
      </w:r>
      <w:r w:rsidR="008D058F">
        <w:t xml:space="preserve"> </w:t>
      </w:r>
      <w:r w:rsidR="00F73AE6">
        <w:t xml:space="preserve">SCE argues </w:t>
      </w:r>
      <w:r w:rsidR="00916DBF">
        <w:t xml:space="preserve">that </w:t>
      </w:r>
      <w:r w:rsidR="0029208E">
        <w:t xml:space="preserve">such </w:t>
      </w:r>
      <w:r w:rsidR="00F73AE6">
        <w:t>damage</w:t>
      </w:r>
      <w:r w:rsidR="00B71BE5">
        <w:t xml:space="preserve"> </w:t>
      </w:r>
      <w:r w:rsidR="00B71BE5" w:rsidRPr="007E1C5A">
        <w:t>may give rise to an inverse condemnation only if the damage itself</w:t>
      </w:r>
      <w:r w:rsidR="00535457">
        <w:t>, rather than the public improvement,</w:t>
      </w:r>
      <w:r w:rsidR="00B71BE5" w:rsidRPr="007E1C5A">
        <w:t xml:space="preserve"> furthers the public use.</w:t>
      </w:r>
    </w:p>
    <w:p w14:paraId="0DF154E1" w14:textId="1E0427C4" w:rsidR="00B30A5D" w:rsidRDefault="00B30A5D" w:rsidP="004859F9">
      <w:pPr>
        <w:ind w:firstLine="720"/>
      </w:pPr>
      <w:r w:rsidRPr="00B30A5D">
        <w:t xml:space="preserve">“‘A public use is “a use which concerns the whole community as distinguished from a particular individual or a particular number of individuals.”’” </w:t>
      </w:r>
      <w:r w:rsidR="005A4994">
        <w:t xml:space="preserve"> </w:t>
      </w:r>
      <w:r w:rsidRPr="00B30A5D">
        <w:t>(</w:t>
      </w:r>
      <w:r w:rsidRPr="00A73504">
        <w:rPr>
          <w:i/>
          <w:iCs/>
        </w:rPr>
        <w:t>Customer Co. v. City of Sacramento</w:t>
      </w:r>
      <w:r w:rsidRPr="00B30A5D">
        <w:t xml:space="preserve"> (1995) 10 Cal.4th 368, 381</w:t>
      </w:r>
      <w:r w:rsidR="008F0631">
        <w:t xml:space="preserve"> (</w:t>
      </w:r>
      <w:r w:rsidR="008F0631" w:rsidRPr="00A73504">
        <w:rPr>
          <w:i/>
          <w:iCs/>
        </w:rPr>
        <w:t>Customer Co.</w:t>
      </w:r>
      <w:r w:rsidR="008F0631">
        <w:t>)</w:t>
      </w:r>
      <w:r w:rsidRPr="00B30A5D">
        <w:t xml:space="preserve">; see </w:t>
      </w:r>
      <w:r w:rsidRPr="00A37D06">
        <w:rPr>
          <w:i/>
          <w:iCs/>
        </w:rPr>
        <w:t>City of Los Angeles v. Superior Court</w:t>
      </w:r>
      <w:r w:rsidRPr="00B30A5D">
        <w:t xml:space="preserve"> (2011) 194 Cal.App.4th 210, 221.)</w:t>
      </w:r>
      <w:r w:rsidR="004859F9">
        <w:t xml:space="preserve">  “</w:t>
      </w:r>
      <w:r w:rsidR="00A37D06">
        <w:t>[G]</w:t>
      </w:r>
      <w:proofErr w:type="spellStart"/>
      <w:r w:rsidR="004859F9">
        <w:t>enerally</w:t>
      </w:r>
      <w:proofErr w:type="spellEnd"/>
      <w:r w:rsidR="004859F9">
        <w:t>, condemning private property for the transmission of electrical power is a public use and inverse condemnation will apply.”</w:t>
      </w:r>
      <w:r w:rsidR="00A873CC">
        <w:t xml:space="preserve"> </w:t>
      </w:r>
      <w:r w:rsidR="004859F9">
        <w:t xml:space="preserve"> (</w:t>
      </w:r>
      <w:r w:rsidR="004859F9" w:rsidRPr="004859F9">
        <w:rPr>
          <w:i/>
          <w:iCs/>
        </w:rPr>
        <w:t>Barham</w:t>
      </w:r>
      <w:r w:rsidR="00900E83">
        <w:rPr>
          <w:i/>
          <w:iCs/>
        </w:rPr>
        <w:t xml:space="preserve">, supra, </w:t>
      </w:r>
      <w:r w:rsidR="004859F9">
        <w:t xml:space="preserve">74 Cal.App.4th </w:t>
      </w:r>
      <w:r w:rsidR="00900E83">
        <w:t>at p.</w:t>
      </w:r>
      <w:r w:rsidR="004859F9">
        <w:t xml:space="preserve"> 752</w:t>
      </w:r>
      <w:r w:rsidR="00067AAB">
        <w:t xml:space="preserve">; see also </w:t>
      </w:r>
      <w:r w:rsidR="00067AAB" w:rsidRPr="003C0E54">
        <w:rPr>
          <w:i/>
          <w:iCs/>
        </w:rPr>
        <w:t>Hale</w:t>
      </w:r>
      <w:r w:rsidR="00A44A3D">
        <w:rPr>
          <w:i/>
          <w:iCs/>
        </w:rPr>
        <w:t> </w:t>
      </w:r>
      <w:r w:rsidR="00067AAB" w:rsidRPr="003C0E54">
        <w:rPr>
          <w:i/>
          <w:iCs/>
        </w:rPr>
        <w:t>v.</w:t>
      </w:r>
      <w:r w:rsidR="00067AAB">
        <w:rPr>
          <w:i/>
          <w:iCs/>
        </w:rPr>
        <w:t xml:space="preserve"> M</w:t>
      </w:r>
      <w:r w:rsidR="00067AAB" w:rsidRPr="003C0E54">
        <w:rPr>
          <w:i/>
          <w:iCs/>
        </w:rPr>
        <w:t>organ</w:t>
      </w:r>
      <w:r w:rsidR="00067AAB">
        <w:t xml:space="preserve"> (1978) 22 Cal.3d 388, </w:t>
      </w:r>
      <w:r w:rsidR="00067AAB" w:rsidRPr="00781146">
        <w:t>400 [</w:t>
      </w:r>
      <w:r w:rsidR="005F0CE5" w:rsidRPr="00781146">
        <w:t>e</w:t>
      </w:r>
      <w:r w:rsidR="00067AAB" w:rsidRPr="00781146">
        <w:t xml:space="preserve">lectrical service is a </w:t>
      </w:r>
      <w:r w:rsidR="005F0CE5" w:rsidRPr="00781146">
        <w:t>“</w:t>
      </w:r>
      <w:r w:rsidR="00067AAB" w:rsidRPr="00781146">
        <w:t>vital</w:t>
      </w:r>
      <w:r w:rsidR="00781146" w:rsidRPr="00781146">
        <w:t>”</w:t>
      </w:r>
      <w:r w:rsidR="00067AAB" w:rsidRPr="00781146">
        <w:t xml:space="preserve"> necessity to the public]; </w:t>
      </w:r>
      <w:r w:rsidR="00067AAB" w:rsidRPr="00781146">
        <w:rPr>
          <w:i/>
          <w:iCs/>
        </w:rPr>
        <w:t>Slemons</w:t>
      </w:r>
      <w:r w:rsidR="00067AAB" w:rsidRPr="003C0E54">
        <w:rPr>
          <w:i/>
          <w:iCs/>
        </w:rPr>
        <w:t xml:space="preserve"> v. </w:t>
      </w:r>
      <w:r w:rsidR="008F0631">
        <w:rPr>
          <w:i/>
          <w:iCs/>
        </w:rPr>
        <w:t xml:space="preserve">Southern California </w:t>
      </w:r>
      <w:r w:rsidR="00067AAB" w:rsidRPr="003C0E54">
        <w:rPr>
          <w:i/>
          <w:iCs/>
        </w:rPr>
        <w:t>Edison Co.</w:t>
      </w:r>
      <w:r w:rsidR="00067AAB">
        <w:t xml:space="preserve"> (1967) 252 Cal.App.2d 1022, 1026 [“Electric power lines for the transmission and distribution of electric energy are clearly a public use of property for eminent domain purposes.”]</w:t>
      </w:r>
      <w:r w:rsidR="00900E83">
        <w:t>.)</w:t>
      </w:r>
    </w:p>
    <w:p w14:paraId="39571881" w14:textId="5C9C7864" w:rsidR="00661D8D" w:rsidRDefault="00DF1C74" w:rsidP="006D5574">
      <w:pPr>
        <w:ind w:firstLine="720"/>
      </w:pPr>
      <w:r w:rsidRPr="00DF1C74">
        <w:rPr>
          <w:i/>
          <w:iCs/>
        </w:rPr>
        <w:lastRenderedPageBreak/>
        <w:t xml:space="preserve">Cantu v. </w:t>
      </w:r>
      <w:r w:rsidR="008F0631">
        <w:rPr>
          <w:i/>
          <w:iCs/>
        </w:rPr>
        <w:t xml:space="preserve">Pacific Gas &amp; Electric </w:t>
      </w:r>
      <w:r w:rsidRPr="00DF1C74">
        <w:rPr>
          <w:i/>
          <w:iCs/>
        </w:rPr>
        <w:t>Co.</w:t>
      </w:r>
      <w:r>
        <w:t xml:space="preserve"> (1987)</w:t>
      </w:r>
      <w:r w:rsidRPr="00DF1C74">
        <w:t xml:space="preserve"> 189 Cal.App.3d 160</w:t>
      </w:r>
      <w:r>
        <w:rPr>
          <w:i/>
          <w:iCs/>
        </w:rPr>
        <w:t xml:space="preserve"> </w:t>
      </w:r>
      <w:r w:rsidR="00CE23E2">
        <w:t>(</w:t>
      </w:r>
      <w:r w:rsidR="00CE23E2" w:rsidRPr="00CE23E2">
        <w:rPr>
          <w:i/>
          <w:iCs/>
        </w:rPr>
        <w:t>Cantu</w:t>
      </w:r>
      <w:r w:rsidR="00CE23E2">
        <w:t xml:space="preserve">) </w:t>
      </w:r>
      <w:r w:rsidRPr="00CE23E2">
        <w:t>is</w:t>
      </w:r>
      <w:r>
        <w:t xml:space="preserve"> instructiv</w:t>
      </w:r>
      <w:r w:rsidR="006C665A">
        <w:t>e.</w:t>
      </w:r>
      <w:r>
        <w:t xml:space="preserve"> </w:t>
      </w:r>
      <w:r w:rsidR="00380E2D">
        <w:t xml:space="preserve"> There,</w:t>
      </w:r>
      <w:r w:rsidR="00BE35C7">
        <w:t xml:space="preserve"> the developer of a subdivision contracted with a utility company to provide electrical and gas service to the 16 lots within the subdivision. </w:t>
      </w:r>
      <w:r w:rsidR="00054BD6">
        <w:t xml:space="preserve"> </w:t>
      </w:r>
      <w:r w:rsidR="00BE35C7">
        <w:t>(</w:t>
      </w:r>
      <w:r w:rsidR="006D5574">
        <w:rPr>
          <w:i/>
          <w:iCs/>
        </w:rPr>
        <w:t>Id.</w:t>
      </w:r>
      <w:r w:rsidR="00BE35C7">
        <w:t xml:space="preserve"> at p. 162.) </w:t>
      </w:r>
      <w:r w:rsidR="00054BD6">
        <w:t xml:space="preserve"> </w:t>
      </w:r>
      <w:r w:rsidR="00BE35C7">
        <w:t xml:space="preserve">The utility installed a trench within the subdivision to accommodate its electrical and gas lines. </w:t>
      </w:r>
      <w:r w:rsidR="00054BD6">
        <w:t xml:space="preserve"> </w:t>
      </w:r>
      <w:r w:rsidR="00BE35C7">
        <w:t>(</w:t>
      </w:r>
      <w:r w:rsidR="00BE35C7" w:rsidRPr="006D5574">
        <w:rPr>
          <w:i/>
          <w:iCs/>
        </w:rPr>
        <w:t>Id.</w:t>
      </w:r>
      <w:r w:rsidR="00BE35C7">
        <w:t xml:space="preserve"> at p. 163.)</w:t>
      </w:r>
      <w:r w:rsidR="00054BD6">
        <w:t xml:space="preserve"> </w:t>
      </w:r>
      <w:r w:rsidR="00BE35C7">
        <w:t xml:space="preserve"> Years later, during heavy winter rains, a landslide occurred in the subdivision, damaging the plaintiffs</w:t>
      </w:r>
      <w:r w:rsidR="006D5574">
        <w:t>’</w:t>
      </w:r>
      <w:r w:rsidR="00BE35C7">
        <w:t xml:space="preserve"> home.</w:t>
      </w:r>
      <w:r w:rsidR="00AC1980">
        <w:t xml:space="preserve"> </w:t>
      </w:r>
      <w:r w:rsidR="00BE35C7">
        <w:t xml:space="preserve"> (</w:t>
      </w:r>
      <w:r w:rsidR="00BE35C7" w:rsidRPr="006D5574">
        <w:rPr>
          <w:i/>
          <w:iCs/>
        </w:rPr>
        <w:t>Ibid</w:t>
      </w:r>
      <w:r w:rsidR="00BE35C7">
        <w:t xml:space="preserve">.) </w:t>
      </w:r>
      <w:r w:rsidR="00AC1980">
        <w:t xml:space="preserve"> </w:t>
      </w:r>
      <w:r w:rsidR="00BE35C7">
        <w:t>The plaintiffs sued the utility for inverse condemnation, alleging the utility</w:t>
      </w:r>
      <w:r w:rsidR="00AC1980">
        <w:t>’</w:t>
      </w:r>
      <w:r w:rsidR="00BE35C7">
        <w:t xml:space="preserve">s trench was a contributing cause of the landslide. </w:t>
      </w:r>
      <w:r w:rsidR="00AC1980">
        <w:t xml:space="preserve"> </w:t>
      </w:r>
      <w:r w:rsidR="00BE35C7">
        <w:t>(</w:t>
      </w:r>
      <w:r w:rsidR="00BE35C7" w:rsidRPr="006D5574">
        <w:rPr>
          <w:i/>
          <w:iCs/>
        </w:rPr>
        <w:t>Ibid</w:t>
      </w:r>
      <w:r w:rsidR="00BE35C7">
        <w:t xml:space="preserve">.) </w:t>
      </w:r>
      <w:r w:rsidR="00AC1980">
        <w:t xml:space="preserve"> </w:t>
      </w:r>
      <w:r w:rsidR="00BE35C7">
        <w:t>Following a bench trial, the court found the utility liable in inverse condemnation.</w:t>
      </w:r>
      <w:r w:rsidR="00F72E2E">
        <w:t xml:space="preserve"> </w:t>
      </w:r>
      <w:r w:rsidR="00BE35C7">
        <w:t xml:space="preserve"> (</w:t>
      </w:r>
      <w:r w:rsidR="00BE35C7" w:rsidRPr="006D5574">
        <w:rPr>
          <w:i/>
          <w:iCs/>
        </w:rPr>
        <w:t>Ibid</w:t>
      </w:r>
      <w:r w:rsidR="00BE35C7">
        <w:t>.)</w:t>
      </w:r>
      <w:r w:rsidR="00AC1980">
        <w:t xml:space="preserve">  </w:t>
      </w:r>
      <w:r w:rsidR="00BE35C7">
        <w:t xml:space="preserve">The Court of Appeal reversed, </w:t>
      </w:r>
      <w:r w:rsidR="00415B09">
        <w:t>ruling</w:t>
      </w:r>
      <w:r w:rsidR="00BE35C7">
        <w:t xml:space="preserve"> the utility facilities at issue were “for a private use and therefore inverse liability principles are inapplicable.”</w:t>
      </w:r>
      <w:r w:rsidR="00150047">
        <w:t xml:space="preserve"> </w:t>
      </w:r>
      <w:r w:rsidR="00BE35C7">
        <w:t xml:space="preserve"> (</w:t>
      </w:r>
      <w:r w:rsidR="00BE35C7" w:rsidRPr="006D5574">
        <w:rPr>
          <w:i/>
          <w:iCs/>
        </w:rPr>
        <w:t>Id</w:t>
      </w:r>
      <w:r w:rsidR="00BE35C7">
        <w:t>. at p. 164.)</w:t>
      </w:r>
      <w:r w:rsidR="006D5574">
        <w:t xml:space="preserve"> </w:t>
      </w:r>
    </w:p>
    <w:p w14:paraId="7C1260E8" w14:textId="33186EB7" w:rsidR="00510A6C" w:rsidRDefault="00BE35C7" w:rsidP="008B2033">
      <w:pPr>
        <w:ind w:firstLine="720"/>
      </w:pPr>
      <w:r w:rsidRPr="000B3EE1">
        <w:rPr>
          <w:i/>
          <w:iCs/>
        </w:rPr>
        <w:t>Cantu</w:t>
      </w:r>
      <w:r>
        <w:t xml:space="preserve"> based </w:t>
      </w:r>
      <w:r w:rsidR="00535457">
        <w:t xml:space="preserve">its </w:t>
      </w:r>
      <w:r>
        <w:t>public use</w:t>
      </w:r>
      <w:r w:rsidR="000B3EE1">
        <w:t xml:space="preserve"> finding</w:t>
      </w:r>
      <w:r>
        <w:t xml:space="preserve"> on two key circumstances</w:t>
      </w:r>
      <w:r w:rsidR="00150047">
        <w:t xml:space="preserve">.  </w:t>
      </w:r>
      <w:r>
        <w:t xml:space="preserve">First, </w:t>
      </w:r>
      <w:r w:rsidR="00150047">
        <w:t>that</w:t>
      </w:r>
      <w:r>
        <w:t xml:space="preserve"> it “would be unfair” to impose inverse condemnation liability when “service was provided pursuant to a contract between the private developer and [the utility]” rather than by the utility</w:t>
      </w:r>
      <w:r w:rsidR="000B3EE1">
        <w:t>’s</w:t>
      </w:r>
      <w:r>
        <w:t xml:space="preserve"> exercise of its eminent domain authority</w:t>
      </w:r>
      <w:r w:rsidR="00661D8D">
        <w:t xml:space="preserve">, which would reflect “an economic business decision to assume liability in the event damage to neighboring property is proximately caused by its improvement.”  </w:t>
      </w:r>
      <w:r>
        <w:t>(</w:t>
      </w:r>
      <w:r w:rsidR="00CE23E2">
        <w:rPr>
          <w:i/>
          <w:iCs/>
        </w:rPr>
        <w:t xml:space="preserve">Cantu, supra, </w:t>
      </w:r>
      <w:r w:rsidR="00CE23E2">
        <w:t xml:space="preserve">189 Cal.App.3d </w:t>
      </w:r>
      <w:r w:rsidRPr="00CE23E2">
        <w:t>at</w:t>
      </w:r>
      <w:r>
        <w:t xml:space="preserve"> p</w:t>
      </w:r>
      <w:r w:rsidR="003B1F27">
        <w:t>p</w:t>
      </w:r>
      <w:r>
        <w:t>. 164</w:t>
      </w:r>
      <w:r w:rsidR="003B1F27">
        <w:t>-165.)</w:t>
      </w:r>
      <w:r>
        <w:t xml:space="preserve"> </w:t>
      </w:r>
      <w:r w:rsidR="00F72E2E">
        <w:t xml:space="preserve"> </w:t>
      </w:r>
      <w:r>
        <w:t xml:space="preserve">Second, the court </w:t>
      </w:r>
      <w:r w:rsidR="008F1E1C">
        <w:t>determined</w:t>
      </w:r>
      <w:r>
        <w:t xml:space="preserve"> it </w:t>
      </w:r>
      <w:r w:rsidR="008F1E1C">
        <w:t xml:space="preserve">was </w:t>
      </w:r>
      <w:r>
        <w:t>significant that the utility trench “was designed to fulfill an individual need” for a single subdivision</w:t>
      </w:r>
      <w:r w:rsidR="000B3EE1">
        <w:t xml:space="preserve"> and</w:t>
      </w:r>
      <w:r>
        <w:t xml:space="preserve"> was not part of a larger system “designed to transmit electricity over a much greater area and which would exist even if these particular plaintiffs were not customers.” </w:t>
      </w:r>
      <w:r w:rsidR="00F72E2E">
        <w:t xml:space="preserve"> </w:t>
      </w:r>
      <w:r>
        <w:t>(</w:t>
      </w:r>
      <w:r w:rsidR="008B2033">
        <w:rPr>
          <w:i/>
          <w:iCs/>
        </w:rPr>
        <w:t>I</w:t>
      </w:r>
      <w:r w:rsidR="007C4232">
        <w:rPr>
          <w:i/>
          <w:iCs/>
        </w:rPr>
        <w:t>bid.</w:t>
      </w:r>
      <w:r w:rsidR="007C4232">
        <w:t>)</w:t>
      </w:r>
      <w:r>
        <w:t xml:space="preserve"> </w:t>
      </w:r>
      <w:r w:rsidR="00F269C0">
        <w:t xml:space="preserve"> </w:t>
      </w:r>
      <w:r>
        <w:t xml:space="preserve">Because the utility facilities “did not benefit the public at large but [were] for the private use of the plaintiffs and their neighbors,” the court </w:t>
      </w:r>
      <w:r w:rsidR="00F269C0">
        <w:lastRenderedPageBreak/>
        <w:t>r</w:t>
      </w:r>
      <w:r w:rsidR="00285844">
        <w:t>easoned</w:t>
      </w:r>
      <w:r>
        <w:t xml:space="preserve"> that imposing inverse condemnation liability would be inconsistent with the doctrine</w:t>
      </w:r>
      <w:r w:rsidR="00535457">
        <w:t>’</w:t>
      </w:r>
      <w:r>
        <w:t>s underlying rationale that “the risks of injury [from public activity] should be spread over society.”</w:t>
      </w:r>
      <w:r w:rsidR="00285844">
        <w:t xml:space="preserve"> </w:t>
      </w:r>
      <w:r>
        <w:t xml:space="preserve"> (</w:t>
      </w:r>
      <w:r w:rsidRPr="007C4232">
        <w:rPr>
          <w:i/>
          <w:iCs/>
        </w:rPr>
        <w:t>Id</w:t>
      </w:r>
      <w:r>
        <w:t>. at p. 165</w:t>
      </w:r>
      <w:r w:rsidR="007C4232">
        <w:t>.</w:t>
      </w:r>
      <w:r>
        <w:t>)</w:t>
      </w:r>
      <w:r w:rsidR="00510A6C">
        <w:t xml:space="preserve"> </w:t>
      </w:r>
    </w:p>
    <w:p w14:paraId="2B7AF5CD" w14:textId="022EE0D8" w:rsidR="003C0E54" w:rsidRDefault="00BE35C7" w:rsidP="003C0E54">
      <w:pPr>
        <w:ind w:firstLine="720"/>
      </w:pPr>
      <w:r>
        <w:t xml:space="preserve">In </w:t>
      </w:r>
      <w:r w:rsidRPr="00510A6C">
        <w:rPr>
          <w:i/>
          <w:iCs/>
        </w:rPr>
        <w:t>Barham</w:t>
      </w:r>
      <w:r>
        <w:t>,</w:t>
      </w:r>
      <w:r w:rsidR="00510A6C">
        <w:t xml:space="preserve"> by contrast, </w:t>
      </w:r>
      <w:r w:rsidR="00CF77F2">
        <w:t>t</w:t>
      </w:r>
      <w:r>
        <w:t xml:space="preserve">he power lines </w:t>
      </w:r>
      <w:r w:rsidR="00535457">
        <w:t xml:space="preserve">that caused the </w:t>
      </w:r>
      <w:r w:rsidR="00757FA9">
        <w:t xml:space="preserve">fires </w:t>
      </w:r>
      <w:r>
        <w:t xml:space="preserve">were part of a “circuit” that “provide[d] electric service to more than 1,000 households.” </w:t>
      </w:r>
      <w:r w:rsidR="00F72E2E">
        <w:t xml:space="preserve"> </w:t>
      </w:r>
      <w:r>
        <w:t>(</w:t>
      </w:r>
      <w:r w:rsidR="00B820B5" w:rsidRPr="00854E1A">
        <w:rPr>
          <w:i/>
          <w:iCs/>
        </w:rPr>
        <w:t>Barham, supra</w:t>
      </w:r>
      <w:r w:rsidR="00B820B5">
        <w:t xml:space="preserve">, 74 Cal.App.4th </w:t>
      </w:r>
      <w:r>
        <w:t>at p. 754</w:t>
      </w:r>
      <w:r w:rsidR="00B820B5">
        <w:t xml:space="preserve">.) </w:t>
      </w:r>
      <w:r w:rsidR="00067AAB">
        <w:t xml:space="preserve"> </w:t>
      </w:r>
      <w:r w:rsidR="006678E1">
        <w:t xml:space="preserve">Distinguishing </w:t>
      </w:r>
      <w:r w:rsidR="006678E1">
        <w:rPr>
          <w:i/>
          <w:iCs/>
        </w:rPr>
        <w:t xml:space="preserve">Cantu, </w:t>
      </w:r>
      <w:r w:rsidR="00067AAB">
        <w:rPr>
          <w:i/>
          <w:iCs/>
        </w:rPr>
        <w:t xml:space="preserve">Barham </w:t>
      </w:r>
      <w:r w:rsidR="00067AAB" w:rsidRPr="00067AAB">
        <w:t>conclud</w:t>
      </w:r>
      <w:r w:rsidR="00067AAB">
        <w:t>ed</w:t>
      </w:r>
      <w:r w:rsidR="00067AAB" w:rsidRPr="00067AAB">
        <w:t xml:space="preserve"> </w:t>
      </w:r>
      <w:r w:rsidR="00067AAB">
        <w:t>“</w:t>
      </w:r>
      <w:r w:rsidR="00067AAB" w:rsidRPr="00067AAB">
        <w:t xml:space="preserve">the transmission of electric power through the facilities that caused damage to the </w:t>
      </w:r>
      <w:r w:rsidR="00067AAB">
        <w:t>[plaintiffs’]</w:t>
      </w:r>
      <w:r w:rsidR="00067AAB" w:rsidRPr="00067AAB">
        <w:t xml:space="preserve"> property was for the benefit of the public</w:t>
      </w:r>
      <w:r w:rsidR="00067AAB">
        <w:t xml:space="preserve">.” </w:t>
      </w:r>
      <w:r w:rsidR="00D94155">
        <w:t xml:space="preserve"> </w:t>
      </w:r>
      <w:r w:rsidR="00067AAB">
        <w:t>(</w:t>
      </w:r>
      <w:r w:rsidR="00067AAB">
        <w:rPr>
          <w:i/>
          <w:iCs/>
        </w:rPr>
        <w:t>Ibid.</w:t>
      </w:r>
      <w:r w:rsidR="00067AAB">
        <w:t xml:space="preserve">) </w:t>
      </w:r>
      <w:r w:rsidR="004D1EB3">
        <w:t xml:space="preserve"> The same analysis applies here.  </w:t>
      </w:r>
      <w:r w:rsidR="00202680">
        <w:t xml:space="preserve">The master complaint alleged the power lines that ignited the Thomas Fire </w:t>
      </w:r>
      <w:r w:rsidR="00F802B3">
        <w:t>were part of a</w:t>
      </w:r>
      <w:r w:rsidR="006147CC">
        <w:t xml:space="preserve">n electrical distribution system </w:t>
      </w:r>
      <w:r w:rsidR="00BB6C5C">
        <w:t xml:space="preserve">serving </w:t>
      </w:r>
      <w:r w:rsidR="00757FA9">
        <w:t xml:space="preserve">thousands of acres in </w:t>
      </w:r>
      <w:r w:rsidR="00BB6C5C">
        <w:t>Central, Coastal, and Southern California.</w:t>
      </w:r>
      <w:r w:rsidR="00E2516E">
        <w:t xml:space="preserve"> </w:t>
      </w:r>
      <w:r w:rsidR="00BB6C5C">
        <w:t xml:space="preserve"> </w:t>
      </w:r>
      <w:r w:rsidR="002D3953">
        <w:t xml:space="preserve">Under </w:t>
      </w:r>
      <w:r w:rsidR="002D3953">
        <w:rPr>
          <w:i/>
          <w:iCs/>
        </w:rPr>
        <w:t xml:space="preserve">Barham, </w:t>
      </w:r>
      <w:r w:rsidR="002D3953">
        <w:t>the electric distribution system that caused damage to Simple Avo’s property was for the public use.</w:t>
      </w:r>
      <w:r w:rsidR="00067AAB">
        <w:t xml:space="preserve"> </w:t>
      </w:r>
      <w:r w:rsidR="003C0E54">
        <w:t xml:space="preserve"> </w:t>
      </w:r>
    </w:p>
    <w:p w14:paraId="33F75AD0" w14:textId="23EDDC25" w:rsidR="000E6A95" w:rsidRDefault="000454C7" w:rsidP="000E6A95">
      <w:r>
        <w:tab/>
        <w:t xml:space="preserve">We are not persuaded by </w:t>
      </w:r>
      <w:r w:rsidR="006E74C8" w:rsidRPr="006E74C8">
        <w:rPr>
          <w:i/>
          <w:iCs/>
        </w:rPr>
        <w:t>Customer Co.</w:t>
      </w:r>
      <w:r w:rsidR="00CE23E2">
        <w:rPr>
          <w:i/>
          <w:iCs/>
        </w:rPr>
        <w:t>, supra,</w:t>
      </w:r>
      <w:r w:rsidR="006E74C8" w:rsidRPr="006E74C8">
        <w:rPr>
          <w:i/>
          <w:iCs/>
        </w:rPr>
        <w:t xml:space="preserve"> </w:t>
      </w:r>
      <w:r w:rsidR="006E74C8">
        <w:t xml:space="preserve">10 Cal.4th </w:t>
      </w:r>
      <w:r w:rsidR="00CE23E2">
        <w:t>at p</w:t>
      </w:r>
      <w:r w:rsidR="00C02244">
        <w:t>age</w:t>
      </w:r>
      <w:r w:rsidR="00CE23E2">
        <w:t> </w:t>
      </w:r>
      <w:r w:rsidR="006E74C8">
        <w:t>383</w:t>
      </w:r>
      <w:r w:rsidR="00021470">
        <w:t>, which SCE cites</w:t>
      </w:r>
      <w:r>
        <w:t xml:space="preserve"> f</w:t>
      </w:r>
      <w:r w:rsidR="0033705B">
        <w:t>or the proposition that</w:t>
      </w:r>
      <w:r w:rsidR="00250A12">
        <w:t xml:space="preserve"> inverse condemnation liability arises only if the damage itself </w:t>
      </w:r>
      <w:r w:rsidR="00852E6C">
        <w:t>serve</w:t>
      </w:r>
      <w:r w:rsidR="00B12742">
        <w:t>s</w:t>
      </w:r>
      <w:r w:rsidR="00852E6C">
        <w:t xml:space="preserve"> a</w:t>
      </w:r>
      <w:r w:rsidR="00250A12">
        <w:t xml:space="preserve"> public use</w:t>
      </w:r>
      <w:r>
        <w:t xml:space="preserve">. </w:t>
      </w:r>
      <w:r w:rsidR="002E3D22">
        <w:t xml:space="preserve"> </w:t>
      </w:r>
      <w:r w:rsidR="00B52C12">
        <w:t>There,</w:t>
      </w:r>
      <w:r w:rsidR="00845998">
        <w:t xml:space="preserve"> </w:t>
      </w:r>
      <w:r w:rsidR="00E65F7D">
        <w:t xml:space="preserve">law enforcement, </w:t>
      </w:r>
      <w:proofErr w:type="gramStart"/>
      <w:r w:rsidR="00E65F7D">
        <w:t>in the course of</w:t>
      </w:r>
      <w:proofErr w:type="gramEnd"/>
      <w:r w:rsidR="00E65F7D">
        <w:t xml:space="preserve"> apprehending a felony suspect, fired teargas into the plaintiff’s store, causing extensive property damage.</w:t>
      </w:r>
      <w:r w:rsidR="00C81141" w:rsidRPr="00C81141">
        <w:t xml:space="preserve"> </w:t>
      </w:r>
      <w:r w:rsidR="00D03069">
        <w:t xml:space="preserve"> </w:t>
      </w:r>
      <w:r w:rsidR="00C81141">
        <w:t>(</w:t>
      </w:r>
      <w:r w:rsidR="00896776">
        <w:rPr>
          <w:i/>
          <w:iCs/>
        </w:rPr>
        <w:t>Id.</w:t>
      </w:r>
      <w:r w:rsidR="00896776">
        <w:t xml:space="preserve"> at p. 371.)</w:t>
      </w:r>
      <w:r w:rsidR="00E65F7D">
        <w:t xml:space="preserve">  </w:t>
      </w:r>
      <w:r w:rsidR="00E148E5">
        <w:rPr>
          <w:i/>
          <w:iCs/>
        </w:rPr>
        <w:t xml:space="preserve">Customer Co. </w:t>
      </w:r>
      <w:r w:rsidR="00D62264">
        <w:t>held</w:t>
      </w:r>
      <w:r w:rsidR="00E148E5">
        <w:t xml:space="preserve"> </w:t>
      </w:r>
      <w:r w:rsidR="00D03069">
        <w:t xml:space="preserve">that </w:t>
      </w:r>
      <w:r w:rsidR="00E148E5">
        <w:t>“</w:t>
      </w:r>
      <w:r w:rsidR="00E148E5" w:rsidRPr="00E148E5">
        <w:t>an action for inverse condemnation does not lie in the present case to recover damages caused by the efforts of law enforcement officers to enforce the criminal laws.</w:t>
      </w:r>
      <w:r w:rsidR="00C81141">
        <w:t>”</w:t>
      </w:r>
      <w:r w:rsidR="00896776">
        <w:t xml:space="preserve"> </w:t>
      </w:r>
      <w:r w:rsidR="00D03069">
        <w:t xml:space="preserve"> </w:t>
      </w:r>
      <w:r w:rsidR="00896776">
        <w:t>(</w:t>
      </w:r>
      <w:r w:rsidR="00896776">
        <w:rPr>
          <w:i/>
          <w:iCs/>
        </w:rPr>
        <w:t>Ibid.</w:t>
      </w:r>
      <w:r w:rsidR="00896776">
        <w:t>)</w:t>
      </w:r>
      <w:r w:rsidR="00C81141">
        <w:t xml:space="preserve"> </w:t>
      </w:r>
      <w:r w:rsidR="00D03069">
        <w:t xml:space="preserve"> </w:t>
      </w:r>
      <w:r w:rsidR="000B34CD">
        <w:t>The court reasoned, “</w:t>
      </w:r>
      <w:r w:rsidR="000E6A95">
        <w:t xml:space="preserve">the property damage for which Customer seeks to recover bears no relation to a </w:t>
      </w:r>
      <w:r w:rsidR="000B34CD">
        <w:t>‘</w:t>
      </w:r>
      <w:r w:rsidR="000E6A95">
        <w:t>public improvement</w:t>
      </w:r>
      <w:r w:rsidR="000B34CD">
        <w:t>’</w:t>
      </w:r>
      <w:r w:rsidR="000E6A95">
        <w:t xml:space="preserve"> or </w:t>
      </w:r>
      <w:r w:rsidR="000B34CD">
        <w:t>‘</w:t>
      </w:r>
      <w:r w:rsidR="000E6A95">
        <w:t>public work</w:t>
      </w:r>
      <w:r w:rsidR="000B34CD">
        <w:t>’</w:t>
      </w:r>
      <w:r w:rsidR="000E6A95">
        <w:t xml:space="preserve"> of any kind.</w:t>
      </w:r>
      <w:r w:rsidR="00552E7E">
        <w:t xml:space="preserve"> </w:t>
      </w:r>
      <w:r w:rsidR="000E6A95">
        <w:t xml:space="preserve"> Instead, the damage was caused by actions of public employees having </w:t>
      </w:r>
      <w:r w:rsidR="000B34CD">
        <w:t>‘</w:t>
      </w:r>
      <w:r w:rsidR="000E6A95">
        <w:t>no relation to the function</w:t>
      </w:r>
      <w:r w:rsidR="000B34CD">
        <w:t>’</w:t>
      </w:r>
      <w:r w:rsidR="000E6A95">
        <w:t xml:space="preserve"> of a public improvement whatsoever.</w:t>
      </w:r>
      <w:r w:rsidR="000B34CD">
        <w:t>”</w:t>
      </w:r>
      <w:r w:rsidR="009E23BE">
        <w:t xml:space="preserve"> </w:t>
      </w:r>
      <w:r w:rsidR="00552E7E">
        <w:t xml:space="preserve"> </w:t>
      </w:r>
      <w:r w:rsidR="009E23BE">
        <w:t>(</w:t>
      </w:r>
      <w:r w:rsidR="009E23BE">
        <w:rPr>
          <w:i/>
          <w:iCs/>
        </w:rPr>
        <w:t>Id.</w:t>
      </w:r>
      <w:r w:rsidR="009E23BE">
        <w:t xml:space="preserve"> at </w:t>
      </w:r>
      <w:r w:rsidR="009E23BE">
        <w:lastRenderedPageBreak/>
        <w:t>p.</w:t>
      </w:r>
      <w:r w:rsidR="00F72E2E">
        <w:t> </w:t>
      </w:r>
      <w:r w:rsidR="009E23BE">
        <w:t>383.)</w:t>
      </w:r>
      <w:r w:rsidR="00EA009F">
        <w:t xml:space="preserve"> </w:t>
      </w:r>
      <w:r w:rsidR="00552E7E">
        <w:t xml:space="preserve"> </w:t>
      </w:r>
      <w:r w:rsidR="00CF0A1F">
        <w:rPr>
          <w:i/>
          <w:iCs/>
        </w:rPr>
        <w:t xml:space="preserve">Customer Co. </w:t>
      </w:r>
      <w:r w:rsidR="003952EC">
        <w:t>merely reinforces the rule that the public use element is tied to the public improvement, not the damage it causes.</w:t>
      </w:r>
      <w:r w:rsidR="002B0AC5">
        <w:t xml:space="preserve">  </w:t>
      </w:r>
    </w:p>
    <w:p w14:paraId="6D8BD648" w14:textId="12297F1A" w:rsidR="009B7AF8" w:rsidRDefault="009B7AF8" w:rsidP="000E6A95">
      <w:r>
        <w:tab/>
      </w:r>
      <w:r w:rsidR="008441B9">
        <w:t xml:space="preserve">SCE’s </w:t>
      </w:r>
      <w:r w:rsidR="0006300B">
        <w:t xml:space="preserve">other </w:t>
      </w:r>
      <w:r w:rsidR="00847C93">
        <w:t>cases</w:t>
      </w:r>
      <w:r w:rsidR="00E65371">
        <w:t xml:space="preserve"> t</w:t>
      </w:r>
      <w:r w:rsidR="004460B0">
        <w:t xml:space="preserve">hat it cites </w:t>
      </w:r>
      <w:r w:rsidR="00A6543F">
        <w:t>for the proposition that</w:t>
      </w:r>
      <w:r w:rsidR="00C73D2C">
        <w:t xml:space="preserve"> the public use requirement applies to the damage (e.g.</w:t>
      </w:r>
      <w:r w:rsidR="00725348">
        <w:t>,</w:t>
      </w:r>
      <w:r w:rsidR="00C73D2C">
        <w:t xml:space="preserve"> the wildfire) </w:t>
      </w:r>
      <w:r w:rsidR="003C2657">
        <w:t xml:space="preserve">rather than the </w:t>
      </w:r>
      <w:r w:rsidR="00387A9A">
        <w:t>public improvement</w:t>
      </w:r>
      <w:r w:rsidR="00EE5B13">
        <w:t xml:space="preserve"> (e.</w:t>
      </w:r>
      <w:r w:rsidR="003C2657">
        <w:t>g.</w:t>
      </w:r>
      <w:r w:rsidR="00EE5B13">
        <w:t>, the electric distribution system)</w:t>
      </w:r>
      <w:r w:rsidR="00387A9A">
        <w:t xml:space="preserve"> </w:t>
      </w:r>
      <w:r w:rsidR="003C2657">
        <w:t>that caused the damage</w:t>
      </w:r>
      <w:r w:rsidR="004460B0">
        <w:t xml:space="preserve"> </w:t>
      </w:r>
      <w:r w:rsidR="002A3342">
        <w:t xml:space="preserve">do not overcome the </w:t>
      </w:r>
      <w:r w:rsidR="00410438">
        <w:t xml:space="preserve">inverse condemnation </w:t>
      </w:r>
      <w:r w:rsidR="002A3342">
        <w:t xml:space="preserve">analysis presented in </w:t>
      </w:r>
      <w:r w:rsidR="002A3342">
        <w:rPr>
          <w:i/>
          <w:iCs/>
        </w:rPr>
        <w:t xml:space="preserve">Barham, Cantu, </w:t>
      </w:r>
      <w:r w:rsidR="00410438">
        <w:t xml:space="preserve">and </w:t>
      </w:r>
      <w:r w:rsidR="00BE0DD1">
        <w:rPr>
          <w:i/>
          <w:iCs/>
        </w:rPr>
        <w:t>Customer Co</w:t>
      </w:r>
      <w:r w:rsidR="00AB6FD9">
        <w:t>.</w:t>
      </w:r>
      <w:r w:rsidR="005540A8">
        <w:rPr>
          <w:rStyle w:val="FootnoteReference"/>
        </w:rPr>
        <w:footnoteReference w:id="16"/>
      </w:r>
      <w:r w:rsidR="00AB6FD9">
        <w:t xml:space="preserve">  </w:t>
      </w:r>
    </w:p>
    <w:p w14:paraId="03283F33" w14:textId="352BE987" w:rsidR="00592CAD" w:rsidRPr="006C4E65" w:rsidRDefault="00592CAD" w:rsidP="00592CAD">
      <w:pPr>
        <w:ind w:firstLine="720"/>
        <w:rPr>
          <w:i/>
          <w:iCs/>
        </w:rPr>
      </w:pPr>
      <w:r>
        <w:t xml:space="preserve">Our ruling </w:t>
      </w:r>
      <w:r w:rsidR="00190B53">
        <w:t xml:space="preserve">that </w:t>
      </w:r>
      <w:r>
        <w:t xml:space="preserve">the master complaint sufficiently alleges </w:t>
      </w:r>
      <w:r w:rsidR="00E9103D">
        <w:t xml:space="preserve">a cause of action for inverse condemnation, of course, is not a ruling that </w:t>
      </w:r>
      <w:r>
        <w:t xml:space="preserve">SCE </w:t>
      </w:r>
      <w:r w:rsidR="003867CB">
        <w:t>is</w:t>
      </w:r>
      <w:r>
        <w:t xml:space="preserve"> liable </w:t>
      </w:r>
      <w:r w:rsidR="00E9103D">
        <w:t>on</w:t>
      </w:r>
      <w:r>
        <w:t xml:space="preserve"> that cause of action.  As the trial court noted, SCE’s argument regarding the purported effect of the 2017 CPUC decision on its ability to spread its losses through a rate increase identifies a potential factual </w:t>
      </w:r>
      <w:r w:rsidR="00111290">
        <w:t>issue</w:t>
      </w:r>
      <w:r>
        <w:t xml:space="preserve"> that cannot be resolved on </w:t>
      </w:r>
      <w:r w:rsidR="00CB479D">
        <w:t>demurrer</w:t>
      </w:r>
      <w:r>
        <w:t>.</w:t>
      </w:r>
      <w:r w:rsidR="00C43812">
        <w:t xml:space="preserve">  The CPUC may come to a different conclusion as to SCE and the Thomas </w:t>
      </w:r>
      <w:r w:rsidR="003867CB">
        <w:t>F</w:t>
      </w:r>
      <w:r w:rsidR="00C43812">
        <w:t>ire</w:t>
      </w:r>
      <w:r w:rsidR="0056226F">
        <w:t>, a matter on which we will not speculate</w:t>
      </w:r>
      <w:r w:rsidR="003E0074">
        <w:t xml:space="preserve"> and offer no view</w:t>
      </w:r>
      <w:r w:rsidR="00460F79">
        <w:t>.</w:t>
      </w:r>
    </w:p>
    <w:p w14:paraId="0B883364" w14:textId="77777777" w:rsidR="00592CAD" w:rsidRPr="009E23BE" w:rsidRDefault="00592CAD" w:rsidP="00592CAD">
      <w:pPr>
        <w:jc w:val="center"/>
      </w:pPr>
    </w:p>
    <w:p w14:paraId="21ED4F79" w14:textId="6EA9B4D4" w:rsidR="006D739F" w:rsidRDefault="006D739F" w:rsidP="00F72E2E">
      <w:pPr>
        <w:pStyle w:val="Heading1"/>
        <w:keepNext/>
        <w:keepLines/>
      </w:pPr>
      <w:r w:rsidRPr="006D739F">
        <w:lastRenderedPageBreak/>
        <w:t>DIS</w:t>
      </w:r>
      <w:r>
        <w:t>POSITION</w:t>
      </w:r>
    </w:p>
    <w:p w14:paraId="272D5361" w14:textId="77777777" w:rsidR="00607A19" w:rsidRPr="00607A19" w:rsidRDefault="00607A19" w:rsidP="00F72E2E">
      <w:pPr>
        <w:keepNext/>
        <w:keepLines/>
      </w:pPr>
    </w:p>
    <w:p w14:paraId="280E87AF" w14:textId="13F3C211" w:rsidR="000279E7" w:rsidRDefault="002B0AC5" w:rsidP="00F72E2E">
      <w:pPr>
        <w:keepNext/>
        <w:keepLines/>
        <w:ind w:firstLine="720"/>
      </w:pPr>
      <w:r>
        <w:t xml:space="preserve">The judgment </w:t>
      </w:r>
      <w:r w:rsidR="008A11CF">
        <w:t xml:space="preserve">and order </w:t>
      </w:r>
      <w:r w:rsidR="00794C9F">
        <w:t>denying the demurrer</w:t>
      </w:r>
      <w:r w:rsidR="008A11CF">
        <w:t xml:space="preserve"> are </w:t>
      </w:r>
      <w:r>
        <w:t xml:space="preserve">affirmed.  </w:t>
      </w:r>
      <w:r w:rsidR="009A0404">
        <w:t>Simple Avo</w:t>
      </w:r>
      <w:r w:rsidR="008A11CF">
        <w:t xml:space="preserve"> is</w:t>
      </w:r>
      <w:r w:rsidR="009A0404">
        <w:t xml:space="preserve"> to recover its costs on appeal.</w:t>
      </w:r>
    </w:p>
    <w:p w14:paraId="50781D4A" w14:textId="77777777" w:rsidR="00507011" w:rsidRDefault="00507011" w:rsidP="00F72E2E">
      <w:pPr>
        <w:keepNext/>
        <w:keepLines/>
      </w:pPr>
    </w:p>
    <w:p w14:paraId="2B087C1F" w14:textId="77777777" w:rsidR="00200CC7" w:rsidRDefault="00200CC7" w:rsidP="00F72E2E">
      <w:pPr>
        <w:keepNext/>
        <w:keepLines/>
        <w:tabs>
          <w:tab w:val="left" w:pos="5040"/>
        </w:tabs>
      </w:pPr>
    </w:p>
    <w:p w14:paraId="7F8E7BBD" w14:textId="77777777" w:rsidR="00E73578" w:rsidRPr="00200CC7" w:rsidRDefault="00E73578" w:rsidP="00F72E2E">
      <w:pPr>
        <w:keepNext/>
        <w:keepLines/>
        <w:tabs>
          <w:tab w:val="left" w:pos="5040"/>
        </w:tabs>
      </w:pPr>
    </w:p>
    <w:p w14:paraId="182DF0A2" w14:textId="2DD21753" w:rsidR="00200CC7" w:rsidRPr="00200CC7" w:rsidRDefault="00200CC7" w:rsidP="00F72E2E">
      <w:pPr>
        <w:keepNext/>
        <w:keepLines/>
        <w:tabs>
          <w:tab w:val="left" w:pos="4500"/>
        </w:tabs>
        <w:ind w:firstLine="720"/>
      </w:pPr>
      <w:r w:rsidRPr="00200CC7">
        <w:tab/>
      </w:r>
      <w:r w:rsidR="001E7A2E">
        <w:t>MARTINEZ</w:t>
      </w:r>
      <w:r w:rsidRPr="00200CC7">
        <w:t xml:space="preserve">, </w:t>
      </w:r>
      <w:r w:rsidR="00415B09">
        <w:t xml:space="preserve">P. </w:t>
      </w:r>
      <w:r w:rsidRPr="00200CC7">
        <w:t>J.</w:t>
      </w:r>
    </w:p>
    <w:p w14:paraId="41CFE856" w14:textId="77777777" w:rsidR="00036E8C" w:rsidRDefault="00036E8C" w:rsidP="00F72E2E">
      <w:pPr>
        <w:keepNext/>
        <w:keepLines/>
        <w:tabs>
          <w:tab w:val="left" w:pos="5040"/>
        </w:tabs>
      </w:pPr>
    </w:p>
    <w:p w14:paraId="35752AC7" w14:textId="0F7CCCF7" w:rsidR="00200CC7" w:rsidRPr="00200CC7" w:rsidRDefault="00200CC7" w:rsidP="002D603A">
      <w:pPr>
        <w:tabs>
          <w:tab w:val="left" w:pos="5040"/>
        </w:tabs>
      </w:pPr>
      <w:r w:rsidRPr="00200CC7">
        <w:t>We concur:</w:t>
      </w:r>
    </w:p>
    <w:p w14:paraId="6AF6E969" w14:textId="77777777" w:rsidR="007D0A1B" w:rsidRDefault="007D0A1B" w:rsidP="002D603A">
      <w:pPr>
        <w:tabs>
          <w:tab w:val="left" w:pos="5040"/>
        </w:tabs>
      </w:pPr>
    </w:p>
    <w:p w14:paraId="1D65482C" w14:textId="77777777" w:rsidR="00923CA3" w:rsidRDefault="00923CA3" w:rsidP="002D603A">
      <w:pPr>
        <w:tabs>
          <w:tab w:val="left" w:pos="5040"/>
        </w:tabs>
      </w:pPr>
    </w:p>
    <w:p w14:paraId="518E9088" w14:textId="77777777" w:rsidR="00923CA3" w:rsidRPr="00200CC7" w:rsidRDefault="00923CA3" w:rsidP="002D603A">
      <w:pPr>
        <w:tabs>
          <w:tab w:val="left" w:pos="5040"/>
        </w:tabs>
      </w:pPr>
    </w:p>
    <w:p w14:paraId="654B955C" w14:textId="6FD59D92" w:rsidR="00923CA3" w:rsidRPr="00B549AD" w:rsidRDefault="00923CA3" w:rsidP="002D603A">
      <w:pPr>
        <w:rPr>
          <w:bCs/>
        </w:rPr>
      </w:pPr>
      <w:r w:rsidRPr="00B549AD">
        <w:rPr>
          <w:bCs/>
        </w:rPr>
        <w:tab/>
      </w:r>
      <w:r w:rsidR="003A5EBA">
        <w:rPr>
          <w:bCs/>
        </w:rPr>
        <w:t>SEGAL,</w:t>
      </w:r>
      <w:r w:rsidR="001E7A2E">
        <w:rPr>
          <w:bCs/>
        </w:rPr>
        <w:t xml:space="preserve"> J.</w:t>
      </w:r>
    </w:p>
    <w:p w14:paraId="1FADD01A" w14:textId="77777777" w:rsidR="00923CA3" w:rsidRPr="00B549AD" w:rsidRDefault="00923CA3" w:rsidP="002D603A">
      <w:pPr>
        <w:rPr>
          <w:bCs/>
        </w:rPr>
      </w:pPr>
    </w:p>
    <w:p w14:paraId="6A153B93" w14:textId="77777777" w:rsidR="00923CA3" w:rsidRPr="00B549AD" w:rsidRDefault="00923CA3" w:rsidP="002D603A">
      <w:pPr>
        <w:rPr>
          <w:bCs/>
        </w:rPr>
      </w:pPr>
    </w:p>
    <w:p w14:paraId="4B9B7734" w14:textId="77777777" w:rsidR="00923CA3" w:rsidRPr="00B549AD" w:rsidRDefault="00923CA3" w:rsidP="002D603A">
      <w:pPr>
        <w:rPr>
          <w:bCs/>
        </w:rPr>
      </w:pPr>
    </w:p>
    <w:p w14:paraId="44DF3B31" w14:textId="465C7BAB" w:rsidR="00015436" w:rsidRPr="00200CC7" w:rsidRDefault="00923CA3" w:rsidP="00036E8C">
      <w:r w:rsidRPr="00B549AD">
        <w:rPr>
          <w:bCs/>
        </w:rPr>
        <w:tab/>
      </w:r>
      <w:r w:rsidR="003A5EBA">
        <w:rPr>
          <w:bCs/>
        </w:rPr>
        <w:t>FEUER</w:t>
      </w:r>
      <w:r w:rsidRPr="00B549AD">
        <w:rPr>
          <w:bCs/>
        </w:rPr>
        <w:t>, J.</w:t>
      </w:r>
    </w:p>
    <w:sectPr w:rsidR="00015436" w:rsidRPr="00200CC7" w:rsidSect="00347905">
      <w:footerReference w:type="even" r:id="rId11"/>
      <w:footerReference w:type="default" r:id="rId12"/>
      <w:pgSz w:w="12240" w:h="15840"/>
      <w:pgMar w:top="2160" w:right="2160" w:bottom="2160" w:left="21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1B6CF" w14:textId="77777777" w:rsidR="00FF30CC" w:rsidRDefault="00FF30CC" w:rsidP="00507011">
      <w:pPr>
        <w:spacing w:line="240" w:lineRule="auto"/>
      </w:pPr>
      <w:r>
        <w:separator/>
      </w:r>
    </w:p>
  </w:endnote>
  <w:endnote w:type="continuationSeparator" w:id="0">
    <w:p w14:paraId="6B297584" w14:textId="77777777" w:rsidR="00FF30CC" w:rsidRDefault="00FF30CC" w:rsidP="00507011">
      <w:pPr>
        <w:spacing w:line="240" w:lineRule="auto"/>
      </w:pPr>
      <w:r>
        <w:continuationSeparator/>
      </w:r>
    </w:p>
  </w:endnote>
  <w:endnote w:type="continuationNotice" w:id="1">
    <w:p w14:paraId="5C9F4074" w14:textId="77777777" w:rsidR="00FF30CC" w:rsidRDefault="00FF30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E7C4E" w14:textId="77777777" w:rsidR="00507011" w:rsidRDefault="00507011" w:rsidP="00036E8C">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8D0DF8">
      <w:rPr>
        <w:rStyle w:val="PageNumber"/>
        <w:noProof/>
      </w:rPr>
      <w:t>2</w:t>
    </w:r>
    <w:r>
      <w:rPr>
        <w:rStyle w:val="PageNumber"/>
      </w:rPr>
      <w:fldChar w:fldCharType="end"/>
    </w:r>
  </w:p>
  <w:p w14:paraId="74C36851" w14:textId="77777777" w:rsidR="00507011" w:rsidRDefault="00507011" w:rsidP="00036E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F5620" w14:textId="1B90FA63" w:rsidR="00507011" w:rsidRPr="00036E8C" w:rsidRDefault="00036E8C" w:rsidP="00036E8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029D9" w14:textId="77777777" w:rsidR="00FF30CC" w:rsidRDefault="00FF30CC" w:rsidP="00507011">
      <w:pPr>
        <w:spacing w:line="240" w:lineRule="auto"/>
      </w:pPr>
      <w:r>
        <w:separator/>
      </w:r>
    </w:p>
  </w:footnote>
  <w:footnote w:type="continuationSeparator" w:id="0">
    <w:p w14:paraId="0545ABCC" w14:textId="77777777" w:rsidR="00FF30CC" w:rsidRDefault="00FF30CC" w:rsidP="00BD5E68">
      <w:pPr>
        <w:spacing w:line="240" w:lineRule="auto"/>
      </w:pPr>
      <w:r>
        <w:separator/>
      </w:r>
    </w:p>
  </w:footnote>
  <w:footnote w:type="continuationNotice" w:id="1">
    <w:p w14:paraId="0F2B133C" w14:textId="77777777" w:rsidR="00FF30CC" w:rsidRDefault="00FF30CC">
      <w:pPr>
        <w:spacing w:line="240" w:lineRule="auto"/>
      </w:pPr>
    </w:p>
  </w:footnote>
  <w:footnote w:id="2">
    <w:p w14:paraId="67E9E9A2" w14:textId="3047987A" w:rsidR="004A5C32" w:rsidRPr="004A5C32" w:rsidRDefault="004A5C32" w:rsidP="00594EF7">
      <w:pPr>
        <w:pStyle w:val="FootnoteText"/>
      </w:pPr>
      <w:r>
        <w:rPr>
          <w:rStyle w:val="FootnoteReference"/>
        </w:rPr>
        <w:footnoteRef/>
      </w:r>
      <w:r>
        <w:t xml:space="preserve"> </w:t>
      </w:r>
      <w:r>
        <w:tab/>
        <w:t xml:space="preserve">The three </w:t>
      </w:r>
      <w:r w:rsidR="00F32B7B">
        <w:rPr>
          <w:lang w:val="en-US"/>
        </w:rPr>
        <w:t>group</w:t>
      </w:r>
      <w:r>
        <w:t xml:space="preserve">s in the coordinated proceedings are the individual plaintiffs, the public entity plaintiffs, and the subrogation plaintiffs. </w:t>
      </w:r>
    </w:p>
  </w:footnote>
  <w:footnote w:id="3">
    <w:p w14:paraId="0A4B97AD" w14:textId="5651A914" w:rsidR="003A37FB" w:rsidRPr="003A37FB" w:rsidRDefault="003A37FB" w:rsidP="003A37FB">
      <w:pPr>
        <w:shd w:val="clear" w:color="auto" w:fill="FFFFFF"/>
        <w:spacing w:line="320" w:lineRule="atLeast"/>
        <w:rPr>
          <w:rFonts w:eastAsia="Times New Roman"/>
          <w:color w:val="000000"/>
          <w:szCs w:val="26"/>
        </w:rPr>
      </w:pPr>
      <w:r w:rsidRPr="00405E77">
        <w:rPr>
          <w:rStyle w:val="FootnoteReference"/>
          <w:szCs w:val="26"/>
        </w:rPr>
        <w:footnoteRef/>
      </w:r>
      <w:r w:rsidRPr="00405E77">
        <w:rPr>
          <w:szCs w:val="26"/>
        </w:rPr>
        <w:t xml:space="preserve"> </w:t>
      </w:r>
      <w:r w:rsidRPr="00405E77">
        <w:rPr>
          <w:szCs w:val="26"/>
        </w:rPr>
        <w:tab/>
      </w:r>
      <w:r w:rsidRPr="00405E77">
        <w:rPr>
          <w:rFonts w:eastAsia="Times New Roman"/>
          <w:color w:val="000000"/>
          <w:szCs w:val="26"/>
        </w:rPr>
        <w:t xml:space="preserve">“‘Public utility’ includes every </w:t>
      </w:r>
      <w:r w:rsidR="00405E77">
        <w:rPr>
          <w:rFonts w:eastAsia="Times New Roman"/>
          <w:color w:val="000000"/>
          <w:szCs w:val="26"/>
        </w:rPr>
        <w:t xml:space="preserve">. . . </w:t>
      </w:r>
      <w:r w:rsidRPr="00405E77">
        <w:rPr>
          <w:rFonts w:eastAsia="Times New Roman"/>
          <w:color w:val="000000"/>
          <w:szCs w:val="26"/>
        </w:rPr>
        <w:t>electrical corporation,</w:t>
      </w:r>
      <w:r w:rsidR="00571A42">
        <w:rPr>
          <w:rFonts w:eastAsia="Times New Roman"/>
          <w:color w:val="000000"/>
          <w:szCs w:val="26"/>
        </w:rPr>
        <w:t xml:space="preserve"> . . .</w:t>
      </w:r>
      <w:r w:rsidRPr="00405E77">
        <w:rPr>
          <w:rFonts w:eastAsia="Times New Roman"/>
          <w:color w:val="000000"/>
          <w:szCs w:val="26"/>
        </w:rPr>
        <w:t xml:space="preserve"> where the service is performed for, or the commodity is delivered to, the public or any portion thereof.”  (</w:t>
      </w:r>
      <w:r w:rsidRPr="003A37FB">
        <w:rPr>
          <w:rFonts w:eastAsia="Times New Roman"/>
          <w:color w:val="000000"/>
          <w:szCs w:val="26"/>
        </w:rPr>
        <w:t>Pub. Util. Code</w:t>
      </w:r>
      <w:r w:rsidRPr="00405E77">
        <w:rPr>
          <w:rFonts w:eastAsia="Times New Roman"/>
          <w:color w:val="000000"/>
          <w:szCs w:val="26"/>
        </w:rPr>
        <w:t>,</w:t>
      </w:r>
      <w:r w:rsidRPr="003A37FB">
        <w:rPr>
          <w:rFonts w:eastAsia="Times New Roman"/>
          <w:color w:val="000000"/>
          <w:szCs w:val="26"/>
        </w:rPr>
        <w:t xml:space="preserve"> § 216</w:t>
      </w:r>
      <w:r w:rsidR="0033213D">
        <w:rPr>
          <w:rFonts w:eastAsia="Times New Roman"/>
          <w:color w:val="000000"/>
          <w:szCs w:val="26"/>
        </w:rPr>
        <w:t>, subd. (a)(1)</w:t>
      </w:r>
      <w:r w:rsidRPr="00405E77">
        <w:rPr>
          <w:rFonts w:eastAsia="Times New Roman"/>
          <w:color w:val="000000"/>
          <w:szCs w:val="26"/>
        </w:rPr>
        <w:t>.</w:t>
      </w:r>
      <w:r w:rsidRPr="003A37FB">
        <w:rPr>
          <w:rFonts w:eastAsia="Times New Roman"/>
          <w:color w:val="000000"/>
          <w:szCs w:val="26"/>
        </w:rPr>
        <w:t>)</w:t>
      </w:r>
    </w:p>
    <w:p w14:paraId="7DE67500" w14:textId="11067795" w:rsidR="003A37FB" w:rsidRPr="003A37FB" w:rsidRDefault="003A37FB" w:rsidP="00594EF7">
      <w:pPr>
        <w:pStyle w:val="FootnoteText"/>
      </w:pPr>
    </w:p>
  </w:footnote>
  <w:footnote w:id="4">
    <w:p w14:paraId="2D3F8685" w14:textId="77777777" w:rsidR="002500D3" w:rsidRPr="0019409E" w:rsidRDefault="002500D3" w:rsidP="00594EF7">
      <w:pPr>
        <w:pStyle w:val="FootnoteText"/>
      </w:pPr>
      <w:r>
        <w:rPr>
          <w:rStyle w:val="FootnoteReference"/>
        </w:rPr>
        <w:footnoteRef/>
      </w:r>
      <w:r>
        <w:t xml:space="preserve"> </w:t>
      </w:r>
      <w:r>
        <w:tab/>
        <w:t xml:space="preserve">We granted requests by six amici to file briefs in this matter.  We only address the issues raised by NASP and CAC.  </w:t>
      </w:r>
    </w:p>
  </w:footnote>
  <w:footnote w:id="5">
    <w:p w14:paraId="33E2D324" w14:textId="62ED5CD1" w:rsidR="004711D0" w:rsidRPr="00450BF1" w:rsidRDefault="004711D0" w:rsidP="00594EF7">
      <w:pPr>
        <w:pStyle w:val="FootnoteText"/>
      </w:pPr>
      <w:r>
        <w:rPr>
          <w:rStyle w:val="FootnoteReference"/>
        </w:rPr>
        <w:footnoteRef/>
      </w:r>
      <w:r>
        <w:t xml:space="preserve"> </w:t>
      </w:r>
      <w:r>
        <w:tab/>
        <w:t xml:space="preserve">In the </w:t>
      </w:r>
      <w:r w:rsidR="009F2E8B">
        <w:t>intervening</w:t>
      </w:r>
      <w:r>
        <w:t xml:space="preserve"> years</w:t>
      </w:r>
      <w:r w:rsidR="00450BF1">
        <w:t xml:space="preserve">, </w:t>
      </w:r>
      <w:r w:rsidR="00BA738D">
        <w:t xml:space="preserve">as relevant here, </w:t>
      </w:r>
      <w:r w:rsidR="00450BF1">
        <w:t xml:space="preserve">the high court cited </w:t>
      </w:r>
      <w:r w:rsidR="00450BF1">
        <w:rPr>
          <w:i/>
          <w:iCs/>
        </w:rPr>
        <w:t>Mecham</w:t>
      </w:r>
      <w:r w:rsidR="007A0E3F">
        <w:rPr>
          <w:i/>
          <w:iCs/>
        </w:rPr>
        <w:t xml:space="preserve"> </w:t>
      </w:r>
      <w:r w:rsidR="007A0E3F">
        <w:t xml:space="preserve">not for the exception it articulated, but for the general rule that </w:t>
      </w:r>
      <w:r w:rsidR="00846915">
        <w:t>stipulated</w:t>
      </w:r>
      <w:r w:rsidR="007A0E3F">
        <w:t xml:space="preserve"> judgments</w:t>
      </w:r>
      <w:r w:rsidR="004866D8">
        <w:t xml:space="preserve"> or orders</w:t>
      </w:r>
      <w:r w:rsidR="007A0E3F">
        <w:t xml:space="preserve"> are </w:t>
      </w:r>
      <w:r w:rsidR="007A0E3F">
        <w:t xml:space="preserve">nonappealable.  </w:t>
      </w:r>
      <w:r w:rsidR="00450BF1">
        <w:t>(</w:t>
      </w:r>
      <w:r w:rsidR="007A0E3F">
        <w:t>See</w:t>
      </w:r>
      <w:r w:rsidR="0082055B">
        <w:t>, e.g.,</w:t>
      </w:r>
      <w:r w:rsidR="007A0E3F">
        <w:t xml:space="preserve"> </w:t>
      </w:r>
      <w:r w:rsidR="009C3E64" w:rsidRPr="009C3E64">
        <w:rPr>
          <w:i/>
          <w:iCs/>
        </w:rPr>
        <w:t>Sleeper v. Kelly</w:t>
      </w:r>
      <w:r w:rsidR="009C3E64">
        <w:t xml:space="preserve"> (1863) 22 Cal. 456</w:t>
      </w:r>
      <w:r w:rsidR="007523A9">
        <w:t>, fn.</w:t>
      </w:r>
      <w:r w:rsidR="00594EF7">
        <w:rPr>
          <w:lang w:val="en-US"/>
        </w:rPr>
        <w:t> </w:t>
      </w:r>
      <w:r w:rsidR="007523A9">
        <w:t>1</w:t>
      </w:r>
      <w:r w:rsidR="009C3E64">
        <w:t xml:space="preserve">; </w:t>
      </w:r>
      <w:r w:rsidR="00790055" w:rsidRPr="00790055">
        <w:rPr>
          <w:i/>
          <w:iCs/>
        </w:rPr>
        <w:t xml:space="preserve">Erlanger v. Southern Pac. R. </w:t>
      </w:r>
      <w:r w:rsidR="00AB58EA">
        <w:rPr>
          <w:i/>
          <w:iCs/>
        </w:rPr>
        <w:t xml:space="preserve">R. </w:t>
      </w:r>
      <w:r w:rsidR="00790055" w:rsidRPr="00790055">
        <w:rPr>
          <w:i/>
          <w:iCs/>
        </w:rPr>
        <w:t>Co.</w:t>
      </w:r>
      <w:r w:rsidR="00790055">
        <w:t xml:space="preserve"> (1895) 109 Cal. 395</w:t>
      </w:r>
      <w:r w:rsidR="00DB0CFE">
        <w:t>, 396</w:t>
      </w:r>
      <w:r w:rsidR="00790055">
        <w:t xml:space="preserve">; </w:t>
      </w:r>
      <w:r w:rsidR="00657955" w:rsidRPr="007A0E3F">
        <w:rPr>
          <w:i/>
          <w:iCs/>
        </w:rPr>
        <w:t>Hibernia Sav. &amp; Loan Soc. v. Waymire</w:t>
      </w:r>
      <w:r w:rsidR="00657955">
        <w:t xml:space="preserve"> (1907) 152 Cal. 286, 287</w:t>
      </w:r>
      <w:r w:rsidR="003F3AE7">
        <w:t>-288</w:t>
      </w:r>
      <w:r w:rsidR="00450BF1">
        <w:t>.</w:t>
      </w:r>
      <w:r w:rsidR="003F3AE7">
        <w:t>)</w:t>
      </w:r>
    </w:p>
  </w:footnote>
  <w:footnote w:id="6">
    <w:p w14:paraId="79186452" w14:textId="4D707180" w:rsidR="002500D3" w:rsidRPr="005C2CFE" w:rsidRDefault="002500D3" w:rsidP="00594EF7">
      <w:pPr>
        <w:pStyle w:val="FootnoteText"/>
        <w:rPr>
          <w:lang w:val="en-US"/>
        </w:rPr>
      </w:pPr>
      <w:r>
        <w:rPr>
          <w:rStyle w:val="FootnoteReference"/>
        </w:rPr>
        <w:footnoteRef/>
      </w:r>
      <w:r>
        <w:t xml:space="preserve"> </w:t>
      </w:r>
      <w:r>
        <w:tab/>
        <w:t xml:space="preserve">In </w:t>
      </w:r>
      <w:r>
        <w:rPr>
          <w:i/>
          <w:iCs/>
        </w:rPr>
        <w:t>Norgart</w:t>
      </w:r>
      <w:r>
        <w:t xml:space="preserve">, the </w:t>
      </w:r>
      <w:r w:rsidRPr="00984553">
        <w:t>plaintiffs</w:t>
      </w:r>
      <w:r>
        <w:t xml:space="preserve"> sued for </w:t>
      </w:r>
      <w:r w:rsidRPr="00984553">
        <w:t>wrongful death</w:t>
      </w:r>
      <w:r>
        <w:t>.  The defendant moved for summary judgment on statute of limitations grounds, relying on a then newly-decided appellate decision</w:t>
      </w:r>
      <w:r w:rsidRPr="00984553">
        <w:t xml:space="preserve"> </w:t>
      </w:r>
      <w:r w:rsidR="00A279D6">
        <w:t>a</w:t>
      </w:r>
      <w:r w:rsidR="00F941C8">
        <w:t>rticulating</w:t>
      </w:r>
      <w:r>
        <w:t xml:space="preserve"> a discovery rule</w:t>
      </w:r>
      <w:r>
        <w:rPr>
          <w:lang w:val="en-US"/>
        </w:rPr>
        <w:t>.</w:t>
      </w:r>
      <w:r>
        <w:t xml:space="preserve">  The parties agreed the plaintiffs’ wrongful death claim would be time-barred under that new rule.  To hasten appellate review, t</w:t>
      </w:r>
      <w:r w:rsidRPr="00984553">
        <w:t xml:space="preserve">he </w:t>
      </w:r>
      <w:r>
        <w:t>plaintiffs stipulated</w:t>
      </w:r>
      <w:r w:rsidRPr="00984553">
        <w:t xml:space="preserve"> to </w:t>
      </w:r>
      <w:r>
        <w:t xml:space="preserve">a </w:t>
      </w:r>
      <w:r w:rsidRPr="00984553">
        <w:t>judgment</w:t>
      </w:r>
      <w:r>
        <w:t xml:space="preserve"> against them</w:t>
      </w:r>
      <w:r w:rsidRPr="00984553">
        <w:t>.</w:t>
      </w:r>
      <w:r>
        <w:t xml:space="preserve"> </w:t>
      </w:r>
      <w:r w:rsidRPr="00984553">
        <w:t xml:space="preserve"> (</w:t>
      </w:r>
      <w:r>
        <w:rPr>
          <w:i/>
          <w:iCs/>
        </w:rPr>
        <w:t>Norgart, supra,</w:t>
      </w:r>
      <w:r w:rsidRPr="00984553">
        <w:t xml:space="preserve"> </w:t>
      </w:r>
      <w:r w:rsidR="00504C68">
        <w:rPr>
          <w:lang w:val="en-US"/>
        </w:rPr>
        <w:t>21</w:t>
      </w:r>
      <w:r w:rsidR="002226A2">
        <w:rPr>
          <w:lang w:val="en-US"/>
        </w:rPr>
        <w:t> </w:t>
      </w:r>
      <w:r w:rsidR="00504C68">
        <w:rPr>
          <w:lang w:val="en-US"/>
        </w:rPr>
        <w:t xml:space="preserve">Cal.4th </w:t>
      </w:r>
      <w:r w:rsidRPr="00984553">
        <w:t>at p</w:t>
      </w:r>
      <w:r>
        <w:t xml:space="preserve">p. </w:t>
      </w:r>
      <w:r>
        <w:rPr>
          <w:lang w:val="en-US"/>
        </w:rPr>
        <w:t>392-</w:t>
      </w:r>
      <w:r>
        <w:t>393</w:t>
      </w:r>
      <w:r w:rsidRPr="00984553">
        <w:t>.)</w:t>
      </w:r>
    </w:p>
  </w:footnote>
  <w:footnote w:id="7">
    <w:p w14:paraId="37CD8CFC" w14:textId="2C3555E9" w:rsidR="002500D3" w:rsidRPr="00C00CA4" w:rsidRDefault="002500D3" w:rsidP="00594EF7">
      <w:pPr>
        <w:pStyle w:val="FootnoteText"/>
        <w:rPr>
          <w:lang w:val="en-US"/>
        </w:rPr>
      </w:pPr>
      <w:r>
        <w:rPr>
          <w:rStyle w:val="FootnoteReference"/>
        </w:rPr>
        <w:footnoteRef/>
      </w:r>
      <w:r>
        <w:t xml:space="preserve"> </w:t>
      </w:r>
      <w:r>
        <w:tab/>
      </w:r>
      <w:r w:rsidRPr="00BB08B9">
        <w:t>Justice Kennard</w:t>
      </w:r>
      <w:r>
        <w:rPr>
          <w:lang w:val="en-US"/>
        </w:rPr>
        <w:t xml:space="preserve"> objected to the majority’s decision to reach the merits because in her view </w:t>
      </w:r>
      <w:r w:rsidRPr="00BB08B9">
        <w:t xml:space="preserve">“the parties may not by stipulation artificially convert a </w:t>
      </w:r>
      <w:r w:rsidRPr="00BB08B9">
        <w:t xml:space="preserve">nonappealable interim ruling denying summary judgment into an appealable final judgment.” </w:t>
      </w:r>
      <w:r w:rsidR="002226A2">
        <w:rPr>
          <w:lang w:val="en-US"/>
        </w:rPr>
        <w:t xml:space="preserve"> </w:t>
      </w:r>
      <w:r w:rsidRPr="00BB08B9">
        <w:t>(</w:t>
      </w:r>
      <w:r w:rsidRPr="00BB08B9">
        <w:rPr>
          <w:i/>
          <w:iCs/>
        </w:rPr>
        <w:t xml:space="preserve">Norgart, supra, </w:t>
      </w:r>
      <w:r w:rsidRPr="00BB08B9">
        <w:t xml:space="preserve">21 Cal.4th at p. 412 </w:t>
      </w:r>
      <w:r>
        <w:rPr>
          <w:lang w:val="en-US"/>
        </w:rPr>
        <w:t>[</w:t>
      </w:r>
      <w:r w:rsidRPr="00BB08B9">
        <w:t>conc. &amp; dis. opn. of Kennard, J.</w:t>
      </w:r>
      <w:r>
        <w:rPr>
          <w:lang w:val="en-US"/>
        </w:rPr>
        <w:t>]</w:t>
      </w:r>
      <w:r w:rsidRPr="00BB08B9">
        <w:t>.)</w:t>
      </w:r>
      <w:r>
        <w:t xml:space="preserve">  </w:t>
      </w:r>
    </w:p>
  </w:footnote>
  <w:footnote w:id="8">
    <w:p w14:paraId="63A6684D" w14:textId="3AF040B6" w:rsidR="002500D3" w:rsidRPr="00DC382F" w:rsidRDefault="002500D3" w:rsidP="00594EF7">
      <w:pPr>
        <w:pStyle w:val="FootnoteText"/>
      </w:pPr>
      <w:r>
        <w:rPr>
          <w:rStyle w:val="FootnoteReference"/>
        </w:rPr>
        <w:footnoteRef/>
      </w:r>
      <w:r>
        <w:t xml:space="preserve"> </w:t>
      </w:r>
      <w:r>
        <w:tab/>
      </w:r>
      <w:r w:rsidRPr="009902FA">
        <w:t xml:space="preserve">See, e.g., </w:t>
      </w:r>
      <w:r w:rsidRPr="009902FA">
        <w:rPr>
          <w:i/>
          <w:iCs/>
        </w:rPr>
        <w:t>Harrington</w:t>
      </w:r>
      <w:r w:rsidRPr="00457770">
        <w:rPr>
          <w:i/>
          <w:iCs/>
        </w:rPr>
        <w:t>-Wisely v. State of California</w:t>
      </w:r>
      <w:r w:rsidRPr="00457770">
        <w:t xml:space="preserve"> (2007) 156 Cal.App.4th 1488, 1496 </w:t>
      </w:r>
      <w:r w:rsidR="002B6959">
        <w:t>(</w:t>
      </w:r>
      <w:r>
        <w:t>“</w:t>
      </w:r>
      <w:r w:rsidRPr="00457770">
        <w:t>the exception may not be invoked when, as here, the stipulated judgment fails to dispose of all claims between the parties</w:t>
      </w:r>
      <w:r>
        <w:t>”</w:t>
      </w:r>
      <w:r w:rsidR="002B6959">
        <w:t>)</w:t>
      </w:r>
      <w:r>
        <w:t xml:space="preserve">; </w:t>
      </w:r>
      <w:r w:rsidRPr="00457770">
        <w:rPr>
          <w:i/>
          <w:iCs/>
        </w:rPr>
        <w:t xml:space="preserve">Tudor Ranches, </w:t>
      </w:r>
      <w:r w:rsidR="00504C68">
        <w:rPr>
          <w:i/>
          <w:iCs/>
          <w:lang w:val="en-US"/>
        </w:rPr>
        <w:t xml:space="preserve">supra, </w:t>
      </w:r>
      <w:r w:rsidRPr="00457770">
        <w:t>65</w:t>
      </w:r>
      <w:r w:rsidR="002226A2">
        <w:rPr>
          <w:lang w:val="en-US"/>
        </w:rPr>
        <w:t> </w:t>
      </w:r>
      <w:r w:rsidRPr="00457770">
        <w:t xml:space="preserve">Cal.App.4th </w:t>
      </w:r>
      <w:r w:rsidR="00504C68">
        <w:rPr>
          <w:lang w:val="en-US"/>
        </w:rPr>
        <w:t>at pp. 1429-1430</w:t>
      </w:r>
      <w:r>
        <w:t xml:space="preserve"> </w:t>
      </w:r>
      <w:r w:rsidR="002B6959">
        <w:t>(</w:t>
      </w:r>
      <w:r w:rsidRPr="00457770">
        <w:t>stipulated judgment that does not dispose of all claims between parties is not appealable</w:t>
      </w:r>
      <w:r w:rsidR="002B6959">
        <w:t>)</w:t>
      </w:r>
      <w:r w:rsidRPr="00457770">
        <w:t xml:space="preserve">; </w:t>
      </w:r>
      <w:r w:rsidRPr="00457770">
        <w:rPr>
          <w:i/>
          <w:iCs/>
        </w:rPr>
        <w:t>Four Point Entertainment, Inc. v. New World Entertainment, Ltd.</w:t>
      </w:r>
      <w:r w:rsidRPr="00457770">
        <w:t xml:space="preserve"> (1997) 60 Cal.App.4th 79</w:t>
      </w:r>
      <w:r w:rsidR="00504C68">
        <w:rPr>
          <w:lang w:val="en-US"/>
        </w:rPr>
        <w:t>, 81</w:t>
      </w:r>
      <w:r w:rsidRPr="00457770">
        <w:t xml:space="preserve"> </w:t>
      </w:r>
      <w:r w:rsidR="002B6959">
        <w:t>(</w:t>
      </w:r>
      <w:r w:rsidRPr="00457770">
        <w:t>judgment before court was “‘final’ in name only” because, in substance, it did not dispose completely of all claims between parties</w:t>
      </w:r>
      <w:r w:rsidR="002B6959">
        <w:t>)</w:t>
      </w:r>
      <w:r w:rsidRPr="00457770">
        <w:t>.</w:t>
      </w:r>
    </w:p>
  </w:footnote>
  <w:footnote w:id="9">
    <w:p w14:paraId="01FC3A21" w14:textId="31BE4F94" w:rsidR="002500D3" w:rsidRPr="004E6DE0" w:rsidRDefault="002500D3" w:rsidP="00594EF7">
      <w:pPr>
        <w:pStyle w:val="FootnoteText"/>
        <w:rPr>
          <w:lang w:val="en-US"/>
        </w:rPr>
      </w:pPr>
      <w:r>
        <w:rPr>
          <w:rStyle w:val="FootnoteReference"/>
        </w:rPr>
        <w:footnoteRef/>
      </w:r>
      <w:r>
        <w:t xml:space="preserve"> </w:t>
      </w:r>
      <w:r>
        <w:tab/>
      </w:r>
      <w:r w:rsidRPr="008D3805">
        <w:t>See</w:t>
      </w:r>
      <w:r w:rsidR="0026431B">
        <w:rPr>
          <w:lang w:val="en-US"/>
        </w:rPr>
        <w:t>,</w:t>
      </w:r>
      <w:r w:rsidRPr="008D3805">
        <w:t xml:space="preserve"> e.g., </w:t>
      </w:r>
      <w:r w:rsidRPr="008D3805">
        <w:rPr>
          <w:i/>
          <w:iCs/>
        </w:rPr>
        <w:t xml:space="preserve">Hensley v. San Diego Gas &amp; </w:t>
      </w:r>
      <w:r w:rsidR="00504C68">
        <w:rPr>
          <w:i/>
          <w:iCs/>
          <w:lang w:val="en-US"/>
        </w:rPr>
        <w:t xml:space="preserve">Electric </w:t>
      </w:r>
      <w:r w:rsidRPr="008D3805">
        <w:rPr>
          <w:i/>
          <w:iCs/>
        </w:rPr>
        <w:t>Co.</w:t>
      </w:r>
      <w:r w:rsidR="00B516AF">
        <w:t xml:space="preserve"> </w:t>
      </w:r>
      <w:r w:rsidR="009A08AA">
        <w:rPr>
          <w:lang w:val="en-US"/>
        </w:rPr>
        <w:t>(2017)</w:t>
      </w:r>
      <w:r>
        <w:rPr>
          <w:i/>
          <w:iCs/>
        </w:rPr>
        <w:t xml:space="preserve"> </w:t>
      </w:r>
      <w:r w:rsidRPr="008D3805">
        <w:t>7</w:t>
      </w:r>
      <w:r w:rsidR="002226A2">
        <w:rPr>
          <w:lang w:val="en-US"/>
        </w:rPr>
        <w:t> </w:t>
      </w:r>
      <w:r w:rsidRPr="008D3805">
        <w:t xml:space="preserve">Cal.App.5th </w:t>
      </w:r>
      <w:r w:rsidR="009A08AA">
        <w:rPr>
          <w:lang w:val="en-US"/>
        </w:rPr>
        <w:t xml:space="preserve">1337, </w:t>
      </w:r>
      <w:r w:rsidRPr="008D3805">
        <w:t xml:space="preserve">1341, </w:t>
      </w:r>
      <w:r w:rsidR="009A08AA">
        <w:rPr>
          <w:lang w:val="en-US"/>
        </w:rPr>
        <w:t>f</w:t>
      </w:r>
      <w:r w:rsidRPr="008D3805">
        <w:t xml:space="preserve">n. 3 </w:t>
      </w:r>
      <w:r w:rsidR="00DC4BB5">
        <w:t>(</w:t>
      </w:r>
      <w:r w:rsidRPr="008D3805">
        <w:t>trial court excluded evidence of all emotional distress damages, which constituted most of the plaintiff’s claimed damages</w:t>
      </w:r>
      <w:r w:rsidR="00DC4BB5">
        <w:t>)</w:t>
      </w:r>
      <w:r w:rsidRPr="008D3805">
        <w:t xml:space="preserve">; </w:t>
      </w:r>
      <w:r w:rsidRPr="008D3805">
        <w:rPr>
          <w:i/>
          <w:iCs/>
        </w:rPr>
        <w:t>Martinez v. Robledo</w:t>
      </w:r>
      <w:r w:rsidRPr="008D3805">
        <w:t xml:space="preserve"> (2012) 210</w:t>
      </w:r>
      <w:r w:rsidR="00F22D6B">
        <w:rPr>
          <w:lang w:val="en-US"/>
        </w:rPr>
        <w:t> </w:t>
      </w:r>
      <w:r w:rsidRPr="008D3805">
        <w:t xml:space="preserve">Cal.App.4th 384, 387 </w:t>
      </w:r>
      <w:r w:rsidR="00DC4BB5">
        <w:t>(</w:t>
      </w:r>
      <w:r w:rsidRPr="008D3805">
        <w:t>trial court limited measure of damages for wrongful injury of a pet to the market value of the pet, which was minimal</w:t>
      </w:r>
      <w:r w:rsidR="00DC4BB5">
        <w:t>)</w:t>
      </w:r>
      <w:r w:rsidRPr="008D3805">
        <w:t>;</w:t>
      </w:r>
      <w:r w:rsidRPr="008D3805">
        <w:rPr>
          <w:i/>
          <w:iCs/>
        </w:rPr>
        <w:t xml:space="preserve"> McMahon v. Craig </w:t>
      </w:r>
      <w:r w:rsidRPr="008D3805">
        <w:t xml:space="preserve">(2009) 176 Cal.App.4th 1502, 1508 </w:t>
      </w:r>
      <w:r w:rsidR="00DC4BB5">
        <w:t>(</w:t>
      </w:r>
      <w:r w:rsidRPr="008D3805">
        <w:t>the plaintiff “determined the trial court’s rulings had severely impaired the value and viability of her case”</w:t>
      </w:r>
      <w:r w:rsidR="00DC4BB5">
        <w:t>)</w:t>
      </w:r>
      <w:r w:rsidRPr="008D3805">
        <w:t xml:space="preserve">; </w:t>
      </w:r>
      <w:r w:rsidRPr="00942554">
        <w:rPr>
          <w:i/>
          <w:iCs/>
        </w:rPr>
        <w:t xml:space="preserve">Tudor Ranches, </w:t>
      </w:r>
      <w:r w:rsidR="009A08AA">
        <w:rPr>
          <w:i/>
          <w:iCs/>
          <w:lang w:val="en-US"/>
        </w:rPr>
        <w:t xml:space="preserve">supra, </w:t>
      </w:r>
      <w:r w:rsidRPr="00942554">
        <w:t xml:space="preserve">65 Cal.App.4th </w:t>
      </w:r>
      <w:r w:rsidR="009A08AA">
        <w:rPr>
          <w:lang w:val="en-US"/>
        </w:rPr>
        <w:t>at p. </w:t>
      </w:r>
      <w:r>
        <w:t>1427</w:t>
      </w:r>
      <w:r w:rsidRPr="00942554">
        <w:t xml:space="preserve"> </w:t>
      </w:r>
      <w:r w:rsidR="00DC4BB5">
        <w:t>(</w:t>
      </w:r>
      <w:r>
        <w:t xml:space="preserve">in </w:t>
      </w:r>
      <w:r>
        <w:t>limine rulings prevented plaintiff from presenting its case</w:t>
      </w:r>
      <w:r w:rsidR="00DC4BB5">
        <w:t>)</w:t>
      </w:r>
      <w:r>
        <w:t>;</w:t>
      </w:r>
      <w:r w:rsidRPr="00942554">
        <w:t xml:space="preserve"> </w:t>
      </w:r>
      <w:r w:rsidRPr="008D3805">
        <w:rPr>
          <w:i/>
          <w:iCs/>
        </w:rPr>
        <w:t xml:space="preserve">City of </w:t>
      </w:r>
      <w:r w:rsidR="009A08AA">
        <w:rPr>
          <w:i/>
          <w:iCs/>
          <w:lang w:val="en-US"/>
        </w:rPr>
        <w:t xml:space="preserve">South </w:t>
      </w:r>
      <w:r w:rsidRPr="008D3805">
        <w:rPr>
          <w:i/>
          <w:iCs/>
        </w:rPr>
        <w:t>San Francisco v. Mayer</w:t>
      </w:r>
      <w:r w:rsidRPr="008D3805">
        <w:t xml:space="preserve"> (1998) 67 Cal.App.4th 1350, 1353 </w:t>
      </w:r>
      <w:r w:rsidR="00DC4BB5">
        <w:t>(</w:t>
      </w:r>
      <w:r w:rsidRPr="008D3805">
        <w:t>trial court decided motion in limine that limited the value of the defendants’ property in condemnation action</w:t>
      </w:r>
      <w:r w:rsidR="00DC4BB5">
        <w:t>)</w:t>
      </w:r>
      <w:r w:rsidRPr="008D3805">
        <w:t xml:space="preserve">; </w:t>
      </w:r>
      <w:r w:rsidRPr="008D3805">
        <w:rPr>
          <w:i/>
          <w:iCs/>
        </w:rPr>
        <w:t>Kenworthy v. Hadden</w:t>
      </w:r>
      <w:r w:rsidRPr="008D3805">
        <w:t xml:space="preserve"> (1978) 87 Cal.App.3d 696, 700 </w:t>
      </w:r>
      <w:r w:rsidR="00DC4BB5">
        <w:t>(</w:t>
      </w:r>
      <w:r w:rsidRPr="008D3805">
        <w:t>trial court ruled against appellant on appellant’s “major contention” and appellant elected not to go to trial on any other issues</w:t>
      </w:r>
      <w:r w:rsidR="00DC4BB5">
        <w:t>)</w:t>
      </w:r>
      <w:r w:rsidRPr="008D3805">
        <w:t>.</w:t>
      </w:r>
    </w:p>
  </w:footnote>
  <w:footnote w:id="10">
    <w:p w14:paraId="444EA388" w14:textId="738C4501" w:rsidR="002500D3" w:rsidRPr="00806401" w:rsidRDefault="002500D3" w:rsidP="00594EF7">
      <w:pPr>
        <w:pStyle w:val="FootnoteText"/>
        <w:rPr>
          <w:lang w:val="en-US"/>
        </w:rPr>
      </w:pPr>
      <w:r>
        <w:rPr>
          <w:rStyle w:val="FootnoteReference"/>
        </w:rPr>
        <w:footnoteRef/>
      </w:r>
      <w:r>
        <w:t xml:space="preserve"> </w:t>
      </w:r>
      <w:r>
        <w:tab/>
      </w:r>
      <w:r w:rsidRPr="008D3805">
        <w:t>See</w:t>
      </w:r>
      <w:r w:rsidR="0026431B">
        <w:rPr>
          <w:lang w:val="en-US"/>
        </w:rPr>
        <w:t>,</w:t>
      </w:r>
      <w:r w:rsidRPr="008D3805">
        <w:t xml:space="preserve"> e.g., </w:t>
      </w:r>
      <w:r w:rsidRPr="008D3805">
        <w:rPr>
          <w:i/>
          <w:iCs/>
        </w:rPr>
        <w:t>Tos v. State</w:t>
      </w:r>
      <w:r w:rsidR="009A08AA">
        <w:rPr>
          <w:i/>
          <w:iCs/>
          <w:lang w:val="en-US"/>
        </w:rPr>
        <w:t>, supra,</w:t>
      </w:r>
      <w:r w:rsidRPr="008D3805">
        <w:t xml:space="preserve"> 72 Cal.App.5th </w:t>
      </w:r>
      <w:r w:rsidR="009A08AA">
        <w:rPr>
          <w:lang w:val="en-US"/>
        </w:rPr>
        <w:t>at p. </w:t>
      </w:r>
      <w:r w:rsidRPr="008D3805">
        <w:t>194</w:t>
      </w:r>
      <w:r w:rsidR="009A08AA">
        <w:rPr>
          <w:lang w:val="en-US"/>
        </w:rPr>
        <w:t>,</w:t>
      </w:r>
      <w:r w:rsidRPr="008D3805">
        <w:t xml:space="preserve"> </w:t>
      </w:r>
      <w:r w:rsidR="009A08AA">
        <w:rPr>
          <w:lang w:val="en-US"/>
        </w:rPr>
        <w:t>f</w:t>
      </w:r>
      <w:r w:rsidRPr="008D3805">
        <w:t xml:space="preserve">n. 4 </w:t>
      </w:r>
      <w:r w:rsidR="00DC4BB5">
        <w:t>(</w:t>
      </w:r>
      <w:r w:rsidRPr="008D3805">
        <w:t>stipulated judgment appealable because the constitutionality of a bond statute was dispositive of all of plaintiffs’ claims</w:t>
      </w:r>
      <w:r w:rsidR="00DC4BB5">
        <w:t>)</w:t>
      </w:r>
      <w:r w:rsidRPr="008D3805">
        <w:t xml:space="preserve">; </w:t>
      </w:r>
      <w:r w:rsidRPr="008D3805">
        <w:rPr>
          <w:i/>
          <w:iCs/>
        </w:rPr>
        <w:t xml:space="preserve">State Farm </w:t>
      </w:r>
      <w:r w:rsidR="009A08AA">
        <w:rPr>
          <w:i/>
          <w:iCs/>
          <w:lang w:val="en-US"/>
        </w:rPr>
        <w:t xml:space="preserve">General </w:t>
      </w:r>
      <w:r w:rsidRPr="008D3805">
        <w:rPr>
          <w:i/>
          <w:iCs/>
        </w:rPr>
        <w:t xml:space="preserve">Ins. Co. v. Frake </w:t>
      </w:r>
      <w:r w:rsidRPr="008D3805">
        <w:t>(2011) 197 Cal.App.4th 568, 57</w:t>
      </w:r>
      <w:r w:rsidR="009A08AA">
        <w:rPr>
          <w:lang w:val="en-US"/>
        </w:rPr>
        <w:t>6</w:t>
      </w:r>
      <w:r w:rsidRPr="008D3805">
        <w:t xml:space="preserve"> </w:t>
      </w:r>
      <w:r w:rsidR="00DC4BB5">
        <w:t>(</w:t>
      </w:r>
      <w:r w:rsidRPr="008D3805">
        <w:t>stipulated judgment “was intended to facilitate State Farm’s appeal of the dispositive coverage issue in this case”</w:t>
      </w:r>
      <w:r w:rsidR="00DC4BB5">
        <w:t>)</w:t>
      </w:r>
      <w:r w:rsidRPr="008D3805">
        <w:t xml:space="preserve">; </w:t>
      </w:r>
      <w:r w:rsidRPr="008D3805">
        <w:rPr>
          <w:i/>
          <w:iCs/>
        </w:rPr>
        <w:t>Monticello Ins. v. Essex Ins. Co</w:t>
      </w:r>
      <w:r w:rsidRPr="008D3805">
        <w:t>. (2008) 162 Cal.App.4th 1376, 1383</w:t>
      </w:r>
      <w:r w:rsidR="009A08AA">
        <w:rPr>
          <w:lang w:val="en-US"/>
        </w:rPr>
        <w:t>-</w:t>
      </w:r>
      <w:r w:rsidRPr="008D3805">
        <w:t xml:space="preserve">1384 </w:t>
      </w:r>
      <w:r w:rsidR="00DC4BB5">
        <w:t>(</w:t>
      </w:r>
      <w:r w:rsidRPr="008D3805">
        <w:t>concluding “the parties properly stipulated to judgment in order to obtain immediate appellate review of the trial court’s critical and outcome</w:t>
      </w:r>
      <w:r w:rsidR="009A08AA">
        <w:rPr>
          <w:lang w:val="en-US"/>
        </w:rPr>
        <w:t>-</w:t>
      </w:r>
      <w:r w:rsidRPr="008D3805">
        <w:t>determinative ruling”</w:t>
      </w:r>
      <w:r w:rsidR="00DC4BB5">
        <w:t>)</w:t>
      </w:r>
      <w:r w:rsidRPr="008D3805">
        <w:t xml:space="preserve">; </w:t>
      </w:r>
      <w:r w:rsidRPr="008D3805">
        <w:rPr>
          <w:i/>
          <w:iCs/>
        </w:rPr>
        <w:t>Chavez v. Carpenter</w:t>
      </w:r>
      <w:r w:rsidRPr="008D3805">
        <w:t xml:space="preserve"> (2001) 91 Cal.App.4th 1433, 1437 </w:t>
      </w:r>
      <w:r w:rsidR="00DC4BB5">
        <w:t>(</w:t>
      </w:r>
      <w:r w:rsidRPr="008D3805">
        <w:t>trial court found the plaintiffs lacked standing to assert claim for wrongful death</w:t>
      </w:r>
      <w:r w:rsidR="00DC4BB5">
        <w:t>)</w:t>
      </w:r>
      <w:r w:rsidRPr="008D3805">
        <w:t xml:space="preserve">; </w:t>
      </w:r>
      <w:r w:rsidRPr="008D3805">
        <w:rPr>
          <w:i/>
          <w:iCs/>
        </w:rPr>
        <w:t>Aloha Pacific, Inc. v. California Ins. Guarantee Assn</w:t>
      </w:r>
      <w:r w:rsidRPr="008D3805">
        <w:t xml:space="preserve">. (2000) 79 Cal.App.4th 297, 306, fn. 6 </w:t>
      </w:r>
      <w:r w:rsidR="00DC4BB5">
        <w:t>(</w:t>
      </w:r>
      <w:r w:rsidRPr="008D3805">
        <w:t>trial court denied the plaintiff’s motion for summary judgment finding on undisputed facts the defendant should prevail as a matter of law</w:t>
      </w:r>
      <w:r w:rsidR="00DC4BB5">
        <w:t>)</w:t>
      </w:r>
      <w:r w:rsidRPr="008D3805">
        <w:t xml:space="preserve">; </w:t>
      </w:r>
      <w:r w:rsidRPr="008D3805">
        <w:rPr>
          <w:i/>
          <w:iCs/>
        </w:rPr>
        <w:t xml:space="preserve">Edwards v. Centex Real </w:t>
      </w:r>
      <w:r w:rsidR="009A08AA">
        <w:rPr>
          <w:i/>
          <w:iCs/>
          <w:lang w:val="en-US"/>
        </w:rPr>
        <w:t xml:space="preserve">Estate </w:t>
      </w:r>
      <w:r w:rsidRPr="008D3805">
        <w:rPr>
          <w:i/>
          <w:iCs/>
        </w:rPr>
        <w:t>Corp.</w:t>
      </w:r>
      <w:r w:rsidRPr="008D3805">
        <w:t xml:space="preserve"> (1997) 53 Cal.App.4th 15, </w:t>
      </w:r>
      <w:r w:rsidR="009A08AA">
        <w:rPr>
          <w:lang w:val="en-US"/>
        </w:rPr>
        <w:t>27-28</w:t>
      </w:r>
      <w:r w:rsidRPr="008D3805">
        <w:t xml:space="preserve"> </w:t>
      </w:r>
      <w:r w:rsidR="00DC4BB5">
        <w:t>(</w:t>
      </w:r>
      <w:r w:rsidRPr="008D3805">
        <w:t>trial court’s order excluded “bulk of the evidence upon which” plaintiffs “base[d</w:t>
      </w:r>
      <w:r w:rsidR="00556EB4">
        <w:t>]</w:t>
      </w:r>
      <w:r w:rsidRPr="008D3805">
        <w:t xml:space="preserve"> their causes of action” and was “tantamount to a nonsuit”</w:t>
      </w:r>
      <w:r w:rsidR="00DC4BB5">
        <w:t>)</w:t>
      </w:r>
      <w:r w:rsidRPr="008D3805">
        <w:t xml:space="preserve">; </w:t>
      </w:r>
      <w:r w:rsidRPr="008D3805">
        <w:rPr>
          <w:i/>
          <w:iCs/>
        </w:rPr>
        <w:t>Holmes v. Roth</w:t>
      </w:r>
      <w:r w:rsidRPr="008D3805">
        <w:t xml:space="preserve"> (1992) 11 Cal.App.4th 931, 934, fn. 1 </w:t>
      </w:r>
      <w:r w:rsidR="00DC4BB5">
        <w:t>(</w:t>
      </w:r>
      <w:r w:rsidRPr="008D3805">
        <w:t>“sole disputed issue” was decided against appellant</w:t>
      </w:r>
      <w:r w:rsidR="00DC4BB5">
        <w:t>)</w:t>
      </w:r>
      <w:r w:rsidRPr="008D3805">
        <w:t xml:space="preserve">; </w:t>
      </w:r>
      <w:r w:rsidRPr="008D3805">
        <w:rPr>
          <w:i/>
          <w:iCs/>
        </w:rPr>
        <w:t xml:space="preserve">Dong v. </w:t>
      </w:r>
      <w:r w:rsidR="009A08AA">
        <w:rPr>
          <w:i/>
          <w:iCs/>
          <w:lang w:val="en-US"/>
        </w:rPr>
        <w:t xml:space="preserve">Board </w:t>
      </w:r>
      <w:r w:rsidRPr="008D3805">
        <w:rPr>
          <w:i/>
          <w:iCs/>
        </w:rPr>
        <w:t>of Trustees</w:t>
      </w:r>
      <w:r w:rsidRPr="008D3805">
        <w:t xml:space="preserve"> (1987) 191</w:t>
      </w:r>
      <w:r w:rsidR="00F22D6B">
        <w:rPr>
          <w:lang w:val="en-US"/>
        </w:rPr>
        <w:t> </w:t>
      </w:r>
      <w:r w:rsidRPr="008D3805">
        <w:t xml:space="preserve">Cal.App.3d 1572, 1576 </w:t>
      </w:r>
      <w:r w:rsidR="00DC4BB5">
        <w:t>(</w:t>
      </w:r>
      <w:r w:rsidRPr="008D3805">
        <w:t>trial court’s exclusion of plaintiff’s evidence exposed his case to nonsuit</w:t>
      </w:r>
      <w:r w:rsidR="00DC4BB5">
        <w:t>)</w:t>
      </w:r>
      <w:r>
        <w:rPr>
          <w:lang w:val="en-US"/>
        </w:rPr>
        <w:t>.</w:t>
      </w:r>
    </w:p>
  </w:footnote>
  <w:footnote w:id="11">
    <w:p w14:paraId="17E4844F" w14:textId="69129593" w:rsidR="002500D3" w:rsidRPr="00393F8F" w:rsidRDefault="002500D3" w:rsidP="00594EF7">
      <w:pPr>
        <w:pStyle w:val="FootnoteText"/>
      </w:pPr>
      <w:r>
        <w:rPr>
          <w:rStyle w:val="FootnoteReference"/>
        </w:rPr>
        <w:footnoteRef/>
      </w:r>
      <w:r>
        <w:t xml:space="preserve"> </w:t>
      </w:r>
      <w:r>
        <w:tab/>
        <w:t>NASP further avers that “after much delay, SCE and Simple Avo represent to this court that its intervention is suddenly necessary to resolve a critical issue:  1) that Simple Avo has never litigated previously; 2) that SCE has attempted to overturn for decades; 3) that Simple Avo has no obvious stake in for future cases; and 4) under the hidden terms of a settlement agreement which no court has reviewed.”</w:t>
      </w:r>
    </w:p>
  </w:footnote>
  <w:footnote w:id="12">
    <w:p w14:paraId="34B48465" w14:textId="072471AC" w:rsidR="002500D3" w:rsidRPr="00B658AB" w:rsidRDefault="002500D3" w:rsidP="002500D3">
      <w:pPr>
        <w:spacing w:line="240" w:lineRule="auto"/>
      </w:pPr>
      <w:r>
        <w:rPr>
          <w:rStyle w:val="FootnoteReference"/>
        </w:rPr>
        <w:footnoteRef/>
      </w:r>
      <w:r>
        <w:t xml:space="preserve"> </w:t>
      </w:r>
      <w:r>
        <w:tab/>
      </w:r>
      <w:r>
        <w:rPr>
          <w:szCs w:val="26"/>
        </w:rPr>
        <w:t xml:space="preserve">CAC and NASP </w:t>
      </w:r>
      <w:r w:rsidRPr="00FD5863">
        <w:rPr>
          <w:szCs w:val="26"/>
        </w:rPr>
        <w:t xml:space="preserve">raised additional factual disputes </w:t>
      </w:r>
      <w:r>
        <w:rPr>
          <w:szCs w:val="26"/>
        </w:rPr>
        <w:t xml:space="preserve">that would have to be resolved against SCE </w:t>
      </w:r>
      <w:proofErr w:type="gramStart"/>
      <w:r>
        <w:rPr>
          <w:szCs w:val="26"/>
        </w:rPr>
        <w:t>in order to</w:t>
      </w:r>
      <w:proofErr w:type="gramEnd"/>
      <w:r>
        <w:rPr>
          <w:szCs w:val="26"/>
        </w:rPr>
        <w:t xml:space="preserve"> find it liable for inverse condemnation.  These </w:t>
      </w:r>
      <w:r w:rsidRPr="00FD5863">
        <w:rPr>
          <w:szCs w:val="26"/>
        </w:rPr>
        <w:t>relat</w:t>
      </w:r>
      <w:r>
        <w:rPr>
          <w:szCs w:val="26"/>
        </w:rPr>
        <w:t>e</w:t>
      </w:r>
      <w:r w:rsidRPr="00FD5863">
        <w:rPr>
          <w:szCs w:val="26"/>
        </w:rPr>
        <w:t xml:space="preserve"> to whether the creation of a Wildfire Fund or the entry of a consent order </w:t>
      </w:r>
      <w:r>
        <w:rPr>
          <w:szCs w:val="26"/>
        </w:rPr>
        <w:t xml:space="preserve">would </w:t>
      </w:r>
      <w:r w:rsidRPr="00FD5863">
        <w:rPr>
          <w:szCs w:val="26"/>
        </w:rPr>
        <w:t xml:space="preserve">entitle SCE to spread costs. </w:t>
      </w:r>
      <w:r w:rsidR="00BC5D8B">
        <w:rPr>
          <w:szCs w:val="26"/>
        </w:rPr>
        <w:t xml:space="preserve"> </w:t>
      </w:r>
      <w:r>
        <w:rPr>
          <w:szCs w:val="26"/>
        </w:rPr>
        <w:t xml:space="preserve">We need not assess what impact these could have on liability or at </w:t>
      </w:r>
      <w:proofErr w:type="gramStart"/>
      <w:r>
        <w:rPr>
          <w:szCs w:val="26"/>
        </w:rPr>
        <w:t>trial, but</w:t>
      </w:r>
      <w:proofErr w:type="gramEnd"/>
      <w:r>
        <w:rPr>
          <w:szCs w:val="26"/>
        </w:rPr>
        <w:t xml:space="preserve"> note them to highlight the availability of defenses to SCE at a trial.</w:t>
      </w:r>
    </w:p>
  </w:footnote>
  <w:footnote w:id="13">
    <w:p w14:paraId="46A2BDEB" w14:textId="3C27B29B" w:rsidR="00E30F8F" w:rsidRPr="004F767B" w:rsidRDefault="00E30F8F" w:rsidP="00594EF7">
      <w:pPr>
        <w:pStyle w:val="FootnoteText"/>
        <w:rPr>
          <w:lang w:val="en-US"/>
        </w:rPr>
      </w:pPr>
      <w:r>
        <w:rPr>
          <w:rStyle w:val="FootnoteReference"/>
        </w:rPr>
        <w:footnoteRef/>
      </w:r>
      <w:r>
        <w:t xml:space="preserve"> </w:t>
      </w:r>
      <w:r>
        <w:tab/>
        <w:t xml:space="preserve">SCE contends </w:t>
      </w:r>
      <w:r>
        <w:rPr>
          <w:i/>
          <w:iCs/>
          <w:lang w:val="en-US"/>
        </w:rPr>
        <w:t>GLSA</w:t>
      </w:r>
      <w:r>
        <w:rPr>
          <w:i/>
          <w:iCs/>
        </w:rPr>
        <w:t xml:space="preserve"> </w:t>
      </w:r>
      <w:r>
        <w:t xml:space="preserve">is limited to employment discrimination cases, citing </w:t>
      </w:r>
      <w:r w:rsidRPr="00CB37DC">
        <w:rPr>
          <w:i/>
          <w:iCs/>
        </w:rPr>
        <w:t xml:space="preserve">Pasillas v. </w:t>
      </w:r>
      <w:r w:rsidR="00FE42EC">
        <w:rPr>
          <w:i/>
          <w:iCs/>
          <w:lang w:val="en-US"/>
        </w:rPr>
        <w:t xml:space="preserve">Agricultural Labor Relations Board </w:t>
      </w:r>
      <w:r>
        <w:t>(1984)</w:t>
      </w:r>
      <w:r w:rsidRPr="00CB37DC">
        <w:t xml:space="preserve"> 156 Cal.App.3d 312</w:t>
      </w:r>
      <w:r w:rsidR="00EC0FD2">
        <w:t xml:space="preserve"> (</w:t>
      </w:r>
      <w:r w:rsidR="00EC0FD2">
        <w:rPr>
          <w:i/>
          <w:iCs/>
        </w:rPr>
        <w:t>Pasillas</w:t>
      </w:r>
      <w:r w:rsidR="00EC0FD2">
        <w:t>)</w:t>
      </w:r>
      <w:r>
        <w:rPr>
          <w:lang w:val="en-US"/>
        </w:rPr>
        <w:t xml:space="preserve"> and </w:t>
      </w:r>
      <w:r w:rsidRPr="00995A82">
        <w:rPr>
          <w:i/>
          <w:iCs/>
        </w:rPr>
        <w:t>Automatic Sprinkler Corp. v. Southern California Edison Co</w:t>
      </w:r>
      <w:r w:rsidRPr="00995A82">
        <w:t>.</w:t>
      </w:r>
      <w:r>
        <w:t xml:space="preserve"> (1989)</w:t>
      </w:r>
      <w:r w:rsidRPr="00995A82">
        <w:t xml:space="preserve"> 216</w:t>
      </w:r>
      <w:r w:rsidR="00F22D6B">
        <w:rPr>
          <w:lang w:val="en-US"/>
        </w:rPr>
        <w:t> </w:t>
      </w:r>
      <w:r w:rsidRPr="00995A82">
        <w:t>Cal.App.3d 627</w:t>
      </w:r>
      <w:r w:rsidR="00FC289A">
        <w:t xml:space="preserve"> (</w:t>
      </w:r>
      <w:r w:rsidR="00FC289A">
        <w:rPr>
          <w:i/>
          <w:iCs/>
        </w:rPr>
        <w:t>Automatic Sprinkler</w:t>
      </w:r>
      <w:r w:rsidR="00FC289A">
        <w:t>)</w:t>
      </w:r>
      <w:r>
        <w:t xml:space="preserve">. </w:t>
      </w:r>
      <w:r w:rsidR="00BC5D8B">
        <w:rPr>
          <w:lang w:val="en-US"/>
        </w:rPr>
        <w:t xml:space="preserve"> </w:t>
      </w:r>
      <w:r>
        <w:rPr>
          <w:lang w:val="en-US"/>
        </w:rPr>
        <w:t xml:space="preserve">We are unpersuaded.  </w:t>
      </w:r>
      <w:r w:rsidRPr="00225FF7">
        <w:rPr>
          <w:i/>
          <w:iCs/>
        </w:rPr>
        <w:t>Pasillas</w:t>
      </w:r>
      <w:r>
        <w:t xml:space="preserve"> </w:t>
      </w:r>
      <w:r>
        <w:rPr>
          <w:lang w:val="en-US"/>
        </w:rPr>
        <w:t xml:space="preserve">merely found </w:t>
      </w:r>
      <w:r>
        <w:rPr>
          <w:i/>
          <w:iCs/>
          <w:lang w:val="en-US"/>
        </w:rPr>
        <w:t xml:space="preserve">GLSA </w:t>
      </w:r>
      <w:r>
        <w:rPr>
          <w:lang w:val="en-US"/>
        </w:rPr>
        <w:t xml:space="preserve">did not confer “state action” on a union with “monopoly” status pursuant to a </w:t>
      </w:r>
      <w:r w:rsidRPr="00BE5AF5">
        <w:rPr>
          <w:lang w:val="en-US"/>
        </w:rPr>
        <w:t>state-authorized union security agreement</w:t>
      </w:r>
      <w:r>
        <w:rPr>
          <w:lang w:val="en-US"/>
        </w:rPr>
        <w:t>.  (</w:t>
      </w:r>
      <w:r w:rsidR="000B6A47">
        <w:rPr>
          <w:i/>
          <w:iCs/>
          <w:lang w:val="en-US"/>
        </w:rPr>
        <w:t>Pasi</w:t>
      </w:r>
      <w:r w:rsidR="0096297E">
        <w:rPr>
          <w:i/>
          <w:iCs/>
          <w:lang w:val="en-US"/>
        </w:rPr>
        <w:t>l</w:t>
      </w:r>
      <w:r w:rsidR="000B6A47">
        <w:rPr>
          <w:i/>
          <w:iCs/>
          <w:lang w:val="en-US"/>
        </w:rPr>
        <w:t xml:space="preserve">las, </w:t>
      </w:r>
      <w:r w:rsidRPr="000B6A47">
        <w:rPr>
          <w:lang w:val="en-US"/>
        </w:rPr>
        <w:t>at</w:t>
      </w:r>
      <w:r>
        <w:rPr>
          <w:lang w:val="en-US"/>
        </w:rPr>
        <w:t xml:space="preserve"> p. 348.)  It questioned whether </w:t>
      </w:r>
      <w:r>
        <w:rPr>
          <w:i/>
          <w:iCs/>
        </w:rPr>
        <w:t>GLSA</w:t>
      </w:r>
      <w:r>
        <w:rPr>
          <w:i/>
          <w:iCs/>
          <w:lang w:val="en-US"/>
        </w:rPr>
        <w:t xml:space="preserve"> </w:t>
      </w:r>
      <w:r w:rsidRPr="00E64397">
        <w:t>might have applicability beyond the employment discrimination context and particularly in the free speech context</w:t>
      </w:r>
      <w:r>
        <w:rPr>
          <w:lang w:val="en-US"/>
        </w:rPr>
        <w:t xml:space="preserve">. </w:t>
      </w:r>
      <w:r w:rsidR="00F22D6B">
        <w:rPr>
          <w:lang w:val="en-US"/>
        </w:rPr>
        <w:t xml:space="preserve"> </w:t>
      </w:r>
      <w:r>
        <w:rPr>
          <w:lang w:val="en-US"/>
        </w:rPr>
        <w:t>(</w:t>
      </w:r>
      <w:r w:rsidR="0096297E">
        <w:rPr>
          <w:i/>
          <w:iCs/>
          <w:lang w:val="en-US"/>
        </w:rPr>
        <w:t>Ibid</w:t>
      </w:r>
      <w:r>
        <w:rPr>
          <w:lang w:val="en-US"/>
        </w:rPr>
        <w:t xml:space="preserve">.)  A different </w:t>
      </w:r>
      <w:r w:rsidR="0096297E">
        <w:rPr>
          <w:lang w:val="en-US"/>
        </w:rPr>
        <w:t>C</w:t>
      </w:r>
      <w:r>
        <w:rPr>
          <w:lang w:val="en-US"/>
        </w:rPr>
        <w:t xml:space="preserve">ourt of </w:t>
      </w:r>
      <w:r w:rsidR="0096297E">
        <w:rPr>
          <w:lang w:val="en-US"/>
        </w:rPr>
        <w:t>A</w:t>
      </w:r>
      <w:r>
        <w:rPr>
          <w:lang w:val="en-US"/>
        </w:rPr>
        <w:t xml:space="preserve">ppeal responded in the affirmative </w:t>
      </w:r>
      <w:r w:rsidRPr="00E64397">
        <w:t xml:space="preserve">in </w:t>
      </w:r>
      <w:r w:rsidRPr="00225FF7">
        <w:rPr>
          <w:i/>
          <w:iCs/>
        </w:rPr>
        <w:t>Savage</w:t>
      </w:r>
      <w:r w:rsidR="00F22D6B">
        <w:rPr>
          <w:i/>
          <w:iCs/>
          <w:lang w:val="en-US"/>
        </w:rPr>
        <w:t> </w:t>
      </w:r>
      <w:r w:rsidRPr="00225FF7">
        <w:rPr>
          <w:i/>
          <w:iCs/>
        </w:rPr>
        <w:t>v. Pacific Gas and Electric Co.</w:t>
      </w:r>
      <w:r>
        <w:rPr>
          <w:lang w:val="en-US"/>
        </w:rPr>
        <w:t xml:space="preserve"> (1993)</w:t>
      </w:r>
      <w:r w:rsidRPr="00E64397">
        <w:t xml:space="preserve"> 21</w:t>
      </w:r>
      <w:r w:rsidR="0096297E">
        <w:rPr>
          <w:lang w:val="en-US"/>
        </w:rPr>
        <w:t> </w:t>
      </w:r>
      <w:r w:rsidRPr="00E64397">
        <w:t>Cal.App.4th 434</w:t>
      </w:r>
      <w:r>
        <w:rPr>
          <w:lang w:val="en-US"/>
        </w:rPr>
        <w:t>, 455</w:t>
      </w:r>
      <w:r w:rsidR="00FE42EC">
        <w:rPr>
          <w:lang w:val="en-US"/>
        </w:rPr>
        <w:noBreakHyphen/>
      </w:r>
      <w:r>
        <w:rPr>
          <w:lang w:val="en-US"/>
        </w:rPr>
        <w:t>456,</w:t>
      </w:r>
      <w:r w:rsidRPr="00E64397">
        <w:t xml:space="preserve"> rel</w:t>
      </w:r>
      <w:r>
        <w:rPr>
          <w:lang w:val="en-US"/>
        </w:rPr>
        <w:t>ying</w:t>
      </w:r>
      <w:r w:rsidRPr="00E64397">
        <w:t xml:space="preserve"> on </w:t>
      </w:r>
      <w:r>
        <w:rPr>
          <w:i/>
          <w:iCs/>
        </w:rPr>
        <w:t>GLSA</w:t>
      </w:r>
      <w:r>
        <w:rPr>
          <w:i/>
          <w:iCs/>
          <w:lang w:val="en-US"/>
        </w:rPr>
        <w:t xml:space="preserve"> </w:t>
      </w:r>
      <w:r>
        <w:rPr>
          <w:lang w:val="en-US"/>
        </w:rPr>
        <w:t>to</w:t>
      </w:r>
      <w:r w:rsidRPr="00E64397">
        <w:t xml:space="preserve"> impose liability on privately-owned Pacific Gas and Electric Company for violation</w:t>
      </w:r>
      <w:r>
        <w:rPr>
          <w:lang w:val="en-US"/>
        </w:rPr>
        <w:t>s</w:t>
      </w:r>
      <w:r w:rsidRPr="00E64397">
        <w:t xml:space="preserve"> of the First Amendment and the </w:t>
      </w:r>
      <w:r>
        <w:rPr>
          <w:lang w:val="en-US"/>
        </w:rPr>
        <w:t>E</w:t>
      </w:r>
      <w:r w:rsidRPr="00E64397">
        <w:t xml:space="preserve">qual </w:t>
      </w:r>
      <w:r>
        <w:rPr>
          <w:lang w:val="en-US"/>
        </w:rPr>
        <w:t>P</w:t>
      </w:r>
      <w:r w:rsidR="007A2C55" w:rsidRPr="00E64397">
        <w:t>rotection</w:t>
      </w:r>
      <w:r w:rsidRPr="00E64397">
        <w:t xml:space="preserve"> clause of the </w:t>
      </w:r>
      <w:r w:rsidR="00FE42EC">
        <w:rPr>
          <w:lang w:val="en-US"/>
        </w:rPr>
        <w:t xml:space="preserve">United States </w:t>
      </w:r>
      <w:r w:rsidRPr="00E64397">
        <w:t>Constitution.</w:t>
      </w:r>
      <w:r>
        <w:rPr>
          <w:lang w:val="en-US"/>
        </w:rPr>
        <w:t xml:space="preserve">  Nor did </w:t>
      </w:r>
      <w:r w:rsidRPr="00995A82">
        <w:rPr>
          <w:i/>
          <w:iCs/>
        </w:rPr>
        <w:t xml:space="preserve">Automatic Sprinkler </w:t>
      </w:r>
      <w:r>
        <w:rPr>
          <w:lang w:val="en-US"/>
        </w:rPr>
        <w:t xml:space="preserve">limit the scope of </w:t>
      </w:r>
      <w:r>
        <w:rPr>
          <w:i/>
          <w:iCs/>
          <w:lang w:val="en-US"/>
        </w:rPr>
        <w:t>GLSA</w:t>
      </w:r>
      <w:r>
        <w:rPr>
          <w:lang w:val="en-US"/>
        </w:rPr>
        <w:t>.</w:t>
      </w:r>
      <w:r>
        <w:rPr>
          <w:i/>
          <w:iCs/>
          <w:lang w:val="en-US"/>
        </w:rPr>
        <w:t xml:space="preserve">  </w:t>
      </w:r>
      <w:r>
        <w:rPr>
          <w:lang w:val="en-US"/>
        </w:rPr>
        <w:t xml:space="preserve">There, the court merely concluded that, </w:t>
      </w:r>
      <w:r>
        <w:t>“</w:t>
      </w:r>
      <w:r w:rsidRPr="00970126">
        <w:t xml:space="preserve">It is readily seen that the issue, body of law, and subject matter of </w:t>
      </w:r>
      <w:r>
        <w:rPr>
          <w:lang w:val="en-US"/>
        </w:rPr>
        <w:t>[</w:t>
      </w:r>
      <w:r>
        <w:rPr>
          <w:i/>
          <w:iCs/>
          <w:lang w:val="en-US"/>
        </w:rPr>
        <w:t>GLSA</w:t>
      </w:r>
      <w:r>
        <w:rPr>
          <w:lang w:val="en-US"/>
        </w:rPr>
        <w:t>]</w:t>
      </w:r>
      <w:r>
        <w:rPr>
          <w:i/>
          <w:iCs/>
          <w:lang w:val="en-US"/>
        </w:rPr>
        <w:t xml:space="preserve"> </w:t>
      </w:r>
      <w:r w:rsidRPr="00970126">
        <w:t>have no bearing or relationship to this case</w:t>
      </w:r>
      <w:r w:rsidR="0046418B">
        <w:rPr>
          <w:lang w:val="en-US"/>
        </w:rPr>
        <w:t>,</w:t>
      </w:r>
      <w:r>
        <w:t>”</w:t>
      </w:r>
      <w:r w:rsidR="00747F2E">
        <w:t xml:space="preserve"> which involved a </w:t>
      </w:r>
      <w:r w:rsidR="00747F2E" w:rsidRPr="00747F2E">
        <w:t xml:space="preserve">payment bond </w:t>
      </w:r>
      <w:r w:rsidR="00F55F3D">
        <w:t>for public works.</w:t>
      </w:r>
      <w:r w:rsidR="0046418B">
        <w:t xml:space="preserve"> </w:t>
      </w:r>
      <w:r w:rsidR="00FE42EC">
        <w:rPr>
          <w:lang w:val="en-US"/>
        </w:rPr>
        <w:t xml:space="preserve"> (</w:t>
      </w:r>
      <w:r w:rsidR="00FE42EC">
        <w:rPr>
          <w:i/>
          <w:iCs/>
          <w:lang w:val="en-US"/>
        </w:rPr>
        <w:t>Automatic Sprinkler,</w:t>
      </w:r>
      <w:r w:rsidR="00FE42EC">
        <w:rPr>
          <w:lang w:val="en-US"/>
        </w:rPr>
        <w:t xml:space="preserve"> at p. 633.)</w:t>
      </w:r>
    </w:p>
  </w:footnote>
  <w:footnote w:id="14">
    <w:p w14:paraId="568B3B96" w14:textId="24F7DC59" w:rsidR="00EF2955" w:rsidRPr="00BE1657" w:rsidRDefault="00EF2955" w:rsidP="00594EF7">
      <w:pPr>
        <w:pStyle w:val="FootnoteText"/>
      </w:pPr>
      <w:r>
        <w:rPr>
          <w:rStyle w:val="FootnoteReference"/>
        </w:rPr>
        <w:footnoteRef/>
      </w:r>
      <w:r>
        <w:t xml:space="preserve"> </w:t>
      </w:r>
      <w:r>
        <w:tab/>
        <w:t xml:space="preserve">SCE argues </w:t>
      </w:r>
      <w:r w:rsidR="003900B6">
        <w:rPr>
          <w:i/>
          <w:iCs/>
        </w:rPr>
        <w:t>Pacific Bell</w:t>
      </w:r>
      <w:r w:rsidR="003900B6" w:rsidRPr="006054C0">
        <w:t>’s</w:t>
      </w:r>
      <w:r w:rsidR="003900B6">
        <w:rPr>
          <w:i/>
          <w:iCs/>
        </w:rPr>
        <w:t xml:space="preserve"> </w:t>
      </w:r>
      <w:r w:rsidR="003900B6">
        <w:t xml:space="preserve">reliance on </w:t>
      </w:r>
      <w:r w:rsidR="00FD12DB">
        <w:t>the grant of monopoly power</w:t>
      </w:r>
      <w:r w:rsidR="00913970">
        <w:t xml:space="preserve">s to a private entity </w:t>
      </w:r>
      <w:r w:rsidR="00FD12DB">
        <w:t xml:space="preserve">to justify </w:t>
      </w:r>
      <w:r w:rsidR="009B7E10">
        <w:t xml:space="preserve">inverse condemnation liability </w:t>
      </w:r>
      <w:r w:rsidR="004378DB">
        <w:rPr>
          <w:lang w:val="en-US"/>
        </w:rPr>
        <w:t>would be</w:t>
      </w:r>
      <w:r w:rsidR="009B7E10">
        <w:t xml:space="preserve"> misplaced </w:t>
      </w:r>
      <w:r w:rsidR="0045210F">
        <w:t xml:space="preserve">in this case because SCE does not have the power to raise prices as a monopoly does. </w:t>
      </w:r>
      <w:r w:rsidR="00BC5D8B">
        <w:rPr>
          <w:lang w:val="en-US"/>
        </w:rPr>
        <w:t xml:space="preserve"> </w:t>
      </w:r>
      <w:r w:rsidR="00A84A19">
        <w:rPr>
          <w:lang w:val="en-US"/>
        </w:rPr>
        <w:t xml:space="preserve">But, as outlined above, </w:t>
      </w:r>
      <w:r w:rsidR="00CB19D2">
        <w:rPr>
          <w:i/>
          <w:iCs/>
        </w:rPr>
        <w:t>Pacific Bell</w:t>
      </w:r>
      <w:r w:rsidR="00830566" w:rsidRPr="00A84A19">
        <w:t>’s</w:t>
      </w:r>
      <w:r w:rsidR="00830566">
        <w:rPr>
          <w:i/>
          <w:iCs/>
        </w:rPr>
        <w:t xml:space="preserve"> </w:t>
      </w:r>
      <w:r w:rsidR="00830566">
        <w:t xml:space="preserve">analysis did not rest on </w:t>
      </w:r>
      <w:r w:rsidR="005F2912">
        <w:t xml:space="preserve">a monopoly’s power to raise prices; it knew SCE could not raise rates without CPUC authorization.  </w:t>
      </w:r>
      <w:r w:rsidR="004F7814">
        <w:rPr>
          <w:i/>
          <w:iCs/>
        </w:rPr>
        <w:t>Pacific Bell</w:t>
      </w:r>
      <w:r w:rsidR="00F10B6F">
        <w:t xml:space="preserve"> merely reasoned</w:t>
      </w:r>
      <w:r w:rsidR="00347891">
        <w:t xml:space="preserve">, </w:t>
      </w:r>
      <w:r w:rsidR="002E2BDF">
        <w:t xml:space="preserve">as did the high court </w:t>
      </w:r>
      <w:r w:rsidR="00347891">
        <w:t xml:space="preserve">in </w:t>
      </w:r>
      <w:r w:rsidR="00CF5890">
        <w:rPr>
          <w:i/>
          <w:iCs/>
          <w:lang w:val="en-US"/>
        </w:rPr>
        <w:t>GLSA</w:t>
      </w:r>
      <w:r w:rsidR="00347891">
        <w:rPr>
          <w:i/>
          <w:iCs/>
        </w:rPr>
        <w:t>,</w:t>
      </w:r>
      <w:r w:rsidR="00F10B6F">
        <w:t xml:space="preserve"> that</w:t>
      </w:r>
      <w:r w:rsidR="00356F25">
        <w:t xml:space="preserve"> a private company granted a franchise to</w:t>
      </w:r>
      <w:r w:rsidR="00BD5DC0">
        <w:t xml:space="preserve"> operate like a governmental entity </w:t>
      </w:r>
      <w:r w:rsidR="000C168B">
        <w:t xml:space="preserve">could be held liable under inverse condemnation as </w:t>
      </w:r>
      <w:r w:rsidR="002E2BDF">
        <w:t xml:space="preserve">would </w:t>
      </w:r>
      <w:r w:rsidR="000C168B">
        <w:t>a government entity.</w:t>
      </w:r>
      <w:r w:rsidR="00356F25">
        <w:t xml:space="preserve"> </w:t>
      </w:r>
      <w:r w:rsidR="00CF5890">
        <w:rPr>
          <w:lang w:val="en-US"/>
        </w:rPr>
        <w:t xml:space="preserve"> </w:t>
      </w:r>
      <w:r w:rsidR="00BE1657">
        <w:t>(</w:t>
      </w:r>
      <w:r w:rsidR="00BE1657">
        <w:rPr>
          <w:i/>
          <w:iCs/>
        </w:rPr>
        <w:t xml:space="preserve">Pacific Bell, supra, </w:t>
      </w:r>
      <w:r w:rsidR="00BE1657">
        <w:t>208 Cal.App.4th at p</w:t>
      </w:r>
      <w:r w:rsidR="00CF5890">
        <w:rPr>
          <w:lang w:val="en-US"/>
        </w:rPr>
        <w:t>p</w:t>
      </w:r>
      <w:r w:rsidR="00BE1657">
        <w:t>. 1406</w:t>
      </w:r>
      <w:r w:rsidR="001A0F43">
        <w:rPr>
          <w:lang w:val="en-US"/>
        </w:rPr>
        <w:t>-</w:t>
      </w:r>
      <w:r w:rsidR="00BE1657">
        <w:t>1407.)</w:t>
      </w:r>
    </w:p>
  </w:footnote>
  <w:footnote w:id="15">
    <w:p w14:paraId="3F441F8B" w14:textId="2014DA3A" w:rsidR="0077582E" w:rsidRPr="0077582E" w:rsidRDefault="0077582E" w:rsidP="00594EF7">
      <w:pPr>
        <w:pStyle w:val="FootnoteText"/>
      </w:pPr>
      <w:r>
        <w:rPr>
          <w:rStyle w:val="FootnoteReference"/>
        </w:rPr>
        <w:footnoteRef/>
      </w:r>
      <w:r>
        <w:t xml:space="preserve"> </w:t>
      </w:r>
      <w:r w:rsidR="001A3ABD">
        <w:tab/>
        <w:t>Code of Civil Procedure section 1</w:t>
      </w:r>
      <w:r w:rsidR="001A3ABD" w:rsidRPr="001A3ABD">
        <w:t>260.040</w:t>
      </w:r>
      <w:r w:rsidR="001A3ABD">
        <w:t>, subdivision (a)</w:t>
      </w:r>
      <w:r w:rsidR="00DB755D">
        <w:rPr>
          <w:lang w:val="en-US"/>
        </w:rPr>
        <w:t>,</w:t>
      </w:r>
      <w:r w:rsidR="001A3ABD">
        <w:t xml:space="preserve"> provides:</w:t>
      </w:r>
      <w:r w:rsidR="005C4A14">
        <w:rPr>
          <w:lang w:val="en-US"/>
        </w:rPr>
        <w:t xml:space="preserve"> </w:t>
      </w:r>
      <w:r w:rsidR="001A3ABD">
        <w:t xml:space="preserve"> “</w:t>
      </w:r>
      <w:r w:rsidR="001A3ABD" w:rsidRPr="001A3ABD">
        <w:t>If there is a dispute between plaintiff and defendant over an evidentiary or other legal issue affecting the determination of compensation, either party may move the court for a ruling on the issue.</w:t>
      </w:r>
      <w:r w:rsidR="001A3ABD">
        <w:t>”</w:t>
      </w:r>
    </w:p>
  </w:footnote>
  <w:footnote w:id="16">
    <w:p w14:paraId="0A852E92" w14:textId="2790A230" w:rsidR="005540A8" w:rsidRPr="00FB340B" w:rsidRDefault="005540A8" w:rsidP="00594EF7">
      <w:pPr>
        <w:pStyle w:val="FootnoteText"/>
        <w:rPr>
          <w:lang w:val="en-US"/>
        </w:rPr>
      </w:pPr>
      <w:r>
        <w:rPr>
          <w:rStyle w:val="FootnoteReference"/>
        </w:rPr>
        <w:footnoteRef/>
      </w:r>
      <w:r>
        <w:t xml:space="preserve"> </w:t>
      </w:r>
      <w:r>
        <w:tab/>
      </w:r>
      <w:r w:rsidR="00725348" w:rsidRPr="00725348">
        <w:t xml:space="preserve">See, e.g., </w:t>
      </w:r>
      <w:r w:rsidR="00725348" w:rsidRPr="00137E4E">
        <w:rPr>
          <w:i/>
          <w:iCs/>
        </w:rPr>
        <w:t>Reardon v. San Francisco</w:t>
      </w:r>
      <w:r w:rsidR="00725348" w:rsidRPr="00725348">
        <w:t xml:space="preserve"> (1885) 66 Cal. 492; </w:t>
      </w:r>
      <w:r w:rsidR="00725348" w:rsidRPr="00137E4E">
        <w:rPr>
          <w:i/>
          <w:iCs/>
        </w:rPr>
        <w:t>Western Assurance Co. v. Sacramento &amp; San Joaquin Drainage District</w:t>
      </w:r>
      <w:r w:rsidR="00725348" w:rsidRPr="00725348">
        <w:t xml:space="preserve"> (1925) 72 </w:t>
      </w:r>
      <w:r w:rsidR="00725348" w:rsidRPr="00725348">
        <w:t xml:space="preserve">Cal.App. 68; </w:t>
      </w:r>
      <w:r w:rsidR="00725348" w:rsidRPr="00137E4E">
        <w:rPr>
          <w:i/>
          <w:iCs/>
        </w:rPr>
        <w:t>Miller v. City of Palo Alto</w:t>
      </w:r>
      <w:r w:rsidR="00725348" w:rsidRPr="00725348">
        <w:t xml:space="preserve"> (1929) 208 Cal. 74; </w:t>
      </w:r>
      <w:r w:rsidR="00725348" w:rsidRPr="00137E4E">
        <w:rPr>
          <w:i/>
          <w:iCs/>
        </w:rPr>
        <w:t>Hayashi v. Alameda County Flood Control &amp; Water Conservation District</w:t>
      </w:r>
      <w:r w:rsidR="00725348" w:rsidRPr="00725348">
        <w:t xml:space="preserve"> (1959) 167 Cal.App.2d 584.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64BD"/>
    <w:multiLevelType w:val="multilevel"/>
    <w:tmpl w:val="A0B0116C"/>
    <w:lvl w:ilvl="0">
      <w:start w:val="1"/>
      <w:numFmt w:val="none"/>
      <w:lvlText w:val="A."/>
      <w:lvlJc w:val="left"/>
      <w:pPr>
        <w:ind w:left="0" w:firstLine="0"/>
      </w:pPr>
      <w:rPr>
        <w:rFonts w:hint="default"/>
      </w:rPr>
    </w:lvl>
    <w:lvl w:ilvl="1">
      <w:start w:val="1"/>
      <w:numFmt w:val="none"/>
      <w:lvlText w:val="1."/>
      <w:lvlJc w:val="left"/>
      <w:pPr>
        <w:ind w:left="720" w:firstLine="0"/>
      </w:pPr>
      <w:rPr>
        <w:rFonts w:hint="default"/>
      </w:rPr>
    </w:lvl>
    <w:lvl w:ilvl="2">
      <w:start w:val="1"/>
      <w:numFmt w:val="none"/>
      <w:lvlText w:val="a."/>
      <w:lvlJc w:val="left"/>
      <w:pPr>
        <w:ind w:left="1440" w:firstLine="0"/>
      </w:pPr>
      <w:rPr>
        <w:rFonts w:hint="default"/>
      </w:rPr>
    </w:lvl>
    <w:lvl w:ilvl="3">
      <w:start w:val="1"/>
      <w:numFmt w:val="none"/>
      <w:lvlText w:val="i."/>
      <w:lvlJc w:val="left"/>
      <w:pPr>
        <w:ind w:left="2160" w:firstLine="0"/>
      </w:pPr>
      <w:rPr>
        <w:rFonts w:hint="default"/>
      </w:rPr>
    </w:lvl>
    <w:lvl w:ilvl="4">
      <w:start w:val="1"/>
      <w:numFmt w:val="none"/>
      <w:lvlText w:val="(a)"/>
      <w:lvlJc w:val="left"/>
      <w:pPr>
        <w:ind w:left="2880" w:firstLine="0"/>
      </w:pPr>
      <w:rPr>
        <w:rFonts w:hint="default"/>
      </w:rPr>
    </w:lvl>
    <w:lvl w:ilvl="5">
      <w:start w:val="1"/>
      <w:numFmt w:val="none"/>
      <w:lvlText w:val="(1)"/>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04667DCC"/>
    <w:multiLevelType w:val="hybridMultilevel"/>
    <w:tmpl w:val="AE4C0950"/>
    <w:lvl w:ilvl="0" w:tplc="0DD03F0C">
      <w:start w:val="1"/>
      <w:numFmt w:val="lowerRoman"/>
      <w:pStyle w:val="Heading5"/>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A5F14"/>
    <w:multiLevelType w:val="hybridMultilevel"/>
    <w:tmpl w:val="60AAD3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64F72"/>
    <w:multiLevelType w:val="multilevel"/>
    <w:tmpl w:val="F238FB80"/>
    <w:lvl w:ilvl="0">
      <w:start w:val="1"/>
      <w:numFmt w:val="decimal"/>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4" w15:restartNumberingAfterBreak="0">
    <w:nsid w:val="06A056D2"/>
    <w:multiLevelType w:val="hybridMultilevel"/>
    <w:tmpl w:val="EA0C7F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FA42652"/>
    <w:multiLevelType w:val="hybridMultilevel"/>
    <w:tmpl w:val="7A6E67B2"/>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12016E4F"/>
    <w:multiLevelType w:val="hybridMultilevel"/>
    <w:tmpl w:val="FD903156"/>
    <w:lvl w:ilvl="0" w:tplc="FFFFFFF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4260B"/>
    <w:multiLevelType w:val="hybridMultilevel"/>
    <w:tmpl w:val="617AE8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5A3FA1"/>
    <w:multiLevelType w:val="hybridMultilevel"/>
    <w:tmpl w:val="1F2EA69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319976E3"/>
    <w:multiLevelType w:val="hybridMultilevel"/>
    <w:tmpl w:val="4C801DE8"/>
    <w:lvl w:ilvl="0" w:tplc="FFFFFFFF">
      <w:start w:val="1"/>
      <w:numFmt w:val="decimal"/>
      <w:lvlText w:val="%1."/>
      <w:lvlJc w:val="left"/>
      <w:pPr>
        <w:ind w:left="2520" w:hanging="360"/>
      </w:pPr>
      <w:rPr>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B557B4A"/>
    <w:multiLevelType w:val="multilevel"/>
    <w:tmpl w:val="04090027"/>
    <w:lvl w:ilvl="0">
      <w:start w:val="1"/>
      <w:numFmt w:val="upperRoman"/>
      <w:lvlText w:val="%1."/>
      <w:lvlJc w:val="left"/>
      <w:pPr>
        <w:ind w:left="1440" w:firstLine="0"/>
      </w:pPr>
    </w:lvl>
    <w:lvl w:ilvl="1">
      <w:start w:val="1"/>
      <w:numFmt w:val="upperLetter"/>
      <w:lvlText w:val="%2."/>
      <w:lvlJc w:val="left"/>
      <w:pPr>
        <w:ind w:left="2160" w:firstLine="0"/>
      </w:pPr>
    </w:lvl>
    <w:lvl w:ilvl="2">
      <w:start w:val="1"/>
      <w:numFmt w:val="decimal"/>
      <w:lvlText w:val="%3."/>
      <w:lvlJc w:val="left"/>
      <w:pPr>
        <w:ind w:left="2880" w:firstLine="0"/>
      </w:pPr>
    </w:lvl>
    <w:lvl w:ilvl="3">
      <w:start w:val="1"/>
      <w:numFmt w:val="lowerLetter"/>
      <w:lvlText w:val="%4)"/>
      <w:lvlJc w:val="left"/>
      <w:pPr>
        <w:ind w:left="3600" w:firstLine="0"/>
      </w:pPr>
    </w:lvl>
    <w:lvl w:ilvl="4">
      <w:start w:val="1"/>
      <w:numFmt w:val="decimal"/>
      <w:lvlText w:val="(%5)"/>
      <w:lvlJc w:val="left"/>
      <w:pPr>
        <w:ind w:left="4320" w:firstLine="0"/>
      </w:pPr>
    </w:lvl>
    <w:lvl w:ilvl="5">
      <w:start w:val="1"/>
      <w:numFmt w:val="lowerLetter"/>
      <w:lvlText w:val="(%6)"/>
      <w:lvlJc w:val="left"/>
      <w:pPr>
        <w:ind w:left="5040" w:firstLine="0"/>
      </w:pPr>
    </w:lvl>
    <w:lvl w:ilvl="6">
      <w:start w:val="1"/>
      <w:numFmt w:val="lowerRoman"/>
      <w:lvlText w:val="(%7)"/>
      <w:lvlJc w:val="left"/>
      <w:pPr>
        <w:ind w:left="5760" w:firstLine="0"/>
      </w:pPr>
    </w:lvl>
    <w:lvl w:ilvl="7">
      <w:start w:val="1"/>
      <w:numFmt w:val="lowerLetter"/>
      <w:lvlText w:val="(%8)"/>
      <w:lvlJc w:val="left"/>
      <w:pPr>
        <w:ind w:left="6480" w:firstLine="0"/>
      </w:pPr>
    </w:lvl>
    <w:lvl w:ilvl="8">
      <w:start w:val="1"/>
      <w:numFmt w:val="lowerRoman"/>
      <w:lvlText w:val="(%9)"/>
      <w:lvlJc w:val="left"/>
      <w:pPr>
        <w:ind w:left="7200" w:firstLine="0"/>
      </w:pPr>
    </w:lvl>
  </w:abstractNum>
  <w:abstractNum w:abstractNumId="11" w15:restartNumberingAfterBreak="0">
    <w:nsid w:val="3BB542C1"/>
    <w:multiLevelType w:val="hybridMultilevel"/>
    <w:tmpl w:val="1F2EA692"/>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2" w15:restartNumberingAfterBreak="0">
    <w:nsid w:val="3DFF2688"/>
    <w:multiLevelType w:val="multilevel"/>
    <w:tmpl w:val="4C42D37E"/>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3CD646F"/>
    <w:multiLevelType w:val="multilevel"/>
    <w:tmpl w:val="B4F6E9F4"/>
    <w:lvl w:ilvl="0">
      <w:start w:val="1"/>
      <w:numFmt w:val="none"/>
      <w:lvlText w:val="%1A."/>
      <w:lvlJc w:val="left"/>
      <w:pPr>
        <w:ind w:left="720" w:hanging="720"/>
      </w:pPr>
      <w:rPr>
        <w:rFonts w:hint="default"/>
      </w:rPr>
    </w:lvl>
    <w:lvl w:ilvl="1">
      <w:start w:val="1"/>
      <w:numFmt w:val="none"/>
      <w:lvlText w:val="1."/>
      <w:lvlJc w:val="left"/>
      <w:pPr>
        <w:ind w:left="1440" w:hanging="720"/>
      </w:pPr>
      <w:rPr>
        <w:rFonts w:hint="default"/>
      </w:rPr>
    </w:lvl>
    <w:lvl w:ilvl="2">
      <w:start w:val="1"/>
      <w:numFmt w:val="none"/>
      <w:lvlText w:val="a."/>
      <w:lvlJc w:val="left"/>
      <w:pPr>
        <w:ind w:left="2160" w:hanging="720"/>
      </w:pPr>
      <w:rPr>
        <w:rFonts w:hint="default"/>
      </w:rPr>
    </w:lvl>
    <w:lvl w:ilvl="3">
      <w:start w:val="1"/>
      <w:numFmt w:val="none"/>
      <w:lvlText w:val="i."/>
      <w:lvlJc w:val="left"/>
      <w:pPr>
        <w:ind w:left="2880" w:hanging="720"/>
      </w:pPr>
      <w:rPr>
        <w:rFonts w:hint="default"/>
      </w:rPr>
    </w:lvl>
    <w:lvl w:ilvl="4">
      <w:start w:val="1"/>
      <w:numFmt w:val="none"/>
      <w:lvlText w:val="(a)"/>
      <w:lvlJc w:val="left"/>
      <w:pPr>
        <w:ind w:left="2880" w:firstLine="0"/>
      </w:pPr>
      <w:rPr>
        <w:rFonts w:hint="default"/>
      </w:rPr>
    </w:lvl>
    <w:lvl w:ilvl="5">
      <w:start w:val="1"/>
      <w:numFmt w:val="none"/>
      <w:lvlText w:val="(1)"/>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15:restartNumberingAfterBreak="0">
    <w:nsid w:val="46B97D9A"/>
    <w:multiLevelType w:val="multilevel"/>
    <w:tmpl w:val="7212B946"/>
    <w:lvl w:ilvl="0">
      <w:start w:val="1"/>
      <w:numFmt w:val="none"/>
      <w:lvlText w:val="A."/>
      <w:lvlJc w:val="left"/>
      <w:pPr>
        <w:ind w:left="0" w:firstLine="0"/>
      </w:pPr>
      <w:rPr>
        <w:rFonts w:hint="default"/>
      </w:rPr>
    </w:lvl>
    <w:lvl w:ilvl="1">
      <w:start w:val="1"/>
      <w:numFmt w:val="none"/>
      <w:lvlText w:val="1."/>
      <w:lvlJc w:val="left"/>
      <w:pPr>
        <w:ind w:left="720" w:firstLine="0"/>
      </w:pPr>
      <w:rPr>
        <w:rFonts w:hint="default"/>
      </w:rPr>
    </w:lvl>
    <w:lvl w:ilvl="2">
      <w:start w:val="1"/>
      <w:numFmt w:val="none"/>
      <w:lvlText w:val="a."/>
      <w:lvlJc w:val="left"/>
      <w:pPr>
        <w:ind w:left="1440" w:firstLine="0"/>
      </w:pPr>
      <w:rPr>
        <w:rFonts w:hint="default"/>
      </w:rPr>
    </w:lvl>
    <w:lvl w:ilvl="3">
      <w:start w:val="1"/>
      <w:numFmt w:val="none"/>
      <w:lvlText w:val="i."/>
      <w:lvlJc w:val="left"/>
      <w:pPr>
        <w:ind w:left="2160" w:firstLine="0"/>
      </w:pPr>
      <w:rPr>
        <w:rFonts w:hint="default"/>
      </w:rPr>
    </w:lvl>
    <w:lvl w:ilvl="4">
      <w:start w:val="1"/>
      <w:numFmt w:val="none"/>
      <w:lvlText w:val="(a)"/>
      <w:lvlJc w:val="left"/>
      <w:pPr>
        <w:ind w:left="2880" w:firstLine="0"/>
      </w:pPr>
      <w:rPr>
        <w:rFonts w:hint="default"/>
      </w:rPr>
    </w:lvl>
    <w:lvl w:ilvl="5">
      <w:start w:val="1"/>
      <w:numFmt w:val="none"/>
      <w:lvlText w:val="(1)"/>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4864762B"/>
    <w:multiLevelType w:val="hybridMultilevel"/>
    <w:tmpl w:val="2A9649A8"/>
    <w:lvl w:ilvl="0" w:tplc="FFFFFFF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B6270C"/>
    <w:multiLevelType w:val="hybridMultilevel"/>
    <w:tmpl w:val="7A6E67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D783C62"/>
    <w:multiLevelType w:val="hybridMultilevel"/>
    <w:tmpl w:val="556EB0A8"/>
    <w:lvl w:ilvl="0" w:tplc="FFFFFFFF">
      <w:start w:val="1"/>
      <w:numFmt w:val="decimal"/>
      <w:lvlText w:val="%1."/>
      <w:lvlJc w:val="left"/>
      <w:pPr>
        <w:ind w:left="2520" w:hanging="360"/>
      </w:pPr>
      <w:rPr>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FAA058C"/>
    <w:multiLevelType w:val="hybridMultilevel"/>
    <w:tmpl w:val="D1F2D3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B74A43"/>
    <w:multiLevelType w:val="hybridMultilevel"/>
    <w:tmpl w:val="3E4C6588"/>
    <w:lvl w:ilvl="0" w:tplc="981034BA">
      <w:start w:val="1"/>
      <w:numFmt w:val="upperLetter"/>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3C3A94"/>
    <w:multiLevelType w:val="hybridMultilevel"/>
    <w:tmpl w:val="7228DD58"/>
    <w:lvl w:ilvl="0" w:tplc="1332BB90">
      <w:start w:val="1"/>
      <w:numFmt w:val="decimal"/>
      <w:lvlText w:val="%1."/>
      <w:lvlJc w:val="left"/>
      <w:pPr>
        <w:ind w:left="1080" w:hanging="360"/>
      </w:pPr>
      <w:rPr>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E92AC8"/>
    <w:multiLevelType w:val="multilevel"/>
    <w:tmpl w:val="6EA2CEBE"/>
    <w:lvl w:ilvl="0">
      <w:start w:val="1"/>
      <w:numFmt w:val="none"/>
      <w:suff w:val="nothing"/>
      <w:lvlText w:val=""/>
      <w:lvlJc w:val="center"/>
      <w:pPr>
        <w:ind w:left="0" w:firstLine="0"/>
      </w:pPr>
      <w:rPr>
        <w:rFonts w:ascii="Century Schoolbook" w:hAnsi="Century Schoolbook" w:hint="default"/>
        <w:b/>
        <w:i w:val="0"/>
        <w:caps/>
        <w:sz w:val="26"/>
      </w:rPr>
    </w:lvl>
    <w:lvl w:ilvl="1">
      <w:start w:val="1"/>
      <w:numFmt w:val="upperLetter"/>
      <w:pStyle w:val="Heading2"/>
      <w:lvlText w:val="%2."/>
      <w:lvlJc w:val="left"/>
      <w:pPr>
        <w:ind w:left="720" w:hanging="720"/>
      </w:pPr>
      <w:rPr>
        <w:rFonts w:ascii="Century Schoolbook" w:hAnsi="Century Schoolbook" w:hint="default"/>
        <w:b w:val="0"/>
        <w:i w:val="0"/>
        <w:iCs w:val="0"/>
        <w:sz w:val="26"/>
      </w:rPr>
    </w:lvl>
    <w:lvl w:ilvl="2">
      <w:start w:val="1"/>
      <w:numFmt w:val="decimal"/>
      <w:lvlText w:val="%3."/>
      <w:lvlJc w:val="left"/>
      <w:pPr>
        <w:ind w:left="1440" w:hanging="720"/>
      </w:pPr>
      <w:rPr>
        <w:rFonts w:ascii="Century Schoolbook" w:hAnsi="Century Schoolbook" w:hint="default"/>
        <w:b w:val="0"/>
        <w:i w:val="0"/>
        <w:sz w:val="26"/>
      </w:rPr>
    </w:lvl>
    <w:lvl w:ilvl="3">
      <w:start w:val="1"/>
      <w:numFmt w:val="lowerLetter"/>
      <w:pStyle w:val="Heading4"/>
      <w:lvlText w:val="%4."/>
      <w:lvlJc w:val="left"/>
      <w:pPr>
        <w:ind w:left="2160" w:hanging="720"/>
      </w:pPr>
      <w:rPr>
        <w:rFonts w:ascii="Century Schoolbook" w:hAnsi="Century Schoolbook" w:hint="default"/>
        <w:b w:val="0"/>
        <w:i w:val="0"/>
        <w:caps w:val="0"/>
        <w:strike w:val="0"/>
        <w:dstrike w:val="0"/>
        <w:vanish w:val="0"/>
        <w:color w:val="auto"/>
        <w:sz w:val="26"/>
        <w:u w:val="none"/>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FD92FA4"/>
    <w:multiLevelType w:val="multilevel"/>
    <w:tmpl w:val="F238FB80"/>
    <w:lvl w:ilvl="0">
      <w:start w:val="1"/>
      <w:numFmt w:val="decimal"/>
      <w:lvlText w:val="%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3" w15:restartNumberingAfterBreak="0">
    <w:nsid w:val="77C647F9"/>
    <w:multiLevelType w:val="multilevel"/>
    <w:tmpl w:val="F238FB80"/>
    <w:lvl w:ilvl="0">
      <w:start w:val="1"/>
      <w:numFmt w:val="decimal"/>
      <w:lvlText w:val="%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4" w15:restartNumberingAfterBreak="0">
    <w:nsid w:val="7C0C223B"/>
    <w:multiLevelType w:val="multilevel"/>
    <w:tmpl w:val="AB46263C"/>
    <w:lvl w:ilvl="0">
      <w:start w:val="1"/>
      <w:numFmt w:val="none"/>
      <w:lvlText w:val="%1A."/>
      <w:lvlJc w:val="left"/>
      <w:pPr>
        <w:ind w:left="720" w:hanging="720"/>
      </w:pPr>
      <w:rPr>
        <w:rFonts w:hint="default"/>
      </w:rPr>
    </w:lvl>
    <w:lvl w:ilvl="1">
      <w:start w:val="1"/>
      <w:numFmt w:val="none"/>
      <w:lvlText w:val="1."/>
      <w:lvlJc w:val="left"/>
      <w:pPr>
        <w:ind w:left="1440" w:hanging="720"/>
      </w:pPr>
      <w:rPr>
        <w:rFonts w:hint="default"/>
      </w:rPr>
    </w:lvl>
    <w:lvl w:ilvl="2">
      <w:start w:val="1"/>
      <w:numFmt w:val="none"/>
      <w:lvlText w:val="a."/>
      <w:lvlJc w:val="left"/>
      <w:pPr>
        <w:ind w:left="2160" w:hanging="720"/>
      </w:pPr>
      <w:rPr>
        <w:rFonts w:hint="default"/>
      </w:rPr>
    </w:lvl>
    <w:lvl w:ilvl="3">
      <w:start w:val="1"/>
      <w:numFmt w:val="none"/>
      <w:lvlText w:val="i."/>
      <w:lvlJc w:val="left"/>
      <w:pPr>
        <w:ind w:left="2880" w:hanging="720"/>
      </w:pPr>
      <w:rPr>
        <w:rFonts w:hint="default"/>
      </w:rPr>
    </w:lvl>
    <w:lvl w:ilvl="4">
      <w:start w:val="1"/>
      <w:numFmt w:val="none"/>
      <w:lvlText w:val="(a)"/>
      <w:lvlJc w:val="left"/>
      <w:pPr>
        <w:ind w:left="2880" w:firstLine="0"/>
      </w:pPr>
      <w:rPr>
        <w:rFonts w:hint="default"/>
      </w:rPr>
    </w:lvl>
    <w:lvl w:ilvl="5">
      <w:start w:val="1"/>
      <w:numFmt w:val="none"/>
      <w:lvlText w:val="(1)"/>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890653814">
    <w:abstractNumId w:val="21"/>
  </w:num>
  <w:num w:numId="2" w16cid:durableId="1492061186">
    <w:abstractNumId w:val="21"/>
  </w:num>
  <w:num w:numId="3" w16cid:durableId="856890345">
    <w:abstractNumId w:val="21"/>
  </w:num>
  <w:num w:numId="4" w16cid:durableId="891160864">
    <w:abstractNumId w:val="21"/>
  </w:num>
  <w:num w:numId="5" w16cid:durableId="1632981246">
    <w:abstractNumId w:val="21"/>
  </w:num>
  <w:num w:numId="6" w16cid:durableId="327635489">
    <w:abstractNumId w:val="21"/>
  </w:num>
  <w:num w:numId="7" w16cid:durableId="538857087">
    <w:abstractNumId w:val="21"/>
  </w:num>
  <w:num w:numId="8" w16cid:durableId="2077779597">
    <w:abstractNumId w:val="21"/>
  </w:num>
  <w:num w:numId="9" w16cid:durableId="379477062">
    <w:abstractNumId w:val="1"/>
  </w:num>
  <w:num w:numId="10" w16cid:durableId="464128879">
    <w:abstractNumId w:val="21"/>
  </w:num>
  <w:num w:numId="11" w16cid:durableId="505291161">
    <w:abstractNumId w:val="21"/>
  </w:num>
  <w:num w:numId="12" w16cid:durableId="1241210755">
    <w:abstractNumId w:val="21"/>
  </w:num>
  <w:num w:numId="13" w16cid:durableId="1467235778">
    <w:abstractNumId w:val="21"/>
  </w:num>
  <w:num w:numId="14" w16cid:durableId="1640068386">
    <w:abstractNumId w:val="1"/>
  </w:num>
  <w:num w:numId="15" w16cid:durableId="629359625">
    <w:abstractNumId w:val="21"/>
  </w:num>
  <w:num w:numId="16" w16cid:durableId="2054385917">
    <w:abstractNumId w:val="21"/>
  </w:num>
  <w:num w:numId="17" w16cid:durableId="1974867217">
    <w:abstractNumId w:val="21"/>
  </w:num>
  <w:num w:numId="18" w16cid:durableId="464740279">
    <w:abstractNumId w:val="21"/>
  </w:num>
  <w:num w:numId="19" w16cid:durableId="1556773569">
    <w:abstractNumId w:val="21"/>
  </w:num>
  <w:num w:numId="20" w16cid:durableId="1482187907">
    <w:abstractNumId w:val="1"/>
  </w:num>
  <w:num w:numId="21" w16cid:durableId="786462267">
    <w:abstractNumId w:val="21"/>
  </w:num>
  <w:num w:numId="22" w16cid:durableId="1881628720">
    <w:abstractNumId w:val="21"/>
  </w:num>
  <w:num w:numId="23" w16cid:durableId="1409497341">
    <w:abstractNumId w:val="21"/>
  </w:num>
  <w:num w:numId="24" w16cid:durableId="1626960518">
    <w:abstractNumId w:val="21"/>
  </w:num>
  <w:num w:numId="25" w16cid:durableId="1524594877">
    <w:abstractNumId w:val="1"/>
  </w:num>
  <w:num w:numId="26" w16cid:durableId="354353989">
    <w:abstractNumId w:val="21"/>
  </w:num>
  <w:num w:numId="27" w16cid:durableId="1365671330">
    <w:abstractNumId w:val="21"/>
  </w:num>
  <w:num w:numId="28" w16cid:durableId="2034308920">
    <w:abstractNumId w:val="21"/>
  </w:num>
  <w:num w:numId="29" w16cid:durableId="13647912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58842627">
    <w:abstractNumId w:val="21"/>
  </w:num>
  <w:num w:numId="31" w16cid:durableId="634985705">
    <w:abstractNumId w:val="21"/>
  </w:num>
  <w:num w:numId="32" w16cid:durableId="1554655805">
    <w:abstractNumId w:val="21"/>
  </w:num>
  <w:num w:numId="33" w16cid:durableId="1234316061">
    <w:abstractNumId w:val="0"/>
  </w:num>
  <w:num w:numId="34" w16cid:durableId="1649357987">
    <w:abstractNumId w:val="14"/>
  </w:num>
  <w:num w:numId="35" w16cid:durableId="562452491">
    <w:abstractNumId w:val="18"/>
  </w:num>
  <w:num w:numId="36" w16cid:durableId="1551841763">
    <w:abstractNumId w:val="4"/>
  </w:num>
  <w:num w:numId="37" w16cid:durableId="1080298959">
    <w:abstractNumId w:val="8"/>
  </w:num>
  <w:num w:numId="38" w16cid:durableId="234510593">
    <w:abstractNumId w:val="11"/>
  </w:num>
  <w:num w:numId="39" w16cid:durableId="1542523210">
    <w:abstractNumId w:val="13"/>
  </w:num>
  <w:num w:numId="40" w16cid:durableId="673337403">
    <w:abstractNumId w:val="17"/>
  </w:num>
  <w:num w:numId="41" w16cid:durableId="2067531333">
    <w:abstractNumId w:val="9"/>
  </w:num>
  <w:num w:numId="42" w16cid:durableId="717243140">
    <w:abstractNumId w:val="24"/>
  </w:num>
  <w:num w:numId="43" w16cid:durableId="106589278">
    <w:abstractNumId w:val="2"/>
  </w:num>
  <w:num w:numId="44" w16cid:durableId="2097364339">
    <w:abstractNumId w:val="19"/>
  </w:num>
  <w:num w:numId="45" w16cid:durableId="770974940">
    <w:abstractNumId w:val="23"/>
  </w:num>
  <w:num w:numId="46" w16cid:durableId="1455827225">
    <w:abstractNumId w:val="3"/>
  </w:num>
  <w:num w:numId="47" w16cid:durableId="808595176">
    <w:abstractNumId w:val="22"/>
  </w:num>
  <w:num w:numId="48" w16cid:durableId="1392462589">
    <w:abstractNumId w:val="20"/>
  </w:num>
  <w:num w:numId="49" w16cid:durableId="106856039">
    <w:abstractNumId w:val="16"/>
  </w:num>
  <w:num w:numId="50" w16cid:durableId="705981957">
    <w:abstractNumId w:val="7"/>
  </w:num>
  <w:num w:numId="51" w16cid:durableId="1408696902">
    <w:abstractNumId w:val="5"/>
  </w:num>
  <w:num w:numId="52" w16cid:durableId="101655173">
    <w:abstractNumId w:val="6"/>
  </w:num>
  <w:num w:numId="53" w16cid:durableId="741414544">
    <w:abstractNumId w:val="15"/>
  </w:num>
  <w:num w:numId="54" w16cid:durableId="1867984403">
    <w:abstractNumId w:val="10"/>
  </w:num>
  <w:num w:numId="55" w16cid:durableId="1652176460">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011"/>
    <w:rsid w:val="000007D4"/>
    <w:rsid w:val="00000AF9"/>
    <w:rsid w:val="00000BB6"/>
    <w:rsid w:val="00000DDF"/>
    <w:rsid w:val="00001108"/>
    <w:rsid w:val="000011D0"/>
    <w:rsid w:val="00001BEB"/>
    <w:rsid w:val="000020C6"/>
    <w:rsid w:val="00002571"/>
    <w:rsid w:val="00002DDF"/>
    <w:rsid w:val="00002DE4"/>
    <w:rsid w:val="00002E0C"/>
    <w:rsid w:val="00003702"/>
    <w:rsid w:val="00003726"/>
    <w:rsid w:val="00003839"/>
    <w:rsid w:val="000040D5"/>
    <w:rsid w:val="00005092"/>
    <w:rsid w:val="000054F2"/>
    <w:rsid w:val="0000579A"/>
    <w:rsid w:val="000059CB"/>
    <w:rsid w:val="00005AD6"/>
    <w:rsid w:val="00005C40"/>
    <w:rsid w:val="00006473"/>
    <w:rsid w:val="00006E70"/>
    <w:rsid w:val="000077B1"/>
    <w:rsid w:val="00007DF7"/>
    <w:rsid w:val="00010074"/>
    <w:rsid w:val="0001054C"/>
    <w:rsid w:val="00010732"/>
    <w:rsid w:val="00010DDC"/>
    <w:rsid w:val="00011044"/>
    <w:rsid w:val="00011961"/>
    <w:rsid w:val="0001291A"/>
    <w:rsid w:val="00012F64"/>
    <w:rsid w:val="0001366A"/>
    <w:rsid w:val="00013912"/>
    <w:rsid w:val="00014052"/>
    <w:rsid w:val="0001433A"/>
    <w:rsid w:val="0001458A"/>
    <w:rsid w:val="0001479A"/>
    <w:rsid w:val="00014D28"/>
    <w:rsid w:val="000150BF"/>
    <w:rsid w:val="00015205"/>
    <w:rsid w:val="00015436"/>
    <w:rsid w:val="00015449"/>
    <w:rsid w:val="00015966"/>
    <w:rsid w:val="0001610E"/>
    <w:rsid w:val="00016CF8"/>
    <w:rsid w:val="00017A96"/>
    <w:rsid w:val="00017DD2"/>
    <w:rsid w:val="00017FF5"/>
    <w:rsid w:val="0002096D"/>
    <w:rsid w:val="00021356"/>
    <w:rsid w:val="00021470"/>
    <w:rsid w:val="00021778"/>
    <w:rsid w:val="000218E1"/>
    <w:rsid w:val="00021A25"/>
    <w:rsid w:val="00021DF8"/>
    <w:rsid w:val="000222CC"/>
    <w:rsid w:val="0002264E"/>
    <w:rsid w:val="000229A3"/>
    <w:rsid w:val="00022B70"/>
    <w:rsid w:val="00023018"/>
    <w:rsid w:val="00023286"/>
    <w:rsid w:val="00023289"/>
    <w:rsid w:val="00023700"/>
    <w:rsid w:val="00023A05"/>
    <w:rsid w:val="00023BF3"/>
    <w:rsid w:val="0002479D"/>
    <w:rsid w:val="000249D3"/>
    <w:rsid w:val="000253FC"/>
    <w:rsid w:val="00025720"/>
    <w:rsid w:val="00025BF6"/>
    <w:rsid w:val="00026027"/>
    <w:rsid w:val="0002605A"/>
    <w:rsid w:val="00026181"/>
    <w:rsid w:val="00026513"/>
    <w:rsid w:val="000267F7"/>
    <w:rsid w:val="00026929"/>
    <w:rsid w:val="00026B08"/>
    <w:rsid w:val="00026B1D"/>
    <w:rsid w:val="00026C4F"/>
    <w:rsid w:val="00027077"/>
    <w:rsid w:val="00027456"/>
    <w:rsid w:val="000276BB"/>
    <w:rsid w:val="00027887"/>
    <w:rsid w:val="000279E7"/>
    <w:rsid w:val="000300FC"/>
    <w:rsid w:val="0003039B"/>
    <w:rsid w:val="0003080D"/>
    <w:rsid w:val="0003097F"/>
    <w:rsid w:val="00031061"/>
    <w:rsid w:val="0003138B"/>
    <w:rsid w:val="00031881"/>
    <w:rsid w:val="00031A1B"/>
    <w:rsid w:val="00031AB9"/>
    <w:rsid w:val="00032809"/>
    <w:rsid w:val="00032ACD"/>
    <w:rsid w:val="000333FE"/>
    <w:rsid w:val="00033656"/>
    <w:rsid w:val="000336FF"/>
    <w:rsid w:val="00033816"/>
    <w:rsid w:val="00033DE8"/>
    <w:rsid w:val="0003493B"/>
    <w:rsid w:val="00034ED9"/>
    <w:rsid w:val="000356B8"/>
    <w:rsid w:val="0003574A"/>
    <w:rsid w:val="00035A25"/>
    <w:rsid w:val="00035E38"/>
    <w:rsid w:val="000362A4"/>
    <w:rsid w:val="000362D0"/>
    <w:rsid w:val="0003694A"/>
    <w:rsid w:val="00036E8C"/>
    <w:rsid w:val="0003737E"/>
    <w:rsid w:val="00040658"/>
    <w:rsid w:val="00040974"/>
    <w:rsid w:val="00040FB1"/>
    <w:rsid w:val="0004111B"/>
    <w:rsid w:val="000413BA"/>
    <w:rsid w:val="00041623"/>
    <w:rsid w:val="0004177E"/>
    <w:rsid w:val="00041DD8"/>
    <w:rsid w:val="00042524"/>
    <w:rsid w:val="000426EC"/>
    <w:rsid w:val="00042BA6"/>
    <w:rsid w:val="0004335E"/>
    <w:rsid w:val="000435B0"/>
    <w:rsid w:val="00043AA3"/>
    <w:rsid w:val="00043C80"/>
    <w:rsid w:val="00043C8F"/>
    <w:rsid w:val="00043CF5"/>
    <w:rsid w:val="00044CF1"/>
    <w:rsid w:val="00044F4B"/>
    <w:rsid w:val="00044FA6"/>
    <w:rsid w:val="000450CE"/>
    <w:rsid w:val="00045273"/>
    <w:rsid w:val="0004532B"/>
    <w:rsid w:val="000454C7"/>
    <w:rsid w:val="00045847"/>
    <w:rsid w:val="00045C5F"/>
    <w:rsid w:val="00047284"/>
    <w:rsid w:val="000479BD"/>
    <w:rsid w:val="00047B46"/>
    <w:rsid w:val="00050004"/>
    <w:rsid w:val="000501EF"/>
    <w:rsid w:val="00050267"/>
    <w:rsid w:val="000505FB"/>
    <w:rsid w:val="00051168"/>
    <w:rsid w:val="000515EE"/>
    <w:rsid w:val="00051749"/>
    <w:rsid w:val="00051A4B"/>
    <w:rsid w:val="00051D91"/>
    <w:rsid w:val="00052310"/>
    <w:rsid w:val="000526A3"/>
    <w:rsid w:val="00052831"/>
    <w:rsid w:val="00053352"/>
    <w:rsid w:val="00053D7B"/>
    <w:rsid w:val="000546A7"/>
    <w:rsid w:val="0005477B"/>
    <w:rsid w:val="00054905"/>
    <w:rsid w:val="00054BD6"/>
    <w:rsid w:val="00054E22"/>
    <w:rsid w:val="00055192"/>
    <w:rsid w:val="00055321"/>
    <w:rsid w:val="000554FC"/>
    <w:rsid w:val="0005599D"/>
    <w:rsid w:val="000559B4"/>
    <w:rsid w:val="00055D90"/>
    <w:rsid w:val="0005619E"/>
    <w:rsid w:val="000574F9"/>
    <w:rsid w:val="00057D72"/>
    <w:rsid w:val="0006210F"/>
    <w:rsid w:val="00062228"/>
    <w:rsid w:val="000627CA"/>
    <w:rsid w:val="00062EA8"/>
    <w:rsid w:val="0006300B"/>
    <w:rsid w:val="00063585"/>
    <w:rsid w:val="0006398D"/>
    <w:rsid w:val="00063DBF"/>
    <w:rsid w:val="00063F51"/>
    <w:rsid w:val="00064256"/>
    <w:rsid w:val="0006432B"/>
    <w:rsid w:val="00064BE1"/>
    <w:rsid w:val="00064F47"/>
    <w:rsid w:val="0006579C"/>
    <w:rsid w:val="00065882"/>
    <w:rsid w:val="00065C08"/>
    <w:rsid w:val="00065D93"/>
    <w:rsid w:val="0006762A"/>
    <w:rsid w:val="000676C7"/>
    <w:rsid w:val="0006780D"/>
    <w:rsid w:val="00067959"/>
    <w:rsid w:val="000679F8"/>
    <w:rsid w:val="00067AAB"/>
    <w:rsid w:val="00070886"/>
    <w:rsid w:val="000709C1"/>
    <w:rsid w:val="00070F96"/>
    <w:rsid w:val="0007102E"/>
    <w:rsid w:val="00071432"/>
    <w:rsid w:val="000715CC"/>
    <w:rsid w:val="000716AD"/>
    <w:rsid w:val="00071A3D"/>
    <w:rsid w:val="00071B74"/>
    <w:rsid w:val="00071D49"/>
    <w:rsid w:val="00071E5E"/>
    <w:rsid w:val="00072062"/>
    <w:rsid w:val="000721E4"/>
    <w:rsid w:val="0007259E"/>
    <w:rsid w:val="00072916"/>
    <w:rsid w:val="00073969"/>
    <w:rsid w:val="00073AEE"/>
    <w:rsid w:val="0007556B"/>
    <w:rsid w:val="000757C4"/>
    <w:rsid w:val="00075885"/>
    <w:rsid w:val="00075C78"/>
    <w:rsid w:val="00075D3D"/>
    <w:rsid w:val="00076501"/>
    <w:rsid w:val="00076879"/>
    <w:rsid w:val="0007694D"/>
    <w:rsid w:val="0007762B"/>
    <w:rsid w:val="00077644"/>
    <w:rsid w:val="0007793A"/>
    <w:rsid w:val="00077ACD"/>
    <w:rsid w:val="00077BC7"/>
    <w:rsid w:val="000804F9"/>
    <w:rsid w:val="00080FC1"/>
    <w:rsid w:val="00081034"/>
    <w:rsid w:val="0008132B"/>
    <w:rsid w:val="0008155E"/>
    <w:rsid w:val="0008209C"/>
    <w:rsid w:val="0008272D"/>
    <w:rsid w:val="000832E4"/>
    <w:rsid w:val="00083408"/>
    <w:rsid w:val="0008355B"/>
    <w:rsid w:val="000839D2"/>
    <w:rsid w:val="00084020"/>
    <w:rsid w:val="000843F2"/>
    <w:rsid w:val="000844F7"/>
    <w:rsid w:val="00084511"/>
    <w:rsid w:val="0008471D"/>
    <w:rsid w:val="0008479C"/>
    <w:rsid w:val="00084C21"/>
    <w:rsid w:val="000856EA"/>
    <w:rsid w:val="00085739"/>
    <w:rsid w:val="00085AEF"/>
    <w:rsid w:val="00085CB1"/>
    <w:rsid w:val="000869F5"/>
    <w:rsid w:val="00086E5D"/>
    <w:rsid w:val="00087013"/>
    <w:rsid w:val="00087248"/>
    <w:rsid w:val="00087966"/>
    <w:rsid w:val="00090647"/>
    <w:rsid w:val="0009099F"/>
    <w:rsid w:val="00090B84"/>
    <w:rsid w:val="00090C9C"/>
    <w:rsid w:val="00090CA3"/>
    <w:rsid w:val="000917CF"/>
    <w:rsid w:val="000918A7"/>
    <w:rsid w:val="00091D4B"/>
    <w:rsid w:val="00091EF6"/>
    <w:rsid w:val="00092483"/>
    <w:rsid w:val="000933CB"/>
    <w:rsid w:val="00093493"/>
    <w:rsid w:val="0009379D"/>
    <w:rsid w:val="00093C13"/>
    <w:rsid w:val="000945A7"/>
    <w:rsid w:val="00094807"/>
    <w:rsid w:val="00094D6A"/>
    <w:rsid w:val="00094EDF"/>
    <w:rsid w:val="00094F9D"/>
    <w:rsid w:val="00095417"/>
    <w:rsid w:val="000957B3"/>
    <w:rsid w:val="00095B75"/>
    <w:rsid w:val="00096236"/>
    <w:rsid w:val="00096B66"/>
    <w:rsid w:val="00096B94"/>
    <w:rsid w:val="0009711C"/>
    <w:rsid w:val="00097169"/>
    <w:rsid w:val="00097577"/>
    <w:rsid w:val="00097BC4"/>
    <w:rsid w:val="00097CFF"/>
    <w:rsid w:val="00097F62"/>
    <w:rsid w:val="000A0898"/>
    <w:rsid w:val="000A0B43"/>
    <w:rsid w:val="000A0BF9"/>
    <w:rsid w:val="000A0C4F"/>
    <w:rsid w:val="000A0CC9"/>
    <w:rsid w:val="000A1203"/>
    <w:rsid w:val="000A187C"/>
    <w:rsid w:val="000A22B8"/>
    <w:rsid w:val="000A2ADC"/>
    <w:rsid w:val="000A2E4F"/>
    <w:rsid w:val="000A33A3"/>
    <w:rsid w:val="000A35F1"/>
    <w:rsid w:val="000A378A"/>
    <w:rsid w:val="000A3AB1"/>
    <w:rsid w:val="000A3DE2"/>
    <w:rsid w:val="000A462A"/>
    <w:rsid w:val="000A4873"/>
    <w:rsid w:val="000A5101"/>
    <w:rsid w:val="000A55E3"/>
    <w:rsid w:val="000A57F2"/>
    <w:rsid w:val="000A59FD"/>
    <w:rsid w:val="000A60A1"/>
    <w:rsid w:val="000A6449"/>
    <w:rsid w:val="000A6596"/>
    <w:rsid w:val="000A6971"/>
    <w:rsid w:val="000A6F9D"/>
    <w:rsid w:val="000A7128"/>
    <w:rsid w:val="000A75A3"/>
    <w:rsid w:val="000A7768"/>
    <w:rsid w:val="000A7FA5"/>
    <w:rsid w:val="000B0055"/>
    <w:rsid w:val="000B066C"/>
    <w:rsid w:val="000B1000"/>
    <w:rsid w:val="000B11EF"/>
    <w:rsid w:val="000B17CA"/>
    <w:rsid w:val="000B1A4A"/>
    <w:rsid w:val="000B2003"/>
    <w:rsid w:val="000B224A"/>
    <w:rsid w:val="000B25A3"/>
    <w:rsid w:val="000B26C2"/>
    <w:rsid w:val="000B2D01"/>
    <w:rsid w:val="000B324E"/>
    <w:rsid w:val="000B339C"/>
    <w:rsid w:val="000B34CD"/>
    <w:rsid w:val="000B3E3E"/>
    <w:rsid w:val="000B3EA1"/>
    <w:rsid w:val="000B3EE1"/>
    <w:rsid w:val="000B52B3"/>
    <w:rsid w:val="000B5E8F"/>
    <w:rsid w:val="000B63D5"/>
    <w:rsid w:val="000B68CD"/>
    <w:rsid w:val="000B693F"/>
    <w:rsid w:val="000B6A47"/>
    <w:rsid w:val="000B6BA3"/>
    <w:rsid w:val="000B6D87"/>
    <w:rsid w:val="000B6F5D"/>
    <w:rsid w:val="000B6FDF"/>
    <w:rsid w:val="000B7140"/>
    <w:rsid w:val="000B7DF2"/>
    <w:rsid w:val="000C022C"/>
    <w:rsid w:val="000C0B0B"/>
    <w:rsid w:val="000C0C8C"/>
    <w:rsid w:val="000C0D2B"/>
    <w:rsid w:val="000C0F5B"/>
    <w:rsid w:val="000C168B"/>
    <w:rsid w:val="000C18BE"/>
    <w:rsid w:val="000C2012"/>
    <w:rsid w:val="000C25ED"/>
    <w:rsid w:val="000C2C8B"/>
    <w:rsid w:val="000C2E74"/>
    <w:rsid w:val="000C336D"/>
    <w:rsid w:val="000C35F6"/>
    <w:rsid w:val="000C366D"/>
    <w:rsid w:val="000C3EF6"/>
    <w:rsid w:val="000C417B"/>
    <w:rsid w:val="000C4BB6"/>
    <w:rsid w:val="000C4EC8"/>
    <w:rsid w:val="000C5274"/>
    <w:rsid w:val="000C572B"/>
    <w:rsid w:val="000C5AE2"/>
    <w:rsid w:val="000C6594"/>
    <w:rsid w:val="000C67BC"/>
    <w:rsid w:val="000C6D45"/>
    <w:rsid w:val="000C730D"/>
    <w:rsid w:val="000C750F"/>
    <w:rsid w:val="000C7A24"/>
    <w:rsid w:val="000D0790"/>
    <w:rsid w:val="000D0BF9"/>
    <w:rsid w:val="000D0ECA"/>
    <w:rsid w:val="000D1CF3"/>
    <w:rsid w:val="000D1DAC"/>
    <w:rsid w:val="000D22B3"/>
    <w:rsid w:val="000D22CB"/>
    <w:rsid w:val="000D2A13"/>
    <w:rsid w:val="000D3004"/>
    <w:rsid w:val="000D352A"/>
    <w:rsid w:val="000D36C1"/>
    <w:rsid w:val="000D40C5"/>
    <w:rsid w:val="000D4246"/>
    <w:rsid w:val="000D4678"/>
    <w:rsid w:val="000D510E"/>
    <w:rsid w:val="000D529B"/>
    <w:rsid w:val="000D53C6"/>
    <w:rsid w:val="000D561D"/>
    <w:rsid w:val="000D66D4"/>
    <w:rsid w:val="000D69FE"/>
    <w:rsid w:val="000D710A"/>
    <w:rsid w:val="000D71B4"/>
    <w:rsid w:val="000D73FC"/>
    <w:rsid w:val="000D7B18"/>
    <w:rsid w:val="000E06C1"/>
    <w:rsid w:val="000E0D78"/>
    <w:rsid w:val="000E106D"/>
    <w:rsid w:val="000E140E"/>
    <w:rsid w:val="000E150E"/>
    <w:rsid w:val="000E170C"/>
    <w:rsid w:val="000E1EA2"/>
    <w:rsid w:val="000E2428"/>
    <w:rsid w:val="000E24CE"/>
    <w:rsid w:val="000E3560"/>
    <w:rsid w:val="000E3C4A"/>
    <w:rsid w:val="000E3DE4"/>
    <w:rsid w:val="000E3E14"/>
    <w:rsid w:val="000E47A4"/>
    <w:rsid w:val="000E4BFA"/>
    <w:rsid w:val="000E4D4C"/>
    <w:rsid w:val="000E546A"/>
    <w:rsid w:val="000E55BC"/>
    <w:rsid w:val="000E5609"/>
    <w:rsid w:val="000E5CFA"/>
    <w:rsid w:val="000E5FFF"/>
    <w:rsid w:val="000E63B7"/>
    <w:rsid w:val="000E6510"/>
    <w:rsid w:val="000E6A95"/>
    <w:rsid w:val="000E6AA2"/>
    <w:rsid w:val="000E6D1F"/>
    <w:rsid w:val="000E709F"/>
    <w:rsid w:val="000E76C3"/>
    <w:rsid w:val="000E7766"/>
    <w:rsid w:val="000E7BDB"/>
    <w:rsid w:val="000E7BF7"/>
    <w:rsid w:val="000E7C27"/>
    <w:rsid w:val="000F00F6"/>
    <w:rsid w:val="000F102D"/>
    <w:rsid w:val="000F19F0"/>
    <w:rsid w:val="000F1B1A"/>
    <w:rsid w:val="000F1D2D"/>
    <w:rsid w:val="000F208C"/>
    <w:rsid w:val="000F20BB"/>
    <w:rsid w:val="000F2414"/>
    <w:rsid w:val="000F24CF"/>
    <w:rsid w:val="000F2899"/>
    <w:rsid w:val="000F3012"/>
    <w:rsid w:val="000F341F"/>
    <w:rsid w:val="000F3C17"/>
    <w:rsid w:val="000F3D8F"/>
    <w:rsid w:val="000F41B8"/>
    <w:rsid w:val="000F41D7"/>
    <w:rsid w:val="000F4373"/>
    <w:rsid w:val="000F440D"/>
    <w:rsid w:val="000F46BC"/>
    <w:rsid w:val="000F4DED"/>
    <w:rsid w:val="000F5318"/>
    <w:rsid w:val="000F5925"/>
    <w:rsid w:val="000F5A57"/>
    <w:rsid w:val="000F5DA8"/>
    <w:rsid w:val="000F65DE"/>
    <w:rsid w:val="000F6AA9"/>
    <w:rsid w:val="000F7169"/>
    <w:rsid w:val="0010043A"/>
    <w:rsid w:val="001007C3"/>
    <w:rsid w:val="00100864"/>
    <w:rsid w:val="00100D6F"/>
    <w:rsid w:val="00100E10"/>
    <w:rsid w:val="00101339"/>
    <w:rsid w:val="001014C5"/>
    <w:rsid w:val="001015D5"/>
    <w:rsid w:val="00101AA7"/>
    <w:rsid w:val="00101ADD"/>
    <w:rsid w:val="00101CB4"/>
    <w:rsid w:val="00102C07"/>
    <w:rsid w:val="00102C34"/>
    <w:rsid w:val="00103545"/>
    <w:rsid w:val="001037D1"/>
    <w:rsid w:val="001045CA"/>
    <w:rsid w:val="001051FE"/>
    <w:rsid w:val="001056D3"/>
    <w:rsid w:val="00105D46"/>
    <w:rsid w:val="00105E75"/>
    <w:rsid w:val="00105FB8"/>
    <w:rsid w:val="001060C4"/>
    <w:rsid w:val="0010650E"/>
    <w:rsid w:val="001075D5"/>
    <w:rsid w:val="00107944"/>
    <w:rsid w:val="001079FD"/>
    <w:rsid w:val="00107ACC"/>
    <w:rsid w:val="00107C2E"/>
    <w:rsid w:val="001107EB"/>
    <w:rsid w:val="00110AA1"/>
    <w:rsid w:val="0011113B"/>
    <w:rsid w:val="00111290"/>
    <w:rsid w:val="00111959"/>
    <w:rsid w:val="00111C15"/>
    <w:rsid w:val="00111E47"/>
    <w:rsid w:val="00112B33"/>
    <w:rsid w:val="00112BF7"/>
    <w:rsid w:val="00112DD4"/>
    <w:rsid w:val="00113484"/>
    <w:rsid w:val="00113AE4"/>
    <w:rsid w:val="001140B1"/>
    <w:rsid w:val="001146F3"/>
    <w:rsid w:val="00115061"/>
    <w:rsid w:val="001151F8"/>
    <w:rsid w:val="001153EB"/>
    <w:rsid w:val="00115525"/>
    <w:rsid w:val="001159D7"/>
    <w:rsid w:val="00115C5A"/>
    <w:rsid w:val="001166A6"/>
    <w:rsid w:val="0011694C"/>
    <w:rsid w:val="00116B28"/>
    <w:rsid w:val="00116BE5"/>
    <w:rsid w:val="0011774C"/>
    <w:rsid w:val="00117886"/>
    <w:rsid w:val="00117A7B"/>
    <w:rsid w:val="00120792"/>
    <w:rsid w:val="00121353"/>
    <w:rsid w:val="00121421"/>
    <w:rsid w:val="001219D4"/>
    <w:rsid w:val="00121C74"/>
    <w:rsid w:val="00121D0A"/>
    <w:rsid w:val="00121F54"/>
    <w:rsid w:val="00122F0A"/>
    <w:rsid w:val="0012352F"/>
    <w:rsid w:val="001238F8"/>
    <w:rsid w:val="001249C6"/>
    <w:rsid w:val="00124D2A"/>
    <w:rsid w:val="001252BD"/>
    <w:rsid w:val="00125E41"/>
    <w:rsid w:val="0012603F"/>
    <w:rsid w:val="00126BF5"/>
    <w:rsid w:val="00127007"/>
    <w:rsid w:val="0012709E"/>
    <w:rsid w:val="00127FF9"/>
    <w:rsid w:val="001305AA"/>
    <w:rsid w:val="001305AF"/>
    <w:rsid w:val="0013098C"/>
    <w:rsid w:val="00130C3B"/>
    <w:rsid w:val="00130C61"/>
    <w:rsid w:val="00130F24"/>
    <w:rsid w:val="001317D4"/>
    <w:rsid w:val="00131872"/>
    <w:rsid w:val="00132286"/>
    <w:rsid w:val="001322E8"/>
    <w:rsid w:val="0013237E"/>
    <w:rsid w:val="00132E21"/>
    <w:rsid w:val="00134B05"/>
    <w:rsid w:val="001350CA"/>
    <w:rsid w:val="0013535E"/>
    <w:rsid w:val="00135661"/>
    <w:rsid w:val="00135DEA"/>
    <w:rsid w:val="00136750"/>
    <w:rsid w:val="00136CB1"/>
    <w:rsid w:val="001370F1"/>
    <w:rsid w:val="0013743E"/>
    <w:rsid w:val="001374BC"/>
    <w:rsid w:val="00137E4E"/>
    <w:rsid w:val="00137EFD"/>
    <w:rsid w:val="00140163"/>
    <w:rsid w:val="0014048E"/>
    <w:rsid w:val="001409A5"/>
    <w:rsid w:val="00140D5B"/>
    <w:rsid w:val="00141215"/>
    <w:rsid w:val="0014181F"/>
    <w:rsid w:val="00141C67"/>
    <w:rsid w:val="00141E24"/>
    <w:rsid w:val="00142799"/>
    <w:rsid w:val="00142FAA"/>
    <w:rsid w:val="0014338C"/>
    <w:rsid w:val="0014360D"/>
    <w:rsid w:val="00143962"/>
    <w:rsid w:val="00143FC5"/>
    <w:rsid w:val="00144485"/>
    <w:rsid w:val="001447C1"/>
    <w:rsid w:val="00144C42"/>
    <w:rsid w:val="00144CCE"/>
    <w:rsid w:val="001451E3"/>
    <w:rsid w:val="0014532D"/>
    <w:rsid w:val="00145779"/>
    <w:rsid w:val="001466E4"/>
    <w:rsid w:val="00146C4A"/>
    <w:rsid w:val="00147584"/>
    <w:rsid w:val="001475FC"/>
    <w:rsid w:val="00147F8E"/>
    <w:rsid w:val="00150047"/>
    <w:rsid w:val="00150073"/>
    <w:rsid w:val="001504B3"/>
    <w:rsid w:val="00150796"/>
    <w:rsid w:val="00150ADE"/>
    <w:rsid w:val="00150C45"/>
    <w:rsid w:val="00150D88"/>
    <w:rsid w:val="00150F75"/>
    <w:rsid w:val="0015145D"/>
    <w:rsid w:val="00151BA0"/>
    <w:rsid w:val="00151C93"/>
    <w:rsid w:val="00151D2E"/>
    <w:rsid w:val="00152B4D"/>
    <w:rsid w:val="00153084"/>
    <w:rsid w:val="00153257"/>
    <w:rsid w:val="0015332E"/>
    <w:rsid w:val="0015383E"/>
    <w:rsid w:val="00153ACB"/>
    <w:rsid w:val="00153BAB"/>
    <w:rsid w:val="00153DB5"/>
    <w:rsid w:val="00154BA8"/>
    <w:rsid w:val="00154E96"/>
    <w:rsid w:val="001553E6"/>
    <w:rsid w:val="0015562E"/>
    <w:rsid w:val="001560C5"/>
    <w:rsid w:val="001561F4"/>
    <w:rsid w:val="001565F8"/>
    <w:rsid w:val="00156A3B"/>
    <w:rsid w:val="00157C0F"/>
    <w:rsid w:val="00157D4C"/>
    <w:rsid w:val="00157F2B"/>
    <w:rsid w:val="001604D6"/>
    <w:rsid w:val="00160668"/>
    <w:rsid w:val="00161712"/>
    <w:rsid w:val="00161761"/>
    <w:rsid w:val="00161F88"/>
    <w:rsid w:val="00162352"/>
    <w:rsid w:val="001628B9"/>
    <w:rsid w:val="00162EDC"/>
    <w:rsid w:val="001630A7"/>
    <w:rsid w:val="001632FD"/>
    <w:rsid w:val="001641E1"/>
    <w:rsid w:val="00164DB2"/>
    <w:rsid w:val="0016515D"/>
    <w:rsid w:val="0016577F"/>
    <w:rsid w:val="00165FC0"/>
    <w:rsid w:val="00166529"/>
    <w:rsid w:val="00166720"/>
    <w:rsid w:val="001668D1"/>
    <w:rsid w:val="00166C70"/>
    <w:rsid w:val="0016756C"/>
    <w:rsid w:val="00167ECE"/>
    <w:rsid w:val="00170A2D"/>
    <w:rsid w:val="00171050"/>
    <w:rsid w:val="00171167"/>
    <w:rsid w:val="001712C5"/>
    <w:rsid w:val="0017192F"/>
    <w:rsid w:val="00171F93"/>
    <w:rsid w:val="001721CF"/>
    <w:rsid w:val="00172FB9"/>
    <w:rsid w:val="00173429"/>
    <w:rsid w:val="001735BA"/>
    <w:rsid w:val="00174420"/>
    <w:rsid w:val="001744A2"/>
    <w:rsid w:val="001745CF"/>
    <w:rsid w:val="001746D9"/>
    <w:rsid w:val="001748DC"/>
    <w:rsid w:val="00175B69"/>
    <w:rsid w:val="00176166"/>
    <w:rsid w:val="00176AAC"/>
    <w:rsid w:val="00176E4C"/>
    <w:rsid w:val="00180118"/>
    <w:rsid w:val="00180124"/>
    <w:rsid w:val="001801EB"/>
    <w:rsid w:val="00180544"/>
    <w:rsid w:val="00180CCA"/>
    <w:rsid w:val="00181631"/>
    <w:rsid w:val="00181A24"/>
    <w:rsid w:val="00181B65"/>
    <w:rsid w:val="001822DE"/>
    <w:rsid w:val="0018361F"/>
    <w:rsid w:val="00183953"/>
    <w:rsid w:val="001846A6"/>
    <w:rsid w:val="0018475A"/>
    <w:rsid w:val="0018495E"/>
    <w:rsid w:val="00185609"/>
    <w:rsid w:val="00185664"/>
    <w:rsid w:val="00185B6C"/>
    <w:rsid w:val="00185E06"/>
    <w:rsid w:val="00186A4B"/>
    <w:rsid w:val="00186B5A"/>
    <w:rsid w:val="00186D38"/>
    <w:rsid w:val="00186F4D"/>
    <w:rsid w:val="00186FBD"/>
    <w:rsid w:val="00187469"/>
    <w:rsid w:val="00187559"/>
    <w:rsid w:val="001875E6"/>
    <w:rsid w:val="00187A8B"/>
    <w:rsid w:val="00187DCE"/>
    <w:rsid w:val="001900CA"/>
    <w:rsid w:val="001903BC"/>
    <w:rsid w:val="0019080C"/>
    <w:rsid w:val="00190B53"/>
    <w:rsid w:val="0019139F"/>
    <w:rsid w:val="001916A8"/>
    <w:rsid w:val="00191D75"/>
    <w:rsid w:val="001920FC"/>
    <w:rsid w:val="00192610"/>
    <w:rsid w:val="00192F92"/>
    <w:rsid w:val="00193065"/>
    <w:rsid w:val="001932BE"/>
    <w:rsid w:val="001933C8"/>
    <w:rsid w:val="0019394E"/>
    <w:rsid w:val="00193F77"/>
    <w:rsid w:val="0019409E"/>
    <w:rsid w:val="0019501D"/>
    <w:rsid w:val="00195105"/>
    <w:rsid w:val="001951BD"/>
    <w:rsid w:val="0019567B"/>
    <w:rsid w:val="001958CD"/>
    <w:rsid w:val="00195C10"/>
    <w:rsid w:val="0019609B"/>
    <w:rsid w:val="001960E8"/>
    <w:rsid w:val="001964A9"/>
    <w:rsid w:val="00196AE1"/>
    <w:rsid w:val="00196E88"/>
    <w:rsid w:val="00196F4D"/>
    <w:rsid w:val="00197334"/>
    <w:rsid w:val="001975B7"/>
    <w:rsid w:val="00197677"/>
    <w:rsid w:val="0019770B"/>
    <w:rsid w:val="001A022F"/>
    <w:rsid w:val="001A024F"/>
    <w:rsid w:val="001A0437"/>
    <w:rsid w:val="001A046C"/>
    <w:rsid w:val="001A06E2"/>
    <w:rsid w:val="001A09C0"/>
    <w:rsid w:val="001A0F43"/>
    <w:rsid w:val="001A10A3"/>
    <w:rsid w:val="001A2564"/>
    <w:rsid w:val="001A29F5"/>
    <w:rsid w:val="001A2D1A"/>
    <w:rsid w:val="001A35E2"/>
    <w:rsid w:val="001A371F"/>
    <w:rsid w:val="001A3ABD"/>
    <w:rsid w:val="001A3EA2"/>
    <w:rsid w:val="001A3F0E"/>
    <w:rsid w:val="001A4448"/>
    <w:rsid w:val="001A47D4"/>
    <w:rsid w:val="001A49D0"/>
    <w:rsid w:val="001A49FA"/>
    <w:rsid w:val="001A4A9B"/>
    <w:rsid w:val="001A4C48"/>
    <w:rsid w:val="001A5310"/>
    <w:rsid w:val="001A5363"/>
    <w:rsid w:val="001A5512"/>
    <w:rsid w:val="001A556C"/>
    <w:rsid w:val="001A56AE"/>
    <w:rsid w:val="001A5CA8"/>
    <w:rsid w:val="001A60F7"/>
    <w:rsid w:val="001A6B31"/>
    <w:rsid w:val="001A6F99"/>
    <w:rsid w:val="001A7010"/>
    <w:rsid w:val="001A70A3"/>
    <w:rsid w:val="001A767C"/>
    <w:rsid w:val="001A78BE"/>
    <w:rsid w:val="001A7D55"/>
    <w:rsid w:val="001B01FD"/>
    <w:rsid w:val="001B173A"/>
    <w:rsid w:val="001B1971"/>
    <w:rsid w:val="001B1F5D"/>
    <w:rsid w:val="001B204E"/>
    <w:rsid w:val="001B32E6"/>
    <w:rsid w:val="001B3791"/>
    <w:rsid w:val="001B37A3"/>
    <w:rsid w:val="001B3DB7"/>
    <w:rsid w:val="001B3E96"/>
    <w:rsid w:val="001B4A0E"/>
    <w:rsid w:val="001B4A45"/>
    <w:rsid w:val="001B4EC0"/>
    <w:rsid w:val="001B4FBB"/>
    <w:rsid w:val="001B6BEA"/>
    <w:rsid w:val="001B6C46"/>
    <w:rsid w:val="001B70EA"/>
    <w:rsid w:val="001B720B"/>
    <w:rsid w:val="001C051E"/>
    <w:rsid w:val="001C05F9"/>
    <w:rsid w:val="001C0BF4"/>
    <w:rsid w:val="001C0C91"/>
    <w:rsid w:val="001C0F55"/>
    <w:rsid w:val="001C1511"/>
    <w:rsid w:val="001C1CE8"/>
    <w:rsid w:val="001C2421"/>
    <w:rsid w:val="001C2CCF"/>
    <w:rsid w:val="001C30B8"/>
    <w:rsid w:val="001C40B1"/>
    <w:rsid w:val="001C4B13"/>
    <w:rsid w:val="001C4EAE"/>
    <w:rsid w:val="001C4F61"/>
    <w:rsid w:val="001C50AD"/>
    <w:rsid w:val="001C5C99"/>
    <w:rsid w:val="001C5E95"/>
    <w:rsid w:val="001C6160"/>
    <w:rsid w:val="001C6247"/>
    <w:rsid w:val="001C62F0"/>
    <w:rsid w:val="001C757E"/>
    <w:rsid w:val="001C7FEF"/>
    <w:rsid w:val="001D0792"/>
    <w:rsid w:val="001D09C4"/>
    <w:rsid w:val="001D0B2B"/>
    <w:rsid w:val="001D1361"/>
    <w:rsid w:val="001D1941"/>
    <w:rsid w:val="001D213C"/>
    <w:rsid w:val="001D2ADE"/>
    <w:rsid w:val="001D30DE"/>
    <w:rsid w:val="001D3388"/>
    <w:rsid w:val="001D3745"/>
    <w:rsid w:val="001D3C62"/>
    <w:rsid w:val="001D408F"/>
    <w:rsid w:val="001D4349"/>
    <w:rsid w:val="001D58D7"/>
    <w:rsid w:val="001D5E89"/>
    <w:rsid w:val="001D5EED"/>
    <w:rsid w:val="001D5F7A"/>
    <w:rsid w:val="001D6304"/>
    <w:rsid w:val="001D6852"/>
    <w:rsid w:val="001D75AD"/>
    <w:rsid w:val="001D7873"/>
    <w:rsid w:val="001E0C19"/>
    <w:rsid w:val="001E0F77"/>
    <w:rsid w:val="001E1420"/>
    <w:rsid w:val="001E1512"/>
    <w:rsid w:val="001E1F77"/>
    <w:rsid w:val="001E2F71"/>
    <w:rsid w:val="001E2FB2"/>
    <w:rsid w:val="001E368E"/>
    <w:rsid w:val="001E3B13"/>
    <w:rsid w:val="001E429B"/>
    <w:rsid w:val="001E4373"/>
    <w:rsid w:val="001E4532"/>
    <w:rsid w:val="001E45CE"/>
    <w:rsid w:val="001E5132"/>
    <w:rsid w:val="001E5147"/>
    <w:rsid w:val="001E518C"/>
    <w:rsid w:val="001E5522"/>
    <w:rsid w:val="001E5CB4"/>
    <w:rsid w:val="001E6090"/>
    <w:rsid w:val="001E6250"/>
    <w:rsid w:val="001E647F"/>
    <w:rsid w:val="001E64C6"/>
    <w:rsid w:val="001E6508"/>
    <w:rsid w:val="001E672F"/>
    <w:rsid w:val="001E67E1"/>
    <w:rsid w:val="001E6906"/>
    <w:rsid w:val="001E6EF4"/>
    <w:rsid w:val="001E7A2E"/>
    <w:rsid w:val="001F0330"/>
    <w:rsid w:val="001F0D39"/>
    <w:rsid w:val="001F12F7"/>
    <w:rsid w:val="001F1714"/>
    <w:rsid w:val="001F1BCE"/>
    <w:rsid w:val="001F1C4B"/>
    <w:rsid w:val="001F1CD9"/>
    <w:rsid w:val="001F1E8F"/>
    <w:rsid w:val="001F21B8"/>
    <w:rsid w:val="001F292B"/>
    <w:rsid w:val="001F36F4"/>
    <w:rsid w:val="001F3EE4"/>
    <w:rsid w:val="001F3F34"/>
    <w:rsid w:val="001F440B"/>
    <w:rsid w:val="001F4CD4"/>
    <w:rsid w:val="001F53D9"/>
    <w:rsid w:val="001F5612"/>
    <w:rsid w:val="001F59B0"/>
    <w:rsid w:val="001F5B00"/>
    <w:rsid w:val="001F64B8"/>
    <w:rsid w:val="001F6674"/>
    <w:rsid w:val="001F6CD7"/>
    <w:rsid w:val="001F7F29"/>
    <w:rsid w:val="0020043E"/>
    <w:rsid w:val="00200CC7"/>
    <w:rsid w:val="00200E3D"/>
    <w:rsid w:val="00202680"/>
    <w:rsid w:val="00202B34"/>
    <w:rsid w:val="00202BB7"/>
    <w:rsid w:val="00202F77"/>
    <w:rsid w:val="0020307D"/>
    <w:rsid w:val="0020387B"/>
    <w:rsid w:val="00204454"/>
    <w:rsid w:val="00204932"/>
    <w:rsid w:val="00205021"/>
    <w:rsid w:val="00205201"/>
    <w:rsid w:val="0020525D"/>
    <w:rsid w:val="00205263"/>
    <w:rsid w:val="00205F06"/>
    <w:rsid w:val="002063BD"/>
    <w:rsid w:val="002065E5"/>
    <w:rsid w:val="0020687A"/>
    <w:rsid w:val="00206A88"/>
    <w:rsid w:val="002070CC"/>
    <w:rsid w:val="00207213"/>
    <w:rsid w:val="0020789F"/>
    <w:rsid w:val="00207B38"/>
    <w:rsid w:val="00207FDF"/>
    <w:rsid w:val="00207FFA"/>
    <w:rsid w:val="002106AC"/>
    <w:rsid w:val="002108C7"/>
    <w:rsid w:val="00210A61"/>
    <w:rsid w:val="00211396"/>
    <w:rsid w:val="00212051"/>
    <w:rsid w:val="0021213F"/>
    <w:rsid w:val="00212163"/>
    <w:rsid w:val="00212286"/>
    <w:rsid w:val="00212C54"/>
    <w:rsid w:val="002131AD"/>
    <w:rsid w:val="00213200"/>
    <w:rsid w:val="00213639"/>
    <w:rsid w:val="0021364E"/>
    <w:rsid w:val="002139AC"/>
    <w:rsid w:val="00213B10"/>
    <w:rsid w:val="00214023"/>
    <w:rsid w:val="0021406B"/>
    <w:rsid w:val="0021527C"/>
    <w:rsid w:val="00215399"/>
    <w:rsid w:val="002154C6"/>
    <w:rsid w:val="002157E1"/>
    <w:rsid w:val="00215A56"/>
    <w:rsid w:val="00215C21"/>
    <w:rsid w:val="002161C7"/>
    <w:rsid w:val="002162F0"/>
    <w:rsid w:val="00216443"/>
    <w:rsid w:val="00216B1D"/>
    <w:rsid w:val="00216D4B"/>
    <w:rsid w:val="002173BA"/>
    <w:rsid w:val="002176F3"/>
    <w:rsid w:val="002178CB"/>
    <w:rsid w:val="00217D59"/>
    <w:rsid w:val="0022076C"/>
    <w:rsid w:val="00220A06"/>
    <w:rsid w:val="00220B67"/>
    <w:rsid w:val="00220BA3"/>
    <w:rsid w:val="00220E6D"/>
    <w:rsid w:val="00220F2D"/>
    <w:rsid w:val="00221542"/>
    <w:rsid w:val="00221DA9"/>
    <w:rsid w:val="00222126"/>
    <w:rsid w:val="00222483"/>
    <w:rsid w:val="0022248E"/>
    <w:rsid w:val="002226A2"/>
    <w:rsid w:val="00222CED"/>
    <w:rsid w:val="00222E1D"/>
    <w:rsid w:val="00222F1D"/>
    <w:rsid w:val="002230E1"/>
    <w:rsid w:val="00223171"/>
    <w:rsid w:val="00223C43"/>
    <w:rsid w:val="002242C5"/>
    <w:rsid w:val="00224375"/>
    <w:rsid w:val="002244F9"/>
    <w:rsid w:val="002249F1"/>
    <w:rsid w:val="00224B75"/>
    <w:rsid w:val="00224DA3"/>
    <w:rsid w:val="00225367"/>
    <w:rsid w:val="0022579A"/>
    <w:rsid w:val="00225812"/>
    <w:rsid w:val="00225A60"/>
    <w:rsid w:val="00225DF9"/>
    <w:rsid w:val="00225F67"/>
    <w:rsid w:val="00225FF7"/>
    <w:rsid w:val="00226035"/>
    <w:rsid w:val="002261CE"/>
    <w:rsid w:val="002267B0"/>
    <w:rsid w:val="0022683F"/>
    <w:rsid w:val="00226AEF"/>
    <w:rsid w:val="00227977"/>
    <w:rsid w:val="00227FB7"/>
    <w:rsid w:val="00230569"/>
    <w:rsid w:val="00230819"/>
    <w:rsid w:val="00230C82"/>
    <w:rsid w:val="00230F09"/>
    <w:rsid w:val="002316A4"/>
    <w:rsid w:val="00231753"/>
    <w:rsid w:val="002317D9"/>
    <w:rsid w:val="002319AE"/>
    <w:rsid w:val="00231ACE"/>
    <w:rsid w:val="00231B6F"/>
    <w:rsid w:val="0023286F"/>
    <w:rsid w:val="00233ED6"/>
    <w:rsid w:val="00234088"/>
    <w:rsid w:val="00234658"/>
    <w:rsid w:val="0023492E"/>
    <w:rsid w:val="00234948"/>
    <w:rsid w:val="00234A43"/>
    <w:rsid w:val="00234F25"/>
    <w:rsid w:val="00235227"/>
    <w:rsid w:val="0023530E"/>
    <w:rsid w:val="002355C5"/>
    <w:rsid w:val="002358FB"/>
    <w:rsid w:val="00235F86"/>
    <w:rsid w:val="00236021"/>
    <w:rsid w:val="0023611B"/>
    <w:rsid w:val="00236B19"/>
    <w:rsid w:val="002374DF"/>
    <w:rsid w:val="00237804"/>
    <w:rsid w:val="00237C8E"/>
    <w:rsid w:val="00237E29"/>
    <w:rsid w:val="0024027E"/>
    <w:rsid w:val="00241182"/>
    <w:rsid w:val="002413B9"/>
    <w:rsid w:val="00241A80"/>
    <w:rsid w:val="00241B45"/>
    <w:rsid w:val="0024270E"/>
    <w:rsid w:val="00242B56"/>
    <w:rsid w:val="00243BC4"/>
    <w:rsid w:val="00243E6B"/>
    <w:rsid w:val="00243FF1"/>
    <w:rsid w:val="00244811"/>
    <w:rsid w:val="00244ED2"/>
    <w:rsid w:val="0024550D"/>
    <w:rsid w:val="00245795"/>
    <w:rsid w:val="00245A31"/>
    <w:rsid w:val="00245E0D"/>
    <w:rsid w:val="00245EB7"/>
    <w:rsid w:val="002468E3"/>
    <w:rsid w:val="002476D1"/>
    <w:rsid w:val="002500D3"/>
    <w:rsid w:val="002502D4"/>
    <w:rsid w:val="00250438"/>
    <w:rsid w:val="00250565"/>
    <w:rsid w:val="00250A12"/>
    <w:rsid w:val="00251026"/>
    <w:rsid w:val="002515DD"/>
    <w:rsid w:val="00251C2A"/>
    <w:rsid w:val="00251F0A"/>
    <w:rsid w:val="002521B4"/>
    <w:rsid w:val="00252ABF"/>
    <w:rsid w:val="00253485"/>
    <w:rsid w:val="0025355A"/>
    <w:rsid w:val="00253646"/>
    <w:rsid w:val="002538A8"/>
    <w:rsid w:val="00253A7F"/>
    <w:rsid w:val="0025415D"/>
    <w:rsid w:val="0025457E"/>
    <w:rsid w:val="002546E8"/>
    <w:rsid w:val="00254CC5"/>
    <w:rsid w:val="00254CF8"/>
    <w:rsid w:val="00254FE0"/>
    <w:rsid w:val="00255066"/>
    <w:rsid w:val="00255251"/>
    <w:rsid w:val="00255A26"/>
    <w:rsid w:val="00255E30"/>
    <w:rsid w:val="00255F64"/>
    <w:rsid w:val="002569AF"/>
    <w:rsid w:val="0025761A"/>
    <w:rsid w:val="00257D89"/>
    <w:rsid w:val="00257D96"/>
    <w:rsid w:val="00260051"/>
    <w:rsid w:val="002602DA"/>
    <w:rsid w:val="00261460"/>
    <w:rsid w:val="00261473"/>
    <w:rsid w:val="0026206A"/>
    <w:rsid w:val="00262533"/>
    <w:rsid w:val="0026270B"/>
    <w:rsid w:val="00262B00"/>
    <w:rsid w:val="00262CC9"/>
    <w:rsid w:val="002634B2"/>
    <w:rsid w:val="002634FD"/>
    <w:rsid w:val="002637FC"/>
    <w:rsid w:val="00263A39"/>
    <w:rsid w:val="002642F9"/>
    <w:rsid w:val="0026431B"/>
    <w:rsid w:val="0026441A"/>
    <w:rsid w:val="0026448E"/>
    <w:rsid w:val="00264B72"/>
    <w:rsid w:val="0026502A"/>
    <w:rsid w:val="00265B1E"/>
    <w:rsid w:val="00265B81"/>
    <w:rsid w:val="00265F98"/>
    <w:rsid w:val="0026645C"/>
    <w:rsid w:val="00266851"/>
    <w:rsid w:val="00266998"/>
    <w:rsid w:val="00267180"/>
    <w:rsid w:val="00267AE9"/>
    <w:rsid w:val="00267E3E"/>
    <w:rsid w:val="0027020A"/>
    <w:rsid w:val="00270586"/>
    <w:rsid w:val="00270B6F"/>
    <w:rsid w:val="00270FE4"/>
    <w:rsid w:val="002712F2"/>
    <w:rsid w:val="00271BD1"/>
    <w:rsid w:val="0027200D"/>
    <w:rsid w:val="0027267B"/>
    <w:rsid w:val="00272B6D"/>
    <w:rsid w:val="0027316B"/>
    <w:rsid w:val="00273676"/>
    <w:rsid w:val="00273EBE"/>
    <w:rsid w:val="00273ECC"/>
    <w:rsid w:val="0027484E"/>
    <w:rsid w:val="00275085"/>
    <w:rsid w:val="002753B4"/>
    <w:rsid w:val="002755E8"/>
    <w:rsid w:val="00276FF3"/>
    <w:rsid w:val="00277007"/>
    <w:rsid w:val="002770B3"/>
    <w:rsid w:val="002770FE"/>
    <w:rsid w:val="0027765E"/>
    <w:rsid w:val="00277834"/>
    <w:rsid w:val="0027790F"/>
    <w:rsid w:val="002800A0"/>
    <w:rsid w:val="002813FB"/>
    <w:rsid w:val="0028140F"/>
    <w:rsid w:val="0028169F"/>
    <w:rsid w:val="0028173B"/>
    <w:rsid w:val="00282894"/>
    <w:rsid w:val="00282F60"/>
    <w:rsid w:val="002830AB"/>
    <w:rsid w:val="002835DB"/>
    <w:rsid w:val="00283611"/>
    <w:rsid w:val="0028533C"/>
    <w:rsid w:val="00285551"/>
    <w:rsid w:val="00285835"/>
    <w:rsid w:val="00285844"/>
    <w:rsid w:val="002863D0"/>
    <w:rsid w:val="00286A9C"/>
    <w:rsid w:val="00287388"/>
    <w:rsid w:val="00287425"/>
    <w:rsid w:val="002874AD"/>
    <w:rsid w:val="00287508"/>
    <w:rsid w:val="002875C6"/>
    <w:rsid w:val="00287682"/>
    <w:rsid w:val="0028776B"/>
    <w:rsid w:val="00287B6A"/>
    <w:rsid w:val="002907EB"/>
    <w:rsid w:val="00290958"/>
    <w:rsid w:val="00290F04"/>
    <w:rsid w:val="0029208E"/>
    <w:rsid w:val="0029237F"/>
    <w:rsid w:val="0029273D"/>
    <w:rsid w:val="00292BD0"/>
    <w:rsid w:val="00293ACC"/>
    <w:rsid w:val="00294076"/>
    <w:rsid w:val="00294127"/>
    <w:rsid w:val="0029479F"/>
    <w:rsid w:val="00294D6D"/>
    <w:rsid w:val="0029599F"/>
    <w:rsid w:val="00296414"/>
    <w:rsid w:val="002967DE"/>
    <w:rsid w:val="00296A4D"/>
    <w:rsid w:val="00296D9D"/>
    <w:rsid w:val="002977A1"/>
    <w:rsid w:val="002977CF"/>
    <w:rsid w:val="002A04EF"/>
    <w:rsid w:val="002A0EAE"/>
    <w:rsid w:val="002A132B"/>
    <w:rsid w:val="002A1C04"/>
    <w:rsid w:val="002A1D57"/>
    <w:rsid w:val="002A2221"/>
    <w:rsid w:val="002A2275"/>
    <w:rsid w:val="002A2CA5"/>
    <w:rsid w:val="002A2D50"/>
    <w:rsid w:val="002A3029"/>
    <w:rsid w:val="002A327B"/>
    <w:rsid w:val="002A3342"/>
    <w:rsid w:val="002A3B12"/>
    <w:rsid w:val="002A3E69"/>
    <w:rsid w:val="002A3EC7"/>
    <w:rsid w:val="002A45F1"/>
    <w:rsid w:val="002A4D70"/>
    <w:rsid w:val="002A5151"/>
    <w:rsid w:val="002A518C"/>
    <w:rsid w:val="002A52A5"/>
    <w:rsid w:val="002A5953"/>
    <w:rsid w:val="002A5959"/>
    <w:rsid w:val="002A60C0"/>
    <w:rsid w:val="002A61D2"/>
    <w:rsid w:val="002A63D5"/>
    <w:rsid w:val="002A6692"/>
    <w:rsid w:val="002A7634"/>
    <w:rsid w:val="002B0807"/>
    <w:rsid w:val="002B0AC5"/>
    <w:rsid w:val="002B0EA0"/>
    <w:rsid w:val="002B1432"/>
    <w:rsid w:val="002B15C8"/>
    <w:rsid w:val="002B17A0"/>
    <w:rsid w:val="002B1925"/>
    <w:rsid w:val="002B1B0B"/>
    <w:rsid w:val="002B2233"/>
    <w:rsid w:val="002B223F"/>
    <w:rsid w:val="002B2B3B"/>
    <w:rsid w:val="002B2D4C"/>
    <w:rsid w:val="002B2D9D"/>
    <w:rsid w:val="002B2EBC"/>
    <w:rsid w:val="002B32BA"/>
    <w:rsid w:val="002B3764"/>
    <w:rsid w:val="002B3D02"/>
    <w:rsid w:val="002B3E46"/>
    <w:rsid w:val="002B42E0"/>
    <w:rsid w:val="002B45DB"/>
    <w:rsid w:val="002B499B"/>
    <w:rsid w:val="002B4A8F"/>
    <w:rsid w:val="002B61D7"/>
    <w:rsid w:val="002B66A0"/>
    <w:rsid w:val="002B6959"/>
    <w:rsid w:val="002B73F4"/>
    <w:rsid w:val="002B756C"/>
    <w:rsid w:val="002B7634"/>
    <w:rsid w:val="002B7F7A"/>
    <w:rsid w:val="002C0585"/>
    <w:rsid w:val="002C07ED"/>
    <w:rsid w:val="002C08B9"/>
    <w:rsid w:val="002C0A30"/>
    <w:rsid w:val="002C0AF1"/>
    <w:rsid w:val="002C0BA1"/>
    <w:rsid w:val="002C0C2C"/>
    <w:rsid w:val="002C0D5F"/>
    <w:rsid w:val="002C0DE4"/>
    <w:rsid w:val="002C1022"/>
    <w:rsid w:val="002C1192"/>
    <w:rsid w:val="002C180B"/>
    <w:rsid w:val="002C1ADD"/>
    <w:rsid w:val="002C1CA4"/>
    <w:rsid w:val="002C1E51"/>
    <w:rsid w:val="002C1E6A"/>
    <w:rsid w:val="002C1E6E"/>
    <w:rsid w:val="002C22E1"/>
    <w:rsid w:val="002C2853"/>
    <w:rsid w:val="002C2CC7"/>
    <w:rsid w:val="002C2D28"/>
    <w:rsid w:val="002C2D81"/>
    <w:rsid w:val="002C302A"/>
    <w:rsid w:val="002C334D"/>
    <w:rsid w:val="002C3391"/>
    <w:rsid w:val="002C3418"/>
    <w:rsid w:val="002C3909"/>
    <w:rsid w:val="002C3B09"/>
    <w:rsid w:val="002C40C3"/>
    <w:rsid w:val="002C44E8"/>
    <w:rsid w:val="002C4C24"/>
    <w:rsid w:val="002C4DC2"/>
    <w:rsid w:val="002C5AE4"/>
    <w:rsid w:val="002C6A2D"/>
    <w:rsid w:val="002C70B8"/>
    <w:rsid w:val="002C7AFE"/>
    <w:rsid w:val="002D03B0"/>
    <w:rsid w:val="002D03D7"/>
    <w:rsid w:val="002D0476"/>
    <w:rsid w:val="002D0487"/>
    <w:rsid w:val="002D049A"/>
    <w:rsid w:val="002D0F79"/>
    <w:rsid w:val="002D0F9C"/>
    <w:rsid w:val="002D1C9F"/>
    <w:rsid w:val="002D2407"/>
    <w:rsid w:val="002D2A83"/>
    <w:rsid w:val="002D2E6A"/>
    <w:rsid w:val="002D2E8D"/>
    <w:rsid w:val="002D31DE"/>
    <w:rsid w:val="002D3953"/>
    <w:rsid w:val="002D3D3F"/>
    <w:rsid w:val="002D4060"/>
    <w:rsid w:val="002D413F"/>
    <w:rsid w:val="002D41D5"/>
    <w:rsid w:val="002D46DF"/>
    <w:rsid w:val="002D50D6"/>
    <w:rsid w:val="002D53AD"/>
    <w:rsid w:val="002D575C"/>
    <w:rsid w:val="002D5CFA"/>
    <w:rsid w:val="002D5EA2"/>
    <w:rsid w:val="002D603A"/>
    <w:rsid w:val="002D612A"/>
    <w:rsid w:val="002D62DE"/>
    <w:rsid w:val="002D63D6"/>
    <w:rsid w:val="002D645C"/>
    <w:rsid w:val="002D6499"/>
    <w:rsid w:val="002D71E2"/>
    <w:rsid w:val="002D72AE"/>
    <w:rsid w:val="002D73ED"/>
    <w:rsid w:val="002D7604"/>
    <w:rsid w:val="002D7A1A"/>
    <w:rsid w:val="002E0162"/>
    <w:rsid w:val="002E06F1"/>
    <w:rsid w:val="002E0B6B"/>
    <w:rsid w:val="002E0CF8"/>
    <w:rsid w:val="002E1D86"/>
    <w:rsid w:val="002E2115"/>
    <w:rsid w:val="002E29B6"/>
    <w:rsid w:val="002E2BDF"/>
    <w:rsid w:val="002E31BD"/>
    <w:rsid w:val="002E3D22"/>
    <w:rsid w:val="002E3DFD"/>
    <w:rsid w:val="002E4613"/>
    <w:rsid w:val="002E49FA"/>
    <w:rsid w:val="002E4B69"/>
    <w:rsid w:val="002E4D34"/>
    <w:rsid w:val="002E510B"/>
    <w:rsid w:val="002E56AD"/>
    <w:rsid w:val="002E5833"/>
    <w:rsid w:val="002E6027"/>
    <w:rsid w:val="002E6244"/>
    <w:rsid w:val="002E6CB3"/>
    <w:rsid w:val="002E72DA"/>
    <w:rsid w:val="002E7320"/>
    <w:rsid w:val="002E7765"/>
    <w:rsid w:val="002E7FC5"/>
    <w:rsid w:val="002F0AB2"/>
    <w:rsid w:val="002F1613"/>
    <w:rsid w:val="002F16D9"/>
    <w:rsid w:val="002F18A2"/>
    <w:rsid w:val="002F1AC8"/>
    <w:rsid w:val="002F1E18"/>
    <w:rsid w:val="002F2827"/>
    <w:rsid w:val="002F2C23"/>
    <w:rsid w:val="002F2CDC"/>
    <w:rsid w:val="002F36B8"/>
    <w:rsid w:val="002F3B0B"/>
    <w:rsid w:val="002F3C2B"/>
    <w:rsid w:val="002F408C"/>
    <w:rsid w:val="002F43B3"/>
    <w:rsid w:val="002F458D"/>
    <w:rsid w:val="002F4A38"/>
    <w:rsid w:val="002F591D"/>
    <w:rsid w:val="002F5D47"/>
    <w:rsid w:val="002F5DD4"/>
    <w:rsid w:val="002F6063"/>
    <w:rsid w:val="002F65A4"/>
    <w:rsid w:val="002F6841"/>
    <w:rsid w:val="002F6A60"/>
    <w:rsid w:val="002F6A72"/>
    <w:rsid w:val="002F6AC9"/>
    <w:rsid w:val="002F6C24"/>
    <w:rsid w:val="002F700B"/>
    <w:rsid w:val="002F7223"/>
    <w:rsid w:val="002F7677"/>
    <w:rsid w:val="002F76E2"/>
    <w:rsid w:val="002F7D0F"/>
    <w:rsid w:val="00300952"/>
    <w:rsid w:val="00300B67"/>
    <w:rsid w:val="00300D24"/>
    <w:rsid w:val="003014ED"/>
    <w:rsid w:val="00301BC2"/>
    <w:rsid w:val="00302079"/>
    <w:rsid w:val="003032E5"/>
    <w:rsid w:val="00304B09"/>
    <w:rsid w:val="00305136"/>
    <w:rsid w:val="00305482"/>
    <w:rsid w:val="00305677"/>
    <w:rsid w:val="00305787"/>
    <w:rsid w:val="0030596E"/>
    <w:rsid w:val="00305D37"/>
    <w:rsid w:val="00306313"/>
    <w:rsid w:val="00306590"/>
    <w:rsid w:val="00306D8B"/>
    <w:rsid w:val="00306DA9"/>
    <w:rsid w:val="003075F7"/>
    <w:rsid w:val="003078FA"/>
    <w:rsid w:val="00307AC3"/>
    <w:rsid w:val="0031049D"/>
    <w:rsid w:val="0031068C"/>
    <w:rsid w:val="0031092C"/>
    <w:rsid w:val="00310D7B"/>
    <w:rsid w:val="00310DF5"/>
    <w:rsid w:val="00310F7A"/>
    <w:rsid w:val="00311018"/>
    <w:rsid w:val="00311433"/>
    <w:rsid w:val="003114C1"/>
    <w:rsid w:val="003115FF"/>
    <w:rsid w:val="00311C14"/>
    <w:rsid w:val="00312C38"/>
    <w:rsid w:val="00313A7C"/>
    <w:rsid w:val="00314085"/>
    <w:rsid w:val="003141C9"/>
    <w:rsid w:val="003143D3"/>
    <w:rsid w:val="003144A3"/>
    <w:rsid w:val="00314B94"/>
    <w:rsid w:val="00314C2F"/>
    <w:rsid w:val="0031509B"/>
    <w:rsid w:val="003158E6"/>
    <w:rsid w:val="003159FB"/>
    <w:rsid w:val="00315A6F"/>
    <w:rsid w:val="00315B81"/>
    <w:rsid w:val="003160B1"/>
    <w:rsid w:val="003160F3"/>
    <w:rsid w:val="003172A1"/>
    <w:rsid w:val="00317605"/>
    <w:rsid w:val="0031787E"/>
    <w:rsid w:val="0031799E"/>
    <w:rsid w:val="00317DBA"/>
    <w:rsid w:val="00317E0C"/>
    <w:rsid w:val="00317F81"/>
    <w:rsid w:val="003205A7"/>
    <w:rsid w:val="003210D9"/>
    <w:rsid w:val="0032158E"/>
    <w:rsid w:val="003222C7"/>
    <w:rsid w:val="00322BF8"/>
    <w:rsid w:val="00322C67"/>
    <w:rsid w:val="00323316"/>
    <w:rsid w:val="00323663"/>
    <w:rsid w:val="00323D72"/>
    <w:rsid w:val="003242E2"/>
    <w:rsid w:val="003249FD"/>
    <w:rsid w:val="003253D8"/>
    <w:rsid w:val="00325CFD"/>
    <w:rsid w:val="00325D3F"/>
    <w:rsid w:val="00325D47"/>
    <w:rsid w:val="00326D22"/>
    <w:rsid w:val="003272F1"/>
    <w:rsid w:val="00327660"/>
    <w:rsid w:val="00327F45"/>
    <w:rsid w:val="003309D2"/>
    <w:rsid w:val="00330AAC"/>
    <w:rsid w:val="00330F80"/>
    <w:rsid w:val="003313BD"/>
    <w:rsid w:val="00331B76"/>
    <w:rsid w:val="00331B8F"/>
    <w:rsid w:val="00331C1A"/>
    <w:rsid w:val="00331F45"/>
    <w:rsid w:val="0033213D"/>
    <w:rsid w:val="003321A9"/>
    <w:rsid w:val="003325A0"/>
    <w:rsid w:val="0033262B"/>
    <w:rsid w:val="003327AE"/>
    <w:rsid w:val="00332CC7"/>
    <w:rsid w:val="00333042"/>
    <w:rsid w:val="00333286"/>
    <w:rsid w:val="00333394"/>
    <w:rsid w:val="003333A7"/>
    <w:rsid w:val="0033351A"/>
    <w:rsid w:val="003335AD"/>
    <w:rsid w:val="00333BDA"/>
    <w:rsid w:val="00333C8F"/>
    <w:rsid w:val="00333E62"/>
    <w:rsid w:val="00334041"/>
    <w:rsid w:val="003348FE"/>
    <w:rsid w:val="00334933"/>
    <w:rsid w:val="003349BB"/>
    <w:rsid w:val="00334ACA"/>
    <w:rsid w:val="00335167"/>
    <w:rsid w:val="0033532B"/>
    <w:rsid w:val="00335AB8"/>
    <w:rsid w:val="00335C3C"/>
    <w:rsid w:val="003364B2"/>
    <w:rsid w:val="003367FE"/>
    <w:rsid w:val="00336B27"/>
    <w:rsid w:val="00336B3A"/>
    <w:rsid w:val="0033705B"/>
    <w:rsid w:val="00337D9E"/>
    <w:rsid w:val="00337EA9"/>
    <w:rsid w:val="00340083"/>
    <w:rsid w:val="00340245"/>
    <w:rsid w:val="00340858"/>
    <w:rsid w:val="00340978"/>
    <w:rsid w:val="00340F8E"/>
    <w:rsid w:val="003413AC"/>
    <w:rsid w:val="00341E63"/>
    <w:rsid w:val="00341F9D"/>
    <w:rsid w:val="00342AA7"/>
    <w:rsid w:val="00342C42"/>
    <w:rsid w:val="00342CB3"/>
    <w:rsid w:val="00342D75"/>
    <w:rsid w:val="00343EA0"/>
    <w:rsid w:val="00343F08"/>
    <w:rsid w:val="003440A4"/>
    <w:rsid w:val="003443E4"/>
    <w:rsid w:val="00345427"/>
    <w:rsid w:val="00346447"/>
    <w:rsid w:val="00346A21"/>
    <w:rsid w:val="00347533"/>
    <w:rsid w:val="003476FD"/>
    <w:rsid w:val="00347891"/>
    <w:rsid w:val="003478B6"/>
    <w:rsid w:val="00347905"/>
    <w:rsid w:val="00347A37"/>
    <w:rsid w:val="003509B7"/>
    <w:rsid w:val="00351669"/>
    <w:rsid w:val="00351955"/>
    <w:rsid w:val="00351B22"/>
    <w:rsid w:val="00351FD4"/>
    <w:rsid w:val="003526C2"/>
    <w:rsid w:val="00352A17"/>
    <w:rsid w:val="003531ED"/>
    <w:rsid w:val="00353660"/>
    <w:rsid w:val="0035370A"/>
    <w:rsid w:val="00353726"/>
    <w:rsid w:val="00353B25"/>
    <w:rsid w:val="00353C91"/>
    <w:rsid w:val="0035431E"/>
    <w:rsid w:val="0035459C"/>
    <w:rsid w:val="00354905"/>
    <w:rsid w:val="00354B3E"/>
    <w:rsid w:val="00355FAC"/>
    <w:rsid w:val="003560BC"/>
    <w:rsid w:val="00356F1D"/>
    <w:rsid w:val="00356F25"/>
    <w:rsid w:val="00357078"/>
    <w:rsid w:val="0035718C"/>
    <w:rsid w:val="003579DD"/>
    <w:rsid w:val="00360149"/>
    <w:rsid w:val="0036026A"/>
    <w:rsid w:val="003602ED"/>
    <w:rsid w:val="00360610"/>
    <w:rsid w:val="003607FD"/>
    <w:rsid w:val="00360C9E"/>
    <w:rsid w:val="00360E19"/>
    <w:rsid w:val="00361129"/>
    <w:rsid w:val="003615CD"/>
    <w:rsid w:val="00361914"/>
    <w:rsid w:val="00361B7C"/>
    <w:rsid w:val="00361EFC"/>
    <w:rsid w:val="003620E1"/>
    <w:rsid w:val="00362164"/>
    <w:rsid w:val="003629A9"/>
    <w:rsid w:val="0036331C"/>
    <w:rsid w:val="00363D2D"/>
    <w:rsid w:val="00363EA9"/>
    <w:rsid w:val="00363EE5"/>
    <w:rsid w:val="00363FA3"/>
    <w:rsid w:val="0036405B"/>
    <w:rsid w:val="0036482B"/>
    <w:rsid w:val="00364C86"/>
    <w:rsid w:val="00364E64"/>
    <w:rsid w:val="0036524F"/>
    <w:rsid w:val="00365254"/>
    <w:rsid w:val="0036566E"/>
    <w:rsid w:val="0036580B"/>
    <w:rsid w:val="00366138"/>
    <w:rsid w:val="003663CA"/>
    <w:rsid w:val="003673F2"/>
    <w:rsid w:val="00367D18"/>
    <w:rsid w:val="00367E3B"/>
    <w:rsid w:val="00370169"/>
    <w:rsid w:val="0037040A"/>
    <w:rsid w:val="003704CC"/>
    <w:rsid w:val="0037076A"/>
    <w:rsid w:val="00370D24"/>
    <w:rsid w:val="00370E3C"/>
    <w:rsid w:val="0037112D"/>
    <w:rsid w:val="00371635"/>
    <w:rsid w:val="00371913"/>
    <w:rsid w:val="00372554"/>
    <w:rsid w:val="00372815"/>
    <w:rsid w:val="003729DE"/>
    <w:rsid w:val="00372BA9"/>
    <w:rsid w:val="00372F98"/>
    <w:rsid w:val="003733F2"/>
    <w:rsid w:val="00373BF5"/>
    <w:rsid w:val="00374A99"/>
    <w:rsid w:val="00375093"/>
    <w:rsid w:val="00375C12"/>
    <w:rsid w:val="0037649B"/>
    <w:rsid w:val="00376540"/>
    <w:rsid w:val="0037681A"/>
    <w:rsid w:val="003769ED"/>
    <w:rsid w:val="00377612"/>
    <w:rsid w:val="00377E54"/>
    <w:rsid w:val="0038009D"/>
    <w:rsid w:val="00380151"/>
    <w:rsid w:val="00380414"/>
    <w:rsid w:val="00380B30"/>
    <w:rsid w:val="00380B56"/>
    <w:rsid w:val="00380E2D"/>
    <w:rsid w:val="0038112D"/>
    <w:rsid w:val="00381138"/>
    <w:rsid w:val="00381418"/>
    <w:rsid w:val="0038283E"/>
    <w:rsid w:val="0038291E"/>
    <w:rsid w:val="00382B83"/>
    <w:rsid w:val="00383175"/>
    <w:rsid w:val="003832D1"/>
    <w:rsid w:val="00383359"/>
    <w:rsid w:val="003833BD"/>
    <w:rsid w:val="00383434"/>
    <w:rsid w:val="00383854"/>
    <w:rsid w:val="00383861"/>
    <w:rsid w:val="00383CB5"/>
    <w:rsid w:val="00383F15"/>
    <w:rsid w:val="00383FB6"/>
    <w:rsid w:val="00384077"/>
    <w:rsid w:val="003841F4"/>
    <w:rsid w:val="0038421C"/>
    <w:rsid w:val="00384537"/>
    <w:rsid w:val="003846FF"/>
    <w:rsid w:val="0038494E"/>
    <w:rsid w:val="003850A8"/>
    <w:rsid w:val="003853FC"/>
    <w:rsid w:val="0038557C"/>
    <w:rsid w:val="0038577A"/>
    <w:rsid w:val="0038581A"/>
    <w:rsid w:val="003861F2"/>
    <w:rsid w:val="003867CB"/>
    <w:rsid w:val="00387626"/>
    <w:rsid w:val="003878B6"/>
    <w:rsid w:val="00387928"/>
    <w:rsid w:val="00387983"/>
    <w:rsid w:val="00387A49"/>
    <w:rsid w:val="00387A9A"/>
    <w:rsid w:val="00387F83"/>
    <w:rsid w:val="003900AC"/>
    <w:rsid w:val="003900B6"/>
    <w:rsid w:val="00390D4A"/>
    <w:rsid w:val="00390EB7"/>
    <w:rsid w:val="00390F3B"/>
    <w:rsid w:val="003912A7"/>
    <w:rsid w:val="0039132B"/>
    <w:rsid w:val="00391334"/>
    <w:rsid w:val="00391895"/>
    <w:rsid w:val="00391ADF"/>
    <w:rsid w:val="00391F4A"/>
    <w:rsid w:val="00391F98"/>
    <w:rsid w:val="0039264F"/>
    <w:rsid w:val="00392906"/>
    <w:rsid w:val="0039292B"/>
    <w:rsid w:val="003933F1"/>
    <w:rsid w:val="003942C8"/>
    <w:rsid w:val="00394663"/>
    <w:rsid w:val="0039471B"/>
    <w:rsid w:val="003947E6"/>
    <w:rsid w:val="00395045"/>
    <w:rsid w:val="00395164"/>
    <w:rsid w:val="003952EC"/>
    <w:rsid w:val="00395775"/>
    <w:rsid w:val="003958B0"/>
    <w:rsid w:val="0039605E"/>
    <w:rsid w:val="0039607F"/>
    <w:rsid w:val="003960D4"/>
    <w:rsid w:val="00396135"/>
    <w:rsid w:val="00396511"/>
    <w:rsid w:val="0039753B"/>
    <w:rsid w:val="003976E4"/>
    <w:rsid w:val="0039775E"/>
    <w:rsid w:val="00397E47"/>
    <w:rsid w:val="003A0195"/>
    <w:rsid w:val="003A06AA"/>
    <w:rsid w:val="003A0DD3"/>
    <w:rsid w:val="003A106F"/>
    <w:rsid w:val="003A1089"/>
    <w:rsid w:val="003A10D3"/>
    <w:rsid w:val="003A1551"/>
    <w:rsid w:val="003A1991"/>
    <w:rsid w:val="003A1A62"/>
    <w:rsid w:val="003A24EE"/>
    <w:rsid w:val="003A270C"/>
    <w:rsid w:val="003A28D6"/>
    <w:rsid w:val="003A37FB"/>
    <w:rsid w:val="003A3BF7"/>
    <w:rsid w:val="003A4A2F"/>
    <w:rsid w:val="003A4B98"/>
    <w:rsid w:val="003A5079"/>
    <w:rsid w:val="003A5563"/>
    <w:rsid w:val="003A56E0"/>
    <w:rsid w:val="003A5820"/>
    <w:rsid w:val="003A5EBA"/>
    <w:rsid w:val="003A5F04"/>
    <w:rsid w:val="003A61E2"/>
    <w:rsid w:val="003A71A8"/>
    <w:rsid w:val="003A72AD"/>
    <w:rsid w:val="003B0033"/>
    <w:rsid w:val="003B025B"/>
    <w:rsid w:val="003B0552"/>
    <w:rsid w:val="003B0AD3"/>
    <w:rsid w:val="003B0C49"/>
    <w:rsid w:val="003B17C9"/>
    <w:rsid w:val="003B1ABA"/>
    <w:rsid w:val="003B1F27"/>
    <w:rsid w:val="003B22A7"/>
    <w:rsid w:val="003B2555"/>
    <w:rsid w:val="003B2799"/>
    <w:rsid w:val="003B29A3"/>
    <w:rsid w:val="003B2F7F"/>
    <w:rsid w:val="003B30A5"/>
    <w:rsid w:val="003B3427"/>
    <w:rsid w:val="003B37E2"/>
    <w:rsid w:val="003B3C35"/>
    <w:rsid w:val="003B4026"/>
    <w:rsid w:val="003B4991"/>
    <w:rsid w:val="003B4BB4"/>
    <w:rsid w:val="003B4D89"/>
    <w:rsid w:val="003B582F"/>
    <w:rsid w:val="003B5DEE"/>
    <w:rsid w:val="003B5FB7"/>
    <w:rsid w:val="003B6497"/>
    <w:rsid w:val="003B6788"/>
    <w:rsid w:val="003B6895"/>
    <w:rsid w:val="003B75A3"/>
    <w:rsid w:val="003B78C4"/>
    <w:rsid w:val="003B7C3E"/>
    <w:rsid w:val="003B7E0F"/>
    <w:rsid w:val="003C067B"/>
    <w:rsid w:val="003C0C33"/>
    <w:rsid w:val="003C0D8A"/>
    <w:rsid w:val="003C0E54"/>
    <w:rsid w:val="003C2329"/>
    <w:rsid w:val="003C2657"/>
    <w:rsid w:val="003C2A5A"/>
    <w:rsid w:val="003C2D8D"/>
    <w:rsid w:val="003C3350"/>
    <w:rsid w:val="003C35B0"/>
    <w:rsid w:val="003C36F5"/>
    <w:rsid w:val="003C407A"/>
    <w:rsid w:val="003C41B7"/>
    <w:rsid w:val="003C50A1"/>
    <w:rsid w:val="003C5CD0"/>
    <w:rsid w:val="003C5D0E"/>
    <w:rsid w:val="003C5F15"/>
    <w:rsid w:val="003C667C"/>
    <w:rsid w:val="003C695F"/>
    <w:rsid w:val="003C6BA1"/>
    <w:rsid w:val="003C6C41"/>
    <w:rsid w:val="003C71C3"/>
    <w:rsid w:val="003C77B5"/>
    <w:rsid w:val="003C7829"/>
    <w:rsid w:val="003D0949"/>
    <w:rsid w:val="003D1D40"/>
    <w:rsid w:val="003D1F17"/>
    <w:rsid w:val="003D2161"/>
    <w:rsid w:val="003D2514"/>
    <w:rsid w:val="003D3149"/>
    <w:rsid w:val="003D320F"/>
    <w:rsid w:val="003D3AD4"/>
    <w:rsid w:val="003D3EE5"/>
    <w:rsid w:val="003D40C6"/>
    <w:rsid w:val="003D449D"/>
    <w:rsid w:val="003D48F5"/>
    <w:rsid w:val="003D5EEA"/>
    <w:rsid w:val="003D627F"/>
    <w:rsid w:val="003D6360"/>
    <w:rsid w:val="003D63EF"/>
    <w:rsid w:val="003D6882"/>
    <w:rsid w:val="003D75D1"/>
    <w:rsid w:val="003E0074"/>
    <w:rsid w:val="003E031E"/>
    <w:rsid w:val="003E0389"/>
    <w:rsid w:val="003E07A9"/>
    <w:rsid w:val="003E08D3"/>
    <w:rsid w:val="003E1044"/>
    <w:rsid w:val="003E12C4"/>
    <w:rsid w:val="003E1428"/>
    <w:rsid w:val="003E16C6"/>
    <w:rsid w:val="003E1AAD"/>
    <w:rsid w:val="003E1C73"/>
    <w:rsid w:val="003E260A"/>
    <w:rsid w:val="003E2693"/>
    <w:rsid w:val="003E2ABC"/>
    <w:rsid w:val="003E2D0F"/>
    <w:rsid w:val="003E2DEF"/>
    <w:rsid w:val="003E3540"/>
    <w:rsid w:val="003E3C67"/>
    <w:rsid w:val="003E3DDE"/>
    <w:rsid w:val="003E3FA7"/>
    <w:rsid w:val="003E4137"/>
    <w:rsid w:val="003E496B"/>
    <w:rsid w:val="003E4C40"/>
    <w:rsid w:val="003E4C55"/>
    <w:rsid w:val="003E4C80"/>
    <w:rsid w:val="003E5554"/>
    <w:rsid w:val="003E58D6"/>
    <w:rsid w:val="003E5B9B"/>
    <w:rsid w:val="003E5EC2"/>
    <w:rsid w:val="003E5F31"/>
    <w:rsid w:val="003E5FD9"/>
    <w:rsid w:val="003E688F"/>
    <w:rsid w:val="003E6D22"/>
    <w:rsid w:val="003E7345"/>
    <w:rsid w:val="003E79BB"/>
    <w:rsid w:val="003E7BC7"/>
    <w:rsid w:val="003E7C3D"/>
    <w:rsid w:val="003F0014"/>
    <w:rsid w:val="003F124D"/>
    <w:rsid w:val="003F15AF"/>
    <w:rsid w:val="003F15FE"/>
    <w:rsid w:val="003F1B5D"/>
    <w:rsid w:val="003F2481"/>
    <w:rsid w:val="003F2A9D"/>
    <w:rsid w:val="003F2F35"/>
    <w:rsid w:val="003F3096"/>
    <w:rsid w:val="003F3645"/>
    <w:rsid w:val="003F399F"/>
    <w:rsid w:val="003F39C9"/>
    <w:rsid w:val="003F3AE7"/>
    <w:rsid w:val="003F3EA2"/>
    <w:rsid w:val="003F4404"/>
    <w:rsid w:val="003F47D3"/>
    <w:rsid w:val="003F5C97"/>
    <w:rsid w:val="003F5DA5"/>
    <w:rsid w:val="003F5DA8"/>
    <w:rsid w:val="003F5FDB"/>
    <w:rsid w:val="003F661B"/>
    <w:rsid w:val="003F6870"/>
    <w:rsid w:val="003F6C30"/>
    <w:rsid w:val="003F79A3"/>
    <w:rsid w:val="003F7BF0"/>
    <w:rsid w:val="004003F7"/>
    <w:rsid w:val="004005FF"/>
    <w:rsid w:val="00400656"/>
    <w:rsid w:val="004007DB"/>
    <w:rsid w:val="004008AD"/>
    <w:rsid w:val="004008DA"/>
    <w:rsid w:val="00400B19"/>
    <w:rsid w:val="0040124B"/>
    <w:rsid w:val="00401564"/>
    <w:rsid w:val="004019D6"/>
    <w:rsid w:val="00401CDE"/>
    <w:rsid w:val="0040222F"/>
    <w:rsid w:val="0040235F"/>
    <w:rsid w:val="00402F36"/>
    <w:rsid w:val="004036A2"/>
    <w:rsid w:val="0040396B"/>
    <w:rsid w:val="00403DC1"/>
    <w:rsid w:val="004040F8"/>
    <w:rsid w:val="00404227"/>
    <w:rsid w:val="00404993"/>
    <w:rsid w:val="00404D5B"/>
    <w:rsid w:val="00404FCB"/>
    <w:rsid w:val="004051B7"/>
    <w:rsid w:val="004051E9"/>
    <w:rsid w:val="004053A5"/>
    <w:rsid w:val="00405D34"/>
    <w:rsid w:val="00405E56"/>
    <w:rsid w:val="00405E77"/>
    <w:rsid w:val="004064D8"/>
    <w:rsid w:val="004064F0"/>
    <w:rsid w:val="0040680E"/>
    <w:rsid w:val="00406978"/>
    <w:rsid w:val="00406C4C"/>
    <w:rsid w:val="00406CD4"/>
    <w:rsid w:val="00406DC1"/>
    <w:rsid w:val="00407B36"/>
    <w:rsid w:val="00407E51"/>
    <w:rsid w:val="0041038A"/>
    <w:rsid w:val="00410438"/>
    <w:rsid w:val="00410957"/>
    <w:rsid w:val="0041136B"/>
    <w:rsid w:val="00411535"/>
    <w:rsid w:val="00411652"/>
    <w:rsid w:val="00411993"/>
    <w:rsid w:val="00411ACA"/>
    <w:rsid w:val="00412140"/>
    <w:rsid w:val="004126AC"/>
    <w:rsid w:val="004127C2"/>
    <w:rsid w:val="004128BD"/>
    <w:rsid w:val="0041305C"/>
    <w:rsid w:val="004134A7"/>
    <w:rsid w:val="004140CA"/>
    <w:rsid w:val="0041428F"/>
    <w:rsid w:val="0041497F"/>
    <w:rsid w:val="00414DA0"/>
    <w:rsid w:val="004150E3"/>
    <w:rsid w:val="00415A32"/>
    <w:rsid w:val="00415B09"/>
    <w:rsid w:val="0041602F"/>
    <w:rsid w:val="00416F2E"/>
    <w:rsid w:val="00417548"/>
    <w:rsid w:val="004175DF"/>
    <w:rsid w:val="00417A5D"/>
    <w:rsid w:val="00417C95"/>
    <w:rsid w:val="00417C9C"/>
    <w:rsid w:val="00420023"/>
    <w:rsid w:val="004209E8"/>
    <w:rsid w:val="00420DA5"/>
    <w:rsid w:val="004211E2"/>
    <w:rsid w:val="00421992"/>
    <w:rsid w:val="00422619"/>
    <w:rsid w:val="00422EBC"/>
    <w:rsid w:val="0042316B"/>
    <w:rsid w:val="00423767"/>
    <w:rsid w:val="0042382C"/>
    <w:rsid w:val="00423A67"/>
    <w:rsid w:val="00423DD8"/>
    <w:rsid w:val="0042485C"/>
    <w:rsid w:val="004248FA"/>
    <w:rsid w:val="00425016"/>
    <w:rsid w:val="004252E0"/>
    <w:rsid w:val="00426671"/>
    <w:rsid w:val="0042677B"/>
    <w:rsid w:val="004276C6"/>
    <w:rsid w:val="00427C98"/>
    <w:rsid w:val="00427E16"/>
    <w:rsid w:val="00427FC3"/>
    <w:rsid w:val="00430F92"/>
    <w:rsid w:val="0043150F"/>
    <w:rsid w:val="00431A0E"/>
    <w:rsid w:val="00431B32"/>
    <w:rsid w:val="00431FA2"/>
    <w:rsid w:val="004326D8"/>
    <w:rsid w:val="004328FA"/>
    <w:rsid w:val="00432E16"/>
    <w:rsid w:val="004337F3"/>
    <w:rsid w:val="00433823"/>
    <w:rsid w:val="00433B5D"/>
    <w:rsid w:val="004347AC"/>
    <w:rsid w:val="0043480A"/>
    <w:rsid w:val="00434850"/>
    <w:rsid w:val="00434E9F"/>
    <w:rsid w:val="00435070"/>
    <w:rsid w:val="004355A5"/>
    <w:rsid w:val="00435A26"/>
    <w:rsid w:val="004361C9"/>
    <w:rsid w:val="00436578"/>
    <w:rsid w:val="00436785"/>
    <w:rsid w:val="00436801"/>
    <w:rsid w:val="00436835"/>
    <w:rsid w:val="004368E8"/>
    <w:rsid w:val="00436F4F"/>
    <w:rsid w:val="00437487"/>
    <w:rsid w:val="0043754D"/>
    <w:rsid w:val="00437567"/>
    <w:rsid w:val="004378DB"/>
    <w:rsid w:val="004379EF"/>
    <w:rsid w:val="00437DFF"/>
    <w:rsid w:val="004402BA"/>
    <w:rsid w:val="00440475"/>
    <w:rsid w:val="00440CB7"/>
    <w:rsid w:val="00440F52"/>
    <w:rsid w:val="00440F85"/>
    <w:rsid w:val="004413BE"/>
    <w:rsid w:val="004413EE"/>
    <w:rsid w:val="00441542"/>
    <w:rsid w:val="004420ED"/>
    <w:rsid w:val="004426C7"/>
    <w:rsid w:val="004429B9"/>
    <w:rsid w:val="0044314D"/>
    <w:rsid w:val="0044320C"/>
    <w:rsid w:val="00443652"/>
    <w:rsid w:val="0044424D"/>
    <w:rsid w:val="0044425A"/>
    <w:rsid w:val="004444E4"/>
    <w:rsid w:val="00444939"/>
    <w:rsid w:val="00444D7D"/>
    <w:rsid w:val="00445DB0"/>
    <w:rsid w:val="004460B0"/>
    <w:rsid w:val="0044642F"/>
    <w:rsid w:val="004465A7"/>
    <w:rsid w:val="00446EFC"/>
    <w:rsid w:val="004474D3"/>
    <w:rsid w:val="004476A9"/>
    <w:rsid w:val="004477BA"/>
    <w:rsid w:val="00447B1B"/>
    <w:rsid w:val="00447C0A"/>
    <w:rsid w:val="00450368"/>
    <w:rsid w:val="00450649"/>
    <w:rsid w:val="00450BF1"/>
    <w:rsid w:val="004514FA"/>
    <w:rsid w:val="0045210F"/>
    <w:rsid w:val="004521FA"/>
    <w:rsid w:val="00452253"/>
    <w:rsid w:val="00452B19"/>
    <w:rsid w:val="00453050"/>
    <w:rsid w:val="004533B4"/>
    <w:rsid w:val="00453CA2"/>
    <w:rsid w:val="00453F1B"/>
    <w:rsid w:val="0045410F"/>
    <w:rsid w:val="0045468D"/>
    <w:rsid w:val="00454A0C"/>
    <w:rsid w:val="00455021"/>
    <w:rsid w:val="00455468"/>
    <w:rsid w:val="00455C17"/>
    <w:rsid w:val="00455C1E"/>
    <w:rsid w:val="00455F24"/>
    <w:rsid w:val="00455FAC"/>
    <w:rsid w:val="0045614D"/>
    <w:rsid w:val="0045615A"/>
    <w:rsid w:val="004561F2"/>
    <w:rsid w:val="00456F79"/>
    <w:rsid w:val="00457432"/>
    <w:rsid w:val="00457458"/>
    <w:rsid w:val="0046062F"/>
    <w:rsid w:val="00460724"/>
    <w:rsid w:val="00460BFA"/>
    <w:rsid w:val="00460D0A"/>
    <w:rsid w:val="00460F79"/>
    <w:rsid w:val="0046150C"/>
    <w:rsid w:val="0046179C"/>
    <w:rsid w:val="0046204B"/>
    <w:rsid w:val="004621F2"/>
    <w:rsid w:val="00462822"/>
    <w:rsid w:val="00462F93"/>
    <w:rsid w:val="00463092"/>
    <w:rsid w:val="004630D3"/>
    <w:rsid w:val="004636C1"/>
    <w:rsid w:val="00463A64"/>
    <w:rsid w:val="00463B99"/>
    <w:rsid w:val="00463D39"/>
    <w:rsid w:val="0046418B"/>
    <w:rsid w:val="004641BE"/>
    <w:rsid w:val="0046498D"/>
    <w:rsid w:val="00464BCD"/>
    <w:rsid w:val="004650A2"/>
    <w:rsid w:val="00465138"/>
    <w:rsid w:val="004659C0"/>
    <w:rsid w:val="00465B5D"/>
    <w:rsid w:val="00465BD0"/>
    <w:rsid w:val="00466688"/>
    <w:rsid w:val="00466C58"/>
    <w:rsid w:val="00466F73"/>
    <w:rsid w:val="0046719D"/>
    <w:rsid w:val="0046736A"/>
    <w:rsid w:val="004673B9"/>
    <w:rsid w:val="004676B6"/>
    <w:rsid w:val="004677FB"/>
    <w:rsid w:val="00470A86"/>
    <w:rsid w:val="00471142"/>
    <w:rsid w:val="004711D0"/>
    <w:rsid w:val="00471868"/>
    <w:rsid w:val="004720A3"/>
    <w:rsid w:val="0047257C"/>
    <w:rsid w:val="00472833"/>
    <w:rsid w:val="004729C1"/>
    <w:rsid w:val="00472F32"/>
    <w:rsid w:val="00473A5A"/>
    <w:rsid w:val="00473D9E"/>
    <w:rsid w:val="00474176"/>
    <w:rsid w:val="004747F7"/>
    <w:rsid w:val="004747FD"/>
    <w:rsid w:val="00474812"/>
    <w:rsid w:val="0047486B"/>
    <w:rsid w:val="00474B27"/>
    <w:rsid w:val="00474CA3"/>
    <w:rsid w:val="00475085"/>
    <w:rsid w:val="0047533C"/>
    <w:rsid w:val="00475891"/>
    <w:rsid w:val="00475E28"/>
    <w:rsid w:val="00475F2D"/>
    <w:rsid w:val="00476070"/>
    <w:rsid w:val="00476664"/>
    <w:rsid w:val="004773F9"/>
    <w:rsid w:val="00477843"/>
    <w:rsid w:val="00477A57"/>
    <w:rsid w:val="00477C2D"/>
    <w:rsid w:val="00480C95"/>
    <w:rsid w:val="00481CCA"/>
    <w:rsid w:val="00481DD0"/>
    <w:rsid w:val="00481EAE"/>
    <w:rsid w:val="00482067"/>
    <w:rsid w:val="00482861"/>
    <w:rsid w:val="00482E26"/>
    <w:rsid w:val="00483059"/>
    <w:rsid w:val="00484356"/>
    <w:rsid w:val="004845AB"/>
    <w:rsid w:val="00484836"/>
    <w:rsid w:val="00484A31"/>
    <w:rsid w:val="00484FEF"/>
    <w:rsid w:val="00485221"/>
    <w:rsid w:val="0048550D"/>
    <w:rsid w:val="0048556B"/>
    <w:rsid w:val="00485892"/>
    <w:rsid w:val="004859F9"/>
    <w:rsid w:val="00485E7D"/>
    <w:rsid w:val="00486248"/>
    <w:rsid w:val="00486408"/>
    <w:rsid w:val="004866D8"/>
    <w:rsid w:val="004867DC"/>
    <w:rsid w:val="00486959"/>
    <w:rsid w:val="00486AB2"/>
    <w:rsid w:val="00486AD3"/>
    <w:rsid w:val="00486E09"/>
    <w:rsid w:val="00486E38"/>
    <w:rsid w:val="00487D4F"/>
    <w:rsid w:val="00487E50"/>
    <w:rsid w:val="00487F57"/>
    <w:rsid w:val="0049030E"/>
    <w:rsid w:val="004903FF"/>
    <w:rsid w:val="00490744"/>
    <w:rsid w:val="0049093B"/>
    <w:rsid w:val="00490A38"/>
    <w:rsid w:val="00490BDB"/>
    <w:rsid w:val="00490C19"/>
    <w:rsid w:val="00490DC5"/>
    <w:rsid w:val="004918EA"/>
    <w:rsid w:val="00492118"/>
    <w:rsid w:val="00492250"/>
    <w:rsid w:val="0049225B"/>
    <w:rsid w:val="00492D4A"/>
    <w:rsid w:val="00492FA8"/>
    <w:rsid w:val="004937C2"/>
    <w:rsid w:val="004937CF"/>
    <w:rsid w:val="00493AD3"/>
    <w:rsid w:val="00493D48"/>
    <w:rsid w:val="00494039"/>
    <w:rsid w:val="004945C2"/>
    <w:rsid w:val="004949DC"/>
    <w:rsid w:val="00494D3C"/>
    <w:rsid w:val="00495B37"/>
    <w:rsid w:val="00495F15"/>
    <w:rsid w:val="00496373"/>
    <w:rsid w:val="00496E0D"/>
    <w:rsid w:val="00496E45"/>
    <w:rsid w:val="004970B1"/>
    <w:rsid w:val="00497689"/>
    <w:rsid w:val="00497DA8"/>
    <w:rsid w:val="00497EFF"/>
    <w:rsid w:val="00497FA9"/>
    <w:rsid w:val="004A01D3"/>
    <w:rsid w:val="004A0B0F"/>
    <w:rsid w:val="004A0B12"/>
    <w:rsid w:val="004A1017"/>
    <w:rsid w:val="004A1112"/>
    <w:rsid w:val="004A11F5"/>
    <w:rsid w:val="004A12EC"/>
    <w:rsid w:val="004A1434"/>
    <w:rsid w:val="004A1657"/>
    <w:rsid w:val="004A193A"/>
    <w:rsid w:val="004A194D"/>
    <w:rsid w:val="004A22BB"/>
    <w:rsid w:val="004A2351"/>
    <w:rsid w:val="004A2960"/>
    <w:rsid w:val="004A321E"/>
    <w:rsid w:val="004A333E"/>
    <w:rsid w:val="004A409F"/>
    <w:rsid w:val="004A4244"/>
    <w:rsid w:val="004A46B4"/>
    <w:rsid w:val="004A4819"/>
    <w:rsid w:val="004A4C59"/>
    <w:rsid w:val="004A52F1"/>
    <w:rsid w:val="004A5C32"/>
    <w:rsid w:val="004A613A"/>
    <w:rsid w:val="004A68FD"/>
    <w:rsid w:val="004A69ED"/>
    <w:rsid w:val="004A6FCB"/>
    <w:rsid w:val="004A70E6"/>
    <w:rsid w:val="004A74D4"/>
    <w:rsid w:val="004A74D6"/>
    <w:rsid w:val="004A7543"/>
    <w:rsid w:val="004A7713"/>
    <w:rsid w:val="004B07D8"/>
    <w:rsid w:val="004B1411"/>
    <w:rsid w:val="004B2003"/>
    <w:rsid w:val="004B25D9"/>
    <w:rsid w:val="004B2D55"/>
    <w:rsid w:val="004B30BC"/>
    <w:rsid w:val="004B3757"/>
    <w:rsid w:val="004B3A6D"/>
    <w:rsid w:val="004B3DA2"/>
    <w:rsid w:val="004B3F66"/>
    <w:rsid w:val="004B4027"/>
    <w:rsid w:val="004B403F"/>
    <w:rsid w:val="004B49D8"/>
    <w:rsid w:val="004B4DCD"/>
    <w:rsid w:val="004B559C"/>
    <w:rsid w:val="004B5838"/>
    <w:rsid w:val="004B58E4"/>
    <w:rsid w:val="004B5D8A"/>
    <w:rsid w:val="004B637B"/>
    <w:rsid w:val="004B64AB"/>
    <w:rsid w:val="004B6662"/>
    <w:rsid w:val="004B673C"/>
    <w:rsid w:val="004B682B"/>
    <w:rsid w:val="004B6AA0"/>
    <w:rsid w:val="004B6B62"/>
    <w:rsid w:val="004B71EF"/>
    <w:rsid w:val="004B74D4"/>
    <w:rsid w:val="004C02A6"/>
    <w:rsid w:val="004C0835"/>
    <w:rsid w:val="004C091A"/>
    <w:rsid w:val="004C1913"/>
    <w:rsid w:val="004C1996"/>
    <w:rsid w:val="004C1E1A"/>
    <w:rsid w:val="004C2C17"/>
    <w:rsid w:val="004C378C"/>
    <w:rsid w:val="004C3DB5"/>
    <w:rsid w:val="004C402D"/>
    <w:rsid w:val="004C44CB"/>
    <w:rsid w:val="004C44FD"/>
    <w:rsid w:val="004C495A"/>
    <w:rsid w:val="004C49C9"/>
    <w:rsid w:val="004C4B7A"/>
    <w:rsid w:val="004C546F"/>
    <w:rsid w:val="004C57E2"/>
    <w:rsid w:val="004C5B5A"/>
    <w:rsid w:val="004C602B"/>
    <w:rsid w:val="004C653E"/>
    <w:rsid w:val="004C66FB"/>
    <w:rsid w:val="004C6E77"/>
    <w:rsid w:val="004C6EB7"/>
    <w:rsid w:val="004C7F3A"/>
    <w:rsid w:val="004D0E6D"/>
    <w:rsid w:val="004D100E"/>
    <w:rsid w:val="004D19F2"/>
    <w:rsid w:val="004D1A3A"/>
    <w:rsid w:val="004D1EA8"/>
    <w:rsid w:val="004D1EB3"/>
    <w:rsid w:val="004D1EFA"/>
    <w:rsid w:val="004D21C0"/>
    <w:rsid w:val="004D27DD"/>
    <w:rsid w:val="004D2E08"/>
    <w:rsid w:val="004D3EA0"/>
    <w:rsid w:val="004D4EEC"/>
    <w:rsid w:val="004D52E5"/>
    <w:rsid w:val="004D62F3"/>
    <w:rsid w:val="004D7389"/>
    <w:rsid w:val="004D73A5"/>
    <w:rsid w:val="004D7802"/>
    <w:rsid w:val="004D7A6A"/>
    <w:rsid w:val="004E01F4"/>
    <w:rsid w:val="004E048D"/>
    <w:rsid w:val="004E09C6"/>
    <w:rsid w:val="004E09D3"/>
    <w:rsid w:val="004E1648"/>
    <w:rsid w:val="004E1C85"/>
    <w:rsid w:val="004E22B4"/>
    <w:rsid w:val="004E2D56"/>
    <w:rsid w:val="004E2E26"/>
    <w:rsid w:val="004E3723"/>
    <w:rsid w:val="004E38F6"/>
    <w:rsid w:val="004E3BAD"/>
    <w:rsid w:val="004E3BBE"/>
    <w:rsid w:val="004E4382"/>
    <w:rsid w:val="004E493D"/>
    <w:rsid w:val="004E4DB6"/>
    <w:rsid w:val="004E58D0"/>
    <w:rsid w:val="004E5F30"/>
    <w:rsid w:val="004E6584"/>
    <w:rsid w:val="004E6967"/>
    <w:rsid w:val="004E6DE0"/>
    <w:rsid w:val="004E70F8"/>
    <w:rsid w:val="004E713C"/>
    <w:rsid w:val="004E731B"/>
    <w:rsid w:val="004E7387"/>
    <w:rsid w:val="004E77B3"/>
    <w:rsid w:val="004E782C"/>
    <w:rsid w:val="004F0149"/>
    <w:rsid w:val="004F04CB"/>
    <w:rsid w:val="004F0620"/>
    <w:rsid w:val="004F08A1"/>
    <w:rsid w:val="004F09D4"/>
    <w:rsid w:val="004F0A31"/>
    <w:rsid w:val="004F0F03"/>
    <w:rsid w:val="004F0F57"/>
    <w:rsid w:val="004F1069"/>
    <w:rsid w:val="004F19C5"/>
    <w:rsid w:val="004F2949"/>
    <w:rsid w:val="004F2B7F"/>
    <w:rsid w:val="004F2BAF"/>
    <w:rsid w:val="004F2C02"/>
    <w:rsid w:val="004F34FB"/>
    <w:rsid w:val="004F3A18"/>
    <w:rsid w:val="004F3AAA"/>
    <w:rsid w:val="004F4655"/>
    <w:rsid w:val="004F4BC9"/>
    <w:rsid w:val="004F5336"/>
    <w:rsid w:val="004F56F9"/>
    <w:rsid w:val="004F5772"/>
    <w:rsid w:val="004F5F45"/>
    <w:rsid w:val="004F6524"/>
    <w:rsid w:val="004F659D"/>
    <w:rsid w:val="004F6B96"/>
    <w:rsid w:val="004F7143"/>
    <w:rsid w:val="004F767B"/>
    <w:rsid w:val="004F7814"/>
    <w:rsid w:val="00500029"/>
    <w:rsid w:val="005001D0"/>
    <w:rsid w:val="00500A4B"/>
    <w:rsid w:val="00500D01"/>
    <w:rsid w:val="00500D97"/>
    <w:rsid w:val="00501355"/>
    <w:rsid w:val="00501633"/>
    <w:rsid w:val="00501937"/>
    <w:rsid w:val="00501D14"/>
    <w:rsid w:val="0050224F"/>
    <w:rsid w:val="00502811"/>
    <w:rsid w:val="005030E7"/>
    <w:rsid w:val="00503A76"/>
    <w:rsid w:val="0050422A"/>
    <w:rsid w:val="005044E4"/>
    <w:rsid w:val="005044FB"/>
    <w:rsid w:val="005045A0"/>
    <w:rsid w:val="00504637"/>
    <w:rsid w:val="00504917"/>
    <w:rsid w:val="005049EC"/>
    <w:rsid w:val="00504AC9"/>
    <w:rsid w:val="00504C18"/>
    <w:rsid w:val="00504C68"/>
    <w:rsid w:val="00504E8C"/>
    <w:rsid w:val="0050547E"/>
    <w:rsid w:val="00505759"/>
    <w:rsid w:val="00505BB1"/>
    <w:rsid w:val="00505DF1"/>
    <w:rsid w:val="00507011"/>
    <w:rsid w:val="00507219"/>
    <w:rsid w:val="005077EC"/>
    <w:rsid w:val="00510437"/>
    <w:rsid w:val="00510560"/>
    <w:rsid w:val="00510A6C"/>
    <w:rsid w:val="00510F3C"/>
    <w:rsid w:val="00511E44"/>
    <w:rsid w:val="00512A71"/>
    <w:rsid w:val="005136FA"/>
    <w:rsid w:val="00514002"/>
    <w:rsid w:val="0051425F"/>
    <w:rsid w:val="005148EE"/>
    <w:rsid w:val="005149E8"/>
    <w:rsid w:val="00514C19"/>
    <w:rsid w:val="00515F46"/>
    <w:rsid w:val="00516101"/>
    <w:rsid w:val="0051679B"/>
    <w:rsid w:val="00516C1A"/>
    <w:rsid w:val="00517522"/>
    <w:rsid w:val="0051770F"/>
    <w:rsid w:val="005200EE"/>
    <w:rsid w:val="005202E5"/>
    <w:rsid w:val="005205B6"/>
    <w:rsid w:val="00520B39"/>
    <w:rsid w:val="00520B97"/>
    <w:rsid w:val="00520F1E"/>
    <w:rsid w:val="0052150A"/>
    <w:rsid w:val="005215B0"/>
    <w:rsid w:val="005217AF"/>
    <w:rsid w:val="00521A38"/>
    <w:rsid w:val="00521BA3"/>
    <w:rsid w:val="00521CBB"/>
    <w:rsid w:val="00521F78"/>
    <w:rsid w:val="00522454"/>
    <w:rsid w:val="00522E70"/>
    <w:rsid w:val="00523068"/>
    <w:rsid w:val="005232E5"/>
    <w:rsid w:val="00523577"/>
    <w:rsid w:val="005237D9"/>
    <w:rsid w:val="005242B2"/>
    <w:rsid w:val="0052442D"/>
    <w:rsid w:val="00524C03"/>
    <w:rsid w:val="00524C99"/>
    <w:rsid w:val="00525155"/>
    <w:rsid w:val="00525473"/>
    <w:rsid w:val="005254B6"/>
    <w:rsid w:val="005254FA"/>
    <w:rsid w:val="00525A83"/>
    <w:rsid w:val="00525A8F"/>
    <w:rsid w:val="00525AF2"/>
    <w:rsid w:val="00525E37"/>
    <w:rsid w:val="00526E8A"/>
    <w:rsid w:val="00526F9C"/>
    <w:rsid w:val="00526FC9"/>
    <w:rsid w:val="0052718D"/>
    <w:rsid w:val="00527603"/>
    <w:rsid w:val="0052775E"/>
    <w:rsid w:val="00527A80"/>
    <w:rsid w:val="00527AD8"/>
    <w:rsid w:val="00527CF9"/>
    <w:rsid w:val="00530199"/>
    <w:rsid w:val="0053088E"/>
    <w:rsid w:val="00530DC9"/>
    <w:rsid w:val="0053187C"/>
    <w:rsid w:val="00531948"/>
    <w:rsid w:val="005319FD"/>
    <w:rsid w:val="00531CD0"/>
    <w:rsid w:val="005322AD"/>
    <w:rsid w:val="005324FB"/>
    <w:rsid w:val="00532647"/>
    <w:rsid w:val="00532717"/>
    <w:rsid w:val="0053277F"/>
    <w:rsid w:val="00532D43"/>
    <w:rsid w:val="005338E3"/>
    <w:rsid w:val="00533ACB"/>
    <w:rsid w:val="00533C08"/>
    <w:rsid w:val="00533D3E"/>
    <w:rsid w:val="00533D6E"/>
    <w:rsid w:val="00534507"/>
    <w:rsid w:val="00535457"/>
    <w:rsid w:val="0053555C"/>
    <w:rsid w:val="00535614"/>
    <w:rsid w:val="00536121"/>
    <w:rsid w:val="005364A1"/>
    <w:rsid w:val="00536C89"/>
    <w:rsid w:val="005400A4"/>
    <w:rsid w:val="00540FB7"/>
    <w:rsid w:val="00541303"/>
    <w:rsid w:val="00541495"/>
    <w:rsid w:val="00541DA4"/>
    <w:rsid w:val="00541DD9"/>
    <w:rsid w:val="00543622"/>
    <w:rsid w:val="00543F92"/>
    <w:rsid w:val="00544006"/>
    <w:rsid w:val="005443AD"/>
    <w:rsid w:val="00544533"/>
    <w:rsid w:val="0054465D"/>
    <w:rsid w:val="005447F5"/>
    <w:rsid w:val="00545037"/>
    <w:rsid w:val="00545045"/>
    <w:rsid w:val="005458CD"/>
    <w:rsid w:val="005469C9"/>
    <w:rsid w:val="00546B0F"/>
    <w:rsid w:val="005470AC"/>
    <w:rsid w:val="00550389"/>
    <w:rsid w:val="005503B5"/>
    <w:rsid w:val="0055046C"/>
    <w:rsid w:val="00550658"/>
    <w:rsid w:val="005506B7"/>
    <w:rsid w:val="00550796"/>
    <w:rsid w:val="0055094F"/>
    <w:rsid w:val="005509B1"/>
    <w:rsid w:val="005512F8"/>
    <w:rsid w:val="00551388"/>
    <w:rsid w:val="00551838"/>
    <w:rsid w:val="00552776"/>
    <w:rsid w:val="005529B1"/>
    <w:rsid w:val="00552E7E"/>
    <w:rsid w:val="00552F98"/>
    <w:rsid w:val="00553047"/>
    <w:rsid w:val="0055327C"/>
    <w:rsid w:val="005535A3"/>
    <w:rsid w:val="0055369A"/>
    <w:rsid w:val="00553996"/>
    <w:rsid w:val="00553BDB"/>
    <w:rsid w:val="00553C29"/>
    <w:rsid w:val="00553C5C"/>
    <w:rsid w:val="005540A8"/>
    <w:rsid w:val="00554C44"/>
    <w:rsid w:val="005550CE"/>
    <w:rsid w:val="0055537F"/>
    <w:rsid w:val="00555CBC"/>
    <w:rsid w:val="0055641E"/>
    <w:rsid w:val="0055643E"/>
    <w:rsid w:val="0055679C"/>
    <w:rsid w:val="0055680D"/>
    <w:rsid w:val="00556EB4"/>
    <w:rsid w:val="00557673"/>
    <w:rsid w:val="005576BA"/>
    <w:rsid w:val="0056033D"/>
    <w:rsid w:val="0056036C"/>
    <w:rsid w:val="00560400"/>
    <w:rsid w:val="00560D41"/>
    <w:rsid w:val="005614C1"/>
    <w:rsid w:val="00561637"/>
    <w:rsid w:val="005618C0"/>
    <w:rsid w:val="0056226C"/>
    <w:rsid w:val="0056226F"/>
    <w:rsid w:val="005622F2"/>
    <w:rsid w:val="005625F4"/>
    <w:rsid w:val="00562875"/>
    <w:rsid w:val="00562903"/>
    <w:rsid w:val="00562CCE"/>
    <w:rsid w:val="005632E9"/>
    <w:rsid w:val="005639E3"/>
    <w:rsid w:val="00563DDF"/>
    <w:rsid w:val="0056431A"/>
    <w:rsid w:val="0056442D"/>
    <w:rsid w:val="00564862"/>
    <w:rsid w:val="0056539F"/>
    <w:rsid w:val="00565A78"/>
    <w:rsid w:val="00565A91"/>
    <w:rsid w:val="00565FC9"/>
    <w:rsid w:val="00565FDB"/>
    <w:rsid w:val="00566C5C"/>
    <w:rsid w:val="005670A2"/>
    <w:rsid w:val="00567FC3"/>
    <w:rsid w:val="005711E7"/>
    <w:rsid w:val="005712DF"/>
    <w:rsid w:val="00571A42"/>
    <w:rsid w:val="00572038"/>
    <w:rsid w:val="00572205"/>
    <w:rsid w:val="005723EC"/>
    <w:rsid w:val="00572679"/>
    <w:rsid w:val="00572E9F"/>
    <w:rsid w:val="00573C0E"/>
    <w:rsid w:val="00573DF6"/>
    <w:rsid w:val="00573FBB"/>
    <w:rsid w:val="005743F0"/>
    <w:rsid w:val="00574734"/>
    <w:rsid w:val="00574ADA"/>
    <w:rsid w:val="00575BCC"/>
    <w:rsid w:val="005761B4"/>
    <w:rsid w:val="0057679C"/>
    <w:rsid w:val="00576913"/>
    <w:rsid w:val="0057698D"/>
    <w:rsid w:val="00576A10"/>
    <w:rsid w:val="00576B4A"/>
    <w:rsid w:val="0057711A"/>
    <w:rsid w:val="005773AB"/>
    <w:rsid w:val="00577461"/>
    <w:rsid w:val="0057774F"/>
    <w:rsid w:val="0057795F"/>
    <w:rsid w:val="005800B7"/>
    <w:rsid w:val="00580202"/>
    <w:rsid w:val="005808FA"/>
    <w:rsid w:val="00580B01"/>
    <w:rsid w:val="00580DB0"/>
    <w:rsid w:val="0058137A"/>
    <w:rsid w:val="00581ADD"/>
    <w:rsid w:val="00581C1A"/>
    <w:rsid w:val="00582A69"/>
    <w:rsid w:val="00582AA4"/>
    <w:rsid w:val="005831B9"/>
    <w:rsid w:val="0058347D"/>
    <w:rsid w:val="005837E4"/>
    <w:rsid w:val="00583A7E"/>
    <w:rsid w:val="00584CE6"/>
    <w:rsid w:val="00584F4E"/>
    <w:rsid w:val="005856BA"/>
    <w:rsid w:val="005858D2"/>
    <w:rsid w:val="005859B3"/>
    <w:rsid w:val="005860C2"/>
    <w:rsid w:val="00586DAA"/>
    <w:rsid w:val="00587611"/>
    <w:rsid w:val="005876B3"/>
    <w:rsid w:val="0059106D"/>
    <w:rsid w:val="005913C3"/>
    <w:rsid w:val="00591681"/>
    <w:rsid w:val="00591EC2"/>
    <w:rsid w:val="005920B7"/>
    <w:rsid w:val="005922C1"/>
    <w:rsid w:val="00592CAD"/>
    <w:rsid w:val="00592D0B"/>
    <w:rsid w:val="00592D76"/>
    <w:rsid w:val="0059336C"/>
    <w:rsid w:val="00593B0F"/>
    <w:rsid w:val="00593C77"/>
    <w:rsid w:val="00593EDC"/>
    <w:rsid w:val="00594289"/>
    <w:rsid w:val="00594EF7"/>
    <w:rsid w:val="00594F23"/>
    <w:rsid w:val="00595A73"/>
    <w:rsid w:val="00595B6F"/>
    <w:rsid w:val="005962EA"/>
    <w:rsid w:val="005967C0"/>
    <w:rsid w:val="0059703D"/>
    <w:rsid w:val="00597800"/>
    <w:rsid w:val="005A01FB"/>
    <w:rsid w:val="005A097A"/>
    <w:rsid w:val="005A1A3F"/>
    <w:rsid w:val="005A1D22"/>
    <w:rsid w:val="005A1EE1"/>
    <w:rsid w:val="005A1F4C"/>
    <w:rsid w:val="005A260B"/>
    <w:rsid w:val="005A264D"/>
    <w:rsid w:val="005A27CC"/>
    <w:rsid w:val="005A28F2"/>
    <w:rsid w:val="005A28FD"/>
    <w:rsid w:val="005A4307"/>
    <w:rsid w:val="005A43C7"/>
    <w:rsid w:val="005A4994"/>
    <w:rsid w:val="005A5077"/>
    <w:rsid w:val="005A5944"/>
    <w:rsid w:val="005A5C85"/>
    <w:rsid w:val="005A6340"/>
    <w:rsid w:val="005A6AFA"/>
    <w:rsid w:val="005A6B1F"/>
    <w:rsid w:val="005A7049"/>
    <w:rsid w:val="005A70FD"/>
    <w:rsid w:val="005A7196"/>
    <w:rsid w:val="005A7BFB"/>
    <w:rsid w:val="005A7DC7"/>
    <w:rsid w:val="005B01BA"/>
    <w:rsid w:val="005B06B1"/>
    <w:rsid w:val="005B0ACC"/>
    <w:rsid w:val="005B0BB9"/>
    <w:rsid w:val="005B0BE9"/>
    <w:rsid w:val="005B0F03"/>
    <w:rsid w:val="005B1EE7"/>
    <w:rsid w:val="005B2085"/>
    <w:rsid w:val="005B24EE"/>
    <w:rsid w:val="005B2C49"/>
    <w:rsid w:val="005B2F55"/>
    <w:rsid w:val="005B2F80"/>
    <w:rsid w:val="005B30F8"/>
    <w:rsid w:val="005B31E3"/>
    <w:rsid w:val="005B3E6B"/>
    <w:rsid w:val="005B40A4"/>
    <w:rsid w:val="005B4137"/>
    <w:rsid w:val="005B4466"/>
    <w:rsid w:val="005B49A2"/>
    <w:rsid w:val="005B4F12"/>
    <w:rsid w:val="005B5845"/>
    <w:rsid w:val="005B69FA"/>
    <w:rsid w:val="005B75DF"/>
    <w:rsid w:val="005B7C8F"/>
    <w:rsid w:val="005C055F"/>
    <w:rsid w:val="005C0984"/>
    <w:rsid w:val="005C0B97"/>
    <w:rsid w:val="005C0D29"/>
    <w:rsid w:val="005C1133"/>
    <w:rsid w:val="005C1376"/>
    <w:rsid w:val="005C1C28"/>
    <w:rsid w:val="005C204D"/>
    <w:rsid w:val="005C209B"/>
    <w:rsid w:val="005C2109"/>
    <w:rsid w:val="005C24E0"/>
    <w:rsid w:val="005C257C"/>
    <w:rsid w:val="005C267D"/>
    <w:rsid w:val="005C275C"/>
    <w:rsid w:val="005C2AD0"/>
    <w:rsid w:val="005C2AE3"/>
    <w:rsid w:val="005C2CFE"/>
    <w:rsid w:val="005C366B"/>
    <w:rsid w:val="005C36FA"/>
    <w:rsid w:val="005C38C4"/>
    <w:rsid w:val="005C3E39"/>
    <w:rsid w:val="005C405F"/>
    <w:rsid w:val="005C48EB"/>
    <w:rsid w:val="005C4A14"/>
    <w:rsid w:val="005C4C18"/>
    <w:rsid w:val="005C4E3A"/>
    <w:rsid w:val="005C4F64"/>
    <w:rsid w:val="005C5388"/>
    <w:rsid w:val="005C5C7D"/>
    <w:rsid w:val="005C61CB"/>
    <w:rsid w:val="005C6253"/>
    <w:rsid w:val="005C651A"/>
    <w:rsid w:val="005C6DAE"/>
    <w:rsid w:val="005C717B"/>
    <w:rsid w:val="005C744D"/>
    <w:rsid w:val="005C7585"/>
    <w:rsid w:val="005C7AA3"/>
    <w:rsid w:val="005D0EF6"/>
    <w:rsid w:val="005D12D0"/>
    <w:rsid w:val="005D1845"/>
    <w:rsid w:val="005D1872"/>
    <w:rsid w:val="005D29B0"/>
    <w:rsid w:val="005D2D39"/>
    <w:rsid w:val="005D3034"/>
    <w:rsid w:val="005D3187"/>
    <w:rsid w:val="005D33AB"/>
    <w:rsid w:val="005D343E"/>
    <w:rsid w:val="005D3464"/>
    <w:rsid w:val="005D35B9"/>
    <w:rsid w:val="005D3B7F"/>
    <w:rsid w:val="005D44EA"/>
    <w:rsid w:val="005D46BE"/>
    <w:rsid w:val="005D4A49"/>
    <w:rsid w:val="005D4D01"/>
    <w:rsid w:val="005D4D9F"/>
    <w:rsid w:val="005D4F3E"/>
    <w:rsid w:val="005D5C2B"/>
    <w:rsid w:val="005D5E04"/>
    <w:rsid w:val="005D5F3A"/>
    <w:rsid w:val="005D623A"/>
    <w:rsid w:val="005D62A7"/>
    <w:rsid w:val="005D654A"/>
    <w:rsid w:val="005D75D1"/>
    <w:rsid w:val="005D7837"/>
    <w:rsid w:val="005D7D58"/>
    <w:rsid w:val="005E0051"/>
    <w:rsid w:val="005E0467"/>
    <w:rsid w:val="005E0477"/>
    <w:rsid w:val="005E0A48"/>
    <w:rsid w:val="005E0D4B"/>
    <w:rsid w:val="005E140B"/>
    <w:rsid w:val="005E19B7"/>
    <w:rsid w:val="005E1AA1"/>
    <w:rsid w:val="005E1B85"/>
    <w:rsid w:val="005E20BC"/>
    <w:rsid w:val="005E2853"/>
    <w:rsid w:val="005E2BB9"/>
    <w:rsid w:val="005E2C01"/>
    <w:rsid w:val="005E2D9E"/>
    <w:rsid w:val="005E33A3"/>
    <w:rsid w:val="005E3534"/>
    <w:rsid w:val="005E3A94"/>
    <w:rsid w:val="005E3CD0"/>
    <w:rsid w:val="005E3D9B"/>
    <w:rsid w:val="005E3E7E"/>
    <w:rsid w:val="005E4307"/>
    <w:rsid w:val="005E4628"/>
    <w:rsid w:val="005E5728"/>
    <w:rsid w:val="005E5A48"/>
    <w:rsid w:val="005E5BE5"/>
    <w:rsid w:val="005E678B"/>
    <w:rsid w:val="005E6A5F"/>
    <w:rsid w:val="005E6E0E"/>
    <w:rsid w:val="005E721E"/>
    <w:rsid w:val="005E7399"/>
    <w:rsid w:val="005E74EE"/>
    <w:rsid w:val="005F043F"/>
    <w:rsid w:val="005F0517"/>
    <w:rsid w:val="005F065C"/>
    <w:rsid w:val="005F09E4"/>
    <w:rsid w:val="005F0CE5"/>
    <w:rsid w:val="005F0E0A"/>
    <w:rsid w:val="005F2256"/>
    <w:rsid w:val="005F2367"/>
    <w:rsid w:val="005F2912"/>
    <w:rsid w:val="005F321F"/>
    <w:rsid w:val="005F34EC"/>
    <w:rsid w:val="005F3A48"/>
    <w:rsid w:val="005F3A5E"/>
    <w:rsid w:val="005F3D7C"/>
    <w:rsid w:val="005F3FAE"/>
    <w:rsid w:val="005F4373"/>
    <w:rsid w:val="005F43C0"/>
    <w:rsid w:val="005F4CFF"/>
    <w:rsid w:val="005F4EAB"/>
    <w:rsid w:val="005F57BB"/>
    <w:rsid w:val="005F594A"/>
    <w:rsid w:val="005F595C"/>
    <w:rsid w:val="005F6E67"/>
    <w:rsid w:val="005F6F5B"/>
    <w:rsid w:val="005F7062"/>
    <w:rsid w:val="005F7786"/>
    <w:rsid w:val="005F782B"/>
    <w:rsid w:val="005F7E93"/>
    <w:rsid w:val="0060006B"/>
    <w:rsid w:val="00600196"/>
    <w:rsid w:val="0060048B"/>
    <w:rsid w:val="0060050F"/>
    <w:rsid w:val="00600F48"/>
    <w:rsid w:val="0060211A"/>
    <w:rsid w:val="00602161"/>
    <w:rsid w:val="00603721"/>
    <w:rsid w:val="006054C0"/>
    <w:rsid w:val="00605A3D"/>
    <w:rsid w:val="00606097"/>
    <w:rsid w:val="00606451"/>
    <w:rsid w:val="00606D8B"/>
    <w:rsid w:val="00607221"/>
    <w:rsid w:val="006072AF"/>
    <w:rsid w:val="00607A19"/>
    <w:rsid w:val="00607BE8"/>
    <w:rsid w:val="006100D8"/>
    <w:rsid w:val="00610CEF"/>
    <w:rsid w:val="00611074"/>
    <w:rsid w:val="00611C6D"/>
    <w:rsid w:val="00611C71"/>
    <w:rsid w:val="00611FA4"/>
    <w:rsid w:val="006122F6"/>
    <w:rsid w:val="00612A55"/>
    <w:rsid w:val="00612B47"/>
    <w:rsid w:val="0061349E"/>
    <w:rsid w:val="00613892"/>
    <w:rsid w:val="00613B60"/>
    <w:rsid w:val="00613BDE"/>
    <w:rsid w:val="00613F20"/>
    <w:rsid w:val="006142C0"/>
    <w:rsid w:val="006144D7"/>
    <w:rsid w:val="006147CC"/>
    <w:rsid w:val="00614978"/>
    <w:rsid w:val="00614A19"/>
    <w:rsid w:val="00614C42"/>
    <w:rsid w:val="00614D03"/>
    <w:rsid w:val="006152C4"/>
    <w:rsid w:val="006169ED"/>
    <w:rsid w:val="00616ABE"/>
    <w:rsid w:val="00616EAF"/>
    <w:rsid w:val="00616F94"/>
    <w:rsid w:val="0061709E"/>
    <w:rsid w:val="0061738F"/>
    <w:rsid w:val="00617CFE"/>
    <w:rsid w:val="00617EF7"/>
    <w:rsid w:val="00617FD4"/>
    <w:rsid w:val="0062048F"/>
    <w:rsid w:val="0062063B"/>
    <w:rsid w:val="006206DF"/>
    <w:rsid w:val="0062080F"/>
    <w:rsid w:val="006213C3"/>
    <w:rsid w:val="00622405"/>
    <w:rsid w:val="0062270F"/>
    <w:rsid w:val="00622D3A"/>
    <w:rsid w:val="00622DDF"/>
    <w:rsid w:val="00623263"/>
    <w:rsid w:val="006233E4"/>
    <w:rsid w:val="00623610"/>
    <w:rsid w:val="00623887"/>
    <w:rsid w:val="006239C7"/>
    <w:rsid w:val="006240B8"/>
    <w:rsid w:val="006241D9"/>
    <w:rsid w:val="006249F8"/>
    <w:rsid w:val="00624D54"/>
    <w:rsid w:val="00625366"/>
    <w:rsid w:val="00625550"/>
    <w:rsid w:val="00626649"/>
    <w:rsid w:val="0062684C"/>
    <w:rsid w:val="0062697C"/>
    <w:rsid w:val="006269FF"/>
    <w:rsid w:val="00626BAE"/>
    <w:rsid w:val="006272A4"/>
    <w:rsid w:val="006272CE"/>
    <w:rsid w:val="00627905"/>
    <w:rsid w:val="00627D91"/>
    <w:rsid w:val="006308E2"/>
    <w:rsid w:val="00630AE6"/>
    <w:rsid w:val="006316FE"/>
    <w:rsid w:val="006318E6"/>
    <w:rsid w:val="00631C7B"/>
    <w:rsid w:val="00631D65"/>
    <w:rsid w:val="00631D67"/>
    <w:rsid w:val="00631DC8"/>
    <w:rsid w:val="00631E6D"/>
    <w:rsid w:val="00632698"/>
    <w:rsid w:val="0063287E"/>
    <w:rsid w:val="00632A8A"/>
    <w:rsid w:val="00632D7B"/>
    <w:rsid w:val="00633255"/>
    <w:rsid w:val="0063329D"/>
    <w:rsid w:val="0063350A"/>
    <w:rsid w:val="006335D9"/>
    <w:rsid w:val="0063385F"/>
    <w:rsid w:val="006339DC"/>
    <w:rsid w:val="00633C7B"/>
    <w:rsid w:val="00634006"/>
    <w:rsid w:val="0063448D"/>
    <w:rsid w:val="006345AE"/>
    <w:rsid w:val="00634A57"/>
    <w:rsid w:val="00635FDA"/>
    <w:rsid w:val="0063719D"/>
    <w:rsid w:val="00637C84"/>
    <w:rsid w:val="00637F76"/>
    <w:rsid w:val="006400E3"/>
    <w:rsid w:val="006400FB"/>
    <w:rsid w:val="0064092E"/>
    <w:rsid w:val="00640B65"/>
    <w:rsid w:val="00640BA1"/>
    <w:rsid w:val="00640E69"/>
    <w:rsid w:val="006411B9"/>
    <w:rsid w:val="006412A1"/>
    <w:rsid w:val="0064147A"/>
    <w:rsid w:val="006419BC"/>
    <w:rsid w:val="006423A9"/>
    <w:rsid w:val="00642582"/>
    <w:rsid w:val="0064307F"/>
    <w:rsid w:val="00643129"/>
    <w:rsid w:val="00643140"/>
    <w:rsid w:val="006435EE"/>
    <w:rsid w:val="006440F3"/>
    <w:rsid w:val="006441C1"/>
    <w:rsid w:val="00644233"/>
    <w:rsid w:val="006443FE"/>
    <w:rsid w:val="00644A98"/>
    <w:rsid w:val="00644C35"/>
    <w:rsid w:val="00645004"/>
    <w:rsid w:val="00645685"/>
    <w:rsid w:val="006456FB"/>
    <w:rsid w:val="0064574F"/>
    <w:rsid w:val="00645C1E"/>
    <w:rsid w:val="00646F9A"/>
    <w:rsid w:val="00647342"/>
    <w:rsid w:val="0064748C"/>
    <w:rsid w:val="00647EEF"/>
    <w:rsid w:val="00650587"/>
    <w:rsid w:val="006508E5"/>
    <w:rsid w:val="00650E3A"/>
    <w:rsid w:val="00650F8F"/>
    <w:rsid w:val="00651393"/>
    <w:rsid w:val="0065167F"/>
    <w:rsid w:val="00651E11"/>
    <w:rsid w:val="00652256"/>
    <w:rsid w:val="00652774"/>
    <w:rsid w:val="006529C0"/>
    <w:rsid w:val="00652F89"/>
    <w:rsid w:val="00653518"/>
    <w:rsid w:val="0065402B"/>
    <w:rsid w:val="00654605"/>
    <w:rsid w:val="006551AA"/>
    <w:rsid w:val="00655412"/>
    <w:rsid w:val="00655804"/>
    <w:rsid w:val="0065580D"/>
    <w:rsid w:val="0065617B"/>
    <w:rsid w:val="0065666A"/>
    <w:rsid w:val="00656CF9"/>
    <w:rsid w:val="00656F1B"/>
    <w:rsid w:val="006570FD"/>
    <w:rsid w:val="006574BB"/>
    <w:rsid w:val="00657955"/>
    <w:rsid w:val="00657C6A"/>
    <w:rsid w:val="00657DB1"/>
    <w:rsid w:val="00657FE9"/>
    <w:rsid w:val="00660132"/>
    <w:rsid w:val="00660584"/>
    <w:rsid w:val="006607C7"/>
    <w:rsid w:val="0066098D"/>
    <w:rsid w:val="00661545"/>
    <w:rsid w:val="006615E2"/>
    <w:rsid w:val="00661644"/>
    <w:rsid w:val="00661D8D"/>
    <w:rsid w:val="00661F93"/>
    <w:rsid w:val="00662412"/>
    <w:rsid w:val="006625B6"/>
    <w:rsid w:val="006638DF"/>
    <w:rsid w:val="00663952"/>
    <w:rsid w:val="00663E87"/>
    <w:rsid w:val="0066463F"/>
    <w:rsid w:val="00664A59"/>
    <w:rsid w:val="00665246"/>
    <w:rsid w:val="0066554C"/>
    <w:rsid w:val="00665709"/>
    <w:rsid w:val="0066591A"/>
    <w:rsid w:val="00665A48"/>
    <w:rsid w:val="00665C6B"/>
    <w:rsid w:val="0066609B"/>
    <w:rsid w:val="00666170"/>
    <w:rsid w:val="006662D4"/>
    <w:rsid w:val="006665C3"/>
    <w:rsid w:val="00666742"/>
    <w:rsid w:val="006668C4"/>
    <w:rsid w:val="00666C88"/>
    <w:rsid w:val="00666DB0"/>
    <w:rsid w:val="00666F76"/>
    <w:rsid w:val="0066709D"/>
    <w:rsid w:val="006678E1"/>
    <w:rsid w:val="006679F2"/>
    <w:rsid w:val="00667CB8"/>
    <w:rsid w:val="0067037C"/>
    <w:rsid w:val="006705BC"/>
    <w:rsid w:val="00670860"/>
    <w:rsid w:val="00670CFF"/>
    <w:rsid w:val="00672232"/>
    <w:rsid w:val="006727C6"/>
    <w:rsid w:val="006727DD"/>
    <w:rsid w:val="006729B7"/>
    <w:rsid w:val="00672BB1"/>
    <w:rsid w:val="00672C73"/>
    <w:rsid w:val="00672D23"/>
    <w:rsid w:val="00672DE0"/>
    <w:rsid w:val="0067320E"/>
    <w:rsid w:val="006734E8"/>
    <w:rsid w:val="00673634"/>
    <w:rsid w:val="00673C73"/>
    <w:rsid w:val="00674023"/>
    <w:rsid w:val="0067435D"/>
    <w:rsid w:val="00674A5E"/>
    <w:rsid w:val="00674B08"/>
    <w:rsid w:val="006750FC"/>
    <w:rsid w:val="00675A76"/>
    <w:rsid w:val="00675DA7"/>
    <w:rsid w:val="00675E29"/>
    <w:rsid w:val="00675E3B"/>
    <w:rsid w:val="00675FBD"/>
    <w:rsid w:val="006766FA"/>
    <w:rsid w:val="00676C97"/>
    <w:rsid w:val="00677233"/>
    <w:rsid w:val="00677B50"/>
    <w:rsid w:val="00677BA9"/>
    <w:rsid w:val="00677C1A"/>
    <w:rsid w:val="00677D75"/>
    <w:rsid w:val="00677E18"/>
    <w:rsid w:val="006808CD"/>
    <w:rsid w:val="006811FA"/>
    <w:rsid w:val="00681C90"/>
    <w:rsid w:val="0068264B"/>
    <w:rsid w:val="00682962"/>
    <w:rsid w:val="00682C89"/>
    <w:rsid w:val="006835D0"/>
    <w:rsid w:val="0068402E"/>
    <w:rsid w:val="00684424"/>
    <w:rsid w:val="00684D63"/>
    <w:rsid w:val="006852AD"/>
    <w:rsid w:val="0068574D"/>
    <w:rsid w:val="00686508"/>
    <w:rsid w:val="006866B1"/>
    <w:rsid w:val="006867E4"/>
    <w:rsid w:val="00686DA4"/>
    <w:rsid w:val="00687363"/>
    <w:rsid w:val="00690264"/>
    <w:rsid w:val="006904CB"/>
    <w:rsid w:val="006904FE"/>
    <w:rsid w:val="0069079B"/>
    <w:rsid w:val="006910CC"/>
    <w:rsid w:val="0069140E"/>
    <w:rsid w:val="00693598"/>
    <w:rsid w:val="00693736"/>
    <w:rsid w:val="00693B9A"/>
    <w:rsid w:val="00693D5D"/>
    <w:rsid w:val="00693D81"/>
    <w:rsid w:val="00695117"/>
    <w:rsid w:val="006957E5"/>
    <w:rsid w:val="006958D9"/>
    <w:rsid w:val="00695E6E"/>
    <w:rsid w:val="00695FC5"/>
    <w:rsid w:val="006961D9"/>
    <w:rsid w:val="0069632F"/>
    <w:rsid w:val="00696784"/>
    <w:rsid w:val="00696AB7"/>
    <w:rsid w:val="00697C70"/>
    <w:rsid w:val="00697EF3"/>
    <w:rsid w:val="006A13AC"/>
    <w:rsid w:val="006A14C6"/>
    <w:rsid w:val="006A178A"/>
    <w:rsid w:val="006A1918"/>
    <w:rsid w:val="006A1CBB"/>
    <w:rsid w:val="006A2975"/>
    <w:rsid w:val="006A2CC2"/>
    <w:rsid w:val="006A389A"/>
    <w:rsid w:val="006A3DA4"/>
    <w:rsid w:val="006A4021"/>
    <w:rsid w:val="006A4307"/>
    <w:rsid w:val="006A450F"/>
    <w:rsid w:val="006A456B"/>
    <w:rsid w:val="006A47F6"/>
    <w:rsid w:val="006A4815"/>
    <w:rsid w:val="006A4A39"/>
    <w:rsid w:val="006A4F7A"/>
    <w:rsid w:val="006A5403"/>
    <w:rsid w:val="006A57E1"/>
    <w:rsid w:val="006A59F5"/>
    <w:rsid w:val="006A5E14"/>
    <w:rsid w:val="006A654A"/>
    <w:rsid w:val="006A6896"/>
    <w:rsid w:val="006A6BBD"/>
    <w:rsid w:val="006A6FC1"/>
    <w:rsid w:val="006A724A"/>
    <w:rsid w:val="006A72F0"/>
    <w:rsid w:val="006A7F4D"/>
    <w:rsid w:val="006B1227"/>
    <w:rsid w:val="006B124F"/>
    <w:rsid w:val="006B1273"/>
    <w:rsid w:val="006B1F7A"/>
    <w:rsid w:val="006B1FC7"/>
    <w:rsid w:val="006B2660"/>
    <w:rsid w:val="006B2C36"/>
    <w:rsid w:val="006B34CE"/>
    <w:rsid w:val="006B391D"/>
    <w:rsid w:val="006B3B01"/>
    <w:rsid w:val="006B3EA5"/>
    <w:rsid w:val="006B438C"/>
    <w:rsid w:val="006B460A"/>
    <w:rsid w:val="006B47ED"/>
    <w:rsid w:val="006B49B0"/>
    <w:rsid w:val="006B49FD"/>
    <w:rsid w:val="006B522E"/>
    <w:rsid w:val="006B5946"/>
    <w:rsid w:val="006B6431"/>
    <w:rsid w:val="006B6A39"/>
    <w:rsid w:val="006B6C99"/>
    <w:rsid w:val="006B6FEE"/>
    <w:rsid w:val="006B706C"/>
    <w:rsid w:val="006B7185"/>
    <w:rsid w:val="006B7F0E"/>
    <w:rsid w:val="006C02FD"/>
    <w:rsid w:val="006C09DC"/>
    <w:rsid w:val="006C0CDD"/>
    <w:rsid w:val="006C0D51"/>
    <w:rsid w:val="006C103F"/>
    <w:rsid w:val="006C1194"/>
    <w:rsid w:val="006C188C"/>
    <w:rsid w:val="006C1B48"/>
    <w:rsid w:val="006C214B"/>
    <w:rsid w:val="006C21B0"/>
    <w:rsid w:val="006C26E9"/>
    <w:rsid w:val="006C2D82"/>
    <w:rsid w:val="006C3561"/>
    <w:rsid w:val="006C3978"/>
    <w:rsid w:val="006C39A5"/>
    <w:rsid w:val="006C40E9"/>
    <w:rsid w:val="006C4464"/>
    <w:rsid w:val="006C4AEF"/>
    <w:rsid w:val="006C4E65"/>
    <w:rsid w:val="006C5084"/>
    <w:rsid w:val="006C5413"/>
    <w:rsid w:val="006C665A"/>
    <w:rsid w:val="006C676F"/>
    <w:rsid w:val="006C755A"/>
    <w:rsid w:val="006C77FC"/>
    <w:rsid w:val="006C794E"/>
    <w:rsid w:val="006C79C7"/>
    <w:rsid w:val="006C7BC2"/>
    <w:rsid w:val="006D0111"/>
    <w:rsid w:val="006D01A0"/>
    <w:rsid w:val="006D0A93"/>
    <w:rsid w:val="006D0B3B"/>
    <w:rsid w:val="006D208C"/>
    <w:rsid w:val="006D2291"/>
    <w:rsid w:val="006D275D"/>
    <w:rsid w:val="006D298E"/>
    <w:rsid w:val="006D2EDC"/>
    <w:rsid w:val="006D305C"/>
    <w:rsid w:val="006D3338"/>
    <w:rsid w:val="006D3567"/>
    <w:rsid w:val="006D36C1"/>
    <w:rsid w:val="006D3816"/>
    <w:rsid w:val="006D3941"/>
    <w:rsid w:val="006D449B"/>
    <w:rsid w:val="006D456C"/>
    <w:rsid w:val="006D5210"/>
    <w:rsid w:val="006D547A"/>
    <w:rsid w:val="006D5574"/>
    <w:rsid w:val="006D58A0"/>
    <w:rsid w:val="006D5F8C"/>
    <w:rsid w:val="006D64D9"/>
    <w:rsid w:val="006D65ED"/>
    <w:rsid w:val="006D6760"/>
    <w:rsid w:val="006D6B9D"/>
    <w:rsid w:val="006D6BA8"/>
    <w:rsid w:val="006D6C83"/>
    <w:rsid w:val="006D6DB6"/>
    <w:rsid w:val="006D6DE7"/>
    <w:rsid w:val="006D739F"/>
    <w:rsid w:val="006D748B"/>
    <w:rsid w:val="006D7830"/>
    <w:rsid w:val="006D7926"/>
    <w:rsid w:val="006D7A6C"/>
    <w:rsid w:val="006E0129"/>
    <w:rsid w:val="006E0712"/>
    <w:rsid w:val="006E1098"/>
    <w:rsid w:val="006E10E3"/>
    <w:rsid w:val="006E1EF7"/>
    <w:rsid w:val="006E23E0"/>
    <w:rsid w:val="006E27A7"/>
    <w:rsid w:val="006E27A8"/>
    <w:rsid w:val="006E2951"/>
    <w:rsid w:val="006E2E26"/>
    <w:rsid w:val="006E2EF0"/>
    <w:rsid w:val="006E3505"/>
    <w:rsid w:val="006E381C"/>
    <w:rsid w:val="006E3ABE"/>
    <w:rsid w:val="006E3BAD"/>
    <w:rsid w:val="006E3D84"/>
    <w:rsid w:val="006E429B"/>
    <w:rsid w:val="006E4809"/>
    <w:rsid w:val="006E4841"/>
    <w:rsid w:val="006E4BAE"/>
    <w:rsid w:val="006E4EAE"/>
    <w:rsid w:val="006E575F"/>
    <w:rsid w:val="006E5842"/>
    <w:rsid w:val="006E5AB9"/>
    <w:rsid w:val="006E5D59"/>
    <w:rsid w:val="006E5F00"/>
    <w:rsid w:val="006E624D"/>
    <w:rsid w:val="006E6398"/>
    <w:rsid w:val="006E661F"/>
    <w:rsid w:val="006E6CB8"/>
    <w:rsid w:val="006E6EBC"/>
    <w:rsid w:val="006E74C8"/>
    <w:rsid w:val="006E78A6"/>
    <w:rsid w:val="006E7B6E"/>
    <w:rsid w:val="006F085B"/>
    <w:rsid w:val="006F0C74"/>
    <w:rsid w:val="006F15D3"/>
    <w:rsid w:val="006F1649"/>
    <w:rsid w:val="006F17D8"/>
    <w:rsid w:val="006F194E"/>
    <w:rsid w:val="006F1EAB"/>
    <w:rsid w:val="006F2365"/>
    <w:rsid w:val="006F2518"/>
    <w:rsid w:val="006F26AB"/>
    <w:rsid w:val="006F3177"/>
    <w:rsid w:val="006F3C07"/>
    <w:rsid w:val="006F3D86"/>
    <w:rsid w:val="006F4169"/>
    <w:rsid w:val="006F42E1"/>
    <w:rsid w:val="006F4517"/>
    <w:rsid w:val="006F50CC"/>
    <w:rsid w:val="006F523E"/>
    <w:rsid w:val="006F59D9"/>
    <w:rsid w:val="006F6293"/>
    <w:rsid w:val="006F633B"/>
    <w:rsid w:val="006F64A7"/>
    <w:rsid w:val="006F64EE"/>
    <w:rsid w:val="006F67F0"/>
    <w:rsid w:val="006F6869"/>
    <w:rsid w:val="006F7019"/>
    <w:rsid w:val="006F71CC"/>
    <w:rsid w:val="006F7249"/>
    <w:rsid w:val="006F7298"/>
    <w:rsid w:val="006F747E"/>
    <w:rsid w:val="006F788C"/>
    <w:rsid w:val="007008C7"/>
    <w:rsid w:val="00700970"/>
    <w:rsid w:val="00702588"/>
    <w:rsid w:val="00702699"/>
    <w:rsid w:val="00702909"/>
    <w:rsid w:val="00702986"/>
    <w:rsid w:val="00702ADC"/>
    <w:rsid w:val="00703364"/>
    <w:rsid w:val="00703599"/>
    <w:rsid w:val="00703775"/>
    <w:rsid w:val="00703A4E"/>
    <w:rsid w:val="00703B31"/>
    <w:rsid w:val="00704203"/>
    <w:rsid w:val="00704717"/>
    <w:rsid w:val="00704CD4"/>
    <w:rsid w:val="00704DA8"/>
    <w:rsid w:val="007050D2"/>
    <w:rsid w:val="00705510"/>
    <w:rsid w:val="007059ED"/>
    <w:rsid w:val="00705BE8"/>
    <w:rsid w:val="00705D24"/>
    <w:rsid w:val="00706EAD"/>
    <w:rsid w:val="00707DDE"/>
    <w:rsid w:val="00707F18"/>
    <w:rsid w:val="00710A29"/>
    <w:rsid w:val="00710BCB"/>
    <w:rsid w:val="00710F79"/>
    <w:rsid w:val="00711246"/>
    <w:rsid w:val="00711357"/>
    <w:rsid w:val="00711561"/>
    <w:rsid w:val="00711F38"/>
    <w:rsid w:val="00711FA0"/>
    <w:rsid w:val="00712024"/>
    <w:rsid w:val="007123F5"/>
    <w:rsid w:val="00712CE3"/>
    <w:rsid w:val="00713058"/>
    <w:rsid w:val="007134EE"/>
    <w:rsid w:val="00713538"/>
    <w:rsid w:val="00713E4A"/>
    <w:rsid w:val="00714826"/>
    <w:rsid w:val="007154B2"/>
    <w:rsid w:val="00715790"/>
    <w:rsid w:val="0071592F"/>
    <w:rsid w:val="00715F53"/>
    <w:rsid w:val="00716697"/>
    <w:rsid w:val="00716882"/>
    <w:rsid w:val="00716B1C"/>
    <w:rsid w:val="007173BA"/>
    <w:rsid w:val="007177EA"/>
    <w:rsid w:val="00717895"/>
    <w:rsid w:val="0072002C"/>
    <w:rsid w:val="007207E9"/>
    <w:rsid w:val="0072091C"/>
    <w:rsid w:val="00720B42"/>
    <w:rsid w:val="00721258"/>
    <w:rsid w:val="007216F2"/>
    <w:rsid w:val="0072243B"/>
    <w:rsid w:val="00722558"/>
    <w:rsid w:val="0072258F"/>
    <w:rsid w:val="007227F7"/>
    <w:rsid w:val="0072286C"/>
    <w:rsid w:val="00722AC8"/>
    <w:rsid w:val="007232CB"/>
    <w:rsid w:val="0072387E"/>
    <w:rsid w:val="00723F5F"/>
    <w:rsid w:val="00723F92"/>
    <w:rsid w:val="00724FC3"/>
    <w:rsid w:val="00725348"/>
    <w:rsid w:val="0072583E"/>
    <w:rsid w:val="00725A78"/>
    <w:rsid w:val="0072616B"/>
    <w:rsid w:val="00726321"/>
    <w:rsid w:val="00726374"/>
    <w:rsid w:val="007265BD"/>
    <w:rsid w:val="0072723B"/>
    <w:rsid w:val="007276D3"/>
    <w:rsid w:val="00727B84"/>
    <w:rsid w:val="00727C8C"/>
    <w:rsid w:val="00730288"/>
    <w:rsid w:val="007302C8"/>
    <w:rsid w:val="00730371"/>
    <w:rsid w:val="007303DB"/>
    <w:rsid w:val="00730436"/>
    <w:rsid w:val="007304A3"/>
    <w:rsid w:val="00730922"/>
    <w:rsid w:val="0073172C"/>
    <w:rsid w:val="00731B23"/>
    <w:rsid w:val="007323D9"/>
    <w:rsid w:val="0073262A"/>
    <w:rsid w:val="00732904"/>
    <w:rsid w:val="0073292A"/>
    <w:rsid w:val="00733455"/>
    <w:rsid w:val="007337BF"/>
    <w:rsid w:val="007339A2"/>
    <w:rsid w:val="00733B4D"/>
    <w:rsid w:val="00733DD2"/>
    <w:rsid w:val="00733E3D"/>
    <w:rsid w:val="00734328"/>
    <w:rsid w:val="0073458E"/>
    <w:rsid w:val="00734941"/>
    <w:rsid w:val="00735646"/>
    <w:rsid w:val="0073580F"/>
    <w:rsid w:val="00735E3D"/>
    <w:rsid w:val="0073637E"/>
    <w:rsid w:val="00736390"/>
    <w:rsid w:val="007368EB"/>
    <w:rsid w:val="007377B2"/>
    <w:rsid w:val="00737944"/>
    <w:rsid w:val="00737C1C"/>
    <w:rsid w:val="00737F7C"/>
    <w:rsid w:val="00737FF4"/>
    <w:rsid w:val="007404E6"/>
    <w:rsid w:val="007408E4"/>
    <w:rsid w:val="00740D4C"/>
    <w:rsid w:val="00740F86"/>
    <w:rsid w:val="00740FCD"/>
    <w:rsid w:val="00741045"/>
    <w:rsid w:val="00741633"/>
    <w:rsid w:val="00741B7B"/>
    <w:rsid w:val="00741FE2"/>
    <w:rsid w:val="0074200E"/>
    <w:rsid w:val="007426D7"/>
    <w:rsid w:val="00742AAA"/>
    <w:rsid w:val="00742C92"/>
    <w:rsid w:val="00742D80"/>
    <w:rsid w:val="00742FE2"/>
    <w:rsid w:val="00743DDD"/>
    <w:rsid w:val="0074403B"/>
    <w:rsid w:val="00744A28"/>
    <w:rsid w:val="00744EFE"/>
    <w:rsid w:val="007455E5"/>
    <w:rsid w:val="00745BA9"/>
    <w:rsid w:val="00746273"/>
    <w:rsid w:val="007462BE"/>
    <w:rsid w:val="007463C8"/>
    <w:rsid w:val="007463E9"/>
    <w:rsid w:val="00746436"/>
    <w:rsid w:val="00746AE0"/>
    <w:rsid w:val="00746B08"/>
    <w:rsid w:val="00746E8D"/>
    <w:rsid w:val="00747811"/>
    <w:rsid w:val="00747962"/>
    <w:rsid w:val="00747F2E"/>
    <w:rsid w:val="00750AF0"/>
    <w:rsid w:val="00750F63"/>
    <w:rsid w:val="0075145A"/>
    <w:rsid w:val="0075158F"/>
    <w:rsid w:val="00751811"/>
    <w:rsid w:val="007520C5"/>
    <w:rsid w:val="007520CE"/>
    <w:rsid w:val="00752178"/>
    <w:rsid w:val="007523A9"/>
    <w:rsid w:val="007527BD"/>
    <w:rsid w:val="00752DF9"/>
    <w:rsid w:val="007530B5"/>
    <w:rsid w:val="007534CD"/>
    <w:rsid w:val="00753C3E"/>
    <w:rsid w:val="007540ED"/>
    <w:rsid w:val="00755B16"/>
    <w:rsid w:val="00755D5C"/>
    <w:rsid w:val="00755FC4"/>
    <w:rsid w:val="007567AF"/>
    <w:rsid w:val="00756A92"/>
    <w:rsid w:val="00756D57"/>
    <w:rsid w:val="00756D71"/>
    <w:rsid w:val="0075788A"/>
    <w:rsid w:val="00757965"/>
    <w:rsid w:val="00757A72"/>
    <w:rsid w:val="00757FA9"/>
    <w:rsid w:val="007602FA"/>
    <w:rsid w:val="0076046E"/>
    <w:rsid w:val="007605B3"/>
    <w:rsid w:val="00760BDD"/>
    <w:rsid w:val="00760C14"/>
    <w:rsid w:val="00760C83"/>
    <w:rsid w:val="00760D08"/>
    <w:rsid w:val="00761C6C"/>
    <w:rsid w:val="007620F4"/>
    <w:rsid w:val="00762404"/>
    <w:rsid w:val="00762621"/>
    <w:rsid w:val="00763779"/>
    <w:rsid w:val="007639B9"/>
    <w:rsid w:val="00763C1A"/>
    <w:rsid w:val="00763CAC"/>
    <w:rsid w:val="00763D04"/>
    <w:rsid w:val="00763D68"/>
    <w:rsid w:val="00765632"/>
    <w:rsid w:val="0076589C"/>
    <w:rsid w:val="00766331"/>
    <w:rsid w:val="00766446"/>
    <w:rsid w:val="00766641"/>
    <w:rsid w:val="00766796"/>
    <w:rsid w:val="00766AD2"/>
    <w:rsid w:val="00766ED2"/>
    <w:rsid w:val="007676F8"/>
    <w:rsid w:val="00767B4C"/>
    <w:rsid w:val="00767D55"/>
    <w:rsid w:val="007705B9"/>
    <w:rsid w:val="00770B92"/>
    <w:rsid w:val="00770C07"/>
    <w:rsid w:val="00770F31"/>
    <w:rsid w:val="0077117C"/>
    <w:rsid w:val="0077140E"/>
    <w:rsid w:val="00771C50"/>
    <w:rsid w:val="00772245"/>
    <w:rsid w:val="00772394"/>
    <w:rsid w:val="007726F2"/>
    <w:rsid w:val="00772931"/>
    <w:rsid w:val="00772BBE"/>
    <w:rsid w:val="00772CF0"/>
    <w:rsid w:val="0077343C"/>
    <w:rsid w:val="00773B1E"/>
    <w:rsid w:val="00773BF4"/>
    <w:rsid w:val="00773C6C"/>
    <w:rsid w:val="00773CC7"/>
    <w:rsid w:val="00773D3A"/>
    <w:rsid w:val="0077423E"/>
    <w:rsid w:val="0077442E"/>
    <w:rsid w:val="00774C9A"/>
    <w:rsid w:val="0077531E"/>
    <w:rsid w:val="00775418"/>
    <w:rsid w:val="007756C9"/>
    <w:rsid w:val="0077582E"/>
    <w:rsid w:val="0077614D"/>
    <w:rsid w:val="007768C2"/>
    <w:rsid w:val="00776ADD"/>
    <w:rsid w:val="00776BB2"/>
    <w:rsid w:val="007776E0"/>
    <w:rsid w:val="007777FD"/>
    <w:rsid w:val="00777C27"/>
    <w:rsid w:val="00780965"/>
    <w:rsid w:val="00781146"/>
    <w:rsid w:val="00781233"/>
    <w:rsid w:val="0078185D"/>
    <w:rsid w:val="007818A3"/>
    <w:rsid w:val="00782128"/>
    <w:rsid w:val="00782347"/>
    <w:rsid w:val="0078289A"/>
    <w:rsid w:val="007834E8"/>
    <w:rsid w:val="007837D1"/>
    <w:rsid w:val="00783A11"/>
    <w:rsid w:val="00783B84"/>
    <w:rsid w:val="00783E37"/>
    <w:rsid w:val="007843AA"/>
    <w:rsid w:val="00784570"/>
    <w:rsid w:val="00784A79"/>
    <w:rsid w:val="00785DA3"/>
    <w:rsid w:val="00786210"/>
    <w:rsid w:val="00786315"/>
    <w:rsid w:val="00786826"/>
    <w:rsid w:val="00786E25"/>
    <w:rsid w:val="007878C3"/>
    <w:rsid w:val="00787E5F"/>
    <w:rsid w:val="00790055"/>
    <w:rsid w:val="007901FE"/>
    <w:rsid w:val="00790A7E"/>
    <w:rsid w:val="00790E0B"/>
    <w:rsid w:val="00791659"/>
    <w:rsid w:val="00791CAF"/>
    <w:rsid w:val="00791EC4"/>
    <w:rsid w:val="00792292"/>
    <w:rsid w:val="00792C2B"/>
    <w:rsid w:val="00792C8F"/>
    <w:rsid w:val="0079339D"/>
    <w:rsid w:val="007936C9"/>
    <w:rsid w:val="007938C6"/>
    <w:rsid w:val="00793F1B"/>
    <w:rsid w:val="00794004"/>
    <w:rsid w:val="00794782"/>
    <w:rsid w:val="00794C9F"/>
    <w:rsid w:val="00794E0F"/>
    <w:rsid w:val="0079533F"/>
    <w:rsid w:val="00795633"/>
    <w:rsid w:val="0079572A"/>
    <w:rsid w:val="00795D7D"/>
    <w:rsid w:val="0079633E"/>
    <w:rsid w:val="007968E9"/>
    <w:rsid w:val="00796E2B"/>
    <w:rsid w:val="00796EBB"/>
    <w:rsid w:val="00797464"/>
    <w:rsid w:val="0079757A"/>
    <w:rsid w:val="0079766D"/>
    <w:rsid w:val="00797D90"/>
    <w:rsid w:val="007A01E3"/>
    <w:rsid w:val="007A0490"/>
    <w:rsid w:val="007A0A06"/>
    <w:rsid w:val="007A0E3F"/>
    <w:rsid w:val="007A1447"/>
    <w:rsid w:val="007A182E"/>
    <w:rsid w:val="007A1BF4"/>
    <w:rsid w:val="007A1DE3"/>
    <w:rsid w:val="007A1E45"/>
    <w:rsid w:val="007A1EC4"/>
    <w:rsid w:val="007A296F"/>
    <w:rsid w:val="007A2C55"/>
    <w:rsid w:val="007A2E03"/>
    <w:rsid w:val="007A33CA"/>
    <w:rsid w:val="007A384D"/>
    <w:rsid w:val="007A38D1"/>
    <w:rsid w:val="007A41E0"/>
    <w:rsid w:val="007A4303"/>
    <w:rsid w:val="007A4C0D"/>
    <w:rsid w:val="007A516C"/>
    <w:rsid w:val="007A520D"/>
    <w:rsid w:val="007A59AE"/>
    <w:rsid w:val="007A5EC3"/>
    <w:rsid w:val="007A6284"/>
    <w:rsid w:val="007A6676"/>
    <w:rsid w:val="007A67F5"/>
    <w:rsid w:val="007A6B58"/>
    <w:rsid w:val="007A6C09"/>
    <w:rsid w:val="007A6C22"/>
    <w:rsid w:val="007A6EB5"/>
    <w:rsid w:val="007A6FC6"/>
    <w:rsid w:val="007A74D3"/>
    <w:rsid w:val="007A75BC"/>
    <w:rsid w:val="007A77FD"/>
    <w:rsid w:val="007A7B71"/>
    <w:rsid w:val="007A7E5F"/>
    <w:rsid w:val="007B0159"/>
    <w:rsid w:val="007B03C5"/>
    <w:rsid w:val="007B0864"/>
    <w:rsid w:val="007B08DA"/>
    <w:rsid w:val="007B09D8"/>
    <w:rsid w:val="007B0D04"/>
    <w:rsid w:val="007B18B3"/>
    <w:rsid w:val="007B1FF5"/>
    <w:rsid w:val="007B220F"/>
    <w:rsid w:val="007B269D"/>
    <w:rsid w:val="007B290A"/>
    <w:rsid w:val="007B31E6"/>
    <w:rsid w:val="007B348E"/>
    <w:rsid w:val="007B3CC9"/>
    <w:rsid w:val="007B3F77"/>
    <w:rsid w:val="007B4290"/>
    <w:rsid w:val="007B4574"/>
    <w:rsid w:val="007B5478"/>
    <w:rsid w:val="007B5D6B"/>
    <w:rsid w:val="007B600E"/>
    <w:rsid w:val="007B6091"/>
    <w:rsid w:val="007B6255"/>
    <w:rsid w:val="007B68E9"/>
    <w:rsid w:val="007B700A"/>
    <w:rsid w:val="007B7187"/>
    <w:rsid w:val="007B76DE"/>
    <w:rsid w:val="007B7805"/>
    <w:rsid w:val="007B7ED6"/>
    <w:rsid w:val="007C0362"/>
    <w:rsid w:val="007C0C68"/>
    <w:rsid w:val="007C1087"/>
    <w:rsid w:val="007C10E8"/>
    <w:rsid w:val="007C19CC"/>
    <w:rsid w:val="007C207F"/>
    <w:rsid w:val="007C2462"/>
    <w:rsid w:val="007C2ABE"/>
    <w:rsid w:val="007C3457"/>
    <w:rsid w:val="007C38A9"/>
    <w:rsid w:val="007C3B1A"/>
    <w:rsid w:val="007C4232"/>
    <w:rsid w:val="007C481E"/>
    <w:rsid w:val="007C510F"/>
    <w:rsid w:val="007C55A6"/>
    <w:rsid w:val="007C572E"/>
    <w:rsid w:val="007C5B45"/>
    <w:rsid w:val="007C5E9C"/>
    <w:rsid w:val="007C6294"/>
    <w:rsid w:val="007C64C1"/>
    <w:rsid w:val="007C6581"/>
    <w:rsid w:val="007C665E"/>
    <w:rsid w:val="007C6E0F"/>
    <w:rsid w:val="007C6FDE"/>
    <w:rsid w:val="007C7716"/>
    <w:rsid w:val="007C7A1E"/>
    <w:rsid w:val="007C7BBC"/>
    <w:rsid w:val="007C7BDC"/>
    <w:rsid w:val="007C7E58"/>
    <w:rsid w:val="007D0A1B"/>
    <w:rsid w:val="007D13E5"/>
    <w:rsid w:val="007D1E13"/>
    <w:rsid w:val="007D25AB"/>
    <w:rsid w:val="007D3393"/>
    <w:rsid w:val="007D3FDF"/>
    <w:rsid w:val="007D43DB"/>
    <w:rsid w:val="007D4883"/>
    <w:rsid w:val="007D4B84"/>
    <w:rsid w:val="007D5254"/>
    <w:rsid w:val="007D52F0"/>
    <w:rsid w:val="007D5631"/>
    <w:rsid w:val="007D5FEC"/>
    <w:rsid w:val="007D6A4C"/>
    <w:rsid w:val="007D6AAF"/>
    <w:rsid w:val="007D72A6"/>
    <w:rsid w:val="007D73C9"/>
    <w:rsid w:val="007D7E6F"/>
    <w:rsid w:val="007E0215"/>
    <w:rsid w:val="007E0611"/>
    <w:rsid w:val="007E08A2"/>
    <w:rsid w:val="007E0C57"/>
    <w:rsid w:val="007E0D58"/>
    <w:rsid w:val="007E0DFF"/>
    <w:rsid w:val="007E1186"/>
    <w:rsid w:val="007E11E4"/>
    <w:rsid w:val="007E1553"/>
    <w:rsid w:val="007E1969"/>
    <w:rsid w:val="007E1C5A"/>
    <w:rsid w:val="007E227D"/>
    <w:rsid w:val="007E2576"/>
    <w:rsid w:val="007E257A"/>
    <w:rsid w:val="007E27D7"/>
    <w:rsid w:val="007E2A1E"/>
    <w:rsid w:val="007E2AE8"/>
    <w:rsid w:val="007E32EB"/>
    <w:rsid w:val="007E3AD2"/>
    <w:rsid w:val="007E3C6D"/>
    <w:rsid w:val="007E4281"/>
    <w:rsid w:val="007E4535"/>
    <w:rsid w:val="007E4FAA"/>
    <w:rsid w:val="007E5B8D"/>
    <w:rsid w:val="007E5FFD"/>
    <w:rsid w:val="007E677F"/>
    <w:rsid w:val="007E6EE6"/>
    <w:rsid w:val="007E7335"/>
    <w:rsid w:val="007E7842"/>
    <w:rsid w:val="007F03EC"/>
    <w:rsid w:val="007F07E9"/>
    <w:rsid w:val="007F151F"/>
    <w:rsid w:val="007F1798"/>
    <w:rsid w:val="007F1B90"/>
    <w:rsid w:val="007F1BFE"/>
    <w:rsid w:val="007F1DCC"/>
    <w:rsid w:val="007F1FC2"/>
    <w:rsid w:val="007F2E3D"/>
    <w:rsid w:val="007F3276"/>
    <w:rsid w:val="007F3282"/>
    <w:rsid w:val="007F33D3"/>
    <w:rsid w:val="007F3887"/>
    <w:rsid w:val="007F39B7"/>
    <w:rsid w:val="007F3C4C"/>
    <w:rsid w:val="007F4390"/>
    <w:rsid w:val="007F459D"/>
    <w:rsid w:val="007F4759"/>
    <w:rsid w:val="007F4CBC"/>
    <w:rsid w:val="007F4F05"/>
    <w:rsid w:val="007F627D"/>
    <w:rsid w:val="007F686A"/>
    <w:rsid w:val="007F6887"/>
    <w:rsid w:val="007F6A4D"/>
    <w:rsid w:val="007F73AF"/>
    <w:rsid w:val="007F7419"/>
    <w:rsid w:val="00800093"/>
    <w:rsid w:val="00800F2B"/>
    <w:rsid w:val="0080118F"/>
    <w:rsid w:val="008015F9"/>
    <w:rsid w:val="00801D18"/>
    <w:rsid w:val="0080218E"/>
    <w:rsid w:val="00802812"/>
    <w:rsid w:val="00802DA8"/>
    <w:rsid w:val="00803031"/>
    <w:rsid w:val="008030B3"/>
    <w:rsid w:val="008034E7"/>
    <w:rsid w:val="0080371B"/>
    <w:rsid w:val="008038D7"/>
    <w:rsid w:val="00803D9E"/>
    <w:rsid w:val="00804179"/>
    <w:rsid w:val="00804190"/>
    <w:rsid w:val="0080428D"/>
    <w:rsid w:val="008042CB"/>
    <w:rsid w:val="00804C0B"/>
    <w:rsid w:val="00804D42"/>
    <w:rsid w:val="00805243"/>
    <w:rsid w:val="0080539A"/>
    <w:rsid w:val="00805466"/>
    <w:rsid w:val="00805C55"/>
    <w:rsid w:val="0080612D"/>
    <w:rsid w:val="00806401"/>
    <w:rsid w:val="0080654E"/>
    <w:rsid w:val="00806F35"/>
    <w:rsid w:val="00807083"/>
    <w:rsid w:val="00807098"/>
    <w:rsid w:val="00807800"/>
    <w:rsid w:val="00807E34"/>
    <w:rsid w:val="008100D8"/>
    <w:rsid w:val="008101A9"/>
    <w:rsid w:val="00810B2D"/>
    <w:rsid w:val="00810B90"/>
    <w:rsid w:val="00810DC9"/>
    <w:rsid w:val="00811326"/>
    <w:rsid w:val="0081168B"/>
    <w:rsid w:val="00811DB6"/>
    <w:rsid w:val="0081226D"/>
    <w:rsid w:val="00812540"/>
    <w:rsid w:val="0081275A"/>
    <w:rsid w:val="00812B82"/>
    <w:rsid w:val="00813814"/>
    <w:rsid w:val="00813D75"/>
    <w:rsid w:val="00813DCF"/>
    <w:rsid w:val="00814304"/>
    <w:rsid w:val="008146E1"/>
    <w:rsid w:val="0081499F"/>
    <w:rsid w:val="00814B0C"/>
    <w:rsid w:val="00814E1A"/>
    <w:rsid w:val="008150DA"/>
    <w:rsid w:val="00815C71"/>
    <w:rsid w:val="00816410"/>
    <w:rsid w:val="00816796"/>
    <w:rsid w:val="008169C3"/>
    <w:rsid w:val="00816B91"/>
    <w:rsid w:val="00817262"/>
    <w:rsid w:val="00817387"/>
    <w:rsid w:val="00817695"/>
    <w:rsid w:val="00817C85"/>
    <w:rsid w:val="00820186"/>
    <w:rsid w:val="0082055B"/>
    <w:rsid w:val="00820C6A"/>
    <w:rsid w:val="00820DBF"/>
    <w:rsid w:val="00821344"/>
    <w:rsid w:val="008215BC"/>
    <w:rsid w:val="008218EC"/>
    <w:rsid w:val="008219CB"/>
    <w:rsid w:val="00821A6A"/>
    <w:rsid w:val="008220C0"/>
    <w:rsid w:val="008223CD"/>
    <w:rsid w:val="00822BA7"/>
    <w:rsid w:val="00823A3A"/>
    <w:rsid w:val="00823DC0"/>
    <w:rsid w:val="00824CB7"/>
    <w:rsid w:val="00824D45"/>
    <w:rsid w:val="00825101"/>
    <w:rsid w:val="00825830"/>
    <w:rsid w:val="00826340"/>
    <w:rsid w:val="008273A7"/>
    <w:rsid w:val="008273E6"/>
    <w:rsid w:val="00827AEA"/>
    <w:rsid w:val="00830566"/>
    <w:rsid w:val="00831265"/>
    <w:rsid w:val="0083134D"/>
    <w:rsid w:val="008315C8"/>
    <w:rsid w:val="00831800"/>
    <w:rsid w:val="00831FEA"/>
    <w:rsid w:val="0083217B"/>
    <w:rsid w:val="0083236A"/>
    <w:rsid w:val="0083241B"/>
    <w:rsid w:val="008326FA"/>
    <w:rsid w:val="0083288C"/>
    <w:rsid w:val="00832A5B"/>
    <w:rsid w:val="00832C21"/>
    <w:rsid w:val="00832EF2"/>
    <w:rsid w:val="00832F01"/>
    <w:rsid w:val="00833473"/>
    <w:rsid w:val="008336FC"/>
    <w:rsid w:val="00833CA1"/>
    <w:rsid w:val="0083408F"/>
    <w:rsid w:val="00834580"/>
    <w:rsid w:val="00834C43"/>
    <w:rsid w:val="008352E4"/>
    <w:rsid w:val="00835E5F"/>
    <w:rsid w:val="00835FC1"/>
    <w:rsid w:val="00836EDF"/>
    <w:rsid w:val="00837A42"/>
    <w:rsid w:val="00837AC9"/>
    <w:rsid w:val="00840060"/>
    <w:rsid w:val="00840163"/>
    <w:rsid w:val="008402E6"/>
    <w:rsid w:val="00840319"/>
    <w:rsid w:val="008403C9"/>
    <w:rsid w:val="00840ABE"/>
    <w:rsid w:val="00840C12"/>
    <w:rsid w:val="0084118F"/>
    <w:rsid w:val="0084131C"/>
    <w:rsid w:val="00841C53"/>
    <w:rsid w:val="0084215C"/>
    <w:rsid w:val="00842244"/>
    <w:rsid w:val="00842519"/>
    <w:rsid w:val="00842624"/>
    <w:rsid w:val="00842B5E"/>
    <w:rsid w:val="00842BD0"/>
    <w:rsid w:val="00843018"/>
    <w:rsid w:val="00843113"/>
    <w:rsid w:val="0084318E"/>
    <w:rsid w:val="008441B9"/>
    <w:rsid w:val="008444F3"/>
    <w:rsid w:val="00844A76"/>
    <w:rsid w:val="0084507C"/>
    <w:rsid w:val="0084513D"/>
    <w:rsid w:val="00845998"/>
    <w:rsid w:val="008463D5"/>
    <w:rsid w:val="00846708"/>
    <w:rsid w:val="008467CC"/>
    <w:rsid w:val="00846915"/>
    <w:rsid w:val="00846DF7"/>
    <w:rsid w:val="00846F7E"/>
    <w:rsid w:val="00846F7F"/>
    <w:rsid w:val="00847A92"/>
    <w:rsid w:val="00847B3F"/>
    <w:rsid w:val="00847C93"/>
    <w:rsid w:val="008500E3"/>
    <w:rsid w:val="008505AD"/>
    <w:rsid w:val="008507B7"/>
    <w:rsid w:val="00851A16"/>
    <w:rsid w:val="00851D7A"/>
    <w:rsid w:val="00852044"/>
    <w:rsid w:val="008526B9"/>
    <w:rsid w:val="00852E6C"/>
    <w:rsid w:val="00852F07"/>
    <w:rsid w:val="00853029"/>
    <w:rsid w:val="00853A3E"/>
    <w:rsid w:val="00853C0B"/>
    <w:rsid w:val="00853C8F"/>
    <w:rsid w:val="008540AE"/>
    <w:rsid w:val="008540C7"/>
    <w:rsid w:val="00854366"/>
    <w:rsid w:val="008548DE"/>
    <w:rsid w:val="00854DD0"/>
    <w:rsid w:val="00854E1A"/>
    <w:rsid w:val="00855230"/>
    <w:rsid w:val="008553A2"/>
    <w:rsid w:val="008553B8"/>
    <w:rsid w:val="0085549E"/>
    <w:rsid w:val="008556A7"/>
    <w:rsid w:val="008557ED"/>
    <w:rsid w:val="00855EFE"/>
    <w:rsid w:val="00856927"/>
    <w:rsid w:val="00856BE5"/>
    <w:rsid w:val="00856E04"/>
    <w:rsid w:val="00857A14"/>
    <w:rsid w:val="00857B70"/>
    <w:rsid w:val="00857C4C"/>
    <w:rsid w:val="00860631"/>
    <w:rsid w:val="0086071C"/>
    <w:rsid w:val="008617C6"/>
    <w:rsid w:val="00862425"/>
    <w:rsid w:val="00862582"/>
    <w:rsid w:val="00862970"/>
    <w:rsid w:val="00862C4F"/>
    <w:rsid w:val="00863CE3"/>
    <w:rsid w:val="00863E96"/>
    <w:rsid w:val="008641A9"/>
    <w:rsid w:val="00864298"/>
    <w:rsid w:val="00864AB7"/>
    <w:rsid w:val="00864C77"/>
    <w:rsid w:val="00864C8C"/>
    <w:rsid w:val="00864D9B"/>
    <w:rsid w:val="0086501B"/>
    <w:rsid w:val="00865020"/>
    <w:rsid w:val="00865185"/>
    <w:rsid w:val="0086522B"/>
    <w:rsid w:val="008657DD"/>
    <w:rsid w:val="008657FB"/>
    <w:rsid w:val="008662CF"/>
    <w:rsid w:val="00866825"/>
    <w:rsid w:val="008674C1"/>
    <w:rsid w:val="008677CD"/>
    <w:rsid w:val="00867820"/>
    <w:rsid w:val="00867A4E"/>
    <w:rsid w:val="00867D9B"/>
    <w:rsid w:val="0087008C"/>
    <w:rsid w:val="0087064B"/>
    <w:rsid w:val="008707DC"/>
    <w:rsid w:val="00870D49"/>
    <w:rsid w:val="00871156"/>
    <w:rsid w:val="0087127D"/>
    <w:rsid w:val="00871A13"/>
    <w:rsid w:val="00871FB4"/>
    <w:rsid w:val="00872037"/>
    <w:rsid w:val="00872515"/>
    <w:rsid w:val="00872B01"/>
    <w:rsid w:val="00872BB4"/>
    <w:rsid w:val="00872FE1"/>
    <w:rsid w:val="00873164"/>
    <w:rsid w:val="0087409A"/>
    <w:rsid w:val="0087410D"/>
    <w:rsid w:val="008741AE"/>
    <w:rsid w:val="008746DF"/>
    <w:rsid w:val="008748D4"/>
    <w:rsid w:val="00874B40"/>
    <w:rsid w:val="00874F19"/>
    <w:rsid w:val="008758D7"/>
    <w:rsid w:val="00876860"/>
    <w:rsid w:val="00877388"/>
    <w:rsid w:val="00877483"/>
    <w:rsid w:val="008777CD"/>
    <w:rsid w:val="00877838"/>
    <w:rsid w:val="008801DD"/>
    <w:rsid w:val="0088038B"/>
    <w:rsid w:val="008805DE"/>
    <w:rsid w:val="00880956"/>
    <w:rsid w:val="00881022"/>
    <w:rsid w:val="00881289"/>
    <w:rsid w:val="00881357"/>
    <w:rsid w:val="008814CC"/>
    <w:rsid w:val="008815B5"/>
    <w:rsid w:val="00881AAA"/>
    <w:rsid w:val="00881B6B"/>
    <w:rsid w:val="00881DCD"/>
    <w:rsid w:val="008821B2"/>
    <w:rsid w:val="0088338A"/>
    <w:rsid w:val="008835C5"/>
    <w:rsid w:val="008839E8"/>
    <w:rsid w:val="00884FEF"/>
    <w:rsid w:val="0088546D"/>
    <w:rsid w:val="00885995"/>
    <w:rsid w:val="00885B07"/>
    <w:rsid w:val="00885B63"/>
    <w:rsid w:val="00886210"/>
    <w:rsid w:val="00886A54"/>
    <w:rsid w:val="00886C59"/>
    <w:rsid w:val="00886F53"/>
    <w:rsid w:val="00887871"/>
    <w:rsid w:val="00887C1E"/>
    <w:rsid w:val="00887FB8"/>
    <w:rsid w:val="008904CD"/>
    <w:rsid w:val="0089054D"/>
    <w:rsid w:val="00890559"/>
    <w:rsid w:val="008908BE"/>
    <w:rsid w:val="00891BEA"/>
    <w:rsid w:val="00891E8B"/>
    <w:rsid w:val="00891FA5"/>
    <w:rsid w:val="0089201C"/>
    <w:rsid w:val="008924C1"/>
    <w:rsid w:val="0089254E"/>
    <w:rsid w:val="00892FF3"/>
    <w:rsid w:val="00893093"/>
    <w:rsid w:val="008930DD"/>
    <w:rsid w:val="008934C5"/>
    <w:rsid w:val="00893720"/>
    <w:rsid w:val="00893DA6"/>
    <w:rsid w:val="00893E2E"/>
    <w:rsid w:val="008941F9"/>
    <w:rsid w:val="008945AC"/>
    <w:rsid w:val="00894C77"/>
    <w:rsid w:val="00894D5D"/>
    <w:rsid w:val="0089531A"/>
    <w:rsid w:val="00895453"/>
    <w:rsid w:val="00895A18"/>
    <w:rsid w:val="00896776"/>
    <w:rsid w:val="00897D7B"/>
    <w:rsid w:val="008A0719"/>
    <w:rsid w:val="008A09DE"/>
    <w:rsid w:val="008A0ECC"/>
    <w:rsid w:val="008A11CF"/>
    <w:rsid w:val="008A16F3"/>
    <w:rsid w:val="008A1F4A"/>
    <w:rsid w:val="008A23B2"/>
    <w:rsid w:val="008A248D"/>
    <w:rsid w:val="008A3294"/>
    <w:rsid w:val="008A3C31"/>
    <w:rsid w:val="008A40DB"/>
    <w:rsid w:val="008A4CF5"/>
    <w:rsid w:val="008A54CB"/>
    <w:rsid w:val="008A55BF"/>
    <w:rsid w:val="008A5EE4"/>
    <w:rsid w:val="008A62DE"/>
    <w:rsid w:val="008A695B"/>
    <w:rsid w:val="008A7292"/>
    <w:rsid w:val="008A7603"/>
    <w:rsid w:val="008A7ACD"/>
    <w:rsid w:val="008A7E09"/>
    <w:rsid w:val="008B0305"/>
    <w:rsid w:val="008B0397"/>
    <w:rsid w:val="008B0446"/>
    <w:rsid w:val="008B0A8F"/>
    <w:rsid w:val="008B0ACC"/>
    <w:rsid w:val="008B1023"/>
    <w:rsid w:val="008B1086"/>
    <w:rsid w:val="008B17F8"/>
    <w:rsid w:val="008B19A9"/>
    <w:rsid w:val="008B1A3B"/>
    <w:rsid w:val="008B1D9E"/>
    <w:rsid w:val="008B1E0C"/>
    <w:rsid w:val="008B1E69"/>
    <w:rsid w:val="008B2033"/>
    <w:rsid w:val="008B2AA4"/>
    <w:rsid w:val="008B2BCD"/>
    <w:rsid w:val="008B2CBA"/>
    <w:rsid w:val="008B30E2"/>
    <w:rsid w:val="008B360E"/>
    <w:rsid w:val="008B3A39"/>
    <w:rsid w:val="008B46E9"/>
    <w:rsid w:val="008B5291"/>
    <w:rsid w:val="008B5A2F"/>
    <w:rsid w:val="008B64B3"/>
    <w:rsid w:val="008B67D6"/>
    <w:rsid w:val="008B6A1B"/>
    <w:rsid w:val="008B6D41"/>
    <w:rsid w:val="008B70FF"/>
    <w:rsid w:val="008B73C1"/>
    <w:rsid w:val="008B7D5C"/>
    <w:rsid w:val="008C0320"/>
    <w:rsid w:val="008C096A"/>
    <w:rsid w:val="008C114F"/>
    <w:rsid w:val="008C18D5"/>
    <w:rsid w:val="008C1E3C"/>
    <w:rsid w:val="008C1F43"/>
    <w:rsid w:val="008C2176"/>
    <w:rsid w:val="008C22C6"/>
    <w:rsid w:val="008C25E6"/>
    <w:rsid w:val="008C2915"/>
    <w:rsid w:val="008C2CE5"/>
    <w:rsid w:val="008C2EE4"/>
    <w:rsid w:val="008C3A98"/>
    <w:rsid w:val="008C3DCA"/>
    <w:rsid w:val="008C43A7"/>
    <w:rsid w:val="008C5174"/>
    <w:rsid w:val="008C544F"/>
    <w:rsid w:val="008C5716"/>
    <w:rsid w:val="008C6BA2"/>
    <w:rsid w:val="008C7804"/>
    <w:rsid w:val="008C7AA1"/>
    <w:rsid w:val="008D058F"/>
    <w:rsid w:val="008D0DF8"/>
    <w:rsid w:val="008D12DC"/>
    <w:rsid w:val="008D1B88"/>
    <w:rsid w:val="008D1E32"/>
    <w:rsid w:val="008D2094"/>
    <w:rsid w:val="008D2160"/>
    <w:rsid w:val="008D2579"/>
    <w:rsid w:val="008D280C"/>
    <w:rsid w:val="008D2992"/>
    <w:rsid w:val="008D2BFC"/>
    <w:rsid w:val="008D2E1C"/>
    <w:rsid w:val="008D3009"/>
    <w:rsid w:val="008D3456"/>
    <w:rsid w:val="008D3805"/>
    <w:rsid w:val="008D392B"/>
    <w:rsid w:val="008D399C"/>
    <w:rsid w:val="008D3FD8"/>
    <w:rsid w:val="008D40E8"/>
    <w:rsid w:val="008D4391"/>
    <w:rsid w:val="008D46AA"/>
    <w:rsid w:val="008D5536"/>
    <w:rsid w:val="008D5A13"/>
    <w:rsid w:val="008D6325"/>
    <w:rsid w:val="008D6B7B"/>
    <w:rsid w:val="008D72AF"/>
    <w:rsid w:val="008D7B52"/>
    <w:rsid w:val="008E0005"/>
    <w:rsid w:val="008E0E22"/>
    <w:rsid w:val="008E0E88"/>
    <w:rsid w:val="008E1483"/>
    <w:rsid w:val="008E1827"/>
    <w:rsid w:val="008E1F9D"/>
    <w:rsid w:val="008E243C"/>
    <w:rsid w:val="008E27E0"/>
    <w:rsid w:val="008E2A66"/>
    <w:rsid w:val="008E2DFF"/>
    <w:rsid w:val="008E2E07"/>
    <w:rsid w:val="008E2F2F"/>
    <w:rsid w:val="008E3362"/>
    <w:rsid w:val="008E3770"/>
    <w:rsid w:val="008E3A2F"/>
    <w:rsid w:val="008E3DAC"/>
    <w:rsid w:val="008E3E2E"/>
    <w:rsid w:val="008E3EE0"/>
    <w:rsid w:val="008E3F11"/>
    <w:rsid w:val="008E44C4"/>
    <w:rsid w:val="008E4623"/>
    <w:rsid w:val="008E4EB1"/>
    <w:rsid w:val="008E5159"/>
    <w:rsid w:val="008E569B"/>
    <w:rsid w:val="008E58B0"/>
    <w:rsid w:val="008E58C1"/>
    <w:rsid w:val="008E5B27"/>
    <w:rsid w:val="008E6263"/>
    <w:rsid w:val="008E7167"/>
    <w:rsid w:val="008E71CF"/>
    <w:rsid w:val="008E7F2F"/>
    <w:rsid w:val="008F0631"/>
    <w:rsid w:val="008F134A"/>
    <w:rsid w:val="008F1744"/>
    <w:rsid w:val="008F17A2"/>
    <w:rsid w:val="008F1892"/>
    <w:rsid w:val="008F1E1C"/>
    <w:rsid w:val="008F25EA"/>
    <w:rsid w:val="008F2AFF"/>
    <w:rsid w:val="008F2ECD"/>
    <w:rsid w:val="008F2F2B"/>
    <w:rsid w:val="008F32BB"/>
    <w:rsid w:val="008F346D"/>
    <w:rsid w:val="008F39B7"/>
    <w:rsid w:val="008F3A1C"/>
    <w:rsid w:val="008F3D89"/>
    <w:rsid w:val="008F4065"/>
    <w:rsid w:val="008F45E6"/>
    <w:rsid w:val="008F4B52"/>
    <w:rsid w:val="008F5515"/>
    <w:rsid w:val="008F5866"/>
    <w:rsid w:val="008F598B"/>
    <w:rsid w:val="008F5D18"/>
    <w:rsid w:val="008F6339"/>
    <w:rsid w:val="008F6A5E"/>
    <w:rsid w:val="008F6B66"/>
    <w:rsid w:val="008F70E7"/>
    <w:rsid w:val="008F7508"/>
    <w:rsid w:val="008F7536"/>
    <w:rsid w:val="008F7823"/>
    <w:rsid w:val="008F783A"/>
    <w:rsid w:val="008F7A35"/>
    <w:rsid w:val="0090001D"/>
    <w:rsid w:val="00900425"/>
    <w:rsid w:val="0090053E"/>
    <w:rsid w:val="00900DE4"/>
    <w:rsid w:val="00900E83"/>
    <w:rsid w:val="009012B7"/>
    <w:rsid w:val="00903458"/>
    <w:rsid w:val="00903BE8"/>
    <w:rsid w:val="00903D51"/>
    <w:rsid w:val="0090454E"/>
    <w:rsid w:val="00904D3E"/>
    <w:rsid w:val="00905384"/>
    <w:rsid w:val="00905D05"/>
    <w:rsid w:val="00905E18"/>
    <w:rsid w:val="00906326"/>
    <w:rsid w:val="009064E0"/>
    <w:rsid w:val="00906878"/>
    <w:rsid w:val="009071DD"/>
    <w:rsid w:val="009071EB"/>
    <w:rsid w:val="00907276"/>
    <w:rsid w:val="00910223"/>
    <w:rsid w:val="0091053D"/>
    <w:rsid w:val="00910F44"/>
    <w:rsid w:val="0091102F"/>
    <w:rsid w:val="0091123A"/>
    <w:rsid w:val="00911653"/>
    <w:rsid w:val="009117C3"/>
    <w:rsid w:val="00911902"/>
    <w:rsid w:val="00911B23"/>
    <w:rsid w:val="0091204C"/>
    <w:rsid w:val="009120A1"/>
    <w:rsid w:val="00912764"/>
    <w:rsid w:val="00912877"/>
    <w:rsid w:val="00912959"/>
    <w:rsid w:val="00912964"/>
    <w:rsid w:val="00912A60"/>
    <w:rsid w:val="00913776"/>
    <w:rsid w:val="00913970"/>
    <w:rsid w:val="00913C41"/>
    <w:rsid w:val="00913F39"/>
    <w:rsid w:val="0091459D"/>
    <w:rsid w:val="00914B03"/>
    <w:rsid w:val="00914D75"/>
    <w:rsid w:val="0091559C"/>
    <w:rsid w:val="0091573B"/>
    <w:rsid w:val="009168E3"/>
    <w:rsid w:val="00916DBF"/>
    <w:rsid w:val="00917187"/>
    <w:rsid w:val="009178CB"/>
    <w:rsid w:val="00917BAC"/>
    <w:rsid w:val="00917E24"/>
    <w:rsid w:val="00920020"/>
    <w:rsid w:val="009203CF"/>
    <w:rsid w:val="009207A2"/>
    <w:rsid w:val="0092108A"/>
    <w:rsid w:val="009214E0"/>
    <w:rsid w:val="00921B3F"/>
    <w:rsid w:val="00921D1B"/>
    <w:rsid w:val="009220C4"/>
    <w:rsid w:val="009223AE"/>
    <w:rsid w:val="009226C0"/>
    <w:rsid w:val="00922D92"/>
    <w:rsid w:val="00922FE3"/>
    <w:rsid w:val="00923CA3"/>
    <w:rsid w:val="00924F9C"/>
    <w:rsid w:val="009250DE"/>
    <w:rsid w:val="00925840"/>
    <w:rsid w:val="00925ADB"/>
    <w:rsid w:val="00925C67"/>
    <w:rsid w:val="0092645E"/>
    <w:rsid w:val="00926B60"/>
    <w:rsid w:val="00927298"/>
    <w:rsid w:val="00927367"/>
    <w:rsid w:val="0092789E"/>
    <w:rsid w:val="00927AA0"/>
    <w:rsid w:val="00927B18"/>
    <w:rsid w:val="009300DB"/>
    <w:rsid w:val="009301A6"/>
    <w:rsid w:val="009309A5"/>
    <w:rsid w:val="00930B30"/>
    <w:rsid w:val="00930C86"/>
    <w:rsid w:val="00930EE3"/>
    <w:rsid w:val="00930FCC"/>
    <w:rsid w:val="009310D9"/>
    <w:rsid w:val="009313E4"/>
    <w:rsid w:val="00931573"/>
    <w:rsid w:val="0093270A"/>
    <w:rsid w:val="00932C47"/>
    <w:rsid w:val="00932E71"/>
    <w:rsid w:val="00932EF7"/>
    <w:rsid w:val="00933245"/>
    <w:rsid w:val="009334AD"/>
    <w:rsid w:val="00933963"/>
    <w:rsid w:val="00933C91"/>
    <w:rsid w:val="00933D2F"/>
    <w:rsid w:val="009347ED"/>
    <w:rsid w:val="009349DB"/>
    <w:rsid w:val="00934AB8"/>
    <w:rsid w:val="009351B5"/>
    <w:rsid w:val="009354B4"/>
    <w:rsid w:val="0093550B"/>
    <w:rsid w:val="00935A61"/>
    <w:rsid w:val="0093605F"/>
    <w:rsid w:val="009366AA"/>
    <w:rsid w:val="00936F2A"/>
    <w:rsid w:val="009377EC"/>
    <w:rsid w:val="009401B4"/>
    <w:rsid w:val="00940280"/>
    <w:rsid w:val="00940314"/>
    <w:rsid w:val="00940A61"/>
    <w:rsid w:val="009412F5"/>
    <w:rsid w:val="00941B84"/>
    <w:rsid w:val="00941CF9"/>
    <w:rsid w:val="00941EBA"/>
    <w:rsid w:val="00941F98"/>
    <w:rsid w:val="0094226F"/>
    <w:rsid w:val="009422AA"/>
    <w:rsid w:val="00942554"/>
    <w:rsid w:val="009434A7"/>
    <w:rsid w:val="00943685"/>
    <w:rsid w:val="00943882"/>
    <w:rsid w:val="00943EDB"/>
    <w:rsid w:val="00943EF6"/>
    <w:rsid w:val="009449D5"/>
    <w:rsid w:val="009455C9"/>
    <w:rsid w:val="0094577B"/>
    <w:rsid w:val="009457AC"/>
    <w:rsid w:val="00945A09"/>
    <w:rsid w:val="00945DC9"/>
    <w:rsid w:val="0094614B"/>
    <w:rsid w:val="00946E2D"/>
    <w:rsid w:val="00947AE9"/>
    <w:rsid w:val="00947BD6"/>
    <w:rsid w:val="00947E72"/>
    <w:rsid w:val="00947E8D"/>
    <w:rsid w:val="00947FD4"/>
    <w:rsid w:val="00950562"/>
    <w:rsid w:val="0095089E"/>
    <w:rsid w:val="00950E3C"/>
    <w:rsid w:val="00951888"/>
    <w:rsid w:val="00951BA3"/>
    <w:rsid w:val="00952B49"/>
    <w:rsid w:val="00953295"/>
    <w:rsid w:val="00953915"/>
    <w:rsid w:val="00953BAC"/>
    <w:rsid w:val="00954104"/>
    <w:rsid w:val="009549F8"/>
    <w:rsid w:val="00954A94"/>
    <w:rsid w:val="009550B2"/>
    <w:rsid w:val="00955172"/>
    <w:rsid w:val="009553EC"/>
    <w:rsid w:val="00956307"/>
    <w:rsid w:val="009565B0"/>
    <w:rsid w:val="009569D0"/>
    <w:rsid w:val="00956A1C"/>
    <w:rsid w:val="00957593"/>
    <w:rsid w:val="009579B8"/>
    <w:rsid w:val="00960353"/>
    <w:rsid w:val="00960903"/>
    <w:rsid w:val="00961080"/>
    <w:rsid w:val="009611C9"/>
    <w:rsid w:val="009617D6"/>
    <w:rsid w:val="00961921"/>
    <w:rsid w:val="00961B0A"/>
    <w:rsid w:val="00962441"/>
    <w:rsid w:val="00962562"/>
    <w:rsid w:val="009628B9"/>
    <w:rsid w:val="0096297E"/>
    <w:rsid w:val="009630B9"/>
    <w:rsid w:val="009630E7"/>
    <w:rsid w:val="0096415A"/>
    <w:rsid w:val="009642D4"/>
    <w:rsid w:val="009644B0"/>
    <w:rsid w:val="00964CD3"/>
    <w:rsid w:val="00965430"/>
    <w:rsid w:val="0096560B"/>
    <w:rsid w:val="009656FE"/>
    <w:rsid w:val="009668EA"/>
    <w:rsid w:val="00966E83"/>
    <w:rsid w:val="009672A0"/>
    <w:rsid w:val="00970126"/>
    <w:rsid w:val="00970BC6"/>
    <w:rsid w:val="00970CF9"/>
    <w:rsid w:val="00971287"/>
    <w:rsid w:val="00971696"/>
    <w:rsid w:val="00971B86"/>
    <w:rsid w:val="00971CA2"/>
    <w:rsid w:val="00972126"/>
    <w:rsid w:val="009726FC"/>
    <w:rsid w:val="00972821"/>
    <w:rsid w:val="009729EE"/>
    <w:rsid w:val="00972C7C"/>
    <w:rsid w:val="00972F06"/>
    <w:rsid w:val="009732BF"/>
    <w:rsid w:val="009732CE"/>
    <w:rsid w:val="0097385D"/>
    <w:rsid w:val="009739D1"/>
    <w:rsid w:val="00973A9C"/>
    <w:rsid w:val="00973ADA"/>
    <w:rsid w:val="00973DA9"/>
    <w:rsid w:val="0097430D"/>
    <w:rsid w:val="00975458"/>
    <w:rsid w:val="009754A3"/>
    <w:rsid w:val="00975707"/>
    <w:rsid w:val="009760ED"/>
    <w:rsid w:val="0097668E"/>
    <w:rsid w:val="0097683F"/>
    <w:rsid w:val="00976AB9"/>
    <w:rsid w:val="00976F0E"/>
    <w:rsid w:val="0097711D"/>
    <w:rsid w:val="0097724E"/>
    <w:rsid w:val="0097726C"/>
    <w:rsid w:val="0097742B"/>
    <w:rsid w:val="009777DA"/>
    <w:rsid w:val="009778D2"/>
    <w:rsid w:val="00977C01"/>
    <w:rsid w:val="00977D11"/>
    <w:rsid w:val="00980192"/>
    <w:rsid w:val="009802FC"/>
    <w:rsid w:val="0098033E"/>
    <w:rsid w:val="009804C6"/>
    <w:rsid w:val="00980A1B"/>
    <w:rsid w:val="00981459"/>
    <w:rsid w:val="00981BA8"/>
    <w:rsid w:val="00981F08"/>
    <w:rsid w:val="00981FDB"/>
    <w:rsid w:val="0098287C"/>
    <w:rsid w:val="0098288D"/>
    <w:rsid w:val="009834D0"/>
    <w:rsid w:val="00983671"/>
    <w:rsid w:val="00983AA7"/>
    <w:rsid w:val="00984492"/>
    <w:rsid w:val="009844F4"/>
    <w:rsid w:val="00984703"/>
    <w:rsid w:val="00984983"/>
    <w:rsid w:val="009856BD"/>
    <w:rsid w:val="00985776"/>
    <w:rsid w:val="009858D7"/>
    <w:rsid w:val="00990CAD"/>
    <w:rsid w:val="00990E6A"/>
    <w:rsid w:val="00991143"/>
    <w:rsid w:val="00991208"/>
    <w:rsid w:val="0099158E"/>
    <w:rsid w:val="00991645"/>
    <w:rsid w:val="00992258"/>
    <w:rsid w:val="009923B0"/>
    <w:rsid w:val="009926BF"/>
    <w:rsid w:val="009928E4"/>
    <w:rsid w:val="00992A3C"/>
    <w:rsid w:val="00992A99"/>
    <w:rsid w:val="00992E86"/>
    <w:rsid w:val="00993307"/>
    <w:rsid w:val="00993322"/>
    <w:rsid w:val="00993428"/>
    <w:rsid w:val="00993FF5"/>
    <w:rsid w:val="009941FF"/>
    <w:rsid w:val="00994698"/>
    <w:rsid w:val="0099470A"/>
    <w:rsid w:val="00994CE2"/>
    <w:rsid w:val="00994E1F"/>
    <w:rsid w:val="00995A82"/>
    <w:rsid w:val="00995B5B"/>
    <w:rsid w:val="0099601F"/>
    <w:rsid w:val="009964C9"/>
    <w:rsid w:val="00996552"/>
    <w:rsid w:val="0099658F"/>
    <w:rsid w:val="00996652"/>
    <w:rsid w:val="0099674C"/>
    <w:rsid w:val="00997494"/>
    <w:rsid w:val="009975AB"/>
    <w:rsid w:val="00997659"/>
    <w:rsid w:val="009A0404"/>
    <w:rsid w:val="009A08AA"/>
    <w:rsid w:val="009A0996"/>
    <w:rsid w:val="009A0B4A"/>
    <w:rsid w:val="009A16AD"/>
    <w:rsid w:val="009A170A"/>
    <w:rsid w:val="009A1F77"/>
    <w:rsid w:val="009A2602"/>
    <w:rsid w:val="009A27A6"/>
    <w:rsid w:val="009A2A73"/>
    <w:rsid w:val="009A2BEE"/>
    <w:rsid w:val="009A36BF"/>
    <w:rsid w:val="009A38B5"/>
    <w:rsid w:val="009A3A31"/>
    <w:rsid w:val="009A3E3F"/>
    <w:rsid w:val="009A3EDB"/>
    <w:rsid w:val="009A4004"/>
    <w:rsid w:val="009A414A"/>
    <w:rsid w:val="009A42B7"/>
    <w:rsid w:val="009A4352"/>
    <w:rsid w:val="009A455A"/>
    <w:rsid w:val="009A4772"/>
    <w:rsid w:val="009A48CE"/>
    <w:rsid w:val="009A5083"/>
    <w:rsid w:val="009A50BA"/>
    <w:rsid w:val="009A50CD"/>
    <w:rsid w:val="009A5726"/>
    <w:rsid w:val="009A5D2D"/>
    <w:rsid w:val="009A5DD6"/>
    <w:rsid w:val="009A64CB"/>
    <w:rsid w:val="009A6606"/>
    <w:rsid w:val="009A6690"/>
    <w:rsid w:val="009A67DC"/>
    <w:rsid w:val="009A6B3C"/>
    <w:rsid w:val="009A6F56"/>
    <w:rsid w:val="009A7BF4"/>
    <w:rsid w:val="009A7C4C"/>
    <w:rsid w:val="009B0304"/>
    <w:rsid w:val="009B03A0"/>
    <w:rsid w:val="009B073D"/>
    <w:rsid w:val="009B09AE"/>
    <w:rsid w:val="009B0B61"/>
    <w:rsid w:val="009B0E5B"/>
    <w:rsid w:val="009B0E95"/>
    <w:rsid w:val="009B16AB"/>
    <w:rsid w:val="009B1CC7"/>
    <w:rsid w:val="009B20C4"/>
    <w:rsid w:val="009B2125"/>
    <w:rsid w:val="009B2466"/>
    <w:rsid w:val="009B2637"/>
    <w:rsid w:val="009B297B"/>
    <w:rsid w:val="009B29D3"/>
    <w:rsid w:val="009B2D80"/>
    <w:rsid w:val="009B2DFC"/>
    <w:rsid w:val="009B2F2F"/>
    <w:rsid w:val="009B3274"/>
    <w:rsid w:val="009B33D6"/>
    <w:rsid w:val="009B364A"/>
    <w:rsid w:val="009B3CC5"/>
    <w:rsid w:val="009B464D"/>
    <w:rsid w:val="009B4744"/>
    <w:rsid w:val="009B5441"/>
    <w:rsid w:val="009B5643"/>
    <w:rsid w:val="009B5802"/>
    <w:rsid w:val="009B5E22"/>
    <w:rsid w:val="009B5EB7"/>
    <w:rsid w:val="009B60E3"/>
    <w:rsid w:val="009B622F"/>
    <w:rsid w:val="009B6353"/>
    <w:rsid w:val="009B6486"/>
    <w:rsid w:val="009B65BA"/>
    <w:rsid w:val="009B662F"/>
    <w:rsid w:val="009B6AF6"/>
    <w:rsid w:val="009B6DB7"/>
    <w:rsid w:val="009B6F27"/>
    <w:rsid w:val="009B7723"/>
    <w:rsid w:val="009B7837"/>
    <w:rsid w:val="009B7AF8"/>
    <w:rsid w:val="009B7E10"/>
    <w:rsid w:val="009C037B"/>
    <w:rsid w:val="009C052B"/>
    <w:rsid w:val="009C0EF6"/>
    <w:rsid w:val="009C0FF8"/>
    <w:rsid w:val="009C1072"/>
    <w:rsid w:val="009C1BEC"/>
    <w:rsid w:val="009C1F51"/>
    <w:rsid w:val="009C25EA"/>
    <w:rsid w:val="009C3337"/>
    <w:rsid w:val="009C3558"/>
    <w:rsid w:val="009C370A"/>
    <w:rsid w:val="009C39B0"/>
    <w:rsid w:val="009C3E64"/>
    <w:rsid w:val="009C474B"/>
    <w:rsid w:val="009C5427"/>
    <w:rsid w:val="009C573A"/>
    <w:rsid w:val="009C5815"/>
    <w:rsid w:val="009C61CA"/>
    <w:rsid w:val="009C6CDE"/>
    <w:rsid w:val="009C72EB"/>
    <w:rsid w:val="009C7838"/>
    <w:rsid w:val="009C7BAE"/>
    <w:rsid w:val="009D0939"/>
    <w:rsid w:val="009D0B8A"/>
    <w:rsid w:val="009D0C95"/>
    <w:rsid w:val="009D12BC"/>
    <w:rsid w:val="009D1454"/>
    <w:rsid w:val="009D1508"/>
    <w:rsid w:val="009D167F"/>
    <w:rsid w:val="009D18FD"/>
    <w:rsid w:val="009D1950"/>
    <w:rsid w:val="009D1DD1"/>
    <w:rsid w:val="009D2249"/>
    <w:rsid w:val="009D2349"/>
    <w:rsid w:val="009D265F"/>
    <w:rsid w:val="009D266E"/>
    <w:rsid w:val="009D27A4"/>
    <w:rsid w:val="009D2D38"/>
    <w:rsid w:val="009D2D48"/>
    <w:rsid w:val="009D2E3B"/>
    <w:rsid w:val="009D3159"/>
    <w:rsid w:val="009D390F"/>
    <w:rsid w:val="009D46E1"/>
    <w:rsid w:val="009D470E"/>
    <w:rsid w:val="009D4987"/>
    <w:rsid w:val="009D5364"/>
    <w:rsid w:val="009D57E4"/>
    <w:rsid w:val="009D5A57"/>
    <w:rsid w:val="009D6BF8"/>
    <w:rsid w:val="009D6C3C"/>
    <w:rsid w:val="009D6FBB"/>
    <w:rsid w:val="009D77B5"/>
    <w:rsid w:val="009D7901"/>
    <w:rsid w:val="009E0049"/>
    <w:rsid w:val="009E02DE"/>
    <w:rsid w:val="009E03A1"/>
    <w:rsid w:val="009E0A2F"/>
    <w:rsid w:val="009E0A56"/>
    <w:rsid w:val="009E13A2"/>
    <w:rsid w:val="009E18D9"/>
    <w:rsid w:val="009E1923"/>
    <w:rsid w:val="009E1D1B"/>
    <w:rsid w:val="009E1FED"/>
    <w:rsid w:val="009E23BE"/>
    <w:rsid w:val="009E2F0B"/>
    <w:rsid w:val="009E3140"/>
    <w:rsid w:val="009E33E3"/>
    <w:rsid w:val="009E34D7"/>
    <w:rsid w:val="009E3DDB"/>
    <w:rsid w:val="009E4AFE"/>
    <w:rsid w:val="009E5542"/>
    <w:rsid w:val="009E58D5"/>
    <w:rsid w:val="009E5DE5"/>
    <w:rsid w:val="009E60FA"/>
    <w:rsid w:val="009E6472"/>
    <w:rsid w:val="009E664A"/>
    <w:rsid w:val="009E67C0"/>
    <w:rsid w:val="009E69F7"/>
    <w:rsid w:val="009E6A7C"/>
    <w:rsid w:val="009E6AFE"/>
    <w:rsid w:val="009E6C7D"/>
    <w:rsid w:val="009E6E20"/>
    <w:rsid w:val="009E6E92"/>
    <w:rsid w:val="009E72DD"/>
    <w:rsid w:val="009F01EB"/>
    <w:rsid w:val="009F062A"/>
    <w:rsid w:val="009F0C4F"/>
    <w:rsid w:val="009F1332"/>
    <w:rsid w:val="009F212E"/>
    <w:rsid w:val="009F21A1"/>
    <w:rsid w:val="009F21F3"/>
    <w:rsid w:val="009F2AD5"/>
    <w:rsid w:val="009F2D00"/>
    <w:rsid w:val="009F2E8B"/>
    <w:rsid w:val="009F3116"/>
    <w:rsid w:val="009F3D68"/>
    <w:rsid w:val="009F3E7B"/>
    <w:rsid w:val="009F437D"/>
    <w:rsid w:val="009F4DBF"/>
    <w:rsid w:val="009F51B1"/>
    <w:rsid w:val="009F595C"/>
    <w:rsid w:val="009F5A02"/>
    <w:rsid w:val="009F6E87"/>
    <w:rsid w:val="009F6EB3"/>
    <w:rsid w:val="00A00CAB"/>
    <w:rsid w:val="00A0101A"/>
    <w:rsid w:val="00A014B9"/>
    <w:rsid w:val="00A0153F"/>
    <w:rsid w:val="00A017FA"/>
    <w:rsid w:val="00A030CD"/>
    <w:rsid w:val="00A033FD"/>
    <w:rsid w:val="00A034EB"/>
    <w:rsid w:val="00A03783"/>
    <w:rsid w:val="00A038AC"/>
    <w:rsid w:val="00A03BC7"/>
    <w:rsid w:val="00A04309"/>
    <w:rsid w:val="00A04526"/>
    <w:rsid w:val="00A046D3"/>
    <w:rsid w:val="00A04A7D"/>
    <w:rsid w:val="00A04DB0"/>
    <w:rsid w:val="00A055EF"/>
    <w:rsid w:val="00A0610E"/>
    <w:rsid w:val="00A061CF"/>
    <w:rsid w:val="00A0645D"/>
    <w:rsid w:val="00A068AC"/>
    <w:rsid w:val="00A0699A"/>
    <w:rsid w:val="00A06A7C"/>
    <w:rsid w:val="00A06A9C"/>
    <w:rsid w:val="00A07185"/>
    <w:rsid w:val="00A07239"/>
    <w:rsid w:val="00A07928"/>
    <w:rsid w:val="00A07A7A"/>
    <w:rsid w:val="00A07B37"/>
    <w:rsid w:val="00A07DFF"/>
    <w:rsid w:val="00A10FBC"/>
    <w:rsid w:val="00A11044"/>
    <w:rsid w:val="00A11214"/>
    <w:rsid w:val="00A1136B"/>
    <w:rsid w:val="00A113F2"/>
    <w:rsid w:val="00A11E1B"/>
    <w:rsid w:val="00A11E87"/>
    <w:rsid w:val="00A1241A"/>
    <w:rsid w:val="00A124C3"/>
    <w:rsid w:val="00A12A11"/>
    <w:rsid w:val="00A12F0D"/>
    <w:rsid w:val="00A132F7"/>
    <w:rsid w:val="00A138BD"/>
    <w:rsid w:val="00A13F62"/>
    <w:rsid w:val="00A13FA5"/>
    <w:rsid w:val="00A14518"/>
    <w:rsid w:val="00A15936"/>
    <w:rsid w:val="00A1594A"/>
    <w:rsid w:val="00A15AE9"/>
    <w:rsid w:val="00A15D37"/>
    <w:rsid w:val="00A170C0"/>
    <w:rsid w:val="00A173D5"/>
    <w:rsid w:val="00A178F5"/>
    <w:rsid w:val="00A178FB"/>
    <w:rsid w:val="00A17C6E"/>
    <w:rsid w:val="00A17D93"/>
    <w:rsid w:val="00A17DFF"/>
    <w:rsid w:val="00A2024A"/>
    <w:rsid w:val="00A20681"/>
    <w:rsid w:val="00A206F9"/>
    <w:rsid w:val="00A207E3"/>
    <w:rsid w:val="00A20890"/>
    <w:rsid w:val="00A20FC5"/>
    <w:rsid w:val="00A2102C"/>
    <w:rsid w:val="00A21084"/>
    <w:rsid w:val="00A21393"/>
    <w:rsid w:val="00A21565"/>
    <w:rsid w:val="00A21C7D"/>
    <w:rsid w:val="00A222FF"/>
    <w:rsid w:val="00A2247B"/>
    <w:rsid w:val="00A22631"/>
    <w:rsid w:val="00A229F4"/>
    <w:rsid w:val="00A22A42"/>
    <w:rsid w:val="00A22B52"/>
    <w:rsid w:val="00A22C2D"/>
    <w:rsid w:val="00A2334E"/>
    <w:rsid w:val="00A23683"/>
    <w:rsid w:val="00A2396F"/>
    <w:rsid w:val="00A24088"/>
    <w:rsid w:val="00A24CCD"/>
    <w:rsid w:val="00A24E0B"/>
    <w:rsid w:val="00A252AB"/>
    <w:rsid w:val="00A255A4"/>
    <w:rsid w:val="00A25CFB"/>
    <w:rsid w:val="00A25E06"/>
    <w:rsid w:val="00A262FF"/>
    <w:rsid w:val="00A26422"/>
    <w:rsid w:val="00A265D2"/>
    <w:rsid w:val="00A26A83"/>
    <w:rsid w:val="00A26BD7"/>
    <w:rsid w:val="00A26C94"/>
    <w:rsid w:val="00A271D6"/>
    <w:rsid w:val="00A279D6"/>
    <w:rsid w:val="00A27DEE"/>
    <w:rsid w:val="00A27FB2"/>
    <w:rsid w:val="00A30107"/>
    <w:rsid w:val="00A30678"/>
    <w:rsid w:val="00A3092D"/>
    <w:rsid w:val="00A30E66"/>
    <w:rsid w:val="00A31A63"/>
    <w:rsid w:val="00A31EAE"/>
    <w:rsid w:val="00A32050"/>
    <w:rsid w:val="00A32230"/>
    <w:rsid w:val="00A32A6A"/>
    <w:rsid w:val="00A32F26"/>
    <w:rsid w:val="00A337F5"/>
    <w:rsid w:val="00A338B6"/>
    <w:rsid w:val="00A34156"/>
    <w:rsid w:val="00A3466B"/>
    <w:rsid w:val="00A34A13"/>
    <w:rsid w:val="00A34B95"/>
    <w:rsid w:val="00A3576B"/>
    <w:rsid w:val="00A3585A"/>
    <w:rsid w:val="00A36886"/>
    <w:rsid w:val="00A36939"/>
    <w:rsid w:val="00A369F4"/>
    <w:rsid w:val="00A36B39"/>
    <w:rsid w:val="00A374C3"/>
    <w:rsid w:val="00A378FF"/>
    <w:rsid w:val="00A37D06"/>
    <w:rsid w:val="00A37F08"/>
    <w:rsid w:val="00A402AC"/>
    <w:rsid w:val="00A408B9"/>
    <w:rsid w:val="00A41393"/>
    <w:rsid w:val="00A415EC"/>
    <w:rsid w:val="00A4204F"/>
    <w:rsid w:val="00A42295"/>
    <w:rsid w:val="00A4237B"/>
    <w:rsid w:val="00A4260B"/>
    <w:rsid w:val="00A429A5"/>
    <w:rsid w:val="00A42F01"/>
    <w:rsid w:val="00A43185"/>
    <w:rsid w:val="00A43254"/>
    <w:rsid w:val="00A43915"/>
    <w:rsid w:val="00A43C3B"/>
    <w:rsid w:val="00A440A1"/>
    <w:rsid w:val="00A440B8"/>
    <w:rsid w:val="00A440F8"/>
    <w:rsid w:val="00A44A3D"/>
    <w:rsid w:val="00A45AFC"/>
    <w:rsid w:val="00A45FBA"/>
    <w:rsid w:val="00A46186"/>
    <w:rsid w:val="00A47144"/>
    <w:rsid w:val="00A47712"/>
    <w:rsid w:val="00A479AD"/>
    <w:rsid w:val="00A47A61"/>
    <w:rsid w:val="00A50061"/>
    <w:rsid w:val="00A5017F"/>
    <w:rsid w:val="00A502BA"/>
    <w:rsid w:val="00A50D51"/>
    <w:rsid w:val="00A5162A"/>
    <w:rsid w:val="00A5162F"/>
    <w:rsid w:val="00A51F7A"/>
    <w:rsid w:val="00A521DD"/>
    <w:rsid w:val="00A525E1"/>
    <w:rsid w:val="00A52A9D"/>
    <w:rsid w:val="00A52CF0"/>
    <w:rsid w:val="00A54875"/>
    <w:rsid w:val="00A54DA3"/>
    <w:rsid w:val="00A54DC6"/>
    <w:rsid w:val="00A55309"/>
    <w:rsid w:val="00A5551E"/>
    <w:rsid w:val="00A55C75"/>
    <w:rsid w:val="00A55DC7"/>
    <w:rsid w:val="00A561D4"/>
    <w:rsid w:val="00A562BE"/>
    <w:rsid w:val="00A56484"/>
    <w:rsid w:val="00A56E56"/>
    <w:rsid w:val="00A571ED"/>
    <w:rsid w:val="00A57628"/>
    <w:rsid w:val="00A579C6"/>
    <w:rsid w:val="00A60015"/>
    <w:rsid w:val="00A60033"/>
    <w:rsid w:val="00A6061E"/>
    <w:rsid w:val="00A606D3"/>
    <w:rsid w:val="00A61131"/>
    <w:rsid w:val="00A613C6"/>
    <w:rsid w:val="00A61786"/>
    <w:rsid w:val="00A61A19"/>
    <w:rsid w:val="00A61AA3"/>
    <w:rsid w:val="00A6203C"/>
    <w:rsid w:val="00A6219F"/>
    <w:rsid w:val="00A62208"/>
    <w:rsid w:val="00A622FC"/>
    <w:rsid w:val="00A62337"/>
    <w:rsid w:val="00A62DCB"/>
    <w:rsid w:val="00A62EF3"/>
    <w:rsid w:val="00A63131"/>
    <w:rsid w:val="00A63480"/>
    <w:rsid w:val="00A64037"/>
    <w:rsid w:val="00A64DC3"/>
    <w:rsid w:val="00A64EE3"/>
    <w:rsid w:val="00A6543F"/>
    <w:rsid w:val="00A657EC"/>
    <w:rsid w:val="00A65A74"/>
    <w:rsid w:val="00A660DB"/>
    <w:rsid w:val="00A6610C"/>
    <w:rsid w:val="00A663E7"/>
    <w:rsid w:val="00A66A07"/>
    <w:rsid w:val="00A67060"/>
    <w:rsid w:val="00A673AF"/>
    <w:rsid w:val="00A67E21"/>
    <w:rsid w:val="00A67F3E"/>
    <w:rsid w:val="00A705F5"/>
    <w:rsid w:val="00A705FE"/>
    <w:rsid w:val="00A70A18"/>
    <w:rsid w:val="00A70AE7"/>
    <w:rsid w:val="00A71A06"/>
    <w:rsid w:val="00A71A8A"/>
    <w:rsid w:val="00A7223C"/>
    <w:rsid w:val="00A72E19"/>
    <w:rsid w:val="00A73504"/>
    <w:rsid w:val="00A7357D"/>
    <w:rsid w:val="00A7373B"/>
    <w:rsid w:val="00A73783"/>
    <w:rsid w:val="00A73DB5"/>
    <w:rsid w:val="00A75F95"/>
    <w:rsid w:val="00A774C1"/>
    <w:rsid w:val="00A77870"/>
    <w:rsid w:val="00A77C5D"/>
    <w:rsid w:val="00A77F47"/>
    <w:rsid w:val="00A77F77"/>
    <w:rsid w:val="00A800DF"/>
    <w:rsid w:val="00A80182"/>
    <w:rsid w:val="00A80F6B"/>
    <w:rsid w:val="00A81095"/>
    <w:rsid w:val="00A81398"/>
    <w:rsid w:val="00A813F7"/>
    <w:rsid w:val="00A8171C"/>
    <w:rsid w:val="00A81720"/>
    <w:rsid w:val="00A819DB"/>
    <w:rsid w:val="00A829AF"/>
    <w:rsid w:val="00A82E3C"/>
    <w:rsid w:val="00A8310E"/>
    <w:rsid w:val="00A8358E"/>
    <w:rsid w:val="00A8361C"/>
    <w:rsid w:val="00A83710"/>
    <w:rsid w:val="00A83A7D"/>
    <w:rsid w:val="00A83D28"/>
    <w:rsid w:val="00A842FE"/>
    <w:rsid w:val="00A844DA"/>
    <w:rsid w:val="00A84A19"/>
    <w:rsid w:val="00A84E03"/>
    <w:rsid w:val="00A84EEF"/>
    <w:rsid w:val="00A85172"/>
    <w:rsid w:val="00A854EC"/>
    <w:rsid w:val="00A86385"/>
    <w:rsid w:val="00A86FAA"/>
    <w:rsid w:val="00A86FB5"/>
    <w:rsid w:val="00A87025"/>
    <w:rsid w:val="00A87291"/>
    <w:rsid w:val="00A873CC"/>
    <w:rsid w:val="00A877E3"/>
    <w:rsid w:val="00A87E96"/>
    <w:rsid w:val="00A907C6"/>
    <w:rsid w:val="00A90BA3"/>
    <w:rsid w:val="00A913E8"/>
    <w:rsid w:val="00A9174F"/>
    <w:rsid w:val="00A9185B"/>
    <w:rsid w:val="00A91936"/>
    <w:rsid w:val="00A91A18"/>
    <w:rsid w:val="00A91CF5"/>
    <w:rsid w:val="00A92A96"/>
    <w:rsid w:val="00A92B9F"/>
    <w:rsid w:val="00A92D9D"/>
    <w:rsid w:val="00A92E6E"/>
    <w:rsid w:val="00A93230"/>
    <w:rsid w:val="00A936D2"/>
    <w:rsid w:val="00A93C3F"/>
    <w:rsid w:val="00A93D07"/>
    <w:rsid w:val="00A93E8F"/>
    <w:rsid w:val="00A94136"/>
    <w:rsid w:val="00A9426D"/>
    <w:rsid w:val="00A94618"/>
    <w:rsid w:val="00A94800"/>
    <w:rsid w:val="00A9485D"/>
    <w:rsid w:val="00A94ABF"/>
    <w:rsid w:val="00A95428"/>
    <w:rsid w:val="00A95429"/>
    <w:rsid w:val="00A958B7"/>
    <w:rsid w:val="00A95C62"/>
    <w:rsid w:val="00A95FDB"/>
    <w:rsid w:val="00A95FE6"/>
    <w:rsid w:val="00A9661D"/>
    <w:rsid w:val="00A9683D"/>
    <w:rsid w:val="00A968CE"/>
    <w:rsid w:val="00A9699C"/>
    <w:rsid w:val="00A96AA4"/>
    <w:rsid w:val="00A96C06"/>
    <w:rsid w:val="00A96D19"/>
    <w:rsid w:val="00A96F54"/>
    <w:rsid w:val="00A9711F"/>
    <w:rsid w:val="00A97428"/>
    <w:rsid w:val="00A975F6"/>
    <w:rsid w:val="00A97C20"/>
    <w:rsid w:val="00AA0731"/>
    <w:rsid w:val="00AA0FDD"/>
    <w:rsid w:val="00AA17B9"/>
    <w:rsid w:val="00AA1ABA"/>
    <w:rsid w:val="00AA1CB8"/>
    <w:rsid w:val="00AA1EEB"/>
    <w:rsid w:val="00AA1F8B"/>
    <w:rsid w:val="00AA2177"/>
    <w:rsid w:val="00AA2E37"/>
    <w:rsid w:val="00AA3436"/>
    <w:rsid w:val="00AA38F4"/>
    <w:rsid w:val="00AA3B7D"/>
    <w:rsid w:val="00AA3CA6"/>
    <w:rsid w:val="00AA3D11"/>
    <w:rsid w:val="00AA420E"/>
    <w:rsid w:val="00AA423A"/>
    <w:rsid w:val="00AA4732"/>
    <w:rsid w:val="00AA4769"/>
    <w:rsid w:val="00AA48D6"/>
    <w:rsid w:val="00AA48F8"/>
    <w:rsid w:val="00AA4BB3"/>
    <w:rsid w:val="00AA4DB1"/>
    <w:rsid w:val="00AA5386"/>
    <w:rsid w:val="00AA59C8"/>
    <w:rsid w:val="00AA5B01"/>
    <w:rsid w:val="00AA5C77"/>
    <w:rsid w:val="00AA6CFD"/>
    <w:rsid w:val="00AA6F17"/>
    <w:rsid w:val="00AA7101"/>
    <w:rsid w:val="00AA71EB"/>
    <w:rsid w:val="00AA74E2"/>
    <w:rsid w:val="00AA759F"/>
    <w:rsid w:val="00AA77D0"/>
    <w:rsid w:val="00AA7F2E"/>
    <w:rsid w:val="00AB0596"/>
    <w:rsid w:val="00AB09C9"/>
    <w:rsid w:val="00AB0BC1"/>
    <w:rsid w:val="00AB0F1A"/>
    <w:rsid w:val="00AB152B"/>
    <w:rsid w:val="00AB15E7"/>
    <w:rsid w:val="00AB1A11"/>
    <w:rsid w:val="00AB1EC9"/>
    <w:rsid w:val="00AB2D6F"/>
    <w:rsid w:val="00AB309F"/>
    <w:rsid w:val="00AB3660"/>
    <w:rsid w:val="00AB3F84"/>
    <w:rsid w:val="00AB40FB"/>
    <w:rsid w:val="00AB4568"/>
    <w:rsid w:val="00AB48EB"/>
    <w:rsid w:val="00AB4FE6"/>
    <w:rsid w:val="00AB5159"/>
    <w:rsid w:val="00AB5510"/>
    <w:rsid w:val="00AB58EA"/>
    <w:rsid w:val="00AB5FDB"/>
    <w:rsid w:val="00AB611D"/>
    <w:rsid w:val="00AB6529"/>
    <w:rsid w:val="00AB668E"/>
    <w:rsid w:val="00AB67BC"/>
    <w:rsid w:val="00AB6AE5"/>
    <w:rsid w:val="00AB6FD9"/>
    <w:rsid w:val="00AB73E2"/>
    <w:rsid w:val="00AB7D73"/>
    <w:rsid w:val="00AC022F"/>
    <w:rsid w:val="00AC0806"/>
    <w:rsid w:val="00AC0F16"/>
    <w:rsid w:val="00AC1971"/>
    <w:rsid w:val="00AC1980"/>
    <w:rsid w:val="00AC1D57"/>
    <w:rsid w:val="00AC1F83"/>
    <w:rsid w:val="00AC2925"/>
    <w:rsid w:val="00AC3772"/>
    <w:rsid w:val="00AC395D"/>
    <w:rsid w:val="00AC398F"/>
    <w:rsid w:val="00AC3CB1"/>
    <w:rsid w:val="00AC43AE"/>
    <w:rsid w:val="00AC4A8D"/>
    <w:rsid w:val="00AC4B83"/>
    <w:rsid w:val="00AC5861"/>
    <w:rsid w:val="00AC5877"/>
    <w:rsid w:val="00AC5BC1"/>
    <w:rsid w:val="00AC5CD9"/>
    <w:rsid w:val="00AC6085"/>
    <w:rsid w:val="00AC644E"/>
    <w:rsid w:val="00AC6B88"/>
    <w:rsid w:val="00AC71AB"/>
    <w:rsid w:val="00AC7908"/>
    <w:rsid w:val="00AC7D28"/>
    <w:rsid w:val="00AD0369"/>
    <w:rsid w:val="00AD0618"/>
    <w:rsid w:val="00AD0CBE"/>
    <w:rsid w:val="00AD1CFC"/>
    <w:rsid w:val="00AD1FBE"/>
    <w:rsid w:val="00AD23CD"/>
    <w:rsid w:val="00AD23E3"/>
    <w:rsid w:val="00AD2406"/>
    <w:rsid w:val="00AD26EE"/>
    <w:rsid w:val="00AD2702"/>
    <w:rsid w:val="00AD2C4A"/>
    <w:rsid w:val="00AD3606"/>
    <w:rsid w:val="00AD3812"/>
    <w:rsid w:val="00AD3E12"/>
    <w:rsid w:val="00AD3F0D"/>
    <w:rsid w:val="00AD40CA"/>
    <w:rsid w:val="00AD4230"/>
    <w:rsid w:val="00AD4364"/>
    <w:rsid w:val="00AD4795"/>
    <w:rsid w:val="00AD4F0E"/>
    <w:rsid w:val="00AD5DDA"/>
    <w:rsid w:val="00AD617E"/>
    <w:rsid w:val="00AD6651"/>
    <w:rsid w:val="00AD6672"/>
    <w:rsid w:val="00AD68BF"/>
    <w:rsid w:val="00AD699F"/>
    <w:rsid w:val="00AD70CD"/>
    <w:rsid w:val="00AD7706"/>
    <w:rsid w:val="00AD78CF"/>
    <w:rsid w:val="00AE001D"/>
    <w:rsid w:val="00AE0060"/>
    <w:rsid w:val="00AE00B3"/>
    <w:rsid w:val="00AE0309"/>
    <w:rsid w:val="00AE05EB"/>
    <w:rsid w:val="00AE072E"/>
    <w:rsid w:val="00AE0823"/>
    <w:rsid w:val="00AE08D8"/>
    <w:rsid w:val="00AE0980"/>
    <w:rsid w:val="00AE0E0D"/>
    <w:rsid w:val="00AE0E91"/>
    <w:rsid w:val="00AE0F96"/>
    <w:rsid w:val="00AE1287"/>
    <w:rsid w:val="00AE1EEA"/>
    <w:rsid w:val="00AE21DD"/>
    <w:rsid w:val="00AE252B"/>
    <w:rsid w:val="00AE34DF"/>
    <w:rsid w:val="00AE45CE"/>
    <w:rsid w:val="00AE4777"/>
    <w:rsid w:val="00AE4D86"/>
    <w:rsid w:val="00AE571C"/>
    <w:rsid w:val="00AE586B"/>
    <w:rsid w:val="00AE5A59"/>
    <w:rsid w:val="00AE5BAC"/>
    <w:rsid w:val="00AE5BC9"/>
    <w:rsid w:val="00AE63AA"/>
    <w:rsid w:val="00AE6494"/>
    <w:rsid w:val="00AE66E8"/>
    <w:rsid w:val="00AE6819"/>
    <w:rsid w:val="00AE6B9E"/>
    <w:rsid w:val="00AE7649"/>
    <w:rsid w:val="00AE7939"/>
    <w:rsid w:val="00AE7D93"/>
    <w:rsid w:val="00AE7DCD"/>
    <w:rsid w:val="00AE7F18"/>
    <w:rsid w:val="00AF0092"/>
    <w:rsid w:val="00AF07E8"/>
    <w:rsid w:val="00AF0867"/>
    <w:rsid w:val="00AF1494"/>
    <w:rsid w:val="00AF15F9"/>
    <w:rsid w:val="00AF16B3"/>
    <w:rsid w:val="00AF17B0"/>
    <w:rsid w:val="00AF1A9A"/>
    <w:rsid w:val="00AF1F76"/>
    <w:rsid w:val="00AF235E"/>
    <w:rsid w:val="00AF2D6A"/>
    <w:rsid w:val="00AF2D99"/>
    <w:rsid w:val="00AF3894"/>
    <w:rsid w:val="00AF3D8E"/>
    <w:rsid w:val="00AF445E"/>
    <w:rsid w:val="00AF512F"/>
    <w:rsid w:val="00AF5A75"/>
    <w:rsid w:val="00AF61B3"/>
    <w:rsid w:val="00AF6BF2"/>
    <w:rsid w:val="00AF6C00"/>
    <w:rsid w:val="00AF6F90"/>
    <w:rsid w:val="00AF71B7"/>
    <w:rsid w:val="00AF7271"/>
    <w:rsid w:val="00AF7AB6"/>
    <w:rsid w:val="00B00364"/>
    <w:rsid w:val="00B00F09"/>
    <w:rsid w:val="00B01246"/>
    <w:rsid w:val="00B016BC"/>
    <w:rsid w:val="00B01B51"/>
    <w:rsid w:val="00B01C01"/>
    <w:rsid w:val="00B01F41"/>
    <w:rsid w:val="00B02483"/>
    <w:rsid w:val="00B02586"/>
    <w:rsid w:val="00B02620"/>
    <w:rsid w:val="00B0282B"/>
    <w:rsid w:val="00B02C94"/>
    <w:rsid w:val="00B02E37"/>
    <w:rsid w:val="00B02EDF"/>
    <w:rsid w:val="00B02FA7"/>
    <w:rsid w:val="00B032E6"/>
    <w:rsid w:val="00B0355F"/>
    <w:rsid w:val="00B03984"/>
    <w:rsid w:val="00B03EE1"/>
    <w:rsid w:val="00B0480C"/>
    <w:rsid w:val="00B04B7F"/>
    <w:rsid w:val="00B04F2F"/>
    <w:rsid w:val="00B050DF"/>
    <w:rsid w:val="00B059E4"/>
    <w:rsid w:val="00B05DF5"/>
    <w:rsid w:val="00B05ED7"/>
    <w:rsid w:val="00B0620B"/>
    <w:rsid w:val="00B063CC"/>
    <w:rsid w:val="00B069B9"/>
    <w:rsid w:val="00B06E45"/>
    <w:rsid w:val="00B07653"/>
    <w:rsid w:val="00B0785A"/>
    <w:rsid w:val="00B07F0C"/>
    <w:rsid w:val="00B1002D"/>
    <w:rsid w:val="00B10348"/>
    <w:rsid w:val="00B10A3D"/>
    <w:rsid w:val="00B10CC8"/>
    <w:rsid w:val="00B10EF1"/>
    <w:rsid w:val="00B10F00"/>
    <w:rsid w:val="00B11581"/>
    <w:rsid w:val="00B11954"/>
    <w:rsid w:val="00B1201C"/>
    <w:rsid w:val="00B12024"/>
    <w:rsid w:val="00B125E7"/>
    <w:rsid w:val="00B1270F"/>
    <w:rsid w:val="00B12742"/>
    <w:rsid w:val="00B12CF6"/>
    <w:rsid w:val="00B12FD8"/>
    <w:rsid w:val="00B1329A"/>
    <w:rsid w:val="00B1337A"/>
    <w:rsid w:val="00B135E9"/>
    <w:rsid w:val="00B148F7"/>
    <w:rsid w:val="00B14C4E"/>
    <w:rsid w:val="00B157A7"/>
    <w:rsid w:val="00B15B77"/>
    <w:rsid w:val="00B15B82"/>
    <w:rsid w:val="00B16361"/>
    <w:rsid w:val="00B16553"/>
    <w:rsid w:val="00B16804"/>
    <w:rsid w:val="00B16986"/>
    <w:rsid w:val="00B16CEA"/>
    <w:rsid w:val="00B16E08"/>
    <w:rsid w:val="00B179D8"/>
    <w:rsid w:val="00B17AA9"/>
    <w:rsid w:val="00B17D72"/>
    <w:rsid w:val="00B17DBC"/>
    <w:rsid w:val="00B17DD7"/>
    <w:rsid w:val="00B20081"/>
    <w:rsid w:val="00B200BD"/>
    <w:rsid w:val="00B20119"/>
    <w:rsid w:val="00B20530"/>
    <w:rsid w:val="00B20574"/>
    <w:rsid w:val="00B21160"/>
    <w:rsid w:val="00B21547"/>
    <w:rsid w:val="00B21853"/>
    <w:rsid w:val="00B21F43"/>
    <w:rsid w:val="00B22BD9"/>
    <w:rsid w:val="00B230F0"/>
    <w:rsid w:val="00B231C1"/>
    <w:rsid w:val="00B23F4A"/>
    <w:rsid w:val="00B24024"/>
    <w:rsid w:val="00B24528"/>
    <w:rsid w:val="00B2467B"/>
    <w:rsid w:val="00B24825"/>
    <w:rsid w:val="00B24AA3"/>
    <w:rsid w:val="00B24AD1"/>
    <w:rsid w:val="00B24D74"/>
    <w:rsid w:val="00B2509E"/>
    <w:rsid w:val="00B25A7B"/>
    <w:rsid w:val="00B2603E"/>
    <w:rsid w:val="00B26802"/>
    <w:rsid w:val="00B26E41"/>
    <w:rsid w:val="00B275E0"/>
    <w:rsid w:val="00B278A0"/>
    <w:rsid w:val="00B30221"/>
    <w:rsid w:val="00B30311"/>
    <w:rsid w:val="00B30379"/>
    <w:rsid w:val="00B30A5D"/>
    <w:rsid w:val="00B30E95"/>
    <w:rsid w:val="00B30FB0"/>
    <w:rsid w:val="00B310FD"/>
    <w:rsid w:val="00B31324"/>
    <w:rsid w:val="00B32153"/>
    <w:rsid w:val="00B32747"/>
    <w:rsid w:val="00B327E1"/>
    <w:rsid w:val="00B329EF"/>
    <w:rsid w:val="00B33579"/>
    <w:rsid w:val="00B33CEC"/>
    <w:rsid w:val="00B33F99"/>
    <w:rsid w:val="00B33F9C"/>
    <w:rsid w:val="00B33FE9"/>
    <w:rsid w:val="00B34B73"/>
    <w:rsid w:val="00B34CC6"/>
    <w:rsid w:val="00B358EA"/>
    <w:rsid w:val="00B35D44"/>
    <w:rsid w:val="00B35EC0"/>
    <w:rsid w:val="00B36061"/>
    <w:rsid w:val="00B36248"/>
    <w:rsid w:val="00B36540"/>
    <w:rsid w:val="00B3656A"/>
    <w:rsid w:val="00B368B6"/>
    <w:rsid w:val="00B3692E"/>
    <w:rsid w:val="00B369E9"/>
    <w:rsid w:val="00B37412"/>
    <w:rsid w:val="00B377C6"/>
    <w:rsid w:val="00B37AEC"/>
    <w:rsid w:val="00B40936"/>
    <w:rsid w:val="00B40AA0"/>
    <w:rsid w:val="00B41518"/>
    <w:rsid w:val="00B41A3A"/>
    <w:rsid w:val="00B41D93"/>
    <w:rsid w:val="00B41FAF"/>
    <w:rsid w:val="00B42207"/>
    <w:rsid w:val="00B42817"/>
    <w:rsid w:val="00B42A92"/>
    <w:rsid w:val="00B42C64"/>
    <w:rsid w:val="00B43CD3"/>
    <w:rsid w:val="00B44493"/>
    <w:rsid w:val="00B44530"/>
    <w:rsid w:val="00B446CF"/>
    <w:rsid w:val="00B4519A"/>
    <w:rsid w:val="00B4522B"/>
    <w:rsid w:val="00B4571B"/>
    <w:rsid w:val="00B458E7"/>
    <w:rsid w:val="00B4612F"/>
    <w:rsid w:val="00B46648"/>
    <w:rsid w:val="00B467D1"/>
    <w:rsid w:val="00B46AEF"/>
    <w:rsid w:val="00B46F5D"/>
    <w:rsid w:val="00B472BB"/>
    <w:rsid w:val="00B47698"/>
    <w:rsid w:val="00B50474"/>
    <w:rsid w:val="00B505C6"/>
    <w:rsid w:val="00B50767"/>
    <w:rsid w:val="00B50882"/>
    <w:rsid w:val="00B512A3"/>
    <w:rsid w:val="00B516AF"/>
    <w:rsid w:val="00B51D2F"/>
    <w:rsid w:val="00B52096"/>
    <w:rsid w:val="00B524A6"/>
    <w:rsid w:val="00B52C12"/>
    <w:rsid w:val="00B5316C"/>
    <w:rsid w:val="00B5341B"/>
    <w:rsid w:val="00B53616"/>
    <w:rsid w:val="00B5362A"/>
    <w:rsid w:val="00B5382A"/>
    <w:rsid w:val="00B53C59"/>
    <w:rsid w:val="00B54B18"/>
    <w:rsid w:val="00B551E1"/>
    <w:rsid w:val="00B55210"/>
    <w:rsid w:val="00B55306"/>
    <w:rsid w:val="00B557E9"/>
    <w:rsid w:val="00B55D61"/>
    <w:rsid w:val="00B5693B"/>
    <w:rsid w:val="00B570D5"/>
    <w:rsid w:val="00B578BC"/>
    <w:rsid w:val="00B604E5"/>
    <w:rsid w:val="00B61077"/>
    <w:rsid w:val="00B611B4"/>
    <w:rsid w:val="00B614F4"/>
    <w:rsid w:val="00B62A4D"/>
    <w:rsid w:val="00B63160"/>
    <w:rsid w:val="00B63A14"/>
    <w:rsid w:val="00B64450"/>
    <w:rsid w:val="00B64A5B"/>
    <w:rsid w:val="00B64B6D"/>
    <w:rsid w:val="00B64B71"/>
    <w:rsid w:val="00B64E18"/>
    <w:rsid w:val="00B65893"/>
    <w:rsid w:val="00B65BF9"/>
    <w:rsid w:val="00B65D97"/>
    <w:rsid w:val="00B664D8"/>
    <w:rsid w:val="00B66AB3"/>
    <w:rsid w:val="00B66CFC"/>
    <w:rsid w:val="00B67367"/>
    <w:rsid w:val="00B67627"/>
    <w:rsid w:val="00B6775F"/>
    <w:rsid w:val="00B677EC"/>
    <w:rsid w:val="00B67A42"/>
    <w:rsid w:val="00B67A9E"/>
    <w:rsid w:val="00B67CFA"/>
    <w:rsid w:val="00B67E2A"/>
    <w:rsid w:val="00B70430"/>
    <w:rsid w:val="00B71215"/>
    <w:rsid w:val="00B7136A"/>
    <w:rsid w:val="00B71468"/>
    <w:rsid w:val="00B71884"/>
    <w:rsid w:val="00B71BE5"/>
    <w:rsid w:val="00B71F8C"/>
    <w:rsid w:val="00B72012"/>
    <w:rsid w:val="00B726AF"/>
    <w:rsid w:val="00B72C37"/>
    <w:rsid w:val="00B72C3E"/>
    <w:rsid w:val="00B73177"/>
    <w:rsid w:val="00B7406F"/>
    <w:rsid w:val="00B74165"/>
    <w:rsid w:val="00B74332"/>
    <w:rsid w:val="00B74BE3"/>
    <w:rsid w:val="00B75411"/>
    <w:rsid w:val="00B7554D"/>
    <w:rsid w:val="00B75690"/>
    <w:rsid w:val="00B75759"/>
    <w:rsid w:val="00B757FC"/>
    <w:rsid w:val="00B75983"/>
    <w:rsid w:val="00B75CEA"/>
    <w:rsid w:val="00B7641C"/>
    <w:rsid w:val="00B765C1"/>
    <w:rsid w:val="00B7696C"/>
    <w:rsid w:val="00B76B39"/>
    <w:rsid w:val="00B76EA7"/>
    <w:rsid w:val="00B771BC"/>
    <w:rsid w:val="00B77269"/>
    <w:rsid w:val="00B77649"/>
    <w:rsid w:val="00B776A7"/>
    <w:rsid w:val="00B778A3"/>
    <w:rsid w:val="00B80594"/>
    <w:rsid w:val="00B8074D"/>
    <w:rsid w:val="00B8101C"/>
    <w:rsid w:val="00B816F7"/>
    <w:rsid w:val="00B81729"/>
    <w:rsid w:val="00B817B7"/>
    <w:rsid w:val="00B81EC4"/>
    <w:rsid w:val="00B820B5"/>
    <w:rsid w:val="00B8219A"/>
    <w:rsid w:val="00B823D9"/>
    <w:rsid w:val="00B82441"/>
    <w:rsid w:val="00B82633"/>
    <w:rsid w:val="00B8265A"/>
    <w:rsid w:val="00B82FFA"/>
    <w:rsid w:val="00B8308D"/>
    <w:rsid w:val="00B832AE"/>
    <w:rsid w:val="00B8338E"/>
    <w:rsid w:val="00B83586"/>
    <w:rsid w:val="00B83B4D"/>
    <w:rsid w:val="00B83DBC"/>
    <w:rsid w:val="00B83F08"/>
    <w:rsid w:val="00B83F83"/>
    <w:rsid w:val="00B84049"/>
    <w:rsid w:val="00B84400"/>
    <w:rsid w:val="00B84877"/>
    <w:rsid w:val="00B85550"/>
    <w:rsid w:val="00B8567C"/>
    <w:rsid w:val="00B85F71"/>
    <w:rsid w:val="00B860BE"/>
    <w:rsid w:val="00B868DB"/>
    <w:rsid w:val="00B86B91"/>
    <w:rsid w:val="00B86BCE"/>
    <w:rsid w:val="00B876E4"/>
    <w:rsid w:val="00B87844"/>
    <w:rsid w:val="00B87B2B"/>
    <w:rsid w:val="00B87FDD"/>
    <w:rsid w:val="00B90227"/>
    <w:rsid w:val="00B90381"/>
    <w:rsid w:val="00B903AC"/>
    <w:rsid w:val="00B905EE"/>
    <w:rsid w:val="00B914FB"/>
    <w:rsid w:val="00B917A4"/>
    <w:rsid w:val="00B91B00"/>
    <w:rsid w:val="00B922CE"/>
    <w:rsid w:val="00B923AE"/>
    <w:rsid w:val="00B9249D"/>
    <w:rsid w:val="00B92B0C"/>
    <w:rsid w:val="00B92E61"/>
    <w:rsid w:val="00B92EFA"/>
    <w:rsid w:val="00B934D1"/>
    <w:rsid w:val="00B93548"/>
    <w:rsid w:val="00B9373E"/>
    <w:rsid w:val="00B94B5C"/>
    <w:rsid w:val="00B9509F"/>
    <w:rsid w:val="00B951CE"/>
    <w:rsid w:val="00B9529C"/>
    <w:rsid w:val="00B9565E"/>
    <w:rsid w:val="00B962D8"/>
    <w:rsid w:val="00B9638E"/>
    <w:rsid w:val="00B965DD"/>
    <w:rsid w:val="00B96BDC"/>
    <w:rsid w:val="00B96CD8"/>
    <w:rsid w:val="00B96E6C"/>
    <w:rsid w:val="00B976D3"/>
    <w:rsid w:val="00B97CDF"/>
    <w:rsid w:val="00BA067D"/>
    <w:rsid w:val="00BA0751"/>
    <w:rsid w:val="00BA0794"/>
    <w:rsid w:val="00BA11D7"/>
    <w:rsid w:val="00BA1DF9"/>
    <w:rsid w:val="00BA1F67"/>
    <w:rsid w:val="00BA211C"/>
    <w:rsid w:val="00BA23F3"/>
    <w:rsid w:val="00BA245E"/>
    <w:rsid w:val="00BA289B"/>
    <w:rsid w:val="00BA2F95"/>
    <w:rsid w:val="00BA31CE"/>
    <w:rsid w:val="00BA3620"/>
    <w:rsid w:val="00BA36EE"/>
    <w:rsid w:val="00BA3FD3"/>
    <w:rsid w:val="00BA5AD4"/>
    <w:rsid w:val="00BA61D7"/>
    <w:rsid w:val="00BA6546"/>
    <w:rsid w:val="00BA6D77"/>
    <w:rsid w:val="00BA6FA4"/>
    <w:rsid w:val="00BA738D"/>
    <w:rsid w:val="00BA763A"/>
    <w:rsid w:val="00BA7D68"/>
    <w:rsid w:val="00BB02CE"/>
    <w:rsid w:val="00BB03E1"/>
    <w:rsid w:val="00BB0582"/>
    <w:rsid w:val="00BB0A56"/>
    <w:rsid w:val="00BB0C9C"/>
    <w:rsid w:val="00BB0E6C"/>
    <w:rsid w:val="00BB0F5D"/>
    <w:rsid w:val="00BB145A"/>
    <w:rsid w:val="00BB15B2"/>
    <w:rsid w:val="00BB19EA"/>
    <w:rsid w:val="00BB1E7A"/>
    <w:rsid w:val="00BB206B"/>
    <w:rsid w:val="00BB256E"/>
    <w:rsid w:val="00BB2BE1"/>
    <w:rsid w:val="00BB33C4"/>
    <w:rsid w:val="00BB3D47"/>
    <w:rsid w:val="00BB3F5B"/>
    <w:rsid w:val="00BB419C"/>
    <w:rsid w:val="00BB42A2"/>
    <w:rsid w:val="00BB43BA"/>
    <w:rsid w:val="00BB494C"/>
    <w:rsid w:val="00BB4BBC"/>
    <w:rsid w:val="00BB4E63"/>
    <w:rsid w:val="00BB507B"/>
    <w:rsid w:val="00BB54D8"/>
    <w:rsid w:val="00BB5E75"/>
    <w:rsid w:val="00BB6953"/>
    <w:rsid w:val="00BB6C5C"/>
    <w:rsid w:val="00BB6D64"/>
    <w:rsid w:val="00BB7199"/>
    <w:rsid w:val="00BB71DD"/>
    <w:rsid w:val="00BB740F"/>
    <w:rsid w:val="00BB7891"/>
    <w:rsid w:val="00BB7BE8"/>
    <w:rsid w:val="00BB7F9E"/>
    <w:rsid w:val="00BC058E"/>
    <w:rsid w:val="00BC0CC4"/>
    <w:rsid w:val="00BC0D06"/>
    <w:rsid w:val="00BC126C"/>
    <w:rsid w:val="00BC1438"/>
    <w:rsid w:val="00BC16BE"/>
    <w:rsid w:val="00BC1730"/>
    <w:rsid w:val="00BC1D50"/>
    <w:rsid w:val="00BC203E"/>
    <w:rsid w:val="00BC26BE"/>
    <w:rsid w:val="00BC28A4"/>
    <w:rsid w:val="00BC2CF8"/>
    <w:rsid w:val="00BC3295"/>
    <w:rsid w:val="00BC3660"/>
    <w:rsid w:val="00BC3896"/>
    <w:rsid w:val="00BC3A7D"/>
    <w:rsid w:val="00BC47C5"/>
    <w:rsid w:val="00BC518C"/>
    <w:rsid w:val="00BC5967"/>
    <w:rsid w:val="00BC5D8B"/>
    <w:rsid w:val="00BC6407"/>
    <w:rsid w:val="00BC6488"/>
    <w:rsid w:val="00BC69F3"/>
    <w:rsid w:val="00BC6E69"/>
    <w:rsid w:val="00BC7156"/>
    <w:rsid w:val="00BC7325"/>
    <w:rsid w:val="00BC7707"/>
    <w:rsid w:val="00BC7D31"/>
    <w:rsid w:val="00BC7EA5"/>
    <w:rsid w:val="00BD019D"/>
    <w:rsid w:val="00BD023A"/>
    <w:rsid w:val="00BD0373"/>
    <w:rsid w:val="00BD0C38"/>
    <w:rsid w:val="00BD14AC"/>
    <w:rsid w:val="00BD1610"/>
    <w:rsid w:val="00BD1787"/>
    <w:rsid w:val="00BD17E4"/>
    <w:rsid w:val="00BD1A00"/>
    <w:rsid w:val="00BD1FD9"/>
    <w:rsid w:val="00BD2209"/>
    <w:rsid w:val="00BD2264"/>
    <w:rsid w:val="00BD2400"/>
    <w:rsid w:val="00BD27D9"/>
    <w:rsid w:val="00BD2E90"/>
    <w:rsid w:val="00BD30C1"/>
    <w:rsid w:val="00BD3CB6"/>
    <w:rsid w:val="00BD4293"/>
    <w:rsid w:val="00BD55E9"/>
    <w:rsid w:val="00BD5A5A"/>
    <w:rsid w:val="00BD5DC0"/>
    <w:rsid w:val="00BD5E68"/>
    <w:rsid w:val="00BD61B7"/>
    <w:rsid w:val="00BD6394"/>
    <w:rsid w:val="00BD6CC1"/>
    <w:rsid w:val="00BD7149"/>
    <w:rsid w:val="00BD7CF3"/>
    <w:rsid w:val="00BD7F31"/>
    <w:rsid w:val="00BE001D"/>
    <w:rsid w:val="00BE0148"/>
    <w:rsid w:val="00BE02C5"/>
    <w:rsid w:val="00BE03B1"/>
    <w:rsid w:val="00BE0C64"/>
    <w:rsid w:val="00BE0D5F"/>
    <w:rsid w:val="00BE0DD1"/>
    <w:rsid w:val="00BE110C"/>
    <w:rsid w:val="00BE1657"/>
    <w:rsid w:val="00BE1F2F"/>
    <w:rsid w:val="00BE20F9"/>
    <w:rsid w:val="00BE21E3"/>
    <w:rsid w:val="00BE2212"/>
    <w:rsid w:val="00BE24F7"/>
    <w:rsid w:val="00BE2CB6"/>
    <w:rsid w:val="00BE2F32"/>
    <w:rsid w:val="00BE306A"/>
    <w:rsid w:val="00BE306D"/>
    <w:rsid w:val="00BE3236"/>
    <w:rsid w:val="00BE35C7"/>
    <w:rsid w:val="00BE369A"/>
    <w:rsid w:val="00BE391C"/>
    <w:rsid w:val="00BE43CF"/>
    <w:rsid w:val="00BE4A82"/>
    <w:rsid w:val="00BE5163"/>
    <w:rsid w:val="00BE51AE"/>
    <w:rsid w:val="00BE54B4"/>
    <w:rsid w:val="00BE578E"/>
    <w:rsid w:val="00BE5AF5"/>
    <w:rsid w:val="00BE5F67"/>
    <w:rsid w:val="00BE6477"/>
    <w:rsid w:val="00BE6B88"/>
    <w:rsid w:val="00BE72E7"/>
    <w:rsid w:val="00BE7528"/>
    <w:rsid w:val="00BE7682"/>
    <w:rsid w:val="00BE78F9"/>
    <w:rsid w:val="00BE7A0A"/>
    <w:rsid w:val="00BE7B01"/>
    <w:rsid w:val="00BF0AFB"/>
    <w:rsid w:val="00BF106A"/>
    <w:rsid w:val="00BF16A7"/>
    <w:rsid w:val="00BF1BB6"/>
    <w:rsid w:val="00BF38D3"/>
    <w:rsid w:val="00BF3BC6"/>
    <w:rsid w:val="00BF422B"/>
    <w:rsid w:val="00BF4399"/>
    <w:rsid w:val="00BF479C"/>
    <w:rsid w:val="00BF4F2E"/>
    <w:rsid w:val="00BF4F80"/>
    <w:rsid w:val="00BF51BA"/>
    <w:rsid w:val="00BF51BF"/>
    <w:rsid w:val="00BF5293"/>
    <w:rsid w:val="00BF5C22"/>
    <w:rsid w:val="00BF5F5E"/>
    <w:rsid w:val="00BF60C9"/>
    <w:rsid w:val="00BF61D3"/>
    <w:rsid w:val="00BF66D3"/>
    <w:rsid w:val="00BF6A7C"/>
    <w:rsid w:val="00BF6D2A"/>
    <w:rsid w:val="00BF6D69"/>
    <w:rsid w:val="00BF712E"/>
    <w:rsid w:val="00BF735F"/>
    <w:rsid w:val="00BF73A8"/>
    <w:rsid w:val="00C0020B"/>
    <w:rsid w:val="00C002C2"/>
    <w:rsid w:val="00C0053E"/>
    <w:rsid w:val="00C00604"/>
    <w:rsid w:val="00C0091D"/>
    <w:rsid w:val="00C00927"/>
    <w:rsid w:val="00C0107D"/>
    <w:rsid w:val="00C019CF"/>
    <w:rsid w:val="00C01BB8"/>
    <w:rsid w:val="00C020DD"/>
    <w:rsid w:val="00C0212A"/>
    <w:rsid w:val="00C02244"/>
    <w:rsid w:val="00C0250F"/>
    <w:rsid w:val="00C027E2"/>
    <w:rsid w:val="00C02EE2"/>
    <w:rsid w:val="00C0304B"/>
    <w:rsid w:val="00C03D2E"/>
    <w:rsid w:val="00C03E31"/>
    <w:rsid w:val="00C04026"/>
    <w:rsid w:val="00C0447B"/>
    <w:rsid w:val="00C04AD1"/>
    <w:rsid w:val="00C05232"/>
    <w:rsid w:val="00C057C9"/>
    <w:rsid w:val="00C05805"/>
    <w:rsid w:val="00C05AB9"/>
    <w:rsid w:val="00C05E6F"/>
    <w:rsid w:val="00C06497"/>
    <w:rsid w:val="00C06546"/>
    <w:rsid w:val="00C068EA"/>
    <w:rsid w:val="00C06993"/>
    <w:rsid w:val="00C06D26"/>
    <w:rsid w:val="00C07810"/>
    <w:rsid w:val="00C101ED"/>
    <w:rsid w:val="00C108A3"/>
    <w:rsid w:val="00C119E3"/>
    <w:rsid w:val="00C11E78"/>
    <w:rsid w:val="00C12611"/>
    <w:rsid w:val="00C126E7"/>
    <w:rsid w:val="00C128A0"/>
    <w:rsid w:val="00C12F5A"/>
    <w:rsid w:val="00C130B4"/>
    <w:rsid w:val="00C13170"/>
    <w:rsid w:val="00C1471C"/>
    <w:rsid w:val="00C14EAD"/>
    <w:rsid w:val="00C15BF5"/>
    <w:rsid w:val="00C163E0"/>
    <w:rsid w:val="00C1657C"/>
    <w:rsid w:val="00C1690A"/>
    <w:rsid w:val="00C16D29"/>
    <w:rsid w:val="00C16DDE"/>
    <w:rsid w:val="00C16EFB"/>
    <w:rsid w:val="00C170BC"/>
    <w:rsid w:val="00C17FBB"/>
    <w:rsid w:val="00C20022"/>
    <w:rsid w:val="00C20071"/>
    <w:rsid w:val="00C20849"/>
    <w:rsid w:val="00C20A33"/>
    <w:rsid w:val="00C20CC1"/>
    <w:rsid w:val="00C20FBE"/>
    <w:rsid w:val="00C21078"/>
    <w:rsid w:val="00C213CC"/>
    <w:rsid w:val="00C21899"/>
    <w:rsid w:val="00C21D40"/>
    <w:rsid w:val="00C220BB"/>
    <w:rsid w:val="00C22161"/>
    <w:rsid w:val="00C22641"/>
    <w:rsid w:val="00C228A8"/>
    <w:rsid w:val="00C22ECB"/>
    <w:rsid w:val="00C23036"/>
    <w:rsid w:val="00C24A20"/>
    <w:rsid w:val="00C24A3E"/>
    <w:rsid w:val="00C2504A"/>
    <w:rsid w:val="00C25CFE"/>
    <w:rsid w:val="00C26C78"/>
    <w:rsid w:val="00C26FC8"/>
    <w:rsid w:val="00C27AEE"/>
    <w:rsid w:val="00C27CD1"/>
    <w:rsid w:val="00C303E0"/>
    <w:rsid w:val="00C30988"/>
    <w:rsid w:val="00C30B4D"/>
    <w:rsid w:val="00C30BDE"/>
    <w:rsid w:val="00C317F3"/>
    <w:rsid w:val="00C319C7"/>
    <w:rsid w:val="00C31EC2"/>
    <w:rsid w:val="00C32168"/>
    <w:rsid w:val="00C32B01"/>
    <w:rsid w:val="00C32F44"/>
    <w:rsid w:val="00C332B7"/>
    <w:rsid w:val="00C333BF"/>
    <w:rsid w:val="00C33433"/>
    <w:rsid w:val="00C33AFC"/>
    <w:rsid w:val="00C33D09"/>
    <w:rsid w:val="00C3445A"/>
    <w:rsid w:val="00C34992"/>
    <w:rsid w:val="00C34AED"/>
    <w:rsid w:val="00C35105"/>
    <w:rsid w:val="00C35516"/>
    <w:rsid w:val="00C35943"/>
    <w:rsid w:val="00C359CC"/>
    <w:rsid w:val="00C3630B"/>
    <w:rsid w:val="00C36AB6"/>
    <w:rsid w:val="00C3700A"/>
    <w:rsid w:val="00C37568"/>
    <w:rsid w:val="00C37A36"/>
    <w:rsid w:val="00C37FB8"/>
    <w:rsid w:val="00C4060D"/>
    <w:rsid w:val="00C4139D"/>
    <w:rsid w:val="00C41464"/>
    <w:rsid w:val="00C414A1"/>
    <w:rsid w:val="00C41865"/>
    <w:rsid w:val="00C423F4"/>
    <w:rsid w:val="00C42B06"/>
    <w:rsid w:val="00C43144"/>
    <w:rsid w:val="00C43253"/>
    <w:rsid w:val="00C43812"/>
    <w:rsid w:val="00C4451E"/>
    <w:rsid w:val="00C4463F"/>
    <w:rsid w:val="00C44E79"/>
    <w:rsid w:val="00C454BB"/>
    <w:rsid w:val="00C4582F"/>
    <w:rsid w:val="00C45D88"/>
    <w:rsid w:val="00C4610E"/>
    <w:rsid w:val="00C467E4"/>
    <w:rsid w:val="00C46A96"/>
    <w:rsid w:val="00C4708E"/>
    <w:rsid w:val="00C47188"/>
    <w:rsid w:val="00C47B49"/>
    <w:rsid w:val="00C47EE7"/>
    <w:rsid w:val="00C5031F"/>
    <w:rsid w:val="00C508DE"/>
    <w:rsid w:val="00C519BB"/>
    <w:rsid w:val="00C51AB4"/>
    <w:rsid w:val="00C51D55"/>
    <w:rsid w:val="00C52046"/>
    <w:rsid w:val="00C52060"/>
    <w:rsid w:val="00C523B8"/>
    <w:rsid w:val="00C52486"/>
    <w:rsid w:val="00C5290A"/>
    <w:rsid w:val="00C52992"/>
    <w:rsid w:val="00C5343C"/>
    <w:rsid w:val="00C5369F"/>
    <w:rsid w:val="00C5375A"/>
    <w:rsid w:val="00C539A9"/>
    <w:rsid w:val="00C540A0"/>
    <w:rsid w:val="00C540CD"/>
    <w:rsid w:val="00C54124"/>
    <w:rsid w:val="00C547F9"/>
    <w:rsid w:val="00C54C6C"/>
    <w:rsid w:val="00C54C7F"/>
    <w:rsid w:val="00C5542A"/>
    <w:rsid w:val="00C55707"/>
    <w:rsid w:val="00C55F62"/>
    <w:rsid w:val="00C56436"/>
    <w:rsid w:val="00C564E9"/>
    <w:rsid w:val="00C56648"/>
    <w:rsid w:val="00C5671A"/>
    <w:rsid w:val="00C56739"/>
    <w:rsid w:val="00C56B63"/>
    <w:rsid w:val="00C570F7"/>
    <w:rsid w:val="00C57536"/>
    <w:rsid w:val="00C57B68"/>
    <w:rsid w:val="00C57EBA"/>
    <w:rsid w:val="00C600FB"/>
    <w:rsid w:val="00C6050B"/>
    <w:rsid w:val="00C6055D"/>
    <w:rsid w:val="00C60C0D"/>
    <w:rsid w:val="00C60C8F"/>
    <w:rsid w:val="00C60DA4"/>
    <w:rsid w:val="00C60F34"/>
    <w:rsid w:val="00C610BC"/>
    <w:rsid w:val="00C610BD"/>
    <w:rsid w:val="00C610C9"/>
    <w:rsid w:val="00C610FF"/>
    <w:rsid w:val="00C6166F"/>
    <w:rsid w:val="00C619CF"/>
    <w:rsid w:val="00C61B39"/>
    <w:rsid w:val="00C61C22"/>
    <w:rsid w:val="00C61E99"/>
    <w:rsid w:val="00C622BE"/>
    <w:rsid w:val="00C62370"/>
    <w:rsid w:val="00C62757"/>
    <w:rsid w:val="00C6282F"/>
    <w:rsid w:val="00C628FA"/>
    <w:rsid w:val="00C62C77"/>
    <w:rsid w:val="00C62D46"/>
    <w:rsid w:val="00C63325"/>
    <w:rsid w:val="00C63896"/>
    <w:rsid w:val="00C64584"/>
    <w:rsid w:val="00C64704"/>
    <w:rsid w:val="00C64BCD"/>
    <w:rsid w:val="00C64EA1"/>
    <w:rsid w:val="00C652DB"/>
    <w:rsid w:val="00C6560E"/>
    <w:rsid w:val="00C664BB"/>
    <w:rsid w:val="00C6671A"/>
    <w:rsid w:val="00C670B1"/>
    <w:rsid w:val="00C67CA2"/>
    <w:rsid w:val="00C7048A"/>
    <w:rsid w:val="00C705E5"/>
    <w:rsid w:val="00C70B15"/>
    <w:rsid w:val="00C70F7B"/>
    <w:rsid w:val="00C71988"/>
    <w:rsid w:val="00C71D7A"/>
    <w:rsid w:val="00C71E56"/>
    <w:rsid w:val="00C7232D"/>
    <w:rsid w:val="00C72ACC"/>
    <w:rsid w:val="00C72C92"/>
    <w:rsid w:val="00C72E42"/>
    <w:rsid w:val="00C72FE6"/>
    <w:rsid w:val="00C73017"/>
    <w:rsid w:val="00C7342F"/>
    <w:rsid w:val="00C734B7"/>
    <w:rsid w:val="00C735AC"/>
    <w:rsid w:val="00C73ABF"/>
    <w:rsid w:val="00C73ACB"/>
    <w:rsid w:val="00C73C50"/>
    <w:rsid w:val="00C73D2C"/>
    <w:rsid w:val="00C7426F"/>
    <w:rsid w:val="00C743DF"/>
    <w:rsid w:val="00C74510"/>
    <w:rsid w:val="00C74E76"/>
    <w:rsid w:val="00C74EE0"/>
    <w:rsid w:val="00C75ACF"/>
    <w:rsid w:val="00C75D80"/>
    <w:rsid w:val="00C75E27"/>
    <w:rsid w:val="00C76861"/>
    <w:rsid w:val="00C76EAA"/>
    <w:rsid w:val="00C76F43"/>
    <w:rsid w:val="00C773E2"/>
    <w:rsid w:val="00C77475"/>
    <w:rsid w:val="00C7756D"/>
    <w:rsid w:val="00C77809"/>
    <w:rsid w:val="00C77BFA"/>
    <w:rsid w:val="00C80526"/>
    <w:rsid w:val="00C806F4"/>
    <w:rsid w:val="00C807FF"/>
    <w:rsid w:val="00C8080B"/>
    <w:rsid w:val="00C80838"/>
    <w:rsid w:val="00C80EA2"/>
    <w:rsid w:val="00C81141"/>
    <w:rsid w:val="00C81651"/>
    <w:rsid w:val="00C8169C"/>
    <w:rsid w:val="00C81F5A"/>
    <w:rsid w:val="00C826C9"/>
    <w:rsid w:val="00C826EC"/>
    <w:rsid w:val="00C82CF5"/>
    <w:rsid w:val="00C82FB7"/>
    <w:rsid w:val="00C830E6"/>
    <w:rsid w:val="00C83B22"/>
    <w:rsid w:val="00C83F3E"/>
    <w:rsid w:val="00C849BC"/>
    <w:rsid w:val="00C84C53"/>
    <w:rsid w:val="00C84CA6"/>
    <w:rsid w:val="00C8517B"/>
    <w:rsid w:val="00C85280"/>
    <w:rsid w:val="00C8565B"/>
    <w:rsid w:val="00C85AAA"/>
    <w:rsid w:val="00C85D1F"/>
    <w:rsid w:val="00C86312"/>
    <w:rsid w:val="00C86C08"/>
    <w:rsid w:val="00C86C53"/>
    <w:rsid w:val="00C86C97"/>
    <w:rsid w:val="00C8719C"/>
    <w:rsid w:val="00C87235"/>
    <w:rsid w:val="00C874B1"/>
    <w:rsid w:val="00C87784"/>
    <w:rsid w:val="00C877F3"/>
    <w:rsid w:val="00C87D25"/>
    <w:rsid w:val="00C87EE3"/>
    <w:rsid w:val="00C901F7"/>
    <w:rsid w:val="00C90213"/>
    <w:rsid w:val="00C90952"/>
    <w:rsid w:val="00C90B86"/>
    <w:rsid w:val="00C90F07"/>
    <w:rsid w:val="00C91156"/>
    <w:rsid w:val="00C9164E"/>
    <w:rsid w:val="00C9180F"/>
    <w:rsid w:val="00C919D9"/>
    <w:rsid w:val="00C92040"/>
    <w:rsid w:val="00C920BA"/>
    <w:rsid w:val="00C9248B"/>
    <w:rsid w:val="00C92510"/>
    <w:rsid w:val="00C927B9"/>
    <w:rsid w:val="00C92A34"/>
    <w:rsid w:val="00C92D37"/>
    <w:rsid w:val="00C93104"/>
    <w:rsid w:val="00C93354"/>
    <w:rsid w:val="00C934CB"/>
    <w:rsid w:val="00C93CBB"/>
    <w:rsid w:val="00C93E76"/>
    <w:rsid w:val="00C94883"/>
    <w:rsid w:val="00C948D6"/>
    <w:rsid w:val="00C94B1F"/>
    <w:rsid w:val="00C94EDB"/>
    <w:rsid w:val="00C9562D"/>
    <w:rsid w:val="00C95ABE"/>
    <w:rsid w:val="00C95DC8"/>
    <w:rsid w:val="00C96043"/>
    <w:rsid w:val="00C96C67"/>
    <w:rsid w:val="00C96DB9"/>
    <w:rsid w:val="00C96F1C"/>
    <w:rsid w:val="00C96FB3"/>
    <w:rsid w:val="00C976B5"/>
    <w:rsid w:val="00C9780B"/>
    <w:rsid w:val="00C97F60"/>
    <w:rsid w:val="00C97F6A"/>
    <w:rsid w:val="00CA0471"/>
    <w:rsid w:val="00CA0F13"/>
    <w:rsid w:val="00CA11B6"/>
    <w:rsid w:val="00CA1E56"/>
    <w:rsid w:val="00CA2150"/>
    <w:rsid w:val="00CA2C98"/>
    <w:rsid w:val="00CA360C"/>
    <w:rsid w:val="00CA39F5"/>
    <w:rsid w:val="00CA3D4A"/>
    <w:rsid w:val="00CA44C6"/>
    <w:rsid w:val="00CA46A4"/>
    <w:rsid w:val="00CA470D"/>
    <w:rsid w:val="00CA49CF"/>
    <w:rsid w:val="00CA4D7D"/>
    <w:rsid w:val="00CA5750"/>
    <w:rsid w:val="00CA6CCD"/>
    <w:rsid w:val="00CA6E5E"/>
    <w:rsid w:val="00CA718A"/>
    <w:rsid w:val="00CA71C5"/>
    <w:rsid w:val="00CA7929"/>
    <w:rsid w:val="00CA7A47"/>
    <w:rsid w:val="00CA7CF0"/>
    <w:rsid w:val="00CA7FD8"/>
    <w:rsid w:val="00CB02E9"/>
    <w:rsid w:val="00CB058E"/>
    <w:rsid w:val="00CB0A87"/>
    <w:rsid w:val="00CB14D8"/>
    <w:rsid w:val="00CB14ED"/>
    <w:rsid w:val="00CB17D0"/>
    <w:rsid w:val="00CB17EB"/>
    <w:rsid w:val="00CB19D2"/>
    <w:rsid w:val="00CB1DA6"/>
    <w:rsid w:val="00CB28C0"/>
    <w:rsid w:val="00CB2C61"/>
    <w:rsid w:val="00CB2E2D"/>
    <w:rsid w:val="00CB33A5"/>
    <w:rsid w:val="00CB364E"/>
    <w:rsid w:val="00CB37DC"/>
    <w:rsid w:val="00CB3C9A"/>
    <w:rsid w:val="00CB4409"/>
    <w:rsid w:val="00CB45D7"/>
    <w:rsid w:val="00CB479D"/>
    <w:rsid w:val="00CB4CEF"/>
    <w:rsid w:val="00CB506B"/>
    <w:rsid w:val="00CB5759"/>
    <w:rsid w:val="00CB5FC9"/>
    <w:rsid w:val="00CB61E5"/>
    <w:rsid w:val="00CB6385"/>
    <w:rsid w:val="00CB6877"/>
    <w:rsid w:val="00CB76B4"/>
    <w:rsid w:val="00CB7730"/>
    <w:rsid w:val="00CB7999"/>
    <w:rsid w:val="00CB7C1B"/>
    <w:rsid w:val="00CB7D00"/>
    <w:rsid w:val="00CB7D1D"/>
    <w:rsid w:val="00CC00B7"/>
    <w:rsid w:val="00CC0BC3"/>
    <w:rsid w:val="00CC1803"/>
    <w:rsid w:val="00CC1E4A"/>
    <w:rsid w:val="00CC235D"/>
    <w:rsid w:val="00CC23E0"/>
    <w:rsid w:val="00CC2C59"/>
    <w:rsid w:val="00CC2F8C"/>
    <w:rsid w:val="00CC3186"/>
    <w:rsid w:val="00CC3191"/>
    <w:rsid w:val="00CC3206"/>
    <w:rsid w:val="00CC3270"/>
    <w:rsid w:val="00CC3465"/>
    <w:rsid w:val="00CC363E"/>
    <w:rsid w:val="00CC3699"/>
    <w:rsid w:val="00CC38F3"/>
    <w:rsid w:val="00CC391E"/>
    <w:rsid w:val="00CC3E4E"/>
    <w:rsid w:val="00CC3F14"/>
    <w:rsid w:val="00CC4033"/>
    <w:rsid w:val="00CC40D0"/>
    <w:rsid w:val="00CC4141"/>
    <w:rsid w:val="00CC4244"/>
    <w:rsid w:val="00CC445A"/>
    <w:rsid w:val="00CC4664"/>
    <w:rsid w:val="00CC4697"/>
    <w:rsid w:val="00CC4A01"/>
    <w:rsid w:val="00CC522E"/>
    <w:rsid w:val="00CC5D4F"/>
    <w:rsid w:val="00CC6AE6"/>
    <w:rsid w:val="00CC6DBA"/>
    <w:rsid w:val="00CC6EFC"/>
    <w:rsid w:val="00CC76A3"/>
    <w:rsid w:val="00CC7F2B"/>
    <w:rsid w:val="00CD0397"/>
    <w:rsid w:val="00CD03D7"/>
    <w:rsid w:val="00CD0B42"/>
    <w:rsid w:val="00CD1593"/>
    <w:rsid w:val="00CD16E0"/>
    <w:rsid w:val="00CD1850"/>
    <w:rsid w:val="00CD1B8E"/>
    <w:rsid w:val="00CD1B91"/>
    <w:rsid w:val="00CD21DF"/>
    <w:rsid w:val="00CD2686"/>
    <w:rsid w:val="00CD2BDE"/>
    <w:rsid w:val="00CD2D73"/>
    <w:rsid w:val="00CD31B0"/>
    <w:rsid w:val="00CD34EF"/>
    <w:rsid w:val="00CD3BA3"/>
    <w:rsid w:val="00CD3DE1"/>
    <w:rsid w:val="00CD41D9"/>
    <w:rsid w:val="00CD514E"/>
    <w:rsid w:val="00CD5D5C"/>
    <w:rsid w:val="00CD63C2"/>
    <w:rsid w:val="00CD66BB"/>
    <w:rsid w:val="00CD7698"/>
    <w:rsid w:val="00CD7E64"/>
    <w:rsid w:val="00CE0288"/>
    <w:rsid w:val="00CE14C6"/>
    <w:rsid w:val="00CE14D2"/>
    <w:rsid w:val="00CE1DCB"/>
    <w:rsid w:val="00CE23E2"/>
    <w:rsid w:val="00CE2890"/>
    <w:rsid w:val="00CE2C41"/>
    <w:rsid w:val="00CE3888"/>
    <w:rsid w:val="00CE3C00"/>
    <w:rsid w:val="00CE3D44"/>
    <w:rsid w:val="00CE3F1E"/>
    <w:rsid w:val="00CE413C"/>
    <w:rsid w:val="00CE43F8"/>
    <w:rsid w:val="00CE4644"/>
    <w:rsid w:val="00CE4D9C"/>
    <w:rsid w:val="00CE517A"/>
    <w:rsid w:val="00CE520F"/>
    <w:rsid w:val="00CE57B4"/>
    <w:rsid w:val="00CE5EF0"/>
    <w:rsid w:val="00CE68E6"/>
    <w:rsid w:val="00CE6A36"/>
    <w:rsid w:val="00CE6E1A"/>
    <w:rsid w:val="00CE771B"/>
    <w:rsid w:val="00CE7817"/>
    <w:rsid w:val="00CE7C65"/>
    <w:rsid w:val="00CE7E7B"/>
    <w:rsid w:val="00CF0163"/>
    <w:rsid w:val="00CF0377"/>
    <w:rsid w:val="00CF0641"/>
    <w:rsid w:val="00CF0A1F"/>
    <w:rsid w:val="00CF12FF"/>
    <w:rsid w:val="00CF208C"/>
    <w:rsid w:val="00CF24DE"/>
    <w:rsid w:val="00CF25E6"/>
    <w:rsid w:val="00CF25F4"/>
    <w:rsid w:val="00CF2BB3"/>
    <w:rsid w:val="00CF320E"/>
    <w:rsid w:val="00CF3269"/>
    <w:rsid w:val="00CF3593"/>
    <w:rsid w:val="00CF39B8"/>
    <w:rsid w:val="00CF3CA7"/>
    <w:rsid w:val="00CF3EC2"/>
    <w:rsid w:val="00CF4FE9"/>
    <w:rsid w:val="00CF5066"/>
    <w:rsid w:val="00CF518D"/>
    <w:rsid w:val="00CF5890"/>
    <w:rsid w:val="00CF59A1"/>
    <w:rsid w:val="00CF6062"/>
    <w:rsid w:val="00CF60BB"/>
    <w:rsid w:val="00CF651A"/>
    <w:rsid w:val="00CF67E0"/>
    <w:rsid w:val="00CF70EA"/>
    <w:rsid w:val="00CF77F2"/>
    <w:rsid w:val="00D00380"/>
    <w:rsid w:val="00D0080A"/>
    <w:rsid w:val="00D012A9"/>
    <w:rsid w:val="00D014FD"/>
    <w:rsid w:val="00D01846"/>
    <w:rsid w:val="00D01CFD"/>
    <w:rsid w:val="00D02448"/>
    <w:rsid w:val="00D024A8"/>
    <w:rsid w:val="00D02F8C"/>
    <w:rsid w:val="00D03069"/>
    <w:rsid w:val="00D0334D"/>
    <w:rsid w:val="00D03A7A"/>
    <w:rsid w:val="00D050FD"/>
    <w:rsid w:val="00D053EE"/>
    <w:rsid w:val="00D05740"/>
    <w:rsid w:val="00D059A9"/>
    <w:rsid w:val="00D05C4B"/>
    <w:rsid w:val="00D05CD5"/>
    <w:rsid w:val="00D06C77"/>
    <w:rsid w:val="00D06E8F"/>
    <w:rsid w:val="00D07062"/>
    <w:rsid w:val="00D07802"/>
    <w:rsid w:val="00D07A8A"/>
    <w:rsid w:val="00D100DC"/>
    <w:rsid w:val="00D10504"/>
    <w:rsid w:val="00D10808"/>
    <w:rsid w:val="00D10879"/>
    <w:rsid w:val="00D10CB8"/>
    <w:rsid w:val="00D1146E"/>
    <w:rsid w:val="00D115F2"/>
    <w:rsid w:val="00D1166A"/>
    <w:rsid w:val="00D11BF9"/>
    <w:rsid w:val="00D11D19"/>
    <w:rsid w:val="00D12389"/>
    <w:rsid w:val="00D126E6"/>
    <w:rsid w:val="00D128DD"/>
    <w:rsid w:val="00D12A94"/>
    <w:rsid w:val="00D13693"/>
    <w:rsid w:val="00D148CB"/>
    <w:rsid w:val="00D149DC"/>
    <w:rsid w:val="00D15258"/>
    <w:rsid w:val="00D16551"/>
    <w:rsid w:val="00D16762"/>
    <w:rsid w:val="00D16B4B"/>
    <w:rsid w:val="00D16CC1"/>
    <w:rsid w:val="00D16DBB"/>
    <w:rsid w:val="00D173BD"/>
    <w:rsid w:val="00D1741E"/>
    <w:rsid w:val="00D1758F"/>
    <w:rsid w:val="00D179F9"/>
    <w:rsid w:val="00D17A04"/>
    <w:rsid w:val="00D17BFC"/>
    <w:rsid w:val="00D17C25"/>
    <w:rsid w:val="00D20157"/>
    <w:rsid w:val="00D20258"/>
    <w:rsid w:val="00D20D9A"/>
    <w:rsid w:val="00D223D4"/>
    <w:rsid w:val="00D2240B"/>
    <w:rsid w:val="00D22B9C"/>
    <w:rsid w:val="00D22DD9"/>
    <w:rsid w:val="00D231D2"/>
    <w:rsid w:val="00D23468"/>
    <w:rsid w:val="00D2379E"/>
    <w:rsid w:val="00D23E4D"/>
    <w:rsid w:val="00D23E84"/>
    <w:rsid w:val="00D2408D"/>
    <w:rsid w:val="00D2460F"/>
    <w:rsid w:val="00D24CFA"/>
    <w:rsid w:val="00D258D9"/>
    <w:rsid w:val="00D2637B"/>
    <w:rsid w:val="00D263BC"/>
    <w:rsid w:val="00D2644D"/>
    <w:rsid w:val="00D26507"/>
    <w:rsid w:val="00D272B8"/>
    <w:rsid w:val="00D27347"/>
    <w:rsid w:val="00D2766D"/>
    <w:rsid w:val="00D27A03"/>
    <w:rsid w:val="00D27AFC"/>
    <w:rsid w:val="00D30806"/>
    <w:rsid w:val="00D30836"/>
    <w:rsid w:val="00D30EAC"/>
    <w:rsid w:val="00D3191C"/>
    <w:rsid w:val="00D31C77"/>
    <w:rsid w:val="00D31EB8"/>
    <w:rsid w:val="00D32B7A"/>
    <w:rsid w:val="00D33583"/>
    <w:rsid w:val="00D335FC"/>
    <w:rsid w:val="00D33F4F"/>
    <w:rsid w:val="00D34600"/>
    <w:rsid w:val="00D34649"/>
    <w:rsid w:val="00D346CA"/>
    <w:rsid w:val="00D35380"/>
    <w:rsid w:val="00D35B27"/>
    <w:rsid w:val="00D35DD2"/>
    <w:rsid w:val="00D36139"/>
    <w:rsid w:val="00D36231"/>
    <w:rsid w:val="00D3689B"/>
    <w:rsid w:val="00D36B5E"/>
    <w:rsid w:val="00D36C00"/>
    <w:rsid w:val="00D36D3A"/>
    <w:rsid w:val="00D37E9F"/>
    <w:rsid w:val="00D40476"/>
    <w:rsid w:val="00D40867"/>
    <w:rsid w:val="00D40CE5"/>
    <w:rsid w:val="00D4149E"/>
    <w:rsid w:val="00D419F6"/>
    <w:rsid w:val="00D41EBB"/>
    <w:rsid w:val="00D42178"/>
    <w:rsid w:val="00D42300"/>
    <w:rsid w:val="00D423AC"/>
    <w:rsid w:val="00D42B3A"/>
    <w:rsid w:val="00D43217"/>
    <w:rsid w:val="00D43728"/>
    <w:rsid w:val="00D43F99"/>
    <w:rsid w:val="00D44828"/>
    <w:rsid w:val="00D44A0B"/>
    <w:rsid w:val="00D450B5"/>
    <w:rsid w:val="00D450F9"/>
    <w:rsid w:val="00D45891"/>
    <w:rsid w:val="00D46145"/>
    <w:rsid w:val="00D461ED"/>
    <w:rsid w:val="00D46AD3"/>
    <w:rsid w:val="00D46DAB"/>
    <w:rsid w:val="00D473AF"/>
    <w:rsid w:val="00D4745D"/>
    <w:rsid w:val="00D476DB"/>
    <w:rsid w:val="00D478BC"/>
    <w:rsid w:val="00D50145"/>
    <w:rsid w:val="00D5028F"/>
    <w:rsid w:val="00D5071E"/>
    <w:rsid w:val="00D50ED9"/>
    <w:rsid w:val="00D523F5"/>
    <w:rsid w:val="00D52A40"/>
    <w:rsid w:val="00D52AF3"/>
    <w:rsid w:val="00D52CA7"/>
    <w:rsid w:val="00D53FF1"/>
    <w:rsid w:val="00D54E04"/>
    <w:rsid w:val="00D552FB"/>
    <w:rsid w:val="00D55315"/>
    <w:rsid w:val="00D55597"/>
    <w:rsid w:val="00D55DF8"/>
    <w:rsid w:val="00D55EA2"/>
    <w:rsid w:val="00D562F8"/>
    <w:rsid w:val="00D567AF"/>
    <w:rsid w:val="00D56E2E"/>
    <w:rsid w:val="00D56F36"/>
    <w:rsid w:val="00D57178"/>
    <w:rsid w:val="00D5722B"/>
    <w:rsid w:val="00D5731C"/>
    <w:rsid w:val="00D57FBC"/>
    <w:rsid w:val="00D60149"/>
    <w:rsid w:val="00D6042F"/>
    <w:rsid w:val="00D607F7"/>
    <w:rsid w:val="00D609D2"/>
    <w:rsid w:val="00D611F7"/>
    <w:rsid w:val="00D61527"/>
    <w:rsid w:val="00D61595"/>
    <w:rsid w:val="00D61A5E"/>
    <w:rsid w:val="00D62001"/>
    <w:rsid w:val="00D620BC"/>
    <w:rsid w:val="00D62264"/>
    <w:rsid w:val="00D629FF"/>
    <w:rsid w:val="00D62CBE"/>
    <w:rsid w:val="00D62D92"/>
    <w:rsid w:val="00D62E21"/>
    <w:rsid w:val="00D631A2"/>
    <w:rsid w:val="00D63508"/>
    <w:rsid w:val="00D63670"/>
    <w:rsid w:val="00D6372A"/>
    <w:rsid w:val="00D637A5"/>
    <w:rsid w:val="00D63A58"/>
    <w:rsid w:val="00D63C97"/>
    <w:rsid w:val="00D63DC5"/>
    <w:rsid w:val="00D644C1"/>
    <w:rsid w:val="00D648B9"/>
    <w:rsid w:val="00D65459"/>
    <w:rsid w:val="00D65475"/>
    <w:rsid w:val="00D6605A"/>
    <w:rsid w:val="00D663F2"/>
    <w:rsid w:val="00D66AF9"/>
    <w:rsid w:val="00D676D4"/>
    <w:rsid w:val="00D67BBD"/>
    <w:rsid w:val="00D67BD4"/>
    <w:rsid w:val="00D67C2D"/>
    <w:rsid w:val="00D7003C"/>
    <w:rsid w:val="00D7014F"/>
    <w:rsid w:val="00D705CC"/>
    <w:rsid w:val="00D71169"/>
    <w:rsid w:val="00D7135F"/>
    <w:rsid w:val="00D7140C"/>
    <w:rsid w:val="00D716B3"/>
    <w:rsid w:val="00D7186B"/>
    <w:rsid w:val="00D72861"/>
    <w:rsid w:val="00D72F4A"/>
    <w:rsid w:val="00D7346A"/>
    <w:rsid w:val="00D73FF8"/>
    <w:rsid w:val="00D74E4C"/>
    <w:rsid w:val="00D75683"/>
    <w:rsid w:val="00D756FA"/>
    <w:rsid w:val="00D75934"/>
    <w:rsid w:val="00D761C1"/>
    <w:rsid w:val="00D7626B"/>
    <w:rsid w:val="00D76731"/>
    <w:rsid w:val="00D767DA"/>
    <w:rsid w:val="00D76DF8"/>
    <w:rsid w:val="00D76F3B"/>
    <w:rsid w:val="00D771AA"/>
    <w:rsid w:val="00D80B61"/>
    <w:rsid w:val="00D80EB7"/>
    <w:rsid w:val="00D818A4"/>
    <w:rsid w:val="00D821A2"/>
    <w:rsid w:val="00D82D42"/>
    <w:rsid w:val="00D82F7A"/>
    <w:rsid w:val="00D83604"/>
    <w:rsid w:val="00D83AA3"/>
    <w:rsid w:val="00D84804"/>
    <w:rsid w:val="00D84F6B"/>
    <w:rsid w:val="00D850D0"/>
    <w:rsid w:val="00D85A75"/>
    <w:rsid w:val="00D865CB"/>
    <w:rsid w:val="00D86701"/>
    <w:rsid w:val="00D86960"/>
    <w:rsid w:val="00D869FF"/>
    <w:rsid w:val="00D86A41"/>
    <w:rsid w:val="00D86B00"/>
    <w:rsid w:val="00D8792F"/>
    <w:rsid w:val="00D87F05"/>
    <w:rsid w:val="00D90728"/>
    <w:rsid w:val="00D9144D"/>
    <w:rsid w:val="00D922B3"/>
    <w:rsid w:val="00D92538"/>
    <w:rsid w:val="00D92896"/>
    <w:rsid w:val="00D9297A"/>
    <w:rsid w:val="00D92A90"/>
    <w:rsid w:val="00D92ADF"/>
    <w:rsid w:val="00D92C36"/>
    <w:rsid w:val="00D93599"/>
    <w:rsid w:val="00D93B58"/>
    <w:rsid w:val="00D93BB4"/>
    <w:rsid w:val="00D93C8A"/>
    <w:rsid w:val="00D940A9"/>
    <w:rsid w:val="00D94155"/>
    <w:rsid w:val="00D94171"/>
    <w:rsid w:val="00D94800"/>
    <w:rsid w:val="00D9566B"/>
    <w:rsid w:val="00D95E69"/>
    <w:rsid w:val="00D96050"/>
    <w:rsid w:val="00D96280"/>
    <w:rsid w:val="00D96BAE"/>
    <w:rsid w:val="00D976A4"/>
    <w:rsid w:val="00DA0947"/>
    <w:rsid w:val="00DA1117"/>
    <w:rsid w:val="00DA12BB"/>
    <w:rsid w:val="00DA141D"/>
    <w:rsid w:val="00DA2053"/>
    <w:rsid w:val="00DA25CC"/>
    <w:rsid w:val="00DA280D"/>
    <w:rsid w:val="00DA2CC8"/>
    <w:rsid w:val="00DA32EB"/>
    <w:rsid w:val="00DA3524"/>
    <w:rsid w:val="00DA3BC0"/>
    <w:rsid w:val="00DA3C65"/>
    <w:rsid w:val="00DA3FD8"/>
    <w:rsid w:val="00DA41A5"/>
    <w:rsid w:val="00DA42D7"/>
    <w:rsid w:val="00DA5115"/>
    <w:rsid w:val="00DA54B6"/>
    <w:rsid w:val="00DA5CF3"/>
    <w:rsid w:val="00DA5FF7"/>
    <w:rsid w:val="00DA65E8"/>
    <w:rsid w:val="00DA69AA"/>
    <w:rsid w:val="00DA711D"/>
    <w:rsid w:val="00DA79CF"/>
    <w:rsid w:val="00DA7CE1"/>
    <w:rsid w:val="00DB02C7"/>
    <w:rsid w:val="00DB05B1"/>
    <w:rsid w:val="00DB0640"/>
    <w:rsid w:val="00DB06FF"/>
    <w:rsid w:val="00DB0CC4"/>
    <w:rsid w:val="00DB0CFE"/>
    <w:rsid w:val="00DB163C"/>
    <w:rsid w:val="00DB1B69"/>
    <w:rsid w:val="00DB1CF1"/>
    <w:rsid w:val="00DB203A"/>
    <w:rsid w:val="00DB208C"/>
    <w:rsid w:val="00DB2359"/>
    <w:rsid w:val="00DB249D"/>
    <w:rsid w:val="00DB2D3A"/>
    <w:rsid w:val="00DB30D9"/>
    <w:rsid w:val="00DB3767"/>
    <w:rsid w:val="00DB39F5"/>
    <w:rsid w:val="00DB3CA0"/>
    <w:rsid w:val="00DB4092"/>
    <w:rsid w:val="00DB46A4"/>
    <w:rsid w:val="00DB4A0D"/>
    <w:rsid w:val="00DB4AC9"/>
    <w:rsid w:val="00DB5101"/>
    <w:rsid w:val="00DB58C8"/>
    <w:rsid w:val="00DB5E9B"/>
    <w:rsid w:val="00DB6E9C"/>
    <w:rsid w:val="00DB7069"/>
    <w:rsid w:val="00DB754B"/>
    <w:rsid w:val="00DB755D"/>
    <w:rsid w:val="00DB7C89"/>
    <w:rsid w:val="00DC0E5A"/>
    <w:rsid w:val="00DC14CE"/>
    <w:rsid w:val="00DC18B4"/>
    <w:rsid w:val="00DC1DB6"/>
    <w:rsid w:val="00DC23F3"/>
    <w:rsid w:val="00DC294A"/>
    <w:rsid w:val="00DC29B5"/>
    <w:rsid w:val="00DC2A98"/>
    <w:rsid w:val="00DC34AC"/>
    <w:rsid w:val="00DC3596"/>
    <w:rsid w:val="00DC3811"/>
    <w:rsid w:val="00DC3E0A"/>
    <w:rsid w:val="00DC3E2D"/>
    <w:rsid w:val="00DC45D0"/>
    <w:rsid w:val="00DC49A5"/>
    <w:rsid w:val="00DC4BB5"/>
    <w:rsid w:val="00DC50E5"/>
    <w:rsid w:val="00DC5D26"/>
    <w:rsid w:val="00DC5DE4"/>
    <w:rsid w:val="00DC65FC"/>
    <w:rsid w:val="00DC6780"/>
    <w:rsid w:val="00DC685F"/>
    <w:rsid w:val="00DC6A0F"/>
    <w:rsid w:val="00DC6D50"/>
    <w:rsid w:val="00DC787F"/>
    <w:rsid w:val="00DD037C"/>
    <w:rsid w:val="00DD0D5B"/>
    <w:rsid w:val="00DD0F45"/>
    <w:rsid w:val="00DD0FCB"/>
    <w:rsid w:val="00DD11FC"/>
    <w:rsid w:val="00DD27A1"/>
    <w:rsid w:val="00DD323A"/>
    <w:rsid w:val="00DD359E"/>
    <w:rsid w:val="00DD371D"/>
    <w:rsid w:val="00DD4142"/>
    <w:rsid w:val="00DD42F0"/>
    <w:rsid w:val="00DD46B2"/>
    <w:rsid w:val="00DD4A1F"/>
    <w:rsid w:val="00DD4B88"/>
    <w:rsid w:val="00DD4F22"/>
    <w:rsid w:val="00DD5300"/>
    <w:rsid w:val="00DD5598"/>
    <w:rsid w:val="00DD5662"/>
    <w:rsid w:val="00DD57E3"/>
    <w:rsid w:val="00DD614D"/>
    <w:rsid w:val="00DD663D"/>
    <w:rsid w:val="00DD66B1"/>
    <w:rsid w:val="00DD69A1"/>
    <w:rsid w:val="00DD6CB8"/>
    <w:rsid w:val="00DD7E0E"/>
    <w:rsid w:val="00DE0881"/>
    <w:rsid w:val="00DE0D93"/>
    <w:rsid w:val="00DE0DD5"/>
    <w:rsid w:val="00DE1179"/>
    <w:rsid w:val="00DE27EF"/>
    <w:rsid w:val="00DE2B66"/>
    <w:rsid w:val="00DE2B94"/>
    <w:rsid w:val="00DE323A"/>
    <w:rsid w:val="00DE3BEA"/>
    <w:rsid w:val="00DE3F6E"/>
    <w:rsid w:val="00DE4161"/>
    <w:rsid w:val="00DE4346"/>
    <w:rsid w:val="00DE50ED"/>
    <w:rsid w:val="00DE51AD"/>
    <w:rsid w:val="00DE51EC"/>
    <w:rsid w:val="00DE5C8F"/>
    <w:rsid w:val="00DE5FF2"/>
    <w:rsid w:val="00DE63C3"/>
    <w:rsid w:val="00DE6810"/>
    <w:rsid w:val="00DE6A20"/>
    <w:rsid w:val="00DE6BC5"/>
    <w:rsid w:val="00DE6DB1"/>
    <w:rsid w:val="00DE7143"/>
    <w:rsid w:val="00DE771E"/>
    <w:rsid w:val="00DE7E5A"/>
    <w:rsid w:val="00DF0008"/>
    <w:rsid w:val="00DF008E"/>
    <w:rsid w:val="00DF07B2"/>
    <w:rsid w:val="00DF082D"/>
    <w:rsid w:val="00DF08CC"/>
    <w:rsid w:val="00DF0D3B"/>
    <w:rsid w:val="00DF1219"/>
    <w:rsid w:val="00DF144B"/>
    <w:rsid w:val="00DF1C74"/>
    <w:rsid w:val="00DF20BA"/>
    <w:rsid w:val="00DF221F"/>
    <w:rsid w:val="00DF2248"/>
    <w:rsid w:val="00DF2274"/>
    <w:rsid w:val="00DF28E7"/>
    <w:rsid w:val="00DF3340"/>
    <w:rsid w:val="00DF37A4"/>
    <w:rsid w:val="00DF37AA"/>
    <w:rsid w:val="00DF39CF"/>
    <w:rsid w:val="00DF3BBC"/>
    <w:rsid w:val="00DF3E19"/>
    <w:rsid w:val="00DF41F0"/>
    <w:rsid w:val="00DF4581"/>
    <w:rsid w:val="00DF4C0C"/>
    <w:rsid w:val="00DF5342"/>
    <w:rsid w:val="00DF5A59"/>
    <w:rsid w:val="00DF5B9D"/>
    <w:rsid w:val="00DF5DBE"/>
    <w:rsid w:val="00DF5DF5"/>
    <w:rsid w:val="00DF65D1"/>
    <w:rsid w:val="00DF6F3E"/>
    <w:rsid w:val="00DF6FB6"/>
    <w:rsid w:val="00DF7058"/>
    <w:rsid w:val="00DF7436"/>
    <w:rsid w:val="00DF77A3"/>
    <w:rsid w:val="00E0034F"/>
    <w:rsid w:val="00E004EC"/>
    <w:rsid w:val="00E00799"/>
    <w:rsid w:val="00E009E9"/>
    <w:rsid w:val="00E013B2"/>
    <w:rsid w:val="00E01522"/>
    <w:rsid w:val="00E01643"/>
    <w:rsid w:val="00E01B7F"/>
    <w:rsid w:val="00E01FB5"/>
    <w:rsid w:val="00E021C6"/>
    <w:rsid w:val="00E02DDA"/>
    <w:rsid w:val="00E0311B"/>
    <w:rsid w:val="00E041E9"/>
    <w:rsid w:val="00E04587"/>
    <w:rsid w:val="00E04A8F"/>
    <w:rsid w:val="00E04BA5"/>
    <w:rsid w:val="00E05425"/>
    <w:rsid w:val="00E054D8"/>
    <w:rsid w:val="00E057F9"/>
    <w:rsid w:val="00E05F96"/>
    <w:rsid w:val="00E0644E"/>
    <w:rsid w:val="00E06615"/>
    <w:rsid w:val="00E06CE6"/>
    <w:rsid w:val="00E07579"/>
    <w:rsid w:val="00E077C5"/>
    <w:rsid w:val="00E107D7"/>
    <w:rsid w:val="00E10DB0"/>
    <w:rsid w:val="00E112CC"/>
    <w:rsid w:val="00E117D5"/>
    <w:rsid w:val="00E11858"/>
    <w:rsid w:val="00E11BCB"/>
    <w:rsid w:val="00E11E79"/>
    <w:rsid w:val="00E122AE"/>
    <w:rsid w:val="00E123EC"/>
    <w:rsid w:val="00E125A2"/>
    <w:rsid w:val="00E125D0"/>
    <w:rsid w:val="00E12D87"/>
    <w:rsid w:val="00E12E90"/>
    <w:rsid w:val="00E12EA8"/>
    <w:rsid w:val="00E1330E"/>
    <w:rsid w:val="00E137EA"/>
    <w:rsid w:val="00E1394E"/>
    <w:rsid w:val="00E13B09"/>
    <w:rsid w:val="00E13B9A"/>
    <w:rsid w:val="00E13BA4"/>
    <w:rsid w:val="00E13D4D"/>
    <w:rsid w:val="00E14145"/>
    <w:rsid w:val="00E145C6"/>
    <w:rsid w:val="00E14784"/>
    <w:rsid w:val="00E14857"/>
    <w:rsid w:val="00E148E5"/>
    <w:rsid w:val="00E1490B"/>
    <w:rsid w:val="00E14EE8"/>
    <w:rsid w:val="00E14FC3"/>
    <w:rsid w:val="00E154AF"/>
    <w:rsid w:val="00E16816"/>
    <w:rsid w:val="00E16C19"/>
    <w:rsid w:val="00E16E2A"/>
    <w:rsid w:val="00E17556"/>
    <w:rsid w:val="00E17DE6"/>
    <w:rsid w:val="00E17F9F"/>
    <w:rsid w:val="00E20249"/>
    <w:rsid w:val="00E205C5"/>
    <w:rsid w:val="00E20879"/>
    <w:rsid w:val="00E209AD"/>
    <w:rsid w:val="00E20C47"/>
    <w:rsid w:val="00E20F04"/>
    <w:rsid w:val="00E21017"/>
    <w:rsid w:val="00E2108A"/>
    <w:rsid w:val="00E21A1D"/>
    <w:rsid w:val="00E21B92"/>
    <w:rsid w:val="00E21E55"/>
    <w:rsid w:val="00E21F96"/>
    <w:rsid w:val="00E21FB9"/>
    <w:rsid w:val="00E22081"/>
    <w:rsid w:val="00E22A14"/>
    <w:rsid w:val="00E22D7E"/>
    <w:rsid w:val="00E232BC"/>
    <w:rsid w:val="00E243EB"/>
    <w:rsid w:val="00E24AC2"/>
    <w:rsid w:val="00E2516E"/>
    <w:rsid w:val="00E251DF"/>
    <w:rsid w:val="00E252D3"/>
    <w:rsid w:val="00E25B0D"/>
    <w:rsid w:val="00E25E80"/>
    <w:rsid w:val="00E26484"/>
    <w:rsid w:val="00E26528"/>
    <w:rsid w:val="00E26608"/>
    <w:rsid w:val="00E2675A"/>
    <w:rsid w:val="00E267FE"/>
    <w:rsid w:val="00E26BAA"/>
    <w:rsid w:val="00E26DC7"/>
    <w:rsid w:val="00E27316"/>
    <w:rsid w:val="00E27AEC"/>
    <w:rsid w:val="00E27B8B"/>
    <w:rsid w:val="00E3018A"/>
    <w:rsid w:val="00E30F8F"/>
    <w:rsid w:val="00E30FBF"/>
    <w:rsid w:val="00E30FDB"/>
    <w:rsid w:val="00E31811"/>
    <w:rsid w:val="00E31FED"/>
    <w:rsid w:val="00E3264A"/>
    <w:rsid w:val="00E32994"/>
    <w:rsid w:val="00E32B7A"/>
    <w:rsid w:val="00E32FAC"/>
    <w:rsid w:val="00E330B5"/>
    <w:rsid w:val="00E33AB2"/>
    <w:rsid w:val="00E34725"/>
    <w:rsid w:val="00E34CEF"/>
    <w:rsid w:val="00E34EBA"/>
    <w:rsid w:val="00E3517B"/>
    <w:rsid w:val="00E357AB"/>
    <w:rsid w:val="00E358EE"/>
    <w:rsid w:val="00E35BB4"/>
    <w:rsid w:val="00E35BD7"/>
    <w:rsid w:val="00E36803"/>
    <w:rsid w:val="00E36956"/>
    <w:rsid w:val="00E36BBC"/>
    <w:rsid w:val="00E36EC2"/>
    <w:rsid w:val="00E37B5F"/>
    <w:rsid w:val="00E37C97"/>
    <w:rsid w:val="00E405B2"/>
    <w:rsid w:val="00E40735"/>
    <w:rsid w:val="00E4080F"/>
    <w:rsid w:val="00E4092D"/>
    <w:rsid w:val="00E40AAB"/>
    <w:rsid w:val="00E419CC"/>
    <w:rsid w:val="00E42025"/>
    <w:rsid w:val="00E42A89"/>
    <w:rsid w:val="00E42B6E"/>
    <w:rsid w:val="00E43444"/>
    <w:rsid w:val="00E437A0"/>
    <w:rsid w:val="00E438E9"/>
    <w:rsid w:val="00E43D4F"/>
    <w:rsid w:val="00E4407C"/>
    <w:rsid w:val="00E446BA"/>
    <w:rsid w:val="00E4470A"/>
    <w:rsid w:val="00E44E3E"/>
    <w:rsid w:val="00E4563A"/>
    <w:rsid w:val="00E457AD"/>
    <w:rsid w:val="00E45D59"/>
    <w:rsid w:val="00E4694F"/>
    <w:rsid w:val="00E46A74"/>
    <w:rsid w:val="00E46CAE"/>
    <w:rsid w:val="00E46DEF"/>
    <w:rsid w:val="00E4745F"/>
    <w:rsid w:val="00E476CA"/>
    <w:rsid w:val="00E47886"/>
    <w:rsid w:val="00E47933"/>
    <w:rsid w:val="00E47E0C"/>
    <w:rsid w:val="00E50047"/>
    <w:rsid w:val="00E50CC9"/>
    <w:rsid w:val="00E51156"/>
    <w:rsid w:val="00E51339"/>
    <w:rsid w:val="00E5273F"/>
    <w:rsid w:val="00E52A54"/>
    <w:rsid w:val="00E53035"/>
    <w:rsid w:val="00E53602"/>
    <w:rsid w:val="00E53971"/>
    <w:rsid w:val="00E53FAC"/>
    <w:rsid w:val="00E5417F"/>
    <w:rsid w:val="00E5421F"/>
    <w:rsid w:val="00E542CB"/>
    <w:rsid w:val="00E54443"/>
    <w:rsid w:val="00E5469E"/>
    <w:rsid w:val="00E54763"/>
    <w:rsid w:val="00E550D9"/>
    <w:rsid w:val="00E5567F"/>
    <w:rsid w:val="00E55CD0"/>
    <w:rsid w:val="00E55EF1"/>
    <w:rsid w:val="00E561D1"/>
    <w:rsid w:val="00E56B97"/>
    <w:rsid w:val="00E56C30"/>
    <w:rsid w:val="00E5721A"/>
    <w:rsid w:val="00E574FA"/>
    <w:rsid w:val="00E5762E"/>
    <w:rsid w:val="00E57AA8"/>
    <w:rsid w:val="00E57ACE"/>
    <w:rsid w:val="00E57DAF"/>
    <w:rsid w:val="00E6006F"/>
    <w:rsid w:val="00E6042B"/>
    <w:rsid w:val="00E60531"/>
    <w:rsid w:val="00E60AB4"/>
    <w:rsid w:val="00E6123C"/>
    <w:rsid w:val="00E613BA"/>
    <w:rsid w:val="00E61CC1"/>
    <w:rsid w:val="00E62140"/>
    <w:rsid w:val="00E625BE"/>
    <w:rsid w:val="00E6284E"/>
    <w:rsid w:val="00E62A1A"/>
    <w:rsid w:val="00E62A5E"/>
    <w:rsid w:val="00E62DDB"/>
    <w:rsid w:val="00E63A1D"/>
    <w:rsid w:val="00E63F86"/>
    <w:rsid w:val="00E6435D"/>
    <w:rsid w:val="00E64397"/>
    <w:rsid w:val="00E64AB7"/>
    <w:rsid w:val="00E64CA3"/>
    <w:rsid w:val="00E651C1"/>
    <w:rsid w:val="00E65371"/>
    <w:rsid w:val="00E65F03"/>
    <w:rsid w:val="00E65F5F"/>
    <w:rsid w:val="00E65F7D"/>
    <w:rsid w:val="00E6610C"/>
    <w:rsid w:val="00E66171"/>
    <w:rsid w:val="00E66172"/>
    <w:rsid w:val="00E66244"/>
    <w:rsid w:val="00E6737C"/>
    <w:rsid w:val="00E678BB"/>
    <w:rsid w:val="00E67F57"/>
    <w:rsid w:val="00E67F7B"/>
    <w:rsid w:val="00E70271"/>
    <w:rsid w:val="00E7029E"/>
    <w:rsid w:val="00E705D2"/>
    <w:rsid w:val="00E708E8"/>
    <w:rsid w:val="00E70944"/>
    <w:rsid w:val="00E7142E"/>
    <w:rsid w:val="00E71518"/>
    <w:rsid w:val="00E719BE"/>
    <w:rsid w:val="00E71C52"/>
    <w:rsid w:val="00E7222D"/>
    <w:rsid w:val="00E72B26"/>
    <w:rsid w:val="00E72C62"/>
    <w:rsid w:val="00E73197"/>
    <w:rsid w:val="00E7345D"/>
    <w:rsid w:val="00E7348E"/>
    <w:rsid w:val="00E734B5"/>
    <w:rsid w:val="00E73578"/>
    <w:rsid w:val="00E735A2"/>
    <w:rsid w:val="00E73626"/>
    <w:rsid w:val="00E73CF7"/>
    <w:rsid w:val="00E7426C"/>
    <w:rsid w:val="00E74429"/>
    <w:rsid w:val="00E74AFA"/>
    <w:rsid w:val="00E74CD2"/>
    <w:rsid w:val="00E74CEF"/>
    <w:rsid w:val="00E74D0A"/>
    <w:rsid w:val="00E74F36"/>
    <w:rsid w:val="00E754CD"/>
    <w:rsid w:val="00E75FDD"/>
    <w:rsid w:val="00E764C9"/>
    <w:rsid w:val="00E766A4"/>
    <w:rsid w:val="00E769EF"/>
    <w:rsid w:val="00E76E6C"/>
    <w:rsid w:val="00E7735E"/>
    <w:rsid w:val="00E77398"/>
    <w:rsid w:val="00E77744"/>
    <w:rsid w:val="00E77E76"/>
    <w:rsid w:val="00E800A7"/>
    <w:rsid w:val="00E800DC"/>
    <w:rsid w:val="00E80613"/>
    <w:rsid w:val="00E807B3"/>
    <w:rsid w:val="00E80EF1"/>
    <w:rsid w:val="00E80FED"/>
    <w:rsid w:val="00E811B3"/>
    <w:rsid w:val="00E812EA"/>
    <w:rsid w:val="00E81B04"/>
    <w:rsid w:val="00E824AE"/>
    <w:rsid w:val="00E82AA6"/>
    <w:rsid w:val="00E82EA4"/>
    <w:rsid w:val="00E83133"/>
    <w:rsid w:val="00E83A57"/>
    <w:rsid w:val="00E83B25"/>
    <w:rsid w:val="00E8405B"/>
    <w:rsid w:val="00E84332"/>
    <w:rsid w:val="00E84BEE"/>
    <w:rsid w:val="00E84EF6"/>
    <w:rsid w:val="00E85230"/>
    <w:rsid w:val="00E852F1"/>
    <w:rsid w:val="00E85E45"/>
    <w:rsid w:val="00E860C7"/>
    <w:rsid w:val="00E860C9"/>
    <w:rsid w:val="00E86389"/>
    <w:rsid w:val="00E86629"/>
    <w:rsid w:val="00E87403"/>
    <w:rsid w:val="00E87E97"/>
    <w:rsid w:val="00E87FA8"/>
    <w:rsid w:val="00E90067"/>
    <w:rsid w:val="00E900E0"/>
    <w:rsid w:val="00E904EE"/>
    <w:rsid w:val="00E905D3"/>
    <w:rsid w:val="00E90665"/>
    <w:rsid w:val="00E90877"/>
    <w:rsid w:val="00E909AD"/>
    <w:rsid w:val="00E90C75"/>
    <w:rsid w:val="00E9100C"/>
    <w:rsid w:val="00E9103D"/>
    <w:rsid w:val="00E91519"/>
    <w:rsid w:val="00E91577"/>
    <w:rsid w:val="00E91AB7"/>
    <w:rsid w:val="00E91F0C"/>
    <w:rsid w:val="00E92568"/>
    <w:rsid w:val="00E92862"/>
    <w:rsid w:val="00E92E55"/>
    <w:rsid w:val="00E933FA"/>
    <w:rsid w:val="00E9373D"/>
    <w:rsid w:val="00E93D1B"/>
    <w:rsid w:val="00E93DEC"/>
    <w:rsid w:val="00E93E47"/>
    <w:rsid w:val="00E94115"/>
    <w:rsid w:val="00E94616"/>
    <w:rsid w:val="00E95199"/>
    <w:rsid w:val="00E951E3"/>
    <w:rsid w:val="00E95883"/>
    <w:rsid w:val="00E95CB3"/>
    <w:rsid w:val="00E96A8B"/>
    <w:rsid w:val="00E96CA9"/>
    <w:rsid w:val="00E97C37"/>
    <w:rsid w:val="00E97CC5"/>
    <w:rsid w:val="00E97CEB"/>
    <w:rsid w:val="00E97F70"/>
    <w:rsid w:val="00EA009F"/>
    <w:rsid w:val="00EA0603"/>
    <w:rsid w:val="00EA0D49"/>
    <w:rsid w:val="00EA0D90"/>
    <w:rsid w:val="00EA0EB1"/>
    <w:rsid w:val="00EA1949"/>
    <w:rsid w:val="00EA1CA0"/>
    <w:rsid w:val="00EA1E0F"/>
    <w:rsid w:val="00EA22DA"/>
    <w:rsid w:val="00EA232C"/>
    <w:rsid w:val="00EA237B"/>
    <w:rsid w:val="00EA23C4"/>
    <w:rsid w:val="00EA23CF"/>
    <w:rsid w:val="00EA2B01"/>
    <w:rsid w:val="00EA33DE"/>
    <w:rsid w:val="00EA3409"/>
    <w:rsid w:val="00EA3679"/>
    <w:rsid w:val="00EA3876"/>
    <w:rsid w:val="00EA3991"/>
    <w:rsid w:val="00EA39CD"/>
    <w:rsid w:val="00EA3D81"/>
    <w:rsid w:val="00EA3ED1"/>
    <w:rsid w:val="00EA4432"/>
    <w:rsid w:val="00EA444C"/>
    <w:rsid w:val="00EA4FEC"/>
    <w:rsid w:val="00EA5284"/>
    <w:rsid w:val="00EA5368"/>
    <w:rsid w:val="00EA66D9"/>
    <w:rsid w:val="00EA6D31"/>
    <w:rsid w:val="00EA7675"/>
    <w:rsid w:val="00EA7BAE"/>
    <w:rsid w:val="00EB057A"/>
    <w:rsid w:val="00EB0717"/>
    <w:rsid w:val="00EB07E5"/>
    <w:rsid w:val="00EB18E8"/>
    <w:rsid w:val="00EB1C3A"/>
    <w:rsid w:val="00EB22A0"/>
    <w:rsid w:val="00EB26D5"/>
    <w:rsid w:val="00EB36C9"/>
    <w:rsid w:val="00EB3817"/>
    <w:rsid w:val="00EB3B8D"/>
    <w:rsid w:val="00EB445C"/>
    <w:rsid w:val="00EB4855"/>
    <w:rsid w:val="00EB4A58"/>
    <w:rsid w:val="00EB54A2"/>
    <w:rsid w:val="00EB57F6"/>
    <w:rsid w:val="00EB580F"/>
    <w:rsid w:val="00EB5EC6"/>
    <w:rsid w:val="00EB62E6"/>
    <w:rsid w:val="00EB64CA"/>
    <w:rsid w:val="00EB680A"/>
    <w:rsid w:val="00EB6ADA"/>
    <w:rsid w:val="00EC00AA"/>
    <w:rsid w:val="00EC00E2"/>
    <w:rsid w:val="00EC01FF"/>
    <w:rsid w:val="00EC0204"/>
    <w:rsid w:val="00EC083E"/>
    <w:rsid w:val="00EC0FD2"/>
    <w:rsid w:val="00EC1291"/>
    <w:rsid w:val="00EC2655"/>
    <w:rsid w:val="00EC2C05"/>
    <w:rsid w:val="00EC2EE3"/>
    <w:rsid w:val="00EC30FD"/>
    <w:rsid w:val="00EC31DE"/>
    <w:rsid w:val="00EC32A4"/>
    <w:rsid w:val="00EC3572"/>
    <w:rsid w:val="00EC39D1"/>
    <w:rsid w:val="00EC4341"/>
    <w:rsid w:val="00EC4412"/>
    <w:rsid w:val="00EC4A57"/>
    <w:rsid w:val="00EC4C88"/>
    <w:rsid w:val="00EC4D92"/>
    <w:rsid w:val="00EC50A8"/>
    <w:rsid w:val="00EC5872"/>
    <w:rsid w:val="00EC5B13"/>
    <w:rsid w:val="00EC5FEA"/>
    <w:rsid w:val="00EC6B81"/>
    <w:rsid w:val="00EC6CF1"/>
    <w:rsid w:val="00EC736F"/>
    <w:rsid w:val="00EC76A9"/>
    <w:rsid w:val="00EC7D0B"/>
    <w:rsid w:val="00ED07B4"/>
    <w:rsid w:val="00ED0BA1"/>
    <w:rsid w:val="00ED12AF"/>
    <w:rsid w:val="00ED1F9A"/>
    <w:rsid w:val="00ED2126"/>
    <w:rsid w:val="00ED24EF"/>
    <w:rsid w:val="00ED2787"/>
    <w:rsid w:val="00ED279E"/>
    <w:rsid w:val="00ED2AB1"/>
    <w:rsid w:val="00ED40F2"/>
    <w:rsid w:val="00ED43F4"/>
    <w:rsid w:val="00ED49B3"/>
    <w:rsid w:val="00ED4AD5"/>
    <w:rsid w:val="00ED5079"/>
    <w:rsid w:val="00ED50A8"/>
    <w:rsid w:val="00ED5778"/>
    <w:rsid w:val="00ED57BF"/>
    <w:rsid w:val="00ED5D4B"/>
    <w:rsid w:val="00ED5E9B"/>
    <w:rsid w:val="00ED6257"/>
    <w:rsid w:val="00ED627B"/>
    <w:rsid w:val="00ED6DCE"/>
    <w:rsid w:val="00ED6DE8"/>
    <w:rsid w:val="00ED7292"/>
    <w:rsid w:val="00ED76A7"/>
    <w:rsid w:val="00ED76E1"/>
    <w:rsid w:val="00EE07AB"/>
    <w:rsid w:val="00EE19B1"/>
    <w:rsid w:val="00EE21FA"/>
    <w:rsid w:val="00EE327E"/>
    <w:rsid w:val="00EE37FD"/>
    <w:rsid w:val="00EE3D81"/>
    <w:rsid w:val="00EE3FB3"/>
    <w:rsid w:val="00EE484F"/>
    <w:rsid w:val="00EE4E0E"/>
    <w:rsid w:val="00EE50F8"/>
    <w:rsid w:val="00EE5B13"/>
    <w:rsid w:val="00EE5BB5"/>
    <w:rsid w:val="00EE623A"/>
    <w:rsid w:val="00EE6639"/>
    <w:rsid w:val="00EE6826"/>
    <w:rsid w:val="00EE741A"/>
    <w:rsid w:val="00EE751E"/>
    <w:rsid w:val="00EE7660"/>
    <w:rsid w:val="00EE7942"/>
    <w:rsid w:val="00EF0C5E"/>
    <w:rsid w:val="00EF0D92"/>
    <w:rsid w:val="00EF121B"/>
    <w:rsid w:val="00EF18E9"/>
    <w:rsid w:val="00EF2955"/>
    <w:rsid w:val="00EF2E74"/>
    <w:rsid w:val="00EF2EBB"/>
    <w:rsid w:val="00EF324F"/>
    <w:rsid w:val="00EF33CC"/>
    <w:rsid w:val="00EF3425"/>
    <w:rsid w:val="00EF3B56"/>
    <w:rsid w:val="00EF428F"/>
    <w:rsid w:val="00EF4888"/>
    <w:rsid w:val="00EF514D"/>
    <w:rsid w:val="00EF552E"/>
    <w:rsid w:val="00EF575E"/>
    <w:rsid w:val="00EF599A"/>
    <w:rsid w:val="00EF656C"/>
    <w:rsid w:val="00EF660B"/>
    <w:rsid w:val="00EF6703"/>
    <w:rsid w:val="00EF6A4C"/>
    <w:rsid w:val="00EF7363"/>
    <w:rsid w:val="00EF77D6"/>
    <w:rsid w:val="00EF7D48"/>
    <w:rsid w:val="00EF7F8F"/>
    <w:rsid w:val="00EF7FAF"/>
    <w:rsid w:val="00F000E0"/>
    <w:rsid w:val="00F003A3"/>
    <w:rsid w:val="00F00868"/>
    <w:rsid w:val="00F00E20"/>
    <w:rsid w:val="00F01DA3"/>
    <w:rsid w:val="00F01F43"/>
    <w:rsid w:val="00F024F8"/>
    <w:rsid w:val="00F02654"/>
    <w:rsid w:val="00F02769"/>
    <w:rsid w:val="00F02B88"/>
    <w:rsid w:val="00F02C4C"/>
    <w:rsid w:val="00F02E9E"/>
    <w:rsid w:val="00F03339"/>
    <w:rsid w:val="00F03897"/>
    <w:rsid w:val="00F03F9D"/>
    <w:rsid w:val="00F04BFF"/>
    <w:rsid w:val="00F04C29"/>
    <w:rsid w:val="00F04E6F"/>
    <w:rsid w:val="00F05192"/>
    <w:rsid w:val="00F0564C"/>
    <w:rsid w:val="00F05D77"/>
    <w:rsid w:val="00F0624E"/>
    <w:rsid w:val="00F07331"/>
    <w:rsid w:val="00F10032"/>
    <w:rsid w:val="00F10493"/>
    <w:rsid w:val="00F105A5"/>
    <w:rsid w:val="00F10944"/>
    <w:rsid w:val="00F10B6F"/>
    <w:rsid w:val="00F1103D"/>
    <w:rsid w:val="00F111B8"/>
    <w:rsid w:val="00F11765"/>
    <w:rsid w:val="00F11DB0"/>
    <w:rsid w:val="00F11F39"/>
    <w:rsid w:val="00F126DE"/>
    <w:rsid w:val="00F12805"/>
    <w:rsid w:val="00F12C7C"/>
    <w:rsid w:val="00F13054"/>
    <w:rsid w:val="00F130CC"/>
    <w:rsid w:val="00F13819"/>
    <w:rsid w:val="00F13A7F"/>
    <w:rsid w:val="00F13D7F"/>
    <w:rsid w:val="00F14141"/>
    <w:rsid w:val="00F14373"/>
    <w:rsid w:val="00F148BF"/>
    <w:rsid w:val="00F14E02"/>
    <w:rsid w:val="00F1556E"/>
    <w:rsid w:val="00F15C18"/>
    <w:rsid w:val="00F15C21"/>
    <w:rsid w:val="00F15DC1"/>
    <w:rsid w:val="00F15E73"/>
    <w:rsid w:val="00F16B26"/>
    <w:rsid w:val="00F16C69"/>
    <w:rsid w:val="00F16D54"/>
    <w:rsid w:val="00F16FE6"/>
    <w:rsid w:val="00F17250"/>
    <w:rsid w:val="00F17339"/>
    <w:rsid w:val="00F173D0"/>
    <w:rsid w:val="00F176C8"/>
    <w:rsid w:val="00F1779D"/>
    <w:rsid w:val="00F17C09"/>
    <w:rsid w:val="00F17D61"/>
    <w:rsid w:val="00F206C9"/>
    <w:rsid w:val="00F2169F"/>
    <w:rsid w:val="00F21B80"/>
    <w:rsid w:val="00F21C31"/>
    <w:rsid w:val="00F2284A"/>
    <w:rsid w:val="00F22D6B"/>
    <w:rsid w:val="00F231C4"/>
    <w:rsid w:val="00F234DA"/>
    <w:rsid w:val="00F239B0"/>
    <w:rsid w:val="00F23F99"/>
    <w:rsid w:val="00F24390"/>
    <w:rsid w:val="00F2467B"/>
    <w:rsid w:val="00F24BB6"/>
    <w:rsid w:val="00F24ED6"/>
    <w:rsid w:val="00F25100"/>
    <w:rsid w:val="00F25145"/>
    <w:rsid w:val="00F258E7"/>
    <w:rsid w:val="00F25A94"/>
    <w:rsid w:val="00F26469"/>
    <w:rsid w:val="00F269C0"/>
    <w:rsid w:val="00F26B27"/>
    <w:rsid w:val="00F2778D"/>
    <w:rsid w:val="00F27C20"/>
    <w:rsid w:val="00F3000D"/>
    <w:rsid w:val="00F300CF"/>
    <w:rsid w:val="00F30535"/>
    <w:rsid w:val="00F30975"/>
    <w:rsid w:val="00F30FBE"/>
    <w:rsid w:val="00F31D62"/>
    <w:rsid w:val="00F3212A"/>
    <w:rsid w:val="00F323BC"/>
    <w:rsid w:val="00F32B7B"/>
    <w:rsid w:val="00F32F89"/>
    <w:rsid w:val="00F3354B"/>
    <w:rsid w:val="00F335AA"/>
    <w:rsid w:val="00F335AD"/>
    <w:rsid w:val="00F337BE"/>
    <w:rsid w:val="00F33A35"/>
    <w:rsid w:val="00F33EB4"/>
    <w:rsid w:val="00F34356"/>
    <w:rsid w:val="00F34E91"/>
    <w:rsid w:val="00F352B9"/>
    <w:rsid w:val="00F353BB"/>
    <w:rsid w:val="00F359D8"/>
    <w:rsid w:val="00F35D23"/>
    <w:rsid w:val="00F35E8C"/>
    <w:rsid w:val="00F35FB9"/>
    <w:rsid w:val="00F36566"/>
    <w:rsid w:val="00F36570"/>
    <w:rsid w:val="00F3663E"/>
    <w:rsid w:val="00F368BA"/>
    <w:rsid w:val="00F3695F"/>
    <w:rsid w:val="00F36F46"/>
    <w:rsid w:val="00F372BF"/>
    <w:rsid w:val="00F37371"/>
    <w:rsid w:val="00F37737"/>
    <w:rsid w:val="00F40611"/>
    <w:rsid w:val="00F40619"/>
    <w:rsid w:val="00F40A81"/>
    <w:rsid w:val="00F41041"/>
    <w:rsid w:val="00F41255"/>
    <w:rsid w:val="00F41D10"/>
    <w:rsid w:val="00F4286E"/>
    <w:rsid w:val="00F42A88"/>
    <w:rsid w:val="00F42B1D"/>
    <w:rsid w:val="00F43206"/>
    <w:rsid w:val="00F4321B"/>
    <w:rsid w:val="00F446B6"/>
    <w:rsid w:val="00F44BEF"/>
    <w:rsid w:val="00F45163"/>
    <w:rsid w:val="00F455C3"/>
    <w:rsid w:val="00F45BA2"/>
    <w:rsid w:val="00F45FE3"/>
    <w:rsid w:val="00F4646E"/>
    <w:rsid w:val="00F46AD3"/>
    <w:rsid w:val="00F47351"/>
    <w:rsid w:val="00F4756C"/>
    <w:rsid w:val="00F47767"/>
    <w:rsid w:val="00F47834"/>
    <w:rsid w:val="00F50312"/>
    <w:rsid w:val="00F5033A"/>
    <w:rsid w:val="00F50839"/>
    <w:rsid w:val="00F50AF0"/>
    <w:rsid w:val="00F512F7"/>
    <w:rsid w:val="00F516CA"/>
    <w:rsid w:val="00F51901"/>
    <w:rsid w:val="00F51B3E"/>
    <w:rsid w:val="00F51C0C"/>
    <w:rsid w:val="00F51E5D"/>
    <w:rsid w:val="00F51F73"/>
    <w:rsid w:val="00F52E35"/>
    <w:rsid w:val="00F5356E"/>
    <w:rsid w:val="00F53586"/>
    <w:rsid w:val="00F53708"/>
    <w:rsid w:val="00F53881"/>
    <w:rsid w:val="00F53A00"/>
    <w:rsid w:val="00F53D5E"/>
    <w:rsid w:val="00F543C9"/>
    <w:rsid w:val="00F54677"/>
    <w:rsid w:val="00F54FAF"/>
    <w:rsid w:val="00F5513B"/>
    <w:rsid w:val="00F557AC"/>
    <w:rsid w:val="00F55F3D"/>
    <w:rsid w:val="00F55F56"/>
    <w:rsid w:val="00F56551"/>
    <w:rsid w:val="00F5692E"/>
    <w:rsid w:val="00F569DE"/>
    <w:rsid w:val="00F56A57"/>
    <w:rsid w:val="00F56BAB"/>
    <w:rsid w:val="00F56C6A"/>
    <w:rsid w:val="00F57509"/>
    <w:rsid w:val="00F57F76"/>
    <w:rsid w:val="00F601E9"/>
    <w:rsid w:val="00F6025F"/>
    <w:rsid w:val="00F60563"/>
    <w:rsid w:val="00F60878"/>
    <w:rsid w:val="00F608D2"/>
    <w:rsid w:val="00F60B37"/>
    <w:rsid w:val="00F60C80"/>
    <w:rsid w:val="00F61006"/>
    <w:rsid w:val="00F611CD"/>
    <w:rsid w:val="00F620BE"/>
    <w:rsid w:val="00F62129"/>
    <w:rsid w:val="00F621F3"/>
    <w:rsid w:val="00F624AA"/>
    <w:rsid w:val="00F625A9"/>
    <w:rsid w:val="00F62636"/>
    <w:rsid w:val="00F6272A"/>
    <w:rsid w:val="00F62A57"/>
    <w:rsid w:val="00F62C20"/>
    <w:rsid w:val="00F62F2B"/>
    <w:rsid w:val="00F6304B"/>
    <w:rsid w:val="00F6442E"/>
    <w:rsid w:val="00F6481E"/>
    <w:rsid w:val="00F648E1"/>
    <w:rsid w:val="00F64C5E"/>
    <w:rsid w:val="00F64EF4"/>
    <w:rsid w:val="00F65636"/>
    <w:rsid w:val="00F658CF"/>
    <w:rsid w:val="00F65D62"/>
    <w:rsid w:val="00F65EC2"/>
    <w:rsid w:val="00F660F2"/>
    <w:rsid w:val="00F66805"/>
    <w:rsid w:val="00F6738B"/>
    <w:rsid w:val="00F679EF"/>
    <w:rsid w:val="00F67C90"/>
    <w:rsid w:val="00F702E7"/>
    <w:rsid w:val="00F70527"/>
    <w:rsid w:val="00F70779"/>
    <w:rsid w:val="00F70A2E"/>
    <w:rsid w:val="00F70C3C"/>
    <w:rsid w:val="00F714F9"/>
    <w:rsid w:val="00F71A2F"/>
    <w:rsid w:val="00F71C50"/>
    <w:rsid w:val="00F72152"/>
    <w:rsid w:val="00F729FC"/>
    <w:rsid w:val="00F72A17"/>
    <w:rsid w:val="00F72E2E"/>
    <w:rsid w:val="00F73085"/>
    <w:rsid w:val="00F73413"/>
    <w:rsid w:val="00F734B0"/>
    <w:rsid w:val="00F73A7A"/>
    <w:rsid w:val="00F73AE6"/>
    <w:rsid w:val="00F73BD8"/>
    <w:rsid w:val="00F749B5"/>
    <w:rsid w:val="00F7500E"/>
    <w:rsid w:val="00F753FD"/>
    <w:rsid w:val="00F75AD2"/>
    <w:rsid w:val="00F75B8A"/>
    <w:rsid w:val="00F76A20"/>
    <w:rsid w:val="00F76B00"/>
    <w:rsid w:val="00F76EA2"/>
    <w:rsid w:val="00F771A4"/>
    <w:rsid w:val="00F777B6"/>
    <w:rsid w:val="00F77B8E"/>
    <w:rsid w:val="00F77C63"/>
    <w:rsid w:val="00F77E82"/>
    <w:rsid w:val="00F80010"/>
    <w:rsid w:val="00F802B3"/>
    <w:rsid w:val="00F8058B"/>
    <w:rsid w:val="00F80BF2"/>
    <w:rsid w:val="00F80E31"/>
    <w:rsid w:val="00F80F01"/>
    <w:rsid w:val="00F817D1"/>
    <w:rsid w:val="00F81841"/>
    <w:rsid w:val="00F81A50"/>
    <w:rsid w:val="00F81AA8"/>
    <w:rsid w:val="00F81C56"/>
    <w:rsid w:val="00F82484"/>
    <w:rsid w:val="00F824C9"/>
    <w:rsid w:val="00F82BE7"/>
    <w:rsid w:val="00F82C54"/>
    <w:rsid w:val="00F830C1"/>
    <w:rsid w:val="00F833A9"/>
    <w:rsid w:val="00F83850"/>
    <w:rsid w:val="00F83C5B"/>
    <w:rsid w:val="00F83CBE"/>
    <w:rsid w:val="00F83CCA"/>
    <w:rsid w:val="00F842D2"/>
    <w:rsid w:val="00F84780"/>
    <w:rsid w:val="00F84892"/>
    <w:rsid w:val="00F8492E"/>
    <w:rsid w:val="00F85925"/>
    <w:rsid w:val="00F86056"/>
    <w:rsid w:val="00F86324"/>
    <w:rsid w:val="00F863AE"/>
    <w:rsid w:val="00F8656F"/>
    <w:rsid w:val="00F87FFC"/>
    <w:rsid w:val="00F900E6"/>
    <w:rsid w:val="00F90A86"/>
    <w:rsid w:val="00F90DAB"/>
    <w:rsid w:val="00F9160C"/>
    <w:rsid w:val="00F918AB"/>
    <w:rsid w:val="00F91A12"/>
    <w:rsid w:val="00F91E35"/>
    <w:rsid w:val="00F92B40"/>
    <w:rsid w:val="00F93228"/>
    <w:rsid w:val="00F93DDB"/>
    <w:rsid w:val="00F941C8"/>
    <w:rsid w:val="00F94261"/>
    <w:rsid w:val="00F9538B"/>
    <w:rsid w:val="00F95C0D"/>
    <w:rsid w:val="00F95C99"/>
    <w:rsid w:val="00F967C8"/>
    <w:rsid w:val="00F967EE"/>
    <w:rsid w:val="00F96B60"/>
    <w:rsid w:val="00F96CA1"/>
    <w:rsid w:val="00F96F73"/>
    <w:rsid w:val="00F97502"/>
    <w:rsid w:val="00F97744"/>
    <w:rsid w:val="00F97758"/>
    <w:rsid w:val="00F97A92"/>
    <w:rsid w:val="00F97BB9"/>
    <w:rsid w:val="00F97F71"/>
    <w:rsid w:val="00F97FE6"/>
    <w:rsid w:val="00FA00F9"/>
    <w:rsid w:val="00FA05CD"/>
    <w:rsid w:val="00FA06C9"/>
    <w:rsid w:val="00FA0978"/>
    <w:rsid w:val="00FA1479"/>
    <w:rsid w:val="00FA15A6"/>
    <w:rsid w:val="00FA1670"/>
    <w:rsid w:val="00FA17D5"/>
    <w:rsid w:val="00FA1DFF"/>
    <w:rsid w:val="00FA2182"/>
    <w:rsid w:val="00FA23BD"/>
    <w:rsid w:val="00FA3729"/>
    <w:rsid w:val="00FA3A1C"/>
    <w:rsid w:val="00FA3D7C"/>
    <w:rsid w:val="00FA6219"/>
    <w:rsid w:val="00FA6780"/>
    <w:rsid w:val="00FA6A42"/>
    <w:rsid w:val="00FA7120"/>
    <w:rsid w:val="00FA7387"/>
    <w:rsid w:val="00FA74A1"/>
    <w:rsid w:val="00FA795A"/>
    <w:rsid w:val="00FA7B4A"/>
    <w:rsid w:val="00FA7C73"/>
    <w:rsid w:val="00FB05B3"/>
    <w:rsid w:val="00FB0723"/>
    <w:rsid w:val="00FB073E"/>
    <w:rsid w:val="00FB0F5E"/>
    <w:rsid w:val="00FB1F59"/>
    <w:rsid w:val="00FB20FF"/>
    <w:rsid w:val="00FB2884"/>
    <w:rsid w:val="00FB3246"/>
    <w:rsid w:val="00FB340B"/>
    <w:rsid w:val="00FB34A2"/>
    <w:rsid w:val="00FB40CD"/>
    <w:rsid w:val="00FB4FB3"/>
    <w:rsid w:val="00FB513F"/>
    <w:rsid w:val="00FB5445"/>
    <w:rsid w:val="00FB554C"/>
    <w:rsid w:val="00FB5832"/>
    <w:rsid w:val="00FB5AD7"/>
    <w:rsid w:val="00FB5BD3"/>
    <w:rsid w:val="00FB5E3F"/>
    <w:rsid w:val="00FB634A"/>
    <w:rsid w:val="00FB6413"/>
    <w:rsid w:val="00FB6A9A"/>
    <w:rsid w:val="00FB6B93"/>
    <w:rsid w:val="00FB7476"/>
    <w:rsid w:val="00FB7495"/>
    <w:rsid w:val="00FB74B1"/>
    <w:rsid w:val="00FB74DB"/>
    <w:rsid w:val="00FB78B2"/>
    <w:rsid w:val="00FC008C"/>
    <w:rsid w:val="00FC0263"/>
    <w:rsid w:val="00FC0A18"/>
    <w:rsid w:val="00FC0B43"/>
    <w:rsid w:val="00FC0C9F"/>
    <w:rsid w:val="00FC1324"/>
    <w:rsid w:val="00FC13FB"/>
    <w:rsid w:val="00FC1B65"/>
    <w:rsid w:val="00FC229D"/>
    <w:rsid w:val="00FC2654"/>
    <w:rsid w:val="00FC2668"/>
    <w:rsid w:val="00FC289A"/>
    <w:rsid w:val="00FC32EB"/>
    <w:rsid w:val="00FC3628"/>
    <w:rsid w:val="00FC3C64"/>
    <w:rsid w:val="00FC3DB4"/>
    <w:rsid w:val="00FC49F3"/>
    <w:rsid w:val="00FC4DF0"/>
    <w:rsid w:val="00FC547E"/>
    <w:rsid w:val="00FC5A09"/>
    <w:rsid w:val="00FC672E"/>
    <w:rsid w:val="00FC67FC"/>
    <w:rsid w:val="00FC6C31"/>
    <w:rsid w:val="00FC75AD"/>
    <w:rsid w:val="00FC7A69"/>
    <w:rsid w:val="00FD03AD"/>
    <w:rsid w:val="00FD03D5"/>
    <w:rsid w:val="00FD0563"/>
    <w:rsid w:val="00FD0D53"/>
    <w:rsid w:val="00FD0EB8"/>
    <w:rsid w:val="00FD12DB"/>
    <w:rsid w:val="00FD17D7"/>
    <w:rsid w:val="00FD24B2"/>
    <w:rsid w:val="00FD3201"/>
    <w:rsid w:val="00FD391B"/>
    <w:rsid w:val="00FD3EFF"/>
    <w:rsid w:val="00FD4479"/>
    <w:rsid w:val="00FD49B8"/>
    <w:rsid w:val="00FD4EA0"/>
    <w:rsid w:val="00FD5103"/>
    <w:rsid w:val="00FD55D2"/>
    <w:rsid w:val="00FD55F7"/>
    <w:rsid w:val="00FD5863"/>
    <w:rsid w:val="00FD5871"/>
    <w:rsid w:val="00FD600F"/>
    <w:rsid w:val="00FD6152"/>
    <w:rsid w:val="00FD618B"/>
    <w:rsid w:val="00FD6324"/>
    <w:rsid w:val="00FD66F5"/>
    <w:rsid w:val="00FD68E7"/>
    <w:rsid w:val="00FD6C97"/>
    <w:rsid w:val="00FD74E3"/>
    <w:rsid w:val="00FD77FE"/>
    <w:rsid w:val="00FD7A16"/>
    <w:rsid w:val="00FE002C"/>
    <w:rsid w:val="00FE128B"/>
    <w:rsid w:val="00FE1623"/>
    <w:rsid w:val="00FE1A17"/>
    <w:rsid w:val="00FE2D95"/>
    <w:rsid w:val="00FE2FEA"/>
    <w:rsid w:val="00FE31E1"/>
    <w:rsid w:val="00FE3BDC"/>
    <w:rsid w:val="00FE42EC"/>
    <w:rsid w:val="00FE4441"/>
    <w:rsid w:val="00FE49F8"/>
    <w:rsid w:val="00FE4F12"/>
    <w:rsid w:val="00FE5225"/>
    <w:rsid w:val="00FE58A2"/>
    <w:rsid w:val="00FE5951"/>
    <w:rsid w:val="00FE5AC5"/>
    <w:rsid w:val="00FE5B9F"/>
    <w:rsid w:val="00FE5D29"/>
    <w:rsid w:val="00FE6061"/>
    <w:rsid w:val="00FE65CE"/>
    <w:rsid w:val="00FE6ECA"/>
    <w:rsid w:val="00FE71A3"/>
    <w:rsid w:val="00FE73AA"/>
    <w:rsid w:val="00FE73C2"/>
    <w:rsid w:val="00FE7D91"/>
    <w:rsid w:val="00FF124D"/>
    <w:rsid w:val="00FF1CD7"/>
    <w:rsid w:val="00FF20DA"/>
    <w:rsid w:val="00FF2BAA"/>
    <w:rsid w:val="00FF30CC"/>
    <w:rsid w:val="00FF348B"/>
    <w:rsid w:val="00FF3E0A"/>
    <w:rsid w:val="00FF43FD"/>
    <w:rsid w:val="00FF455F"/>
    <w:rsid w:val="00FF4713"/>
    <w:rsid w:val="00FF4891"/>
    <w:rsid w:val="00FF4A0D"/>
    <w:rsid w:val="00FF4BF0"/>
    <w:rsid w:val="00FF60D9"/>
    <w:rsid w:val="00FF6D8D"/>
    <w:rsid w:val="00FF6E47"/>
    <w:rsid w:val="00FF6F07"/>
    <w:rsid w:val="00FF7002"/>
    <w:rsid w:val="00FF70F8"/>
    <w:rsid w:val="00FF75B8"/>
    <w:rsid w:val="00FF7667"/>
    <w:rsid w:val="00FF79D1"/>
    <w:rsid w:val="00FF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AF580"/>
  <w15:docId w15:val="{0421105F-1D4C-4A1D-AE7D-72B30C8C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alibri" w:hAnsi="Century Schoolboo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605"/>
    <w:pPr>
      <w:spacing w:line="288" w:lineRule="auto"/>
    </w:pPr>
    <w:rPr>
      <w:sz w:val="26"/>
      <w:szCs w:val="22"/>
    </w:rPr>
  </w:style>
  <w:style w:type="paragraph" w:styleId="Heading1">
    <w:name w:val="heading 1"/>
    <w:basedOn w:val="Normal"/>
    <w:next w:val="Normal"/>
    <w:link w:val="Heading1Char"/>
    <w:autoRedefine/>
    <w:uiPriority w:val="9"/>
    <w:qFormat/>
    <w:rsid w:val="003704CC"/>
    <w:pPr>
      <w:jc w:val="center"/>
      <w:outlineLvl w:val="0"/>
    </w:pPr>
    <w:rPr>
      <w:b/>
      <w:caps/>
    </w:rPr>
  </w:style>
  <w:style w:type="paragraph" w:styleId="Heading2">
    <w:name w:val="heading 2"/>
    <w:basedOn w:val="Normal"/>
    <w:next w:val="Normal"/>
    <w:link w:val="Heading2Char"/>
    <w:autoRedefine/>
    <w:uiPriority w:val="9"/>
    <w:qFormat/>
    <w:rsid w:val="004C02A6"/>
    <w:pPr>
      <w:keepNext/>
      <w:numPr>
        <w:ilvl w:val="1"/>
        <w:numId w:val="1"/>
      </w:numPr>
      <w:contextualSpacing/>
      <w:outlineLvl w:val="1"/>
    </w:pPr>
    <w:rPr>
      <w:i/>
      <w:iCs/>
    </w:rPr>
  </w:style>
  <w:style w:type="paragraph" w:styleId="Heading3">
    <w:name w:val="heading 3"/>
    <w:basedOn w:val="Normal"/>
    <w:next w:val="Normal"/>
    <w:link w:val="Heading3Char"/>
    <w:autoRedefine/>
    <w:uiPriority w:val="9"/>
    <w:qFormat/>
    <w:rsid w:val="00F771A4"/>
    <w:pPr>
      <w:keepNext/>
      <w:keepLines/>
      <w:ind w:left="1440" w:hanging="720"/>
      <w:outlineLvl w:val="2"/>
    </w:pPr>
    <w:rPr>
      <w:rFonts w:eastAsia="Times New Roman"/>
      <w:iCs/>
      <w:szCs w:val="24"/>
    </w:rPr>
  </w:style>
  <w:style w:type="paragraph" w:styleId="Heading4">
    <w:name w:val="heading 4"/>
    <w:basedOn w:val="Normal"/>
    <w:next w:val="Normal"/>
    <w:link w:val="Heading4Char"/>
    <w:uiPriority w:val="9"/>
    <w:unhideWhenUsed/>
    <w:qFormat/>
    <w:rsid w:val="00795633"/>
    <w:pPr>
      <w:keepNext/>
      <w:keepLines/>
      <w:numPr>
        <w:ilvl w:val="3"/>
        <w:numId w:val="1"/>
      </w:numPr>
      <w:spacing w:before="40"/>
      <w:outlineLvl w:val="3"/>
    </w:pPr>
    <w:rPr>
      <w:rFonts w:eastAsia="Times New Roman"/>
      <w:iCs/>
    </w:rPr>
  </w:style>
  <w:style w:type="paragraph" w:styleId="Heading5">
    <w:name w:val="heading 5"/>
    <w:basedOn w:val="Normal"/>
    <w:next w:val="Normal"/>
    <w:link w:val="Heading5Char"/>
    <w:autoRedefine/>
    <w:uiPriority w:val="9"/>
    <w:semiHidden/>
    <w:unhideWhenUsed/>
    <w:rsid w:val="001D3388"/>
    <w:pPr>
      <w:numPr>
        <w:numId w:val="25"/>
      </w:numPr>
      <w:outlineLvl w:val="4"/>
    </w:pPr>
    <w:rPr>
      <w:rFonts w:eastAsia="Times New Roman"/>
      <w:bCs/>
      <w:iCs/>
    </w:rPr>
  </w:style>
  <w:style w:type="paragraph" w:styleId="Heading6">
    <w:name w:val="heading 6"/>
    <w:basedOn w:val="Normal"/>
    <w:next w:val="Normal"/>
    <w:link w:val="Heading6Char"/>
    <w:uiPriority w:val="9"/>
    <w:semiHidden/>
    <w:unhideWhenUsed/>
    <w:qFormat/>
    <w:rsid w:val="007D5FEC"/>
    <w:pPr>
      <w:keepNext/>
      <w:keepLines/>
      <w:spacing w:before="40"/>
      <w:outlineLvl w:val="5"/>
    </w:pPr>
    <w:rPr>
      <w:rFonts w:ascii="Calibri Light" w:eastAsia="DengXian Light"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669"/>
    <w:rPr>
      <w:rFonts w:ascii="Segoe UI" w:hAnsi="Segoe UI"/>
      <w:sz w:val="18"/>
      <w:szCs w:val="18"/>
      <w:lang w:val="x-none" w:eastAsia="x-none"/>
    </w:rPr>
  </w:style>
  <w:style w:type="character" w:customStyle="1" w:styleId="BalloonTextChar">
    <w:name w:val="Balloon Text Char"/>
    <w:link w:val="BalloonText"/>
    <w:uiPriority w:val="99"/>
    <w:semiHidden/>
    <w:rsid w:val="001D3388"/>
    <w:rPr>
      <w:rFonts w:ascii="Segoe UI" w:hAnsi="Segoe UI"/>
      <w:sz w:val="18"/>
      <w:szCs w:val="18"/>
      <w:lang w:val="x-none" w:eastAsia="x-none"/>
    </w:rPr>
  </w:style>
  <w:style w:type="paragraph" w:styleId="Footer">
    <w:name w:val="footer"/>
    <w:basedOn w:val="Normal"/>
    <w:link w:val="FooterChar"/>
    <w:autoRedefine/>
    <w:uiPriority w:val="99"/>
    <w:unhideWhenUsed/>
    <w:rsid w:val="00036E8C"/>
    <w:pPr>
      <w:widowControl w:val="0"/>
      <w:jc w:val="center"/>
    </w:pPr>
  </w:style>
  <w:style w:type="character" w:customStyle="1" w:styleId="FooterChar">
    <w:name w:val="Footer Char"/>
    <w:link w:val="Footer"/>
    <w:uiPriority w:val="99"/>
    <w:rsid w:val="00036E8C"/>
    <w:rPr>
      <w:sz w:val="26"/>
      <w:szCs w:val="22"/>
    </w:rPr>
  </w:style>
  <w:style w:type="character" w:styleId="FootnoteReference">
    <w:name w:val="footnote reference"/>
    <w:uiPriority w:val="99"/>
    <w:qFormat/>
    <w:rsid w:val="00351669"/>
    <w:rPr>
      <w:rFonts w:ascii="Century Schoolbook" w:hAnsi="Century Schoolbook"/>
      <w:b w:val="0"/>
      <w:i w:val="0"/>
      <w:dstrike w:val="0"/>
      <w:position w:val="0"/>
      <w:sz w:val="26"/>
      <w:vertAlign w:val="superscript"/>
    </w:rPr>
  </w:style>
  <w:style w:type="paragraph" w:styleId="FootnoteText">
    <w:name w:val="footnote text"/>
    <w:basedOn w:val="Normal"/>
    <w:link w:val="FootnoteTextChar"/>
    <w:autoRedefine/>
    <w:uiPriority w:val="99"/>
    <w:qFormat/>
    <w:rsid w:val="00594EF7"/>
    <w:pPr>
      <w:spacing w:after="120" w:line="240" w:lineRule="auto"/>
    </w:pPr>
    <w:rPr>
      <w:lang w:val="x-none" w:eastAsia="x-none"/>
    </w:rPr>
  </w:style>
  <w:style w:type="character" w:customStyle="1" w:styleId="FootnoteTextChar">
    <w:name w:val="Footnote Text Char"/>
    <w:link w:val="FootnoteText"/>
    <w:uiPriority w:val="99"/>
    <w:rsid w:val="00594EF7"/>
    <w:rPr>
      <w:sz w:val="26"/>
      <w:szCs w:val="22"/>
      <w:lang w:val="x-none" w:eastAsia="x-none"/>
    </w:rPr>
  </w:style>
  <w:style w:type="paragraph" w:styleId="Header">
    <w:name w:val="header"/>
    <w:basedOn w:val="Normal"/>
    <w:link w:val="HeaderChar"/>
    <w:uiPriority w:val="99"/>
    <w:unhideWhenUsed/>
    <w:rsid w:val="001D3388"/>
    <w:pPr>
      <w:tabs>
        <w:tab w:val="center" w:pos="4680"/>
        <w:tab w:val="right" w:pos="9360"/>
      </w:tabs>
    </w:pPr>
  </w:style>
  <w:style w:type="character" w:customStyle="1" w:styleId="HeaderChar">
    <w:name w:val="Header Char"/>
    <w:link w:val="Header"/>
    <w:uiPriority w:val="99"/>
    <w:rsid w:val="001D3388"/>
    <w:rPr>
      <w:sz w:val="26"/>
    </w:rPr>
  </w:style>
  <w:style w:type="character" w:customStyle="1" w:styleId="Heading1Char">
    <w:name w:val="Heading 1 Char"/>
    <w:link w:val="Heading1"/>
    <w:uiPriority w:val="9"/>
    <w:rsid w:val="003704CC"/>
    <w:rPr>
      <w:b/>
      <w:caps/>
      <w:sz w:val="26"/>
      <w:szCs w:val="22"/>
    </w:rPr>
  </w:style>
  <w:style w:type="character" w:customStyle="1" w:styleId="Heading2Char">
    <w:name w:val="Heading 2 Char"/>
    <w:link w:val="Heading2"/>
    <w:uiPriority w:val="9"/>
    <w:rsid w:val="004C02A6"/>
    <w:rPr>
      <w:i/>
      <w:iCs/>
      <w:sz w:val="26"/>
      <w:szCs w:val="22"/>
    </w:rPr>
  </w:style>
  <w:style w:type="character" w:customStyle="1" w:styleId="Heading3Char">
    <w:name w:val="Heading 3 Char"/>
    <w:link w:val="Heading3"/>
    <w:uiPriority w:val="9"/>
    <w:rsid w:val="00F771A4"/>
    <w:rPr>
      <w:rFonts w:eastAsia="Times New Roman"/>
      <w:iCs/>
      <w:sz w:val="26"/>
      <w:szCs w:val="24"/>
    </w:rPr>
  </w:style>
  <w:style w:type="character" w:customStyle="1" w:styleId="Heading4Char">
    <w:name w:val="Heading 4 Char"/>
    <w:link w:val="Heading4"/>
    <w:uiPriority w:val="9"/>
    <w:rsid w:val="001D3388"/>
    <w:rPr>
      <w:rFonts w:eastAsia="Times New Roman"/>
      <w:iCs/>
      <w:sz w:val="26"/>
    </w:rPr>
  </w:style>
  <w:style w:type="character" w:styleId="Hyperlink">
    <w:name w:val="Hyperlink"/>
    <w:uiPriority w:val="99"/>
    <w:unhideWhenUsed/>
    <w:rsid w:val="001D3388"/>
    <w:rPr>
      <w:color w:val="0563C1"/>
      <w:u w:val="single"/>
    </w:rPr>
  </w:style>
  <w:style w:type="paragraph" w:styleId="ListParagraph">
    <w:name w:val="List Paragraph"/>
    <w:basedOn w:val="Normal"/>
    <w:uiPriority w:val="99"/>
    <w:rsid w:val="001D3388"/>
    <w:pPr>
      <w:ind w:left="720"/>
    </w:pPr>
  </w:style>
  <w:style w:type="character" w:styleId="PageNumber">
    <w:name w:val="page number"/>
    <w:basedOn w:val="DefaultParagraphFont"/>
    <w:uiPriority w:val="99"/>
    <w:semiHidden/>
    <w:unhideWhenUsed/>
    <w:rsid w:val="001D3388"/>
  </w:style>
  <w:style w:type="paragraph" w:styleId="BodyText">
    <w:name w:val="Body Text"/>
    <w:basedOn w:val="Normal"/>
    <w:link w:val="BodyTextChar"/>
    <w:uiPriority w:val="1"/>
    <w:unhideWhenUsed/>
    <w:qFormat/>
    <w:rsid w:val="00351669"/>
    <w:pPr>
      <w:spacing w:after="120"/>
    </w:pPr>
  </w:style>
  <w:style w:type="character" w:customStyle="1" w:styleId="BodyTextChar">
    <w:name w:val="Body Text Char"/>
    <w:link w:val="BodyText"/>
    <w:uiPriority w:val="1"/>
    <w:rsid w:val="001D3388"/>
    <w:rPr>
      <w:sz w:val="26"/>
      <w:szCs w:val="22"/>
    </w:rPr>
  </w:style>
  <w:style w:type="paragraph" w:styleId="BodyText2">
    <w:name w:val="Body Text 2"/>
    <w:basedOn w:val="Normal"/>
    <w:link w:val="BodyText2Char"/>
    <w:uiPriority w:val="99"/>
    <w:unhideWhenUsed/>
    <w:rsid w:val="001D3388"/>
    <w:pPr>
      <w:pBdr>
        <w:top w:val="single" w:sz="4" w:space="1" w:color="auto"/>
        <w:left w:val="single" w:sz="4" w:space="4" w:color="auto"/>
        <w:bottom w:val="single" w:sz="4" w:space="1" w:color="auto"/>
        <w:right w:val="single" w:sz="4" w:space="4" w:color="auto"/>
      </w:pBdr>
      <w:spacing w:line="140" w:lineRule="exact"/>
      <w:jc w:val="both"/>
    </w:pPr>
    <w:rPr>
      <w:rFonts w:ascii="Arial" w:hAnsi="Arial" w:cs="Arial"/>
      <w:b/>
      <w:sz w:val="16"/>
    </w:rPr>
  </w:style>
  <w:style w:type="character" w:customStyle="1" w:styleId="BodyText2Char">
    <w:name w:val="Body Text 2 Char"/>
    <w:link w:val="BodyText2"/>
    <w:uiPriority w:val="99"/>
    <w:rsid w:val="001D3388"/>
    <w:rPr>
      <w:rFonts w:ascii="Arial" w:hAnsi="Arial" w:cs="Arial"/>
      <w:b/>
      <w:sz w:val="16"/>
    </w:rPr>
  </w:style>
  <w:style w:type="paragraph" w:customStyle="1" w:styleId="TableParagraph">
    <w:name w:val="Table Paragraph"/>
    <w:basedOn w:val="Normal"/>
    <w:uiPriority w:val="99"/>
    <w:rsid w:val="00B7641C"/>
    <w:pPr>
      <w:widowControl w:val="0"/>
      <w:autoSpaceDE w:val="0"/>
      <w:autoSpaceDN w:val="0"/>
      <w:adjustRightInd w:val="0"/>
    </w:pPr>
    <w:rPr>
      <w:rFonts w:ascii="Times New Roman" w:eastAsia="Times New Roman" w:hAnsi="Times New Roman"/>
      <w:sz w:val="24"/>
      <w:szCs w:val="24"/>
    </w:rPr>
  </w:style>
  <w:style w:type="character" w:customStyle="1" w:styleId="Heading5Char">
    <w:name w:val="Heading 5 Char"/>
    <w:link w:val="Heading5"/>
    <w:uiPriority w:val="9"/>
    <w:semiHidden/>
    <w:rsid w:val="001D3388"/>
    <w:rPr>
      <w:rFonts w:eastAsia="Times New Roman" w:cs="Times New Roman"/>
      <w:bCs/>
      <w:iCs/>
      <w:sz w:val="26"/>
    </w:rPr>
  </w:style>
  <w:style w:type="table" w:styleId="TableGrid">
    <w:name w:val="Table Grid"/>
    <w:basedOn w:val="TableNormal"/>
    <w:rsid w:val="00AD3E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51669"/>
    <w:rPr>
      <w:sz w:val="16"/>
      <w:szCs w:val="16"/>
    </w:rPr>
  </w:style>
  <w:style w:type="paragraph" w:styleId="CommentText">
    <w:name w:val="annotation text"/>
    <w:basedOn w:val="Normal"/>
    <w:link w:val="CommentTextChar"/>
    <w:uiPriority w:val="99"/>
    <w:unhideWhenUsed/>
    <w:rsid w:val="00351669"/>
    <w:rPr>
      <w:sz w:val="20"/>
      <w:szCs w:val="20"/>
    </w:rPr>
  </w:style>
  <w:style w:type="character" w:customStyle="1" w:styleId="CommentTextChar">
    <w:name w:val="Comment Text Char"/>
    <w:basedOn w:val="DefaultParagraphFont"/>
    <w:link w:val="CommentText"/>
    <w:uiPriority w:val="99"/>
    <w:rsid w:val="00351669"/>
  </w:style>
  <w:style w:type="paragraph" w:styleId="CommentSubject">
    <w:name w:val="annotation subject"/>
    <w:basedOn w:val="CommentText"/>
    <w:next w:val="CommentText"/>
    <w:link w:val="CommentSubjectChar"/>
    <w:uiPriority w:val="99"/>
    <w:semiHidden/>
    <w:unhideWhenUsed/>
    <w:rsid w:val="00351669"/>
    <w:rPr>
      <w:b/>
      <w:bCs/>
    </w:rPr>
  </w:style>
  <w:style w:type="character" w:customStyle="1" w:styleId="CommentSubjectChar">
    <w:name w:val="Comment Subject Char"/>
    <w:link w:val="CommentSubject"/>
    <w:uiPriority w:val="99"/>
    <w:semiHidden/>
    <w:rsid w:val="00351669"/>
    <w:rPr>
      <w:b/>
      <w:bCs/>
    </w:rPr>
  </w:style>
  <w:style w:type="paragraph" w:styleId="Revision">
    <w:name w:val="Revision"/>
    <w:hidden/>
    <w:uiPriority w:val="99"/>
    <w:semiHidden/>
    <w:rsid w:val="00351669"/>
    <w:rPr>
      <w:sz w:val="26"/>
      <w:szCs w:val="22"/>
    </w:rPr>
  </w:style>
  <w:style w:type="character" w:styleId="Emphasis">
    <w:name w:val="Emphasis"/>
    <w:uiPriority w:val="20"/>
    <w:qFormat/>
    <w:rsid w:val="003C77B5"/>
    <w:rPr>
      <w:i/>
      <w:iCs/>
    </w:rPr>
  </w:style>
  <w:style w:type="character" w:customStyle="1" w:styleId="Heading6Char">
    <w:name w:val="Heading 6 Char"/>
    <w:link w:val="Heading6"/>
    <w:uiPriority w:val="9"/>
    <w:semiHidden/>
    <w:rsid w:val="007D5FEC"/>
    <w:rPr>
      <w:rFonts w:ascii="Calibri Light" w:eastAsia="DengXian Light" w:hAnsi="Calibri Light" w:cs="Times New Roman"/>
      <w:color w:val="1F3763"/>
      <w:sz w:val="26"/>
      <w:szCs w:val="22"/>
    </w:rPr>
  </w:style>
  <w:style w:type="table" w:customStyle="1" w:styleId="TableGrid1">
    <w:name w:val="Table Grid1"/>
    <w:basedOn w:val="TableNormal"/>
    <w:next w:val="TableGrid"/>
    <w:rsid w:val="007D5FEC"/>
    <w:rPr>
      <w:rFonts w:eastAsia="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it">
    <w:name w:val="ss_it"/>
    <w:basedOn w:val="DefaultParagraphFont"/>
    <w:rsid w:val="00956A1C"/>
  </w:style>
  <w:style w:type="character" w:customStyle="1" w:styleId="ssheadnotelink">
    <w:name w:val="ss_headnotelink"/>
    <w:basedOn w:val="DefaultParagraphFont"/>
    <w:rsid w:val="00F97758"/>
  </w:style>
  <w:style w:type="character" w:customStyle="1" w:styleId="sssh">
    <w:name w:val="ss_sh"/>
    <w:basedOn w:val="DefaultParagraphFont"/>
    <w:rsid w:val="00F97758"/>
  </w:style>
  <w:style w:type="character" w:customStyle="1" w:styleId="costarpage">
    <w:name w:val="co_starpage"/>
    <w:basedOn w:val="DefaultParagraphFont"/>
    <w:rsid w:val="00675A76"/>
  </w:style>
  <w:style w:type="character" w:customStyle="1" w:styleId="UnresolvedMention1">
    <w:name w:val="Unresolved Mention1"/>
    <w:uiPriority w:val="99"/>
    <w:semiHidden/>
    <w:unhideWhenUsed/>
    <w:rsid w:val="00543F92"/>
    <w:rPr>
      <w:color w:val="605E5C"/>
      <w:shd w:val="clear" w:color="auto" w:fill="E1DFDD"/>
    </w:rPr>
  </w:style>
  <w:style w:type="paragraph" w:styleId="NormalWeb">
    <w:name w:val="Normal (Web)"/>
    <w:basedOn w:val="Normal"/>
    <w:uiPriority w:val="99"/>
    <w:semiHidden/>
    <w:unhideWhenUsed/>
    <w:rsid w:val="00354B3E"/>
    <w:rPr>
      <w:rFonts w:ascii="Times New Roman" w:hAnsi="Times New Roman"/>
      <w:sz w:val="24"/>
      <w:szCs w:val="24"/>
    </w:rPr>
  </w:style>
  <w:style w:type="character" w:styleId="UnresolvedMention">
    <w:name w:val="Unresolved Mention"/>
    <w:uiPriority w:val="99"/>
    <w:semiHidden/>
    <w:unhideWhenUsed/>
    <w:rsid w:val="00642582"/>
    <w:rPr>
      <w:color w:val="605E5C"/>
      <w:shd w:val="clear" w:color="auto" w:fill="E1DFDD"/>
    </w:rPr>
  </w:style>
  <w:style w:type="character" w:customStyle="1" w:styleId="cosearchterm">
    <w:name w:val="co_searchterm"/>
    <w:basedOn w:val="DefaultParagraphFont"/>
    <w:rsid w:val="00D45891"/>
  </w:style>
  <w:style w:type="character" w:customStyle="1" w:styleId="coinlinekeyciteflag">
    <w:name w:val="co_inlinekeyciteflag"/>
    <w:basedOn w:val="DefaultParagraphFont"/>
    <w:rsid w:val="00D45891"/>
  </w:style>
  <w:style w:type="character" w:customStyle="1" w:styleId="Title1">
    <w:name w:val="Title1"/>
    <w:basedOn w:val="DefaultParagraphFont"/>
    <w:rsid w:val="00C92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6464">
      <w:bodyDiv w:val="1"/>
      <w:marLeft w:val="0"/>
      <w:marRight w:val="0"/>
      <w:marTop w:val="0"/>
      <w:marBottom w:val="0"/>
      <w:divBdr>
        <w:top w:val="none" w:sz="0" w:space="0" w:color="auto"/>
        <w:left w:val="none" w:sz="0" w:space="0" w:color="auto"/>
        <w:bottom w:val="none" w:sz="0" w:space="0" w:color="auto"/>
        <w:right w:val="none" w:sz="0" w:space="0" w:color="auto"/>
      </w:divBdr>
      <w:divsChild>
        <w:div w:id="1609509313">
          <w:marLeft w:val="0"/>
          <w:marRight w:val="0"/>
          <w:marTop w:val="0"/>
          <w:marBottom w:val="0"/>
          <w:divBdr>
            <w:top w:val="none" w:sz="0" w:space="0" w:color="auto"/>
            <w:left w:val="none" w:sz="0" w:space="0" w:color="auto"/>
            <w:bottom w:val="none" w:sz="0" w:space="0" w:color="auto"/>
            <w:right w:val="none" w:sz="0" w:space="0" w:color="auto"/>
          </w:divBdr>
          <w:divsChild>
            <w:div w:id="936598130">
              <w:marLeft w:val="0"/>
              <w:marRight w:val="0"/>
              <w:marTop w:val="0"/>
              <w:marBottom w:val="0"/>
              <w:divBdr>
                <w:top w:val="none" w:sz="0" w:space="0" w:color="auto"/>
                <w:left w:val="none" w:sz="0" w:space="0" w:color="auto"/>
                <w:bottom w:val="none" w:sz="0" w:space="0" w:color="auto"/>
                <w:right w:val="none" w:sz="0" w:space="0" w:color="auto"/>
              </w:divBdr>
            </w:div>
          </w:divsChild>
        </w:div>
        <w:div w:id="1636400456">
          <w:marLeft w:val="0"/>
          <w:marRight w:val="0"/>
          <w:marTop w:val="0"/>
          <w:marBottom w:val="0"/>
          <w:divBdr>
            <w:top w:val="none" w:sz="0" w:space="0" w:color="auto"/>
            <w:left w:val="none" w:sz="0" w:space="0" w:color="auto"/>
            <w:bottom w:val="none" w:sz="0" w:space="0" w:color="auto"/>
            <w:right w:val="none" w:sz="0" w:space="0" w:color="auto"/>
          </w:divBdr>
          <w:divsChild>
            <w:div w:id="681707353">
              <w:marLeft w:val="0"/>
              <w:marRight w:val="0"/>
              <w:marTop w:val="0"/>
              <w:marBottom w:val="0"/>
              <w:divBdr>
                <w:top w:val="none" w:sz="0" w:space="0" w:color="auto"/>
                <w:left w:val="none" w:sz="0" w:space="0" w:color="auto"/>
                <w:bottom w:val="none" w:sz="0" w:space="0" w:color="auto"/>
                <w:right w:val="none" w:sz="0" w:space="0" w:color="auto"/>
              </w:divBdr>
            </w:div>
          </w:divsChild>
        </w:div>
        <w:div w:id="1663004374">
          <w:marLeft w:val="0"/>
          <w:marRight w:val="0"/>
          <w:marTop w:val="0"/>
          <w:marBottom w:val="0"/>
          <w:divBdr>
            <w:top w:val="none" w:sz="0" w:space="0" w:color="auto"/>
            <w:left w:val="none" w:sz="0" w:space="0" w:color="auto"/>
            <w:bottom w:val="none" w:sz="0" w:space="0" w:color="auto"/>
            <w:right w:val="none" w:sz="0" w:space="0" w:color="auto"/>
          </w:divBdr>
          <w:divsChild>
            <w:div w:id="1755972080">
              <w:marLeft w:val="0"/>
              <w:marRight w:val="0"/>
              <w:marTop w:val="0"/>
              <w:marBottom w:val="0"/>
              <w:divBdr>
                <w:top w:val="none" w:sz="0" w:space="0" w:color="auto"/>
                <w:left w:val="none" w:sz="0" w:space="0" w:color="auto"/>
                <w:bottom w:val="none" w:sz="0" w:space="0" w:color="auto"/>
                <w:right w:val="none" w:sz="0" w:space="0" w:color="auto"/>
              </w:divBdr>
            </w:div>
          </w:divsChild>
        </w:div>
        <w:div w:id="1891531444">
          <w:marLeft w:val="0"/>
          <w:marRight w:val="0"/>
          <w:marTop w:val="0"/>
          <w:marBottom w:val="0"/>
          <w:divBdr>
            <w:top w:val="none" w:sz="0" w:space="0" w:color="auto"/>
            <w:left w:val="none" w:sz="0" w:space="0" w:color="auto"/>
            <w:bottom w:val="none" w:sz="0" w:space="0" w:color="auto"/>
            <w:right w:val="none" w:sz="0" w:space="0" w:color="auto"/>
          </w:divBdr>
          <w:divsChild>
            <w:div w:id="14267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405">
      <w:bodyDiv w:val="1"/>
      <w:marLeft w:val="0"/>
      <w:marRight w:val="0"/>
      <w:marTop w:val="0"/>
      <w:marBottom w:val="0"/>
      <w:divBdr>
        <w:top w:val="none" w:sz="0" w:space="0" w:color="auto"/>
        <w:left w:val="none" w:sz="0" w:space="0" w:color="auto"/>
        <w:bottom w:val="none" w:sz="0" w:space="0" w:color="auto"/>
        <w:right w:val="none" w:sz="0" w:space="0" w:color="auto"/>
      </w:divBdr>
      <w:divsChild>
        <w:div w:id="1387604915">
          <w:marLeft w:val="0"/>
          <w:marRight w:val="0"/>
          <w:marTop w:val="0"/>
          <w:marBottom w:val="0"/>
          <w:divBdr>
            <w:top w:val="none" w:sz="0" w:space="0" w:color="3D3D3D"/>
            <w:left w:val="none" w:sz="0" w:space="0" w:color="3D3D3D"/>
            <w:bottom w:val="none" w:sz="0" w:space="0" w:color="3D3D3D"/>
            <w:right w:val="none" w:sz="0" w:space="0" w:color="3D3D3D"/>
          </w:divBdr>
          <w:divsChild>
            <w:div w:id="128989892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8069049">
      <w:bodyDiv w:val="1"/>
      <w:marLeft w:val="0"/>
      <w:marRight w:val="0"/>
      <w:marTop w:val="0"/>
      <w:marBottom w:val="0"/>
      <w:divBdr>
        <w:top w:val="none" w:sz="0" w:space="0" w:color="auto"/>
        <w:left w:val="none" w:sz="0" w:space="0" w:color="auto"/>
        <w:bottom w:val="none" w:sz="0" w:space="0" w:color="auto"/>
        <w:right w:val="none" w:sz="0" w:space="0" w:color="auto"/>
      </w:divBdr>
    </w:div>
    <w:div w:id="42221026">
      <w:bodyDiv w:val="1"/>
      <w:marLeft w:val="0"/>
      <w:marRight w:val="0"/>
      <w:marTop w:val="0"/>
      <w:marBottom w:val="0"/>
      <w:divBdr>
        <w:top w:val="none" w:sz="0" w:space="0" w:color="auto"/>
        <w:left w:val="none" w:sz="0" w:space="0" w:color="auto"/>
        <w:bottom w:val="none" w:sz="0" w:space="0" w:color="auto"/>
        <w:right w:val="none" w:sz="0" w:space="0" w:color="auto"/>
      </w:divBdr>
      <w:divsChild>
        <w:div w:id="182523669">
          <w:marLeft w:val="0"/>
          <w:marRight w:val="0"/>
          <w:marTop w:val="0"/>
          <w:marBottom w:val="0"/>
          <w:divBdr>
            <w:top w:val="none" w:sz="0" w:space="0" w:color="auto"/>
            <w:left w:val="none" w:sz="0" w:space="0" w:color="auto"/>
            <w:bottom w:val="none" w:sz="0" w:space="0" w:color="auto"/>
            <w:right w:val="none" w:sz="0" w:space="0" w:color="auto"/>
          </w:divBdr>
        </w:div>
      </w:divsChild>
    </w:div>
    <w:div w:id="69350641">
      <w:bodyDiv w:val="1"/>
      <w:marLeft w:val="0"/>
      <w:marRight w:val="0"/>
      <w:marTop w:val="0"/>
      <w:marBottom w:val="0"/>
      <w:divBdr>
        <w:top w:val="none" w:sz="0" w:space="0" w:color="auto"/>
        <w:left w:val="none" w:sz="0" w:space="0" w:color="auto"/>
        <w:bottom w:val="none" w:sz="0" w:space="0" w:color="auto"/>
        <w:right w:val="none" w:sz="0" w:space="0" w:color="auto"/>
      </w:divBdr>
      <w:divsChild>
        <w:div w:id="121729072">
          <w:marLeft w:val="0"/>
          <w:marRight w:val="0"/>
          <w:marTop w:val="0"/>
          <w:marBottom w:val="0"/>
          <w:divBdr>
            <w:top w:val="none" w:sz="0" w:space="0" w:color="3D3D3D"/>
            <w:left w:val="none" w:sz="0" w:space="0" w:color="3D3D3D"/>
            <w:bottom w:val="none" w:sz="0" w:space="0" w:color="3D3D3D"/>
            <w:right w:val="none" w:sz="0" w:space="0" w:color="3D3D3D"/>
          </w:divBdr>
          <w:divsChild>
            <w:div w:id="211269758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3859831">
      <w:bodyDiv w:val="1"/>
      <w:marLeft w:val="0"/>
      <w:marRight w:val="0"/>
      <w:marTop w:val="0"/>
      <w:marBottom w:val="0"/>
      <w:divBdr>
        <w:top w:val="none" w:sz="0" w:space="0" w:color="auto"/>
        <w:left w:val="none" w:sz="0" w:space="0" w:color="auto"/>
        <w:bottom w:val="none" w:sz="0" w:space="0" w:color="auto"/>
        <w:right w:val="none" w:sz="0" w:space="0" w:color="auto"/>
      </w:divBdr>
      <w:divsChild>
        <w:div w:id="1526551181">
          <w:marLeft w:val="0"/>
          <w:marRight w:val="0"/>
          <w:marTop w:val="0"/>
          <w:marBottom w:val="0"/>
          <w:divBdr>
            <w:top w:val="none" w:sz="0" w:space="0" w:color="3D3D3D"/>
            <w:left w:val="none" w:sz="0" w:space="0" w:color="3D3D3D"/>
            <w:bottom w:val="none" w:sz="0" w:space="0" w:color="3D3D3D"/>
            <w:right w:val="none" w:sz="0" w:space="0" w:color="3D3D3D"/>
          </w:divBdr>
          <w:divsChild>
            <w:div w:id="176457390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8331369">
      <w:bodyDiv w:val="1"/>
      <w:marLeft w:val="0"/>
      <w:marRight w:val="0"/>
      <w:marTop w:val="0"/>
      <w:marBottom w:val="0"/>
      <w:divBdr>
        <w:top w:val="none" w:sz="0" w:space="0" w:color="auto"/>
        <w:left w:val="none" w:sz="0" w:space="0" w:color="auto"/>
        <w:bottom w:val="none" w:sz="0" w:space="0" w:color="auto"/>
        <w:right w:val="none" w:sz="0" w:space="0" w:color="auto"/>
      </w:divBdr>
      <w:divsChild>
        <w:div w:id="1735348170">
          <w:marLeft w:val="0"/>
          <w:marRight w:val="0"/>
          <w:marTop w:val="0"/>
          <w:marBottom w:val="0"/>
          <w:divBdr>
            <w:top w:val="none" w:sz="0" w:space="0" w:color="3D3D3D"/>
            <w:left w:val="none" w:sz="0" w:space="0" w:color="3D3D3D"/>
            <w:bottom w:val="none" w:sz="0" w:space="0" w:color="3D3D3D"/>
            <w:right w:val="none" w:sz="0" w:space="0" w:color="3D3D3D"/>
          </w:divBdr>
        </w:div>
      </w:divsChild>
    </w:div>
    <w:div w:id="106705106">
      <w:bodyDiv w:val="1"/>
      <w:marLeft w:val="0"/>
      <w:marRight w:val="0"/>
      <w:marTop w:val="0"/>
      <w:marBottom w:val="0"/>
      <w:divBdr>
        <w:top w:val="none" w:sz="0" w:space="0" w:color="auto"/>
        <w:left w:val="none" w:sz="0" w:space="0" w:color="auto"/>
        <w:bottom w:val="none" w:sz="0" w:space="0" w:color="auto"/>
        <w:right w:val="none" w:sz="0" w:space="0" w:color="auto"/>
      </w:divBdr>
      <w:divsChild>
        <w:div w:id="1767336344">
          <w:marLeft w:val="0"/>
          <w:marRight w:val="0"/>
          <w:marTop w:val="0"/>
          <w:marBottom w:val="0"/>
          <w:divBdr>
            <w:top w:val="none" w:sz="0" w:space="0" w:color="3D3D3D"/>
            <w:left w:val="none" w:sz="0" w:space="0" w:color="3D3D3D"/>
            <w:bottom w:val="none" w:sz="0" w:space="0" w:color="3D3D3D"/>
            <w:right w:val="none" w:sz="0" w:space="0" w:color="3D3D3D"/>
          </w:divBdr>
        </w:div>
      </w:divsChild>
    </w:div>
    <w:div w:id="115373657">
      <w:bodyDiv w:val="1"/>
      <w:marLeft w:val="0"/>
      <w:marRight w:val="0"/>
      <w:marTop w:val="0"/>
      <w:marBottom w:val="0"/>
      <w:divBdr>
        <w:top w:val="none" w:sz="0" w:space="0" w:color="auto"/>
        <w:left w:val="none" w:sz="0" w:space="0" w:color="auto"/>
        <w:bottom w:val="none" w:sz="0" w:space="0" w:color="auto"/>
        <w:right w:val="none" w:sz="0" w:space="0" w:color="auto"/>
      </w:divBdr>
      <w:divsChild>
        <w:div w:id="797185422">
          <w:marLeft w:val="0"/>
          <w:marRight w:val="0"/>
          <w:marTop w:val="0"/>
          <w:marBottom w:val="0"/>
          <w:divBdr>
            <w:top w:val="none" w:sz="0" w:space="0" w:color="auto"/>
            <w:left w:val="none" w:sz="0" w:space="0" w:color="auto"/>
            <w:bottom w:val="none" w:sz="0" w:space="0" w:color="auto"/>
            <w:right w:val="none" w:sz="0" w:space="0" w:color="auto"/>
          </w:divBdr>
        </w:div>
      </w:divsChild>
    </w:div>
    <w:div w:id="135418888">
      <w:bodyDiv w:val="1"/>
      <w:marLeft w:val="0"/>
      <w:marRight w:val="0"/>
      <w:marTop w:val="0"/>
      <w:marBottom w:val="0"/>
      <w:divBdr>
        <w:top w:val="none" w:sz="0" w:space="0" w:color="auto"/>
        <w:left w:val="none" w:sz="0" w:space="0" w:color="auto"/>
        <w:bottom w:val="none" w:sz="0" w:space="0" w:color="auto"/>
        <w:right w:val="none" w:sz="0" w:space="0" w:color="auto"/>
      </w:divBdr>
      <w:divsChild>
        <w:div w:id="1381130460">
          <w:marLeft w:val="0"/>
          <w:marRight w:val="0"/>
          <w:marTop w:val="0"/>
          <w:marBottom w:val="0"/>
          <w:divBdr>
            <w:top w:val="none" w:sz="0" w:space="0" w:color="3D3D3D"/>
            <w:left w:val="none" w:sz="0" w:space="0" w:color="3D3D3D"/>
            <w:bottom w:val="none" w:sz="0" w:space="0" w:color="3D3D3D"/>
            <w:right w:val="none" w:sz="0" w:space="0" w:color="3D3D3D"/>
          </w:divBdr>
        </w:div>
      </w:divsChild>
    </w:div>
    <w:div w:id="149561418">
      <w:bodyDiv w:val="1"/>
      <w:marLeft w:val="0"/>
      <w:marRight w:val="0"/>
      <w:marTop w:val="0"/>
      <w:marBottom w:val="0"/>
      <w:divBdr>
        <w:top w:val="none" w:sz="0" w:space="0" w:color="auto"/>
        <w:left w:val="none" w:sz="0" w:space="0" w:color="auto"/>
        <w:bottom w:val="none" w:sz="0" w:space="0" w:color="auto"/>
        <w:right w:val="none" w:sz="0" w:space="0" w:color="auto"/>
      </w:divBdr>
      <w:divsChild>
        <w:div w:id="463275274">
          <w:marLeft w:val="0"/>
          <w:marRight w:val="0"/>
          <w:marTop w:val="0"/>
          <w:marBottom w:val="0"/>
          <w:divBdr>
            <w:top w:val="none" w:sz="0" w:space="0" w:color="auto"/>
            <w:left w:val="none" w:sz="0" w:space="0" w:color="auto"/>
            <w:bottom w:val="none" w:sz="0" w:space="0" w:color="auto"/>
            <w:right w:val="none" w:sz="0" w:space="0" w:color="auto"/>
          </w:divBdr>
          <w:divsChild>
            <w:div w:id="861016536">
              <w:marLeft w:val="0"/>
              <w:marRight w:val="0"/>
              <w:marTop w:val="0"/>
              <w:marBottom w:val="0"/>
              <w:divBdr>
                <w:top w:val="none" w:sz="0" w:space="0" w:color="auto"/>
                <w:left w:val="none" w:sz="0" w:space="0" w:color="auto"/>
                <w:bottom w:val="none" w:sz="0" w:space="0" w:color="auto"/>
                <w:right w:val="none" w:sz="0" w:space="0" w:color="auto"/>
              </w:divBdr>
            </w:div>
          </w:divsChild>
        </w:div>
        <w:div w:id="1499079096">
          <w:marLeft w:val="0"/>
          <w:marRight w:val="0"/>
          <w:marTop w:val="0"/>
          <w:marBottom w:val="0"/>
          <w:divBdr>
            <w:top w:val="none" w:sz="0" w:space="0" w:color="auto"/>
            <w:left w:val="none" w:sz="0" w:space="0" w:color="auto"/>
            <w:bottom w:val="none" w:sz="0" w:space="0" w:color="auto"/>
            <w:right w:val="none" w:sz="0" w:space="0" w:color="auto"/>
          </w:divBdr>
          <w:divsChild>
            <w:div w:id="1448818707">
              <w:marLeft w:val="0"/>
              <w:marRight w:val="0"/>
              <w:marTop w:val="0"/>
              <w:marBottom w:val="0"/>
              <w:divBdr>
                <w:top w:val="none" w:sz="0" w:space="0" w:color="auto"/>
                <w:left w:val="none" w:sz="0" w:space="0" w:color="auto"/>
                <w:bottom w:val="none" w:sz="0" w:space="0" w:color="auto"/>
                <w:right w:val="none" w:sz="0" w:space="0" w:color="auto"/>
              </w:divBdr>
            </w:div>
          </w:divsChild>
        </w:div>
        <w:div w:id="636767730">
          <w:marLeft w:val="0"/>
          <w:marRight w:val="0"/>
          <w:marTop w:val="0"/>
          <w:marBottom w:val="0"/>
          <w:divBdr>
            <w:top w:val="none" w:sz="0" w:space="0" w:color="auto"/>
            <w:left w:val="none" w:sz="0" w:space="0" w:color="auto"/>
            <w:bottom w:val="none" w:sz="0" w:space="0" w:color="auto"/>
            <w:right w:val="none" w:sz="0" w:space="0" w:color="auto"/>
          </w:divBdr>
          <w:divsChild>
            <w:div w:id="279262750">
              <w:marLeft w:val="0"/>
              <w:marRight w:val="0"/>
              <w:marTop w:val="0"/>
              <w:marBottom w:val="0"/>
              <w:divBdr>
                <w:top w:val="none" w:sz="0" w:space="0" w:color="auto"/>
                <w:left w:val="none" w:sz="0" w:space="0" w:color="auto"/>
                <w:bottom w:val="none" w:sz="0" w:space="0" w:color="auto"/>
                <w:right w:val="none" w:sz="0" w:space="0" w:color="auto"/>
              </w:divBdr>
            </w:div>
          </w:divsChild>
        </w:div>
        <w:div w:id="1495611802">
          <w:marLeft w:val="0"/>
          <w:marRight w:val="0"/>
          <w:marTop w:val="0"/>
          <w:marBottom w:val="0"/>
          <w:divBdr>
            <w:top w:val="none" w:sz="0" w:space="0" w:color="auto"/>
            <w:left w:val="none" w:sz="0" w:space="0" w:color="auto"/>
            <w:bottom w:val="none" w:sz="0" w:space="0" w:color="auto"/>
            <w:right w:val="none" w:sz="0" w:space="0" w:color="auto"/>
          </w:divBdr>
          <w:divsChild>
            <w:div w:id="1351760862">
              <w:marLeft w:val="0"/>
              <w:marRight w:val="0"/>
              <w:marTop w:val="0"/>
              <w:marBottom w:val="0"/>
              <w:divBdr>
                <w:top w:val="none" w:sz="0" w:space="0" w:color="auto"/>
                <w:left w:val="none" w:sz="0" w:space="0" w:color="auto"/>
                <w:bottom w:val="none" w:sz="0" w:space="0" w:color="auto"/>
                <w:right w:val="none" w:sz="0" w:space="0" w:color="auto"/>
              </w:divBdr>
            </w:div>
          </w:divsChild>
        </w:div>
        <w:div w:id="1011563731">
          <w:marLeft w:val="0"/>
          <w:marRight w:val="0"/>
          <w:marTop w:val="0"/>
          <w:marBottom w:val="0"/>
          <w:divBdr>
            <w:top w:val="none" w:sz="0" w:space="0" w:color="auto"/>
            <w:left w:val="none" w:sz="0" w:space="0" w:color="auto"/>
            <w:bottom w:val="none" w:sz="0" w:space="0" w:color="auto"/>
            <w:right w:val="none" w:sz="0" w:space="0" w:color="auto"/>
          </w:divBdr>
          <w:divsChild>
            <w:div w:id="152124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4944">
      <w:bodyDiv w:val="1"/>
      <w:marLeft w:val="0"/>
      <w:marRight w:val="0"/>
      <w:marTop w:val="0"/>
      <w:marBottom w:val="0"/>
      <w:divBdr>
        <w:top w:val="none" w:sz="0" w:space="0" w:color="auto"/>
        <w:left w:val="none" w:sz="0" w:space="0" w:color="auto"/>
        <w:bottom w:val="none" w:sz="0" w:space="0" w:color="auto"/>
        <w:right w:val="none" w:sz="0" w:space="0" w:color="auto"/>
      </w:divBdr>
      <w:divsChild>
        <w:div w:id="197398779">
          <w:marLeft w:val="0"/>
          <w:marRight w:val="0"/>
          <w:marTop w:val="0"/>
          <w:marBottom w:val="0"/>
          <w:divBdr>
            <w:top w:val="none" w:sz="0" w:space="0" w:color="3D3D3D"/>
            <w:left w:val="none" w:sz="0" w:space="0" w:color="3D3D3D"/>
            <w:bottom w:val="none" w:sz="0" w:space="0" w:color="3D3D3D"/>
            <w:right w:val="none" w:sz="0" w:space="0" w:color="3D3D3D"/>
          </w:divBdr>
          <w:divsChild>
            <w:div w:id="108672481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66016590">
      <w:bodyDiv w:val="1"/>
      <w:marLeft w:val="0"/>
      <w:marRight w:val="0"/>
      <w:marTop w:val="0"/>
      <w:marBottom w:val="0"/>
      <w:divBdr>
        <w:top w:val="none" w:sz="0" w:space="0" w:color="auto"/>
        <w:left w:val="none" w:sz="0" w:space="0" w:color="auto"/>
        <w:bottom w:val="none" w:sz="0" w:space="0" w:color="auto"/>
        <w:right w:val="none" w:sz="0" w:space="0" w:color="auto"/>
      </w:divBdr>
    </w:div>
    <w:div w:id="186211861">
      <w:bodyDiv w:val="1"/>
      <w:marLeft w:val="0"/>
      <w:marRight w:val="0"/>
      <w:marTop w:val="0"/>
      <w:marBottom w:val="0"/>
      <w:divBdr>
        <w:top w:val="none" w:sz="0" w:space="0" w:color="auto"/>
        <w:left w:val="none" w:sz="0" w:space="0" w:color="auto"/>
        <w:bottom w:val="none" w:sz="0" w:space="0" w:color="auto"/>
        <w:right w:val="none" w:sz="0" w:space="0" w:color="auto"/>
      </w:divBdr>
      <w:divsChild>
        <w:div w:id="484666044">
          <w:marLeft w:val="0"/>
          <w:marRight w:val="0"/>
          <w:marTop w:val="0"/>
          <w:marBottom w:val="0"/>
          <w:divBdr>
            <w:top w:val="none" w:sz="0" w:space="0" w:color="auto"/>
            <w:left w:val="none" w:sz="0" w:space="0" w:color="auto"/>
            <w:bottom w:val="none" w:sz="0" w:space="0" w:color="auto"/>
            <w:right w:val="none" w:sz="0" w:space="0" w:color="auto"/>
          </w:divBdr>
          <w:divsChild>
            <w:div w:id="2002274390">
              <w:marLeft w:val="0"/>
              <w:marRight w:val="0"/>
              <w:marTop w:val="0"/>
              <w:marBottom w:val="0"/>
              <w:divBdr>
                <w:top w:val="none" w:sz="0" w:space="0" w:color="auto"/>
                <w:left w:val="none" w:sz="0" w:space="0" w:color="auto"/>
                <w:bottom w:val="none" w:sz="0" w:space="0" w:color="auto"/>
                <w:right w:val="none" w:sz="0" w:space="0" w:color="auto"/>
              </w:divBdr>
            </w:div>
          </w:divsChild>
        </w:div>
        <w:div w:id="504243233">
          <w:marLeft w:val="0"/>
          <w:marRight w:val="0"/>
          <w:marTop w:val="0"/>
          <w:marBottom w:val="0"/>
          <w:divBdr>
            <w:top w:val="none" w:sz="0" w:space="0" w:color="auto"/>
            <w:left w:val="none" w:sz="0" w:space="0" w:color="auto"/>
            <w:bottom w:val="none" w:sz="0" w:space="0" w:color="auto"/>
            <w:right w:val="none" w:sz="0" w:space="0" w:color="auto"/>
          </w:divBdr>
          <w:divsChild>
            <w:div w:id="1169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11363">
      <w:bodyDiv w:val="1"/>
      <w:marLeft w:val="0"/>
      <w:marRight w:val="0"/>
      <w:marTop w:val="0"/>
      <w:marBottom w:val="0"/>
      <w:divBdr>
        <w:top w:val="none" w:sz="0" w:space="0" w:color="auto"/>
        <w:left w:val="none" w:sz="0" w:space="0" w:color="auto"/>
        <w:bottom w:val="none" w:sz="0" w:space="0" w:color="auto"/>
        <w:right w:val="none" w:sz="0" w:space="0" w:color="auto"/>
      </w:divBdr>
      <w:divsChild>
        <w:div w:id="1568683843">
          <w:marLeft w:val="0"/>
          <w:marRight w:val="0"/>
          <w:marTop w:val="0"/>
          <w:marBottom w:val="0"/>
          <w:divBdr>
            <w:top w:val="none" w:sz="0" w:space="0" w:color="3D3D3D"/>
            <w:left w:val="none" w:sz="0" w:space="0" w:color="3D3D3D"/>
            <w:bottom w:val="none" w:sz="0" w:space="0" w:color="3D3D3D"/>
            <w:right w:val="none" w:sz="0" w:space="0" w:color="3D3D3D"/>
          </w:divBdr>
          <w:divsChild>
            <w:div w:id="141204809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25383017">
      <w:bodyDiv w:val="1"/>
      <w:marLeft w:val="0"/>
      <w:marRight w:val="0"/>
      <w:marTop w:val="0"/>
      <w:marBottom w:val="0"/>
      <w:divBdr>
        <w:top w:val="none" w:sz="0" w:space="0" w:color="auto"/>
        <w:left w:val="none" w:sz="0" w:space="0" w:color="auto"/>
        <w:bottom w:val="none" w:sz="0" w:space="0" w:color="auto"/>
        <w:right w:val="none" w:sz="0" w:space="0" w:color="auto"/>
      </w:divBdr>
      <w:divsChild>
        <w:div w:id="550922871">
          <w:marLeft w:val="0"/>
          <w:marRight w:val="0"/>
          <w:marTop w:val="0"/>
          <w:marBottom w:val="0"/>
          <w:divBdr>
            <w:top w:val="none" w:sz="0" w:space="0" w:color="3D3D3D"/>
            <w:left w:val="none" w:sz="0" w:space="0" w:color="3D3D3D"/>
            <w:bottom w:val="none" w:sz="0" w:space="0" w:color="3D3D3D"/>
            <w:right w:val="none" w:sz="0" w:space="0" w:color="3D3D3D"/>
          </w:divBdr>
        </w:div>
      </w:divsChild>
    </w:div>
    <w:div w:id="243489084">
      <w:bodyDiv w:val="1"/>
      <w:marLeft w:val="0"/>
      <w:marRight w:val="0"/>
      <w:marTop w:val="0"/>
      <w:marBottom w:val="0"/>
      <w:divBdr>
        <w:top w:val="none" w:sz="0" w:space="0" w:color="auto"/>
        <w:left w:val="none" w:sz="0" w:space="0" w:color="auto"/>
        <w:bottom w:val="none" w:sz="0" w:space="0" w:color="auto"/>
        <w:right w:val="none" w:sz="0" w:space="0" w:color="auto"/>
      </w:divBdr>
      <w:divsChild>
        <w:div w:id="1702976966">
          <w:marLeft w:val="0"/>
          <w:marRight w:val="0"/>
          <w:marTop w:val="0"/>
          <w:marBottom w:val="0"/>
          <w:divBdr>
            <w:top w:val="none" w:sz="0" w:space="0" w:color="3D3D3D"/>
            <w:left w:val="none" w:sz="0" w:space="0" w:color="3D3D3D"/>
            <w:bottom w:val="none" w:sz="0" w:space="0" w:color="3D3D3D"/>
            <w:right w:val="none" w:sz="0" w:space="0" w:color="3D3D3D"/>
          </w:divBdr>
        </w:div>
      </w:divsChild>
    </w:div>
    <w:div w:id="246430639">
      <w:bodyDiv w:val="1"/>
      <w:marLeft w:val="0"/>
      <w:marRight w:val="0"/>
      <w:marTop w:val="0"/>
      <w:marBottom w:val="0"/>
      <w:divBdr>
        <w:top w:val="none" w:sz="0" w:space="0" w:color="auto"/>
        <w:left w:val="none" w:sz="0" w:space="0" w:color="auto"/>
        <w:bottom w:val="none" w:sz="0" w:space="0" w:color="auto"/>
        <w:right w:val="none" w:sz="0" w:space="0" w:color="auto"/>
      </w:divBdr>
      <w:divsChild>
        <w:div w:id="1476022044">
          <w:marLeft w:val="0"/>
          <w:marRight w:val="0"/>
          <w:marTop w:val="0"/>
          <w:marBottom w:val="0"/>
          <w:divBdr>
            <w:top w:val="none" w:sz="0" w:space="0" w:color="3D3D3D"/>
            <w:left w:val="none" w:sz="0" w:space="0" w:color="3D3D3D"/>
            <w:bottom w:val="none" w:sz="0" w:space="0" w:color="3D3D3D"/>
            <w:right w:val="none" w:sz="0" w:space="0" w:color="3D3D3D"/>
          </w:divBdr>
        </w:div>
      </w:divsChild>
    </w:div>
    <w:div w:id="251277698">
      <w:bodyDiv w:val="1"/>
      <w:marLeft w:val="0"/>
      <w:marRight w:val="0"/>
      <w:marTop w:val="0"/>
      <w:marBottom w:val="0"/>
      <w:divBdr>
        <w:top w:val="none" w:sz="0" w:space="0" w:color="auto"/>
        <w:left w:val="none" w:sz="0" w:space="0" w:color="auto"/>
        <w:bottom w:val="none" w:sz="0" w:space="0" w:color="auto"/>
        <w:right w:val="none" w:sz="0" w:space="0" w:color="auto"/>
      </w:divBdr>
      <w:divsChild>
        <w:div w:id="783156755">
          <w:marLeft w:val="0"/>
          <w:marRight w:val="0"/>
          <w:marTop w:val="0"/>
          <w:marBottom w:val="0"/>
          <w:divBdr>
            <w:top w:val="none" w:sz="0" w:space="0" w:color="3D3D3D"/>
            <w:left w:val="none" w:sz="0" w:space="0" w:color="3D3D3D"/>
            <w:bottom w:val="none" w:sz="0" w:space="0" w:color="3D3D3D"/>
            <w:right w:val="none" w:sz="0" w:space="0" w:color="3D3D3D"/>
          </w:divBdr>
          <w:divsChild>
            <w:div w:id="33908844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51672212">
      <w:bodyDiv w:val="1"/>
      <w:marLeft w:val="0"/>
      <w:marRight w:val="0"/>
      <w:marTop w:val="0"/>
      <w:marBottom w:val="0"/>
      <w:divBdr>
        <w:top w:val="none" w:sz="0" w:space="0" w:color="auto"/>
        <w:left w:val="none" w:sz="0" w:space="0" w:color="auto"/>
        <w:bottom w:val="none" w:sz="0" w:space="0" w:color="auto"/>
        <w:right w:val="none" w:sz="0" w:space="0" w:color="auto"/>
      </w:divBdr>
      <w:divsChild>
        <w:div w:id="523637164">
          <w:marLeft w:val="0"/>
          <w:marRight w:val="0"/>
          <w:marTop w:val="0"/>
          <w:marBottom w:val="0"/>
          <w:divBdr>
            <w:top w:val="none" w:sz="0" w:space="0" w:color="3D3D3D"/>
            <w:left w:val="none" w:sz="0" w:space="0" w:color="3D3D3D"/>
            <w:bottom w:val="none" w:sz="0" w:space="0" w:color="3D3D3D"/>
            <w:right w:val="none" w:sz="0" w:space="0" w:color="3D3D3D"/>
          </w:divBdr>
          <w:divsChild>
            <w:div w:id="68459982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60990285">
      <w:bodyDiv w:val="1"/>
      <w:marLeft w:val="0"/>
      <w:marRight w:val="0"/>
      <w:marTop w:val="0"/>
      <w:marBottom w:val="0"/>
      <w:divBdr>
        <w:top w:val="none" w:sz="0" w:space="0" w:color="auto"/>
        <w:left w:val="none" w:sz="0" w:space="0" w:color="auto"/>
        <w:bottom w:val="none" w:sz="0" w:space="0" w:color="auto"/>
        <w:right w:val="none" w:sz="0" w:space="0" w:color="auto"/>
      </w:divBdr>
      <w:divsChild>
        <w:div w:id="1576158950">
          <w:marLeft w:val="0"/>
          <w:marRight w:val="0"/>
          <w:marTop w:val="0"/>
          <w:marBottom w:val="0"/>
          <w:divBdr>
            <w:top w:val="none" w:sz="0" w:space="0" w:color="auto"/>
            <w:left w:val="none" w:sz="0" w:space="0" w:color="auto"/>
            <w:bottom w:val="none" w:sz="0" w:space="0" w:color="auto"/>
            <w:right w:val="none" w:sz="0" w:space="0" w:color="auto"/>
          </w:divBdr>
        </w:div>
      </w:divsChild>
    </w:div>
    <w:div w:id="279260442">
      <w:bodyDiv w:val="1"/>
      <w:marLeft w:val="0"/>
      <w:marRight w:val="0"/>
      <w:marTop w:val="0"/>
      <w:marBottom w:val="0"/>
      <w:divBdr>
        <w:top w:val="none" w:sz="0" w:space="0" w:color="auto"/>
        <w:left w:val="none" w:sz="0" w:space="0" w:color="auto"/>
        <w:bottom w:val="none" w:sz="0" w:space="0" w:color="auto"/>
        <w:right w:val="none" w:sz="0" w:space="0" w:color="auto"/>
      </w:divBdr>
      <w:divsChild>
        <w:div w:id="1806922390">
          <w:marLeft w:val="0"/>
          <w:marRight w:val="0"/>
          <w:marTop w:val="0"/>
          <w:marBottom w:val="0"/>
          <w:divBdr>
            <w:top w:val="none" w:sz="0" w:space="0" w:color="3D3D3D"/>
            <w:left w:val="none" w:sz="0" w:space="0" w:color="3D3D3D"/>
            <w:bottom w:val="none" w:sz="0" w:space="0" w:color="3D3D3D"/>
            <w:right w:val="none" w:sz="0" w:space="0" w:color="3D3D3D"/>
          </w:divBdr>
        </w:div>
      </w:divsChild>
    </w:div>
    <w:div w:id="303850043">
      <w:bodyDiv w:val="1"/>
      <w:marLeft w:val="0"/>
      <w:marRight w:val="0"/>
      <w:marTop w:val="0"/>
      <w:marBottom w:val="0"/>
      <w:divBdr>
        <w:top w:val="none" w:sz="0" w:space="0" w:color="auto"/>
        <w:left w:val="none" w:sz="0" w:space="0" w:color="auto"/>
        <w:bottom w:val="none" w:sz="0" w:space="0" w:color="auto"/>
        <w:right w:val="none" w:sz="0" w:space="0" w:color="auto"/>
      </w:divBdr>
      <w:divsChild>
        <w:div w:id="446120708">
          <w:marLeft w:val="0"/>
          <w:marRight w:val="0"/>
          <w:marTop w:val="0"/>
          <w:marBottom w:val="0"/>
          <w:divBdr>
            <w:top w:val="none" w:sz="0" w:space="0" w:color="3D3D3D"/>
            <w:left w:val="none" w:sz="0" w:space="0" w:color="3D3D3D"/>
            <w:bottom w:val="none" w:sz="0" w:space="0" w:color="3D3D3D"/>
            <w:right w:val="none" w:sz="0" w:space="0" w:color="3D3D3D"/>
          </w:divBdr>
          <w:divsChild>
            <w:div w:id="19577696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14334386">
      <w:bodyDiv w:val="1"/>
      <w:marLeft w:val="0"/>
      <w:marRight w:val="0"/>
      <w:marTop w:val="0"/>
      <w:marBottom w:val="0"/>
      <w:divBdr>
        <w:top w:val="none" w:sz="0" w:space="0" w:color="auto"/>
        <w:left w:val="none" w:sz="0" w:space="0" w:color="auto"/>
        <w:bottom w:val="none" w:sz="0" w:space="0" w:color="auto"/>
        <w:right w:val="none" w:sz="0" w:space="0" w:color="auto"/>
      </w:divBdr>
      <w:divsChild>
        <w:div w:id="812909498">
          <w:marLeft w:val="0"/>
          <w:marRight w:val="0"/>
          <w:marTop w:val="0"/>
          <w:marBottom w:val="0"/>
          <w:divBdr>
            <w:top w:val="none" w:sz="0" w:space="0" w:color="3D3D3D"/>
            <w:left w:val="none" w:sz="0" w:space="0" w:color="3D3D3D"/>
            <w:bottom w:val="none" w:sz="0" w:space="0" w:color="3D3D3D"/>
            <w:right w:val="none" w:sz="0" w:space="0" w:color="3D3D3D"/>
          </w:divBdr>
        </w:div>
      </w:divsChild>
    </w:div>
    <w:div w:id="335499084">
      <w:bodyDiv w:val="1"/>
      <w:marLeft w:val="0"/>
      <w:marRight w:val="0"/>
      <w:marTop w:val="0"/>
      <w:marBottom w:val="0"/>
      <w:divBdr>
        <w:top w:val="none" w:sz="0" w:space="0" w:color="auto"/>
        <w:left w:val="none" w:sz="0" w:space="0" w:color="auto"/>
        <w:bottom w:val="none" w:sz="0" w:space="0" w:color="auto"/>
        <w:right w:val="none" w:sz="0" w:space="0" w:color="auto"/>
      </w:divBdr>
      <w:divsChild>
        <w:div w:id="341082048">
          <w:marLeft w:val="0"/>
          <w:marRight w:val="0"/>
          <w:marTop w:val="0"/>
          <w:marBottom w:val="0"/>
          <w:divBdr>
            <w:top w:val="none" w:sz="0" w:space="0" w:color="3D3D3D"/>
            <w:left w:val="none" w:sz="0" w:space="0" w:color="3D3D3D"/>
            <w:bottom w:val="none" w:sz="0" w:space="0" w:color="3D3D3D"/>
            <w:right w:val="none" w:sz="0" w:space="0" w:color="3D3D3D"/>
          </w:divBdr>
        </w:div>
      </w:divsChild>
    </w:div>
    <w:div w:id="340277954">
      <w:bodyDiv w:val="1"/>
      <w:marLeft w:val="0"/>
      <w:marRight w:val="0"/>
      <w:marTop w:val="0"/>
      <w:marBottom w:val="0"/>
      <w:divBdr>
        <w:top w:val="none" w:sz="0" w:space="0" w:color="auto"/>
        <w:left w:val="none" w:sz="0" w:space="0" w:color="auto"/>
        <w:bottom w:val="none" w:sz="0" w:space="0" w:color="auto"/>
        <w:right w:val="none" w:sz="0" w:space="0" w:color="auto"/>
      </w:divBdr>
      <w:divsChild>
        <w:div w:id="1874657284">
          <w:marLeft w:val="0"/>
          <w:marRight w:val="0"/>
          <w:marTop w:val="0"/>
          <w:marBottom w:val="0"/>
          <w:divBdr>
            <w:top w:val="none" w:sz="0" w:space="0" w:color="3D3D3D"/>
            <w:left w:val="none" w:sz="0" w:space="0" w:color="3D3D3D"/>
            <w:bottom w:val="none" w:sz="0" w:space="0" w:color="3D3D3D"/>
            <w:right w:val="none" w:sz="0" w:space="0" w:color="3D3D3D"/>
          </w:divBdr>
          <w:divsChild>
            <w:div w:id="68001198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55008905">
      <w:bodyDiv w:val="1"/>
      <w:marLeft w:val="0"/>
      <w:marRight w:val="0"/>
      <w:marTop w:val="0"/>
      <w:marBottom w:val="0"/>
      <w:divBdr>
        <w:top w:val="none" w:sz="0" w:space="0" w:color="auto"/>
        <w:left w:val="none" w:sz="0" w:space="0" w:color="auto"/>
        <w:bottom w:val="none" w:sz="0" w:space="0" w:color="auto"/>
        <w:right w:val="none" w:sz="0" w:space="0" w:color="auto"/>
      </w:divBdr>
      <w:divsChild>
        <w:div w:id="182478345">
          <w:marLeft w:val="0"/>
          <w:marRight w:val="0"/>
          <w:marTop w:val="0"/>
          <w:marBottom w:val="0"/>
          <w:divBdr>
            <w:top w:val="none" w:sz="0" w:space="0" w:color="3D3D3D"/>
            <w:left w:val="none" w:sz="0" w:space="0" w:color="3D3D3D"/>
            <w:bottom w:val="none" w:sz="0" w:space="0" w:color="3D3D3D"/>
            <w:right w:val="none" w:sz="0" w:space="0" w:color="3D3D3D"/>
          </w:divBdr>
          <w:divsChild>
            <w:div w:id="151757760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59817496">
      <w:bodyDiv w:val="1"/>
      <w:marLeft w:val="0"/>
      <w:marRight w:val="0"/>
      <w:marTop w:val="0"/>
      <w:marBottom w:val="0"/>
      <w:divBdr>
        <w:top w:val="none" w:sz="0" w:space="0" w:color="auto"/>
        <w:left w:val="none" w:sz="0" w:space="0" w:color="auto"/>
        <w:bottom w:val="none" w:sz="0" w:space="0" w:color="auto"/>
        <w:right w:val="none" w:sz="0" w:space="0" w:color="auto"/>
      </w:divBdr>
      <w:divsChild>
        <w:div w:id="1070346014">
          <w:marLeft w:val="0"/>
          <w:marRight w:val="0"/>
          <w:marTop w:val="0"/>
          <w:marBottom w:val="0"/>
          <w:divBdr>
            <w:top w:val="none" w:sz="0" w:space="0" w:color="auto"/>
            <w:left w:val="none" w:sz="0" w:space="0" w:color="auto"/>
            <w:bottom w:val="none" w:sz="0" w:space="0" w:color="auto"/>
            <w:right w:val="none" w:sz="0" w:space="0" w:color="auto"/>
          </w:divBdr>
        </w:div>
      </w:divsChild>
    </w:div>
    <w:div w:id="373389520">
      <w:bodyDiv w:val="1"/>
      <w:marLeft w:val="0"/>
      <w:marRight w:val="0"/>
      <w:marTop w:val="0"/>
      <w:marBottom w:val="0"/>
      <w:divBdr>
        <w:top w:val="none" w:sz="0" w:space="0" w:color="auto"/>
        <w:left w:val="none" w:sz="0" w:space="0" w:color="auto"/>
        <w:bottom w:val="none" w:sz="0" w:space="0" w:color="auto"/>
        <w:right w:val="none" w:sz="0" w:space="0" w:color="auto"/>
      </w:divBdr>
    </w:div>
    <w:div w:id="377824261">
      <w:bodyDiv w:val="1"/>
      <w:marLeft w:val="0"/>
      <w:marRight w:val="0"/>
      <w:marTop w:val="0"/>
      <w:marBottom w:val="0"/>
      <w:divBdr>
        <w:top w:val="none" w:sz="0" w:space="0" w:color="auto"/>
        <w:left w:val="none" w:sz="0" w:space="0" w:color="auto"/>
        <w:bottom w:val="none" w:sz="0" w:space="0" w:color="auto"/>
        <w:right w:val="none" w:sz="0" w:space="0" w:color="auto"/>
      </w:divBdr>
      <w:divsChild>
        <w:div w:id="2020235077">
          <w:marLeft w:val="0"/>
          <w:marRight w:val="0"/>
          <w:marTop w:val="0"/>
          <w:marBottom w:val="0"/>
          <w:divBdr>
            <w:top w:val="none" w:sz="0" w:space="0" w:color="3D3D3D"/>
            <w:left w:val="none" w:sz="0" w:space="0" w:color="3D3D3D"/>
            <w:bottom w:val="none" w:sz="0" w:space="0" w:color="3D3D3D"/>
            <w:right w:val="none" w:sz="0" w:space="0" w:color="3D3D3D"/>
          </w:divBdr>
          <w:divsChild>
            <w:div w:id="55562958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89693132">
      <w:bodyDiv w:val="1"/>
      <w:marLeft w:val="0"/>
      <w:marRight w:val="0"/>
      <w:marTop w:val="0"/>
      <w:marBottom w:val="0"/>
      <w:divBdr>
        <w:top w:val="none" w:sz="0" w:space="0" w:color="auto"/>
        <w:left w:val="none" w:sz="0" w:space="0" w:color="auto"/>
        <w:bottom w:val="none" w:sz="0" w:space="0" w:color="auto"/>
        <w:right w:val="none" w:sz="0" w:space="0" w:color="auto"/>
      </w:divBdr>
      <w:divsChild>
        <w:div w:id="742333793">
          <w:marLeft w:val="0"/>
          <w:marRight w:val="0"/>
          <w:marTop w:val="0"/>
          <w:marBottom w:val="0"/>
          <w:divBdr>
            <w:top w:val="none" w:sz="0" w:space="0" w:color="auto"/>
            <w:left w:val="none" w:sz="0" w:space="0" w:color="auto"/>
            <w:bottom w:val="none" w:sz="0" w:space="0" w:color="auto"/>
            <w:right w:val="none" w:sz="0" w:space="0" w:color="auto"/>
          </w:divBdr>
        </w:div>
      </w:divsChild>
    </w:div>
    <w:div w:id="413094884">
      <w:bodyDiv w:val="1"/>
      <w:marLeft w:val="0"/>
      <w:marRight w:val="0"/>
      <w:marTop w:val="0"/>
      <w:marBottom w:val="0"/>
      <w:divBdr>
        <w:top w:val="none" w:sz="0" w:space="0" w:color="auto"/>
        <w:left w:val="none" w:sz="0" w:space="0" w:color="auto"/>
        <w:bottom w:val="none" w:sz="0" w:space="0" w:color="auto"/>
        <w:right w:val="none" w:sz="0" w:space="0" w:color="auto"/>
      </w:divBdr>
      <w:divsChild>
        <w:div w:id="1654137278">
          <w:marLeft w:val="0"/>
          <w:marRight w:val="0"/>
          <w:marTop w:val="0"/>
          <w:marBottom w:val="0"/>
          <w:divBdr>
            <w:top w:val="none" w:sz="0" w:space="0" w:color="3D3D3D"/>
            <w:left w:val="none" w:sz="0" w:space="0" w:color="3D3D3D"/>
            <w:bottom w:val="none" w:sz="0" w:space="0" w:color="3D3D3D"/>
            <w:right w:val="none" w:sz="0" w:space="0" w:color="3D3D3D"/>
          </w:divBdr>
          <w:divsChild>
            <w:div w:id="178823103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15715849">
      <w:bodyDiv w:val="1"/>
      <w:marLeft w:val="0"/>
      <w:marRight w:val="0"/>
      <w:marTop w:val="0"/>
      <w:marBottom w:val="0"/>
      <w:divBdr>
        <w:top w:val="none" w:sz="0" w:space="0" w:color="auto"/>
        <w:left w:val="none" w:sz="0" w:space="0" w:color="auto"/>
        <w:bottom w:val="none" w:sz="0" w:space="0" w:color="auto"/>
        <w:right w:val="none" w:sz="0" w:space="0" w:color="auto"/>
      </w:divBdr>
      <w:divsChild>
        <w:div w:id="650253924">
          <w:marLeft w:val="0"/>
          <w:marRight w:val="0"/>
          <w:marTop w:val="0"/>
          <w:marBottom w:val="0"/>
          <w:divBdr>
            <w:top w:val="none" w:sz="0" w:space="0" w:color="3D3D3D"/>
            <w:left w:val="none" w:sz="0" w:space="0" w:color="3D3D3D"/>
            <w:bottom w:val="none" w:sz="0" w:space="0" w:color="3D3D3D"/>
            <w:right w:val="none" w:sz="0" w:space="0" w:color="3D3D3D"/>
          </w:divBdr>
        </w:div>
      </w:divsChild>
    </w:div>
    <w:div w:id="478039683">
      <w:bodyDiv w:val="1"/>
      <w:marLeft w:val="0"/>
      <w:marRight w:val="0"/>
      <w:marTop w:val="0"/>
      <w:marBottom w:val="0"/>
      <w:divBdr>
        <w:top w:val="none" w:sz="0" w:space="0" w:color="auto"/>
        <w:left w:val="none" w:sz="0" w:space="0" w:color="auto"/>
        <w:bottom w:val="none" w:sz="0" w:space="0" w:color="auto"/>
        <w:right w:val="none" w:sz="0" w:space="0" w:color="auto"/>
      </w:divBdr>
    </w:div>
    <w:div w:id="503283630">
      <w:bodyDiv w:val="1"/>
      <w:marLeft w:val="0"/>
      <w:marRight w:val="0"/>
      <w:marTop w:val="0"/>
      <w:marBottom w:val="0"/>
      <w:divBdr>
        <w:top w:val="none" w:sz="0" w:space="0" w:color="auto"/>
        <w:left w:val="none" w:sz="0" w:space="0" w:color="auto"/>
        <w:bottom w:val="none" w:sz="0" w:space="0" w:color="auto"/>
        <w:right w:val="none" w:sz="0" w:space="0" w:color="auto"/>
      </w:divBdr>
      <w:divsChild>
        <w:div w:id="2125614233">
          <w:marLeft w:val="0"/>
          <w:marRight w:val="0"/>
          <w:marTop w:val="0"/>
          <w:marBottom w:val="0"/>
          <w:divBdr>
            <w:top w:val="none" w:sz="0" w:space="0" w:color="3D3D3D"/>
            <w:left w:val="none" w:sz="0" w:space="0" w:color="3D3D3D"/>
            <w:bottom w:val="none" w:sz="0" w:space="0" w:color="3D3D3D"/>
            <w:right w:val="none" w:sz="0" w:space="0" w:color="3D3D3D"/>
          </w:divBdr>
          <w:divsChild>
            <w:div w:id="195324226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19272342">
      <w:bodyDiv w:val="1"/>
      <w:marLeft w:val="0"/>
      <w:marRight w:val="0"/>
      <w:marTop w:val="0"/>
      <w:marBottom w:val="0"/>
      <w:divBdr>
        <w:top w:val="none" w:sz="0" w:space="0" w:color="auto"/>
        <w:left w:val="none" w:sz="0" w:space="0" w:color="auto"/>
        <w:bottom w:val="none" w:sz="0" w:space="0" w:color="auto"/>
        <w:right w:val="none" w:sz="0" w:space="0" w:color="auto"/>
      </w:divBdr>
      <w:divsChild>
        <w:div w:id="1679039140">
          <w:marLeft w:val="0"/>
          <w:marRight w:val="0"/>
          <w:marTop w:val="0"/>
          <w:marBottom w:val="0"/>
          <w:divBdr>
            <w:top w:val="none" w:sz="0" w:space="0" w:color="3D3D3D"/>
            <w:left w:val="none" w:sz="0" w:space="0" w:color="3D3D3D"/>
            <w:bottom w:val="none" w:sz="0" w:space="0" w:color="3D3D3D"/>
            <w:right w:val="none" w:sz="0" w:space="0" w:color="3D3D3D"/>
          </w:divBdr>
        </w:div>
      </w:divsChild>
    </w:div>
    <w:div w:id="526916464">
      <w:bodyDiv w:val="1"/>
      <w:marLeft w:val="0"/>
      <w:marRight w:val="0"/>
      <w:marTop w:val="0"/>
      <w:marBottom w:val="0"/>
      <w:divBdr>
        <w:top w:val="none" w:sz="0" w:space="0" w:color="auto"/>
        <w:left w:val="none" w:sz="0" w:space="0" w:color="auto"/>
        <w:bottom w:val="none" w:sz="0" w:space="0" w:color="auto"/>
        <w:right w:val="none" w:sz="0" w:space="0" w:color="auto"/>
      </w:divBdr>
      <w:divsChild>
        <w:div w:id="385029883">
          <w:marLeft w:val="0"/>
          <w:marRight w:val="0"/>
          <w:marTop w:val="0"/>
          <w:marBottom w:val="0"/>
          <w:divBdr>
            <w:top w:val="none" w:sz="0" w:space="0" w:color="3D3D3D"/>
            <w:left w:val="none" w:sz="0" w:space="0" w:color="3D3D3D"/>
            <w:bottom w:val="none" w:sz="0" w:space="0" w:color="3D3D3D"/>
            <w:right w:val="none" w:sz="0" w:space="0" w:color="3D3D3D"/>
          </w:divBdr>
        </w:div>
      </w:divsChild>
    </w:div>
    <w:div w:id="531697876">
      <w:bodyDiv w:val="1"/>
      <w:marLeft w:val="0"/>
      <w:marRight w:val="0"/>
      <w:marTop w:val="0"/>
      <w:marBottom w:val="0"/>
      <w:divBdr>
        <w:top w:val="none" w:sz="0" w:space="0" w:color="auto"/>
        <w:left w:val="none" w:sz="0" w:space="0" w:color="auto"/>
        <w:bottom w:val="none" w:sz="0" w:space="0" w:color="auto"/>
        <w:right w:val="none" w:sz="0" w:space="0" w:color="auto"/>
      </w:divBdr>
      <w:divsChild>
        <w:div w:id="1851990626">
          <w:marLeft w:val="0"/>
          <w:marRight w:val="0"/>
          <w:marTop w:val="0"/>
          <w:marBottom w:val="0"/>
          <w:divBdr>
            <w:top w:val="none" w:sz="0" w:space="0" w:color="3D3D3D"/>
            <w:left w:val="none" w:sz="0" w:space="0" w:color="3D3D3D"/>
            <w:bottom w:val="none" w:sz="0" w:space="0" w:color="3D3D3D"/>
            <w:right w:val="none" w:sz="0" w:space="0" w:color="3D3D3D"/>
          </w:divBdr>
        </w:div>
      </w:divsChild>
    </w:div>
    <w:div w:id="548541409">
      <w:bodyDiv w:val="1"/>
      <w:marLeft w:val="0"/>
      <w:marRight w:val="0"/>
      <w:marTop w:val="0"/>
      <w:marBottom w:val="0"/>
      <w:divBdr>
        <w:top w:val="none" w:sz="0" w:space="0" w:color="auto"/>
        <w:left w:val="none" w:sz="0" w:space="0" w:color="auto"/>
        <w:bottom w:val="none" w:sz="0" w:space="0" w:color="auto"/>
        <w:right w:val="none" w:sz="0" w:space="0" w:color="auto"/>
      </w:divBdr>
      <w:divsChild>
        <w:div w:id="437677915">
          <w:marLeft w:val="0"/>
          <w:marRight w:val="0"/>
          <w:marTop w:val="0"/>
          <w:marBottom w:val="0"/>
          <w:divBdr>
            <w:top w:val="none" w:sz="0" w:space="0" w:color="3D3D3D"/>
            <w:left w:val="none" w:sz="0" w:space="0" w:color="3D3D3D"/>
            <w:bottom w:val="none" w:sz="0" w:space="0" w:color="3D3D3D"/>
            <w:right w:val="none" w:sz="0" w:space="0" w:color="3D3D3D"/>
          </w:divBdr>
        </w:div>
      </w:divsChild>
    </w:div>
    <w:div w:id="570310238">
      <w:bodyDiv w:val="1"/>
      <w:marLeft w:val="0"/>
      <w:marRight w:val="0"/>
      <w:marTop w:val="0"/>
      <w:marBottom w:val="0"/>
      <w:divBdr>
        <w:top w:val="none" w:sz="0" w:space="0" w:color="auto"/>
        <w:left w:val="none" w:sz="0" w:space="0" w:color="auto"/>
        <w:bottom w:val="none" w:sz="0" w:space="0" w:color="auto"/>
        <w:right w:val="none" w:sz="0" w:space="0" w:color="auto"/>
      </w:divBdr>
      <w:divsChild>
        <w:div w:id="539824634">
          <w:marLeft w:val="0"/>
          <w:marRight w:val="0"/>
          <w:marTop w:val="0"/>
          <w:marBottom w:val="0"/>
          <w:divBdr>
            <w:top w:val="none" w:sz="0" w:space="0" w:color="3D3D3D"/>
            <w:left w:val="none" w:sz="0" w:space="0" w:color="3D3D3D"/>
            <w:bottom w:val="none" w:sz="0" w:space="0" w:color="3D3D3D"/>
            <w:right w:val="none" w:sz="0" w:space="0" w:color="3D3D3D"/>
          </w:divBdr>
        </w:div>
      </w:divsChild>
    </w:div>
    <w:div w:id="573779769">
      <w:bodyDiv w:val="1"/>
      <w:marLeft w:val="0"/>
      <w:marRight w:val="0"/>
      <w:marTop w:val="0"/>
      <w:marBottom w:val="0"/>
      <w:divBdr>
        <w:top w:val="none" w:sz="0" w:space="0" w:color="auto"/>
        <w:left w:val="none" w:sz="0" w:space="0" w:color="auto"/>
        <w:bottom w:val="none" w:sz="0" w:space="0" w:color="auto"/>
        <w:right w:val="none" w:sz="0" w:space="0" w:color="auto"/>
      </w:divBdr>
      <w:divsChild>
        <w:div w:id="552736377">
          <w:marLeft w:val="0"/>
          <w:marRight w:val="0"/>
          <w:marTop w:val="0"/>
          <w:marBottom w:val="0"/>
          <w:divBdr>
            <w:top w:val="none" w:sz="0" w:space="0" w:color="3D3D3D"/>
            <w:left w:val="none" w:sz="0" w:space="0" w:color="3D3D3D"/>
            <w:bottom w:val="none" w:sz="0" w:space="0" w:color="3D3D3D"/>
            <w:right w:val="none" w:sz="0" w:space="0" w:color="3D3D3D"/>
          </w:divBdr>
          <w:divsChild>
            <w:div w:id="54776917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99994695">
      <w:bodyDiv w:val="1"/>
      <w:marLeft w:val="0"/>
      <w:marRight w:val="0"/>
      <w:marTop w:val="0"/>
      <w:marBottom w:val="0"/>
      <w:divBdr>
        <w:top w:val="none" w:sz="0" w:space="0" w:color="auto"/>
        <w:left w:val="none" w:sz="0" w:space="0" w:color="auto"/>
        <w:bottom w:val="none" w:sz="0" w:space="0" w:color="auto"/>
        <w:right w:val="none" w:sz="0" w:space="0" w:color="auto"/>
      </w:divBdr>
      <w:divsChild>
        <w:div w:id="848108443">
          <w:marLeft w:val="0"/>
          <w:marRight w:val="0"/>
          <w:marTop w:val="0"/>
          <w:marBottom w:val="0"/>
          <w:divBdr>
            <w:top w:val="none" w:sz="0" w:space="0" w:color="auto"/>
            <w:left w:val="none" w:sz="0" w:space="0" w:color="auto"/>
            <w:bottom w:val="none" w:sz="0" w:space="0" w:color="auto"/>
            <w:right w:val="none" w:sz="0" w:space="0" w:color="auto"/>
          </w:divBdr>
        </w:div>
      </w:divsChild>
    </w:div>
    <w:div w:id="602079467">
      <w:bodyDiv w:val="1"/>
      <w:marLeft w:val="0"/>
      <w:marRight w:val="0"/>
      <w:marTop w:val="0"/>
      <w:marBottom w:val="0"/>
      <w:divBdr>
        <w:top w:val="none" w:sz="0" w:space="0" w:color="auto"/>
        <w:left w:val="none" w:sz="0" w:space="0" w:color="auto"/>
        <w:bottom w:val="none" w:sz="0" w:space="0" w:color="auto"/>
        <w:right w:val="none" w:sz="0" w:space="0" w:color="auto"/>
      </w:divBdr>
      <w:divsChild>
        <w:div w:id="1986625082">
          <w:marLeft w:val="0"/>
          <w:marRight w:val="0"/>
          <w:marTop w:val="0"/>
          <w:marBottom w:val="0"/>
          <w:divBdr>
            <w:top w:val="none" w:sz="0" w:space="0" w:color="3D3D3D"/>
            <w:left w:val="none" w:sz="0" w:space="0" w:color="3D3D3D"/>
            <w:bottom w:val="none" w:sz="0" w:space="0" w:color="3D3D3D"/>
            <w:right w:val="none" w:sz="0" w:space="0" w:color="3D3D3D"/>
          </w:divBdr>
          <w:divsChild>
            <w:div w:id="108148855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03928422">
      <w:bodyDiv w:val="1"/>
      <w:marLeft w:val="0"/>
      <w:marRight w:val="0"/>
      <w:marTop w:val="0"/>
      <w:marBottom w:val="0"/>
      <w:divBdr>
        <w:top w:val="none" w:sz="0" w:space="0" w:color="auto"/>
        <w:left w:val="none" w:sz="0" w:space="0" w:color="auto"/>
        <w:bottom w:val="none" w:sz="0" w:space="0" w:color="auto"/>
        <w:right w:val="none" w:sz="0" w:space="0" w:color="auto"/>
      </w:divBdr>
      <w:divsChild>
        <w:div w:id="556207803">
          <w:marLeft w:val="0"/>
          <w:marRight w:val="0"/>
          <w:marTop w:val="0"/>
          <w:marBottom w:val="0"/>
          <w:divBdr>
            <w:top w:val="none" w:sz="0" w:space="0" w:color="3D3D3D"/>
            <w:left w:val="none" w:sz="0" w:space="0" w:color="3D3D3D"/>
            <w:bottom w:val="none" w:sz="0" w:space="0" w:color="3D3D3D"/>
            <w:right w:val="none" w:sz="0" w:space="0" w:color="3D3D3D"/>
          </w:divBdr>
        </w:div>
      </w:divsChild>
    </w:div>
    <w:div w:id="641738699">
      <w:bodyDiv w:val="1"/>
      <w:marLeft w:val="0"/>
      <w:marRight w:val="0"/>
      <w:marTop w:val="0"/>
      <w:marBottom w:val="0"/>
      <w:divBdr>
        <w:top w:val="none" w:sz="0" w:space="0" w:color="auto"/>
        <w:left w:val="none" w:sz="0" w:space="0" w:color="auto"/>
        <w:bottom w:val="none" w:sz="0" w:space="0" w:color="auto"/>
        <w:right w:val="none" w:sz="0" w:space="0" w:color="auto"/>
      </w:divBdr>
      <w:divsChild>
        <w:div w:id="1598639121">
          <w:marLeft w:val="0"/>
          <w:marRight w:val="0"/>
          <w:marTop w:val="0"/>
          <w:marBottom w:val="0"/>
          <w:divBdr>
            <w:top w:val="none" w:sz="0" w:space="0" w:color="auto"/>
            <w:left w:val="none" w:sz="0" w:space="0" w:color="auto"/>
            <w:bottom w:val="none" w:sz="0" w:space="0" w:color="auto"/>
            <w:right w:val="none" w:sz="0" w:space="0" w:color="auto"/>
          </w:divBdr>
          <w:divsChild>
            <w:div w:id="431897283">
              <w:marLeft w:val="0"/>
              <w:marRight w:val="0"/>
              <w:marTop w:val="0"/>
              <w:marBottom w:val="0"/>
              <w:divBdr>
                <w:top w:val="none" w:sz="0" w:space="0" w:color="auto"/>
                <w:left w:val="none" w:sz="0" w:space="0" w:color="auto"/>
                <w:bottom w:val="none" w:sz="0" w:space="0" w:color="auto"/>
                <w:right w:val="none" w:sz="0" w:space="0" w:color="auto"/>
              </w:divBdr>
            </w:div>
          </w:divsChild>
        </w:div>
        <w:div w:id="2073380910">
          <w:marLeft w:val="0"/>
          <w:marRight w:val="0"/>
          <w:marTop w:val="0"/>
          <w:marBottom w:val="0"/>
          <w:divBdr>
            <w:top w:val="none" w:sz="0" w:space="0" w:color="auto"/>
            <w:left w:val="none" w:sz="0" w:space="0" w:color="auto"/>
            <w:bottom w:val="none" w:sz="0" w:space="0" w:color="auto"/>
            <w:right w:val="none" w:sz="0" w:space="0" w:color="auto"/>
          </w:divBdr>
          <w:divsChild>
            <w:div w:id="121099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17289">
      <w:bodyDiv w:val="1"/>
      <w:marLeft w:val="0"/>
      <w:marRight w:val="0"/>
      <w:marTop w:val="0"/>
      <w:marBottom w:val="0"/>
      <w:divBdr>
        <w:top w:val="none" w:sz="0" w:space="0" w:color="auto"/>
        <w:left w:val="none" w:sz="0" w:space="0" w:color="auto"/>
        <w:bottom w:val="none" w:sz="0" w:space="0" w:color="auto"/>
        <w:right w:val="none" w:sz="0" w:space="0" w:color="auto"/>
      </w:divBdr>
      <w:divsChild>
        <w:div w:id="379597401">
          <w:marLeft w:val="0"/>
          <w:marRight w:val="0"/>
          <w:marTop w:val="0"/>
          <w:marBottom w:val="0"/>
          <w:divBdr>
            <w:top w:val="none" w:sz="0" w:space="0" w:color="3D3D3D"/>
            <w:left w:val="none" w:sz="0" w:space="0" w:color="3D3D3D"/>
            <w:bottom w:val="none" w:sz="0" w:space="0" w:color="3D3D3D"/>
            <w:right w:val="none" w:sz="0" w:space="0" w:color="3D3D3D"/>
          </w:divBdr>
          <w:divsChild>
            <w:div w:id="146657943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84789673">
      <w:bodyDiv w:val="1"/>
      <w:marLeft w:val="0"/>
      <w:marRight w:val="0"/>
      <w:marTop w:val="0"/>
      <w:marBottom w:val="0"/>
      <w:divBdr>
        <w:top w:val="none" w:sz="0" w:space="0" w:color="auto"/>
        <w:left w:val="none" w:sz="0" w:space="0" w:color="auto"/>
        <w:bottom w:val="none" w:sz="0" w:space="0" w:color="auto"/>
        <w:right w:val="none" w:sz="0" w:space="0" w:color="auto"/>
      </w:divBdr>
      <w:divsChild>
        <w:div w:id="1625307051">
          <w:marLeft w:val="0"/>
          <w:marRight w:val="0"/>
          <w:marTop w:val="0"/>
          <w:marBottom w:val="0"/>
          <w:divBdr>
            <w:top w:val="none" w:sz="0" w:space="0" w:color="3D3D3D"/>
            <w:left w:val="none" w:sz="0" w:space="0" w:color="3D3D3D"/>
            <w:bottom w:val="none" w:sz="0" w:space="0" w:color="3D3D3D"/>
            <w:right w:val="none" w:sz="0" w:space="0" w:color="3D3D3D"/>
          </w:divBdr>
          <w:divsChild>
            <w:div w:id="49279229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96153042">
      <w:bodyDiv w:val="1"/>
      <w:marLeft w:val="0"/>
      <w:marRight w:val="0"/>
      <w:marTop w:val="0"/>
      <w:marBottom w:val="0"/>
      <w:divBdr>
        <w:top w:val="none" w:sz="0" w:space="0" w:color="auto"/>
        <w:left w:val="none" w:sz="0" w:space="0" w:color="auto"/>
        <w:bottom w:val="none" w:sz="0" w:space="0" w:color="auto"/>
        <w:right w:val="none" w:sz="0" w:space="0" w:color="auto"/>
      </w:divBdr>
      <w:divsChild>
        <w:div w:id="1431731840">
          <w:marLeft w:val="0"/>
          <w:marRight w:val="0"/>
          <w:marTop w:val="0"/>
          <w:marBottom w:val="0"/>
          <w:divBdr>
            <w:top w:val="none" w:sz="0" w:space="0" w:color="3D3D3D"/>
            <w:left w:val="none" w:sz="0" w:space="0" w:color="3D3D3D"/>
            <w:bottom w:val="none" w:sz="0" w:space="0" w:color="3D3D3D"/>
            <w:right w:val="none" w:sz="0" w:space="0" w:color="3D3D3D"/>
          </w:divBdr>
          <w:divsChild>
            <w:div w:id="196040848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17585137">
      <w:bodyDiv w:val="1"/>
      <w:marLeft w:val="0"/>
      <w:marRight w:val="0"/>
      <w:marTop w:val="0"/>
      <w:marBottom w:val="0"/>
      <w:divBdr>
        <w:top w:val="none" w:sz="0" w:space="0" w:color="auto"/>
        <w:left w:val="none" w:sz="0" w:space="0" w:color="auto"/>
        <w:bottom w:val="none" w:sz="0" w:space="0" w:color="auto"/>
        <w:right w:val="none" w:sz="0" w:space="0" w:color="auto"/>
      </w:divBdr>
      <w:divsChild>
        <w:div w:id="1383748214">
          <w:marLeft w:val="0"/>
          <w:marRight w:val="0"/>
          <w:marTop w:val="0"/>
          <w:marBottom w:val="0"/>
          <w:divBdr>
            <w:top w:val="none" w:sz="0" w:space="0" w:color="auto"/>
            <w:left w:val="none" w:sz="0" w:space="0" w:color="auto"/>
            <w:bottom w:val="none" w:sz="0" w:space="0" w:color="auto"/>
            <w:right w:val="none" w:sz="0" w:space="0" w:color="auto"/>
          </w:divBdr>
        </w:div>
      </w:divsChild>
    </w:div>
    <w:div w:id="724108349">
      <w:bodyDiv w:val="1"/>
      <w:marLeft w:val="0"/>
      <w:marRight w:val="0"/>
      <w:marTop w:val="0"/>
      <w:marBottom w:val="0"/>
      <w:divBdr>
        <w:top w:val="none" w:sz="0" w:space="0" w:color="auto"/>
        <w:left w:val="none" w:sz="0" w:space="0" w:color="auto"/>
        <w:bottom w:val="none" w:sz="0" w:space="0" w:color="auto"/>
        <w:right w:val="none" w:sz="0" w:space="0" w:color="auto"/>
      </w:divBdr>
      <w:divsChild>
        <w:div w:id="1435246468">
          <w:marLeft w:val="0"/>
          <w:marRight w:val="0"/>
          <w:marTop w:val="0"/>
          <w:marBottom w:val="0"/>
          <w:divBdr>
            <w:top w:val="none" w:sz="0" w:space="0" w:color="3D3D3D"/>
            <w:left w:val="none" w:sz="0" w:space="0" w:color="3D3D3D"/>
            <w:bottom w:val="none" w:sz="0" w:space="0" w:color="3D3D3D"/>
            <w:right w:val="none" w:sz="0" w:space="0" w:color="3D3D3D"/>
          </w:divBdr>
          <w:divsChild>
            <w:div w:id="32447680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37897257">
      <w:bodyDiv w:val="1"/>
      <w:marLeft w:val="0"/>
      <w:marRight w:val="0"/>
      <w:marTop w:val="0"/>
      <w:marBottom w:val="0"/>
      <w:divBdr>
        <w:top w:val="none" w:sz="0" w:space="0" w:color="auto"/>
        <w:left w:val="none" w:sz="0" w:space="0" w:color="auto"/>
        <w:bottom w:val="none" w:sz="0" w:space="0" w:color="auto"/>
        <w:right w:val="none" w:sz="0" w:space="0" w:color="auto"/>
      </w:divBdr>
    </w:div>
    <w:div w:id="739905563">
      <w:bodyDiv w:val="1"/>
      <w:marLeft w:val="0"/>
      <w:marRight w:val="0"/>
      <w:marTop w:val="0"/>
      <w:marBottom w:val="0"/>
      <w:divBdr>
        <w:top w:val="none" w:sz="0" w:space="0" w:color="auto"/>
        <w:left w:val="none" w:sz="0" w:space="0" w:color="auto"/>
        <w:bottom w:val="none" w:sz="0" w:space="0" w:color="auto"/>
        <w:right w:val="none" w:sz="0" w:space="0" w:color="auto"/>
      </w:divBdr>
      <w:divsChild>
        <w:div w:id="1064370591">
          <w:marLeft w:val="0"/>
          <w:marRight w:val="0"/>
          <w:marTop w:val="0"/>
          <w:marBottom w:val="0"/>
          <w:divBdr>
            <w:top w:val="none" w:sz="0" w:space="0" w:color="3D3D3D"/>
            <w:left w:val="none" w:sz="0" w:space="0" w:color="3D3D3D"/>
            <w:bottom w:val="none" w:sz="0" w:space="0" w:color="3D3D3D"/>
            <w:right w:val="none" w:sz="0" w:space="0" w:color="3D3D3D"/>
          </w:divBdr>
        </w:div>
      </w:divsChild>
    </w:div>
    <w:div w:id="832529258">
      <w:bodyDiv w:val="1"/>
      <w:marLeft w:val="0"/>
      <w:marRight w:val="0"/>
      <w:marTop w:val="0"/>
      <w:marBottom w:val="0"/>
      <w:divBdr>
        <w:top w:val="none" w:sz="0" w:space="0" w:color="auto"/>
        <w:left w:val="none" w:sz="0" w:space="0" w:color="auto"/>
        <w:bottom w:val="none" w:sz="0" w:space="0" w:color="auto"/>
        <w:right w:val="none" w:sz="0" w:space="0" w:color="auto"/>
      </w:divBdr>
      <w:divsChild>
        <w:div w:id="1814906009">
          <w:marLeft w:val="0"/>
          <w:marRight w:val="0"/>
          <w:marTop w:val="0"/>
          <w:marBottom w:val="0"/>
          <w:divBdr>
            <w:top w:val="none" w:sz="0" w:space="0" w:color="auto"/>
            <w:left w:val="none" w:sz="0" w:space="0" w:color="auto"/>
            <w:bottom w:val="none" w:sz="0" w:space="0" w:color="auto"/>
            <w:right w:val="none" w:sz="0" w:space="0" w:color="auto"/>
          </w:divBdr>
        </w:div>
      </w:divsChild>
    </w:div>
    <w:div w:id="839544369">
      <w:bodyDiv w:val="1"/>
      <w:marLeft w:val="0"/>
      <w:marRight w:val="0"/>
      <w:marTop w:val="0"/>
      <w:marBottom w:val="0"/>
      <w:divBdr>
        <w:top w:val="none" w:sz="0" w:space="0" w:color="auto"/>
        <w:left w:val="none" w:sz="0" w:space="0" w:color="auto"/>
        <w:bottom w:val="none" w:sz="0" w:space="0" w:color="auto"/>
        <w:right w:val="none" w:sz="0" w:space="0" w:color="auto"/>
      </w:divBdr>
      <w:divsChild>
        <w:div w:id="1729379263">
          <w:marLeft w:val="0"/>
          <w:marRight w:val="0"/>
          <w:marTop w:val="0"/>
          <w:marBottom w:val="0"/>
          <w:divBdr>
            <w:top w:val="none" w:sz="0" w:space="0" w:color="auto"/>
            <w:left w:val="none" w:sz="0" w:space="0" w:color="auto"/>
            <w:bottom w:val="none" w:sz="0" w:space="0" w:color="auto"/>
            <w:right w:val="none" w:sz="0" w:space="0" w:color="auto"/>
          </w:divBdr>
        </w:div>
      </w:divsChild>
    </w:div>
    <w:div w:id="862860499">
      <w:bodyDiv w:val="1"/>
      <w:marLeft w:val="0"/>
      <w:marRight w:val="0"/>
      <w:marTop w:val="0"/>
      <w:marBottom w:val="0"/>
      <w:divBdr>
        <w:top w:val="none" w:sz="0" w:space="0" w:color="auto"/>
        <w:left w:val="none" w:sz="0" w:space="0" w:color="auto"/>
        <w:bottom w:val="none" w:sz="0" w:space="0" w:color="auto"/>
        <w:right w:val="none" w:sz="0" w:space="0" w:color="auto"/>
      </w:divBdr>
      <w:divsChild>
        <w:div w:id="204174819">
          <w:marLeft w:val="0"/>
          <w:marRight w:val="0"/>
          <w:marTop w:val="0"/>
          <w:marBottom w:val="0"/>
          <w:divBdr>
            <w:top w:val="none" w:sz="0" w:space="0" w:color="3D3D3D"/>
            <w:left w:val="none" w:sz="0" w:space="0" w:color="3D3D3D"/>
            <w:bottom w:val="none" w:sz="0" w:space="0" w:color="3D3D3D"/>
            <w:right w:val="none" w:sz="0" w:space="0" w:color="3D3D3D"/>
          </w:divBdr>
          <w:divsChild>
            <w:div w:id="58722641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16868593">
      <w:bodyDiv w:val="1"/>
      <w:marLeft w:val="0"/>
      <w:marRight w:val="0"/>
      <w:marTop w:val="0"/>
      <w:marBottom w:val="0"/>
      <w:divBdr>
        <w:top w:val="none" w:sz="0" w:space="0" w:color="auto"/>
        <w:left w:val="none" w:sz="0" w:space="0" w:color="auto"/>
        <w:bottom w:val="none" w:sz="0" w:space="0" w:color="auto"/>
        <w:right w:val="none" w:sz="0" w:space="0" w:color="auto"/>
      </w:divBdr>
      <w:divsChild>
        <w:div w:id="230426936">
          <w:marLeft w:val="0"/>
          <w:marRight w:val="0"/>
          <w:marTop w:val="0"/>
          <w:marBottom w:val="0"/>
          <w:divBdr>
            <w:top w:val="none" w:sz="0" w:space="0" w:color="3D3D3D"/>
            <w:left w:val="none" w:sz="0" w:space="0" w:color="3D3D3D"/>
            <w:bottom w:val="none" w:sz="0" w:space="0" w:color="3D3D3D"/>
            <w:right w:val="none" w:sz="0" w:space="0" w:color="3D3D3D"/>
          </w:divBdr>
        </w:div>
      </w:divsChild>
    </w:div>
    <w:div w:id="926039637">
      <w:bodyDiv w:val="1"/>
      <w:marLeft w:val="0"/>
      <w:marRight w:val="0"/>
      <w:marTop w:val="0"/>
      <w:marBottom w:val="0"/>
      <w:divBdr>
        <w:top w:val="none" w:sz="0" w:space="0" w:color="auto"/>
        <w:left w:val="none" w:sz="0" w:space="0" w:color="auto"/>
        <w:bottom w:val="none" w:sz="0" w:space="0" w:color="auto"/>
        <w:right w:val="none" w:sz="0" w:space="0" w:color="auto"/>
      </w:divBdr>
      <w:divsChild>
        <w:div w:id="1878544181">
          <w:marLeft w:val="0"/>
          <w:marRight w:val="0"/>
          <w:marTop w:val="0"/>
          <w:marBottom w:val="0"/>
          <w:divBdr>
            <w:top w:val="none" w:sz="0" w:space="0" w:color="3D3D3D"/>
            <w:left w:val="none" w:sz="0" w:space="0" w:color="3D3D3D"/>
            <w:bottom w:val="none" w:sz="0" w:space="0" w:color="3D3D3D"/>
            <w:right w:val="none" w:sz="0" w:space="0" w:color="3D3D3D"/>
          </w:divBdr>
        </w:div>
      </w:divsChild>
    </w:div>
    <w:div w:id="944768691">
      <w:bodyDiv w:val="1"/>
      <w:marLeft w:val="0"/>
      <w:marRight w:val="0"/>
      <w:marTop w:val="0"/>
      <w:marBottom w:val="0"/>
      <w:divBdr>
        <w:top w:val="none" w:sz="0" w:space="0" w:color="auto"/>
        <w:left w:val="none" w:sz="0" w:space="0" w:color="auto"/>
        <w:bottom w:val="none" w:sz="0" w:space="0" w:color="auto"/>
        <w:right w:val="none" w:sz="0" w:space="0" w:color="auto"/>
      </w:divBdr>
      <w:divsChild>
        <w:div w:id="656686666">
          <w:marLeft w:val="0"/>
          <w:marRight w:val="0"/>
          <w:marTop w:val="0"/>
          <w:marBottom w:val="0"/>
          <w:divBdr>
            <w:top w:val="none" w:sz="0" w:space="0" w:color="3D3D3D"/>
            <w:left w:val="none" w:sz="0" w:space="0" w:color="3D3D3D"/>
            <w:bottom w:val="none" w:sz="0" w:space="0" w:color="3D3D3D"/>
            <w:right w:val="none" w:sz="0" w:space="0" w:color="3D3D3D"/>
          </w:divBdr>
          <w:divsChild>
            <w:div w:id="133264154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54016496">
      <w:bodyDiv w:val="1"/>
      <w:marLeft w:val="0"/>
      <w:marRight w:val="0"/>
      <w:marTop w:val="0"/>
      <w:marBottom w:val="0"/>
      <w:divBdr>
        <w:top w:val="none" w:sz="0" w:space="0" w:color="auto"/>
        <w:left w:val="none" w:sz="0" w:space="0" w:color="auto"/>
        <w:bottom w:val="none" w:sz="0" w:space="0" w:color="auto"/>
        <w:right w:val="none" w:sz="0" w:space="0" w:color="auto"/>
      </w:divBdr>
      <w:divsChild>
        <w:div w:id="15694354">
          <w:marLeft w:val="0"/>
          <w:marRight w:val="0"/>
          <w:marTop w:val="0"/>
          <w:marBottom w:val="0"/>
          <w:divBdr>
            <w:top w:val="none" w:sz="0" w:space="0" w:color="3D3D3D"/>
            <w:left w:val="none" w:sz="0" w:space="0" w:color="3D3D3D"/>
            <w:bottom w:val="none" w:sz="0" w:space="0" w:color="3D3D3D"/>
            <w:right w:val="none" w:sz="0" w:space="0" w:color="3D3D3D"/>
          </w:divBdr>
          <w:divsChild>
            <w:div w:id="13542142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65429407">
      <w:bodyDiv w:val="1"/>
      <w:marLeft w:val="0"/>
      <w:marRight w:val="0"/>
      <w:marTop w:val="0"/>
      <w:marBottom w:val="0"/>
      <w:divBdr>
        <w:top w:val="none" w:sz="0" w:space="0" w:color="auto"/>
        <w:left w:val="none" w:sz="0" w:space="0" w:color="auto"/>
        <w:bottom w:val="none" w:sz="0" w:space="0" w:color="auto"/>
        <w:right w:val="none" w:sz="0" w:space="0" w:color="auto"/>
      </w:divBdr>
      <w:divsChild>
        <w:div w:id="2015911884">
          <w:marLeft w:val="0"/>
          <w:marRight w:val="0"/>
          <w:marTop w:val="0"/>
          <w:marBottom w:val="0"/>
          <w:divBdr>
            <w:top w:val="none" w:sz="0" w:space="0" w:color="auto"/>
            <w:left w:val="none" w:sz="0" w:space="0" w:color="auto"/>
            <w:bottom w:val="none" w:sz="0" w:space="0" w:color="auto"/>
            <w:right w:val="none" w:sz="0" w:space="0" w:color="auto"/>
          </w:divBdr>
        </w:div>
      </w:divsChild>
    </w:div>
    <w:div w:id="969672643">
      <w:bodyDiv w:val="1"/>
      <w:marLeft w:val="0"/>
      <w:marRight w:val="0"/>
      <w:marTop w:val="0"/>
      <w:marBottom w:val="0"/>
      <w:divBdr>
        <w:top w:val="none" w:sz="0" w:space="0" w:color="auto"/>
        <w:left w:val="none" w:sz="0" w:space="0" w:color="auto"/>
        <w:bottom w:val="none" w:sz="0" w:space="0" w:color="auto"/>
        <w:right w:val="none" w:sz="0" w:space="0" w:color="auto"/>
      </w:divBdr>
      <w:divsChild>
        <w:div w:id="1730688335">
          <w:marLeft w:val="0"/>
          <w:marRight w:val="0"/>
          <w:marTop w:val="0"/>
          <w:marBottom w:val="0"/>
          <w:divBdr>
            <w:top w:val="none" w:sz="0" w:space="0" w:color="3D3D3D"/>
            <w:left w:val="none" w:sz="0" w:space="0" w:color="3D3D3D"/>
            <w:bottom w:val="none" w:sz="0" w:space="0" w:color="3D3D3D"/>
            <w:right w:val="none" w:sz="0" w:space="0" w:color="3D3D3D"/>
          </w:divBdr>
        </w:div>
      </w:divsChild>
    </w:div>
    <w:div w:id="974871115">
      <w:bodyDiv w:val="1"/>
      <w:marLeft w:val="0"/>
      <w:marRight w:val="0"/>
      <w:marTop w:val="0"/>
      <w:marBottom w:val="0"/>
      <w:divBdr>
        <w:top w:val="none" w:sz="0" w:space="0" w:color="auto"/>
        <w:left w:val="none" w:sz="0" w:space="0" w:color="auto"/>
        <w:bottom w:val="none" w:sz="0" w:space="0" w:color="auto"/>
        <w:right w:val="none" w:sz="0" w:space="0" w:color="auto"/>
      </w:divBdr>
      <w:divsChild>
        <w:div w:id="1416435752">
          <w:marLeft w:val="0"/>
          <w:marRight w:val="0"/>
          <w:marTop w:val="0"/>
          <w:marBottom w:val="0"/>
          <w:divBdr>
            <w:top w:val="none" w:sz="0" w:space="0" w:color="3D3D3D"/>
            <w:left w:val="none" w:sz="0" w:space="0" w:color="3D3D3D"/>
            <w:bottom w:val="none" w:sz="0" w:space="0" w:color="3D3D3D"/>
            <w:right w:val="none" w:sz="0" w:space="0" w:color="3D3D3D"/>
          </w:divBdr>
          <w:divsChild>
            <w:div w:id="13352519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18047948">
      <w:bodyDiv w:val="1"/>
      <w:marLeft w:val="0"/>
      <w:marRight w:val="0"/>
      <w:marTop w:val="0"/>
      <w:marBottom w:val="0"/>
      <w:divBdr>
        <w:top w:val="none" w:sz="0" w:space="0" w:color="auto"/>
        <w:left w:val="none" w:sz="0" w:space="0" w:color="auto"/>
        <w:bottom w:val="none" w:sz="0" w:space="0" w:color="auto"/>
        <w:right w:val="none" w:sz="0" w:space="0" w:color="auto"/>
      </w:divBdr>
      <w:divsChild>
        <w:div w:id="16125251">
          <w:marLeft w:val="0"/>
          <w:marRight w:val="0"/>
          <w:marTop w:val="0"/>
          <w:marBottom w:val="0"/>
          <w:divBdr>
            <w:top w:val="none" w:sz="0" w:space="0" w:color="3D3D3D"/>
            <w:left w:val="none" w:sz="0" w:space="0" w:color="3D3D3D"/>
            <w:bottom w:val="none" w:sz="0" w:space="0" w:color="3D3D3D"/>
            <w:right w:val="none" w:sz="0" w:space="0" w:color="3D3D3D"/>
          </w:divBdr>
        </w:div>
      </w:divsChild>
    </w:div>
    <w:div w:id="1025592833">
      <w:bodyDiv w:val="1"/>
      <w:marLeft w:val="0"/>
      <w:marRight w:val="0"/>
      <w:marTop w:val="0"/>
      <w:marBottom w:val="0"/>
      <w:divBdr>
        <w:top w:val="none" w:sz="0" w:space="0" w:color="auto"/>
        <w:left w:val="none" w:sz="0" w:space="0" w:color="auto"/>
        <w:bottom w:val="none" w:sz="0" w:space="0" w:color="auto"/>
        <w:right w:val="none" w:sz="0" w:space="0" w:color="auto"/>
      </w:divBdr>
      <w:divsChild>
        <w:div w:id="245530037">
          <w:marLeft w:val="0"/>
          <w:marRight w:val="0"/>
          <w:marTop w:val="0"/>
          <w:marBottom w:val="0"/>
          <w:divBdr>
            <w:top w:val="none" w:sz="0" w:space="0" w:color="auto"/>
            <w:left w:val="none" w:sz="0" w:space="0" w:color="auto"/>
            <w:bottom w:val="none" w:sz="0" w:space="0" w:color="auto"/>
            <w:right w:val="none" w:sz="0" w:space="0" w:color="auto"/>
          </w:divBdr>
          <w:divsChild>
            <w:div w:id="1790395641">
              <w:marLeft w:val="0"/>
              <w:marRight w:val="0"/>
              <w:marTop w:val="0"/>
              <w:marBottom w:val="0"/>
              <w:divBdr>
                <w:top w:val="none" w:sz="0" w:space="0" w:color="auto"/>
                <w:left w:val="none" w:sz="0" w:space="0" w:color="auto"/>
                <w:bottom w:val="none" w:sz="0" w:space="0" w:color="auto"/>
                <w:right w:val="none" w:sz="0" w:space="0" w:color="auto"/>
              </w:divBdr>
            </w:div>
          </w:divsChild>
        </w:div>
        <w:div w:id="1140422290">
          <w:marLeft w:val="0"/>
          <w:marRight w:val="0"/>
          <w:marTop w:val="0"/>
          <w:marBottom w:val="0"/>
          <w:divBdr>
            <w:top w:val="none" w:sz="0" w:space="0" w:color="auto"/>
            <w:left w:val="none" w:sz="0" w:space="0" w:color="auto"/>
            <w:bottom w:val="none" w:sz="0" w:space="0" w:color="auto"/>
            <w:right w:val="none" w:sz="0" w:space="0" w:color="auto"/>
          </w:divBdr>
          <w:divsChild>
            <w:div w:id="939486788">
              <w:marLeft w:val="0"/>
              <w:marRight w:val="0"/>
              <w:marTop w:val="0"/>
              <w:marBottom w:val="0"/>
              <w:divBdr>
                <w:top w:val="none" w:sz="0" w:space="0" w:color="auto"/>
                <w:left w:val="none" w:sz="0" w:space="0" w:color="auto"/>
                <w:bottom w:val="none" w:sz="0" w:space="0" w:color="auto"/>
                <w:right w:val="none" w:sz="0" w:space="0" w:color="auto"/>
              </w:divBdr>
            </w:div>
          </w:divsChild>
        </w:div>
        <w:div w:id="1531188243">
          <w:marLeft w:val="0"/>
          <w:marRight w:val="0"/>
          <w:marTop w:val="0"/>
          <w:marBottom w:val="0"/>
          <w:divBdr>
            <w:top w:val="none" w:sz="0" w:space="0" w:color="auto"/>
            <w:left w:val="none" w:sz="0" w:space="0" w:color="auto"/>
            <w:bottom w:val="none" w:sz="0" w:space="0" w:color="auto"/>
            <w:right w:val="none" w:sz="0" w:space="0" w:color="auto"/>
          </w:divBdr>
        </w:div>
      </w:divsChild>
    </w:div>
    <w:div w:id="1048605976">
      <w:bodyDiv w:val="1"/>
      <w:marLeft w:val="0"/>
      <w:marRight w:val="0"/>
      <w:marTop w:val="0"/>
      <w:marBottom w:val="0"/>
      <w:divBdr>
        <w:top w:val="none" w:sz="0" w:space="0" w:color="auto"/>
        <w:left w:val="none" w:sz="0" w:space="0" w:color="auto"/>
        <w:bottom w:val="none" w:sz="0" w:space="0" w:color="auto"/>
        <w:right w:val="none" w:sz="0" w:space="0" w:color="auto"/>
      </w:divBdr>
      <w:divsChild>
        <w:div w:id="1452434190">
          <w:marLeft w:val="0"/>
          <w:marRight w:val="0"/>
          <w:marTop w:val="0"/>
          <w:marBottom w:val="0"/>
          <w:divBdr>
            <w:top w:val="none" w:sz="0" w:space="0" w:color="3D3D3D"/>
            <w:left w:val="none" w:sz="0" w:space="0" w:color="3D3D3D"/>
            <w:bottom w:val="none" w:sz="0" w:space="0" w:color="3D3D3D"/>
            <w:right w:val="none" w:sz="0" w:space="0" w:color="3D3D3D"/>
          </w:divBdr>
          <w:divsChild>
            <w:div w:id="52980380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60398703">
      <w:bodyDiv w:val="1"/>
      <w:marLeft w:val="0"/>
      <w:marRight w:val="0"/>
      <w:marTop w:val="0"/>
      <w:marBottom w:val="0"/>
      <w:divBdr>
        <w:top w:val="none" w:sz="0" w:space="0" w:color="auto"/>
        <w:left w:val="none" w:sz="0" w:space="0" w:color="auto"/>
        <w:bottom w:val="none" w:sz="0" w:space="0" w:color="auto"/>
        <w:right w:val="none" w:sz="0" w:space="0" w:color="auto"/>
      </w:divBdr>
      <w:divsChild>
        <w:div w:id="65885408">
          <w:marLeft w:val="0"/>
          <w:marRight w:val="0"/>
          <w:marTop w:val="0"/>
          <w:marBottom w:val="0"/>
          <w:divBdr>
            <w:top w:val="none" w:sz="0" w:space="0" w:color="3D3D3D"/>
            <w:left w:val="none" w:sz="0" w:space="0" w:color="3D3D3D"/>
            <w:bottom w:val="none" w:sz="0" w:space="0" w:color="3D3D3D"/>
            <w:right w:val="none" w:sz="0" w:space="0" w:color="3D3D3D"/>
          </w:divBdr>
        </w:div>
      </w:divsChild>
    </w:div>
    <w:div w:id="1071004604">
      <w:bodyDiv w:val="1"/>
      <w:marLeft w:val="0"/>
      <w:marRight w:val="0"/>
      <w:marTop w:val="0"/>
      <w:marBottom w:val="0"/>
      <w:divBdr>
        <w:top w:val="none" w:sz="0" w:space="0" w:color="auto"/>
        <w:left w:val="none" w:sz="0" w:space="0" w:color="auto"/>
        <w:bottom w:val="none" w:sz="0" w:space="0" w:color="auto"/>
        <w:right w:val="none" w:sz="0" w:space="0" w:color="auto"/>
      </w:divBdr>
      <w:divsChild>
        <w:div w:id="550194013">
          <w:marLeft w:val="0"/>
          <w:marRight w:val="0"/>
          <w:marTop w:val="0"/>
          <w:marBottom w:val="0"/>
          <w:divBdr>
            <w:top w:val="none" w:sz="0" w:space="0" w:color="3D3D3D"/>
            <w:left w:val="none" w:sz="0" w:space="0" w:color="3D3D3D"/>
            <w:bottom w:val="none" w:sz="0" w:space="0" w:color="3D3D3D"/>
            <w:right w:val="none" w:sz="0" w:space="0" w:color="3D3D3D"/>
          </w:divBdr>
          <w:divsChild>
            <w:div w:id="135738653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75860513">
      <w:bodyDiv w:val="1"/>
      <w:marLeft w:val="0"/>
      <w:marRight w:val="0"/>
      <w:marTop w:val="0"/>
      <w:marBottom w:val="0"/>
      <w:divBdr>
        <w:top w:val="none" w:sz="0" w:space="0" w:color="auto"/>
        <w:left w:val="none" w:sz="0" w:space="0" w:color="auto"/>
        <w:bottom w:val="none" w:sz="0" w:space="0" w:color="auto"/>
        <w:right w:val="none" w:sz="0" w:space="0" w:color="auto"/>
      </w:divBdr>
      <w:divsChild>
        <w:div w:id="1527601667">
          <w:marLeft w:val="0"/>
          <w:marRight w:val="0"/>
          <w:marTop w:val="0"/>
          <w:marBottom w:val="0"/>
          <w:divBdr>
            <w:top w:val="none" w:sz="0" w:space="0" w:color="auto"/>
            <w:left w:val="none" w:sz="0" w:space="0" w:color="auto"/>
            <w:bottom w:val="none" w:sz="0" w:space="0" w:color="auto"/>
            <w:right w:val="none" w:sz="0" w:space="0" w:color="auto"/>
          </w:divBdr>
        </w:div>
      </w:divsChild>
    </w:div>
    <w:div w:id="1120805038">
      <w:bodyDiv w:val="1"/>
      <w:marLeft w:val="0"/>
      <w:marRight w:val="0"/>
      <w:marTop w:val="0"/>
      <w:marBottom w:val="0"/>
      <w:divBdr>
        <w:top w:val="none" w:sz="0" w:space="0" w:color="auto"/>
        <w:left w:val="none" w:sz="0" w:space="0" w:color="auto"/>
        <w:bottom w:val="none" w:sz="0" w:space="0" w:color="auto"/>
        <w:right w:val="none" w:sz="0" w:space="0" w:color="auto"/>
      </w:divBdr>
      <w:divsChild>
        <w:div w:id="623970246">
          <w:marLeft w:val="0"/>
          <w:marRight w:val="0"/>
          <w:marTop w:val="0"/>
          <w:marBottom w:val="0"/>
          <w:divBdr>
            <w:top w:val="none" w:sz="0" w:space="0" w:color="auto"/>
            <w:left w:val="none" w:sz="0" w:space="0" w:color="auto"/>
            <w:bottom w:val="none" w:sz="0" w:space="0" w:color="auto"/>
            <w:right w:val="none" w:sz="0" w:space="0" w:color="auto"/>
          </w:divBdr>
        </w:div>
      </w:divsChild>
    </w:div>
    <w:div w:id="1142695632">
      <w:bodyDiv w:val="1"/>
      <w:marLeft w:val="0"/>
      <w:marRight w:val="0"/>
      <w:marTop w:val="0"/>
      <w:marBottom w:val="0"/>
      <w:divBdr>
        <w:top w:val="none" w:sz="0" w:space="0" w:color="auto"/>
        <w:left w:val="none" w:sz="0" w:space="0" w:color="auto"/>
        <w:bottom w:val="none" w:sz="0" w:space="0" w:color="auto"/>
        <w:right w:val="none" w:sz="0" w:space="0" w:color="auto"/>
      </w:divBdr>
    </w:div>
    <w:div w:id="1197111409">
      <w:bodyDiv w:val="1"/>
      <w:marLeft w:val="0"/>
      <w:marRight w:val="0"/>
      <w:marTop w:val="0"/>
      <w:marBottom w:val="0"/>
      <w:divBdr>
        <w:top w:val="none" w:sz="0" w:space="0" w:color="auto"/>
        <w:left w:val="none" w:sz="0" w:space="0" w:color="auto"/>
        <w:bottom w:val="none" w:sz="0" w:space="0" w:color="auto"/>
        <w:right w:val="none" w:sz="0" w:space="0" w:color="auto"/>
      </w:divBdr>
      <w:divsChild>
        <w:div w:id="2062750183">
          <w:marLeft w:val="0"/>
          <w:marRight w:val="0"/>
          <w:marTop w:val="0"/>
          <w:marBottom w:val="0"/>
          <w:divBdr>
            <w:top w:val="none" w:sz="0" w:space="0" w:color="3D3D3D"/>
            <w:left w:val="none" w:sz="0" w:space="0" w:color="3D3D3D"/>
            <w:bottom w:val="none" w:sz="0" w:space="0" w:color="3D3D3D"/>
            <w:right w:val="none" w:sz="0" w:space="0" w:color="3D3D3D"/>
          </w:divBdr>
          <w:divsChild>
            <w:div w:id="160596148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18736816">
      <w:bodyDiv w:val="1"/>
      <w:marLeft w:val="0"/>
      <w:marRight w:val="0"/>
      <w:marTop w:val="0"/>
      <w:marBottom w:val="0"/>
      <w:divBdr>
        <w:top w:val="none" w:sz="0" w:space="0" w:color="auto"/>
        <w:left w:val="none" w:sz="0" w:space="0" w:color="auto"/>
        <w:bottom w:val="none" w:sz="0" w:space="0" w:color="auto"/>
        <w:right w:val="none" w:sz="0" w:space="0" w:color="auto"/>
      </w:divBdr>
      <w:divsChild>
        <w:div w:id="1737317404">
          <w:marLeft w:val="0"/>
          <w:marRight w:val="0"/>
          <w:marTop w:val="0"/>
          <w:marBottom w:val="0"/>
          <w:divBdr>
            <w:top w:val="none" w:sz="0" w:space="0" w:color="3D3D3D"/>
            <w:left w:val="none" w:sz="0" w:space="0" w:color="3D3D3D"/>
            <w:bottom w:val="none" w:sz="0" w:space="0" w:color="3D3D3D"/>
            <w:right w:val="none" w:sz="0" w:space="0" w:color="3D3D3D"/>
          </w:divBdr>
          <w:divsChild>
            <w:div w:id="199518325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27833752">
      <w:bodyDiv w:val="1"/>
      <w:marLeft w:val="0"/>
      <w:marRight w:val="0"/>
      <w:marTop w:val="0"/>
      <w:marBottom w:val="0"/>
      <w:divBdr>
        <w:top w:val="none" w:sz="0" w:space="0" w:color="auto"/>
        <w:left w:val="none" w:sz="0" w:space="0" w:color="auto"/>
        <w:bottom w:val="none" w:sz="0" w:space="0" w:color="auto"/>
        <w:right w:val="none" w:sz="0" w:space="0" w:color="auto"/>
      </w:divBdr>
      <w:divsChild>
        <w:div w:id="1248998269">
          <w:marLeft w:val="0"/>
          <w:marRight w:val="0"/>
          <w:marTop w:val="0"/>
          <w:marBottom w:val="0"/>
          <w:divBdr>
            <w:top w:val="none" w:sz="0" w:space="0" w:color="3D3D3D"/>
            <w:left w:val="none" w:sz="0" w:space="0" w:color="3D3D3D"/>
            <w:bottom w:val="none" w:sz="0" w:space="0" w:color="3D3D3D"/>
            <w:right w:val="none" w:sz="0" w:space="0" w:color="3D3D3D"/>
          </w:divBdr>
          <w:divsChild>
            <w:div w:id="50190009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41982440">
      <w:bodyDiv w:val="1"/>
      <w:marLeft w:val="0"/>
      <w:marRight w:val="0"/>
      <w:marTop w:val="0"/>
      <w:marBottom w:val="0"/>
      <w:divBdr>
        <w:top w:val="none" w:sz="0" w:space="0" w:color="auto"/>
        <w:left w:val="none" w:sz="0" w:space="0" w:color="auto"/>
        <w:bottom w:val="none" w:sz="0" w:space="0" w:color="auto"/>
        <w:right w:val="none" w:sz="0" w:space="0" w:color="auto"/>
      </w:divBdr>
      <w:divsChild>
        <w:div w:id="2013797743">
          <w:marLeft w:val="0"/>
          <w:marRight w:val="0"/>
          <w:marTop w:val="0"/>
          <w:marBottom w:val="0"/>
          <w:divBdr>
            <w:top w:val="none" w:sz="0" w:space="0" w:color="3D3D3D"/>
            <w:left w:val="none" w:sz="0" w:space="0" w:color="3D3D3D"/>
            <w:bottom w:val="none" w:sz="0" w:space="0" w:color="3D3D3D"/>
            <w:right w:val="none" w:sz="0" w:space="0" w:color="3D3D3D"/>
          </w:divBdr>
        </w:div>
      </w:divsChild>
    </w:div>
    <w:div w:id="1283224617">
      <w:bodyDiv w:val="1"/>
      <w:marLeft w:val="0"/>
      <w:marRight w:val="0"/>
      <w:marTop w:val="0"/>
      <w:marBottom w:val="0"/>
      <w:divBdr>
        <w:top w:val="none" w:sz="0" w:space="0" w:color="auto"/>
        <w:left w:val="none" w:sz="0" w:space="0" w:color="auto"/>
        <w:bottom w:val="none" w:sz="0" w:space="0" w:color="auto"/>
        <w:right w:val="none" w:sz="0" w:space="0" w:color="auto"/>
      </w:divBdr>
      <w:divsChild>
        <w:div w:id="376393846">
          <w:marLeft w:val="0"/>
          <w:marRight w:val="0"/>
          <w:marTop w:val="0"/>
          <w:marBottom w:val="0"/>
          <w:divBdr>
            <w:top w:val="none" w:sz="0" w:space="0" w:color="3D3D3D"/>
            <w:left w:val="none" w:sz="0" w:space="0" w:color="3D3D3D"/>
            <w:bottom w:val="none" w:sz="0" w:space="0" w:color="3D3D3D"/>
            <w:right w:val="none" w:sz="0" w:space="0" w:color="3D3D3D"/>
          </w:divBdr>
          <w:divsChild>
            <w:div w:id="99021020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90209348">
      <w:bodyDiv w:val="1"/>
      <w:marLeft w:val="0"/>
      <w:marRight w:val="0"/>
      <w:marTop w:val="0"/>
      <w:marBottom w:val="0"/>
      <w:divBdr>
        <w:top w:val="none" w:sz="0" w:space="0" w:color="auto"/>
        <w:left w:val="none" w:sz="0" w:space="0" w:color="auto"/>
        <w:bottom w:val="none" w:sz="0" w:space="0" w:color="auto"/>
        <w:right w:val="none" w:sz="0" w:space="0" w:color="auto"/>
      </w:divBdr>
      <w:divsChild>
        <w:div w:id="1511793121">
          <w:marLeft w:val="0"/>
          <w:marRight w:val="0"/>
          <w:marTop w:val="0"/>
          <w:marBottom w:val="0"/>
          <w:divBdr>
            <w:top w:val="none" w:sz="0" w:space="0" w:color="3D3D3D"/>
            <w:left w:val="none" w:sz="0" w:space="0" w:color="3D3D3D"/>
            <w:bottom w:val="none" w:sz="0" w:space="0" w:color="3D3D3D"/>
            <w:right w:val="none" w:sz="0" w:space="0" w:color="3D3D3D"/>
          </w:divBdr>
          <w:divsChild>
            <w:div w:id="1023097170">
              <w:marLeft w:val="0"/>
              <w:marRight w:val="0"/>
              <w:marTop w:val="0"/>
              <w:marBottom w:val="0"/>
              <w:divBdr>
                <w:top w:val="none" w:sz="0" w:space="0" w:color="3D3D3D"/>
                <w:left w:val="none" w:sz="0" w:space="0" w:color="3D3D3D"/>
                <w:bottom w:val="none" w:sz="0" w:space="0" w:color="3D3D3D"/>
                <w:right w:val="none" w:sz="0" w:space="0" w:color="3D3D3D"/>
              </w:divBdr>
            </w:div>
            <w:div w:id="880820624">
              <w:marLeft w:val="0"/>
              <w:marRight w:val="0"/>
              <w:marTop w:val="0"/>
              <w:marBottom w:val="0"/>
              <w:divBdr>
                <w:top w:val="none" w:sz="0" w:space="0" w:color="3D3D3D"/>
                <w:left w:val="none" w:sz="0" w:space="11" w:color="3D3D3D"/>
                <w:bottom w:val="none" w:sz="0" w:space="0" w:color="3D3D3D"/>
                <w:right w:val="none" w:sz="0" w:space="0" w:color="3D3D3D"/>
              </w:divBdr>
              <w:divsChild>
                <w:div w:id="262998775">
                  <w:marLeft w:val="0"/>
                  <w:marRight w:val="0"/>
                  <w:marTop w:val="0"/>
                  <w:marBottom w:val="0"/>
                  <w:divBdr>
                    <w:top w:val="none" w:sz="0" w:space="0" w:color="3D3D3D"/>
                    <w:left w:val="none" w:sz="0" w:space="0" w:color="3D3D3D"/>
                    <w:bottom w:val="none" w:sz="0" w:space="0" w:color="3D3D3D"/>
                    <w:right w:val="none" w:sz="0" w:space="0" w:color="3D3D3D"/>
                  </w:divBdr>
                </w:div>
              </w:divsChild>
            </w:div>
            <w:div w:id="111498046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95598297">
      <w:bodyDiv w:val="1"/>
      <w:marLeft w:val="0"/>
      <w:marRight w:val="0"/>
      <w:marTop w:val="0"/>
      <w:marBottom w:val="0"/>
      <w:divBdr>
        <w:top w:val="none" w:sz="0" w:space="0" w:color="auto"/>
        <w:left w:val="none" w:sz="0" w:space="0" w:color="auto"/>
        <w:bottom w:val="none" w:sz="0" w:space="0" w:color="auto"/>
        <w:right w:val="none" w:sz="0" w:space="0" w:color="auto"/>
      </w:divBdr>
      <w:divsChild>
        <w:div w:id="43259474">
          <w:marLeft w:val="0"/>
          <w:marRight w:val="0"/>
          <w:marTop w:val="0"/>
          <w:marBottom w:val="0"/>
          <w:divBdr>
            <w:top w:val="none" w:sz="0" w:space="0" w:color="auto"/>
            <w:left w:val="none" w:sz="0" w:space="0" w:color="auto"/>
            <w:bottom w:val="none" w:sz="0" w:space="0" w:color="auto"/>
            <w:right w:val="none" w:sz="0" w:space="0" w:color="auto"/>
          </w:divBdr>
        </w:div>
      </w:divsChild>
    </w:div>
    <w:div w:id="1303194237">
      <w:bodyDiv w:val="1"/>
      <w:marLeft w:val="0"/>
      <w:marRight w:val="0"/>
      <w:marTop w:val="0"/>
      <w:marBottom w:val="0"/>
      <w:divBdr>
        <w:top w:val="none" w:sz="0" w:space="0" w:color="auto"/>
        <w:left w:val="none" w:sz="0" w:space="0" w:color="auto"/>
        <w:bottom w:val="none" w:sz="0" w:space="0" w:color="auto"/>
        <w:right w:val="none" w:sz="0" w:space="0" w:color="auto"/>
      </w:divBdr>
      <w:divsChild>
        <w:div w:id="134569736">
          <w:marLeft w:val="0"/>
          <w:marRight w:val="0"/>
          <w:marTop w:val="0"/>
          <w:marBottom w:val="0"/>
          <w:divBdr>
            <w:top w:val="none" w:sz="0" w:space="0" w:color="3D3D3D"/>
            <w:left w:val="none" w:sz="0" w:space="0" w:color="3D3D3D"/>
            <w:bottom w:val="none" w:sz="0" w:space="0" w:color="3D3D3D"/>
            <w:right w:val="none" w:sz="0" w:space="0" w:color="3D3D3D"/>
          </w:divBdr>
          <w:divsChild>
            <w:div w:id="38726125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304853308">
      <w:bodyDiv w:val="1"/>
      <w:marLeft w:val="0"/>
      <w:marRight w:val="0"/>
      <w:marTop w:val="0"/>
      <w:marBottom w:val="0"/>
      <w:divBdr>
        <w:top w:val="none" w:sz="0" w:space="0" w:color="auto"/>
        <w:left w:val="none" w:sz="0" w:space="0" w:color="auto"/>
        <w:bottom w:val="none" w:sz="0" w:space="0" w:color="auto"/>
        <w:right w:val="none" w:sz="0" w:space="0" w:color="auto"/>
      </w:divBdr>
      <w:divsChild>
        <w:div w:id="293827184">
          <w:marLeft w:val="0"/>
          <w:marRight w:val="0"/>
          <w:marTop w:val="0"/>
          <w:marBottom w:val="0"/>
          <w:divBdr>
            <w:top w:val="none" w:sz="0" w:space="0" w:color="auto"/>
            <w:left w:val="none" w:sz="0" w:space="0" w:color="auto"/>
            <w:bottom w:val="none" w:sz="0" w:space="0" w:color="auto"/>
            <w:right w:val="none" w:sz="0" w:space="0" w:color="auto"/>
          </w:divBdr>
        </w:div>
      </w:divsChild>
    </w:div>
    <w:div w:id="1305771889">
      <w:bodyDiv w:val="1"/>
      <w:marLeft w:val="0"/>
      <w:marRight w:val="0"/>
      <w:marTop w:val="0"/>
      <w:marBottom w:val="0"/>
      <w:divBdr>
        <w:top w:val="none" w:sz="0" w:space="0" w:color="auto"/>
        <w:left w:val="none" w:sz="0" w:space="0" w:color="auto"/>
        <w:bottom w:val="none" w:sz="0" w:space="0" w:color="auto"/>
        <w:right w:val="none" w:sz="0" w:space="0" w:color="auto"/>
      </w:divBdr>
      <w:divsChild>
        <w:div w:id="738941723">
          <w:marLeft w:val="0"/>
          <w:marRight w:val="0"/>
          <w:marTop w:val="0"/>
          <w:marBottom w:val="0"/>
          <w:divBdr>
            <w:top w:val="none" w:sz="0" w:space="0" w:color="3D3D3D"/>
            <w:left w:val="none" w:sz="0" w:space="0" w:color="3D3D3D"/>
            <w:bottom w:val="none" w:sz="0" w:space="0" w:color="3D3D3D"/>
            <w:right w:val="none" w:sz="0" w:space="0" w:color="3D3D3D"/>
          </w:divBdr>
          <w:divsChild>
            <w:div w:id="18822390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331063017">
      <w:bodyDiv w:val="1"/>
      <w:marLeft w:val="0"/>
      <w:marRight w:val="0"/>
      <w:marTop w:val="0"/>
      <w:marBottom w:val="0"/>
      <w:divBdr>
        <w:top w:val="none" w:sz="0" w:space="0" w:color="auto"/>
        <w:left w:val="none" w:sz="0" w:space="0" w:color="auto"/>
        <w:bottom w:val="none" w:sz="0" w:space="0" w:color="auto"/>
        <w:right w:val="none" w:sz="0" w:space="0" w:color="auto"/>
      </w:divBdr>
      <w:divsChild>
        <w:div w:id="954872564">
          <w:marLeft w:val="0"/>
          <w:marRight w:val="0"/>
          <w:marTop w:val="0"/>
          <w:marBottom w:val="0"/>
          <w:divBdr>
            <w:top w:val="none" w:sz="0" w:space="0" w:color="auto"/>
            <w:left w:val="none" w:sz="0" w:space="0" w:color="auto"/>
            <w:bottom w:val="none" w:sz="0" w:space="0" w:color="auto"/>
            <w:right w:val="none" w:sz="0" w:space="0" w:color="auto"/>
          </w:divBdr>
        </w:div>
      </w:divsChild>
    </w:div>
    <w:div w:id="1332830116">
      <w:bodyDiv w:val="1"/>
      <w:marLeft w:val="0"/>
      <w:marRight w:val="0"/>
      <w:marTop w:val="0"/>
      <w:marBottom w:val="0"/>
      <w:divBdr>
        <w:top w:val="none" w:sz="0" w:space="0" w:color="auto"/>
        <w:left w:val="none" w:sz="0" w:space="0" w:color="auto"/>
        <w:bottom w:val="none" w:sz="0" w:space="0" w:color="auto"/>
        <w:right w:val="none" w:sz="0" w:space="0" w:color="auto"/>
      </w:divBdr>
      <w:divsChild>
        <w:div w:id="1734112660">
          <w:marLeft w:val="0"/>
          <w:marRight w:val="0"/>
          <w:marTop w:val="0"/>
          <w:marBottom w:val="0"/>
          <w:divBdr>
            <w:top w:val="none" w:sz="0" w:space="0" w:color="auto"/>
            <w:left w:val="none" w:sz="0" w:space="0" w:color="auto"/>
            <w:bottom w:val="none" w:sz="0" w:space="0" w:color="auto"/>
            <w:right w:val="none" w:sz="0" w:space="0" w:color="auto"/>
          </w:divBdr>
        </w:div>
      </w:divsChild>
    </w:div>
    <w:div w:id="1339037776">
      <w:bodyDiv w:val="1"/>
      <w:marLeft w:val="0"/>
      <w:marRight w:val="0"/>
      <w:marTop w:val="0"/>
      <w:marBottom w:val="0"/>
      <w:divBdr>
        <w:top w:val="none" w:sz="0" w:space="0" w:color="auto"/>
        <w:left w:val="none" w:sz="0" w:space="0" w:color="auto"/>
        <w:bottom w:val="none" w:sz="0" w:space="0" w:color="auto"/>
        <w:right w:val="none" w:sz="0" w:space="0" w:color="auto"/>
      </w:divBdr>
      <w:divsChild>
        <w:div w:id="1703749136">
          <w:marLeft w:val="0"/>
          <w:marRight w:val="0"/>
          <w:marTop w:val="0"/>
          <w:marBottom w:val="0"/>
          <w:divBdr>
            <w:top w:val="none" w:sz="0" w:space="0" w:color="3D3D3D"/>
            <w:left w:val="none" w:sz="0" w:space="0" w:color="3D3D3D"/>
            <w:bottom w:val="none" w:sz="0" w:space="0" w:color="3D3D3D"/>
            <w:right w:val="none" w:sz="0" w:space="0" w:color="3D3D3D"/>
          </w:divBdr>
          <w:divsChild>
            <w:div w:id="73331426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368725826">
      <w:bodyDiv w:val="1"/>
      <w:marLeft w:val="0"/>
      <w:marRight w:val="0"/>
      <w:marTop w:val="0"/>
      <w:marBottom w:val="0"/>
      <w:divBdr>
        <w:top w:val="none" w:sz="0" w:space="0" w:color="auto"/>
        <w:left w:val="none" w:sz="0" w:space="0" w:color="auto"/>
        <w:bottom w:val="none" w:sz="0" w:space="0" w:color="auto"/>
        <w:right w:val="none" w:sz="0" w:space="0" w:color="auto"/>
      </w:divBdr>
      <w:divsChild>
        <w:div w:id="2091852801">
          <w:marLeft w:val="0"/>
          <w:marRight w:val="0"/>
          <w:marTop w:val="0"/>
          <w:marBottom w:val="0"/>
          <w:divBdr>
            <w:top w:val="none" w:sz="0" w:space="0" w:color="3D3D3D"/>
            <w:left w:val="none" w:sz="0" w:space="0" w:color="3D3D3D"/>
            <w:bottom w:val="none" w:sz="0" w:space="0" w:color="3D3D3D"/>
            <w:right w:val="none" w:sz="0" w:space="0" w:color="3D3D3D"/>
          </w:divBdr>
          <w:divsChild>
            <w:div w:id="133637283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386176007">
      <w:bodyDiv w:val="1"/>
      <w:marLeft w:val="0"/>
      <w:marRight w:val="0"/>
      <w:marTop w:val="0"/>
      <w:marBottom w:val="0"/>
      <w:divBdr>
        <w:top w:val="none" w:sz="0" w:space="0" w:color="auto"/>
        <w:left w:val="none" w:sz="0" w:space="0" w:color="auto"/>
        <w:bottom w:val="none" w:sz="0" w:space="0" w:color="auto"/>
        <w:right w:val="none" w:sz="0" w:space="0" w:color="auto"/>
      </w:divBdr>
      <w:divsChild>
        <w:div w:id="566107000">
          <w:marLeft w:val="0"/>
          <w:marRight w:val="0"/>
          <w:marTop w:val="0"/>
          <w:marBottom w:val="0"/>
          <w:divBdr>
            <w:top w:val="none" w:sz="0" w:space="0" w:color="3D3D3D"/>
            <w:left w:val="none" w:sz="0" w:space="0" w:color="3D3D3D"/>
            <w:bottom w:val="none" w:sz="0" w:space="0" w:color="3D3D3D"/>
            <w:right w:val="none" w:sz="0" w:space="0" w:color="3D3D3D"/>
          </w:divBdr>
        </w:div>
      </w:divsChild>
    </w:div>
    <w:div w:id="1415709102">
      <w:bodyDiv w:val="1"/>
      <w:marLeft w:val="0"/>
      <w:marRight w:val="0"/>
      <w:marTop w:val="0"/>
      <w:marBottom w:val="0"/>
      <w:divBdr>
        <w:top w:val="none" w:sz="0" w:space="0" w:color="auto"/>
        <w:left w:val="none" w:sz="0" w:space="0" w:color="auto"/>
        <w:bottom w:val="none" w:sz="0" w:space="0" w:color="auto"/>
        <w:right w:val="none" w:sz="0" w:space="0" w:color="auto"/>
      </w:divBdr>
      <w:divsChild>
        <w:div w:id="1231647737">
          <w:marLeft w:val="0"/>
          <w:marRight w:val="0"/>
          <w:marTop w:val="0"/>
          <w:marBottom w:val="0"/>
          <w:divBdr>
            <w:top w:val="none" w:sz="0" w:space="0" w:color="3D3D3D"/>
            <w:left w:val="none" w:sz="0" w:space="0" w:color="3D3D3D"/>
            <w:bottom w:val="none" w:sz="0" w:space="0" w:color="3D3D3D"/>
            <w:right w:val="none" w:sz="0" w:space="0" w:color="3D3D3D"/>
          </w:divBdr>
        </w:div>
      </w:divsChild>
    </w:div>
    <w:div w:id="1432165157">
      <w:bodyDiv w:val="1"/>
      <w:marLeft w:val="0"/>
      <w:marRight w:val="0"/>
      <w:marTop w:val="0"/>
      <w:marBottom w:val="0"/>
      <w:divBdr>
        <w:top w:val="none" w:sz="0" w:space="0" w:color="auto"/>
        <w:left w:val="none" w:sz="0" w:space="0" w:color="auto"/>
        <w:bottom w:val="none" w:sz="0" w:space="0" w:color="auto"/>
        <w:right w:val="none" w:sz="0" w:space="0" w:color="auto"/>
      </w:divBdr>
      <w:divsChild>
        <w:div w:id="1644386259">
          <w:marLeft w:val="0"/>
          <w:marRight w:val="0"/>
          <w:marTop w:val="0"/>
          <w:marBottom w:val="0"/>
          <w:divBdr>
            <w:top w:val="none" w:sz="0" w:space="0" w:color="3D3D3D"/>
            <w:left w:val="none" w:sz="0" w:space="0" w:color="3D3D3D"/>
            <w:bottom w:val="none" w:sz="0" w:space="0" w:color="3D3D3D"/>
            <w:right w:val="none" w:sz="0" w:space="0" w:color="3D3D3D"/>
          </w:divBdr>
        </w:div>
      </w:divsChild>
    </w:div>
    <w:div w:id="1502968516">
      <w:bodyDiv w:val="1"/>
      <w:marLeft w:val="0"/>
      <w:marRight w:val="0"/>
      <w:marTop w:val="0"/>
      <w:marBottom w:val="0"/>
      <w:divBdr>
        <w:top w:val="none" w:sz="0" w:space="0" w:color="auto"/>
        <w:left w:val="none" w:sz="0" w:space="0" w:color="auto"/>
        <w:bottom w:val="none" w:sz="0" w:space="0" w:color="auto"/>
        <w:right w:val="none" w:sz="0" w:space="0" w:color="auto"/>
      </w:divBdr>
      <w:divsChild>
        <w:div w:id="397288766">
          <w:marLeft w:val="0"/>
          <w:marRight w:val="0"/>
          <w:marTop w:val="0"/>
          <w:marBottom w:val="0"/>
          <w:divBdr>
            <w:top w:val="none" w:sz="0" w:space="0" w:color="auto"/>
            <w:left w:val="none" w:sz="0" w:space="0" w:color="auto"/>
            <w:bottom w:val="none" w:sz="0" w:space="0" w:color="auto"/>
            <w:right w:val="none" w:sz="0" w:space="0" w:color="auto"/>
          </w:divBdr>
        </w:div>
      </w:divsChild>
    </w:div>
    <w:div w:id="1506555049">
      <w:bodyDiv w:val="1"/>
      <w:marLeft w:val="0"/>
      <w:marRight w:val="0"/>
      <w:marTop w:val="0"/>
      <w:marBottom w:val="0"/>
      <w:divBdr>
        <w:top w:val="none" w:sz="0" w:space="0" w:color="auto"/>
        <w:left w:val="none" w:sz="0" w:space="0" w:color="auto"/>
        <w:bottom w:val="none" w:sz="0" w:space="0" w:color="auto"/>
        <w:right w:val="none" w:sz="0" w:space="0" w:color="auto"/>
      </w:divBdr>
      <w:divsChild>
        <w:div w:id="1311669689">
          <w:marLeft w:val="0"/>
          <w:marRight w:val="0"/>
          <w:marTop w:val="0"/>
          <w:marBottom w:val="0"/>
          <w:divBdr>
            <w:top w:val="none" w:sz="0" w:space="0" w:color="3D3D3D"/>
            <w:left w:val="none" w:sz="0" w:space="0" w:color="3D3D3D"/>
            <w:bottom w:val="none" w:sz="0" w:space="0" w:color="3D3D3D"/>
            <w:right w:val="none" w:sz="0" w:space="0" w:color="3D3D3D"/>
          </w:divBdr>
        </w:div>
      </w:divsChild>
    </w:div>
    <w:div w:id="1539665292">
      <w:bodyDiv w:val="1"/>
      <w:marLeft w:val="0"/>
      <w:marRight w:val="0"/>
      <w:marTop w:val="0"/>
      <w:marBottom w:val="0"/>
      <w:divBdr>
        <w:top w:val="none" w:sz="0" w:space="0" w:color="auto"/>
        <w:left w:val="none" w:sz="0" w:space="0" w:color="auto"/>
        <w:bottom w:val="none" w:sz="0" w:space="0" w:color="auto"/>
        <w:right w:val="none" w:sz="0" w:space="0" w:color="auto"/>
      </w:divBdr>
      <w:divsChild>
        <w:div w:id="82918166">
          <w:marLeft w:val="0"/>
          <w:marRight w:val="0"/>
          <w:marTop w:val="0"/>
          <w:marBottom w:val="0"/>
          <w:divBdr>
            <w:top w:val="none" w:sz="0" w:space="0" w:color="auto"/>
            <w:left w:val="none" w:sz="0" w:space="0" w:color="auto"/>
            <w:bottom w:val="none" w:sz="0" w:space="0" w:color="auto"/>
            <w:right w:val="none" w:sz="0" w:space="0" w:color="auto"/>
          </w:divBdr>
          <w:divsChild>
            <w:div w:id="1116831130">
              <w:marLeft w:val="0"/>
              <w:marRight w:val="0"/>
              <w:marTop w:val="0"/>
              <w:marBottom w:val="0"/>
              <w:divBdr>
                <w:top w:val="none" w:sz="0" w:space="0" w:color="auto"/>
                <w:left w:val="none" w:sz="0" w:space="0" w:color="auto"/>
                <w:bottom w:val="none" w:sz="0" w:space="0" w:color="auto"/>
                <w:right w:val="none" w:sz="0" w:space="0" w:color="auto"/>
              </w:divBdr>
              <w:divsChild>
                <w:div w:id="1695378248">
                  <w:marLeft w:val="0"/>
                  <w:marRight w:val="0"/>
                  <w:marTop w:val="0"/>
                  <w:marBottom w:val="0"/>
                  <w:divBdr>
                    <w:top w:val="none" w:sz="0" w:space="0" w:color="auto"/>
                    <w:left w:val="none" w:sz="0" w:space="0" w:color="auto"/>
                    <w:bottom w:val="none" w:sz="0" w:space="0" w:color="auto"/>
                    <w:right w:val="none" w:sz="0" w:space="0" w:color="auto"/>
                  </w:divBdr>
                </w:div>
              </w:divsChild>
            </w:div>
            <w:div w:id="1194999321">
              <w:marLeft w:val="0"/>
              <w:marRight w:val="0"/>
              <w:marTop w:val="0"/>
              <w:marBottom w:val="0"/>
              <w:divBdr>
                <w:top w:val="none" w:sz="0" w:space="0" w:color="auto"/>
                <w:left w:val="none" w:sz="0" w:space="0" w:color="auto"/>
                <w:bottom w:val="none" w:sz="0" w:space="0" w:color="auto"/>
                <w:right w:val="none" w:sz="0" w:space="0" w:color="auto"/>
              </w:divBdr>
            </w:div>
            <w:div w:id="1944218388">
              <w:marLeft w:val="0"/>
              <w:marRight w:val="0"/>
              <w:marTop w:val="0"/>
              <w:marBottom w:val="0"/>
              <w:divBdr>
                <w:top w:val="none" w:sz="0" w:space="0" w:color="auto"/>
                <w:left w:val="none" w:sz="0" w:space="0" w:color="auto"/>
                <w:bottom w:val="none" w:sz="0" w:space="0" w:color="auto"/>
                <w:right w:val="none" w:sz="0" w:space="0" w:color="auto"/>
              </w:divBdr>
              <w:divsChild>
                <w:div w:id="7838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77927">
          <w:marLeft w:val="0"/>
          <w:marRight w:val="0"/>
          <w:marTop w:val="0"/>
          <w:marBottom w:val="0"/>
          <w:divBdr>
            <w:top w:val="none" w:sz="0" w:space="0" w:color="auto"/>
            <w:left w:val="none" w:sz="0" w:space="0" w:color="auto"/>
            <w:bottom w:val="none" w:sz="0" w:space="0" w:color="auto"/>
            <w:right w:val="none" w:sz="0" w:space="0" w:color="auto"/>
          </w:divBdr>
          <w:divsChild>
            <w:div w:id="1353148520">
              <w:marLeft w:val="0"/>
              <w:marRight w:val="0"/>
              <w:marTop w:val="0"/>
              <w:marBottom w:val="0"/>
              <w:divBdr>
                <w:top w:val="none" w:sz="0" w:space="0" w:color="auto"/>
                <w:left w:val="none" w:sz="0" w:space="0" w:color="auto"/>
                <w:bottom w:val="none" w:sz="0" w:space="0" w:color="auto"/>
                <w:right w:val="none" w:sz="0" w:space="0" w:color="auto"/>
              </w:divBdr>
              <w:divsChild>
                <w:div w:id="603418881">
                  <w:marLeft w:val="0"/>
                  <w:marRight w:val="0"/>
                  <w:marTop w:val="0"/>
                  <w:marBottom w:val="0"/>
                  <w:divBdr>
                    <w:top w:val="none" w:sz="0" w:space="0" w:color="auto"/>
                    <w:left w:val="none" w:sz="0" w:space="0" w:color="auto"/>
                    <w:bottom w:val="none" w:sz="0" w:space="0" w:color="auto"/>
                    <w:right w:val="none" w:sz="0" w:space="0" w:color="auto"/>
                  </w:divBdr>
                </w:div>
              </w:divsChild>
            </w:div>
            <w:div w:id="2125271439">
              <w:marLeft w:val="0"/>
              <w:marRight w:val="0"/>
              <w:marTop w:val="0"/>
              <w:marBottom w:val="0"/>
              <w:divBdr>
                <w:top w:val="none" w:sz="0" w:space="0" w:color="auto"/>
                <w:left w:val="none" w:sz="0" w:space="0" w:color="auto"/>
                <w:bottom w:val="none" w:sz="0" w:space="0" w:color="auto"/>
                <w:right w:val="none" w:sz="0" w:space="0" w:color="auto"/>
              </w:divBdr>
            </w:div>
          </w:divsChild>
        </w:div>
        <w:div w:id="366489371">
          <w:marLeft w:val="0"/>
          <w:marRight w:val="0"/>
          <w:marTop w:val="0"/>
          <w:marBottom w:val="0"/>
          <w:divBdr>
            <w:top w:val="none" w:sz="0" w:space="0" w:color="auto"/>
            <w:left w:val="none" w:sz="0" w:space="0" w:color="auto"/>
            <w:bottom w:val="none" w:sz="0" w:space="0" w:color="auto"/>
            <w:right w:val="none" w:sz="0" w:space="0" w:color="auto"/>
          </w:divBdr>
          <w:divsChild>
            <w:div w:id="505706008">
              <w:marLeft w:val="0"/>
              <w:marRight w:val="0"/>
              <w:marTop w:val="0"/>
              <w:marBottom w:val="0"/>
              <w:divBdr>
                <w:top w:val="none" w:sz="0" w:space="0" w:color="auto"/>
                <w:left w:val="none" w:sz="0" w:space="0" w:color="auto"/>
                <w:bottom w:val="none" w:sz="0" w:space="0" w:color="auto"/>
                <w:right w:val="none" w:sz="0" w:space="0" w:color="auto"/>
              </w:divBdr>
              <w:divsChild>
                <w:div w:id="212889899">
                  <w:marLeft w:val="0"/>
                  <w:marRight w:val="0"/>
                  <w:marTop w:val="0"/>
                  <w:marBottom w:val="0"/>
                  <w:divBdr>
                    <w:top w:val="none" w:sz="0" w:space="0" w:color="auto"/>
                    <w:left w:val="none" w:sz="0" w:space="0" w:color="auto"/>
                    <w:bottom w:val="none" w:sz="0" w:space="0" w:color="auto"/>
                    <w:right w:val="none" w:sz="0" w:space="0" w:color="auto"/>
                  </w:divBdr>
                </w:div>
              </w:divsChild>
            </w:div>
            <w:div w:id="182558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00291">
      <w:bodyDiv w:val="1"/>
      <w:marLeft w:val="0"/>
      <w:marRight w:val="0"/>
      <w:marTop w:val="0"/>
      <w:marBottom w:val="0"/>
      <w:divBdr>
        <w:top w:val="none" w:sz="0" w:space="0" w:color="auto"/>
        <w:left w:val="none" w:sz="0" w:space="0" w:color="auto"/>
        <w:bottom w:val="none" w:sz="0" w:space="0" w:color="auto"/>
        <w:right w:val="none" w:sz="0" w:space="0" w:color="auto"/>
      </w:divBdr>
      <w:divsChild>
        <w:div w:id="1074812373">
          <w:marLeft w:val="0"/>
          <w:marRight w:val="0"/>
          <w:marTop w:val="0"/>
          <w:marBottom w:val="0"/>
          <w:divBdr>
            <w:top w:val="none" w:sz="0" w:space="0" w:color="3D3D3D"/>
            <w:left w:val="none" w:sz="0" w:space="0" w:color="3D3D3D"/>
            <w:bottom w:val="none" w:sz="0" w:space="0" w:color="3D3D3D"/>
            <w:right w:val="none" w:sz="0" w:space="0" w:color="3D3D3D"/>
          </w:divBdr>
        </w:div>
      </w:divsChild>
    </w:div>
    <w:div w:id="1551112238">
      <w:bodyDiv w:val="1"/>
      <w:marLeft w:val="0"/>
      <w:marRight w:val="0"/>
      <w:marTop w:val="0"/>
      <w:marBottom w:val="0"/>
      <w:divBdr>
        <w:top w:val="none" w:sz="0" w:space="0" w:color="auto"/>
        <w:left w:val="none" w:sz="0" w:space="0" w:color="auto"/>
        <w:bottom w:val="none" w:sz="0" w:space="0" w:color="auto"/>
        <w:right w:val="none" w:sz="0" w:space="0" w:color="auto"/>
      </w:divBdr>
      <w:divsChild>
        <w:div w:id="244455768">
          <w:marLeft w:val="0"/>
          <w:marRight w:val="0"/>
          <w:marTop w:val="0"/>
          <w:marBottom w:val="0"/>
          <w:divBdr>
            <w:top w:val="none" w:sz="0" w:space="0" w:color="3D3D3D"/>
            <w:left w:val="none" w:sz="0" w:space="0" w:color="3D3D3D"/>
            <w:bottom w:val="none" w:sz="0" w:space="0" w:color="3D3D3D"/>
            <w:right w:val="none" w:sz="0" w:space="0" w:color="3D3D3D"/>
          </w:divBdr>
        </w:div>
      </w:divsChild>
    </w:div>
    <w:div w:id="1557009623">
      <w:bodyDiv w:val="1"/>
      <w:marLeft w:val="0"/>
      <w:marRight w:val="0"/>
      <w:marTop w:val="0"/>
      <w:marBottom w:val="0"/>
      <w:divBdr>
        <w:top w:val="none" w:sz="0" w:space="0" w:color="auto"/>
        <w:left w:val="none" w:sz="0" w:space="0" w:color="auto"/>
        <w:bottom w:val="none" w:sz="0" w:space="0" w:color="auto"/>
        <w:right w:val="none" w:sz="0" w:space="0" w:color="auto"/>
      </w:divBdr>
      <w:divsChild>
        <w:div w:id="1376615979">
          <w:marLeft w:val="0"/>
          <w:marRight w:val="0"/>
          <w:marTop w:val="0"/>
          <w:marBottom w:val="0"/>
          <w:divBdr>
            <w:top w:val="none" w:sz="0" w:space="0" w:color="3D3D3D"/>
            <w:left w:val="none" w:sz="0" w:space="0" w:color="3D3D3D"/>
            <w:bottom w:val="none" w:sz="0" w:space="0" w:color="3D3D3D"/>
            <w:right w:val="none" w:sz="0" w:space="0" w:color="3D3D3D"/>
          </w:divBdr>
        </w:div>
      </w:divsChild>
    </w:div>
    <w:div w:id="1558584090">
      <w:bodyDiv w:val="1"/>
      <w:marLeft w:val="0"/>
      <w:marRight w:val="0"/>
      <w:marTop w:val="0"/>
      <w:marBottom w:val="0"/>
      <w:divBdr>
        <w:top w:val="none" w:sz="0" w:space="0" w:color="auto"/>
        <w:left w:val="none" w:sz="0" w:space="0" w:color="auto"/>
        <w:bottom w:val="none" w:sz="0" w:space="0" w:color="auto"/>
        <w:right w:val="none" w:sz="0" w:space="0" w:color="auto"/>
      </w:divBdr>
      <w:divsChild>
        <w:div w:id="989946432">
          <w:marLeft w:val="0"/>
          <w:marRight w:val="0"/>
          <w:marTop w:val="0"/>
          <w:marBottom w:val="0"/>
          <w:divBdr>
            <w:top w:val="none" w:sz="0" w:space="0" w:color="3D3D3D"/>
            <w:left w:val="none" w:sz="0" w:space="0" w:color="3D3D3D"/>
            <w:bottom w:val="none" w:sz="0" w:space="0" w:color="3D3D3D"/>
            <w:right w:val="none" w:sz="0" w:space="0" w:color="3D3D3D"/>
          </w:divBdr>
        </w:div>
      </w:divsChild>
    </w:div>
    <w:div w:id="1563061111">
      <w:bodyDiv w:val="1"/>
      <w:marLeft w:val="0"/>
      <w:marRight w:val="0"/>
      <w:marTop w:val="0"/>
      <w:marBottom w:val="0"/>
      <w:divBdr>
        <w:top w:val="none" w:sz="0" w:space="0" w:color="auto"/>
        <w:left w:val="none" w:sz="0" w:space="0" w:color="auto"/>
        <w:bottom w:val="none" w:sz="0" w:space="0" w:color="auto"/>
        <w:right w:val="none" w:sz="0" w:space="0" w:color="auto"/>
      </w:divBdr>
      <w:divsChild>
        <w:div w:id="1853301948">
          <w:marLeft w:val="0"/>
          <w:marRight w:val="0"/>
          <w:marTop w:val="0"/>
          <w:marBottom w:val="0"/>
          <w:divBdr>
            <w:top w:val="none" w:sz="0" w:space="0" w:color="auto"/>
            <w:left w:val="none" w:sz="0" w:space="0" w:color="auto"/>
            <w:bottom w:val="none" w:sz="0" w:space="0" w:color="auto"/>
            <w:right w:val="none" w:sz="0" w:space="0" w:color="auto"/>
          </w:divBdr>
        </w:div>
      </w:divsChild>
    </w:div>
    <w:div w:id="1575240913">
      <w:bodyDiv w:val="1"/>
      <w:marLeft w:val="0"/>
      <w:marRight w:val="0"/>
      <w:marTop w:val="0"/>
      <w:marBottom w:val="0"/>
      <w:divBdr>
        <w:top w:val="none" w:sz="0" w:space="0" w:color="auto"/>
        <w:left w:val="none" w:sz="0" w:space="0" w:color="auto"/>
        <w:bottom w:val="none" w:sz="0" w:space="0" w:color="auto"/>
        <w:right w:val="none" w:sz="0" w:space="0" w:color="auto"/>
      </w:divBdr>
      <w:divsChild>
        <w:div w:id="1749881746">
          <w:marLeft w:val="0"/>
          <w:marRight w:val="0"/>
          <w:marTop w:val="0"/>
          <w:marBottom w:val="0"/>
          <w:divBdr>
            <w:top w:val="none" w:sz="0" w:space="0" w:color="auto"/>
            <w:left w:val="none" w:sz="0" w:space="0" w:color="auto"/>
            <w:bottom w:val="none" w:sz="0" w:space="0" w:color="auto"/>
            <w:right w:val="none" w:sz="0" w:space="0" w:color="auto"/>
          </w:divBdr>
        </w:div>
      </w:divsChild>
    </w:div>
    <w:div w:id="1612592927">
      <w:bodyDiv w:val="1"/>
      <w:marLeft w:val="0"/>
      <w:marRight w:val="0"/>
      <w:marTop w:val="0"/>
      <w:marBottom w:val="0"/>
      <w:divBdr>
        <w:top w:val="none" w:sz="0" w:space="0" w:color="auto"/>
        <w:left w:val="none" w:sz="0" w:space="0" w:color="auto"/>
        <w:bottom w:val="none" w:sz="0" w:space="0" w:color="auto"/>
        <w:right w:val="none" w:sz="0" w:space="0" w:color="auto"/>
      </w:divBdr>
      <w:divsChild>
        <w:div w:id="710153653">
          <w:marLeft w:val="0"/>
          <w:marRight w:val="0"/>
          <w:marTop w:val="0"/>
          <w:marBottom w:val="0"/>
          <w:divBdr>
            <w:top w:val="none" w:sz="0" w:space="0" w:color="auto"/>
            <w:left w:val="none" w:sz="0" w:space="0" w:color="auto"/>
            <w:bottom w:val="none" w:sz="0" w:space="0" w:color="auto"/>
            <w:right w:val="none" w:sz="0" w:space="0" w:color="auto"/>
          </w:divBdr>
        </w:div>
      </w:divsChild>
    </w:div>
    <w:div w:id="1621764010">
      <w:bodyDiv w:val="1"/>
      <w:marLeft w:val="0"/>
      <w:marRight w:val="0"/>
      <w:marTop w:val="0"/>
      <w:marBottom w:val="0"/>
      <w:divBdr>
        <w:top w:val="none" w:sz="0" w:space="0" w:color="auto"/>
        <w:left w:val="none" w:sz="0" w:space="0" w:color="auto"/>
        <w:bottom w:val="none" w:sz="0" w:space="0" w:color="auto"/>
        <w:right w:val="none" w:sz="0" w:space="0" w:color="auto"/>
      </w:divBdr>
      <w:divsChild>
        <w:div w:id="1536623795">
          <w:marLeft w:val="0"/>
          <w:marRight w:val="0"/>
          <w:marTop w:val="0"/>
          <w:marBottom w:val="0"/>
          <w:divBdr>
            <w:top w:val="none" w:sz="0" w:space="0" w:color="3D3D3D"/>
            <w:left w:val="none" w:sz="0" w:space="0" w:color="3D3D3D"/>
            <w:bottom w:val="none" w:sz="0" w:space="0" w:color="3D3D3D"/>
            <w:right w:val="none" w:sz="0" w:space="0" w:color="3D3D3D"/>
          </w:divBdr>
          <w:divsChild>
            <w:div w:id="122613940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628391552">
      <w:bodyDiv w:val="1"/>
      <w:marLeft w:val="0"/>
      <w:marRight w:val="0"/>
      <w:marTop w:val="0"/>
      <w:marBottom w:val="0"/>
      <w:divBdr>
        <w:top w:val="none" w:sz="0" w:space="0" w:color="auto"/>
        <w:left w:val="none" w:sz="0" w:space="0" w:color="auto"/>
        <w:bottom w:val="none" w:sz="0" w:space="0" w:color="auto"/>
        <w:right w:val="none" w:sz="0" w:space="0" w:color="auto"/>
      </w:divBdr>
      <w:divsChild>
        <w:div w:id="1223447210">
          <w:marLeft w:val="0"/>
          <w:marRight w:val="0"/>
          <w:marTop w:val="0"/>
          <w:marBottom w:val="0"/>
          <w:divBdr>
            <w:top w:val="none" w:sz="0" w:space="0" w:color="3D3D3D"/>
            <w:left w:val="none" w:sz="0" w:space="0" w:color="3D3D3D"/>
            <w:bottom w:val="none" w:sz="0" w:space="0" w:color="3D3D3D"/>
            <w:right w:val="none" w:sz="0" w:space="0" w:color="3D3D3D"/>
          </w:divBdr>
        </w:div>
      </w:divsChild>
    </w:div>
    <w:div w:id="1643735809">
      <w:bodyDiv w:val="1"/>
      <w:marLeft w:val="0"/>
      <w:marRight w:val="0"/>
      <w:marTop w:val="0"/>
      <w:marBottom w:val="0"/>
      <w:divBdr>
        <w:top w:val="none" w:sz="0" w:space="0" w:color="auto"/>
        <w:left w:val="none" w:sz="0" w:space="0" w:color="auto"/>
        <w:bottom w:val="none" w:sz="0" w:space="0" w:color="auto"/>
        <w:right w:val="none" w:sz="0" w:space="0" w:color="auto"/>
      </w:divBdr>
      <w:divsChild>
        <w:div w:id="431508728">
          <w:marLeft w:val="0"/>
          <w:marRight w:val="0"/>
          <w:marTop w:val="0"/>
          <w:marBottom w:val="0"/>
          <w:divBdr>
            <w:top w:val="none" w:sz="0" w:space="0" w:color="3D3D3D"/>
            <w:left w:val="none" w:sz="0" w:space="0" w:color="3D3D3D"/>
            <w:bottom w:val="none" w:sz="0" w:space="0" w:color="3D3D3D"/>
            <w:right w:val="none" w:sz="0" w:space="0" w:color="3D3D3D"/>
          </w:divBdr>
          <w:divsChild>
            <w:div w:id="45726307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674719677">
      <w:bodyDiv w:val="1"/>
      <w:marLeft w:val="0"/>
      <w:marRight w:val="0"/>
      <w:marTop w:val="0"/>
      <w:marBottom w:val="0"/>
      <w:divBdr>
        <w:top w:val="none" w:sz="0" w:space="0" w:color="auto"/>
        <w:left w:val="none" w:sz="0" w:space="0" w:color="auto"/>
        <w:bottom w:val="none" w:sz="0" w:space="0" w:color="auto"/>
        <w:right w:val="none" w:sz="0" w:space="0" w:color="auto"/>
      </w:divBdr>
      <w:divsChild>
        <w:div w:id="553276785">
          <w:marLeft w:val="0"/>
          <w:marRight w:val="0"/>
          <w:marTop w:val="0"/>
          <w:marBottom w:val="0"/>
          <w:divBdr>
            <w:top w:val="none" w:sz="0" w:space="0" w:color="3D3D3D"/>
            <w:left w:val="none" w:sz="0" w:space="0" w:color="3D3D3D"/>
            <w:bottom w:val="none" w:sz="0" w:space="0" w:color="3D3D3D"/>
            <w:right w:val="none" w:sz="0" w:space="0" w:color="3D3D3D"/>
          </w:divBdr>
          <w:divsChild>
            <w:div w:id="104864906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686714990">
      <w:bodyDiv w:val="1"/>
      <w:marLeft w:val="0"/>
      <w:marRight w:val="0"/>
      <w:marTop w:val="0"/>
      <w:marBottom w:val="0"/>
      <w:divBdr>
        <w:top w:val="none" w:sz="0" w:space="0" w:color="auto"/>
        <w:left w:val="none" w:sz="0" w:space="0" w:color="auto"/>
        <w:bottom w:val="none" w:sz="0" w:space="0" w:color="auto"/>
        <w:right w:val="none" w:sz="0" w:space="0" w:color="auto"/>
      </w:divBdr>
      <w:divsChild>
        <w:div w:id="1869757160">
          <w:marLeft w:val="0"/>
          <w:marRight w:val="0"/>
          <w:marTop w:val="0"/>
          <w:marBottom w:val="0"/>
          <w:divBdr>
            <w:top w:val="none" w:sz="0" w:space="0" w:color="3D3D3D"/>
            <w:left w:val="none" w:sz="0" w:space="0" w:color="3D3D3D"/>
            <w:bottom w:val="none" w:sz="0" w:space="0" w:color="3D3D3D"/>
            <w:right w:val="none" w:sz="0" w:space="0" w:color="3D3D3D"/>
          </w:divBdr>
        </w:div>
      </w:divsChild>
    </w:div>
    <w:div w:id="1691028120">
      <w:bodyDiv w:val="1"/>
      <w:marLeft w:val="0"/>
      <w:marRight w:val="0"/>
      <w:marTop w:val="0"/>
      <w:marBottom w:val="0"/>
      <w:divBdr>
        <w:top w:val="none" w:sz="0" w:space="0" w:color="auto"/>
        <w:left w:val="none" w:sz="0" w:space="0" w:color="auto"/>
        <w:bottom w:val="none" w:sz="0" w:space="0" w:color="auto"/>
        <w:right w:val="none" w:sz="0" w:space="0" w:color="auto"/>
      </w:divBdr>
      <w:divsChild>
        <w:div w:id="2064793620">
          <w:marLeft w:val="0"/>
          <w:marRight w:val="0"/>
          <w:marTop w:val="0"/>
          <w:marBottom w:val="0"/>
          <w:divBdr>
            <w:top w:val="none" w:sz="0" w:space="0" w:color="3D3D3D"/>
            <w:left w:val="none" w:sz="0" w:space="0" w:color="3D3D3D"/>
            <w:bottom w:val="none" w:sz="0" w:space="0" w:color="3D3D3D"/>
            <w:right w:val="none" w:sz="0" w:space="0" w:color="3D3D3D"/>
          </w:divBdr>
          <w:divsChild>
            <w:div w:id="180993435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697148089">
      <w:bodyDiv w:val="1"/>
      <w:marLeft w:val="0"/>
      <w:marRight w:val="0"/>
      <w:marTop w:val="0"/>
      <w:marBottom w:val="0"/>
      <w:divBdr>
        <w:top w:val="none" w:sz="0" w:space="0" w:color="auto"/>
        <w:left w:val="none" w:sz="0" w:space="0" w:color="auto"/>
        <w:bottom w:val="none" w:sz="0" w:space="0" w:color="auto"/>
        <w:right w:val="none" w:sz="0" w:space="0" w:color="auto"/>
      </w:divBdr>
      <w:divsChild>
        <w:div w:id="1941643192">
          <w:marLeft w:val="0"/>
          <w:marRight w:val="0"/>
          <w:marTop w:val="0"/>
          <w:marBottom w:val="0"/>
          <w:divBdr>
            <w:top w:val="none" w:sz="0" w:space="0" w:color="auto"/>
            <w:left w:val="none" w:sz="0" w:space="0" w:color="auto"/>
            <w:bottom w:val="none" w:sz="0" w:space="0" w:color="auto"/>
            <w:right w:val="none" w:sz="0" w:space="0" w:color="auto"/>
          </w:divBdr>
        </w:div>
      </w:divsChild>
    </w:div>
    <w:div w:id="1698190806">
      <w:bodyDiv w:val="1"/>
      <w:marLeft w:val="0"/>
      <w:marRight w:val="0"/>
      <w:marTop w:val="0"/>
      <w:marBottom w:val="0"/>
      <w:divBdr>
        <w:top w:val="none" w:sz="0" w:space="0" w:color="auto"/>
        <w:left w:val="none" w:sz="0" w:space="0" w:color="auto"/>
        <w:bottom w:val="none" w:sz="0" w:space="0" w:color="auto"/>
        <w:right w:val="none" w:sz="0" w:space="0" w:color="auto"/>
      </w:divBdr>
      <w:divsChild>
        <w:div w:id="1733966491">
          <w:marLeft w:val="0"/>
          <w:marRight w:val="0"/>
          <w:marTop w:val="0"/>
          <w:marBottom w:val="0"/>
          <w:divBdr>
            <w:top w:val="none" w:sz="0" w:space="0" w:color="auto"/>
            <w:left w:val="none" w:sz="0" w:space="0" w:color="auto"/>
            <w:bottom w:val="none" w:sz="0" w:space="0" w:color="auto"/>
            <w:right w:val="none" w:sz="0" w:space="0" w:color="auto"/>
          </w:divBdr>
        </w:div>
      </w:divsChild>
    </w:div>
    <w:div w:id="1698845233">
      <w:bodyDiv w:val="1"/>
      <w:marLeft w:val="0"/>
      <w:marRight w:val="0"/>
      <w:marTop w:val="0"/>
      <w:marBottom w:val="0"/>
      <w:divBdr>
        <w:top w:val="none" w:sz="0" w:space="0" w:color="auto"/>
        <w:left w:val="none" w:sz="0" w:space="0" w:color="auto"/>
        <w:bottom w:val="none" w:sz="0" w:space="0" w:color="auto"/>
        <w:right w:val="none" w:sz="0" w:space="0" w:color="auto"/>
      </w:divBdr>
      <w:divsChild>
        <w:div w:id="932589277">
          <w:marLeft w:val="0"/>
          <w:marRight w:val="0"/>
          <w:marTop w:val="0"/>
          <w:marBottom w:val="0"/>
          <w:divBdr>
            <w:top w:val="none" w:sz="0" w:space="0" w:color="3D3D3D"/>
            <w:left w:val="none" w:sz="0" w:space="0" w:color="3D3D3D"/>
            <w:bottom w:val="none" w:sz="0" w:space="0" w:color="3D3D3D"/>
            <w:right w:val="none" w:sz="0" w:space="0" w:color="3D3D3D"/>
          </w:divBdr>
          <w:divsChild>
            <w:div w:id="138814587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702627652">
      <w:bodyDiv w:val="1"/>
      <w:marLeft w:val="0"/>
      <w:marRight w:val="0"/>
      <w:marTop w:val="0"/>
      <w:marBottom w:val="0"/>
      <w:divBdr>
        <w:top w:val="none" w:sz="0" w:space="0" w:color="auto"/>
        <w:left w:val="none" w:sz="0" w:space="0" w:color="auto"/>
        <w:bottom w:val="none" w:sz="0" w:space="0" w:color="auto"/>
        <w:right w:val="none" w:sz="0" w:space="0" w:color="auto"/>
      </w:divBdr>
      <w:divsChild>
        <w:div w:id="1228110692">
          <w:marLeft w:val="0"/>
          <w:marRight w:val="0"/>
          <w:marTop w:val="0"/>
          <w:marBottom w:val="0"/>
          <w:divBdr>
            <w:top w:val="none" w:sz="0" w:space="0" w:color="3D3D3D"/>
            <w:left w:val="none" w:sz="0" w:space="0" w:color="3D3D3D"/>
            <w:bottom w:val="none" w:sz="0" w:space="0" w:color="3D3D3D"/>
            <w:right w:val="none" w:sz="0" w:space="0" w:color="3D3D3D"/>
          </w:divBdr>
        </w:div>
      </w:divsChild>
    </w:div>
    <w:div w:id="1707674532">
      <w:bodyDiv w:val="1"/>
      <w:marLeft w:val="0"/>
      <w:marRight w:val="0"/>
      <w:marTop w:val="0"/>
      <w:marBottom w:val="0"/>
      <w:divBdr>
        <w:top w:val="none" w:sz="0" w:space="0" w:color="auto"/>
        <w:left w:val="none" w:sz="0" w:space="0" w:color="auto"/>
        <w:bottom w:val="none" w:sz="0" w:space="0" w:color="auto"/>
        <w:right w:val="none" w:sz="0" w:space="0" w:color="auto"/>
      </w:divBdr>
      <w:divsChild>
        <w:div w:id="23799159">
          <w:marLeft w:val="0"/>
          <w:marRight w:val="0"/>
          <w:marTop w:val="0"/>
          <w:marBottom w:val="0"/>
          <w:divBdr>
            <w:top w:val="none" w:sz="0" w:space="0" w:color="3D3D3D"/>
            <w:left w:val="none" w:sz="0" w:space="0" w:color="3D3D3D"/>
            <w:bottom w:val="none" w:sz="0" w:space="0" w:color="3D3D3D"/>
            <w:right w:val="none" w:sz="0" w:space="0" w:color="3D3D3D"/>
          </w:divBdr>
        </w:div>
      </w:divsChild>
    </w:div>
    <w:div w:id="1712488095">
      <w:bodyDiv w:val="1"/>
      <w:marLeft w:val="0"/>
      <w:marRight w:val="0"/>
      <w:marTop w:val="0"/>
      <w:marBottom w:val="0"/>
      <w:divBdr>
        <w:top w:val="none" w:sz="0" w:space="0" w:color="auto"/>
        <w:left w:val="none" w:sz="0" w:space="0" w:color="auto"/>
        <w:bottom w:val="none" w:sz="0" w:space="0" w:color="auto"/>
        <w:right w:val="none" w:sz="0" w:space="0" w:color="auto"/>
      </w:divBdr>
      <w:divsChild>
        <w:div w:id="169029981">
          <w:marLeft w:val="0"/>
          <w:marRight w:val="0"/>
          <w:marTop w:val="0"/>
          <w:marBottom w:val="0"/>
          <w:divBdr>
            <w:top w:val="none" w:sz="0" w:space="0" w:color="3D3D3D"/>
            <w:left w:val="none" w:sz="0" w:space="0" w:color="3D3D3D"/>
            <w:bottom w:val="none" w:sz="0" w:space="0" w:color="3D3D3D"/>
            <w:right w:val="none" w:sz="0" w:space="0" w:color="3D3D3D"/>
          </w:divBdr>
        </w:div>
      </w:divsChild>
    </w:div>
    <w:div w:id="1719351145">
      <w:bodyDiv w:val="1"/>
      <w:marLeft w:val="0"/>
      <w:marRight w:val="0"/>
      <w:marTop w:val="0"/>
      <w:marBottom w:val="0"/>
      <w:divBdr>
        <w:top w:val="none" w:sz="0" w:space="0" w:color="auto"/>
        <w:left w:val="none" w:sz="0" w:space="0" w:color="auto"/>
        <w:bottom w:val="none" w:sz="0" w:space="0" w:color="auto"/>
        <w:right w:val="none" w:sz="0" w:space="0" w:color="auto"/>
      </w:divBdr>
    </w:div>
    <w:div w:id="1761443096">
      <w:bodyDiv w:val="1"/>
      <w:marLeft w:val="0"/>
      <w:marRight w:val="0"/>
      <w:marTop w:val="0"/>
      <w:marBottom w:val="0"/>
      <w:divBdr>
        <w:top w:val="none" w:sz="0" w:space="0" w:color="auto"/>
        <w:left w:val="none" w:sz="0" w:space="0" w:color="auto"/>
        <w:bottom w:val="none" w:sz="0" w:space="0" w:color="auto"/>
        <w:right w:val="none" w:sz="0" w:space="0" w:color="auto"/>
      </w:divBdr>
      <w:divsChild>
        <w:div w:id="452749275">
          <w:marLeft w:val="0"/>
          <w:marRight w:val="0"/>
          <w:marTop w:val="0"/>
          <w:marBottom w:val="0"/>
          <w:divBdr>
            <w:top w:val="none" w:sz="0" w:space="0" w:color="auto"/>
            <w:left w:val="none" w:sz="0" w:space="0" w:color="auto"/>
            <w:bottom w:val="none" w:sz="0" w:space="0" w:color="auto"/>
            <w:right w:val="none" w:sz="0" w:space="0" w:color="auto"/>
          </w:divBdr>
        </w:div>
      </w:divsChild>
    </w:div>
    <w:div w:id="1765106411">
      <w:bodyDiv w:val="1"/>
      <w:marLeft w:val="0"/>
      <w:marRight w:val="0"/>
      <w:marTop w:val="0"/>
      <w:marBottom w:val="0"/>
      <w:divBdr>
        <w:top w:val="none" w:sz="0" w:space="0" w:color="auto"/>
        <w:left w:val="none" w:sz="0" w:space="0" w:color="auto"/>
        <w:bottom w:val="none" w:sz="0" w:space="0" w:color="auto"/>
        <w:right w:val="none" w:sz="0" w:space="0" w:color="auto"/>
      </w:divBdr>
      <w:divsChild>
        <w:div w:id="343746652">
          <w:marLeft w:val="0"/>
          <w:marRight w:val="0"/>
          <w:marTop w:val="0"/>
          <w:marBottom w:val="0"/>
          <w:divBdr>
            <w:top w:val="none" w:sz="0" w:space="0" w:color="3D3D3D"/>
            <w:left w:val="none" w:sz="0" w:space="0" w:color="3D3D3D"/>
            <w:bottom w:val="none" w:sz="0" w:space="0" w:color="3D3D3D"/>
            <w:right w:val="none" w:sz="0" w:space="0" w:color="3D3D3D"/>
          </w:divBdr>
          <w:divsChild>
            <w:div w:id="149981092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766683590">
      <w:bodyDiv w:val="1"/>
      <w:marLeft w:val="0"/>
      <w:marRight w:val="0"/>
      <w:marTop w:val="0"/>
      <w:marBottom w:val="0"/>
      <w:divBdr>
        <w:top w:val="none" w:sz="0" w:space="0" w:color="auto"/>
        <w:left w:val="none" w:sz="0" w:space="0" w:color="auto"/>
        <w:bottom w:val="none" w:sz="0" w:space="0" w:color="auto"/>
        <w:right w:val="none" w:sz="0" w:space="0" w:color="auto"/>
      </w:divBdr>
      <w:divsChild>
        <w:div w:id="681398023">
          <w:marLeft w:val="0"/>
          <w:marRight w:val="0"/>
          <w:marTop w:val="0"/>
          <w:marBottom w:val="0"/>
          <w:divBdr>
            <w:top w:val="none" w:sz="0" w:space="0" w:color="auto"/>
            <w:left w:val="none" w:sz="0" w:space="0" w:color="auto"/>
            <w:bottom w:val="none" w:sz="0" w:space="0" w:color="auto"/>
            <w:right w:val="none" w:sz="0" w:space="0" w:color="auto"/>
          </w:divBdr>
        </w:div>
      </w:divsChild>
    </w:div>
    <w:div w:id="1790738056">
      <w:bodyDiv w:val="1"/>
      <w:marLeft w:val="0"/>
      <w:marRight w:val="0"/>
      <w:marTop w:val="0"/>
      <w:marBottom w:val="0"/>
      <w:divBdr>
        <w:top w:val="none" w:sz="0" w:space="0" w:color="auto"/>
        <w:left w:val="none" w:sz="0" w:space="0" w:color="auto"/>
        <w:bottom w:val="none" w:sz="0" w:space="0" w:color="auto"/>
        <w:right w:val="none" w:sz="0" w:space="0" w:color="auto"/>
      </w:divBdr>
      <w:divsChild>
        <w:div w:id="1710370879">
          <w:marLeft w:val="0"/>
          <w:marRight w:val="0"/>
          <w:marTop w:val="0"/>
          <w:marBottom w:val="0"/>
          <w:divBdr>
            <w:top w:val="none" w:sz="0" w:space="0" w:color="3D3D3D"/>
            <w:left w:val="none" w:sz="0" w:space="0" w:color="3D3D3D"/>
            <w:bottom w:val="none" w:sz="0" w:space="0" w:color="3D3D3D"/>
            <w:right w:val="none" w:sz="0" w:space="0" w:color="3D3D3D"/>
          </w:divBdr>
        </w:div>
      </w:divsChild>
    </w:div>
    <w:div w:id="1806772672">
      <w:bodyDiv w:val="1"/>
      <w:marLeft w:val="0"/>
      <w:marRight w:val="0"/>
      <w:marTop w:val="0"/>
      <w:marBottom w:val="0"/>
      <w:divBdr>
        <w:top w:val="none" w:sz="0" w:space="0" w:color="auto"/>
        <w:left w:val="none" w:sz="0" w:space="0" w:color="auto"/>
        <w:bottom w:val="none" w:sz="0" w:space="0" w:color="auto"/>
        <w:right w:val="none" w:sz="0" w:space="0" w:color="auto"/>
      </w:divBdr>
      <w:divsChild>
        <w:div w:id="388461528">
          <w:marLeft w:val="0"/>
          <w:marRight w:val="0"/>
          <w:marTop w:val="0"/>
          <w:marBottom w:val="0"/>
          <w:divBdr>
            <w:top w:val="none" w:sz="0" w:space="0" w:color="auto"/>
            <w:left w:val="none" w:sz="0" w:space="0" w:color="auto"/>
            <w:bottom w:val="none" w:sz="0" w:space="0" w:color="auto"/>
            <w:right w:val="none" w:sz="0" w:space="0" w:color="auto"/>
          </w:divBdr>
          <w:divsChild>
            <w:div w:id="1580866329">
              <w:marLeft w:val="0"/>
              <w:marRight w:val="0"/>
              <w:marTop w:val="0"/>
              <w:marBottom w:val="0"/>
              <w:divBdr>
                <w:top w:val="none" w:sz="0" w:space="0" w:color="auto"/>
                <w:left w:val="none" w:sz="0" w:space="0" w:color="auto"/>
                <w:bottom w:val="none" w:sz="0" w:space="0" w:color="auto"/>
                <w:right w:val="none" w:sz="0" w:space="0" w:color="auto"/>
              </w:divBdr>
            </w:div>
          </w:divsChild>
        </w:div>
        <w:div w:id="862785593">
          <w:marLeft w:val="0"/>
          <w:marRight w:val="0"/>
          <w:marTop w:val="0"/>
          <w:marBottom w:val="0"/>
          <w:divBdr>
            <w:top w:val="none" w:sz="0" w:space="0" w:color="auto"/>
            <w:left w:val="none" w:sz="0" w:space="0" w:color="auto"/>
            <w:bottom w:val="none" w:sz="0" w:space="0" w:color="auto"/>
            <w:right w:val="none" w:sz="0" w:space="0" w:color="auto"/>
          </w:divBdr>
          <w:divsChild>
            <w:div w:id="14373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78942">
      <w:bodyDiv w:val="1"/>
      <w:marLeft w:val="0"/>
      <w:marRight w:val="0"/>
      <w:marTop w:val="0"/>
      <w:marBottom w:val="0"/>
      <w:divBdr>
        <w:top w:val="none" w:sz="0" w:space="0" w:color="auto"/>
        <w:left w:val="none" w:sz="0" w:space="0" w:color="auto"/>
        <w:bottom w:val="none" w:sz="0" w:space="0" w:color="auto"/>
        <w:right w:val="none" w:sz="0" w:space="0" w:color="auto"/>
      </w:divBdr>
      <w:divsChild>
        <w:div w:id="706488005">
          <w:marLeft w:val="0"/>
          <w:marRight w:val="0"/>
          <w:marTop w:val="0"/>
          <w:marBottom w:val="0"/>
          <w:divBdr>
            <w:top w:val="none" w:sz="0" w:space="0" w:color="3D3D3D"/>
            <w:left w:val="none" w:sz="0" w:space="0" w:color="3D3D3D"/>
            <w:bottom w:val="none" w:sz="0" w:space="0" w:color="3D3D3D"/>
            <w:right w:val="none" w:sz="0" w:space="0" w:color="3D3D3D"/>
          </w:divBdr>
          <w:divsChild>
            <w:div w:id="65853558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818916812">
      <w:bodyDiv w:val="1"/>
      <w:marLeft w:val="0"/>
      <w:marRight w:val="0"/>
      <w:marTop w:val="0"/>
      <w:marBottom w:val="0"/>
      <w:divBdr>
        <w:top w:val="none" w:sz="0" w:space="0" w:color="auto"/>
        <w:left w:val="none" w:sz="0" w:space="0" w:color="auto"/>
        <w:bottom w:val="none" w:sz="0" w:space="0" w:color="auto"/>
        <w:right w:val="none" w:sz="0" w:space="0" w:color="auto"/>
      </w:divBdr>
      <w:divsChild>
        <w:div w:id="740635995">
          <w:marLeft w:val="0"/>
          <w:marRight w:val="0"/>
          <w:marTop w:val="0"/>
          <w:marBottom w:val="0"/>
          <w:divBdr>
            <w:top w:val="none" w:sz="0" w:space="0" w:color="3D3D3D"/>
            <w:left w:val="none" w:sz="0" w:space="0" w:color="3D3D3D"/>
            <w:bottom w:val="none" w:sz="0" w:space="0" w:color="3D3D3D"/>
            <w:right w:val="none" w:sz="0" w:space="0" w:color="3D3D3D"/>
          </w:divBdr>
          <w:divsChild>
            <w:div w:id="115286656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822772390">
      <w:bodyDiv w:val="1"/>
      <w:marLeft w:val="0"/>
      <w:marRight w:val="0"/>
      <w:marTop w:val="0"/>
      <w:marBottom w:val="0"/>
      <w:divBdr>
        <w:top w:val="none" w:sz="0" w:space="0" w:color="auto"/>
        <w:left w:val="none" w:sz="0" w:space="0" w:color="auto"/>
        <w:bottom w:val="none" w:sz="0" w:space="0" w:color="auto"/>
        <w:right w:val="none" w:sz="0" w:space="0" w:color="auto"/>
      </w:divBdr>
      <w:divsChild>
        <w:div w:id="1534927487">
          <w:marLeft w:val="0"/>
          <w:marRight w:val="0"/>
          <w:marTop w:val="0"/>
          <w:marBottom w:val="0"/>
          <w:divBdr>
            <w:top w:val="none" w:sz="0" w:space="0" w:color="3D3D3D"/>
            <w:left w:val="none" w:sz="0" w:space="0" w:color="3D3D3D"/>
            <w:bottom w:val="none" w:sz="0" w:space="0" w:color="3D3D3D"/>
            <w:right w:val="none" w:sz="0" w:space="0" w:color="3D3D3D"/>
          </w:divBdr>
          <w:divsChild>
            <w:div w:id="138629462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854030966">
      <w:bodyDiv w:val="1"/>
      <w:marLeft w:val="0"/>
      <w:marRight w:val="0"/>
      <w:marTop w:val="0"/>
      <w:marBottom w:val="0"/>
      <w:divBdr>
        <w:top w:val="none" w:sz="0" w:space="0" w:color="auto"/>
        <w:left w:val="none" w:sz="0" w:space="0" w:color="auto"/>
        <w:bottom w:val="none" w:sz="0" w:space="0" w:color="auto"/>
        <w:right w:val="none" w:sz="0" w:space="0" w:color="auto"/>
      </w:divBdr>
      <w:divsChild>
        <w:div w:id="318585369">
          <w:marLeft w:val="0"/>
          <w:marRight w:val="0"/>
          <w:marTop w:val="0"/>
          <w:marBottom w:val="0"/>
          <w:divBdr>
            <w:top w:val="none" w:sz="0" w:space="0" w:color="3D3D3D"/>
            <w:left w:val="none" w:sz="0" w:space="0" w:color="3D3D3D"/>
            <w:bottom w:val="none" w:sz="0" w:space="0" w:color="3D3D3D"/>
            <w:right w:val="none" w:sz="0" w:space="0" w:color="3D3D3D"/>
          </w:divBdr>
        </w:div>
      </w:divsChild>
    </w:div>
    <w:div w:id="1865287565">
      <w:bodyDiv w:val="1"/>
      <w:marLeft w:val="0"/>
      <w:marRight w:val="0"/>
      <w:marTop w:val="0"/>
      <w:marBottom w:val="0"/>
      <w:divBdr>
        <w:top w:val="none" w:sz="0" w:space="0" w:color="auto"/>
        <w:left w:val="none" w:sz="0" w:space="0" w:color="auto"/>
        <w:bottom w:val="none" w:sz="0" w:space="0" w:color="auto"/>
        <w:right w:val="none" w:sz="0" w:space="0" w:color="auto"/>
      </w:divBdr>
      <w:divsChild>
        <w:div w:id="1143036073">
          <w:marLeft w:val="0"/>
          <w:marRight w:val="0"/>
          <w:marTop w:val="0"/>
          <w:marBottom w:val="0"/>
          <w:divBdr>
            <w:top w:val="none" w:sz="0" w:space="0" w:color="3D3D3D"/>
            <w:left w:val="none" w:sz="0" w:space="0" w:color="3D3D3D"/>
            <w:bottom w:val="none" w:sz="0" w:space="0" w:color="3D3D3D"/>
            <w:right w:val="none" w:sz="0" w:space="0" w:color="3D3D3D"/>
          </w:divBdr>
        </w:div>
      </w:divsChild>
    </w:div>
    <w:div w:id="1892183738">
      <w:bodyDiv w:val="1"/>
      <w:marLeft w:val="0"/>
      <w:marRight w:val="0"/>
      <w:marTop w:val="0"/>
      <w:marBottom w:val="0"/>
      <w:divBdr>
        <w:top w:val="none" w:sz="0" w:space="0" w:color="auto"/>
        <w:left w:val="none" w:sz="0" w:space="0" w:color="auto"/>
        <w:bottom w:val="none" w:sz="0" w:space="0" w:color="auto"/>
        <w:right w:val="none" w:sz="0" w:space="0" w:color="auto"/>
      </w:divBdr>
    </w:div>
    <w:div w:id="1901476134">
      <w:bodyDiv w:val="1"/>
      <w:marLeft w:val="0"/>
      <w:marRight w:val="0"/>
      <w:marTop w:val="0"/>
      <w:marBottom w:val="0"/>
      <w:divBdr>
        <w:top w:val="none" w:sz="0" w:space="0" w:color="auto"/>
        <w:left w:val="none" w:sz="0" w:space="0" w:color="auto"/>
        <w:bottom w:val="none" w:sz="0" w:space="0" w:color="auto"/>
        <w:right w:val="none" w:sz="0" w:space="0" w:color="auto"/>
      </w:divBdr>
      <w:divsChild>
        <w:div w:id="1810899356">
          <w:marLeft w:val="0"/>
          <w:marRight w:val="0"/>
          <w:marTop w:val="0"/>
          <w:marBottom w:val="0"/>
          <w:divBdr>
            <w:top w:val="none" w:sz="0" w:space="0" w:color="3D3D3D"/>
            <w:left w:val="none" w:sz="0" w:space="0" w:color="3D3D3D"/>
            <w:bottom w:val="none" w:sz="0" w:space="0" w:color="3D3D3D"/>
            <w:right w:val="none" w:sz="0" w:space="0" w:color="3D3D3D"/>
          </w:divBdr>
          <w:divsChild>
            <w:div w:id="678316585">
              <w:marLeft w:val="0"/>
              <w:marRight w:val="0"/>
              <w:marTop w:val="0"/>
              <w:marBottom w:val="0"/>
              <w:divBdr>
                <w:top w:val="none" w:sz="0" w:space="0" w:color="3D3D3D"/>
                <w:left w:val="none" w:sz="0" w:space="0" w:color="3D3D3D"/>
                <w:bottom w:val="none" w:sz="0" w:space="0" w:color="3D3D3D"/>
                <w:right w:val="none" w:sz="0" w:space="0" w:color="3D3D3D"/>
              </w:divBdr>
              <w:divsChild>
                <w:div w:id="2040156687">
                  <w:marLeft w:val="0"/>
                  <w:marRight w:val="0"/>
                  <w:marTop w:val="0"/>
                  <w:marBottom w:val="0"/>
                  <w:divBdr>
                    <w:top w:val="none" w:sz="0" w:space="0" w:color="3D3D3D"/>
                    <w:left w:val="none" w:sz="0" w:space="0" w:color="3D3D3D"/>
                    <w:bottom w:val="none" w:sz="0" w:space="0" w:color="3D3D3D"/>
                    <w:right w:val="none" w:sz="0" w:space="0" w:color="3D3D3D"/>
                  </w:divBdr>
                </w:div>
              </w:divsChild>
            </w:div>
            <w:div w:id="1556352968">
              <w:marLeft w:val="0"/>
              <w:marRight w:val="0"/>
              <w:marTop w:val="202"/>
              <w:marBottom w:val="0"/>
              <w:divBdr>
                <w:top w:val="none" w:sz="0" w:space="0" w:color="3D3D3D"/>
                <w:left w:val="none" w:sz="0" w:space="0" w:color="3D3D3D"/>
                <w:bottom w:val="none" w:sz="0" w:space="0" w:color="3D3D3D"/>
                <w:right w:val="none" w:sz="0" w:space="0" w:color="3D3D3D"/>
              </w:divBdr>
              <w:divsChild>
                <w:div w:id="45386746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Child>
    </w:div>
    <w:div w:id="1904442667">
      <w:bodyDiv w:val="1"/>
      <w:marLeft w:val="0"/>
      <w:marRight w:val="0"/>
      <w:marTop w:val="0"/>
      <w:marBottom w:val="0"/>
      <w:divBdr>
        <w:top w:val="none" w:sz="0" w:space="0" w:color="auto"/>
        <w:left w:val="none" w:sz="0" w:space="0" w:color="auto"/>
        <w:bottom w:val="none" w:sz="0" w:space="0" w:color="auto"/>
        <w:right w:val="none" w:sz="0" w:space="0" w:color="auto"/>
      </w:divBdr>
      <w:divsChild>
        <w:div w:id="1993213328">
          <w:marLeft w:val="0"/>
          <w:marRight w:val="0"/>
          <w:marTop w:val="0"/>
          <w:marBottom w:val="0"/>
          <w:divBdr>
            <w:top w:val="none" w:sz="0" w:space="0" w:color="auto"/>
            <w:left w:val="none" w:sz="0" w:space="0" w:color="auto"/>
            <w:bottom w:val="none" w:sz="0" w:space="0" w:color="auto"/>
            <w:right w:val="none" w:sz="0" w:space="0" w:color="auto"/>
          </w:divBdr>
        </w:div>
      </w:divsChild>
    </w:div>
    <w:div w:id="1926912395">
      <w:bodyDiv w:val="1"/>
      <w:marLeft w:val="0"/>
      <w:marRight w:val="0"/>
      <w:marTop w:val="0"/>
      <w:marBottom w:val="0"/>
      <w:divBdr>
        <w:top w:val="none" w:sz="0" w:space="0" w:color="auto"/>
        <w:left w:val="none" w:sz="0" w:space="0" w:color="auto"/>
        <w:bottom w:val="none" w:sz="0" w:space="0" w:color="auto"/>
        <w:right w:val="none" w:sz="0" w:space="0" w:color="auto"/>
      </w:divBdr>
      <w:divsChild>
        <w:div w:id="826214106">
          <w:marLeft w:val="0"/>
          <w:marRight w:val="0"/>
          <w:marTop w:val="0"/>
          <w:marBottom w:val="0"/>
          <w:divBdr>
            <w:top w:val="none" w:sz="0" w:space="0" w:color="auto"/>
            <w:left w:val="none" w:sz="0" w:space="0" w:color="auto"/>
            <w:bottom w:val="none" w:sz="0" w:space="0" w:color="auto"/>
            <w:right w:val="none" w:sz="0" w:space="0" w:color="auto"/>
          </w:divBdr>
        </w:div>
      </w:divsChild>
    </w:div>
    <w:div w:id="1927691476">
      <w:bodyDiv w:val="1"/>
      <w:marLeft w:val="0"/>
      <w:marRight w:val="0"/>
      <w:marTop w:val="0"/>
      <w:marBottom w:val="0"/>
      <w:divBdr>
        <w:top w:val="none" w:sz="0" w:space="0" w:color="auto"/>
        <w:left w:val="none" w:sz="0" w:space="0" w:color="auto"/>
        <w:bottom w:val="none" w:sz="0" w:space="0" w:color="auto"/>
        <w:right w:val="none" w:sz="0" w:space="0" w:color="auto"/>
      </w:divBdr>
      <w:divsChild>
        <w:div w:id="1231304166">
          <w:marLeft w:val="0"/>
          <w:marRight w:val="0"/>
          <w:marTop w:val="0"/>
          <w:marBottom w:val="0"/>
          <w:divBdr>
            <w:top w:val="none" w:sz="0" w:space="0" w:color="auto"/>
            <w:left w:val="none" w:sz="0" w:space="0" w:color="auto"/>
            <w:bottom w:val="none" w:sz="0" w:space="0" w:color="auto"/>
            <w:right w:val="none" w:sz="0" w:space="0" w:color="auto"/>
          </w:divBdr>
          <w:divsChild>
            <w:div w:id="1702588926">
              <w:marLeft w:val="0"/>
              <w:marRight w:val="0"/>
              <w:marTop w:val="0"/>
              <w:marBottom w:val="0"/>
              <w:divBdr>
                <w:top w:val="none" w:sz="0" w:space="0" w:color="auto"/>
                <w:left w:val="none" w:sz="0" w:space="0" w:color="auto"/>
                <w:bottom w:val="none" w:sz="0" w:space="0" w:color="auto"/>
                <w:right w:val="none" w:sz="0" w:space="0" w:color="auto"/>
              </w:divBdr>
            </w:div>
          </w:divsChild>
        </w:div>
        <w:div w:id="517164774">
          <w:marLeft w:val="0"/>
          <w:marRight w:val="0"/>
          <w:marTop w:val="0"/>
          <w:marBottom w:val="0"/>
          <w:divBdr>
            <w:top w:val="none" w:sz="0" w:space="0" w:color="auto"/>
            <w:left w:val="none" w:sz="0" w:space="0" w:color="auto"/>
            <w:bottom w:val="none" w:sz="0" w:space="0" w:color="auto"/>
            <w:right w:val="none" w:sz="0" w:space="0" w:color="auto"/>
          </w:divBdr>
          <w:divsChild>
            <w:div w:id="13808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21519">
      <w:bodyDiv w:val="1"/>
      <w:marLeft w:val="0"/>
      <w:marRight w:val="0"/>
      <w:marTop w:val="0"/>
      <w:marBottom w:val="0"/>
      <w:divBdr>
        <w:top w:val="none" w:sz="0" w:space="0" w:color="auto"/>
        <w:left w:val="none" w:sz="0" w:space="0" w:color="auto"/>
        <w:bottom w:val="none" w:sz="0" w:space="0" w:color="auto"/>
        <w:right w:val="none" w:sz="0" w:space="0" w:color="auto"/>
      </w:divBdr>
      <w:divsChild>
        <w:div w:id="885681379">
          <w:marLeft w:val="0"/>
          <w:marRight w:val="0"/>
          <w:marTop w:val="0"/>
          <w:marBottom w:val="0"/>
          <w:divBdr>
            <w:top w:val="none" w:sz="0" w:space="0" w:color="auto"/>
            <w:left w:val="none" w:sz="0" w:space="0" w:color="auto"/>
            <w:bottom w:val="none" w:sz="0" w:space="0" w:color="auto"/>
            <w:right w:val="none" w:sz="0" w:space="0" w:color="auto"/>
          </w:divBdr>
        </w:div>
      </w:divsChild>
    </w:div>
    <w:div w:id="1955752128">
      <w:bodyDiv w:val="1"/>
      <w:marLeft w:val="0"/>
      <w:marRight w:val="0"/>
      <w:marTop w:val="0"/>
      <w:marBottom w:val="0"/>
      <w:divBdr>
        <w:top w:val="none" w:sz="0" w:space="0" w:color="auto"/>
        <w:left w:val="none" w:sz="0" w:space="0" w:color="auto"/>
        <w:bottom w:val="none" w:sz="0" w:space="0" w:color="auto"/>
        <w:right w:val="none" w:sz="0" w:space="0" w:color="auto"/>
      </w:divBdr>
      <w:divsChild>
        <w:div w:id="2048675665">
          <w:marLeft w:val="0"/>
          <w:marRight w:val="0"/>
          <w:marTop w:val="0"/>
          <w:marBottom w:val="0"/>
          <w:divBdr>
            <w:top w:val="none" w:sz="0" w:space="0" w:color="auto"/>
            <w:left w:val="none" w:sz="0" w:space="0" w:color="auto"/>
            <w:bottom w:val="none" w:sz="0" w:space="0" w:color="auto"/>
            <w:right w:val="none" w:sz="0" w:space="0" w:color="auto"/>
          </w:divBdr>
        </w:div>
      </w:divsChild>
    </w:div>
    <w:div w:id="1964723186">
      <w:bodyDiv w:val="1"/>
      <w:marLeft w:val="0"/>
      <w:marRight w:val="0"/>
      <w:marTop w:val="0"/>
      <w:marBottom w:val="0"/>
      <w:divBdr>
        <w:top w:val="none" w:sz="0" w:space="0" w:color="auto"/>
        <w:left w:val="none" w:sz="0" w:space="0" w:color="auto"/>
        <w:bottom w:val="none" w:sz="0" w:space="0" w:color="auto"/>
        <w:right w:val="none" w:sz="0" w:space="0" w:color="auto"/>
      </w:divBdr>
      <w:divsChild>
        <w:div w:id="1628048244">
          <w:marLeft w:val="0"/>
          <w:marRight w:val="0"/>
          <w:marTop w:val="0"/>
          <w:marBottom w:val="0"/>
          <w:divBdr>
            <w:top w:val="none" w:sz="0" w:space="0" w:color="auto"/>
            <w:left w:val="none" w:sz="0" w:space="0" w:color="auto"/>
            <w:bottom w:val="none" w:sz="0" w:space="0" w:color="auto"/>
            <w:right w:val="none" w:sz="0" w:space="0" w:color="auto"/>
          </w:divBdr>
        </w:div>
      </w:divsChild>
    </w:div>
    <w:div w:id="1965387949">
      <w:bodyDiv w:val="1"/>
      <w:marLeft w:val="0"/>
      <w:marRight w:val="0"/>
      <w:marTop w:val="0"/>
      <w:marBottom w:val="0"/>
      <w:divBdr>
        <w:top w:val="none" w:sz="0" w:space="0" w:color="auto"/>
        <w:left w:val="none" w:sz="0" w:space="0" w:color="auto"/>
        <w:bottom w:val="none" w:sz="0" w:space="0" w:color="auto"/>
        <w:right w:val="none" w:sz="0" w:space="0" w:color="auto"/>
      </w:divBdr>
      <w:divsChild>
        <w:div w:id="743840209">
          <w:marLeft w:val="0"/>
          <w:marRight w:val="0"/>
          <w:marTop w:val="0"/>
          <w:marBottom w:val="0"/>
          <w:divBdr>
            <w:top w:val="none" w:sz="0" w:space="0" w:color="auto"/>
            <w:left w:val="none" w:sz="0" w:space="0" w:color="auto"/>
            <w:bottom w:val="none" w:sz="0" w:space="0" w:color="auto"/>
            <w:right w:val="none" w:sz="0" w:space="0" w:color="auto"/>
          </w:divBdr>
        </w:div>
      </w:divsChild>
    </w:div>
    <w:div w:id="1988852208">
      <w:bodyDiv w:val="1"/>
      <w:marLeft w:val="0"/>
      <w:marRight w:val="0"/>
      <w:marTop w:val="0"/>
      <w:marBottom w:val="0"/>
      <w:divBdr>
        <w:top w:val="none" w:sz="0" w:space="0" w:color="auto"/>
        <w:left w:val="none" w:sz="0" w:space="0" w:color="auto"/>
        <w:bottom w:val="none" w:sz="0" w:space="0" w:color="auto"/>
        <w:right w:val="none" w:sz="0" w:space="0" w:color="auto"/>
      </w:divBdr>
      <w:divsChild>
        <w:div w:id="860094991">
          <w:marLeft w:val="0"/>
          <w:marRight w:val="0"/>
          <w:marTop w:val="0"/>
          <w:marBottom w:val="0"/>
          <w:divBdr>
            <w:top w:val="none" w:sz="0" w:space="0" w:color="auto"/>
            <w:left w:val="none" w:sz="0" w:space="0" w:color="auto"/>
            <w:bottom w:val="none" w:sz="0" w:space="0" w:color="auto"/>
            <w:right w:val="none" w:sz="0" w:space="0" w:color="auto"/>
          </w:divBdr>
        </w:div>
      </w:divsChild>
    </w:div>
    <w:div w:id="1997224320">
      <w:bodyDiv w:val="1"/>
      <w:marLeft w:val="0"/>
      <w:marRight w:val="0"/>
      <w:marTop w:val="0"/>
      <w:marBottom w:val="0"/>
      <w:divBdr>
        <w:top w:val="none" w:sz="0" w:space="0" w:color="auto"/>
        <w:left w:val="none" w:sz="0" w:space="0" w:color="auto"/>
        <w:bottom w:val="none" w:sz="0" w:space="0" w:color="auto"/>
        <w:right w:val="none" w:sz="0" w:space="0" w:color="auto"/>
      </w:divBdr>
      <w:divsChild>
        <w:div w:id="622542725">
          <w:marLeft w:val="0"/>
          <w:marRight w:val="0"/>
          <w:marTop w:val="0"/>
          <w:marBottom w:val="0"/>
          <w:divBdr>
            <w:top w:val="none" w:sz="0" w:space="0" w:color="auto"/>
            <w:left w:val="none" w:sz="0" w:space="0" w:color="auto"/>
            <w:bottom w:val="none" w:sz="0" w:space="0" w:color="auto"/>
            <w:right w:val="none" w:sz="0" w:space="0" w:color="auto"/>
          </w:divBdr>
        </w:div>
      </w:divsChild>
    </w:div>
    <w:div w:id="1998998931">
      <w:bodyDiv w:val="1"/>
      <w:marLeft w:val="0"/>
      <w:marRight w:val="0"/>
      <w:marTop w:val="0"/>
      <w:marBottom w:val="0"/>
      <w:divBdr>
        <w:top w:val="none" w:sz="0" w:space="0" w:color="auto"/>
        <w:left w:val="none" w:sz="0" w:space="0" w:color="auto"/>
        <w:bottom w:val="none" w:sz="0" w:space="0" w:color="auto"/>
        <w:right w:val="none" w:sz="0" w:space="0" w:color="auto"/>
      </w:divBdr>
      <w:divsChild>
        <w:div w:id="25180714">
          <w:marLeft w:val="0"/>
          <w:marRight w:val="0"/>
          <w:marTop w:val="0"/>
          <w:marBottom w:val="0"/>
          <w:divBdr>
            <w:top w:val="none" w:sz="0" w:space="0" w:color="3D3D3D"/>
            <w:left w:val="none" w:sz="0" w:space="0" w:color="3D3D3D"/>
            <w:bottom w:val="none" w:sz="0" w:space="0" w:color="3D3D3D"/>
            <w:right w:val="none" w:sz="0" w:space="0" w:color="3D3D3D"/>
          </w:divBdr>
          <w:divsChild>
            <w:div w:id="31202894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99264935">
      <w:bodyDiv w:val="1"/>
      <w:marLeft w:val="0"/>
      <w:marRight w:val="0"/>
      <w:marTop w:val="0"/>
      <w:marBottom w:val="0"/>
      <w:divBdr>
        <w:top w:val="none" w:sz="0" w:space="0" w:color="auto"/>
        <w:left w:val="none" w:sz="0" w:space="0" w:color="auto"/>
        <w:bottom w:val="none" w:sz="0" w:space="0" w:color="auto"/>
        <w:right w:val="none" w:sz="0" w:space="0" w:color="auto"/>
      </w:divBdr>
      <w:divsChild>
        <w:div w:id="697510377">
          <w:marLeft w:val="0"/>
          <w:marRight w:val="0"/>
          <w:marTop w:val="0"/>
          <w:marBottom w:val="0"/>
          <w:divBdr>
            <w:top w:val="none" w:sz="0" w:space="0" w:color="3D3D3D"/>
            <w:left w:val="none" w:sz="0" w:space="0" w:color="3D3D3D"/>
            <w:bottom w:val="none" w:sz="0" w:space="0" w:color="3D3D3D"/>
            <w:right w:val="none" w:sz="0" w:space="0" w:color="3D3D3D"/>
          </w:divBdr>
          <w:divsChild>
            <w:div w:id="175488741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07704219">
      <w:bodyDiv w:val="1"/>
      <w:marLeft w:val="0"/>
      <w:marRight w:val="0"/>
      <w:marTop w:val="0"/>
      <w:marBottom w:val="0"/>
      <w:divBdr>
        <w:top w:val="none" w:sz="0" w:space="0" w:color="auto"/>
        <w:left w:val="none" w:sz="0" w:space="0" w:color="auto"/>
        <w:bottom w:val="none" w:sz="0" w:space="0" w:color="auto"/>
        <w:right w:val="none" w:sz="0" w:space="0" w:color="auto"/>
      </w:divBdr>
      <w:divsChild>
        <w:div w:id="1953779584">
          <w:marLeft w:val="0"/>
          <w:marRight w:val="0"/>
          <w:marTop w:val="0"/>
          <w:marBottom w:val="0"/>
          <w:divBdr>
            <w:top w:val="none" w:sz="0" w:space="0" w:color="3D3D3D"/>
            <w:left w:val="none" w:sz="0" w:space="0" w:color="3D3D3D"/>
            <w:bottom w:val="none" w:sz="0" w:space="0" w:color="3D3D3D"/>
            <w:right w:val="none" w:sz="0" w:space="0" w:color="3D3D3D"/>
          </w:divBdr>
          <w:divsChild>
            <w:div w:id="122247381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19119161">
      <w:bodyDiv w:val="1"/>
      <w:marLeft w:val="0"/>
      <w:marRight w:val="0"/>
      <w:marTop w:val="0"/>
      <w:marBottom w:val="0"/>
      <w:divBdr>
        <w:top w:val="none" w:sz="0" w:space="0" w:color="auto"/>
        <w:left w:val="none" w:sz="0" w:space="0" w:color="auto"/>
        <w:bottom w:val="none" w:sz="0" w:space="0" w:color="auto"/>
        <w:right w:val="none" w:sz="0" w:space="0" w:color="auto"/>
      </w:divBdr>
      <w:divsChild>
        <w:div w:id="1485508565">
          <w:marLeft w:val="0"/>
          <w:marRight w:val="0"/>
          <w:marTop w:val="0"/>
          <w:marBottom w:val="0"/>
          <w:divBdr>
            <w:top w:val="none" w:sz="0" w:space="0" w:color="3D3D3D"/>
            <w:left w:val="none" w:sz="0" w:space="0" w:color="3D3D3D"/>
            <w:bottom w:val="none" w:sz="0" w:space="0" w:color="3D3D3D"/>
            <w:right w:val="none" w:sz="0" w:space="0" w:color="3D3D3D"/>
          </w:divBdr>
          <w:divsChild>
            <w:div w:id="132948084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59085231">
      <w:bodyDiv w:val="1"/>
      <w:marLeft w:val="0"/>
      <w:marRight w:val="0"/>
      <w:marTop w:val="0"/>
      <w:marBottom w:val="0"/>
      <w:divBdr>
        <w:top w:val="none" w:sz="0" w:space="0" w:color="auto"/>
        <w:left w:val="none" w:sz="0" w:space="0" w:color="auto"/>
        <w:bottom w:val="none" w:sz="0" w:space="0" w:color="auto"/>
        <w:right w:val="none" w:sz="0" w:space="0" w:color="auto"/>
      </w:divBdr>
      <w:divsChild>
        <w:div w:id="1384521673">
          <w:marLeft w:val="0"/>
          <w:marRight w:val="0"/>
          <w:marTop w:val="0"/>
          <w:marBottom w:val="0"/>
          <w:divBdr>
            <w:top w:val="none" w:sz="0" w:space="0" w:color="3D3D3D"/>
            <w:left w:val="none" w:sz="0" w:space="0" w:color="3D3D3D"/>
            <w:bottom w:val="none" w:sz="0" w:space="0" w:color="3D3D3D"/>
            <w:right w:val="none" w:sz="0" w:space="0" w:color="3D3D3D"/>
          </w:divBdr>
          <w:divsChild>
            <w:div w:id="84570436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59477660">
      <w:bodyDiv w:val="1"/>
      <w:marLeft w:val="0"/>
      <w:marRight w:val="0"/>
      <w:marTop w:val="0"/>
      <w:marBottom w:val="0"/>
      <w:divBdr>
        <w:top w:val="none" w:sz="0" w:space="0" w:color="auto"/>
        <w:left w:val="none" w:sz="0" w:space="0" w:color="auto"/>
        <w:bottom w:val="none" w:sz="0" w:space="0" w:color="auto"/>
        <w:right w:val="none" w:sz="0" w:space="0" w:color="auto"/>
      </w:divBdr>
      <w:divsChild>
        <w:div w:id="1655331069">
          <w:marLeft w:val="0"/>
          <w:marRight w:val="0"/>
          <w:marTop w:val="0"/>
          <w:marBottom w:val="0"/>
          <w:divBdr>
            <w:top w:val="none" w:sz="0" w:space="0" w:color="3D3D3D"/>
            <w:left w:val="none" w:sz="0" w:space="0" w:color="3D3D3D"/>
            <w:bottom w:val="none" w:sz="0" w:space="0" w:color="3D3D3D"/>
            <w:right w:val="none" w:sz="0" w:space="0" w:color="3D3D3D"/>
          </w:divBdr>
        </w:div>
      </w:divsChild>
    </w:div>
    <w:div w:id="2059695780">
      <w:bodyDiv w:val="1"/>
      <w:marLeft w:val="0"/>
      <w:marRight w:val="0"/>
      <w:marTop w:val="0"/>
      <w:marBottom w:val="0"/>
      <w:divBdr>
        <w:top w:val="none" w:sz="0" w:space="0" w:color="auto"/>
        <w:left w:val="none" w:sz="0" w:space="0" w:color="auto"/>
        <w:bottom w:val="none" w:sz="0" w:space="0" w:color="auto"/>
        <w:right w:val="none" w:sz="0" w:space="0" w:color="auto"/>
      </w:divBdr>
      <w:divsChild>
        <w:div w:id="1372727452">
          <w:marLeft w:val="0"/>
          <w:marRight w:val="0"/>
          <w:marTop w:val="0"/>
          <w:marBottom w:val="0"/>
          <w:divBdr>
            <w:top w:val="none" w:sz="0" w:space="0" w:color="3D3D3D"/>
            <w:left w:val="none" w:sz="0" w:space="0" w:color="3D3D3D"/>
            <w:bottom w:val="none" w:sz="0" w:space="0" w:color="3D3D3D"/>
            <w:right w:val="none" w:sz="0" w:space="0" w:color="3D3D3D"/>
          </w:divBdr>
        </w:div>
      </w:divsChild>
    </w:div>
    <w:div w:id="2084832631">
      <w:bodyDiv w:val="1"/>
      <w:marLeft w:val="0"/>
      <w:marRight w:val="0"/>
      <w:marTop w:val="0"/>
      <w:marBottom w:val="0"/>
      <w:divBdr>
        <w:top w:val="none" w:sz="0" w:space="0" w:color="auto"/>
        <w:left w:val="none" w:sz="0" w:space="0" w:color="auto"/>
        <w:bottom w:val="none" w:sz="0" w:space="0" w:color="auto"/>
        <w:right w:val="none" w:sz="0" w:space="0" w:color="auto"/>
      </w:divBdr>
      <w:divsChild>
        <w:div w:id="1063218857">
          <w:marLeft w:val="0"/>
          <w:marRight w:val="0"/>
          <w:marTop w:val="0"/>
          <w:marBottom w:val="0"/>
          <w:divBdr>
            <w:top w:val="none" w:sz="0" w:space="0" w:color="auto"/>
            <w:left w:val="none" w:sz="0" w:space="0" w:color="auto"/>
            <w:bottom w:val="none" w:sz="0" w:space="0" w:color="auto"/>
            <w:right w:val="none" w:sz="0" w:space="0" w:color="auto"/>
          </w:divBdr>
        </w:div>
      </w:divsChild>
    </w:div>
    <w:div w:id="2096516582">
      <w:bodyDiv w:val="1"/>
      <w:marLeft w:val="0"/>
      <w:marRight w:val="0"/>
      <w:marTop w:val="0"/>
      <w:marBottom w:val="0"/>
      <w:divBdr>
        <w:top w:val="none" w:sz="0" w:space="0" w:color="auto"/>
        <w:left w:val="none" w:sz="0" w:space="0" w:color="auto"/>
        <w:bottom w:val="none" w:sz="0" w:space="0" w:color="auto"/>
        <w:right w:val="none" w:sz="0" w:space="0" w:color="auto"/>
      </w:divBdr>
      <w:divsChild>
        <w:div w:id="779449222">
          <w:marLeft w:val="0"/>
          <w:marRight w:val="0"/>
          <w:marTop w:val="0"/>
          <w:marBottom w:val="0"/>
          <w:divBdr>
            <w:top w:val="none" w:sz="0" w:space="0" w:color="3D3D3D"/>
            <w:left w:val="none" w:sz="0" w:space="0" w:color="3D3D3D"/>
            <w:bottom w:val="none" w:sz="0" w:space="0" w:color="3D3D3D"/>
            <w:right w:val="none" w:sz="0" w:space="0" w:color="3D3D3D"/>
          </w:divBdr>
        </w:div>
      </w:divsChild>
    </w:div>
    <w:div w:id="2099985951">
      <w:bodyDiv w:val="1"/>
      <w:marLeft w:val="0"/>
      <w:marRight w:val="0"/>
      <w:marTop w:val="0"/>
      <w:marBottom w:val="0"/>
      <w:divBdr>
        <w:top w:val="none" w:sz="0" w:space="0" w:color="auto"/>
        <w:left w:val="none" w:sz="0" w:space="0" w:color="auto"/>
        <w:bottom w:val="none" w:sz="0" w:space="0" w:color="auto"/>
        <w:right w:val="none" w:sz="0" w:space="0" w:color="auto"/>
      </w:divBdr>
      <w:divsChild>
        <w:div w:id="1127167270">
          <w:marLeft w:val="0"/>
          <w:marRight w:val="0"/>
          <w:marTop w:val="0"/>
          <w:marBottom w:val="0"/>
          <w:divBdr>
            <w:top w:val="none" w:sz="0" w:space="0" w:color="3D3D3D"/>
            <w:left w:val="none" w:sz="0" w:space="0" w:color="3D3D3D"/>
            <w:bottom w:val="none" w:sz="0" w:space="0" w:color="3D3D3D"/>
            <w:right w:val="none" w:sz="0" w:space="0" w:color="3D3D3D"/>
          </w:divBdr>
          <w:divsChild>
            <w:div w:id="170304986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101096794">
      <w:bodyDiv w:val="1"/>
      <w:marLeft w:val="0"/>
      <w:marRight w:val="0"/>
      <w:marTop w:val="0"/>
      <w:marBottom w:val="0"/>
      <w:divBdr>
        <w:top w:val="none" w:sz="0" w:space="0" w:color="auto"/>
        <w:left w:val="none" w:sz="0" w:space="0" w:color="auto"/>
        <w:bottom w:val="none" w:sz="0" w:space="0" w:color="auto"/>
        <w:right w:val="none" w:sz="0" w:space="0" w:color="auto"/>
      </w:divBdr>
      <w:divsChild>
        <w:div w:id="1913277525">
          <w:marLeft w:val="0"/>
          <w:marRight w:val="0"/>
          <w:marTop w:val="0"/>
          <w:marBottom w:val="0"/>
          <w:divBdr>
            <w:top w:val="none" w:sz="0" w:space="0" w:color="auto"/>
            <w:left w:val="none" w:sz="0" w:space="0" w:color="auto"/>
            <w:bottom w:val="none" w:sz="0" w:space="0" w:color="auto"/>
            <w:right w:val="none" w:sz="0" w:space="0" w:color="auto"/>
          </w:divBdr>
        </w:div>
      </w:divsChild>
    </w:div>
    <w:div w:id="2101682176">
      <w:bodyDiv w:val="1"/>
      <w:marLeft w:val="0"/>
      <w:marRight w:val="0"/>
      <w:marTop w:val="0"/>
      <w:marBottom w:val="0"/>
      <w:divBdr>
        <w:top w:val="none" w:sz="0" w:space="0" w:color="auto"/>
        <w:left w:val="none" w:sz="0" w:space="0" w:color="auto"/>
        <w:bottom w:val="none" w:sz="0" w:space="0" w:color="auto"/>
        <w:right w:val="none" w:sz="0" w:space="0" w:color="auto"/>
      </w:divBdr>
      <w:divsChild>
        <w:div w:id="1271552059">
          <w:marLeft w:val="0"/>
          <w:marRight w:val="0"/>
          <w:marTop w:val="0"/>
          <w:marBottom w:val="0"/>
          <w:divBdr>
            <w:top w:val="none" w:sz="0" w:space="0" w:color="3D3D3D"/>
            <w:left w:val="none" w:sz="0" w:space="0" w:color="3D3D3D"/>
            <w:bottom w:val="none" w:sz="0" w:space="0" w:color="3D3D3D"/>
            <w:right w:val="none" w:sz="0" w:space="0" w:color="3D3D3D"/>
          </w:divBdr>
        </w:div>
      </w:divsChild>
    </w:div>
    <w:div w:id="2110394889">
      <w:bodyDiv w:val="1"/>
      <w:marLeft w:val="0"/>
      <w:marRight w:val="0"/>
      <w:marTop w:val="0"/>
      <w:marBottom w:val="0"/>
      <w:divBdr>
        <w:top w:val="none" w:sz="0" w:space="0" w:color="auto"/>
        <w:left w:val="none" w:sz="0" w:space="0" w:color="auto"/>
        <w:bottom w:val="none" w:sz="0" w:space="0" w:color="auto"/>
        <w:right w:val="none" w:sz="0" w:space="0" w:color="auto"/>
      </w:divBdr>
      <w:divsChild>
        <w:div w:id="1138449274">
          <w:marLeft w:val="0"/>
          <w:marRight w:val="0"/>
          <w:marTop w:val="0"/>
          <w:marBottom w:val="0"/>
          <w:divBdr>
            <w:top w:val="none" w:sz="0" w:space="0" w:color="3D3D3D"/>
            <w:left w:val="none" w:sz="0" w:space="0" w:color="3D3D3D"/>
            <w:bottom w:val="none" w:sz="0" w:space="0" w:color="3D3D3D"/>
            <w:right w:val="none" w:sz="0" w:space="0" w:color="3D3D3D"/>
          </w:divBdr>
        </w:div>
      </w:divsChild>
    </w:div>
    <w:div w:id="2118022405">
      <w:bodyDiv w:val="1"/>
      <w:marLeft w:val="0"/>
      <w:marRight w:val="0"/>
      <w:marTop w:val="0"/>
      <w:marBottom w:val="0"/>
      <w:divBdr>
        <w:top w:val="none" w:sz="0" w:space="0" w:color="auto"/>
        <w:left w:val="none" w:sz="0" w:space="0" w:color="auto"/>
        <w:bottom w:val="none" w:sz="0" w:space="0" w:color="auto"/>
        <w:right w:val="none" w:sz="0" w:space="0" w:color="auto"/>
      </w:divBdr>
      <w:divsChild>
        <w:div w:id="1797064904">
          <w:marLeft w:val="0"/>
          <w:marRight w:val="0"/>
          <w:marTop w:val="0"/>
          <w:marBottom w:val="0"/>
          <w:divBdr>
            <w:top w:val="none" w:sz="0" w:space="0" w:color="3D3D3D"/>
            <w:left w:val="none" w:sz="0" w:space="0" w:color="3D3D3D"/>
            <w:bottom w:val="none" w:sz="0" w:space="0" w:color="3D3D3D"/>
            <w:right w:val="none" w:sz="0" w:space="0" w:color="3D3D3D"/>
          </w:divBdr>
        </w:div>
      </w:divsChild>
    </w:div>
    <w:div w:id="2122992425">
      <w:bodyDiv w:val="1"/>
      <w:marLeft w:val="0"/>
      <w:marRight w:val="0"/>
      <w:marTop w:val="0"/>
      <w:marBottom w:val="0"/>
      <w:divBdr>
        <w:top w:val="none" w:sz="0" w:space="0" w:color="auto"/>
        <w:left w:val="none" w:sz="0" w:space="0" w:color="auto"/>
        <w:bottom w:val="none" w:sz="0" w:space="0" w:color="auto"/>
        <w:right w:val="none" w:sz="0" w:space="0" w:color="auto"/>
      </w:divBdr>
      <w:divsChild>
        <w:div w:id="163908545">
          <w:marLeft w:val="0"/>
          <w:marRight w:val="0"/>
          <w:marTop w:val="0"/>
          <w:marBottom w:val="0"/>
          <w:divBdr>
            <w:top w:val="none" w:sz="0" w:space="0" w:color="3D3D3D"/>
            <w:left w:val="none" w:sz="0" w:space="0" w:color="3D3D3D"/>
            <w:bottom w:val="none" w:sz="0" w:space="0" w:color="3D3D3D"/>
            <w:right w:val="none" w:sz="0" w:space="0" w:color="3D3D3D"/>
          </w:divBdr>
        </w:div>
      </w:divsChild>
    </w:div>
    <w:div w:id="214272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976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CF2F61BF469D469FF2FD025774762D" ma:contentTypeVersion="13" ma:contentTypeDescription="Create a new document." ma:contentTypeScope="" ma:versionID="fc4bac68758b8b747f417e8ee57e88ce">
  <xsd:schema xmlns:xsd="http://www.w3.org/2001/XMLSchema" xmlns:xs="http://www.w3.org/2001/XMLSchema" xmlns:p="http://schemas.microsoft.com/office/2006/metadata/properties" xmlns:ns3="8693170a-4185-4dbf-bf70-1af41985bbe2" xmlns:ns4="c62d0687-fe60-43da-9675-62ac0dc10787" targetNamespace="http://schemas.microsoft.com/office/2006/metadata/properties" ma:root="true" ma:fieldsID="cf1a698b89a421234dd1509f02d49b49" ns3:_="" ns4:_="">
    <xsd:import namespace="8693170a-4185-4dbf-bf70-1af41985bbe2"/>
    <xsd:import namespace="c62d0687-fe60-43da-9675-62ac0dc1078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DateTaken" minOccurs="0"/>
                <xsd:element ref="ns3:MediaServiceAutoTags"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3170a-4185-4dbf-bf70-1af41985bb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2d0687-fe60-43da-9675-62ac0dc107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8693170a-4185-4dbf-bf70-1af41985bbe2" xsi:nil="true"/>
  </documentManagement>
</p:properties>
</file>

<file path=customXml/itemProps1.xml><?xml version="1.0" encoding="utf-8"?>
<ds:datastoreItem xmlns:ds="http://schemas.openxmlformats.org/officeDocument/2006/customXml" ds:itemID="{D2373ADE-29CC-466A-9A63-E67015E14A69}">
  <ds:schemaRefs>
    <ds:schemaRef ds:uri="http://schemas.microsoft.com/sharepoint/v3/contenttype/forms"/>
  </ds:schemaRefs>
</ds:datastoreItem>
</file>

<file path=customXml/itemProps2.xml><?xml version="1.0" encoding="utf-8"?>
<ds:datastoreItem xmlns:ds="http://schemas.openxmlformats.org/officeDocument/2006/customXml" ds:itemID="{92B840EE-F8C6-4E69-B2C1-E5E9BBEF2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3170a-4185-4dbf-bf70-1af41985bbe2"/>
    <ds:schemaRef ds:uri="c62d0687-fe60-43da-9675-62ac0dc10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95F459-1143-4950-8D65-C11FB48169BA}">
  <ds:schemaRefs>
    <ds:schemaRef ds:uri="http://schemas.openxmlformats.org/officeDocument/2006/bibliography"/>
  </ds:schemaRefs>
</ds:datastoreItem>
</file>

<file path=customXml/itemProps4.xml><?xml version="1.0" encoding="utf-8"?>
<ds:datastoreItem xmlns:ds="http://schemas.openxmlformats.org/officeDocument/2006/customXml" ds:itemID="{3816C39A-94F1-49BC-846B-7BDFDF9FFC9E}">
  <ds:schemaRefs>
    <ds:schemaRef ds:uri="http://schemas.microsoft.com/office/2006/metadata/properties"/>
    <ds:schemaRef ds:uri="http://schemas.microsoft.com/office/infopath/2007/PartnerControls"/>
    <ds:schemaRef ds:uri="8693170a-4185-4dbf-bf70-1af41985bbe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9452</Words>
  <Characters>50906</Characters>
  <Application>Microsoft Office Word</Application>
  <DocSecurity>0</DocSecurity>
  <Lines>1091</Lines>
  <Paragraphs>132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60655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Crisp, Robia</cp:lastModifiedBy>
  <cp:revision>2</cp:revision>
  <cp:lastPrinted>2024-05-22T22:03:00Z</cp:lastPrinted>
  <dcterms:created xsi:type="dcterms:W3CDTF">2024-05-23T19:43:00Z</dcterms:created>
  <dcterms:modified xsi:type="dcterms:W3CDTF">2024-05-23T19:43:00Z</dcterms:modified>
  <cp:category/>
</cp:coreProperties>
</file>