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F243C" w14:textId="3749867E" w:rsidR="006B75EB" w:rsidRPr="006B75EB" w:rsidRDefault="00656D9B" w:rsidP="006B75EB">
      <w:pPr>
        <w:tabs>
          <w:tab w:val="left" w:pos="6030"/>
        </w:tabs>
        <w:spacing w:line="240" w:lineRule="exact"/>
        <w:ind w:right="-446"/>
        <w:rPr>
          <w:rFonts w:eastAsia="Century Schoolbook" w:cs="Century Schoolbook"/>
          <w:bCs/>
          <w:sz w:val="20"/>
          <w:szCs w:val="20"/>
        </w:rPr>
      </w:pPr>
      <w:r>
        <w:rPr>
          <w:rFonts w:eastAsia="Century Schoolbook" w:cs="Century Schoolbook"/>
          <w:bCs/>
          <w:sz w:val="20"/>
          <w:szCs w:val="20"/>
        </w:rPr>
        <w:t>Filed 3/13/24</w:t>
      </w:r>
      <w:r w:rsidR="00630941">
        <w:rPr>
          <w:rFonts w:eastAsia="Century Schoolbook" w:cs="Century Schoolbook"/>
          <w:bCs/>
          <w:sz w:val="20"/>
          <w:szCs w:val="20"/>
        </w:rPr>
        <w:t>; Certified for Publication 4/3/24 (order attached)</w:t>
      </w:r>
    </w:p>
    <w:p w14:paraId="3608DEB8" w14:textId="77777777" w:rsidR="00682E92" w:rsidRDefault="00682E92">
      <w:pPr>
        <w:jc w:val="center"/>
        <w:rPr>
          <w:rFonts w:eastAsia="Century Schoolbook" w:cs="Century Schoolbook"/>
          <w:b/>
          <w:szCs w:val="26"/>
        </w:rPr>
      </w:pPr>
    </w:p>
    <w:p w14:paraId="5599E344" w14:textId="77777777" w:rsidR="00630941" w:rsidRDefault="00630941">
      <w:pPr>
        <w:jc w:val="center"/>
        <w:rPr>
          <w:rFonts w:eastAsia="Century Schoolbook" w:cs="Century Schoolbook"/>
          <w:b/>
          <w:szCs w:val="26"/>
        </w:rPr>
      </w:pPr>
    </w:p>
    <w:p w14:paraId="10E47AF3" w14:textId="77777777" w:rsidR="00630941" w:rsidRDefault="00630941">
      <w:pPr>
        <w:jc w:val="center"/>
        <w:rPr>
          <w:rFonts w:eastAsia="Century Schoolbook" w:cs="Century Schoolbook"/>
          <w:b/>
          <w:szCs w:val="26"/>
        </w:rPr>
      </w:pPr>
    </w:p>
    <w:p w14:paraId="411ACA60" w14:textId="77777777" w:rsidR="00630941" w:rsidRDefault="00630941">
      <w:pPr>
        <w:jc w:val="center"/>
        <w:rPr>
          <w:rFonts w:eastAsia="Century Schoolbook" w:cs="Century Schoolbook"/>
          <w:b/>
          <w:szCs w:val="26"/>
        </w:rPr>
      </w:pPr>
    </w:p>
    <w:p w14:paraId="1A9B3E98" w14:textId="77777777" w:rsidR="00630941" w:rsidRDefault="00630941">
      <w:pPr>
        <w:jc w:val="center"/>
        <w:rPr>
          <w:rFonts w:ascii="Calibri" w:hAnsi="Calibri" w:cs="Calibri"/>
        </w:rPr>
      </w:pPr>
    </w:p>
    <w:p w14:paraId="0D55105D" w14:textId="77777777" w:rsidR="00682E92" w:rsidRDefault="00656D9B" w:rsidP="00682E92">
      <w:pPr>
        <w:spacing w:line="240" w:lineRule="auto"/>
        <w:jc w:val="center"/>
        <w:rPr>
          <w:rFonts w:eastAsia="Century Schoolbook" w:cs="Century Schoolbook"/>
          <w:szCs w:val="26"/>
        </w:rPr>
      </w:pPr>
      <w:r>
        <w:rPr>
          <w:rFonts w:eastAsia="Century Schoolbook" w:cs="Century Schoolbook"/>
          <w:szCs w:val="26"/>
        </w:rPr>
        <w:t>IN THE COURT OF APPEAL OF THE STATE OF CALIFORNIA</w:t>
      </w:r>
    </w:p>
    <w:p w14:paraId="13617942" w14:textId="77777777" w:rsidR="00682E92" w:rsidRDefault="00682E92" w:rsidP="00682E92">
      <w:pPr>
        <w:spacing w:line="240" w:lineRule="auto"/>
        <w:jc w:val="center"/>
        <w:rPr>
          <w:rFonts w:eastAsia="Century Schoolbook" w:cs="Century Schoolbook"/>
          <w:szCs w:val="26"/>
        </w:rPr>
      </w:pPr>
    </w:p>
    <w:p w14:paraId="1D7598AB" w14:textId="77777777" w:rsidR="00682E92" w:rsidRDefault="00656D9B" w:rsidP="00682E92">
      <w:pPr>
        <w:spacing w:line="240" w:lineRule="auto"/>
        <w:jc w:val="center"/>
        <w:rPr>
          <w:rFonts w:eastAsia="Century Schoolbook" w:cs="Century Schoolbook"/>
          <w:szCs w:val="26"/>
        </w:rPr>
      </w:pPr>
      <w:r>
        <w:rPr>
          <w:rFonts w:eastAsia="Century Schoolbook" w:cs="Century Schoolbook"/>
          <w:szCs w:val="26"/>
        </w:rPr>
        <w:t>SECOND APPELLATE DISTRICT</w:t>
      </w:r>
    </w:p>
    <w:p w14:paraId="436E9ABC" w14:textId="77777777" w:rsidR="00682E92" w:rsidRDefault="00682E92" w:rsidP="00682E92">
      <w:pPr>
        <w:spacing w:line="240" w:lineRule="auto"/>
        <w:jc w:val="center"/>
        <w:rPr>
          <w:rFonts w:eastAsia="Century Schoolbook" w:cs="Century Schoolbook"/>
          <w:szCs w:val="26"/>
        </w:rPr>
      </w:pPr>
    </w:p>
    <w:p w14:paraId="0532E422" w14:textId="77777777" w:rsidR="00682E92" w:rsidRDefault="00656D9B" w:rsidP="00682E92">
      <w:pPr>
        <w:spacing w:line="240" w:lineRule="auto"/>
        <w:jc w:val="center"/>
        <w:rPr>
          <w:rFonts w:eastAsia="Century Schoolbook" w:cs="Century Schoolbook"/>
          <w:szCs w:val="26"/>
        </w:rPr>
      </w:pPr>
      <w:r>
        <w:rPr>
          <w:rFonts w:eastAsia="Century Schoolbook" w:cs="Century Schoolbook"/>
          <w:szCs w:val="26"/>
        </w:rPr>
        <w:t>DIVISION EIGHT</w:t>
      </w:r>
    </w:p>
    <w:p w14:paraId="0C66AAEC" w14:textId="77777777" w:rsidR="00682E92" w:rsidRDefault="00682E92" w:rsidP="00682E92">
      <w:pPr>
        <w:spacing w:line="240" w:lineRule="auto"/>
        <w:jc w:val="center"/>
        <w:rPr>
          <w:rFonts w:eastAsia="Century Schoolbook" w:cs="Century Schoolbook"/>
          <w:szCs w:val="26"/>
        </w:rPr>
      </w:pPr>
    </w:p>
    <w:tbl>
      <w:tblPr>
        <w:tblW w:w="8655" w:type="dxa"/>
        <w:tblInd w:w="-115" w:type="dxa"/>
        <w:tblLayout w:type="fixed"/>
        <w:tblLook w:val="0000" w:firstRow="0" w:lastRow="0" w:firstColumn="0" w:lastColumn="0" w:noHBand="0" w:noVBand="0"/>
      </w:tblPr>
      <w:tblGrid>
        <w:gridCol w:w="4455"/>
        <w:gridCol w:w="4200"/>
      </w:tblGrid>
      <w:tr w:rsidR="00975A16" w14:paraId="7DBCC1EA" w14:textId="77777777">
        <w:tc>
          <w:tcPr>
            <w:tcW w:w="4455" w:type="dxa"/>
            <w:tcBorders>
              <w:bottom w:val="single" w:sz="4" w:space="0" w:color="000000"/>
              <w:right w:val="single" w:sz="4" w:space="0" w:color="000000"/>
            </w:tcBorders>
            <w:shd w:val="clear" w:color="auto" w:fill="auto"/>
          </w:tcPr>
          <w:p w14:paraId="59B7C68C"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MONIQUE HOWARD,</w:t>
            </w:r>
          </w:p>
          <w:p w14:paraId="7A48C624" w14:textId="77777777" w:rsidR="00682E92" w:rsidRDefault="00682E92" w:rsidP="00682E92">
            <w:pPr>
              <w:spacing w:line="240" w:lineRule="auto"/>
              <w:rPr>
                <w:rFonts w:eastAsia="Century Schoolbook" w:cs="Century Schoolbook"/>
                <w:szCs w:val="26"/>
              </w:rPr>
            </w:pPr>
          </w:p>
          <w:p w14:paraId="54E658C0"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ab/>
              <w:t>Plaintiff and Appellant,</w:t>
            </w:r>
          </w:p>
          <w:p w14:paraId="23E79964" w14:textId="77777777" w:rsidR="00682E92" w:rsidRDefault="00682E92" w:rsidP="00682E92">
            <w:pPr>
              <w:spacing w:line="240" w:lineRule="auto"/>
              <w:rPr>
                <w:rFonts w:eastAsia="Century Schoolbook" w:cs="Century Schoolbook"/>
                <w:szCs w:val="26"/>
              </w:rPr>
            </w:pPr>
          </w:p>
          <w:p w14:paraId="06F44A6D"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ab/>
              <w:t>v.</w:t>
            </w:r>
          </w:p>
          <w:p w14:paraId="64D7FACE" w14:textId="77777777" w:rsidR="00682E92" w:rsidRDefault="00682E92" w:rsidP="00682E92">
            <w:pPr>
              <w:spacing w:line="240" w:lineRule="auto"/>
              <w:rPr>
                <w:rFonts w:eastAsia="Century Schoolbook" w:cs="Century Schoolbook"/>
                <w:szCs w:val="26"/>
              </w:rPr>
            </w:pPr>
          </w:p>
          <w:p w14:paraId="4CBDAE6A" w14:textId="4562A9A6" w:rsidR="00682E92" w:rsidRDefault="00656D9B" w:rsidP="00682E92">
            <w:pPr>
              <w:spacing w:line="240" w:lineRule="auto"/>
              <w:rPr>
                <w:rFonts w:eastAsia="Century Schoolbook" w:cs="Century Schoolbook"/>
                <w:szCs w:val="26"/>
              </w:rPr>
            </w:pPr>
            <w:r>
              <w:rPr>
                <w:rFonts w:eastAsia="Century Schoolbook" w:cs="Century Schoolbook"/>
                <w:szCs w:val="26"/>
              </w:rPr>
              <w:t>ACCOR MANAGEMENT US</w:t>
            </w:r>
            <w:r w:rsidR="00144535">
              <w:rPr>
                <w:rFonts w:eastAsia="Century Schoolbook" w:cs="Century Schoolbook"/>
                <w:szCs w:val="26"/>
              </w:rPr>
              <w:t>,</w:t>
            </w:r>
            <w:r>
              <w:rPr>
                <w:rFonts w:eastAsia="Century Schoolbook" w:cs="Century Schoolbook"/>
                <w:szCs w:val="26"/>
              </w:rPr>
              <w:t xml:space="preserve"> INC.,</w:t>
            </w:r>
          </w:p>
          <w:p w14:paraId="23D902D5" w14:textId="77777777" w:rsidR="00682E92" w:rsidRDefault="00682E92" w:rsidP="00682E92">
            <w:pPr>
              <w:spacing w:line="240" w:lineRule="auto"/>
              <w:rPr>
                <w:rFonts w:eastAsia="Century Schoolbook" w:cs="Century Schoolbook"/>
                <w:szCs w:val="26"/>
              </w:rPr>
            </w:pPr>
          </w:p>
          <w:p w14:paraId="574E758D"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ab/>
              <w:t>Defendant and Respondent.</w:t>
            </w:r>
          </w:p>
          <w:p w14:paraId="780089B2" w14:textId="77777777" w:rsidR="00682E92" w:rsidRDefault="00682E92" w:rsidP="00682E92">
            <w:pPr>
              <w:spacing w:line="240" w:lineRule="auto"/>
              <w:rPr>
                <w:rFonts w:eastAsia="Century Schoolbook" w:cs="Century Schoolbook"/>
                <w:szCs w:val="26"/>
              </w:rPr>
            </w:pPr>
          </w:p>
        </w:tc>
        <w:tc>
          <w:tcPr>
            <w:tcW w:w="4200" w:type="dxa"/>
            <w:tcBorders>
              <w:left w:val="single" w:sz="4" w:space="0" w:color="000000"/>
            </w:tcBorders>
            <w:shd w:val="clear" w:color="auto" w:fill="auto"/>
          </w:tcPr>
          <w:p w14:paraId="47AF6BF2"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 xml:space="preserve">      B320603</w:t>
            </w:r>
          </w:p>
          <w:p w14:paraId="2FCD0D8A" w14:textId="77777777" w:rsidR="00682E92" w:rsidRDefault="00682E92" w:rsidP="00682E92">
            <w:pPr>
              <w:spacing w:line="240" w:lineRule="auto"/>
              <w:rPr>
                <w:rFonts w:eastAsia="Century Schoolbook" w:cs="Century Schoolbook"/>
                <w:szCs w:val="26"/>
              </w:rPr>
            </w:pPr>
          </w:p>
          <w:p w14:paraId="688D2CD0" w14:textId="77777777" w:rsidR="00682E92" w:rsidRDefault="00656D9B" w:rsidP="00682E92">
            <w:pPr>
              <w:spacing w:line="240" w:lineRule="auto"/>
              <w:rPr>
                <w:rFonts w:eastAsia="Century Schoolbook" w:cs="Century Schoolbook"/>
                <w:szCs w:val="26"/>
              </w:rPr>
            </w:pPr>
            <w:r>
              <w:rPr>
                <w:rFonts w:eastAsia="Century Schoolbook" w:cs="Century Schoolbook"/>
                <w:szCs w:val="26"/>
              </w:rPr>
              <w:t xml:space="preserve">      Los Angeles County</w:t>
            </w:r>
          </w:p>
          <w:p w14:paraId="0AFD24EC" w14:textId="77777777" w:rsidR="00682E92" w:rsidRDefault="00656D9B" w:rsidP="00682E92">
            <w:pPr>
              <w:spacing w:line="240" w:lineRule="auto"/>
              <w:ind w:left="450"/>
              <w:rPr>
                <w:rFonts w:eastAsia="Century Schoolbook" w:cs="Century Schoolbook"/>
                <w:szCs w:val="26"/>
              </w:rPr>
            </w:pPr>
            <w:r>
              <w:rPr>
                <w:rFonts w:eastAsia="Century Schoolbook" w:cs="Century Schoolbook"/>
                <w:szCs w:val="26"/>
              </w:rPr>
              <w:t>Super. Ct. No. 19STCV08792</w:t>
            </w:r>
          </w:p>
          <w:p w14:paraId="2C7E20CA" w14:textId="77777777" w:rsidR="00682E92" w:rsidRDefault="00682E92" w:rsidP="00682E92">
            <w:pPr>
              <w:spacing w:line="240" w:lineRule="auto"/>
              <w:rPr>
                <w:rFonts w:eastAsia="Century Schoolbook" w:cs="Century Schoolbook"/>
                <w:szCs w:val="26"/>
              </w:rPr>
            </w:pPr>
          </w:p>
        </w:tc>
      </w:tr>
    </w:tbl>
    <w:p w14:paraId="4D683AB9" w14:textId="77777777" w:rsidR="00682E92" w:rsidRDefault="00682E92">
      <w:pPr>
        <w:rPr>
          <w:rFonts w:eastAsia="Century Schoolbook" w:cs="Century Schoolbook"/>
          <w:szCs w:val="26"/>
        </w:rPr>
      </w:pPr>
    </w:p>
    <w:p w14:paraId="32A1A9D8" w14:textId="3097EE31" w:rsidR="00682E92" w:rsidRDefault="00656D9B">
      <w:pPr>
        <w:ind w:firstLine="720"/>
        <w:rPr>
          <w:rFonts w:eastAsia="Century Schoolbook" w:cs="Century Schoolbook"/>
          <w:szCs w:val="26"/>
        </w:rPr>
      </w:pPr>
      <w:r>
        <w:rPr>
          <w:rFonts w:eastAsia="Century Schoolbook" w:cs="Century Schoolbook"/>
          <w:szCs w:val="26"/>
        </w:rPr>
        <w:t>APPEAL from a judgment of the Superior Court of Los Angeles County, Jill Feeney, Judge.  Affirmed.</w:t>
      </w:r>
    </w:p>
    <w:p w14:paraId="7EFD86C0" w14:textId="541A43CD" w:rsidR="00682E92" w:rsidRDefault="00656D9B">
      <w:pPr>
        <w:rPr>
          <w:rFonts w:eastAsia="Century Schoolbook" w:cs="Century Schoolbook"/>
          <w:szCs w:val="26"/>
        </w:rPr>
      </w:pPr>
      <w:r>
        <w:rPr>
          <w:rFonts w:eastAsia="Century Schoolbook" w:cs="Century Schoolbook"/>
          <w:szCs w:val="26"/>
        </w:rPr>
        <w:t xml:space="preserve">     </w:t>
      </w:r>
      <w:r>
        <w:rPr>
          <w:rFonts w:eastAsia="Century Schoolbook" w:cs="Century Schoolbook"/>
          <w:szCs w:val="26"/>
        </w:rPr>
        <w:tab/>
        <w:t>Nguyen Theam Lawyers, Minh T. Nguyen; Guenard &amp; Bozarth, Glenn Guenard, Anthony Wallen; Gusdorff Law and Janet Gusdorff for Plaintiff and Appellant.</w:t>
      </w:r>
    </w:p>
    <w:p w14:paraId="5F27784C" w14:textId="77777777" w:rsidR="00682E92" w:rsidRDefault="00656D9B">
      <w:pPr>
        <w:ind w:firstLine="720"/>
        <w:rPr>
          <w:rFonts w:eastAsia="Century Schoolbook" w:cs="Century Schoolbook"/>
          <w:szCs w:val="26"/>
        </w:rPr>
      </w:pPr>
      <w:r>
        <w:rPr>
          <w:rFonts w:eastAsia="Century Schoolbook" w:cs="Century Schoolbook"/>
          <w:szCs w:val="26"/>
        </w:rPr>
        <w:t>Gordon Rees Scully Mansukhani, Don Willenburg and Laura Ryan for Defendant and Respondent.</w:t>
      </w:r>
    </w:p>
    <w:p w14:paraId="083EE1E4" w14:textId="77777777" w:rsidR="00682E9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entury Schoolbook" w:cs="Century Schoolbook"/>
          <w:szCs w:val="26"/>
        </w:rPr>
      </w:pPr>
      <w:r>
        <w:rPr>
          <w:rFonts w:eastAsia="Century Schoolbook" w:cs="Century Schoolbook"/>
          <w:szCs w:val="26"/>
        </w:rPr>
        <w:t>____________________</w:t>
      </w:r>
    </w:p>
    <w:p w14:paraId="6F6C98FB" w14:textId="3B295035" w:rsidR="00682E92" w:rsidRDefault="00656D9B">
      <w:pPr>
        <w:ind w:firstLine="720"/>
        <w:rPr>
          <w:rFonts w:eastAsia="Century Schoolbook" w:cs="Century Schoolbook"/>
          <w:color w:val="000000"/>
          <w:szCs w:val="26"/>
        </w:rPr>
      </w:pPr>
      <w:r w:rsidRPr="000F2872">
        <w:rPr>
          <w:rFonts w:eastAsia="Century Schoolbook" w:cs="Century Schoolbook"/>
          <w:color w:val="000000" w:themeColor="text1"/>
          <w:szCs w:val="26"/>
        </w:rPr>
        <w:t xml:space="preserve">As Monique Howard went to shower during her hotel stay, the handheld shower head fell apart.  Howard cut herself and </w:t>
      </w:r>
      <w:r w:rsidRPr="000F2872">
        <w:rPr>
          <w:rFonts w:eastAsia="Century Schoolbook" w:cs="Century Schoolbook"/>
          <w:color w:val="000000" w:themeColor="text1"/>
          <w:szCs w:val="26"/>
        </w:rPr>
        <w:lastRenderedPageBreak/>
        <w:t xml:space="preserve">fell. </w:t>
      </w:r>
      <w:r w:rsidRPr="00184362">
        <w:rPr>
          <w:rFonts w:eastAsia="Century Schoolbook" w:cs="Century Schoolbook"/>
          <w:color w:val="000000" w:themeColor="text1"/>
          <w:szCs w:val="26"/>
        </w:rPr>
        <w:t xml:space="preserve"> Later she sued the hotel for negligence and premises liability.  </w:t>
      </w:r>
      <w:r>
        <w:rPr>
          <w:rFonts w:eastAsia="Century Schoolbook" w:cs="Century Schoolbook"/>
          <w:color w:val="000000"/>
          <w:szCs w:val="26"/>
        </w:rPr>
        <w:t xml:space="preserve">The trial court granted summary judgment. </w:t>
      </w:r>
      <w:r>
        <w:rPr>
          <w:rFonts w:eastAsia="Century Schoolbook" w:cs="Century Schoolbook"/>
          <w:color w:val="FF0000"/>
          <w:szCs w:val="26"/>
        </w:rPr>
        <w:t xml:space="preserve"> </w:t>
      </w:r>
      <w:r>
        <w:rPr>
          <w:rFonts w:eastAsia="Century Schoolbook" w:cs="Century Schoolbook"/>
          <w:szCs w:val="26"/>
        </w:rPr>
        <w:t>W</w:t>
      </w:r>
      <w:r>
        <w:rPr>
          <w:rFonts w:eastAsia="Century Schoolbook" w:cs="Century Schoolbook"/>
          <w:color w:val="000000"/>
          <w:szCs w:val="26"/>
        </w:rPr>
        <w:t xml:space="preserve">e affirm because Howard failed to mount a triable issue of material fact on the key issue of notice and failed to establish the applicability of a venerable but inapt doctrine—res ipsa </w:t>
      </w:r>
      <w:r>
        <w:rPr>
          <w:rFonts w:eastAsia="Century Schoolbook" w:cs="Century Schoolbook"/>
          <w:szCs w:val="26"/>
        </w:rPr>
        <w:t>loquitur</w:t>
      </w:r>
      <w:r>
        <w:rPr>
          <w:rFonts w:eastAsia="Century Schoolbook" w:cs="Century Schoolbook"/>
          <w:color w:val="000000"/>
          <w:szCs w:val="26"/>
        </w:rPr>
        <w:t>.</w:t>
      </w:r>
    </w:p>
    <w:p w14:paraId="3435B505" w14:textId="77777777" w:rsidR="00682E92" w:rsidRDefault="00656D9B">
      <w:pPr>
        <w:jc w:val="center"/>
        <w:rPr>
          <w:rFonts w:eastAsia="Century Schoolbook" w:cs="Century Schoolbook"/>
          <w:color w:val="000000"/>
          <w:szCs w:val="26"/>
        </w:rPr>
      </w:pPr>
      <w:r>
        <w:rPr>
          <w:rFonts w:eastAsia="Century Schoolbook" w:cs="Century Schoolbook"/>
          <w:color w:val="000000"/>
          <w:szCs w:val="26"/>
        </w:rPr>
        <w:t>I</w:t>
      </w:r>
    </w:p>
    <w:p w14:paraId="0B6E4095" w14:textId="77777777" w:rsidR="00682E92" w:rsidRDefault="00656D9B">
      <w:pPr>
        <w:ind w:firstLine="720"/>
        <w:rPr>
          <w:rFonts w:eastAsia="Century Schoolbook" w:cs="Century Schoolbook"/>
          <w:color w:val="000000"/>
          <w:szCs w:val="26"/>
        </w:rPr>
      </w:pPr>
      <w:r>
        <w:rPr>
          <w:rFonts w:eastAsia="Century Schoolbook" w:cs="Century Schoolbook"/>
          <w:color w:val="000000"/>
          <w:szCs w:val="26"/>
        </w:rPr>
        <w:t xml:space="preserve">The core facts are few.  </w:t>
      </w:r>
    </w:p>
    <w:p w14:paraId="1FB05DB6" w14:textId="034CAE24" w:rsidR="00682E92" w:rsidRPr="00A93360" w:rsidRDefault="00656D9B">
      <w:pPr>
        <w:ind w:firstLine="720"/>
        <w:rPr>
          <w:rFonts w:eastAsia="Century Schoolbook" w:cs="Century Schoolbook"/>
          <w:color w:val="FF0000"/>
          <w:szCs w:val="26"/>
        </w:rPr>
      </w:pPr>
      <w:r w:rsidRPr="00DF1E8F">
        <w:rPr>
          <w:rFonts w:eastAsia="Century Schoolbook" w:cs="Century Schoolbook"/>
          <w:color w:val="000000" w:themeColor="text1"/>
          <w:szCs w:val="26"/>
        </w:rPr>
        <w:t>In March 2017, Howard and her then</w:t>
      </w:r>
      <w:r w:rsidR="00F463C9">
        <w:rPr>
          <w:rFonts w:eastAsia="Century Schoolbook" w:cs="Century Schoolbook"/>
          <w:color w:val="000000" w:themeColor="text1"/>
          <w:szCs w:val="26"/>
        </w:rPr>
        <w:t xml:space="preserve"> </w:t>
      </w:r>
      <w:r w:rsidRPr="00DF1E8F">
        <w:rPr>
          <w:rFonts w:eastAsia="Century Schoolbook" w:cs="Century Schoolbook"/>
          <w:color w:val="000000" w:themeColor="text1"/>
          <w:szCs w:val="26"/>
        </w:rPr>
        <w:t xml:space="preserve">boyfriend stayed at the Sofitel Los Angeles at </w:t>
      </w:r>
      <w:r w:rsidRPr="00E21F58">
        <w:rPr>
          <w:rFonts w:eastAsia="Century Schoolbook" w:cs="Century Schoolbook"/>
          <w:color w:val="000000" w:themeColor="text1"/>
          <w:szCs w:val="26"/>
        </w:rPr>
        <w:t xml:space="preserve">Beverly Hills.  Both took showers on their arrival day without incident.  </w:t>
      </w:r>
      <w:r w:rsidRPr="008822FF">
        <w:rPr>
          <w:rFonts w:eastAsia="Century Schoolbook" w:cs="Century Schoolbook"/>
          <w:color w:val="000000" w:themeColor="text1"/>
          <w:szCs w:val="26"/>
        </w:rPr>
        <w:t xml:space="preserve">The next </w:t>
      </w:r>
      <w:r w:rsidRPr="00832ADC">
        <w:rPr>
          <w:rFonts w:eastAsia="Century Schoolbook" w:cs="Century Schoolbook"/>
          <w:color w:val="000000" w:themeColor="text1"/>
          <w:szCs w:val="26"/>
        </w:rPr>
        <w:t xml:space="preserve">morning, they took individual showers again and went shopping.  When Howard returned that afternoon, she noticed the room had been </w:t>
      </w:r>
      <w:r w:rsidRPr="000F1707">
        <w:rPr>
          <w:rFonts w:eastAsia="Century Schoolbook" w:cs="Century Schoolbook"/>
          <w:color w:val="000000" w:themeColor="text1"/>
          <w:szCs w:val="26"/>
        </w:rPr>
        <w:t xml:space="preserve">cleaned.  She went to take another shower before her scheduled massage.  </w:t>
      </w:r>
    </w:p>
    <w:p w14:paraId="4C07D0D4" w14:textId="5D7DAA9B" w:rsidR="00682E92" w:rsidRPr="00A93360" w:rsidRDefault="00656D9B">
      <w:pPr>
        <w:ind w:firstLine="720"/>
        <w:rPr>
          <w:rFonts w:eastAsia="Century Schoolbook" w:cs="Century Schoolbook"/>
          <w:color w:val="FF0000"/>
          <w:szCs w:val="26"/>
        </w:rPr>
      </w:pPr>
      <w:r w:rsidRPr="000F1707">
        <w:rPr>
          <w:rFonts w:eastAsia="Century Schoolbook" w:cs="Century Schoolbook"/>
          <w:color w:val="000000" w:themeColor="text1"/>
          <w:szCs w:val="26"/>
        </w:rPr>
        <w:t xml:space="preserve">During her deposition, Howard described what happened when she went for this </w:t>
      </w:r>
      <w:r w:rsidRPr="00B77BC2">
        <w:rPr>
          <w:rFonts w:eastAsia="Century Schoolbook" w:cs="Century Schoolbook"/>
          <w:color w:val="000000" w:themeColor="text1"/>
          <w:szCs w:val="26"/>
        </w:rPr>
        <w:t xml:space="preserve">third shower:  “[I]t was a little after 1:00 and when I got into the shower it started spraying me in the face, and it is two </w:t>
      </w:r>
      <w:r w:rsidRPr="0067429F">
        <w:rPr>
          <w:rFonts w:eastAsia="Century Schoolbook" w:cs="Century Schoolbook"/>
          <w:color w:val="000000" w:themeColor="text1"/>
          <w:szCs w:val="26"/>
        </w:rPr>
        <w:t xml:space="preserve">shower heads.  There is an overhead </w:t>
      </w:r>
      <w:r w:rsidRPr="000D12FE">
        <w:rPr>
          <w:rFonts w:eastAsia="Century Schoolbook" w:cs="Century Schoolbook"/>
          <w:color w:val="000000" w:themeColor="text1"/>
          <w:szCs w:val="26"/>
        </w:rPr>
        <w:t xml:space="preserve">shower, I guess men would use, and then there is a shower that they have that is a detachable shower.  As soon as I stepped in the shower and turned the water on I noticed that it was spraying me in the face, which was a little odd for me because I had took a shower earlier that day.  I was -- kind </w:t>
      </w:r>
      <w:r w:rsidRPr="00037615">
        <w:rPr>
          <w:rFonts w:eastAsia="Century Schoolbook" w:cs="Century Schoolbook"/>
          <w:color w:val="000000" w:themeColor="text1"/>
          <w:szCs w:val="26"/>
        </w:rPr>
        <w:t xml:space="preserve">surprised me, plus I had full makeup on.  It was spraying me in my face.  When that happened I went to take the shower off of the shower handle and that is when it just dismantled and fell apart.”  </w:t>
      </w:r>
    </w:p>
    <w:p w14:paraId="62E33A51" w14:textId="0590F6BD" w:rsidR="00682E92" w:rsidRPr="00354099" w:rsidRDefault="00656D9B">
      <w:pPr>
        <w:ind w:firstLine="720"/>
        <w:rPr>
          <w:rFonts w:eastAsia="Century Schoolbook" w:cs="Century Schoolbook"/>
          <w:color w:val="000000" w:themeColor="text1"/>
          <w:szCs w:val="26"/>
        </w:rPr>
      </w:pPr>
      <w:r w:rsidRPr="00B479EB">
        <w:rPr>
          <w:rFonts w:eastAsia="Century Schoolbook" w:cs="Century Schoolbook"/>
          <w:color w:val="000000" w:themeColor="text1"/>
          <w:szCs w:val="26"/>
        </w:rPr>
        <w:t xml:space="preserve">Howard sued in March </w:t>
      </w:r>
      <w:r w:rsidRPr="00992B97">
        <w:rPr>
          <w:rFonts w:eastAsia="Century Schoolbook" w:cs="Century Schoolbook"/>
          <w:color w:val="000000" w:themeColor="text1"/>
          <w:szCs w:val="26"/>
        </w:rPr>
        <w:t xml:space="preserve">2019.  Her complaint asserts the broken shower head cut her hand, caused her to fall back onto her tailbone, and left her with severe </w:t>
      </w:r>
      <w:r w:rsidRPr="00354099">
        <w:rPr>
          <w:rFonts w:eastAsia="Century Schoolbook" w:cs="Century Schoolbook"/>
          <w:color w:val="000000" w:themeColor="text1"/>
          <w:szCs w:val="26"/>
        </w:rPr>
        <w:t xml:space="preserve">injuries.  </w:t>
      </w:r>
    </w:p>
    <w:p w14:paraId="42412572" w14:textId="51C37B6B" w:rsidR="00682E92" w:rsidRPr="00A93360" w:rsidRDefault="00656D9B">
      <w:pPr>
        <w:ind w:firstLine="720"/>
        <w:rPr>
          <w:rFonts w:eastAsia="Century Schoolbook" w:cs="Century Schoolbook"/>
          <w:color w:val="FF0000"/>
          <w:szCs w:val="26"/>
        </w:rPr>
      </w:pPr>
      <w:r w:rsidRPr="00354099">
        <w:rPr>
          <w:rFonts w:eastAsia="Century Schoolbook" w:cs="Century Schoolbook"/>
          <w:color w:val="000000" w:themeColor="text1"/>
          <w:szCs w:val="26"/>
        </w:rPr>
        <w:lastRenderedPageBreak/>
        <w:t>Howard later amended her complaint to sue Accor Management US</w:t>
      </w:r>
      <w:r w:rsidR="00F463C9">
        <w:rPr>
          <w:rFonts w:eastAsia="Century Schoolbook" w:cs="Century Schoolbook"/>
          <w:color w:val="000000" w:themeColor="text1"/>
          <w:szCs w:val="26"/>
        </w:rPr>
        <w:t>,</w:t>
      </w:r>
      <w:r w:rsidRPr="00354099">
        <w:rPr>
          <w:rFonts w:eastAsia="Century Schoolbook" w:cs="Century Schoolbook"/>
          <w:color w:val="000000" w:themeColor="text1"/>
          <w:szCs w:val="26"/>
        </w:rPr>
        <w:t xml:space="preserve"> Inc., the only respondent on appeal, who operated the hotel at the time of the incident.  </w:t>
      </w:r>
    </w:p>
    <w:p w14:paraId="58464F18" w14:textId="4ACC3BBB" w:rsidR="00682E92" w:rsidRPr="00A93360" w:rsidRDefault="00656D9B">
      <w:pPr>
        <w:ind w:firstLine="720"/>
        <w:rPr>
          <w:rFonts w:eastAsia="Century Schoolbook" w:cs="Century Schoolbook"/>
          <w:color w:val="FF0000"/>
          <w:szCs w:val="26"/>
        </w:rPr>
      </w:pPr>
      <w:r w:rsidRPr="0052141F">
        <w:rPr>
          <w:rFonts w:eastAsia="Century Schoolbook" w:cs="Century Schoolbook"/>
          <w:color w:val="000000" w:themeColor="text1"/>
          <w:szCs w:val="26"/>
        </w:rPr>
        <w:t xml:space="preserve">Accor moved for summary judgment, arguing Howard could not establish it had actual or constructive notice of any problem with the handheld </w:t>
      </w:r>
      <w:r w:rsidRPr="005B6103">
        <w:rPr>
          <w:rFonts w:eastAsia="Century Schoolbook" w:cs="Century Schoolbook"/>
          <w:color w:val="000000" w:themeColor="text1"/>
          <w:szCs w:val="26"/>
        </w:rPr>
        <w:t xml:space="preserve">shower head.  The </w:t>
      </w:r>
      <w:r w:rsidRPr="00E15E7B">
        <w:rPr>
          <w:rFonts w:eastAsia="Century Schoolbook" w:cs="Century Schoolbook"/>
          <w:color w:val="000000" w:themeColor="text1"/>
          <w:szCs w:val="26"/>
        </w:rPr>
        <w:t xml:space="preserve">hotel did not contest the shower head came apart while Howard was showering.  Nor </w:t>
      </w:r>
      <w:r w:rsidRPr="004C05E0">
        <w:rPr>
          <w:rFonts w:eastAsia="Century Schoolbook" w:cs="Century Schoolbook"/>
          <w:color w:val="000000" w:themeColor="text1"/>
          <w:szCs w:val="26"/>
        </w:rPr>
        <w:t xml:space="preserve">did it contest a housekeeper had cleaned Howard’s room the day before and the day of the incident. </w:t>
      </w:r>
      <w:r w:rsidRPr="00A93360">
        <w:rPr>
          <w:rFonts w:eastAsia="Century Schoolbook" w:cs="Century Schoolbook"/>
          <w:color w:val="FF0000"/>
          <w:szCs w:val="26"/>
        </w:rPr>
        <w:t xml:space="preserve"> </w:t>
      </w:r>
    </w:p>
    <w:p w14:paraId="1C552CE7" w14:textId="4CAF3543" w:rsidR="00682E92" w:rsidRPr="00A93360"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sidRPr="00A93360">
        <w:rPr>
          <w:rFonts w:eastAsia="Century Schoolbook" w:cs="Century Schoolbook"/>
          <w:color w:val="FF0000"/>
          <w:szCs w:val="26"/>
        </w:rPr>
        <w:tab/>
      </w:r>
      <w:r w:rsidRPr="000C5D6D">
        <w:rPr>
          <w:rFonts w:eastAsia="Century Schoolbook" w:cs="Century Schoolbook"/>
          <w:color w:val="000000" w:themeColor="text1"/>
          <w:szCs w:val="26"/>
        </w:rPr>
        <w:t xml:space="preserve">Howard responded with declarations by herself and her </w:t>
      </w:r>
      <w:r w:rsidRPr="00425A2B">
        <w:rPr>
          <w:rFonts w:eastAsia="Century Schoolbook" w:cs="Century Schoolbook"/>
          <w:color w:val="000000" w:themeColor="text1"/>
          <w:szCs w:val="26"/>
        </w:rPr>
        <w:t xml:space="preserve">boyfriend.  Both claimed they did not notice any cracks or damage to the shower wand during their two showers before the incident.  </w:t>
      </w:r>
      <w:r w:rsidRPr="00F50282">
        <w:rPr>
          <w:rFonts w:eastAsia="Century Schoolbook" w:cs="Century Schoolbook"/>
          <w:color w:val="000000" w:themeColor="text1"/>
          <w:szCs w:val="26"/>
        </w:rPr>
        <w:t xml:space="preserve">They also claimed they did not drop, hit, mishandle, tighten, damage, or break the wand during these earlier showers.  </w:t>
      </w:r>
      <w:r w:rsidRPr="007A6FE6">
        <w:rPr>
          <w:rFonts w:eastAsia="Century Schoolbook" w:cs="Century Schoolbook"/>
          <w:color w:val="000000" w:themeColor="text1"/>
          <w:szCs w:val="26"/>
        </w:rPr>
        <w:t xml:space="preserve">The boyfriend did not use the shower wand at all—he only used the fixed overhead shower.  </w:t>
      </w:r>
    </w:p>
    <w:p w14:paraId="0AA863F3" w14:textId="46EB7325" w:rsidR="00682E92" w:rsidRPr="00A93360"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sidRPr="00A93360">
        <w:rPr>
          <w:rFonts w:eastAsia="Century Schoolbook" w:cs="Century Schoolbook"/>
          <w:color w:val="FF0000"/>
          <w:szCs w:val="26"/>
        </w:rPr>
        <w:tab/>
      </w:r>
      <w:r w:rsidRPr="00BD41FA">
        <w:rPr>
          <w:rFonts w:eastAsia="Century Schoolbook" w:cs="Century Schoolbook"/>
          <w:color w:val="000000" w:themeColor="text1"/>
          <w:szCs w:val="26"/>
        </w:rPr>
        <w:t xml:space="preserve">Howard’s description of the incident in her declaration differed somewhat from the description at </w:t>
      </w:r>
      <w:r w:rsidRPr="00284592">
        <w:rPr>
          <w:rFonts w:eastAsia="Century Schoolbook" w:cs="Century Schoolbook"/>
          <w:color w:val="000000" w:themeColor="text1"/>
          <w:szCs w:val="26"/>
        </w:rPr>
        <w:t xml:space="preserve">her deposition:  She declared that for her third shower, the water sprayed her and in all </w:t>
      </w:r>
      <w:r w:rsidRPr="00E3149F">
        <w:rPr>
          <w:rFonts w:eastAsia="Century Schoolbook" w:cs="Century Schoolbook"/>
          <w:color w:val="000000" w:themeColor="text1"/>
          <w:szCs w:val="26"/>
        </w:rPr>
        <w:t xml:space="preserve">directions when she turned on the faucet.  She reached for the wand, and it sliced her hand, suddenly came apart, and fell to the floor.  </w:t>
      </w:r>
    </w:p>
    <w:p w14:paraId="790F266F" w14:textId="5B31DEF2" w:rsidR="00682E92" w:rsidRPr="00CF5EA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Pr>
          <w:rFonts w:eastAsia="Century Schoolbook" w:cs="Century Schoolbook"/>
          <w:color w:val="FF0000"/>
          <w:szCs w:val="26"/>
        </w:rPr>
        <w:tab/>
      </w:r>
      <w:r w:rsidRPr="001B495A">
        <w:rPr>
          <w:rFonts w:eastAsia="Century Schoolbook" w:cs="Century Schoolbook"/>
          <w:color w:val="000000" w:themeColor="text1"/>
          <w:szCs w:val="26"/>
        </w:rPr>
        <w:t xml:space="preserve">Howard’s opposition argued the hotel’s housekeeper must have </w:t>
      </w:r>
      <w:r w:rsidRPr="005C738F">
        <w:rPr>
          <w:rFonts w:eastAsia="Century Schoolbook" w:cs="Century Schoolbook"/>
          <w:color w:val="000000" w:themeColor="text1"/>
          <w:szCs w:val="26"/>
        </w:rPr>
        <w:t xml:space="preserve">broken the shower wand and failed to report this, and the hotel thus had actual knowledge of the problem its housekeeper caused, because </w:t>
      </w:r>
      <w:r w:rsidRPr="001B495A">
        <w:rPr>
          <w:rFonts w:eastAsia="Century Schoolbook" w:cs="Century Schoolbook"/>
          <w:color w:val="000000" w:themeColor="text1"/>
          <w:szCs w:val="26"/>
        </w:rPr>
        <w:t xml:space="preserve">the wand was fine for the morning shower but broken for the afternoon shower and only the housekeeper was in the room between showers.  </w:t>
      </w:r>
      <w:r w:rsidRPr="001F5FAA">
        <w:rPr>
          <w:rFonts w:eastAsia="Century Schoolbook" w:cs="Century Schoolbook"/>
          <w:color w:val="000000" w:themeColor="text1"/>
          <w:szCs w:val="26"/>
        </w:rPr>
        <w:t xml:space="preserve">Howard supplied the declaration of her retained expert, Brad P. </w:t>
      </w:r>
      <w:r w:rsidRPr="00372A56">
        <w:rPr>
          <w:rFonts w:eastAsia="Century Schoolbook" w:cs="Century Schoolbook"/>
          <w:color w:val="000000" w:themeColor="text1"/>
          <w:szCs w:val="26"/>
        </w:rPr>
        <w:t xml:space="preserve">Avrit, to help establish the housekeeper broke the wand between showers.  </w:t>
      </w:r>
      <w:r w:rsidRPr="004E7819">
        <w:rPr>
          <w:rFonts w:eastAsia="Century Schoolbook" w:cs="Century Schoolbook"/>
          <w:color w:val="000000" w:themeColor="text1"/>
          <w:szCs w:val="26"/>
        </w:rPr>
        <w:t xml:space="preserve">She also argued </w:t>
      </w:r>
      <w:r w:rsidRPr="004E7819">
        <w:rPr>
          <w:rFonts w:eastAsia="Century Schoolbook" w:cs="Century Schoolbook"/>
          <w:color w:val="000000" w:themeColor="text1"/>
          <w:szCs w:val="26"/>
        </w:rPr>
        <w:lastRenderedPageBreak/>
        <w:t xml:space="preserve">the doctrine of res ipsa </w:t>
      </w:r>
      <w:r w:rsidRPr="00717488">
        <w:rPr>
          <w:rFonts w:eastAsia="Century Schoolbook" w:cs="Century Schoolbook"/>
          <w:color w:val="000000" w:themeColor="text1"/>
          <w:szCs w:val="26"/>
        </w:rPr>
        <w:t xml:space="preserve">loquitur applied and rendered summary judgment inappropriate.  </w:t>
      </w:r>
    </w:p>
    <w:p w14:paraId="55426343" w14:textId="2F8E4E88" w:rsidR="00682E92" w:rsidRPr="00CF5EA2" w:rsidRDefault="00656D9B">
      <w:pPr>
        <w:ind w:firstLine="720"/>
        <w:rPr>
          <w:rFonts w:eastAsia="Century Schoolbook" w:cs="Century Schoolbook"/>
          <w:color w:val="FF0000"/>
          <w:szCs w:val="26"/>
        </w:rPr>
      </w:pPr>
      <w:r w:rsidRPr="00622D5C">
        <w:rPr>
          <w:rFonts w:eastAsia="Century Schoolbook" w:cs="Century Schoolbook"/>
          <w:color w:val="000000" w:themeColor="text1"/>
          <w:szCs w:val="26"/>
        </w:rPr>
        <w:t xml:space="preserve">As part of its reply, Accor noted it offered to make the housekeeper available for deposition in time for Howard’s opposition.  But instead </w:t>
      </w:r>
      <w:r w:rsidRPr="002A3997">
        <w:rPr>
          <w:rFonts w:eastAsia="Century Schoolbook" w:cs="Century Schoolbook"/>
          <w:color w:val="000000" w:themeColor="text1"/>
          <w:szCs w:val="26"/>
        </w:rPr>
        <w:t>of deposing the housekeeper, Howard had an expert speculate about what she did.</w:t>
      </w:r>
      <w:r w:rsidRPr="00CF5EA2">
        <w:rPr>
          <w:rFonts w:eastAsia="Century Schoolbook" w:cs="Century Schoolbook"/>
          <w:color w:val="FF0000"/>
          <w:szCs w:val="26"/>
        </w:rPr>
        <w:t xml:space="preserve">  </w:t>
      </w:r>
      <w:r w:rsidRPr="00EA6A99">
        <w:rPr>
          <w:rFonts w:eastAsia="Century Schoolbook" w:cs="Century Schoolbook"/>
          <w:color w:val="000000" w:themeColor="text1"/>
          <w:szCs w:val="26"/>
        </w:rPr>
        <w:t xml:space="preserve">Accor challenged Avrit’s </w:t>
      </w:r>
      <w:r w:rsidRPr="00962DB2">
        <w:rPr>
          <w:rFonts w:eastAsia="Century Schoolbook" w:cs="Century Schoolbook"/>
          <w:color w:val="000000" w:themeColor="text1"/>
          <w:szCs w:val="26"/>
        </w:rPr>
        <w:t xml:space="preserve">testimony on many grounds, including by asserting his opinions lacked an adequate foundation and amounted to </w:t>
      </w:r>
      <w:r w:rsidRPr="00207CCA">
        <w:rPr>
          <w:rFonts w:eastAsia="Century Schoolbook" w:cs="Century Schoolbook"/>
          <w:color w:val="000000" w:themeColor="text1"/>
          <w:szCs w:val="26"/>
        </w:rPr>
        <w:t xml:space="preserve">speculation and legal conclusions. </w:t>
      </w:r>
    </w:p>
    <w:p w14:paraId="6EE6F3C1" w14:textId="612BD0EA" w:rsidR="00682E92" w:rsidRPr="00CF5EA2" w:rsidRDefault="00656D9B">
      <w:pPr>
        <w:ind w:firstLine="720"/>
        <w:rPr>
          <w:rFonts w:eastAsia="Century Schoolbook" w:cs="Century Schoolbook"/>
          <w:color w:val="FF0000"/>
          <w:szCs w:val="26"/>
        </w:rPr>
      </w:pPr>
      <w:r w:rsidRPr="003F284F">
        <w:rPr>
          <w:rFonts w:eastAsia="Century Schoolbook" w:cs="Century Schoolbook"/>
          <w:color w:val="000000" w:themeColor="text1"/>
          <w:szCs w:val="26"/>
        </w:rPr>
        <w:t xml:space="preserve">The trial court sided with Accor on the issue of notice and </w:t>
      </w:r>
      <w:r w:rsidRPr="00503159">
        <w:rPr>
          <w:rFonts w:eastAsia="Century Schoolbook" w:cs="Century Schoolbook"/>
          <w:color w:val="000000" w:themeColor="text1"/>
          <w:szCs w:val="26"/>
        </w:rPr>
        <w:t>concluded Howard’s showing that the housekeeper negligently broke the shower wand was i</w:t>
      </w:r>
      <w:r w:rsidRPr="004D2C46">
        <w:rPr>
          <w:rFonts w:eastAsia="Century Schoolbook" w:cs="Century Schoolbook"/>
          <w:color w:val="000000" w:themeColor="text1"/>
          <w:szCs w:val="26"/>
        </w:rPr>
        <w:t xml:space="preserve">nsufficient.  The court also rejected the res ipsa loquitur doctrine.  </w:t>
      </w:r>
      <w:r w:rsidRPr="007F53CB">
        <w:rPr>
          <w:rFonts w:eastAsia="Century Schoolbook" w:cs="Century Schoolbook"/>
          <w:color w:val="000000" w:themeColor="text1"/>
          <w:szCs w:val="26"/>
        </w:rPr>
        <w:t xml:space="preserve">Regarding Avrit, the court sustained most but not all of Accor’s evidentiary objections, concluding Avrit’s declaration “is replete with inadmissible opinion evidence regarding legal conclusions.  More importantly, Avrit’s declaration contains conclusions that lack foundation and which are speculative in nature.”  </w:t>
      </w:r>
    </w:p>
    <w:p w14:paraId="2D221AF7" w14:textId="422BC1E2" w:rsidR="00682E92" w:rsidRPr="00E533E9" w:rsidRDefault="00656D9B">
      <w:pPr>
        <w:ind w:firstLine="720"/>
        <w:rPr>
          <w:rFonts w:eastAsia="Century Schoolbook" w:cs="Century Schoolbook"/>
          <w:color w:val="000000" w:themeColor="text1"/>
          <w:szCs w:val="26"/>
        </w:rPr>
      </w:pPr>
      <w:r w:rsidRPr="00E533E9">
        <w:rPr>
          <w:rFonts w:eastAsia="Century Schoolbook" w:cs="Century Schoolbook"/>
          <w:color w:val="000000" w:themeColor="text1"/>
          <w:szCs w:val="26"/>
        </w:rPr>
        <w:t xml:space="preserve">Howard appealed the summary judgment ruling.  </w:t>
      </w:r>
    </w:p>
    <w:p w14:paraId="10714648" w14:textId="77777777" w:rsidR="00682E92" w:rsidRDefault="00656D9B">
      <w:pPr>
        <w:shd w:val="clear" w:color="auto" w:fill="FFFFFF"/>
        <w:jc w:val="center"/>
        <w:rPr>
          <w:rFonts w:eastAsia="Century Schoolbook" w:cs="Century Schoolbook"/>
          <w:color w:val="000000"/>
          <w:szCs w:val="26"/>
        </w:rPr>
      </w:pPr>
      <w:r>
        <w:rPr>
          <w:rFonts w:eastAsia="Century Schoolbook" w:cs="Century Schoolbook"/>
          <w:color w:val="000000"/>
          <w:szCs w:val="26"/>
        </w:rPr>
        <w:t>II</w:t>
      </w:r>
    </w:p>
    <w:p w14:paraId="64A1F5BF" w14:textId="6A770002" w:rsidR="00682E92" w:rsidRDefault="00656D9B">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We independently review the summary judgment decision and apply the familiar standard.  (See </w:t>
      </w:r>
      <w:r>
        <w:rPr>
          <w:rFonts w:eastAsia="Century Schoolbook" w:cs="Century Schoolbook"/>
          <w:i/>
          <w:color w:val="000000"/>
          <w:szCs w:val="26"/>
        </w:rPr>
        <w:t xml:space="preserve">Bacoka v. Best Buy Stores, L.P. </w:t>
      </w:r>
      <w:r>
        <w:rPr>
          <w:rFonts w:eastAsia="Century Schoolbook" w:cs="Century Schoolbook"/>
          <w:color w:val="000000"/>
          <w:szCs w:val="26"/>
        </w:rPr>
        <w:t xml:space="preserve">(2021) 71 Cal.App.5th 126, 132.)   </w:t>
      </w:r>
    </w:p>
    <w:p w14:paraId="345D8611" w14:textId="77777777" w:rsidR="00682E92" w:rsidRDefault="00656D9B">
      <w:pPr>
        <w:shd w:val="clear" w:color="auto" w:fill="FFFFFF"/>
        <w:ind w:firstLine="720"/>
        <w:rPr>
          <w:rFonts w:eastAsia="Century Schoolbook" w:cs="Century Schoolbook"/>
          <w:color w:val="0070C0"/>
          <w:szCs w:val="26"/>
        </w:rPr>
      </w:pPr>
      <w:r>
        <w:rPr>
          <w:rFonts w:eastAsia="Century Schoolbook" w:cs="Century Schoolbook"/>
          <w:color w:val="000000"/>
          <w:szCs w:val="26"/>
        </w:rPr>
        <w:t xml:space="preserve">Our independent review shows the trial court was correct.  </w:t>
      </w:r>
      <w:r>
        <w:rPr>
          <w:rFonts w:eastAsia="Century Schoolbook" w:cs="Century Schoolbook"/>
          <w:szCs w:val="26"/>
        </w:rPr>
        <w:t>The</w:t>
      </w:r>
      <w:r>
        <w:rPr>
          <w:rFonts w:eastAsia="Century Schoolbook" w:cs="Century Schoolbook"/>
          <w:color w:val="000000"/>
          <w:szCs w:val="26"/>
        </w:rPr>
        <w:t xml:space="preserve"> evidence did not </w:t>
      </w:r>
      <w:r>
        <w:rPr>
          <w:rFonts w:eastAsia="Century Schoolbook" w:cs="Century Schoolbook"/>
          <w:szCs w:val="26"/>
        </w:rPr>
        <w:t>establish a triable issue of material fact as to Accor’s notice of a flaw in the shower wand</w:t>
      </w:r>
      <w:r>
        <w:rPr>
          <w:rFonts w:eastAsia="Century Schoolbook" w:cs="Century Schoolbook"/>
          <w:color w:val="000000"/>
          <w:szCs w:val="26"/>
        </w:rPr>
        <w:t xml:space="preserve">.  (See </w:t>
      </w:r>
      <w:r>
        <w:rPr>
          <w:rFonts w:eastAsia="Century Schoolbook" w:cs="Century Schoolbook"/>
          <w:i/>
          <w:color w:val="000000"/>
          <w:szCs w:val="26"/>
        </w:rPr>
        <w:t xml:space="preserve">Ortega v. Kmart Corp. </w:t>
      </w:r>
      <w:r>
        <w:rPr>
          <w:rFonts w:eastAsia="Century Schoolbook" w:cs="Century Schoolbook"/>
          <w:color w:val="000000"/>
          <w:szCs w:val="26"/>
        </w:rPr>
        <w:t xml:space="preserve">(2001) 26 Cal.4th 1200, 1203 &amp; 1206–1207 [property owner must have actual or constructive notice of an unsafe condition before incurring liability]; see also </w:t>
      </w:r>
      <w:r>
        <w:rPr>
          <w:rFonts w:eastAsia="Century Schoolbook" w:cs="Century Schoolbook"/>
          <w:i/>
          <w:color w:val="000000"/>
          <w:szCs w:val="26"/>
        </w:rPr>
        <w:t>Howard v. Omni Hotels Management Corp</w:t>
      </w:r>
      <w:r>
        <w:rPr>
          <w:rFonts w:eastAsia="Century Schoolbook" w:cs="Century Schoolbook"/>
          <w:color w:val="000000"/>
          <w:szCs w:val="26"/>
        </w:rPr>
        <w:t>. (2012) 203 Cal.App.4th 403, 410, 431–</w:t>
      </w:r>
      <w:r>
        <w:rPr>
          <w:rFonts w:eastAsia="Century Schoolbook" w:cs="Century Schoolbook"/>
          <w:color w:val="000000"/>
          <w:szCs w:val="26"/>
        </w:rPr>
        <w:lastRenderedPageBreak/>
        <w:t>432 &amp; 434 [notice requirement applies to hotels on negligence and premises liability claims].)</w:t>
      </w:r>
    </w:p>
    <w:p w14:paraId="02ED0050" w14:textId="533CE29E" w:rsidR="00682E92" w:rsidRPr="00CF5EA2" w:rsidRDefault="00656D9B">
      <w:pPr>
        <w:pBdr>
          <w:top w:val="nil"/>
          <w:left w:val="nil"/>
          <w:bottom w:val="nil"/>
          <w:right w:val="nil"/>
          <w:between w:val="nil"/>
        </w:pBdr>
        <w:ind w:firstLine="720"/>
        <w:rPr>
          <w:rFonts w:eastAsia="Century Schoolbook" w:cs="Century Schoolbook"/>
          <w:color w:val="7030A0"/>
          <w:szCs w:val="26"/>
        </w:rPr>
      </w:pPr>
      <w:r w:rsidRPr="00FB340D">
        <w:rPr>
          <w:rFonts w:eastAsia="Century Schoolbook" w:cs="Century Schoolbook"/>
          <w:color w:val="000000" w:themeColor="text1"/>
          <w:szCs w:val="26"/>
        </w:rPr>
        <w:t xml:space="preserve">Howard offers four reasons summary </w:t>
      </w:r>
      <w:r w:rsidRPr="00406467">
        <w:rPr>
          <w:rFonts w:eastAsia="Century Schoolbook" w:cs="Century Schoolbook"/>
          <w:color w:val="000000" w:themeColor="text1"/>
          <w:szCs w:val="26"/>
        </w:rPr>
        <w:t xml:space="preserve">judgment was inappropriate:  (1) her evidence raises triable issues regarding the hotel’s </w:t>
      </w:r>
      <w:r w:rsidRPr="007B0CCA">
        <w:rPr>
          <w:rFonts w:eastAsia="Century Schoolbook" w:cs="Century Schoolbook"/>
          <w:color w:val="000000" w:themeColor="text1"/>
          <w:szCs w:val="26"/>
        </w:rPr>
        <w:t xml:space="preserve">knowledge of the unsafe shower wand; (2) whether the hotel conducted a reasonable inspection of the wand and had sufficient time before the incident to discover its unsafe condition are other triable issues; (3) the doctrine of res ipsa loquitur applies; and (4) the trial court abused its discretion in disregarding the declaration of Howard’s expert.  </w:t>
      </w:r>
    </w:p>
    <w:p w14:paraId="5931B123" w14:textId="77777777" w:rsidR="00682E92" w:rsidRDefault="00656D9B">
      <w:pPr>
        <w:jc w:val="center"/>
        <w:rPr>
          <w:rFonts w:eastAsia="Century Schoolbook" w:cs="Century Schoolbook"/>
          <w:szCs w:val="26"/>
        </w:rPr>
      </w:pPr>
      <w:r>
        <w:rPr>
          <w:rFonts w:eastAsia="Century Schoolbook" w:cs="Century Schoolbook"/>
          <w:szCs w:val="26"/>
        </w:rPr>
        <w:t>A</w:t>
      </w:r>
    </w:p>
    <w:p w14:paraId="62656EC5" w14:textId="11AD9CDD" w:rsidR="00682E92" w:rsidRDefault="00656D9B">
      <w:pPr>
        <w:ind w:firstLine="720"/>
        <w:rPr>
          <w:rFonts w:eastAsia="Century Schoolbook" w:cs="Century Schoolbook"/>
          <w:color w:val="000000"/>
          <w:szCs w:val="26"/>
        </w:rPr>
      </w:pPr>
      <w:r w:rsidRPr="003F641B">
        <w:rPr>
          <w:rFonts w:eastAsia="Century Schoolbook" w:cs="Century Schoolbook"/>
          <w:color w:val="000000" w:themeColor="text1"/>
          <w:szCs w:val="26"/>
        </w:rPr>
        <w:t xml:space="preserve">On the first two issues, Howard recognizes her claims require actual or constructive knowledge of an unsafe condition by the </w:t>
      </w:r>
      <w:r w:rsidRPr="00764F96">
        <w:rPr>
          <w:rFonts w:eastAsia="Century Schoolbook" w:cs="Century Schoolbook"/>
          <w:color w:val="000000" w:themeColor="text1"/>
          <w:szCs w:val="26"/>
        </w:rPr>
        <w:t xml:space="preserve">landowner.  But Howard forfeited any argument about the hotel’s constructive knowledge or notice due to unreasonable inspections because </w:t>
      </w:r>
      <w:r>
        <w:rPr>
          <w:rFonts w:eastAsia="Century Schoolbook" w:cs="Century Schoolbook"/>
          <w:color w:val="000000"/>
          <w:szCs w:val="26"/>
        </w:rPr>
        <w:t xml:space="preserve">she never presented this issue to the trial court, either in her opposition brief or during oral argument.  (See, e.g., </w:t>
      </w:r>
      <w:r>
        <w:rPr>
          <w:rFonts w:eastAsia="Century Schoolbook" w:cs="Century Schoolbook"/>
          <w:i/>
          <w:color w:val="000000"/>
          <w:szCs w:val="26"/>
        </w:rPr>
        <w:t xml:space="preserve">Magallanes </w:t>
      </w:r>
      <w:r w:rsidR="00656CE4">
        <w:rPr>
          <w:rFonts w:eastAsia="Century Schoolbook" w:cs="Century Schoolbook"/>
          <w:i/>
          <w:color w:val="000000"/>
          <w:szCs w:val="26"/>
        </w:rPr>
        <w:t xml:space="preserve">de Valle </w:t>
      </w:r>
      <w:r>
        <w:rPr>
          <w:rFonts w:eastAsia="Century Schoolbook" w:cs="Century Schoolbook"/>
          <w:i/>
          <w:color w:val="000000"/>
          <w:szCs w:val="26"/>
        </w:rPr>
        <w:t>v. Doctors Medical Center of Modesto</w:t>
      </w:r>
      <w:r>
        <w:rPr>
          <w:rFonts w:eastAsia="Century Schoolbook" w:cs="Century Schoolbook"/>
          <w:color w:val="000000"/>
          <w:szCs w:val="26"/>
        </w:rPr>
        <w:t xml:space="preserve"> (2022) 80 Cal.App.5th 914, 924 [liability theories not addressed in a plaintiff’s summary judgment opposition </w:t>
      </w:r>
      <w:r>
        <w:rPr>
          <w:rFonts w:eastAsia="Century Schoolbook" w:cs="Century Schoolbook"/>
          <w:szCs w:val="26"/>
        </w:rPr>
        <w:t>and not</w:t>
      </w:r>
      <w:r>
        <w:rPr>
          <w:rFonts w:eastAsia="Century Schoolbook" w:cs="Century Schoolbook"/>
          <w:color w:val="000000"/>
          <w:szCs w:val="26"/>
        </w:rPr>
        <w:t xml:space="preserve"> brought to the trial court’s attention cannot create a triable issue on appeal].)  </w:t>
      </w:r>
    </w:p>
    <w:p w14:paraId="6857715A" w14:textId="639E058C" w:rsidR="00682E92" w:rsidRDefault="00656D9B">
      <w:pPr>
        <w:ind w:firstLine="720"/>
        <w:rPr>
          <w:rFonts w:eastAsia="Century Schoolbook" w:cs="Century Schoolbook"/>
          <w:szCs w:val="26"/>
        </w:rPr>
      </w:pPr>
      <w:r>
        <w:rPr>
          <w:rFonts w:eastAsia="Century Schoolbook" w:cs="Century Schoolbook"/>
          <w:szCs w:val="26"/>
        </w:rPr>
        <w:t xml:space="preserve">There was a good reason for this </w:t>
      </w:r>
      <w:r w:rsidRPr="00BD712A">
        <w:rPr>
          <w:rFonts w:eastAsia="Century Schoolbook" w:cs="Century Schoolbook"/>
          <w:color w:val="000000" w:themeColor="text1"/>
          <w:szCs w:val="26"/>
        </w:rPr>
        <w:t xml:space="preserve">omission:  Howard’s theory in the trial court was the housekeeper broke the shower wand while Howard was shopping and then failed to tell anyone or do anything about it. </w:t>
      </w:r>
      <w:r w:rsidRPr="00CF5EA2">
        <w:rPr>
          <w:rFonts w:eastAsia="Century Schoolbook" w:cs="Century Schoolbook"/>
          <w:color w:val="FF0000"/>
          <w:szCs w:val="26"/>
        </w:rPr>
        <w:t xml:space="preserve"> </w:t>
      </w:r>
      <w:r>
        <w:rPr>
          <w:rFonts w:eastAsia="Century Schoolbook" w:cs="Century Schoolbook"/>
          <w:szCs w:val="26"/>
        </w:rPr>
        <w:t xml:space="preserve">This theory is inconsistent with a theory the wand broke at some unknown earlier time yet went undiscovered due to inadequate inspections by the housekeeper or the hotel.  </w:t>
      </w:r>
    </w:p>
    <w:p w14:paraId="7DA47836" w14:textId="48E8E566" w:rsidR="00682E92" w:rsidRDefault="00656D9B">
      <w:pPr>
        <w:ind w:firstLine="720"/>
        <w:rPr>
          <w:rFonts w:eastAsia="Century Schoolbook" w:cs="Century Schoolbook"/>
          <w:color w:val="7030A0"/>
          <w:szCs w:val="26"/>
        </w:rPr>
      </w:pPr>
      <w:r>
        <w:rPr>
          <w:rFonts w:eastAsia="Century Schoolbook" w:cs="Century Schoolbook"/>
          <w:szCs w:val="26"/>
        </w:rPr>
        <w:lastRenderedPageBreak/>
        <w:t xml:space="preserve">As </w:t>
      </w:r>
      <w:r w:rsidRPr="00687133">
        <w:rPr>
          <w:rFonts w:eastAsia="Century Schoolbook" w:cs="Century Schoolbook"/>
          <w:color w:val="000000" w:themeColor="text1"/>
          <w:szCs w:val="26"/>
        </w:rPr>
        <w:t xml:space="preserve">for actual notice, Howard maintains on appeal, as she did at the trial court, that we impute knowledge of an unsafe condition to an employer where the employee created the condition.  (See </w:t>
      </w:r>
      <w:r>
        <w:rPr>
          <w:rFonts w:eastAsia="Century Schoolbook" w:cs="Century Schoolbook"/>
          <w:i/>
          <w:color w:val="000000"/>
          <w:szCs w:val="26"/>
        </w:rPr>
        <w:t xml:space="preserve">Hatfield v. Levy Brothers </w:t>
      </w:r>
      <w:r>
        <w:rPr>
          <w:rFonts w:eastAsia="Century Schoolbook" w:cs="Century Schoolbook"/>
          <w:color w:val="000000"/>
          <w:szCs w:val="26"/>
        </w:rPr>
        <w:t xml:space="preserve">(1941) 18 Cal.2d 798, 806.)  </w:t>
      </w:r>
      <w:r w:rsidRPr="00D74EC9">
        <w:rPr>
          <w:rFonts w:eastAsia="Century Schoolbook" w:cs="Century Schoolbook"/>
          <w:color w:val="000000" w:themeColor="text1"/>
          <w:szCs w:val="26"/>
        </w:rPr>
        <w:t xml:space="preserve">She argues the evidence shows the housekeeper was the only one to see and use </w:t>
      </w:r>
      <w:r w:rsidRPr="00BC65A5">
        <w:rPr>
          <w:rFonts w:eastAsia="Century Schoolbook" w:cs="Century Schoolbook"/>
          <w:color w:val="000000" w:themeColor="text1"/>
          <w:szCs w:val="26"/>
        </w:rPr>
        <w:t xml:space="preserve">the shower wand after it was functioning properly that morning, and, in light of hotel witnesses’ comments about how housekeepers use these wands when cleaning, the only </w:t>
      </w:r>
      <w:r w:rsidRPr="00B1108E">
        <w:rPr>
          <w:rFonts w:eastAsia="Century Schoolbook" w:cs="Century Schoolbook"/>
          <w:color w:val="000000" w:themeColor="text1"/>
          <w:szCs w:val="26"/>
        </w:rPr>
        <w:t>reasonable inference is the housekeeper did so</w:t>
      </w:r>
      <w:r w:rsidRPr="00BC65A5">
        <w:rPr>
          <w:rFonts w:eastAsia="Century Schoolbook" w:cs="Century Schoolbook"/>
          <w:color w:val="000000" w:themeColor="text1"/>
          <w:szCs w:val="26"/>
        </w:rPr>
        <w:t xml:space="preserve">mething to break this wand or at least noticed </w:t>
      </w:r>
      <w:r w:rsidRPr="00543BD0">
        <w:rPr>
          <w:rFonts w:eastAsia="Century Schoolbook" w:cs="Century Schoolbook"/>
          <w:color w:val="000000" w:themeColor="text1"/>
          <w:szCs w:val="26"/>
        </w:rPr>
        <w:t xml:space="preserve">its poor condition.  We therefore must conclude it was more likely than not Accor knew of the shower wand’s unsafe condition.  </w:t>
      </w:r>
    </w:p>
    <w:p w14:paraId="29A4ACC0" w14:textId="66E8E288" w:rsidR="00682E92" w:rsidRPr="006B4500" w:rsidRDefault="00656D9B">
      <w:pPr>
        <w:ind w:firstLine="720"/>
        <w:rPr>
          <w:rFonts w:eastAsia="Century Schoolbook" w:cs="Century Schoolbook"/>
          <w:color w:val="000000" w:themeColor="text1"/>
          <w:szCs w:val="26"/>
        </w:rPr>
      </w:pPr>
      <w:r>
        <w:rPr>
          <w:rFonts w:eastAsia="Century Schoolbook" w:cs="Century Schoolbook"/>
          <w:color w:val="000000"/>
          <w:szCs w:val="26"/>
        </w:rPr>
        <w:t xml:space="preserve">Howard’s problem is nothing shows the housekeeper did anything to break the shower wand.  </w:t>
      </w:r>
      <w:r w:rsidRPr="00B81266">
        <w:rPr>
          <w:rFonts w:eastAsia="Century Schoolbook" w:cs="Century Schoolbook"/>
          <w:color w:val="000000" w:themeColor="text1"/>
          <w:szCs w:val="26"/>
        </w:rPr>
        <w:t>The evidence does not show the housekeeper was required to use the wand.</w:t>
      </w:r>
      <w:r w:rsidRPr="00CF5EA2">
        <w:rPr>
          <w:rFonts w:eastAsia="Century Schoolbook" w:cs="Century Schoolbook"/>
          <w:color w:val="FF0000"/>
          <w:szCs w:val="26"/>
        </w:rPr>
        <w:t xml:space="preserve">  </w:t>
      </w:r>
      <w:r w:rsidRPr="00CC5AF6">
        <w:rPr>
          <w:rFonts w:eastAsia="Century Schoolbook" w:cs="Century Schoolbook"/>
          <w:color w:val="000000" w:themeColor="text1"/>
          <w:szCs w:val="26"/>
        </w:rPr>
        <w:t>There was no evidence fro</w:t>
      </w:r>
      <w:r w:rsidRPr="00927417">
        <w:rPr>
          <w:rFonts w:eastAsia="Century Schoolbook" w:cs="Century Schoolbook"/>
          <w:color w:val="000000" w:themeColor="text1"/>
          <w:szCs w:val="26"/>
        </w:rPr>
        <w:t xml:space="preserve">m the housekeeper, as Howard decided not to depose her.  No evidence </w:t>
      </w:r>
      <w:r>
        <w:rPr>
          <w:rFonts w:eastAsia="Century Schoolbook" w:cs="Century Schoolbook"/>
          <w:color w:val="000000"/>
          <w:szCs w:val="26"/>
        </w:rPr>
        <w:t>suggested this housekeeper used th</w:t>
      </w:r>
      <w:r>
        <w:rPr>
          <w:rFonts w:eastAsia="Century Schoolbook" w:cs="Century Schoolbook"/>
          <w:szCs w:val="26"/>
        </w:rPr>
        <w:t>is</w:t>
      </w:r>
      <w:r>
        <w:rPr>
          <w:rFonts w:eastAsia="Century Schoolbook" w:cs="Century Schoolbook"/>
          <w:color w:val="000000"/>
          <w:szCs w:val="26"/>
        </w:rPr>
        <w:t xml:space="preserve"> wand during her cleaning that day.  For example, Howard did not testify the shower walls were wet before she took her afternoon shower. </w:t>
      </w:r>
      <w:r w:rsidRPr="00BC0B02">
        <w:rPr>
          <w:rFonts w:eastAsia="Century Schoolbook" w:cs="Century Schoolbook"/>
          <w:color w:val="000000" w:themeColor="text1"/>
          <w:szCs w:val="26"/>
        </w:rPr>
        <w:t xml:space="preserve"> The hotel’s Housekeeping Standards </w:t>
      </w:r>
      <w:r w:rsidRPr="00485B46">
        <w:rPr>
          <w:rFonts w:eastAsia="Century Schoolbook" w:cs="Century Schoolbook"/>
          <w:color w:val="000000" w:themeColor="text1"/>
          <w:szCs w:val="26"/>
        </w:rPr>
        <w:t xml:space="preserve">say housekeepers are to spray bathroom fixtures </w:t>
      </w:r>
      <w:r w:rsidRPr="00485B46">
        <w:rPr>
          <w:rFonts w:eastAsia="Century Schoolbook" w:cs="Century Schoolbook"/>
          <w:i/>
          <w:color w:val="000000" w:themeColor="text1"/>
          <w:szCs w:val="26"/>
        </w:rPr>
        <w:t>with cleaning solution</w:t>
      </w:r>
      <w:r w:rsidRPr="00485B46">
        <w:rPr>
          <w:rFonts w:eastAsia="Century Schoolbook" w:cs="Century Schoolbook"/>
          <w:color w:val="000000" w:themeColor="text1"/>
          <w:szCs w:val="26"/>
        </w:rPr>
        <w:t xml:space="preserve"> during cleanings; but </w:t>
      </w:r>
      <w:r w:rsidRPr="00B81266">
        <w:rPr>
          <w:rFonts w:eastAsia="Century Schoolbook" w:cs="Century Schoolbook"/>
          <w:color w:val="000000" w:themeColor="text1"/>
          <w:szCs w:val="26"/>
        </w:rPr>
        <w:t xml:space="preserve">we are not told these </w:t>
      </w:r>
      <w:r w:rsidRPr="00485B46">
        <w:rPr>
          <w:rFonts w:eastAsia="Century Schoolbook" w:cs="Century Schoolbook"/>
          <w:color w:val="000000" w:themeColor="text1"/>
          <w:szCs w:val="26"/>
        </w:rPr>
        <w:t xml:space="preserve">standards say anything about using shower wands.  Housekeepers are to prepare a work order if they notice any problems </w:t>
      </w:r>
      <w:r w:rsidRPr="006B4500">
        <w:rPr>
          <w:rFonts w:eastAsia="Century Schoolbook" w:cs="Century Schoolbook"/>
          <w:color w:val="000000" w:themeColor="text1"/>
          <w:szCs w:val="26"/>
        </w:rPr>
        <w:t xml:space="preserve">with a fixture; but no work order existed for Howard’s room.  </w:t>
      </w:r>
    </w:p>
    <w:p w14:paraId="2D84026A" w14:textId="774BB529" w:rsidR="00682E92" w:rsidRDefault="00656D9B">
      <w:pPr>
        <w:ind w:firstLine="720"/>
        <w:rPr>
          <w:rFonts w:eastAsia="Century Schoolbook" w:cs="Century Schoolbook"/>
          <w:color w:val="000000"/>
          <w:szCs w:val="26"/>
        </w:rPr>
      </w:pPr>
      <w:r w:rsidRPr="006B4500">
        <w:rPr>
          <w:rFonts w:eastAsia="Century Schoolbook" w:cs="Century Schoolbook"/>
          <w:color w:val="000000" w:themeColor="text1"/>
          <w:szCs w:val="26"/>
        </w:rPr>
        <w:t xml:space="preserve">While some </w:t>
      </w:r>
      <w:r w:rsidRPr="00B81266">
        <w:rPr>
          <w:rFonts w:eastAsia="Century Schoolbook" w:cs="Century Schoolbook"/>
          <w:color w:val="000000" w:themeColor="text1"/>
          <w:szCs w:val="26"/>
        </w:rPr>
        <w:t xml:space="preserve">hotel witnesses testified about housekeepers using detachable shower heads when cleaning, the testimony was not clear on </w:t>
      </w:r>
      <w:r w:rsidRPr="00B81266">
        <w:rPr>
          <w:rFonts w:eastAsia="Century Schoolbook" w:cs="Century Schoolbook"/>
          <w:i/>
          <w:color w:val="000000" w:themeColor="text1"/>
          <w:szCs w:val="26"/>
        </w:rPr>
        <w:t>when</w:t>
      </w:r>
      <w:r w:rsidRPr="00B81266">
        <w:rPr>
          <w:rFonts w:eastAsia="Century Schoolbook" w:cs="Century Schoolbook"/>
          <w:color w:val="000000" w:themeColor="text1"/>
          <w:szCs w:val="26"/>
        </w:rPr>
        <w:t xml:space="preserve">, if ever, these shower heads had to be used.  </w:t>
      </w:r>
      <w:r w:rsidRPr="00E34E08">
        <w:rPr>
          <w:rFonts w:eastAsia="Century Schoolbook" w:cs="Century Schoolbook"/>
          <w:color w:val="000000" w:themeColor="text1"/>
          <w:szCs w:val="26"/>
        </w:rPr>
        <w:t xml:space="preserve">One witness discussed cleanings after check outs and those for stayover guests.  </w:t>
      </w:r>
      <w:r>
        <w:rPr>
          <w:rFonts w:eastAsia="Century Schoolbook" w:cs="Century Schoolbook"/>
          <w:color w:val="000000"/>
          <w:szCs w:val="26"/>
        </w:rPr>
        <w:t xml:space="preserve">Howard does not address this distinction.  </w:t>
      </w:r>
    </w:p>
    <w:p w14:paraId="3C5D6CFB" w14:textId="7C242578" w:rsidR="00682E92" w:rsidRPr="00B075D3" w:rsidRDefault="00656D9B">
      <w:pPr>
        <w:ind w:firstLine="720"/>
        <w:rPr>
          <w:rFonts w:eastAsia="Century Schoolbook" w:cs="Century Schoolbook"/>
          <w:color w:val="FF0000"/>
          <w:szCs w:val="26"/>
        </w:rPr>
      </w:pPr>
      <w:r w:rsidRPr="00EA28C1">
        <w:rPr>
          <w:rFonts w:eastAsia="Century Schoolbook" w:cs="Century Schoolbook"/>
          <w:color w:val="000000" w:themeColor="text1"/>
          <w:szCs w:val="26"/>
        </w:rPr>
        <w:lastRenderedPageBreak/>
        <w:t xml:space="preserve">The hotel witnesses also established the hotel’s engineering and maintenance team </w:t>
      </w:r>
      <w:r w:rsidRPr="00E479F3">
        <w:rPr>
          <w:rFonts w:eastAsia="Century Schoolbook" w:cs="Century Schoolbook"/>
          <w:color w:val="000000" w:themeColor="text1"/>
          <w:szCs w:val="26"/>
        </w:rPr>
        <w:t>had inspected Howard’s room several months before the incident, and had performed a preventative maintenance check on the shower fixtures, but the team found no issue with these fixtures.</w:t>
      </w:r>
      <w:r w:rsidRPr="00B075D3">
        <w:rPr>
          <w:rFonts w:eastAsia="Century Schoolbook" w:cs="Century Schoolbook"/>
          <w:color w:val="FF0000"/>
          <w:szCs w:val="26"/>
        </w:rPr>
        <w:t xml:space="preserve">  </w:t>
      </w:r>
      <w:r w:rsidRPr="00E51243">
        <w:rPr>
          <w:rFonts w:eastAsia="Century Schoolbook" w:cs="Century Schoolbook"/>
          <w:color w:val="000000" w:themeColor="text1"/>
          <w:szCs w:val="26"/>
        </w:rPr>
        <w:t xml:space="preserve">There were no other reports of defective or broken shower heads at the hotel.  </w:t>
      </w:r>
      <w:r w:rsidRPr="00960326">
        <w:rPr>
          <w:rFonts w:eastAsia="Century Schoolbook" w:cs="Century Schoolbook"/>
          <w:color w:val="000000" w:themeColor="text1"/>
          <w:szCs w:val="26"/>
        </w:rPr>
        <w:t xml:space="preserve">Further, no assembly was required for the section of the shower head </w:t>
      </w:r>
      <w:r w:rsidRPr="0049552E">
        <w:rPr>
          <w:rFonts w:eastAsia="Century Schoolbook" w:cs="Century Schoolbook"/>
          <w:color w:val="000000" w:themeColor="text1"/>
          <w:szCs w:val="26"/>
        </w:rPr>
        <w:t xml:space="preserve">that broke—it arrived in one piece from the distributor/manufacturer.  </w:t>
      </w:r>
    </w:p>
    <w:p w14:paraId="672AB62B" w14:textId="77777777" w:rsidR="00682E92" w:rsidRDefault="00656D9B">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We agree with the trial court that </w:t>
      </w:r>
      <w:r>
        <w:rPr>
          <w:rFonts w:eastAsia="Century Schoolbook" w:cs="Century Schoolbook"/>
          <w:szCs w:val="26"/>
        </w:rPr>
        <w:t>the</w:t>
      </w:r>
      <w:r>
        <w:rPr>
          <w:rFonts w:eastAsia="Century Schoolbook" w:cs="Century Schoolbook"/>
          <w:color w:val="000000"/>
          <w:szCs w:val="26"/>
        </w:rPr>
        <w:t xml:space="preserve"> evidence was </w:t>
      </w:r>
      <w:r>
        <w:rPr>
          <w:rFonts w:eastAsia="Century Schoolbook" w:cs="Century Schoolbook"/>
          <w:szCs w:val="26"/>
        </w:rPr>
        <w:t>insufficient</w:t>
      </w:r>
      <w:r>
        <w:rPr>
          <w:rFonts w:eastAsia="Century Schoolbook" w:cs="Century Schoolbook"/>
          <w:color w:val="000000"/>
          <w:szCs w:val="26"/>
        </w:rPr>
        <w:t xml:space="preserve"> to raise a triable issue on notice.  </w:t>
      </w:r>
    </w:p>
    <w:p w14:paraId="6C9B796B" w14:textId="77777777" w:rsidR="00682E92" w:rsidRDefault="00656D9B">
      <w:pPr>
        <w:shd w:val="clear" w:color="auto" w:fill="FFFFFF"/>
        <w:ind w:firstLine="720"/>
        <w:rPr>
          <w:rFonts w:eastAsia="Century Schoolbook" w:cs="Century Schoolbook"/>
          <w:color w:val="000000"/>
          <w:szCs w:val="26"/>
        </w:rPr>
      </w:pPr>
      <w:r>
        <w:rPr>
          <w:rFonts w:eastAsia="Century Schoolbook" w:cs="Century Schoolbook"/>
          <w:szCs w:val="26"/>
        </w:rPr>
        <w:t>We follow the standard procedural rules here.  W</w:t>
      </w:r>
      <w:r>
        <w:rPr>
          <w:rFonts w:eastAsia="Century Schoolbook" w:cs="Century Schoolbook"/>
          <w:color w:val="000000"/>
          <w:szCs w:val="26"/>
        </w:rPr>
        <w:t xml:space="preserve">e view the evidence </w:t>
      </w:r>
      <w:r>
        <w:rPr>
          <w:rFonts w:eastAsia="Century Schoolbook" w:cs="Century Schoolbook"/>
          <w:i/>
          <w:color w:val="000000"/>
          <w:szCs w:val="26"/>
        </w:rPr>
        <w:t>and</w:t>
      </w:r>
      <w:r>
        <w:rPr>
          <w:rFonts w:eastAsia="Century Schoolbook" w:cs="Century Schoolbook"/>
          <w:color w:val="000000"/>
          <w:szCs w:val="26"/>
        </w:rPr>
        <w:t xml:space="preserve"> reasonable inferences in favor of the party opposing summary judgment.  (</w:t>
      </w:r>
      <w:r>
        <w:rPr>
          <w:rFonts w:eastAsia="Century Schoolbook" w:cs="Century Schoolbook"/>
          <w:i/>
          <w:color w:val="000000"/>
          <w:szCs w:val="26"/>
        </w:rPr>
        <w:t>Jones v. Wachovia Bank</w:t>
      </w:r>
      <w:r>
        <w:rPr>
          <w:rFonts w:eastAsia="Century Schoolbook" w:cs="Century Schoolbook"/>
          <w:color w:val="000000"/>
          <w:szCs w:val="26"/>
        </w:rPr>
        <w:t xml:space="preserve"> (2014) 230 Cal.App.4th 935, 945.)  But we draw inferences from evidence, not from possibilities.  (</w:t>
      </w:r>
      <w:r>
        <w:rPr>
          <w:rFonts w:eastAsia="Century Schoolbook" w:cs="Century Schoolbook"/>
          <w:i/>
          <w:color w:val="000000"/>
          <w:szCs w:val="26"/>
        </w:rPr>
        <w:t>Id.</w:t>
      </w:r>
      <w:r>
        <w:rPr>
          <w:rFonts w:eastAsia="Century Schoolbook" w:cs="Century Schoolbook"/>
          <w:color w:val="000000"/>
          <w:szCs w:val="26"/>
        </w:rPr>
        <w:t xml:space="preserve"> at pp. 945–946; </w:t>
      </w:r>
      <w:r>
        <w:rPr>
          <w:rFonts w:eastAsia="Century Schoolbook" w:cs="Century Schoolbook"/>
          <w:i/>
          <w:color w:val="000000"/>
          <w:szCs w:val="26"/>
        </w:rPr>
        <w:t>Montague v. AMN Healthcare, Inc</w:t>
      </w:r>
      <w:r>
        <w:rPr>
          <w:rFonts w:eastAsia="Century Schoolbook" w:cs="Century Schoolbook"/>
          <w:color w:val="000000"/>
          <w:szCs w:val="26"/>
        </w:rPr>
        <w:t xml:space="preserve">. (2014) 223 Cal.App.4th 1515, 1525 [“speculative inferences do not raise a triable issue of fact”]; see also </w:t>
      </w:r>
      <w:r>
        <w:rPr>
          <w:rFonts w:eastAsia="Century Schoolbook" w:cs="Century Schoolbook"/>
          <w:i/>
          <w:color w:val="000000"/>
          <w:szCs w:val="26"/>
        </w:rPr>
        <w:t>Peralta v. Vons Companies, Inc</w:t>
      </w:r>
      <w:r>
        <w:rPr>
          <w:rFonts w:eastAsia="Century Schoolbook" w:cs="Century Schoolbook"/>
          <w:color w:val="000000"/>
          <w:szCs w:val="26"/>
        </w:rPr>
        <w:t>. (2018) 24 Cal.App.5th 1030, 1036 (</w:t>
      </w:r>
      <w:r>
        <w:rPr>
          <w:rFonts w:eastAsia="Century Schoolbook" w:cs="Century Schoolbook"/>
          <w:i/>
          <w:color w:val="000000"/>
          <w:szCs w:val="26"/>
        </w:rPr>
        <w:t>Peralta</w:t>
      </w:r>
      <w:r>
        <w:rPr>
          <w:rFonts w:eastAsia="Century Schoolbook" w:cs="Century Schoolbook"/>
          <w:color w:val="000000"/>
          <w:szCs w:val="26"/>
        </w:rPr>
        <w:t xml:space="preserve">) [conjecture is legally insufficient to defeat summary judgment; speculation, and the mere possibility there was a slippery substance on the floor, does not establish causation].)  </w:t>
      </w:r>
    </w:p>
    <w:p w14:paraId="238DE9FF" w14:textId="0B15B387" w:rsidR="00682E92" w:rsidRDefault="00656D9B">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Howard’s </w:t>
      </w:r>
      <w:r>
        <w:rPr>
          <w:rFonts w:eastAsia="Century Schoolbook" w:cs="Century Schoolbook"/>
          <w:szCs w:val="26"/>
        </w:rPr>
        <w:t>papers ask us to make many leaps of logic to infer it was more likely than not that the housekeeper’s negligence caused the shower wand to break</w:t>
      </w:r>
      <w:r>
        <w:rPr>
          <w:rFonts w:eastAsia="Century Schoolbook" w:cs="Century Schoolbook"/>
          <w:color w:val="000000"/>
          <w:szCs w:val="26"/>
        </w:rPr>
        <w:t xml:space="preserve">.  (See </w:t>
      </w:r>
      <w:r>
        <w:rPr>
          <w:rFonts w:eastAsia="Century Schoolbook" w:cs="Century Schoolbook"/>
          <w:i/>
          <w:color w:val="000000"/>
          <w:szCs w:val="26"/>
        </w:rPr>
        <w:t>Peralta</w:t>
      </w:r>
      <w:r>
        <w:rPr>
          <w:rFonts w:eastAsia="Century Schoolbook" w:cs="Century Schoolbook"/>
          <w:color w:val="000000"/>
          <w:szCs w:val="26"/>
        </w:rPr>
        <w:t xml:space="preserve">, at p. 1035 [plaintiffs must introduce evidence affording a reasonable basis for concluding it is more likely than not the defendant’s conduct caused the result].) </w:t>
      </w:r>
    </w:p>
    <w:p w14:paraId="16569350" w14:textId="77777777" w:rsidR="00682E92" w:rsidRDefault="00656D9B">
      <w:pPr>
        <w:shd w:val="clear" w:color="auto" w:fill="FFFFFF"/>
        <w:rPr>
          <w:rFonts w:eastAsia="Century Schoolbook" w:cs="Century Schoolbook"/>
          <w:color w:val="000000"/>
          <w:szCs w:val="26"/>
        </w:rPr>
      </w:pPr>
      <w:r>
        <w:rPr>
          <w:rFonts w:eastAsia="Century Schoolbook" w:cs="Century Schoolbook"/>
          <w:color w:val="000000"/>
          <w:szCs w:val="26"/>
        </w:rPr>
        <w:t xml:space="preserve"> </w:t>
      </w:r>
      <w:r>
        <w:rPr>
          <w:rFonts w:eastAsia="Century Schoolbook" w:cs="Century Schoolbook"/>
          <w:color w:val="000000"/>
          <w:szCs w:val="26"/>
        </w:rPr>
        <w:tab/>
      </w:r>
      <w:r>
        <w:rPr>
          <w:rFonts w:eastAsia="Century Schoolbook" w:cs="Century Schoolbook"/>
          <w:szCs w:val="26"/>
        </w:rPr>
        <w:t xml:space="preserve">Howard’s deposition testimony leads to reasonable inferences the cause was something else:  the shower head sprayed Howard because it was facing her, and Howard’s quick </w:t>
      </w:r>
      <w:r>
        <w:rPr>
          <w:rFonts w:eastAsia="Century Schoolbook" w:cs="Century Schoolbook"/>
          <w:szCs w:val="26"/>
        </w:rPr>
        <w:lastRenderedPageBreak/>
        <w:t xml:space="preserve">reach for the wand or an inherent defect could have caused its dismantling.  </w:t>
      </w:r>
      <w:r>
        <w:rPr>
          <w:rFonts w:eastAsia="Century Schoolbook" w:cs="Century Schoolbook"/>
          <w:color w:val="000000"/>
          <w:szCs w:val="26"/>
        </w:rPr>
        <w:t>There is no inconsistency between these causes and Howard’s and her boyfriend’s statements about the care they took with their earlier showers.</w:t>
      </w:r>
    </w:p>
    <w:p w14:paraId="125E15F8" w14:textId="54A2A51E" w:rsidR="00682E92" w:rsidRPr="00B075D3" w:rsidRDefault="00656D9B">
      <w:pPr>
        <w:ind w:firstLine="720"/>
        <w:rPr>
          <w:rFonts w:eastAsia="Century Schoolbook" w:cs="Century Schoolbook"/>
          <w:color w:val="FF0000"/>
          <w:szCs w:val="26"/>
        </w:rPr>
      </w:pPr>
      <w:r>
        <w:rPr>
          <w:rFonts w:eastAsia="Century Schoolbook" w:cs="Century Schoolbook"/>
          <w:color w:val="000000"/>
          <w:szCs w:val="26"/>
        </w:rPr>
        <w:t xml:space="preserve">The evidence does not show the shower wand was broken before </w:t>
      </w:r>
      <w:r w:rsidRPr="00CC421B">
        <w:rPr>
          <w:rFonts w:eastAsia="Century Schoolbook" w:cs="Century Schoolbook"/>
          <w:color w:val="000000" w:themeColor="text1"/>
          <w:szCs w:val="26"/>
        </w:rPr>
        <w:t>Howard grabbed it.  When describing the incident at her deposition</w:t>
      </w:r>
      <w:r w:rsidRPr="00715E7E">
        <w:rPr>
          <w:rFonts w:eastAsia="Century Schoolbook" w:cs="Century Schoolbook"/>
          <w:color w:val="000000" w:themeColor="text1"/>
          <w:szCs w:val="26"/>
        </w:rPr>
        <w:t xml:space="preserve">, Howard did not say the wand was sharp or broken then.  Nor does Howard’s declaration say she was cut before the wand fell apart.  </w:t>
      </w:r>
    </w:p>
    <w:p w14:paraId="3E7D7D85" w14:textId="6583C505" w:rsidR="00682E92" w:rsidRDefault="00656D9B">
      <w:pPr>
        <w:ind w:firstLine="720"/>
        <w:rPr>
          <w:rFonts w:eastAsia="Century Schoolbook" w:cs="Century Schoolbook"/>
          <w:color w:val="000000"/>
          <w:szCs w:val="26"/>
        </w:rPr>
      </w:pPr>
      <w:r>
        <w:rPr>
          <w:rFonts w:eastAsia="Century Schoolbook" w:cs="Century Schoolbook"/>
          <w:i/>
          <w:color w:val="000000"/>
          <w:szCs w:val="26"/>
        </w:rPr>
        <w:t xml:space="preserve">Getchell v. Rogers Jewelry </w:t>
      </w:r>
      <w:r>
        <w:rPr>
          <w:rFonts w:eastAsia="Century Schoolbook" w:cs="Century Schoolbook"/>
          <w:color w:val="000000"/>
          <w:szCs w:val="26"/>
        </w:rPr>
        <w:t>(2012) 203 Cal.App.4th 381, on which Howard relies, is distinguishable.  In that atypical slip and fall case, the plaintiff’s evidence showed the jewelry cleaning solution on which he fell could only have been on the break room floor of the jewelry store due to the negligence of store employees:  Only the plaintiff (an independent contractor of the store) and store employees had access to the break room and the cleaning solution, the plaintiff had observed store employees use the solution in a way that could cause leaks onto the floor, and he did not cause this pool of cleaning solution.  (</w:t>
      </w:r>
      <w:r>
        <w:rPr>
          <w:rFonts w:eastAsia="Century Schoolbook" w:cs="Century Schoolbook"/>
          <w:i/>
          <w:color w:val="000000"/>
          <w:szCs w:val="26"/>
        </w:rPr>
        <w:t>See id.</w:t>
      </w:r>
      <w:r>
        <w:rPr>
          <w:rFonts w:eastAsia="Century Schoolbook" w:cs="Century Schoolbook"/>
          <w:color w:val="000000"/>
          <w:szCs w:val="26"/>
        </w:rPr>
        <w:t xml:space="preserve"> at pp. 382–384 &amp; 386.)  In contrast, Howard did not show that the shower wand was under the hotel’s exclusive control and that she </w:t>
      </w:r>
      <w:r>
        <w:rPr>
          <w:rFonts w:eastAsia="Century Schoolbook" w:cs="Century Schoolbook"/>
          <w:szCs w:val="26"/>
        </w:rPr>
        <w:t xml:space="preserve">did </w:t>
      </w:r>
      <w:r>
        <w:rPr>
          <w:rFonts w:eastAsia="Century Schoolbook" w:cs="Century Schoolbook"/>
          <w:color w:val="000000"/>
          <w:szCs w:val="26"/>
        </w:rPr>
        <w:t xml:space="preserve">not cause its </w:t>
      </w:r>
      <w:r>
        <w:rPr>
          <w:rFonts w:eastAsia="Century Schoolbook" w:cs="Century Schoolbook"/>
          <w:szCs w:val="26"/>
        </w:rPr>
        <w:t>failure</w:t>
      </w:r>
      <w:r>
        <w:rPr>
          <w:rFonts w:eastAsia="Century Schoolbook" w:cs="Century Schoolbook"/>
          <w:color w:val="000000"/>
          <w:szCs w:val="26"/>
        </w:rPr>
        <w:t>.</w:t>
      </w:r>
    </w:p>
    <w:p w14:paraId="6F453A85" w14:textId="77777777" w:rsidR="00682E92" w:rsidRDefault="00656D9B">
      <w:pPr>
        <w:jc w:val="center"/>
        <w:rPr>
          <w:rFonts w:eastAsia="Century Schoolbook" w:cs="Century Schoolbook"/>
          <w:szCs w:val="26"/>
        </w:rPr>
      </w:pPr>
      <w:r>
        <w:rPr>
          <w:rFonts w:eastAsia="Century Schoolbook" w:cs="Century Schoolbook"/>
          <w:szCs w:val="26"/>
        </w:rPr>
        <w:t>B</w:t>
      </w:r>
    </w:p>
    <w:p w14:paraId="4DE2ED09" w14:textId="62282D82" w:rsidR="00682E9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szCs w:val="26"/>
        </w:rPr>
      </w:pPr>
      <w:r>
        <w:rPr>
          <w:rFonts w:eastAsia="Century Schoolbook" w:cs="Century Schoolbook"/>
          <w:szCs w:val="26"/>
        </w:rPr>
        <w:tab/>
      </w:r>
      <w:r w:rsidRPr="008F6CF2">
        <w:rPr>
          <w:rFonts w:eastAsia="Century Schoolbook" w:cs="Century Schoolbook"/>
          <w:color w:val="000000" w:themeColor="text1"/>
          <w:szCs w:val="26"/>
        </w:rPr>
        <w:t xml:space="preserve">Howard relied on her expert Avrit to try to bridge the gaps in her </w:t>
      </w:r>
      <w:r w:rsidRPr="0055021B">
        <w:rPr>
          <w:rFonts w:eastAsia="Century Schoolbook" w:cs="Century Schoolbook"/>
          <w:color w:val="000000" w:themeColor="text1"/>
          <w:szCs w:val="26"/>
        </w:rPr>
        <w:t xml:space="preserve">evidence.  She claims, in her fourth appellate issue, that the trial court abused its discretion in disregarding most of this expert’s opinions.  </w:t>
      </w:r>
    </w:p>
    <w:p w14:paraId="15AC61B1" w14:textId="28097CB6" w:rsidR="00682E9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0070C0"/>
          <w:szCs w:val="26"/>
        </w:rPr>
      </w:pPr>
      <w:r>
        <w:rPr>
          <w:rFonts w:eastAsia="Century Schoolbook" w:cs="Century Schoolbook"/>
          <w:szCs w:val="26"/>
        </w:rPr>
        <w:tab/>
        <w:t xml:space="preserve">Howard has not adequately presented </w:t>
      </w:r>
      <w:r>
        <w:rPr>
          <w:rFonts w:eastAsia="Century Schoolbook" w:cs="Century Schoolbook"/>
          <w:color w:val="000000"/>
          <w:szCs w:val="26"/>
        </w:rPr>
        <w:t xml:space="preserve">the issue for our review.  </w:t>
      </w:r>
      <w:r w:rsidRPr="00137DB7">
        <w:rPr>
          <w:rFonts w:eastAsia="Century Schoolbook" w:cs="Century Schoolbook"/>
          <w:color w:val="000000" w:themeColor="text1"/>
          <w:szCs w:val="26"/>
        </w:rPr>
        <w:t xml:space="preserve">Her opening brief defends Avrit’s expertise and sets out what he reviewed in forming his opinions but essentially asks us </w:t>
      </w:r>
      <w:r w:rsidRPr="00137DB7">
        <w:rPr>
          <w:rFonts w:eastAsia="Century Schoolbook" w:cs="Century Schoolbook"/>
          <w:color w:val="000000" w:themeColor="text1"/>
          <w:szCs w:val="26"/>
        </w:rPr>
        <w:lastRenderedPageBreak/>
        <w:t xml:space="preserve">to do the real work for her:  to examine the trial court papers and determine which statements the trial court struck and why, and to discern why each statement should have come in despite the specific objections asserted.  </w:t>
      </w:r>
      <w:r>
        <w:rPr>
          <w:rFonts w:eastAsia="Century Schoolbook" w:cs="Century Schoolbook"/>
          <w:szCs w:val="26"/>
        </w:rPr>
        <w:t xml:space="preserve">This was Howard’s job, and we will not develop her arguments for her. </w:t>
      </w:r>
      <w:r>
        <w:rPr>
          <w:rFonts w:eastAsia="Century Schoolbook" w:cs="Century Schoolbook"/>
          <w:color w:val="000000"/>
          <w:szCs w:val="26"/>
        </w:rPr>
        <w:t xml:space="preserve"> (See </w:t>
      </w:r>
      <w:r>
        <w:rPr>
          <w:rFonts w:eastAsia="Century Schoolbook" w:cs="Century Schoolbook"/>
          <w:i/>
          <w:color w:val="000000"/>
          <w:szCs w:val="26"/>
        </w:rPr>
        <w:t>United Grand Corp. v. Malibu Hillbillies, LLC</w:t>
      </w:r>
      <w:r>
        <w:rPr>
          <w:rFonts w:eastAsia="Century Schoolbook" w:cs="Century Schoolbook"/>
          <w:color w:val="000000"/>
          <w:szCs w:val="26"/>
        </w:rPr>
        <w:t xml:space="preserve"> (2019) 36 Cal.App.5th 142, 153; see also </w:t>
      </w:r>
      <w:r>
        <w:rPr>
          <w:rFonts w:eastAsia="Century Schoolbook" w:cs="Century Schoolbook"/>
          <w:i/>
          <w:color w:val="000000"/>
          <w:szCs w:val="26"/>
        </w:rPr>
        <w:t>id.</w:t>
      </w:r>
      <w:r>
        <w:rPr>
          <w:rFonts w:eastAsia="Century Schoolbook" w:cs="Century Schoolbook"/>
          <w:color w:val="000000"/>
          <w:szCs w:val="26"/>
        </w:rPr>
        <w:t xml:space="preserve"> at p. 157 [appellate courts are not required to search the record for error].) </w:t>
      </w:r>
    </w:p>
    <w:p w14:paraId="112C7A9A" w14:textId="34EA09A5" w:rsidR="00682E9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000000"/>
          <w:szCs w:val="26"/>
        </w:rPr>
      </w:pPr>
      <w:r>
        <w:rPr>
          <w:rFonts w:eastAsia="Century Schoolbook" w:cs="Century Schoolbook"/>
          <w:color w:val="0070C0"/>
          <w:szCs w:val="26"/>
        </w:rPr>
        <w:tab/>
      </w:r>
      <w:r w:rsidRPr="000548A2">
        <w:rPr>
          <w:rFonts w:eastAsia="Century Schoolbook" w:cs="Century Schoolbook"/>
          <w:color w:val="000000" w:themeColor="text1"/>
          <w:szCs w:val="26"/>
        </w:rPr>
        <w:t xml:space="preserve">Howard’s brief does provide sufficient arguments as to some excluded </w:t>
      </w:r>
      <w:r w:rsidRPr="009744EB">
        <w:rPr>
          <w:rFonts w:eastAsia="Century Schoolbook" w:cs="Century Schoolbook"/>
          <w:color w:val="000000" w:themeColor="text1"/>
          <w:szCs w:val="26"/>
        </w:rPr>
        <w:t xml:space="preserve">statements by Avrit:  statements about this shower wand’s composition, </w:t>
      </w:r>
      <w:r w:rsidRPr="00BD02A2">
        <w:rPr>
          <w:rFonts w:eastAsia="Century Schoolbook" w:cs="Century Schoolbook"/>
          <w:color w:val="000000" w:themeColor="text1"/>
          <w:szCs w:val="26"/>
        </w:rPr>
        <w:t xml:space="preserve">how this wand could break (or shear), when and how this wand did break (the housekeeper “must have” broken it, either intentionally or unintentionally, after Howard’s morning shower), and the </w:t>
      </w:r>
      <w:r w:rsidRPr="000548A2">
        <w:rPr>
          <w:rFonts w:eastAsia="Century Schoolbook" w:cs="Century Schoolbook"/>
          <w:color w:val="000000" w:themeColor="text1"/>
          <w:szCs w:val="26"/>
        </w:rPr>
        <w:t xml:space="preserve">hotel’s resulting notice of the break.  </w:t>
      </w:r>
    </w:p>
    <w:p w14:paraId="72681B5E" w14:textId="77777777" w:rsidR="00682E92" w:rsidRDefault="00656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szCs w:val="26"/>
        </w:rPr>
      </w:pPr>
      <w:r>
        <w:rPr>
          <w:rFonts w:eastAsia="Century Schoolbook" w:cs="Century Schoolbook"/>
          <w:color w:val="000000"/>
          <w:szCs w:val="26"/>
        </w:rPr>
        <w:tab/>
      </w:r>
      <w:r>
        <w:rPr>
          <w:rFonts w:eastAsia="Century Schoolbook" w:cs="Century Schoolbook"/>
          <w:szCs w:val="26"/>
        </w:rPr>
        <w:t xml:space="preserve">We cannot say the trial court exceeded the bounds of reason in excluding these statements, given:  </w:t>
      </w:r>
    </w:p>
    <w:p w14:paraId="1EEED28C" w14:textId="77777777" w:rsidR="00682E92" w:rsidRPr="00B50C56" w:rsidRDefault="00656D9B">
      <w:pPr>
        <w:numPr>
          <w:ilvl w:val="0"/>
          <w:numId w:val="1"/>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000000" w:themeColor="text1"/>
          <w:szCs w:val="26"/>
        </w:rPr>
      </w:pPr>
      <w:r w:rsidRPr="00B50C56">
        <w:rPr>
          <w:rFonts w:eastAsia="Century Schoolbook" w:cs="Century Schoolbook"/>
          <w:color w:val="000000" w:themeColor="text1"/>
          <w:szCs w:val="26"/>
        </w:rPr>
        <w:t xml:space="preserve">Avrit did not question the housekeeper or examine any statements by her; </w:t>
      </w:r>
    </w:p>
    <w:p w14:paraId="4B0FFFD4" w14:textId="77777777" w:rsidR="00682E92" w:rsidRPr="00B075D3" w:rsidRDefault="00656D9B">
      <w:pPr>
        <w:numPr>
          <w:ilvl w:val="0"/>
          <w:numId w:val="1"/>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sidRPr="00956470">
        <w:rPr>
          <w:rFonts w:eastAsia="Century Schoolbook" w:cs="Century Schoolbook"/>
          <w:color w:val="000000" w:themeColor="text1"/>
          <w:szCs w:val="26"/>
        </w:rPr>
        <w:t xml:space="preserve">he covertly inspected the hotel </w:t>
      </w:r>
      <w:r w:rsidRPr="00BF0C34">
        <w:rPr>
          <w:rFonts w:eastAsia="Century Schoolbook" w:cs="Century Schoolbook"/>
          <w:color w:val="000000" w:themeColor="text1"/>
          <w:szCs w:val="26"/>
        </w:rPr>
        <w:t xml:space="preserve">room more than one year after the incident </w:t>
      </w:r>
      <w:r w:rsidRPr="00B50C56">
        <w:rPr>
          <w:rFonts w:eastAsia="Century Schoolbook" w:cs="Century Schoolbook"/>
          <w:color w:val="000000" w:themeColor="text1"/>
          <w:szCs w:val="26"/>
        </w:rPr>
        <w:t xml:space="preserve">but made no attempt to explain how the shower fixtures and conditions then mirrored those when Howard was injured; </w:t>
      </w:r>
    </w:p>
    <w:p w14:paraId="3FD63FFB" w14:textId="77777777" w:rsidR="00682E92" w:rsidRPr="00B075D3" w:rsidRDefault="00656D9B">
      <w:pPr>
        <w:numPr>
          <w:ilvl w:val="0"/>
          <w:numId w:val="1"/>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sidRPr="007D68DB">
        <w:rPr>
          <w:rFonts w:eastAsia="Century Schoolbook" w:cs="Century Schoolbook"/>
          <w:color w:val="000000" w:themeColor="text1"/>
          <w:szCs w:val="26"/>
        </w:rPr>
        <w:t>he apparently never examined the broken shower wand and relied instead on pictures and</w:t>
      </w:r>
      <w:r w:rsidRPr="00B075D3">
        <w:rPr>
          <w:rFonts w:eastAsia="Century Schoolbook" w:cs="Century Schoolbook"/>
          <w:color w:val="FF0000"/>
          <w:szCs w:val="26"/>
        </w:rPr>
        <w:t xml:space="preserve"> </w:t>
      </w:r>
      <w:r w:rsidRPr="00B635C6">
        <w:rPr>
          <w:rFonts w:eastAsia="Century Schoolbook" w:cs="Century Schoolbook"/>
          <w:color w:val="000000" w:themeColor="text1"/>
          <w:szCs w:val="26"/>
        </w:rPr>
        <w:t>a witness statement that the shower head was made of plastic;</w:t>
      </w:r>
    </w:p>
    <w:p w14:paraId="19616377" w14:textId="6613EC1F" w:rsidR="00682E92" w:rsidRPr="00B075D3" w:rsidRDefault="00656D9B">
      <w:pPr>
        <w:numPr>
          <w:ilvl w:val="0"/>
          <w:numId w:val="1"/>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FF0000"/>
          <w:szCs w:val="26"/>
        </w:rPr>
      </w:pPr>
      <w:r w:rsidRPr="007233FB">
        <w:rPr>
          <w:rFonts w:eastAsia="Century Schoolbook" w:cs="Century Schoolbook"/>
          <w:color w:val="000000" w:themeColor="text1"/>
          <w:szCs w:val="26"/>
        </w:rPr>
        <w:t xml:space="preserve">Howard conceded that “countless” varieties of plastics are used for consumer products, but Avrit failed to explain how he knew </w:t>
      </w:r>
      <w:r w:rsidRPr="00532EDE">
        <w:rPr>
          <w:rFonts w:eastAsia="Century Schoolbook" w:cs="Century Schoolbook"/>
          <w:color w:val="000000" w:themeColor="text1"/>
          <w:szCs w:val="26"/>
        </w:rPr>
        <w:t>the properties of this particular product; and</w:t>
      </w:r>
      <w:r w:rsidR="0085372C" w:rsidRPr="0085372C">
        <w:rPr>
          <w:rFonts w:eastAsia="Century Schoolbook" w:cs="Century Schoolbook"/>
          <w:color w:val="7030A0"/>
          <w:szCs w:val="26"/>
        </w:rPr>
        <w:t xml:space="preserve"> </w:t>
      </w:r>
      <w:r w:rsidR="0085372C" w:rsidRPr="0085372C">
        <w:rPr>
          <w:rFonts w:eastAsia="Century Schoolbook" w:cs="Century Schoolbook"/>
          <w:color w:val="FF0000"/>
          <w:szCs w:val="26"/>
        </w:rPr>
        <w:t xml:space="preserve"> </w:t>
      </w:r>
    </w:p>
    <w:p w14:paraId="4831998E" w14:textId="48CD9108" w:rsidR="00682E92" w:rsidRDefault="00656D9B">
      <w:pPr>
        <w:numPr>
          <w:ilvl w:val="0"/>
          <w:numId w:val="1"/>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szCs w:val="26"/>
        </w:rPr>
      </w:pPr>
      <w:r w:rsidRPr="0065285A">
        <w:rPr>
          <w:rFonts w:eastAsia="Century Schoolbook" w:cs="Century Schoolbook"/>
          <w:color w:val="000000" w:themeColor="text1"/>
          <w:szCs w:val="26"/>
        </w:rPr>
        <w:lastRenderedPageBreak/>
        <w:t xml:space="preserve">Avrit based his conclusion the wand was sheared or broken after Howard’s morning shower but before her afternoon shower largely on Howard’s and her boyfriend’s statements.  </w:t>
      </w:r>
    </w:p>
    <w:p w14:paraId="31DCC7CF" w14:textId="4094C501" w:rsidR="00682E92" w:rsidRDefault="00656D9B">
      <w:p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color w:val="000000"/>
          <w:szCs w:val="26"/>
        </w:rPr>
      </w:pPr>
      <w:r>
        <w:rPr>
          <w:rFonts w:eastAsia="Century Schoolbook" w:cs="Century Schoolbook"/>
          <w:color w:val="000000"/>
          <w:szCs w:val="26"/>
        </w:rPr>
        <w:t xml:space="preserve">(See </w:t>
      </w:r>
      <w:r>
        <w:rPr>
          <w:rFonts w:eastAsia="Century Schoolbook" w:cs="Century Schoolbook"/>
          <w:i/>
          <w:color w:val="000000"/>
          <w:szCs w:val="26"/>
        </w:rPr>
        <w:t>Peralta</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24 Cal.App.5th at p. 1036 [absent any evidence there was a foreign substance on the floor, Avrit’s</w:t>
      </w:r>
      <w:r w:rsidR="0028652F">
        <w:rPr>
          <w:rFonts w:eastAsia="Century Schoolbook" w:cs="Century Schoolbook"/>
          <w:color w:val="000000"/>
          <w:szCs w:val="26"/>
        </w:rPr>
        <w:t xml:space="preserve"> </w:t>
      </w:r>
      <w:r>
        <w:rPr>
          <w:rFonts w:eastAsia="Century Schoolbook" w:cs="Century Schoolbook"/>
          <w:color w:val="000000"/>
          <w:szCs w:val="26"/>
        </w:rPr>
        <w:t xml:space="preserve">opinion as to the cause of plaintiff’s fall was mere conjecture]; </w:t>
      </w:r>
      <w:r>
        <w:rPr>
          <w:rFonts w:eastAsia="Century Schoolbook" w:cs="Century Schoolbook"/>
          <w:i/>
          <w:color w:val="000000"/>
          <w:szCs w:val="26"/>
        </w:rPr>
        <w:t>Bozzi v. Nordstrom, Inc</w:t>
      </w:r>
      <w:r>
        <w:rPr>
          <w:rFonts w:eastAsia="Century Schoolbook" w:cs="Century Schoolbook"/>
          <w:color w:val="000000"/>
          <w:szCs w:val="26"/>
        </w:rPr>
        <w:t xml:space="preserve">. (2010) 186 Cal.App.4th 755, 762–764 [no abuse of discretion to exclude expert’s opinions as conclusory, speculative, and lacking foundation where, among other things, the expert failed to inspect the escalator at issue].)  </w:t>
      </w:r>
      <w:r>
        <w:rPr>
          <w:rFonts w:eastAsia="Century Schoolbook" w:cs="Century Schoolbook"/>
          <w:i/>
          <w:color w:val="000000"/>
          <w:szCs w:val="26"/>
        </w:rPr>
        <w:t xml:space="preserve">Bozzi </w:t>
      </w:r>
      <w:r>
        <w:rPr>
          <w:rFonts w:eastAsia="Century Schoolbook" w:cs="Century Schoolbook"/>
          <w:color w:val="000000"/>
          <w:szCs w:val="26"/>
        </w:rPr>
        <w:t>reinforces that expert speculation is not evidence that can defeat summary judgment.  (</w:t>
      </w:r>
      <w:r>
        <w:rPr>
          <w:rFonts w:eastAsia="Century Schoolbook" w:cs="Century Schoolbook"/>
          <w:i/>
          <w:color w:val="000000"/>
          <w:szCs w:val="26"/>
        </w:rPr>
        <w:t>Bozzi</w:t>
      </w:r>
      <w:r>
        <w:rPr>
          <w:rFonts w:eastAsia="Century Schoolbook" w:cs="Century Schoolbook"/>
          <w:color w:val="000000"/>
          <w:szCs w:val="26"/>
        </w:rPr>
        <w:t xml:space="preserve">, at pp. 763–764.) </w:t>
      </w:r>
    </w:p>
    <w:p w14:paraId="7DEA2743" w14:textId="3A85C02F" w:rsidR="00682E92" w:rsidRDefault="00656D9B">
      <w:p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entury Schoolbook" w:cs="Century Schoolbook"/>
          <w:szCs w:val="26"/>
        </w:rPr>
      </w:pPr>
      <w:r>
        <w:rPr>
          <w:rFonts w:eastAsia="Century Schoolbook" w:cs="Century Schoolbook"/>
          <w:szCs w:val="26"/>
        </w:rPr>
        <w:tab/>
        <w:t>Trial courts have a duty to act as gatekeepers.  They must exclude speculative expert testimony.  (</w:t>
      </w:r>
      <w:r>
        <w:rPr>
          <w:rFonts w:eastAsia="Century Schoolbook" w:cs="Century Schoolbook"/>
          <w:i/>
          <w:szCs w:val="26"/>
        </w:rPr>
        <w:t>Sargon Enterprises, Inc. v. Univ</w:t>
      </w:r>
      <w:r w:rsidR="00DC7627">
        <w:rPr>
          <w:rFonts w:eastAsia="Century Schoolbook" w:cs="Century Schoolbook"/>
          <w:i/>
          <w:szCs w:val="26"/>
        </w:rPr>
        <w:t>.</w:t>
      </w:r>
      <w:r>
        <w:rPr>
          <w:rFonts w:eastAsia="Century Schoolbook" w:cs="Century Schoolbook"/>
          <w:i/>
          <w:szCs w:val="26"/>
        </w:rPr>
        <w:t xml:space="preserve"> of Southern Cal</w:t>
      </w:r>
      <w:r w:rsidR="00F62F5B">
        <w:rPr>
          <w:rFonts w:eastAsia="Century Schoolbook" w:cs="Century Schoolbook"/>
          <w:i/>
          <w:szCs w:val="26"/>
        </w:rPr>
        <w:t>.</w:t>
      </w:r>
      <w:r>
        <w:rPr>
          <w:rFonts w:eastAsia="Century Schoolbook" w:cs="Century Schoolbook"/>
          <w:szCs w:val="26"/>
        </w:rPr>
        <w:t xml:space="preserve"> (2012) 55 Cal.4th 747, 753.)  This court’s decisionmaking was not an abuse of discretion.  (See </w:t>
      </w:r>
      <w:r>
        <w:rPr>
          <w:rFonts w:eastAsia="Century Schoolbook" w:cs="Century Schoolbook"/>
          <w:i/>
          <w:szCs w:val="26"/>
        </w:rPr>
        <w:t xml:space="preserve">id. </w:t>
      </w:r>
      <w:r>
        <w:rPr>
          <w:rFonts w:eastAsia="Century Schoolbook" w:cs="Century Schoolbook"/>
          <w:szCs w:val="26"/>
        </w:rPr>
        <w:t xml:space="preserve">at p. 773.) </w:t>
      </w:r>
    </w:p>
    <w:p w14:paraId="1AF13818" w14:textId="77777777" w:rsidR="00682E92" w:rsidRDefault="00656D9B">
      <w:pPr>
        <w:jc w:val="center"/>
        <w:rPr>
          <w:rFonts w:eastAsia="Century Schoolbook" w:cs="Century Schoolbook"/>
          <w:szCs w:val="26"/>
        </w:rPr>
      </w:pPr>
      <w:r>
        <w:rPr>
          <w:rFonts w:eastAsia="Century Schoolbook" w:cs="Century Schoolbook"/>
          <w:szCs w:val="26"/>
        </w:rPr>
        <w:t>C</w:t>
      </w:r>
    </w:p>
    <w:p w14:paraId="3301A2D9" w14:textId="27485FBE" w:rsidR="00682E92" w:rsidRDefault="00656D9B">
      <w:pPr>
        <w:ind w:firstLine="720"/>
        <w:rPr>
          <w:rFonts w:eastAsia="Century Schoolbook" w:cs="Century Schoolbook"/>
          <w:color w:val="FF0000"/>
          <w:szCs w:val="26"/>
        </w:rPr>
      </w:pPr>
      <w:r w:rsidRPr="001618EB">
        <w:rPr>
          <w:rFonts w:eastAsia="Century Schoolbook" w:cs="Century Schoolbook"/>
          <w:color w:val="000000" w:themeColor="text1"/>
          <w:szCs w:val="26"/>
        </w:rPr>
        <w:t xml:space="preserve">On the final issue, Howard admits it was her burden to establish res ipsa loquitur.  This </w:t>
      </w:r>
      <w:r>
        <w:rPr>
          <w:rFonts w:eastAsia="Century Schoolbook" w:cs="Century Schoolbook"/>
          <w:color w:val="000000"/>
          <w:szCs w:val="26"/>
        </w:rPr>
        <w:t>doctrine applies when the nature of an accident compels the conclusion it probably resulted from the defendant’s negligence.  (</w:t>
      </w:r>
      <w:r>
        <w:rPr>
          <w:rFonts w:eastAsia="Century Schoolbook" w:cs="Century Schoolbook"/>
          <w:i/>
          <w:color w:val="000000"/>
          <w:szCs w:val="26"/>
        </w:rPr>
        <w:t xml:space="preserve">Howe v. Seven Forty Two Co., Inc. </w:t>
      </w:r>
      <w:r>
        <w:rPr>
          <w:rFonts w:eastAsia="Century Schoolbook" w:cs="Century Schoolbook"/>
          <w:color w:val="000000"/>
          <w:szCs w:val="26"/>
        </w:rPr>
        <w:t>(2010) 189 Cal.App.4th 1155, 1161 (</w:t>
      </w:r>
      <w:r>
        <w:rPr>
          <w:rFonts w:eastAsia="Century Schoolbook" w:cs="Century Schoolbook"/>
          <w:i/>
          <w:color w:val="000000"/>
          <w:szCs w:val="26"/>
        </w:rPr>
        <w:t>Howe</w:t>
      </w:r>
      <w:r>
        <w:rPr>
          <w:rFonts w:eastAsia="Century Schoolbook" w:cs="Century Schoolbook"/>
          <w:color w:val="000000"/>
          <w:szCs w:val="26"/>
        </w:rPr>
        <w:t xml:space="preserve">).)  Or, as our Supreme Court has </w:t>
      </w:r>
      <w:r w:rsidR="00723135">
        <w:rPr>
          <w:rFonts w:eastAsia="Century Schoolbook" w:cs="Century Schoolbook"/>
          <w:color w:val="000000"/>
          <w:szCs w:val="26"/>
        </w:rPr>
        <w:t xml:space="preserve">explained </w:t>
      </w:r>
      <w:r>
        <w:rPr>
          <w:rFonts w:eastAsia="Century Schoolbook" w:cs="Century Schoolbook"/>
          <w:color w:val="000000"/>
          <w:szCs w:val="26"/>
        </w:rPr>
        <w:t>it, “certain kinds of accidents are so likely to have been caused by the defendant’s negligence that one may fairly say ‘the thing speaks for itself.’ ”  (</w:t>
      </w:r>
      <w:r>
        <w:rPr>
          <w:rFonts w:eastAsia="Century Schoolbook" w:cs="Century Schoolbook"/>
          <w:i/>
          <w:color w:val="000000"/>
          <w:szCs w:val="26"/>
        </w:rPr>
        <w:t>Brown v. Poway Unified School Dist.</w:t>
      </w:r>
      <w:r>
        <w:rPr>
          <w:rFonts w:eastAsia="Century Schoolbook" w:cs="Century Schoolbook"/>
          <w:color w:val="000000"/>
          <w:szCs w:val="26"/>
        </w:rPr>
        <w:t xml:space="preserve"> (1993) 4 Cal.4th 820, 825.)  The doctrine has three requirements:  (1) the accident was of a kind that ordinarily does not occur absent someone’s negligence; (2) the </w:t>
      </w:r>
      <w:r>
        <w:rPr>
          <w:rFonts w:eastAsia="Century Schoolbook" w:cs="Century Schoolbook"/>
          <w:color w:val="000000"/>
          <w:szCs w:val="26"/>
        </w:rPr>
        <w:lastRenderedPageBreak/>
        <w:t>instrumentality of harm was within the defendant’s exclusive control; (3) the plaintiff did not voluntarily contribute to the harm.  (</w:t>
      </w:r>
      <w:r>
        <w:rPr>
          <w:rFonts w:eastAsia="Century Schoolbook" w:cs="Century Schoolbook"/>
          <w:i/>
          <w:color w:val="000000"/>
          <w:szCs w:val="26"/>
        </w:rPr>
        <w:t>Id.</w:t>
      </w:r>
      <w:r>
        <w:rPr>
          <w:rFonts w:eastAsia="Century Schoolbook" w:cs="Century Schoolbook"/>
          <w:color w:val="000000"/>
          <w:szCs w:val="26"/>
        </w:rPr>
        <w:t xml:space="preserve"> at pp. 825–826 &amp; 836.)  </w:t>
      </w:r>
    </w:p>
    <w:p w14:paraId="60D12629" w14:textId="41606556" w:rsidR="00682E92" w:rsidRPr="00B075D3" w:rsidRDefault="00656D9B">
      <w:pPr>
        <w:ind w:firstLine="720"/>
        <w:rPr>
          <w:rFonts w:eastAsia="Century Schoolbook" w:cs="Century Schoolbook"/>
          <w:color w:val="FF0000"/>
          <w:szCs w:val="26"/>
        </w:rPr>
      </w:pPr>
      <w:r>
        <w:rPr>
          <w:rFonts w:eastAsia="Century Schoolbook" w:cs="Century Schoolbook"/>
          <w:szCs w:val="26"/>
        </w:rPr>
        <w:t xml:space="preserve">Two elements are missing here.  First, as addressed above, </w:t>
      </w:r>
      <w:r>
        <w:rPr>
          <w:rFonts w:eastAsia="Century Schoolbook" w:cs="Century Schoolbook"/>
          <w:color w:val="000000"/>
          <w:szCs w:val="26"/>
        </w:rPr>
        <w:t>it is not apparent ho</w:t>
      </w:r>
      <w:r>
        <w:rPr>
          <w:rFonts w:eastAsia="Century Schoolbook" w:cs="Century Schoolbook"/>
          <w:szCs w:val="26"/>
        </w:rPr>
        <w:t xml:space="preserve">tel </w:t>
      </w:r>
      <w:r>
        <w:rPr>
          <w:rFonts w:eastAsia="Century Schoolbook" w:cs="Century Schoolbook"/>
          <w:color w:val="000000"/>
          <w:szCs w:val="26"/>
        </w:rPr>
        <w:t xml:space="preserve">shower </w:t>
      </w:r>
      <w:r w:rsidRPr="00CC421B">
        <w:rPr>
          <w:rFonts w:eastAsia="Century Schoolbook" w:cs="Century Schoolbook"/>
          <w:color w:val="000000" w:themeColor="text1"/>
          <w:szCs w:val="26"/>
        </w:rPr>
        <w:t xml:space="preserve">heads only fall apart due to the hotel’s negligence.  Second, Howard’s deposition testimony suggests her grabbing action could have caused the break.  </w:t>
      </w:r>
    </w:p>
    <w:p w14:paraId="52B1F019" w14:textId="3193B2BD" w:rsidR="00682E92" w:rsidRDefault="00656D9B">
      <w:pPr>
        <w:ind w:firstLine="720"/>
        <w:rPr>
          <w:rFonts w:eastAsia="Century Schoolbook" w:cs="Century Schoolbook"/>
          <w:color w:val="000000"/>
          <w:szCs w:val="26"/>
        </w:rPr>
      </w:pPr>
      <w:r w:rsidRPr="00970CA6">
        <w:rPr>
          <w:rFonts w:eastAsia="Century Schoolbook" w:cs="Century Schoolbook"/>
          <w:color w:val="000000" w:themeColor="text1"/>
          <w:szCs w:val="26"/>
        </w:rPr>
        <w:t xml:space="preserve">Howard inaccurately contends this case is like others where the evidence was sufficient to invoke res ipsa loquitur.  </w:t>
      </w:r>
      <w:r>
        <w:rPr>
          <w:rFonts w:eastAsia="Century Schoolbook" w:cs="Century Schoolbook"/>
          <w:color w:val="000000"/>
          <w:szCs w:val="26"/>
        </w:rPr>
        <w:t>The factually distinct cases she cites are</w:t>
      </w:r>
      <w:r>
        <w:rPr>
          <w:rFonts w:eastAsia="Century Schoolbook" w:cs="Century Schoolbook"/>
          <w:szCs w:val="26"/>
        </w:rPr>
        <w:t xml:space="preserve"> not on point</w:t>
      </w:r>
      <w:r>
        <w:rPr>
          <w:rFonts w:eastAsia="Century Schoolbook" w:cs="Century Schoolbook"/>
          <w:color w:val="000000"/>
          <w:szCs w:val="26"/>
        </w:rPr>
        <w:t xml:space="preserve">.  (See </w:t>
      </w:r>
      <w:r>
        <w:rPr>
          <w:rFonts w:eastAsia="Century Schoolbook" w:cs="Century Schoolbook"/>
          <w:i/>
          <w:color w:val="000000"/>
          <w:szCs w:val="26"/>
        </w:rPr>
        <w:t>Howe</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189 Cal.App.4th at pp. 1159 &amp; 1162; </w:t>
      </w:r>
      <w:r>
        <w:rPr>
          <w:rFonts w:eastAsia="Century Schoolbook" w:cs="Century Schoolbook"/>
          <w:i/>
          <w:color w:val="000000"/>
          <w:szCs w:val="26"/>
        </w:rPr>
        <w:t>Emerick v. Raleigh Hills Hospital</w:t>
      </w:r>
      <w:r>
        <w:rPr>
          <w:rFonts w:eastAsia="Century Schoolbook" w:cs="Century Schoolbook"/>
          <w:color w:val="000000"/>
          <w:szCs w:val="26"/>
        </w:rPr>
        <w:t xml:space="preserve"> (1982) 133 Cal.App.3d 575, 579, 583 &amp; 585; </w:t>
      </w:r>
      <w:r>
        <w:rPr>
          <w:rFonts w:eastAsia="Century Schoolbook" w:cs="Century Schoolbook"/>
          <w:i/>
          <w:color w:val="000000"/>
          <w:szCs w:val="26"/>
        </w:rPr>
        <w:t xml:space="preserve">Dennis v. Carolina Pines Bowling Center </w:t>
      </w:r>
      <w:r>
        <w:rPr>
          <w:rFonts w:eastAsia="Century Schoolbook" w:cs="Century Schoolbook"/>
          <w:color w:val="000000"/>
          <w:szCs w:val="26"/>
        </w:rPr>
        <w:t xml:space="preserve">(1967) 248 Cal.App.2d 369, 374–375; </w:t>
      </w:r>
      <w:r>
        <w:rPr>
          <w:rFonts w:eastAsia="Century Schoolbook" w:cs="Century Schoolbook"/>
          <w:i/>
          <w:color w:val="000000"/>
          <w:szCs w:val="26"/>
        </w:rPr>
        <w:t xml:space="preserve">Mitzner v. Wilson </w:t>
      </w:r>
      <w:r>
        <w:rPr>
          <w:rFonts w:eastAsia="Century Schoolbook" w:cs="Century Schoolbook"/>
          <w:color w:val="000000"/>
          <w:szCs w:val="26"/>
        </w:rPr>
        <w:t xml:space="preserve">(1937) 21 Cal.App.2d 85, 87.)  In most of them, unlike here, there was no room to conclude the plaintiff voluntarily caused the problem.  For example, in </w:t>
      </w:r>
      <w:r>
        <w:rPr>
          <w:rFonts w:eastAsia="Century Schoolbook" w:cs="Century Schoolbook"/>
          <w:i/>
          <w:color w:val="000000"/>
          <w:szCs w:val="26"/>
        </w:rPr>
        <w:t>Mitzner</w:t>
      </w:r>
      <w:r>
        <w:rPr>
          <w:rFonts w:eastAsia="Century Schoolbook" w:cs="Century Schoolbook"/>
          <w:color w:val="000000"/>
          <w:szCs w:val="26"/>
        </w:rPr>
        <w:t>, the plaintiff was sleeping in her hotel bed when part of the ceiling fell on her.  (</w:t>
      </w:r>
      <w:r>
        <w:rPr>
          <w:rFonts w:eastAsia="Century Schoolbook" w:cs="Century Schoolbook"/>
          <w:i/>
          <w:color w:val="000000"/>
          <w:szCs w:val="26"/>
        </w:rPr>
        <w:t>Mit</w:t>
      </w:r>
      <w:r>
        <w:rPr>
          <w:rFonts w:eastAsia="Century Schoolbook" w:cs="Century Schoolbook"/>
          <w:i/>
          <w:szCs w:val="26"/>
        </w:rPr>
        <w:t>zn</w:t>
      </w:r>
      <w:r>
        <w:rPr>
          <w:rFonts w:eastAsia="Century Schoolbook" w:cs="Century Schoolbook"/>
          <w:i/>
          <w:color w:val="000000"/>
          <w:szCs w:val="26"/>
        </w:rPr>
        <w:t>er</w:t>
      </w:r>
      <w:r>
        <w:rPr>
          <w:rFonts w:eastAsia="Century Schoolbook" w:cs="Century Schoolbook"/>
          <w:color w:val="000000"/>
          <w:szCs w:val="26"/>
        </w:rPr>
        <w:t>, at p. 87.)</w:t>
      </w:r>
    </w:p>
    <w:p w14:paraId="0F54DCEE" w14:textId="77777777" w:rsidR="00682E92" w:rsidRDefault="00656D9B">
      <w:pPr>
        <w:ind w:firstLine="720"/>
        <w:rPr>
          <w:rFonts w:eastAsia="Century Schoolbook" w:cs="Century Schoolbook"/>
          <w:szCs w:val="26"/>
        </w:rPr>
      </w:pPr>
      <w:r>
        <w:rPr>
          <w:rFonts w:eastAsia="Century Schoolbook" w:cs="Century Schoolbook"/>
          <w:szCs w:val="26"/>
        </w:rPr>
        <w:t>Summary judgment was proper here.</w:t>
      </w:r>
    </w:p>
    <w:p w14:paraId="45AC54E0" w14:textId="77777777" w:rsidR="00682E92" w:rsidRDefault="00656D9B">
      <w:pPr>
        <w:jc w:val="center"/>
        <w:rPr>
          <w:rFonts w:eastAsia="Century Schoolbook" w:cs="Century Schoolbook"/>
          <w:b/>
          <w:szCs w:val="26"/>
        </w:rPr>
      </w:pPr>
      <w:r>
        <w:rPr>
          <w:rFonts w:eastAsia="Century Schoolbook" w:cs="Century Schoolbook"/>
          <w:b/>
          <w:szCs w:val="26"/>
        </w:rPr>
        <w:t>DISPOSITION</w:t>
      </w:r>
    </w:p>
    <w:p w14:paraId="7F40FAF9" w14:textId="77777777" w:rsidR="00682E92" w:rsidRDefault="00656D9B">
      <w:pPr>
        <w:shd w:val="clear" w:color="auto" w:fill="FFFFFF"/>
        <w:ind w:firstLine="720"/>
        <w:rPr>
          <w:rFonts w:eastAsia="Century Schoolbook" w:cs="Century Schoolbook"/>
          <w:color w:val="000000"/>
          <w:szCs w:val="26"/>
        </w:rPr>
      </w:pPr>
      <w:r>
        <w:rPr>
          <w:rFonts w:eastAsia="Century Schoolbook" w:cs="Century Schoolbook"/>
          <w:color w:val="000000"/>
          <w:szCs w:val="26"/>
        </w:rPr>
        <w:t>We affirm the judgment and award costs to the respondent.</w:t>
      </w:r>
    </w:p>
    <w:p w14:paraId="7AE92E58" w14:textId="77777777" w:rsidR="00682E92" w:rsidRDefault="00682E92">
      <w:pPr>
        <w:shd w:val="clear" w:color="auto" w:fill="FFFFFF"/>
        <w:ind w:firstLine="720"/>
        <w:rPr>
          <w:rFonts w:eastAsia="Century Schoolbook" w:cs="Century Schoolbook"/>
          <w:szCs w:val="26"/>
        </w:rPr>
      </w:pPr>
    </w:p>
    <w:p w14:paraId="0B187C90" w14:textId="77777777" w:rsidR="006B75EB" w:rsidRDefault="006B75EB">
      <w:pPr>
        <w:shd w:val="clear" w:color="auto" w:fill="FFFFFF"/>
        <w:ind w:firstLine="720"/>
        <w:rPr>
          <w:rFonts w:eastAsia="Century Schoolbook" w:cs="Century Schoolbook"/>
          <w:szCs w:val="26"/>
        </w:rPr>
      </w:pPr>
    </w:p>
    <w:p w14:paraId="5A6FC3BE" w14:textId="77777777" w:rsidR="006B75EB" w:rsidRDefault="006B75EB">
      <w:pPr>
        <w:shd w:val="clear" w:color="auto" w:fill="FFFFFF"/>
        <w:ind w:firstLine="720"/>
        <w:rPr>
          <w:rFonts w:eastAsia="Century Schoolbook" w:cs="Century Schoolbook"/>
          <w:szCs w:val="26"/>
        </w:rPr>
      </w:pPr>
    </w:p>
    <w:p w14:paraId="5EA3EAF7" w14:textId="77777777" w:rsidR="00682E92" w:rsidRDefault="00656D9B">
      <w:pPr>
        <w:ind w:left="4320" w:firstLine="720"/>
        <w:rPr>
          <w:rFonts w:eastAsia="Century Schoolbook" w:cs="Century Schoolbook"/>
          <w:szCs w:val="26"/>
        </w:rPr>
      </w:pPr>
      <w:r>
        <w:rPr>
          <w:rFonts w:eastAsia="Century Schoolbook" w:cs="Century Schoolbook"/>
          <w:szCs w:val="26"/>
        </w:rPr>
        <w:t>WILEY, J.</w:t>
      </w:r>
    </w:p>
    <w:p w14:paraId="5179EF74" w14:textId="77777777" w:rsidR="00682E92" w:rsidRDefault="00682E92">
      <w:pPr>
        <w:rPr>
          <w:rFonts w:eastAsia="Century Schoolbook" w:cs="Century Schoolbook"/>
          <w:szCs w:val="26"/>
        </w:rPr>
      </w:pPr>
    </w:p>
    <w:p w14:paraId="2393870A" w14:textId="6F03675B" w:rsidR="00770903" w:rsidRDefault="00656D9B">
      <w:pPr>
        <w:rPr>
          <w:rFonts w:eastAsia="Century Schoolbook" w:cs="Century Schoolbook"/>
          <w:szCs w:val="26"/>
        </w:rPr>
      </w:pPr>
      <w:r>
        <w:rPr>
          <w:rFonts w:eastAsia="Century Schoolbook" w:cs="Century Schoolbook"/>
          <w:szCs w:val="26"/>
        </w:rPr>
        <w:t>We concur:  </w:t>
      </w:r>
    </w:p>
    <w:p w14:paraId="7A626301" w14:textId="77777777" w:rsidR="006B75EB" w:rsidRPr="006B75EB" w:rsidRDefault="006B75EB">
      <w:pPr>
        <w:rPr>
          <w:rFonts w:eastAsia="Century Schoolbook" w:cs="Century Schoolbook"/>
          <w:sz w:val="22"/>
        </w:rPr>
      </w:pPr>
    </w:p>
    <w:p w14:paraId="05787939" w14:textId="77777777" w:rsidR="00144535" w:rsidRPr="006B75EB" w:rsidRDefault="00144535">
      <w:pPr>
        <w:rPr>
          <w:rFonts w:eastAsia="Century Schoolbook" w:cs="Century Schoolbook"/>
          <w:sz w:val="22"/>
        </w:rPr>
      </w:pPr>
    </w:p>
    <w:p w14:paraId="1C48A943" w14:textId="77777777" w:rsidR="00630941" w:rsidRDefault="00656D9B" w:rsidP="00144535">
      <w:pPr>
        <w:rPr>
          <w:rFonts w:eastAsia="Century Schoolbook" w:cs="Century Schoolbook"/>
          <w:szCs w:val="26"/>
        </w:rPr>
        <w:sectPr w:rsidR="00630941" w:rsidSect="00886309">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pPr>
      <w:r>
        <w:rPr>
          <w:rFonts w:eastAsia="Century Schoolbook" w:cs="Century Schoolbook"/>
          <w:szCs w:val="26"/>
        </w:rPr>
        <w:tab/>
      </w:r>
      <w:r>
        <w:rPr>
          <w:rFonts w:eastAsia="Century Schoolbook" w:cs="Century Schoolbook"/>
          <w:szCs w:val="26"/>
        </w:rPr>
        <w:tab/>
        <w:t>STRATTON, P. J.  </w:t>
      </w:r>
      <w:r w:rsidR="00144535">
        <w:rPr>
          <w:rFonts w:eastAsia="Century Schoolbook" w:cs="Century Schoolbook"/>
          <w:szCs w:val="26"/>
        </w:rPr>
        <w:tab/>
      </w:r>
      <w:r w:rsidR="00144535">
        <w:rPr>
          <w:rFonts w:eastAsia="Century Schoolbook" w:cs="Century Schoolbook"/>
          <w:szCs w:val="26"/>
        </w:rPr>
        <w:tab/>
      </w:r>
      <w:r>
        <w:rPr>
          <w:rFonts w:eastAsia="Century Schoolbook" w:cs="Century Schoolbook"/>
          <w:szCs w:val="26"/>
        </w:rPr>
        <w:t xml:space="preserve">VIRAMONTES, J. </w:t>
      </w:r>
    </w:p>
    <w:p w14:paraId="2A922909" w14:textId="77777777" w:rsidR="00630941" w:rsidRPr="006B75EB" w:rsidRDefault="00630941" w:rsidP="00630941">
      <w:pPr>
        <w:tabs>
          <w:tab w:val="left" w:pos="6030"/>
        </w:tabs>
        <w:spacing w:line="240" w:lineRule="exact"/>
        <w:ind w:right="-446"/>
        <w:rPr>
          <w:rFonts w:eastAsia="Century Schoolbook" w:cs="Century Schoolbook"/>
          <w:bCs/>
          <w:sz w:val="20"/>
          <w:szCs w:val="20"/>
        </w:rPr>
      </w:pPr>
      <w:r>
        <w:rPr>
          <w:rFonts w:eastAsia="Century Schoolbook" w:cs="Century Schoolbook"/>
          <w:bCs/>
          <w:sz w:val="20"/>
          <w:szCs w:val="20"/>
        </w:rPr>
        <w:lastRenderedPageBreak/>
        <w:t>Filed 4/3/24</w:t>
      </w:r>
    </w:p>
    <w:p w14:paraId="443D12DD" w14:textId="77777777" w:rsidR="00630941" w:rsidRPr="00A93360" w:rsidRDefault="00630941" w:rsidP="00630941">
      <w:pPr>
        <w:tabs>
          <w:tab w:val="left" w:pos="6030"/>
        </w:tabs>
        <w:spacing w:line="240" w:lineRule="exact"/>
        <w:ind w:right="-446"/>
        <w:jc w:val="center"/>
        <w:rPr>
          <w:rFonts w:eastAsia="Times New Roman"/>
          <w:color w:val="000000"/>
          <w:szCs w:val="26"/>
        </w:rPr>
      </w:pPr>
      <w:r>
        <w:rPr>
          <w:rFonts w:eastAsia="Century Schoolbook" w:cs="Century Schoolbook"/>
          <w:b/>
          <w:szCs w:val="26"/>
        </w:rPr>
        <w:t>CERTIFIED FOR PUBLICATION</w:t>
      </w:r>
    </w:p>
    <w:p w14:paraId="760984E5" w14:textId="77777777" w:rsidR="00630941" w:rsidRDefault="00630941" w:rsidP="00630941">
      <w:pPr>
        <w:jc w:val="center"/>
        <w:rPr>
          <w:rFonts w:ascii="Calibri" w:hAnsi="Calibri" w:cs="Calibri"/>
          <w:b/>
        </w:rPr>
      </w:pPr>
    </w:p>
    <w:p w14:paraId="663C3283" w14:textId="77777777" w:rsidR="00630941" w:rsidRDefault="00630941" w:rsidP="00630941">
      <w:pPr>
        <w:spacing w:line="240" w:lineRule="auto"/>
        <w:jc w:val="center"/>
        <w:rPr>
          <w:rFonts w:eastAsia="Century Schoolbook" w:cs="Century Schoolbook"/>
          <w:szCs w:val="26"/>
        </w:rPr>
      </w:pPr>
      <w:r>
        <w:rPr>
          <w:rFonts w:eastAsia="Century Schoolbook" w:cs="Century Schoolbook"/>
          <w:szCs w:val="26"/>
        </w:rPr>
        <w:t>IN THE COURT OF APPEAL OF THE STATE OF CALIFORNIA</w:t>
      </w:r>
    </w:p>
    <w:p w14:paraId="2E6AA608" w14:textId="77777777" w:rsidR="00630941" w:rsidRDefault="00630941" w:rsidP="00630941">
      <w:pPr>
        <w:spacing w:line="240" w:lineRule="auto"/>
        <w:jc w:val="center"/>
        <w:rPr>
          <w:rFonts w:eastAsia="Century Schoolbook" w:cs="Century Schoolbook"/>
          <w:szCs w:val="26"/>
        </w:rPr>
      </w:pPr>
    </w:p>
    <w:p w14:paraId="4C703D99" w14:textId="77777777" w:rsidR="00630941" w:rsidRDefault="00630941" w:rsidP="00630941">
      <w:pPr>
        <w:spacing w:line="240" w:lineRule="auto"/>
        <w:jc w:val="center"/>
        <w:rPr>
          <w:rFonts w:eastAsia="Century Schoolbook" w:cs="Century Schoolbook"/>
          <w:szCs w:val="26"/>
        </w:rPr>
      </w:pPr>
      <w:r>
        <w:rPr>
          <w:rFonts w:eastAsia="Century Schoolbook" w:cs="Century Schoolbook"/>
          <w:szCs w:val="26"/>
        </w:rPr>
        <w:t>SECOND APPELLATE DISTRICT</w:t>
      </w:r>
    </w:p>
    <w:p w14:paraId="08F7F55F" w14:textId="77777777" w:rsidR="00630941" w:rsidRDefault="00630941" w:rsidP="00630941">
      <w:pPr>
        <w:spacing w:line="240" w:lineRule="auto"/>
        <w:jc w:val="center"/>
        <w:rPr>
          <w:rFonts w:eastAsia="Century Schoolbook" w:cs="Century Schoolbook"/>
          <w:szCs w:val="26"/>
        </w:rPr>
      </w:pPr>
    </w:p>
    <w:p w14:paraId="2B8CE85F" w14:textId="77777777" w:rsidR="00630941" w:rsidRDefault="00630941" w:rsidP="00630941">
      <w:pPr>
        <w:spacing w:line="240" w:lineRule="auto"/>
        <w:jc w:val="center"/>
        <w:rPr>
          <w:rFonts w:eastAsia="Century Schoolbook" w:cs="Century Schoolbook"/>
          <w:szCs w:val="26"/>
        </w:rPr>
      </w:pPr>
      <w:r>
        <w:rPr>
          <w:rFonts w:eastAsia="Century Schoolbook" w:cs="Century Schoolbook"/>
          <w:szCs w:val="26"/>
        </w:rPr>
        <w:t>DIVISION EIGHT</w:t>
      </w:r>
    </w:p>
    <w:p w14:paraId="57BB5A74" w14:textId="77777777" w:rsidR="00630941" w:rsidRDefault="00630941" w:rsidP="00630941">
      <w:pPr>
        <w:spacing w:line="240" w:lineRule="auto"/>
        <w:jc w:val="center"/>
        <w:rPr>
          <w:rFonts w:eastAsia="Century Schoolbook" w:cs="Century Schoolbook"/>
          <w:szCs w:val="26"/>
        </w:rPr>
      </w:pPr>
    </w:p>
    <w:p w14:paraId="4989FB18" w14:textId="77777777" w:rsidR="00630941" w:rsidRDefault="00630941" w:rsidP="00630941">
      <w:pPr>
        <w:spacing w:line="240" w:lineRule="auto"/>
        <w:jc w:val="center"/>
        <w:rPr>
          <w:rFonts w:eastAsia="Century Schoolbook" w:cs="Century Schoolbook"/>
          <w:szCs w:val="26"/>
        </w:rPr>
      </w:pPr>
    </w:p>
    <w:tbl>
      <w:tblPr>
        <w:tblW w:w="8655" w:type="dxa"/>
        <w:tblInd w:w="-115" w:type="dxa"/>
        <w:tblLayout w:type="fixed"/>
        <w:tblLook w:val="0000" w:firstRow="0" w:lastRow="0" w:firstColumn="0" w:lastColumn="0" w:noHBand="0" w:noVBand="0"/>
      </w:tblPr>
      <w:tblGrid>
        <w:gridCol w:w="4455"/>
        <w:gridCol w:w="4200"/>
      </w:tblGrid>
      <w:tr w:rsidR="00630941" w14:paraId="6FB1BBB8" w14:textId="77777777" w:rsidTr="00AC7808">
        <w:tc>
          <w:tcPr>
            <w:tcW w:w="4455" w:type="dxa"/>
            <w:tcBorders>
              <w:bottom w:val="single" w:sz="4" w:space="0" w:color="000000"/>
              <w:right w:val="single" w:sz="4" w:space="0" w:color="000000"/>
            </w:tcBorders>
            <w:shd w:val="clear" w:color="auto" w:fill="auto"/>
          </w:tcPr>
          <w:p w14:paraId="4D729139"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MONIQUE HOWARD,</w:t>
            </w:r>
          </w:p>
          <w:p w14:paraId="3F3A18D1" w14:textId="77777777" w:rsidR="00630941" w:rsidRDefault="00630941" w:rsidP="00AC7808">
            <w:pPr>
              <w:spacing w:line="240" w:lineRule="auto"/>
              <w:rPr>
                <w:rFonts w:eastAsia="Century Schoolbook" w:cs="Century Schoolbook"/>
                <w:szCs w:val="26"/>
              </w:rPr>
            </w:pPr>
          </w:p>
          <w:p w14:paraId="32D6CCFD"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ab/>
              <w:t>Plaintiff and Appellant,</w:t>
            </w:r>
          </w:p>
          <w:p w14:paraId="7582CF30" w14:textId="77777777" w:rsidR="00630941" w:rsidRDefault="00630941" w:rsidP="00AC7808">
            <w:pPr>
              <w:spacing w:line="240" w:lineRule="auto"/>
              <w:rPr>
                <w:rFonts w:eastAsia="Century Schoolbook" w:cs="Century Schoolbook"/>
                <w:szCs w:val="26"/>
              </w:rPr>
            </w:pPr>
          </w:p>
          <w:p w14:paraId="36535701"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ab/>
              <w:t>v.</w:t>
            </w:r>
          </w:p>
          <w:p w14:paraId="363D90DD" w14:textId="77777777" w:rsidR="00630941" w:rsidRDefault="00630941" w:rsidP="00AC7808">
            <w:pPr>
              <w:spacing w:line="240" w:lineRule="auto"/>
              <w:rPr>
                <w:rFonts w:eastAsia="Century Schoolbook" w:cs="Century Schoolbook"/>
                <w:szCs w:val="26"/>
              </w:rPr>
            </w:pPr>
          </w:p>
          <w:p w14:paraId="72EB3D68"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ACCOR MANAGEMENT US, INC.,</w:t>
            </w:r>
          </w:p>
          <w:p w14:paraId="459FB7CA" w14:textId="77777777" w:rsidR="00630941" w:rsidRDefault="00630941" w:rsidP="00AC7808">
            <w:pPr>
              <w:spacing w:line="240" w:lineRule="auto"/>
              <w:rPr>
                <w:rFonts w:eastAsia="Century Schoolbook" w:cs="Century Schoolbook"/>
                <w:szCs w:val="26"/>
              </w:rPr>
            </w:pPr>
          </w:p>
          <w:p w14:paraId="1B5AA7B6"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ab/>
              <w:t>Defendant and Respondent.</w:t>
            </w:r>
          </w:p>
          <w:p w14:paraId="7FE0B719" w14:textId="77777777" w:rsidR="00630941" w:rsidRDefault="00630941" w:rsidP="00AC7808">
            <w:pPr>
              <w:spacing w:line="240" w:lineRule="auto"/>
              <w:rPr>
                <w:rFonts w:eastAsia="Century Schoolbook" w:cs="Century Schoolbook"/>
                <w:szCs w:val="26"/>
              </w:rPr>
            </w:pPr>
          </w:p>
        </w:tc>
        <w:tc>
          <w:tcPr>
            <w:tcW w:w="4200" w:type="dxa"/>
            <w:tcBorders>
              <w:left w:val="single" w:sz="4" w:space="0" w:color="000000"/>
            </w:tcBorders>
            <w:shd w:val="clear" w:color="auto" w:fill="auto"/>
          </w:tcPr>
          <w:p w14:paraId="6ADD2CF2"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 xml:space="preserve">      B320603</w:t>
            </w:r>
          </w:p>
          <w:p w14:paraId="42122B49" w14:textId="77777777" w:rsidR="00630941" w:rsidRDefault="00630941" w:rsidP="00AC7808">
            <w:pPr>
              <w:spacing w:line="240" w:lineRule="auto"/>
              <w:rPr>
                <w:rFonts w:eastAsia="Century Schoolbook" w:cs="Century Schoolbook"/>
                <w:szCs w:val="26"/>
              </w:rPr>
            </w:pPr>
          </w:p>
          <w:p w14:paraId="4E137499" w14:textId="77777777" w:rsidR="00630941" w:rsidRDefault="00630941" w:rsidP="00AC7808">
            <w:pPr>
              <w:spacing w:line="240" w:lineRule="auto"/>
              <w:rPr>
                <w:rFonts w:eastAsia="Century Schoolbook" w:cs="Century Schoolbook"/>
                <w:szCs w:val="26"/>
              </w:rPr>
            </w:pPr>
            <w:r>
              <w:rPr>
                <w:rFonts w:eastAsia="Century Schoolbook" w:cs="Century Schoolbook"/>
                <w:szCs w:val="26"/>
              </w:rPr>
              <w:t xml:space="preserve">      Los Angeles County</w:t>
            </w:r>
          </w:p>
          <w:p w14:paraId="5B6CECB2" w14:textId="77777777" w:rsidR="00630941" w:rsidRDefault="00630941" w:rsidP="00AC7808">
            <w:pPr>
              <w:spacing w:line="240" w:lineRule="auto"/>
              <w:ind w:left="450"/>
              <w:rPr>
                <w:rFonts w:eastAsia="Century Schoolbook" w:cs="Century Schoolbook"/>
                <w:szCs w:val="26"/>
              </w:rPr>
            </w:pPr>
            <w:r>
              <w:rPr>
                <w:rFonts w:eastAsia="Century Schoolbook" w:cs="Century Schoolbook"/>
                <w:szCs w:val="26"/>
              </w:rPr>
              <w:t>Super. Ct. No. 19STCV08792</w:t>
            </w:r>
          </w:p>
          <w:p w14:paraId="7CC13DB4" w14:textId="77777777" w:rsidR="00630941" w:rsidRDefault="00630941" w:rsidP="00AC7808">
            <w:pPr>
              <w:spacing w:line="240" w:lineRule="auto"/>
              <w:rPr>
                <w:rFonts w:eastAsia="Century Schoolbook" w:cs="Century Schoolbook"/>
                <w:szCs w:val="26"/>
              </w:rPr>
            </w:pPr>
          </w:p>
          <w:p w14:paraId="1C6928D1" w14:textId="77777777" w:rsidR="00630941" w:rsidRPr="00C348F7" w:rsidRDefault="00630941" w:rsidP="00AC7808">
            <w:pPr>
              <w:spacing w:line="240" w:lineRule="auto"/>
              <w:ind w:firstLine="436"/>
              <w:rPr>
                <w:rFonts w:ascii="Times New Roman" w:eastAsia="Times New Roman" w:hAnsi="Times New Roman"/>
                <w:sz w:val="24"/>
                <w:szCs w:val="24"/>
              </w:rPr>
            </w:pPr>
            <w:r w:rsidRPr="00C348F7">
              <w:rPr>
                <w:rFonts w:eastAsia="Times New Roman"/>
                <w:b/>
                <w:bCs/>
                <w:color w:val="000000"/>
                <w:szCs w:val="26"/>
              </w:rPr>
              <w:t>ORDER CERTIFYING</w:t>
            </w:r>
          </w:p>
          <w:p w14:paraId="094F884F" w14:textId="77777777" w:rsidR="00630941" w:rsidRPr="00C348F7" w:rsidRDefault="00630941" w:rsidP="00AC7808">
            <w:pPr>
              <w:spacing w:line="240" w:lineRule="auto"/>
              <w:ind w:firstLine="976"/>
              <w:rPr>
                <w:rFonts w:ascii="Times New Roman" w:eastAsia="Times New Roman" w:hAnsi="Times New Roman"/>
                <w:sz w:val="24"/>
                <w:szCs w:val="24"/>
              </w:rPr>
            </w:pPr>
            <w:r w:rsidRPr="00C348F7">
              <w:rPr>
                <w:rFonts w:eastAsia="Times New Roman"/>
                <w:b/>
                <w:bCs/>
                <w:color w:val="000000"/>
                <w:szCs w:val="26"/>
              </w:rPr>
              <w:t>    OPINION</w:t>
            </w:r>
          </w:p>
          <w:p w14:paraId="4B2D02E2" w14:textId="77777777" w:rsidR="00630941" w:rsidRPr="00C348F7" w:rsidRDefault="00630941" w:rsidP="00AC7808">
            <w:pPr>
              <w:spacing w:line="240" w:lineRule="auto"/>
              <w:ind w:firstLine="436"/>
              <w:rPr>
                <w:rFonts w:ascii="Times New Roman" w:eastAsia="Times New Roman" w:hAnsi="Times New Roman"/>
                <w:sz w:val="24"/>
                <w:szCs w:val="24"/>
              </w:rPr>
            </w:pPr>
            <w:r w:rsidRPr="00C348F7">
              <w:rPr>
                <w:rFonts w:eastAsia="Times New Roman"/>
                <w:b/>
                <w:bCs/>
                <w:color w:val="000000"/>
                <w:szCs w:val="26"/>
              </w:rPr>
              <w:t>FOR PUBLICATION</w:t>
            </w:r>
          </w:p>
          <w:p w14:paraId="18D47D2F" w14:textId="77777777" w:rsidR="00630941" w:rsidRPr="00C348F7" w:rsidRDefault="00630941" w:rsidP="00AC7808">
            <w:pPr>
              <w:spacing w:line="240" w:lineRule="auto"/>
              <w:rPr>
                <w:rFonts w:ascii="Times New Roman" w:eastAsia="Times New Roman" w:hAnsi="Times New Roman"/>
                <w:sz w:val="24"/>
                <w:szCs w:val="24"/>
              </w:rPr>
            </w:pPr>
          </w:p>
          <w:p w14:paraId="2AD328D3" w14:textId="77777777" w:rsidR="00630941" w:rsidRPr="00C348F7" w:rsidRDefault="00630941" w:rsidP="00AC7808">
            <w:pPr>
              <w:spacing w:line="240" w:lineRule="auto"/>
              <w:ind w:firstLine="256"/>
              <w:rPr>
                <w:rFonts w:ascii="Times New Roman" w:eastAsia="Times New Roman" w:hAnsi="Times New Roman"/>
                <w:sz w:val="24"/>
                <w:szCs w:val="24"/>
              </w:rPr>
            </w:pPr>
            <w:r w:rsidRPr="00C348F7">
              <w:rPr>
                <w:rFonts w:eastAsia="Times New Roman"/>
                <w:b/>
                <w:bCs/>
                <w:color w:val="000000"/>
                <w:szCs w:val="26"/>
              </w:rPr>
              <w:t>[No change in judgment]</w:t>
            </w:r>
          </w:p>
          <w:p w14:paraId="01D1FBB3" w14:textId="77777777" w:rsidR="00630941" w:rsidRDefault="00630941" w:rsidP="00AC7808">
            <w:pPr>
              <w:spacing w:line="240" w:lineRule="auto"/>
              <w:rPr>
                <w:rFonts w:eastAsia="Century Schoolbook" w:cs="Century Schoolbook"/>
                <w:szCs w:val="26"/>
              </w:rPr>
            </w:pPr>
          </w:p>
        </w:tc>
      </w:tr>
    </w:tbl>
    <w:p w14:paraId="107B7CCF" w14:textId="77777777" w:rsidR="00630941" w:rsidRDefault="00630941" w:rsidP="00630941">
      <w:pPr>
        <w:rPr>
          <w:rFonts w:eastAsia="Century Schoolbook" w:cs="Century Schoolbook"/>
          <w:szCs w:val="26"/>
        </w:rPr>
      </w:pPr>
    </w:p>
    <w:p w14:paraId="6C6FB816" w14:textId="77777777" w:rsidR="00630941" w:rsidRPr="00C348F7" w:rsidRDefault="00630941" w:rsidP="00630941">
      <w:pPr>
        <w:rPr>
          <w:rFonts w:ascii="Times New Roman" w:eastAsia="Times New Roman" w:hAnsi="Times New Roman"/>
          <w:sz w:val="24"/>
          <w:szCs w:val="24"/>
        </w:rPr>
      </w:pPr>
      <w:r w:rsidRPr="00C348F7">
        <w:rPr>
          <w:rFonts w:eastAsia="Times New Roman"/>
          <w:color w:val="000000"/>
          <w:szCs w:val="26"/>
        </w:rPr>
        <w:t>THE COURT:</w:t>
      </w:r>
    </w:p>
    <w:p w14:paraId="14F60840" w14:textId="77777777" w:rsidR="00630941" w:rsidRPr="00C348F7" w:rsidRDefault="00630941" w:rsidP="00630941">
      <w:pPr>
        <w:ind w:firstLine="720"/>
        <w:rPr>
          <w:rFonts w:ascii="Times New Roman" w:eastAsia="Times New Roman" w:hAnsi="Times New Roman"/>
          <w:sz w:val="24"/>
          <w:szCs w:val="24"/>
        </w:rPr>
      </w:pPr>
      <w:r w:rsidRPr="00C348F7">
        <w:rPr>
          <w:rFonts w:eastAsia="Times New Roman"/>
          <w:color w:val="000000"/>
          <w:szCs w:val="26"/>
        </w:rPr>
        <w:t xml:space="preserve">The opinion in the above-entitled matter filed on </w:t>
      </w:r>
      <w:r>
        <w:rPr>
          <w:rFonts w:eastAsia="Times New Roman"/>
          <w:color w:val="000000"/>
          <w:szCs w:val="26"/>
        </w:rPr>
        <w:t>March 13</w:t>
      </w:r>
      <w:r w:rsidRPr="00C348F7">
        <w:rPr>
          <w:rFonts w:eastAsia="Times New Roman"/>
          <w:color w:val="000000"/>
          <w:szCs w:val="26"/>
        </w:rPr>
        <w:t>, 202</w:t>
      </w:r>
      <w:r>
        <w:rPr>
          <w:rFonts w:eastAsia="Times New Roman"/>
          <w:color w:val="000000"/>
          <w:szCs w:val="26"/>
        </w:rPr>
        <w:t>4</w:t>
      </w:r>
      <w:r w:rsidRPr="00C348F7">
        <w:rPr>
          <w:rFonts w:eastAsia="Times New Roman"/>
          <w:color w:val="000000"/>
          <w:szCs w:val="26"/>
        </w:rPr>
        <w:t>, was not certified for publication in the Official Reports.  For good cause, it now appears that the opinion should be published in the Official Reports and it is so ordered.</w:t>
      </w:r>
    </w:p>
    <w:p w14:paraId="3DA7343A" w14:textId="77777777" w:rsidR="00630941" w:rsidRPr="00C348F7" w:rsidRDefault="00630941" w:rsidP="00630941">
      <w:pPr>
        <w:ind w:right="720" w:firstLine="720"/>
        <w:rPr>
          <w:rFonts w:ascii="Times New Roman" w:eastAsia="Times New Roman" w:hAnsi="Times New Roman"/>
          <w:sz w:val="24"/>
          <w:szCs w:val="24"/>
        </w:rPr>
      </w:pPr>
      <w:r w:rsidRPr="00C348F7">
        <w:rPr>
          <w:rFonts w:eastAsia="Times New Roman"/>
          <w:color w:val="000000"/>
          <w:szCs w:val="26"/>
        </w:rPr>
        <w:t>There is no change in the judgment.  </w:t>
      </w:r>
    </w:p>
    <w:p w14:paraId="528B58A8" w14:textId="77777777" w:rsidR="00630941" w:rsidRDefault="00630941" w:rsidP="00630941">
      <w:pPr>
        <w:spacing w:after="240" w:line="240" w:lineRule="auto"/>
        <w:rPr>
          <w:rFonts w:ascii="Times New Roman" w:eastAsia="Times New Roman" w:hAnsi="Times New Roman"/>
          <w:sz w:val="24"/>
          <w:szCs w:val="24"/>
        </w:rPr>
      </w:pPr>
    </w:p>
    <w:p w14:paraId="46D4F8BA" w14:textId="77777777" w:rsidR="00630941" w:rsidRPr="00C348F7" w:rsidRDefault="00630941" w:rsidP="00630941">
      <w:pPr>
        <w:spacing w:after="240" w:line="240" w:lineRule="auto"/>
        <w:rPr>
          <w:rFonts w:ascii="Times New Roman" w:eastAsia="Times New Roman" w:hAnsi="Times New Roman"/>
          <w:sz w:val="24"/>
          <w:szCs w:val="24"/>
        </w:rPr>
      </w:pPr>
    </w:p>
    <w:p w14:paraId="7356CD49" w14:textId="77777777" w:rsidR="00630941" w:rsidRPr="00C348F7" w:rsidRDefault="00630941" w:rsidP="00630941">
      <w:pPr>
        <w:spacing w:line="240" w:lineRule="auto"/>
        <w:rPr>
          <w:rFonts w:ascii="Times New Roman" w:eastAsia="Times New Roman" w:hAnsi="Times New Roman"/>
          <w:sz w:val="24"/>
          <w:szCs w:val="24"/>
        </w:rPr>
      </w:pPr>
      <w:r w:rsidRPr="00C348F7">
        <w:rPr>
          <w:rFonts w:eastAsia="Times New Roman"/>
          <w:color w:val="000000"/>
          <w:szCs w:val="26"/>
        </w:rPr>
        <w:t>____________________________________________________________</w:t>
      </w:r>
    </w:p>
    <w:p w14:paraId="640E61ED" w14:textId="77777777" w:rsidR="00630941" w:rsidRPr="000D234C" w:rsidRDefault="00630941" w:rsidP="00630941">
      <w:pPr>
        <w:rPr>
          <w:rFonts w:eastAsia="Century Schoolbook" w:cs="Century Schoolbook"/>
          <w:szCs w:val="26"/>
        </w:rPr>
      </w:pPr>
      <w:r>
        <w:rPr>
          <w:rFonts w:eastAsia="Times New Roman"/>
          <w:color w:val="000000"/>
          <w:szCs w:val="26"/>
        </w:rPr>
        <w:t>STRATTON</w:t>
      </w:r>
      <w:r w:rsidRPr="00C348F7">
        <w:rPr>
          <w:rFonts w:eastAsia="Times New Roman"/>
          <w:color w:val="000000"/>
          <w:szCs w:val="26"/>
        </w:rPr>
        <w:t xml:space="preserve">, P. J.                 </w:t>
      </w:r>
      <w:r>
        <w:rPr>
          <w:rFonts w:eastAsia="Times New Roman"/>
          <w:color w:val="000000"/>
          <w:szCs w:val="26"/>
        </w:rPr>
        <w:t>WILEY</w:t>
      </w:r>
      <w:r w:rsidRPr="00C348F7">
        <w:rPr>
          <w:rFonts w:eastAsia="Times New Roman"/>
          <w:color w:val="000000"/>
          <w:szCs w:val="26"/>
        </w:rPr>
        <w:t xml:space="preserve">, J.            </w:t>
      </w:r>
      <w:r>
        <w:rPr>
          <w:rFonts w:eastAsia="Times New Roman"/>
          <w:color w:val="000000"/>
          <w:szCs w:val="26"/>
        </w:rPr>
        <w:t xml:space="preserve">  VIRAMONTES</w:t>
      </w:r>
      <w:r w:rsidRPr="00C348F7">
        <w:rPr>
          <w:rFonts w:eastAsia="Times New Roman"/>
          <w:color w:val="000000"/>
          <w:szCs w:val="26"/>
        </w:rPr>
        <w:t>, J.</w:t>
      </w:r>
      <w:r>
        <w:rPr>
          <w:rFonts w:eastAsia="Century Schoolbook" w:cs="Century Schoolbook"/>
          <w:szCs w:val="26"/>
        </w:rPr>
        <w:t xml:space="preserve"> </w:t>
      </w:r>
    </w:p>
    <w:p w14:paraId="203F2467" w14:textId="1792E9AD" w:rsidR="00682E92" w:rsidRPr="000D234C" w:rsidRDefault="00682E92" w:rsidP="00144535">
      <w:pPr>
        <w:rPr>
          <w:rFonts w:eastAsia="Century Schoolbook" w:cs="Century Schoolbook"/>
          <w:szCs w:val="26"/>
        </w:rPr>
      </w:pPr>
    </w:p>
    <w:sectPr w:rsidR="00682E92" w:rsidRPr="000D234C" w:rsidSect="00630941">
      <w:headerReference w:type="even" r:id="rId13"/>
      <w:headerReference w:type="default" r:id="rId14"/>
      <w:footerReference w:type="even" r:id="rId15"/>
      <w:footerReference w:type="default" r:id="rId16"/>
      <w:headerReference w:type="first" r:id="rId17"/>
      <w:footerReference w:type="first" r:id="rId18"/>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CF4E6" w14:textId="77777777" w:rsidR="00656D9B" w:rsidRDefault="00656D9B">
      <w:pPr>
        <w:spacing w:line="240" w:lineRule="auto"/>
      </w:pPr>
      <w:r>
        <w:separator/>
      </w:r>
    </w:p>
  </w:endnote>
  <w:endnote w:type="continuationSeparator" w:id="0">
    <w:p w14:paraId="344E0915" w14:textId="77777777" w:rsidR="00656D9B" w:rsidRDefault="0065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5F6D1" w14:textId="5B0EC2B8" w:rsidR="00890279" w:rsidRDefault="00656D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4A05">
      <w:rPr>
        <w:noProof/>
        <w:color w:val="000000"/>
      </w:rPr>
      <w:t>2</w:t>
    </w:r>
    <w:r>
      <w:rPr>
        <w:color w:val="000000"/>
      </w:rPr>
      <w:fldChar w:fldCharType="end"/>
    </w:r>
  </w:p>
  <w:p w14:paraId="090A77F0" w14:textId="77777777" w:rsidR="00890279" w:rsidRDefault="0089027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5F9C9" w14:textId="77777777" w:rsidR="00890279" w:rsidRDefault="00656D9B">
    <w:pPr>
      <w:pBdr>
        <w:top w:val="nil"/>
        <w:left w:val="nil"/>
        <w:bottom w:val="nil"/>
        <w:right w:val="nil"/>
        <w:between w:val="nil"/>
      </w:pBdr>
      <w:tabs>
        <w:tab w:val="center" w:pos="4680"/>
        <w:tab w:val="right" w:pos="9360"/>
      </w:tabs>
      <w:jc w:val="center"/>
      <w:rPr>
        <w:rFonts w:eastAsia="Century Schoolbook" w:cs="Century Schoolbook"/>
        <w:color w:val="000000"/>
        <w:szCs w:val="26"/>
      </w:rPr>
    </w:pPr>
    <w:r>
      <w:rPr>
        <w:rFonts w:eastAsia="Century Schoolbook" w:cs="Century Schoolbook"/>
        <w:color w:val="000000"/>
        <w:szCs w:val="26"/>
      </w:rPr>
      <w:fldChar w:fldCharType="begin"/>
    </w:r>
    <w:r>
      <w:rPr>
        <w:rFonts w:eastAsia="Century Schoolbook" w:cs="Century Schoolbook"/>
        <w:color w:val="000000"/>
        <w:szCs w:val="26"/>
      </w:rPr>
      <w:instrText>PAGE</w:instrText>
    </w:r>
    <w:r>
      <w:rPr>
        <w:rFonts w:eastAsia="Century Schoolbook" w:cs="Century Schoolbook"/>
        <w:color w:val="000000"/>
        <w:szCs w:val="26"/>
      </w:rPr>
      <w:fldChar w:fldCharType="separate"/>
    </w:r>
    <w:r>
      <w:rPr>
        <w:rFonts w:eastAsia="Century Schoolbook" w:cs="Century Schoolbook"/>
        <w:noProof/>
        <w:color w:val="000000"/>
        <w:szCs w:val="26"/>
      </w:rPr>
      <w:t>1</w:t>
    </w:r>
    <w:r>
      <w:rPr>
        <w:rFonts w:eastAsia="Century Schoolbook" w:cs="Century Schoolbook"/>
        <w:color w:val="000000"/>
        <w:szCs w:val="26"/>
      </w:rPr>
      <w:fldChar w:fldCharType="end"/>
    </w:r>
  </w:p>
  <w:p w14:paraId="6A9C7C3E" w14:textId="77777777" w:rsidR="00890279" w:rsidRDefault="00890279">
    <w:pPr>
      <w:pBdr>
        <w:top w:val="nil"/>
        <w:left w:val="nil"/>
        <w:bottom w:val="nil"/>
        <w:right w:val="nil"/>
        <w:between w:val="nil"/>
      </w:pBdr>
      <w:tabs>
        <w:tab w:val="center" w:pos="4680"/>
        <w:tab w:val="right" w:pos="9360"/>
      </w:tabs>
      <w:rPr>
        <w:rFonts w:eastAsia="Century Schoolbook" w:cs="Century Schoolbook"/>
        <w:color w:val="000000"/>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B1731" w14:textId="77777777" w:rsidR="009A15C2" w:rsidRDefault="009A15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5A61" w14:textId="77777777" w:rsidR="00890279" w:rsidRDefault="00E861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C399E">
      <w:rPr>
        <w:color w:val="000000"/>
      </w:rPr>
      <w:fldChar w:fldCharType="separate"/>
    </w:r>
    <w:r>
      <w:rPr>
        <w:color w:val="000000"/>
      </w:rPr>
      <w:fldChar w:fldCharType="end"/>
    </w:r>
  </w:p>
  <w:p w14:paraId="4836DE28" w14:textId="77777777" w:rsidR="00890279" w:rsidRDefault="00890279">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2ABB9" w14:textId="77777777" w:rsidR="00890279" w:rsidRDefault="00E86160">
    <w:pPr>
      <w:pBdr>
        <w:top w:val="nil"/>
        <w:left w:val="nil"/>
        <w:bottom w:val="nil"/>
        <w:right w:val="nil"/>
        <w:between w:val="nil"/>
      </w:pBdr>
      <w:tabs>
        <w:tab w:val="center" w:pos="4680"/>
        <w:tab w:val="right" w:pos="9360"/>
      </w:tabs>
      <w:jc w:val="center"/>
      <w:rPr>
        <w:rFonts w:eastAsia="Century Schoolbook" w:cs="Century Schoolbook"/>
        <w:color w:val="000000"/>
        <w:szCs w:val="26"/>
      </w:rPr>
    </w:pPr>
    <w:r>
      <w:rPr>
        <w:rFonts w:eastAsia="Century Schoolbook" w:cs="Century Schoolbook"/>
        <w:color w:val="000000"/>
        <w:szCs w:val="26"/>
      </w:rPr>
      <w:fldChar w:fldCharType="begin"/>
    </w:r>
    <w:r>
      <w:rPr>
        <w:rFonts w:eastAsia="Century Schoolbook" w:cs="Century Schoolbook"/>
        <w:color w:val="000000"/>
        <w:szCs w:val="26"/>
      </w:rPr>
      <w:instrText>PAGE</w:instrText>
    </w:r>
    <w:r>
      <w:rPr>
        <w:rFonts w:eastAsia="Century Schoolbook" w:cs="Century Schoolbook"/>
        <w:color w:val="000000"/>
        <w:szCs w:val="26"/>
      </w:rPr>
      <w:fldChar w:fldCharType="separate"/>
    </w:r>
    <w:r>
      <w:rPr>
        <w:rFonts w:eastAsia="Century Schoolbook" w:cs="Century Schoolbook"/>
        <w:noProof/>
        <w:color w:val="000000"/>
        <w:szCs w:val="26"/>
      </w:rPr>
      <w:t>1</w:t>
    </w:r>
    <w:r>
      <w:rPr>
        <w:rFonts w:eastAsia="Century Schoolbook" w:cs="Century Schoolbook"/>
        <w:color w:val="000000"/>
        <w:szCs w:val="26"/>
      </w:rPr>
      <w:fldChar w:fldCharType="end"/>
    </w:r>
  </w:p>
  <w:p w14:paraId="25B2A05D" w14:textId="77777777" w:rsidR="00890279" w:rsidRDefault="00890279">
    <w:pPr>
      <w:pBdr>
        <w:top w:val="nil"/>
        <w:left w:val="nil"/>
        <w:bottom w:val="nil"/>
        <w:right w:val="nil"/>
        <w:between w:val="nil"/>
      </w:pBdr>
      <w:tabs>
        <w:tab w:val="center" w:pos="4680"/>
        <w:tab w:val="right" w:pos="9360"/>
      </w:tabs>
      <w:rPr>
        <w:rFonts w:eastAsia="Century Schoolbook" w:cs="Century Schoolbook"/>
        <w:color w:val="000000"/>
        <w:szCs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3F36A" w14:textId="77777777" w:rsidR="001C399E" w:rsidRDefault="001C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6D854" w14:textId="77777777" w:rsidR="00656D9B" w:rsidRDefault="00656D9B">
      <w:pPr>
        <w:spacing w:line="240" w:lineRule="auto"/>
      </w:pPr>
      <w:r>
        <w:separator/>
      </w:r>
    </w:p>
  </w:footnote>
  <w:footnote w:type="continuationSeparator" w:id="0">
    <w:p w14:paraId="56E67D36" w14:textId="77777777" w:rsidR="00656D9B" w:rsidRDefault="00656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06763" w14:textId="77777777" w:rsidR="009A15C2" w:rsidRDefault="009A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2A71C" w14:textId="77777777" w:rsidR="009A15C2" w:rsidRDefault="009A1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3083D" w14:textId="77777777" w:rsidR="009A15C2" w:rsidRDefault="009A15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FBD68" w14:textId="77777777" w:rsidR="001C399E" w:rsidRDefault="001C39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EA903" w14:textId="77777777" w:rsidR="001C399E" w:rsidRDefault="001C39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F9619" w14:textId="77777777" w:rsidR="001C399E" w:rsidRDefault="001C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0143A4"/>
    <w:multiLevelType w:val="multilevel"/>
    <w:tmpl w:val="3536C048"/>
    <w:lvl w:ilvl="0">
      <w:start w:val="1"/>
      <w:numFmt w:val="decimal"/>
      <w:lvlText w:val="%1."/>
      <w:lvlJc w:val="left"/>
      <w:pPr>
        <w:ind w:left="1440" w:hanging="360"/>
      </w:pPr>
      <w:rPr>
        <w:color w:val="000000" w:themeColor="text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18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47"/>
    <w:rsid w:val="00037615"/>
    <w:rsid w:val="00037C1F"/>
    <w:rsid w:val="00047570"/>
    <w:rsid w:val="000548A2"/>
    <w:rsid w:val="00063667"/>
    <w:rsid w:val="00073CBF"/>
    <w:rsid w:val="000A634B"/>
    <w:rsid w:val="000C5D6D"/>
    <w:rsid w:val="000D12FE"/>
    <w:rsid w:val="000D234C"/>
    <w:rsid w:val="000D397A"/>
    <w:rsid w:val="000E7D58"/>
    <w:rsid w:val="000F1707"/>
    <w:rsid w:val="000F2872"/>
    <w:rsid w:val="000F4B92"/>
    <w:rsid w:val="001079E6"/>
    <w:rsid w:val="00132477"/>
    <w:rsid w:val="00132E34"/>
    <w:rsid w:val="001350AD"/>
    <w:rsid w:val="00137DB7"/>
    <w:rsid w:val="00144535"/>
    <w:rsid w:val="00152684"/>
    <w:rsid w:val="00152D2A"/>
    <w:rsid w:val="0015473F"/>
    <w:rsid w:val="001618EB"/>
    <w:rsid w:val="00173BB4"/>
    <w:rsid w:val="0017680C"/>
    <w:rsid w:val="00176973"/>
    <w:rsid w:val="00180CE4"/>
    <w:rsid w:val="00184362"/>
    <w:rsid w:val="00193946"/>
    <w:rsid w:val="00194205"/>
    <w:rsid w:val="001971F8"/>
    <w:rsid w:val="001977DD"/>
    <w:rsid w:val="001A5464"/>
    <w:rsid w:val="001A7EDD"/>
    <w:rsid w:val="001B3DA9"/>
    <w:rsid w:val="001B495A"/>
    <w:rsid w:val="001E4575"/>
    <w:rsid w:val="001F3B22"/>
    <w:rsid w:val="001F5FAA"/>
    <w:rsid w:val="002014A2"/>
    <w:rsid w:val="00203037"/>
    <w:rsid w:val="00207CCA"/>
    <w:rsid w:val="0024036B"/>
    <w:rsid w:val="00273A09"/>
    <w:rsid w:val="00277D90"/>
    <w:rsid w:val="00284592"/>
    <w:rsid w:val="0028652F"/>
    <w:rsid w:val="002A3997"/>
    <w:rsid w:val="002B0774"/>
    <w:rsid w:val="002B4309"/>
    <w:rsid w:val="002D6FD5"/>
    <w:rsid w:val="002E1412"/>
    <w:rsid w:val="002F3C5E"/>
    <w:rsid w:val="00311861"/>
    <w:rsid w:val="0031613C"/>
    <w:rsid w:val="00322A6E"/>
    <w:rsid w:val="003365F6"/>
    <w:rsid w:val="00341AD0"/>
    <w:rsid w:val="00354099"/>
    <w:rsid w:val="00372A56"/>
    <w:rsid w:val="003B0423"/>
    <w:rsid w:val="003C0547"/>
    <w:rsid w:val="003D1B0E"/>
    <w:rsid w:val="003D6CDB"/>
    <w:rsid w:val="003E1073"/>
    <w:rsid w:val="003E6392"/>
    <w:rsid w:val="003F24F2"/>
    <w:rsid w:val="003F284F"/>
    <w:rsid w:val="003F4020"/>
    <w:rsid w:val="003F641B"/>
    <w:rsid w:val="0040390B"/>
    <w:rsid w:val="00406467"/>
    <w:rsid w:val="0041506F"/>
    <w:rsid w:val="00415B14"/>
    <w:rsid w:val="00417BBF"/>
    <w:rsid w:val="00425A2B"/>
    <w:rsid w:val="00433CE0"/>
    <w:rsid w:val="00437781"/>
    <w:rsid w:val="00443573"/>
    <w:rsid w:val="00454344"/>
    <w:rsid w:val="00464FC0"/>
    <w:rsid w:val="004657C3"/>
    <w:rsid w:val="0047027E"/>
    <w:rsid w:val="00471F0F"/>
    <w:rsid w:val="00485B46"/>
    <w:rsid w:val="0049351F"/>
    <w:rsid w:val="0049552E"/>
    <w:rsid w:val="004B4E0C"/>
    <w:rsid w:val="004C05E0"/>
    <w:rsid w:val="004D1383"/>
    <w:rsid w:val="004D1B5A"/>
    <w:rsid w:val="004D2C46"/>
    <w:rsid w:val="004D77C2"/>
    <w:rsid w:val="004E6749"/>
    <w:rsid w:val="004E7819"/>
    <w:rsid w:val="004F4FA8"/>
    <w:rsid w:val="0050254A"/>
    <w:rsid w:val="00503159"/>
    <w:rsid w:val="00514A05"/>
    <w:rsid w:val="00517E48"/>
    <w:rsid w:val="0052141F"/>
    <w:rsid w:val="005311D5"/>
    <w:rsid w:val="00532EDE"/>
    <w:rsid w:val="00543BD0"/>
    <w:rsid w:val="0055021B"/>
    <w:rsid w:val="005533EA"/>
    <w:rsid w:val="00554520"/>
    <w:rsid w:val="00562FE3"/>
    <w:rsid w:val="00590FC9"/>
    <w:rsid w:val="005A34CF"/>
    <w:rsid w:val="005A630F"/>
    <w:rsid w:val="005B1369"/>
    <w:rsid w:val="005B6103"/>
    <w:rsid w:val="005B71D6"/>
    <w:rsid w:val="005C738F"/>
    <w:rsid w:val="005F372C"/>
    <w:rsid w:val="005F378F"/>
    <w:rsid w:val="006065AB"/>
    <w:rsid w:val="0061440E"/>
    <w:rsid w:val="00622D5C"/>
    <w:rsid w:val="00630941"/>
    <w:rsid w:val="006504C9"/>
    <w:rsid w:val="0065285A"/>
    <w:rsid w:val="00656CE4"/>
    <w:rsid w:val="00656D9B"/>
    <w:rsid w:val="00664F40"/>
    <w:rsid w:val="0067429F"/>
    <w:rsid w:val="0068264A"/>
    <w:rsid w:val="00682E92"/>
    <w:rsid w:val="00687133"/>
    <w:rsid w:val="006A39D1"/>
    <w:rsid w:val="006A66B3"/>
    <w:rsid w:val="006B4500"/>
    <w:rsid w:val="006B75EB"/>
    <w:rsid w:val="006C0971"/>
    <w:rsid w:val="006C4F68"/>
    <w:rsid w:val="006E0B13"/>
    <w:rsid w:val="006E45F7"/>
    <w:rsid w:val="0071526E"/>
    <w:rsid w:val="00715E7E"/>
    <w:rsid w:val="00717488"/>
    <w:rsid w:val="00723135"/>
    <w:rsid w:val="007233FB"/>
    <w:rsid w:val="00735EC6"/>
    <w:rsid w:val="00735F52"/>
    <w:rsid w:val="00742315"/>
    <w:rsid w:val="00745BD5"/>
    <w:rsid w:val="00750AB7"/>
    <w:rsid w:val="00764F96"/>
    <w:rsid w:val="00770903"/>
    <w:rsid w:val="00793539"/>
    <w:rsid w:val="007A6FE6"/>
    <w:rsid w:val="007B0CCA"/>
    <w:rsid w:val="007B2931"/>
    <w:rsid w:val="007B763E"/>
    <w:rsid w:val="007C4566"/>
    <w:rsid w:val="007C652D"/>
    <w:rsid w:val="007D68DB"/>
    <w:rsid w:val="007F1E59"/>
    <w:rsid w:val="007F53CB"/>
    <w:rsid w:val="00832ADC"/>
    <w:rsid w:val="00833A18"/>
    <w:rsid w:val="0084549B"/>
    <w:rsid w:val="0085372C"/>
    <w:rsid w:val="00861A57"/>
    <w:rsid w:val="00863164"/>
    <w:rsid w:val="00863CF3"/>
    <w:rsid w:val="008822FF"/>
    <w:rsid w:val="00883A12"/>
    <w:rsid w:val="00886309"/>
    <w:rsid w:val="00890279"/>
    <w:rsid w:val="008A096A"/>
    <w:rsid w:val="008B135B"/>
    <w:rsid w:val="008B3AFC"/>
    <w:rsid w:val="008B54C9"/>
    <w:rsid w:val="008D0499"/>
    <w:rsid w:val="008D5E3A"/>
    <w:rsid w:val="008F6CF2"/>
    <w:rsid w:val="00916024"/>
    <w:rsid w:val="00927417"/>
    <w:rsid w:val="00940DBE"/>
    <w:rsid w:val="00956470"/>
    <w:rsid w:val="00960326"/>
    <w:rsid w:val="00962DB2"/>
    <w:rsid w:val="00964482"/>
    <w:rsid w:val="00966A8A"/>
    <w:rsid w:val="00970CA6"/>
    <w:rsid w:val="009744EB"/>
    <w:rsid w:val="00975A16"/>
    <w:rsid w:val="00977FD1"/>
    <w:rsid w:val="00982B77"/>
    <w:rsid w:val="00992B97"/>
    <w:rsid w:val="009A15C2"/>
    <w:rsid w:val="009B4822"/>
    <w:rsid w:val="009C6162"/>
    <w:rsid w:val="009E32BD"/>
    <w:rsid w:val="009E5A98"/>
    <w:rsid w:val="00A024D6"/>
    <w:rsid w:val="00A1723F"/>
    <w:rsid w:val="00A25FA8"/>
    <w:rsid w:val="00A331B7"/>
    <w:rsid w:val="00A359EE"/>
    <w:rsid w:val="00A51105"/>
    <w:rsid w:val="00A536BB"/>
    <w:rsid w:val="00A76053"/>
    <w:rsid w:val="00A93360"/>
    <w:rsid w:val="00AA5A67"/>
    <w:rsid w:val="00AB415A"/>
    <w:rsid w:val="00AB764D"/>
    <w:rsid w:val="00AC2203"/>
    <w:rsid w:val="00AF049D"/>
    <w:rsid w:val="00B075D3"/>
    <w:rsid w:val="00B1108E"/>
    <w:rsid w:val="00B12168"/>
    <w:rsid w:val="00B21E93"/>
    <w:rsid w:val="00B3257A"/>
    <w:rsid w:val="00B32DAD"/>
    <w:rsid w:val="00B479EB"/>
    <w:rsid w:val="00B50C56"/>
    <w:rsid w:val="00B6183B"/>
    <w:rsid w:val="00B635C6"/>
    <w:rsid w:val="00B64089"/>
    <w:rsid w:val="00B77BC2"/>
    <w:rsid w:val="00B81266"/>
    <w:rsid w:val="00B8379C"/>
    <w:rsid w:val="00B840E2"/>
    <w:rsid w:val="00B84A9F"/>
    <w:rsid w:val="00B858CC"/>
    <w:rsid w:val="00BC0B02"/>
    <w:rsid w:val="00BC441F"/>
    <w:rsid w:val="00BC65A5"/>
    <w:rsid w:val="00BD02A2"/>
    <w:rsid w:val="00BD41FA"/>
    <w:rsid w:val="00BD712A"/>
    <w:rsid w:val="00BF0C34"/>
    <w:rsid w:val="00C00BD0"/>
    <w:rsid w:val="00C33683"/>
    <w:rsid w:val="00C60151"/>
    <w:rsid w:val="00CC421B"/>
    <w:rsid w:val="00CC5AF6"/>
    <w:rsid w:val="00CD788A"/>
    <w:rsid w:val="00CF5EA2"/>
    <w:rsid w:val="00CF7B0D"/>
    <w:rsid w:val="00D17533"/>
    <w:rsid w:val="00D27B75"/>
    <w:rsid w:val="00D318DC"/>
    <w:rsid w:val="00D31A15"/>
    <w:rsid w:val="00D36A44"/>
    <w:rsid w:val="00D44F7E"/>
    <w:rsid w:val="00D47740"/>
    <w:rsid w:val="00D71BD8"/>
    <w:rsid w:val="00D74EC9"/>
    <w:rsid w:val="00D77AA1"/>
    <w:rsid w:val="00D873AB"/>
    <w:rsid w:val="00D87A1D"/>
    <w:rsid w:val="00DA4154"/>
    <w:rsid w:val="00DA584E"/>
    <w:rsid w:val="00DC7627"/>
    <w:rsid w:val="00DD0347"/>
    <w:rsid w:val="00DF1E8F"/>
    <w:rsid w:val="00DF78C3"/>
    <w:rsid w:val="00E15E7B"/>
    <w:rsid w:val="00E21F58"/>
    <w:rsid w:val="00E3149F"/>
    <w:rsid w:val="00E34E08"/>
    <w:rsid w:val="00E479F3"/>
    <w:rsid w:val="00E51243"/>
    <w:rsid w:val="00E533E9"/>
    <w:rsid w:val="00E570F6"/>
    <w:rsid w:val="00E77896"/>
    <w:rsid w:val="00E839A9"/>
    <w:rsid w:val="00E851B8"/>
    <w:rsid w:val="00E86160"/>
    <w:rsid w:val="00E921AB"/>
    <w:rsid w:val="00EA0731"/>
    <w:rsid w:val="00EA28C1"/>
    <w:rsid w:val="00EA6A99"/>
    <w:rsid w:val="00EC7572"/>
    <w:rsid w:val="00F04FF5"/>
    <w:rsid w:val="00F057D3"/>
    <w:rsid w:val="00F30ACF"/>
    <w:rsid w:val="00F3291E"/>
    <w:rsid w:val="00F463C9"/>
    <w:rsid w:val="00F50282"/>
    <w:rsid w:val="00F544D3"/>
    <w:rsid w:val="00F60057"/>
    <w:rsid w:val="00F62F5B"/>
    <w:rsid w:val="00F63539"/>
    <w:rsid w:val="00F71BB9"/>
    <w:rsid w:val="00F750A8"/>
    <w:rsid w:val="00F832A7"/>
    <w:rsid w:val="00F8748D"/>
    <w:rsid w:val="00FB340D"/>
    <w:rsid w:val="00FC37E4"/>
    <w:rsid w:val="00FD6BBE"/>
    <w:rsid w:val="00FE2476"/>
    <w:rsid w:val="00FE3AF2"/>
    <w:rsid w:val="00FE7039"/>
    <w:rsid w:val="00FF3B50"/>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B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C0547"/>
    <w:pPr>
      <w:spacing w:after="120" w:line="240" w:lineRule="auto"/>
    </w:pPr>
    <w:rPr>
      <w:szCs w:val="20"/>
      <w:lang w:val="x-none" w:eastAsia="x-none"/>
    </w:rPr>
  </w:style>
  <w:style w:type="character" w:customStyle="1" w:styleId="FootnoteTextChar">
    <w:name w:val="Footnote Text Char"/>
    <w:link w:val="FootnoteText"/>
    <w:uiPriority w:val="99"/>
    <w:rsid w:val="003C0547"/>
    <w:rPr>
      <w:rFonts w:ascii="Century Schoolbook" w:hAnsi="Century Schoolbook"/>
      <w:sz w:val="26"/>
      <w:lang w:val="x-none" w:eastAsia="x-none"/>
    </w:rPr>
  </w:style>
  <w:style w:type="paragraph" w:styleId="NormalWeb">
    <w:name w:val="Normal (Web)"/>
    <w:basedOn w:val="Normal"/>
    <w:uiPriority w:val="99"/>
    <w:semiHidden/>
    <w:unhideWhenUsed/>
    <w:rsid w:val="003C05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E45F7"/>
    <w:pPr>
      <w:tabs>
        <w:tab w:val="center" w:pos="4680"/>
        <w:tab w:val="right" w:pos="9360"/>
      </w:tabs>
      <w:spacing w:line="240" w:lineRule="auto"/>
    </w:pPr>
  </w:style>
  <w:style w:type="character" w:customStyle="1" w:styleId="HeaderChar">
    <w:name w:val="Header Char"/>
    <w:basedOn w:val="DefaultParagraphFont"/>
    <w:link w:val="Header"/>
    <w:uiPriority w:val="99"/>
    <w:rsid w:val="006E45F7"/>
    <w:rPr>
      <w:rFonts w:ascii="Century Schoolbook" w:hAnsi="Century Schoolbook"/>
      <w:sz w:val="26"/>
      <w:szCs w:val="22"/>
    </w:rPr>
  </w:style>
  <w:style w:type="paragraph" w:styleId="Footer">
    <w:name w:val="footer"/>
    <w:basedOn w:val="Normal"/>
    <w:link w:val="FooterChar"/>
    <w:uiPriority w:val="99"/>
    <w:unhideWhenUsed/>
    <w:rsid w:val="006E45F7"/>
    <w:pPr>
      <w:tabs>
        <w:tab w:val="center" w:pos="4680"/>
        <w:tab w:val="right" w:pos="9360"/>
      </w:tabs>
      <w:spacing w:line="240" w:lineRule="auto"/>
    </w:pPr>
  </w:style>
  <w:style w:type="character" w:customStyle="1" w:styleId="FooterChar">
    <w:name w:val="Footer Char"/>
    <w:basedOn w:val="DefaultParagraphFont"/>
    <w:link w:val="Footer"/>
    <w:uiPriority w:val="99"/>
    <w:rsid w:val="006E45F7"/>
    <w:rPr>
      <w:rFonts w:ascii="Century Schoolbook" w:hAnsi="Century Schoolbook"/>
      <w:sz w:val="26"/>
      <w:szCs w:val="22"/>
    </w:rPr>
  </w:style>
  <w:style w:type="character" w:styleId="PageNumber">
    <w:name w:val="page number"/>
    <w:basedOn w:val="DefaultParagraphFont"/>
    <w:uiPriority w:val="99"/>
    <w:semiHidden/>
    <w:unhideWhenUsed/>
    <w:rsid w:val="00966A8A"/>
  </w:style>
  <w:style w:type="paragraph" w:customStyle="1" w:styleId="Standard">
    <w:name w:val="Standard"/>
    <w:rsid w:val="00966A8A"/>
    <w:pPr>
      <w:widowControl w:val="0"/>
      <w:suppressAutoHyphens/>
      <w:autoSpaceDN w:val="0"/>
      <w:spacing w:line="288" w:lineRule="auto"/>
      <w:textAlignment w:val="baseline"/>
    </w:pPr>
    <w:rPr>
      <w:rFonts w:ascii="Century Schoolbook" w:eastAsia="Century Schoolbook" w:hAnsi="Century Schoolbook" w:cs="Century Schoolbook"/>
      <w:sz w:val="26"/>
      <w:szCs w:val="26"/>
      <w:lang w:eastAsia="zh-CN" w:bidi="hi-IN"/>
    </w:rPr>
  </w:style>
  <w:style w:type="paragraph" w:styleId="Revision">
    <w:name w:val="Revision"/>
    <w:hidden/>
    <w:uiPriority w:val="99"/>
    <w:semiHidden/>
    <w:rsid w:val="006C0971"/>
    <w:rPr>
      <w:rFonts w:ascii="Century Schoolbook" w:hAnsi="Century Schoolbook"/>
      <w:sz w:val="26"/>
      <w:szCs w:val="22"/>
    </w:rPr>
  </w:style>
  <w:style w:type="character" w:styleId="CommentReference">
    <w:name w:val="annotation reference"/>
    <w:basedOn w:val="DefaultParagraphFont"/>
    <w:uiPriority w:val="99"/>
    <w:semiHidden/>
    <w:unhideWhenUsed/>
    <w:rsid w:val="00B8379C"/>
    <w:rPr>
      <w:sz w:val="16"/>
      <w:szCs w:val="16"/>
    </w:rPr>
  </w:style>
  <w:style w:type="paragraph" w:styleId="CommentText">
    <w:name w:val="annotation text"/>
    <w:basedOn w:val="Normal"/>
    <w:link w:val="CommentTextChar"/>
    <w:uiPriority w:val="99"/>
    <w:unhideWhenUsed/>
    <w:rsid w:val="00B8379C"/>
    <w:pPr>
      <w:spacing w:line="240" w:lineRule="auto"/>
    </w:pPr>
    <w:rPr>
      <w:sz w:val="20"/>
      <w:szCs w:val="20"/>
    </w:rPr>
  </w:style>
  <w:style w:type="character" w:customStyle="1" w:styleId="CommentTextChar">
    <w:name w:val="Comment Text Char"/>
    <w:basedOn w:val="DefaultParagraphFont"/>
    <w:link w:val="CommentText"/>
    <w:uiPriority w:val="99"/>
    <w:rsid w:val="00B8379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B8379C"/>
    <w:rPr>
      <w:b/>
      <w:bCs/>
    </w:rPr>
  </w:style>
  <w:style w:type="character" w:customStyle="1" w:styleId="CommentSubjectChar">
    <w:name w:val="Comment Subject Char"/>
    <w:basedOn w:val="CommentTextChar"/>
    <w:link w:val="CommentSubject"/>
    <w:uiPriority w:val="99"/>
    <w:semiHidden/>
    <w:rsid w:val="00B8379C"/>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2869</Words>
  <Characters>14782</Characters>
  <Application>Microsoft Office Word</Application>
  <DocSecurity>0</DocSecurity>
  <Lines>379</Lines>
  <Paragraphs>91</Paragraphs>
  <ScaleCrop>false</ScaleCrop>
  <Manager/>
  <Company/>
  <LinksUpToDate>false</LinksUpToDate>
  <CharactersWithSpaces>17795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2024-04-03T18:38:00Z</dcterms:created>
  <dcterms:modified xsi:type="dcterms:W3CDTF">2024-04-03T18:38:00Z</dcterms:modified>
  <cp:category/>
</cp:coreProperties>
</file>